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4583" w14:textId="77777777" w:rsidR="00FD20A1" w:rsidRDefault="00FD20A1" w:rsidP="00FD20A1">
      <w:pPr>
        <w:jc w:val="center"/>
        <w:rPr>
          <w:szCs w:val="24"/>
        </w:rPr>
      </w:pPr>
      <w:r>
        <w:rPr>
          <w:noProof/>
          <w:lang w:val="en-US"/>
        </w:rPr>
        <w:drawing>
          <wp:anchor distT="0" distB="0" distL="114300" distR="114300" simplePos="0" relativeHeight="251660288" behindDoc="1" locked="0" layoutInCell="1" allowOverlap="1" wp14:anchorId="70EEA4FB" wp14:editId="0E3C18F6">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14:paraId="3962B018" w14:textId="77777777" w:rsidR="00FD20A1" w:rsidRDefault="00FD20A1" w:rsidP="00FD20A1">
      <w:pPr>
        <w:pStyle w:val="Heading1"/>
        <w:rPr>
          <w:szCs w:val="24"/>
        </w:rPr>
      </w:pPr>
    </w:p>
    <w:p w14:paraId="1A0A6C27" w14:textId="77777777" w:rsidR="00FD20A1" w:rsidRDefault="00FD20A1" w:rsidP="00FD20A1">
      <w:pPr>
        <w:pStyle w:val="Heading1"/>
        <w:rPr>
          <w:szCs w:val="24"/>
        </w:rPr>
      </w:pPr>
    </w:p>
    <w:p w14:paraId="1CE3C912" w14:textId="77777777" w:rsidR="00FD20A1" w:rsidRDefault="00FD20A1" w:rsidP="00FD20A1">
      <w:pPr>
        <w:pStyle w:val="Heading1"/>
        <w:rPr>
          <w:szCs w:val="24"/>
        </w:rPr>
      </w:pPr>
    </w:p>
    <w:p w14:paraId="69A57427" w14:textId="77777777" w:rsidR="00FA7222" w:rsidRDefault="00FA7222" w:rsidP="008E5CD1">
      <w:pPr>
        <w:spacing w:line="360" w:lineRule="auto"/>
        <w:jc w:val="center"/>
        <w:rPr>
          <w:rFonts w:ascii="Arial" w:hAnsi="Arial" w:cs="Arial"/>
          <w:b/>
          <w:sz w:val="28"/>
          <w:szCs w:val="28"/>
          <w:u w:val="single"/>
        </w:rPr>
      </w:pPr>
    </w:p>
    <w:p w14:paraId="0B65FA5A" w14:textId="77777777" w:rsidR="00A0334D" w:rsidRDefault="00A0334D" w:rsidP="00A0334D">
      <w:pPr>
        <w:jc w:val="center"/>
        <w:rPr>
          <w:rFonts w:ascii="Arial" w:hAnsi="Arial" w:cs="Arial"/>
          <w:b/>
          <w:u w:val="single"/>
        </w:rPr>
      </w:pPr>
      <w:r>
        <w:rPr>
          <w:rFonts w:ascii="Arial" w:hAnsi="Arial" w:cs="Arial"/>
          <w:b/>
          <w:u w:val="single"/>
        </w:rPr>
        <w:t>IN THE HIGH COURT OF SOUTH AFRICA,</w:t>
      </w:r>
    </w:p>
    <w:p w14:paraId="6241FDAC" w14:textId="77777777" w:rsidR="00A0334D" w:rsidRDefault="00A0334D" w:rsidP="00A0334D">
      <w:pPr>
        <w:jc w:val="center"/>
        <w:rPr>
          <w:rFonts w:ascii="Arial" w:hAnsi="Arial" w:cs="Arial"/>
          <w:b/>
          <w:u w:val="single"/>
        </w:rPr>
      </w:pPr>
      <w:r>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A0334D" w14:paraId="7C009959" w14:textId="77777777" w:rsidTr="001F243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5EBFB" w14:textId="77777777" w:rsidR="00A0334D" w:rsidRDefault="00A0334D" w:rsidP="001F2432">
            <w:pPr>
              <w:spacing w:after="0"/>
              <w:rPr>
                <w:rFonts w:ascii="Arial" w:eastAsia="Times New Roman" w:hAnsi="Arial" w:cs="Arial"/>
                <w:b/>
                <w:sz w:val="16"/>
                <w:szCs w:val="16"/>
                <w:lang w:eastAsia="en-GB"/>
              </w:rPr>
            </w:pPr>
            <w:r>
              <w:rPr>
                <w:rFonts w:ascii="Arial" w:hAnsi="Arial" w:cs="Arial"/>
                <w:b/>
                <w:sz w:val="16"/>
                <w:szCs w:val="16"/>
              </w:rPr>
              <w:t>Reportable:                              YES/NO</w:t>
            </w:r>
          </w:p>
          <w:p w14:paraId="678ADA4B" w14:textId="77777777" w:rsidR="00A0334D" w:rsidRDefault="00A0334D" w:rsidP="001F2432">
            <w:pPr>
              <w:spacing w:after="0"/>
              <w:rPr>
                <w:rFonts w:ascii="Arial" w:hAnsi="Arial" w:cs="Arial"/>
                <w:b/>
                <w:sz w:val="16"/>
                <w:szCs w:val="16"/>
              </w:rPr>
            </w:pPr>
            <w:r>
              <w:rPr>
                <w:rFonts w:ascii="Arial" w:hAnsi="Arial" w:cs="Arial"/>
                <w:b/>
                <w:sz w:val="16"/>
                <w:szCs w:val="16"/>
              </w:rPr>
              <w:t>Of Interest to other Judges:   YES/NO</w:t>
            </w:r>
          </w:p>
          <w:p w14:paraId="54E54E7B" w14:textId="77777777" w:rsidR="00A0334D" w:rsidRDefault="00A0334D" w:rsidP="001F2432">
            <w:pPr>
              <w:spacing w:after="0"/>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525967B4" w14:textId="034ACA6D" w:rsidR="00A0334D" w:rsidRPr="003A7662" w:rsidRDefault="00A0334D" w:rsidP="009C57EA">
      <w:pPr>
        <w:tabs>
          <w:tab w:val="left" w:pos="3119"/>
        </w:tabs>
        <w:jc w:val="both"/>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A7662">
        <w:rPr>
          <w:rFonts w:ascii="Arial" w:hAnsi="Arial" w:cs="Arial"/>
          <w:b/>
          <w:sz w:val="24"/>
          <w:szCs w:val="24"/>
        </w:rPr>
        <w:tab/>
      </w:r>
      <w:r w:rsidRPr="003A7662">
        <w:rPr>
          <w:rFonts w:ascii="Arial" w:hAnsi="Arial" w:cs="Arial"/>
          <w:b/>
          <w:sz w:val="24"/>
          <w:szCs w:val="24"/>
        </w:rPr>
        <w:tab/>
      </w:r>
      <w:r w:rsidRPr="003A7662">
        <w:rPr>
          <w:rFonts w:ascii="Arial" w:hAnsi="Arial" w:cs="Arial"/>
          <w:b/>
          <w:sz w:val="24"/>
          <w:szCs w:val="24"/>
        </w:rPr>
        <w:tab/>
      </w:r>
    </w:p>
    <w:p w14:paraId="4AEC4619" w14:textId="4BA0E32C" w:rsidR="00A0334D" w:rsidRPr="003A7662" w:rsidRDefault="009C57EA" w:rsidP="003A7662">
      <w:pPr>
        <w:spacing w:after="0" w:line="276" w:lineRule="auto"/>
        <w:jc w:val="right"/>
        <w:rPr>
          <w:rFonts w:ascii="Arial" w:hAnsi="Arial" w:cs="Arial"/>
          <w:sz w:val="24"/>
          <w:szCs w:val="24"/>
        </w:rPr>
      </w:pPr>
      <w:r w:rsidRPr="003A7662">
        <w:rPr>
          <w:rFonts w:ascii="Arial" w:hAnsi="Arial" w:cs="Arial"/>
          <w:sz w:val="24"/>
          <w:szCs w:val="24"/>
        </w:rPr>
        <w:t>Case number: 3413/2021</w:t>
      </w:r>
      <w:r w:rsidR="00A0334D" w:rsidRPr="003A7662">
        <w:rPr>
          <w:rFonts w:ascii="Arial" w:hAnsi="Arial" w:cs="Arial"/>
          <w:sz w:val="24"/>
          <w:szCs w:val="24"/>
        </w:rPr>
        <w:t xml:space="preserve">  </w:t>
      </w:r>
    </w:p>
    <w:p w14:paraId="654A0186" w14:textId="77777777" w:rsidR="0014277B" w:rsidRPr="003A7662" w:rsidRDefault="0014277B" w:rsidP="003A7662">
      <w:pPr>
        <w:spacing w:after="0" w:line="276" w:lineRule="auto"/>
        <w:jc w:val="both"/>
        <w:rPr>
          <w:rFonts w:ascii="Arial" w:hAnsi="Arial" w:cs="Arial"/>
          <w:sz w:val="24"/>
          <w:szCs w:val="24"/>
        </w:rPr>
      </w:pPr>
    </w:p>
    <w:p w14:paraId="4656700B" w14:textId="77777777" w:rsidR="00A0334D" w:rsidRPr="003A7662" w:rsidRDefault="00A0334D" w:rsidP="003A7662">
      <w:pPr>
        <w:spacing w:after="0" w:line="276" w:lineRule="auto"/>
        <w:jc w:val="both"/>
        <w:rPr>
          <w:rFonts w:ascii="Arial" w:hAnsi="Arial" w:cs="Arial"/>
          <w:sz w:val="24"/>
          <w:szCs w:val="24"/>
        </w:rPr>
      </w:pPr>
      <w:r w:rsidRPr="003A7662">
        <w:rPr>
          <w:rFonts w:ascii="Arial" w:hAnsi="Arial" w:cs="Arial"/>
          <w:sz w:val="24"/>
          <w:szCs w:val="24"/>
        </w:rPr>
        <w:t xml:space="preserve">In the matter between: </w:t>
      </w:r>
    </w:p>
    <w:p w14:paraId="7D152F9B" w14:textId="77777777" w:rsidR="00A0334D" w:rsidRPr="003A7662" w:rsidRDefault="00A0334D" w:rsidP="003A7662">
      <w:pPr>
        <w:tabs>
          <w:tab w:val="left" w:pos="720"/>
          <w:tab w:val="left" w:pos="1440"/>
          <w:tab w:val="left" w:pos="2160"/>
          <w:tab w:val="left" w:pos="2880"/>
          <w:tab w:val="left" w:pos="3600"/>
          <w:tab w:val="left" w:pos="4320"/>
          <w:tab w:val="left" w:pos="5040"/>
          <w:tab w:val="left" w:pos="5760"/>
          <w:tab w:val="left" w:pos="6480"/>
          <w:tab w:val="right" w:pos="9026"/>
        </w:tabs>
        <w:spacing w:after="0" w:line="276" w:lineRule="auto"/>
        <w:jc w:val="both"/>
        <w:rPr>
          <w:rFonts w:ascii="Arial" w:hAnsi="Arial" w:cs="Arial"/>
          <w:b/>
          <w:sz w:val="24"/>
          <w:szCs w:val="24"/>
          <w:u w:val="single"/>
        </w:rPr>
      </w:pPr>
    </w:p>
    <w:p w14:paraId="30D056CE" w14:textId="51C10F7A" w:rsidR="0014277B" w:rsidRPr="003A7662" w:rsidRDefault="009C57EA" w:rsidP="003A7662">
      <w:pPr>
        <w:spacing w:line="276" w:lineRule="auto"/>
        <w:rPr>
          <w:rFonts w:ascii="Arial" w:hAnsi="Arial" w:cs="Arial"/>
          <w:color w:val="000000"/>
          <w:sz w:val="24"/>
          <w:szCs w:val="24"/>
        </w:rPr>
      </w:pPr>
      <w:r w:rsidRPr="003A7662">
        <w:rPr>
          <w:rFonts w:ascii="Arial" w:hAnsi="Arial" w:cs="Arial"/>
          <w:b/>
          <w:color w:val="000000"/>
          <w:sz w:val="24"/>
          <w:szCs w:val="24"/>
          <w:u w:val="single"/>
        </w:rPr>
        <w:t>THE MEMBER OF THE EXECUTIVE COUNCIL</w:t>
      </w:r>
      <w:r w:rsidR="0014277B"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color w:val="000000"/>
          <w:sz w:val="24"/>
          <w:szCs w:val="24"/>
        </w:rPr>
        <w:t>Applicant</w:t>
      </w:r>
    </w:p>
    <w:p w14:paraId="767B8E7D" w14:textId="1D12FF33" w:rsidR="009C57EA" w:rsidRPr="003A7662" w:rsidRDefault="009C57EA" w:rsidP="003A7662">
      <w:pPr>
        <w:spacing w:line="276" w:lineRule="auto"/>
        <w:rPr>
          <w:rFonts w:ascii="Arial" w:hAnsi="Arial" w:cs="Arial"/>
          <w:b/>
          <w:color w:val="000000"/>
          <w:sz w:val="24"/>
          <w:szCs w:val="24"/>
          <w:u w:val="single"/>
        </w:rPr>
      </w:pPr>
      <w:r w:rsidRPr="003A7662">
        <w:rPr>
          <w:rFonts w:ascii="Arial" w:hAnsi="Arial" w:cs="Arial"/>
          <w:b/>
          <w:color w:val="000000"/>
          <w:sz w:val="24"/>
          <w:szCs w:val="24"/>
          <w:u w:val="single"/>
        </w:rPr>
        <w:t>FOR HEALTH, FREE STATE</w:t>
      </w:r>
    </w:p>
    <w:p w14:paraId="40764A0B" w14:textId="77777777" w:rsidR="0014277B" w:rsidRPr="003A7662" w:rsidRDefault="0014277B" w:rsidP="003A7662">
      <w:pPr>
        <w:spacing w:line="276" w:lineRule="auto"/>
        <w:rPr>
          <w:rFonts w:ascii="Arial" w:hAnsi="Arial" w:cs="Arial"/>
          <w:color w:val="000000"/>
          <w:sz w:val="24"/>
          <w:szCs w:val="24"/>
        </w:rPr>
      </w:pPr>
      <w:r w:rsidRPr="003A7662">
        <w:rPr>
          <w:rFonts w:ascii="Arial" w:hAnsi="Arial" w:cs="Arial"/>
          <w:color w:val="000000"/>
          <w:sz w:val="24"/>
          <w:szCs w:val="24"/>
        </w:rPr>
        <w:t>and</w:t>
      </w:r>
    </w:p>
    <w:p w14:paraId="3CA7ED9B" w14:textId="243CC999" w:rsidR="00C57143" w:rsidRPr="003A7662" w:rsidRDefault="009C57EA" w:rsidP="003A7662">
      <w:pPr>
        <w:spacing w:line="276" w:lineRule="auto"/>
        <w:rPr>
          <w:rFonts w:ascii="Arial" w:hAnsi="Arial" w:cs="Arial"/>
          <w:color w:val="000000"/>
          <w:sz w:val="24"/>
          <w:szCs w:val="24"/>
        </w:rPr>
      </w:pPr>
      <w:r w:rsidRPr="003A7662">
        <w:rPr>
          <w:rFonts w:ascii="Arial" w:hAnsi="Arial" w:cs="Arial"/>
          <w:b/>
          <w:color w:val="000000"/>
          <w:sz w:val="24"/>
          <w:szCs w:val="24"/>
          <w:u w:val="single"/>
        </w:rPr>
        <w:t>HAROLD TYRONE BOSS</w:t>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00C57143" w:rsidRPr="003A7662">
        <w:rPr>
          <w:rFonts w:ascii="Arial" w:hAnsi="Arial" w:cs="Arial"/>
          <w:b/>
          <w:color w:val="000000"/>
          <w:sz w:val="24"/>
          <w:szCs w:val="24"/>
        </w:rPr>
        <w:tab/>
      </w:r>
      <w:r w:rsidR="00C57143" w:rsidRPr="003A7662">
        <w:rPr>
          <w:rFonts w:ascii="Arial" w:hAnsi="Arial" w:cs="Arial"/>
          <w:b/>
          <w:color w:val="000000"/>
          <w:sz w:val="24"/>
          <w:szCs w:val="24"/>
        </w:rPr>
        <w:tab/>
      </w:r>
      <w:r w:rsidRPr="003A7662">
        <w:rPr>
          <w:rFonts w:ascii="Arial" w:hAnsi="Arial" w:cs="Arial"/>
          <w:color w:val="000000"/>
          <w:sz w:val="24"/>
          <w:szCs w:val="24"/>
        </w:rPr>
        <w:t>1</w:t>
      </w:r>
      <w:r w:rsidRPr="003A7662">
        <w:rPr>
          <w:rFonts w:ascii="Arial" w:hAnsi="Arial" w:cs="Arial"/>
          <w:color w:val="000000"/>
          <w:sz w:val="24"/>
          <w:szCs w:val="24"/>
          <w:vertAlign w:val="superscript"/>
        </w:rPr>
        <w:t>st</w:t>
      </w:r>
      <w:r w:rsidRPr="003A7662">
        <w:rPr>
          <w:rFonts w:ascii="Arial" w:hAnsi="Arial" w:cs="Arial"/>
          <w:color w:val="000000"/>
          <w:sz w:val="24"/>
          <w:szCs w:val="24"/>
        </w:rPr>
        <w:t xml:space="preserve"> Respondent</w:t>
      </w:r>
    </w:p>
    <w:p w14:paraId="230B5BA6" w14:textId="7D121359" w:rsidR="009C57EA" w:rsidRPr="003A7662" w:rsidRDefault="009C57EA" w:rsidP="003A7662">
      <w:pPr>
        <w:spacing w:line="276" w:lineRule="auto"/>
        <w:rPr>
          <w:rFonts w:ascii="Arial" w:hAnsi="Arial" w:cs="Arial"/>
          <w:color w:val="000000"/>
          <w:sz w:val="24"/>
          <w:szCs w:val="24"/>
        </w:rPr>
      </w:pPr>
      <w:r w:rsidRPr="003A7662">
        <w:rPr>
          <w:rFonts w:ascii="Arial" w:hAnsi="Arial" w:cs="Arial"/>
          <w:b/>
          <w:color w:val="000000"/>
          <w:sz w:val="24"/>
          <w:szCs w:val="24"/>
          <w:u w:val="single"/>
        </w:rPr>
        <w:t>HELEN BOSS</w:t>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b/>
          <w:color w:val="000000"/>
          <w:sz w:val="24"/>
          <w:szCs w:val="24"/>
        </w:rPr>
        <w:tab/>
      </w:r>
      <w:r w:rsidRPr="003A7662">
        <w:rPr>
          <w:rFonts w:ascii="Arial" w:hAnsi="Arial" w:cs="Arial"/>
          <w:color w:val="000000"/>
          <w:sz w:val="24"/>
          <w:szCs w:val="24"/>
        </w:rPr>
        <w:t>2</w:t>
      </w:r>
      <w:r w:rsidRPr="003A7662">
        <w:rPr>
          <w:rFonts w:ascii="Arial" w:hAnsi="Arial" w:cs="Arial"/>
          <w:color w:val="000000"/>
          <w:sz w:val="24"/>
          <w:szCs w:val="24"/>
          <w:vertAlign w:val="superscript"/>
        </w:rPr>
        <w:t>nd</w:t>
      </w:r>
      <w:r w:rsidRPr="003A7662">
        <w:rPr>
          <w:rFonts w:ascii="Arial" w:hAnsi="Arial" w:cs="Arial"/>
          <w:color w:val="000000"/>
          <w:sz w:val="24"/>
          <w:szCs w:val="24"/>
        </w:rPr>
        <w:t xml:space="preserve"> Respondent</w:t>
      </w:r>
    </w:p>
    <w:p w14:paraId="3EA76019" w14:textId="77777777" w:rsidR="00A0334D" w:rsidRPr="003A7662" w:rsidRDefault="004F7657" w:rsidP="003A7662">
      <w:pPr>
        <w:pBdr>
          <w:bottom w:val="single" w:sz="12" w:space="1" w:color="auto"/>
        </w:pBdr>
        <w:spacing w:after="0" w:line="276" w:lineRule="auto"/>
        <w:rPr>
          <w:rFonts w:ascii="Arial" w:hAnsi="Arial" w:cs="Arial"/>
          <w:b/>
          <w:sz w:val="24"/>
          <w:szCs w:val="24"/>
        </w:rPr>
      </w:pPr>
      <w:r w:rsidRPr="003A7662">
        <w:rPr>
          <w:rFonts w:ascii="Arial" w:hAnsi="Arial" w:cs="Arial"/>
          <w:sz w:val="24"/>
          <w:szCs w:val="24"/>
        </w:rPr>
        <w:tab/>
      </w:r>
      <w:r w:rsidR="00A0334D" w:rsidRPr="003A7662">
        <w:rPr>
          <w:rFonts w:ascii="Arial" w:hAnsi="Arial" w:cs="Arial"/>
          <w:b/>
          <w:sz w:val="24"/>
          <w:szCs w:val="24"/>
        </w:rPr>
        <w:tab/>
      </w:r>
      <w:r w:rsidR="00A0334D" w:rsidRPr="003A7662">
        <w:rPr>
          <w:rFonts w:ascii="Arial" w:hAnsi="Arial" w:cs="Arial"/>
          <w:b/>
          <w:sz w:val="24"/>
          <w:szCs w:val="24"/>
        </w:rPr>
        <w:tab/>
      </w:r>
    </w:p>
    <w:p w14:paraId="361E78C6" w14:textId="77777777" w:rsidR="00A0334D" w:rsidRPr="003A7662" w:rsidRDefault="00A0334D" w:rsidP="003A7662">
      <w:pPr>
        <w:spacing w:after="0" w:line="276" w:lineRule="auto"/>
        <w:contextualSpacing/>
        <w:jc w:val="both"/>
        <w:rPr>
          <w:rFonts w:ascii="Arial" w:hAnsi="Arial" w:cs="Arial"/>
          <w:b/>
          <w:sz w:val="24"/>
          <w:szCs w:val="24"/>
          <w:u w:val="single"/>
        </w:rPr>
      </w:pPr>
    </w:p>
    <w:p w14:paraId="4A0C07AA" w14:textId="6E2C54D3" w:rsidR="00A0334D" w:rsidRPr="003A7662" w:rsidRDefault="00A0334D" w:rsidP="00204DD4">
      <w:pPr>
        <w:tabs>
          <w:tab w:val="left" w:pos="3119"/>
          <w:tab w:val="left" w:pos="3600"/>
        </w:tabs>
        <w:spacing w:after="0" w:line="276" w:lineRule="auto"/>
        <w:contextualSpacing/>
        <w:jc w:val="both"/>
        <w:rPr>
          <w:rFonts w:ascii="Arial" w:hAnsi="Arial" w:cs="Arial"/>
          <w:sz w:val="24"/>
          <w:szCs w:val="24"/>
          <w:u w:val="single"/>
        </w:rPr>
      </w:pPr>
      <w:r w:rsidRPr="003A7662">
        <w:rPr>
          <w:rFonts w:ascii="Arial" w:hAnsi="Arial" w:cs="Arial"/>
          <w:b/>
          <w:sz w:val="24"/>
          <w:szCs w:val="24"/>
          <w:u w:val="single"/>
        </w:rPr>
        <w:t>HEARD ON:</w:t>
      </w:r>
      <w:r w:rsidR="00EA18A1" w:rsidRPr="003A7662">
        <w:rPr>
          <w:rFonts w:ascii="Arial" w:hAnsi="Arial" w:cs="Arial"/>
          <w:b/>
          <w:sz w:val="24"/>
          <w:szCs w:val="24"/>
        </w:rPr>
        <w:tab/>
      </w:r>
      <w:r w:rsidR="009C57EA" w:rsidRPr="003A7662">
        <w:rPr>
          <w:rFonts w:ascii="Arial" w:hAnsi="Arial" w:cs="Arial"/>
          <w:b/>
          <w:sz w:val="24"/>
          <w:szCs w:val="24"/>
        </w:rPr>
        <w:tab/>
      </w:r>
      <w:r w:rsidR="009C57EA" w:rsidRPr="003A7662">
        <w:rPr>
          <w:rFonts w:ascii="Arial" w:hAnsi="Arial" w:cs="Arial"/>
          <w:sz w:val="24"/>
          <w:szCs w:val="24"/>
        </w:rPr>
        <w:t>14 SEPTEMBER 2023</w:t>
      </w:r>
    </w:p>
    <w:p w14:paraId="4A8EE664" w14:textId="77777777" w:rsidR="00A0334D" w:rsidRPr="003A7662" w:rsidRDefault="00A0334D" w:rsidP="003A7662">
      <w:pPr>
        <w:pBdr>
          <w:bottom w:val="single" w:sz="6" w:space="1" w:color="auto"/>
        </w:pBdr>
        <w:spacing w:after="0" w:line="276" w:lineRule="auto"/>
        <w:contextualSpacing/>
        <w:jc w:val="both"/>
        <w:rPr>
          <w:rFonts w:ascii="Arial" w:hAnsi="Arial" w:cs="Arial"/>
          <w:b/>
          <w:sz w:val="24"/>
          <w:szCs w:val="24"/>
        </w:rPr>
      </w:pPr>
    </w:p>
    <w:p w14:paraId="672957CD" w14:textId="77777777" w:rsidR="00A0334D" w:rsidRPr="003A7662" w:rsidRDefault="00A0334D" w:rsidP="003A7662">
      <w:pPr>
        <w:spacing w:after="0" w:line="276" w:lineRule="auto"/>
        <w:contextualSpacing/>
        <w:jc w:val="both"/>
        <w:rPr>
          <w:rFonts w:ascii="Arial" w:hAnsi="Arial" w:cs="Arial"/>
          <w:b/>
          <w:sz w:val="24"/>
          <w:szCs w:val="24"/>
        </w:rPr>
      </w:pPr>
    </w:p>
    <w:p w14:paraId="381A4CA2" w14:textId="22F6376D" w:rsidR="0014277B" w:rsidRPr="003A7662" w:rsidRDefault="00A0334D" w:rsidP="003A7662">
      <w:pPr>
        <w:spacing w:line="276" w:lineRule="auto"/>
        <w:rPr>
          <w:rFonts w:ascii="Arial" w:hAnsi="Arial" w:cs="Arial"/>
          <w:color w:val="000000"/>
          <w:sz w:val="24"/>
          <w:szCs w:val="24"/>
        </w:rPr>
      </w:pPr>
      <w:r w:rsidRPr="003A7662">
        <w:rPr>
          <w:rFonts w:ascii="Arial" w:hAnsi="Arial" w:cs="Arial"/>
          <w:b/>
          <w:sz w:val="24"/>
          <w:szCs w:val="24"/>
          <w:u w:val="single"/>
        </w:rPr>
        <w:t>JUDGMENT BY:</w:t>
      </w:r>
      <w:r w:rsidR="00EA18A1" w:rsidRPr="003A7662">
        <w:rPr>
          <w:rFonts w:ascii="Arial" w:hAnsi="Arial" w:cs="Arial"/>
          <w:color w:val="000000"/>
          <w:sz w:val="24"/>
          <w:szCs w:val="24"/>
        </w:rPr>
        <w:tab/>
      </w:r>
      <w:r w:rsidR="009C57EA" w:rsidRPr="003A7662">
        <w:rPr>
          <w:rFonts w:ascii="Arial" w:hAnsi="Arial" w:cs="Arial"/>
          <w:color w:val="000000"/>
          <w:sz w:val="24"/>
          <w:szCs w:val="24"/>
        </w:rPr>
        <w:tab/>
      </w:r>
      <w:r w:rsidR="009C57EA" w:rsidRPr="003A7662">
        <w:rPr>
          <w:rFonts w:ascii="Arial" w:hAnsi="Arial" w:cs="Arial"/>
          <w:color w:val="000000"/>
          <w:sz w:val="24"/>
          <w:szCs w:val="24"/>
        </w:rPr>
        <w:tab/>
      </w:r>
      <w:r w:rsidR="0014277B" w:rsidRPr="003A7662">
        <w:rPr>
          <w:rFonts w:ascii="Arial" w:hAnsi="Arial" w:cs="Arial"/>
          <w:color w:val="000000"/>
          <w:sz w:val="24"/>
          <w:szCs w:val="24"/>
        </w:rPr>
        <w:t>DANISO, J</w:t>
      </w:r>
    </w:p>
    <w:p w14:paraId="63FAB1AD" w14:textId="77777777" w:rsidR="00A0334D" w:rsidRPr="003A7662" w:rsidRDefault="00A0334D" w:rsidP="003A7662">
      <w:pPr>
        <w:pBdr>
          <w:bottom w:val="single" w:sz="6" w:space="1" w:color="auto"/>
        </w:pBdr>
        <w:spacing w:after="0" w:line="276" w:lineRule="auto"/>
        <w:contextualSpacing/>
        <w:jc w:val="both"/>
        <w:rPr>
          <w:rFonts w:ascii="Arial" w:hAnsi="Arial" w:cs="Arial"/>
          <w:b/>
          <w:sz w:val="24"/>
          <w:szCs w:val="24"/>
        </w:rPr>
      </w:pPr>
    </w:p>
    <w:p w14:paraId="237F16FC" w14:textId="77777777" w:rsidR="00A0334D" w:rsidRPr="003A7662" w:rsidRDefault="00A0334D" w:rsidP="003A7662">
      <w:pPr>
        <w:spacing w:after="0" w:line="276" w:lineRule="auto"/>
        <w:contextualSpacing/>
        <w:jc w:val="both"/>
        <w:rPr>
          <w:rFonts w:ascii="Arial" w:hAnsi="Arial" w:cs="Arial"/>
          <w:b/>
          <w:sz w:val="24"/>
          <w:szCs w:val="24"/>
        </w:rPr>
      </w:pPr>
    </w:p>
    <w:p w14:paraId="5DA192EB" w14:textId="3CC1D6D3" w:rsidR="00A0334D" w:rsidRPr="003A7662" w:rsidRDefault="00EA18A1" w:rsidP="003A7662">
      <w:pPr>
        <w:tabs>
          <w:tab w:val="left" w:pos="3119"/>
          <w:tab w:val="left" w:pos="3544"/>
          <w:tab w:val="left" w:pos="3686"/>
          <w:tab w:val="left" w:pos="3828"/>
        </w:tabs>
        <w:spacing w:after="0" w:line="276" w:lineRule="auto"/>
        <w:contextualSpacing/>
        <w:jc w:val="both"/>
        <w:rPr>
          <w:rFonts w:ascii="Arial" w:hAnsi="Arial" w:cs="Arial"/>
          <w:sz w:val="24"/>
          <w:szCs w:val="24"/>
        </w:rPr>
      </w:pPr>
      <w:r w:rsidRPr="003A7662">
        <w:rPr>
          <w:rFonts w:ascii="Arial" w:hAnsi="Arial" w:cs="Arial"/>
          <w:b/>
          <w:sz w:val="24"/>
          <w:szCs w:val="24"/>
          <w:u w:val="single"/>
        </w:rPr>
        <w:t>DELIVERED ON</w:t>
      </w:r>
      <w:r w:rsidRPr="003A7662">
        <w:rPr>
          <w:rFonts w:ascii="Arial" w:hAnsi="Arial" w:cs="Arial"/>
          <w:sz w:val="24"/>
          <w:szCs w:val="24"/>
        </w:rPr>
        <w:tab/>
      </w:r>
      <w:r w:rsidR="009C57EA" w:rsidRPr="003A7662">
        <w:rPr>
          <w:rFonts w:ascii="Arial" w:hAnsi="Arial" w:cs="Arial"/>
          <w:sz w:val="24"/>
          <w:szCs w:val="24"/>
        </w:rPr>
        <w:tab/>
        <w:t>2</w:t>
      </w:r>
      <w:r w:rsidR="00811F56">
        <w:rPr>
          <w:rFonts w:ascii="Arial" w:hAnsi="Arial" w:cs="Arial"/>
          <w:sz w:val="24"/>
          <w:szCs w:val="24"/>
        </w:rPr>
        <w:t>7</w:t>
      </w:r>
      <w:r w:rsidR="009C57EA" w:rsidRPr="003A7662">
        <w:rPr>
          <w:rFonts w:ascii="Arial" w:hAnsi="Arial" w:cs="Arial"/>
          <w:sz w:val="24"/>
          <w:szCs w:val="24"/>
        </w:rPr>
        <w:t xml:space="preserve"> DECEMBER 2023</w:t>
      </w:r>
    </w:p>
    <w:p w14:paraId="1A8E2541" w14:textId="77777777" w:rsidR="00A0334D" w:rsidRPr="003A7662" w:rsidRDefault="00A0334D" w:rsidP="003A7662">
      <w:pPr>
        <w:pBdr>
          <w:bottom w:val="single" w:sz="12" w:space="1" w:color="auto"/>
        </w:pBdr>
        <w:tabs>
          <w:tab w:val="left" w:pos="3119"/>
        </w:tabs>
        <w:spacing w:after="0" w:line="276" w:lineRule="auto"/>
        <w:ind w:left="851" w:hanging="851"/>
        <w:jc w:val="both"/>
        <w:rPr>
          <w:rFonts w:ascii="Arial" w:hAnsi="Arial" w:cs="Arial"/>
          <w:sz w:val="24"/>
          <w:szCs w:val="24"/>
        </w:rPr>
      </w:pPr>
    </w:p>
    <w:p w14:paraId="5A37E6F5" w14:textId="77777777" w:rsidR="0014277B" w:rsidRPr="003A7662" w:rsidRDefault="0014277B" w:rsidP="003A7662">
      <w:pPr>
        <w:spacing w:after="0" w:line="360" w:lineRule="auto"/>
        <w:ind w:left="851" w:hanging="851"/>
        <w:jc w:val="both"/>
        <w:rPr>
          <w:rFonts w:ascii="Arial" w:hAnsi="Arial" w:cs="Arial"/>
          <w:sz w:val="24"/>
          <w:szCs w:val="24"/>
        </w:rPr>
      </w:pPr>
    </w:p>
    <w:p w14:paraId="1A842AC0" w14:textId="17FD646B" w:rsidR="00B177CA" w:rsidRDefault="00592DDE" w:rsidP="00592DDE">
      <w:pPr>
        <w:spacing w:after="0" w:line="360" w:lineRule="auto"/>
        <w:ind w:left="720" w:hanging="720"/>
        <w:jc w:val="both"/>
        <w:rPr>
          <w:rFonts w:ascii="Arial" w:hAnsi="Arial" w:cs="Arial"/>
          <w:sz w:val="24"/>
          <w:szCs w:val="24"/>
        </w:rPr>
      </w:pPr>
      <w:r w:rsidRPr="003A7662">
        <w:rPr>
          <w:rFonts w:ascii="Arial" w:hAnsi="Arial" w:cs="Arial"/>
          <w:color w:val="000000"/>
          <w:sz w:val="24"/>
          <w:szCs w:val="24"/>
        </w:rPr>
        <w:t>[1]</w:t>
      </w:r>
      <w:r w:rsidRPr="003A7662">
        <w:rPr>
          <w:rFonts w:ascii="Arial" w:hAnsi="Arial" w:cs="Arial"/>
          <w:color w:val="000000"/>
          <w:sz w:val="24"/>
          <w:szCs w:val="24"/>
        </w:rPr>
        <w:tab/>
      </w:r>
      <w:r>
        <w:rPr>
          <w:rFonts w:ascii="Arial" w:hAnsi="Arial" w:cs="Arial"/>
          <w:color w:val="000000"/>
          <w:sz w:val="24"/>
          <w:szCs w:val="24"/>
        </w:rPr>
        <w:t xml:space="preserve">On </w:t>
      </w:r>
      <w:r w:rsidRPr="003A7662">
        <w:rPr>
          <w:rFonts w:ascii="Arial" w:hAnsi="Arial" w:cs="Arial"/>
          <w:sz w:val="24"/>
          <w:szCs w:val="24"/>
        </w:rPr>
        <w:t>2</w:t>
      </w:r>
      <w:r>
        <w:rPr>
          <w:rFonts w:ascii="Arial" w:hAnsi="Arial" w:cs="Arial"/>
          <w:sz w:val="24"/>
          <w:szCs w:val="24"/>
        </w:rPr>
        <w:t>9</w:t>
      </w:r>
      <w:r w:rsidRPr="003A7662">
        <w:rPr>
          <w:rFonts w:ascii="Arial" w:hAnsi="Arial" w:cs="Arial"/>
          <w:sz w:val="24"/>
          <w:szCs w:val="24"/>
        </w:rPr>
        <w:t xml:space="preserve"> December 2019, the respondents’ daughter </w:t>
      </w:r>
      <w:r>
        <w:rPr>
          <w:rFonts w:ascii="Arial" w:hAnsi="Arial" w:cs="Arial"/>
          <w:sz w:val="24"/>
          <w:szCs w:val="24"/>
        </w:rPr>
        <w:t xml:space="preserve">(the deceased) passed away at </w:t>
      </w:r>
      <w:proofErr w:type="spellStart"/>
      <w:r>
        <w:rPr>
          <w:rFonts w:ascii="Arial" w:hAnsi="Arial" w:cs="Arial"/>
          <w:sz w:val="24"/>
          <w:szCs w:val="24"/>
        </w:rPr>
        <w:t>Pelonomi</w:t>
      </w:r>
      <w:proofErr w:type="spellEnd"/>
      <w:r>
        <w:rPr>
          <w:rFonts w:ascii="Arial" w:hAnsi="Arial" w:cs="Arial"/>
          <w:sz w:val="24"/>
          <w:szCs w:val="24"/>
        </w:rPr>
        <w:t xml:space="preserve"> hospital due to injuries she had sustained in a motor vehicle which took place the previous day on 28 September 2019. Pursuant to the death of their daughter, the respondents </w:t>
      </w:r>
      <w:r w:rsidR="00DA306C">
        <w:rPr>
          <w:rFonts w:ascii="Arial" w:hAnsi="Arial" w:cs="Arial"/>
          <w:sz w:val="24"/>
          <w:szCs w:val="24"/>
        </w:rPr>
        <w:t>(</w:t>
      </w:r>
      <w:r>
        <w:rPr>
          <w:rFonts w:ascii="Arial" w:hAnsi="Arial" w:cs="Arial"/>
          <w:sz w:val="24"/>
          <w:szCs w:val="24"/>
        </w:rPr>
        <w:t>plaintiffs</w:t>
      </w:r>
      <w:r w:rsidR="00DA306C">
        <w:rPr>
          <w:rFonts w:ascii="Arial" w:hAnsi="Arial" w:cs="Arial"/>
          <w:sz w:val="24"/>
          <w:szCs w:val="24"/>
        </w:rPr>
        <w:t>)</w:t>
      </w:r>
      <w:r>
        <w:rPr>
          <w:rFonts w:ascii="Arial" w:hAnsi="Arial" w:cs="Arial"/>
          <w:sz w:val="24"/>
          <w:szCs w:val="24"/>
        </w:rPr>
        <w:t xml:space="preserve"> instituted a</w:t>
      </w:r>
      <w:r w:rsidR="00B177CA">
        <w:rPr>
          <w:rFonts w:ascii="Arial" w:hAnsi="Arial" w:cs="Arial"/>
          <w:sz w:val="24"/>
          <w:szCs w:val="24"/>
        </w:rPr>
        <w:t xml:space="preserve"> claim </w:t>
      </w:r>
      <w:r w:rsidR="00DA306C">
        <w:rPr>
          <w:rFonts w:ascii="Arial" w:hAnsi="Arial" w:cs="Arial"/>
          <w:sz w:val="24"/>
          <w:szCs w:val="24"/>
        </w:rPr>
        <w:t xml:space="preserve">against the applicant (defendant) </w:t>
      </w:r>
      <w:r w:rsidR="00B177CA">
        <w:rPr>
          <w:rFonts w:ascii="Arial" w:hAnsi="Arial" w:cs="Arial"/>
          <w:sz w:val="24"/>
          <w:szCs w:val="24"/>
        </w:rPr>
        <w:t xml:space="preserve">for loss of support in the amount of R2 million on the grounds that </w:t>
      </w:r>
      <w:r w:rsidR="00DA306C">
        <w:rPr>
          <w:rFonts w:ascii="Arial" w:hAnsi="Arial" w:cs="Arial"/>
          <w:sz w:val="24"/>
          <w:szCs w:val="24"/>
        </w:rPr>
        <w:t xml:space="preserve">at the time of her death the deceased supported the plaintiffs financially and her </w:t>
      </w:r>
      <w:r w:rsidR="00DA306C">
        <w:rPr>
          <w:rFonts w:ascii="Arial" w:hAnsi="Arial" w:cs="Arial"/>
          <w:sz w:val="24"/>
          <w:szCs w:val="24"/>
        </w:rPr>
        <w:lastRenderedPageBreak/>
        <w:t xml:space="preserve">death was caused by the negligence of the defendant’s employees </w:t>
      </w:r>
      <w:r w:rsidR="00433B99">
        <w:rPr>
          <w:rFonts w:ascii="Arial" w:hAnsi="Arial" w:cs="Arial"/>
          <w:sz w:val="24"/>
          <w:szCs w:val="24"/>
        </w:rPr>
        <w:t>namely</w:t>
      </w:r>
      <w:r w:rsidR="00DA306C">
        <w:rPr>
          <w:rFonts w:ascii="Arial" w:hAnsi="Arial" w:cs="Arial"/>
          <w:sz w:val="24"/>
          <w:szCs w:val="24"/>
        </w:rPr>
        <w:t xml:space="preserve">: the medical and nursing staff who attended to the deceased after she was injured and during her hospitalization at </w:t>
      </w:r>
      <w:r w:rsidR="00DA306C" w:rsidRPr="003A7662">
        <w:rPr>
          <w:rFonts w:ascii="Arial" w:hAnsi="Arial" w:cs="Arial"/>
          <w:sz w:val="24"/>
          <w:szCs w:val="24"/>
        </w:rPr>
        <w:t>Thebe Hospital</w:t>
      </w:r>
      <w:r w:rsidR="00DA306C" w:rsidRPr="00953DA5">
        <w:rPr>
          <w:rFonts w:ascii="Arial" w:hAnsi="Arial" w:cs="Arial"/>
          <w:sz w:val="24"/>
          <w:szCs w:val="24"/>
        </w:rPr>
        <w:t xml:space="preserve"> </w:t>
      </w:r>
      <w:r w:rsidR="00DA306C">
        <w:rPr>
          <w:rFonts w:ascii="Arial" w:hAnsi="Arial" w:cs="Arial"/>
          <w:sz w:val="24"/>
          <w:szCs w:val="24"/>
        </w:rPr>
        <w:t xml:space="preserve">from where she was transferred to </w:t>
      </w:r>
      <w:proofErr w:type="spellStart"/>
      <w:r w:rsidR="00DA306C" w:rsidRPr="003A7662">
        <w:rPr>
          <w:rFonts w:ascii="Arial" w:hAnsi="Arial" w:cs="Arial"/>
          <w:sz w:val="24"/>
          <w:szCs w:val="24"/>
        </w:rPr>
        <w:t>Pelonomi</w:t>
      </w:r>
      <w:proofErr w:type="spellEnd"/>
      <w:r w:rsidR="00DA306C" w:rsidRPr="003A7662">
        <w:rPr>
          <w:rFonts w:ascii="Arial" w:hAnsi="Arial" w:cs="Arial"/>
          <w:sz w:val="24"/>
          <w:szCs w:val="24"/>
        </w:rPr>
        <w:t xml:space="preserve"> hospital where she passed away</w:t>
      </w:r>
      <w:r w:rsidR="00DA306C">
        <w:rPr>
          <w:rFonts w:ascii="Arial" w:hAnsi="Arial" w:cs="Arial"/>
          <w:sz w:val="24"/>
          <w:szCs w:val="24"/>
        </w:rPr>
        <w:t xml:space="preserve">. </w:t>
      </w:r>
    </w:p>
    <w:p w14:paraId="2A25953A" w14:textId="77777777" w:rsidR="00B177CA" w:rsidRDefault="00B177CA" w:rsidP="00592DDE">
      <w:pPr>
        <w:spacing w:after="0" w:line="360" w:lineRule="auto"/>
        <w:ind w:left="720" w:hanging="720"/>
        <w:jc w:val="both"/>
        <w:rPr>
          <w:rFonts w:ascii="Arial" w:hAnsi="Arial" w:cs="Arial"/>
          <w:sz w:val="24"/>
          <w:szCs w:val="24"/>
        </w:rPr>
      </w:pPr>
    </w:p>
    <w:p w14:paraId="607DC3BF" w14:textId="0E7FF5E8" w:rsidR="00391545" w:rsidRDefault="00B177CA" w:rsidP="00FE2CDF">
      <w:pPr>
        <w:spacing w:after="0" w:line="360" w:lineRule="auto"/>
        <w:ind w:left="720" w:hanging="720"/>
        <w:jc w:val="both"/>
        <w:rPr>
          <w:rFonts w:ascii="Arial" w:hAnsi="Arial" w:cs="Arial"/>
          <w:sz w:val="24"/>
          <w:szCs w:val="24"/>
          <w:lang w:val="en-GB"/>
        </w:rPr>
      </w:pPr>
      <w:r>
        <w:rPr>
          <w:rFonts w:ascii="Arial" w:hAnsi="Arial" w:cs="Arial"/>
          <w:sz w:val="24"/>
          <w:szCs w:val="24"/>
        </w:rPr>
        <w:t>[2]</w:t>
      </w:r>
      <w:r>
        <w:rPr>
          <w:rFonts w:ascii="Arial" w:hAnsi="Arial" w:cs="Arial"/>
          <w:sz w:val="24"/>
          <w:szCs w:val="24"/>
        </w:rPr>
        <w:tab/>
        <w:t xml:space="preserve">The </w:t>
      </w:r>
      <w:r w:rsidR="00DA306C">
        <w:rPr>
          <w:rFonts w:ascii="Arial" w:hAnsi="Arial" w:cs="Arial"/>
          <w:sz w:val="24"/>
          <w:szCs w:val="24"/>
        </w:rPr>
        <w:t>claim w</w:t>
      </w:r>
      <w:r>
        <w:rPr>
          <w:rFonts w:ascii="Arial" w:hAnsi="Arial" w:cs="Arial"/>
          <w:sz w:val="24"/>
          <w:szCs w:val="24"/>
        </w:rPr>
        <w:t xml:space="preserve">as defended by the </w:t>
      </w:r>
      <w:r w:rsidR="00DA306C">
        <w:rPr>
          <w:rFonts w:ascii="Arial" w:hAnsi="Arial" w:cs="Arial"/>
          <w:sz w:val="24"/>
          <w:szCs w:val="24"/>
        </w:rPr>
        <w:t xml:space="preserve">defendant.  </w:t>
      </w:r>
      <w:r>
        <w:rPr>
          <w:rFonts w:ascii="Arial" w:hAnsi="Arial" w:cs="Arial"/>
          <w:color w:val="000000"/>
          <w:sz w:val="24"/>
          <w:szCs w:val="24"/>
        </w:rPr>
        <w:t xml:space="preserve">At the close of the pleadings the plaintiffs </w:t>
      </w:r>
      <w:r w:rsidR="004A664A" w:rsidRPr="00391545">
        <w:rPr>
          <w:rFonts w:ascii="Arial" w:hAnsi="Arial" w:cs="Arial"/>
          <w:color w:val="000000"/>
          <w:sz w:val="24"/>
          <w:szCs w:val="24"/>
        </w:rPr>
        <w:t xml:space="preserve">delivered their discovery affidavits on </w:t>
      </w:r>
      <w:r w:rsidR="004A664A" w:rsidRPr="00391545">
        <w:rPr>
          <w:rFonts w:ascii="Arial" w:hAnsi="Arial" w:cs="Arial"/>
          <w:sz w:val="24"/>
          <w:szCs w:val="24"/>
        </w:rPr>
        <w:t xml:space="preserve">21 January 2022 </w:t>
      </w:r>
      <w:r w:rsidR="004A664A" w:rsidRPr="00391545">
        <w:rPr>
          <w:rFonts w:ascii="Arial" w:hAnsi="Arial" w:cs="Arial"/>
          <w:color w:val="000000"/>
          <w:sz w:val="24"/>
          <w:szCs w:val="24"/>
        </w:rPr>
        <w:t xml:space="preserve">which the defendant found to be inadequate as </w:t>
      </w:r>
      <w:r w:rsidR="00FE2CDF">
        <w:rPr>
          <w:rFonts w:ascii="Arial" w:hAnsi="Arial" w:cs="Arial"/>
          <w:color w:val="000000"/>
          <w:sz w:val="24"/>
          <w:szCs w:val="24"/>
        </w:rPr>
        <w:t xml:space="preserve">a result </w:t>
      </w:r>
      <w:r w:rsidR="00391545" w:rsidRPr="00391545">
        <w:rPr>
          <w:rFonts w:ascii="Arial" w:hAnsi="Arial" w:cs="Arial"/>
          <w:color w:val="000000"/>
          <w:sz w:val="24"/>
          <w:szCs w:val="24"/>
        </w:rPr>
        <w:t xml:space="preserve">on 5 May 2022 the defendant served the plaintiffs with a notice in terms of rule 35(1) </w:t>
      </w:r>
      <w:r w:rsidR="00391545" w:rsidRPr="00391545">
        <w:rPr>
          <w:rFonts w:ascii="Arial" w:hAnsi="Arial" w:cs="Arial"/>
          <w:sz w:val="24"/>
          <w:szCs w:val="24"/>
          <w:lang w:val="en-GB"/>
        </w:rPr>
        <w:t>of the Uniform Rules of Court</w:t>
      </w:r>
      <w:r w:rsidR="00391545">
        <w:rPr>
          <w:rFonts w:ascii="Arial" w:hAnsi="Arial" w:cs="Arial"/>
          <w:sz w:val="24"/>
          <w:szCs w:val="24"/>
          <w:lang w:val="en-GB"/>
        </w:rPr>
        <w:t xml:space="preserve"> (the rules)</w:t>
      </w:r>
      <w:r w:rsidR="00212F3A">
        <w:rPr>
          <w:rFonts w:ascii="Arial" w:hAnsi="Arial" w:cs="Arial"/>
          <w:sz w:val="24"/>
          <w:szCs w:val="24"/>
          <w:lang w:val="en-GB"/>
        </w:rPr>
        <w:t xml:space="preserve">. The plaintiffs were requested to discover the </w:t>
      </w:r>
      <w:r w:rsidR="00391545">
        <w:rPr>
          <w:rFonts w:ascii="Arial" w:hAnsi="Arial" w:cs="Arial"/>
          <w:sz w:val="24"/>
          <w:szCs w:val="24"/>
          <w:lang w:val="en-GB"/>
        </w:rPr>
        <w:t xml:space="preserve">following </w:t>
      </w:r>
      <w:r w:rsidR="00212F3A">
        <w:rPr>
          <w:rFonts w:ascii="Arial" w:hAnsi="Arial" w:cs="Arial"/>
          <w:sz w:val="24"/>
          <w:szCs w:val="24"/>
          <w:lang w:val="en-GB"/>
        </w:rPr>
        <w:t>documents</w:t>
      </w:r>
      <w:r w:rsidR="00FE2CDF">
        <w:rPr>
          <w:rFonts w:ascii="Arial" w:hAnsi="Arial" w:cs="Arial"/>
          <w:sz w:val="24"/>
          <w:szCs w:val="24"/>
          <w:lang w:val="en-GB"/>
        </w:rPr>
        <w:t>:</w:t>
      </w:r>
    </w:p>
    <w:p w14:paraId="119ECB7F" w14:textId="77777777" w:rsidR="00FE2CDF" w:rsidRDefault="00FE2CDF" w:rsidP="00FE2CDF">
      <w:pPr>
        <w:spacing w:after="0" w:line="360" w:lineRule="auto"/>
        <w:ind w:left="720" w:hanging="720"/>
        <w:jc w:val="both"/>
        <w:rPr>
          <w:rFonts w:ascii="Arial" w:hAnsi="Arial" w:cs="Arial"/>
          <w:sz w:val="24"/>
          <w:szCs w:val="24"/>
          <w:lang w:val="en-GB"/>
        </w:rPr>
      </w:pPr>
    </w:p>
    <w:p w14:paraId="573FAB3B" w14:textId="084B7BBC" w:rsidR="00391545" w:rsidRPr="00DA306C" w:rsidRDefault="00391545" w:rsidP="00391545">
      <w:pPr>
        <w:spacing w:after="0" w:line="276" w:lineRule="auto"/>
        <w:ind w:left="630" w:hanging="851"/>
        <w:jc w:val="both"/>
        <w:rPr>
          <w:rFonts w:ascii="Arial" w:hAnsi="Arial" w:cs="Arial"/>
          <w:i/>
          <w:sz w:val="20"/>
          <w:szCs w:val="20"/>
        </w:rPr>
      </w:pPr>
      <w:r>
        <w:rPr>
          <w:rFonts w:ascii="Arial" w:hAnsi="Arial" w:cs="Arial"/>
          <w:sz w:val="24"/>
          <w:szCs w:val="24"/>
          <w:lang w:val="en-GB"/>
        </w:rPr>
        <w:tab/>
        <w:t xml:space="preserve"> </w:t>
      </w:r>
      <w:r>
        <w:rPr>
          <w:rFonts w:ascii="Arial" w:hAnsi="Arial" w:cs="Arial"/>
          <w:sz w:val="24"/>
          <w:szCs w:val="24"/>
          <w:lang w:val="en-GB"/>
        </w:rPr>
        <w:tab/>
      </w:r>
      <w:r>
        <w:rPr>
          <w:rFonts w:ascii="Arial" w:hAnsi="Arial" w:cs="Arial"/>
          <w:sz w:val="24"/>
          <w:szCs w:val="24"/>
          <w:lang w:val="en-GB"/>
        </w:rPr>
        <w:tab/>
      </w:r>
      <w:r w:rsidRPr="00DA306C">
        <w:rPr>
          <w:rFonts w:ascii="Arial" w:hAnsi="Arial" w:cs="Arial"/>
          <w:i/>
          <w:sz w:val="20"/>
          <w:szCs w:val="20"/>
        </w:rPr>
        <w:t>“1.</w:t>
      </w:r>
      <w:r w:rsidRPr="00DA306C">
        <w:rPr>
          <w:rFonts w:ascii="Arial" w:hAnsi="Arial" w:cs="Arial"/>
          <w:i/>
          <w:sz w:val="20"/>
          <w:szCs w:val="20"/>
        </w:rPr>
        <w:tab/>
        <w:t xml:space="preserve">Payslips and/or proof of income and/or financial statements of the </w:t>
      </w:r>
      <w:proofErr w:type="gramStart"/>
      <w:r w:rsidRPr="00DA306C">
        <w:rPr>
          <w:rFonts w:ascii="Arial" w:hAnsi="Arial" w:cs="Arial"/>
          <w:i/>
          <w:sz w:val="20"/>
          <w:szCs w:val="20"/>
        </w:rPr>
        <w:t>deceased;</w:t>
      </w:r>
      <w:proofErr w:type="gramEnd"/>
    </w:p>
    <w:p w14:paraId="4098CC9A" w14:textId="77777777" w:rsidR="00391545" w:rsidRPr="00DA306C" w:rsidRDefault="00391545" w:rsidP="00391545">
      <w:pPr>
        <w:spacing w:after="0" w:line="276" w:lineRule="auto"/>
        <w:ind w:left="851" w:hanging="851"/>
        <w:jc w:val="both"/>
        <w:rPr>
          <w:rFonts w:ascii="Arial" w:hAnsi="Arial" w:cs="Arial"/>
          <w:i/>
          <w:sz w:val="20"/>
          <w:szCs w:val="20"/>
        </w:rPr>
      </w:pPr>
    </w:p>
    <w:p w14:paraId="40EE0570" w14:textId="02A264C9" w:rsidR="00391545" w:rsidRPr="00DA306C" w:rsidRDefault="00391545" w:rsidP="00391545">
      <w:pPr>
        <w:spacing w:after="0" w:line="276" w:lineRule="auto"/>
        <w:ind w:left="2160" w:hanging="720"/>
        <w:jc w:val="both"/>
        <w:rPr>
          <w:rFonts w:ascii="Arial" w:hAnsi="Arial" w:cs="Arial"/>
          <w:i/>
          <w:sz w:val="20"/>
          <w:szCs w:val="20"/>
        </w:rPr>
      </w:pPr>
      <w:r w:rsidRPr="00DA306C">
        <w:rPr>
          <w:rFonts w:ascii="Arial" w:hAnsi="Arial" w:cs="Arial"/>
          <w:i/>
          <w:sz w:val="20"/>
          <w:szCs w:val="20"/>
        </w:rPr>
        <w:t>2.</w:t>
      </w:r>
      <w:r w:rsidRPr="00DA306C">
        <w:rPr>
          <w:rFonts w:ascii="Arial" w:hAnsi="Arial" w:cs="Arial"/>
          <w:i/>
          <w:sz w:val="20"/>
          <w:szCs w:val="20"/>
        </w:rPr>
        <w:tab/>
        <w:t xml:space="preserve">Payslips and/or proof of income and/or financial statements of the first and second </w:t>
      </w:r>
      <w:proofErr w:type="gramStart"/>
      <w:r w:rsidRPr="00DA306C">
        <w:rPr>
          <w:rFonts w:ascii="Arial" w:hAnsi="Arial" w:cs="Arial"/>
          <w:i/>
          <w:sz w:val="20"/>
          <w:szCs w:val="20"/>
        </w:rPr>
        <w:t>plaintiff;</w:t>
      </w:r>
      <w:proofErr w:type="gramEnd"/>
    </w:p>
    <w:p w14:paraId="06537D32" w14:textId="77777777" w:rsidR="00391545" w:rsidRPr="00DA306C" w:rsidRDefault="00391545" w:rsidP="00391545">
      <w:pPr>
        <w:spacing w:after="0" w:line="276" w:lineRule="auto"/>
        <w:ind w:left="1440" w:hanging="590"/>
        <w:jc w:val="both"/>
        <w:rPr>
          <w:rFonts w:ascii="Arial" w:hAnsi="Arial" w:cs="Arial"/>
          <w:i/>
          <w:sz w:val="20"/>
          <w:szCs w:val="20"/>
        </w:rPr>
      </w:pPr>
    </w:p>
    <w:p w14:paraId="4BF6A308" w14:textId="77777777" w:rsidR="00391545" w:rsidRPr="00DA306C" w:rsidRDefault="00391545" w:rsidP="00391545">
      <w:pPr>
        <w:spacing w:after="0" w:line="276" w:lineRule="auto"/>
        <w:ind w:left="2160" w:hanging="720"/>
        <w:jc w:val="both"/>
        <w:rPr>
          <w:rFonts w:ascii="Arial" w:hAnsi="Arial" w:cs="Arial"/>
          <w:i/>
          <w:sz w:val="20"/>
          <w:szCs w:val="20"/>
        </w:rPr>
      </w:pPr>
      <w:r w:rsidRPr="00DA306C">
        <w:rPr>
          <w:rFonts w:ascii="Arial" w:hAnsi="Arial" w:cs="Arial"/>
          <w:i/>
          <w:sz w:val="20"/>
          <w:szCs w:val="20"/>
        </w:rPr>
        <w:t>3.</w:t>
      </w:r>
      <w:r w:rsidRPr="00DA306C">
        <w:rPr>
          <w:rFonts w:ascii="Arial" w:hAnsi="Arial" w:cs="Arial"/>
          <w:i/>
          <w:sz w:val="20"/>
          <w:szCs w:val="20"/>
        </w:rPr>
        <w:tab/>
        <w:t>Proof of employment of the deceased (the hospital admission documents reflect the deceased as unemployed</w:t>
      </w:r>
      <w:proofErr w:type="gramStart"/>
      <w:r w:rsidRPr="00DA306C">
        <w:rPr>
          <w:rFonts w:ascii="Arial" w:hAnsi="Arial" w:cs="Arial"/>
          <w:i/>
          <w:sz w:val="20"/>
          <w:szCs w:val="20"/>
        </w:rPr>
        <w:t>);</w:t>
      </w:r>
      <w:proofErr w:type="gramEnd"/>
    </w:p>
    <w:p w14:paraId="4FD948C4" w14:textId="77777777" w:rsidR="00391545" w:rsidRPr="00DA306C" w:rsidRDefault="00391545" w:rsidP="00391545">
      <w:pPr>
        <w:spacing w:after="0" w:line="276" w:lineRule="auto"/>
        <w:ind w:left="1440" w:hanging="590"/>
        <w:jc w:val="both"/>
        <w:rPr>
          <w:rFonts w:ascii="Arial" w:hAnsi="Arial" w:cs="Arial"/>
          <w:i/>
          <w:sz w:val="20"/>
          <w:szCs w:val="20"/>
        </w:rPr>
      </w:pPr>
    </w:p>
    <w:p w14:paraId="5DC95F64" w14:textId="77777777" w:rsidR="00391545" w:rsidRPr="00DA306C" w:rsidRDefault="00391545" w:rsidP="00391545">
      <w:pPr>
        <w:spacing w:after="0" w:line="276" w:lineRule="auto"/>
        <w:ind w:left="2160" w:hanging="720"/>
        <w:jc w:val="both"/>
        <w:rPr>
          <w:rFonts w:ascii="Arial" w:hAnsi="Arial" w:cs="Arial"/>
          <w:i/>
          <w:sz w:val="20"/>
          <w:szCs w:val="20"/>
        </w:rPr>
      </w:pPr>
      <w:r w:rsidRPr="00DA306C">
        <w:rPr>
          <w:rFonts w:ascii="Arial" w:hAnsi="Arial" w:cs="Arial"/>
          <w:i/>
          <w:sz w:val="20"/>
          <w:szCs w:val="20"/>
        </w:rPr>
        <w:t>4.</w:t>
      </w:r>
      <w:r w:rsidRPr="00DA306C">
        <w:rPr>
          <w:rFonts w:ascii="Arial" w:hAnsi="Arial" w:cs="Arial"/>
          <w:i/>
          <w:sz w:val="20"/>
          <w:szCs w:val="20"/>
        </w:rPr>
        <w:tab/>
        <w:t xml:space="preserve">Proof of the relationship between the deceased and the first and second </w:t>
      </w:r>
      <w:proofErr w:type="gramStart"/>
      <w:r w:rsidRPr="00DA306C">
        <w:rPr>
          <w:rFonts w:ascii="Arial" w:hAnsi="Arial" w:cs="Arial"/>
          <w:i/>
          <w:sz w:val="20"/>
          <w:szCs w:val="20"/>
        </w:rPr>
        <w:t>plaintiffs;</w:t>
      </w:r>
      <w:proofErr w:type="gramEnd"/>
    </w:p>
    <w:p w14:paraId="115D7784" w14:textId="77777777" w:rsidR="00391545" w:rsidRPr="00DA306C" w:rsidRDefault="00391545" w:rsidP="00391545">
      <w:pPr>
        <w:spacing w:after="0" w:line="276" w:lineRule="auto"/>
        <w:ind w:left="1440" w:hanging="590"/>
        <w:jc w:val="both"/>
        <w:rPr>
          <w:rFonts w:ascii="Arial" w:hAnsi="Arial" w:cs="Arial"/>
          <w:i/>
          <w:sz w:val="20"/>
          <w:szCs w:val="20"/>
        </w:rPr>
      </w:pPr>
    </w:p>
    <w:p w14:paraId="49BEC3EA" w14:textId="53328179" w:rsidR="00391545" w:rsidRPr="00DA306C" w:rsidRDefault="00592303" w:rsidP="00592303">
      <w:pPr>
        <w:tabs>
          <w:tab w:val="left" w:pos="1350"/>
        </w:tabs>
        <w:spacing w:after="0" w:line="276" w:lineRule="auto"/>
        <w:ind w:left="2160" w:hanging="1440"/>
        <w:jc w:val="both"/>
        <w:rPr>
          <w:rFonts w:ascii="Arial" w:hAnsi="Arial" w:cs="Arial"/>
          <w:i/>
          <w:sz w:val="20"/>
          <w:szCs w:val="20"/>
        </w:rPr>
      </w:pPr>
      <w:r w:rsidRPr="00DA306C">
        <w:rPr>
          <w:rFonts w:ascii="Arial" w:hAnsi="Arial" w:cs="Arial"/>
          <w:i/>
          <w:sz w:val="20"/>
          <w:szCs w:val="20"/>
        </w:rPr>
        <w:tab/>
      </w:r>
      <w:r w:rsidR="00391545" w:rsidRPr="00DA306C">
        <w:rPr>
          <w:rFonts w:ascii="Arial" w:hAnsi="Arial" w:cs="Arial"/>
          <w:i/>
          <w:sz w:val="20"/>
          <w:szCs w:val="20"/>
        </w:rPr>
        <w:t>5.</w:t>
      </w:r>
      <w:r w:rsidR="00391545" w:rsidRPr="00DA306C">
        <w:rPr>
          <w:rFonts w:ascii="Arial" w:hAnsi="Arial" w:cs="Arial"/>
          <w:i/>
          <w:sz w:val="20"/>
          <w:szCs w:val="20"/>
        </w:rPr>
        <w:tab/>
        <w:t>Confirmation of whether there was a RAF claim for loss of support and if so, all the documentation regarding such a claim.</w:t>
      </w:r>
    </w:p>
    <w:p w14:paraId="4CA9B54D" w14:textId="7886E9B9" w:rsidR="00391545" w:rsidRPr="00391545" w:rsidRDefault="00391545" w:rsidP="00391545">
      <w:pPr>
        <w:spacing w:after="0" w:line="360" w:lineRule="auto"/>
        <w:ind w:left="1440" w:hanging="590"/>
        <w:jc w:val="both"/>
        <w:rPr>
          <w:rFonts w:ascii="Arial" w:hAnsi="Arial" w:cs="Arial"/>
          <w:color w:val="000000"/>
          <w:sz w:val="24"/>
          <w:szCs w:val="24"/>
        </w:rPr>
      </w:pPr>
    </w:p>
    <w:p w14:paraId="13845678" w14:textId="1B585677" w:rsidR="00391545" w:rsidRPr="00C702D8" w:rsidRDefault="00592303" w:rsidP="000C1640">
      <w:pPr>
        <w:spacing w:after="0" w:line="360" w:lineRule="auto"/>
        <w:ind w:left="720" w:hanging="720"/>
        <w:jc w:val="both"/>
        <w:rPr>
          <w:rFonts w:ascii="Arial" w:hAnsi="Arial" w:cs="Arial"/>
          <w:sz w:val="24"/>
          <w:szCs w:val="24"/>
        </w:rPr>
      </w:pPr>
      <w:r>
        <w:rPr>
          <w:rFonts w:ascii="Arial" w:hAnsi="Arial" w:cs="Arial"/>
          <w:color w:val="000000"/>
          <w:sz w:val="24"/>
          <w:szCs w:val="24"/>
        </w:rPr>
        <w:t>[</w:t>
      </w:r>
      <w:r w:rsidR="00433B99">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FE2CDF">
        <w:rPr>
          <w:rFonts w:ascii="Arial" w:hAnsi="Arial" w:cs="Arial"/>
          <w:color w:val="000000"/>
          <w:sz w:val="24"/>
          <w:szCs w:val="24"/>
        </w:rPr>
        <w:t>Pursuant to the defendant’s r</w:t>
      </w:r>
      <w:r w:rsidR="00FE2CDF" w:rsidRPr="00391545">
        <w:rPr>
          <w:rFonts w:ascii="Arial" w:hAnsi="Arial" w:cs="Arial"/>
          <w:color w:val="000000"/>
          <w:sz w:val="24"/>
          <w:szCs w:val="24"/>
        </w:rPr>
        <w:t xml:space="preserve">ule 35(1) </w:t>
      </w:r>
      <w:r w:rsidR="00FE2CDF">
        <w:rPr>
          <w:rFonts w:ascii="Arial" w:hAnsi="Arial" w:cs="Arial"/>
          <w:color w:val="000000"/>
          <w:sz w:val="24"/>
          <w:szCs w:val="24"/>
        </w:rPr>
        <w:t>notice, the plaintiffs only discovered the information listed under item 4</w:t>
      </w:r>
      <w:r w:rsidR="00DA306C">
        <w:rPr>
          <w:rFonts w:ascii="Arial" w:hAnsi="Arial" w:cs="Arial"/>
          <w:color w:val="000000"/>
          <w:sz w:val="24"/>
          <w:szCs w:val="24"/>
        </w:rPr>
        <w:t xml:space="preserve"> namely, </w:t>
      </w:r>
      <w:r w:rsidR="00FE2CDF">
        <w:rPr>
          <w:rFonts w:ascii="Arial" w:hAnsi="Arial" w:cs="Arial"/>
          <w:color w:val="000000"/>
          <w:sz w:val="24"/>
          <w:szCs w:val="24"/>
        </w:rPr>
        <w:t>the deceased’s unabridged birth certificate</w:t>
      </w:r>
      <w:r w:rsidR="00DA306C">
        <w:rPr>
          <w:rFonts w:ascii="Arial" w:hAnsi="Arial" w:cs="Arial"/>
          <w:color w:val="000000"/>
          <w:sz w:val="24"/>
          <w:szCs w:val="24"/>
        </w:rPr>
        <w:t xml:space="preserve">. </w:t>
      </w:r>
      <w:r w:rsidR="00C702D8">
        <w:rPr>
          <w:rFonts w:ascii="Arial" w:hAnsi="Arial" w:cs="Arial"/>
          <w:sz w:val="24"/>
          <w:szCs w:val="24"/>
        </w:rPr>
        <w:t xml:space="preserve">It is in that regard that the defendant </w:t>
      </w:r>
      <w:r w:rsidR="00FE2CDF">
        <w:rPr>
          <w:rFonts w:ascii="Arial" w:hAnsi="Arial" w:cs="Arial"/>
          <w:sz w:val="24"/>
          <w:szCs w:val="24"/>
        </w:rPr>
        <w:t xml:space="preserve">has </w:t>
      </w:r>
      <w:r w:rsidR="00C702D8">
        <w:rPr>
          <w:rFonts w:ascii="Arial" w:hAnsi="Arial" w:cs="Arial"/>
          <w:sz w:val="24"/>
          <w:szCs w:val="24"/>
        </w:rPr>
        <w:t>launched these proceedings in terms of rule 35(3) seeking an order</w:t>
      </w:r>
      <w:r w:rsidR="00204DD4">
        <w:rPr>
          <w:rFonts w:ascii="Arial" w:hAnsi="Arial" w:cs="Arial"/>
          <w:sz w:val="24"/>
          <w:szCs w:val="24"/>
        </w:rPr>
        <w:t xml:space="preserve"> to compel t</w:t>
      </w:r>
      <w:r w:rsidR="00C702D8">
        <w:rPr>
          <w:rFonts w:ascii="Arial" w:hAnsi="Arial" w:cs="Arial"/>
          <w:sz w:val="24"/>
          <w:szCs w:val="24"/>
        </w:rPr>
        <w:t xml:space="preserve">he plaintiffs to </w:t>
      </w:r>
      <w:r w:rsidR="00811F56">
        <w:rPr>
          <w:rFonts w:ascii="Arial" w:hAnsi="Arial" w:cs="Arial"/>
          <w:sz w:val="24"/>
          <w:szCs w:val="24"/>
        </w:rPr>
        <w:t xml:space="preserve">produce </w:t>
      </w:r>
      <w:r w:rsidR="00C702D8">
        <w:rPr>
          <w:rFonts w:ascii="Arial" w:hAnsi="Arial" w:cs="Arial"/>
          <w:sz w:val="24"/>
          <w:szCs w:val="24"/>
        </w:rPr>
        <w:t>the remaining information.</w:t>
      </w:r>
    </w:p>
    <w:p w14:paraId="0649D077" w14:textId="77777777" w:rsidR="00391545" w:rsidRDefault="00391545" w:rsidP="004A664A">
      <w:pPr>
        <w:spacing w:after="0" w:line="360" w:lineRule="auto"/>
        <w:ind w:left="1440" w:hanging="590"/>
        <w:jc w:val="both"/>
        <w:rPr>
          <w:rFonts w:ascii="Arial" w:hAnsi="Arial" w:cs="Arial"/>
          <w:color w:val="000000"/>
          <w:sz w:val="24"/>
          <w:szCs w:val="24"/>
        </w:rPr>
      </w:pPr>
    </w:p>
    <w:p w14:paraId="25524F61" w14:textId="6CF051A7" w:rsidR="00E670C9" w:rsidRPr="00E670C9" w:rsidRDefault="00C702D8" w:rsidP="00E670C9">
      <w:pPr>
        <w:pStyle w:val="FootnoteText"/>
        <w:spacing w:line="360" w:lineRule="auto"/>
        <w:ind w:left="720" w:hanging="720"/>
        <w:jc w:val="both"/>
        <w:rPr>
          <w:rFonts w:ascii="Arial" w:hAnsi="Arial" w:cs="Arial"/>
          <w:sz w:val="24"/>
          <w:szCs w:val="24"/>
        </w:rPr>
      </w:pPr>
      <w:r>
        <w:rPr>
          <w:rFonts w:ascii="Arial" w:hAnsi="Arial" w:cs="Arial"/>
          <w:color w:val="000000"/>
          <w:sz w:val="24"/>
          <w:szCs w:val="24"/>
        </w:rPr>
        <w:t>[</w:t>
      </w:r>
      <w:r w:rsidR="00433B99">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B04D8C" w:rsidRPr="00E670C9">
        <w:rPr>
          <w:rFonts w:ascii="Arial" w:hAnsi="Arial" w:cs="Arial"/>
          <w:color w:val="000000"/>
          <w:sz w:val="24"/>
          <w:szCs w:val="24"/>
        </w:rPr>
        <w:t xml:space="preserve">The provisions of rule </w:t>
      </w:r>
      <w:r w:rsidR="00B04D8C" w:rsidRPr="00E670C9">
        <w:rPr>
          <w:rFonts w:ascii="Arial" w:hAnsi="Arial" w:cs="Arial"/>
          <w:color w:val="000000" w:themeColor="text1"/>
          <w:sz w:val="24"/>
          <w:szCs w:val="24"/>
        </w:rPr>
        <w:t xml:space="preserve">35(3) are trite: </w:t>
      </w:r>
      <w:r w:rsidR="00E670C9" w:rsidRPr="00E670C9">
        <w:rPr>
          <w:rFonts w:ascii="Arial" w:hAnsi="Arial" w:cs="Arial"/>
          <w:color w:val="000000" w:themeColor="text1"/>
          <w:sz w:val="24"/>
          <w:szCs w:val="24"/>
        </w:rPr>
        <w:t xml:space="preserve">upon the request of an opponent, a party to an action is required </w:t>
      </w:r>
      <w:r w:rsidR="00E670C9" w:rsidRPr="00E670C9">
        <w:rPr>
          <w:rFonts w:ascii="Arial" w:hAnsi="Arial" w:cs="Arial"/>
          <w:sz w:val="24"/>
          <w:szCs w:val="24"/>
        </w:rPr>
        <w:t>to make available for inspection documents or tape recordings discovered or disclosed which may be relevant to any matter in question in its possession or to state on oath within 10 days that such documents or tape recordings are not in such party’s possession, in which event the party making the disclosure shall state their whereabouts, if known.”</w:t>
      </w:r>
    </w:p>
    <w:p w14:paraId="532D1A36" w14:textId="77777777" w:rsidR="00E670C9" w:rsidRPr="00E670C9" w:rsidRDefault="00E670C9" w:rsidP="00B04D8C">
      <w:pPr>
        <w:pStyle w:val="FootnoteText"/>
        <w:spacing w:line="360" w:lineRule="auto"/>
        <w:ind w:left="720" w:hanging="720"/>
        <w:jc w:val="both"/>
        <w:rPr>
          <w:rFonts w:ascii="Arial" w:hAnsi="Arial" w:cs="Arial"/>
          <w:color w:val="000000" w:themeColor="text1"/>
          <w:sz w:val="24"/>
          <w:szCs w:val="24"/>
        </w:rPr>
      </w:pPr>
    </w:p>
    <w:p w14:paraId="0820451C" w14:textId="4905AC80" w:rsidR="002330AF" w:rsidRPr="00CB5EE7" w:rsidRDefault="00E670C9" w:rsidP="00433B99">
      <w:pPr>
        <w:pStyle w:val="FootnoteText"/>
        <w:tabs>
          <w:tab w:val="left" w:pos="450"/>
        </w:tabs>
        <w:spacing w:line="360" w:lineRule="auto"/>
        <w:ind w:left="450" w:hanging="540"/>
        <w:jc w:val="both"/>
        <w:rPr>
          <w:rFonts w:ascii="Arial" w:hAnsi="Arial" w:cs="Arial"/>
          <w:sz w:val="24"/>
          <w:szCs w:val="24"/>
        </w:rPr>
      </w:pPr>
      <w:r>
        <w:rPr>
          <w:rFonts w:ascii="Arial" w:hAnsi="Arial" w:cs="Arial"/>
          <w:color w:val="000000" w:themeColor="text1"/>
          <w:sz w:val="24"/>
          <w:szCs w:val="24"/>
        </w:rPr>
        <w:lastRenderedPageBreak/>
        <w:t>[</w:t>
      </w:r>
      <w:r w:rsidR="00433B99">
        <w:rPr>
          <w:rFonts w:ascii="Arial" w:hAnsi="Arial" w:cs="Arial"/>
          <w:color w:val="000000" w:themeColor="text1"/>
          <w:sz w:val="24"/>
          <w:szCs w:val="24"/>
        </w:rPr>
        <w:t>5</w:t>
      </w:r>
      <w:r>
        <w:rPr>
          <w:rFonts w:ascii="Arial" w:hAnsi="Arial" w:cs="Arial"/>
          <w:color w:val="000000" w:themeColor="text1"/>
          <w:sz w:val="24"/>
          <w:szCs w:val="24"/>
        </w:rPr>
        <w:t>]</w:t>
      </w:r>
      <w:r>
        <w:rPr>
          <w:rFonts w:ascii="Arial" w:hAnsi="Arial" w:cs="Arial"/>
          <w:color w:val="000000" w:themeColor="text1"/>
          <w:sz w:val="24"/>
          <w:szCs w:val="24"/>
        </w:rPr>
        <w:tab/>
      </w:r>
      <w:r w:rsidR="00190253" w:rsidRPr="00D21EB5">
        <w:rPr>
          <w:rFonts w:ascii="Arial" w:hAnsi="Arial" w:cs="Arial"/>
          <w:color w:val="000000" w:themeColor="text1"/>
          <w:sz w:val="24"/>
          <w:szCs w:val="24"/>
        </w:rPr>
        <w:t>I</w:t>
      </w:r>
      <w:r w:rsidR="00C702D8" w:rsidRPr="00D21EB5">
        <w:rPr>
          <w:rFonts w:ascii="Arial" w:hAnsi="Arial" w:cs="Arial"/>
          <w:color w:val="000000"/>
          <w:sz w:val="24"/>
          <w:szCs w:val="24"/>
        </w:rPr>
        <w:t xml:space="preserve">t is the defendant’s case that </w:t>
      </w:r>
      <w:r w:rsidR="009D5738" w:rsidRPr="00D21EB5">
        <w:rPr>
          <w:rFonts w:ascii="Arial" w:hAnsi="Arial" w:cs="Arial"/>
          <w:color w:val="000000"/>
          <w:sz w:val="24"/>
          <w:szCs w:val="24"/>
        </w:rPr>
        <w:t xml:space="preserve">the </w:t>
      </w:r>
      <w:r w:rsidR="00F15AE1" w:rsidRPr="00D21EB5">
        <w:rPr>
          <w:rFonts w:ascii="Arial" w:hAnsi="Arial" w:cs="Arial"/>
          <w:color w:val="000000"/>
          <w:sz w:val="24"/>
          <w:szCs w:val="24"/>
        </w:rPr>
        <w:t xml:space="preserve">production of </w:t>
      </w:r>
      <w:r w:rsidR="00DA306C" w:rsidRPr="00D21EB5">
        <w:rPr>
          <w:rFonts w:ascii="Arial" w:hAnsi="Arial" w:cs="Arial"/>
          <w:color w:val="000000"/>
          <w:sz w:val="24"/>
          <w:szCs w:val="24"/>
        </w:rPr>
        <w:t xml:space="preserve">the deceased’s </w:t>
      </w:r>
      <w:r w:rsidR="009D5738" w:rsidRPr="00D21EB5">
        <w:rPr>
          <w:rFonts w:ascii="Arial" w:hAnsi="Arial" w:cs="Arial"/>
          <w:color w:val="000000"/>
          <w:sz w:val="24"/>
          <w:szCs w:val="24"/>
        </w:rPr>
        <w:t xml:space="preserve">proof of income and that of the plaintiffs </w:t>
      </w:r>
      <w:r w:rsidR="00DA306C" w:rsidRPr="00D21EB5">
        <w:rPr>
          <w:rFonts w:ascii="Arial" w:hAnsi="Arial" w:cs="Arial"/>
          <w:color w:val="000000"/>
          <w:sz w:val="24"/>
          <w:szCs w:val="24"/>
        </w:rPr>
        <w:t>and</w:t>
      </w:r>
      <w:r w:rsidR="009D5738" w:rsidRPr="00D21EB5">
        <w:rPr>
          <w:rFonts w:ascii="Arial" w:hAnsi="Arial" w:cs="Arial"/>
          <w:color w:val="000000"/>
          <w:sz w:val="24"/>
          <w:szCs w:val="24"/>
        </w:rPr>
        <w:t xml:space="preserve"> their financial records is</w:t>
      </w:r>
      <w:r w:rsidR="00F15AE1" w:rsidRPr="00D21EB5">
        <w:rPr>
          <w:rFonts w:ascii="Arial" w:hAnsi="Arial" w:cs="Arial"/>
          <w:color w:val="000000"/>
          <w:sz w:val="24"/>
          <w:szCs w:val="24"/>
        </w:rPr>
        <w:t xml:space="preserve"> relevant </w:t>
      </w:r>
      <w:r w:rsidR="00D21EB5" w:rsidRPr="00D21EB5">
        <w:rPr>
          <w:rFonts w:ascii="Arial" w:hAnsi="Arial" w:cs="Arial"/>
          <w:sz w:val="24"/>
          <w:szCs w:val="24"/>
        </w:rPr>
        <w:t>to the matter in question</w:t>
      </w:r>
      <w:r w:rsidR="00D21EB5">
        <w:rPr>
          <w:rFonts w:ascii="Arial" w:hAnsi="Arial" w:cs="Arial"/>
          <w:sz w:val="24"/>
          <w:szCs w:val="24"/>
        </w:rPr>
        <w:t xml:space="preserve">. </w:t>
      </w:r>
      <w:r w:rsidR="00CB5EE7" w:rsidRPr="00D21EB5">
        <w:rPr>
          <w:rFonts w:ascii="Arial" w:hAnsi="Arial" w:cs="Arial"/>
          <w:color w:val="000000"/>
          <w:sz w:val="24"/>
          <w:szCs w:val="24"/>
        </w:rPr>
        <w:t xml:space="preserve">So far, the plaintiff has </w:t>
      </w:r>
      <w:r w:rsidR="00D21EB5">
        <w:rPr>
          <w:rFonts w:ascii="Arial" w:hAnsi="Arial" w:cs="Arial"/>
          <w:color w:val="000000"/>
          <w:sz w:val="24"/>
          <w:szCs w:val="24"/>
        </w:rPr>
        <w:t xml:space="preserve">only </w:t>
      </w:r>
      <w:r w:rsidR="00CB5EE7" w:rsidRPr="00D21EB5">
        <w:rPr>
          <w:rFonts w:ascii="Arial" w:hAnsi="Arial" w:cs="Arial"/>
          <w:color w:val="000000"/>
          <w:sz w:val="24"/>
          <w:szCs w:val="24"/>
        </w:rPr>
        <w:t xml:space="preserve">provided the defendant with copies of the deceased’s qualifications which do not constitute proof of her employment. Except to aver that the remainder of the information is not relevant at this stage as merits and quantum have been separated, not even an attempt was made to explain why the </w:t>
      </w:r>
      <w:r w:rsidR="00811F56">
        <w:rPr>
          <w:rFonts w:ascii="Arial" w:hAnsi="Arial" w:cs="Arial"/>
          <w:color w:val="000000"/>
          <w:sz w:val="24"/>
          <w:szCs w:val="24"/>
        </w:rPr>
        <w:t xml:space="preserve">said documents have </w:t>
      </w:r>
      <w:r w:rsidR="00211E3C" w:rsidRPr="00D21EB5">
        <w:rPr>
          <w:rFonts w:ascii="Arial" w:hAnsi="Arial" w:cs="Arial"/>
          <w:color w:val="000000"/>
          <w:sz w:val="24"/>
          <w:szCs w:val="24"/>
        </w:rPr>
        <w:t xml:space="preserve">not </w:t>
      </w:r>
      <w:r w:rsidR="00811F56">
        <w:rPr>
          <w:rFonts w:ascii="Arial" w:hAnsi="Arial" w:cs="Arial"/>
          <w:color w:val="000000"/>
          <w:sz w:val="24"/>
          <w:szCs w:val="24"/>
        </w:rPr>
        <w:t xml:space="preserve">been </w:t>
      </w:r>
      <w:r w:rsidR="00211E3C" w:rsidRPr="00D21EB5">
        <w:rPr>
          <w:rFonts w:ascii="Arial" w:hAnsi="Arial" w:cs="Arial"/>
          <w:color w:val="000000"/>
          <w:sz w:val="24"/>
          <w:szCs w:val="24"/>
        </w:rPr>
        <w:t>discovered</w:t>
      </w:r>
      <w:r w:rsidR="00CB5EE7" w:rsidRPr="00D21EB5">
        <w:rPr>
          <w:rFonts w:ascii="Arial" w:hAnsi="Arial" w:cs="Arial"/>
          <w:color w:val="000000"/>
          <w:sz w:val="24"/>
          <w:szCs w:val="24"/>
        </w:rPr>
        <w:t xml:space="preserve">. The </w:t>
      </w:r>
      <w:r w:rsidR="00211E3C" w:rsidRPr="00D21EB5">
        <w:rPr>
          <w:rFonts w:ascii="Arial" w:hAnsi="Arial" w:cs="Arial"/>
          <w:color w:val="000000"/>
          <w:sz w:val="24"/>
          <w:szCs w:val="24"/>
        </w:rPr>
        <w:t>documents</w:t>
      </w:r>
      <w:r w:rsidR="00CB5EE7" w:rsidRPr="00D21EB5">
        <w:rPr>
          <w:rFonts w:ascii="Arial" w:hAnsi="Arial" w:cs="Arial"/>
          <w:color w:val="000000"/>
          <w:sz w:val="24"/>
          <w:szCs w:val="24"/>
        </w:rPr>
        <w:t xml:space="preserve"> must be discovered despite the separation</w:t>
      </w:r>
      <w:r w:rsidR="00CB5EE7">
        <w:rPr>
          <w:rFonts w:ascii="Arial" w:hAnsi="Arial" w:cs="Arial"/>
          <w:color w:val="000000"/>
          <w:sz w:val="24"/>
          <w:szCs w:val="24"/>
        </w:rPr>
        <w:t xml:space="preserve"> as the rule does not </w:t>
      </w:r>
      <w:r w:rsidR="00211E3C">
        <w:rPr>
          <w:rFonts w:ascii="Arial" w:hAnsi="Arial" w:cs="Arial"/>
          <w:color w:val="000000"/>
          <w:sz w:val="24"/>
          <w:szCs w:val="24"/>
        </w:rPr>
        <w:t>provide for different stages of discovery</w:t>
      </w:r>
      <w:r w:rsidR="00FA5C12">
        <w:rPr>
          <w:rFonts w:ascii="Arial" w:hAnsi="Arial" w:cs="Arial"/>
          <w:color w:val="000000"/>
          <w:sz w:val="24"/>
          <w:szCs w:val="24"/>
        </w:rPr>
        <w:t>.</w:t>
      </w:r>
    </w:p>
    <w:p w14:paraId="221684C8" w14:textId="77777777" w:rsidR="00CB5EE7" w:rsidRDefault="00CB5EE7" w:rsidP="00AB592D">
      <w:pPr>
        <w:spacing w:after="0" w:line="360" w:lineRule="auto"/>
        <w:ind w:left="851" w:hanging="851"/>
        <w:jc w:val="both"/>
        <w:rPr>
          <w:rFonts w:ascii="Arial" w:hAnsi="Arial" w:cs="Arial"/>
          <w:color w:val="000000"/>
          <w:sz w:val="24"/>
          <w:szCs w:val="24"/>
        </w:rPr>
      </w:pPr>
    </w:p>
    <w:p w14:paraId="0A772D7A" w14:textId="11E04858" w:rsidR="00733EED" w:rsidRPr="00DC1A1B" w:rsidRDefault="002330AF" w:rsidP="00433B99">
      <w:pPr>
        <w:spacing w:after="0" w:line="360" w:lineRule="auto"/>
        <w:ind w:left="450" w:hanging="450"/>
        <w:jc w:val="both"/>
        <w:rPr>
          <w:rFonts w:ascii="Arial" w:hAnsi="Arial" w:cs="Arial"/>
          <w:color w:val="FF0000"/>
          <w:sz w:val="24"/>
          <w:szCs w:val="24"/>
        </w:rPr>
      </w:pPr>
      <w:r>
        <w:rPr>
          <w:rFonts w:ascii="Arial" w:hAnsi="Arial" w:cs="Arial"/>
          <w:color w:val="000000"/>
          <w:sz w:val="24"/>
          <w:szCs w:val="24"/>
        </w:rPr>
        <w:t>[</w:t>
      </w:r>
      <w:r w:rsidR="00212F3A">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DC3138">
        <w:rPr>
          <w:rFonts w:ascii="Arial" w:hAnsi="Arial" w:cs="Arial"/>
          <w:color w:val="000000"/>
          <w:sz w:val="24"/>
          <w:szCs w:val="24"/>
        </w:rPr>
        <w:t xml:space="preserve">The </w:t>
      </w:r>
      <w:r w:rsidR="00DC3138" w:rsidRPr="003A7662">
        <w:rPr>
          <w:rFonts w:ascii="Arial" w:hAnsi="Arial" w:cs="Arial"/>
          <w:sz w:val="24"/>
          <w:szCs w:val="24"/>
        </w:rPr>
        <w:t xml:space="preserve">defendant continues to state </w:t>
      </w:r>
      <w:r w:rsidR="00211E3C">
        <w:rPr>
          <w:rFonts w:ascii="Arial" w:hAnsi="Arial" w:cs="Arial"/>
          <w:sz w:val="24"/>
          <w:szCs w:val="24"/>
        </w:rPr>
        <w:t xml:space="preserve">that it </w:t>
      </w:r>
      <w:r w:rsidR="00C702D8">
        <w:rPr>
          <w:rFonts w:ascii="Arial" w:hAnsi="Arial" w:cs="Arial"/>
          <w:color w:val="000000"/>
          <w:sz w:val="24"/>
          <w:szCs w:val="24"/>
        </w:rPr>
        <w:t xml:space="preserve">is prejudiced by the plaintiffs’ </w:t>
      </w:r>
      <w:r w:rsidR="00211E3C">
        <w:rPr>
          <w:rFonts w:ascii="Arial" w:hAnsi="Arial" w:cs="Arial"/>
          <w:color w:val="000000"/>
          <w:sz w:val="24"/>
          <w:szCs w:val="24"/>
        </w:rPr>
        <w:t>failure</w:t>
      </w:r>
      <w:r w:rsidR="00C702D8">
        <w:rPr>
          <w:rFonts w:ascii="Arial" w:hAnsi="Arial" w:cs="Arial"/>
          <w:color w:val="000000"/>
          <w:sz w:val="24"/>
          <w:szCs w:val="24"/>
        </w:rPr>
        <w:t xml:space="preserve"> to discover the </w:t>
      </w:r>
      <w:r w:rsidR="00211E3C">
        <w:rPr>
          <w:rFonts w:ascii="Arial" w:hAnsi="Arial" w:cs="Arial"/>
          <w:color w:val="000000"/>
          <w:sz w:val="24"/>
          <w:szCs w:val="24"/>
        </w:rPr>
        <w:t>requested documents</w:t>
      </w:r>
      <w:r w:rsidR="00F15AE1">
        <w:rPr>
          <w:rFonts w:ascii="Arial" w:hAnsi="Arial" w:cs="Arial"/>
          <w:color w:val="000000"/>
          <w:sz w:val="24"/>
          <w:szCs w:val="24"/>
        </w:rPr>
        <w:t xml:space="preserve"> as </w:t>
      </w:r>
      <w:r w:rsidR="0000423D">
        <w:rPr>
          <w:rFonts w:ascii="Arial" w:hAnsi="Arial" w:cs="Arial"/>
          <w:color w:val="000000"/>
          <w:sz w:val="24"/>
          <w:szCs w:val="24"/>
        </w:rPr>
        <w:t xml:space="preserve">its </w:t>
      </w:r>
      <w:r w:rsidR="00C702D8">
        <w:rPr>
          <w:rFonts w:ascii="Arial" w:hAnsi="Arial" w:cs="Arial"/>
          <w:color w:val="000000"/>
          <w:sz w:val="24"/>
          <w:szCs w:val="24"/>
        </w:rPr>
        <w:t>legal representative is unable to advise it accordingly.</w:t>
      </w:r>
      <w:r w:rsidR="00AB592D" w:rsidRPr="00AB592D">
        <w:rPr>
          <w:rFonts w:ascii="Arial" w:hAnsi="Arial" w:cs="Arial"/>
          <w:color w:val="000000" w:themeColor="text1"/>
          <w:sz w:val="24"/>
          <w:szCs w:val="24"/>
        </w:rPr>
        <w:t xml:space="preserve"> </w:t>
      </w:r>
    </w:p>
    <w:p w14:paraId="7E83A1EB" w14:textId="77777777" w:rsidR="002330AF" w:rsidRDefault="002330AF" w:rsidP="00733EED">
      <w:pPr>
        <w:spacing w:after="0" w:line="360" w:lineRule="auto"/>
        <w:ind w:left="1440" w:hanging="590"/>
        <w:jc w:val="both"/>
        <w:rPr>
          <w:rFonts w:ascii="Arial" w:hAnsi="Arial" w:cs="Arial"/>
          <w:color w:val="000000"/>
          <w:sz w:val="24"/>
          <w:szCs w:val="24"/>
        </w:rPr>
      </w:pPr>
    </w:p>
    <w:p w14:paraId="51C18058" w14:textId="45701736" w:rsidR="003767AD" w:rsidRDefault="002330AF" w:rsidP="00811F56">
      <w:pPr>
        <w:tabs>
          <w:tab w:val="left" w:pos="450"/>
        </w:tabs>
        <w:spacing w:after="0" w:line="360" w:lineRule="auto"/>
        <w:ind w:left="450" w:hanging="450"/>
        <w:jc w:val="both"/>
        <w:rPr>
          <w:rFonts w:ascii="Arial" w:hAnsi="Arial" w:cs="Arial"/>
          <w:color w:val="000000"/>
          <w:sz w:val="24"/>
          <w:szCs w:val="24"/>
        </w:rPr>
      </w:pPr>
      <w:r>
        <w:rPr>
          <w:rFonts w:ascii="Arial" w:hAnsi="Arial" w:cs="Arial"/>
          <w:color w:val="000000"/>
          <w:sz w:val="24"/>
          <w:szCs w:val="24"/>
        </w:rPr>
        <w:t>[</w:t>
      </w:r>
      <w:r w:rsidR="00212F3A">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8532E3">
        <w:rPr>
          <w:rFonts w:ascii="Arial" w:hAnsi="Arial" w:cs="Arial"/>
          <w:color w:val="000000"/>
          <w:sz w:val="24"/>
          <w:szCs w:val="24"/>
        </w:rPr>
        <w:t xml:space="preserve">The application is opposed on </w:t>
      </w:r>
      <w:r w:rsidR="00FF30BC">
        <w:rPr>
          <w:rFonts w:ascii="Arial" w:hAnsi="Arial" w:cs="Arial"/>
          <w:color w:val="000000"/>
          <w:sz w:val="24"/>
          <w:szCs w:val="24"/>
        </w:rPr>
        <w:t xml:space="preserve">the grounds that: </w:t>
      </w:r>
      <w:r w:rsidR="008B14CC">
        <w:rPr>
          <w:rFonts w:ascii="Arial" w:hAnsi="Arial" w:cs="Arial"/>
          <w:color w:val="000000"/>
          <w:sz w:val="24"/>
          <w:szCs w:val="24"/>
        </w:rPr>
        <w:t xml:space="preserve">the </w:t>
      </w:r>
      <w:r w:rsidR="00FF30BC">
        <w:rPr>
          <w:rFonts w:ascii="Arial" w:hAnsi="Arial" w:cs="Arial"/>
          <w:color w:val="000000"/>
          <w:sz w:val="24"/>
          <w:szCs w:val="24"/>
        </w:rPr>
        <w:t xml:space="preserve">documents required are not relevant at this stage because they relate to quantum and the parties had agreed to separate and stay the quantum for later determination and the </w:t>
      </w:r>
      <w:r>
        <w:rPr>
          <w:rFonts w:ascii="Arial" w:hAnsi="Arial" w:cs="Arial"/>
          <w:color w:val="000000"/>
          <w:sz w:val="24"/>
          <w:szCs w:val="24"/>
        </w:rPr>
        <w:t xml:space="preserve">information </w:t>
      </w:r>
      <w:r w:rsidR="0041531C">
        <w:rPr>
          <w:rFonts w:ascii="Arial" w:hAnsi="Arial" w:cs="Arial"/>
          <w:color w:val="000000"/>
          <w:sz w:val="24"/>
          <w:szCs w:val="24"/>
        </w:rPr>
        <w:t xml:space="preserve">regarding </w:t>
      </w:r>
      <w:r>
        <w:rPr>
          <w:rFonts w:ascii="Arial" w:hAnsi="Arial" w:cs="Arial"/>
          <w:color w:val="000000"/>
          <w:sz w:val="24"/>
          <w:szCs w:val="24"/>
        </w:rPr>
        <w:t xml:space="preserve">employment </w:t>
      </w:r>
      <w:r w:rsidR="00AB592D">
        <w:rPr>
          <w:rFonts w:ascii="Arial" w:hAnsi="Arial" w:cs="Arial"/>
          <w:color w:val="000000"/>
          <w:sz w:val="24"/>
          <w:szCs w:val="24"/>
        </w:rPr>
        <w:t>and earnings of t</w:t>
      </w:r>
      <w:r>
        <w:rPr>
          <w:rFonts w:ascii="Arial" w:hAnsi="Arial" w:cs="Arial"/>
          <w:color w:val="000000"/>
          <w:sz w:val="24"/>
          <w:szCs w:val="24"/>
        </w:rPr>
        <w:t xml:space="preserve">he deceased </w:t>
      </w:r>
      <w:r w:rsidR="00005FCF">
        <w:rPr>
          <w:rFonts w:ascii="Arial" w:hAnsi="Arial" w:cs="Arial"/>
          <w:color w:val="000000"/>
          <w:sz w:val="24"/>
          <w:szCs w:val="24"/>
        </w:rPr>
        <w:t>is not available</w:t>
      </w:r>
      <w:r w:rsidR="00F15AE1">
        <w:rPr>
          <w:rFonts w:ascii="Arial" w:hAnsi="Arial" w:cs="Arial"/>
          <w:color w:val="000000"/>
          <w:sz w:val="24"/>
          <w:szCs w:val="24"/>
        </w:rPr>
        <w:t xml:space="preserve"> yet it</w:t>
      </w:r>
      <w:r w:rsidR="00FF30BC">
        <w:rPr>
          <w:rFonts w:ascii="Arial" w:hAnsi="Arial" w:cs="Arial"/>
          <w:color w:val="000000"/>
          <w:sz w:val="24"/>
          <w:szCs w:val="24"/>
        </w:rPr>
        <w:t xml:space="preserve">. It </w:t>
      </w:r>
      <w:r w:rsidR="00F15AE1">
        <w:rPr>
          <w:rFonts w:ascii="Arial" w:hAnsi="Arial" w:cs="Arial"/>
          <w:color w:val="000000"/>
          <w:sz w:val="24"/>
          <w:szCs w:val="24"/>
        </w:rPr>
        <w:t>has been requested from the deceased’s erstwhile employer</w:t>
      </w:r>
      <w:r w:rsidR="00F15AE1" w:rsidRPr="003767AD">
        <w:rPr>
          <w:rFonts w:ascii="Arial" w:hAnsi="Arial" w:cs="Arial"/>
          <w:color w:val="000000"/>
          <w:sz w:val="24"/>
          <w:szCs w:val="24"/>
        </w:rPr>
        <w:t xml:space="preserve"> </w:t>
      </w:r>
      <w:r w:rsidR="00F15AE1">
        <w:rPr>
          <w:rFonts w:ascii="Arial" w:hAnsi="Arial" w:cs="Arial"/>
          <w:color w:val="000000"/>
          <w:sz w:val="24"/>
          <w:szCs w:val="24"/>
        </w:rPr>
        <w:t>on 15 March 2023</w:t>
      </w:r>
      <w:r w:rsidR="00FF30BC">
        <w:rPr>
          <w:rFonts w:ascii="Arial" w:hAnsi="Arial" w:cs="Arial"/>
          <w:color w:val="000000"/>
          <w:sz w:val="24"/>
          <w:szCs w:val="24"/>
        </w:rPr>
        <w:t xml:space="preserve"> which is a</w:t>
      </w:r>
      <w:r w:rsidR="00F15AE1">
        <w:rPr>
          <w:rFonts w:ascii="Arial" w:hAnsi="Arial" w:cs="Arial"/>
          <w:color w:val="000000"/>
          <w:sz w:val="24"/>
          <w:szCs w:val="24"/>
        </w:rPr>
        <w:t xml:space="preserve"> Chinese Agency where she taught English but since then</w:t>
      </w:r>
      <w:r w:rsidR="00FF30BC">
        <w:rPr>
          <w:rFonts w:ascii="Arial" w:hAnsi="Arial" w:cs="Arial"/>
          <w:color w:val="000000"/>
          <w:sz w:val="24"/>
          <w:szCs w:val="24"/>
        </w:rPr>
        <w:t>,</w:t>
      </w:r>
      <w:r w:rsidR="00F15AE1">
        <w:rPr>
          <w:rFonts w:ascii="Arial" w:hAnsi="Arial" w:cs="Arial"/>
          <w:color w:val="000000"/>
          <w:sz w:val="24"/>
          <w:szCs w:val="24"/>
        </w:rPr>
        <w:t xml:space="preserve"> there has been no response. </w:t>
      </w:r>
      <w:r w:rsidR="00FF30BC">
        <w:rPr>
          <w:rFonts w:ascii="Arial" w:hAnsi="Arial" w:cs="Arial"/>
          <w:color w:val="000000"/>
          <w:sz w:val="24"/>
          <w:szCs w:val="24"/>
        </w:rPr>
        <w:t xml:space="preserve">The documents </w:t>
      </w:r>
      <w:r w:rsidR="00F15AE1">
        <w:rPr>
          <w:rFonts w:ascii="Arial" w:hAnsi="Arial" w:cs="Arial"/>
          <w:color w:val="000000"/>
          <w:sz w:val="24"/>
          <w:szCs w:val="24"/>
        </w:rPr>
        <w:t xml:space="preserve">will be provided to the defendant once </w:t>
      </w:r>
      <w:r w:rsidR="00FF30BC">
        <w:rPr>
          <w:rFonts w:ascii="Arial" w:hAnsi="Arial" w:cs="Arial"/>
          <w:color w:val="000000"/>
          <w:sz w:val="24"/>
          <w:szCs w:val="24"/>
        </w:rPr>
        <w:t>they</w:t>
      </w:r>
      <w:r w:rsidR="00F15AE1">
        <w:rPr>
          <w:rFonts w:ascii="Arial" w:hAnsi="Arial" w:cs="Arial"/>
          <w:color w:val="000000"/>
          <w:sz w:val="24"/>
          <w:szCs w:val="24"/>
        </w:rPr>
        <w:t xml:space="preserve"> become available</w:t>
      </w:r>
      <w:r w:rsidR="00AB592D">
        <w:rPr>
          <w:rFonts w:ascii="Arial" w:hAnsi="Arial" w:cs="Arial"/>
          <w:color w:val="000000"/>
          <w:sz w:val="24"/>
          <w:szCs w:val="24"/>
        </w:rPr>
        <w:t xml:space="preserve">. </w:t>
      </w:r>
    </w:p>
    <w:p w14:paraId="57B9D067" w14:textId="77777777" w:rsidR="003767AD" w:rsidRDefault="003767AD" w:rsidP="003767AD">
      <w:pPr>
        <w:spacing w:after="0" w:line="360" w:lineRule="auto"/>
        <w:ind w:left="720" w:hanging="900"/>
        <w:jc w:val="both"/>
        <w:rPr>
          <w:rFonts w:ascii="Arial" w:hAnsi="Arial" w:cs="Arial"/>
          <w:color w:val="000000"/>
          <w:sz w:val="24"/>
          <w:szCs w:val="24"/>
        </w:rPr>
      </w:pPr>
    </w:p>
    <w:p w14:paraId="15BA2512" w14:textId="17EADD25" w:rsidR="008B14CC" w:rsidRDefault="003767AD" w:rsidP="00433B99">
      <w:pPr>
        <w:spacing w:after="0" w:line="360" w:lineRule="auto"/>
        <w:ind w:left="450" w:hanging="630"/>
        <w:jc w:val="both"/>
        <w:rPr>
          <w:rFonts w:ascii="Arial" w:hAnsi="Arial" w:cs="Arial"/>
          <w:color w:val="000000"/>
          <w:sz w:val="24"/>
          <w:szCs w:val="24"/>
        </w:rPr>
      </w:pPr>
      <w:r>
        <w:rPr>
          <w:rFonts w:ascii="Arial" w:hAnsi="Arial" w:cs="Arial"/>
          <w:color w:val="000000"/>
          <w:sz w:val="24"/>
          <w:szCs w:val="24"/>
        </w:rPr>
        <w:t>[</w:t>
      </w:r>
      <w:r w:rsidR="00212F3A">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FF30BC">
        <w:rPr>
          <w:rFonts w:ascii="Arial" w:hAnsi="Arial" w:cs="Arial"/>
          <w:color w:val="000000"/>
          <w:sz w:val="24"/>
          <w:szCs w:val="24"/>
        </w:rPr>
        <w:t xml:space="preserve">In argument, counsel for the plaintiffs stated that at </w:t>
      </w:r>
      <w:r>
        <w:rPr>
          <w:rFonts w:ascii="Arial" w:hAnsi="Arial" w:cs="Arial"/>
          <w:color w:val="000000"/>
          <w:sz w:val="24"/>
          <w:szCs w:val="24"/>
        </w:rPr>
        <w:t xml:space="preserve">this stage the plaintiffs </w:t>
      </w:r>
      <w:r w:rsidR="0041531C">
        <w:rPr>
          <w:rFonts w:ascii="Arial" w:hAnsi="Arial" w:cs="Arial"/>
          <w:color w:val="000000"/>
          <w:sz w:val="24"/>
          <w:szCs w:val="24"/>
        </w:rPr>
        <w:t xml:space="preserve">are </w:t>
      </w:r>
      <w:r w:rsidR="00FF30BC">
        <w:rPr>
          <w:rFonts w:ascii="Arial" w:hAnsi="Arial" w:cs="Arial"/>
          <w:color w:val="000000"/>
          <w:sz w:val="24"/>
          <w:szCs w:val="24"/>
        </w:rPr>
        <w:t xml:space="preserve">not required to produce documents they are </w:t>
      </w:r>
      <w:r>
        <w:rPr>
          <w:rFonts w:ascii="Arial" w:hAnsi="Arial" w:cs="Arial"/>
          <w:color w:val="000000"/>
          <w:sz w:val="24"/>
          <w:szCs w:val="24"/>
        </w:rPr>
        <w:t xml:space="preserve">only required to state under oath the list of the documents in their possession and if they are not in possession of the documents to state their whereabouts. </w:t>
      </w:r>
    </w:p>
    <w:p w14:paraId="5761681E" w14:textId="77777777" w:rsidR="0041531C" w:rsidRDefault="0041531C" w:rsidP="0041531C">
      <w:pPr>
        <w:spacing w:after="96" w:line="259" w:lineRule="auto"/>
        <w:ind w:left="-15" w:right="15"/>
      </w:pPr>
    </w:p>
    <w:p w14:paraId="3E0025EB" w14:textId="7BD40522" w:rsidR="00D21EB5" w:rsidRDefault="00AB592D" w:rsidP="00433B99">
      <w:pPr>
        <w:pStyle w:val="FootnoteText"/>
        <w:spacing w:line="360" w:lineRule="auto"/>
        <w:ind w:left="450" w:hanging="540"/>
        <w:jc w:val="both"/>
      </w:pPr>
      <w:r>
        <w:rPr>
          <w:rFonts w:ascii="Arial" w:hAnsi="Arial" w:cs="Arial"/>
          <w:color w:val="000000"/>
          <w:sz w:val="24"/>
          <w:szCs w:val="24"/>
        </w:rPr>
        <w:t>[</w:t>
      </w:r>
      <w:r w:rsidR="00212F3A">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r>
      <w:r w:rsidR="004C7E46">
        <w:rPr>
          <w:rFonts w:ascii="Arial" w:hAnsi="Arial" w:cs="Arial"/>
          <w:color w:val="000000"/>
          <w:sz w:val="24"/>
          <w:szCs w:val="24"/>
        </w:rPr>
        <w:t>To</w:t>
      </w:r>
      <w:r w:rsidR="00B04D8C" w:rsidRPr="003A7662">
        <w:rPr>
          <w:rFonts w:ascii="Arial" w:hAnsi="Arial" w:cs="Arial"/>
          <w:sz w:val="24"/>
          <w:szCs w:val="24"/>
        </w:rPr>
        <w:t xml:space="preserve"> arrive at an appropriate determination of this issue I must have regard to the principles laid down in </w:t>
      </w:r>
      <w:proofErr w:type="spellStart"/>
      <w:r w:rsidR="003E55E2" w:rsidRPr="003E55E2">
        <w:rPr>
          <w:rFonts w:ascii="Arial" w:hAnsi="Arial" w:cs="Arial"/>
          <w:i/>
          <w:sz w:val="24"/>
          <w:szCs w:val="24"/>
        </w:rPr>
        <w:t>Swissborough</w:t>
      </w:r>
      <w:proofErr w:type="spellEnd"/>
      <w:r w:rsidR="003E55E2" w:rsidRPr="003E55E2">
        <w:rPr>
          <w:rFonts w:ascii="Arial" w:hAnsi="Arial" w:cs="Arial"/>
          <w:i/>
          <w:sz w:val="24"/>
          <w:szCs w:val="24"/>
        </w:rPr>
        <w:t xml:space="preserve"> Diamond Mines (Pty) Ltd and Others v Government of the Republic of South Africa and Others</w:t>
      </w:r>
      <w:r w:rsidR="003E55E2">
        <w:rPr>
          <w:rStyle w:val="FootnoteReference"/>
          <w:rFonts w:ascii="Arial" w:hAnsi="Arial" w:cs="Arial"/>
          <w:i/>
          <w:sz w:val="24"/>
          <w:szCs w:val="24"/>
        </w:rPr>
        <w:footnoteReference w:id="1"/>
      </w:r>
      <w:r w:rsidR="003E55E2">
        <w:t xml:space="preserve"> </w:t>
      </w:r>
      <w:r w:rsidR="00D21EB5" w:rsidRPr="00D21EB5">
        <w:rPr>
          <w:rFonts w:ascii="Arial" w:hAnsi="Arial" w:cs="Arial"/>
          <w:sz w:val="24"/>
          <w:szCs w:val="24"/>
        </w:rPr>
        <w:t>at p 316E-317B:</w:t>
      </w:r>
      <w:r w:rsidR="00D21EB5">
        <w:t xml:space="preserve"> </w:t>
      </w:r>
    </w:p>
    <w:p w14:paraId="487A4E0F" w14:textId="77777777" w:rsidR="003E55E2" w:rsidRDefault="003E55E2" w:rsidP="003E55E2">
      <w:pPr>
        <w:pStyle w:val="FootnoteText"/>
        <w:spacing w:line="360" w:lineRule="auto"/>
        <w:ind w:left="720" w:hanging="990"/>
        <w:jc w:val="both"/>
      </w:pPr>
    </w:p>
    <w:p w14:paraId="217FCAA6" w14:textId="616815CF" w:rsidR="00D21EB5" w:rsidRPr="00B1290D" w:rsidRDefault="00D21EB5" w:rsidP="003E55E2">
      <w:pPr>
        <w:pStyle w:val="FootnoteText"/>
        <w:spacing w:line="360" w:lineRule="auto"/>
        <w:ind w:left="1440"/>
        <w:jc w:val="both"/>
        <w:rPr>
          <w:rFonts w:ascii="Arial" w:hAnsi="Arial" w:cs="Arial"/>
          <w:i/>
        </w:rPr>
      </w:pPr>
      <w:r w:rsidRPr="00B1290D">
        <w:rPr>
          <w:rFonts w:ascii="Arial" w:hAnsi="Arial" w:cs="Arial"/>
          <w:i/>
        </w:rPr>
        <w:lastRenderedPageBreak/>
        <w:t xml:space="preserve">‘The requirement of relevance, embodied in both Rule 35(1) and 35(3), has been considered by the Courts on various occasions. The test for relevance, as laid down by Brett LJ in Compagnie </w:t>
      </w:r>
      <w:proofErr w:type="spellStart"/>
      <w:r w:rsidRPr="00B1290D">
        <w:rPr>
          <w:rFonts w:ascii="Arial" w:hAnsi="Arial" w:cs="Arial"/>
          <w:i/>
        </w:rPr>
        <w:t>Financiere</w:t>
      </w:r>
      <w:proofErr w:type="spellEnd"/>
      <w:r w:rsidRPr="00B1290D">
        <w:rPr>
          <w:rFonts w:ascii="Arial" w:hAnsi="Arial" w:cs="Arial"/>
          <w:i/>
        </w:rPr>
        <w:t xml:space="preserve"> et Commerciale du E </w:t>
      </w:r>
      <w:proofErr w:type="spellStart"/>
      <w:r w:rsidRPr="00B1290D">
        <w:rPr>
          <w:rFonts w:ascii="Arial" w:hAnsi="Arial" w:cs="Arial"/>
          <w:i/>
        </w:rPr>
        <w:t>Pacifique</w:t>
      </w:r>
      <w:proofErr w:type="spellEnd"/>
      <w:r w:rsidRPr="00B1290D">
        <w:rPr>
          <w:rFonts w:ascii="Arial" w:hAnsi="Arial" w:cs="Arial"/>
          <w:i/>
        </w:rPr>
        <w:t xml:space="preserve"> v Peruvian Guano Co (1882) 11 QBD 55, has often been accepted and applied. See, for example, the Full Bench judgment in </w:t>
      </w:r>
      <w:proofErr w:type="spellStart"/>
      <w:r w:rsidRPr="00B1290D">
        <w:rPr>
          <w:rFonts w:ascii="Arial" w:hAnsi="Arial" w:cs="Arial"/>
          <w:i/>
        </w:rPr>
        <w:t>Rellams</w:t>
      </w:r>
      <w:proofErr w:type="spellEnd"/>
      <w:r w:rsidRPr="00B1290D">
        <w:rPr>
          <w:rFonts w:ascii="Arial" w:hAnsi="Arial" w:cs="Arial"/>
          <w:i/>
        </w:rPr>
        <w:t xml:space="preserve"> (Pty) Ltd v James Brown &amp; Hamer Ltd 1983 (1) SA 556 (N) at 564A, where it was held that: After remarking that it was desirable to give a wide interpretation to the words ''a document relating to any matter in question in the action'', Brett LJ stated the principle as follows: ''It seems to me that every document relates to the matter in question in the action which, it is reasonable to suppose, contains information which may - not which must - either directly or indirectly enable the party requiring the affidavit either to advance his own case or to damage the case of his adversary. I have put in the words “either directly or indirectly” because, as it seems to me, a document can properly be said to contain information which may enable the party requiring the affidavit either to advance his own case or to damage the case of his adversary, if it is a document which may fairly lead him to a train of enquiry which may have either of these two consequences.'' </w:t>
      </w:r>
    </w:p>
    <w:p w14:paraId="7119844F" w14:textId="75C2B338" w:rsidR="00B1290D" w:rsidRPr="00B1290D" w:rsidRDefault="00B1290D" w:rsidP="00D21EB5">
      <w:pPr>
        <w:pStyle w:val="FootnoteText"/>
        <w:spacing w:line="360" w:lineRule="auto"/>
        <w:ind w:left="720"/>
        <w:jc w:val="both"/>
        <w:rPr>
          <w:rFonts w:ascii="Arial" w:hAnsi="Arial" w:cs="Arial"/>
          <w:i/>
        </w:rPr>
      </w:pPr>
    </w:p>
    <w:p w14:paraId="49627523" w14:textId="5ABBA5BC" w:rsidR="00B1290D" w:rsidRPr="00B1290D" w:rsidRDefault="00B1290D" w:rsidP="003E55E2">
      <w:pPr>
        <w:pStyle w:val="FootnoteText"/>
        <w:spacing w:line="360" w:lineRule="auto"/>
        <w:ind w:left="1440"/>
        <w:jc w:val="both"/>
        <w:rPr>
          <w:rFonts w:ascii="Arial" w:hAnsi="Arial" w:cs="Arial"/>
          <w:i/>
        </w:rPr>
      </w:pPr>
      <w:r w:rsidRPr="00B1290D">
        <w:rPr>
          <w:rFonts w:ascii="Arial" w:hAnsi="Arial" w:cs="Arial"/>
          <w:i/>
        </w:rPr>
        <w:t>The broad meaning ascribed to relevance is circumscribed by the requirement in both subrules (1) and (3) of Rule 35 that the document or tape recording relates to (35(1)) or may be relevant to (35(3)) “any matter in question”. The “matter in question” is determined from the pleadings. See in this regard SA Neon Advertising (Pty) Ltd v Claude Neon Lights (SA) Ltd 1968 (3) SA 381 (W) at 385A-C; Schlesinger v Donaldson and Another 1929 WLD 54 at 57, where Greenberg J held “In order to decide the question of relevancy, the issues raised by the pleadings must be considered . . .”, and Federal Wine and Brandy Co Ltd v Kantor 1958 (4) SA 735 (E) at 753D-G.’</w:t>
      </w:r>
    </w:p>
    <w:p w14:paraId="022D844E" w14:textId="590A4F0F" w:rsidR="00D21EB5" w:rsidRDefault="00D21EB5" w:rsidP="00D21EB5">
      <w:pPr>
        <w:pStyle w:val="FootnoteText"/>
        <w:spacing w:line="360" w:lineRule="auto"/>
        <w:ind w:left="720" w:hanging="720"/>
        <w:jc w:val="both"/>
      </w:pPr>
    </w:p>
    <w:p w14:paraId="7B124D53" w14:textId="70287BA5" w:rsidR="0000423D" w:rsidRDefault="003E55E2" w:rsidP="00942198">
      <w:pPr>
        <w:pStyle w:val="NormalWeb"/>
        <w:shd w:val="clear" w:color="auto" w:fill="FFFFFF"/>
        <w:spacing w:before="144" w:beforeAutospacing="0" w:after="288" w:afterAutospacing="0" w:line="360" w:lineRule="auto"/>
        <w:ind w:left="851" w:hanging="851"/>
        <w:jc w:val="both"/>
        <w:rPr>
          <w:rFonts w:ascii="Arial" w:hAnsi="Arial" w:cs="Arial"/>
          <w:color w:val="000000"/>
        </w:rPr>
      </w:pPr>
      <w:r>
        <w:rPr>
          <w:rFonts w:ascii="Arial" w:hAnsi="Arial" w:cs="Arial"/>
        </w:rPr>
        <w:t>[1</w:t>
      </w:r>
      <w:r w:rsidR="00212F3A">
        <w:rPr>
          <w:rFonts w:ascii="Arial" w:hAnsi="Arial" w:cs="Arial"/>
        </w:rPr>
        <w:t>0</w:t>
      </w:r>
      <w:r>
        <w:rPr>
          <w:rFonts w:ascii="Arial" w:hAnsi="Arial" w:cs="Arial"/>
        </w:rPr>
        <w:t>]</w:t>
      </w:r>
      <w:r>
        <w:rPr>
          <w:rFonts w:ascii="Arial" w:hAnsi="Arial" w:cs="Arial"/>
        </w:rPr>
        <w:tab/>
        <w:t>H</w:t>
      </w:r>
      <w:r w:rsidR="0000423D">
        <w:rPr>
          <w:rFonts w:ascii="Arial" w:hAnsi="Arial" w:cs="Arial"/>
        </w:rPr>
        <w:t xml:space="preserve">aving regard to the </w:t>
      </w:r>
      <w:r w:rsidR="0000423D" w:rsidRPr="000C1640">
        <w:rPr>
          <w:rFonts w:ascii="Arial" w:hAnsi="Arial" w:cs="Arial"/>
          <w:color w:val="000000"/>
        </w:rPr>
        <w:t>plaintiffs’ pleaded case</w:t>
      </w:r>
      <w:r w:rsidR="0000423D">
        <w:rPr>
          <w:rFonts w:ascii="Arial" w:hAnsi="Arial" w:cs="Arial"/>
          <w:color w:val="000000"/>
        </w:rPr>
        <w:t>, the documents required by the defendant relates to the plaintiffs’</w:t>
      </w:r>
      <w:r w:rsidR="004C7E46">
        <w:rPr>
          <w:rFonts w:ascii="Arial" w:hAnsi="Arial" w:cs="Arial"/>
          <w:color w:val="000000"/>
        </w:rPr>
        <w:t xml:space="preserve"> assertion that they were depended on the deceased for financial support. The onus is on the plaintiffs to allege and prove the defendant’s liability </w:t>
      </w:r>
      <w:r w:rsidR="00811F56">
        <w:rPr>
          <w:rFonts w:ascii="Arial" w:hAnsi="Arial" w:cs="Arial"/>
          <w:color w:val="000000"/>
        </w:rPr>
        <w:t>(</w:t>
      </w:r>
      <w:r w:rsidR="004C7E46" w:rsidRPr="00953DA5">
        <w:rPr>
          <w:rFonts w:ascii="Arial" w:hAnsi="Arial" w:cs="Arial"/>
        </w:rPr>
        <w:t>the merits of the claim</w:t>
      </w:r>
      <w:r w:rsidR="00811F56">
        <w:rPr>
          <w:rFonts w:ascii="Arial" w:hAnsi="Arial" w:cs="Arial"/>
        </w:rPr>
        <w:t>)</w:t>
      </w:r>
      <w:r w:rsidR="004C7E46" w:rsidRPr="00953DA5">
        <w:rPr>
          <w:rFonts w:ascii="Arial" w:hAnsi="Arial" w:cs="Arial"/>
        </w:rPr>
        <w:t xml:space="preserve"> </w:t>
      </w:r>
      <w:r w:rsidR="004C7E46">
        <w:rPr>
          <w:rFonts w:ascii="Arial" w:hAnsi="Arial" w:cs="Arial"/>
          <w:color w:val="000000"/>
        </w:rPr>
        <w:t xml:space="preserve">that the deceased not only owed them the duty of support </w:t>
      </w:r>
      <w:r w:rsidR="00811F56">
        <w:rPr>
          <w:rFonts w:ascii="Arial" w:hAnsi="Arial" w:cs="Arial"/>
          <w:color w:val="000000"/>
        </w:rPr>
        <w:t xml:space="preserve">and </w:t>
      </w:r>
      <w:r w:rsidR="004C7E46">
        <w:rPr>
          <w:rFonts w:ascii="Arial" w:hAnsi="Arial" w:cs="Arial"/>
          <w:color w:val="000000"/>
        </w:rPr>
        <w:t>that she did in fact provide that support</w:t>
      </w:r>
      <w:r w:rsidR="00942198">
        <w:rPr>
          <w:rFonts w:ascii="Arial" w:hAnsi="Arial" w:cs="Arial"/>
          <w:color w:val="000000"/>
        </w:rPr>
        <w:t xml:space="preserve">. </w:t>
      </w:r>
      <w:r w:rsidR="00942198">
        <w:rPr>
          <w:rFonts w:ascii="Arial" w:hAnsi="Arial" w:cs="Arial"/>
          <w:color w:val="000000" w:themeColor="text1"/>
          <w:shd w:val="clear" w:color="auto" w:fill="FFFFFF"/>
        </w:rPr>
        <w:t xml:space="preserve">It is only when the plaintiffs have proven that they have suffered </w:t>
      </w:r>
      <w:r w:rsidR="00942198" w:rsidRPr="00DC3138">
        <w:rPr>
          <w:rFonts w:ascii="Arial" w:hAnsi="Arial" w:cs="Arial"/>
          <w:color w:val="000000" w:themeColor="text1"/>
        </w:rPr>
        <w:t>pecuniary damage</w:t>
      </w:r>
      <w:r w:rsidR="00942198">
        <w:rPr>
          <w:rFonts w:ascii="Arial" w:hAnsi="Arial" w:cs="Arial"/>
          <w:color w:val="000000" w:themeColor="text1"/>
        </w:rPr>
        <w:t xml:space="preserve">s as alleged </w:t>
      </w:r>
      <w:r w:rsidR="00942198" w:rsidRPr="00DC3138">
        <w:rPr>
          <w:rFonts w:ascii="Arial" w:hAnsi="Arial" w:cs="Arial"/>
          <w:color w:val="000000" w:themeColor="text1"/>
        </w:rPr>
        <w:t>that the court is bound to award damages</w:t>
      </w:r>
      <w:r w:rsidR="00942198">
        <w:rPr>
          <w:rFonts w:ascii="Arial" w:hAnsi="Arial" w:cs="Arial"/>
          <w:color w:val="000000" w:themeColor="text1"/>
        </w:rPr>
        <w:t xml:space="preserve"> by assessing </w:t>
      </w:r>
      <w:r w:rsidR="004C7E46">
        <w:rPr>
          <w:rFonts w:ascii="Arial" w:hAnsi="Arial" w:cs="Arial"/>
          <w:color w:val="000000"/>
        </w:rPr>
        <w:t>quantum</w:t>
      </w:r>
      <w:r w:rsidR="00811F56">
        <w:rPr>
          <w:rFonts w:ascii="Arial" w:hAnsi="Arial" w:cs="Arial"/>
          <w:color w:val="000000"/>
        </w:rPr>
        <w:t xml:space="preserve">. I am thus </w:t>
      </w:r>
      <w:r w:rsidR="000C20CF">
        <w:rPr>
          <w:rFonts w:ascii="Arial" w:hAnsi="Arial" w:cs="Arial"/>
          <w:color w:val="000000"/>
        </w:rPr>
        <w:t xml:space="preserve">in agreement with the defendant’s contention that </w:t>
      </w:r>
      <w:r w:rsidR="004C7E46">
        <w:rPr>
          <w:rFonts w:ascii="Arial" w:hAnsi="Arial" w:cs="Arial"/>
          <w:color w:val="000000"/>
        </w:rPr>
        <w:t xml:space="preserve">the deceased’s financial means in terms of which she provided </w:t>
      </w:r>
      <w:r w:rsidR="000C20CF">
        <w:rPr>
          <w:rFonts w:ascii="Arial" w:hAnsi="Arial" w:cs="Arial"/>
          <w:color w:val="000000"/>
        </w:rPr>
        <w:t>the</w:t>
      </w:r>
      <w:r w:rsidR="004C7E46">
        <w:rPr>
          <w:rFonts w:ascii="Arial" w:hAnsi="Arial" w:cs="Arial"/>
          <w:color w:val="000000"/>
        </w:rPr>
        <w:t xml:space="preserve"> </w:t>
      </w:r>
      <w:r w:rsidR="000C20CF">
        <w:rPr>
          <w:rFonts w:ascii="Arial" w:hAnsi="Arial" w:cs="Arial"/>
          <w:color w:val="000000"/>
        </w:rPr>
        <w:t xml:space="preserve">alleged financial </w:t>
      </w:r>
      <w:r w:rsidR="004C7E46">
        <w:rPr>
          <w:rFonts w:ascii="Arial" w:hAnsi="Arial" w:cs="Arial"/>
          <w:color w:val="000000"/>
        </w:rPr>
        <w:t>support</w:t>
      </w:r>
      <w:r w:rsidR="000C20CF">
        <w:rPr>
          <w:rFonts w:ascii="Arial" w:hAnsi="Arial" w:cs="Arial"/>
          <w:color w:val="000000"/>
        </w:rPr>
        <w:t xml:space="preserve"> to the plaintiff</w:t>
      </w:r>
      <w:r w:rsidR="004C7E46">
        <w:rPr>
          <w:rFonts w:ascii="Arial" w:hAnsi="Arial" w:cs="Arial"/>
          <w:color w:val="000000"/>
        </w:rPr>
        <w:t xml:space="preserve"> is indeed </w:t>
      </w:r>
      <w:r w:rsidR="004C7E46" w:rsidRPr="00D21EB5">
        <w:rPr>
          <w:rFonts w:ascii="Arial" w:hAnsi="Arial" w:cs="Arial"/>
          <w:color w:val="000000"/>
        </w:rPr>
        <w:t xml:space="preserve">relevant </w:t>
      </w:r>
      <w:r w:rsidR="004C7E46" w:rsidRPr="00D21EB5">
        <w:rPr>
          <w:rFonts w:ascii="Arial" w:hAnsi="Arial" w:cs="Arial"/>
        </w:rPr>
        <w:t>to the matter in question</w:t>
      </w:r>
      <w:r w:rsidR="004C7E46">
        <w:rPr>
          <w:rFonts w:ascii="Arial" w:hAnsi="Arial" w:cs="Arial"/>
        </w:rPr>
        <w:t xml:space="preserve"> including the extent of that financial support</w:t>
      </w:r>
      <w:r w:rsidR="004C7E46">
        <w:rPr>
          <w:rFonts w:ascii="Arial" w:hAnsi="Arial" w:cs="Arial"/>
          <w:color w:val="000000"/>
        </w:rPr>
        <w:t>.</w:t>
      </w:r>
    </w:p>
    <w:p w14:paraId="34EC211B" w14:textId="32A53144" w:rsidR="00190253" w:rsidRDefault="000C20CF" w:rsidP="00190253">
      <w:pPr>
        <w:pStyle w:val="FootnoteText"/>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[1</w:t>
      </w:r>
      <w:r w:rsidR="00212F3A">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t xml:space="preserve">It must also be borne in mind that the </w:t>
      </w:r>
      <w:r w:rsidR="00190253">
        <w:rPr>
          <w:rFonts w:ascii="Arial" w:hAnsi="Arial" w:cs="Arial"/>
          <w:color w:val="000000" w:themeColor="text1"/>
          <w:sz w:val="24"/>
          <w:szCs w:val="24"/>
        </w:rPr>
        <w:t xml:space="preserve">purpose of </w:t>
      </w:r>
      <w:r w:rsidR="00287F08">
        <w:rPr>
          <w:rFonts w:ascii="Arial" w:hAnsi="Arial" w:cs="Arial"/>
          <w:color w:val="000000" w:themeColor="text1"/>
          <w:sz w:val="24"/>
          <w:szCs w:val="24"/>
        </w:rPr>
        <w:t xml:space="preserve">an adequate </w:t>
      </w:r>
      <w:r w:rsidR="00190253">
        <w:rPr>
          <w:rFonts w:ascii="Arial" w:hAnsi="Arial" w:cs="Arial"/>
          <w:color w:val="000000" w:themeColor="text1"/>
          <w:sz w:val="24"/>
          <w:szCs w:val="24"/>
        </w:rPr>
        <w:t>discovery is to afford a litigant an opportunity to consider its case</w:t>
      </w:r>
      <w:r w:rsidR="00190253">
        <w:rPr>
          <w:rStyle w:val="FootnoteReference"/>
          <w:rFonts w:ascii="Arial" w:hAnsi="Arial" w:cs="Arial"/>
          <w:color w:val="000000" w:themeColor="text1"/>
          <w:sz w:val="24"/>
          <w:szCs w:val="24"/>
        </w:rPr>
        <w:footnoteReference w:id="2"/>
      </w:r>
      <w:r>
        <w:rPr>
          <w:rFonts w:ascii="Arial" w:hAnsi="Arial" w:cs="Arial"/>
          <w:color w:val="000000" w:themeColor="text1"/>
          <w:sz w:val="24"/>
          <w:szCs w:val="24"/>
        </w:rPr>
        <w:t xml:space="preserve"> </w:t>
      </w:r>
      <w:r w:rsidR="00811F56">
        <w:rPr>
          <w:rFonts w:ascii="Arial" w:hAnsi="Arial" w:cs="Arial"/>
          <w:color w:val="000000" w:themeColor="text1"/>
          <w:sz w:val="24"/>
          <w:szCs w:val="24"/>
        </w:rPr>
        <w:t xml:space="preserve">in this matter, </w:t>
      </w:r>
      <w:r w:rsidR="00287F08">
        <w:rPr>
          <w:rFonts w:ascii="Arial" w:hAnsi="Arial" w:cs="Arial"/>
          <w:color w:val="000000" w:themeColor="text1"/>
          <w:sz w:val="24"/>
          <w:szCs w:val="24"/>
        </w:rPr>
        <w:t xml:space="preserve">it would </w:t>
      </w:r>
      <w:r w:rsidR="00811F56">
        <w:rPr>
          <w:rFonts w:ascii="Arial" w:hAnsi="Arial" w:cs="Arial"/>
          <w:color w:val="000000" w:themeColor="text1"/>
          <w:sz w:val="24"/>
          <w:szCs w:val="24"/>
        </w:rPr>
        <w:t xml:space="preserve">also </w:t>
      </w:r>
      <w:r w:rsidR="00287F08">
        <w:rPr>
          <w:rFonts w:ascii="Arial" w:hAnsi="Arial" w:cs="Arial"/>
          <w:color w:val="000000" w:themeColor="text1"/>
          <w:sz w:val="24"/>
          <w:szCs w:val="24"/>
        </w:rPr>
        <w:t xml:space="preserve">be in the interest of justice and that of the plaintiffs that the documents which will determine the defendant’s liability are produced timeously as </w:t>
      </w:r>
      <w:r>
        <w:rPr>
          <w:rFonts w:ascii="Arial" w:hAnsi="Arial" w:cs="Arial"/>
          <w:color w:val="000000" w:themeColor="text1"/>
          <w:sz w:val="24"/>
          <w:szCs w:val="24"/>
        </w:rPr>
        <w:t xml:space="preserve">the defendant may </w:t>
      </w:r>
      <w:r w:rsidR="00287F08">
        <w:rPr>
          <w:rFonts w:ascii="Arial" w:hAnsi="Arial" w:cs="Arial"/>
          <w:color w:val="000000" w:themeColor="text1"/>
          <w:sz w:val="24"/>
          <w:szCs w:val="24"/>
        </w:rPr>
        <w:t xml:space="preserve">even </w:t>
      </w:r>
      <w:r>
        <w:rPr>
          <w:rFonts w:ascii="Arial" w:hAnsi="Arial" w:cs="Arial"/>
          <w:color w:val="000000" w:themeColor="text1"/>
          <w:sz w:val="24"/>
          <w:szCs w:val="24"/>
        </w:rPr>
        <w:t xml:space="preserve">consider a settlement </w:t>
      </w:r>
      <w:r w:rsidR="00287F08">
        <w:rPr>
          <w:rFonts w:ascii="Arial" w:hAnsi="Arial" w:cs="Arial"/>
          <w:color w:val="000000" w:themeColor="text1"/>
          <w:sz w:val="24"/>
          <w:szCs w:val="24"/>
        </w:rPr>
        <w:t xml:space="preserve">of the matter </w:t>
      </w:r>
      <w:r>
        <w:rPr>
          <w:rFonts w:ascii="Arial" w:hAnsi="Arial" w:cs="Arial"/>
          <w:color w:val="000000" w:themeColor="text1"/>
          <w:sz w:val="24"/>
          <w:szCs w:val="24"/>
        </w:rPr>
        <w:t>instead of engaging in a costly trial.</w:t>
      </w:r>
    </w:p>
    <w:p w14:paraId="61BECB7E" w14:textId="77777777" w:rsidR="00190253" w:rsidRDefault="00190253" w:rsidP="00190253">
      <w:pPr>
        <w:pStyle w:val="FootnoteText"/>
        <w:spacing w:line="360" w:lineRule="auto"/>
        <w:ind w:left="720" w:hanging="720"/>
        <w:jc w:val="both"/>
        <w:rPr>
          <w:rFonts w:ascii="Arial" w:hAnsi="Arial" w:cs="Arial"/>
          <w:color w:val="000000" w:themeColor="text1"/>
          <w:sz w:val="24"/>
          <w:szCs w:val="24"/>
        </w:rPr>
      </w:pPr>
    </w:p>
    <w:p w14:paraId="6F9193F0" w14:textId="73C986F0" w:rsidR="00190253" w:rsidRPr="00A03CAD" w:rsidRDefault="000C20CF" w:rsidP="00190253">
      <w:pPr>
        <w:pStyle w:val="FootnoteText"/>
        <w:spacing w:line="360" w:lineRule="auto"/>
        <w:ind w:left="720" w:hanging="720"/>
        <w:jc w:val="both"/>
        <w:rPr>
          <w:rFonts w:ascii="Arial" w:hAnsi="Arial" w:cs="Arial"/>
          <w:i/>
        </w:rPr>
      </w:pPr>
      <w:r>
        <w:rPr>
          <w:rFonts w:ascii="Arial" w:hAnsi="Arial" w:cs="Arial"/>
          <w:color w:val="000000" w:themeColor="text1"/>
          <w:sz w:val="24"/>
          <w:szCs w:val="24"/>
        </w:rPr>
        <w:t>[1</w:t>
      </w:r>
      <w:r w:rsidR="00212F3A">
        <w:rPr>
          <w:rFonts w:ascii="Arial" w:hAnsi="Arial" w:cs="Arial"/>
          <w:color w:val="000000" w:themeColor="text1"/>
          <w:sz w:val="24"/>
          <w:szCs w:val="24"/>
        </w:rPr>
        <w:t>2</w:t>
      </w:r>
      <w:r>
        <w:rPr>
          <w:rFonts w:ascii="Arial" w:hAnsi="Arial" w:cs="Arial"/>
          <w:color w:val="000000" w:themeColor="text1"/>
          <w:sz w:val="24"/>
          <w:szCs w:val="24"/>
        </w:rPr>
        <w:t>]</w:t>
      </w:r>
      <w:r>
        <w:rPr>
          <w:rFonts w:ascii="Arial" w:hAnsi="Arial" w:cs="Arial"/>
          <w:color w:val="000000" w:themeColor="text1"/>
          <w:sz w:val="24"/>
          <w:szCs w:val="24"/>
        </w:rPr>
        <w:tab/>
        <w:t>I do not find the plaintiffs’ explanation regarding the unavailability of the deceased’s proof of earnings to be sound. As at the date of the hearing about six (6) months had passed since the date on which the plaintiffs allege to have requested the information that aside, proof of employment has been requested as an alternative to the documents relating to the deceased’s payslips and /or financial statements. The plaintiff</w:t>
      </w:r>
      <w:r w:rsidR="00287F08">
        <w:rPr>
          <w:rFonts w:ascii="Arial" w:hAnsi="Arial" w:cs="Arial"/>
          <w:color w:val="000000" w:themeColor="text1"/>
          <w:sz w:val="24"/>
          <w:szCs w:val="24"/>
        </w:rPr>
        <w:t>s</w:t>
      </w:r>
      <w:r>
        <w:rPr>
          <w:rFonts w:ascii="Arial" w:hAnsi="Arial" w:cs="Arial"/>
          <w:color w:val="000000" w:themeColor="text1"/>
          <w:sz w:val="24"/>
          <w:szCs w:val="24"/>
        </w:rPr>
        <w:t xml:space="preserve"> have deliberately avoided explaining the</w:t>
      </w:r>
      <w:r w:rsidR="00811F56">
        <w:rPr>
          <w:rFonts w:ascii="Arial" w:hAnsi="Arial" w:cs="Arial"/>
          <w:color w:val="000000" w:themeColor="text1"/>
          <w:sz w:val="24"/>
          <w:szCs w:val="24"/>
        </w:rPr>
        <w:t xml:space="preserve"> </w:t>
      </w:r>
      <w:r>
        <w:rPr>
          <w:rFonts w:ascii="Arial" w:hAnsi="Arial" w:cs="Arial"/>
          <w:color w:val="000000" w:themeColor="text1"/>
          <w:sz w:val="24"/>
          <w:szCs w:val="24"/>
        </w:rPr>
        <w:t xml:space="preserve">whereabouts </w:t>
      </w:r>
      <w:r w:rsidR="00811F56">
        <w:rPr>
          <w:rFonts w:ascii="Arial" w:hAnsi="Arial" w:cs="Arial"/>
          <w:color w:val="000000" w:themeColor="text1"/>
          <w:sz w:val="24"/>
          <w:szCs w:val="24"/>
        </w:rPr>
        <w:t xml:space="preserve">of the deceased’s payslips and financial statements </w:t>
      </w:r>
      <w:r>
        <w:rPr>
          <w:rFonts w:ascii="Arial" w:hAnsi="Arial" w:cs="Arial"/>
          <w:color w:val="000000" w:themeColor="text1"/>
          <w:sz w:val="24"/>
          <w:szCs w:val="24"/>
        </w:rPr>
        <w:t>including the plaintiffs’ own financial statements.</w:t>
      </w:r>
    </w:p>
    <w:p w14:paraId="74EAA346" w14:textId="77777777" w:rsidR="00190253" w:rsidRPr="000C1640" w:rsidRDefault="00190253" w:rsidP="0000423D">
      <w:pPr>
        <w:spacing w:after="5" w:line="369" w:lineRule="auto"/>
        <w:ind w:left="720" w:right="15" w:hanging="720"/>
        <w:jc w:val="both"/>
        <w:rPr>
          <w:rFonts w:ascii="Arial" w:hAnsi="Arial" w:cs="Arial"/>
          <w:sz w:val="24"/>
          <w:szCs w:val="24"/>
        </w:rPr>
      </w:pPr>
    </w:p>
    <w:p w14:paraId="73B628C3" w14:textId="4ECCCE08" w:rsidR="00DD7246" w:rsidRPr="003A7662" w:rsidRDefault="000C20CF" w:rsidP="00433B99">
      <w:pPr>
        <w:spacing w:after="0" w:line="360" w:lineRule="auto"/>
        <w:ind w:left="630" w:hanging="720"/>
        <w:jc w:val="both"/>
        <w:rPr>
          <w:rFonts w:ascii="Arial" w:hAnsi="Arial" w:cs="Arial"/>
          <w:sz w:val="24"/>
          <w:szCs w:val="24"/>
        </w:rPr>
      </w:pPr>
      <w:r>
        <w:rPr>
          <w:rFonts w:ascii="Arial" w:hAnsi="Arial" w:cs="Arial"/>
          <w:color w:val="000000" w:themeColor="text1"/>
          <w:sz w:val="24"/>
          <w:szCs w:val="24"/>
        </w:rPr>
        <w:t>[1</w:t>
      </w:r>
      <w:r w:rsidR="00212F3A">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r>
      <w:r w:rsidR="00942198">
        <w:rPr>
          <w:rFonts w:ascii="Arial" w:hAnsi="Arial" w:cs="Arial"/>
          <w:sz w:val="24"/>
          <w:szCs w:val="24"/>
        </w:rPr>
        <w:t>I also do not deem it unreasonable for the defendant to require the documents relating to whether the plaintiffs have instituted a claim against the Road Accident Fund because, the deceased’s injuries arose from a motor vehicle accident and the Road Accident Fund</w:t>
      </w:r>
      <w:r w:rsidR="00433B99">
        <w:rPr>
          <w:rStyle w:val="FootnoteReference"/>
          <w:rFonts w:ascii="Arial" w:hAnsi="Arial" w:cs="Arial"/>
          <w:sz w:val="24"/>
          <w:szCs w:val="24"/>
        </w:rPr>
        <w:footnoteReference w:id="3"/>
      </w:r>
      <w:r w:rsidR="00942198">
        <w:rPr>
          <w:rFonts w:ascii="Arial" w:hAnsi="Arial" w:cs="Arial"/>
          <w:sz w:val="24"/>
          <w:szCs w:val="24"/>
        </w:rPr>
        <w:t xml:space="preserve"> is liable to compensate dependants for loss of financial support due to the death of the bread winner in a motor vehicle accident. </w:t>
      </w:r>
    </w:p>
    <w:p w14:paraId="7202557C" w14:textId="77777777" w:rsidR="00942198" w:rsidRDefault="00942198" w:rsidP="003A7662">
      <w:pPr>
        <w:spacing w:after="0" w:line="360" w:lineRule="auto"/>
        <w:ind w:left="720" w:hanging="720"/>
        <w:jc w:val="both"/>
        <w:rPr>
          <w:rFonts w:ascii="Arial" w:hAnsi="Arial" w:cs="Arial"/>
          <w:b/>
          <w:i/>
          <w:sz w:val="24"/>
          <w:szCs w:val="24"/>
        </w:rPr>
      </w:pPr>
    </w:p>
    <w:p w14:paraId="6BFCF32E" w14:textId="68F0ADEE" w:rsidR="009E2F11" w:rsidRPr="003A7662" w:rsidRDefault="009E2F11" w:rsidP="003A7662">
      <w:pPr>
        <w:spacing w:after="0" w:line="360" w:lineRule="auto"/>
        <w:ind w:left="720" w:hanging="720"/>
        <w:jc w:val="both"/>
        <w:rPr>
          <w:rFonts w:ascii="Arial" w:hAnsi="Arial" w:cs="Arial"/>
          <w:b/>
          <w:i/>
          <w:sz w:val="24"/>
          <w:szCs w:val="24"/>
        </w:rPr>
      </w:pPr>
      <w:r w:rsidRPr="003A7662">
        <w:rPr>
          <w:rFonts w:ascii="Arial" w:hAnsi="Arial" w:cs="Arial"/>
          <w:b/>
          <w:i/>
          <w:sz w:val="24"/>
          <w:szCs w:val="24"/>
        </w:rPr>
        <w:t>Conclusion and costs</w:t>
      </w:r>
    </w:p>
    <w:p w14:paraId="6A5E43B4" w14:textId="77777777" w:rsidR="00F17AF4" w:rsidRPr="003A7662" w:rsidRDefault="00F17AF4" w:rsidP="003A7662">
      <w:pPr>
        <w:spacing w:after="0" w:line="360" w:lineRule="auto"/>
        <w:ind w:left="720" w:hanging="720"/>
        <w:jc w:val="both"/>
        <w:rPr>
          <w:rFonts w:ascii="Arial" w:hAnsi="Arial" w:cs="Arial"/>
          <w:b/>
          <w:i/>
          <w:sz w:val="24"/>
          <w:szCs w:val="24"/>
        </w:rPr>
      </w:pPr>
    </w:p>
    <w:p w14:paraId="56CF62E3" w14:textId="7475F2A7" w:rsidR="00433B99" w:rsidRDefault="00EA089C" w:rsidP="00811F56">
      <w:pPr>
        <w:pStyle w:val="NormalWeb"/>
        <w:shd w:val="clear" w:color="auto" w:fill="FFFFFF"/>
        <w:spacing w:before="144" w:beforeAutospacing="0" w:after="0" w:afterAutospacing="0" w:line="360" w:lineRule="auto"/>
        <w:ind w:left="720" w:hanging="810"/>
        <w:jc w:val="both"/>
        <w:rPr>
          <w:rFonts w:ascii="Arial" w:hAnsi="Arial" w:cs="Arial"/>
        </w:rPr>
      </w:pPr>
      <w:r w:rsidRPr="00D21EB5">
        <w:rPr>
          <w:rFonts w:ascii="Arial" w:hAnsi="Arial" w:cs="Arial"/>
        </w:rPr>
        <w:t>[</w:t>
      </w:r>
      <w:r w:rsidR="00433B99">
        <w:rPr>
          <w:rFonts w:ascii="Arial" w:hAnsi="Arial" w:cs="Arial"/>
        </w:rPr>
        <w:t>1</w:t>
      </w:r>
      <w:r w:rsidR="00212F3A">
        <w:rPr>
          <w:rFonts w:ascii="Arial" w:hAnsi="Arial" w:cs="Arial"/>
        </w:rPr>
        <w:t>4</w:t>
      </w:r>
      <w:r w:rsidR="00433B99">
        <w:rPr>
          <w:rFonts w:ascii="Arial" w:hAnsi="Arial" w:cs="Arial"/>
        </w:rPr>
        <w:t>]</w:t>
      </w:r>
      <w:r w:rsidR="00433B99">
        <w:rPr>
          <w:rFonts w:ascii="Arial" w:hAnsi="Arial" w:cs="Arial"/>
        </w:rPr>
        <w:tab/>
        <w:t xml:space="preserve">Taking into consideration the facts of this matter, I am satisfied that the </w:t>
      </w:r>
      <w:r w:rsidR="0000423D" w:rsidRPr="00D21EB5">
        <w:rPr>
          <w:rFonts w:ascii="Arial" w:hAnsi="Arial" w:cs="Arial"/>
          <w:color w:val="242121"/>
          <w:shd w:val="clear" w:color="auto" w:fill="FFFFFF"/>
        </w:rPr>
        <w:t xml:space="preserve">defendant has made out a case to compel the plaintiffs to </w:t>
      </w:r>
      <w:r w:rsidR="00433B99">
        <w:rPr>
          <w:rFonts w:ascii="Arial" w:hAnsi="Arial" w:cs="Arial"/>
          <w:color w:val="242121"/>
          <w:shd w:val="clear" w:color="auto" w:fill="FFFFFF"/>
        </w:rPr>
        <w:t xml:space="preserve">produce </w:t>
      </w:r>
      <w:r w:rsidR="0000423D" w:rsidRPr="00D21EB5">
        <w:rPr>
          <w:rFonts w:ascii="Arial" w:hAnsi="Arial" w:cs="Arial"/>
          <w:color w:val="242121"/>
          <w:shd w:val="clear" w:color="auto" w:fill="FFFFFF"/>
        </w:rPr>
        <w:t>the documents listed in the defendant’s rule 35(3) notice dated</w:t>
      </w:r>
      <w:r w:rsidR="00433B99">
        <w:rPr>
          <w:rFonts w:ascii="Arial" w:hAnsi="Arial" w:cs="Arial"/>
          <w:color w:val="242121"/>
          <w:shd w:val="clear" w:color="auto" w:fill="FFFFFF"/>
        </w:rPr>
        <w:t xml:space="preserve"> 5 May 2022 (items 1,2, 3 and 5). </w:t>
      </w:r>
      <w:r w:rsidR="00433B99" w:rsidRPr="00953DA5">
        <w:rPr>
          <w:rFonts w:ascii="Arial" w:hAnsi="Arial" w:cs="Arial"/>
        </w:rPr>
        <w:t>I have found no reason for the departure from the general rule that costs follow the result</w:t>
      </w:r>
      <w:r w:rsidR="00433B99">
        <w:rPr>
          <w:rFonts w:ascii="Arial" w:hAnsi="Arial" w:cs="Arial"/>
        </w:rPr>
        <w:t>.</w:t>
      </w:r>
    </w:p>
    <w:p w14:paraId="05DA7B82" w14:textId="77777777" w:rsidR="00433B99" w:rsidRDefault="00433B99" w:rsidP="00811F56">
      <w:pPr>
        <w:pStyle w:val="NormalWeb"/>
        <w:shd w:val="clear" w:color="auto" w:fill="FFFFFF"/>
        <w:spacing w:before="144" w:beforeAutospacing="0" w:after="0" w:afterAutospacing="0" w:line="360" w:lineRule="auto"/>
        <w:ind w:left="720" w:hanging="720"/>
        <w:jc w:val="both"/>
        <w:rPr>
          <w:rFonts w:ascii="Arial" w:hAnsi="Arial" w:cs="Arial"/>
        </w:rPr>
      </w:pPr>
    </w:p>
    <w:p w14:paraId="71A737CE" w14:textId="43C5A4CB" w:rsidR="001F2432" w:rsidRPr="00D21EB5" w:rsidRDefault="00433B99" w:rsidP="00212F3A">
      <w:pPr>
        <w:pStyle w:val="NormalWeb"/>
        <w:shd w:val="clear" w:color="auto" w:fill="FFFFFF"/>
        <w:spacing w:before="144" w:beforeAutospacing="0" w:after="0" w:afterAutospacing="0" w:line="360" w:lineRule="atLeast"/>
        <w:ind w:left="720" w:hanging="720"/>
        <w:jc w:val="both"/>
        <w:rPr>
          <w:rFonts w:ascii="Arial" w:hAnsi="Arial" w:cs="Arial"/>
        </w:rPr>
      </w:pPr>
      <w:r w:rsidRPr="00953DA5">
        <w:rPr>
          <w:rFonts w:ascii="Arial" w:hAnsi="Arial" w:cs="Arial"/>
        </w:rPr>
        <w:t xml:space="preserve"> </w:t>
      </w:r>
      <w:r w:rsidR="00C57143" w:rsidRPr="00D21EB5">
        <w:rPr>
          <w:rFonts w:ascii="Arial" w:hAnsi="Arial" w:cs="Arial"/>
        </w:rPr>
        <w:t>[</w:t>
      </w:r>
      <w:r>
        <w:rPr>
          <w:rFonts w:ascii="Arial" w:hAnsi="Arial" w:cs="Arial"/>
        </w:rPr>
        <w:t>1</w:t>
      </w:r>
      <w:r w:rsidR="00212F3A">
        <w:rPr>
          <w:rFonts w:ascii="Arial" w:hAnsi="Arial" w:cs="Arial"/>
        </w:rPr>
        <w:t>5</w:t>
      </w:r>
      <w:r w:rsidR="00C57143" w:rsidRPr="00D21EB5">
        <w:rPr>
          <w:rFonts w:ascii="Arial" w:hAnsi="Arial" w:cs="Arial"/>
        </w:rPr>
        <w:t>]</w:t>
      </w:r>
      <w:r w:rsidR="00805EA8" w:rsidRPr="00D21EB5">
        <w:rPr>
          <w:rFonts w:ascii="Arial" w:hAnsi="Arial" w:cs="Arial"/>
        </w:rPr>
        <w:tab/>
      </w:r>
      <w:r w:rsidR="00C57143" w:rsidRPr="00D21EB5">
        <w:rPr>
          <w:rFonts w:ascii="Arial" w:hAnsi="Arial" w:cs="Arial"/>
        </w:rPr>
        <w:t>In the premises, I make</w:t>
      </w:r>
      <w:r w:rsidR="00F65CB6" w:rsidRPr="00D21EB5">
        <w:rPr>
          <w:rFonts w:ascii="Arial" w:hAnsi="Arial" w:cs="Arial"/>
        </w:rPr>
        <w:t xml:space="preserve"> an order in the following terms:</w:t>
      </w:r>
    </w:p>
    <w:p w14:paraId="000DB0E1" w14:textId="0470162E" w:rsidR="00F37193" w:rsidRPr="00F37193" w:rsidRDefault="00F37193" w:rsidP="00F37193">
      <w:pPr>
        <w:spacing w:after="0" w:line="360" w:lineRule="auto"/>
        <w:jc w:val="both"/>
        <w:rPr>
          <w:rFonts w:ascii="Arial" w:hAnsi="Arial" w:cs="Arial"/>
          <w:b/>
          <w:sz w:val="24"/>
          <w:szCs w:val="24"/>
        </w:rPr>
      </w:pPr>
      <w:r w:rsidRPr="00F37193">
        <w:rPr>
          <w:rFonts w:ascii="Arial" w:hAnsi="Arial" w:cs="Arial"/>
          <w:b/>
          <w:sz w:val="24"/>
          <w:szCs w:val="24"/>
        </w:rPr>
        <w:lastRenderedPageBreak/>
        <w:t>ORDER</w:t>
      </w:r>
    </w:p>
    <w:p w14:paraId="3805653E" w14:textId="77777777" w:rsidR="00F37193" w:rsidRDefault="00F37193" w:rsidP="00F37193">
      <w:pPr>
        <w:spacing w:after="0" w:line="240" w:lineRule="auto"/>
        <w:ind w:hanging="851"/>
        <w:rPr>
          <w:rFonts w:ascii="Arial" w:hAnsi="Arial" w:cs="Arial"/>
          <w:sz w:val="24"/>
          <w:szCs w:val="24"/>
        </w:rPr>
      </w:pPr>
    </w:p>
    <w:p w14:paraId="51B702F7" w14:textId="28827B9A" w:rsidR="00F37193" w:rsidRPr="00BA6FED" w:rsidRDefault="00BA6FED" w:rsidP="00BA6FED">
      <w:pPr>
        <w:spacing w:after="0" w:line="36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65CB6" w:rsidRPr="00BA6FED">
        <w:rPr>
          <w:rFonts w:ascii="Arial" w:hAnsi="Arial" w:cs="Arial"/>
          <w:sz w:val="24"/>
          <w:szCs w:val="24"/>
        </w:rPr>
        <w:t xml:space="preserve">The </w:t>
      </w:r>
      <w:r w:rsidR="0083123D" w:rsidRPr="00BA6FED">
        <w:rPr>
          <w:rFonts w:ascii="Arial" w:hAnsi="Arial" w:cs="Arial"/>
          <w:sz w:val="24"/>
          <w:szCs w:val="24"/>
        </w:rPr>
        <w:t xml:space="preserve">respondents are ordered to </w:t>
      </w:r>
      <w:r w:rsidR="00F37193" w:rsidRPr="00BA6FED">
        <w:rPr>
          <w:rFonts w:ascii="Arial" w:eastAsia="Times New Roman" w:hAnsi="Arial" w:cs="Arial"/>
          <w:color w:val="000000"/>
          <w:sz w:val="24"/>
          <w:szCs w:val="24"/>
          <w:lang w:val="en-US"/>
        </w:rPr>
        <w:t xml:space="preserve">produce for inspection: </w:t>
      </w:r>
      <w:r w:rsidR="00433B99" w:rsidRPr="00BA6FED">
        <w:rPr>
          <w:rFonts w:ascii="Arial" w:hAnsi="Arial" w:cs="Arial"/>
          <w:sz w:val="24"/>
          <w:szCs w:val="24"/>
        </w:rPr>
        <w:t>payslips</w:t>
      </w:r>
      <w:r w:rsidR="00F37193" w:rsidRPr="00BA6FED">
        <w:rPr>
          <w:rFonts w:ascii="Arial" w:hAnsi="Arial" w:cs="Arial"/>
          <w:sz w:val="24"/>
          <w:szCs w:val="24"/>
        </w:rPr>
        <w:t xml:space="preserve"> and/or proof of income and/or financial statements of the deceased; payslips and/or proof of income and/or financial statements of the plaintiffs; and confirmation of whether a Road Accident Fund claim for loss of support </w:t>
      </w:r>
      <w:r w:rsidR="00433B99" w:rsidRPr="00BA6FED">
        <w:rPr>
          <w:rFonts w:ascii="Arial" w:hAnsi="Arial" w:cs="Arial"/>
          <w:sz w:val="24"/>
          <w:szCs w:val="24"/>
        </w:rPr>
        <w:t xml:space="preserve">has been </w:t>
      </w:r>
      <w:r w:rsidR="00F37193" w:rsidRPr="00BA6FED">
        <w:rPr>
          <w:rFonts w:ascii="Arial" w:hAnsi="Arial" w:cs="Arial"/>
          <w:sz w:val="24"/>
          <w:szCs w:val="24"/>
        </w:rPr>
        <w:t>lodged by the plaintiffs pursuant to the death of the deceased if so, all the documentation regarding such a claim.</w:t>
      </w:r>
    </w:p>
    <w:p w14:paraId="12C0552D" w14:textId="77777777" w:rsidR="00D21EB5" w:rsidRDefault="00D21EB5" w:rsidP="00D21EB5">
      <w:pPr>
        <w:pStyle w:val="ListParagraph"/>
        <w:spacing w:after="0" w:line="276" w:lineRule="auto"/>
        <w:ind w:left="1080"/>
        <w:jc w:val="both"/>
        <w:rPr>
          <w:rFonts w:ascii="Arial" w:hAnsi="Arial" w:cs="Arial"/>
          <w:sz w:val="24"/>
          <w:szCs w:val="24"/>
        </w:rPr>
      </w:pPr>
    </w:p>
    <w:p w14:paraId="07E38388" w14:textId="69FC9701" w:rsidR="00F37193" w:rsidRPr="00BA6FED" w:rsidRDefault="00BA6FED" w:rsidP="00BA6FED">
      <w:pPr>
        <w:spacing w:after="0" w:line="360" w:lineRule="auto"/>
        <w:ind w:left="1080" w:hanging="360"/>
        <w:jc w:val="both"/>
        <w:rPr>
          <w:rFonts w:ascii="Arial" w:hAnsi="Arial" w:cs="Arial"/>
          <w:sz w:val="24"/>
          <w:szCs w:val="24"/>
        </w:rPr>
      </w:pPr>
      <w:r w:rsidRPr="00F37193">
        <w:rPr>
          <w:rFonts w:ascii="Arial" w:hAnsi="Arial" w:cs="Arial"/>
          <w:sz w:val="24"/>
          <w:szCs w:val="24"/>
        </w:rPr>
        <w:t>2.</w:t>
      </w:r>
      <w:r w:rsidRPr="00F37193">
        <w:rPr>
          <w:rFonts w:ascii="Arial" w:hAnsi="Arial" w:cs="Arial"/>
          <w:sz w:val="24"/>
          <w:szCs w:val="24"/>
        </w:rPr>
        <w:tab/>
      </w:r>
      <w:r w:rsidR="00F37193" w:rsidRPr="00BA6FED">
        <w:rPr>
          <w:rFonts w:ascii="Arial" w:hAnsi="Arial" w:cs="Arial"/>
          <w:sz w:val="24"/>
          <w:szCs w:val="24"/>
        </w:rPr>
        <w:t>The respondents shall pay the costs of this application jointly and severally, one paying the other to be absolved.</w:t>
      </w:r>
    </w:p>
    <w:p w14:paraId="7F691567" w14:textId="095D57ED" w:rsidR="00F37193" w:rsidRPr="00F37193" w:rsidRDefault="00F37193" w:rsidP="00D21EB5">
      <w:pPr>
        <w:pStyle w:val="ListParagraph"/>
        <w:spacing w:after="0" w:line="360" w:lineRule="auto"/>
        <w:ind w:left="900"/>
        <w:rPr>
          <w:rFonts w:ascii="Verdana" w:eastAsia="Times New Roman" w:hAnsi="Verdana" w:cs="Times New Roman"/>
          <w:color w:val="000000"/>
          <w:sz w:val="16"/>
          <w:szCs w:val="16"/>
          <w:lang w:val="en-US"/>
        </w:rPr>
      </w:pPr>
    </w:p>
    <w:p w14:paraId="01E3567F" w14:textId="2EDCD466" w:rsidR="00F65CB6" w:rsidRPr="003A7662" w:rsidRDefault="00F65CB6" w:rsidP="003A7662">
      <w:pPr>
        <w:spacing w:after="0" w:line="360" w:lineRule="auto"/>
        <w:jc w:val="both"/>
        <w:rPr>
          <w:rFonts w:ascii="Arial" w:hAnsi="Arial" w:cs="Arial"/>
          <w:color w:val="FF0000"/>
          <w:sz w:val="24"/>
          <w:szCs w:val="24"/>
        </w:rPr>
      </w:pPr>
    </w:p>
    <w:p w14:paraId="46C762FA" w14:textId="77777777" w:rsidR="0014277B" w:rsidRPr="003A7662" w:rsidRDefault="0014277B" w:rsidP="003A7662">
      <w:pPr>
        <w:autoSpaceDE w:val="0"/>
        <w:autoSpaceDN w:val="0"/>
        <w:adjustRightInd w:val="0"/>
        <w:spacing w:after="0" w:line="360" w:lineRule="auto"/>
        <w:ind w:left="720"/>
        <w:jc w:val="right"/>
        <w:rPr>
          <w:rFonts w:ascii="Arial" w:hAnsi="Arial" w:cs="Arial"/>
          <w:b/>
          <w:sz w:val="24"/>
          <w:szCs w:val="24"/>
        </w:rPr>
      </w:pPr>
      <w:r w:rsidRPr="003A7662">
        <w:rPr>
          <w:rFonts w:ascii="Arial" w:hAnsi="Arial" w:cs="Arial"/>
          <w:b/>
          <w:sz w:val="24"/>
          <w:szCs w:val="24"/>
        </w:rPr>
        <w:t>_____________</w:t>
      </w:r>
    </w:p>
    <w:p w14:paraId="1539A922" w14:textId="3270C51B" w:rsidR="00C85CB4" w:rsidRPr="003A7662" w:rsidRDefault="001F2432" w:rsidP="003A7662">
      <w:pPr>
        <w:autoSpaceDE w:val="0"/>
        <w:autoSpaceDN w:val="0"/>
        <w:adjustRightInd w:val="0"/>
        <w:spacing w:after="0" w:line="360" w:lineRule="auto"/>
        <w:ind w:left="720"/>
        <w:jc w:val="right"/>
        <w:rPr>
          <w:rFonts w:ascii="Arial" w:hAnsi="Arial" w:cs="Arial"/>
          <w:b/>
          <w:sz w:val="24"/>
          <w:szCs w:val="24"/>
        </w:rPr>
      </w:pPr>
      <w:r w:rsidRPr="003A7662">
        <w:rPr>
          <w:rFonts w:ascii="Arial" w:hAnsi="Arial" w:cs="Arial"/>
          <w:b/>
          <w:sz w:val="24"/>
          <w:szCs w:val="24"/>
        </w:rPr>
        <w:t>N</w:t>
      </w:r>
      <w:r w:rsidR="00DC3138">
        <w:rPr>
          <w:rFonts w:ascii="Arial" w:hAnsi="Arial" w:cs="Arial"/>
          <w:b/>
          <w:sz w:val="24"/>
          <w:szCs w:val="24"/>
        </w:rPr>
        <w:t xml:space="preserve"> </w:t>
      </w:r>
      <w:r w:rsidRPr="003A7662">
        <w:rPr>
          <w:rFonts w:ascii="Arial" w:hAnsi="Arial" w:cs="Arial"/>
          <w:b/>
          <w:sz w:val="24"/>
          <w:szCs w:val="24"/>
        </w:rPr>
        <w:t>S</w:t>
      </w:r>
      <w:r w:rsidR="00DC3138">
        <w:rPr>
          <w:rFonts w:ascii="Arial" w:hAnsi="Arial" w:cs="Arial"/>
          <w:b/>
          <w:sz w:val="24"/>
          <w:szCs w:val="24"/>
        </w:rPr>
        <w:t xml:space="preserve"> </w:t>
      </w:r>
      <w:r w:rsidRPr="003A7662">
        <w:rPr>
          <w:rFonts w:ascii="Arial" w:hAnsi="Arial" w:cs="Arial"/>
          <w:b/>
          <w:sz w:val="24"/>
          <w:szCs w:val="24"/>
        </w:rPr>
        <w:t xml:space="preserve">DANISO, </w:t>
      </w:r>
      <w:r w:rsidR="0014277B" w:rsidRPr="003A7662">
        <w:rPr>
          <w:rFonts w:ascii="Arial" w:hAnsi="Arial" w:cs="Arial"/>
          <w:b/>
          <w:sz w:val="24"/>
          <w:szCs w:val="24"/>
        </w:rPr>
        <w:t xml:space="preserve">J </w:t>
      </w:r>
    </w:p>
    <w:p w14:paraId="5AD6BFAD" w14:textId="008F5196" w:rsidR="0014277B" w:rsidRPr="003A7662" w:rsidRDefault="0014277B" w:rsidP="003A7662">
      <w:pPr>
        <w:autoSpaceDE w:val="0"/>
        <w:autoSpaceDN w:val="0"/>
        <w:adjustRightInd w:val="0"/>
        <w:spacing w:line="360" w:lineRule="auto"/>
        <w:rPr>
          <w:rFonts w:ascii="Arial" w:hAnsi="Arial" w:cs="Arial"/>
          <w:sz w:val="24"/>
          <w:szCs w:val="24"/>
        </w:rPr>
      </w:pPr>
      <w:r w:rsidRPr="003A7662">
        <w:rPr>
          <w:rFonts w:ascii="Arial" w:hAnsi="Arial" w:cs="Arial"/>
          <w:sz w:val="24"/>
          <w:szCs w:val="24"/>
        </w:rPr>
        <w:t xml:space="preserve">APPEARANCES: </w:t>
      </w:r>
      <w:r w:rsidRPr="003A7662">
        <w:rPr>
          <w:rFonts w:ascii="Arial" w:hAnsi="Arial" w:cs="Arial"/>
          <w:sz w:val="24"/>
          <w:szCs w:val="24"/>
        </w:rPr>
        <w:tab/>
      </w:r>
    </w:p>
    <w:p w14:paraId="7B843D2A" w14:textId="0224B3C9" w:rsidR="0014277B" w:rsidRPr="0083123D" w:rsidRDefault="0014277B" w:rsidP="00D21EB5">
      <w:pPr>
        <w:autoSpaceDE w:val="0"/>
        <w:autoSpaceDN w:val="0"/>
        <w:adjustRightInd w:val="0"/>
        <w:spacing w:after="0" w:line="360" w:lineRule="auto"/>
        <w:rPr>
          <w:rFonts w:ascii="Arial" w:hAnsi="Arial" w:cs="Arial"/>
          <w:sz w:val="24"/>
          <w:szCs w:val="24"/>
        </w:rPr>
      </w:pPr>
      <w:r w:rsidRPr="0083123D">
        <w:rPr>
          <w:rFonts w:ascii="Arial" w:hAnsi="Arial" w:cs="Arial"/>
          <w:sz w:val="24"/>
          <w:szCs w:val="24"/>
        </w:rPr>
        <w:t xml:space="preserve">Counsel on behalf of Applicant: </w:t>
      </w:r>
      <w:r w:rsidRPr="0083123D">
        <w:rPr>
          <w:rFonts w:ascii="Arial" w:hAnsi="Arial" w:cs="Arial"/>
          <w:sz w:val="24"/>
          <w:szCs w:val="24"/>
        </w:rPr>
        <w:tab/>
      </w:r>
      <w:r w:rsidRPr="0083123D">
        <w:rPr>
          <w:rFonts w:ascii="Arial" w:hAnsi="Arial" w:cs="Arial"/>
          <w:sz w:val="24"/>
          <w:szCs w:val="24"/>
        </w:rPr>
        <w:tab/>
      </w:r>
      <w:r w:rsidR="0083123D">
        <w:rPr>
          <w:rFonts w:ascii="Arial" w:hAnsi="Arial" w:cs="Arial"/>
          <w:sz w:val="24"/>
          <w:szCs w:val="24"/>
        </w:rPr>
        <w:tab/>
        <w:t xml:space="preserve">Ms. </w:t>
      </w:r>
      <w:r w:rsidR="003A7662">
        <w:rPr>
          <w:rFonts w:ascii="Arial" w:hAnsi="Arial" w:cs="Arial"/>
          <w:sz w:val="24"/>
          <w:szCs w:val="24"/>
        </w:rPr>
        <w:t xml:space="preserve">R. </w:t>
      </w:r>
      <w:r w:rsidR="006B6C66">
        <w:rPr>
          <w:rFonts w:ascii="Arial" w:hAnsi="Arial" w:cs="Arial"/>
          <w:sz w:val="24"/>
          <w:szCs w:val="24"/>
        </w:rPr>
        <w:t xml:space="preserve">D. </w:t>
      </w:r>
      <w:r w:rsidR="003A7662">
        <w:rPr>
          <w:rFonts w:ascii="Arial" w:hAnsi="Arial" w:cs="Arial"/>
          <w:sz w:val="24"/>
          <w:szCs w:val="24"/>
        </w:rPr>
        <w:t xml:space="preserve">Canham </w:t>
      </w:r>
    </w:p>
    <w:p w14:paraId="1B2B74FD" w14:textId="39E8D4EA" w:rsidR="0014277B" w:rsidRPr="0083123D" w:rsidRDefault="0014277B" w:rsidP="00D21EB5">
      <w:pPr>
        <w:autoSpaceDE w:val="0"/>
        <w:autoSpaceDN w:val="0"/>
        <w:adjustRightInd w:val="0"/>
        <w:spacing w:after="0" w:line="360" w:lineRule="auto"/>
        <w:rPr>
          <w:rFonts w:ascii="Arial" w:hAnsi="Arial" w:cs="Arial"/>
          <w:sz w:val="24"/>
          <w:szCs w:val="24"/>
        </w:rPr>
      </w:pPr>
      <w:r w:rsidRPr="0083123D">
        <w:rPr>
          <w:rFonts w:ascii="Arial" w:hAnsi="Arial" w:cs="Arial"/>
          <w:sz w:val="24"/>
          <w:szCs w:val="24"/>
        </w:rPr>
        <w:t>Instructed by:</w:t>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003A7662">
        <w:rPr>
          <w:rFonts w:ascii="Arial" w:hAnsi="Arial" w:cs="Arial"/>
          <w:sz w:val="24"/>
          <w:szCs w:val="24"/>
        </w:rPr>
        <w:t>Office of the State Attorneys</w:t>
      </w:r>
    </w:p>
    <w:p w14:paraId="1A8CDD37" w14:textId="494D1F70" w:rsidR="00562B6B" w:rsidRPr="0083123D" w:rsidRDefault="00562B6B" w:rsidP="00D21EB5">
      <w:pPr>
        <w:autoSpaceDE w:val="0"/>
        <w:autoSpaceDN w:val="0"/>
        <w:adjustRightInd w:val="0"/>
        <w:spacing w:after="0" w:line="360" w:lineRule="auto"/>
        <w:rPr>
          <w:rFonts w:ascii="Arial" w:hAnsi="Arial" w:cs="Arial"/>
          <w:b/>
          <w:sz w:val="24"/>
          <w:szCs w:val="24"/>
        </w:rPr>
      </w:pP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sz w:val="24"/>
          <w:szCs w:val="24"/>
        </w:rPr>
        <w:tab/>
      </w:r>
      <w:r w:rsidRPr="0083123D">
        <w:rPr>
          <w:rFonts w:ascii="Arial" w:hAnsi="Arial" w:cs="Arial"/>
          <w:b/>
          <w:sz w:val="24"/>
          <w:szCs w:val="24"/>
        </w:rPr>
        <w:t>BLOEMFONTEIN</w:t>
      </w:r>
    </w:p>
    <w:p w14:paraId="75EAC07F" w14:textId="2850EFC2" w:rsidR="001F2432" w:rsidRDefault="001F2432" w:rsidP="003A7662">
      <w:pPr>
        <w:autoSpaceDE w:val="0"/>
        <w:autoSpaceDN w:val="0"/>
        <w:adjustRightInd w:val="0"/>
        <w:spacing w:line="360" w:lineRule="auto"/>
        <w:rPr>
          <w:rFonts w:ascii="Arial" w:hAnsi="Arial" w:cs="Arial"/>
          <w:sz w:val="27"/>
          <w:szCs w:val="27"/>
        </w:rPr>
      </w:pPr>
    </w:p>
    <w:p w14:paraId="49E7B741" w14:textId="3B1AAB02" w:rsidR="0014277B" w:rsidRPr="0083123D" w:rsidRDefault="0014277B" w:rsidP="00D21EB5">
      <w:pPr>
        <w:autoSpaceDE w:val="0"/>
        <w:autoSpaceDN w:val="0"/>
        <w:adjustRightInd w:val="0"/>
        <w:spacing w:after="0" w:line="360" w:lineRule="auto"/>
        <w:rPr>
          <w:rFonts w:ascii="Arial" w:hAnsi="Arial" w:cs="Arial"/>
          <w:sz w:val="24"/>
          <w:szCs w:val="24"/>
        </w:rPr>
      </w:pPr>
      <w:r w:rsidRPr="0083123D">
        <w:rPr>
          <w:rFonts w:ascii="Arial" w:hAnsi="Arial" w:cs="Arial"/>
          <w:sz w:val="24"/>
          <w:szCs w:val="24"/>
        </w:rPr>
        <w:t>Counsel on behalf of Respondent</w:t>
      </w:r>
      <w:r w:rsidR="0083123D" w:rsidRPr="0083123D">
        <w:rPr>
          <w:rFonts w:ascii="Arial" w:hAnsi="Arial" w:cs="Arial"/>
          <w:sz w:val="24"/>
          <w:szCs w:val="24"/>
        </w:rPr>
        <w:t>s:</w:t>
      </w:r>
      <w:r w:rsidRPr="0083123D">
        <w:rPr>
          <w:rFonts w:ascii="Arial" w:hAnsi="Arial" w:cs="Arial"/>
          <w:sz w:val="24"/>
          <w:szCs w:val="24"/>
        </w:rPr>
        <w:tab/>
      </w:r>
      <w:r w:rsidRPr="0083123D">
        <w:rPr>
          <w:rFonts w:ascii="Arial" w:hAnsi="Arial" w:cs="Arial"/>
          <w:sz w:val="24"/>
          <w:szCs w:val="24"/>
        </w:rPr>
        <w:tab/>
      </w:r>
      <w:r w:rsidR="00562B6B" w:rsidRPr="0083123D">
        <w:rPr>
          <w:rFonts w:ascii="Arial" w:hAnsi="Arial" w:cs="Arial"/>
          <w:sz w:val="24"/>
          <w:szCs w:val="24"/>
        </w:rPr>
        <w:t xml:space="preserve">Adv. </w:t>
      </w:r>
      <w:r w:rsidR="0083123D" w:rsidRPr="0083123D">
        <w:rPr>
          <w:rFonts w:ascii="Arial" w:hAnsi="Arial" w:cs="Arial"/>
          <w:sz w:val="24"/>
          <w:szCs w:val="24"/>
        </w:rPr>
        <w:t xml:space="preserve">P.C. </w:t>
      </w:r>
      <w:proofErr w:type="spellStart"/>
      <w:r w:rsidR="0083123D" w:rsidRPr="0083123D">
        <w:rPr>
          <w:rFonts w:ascii="Arial" w:hAnsi="Arial" w:cs="Arial"/>
          <w:sz w:val="24"/>
          <w:szCs w:val="24"/>
        </w:rPr>
        <w:t>Ploos</w:t>
      </w:r>
      <w:proofErr w:type="spellEnd"/>
      <w:r w:rsidR="0083123D" w:rsidRPr="0083123D">
        <w:rPr>
          <w:rFonts w:ascii="Arial" w:hAnsi="Arial" w:cs="Arial"/>
          <w:sz w:val="24"/>
          <w:szCs w:val="24"/>
        </w:rPr>
        <w:t xml:space="preserve"> van Amstel</w:t>
      </w:r>
    </w:p>
    <w:p w14:paraId="3D69A78C" w14:textId="0B186C3E" w:rsidR="00562B6B" w:rsidRPr="0083123D" w:rsidRDefault="00C4098F" w:rsidP="00D21EB5">
      <w:pPr>
        <w:autoSpaceDE w:val="0"/>
        <w:autoSpaceDN w:val="0"/>
        <w:adjustRightInd w:val="0"/>
        <w:spacing w:after="0" w:line="360" w:lineRule="auto"/>
        <w:rPr>
          <w:rFonts w:ascii="Arial" w:hAnsi="Arial" w:cs="Arial"/>
          <w:sz w:val="24"/>
          <w:szCs w:val="24"/>
        </w:rPr>
      </w:pPr>
      <w:r w:rsidRPr="0083123D">
        <w:rPr>
          <w:rFonts w:ascii="Arial" w:hAnsi="Arial" w:cs="Arial"/>
          <w:sz w:val="24"/>
          <w:szCs w:val="24"/>
        </w:rPr>
        <w:t>Instructed by</w:t>
      </w:r>
      <w:r w:rsidR="0014277B" w:rsidRPr="0083123D">
        <w:rPr>
          <w:rFonts w:ascii="Arial" w:hAnsi="Arial" w:cs="Arial"/>
          <w:sz w:val="24"/>
          <w:szCs w:val="24"/>
        </w:rPr>
        <w:t>:</w:t>
      </w:r>
      <w:r w:rsidR="0014277B" w:rsidRPr="0083123D">
        <w:rPr>
          <w:rFonts w:ascii="Arial" w:hAnsi="Arial" w:cs="Arial"/>
          <w:sz w:val="24"/>
          <w:szCs w:val="24"/>
        </w:rPr>
        <w:tab/>
      </w:r>
      <w:r w:rsidR="0014277B" w:rsidRPr="0083123D">
        <w:rPr>
          <w:rFonts w:ascii="Arial" w:hAnsi="Arial" w:cs="Arial"/>
          <w:sz w:val="24"/>
          <w:szCs w:val="24"/>
        </w:rPr>
        <w:tab/>
      </w:r>
      <w:r w:rsidR="0014277B" w:rsidRPr="0083123D">
        <w:rPr>
          <w:rFonts w:ascii="Arial" w:hAnsi="Arial" w:cs="Arial"/>
          <w:sz w:val="24"/>
          <w:szCs w:val="24"/>
        </w:rPr>
        <w:tab/>
      </w:r>
      <w:r w:rsidR="0014277B" w:rsidRPr="0083123D">
        <w:rPr>
          <w:rFonts w:ascii="Arial" w:hAnsi="Arial" w:cs="Arial"/>
          <w:sz w:val="24"/>
          <w:szCs w:val="24"/>
        </w:rPr>
        <w:tab/>
      </w:r>
      <w:r w:rsidR="0014277B" w:rsidRPr="0083123D">
        <w:rPr>
          <w:rFonts w:ascii="Arial" w:hAnsi="Arial" w:cs="Arial"/>
          <w:sz w:val="24"/>
          <w:szCs w:val="24"/>
        </w:rPr>
        <w:tab/>
      </w:r>
      <w:r w:rsidR="0083123D" w:rsidRPr="0083123D">
        <w:rPr>
          <w:rFonts w:ascii="Arial" w:hAnsi="Arial" w:cs="Arial"/>
          <w:sz w:val="24"/>
          <w:szCs w:val="24"/>
        </w:rPr>
        <w:t>Du Plessis Attorneys</w:t>
      </w:r>
      <w:r w:rsidR="00562B6B" w:rsidRPr="0083123D">
        <w:rPr>
          <w:rFonts w:ascii="Arial" w:hAnsi="Arial" w:cs="Arial"/>
          <w:sz w:val="24"/>
          <w:szCs w:val="24"/>
        </w:rPr>
        <w:t>.</w:t>
      </w:r>
    </w:p>
    <w:p w14:paraId="596E20D6" w14:textId="0D47EAAE" w:rsidR="008E5CD1" w:rsidRPr="0083123D" w:rsidRDefault="00562B6B" w:rsidP="00D21EB5">
      <w:pPr>
        <w:autoSpaceDE w:val="0"/>
        <w:autoSpaceDN w:val="0"/>
        <w:adjustRightInd w:val="0"/>
        <w:spacing w:after="0" w:line="360" w:lineRule="auto"/>
        <w:ind w:left="4320" w:firstLine="720"/>
        <w:rPr>
          <w:rFonts w:ascii="Arial" w:hAnsi="Arial" w:cs="Arial"/>
          <w:sz w:val="24"/>
          <w:szCs w:val="24"/>
        </w:rPr>
      </w:pPr>
      <w:r w:rsidRPr="0083123D">
        <w:rPr>
          <w:rFonts w:ascii="Arial" w:hAnsi="Arial" w:cs="Arial"/>
          <w:sz w:val="24"/>
          <w:szCs w:val="24"/>
        </w:rPr>
        <w:t xml:space="preserve">c/o </w:t>
      </w:r>
      <w:proofErr w:type="spellStart"/>
      <w:r w:rsidR="0083123D" w:rsidRPr="0083123D">
        <w:rPr>
          <w:rFonts w:ascii="Arial" w:hAnsi="Arial" w:cs="Arial"/>
          <w:sz w:val="24"/>
          <w:szCs w:val="24"/>
        </w:rPr>
        <w:t>Lovius</w:t>
      </w:r>
      <w:proofErr w:type="spellEnd"/>
      <w:r w:rsidR="0083123D" w:rsidRPr="0083123D">
        <w:rPr>
          <w:rFonts w:ascii="Arial" w:hAnsi="Arial" w:cs="Arial"/>
          <w:sz w:val="24"/>
          <w:szCs w:val="24"/>
        </w:rPr>
        <w:t xml:space="preserve"> Block</w:t>
      </w:r>
    </w:p>
    <w:p w14:paraId="0D478BB9" w14:textId="7C3ABE5A" w:rsidR="00562B6B" w:rsidRPr="0083123D" w:rsidRDefault="00562B6B" w:rsidP="003A7662">
      <w:pPr>
        <w:autoSpaceDE w:val="0"/>
        <w:autoSpaceDN w:val="0"/>
        <w:adjustRightInd w:val="0"/>
        <w:spacing w:line="360" w:lineRule="auto"/>
        <w:ind w:left="4320" w:firstLine="720"/>
        <w:rPr>
          <w:rFonts w:ascii="Arial" w:hAnsi="Arial" w:cs="Arial"/>
          <w:b/>
          <w:sz w:val="24"/>
          <w:szCs w:val="24"/>
        </w:rPr>
      </w:pPr>
      <w:r w:rsidRPr="0083123D">
        <w:rPr>
          <w:rFonts w:ascii="Arial" w:hAnsi="Arial" w:cs="Arial"/>
          <w:b/>
          <w:sz w:val="24"/>
          <w:szCs w:val="24"/>
        </w:rPr>
        <w:t>BLOEMFONTEIN</w:t>
      </w:r>
    </w:p>
    <w:sectPr w:rsidR="00562B6B" w:rsidRPr="0083123D" w:rsidSect="00433B99">
      <w:headerReference w:type="default" r:id="rId10"/>
      <w:pgSz w:w="11906" w:h="16838"/>
      <w:pgMar w:top="1440" w:right="1440" w:bottom="144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6379" w14:textId="77777777" w:rsidR="00964315" w:rsidRDefault="00964315" w:rsidP="003A2C84">
      <w:pPr>
        <w:spacing w:after="0" w:line="240" w:lineRule="auto"/>
      </w:pPr>
      <w:r>
        <w:separator/>
      </w:r>
    </w:p>
  </w:endnote>
  <w:endnote w:type="continuationSeparator" w:id="0">
    <w:p w14:paraId="3DAA2237" w14:textId="77777777" w:rsidR="00964315" w:rsidRDefault="00964315"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4CAE" w14:textId="77777777" w:rsidR="00964315" w:rsidRDefault="00964315" w:rsidP="003A2C84">
      <w:pPr>
        <w:spacing w:after="0" w:line="240" w:lineRule="auto"/>
      </w:pPr>
      <w:r>
        <w:separator/>
      </w:r>
    </w:p>
  </w:footnote>
  <w:footnote w:type="continuationSeparator" w:id="0">
    <w:p w14:paraId="32B9D1EE" w14:textId="77777777" w:rsidR="00964315" w:rsidRDefault="00964315" w:rsidP="003A2C84">
      <w:pPr>
        <w:spacing w:after="0" w:line="240" w:lineRule="auto"/>
      </w:pPr>
      <w:r>
        <w:continuationSeparator/>
      </w:r>
    </w:p>
  </w:footnote>
  <w:footnote w:id="1">
    <w:p w14:paraId="35F80A30" w14:textId="6711639A" w:rsidR="003E55E2" w:rsidRDefault="003E55E2" w:rsidP="003E55E2">
      <w:pPr>
        <w:pStyle w:val="FootnoteText"/>
        <w:spacing w:line="360" w:lineRule="auto"/>
        <w:ind w:left="720" w:hanging="720"/>
        <w:jc w:val="both"/>
      </w:pPr>
      <w:r>
        <w:rPr>
          <w:rStyle w:val="FootnoteReference"/>
        </w:rPr>
        <w:footnoteRef/>
      </w:r>
      <w:r>
        <w:t xml:space="preserve"> 1999 (2) SA 279 (T) at 316E-317B.</w:t>
      </w:r>
    </w:p>
    <w:p w14:paraId="7C9DC9E6" w14:textId="53EC89B4" w:rsidR="003E55E2" w:rsidRPr="003E55E2" w:rsidRDefault="003E55E2">
      <w:pPr>
        <w:pStyle w:val="FootnoteText"/>
        <w:rPr>
          <w:lang w:val="en-US"/>
        </w:rPr>
      </w:pPr>
    </w:p>
  </w:footnote>
  <w:footnote w:id="2">
    <w:p w14:paraId="3EE53EFF" w14:textId="3B3F1690" w:rsidR="00190253" w:rsidRPr="00212F3A" w:rsidRDefault="00190253" w:rsidP="00190253">
      <w:pPr>
        <w:pStyle w:val="FootnoteText"/>
        <w:rPr>
          <w:lang w:val="en-US"/>
        </w:rPr>
      </w:pPr>
      <w:r>
        <w:rPr>
          <w:rStyle w:val="FootnoteReference"/>
        </w:rPr>
        <w:footnoteRef/>
      </w:r>
      <w:r>
        <w:t xml:space="preserve"> </w:t>
      </w:r>
      <w:r>
        <w:rPr>
          <w:i/>
          <w:lang w:val="en-US"/>
        </w:rPr>
        <w:t>Independent Newspapers (Pty) LTD v Mini</w:t>
      </w:r>
      <w:r w:rsidR="00212F3A">
        <w:rPr>
          <w:i/>
          <w:lang w:val="en-US"/>
        </w:rPr>
        <w:t xml:space="preserve">ster for Intelligence Services (Freedom of Expression Institute as Amicus Curiae) In re: </w:t>
      </w:r>
      <w:proofErr w:type="spellStart"/>
      <w:r w:rsidR="00212F3A">
        <w:rPr>
          <w:i/>
          <w:lang w:val="en-US"/>
        </w:rPr>
        <w:t>Masethla</w:t>
      </w:r>
      <w:proofErr w:type="spellEnd"/>
      <w:r w:rsidR="00212F3A">
        <w:rPr>
          <w:i/>
          <w:lang w:val="en-US"/>
        </w:rPr>
        <w:t xml:space="preserve"> v President of the Republic of South Africa and Another </w:t>
      </w:r>
      <w:r w:rsidR="00212F3A">
        <w:rPr>
          <w:lang w:val="en-US"/>
        </w:rPr>
        <w:t>ZACC 6; 2008 (5) SA 31 (CC) 2008 (80 BCLR 771 (CC) (22 May 2008)</w:t>
      </w:r>
    </w:p>
  </w:footnote>
  <w:footnote w:id="3">
    <w:p w14:paraId="5B373A96" w14:textId="70EDF63A" w:rsidR="00433B99" w:rsidRPr="00433B99" w:rsidRDefault="00433B99">
      <w:pPr>
        <w:pStyle w:val="FootnoteText"/>
        <w:rPr>
          <w:lang w:val="en-US"/>
        </w:rPr>
      </w:pPr>
      <w:r>
        <w:rPr>
          <w:rStyle w:val="FootnoteReference"/>
        </w:rPr>
        <w:footnoteRef/>
      </w:r>
      <w:r>
        <w:t xml:space="preserve"> </w:t>
      </w:r>
      <w:r>
        <w:rPr>
          <w:lang w:val="en-US"/>
        </w:rPr>
        <w:t>Section 17 of the Road Accident Fund Act, 56 of 1966 (as amended by the Road Accident Fund Amendment Act 19 of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97088"/>
      <w:docPartObj>
        <w:docPartGallery w:val="Page Numbers (Top of Page)"/>
        <w:docPartUnique/>
      </w:docPartObj>
    </w:sdtPr>
    <w:sdtEndPr>
      <w:rPr>
        <w:noProof/>
      </w:rPr>
    </w:sdtEndPr>
    <w:sdtContent>
      <w:p w14:paraId="5E538C9E" w14:textId="631C3D93" w:rsidR="00AA0B6D" w:rsidRDefault="00AA0B6D">
        <w:pPr>
          <w:pStyle w:val="Header"/>
          <w:jc w:val="right"/>
        </w:pPr>
        <w:r>
          <w:fldChar w:fldCharType="begin"/>
        </w:r>
        <w:r>
          <w:instrText xml:space="preserve"> PAGE   \* MERGEFORMAT </w:instrText>
        </w:r>
        <w:r>
          <w:fldChar w:fldCharType="separate"/>
        </w:r>
        <w:r w:rsidR="00F0046F">
          <w:rPr>
            <w:noProof/>
          </w:rPr>
          <w:t>2</w:t>
        </w:r>
        <w:r>
          <w:rPr>
            <w:noProof/>
          </w:rPr>
          <w:fldChar w:fldCharType="end"/>
        </w:r>
      </w:p>
    </w:sdtContent>
  </w:sdt>
  <w:p w14:paraId="46466569" w14:textId="77777777" w:rsidR="00AA0B6D" w:rsidRDefault="00AA0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3858C3"/>
    <w:multiLevelType w:val="hybridMultilevel"/>
    <w:tmpl w:val="F118C134"/>
    <w:lvl w:ilvl="0" w:tplc="82F80B5C">
      <w:start w:val="7"/>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C6A3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C274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EE38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0E0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3CB4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663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4A17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008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D765E1"/>
    <w:multiLevelType w:val="hybridMultilevel"/>
    <w:tmpl w:val="2264C866"/>
    <w:lvl w:ilvl="0" w:tplc="CCBAA51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7A2498"/>
    <w:multiLevelType w:val="hybridMultilevel"/>
    <w:tmpl w:val="F1FE4B58"/>
    <w:lvl w:ilvl="0" w:tplc="F028BFA0">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84A27B9"/>
    <w:multiLevelType w:val="multilevel"/>
    <w:tmpl w:val="4554007E"/>
    <w:lvl w:ilvl="0">
      <w:start w:val="10"/>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AA8074F"/>
    <w:multiLevelType w:val="hybridMultilevel"/>
    <w:tmpl w:val="F910A576"/>
    <w:lvl w:ilvl="0" w:tplc="D11A879C">
      <w:start w:val="1"/>
      <w:numFmt w:val="decimal"/>
      <w:lvlText w:val="%1."/>
      <w:lvlJc w:val="left"/>
      <w:pPr>
        <w:ind w:left="900" w:hanging="360"/>
      </w:pPr>
      <w:rPr>
        <w:rFonts w:ascii="Arial" w:eastAsiaTheme="minorHAnsi" w:hAnsi="Arial" w:cs="Arial" w:hint="default"/>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DB2423"/>
    <w:multiLevelType w:val="multilevel"/>
    <w:tmpl w:val="0542F784"/>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3D4BD9"/>
    <w:multiLevelType w:val="multilevel"/>
    <w:tmpl w:val="102849EA"/>
    <w:lvl w:ilvl="0">
      <w:start w:val="10"/>
      <w:numFmt w:val="decimal"/>
      <w:lvlText w:val="%1."/>
      <w:lvlJc w:val="left"/>
      <w:pPr>
        <w:ind w:left="645" w:hanging="64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ED16AF7"/>
    <w:multiLevelType w:val="hybridMultilevel"/>
    <w:tmpl w:val="12FE0708"/>
    <w:lvl w:ilvl="0" w:tplc="2B4C9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BE024A"/>
    <w:multiLevelType w:val="hybridMultilevel"/>
    <w:tmpl w:val="79A8C0B0"/>
    <w:lvl w:ilvl="0" w:tplc="8AC87ECA">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84345B"/>
    <w:multiLevelType w:val="hybridMultilevel"/>
    <w:tmpl w:val="7B82A6C4"/>
    <w:lvl w:ilvl="0" w:tplc="45D6AB1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EDB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A48E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87D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270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8815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2CCD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028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3A02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9D064D"/>
    <w:multiLevelType w:val="multilevel"/>
    <w:tmpl w:val="E84EBE50"/>
    <w:lvl w:ilvl="0">
      <w:start w:val="7"/>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48610E0"/>
    <w:multiLevelType w:val="hybridMultilevel"/>
    <w:tmpl w:val="0F00E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5B15C29"/>
    <w:multiLevelType w:val="hybridMultilevel"/>
    <w:tmpl w:val="E74258EE"/>
    <w:lvl w:ilvl="0" w:tplc="1FBA8AE2">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475218245">
    <w:abstractNumId w:val="4"/>
  </w:num>
  <w:num w:numId="2" w16cid:durableId="1189173603">
    <w:abstractNumId w:val="0"/>
  </w:num>
  <w:num w:numId="3" w16cid:durableId="452945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0545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202518">
    <w:abstractNumId w:val="5"/>
  </w:num>
  <w:num w:numId="6" w16cid:durableId="366494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698087">
    <w:abstractNumId w:val="18"/>
  </w:num>
  <w:num w:numId="8" w16cid:durableId="1367103340">
    <w:abstractNumId w:val="17"/>
  </w:num>
  <w:num w:numId="9" w16cid:durableId="2003121496">
    <w:abstractNumId w:val="9"/>
  </w:num>
  <w:num w:numId="10" w16cid:durableId="2046635521">
    <w:abstractNumId w:val="7"/>
  </w:num>
  <w:num w:numId="11" w16cid:durableId="1694576911">
    <w:abstractNumId w:val="14"/>
  </w:num>
  <w:num w:numId="12" w16cid:durableId="2060090016">
    <w:abstractNumId w:val="12"/>
  </w:num>
  <w:num w:numId="13" w16cid:durableId="2103989383">
    <w:abstractNumId w:val="6"/>
  </w:num>
  <w:num w:numId="14" w16cid:durableId="1692220650">
    <w:abstractNumId w:val="16"/>
  </w:num>
  <w:num w:numId="15" w16cid:durableId="1469008425">
    <w:abstractNumId w:val="2"/>
  </w:num>
  <w:num w:numId="16" w16cid:durableId="1623658177">
    <w:abstractNumId w:val="15"/>
  </w:num>
  <w:num w:numId="17" w16cid:durableId="299117763">
    <w:abstractNumId w:val="1"/>
  </w:num>
  <w:num w:numId="18" w16cid:durableId="323095898">
    <w:abstractNumId w:val="8"/>
  </w:num>
  <w:num w:numId="19" w16cid:durableId="41364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CD832B-CDCC-46EE-9C2E-7AE388910725}"/>
    <w:docVar w:name="dgnword-eventsink" w:val="186835864"/>
  </w:docVars>
  <w:rsids>
    <w:rsidRoot w:val="0024500F"/>
    <w:rsid w:val="0000303C"/>
    <w:rsid w:val="0000423D"/>
    <w:rsid w:val="00005FCF"/>
    <w:rsid w:val="000167D1"/>
    <w:rsid w:val="000179D0"/>
    <w:rsid w:val="00021C6A"/>
    <w:rsid w:val="000225F7"/>
    <w:rsid w:val="00024A54"/>
    <w:rsid w:val="000361B2"/>
    <w:rsid w:val="00044AA1"/>
    <w:rsid w:val="00044B1C"/>
    <w:rsid w:val="00051303"/>
    <w:rsid w:val="00054CC3"/>
    <w:rsid w:val="00054D78"/>
    <w:rsid w:val="000615D3"/>
    <w:rsid w:val="000653A3"/>
    <w:rsid w:val="00065F0A"/>
    <w:rsid w:val="00066F64"/>
    <w:rsid w:val="00067FC1"/>
    <w:rsid w:val="00073CEE"/>
    <w:rsid w:val="0008324E"/>
    <w:rsid w:val="000840C9"/>
    <w:rsid w:val="00096E9A"/>
    <w:rsid w:val="000970DB"/>
    <w:rsid w:val="000975C3"/>
    <w:rsid w:val="000A0BA9"/>
    <w:rsid w:val="000A2F65"/>
    <w:rsid w:val="000B0DA0"/>
    <w:rsid w:val="000B35BE"/>
    <w:rsid w:val="000B577E"/>
    <w:rsid w:val="000C1640"/>
    <w:rsid w:val="000C20CF"/>
    <w:rsid w:val="000C3808"/>
    <w:rsid w:val="000C62CC"/>
    <w:rsid w:val="000D01F4"/>
    <w:rsid w:val="000D289F"/>
    <w:rsid w:val="000D3851"/>
    <w:rsid w:val="000D75F5"/>
    <w:rsid w:val="000E2404"/>
    <w:rsid w:val="0010252E"/>
    <w:rsid w:val="00107105"/>
    <w:rsid w:val="0011030D"/>
    <w:rsid w:val="001105DF"/>
    <w:rsid w:val="00113015"/>
    <w:rsid w:val="00122887"/>
    <w:rsid w:val="00130482"/>
    <w:rsid w:val="00131AD5"/>
    <w:rsid w:val="00133A82"/>
    <w:rsid w:val="00133CCB"/>
    <w:rsid w:val="00140691"/>
    <w:rsid w:val="001425BC"/>
    <w:rsid w:val="0014277B"/>
    <w:rsid w:val="00142D1D"/>
    <w:rsid w:val="00150A3E"/>
    <w:rsid w:val="00156583"/>
    <w:rsid w:val="00164661"/>
    <w:rsid w:val="00166E97"/>
    <w:rsid w:val="001707D5"/>
    <w:rsid w:val="001806F8"/>
    <w:rsid w:val="00184A9F"/>
    <w:rsid w:val="00186FEC"/>
    <w:rsid w:val="00190253"/>
    <w:rsid w:val="00193C05"/>
    <w:rsid w:val="00197831"/>
    <w:rsid w:val="001A2849"/>
    <w:rsid w:val="001B1F0F"/>
    <w:rsid w:val="001C2335"/>
    <w:rsid w:val="001D1A8E"/>
    <w:rsid w:val="001D7275"/>
    <w:rsid w:val="001E668B"/>
    <w:rsid w:val="001F23E6"/>
    <w:rsid w:val="001F2432"/>
    <w:rsid w:val="001F6527"/>
    <w:rsid w:val="0020482A"/>
    <w:rsid w:val="00204A0F"/>
    <w:rsid w:val="00204DD4"/>
    <w:rsid w:val="00211A70"/>
    <w:rsid w:val="00211E3C"/>
    <w:rsid w:val="00212F3A"/>
    <w:rsid w:val="00220554"/>
    <w:rsid w:val="00230BB5"/>
    <w:rsid w:val="002330AF"/>
    <w:rsid w:val="00233D90"/>
    <w:rsid w:val="00234C34"/>
    <w:rsid w:val="0023758F"/>
    <w:rsid w:val="00237D4E"/>
    <w:rsid w:val="00242588"/>
    <w:rsid w:val="00242B99"/>
    <w:rsid w:val="0024500F"/>
    <w:rsid w:val="002476F2"/>
    <w:rsid w:val="00252467"/>
    <w:rsid w:val="0025415C"/>
    <w:rsid w:val="002616F9"/>
    <w:rsid w:val="002743B7"/>
    <w:rsid w:val="00286909"/>
    <w:rsid w:val="00287F08"/>
    <w:rsid w:val="00292A86"/>
    <w:rsid w:val="00292C73"/>
    <w:rsid w:val="002B07A1"/>
    <w:rsid w:val="002B096F"/>
    <w:rsid w:val="002B2300"/>
    <w:rsid w:val="002B6911"/>
    <w:rsid w:val="002C28C3"/>
    <w:rsid w:val="002C2B22"/>
    <w:rsid w:val="002C2CCC"/>
    <w:rsid w:val="002C5A93"/>
    <w:rsid w:val="002D0404"/>
    <w:rsid w:val="002E4F5B"/>
    <w:rsid w:val="002F26E2"/>
    <w:rsid w:val="002F2DEE"/>
    <w:rsid w:val="00306B77"/>
    <w:rsid w:val="00315264"/>
    <w:rsid w:val="00316D63"/>
    <w:rsid w:val="00320F22"/>
    <w:rsid w:val="00321D38"/>
    <w:rsid w:val="003253F4"/>
    <w:rsid w:val="003279CA"/>
    <w:rsid w:val="00336352"/>
    <w:rsid w:val="00342A10"/>
    <w:rsid w:val="003624ED"/>
    <w:rsid w:val="00362A10"/>
    <w:rsid w:val="003667EE"/>
    <w:rsid w:val="00372F45"/>
    <w:rsid w:val="003767AD"/>
    <w:rsid w:val="00380B8E"/>
    <w:rsid w:val="00383C13"/>
    <w:rsid w:val="00390604"/>
    <w:rsid w:val="00391545"/>
    <w:rsid w:val="003A2C84"/>
    <w:rsid w:val="003A43D8"/>
    <w:rsid w:val="003A7662"/>
    <w:rsid w:val="003C2A13"/>
    <w:rsid w:val="003D27FD"/>
    <w:rsid w:val="003D5DED"/>
    <w:rsid w:val="003D6B8E"/>
    <w:rsid w:val="003E16E3"/>
    <w:rsid w:val="003E1956"/>
    <w:rsid w:val="003E2603"/>
    <w:rsid w:val="003E2965"/>
    <w:rsid w:val="003E533D"/>
    <w:rsid w:val="003E55E2"/>
    <w:rsid w:val="003F0D0C"/>
    <w:rsid w:val="00400DF9"/>
    <w:rsid w:val="0041023B"/>
    <w:rsid w:val="00410E64"/>
    <w:rsid w:val="00413555"/>
    <w:rsid w:val="00414654"/>
    <w:rsid w:val="0041495B"/>
    <w:rsid w:val="004149F0"/>
    <w:rsid w:val="0041531C"/>
    <w:rsid w:val="00417B0A"/>
    <w:rsid w:val="004223AA"/>
    <w:rsid w:val="00425640"/>
    <w:rsid w:val="00426B0D"/>
    <w:rsid w:val="0043071F"/>
    <w:rsid w:val="00430BBE"/>
    <w:rsid w:val="00433B99"/>
    <w:rsid w:val="00437338"/>
    <w:rsid w:val="004438D6"/>
    <w:rsid w:val="00445B60"/>
    <w:rsid w:val="0045040B"/>
    <w:rsid w:val="00454E97"/>
    <w:rsid w:val="00457490"/>
    <w:rsid w:val="00462B73"/>
    <w:rsid w:val="0046332D"/>
    <w:rsid w:val="00463350"/>
    <w:rsid w:val="00473253"/>
    <w:rsid w:val="0047745E"/>
    <w:rsid w:val="00483AAA"/>
    <w:rsid w:val="00485BB5"/>
    <w:rsid w:val="00487605"/>
    <w:rsid w:val="0049244A"/>
    <w:rsid w:val="00495935"/>
    <w:rsid w:val="00495AC6"/>
    <w:rsid w:val="0049784F"/>
    <w:rsid w:val="004A664A"/>
    <w:rsid w:val="004B2ED4"/>
    <w:rsid w:val="004C1DF2"/>
    <w:rsid w:val="004C79D6"/>
    <w:rsid w:val="004C7A10"/>
    <w:rsid w:val="004C7E46"/>
    <w:rsid w:val="004D0EBB"/>
    <w:rsid w:val="004D275E"/>
    <w:rsid w:val="004D4608"/>
    <w:rsid w:val="004D598C"/>
    <w:rsid w:val="004E08C1"/>
    <w:rsid w:val="004E138C"/>
    <w:rsid w:val="004E4C30"/>
    <w:rsid w:val="004F3D08"/>
    <w:rsid w:val="004F6B5F"/>
    <w:rsid w:val="004F7657"/>
    <w:rsid w:val="00512503"/>
    <w:rsid w:val="00515043"/>
    <w:rsid w:val="005155A1"/>
    <w:rsid w:val="005222E2"/>
    <w:rsid w:val="00522E3B"/>
    <w:rsid w:val="005263D6"/>
    <w:rsid w:val="00530530"/>
    <w:rsid w:val="00531890"/>
    <w:rsid w:val="005417F6"/>
    <w:rsid w:val="00543FAD"/>
    <w:rsid w:val="005451C4"/>
    <w:rsid w:val="0054575C"/>
    <w:rsid w:val="005460DF"/>
    <w:rsid w:val="00546EF4"/>
    <w:rsid w:val="005471D1"/>
    <w:rsid w:val="0054758C"/>
    <w:rsid w:val="00553723"/>
    <w:rsid w:val="005556AD"/>
    <w:rsid w:val="00556A68"/>
    <w:rsid w:val="0055797F"/>
    <w:rsid w:val="00562B6B"/>
    <w:rsid w:val="005671C1"/>
    <w:rsid w:val="00572362"/>
    <w:rsid w:val="00573D8E"/>
    <w:rsid w:val="005750FC"/>
    <w:rsid w:val="005772E9"/>
    <w:rsid w:val="00582646"/>
    <w:rsid w:val="00592303"/>
    <w:rsid w:val="00592957"/>
    <w:rsid w:val="00592DDE"/>
    <w:rsid w:val="00594838"/>
    <w:rsid w:val="00594E31"/>
    <w:rsid w:val="005969A1"/>
    <w:rsid w:val="005A32DB"/>
    <w:rsid w:val="005A4899"/>
    <w:rsid w:val="005A5D1C"/>
    <w:rsid w:val="005A6BE9"/>
    <w:rsid w:val="005B5953"/>
    <w:rsid w:val="005C6C89"/>
    <w:rsid w:val="005D23E5"/>
    <w:rsid w:val="005D6395"/>
    <w:rsid w:val="005E062B"/>
    <w:rsid w:val="006129E9"/>
    <w:rsid w:val="006200B2"/>
    <w:rsid w:val="00620EF1"/>
    <w:rsid w:val="00621C9B"/>
    <w:rsid w:val="0062737B"/>
    <w:rsid w:val="00631689"/>
    <w:rsid w:val="00631729"/>
    <w:rsid w:val="0063378F"/>
    <w:rsid w:val="00640279"/>
    <w:rsid w:val="00640D8F"/>
    <w:rsid w:val="006412E3"/>
    <w:rsid w:val="00645A42"/>
    <w:rsid w:val="0065239C"/>
    <w:rsid w:val="0065325A"/>
    <w:rsid w:val="00653F26"/>
    <w:rsid w:val="00664FB9"/>
    <w:rsid w:val="00667792"/>
    <w:rsid w:val="00681DBB"/>
    <w:rsid w:val="00682A6A"/>
    <w:rsid w:val="006838E9"/>
    <w:rsid w:val="0069021C"/>
    <w:rsid w:val="006943C4"/>
    <w:rsid w:val="006943C6"/>
    <w:rsid w:val="00694F7C"/>
    <w:rsid w:val="006A25DE"/>
    <w:rsid w:val="006A2A43"/>
    <w:rsid w:val="006A6E96"/>
    <w:rsid w:val="006A7A68"/>
    <w:rsid w:val="006B0CF7"/>
    <w:rsid w:val="006B6C66"/>
    <w:rsid w:val="006B7034"/>
    <w:rsid w:val="006B76D1"/>
    <w:rsid w:val="006C15E8"/>
    <w:rsid w:val="006C16EF"/>
    <w:rsid w:val="006C7C25"/>
    <w:rsid w:val="006D0609"/>
    <w:rsid w:val="006D2E03"/>
    <w:rsid w:val="006E26B2"/>
    <w:rsid w:val="006E6000"/>
    <w:rsid w:val="006E6C6D"/>
    <w:rsid w:val="006E6CE8"/>
    <w:rsid w:val="00703A22"/>
    <w:rsid w:val="0070427C"/>
    <w:rsid w:val="00717EC6"/>
    <w:rsid w:val="00721894"/>
    <w:rsid w:val="007259A3"/>
    <w:rsid w:val="00725D9F"/>
    <w:rsid w:val="007316CE"/>
    <w:rsid w:val="00733EED"/>
    <w:rsid w:val="007421C6"/>
    <w:rsid w:val="007438D0"/>
    <w:rsid w:val="007442EF"/>
    <w:rsid w:val="0074479F"/>
    <w:rsid w:val="00746E2D"/>
    <w:rsid w:val="007500EC"/>
    <w:rsid w:val="00750424"/>
    <w:rsid w:val="00751475"/>
    <w:rsid w:val="00752813"/>
    <w:rsid w:val="00763FAC"/>
    <w:rsid w:val="007650B6"/>
    <w:rsid w:val="00765BA5"/>
    <w:rsid w:val="00765CCA"/>
    <w:rsid w:val="00773518"/>
    <w:rsid w:val="00773FA7"/>
    <w:rsid w:val="00775980"/>
    <w:rsid w:val="007803EA"/>
    <w:rsid w:val="007863E0"/>
    <w:rsid w:val="00792122"/>
    <w:rsid w:val="007974E6"/>
    <w:rsid w:val="007A52EF"/>
    <w:rsid w:val="007A5516"/>
    <w:rsid w:val="007A7334"/>
    <w:rsid w:val="007A7730"/>
    <w:rsid w:val="007B6B36"/>
    <w:rsid w:val="007B776A"/>
    <w:rsid w:val="007C2325"/>
    <w:rsid w:val="007D1465"/>
    <w:rsid w:val="007D491A"/>
    <w:rsid w:val="007D7B4D"/>
    <w:rsid w:val="007E08F4"/>
    <w:rsid w:val="007E2A20"/>
    <w:rsid w:val="007E52DC"/>
    <w:rsid w:val="007E7C8C"/>
    <w:rsid w:val="007F1406"/>
    <w:rsid w:val="007F7F4D"/>
    <w:rsid w:val="008040D6"/>
    <w:rsid w:val="00805EA8"/>
    <w:rsid w:val="00807748"/>
    <w:rsid w:val="00811F56"/>
    <w:rsid w:val="0081331C"/>
    <w:rsid w:val="00813776"/>
    <w:rsid w:val="008155D0"/>
    <w:rsid w:val="008160BE"/>
    <w:rsid w:val="00822AD3"/>
    <w:rsid w:val="00824C86"/>
    <w:rsid w:val="008310A0"/>
    <w:rsid w:val="0083123D"/>
    <w:rsid w:val="0083138A"/>
    <w:rsid w:val="00834518"/>
    <w:rsid w:val="00834E6E"/>
    <w:rsid w:val="008368E3"/>
    <w:rsid w:val="00836DD5"/>
    <w:rsid w:val="0083784A"/>
    <w:rsid w:val="00845F1A"/>
    <w:rsid w:val="008532E3"/>
    <w:rsid w:val="008630F4"/>
    <w:rsid w:val="00863172"/>
    <w:rsid w:val="00864E9F"/>
    <w:rsid w:val="00866576"/>
    <w:rsid w:val="0086661D"/>
    <w:rsid w:val="00867FAB"/>
    <w:rsid w:val="008707C3"/>
    <w:rsid w:val="00871CBB"/>
    <w:rsid w:val="0088158B"/>
    <w:rsid w:val="008874AF"/>
    <w:rsid w:val="00891F57"/>
    <w:rsid w:val="00893BD1"/>
    <w:rsid w:val="008B14CC"/>
    <w:rsid w:val="008B2445"/>
    <w:rsid w:val="008B514D"/>
    <w:rsid w:val="008C1A96"/>
    <w:rsid w:val="008C2102"/>
    <w:rsid w:val="008D347E"/>
    <w:rsid w:val="008D3F14"/>
    <w:rsid w:val="008D6D63"/>
    <w:rsid w:val="008E5CD1"/>
    <w:rsid w:val="008F260D"/>
    <w:rsid w:val="009021DF"/>
    <w:rsid w:val="00906B50"/>
    <w:rsid w:val="00911D71"/>
    <w:rsid w:val="009134A7"/>
    <w:rsid w:val="00915AD7"/>
    <w:rsid w:val="00924D37"/>
    <w:rsid w:val="00926726"/>
    <w:rsid w:val="00927DA8"/>
    <w:rsid w:val="009304B9"/>
    <w:rsid w:val="00933494"/>
    <w:rsid w:val="009334EB"/>
    <w:rsid w:val="00934785"/>
    <w:rsid w:val="00934FCD"/>
    <w:rsid w:val="00935AA5"/>
    <w:rsid w:val="00942198"/>
    <w:rsid w:val="00942D76"/>
    <w:rsid w:val="00955CC5"/>
    <w:rsid w:val="00957FE2"/>
    <w:rsid w:val="00961CDF"/>
    <w:rsid w:val="00964315"/>
    <w:rsid w:val="00964BC9"/>
    <w:rsid w:val="00966701"/>
    <w:rsid w:val="00966AFF"/>
    <w:rsid w:val="00971C24"/>
    <w:rsid w:val="00975B98"/>
    <w:rsid w:val="00976CBD"/>
    <w:rsid w:val="00982F30"/>
    <w:rsid w:val="009830A8"/>
    <w:rsid w:val="009861DF"/>
    <w:rsid w:val="00990407"/>
    <w:rsid w:val="009956DF"/>
    <w:rsid w:val="00995FFC"/>
    <w:rsid w:val="009A16A4"/>
    <w:rsid w:val="009A33EE"/>
    <w:rsid w:val="009A6395"/>
    <w:rsid w:val="009A672E"/>
    <w:rsid w:val="009C14BF"/>
    <w:rsid w:val="009C57EA"/>
    <w:rsid w:val="009D1E40"/>
    <w:rsid w:val="009D4026"/>
    <w:rsid w:val="009D4F27"/>
    <w:rsid w:val="009D5738"/>
    <w:rsid w:val="009E2F11"/>
    <w:rsid w:val="009F4044"/>
    <w:rsid w:val="009F4B2F"/>
    <w:rsid w:val="00A02AD5"/>
    <w:rsid w:val="00A0334D"/>
    <w:rsid w:val="00A03CAD"/>
    <w:rsid w:val="00A20F0F"/>
    <w:rsid w:val="00A2101F"/>
    <w:rsid w:val="00A215C4"/>
    <w:rsid w:val="00A240B4"/>
    <w:rsid w:val="00A32748"/>
    <w:rsid w:val="00A33F68"/>
    <w:rsid w:val="00A35FB3"/>
    <w:rsid w:val="00A415A8"/>
    <w:rsid w:val="00A434B8"/>
    <w:rsid w:val="00A460A9"/>
    <w:rsid w:val="00A46730"/>
    <w:rsid w:val="00A51079"/>
    <w:rsid w:val="00A567AD"/>
    <w:rsid w:val="00A664BC"/>
    <w:rsid w:val="00A719A1"/>
    <w:rsid w:val="00A8765A"/>
    <w:rsid w:val="00A87EF7"/>
    <w:rsid w:val="00A9033F"/>
    <w:rsid w:val="00A941F4"/>
    <w:rsid w:val="00A9553E"/>
    <w:rsid w:val="00AA0B6D"/>
    <w:rsid w:val="00AA76A7"/>
    <w:rsid w:val="00AB592D"/>
    <w:rsid w:val="00AC4DD4"/>
    <w:rsid w:val="00AC7A6D"/>
    <w:rsid w:val="00AD0172"/>
    <w:rsid w:val="00AE02D5"/>
    <w:rsid w:val="00AE56A2"/>
    <w:rsid w:val="00AF10B0"/>
    <w:rsid w:val="00AF1155"/>
    <w:rsid w:val="00AF24E4"/>
    <w:rsid w:val="00AF5FC4"/>
    <w:rsid w:val="00AF6DFB"/>
    <w:rsid w:val="00B01801"/>
    <w:rsid w:val="00B01D5F"/>
    <w:rsid w:val="00B02427"/>
    <w:rsid w:val="00B04D8C"/>
    <w:rsid w:val="00B1290D"/>
    <w:rsid w:val="00B12FC3"/>
    <w:rsid w:val="00B138A9"/>
    <w:rsid w:val="00B157BD"/>
    <w:rsid w:val="00B15F55"/>
    <w:rsid w:val="00B177CA"/>
    <w:rsid w:val="00B21202"/>
    <w:rsid w:val="00B255EE"/>
    <w:rsid w:val="00B30F9A"/>
    <w:rsid w:val="00B3495A"/>
    <w:rsid w:val="00B3536E"/>
    <w:rsid w:val="00B36A79"/>
    <w:rsid w:val="00B37874"/>
    <w:rsid w:val="00B4107D"/>
    <w:rsid w:val="00B46259"/>
    <w:rsid w:val="00B54C66"/>
    <w:rsid w:val="00B603BE"/>
    <w:rsid w:val="00B63104"/>
    <w:rsid w:val="00B63296"/>
    <w:rsid w:val="00B67A7B"/>
    <w:rsid w:val="00B75478"/>
    <w:rsid w:val="00B8130A"/>
    <w:rsid w:val="00B8292B"/>
    <w:rsid w:val="00B90332"/>
    <w:rsid w:val="00B90EAD"/>
    <w:rsid w:val="00B922E3"/>
    <w:rsid w:val="00B9269D"/>
    <w:rsid w:val="00B94870"/>
    <w:rsid w:val="00BA2244"/>
    <w:rsid w:val="00BA6FED"/>
    <w:rsid w:val="00BB0EEF"/>
    <w:rsid w:val="00BB15CB"/>
    <w:rsid w:val="00BB7844"/>
    <w:rsid w:val="00BC2CF7"/>
    <w:rsid w:val="00BD2502"/>
    <w:rsid w:val="00BD3235"/>
    <w:rsid w:val="00BD3B71"/>
    <w:rsid w:val="00BD673F"/>
    <w:rsid w:val="00BE2637"/>
    <w:rsid w:val="00BF0CEE"/>
    <w:rsid w:val="00BF2F80"/>
    <w:rsid w:val="00BF5EAC"/>
    <w:rsid w:val="00C005AE"/>
    <w:rsid w:val="00C045EA"/>
    <w:rsid w:val="00C13ACA"/>
    <w:rsid w:val="00C15C13"/>
    <w:rsid w:val="00C21F9F"/>
    <w:rsid w:val="00C229B2"/>
    <w:rsid w:val="00C22CDF"/>
    <w:rsid w:val="00C26CC3"/>
    <w:rsid w:val="00C3653B"/>
    <w:rsid w:val="00C4098F"/>
    <w:rsid w:val="00C445DA"/>
    <w:rsid w:val="00C4493F"/>
    <w:rsid w:val="00C45283"/>
    <w:rsid w:val="00C5114A"/>
    <w:rsid w:val="00C51B14"/>
    <w:rsid w:val="00C52A09"/>
    <w:rsid w:val="00C55389"/>
    <w:rsid w:val="00C556C3"/>
    <w:rsid w:val="00C57143"/>
    <w:rsid w:val="00C62B4A"/>
    <w:rsid w:val="00C638D2"/>
    <w:rsid w:val="00C64B8F"/>
    <w:rsid w:val="00C702D8"/>
    <w:rsid w:val="00C72A68"/>
    <w:rsid w:val="00C85CB4"/>
    <w:rsid w:val="00C85CF3"/>
    <w:rsid w:val="00CA303B"/>
    <w:rsid w:val="00CA6141"/>
    <w:rsid w:val="00CB0E7C"/>
    <w:rsid w:val="00CB187B"/>
    <w:rsid w:val="00CB5EE7"/>
    <w:rsid w:val="00CC69DB"/>
    <w:rsid w:val="00CD297F"/>
    <w:rsid w:val="00CE40D7"/>
    <w:rsid w:val="00CE596D"/>
    <w:rsid w:val="00CF1853"/>
    <w:rsid w:val="00CF32C8"/>
    <w:rsid w:val="00D00144"/>
    <w:rsid w:val="00D0133E"/>
    <w:rsid w:val="00D046D2"/>
    <w:rsid w:val="00D13DDA"/>
    <w:rsid w:val="00D15506"/>
    <w:rsid w:val="00D157B3"/>
    <w:rsid w:val="00D21EB5"/>
    <w:rsid w:val="00D23449"/>
    <w:rsid w:val="00D323EC"/>
    <w:rsid w:val="00D32898"/>
    <w:rsid w:val="00D34959"/>
    <w:rsid w:val="00D358AE"/>
    <w:rsid w:val="00D36900"/>
    <w:rsid w:val="00D45588"/>
    <w:rsid w:val="00D525C9"/>
    <w:rsid w:val="00D555E8"/>
    <w:rsid w:val="00D56972"/>
    <w:rsid w:val="00D57F36"/>
    <w:rsid w:val="00D61771"/>
    <w:rsid w:val="00D62541"/>
    <w:rsid w:val="00D6389B"/>
    <w:rsid w:val="00D63C2A"/>
    <w:rsid w:val="00D674DB"/>
    <w:rsid w:val="00D67C52"/>
    <w:rsid w:val="00D701E5"/>
    <w:rsid w:val="00D71453"/>
    <w:rsid w:val="00D721B0"/>
    <w:rsid w:val="00D87F0F"/>
    <w:rsid w:val="00D924EC"/>
    <w:rsid w:val="00D946F6"/>
    <w:rsid w:val="00D96A92"/>
    <w:rsid w:val="00DA306C"/>
    <w:rsid w:val="00DA6619"/>
    <w:rsid w:val="00DC1A1B"/>
    <w:rsid w:val="00DC3138"/>
    <w:rsid w:val="00DC56C7"/>
    <w:rsid w:val="00DC5966"/>
    <w:rsid w:val="00DC695C"/>
    <w:rsid w:val="00DD6246"/>
    <w:rsid w:val="00DD7246"/>
    <w:rsid w:val="00DD7351"/>
    <w:rsid w:val="00DE4B65"/>
    <w:rsid w:val="00DE5527"/>
    <w:rsid w:val="00DF412B"/>
    <w:rsid w:val="00E045A5"/>
    <w:rsid w:val="00E04C15"/>
    <w:rsid w:val="00E05851"/>
    <w:rsid w:val="00E0627F"/>
    <w:rsid w:val="00E13FC9"/>
    <w:rsid w:val="00E15AE4"/>
    <w:rsid w:val="00E23136"/>
    <w:rsid w:val="00E24C75"/>
    <w:rsid w:val="00E2743B"/>
    <w:rsid w:val="00E30E58"/>
    <w:rsid w:val="00E318A9"/>
    <w:rsid w:val="00E35134"/>
    <w:rsid w:val="00E35511"/>
    <w:rsid w:val="00E366F8"/>
    <w:rsid w:val="00E440D1"/>
    <w:rsid w:val="00E45186"/>
    <w:rsid w:val="00E47B53"/>
    <w:rsid w:val="00E60376"/>
    <w:rsid w:val="00E670C9"/>
    <w:rsid w:val="00E747B2"/>
    <w:rsid w:val="00E77B82"/>
    <w:rsid w:val="00E805B1"/>
    <w:rsid w:val="00E94554"/>
    <w:rsid w:val="00E964CE"/>
    <w:rsid w:val="00EA089C"/>
    <w:rsid w:val="00EA08DF"/>
    <w:rsid w:val="00EA18A1"/>
    <w:rsid w:val="00EA2C3F"/>
    <w:rsid w:val="00EA2C6D"/>
    <w:rsid w:val="00EA77E0"/>
    <w:rsid w:val="00EB035A"/>
    <w:rsid w:val="00EB2BC1"/>
    <w:rsid w:val="00EB483E"/>
    <w:rsid w:val="00EB59D3"/>
    <w:rsid w:val="00EB7328"/>
    <w:rsid w:val="00EC14EC"/>
    <w:rsid w:val="00EC1EA3"/>
    <w:rsid w:val="00EC1ED2"/>
    <w:rsid w:val="00EC351A"/>
    <w:rsid w:val="00ED3BDB"/>
    <w:rsid w:val="00ED3DAB"/>
    <w:rsid w:val="00ED5FED"/>
    <w:rsid w:val="00EE4242"/>
    <w:rsid w:val="00EE55DC"/>
    <w:rsid w:val="00EE6112"/>
    <w:rsid w:val="00EF131F"/>
    <w:rsid w:val="00EF317A"/>
    <w:rsid w:val="00EF781C"/>
    <w:rsid w:val="00F0046F"/>
    <w:rsid w:val="00F01393"/>
    <w:rsid w:val="00F019AE"/>
    <w:rsid w:val="00F05D4E"/>
    <w:rsid w:val="00F1205E"/>
    <w:rsid w:val="00F122E1"/>
    <w:rsid w:val="00F142A9"/>
    <w:rsid w:val="00F14DB0"/>
    <w:rsid w:val="00F151B3"/>
    <w:rsid w:val="00F15AE1"/>
    <w:rsid w:val="00F17AF4"/>
    <w:rsid w:val="00F20860"/>
    <w:rsid w:val="00F240AA"/>
    <w:rsid w:val="00F2554F"/>
    <w:rsid w:val="00F356FE"/>
    <w:rsid w:val="00F35E77"/>
    <w:rsid w:val="00F37193"/>
    <w:rsid w:val="00F4246B"/>
    <w:rsid w:val="00F4502A"/>
    <w:rsid w:val="00F51CEF"/>
    <w:rsid w:val="00F55D0D"/>
    <w:rsid w:val="00F65CB6"/>
    <w:rsid w:val="00F67B3F"/>
    <w:rsid w:val="00F8611B"/>
    <w:rsid w:val="00F8645A"/>
    <w:rsid w:val="00F90C3C"/>
    <w:rsid w:val="00F93486"/>
    <w:rsid w:val="00F95096"/>
    <w:rsid w:val="00F957A0"/>
    <w:rsid w:val="00F96B7B"/>
    <w:rsid w:val="00FA5C12"/>
    <w:rsid w:val="00FA6F19"/>
    <w:rsid w:val="00FA7222"/>
    <w:rsid w:val="00FA7559"/>
    <w:rsid w:val="00FB48A8"/>
    <w:rsid w:val="00FC38A8"/>
    <w:rsid w:val="00FC61C6"/>
    <w:rsid w:val="00FC6461"/>
    <w:rsid w:val="00FC7AFB"/>
    <w:rsid w:val="00FD0BDA"/>
    <w:rsid w:val="00FD20A1"/>
    <w:rsid w:val="00FD4395"/>
    <w:rsid w:val="00FE06DE"/>
    <w:rsid w:val="00FE1B66"/>
    <w:rsid w:val="00FE27D3"/>
    <w:rsid w:val="00FE2CDF"/>
    <w:rsid w:val="00FE7B6A"/>
    <w:rsid w:val="00FF0075"/>
    <w:rsid w:val="00FF30BC"/>
    <w:rsid w:val="00FF768F"/>
    <w:rsid w:val="00FF76CC"/>
  </w:rsids>
  <m:mathPr>
    <m:mathFont m:val="Cambria Math"/>
    <m:brkBin m:val="before"/>
    <m:brkBinSub m:val="--"/>
    <m:smallFrac m:val="0"/>
    <m:dispDef/>
    <m:lMargin m:val="0"/>
    <m:rMargin m:val="0"/>
    <m:defJc m:val="centerGroup"/>
    <m:wrapIndent m:val="1440"/>
    <m:intLim m:val="subSup"/>
    <m:naryLim m:val="undOvr"/>
  </m:mathPr>
  <w:themeFontLang w:val="en-Z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350"/>
  <w15:docId w15:val="{D8B68416-0AF9-4F82-BFE2-5A64C0D7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3E1956"/>
    <w:rPr>
      <w:sz w:val="16"/>
      <w:szCs w:val="16"/>
    </w:rPr>
  </w:style>
  <w:style w:type="paragraph" w:styleId="CommentText">
    <w:name w:val="annotation text"/>
    <w:basedOn w:val="Normal"/>
    <w:link w:val="CommentTextChar"/>
    <w:uiPriority w:val="99"/>
    <w:semiHidden/>
    <w:unhideWhenUsed/>
    <w:rsid w:val="003E1956"/>
    <w:pPr>
      <w:spacing w:line="240" w:lineRule="auto"/>
    </w:pPr>
    <w:rPr>
      <w:sz w:val="20"/>
      <w:szCs w:val="20"/>
    </w:rPr>
  </w:style>
  <w:style w:type="character" w:customStyle="1" w:styleId="CommentTextChar">
    <w:name w:val="Comment Text Char"/>
    <w:basedOn w:val="DefaultParagraphFont"/>
    <w:link w:val="CommentText"/>
    <w:uiPriority w:val="99"/>
    <w:semiHidden/>
    <w:rsid w:val="003E1956"/>
    <w:rPr>
      <w:sz w:val="20"/>
      <w:szCs w:val="20"/>
    </w:rPr>
  </w:style>
  <w:style w:type="paragraph" w:styleId="CommentSubject">
    <w:name w:val="annotation subject"/>
    <w:basedOn w:val="CommentText"/>
    <w:next w:val="CommentText"/>
    <w:link w:val="CommentSubjectChar"/>
    <w:uiPriority w:val="99"/>
    <w:semiHidden/>
    <w:unhideWhenUsed/>
    <w:rsid w:val="003E1956"/>
    <w:rPr>
      <w:b/>
      <w:bCs/>
    </w:rPr>
  </w:style>
  <w:style w:type="character" w:customStyle="1" w:styleId="CommentSubjectChar">
    <w:name w:val="Comment Subject Char"/>
    <w:basedOn w:val="CommentTextChar"/>
    <w:link w:val="CommentSubject"/>
    <w:uiPriority w:val="99"/>
    <w:semiHidden/>
    <w:rsid w:val="003E1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4013">
      <w:bodyDiv w:val="1"/>
      <w:marLeft w:val="0"/>
      <w:marRight w:val="0"/>
      <w:marTop w:val="0"/>
      <w:marBottom w:val="0"/>
      <w:divBdr>
        <w:top w:val="none" w:sz="0" w:space="0" w:color="auto"/>
        <w:left w:val="none" w:sz="0" w:space="0" w:color="auto"/>
        <w:bottom w:val="none" w:sz="0" w:space="0" w:color="auto"/>
        <w:right w:val="none" w:sz="0" w:space="0" w:color="auto"/>
      </w:divBdr>
      <w:divsChild>
        <w:div w:id="681206697">
          <w:marLeft w:val="1134"/>
          <w:marRight w:val="0"/>
          <w:marTop w:val="60"/>
          <w:marBottom w:val="0"/>
          <w:divBdr>
            <w:top w:val="none" w:sz="0" w:space="0" w:color="auto"/>
            <w:left w:val="none" w:sz="0" w:space="0" w:color="auto"/>
            <w:bottom w:val="none" w:sz="0" w:space="0" w:color="auto"/>
            <w:right w:val="none" w:sz="0" w:space="0" w:color="auto"/>
          </w:divBdr>
        </w:div>
        <w:div w:id="2119790454">
          <w:marLeft w:val="1134"/>
          <w:marRight w:val="0"/>
          <w:marTop w:val="60"/>
          <w:marBottom w:val="0"/>
          <w:divBdr>
            <w:top w:val="none" w:sz="0" w:space="0" w:color="auto"/>
            <w:left w:val="none" w:sz="0" w:space="0" w:color="auto"/>
            <w:bottom w:val="none" w:sz="0" w:space="0" w:color="auto"/>
            <w:right w:val="none" w:sz="0" w:space="0" w:color="auto"/>
          </w:divBdr>
        </w:div>
        <w:div w:id="803472351">
          <w:marLeft w:val="1134"/>
          <w:marRight w:val="0"/>
          <w:marTop w:val="60"/>
          <w:marBottom w:val="0"/>
          <w:divBdr>
            <w:top w:val="none" w:sz="0" w:space="0" w:color="auto"/>
            <w:left w:val="none" w:sz="0" w:space="0" w:color="auto"/>
            <w:bottom w:val="none" w:sz="0" w:space="0" w:color="auto"/>
            <w:right w:val="none" w:sz="0" w:space="0" w:color="auto"/>
          </w:divBdr>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84697473">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1772-B048-4BA0-B40B-83F90DAE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Theshaya Naidoo (218035912)</cp:lastModifiedBy>
  <cp:revision>3</cp:revision>
  <cp:lastPrinted>2023-12-27T13:32:00Z</cp:lastPrinted>
  <dcterms:created xsi:type="dcterms:W3CDTF">2023-12-27T13:51:00Z</dcterms:created>
  <dcterms:modified xsi:type="dcterms:W3CDTF">2024-01-02T18:51:00Z</dcterms:modified>
</cp:coreProperties>
</file>