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CC4E" w14:textId="77777777" w:rsidR="00302938" w:rsidRDefault="00302938" w:rsidP="00302938">
      <w:pPr>
        <w:spacing w:after="0" w:line="240" w:lineRule="auto"/>
        <w:jc w:val="center"/>
        <w:rPr>
          <w:rFonts w:ascii="Arial" w:hAnsi="Arial" w:cs="Arial"/>
          <w:b/>
          <w:sz w:val="24"/>
          <w:szCs w:val="24"/>
          <w:u w:val="single"/>
        </w:rPr>
      </w:pPr>
      <w:r>
        <w:rPr>
          <w:noProof/>
          <w:lang w:val="en-US"/>
        </w:rPr>
        <w:drawing>
          <wp:anchor distT="0" distB="0" distL="0" distR="0" simplePos="0" relativeHeight="251659264" behindDoc="1" locked="0" layoutInCell="1" allowOverlap="1" wp14:anchorId="69E2BED0" wp14:editId="3ABF25A1">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FBADB" w14:textId="77777777" w:rsidR="00302938" w:rsidRDefault="00302938" w:rsidP="00302938">
      <w:pPr>
        <w:spacing w:after="0" w:line="240" w:lineRule="auto"/>
        <w:jc w:val="center"/>
        <w:rPr>
          <w:rFonts w:ascii="Arial" w:hAnsi="Arial" w:cs="Arial"/>
          <w:b/>
          <w:sz w:val="24"/>
          <w:szCs w:val="24"/>
          <w:u w:val="single"/>
        </w:rPr>
      </w:pPr>
    </w:p>
    <w:p w14:paraId="3D203A67" w14:textId="77777777" w:rsidR="00302938" w:rsidRDefault="00302938" w:rsidP="00302938">
      <w:pPr>
        <w:spacing w:after="0" w:line="360" w:lineRule="auto"/>
        <w:jc w:val="both"/>
        <w:rPr>
          <w:rFonts w:ascii="Arial" w:hAnsi="Arial" w:cs="Arial"/>
          <w:b/>
          <w:sz w:val="24"/>
          <w:szCs w:val="24"/>
          <w:u w:val="single"/>
        </w:rPr>
      </w:pPr>
    </w:p>
    <w:p w14:paraId="186D48E7" w14:textId="77777777" w:rsidR="00302938" w:rsidRDefault="00302938" w:rsidP="00302938">
      <w:pPr>
        <w:spacing w:after="0" w:line="240" w:lineRule="auto"/>
        <w:jc w:val="center"/>
        <w:rPr>
          <w:rFonts w:ascii="Arial" w:hAnsi="Arial" w:cs="Arial"/>
          <w:b/>
          <w:sz w:val="24"/>
          <w:szCs w:val="24"/>
          <w:u w:val="single"/>
        </w:rPr>
      </w:pPr>
    </w:p>
    <w:p w14:paraId="33928456"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Pr>
          <w:rFonts w:ascii="Arial" w:hAnsi="Arial"/>
          <w:b/>
          <w:bCs/>
          <w:sz w:val="24"/>
          <w:szCs w:val="24"/>
          <w:u w:val="single"/>
        </w:rPr>
        <w:t xml:space="preserve">IN THE HIGH COURT OF </w:t>
      </w:r>
      <w:smartTag w:uri="urn:schemas-microsoft-com:office:smarttags" w:element="place">
        <w:smartTag w:uri="urn:schemas-microsoft-com:office:smarttags" w:element="country-region">
          <w:r>
            <w:rPr>
              <w:rFonts w:ascii="Arial" w:hAnsi="Arial"/>
              <w:b/>
              <w:bCs/>
              <w:sz w:val="24"/>
              <w:szCs w:val="24"/>
              <w:u w:val="single"/>
            </w:rPr>
            <w:t>SOUTH AFRICA</w:t>
          </w:r>
        </w:smartTag>
      </w:smartTag>
      <w:r>
        <w:rPr>
          <w:rFonts w:ascii="Arial" w:hAnsi="Arial"/>
          <w:b/>
          <w:bCs/>
          <w:sz w:val="24"/>
          <w:szCs w:val="24"/>
          <w:u w:val="single"/>
        </w:rPr>
        <w:t>,</w:t>
      </w:r>
    </w:p>
    <w:p w14:paraId="16EB967C"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Pr>
            <w:rFonts w:ascii="Arial" w:hAnsi="Arial"/>
            <w:b/>
            <w:bCs/>
            <w:sz w:val="24"/>
            <w:szCs w:val="24"/>
            <w:u w:val="single"/>
          </w:rPr>
          <w:t>FREE STATE</w:t>
        </w:r>
      </w:smartTag>
      <w:r>
        <w:rPr>
          <w:rFonts w:ascii="Arial" w:hAnsi="Arial"/>
          <w:b/>
          <w:bCs/>
          <w:sz w:val="24"/>
          <w:szCs w:val="24"/>
          <w:u w:val="single"/>
        </w:rPr>
        <w:t xml:space="preserve"> DIVISION, </w:t>
      </w:r>
      <w:smartTag w:uri="urn:schemas-microsoft-com:office:smarttags" w:element="place">
        <w:smartTag w:uri="urn:schemas-microsoft-com:office:smarttags" w:element="City">
          <w:r>
            <w:rPr>
              <w:rFonts w:ascii="Arial" w:hAnsi="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14:paraId="4AFAB3B4" w14:textId="77777777"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66F8D236" w14:textId="77777777"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14:paraId="72A5402D" w14:textId="77777777"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14:paraId="489BE107" w14:textId="77777777"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1F14ABED" w14:textId="77777777"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14:paraId="77146987" w14:textId="77777777"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14:paraId="6521565A" w14:textId="77777777"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14:paraId="0ECCE7A5" w14:textId="77777777" w:rsidR="00B76A17" w:rsidRDefault="00B76A17" w:rsidP="00B76A17">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5760"/>
        <w:jc w:val="both"/>
        <w:rPr>
          <w:rFonts w:ascii="Arial" w:hAnsi="Arial"/>
          <w:sz w:val="24"/>
          <w:szCs w:val="24"/>
        </w:rPr>
      </w:pPr>
    </w:p>
    <w:p w14:paraId="65DF63F4" w14:textId="77777777" w:rsidR="003539B9" w:rsidRDefault="00724163" w:rsidP="00C0166D">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4962"/>
        <w:jc w:val="both"/>
        <w:rPr>
          <w:rFonts w:ascii="Arial" w:hAnsi="Arial"/>
          <w:sz w:val="24"/>
          <w:szCs w:val="24"/>
        </w:rPr>
      </w:pPr>
      <w:r>
        <w:rPr>
          <w:rFonts w:ascii="Arial" w:hAnsi="Arial"/>
          <w:sz w:val="24"/>
          <w:szCs w:val="24"/>
        </w:rPr>
        <w:t xml:space="preserve">         </w:t>
      </w:r>
      <w:r w:rsidR="00B76A17">
        <w:rPr>
          <w:rFonts w:ascii="Arial" w:hAnsi="Arial"/>
          <w:sz w:val="24"/>
          <w:szCs w:val="24"/>
        </w:rPr>
        <w:t xml:space="preserve"> Case Number: </w:t>
      </w:r>
      <w:r w:rsidR="00B6513A">
        <w:rPr>
          <w:rFonts w:ascii="Arial" w:hAnsi="Arial"/>
          <w:sz w:val="24"/>
          <w:szCs w:val="24"/>
        </w:rPr>
        <w:t>1318/2022</w:t>
      </w:r>
    </w:p>
    <w:p w14:paraId="460A7EA0"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rPr>
        <w:t>In the matter between: -</w:t>
      </w:r>
    </w:p>
    <w:p w14:paraId="1BA8AB0D"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14:paraId="30B6CCEB" w14:textId="7239A215" w:rsidR="00302938" w:rsidRPr="00E46C40" w:rsidRDefault="00B6513A"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sz w:val="24"/>
          <w:szCs w:val="24"/>
        </w:rPr>
      </w:pPr>
      <w:r>
        <w:rPr>
          <w:rFonts w:ascii="Arial" w:hAnsi="Arial"/>
          <w:b/>
          <w:bCs/>
          <w:sz w:val="24"/>
          <w:szCs w:val="24"/>
        </w:rPr>
        <w:t>FEZI CONSULTANTS &amp; AUDITORS (PTY) LTD</w:t>
      </w:r>
      <w:r w:rsidR="00861687">
        <w:rPr>
          <w:rFonts w:ascii="Arial" w:hAnsi="Arial"/>
          <w:b/>
          <w:bCs/>
          <w:sz w:val="24"/>
          <w:szCs w:val="24"/>
        </w:rPr>
        <w:tab/>
      </w:r>
      <w:r>
        <w:rPr>
          <w:rFonts w:ascii="Arial" w:hAnsi="Arial"/>
          <w:b/>
          <w:bCs/>
          <w:sz w:val="24"/>
          <w:szCs w:val="24"/>
        </w:rPr>
        <w:tab/>
      </w:r>
      <w:r>
        <w:rPr>
          <w:rFonts w:ascii="Arial" w:hAnsi="Arial"/>
          <w:b/>
          <w:bCs/>
          <w:sz w:val="24"/>
          <w:szCs w:val="24"/>
        </w:rPr>
        <w:tab/>
      </w:r>
      <w:r w:rsidR="00861687" w:rsidRPr="00E46C40">
        <w:rPr>
          <w:rFonts w:ascii="Arial" w:hAnsi="Arial"/>
          <w:sz w:val="24"/>
          <w:szCs w:val="24"/>
        </w:rPr>
        <w:t>A</w:t>
      </w:r>
      <w:r w:rsidR="00E46C40" w:rsidRPr="00E46C40">
        <w:rPr>
          <w:rFonts w:ascii="Arial" w:hAnsi="Arial"/>
          <w:sz w:val="24"/>
          <w:szCs w:val="24"/>
        </w:rPr>
        <w:t>pplicant</w:t>
      </w:r>
    </w:p>
    <w:p w14:paraId="0424F691" w14:textId="77777777" w:rsidR="00E46C40" w:rsidRDefault="00E46C40"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sz w:val="24"/>
          <w:szCs w:val="24"/>
        </w:rPr>
      </w:pPr>
    </w:p>
    <w:p w14:paraId="034DA3A9" w14:textId="38DCA7FA" w:rsidR="00302938" w:rsidRPr="008B13F6" w:rsidRDefault="00E46C40"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r>
        <w:rPr>
          <w:rFonts w:ascii="Arial" w:hAnsi="Arial"/>
          <w:sz w:val="24"/>
          <w:szCs w:val="24"/>
        </w:rPr>
        <w:t>A</w:t>
      </w:r>
      <w:r w:rsidR="00302938" w:rsidRPr="008B13F6">
        <w:rPr>
          <w:rFonts w:ascii="Arial" w:hAnsi="Arial"/>
          <w:sz w:val="24"/>
          <w:szCs w:val="24"/>
        </w:rPr>
        <w:t>nd</w:t>
      </w:r>
    </w:p>
    <w:p w14:paraId="61BE11A0" w14:textId="77777777" w:rsidR="00E46C40" w:rsidRDefault="00E46C40" w:rsidP="00E46C40">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240" w:lineRule="auto"/>
        <w:rPr>
          <w:rFonts w:ascii="Arial" w:hAnsi="Arial"/>
          <w:b/>
          <w:sz w:val="24"/>
          <w:szCs w:val="24"/>
        </w:rPr>
      </w:pPr>
    </w:p>
    <w:p w14:paraId="21797958" w14:textId="6DA80469" w:rsidR="00B6513A" w:rsidRDefault="00B6513A" w:rsidP="00E46C40">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240" w:lineRule="auto"/>
        <w:rPr>
          <w:rFonts w:ascii="Arial" w:hAnsi="Arial"/>
          <w:b/>
          <w:sz w:val="24"/>
          <w:szCs w:val="24"/>
        </w:rPr>
      </w:pPr>
      <w:r>
        <w:rPr>
          <w:rFonts w:ascii="Arial" w:hAnsi="Arial"/>
          <w:b/>
          <w:sz w:val="24"/>
          <w:szCs w:val="24"/>
        </w:rPr>
        <w:t xml:space="preserve">CENTLEC (SOC) LTD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E46C40">
        <w:rPr>
          <w:rFonts w:ascii="Arial" w:hAnsi="Arial"/>
          <w:sz w:val="24"/>
          <w:szCs w:val="24"/>
        </w:rPr>
        <w:t>1</w:t>
      </w:r>
      <w:r w:rsidR="00E46C40" w:rsidRPr="00E46C40">
        <w:rPr>
          <w:rFonts w:ascii="Arial" w:hAnsi="Arial"/>
          <w:sz w:val="24"/>
          <w:szCs w:val="24"/>
          <w:vertAlign w:val="superscript"/>
        </w:rPr>
        <w:t>st</w:t>
      </w:r>
      <w:r w:rsidRPr="00E46C40">
        <w:rPr>
          <w:rFonts w:ascii="Arial" w:hAnsi="Arial"/>
          <w:sz w:val="24"/>
          <w:szCs w:val="24"/>
        </w:rPr>
        <w:t xml:space="preserve"> </w:t>
      </w:r>
      <w:r w:rsidRPr="00E46C40">
        <w:rPr>
          <w:rFonts w:ascii="Arial" w:hAnsi="Arial"/>
          <w:bCs/>
          <w:sz w:val="24"/>
          <w:szCs w:val="24"/>
        </w:rPr>
        <w:t>R</w:t>
      </w:r>
      <w:r w:rsidR="00E46C40" w:rsidRPr="00E46C40">
        <w:rPr>
          <w:rFonts w:ascii="Arial" w:hAnsi="Arial"/>
          <w:bCs/>
          <w:sz w:val="24"/>
          <w:szCs w:val="24"/>
        </w:rPr>
        <w:t>espondent</w:t>
      </w:r>
      <w:r>
        <w:rPr>
          <w:rFonts w:ascii="Arial" w:hAnsi="Arial"/>
          <w:b/>
          <w:sz w:val="24"/>
          <w:szCs w:val="24"/>
        </w:rPr>
        <w:tab/>
      </w:r>
    </w:p>
    <w:p w14:paraId="4C30FB96" w14:textId="5ACC317A" w:rsidR="003539B9" w:rsidRDefault="00B6513A" w:rsidP="00E46C40">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240" w:lineRule="auto"/>
        <w:rPr>
          <w:rFonts w:ascii="Arial" w:hAnsi="Arial"/>
          <w:bCs/>
          <w:sz w:val="24"/>
          <w:szCs w:val="24"/>
        </w:rPr>
      </w:pPr>
      <w:r>
        <w:rPr>
          <w:rFonts w:ascii="Arial" w:hAnsi="Arial"/>
          <w:b/>
          <w:sz w:val="24"/>
          <w:szCs w:val="24"/>
        </w:rPr>
        <w:t>MAKOMOTA INVESTMENT HOLDINGS (PTY) LTD</w:t>
      </w:r>
      <w:r w:rsidR="00843EE5">
        <w:rPr>
          <w:rFonts w:ascii="Arial" w:hAnsi="Arial"/>
          <w:b/>
          <w:sz w:val="24"/>
          <w:szCs w:val="24"/>
        </w:rPr>
        <w:t xml:space="preserve">       </w:t>
      </w:r>
      <w:r w:rsidR="003C6C83">
        <w:rPr>
          <w:rFonts w:ascii="Arial" w:hAnsi="Arial"/>
          <w:b/>
          <w:bCs/>
          <w:sz w:val="24"/>
          <w:szCs w:val="24"/>
        </w:rPr>
        <w:t xml:space="preserve">        </w:t>
      </w:r>
      <w:r>
        <w:rPr>
          <w:rFonts w:ascii="Arial" w:hAnsi="Arial"/>
          <w:b/>
          <w:bCs/>
          <w:sz w:val="24"/>
          <w:szCs w:val="24"/>
        </w:rPr>
        <w:tab/>
      </w:r>
      <w:r w:rsidRPr="00E46C40">
        <w:rPr>
          <w:rFonts w:ascii="Arial" w:hAnsi="Arial"/>
          <w:bCs/>
          <w:sz w:val="24"/>
          <w:szCs w:val="24"/>
        </w:rPr>
        <w:t>2</w:t>
      </w:r>
      <w:r w:rsidR="00E46C40" w:rsidRPr="00E46C40">
        <w:rPr>
          <w:rFonts w:ascii="Arial" w:hAnsi="Arial"/>
          <w:bCs/>
          <w:sz w:val="24"/>
          <w:szCs w:val="24"/>
          <w:vertAlign w:val="superscript"/>
        </w:rPr>
        <w:t>nd</w:t>
      </w:r>
      <w:r w:rsidRPr="00E46C40">
        <w:rPr>
          <w:rFonts w:ascii="Arial" w:hAnsi="Arial"/>
          <w:bCs/>
          <w:sz w:val="24"/>
          <w:szCs w:val="24"/>
        </w:rPr>
        <w:t xml:space="preserve"> </w:t>
      </w:r>
      <w:r w:rsidR="00E46C40">
        <w:rPr>
          <w:rFonts w:ascii="Arial" w:hAnsi="Arial"/>
          <w:bCs/>
          <w:sz w:val="24"/>
          <w:szCs w:val="24"/>
        </w:rPr>
        <w:t>R</w:t>
      </w:r>
      <w:r w:rsidR="00E46C40" w:rsidRPr="00E46C40">
        <w:rPr>
          <w:rFonts w:ascii="Arial" w:hAnsi="Arial"/>
          <w:bCs/>
          <w:sz w:val="24"/>
          <w:szCs w:val="24"/>
        </w:rPr>
        <w:t>espondent</w:t>
      </w:r>
    </w:p>
    <w:p w14:paraId="6692FE4B" w14:textId="30326F72" w:rsidR="00E46C40" w:rsidRDefault="00E46C40" w:rsidP="00E46C40">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240" w:lineRule="auto"/>
        <w:rPr>
          <w:rFonts w:ascii="Arial" w:hAnsi="Arial"/>
          <w:bCs/>
          <w:sz w:val="24"/>
          <w:szCs w:val="24"/>
        </w:rPr>
      </w:pPr>
    </w:p>
    <w:p w14:paraId="19EA26FB" w14:textId="3363A3D1" w:rsidR="00E46C40" w:rsidRDefault="00E46C40" w:rsidP="00E46C40">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240" w:lineRule="auto"/>
        <w:rPr>
          <w:rFonts w:ascii="Arial" w:hAnsi="Arial"/>
          <w:bCs/>
          <w:sz w:val="24"/>
          <w:szCs w:val="24"/>
        </w:rPr>
      </w:pPr>
    </w:p>
    <w:p w14:paraId="291D437A" w14:textId="77777777" w:rsidR="00E46C40" w:rsidRPr="000C7DA9" w:rsidRDefault="00E46C40" w:rsidP="00E46C40">
      <w:pPr>
        <w:pBdr>
          <w:bottom w:val="single" w:sz="12" w:space="0" w:color="auto"/>
        </w:pBdr>
        <w:spacing w:after="0" w:line="240" w:lineRule="auto"/>
        <w:jc w:val="both"/>
        <w:rPr>
          <w:rFonts w:ascii="Arial" w:hAnsi="Arial" w:cs="Arial"/>
          <w:color w:val="000000" w:themeColor="text1"/>
          <w:sz w:val="24"/>
          <w:szCs w:val="24"/>
        </w:rPr>
      </w:pPr>
    </w:p>
    <w:p w14:paraId="62B26F7E" w14:textId="77777777" w:rsidR="00E46C40" w:rsidRPr="000C7DA9" w:rsidRDefault="00E46C40" w:rsidP="00E46C40">
      <w:pPr>
        <w:spacing w:after="0"/>
        <w:ind w:left="2880" w:hanging="2880"/>
        <w:contextualSpacing/>
        <w:jc w:val="both"/>
        <w:rPr>
          <w:rFonts w:ascii="Arial" w:hAnsi="Arial" w:cs="Arial"/>
          <w:b/>
          <w:color w:val="000000" w:themeColor="text1"/>
          <w:sz w:val="24"/>
          <w:szCs w:val="24"/>
          <w:u w:val="single"/>
        </w:rPr>
      </w:pPr>
    </w:p>
    <w:p w14:paraId="132BF582" w14:textId="038A6035" w:rsidR="00E46C40" w:rsidRPr="00C96A0D" w:rsidRDefault="00E46C40" w:rsidP="00E46C4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sz w:val="24"/>
          <w:szCs w:val="24"/>
          <w:lang w:val="pt-BR"/>
        </w:rPr>
      </w:pPr>
      <w:r w:rsidRPr="00C96A0D">
        <w:rPr>
          <w:rFonts w:ascii="Arial" w:hAnsi="Arial" w:cs="Arial"/>
          <w:b/>
          <w:color w:val="000000" w:themeColor="text1"/>
          <w:sz w:val="24"/>
          <w:szCs w:val="24"/>
          <w:u w:val="single"/>
          <w:lang w:val="pt-BR"/>
        </w:rPr>
        <w:t>CORAM:</w:t>
      </w:r>
      <w:r w:rsidRPr="00C96A0D">
        <w:rPr>
          <w:rFonts w:ascii="Arial" w:hAnsi="Arial" w:cs="Arial"/>
          <w:b/>
          <w:color w:val="000000" w:themeColor="text1"/>
          <w:sz w:val="24"/>
          <w:szCs w:val="24"/>
          <w:lang w:val="pt-BR"/>
        </w:rPr>
        <w:tab/>
      </w:r>
      <w:r w:rsidRPr="00C96A0D">
        <w:rPr>
          <w:rFonts w:ascii="Arial" w:hAnsi="Arial" w:cs="Arial"/>
          <w:color w:val="000000" w:themeColor="text1"/>
          <w:sz w:val="24"/>
          <w:szCs w:val="24"/>
          <w:lang w:val="pt-BR"/>
        </w:rPr>
        <w:t xml:space="preserve"> </w:t>
      </w:r>
      <w:r w:rsidRPr="00C96A0D">
        <w:rPr>
          <w:rFonts w:ascii="Arial" w:hAnsi="Arial" w:cs="Arial"/>
          <w:color w:val="000000" w:themeColor="text1"/>
          <w:sz w:val="24"/>
          <w:szCs w:val="24"/>
          <w:lang w:val="pt-BR"/>
        </w:rPr>
        <w:tab/>
      </w:r>
      <w:r w:rsidRPr="00C96A0D">
        <w:rPr>
          <w:rFonts w:ascii="Arial" w:hAnsi="Arial" w:cs="Arial"/>
          <w:color w:val="000000" w:themeColor="text1"/>
          <w:sz w:val="24"/>
          <w:szCs w:val="24"/>
          <w:lang w:val="pt-BR"/>
        </w:rPr>
        <w:tab/>
      </w:r>
      <w:r w:rsidRPr="00C96A0D">
        <w:rPr>
          <w:rFonts w:ascii="Arial" w:hAnsi="Arial"/>
          <w:sz w:val="24"/>
          <w:szCs w:val="24"/>
          <w:lang w:val="pt-BR"/>
        </w:rPr>
        <w:t xml:space="preserve">MBHELE, AJP </w:t>
      </w:r>
      <w:r w:rsidRPr="00C96A0D">
        <w:rPr>
          <w:rFonts w:ascii="Arial" w:hAnsi="Arial"/>
          <w:i/>
          <w:sz w:val="24"/>
          <w:szCs w:val="24"/>
          <w:lang w:val="pt-BR"/>
        </w:rPr>
        <w:t>et</w:t>
      </w:r>
      <w:r w:rsidRPr="00C96A0D">
        <w:rPr>
          <w:rFonts w:ascii="Arial" w:hAnsi="Arial"/>
          <w:sz w:val="24"/>
          <w:szCs w:val="24"/>
          <w:lang w:val="pt-BR"/>
        </w:rPr>
        <w:t xml:space="preserve"> DANISO, J</w:t>
      </w:r>
      <w:r w:rsidRPr="00C96A0D">
        <w:rPr>
          <w:rFonts w:ascii="Arial" w:hAnsi="Arial" w:cs="Arial"/>
          <w:b/>
          <w:bCs/>
          <w:sz w:val="24"/>
          <w:szCs w:val="24"/>
          <w:lang w:val="pt-BR"/>
        </w:rPr>
        <w:tab/>
      </w:r>
      <w:r w:rsidRPr="00C96A0D">
        <w:rPr>
          <w:rFonts w:ascii="Arial" w:hAnsi="Arial" w:cs="Arial"/>
          <w:b/>
          <w:bCs/>
          <w:sz w:val="24"/>
          <w:szCs w:val="24"/>
          <w:lang w:val="pt-BR"/>
        </w:rPr>
        <w:tab/>
      </w:r>
    </w:p>
    <w:p w14:paraId="3884972C" w14:textId="77777777" w:rsidR="00E46C40" w:rsidRPr="00C96A0D" w:rsidRDefault="00E46C40" w:rsidP="00E46C40">
      <w:pPr>
        <w:pBdr>
          <w:bottom w:val="single" w:sz="12" w:space="1" w:color="auto"/>
        </w:pBdr>
        <w:spacing w:after="0" w:line="240" w:lineRule="auto"/>
        <w:contextualSpacing/>
        <w:jc w:val="center"/>
        <w:rPr>
          <w:rFonts w:ascii="Arial" w:hAnsi="Arial" w:cs="Arial"/>
          <w:color w:val="000000" w:themeColor="text1"/>
          <w:sz w:val="24"/>
          <w:szCs w:val="24"/>
          <w:lang w:val="pt-BR"/>
        </w:rPr>
      </w:pPr>
    </w:p>
    <w:p w14:paraId="51A8373E" w14:textId="77777777" w:rsidR="00E46C40" w:rsidRPr="00C96A0D" w:rsidRDefault="00E46C40" w:rsidP="00E46C40">
      <w:pPr>
        <w:spacing w:after="0" w:line="240" w:lineRule="auto"/>
        <w:contextualSpacing/>
        <w:jc w:val="both"/>
        <w:rPr>
          <w:rFonts w:ascii="Arial" w:hAnsi="Arial" w:cs="Arial"/>
          <w:color w:val="000000" w:themeColor="text1"/>
          <w:sz w:val="24"/>
          <w:szCs w:val="24"/>
          <w:lang w:val="pt-BR"/>
        </w:rPr>
      </w:pPr>
    </w:p>
    <w:p w14:paraId="3D5C3192" w14:textId="3690D86D" w:rsidR="00E46C40" w:rsidRPr="000C7DA9" w:rsidRDefault="00E46C40" w:rsidP="00E46C40">
      <w:pPr>
        <w:pStyle w:val="BodyAA"/>
        <w:pBdr>
          <w:top w:val="none" w:sz="0" w:space="0" w:color="auto"/>
          <w:left w:val="none" w:sz="0" w:space="0" w:color="auto"/>
          <w:bottom w:val="none" w:sz="0" w:space="0" w:color="auto"/>
          <w:right w:val="none" w:sz="0" w:space="0" w:color="auto"/>
          <w:bar w:val="none" w:sz="0" w:color="auto"/>
        </w:pBdr>
        <w:spacing w:after="0" w:line="360" w:lineRule="auto"/>
        <w:ind w:left="2880" w:hanging="2880"/>
        <w:jc w:val="both"/>
        <w:rPr>
          <w:rFonts w:ascii="Arial" w:hAnsi="Arial" w:cs="Arial"/>
          <w:color w:val="000000" w:themeColor="text1"/>
          <w:sz w:val="24"/>
          <w:szCs w:val="24"/>
        </w:rPr>
      </w:pPr>
      <w:r>
        <w:rPr>
          <w:rFonts w:ascii="Arial" w:hAnsi="Arial" w:cs="Arial"/>
          <w:b/>
          <w:color w:val="000000" w:themeColor="text1"/>
          <w:sz w:val="24"/>
          <w:szCs w:val="24"/>
          <w:u w:val="single"/>
        </w:rPr>
        <w:t>HEARD ON</w:t>
      </w:r>
      <w:r w:rsidRPr="000C7DA9">
        <w:rPr>
          <w:rFonts w:ascii="Arial" w:hAnsi="Arial" w:cs="Arial"/>
          <w:b/>
          <w:color w:val="000000" w:themeColor="text1"/>
          <w:sz w:val="24"/>
          <w:szCs w:val="24"/>
          <w:u w:val="single"/>
        </w:rPr>
        <w:t>:</w:t>
      </w:r>
      <w:r w:rsidRPr="000C7DA9">
        <w:rPr>
          <w:rFonts w:ascii="Arial" w:hAnsi="Arial" w:cs="Arial"/>
          <w:b/>
          <w:color w:val="000000" w:themeColor="text1"/>
          <w:sz w:val="24"/>
          <w:szCs w:val="24"/>
        </w:rPr>
        <w:tab/>
      </w:r>
      <w:r>
        <w:rPr>
          <w:rFonts w:ascii="Arial" w:hAnsi="Arial" w:cs="Arial"/>
          <w:sz w:val="24"/>
          <w:szCs w:val="24"/>
        </w:rPr>
        <w:t xml:space="preserve">This application was considered on heads of argument in chambers in terms of Section 19 (A) of the Superior Courts Act 10 of 2013. </w:t>
      </w:r>
    </w:p>
    <w:p w14:paraId="14E68509" w14:textId="77777777" w:rsidR="00E46C40" w:rsidRPr="000C7DA9" w:rsidRDefault="00E46C40" w:rsidP="00E46C40">
      <w:pPr>
        <w:pBdr>
          <w:bottom w:val="single" w:sz="6" w:space="3" w:color="auto"/>
        </w:pBdr>
        <w:spacing w:after="0" w:line="240" w:lineRule="auto"/>
        <w:contextualSpacing/>
        <w:jc w:val="both"/>
        <w:rPr>
          <w:rFonts w:ascii="Arial" w:hAnsi="Arial" w:cs="Arial"/>
          <w:color w:val="000000" w:themeColor="text1"/>
          <w:sz w:val="24"/>
          <w:szCs w:val="24"/>
        </w:rPr>
      </w:pPr>
    </w:p>
    <w:p w14:paraId="6A8A5952" w14:textId="77777777" w:rsidR="00E46C40" w:rsidRPr="000C7DA9" w:rsidRDefault="00E46C40" w:rsidP="00E46C40">
      <w:pPr>
        <w:spacing w:after="0" w:line="240" w:lineRule="auto"/>
        <w:contextualSpacing/>
        <w:jc w:val="both"/>
        <w:rPr>
          <w:rFonts w:ascii="Arial" w:hAnsi="Arial" w:cs="Arial"/>
          <w:b/>
          <w:color w:val="000000" w:themeColor="text1"/>
          <w:sz w:val="24"/>
          <w:szCs w:val="24"/>
        </w:rPr>
      </w:pPr>
    </w:p>
    <w:p w14:paraId="5891A1B0" w14:textId="0C764C76" w:rsidR="00E46C40" w:rsidRPr="000C7DA9" w:rsidRDefault="00E46C40" w:rsidP="00E46C40">
      <w:pPr>
        <w:spacing w:after="0" w:line="360" w:lineRule="auto"/>
        <w:ind w:left="2880" w:hanging="2880"/>
        <w:jc w:val="both"/>
        <w:rPr>
          <w:rFonts w:ascii="Arial" w:hAnsi="Arial" w:cs="Arial"/>
          <w:color w:val="000000" w:themeColor="text1"/>
          <w:sz w:val="24"/>
          <w:szCs w:val="24"/>
          <w:shd w:val="clear" w:color="auto" w:fill="FFFFFF"/>
        </w:rPr>
      </w:pPr>
      <w:r w:rsidRPr="000C7DA9">
        <w:rPr>
          <w:rFonts w:ascii="Arial" w:hAnsi="Arial" w:cs="Arial"/>
          <w:b/>
          <w:color w:val="000000" w:themeColor="text1"/>
          <w:sz w:val="24"/>
          <w:szCs w:val="24"/>
          <w:u w:val="single"/>
        </w:rPr>
        <w:t>DELIVERED ON:</w:t>
      </w:r>
      <w:r w:rsidRPr="000C7DA9">
        <w:rPr>
          <w:rFonts w:ascii="Arial" w:hAnsi="Arial" w:cs="Arial"/>
          <w:b/>
          <w:color w:val="000000" w:themeColor="text1"/>
          <w:sz w:val="24"/>
          <w:szCs w:val="24"/>
        </w:rPr>
        <w:tab/>
      </w:r>
      <w:r>
        <w:rPr>
          <w:rFonts w:ascii="Arial" w:hAnsi="Arial" w:cs="Arial"/>
          <w:sz w:val="24"/>
          <w:szCs w:val="24"/>
        </w:rPr>
        <w:t>27 DECEMBER 2023</w:t>
      </w:r>
    </w:p>
    <w:p w14:paraId="65F4C34A" w14:textId="77777777" w:rsidR="00E46C40" w:rsidRPr="000C7DA9" w:rsidRDefault="00E46C40" w:rsidP="00E46C40">
      <w:pPr>
        <w:pBdr>
          <w:bottom w:val="single" w:sz="12" w:space="1" w:color="auto"/>
        </w:pBdr>
        <w:tabs>
          <w:tab w:val="left" w:pos="2940"/>
        </w:tabs>
        <w:spacing w:after="0" w:line="240" w:lineRule="auto"/>
        <w:contextualSpacing/>
        <w:jc w:val="both"/>
        <w:rPr>
          <w:rFonts w:ascii="Arial" w:hAnsi="Arial" w:cs="Arial"/>
          <w:b/>
          <w:color w:val="000000" w:themeColor="text1"/>
          <w:sz w:val="24"/>
          <w:szCs w:val="24"/>
        </w:rPr>
      </w:pPr>
    </w:p>
    <w:p w14:paraId="10906AA3" w14:textId="77777777" w:rsidR="00E46C40" w:rsidRPr="00E46C40" w:rsidRDefault="00E46C40" w:rsidP="00E46C40">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240" w:lineRule="auto"/>
        <w:rPr>
          <w:rFonts w:ascii="Arial" w:hAnsi="Arial"/>
          <w:bCs/>
          <w:sz w:val="24"/>
          <w:szCs w:val="24"/>
        </w:rPr>
      </w:pPr>
    </w:p>
    <w:p w14:paraId="7608A71A" w14:textId="03DCA506"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p>
    <w:p w14:paraId="3B31E829" w14:textId="2AB7DE3C" w:rsidR="00735BB1" w:rsidRDefault="001913D9" w:rsidP="00735BB1">
      <w:pPr>
        <w:spacing w:after="0" w:line="360" w:lineRule="auto"/>
        <w:ind w:left="720" w:hanging="720"/>
        <w:jc w:val="both"/>
        <w:rPr>
          <w:rFonts w:ascii="Arial" w:hAnsi="Arial" w:cs="Arial"/>
          <w:sz w:val="24"/>
          <w:szCs w:val="24"/>
        </w:rPr>
      </w:pPr>
      <w:r w:rsidRPr="00135844">
        <w:rPr>
          <w:rFonts w:ascii="Arial" w:hAnsi="Arial" w:cs="Arial"/>
          <w:sz w:val="24"/>
          <w:szCs w:val="24"/>
        </w:rPr>
        <w:t>[1]</w:t>
      </w:r>
      <w:r>
        <w:tab/>
      </w:r>
      <w:r w:rsidR="00735BB1" w:rsidRPr="00571FE5">
        <w:rPr>
          <w:rFonts w:ascii="Arial" w:hAnsi="Arial" w:cs="Arial"/>
          <w:sz w:val="24"/>
          <w:szCs w:val="24"/>
        </w:rPr>
        <w:t>This is an applicatio</w:t>
      </w:r>
      <w:r w:rsidR="00735BB1">
        <w:rPr>
          <w:rFonts w:ascii="Arial" w:hAnsi="Arial" w:cs="Arial"/>
          <w:sz w:val="24"/>
          <w:szCs w:val="24"/>
        </w:rPr>
        <w:t xml:space="preserve">n for leave to appeal against our </w:t>
      </w:r>
      <w:r w:rsidR="00735BB1" w:rsidRPr="00571FE5">
        <w:rPr>
          <w:rFonts w:ascii="Arial" w:hAnsi="Arial" w:cs="Arial"/>
          <w:sz w:val="24"/>
          <w:szCs w:val="24"/>
        </w:rPr>
        <w:t>judgment that was delivered</w:t>
      </w:r>
      <w:r w:rsidR="00735BB1">
        <w:rPr>
          <w:rFonts w:ascii="Arial" w:hAnsi="Arial" w:cs="Arial"/>
          <w:sz w:val="24"/>
          <w:szCs w:val="24"/>
        </w:rPr>
        <w:t xml:space="preserve"> on 15 August 2023, in which we made the following</w:t>
      </w:r>
      <w:r w:rsidR="00A9554B">
        <w:rPr>
          <w:rFonts w:ascii="Arial" w:hAnsi="Arial" w:cs="Arial"/>
          <w:sz w:val="24"/>
          <w:szCs w:val="24"/>
        </w:rPr>
        <w:t xml:space="preserve"> </w:t>
      </w:r>
      <w:r w:rsidR="00E46C40">
        <w:rPr>
          <w:rFonts w:ascii="Arial" w:hAnsi="Arial" w:cs="Arial"/>
          <w:sz w:val="24"/>
          <w:szCs w:val="24"/>
        </w:rPr>
        <w:t>orders</w:t>
      </w:r>
      <w:r w:rsidR="00735BB1" w:rsidRPr="00571FE5">
        <w:rPr>
          <w:rFonts w:ascii="Arial" w:hAnsi="Arial" w:cs="Arial"/>
          <w:sz w:val="24"/>
          <w:szCs w:val="24"/>
        </w:rPr>
        <w:t>:</w:t>
      </w:r>
    </w:p>
    <w:p w14:paraId="6AD57DA2" w14:textId="77777777" w:rsidR="00E46C40" w:rsidRDefault="00E46C40" w:rsidP="00735BB1">
      <w:pPr>
        <w:spacing w:after="0" w:line="360" w:lineRule="auto"/>
        <w:ind w:left="720" w:hanging="720"/>
        <w:jc w:val="both"/>
        <w:rPr>
          <w:rFonts w:ascii="Arial" w:hAnsi="Arial" w:cs="Arial"/>
          <w:sz w:val="24"/>
          <w:szCs w:val="24"/>
        </w:rPr>
      </w:pPr>
    </w:p>
    <w:p w14:paraId="04A4465D" w14:textId="77777777" w:rsidR="00735BB1" w:rsidRPr="00C02968" w:rsidRDefault="00735BB1" w:rsidP="00735BB1">
      <w:pPr>
        <w:spacing w:line="360" w:lineRule="auto"/>
        <w:ind w:left="709"/>
        <w:jc w:val="both"/>
        <w:rPr>
          <w:rFonts w:ascii="Arial" w:hAnsi="Arial" w:cs="Arial"/>
          <w:sz w:val="24"/>
          <w:szCs w:val="24"/>
        </w:rPr>
      </w:pPr>
      <w:r w:rsidRPr="00735BB1">
        <w:rPr>
          <w:rFonts w:ascii="Arial" w:hAnsi="Arial" w:cs="Arial"/>
          <w:sz w:val="24"/>
          <w:szCs w:val="24"/>
        </w:rPr>
        <w:t>1.1</w:t>
      </w:r>
      <w:r>
        <w:t xml:space="preserve"> </w:t>
      </w:r>
      <w:r w:rsidR="00300A8E">
        <w:tab/>
      </w:r>
      <w:r w:rsidRPr="00C02968">
        <w:rPr>
          <w:rFonts w:ascii="Arial" w:hAnsi="Arial" w:cs="Arial"/>
          <w:sz w:val="24"/>
          <w:szCs w:val="24"/>
        </w:rPr>
        <w:t>The application is dismissed with costs.</w:t>
      </w:r>
    </w:p>
    <w:p w14:paraId="2D2C0C9E" w14:textId="52F739E4" w:rsidR="00735BB1" w:rsidRDefault="00735BB1" w:rsidP="00735BB1">
      <w:pPr>
        <w:spacing w:line="360" w:lineRule="auto"/>
        <w:ind w:left="709" w:hanging="709"/>
        <w:jc w:val="both"/>
        <w:rPr>
          <w:rFonts w:ascii="Arial" w:hAnsi="Arial" w:cs="Arial"/>
          <w:sz w:val="24"/>
          <w:szCs w:val="24"/>
        </w:rPr>
      </w:pPr>
      <w:r>
        <w:rPr>
          <w:rFonts w:ascii="Arial" w:hAnsi="Arial" w:cs="Arial"/>
          <w:sz w:val="24"/>
          <w:szCs w:val="24"/>
        </w:rPr>
        <w:lastRenderedPageBreak/>
        <w:t xml:space="preserve">          1</w:t>
      </w:r>
      <w:r w:rsidRPr="00C02968">
        <w:rPr>
          <w:rFonts w:ascii="Arial" w:hAnsi="Arial" w:cs="Arial"/>
          <w:sz w:val="24"/>
          <w:szCs w:val="24"/>
        </w:rPr>
        <w:t>.</w:t>
      </w:r>
      <w:r>
        <w:rPr>
          <w:rFonts w:ascii="Arial" w:hAnsi="Arial" w:cs="Arial"/>
          <w:sz w:val="24"/>
          <w:szCs w:val="24"/>
        </w:rPr>
        <w:t xml:space="preserve"> 2</w:t>
      </w:r>
      <w:r w:rsidRPr="00C02968">
        <w:rPr>
          <w:rFonts w:ascii="Arial" w:hAnsi="Arial" w:cs="Arial"/>
          <w:sz w:val="24"/>
          <w:szCs w:val="24"/>
        </w:rPr>
        <w:tab/>
        <w:t xml:space="preserve"> Costs to include that of counsel</w:t>
      </w:r>
      <w:r w:rsidR="000A32AF">
        <w:rPr>
          <w:rFonts w:ascii="Arial" w:hAnsi="Arial" w:cs="Arial"/>
          <w:sz w:val="24"/>
          <w:szCs w:val="24"/>
        </w:rPr>
        <w:t>.</w:t>
      </w:r>
    </w:p>
    <w:p w14:paraId="0DECD109" w14:textId="104D00C0" w:rsidR="000E3702" w:rsidRPr="006D4A3A" w:rsidRDefault="00C0166D" w:rsidP="00861687">
      <w:pPr>
        <w:pStyle w:val="Default"/>
        <w:spacing w:line="360" w:lineRule="auto"/>
        <w:ind w:left="709" w:hanging="709"/>
        <w:jc w:val="both"/>
      </w:pPr>
      <w:r>
        <w:t>[2]</w:t>
      </w:r>
      <w:r w:rsidR="00EC4BD1">
        <w:tab/>
      </w:r>
      <w:r w:rsidR="006D4A3A" w:rsidRPr="006D4A3A">
        <w:rPr>
          <w:rFonts w:eastAsia="Calibri"/>
        </w:rPr>
        <w:t>The grou</w:t>
      </w:r>
      <w:r w:rsidR="00300A8E">
        <w:rPr>
          <w:rFonts w:eastAsia="Calibri"/>
        </w:rPr>
        <w:t>nds on which leave to appeal is</w:t>
      </w:r>
      <w:r w:rsidR="006D4A3A" w:rsidRPr="006D4A3A">
        <w:rPr>
          <w:rFonts w:eastAsia="Calibri"/>
        </w:rPr>
        <w:t xml:space="preserve"> sought are listed extensively in the application and to avoid prolixity I shall not repeat same herein.</w:t>
      </w:r>
      <w:r w:rsidR="006D4A3A">
        <w:rPr>
          <w:rFonts w:eastAsia="Calibri"/>
        </w:rPr>
        <w:t xml:space="preserve"> </w:t>
      </w:r>
      <w:r w:rsidR="006D4A3A">
        <w:t>The costs orde</w:t>
      </w:r>
      <w:r w:rsidR="00300A8E">
        <w:t>r made against the applicant is</w:t>
      </w:r>
      <w:r w:rsidR="006D4A3A" w:rsidRPr="006D4A3A">
        <w:t xml:space="preserve"> also the subject of this application.</w:t>
      </w:r>
      <w:r w:rsidR="000928F7">
        <w:t xml:space="preserve"> </w:t>
      </w:r>
    </w:p>
    <w:p w14:paraId="511BEC42" w14:textId="77777777" w:rsidR="000E3702" w:rsidRPr="002275F4" w:rsidRDefault="000E3702" w:rsidP="006B2FE5">
      <w:pPr>
        <w:pStyle w:val="ListParagraph"/>
        <w:jc w:val="both"/>
        <w:rPr>
          <w:rFonts w:ascii="Arial" w:hAnsi="Arial" w:cs="Arial"/>
          <w:sz w:val="24"/>
          <w:szCs w:val="24"/>
        </w:rPr>
      </w:pPr>
    </w:p>
    <w:p w14:paraId="37437D57" w14:textId="77777777" w:rsidR="006D4A3A" w:rsidRPr="00B547F3" w:rsidRDefault="00891DEF" w:rsidP="004576C9">
      <w:pPr>
        <w:spacing w:after="0" w:line="360" w:lineRule="auto"/>
        <w:ind w:left="540" w:hanging="567"/>
        <w:contextualSpacing/>
        <w:jc w:val="both"/>
        <w:rPr>
          <w:rFonts w:ascii="Arial" w:eastAsia="Calibri" w:hAnsi="Arial" w:cs="Arial"/>
          <w:sz w:val="24"/>
          <w:szCs w:val="24"/>
        </w:rPr>
      </w:pPr>
      <w:r>
        <w:rPr>
          <w:rFonts w:ascii="Arial" w:hAnsi="Arial" w:cs="Arial"/>
          <w:sz w:val="24"/>
          <w:szCs w:val="24"/>
        </w:rPr>
        <w:t>[3</w:t>
      </w:r>
      <w:r w:rsidR="006D4A3A">
        <w:rPr>
          <w:rFonts w:ascii="Arial" w:hAnsi="Arial" w:cs="Arial"/>
          <w:sz w:val="24"/>
          <w:szCs w:val="24"/>
        </w:rPr>
        <w:t>]</w:t>
      </w:r>
      <w:r w:rsidR="006D4A3A">
        <w:rPr>
          <w:rFonts w:ascii="Arial" w:hAnsi="Arial" w:cs="Arial"/>
          <w:sz w:val="24"/>
          <w:szCs w:val="24"/>
        </w:rPr>
        <w:tab/>
      </w:r>
      <w:r w:rsidR="00B4673C">
        <w:rPr>
          <w:rFonts w:ascii="Arial" w:hAnsi="Arial" w:cs="Arial"/>
          <w:color w:val="242121"/>
          <w:sz w:val="24"/>
          <w:szCs w:val="24"/>
          <w:shd w:val="clear" w:color="auto" w:fill="FFFFFF"/>
        </w:rPr>
        <w:t xml:space="preserve"> </w:t>
      </w:r>
      <w:r w:rsidR="006D4A3A" w:rsidRPr="00B547F3">
        <w:rPr>
          <w:rFonts w:ascii="Arial" w:eastAsia="Calibri" w:hAnsi="Arial" w:cs="Arial"/>
          <w:sz w:val="24"/>
          <w:szCs w:val="24"/>
        </w:rPr>
        <w:t xml:space="preserve">Leave to appeal is governed by Section 17 of the Superior Courts Act 10 of 2013 (the Act). Subsection 17(1)(a) </w:t>
      </w:r>
      <w:r w:rsidR="006D4A3A">
        <w:rPr>
          <w:rFonts w:ascii="Arial" w:eastAsia="Calibri" w:hAnsi="Arial" w:cs="Arial"/>
          <w:sz w:val="24"/>
          <w:szCs w:val="24"/>
        </w:rPr>
        <w:t xml:space="preserve">– (c) </w:t>
      </w:r>
      <w:r w:rsidR="006D4A3A" w:rsidRPr="00B547F3">
        <w:rPr>
          <w:rFonts w:ascii="Arial" w:eastAsia="Calibri" w:hAnsi="Arial" w:cs="Arial"/>
          <w:sz w:val="24"/>
          <w:szCs w:val="24"/>
        </w:rPr>
        <w:t>reads as follows:</w:t>
      </w:r>
    </w:p>
    <w:p w14:paraId="332C3285" w14:textId="77777777" w:rsidR="006D4A3A" w:rsidRDefault="006D4A3A" w:rsidP="00135844">
      <w:pPr>
        <w:spacing w:after="0" w:line="360" w:lineRule="auto"/>
        <w:ind w:left="851" w:hanging="851"/>
        <w:contextualSpacing/>
        <w:jc w:val="both"/>
        <w:rPr>
          <w:rFonts w:ascii="Arial" w:eastAsia="Calibri" w:hAnsi="Arial" w:cs="Arial"/>
          <w:sz w:val="28"/>
          <w:szCs w:val="28"/>
        </w:rPr>
      </w:pPr>
    </w:p>
    <w:p w14:paraId="419AEFD5" w14:textId="44925A81" w:rsidR="006D4A3A" w:rsidRPr="00C96A0D" w:rsidRDefault="00C96A0D" w:rsidP="00C96A0D">
      <w:pPr>
        <w:spacing w:after="0" w:line="240" w:lineRule="auto"/>
        <w:ind w:left="1800" w:hanging="360"/>
        <w:jc w:val="both"/>
        <w:rPr>
          <w:rFonts w:ascii="Arial" w:eastAsia="Times New Roman" w:hAnsi="Arial" w:cs="Arial"/>
          <w:i/>
          <w:color w:val="000000"/>
          <w:sz w:val="20"/>
          <w:szCs w:val="20"/>
          <w:lang w:eastAsia="en-ZA"/>
        </w:rPr>
      </w:pPr>
      <w:r>
        <w:rPr>
          <w:rFonts w:ascii="Arial" w:eastAsia="Times New Roman" w:hAnsi="Arial" w:cs="Arial"/>
          <w:i/>
          <w:color w:val="000000"/>
          <w:sz w:val="20"/>
          <w:szCs w:val="20"/>
          <w:lang w:eastAsia="en-ZA"/>
        </w:rPr>
        <w:t>(1)</w:t>
      </w:r>
      <w:r>
        <w:rPr>
          <w:rFonts w:ascii="Arial" w:eastAsia="Times New Roman" w:hAnsi="Arial" w:cs="Arial"/>
          <w:i/>
          <w:color w:val="000000"/>
          <w:sz w:val="20"/>
          <w:szCs w:val="20"/>
          <w:lang w:eastAsia="en-ZA"/>
        </w:rPr>
        <w:tab/>
      </w:r>
      <w:r w:rsidR="00135844" w:rsidRPr="00C96A0D">
        <w:rPr>
          <w:rFonts w:ascii="Arial" w:eastAsia="Times New Roman" w:hAnsi="Arial" w:cs="Arial"/>
          <w:i/>
          <w:color w:val="000000"/>
          <w:sz w:val="20"/>
          <w:szCs w:val="20"/>
          <w:lang w:eastAsia="en-ZA"/>
        </w:rPr>
        <w:t>“Leave</w:t>
      </w:r>
      <w:r w:rsidR="006D4A3A" w:rsidRPr="00C96A0D">
        <w:rPr>
          <w:rFonts w:ascii="Arial" w:eastAsia="Times New Roman" w:hAnsi="Arial" w:cs="Arial"/>
          <w:i/>
          <w:color w:val="000000"/>
          <w:sz w:val="20"/>
          <w:szCs w:val="20"/>
          <w:lang w:eastAsia="en-ZA"/>
        </w:rPr>
        <w:t xml:space="preserve"> to appeal may only be given where the judge or judges concerned are of the opinion that-</w:t>
      </w:r>
      <w:bookmarkStart w:id="0" w:name="0-0-0-188219"/>
      <w:bookmarkEnd w:id="0"/>
    </w:p>
    <w:p w14:paraId="25ED7A4F" w14:textId="77777777" w:rsidR="004576C9" w:rsidRPr="004576C9" w:rsidRDefault="004576C9" w:rsidP="004576C9">
      <w:pPr>
        <w:pStyle w:val="ListParagraph"/>
        <w:spacing w:after="0" w:line="240" w:lineRule="auto"/>
        <w:ind w:left="1800"/>
        <w:jc w:val="both"/>
        <w:rPr>
          <w:rFonts w:ascii="Arial" w:eastAsia="Times New Roman" w:hAnsi="Arial" w:cs="Arial"/>
          <w:i/>
          <w:color w:val="000000"/>
          <w:sz w:val="20"/>
          <w:szCs w:val="20"/>
          <w:lang w:eastAsia="en-ZA"/>
        </w:rPr>
      </w:pPr>
    </w:p>
    <w:p w14:paraId="6FEF9E36" w14:textId="77777777" w:rsidR="006D4A3A" w:rsidRPr="004576C9" w:rsidRDefault="00135844" w:rsidP="00135844">
      <w:pPr>
        <w:pStyle w:val="ListParagraph"/>
        <w:spacing w:after="0" w:line="240" w:lineRule="auto"/>
        <w:ind w:firstLine="720"/>
        <w:jc w:val="both"/>
        <w:rPr>
          <w:rFonts w:ascii="Arial" w:eastAsia="Times New Roman" w:hAnsi="Arial" w:cs="Arial"/>
          <w:i/>
          <w:color w:val="000000"/>
          <w:sz w:val="20"/>
          <w:szCs w:val="20"/>
          <w:lang w:eastAsia="en-ZA"/>
        </w:rPr>
      </w:pPr>
      <w:r w:rsidRPr="004576C9">
        <w:rPr>
          <w:rFonts w:ascii="Arial" w:eastAsia="Times New Roman" w:hAnsi="Arial" w:cs="Arial"/>
          <w:i/>
          <w:iCs/>
          <w:sz w:val="20"/>
          <w:szCs w:val="20"/>
          <w:lang w:eastAsia="en-ZA"/>
        </w:rPr>
        <w:t>(a)</w:t>
      </w:r>
      <w:r w:rsidRPr="004576C9">
        <w:rPr>
          <w:rFonts w:ascii="Arial" w:eastAsia="Times New Roman" w:hAnsi="Arial" w:cs="Arial"/>
          <w:i/>
          <w:sz w:val="20"/>
          <w:szCs w:val="20"/>
          <w:lang w:eastAsia="en-ZA"/>
        </w:rPr>
        <w:t> (</w:t>
      </w:r>
      <w:proofErr w:type="spellStart"/>
      <w:r w:rsidR="006D4A3A" w:rsidRPr="004576C9">
        <w:rPr>
          <w:rFonts w:ascii="Arial" w:eastAsia="Times New Roman" w:hAnsi="Arial" w:cs="Arial"/>
          <w:i/>
          <w:color w:val="000000"/>
          <w:sz w:val="20"/>
          <w:szCs w:val="20"/>
          <w:lang w:eastAsia="en-ZA"/>
        </w:rPr>
        <w:t>i</w:t>
      </w:r>
      <w:proofErr w:type="spellEnd"/>
      <w:r w:rsidR="006D4A3A" w:rsidRPr="004576C9">
        <w:rPr>
          <w:rFonts w:ascii="Arial" w:eastAsia="Times New Roman" w:hAnsi="Arial" w:cs="Arial"/>
          <w:i/>
          <w:color w:val="000000"/>
          <w:sz w:val="20"/>
          <w:szCs w:val="20"/>
          <w:lang w:eastAsia="en-ZA"/>
        </w:rPr>
        <w:t>)   the appeal would have a reasonable prospect of success; or</w:t>
      </w:r>
    </w:p>
    <w:p w14:paraId="569563AB" w14:textId="0B65D7D5" w:rsidR="006D4A3A" w:rsidRDefault="006D4A3A" w:rsidP="00135844">
      <w:pPr>
        <w:spacing w:after="0" w:line="240" w:lineRule="auto"/>
        <w:ind w:left="1701"/>
        <w:jc w:val="both"/>
        <w:rPr>
          <w:rFonts w:ascii="Arial" w:eastAsia="Times New Roman" w:hAnsi="Arial" w:cs="Arial"/>
          <w:i/>
          <w:color w:val="000000"/>
          <w:sz w:val="20"/>
          <w:szCs w:val="20"/>
          <w:lang w:eastAsia="en-ZA"/>
        </w:rPr>
      </w:pPr>
      <w:r w:rsidRPr="004576C9">
        <w:rPr>
          <w:rFonts w:ascii="Arial" w:eastAsia="Times New Roman" w:hAnsi="Arial" w:cs="Arial"/>
          <w:i/>
          <w:color w:val="000000"/>
          <w:sz w:val="20"/>
          <w:szCs w:val="20"/>
          <w:lang w:eastAsia="en-ZA"/>
        </w:rPr>
        <w:t>(ii)   there is some other compelling reason why the appeal should be heard, including conflicting judgments on the matter under consideration;</w:t>
      </w:r>
    </w:p>
    <w:p w14:paraId="5D15C28C" w14:textId="77777777" w:rsidR="004576C9" w:rsidRPr="004576C9" w:rsidRDefault="004576C9" w:rsidP="00135844">
      <w:pPr>
        <w:spacing w:after="0" w:line="240" w:lineRule="auto"/>
        <w:ind w:left="1701"/>
        <w:jc w:val="both"/>
        <w:rPr>
          <w:rFonts w:ascii="Arial" w:eastAsia="Times New Roman" w:hAnsi="Arial" w:cs="Arial"/>
          <w:i/>
          <w:color w:val="000000"/>
          <w:sz w:val="20"/>
          <w:szCs w:val="20"/>
          <w:lang w:eastAsia="en-ZA"/>
        </w:rPr>
      </w:pPr>
    </w:p>
    <w:bookmarkStart w:id="1" w:name="0-0-0-188227"/>
    <w:bookmarkEnd w:id="1"/>
    <w:p w14:paraId="3C1D803F" w14:textId="7FA822D5" w:rsidR="006D4A3A" w:rsidRDefault="006D4A3A" w:rsidP="00135844">
      <w:pPr>
        <w:spacing w:after="0" w:line="240" w:lineRule="auto"/>
        <w:ind w:left="1701" w:hanging="283"/>
        <w:jc w:val="both"/>
        <w:rPr>
          <w:rFonts w:ascii="Arial" w:eastAsia="Times New Roman" w:hAnsi="Arial" w:cs="Arial"/>
          <w:i/>
          <w:color w:val="000000"/>
          <w:sz w:val="20"/>
          <w:szCs w:val="20"/>
          <w:lang w:eastAsia="en-ZA"/>
        </w:rPr>
      </w:pPr>
      <w:r w:rsidRPr="004576C9">
        <w:rPr>
          <w:rFonts w:ascii="Arial" w:eastAsia="Times New Roman" w:hAnsi="Arial" w:cs="Arial"/>
          <w:i/>
          <w:sz w:val="20"/>
          <w:szCs w:val="20"/>
          <w:lang w:eastAsia="en-ZA"/>
        </w:rPr>
        <w:fldChar w:fldCharType="begin"/>
      </w:r>
      <w:r w:rsidRPr="004576C9">
        <w:rPr>
          <w:rFonts w:ascii="Arial" w:eastAsia="Times New Roman" w:hAnsi="Arial" w:cs="Arial"/>
          <w:i/>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10y2013s17(1)(b)%27%5d&amp;xhitlist_md=target-id=0-0-0-188229" \t "main" </w:instrText>
      </w:r>
      <w:r w:rsidRPr="004576C9">
        <w:rPr>
          <w:rFonts w:ascii="Arial" w:eastAsia="Times New Roman" w:hAnsi="Arial" w:cs="Arial"/>
          <w:i/>
          <w:sz w:val="20"/>
          <w:szCs w:val="20"/>
          <w:lang w:eastAsia="en-ZA"/>
        </w:rPr>
      </w:r>
      <w:r w:rsidRPr="004576C9">
        <w:rPr>
          <w:rFonts w:ascii="Arial" w:eastAsia="Times New Roman" w:hAnsi="Arial" w:cs="Arial"/>
          <w:i/>
          <w:sz w:val="20"/>
          <w:szCs w:val="20"/>
          <w:lang w:eastAsia="en-ZA"/>
        </w:rPr>
        <w:fldChar w:fldCharType="separate"/>
      </w:r>
      <w:r w:rsidRPr="004576C9">
        <w:rPr>
          <w:rFonts w:ascii="Arial" w:eastAsia="Times New Roman" w:hAnsi="Arial" w:cs="Arial"/>
          <w:i/>
          <w:iCs/>
          <w:sz w:val="20"/>
          <w:szCs w:val="20"/>
          <w:lang w:eastAsia="en-ZA"/>
        </w:rPr>
        <w:t>(b)</w:t>
      </w:r>
      <w:r w:rsidRPr="004576C9">
        <w:rPr>
          <w:rFonts w:ascii="Arial" w:eastAsia="Times New Roman" w:hAnsi="Arial" w:cs="Arial"/>
          <w:i/>
          <w:sz w:val="20"/>
          <w:szCs w:val="20"/>
          <w:lang w:eastAsia="en-ZA"/>
        </w:rPr>
        <w:fldChar w:fldCharType="end"/>
      </w:r>
      <w:r w:rsidR="00135844" w:rsidRPr="004576C9">
        <w:rPr>
          <w:rFonts w:ascii="Arial" w:eastAsia="Times New Roman" w:hAnsi="Arial" w:cs="Arial"/>
          <w:i/>
          <w:sz w:val="20"/>
          <w:szCs w:val="20"/>
          <w:lang w:eastAsia="en-ZA"/>
        </w:rPr>
        <w:t> </w:t>
      </w:r>
      <w:r w:rsidRPr="004576C9">
        <w:rPr>
          <w:rFonts w:ascii="Arial" w:eastAsia="Times New Roman" w:hAnsi="Arial" w:cs="Arial"/>
          <w:i/>
          <w:color w:val="000000"/>
          <w:sz w:val="20"/>
          <w:szCs w:val="20"/>
          <w:lang w:eastAsia="en-ZA"/>
        </w:rPr>
        <w:t>the decision sought on appeal does not fall within the ambit of section 16 (2) </w:t>
      </w:r>
      <w:r w:rsidRPr="004576C9">
        <w:rPr>
          <w:rFonts w:ascii="Arial" w:eastAsia="Times New Roman" w:hAnsi="Arial" w:cs="Arial"/>
          <w:i/>
          <w:iCs/>
          <w:color w:val="000000"/>
          <w:sz w:val="20"/>
          <w:szCs w:val="20"/>
          <w:lang w:eastAsia="en-ZA"/>
        </w:rPr>
        <w:t>(a)</w:t>
      </w:r>
      <w:r w:rsidRPr="004576C9">
        <w:rPr>
          <w:rFonts w:ascii="Arial" w:eastAsia="Times New Roman" w:hAnsi="Arial" w:cs="Arial"/>
          <w:i/>
          <w:color w:val="000000"/>
          <w:sz w:val="20"/>
          <w:szCs w:val="20"/>
          <w:lang w:eastAsia="en-ZA"/>
        </w:rPr>
        <w:t xml:space="preserve">; </w:t>
      </w:r>
      <w:proofErr w:type="gramStart"/>
      <w:r w:rsidRPr="004576C9">
        <w:rPr>
          <w:rFonts w:ascii="Arial" w:eastAsia="Times New Roman" w:hAnsi="Arial" w:cs="Arial"/>
          <w:i/>
          <w:color w:val="000000"/>
          <w:sz w:val="20"/>
          <w:szCs w:val="20"/>
          <w:lang w:eastAsia="en-ZA"/>
        </w:rPr>
        <w:t>and</w:t>
      </w:r>
      <w:r w:rsidR="004576C9">
        <w:rPr>
          <w:rFonts w:ascii="Arial" w:eastAsia="Times New Roman" w:hAnsi="Arial" w:cs="Arial"/>
          <w:i/>
          <w:color w:val="000000"/>
          <w:sz w:val="20"/>
          <w:szCs w:val="20"/>
          <w:lang w:eastAsia="en-ZA"/>
        </w:rPr>
        <w:t>;</w:t>
      </w:r>
      <w:proofErr w:type="gramEnd"/>
    </w:p>
    <w:p w14:paraId="031B4845" w14:textId="77777777" w:rsidR="004576C9" w:rsidRPr="004576C9" w:rsidRDefault="004576C9" w:rsidP="00135844">
      <w:pPr>
        <w:spacing w:after="0" w:line="240" w:lineRule="auto"/>
        <w:ind w:left="1701" w:hanging="283"/>
        <w:jc w:val="both"/>
        <w:rPr>
          <w:rFonts w:ascii="Arial" w:eastAsia="Times New Roman" w:hAnsi="Arial" w:cs="Arial"/>
          <w:i/>
          <w:color w:val="000000"/>
          <w:sz w:val="20"/>
          <w:szCs w:val="20"/>
          <w:lang w:eastAsia="en-ZA"/>
        </w:rPr>
      </w:pPr>
    </w:p>
    <w:p w14:paraId="52CDC4A8" w14:textId="2FF65CA0" w:rsidR="006D4A3A" w:rsidRPr="004576C9" w:rsidRDefault="006D4A3A" w:rsidP="00135844">
      <w:pPr>
        <w:spacing w:after="0" w:line="240" w:lineRule="auto"/>
        <w:ind w:left="1560" w:hanging="142"/>
        <w:jc w:val="both"/>
        <w:rPr>
          <w:rFonts w:ascii="Arial" w:eastAsia="Times New Roman" w:hAnsi="Arial" w:cs="Arial"/>
          <w:i/>
          <w:color w:val="000000"/>
          <w:sz w:val="20"/>
          <w:szCs w:val="20"/>
          <w:lang w:eastAsia="en-ZA"/>
        </w:rPr>
      </w:pPr>
      <w:r w:rsidRPr="004576C9">
        <w:rPr>
          <w:rFonts w:ascii="Arial" w:eastAsia="Times New Roman" w:hAnsi="Arial" w:cs="Arial"/>
          <w:i/>
          <w:iCs/>
          <w:color w:val="000000"/>
          <w:sz w:val="20"/>
          <w:szCs w:val="20"/>
          <w:lang w:eastAsia="en-ZA"/>
        </w:rPr>
        <w:t>(c)</w:t>
      </w:r>
      <w:r w:rsidR="00135844" w:rsidRPr="004576C9">
        <w:rPr>
          <w:rFonts w:ascii="Arial" w:eastAsia="Times New Roman" w:hAnsi="Arial" w:cs="Arial"/>
          <w:i/>
          <w:color w:val="000000"/>
          <w:sz w:val="20"/>
          <w:szCs w:val="20"/>
          <w:lang w:eastAsia="en-ZA"/>
        </w:rPr>
        <w:t> </w:t>
      </w:r>
      <w:r w:rsidRPr="004576C9">
        <w:rPr>
          <w:rFonts w:ascii="Arial" w:eastAsia="Times New Roman" w:hAnsi="Arial" w:cs="Arial"/>
          <w:i/>
          <w:color w:val="000000"/>
          <w:sz w:val="20"/>
          <w:szCs w:val="20"/>
          <w:lang w:eastAsia="en-ZA"/>
        </w:rPr>
        <w:t>where the decision sought to be appealed does not dispose of all the issues in the case, the appeal would lead to a just and prompt resolution of the real issues between the parties.”</w:t>
      </w:r>
    </w:p>
    <w:p w14:paraId="3AFE3DB8" w14:textId="77777777" w:rsidR="006D4A3A" w:rsidRDefault="006D4A3A" w:rsidP="006D4A3A">
      <w:pPr>
        <w:spacing w:after="0" w:line="240" w:lineRule="auto"/>
        <w:ind w:left="720" w:hanging="737"/>
        <w:rPr>
          <w:rFonts w:ascii="Arial" w:eastAsia="Times New Roman" w:hAnsi="Arial" w:cs="Arial"/>
          <w:color w:val="000000"/>
          <w:sz w:val="20"/>
          <w:szCs w:val="20"/>
          <w:lang w:eastAsia="en-ZA"/>
        </w:rPr>
      </w:pPr>
    </w:p>
    <w:p w14:paraId="7EBC20CE" w14:textId="048DB12B" w:rsidR="00CF2BAB" w:rsidRDefault="00B479DB" w:rsidP="004576C9">
      <w:pPr>
        <w:tabs>
          <w:tab w:val="left" w:pos="720"/>
        </w:tabs>
        <w:spacing w:before="120" w:after="0" w:line="360" w:lineRule="auto"/>
        <w:ind w:left="567" w:hanging="567"/>
        <w:jc w:val="both"/>
        <w:rPr>
          <w:rFonts w:ascii="Arial" w:eastAsia="Calibri" w:hAnsi="Arial" w:cs="Arial"/>
        </w:rPr>
      </w:pPr>
      <w:r w:rsidRPr="000E3702">
        <w:rPr>
          <w:rFonts w:ascii="Arial" w:hAnsi="Arial" w:cs="Arial"/>
          <w:sz w:val="24"/>
          <w:szCs w:val="24"/>
        </w:rPr>
        <w:t>[</w:t>
      </w:r>
      <w:r w:rsidR="00891DEF" w:rsidRPr="000E3702">
        <w:rPr>
          <w:rFonts w:ascii="Arial" w:hAnsi="Arial" w:cs="Arial"/>
          <w:sz w:val="24"/>
          <w:szCs w:val="24"/>
        </w:rPr>
        <w:t>4</w:t>
      </w:r>
      <w:r w:rsidR="004576C9" w:rsidRPr="000E3702">
        <w:rPr>
          <w:rFonts w:ascii="Arial" w:hAnsi="Arial" w:cs="Arial"/>
          <w:sz w:val="24"/>
          <w:szCs w:val="24"/>
        </w:rPr>
        <w:t xml:space="preserve">] </w:t>
      </w:r>
      <w:r w:rsidR="004576C9" w:rsidRPr="000E3702">
        <w:rPr>
          <w:rFonts w:ascii="Arial" w:hAnsi="Arial" w:cs="Arial"/>
          <w:sz w:val="24"/>
          <w:szCs w:val="24"/>
        </w:rPr>
        <w:tab/>
      </w:r>
      <w:r w:rsidR="00223D4D">
        <w:rPr>
          <w:rFonts w:ascii="Arial" w:hAnsi="Arial" w:cs="Arial"/>
          <w:sz w:val="24"/>
          <w:szCs w:val="24"/>
        </w:rPr>
        <w:t>It is well established</w:t>
      </w:r>
      <w:r w:rsidR="000928F7" w:rsidRPr="000928F7">
        <w:rPr>
          <w:rFonts w:ascii="Arial" w:hAnsi="Arial" w:cs="Arial"/>
          <w:sz w:val="24"/>
          <w:szCs w:val="24"/>
        </w:rPr>
        <w:t xml:space="preserve"> that the existing provisions of the Act raise the standard to be met by an applicant in a leave to appeal.  </w:t>
      </w:r>
      <w:r w:rsidR="000928F7" w:rsidRPr="000928F7">
        <w:rPr>
          <w:rFonts w:ascii="Arial" w:hAnsi="Arial" w:cs="Arial"/>
          <w:color w:val="000000"/>
          <w:sz w:val="24"/>
          <w:szCs w:val="24"/>
        </w:rPr>
        <w:t>The test for granting leave to appeal is whether there are any reasonable prospects of success in an appeal. It is not whether a litigant has an arguable case or a mere possibility of success</w:t>
      </w:r>
      <w:r w:rsidR="000928F7" w:rsidRPr="000928F7">
        <w:rPr>
          <w:rFonts w:ascii="Arial" w:hAnsi="Arial" w:cs="Arial"/>
          <w:color w:val="000000"/>
          <w:sz w:val="28"/>
          <w:szCs w:val="28"/>
        </w:rPr>
        <w:t>.</w:t>
      </w:r>
      <w:r w:rsidR="000928F7" w:rsidRPr="000928F7">
        <w:rPr>
          <w:rFonts w:ascii="Arial" w:hAnsi="Arial" w:cs="Arial"/>
          <w:color w:val="000000"/>
          <w:sz w:val="28"/>
          <w:szCs w:val="28"/>
          <w:vertAlign w:val="superscript"/>
        </w:rPr>
        <w:footnoteReference w:id="1"/>
      </w:r>
      <w:r w:rsidR="00CF2BAB">
        <w:rPr>
          <w:rFonts w:ascii="Arial" w:hAnsi="Arial" w:cs="Arial"/>
          <w:color w:val="000000"/>
          <w:sz w:val="28"/>
          <w:szCs w:val="28"/>
        </w:rPr>
        <w:t xml:space="preserve"> See also </w:t>
      </w:r>
      <w:r w:rsidR="00CF2BAB" w:rsidRPr="00CF2BAB">
        <w:rPr>
          <w:rFonts w:ascii="Arial" w:eastAsia="Calibri" w:hAnsi="Arial" w:cs="Arial"/>
          <w:i/>
          <w:sz w:val="24"/>
          <w:szCs w:val="24"/>
        </w:rPr>
        <w:t>Democratic Alliance v President of the Republic of South Africa and Others</w:t>
      </w:r>
      <w:r w:rsidR="00CF2BAB" w:rsidRPr="00CF2BAB">
        <w:rPr>
          <w:rFonts w:ascii="Arial" w:eastAsia="Calibri" w:hAnsi="Arial" w:cs="Arial"/>
          <w:sz w:val="24"/>
          <w:szCs w:val="24"/>
          <w:vertAlign w:val="superscript"/>
        </w:rPr>
        <w:footnoteReference w:id="2"/>
      </w:r>
      <w:r w:rsidR="00CF2BAB" w:rsidRPr="00CF2BAB">
        <w:rPr>
          <w:rFonts w:ascii="Arial" w:eastAsia="Calibri" w:hAnsi="Arial" w:cs="Arial"/>
          <w:sz w:val="24"/>
          <w:szCs w:val="24"/>
        </w:rPr>
        <w:t xml:space="preserve"> where the  following was said: </w:t>
      </w:r>
      <w:r w:rsidR="00CF2BAB" w:rsidRPr="00CF2BAB">
        <w:rPr>
          <w:rFonts w:ascii="Arial" w:eastAsia="Calibri" w:hAnsi="Arial" w:cs="Arial"/>
          <w:sz w:val="24"/>
          <w:szCs w:val="24"/>
        </w:rPr>
        <w:tab/>
      </w:r>
    </w:p>
    <w:p w14:paraId="4DA78ABF" w14:textId="77777777" w:rsidR="004576C9" w:rsidRDefault="004576C9" w:rsidP="00F03C64">
      <w:pPr>
        <w:tabs>
          <w:tab w:val="left" w:pos="567"/>
        </w:tabs>
        <w:spacing w:before="120" w:after="0" w:line="360" w:lineRule="auto"/>
        <w:ind w:left="873"/>
        <w:jc w:val="both"/>
        <w:rPr>
          <w:rFonts w:ascii="Arial" w:eastAsia="Calibri" w:hAnsi="Arial" w:cs="Arial"/>
          <w:sz w:val="20"/>
          <w:szCs w:val="20"/>
        </w:rPr>
      </w:pPr>
    </w:p>
    <w:p w14:paraId="124381AA" w14:textId="4882669E" w:rsidR="00280039" w:rsidRPr="004576C9" w:rsidRDefault="00CF2BAB" w:rsidP="00F03C64">
      <w:pPr>
        <w:tabs>
          <w:tab w:val="left" w:pos="567"/>
        </w:tabs>
        <w:spacing w:before="120" w:after="0" w:line="360" w:lineRule="auto"/>
        <w:ind w:left="873"/>
        <w:jc w:val="both"/>
        <w:rPr>
          <w:rFonts w:ascii="Arial" w:eastAsia="Calibri" w:hAnsi="Arial" w:cs="Arial"/>
          <w:i/>
          <w:sz w:val="20"/>
          <w:szCs w:val="20"/>
        </w:rPr>
      </w:pPr>
      <w:r w:rsidRPr="004576C9">
        <w:rPr>
          <w:rFonts w:ascii="Arial" w:eastAsia="Calibri" w:hAnsi="Arial" w:cs="Arial"/>
          <w:i/>
          <w:sz w:val="20"/>
          <w:szCs w:val="20"/>
        </w:rPr>
        <w:t xml:space="preserve">“The test as now set out in s17 constitutes a more formidable threshold over which an applicant must engage than was the case. Previously the test was whether there was a reasonable prospect that another court might come to a different conclusion. See, for example, Van Heerden v </w:t>
      </w:r>
      <w:proofErr w:type="spellStart"/>
      <w:r w:rsidRPr="004576C9">
        <w:rPr>
          <w:rFonts w:ascii="Arial" w:eastAsia="Calibri" w:hAnsi="Arial" w:cs="Arial"/>
          <w:i/>
          <w:sz w:val="20"/>
          <w:szCs w:val="20"/>
        </w:rPr>
        <w:t>Cronwright</w:t>
      </w:r>
      <w:proofErr w:type="spellEnd"/>
      <w:r w:rsidRPr="004576C9">
        <w:rPr>
          <w:rFonts w:ascii="Arial" w:eastAsia="Calibri" w:hAnsi="Arial" w:cs="Arial"/>
          <w:i/>
          <w:sz w:val="20"/>
          <w:szCs w:val="20"/>
        </w:rPr>
        <w:t xml:space="preserve"> and Others 1985(2) SA 342 (T) at 343 H. The fact that the Superior Courts Act now employs the word ‘would ‘as opposed to ‘might ‘serves to emphasise this point. As the Supreme Court of Appeal said in Smith v S 2012(1) SACR 567 (SCA) at para 7; </w:t>
      </w:r>
    </w:p>
    <w:p w14:paraId="42D20FEE" w14:textId="77777777" w:rsidR="00CF2BAB" w:rsidRPr="004576C9" w:rsidRDefault="00CF2BAB" w:rsidP="004576C9">
      <w:pPr>
        <w:spacing w:line="360" w:lineRule="auto"/>
        <w:ind w:left="1440"/>
        <w:contextualSpacing/>
        <w:jc w:val="both"/>
        <w:rPr>
          <w:rFonts w:ascii="Arial" w:eastAsia="Calibri" w:hAnsi="Arial" w:cs="Arial"/>
          <w:i/>
          <w:sz w:val="20"/>
          <w:szCs w:val="20"/>
        </w:rPr>
      </w:pPr>
      <w:r w:rsidRPr="004576C9">
        <w:rPr>
          <w:rFonts w:ascii="Arial" w:eastAsia="Calibri" w:hAnsi="Arial" w:cs="Arial"/>
          <w:i/>
          <w:sz w:val="20"/>
          <w:szCs w:val="20"/>
        </w:rPr>
        <w:lastRenderedPageBreak/>
        <w:t>‘More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14:paraId="0FB9E7A5" w14:textId="77777777" w:rsidR="00CF2BAB" w:rsidRDefault="00CF2BAB" w:rsidP="006B2FE5">
      <w:pPr>
        <w:tabs>
          <w:tab w:val="left" w:pos="567"/>
        </w:tabs>
        <w:spacing w:before="120" w:after="0" w:line="360" w:lineRule="auto"/>
        <w:ind w:left="567" w:hanging="567"/>
        <w:jc w:val="both"/>
        <w:rPr>
          <w:rFonts w:ascii="Arial" w:eastAsia="Calibri" w:hAnsi="Arial" w:cs="Arial"/>
        </w:rPr>
      </w:pPr>
    </w:p>
    <w:p w14:paraId="28775B85" w14:textId="71593A07" w:rsidR="000928F7" w:rsidRPr="000928F7" w:rsidRDefault="004576C9" w:rsidP="004576C9">
      <w:pPr>
        <w:spacing w:before="120" w:after="0" w:line="360" w:lineRule="auto"/>
        <w:ind w:hanging="567"/>
        <w:jc w:val="both"/>
      </w:pPr>
      <w:r>
        <w:rPr>
          <w:rFonts w:ascii="Arial" w:hAnsi="Arial" w:cs="Arial"/>
          <w:sz w:val="24"/>
          <w:szCs w:val="24"/>
        </w:rPr>
        <w:t xml:space="preserve">    </w:t>
      </w:r>
      <w:r>
        <w:rPr>
          <w:rFonts w:ascii="Arial" w:hAnsi="Arial" w:cs="Arial"/>
          <w:sz w:val="24"/>
          <w:szCs w:val="24"/>
        </w:rPr>
        <w:tab/>
      </w:r>
      <w:r w:rsidR="00891DEF">
        <w:rPr>
          <w:rFonts w:ascii="Arial" w:hAnsi="Arial" w:cs="Arial"/>
        </w:rPr>
        <w:t>[5</w:t>
      </w:r>
      <w:r w:rsidR="00401FF8">
        <w:rPr>
          <w:rFonts w:ascii="Arial" w:hAnsi="Arial" w:cs="Arial"/>
        </w:rPr>
        <w:t xml:space="preserve">] </w:t>
      </w:r>
      <w:r w:rsidR="00F82EBC">
        <w:rPr>
          <w:rFonts w:ascii="Arial" w:hAnsi="Arial" w:cs="Arial"/>
        </w:rPr>
        <w:t xml:space="preserve"> </w:t>
      </w:r>
      <w:r w:rsidR="00B80E21">
        <w:rPr>
          <w:rFonts w:ascii="Arial" w:hAnsi="Arial" w:cs="Arial"/>
        </w:rPr>
        <w:t xml:space="preserve"> </w:t>
      </w:r>
      <w:r w:rsidR="00BE6049">
        <w:rPr>
          <w:rFonts w:ascii="Arial" w:hAnsi="Arial" w:cs="Arial"/>
        </w:rPr>
        <w:t xml:space="preserve"> </w:t>
      </w:r>
      <w:r w:rsidR="005F4502">
        <w:rPr>
          <w:rFonts w:ascii="Arial" w:hAnsi="Arial" w:cs="Arial"/>
        </w:rPr>
        <w:tab/>
      </w:r>
      <w:r w:rsidR="000928F7" w:rsidRPr="00135844">
        <w:rPr>
          <w:rFonts w:ascii="Arial" w:hAnsi="Arial" w:cs="Arial"/>
        </w:rPr>
        <w:t xml:space="preserve">In  </w:t>
      </w:r>
      <w:r w:rsidR="000928F7" w:rsidRPr="00135844">
        <w:rPr>
          <w:rFonts w:ascii="Arial" w:hAnsi="Arial" w:cs="Arial"/>
          <w:i/>
        </w:rPr>
        <w:t xml:space="preserve">The Mont </w:t>
      </w:r>
      <w:proofErr w:type="spellStart"/>
      <w:r w:rsidR="000928F7" w:rsidRPr="00135844">
        <w:rPr>
          <w:rFonts w:ascii="Arial" w:hAnsi="Arial" w:cs="Arial"/>
          <w:i/>
        </w:rPr>
        <w:t>Chevaux</w:t>
      </w:r>
      <w:proofErr w:type="spellEnd"/>
      <w:r w:rsidR="000928F7" w:rsidRPr="00135844">
        <w:rPr>
          <w:rFonts w:ascii="Arial" w:hAnsi="Arial" w:cs="Arial"/>
          <w:i/>
        </w:rPr>
        <w:t xml:space="preserve"> Trust v Tina Goosen and 18 Others</w:t>
      </w:r>
      <w:r w:rsidR="000928F7" w:rsidRPr="00135844">
        <w:rPr>
          <w:rFonts w:ascii="Arial" w:hAnsi="Arial" w:cs="Arial"/>
          <w:vertAlign w:val="superscript"/>
        </w:rPr>
        <w:footnoteReference w:id="3"/>
      </w:r>
      <w:r w:rsidR="000928F7" w:rsidRPr="00135844">
        <w:rPr>
          <w:rFonts w:ascii="Arial" w:hAnsi="Arial" w:cs="Arial"/>
          <w:b/>
        </w:rPr>
        <w:t xml:space="preserve"> </w:t>
      </w:r>
      <w:r w:rsidR="00CF2BAB" w:rsidRPr="00135844">
        <w:rPr>
          <w:rFonts w:ascii="Arial" w:hAnsi="Arial" w:cs="Arial"/>
        </w:rPr>
        <w:t xml:space="preserve">the court </w:t>
      </w:r>
      <w:r w:rsidR="000928F7" w:rsidRPr="00135844">
        <w:rPr>
          <w:rFonts w:ascii="Arial" w:hAnsi="Arial" w:cs="Arial"/>
        </w:rPr>
        <w:t>said the following:</w:t>
      </w:r>
      <w:r w:rsidR="000928F7" w:rsidRPr="000928F7">
        <w:t xml:space="preserve"> </w:t>
      </w:r>
    </w:p>
    <w:p w14:paraId="05FEB3B8" w14:textId="77777777" w:rsidR="00223D4D" w:rsidRDefault="00223D4D" w:rsidP="000928F7">
      <w:pPr>
        <w:widowControl w:val="0"/>
        <w:autoSpaceDE w:val="0"/>
        <w:autoSpaceDN w:val="0"/>
        <w:adjustRightInd w:val="0"/>
        <w:spacing w:after="0" w:line="360" w:lineRule="auto"/>
        <w:ind w:left="709"/>
        <w:jc w:val="both"/>
        <w:rPr>
          <w:rFonts w:ascii="Arial" w:eastAsiaTheme="minorEastAsia" w:hAnsi="Arial" w:cs="Arial"/>
          <w:sz w:val="20"/>
          <w:szCs w:val="20"/>
          <w:lang w:eastAsia="en-ZA"/>
        </w:rPr>
      </w:pPr>
    </w:p>
    <w:p w14:paraId="17414861" w14:textId="77777777" w:rsidR="006306FB" w:rsidRPr="004576C9" w:rsidRDefault="00135844" w:rsidP="00135844">
      <w:pPr>
        <w:widowControl w:val="0"/>
        <w:autoSpaceDE w:val="0"/>
        <w:autoSpaceDN w:val="0"/>
        <w:adjustRightInd w:val="0"/>
        <w:spacing w:after="0" w:line="360" w:lineRule="auto"/>
        <w:ind w:left="1418"/>
        <w:jc w:val="both"/>
        <w:rPr>
          <w:rFonts w:ascii="Arial" w:eastAsiaTheme="minorEastAsia" w:hAnsi="Arial" w:cs="Arial"/>
          <w:b/>
          <w:i/>
          <w:sz w:val="24"/>
          <w:szCs w:val="24"/>
          <w:lang w:eastAsia="en-ZA"/>
        </w:rPr>
      </w:pPr>
      <w:r w:rsidRPr="004576C9">
        <w:rPr>
          <w:rFonts w:ascii="Arial" w:eastAsiaTheme="minorEastAsia" w:hAnsi="Arial" w:cs="Arial"/>
          <w:i/>
          <w:sz w:val="20"/>
          <w:szCs w:val="20"/>
          <w:lang w:eastAsia="en-ZA"/>
        </w:rPr>
        <w:tab/>
      </w:r>
      <w:r w:rsidR="000928F7" w:rsidRPr="004576C9">
        <w:rPr>
          <w:rFonts w:ascii="Arial" w:eastAsiaTheme="minorEastAsia" w:hAnsi="Arial" w:cs="Arial"/>
          <w:i/>
          <w:sz w:val="20"/>
          <w:szCs w:val="20"/>
          <w:lang w:eastAsia="en-ZA"/>
        </w:rPr>
        <w:t>"It is clear that the threshold for granting leave to appeal against a judgment of a High Court has been raised in the new Act. The former test whether leave to appeal should be granted was a reasonable prospect that another court might</w:t>
      </w:r>
      <w:r w:rsidR="000928F7" w:rsidRPr="004576C9">
        <w:rPr>
          <w:rFonts w:ascii="Arial" w:eastAsiaTheme="minorEastAsia" w:hAnsi="Arial" w:cs="Arial"/>
          <w:i/>
          <w:sz w:val="24"/>
          <w:szCs w:val="24"/>
          <w:lang w:eastAsia="en-ZA"/>
        </w:rPr>
        <w:t xml:space="preserve"> </w:t>
      </w:r>
      <w:r w:rsidR="000928F7" w:rsidRPr="004576C9">
        <w:rPr>
          <w:rFonts w:ascii="Arial" w:eastAsiaTheme="minorEastAsia" w:hAnsi="Arial" w:cs="Arial"/>
          <w:i/>
          <w:sz w:val="20"/>
          <w:szCs w:val="20"/>
          <w:lang w:eastAsia="en-ZA"/>
        </w:rPr>
        <w:t xml:space="preserve">come to a different conclusion, see </w:t>
      </w:r>
      <w:r w:rsidR="000928F7" w:rsidRPr="004576C9">
        <w:rPr>
          <w:rFonts w:ascii="Arial" w:eastAsiaTheme="minorEastAsia" w:hAnsi="Arial" w:cs="Arial"/>
          <w:b/>
          <w:bCs/>
          <w:i/>
          <w:sz w:val="20"/>
          <w:szCs w:val="20"/>
          <w:lang w:eastAsia="en-ZA"/>
        </w:rPr>
        <w:t>Van Heerden</w:t>
      </w:r>
      <w:r w:rsidR="000928F7" w:rsidRPr="004576C9">
        <w:rPr>
          <w:rFonts w:ascii="Times New Roman" w:eastAsiaTheme="minorEastAsia" w:hAnsi="Times New Roman" w:cs="Times New Roman"/>
          <w:b/>
          <w:bCs/>
          <w:i/>
          <w:sz w:val="20"/>
          <w:szCs w:val="20"/>
          <w:lang w:eastAsia="en-ZA"/>
        </w:rPr>
        <w:t xml:space="preserve"> </w:t>
      </w:r>
      <w:r w:rsidR="000928F7" w:rsidRPr="004576C9">
        <w:rPr>
          <w:rFonts w:ascii="Arial" w:eastAsiaTheme="minorEastAsia" w:hAnsi="Arial" w:cs="Arial"/>
          <w:b/>
          <w:bCs/>
          <w:i/>
          <w:sz w:val="20"/>
          <w:szCs w:val="20"/>
          <w:lang w:eastAsia="en-ZA"/>
        </w:rPr>
        <w:t xml:space="preserve">v </w:t>
      </w:r>
      <w:proofErr w:type="spellStart"/>
      <w:r w:rsidR="000928F7" w:rsidRPr="004576C9">
        <w:rPr>
          <w:rFonts w:ascii="Arial" w:eastAsiaTheme="minorEastAsia" w:hAnsi="Arial" w:cs="Arial"/>
          <w:b/>
          <w:bCs/>
          <w:i/>
          <w:sz w:val="20"/>
          <w:szCs w:val="20"/>
          <w:lang w:eastAsia="en-ZA"/>
        </w:rPr>
        <w:t>Cronwright</w:t>
      </w:r>
      <w:proofErr w:type="spellEnd"/>
      <w:r w:rsidR="000928F7" w:rsidRPr="004576C9">
        <w:rPr>
          <w:rFonts w:ascii="Arial" w:eastAsiaTheme="minorEastAsia" w:hAnsi="Arial" w:cs="Arial"/>
          <w:b/>
          <w:bCs/>
          <w:i/>
          <w:sz w:val="20"/>
          <w:szCs w:val="20"/>
          <w:lang w:eastAsia="en-ZA"/>
        </w:rPr>
        <w:t xml:space="preserve"> &amp; Others </w:t>
      </w:r>
      <w:r w:rsidR="000928F7" w:rsidRPr="004576C9">
        <w:rPr>
          <w:rFonts w:ascii="Arial" w:eastAsiaTheme="minorEastAsia" w:hAnsi="Arial" w:cs="Arial"/>
          <w:i/>
          <w:sz w:val="20"/>
          <w:szCs w:val="20"/>
          <w:lang w:eastAsia="en-ZA"/>
        </w:rPr>
        <w:t>1985 (2) SA 342 (T) at 343H</w:t>
      </w:r>
      <w:r w:rsidR="000928F7" w:rsidRPr="004576C9">
        <w:rPr>
          <w:rFonts w:ascii="Arial" w:eastAsiaTheme="minorEastAsia" w:hAnsi="Arial" w:cs="Arial"/>
          <w:b/>
          <w:bCs/>
          <w:i/>
          <w:sz w:val="20"/>
          <w:szCs w:val="20"/>
          <w:lang w:eastAsia="en-ZA"/>
        </w:rPr>
        <w:t xml:space="preserve">. </w:t>
      </w:r>
      <w:r w:rsidR="000928F7" w:rsidRPr="004576C9">
        <w:rPr>
          <w:rFonts w:ascii="Arial" w:eastAsiaTheme="minorEastAsia" w:hAnsi="Arial" w:cs="Arial"/>
          <w:i/>
          <w:sz w:val="20"/>
          <w:szCs w:val="20"/>
          <w:lang w:eastAsia="en-ZA"/>
        </w:rPr>
        <w:t>The use of the word "would" in the said new statute indicates a measure of certainty that another court will differ from the court whose judgment is sought to be appealed against."</w:t>
      </w:r>
    </w:p>
    <w:p w14:paraId="3E825CFF" w14:textId="77777777" w:rsidR="00C0166D" w:rsidRDefault="00C0166D" w:rsidP="006B2FE5">
      <w:pPr>
        <w:spacing w:after="0" w:line="360" w:lineRule="auto"/>
        <w:ind w:left="709" w:hanging="709"/>
        <w:jc w:val="both"/>
        <w:rPr>
          <w:rFonts w:ascii="Arial" w:hAnsi="Arial" w:cs="Arial"/>
          <w:sz w:val="24"/>
          <w:szCs w:val="24"/>
        </w:rPr>
      </w:pPr>
    </w:p>
    <w:p w14:paraId="2A367F79" w14:textId="10D7FBDD" w:rsidR="00F76B55" w:rsidRPr="00180BF5" w:rsidRDefault="00891DEF" w:rsidP="00F20DF7">
      <w:pPr>
        <w:tabs>
          <w:tab w:val="left" w:pos="630"/>
          <w:tab w:val="left" w:pos="720"/>
        </w:tabs>
        <w:spacing w:after="0" w:line="360" w:lineRule="auto"/>
        <w:ind w:left="630" w:hanging="720"/>
        <w:jc w:val="both"/>
        <w:rPr>
          <w:rFonts w:ascii="Arial" w:hAnsi="Arial" w:cs="Arial"/>
          <w:sz w:val="24"/>
          <w:szCs w:val="24"/>
        </w:rPr>
      </w:pPr>
      <w:r>
        <w:rPr>
          <w:rFonts w:ascii="Arial" w:hAnsi="Arial" w:cs="Arial"/>
          <w:sz w:val="24"/>
          <w:szCs w:val="24"/>
        </w:rPr>
        <w:t>[6</w:t>
      </w:r>
      <w:r w:rsidR="00F96B5D" w:rsidRPr="002A6D12">
        <w:rPr>
          <w:rFonts w:ascii="Arial" w:hAnsi="Arial" w:cs="Arial"/>
          <w:sz w:val="24"/>
          <w:szCs w:val="24"/>
        </w:rPr>
        <w:t>]</w:t>
      </w:r>
      <w:r w:rsidR="004C77BC" w:rsidRPr="002A6D12">
        <w:rPr>
          <w:rFonts w:ascii="Arial" w:hAnsi="Arial" w:cs="Arial"/>
          <w:sz w:val="24"/>
          <w:szCs w:val="24"/>
        </w:rPr>
        <w:t xml:space="preserve"> </w:t>
      </w:r>
      <w:r w:rsidR="004B3663">
        <w:rPr>
          <w:rFonts w:ascii="Arial" w:hAnsi="Arial" w:cs="Arial"/>
          <w:sz w:val="24"/>
          <w:szCs w:val="24"/>
        </w:rPr>
        <w:t xml:space="preserve">  </w:t>
      </w:r>
      <w:r w:rsidR="00A926E6">
        <w:rPr>
          <w:rFonts w:ascii="Arial" w:hAnsi="Arial" w:cs="Arial"/>
          <w:sz w:val="24"/>
          <w:szCs w:val="24"/>
        </w:rPr>
        <w:tab/>
      </w:r>
      <w:r w:rsidR="004B3663" w:rsidRPr="00145349">
        <w:rPr>
          <w:rFonts w:ascii="Arial" w:eastAsia="Calibri" w:hAnsi="Arial" w:cs="Arial"/>
          <w:sz w:val="24"/>
          <w:szCs w:val="24"/>
        </w:rPr>
        <w:t xml:space="preserve">It is clear from the above authorities that in </w:t>
      </w:r>
      <w:r w:rsidR="00300A8E">
        <w:rPr>
          <w:rFonts w:ascii="Arial" w:eastAsia="Calibri" w:hAnsi="Arial" w:cs="Arial"/>
          <w:sz w:val="24"/>
          <w:szCs w:val="24"/>
        </w:rPr>
        <w:t>leave to appeal applications a J</w:t>
      </w:r>
      <w:r w:rsidR="004B3663" w:rsidRPr="00145349">
        <w:rPr>
          <w:rFonts w:ascii="Arial" w:eastAsia="Calibri" w:hAnsi="Arial" w:cs="Arial"/>
          <w:sz w:val="24"/>
          <w:szCs w:val="24"/>
        </w:rPr>
        <w:t xml:space="preserve">udge’s discretion </w:t>
      </w:r>
      <w:r w:rsidR="009B0C95">
        <w:rPr>
          <w:rFonts w:ascii="Arial" w:eastAsia="Calibri" w:hAnsi="Arial" w:cs="Arial"/>
          <w:sz w:val="24"/>
          <w:szCs w:val="24"/>
        </w:rPr>
        <w:t xml:space="preserve">is not absolute, it </w:t>
      </w:r>
      <w:r w:rsidR="004B3663" w:rsidRPr="00145349">
        <w:rPr>
          <w:rFonts w:ascii="Arial" w:eastAsia="Calibri" w:hAnsi="Arial" w:cs="Arial"/>
          <w:sz w:val="24"/>
          <w:szCs w:val="24"/>
        </w:rPr>
        <w:t>has to be exercised in conformity with section 17(1). The Act places a heavy onus on the applicant to show why another court would come to a different conclu</w:t>
      </w:r>
      <w:r w:rsidR="009B0C95">
        <w:rPr>
          <w:rFonts w:ascii="Arial" w:eastAsia="Calibri" w:hAnsi="Arial" w:cs="Arial"/>
          <w:sz w:val="24"/>
          <w:szCs w:val="24"/>
        </w:rPr>
        <w:t>sion. It</w:t>
      </w:r>
      <w:r w:rsidR="004B3663" w:rsidRPr="00145349">
        <w:rPr>
          <w:rFonts w:ascii="Arial" w:eastAsia="Calibri" w:hAnsi="Arial" w:cs="Arial"/>
          <w:sz w:val="24"/>
          <w:szCs w:val="24"/>
        </w:rPr>
        <w:t xml:space="preserve"> must be clear at the time of granting leave to appeal that prospects of success </w:t>
      </w:r>
      <w:r w:rsidR="00687A03">
        <w:rPr>
          <w:rFonts w:ascii="Arial" w:eastAsia="Calibri" w:hAnsi="Arial" w:cs="Arial"/>
          <w:sz w:val="24"/>
          <w:szCs w:val="24"/>
        </w:rPr>
        <w:t xml:space="preserve">on appeal </w:t>
      </w:r>
      <w:r w:rsidR="004B3663" w:rsidRPr="00145349">
        <w:rPr>
          <w:rFonts w:ascii="Arial" w:eastAsia="Calibri" w:hAnsi="Arial" w:cs="Arial"/>
          <w:sz w:val="24"/>
          <w:szCs w:val="24"/>
        </w:rPr>
        <w:t>are real and not fanciful</w:t>
      </w:r>
      <w:r w:rsidR="004B3663" w:rsidRPr="00CF25E4">
        <w:rPr>
          <w:rFonts w:ascii="Arial" w:eastAsia="Calibri" w:hAnsi="Arial" w:cs="Arial"/>
          <w:sz w:val="28"/>
          <w:szCs w:val="28"/>
        </w:rPr>
        <w:t>.</w:t>
      </w:r>
      <w:r w:rsidR="00180BF5" w:rsidRPr="0037617E">
        <w:rPr>
          <w:rFonts w:ascii="Times New Roman" w:eastAsia="Times New Roman" w:hAnsi="Times New Roman" w:cs="Times New Roman"/>
          <w:color w:val="333333"/>
          <w:sz w:val="30"/>
          <w:szCs w:val="30"/>
          <w:lang w:eastAsia="en-ZA"/>
        </w:rPr>
        <w:t xml:space="preserve"> </w:t>
      </w:r>
    </w:p>
    <w:p w14:paraId="07C520D3" w14:textId="77777777" w:rsidR="006E1CD5" w:rsidRDefault="006E1CD5" w:rsidP="006B2FE5">
      <w:pPr>
        <w:spacing w:after="0" w:line="360" w:lineRule="auto"/>
        <w:jc w:val="both"/>
        <w:rPr>
          <w:rFonts w:ascii="Arial" w:hAnsi="Arial" w:cs="Arial"/>
          <w:sz w:val="24"/>
          <w:szCs w:val="24"/>
        </w:rPr>
      </w:pPr>
    </w:p>
    <w:p w14:paraId="3088E64A" w14:textId="3C21C269" w:rsidR="00077D4C" w:rsidRPr="006D4A3A" w:rsidRDefault="00891DEF" w:rsidP="004576C9">
      <w:pPr>
        <w:pStyle w:val="Default"/>
        <w:spacing w:line="360" w:lineRule="auto"/>
        <w:ind w:left="720" w:hanging="720"/>
        <w:jc w:val="both"/>
      </w:pPr>
      <w:r>
        <w:t>[7</w:t>
      </w:r>
      <w:r w:rsidR="004576C9" w:rsidRPr="006E1CD5">
        <w:t xml:space="preserve">] </w:t>
      </w:r>
      <w:r w:rsidR="004576C9" w:rsidRPr="006E1CD5">
        <w:tab/>
      </w:r>
      <w:r w:rsidR="00077D4C">
        <w:t>The gravamen of the applicant’s complaint is that it was not</w:t>
      </w:r>
      <w:r w:rsidR="00E46C40">
        <w:t xml:space="preserve"> </w:t>
      </w:r>
      <w:r w:rsidR="00077D4C">
        <w:t>the first respondent’s case that the applicant’s bid pricing is predicated on the wrong notion that bidder</w:t>
      </w:r>
      <w:r w:rsidR="008A2FAC">
        <w:t>s had to compile a Fixed Asset R</w:t>
      </w:r>
      <w:r w:rsidR="00077D4C">
        <w:t xml:space="preserve">egister </w:t>
      </w:r>
      <w:r w:rsidR="004576C9">
        <w:t>from scratch</w:t>
      </w:r>
      <w:r w:rsidR="008A2FAC">
        <w:t xml:space="preserve">. The applicant submits that </w:t>
      </w:r>
      <w:r w:rsidR="00077D4C">
        <w:t xml:space="preserve">the first respondent’s case was all along that because the applicant did not quote a fixed price for Item </w:t>
      </w:r>
      <w:r w:rsidR="00135844">
        <w:t>4, the</w:t>
      </w:r>
      <w:r w:rsidR="00077D4C">
        <w:t xml:space="preserve"> Bid Evaluation Committee </w:t>
      </w:r>
      <w:r w:rsidR="00250BA3">
        <w:t xml:space="preserve">could not </w:t>
      </w:r>
      <w:r w:rsidR="00077D4C">
        <w:t xml:space="preserve">ascertain the </w:t>
      </w:r>
      <w:r w:rsidR="00135844">
        <w:t>amount that</w:t>
      </w:r>
      <w:r w:rsidR="00077D4C">
        <w:t xml:space="preserve"> the applicant quoted. </w:t>
      </w:r>
    </w:p>
    <w:p w14:paraId="0EF78219" w14:textId="77777777" w:rsidR="00861687" w:rsidRPr="006E1CD5" w:rsidRDefault="00861687" w:rsidP="006B2FE5">
      <w:pPr>
        <w:spacing w:after="0" w:line="360" w:lineRule="auto"/>
        <w:ind w:left="709" w:hanging="709"/>
        <w:jc w:val="both"/>
        <w:rPr>
          <w:rFonts w:ascii="Arial" w:hAnsi="Arial" w:cs="Arial"/>
          <w:sz w:val="24"/>
          <w:szCs w:val="24"/>
        </w:rPr>
      </w:pPr>
    </w:p>
    <w:p w14:paraId="4846AB0F" w14:textId="77777777" w:rsidR="008E0073" w:rsidRDefault="00891DEF" w:rsidP="006B2FE5">
      <w:pPr>
        <w:spacing w:after="0" w:line="360" w:lineRule="auto"/>
        <w:ind w:left="720" w:hanging="720"/>
        <w:jc w:val="both"/>
        <w:rPr>
          <w:rFonts w:ascii="Arial" w:hAnsi="Arial" w:cs="Arial"/>
          <w:sz w:val="24"/>
          <w:szCs w:val="24"/>
        </w:rPr>
      </w:pPr>
      <w:r>
        <w:rPr>
          <w:rFonts w:ascii="Arial" w:hAnsi="Arial" w:cs="Arial"/>
          <w:sz w:val="24"/>
          <w:szCs w:val="24"/>
        </w:rPr>
        <w:t>[8</w:t>
      </w:r>
      <w:r w:rsidR="00EF1358" w:rsidRPr="006E1CD5">
        <w:rPr>
          <w:rFonts w:ascii="Arial" w:hAnsi="Arial" w:cs="Arial"/>
          <w:sz w:val="24"/>
          <w:szCs w:val="24"/>
        </w:rPr>
        <w:t xml:space="preserve">] </w:t>
      </w:r>
      <w:r w:rsidR="00EF1358" w:rsidRPr="006E1CD5">
        <w:rPr>
          <w:rFonts w:ascii="Arial" w:hAnsi="Arial" w:cs="Arial"/>
          <w:sz w:val="24"/>
          <w:szCs w:val="24"/>
        </w:rPr>
        <w:tab/>
      </w:r>
      <w:r w:rsidR="00837153">
        <w:rPr>
          <w:rFonts w:ascii="Arial" w:hAnsi="Arial" w:cs="Arial"/>
          <w:sz w:val="24"/>
          <w:szCs w:val="24"/>
        </w:rPr>
        <w:t>The respondent’s answering affidavit deals with the</w:t>
      </w:r>
      <w:r w:rsidR="00FD3FFF">
        <w:rPr>
          <w:rFonts w:ascii="Arial" w:hAnsi="Arial" w:cs="Arial"/>
          <w:sz w:val="24"/>
          <w:szCs w:val="24"/>
        </w:rPr>
        <w:t xml:space="preserve"> scope and</w:t>
      </w:r>
      <w:r w:rsidR="00837153">
        <w:rPr>
          <w:rFonts w:ascii="Arial" w:hAnsi="Arial" w:cs="Arial"/>
          <w:sz w:val="24"/>
          <w:szCs w:val="24"/>
        </w:rPr>
        <w:t xml:space="preserve"> conditions of the </w:t>
      </w:r>
      <w:r w:rsidR="00423CD1">
        <w:rPr>
          <w:rFonts w:ascii="Arial" w:hAnsi="Arial" w:cs="Arial"/>
          <w:sz w:val="24"/>
          <w:szCs w:val="24"/>
        </w:rPr>
        <w:t>bid as well as the evaluation criteria. I</w:t>
      </w:r>
      <w:r w:rsidR="00687A03">
        <w:rPr>
          <w:rFonts w:ascii="Arial" w:hAnsi="Arial" w:cs="Arial"/>
          <w:sz w:val="24"/>
          <w:szCs w:val="24"/>
        </w:rPr>
        <w:t>t is apposite to quote the relevant parts of the</w:t>
      </w:r>
      <w:r w:rsidR="008A2FAC">
        <w:rPr>
          <w:rFonts w:ascii="Arial" w:hAnsi="Arial" w:cs="Arial"/>
          <w:sz w:val="24"/>
          <w:szCs w:val="24"/>
        </w:rPr>
        <w:t xml:space="preserve"> respondent’s</w:t>
      </w:r>
      <w:r w:rsidR="00687A03">
        <w:rPr>
          <w:rFonts w:ascii="Arial" w:hAnsi="Arial" w:cs="Arial"/>
          <w:sz w:val="24"/>
          <w:szCs w:val="24"/>
        </w:rPr>
        <w:t xml:space="preserve"> answering affidavit. </w:t>
      </w:r>
      <w:r w:rsidR="00846258">
        <w:rPr>
          <w:rFonts w:ascii="Arial" w:hAnsi="Arial" w:cs="Arial"/>
          <w:sz w:val="24"/>
          <w:szCs w:val="24"/>
        </w:rPr>
        <w:t>The paragraphs below</w:t>
      </w:r>
      <w:r w:rsidR="001E03FC">
        <w:rPr>
          <w:rStyle w:val="FootnoteReference"/>
          <w:rFonts w:ascii="Arial" w:hAnsi="Arial" w:cs="Arial"/>
          <w:sz w:val="24"/>
          <w:szCs w:val="24"/>
        </w:rPr>
        <w:footnoteReference w:id="4"/>
      </w:r>
      <w:r w:rsidR="00846258">
        <w:rPr>
          <w:rFonts w:ascii="Arial" w:hAnsi="Arial" w:cs="Arial"/>
          <w:sz w:val="24"/>
          <w:szCs w:val="24"/>
        </w:rPr>
        <w:t xml:space="preserve"> will show that the</w:t>
      </w:r>
      <w:r w:rsidR="00B73117">
        <w:rPr>
          <w:rFonts w:ascii="Arial" w:hAnsi="Arial" w:cs="Arial"/>
          <w:sz w:val="24"/>
          <w:szCs w:val="24"/>
        </w:rPr>
        <w:t xml:space="preserve"> first </w:t>
      </w:r>
      <w:r w:rsidR="00846258">
        <w:rPr>
          <w:rFonts w:ascii="Arial" w:hAnsi="Arial" w:cs="Arial"/>
          <w:sz w:val="24"/>
          <w:szCs w:val="24"/>
        </w:rPr>
        <w:t xml:space="preserve"> respondent indicated that the applicant was wrong to use the total amounts </w:t>
      </w:r>
      <w:r w:rsidR="00846258">
        <w:rPr>
          <w:rFonts w:ascii="Arial" w:hAnsi="Arial" w:cs="Arial"/>
          <w:sz w:val="24"/>
          <w:szCs w:val="24"/>
        </w:rPr>
        <w:lastRenderedPageBreak/>
        <w:t>of</w:t>
      </w:r>
      <w:r w:rsidR="00B73117">
        <w:rPr>
          <w:rFonts w:ascii="Arial" w:hAnsi="Arial" w:cs="Arial"/>
          <w:sz w:val="24"/>
          <w:szCs w:val="24"/>
        </w:rPr>
        <w:t xml:space="preserve"> the first </w:t>
      </w:r>
      <w:r w:rsidR="00846258">
        <w:rPr>
          <w:rFonts w:ascii="Arial" w:hAnsi="Arial" w:cs="Arial"/>
          <w:sz w:val="24"/>
          <w:szCs w:val="24"/>
        </w:rPr>
        <w:t xml:space="preserve"> respondent’s estimated assets as the basis for quoting </w:t>
      </w:r>
      <w:r w:rsidR="00B73117">
        <w:rPr>
          <w:rFonts w:ascii="Arial" w:hAnsi="Arial" w:cs="Arial"/>
          <w:sz w:val="24"/>
          <w:szCs w:val="24"/>
        </w:rPr>
        <w:t xml:space="preserve">in </w:t>
      </w:r>
      <w:r w:rsidR="00846258">
        <w:rPr>
          <w:rFonts w:ascii="Arial" w:hAnsi="Arial" w:cs="Arial"/>
          <w:sz w:val="24"/>
          <w:szCs w:val="24"/>
        </w:rPr>
        <w:t xml:space="preserve">items 1 and 2 and in the end import </w:t>
      </w:r>
      <w:r w:rsidR="008E0073">
        <w:rPr>
          <w:rFonts w:ascii="Arial" w:hAnsi="Arial" w:cs="Arial"/>
          <w:sz w:val="24"/>
          <w:szCs w:val="24"/>
        </w:rPr>
        <w:t>those amounts to item 4 as well:</w:t>
      </w:r>
    </w:p>
    <w:p w14:paraId="5A1D3E35" w14:textId="77777777" w:rsidR="008E0073" w:rsidRDefault="008E0073" w:rsidP="006B2FE5">
      <w:pPr>
        <w:spacing w:after="0" w:line="360" w:lineRule="auto"/>
        <w:ind w:left="720" w:hanging="720"/>
        <w:jc w:val="both"/>
        <w:rPr>
          <w:rFonts w:ascii="Arial" w:hAnsi="Arial" w:cs="Arial"/>
          <w:sz w:val="24"/>
          <w:szCs w:val="24"/>
        </w:rPr>
      </w:pPr>
      <w:r>
        <w:rPr>
          <w:rFonts w:ascii="Arial" w:hAnsi="Arial" w:cs="Arial"/>
          <w:sz w:val="24"/>
          <w:szCs w:val="24"/>
        </w:rPr>
        <w:t xml:space="preserve">  </w:t>
      </w:r>
    </w:p>
    <w:p w14:paraId="2EE85657" w14:textId="1446A2B1" w:rsidR="002D5BA0" w:rsidRPr="004576C9" w:rsidRDefault="004576C9" w:rsidP="008E0073">
      <w:pPr>
        <w:spacing w:after="0" w:line="360" w:lineRule="auto"/>
        <w:ind w:left="1440" w:hanging="660"/>
        <w:jc w:val="both"/>
        <w:rPr>
          <w:rFonts w:ascii="Arial" w:hAnsi="Arial" w:cs="Arial"/>
          <w:i/>
          <w:sz w:val="20"/>
          <w:szCs w:val="20"/>
        </w:rPr>
      </w:pPr>
      <w:r>
        <w:rPr>
          <w:rFonts w:ascii="Arial" w:hAnsi="Arial" w:cs="Arial"/>
          <w:i/>
          <w:sz w:val="20"/>
          <w:szCs w:val="20"/>
        </w:rPr>
        <w:t>‘</w:t>
      </w:r>
      <w:r w:rsidR="008E0073" w:rsidRPr="004576C9">
        <w:rPr>
          <w:rFonts w:ascii="Arial" w:hAnsi="Arial" w:cs="Arial"/>
          <w:i/>
          <w:sz w:val="20"/>
          <w:szCs w:val="20"/>
        </w:rPr>
        <w:t>47.</w:t>
      </w:r>
      <w:r w:rsidR="008E0073" w:rsidRPr="004576C9">
        <w:rPr>
          <w:rFonts w:ascii="Arial" w:hAnsi="Arial" w:cs="Arial"/>
          <w:i/>
          <w:sz w:val="20"/>
          <w:szCs w:val="20"/>
        </w:rPr>
        <w:tab/>
        <w:t xml:space="preserve">As a point of departure, it is purposely stated that CENTLEC does currently have a Fixed Asset Register with an approximate value of R6 344 790 101.00 </w:t>
      </w:r>
      <w:r w:rsidR="008E0073" w:rsidRPr="004576C9">
        <w:rPr>
          <w:rFonts w:ascii="Arial" w:hAnsi="Arial" w:cs="Arial"/>
          <w:i/>
          <w:sz w:val="20"/>
          <w:szCs w:val="20"/>
        </w:rPr>
        <w:tab/>
        <w:t>(six billion three hundred and forty-four million seven hundred and ninety thousand one hundred and one rand). The total number of assets are currently estimated at 1 030 501.00 (one million and thirty thousand five hundred and one). The aforesaid facts should be in the applicant’s knowledge as a partner to a joint venture who were the insurance brokers of CENTLEC at the time of the bid submissions. The owner of FEZI was also a previous member of the CENTLEC Board.</w:t>
      </w:r>
    </w:p>
    <w:p w14:paraId="1488FE17" w14:textId="77777777" w:rsidR="004576C9" w:rsidRPr="004576C9" w:rsidRDefault="004576C9" w:rsidP="008E0073">
      <w:pPr>
        <w:spacing w:after="0" w:line="360" w:lineRule="auto"/>
        <w:ind w:left="1440" w:hanging="660"/>
        <w:jc w:val="both"/>
        <w:rPr>
          <w:rFonts w:ascii="Arial" w:hAnsi="Arial" w:cs="Arial"/>
          <w:i/>
          <w:sz w:val="20"/>
          <w:szCs w:val="20"/>
        </w:rPr>
      </w:pPr>
    </w:p>
    <w:p w14:paraId="22450E57" w14:textId="77777777" w:rsidR="008E0073" w:rsidRPr="004576C9" w:rsidRDefault="008E0073" w:rsidP="008E0073">
      <w:pPr>
        <w:spacing w:line="360" w:lineRule="auto"/>
        <w:ind w:left="709"/>
        <w:jc w:val="both"/>
        <w:rPr>
          <w:rFonts w:ascii="Arial" w:hAnsi="Arial" w:cs="Arial"/>
          <w:i/>
          <w:sz w:val="20"/>
          <w:szCs w:val="20"/>
        </w:rPr>
      </w:pPr>
      <w:r w:rsidRPr="004576C9">
        <w:rPr>
          <w:rFonts w:ascii="Arial" w:hAnsi="Arial" w:cs="Arial"/>
          <w:i/>
          <w:sz w:val="20"/>
          <w:szCs w:val="20"/>
        </w:rPr>
        <w:t>49.</w:t>
      </w:r>
      <w:r w:rsidRPr="004576C9">
        <w:rPr>
          <w:rFonts w:ascii="Arial" w:hAnsi="Arial" w:cs="Arial"/>
          <w:i/>
          <w:sz w:val="20"/>
          <w:szCs w:val="20"/>
        </w:rPr>
        <w:tab/>
        <w:t>To reiterate and put it into context the current bid relates to, inter alia:</w:t>
      </w:r>
    </w:p>
    <w:p w14:paraId="4E43E510" w14:textId="77777777" w:rsidR="008E0073" w:rsidRPr="004576C9" w:rsidRDefault="008E0073" w:rsidP="008E0073">
      <w:pPr>
        <w:spacing w:line="360" w:lineRule="auto"/>
        <w:ind w:left="709" w:hanging="709"/>
        <w:jc w:val="both"/>
        <w:rPr>
          <w:rFonts w:ascii="Arial" w:hAnsi="Arial" w:cs="Arial"/>
          <w:i/>
          <w:sz w:val="20"/>
          <w:szCs w:val="20"/>
        </w:rPr>
      </w:pP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t>49.1.</w:t>
      </w:r>
      <w:r w:rsidRPr="004576C9">
        <w:rPr>
          <w:rFonts w:ascii="Arial" w:hAnsi="Arial" w:cs="Arial"/>
          <w:i/>
          <w:sz w:val="20"/>
          <w:szCs w:val="20"/>
        </w:rPr>
        <w:tab/>
        <w:t xml:space="preserve">the performance of a physical verification (and update/include GIS </w:t>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r>
      <w:r w:rsidR="00905F92" w:rsidRPr="004576C9">
        <w:rPr>
          <w:rFonts w:ascii="Arial" w:hAnsi="Arial" w:cs="Arial"/>
          <w:i/>
          <w:sz w:val="20"/>
          <w:szCs w:val="20"/>
        </w:rPr>
        <w:tab/>
      </w:r>
      <w:r w:rsidRPr="004576C9">
        <w:rPr>
          <w:rFonts w:ascii="Arial" w:hAnsi="Arial" w:cs="Arial"/>
          <w:i/>
          <w:sz w:val="20"/>
          <w:szCs w:val="20"/>
        </w:rPr>
        <w:t xml:space="preserve">shape files) of all additions of electricity infrastructure assets, per the </w:t>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t xml:space="preserve">Entities Fixed Asset Register and updated periodically during the </w:t>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t>financial year under review.</w:t>
      </w:r>
    </w:p>
    <w:p w14:paraId="1DB77F44" w14:textId="77777777" w:rsidR="008E0073" w:rsidRPr="004576C9" w:rsidRDefault="008E0073" w:rsidP="008E0073">
      <w:pPr>
        <w:spacing w:line="360" w:lineRule="auto"/>
        <w:ind w:left="709" w:hanging="709"/>
        <w:jc w:val="both"/>
        <w:rPr>
          <w:rFonts w:ascii="Arial" w:hAnsi="Arial" w:cs="Arial"/>
          <w:i/>
          <w:sz w:val="20"/>
          <w:szCs w:val="20"/>
        </w:rPr>
      </w:pP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t>49.2.</w:t>
      </w:r>
      <w:r w:rsidRPr="004576C9">
        <w:rPr>
          <w:rFonts w:ascii="Arial" w:hAnsi="Arial" w:cs="Arial"/>
          <w:i/>
          <w:sz w:val="20"/>
          <w:szCs w:val="20"/>
        </w:rPr>
        <w:tab/>
        <w:t xml:space="preserve">In addition to the aforesaid to perform a condition assessment of each </w:t>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r>
      <w:r w:rsidR="00905F92" w:rsidRPr="004576C9">
        <w:rPr>
          <w:rFonts w:ascii="Arial" w:hAnsi="Arial" w:cs="Arial"/>
          <w:i/>
          <w:sz w:val="20"/>
          <w:szCs w:val="20"/>
        </w:rPr>
        <w:tab/>
      </w:r>
      <w:r w:rsidRPr="004576C9">
        <w:rPr>
          <w:rFonts w:ascii="Arial" w:hAnsi="Arial" w:cs="Arial"/>
          <w:i/>
          <w:sz w:val="20"/>
          <w:szCs w:val="20"/>
        </w:rPr>
        <w:t xml:space="preserve">item of electricity infrastructure assets listed per the Entity’s Fixed </w:t>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t>Asset Register.</w:t>
      </w:r>
    </w:p>
    <w:p w14:paraId="239A0F20" w14:textId="77777777" w:rsidR="008E0073" w:rsidRPr="004576C9" w:rsidRDefault="008E0073" w:rsidP="008E0073">
      <w:pPr>
        <w:spacing w:line="360" w:lineRule="auto"/>
        <w:ind w:left="709" w:hanging="709"/>
        <w:jc w:val="both"/>
        <w:rPr>
          <w:rFonts w:ascii="Arial" w:hAnsi="Arial" w:cs="Arial"/>
          <w:i/>
          <w:sz w:val="20"/>
          <w:szCs w:val="20"/>
        </w:rPr>
      </w:pP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t>49.3.</w:t>
      </w:r>
      <w:r w:rsidRPr="004576C9">
        <w:rPr>
          <w:rFonts w:ascii="Arial" w:hAnsi="Arial" w:cs="Arial"/>
          <w:i/>
          <w:sz w:val="20"/>
          <w:szCs w:val="20"/>
        </w:rPr>
        <w:tab/>
        <w:t xml:space="preserve">To draft the required adjusting journals to account for changes arising </w:t>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r>
      <w:r w:rsidR="00905F92" w:rsidRPr="004576C9">
        <w:rPr>
          <w:rFonts w:ascii="Arial" w:hAnsi="Arial" w:cs="Arial"/>
          <w:i/>
          <w:sz w:val="20"/>
          <w:szCs w:val="20"/>
        </w:rPr>
        <w:tab/>
      </w:r>
      <w:r w:rsidRPr="004576C9">
        <w:rPr>
          <w:rFonts w:ascii="Arial" w:hAnsi="Arial" w:cs="Arial"/>
          <w:i/>
          <w:sz w:val="20"/>
          <w:szCs w:val="20"/>
        </w:rPr>
        <w:t xml:space="preserve">from the asset related process (e.g. depreciation, disposals, work in </w:t>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t>progress).</w:t>
      </w:r>
    </w:p>
    <w:p w14:paraId="6842F3AC" w14:textId="77777777" w:rsidR="008E0073" w:rsidRPr="004576C9" w:rsidRDefault="008E0073" w:rsidP="008E0073">
      <w:pPr>
        <w:spacing w:line="360" w:lineRule="auto"/>
        <w:ind w:left="709" w:hanging="709"/>
        <w:jc w:val="both"/>
        <w:rPr>
          <w:rFonts w:ascii="Arial" w:hAnsi="Arial" w:cs="Arial"/>
          <w:i/>
          <w:sz w:val="20"/>
          <w:szCs w:val="20"/>
        </w:rPr>
      </w:pP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t>49.4.</w:t>
      </w:r>
      <w:r w:rsidRPr="004576C9">
        <w:rPr>
          <w:rFonts w:ascii="Arial" w:hAnsi="Arial" w:cs="Arial"/>
          <w:i/>
          <w:sz w:val="20"/>
          <w:szCs w:val="20"/>
        </w:rPr>
        <w:tab/>
        <w:t xml:space="preserve">And lastly, to compile a detailed working paper file with sufficient </w:t>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r>
      <w:r w:rsidR="00905F92" w:rsidRPr="004576C9">
        <w:rPr>
          <w:rFonts w:ascii="Arial" w:hAnsi="Arial" w:cs="Arial"/>
          <w:i/>
          <w:sz w:val="20"/>
          <w:szCs w:val="20"/>
        </w:rPr>
        <w:tab/>
      </w:r>
      <w:r w:rsidRPr="004576C9">
        <w:rPr>
          <w:rFonts w:ascii="Arial" w:hAnsi="Arial" w:cs="Arial"/>
          <w:i/>
          <w:sz w:val="20"/>
          <w:szCs w:val="20"/>
        </w:rPr>
        <w:t>support for all adjustments made to the Fixed Asset Register.</w:t>
      </w:r>
    </w:p>
    <w:p w14:paraId="6B8AFE66" w14:textId="77777777" w:rsidR="00905F92" w:rsidRPr="004576C9" w:rsidRDefault="00905F92" w:rsidP="00905F92">
      <w:pPr>
        <w:spacing w:line="360" w:lineRule="auto"/>
        <w:ind w:left="1440" w:hanging="730"/>
        <w:jc w:val="both"/>
        <w:rPr>
          <w:rFonts w:ascii="Arial" w:hAnsi="Arial" w:cs="Arial"/>
          <w:i/>
          <w:sz w:val="20"/>
          <w:szCs w:val="20"/>
        </w:rPr>
      </w:pPr>
      <w:r w:rsidRPr="004576C9">
        <w:rPr>
          <w:rFonts w:ascii="Arial" w:hAnsi="Arial" w:cs="Arial"/>
          <w:i/>
          <w:sz w:val="20"/>
          <w:szCs w:val="20"/>
        </w:rPr>
        <w:t>55.</w:t>
      </w:r>
      <w:r w:rsidRPr="004576C9">
        <w:rPr>
          <w:rFonts w:ascii="Arial" w:hAnsi="Arial" w:cs="Arial"/>
          <w:i/>
          <w:sz w:val="20"/>
          <w:szCs w:val="20"/>
        </w:rPr>
        <w:tab/>
        <w:t xml:space="preserve">What made the exercise even more arduous for the BEC, is that ITEMS 1 and </w:t>
      </w:r>
      <w:r w:rsidR="008A2FAC" w:rsidRPr="004576C9">
        <w:rPr>
          <w:rFonts w:ascii="Arial" w:hAnsi="Arial" w:cs="Arial"/>
          <w:i/>
          <w:sz w:val="20"/>
          <w:szCs w:val="20"/>
        </w:rPr>
        <w:t>2 in the Pricing Schedule refer</w:t>
      </w:r>
      <w:r w:rsidRPr="004576C9">
        <w:rPr>
          <w:rFonts w:ascii="Arial" w:hAnsi="Arial" w:cs="Arial"/>
          <w:i/>
          <w:sz w:val="20"/>
          <w:szCs w:val="20"/>
        </w:rPr>
        <w:t xml:space="preserve"> to additions to the electricity infrastructure assets and ITEM 4, on the other hand, refers to all the current assets of CENTLEC, which includes additions, amongst others.</w:t>
      </w:r>
    </w:p>
    <w:p w14:paraId="4E4E84FE" w14:textId="318CAD42" w:rsidR="00C0166D" w:rsidRPr="004576C9" w:rsidRDefault="00905F92" w:rsidP="00BA172F">
      <w:pPr>
        <w:spacing w:line="360" w:lineRule="auto"/>
        <w:ind w:left="1439" w:hanging="730"/>
        <w:jc w:val="both"/>
        <w:rPr>
          <w:rFonts w:ascii="Arial" w:hAnsi="Arial" w:cs="Arial"/>
          <w:i/>
          <w:sz w:val="20"/>
          <w:szCs w:val="20"/>
        </w:rPr>
      </w:pPr>
      <w:r w:rsidRPr="004576C9">
        <w:rPr>
          <w:rFonts w:ascii="Arial" w:hAnsi="Arial" w:cs="Arial"/>
          <w:i/>
          <w:sz w:val="20"/>
          <w:szCs w:val="20"/>
        </w:rPr>
        <w:t>56.</w:t>
      </w:r>
      <w:r w:rsidRPr="004576C9">
        <w:rPr>
          <w:rFonts w:ascii="Arial" w:hAnsi="Arial" w:cs="Arial"/>
          <w:i/>
          <w:sz w:val="20"/>
          <w:szCs w:val="20"/>
        </w:rPr>
        <w:tab/>
      </w:r>
      <w:r w:rsidR="008A2FAC" w:rsidRPr="004576C9">
        <w:rPr>
          <w:rFonts w:ascii="Arial" w:hAnsi="Arial" w:cs="Arial"/>
          <w:i/>
          <w:sz w:val="20"/>
          <w:szCs w:val="20"/>
        </w:rPr>
        <w:t>For FEZI to simply</w:t>
      </w:r>
      <w:r w:rsidRPr="004576C9">
        <w:rPr>
          <w:rFonts w:ascii="Arial" w:hAnsi="Arial" w:cs="Arial"/>
          <w:i/>
          <w:sz w:val="20"/>
          <w:szCs w:val="20"/>
        </w:rPr>
        <w:t xml:space="preserve"> quote that the once off amount required for ITEM 4 is included in the price per asset made the calculation near impossible for the BEC. Especially because no fixed amount of additional assets </w:t>
      </w:r>
      <w:r w:rsidR="004576C9" w:rsidRPr="004576C9">
        <w:rPr>
          <w:rFonts w:ascii="Arial" w:hAnsi="Arial" w:cs="Arial"/>
          <w:i/>
          <w:sz w:val="20"/>
          <w:szCs w:val="20"/>
        </w:rPr>
        <w:t>was</w:t>
      </w:r>
      <w:r w:rsidRPr="004576C9">
        <w:rPr>
          <w:rFonts w:ascii="Arial" w:hAnsi="Arial" w:cs="Arial"/>
          <w:i/>
          <w:sz w:val="20"/>
          <w:szCs w:val="20"/>
        </w:rPr>
        <w:t xml:space="preserve"> stipulated in the bid documents. FEZI could thus not use the total amount of assets (1 030 501) to quote for ITEMS 1 and 2, and in the end use those amounts of assets to quote for ITEM 4 as well.</w:t>
      </w:r>
      <w:r w:rsidR="004576C9">
        <w:rPr>
          <w:rFonts w:ascii="Arial" w:hAnsi="Arial" w:cs="Arial"/>
          <w:i/>
          <w:sz w:val="24"/>
          <w:szCs w:val="24"/>
        </w:rPr>
        <w:t>’</w:t>
      </w:r>
    </w:p>
    <w:p w14:paraId="3550DA84" w14:textId="77777777" w:rsidR="00861687" w:rsidRDefault="00861687" w:rsidP="006B2FE5">
      <w:pPr>
        <w:spacing w:after="0" w:line="360" w:lineRule="auto"/>
        <w:ind w:left="720" w:hanging="720"/>
        <w:jc w:val="both"/>
        <w:rPr>
          <w:rFonts w:ascii="Arial" w:hAnsi="Arial" w:cs="Arial"/>
          <w:sz w:val="24"/>
          <w:szCs w:val="24"/>
        </w:rPr>
      </w:pPr>
    </w:p>
    <w:p w14:paraId="79DBD669" w14:textId="77777777" w:rsidR="00FE3647" w:rsidRDefault="00BA172F" w:rsidP="00F20DF7">
      <w:pPr>
        <w:tabs>
          <w:tab w:val="left" w:pos="720"/>
        </w:tabs>
        <w:spacing w:after="0" w:line="360" w:lineRule="auto"/>
        <w:ind w:left="720" w:hanging="720"/>
        <w:jc w:val="both"/>
        <w:rPr>
          <w:rFonts w:ascii="Arial" w:hAnsi="Arial" w:cs="Arial"/>
          <w:sz w:val="24"/>
          <w:szCs w:val="24"/>
        </w:rPr>
      </w:pPr>
      <w:r>
        <w:rPr>
          <w:rFonts w:ascii="Arial" w:hAnsi="Arial" w:cs="Arial"/>
          <w:sz w:val="24"/>
          <w:szCs w:val="24"/>
        </w:rPr>
        <w:lastRenderedPageBreak/>
        <w:t>[9</w:t>
      </w:r>
      <w:r w:rsidR="000B6EFA">
        <w:rPr>
          <w:rFonts w:ascii="Arial" w:hAnsi="Arial" w:cs="Arial"/>
          <w:sz w:val="24"/>
          <w:szCs w:val="24"/>
        </w:rPr>
        <w:t xml:space="preserve">] </w:t>
      </w:r>
      <w:r w:rsidR="000B6EFA">
        <w:rPr>
          <w:rFonts w:ascii="Arial" w:hAnsi="Arial" w:cs="Arial"/>
          <w:sz w:val="24"/>
          <w:szCs w:val="24"/>
        </w:rPr>
        <w:tab/>
      </w:r>
      <w:r w:rsidR="00A60856">
        <w:rPr>
          <w:rFonts w:ascii="Arial" w:hAnsi="Arial" w:cs="Arial"/>
          <w:sz w:val="24"/>
          <w:szCs w:val="24"/>
        </w:rPr>
        <w:t xml:space="preserve">The applicant contends further that there was no provision in the bid document on how item 4 was to be complied with </w:t>
      </w:r>
      <w:r w:rsidR="00135844">
        <w:rPr>
          <w:rFonts w:ascii="Arial" w:hAnsi="Arial" w:cs="Arial"/>
          <w:sz w:val="24"/>
          <w:szCs w:val="24"/>
        </w:rPr>
        <w:t>(recording</w:t>
      </w:r>
      <w:r w:rsidR="00A60856">
        <w:rPr>
          <w:rFonts w:ascii="Arial" w:hAnsi="Arial" w:cs="Arial"/>
          <w:sz w:val="24"/>
          <w:szCs w:val="24"/>
        </w:rPr>
        <w:t xml:space="preserve"> of all assets in the Fixed Asset Register of CENTLEC </w:t>
      </w:r>
      <w:r w:rsidR="009D1B24">
        <w:rPr>
          <w:rFonts w:ascii="Arial" w:hAnsi="Arial" w:cs="Arial"/>
          <w:sz w:val="24"/>
          <w:szCs w:val="24"/>
        </w:rPr>
        <w:t>as per current componentis</w:t>
      </w:r>
      <w:r w:rsidR="00A60856">
        <w:rPr>
          <w:rFonts w:ascii="Arial" w:hAnsi="Arial" w:cs="Arial"/>
          <w:sz w:val="24"/>
          <w:szCs w:val="24"/>
        </w:rPr>
        <w:t xml:space="preserve">ation) nor did the first respondent suggest </w:t>
      </w:r>
      <w:r w:rsidR="001E03FC">
        <w:rPr>
          <w:rFonts w:ascii="Arial" w:hAnsi="Arial" w:cs="Arial"/>
          <w:sz w:val="24"/>
          <w:szCs w:val="24"/>
        </w:rPr>
        <w:t xml:space="preserve">that </w:t>
      </w:r>
      <w:r w:rsidR="00A60856">
        <w:rPr>
          <w:rFonts w:ascii="Arial" w:hAnsi="Arial" w:cs="Arial"/>
          <w:sz w:val="24"/>
          <w:szCs w:val="24"/>
        </w:rPr>
        <w:t xml:space="preserve">the methodology that the applicant intended employing </w:t>
      </w:r>
      <w:r w:rsidR="009D1B24">
        <w:rPr>
          <w:rFonts w:ascii="Arial" w:hAnsi="Arial" w:cs="Arial"/>
          <w:sz w:val="24"/>
          <w:szCs w:val="24"/>
        </w:rPr>
        <w:t>in</w:t>
      </w:r>
      <w:r w:rsidR="00A60856">
        <w:rPr>
          <w:rFonts w:ascii="Arial" w:hAnsi="Arial" w:cs="Arial"/>
          <w:sz w:val="24"/>
          <w:szCs w:val="24"/>
        </w:rPr>
        <w:t xml:space="preserve"> recording all assets in the Fixed Asset Register did not meet the bid. </w:t>
      </w:r>
    </w:p>
    <w:p w14:paraId="01BD7FE5" w14:textId="77777777" w:rsidR="00FE3647" w:rsidRDefault="00FE3647" w:rsidP="006B2FE5">
      <w:pPr>
        <w:spacing w:after="0" w:line="360" w:lineRule="auto"/>
        <w:ind w:left="720" w:hanging="720"/>
        <w:jc w:val="both"/>
        <w:rPr>
          <w:rFonts w:ascii="Arial" w:hAnsi="Arial" w:cs="Arial"/>
          <w:sz w:val="24"/>
          <w:szCs w:val="24"/>
        </w:rPr>
      </w:pPr>
    </w:p>
    <w:p w14:paraId="5DE03082" w14:textId="77777777" w:rsidR="00E70A55" w:rsidRPr="00BA172F" w:rsidRDefault="00BA172F" w:rsidP="00BA172F">
      <w:pPr>
        <w:spacing w:line="360" w:lineRule="auto"/>
        <w:ind w:left="709" w:hanging="709"/>
        <w:jc w:val="both"/>
        <w:rPr>
          <w:rFonts w:ascii="Arial" w:hAnsi="Arial" w:cs="Arial"/>
          <w:sz w:val="24"/>
          <w:szCs w:val="24"/>
          <w:lang w:val="en-US"/>
        </w:rPr>
      </w:pPr>
      <w:r>
        <w:rPr>
          <w:rFonts w:ascii="Arial" w:hAnsi="Arial" w:cs="Arial"/>
          <w:sz w:val="24"/>
          <w:szCs w:val="24"/>
        </w:rPr>
        <w:t>[10</w:t>
      </w:r>
      <w:r w:rsidR="00C0166D">
        <w:rPr>
          <w:rFonts w:ascii="Arial" w:hAnsi="Arial" w:cs="Arial"/>
          <w:sz w:val="24"/>
          <w:szCs w:val="24"/>
        </w:rPr>
        <w:t>]</w:t>
      </w:r>
      <w:r w:rsidR="00E70A55">
        <w:rPr>
          <w:rFonts w:ascii="Arial" w:hAnsi="Arial" w:cs="Arial"/>
          <w:sz w:val="24"/>
          <w:szCs w:val="24"/>
        </w:rPr>
        <w:t xml:space="preserve">   </w:t>
      </w:r>
      <w:r w:rsidR="00FE3647">
        <w:rPr>
          <w:rFonts w:ascii="Arial" w:hAnsi="Arial" w:cs="Arial"/>
          <w:sz w:val="24"/>
          <w:szCs w:val="24"/>
        </w:rPr>
        <w:t>The applicant prepared its bid from the premise that it had to do physical verification of all assets in the Fixed Asset Register</w:t>
      </w:r>
      <w:r w:rsidR="00556079">
        <w:rPr>
          <w:rFonts w:ascii="Arial" w:hAnsi="Arial" w:cs="Arial"/>
          <w:sz w:val="24"/>
          <w:szCs w:val="24"/>
        </w:rPr>
        <w:t xml:space="preserve"> and thereafter record </w:t>
      </w:r>
      <w:r w:rsidR="00135844">
        <w:rPr>
          <w:rFonts w:ascii="Arial" w:hAnsi="Arial" w:cs="Arial"/>
          <w:sz w:val="24"/>
          <w:szCs w:val="24"/>
        </w:rPr>
        <w:t>them in</w:t>
      </w:r>
      <w:r w:rsidR="00844A64">
        <w:rPr>
          <w:rFonts w:ascii="Arial" w:hAnsi="Arial" w:cs="Arial"/>
          <w:sz w:val="24"/>
          <w:szCs w:val="24"/>
        </w:rPr>
        <w:t xml:space="preserve"> the Fixed Assets Register</w:t>
      </w:r>
      <w:r w:rsidR="00FE3647">
        <w:rPr>
          <w:rFonts w:ascii="Arial" w:hAnsi="Arial" w:cs="Arial"/>
          <w:sz w:val="24"/>
          <w:szCs w:val="24"/>
        </w:rPr>
        <w:t xml:space="preserve">. It has always been the respondent’s case that the </w:t>
      </w:r>
      <w:r w:rsidR="00AF2FCB">
        <w:rPr>
          <w:rFonts w:ascii="Arial" w:hAnsi="Arial" w:cs="Arial"/>
          <w:sz w:val="24"/>
          <w:szCs w:val="24"/>
        </w:rPr>
        <w:t>successful bidder would only</w:t>
      </w:r>
      <w:r w:rsidR="00FE3647">
        <w:rPr>
          <w:rFonts w:ascii="Arial" w:hAnsi="Arial" w:cs="Arial"/>
          <w:sz w:val="24"/>
          <w:szCs w:val="24"/>
        </w:rPr>
        <w:t xml:space="preserve"> have to do physical verification of additional items to the Fixed Asset Register year on year</w:t>
      </w:r>
      <w:r w:rsidR="008A2FAC">
        <w:rPr>
          <w:rFonts w:ascii="Arial" w:hAnsi="Arial" w:cs="Arial"/>
          <w:sz w:val="24"/>
          <w:szCs w:val="24"/>
        </w:rPr>
        <w:t xml:space="preserve"> and that item 4 wo</w:t>
      </w:r>
      <w:r w:rsidR="00844A64">
        <w:rPr>
          <w:rFonts w:ascii="Arial" w:hAnsi="Arial" w:cs="Arial"/>
          <w:sz w:val="24"/>
          <w:szCs w:val="24"/>
        </w:rPr>
        <w:t>uld be a desktop exercise where the first respondent had to account for depreciation per each asset and disposals</w:t>
      </w:r>
      <w:r w:rsidR="00FE3647">
        <w:rPr>
          <w:rFonts w:ascii="Arial" w:hAnsi="Arial" w:cs="Arial"/>
          <w:sz w:val="24"/>
          <w:szCs w:val="24"/>
        </w:rPr>
        <w:t>.</w:t>
      </w:r>
      <w:r w:rsidR="00844A64">
        <w:rPr>
          <w:rStyle w:val="FootnoteReference"/>
          <w:rFonts w:ascii="Arial" w:hAnsi="Arial" w:cs="Arial"/>
          <w:sz w:val="24"/>
          <w:szCs w:val="24"/>
        </w:rPr>
        <w:footnoteReference w:id="5"/>
      </w:r>
      <w:r w:rsidR="00844A64">
        <w:rPr>
          <w:rFonts w:ascii="Arial" w:hAnsi="Arial" w:cs="Arial"/>
          <w:sz w:val="24"/>
          <w:szCs w:val="24"/>
        </w:rPr>
        <w:t xml:space="preserve"> </w:t>
      </w:r>
      <w:r w:rsidR="00FE3647">
        <w:rPr>
          <w:rFonts w:ascii="Arial" w:hAnsi="Arial" w:cs="Arial"/>
          <w:sz w:val="24"/>
          <w:szCs w:val="24"/>
        </w:rPr>
        <w:t xml:space="preserve"> </w:t>
      </w:r>
    </w:p>
    <w:p w14:paraId="7CB1CD88" w14:textId="77777777" w:rsidR="00C0166D" w:rsidRDefault="00C0166D" w:rsidP="006B2FE5">
      <w:pPr>
        <w:spacing w:after="0" w:line="360" w:lineRule="auto"/>
        <w:jc w:val="both"/>
        <w:rPr>
          <w:rFonts w:ascii="Arial" w:hAnsi="Arial" w:cs="Arial"/>
          <w:sz w:val="24"/>
          <w:szCs w:val="24"/>
          <w:lang w:val="en-US"/>
        </w:rPr>
      </w:pPr>
    </w:p>
    <w:p w14:paraId="4C26D73D" w14:textId="4B8B49C4" w:rsidR="00C0166D" w:rsidRDefault="00BA172F" w:rsidP="006B2FE5">
      <w:pPr>
        <w:spacing w:line="360" w:lineRule="auto"/>
        <w:ind w:left="709" w:hanging="709"/>
        <w:jc w:val="both"/>
        <w:rPr>
          <w:rFonts w:ascii="Arial" w:hAnsi="Arial" w:cs="Arial"/>
          <w:sz w:val="24"/>
          <w:szCs w:val="24"/>
          <w:lang w:val="en-US"/>
        </w:rPr>
      </w:pPr>
      <w:r>
        <w:rPr>
          <w:rFonts w:ascii="Arial" w:hAnsi="Arial" w:cs="Arial"/>
          <w:sz w:val="24"/>
          <w:szCs w:val="24"/>
          <w:lang w:val="en-US"/>
        </w:rPr>
        <w:t>[11</w:t>
      </w:r>
      <w:r w:rsidR="00CE53BD">
        <w:rPr>
          <w:rFonts w:ascii="Arial" w:hAnsi="Arial" w:cs="Arial"/>
          <w:sz w:val="24"/>
          <w:szCs w:val="24"/>
          <w:lang w:val="en-US"/>
        </w:rPr>
        <w:t>]</w:t>
      </w:r>
      <w:r w:rsidR="00844A64">
        <w:rPr>
          <w:rFonts w:ascii="Arial" w:hAnsi="Arial" w:cs="Arial"/>
          <w:sz w:val="24"/>
          <w:szCs w:val="24"/>
          <w:lang w:val="en-US"/>
        </w:rPr>
        <w:t xml:space="preserve"> </w:t>
      </w:r>
      <w:r w:rsidR="00844A64">
        <w:rPr>
          <w:rFonts w:ascii="Arial" w:hAnsi="Arial" w:cs="Arial"/>
          <w:sz w:val="24"/>
          <w:szCs w:val="24"/>
          <w:lang w:val="en-US"/>
        </w:rPr>
        <w:tab/>
        <w:t xml:space="preserve">A closer look at paragraph </w:t>
      </w:r>
      <w:r w:rsidR="00844A64" w:rsidRPr="00AF2FCB">
        <w:rPr>
          <w:rFonts w:ascii="Arial" w:hAnsi="Arial" w:cs="Arial"/>
          <w:sz w:val="24"/>
          <w:szCs w:val="24"/>
          <w:lang w:val="en-US"/>
        </w:rPr>
        <w:t xml:space="preserve">4.2 dealing with  </w:t>
      </w:r>
      <w:r w:rsidR="00844A64" w:rsidRPr="00FE3647">
        <w:rPr>
          <w:rFonts w:ascii="Arial" w:hAnsi="Arial" w:cs="Arial"/>
          <w:i/>
          <w:sz w:val="24"/>
          <w:szCs w:val="24"/>
          <w:lang w:val="en-US"/>
        </w:rPr>
        <w:t>technical specifications</w:t>
      </w:r>
      <w:r w:rsidR="00844A64">
        <w:rPr>
          <w:rFonts w:ascii="Arial" w:hAnsi="Arial" w:cs="Arial"/>
          <w:sz w:val="24"/>
          <w:szCs w:val="24"/>
          <w:lang w:val="en-US"/>
        </w:rPr>
        <w:t xml:space="preserve"> </w:t>
      </w:r>
      <w:r w:rsidR="00844A64">
        <w:rPr>
          <w:rStyle w:val="FootnoteReference"/>
          <w:rFonts w:ascii="Arial" w:hAnsi="Arial" w:cs="Arial"/>
          <w:sz w:val="24"/>
          <w:szCs w:val="24"/>
          <w:lang w:val="en-US"/>
        </w:rPr>
        <w:footnoteReference w:id="6"/>
      </w:r>
      <w:r w:rsidR="00844A64">
        <w:rPr>
          <w:rFonts w:ascii="Arial" w:hAnsi="Arial" w:cs="Arial"/>
          <w:sz w:val="24"/>
          <w:szCs w:val="24"/>
          <w:lang w:val="en-US"/>
        </w:rPr>
        <w:t xml:space="preserve"> supports the first respondent’s assertion. </w:t>
      </w:r>
      <w:r>
        <w:rPr>
          <w:rFonts w:ascii="Arial" w:hAnsi="Arial" w:cs="Arial"/>
          <w:sz w:val="24"/>
          <w:szCs w:val="24"/>
          <w:lang w:val="en-US"/>
        </w:rPr>
        <w:t xml:space="preserve">It is clear that the applicant’s bid would not have </w:t>
      </w:r>
      <w:r>
        <w:rPr>
          <w:rFonts w:ascii="Arial" w:hAnsi="Arial" w:cs="Arial"/>
          <w:sz w:val="24"/>
          <w:szCs w:val="24"/>
          <w:lang w:val="en-US"/>
        </w:rPr>
        <w:lastRenderedPageBreak/>
        <w:t>met the requirements of the tender thus the applicant’s inability to quote for 3 years successively in respect of item 4. The applicant’</w:t>
      </w:r>
      <w:r w:rsidR="001822A2">
        <w:rPr>
          <w:rFonts w:ascii="Arial" w:hAnsi="Arial" w:cs="Arial"/>
          <w:sz w:val="24"/>
          <w:szCs w:val="24"/>
          <w:lang w:val="en-US"/>
        </w:rPr>
        <w:t>s bid w</w:t>
      </w:r>
      <w:r>
        <w:rPr>
          <w:rFonts w:ascii="Arial" w:hAnsi="Arial" w:cs="Arial"/>
          <w:sz w:val="24"/>
          <w:szCs w:val="24"/>
          <w:lang w:val="en-US"/>
        </w:rPr>
        <w:t xml:space="preserve">as totally off the mark as demonstrated by the first respondent. </w:t>
      </w:r>
      <w:r w:rsidR="00210A0A">
        <w:rPr>
          <w:rFonts w:ascii="Arial" w:hAnsi="Arial" w:cs="Arial"/>
          <w:sz w:val="24"/>
          <w:szCs w:val="24"/>
          <w:lang w:val="en-US"/>
        </w:rPr>
        <w:tab/>
      </w:r>
      <w:r w:rsidR="004E5157">
        <w:rPr>
          <w:rFonts w:ascii="Arial" w:hAnsi="Arial" w:cs="Arial"/>
          <w:sz w:val="24"/>
          <w:szCs w:val="24"/>
          <w:lang w:val="en-US"/>
        </w:rPr>
        <w:t xml:space="preserve"> </w:t>
      </w:r>
    </w:p>
    <w:p w14:paraId="091C0A51" w14:textId="77777777" w:rsidR="00933FAD" w:rsidRPr="00250BA3" w:rsidRDefault="00BA172F" w:rsidP="00933FAD">
      <w:pPr>
        <w:spacing w:after="0" w:line="360" w:lineRule="auto"/>
        <w:ind w:left="709" w:hanging="709"/>
        <w:contextualSpacing/>
        <w:jc w:val="both"/>
        <w:rPr>
          <w:rFonts w:ascii="Arial" w:eastAsia="Times New Roman" w:hAnsi="Arial" w:cs="Arial"/>
          <w:color w:val="000000"/>
          <w:sz w:val="24"/>
          <w:szCs w:val="24"/>
          <w:lang w:eastAsia="en-ZA"/>
        </w:rPr>
      </w:pPr>
      <w:r>
        <w:rPr>
          <w:rFonts w:ascii="Arial" w:hAnsi="Arial" w:cs="Arial"/>
          <w:sz w:val="24"/>
          <w:szCs w:val="24"/>
          <w:lang w:val="en-US"/>
        </w:rPr>
        <w:t>[12</w:t>
      </w:r>
      <w:r w:rsidR="004D1BF3">
        <w:rPr>
          <w:rFonts w:ascii="Arial" w:hAnsi="Arial" w:cs="Arial"/>
          <w:sz w:val="24"/>
          <w:szCs w:val="24"/>
          <w:lang w:val="en-US"/>
        </w:rPr>
        <w:t>]</w:t>
      </w:r>
      <w:r w:rsidR="00114E06">
        <w:rPr>
          <w:rFonts w:ascii="Arial" w:hAnsi="Arial" w:cs="Arial"/>
          <w:sz w:val="24"/>
          <w:szCs w:val="24"/>
          <w:lang w:val="en-US"/>
        </w:rPr>
        <w:tab/>
      </w:r>
      <w:r w:rsidR="00933FAD" w:rsidRPr="00250BA3">
        <w:rPr>
          <w:rFonts w:ascii="Arial" w:eastAsia="Times New Roman" w:hAnsi="Arial" w:cs="Arial"/>
          <w:color w:val="000000"/>
          <w:sz w:val="24"/>
          <w:szCs w:val="24"/>
          <w:lang w:eastAsia="en-ZA"/>
        </w:rPr>
        <w:t>Having considered the merits of the application for leave to appeal, I am not persuaded that there would be reasonable prospects of success on appeal.  </w:t>
      </w:r>
    </w:p>
    <w:p w14:paraId="13C48006" w14:textId="0E37A61B" w:rsidR="00933FAD" w:rsidRDefault="00D76335" w:rsidP="00933FAD">
      <w:pPr>
        <w:spacing w:after="0" w:line="360" w:lineRule="auto"/>
        <w:ind w:left="719" w:hanging="1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The applicants contend that we</w:t>
      </w:r>
      <w:r w:rsidR="00933FAD">
        <w:rPr>
          <w:rFonts w:ascii="Arial" w:eastAsia="Times New Roman" w:hAnsi="Arial" w:cs="Arial"/>
          <w:color w:val="000000"/>
          <w:sz w:val="24"/>
          <w:szCs w:val="24"/>
          <w:lang w:eastAsia="en-ZA"/>
        </w:rPr>
        <w:t xml:space="preserve"> erred in granting a costs order against them and that they ought to have been afforded the protection </w:t>
      </w:r>
      <w:r w:rsidR="00933FAD" w:rsidRPr="00933FAD">
        <w:rPr>
          <w:rFonts w:ascii="Arial" w:eastAsia="Times New Roman" w:hAnsi="Arial" w:cs="Arial"/>
          <w:color w:val="000000"/>
          <w:sz w:val="24"/>
          <w:szCs w:val="24"/>
          <w:lang w:eastAsia="en-ZA"/>
        </w:rPr>
        <w:t>of</w:t>
      </w:r>
      <w:r w:rsidR="00933FAD" w:rsidRPr="00933FAD">
        <w:rPr>
          <w:rFonts w:ascii="Arial" w:eastAsia="Times New Roman" w:hAnsi="Arial" w:cs="Arial"/>
          <w:i/>
          <w:color w:val="000000"/>
          <w:sz w:val="24"/>
          <w:szCs w:val="24"/>
          <w:lang w:eastAsia="en-ZA"/>
        </w:rPr>
        <w:t xml:space="preserve"> </w:t>
      </w:r>
      <w:proofErr w:type="spellStart"/>
      <w:r w:rsidR="00933FAD" w:rsidRPr="00933FAD">
        <w:rPr>
          <w:rFonts w:ascii="Arial" w:eastAsia="Times New Roman" w:hAnsi="Arial" w:cs="Arial"/>
          <w:i/>
          <w:color w:val="000000"/>
          <w:sz w:val="24"/>
          <w:szCs w:val="24"/>
          <w:lang w:eastAsia="en-ZA"/>
        </w:rPr>
        <w:t>Biowatch</w:t>
      </w:r>
      <w:proofErr w:type="spellEnd"/>
      <w:r w:rsidR="00E46C40">
        <w:rPr>
          <w:rFonts w:ascii="Arial" w:eastAsia="Times New Roman" w:hAnsi="Arial" w:cs="Arial"/>
          <w:i/>
          <w:color w:val="000000"/>
          <w:sz w:val="24"/>
          <w:szCs w:val="24"/>
          <w:lang w:eastAsia="en-ZA"/>
        </w:rPr>
        <w:t xml:space="preserve"> </w:t>
      </w:r>
      <w:r w:rsidR="00E46C40">
        <w:rPr>
          <w:rFonts w:ascii="Arial" w:eastAsia="Times New Roman" w:hAnsi="Arial" w:cs="Arial"/>
          <w:color w:val="000000"/>
          <w:sz w:val="24"/>
          <w:szCs w:val="24"/>
          <w:lang w:eastAsia="en-ZA"/>
        </w:rPr>
        <w:t>rule.</w:t>
      </w:r>
      <w:r w:rsidR="00933FAD">
        <w:rPr>
          <w:rStyle w:val="FootnoteReference"/>
          <w:rFonts w:ascii="Arial" w:eastAsia="Times New Roman" w:hAnsi="Arial" w:cs="Arial"/>
          <w:color w:val="000000"/>
          <w:sz w:val="24"/>
          <w:szCs w:val="24"/>
          <w:lang w:eastAsia="en-ZA"/>
        </w:rPr>
        <w:footnoteReference w:id="7"/>
      </w:r>
      <w:r w:rsidR="00E46C40">
        <w:rPr>
          <w:rFonts w:ascii="Arial" w:eastAsia="Times New Roman" w:hAnsi="Arial" w:cs="Arial"/>
          <w:color w:val="000000"/>
          <w:sz w:val="24"/>
          <w:szCs w:val="24"/>
          <w:lang w:eastAsia="en-ZA"/>
        </w:rPr>
        <w:t xml:space="preserve"> </w:t>
      </w:r>
      <w:r w:rsidR="00933FAD">
        <w:rPr>
          <w:rFonts w:ascii="Arial" w:eastAsia="Times New Roman" w:hAnsi="Arial" w:cs="Arial"/>
          <w:color w:val="000000"/>
          <w:sz w:val="24"/>
          <w:szCs w:val="24"/>
          <w:lang w:eastAsia="en-ZA"/>
        </w:rPr>
        <w:t xml:space="preserve">The </w:t>
      </w:r>
      <w:proofErr w:type="spellStart"/>
      <w:r w:rsidR="00933FAD" w:rsidRPr="00D76335">
        <w:rPr>
          <w:rFonts w:ascii="Arial" w:eastAsia="Times New Roman" w:hAnsi="Arial" w:cs="Arial"/>
          <w:i/>
          <w:color w:val="000000"/>
          <w:sz w:val="24"/>
          <w:szCs w:val="24"/>
          <w:lang w:eastAsia="en-ZA"/>
        </w:rPr>
        <w:t>Biowatch</w:t>
      </w:r>
      <w:proofErr w:type="spellEnd"/>
      <w:r w:rsidR="00933FAD">
        <w:rPr>
          <w:rFonts w:ascii="Arial" w:eastAsia="Times New Roman" w:hAnsi="Arial" w:cs="Arial"/>
          <w:color w:val="000000"/>
          <w:sz w:val="24"/>
          <w:szCs w:val="24"/>
          <w:lang w:eastAsia="en-ZA"/>
        </w:rPr>
        <w:t xml:space="preserve"> principle was articulated as follows:</w:t>
      </w:r>
    </w:p>
    <w:p w14:paraId="74701B4D" w14:textId="77777777" w:rsidR="00933FAD" w:rsidRPr="004576C9" w:rsidRDefault="00933FAD" w:rsidP="00933FAD">
      <w:pPr>
        <w:spacing w:after="0" w:line="360" w:lineRule="auto"/>
        <w:ind w:left="719" w:hanging="10"/>
        <w:jc w:val="both"/>
        <w:rPr>
          <w:rFonts w:ascii="Arial" w:eastAsia="Times New Roman" w:hAnsi="Arial" w:cs="Arial"/>
          <w:i/>
          <w:color w:val="000000"/>
          <w:sz w:val="24"/>
          <w:szCs w:val="24"/>
          <w:lang w:eastAsia="en-ZA"/>
        </w:rPr>
      </w:pPr>
    </w:p>
    <w:p w14:paraId="0BD450DD" w14:textId="66E417C4" w:rsidR="00933FAD" w:rsidRPr="004576C9" w:rsidRDefault="009922C1" w:rsidP="009922C1">
      <w:pPr>
        <w:spacing w:after="0" w:line="360" w:lineRule="auto"/>
        <w:ind w:left="709"/>
        <w:jc w:val="both"/>
        <w:rPr>
          <w:rFonts w:ascii="Arial" w:hAnsi="Arial" w:cs="Arial"/>
          <w:i/>
          <w:iCs/>
          <w:sz w:val="20"/>
          <w:szCs w:val="20"/>
          <w:lang w:val="en-US"/>
        </w:rPr>
      </w:pPr>
      <w:r w:rsidRPr="004576C9">
        <w:rPr>
          <w:rFonts w:ascii="Arial" w:hAnsi="Arial" w:cs="Arial"/>
          <w:i/>
          <w:sz w:val="20"/>
          <w:szCs w:val="20"/>
          <w:lang w:val="en-US"/>
        </w:rPr>
        <w:tab/>
      </w:r>
      <w:r w:rsidRPr="004576C9">
        <w:rPr>
          <w:rFonts w:ascii="Arial" w:hAnsi="Arial" w:cs="Arial"/>
          <w:i/>
          <w:sz w:val="20"/>
          <w:szCs w:val="20"/>
          <w:lang w:val="en-US"/>
        </w:rPr>
        <w:tab/>
      </w:r>
      <w:r w:rsidR="00933FAD" w:rsidRPr="004576C9">
        <w:rPr>
          <w:rFonts w:ascii="Arial" w:hAnsi="Arial" w:cs="Arial"/>
          <w:i/>
          <w:sz w:val="20"/>
          <w:szCs w:val="20"/>
          <w:lang w:val="en-US"/>
        </w:rPr>
        <w:t xml:space="preserve">‘If there should be a genuine, non-frivolous challenge to the constitutionality of a law or </w:t>
      </w:r>
      <w:r w:rsidR="00933FAD" w:rsidRPr="004576C9">
        <w:rPr>
          <w:rFonts w:ascii="Arial" w:hAnsi="Arial" w:cs="Arial"/>
          <w:i/>
          <w:sz w:val="20"/>
          <w:szCs w:val="20"/>
          <w:lang w:val="en-US"/>
        </w:rPr>
        <w:tab/>
      </w:r>
      <w:r w:rsidR="00933FAD" w:rsidRPr="004576C9">
        <w:rPr>
          <w:rFonts w:ascii="Arial" w:hAnsi="Arial" w:cs="Arial"/>
          <w:i/>
          <w:sz w:val="20"/>
          <w:szCs w:val="20"/>
          <w:lang w:val="en-US"/>
        </w:rPr>
        <w:tab/>
        <w:t xml:space="preserve">of State conduct, it is appropriate that the State should bear the costs if the challenge </w:t>
      </w:r>
      <w:r w:rsidR="00933FAD" w:rsidRPr="004576C9">
        <w:rPr>
          <w:rFonts w:ascii="Arial" w:hAnsi="Arial" w:cs="Arial"/>
          <w:i/>
          <w:sz w:val="20"/>
          <w:szCs w:val="20"/>
          <w:lang w:val="en-US"/>
        </w:rPr>
        <w:tab/>
      </w:r>
      <w:r w:rsidR="00933FAD" w:rsidRPr="004576C9">
        <w:rPr>
          <w:rFonts w:ascii="Arial" w:hAnsi="Arial" w:cs="Arial"/>
          <w:i/>
          <w:sz w:val="20"/>
          <w:szCs w:val="20"/>
          <w:lang w:val="en-US"/>
        </w:rPr>
        <w:tab/>
        <w:t xml:space="preserve">is good, but if it is not, then the losing non-State litigant should be shielded from the </w:t>
      </w:r>
      <w:r w:rsidR="00933FAD" w:rsidRPr="004576C9">
        <w:rPr>
          <w:rFonts w:ascii="Arial" w:hAnsi="Arial" w:cs="Arial"/>
          <w:i/>
          <w:sz w:val="20"/>
          <w:szCs w:val="20"/>
          <w:lang w:val="en-US"/>
        </w:rPr>
        <w:tab/>
      </w:r>
      <w:r w:rsidR="00933FAD" w:rsidRPr="004576C9">
        <w:rPr>
          <w:rFonts w:ascii="Arial" w:hAnsi="Arial" w:cs="Arial"/>
          <w:i/>
          <w:sz w:val="20"/>
          <w:szCs w:val="20"/>
          <w:lang w:val="en-US"/>
        </w:rPr>
        <w:tab/>
        <w:t xml:space="preserve">costs consequences of failure. In this way the responsibility for ensuring that the law </w:t>
      </w:r>
      <w:r w:rsidR="00933FAD" w:rsidRPr="004576C9">
        <w:rPr>
          <w:rFonts w:ascii="Arial" w:hAnsi="Arial" w:cs="Arial"/>
          <w:i/>
          <w:sz w:val="20"/>
          <w:szCs w:val="20"/>
          <w:lang w:val="en-US"/>
        </w:rPr>
        <w:tab/>
      </w:r>
      <w:r w:rsidR="00933FAD" w:rsidRPr="004576C9">
        <w:rPr>
          <w:rFonts w:ascii="Arial" w:hAnsi="Arial" w:cs="Arial"/>
          <w:i/>
          <w:sz w:val="20"/>
          <w:szCs w:val="20"/>
          <w:lang w:val="en-US"/>
        </w:rPr>
        <w:tab/>
        <w:t>and State conduct are constitutional is placed at the correct door</w:t>
      </w:r>
      <w:r w:rsidR="004576C9">
        <w:rPr>
          <w:rFonts w:ascii="Arial" w:hAnsi="Arial" w:cs="Arial"/>
          <w:i/>
          <w:sz w:val="20"/>
          <w:szCs w:val="20"/>
          <w:lang w:val="en-US"/>
        </w:rPr>
        <w:t>.</w:t>
      </w:r>
      <w:r w:rsidR="00933FAD" w:rsidRPr="004576C9">
        <w:rPr>
          <w:rFonts w:ascii="Arial" w:hAnsi="Arial" w:cs="Arial"/>
          <w:i/>
          <w:sz w:val="20"/>
          <w:szCs w:val="20"/>
          <w:lang w:val="en-US"/>
        </w:rPr>
        <w:t>’</w:t>
      </w:r>
      <w:r w:rsidR="00933FAD" w:rsidRPr="004576C9">
        <w:rPr>
          <w:rStyle w:val="FootnoteReference"/>
          <w:rFonts w:ascii="Arial" w:hAnsi="Arial" w:cs="Arial"/>
          <w:i/>
          <w:sz w:val="20"/>
          <w:szCs w:val="20"/>
          <w:lang w:val="en-US"/>
        </w:rPr>
        <w:t xml:space="preserve"> </w:t>
      </w:r>
    </w:p>
    <w:p w14:paraId="6B2ED35F" w14:textId="77777777" w:rsidR="00933FAD" w:rsidRDefault="00933FAD" w:rsidP="00933FAD">
      <w:pPr>
        <w:spacing w:after="0" w:line="360" w:lineRule="auto"/>
        <w:ind w:left="719" w:hanging="719"/>
        <w:jc w:val="both"/>
        <w:rPr>
          <w:rFonts w:ascii="Arial" w:eastAsia="Times New Roman" w:hAnsi="Arial" w:cs="Arial"/>
          <w:color w:val="000000"/>
          <w:sz w:val="24"/>
          <w:szCs w:val="24"/>
          <w:lang w:eastAsia="en-ZA"/>
        </w:rPr>
      </w:pPr>
    </w:p>
    <w:p w14:paraId="7E6FE057" w14:textId="77777777" w:rsidR="00933FAD" w:rsidRDefault="00135844" w:rsidP="00933FAD">
      <w:pPr>
        <w:spacing w:after="0" w:line="360" w:lineRule="auto"/>
        <w:ind w:left="719" w:hanging="719"/>
        <w:jc w:val="both"/>
        <w:rPr>
          <w:rFonts w:ascii="Arial" w:hAnsi="Arial" w:cs="Arial"/>
          <w:sz w:val="24"/>
          <w:szCs w:val="24"/>
        </w:rPr>
      </w:pPr>
      <w:r>
        <w:rPr>
          <w:rFonts w:ascii="Arial" w:eastAsia="Times New Roman" w:hAnsi="Arial" w:cs="Arial"/>
          <w:color w:val="000000"/>
          <w:sz w:val="24"/>
          <w:szCs w:val="24"/>
          <w:lang w:eastAsia="en-ZA"/>
        </w:rPr>
        <w:t>[13</w:t>
      </w:r>
      <w:r w:rsidR="00933FAD">
        <w:rPr>
          <w:rFonts w:ascii="Arial" w:eastAsia="Times New Roman" w:hAnsi="Arial" w:cs="Arial"/>
          <w:color w:val="000000"/>
          <w:sz w:val="24"/>
          <w:szCs w:val="24"/>
          <w:lang w:eastAsia="en-ZA"/>
        </w:rPr>
        <w:t xml:space="preserve">] </w:t>
      </w:r>
      <w:r w:rsidR="00933FAD">
        <w:rPr>
          <w:rFonts w:ascii="Arial" w:eastAsia="Times New Roman" w:hAnsi="Arial" w:cs="Arial"/>
          <w:color w:val="000000"/>
          <w:sz w:val="24"/>
          <w:szCs w:val="24"/>
          <w:lang w:eastAsia="en-ZA"/>
        </w:rPr>
        <w:tab/>
        <w:t xml:space="preserve">The starting point in constitutional litigation is that </w:t>
      </w:r>
      <w:r w:rsidR="00933FAD" w:rsidRPr="002A1848">
        <w:rPr>
          <w:rFonts w:ascii="Arial" w:hAnsi="Arial" w:cs="Arial"/>
          <w:sz w:val="24"/>
          <w:szCs w:val="24"/>
          <w:lang w:val="en-US"/>
        </w:rPr>
        <w:t>an unsuccessful private litigant in proceedings against the State ordinarily ought not to be ordered to pay costs</w:t>
      </w:r>
      <w:r w:rsidR="00933FAD">
        <w:rPr>
          <w:rFonts w:ascii="Arial" w:eastAsia="Times New Roman" w:hAnsi="Arial" w:cs="Arial"/>
          <w:color w:val="000000"/>
          <w:sz w:val="24"/>
          <w:szCs w:val="24"/>
          <w:lang w:eastAsia="en-ZA"/>
        </w:rPr>
        <w:t xml:space="preserve">. </w:t>
      </w:r>
      <w:proofErr w:type="spellStart"/>
      <w:r w:rsidR="00933FAD">
        <w:rPr>
          <w:rFonts w:ascii="Arial" w:eastAsia="Times New Roman" w:hAnsi="Arial" w:cs="Arial"/>
          <w:color w:val="000000"/>
          <w:sz w:val="24"/>
          <w:szCs w:val="24"/>
          <w:lang w:eastAsia="en-ZA"/>
        </w:rPr>
        <w:t>Biowatch</w:t>
      </w:r>
      <w:proofErr w:type="spellEnd"/>
      <w:r w:rsidR="00933FAD">
        <w:rPr>
          <w:rFonts w:ascii="Arial" w:eastAsia="Times New Roman" w:hAnsi="Arial" w:cs="Arial"/>
          <w:color w:val="000000"/>
          <w:sz w:val="24"/>
          <w:szCs w:val="24"/>
          <w:lang w:eastAsia="en-ZA"/>
        </w:rPr>
        <w:t xml:space="preserve"> has not stripped the </w:t>
      </w:r>
      <w:r w:rsidR="00933FAD" w:rsidRPr="002A1848">
        <w:rPr>
          <w:rFonts w:ascii="Arial" w:hAnsi="Arial" w:cs="Arial"/>
          <w:sz w:val="24"/>
          <w:szCs w:val="24"/>
        </w:rPr>
        <w:t>court</w:t>
      </w:r>
      <w:r w:rsidR="00933FAD">
        <w:rPr>
          <w:rFonts w:ascii="Arial" w:hAnsi="Arial" w:cs="Arial"/>
          <w:sz w:val="24"/>
          <w:szCs w:val="24"/>
        </w:rPr>
        <w:t xml:space="preserve"> off its discretion to award costs. </w:t>
      </w:r>
      <w:proofErr w:type="spellStart"/>
      <w:r w:rsidR="00933FAD">
        <w:rPr>
          <w:rFonts w:ascii="Arial" w:hAnsi="Arial" w:cs="Arial"/>
          <w:sz w:val="24"/>
          <w:szCs w:val="24"/>
        </w:rPr>
        <w:t>Biowatch</w:t>
      </w:r>
      <w:proofErr w:type="spellEnd"/>
      <w:r w:rsidR="00933FAD">
        <w:rPr>
          <w:rFonts w:ascii="Arial" w:hAnsi="Arial" w:cs="Arial"/>
          <w:sz w:val="24"/>
          <w:szCs w:val="24"/>
        </w:rPr>
        <w:t xml:space="preserve"> serves as a guide for awarding of costs in constitutional litigation. The rule is not unqualified. The court in </w:t>
      </w:r>
      <w:proofErr w:type="spellStart"/>
      <w:r w:rsidR="00933FAD">
        <w:rPr>
          <w:rFonts w:ascii="Arial" w:hAnsi="Arial" w:cs="Arial"/>
          <w:sz w:val="24"/>
          <w:szCs w:val="24"/>
        </w:rPr>
        <w:t>Biowatch</w:t>
      </w:r>
      <w:proofErr w:type="spellEnd"/>
      <w:r w:rsidR="00933FAD">
        <w:rPr>
          <w:rFonts w:ascii="Arial" w:hAnsi="Arial" w:cs="Arial"/>
          <w:sz w:val="24"/>
          <w:szCs w:val="24"/>
        </w:rPr>
        <w:t xml:space="preserve"> further held:</w:t>
      </w:r>
    </w:p>
    <w:p w14:paraId="24FE5B20" w14:textId="77777777" w:rsidR="00933FAD" w:rsidRDefault="00933FAD" w:rsidP="00933FAD">
      <w:pPr>
        <w:spacing w:after="0" w:line="360" w:lineRule="auto"/>
        <w:ind w:left="719" w:hanging="719"/>
        <w:jc w:val="both"/>
        <w:rPr>
          <w:rFonts w:ascii="Arial" w:hAnsi="Arial" w:cs="Arial"/>
          <w:sz w:val="24"/>
          <w:szCs w:val="24"/>
        </w:rPr>
      </w:pPr>
    </w:p>
    <w:p w14:paraId="4CFA954B" w14:textId="12C08A1F" w:rsidR="00933FAD" w:rsidRPr="004576C9" w:rsidRDefault="00933FAD" w:rsidP="00933FAD">
      <w:pPr>
        <w:pStyle w:val="JUGMENTNUMBERED"/>
        <w:numPr>
          <w:ilvl w:val="0"/>
          <w:numId w:val="0"/>
        </w:numPr>
        <w:spacing w:line="360" w:lineRule="auto"/>
        <w:ind w:left="719"/>
        <w:rPr>
          <w:rFonts w:ascii="Arial" w:hAnsi="Arial" w:cs="Arial"/>
          <w:i/>
          <w:sz w:val="20"/>
          <w:szCs w:val="20"/>
        </w:rPr>
      </w:pPr>
      <w:r>
        <w:rPr>
          <w:rFonts w:ascii="Arial" w:hAnsi="Arial" w:cs="Arial"/>
          <w:sz w:val="20"/>
          <w:szCs w:val="20"/>
        </w:rPr>
        <w:tab/>
      </w:r>
      <w:r>
        <w:rPr>
          <w:rFonts w:ascii="Arial" w:hAnsi="Arial" w:cs="Arial"/>
          <w:sz w:val="20"/>
          <w:szCs w:val="20"/>
        </w:rPr>
        <w:tab/>
      </w:r>
      <w:r w:rsidRPr="004576C9">
        <w:rPr>
          <w:rFonts w:ascii="Arial" w:hAnsi="Arial" w:cs="Arial"/>
          <w:i/>
          <w:sz w:val="20"/>
          <w:szCs w:val="20"/>
        </w:rPr>
        <w:t xml:space="preserve">‘[24] At the same time, however, the general approach of this Court to costs in litigation </w:t>
      </w:r>
      <w:r w:rsidRPr="004576C9">
        <w:rPr>
          <w:rFonts w:ascii="Arial" w:hAnsi="Arial" w:cs="Arial"/>
          <w:i/>
          <w:sz w:val="20"/>
          <w:szCs w:val="20"/>
        </w:rPr>
        <w:tab/>
      </w:r>
      <w:r w:rsidRPr="004576C9">
        <w:rPr>
          <w:rFonts w:ascii="Arial" w:hAnsi="Arial" w:cs="Arial"/>
          <w:i/>
          <w:sz w:val="20"/>
          <w:szCs w:val="20"/>
        </w:rPr>
        <w:tab/>
        <w:t xml:space="preserve">between private parties and the state, is not unqualified.  If an application is frivolous </w:t>
      </w:r>
      <w:r w:rsidRPr="004576C9">
        <w:rPr>
          <w:rFonts w:ascii="Arial" w:hAnsi="Arial" w:cs="Arial"/>
          <w:i/>
          <w:sz w:val="20"/>
          <w:szCs w:val="20"/>
        </w:rPr>
        <w:tab/>
      </w:r>
      <w:r w:rsidRPr="004576C9">
        <w:rPr>
          <w:rFonts w:ascii="Arial" w:hAnsi="Arial" w:cs="Arial"/>
          <w:i/>
          <w:sz w:val="20"/>
          <w:szCs w:val="20"/>
        </w:rPr>
        <w:tab/>
        <w:t xml:space="preserve">or vexatious, or in any other way manifestly inappropriate, the applicant should not </w:t>
      </w:r>
      <w:r w:rsidRPr="004576C9">
        <w:rPr>
          <w:rFonts w:ascii="Arial" w:hAnsi="Arial" w:cs="Arial"/>
          <w:i/>
          <w:sz w:val="20"/>
          <w:szCs w:val="20"/>
        </w:rPr>
        <w:tab/>
      </w:r>
      <w:r w:rsidRPr="004576C9">
        <w:rPr>
          <w:rFonts w:ascii="Arial" w:hAnsi="Arial" w:cs="Arial"/>
          <w:i/>
          <w:sz w:val="20"/>
          <w:szCs w:val="20"/>
        </w:rPr>
        <w:tab/>
        <w:t xml:space="preserve">expect that the worthiness of its cause will immunise it against an adverse costs award. </w:t>
      </w:r>
      <w:r w:rsidRPr="004576C9">
        <w:rPr>
          <w:rFonts w:ascii="Arial" w:hAnsi="Arial" w:cs="Arial"/>
          <w:i/>
          <w:sz w:val="20"/>
          <w:szCs w:val="20"/>
        </w:rPr>
        <w:tab/>
      </w:r>
      <w:r w:rsidRPr="004576C9">
        <w:rPr>
          <w:rFonts w:ascii="Arial" w:hAnsi="Arial" w:cs="Arial"/>
          <w:i/>
          <w:sz w:val="20"/>
          <w:szCs w:val="20"/>
        </w:rPr>
        <w:tab/>
        <w:t xml:space="preserve">Nevertheless, for the reasons given above, courts should not lightly turn their backs on </w:t>
      </w:r>
      <w:r w:rsidRPr="004576C9">
        <w:rPr>
          <w:rFonts w:ascii="Arial" w:hAnsi="Arial" w:cs="Arial"/>
          <w:i/>
          <w:sz w:val="20"/>
          <w:szCs w:val="20"/>
        </w:rPr>
        <w:tab/>
      </w:r>
      <w:r w:rsidRPr="004576C9">
        <w:rPr>
          <w:rFonts w:ascii="Arial" w:hAnsi="Arial" w:cs="Arial"/>
          <w:i/>
          <w:sz w:val="20"/>
          <w:szCs w:val="20"/>
        </w:rPr>
        <w:tab/>
        <w:t xml:space="preserve">the general approach of not awarding costs against an unsuccessful litigant in </w:t>
      </w:r>
      <w:r w:rsidRPr="004576C9">
        <w:rPr>
          <w:rFonts w:ascii="Arial" w:hAnsi="Arial" w:cs="Arial"/>
          <w:i/>
          <w:sz w:val="20"/>
          <w:szCs w:val="20"/>
        </w:rPr>
        <w:tab/>
      </w:r>
      <w:r w:rsidRPr="004576C9">
        <w:rPr>
          <w:rFonts w:ascii="Arial" w:hAnsi="Arial" w:cs="Arial"/>
          <w:i/>
          <w:sz w:val="20"/>
          <w:szCs w:val="20"/>
        </w:rPr>
        <w:tab/>
      </w:r>
      <w:r w:rsidRPr="004576C9">
        <w:rPr>
          <w:rFonts w:ascii="Arial" w:hAnsi="Arial" w:cs="Arial"/>
          <w:i/>
          <w:sz w:val="20"/>
          <w:szCs w:val="20"/>
        </w:rPr>
        <w:tab/>
        <w:t xml:space="preserve">proceedings against the state, where matters of genuine constitutional import arise.  </w:t>
      </w:r>
      <w:r w:rsidRPr="004576C9">
        <w:rPr>
          <w:rFonts w:ascii="Arial" w:hAnsi="Arial" w:cs="Arial"/>
          <w:i/>
          <w:sz w:val="20"/>
          <w:szCs w:val="20"/>
        </w:rPr>
        <w:tab/>
      </w:r>
      <w:r w:rsidRPr="004576C9">
        <w:rPr>
          <w:rFonts w:ascii="Arial" w:hAnsi="Arial" w:cs="Arial"/>
          <w:i/>
          <w:sz w:val="20"/>
          <w:szCs w:val="20"/>
        </w:rPr>
        <w:tab/>
        <w:t xml:space="preserve">Similarly, particularly powerful reasons must exist for a court not to award costs against </w:t>
      </w:r>
      <w:r w:rsidRPr="004576C9">
        <w:rPr>
          <w:rFonts w:ascii="Arial" w:hAnsi="Arial" w:cs="Arial"/>
          <w:i/>
          <w:sz w:val="20"/>
          <w:szCs w:val="20"/>
        </w:rPr>
        <w:tab/>
      </w:r>
      <w:r w:rsidRPr="004576C9">
        <w:rPr>
          <w:rFonts w:ascii="Arial" w:hAnsi="Arial" w:cs="Arial"/>
          <w:i/>
          <w:sz w:val="20"/>
          <w:szCs w:val="20"/>
        </w:rPr>
        <w:tab/>
        <w:t xml:space="preserve">the state in favour of a private litigant who achieves substantial success in proceedings </w:t>
      </w:r>
      <w:r w:rsidRPr="004576C9">
        <w:rPr>
          <w:rFonts w:ascii="Arial" w:hAnsi="Arial" w:cs="Arial"/>
          <w:i/>
          <w:sz w:val="20"/>
          <w:szCs w:val="20"/>
        </w:rPr>
        <w:tab/>
      </w:r>
      <w:r w:rsidRPr="004576C9">
        <w:rPr>
          <w:rFonts w:ascii="Arial" w:hAnsi="Arial" w:cs="Arial"/>
          <w:i/>
          <w:sz w:val="20"/>
          <w:szCs w:val="20"/>
        </w:rPr>
        <w:tab/>
        <w:t>brought against it.</w:t>
      </w:r>
      <w:r w:rsidR="004576C9">
        <w:rPr>
          <w:rFonts w:ascii="Arial" w:hAnsi="Arial" w:cs="Arial"/>
          <w:i/>
          <w:sz w:val="20"/>
          <w:szCs w:val="20"/>
        </w:rPr>
        <w:t>’</w:t>
      </w:r>
    </w:p>
    <w:p w14:paraId="443E40B4" w14:textId="77777777" w:rsidR="00933FAD" w:rsidRPr="000541A2" w:rsidRDefault="00933FAD" w:rsidP="00933FAD">
      <w:pPr>
        <w:pStyle w:val="JUGMENTNUMBERED"/>
        <w:numPr>
          <w:ilvl w:val="0"/>
          <w:numId w:val="0"/>
        </w:numPr>
        <w:spacing w:line="360" w:lineRule="auto"/>
        <w:rPr>
          <w:rFonts w:ascii="Arial" w:hAnsi="Arial" w:cs="Arial"/>
          <w:sz w:val="20"/>
          <w:szCs w:val="20"/>
        </w:rPr>
      </w:pPr>
    </w:p>
    <w:p w14:paraId="234506CB" w14:textId="6096DFC3" w:rsidR="00933FAD" w:rsidRDefault="00933FAD" w:rsidP="00933FAD">
      <w:pPr>
        <w:pStyle w:val="JUGMENTNUMBERED"/>
        <w:numPr>
          <w:ilvl w:val="0"/>
          <w:numId w:val="0"/>
        </w:numPr>
        <w:spacing w:line="360" w:lineRule="auto"/>
        <w:ind w:left="719"/>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Pr="004576C9">
        <w:rPr>
          <w:rFonts w:ascii="Arial" w:hAnsi="Arial" w:cs="Arial"/>
          <w:i/>
          <w:sz w:val="20"/>
          <w:szCs w:val="20"/>
        </w:rPr>
        <w:t xml:space="preserve">[25] Merely </w:t>
      </w:r>
      <w:r w:rsidR="004576C9" w:rsidRPr="004576C9">
        <w:rPr>
          <w:rFonts w:ascii="Arial" w:hAnsi="Arial" w:cs="Arial"/>
          <w:i/>
          <w:sz w:val="20"/>
          <w:szCs w:val="20"/>
        </w:rPr>
        <w:t>labelling</w:t>
      </w:r>
      <w:r w:rsidRPr="004576C9">
        <w:rPr>
          <w:rFonts w:ascii="Arial" w:hAnsi="Arial" w:cs="Arial"/>
          <w:i/>
          <w:sz w:val="20"/>
          <w:szCs w:val="20"/>
        </w:rPr>
        <w:t xml:space="preserve"> the litigation as constitutional and dragging in specious references </w:t>
      </w:r>
      <w:r w:rsidRPr="004576C9">
        <w:rPr>
          <w:rFonts w:ascii="Arial" w:hAnsi="Arial" w:cs="Arial"/>
          <w:i/>
          <w:sz w:val="20"/>
          <w:szCs w:val="20"/>
        </w:rPr>
        <w:tab/>
      </w:r>
      <w:r w:rsidRPr="004576C9">
        <w:rPr>
          <w:rFonts w:ascii="Arial" w:hAnsi="Arial" w:cs="Arial"/>
          <w:i/>
          <w:sz w:val="20"/>
          <w:szCs w:val="20"/>
        </w:rPr>
        <w:tab/>
        <w:t xml:space="preserve">to sections of the Constitution would, of course, not be enough in itself to invoke the </w:t>
      </w:r>
      <w:r w:rsidRPr="004576C9">
        <w:rPr>
          <w:rFonts w:ascii="Arial" w:hAnsi="Arial" w:cs="Arial"/>
          <w:i/>
          <w:sz w:val="20"/>
          <w:szCs w:val="20"/>
        </w:rPr>
        <w:tab/>
      </w:r>
      <w:r w:rsidRPr="004576C9">
        <w:rPr>
          <w:rFonts w:ascii="Arial" w:hAnsi="Arial" w:cs="Arial"/>
          <w:i/>
          <w:sz w:val="20"/>
          <w:szCs w:val="20"/>
        </w:rPr>
        <w:tab/>
        <w:t>general rule as referred to in</w:t>
      </w:r>
      <w:r w:rsidRPr="004576C9">
        <w:rPr>
          <w:rFonts w:ascii="Arial" w:hAnsi="Arial" w:cs="Arial"/>
          <w:i/>
          <w:iCs/>
          <w:sz w:val="20"/>
          <w:szCs w:val="20"/>
        </w:rPr>
        <w:t xml:space="preserve"> Affordable Medicines</w:t>
      </w:r>
      <w:r w:rsidRPr="004576C9">
        <w:rPr>
          <w:rFonts w:ascii="Arial" w:hAnsi="Arial" w:cs="Arial"/>
          <w:i/>
          <w:sz w:val="20"/>
          <w:szCs w:val="20"/>
        </w:rPr>
        <w:t xml:space="preserve">.  The issues must be genuine and </w:t>
      </w:r>
      <w:r w:rsidRPr="004576C9">
        <w:rPr>
          <w:rFonts w:ascii="Arial" w:hAnsi="Arial" w:cs="Arial"/>
          <w:i/>
          <w:sz w:val="20"/>
          <w:szCs w:val="20"/>
        </w:rPr>
        <w:tab/>
      </w:r>
      <w:r w:rsidRPr="004576C9">
        <w:rPr>
          <w:rFonts w:ascii="Arial" w:hAnsi="Arial" w:cs="Arial"/>
          <w:i/>
          <w:sz w:val="20"/>
          <w:szCs w:val="20"/>
        </w:rPr>
        <w:tab/>
        <w:t xml:space="preserve">substantive, and truly raise constitutional considerations relevant to the adjudication.  </w:t>
      </w:r>
      <w:r w:rsidRPr="004576C9">
        <w:rPr>
          <w:rFonts w:ascii="Arial" w:hAnsi="Arial" w:cs="Arial"/>
          <w:i/>
          <w:sz w:val="20"/>
          <w:szCs w:val="20"/>
        </w:rPr>
        <w:tab/>
      </w:r>
      <w:r w:rsidRPr="004576C9">
        <w:rPr>
          <w:rFonts w:ascii="Arial" w:hAnsi="Arial" w:cs="Arial"/>
          <w:i/>
          <w:sz w:val="20"/>
          <w:szCs w:val="20"/>
        </w:rPr>
        <w:tab/>
        <w:t xml:space="preserve">The converse is also true, namely, that when departing from the general rule a court </w:t>
      </w:r>
      <w:r w:rsidRPr="004576C9">
        <w:rPr>
          <w:rFonts w:ascii="Arial" w:hAnsi="Arial" w:cs="Arial"/>
          <w:i/>
          <w:sz w:val="20"/>
          <w:szCs w:val="20"/>
        </w:rPr>
        <w:tab/>
      </w:r>
      <w:r w:rsidRPr="004576C9">
        <w:rPr>
          <w:rFonts w:ascii="Arial" w:hAnsi="Arial" w:cs="Arial"/>
          <w:i/>
          <w:sz w:val="20"/>
          <w:szCs w:val="20"/>
        </w:rPr>
        <w:tab/>
        <w:t xml:space="preserve">should set out reasons that are carefully articulated and convincing.  This would not </w:t>
      </w:r>
      <w:r w:rsidRPr="004576C9">
        <w:rPr>
          <w:rFonts w:ascii="Arial" w:hAnsi="Arial" w:cs="Arial"/>
          <w:i/>
          <w:sz w:val="20"/>
          <w:szCs w:val="20"/>
        </w:rPr>
        <w:tab/>
      </w:r>
      <w:r w:rsidRPr="004576C9">
        <w:rPr>
          <w:rFonts w:ascii="Arial" w:hAnsi="Arial" w:cs="Arial"/>
          <w:i/>
          <w:sz w:val="20"/>
          <w:szCs w:val="20"/>
        </w:rPr>
        <w:tab/>
        <w:t xml:space="preserve">only be of assistance to an appellate court, but  would also enable the party concerned </w:t>
      </w:r>
      <w:r w:rsidRPr="004576C9">
        <w:rPr>
          <w:rFonts w:ascii="Arial" w:hAnsi="Arial" w:cs="Arial"/>
          <w:i/>
          <w:sz w:val="20"/>
          <w:szCs w:val="20"/>
        </w:rPr>
        <w:tab/>
      </w:r>
      <w:r w:rsidRPr="004576C9">
        <w:rPr>
          <w:rFonts w:ascii="Arial" w:hAnsi="Arial" w:cs="Arial"/>
          <w:i/>
          <w:sz w:val="20"/>
          <w:szCs w:val="20"/>
        </w:rPr>
        <w:tab/>
        <w:t xml:space="preserve">and other potential litigants to know exactly what had been done wrongly, and what </w:t>
      </w:r>
      <w:r w:rsidRPr="004576C9">
        <w:rPr>
          <w:rFonts w:ascii="Arial" w:hAnsi="Arial" w:cs="Arial"/>
          <w:i/>
          <w:sz w:val="20"/>
          <w:szCs w:val="20"/>
        </w:rPr>
        <w:tab/>
      </w:r>
      <w:r w:rsidRPr="004576C9">
        <w:rPr>
          <w:rFonts w:ascii="Arial" w:hAnsi="Arial" w:cs="Arial"/>
          <w:i/>
          <w:sz w:val="20"/>
          <w:szCs w:val="20"/>
        </w:rPr>
        <w:tab/>
        <w:t>should be avoided in the future.’</w:t>
      </w:r>
      <w:r>
        <w:rPr>
          <w:rStyle w:val="FootnoteReference"/>
          <w:rFonts w:ascii="Arial" w:hAnsi="Arial" w:cs="Arial"/>
          <w:sz w:val="20"/>
          <w:szCs w:val="20"/>
        </w:rPr>
        <w:footnoteReference w:id="8"/>
      </w:r>
    </w:p>
    <w:p w14:paraId="2A226593" w14:textId="77777777" w:rsidR="00933FAD" w:rsidRPr="009F1B8E" w:rsidRDefault="00933FAD" w:rsidP="00933FAD">
      <w:pPr>
        <w:spacing w:after="0" w:line="240" w:lineRule="auto"/>
        <w:ind w:hanging="226"/>
        <w:jc w:val="both"/>
        <w:rPr>
          <w:rFonts w:ascii="Arial" w:eastAsia="Times New Roman" w:hAnsi="Arial" w:cs="Arial"/>
          <w:color w:val="000000"/>
          <w:sz w:val="24"/>
          <w:szCs w:val="24"/>
          <w:lang w:eastAsia="en-ZA"/>
        </w:rPr>
      </w:pPr>
    </w:p>
    <w:p w14:paraId="049F8B5A" w14:textId="5F3D08C9" w:rsidR="00933FAD" w:rsidRDefault="00CD1D85" w:rsidP="004576C9">
      <w:pPr>
        <w:spacing w:after="0" w:line="360" w:lineRule="auto"/>
        <w:ind w:left="720" w:hanging="709"/>
        <w:jc w:val="both"/>
        <w:rPr>
          <w:rFonts w:ascii="Arial" w:hAnsi="Arial" w:cs="Arial"/>
          <w:sz w:val="28"/>
          <w:szCs w:val="28"/>
          <w:lang w:val="en-US"/>
        </w:rPr>
      </w:pPr>
      <w:r>
        <w:rPr>
          <w:rFonts w:ascii="Arial" w:hAnsi="Arial" w:cs="Arial"/>
          <w:sz w:val="24"/>
          <w:szCs w:val="24"/>
        </w:rPr>
        <w:t>[14</w:t>
      </w:r>
      <w:r w:rsidR="00F76B55" w:rsidRPr="00F76B55">
        <w:rPr>
          <w:rFonts w:ascii="Arial" w:hAnsi="Arial" w:cs="Arial"/>
          <w:sz w:val="24"/>
          <w:szCs w:val="24"/>
        </w:rPr>
        <w:t>]</w:t>
      </w:r>
      <w:r w:rsidR="00933FAD">
        <w:rPr>
          <w:rFonts w:ascii="Arial" w:hAnsi="Arial" w:cs="Arial"/>
          <w:sz w:val="24"/>
          <w:szCs w:val="24"/>
        </w:rPr>
        <w:tab/>
      </w:r>
      <w:r w:rsidR="00933FAD">
        <w:rPr>
          <w:rFonts w:ascii="Arial" w:eastAsia="Times New Roman" w:hAnsi="Arial" w:cs="Arial"/>
          <w:color w:val="000000"/>
          <w:sz w:val="24"/>
          <w:szCs w:val="24"/>
          <w:lang w:eastAsia="en-ZA"/>
        </w:rPr>
        <w:t xml:space="preserve">I have no doubt that </w:t>
      </w:r>
      <w:proofErr w:type="spellStart"/>
      <w:r w:rsidR="00933FAD" w:rsidRPr="001822A2">
        <w:rPr>
          <w:rFonts w:ascii="Arial" w:eastAsia="Times New Roman" w:hAnsi="Arial" w:cs="Arial"/>
          <w:i/>
          <w:color w:val="000000"/>
          <w:sz w:val="24"/>
          <w:szCs w:val="24"/>
          <w:lang w:eastAsia="en-ZA"/>
        </w:rPr>
        <w:t>Biowatch</w:t>
      </w:r>
      <w:proofErr w:type="spellEnd"/>
      <w:r w:rsidR="00933FAD">
        <w:rPr>
          <w:rFonts w:ascii="Arial" w:eastAsia="Times New Roman" w:hAnsi="Arial" w:cs="Arial"/>
          <w:color w:val="000000"/>
          <w:sz w:val="24"/>
          <w:szCs w:val="24"/>
          <w:lang w:eastAsia="en-ZA"/>
        </w:rPr>
        <w:t xml:space="preserve"> rule is</w:t>
      </w:r>
      <w:r w:rsidR="00933FAD" w:rsidRPr="00437855">
        <w:rPr>
          <w:rFonts w:ascii="Arial" w:eastAsia="Times New Roman" w:hAnsi="Arial" w:cs="Arial"/>
          <w:color w:val="000000"/>
          <w:sz w:val="24"/>
          <w:szCs w:val="24"/>
          <w:lang w:eastAsia="en-ZA"/>
        </w:rPr>
        <w:t xml:space="preserve"> aimed at protecting litigants who approached court to enforce a right that is guaranteed in </w:t>
      </w:r>
      <w:r w:rsidR="00E46C40">
        <w:rPr>
          <w:rFonts w:ascii="Arial" w:eastAsia="Times New Roman" w:hAnsi="Arial" w:cs="Arial"/>
          <w:color w:val="000000"/>
          <w:sz w:val="24"/>
          <w:szCs w:val="24"/>
          <w:lang w:eastAsia="en-ZA"/>
        </w:rPr>
        <w:t>the</w:t>
      </w:r>
      <w:r w:rsidR="00933FAD" w:rsidRPr="00437855">
        <w:rPr>
          <w:rFonts w:ascii="Arial" w:eastAsia="Times New Roman" w:hAnsi="Arial" w:cs="Arial"/>
          <w:color w:val="000000"/>
          <w:sz w:val="24"/>
          <w:szCs w:val="24"/>
          <w:lang w:eastAsia="en-ZA"/>
        </w:rPr>
        <w:t xml:space="preserve"> constitution. </w:t>
      </w:r>
      <w:r w:rsidR="00933FAD" w:rsidRPr="00437855">
        <w:rPr>
          <w:rFonts w:ascii="Arial" w:hAnsi="Arial" w:cs="Arial"/>
          <w:sz w:val="24"/>
          <w:szCs w:val="24"/>
          <w:lang w:val="en-US"/>
        </w:rPr>
        <w:t xml:space="preserve">In </w:t>
      </w:r>
      <w:r w:rsidR="00933FAD" w:rsidRPr="001822A2">
        <w:rPr>
          <w:rFonts w:ascii="Arial" w:hAnsi="Arial" w:cs="Arial"/>
          <w:i/>
          <w:sz w:val="24"/>
          <w:szCs w:val="24"/>
          <w:lang w:val="en-US"/>
        </w:rPr>
        <w:t>Motala v Master, North Gauteng High Court</w:t>
      </w:r>
      <w:r w:rsidR="00933FAD" w:rsidRPr="001822A2">
        <w:rPr>
          <w:rFonts w:ascii="Arial" w:hAnsi="Arial" w:cs="Arial"/>
          <w:i/>
          <w:iCs/>
          <w:sz w:val="24"/>
          <w:szCs w:val="24"/>
          <w:lang w:val="en-US"/>
        </w:rPr>
        <w:t>, Pretoria</w:t>
      </w:r>
      <w:r w:rsidR="00933FAD" w:rsidRPr="00437855">
        <w:rPr>
          <w:rStyle w:val="FootnoteReference"/>
          <w:rFonts w:ascii="Arial" w:hAnsi="Arial" w:cs="Arial"/>
          <w:sz w:val="24"/>
          <w:szCs w:val="24"/>
          <w:lang w:val="en-US"/>
        </w:rPr>
        <w:footnoteReference w:id="9"/>
      </w:r>
      <w:r w:rsidR="00933FAD">
        <w:rPr>
          <w:rFonts w:ascii="Arial" w:hAnsi="Arial" w:cs="Arial"/>
          <w:sz w:val="24"/>
          <w:szCs w:val="24"/>
          <w:lang w:val="en-US"/>
        </w:rPr>
        <w:t xml:space="preserve"> the Supreme Court of Appeal</w:t>
      </w:r>
      <w:r w:rsidR="00933FAD" w:rsidRPr="00437855">
        <w:rPr>
          <w:rFonts w:ascii="Arial" w:hAnsi="Arial" w:cs="Arial"/>
          <w:sz w:val="24"/>
          <w:szCs w:val="24"/>
          <w:lang w:val="en-US"/>
        </w:rPr>
        <w:t xml:space="preserve"> remarked that   </w:t>
      </w:r>
      <w:proofErr w:type="spellStart"/>
      <w:r w:rsidR="00933FAD" w:rsidRPr="00437855">
        <w:rPr>
          <w:rFonts w:ascii="Arial" w:hAnsi="Arial" w:cs="Arial"/>
          <w:i/>
          <w:sz w:val="24"/>
          <w:szCs w:val="24"/>
          <w:lang w:val="en-US"/>
        </w:rPr>
        <w:t>Biowatch</w:t>
      </w:r>
      <w:proofErr w:type="spellEnd"/>
      <w:r w:rsidR="00933FAD" w:rsidRPr="00437855">
        <w:rPr>
          <w:rFonts w:ascii="Arial" w:hAnsi="Arial" w:cs="Arial"/>
          <w:sz w:val="24"/>
          <w:szCs w:val="24"/>
          <w:lang w:val="en-US"/>
        </w:rPr>
        <w:t xml:space="preserve"> principle does not constitute a licen</w:t>
      </w:r>
      <w:r w:rsidR="00E46C40">
        <w:rPr>
          <w:rFonts w:ascii="Arial" w:hAnsi="Arial" w:cs="Arial"/>
          <w:sz w:val="24"/>
          <w:szCs w:val="24"/>
          <w:lang w:val="en-US"/>
        </w:rPr>
        <w:t>s</w:t>
      </w:r>
      <w:r w:rsidR="00933FAD" w:rsidRPr="00437855">
        <w:rPr>
          <w:rFonts w:ascii="Arial" w:hAnsi="Arial" w:cs="Arial"/>
          <w:sz w:val="24"/>
          <w:szCs w:val="24"/>
          <w:lang w:val="en-US"/>
        </w:rPr>
        <w:t xml:space="preserve">e to litigate with impunity against the State. In </w:t>
      </w:r>
      <w:r w:rsidR="00933FAD" w:rsidRPr="00933FAD">
        <w:rPr>
          <w:rFonts w:ascii="Arial" w:hAnsi="Arial" w:cs="Arial"/>
          <w:i/>
          <w:sz w:val="24"/>
          <w:szCs w:val="24"/>
          <w:lang w:val="en-US"/>
        </w:rPr>
        <w:t>Lawyers for Human Rights v Minister in the Presidency and Others</w:t>
      </w:r>
      <w:r w:rsidR="00630884">
        <w:rPr>
          <w:rFonts w:ascii="Arial" w:hAnsi="Arial" w:cs="Arial"/>
          <w:i/>
          <w:sz w:val="24"/>
          <w:szCs w:val="24"/>
          <w:lang w:val="en-US"/>
        </w:rPr>
        <w:t xml:space="preserve"> </w:t>
      </w:r>
      <w:r w:rsidR="00630884">
        <w:rPr>
          <w:rFonts w:ascii="Arial" w:hAnsi="Arial" w:cs="Arial"/>
          <w:sz w:val="24"/>
          <w:szCs w:val="24"/>
          <w:lang w:val="en-US"/>
        </w:rPr>
        <w:t>the court remarked as follows</w:t>
      </w:r>
      <w:r w:rsidR="00933FAD" w:rsidRPr="00933FAD">
        <w:rPr>
          <w:rFonts w:ascii="Arial" w:hAnsi="Arial" w:cs="Arial"/>
          <w:i/>
          <w:iCs/>
          <w:sz w:val="24"/>
          <w:szCs w:val="24"/>
          <w:lang w:val="en-US"/>
        </w:rPr>
        <w:t>:</w:t>
      </w:r>
      <w:r w:rsidR="00933FAD" w:rsidRPr="00437855">
        <w:rPr>
          <w:rStyle w:val="FootnoteReference"/>
          <w:rFonts w:ascii="Arial" w:hAnsi="Arial" w:cs="Arial"/>
          <w:sz w:val="24"/>
          <w:szCs w:val="24"/>
          <w:lang w:val="en-US"/>
        </w:rPr>
        <w:footnoteReference w:id="10"/>
      </w:r>
      <w:r w:rsidR="00933FAD" w:rsidRPr="00437855">
        <w:rPr>
          <w:rFonts w:ascii="Arial" w:hAnsi="Arial" w:cs="Arial"/>
          <w:sz w:val="28"/>
          <w:szCs w:val="28"/>
          <w:lang w:val="en-US"/>
        </w:rPr>
        <w:t xml:space="preserve"> </w:t>
      </w:r>
    </w:p>
    <w:p w14:paraId="36CA5C3C" w14:textId="77777777" w:rsidR="004576C9" w:rsidRDefault="004576C9" w:rsidP="00933FAD">
      <w:pPr>
        <w:spacing w:after="0" w:line="360" w:lineRule="auto"/>
        <w:ind w:left="1418"/>
        <w:jc w:val="both"/>
        <w:rPr>
          <w:rFonts w:ascii="Arial" w:hAnsi="Arial" w:cs="Arial"/>
          <w:sz w:val="20"/>
          <w:szCs w:val="20"/>
        </w:rPr>
      </w:pPr>
    </w:p>
    <w:p w14:paraId="77B1B217" w14:textId="44ACDDEB" w:rsidR="00933FAD" w:rsidRPr="004576C9" w:rsidRDefault="00933FAD" w:rsidP="00933FAD">
      <w:pPr>
        <w:spacing w:after="0" w:line="360" w:lineRule="auto"/>
        <w:ind w:left="1418"/>
        <w:jc w:val="both"/>
        <w:rPr>
          <w:rFonts w:ascii="Arial" w:hAnsi="Arial" w:cs="Arial"/>
          <w:i/>
          <w:sz w:val="20"/>
          <w:szCs w:val="20"/>
        </w:rPr>
      </w:pPr>
      <w:r w:rsidRPr="004576C9">
        <w:rPr>
          <w:rFonts w:ascii="Arial" w:hAnsi="Arial" w:cs="Arial"/>
          <w:i/>
          <w:sz w:val="20"/>
          <w:szCs w:val="20"/>
        </w:rPr>
        <w:t xml:space="preserve">‘[The </w:t>
      </w:r>
      <w:proofErr w:type="spellStart"/>
      <w:r w:rsidRPr="004576C9">
        <w:rPr>
          <w:rFonts w:ascii="Arial" w:hAnsi="Arial" w:cs="Arial"/>
          <w:i/>
          <w:iCs/>
          <w:sz w:val="20"/>
          <w:szCs w:val="20"/>
        </w:rPr>
        <w:t>Biowatch</w:t>
      </w:r>
      <w:proofErr w:type="spellEnd"/>
      <w:r w:rsidRPr="004576C9">
        <w:rPr>
          <w:rFonts w:ascii="Arial" w:hAnsi="Arial" w:cs="Arial"/>
          <w:i/>
          <w:iCs/>
          <w:sz w:val="20"/>
          <w:szCs w:val="20"/>
        </w:rPr>
        <w:t xml:space="preserve"> </w:t>
      </w:r>
      <w:r w:rsidRPr="004576C9">
        <w:rPr>
          <w:rFonts w:ascii="Arial" w:hAnsi="Arial" w:cs="Arial"/>
          <w:i/>
          <w:sz w:val="20"/>
          <w:szCs w:val="20"/>
        </w:rPr>
        <w:t xml:space="preserve">rule], of course, does not mean risk-free constitutional litigation. The court, in its discretion, might order costs, </w:t>
      </w:r>
      <w:proofErr w:type="spellStart"/>
      <w:r w:rsidRPr="004576C9">
        <w:rPr>
          <w:rFonts w:ascii="Arial" w:hAnsi="Arial" w:cs="Arial"/>
          <w:i/>
          <w:iCs/>
          <w:sz w:val="20"/>
          <w:szCs w:val="20"/>
        </w:rPr>
        <w:t>Biowatch</w:t>
      </w:r>
      <w:proofErr w:type="spellEnd"/>
      <w:r w:rsidRPr="004576C9">
        <w:rPr>
          <w:rFonts w:ascii="Arial" w:hAnsi="Arial" w:cs="Arial"/>
          <w:i/>
          <w:sz w:val="20"/>
          <w:szCs w:val="20"/>
        </w:rPr>
        <w:t xml:space="preserve"> said, if the constitutional grounds of attack are frivolous or vexatious - or if the litigant has acted from improper motives or there are other circumstances that make it in the interests of justice to order costs. The High Court controls its process. It does so with a measure of flexibility. So a court must consider the “character of the litigation and [the litigant's] conduct in pursuit of it”, even where the litigant seeks to assert constitutional rights.’</w:t>
      </w:r>
    </w:p>
    <w:p w14:paraId="770A179C" w14:textId="77777777" w:rsidR="00DF037B" w:rsidRPr="00F03C64" w:rsidRDefault="00F76B55" w:rsidP="00F03C64">
      <w:pPr>
        <w:spacing w:after="0" w:line="360" w:lineRule="auto"/>
        <w:ind w:left="709" w:hanging="709"/>
        <w:jc w:val="both"/>
        <w:rPr>
          <w:rFonts w:ascii="Arial" w:hAnsi="Arial" w:cs="Arial"/>
          <w:sz w:val="24"/>
          <w:szCs w:val="24"/>
        </w:rPr>
      </w:pPr>
      <w:r w:rsidRPr="00F76B55">
        <w:rPr>
          <w:rFonts w:ascii="Arial" w:hAnsi="Arial" w:cs="Arial"/>
          <w:sz w:val="24"/>
          <w:szCs w:val="24"/>
        </w:rPr>
        <w:tab/>
      </w:r>
      <w:r w:rsidR="000B06B1">
        <w:rPr>
          <w:rFonts w:ascii="Arial" w:hAnsi="Arial" w:cs="Arial"/>
          <w:sz w:val="24"/>
          <w:szCs w:val="24"/>
        </w:rPr>
        <w:t xml:space="preserve"> </w:t>
      </w:r>
    </w:p>
    <w:p w14:paraId="5938B43B" w14:textId="77777777" w:rsidR="000B06B1" w:rsidRDefault="00CD1D85" w:rsidP="000B06B1">
      <w:pPr>
        <w:spacing w:after="0" w:line="360" w:lineRule="auto"/>
        <w:ind w:left="709" w:hanging="709"/>
        <w:jc w:val="both"/>
        <w:rPr>
          <w:rFonts w:ascii="Arial" w:hAnsi="Arial" w:cs="Arial"/>
          <w:sz w:val="24"/>
          <w:szCs w:val="24"/>
        </w:rPr>
      </w:pPr>
      <w:r>
        <w:rPr>
          <w:rFonts w:ascii="Arial" w:hAnsi="Arial" w:cs="Arial"/>
          <w:sz w:val="24"/>
          <w:szCs w:val="24"/>
        </w:rPr>
        <w:t>[15</w:t>
      </w:r>
      <w:r w:rsidR="000B06B1">
        <w:rPr>
          <w:rFonts w:ascii="Arial" w:hAnsi="Arial" w:cs="Arial"/>
          <w:sz w:val="24"/>
          <w:szCs w:val="24"/>
        </w:rPr>
        <w:t xml:space="preserve">] </w:t>
      </w:r>
      <w:r w:rsidR="000B06B1">
        <w:rPr>
          <w:rFonts w:ascii="Arial" w:hAnsi="Arial" w:cs="Arial"/>
          <w:sz w:val="28"/>
          <w:szCs w:val="28"/>
        </w:rPr>
        <w:t xml:space="preserve">  </w:t>
      </w:r>
      <w:r w:rsidR="000B06B1">
        <w:rPr>
          <w:rFonts w:ascii="Arial" w:hAnsi="Arial" w:cs="Arial"/>
          <w:sz w:val="28"/>
          <w:szCs w:val="28"/>
        </w:rPr>
        <w:tab/>
      </w:r>
      <w:r w:rsidR="00933FAD" w:rsidRPr="000E352D">
        <w:rPr>
          <w:rFonts w:ascii="Arial" w:hAnsi="Arial" w:cs="Arial"/>
          <w:sz w:val="24"/>
          <w:szCs w:val="24"/>
        </w:rPr>
        <w:t xml:space="preserve">The applicant submitted a bid that did not meet the set criteria. Although the applicant approached court to enforce a right in </w:t>
      </w:r>
      <w:r w:rsidR="000E352D" w:rsidRPr="000E352D">
        <w:rPr>
          <w:rFonts w:ascii="Arial" w:hAnsi="Arial" w:cs="Arial"/>
          <w:sz w:val="24"/>
          <w:szCs w:val="24"/>
        </w:rPr>
        <w:t>term</w:t>
      </w:r>
      <w:r w:rsidR="00F03C64">
        <w:rPr>
          <w:rFonts w:ascii="Arial" w:hAnsi="Arial" w:cs="Arial"/>
          <w:sz w:val="24"/>
          <w:szCs w:val="24"/>
        </w:rPr>
        <w:t>s of the Promotion of Administrative</w:t>
      </w:r>
      <w:r w:rsidR="000E352D" w:rsidRPr="000E352D">
        <w:rPr>
          <w:rFonts w:ascii="Arial" w:hAnsi="Arial" w:cs="Arial"/>
          <w:sz w:val="24"/>
          <w:szCs w:val="24"/>
        </w:rPr>
        <w:t xml:space="preserve"> Justice Act</w:t>
      </w:r>
      <w:r w:rsidR="00F03C64">
        <w:rPr>
          <w:rStyle w:val="FootnoteReference"/>
          <w:rFonts w:ascii="Arial" w:hAnsi="Arial" w:cs="Arial"/>
          <w:sz w:val="24"/>
          <w:szCs w:val="24"/>
        </w:rPr>
        <w:footnoteReference w:id="11"/>
      </w:r>
      <w:r w:rsidR="000E352D" w:rsidRPr="000E352D">
        <w:rPr>
          <w:rFonts w:ascii="Arial" w:hAnsi="Arial" w:cs="Arial"/>
          <w:sz w:val="24"/>
          <w:szCs w:val="24"/>
        </w:rPr>
        <w:t xml:space="preserve"> which finds its origin in the Constitution</w:t>
      </w:r>
      <w:r w:rsidR="00D76335">
        <w:rPr>
          <w:rFonts w:ascii="Arial" w:hAnsi="Arial" w:cs="Arial"/>
          <w:sz w:val="24"/>
          <w:szCs w:val="24"/>
        </w:rPr>
        <w:t>,</w:t>
      </w:r>
      <w:r w:rsidR="00300A8E">
        <w:rPr>
          <w:rStyle w:val="FootnoteReference"/>
          <w:rFonts w:ascii="Arial" w:hAnsi="Arial" w:cs="Arial"/>
          <w:sz w:val="24"/>
          <w:szCs w:val="24"/>
        </w:rPr>
        <w:footnoteReference w:id="12"/>
      </w:r>
      <w:r w:rsidR="000E352D" w:rsidRPr="000E352D">
        <w:rPr>
          <w:rFonts w:ascii="Arial" w:hAnsi="Arial" w:cs="Arial"/>
          <w:sz w:val="24"/>
          <w:szCs w:val="24"/>
        </w:rPr>
        <w:t xml:space="preserve"> the</w:t>
      </w:r>
      <w:r w:rsidR="000E352D">
        <w:rPr>
          <w:rFonts w:ascii="Arial" w:hAnsi="Arial" w:cs="Arial"/>
          <w:sz w:val="24"/>
          <w:szCs w:val="24"/>
        </w:rPr>
        <w:t>re is no genuine constitutional issue raised by the applicant.</w:t>
      </w:r>
      <w:r w:rsidR="007C6D29">
        <w:rPr>
          <w:rFonts w:ascii="Arial" w:hAnsi="Arial" w:cs="Arial"/>
          <w:sz w:val="24"/>
          <w:szCs w:val="24"/>
        </w:rPr>
        <w:t xml:space="preserve"> </w:t>
      </w:r>
      <w:r w:rsidR="000E352D" w:rsidRPr="000E352D">
        <w:rPr>
          <w:rFonts w:ascii="Arial" w:hAnsi="Arial" w:cs="Arial"/>
          <w:sz w:val="24"/>
          <w:szCs w:val="24"/>
        </w:rPr>
        <w:t>It was clear that the applic</w:t>
      </w:r>
      <w:r w:rsidR="00D76335">
        <w:rPr>
          <w:rFonts w:ascii="Arial" w:hAnsi="Arial" w:cs="Arial"/>
          <w:sz w:val="24"/>
          <w:szCs w:val="24"/>
        </w:rPr>
        <w:t>ant misunderstood the set criteria</w:t>
      </w:r>
      <w:r w:rsidR="000E352D" w:rsidRPr="000E352D">
        <w:rPr>
          <w:rFonts w:ascii="Arial" w:hAnsi="Arial" w:cs="Arial"/>
          <w:sz w:val="24"/>
          <w:szCs w:val="24"/>
        </w:rPr>
        <w:t xml:space="preserve"> of the </w:t>
      </w:r>
      <w:r w:rsidR="007C6D29">
        <w:rPr>
          <w:rFonts w:ascii="Arial" w:hAnsi="Arial" w:cs="Arial"/>
          <w:sz w:val="24"/>
          <w:szCs w:val="24"/>
        </w:rPr>
        <w:t>bid and it</w:t>
      </w:r>
      <w:r w:rsidR="000E352D">
        <w:rPr>
          <w:rFonts w:ascii="Arial" w:hAnsi="Arial" w:cs="Arial"/>
          <w:sz w:val="24"/>
          <w:szCs w:val="24"/>
        </w:rPr>
        <w:t>,</w:t>
      </w:r>
      <w:r w:rsidR="007C6D29">
        <w:rPr>
          <w:rFonts w:ascii="Arial" w:hAnsi="Arial" w:cs="Arial"/>
          <w:sz w:val="24"/>
          <w:szCs w:val="24"/>
        </w:rPr>
        <w:t xml:space="preserve"> </w:t>
      </w:r>
      <w:r w:rsidR="000E352D" w:rsidRPr="000E352D">
        <w:rPr>
          <w:rFonts w:ascii="Arial" w:hAnsi="Arial" w:cs="Arial"/>
          <w:sz w:val="24"/>
          <w:szCs w:val="24"/>
        </w:rPr>
        <w:t>nevertheless</w:t>
      </w:r>
      <w:r w:rsidR="000E352D">
        <w:rPr>
          <w:rFonts w:ascii="Arial" w:hAnsi="Arial" w:cs="Arial"/>
          <w:sz w:val="24"/>
          <w:szCs w:val="24"/>
        </w:rPr>
        <w:t>,</w:t>
      </w:r>
      <w:r w:rsidR="000E352D" w:rsidRPr="000E352D">
        <w:rPr>
          <w:rFonts w:ascii="Arial" w:hAnsi="Arial" w:cs="Arial"/>
          <w:sz w:val="24"/>
          <w:szCs w:val="24"/>
        </w:rPr>
        <w:t xml:space="preserve"> pursued this litigation.</w:t>
      </w:r>
      <w:r w:rsidR="000E352D">
        <w:rPr>
          <w:rFonts w:ascii="Arial" w:hAnsi="Arial" w:cs="Arial"/>
          <w:sz w:val="28"/>
          <w:szCs w:val="28"/>
        </w:rPr>
        <w:t xml:space="preserve"> </w:t>
      </w:r>
      <w:proofErr w:type="spellStart"/>
      <w:r w:rsidR="000E352D" w:rsidRPr="000E352D">
        <w:rPr>
          <w:rFonts w:ascii="Arial" w:hAnsi="Arial" w:cs="Arial"/>
          <w:i/>
          <w:sz w:val="24"/>
          <w:szCs w:val="24"/>
        </w:rPr>
        <w:t>Biowatch</w:t>
      </w:r>
      <w:proofErr w:type="spellEnd"/>
      <w:r w:rsidR="000E352D">
        <w:rPr>
          <w:rFonts w:ascii="Arial" w:hAnsi="Arial" w:cs="Arial"/>
          <w:sz w:val="24"/>
          <w:szCs w:val="24"/>
        </w:rPr>
        <w:t xml:space="preserve"> was not aimed at protecting litigants who bring frivolous </w:t>
      </w:r>
      <w:r w:rsidR="000E352D">
        <w:rPr>
          <w:rFonts w:ascii="Arial" w:hAnsi="Arial" w:cs="Arial"/>
          <w:sz w:val="24"/>
          <w:szCs w:val="24"/>
        </w:rPr>
        <w:lastRenderedPageBreak/>
        <w:t xml:space="preserve">and vexatious issues to court. The </w:t>
      </w:r>
      <w:proofErr w:type="spellStart"/>
      <w:r w:rsidR="000E352D" w:rsidRPr="000E352D">
        <w:rPr>
          <w:rFonts w:ascii="Arial" w:hAnsi="Arial" w:cs="Arial"/>
          <w:i/>
          <w:sz w:val="24"/>
          <w:szCs w:val="24"/>
        </w:rPr>
        <w:t>Biowatch</w:t>
      </w:r>
      <w:proofErr w:type="spellEnd"/>
      <w:r w:rsidR="000E352D">
        <w:rPr>
          <w:rFonts w:ascii="Arial" w:hAnsi="Arial" w:cs="Arial"/>
          <w:sz w:val="24"/>
          <w:szCs w:val="24"/>
        </w:rPr>
        <w:t xml:space="preserve"> protection is available to litigants who are raising genuine constitutional issues.</w:t>
      </w:r>
    </w:p>
    <w:p w14:paraId="6F671F4F" w14:textId="77777777" w:rsidR="000B06B1" w:rsidRPr="00F76B55" w:rsidRDefault="000B06B1" w:rsidP="006B2FE5">
      <w:pPr>
        <w:spacing w:after="0" w:line="360" w:lineRule="auto"/>
        <w:ind w:left="709" w:hanging="709"/>
        <w:jc w:val="both"/>
        <w:rPr>
          <w:rFonts w:ascii="Arial" w:hAnsi="Arial" w:cs="Arial"/>
          <w:sz w:val="24"/>
          <w:szCs w:val="24"/>
        </w:rPr>
      </w:pPr>
    </w:p>
    <w:p w14:paraId="62291EC5" w14:textId="77777777" w:rsidR="007C6D29" w:rsidRDefault="00CD1D85" w:rsidP="007C6D29">
      <w:pPr>
        <w:spacing w:after="0" w:line="360" w:lineRule="auto"/>
        <w:ind w:left="851" w:hanging="840"/>
        <w:jc w:val="both"/>
        <w:rPr>
          <w:rFonts w:ascii="Arial" w:eastAsia="Times New Roman" w:hAnsi="Arial" w:cs="Arial"/>
          <w:color w:val="000000"/>
          <w:sz w:val="24"/>
          <w:szCs w:val="24"/>
          <w:lang w:eastAsia="en-ZA"/>
        </w:rPr>
      </w:pPr>
      <w:r>
        <w:rPr>
          <w:rFonts w:ascii="Arial" w:hAnsi="Arial" w:cs="Arial"/>
          <w:sz w:val="24"/>
          <w:szCs w:val="24"/>
        </w:rPr>
        <w:t>[16</w:t>
      </w:r>
      <w:r w:rsidR="000D135A" w:rsidRPr="00F76B55">
        <w:rPr>
          <w:rFonts w:ascii="Arial" w:hAnsi="Arial" w:cs="Arial"/>
          <w:sz w:val="24"/>
          <w:szCs w:val="24"/>
        </w:rPr>
        <w:t xml:space="preserve">] </w:t>
      </w:r>
      <w:r w:rsidR="007C6D29">
        <w:rPr>
          <w:rFonts w:ascii="Arial" w:hAnsi="Arial" w:cs="Arial"/>
          <w:sz w:val="24"/>
          <w:szCs w:val="24"/>
        </w:rPr>
        <w:tab/>
      </w:r>
      <w:r w:rsidR="007C6D29" w:rsidRPr="00250BA3">
        <w:rPr>
          <w:rFonts w:ascii="Arial" w:eastAsia="Times New Roman" w:hAnsi="Arial" w:cs="Arial"/>
          <w:color w:val="000000"/>
          <w:sz w:val="24"/>
          <w:szCs w:val="24"/>
          <w:lang w:eastAsia="en-ZA"/>
        </w:rPr>
        <w:t>Having concluded that none of the grounds of appeal enjoy reasonable prospects of success, whether taken singly or cumulatively, the appl</w:t>
      </w:r>
      <w:r w:rsidR="007C6D29">
        <w:rPr>
          <w:rFonts w:ascii="Arial" w:eastAsia="Times New Roman" w:hAnsi="Arial" w:cs="Arial"/>
          <w:color w:val="000000"/>
          <w:sz w:val="24"/>
          <w:szCs w:val="24"/>
          <w:lang w:eastAsia="en-ZA"/>
        </w:rPr>
        <w:t>ication for leave to appeal ought to</w:t>
      </w:r>
      <w:r w:rsidR="007C6D29" w:rsidRPr="00250BA3">
        <w:rPr>
          <w:rFonts w:ascii="Arial" w:eastAsia="Times New Roman" w:hAnsi="Arial" w:cs="Arial"/>
          <w:color w:val="000000"/>
          <w:sz w:val="24"/>
          <w:szCs w:val="24"/>
          <w:lang w:eastAsia="en-ZA"/>
        </w:rPr>
        <w:t xml:space="preserve"> fail.</w:t>
      </w:r>
    </w:p>
    <w:p w14:paraId="5E8E5C2F" w14:textId="77777777" w:rsidR="00CD1D85" w:rsidRDefault="00CD1D85" w:rsidP="007C6D29">
      <w:pPr>
        <w:spacing w:after="0" w:line="360" w:lineRule="auto"/>
        <w:ind w:left="851" w:hanging="840"/>
        <w:jc w:val="both"/>
        <w:rPr>
          <w:rFonts w:ascii="Arial" w:eastAsia="Times New Roman" w:hAnsi="Arial" w:cs="Arial"/>
          <w:color w:val="000000"/>
          <w:sz w:val="24"/>
          <w:szCs w:val="24"/>
          <w:lang w:eastAsia="en-ZA"/>
        </w:rPr>
      </w:pPr>
    </w:p>
    <w:p w14:paraId="16735124" w14:textId="77777777" w:rsidR="00F15A6B" w:rsidRDefault="00CD1D85" w:rsidP="007C6D29">
      <w:pPr>
        <w:spacing w:after="0" w:line="360" w:lineRule="auto"/>
        <w:ind w:left="851" w:hanging="840"/>
        <w:jc w:val="both"/>
        <w:rPr>
          <w:rFonts w:ascii="Arial" w:hAnsi="Arial" w:cs="Arial"/>
          <w:sz w:val="24"/>
          <w:szCs w:val="24"/>
        </w:rPr>
      </w:pPr>
      <w:r>
        <w:rPr>
          <w:rFonts w:ascii="Arial" w:eastAsia="Times New Roman" w:hAnsi="Arial" w:cs="Arial"/>
          <w:color w:val="000000"/>
          <w:sz w:val="24"/>
          <w:szCs w:val="24"/>
          <w:lang w:eastAsia="en-ZA"/>
        </w:rPr>
        <w:t>[17</w:t>
      </w:r>
      <w:r w:rsidR="007C6D29">
        <w:rPr>
          <w:rFonts w:ascii="Arial" w:eastAsia="Times New Roman" w:hAnsi="Arial" w:cs="Arial"/>
          <w:color w:val="000000"/>
          <w:sz w:val="24"/>
          <w:szCs w:val="24"/>
          <w:lang w:eastAsia="en-ZA"/>
        </w:rPr>
        <w:t xml:space="preserve">] </w:t>
      </w:r>
      <w:r w:rsidR="007C6D29">
        <w:rPr>
          <w:rFonts w:ascii="Arial" w:eastAsia="Times New Roman" w:hAnsi="Arial" w:cs="Arial"/>
          <w:color w:val="000000"/>
          <w:sz w:val="24"/>
          <w:szCs w:val="24"/>
          <w:lang w:eastAsia="en-ZA"/>
        </w:rPr>
        <w:tab/>
        <w:t xml:space="preserve">I make the following order: </w:t>
      </w:r>
    </w:p>
    <w:p w14:paraId="60FC924A" w14:textId="77777777" w:rsidR="00BC7096" w:rsidRDefault="00BC7096" w:rsidP="006B2FE5">
      <w:pPr>
        <w:spacing w:after="0" w:line="360" w:lineRule="auto"/>
        <w:ind w:left="709" w:hanging="709"/>
        <w:jc w:val="both"/>
        <w:rPr>
          <w:rFonts w:ascii="Arial" w:hAnsi="Arial" w:cs="Arial"/>
          <w:sz w:val="24"/>
          <w:szCs w:val="24"/>
        </w:rPr>
      </w:pPr>
    </w:p>
    <w:p w14:paraId="54851445" w14:textId="012D7DB1" w:rsidR="00EF30E3" w:rsidRDefault="00FD119E" w:rsidP="006B2FE5">
      <w:pPr>
        <w:spacing w:after="0" w:line="360" w:lineRule="auto"/>
        <w:ind w:left="709" w:hanging="709"/>
        <w:jc w:val="both"/>
        <w:rPr>
          <w:rFonts w:ascii="Arial" w:hAnsi="Arial" w:cs="Arial"/>
          <w:b/>
          <w:sz w:val="24"/>
          <w:szCs w:val="24"/>
        </w:rPr>
      </w:pPr>
      <w:r>
        <w:rPr>
          <w:rFonts w:ascii="Arial" w:hAnsi="Arial" w:cs="Arial"/>
          <w:b/>
          <w:sz w:val="24"/>
          <w:szCs w:val="24"/>
        </w:rPr>
        <w:t xml:space="preserve"> Order:</w:t>
      </w:r>
      <w:r w:rsidR="00EF30E3">
        <w:rPr>
          <w:rFonts w:ascii="Arial" w:hAnsi="Arial" w:cs="Arial"/>
          <w:b/>
          <w:sz w:val="24"/>
          <w:szCs w:val="24"/>
        </w:rPr>
        <w:t xml:space="preserve"> </w:t>
      </w:r>
    </w:p>
    <w:p w14:paraId="106790C8" w14:textId="77777777" w:rsidR="00EF30E3" w:rsidRPr="00EF30E3" w:rsidRDefault="00EF30E3" w:rsidP="006B2FE5">
      <w:pPr>
        <w:spacing w:after="0" w:line="360" w:lineRule="auto"/>
        <w:ind w:left="709" w:hanging="709"/>
        <w:jc w:val="both"/>
        <w:rPr>
          <w:rFonts w:ascii="Arial" w:hAnsi="Arial" w:cs="Arial"/>
          <w:sz w:val="24"/>
          <w:szCs w:val="24"/>
        </w:rPr>
      </w:pPr>
    </w:p>
    <w:p w14:paraId="702A09D7" w14:textId="6134A856" w:rsidR="00062CB6" w:rsidRPr="00C96A0D" w:rsidRDefault="00C96A0D" w:rsidP="00C96A0D">
      <w:pPr>
        <w:spacing w:after="0" w:line="360" w:lineRule="auto"/>
        <w:ind w:left="709" w:hanging="360"/>
        <w:jc w:val="both"/>
        <w:rPr>
          <w:rFonts w:ascii="Arial" w:hAnsi="Arial" w:cs="Arial"/>
          <w:sz w:val="24"/>
          <w:szCs w:val="24"/>
        </w:rPr>
      </w:pPr>
      <w:r w:rsidRPr="00EF30E3">
        <w:rPr>
          <w:rFonts w:ascii="Arial" w:hAnsi="Arial" w:cs="Arial"/>
          <w:sz w:val="24"/>
          <w:szCs w:val="24"/>
        </w:rPr>
        <w:t>1.</w:t>
      </w:r>
      <w:r w:rsidRPr="00EF30E3">
        <w:rPr>
          <w:rFonts w:ascii="Arial" w:hAnsi="Arial" w:cs="Arial"/>
          <w:sz w:val="24"/>
          <w:szCs w:val="24"/>
        </w:rPr>
        <w:tab/>
      </w:r>
      <w:r w:rsidR="007C6D29" w:rsidRPr="00C96A0D">
        <w:rPr>
          <w:rFonts w:ascii="Arial" w:hAnsi="Arial" w:cs="Arial"/>
          <w:sz w:val="24"/>
          <w:szCs w:val="24"/>
        </w:rPr>
        <w:t xml:space="preserve">The application for leave to appeal is dismissed with costs. </w:t>
      </w:r>
    </w:p>
    <w:p w14:paraId="17C87E5C" w14:textId="33AD0791" w:rsidR="00B76A17" w:rsidRPr="00C96A0D" w:rsidRDefault="00C96A0D" w:rsidP="00C96A0D">
      <w:pPr>
        <w:spacing w:after="0" w:line="360" w:lineRule="auto"/>
        <w:ind w:left="709" w:hanging="360"/>
        <w:jc w:val="both"/>
        <w:rPr>
          <w:rFonts w:ascii="Arial" w:hAnsi="Arial" w:cs="Arial"/>
          <w:sz w:val="24"/>
          <w:szCs w:val="24"/>
        </w:rPr>
      </w:pPr>
      <w:r w:rsidRPr="00FD119E">
        <w:rPr>
          <w:rFonts w:ascii="Arial" w:hAnsi="Arial" w:cs="Arial"/>
          <w:sz w:val="24"/>
          <w:szCs w:val="24"/>
        </w:rPr>
        <w:t>2.</w:t>
      </w:r>
      <w:r w:rsidRPr="00FD119E">
        <w:rPr>
          <w:rFonts w:ascii="Arial" w:hAnsi="Arial" w:cs="Arial"/>
          <w:sz w:val="24"/>
          <w:szCs w:val="24"/>
        </w:rPr>
        <w:tab/>
      </w:r>
      <w:r w:rsidR="007C6D29" w:rsidRPr="00C96A0D">
        <w:rPr>
          <w:rFonts w:ascii="Arial" w:hAnsi="Arial" w:cs="Arial"/>
          <w:sz w:val="24"/>
          <w:szCs w:val="24"/>
        </w:rPr>
        <w:t xml:space="preserve">Costs to include </w:t>
      </w:r>
      <w:proofErr w:type="gramStart"/>
      <w:r w:rsidR="007C6D29" w:rsidRPr="00C96A0D">
        <w:rPr>
          <w:rFonts w:ascii="Arial" w:hAnsi="Arial" w:cs="Arial"/>
          <w:sz w:val="24"/>
          <w:szCs w:val="24"/>
        </w:rPr>
        <w:t>those consequent</w:t>
      </w:r>
      <w:proofErr w:type="gramEnd"/>
      <w:r w:rsidR="007C6D29" w:rsidRPr="00C96A0D">
        <w:rPr>
          <w:rFonts w:ascii="Arial" w:hAnsi="Arial" w:cs="Arial"/>
          <w:sz w:val="24"/>
          <w:szCs w:val="24"/>
        </w:rPr>
        <w:t xml:space="preserve"> in the employment of </w:t>
      </w:r>
      <w:r w:rsidR="00E46C40" w:rsidRPr="00C96A0D">
        <w:rPr>
          <w:rFonts w:ascii="Arial" w:hAnsi="Arial" w:cs="Arial"/>
          <w:sz w:val="24"/>
          <w:szCs w:val="24"/>
        </w:rPr>
        <w:t>c</w:t>
      </w:r>
      <w:r w:rsidR="007C6D29" w:rsidRPr="00C96A0D">
        <w:rPr>
          <w:rFonts w:ascii="Arial" w:hAnsi="Arial" w:cs="Arial"/>
          <w:sz w:val="24"/>
          <w:szCs w:val="24"/>
        </w:rPr>
        <w:t>ounsel</w:t>
      </w:r>
      <w:r w:rsidR="00E46C40" w:rsidRPr="00C96A0D">
        <w:rPr>
          <w:rFonts w:ascii="Arial" w:hAnsi="Arial" w:cs="Arial"/>
          <w:sz w:val="24"/>
          <w:szCs w:val="24"/>
        </w:rPr>
        <w:t>.</w:t>
      </w:r>
    </w:p>
    <w:p w14:paraId="01A44FA4" w14:textId="77777777" w:rsidR="00E103A9" w:rsidRPr="0088098E" w:rsidRDefault="00E103A9" w:rsidP="00A66EF9">
      <w:pPr>
        <w:spacing w:after="0" w:line="360" w:lineRule="auto"/>
        <w:ind w:left="1440" w:hanging="720"/>
        <w:jc w:val="both"/>
        <w:rPr>
          <w:rFonts w:ascii="Arial" w:hAnsi="Arial" w:cs="Arial"/>
          <w:sz w:val="24"/>
          <w:szCs w:val="24"/>
        </w:rPr>
      </w:pPr>
    </w:p>
    <w:p w14:paraId="178FED3E" w14:textId="4467489F" w:rsidR="00D30D55" w:rsidRPr="00C96A0D" w:rsidRDefault="00E46C40" w:rsidP="00D30D55">
      <w:pPr>
        <w:pStyle w:val="BodyA"/>
        <w:pBdr>
          <w:top w:val="none" w:sz="0" w:space="0" w:color="auto"/>
          <w:left w:val="none" w:sz="0" w:space="0" w:color="auto"/>
          <w:bottom w:val="none" w:sz="0" w:space="0" w:color="auto"/>
          <w:right w:val="none" w:sz="0" w:space="0" w:color="auto"/>
          <w:bar w:val="none" w:sz="0" w:color="auto"/>
        </w:pBdr>
        <w:jc w:val="right"/>
        <w:rPr>
          <w:rFonts w:ascii="Arial" w:hAnsi="Arial" w:cs="Arial"/>
          <w:sz w:val="24"/>
          <w:szCs w:val="24"/>
          <w:lang w:val="pt-BR"/>
        </w:rPr>
      </w:pPr>
      <w:r w:rsidRPr="00C96A0D">
        <w:rPr>
          <w:rFonts w:ascii="Arial" w:hAnsi="Arial"/>
          <w:sz w:val="24"/>
          <w:szCs w:val="24"/>
          <w:lang w:val="pt-BR"/>
        </w:rPr>
        <w:t>________________</w:t>
      </w:r>
    </w:p>
    <w:p w14:paraId="078D32E1" w14:textId="77777777" w:rsidR="00D30D55" w:rsidRPr="00C96A0D" w:rsidRDefault="00B6513A" w:rsidP="00D30D55">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b/>
          <w:bCs/>
          <w:sz w:val="24"/>
          <w:szCs w:val="24"/>
          <w:lang w:val="pt-BR"/>
        </w:rPr>
      </w:pPr>
      <w:r w:rsidRPr="00C96A0D">
        <w:rPr>
          <w:rFonts w:ascii="Arial" w:hAnsi="Arial"/>
          <w:b/>
          <w:bCs/>
          <w:sz w:val="24"/>
          <w:szCs w:val="24"/>
          <w:lang w:val="pt-BR"/>
        </w:rPr>
        <w:t>NM MBHELE</w:t>
      </w:r>
      <w:r w:rsidR="00D30D55" w:rsidRPr="00C96A0D">
        <w:rPr>
          <w:rFonts w:ascii="Arial" w:hAnsi="Arial"/>
          <w:b/>
          <w:bCs/>
          <w:sz w:val="24"/>
          <w:szCs w:val="24"/>
          <w:lang w:val="pt-BR"/>
        </w:rPr>
        <w:t xml:space="preserve">, </w:t>
      </w:r>
      <w:r w:rsidR="00861687" w:rsidRPr="00C96A0D">
        <w:rPr>
          <w:rFonts w:ascii="Arial" w:hAnsi="Arial"/>
          <w:b/>
          <w:bCs/>
          <w:sz w:val="24"/>
          <w:szCs w:val="24"/>
          <w:lang w:val="pt-BR"/>
        </w:rPr>
        <w:t>AJ</w:t>
      </w:r>
      <w:r w:rsidRPr="00C96A0D">
        <w:rPr>
          <w:rFonts w:ascii="Arial" w:hAnsi="Arial"/>
          <w:b/>
          <w:bCs/>
          <w:sz w:val="24"/>
          <w:szCs w:val="24"/>
          <w:lang w:val="pt-BR"/>
        </w:rPr>
        <w:t>P</w:t>
      </w:r>
    </w:p>
    <w:p w14:paraId="4EE58810" w14:textId="77777777" w:rsidR="00684537" w:rsidRPr="00C96A0D" w:rsidRDefault="00684537" w:rsidP="00D30D55">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b/>
          <w:bCs/>
          <w:sz w:val="24"/>
          <w:szCs w:val="24"/>
          <w:lang w:val="pt-BR"/>
        </w:rPr>
      </w:pPr>
    </w:p>
    <w:p w14:paraId="56A1B759" w14:textId="77777777" w:rsidR="00684537" w:rsidRPr="00C96A0D" w:rsidRDefault="00684537" w:rsidP="00684537">
      <w:pPr>
        <w:rPr>
          <w:rFonts w:ascii="Arial" w:hAnsi="Arial" w:cs="Arial"/>
          <w:sz w:val="24"/>
          <w:szCs w:val="24"/>
          <w:lang w:val="pt-BR"/>
        </w:rPr>
      </w:pPr>
      <w:r w:rsidRPr="00C96A0D">
        <w:rPr>
          <w:rFonts w:ascii="Arial" w:hAnsi="Arial" w:cs="Arial"/>
          <w:sz w:val="24"/>
          <w:szCs w:val="24"/>
          <w:lang w:val="pt-BR"/>
        </w:rPr>
        <w:t xml:space="preserve">I concur                                                             </w:t>
      </w:r>
    </w:p>
    <w:p w14:paraId="1503B849" w14:textId="0364281A" w:rsidR="00684537" w:rsidRPr="00C96A0D" w:rsidRDefault="00684537" w:rsidP="00E46C40">
      <w:pPr>
        <w:spacing w:after="0" w:line="240" w:lineRule="auto"/>
        <w:ind w:left="7200" w:hanging="709"/>
        <w:jc w:val="both"/>
        <w:rPr>
          <w:rFonts w:ascii="Arial" w:hAnsi="Arial" w:cs="Arial"/>
          <w:sz w:val="24"/>
          <w:szCs w:val="24"/>
          <w:lang w:val="pt-BR"/>
        </w:rPr>
      </w:pPr>
      <w:r w:rsidRPr="00C96A0D">
        <w:rPr>
          <w:rFonts w:ascii="Arial" w:hAnsi="Arial" w:cs="Arial"/>
          <w:sz w:val="24"/>
          <w:szCs w:val="24"/>
          <w:lang w:val="pt-BR"/>
        </w:rPr>
        <w:t xml:space="preserve">                                                                                     </w:t>
      </w:r>
      <w:r w:rsidR="00E46C40" w:rsidRPr="00C96A0D">
        <w:rPr>
          <w:rFonts w:ascii="Arial" w:hAnsi="Arial" w:cs="Arial"/>
          <w:sz w:val="24"/>
          <w:szCs w:val="24"/>
          <w:lang w:val="pt-BR"/>
        </w:rPr>
        <w:t xml:space="preserve">             ____________</w:t>
      </w:r>
    </w:p>
    <w:p w14:paraId="4AC19206" w14:textId="69966675" w:rsidR="00684537" w:rsidRDefault="00684537" w:rsidP="00E46C40">
      <w:pPr>
        <w:pStyle w:val="BodyAAA"/>
        <w:pBdr>
          <w:top w:val="none" w:sz="0" w:space="0" w:color="auto"/>
          <w:left w:val="none" w:sz="0" w:space="0" w:color="auto"/>
          <w:bottom w:val="none" w:sz="0" w:space="0" w:color="auto"/>
          <w:right w:val="none" w:sz="0" w:space="0" w:color="auto"/>
          <w:bar w:val="none" w:sz="0" w:color="auto"/>
        </w:pBdr>
        <w:ind w:left="709" w:hanging="709"/>
        <w:jc w:val="both"/>
        <w:rPr>
          <w:rFonts w:ascii="Arial" w:hAnsi="Arial" w:cs="Arial"/>
          <w:b/>
          <w:bCs/>
          <w:sz w:val="24"/>
          <w:szCs w:val="24"/>
        </w:rPr>
      </w:pPr>
      <w:r w:rsidRPr="00C96A0D">
        <w:rPr>
          <w:rFonts w:ascii="Arial" w:hAnsi="Arial" w:cs="Arial"/>
          <w:b/>
          <w:bCs/>
          <w:sz w:val="24"/>
          <w:szCs w:val="24"/>
          <w:lang w:val="pt-BR"/>
        </w:rPr>
        <w:tab/>
      </w:r>
      <w:r w:rsidRPr="00C96A0D">
        <w:rPr>
          <w:rFonts w:ascii="Arial" w:hAnsi="Arial" w:cs="Arial"/>
          <w:b/>
          <w:bCs/>
          <w:sz w:val="24"/>
          <w:szCs w:val="24"/>
          <w:lang w:val="pt-BR"/>
        </w:rPr>
        <w:tab/>
      </w:r>
      <w:r w:rsidRPr="00C96A0D">
        <w:rPr>
          <w:rFonts w:ascii="Arial" w:hAnsi="Arial" w:cs="Arial"/>
          <w:b/>
          <w:bCs/>
          <w:sz w:val="24"/>
          <w:szCs w:val="24"/>
          <w:lang w:val="pt-BR"/>
        </w:rPr>
        <w:tab/>
      </w:r>
      <w:r w:rsidRPr="00C96A0D">
        <w:rPr>
          <w:rFonts w:ascii="Arial" w:hAnsi="Arial" w:cs="Arial"/>
          <w:b/>
          <w:bCs/>
          <w:sz w:val="24"/>
          <w:szCs w:val="24"/>
          <w:lang w:val="pt-BR"/>
        </w:rPr>
        <w:tab/>
      </w:r>
      <w:r w:rsidRPr="00C96A0D">
        <w:rPr>
          <w:rFonts w:ascii="Arial" w:hAnsi="Arial" w:cs="Arial"/>
          <w:b/>
          <w:bCs/>
          <w:sz w:val="24"/>
          <w:szCs w:val="24"/>
          <w:lang w:val="pt-BR"/>
        </w:rPr>
        <w:tab/>
      </w:r>
      <w:r w:rsidRPr="00C96A0D">
        <w:rPr>
          <w:rFonts w:ascii="Arial" w:hAnsi="Arial" w:cs="Arial"/>
          <w:b/>
          <w:bCs/>
          <w:sz w:val="24"/>
          <w:szCs w:val="24"/>
          <w:lang w:val="pt-BR"/>
        </w:rPr>
        <w:tab/>
      </w:r>
      <w:r w:rsidRPr="00C96A0D">
        <w:rPr>
          <w:rFonts w:ascii="Arial" w:hAnsi="Arial" w:cs="Arial"/>
          <w:b/>
          <w:bCs/>
          <w:sz w:val="24"/>
          <w:szCs w:val="24"/>
          <w:lang w:val="pt-BR"/>
        </w:rPr>
        <w:tab/>
      </w:r>
      <w:r w:rsidRPr="00C96A0D">
        <w:rPr>
          <w:rFonts w:ascii="Arial" w:hAnsi="Arial" w:cs="Arial"/>
          <w:b/>
          <w:bCs/>
          <w:sz w:val="24"/>
          <w:szCs w:val="24"/>
          <w:lang w:val="pt-BR"/>
        </w:rPr>
        <w:tab/>
      </w:r>
      <w:r w:rsidRPr="00C96A0D">
        <w:rPr>
          <w:rFonts w:ascii="Arial" w:hAnsi="Arial" w:cs="Arial"/>
          <w:b/>
          <w:bCs/>
          <w:sz w:val="24"/>
          <w:szCs w:val="24"/>
          <w:lang w:val="pt-BR"/>
        </w:rPr>
        <w:tab/>
      </w:r>
      <w:r w:rsidRPr="00C96A0D">
        <w:rPr>
          <w:rFonts w:ascii="Arial" w:hAnsi="Arial" w:cs="Arial"/>
          <w:b/>
          <w:bCs/>
          <w:sz w:val="24"/>
          <w:szCs w:val="24"/>
          <w:lang w:val="pt-BR"/>
        </w:rPr>
        <w:tab/>
      </w:r>
      <w:r w:rsidR="00E46C40" w:rsidRPr="00C96A0D">
        <w:rPr>
          <w:rFonts w:ascii="Arial" w:hAnsi="Arial" w:cs="Arial"/>
          <w:b/>
          <w:bCs/>
          <w:sz w:val="24"/>
          <w:szCs w:val="24"/>
          <w:lang w:val="pt-BR"/>
        </w:rPr>
        <w:tab/>
      </w:r>
      <w:r>
        <w:rPr>
          <w:rFonts w:ascii="Arial" w:hAnsi="Arial" w:cs="Arial"/>
          <w:b/>
          <w:bCs/>
          <w:sz w:val="24"/>
          <w:szCs w:val="24"/>
        </w:rPr>
        <w:t>NS DANISO, J</w:t>
      </w:r>
    </w:p>
    <w:p w14:paraId="7F0BD149" w14:textId="77777777" w:rsidR="00684537" w:rsidRDefault="00684537" w:rsidP="00D30D55">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cs="Arial"/>
          <w:b/>
          <w:bCs/>
          <w:sz w:val="24"/>
          <w:szCs w:val="24"/>
        </w:rPr>
      </w:pPr>
    </w:p>
    <w:p w14:paraId="0548593E" w14:textId="77777777" w:rsidR="00D30D55" w:rsidRPr="00E46C40"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Cs/>
          <w:sz w:val="24"/>
          <w:szCs w:val="24"/>
        </w:rPr>
      </w:pPr>
      <w:r w:rsidRPr="00E46C40">
        <w:rPr>
          <w:rFonts w:ascii="Arial" w:hAnsi="Arial" w:cs="Arial"/>
          <w:bCs/>
          <w:sz w:val="24"/>
          <w:szCs w:val="24"/>
        </w:rPr>
        <w:t>Appearances:</w:t>
      </w:r>
    </w:p>
    <w:p w14:paraId="43944477" w14:textId="77777777" w:rsidR="00966EA0" w:rsidRPr="00EC0D35" w:rsidRDefault="00966EA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p>
    <w:p w14:paraId="2A1351C3" w14:textId="7DC5699B" w:rsidR="00D30D55"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7C6D29">
        <w:rPr>
          <w:rFonts w:ascii="Arial" w:hAnsi="Arial" w:cs="Arial"/>
          <w:sz w:val="24"/>
          <w:szCs w:val="24"/>
        </w:rPr>
        <w:t>Applicants</w:t>
      </w:r>
      <w:r w:rsidRPr="00EC0D35">
        <w:rPr>
          <w:rFonts w:ascii="Arial" w:hAnsi="Arial" w:cs="Arial"/>
          <w:sz w:val="24"/>
          <w:szCs w:val="24"/>
        </w:rPr>
        <w:t>:</w:t>
      </w:r>
      <w:r w:rsidRPr="00EC0D35">
        <w:rPr>
          <w:rFonts w:ascii="Arial" w:hAnsi="Arial" w:cs="Arial"/>
          <w:sz w:val="24"/>
          <w:szCs w:val="24"/>
        </w:rPr>
        <w:tab/>
      </w:r>
      <w:r w:rsidR="00E46C40">
        <w:rPr>
          <w:rFonts w:ascii="Arial" w:hAnsi="Arial" w:cs="Arial"/>
          <w:sz w:val="24"/>
          <w:szCs w:val="24"/>
        </w:rPr>
        <w:tab/>
      </w:r>
      <w:r w:rsidR="00E46C40">
        <w:rPr>
          <w:rFonts w:ascii="Arial" w:hAnsi="Arial" w:cs="Arial"/>
          <w:sz w:val="24"/>
          <w:szCs w:val="24"/>
        </w:rPr>
        <w:tab/>
      </w:r>
      <w:r w:rsidR="00E46C40">
        <w:rPr>
          <w:rFonts w:ascii="Arial" w:hAnsi="Arial" w:cs="Arial"/>
          <w:sz w:val="24"/>
          <w:szCs w:val="24"/>
        </w:rPr>
        <w:tab/>
      </w:r>
      <w:r w:rsidR="00C152C3">
        <w:rPr>
          <w:rFonts w:ascii="Arial" w:hAnsi="Arial" w:cs="Arial"/>
          <w:sz w:val="24"/>
          <w:szCs w:val="24"/>
        </w:rPr>
        <w:t>Adv</w:t>
      </w:r>
      <w:r w:rsidR="008601D9">
        <w:rPr>
          <w:rFonts w:ascii="Arial" w:hAnsi="Arial" w:cs="Arial"/>
          <w:sz w:val="24"/>
          <w:szCs w:val="24"/>
        </w:rPr>
        <w:t>.</w:t>
      </w:r>
      <w:r w:rsidR="00C152C3">
        <w:rPr>
          <w:rFonts w:ascii="Arial" w:hAnsi="Arial" w:cs="Arial"/>
          <w:sz w:val="24"/>
          <w:szCs w:val="24"/>
        </w:rPr>
        <w:t xml:space="preserve"> </w:t>
      </w:r>
      <w:r w:rsidR="007C6D29">
        <w:rPr>
          <w:rFonts w:ascii="Arial" w:hAnsi="Arial" w:cs="Arial"/>
          <w:sz w:val="24"/>
          <w:szCs w:val="24"/>
        </w:rPr>
        <w:t>W</w:t>
      </w:r>
      <w:r w:rsidR="00E46C40">
        <w:rPr>
          <w:rFonts w:ascii="Arial" w:hAnsi="Arial" w:cs="Arial"/>
          <w:sz w:val="24"/>
          <w:szCs w:val="24"/>
        </w:rPr>
        <w:t xml:space="preserve"> A </w:t>
      </w:r>
      <w:r w:rsidR="007C6D29">
        <w:rPr>
          <w:rFonts w:ascii="Arial" w:hAnsi="Arial" w:cs="Arial"/>
          <w:sz w:val="24"/>
          <w:szCs w:val="24"/>
        </w:rPr>
        <w:t>Van Aswegen</w:t>
      </w:r>
    </w:p>
    <w:p w14:paraId="42347916" w14:textId="4420D7C6" w:rsidR="00BC7096" w:rsidRDefault="00C461A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Instructed by</w:t>
      </w:r>
      <w:r w:rsidR="00E46C40">
        <w:rPr>
          <w:rFonts w:ascii="Arial" w:hAnsi="Arial" w:cs="Arial"/>
          <w:sz w:val="24"/>
          <w:szCs w:val="24"/>
        </w:rPr>
        <w:t>:</w:t>
      </w:r>
      <w:r w:rsidR="00E46C40">
        <w:rPr>
          <w:rFonts w:ascii="Arial" w:hAnsi="Arial" w:cs="Arial"/>
          <w:sz w:val="24"/>
          <w:szCs w:val="24"/>
        </w:rPr>
        <w:tab/>
      </w:r>
      <w:r w:rsidR="00E46C40">
        <w:rPr>
          <w:rFonts w:ascii="Arial" w:hAnsi="Arial" w:cs="Arial"/>
          <w:sz w:val="24"/>
          <w:szCs w:val="24"/>
        </w:rPr>
        <w:tab/>
      </w:r>
      <w:r w:rsidR="00E46C40">
        <w:rPr>
          <w:rFonts w:ascii="Arial" w:hAnsi="Arial" w:cs="Arial"/>
          <w:sz w:val="24"/>
          <w:szCs w:val="24"/>
        </w:rPr>
        <w:tab/>
      </w:r>
      <w:r w:rsidR="00E46C40">
        <w:rPr>
          <w:rFonts w:ascii="Arial" w:hAnsi="Arial" w:cs="Arial"/>
          <w:sz w:val="24"/>
          <w:szCs w:val="24"/>
        </w:rPr>
        <w:tab/>
        <w:t>Symington &amp; De Kok Incorporated</w:t>
      </w:r>
      <w:r w:rsidR="00E46C40">
        <w:rPr>
          <w:rFonts w:ascii="Arial" w:hAnsi="Arial" w:cs="Arial"/>
          <w:sz w:val="24"/>
          <w:szCs w:val="24"/>
        </w:rPr>
        <w:tab/>
      </w:r>
    </w:p>
    <w:p w14:paraId="53EDDC1D" w14:textId="0C9BF35A" w:rsidR="00C461A0" w:rsidRPr="00E46C40" w:rsidRDefault="00E46C40" w:rsidP="00E46C40">
      <w:pPr>
        <w:pStyle w:val="BodyAAA"/>
        <w:pBdr>
          <w:top w:val="none" w:sz="0" w:space="0" w:color="auto"/>
          <w:left w:val="none" w:sz="0" w:space="0" w:color="auto"/>
          <w:bottom w:val="none" w:sz="0" w:space="0" w:color="auto"/>
          <w:right w:val="none" w:sz="0" w:space="0" w:color="auto"/>
          <w:bar w:val="none" w:sz="0" w:color="auto"/>
        </w:pBdr>
        <w:spacing w:line="360" w:lineRule="auto"/>
        <w:ind w:left="4309" w:firstLine="11"/>
        <w:jc w:val="both"/>
        <w:rPr>
          <w:rFonts w:ascii="Arial" w:hAnsi="Arial" w:cs="Arial"/>
          <w:b/>
          <w:sz w:val="24"/>
          <w:szCs w:val="24"/>
        </w:rPr>
      </w:pPr>
      <w:r w:rsidRPr="00E46C40">
        <w:rPr>
          <w:rFonts w:ascii="Arial" w:hAnsi="Arial" w:cs="Arial"/>
          <w:b/>
          <w:sz w:val="24"/>
          <w:szCs w:val="24"/>
        </w:rPr>
        <w:t>BLOEMFONTEIN</w:t>
      </w:r>
    </w:p>
    <w:p w14:paraId="6722183A" w14:textId="77777777" w:rsidR="00D30D55" w:rsidRPr="00EC0D35" w:rsidRDefault="00D30D55" w:rsidP="00D30D55">
      <w:pPr>
        <w:pStyle w:val="BodyAA"/>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14:paraId="22086527" w14:textId="62934235" w:rsidR="00966EA0" w:rsidRDefault="00D30D55" w:rsidP="00966E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966EA0">
        <w:rPr>
          <w:rFonts w:ascii="Arial" w:hAnsi="Arial" w:cs="Arial"/>
          <w:sz w:val="24"/>
          <w:szCs w:val="24"/>
        </w:rPr>
        <w:t xml:space="preserve">Respondents: </w:t>
      </w:r>
      <w:r w:rsidR="00E46C40">
        <w:rPr>
          <w:rFonts w:ascii="Arial" w:hAnsi="Arial" w:cs="Arial"/>
          <w:sz w:val="24"/>
          <w:szCs w:val="24"/>
        </w:rPr>
        <w:tab/>
      </w:r>
      <w:r w:rsidR="00E46C40">
        <w:rPr>
          <w:rFonts w:ascii="Arial" w:hAnsi="Arial" w:cs="Arial"/>
          <w:sz w:val="24"/>
          <w:szCs w:val="24"/>
        </w:rPr>
        <w:tab/>
      </w:r>
      <w:r w:rsidR="00E46C40">
        <w:rPr>
          <w:rFonts w:ascii="Arial" w:hAnsi="Arial" w:cs="Arial"/>
          <w:sz w:val="24"/>
          <w:szCs w:val="24"/>
        </w:rPr>
        <w:tab/>
      </w:r>
      <w:r w:rsidR="00FD119E" w:rsidRPr="00EC0D35">
        <w:rPr>
          <w:rFonts w:ascii="Arial" w:hAnsi="Arial" w:cs="Arial"/>
          <w:sz w:val="24"/>
          <w:szCs w:val="24"/>
        </w:rPr>
        <w:t>Adv.</w:t>
      </w:r>
      <w:r w:rsidR="007C6D29">
        <w:rPr>
          <w:rFonts w:ascii="Arial" w:hAnsi="Arial" w:cs="Arial"/>
          <w:sz w:val="24"/>
          <w:szCs w:val="24"/>
        </w:rPr>
        <w:t xml:space="preserve"> D</w:t>
      </w:r>
      <w:r w:rsidR="00E46C40">
        <w:rPr>
          <w:rFonts w:ascii="Arial" w:hAnsi="Arial" w:cs="Arial"/>
          <w:sz w:val="24"/>
          <w:szCs w:val="24"/>
        </w:rPr>
        <w:t xml:space="preserve"> </w:t>
      </w:r>
      <w:r w:rsidR="007C6D29">
        <w:rPr>
          <w:rFonts w:ascii="Arial" w:hAnsi="Arial" w:cs="Arial"/>
          <w:sz w:val="24"/>
          <w:szCs w:val="24"/>
        </w:rPr>
        <w:t>R</w:t>
      </w:r>
      <w:r w:rsidR="00E46C40">
        <w:rPr>
          <w:rFonts w:ascii="Arial" w:hAnsi="Arial" w:cs="Arial"/>
          <w:sz w:val="24"/>
          <w:szCs w:val="24"/>
        </w:rPr>
        <w:t xml:space="preserve"> </w:t>
      </w:r>
      <w:r w:rsidR="007C6D29">
        <w:rPr>
          <w:rFonts w:ascii="Arial" w:hAnsi="Arial" w:cs="Arial"/>
          <w:sz w:val="24"/>
          <w:szCs w:val="24"/>
        </w:rPr>
        <w:t>Thompson</w:t>
      </w:r>
    </w:p>
    <w:p w14:paraId="371D5B37" w14:textId="0C3BF77A" w:rsidR="007C6D29" w:rsidRDefault="007C6D29" w:rsidP="007C6D2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Instructed by</w:t>
      </w:r>
      <w:r>
        <w:rPr>
          <w:rFonts w:ascii="Arial" w:hAnsi="Arial" w:cs="Arial"/>
          <w:sz w:val="24"/>
          <w:szCs w:val="24"/>
        </w:rPr>
        <w:tab/>
        <w:t xml:space="preserve">: </w:t>
      </w:r>
      <w:r w:rsidR="00E46C40">
        <w:rPr>
          <w:rFonts w:ascii="Arial" w:hAnsi="Arial" w:cs="Arial"/>
          <w:sz w:val="24"/>
          <w:szCs w:val="24"/>
        </w:rPr>
        <w:tab/>
      </w:r>
      <w:r w:rsidR="00E46C40">
        <w:rPr>
          <w:rFonts w:ascii="Arial" w:hAnsi="Arial" w:cs="Arial"/>
          <w:sz w:val="24"/>
          <w:szCs w:val="24"/>
        </w:rPr>
        <w:tab/>
      </w:r>
      <w:r w:rsidR="00E46C40">
        <w:rPr>
          <w:rFonts w:ascii="Arial" w:hAnsi="Arial" w:cs="Arial"/>
          <w:sz w:val="24"/>
          <w:szCs w:val="24"/>
        </w:rPr>
        <w:tab/>
      </w:r>
      <w:r w:rsidR="00E46C40">
        <w:rPr>
          <w:rFonts w:ascii="Arial" w:hAnsi="Arial" w:cs="Arial"/>
          <w:sz w:val="24"/>
          <w:szCs w:val="24"/>
        </w:rPr>
        <w:tab/>
      </w:r>
      <w:r>
        <w:rPr>
          <w:rFonts w:ascii="Arial" w:hAnsi="Arial" w:cs="Arial"/>
          <w:sz w:val="24"/>
          <w:szCs w:val="24"/>
        </w:rPr>
        <w:t>R</w:t>
      </w:r>
      <w:r w:rsidR="00E46C40">
        <w:rPr>
          <w:rFonts w:ascii="Arial" w:hAnsi="Arial" w:cs="Arial"/>
          <w:sz w:val="24"/>
          <w:szCs w:val="24"/>
        </w:rPr>
        <w:t>aynard</w:t>
      </w:r>
      <w:r>
        <w:rPr>
          <w:rFonts w:ascii="Arial" w:hAnsi="Arial" w:cs="Arial"/>
          <w:sz w:val="24"/>
          <w:szCs w:val="24"/>
        </w:rPr>
        <w:t xml:space="preserve"> &amp; A</w:t>
      </w:r>
      <w:r w:rsidR="00E46C40">
        <w:rPr>
          <w:rFonts w:ascii="Arial" w:hAnsi="Arial" w:cs="Arial"/>
          <w:sz w:val="24"/>
          <w:szCs w:val="24"/>
        </w:rPr>
        <w:t>ssociates</w:t>
      </w:r>
    </w:p>
    <w:p w14:paraId="56E5F6F7" w14:textId="6CC6B4AE" w:rsidR="00E46C40" w:rsidRPr="00E46C40" w:rsidRDefault="00E46C40" w:rsidP="00E46C40">
      <w:pPr>
        <w:pStyle w:val="BodyAAA"/>
        <w:pBdr>
          <w:top w:val="none" w:sz="0" w:space="0" w:color="auto"/>
          <w:left w:val="none" w:sz="0" w:space="0" w:color="auto"/>
          <w:bottom w:val="none" w:sz="0" w:space="0" w:color="auto"/>
          <w:right w:val="none" w:sz="0" w:space="0" w:color="auto"/>
          <w:bar w:val="none" w:sz="0" w:color="auto"/>
        </w:pBdr>
        <w:spacing w:line="360" w:lineRule="auto"/>
        <w:ind w:left="4309" w:firstLine="11"/>
        <w:jc w:val="both"/>
        <w:rPr>
          <w:rFonts w:ascii="Arial" w:hAnsi="Arial" w:cs="Arial"/>
          <w:b/>
          <w:sz w:val="24"/>
          <w:szCs w:val="24"/>
        </w:rPr>
      </w:pPr>
      <w:r w:rsidRPr="00E46C40">
        <w:rPr>
          <w:rFonts w:ascii="Arial" w:hAnsi="Arial" w:cs="Arial"/>
          <w:b/>
          <w:sz w:val="24"/>
          <w:szCs w:val="24"/>
        </w:rPr>
        <w:t>BLOEMFONTEIN</w:t>
      </w:r>
    </w:p>
    <w:p w14:paraId="7391B7B1" w14:textId="5E5D8275" w:rsidR="00E46C40" w:rsidRDefault="00E46C40" w:rsidP="007C6D2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p>
    <w:sectPr w:rsidR="00E46C40" w:rsidSect="005A0C6B">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97D9" w14:textId="77777777" w:rsidR="008F3A7D" w:rsidRDefault="008F3A7D" w:rsidP="00454B2B">
      <w:pPr>
        <w:spacing w:after="0" w:line="240" w:lineRule="auto"/>
      </w:pPr>
      <w:r>
        <w:separator/>
      </w:r>
    </w:p>
  </w:endnote>
  <w:endnote w:type="continuationSeparator" w:id="0">
    <w:p w14:paraId="12777CEE" w14:textId="77777777" w:rsidR="008F3A7D" w:rsidRDefault="008F3A7D"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21002A87"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DEBD" w14:textId="77777777" w:rsidR="008F3A7D" w:rsidRDefault="008F3A7D" w:rsidP="00454B2B">
      <w:pPr>
        <w:spacing w:after="0" w:line="240" w:lineRule="auto"/>
      </w:pPr>
      <w:r>
        <w:separator/>
      </w:r>
    </w:p>
  </w:footnote>
  <w:footnote w:type="continuationSeparator" w:id="0">
    <w:p w14:paraId="6F75442B" w14:textId="77777777" w:rsidR="008F3A7D" w:rsidRDefault="008F3A7D" w:rsidP="00454B2B">
      <w:pPr>
        <w:spacing w:after="0" w:line="240" w:lineRule="auto"/>
      </w:pPr>
      <w:r>
        <w:continuationSeparator/>
      </w:r>
    </w:p>
  </w:footnote>
  <w:footnote w:id="1">
    <w:p w14:paraId="248E741B" w14:textId="78FD7ED7" w:rsidR="000928F7" w:rsidRPr="004576C9" w:rsidRDefault="000928F7" w:rsidP="000928F7">
      <w:pPr>
        <w:pStyle w:val="FootnoteText"/>
        <w:rPr>
          <w:rFonts w:ascii="Calibri" w:hAnsi="Calibri" w:cs="Calibri"/>
          <w:lang w:val="en-US"/>
        </w:rPr>
      </w:pPr>
      <w:r w:rsidRPr="004576C9">
        <w:rPr>
          <w:rStyle w:val="FootnoteReference"/>
          <w:rFonts w:ascii="Calibri" w:hAnsi="Calibri" w:cs="Calibri"/>
        </w:rPr>
        <w:footnoteRef/>
      </w:r>
      <w:r w:rsidRPr="004576C9">
        <w:rPr>
          <w:rFonts w:ascii="Calibri" w:hAnsi="Calibri" w:cs="Calibri"/>
        </w:rPr>
        <w:t xml:space="preserve"> </w:t>
      </w:r>
      <w:proofErr w:type="spellStart"/>
      <w:r w:rsidRPr="004576C9">
        <w:rPr>
          <w:rFonts w:ascii="Calibri" w:hAnsi="Calibri" w:cs="Calibri"/>
          <w:i/>
          <w:lang w:val="en-US"/>
        </w:rPr>
        <w:t>Mothuloe</w:t>
      </w:r>
      <w:proofErr w:type="spellEnd"/>
      <w:r w:rsidRPr="004576C9">
        <w:rPr>
          <w:rFonts w:ascii="Calibri" w:hAnsi="Calibri" w:cs="Calibri"/>
          <w:i/>
          <w:lang w:val="en-US"/>
        </w:rPr>
        <w:t xml:space="preserve"> Incorporated Attorneys v The Law Society of the Northern Province</w:t>
      </w:r>
      <w:r w:rsidRPr="004576C9">
        <w:rPr>
          <w:rFonts w:ascii="Calibri" w:hAnsi="Calibri" w:cs="Calibri"/>
          <w:lang w:val="en-US"/>
        </w:rPr>
        <w:t xml:space="preserve"> 2017 JDR 533 (SCA) at para 18</w:t>
      </w:r>
      <w:r w:rsidR="004576C9">
        <w:rPr>
          <w:rFonts w:ascii="Calibri" w:hAnsi="Calibri" w:cs="Calibri"/>
          <w:lang w:val="en-US"/>
        </w:rPr>
        <w:t>.</w:t>
      </w:r>
    </w:p>
  </w:footnote>
  <w:footnote w:id="2">
    <w:p w14:paraId="0808F02D" w14:textId="77777777" w:rsidR="00CF2BAB" w:rsidRPr="004576C9" w:rsidRDefault="00CF2BAB" w:rsidP="00CF2BAB">
      <w:pPr>
        <w:pStyle w:val="FootnoteText"/>
        <w:rPr>
          <w:rFonts w:ascii="Calibri" w:hAnsi="Calibri" w:cs="Calibri"/>
        </w:rPr>
      </w:pPr>
      <w:r w:rsidRPr="004576C9">
        <w:rPr>
          <w:rStyle w:val="FootnoteReference"/>
          <w:rFonts w:ascii="Calibri" w:hAnsi="Calibri" w:cs="Calibri"/>
        </w:rPr>
        <w:footnoteRef/>
      </w:r>
      <w:r w:rsidRPr="004576C9">
        <w:rPr>
          <w:rFonts w:ascii="Calibri" w:hAnsi="Calibri" w:cs="Calibri"/>
        </w:rPr>
        <w:t xml:space="preserve"> (21424/2020) [2020] ZAGPPHC 326(29 July 2020) paras [4] – [5].</w:t>
      </w:r>
    </w:p>
  </w:footnote>
  <w:footnote w:id="3">
    <w:p w14:paraId="59F2A2F2" w14:textId="65D6C9C0" w:rsidR="000928F7" w:rsidRPr="0070333E" w:rsidRDefault="000928F7" w:rsidP="000928F7">
      <w:pPr>
        <w:pStyle w:val="FootnoteText"/>
        <w:rPr>
          <w:rFonts w:ascii="Arial" w:hAnsi="Arial" w:cs="Arial"/>
          <w:sz w:val="16"/>
          <w:szCs w:val="16"/>
          <w:lang w:val="en-US"/>
        </w:rPr>
      </w:pPr>
      <w:r>
        <w:rPr>
          <w:rStyle w:val="FootnoteReference"/>
        </w:rPr>
        <w:footnoteRef/>
      </w:r>
      <w:r>
        <w:t xml:space="preserve">   </w:t>
      </w:r>
      <w:r w:rsidRPr="00C24F0E">
        <w:rPr>
          <w:rFonts w:ascii="Arial" w:hAnsi="Arial" w:cs="Arial"/>
          <w:sz w:val="16"/>
          <w:szCs w:val="16"/>
        </w:rPr>
        <w:t xml:space="preserve">Unreported judgment of the </w:t>
      </w:r>
      <w:r w:rsidRPr="00C24F0E">
        <w:rPr>
          <w:rFonts w:ascii="Arial" w:hAnsi="Arial" w:cs="Arial"/>
          <w:sz w:val="16"/>
          <w:szCs w:val="16"/>
          <w:lang w:val="en-US"/>
        </w:rPr>
        <w:t>Land Claims Court of South Africa Case No LCC 14R/2014</w:t>
      </w:r>
      <w:r>
        <w:rPr>
          <w:lang w:val="en-US"/>
        </w:rPr>
        <w:t xml:space="preserve"> </w:t>
      </w:r>
      <w:r w:rsidRPr="0070333E">
        <w:rPr>
          <w:rFonts w:ascii="Arial" w:hAnsi="Arial" w:cs="Arial"/>
          <w:sz w:val="16"/>
          <w:szCs w:val="16"/>
          <w:lang w:val="en-US"/>
        </w:rPr>
        <w:t>delivered on 3 November 2014</w:t>
      </w:r>
      <w:r w:rsidR="003426AB">
        <w:rPr>
          <w:rFonts w:ascii="Arial" w:hAnsi="Arial" w:cs="Arial"/>
          <w:sz w:val="16"/>
          <w:szCs w:val="16"/>
          <w:lang w:val="en-US"/>
        </w:rPr>
        <w:t>.</w:t>
      </w:r>
    </w:p>
  </w:footnote>
  <w:footnote w:id="4">
    <w:p w14:paraId="4C620B62" w14:textId="76DFDB2C" w:rsidR="001E03FC" w:rsidRPr="001E03FC" w:rsidRDefault="001E03FC">
      <w:pPr>
        <w:pStyle w:val="FootnoteText"/>
        <w:rPr>
          <w:lang w:val="en-US"/>
        </w:rPr>
      </w:pPr>
      <w:r>
        <w:rPr>
          <w:rStyle w:val="FootnoteReference"/>
        </w:rPr>
        <w:footnoteRef/>
      </w:r>
      <w:r>
        <w:t xml:space="preserve"> </w:t>
      </w:r>
      <w:r>
        <w:rPr>
          <w:lang w:val="en-US"/>
        </w:rPr>
        <w:t xml:space="preserve">Paragraphs 47, 49, 55 and 56 of the founding </w:t>
      </w:r>
      <w:proofErr w:type="gramStart"/>
      <w:r>
        <w:rPr>
          <w:lang w:val="en-US"/>
        </w:rPr>
        <w:t>affidavit</w:t>
      </w:r>
      <w:proofErr w:type="gramEnd"/>
      <w:r w:rsidR="003426AB">
        <w:rPr>
          <w:lang w:val="en-US"/>
        </w:rPr>
        <w:t>.</w:t>
      </w:r>
    </w:p>
  </w:footnote>
  <w:footnote w:id="5">
    <w:p w14:paraId="685B96E6" w14:textId="77777777" w:rsidR="00844A64" w:rsidRPr="004576C9" w:rsidRDefault="00844A64" w:rsidP="00BA172F">
      <w:pPr>
        <w:pStyle w:val="FootnoteText"/>
        <w:ind w:left="720"/>
        <w:rPr>
          <w:rFonts w:ascii="Calibri" w:hAnsi="Calibri" w:cs="Calibri"/>
          <w:lang w:val="en-US"/>
        </w:rPr>
      </w:pPr>
      <w:r>
        <w:rPr>
          <w:rStyle w:val="FootnoteReference"/>
        </w:rPr>
        <w:footnoteRef/>
      </w:r>
      <w:r>
        <w:t xml:space="preserve"> </w:t>
      </w:r>
      <w:r w:rsidR="00BA172F" w:rsidRPr="004576C9">
        <w:rPr>
          <w:rFonts w:ascii="Calibri" w:hAnsi="Calibri" w:cs="Calibri"/>
        </w:rPr>
        <w:t>‘</w:t>
      </w:r>
      <w:r w:rsidRPr="004576C9">
        <w:rPr>
          <w:rFonts w:ascii="Calibri" w:hAnsi="Calibri" w:cs="Calibri"/>
          <w:lang w:val="en-US"/>
        </w:rPr>
        <w:t xml:space="preserve">Paragraph </w:t>
      </w:r>
      <w:r w:rsidR="00135844" w:rsidRPr="004576C9">
        <w:rPr>
          <w:rFonts w:ascii="Calibri" w:hAnsi="Calibri" w:cs="Calibri"/>
          <w:lang w:val="en-US"/>
        </w:rPr>
        <w:t>59 of</w:t>
      </w:r>
      <w:r w:rsidRPr="004576C9">
        <w:rPr>
          <w:rFonts w:ascii="Calibri" w:hAnsi="Calibri" w:cs="Calibri"/>
          <w:lang w:val="en-US"/>
        </w:rPr>
        <w:t xml:space="preserve"> the answering </w:t>
      </w:r>
      <w:r w:rsidR="00135844" w:rsidRPr="004576C9">
        <w:rPr>
          <w:rFonts w:ascii="Calibri" w:hAnsi="Calibri" w:cs="Calibri"/>
          <w:lang w:val="en-US"/>
        </w:rPr>
        <w:t>affidavit ‘</w:t>
      </w:r>
      <w:r w:rsidRPr="004576C9">
        <w:rPr>
          <w:rFonts w:ascii="Calibri" w:hAnsi="Calibri" w:cs="Calibri"/>
          <w:lang w:val="en-US"/>
        </w:rPr>
        <w:t xml:space="preserve">The starting point for item 4 would be the previous year’s </w:t>
      </w:r>
      <w:r w:rsidR="00135844" w:rsidRPr="004576C9">
        <w:rPr>
          <w:rFonts w:ascii="Calibri" w:hAnsi="Calibri" w:cs="Calibri"/>
          <w:lang w:val="en-US"/>
        </w:rPr>
        <w:t>Fixed Asset</w:t>
      </w:r>
      <w:r w:rsidRPr="004576C9">
        <w:rPr>
          <w:rFonts w:ascii="Calibri" w:hAnsi="Calibri" w:cs="Calibri"/>
          <w:lang w:val="en-US"/>
        </w:rPr>
        <w:t xml:space="preserve"> R</w:t>
      </w:r>
      <w:r w:rsidR="008F68DC" w:rsidRPr="004576C9">
        <w:rPr>
          <w:rFonts w:ascii="Calibri" w:hAnsi="Calibri" w:cs="Calibri"/>
          <w:lang w:val="en-US"/>
        </w:rPr>
        <w:t>egister</w:t>
      </w:r>
      <w:r w:rsidRPr="004576C9">
        <w:rPr>
          <w:rFonts w:ascii="Calibri" w:hAnsi="Calibri" w:cs="Calibri"/>
          <w:lang w:val="en-US"/>
        </w:rPr>
        <w:t xml:space="preserve">. The successful bidder </w:t>
      </w:r>
      <w:proofErr w:type="gramStart"/>
      <w:r w:rsidRPr="004576C9">
        <w:rPr>
          <w:rFonts w:ascii="Calibri" w:hAnsi="Calibri" w:cs="Calibri"/>
          <w:lang w:val="en-US"/>
        </w:rPr>
        <w:t>has to</w:t>
      </w:r>
      <w:proofErr w:type="gramEnd"/>
      <w:r w:rsidRPr="004576C9">
        <w:rPr>
          <w:rFonts w:ascii="Calibri" w:hAnsi="Calibri" w:cs="Calibri"/>
          <w:lang w:val="en-US"/>
        </w:rPr>
        <w:t xml:space="preserve"> literally update the said register and make sure that it is compliant with GRAP standards. This is the most important aspect and a </w:t>
      </w:r>
      <w:proofErr w:type="gramStart"/>
      <w:r w:rsidRPr="004576C9">
        <w:rPr>
          <w:rFonts w:ascii="Calibri" w:hAnsi="Calibri" w:cs="Calibri"/>
          <w:lang w:val="en-US"/>
        </w:rPr>
        <w:t>time consuming</w:t>
      </w:r>
      <w:proofErr w:type="gramEnd"/>
      <w:r w:rsidRPr="004576C9">
        <w:rPr>
          <w:rFonts w:ascii="Calibri" w:hAnsi="Calibri" w:cs="Calibri"/>
          <w:lang w:val="en-US"/>
        </w:rPr>
        <w:t xml:space="preserve"> desktop exercise</w:t>
      </w:r>
      <w:r w:rsidR="00BA172F" w:rsidRPr="004576C9">
        <w:rPr>
          <w:rFonts w:ascii="Calibri" w:hAnsi="Calibri" w:cs="Calibri"/>
          <w:lang w:val="en-US"/>
        </w:rPr>
        <w:t xml:space="preserve">. It not only deals with additions brought into account, CENTLEC </w:t>
      </w:r>
      <w:proofErr w:type="gramStart"/>
      <w:r w:rsidR="00BA172F" w:rsidRPr="004576C9">
        <w:rPr>
          <w:rFonts w:ascii="Calibri" w:hAnsi="Calibri" w:cs="Calibri"/>
          <w:lang w:val="en-US"/>
        </w:rPr>
        <w:t>has to</w:t>
      </w:r>
      <w:proofErr w:type="gramEnd"/>
      <w:r w:rsidR="00BA172F" w:rsidRPr="004576C9">
        <w:rPr>
          <w:rFonts w:ascii="Calibri" w:hAnsi="Calibri" w:cs="Calibri"/>
          <w:lang w:val="en-US"/>
        </w:rPr>
        <w:t xml:space="preserve"> account for depreciation per each and every asset, disposal, etc. In the end CENTLEC needs to provide the Auditor General with an actual GRAP compliant register.’ </w:t>
      </w:r>
    </w:p>
    <w:p w14:paraId="1CB8EFC4" w14:textId="77777777" w:rsidR="008F68DC" w:rsidRPr="004576C9" w:rsidRDefault="008F68DC">
      <w:pPr>
        <w:pStyle w:val="FootnoteText"/>
        <w:rPr>
          <w:rFonts w:ascii="Calibri" w:hAnsi="Calibri" w:cs="Calibri"/>
          <w:lang w:val="en-US"/>
        </w:rPr>
      </w:pPr>
      <w:r w:rsidRPr="004576C9">
        <w:rPr>
          <w:rFonts w:ascii="Calibri" w:hAnsi="Calibri" w:cs="Calibri"/>
          <w:lang w:val="en-US"/>
        </w:rPr>
        <w:t xml:space="preserve">                           </w:t>
      </w:r>
    </w:p>
    <w:p w14:paraId="7DD2EF7E" w14:textId="77777777" w:rsidR="008F68DC" w:rsidRDefault="008F68DC">
      <w:pPr>
        <w:pStyle w:val="FootnoteText"/>
        <w:rPr>
          <w:lang w:val="en-US"/>
        </w:rPr>
      </w:pPr>
    </w:p>
    <w:p w14:paraId="203AA4F2" w14:textId="77777777" w:rsidR="00BA172F" w:rsidRDefault="008F68DC" w:rsidP="008F68DC">
      <w:pPr>
        <w:pStyle w:val="FootnoteText"/>
        <w:ind w:firstLine="720"/>
        <w:rPr>
          <w:lang w:val="en-US"/>
        </w:rPr>
      </w:pPr>
      <w:r>
        <w:rPr>
          <w:lang w:val="en-US"/>
        </w:rPr>
        <w:t xml:space="preserve">4. </w:t>
      </w:r>
      <w:r w:rsidRPr="008F68DC">
        <w:rPr>
          <w:b/>
          <w:lang w:val="en-US"/>
        </w:rPr>
        <w:t>T</w:t>
      </w:r>
      <w:r>
        <w:rPr>
          <w:b/>
          <w:lang w:val="en-US"/>
        </w:rPr>
        <w:t>ech</w:t>
      </w:r>
      <w:r w:rsidRPr="008F68DC">
        <w:rPr>
          <w:b/>
          <w:lang w:val="en-US"/>
        </w:rPr>
        <w:t>nical Specifications</w:t>
      </w:r>
    </w:p>
    <w:p w14:paraId="04D6883F" w14:textId="77777777" w:rsidR="008F68DC" w:rsidRPr="00844A64" w:rsidRDefault="008F68DC">
      <w:pPr>
        <w:pStyle w:val="FootnoteText"/>
        <w:rPr>
          <w:lang w:val="en-US"/>
        </w:rPr>
      </w:pPr>
    </w:p>
  </w:footnote>
  <w:footnote w:id="6">
    <w:p w14:paraId="3535926F" w14:textId="77777777" w:rsidR="00844A64" w:rsidRPr="00314C28" w:rsidRDefault="00844A64" w:rsidP="00844A64">
      <w:pPr>
        <w:ind w:left="1440" w:hanging="720"/>
        <w:jc w:val="both"/>
        <w:rPr>
          <w:rFonts w:ascii="Arial" w:hAnsi="Arial" w:cs="Arial"/>
          <w:sz w:val="16"/>
          <w:szCs w:val="16"/>
        </w:rPr>
      </w:pPr>
      <w:r w:rsidRPr="00314C28">
        <w:rPr>
          <w:rFonts w:ascii="Arial" w:hAnsi="Arial" w:cs="Arial"/>
          <w:sz w:val="16"/>
          <w:szCs w:val="16"/>
        </w:rPr>
        <w:t>4.1.</w:t>
      </w:r>
      <w:r w:rsidRPr="00314C28">
        <w:rPr>
          <w:rFonts w:ascii="Arial" w:hAnsi="Arial" w:cs="Arial"/>
          <w:sz w:val="16"/>
          <w:szCs w:val="16"/>
        </w:rPr>
        <w:tab/>
        <w:t xml:space="preserve"> Develop the verification and condition assessment methodology (using a sliding scale) which should be submitted to the Management, Auditor</w:t>
      </w:r>
      <w:r w:rsidRPr="00314C28">
        <w:rPr>
          <w:rFonts w:ascii="Arial" w:hAnsi="Arial" w:cs="Arial"/>
          <w:sz w:val="16"/>
          <w:szCs w:val="16"/>
        </w:rPr>
        <w:tab/>
        <w:t>General and National Treasury for approval.</w:t>
      </w:r>
    </w:p>
    <w:p w14:paraId="633F72FB" w14:textId="3B798524" w:rsidR="00844A64" w:rsidRPr="00314C28" w:rsidRDefault="00844A64" w:rsidP="00844A64">
      <w:pPr>
        <w:ind w:left="1437" w:hanging="717"/>
        <w:jc w:val="both"/>
        <w:rPr>
          <w:rFonts w:ascii="Arial" w:hAnsi="Arial" w:cs="Arial"/>
          <w:sz w:val="16"/>
          <w:szCs w:val="16"/>
        </w:rPr>
      </w:pPr>
      <w:r w:rsidRPr="00314C28">
        <w:rPr>
          <w:rFonts w:ascii="Arial" w:hAnsi="Arial" w:cs="Arial"/>
          <w:sz w:val="16"/>
          <w:szCs w:val="16"/>
        </w:rPr>
        <w:t>4.2.</w:t>
      </w:r>
      <w:r>
        <w:rPr>
          <w:rFonts w:ascii="Arial" w:hAnsi="Arial" w:cs="Arial"/>
          <w:sz w:val="16"/>
          <w:szCs w:val="16"/>
        </w:rPr>
        <w:tab/>
      </w:r>
      <w:r w:rsidRPr="00314C28">
        <w:rPr>
          <w:rFonts w:ascii="Arial" w:hAnsi="Arial" w:cs="Arial"/>
          <w:sz w:val="16"/>
          <w:szCs w:val="16"/>
        </w:rPr>
        <w:t xml:space="preserve">Perform a physical verification (and update / include GIS shape files) of all additions of electricity infrastructure </w:t>
      </w:r>
      <w:r>
        <w:rPr>
          <w:rFonts w:ascii="Arial" w:hAnsi="Arial" w:cs="Arial"/>
          <w:sz w:val="16"/>
          <w:szCs w:val="16"/>
        </w:rPr>
        <w:t xml:space="preserve">assets, per the entity’s Fixed </w:t>
      </w:r>
      <w:r w:rsidRPr="00314C28">
        <w:rPr>
          <w:rFonts w:ascii="Arial" w:hAnsi="Arial" w:cs="Arial"/>
          <w:sz w:val="16"/>
          <w:szCs w:val="16"/>
        </w:rPr>
        <w:t>Asset Register and updated periodically during financial year under review.</w:t>
      </w:r>
    </w:p>
    <w:p w14:paraId="142AEC0A" w14:textId="77777777" w:rsidR="00844A64" w:rsidRPr="00314C28" w:rsidRDefault="00844A64" w:rsidP="00844A64">
      <w:pPr>
        <w:ind w:left="1437" w:hanging="717"/>
        <w:jc w:val="both"/>
        <w:rPr>
          <w:rFonts w:ascii="Arial" w:hAnsi="Arial" w:cs="Arial"/>
          <w:sz w:val="16"/>
          <w:szCs w:val="16"/>
        </w:rPr>
      </w:pPr>
      <w:r w:rsidRPr="00314C28">
        <w:rPr>
          <w:rFonts w:ascii="Arial" w:hAnsi="Arial" w:cs="Arial"/>
          <w:sz w:val="16"/>
          <w:szCs w:val="16"/>
        </w:rPr>
        <w:t>4.3.</w:t>
      </w:r>
      <w:r w:rsidRPr="00314C28">
        <w:rPr>
          <w:rFonts w:ascii="Arial" w:hAnsi="Arial" w:cs="Arial"/>
          <w:sz w:val="16"/>
          <w:szCs w:val="16"/>
        </w:rPr>
        <w:tab/>
        <w:t>Perform a condition assessment of each item of electricity infrastructure assets listed per the entity’s Fixed Asset Register.</w:t>
      </w:r>
    </w:p>
    <w:p w14:paraId="4DAE01D7" w14:textId="77777777" w:rsidR="00844A64" w:rsidRPr="00314C28" w:rsidRDefault="00844A64" w:rsidP="00844A64">
      <w:pPr>
        <w:ind w:left="1437" w:hanging="717"/>
        <w:jc w:val="both"/>
        <w:rPr>
          <w:rFonts w:ascii="Arial" w:hAnsi="Arial" w:cs="Arial"/>
          <w:sz w:val="16"/>
          <w:szCs w:val="16"/>
        </w:rPr>
      </w:pPr>
      <w:r w:rsidRPr="00314C28">
        <w:rPr>
          <w:rFonts w:ascii="Arial" w:hAnsi="Arial" w:cs="Arial"/>
          <w:sz w:val="16"/>
          <w:szCs w:val="16"/>
        </w:rPr>
        <w:t>4.4.</w:t>
      </w:r>
      <w:r w:rsidRPr="00314C28">
        <w:rPr>
          <w:rFonts w:ascii="Arial" w:hAnsi="Arial" w:cs="Arial"/>
          <w:sz w:val="16"/>
          <w:szCs w:val="16"/>
        </w:rPr>
        <w:tab/>
        <w:t>The team should be available, after the assignment, to assist in addressing Audit queries based on the valuations that they have performed.</w:t>
      </w:r>
    </w:p>
    <w:p w14:paraId="27897684" w14:textId="77777777" w:rsidR="00844A64" w:rsidRPr="00314C28" w:rsidRDefault="00844A64" w:rsidP="00844A64">
      <w:pPr>
        <w:ind w:left="1437" w:hanging="717"/>
        <w:jc w:val="both"/>
        <w:rPr>
          <w:rFonts w:ascii="Arial" w:hAnsi="Arial" w:cs="Arial"/>
          <w:sz w:val="16"/>
          <w:szCs w:val="16"/>
        </w:rPr>
      </w:pPr>
      <w:r w:rsidRPr="00314C28">
        <w:rPr>
          <w:rFonts w:ascii="Arial" w:hAnsi="Arial" w:cs="Arial"/>
          <w:sz w:val="16"/>
          <w:szCs w:val="16"/>
        </w:rPr>
        <w:t>4.5.</w:t>
      </w:r>
      <w:r w:rsidRPr="00314C28">
        <w:rPr>
          <w:rFonts w:ascii="Arial" w:hAnsi="Arial" w:cs="Arial"/>
          <w:sz w:val="16"/>
          <w:szCs w:val="16"/>
        </w:rPr>
        <w:tab/>
        <w:t>Draft the required adjusting journals to account for changes arising from the asset related process (</w:t>
      </w:r>
      <w:proofErr w:type="gramStart"/>
      <w:r w:rsidRPr="00314C28">
        <w:rPr>
          <w:rFonts w:ascii="Arial" w:hAnsi="Arial" w:cs="Arial"/>
          <w:sz w:val="16"/>
          <w:szCs w:val="16"/>
        </w:rPr>
        <w:t>e.g.</w:t>
      </w:r>
      <w:proofErr w:type="gramEnd"/>
      <w:r w:rsidRPr="00314C28">
        <w:rPr>
          <w:rFonts w:ascii="Arial" w:hAnsi="Arial" w:cs="Arial"/>
          <w:sz w:val="16"/>
          <w:szCs w:val="16"/>
        </w:rPr>
        <w:t xml:space="preserve"> Depreciation, Disposals, Work in Progress).</w:t>
      </w:r>
    </w:p>
    <w:p w14:paraId="5F945E86" w14:textId="77777777" w:rsidR="00844A64" w:rsidRPr="00616F3A" w:rsidRDefault="00844A64" w:rsidP="00844A64">
      <w:pPr>
        <w:ind w:left="1437" w:hanging="717"/>
        <w:jc w:val="both"/>
        <w:rPr>
          <w:rFonts w:ascii="Arial" w:hAnsi="Arial" w:cs="Arial"/>
          <w:sz w:val="20"/>
          <w:szCs w:val="20"/>
        </w:rPr>
      </w:pPr>
      <w:r w:rsidRPr="00314C28">
        <w:rPr>
          <w:rFonts w:ascii="Arial" w:hAnsi="Arial" w:cs="Arial"/>
          <w:sz w:val="16"/>
          <w:szCs w:val="16"/>
        </w:rPr>
        <w:t>4.6.</w:t>
      </w:r>
      <w:r w:rsidRPr="00314C28">
        <w:rPr>
          <w:rFonts w:ascii="Arial" w:hAnsi="Arial" w:cs="Arial"/>
          <w:sz w:val="16"/>
          <w:szCs w:val="16"/>
        </w:rPr>
        <w:tab/>
        <w:t>Compile a detailed working paper file with sufficient support for all adjustments make to the Fixed Asset Register</w:t>
      </w:r>
      <w:r w:rsidRPr="00616F3A">
        <w:rPr>
          <w:rFonts w:ascii="Arial" w:hAnsi="Arial" w:cs="Arial"/>
          <w:sz w:val="20"/>
          <w:szCs w:val="20"/>
        </w:rPr>
        <w:t>.</w:t>
      </w:r>
    </w:p>
    <w:p w14:paraId="59FB19D6" w14:textId="77777777" w:rsidR="00844A64" w:rsidRPr="00314C28" w:rsidRDefault="00844A64" w:rsidP="004576C9">
      <w:pPr>
        <w:pStyle w:val="FootnoteText"/>
        <w:rPr>
          <w:lang w:val="en-US"/>
        </w:rPr>
      </w:pPr>
    </w:p>
  </w:footnote>
  <w:footnote w:id="7">
    <w:p w14:paraId="111B1ACF" w14:textId="4827EEBA" w:rsidR="00933FAD" w:rsidRPr="004576C9" w:rsidRDefault="00933FAD" w:rsidP="004576C9">
      <w:pPr>
        <w:pStyle w:val="BodyAAA"/>
        <w:pBdr>
          <w:top w:val="none" w:sz="0" w:space="0" w:color="auto"/>
          <w:left w:val="none" w:sz="0" w:space="0" w:color="auto"/>
          <w:bottom w:val="none" w:sz="0" w:space="0" w:color="auto"/>
          <w:right w:val="none" w:sz="0" w:space="0" w:color="auto"/>
          <w:bar w:val="none" w:sz="0" w:color="auto"/>
        </w:pBdr>
        <w:jc w:val="both"/>
        <w:rPr>
          <w:sz w:val="20"/>
          <w:szCs w:val="20"/>
        </w:rPr>
      </w:pPr>
      <w:r>
        <w:rPr>
          <w:rStyle w:val="FootnoteReference"/>
        </w:rPr>
        <w:footnoteRef/>
      </w:r>
      <w:r>
        <w:t xml:space="preserve"> </w:t>
      </w:r>
      <w:proofErr w:type="spellStart"/>
      <w:r w:rsidRPr="004576C9">
        <w:rPr>
          <w:i/>
          <w:sz w:val="20"/>
          <w:szCs w:val="20"/>
        </w:rPr>
        <w:t>Biowatch</w:t>
      </w:r>
      <w:proofErr w:type="spellEnd"/>
      <w:r w:rsidRPr="004576C9">
        <w:rPr>
          <w:i/>
          <w:sz w:val="20"/>
          <w:szCs w:val="20"/>
        </w:rPr>
        <w:t xml:space="preserve"> Trust v Registrar Genetic Resources and Others</w:t>
      </w:r>
      <w:r w:rsidRPr="004576C9">
        <w:rPr>
          <w:sz w:val="20"/>
          <w:szCs w:val="20"/>
        </w:rPr>
        <w:t xml:space="preserve"> (CCT 80 / 08) [2009] ZACC 14; 2009(6) SA 232 (CC)</w:t>
      </w:r>
      <w:r w:rsidR="004576C9">
        <w:rPr>
          <w:sz w:val="20"/>
          <w:szCs w:val="20"/>
        </w:rPr>
        <w:t>.</w:t>
      </w:r>
    </w:p>
    <w:p w14:paraId="57E03889" w14:textId="77777777" w:rsidR="00933FAD" w:rsidRDefault="00933FAD" w:rsidP="00933FAD">
      <w:pPr>
        <w:pStyle w:val="FootnoteText"/>
      </w:pPr>
    </w:p>
  </w:footnote>
  <w:footnote w:id="8">
    <w:p w14:paraId="4FE5C898" w14:textId="78EE4D6D" w:rsidR="00933FAD" w:rsidRPr="004576C9" w:rsidRDefault="00933FAD" w:rsidP="004576C9">
      <w:pPr>
        <w:pStyle w:val="BodyAAA"/>
        <w:pBdr>
          <w:top w:val="none" w:sz="0" w:space="0" w:color="auto"/>
          <w:left w:val="none" w:sz="0" w:space="0" w:color="auto"/>
          <w:bottom w:val="none" w:sz="0" w:space="0" w:color="auto"/>
          <w:right w:val="none" w:sz="0" w:space="0" w:color="auto"/>
          <w:bar w:val="none" w:sz="0" w:color="auto"/>
        </w:pBdr>
        <w:jc w:val="both"/>
        <w:rPr>
          <w:sz w:val="20"/>
          <w:szCs w:val="20"/>
        </w:rPr>
      </w:pPr>
      <w:r w:rsidRPr="004576C9">
        <w:rPr>
          <w:rStyle w:val="FootnoteReference"/>
          <w:sz w:val="20"/>
          <w:szCs w:val="20"/>
        </w:rPr>
        <w:footnoteRef/>
      </w:r>
      <w:r w:rsidRPr="004576C9">
        <w:rPr>
          <w:sz w:val="20"/>
          <w:szCs w:val="20"/>
        </w:rPr>
        <w:t xml:space="preserve"> </w:t>
      </w:r>
      <w:proofErr w:type="spellStart"/>
      <w:r w:rsidRPr="004576C9">
        <w:rPr>
          <w:i/>
          <w:sz w:val="20"/>
          <w:szCs w:val="20"/>
        </w:rPr>
        <w:t>Biowatch</w:t>
      </w:r>
      <w:proofErr w:type="spellEnd"/>
      <w:r w:rsidRPr="004576C9">
        <w:rPr>
          <w:i/>
          <w:sz w:val="20"/>
          <w:szCs w:val="20"/>
        </w:rPr>
        <w:t xml:space="preserve"> Trust v Registrar Genetic Resources and Others</w:t>
      </w:r>
      <w:r w:rsidRPr="004576C9">
        <w:rPr>
          <w:sz w:val="20"/>
          <w:szCs w:val="20"/>
        </w:rPr>
        <w:t xml:space="preserve"> (CCT 80 / 08) [2009] ZACC 14; 2009(6) SA 232 (CC)</w:t>
      </w:r>
      <w:r w:rsidR="004576C9" w:rsidRPr="004576C9">
        <w:rPr>
          <w:sz w:val="20"/>
          <w:szCs w:val="20"/>
        </w:rPr>
        <w:t>.</w:t>
      </w:r>
      <w:r w:rsidR="004576C9">
        <w:rPr>
          <w:sz w:val="20"/>
          <w:szCs w:val="20"/>
        </w:rPr>
        <w:t xml:space="preserve"> </w:t>
      </w:r>
    </w:p>
  </w:footnote>
  <w:footnote w:id="9">
    <w:p w14:paraId="3D4D4D7B" w14:textId="77777777" w:rsidR="00933FAD" w:rsidRPr="004576C9" w:rsidRDefault="00933FAD" w:rsidP="004576C9">
      <w:pPr>
        <w:pStyle w:val="FootnoteText"/>
        <w:jc w:val="both"/>
        <w:rPr>
          <w:rFonts w:ascii="Calibri" w:hAnsi="Calibri" w:cs="Calibri"/>
        </w:rPr>
      </w:pPr>
      <w:r w:rsidRPr="004576C9">
        <w:rPr>
          <w:rStyle w:val="FootnoteReference"/>
          <w:rFonts w:ascii="Calibri" w:hAnsi="Calibri" w:cs="Calibri"/>
        </w:rPr>
        <w:footnoteRef/>
      </w:r>
      <w:r w:rsidRPr="004576C9">
        <w:rPr>
          <w:rFonts w:ascii="Calibri" w:hAnsi="Calibri" w:cs="Calibri"/>
        </w:rPr>
        <w:t xml:space="preserve"> </w:t>
      </w:r>
      <w:r w:rsidRPr="004576C9">
        <w:rPr>
          <w:rFonts w:ascii="Calibri" w:hAnsi="Calibri" w:cs="Calibri"/>
          <w:i/>
          <w:lang w:val="en-US"/>
        </w:rPr>
        <w:t xml:space="preserve">Motala v Master, North Gauteng High Court </w:t>
      </w:r>
      <w:r w:rsidRPr="004576C9">
        <w:rPr>
          <w:rFonts w:ascii="Calibri" w:hAnsi="Calibri" w:cs="Calibri"/>
          <w:iCs/>
          <w:lang w:val="en-US"/>
        </w:rPr>
        <w:t xml:space="preserve">[2019] ZASCA 60; </w:t>
      </w:r>
      <w:r w:rsidRPr="004576C9">
        <w:rPr>
          <w:rFonts w:ascii="Calibri" w:hAnsi="Calibri" w:cs="Calibri"/>
          <w:lang w:val="en-US"/>
        </w:rPr>
        <w:t>2019 (6) SA 68 (SCA) para 98.</w:t>
      </w:r>
    </w:p>
  </w:footnote>
  <w:footnote w:id="10">
    <w:p w14:paraId="59A22E7D" w14:textId="77777777" w:rsidR="00933FAD" w:rsidRPr="004576C9" w:rsidRDefault="00933FAD" w:rsidP="004576C9">
      <w:pPr>
        <w:pStyle w:val="FootnoteText"/>
        <w:jc w:val="both"/>
        <w:rPr>
          <w:rFonts w:ascii="Calibri" w:hAnsi="Calibri" w:cs="Calibri"/>
        </w:rPr>
      </w:pPr>
      <w:r w:rsidRPr="004576C9">
        <w:rPr>
          <w:rStyle w:val="FootnoteReference"/>
          <w:rFonts w:ascii="Calibri" w:hAnsi="Calibri" w:cs="Calibri"/>
        </w:rPr>
        <w:footnoteRef/>
      </w:r>
      <w:r w:rsidRPr="004576C9">
        <w:rPr>
          <w:rFonts w:ascii="Calibri" w:hAnsi="Calibri" w:cs="Calibri"/>
        </w:rPr>
        <w:t xml:space="preserve"> </w:t>
      </w:r>
      <w:r w:rsidRPr="004576C9">
        <w:rPr>
          <w:rFonts w:ascii="Calibri" w:hAnsi="Calibri" w:cs="Calibri"/>
          <w:i/>
          <w:lang w:val="en-US"/>
        </w:rPr>
        <w:t xml:space="preserve">Lawyers for Human Rights v Minister in the Presidency and Others </w:t>
      </w:r>
      <w:r w:rsidRPr="004576C9">
        <w:rPr>
          <w:rFonts w:ascii="Calibri" w:hAnsi="Calibri" w:cs="Calibri"/>
          <w:iCs/>
          <w:lang w:val="en-US"/>
        </w:rPr>
        <w:t xml:space="preserve">[2016] ZACC 45; </w:t>
      </w:r>
      <w:r w:rsidRPr="004576C9">
        <w:rPr>
          <w:rFonts w:ascii="Calibri" w:hAnsi="Calibri" w:cs="Calibri"/>
          <w:lang w:val="en-US"/>
        </w:rPr>
        <w:t>2017 (1) SA 645 (CC); 2017 (4) BCLR 445 (CC) para 18.</w:t>
      </w:r>
    </w:p>
  </w:footnote>
  <w:footnote w:id="11">
    <w:p w14:paraId="3DDE6433" w14:textId="06D9919C" w:rsidR="00300A8E" w:rsidRPr="004576C9" w:rsidRDefault="00F03C64" w:rsidP="004576C9">
      <w:pPr>
        <w:spacing w:after="0" w:line="240" w:lineRule="auto"/>
        <w:rPr>
          <w:rFonts w:ascii="Calibri" w:hAnsi="Calibri" w:cs="Calibri"/>
          <w:sz w:val="20"/>
          <w:szCs w:val="20"/>
          <w:lang w:val="en-US"/>
        </w:rPr>
      </w:pPr>
      <w:r w:rsidRPr="004576C9">
        <w:rPr>
          <w:rStyle w:val="FootnoteReference"/>
          <w:rFonts w:ascii="Calibri" w:hAnsi="Calibri" w:cs="Calibri"/>
          <w:sz w:val="20"/>
          <w:szCs w:val="20"/>
        </w:rPr>
        <w:footnoteRef/>
      </w:r>
      <w:r w:rsidRPr="004576C9">
        <w:rPr>
          <w:rFonts w:ascii="Calibri" w:hAnsi="Calibri" w:cs="Calibri"/>
          <w:sz w:val="20"/>
          <w:szCs w:val="20"/>
        </w:rPr>
        <w:t xml:space="preserve"> </w:t>
      </w:r>
      <w:r w:rsidR="00300A8E" w:rsidRPr="004576C9">
        <w:rPr>
          <w:rFonts w:ascii="Calibri" w:hAnsi="Calibri" w:cs="Calibri"/>
          <w:sz w:val="20"/>
          <w:szCs w:val="20"/>
        </w:rPr>
        <w:t>The Promotion of Administrative Justice Act 3 of 2000</w:t>
      </w:r>
      <w:r w:rsidR="004576C9" w:rsidRPr="004576C9">
        <w:rPr>
          <w:rFonts w:ascii="Calibri" w:hAnsi="Calibri" w:cs="Calibri"/>
          <w:sz w:val="20"/>
          <w:szCs w:val="20"/>
        </w:rPr>
        <w:t>.</w:t>
      </w:r>
      <w:r w:rsidR="004576C9">
        <w:rPr>
          <w:rFonts w:ascii="Calibri" w:hAnsi="Calibri" w:cs="Calibri"/>
          <w:sz w:val="20"/>
          <w:szCs w:val="20"/>
        </w:rPr>
        <w:t xml:space="preserve"> </w:t>
      </w:r>
    </w:p>
  </w:footnote>
  <w:footnote w:id="12">
    <w:p w14:paraId="17B6DCDC" w14:textId="5137E212" w:rsidR="00300A8E" w:rsidRPr="004576C9" w:rsidRDefault="00300A8E" w:rsidP="004576C9">
      <w:pPr>
        <w:pStyle w:val="FootnoteText"/>
        <w:rPr>
          <w:rFonts w:ascii="Calibri" w:hAnsi="Calibri" w:cs="Calibri"/>
          <w:lang w:val="en-US"/>
        </w:rPr>
      </w:pPr>
      <w:r w:rsidRPr="004576C9">
        <w:rPr>
          <w:rStyle w:val="FootnoteReference"/>
          <w:rFonts w:ascii="Calibri" w:hAnsi="Calibri" w:cs="Calibri"/>
        </w:rPr>
        <w:footnoteRef/>
      </w:r>
      <w:r w:rsidRPr="004576C9">
        <w:rPr>
          <w:rFonts w:ascii="Calibri" w:hAnsi="Calibri" w:cs="Calibri"/>
        </w:rPr>
        <w:t xml:space="preserve"> Constitution of the Republic of South Africa, 1996</w:t>
      </w:r>
      <w:r w:rsidR="004576C9" w:rsidRPr="004576C9">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629810"/>
      <w:docPartObj>
        <w:docPartGallery w:val="Page Numbers (Top of Page)"/>
        <w:docPartUnique/>
      </w:docPartObj>
    </w:sdtPr>
    <w:sdtEndPr>
      <w:rPr>
        <w:noProof/>
      </w:rPr>
    </w:sdtEndPr>
    <w:sdtContent>
      <w:p w14:paraId="42FD025D" w14:textId="6832BD90" w:rsidR="00533CFF" w:rsidRDefault="00533CFF">
        <w:pPr>
          <w:pStyle w:val="Header"/>
          <w:jc w:val="right"/>
        </w:pPr>
        <w:r>
          <w:fldChar w:fldCharType="begin"/>
        </w:r>
        <w:r>
          <w:instrText xml:space="preserve"> PAGE   \* MERGEFORMAT </w:instrText>
        </w:r>
        <w:r>
          <w:fldChar w:fldCharType="separate"/>
        </w:r>
        <w:r w:rsidR="00034BD1">
          <w:rPr>
            <w:noProof/>
          </w:rPr>
          <w:t>2</w:t>
        </w:r>
        <w:r>
          <w:rPr>
            <w:noProof/>
          </w:rPr>
          <w:fldChar w:fldCharType="end"/>
        </w:r>
      </w:p>
    </w:sdtContent>
  </w:sdt>
  <w:p w14:paraId="7F508BF0" w14:textId="77777777" w:rsidR="00533CFF" w:rsidRDefault="0053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69F"/>
    <w:multiLevelType w:val="hybridMultilevel"/>
    <w:tmpl w:val="2F50A084"/>
    <w:lvl w:ilvl="0" w:tplc="9280C38E">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4585DF3"/>
    <w:multiLevelType w:val="multilevel"/>
    <w:tmpl w:val="B2201D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E1314"/>
    <w:multiLevelType w:val="hybridMultilevel"/>
    <w:tmpl w:val="6832B9C2"/>
    <w:lvl w:ilvl="0" w:tplc="5340351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95A7A26"/>
    <w:multiLevelType w:val="hybridMultilevel"/>
    <w:tmpl w:val="4612B14A"/>
    <w:lvl w:ilvl="0" w:tplc="0CD23EA0">
      <w:start w:val="1"/>
      <w:numFmt w:val="decimal"/>
      <w:pStyle w:val="JUDGMENTNUMBERED"/>
      <w:lvlText w:val="[%1]"/>
      <w:lvlJc w:val="left"/>
      <w:pPr>
        <w:ind w:left="928"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5" w15:restartNumberingAfterBreak="0">
    <w:nsid w:val="0E0E5F88"/>
    <w:multiLevelType w:val="hybridMultilevel"/>
    <w:tmpl w:val="5C020B02"/>
    <w:lvl w:ilvl="0" w:tplc="249AAEF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5C52E1"/>
    <w:multiLevelType w:val="multilevel"/>
    <w:tmpl w:val="221A873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33F5083F"/>
    <w:multiLevelType w:val="hybridMultilevel"/>
    <w:tmpl w:val="6E7275BE"/>
    <w:lvl w:ilvl="0" w:tplc="57968E58">
      <w:start w:val="1"/>
      <w:numFmt w:val="decimal"/>
      <w:lvlText w:val="%1."/>
      <w:lvlJc w:val="left"/>
      <w:pPr>
        <w:ind w:left="490" w:hanging="360"/>
      </w:pPr>
      <w:rPr>
        <w:rFonts w:hint="default"/>
      </w:rPr>
    </w:lvl>
    <w:lvl w:ilvl="1" w:tplc="1C090019" w:tentative="1">
      <w:start w:val="1"/>
      <w:numFmt w:val="lowerLetter"/>
      <w:lvlText w:val="%2."/>
      <w:lvlJc w:val="left"/>
      <w:pPr>
        <w:ind w:left="1210" w:hanging="360"/>
      </w:pPr>
    </w:lvl>
    <w:lvl w:ilvl="2" w:tplc="1C09001B" w:tentative="1">
      <w:start w:val="1"/>
      <w:numFmt w:val="lowerRoman"/>
      <w:lvlText w:val="%3."/>
      <w:lvlJc w:val="right"/>
      <w:pPr>
        <w:ind w:left="1930" w:hanging="180"/>
      </w:pPr>
    </w:lvl>
    <w:lvl w:ilvl="3" w:tplc="1C09000F" w:tentative="1">
      <w:start w:val="1"/>
      <w:numFmt w:val="decimal"/>
      <w:lvlText w:val="%4."/>
      <w:lvlJc w:val="left"/>
      <w:pPr>
        <w:ind w:left="2650" w:hanging="360"/>
      </w:pPr>
    </w:lvl>
    <w:lvl w:ilvl="4" w:tplc="1C090019" w:tentative="1">
      <w:start w:val="1"/>
      <w:numFmt w:val="lowerLetter"/>
      <w:lvlText w:val="%5."/>
      <w:lvlJc w:val="left"/>
      <w:pPr>
        <w:ind w:left="3370" w:hanging="360"/>
      </w:pPr>
    </w:lvl>
    <w:lvl w:ilvl="5" w:tplc="1C09001B" w:tentative="1">
      <w:start w:val="1"/>
      <w:numFmt w:val="lowerRoman"/>
      <w:lvlText w:val="%6."/>
      <w:lvlJc w:val="right"/>
      <w:pPr>
        <w:ind w:left="4090" w:hanging="180"/>
      </w:pPr>
    </w:lvl>
    <w:lvl w:ilvl="6" w:tplc="1C09000F" w:tentative="1">
      <w:start w:val="1"/>
      <w:numFmt w:val="decimal"/>
      <w:lvlText w:val="%7."/>
      <w:lvlJc w:val="left"/>
      <w:pPr>
        <w:ind w:left="4810" w:hanging="360"/>
      </w:pPr>
    </w:lvl>
    <w:lvl w:ilvl="7" w:tplc="1C090019" w:tentative="1">
      <w:start w:val="1"/>
      <w:numFmt w:val="lowerLetter"/>
      <w:lvlText w:val="%8."/>
      <w:lvlJc w:val="left"/>
      <w:pPr>
        <w:ind w:left="5530" w:hanging="360"/>
      </w:pPr>
    </w:lvl>
    <w:lvl w:ilvl="8" w:tplc="1C09001B" w:tentative="1">
      <w:start w:val="1"/>
      <w:numFmt w:val="lowerRoman"/>
      <w:lvlText w:val="%9."/>
      <w:lvlJc w:val="right"/>
      <w:pPr>
        <w:ind w:left="6250" w:hanging="180"/>
      </w:pPr>
    </w:lvl>
  </w:abstractNum>
  <w:abstractNum w:abstractNumId="8" w15:restartNumberingAfterBreak="0">
    <w:nsid w:val="461D13BD"/>
    <w:multiLevelType w:val="multilevel"/>
    <w:tmpl w:val="BA18BEA8"/>
    <w:lvl w:ilvl="0">
      <w:start w:val="1"/>
      <w:numFmt w:val="decimal"/>
      <w:pStyle w:val="JUGMENTNUMBERED"/>
      <w:lvlText w:val="[%1]"/>
      <w:lvlJc w:val="left"/>
      <w:pPr>
        <w:tabs>
          <w:tab w:val="num" w:pos="680"/>
        </w:tabs>
      </w:pPr>
      <w:rPr>
        <w:rFonts w:hint="default"/>
        <w:b w:val="0"/>
        <w:bCs w:val="0"/>
        <w:i w:val="0"/>
        <w:iCs w:val="0"/>
        <w:sz w:val="26"/>
        <w:szCs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AD2130A"/>
    <w:multiLevelType w:val="hybridMultilevel"/>
    <w:tmpl w:val="0DE0CAEE"/>
    <w:lvl w:ilvl="0" w:tplc="C710237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121345786">
    <w:abstractNumId w:val="4"/>
  </w:num>
  <w:num w:numId="2" w16cid:durableId="1737241000">
    <w:abstractNumId w:val="9"/>
  </w:num>
  <w:num w:numId="3" w16cid:durableId="273250022">
    <w:abstractNumId w:val="6"/>
  </w:num>
  <w:num w:numId="4" w16cid:durableId="1142652524">
    <w:abstractNumId w:val="7"/>
  </w:num>
  <w:num w:numId="5" w16cid:durableId="255793619">
    <w:abstractNumId w:val="5"/>
  </w:num>
  <w:num w:numId="6" w16cid:durableId="1859585951">
    <w:abstractNumId w:val="1"/>
  </w:num>
  <w:num w:numId="7" w16cid:durableId="959341413">
    <w:abstractNumId w:val="3"/>
  </w:num>
  <w:num w:numId="8" w16cid:durableId="30570905">
    <w:abstractNumId w:val="0"/>
  </w:num>
  <w:num w:numId="9" w16cid:durableId="1764106968">
    <w:abstractNumId w:val="2"/>
  </w:num>
  <w:num w:numId="10" w16cid:durableId="2135365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628645-4FCF-4538-814F-48E72F44019A}"/>
    <w:docVar w:name="dgnword-eventsink" w:val="277378296"/>
  </w:docVars>
  <w:rsids>
    <w:rsidRoot w:val="00C61DF1"/>
    <w:rsid w:val="000025BD"/>
    <w:rsid w:val="000124EF"/>
    <w:rsid w:val="00016365"/>
    <w:rsid w:val="000168D9"/>
    <w:rsid w:val="00020F19"/>
    <w:rsid w:val="00022631"/>
    <w:rsid w:val="00026292"/>
    <w:rsid w:val="0002736F"/>
    <w:rsid w:val="00034BD1"/>
    <w:rsid w:val="00043010"/>
    <w:rsid w:val="00050978"/>
    <w:rsid w:val="00052114"/>
    <w:rsid w:val="00056D7F"/>
    <w:rsid w:val="00057432"/>
    <w:rsid w:val="00057A92"/>
    <w:rsid w:val="00062CB6"/>
    <w:rsid w:val="000635CA"/>
    <w:rsid w:val="00066021"/>
    <w:rsid w:val="00070794"/>
    <w:rsid w:val="0007199B"/>
    <w:rsid w:val="00076FE5"/>
    <w:rsid w:val="000775C8"/>
    <w:rsid w:val="00077D4C"/>
    <w:rsid w:val="00084DDD"/>
    <w:rsid w:val="00087882"/>
    <w:rsid w:val="00090068"/>
    <w:rsid w:val="000928F7"/>
    <w:rsid w:val="000A0FCE"/>
    <w:rsid w:val="000A32AF"/>
    <w:rsid w:val="000B06B1"/>
    <w:rsid w:val="000B1178"/>
    <w:rsid w:val="000B3297"/>
    <w:rsid w:val="000B4408"/>
    <w:rsid w:val="000B6EFA"/>
    <w:rsid w:val="000B749D"/>
    <w:rsid w:val="000C1787"/>
    <w:rsid w:val="000D135A"/>
    <w:rsid w:val="000D1B53"/>
    <w:rsid w:val="000D4EA6"/>
    <w:rsid w:val="000E352D"/>
    <w:rsid w:val="000E3702"/>
    <w:rsid w:val="000E495D"/>
    <w:rsid w:val="000E4F91"/>
    <w:rsid w:val="000F364C"/>
    <w:rsid w:val="00101DEC"/>
    <w:rsid w:val="001034C1"/>
    <w:rsid w:val="00114E06"/>
    <w:rsid w:val="0012219D"/>
    <w:rsid w:val="00123AC7"/>
    <w:rsid w:val="00123C70"/>
    <w:rsid w:val="00126688"/>
    <w:rsid w:val="001334FA"/>
    <w:rsid w:val="00135844"/>
    <w:rsid w:val="00141EC9"/>
    <w:rsid w:val="00150F7D"/>
    <w:rsid w:val="001524EE"/>
    <w:rsid w:val="0016252A"/>
    <w:rsid w:val="001671AA"/>
    <w:rsid w:val="001709E8"/>
    <w:rsid w:val="00172290"/>
    <w:rsid w:val="00177AF4"/>
    <w:rsid w:val="00180BF5"/>
    <w:rsid w:val="0018181C"/>
    <w:rsid w:val="001822A2"/>
    <w:rsid w:val="00187091"/>
    <w:rsid w:val="00187BD0"/>
    <w:rsid w:val="001913D9"/>
    <w:rsid w:val="00196A3F"/>
    <w:rsid w:val="001A2EF3"/>
    <w:rsid w:val="001A4F6E"/>
    <w:rsid w:val="001A6A56"/>
    <w:rsid w:val="001B1C7C"/>
    <w:rsid w:val="001B5A59"/>
    <w:rsid w:val="001D1107"/>
    <w:rsid w:val="001D291B"/>
    <w:rsid w:val="001E03FC"/>
    <w:rsid w:val="001E2B48"/>
    <w:rsid w:val="001E6CEE"/>
    <w:rsid w:val="001E7429"/>
    <w:rsid w:val="001F01C0"/>
    <w:rsid w:val="001F1F29"/>
    <w:rsid w:val="001F45E9"/>
    <w:rsid w:val="00205856"/>
    <w:rsid w:val="002073E0"/>
    <w:rsid w:val="00210A0A"/>
    <w:rsid w:val="002135ED"/>
    <w:rsid w:val="00217668"/>
    <w:rsid w:val="00223D4D"/>
    <w:rsid w:val="002260BD"/>
    <w:rsid w:val="00234ACC"/>
    <w:rsid w:val="00240EE1"/>
    <w:rsid w:val="00250961"/>
    <w:rsid w:val="00250BA3"/>
    <w:rsid w:val="002601FC"/>
    <w:rsid w:val="00262ED6"/>
    <w:rsid w:val="002651AE"/>
    <w:rsid w:val="0026558C"/>
    <w:rsid w:val="002703CD"/>
    <w:rsid w:val="00270545"/>
    <w:rsid w:val="0027334D"/>
    <w:rsid w:val="00280039"/>
    <w:rsid w:val="002816D1"/>
    <w:rsid w:val="002958E1"/>
    <w:rsid w:val="002A10F9"/>
    <w:rsid w:val="002A6D12"/>
    <w:rsid w:val="002B267C"/>
    <w:rsid w:val="002B6888"/>
    <w:rsid w:val="002C4F76"/>
    <w:rsid w:val="002D0D12"/>
    <w:rsid w:val="002D0D1C"/>
    <w:rsid w:val="002D5BA0"/>
    <w:rsid w:val="002D7AA6"/>
    <w:rsid w:val="002E1EE9"/>
    <w:rsid w:val="002E7133"/>
    <w:rsid w:val="002E74BE"/>
    <w:rsid w:val="002F1FD8"/>
    <w:rsid w:val="002F52BD"/>
    <w:rsid w:val="00300A8E"/>
    <w:rsid w:val="00301212"/>
    <w:rsid w:val="00302938"/>
    <w:rsid w:val="00305A6A"/>
    <w:rsid w:val="00306EE6"/>
    <w:rsid w:val="00314C28"/>
    <w:rsid w:val="00316502"/>
    <w:rsid w:val="00317E12"/>
    <w:rsid w:val="0032204A"/>
    <w:rsid w:val="00330F06"/>
    <w:rsid w:val="00333856"/>
    <w:rsid w:val="00340F19"/>
    <w:rsid w:val="003426AB"/>
    <w:rsid w:val="00343F62"/>
    <w:rsid w:val="00345F5C"/>
    <w:rsid w:val="00350645"/>
    <w:rsid w:val="00351937"/>
    <w:rsid w:val="00352251"/>
    <w:rsid w:val="003539B9"/>
    <w:rsid w:val="00353CEF"/>
    <w:rsid w:val="003556D5"/>
    <w:rsid w:val="00360A6C"/>
    <w:rsid w:val="003705DC"/>
    <w:rsid w:val="0037331D"/>
    <w:rsid w:val="00374376"/>
    <w:rsid w:val="003802F2"/>
    <w:rsid w:val="00384934"/>
    <w:rsid w:val="003907D7"/>
    <w:rsid w:val="003A3878"/>
    <w:rsid w:val="003B0433"/>
    <w:rsid w:val="003B0A43"/>
    <w:rsid w:val="003B5C96"/>
    <w:rsid w:val="003B73BD"/>
    <w:rsid w:val="003C1ED2"/>
    <w:rsid w:val="003C25EF"/>
    <w:rsid w:val="003C37BF"/>
    <w:rsid w:val="003C649C"/>
    <w:rsid w:val="003C6C83"/>
    <w:rsid w:val="003D039E"/>
    <w:rsid w:val="003D1E6A"/>
    <w:rsid w:val="003F1413"/>
    <w:rsid w:val="003F1542"/>
    <w:rsid w:val="00401FF8"/>
    <w:rsid w:val="004020C7"/>
    <w:rsid w:val="00405E57"/>
    <w:rsid w:val="00411FE2"/>
    <w:rsid w:val="00412F39"/>
    <w:rsid w:val="00414E96"/>
    <w:rsid w:val="00417CD8"/>
    <w:rsid w:val="00423CD1"/>
    <w:rsid w:val="00426AE3"/>
    <w:rsid w:val="00440AE3"/>
    <w:rsid w:val="00447101"/>
    <w:rsid w:val="00453853"/>
    <w:rsid w:val="00454B2B"/>
    <w:rsid w:val="004576C9"/>
    <w:rsid w:val="00457916"/>
    <w:rsid w:val="00461961"/>
    <w:rsid w:val="00462023"/>
    <w:rsid w:val="0046346C"/>
    <w:rsid w:val="004701AC"/>
    <w:rsid w:val="00471E65"/>
    <w:rsid w:val="00473CD1"/>
    <w:rsid w:val="004811A4"/>
    <w:rsid w:val="00481F89"/>
    <w:rsid w:val="00494E32"/>
    <w:rsid w:val="004A091E"/>
    <w:rsid w:val="004A346D"/>
    <w:rsid w:val="004B17F5"/>
    <w:rsid w:val="004B3663"/>
    <w:rsid w:val="004B6A86"/>
    <w:rsid w:val="004B71E7"/>
    <w:rsid w:val="004C204C"/>
    <w:rsid w:val="004C3290"/>
    <w:rsid w:val="004C691D"/>
    <w:rsid w:val="004C7462"/>
    <w:rsid w:val="004C7528"/>
    <w:rsid w:val="004C77BC"/>
    <w:rsid w:val="004D1BF3"/>
    <w:rsid w:val="004D2DEB"/>
    <w:rsid w:val="004D5731"/>
    <w:rsid w:val="004D5ABC"/>
    <w:rsid w:val="004D7A02"/>
    <w:rsid w:val="004E25B5"/>
    <w:rsid w:val="004E37CA"/>
    <w:rsid w:val="004E5157"/>
    <w:rsid w:val="004E5437"/>
    <w:rsid w:val="004E5E82"/>
    <w:rsid w:val="004F0D36"/>
    <w:rsid w:val="00506E6C"/>
    <w:rsid w:val="00526F18"/>
    <w:rsid w:val="005305F6"/>
    <w:rsid w:val="00533CFF"/>
    <w:rsid w:val="00535881"/>
    <w:rsid w:val="00540070"/>
    <w:rsid w:val="00540D72"/>
    <w:rsid w:val="00546C2B"/>
    <w:rsid w:val="005512F6"/>
    <w:rsid w:val="00551618"/>
    <w:rsid w:val="005556B6"/>
    <w:rsid w:val="00555FDF"/>
    <w:rsid w:val="00556079"/>
    <w:rsid w:val="00557230"/>
    <w:rsid w:val="005664CD"/>
    <w:rsid w:val="005830C1"/>
    <w:rsid w:val="00591434"/>
    <w:rsid w:val="00592EE1"/>
    <w:rsid w:val="00596D2B"/>
    <w:rsid w:val="005A0C6B"/>
    <w:rsid w:val="005B01B0"/>
    <w:rsid w:val="005B4098"/>
    <w:rsid w:val="005C11CE"/>
    <w:rsid w:val="005C1A73"/>
    <w:rsid w:val="005D135F"/>
    <w:rsid w:val="005E374E"/>
    <w:rsid w:val="005E6285"/>
    <w:rsid w:val="005E64A4"/>
    <w:rsid w:val="005F4502"/>
    <w:rsid w:val="005F4EA5"/>
    <w:rsid w:val="00615CD1"/>
    <w:rsid w:val="00621181"/>
    <w:rsid w:val="0062573A"/>
    <w:rsid w:val="00630002"/>
    <w:rsid w:val="006306FB"/>
    <w:rsid w:val="00630884"/>
    <w:rsid w:val="00631447"/>
    <w:rsid w:val="00636828"/>
    <w:rsid w:val="0064001D"/>
    <w:rsid w:val="00642843"/>
    <w:rsid w:val="006435A8"/>
    <w:rsid w:val="00644B41"/>
    <w:rsid w:val="0065162A"/>
    <w:rsid w:val="00654050"/>
    <w:rsid w:val="006653DC"/>
    <w:rsid w:val="0067091C"/>
    <w:rsid w:val="00673BD3"/>
    <w:rsid w:val="006843C0"/>
    <w:rsid w:val="00684537"/>
    <w:rsid w:val="00687A03"/>
    <w:rsid w:val="006924E1"/>
    <w:rsid w:val="006A796E"/>
    <w:rsid w:val="006B1D3A"/>
    <w:rsid w:val="006B2C68"/>
    <w:rsid w:val="006B2FE5"/>
    <w:rsid w:val="006C05E2"/>
    <w:rsid w:val="006C4B16"/>
    <w:rsid w:val="006C6282"/>
    <w:rsid w:val="006C62B5"/>
    <w:rsid w:val="006D49B2"/>
    <w:rsid w:val="006D4A3A"/>
    <w:rsid w:val="006D784E"/>
    <w:rsid w:val="006E1CD5"/>
    <w:rsid w:val="006F0B95"/>
    <w:rsid w:val="006F10FB"/>
    <w:rsid w:val="006F622C"/>
    <w:rsid w:val="0070109A"/>
    <w:rsid w:val="007056BE"/>
    <w:rsid w:val="00712A8C"/>
    <w:rsid w:val="007155CA"/>
    <w:rsid w:val="007160DB"/>
    <w:rsid w:val="007165E7"/>
    <w:rsid w:val="007171B3"/>
    <w:rsid w:val="00717CA7"/>
    <w:rsid w:val="00724163"/>
    <w:rsid w:val="007244E7"/>
    <w:rsid w:val="00731F99"/>
    <w:rsid w:val="00734D83"/>
    <w:rsid w:val="00735BB1"/>
    <w:rsid w:val="00736483"/>
    <w:rsid w:val="00741389"/>
    <w:rsid w:val="00742669"/>
    <w:rsid w:val="00746C55"/>
    <w:rsid w:val="0075084C"/>
    <w:rsid w:val="007601E6"/>
    <w:rsid w:val="00763182"/>
    <w:rsid w:val="00772F95"/>
    <w:rsid w:val="00774564"/>
    <w:rsid w:val="0077767C"/>
    <w:rsid w:val="00782001"/>
    <w:rsid w:val="007849EE"/>
    <w:rsid w:val="00785C93"/>
    <w:rsid w:val="00786996"/>
    <w:rsid w:val="00787884"/>
    <w:rsid w:val="00792CD6"/>
    <w:rsid w:val="00793375"/>
    <w:rsid w:val="00794951"/>
    <w:rsid w:val="007A1CD9"/>
    <w:rsid w:val="007A34FC"/>
    <w:rsid w:val="007B2199"/>
    <w:rsid w:val="007B4A64"/>
    <w:rsid w:val="007B746A"/>
    <w:rsid w:val="007C1E7C"/>
    <w:rsid w:val="007C4CF4"/>
    <w:rsid w:val="007C5F91"/>
    <w:rsid w:val="007C6D29"/>
    <w:rsid w:val="007D1155"/>
    <w:rsid w:val="007D2B5F"/>
    <w:rsid w:val="007D4DF9"/>
    <w:rsid w:val="007D6047"/>
    <w:rsid w:val="007D7BDE"/>
    <w:rsid w:val="007E4DB6"/>
    <w:rsid w:val="007E73D1"/>
    <w:rsid w:val="007F03FF"/>
    <w:rsid w:val="007F0602"/>
    <w:rsid w:val="007F20F1"/>
    <w:rsid w:val="007F22BF"/>
    <w:rsid w:val="007F4D36"/>
    <w:rsid w:val="007F6227"/>
    <w:rsid w:val="007F681E"/>
    <w:rsid w:val="007F7EF1"/>
    <w:rsid w:val="00803009"/>
    <w:rsid w:val="00804A5A"/>
    <w:rsid w:val="0081717F"/>
    <w:rsid w:val="00821CB7"/>
    <w:rsid w:val="00822763"/>
    <w:rsid w:val="00824E42"/>
    <w:rsid w:val="00827BD1"/>
    <w:rsid w:val="00830DF5"/>
    <w:rsid w:val="008310A4"/>
    <w:rsid w:val="008327F3"/>
    <w:rsid w:val="00837153"/>
    <w:rsid w:val="00842334"/>
    <w:rsid w:val="00843EE5"/>
    <w:rsid w:val="0084465D"/>
    <w:rsid w:val="00844A64"/>
    <w:rsid w:val="00846045"/>
    <w:rsid w:val="00846258"/>
    <w:rsid w:val="00847EF6"/>
    <w:rsid w:val="00850AFA"/>
    <w:rsid w:val="00853436"/>
    <w:rsid w:val="00854672"/>
    <w:rsid w:val="00855243"/>
    <w:rsid w:val="0085744B"/>
    <w:rsid w:val="00857E16"/>
    <w:rsid w:val="008601D9"/>
    <w:rsid w:val="00861687"/>
    <w:rsid w:val="00872E1C"/>
    <w:rsid w:val="00874860"/>
    <w:rsid w:val="0088098E"/>
    <w:rsid w:val="008818E9"/>
    <w:rsid w:val="00882214"/>
    <w:rsid w:val="008841FB"/>
    <w:rsid w:val="008904E7"/>
    <w:rsid w:val="00891DEF"/>
    <w:rsid w:val="00893F0A"/>
    <w:rsid w:val="00895342"/>
    <w:rsid w:val="00895729"/>
    <w:rsid w:val="00897E47"/>
    <w:rsid w:val="008A2FAC"/>
    <w:rsid w:val="008A50D0"/>
    <w:rsid w:val="008B4BCB"/>
    <w:rsid w:val="008C1765"/>
    <w:rsid w:val="008C491A"/>
    <w:rsid w:val="008D51FE"/>
    <w:rsid w:val="008E0073"/>
    <w:rsid w:val="008E39C0"/>
    <w:rsid w:val="008E5224"/>
    <w:rsid w:val="008E5973"/>
    <w:rsid w:val="008F3A7D"/>
    <w:rsid w:val="008F4729"/>
    <w:rsid w:val="008F5372"/>
    <w:rsid w:val="008F68DC"/>
    <w:rsid w:val="008F7E48"/>
    <w:rsid w:val="00905F92"/>
    <w:rsid w:val="00916986"/>
    <w:rsid w:val="0091744A"/>
    <w:rsid w:val="00920218"/>
    <w:rsid w:val="009233C9"/>
    <w:rsid w:val="00927BD7"/>
    <w:rsid w:val="00933FAD"/>
    <w:rsid w:val="00934369"/>
    <w:rsid w:val="00940006"/>
    <w:rsid w:val="009417EC"/>
    <w:rsid w:val="00942A74"/>
    <w:rsid w:val="00953E54"/>
    <w:rsid w:val="009557E3"/>
    <w:rsid w:val="009641F1"/>
    <w:rsid w:val="009652BC"/>
    <w:rsid w:val="00966EA0"/>
    <w:rsid w:val="00970B0F"/>
    <w:rsid w:val="00972A77"/>
    <w:rsid w:val="009756BD"/>
    <w:rsid w:val="009826F1"/>
    <w:rsid w:val="00990950"/>
    <w:rsid w:val="009922C1"/>
    <w:rsid w:val="009941E1"/>
    <w:rsid w:val="009A1E5F"/>
    <w:rsid w:val="009A475C"/>
    <w:rsid w:val="009B0C95"/>
    <w:rsid w:val="009B44AC"/>
    <w:rsid w:val="009B64AE"/>
    <w:rsid w:val="009C248B"/>
    <w:rsid w:val="009C7C33"/>
    <w:rsid w:val="009D1B24"/>
    <w:rsid w:val="009D4349"/>
    <w:rsid w:val="009D541F"/>
    <w:rsid w:val="009D641A"/>
    <w:rsid w:val="009D6C52"/>
    <w:rsid w:val="009D7534"/>
    <w:rsid w:val="009E05EC"/>
    <w:rsid w:val="009E13C8"/>
    <w:rsid w:val="009E266E"/>
    <w:rsid w:val="009F4A13"/>
    <w:rsid w:val="00A00903"/>
    <w:rsid w:val="00A07039"/>
    <w:rsid w:val="00A12D19"/>
    <w:rsid w:val="00A17B2E"/>
    <w:rsid w:val="00A24713"/>
    <w:rsid w:val="00A248C3"/>
    <w:rsid w:val="00A318B8"/>
    <w:rsid w:val="00A3550F"/>
    <w:rsid w:val="00A408F5"/>
    <w:rsid w:val="00A4099D"/>
    <w:rsid w:val="00A416F0"/>
    <w:rsid w:val="00A45C5B"/>
    <w:rsid w:val="00A45EC3"/>
    <w:rsid w:val="00A460A2"/>
    <w:rsid w:val="00A569DC"/>
    <w:rsid w:val="00A60856"/>
    <w:rsid w:val="00A60D9E"/>
    <w:rsid w:val="00A66EF9"/>
    <w:rsid w:val="00A67B79"/>
    <w:rsid w:val="00A67EAA"/>
    <w:rsid w:val="00A700A5"/>
    <w:rsid w:val="00A7205F"/>
    <w:rsid w:val="00A747CE"/>
    <w:rsid w:val="00A77E2F"/>
    <w:rsid w:val="00A80481"/>
    <w:rsid w:val="00A81789"/>
    <w:rsid w:val="00A86130"/>
    <w:rsid w:val="00A875F9"/>
    <w:rsid w:val="00A91982"/>
    <w:rsid w:val="00A926E6"/>
    <w:rsid w:val="00A9554B"/>
    <w:rsid w:val="00A974CF"/>
    <w:rsid w:val="00AA05B3"/>
    <w:rsid w:val="00AA106B"/>
    <w:rsid w:val="00AA537A"/>
    <w:rsid w:val="00AA7AAC"/>
    <w:rsid w:val="00AB37F5"/>
    <w:rsid w:val="00AB410C"/>
    <w:rsid w:val="00AC4156"/>
    <w:rsid w:val="00AD3AC3"/>
    <w:rsid w:val="00AD6DAB"/>
    <w:rsid w:val="00AE339E"/>
    <w:rsid w:val="00AE56FC"/>
    <w:rsid w:val="00AE5F1A"/>
    <w:rsid w:val="00AE77B7"/>
    <w:rsid w:val="00AF11CA"/>
    <w:rsid w:val="00AF21CB"/>
    <w:rsid w:val="00AF2FCB"/>
    <w:rsid w:val="00AF5820"/>
    <w:rsid w:val="00B0110F"/>
    <w:rsid w:val="00B03AD0"/>
    <w:rsid w:val="00B1027C"/>
    <w:rsid w:val="00B12231"/>
    <w:rsid w:val="00B123EF"/>
    <w:rsid w:val="00B131FE"/>
    <w:rsid w:val="00B148A3"/>
    <w:rsid w:val="00B14D8D"/>
    <w:rsid w:val="00B17037"/>
    <w:rsid w:val="00B171E9"/>
    <w:rsid w:val="00B22807"/>
    <w:rsid w:val="00B35897"/>
    <w:rsid w:val="00B366B1"/>
    <w:rsid w:val="00B4673C"/>
    <w:rsid w:val="00B479DB"/>
    <w:rsid w:val="00B50156"/>
    <w:rsid w:val="00B50273"/>
    <w:rsid w:val="00B50B36"/>
    <w:rsid w:val="00B52D81"/>
    <w:rsid w:val="00B627B4"/>
    <w:rsid w:val="00B63B0E"/>
    <w:rsid w:val="00B6513A"/>
    <w:rsid w:val="00B73117"/>
    <w:rsid w:val="00B76A17"/>
    <w:rsid w:val="00B779A4"/>
    <w:rsid w:val="00B80E21"/>
    <w:rsid w:val="00B81270"/>
    <w:rsid w:val="00B8354A"/>
    <w:rsid w:val="00B84B62"/>
    <w:rsid w:val="00B9076E"/>
    <w:rsid w:val="00B92962"/>
    <w:rsid w:val="00B92AC3"/>
    <w:rsid w:val="00B93651"/>
    <w:rsid w:val="00B93973"/>
    <w:rsid w:val="00B93B81"/>
    <w:rsid w:val="00B95AF1"/>
    <w:rsid w:val="00BA172F"/>
    <w:rsid w:val="00BA4E45"/>
    <w:rsid w:val="00BA6C76"/>
    <w:rsid w:val="00BB17CC"/>
    <w:rsid w:val="00BB4952"/>
    <w:rsid w:val="00BB6EAD"/>
    <w:rsid w:val="00BC0E0D"/>
    <w:rsid w:val="00BC2B09"/>
    <w:rsid w:val="00BC3CF4"/>
    <w:rsid w:val="00BC7096"/>
    <w:rsid w:val="00BD1CE7"/>
    <w:rsid w:val="00BD28B1"/>
    <w:rsid w:val="00BD2B8F"/>
    <w:rsid w:val="00BD66D3"/>
    <w:rsid w:val="00BE469E"/>
    <w:rsid w:val="00BE6049"/>
    <w:rsid w:val="00BF2C4D"/>
    <w:rsid w:val="00BF52A9"/>
    <w:rsid w:val="00C01150"/>
    <w:rsid w:val="00C0166D"/>
    <w:rsid w:val="00C0724F"/>
    <w:rsid w:val="00C1271B"/>
    <w:rsid w:val="00C152C3"/>
    <w:rsid w:val="00C167BB"/>
    <w:rsid w:val="00C179E2"/>
    <w:rsid w:val="00C31FE8"/>
    <w:rsid w:val="00C3221F"/>
    <w:rsid w:val="00C334C6"/>
    <w:rsid w:val="00C351C2"/>
    <w:rsid w:val="00C369A1"/>
    <w:rsid w:val="00C461A0"/>
    <w:rsid w:val="00C53D1C"/>
    <w:rsid w:val="00C540E3"/>
    <w:rsid w:val="00C54B05"/>
    <w:rsid w:val="00C56BD4"/>
    <w:rsid w:val="00C61DF1"/>
    <w:rsid w:val="00C624F9"/>
    <w:rsid w:val="00C62F99"/>
    <w:rsid w:val="00C64D95"/>
    <w:rsid w:val="00C66113"/>
    <w:rsid w:val="00C709B0"/>
    <w:rsid w:val="00C7608B"/>
    <w:rsid w:val="00C90918"/>
    <w:rsid w:val="00C90F38"/>
    <w:rsid w:val="00C95F9D"/>
    <w:rsid w:val="00C96A0D"/>
    <w:rsid w:val="00CA4F25"/>
    <w:rsid w:val="00CA7ED2"/>
    <w:rsid w:val="00CB756B"/>
    <w:rsid w:val="00CC0E33"/>
    <w:rsid w:val="00CC3AA8"/>
    <w:rsid w:val="00CC59B1"/>
    <w:rsid w:val="00CC66B9"/>
    <w:rsid w:val="00CD1D85"/>
    <w:rsid w:val="00CD3303"/>
    <w:rsid w:val="00CD77DD"/>
    <w:rsid w:val="00CE1132"/>
    <w:rsid w:val="00CE4DAF"/>
    <w:rsid w:val="00CE5064"/>
    <w:rsid w:val="00CE53BD"/>
    <w:rsid w:val="00CE5CA3"/>
    <w:rsid w:val="00CF281F"/>
    <w:rsid w:val="00CF2BAB"/>
    <w:rsid w:val="00CF4505"/>
    <w:rsid w:val="00D0741A"/>
    <w:rsid w:val="00D15F30"/>
    <w:rsid w:val="00D245ED"/>
    <w:rsid w:val="00D30D55"/>
    <w:rsid w:val="00D34925"/>
    <w:rsid w:val="00D349AB"/>
    <w:rsid w:val="00D40A33"/>
    <w:rsid w:val="00D41D43"/>
    <w:rsid w:val="00D4704C"/>
    <w:rsid w:val="00D60EAD"/>
    <w:rsid w:val="00D6303D"/>
    <w:rsid w:val="00D631E7"/>
    <w:rsid w:val="00D63B84"/>
    <w:rsid w:val="00D6522D"/>
    <w:rsid w:val="00D66343"/>
    <w:rsid w:val="00D6692F"/>
    <w:rsid w:val="00D7167F"/>
    <w:rsid w:val="00D741A2"/>
    <w:rsid w:val="00D76335"/>
    <w:rsid w:val="00D77A53"/>
    <w:rsid w:val="00D815F2"/>
    <w:rsid w:val="00D86A54"/>
    <w:rsid w:val="00D86ABB"/>
    <w:rsid w:val="00D9512C"/>
    <w:rsid w:val="00D97A9F"/>
    <w:rsid w:val="00DA34CC"/>
    <w:rsid w:val="00DA7380"/>
    <w:rsid w:val="00DB39D5"/>
    <w:rsid w:val="00DB3C6B"/>
    <w:rsid w:val="00DC4EAE"/>
    <w:rsid w:val="00DC544A"/>
    <w:rsid w:val="00DC79DC"/>
    <w:rsid w:val="00DD114B"/>
    <w:rsid w:val="00DD1F7B"/>
    <w:rsid w:val="00DD3ECC"/>
    <w:rsid w:val="00DD6268"/>
    <w:rsid w:val="00DE56E9"/>
    <w:rsid w:val="00DF037B"/>
    <w:rsid w:val="00DF3D9F"/>
    <w:rsid w:val="00DF5F38"/>
    <w:rsid w:val="00DF6796"/>
    <w:rsid w:val="00E054AE"/>
    <w:rsid w:val="00E06175"/>
    <w:rsid w:val="00E1003D"/>
    <w:rsid w:val="00E10218"/>
    <w:rsid w:val="00E103A9"/>
    <w:rsid w:val="00E123E3"/>
    <w:rsid w:val="00E163EA"/>
    <w:rsid w:val="00E16D2D"/>
    <w:rsid w:val="00E31E44"/>
    <w:rsid w:val="00E441D0"/>
    <w:rsid w:val="00E45707"/>
    <w:rsid w:val="00E46C40"/>
    <w:rsid w:val="00E52442"/>
    <w:rsid w:val="00E55735"/>
    <w:rsid w:val="00E55FC1"/>
    <w:rsid w:val="00E57EC3"/>
    <w:rsid w:val="00E63A7F"/>
    <w:rsid w:val="00E651C0"/>
    <w:rsid w:val="00E675B9"/>
    <w:rsid w:val="00E70A55"/>
    <w:rsid w:val="00E74D4A"/>
    <w:rsid w:val="00E77FEF"/>
    <w:rsid w:val="00E943BC"/>
    <w:rsid w:val="00E94FAD"/>
    <w:rsid w:val="00EA22C7"/>
    <w:rsid w:val="00EA2ADD"/>
    <w:rsid w:val="00EA3BC0"/>
    <w:rsid w:val="00EA5091"/>
    <w:rsid w:val="00EB0CA9"/>
    <w:rsid w:val="00EB4F05"/>
    <w:rsid w:val="00EC1B8A"/>
    <w:rsid w:val="00EC336C"/>
    <w:rsid w:val="00EC4BD1"/>
    <w:rsid w:val="00ED7570"/>
    <w:rsid w:val="00EE1C1D"/>
    <w:rsid w:val="00EE4907"/>
    <w:rsid w:val="00EE51B9"/>
    <w:rsid w:val="00EE7830"/>
    <w:rsid w:val="00EF1358"/>
    <w:rsid w:val="00EF30E3"/>
    <w:rsid w:val="00EF5C62"/>
    <w:rsid w:val="00EF5F87"/>
    <w:rsid w:val="00EF6861"/>
    <w:rsid w:val="00F03C64"/>
    <w:rsid w:val="00F04D00"/>
    <w:rsid w:val="00F13744"/>
    <w:rsid w:val="00F15A6B"/>
    <w:rsid w:val="00F174F0"/>
    <w:rsid w:val="00F20DF7"/>
    <w:rsid w:val="00F213EC"/>
    <w:rsid w:val="00F33E80"/>
    <w:rsid w:val="00F34ED5"/>
    <w:rsid w:val="00F37735"/>
    <w:rsid w:val="00F42E45"/>
    <w:rsid w:val="00F52878"/>
    <w:rsid w:val="00F53EEB"/>
    <w:rsid w:val="00F54231"/>
    <w:rsid w:val="00F60D56"/>
    <w:rsid w:val="00F6380F"/>
    <w:rsid w:val="00F72EE8"/>
    <w:rsid w:val="00F761D5"/>
    <w:rsid w:val="00F76B55"/>
    <w:rsid w:val="00F76E1F"/>
    <w:rsid w:val="00F80BAD"/>
    <w:rsid w:val="00F8128D"/>
    <w:rsid w:val="00F81293"/>
    <w:rsid w:val="00F82EBC"/>
    <w:rsid w:val="00F837D9"/>
    <w:rsid w:val="00F84517"/>
    <w:rsid w:val="00F84AFE"/>
    <w:rsid w:val="00F912D4"/>
    <w:rsid w:val="00F92AE9"/>
    <w:rsid w:val="00F96B5D"/>
    <w:rsid w:val="00FA2493"/>
    <w:rsid w:val="00FA33DD"/>
    <w:rsid w:val="00FA6FF4"/>
    <w:rsid w:val="00FB0A86"/>
    <w:rsid w:val="00FC0A01"/>
    <w:rsid w:val="00FC10C8"/>
    <w:rsid w:val="00FC1746"/>
    <w:rsid w:val="00FC5552"/>
    <w:rsid w:val="00FD1173"/>
    <w:rsid w:val="00FD119E"/>
    <w:rsid w:val="00FD2FFC"/>
    <w:rsid w:val="00FD3FFF"/>
    <w:rsid w:val="00FE271C"/>
    <w:rsid w:val="00FE3647"/>
    <w:rsid w:val="00FF3276"/>
  </w:rsids>
  <m:mathPr>
    <m:mathFont m:val="Cambria Math"/>
    <m:brkBin m:val="before"/>
    <m:brkBinSub m:val="--"/>
    <m:smallFrac m:val="0"/>
    <m:dispDef/>
    <m:lMargin m:val="0"/>
    <m:rMargin m:val="0"/>
    <m:defJc m:val="centerGroup"/>
    <m:wrapIndent m:val="1440"/>
    <m:intLim m:val="subSup"/>
    <m:naryLim m:val="undOvr"/>
  </m:mathPr>
  <w:themeFontLang w:val="en-ZA" w:eastAsia="zh-C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EA54EF"/>
  <w15:chartTrackingRefBased/>
  <w15:docId w15:val="{8D6632FF-32E3-4136-8917-9E9FCBD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rsid w:val="00454B2B"/>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color w:val="0000FF"/>
      <w:u w:val="single"/>
    </w:rPr>
  </w:style>
  <w:style w:type="character" w:customStyle="1" w:styleId="mc">
    <w:name w:val="mc"/>
    <w:basedOn w:val="DefaultParagraphFont"/>
    <w:rsid w:val="00374376"/>
  </w:style>
  <w:style w:type="paragraph" w:styleId="BalloonText">
    <w:name w:val="Balloon Text"/>
    <w:basedOn w:val="Normal"/>
    <w:link w:val="BalloonTextChar"/>
    <w:uiPriority w:val="99"/>
    <w:semiHidden/>
    <w:unhideWhenUsed/>
    <w:rsid w:val="00E1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A9"/>
    <w:rPr>
      <w:rFonts w:ascii="Segoe UI" w:hAnsi="Segoe UI" w:cs="Segoe UI"/>
      <w:sz w:val="18"/>
      <w:szCs w:val="18"/>
    </w:rPr>
  </w:style>
  <w:style w:type="paragraph" w:styleId="BodyText">
    <w:name w:val="Body Text"/>
    <w:basedOn w:val="Normal"/>
    <w:link w:val="BodyTextChar"/>
    <w:uiPriority w:val="1"/>
    <w:qFormat/>
    <w:rsid w:val="009F4A13"/>
    <w:pPr>
      <w:widowControl w:val="0"/>
      <w:autoSpaceDE w:val="0"/>
      <w:autoSpaceDN w:val="0"/>
      <w:adjustRightInd w:val="0"/>
      <w:spacing w:after="0" w:line="240" w:lineRule="auto"/>
      <w:ind w:left="112" w:firstLine="14"/>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99"/>
    <w:rsid w:val="009F4A13"/>
    <w:rPr>
      <w:rFonts w:ascii="Arial" w:eastAsiaTheme="minorEastAsia" w:hAnsi="Arial" w:cs="Arial"/>
      <w:sz w:val="24"/>
      <w:szCs w:val="24"/>
      <w:lang w:eastAsia="en-ZA"/>
    </w:rPr>
  </w:style>
  <w:style w:type="paragraph" w:customStyle="1" w:styleId="JUDGMENTNUMBERED">
    <w:name w:val="JUDGMENT NUMBERED"/>
    <w:basedOn w:val="Normal"/>
    <w:next w:val="JUDGMENTCONTINUED"/>
    <w:link w:val="JUDGMENTNUMBEREDChar"/>
    <w:qFormat/>
    <w:rsid w:val="00B93973"/>
    <w:pPr>
      <w:numPr>
        <w:numId w:val="7"/>
      </w:numPr>
      <w:spacing w:after="0" w:line="360" w:lineRule="auto"/>
      <w:ind w:left="1040"/>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B93973"/>
    <w:pPr>
      <w:numPr>
        <w:numId w:val="0"/>
      </w:numPr>
    </w:pPr>
  </w:style>
  <w:style w:type="character" w:customStyle="1" w:styleId="JUDGMENTNUMBEREDChar">
    <w:name w:val="JUDGMENT NUMBERED Char"/>
    <w:basedOn w:val="DefaultParagraphFont"/>
    <w:link w:val="JUDGMENTNUMBERED"/>
    <w:locked/>
    <w:rsid w:val="00B93973"/>
    <w:rPr>
      <w:rFonts w:ascii="Times New Roman" w:eastAsia="Times New Roman" w:hAnsi="Times New Roman" w:cs="Times New Roman"/>
      <w:sz w:val="26"/>
    </w:rPr>
  </w:style>
  <w:style w:type="paragraph" w:customStyle="1" w:styleId="Textbody">
    <w:name w:val="Text body"/>
    <w:basedOn w:val="Normal"/>
    <w:uiPriority w:val="99"/>
    <w:rsid w:val="000928F7"/>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JUGMENTNUMBERED">
    <w:name w:val="JUGMENT NUMBERED"/>
    <w:basedOn w:val="Normal"/>
    <w:uiPriority w:val="99"/>
    <w:rsid w:val="00933FAD"/>
    <w:pPr>
      <w:numPr>
        <w:numId w:val="10"/>
      </w:numPr>
      <w:spacing w:after="0" w:line="480" w:lineRule="auto"/>
      <w:jc w:val="both"/>
    </w:pPr>
    <w:rPr>
      <w:rFonts w:ascii="Times New Roman" w:eastAsia="Times New Roman" w:hAnsi="Times New Roman" w:cs="Times New Roman"/>
      <w:sz w:val="26"/>
      <w:szCs w:val="26"/>
      <w:lang w:eastAsia="en-ZA"/>
    </w:rPr>
  </w:style>
  <w:style w:type="character" w:styleId="CommentReference">
    <w:name w:val="annotation reference"/>
    <w:basedOn w:val="DefaultParagraphFont"/>
    <w:uiPriority w:val="99"/>
    <w:semiHidden/>
    <w:unhideWhenUsed/>
    <w:rsid w:val="00A9554B"/>
    <w:rPr>
      <w:sz w:val="16"/>
      <w:szCs w:val="16"/>
    </w:rPr>
  </w:style>
  <w:style w:type="paragraph" w:styleId="CommentText">
    <w:name w:val="annotation text"/>
    <w:basedOn w:val="Normal"/>
    <w:link w:val="CommentTextChar"/>
    <w:uiPriority w:val="99"/>
    <w:semiHidden/>
    <w:unhideWhenUsed/>
    <w:rsid w:val="00A9554B"/>
    <w:pPr>
      <w:spacing w:line="240" w:lineRule="auto"/>
    </w:pPr>
    <w:rPr>
      <w:sz w:val="20"/>
      <w:szCs w:val="20"/>
    </w:rPr>
  </w:style>
  <w:style w:type="character" w:customStyle="1" w:styleId="CommentTextChar">
    <w:name w:val="Comment Text Char"/>
    <w:basedOn w:val="DefaultParagraphFont"/>
    <w:link w:val="CommentText"/>
    <w:uiPriority w:val="99"/>
    <w:semiHidden/>
    <w:rsid w:val="00A9554B"/>
    <w:rPr>
      <w:sz w:val="20"/>
      <w:szCs w:val="20"/>
    </w:rPr>
  </w:style>
  <w:style w:type="paragraph" w:styleId="CommentSubject">
    <w:name w:val="annotation subject"/>
    <w:basedOn w:val="CommentText"/>
    <w:next w:val="CommentText"/>
    <w:link w:val="CommentSubjectChar"/>
    <w:uiPriority w:val="99"/>
    <w:semiHidden/>
    <w:unhideWhenUsed/>
    <w:rsid w:val="00A9554B"/>
    <w:rPr>
      <w:b/>
      <w:bCs/>
    </w:rPr>
  </w:style>
  <w:style w:type="character" w:customStyle="1" w:styleId="CommentSubjectChar">
    <w:name w:val="Comment Subject Char"/>
    <w:basedOn w:val="CommentTextChar"/>
    <w:link w:val="CommentSubject"/>
    <w:uiPriority w:val="99"/>
    <w:semiHidden/>
    <w:rsid w:val="00A95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497">
      <w:bodyDiv w:val="1"/>
      <w:marLeft w:val="0"/>
      <w:marRight w:val="0"/>
      <w:marTop w:val="0"/>
      <w:marBottom w:val="0"/>
      <w:divBdr>
        <w:top w:val="none" w:sz="0" w:space="0" w:color="auto"/>
        <w:left w:val="none" w:sz="0" w:space="0" w:color="auto"/>
        <w:bottom w:val="none" w:sz="0" w:space="0" w:color="auto"/>
        <w:right w:val="none" w:sz="0" w:space="0" w:color="auto"/>
      </w:divBdr>
      <w:divsChild>
        <w:div w:id="1835797095">
          <w:marLeft w:val="567"/>
          <w:marRight w:val="0"/>
          <w:marTop w:val="120"/>
          <w:marBottom w:val="0"/>
          <w:divBdr>
            <w:top w:val="none" w:sz="0" w:space="0" w:color="auto"/>
            <w:left w:val="none" w:sz="0" w:space="0" w:color="auto"/>
            <w:bottom w:val="none" w:sz="0" w:space="0" w:color="auto"/>
            <w:right w:val="none" w:sz="0" w:space="0" w:color="auto"/>
          </w:divBdr>
        </w:div>
        <w:div w:id="766312504">
          <w:marLeft w:val="1293"/>
          <w:marRight w:val="0"/>
          <w:marTop w:val="120"/>
          <w:marBottom w:val="0"/>
          <w:divBdr>
            <w:top w:val="none" w:sz="0" w:space="0" w:color="auto"/>
            <w:left w:val="none" w:sz="0" w:space="0" w:color="auto"/>
            <w:bottom w:val="none" w:sz="0" w:space="0" w:color="auto"/>
            <w:right w:val="none" w:sz="0" w:space="0" w:color="auto"/>
          </w:divBdr>
        </w:div>
        <w:div w:id="1732583907">
          <w:marLeft w:val="567"/>
          <w:marRight w:val="0"/>
          <w:marTop w:val="120"/>
          <w:marBottom w:val="0"/>
          <w:divBdr>
            <w:top w:val="none" w:sz="0" w:space="0" w:color="auto"/>
            <w:left w:val="none" w:sz="0" w:space="0" w:color="auto"/>
            <w:bottom w:val="none" w:sz="0" w:space="0" w:color="auto"/>
            <w:right w:val="none" w:sz="0" w:space="0" w:color="auto"/>
          </w:divBdr>
        </w:div>
      </w:divsChild>
    </w:div>
    <w:div w:id="349451921">
      <w:bodyDiv w:val="1"/>
      <w:marLeft w:val="0"/>
      <w:marRight w:val="0"/>
      <w:marTop w:val="0"/>
      <w:marBottom w:val="0"/>
      <w:divBdr>
        <w:top w:val="none" w:sz="0" w:space="0" w:color="auto"/>
        <w:left w:val="none" w:sz="0" w:space="0" w:color="auto"/>
        <w:bottom w:val="none" w:sz="0" w:space="0" w:color="auto"/>
        <w:right w:val="none" w:sz="0" w:space="0" w:color="auto"/>
      </w:divBdr>
    </w:div>
    <w:div w:id="601183813">
      <w:bodyDiv w:val="1"/>
      <w:marLeft w:val="0"/>
      <w:marRight w:val="0"/>
      <w:marTop w:val="0"/>
      <w:marBottom w:val="0"/>
      <w:divBdr>
        <w:top w:val="none" w:sz="0" w:space="0" w:color="auto"/>
        <w:left w:val="none" w:sz="0" w:space="0" w:color="auto"/>
        <w:bottom w:val="none" w:sz="0" w:space="0" w:color="auto"/>
        <w:right w:val="none" w:sz="0" w:space="0" w:color="auto"/>
      </w:divBdr>
      <w:divsChild>
        <w:div w:id="1219123953">
          <w:marLeft w:val="1134"/>
          <w:marRight w:val="0"/>
          <w:marTop w:val="120"/>
          <w:marBottom w:val="0"/>
          <w:divBdr>
            <w:top w:val="none" w:sz="0" w:space="0" w:color="auto"/>
            <w:left w:val="none" w:sz="0" w:space="0" w:color="auto"/>
            <w:bottom w:val="none" w:sz="0" w:space="0" w:color="auto"/>
            <w:right w:val="none" w:sz="0" w:space="0" w:color="auto"/>
          </w:divBdr>
        </w:div>
        <w:div w:id="2142141169">
          <w:marLeft w:val="1134"/>
          <w:marRight w:val="0"/>
          <w:marTop w:val="120"/>
          <w:marBottom w:val="0"/>
          <w:divBdr>
            <w:top w:val="none" w:sz="0" w:space="0" w:color="auto"/>
            <w:left w:val="none" w:sz="0" w:space="0" w:color="auto"/>
            <w:bottom w:val="none" w:sz="0" w:space="0" w:color="auto"/>
            <w:right w:val="none" w:sz="0" w:space="0" w:color="auto"/>
          </w:divBdr>
        </w:div>
        <w:div w:id="590968097">
          <w:marLeft w:val="1134"/>
          <w:marRight w:val="0"/>
          <w:marTop w:val="120"/>
          <w:marBottom w:val="0"/>
          <w:divBdr>
            <w:top w:val="none" w:sz="0" w:space="0" w:color="auto"/>
            <w:left w:val="none" w:sz="0" w:space="0" w:color="auto"/>
            <w:bottom w:val="none" w:sz="0" w:space="0" w:color="auto"/>
            <w:right w:val="none" w:sz="0" w:space="0" w:color="auto"/>
          </w:divBdr>
        </w:div>
      </w:divsChild>
    </w:div>
    <w:div w:id="697199221">
      <w:bodyDiv w:val="1"/>
      <w:marLeft w:val="0"/>
      <w:marRight w:val="0"/>
      <w:marTop w:val="0"/>
      <w:marBottom w:val="0"/>
      <w:divBdr>
        <w:top w:val="none" w:sz="0" w:space="0" w:color="auto"/>
        <w:left w:val="none" w:sz="0" w:space="0" w:color="auto"/>
        <w:bottom w:val="none" w:sz="0" w:space="0" w:color="auto"/>
        <w:right w:val="none" w:sz="0" w:space="0" w:color="auto"/>
      </w:divBdr>
      <w:divsChild>
        <w:div w:id="632515326">
          <w:marLeft w:val="0"/>
          <w:marRight w:val="0"/>
          <w:marTop w:val="120"/>
          <w:marBottom w:val="0"/>
          <w:divBdr>
            <w:top w:val="none" w:sz="0" w:space="0" w:color="auto"/>
            <w:left w:val="none" w:sz="0" w:space="0" w:color="auto"/>
            <w:bottom w:val="none" w:sz="0" w:space="0" w:color="auto"/>
            <w:right w:val="none" w:sz="0" w:space="0" w:color="auto"/>
          </w:divBdr>
        </w:div>
        <w:div w:id="1196771972">
          <w:marLeft w:val="567"/>
          <w:marRight w:val="0"/>
          <w:marTop w:val="60"/>
          <w:marBottom w:val="0"/>
          <w:divBdr>
            <w:top w:val="none" w:sz="0" w:space="0" w:color="auto"/>
            <w:left w:val="none" w:sz="0" w:space="0" w:color="auto"/>
            <w:bottom w:val="none" w:sz="0" w:space="0" w:color="auto"/>
            <w:right w:val="none" w:sz="0" w:space="0" w:color="auto"/>
          </w:divBdr>
        </w:div>
        <w:div w:id="1257664960">
          <w:marLeft w:val="0"/>
          <w:marRight w:val="0"/>
          <w:marTop w:val="120"/>
          <w:marBottom w:val="0"/>
          <w:divBdr>
            <w:top w:val="none" w:sz="0" w:space="0" w:color="auto"/>
            <w:left w:val="none" w:sz="0" w:space="0" w:color="auto"/>
            <w:bottom w:val="none" w:sz="0" w:space="0" w:color="auto"/>
            <w:right w:val="none" w:sz="0" w:space="0" w:color="auto"/>
          </w:divBdr>
        </w:div>
        <w:div w:id="45569715">
          <w:marLeft w:val="0"/>
          <w:marRight w:val="0"/>
          <w:marTop w:val="120"/>
          <w:marBottom w:val="0"/>
          <w:divBdr>
            <w:top w:val="none" w:sz="0" w:space="0" w:color="auto"/>
            <w:left w:val="none" w:sz="0" w:space="0" w:color="auto"/>
            <w:bottom w:val="none" w:sz="0" w:space="0" w:color="auto"/>
            <w:right w:val="none" w:sz="0" w:space="0" w:color="auto"/>
          </w:divBdr>
        </w:div>
        <w:div w:id="1097605173">
          <w:marLeft w:val="567"/>
          <w:marRight w:val="0"/>
          <w:marTop w:val="60"/>
          <w:marBottom w:val="0"/>
          <w:divBdr>
            <w:top w:val="none" w:sz="0" w:space="0" w:color="auto"/>
            <w:left w:val="none" w:sz="0" w:space="0" w:color="auto"/>
            <w:bottom w:val="none" w:sz="0" w:space="0" w:color="auto"/>
            <w:right w:val="none" w:sz="0" w:space="0" w:color="auto"/>
          </w:divBdr>
        </w:div>
      </w:divsChild>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168013249">
      <w:bodyDiv w:val="1"/>
      <w:marLeft w:val="0"/>
      <w:marRight w:val="0"/>
      <w:marTop w:val="0"/>
      <w:marBottom w:val="0"/>
      <w:divBdr>
        <w:top w:val="none" w:sz="0" w:space="0" w:color="auto"/>
        <w:left w:val="none" w:sz="0" w:space="0" w:color="auto"/>
        <w:bottom w:val="none" w:sz="0" w:space="0" w:color="auto"/>
        <w:right w:val="none" w:sz="0" w:space="0" w:color="auto"/>
      </w:divBdr>
      <w:divsChild>
        <w:div w:id="874079628">
          <w:marLeft w:val="0"/>
          <w:marRight w:val="0"/>
          <w:marTop w:val="60"/>
          <w:marBottom w:val="0"/>
          <w:divBdr>
            <w:top w:val="none" w:sz="0" w:space="0" w:color="auto"/>
            <w:left w:val="none" w:sz="0" w:space="0" w:color="auto"/>
            <w:bottom w:val="none" w:sz="0" w:space="0" w:color="auto"/>
            <w:right w:val="none" w:sz="0" w:space="0" w:color="auto"/>
          </w:divBdr>
        </w:div>
        <w:div w:id="1198347628">
          <w:marLeft w:val="851"/>
          <w:marRight w:val="0"/>
          <w:marTop w:val="60"/>
          <w:marBottom w:val="0"/>
          <w:divBdr>
            <w:top w:val="none" w:sz="0" w:space="0" w:color="auto"/>
            <w:left w:val="none" w:sz="0" w:space="0" w:color="auto"/>
            <w:bottom w:val="none" w:sz="0" w:space="0" w:color="auto"/>
            <w:right w:val="none" w:sz="0" w:space="0" w:color="auto"/>
          </w:divBdr>
        </w:div>
        <w:div w:id="804657961">
          <w:marLeft w:val="851"/>
          <w:marRight w:val="0"/>
          <w:marTop w:val="60"/>
          <w:marBottom w:val="0"/>
          <w:divBdr>
            <w:top w:val="none" w:sz="0" w:space="0" w:color="auto"/>
            <w:left w:val="none" w:sz="0" w:space="0" w:color="auto"/>
            <w:bottom w:val="none" w:sz="0" w:space="0" w:color="auto"/>
            <w:right w:val="none" w:sz="0" w:space="0" w:color="auto"/>
          </w:divBdr>
        </w:div>
        <w:div w:id="339698346">
          <w:marLeft w:val="851"/>
          <w:marRight w:val="0"/>
          <w:marTop w:val="60"/>
          <w:marBottom w:val="0"/>
          <w:divBdr>
            <w:top w:val="none" w:sz="0" w:space="0" w:color="auto"/>
            <w:left w:val="none" w:sz="0" w:space="0" w:color="auto"/>
            <w:bottom w:val="none" w:sz="0" w:space="0" w:color="auto"/>
            <w:right w:val="none" w:sz="0" w:space="0" w:color="auto"/>
          </w:divBdr>
        </w:div>
      </w:divsChild>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361930759">
      <w:bodyDiv w:val="1"/>
      <w:marLeft w:val="0"/>
      <w:marRight w:val="0"/>
      <w:marTop w:val="0"/>
      <w:marBottom w:val="0"/>
      <w:divBdr>
        <w:top w:val="none" w:sz="0" w:space="0" w:color="auto"/>
        <w:left w:val="none" w:sz="0" w:space="0" w:color="auto"/>
        <w:bottom w:val="none" w:sz="0" w:space="0" w:color="auto"/>
        <w:right w:val="none" w:sz="0" w:space="0" w:color="auto"/>
      </w:divBdr>
    </w:div>
    <w:div w:id="1419256375">
      <w:bodyDiv w:val="1"/>
      <w:marLeft w:val="0"/>
      <w:marRight w:val="0"/>
      <w:marTop w:val="0"/>
      <w:marBottom w:val="0"/>
      <w:divBdr>
        <w:top w:val="none" w:sz="0" w:space="0" w:color="auto"/>
        <w:left w:val="none" w:sz="0" w:space="0" w:color="auto"/>
        <w:bottom w:val="none" w:sz="0" w:space="0" w:color="auto"/>
        <w:right w:val="none" w:sz="0" w:space="0" w:color="auto"/>
      </w:divBdr>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F90C-79B2-4427-8DC5-DE2869C2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Theshaya Naidoo (218035912)</cp:lastModifiedBy>
  <cp:revision>3</cp:revision>
  <cp:lastPrinted>2023-12-27T09:59:00Z</cp:lastPrinted>
  <dcterms:created xsi:type="dcterms:W3CDTF">2023-12-27T10:30:00Z</dcterms:created>
  <dcterms:modified xsi:type="dcterms:W3CDTF">2024-01-03T16:55:00Z</dcterms:modified>
</cp:coreProperties>
</file>