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A8" w:rsidRDefault="00EF11A8" w:rsidP="00EF11A8">
      <w:pPr>
        <w:ind w:left="2160" w:firstLine="720"/>
        <w:rPr>
          <w:rFonts w:ascii="Arial" w:hAnsi="Arial" w:cs="Arial"/>
          <w:b/>
          <w:u w:val="single"/>
        </w:rPr>
      </w:pPr>
      <w:bookmarkStart w:id="0" w:name="_GoBack"/>
      <w:bookmarkEnd w:id="0"/>
      <w:r w:rsidRPr="005B354E">
        <w:rPr>
          <w:rFonts w:asciiTheme="minorHAnsi" w:eastAsiaTheme="minorHAnsi" w:hAnsiTheme="minorHAnsi" w:cstheme="minorBidi"/>
          <w:noProof/>
          <w:lang w:val="en-ZA" w:eastAsia="en-ZA"/>
        </w:rPr>
        <w:drawing>
          <wp:anchor distT="0" distB="0" distL="114300" distR="114300" simplePos="0" relativeHeight="251659264" behindDoc="1" locked="0" layoutInCell="1" allowOverlap="1" wp14:anchorId="41A27A92" wp14:editId="1144FAF9">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DC6873" w:rsidRDefault="00DC6873" w:rsidP="00EF11A8">
      <w:pPr>
        <w:ind w:left="2160" w:firstLine="720"/>
        <w:rPr>
          <w:rFonts w:ascii="Arial" w:hAnsi="Arial" w:cs="Arial"/>
          <w:b/>
          <w:u w:val="single"/>
        </w:rPr>
      </w:pPr>
    </w:p>
    <w:p w:rsidR="00EF11A8" w:rsidRDefault="00EF11A8" w:rsidP="00EF11A8">
      <w:pPr>
        <w:ind w:left="1440" w:firstLine="720"/>
        <w:rPr>
          <w:rFonts w:ascii="Arial" w:hAnsi="Arial" w:cs="Arial"/>
          <w:b/>
          <w:u w:val="single"/>
        </w:rPr>
      </w:pPr>
      <w:r>
        <w:rPr>
          <w:rFonts w:ascii="Arial" w:hAnsi="Arial" w:cs="Arial"/>
          <w:b/>
          <w:u w:val="single"/>
        </w:rPr>
        <w:t>IN THE HIGH COURT OF SOUTH AFRICA,</w:t>
      </w:r>
    </w:p>
    <w:p w:rsidR="00EF11A8" w:rsidRDefault="00EF11A8" w:rsidP="00EF11A8">
      <w:pPr>
        <w:ind w:left="1440" w:firstLine="720"/>
        <w:rPr>
          <w:rFonts w:ascii="Arial" w:hAnsi="Arial" w:cs="Arial"/>
          <w:b/>
          <w:u w:val="single"/>
        </w:rPr>
      </w:pPr>
      <w:r>
        <w:rPr>
          <w:rFonts w:ascii="Arial" w:hAnsi="Arial" w:cs="Arial"/>
          <w:b/>
          <w:u w:val="single"/>
        </w:rPr>
        <w:t>FREE STATE DIVISION, BLOEMFONTEIN</w:t>
      </w:r>
    </w:p>
    <w:p w:rsidR="003F2617" w:rsidRDefault="003F2617" w:rsidP="00EF11A8">
      <w:pPr>
        <w:ind w:left="1440" w:firstLine="720"/>
        <w:rPr>
          <w:rFonts w:ascii="Arial" w:hAnsi="Arial" w:cs="Arial"/>
          <w:b/>
          <w:u w:val="single"/>
        </w:rPr>
      </w:pPr>
    </w:p>
    <w:p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A8" w:rsidRPr="005D6CBF" w:rsidRDefault="00EF11A8" w:rsidP="007C2356">
            <w:pPr>
              <w:rPr>
                <w:rFonts w:ascii="Arial" w:hAnsi="Arial" w:cs="Arial"/>
                <w:b/>
                <w:sz w:val="16"/>
                <w:szCs w:val="16"/>
              </w:rPr>
            </w:pPr>
            <w:r w:rsidRPr="005D6CBF">
              <w:rPr>
                <w:rFonts w:ascii="Arial" w:hAnsi="Arial" w:cs="Arial"/>
                <w:b/>
                <w:sz w:val="16"/>
                <w:szCs w:val="16"/>
              </w:rPr>
              <w:t>Reportable:                              NO</w:t>
            </w:r>
          </w:p>
          <w:p w:rsidR="00EF11A8" w:rsidRPr="005D6CBF" w:rsidRDefault="00EF11A8" w:rsidP="007C2356">
            <w:pPr>
              <w:rPr>
                <w:rFonts w:ascii="Arial" w:hAnsi="Arial" w:cs="Arial"/>
                <w:b/>
                <w:sz w:val="16"/>
                <w:szCs w:val="16"/>
              </w:rPr>
            </w:pPr>
            <w:r w:rsidRPr="005D6CBF">
              <w:rPr>
                <w:rFonts w:ascii="Arial" w:hAnsi="Arial" w:cs="Arial"/>
                <w:b/>
                <w:sz w:val="16"/>
                <w:szCs w:val="16"/>
              </w:rPr>
              <w:t>Of Interest to other Judges:   NO</w:t>
            </w:r>
          </w:p>
          <w:p w:rsidR="00EF11A8" w:rsidRPr="005D6CBF" w:rsidRDefault="00EF11A8" w:rsidP="007C2356">
            <w:pPr>
              <w:rPr>
                <w:rFonts w:ascii="Arial" w:hAnsi="Arial" w:cs="Arial"/>
                <w:b/>
                <w:sz w:val="16"/>
                <w:szCs w:val="16"/>
                <w:u w:val="single"/>
              </w:rPr>
            </w:pPr>
            <w:r w:rsidRPr="005D6CBF">
              <w:rPr>
                <w:rFonts w:ascii="Arial" w:hAnsi="Arial" w:cs="Arial"/>
                <w:b/>
                <w:sz w:val="16"/>
                <w:szCs w:val="16"/>
              </w:rPr>
              <w:t>Circulate to Magistrates:        NO</w:t>
            </w:r>
          </w:p>
        </w:tc>
      </w:tr>
    </w:tbl>
    <w:p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781F07" w:rsidRPr="005D6CBF" w:rsidRDefault="00EF11A8" w:rsidP="00EF11A8">
      <w:pPr>
        <w:jc w:val="right"/>
        <w:rPr>
          <w:rFonts w:ascii="Arial" w:hAnsi="Arial" w:cs="Arial"/>
          <w:b/>
        </w:rPr>
      </w:pPr>
      <w:r w:rsidRPr="005D6CBF">
        <w:rPr>
          <w:rFonts w:ascii="Arial" w:hAnsi="Arial" w:cs="Arial"/>
          <w:b/>
        </w:rPr>
        <w:tab/>
      </w:r>
      <w:r w:rsidRPr="005D6CBF">
        <w:rPr>
          <w:rFonts w:ascii="Arial" w:hAnsi="Arial" w:cs="Arial"/>
          <w:b/>
        </w:rPr>
        <w:tab/>
      </w:r>
      <w:r w:rsidRPr="005D6CBF">
        <w:rPr>
          <w:rFonts w:ascii="Arial" w:hAnsi="Arial" w:cs="Arial"/>
          <w:b/>
        </w:rPr>
        <w:tab/>
      </w:r>
      <w:r w:rsidRPr="005D6CBF">
        <w:rPr>
          <w:rFonts w:ascii="Arial" w:hAnsi="Arial" w:cs="Arial"/>
          <w:b/>
        </w:rPr>
        <w:tab/>
      </w:r>
      <w:r w:rsidR="00781F07" w:rsidRPr="005D6CBF">
        <w:rPr>
          <w:rFonts w:ascii="Arial" w:hAnsi="Arial" w:cs="Arial"/>
          <w:b/>
        </w:rPr>
        <w:t xml:space="preserve"> </w:t>
      </w:r>
      <w:r w:rsidR="0094642F" w:rsidRPr="005D6CBF">
        <w:rPr>
          <w:rFonts w:ascii="Arial" w:hAnsi="Arial" w:cs="Arial"/>
          <w:b/>
        </w:rPr>
        <w:t>C</w:t>
      </w:r>
      <w:r w:rsidR="004E243D">
        <w:rPr>
          <w:rFonts w:ascii="Arial" w:hAnsi="Arial" w:cs="Arial"/>
          <w:b/>
        </w:rPr>
        <w:t>ase No</w:t>
      </w:r>
      <w:r w:rsidR="00781F07" w:rsidRPr="005D6CBF">
        <w:rPr>
          <w:rFonts w:ascii="Arial" w:hAnsi="Arial" w:cs="Arial"/>
          <w:b/>
        </w:rPr>
        <w:t>:</w:t>
      </w:r>
      <w:r w:rsidR="00AA31A4">
        <w:rPr>
          <w:rFonts w:ascii="Arial" w:hAnsi="Arial" w:cs="Arial"/>
          <w:b/>
        </w:rPr>
        <w:t>4133</w:t>
      </w:r>
      <w:r w:rsidR="00781F07" w:rsidRPr="005D6CBF">
        <w:rPr>
          <w:rFonts w:ascii="Arial" w:hAnsi="Arial" w:cs="Arial"/>
          <w:b/>
        </w:rPr>
        <w:t>/</w:t>
      </w:r>
      <w:r w:rsidR="00AA31A4">
        <w:rPr>
          <w:rFonts w:ascii="Arial" w:hAnsi="Arial" w:cs="Arial"/>
          <w:b/>
        </w:rPr>
        <w:t>2022</w:t>
      </w:r>
    </w:p>
    <w:p w:rsidR="00EF11A8" w:rsidRPr="005D6CBF" w:rsidRDefault="00EF11A8" w:rsidP="00EF11A8">
      <w:pPr>
        <w:jc w:val="right"/>
        <w:rPr>
          <w:rFonts w:ascii="Arial" w:hAnsi="Arial" w:cs="Arial"/>
        </w:rPr>
      </w:pPr>
      <w:r w:rsidRPr="005D6CBF">
        <w:rPr>
          <w:rFonts w:ascii="Arial" w:hAnsi="Arial" w:cs="Arial"/>
        </w:rPr>
        <w:t xml:space="preserve"> </w:t>
      </w:r>
      <w:r w:rsidRPr="005D6CBF">
        <w:rPr>
          <w:rFonts w:ascii="Arial" w:hAnsi="Arial" w:cs="Arial"/>
        </w:rPr>
        <w:tab/>
        <w:t xml:space="preserve"> </w:t>
      </w:r>
    </w:p>
    <w:p w:rsidR="00781F07" w:rsidRPr="005D6CBF" w:rsidRDefault="00EF11A8" w:rsidP="00EF11A8">
      <w:pPr>
        <w:jc w:val="both"/>
        <w:rPr>
          <w:rFonts w:ascii="Arial" w:hAnsi="Arial" w:cs="Arial"/>
        </w:rPr>
      </w:pPr>
      <w:r w:rsidRPr="005D6CBF">
        <w:rPr>
          <w:rFonts w:ascii="Arial" w:hAnsi="Arial" w:cs="Arial"/>
        </w:rPr>
        <w:t>In the matter between:</w:t>
      </w:r>
    </w:p>
    <w:p w:rsidR="00EF11A8" w:rsidRPr="005D6CBF" w:rsidRDefault="00EF11A8" w:rsidP="00EF11A8">
      <w:pPr>
        <w:jc w:val="both"/>
        <w:rPr>
          <w:rFonts w:ascii="Arial" w:hAnsi="Arial" w:cs="Arial"/>
        </w:rPr>
      </w:pPr>
      <w:r w:rsidRPr="005D6CBF">
        <w:rPr>
          <w:rFonts w:ascii="Arial" w:hAnsi="Arial" w:cs="Arial"/>
        </w:rPr>
        <w:t xml:space="preserve"> </w:t>
      </w:r>
    </w:p>
    <w:p w:rsidR="00614299" w:rsidRDefault="00614299" w:rsidP="00614299">
      <w:pPr>
        <w:jc w:val="both"/>
        <w:rPr>
          <w:rFonts w:ascii="Arial" w:hAnsi="Arial" w:cs="Arial"/>
        </w:rPr>
      </w:pPr>
      <w:r>
        <w:rPr>
          <w:rFonts w:ascii="Arial" w:hAnsi="Arial" w:cs="Arial"/>
          <w:b/>
        </w:rPr>
        <w:t>ZWELIBANZI WILLIAM NGQUQU N.O.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14299">
        <w:rPr>
          <w:rFonts w:ascii="Arial" w:hAnsi="Arial" w:cs="Arial"/>
        </w:rPr>
        <w:t xml:space="preserve">Applicant </w:t>
      </w:r>
    </w:p>
    <w:p w:rsidR="00614299" w:rsidRDefault="00614299" w:rsidP="00614299">
      <w:pPr>
        <w:jc w:val="both"/>
        <w:rPr>
          <w:rFonts w:ascii="Arial" w:hAnsi="Arial" w:cs="Arial"/>
        </w:rPr>
      </w:pPr>
      <w:r>
        <w:rPr>
          <w:rFonts w:ascii="Arial" w:hAnsi="Arial" w:cs="Arial"/>
        </w:rPr>
        <w:t xml:space="preserve">(In his capacity as the executor of the deceased estate of the </w:t>
      </w:r>
    </w:p>
    <w:p w:rsidR="00614299" w:rsidRDefault="00614299" w:rsidP="00614299">
      <w:pPr>
        <w:jc w:val="both"/>
        <w:rPr>
          <w:rFonts w:ascii="Arial" w:hAnsi="Arial" w:cs="Arial"/>
        </w:rPr>
      </w:pPr>
      <w:r>
        <w:rPr>
          <w:rFonts w:ascii="Arial" w:hAnsi="Arial" w:cs="Arial"/>
        </w:rPr>
        <w:t>late Petru Steyn, Estate Number 360/2003)</w:t>
      </w:r>
    </w:p>
    <w:p w:rsidR="00614299" w:rsidRDefault="00614299" w:rsidP="00614299">
      <w:pPr>
        <w:jc w:val="both"/>
        <w:rPr>
          <w:rFonts w:ascii="Arial" w:hAnsi="Arial" w:cs="Arial"/>
        </w:rPr>
      </w:pPr>
    </w:p>
    <w:p w:rsidR="00614299" w:rsidRDefault="00614299" w:rsidP="00614299">
      <w:pPr>
        <w:jc w:val="both"/>
        <w:rPr>
          <w:rFonts w:ascii="Arial" w:hAnsi="Arial" w:cs="Arial"/>
        </w:rPr>
      </w:pPr>
      <w:r>
        <w:rPr>
          <w:rFonts w:ascii="Arial" w:hAnsi="Arial" w:cs="Arial"/>
        </w:rPr>
        <w:t xml:space="preserve">And </w:t>
      </w:r>
    </w:p>
    <w:p w:rsidR="00614299" w:rsidRDefault="00614299" w:rsidP="00614299">
      <w:pPr>
        <w:jc w:val="both"/>
        <w:rPr>
          <w:rFonts w:ascii="Arial" w:hAnsi="Arial" w:cs="Arial"/>
        </w:rPr>
      </w:pPr>
    </w:p>
    <w:p w:rsidR="00614299" w:rsidRPr="00614299" w:rsidRDefault="00614299" w:rsidP="00614299">
      <w:pPr>
        <w:jc w:val="both"/>
        <w:rPr>
          <w:rFonts w:ascii="Arial" w:hAnsi="Arial" w:cs="Arial"/>
        </w:rPr>
      </w:pPr>
      <w:r>
        <w:rPr>
          <w:rFonts w:ascii="Arial" w:hAnsi="Arial" w:cs="Arial"/>
          <w:b/>
        </w:rPr>
        <w:t>DANE STEYN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Respondent</w:t>
      </w:r>
    </w:p>
    <w:p w:rsidR="00614299" w:rsidRDefault="00614299" w:rsidP="000026C2">
      <w:pPr>
        <w:tabs>
          <w:tab w:val="left" w:pos="720"/>
          <w:tab w:val="left" w:pos="1440"/>
          <w:tab w:val="left" w:pos="2160"/>
          <w:tab w:val="left" w:pos="2880"/>
          <w:tab w:val="left" w:pos="3600"/>
          <w:tab w:val="left" w:pos="4320"/>
          <w:tab w:val="left" w:pos="5040"/>
          <w:tab w:val="left" w:pos="5760"/>
        </w:tabs>
        <w:jc w:val="both"/>
        <w:rPr>
          <w:rFonts w:ascii="Arial" w:hAnsi="Arial" w:cs="Arial"/>
          <w:b/>
        </w:rPr>
      </w:pPr>
    </w:p>
    <w:p w:rsidR="00614299" w:rsidRDefault="00614299" w:rsidP="000026C2">
      <w:pPr>
        <w:tabs>
          <w:tab w:val="left" w:pos="720"/>
          <w:tab w:val="left" w:pos="1440"/>
          <w:tab w:val="left" w:pos="2160"/>
          <w:tab w:val="left" w:pos="2880"/>
          <w:tab w:val="left" w:pos="3600"/>
          <w:tab w:val="left" w:pos="4320"/>
          <w:tab w:val="left" w:pos="5040"/>
          <w:tab w:val="left" w:pos="5760"/>
        </w:tabs>
        <w:jc w:val="both"/>
        <w:rPr>
          <w:rFonts w:ascii="Arial" w:hAnsi="Arial" w:cs="Arial"/>
          <w:b/>
        </w:rPr>
      </w:pPr>
    </w:p>
    <w:p w:rsidR="00614299" w:rsidRPr="00614299" w:rsidRDefault="00614299" w:rsidP="000026C2">
      <w:pPr>
        <w:tabs>
          <w:tab w:val="left" w:pos="720"/>
          <w:tab w:val="left" w:pos="1440"/>
          <w:tab w:val="left" w:pos="2160"/>
          <w:tab w:val="left" w:pos="2880"/>
          <w:tab w:val="left" w:pos="3600"/>
          <w:tab w:val="left" w:pos="4320"/>
          <w:tab w:val="left" w:pos="5040"/>
          <w:tab w:val="left" w:pos="5760"/>
        </w:tabs>
        <w:jc w:val="both"/>
        <w:rPr>
          <w:rFonts w:ascii="Arial" w:hAnsi="Arial" w:cs="Arial"/>
        </w:rPr>
      </w:pPr>
      <w:r>
        <w:rPr>
          <w:rFonts w:ascii="Arial" w:hAnsi="Arial" w:cs="Arial"/>
        </w:rPr>
        <w:t>IN RE:</w:t>
      </w:r>
    </w:p>
    <w:p w:rsidR="00614299" w:rsidRDefault="00614299" w:rsidP="000026C2">
      <w:pPr>
        <w:tabs>
          <w:tab w:val="left" w:pos="720"/>
          <w:tab w:val="left" w:pos="1440"/>
          <w:tab w:val="left" w:pos="2160"/>
          <w:tab w:val="left" w:pos="2880"/>
          <w:tab w:val="left" w:pos="3600"/>
          <w:tab w:val="left" w:pos="4320"/>
          <w:tab w:val="left" w:pos="5040"/>
          <w:tab w:val="left" w:pos="5760"/>
        </w:tabs>
        <w:jc w:val="both"/>
        <w:rPr>
          <w:rFonts w:ascii="Arial" w:hAnsi="Arial" w:cs="Arial"/>
          <w:b/>
        </w:rPr>
      </w:pPr>
    </w:p>
    <w:p w:rsidR="00614299" w:rsidRDefault="00614299" w:rsidP="000026C2">
      <w:pPr>
        <w:tabs>
          <w:tab w:val="left" w:pos="720"/>
          <w:tab w:val="left" w:pos="1440"/>
          <w:tab w:val="left" w:pos="2160"/>
          <w:tab w:val="left" w:pos="2880"/>
          <w:tab w:val="left" w:pos="3600"/>
          <w:tab w:val="left" w:pos="4320"/>
          <w:tab w:val="left" w:pos="5040"/>
          <w:tab w:val="left" w:pos="5760"/>
        </w:tabs>
        <w:jc w:val="both"/>
        <w:rPr>
          <w:rFonts w:ascii="Arial" w:hAnsi="Arial" w:cs="Arial"/>
          <w:b/>
        </w:rPr>
      </w:pPr>
    </w:p>
    <w:p w:rsidR="004E243D" w:rsidRPr="00AA31A4" w:rsidRDefault="000026C2" w:rsidP="000026C2">
      <w:pPr>
        <w:tabs>
          <w:tab w:val="left" w:pos="720"/>
          <w:tab w:val="left" w:pos="1440"/>
          <w:tab w:val="left" w:pos="2160"/>
          <w:tab w:val="left" w:pos="2880"/>
          <w:tab w:val="left" w:pos="3600"/>
          <w:tab w:val="left" w:pos="4320"/>
          <w:tab w:val="left" w:pos="5040"/>
          <w:tab w:val="left" w:pos="5760"/>
        </w:tabs>
        <w:jc w:val="both"/>
        <w:rPr>
          <w:rFonts w:ascii="Arial" w:hAnsi="Arial" w:cs="Arial"/>
        </w:rPr>
      </w:pPr>
      <w:r>
        <w:rPr>
          <w:rFonts w:ascii="Arial" w:hAnsi="Arial" w:cs="Arial"/>
          <w:b/>
        </w:rPr>
        <w:t>DANẺ STEYN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E4D77">
        <w:rPr>
          <w:rFonts w:ascii="Arial" w:hAnsi="Arial" w:cs="Arial"/>
          <w:b/>
        </w:rPr>
        <w:tab/>
      </w:r>
      <w:r w:rsidR="00AA31A4">
        <w:rPr>
          <w:rFonts w:ascii="Arial" w:hAnsi="Arial" w:cs="Arial"/>
        </w:rPr>
        <w:t>Applicant</w:t>
      </w:r>
    </w:p>
    <w:p w:rsidR="003667D6" w:rsidRPr="005D6CBF" w:rsidRDefault="003667D6"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p>
    <w:p w:rsidR="00EF11A8" w:rsidRPr="005D6CBF" w:rsidRDefault="00EF11A8" w:rsidP="00EF11A8">
      <w:pPr>
        <w:jc w:val="both"/>
        <w:rPr>
          <w:rFonts w:ascii="Arial" w:hAnsi="Arial" w:cs="Arial"/>
        </w:rPr>
      </w:pPr>
      <w:r w:rsidRPr="005D6CBF">
        <w:rPr>
          <w:rFonts w:ascii="Arial" w:hAnsi="Arial" w:cs="Arial"/>
        </w:rPr>
        <w:t xml:space="preserve">and </w:t>
      </w:r>
    </w:p>
    <w:p w:rsidR="00781F07" w:rsidRDefault="00781F07" w:rsidP="00EF11A8">
      <w:pPr>
        <w:jc w:val="both"/>
        <w:rPr>
          <w:rFonts w:ascii="Arial" w:hAnsi="Arial" w:cs="Arial"/>
        </w:rPr>
      </w:pPr>
    </w:p>
    <w:p w:rsidR="00AA31A4" w:rsidRDefault="00AA31A4" w:rsidP="00EF11A8">
      <w:pPr>
        <w:jc w:val="both"/>
        <w:rPr>
          <w:rFonts w:ascii="Arial" w:hAnsi="Arial" w:cs="Arial"/>
        </w:rPr>
      </w:pPr>
      <w:r>
        <w:rPr>
          <w:rFonts w:ascii="Arial" w:hAnsi="Arial" w:cs="Arial"/>
          <w:b/>
        </w:rPr>
        <w:t>ZWELI</w:t>
      </w:r>
      <w:r w:rsidR="000026C2">
        <w:rPr>
          <w:rFonts w:ascii="Arial" w:hAnsi="Arial" w:cs="Arial"/>
          <w:b/>
        </w:rPr>
        <w:t>BANZI WILLIAM NGQUQU N.O.</w:t>
      </w:r>
      <w:r w:rsidR="000026C2">
        <w:rPr>
          <w:rFonts w:ascii="Arial" w:hAnsi="Arial" w:cs="Arial"/>
          <w:b/>
        </w:rPr>
        <w:tab/>
      </w:r>
      <w:r w:rsidR="000026C2">
        <w:rPr>
          <w:rFonts w:ascii="Arial" w:hAnsi="Arial" w:cs="Arial"/>
          <w:b/>
        </w:rPr>
        <w:tab/>
      </w:r>
      <w:r w:rsidR="000026C2">
        <w:rPr>
          <w:rFonts w:ascii="Arial" w:hAnsi="Arial" w:cs="Arial"/>
          <w:b/>
        </w:rPr>
        <w:tab/>
      </w:r>
      <w:r w:rsidR="000026C2">
        <w:rPr>
          <w:rFonts w:ascii="Arial" w:hAnsi="Arial" w:cs="Arial"/>
          <w:b/>
        </w:rPr>
        <w:tab/>
      </w:r>
      <w:r w:rsidR="000026C2">
        <w:rPr>
          <w:rFonts w:ascii="Arial" w:hAnsi="Arial" w:cs="Arial"/>
          <w:b/>
        </w:rPr>
        <w:tab/>
      </w:r>
      <w:r>
        <w:rPr>
          <w:rFonts w:ascii="Arial" w:hAnsi="Arial" w:cs="Arial"/>
        </w:rPr>
        <w:t>1</w:t>
      </w:r>
      <w:r w:rsidRPr="00AA31A4">
        <w:rPr>
          <w:rFonts w:ascii="Arial" w:hAnsi="Arial" w:cs="Arial"/>
          <w:vertAlign w:val="superscript"/>
        </w:rPr>
        <w:t>st</w:t>
      </w:r>
      <w:r>
        <w:rPr>
          <w:rFonts w:ascii="Arial" w:hAnsi="Arial" w:cs="Arial"/>
        </w:rPr>
        <w:t xml:space="preserve"> Respondent</w:t>
      </w:r>
    </w:p>
    <w:p w:rsidR="00AA31A4" w:rsidRDefault="00AA31A4" w:rsidP="00EF11A8">
      <w:pPr>
        <w:jc w:val="both"/>
        <w:rPr>
          <w:rFonts w:ascii="Arial" w:hAnsi="Arial" w:cs="Arial"/>
        </w:rPr>
      </w:pPr>
      <w:r>
        <w:rPr>
          <w:rFonts w:ascii="Arial" w:hAnsi="Arial" w:cs="Arial"/>
        </w:rPr>
        <w:t>(In his</w:t>
      </w:r>
      <w:r w:rsidR="000026C2">
        <w:rPr>
          <w:rFonts w:ascii="Arial" w:hAnsi="Arial" w:cs="Arial"/>
        </w:rPr>
        <w:t xml:space="preserve"> </w:t>
      </w:r>
      <w:r>
        <w:rPr>
          <w:rFonts w:ascii="Arial" w:hAnsi="Arial" w:cs="Arial"/>
        </w:rPr>
        <w:t xml:space="preserve">capacity as the executor of the deceased estate of the </w:t>
      </w:r>
    </w:p>
    <w:p w:rsidR="00AA31A4" w:rsidRDefault="00AA31A4" w:rsidP="00EF11A8">
      <w:pPr>
        <w:jc w:val="both"/>
        <w:rPr>
          <w:rFonts w:ascii="Arial" w:hAnsi="Arial" w:cs="Arial"/>
        </w:rPr>
      </w:pPr>
      <w:r>
        <w:rPr>
          <w:rFonts w:ascii="Arial" w:hAnsi="Arial" w:cs="Arial"/>
        </w:rPr>
        <w:t>late Petru Steyn, Estate Number 360/2003)</w:t>
      </w:r>
    </w:p>
    <w:p w:rsidR="00AA31A4" w:rsidRDefault="00AA31A4" w:rsidP="00EF11A8">
      <w:pPr>
        <w:jc w:val="both"/>
        <w:rPr>
          <w:rFonts w:ascii="Arial" w:hAnsi="Arial" w:cs="Arial"/>
        </w:rPr>
      </w:pPr>
    </w:p>
    <w:p w:rsidR="00AA31A4" w:rsidRDefault="00AA31A4" w:rsidP="00EF11A8">
      <w:pPr>
        <w:jc w:val="both"/>
        <w:rPr>
          <w:rFonts w:ascii="Arial" w:hAnsi="Arial" w:cs="Arial"/>
        </w:rPr>
      </w:pPr>
      <w:r>
        <w:rPr>
          <w:rFonts w:ascii="Arial" w:hAnsi="Arial" w:cs="Arial"/>
          <w:b/>
        </w:rPr>
        <w:t xml:space="preserve">MASTER OF </w:t>
      </w:r>
      <w:r w:rsidR="000026C2">
        <w:rPr>
          <w:rFonts w:ascii="Arial" w:hAnsi="Arial" w:cs="Arial"/>
          <w:b/>
        </w:rPr>
        <w:t>THE HIGH COURT BLOEMFONTEIN</w:t>
      </w:r>
      <w:r w:rsidR="000026C2">
        <w:rPr>
          <w:rFonts w:ascii="Arial" w:hAnsi="Arial" w:cs="Arial"/>
          <w:b/>
        </w:rPr>
        <w:tab/>
      </w:r>
      <w:r w:rsidR="000026C2">
        <w:rPr>
          <w:rFonts w:ascii="Arial" w:hAnsi="Arial" w:cs="Arial"/>
          <w:b/>
        </w:rPr>
        <w:tab/>
      </w:r>
      <w:r w:rsidR="000026C2">
        <w:rPr>
          <w:rFonts w:ascii="Arial" w:hAnsi="Arial" w:cs="Arial"/>
          <w:b/>
        </w:rPr>
        <w:tab/>
      </w:r>
      <w:r>
        <w:rPr>
          <w:rFonts w:ascii="Arial" w:hAnsi="Arial" w:cs="Arial"/>
        </w:rPr>
        <w:t>2</w:t>
      </w:r>
      <w:r w:rsidRPr="00AA31A4">
        <w:rPr>
          <w:rFonts w:ascii="Arial" w:hAnsi="Arial" w:cs="Arial"/>
          <w:vertAlign w:val="superscript"/>
        </w:rPr>
        <w:t>nd</w:t>
      </w:r>
      <w:r>
        <w:rPr>
          <w:rFonts w:ascii="Arial" w:hAnsi="Arial" w:cs="Arial"/>
        </w:rPr>
        <w:t xml:space="preserve"> Respondent</w:t>
      </w:r>
    </w:p>
    <w:p w:rsidR="00AA31A4" w:rsidRDefault="00AA31A4" w:rsidP="00EF11A8">
      <w:pPr>
        <w:jc w:val="both"/>
        <w:rPr>
          <w:rFonts w:ascii="Arial" w:hAnsi="Arial" w:cs="Arial"/>
        </w:rPr>
      </w:pPr>
    </w:p>
    <w:p w:rsidR="00AA31A4" w:rsidRDefault="00AA31A4" w:rsidP="00EF11A8">
      <w:pPr>
        <w:jc w:val="both"/>
        <w:rPr>
          <w:rFonts w:ascii="Arial" w:hAnsi="Arial" w:cs="Arial"/>
        </w:rPr>
      </w:pPr>
      <w:r>
        <w:rPr>
          <w:rFonts w:ascii="Arial" w:hAnsi="Arial" w:cs="Arial"/>
          <w:b/>
        </w:rPr>
        <w:t>THE REGI</w:t>
      </w:r>
      <w:r w:rsidR="000026C2">
        <w:rPr>
          <w:rFonts w:ascii="Arial" w:hAnsi="Arial" w:cs="Arial"/>
          <w:b/>
        </w:rPr>
        <w:t xml:space="preserve">STRAR OF DEED BLOEMFONTEIN </w:t>
      </w:r>
      <w:r w:rsidR="000026C2">
        <w:rPr>
          <w:rFonts w:ascii="Arial" w:hAnsi="Arial" w:cs="Arial"/>
          <w:b/>
        </w:rPr>
        <w:tab/>
      </w:r>
      <w:r w:rsidR="000026C2">
        <w:rPr>
          <w:rFonts w:ascii="Arial" w:hAnsi="Arial" w:cs="Arial"/>
          <w:b/>
        </w:rPr>
        <w:tab/>
      </w:r>
      <w:r w:rsidR="000026C2">
        <w:rPr>
          <w:rFonts w:ascii="Arial" w:hAnsi="Arial" w:cs="Arial"/>
          <w:b/>
        </w:rPr>
        <w:tab/>
      </w:r>
      <w:r>
        <w:rPr>
          <w:rFonts w:ascii="Arial" w:hAnsi="Arial" w:cs="Arial"/>
        </w:rPr>
        <w:t xml:space="preserve">3rd Respondent </w:t>
      </w:r>
    </w:p>
    <w:p w:rsidR="00AA31A4" w:rsidRDefault="00AA31A4" w:rsidP="00EF11A8">
      <w:pPr>
        <w:jc w:val="both"/>
        <w:rPr>
          <w:rFonts w:ascii="Arial" w:hAnsi="Arial" w:cs="Arial"/>
        </w:rPr>
      </w:pPr>
    </w:p>
    <w:p w:rsidR="00AA31A4" w:rsidRDefault="00AA31A4" w:rsidP="00EF11A8">
      <w:pPr>
        <w:jc w:val="both"/>
        <w:rPr>
          <w:rFonts w:ascii="Arial" w:hAnsi="Arial" w:cs="Arial"/>
        </w:rPr>
      </w:pPr>
      <w:r>
        <w:rPr>
          <w:rFonts w:ascii="Arial" w:hAnsi="Arial" w:cs="Arial"/>
          <w:b/>
        </w:rPr>
        <w:t>WATERL</w:t>
      </w:r>
      <w:r w:rsidR="000026C2">
        <w:rPr>
          <w:rFonts w:ascii="Arial" w:hAnsi="Arial" w:cs="Arial"/>
          <w:b/>
        </w:rPr>
        <w:t>AAGTE VOERKRAAL (PTY) LTD</w:t>
      </w:r>
      <w:r w:rsidR="000026C2">
        <w:rPr>
          <w:rFonts w:ascii="Arial" w:hAnsi="Arial" w:cs="Arial"/>
          <w:b/>
        </w:rPr>
        <w:tab/>
      </w:r>
      <w:r w:rsidR="000026C2">
        <w:rPr>
          <w:rFonts w:ascii="Arial" w:hAnsi="Arial" w:cs="Arial"/>
          <w:b/>
        </w:rPr>
        <w:tab/>
      </w:r>
      <w:r w:rsidR="000026C2">
        <w:rPr>
          <w:rFonts w:ascii="Arial" w:hAnsi="Arial" w:cs="Arial"/>
          <w:b/>
        </w:rPr>
        <w:tab/>
      </w:r>
      <w:r w:rsidR="000026C2">
        <w:rPr>
          <w:rFonts w:ascii="Arial" w:hAnsi="Arial" w:cs="Arial"/>
          <w:b/>
        </w:rPr>
        <w:tab/>
      </w:r>
      <w:r>
        <w:rPr>
          <w:rFonts w:ascii="Arial" w:hAnsi="Arial" w:cs="Arial"/>
        </w:rPr>
        <w:t>4</w:t>
      </w:r>
      <w:r w:rsidRPr="00AA31A4">
        <w:rPr>
          <w:rFonts w:ascii="Arial" w:hAnsi="Arial" w:cs="Arial"/>
          <w:vertAlign w:val="superscript"/>
        </w:rPr>
        <w:t>th</w:t>
      </w:r>
      <w:r>
        <w:rPr>
          <w:rFonts w:ascii="Arial" w:hAnsi="Arial" w:cs="Arial"/>
        </w:rPr>
        <w:t xml:space="preserve"> Respondent</w:t>
      </w:r>
    </w:p>
    <w:p w:rsidR="00AA31A4" w:rsidRDefault="00AA31A4" w:rsidP="00EF11A8">
      <w:pPr>
        <w:jc w:val="both"/>
        <w:rPr>
          <w:rFonts w:ascii="Arial" w:hAnsi="Arial" w:cs="Arial"/>
        </w:rPr>
      </w:pPr>
    </w:p>
    <w:p w:rsidR="00AA31A4" w:rsidRPr="00AA31A4" w:rsidRDefault="000026C2" w:rsidP="00EF11A8">
      <w:pPr>
        <w:jc w:val="both"/>
        <w:rPr>
          <w:rFonts w:ascii="Arial" w:hAnsi="Arial" w:cs="Arial"/>
        </w:rPr>
      </w:pPr>
      <w:r>
        <w:rPr>
          <w:rFonts w:ascii="Arial" w:hAnsi="Arial" w:cs="Arial"/>
          <w:b/>
        </w:rPr>
        <w:t>MARIETA STEYN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A31A4">
        <w:rPr>
          <w:rFonts w:ascii="Arial" w:hAnsi="Arial" w:cs="Arial"/>
        </w:rPr>
        <w:t>5</w:t>
      </w:r>
      <w:r w:rsidR="00AA31A4" w:rsidRPr="00AA31A4">
        <w:rPr>
          <w:rFonts w:ascii="Arial" w:hAnsi="Arial" w:cs="Arial"/>
          <w:vertAlign w:val="superscript"/>
        </w:rPr>
        <w:t>th</w:t>
      </w:r>
      <w:r w:rsidR="00AA31A4">
        <w:rPr>
          <w:rFonts w:ascii="Arial" w:hAnsi="Arial" w:cs="Arial"/>
        </w:rPr>
        <w:t xml:space="preserve"> Respondent   </w:t>
      </w:r>
    </w:p>
    <w:p w:rsidR="004E243D" w:rsidRPr="005D6CBF" w:rsidRDefault="004E243D" w:rsidP="00EF11A8">
      <w:pPr>
        <w:pBdr>
          <w:bottom w:val="single" w:sz="12" w:space="1" w:color="auto"/>
        </w:pBdr>
        <w:jc w:val="both"/>
        <w:rPr>
          <w:rFonts w:ascii="Arial" w:hAnsi="Arial" w:cs="Arial"/>
          <w:b/>
        </w:rPr>
      </w:pPr>
    </w:p>
    <w:p w:rsidR="00EF11A8" w:rsidRPr="005D6CBF" w:rsidRDefault="00EF11A8" w:rsidP="00EF11A8">
      <w:pPr>
        <w:contextualSpacing/>
        <w:jc w:val="both"/>
        <w:rPr>
          <w:rFonts w:ascii="Arial" w:hAnsi="Arial" w:cs="Arial"/>
          <w:b/>
          <w:u w:val="single"/>
        </w:rPr>
      </w:pPr>
    </w:p>
    <w:p w:rsidR="009E06E4" w:rsidRPr="005D6CBF" w:rsidRDefault="00797293" w:rsidP="009E06E4">
      <w:pPr>
        <w:contextualSpacing/>
        <w:jc w:val="both"/>
        <w:rPr>
          <w:rFonts w:ascii="Arial" w:hAnsi="Arial" w:cs="Arial"/>
          <w:b/>
          <w:u w:val="single"/>
        </w:rPr>
      </w:pPr>
      <w:r>
        <w:rPr>
          <w:rFonts w:ascii="Arial" w:hAnsi="Arial" w:cs="Arial"/>
          <w:b/>
          <w:u w:val="single"/>
        </w:rPr>
        <w:t>JUDGMENT BY</w:t>
      </w:r>
      <w:r w:rsidR="003F410D" w:rsidRPr="005D6CBF">
        <w:rPr>
          <w:rFonts w:ascii="Arial" w:hAnsi="Arial" w:cs="Arial"/>
          <w:b/>
        </w:rPr>
        <w:t xml:space="preserve">:                 </w:t>
      </w:r>
      <w:bookmarkStart w:id="1" w:name="_Hlk111883941"/>
      <w:r w:rsidR="009E06E4" w:rsidRPr="00F940D0">
        <w:rPr>
          <w:rFonts w:ascii="Arial" w:hAnsi="Arial" w:cs="Arial"/>
        </w:rPr>
        <w:t>MHLAMBI, J</w:t>
      </w:r>
      <w:bookmarkEnd w:id="1"/>
      <w:r w:rsidR="009E06E4" w:rsidRPr="00F940D0">
        <w:rPr>
          <w:rFonts w:ascii="Arial" w:hAnsi="Arial" w:cs="Arial"/>
        </w:rPr>
        <w:t xml:space="preserve"> </w:t>
      </w:r>
    </w:p>
    <w:p w:rsidR="003F410D" w:rsidRPr="003036C9" w:rsidRDefault="003F410D" w:rsidP="003036C9">
      <w:pPr>
        <w:ind w:right="26"/>
        <w:contextualSpacing/>
        <w:jc w:val="both"/>
        <w:rPr>
          <w:rFonts w:ascii="Arial" w:hAnsi="Arial" w:cs="Arial"/>
          <w:bCs/>
          <w:u w:val="single"/>
        </w:rPr>
      </w:pPr>
      <w:r w:rsidRPr="005D6CBF">
        <w:rPr>
          <w:rFonts w:ascii="Arial" w:hAnsi="Arial" w:cs="Arial"/>
          <w:b/>
          <w:u w:val="single"/>
        </w:rPr>
        <w:t>_________________________________________________________</w:t>
      </w:r>
      <w:r w:rsidR="003036C9">
        <w:rPr>
          <w:rFonts w:ascii="Arial" w:hAnsi="Arial" w:cs="Arial"/>
          <w:b/>
          <w:u w:val="single"/>
        </w:rPr>
        <w:t>__________</w:t>
      </w:r>
    </w:p>
    <w:p w:rsidR="003F410D" w:rsidRPr="005D6CBF" w:rsidRDefault="003F410D" w:rsidP="00EF11A8">
      <w:pPr>
        <w:contextualSpacing/>
        <w:jc w:val="both"/>
        <w:rPr>
          <w:rFonts w:ascii="Arial" w:hAnsi="Arial" w:cs="Arial"/>
          <w:b/>
          <w:u w:val="single"/>
        </w:rPr>
      </w:pPr>
    </w:p>
    <w:p w:rsidR="007C348D" w:rsidRPr="005D6CBF" w:rsidRDefault="00EF11A8" w:rsidP="00F87E7C">
      <w:pPr>
        <w:tabs>
          <w:tab w:val="left" w:pos="2880"/>
        </w:tabs>
        <w:ind w:left="1985" w:hanging="1985"/>
        <w:contextualSpacing/>
        <w:jc w:val="both"/>
        <w:rPr>
          <w:rFonts w:ascii="Arial" w:hAnsi="Arial" w:cs="Arial"/>
          <w:b/>
          <w:bCs/>
        </w:rPr>
      </w:pPr>
      <w:r w:rsidRPr="005D6CBF">
        <w:rPr>
          <w:rFonts w:ascii="Arial" w:hAnsi="Arial" w:cs="Arial"/>
          <w:b/>
          <w:u w:val="single"/>
        </w:rPr>
        <w:lastRenderedPageBreak/>
        <w:t>DELIVERED ON:</w:t>
      </w:r>
      <w:r w:rsidR="00F87E7C">
        <w:rPr>
          <w:rFonts w:ascii="Arial" w:hAnsi="Arial" w:cs="Arial"/>
          <w:b/>
        </w:rPr>
        <w:t xml:space="preserve">  </w:t>
      </w:r>
      <w:r w:rsidR="008B1736">
        <w:rPr>
          <w:rFonts w:ascii="Arial" w:hAnsi="Arial" w:cs="Arial"/>
        </w:rPr>
        <w:t xml:space="preserve">               07 DECEMBER 2023</w:t>
      </w:r>
    </w:p>
    <w:p w:rsidR="00891F14" w:rsidRPr="005D6CBF" w:rsidRDefault="00891F14" w:rsidP="00EF11A8">
      <w:pPr>
        <w:pBdr>
          <w:bottom w:val="single" w:sz="12" w:space="1" w:color="auto"/>
        </w:pBdr>
        <w:tabs>
          <w:tab w:val="left" w:pos="2940"/>
        </w:tabs>
        <w:contextualSpacing/>
        <w:jc w:val="both"/>
        <w:rPr>
          <w:rFonts w:ascii="Arial" w:hAnsi="Arial" w:cs="Arial"/>
          <w:b/>
          <w:bCs/>
          <w:u w:val="single"/>
        </w:rPr>
      </w:pPr>
    </w:p>
    <w:p w:rsidR="007C348D" w:rsidRDefault="007C348D" w:rsidP="007C348D">
      <w:pPr>
        <w:spacing w:line="360" w:lineRule="auto"/>
        <w:ind w:left="709" w:hanging="709"/>
        <w:jc w:val="both"/>
        <w:rPr>
          <w:rFonts w:ascii="Arial" w:hAnsi="Arial" w:cs="Arial"/>
          <w:sz w:val="28"/>
          <w:szCs w:val="28"/>
        </w:rPr>
      </w:pPr>
    </w:p>
    <w:p w:rsidR="00614299" w:rsidRDefault="002A631E" w:rsidP="00614299">
      <w:pPr>
        <w:spacing w:after="240" w:line="360" w:lineRule="auto"/>
        <w:ind w:left="567" w:hanging="567"/>
        <w:jc w:val="both"/>
        <w:rPr>
          <w:rFonts w:ascii="Arial" w:hAnsi="Arial" w:cs="Arial"/>
        </w:rPr>
      </w:pPr>
      <w:r>
        <w:rPr>
          <w:rFonts w:ascii="Arial" w:hAnsi="Arial" w:cs="Arial"/>
        </w:rPr>
        <w:t>[1]</w:t>
      </w:r>
      <w:r w:rsidR="00614299">
        <w:rPr>
          <w:rFonts w:ascii="Arial" w:hAnsi="Arial" w:cs="Arial"/>
        </w:rPr>
        <w:tab/>
        <w:t>This is an application for leave to appeal against the whole of the order and judgment delivered in January 2023 as well as the variation order date</w:t>
      </w:r>
      <w:r w:rsidR="00D3672C">
        <w:rPr>
          <w:rFonts w:ascii="Arial" w:hAnsi="Arial" w:cs="Arial"/>
        </w:rPr>
        <w:t>d</w:t>
      </w:r>
      <w:r w:rsidR="00614299">
        <w:rPr>
          <w:rFonts w:ascii="Arial" w:hAnsi="Arial" w:cs="Arial"/>
        </w:rPr>
        <w:t xml:space="preserve"> 9 June 2023 on the following grounds:</w:t>
      </w:r>
    </w:p>
    <w:p w:rsidR="00EE0A26" w:rsidRDefault="00614299" w:rsidP="00614299">
      <w:pPr>
        <w:spacing w:after="240" w:line="360" w:lineRule="auto"/>
        <w:ind w:left="851" w:hanging="284"/>
        <w:jc w:val="both"/>
        <w:rPr>
          <w:rFonts w:ascii="Arial" w:hAnsi="Arial" w:cs="Arial"/>
          <w:i/>
          <w:sz w:val="20"/>
          <w:szCs w:val="20"/>
        </w:rPr>
      </w:pPr>
      <w:r>
        <w:rPr>
          <w:rFonts w:ascii="Arial" w:hAnsi="Arial" w:cs="Arial"/>
          <w:i/>
          <w:sz w:val="20"/>
          <w:szCs w:val="20"/>
        </w:rPr>
        <w:t>“1.</w:t>
      </w:r>
      <w:r>
        <w:rPr>
          <w:rFonts w:ascii="Arial" w:hAnsi="Arial" w:cs="Arial"/>
          <w:i/>
          <w:sz w:val="20"/>
          <w:szCs w:val="20"/>
        </w:rPr>
        <w:tab/>
        <w:t xml:space="preserve">The </w:t>
      </w:r>
      <w:r w:rsidR="00EB7AC5">
        <w:rPr>
          <w:rFonts w:ascii="Arial" w:hAnsi="Arial" w:cs="Arial"/>
          <w:i/>
          <w:sz w:val="20"/>
          <w:szCs w:val="20"/>
        </w:rPr>
        <w:t>H</w:t>
      </w:r>
      <w:r>
        <w:rPr>
          <w:rFonts w:ascii="Arial" w:hAnsi="Arial" w:cs="Arial"/>
          <w:i/>
          <w:sz w:val="20"/>
          <w:szCs w:val="20"/>
        </w:rPr>
        <w:t xml:space="preserve">onourable Justice Mhlambi, while correctly </w:t>
      </w:r>
      <w:r w:rsidR="00D3672C">
        <w:rPr>
          <w:rFonts w:ascii="Arial" w:hAnsi="Arial" w:cs="Arial"/>
          <w:i/>
          <w:sz w:val="20"/>
          <w:szCs w:val="20"/>
        </w:rPr>
        <w:t>identifying</w:t>
      </w:r>
      <w:r>
        <w:rPr>
          <w:rFonts w:ascii="Arial" w:hAnsi="Arial" w:cs="Arial"/>
          <w:i/>
          <w:sz w:val="20"/>
          <w:szCs w:val="20"/>
        </w:rPr>
        <w:t xml:space="preserve"> at paragraph 23 of his judgment, that the controversy between the parties became moot, erred by in fact granting the order of costs against the First Respondent, as his decision was based on his finding that when the Master’s endorse</w:t>
      </w:r>
      <w:r w:rsidR="00EE0A26">
        <w:rPr>
          <w:rFonts w:ascii="Arial" w:hAnsi="Arial" w:cs="Arial"/>
          <w:i/>
          <w:sz w:val="20"/>
          <w:szCs w:val="20"/>
        </w:rPr>
        <w:t>ment was granted on 25 August 2022, the contract of sale was concluded in contravention of section 42(2) of the Administration of Estate Act 66 of 1995 as amended (the Act).</w:t>
      </w:r>
    </w:p>
    <w:p w:rsidR="00AE2738" w:rsidRPr="00804062" w:rsidRDefault="00804062" w:rsidP="00804062">
      <w:pPr>
        <w:spacing w:after="240" w:line="360" w:lineRule="auto"/>
        <w:ind w:left="1211" w:hanging="360"/>
        <w:jc w:val="both"/>
        <w:rPr>
          <w:rFonts w:ascii="Arial" w:hAnsi="Arial" w:cs="Arial"/>
          <w:i/>
          <w:sz w:val="20"/>
          <w:szCs w:val="20"/>
        </w:rPr>
      </w:pPr>
      <w:r w:rsidRPr="00AE2738">
        <w:rPr>
          <w:rFonts w:ascii="Arial" w:hAnsi="Arial" w:cs="Arial"/>
          <w:i/>
          <w:sz w:val="20"/>
          <w:szCs w:val="20"/>
        </w:rPr>
        <w:t>1.1</w:t>
      </w:r>
      <w:r w:rsidRPr="00AE2738">
        <w:rPr>
          <w:rFonts w:ascii="Arial" w:hAnsi="Arial" w:cs="Arial"/>
          <w:i/>
          <w:sz w:val="20"/>
          <w:szCs w:val="20"/>
        </w:rPr>
        <w:tab/>
      </w:r>
      <w:r w:rsidR="00AE2738" w:rsidRPr="00804062">
        <w:rPr>
          <w:rFonts w:ascii="Arial" w:hAnsi="Arial" w:cs="Arial"/>
          <w:i/>
          <w:sz w:val="20"/>
          <w:szCs w:val="20"/>
        </w:rPr>
        <w:t>Section 47 of the Act provides as follows:</w:t>
      </w:r>
    </w:p>
    <w:p w:rsidR="00AE2738" w:rsidRDefault="00AE2738" w:rsidP="00167FFC">
      <w:pPr>
        <w:pStyle w:val="ListParagraph"/>
        <w:spacing w:before="240" w:after="240" w:line="360" w:lineRule="auto"/>
        <w:ind w:left="1211"/>
        <w:jc w:val="both"/>
        <w:rPr>
          <w:rFonts w:ascii="Arial" w:hAnsi="Arial" w:cs="Arial"/>
          <w:i/>
          <w:sz w:val="20"/>
          <w:szCs w:val="20"/>
        </w:rPr>
      </w:pPr>
      <w:r>
        <w:rPr>
          <w:rFonts w:ascii="Arial" w:hAnsi="Arial" w:cs="Arial"/>
          <w:i/>
          <w:sz w:val="20"/>
          <w:szCs w:val="20"/>
        </w:rPr>
        <w:t>“Unless it is contrary to the will of the deceased, an executor shall sell property (other than property of a class ordinarily sold through a stock-broker or a bill of exchange or property sold in the ordinary course of any business or undertaking carried on by the executor) in the manner and subject to the conditions which the heirs who have an interest therein approve in writing: Provided that-</w:t>
      </w:r>
    </w:p>
    <w:p w:rsidR="00AE2738" w:rsidRPr="00804062" w:rsidRDefault="00804062" w:rsidP="00804062">
      <w:pPr>
        <w:spacing w:before="240" w:after="240" w:line="360" w:lineRule="auto"/>
        <w:ind w:left="1571" w:hanging="360"/>
        <w:jc w:val="both"/>
        <w:rPr>
          <w:rFonts w:ascii="Arial" w:hAnsi="Arial" w:cs="Arial"/>
          <w:i/>
          <w:sz w:val="20"/>
          <w:szCs w:val="20"/>
        </w:rPr>
      </w:pPr>
      <w:r>
        <w:rPr>
          <w:rFonts w:ascii="Arial" w:hAnsi="Arial" w:cs="Arial"/>
          <w:i/>
          <w:sz w:val="20"/>
          <w:szCs w:val="20"/>
        </w:rPr>
        <w:t>a)</w:t>
      </w:r>
      <w:r>
        <w:rPr>
          <w:rFonts w:ascii="Arial" w:hAnsi="Arial" w:cs="Arial"/>
          <w:i/>
          <w:sz w:val="20"/>
          <w:szCs w:val="20"/>
        </w:rPr>
        <w:tab/>
      </w:r>
      <w:r w:rsidR="00AE2738" w:rsidRPr="00804062">
        <w:rPr>
          <w:rFonts w:ascii="Arial" w:hAnsi="Arial" w:cs="Arial"/>
          <w:i/>
          <w:sz w:val="20"/>
          <w:szCs w:val="20"/>
        </w:rPr>
        <w:t>in the case where an absentee, a minor or a person under curatorship is heir to the property; or</w:t>
      </w:r>
    </w:p>
    <w:p w:rsidR="00E36063" w:rsidRPr="00804062" w:rsidRDefault="00804062" w:rsidP="00804062">
      <w:pPr>
        <w:spacing w:before="240" w:after="240" w:line="360" w:lineRule="auto"/>
        <w:ind w:left="1571" w:hanging="360"/>
        <w:jc w:val="both"/>
        <w:rPr>
          <w:rFonts w:ascii="Arial" w:hAnsi="Arial" w:cs="Arial"/>
          <w:color w:val="000000"/>
          <w:lang w:val="en-ZA" w:eastAsia="en-ZA"/>
        </w:rPr>
      </w:pPr>
      <w:r w:rsidRPr="00E36063">
        <w:rPr>
          <w:rFonts w:ascii="Arial" w:hAnsi="Arial" w:cs="Arial"/>
          <w:color w:val="000000"/>
          <w:sz w:val="20"/>
          <w:szCs w:val="20"/>
          <w:lang w:val="en-ZA" w:eastAsia="en-ZA"/>
        </w:rPr>
        <w:t>b)</w:t>
      </w:r>
      <w:r w:rsidRPr="00E36063">
        <w:rPr>
          <w:rFonts w:ascii="Arial" w:hAnsi="Arial" w:cs="Arial"/>
          <w:color w:val="000000"/>
          <w:sz w:val="20"/>
          <w:szCs w:val="20"/>
          <w:lang w:val="en-ZA" w:eastAsia="en-ZA"/>
        </w:rPr>
        <w:tab/>
      </w:r>
      <w:r w:rsidR="00AE2738" w:rsidRPr="00804062">
        <w:rPr>
          <w:rFonts w:ascii="Arial" w:hAnsi="Arial" w:cs="Arial"/>
          <w:i/>
          <w:sz w:val="20"/>
          <w:szCs w:val="20"/>
          <w:u w:val="single"/>
        </w:rPr>
        <w:t>if the said heirs are unable to agree on the manner and condition of the sale, the executor shall sell the property in such manner and subject to such condition as the Master may approve</w:t>
      </w:r>
      <w:r w:rsidR="00E36063" w:rsidRPr="00804062">
        <w:rPr>
          <w:rFonts w:ascii="Arial" w:hAnsi="Arial" w:cs="Arial"/>
          <w:i/>
          <w:sz w:val="20"/>
          <w:szCs w:val="20"/>
          <w:u w:val="single"/>
        </w:rPr>
        <w:t>.</w:t>
      </w:r>
      <w:r w:rsidR="00E36063" w:rsidRPr="00804062">
        <w:rPr>
          <w:rFonts w:ascii="Arial" w:hAnsi="Arial" w:cs="Arial"/>
          <w:i/>
          <w:sz w:val="20"/>
          <w:szCs w:val="20"/>
        </w:rPr>
        <w:t>”</w:t>
      </w:r>
      <w:r w:rsidR="00AE2738" w:rsidRPr="00804062">
        <w:rPr>
          <w:rFonts w:ascii="Arial" w:hAnsi="Arial" w:cs="Arial"/>
          <w:i/>
          <w:sz w:val="20"/>
          <w:szCs w:val="20"/>
        </w:rPr>
        <w:t xml:space="preserve"> </w:t>
      </w:r>
    </w:p>
    <w:p w:rsidR="00E36063" w:rsidRPr="00804062" w:rsidRDefault="00804062" w:rsidP="00804062">
      <w:pPr>
        <w:spacing w:before="240" w:after="240" w:line="360" w:lineRule="auto"/>
        <w:ind w:left="1211" w:hanging="360"/>
        <w:jc w:val="both"/>
        <w:rPr>
          <w:rFonts w:ascii="Arial" w:hAnsi="Arial" w:cs="Arial"/>
          <w:i/>
          <w:sz w:val="20"/>
          <w:szCs w:val="20"/>
        </w:rPr>
      </w:pPr>
      <w:r w:rsidRPr="00E36063">
        <w:rPr>
          <w:rFonts w:ascii="Arial" w:hAnsi="Arial" w:cs="Arial"/>
          <w:i/>
          <w:sz w:val="20"/>
          <w:szCs w:val="20"/>
        </w:rPr>
        <w:t>1.2</w:t>
      </w:r>
      <w:r w:rsidRPr="00E36063">
        <w:rPr>
          <w:rFonts w:ascii="Arial" w:hAnsi="Arial" w:cs="Arial"/>
          <w:i/>
          <w:sz w:val="20"/>
          <w:szCs w:val="20"/>
        </w:rPr>
        <w:tab/>
      </w:r>
      <w:r w:rsidR="00E36063" w:rsidRPr="00804062">
        <w:rPr>
          <w:rFonts w:ascii="Arial" w:hAnsi="Arial" w:cs="Arial"/>
          <w:i/>
          <w:sz w:val="20"/>
          <w:szCs w:val="20"/>
        </w:rPr>
        <w:t xml:space="preserve">The Applicant communicated the disagreement between the heirs to the Second Respondent as early as April 2022, thus evoking that the sale of the immovable properties at the heart of this controversy, be dealt with in terms of section 42(2)(b) of the Act. </w:t>
      </w:r>
    </w:p>
    <w:p w:rsidR="00E36063" w:rsidRDefault="00E36063" w:rsidP="00E36063">
      <w:pPr>
        <w:spacing w:after="240" w:line="360" w:lineRule="auto"/>
        <w:ind w:left="851" w:hanging="284"/>
        <w:jc w:val="both"/>
        <w:rPr>
          <w:rFonts w:ascii="Arial" w:hAnsi="Arial" w:cs="Arial"/>
          <w:i/>
          <w:sz w:val="20"/>
          <w:szCs w:val="20"/>
        </w:rPr>
      </w:pPr>
      <w:r>
        <w:rPr>
          <w:rFonts w:ascii="Arial" w:hAnsi="Arial" w:cs="Arial"/>
          <w:i/>
          <w:sz w:val="20"/>
          <w:szCs w:val="20"/>
        </w:rPr>
        <w:t>2.</w:t>
      </w:r>
      <w:r>
        <w:rPr>
          <w:rFonts w:ascii="Arial" w:hAnsi="Arial" w:cs="Arial"/>
          <w:i/>
          <w:sz w:val="20"/>
          <w:szCs w:val="20"/>
        </w:rPr>
        <w:tab/>
        <w:t xml:space="preserve">The Learned Judge erred in finding that the matter was urgent when there existed no factual or legal basis for the matter to be adjudicated on an urgent basis when there was no live controversy between the matters. </w:t>
      </w:r>
    </w:p>
    <w:p w:rsidR="00E36063" w:rsidRDefault="00E36063" w:rsidP="00E36063">
      <w:pPr>
        <w:spacing w:after="240" w:line="360" w:lineRule="auto"/>
        <w:ind w:left="851" w:hanging="284"/>
        <w:jc w:val="both"/>
        <w:rPr>
          <w:rFonts w:ascii="Arial" w:hAnsi="Arial" w:cs="Arial"/>
          <w:i/>
          <w:sz w:val="20"/>
          <w:szCs w:val="20"/>
        </w:rPr>
      </w:pPr>
      <w:r>
        <w:rPr>
          <w:rFonts w:ascii="Arial" w:hAnsi="Arial" w:cs="Arial"/>
          <w:i/>
          <w:sz w:val="20"/>
          <w:szCs w:val="20"/>
        </w:rPr>
        <w:t>3.</w:t>
      </w:r>
      <w:r>
        <w:rPr>
          <w:rFonts w:ascii="Arial" w:hAnsi="Arial" w:cs="Arial"/>
          <w:i/>
          <w:sz w:val="20"/>
          <w:szCs w:val="20"/>
        </w:rPr>
        <w:tab/>
        <w:t xml:space="preserve">The court a quo erred in making factual findings pertaining the circumstances surrounding the re-payment of the purchase price and the auctioneer’s fees and accepting same to be indicative of termination of the sale agreement in point. </w:t>
      </w:r>
    </w:p>
    <w:p w:rsidR="00167FFC" w:rsidRDefault="00167FFC" w:rsidP="00167FFC">
      <w:pPr>
        <w:spacing w:after="240" w:line="360" w:lineRule="auto"/>
        <w:ind w:left="851" w:hanging="851"/>
        <w:jc w:val="both"/>
        <w:rPr>
          <w:rFonts w:ascii="Arial" w:hAnsi="Arial" w:cs="Arial"/>
          <w:i/>
          <w:sz w:val="20"/>
          <w:szCs w:val="20"/>
        </w:rPr>
      </w:pPr>
    </w:p>
    <w:p w:rsidR="00E36063" w:rsidRDefault="00E36063" w:rsidP="00E36063">
      <w:pPr>
        <w:spacing w:after="240" w:line="360" w:lineRule="auto"/>
        <w:ind w:left="851" w:hanging="284"/>
        <w:jc w:val="both"/>
        <w:rPr>
          <w:rFonts w:ascii="Arial" w:hAnsi="Arial" w:cs="Arial"/>
          <w:i/>
          <w:sz w:val="20"/>
          <w:szCs w:val="20"/>
        </w:rPr>
      </w:pPr>
      <w:r>
        <w:rPr>
          <w:rFonts w:ascii="Arial" w:hAnsi="Arial" w:cs="Arial"/>
          <w:i/>
          <w:sz w:val="20"/>
          <w:szCs w:val="20"/>
        </w:rPr>
        <w:lastRenderedPageBreak/>
        <w:t>4.</w:t>
      </w:r>
      <w:r>
        <w:rPr>
          <w:rFonts w:ascii="Arial" w:hAnsi="Arial" w:cs="Arial"/>
          <w:i/>
          <w:sz w:val="20"/>
          <w:szCs w:val="20"/>
        </w:rPr>
        <w:tab/>
        <w:t xml:space="preserve">Further, the Learned Judge erred in find that the First Respondent’s conduct was unprofessional and warranted that an order of a punitive cost order against the First Respondent in his personal capacity. </w:t>
      </w:r>
    </w:p>
    <w:p w:rsidR="00167FFC" w:rsidRDefault="00E36063" w:rsidP="00E36063">
      <w:pPr>
        <w:spacing w:after="240" w:line="360" w:lineRule="auto"/>
        <w:ind w:left="851" w:hanging="284"/>
        <w:jc w:val="both"/>
        <w:rPr>
          <w:rFonts w:ascii="Arial" w:hAnsi="Arial" w:cs="Arial"/>
          <w:i/>
          <w:sz w:val="20"/>
          <w:szCs w:val="20"/>
        </w:rPr>
      </w:pPr>
      <w:r>
        <w:rPr>
          <w:rFonts w:ascii="Arial" w:hAnsi="Arial" w:cs="Arial"/>
          <w:i/>
          <w:sz w:val="20"/>
          <w:szCs w:val="20"/>
        </w:rPr>
        <w:t>5.</w:t>
      </w:r>
      <w:r>
        <w:rPr>
          <w:rFonts w:ascii="Arial" w:hAnsi="Arial" w:cs="Arial"/>
          <w:i/>
          <w:sz w:val="20"/>
          <w:szCs w:val="20"/>
        </w:rPr>
        <w:tab/>
        <w:t xml:space="preserve">Accordingly, it will be argued that there are reasonable prospects of success that another court will come to a different decision to that of the Court a quo and find that the Applicant’s application for a final interdict ought to have been dismissed with costs. In the circumstances, leave to appeal ought to be granted in accordance with section 17(1)(a)(i) of the Superior Courts Act 10 of 2013” </w:t>
      </w:r>
    </w:p>
    <w:p w:rsidR="00167FFC" w:rsidRDefault="00167FFC" w:rsidP="00167FFC">
      <w:pPr>
        <w:spacing w:after="240" w:line="360" w:lineRule="auto"/>
        <w:ind w:left="567" w:hanging="567"/>
        <w:jc w:val="both"/>
        <w:rPr>
          <w:rFonts w:ascii="Arial" w:hAnsi="Arial" w:cs="Arial"/>
        </w:rPr>
      </w:pPr>
      <w:r>
        <w:rPr>
          <w:rFonts w:ascii="Arial" w:hAnsi="Arial" w:cs="Arial"/>
        </w:rPr>
        <w:t>[2]</w:t>
      </w:r>
      <w:r>
        <w:rPr>
          <w:rFonts w:ascii="Arial" w:hAnsi="Arial" w:cs="Arial"/>
        </w:rPr>
        <w:tab/>
        <w:t xml:space="preserve">On 03 July 2023 the applicant filed a condonation application for the late </w:t>
      </w:r>
      <w:r w:rsidR="00443A9A">
        <w:rPr>
          <w:rFonts w:ascii="Arial" w:hAnsi="Arial" w:cs="Arial"/>
        </w:rPr>
        <w:t>filing of the leave to appeal</w:t>
      </w:r>
      <w:r>
        <w:rPr>
          <w:rFonts w:ascii="Arial" w:hAnsi="Arial" w:cs="Arial"/>
        </w:rPr>
        <w:t xml:space="preserve"> the order granted in January 2023. The application was late by about 5 months. In the founding affidavit, it was stated that: </w:t>
      </w:r>
    </w:p>
    <w:p w:rsidR="00E75988" w:rsidRDefault="00167FFC" w:rsidP="00167FFC">
      <w:pPr>
        <w:spacing w:after="240" w:line="360" w:lineRule="auto"/>
        <w:ind w:left="567" w:hanging="567"/>
        <w:jc w:val="both"/>
        <w:rPr>
          <w:rFonts w:ascii="Arial" w:hAnsi="Arial" w:cs="Arial"/>
          <w:i/>
          <w:sz w:val="20"/>
          <w:szCs w:val="20"/>
        </w:rPr>
      </w:pPr>
      <w:r>
        <w:rPr>
          <w:rFonts w:ascii="Arial" w:hAnsi="Arial" w:cs="Arial"/>
        </w:rPr>
        <w:tab/>
      </w:r>
      <w:r>
        <w:rPr>
          <w:rFonts w:ascii="Arial" w:hAnsi="Arial" w:cs="Arial"/>
          <w:i/>
          <w:sz w:val="20"/>
          <w:szCs w:val="20"/>
        </w:rPr>
        <w:t>“11. I was perplexed on 9</w:t>
      </w:r>
      <w:r w:rsidRPr="00167FFC">
        <w:rPr>
          <w:rFonts w:ascii="Arial" w:hAnsi="Arial" w:cs="Arial"/>
          <w:i/>
          <w:sz w:val="20"/>
          <w:szCs w:val="20"/>
          <w:vertAlign w:val="superscript"/>
        </w:rPr>
        <w:t>th</w:t>
      </w:r>
      <w:r>
        <w:rPr>
          <w:rFonts w:ascii="Arial" w:hAnsi="Arial" w:cs="Arial"/>
          <w:i/>
          <w:sz w:val="20"/>
          <w:szCs w:val="20"/>
        </w:rPr>
        <w:t xml:space="preserve"> June 2023, when I was served with a variation order obtained in terms of uniform court rule 42(1)(b), wherein it was clarified that the cost order granted on January 2023 was against me in my personal capacity. It was at this point that I became aware that there was reason for me to appeal the judgment and order in toto, particularly because the rationale for the grant of the order is premised of the Court’s finding that my conduct as an Executor in dealing with the immovable property at the centre of this controversy</w:t>
      </w:r>
      <w:r w:rsidR="00E75988">
        <w:rPr>
          <w:rFonts w:ascii="Arial" w:hAnsi="Arial" w:cs="Arial"/>
          <w:i/>
          <w:sz w:val="20"/>
          <w:szCs w:val="20"/>
        </w:rPr>
        <w:t>..</w:t>
      </w:r>
      <w:r>
        <w:rPr>
          <w:rFonts w:ascii="Arial" w:hAnsi="Arial" w:cs="Arial"/>
          <w:i/>
          <w:sz w:val="20"/>
          <w:szCs w:val="20"/>
        </w:rPr>
        <w:t>.</w:t>
      </w:r>
    </w:p>
    <w:p w:rsidR="00167FFC" w:rsidRDefault="00E75988" w:rsidP="00E75988">
      <w:pPr>
        <w:spacing w:after="240" w:line="360" w:lineRule="auto"/>
        <w:ind w:left="567"/>
        <w:jc w:val="both"/>
        <w:rPr>
          <w:rFonts w:ascii="Arial" w:hAnsi="Arial" w:cs="Arial"/>
          <w:i/>
          <w:sz w:val="20"/>
          <w:szCs w:val="20"/>
        </w:rPr>
      </w:pPr>
      <w:r>
        <w:rPr>
          <w:rFonts w:ascii="Arial" w:hAnsi="Arial" w:cs="Arial"/>
          <w:i/>
          <w:sz w:val="20"/>
          <w:szCs w:val="20"/>
        </w:rPr>
        <w:t>13. It is my submission that in light of the fact that the order which motivated the appeal is the variation order handed down on 9 June 2023. However, should this Court find that the I should have appealed five months ago, I bring this condonation application.”</w:t>
      </w:r>
    </w:p>
    <w:p w:rsidR="00E75988" w:rsidRDefault="00E75988" w:rsidP="00E75988">
      <w:pPr>
        <w:spacing w:after="240" w:line="360" w:lineRule="auto"/>
        <w:ind w:left="567" w:hanging="567"/>
        <w:jc w:val="both"/>
        <w:rPr>
          <w:rFonts w:ascii="Arial" w:hAnsi="Arial" w:cs="Arial"/>
        </w:rPr>
      </w:pPr>
      <w:r>
        <w:rPr>
          <w:rFonts w:ascii="Arial" w:hAnsi="Arial" w:cs="Arial"/>
        </w:rPr>
        <w:t>[3]</w:t>
      </w:r>
      <w:r>
        <w:rPr>
          <w:rFonts w:ascii="Arial" w:hAnsi="Arial" w:cs="Arial"/>
        </w:rPr>
        <w:tab/>
        <w:t>In paragraph 17 of the affidavit the deponent stated that:</w:t>
      </w:r>
    </w:p>
    <w:p w:rsidR="00E75988" w:rsidRDefault="00E75988" w:rsidP="00E75988">
      <w:pPr>
        <w:spacing w:after="240" w:line="360" w:lineRule="auto"/>
        <w:ind w:left="567" w:hanging="567"/>
        <w:jc w:val="both"/>
        <w:rPr>
          <w:rFonts w:ascii="Arial" w:hAnsi="Arial" w:cs="Arial"/>
          <w:i/>
          <w:sz w:val="20"/>
          <w:szCs w:val="20"/>
        </w:rPr>
      </w:pPr>
      <w:r>
        <w:rPr>
          <w:rFonts w:ascii="Arial" w:hAnsi="Arial" w:cs="Arial"/>
        </w:rPr>
        <w:tab/>
      </w:r>
      <w:r>
        <w:rPr>
          <w:rFonts w:ascii="Arial" w:hAnsi="Arial" w:cs="Arial"/>
          <w:i/>
          <w:sz w:val="20"/>
          <w:szCs w:val="20"/>
        </w:rPr>
        <w:t>“17. I submit that the I have prospects of success in the appeal, because of the substantial error made by the Learned Judge in both fact and law. It follows therefore that there are reasonable prospects of success that another court will come to a different decision to that of the Court a quo and find that the Respondent’s application for final interdict ought to have been dismissed with costs.”</w:t>
      </w:r>
    </w:p>
    <w:p w:rsidR="003E6DAE" w:rsidRDefault="00E75988" w:rsidP="00E75988">
      <w:pPr>
        <w:spacing w:after="240" w:line="360" w:lineRule="auto"/>
        <w:ind w:left="567" w:hanging="567"/>
        <w:jc w:val="both"/>
        <w:rPr>
          <w:rFonts w:ascii="Arial" w:hAnsi="Arial" w:cs="Arial"/>
        </w:rPr>
      </w:pPr>
      <w:r>
        <w:rPr>
          <w:rFonts w:ascii="Arial" w:hAnsi="Arial" w:cs="Arial"/>
        </w:rPr>
        <w:t>[4]</w:t>
      </w:r>
      <w:r>
        <w:rPr>
          <w:rFonts w:ascii="Arial" w:hAnsi="Arial" w:cs="Arial"/>
        </w:rPr>
        <w:tab/>
        <w:t xml:space="preserve">In the heads of argument, it </w:t>
      </w:r>
      <w:r w:rsidR="00443A9A">
        <w:rPr>
          <w:rFonts w:ascii="Arial" w:hAnsi="Arial" w:cs="Arial"/>
        </w:rPr>
        <w:t xml:space="preserve">was </w:t>
      </w:r>
      <w:r>
        <w:rPr>
          <w:rFonts w:ascii="Arial" w:hAnsi="Arial" w:cs="Arial"/>
        </w:rPr>
        <w:t>contended that the presiding officer erroneously</w:t>
      </w:r>
      <w:r w:rsidR="00443A9A">
        <w:rPr>
          <w:rFonts w:ascii="Arial" w:hAnsi="Arial" w:cs="Arial"/>
        </w:rPr>
        <w:t xml:space="preserve"> relied</w:t>
      </w:r>
      <w:r>
        <w:rPr>
          <w:rFonts w:ascii="Arial" w:hAnsi="Arial" w:cs="Arial"/>
        </w:rPr>
        <w:t xml:space="preserve"> on an incorrect sub-section</w:t>
      </w:r>
      <w:r w:rsidR="003E6DAE">
        <w:rPr>
          <w:rStyle w:val="FootnoteReference"/>
          <w:rFonts w:ascii="Arial" w:hAnsi="Arial" w:cs="Arial"/>
        </w:rPr>
        <w:footnoteReference w:id="2"/>
      </w:r>
      <w:r>
        <w:rPr>
          <w:rFonts w:ascii="Arial" w:hAnsi="Arial" w:cs="Arial"/>
        </w:rPr>
        <w:t xml:space="preserve"> </w:t>
      </w:r>
      <w:r w:rsidR="003E6DAE">
        <w:rPr>
          <w:rFonts w:ascii="Arial" w:hAnsi="Arial" w:cs="Arial"/>
        </w:rPr>
        <w:t>and further failed to consider all the facts placed before him.</w:t>
      </w:r>
      <w:r w:rsidR="00443A9A">
        <w:rPr>
          <w:rStyle w:val="FootnoteReference"/>
          <w:rFonts w:ascii="Arial" w:hAnsi="Arial" w:cs="Arial"/>
        </w:rPr>
        <w:footnoteReference w:id="3"/>
      </w:r>
      <w:r w:rsidR="003E6DAE">
        <w:rPr>
          <w:rFonts w:ascii="Arial" w:hAnsi="Arial" w:cs="Arial"/>
        </w:rPr>
        <w:t xml:space="preserve"> As regards the variation order, reference was made to Rule 42 of the Uniform Rules of Court and it was submitted that this Rule was confined </w:t>
      </w:r>
      <w:r w:rsidR="003E6DAE">
        <w:rPr>
          <w:rFonts w:ascii="Arial" w:hAnsi="Arial" w:cs="Arial"/>
        </w:rPr>
        <w:lastRenderedPageBreak/>
        <w:t>by its</w:t>
      </w:r>
      <w:r w:rsidR="00631A18">
        <w:rPr>
          <w:rFonts w:ascii="Arial" w:hAnsi="Arial" w:cs="Arial"/>
        </w:rPr>
        <w:t xml:space="preserve"> wording and context to the resci</w:t>
      </w:r>
      <w:r w:rsidR="003E6DAE">
        <w:rPr>
          <w:rFonts w:ascii="Arial" w:hAnsi="Arial" w:cs="Arial"/>
        </w:rPr>
        <w:t>ssion or variation of an ambiguous order or an order containing a patent error or omission.</w:t>
      </w:r>
      <w:r w:rsidR="003E6DAE">
        <w:rPr>
          <w:rStyle w:val="FootnoteReference"/>
          <w:rFonts w:ascii="Arial" w:hAnsi="Arial" w:cs="Arial"/>
        </w:rPr>
        <w:footnoteReference w:id="4"/>
      </w:r>
      <w:r w:rsidR="00631A18">
        <w:rPr>
          <w:rFonts w:ascii="Arial" w:hAnsi="Arial" w:cs="Arial"/>
        </w:rPr>
        <w:t xml:space="preserve"> It would seem that the crux</w:t>
      </w:r>
      <w:r w:rsidR="003E6DAE">
        <w:rPr>
          <w:rFonts w:ascii="Arial" w:hAnsi="Arial" w:cs="Arial"/>
        </w:rPr>
        <w:t xml:space="preserve"> of this appeal is contained in the following passage: </w:t>
      </w:r>
    </w:p>
    <w:p w:rsidR="00680814" w:rsidRDefault="003E6DAE" w:rsidP="00E75988">
      <w:pPr>
        <w:spacing w:after="240" w:line="360" w:lineRule="auto"/>
        <w:ind w:left="567" w:hanging="567"/>
        <w:jc w:val="both"/>
        <w:rPr>
          <w:rFonts w:ascii="Arial" w:hAnsi="Arial" w:cs="Arial"/>
          <w:i/>
          <w:sz w:val="20"/>
          <w:szCs w:val="20"/>
        </w:rPr>
      </w:pPr>
      <w:r>
        <w:rPr>
          <w:rFonts w:ascii="Arial" w:hAnsi="Arial" w:cs="Arial"/>
        </w:rPr>
        <w:tab/>
      </w:r>
      <w:r>
        <w:rPr>
          <w:rFonts w:ascii="Arial" w:hAnsi="Arial" w:cs="Arial"/>
          <w:i/>
          <w:sz w:val="20"/>
          <w:szCs w:val="20"/>
        </w:rPr>
        <w:t>“25. It is undeniable that the court a quo’s variation may have been permissible in law, however, in light of the fact that the variation was sought by some form of application by the Respondent, which the Applicant was not aware of, there are reasonable prospects that when afforded an opportunity through the principle of audi alteram partem, prospects of success exit in such a court. There was no application or notice of any form served on the Applicant a</w:t>
      </w:r>
      <w:r w:rsidR="00680814">
        <w:rPr>
          <w:rFonts w:ascii="Arial" w:hAnsi="Arial" w:cs="Arial"/>
          <w:i/>
          <w:sz w:val="20"/>
          <w:szCs w:val="20"/>
        </w:rPr>
        <w:t>lerting him of the sought variation.”</w:t>
      </w:r>
    </w:p>
    <w:p w:rsidR="00680814" w:rsidRPr="00680814" w:rsidRDefault="00680814" w:rsidP="00E75988">
      <w:pPr>
        <w:spacing w:after="240" w:line="360" w:lineRule="auto"/>
        <w:ind w:left="567" w:hanging="567"/>
        <w:jc w:val="both"/>
        <w:rPr>
          <w:rFonts w:ascii="Arial" w:hAnsi="Arial" w:cs="Arial"/>
          <w:i/>
        </w:rPr>
      </w:pPr>
      <w:r>
        <w:rPr>
          <w:rFonts w:ascii="Arial" w:hAnsi="Arial" w:cs="Arial"/>
        </w:rPr>
        <w:tab/>
        <w:t>There is no merit in the submission that prospect</w:t>
      </w:r>
      <w:r w:rsidR="00631A18">
        <w:rPr>
          <w:rFonts w:ascii="Arial" w:hAnsi="Arial" w:cs="Arial"/>
        </w:rPr>
        <w:t>s</w:t>
      </w:r>
      <w:r>
        <w:rPr>
          <w:rFonts w:ascii="Arial" w:hAnsi="Arial" w:cs="Arial"/>
        </w:rPr>
        <w:t xml:space="preserve"> of success will exist if the applicant is afforded </w:t>
      </w:r>
      <w:r>
        <w:rPr>
          <w:rFonts w:ascii="Arial" w:hAnsi="Arial" w:cs="Arial"/>
          <w:i/>
        </w:rPr>
        <w:t>audi alteram partem.</w:t>
      </w:r>
      <w:r>
        <w:rPr>
          <w:rFonts w:ascii="Arial" w:hAnsi="Arial" w:cs="Arial"/>
        </w:rPr>
        <w:t xml:space="preserve"> However, it may be a compelling reason that the applicant was not afforded </w:t>
      </w:r>
      <w:r>
        <w:rPr>
          <w:rFonts w:ascii="Arial" w:hAnsi="Arial" w:cs="Arial"/>
          <w:i/>
        </w:rPr>
        <w:t xml:space="preserve">audi </w:t>
      </w:r>
      <w:r>
        <w:rPr>
          <w:rFonts w:ascii="Arial" w:hAnsi="Arial" w:cs="Arial"/>
        </w:rPr>
        <w:t xml:space="preserve">in respect of the payment of costs in his personal capacity.   </w:t>
      </w:r>
    </w:p>
    <w:p w:rsidR="00BE0548" w:rsidRDefault="00680814" w:rsidP="00E75988">
      <w:pPr>
        <w:spacing w:after="240" w:line="360" w:lineRule="auto"/>
        <w:ind w:left="567" w:hanging="567"/>
        <w:jc w:val="both"/>
        <w:rPr>
          <w:rFonts w:ascii="Arial" w:hAnsi="Arial" w:cs="Arial"/>
        </w:rPr>
      </w:pPr>
      <w:r>
        <w:rPr>
          <w:rFonts w:ascii="Arial" w:hAnsi="Arial" w:cs="Arial"/>
        </w:rPr>
        <w:t>[5]</w:t>
      </w:r>
      <w:r>
        <w:rPr>
          <w:rFonts w:ascii="Arial" w:hAnsi="Arial" w:cs="Arial"/>
        </w:rPr>
        <w:tab/>
        <w:t xml:space="preserve">The applicant has not made a proper case for </w:t>
      </w:r>
      <w:r w:rsidR="00BE0548">
        <w:rPr>
          <w:rFonts w:ascii="Arial" w:hAnsi="Arial" w:cs="Arial"/>
        </w:rPr>
        <w:t xml:space="preserve">the granting of condonation as the explanation for the delay or default is not reasonable or acceptable. </w:t>
      </w:r>
    </w:p>
    <w:p w:rsidR="00E75988" w:rsidRPr="00E75988" w:rsidRDefault="00BE0548" w:rsidP="00E75988">
      <w:pPr>
        <w:spacing w:after="240" w:line="360" w:lineRule="auto"/>
        <w:ind w:left="567" w:hanging="567"/>
        <w:jc w:val="both"/>
        <w:rPr>
          <w:rFonts w:ascii="Arial" w:hAnsi="Arial" w:cs="Arial"/>
          <w:i/>
          <w:sz w:val="20"/>
          <w:szCs w:val="20"/>
        </w:rPr>
      </w:pPr>
      <w:r>
        <w:rPr>
          <w:rFonts w:ascii="Arial" w:hAnsi="Arial" w:cs="Arial"/>
        </w:rPr>
        <w:t xml:space="preserve">[6] Consequently, I make the following order: </w:t>
      </w:r>
      <w:r w:rsidR="00680814">
        <w:rPr>
          <w:rFonts w:ascii="Arial" w:hAnsi="Arial" w:cs="Arial"/>
        </w:rPr>
        <w:tab/>
      </w:r>
      <w:r w:rsidR="003E6DAE">
        <w:rPr>
          <w:rFonts w:ascii="Arial" w:hAnsi="Arial" w:cs="Arial"/>
          <w:i/>
          <w:sz w:val="20"/>
          <w:szCs w:val="20"/>
        </w:rPr>
        <w:t xml:space="preserve"> </w:t>
      </w:r>
      <w:r w:rsidR="003E6DAE">
        <w:rPr>
          <w:rFonts w:ascii="Arial" w:hAnsi="Arial" w:cs="Arial"/>
        </w:rPr>
        <w:t xml:space="preserve">     </w:t>
      </w:r>
      <w:r w:rsidR="00E75988">
        <w:rPr>
          <w:rFonts w:ascii="Arial" w:hAnsi="Arial" w:cs="Arial"/>
        </w:rPr>
        <w:t xml:space="preserve"> </w:t>
      </w:r>
      <w:r w:rsidR="00E75988">
        <w:rPr>
          <w:rFonts w:ascii="Arial" w:hAnsi="Arial" w:cs="Arial"/>
          <w:i/>
          <w:sz w:val="20"/>
          <w:szCs w:val="20"/>
        </w:rPr>
        <w:t xml:space="preserve"> </w:t>
      </w:r>
    </w:p>
    <w:p w:rsidR="000026C2" w:rsidRPr="00BE0548" w:rsidRDefault="000026C2" w:rsidP="00BE0548">
      <w:pPr>
        <w:spacing w:after="240" w:line="360" w:lineRule="auto"/>
        <w:jc w:val="both"/>
        <w:rPr>
          <w:rFonts w:ascii="Arial" w:hAnsi="Arial" w:cs="Arial"/>
          <w:b/>
          <w:color w:val="000000"/>
          <w:u w:val="single"/>
          <w:lang w:val="en-ZA" w:eastAsia="en-ZA"/>
        </w:rPr>
      </w:pPr>
      <w:r w:rsidRPr="00BE0548">
        <w:rPr>
          <w:rFonts w:ascii="Arial" w:hAnsi="Arial" w:cs="Arial"/>
          <w:b/>
          <w:u w:val="single"/>
        </w:rPr>
        <w:t>Order</w:t>
      </w:r>
    </w:p>
    <w:p w:rsidR="007B6502" w:rsidRDefault="00AC0DC9" w:rsidP="00BE0548">
      <w:pPr>
        <w:spacing w:line="360" w:lineRule="auto"/>
        <w:ind w:left="284" w:hanging="284"/>
        <w:jc w:val="both"/>
        <w:rPr>
          <w:rFonts w:ascii="Arial" w:hAnsi="Arial" w:cs="Arial"/>
          <w:color w:val="000000"/>
          <w:lang w:val="en-ZA" w:eastAsia="en-ZA"/>
        </w:rPr>
      </w:pPr>
      <w:r>
        <w:rPr>
          <w:rFonts w:ascii="Arial" w:hAnsi="Arial" w:cs="Arial"/>
          <w:color w:val="000000"/>
          <w:lang w:val="en-ZA" w:eastAsia="en-ZA"/>
        </w:rPr>
        <w:t xml:space="preserve">1. </w:t>
      </w:r>
      <w:r w:rsidR="00BE0548">
        <w:rPr>
          <w:rFonts w:ascii="Arial" w:hAnsi="Arial" w:cs="Arial"/>
          <w:color w:val="000000"/>
          <w:lang w:val="en-ZA" w:eastAsia="en-ZA"/>
        </w:rPr>
        <w:tab/>
      </w:r>
      <w:r>
        <w:rPr>
          <w:rFonts w:ascii="Arial" w:hAnsi="Arial" w:cs="Arial"/>
          <w:color w:val="000000"/>
          <w:lang w:val="en-ZA" w:eastAsia="en-ZA"/>
        </w:rPr>
        <w:t xml:space="preserve">The </w:t>
      </w:r>
      <w:r w:rsidR="00BE0548">
        <w:rPr>
          <w:rFonts w:ascii="Arial" w:hAnsi="Arial" w:cs="Arial"/>
          <w:color w:val="000000"/>
          <w:lang w:val="en-ZA" w:eastAsia="en-ZA"/>
        </w:rPr>
        <w:t xml:space="preserve">application for condonation is </w:t>
      </w:r>
      <w:r w:rsidR="007B6502">
        <w:rPr>
          <w:rFonts w:ascii="Arial" w:hAnsi="Arial" w:cs="Arial"/>
          <w:color w:val="000000"/>
          <w:lang w:val="en-ZA" w:eastAsia="en-ZA"/>
        </w:rPr>
        <w:t>dismissed</w:t>
      </w:r>
      <w:r w:rsidR="008E25E6">
        <w:rPr>
          <w:rFonts w:ascii="Arial" w:hAnsi="Arial" w:cs="Arial"/>
          <w:color w:val="000000"/>
          <w:lang w:val="en-ZA" w:eastAsia="en-ZA"/>
        </w:rPr>
        <w:t xml:space="preserve"> with costs</w:t>
      </w:r>
      <w:r w:rsidR="007B6502">
        <w:rPr>
          <w:rFonts w:ascii="Arial" w:hAnsi="Arial" w:cs="Arial"/>
          <w:color w:val="000000"/>
          <w:lang w:val="en-ZA" w:eastAsia="en-ZA"/>
        </w:rPr>
        <w:t>.</w:t>
      </w:r>
    </w:p>
    <w:p w:rsidR="003472FC" w:rsidRDefault="007B6502" w:rsidP="00BE0548">
      <w:pPr>
        <w:spacing w:line="360" w:lineRule="auto"/>
        <w:ind w:left="284" w:hanging="284"/>
        <w:jc w:val="both"/>
        <w:rPr>
          <w:rFonts w:ascii="Arial" w:hAnsi="Arial" w:cs="Arial"/>
          <w:color w:val="000000"/>
          <w:lang w:val="en-ZA" w:eastAsia="en-ZA"/>
        </w:rPr>
      </w:pPr>
      <w:r>
        <w:rPr>
          <w:rFonts w:ascii="Arial" w:hAnsi="Arial" w:cs="Arial"/>
          <w:color w:val="000000"/>
          <w:lang w:val="en-ZA" w:eastAsia="en-ZA"/>
        </w:rPr>
        <w:t xml:space="preserve">2. </w:t>
      </w:r>
      <w:r w:rsidR="00BE0548">
        <w:rPr>
          <w:rFonts w:ascii="Arial" w:hAnsi="Arial" w:cs="Arial"/>
          <w:color w:val="000000"/>
          <w:lang w:val="en-ZA" w:eastAsia="en-ZA"/>
        </w:rPr>
        <w:tab/>
      </w:r>
      <w:r>
        <w:rPr>
          <w:rFonts w:ascii="Arial" w:hAnsi="Arial" w:cs="Arial"/>
          <w:color w:val="000000"/>
          <w:lang w:val="en-ZA" w:eastAsia="en-ZA"/>
        </w:rPr>
        <w:t xml:space="preserve">The </w:t>
      </w:r>
      <w:r w:rsidR="00BE0548">
        <w:rPr>
          <w:rFonts w:ascii="Arial" w:hAnsi="Arial" w:cs="Arial"/>
          <w:color w:val="000000"/>
          <w:lang w:val="en-ZA" w:eastAsia="en-ZA"/>
        </w:rPr>
        <w:t>application for leave to appeal the order and judgement delivered in January 2023 is dismissed</w:t>
      </w:r>
      <w:r w:rsidR="00AC0DC9">
        <w:rPr>
          <w:rFonts w:ascii="Arial" w:hAnsi="Arial" w:cs="Arial"/>
          <w:color w:val="000000"/>
          <w:lang w:val="en-ZA" w:eastAsia="en-ZA"/>
        </w:rPr>
        <w:t>.</w:t>
      </w:r>
    </w:p>
    <w:p w:rsidR="00BE0548" w:rsidRDefault="00BE0548" w:rsidP="00BE0548">
      <w:pPr>
        <w:spacing w:line="360" w:lineRule="auto"/>
        <w:ind w:left="284" w:hanging="284"/>
        <w:jc w:val="both"/>
        <w:rPr>
          <w:rFonts w:ascii="Arial" w:hAnsi="Arial" w:cs="Arial"/>
          <w:color w:val="000000"/>
          <w:lang w:val="en-ZA" w:eastAsia="en-ZA"/>
        </w:rPr>
      </w:pPr>
      <w:r>
        <w:rPr>
          <w:rFonts w:ascii="Arial" w:hAnsi="Arial" w:cs="Arial"/>
          <w:color w:val="000000"/>
          <w:lang w:val="en-ZA" w:eastAsia="en-ZA"/>
        </w:rPr>
        <w:t xml:space="preserve">3. </w:t>
      </w:r>
      <w:r>
        <w:rPr>
          <w:rFonts w:ascii="Arial" w:hAnsi="Arial" w:cs="Arial"/>
          <w:color w:val="000000"/>
          <w:lang w:val="en-ZA" w:eastAsia="en-ZA"/>
        </w:rPr>
        <w:tab/>
        <w:t>Leave to appeal</w:t>
      </w:r>
      <w:r w:rsidR="008E25E6">
        <w:rPr>
          <w:rFonts w:ascii="Arial" w:hAnsi="Arial" w:cs="Arial"/>
          <w:color w:val="000000"/>
          <w:lang w:val="en-ZA" w:eastAsia="en-ZA"/>
        </w:rPr>
        <w:t xml:space="preserve"> </w:t>
      </w:r>
      <w:r>
        <w:rPr>
          <w:rFonts w:ascii="Arial" w:hAnsi="Arial" w:cs="Arial"/>
          <w:color w:val="000000"/>
          <w:lang w:val="en-ZA" w:eastAsia="en-ZA"/>
        </w:rPr>
        <w:t>the variation order of June 2023 is granted</w:t>
      </w:r>
      <w:r w:rsidR="008E25E6">
        <w:rPr>
          <w:rFonts w:ascii="Arial" w:hAnsi="Arial" w:cs="Arial"/>
          <w:color w:val="000000"/>
          <w:lang w:val="en-ZA" w:eastAsia="en-ZA"/>
        </w:rPr>
        <w:t xml:space="preserve"> to the full bench of this court</w:t>
      </w:r>
      <w:r>
        <w:rPr>
          <w:rFonts w:ascii="Arial" w:hAnsi="Arial" w:cs="Arial"/>
          <w:color w:val="000000"/>
          <w:lang w:val="en-ZA" w:eastAsia="en-ZA"/>
        </w:rPr>
        <w:t>.</w:t>
      </w:r>
    </w:p>
    <w:p w:rsidR="00BE0548" w:rsidRDefault="00BE0548" w:rsidP="00BE0548">
      <w:pPr>
        <w:spacing w:line="360" w:lineRule="auto"/>
        <w:ind w:left="284" w:hanging="284"/>
        <w:jc w:val="both"/>
        <w:rPr>
          <w:rFonts w:ascii="Arial" w:hAnsi="Arial" w:cs="Arial"/>
          <w:color w:val="000000"/>
          <w:lang w:val="en-ZA" w:eastAsia="en-ZA"/>
        </w:rPr>
      </w:pPr>
      <w:r>
        <w:rPr>
          <w:rFonts w:ascii="Arial" w:hAnsi="Arial" w:cs="Arial"/>
          <w:color w:val="000000"/>
          <w:lang w:val="en-ZA" w:eastAsia="en-ZA"/>
        </w:rPr>
        <w:t>4.</w:t>
      </w:r>
      <w:r>
        <w:rPr>
          <w:rFonts w:ascii="Arial" w:hAnsi="Arial" w:cs="Arial"/>
          <w:color w:val="000000"/>
          <w:lang w:val="en-ZA" w:eastAsia="en-ZA"/>
        </w:rPr>
        <w:tab/>
        <w:t xml:space="preserve">Costs </w:t>
      </w:r>
      <w:r w:rsidR="00631A18">
        <w:rPr>
          <w:rFonts w:ascii="Arial" w:hAnsi="Arial" w:cs="Arial"/>
          <w:color w:val="000000"/>
          <w:lang w:val="en-ZA" w:eastAsia="en-ZA"/>
        </w:rPr>
        <w:t xml:space="preserve">of the appeal in 3 above </w:t>
      </w:r>
      <w:r w:rsidR="008E25E6">
        <w:rPr>
          <w:rFonts w:ascii="Arial" w:hAnsi="Arial" w:cs="Arial"/>
          <w:color w:val="000000"/>
          <w:lang w:val="en-ZA" w:eastAsia="en-ZA"/>
        </w:rPr>
        <w:t xml:space="preserve">will be costs in the </w:t>
      </w:r>
      <w:r>
        <w:rPr>
          <w:rFonts w:ascii="Arial" w:hAnsi="Arial" w:cs="Arial"/>
          <w:color w:val="000000"/>
          <w:lang w:val="en-ZA" w:eastAsia="en-ZA"/>
        </w:rPr>
        <w:t xml:space="preserve">appeal.  </w:t>
      </w:r>
    </w:p>
    <w:p w:rsidR="000026C2" w:rsidRPr="003472FC" w:rsidRDefault="000026C2" w:rsidP="000026C2">
      <w:pPr>
        <w:spacing w:line="360" w:lineRule="auto"/>
        <w:ind w:left="567" w:hanging="567"/>
        <w:jc w:val="both"/>
        <w:rPr>
          <w:rFonts w:ascii="Arial" w:hAnsi="Arial" w:cs="Arial"/>
          <w:sz w:val="20"/>
          <w:szCs w:val="20"/>
        </w:rPr>
      </w:pPr>
    </w:p>
    <w:p w:rsidR="005835FE" w:rsidRDefault="002D3664" w:rsidP="0035047C">
      <w:pPr>
        <w:pStyle w:val="ListParagraph"/>
        <w:ind w:left="5761"/>
        <w:jc w:val="right"/>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rsidR="005835FE" w:rsidRPr="002B369A" w:rsidRDefault="002B369A" w:rsidP="0035047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B369A">
        <w:rPr>
          <w:rFonts w:ascii="Arial" w:hAnsi="Arial" w:cs="Arial"/>
          <w:b/>
          <w:bCs/>
        </w:rPr>
        <w:t>MHLAMBI</w:t>
      </w:r>
      <w:r w:rsidR="0035047C">
        <w:rPr>
          <w:rFonts w:ascii="Arial" w:hAnsi="Arial" w:cs="Arial"/>
          <w:b/>
          <w:bCs/>
        </w:rPr>
        <w:t>,</w:t>
      </w:r>
      <w:r w:rsidRPr="002B369A">
        <w:rPr>
          <w:rFonts w:ascii="Arial" w:hAnsi="Arial" w:cs="Arial"/>
          <w:b/>
          <w:bCs/>
        </w:rPr>
        <w:t xml:space="preserve"> J</w:t>
      </w:r>
    </w:p>
    <w:p w:rsidR="005835FE" w:rsidRPr="00C20DEE" w:rsidRDefault="005835FE" w:rsidP="0035047C">
      <w:pPr>
        <w:jc w:val="right"/>
        <w:rPr>
          <w:rFonts w:ascii="Arial" w:hAnsi="Arial" w:cs="Arial"/>
        </w:rPr>
      </w:pPr>
    </w:p>
    <w:p w:rsidR="005835FE" w:rsidRPr="00C20DEE" w:rsidRDefault="005835FE" w:rsidP="005B271F">
      <w:pPr>
        <w:spacing w:line="360" w:lineRule="auto"/>
        <w:jc w:val="both"/>
        <w:rPr>
          <w:rFonts w:ascii="Arial" w:hAnsi="Arial" w:cs="Arial"/>
        </w:rPr>
      </w:pPr>
    </w:p>
    <w:p w:rsidR="00E5549C" w:rsidRPr="00C20DEE" w:rsidRDefault="005960F0" w:rsidP="00E5549C">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001C6CFB">
        <w:rPr>
          <w:rFonts w:ascii="Arial" w:hAnsi="Arial" w:cs="Arial"/>
          <w:color w:val="000000" w:themeColor="text1"/>
        </w:rPr>
        <w:t>Applicant</w:t>
      </w:r>
      <w:r w:rsidRPr="00C20DEE">
        <w:rPr>
          <w:rFonts w:ascii="Arial" w:hAnsi="Arial" w:cs="Arial"/>
          <w:color w:val="000000" w:themeColor="text1"/>
        </w:rPr>
        <w:t>:</w:t>
      </w:r>
      <w:r w:rsidR="00F24BE3" w:rsidRPr="00C20DEE">
        <w:rPr>
          <w:rFonts w:ascii="Arial" w:hAnsi="Arial" w:cs="Arial"/>
          <w:color w:val="000000" w:themeColor="text1"/>
        </w:rPr>
        <w:t xml:space="preserve"> </w:t>
      </w:r>
      <w:r w:rsidR="001C6CFB">
        <w:rPr>
          <w:rFonts w:ascii="Arial" w:hAnsi="Arial" w:cs="Arial"/>
          <w:color w:val="000000" w:themeColor="text1"/>
        </w:rPr>
        <w:t xml:space="preserve"> </w:t>
      </w:r>
      <w:r w:rsidR="003472FC">
        <w:rPr>
          <w:rFonts w:ascii="Arial" w:hAnsi="Arial" w:cs="Arial"/>
          <w:color w:val="000000" w:themeColor="text1"/>
        </w:rPr>
        <w:t>Adv.</w:t>
      </w:r>
      <w:r w:rsidR="001C6CFB">
        <w:rPr>
          <w:rFonts w:ascii="Arial" w:hAnsi="Arial" w:cs="Arial"/>
          <w:color w:val="000000" w:themeColor="text1"/>
        </w:rPr>
        <w:t xml:space="preserve"> TM Ngubeni</w:t>
      </w:r>
      <w:r w:rsidR="003472FC">
        <w:rPr>
          <w:rFonts w:ascii="Arial" w:hAnsi="Arial" w:cs="Arial"/>
          <w:color w:val="000000" w:themeColor="text1"/>
        </w:rPr>
        <w:t xml:space="preserve"> </w:t>
      </w:r>
    </w:p>
    <w:p w:rsidR="00E5549C" w:rsidRDefault="005960F0" w:rsidP="002F71C5">
      <w:pPr>
        <w:tabs>
          <w:tab w:val="left" w:pos="2977"/>
        </w:tabs>
        <w:spacing w:line="360" w:lineRule="auto"/>
        <w:ind w:left="851" w:hanging="851"/>
        <w:rPr>
          <w:rFonts w:ascii="Arial" w:hAnsi="Arial" w:cs="Arial"/>
          <w:color w:val="000000" w:themeColor="text1"/>
        </w:rPr>
      </w:pPr>
      <w:r w:rsidRPr="00C20DEE">
        <w:rPr>
          <w:rFonts w:ascii="Arial" w:hAnsi="Arial" w:cs="Arial"/>
          <w:color w:val="000000" w:themeColor="text1"/>
        </w:rPr>
        <w:t>Instructed by:</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1C6CFB">
        <w:rPr>
          <w:rFonts w:ascii="Arial" w:hAnsi="Arial" w:cs="Arial"/>
          <w:color w:val="000000" w:themeColor="text1"/>
        </w:rPr>
        <w:t xml:space="preserve">Zwelibanzi Ngququ Inc. </w:t>
      </w:r>
    </w:p>
    <w:p w:rsidR="005960F0" w:rsidRPr="00C20DEE" w:rsidRDefault="00E5549C"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lastRenderedPageBreak/>
        <w:tab/>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1C6CFB">
        <w:rPr>
          <w:rFonts w:ascii="Arial" w:hAnsi="Arial" w:cs="Arial"/>
          <w:color w:val="000000" w:themeColor="text1"/>
        </w:rPr>
        <w:t xml:space="preserve"> 4 Captain Proctor St</w:t>
      </w:r>
      <w:r w:rsidR="00804DDE">
        <w:rPr>
          <w:rFonts w:ascii="Arial" w:hAnsi="Arial" w:cs="Arial"/>
          <w:color w:val="000000" w:themeColor="text1"/>
        </w:rPr>
        <w:t>r</w:t>
      </w:r>
      <w:r w:rsidR="001C6CFB">
        <w:rPr>
          <w:rFonts w:ascii="Arial" w:hAnsi="Arial" w:cs="Arial"/>
          <w:color w:val="000000" w:themeColor="text1"/>
        </w:rPr>
        <w:t>eet</w:t>
      </w:r>
    </w:p>
    <w:p w:rsidR="00C20DEE" w:rsidRPr="00C20DEE" w:rsidRDefault="00C20DEE"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9E06E4">
        <w:rPr>
          <w:rFonts w:ascii="Arial" w:hAnsi="Arial" w:cs="Arial"/>
          <w:color w:val="000000" w:themeColor="text1"/>
        </w:rPr>
        <w:t xml:space="preserve">   </w:t>
      </w:r>
      <w:r w:rsidR="001C6CFB">
        <w:rPr>
          <w:rFonts w:ascii="Arial" w:hAnsi="Arial" w:cs="Arial"/>
          <w:color w:val="000000" w:themeColor="text1"/>
        </w:rPr>
        <w:t xml:space="preserve"> </w:t>
      </w:r>
      <w:r w:rsidR="00804DDE">
        <w:rPr>
          <w:rFonts w:ascii="Arial" w:hAnsi="Arial" w:cs="Arial"/>
          <w:color w:val="000000" w:themeColor="text1"/>
        </w:rPr>
        <w:t>W</w:t>
      </w:r>
      <w:r w:rsidR="001C6CFB">
        <w:rPr>
          <w:rFonts w:ascii="Arial" w:hAnsi="Arial" w:cs="Arial"/>
          <w:color w:val="000000" w:themeColor="text1"/>
        </w:rPr>
        <w:t>estdene</w:t>
      </w:r>
      <w:r w:rsidRPr="00C20DEE">
        <w:rPr>
          <w:rFonts w:ascii="Arial" w:hAnsi="Arial" w:cs="Arial"/>
          <w:color w:val="000000" w:themeColor="text1"/>
        </w:rPr>
        <w:t xml:space="preserve"> </w:t>
      </w:r>
    </w:p>
    <w:p w:rsidR="00E5481E" w:rsidRPr="00C20DEE" w:rsidRDefault="00F24BE3" w:rsidP="009E06E4">
      <w:pPr>
        <w:tabs>
          <w:tab w:val="left" w:pos="2880"/>
        </w:tabs>
        <w:spacing w:line="360" w:lineRule="auto"/>
        <w:ind w:left="851" w:hanging="851"/>
        <w:rPr>
          <w:rFonts w:ascii="Arial" w:hAnsi="Arial" w:cs="Arial"/>
          <w:color w:val="000000" w:themeColor="text1"/>
        </w:rPr>
      </w:pPr>
      <w:r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ab/>
      </w:r>
      <w:r w:rsidRPr="00C20DEE">
        <w:rPr>
          <w:rFonts w:ascii="Arial" w:hAnsi="Arial" w:cs="Arial"/>
          <w:color w:val="000000" w:themeColor="text1"/>
        </w:rPr>
        <w:t>Bloemfontein</w:t>
      </w:r>
    </w:p>
    <w:p w:rsidR="00E5481E" w:rsidRPr="00C20DEE" w:rsidRDefault="00E5481E" w:rsidP="007C2356">
      <w:pPr>
        <w:ind w:left="851" w:hanging="851"/>
        <w:rPr>
          <w:rFonts w:ascii="Arial" w:hAnsi="Arial" w:cs="Arial"/>
          <w:color w:val="000000" w:themeColor="text1"/>
        </w:rPr>
      </w:pPr>
    </w:p>
    <w:p w:rsidR="00E5481E" w:rsidRPr="00C20DEE" w:rsidRDefault="00E5481E" w:rsidP="007C2356">
      <w:pPr>
        <w:ind w:left="851" w:hanging="851"/>
        <w:rPr>
          <w:rFonts w:ascii="Arial" w:hAnsi="Arial" w:cs="Arial"/>
          <w:color w:val="000000" w:themeColor="text1"/>
        </w:rPr>
      </w:pPr>
    </w:p>
    <w:p w:rsidR="005960F0" w:rsidRPr="00C20DEE" w:rsidRDefault="005960F0" w:rsidP="002F71C5">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001C6CFB">
        <w:rPr>
          <w:rFonts w:ascii="Arial" w:hAnsi="Arial" w:cs="Arial"/>
          <w:color w:val="000000" w:themeColor="text1"/>
        </w:rPr>
        <w:t>R</w:t>
      </w:r>
      <w:r w:rsidRPr="00C20DEE">
        <w:rPr>
          <w:rFonts w:ascii="Arial" w:hAnsi="Arial" w:cs="Arial"/>
          <w:color w:val="000000" w:themeColor="text1"/>
        </w:rPr>
        <w:t>espondent:</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F24BE3" w:rsidRPr="00C20DEE">
        <w:rPr>
          <w:rFonts w:ascii="Arial" w:hAnsi="Arial" w:cs="Arial"/>
          <w:color w:val="000000" w:themeColor="text1"/>
        </w:rPr>
        <w:t>Adv</w:t>
      </w:r>
      <w:r w:rsidR="001C6CFB">
        <w:rPr>
          <w:rFonts w:ascii="Arial" w:hAnsi="Arial" w:cs="Arial"/>
          <w:color w:val="000000" w:themeColor="text1"/>
        </w:rPr>
        <w:t>. R Van Der Merwe</w:t>
      </w:r>
      <w:r w:rsidR="005B56EE">
        <w:rPr>
          <w:rFonts w:ascii="Arial" w:hAnsi="Arial" w:cs="Arial"/>
          <w:color w:val="000000" w:themeColor="text1"/>
        </w:rPr>
        <w:t xml:space="preserve"> </w:t>
      </w:r>
    </w:p>
    <w:p w:rsidR="00D82B1F" w:rsidRPr="00C20DEE" w:rsidRDefault="005960F0" w:rsidP="002F71C5">
      <w:pPr>
        <w:spacing w:line="360" w:lineRule="auto"/>
        <w:rPr>
          <w:rFonts w:ascii="Arial" w:hAnsi="Arial" w:cs="Arial"/>
          <w:color w:val="000000" w:themeColor="text1"/>
        </w:rPr>
      </w:pPr>
      <w:r w:rsidRPr="00C20DEE">
        <w:rPr>
          <w:rFonts w:ascii="Arial" w:hAnsi="Arial" w:cs="Arial"/>
          <w:color w:val="000000" w:themeColor="text1"/>
        </w:rPr>
        <w:t>Instructed by:</w:t>
      </w:r>
      <w:r w:rsidRPr="00C20DEE">
        <w:rPr>
          <w:rFonts w:ascii="Arial" w:hAnsi="Arial" w:cs="Arial"/>
          <w:color w:val="000000" w:themeColor="text1"/>
        </w:rPr>
        <w:tab/>
      </w:r>
      <w:r w:rsidRPr="00C20DEE">
        <w:rPr>
          <w:rFonts w:ascii="Arial" w:hAnsi="Arial" w:cs="Arial"/>
          <w:color w:val="000000" w:themeColor="text1"/>
        </w:rPr>
        <w:tab/>
      </w:r>
      <w:r w:rsidR="006751B4">
        <w:rPr>
          <w:rFonts w:ascii="Arial" w:hAnsi="Arial" w:cs="Arial"/>
          <w:color w:val="000000" w:themeColor="text1"/>
        </w:rPr>
        <w:t xml:space="preserve">    </w:t>
      </w:r>
      <w:r w:rsidR="001C6CFB">
        <w:rPr>
          <w:rFonts w:ascii="Arial" w:hAnsi="Arial" w:cs="Arial"/>
          <w:color w:val="000000" w:themeColor="text1"/>
        </w:rPr>
        <w:t xml:space="preserve"> Graham Attorneys</w:t>
      </w:r>
    </w:p>
    <w:p w:rsidR="00D82B1F" w:rsidRDefault="00F24BE3" w:rsidP="002F71C5">
      <w:pPr>
        <w:spacing w:line="360" w:lineRule="auto"/>
        <w:rPr>
          <w:rFonts w:ascii="Arial" w:hAnsi="Arial" w:cs="Arial"/>
          <w:color w:val="000000" w:themeColor="text1"/>
        </w:rPr>
      </w:pPr>
      <w:r w:rsidRPr="00C20DEE">
        <w:rPr>
          <w:rFonts w:ascii="Arial" w:hAnsi="Arial" w:cs="Arial"/>
          <w:color w:val="000000" w:themeColor="text1"/>
        </w:rPr>
        <w:t xml:space="preserve">                                           </w:t>
      </w:r>
      <w:r w:rsidR="006751B4">
        <w:rPr>
          <w:rFonts w:ascii="Arial" w:hAnsi="Arial" w:cs="Arial"/>
          <w:color w:val="000000" w:themeColor="text1"/>
        </w:rPr>
        <w:t xml:space="preserve">    </w:t>
      </w:r>
      <w:r w:rsidR="001C6CFB">
        <w:rPr>
          <w:rFonts w:ascii="Arial" w:hAnsi="Arial" w:cs="Arial"/>
          <w:color w:val="000000" w:themeColor="text1"/>
        </w:rPr>
        <w:t xml:space="preserve"> 14 Torbet </w:t>
      </w:r>
      <w:r w:rsidR="00D82B1F">
        <w:rPr>
          <w:rFonts w:ascii="Arial" w:hAnsi="Arial" w:cs="Arial"/>
          <w:color w:val="000000" w:themeColor="text1"/>
        </w:rPr>
        <w:t>Street</w:t>
      </w:r>
    </w:p>
    <w:p w:rsidR="00D82B1F" w:rsidRDefault="00D82B1F" w:rsidP="002F71C5">
      <w:pPr>
        <w:spacing w:line="360" w:lineRule="auto"/>
        <w:rPr>
          <w:rFonts w:ascii="Arial" w:hAnsi="Arial" w:cs="Arial"/>
          <w:color w:val="000000" w:themeColor="text1"/>
        </w:rPr>
      </w:pPr>
      <w:r>
        <w:rPr>
          <w:rFonts w:ascii="Arial" w:hAnsi="Arial" w:cs="Arial"/>
          <w:color w:val="000000" w:themeColor="text1"/>
        </w:rPr>
        <w:t xml:space="preserve">                                            </w:t>
      </w:r>
      <w:r w:rsidR="006751B4">
        <w:rPr>
          <w:rFonts w:ascii="Arial" w:hAnsi="Arial" w:cs="Arial"/>
          <w:color w:val="000000" w:themeColor="text1"/>
        </w:rPr>
        <w:t xml:space="preserve">   </w:t>
      </w:r>
      <w:r w:rsidR="001C6CFB">
        <w:rPr>
          <w:rFonts w:ascii="Arial" w:hAnsi="Arial" w:cs="Arial"/>
          <w:color w:val="000000" w:themeColor="text1"/>
        </w:rPr>
        <w:t xml:space="preserve"> Noordhoek </w:t>
      </w:r>
    </w:p>
    <w:p w:rsidR="005960F0" w:rsidRPr="00C20DEE" w:rsidRDefault="00D82B1F" w:rsidP="002F71C5">
      <w:pPr>
        <w:spacing w:line="360" w:lineRule="auto"/>
        <w:rPr>
          <w:rFonts w:ascii="Arial" w:hAnsi="Arial" w:cs="Arial"/>
          <w:color w:val="000000" w:themeColor="text1"/>
        </w:rPr>
      </w:pPr>
      <w:r>
        <w:rPr>
          <w:rFonts w:ascii="Arial" w:hAnsi="Arial" w:cs="Arial"/>
          <w:color w:val="000000" w:themeColor="text1"/>
        </w:rPr>
        <w:t xml:space="preserve">                                            </w:t>
      </w:r>
      <w:r w:rsidR="006751B4">
        <w:rPr>
          <w:rFonts w:ascii="Arial" w:hAnsi="Arial" w:cs="Arial"/>
          <w:color w:val="000000" w:themeColor="text1"/>
        </w:rPr>
        <w:t xml:space="preserve">   </w:t>
      </w:r>
      <w:r w:rsidR="001C6CFB">
        <w:rPr>
          <w:rFonts w:ascii="Arial" w:hAnsi="Arial" w:cs="Arial"/>
          <w:color w:val="000000" w:themeColor="text1"/>
        </w:rPr>
        <w:t xml:space="preserve"> </w:t>
      </w:r>
      <w:r w:rsidR="00F24BE3" w:rsidRPr="00C20DEE">
        <w:rPr>
          <w:rFonts w:ascii="Arial" w:hAnsi="Arial" w:cs="Arial"/>
          <w:color w:val="000000" w:themeColor="text1"/>
        </w:rPr>
        <w:t>B</w:t>
      </w:r>
      <w:r w:rsidR="001C6CFB">
        <w:rPr>
          <w:rFonts w:ascii="Arial" w:hAnsi="Arial" w:cs="Arial"/>
          <w:color w:val="000000" w:themeColor="text1"/>
        </w:rPr>
        <w:t>loemfontein</w:t>
      </w:r>
      <w:r w:rsidR="005960F0" w:rsidRPr="00C20DEE">
        <w:rPr>
          <w:rFonts w:ascii="Arial" w:hAnsi="Arial" w:cs="Arial"/>
          <w:color w:val="000000" w:themeColor="text1"/>
        </w:rPr>
        <w:tab/>
      </w:r>
      <w:r w:rsidR="005960F0" w:rsidRPr="00C20DEE">
        <w:rPr>
          <w:rFonts w:ascii="Arial" w:hAnsi="Arial" w:cs="Arial"/>
          <w:color w:val="000000" w:themeColor="text1"/>
        </w:rPr>
        <w:tab/>
      </w:r>
      <w:r w:rsidR="005960F0" w:rsidRPr="00C20DEE">
        <w:rPr>
          <w:rFonts w:ascii="Arial" w:hAnsi="Arial" w:cs="Arial"/>
          <w:color w:val="000000" w:themeColor="text1"/>
        </w:rPr>
        <w:tab/>
      </w:r>
    </w:p>
    <w:p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CA6CD3">
      <w:headerReference w:type="default" r:id="rId10"/>
      <w:pgSz w:w="11906" w:h="16838"/>
      <w:pgMar w:top="1440" w:right="1440" w:bottom="164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44" w:rsidRDefault="007F6244" w:rsidP="00DA5395">
      <w:r>
        <w:separator/>
      </w:r>
    </w:p>
  </w:endnote>
  <w:endnote w:type="continuationSeparator" w:id="0">
    <w:p w:rsidR="007F6244" w:rsidRDefault="007F6244" w:rsidP="00DA5395">
      <w:r>
        <w:continuationSeparator/>
      </w:r>
    </w:p>
  </w:endnote>
  <w:endnote w:type="continuationNotice" w:id="1">
    <w:p w:rsidR="007F6244" w:rsidRDefault="007F6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44" w:rsidRDefault="007F6244" w:rsidP="00DA5395">
      <w:r>
        <w:separator/>
      </w:r>
    </w:p>
  </w:footnote>
  <w:footnote w:type="continuationSeparator" w:id="0">
    <w:p w:rsidR="007F6244" w:rsidRDefault="007F6244" w:rsidP="00DA5395">
      <w:r>
        <w:continuationSeparator/>
      </w:r>
    </w:p>
  </w:footnote>
  <w:footnote w:type="continuationNotice" w:id="1">
    <w:p w:rsidR="007F6244" w:rsidRDefault="007F6244"/>
  </w:footnote>
  <w:footnote w:id="2">
    <w:p w:rsidR="003E6DAE" w:rsidRPr="003E6DAE" w:rsidRDefault="003E6DAE">
      <w:pPr>
        <w:pStyle w:val="FootnoteText"/>
        <w:rPr>
          <w:lang w:val="en-ZA"/>
        </w:rPr>
      </w:pPr>
      <w:r>
        <w:rPr>
          <w:rStyle w:val="FootnoteReference"/>
        </w:rPr>
        <w:footnoteRef/>
      </w:r>
      <w:r>
        <w:t xml:space="preserve"> </w:t>
      </w:r>
      <w:r>
        <w:rPr>
          <w:lang w:val="en-ZA"/>
        </w:rPr>
        <w:t xml:space="preserve">Section 47 of The Administration of Estate Act 66 of 1965. </w:t>
      </w:r>
    </w:p>
  </w:footnote>
  <w:footnote w:id="3">
    <w:p w:rsidR="00443A9A" w:rsidRPr="00443A9A" w:rsidRDefault="00443A9A">
      <w:pPr>
        <w:pStyle w:val="FootnoteText"/>
        <w:rPr>
          <w:lang w:val="en-US"/>
        </w:rPr>
      </w:pPr>
      <w:r>
        <w:rPr>
          <w:rStyle w:val="FootnoteReference"/>
        </w:rPr>
        <w:footnoteRef/>
      </w:r>
      <w:r>
        <w:t xml:space="preserve"> </w:t>
      </w:r>
      <w:r>
        <w:rPr>
          <w:lang w:val="en-US"/>
        </w:rPr>
        <w:t>Para 26 of the Applicant’s heads of argument.</w:t>
      </w:r>
    </w:p>
  </w:footnote>
  <w:footnote w:id="4">
    <w:p w:rsidR="003E6DAE" w:rsidRPr="003E6DAE" w:rsidRDefault="003E6DAE">
      <w:pPr>
        <w:pStyle w:val="FootnoteText"/>
        <w:rPr>
          <w:lang w:val="en-ZA"/>
        </w:rPr>
      </w:pPr>
      <w:r>
        <w:rPr>
          <w:rStyle w:val="FootnoteReference"/>
        </w:rPr>
        <w:footnoteRef/>
      </w:r>
      <w:r>
        <w:t xml:space="preserve"> </w:t>
      </w:r>
      <w:r>
        <w:rPr>
          <w:lang w:val="en-ZA"/>
        </w:rPr>
        <w:t xml:space="preserve">Paragraph 24 of the Applicants Heads or Argument.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AE" w:rsidRDefault="007F6244">
    <w:pPr>
      <w:pStyle w:val="Header"/>
      <w:jc w:val="right"/>
    </w:pPr>
    <w:sdt>
      <w:sdtPr>
        <w:id w:val="1641074034"/>
        <w:docPartObj>
          <w:docPartGallery w:val="Page Numbers (Top of Page)"/>
          <w:docPartUnique/>
        </w:docPartObj>
      </w:sdtPr>
      <w:sdtEndPr>
        <w:rPr>
          <w:noProof/>
        </w:rPr>
      </w:sdtEndPr>
      <w:sdtContent>
        <w:r w:rsidR="003E6DAE">
          <w:fldChar w:fldCharType="begin"/>
        </w:r>
        <w:r w:rsidR="003E6DAE">
          <w:instrText xml:space="preserve"> PAGE   \* MERGEFORMAT </w:instrText>
        </w:r>
        <w:r w:rsidR="003E6DAE">
          <w:fldChar w:fldCharType="separate"/>
        </w:r>
        <w:r w:rsidR="00804062">
          <w:rPr>
            <w:noProof/>
          </w:rPr>
          <w:t>5</w:t>
        </w:r>
        <w:r w:rsidR="003E6DAE">
          <w:rPr>
            <w:noProof/>
          </w:rPr>
          <w:fldChar w:fldCharType="end"/>
        </w:r>
      </w:sdtContent>
    </w:sdt>
  </w:p>
  <w:p w:rsidR="003E6DAE" w:rsidRDefault="003E6D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622644"/>
    <w:multiLevelType w:val="hybridMultilevel"/>
    <w:tmpl w:val="12686A52"/>
    <w:lvl w:ilvl="0" w:tplc="240C3E06">
      <w:start w:val="1"/>
      <w:numFmt w:val="lowerLetter"/>
      <w:lvlText w:val="%1)"/>
      <w:lvlJc w:val="left"/>
      <w:pPr>
        <w:ind w:left="1571" w:hanging="360"/>
      </w:pPr>
      <w:rPr>
        <w:rFonts w:hint="default"/>
        <w:sz w:val="20"/>
        <w:szCs w:val="20"/>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9" w15:restartNumberingAfterBreak="0">
    <w:nsid w:val="4CFD5BBE"/>
    <w:multiLevelType w:val="hybridMultilevel"/>
    <w:tmpl w:val="219CE982"/>
    <w:lvl w:ilvl="0" w:tplc="FDA8D7B6">
      <w:start w:val="1"/>
      <w:numFmt w:val="decimal"/>
      <w:lvlText w:val="%1."/>
      <w:lvlJc w:val="left"/>
      <w:pPr>
        <w:ind w:left="987" w:hanging="4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521238B0"/>
    <w:multiLevelType w:val="multilevel"/>
    <w:tmpl w:val="E4704D7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12" w15:restartNumberingAfterBreak="0">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3" w15:restartNumberingAfterBreak="0">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5"/>
  </w:num>
  <w:num w:numId="3">
    <w:abstractNumId w:val="11"/>
  </w:num>
  <w:num w:numId="4">
    <w:abstractNumId w:val="0"/>
  </w:num>
  <w:num w:numId="5">
    <w:abstractNumId w:val="1"/>
  </w:num>
  <w:num w:numId="6">
    <w:abstractNumId w:val="14"/>
  </w:num>
  <w:num w:numId="7">
    <w:abstractNumId w:val="6"/>
  </w:num>
  <w:num w:numId="8">
    <w:abstractNumId w:val="12"/>
  </w:num>
  <w:num w:numId="9">
    <w:abstractNumId w:val="2"/>
  </w:num>
  <w:num w:numId="10">
    <w:abstractNumId w:val="3"/>
  </w:num>
  <w:num w:numId="11">
    <w:abstractNumId w:val="7"/>
  </w:num>
  <w:num w:numId="12">
    <w:abstractNumId w:val="4"/>
  </w:num>
  <w:num w:numId="13">
    <w:abstractNumId w:val="9"/>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MLcwMjIxNzQzNzZQ0lEKTi0uzszPAymwqAUAFe/6zywAAAA="/>
  </w:docVars>
  <w:rsids>
    <w:rsidRoot w:val="007C348D"/>
    <w:rsid w:val="000026C2"/>
    <w:rsid w:val="000111F4"/>
    <w:rsid w:val="00013A3F"/>
    <w:rsid w:val="00017C1A"/>
    <w:rsid w:val="0002217F"/>
    <w:rsid w:val="000237D5"/>
    <w:rsid w:val="000312FA"/>
    <w:rsid w:val="00037432"/>
    <w:rsid w:val="00040225"/>
    <w:rsid w:val="00040C9D"/>
    <w:rsid w:val="00041CD0"/>
    <w:rsid w:val="00047074"/>
    <w:rsid w:val="00056043"/>
    <w:rsid w:val="00056E59"/>
    <w:rsid w:val="00056F05"/>
    <w:rsid w:val="00063844"/>
    <w:rsid w:val="00067989"/>
    <w:rsid w:val="000712B0"/>
    <w:rsid w:val="00076CB8"/>
    <w:rsid w:val="00077E52"/>
    <w:rsid w:val="00080924"/>
    <w:rsid w:val="00080ACE"/>
    <w:rsid w:val="00085FA9"/>
    <w:rsid w:val="00095075"/>
    <w:rsid w:val="000A016A"/>
    <w:rsid w:val="000A4558"/>
    <w:rsid w:val="000A52BA"/>
    <w:rsid w:val="000A647C"/>
    <w:rsid w:val="000B7255"/>
    <w:rsid w:val="000B7705"/>
    <w:rsid w:val="000C3063"/>
    <w:rsid w:val="000C66EC"/>
    <w:rsid w:val="000C72FC"/>
    <w:rsid w:val="000C747A"/>
    <w:rsid w:val="000C77F8"/>
    <w:rsid w:val="000C7CAF"/>
    <w:rsid w:val="000D68EE"/>
    <w:rsid w:val="000E5025"/>
    <w:rsid w:val="000F0D5A"/>
    <w:rsid w:val="000F2881"/>
    <w:rsid w:val="000F713E"/>
    <w:rsid w:val="00101B7F"/>
    <w:rsid w:val="00101FFF"/>
    <w:rsid w:val="00102312"/>
    <w:rsid w:val="0010369D"/>
    <w:rsid w:val="001036C0"/>
    <w:rsid w:val="00122559"/>
    <w:rsid w:val="0012615F"/>
    <w:rsid w:val="00131CF1"/>
    <w:rsid w:val="00134B44"/>
    <w:rsid w:val="00136A1F"/>
    <w:rsid w:val="00141DCC"/>
    <w:rsid w:val="00143AAA"/>
    <w:rsid w:val="001479EF"/>
    <w:rsid w:val="00150C96"/>
    <w:rsid w:val="00153BD2"/>
    <w:rsid w:val="00157593"/>
    <w:rsid w:val="001575AF"/>
    <w:rsid w:val="00160F7C"/>
    <w:rsid w:val="00161BEC"/>
    <w:rsid w:val="0016393F"/>
    <w:rsid w:val="00167FFC"/>
    <w:rsid w:val="00181821"/>
    <w:rsid w:val="001842DC"/>
    <w:rsid w:val="001856BF"/>
    <w:rsid w:val="00187391"/>
    <w:rsid w:val="00196B60"/>
    <w:rsid w:val="001A4AE0"/>
    <w:rsid w:val="001A57CE"/>
    <w:rsid w:val="001B34F4"/>
    <w:rsid w:val="001B7DC9"/>
    <w:rsid w:val="001C2172"/>
    <w:rsid w:val="001C6CFB"/>
    <w:rsid w:val="001C6D91"/>
    <w:rsid w:val="001D0A19"/>
    <w:rsid w:val="001D15CD"/>
    <w:rsid w:val="001D54AE"/>
    <w:rsid w:val="001E2FDC"/>
    <w:rsid w:val="001F70BD"/>
    <w:rsid w:val="00201579"/>
    <w:rsid w:val="002060ED"/>
    <w:rsid w:val="00212A94"/>
    <w:rsid w:val="002147E3"/>
    <w:rsid w:val="00217700"/>
    <w:rsid w:val="002274E2"/>
    <w:rsid w:val="00230A2D"/>
    <w:rsid w:val="00234018"/>
    <w:rsid w:val="00234EC4"/>
    <w:rsid w:val="00240AC1"/>
    <w:rsid w:val="00240D77"/>
    <w:rsid w:val="00251520"/>
    <w:rsid w:val="00251A7C"/>
    <w:rsid w:val="00261FF7"/>
    <w:rsid w:val="002627AF"/>
    <w:rsid w:val="002734F8"/>
    <w:rsid w:val="00277577"/>
    <w:rsid w:val="0027763B"/>
    <w:rsid w:val="00286EB0"/>
    <w:rsid w:val="00286F23"/>
    <w:rsid w:val="0029022F"/>
    <w:rsid w:val="002938AA"/>
    <w:rsid w:val="002A46BB"/>
    <w:rsid w:val="002A60B8"/>
    <w:rsid w:val="002A61D2"/>
    <w:rsid w:val="002A62A7"/>
    <w:rsid w:val="002A631E"/>
    <w:rsid w:val="002A7CB0"/>
    <w:rsid w:val="002A7D4B"/>
    <w:rsid w:val="002B0A9D"/>
    <w:rsid w:val="002B27AB"/>
    <w:rsid w:val="002B369A"/>
    <w:rsid w:val="002B48A4"/>
    <w:rsid w:val="002C0225"/>
    <w:rsid w:val="002C5414"/>
    <w:rsid w:val="002D3664"/>
    <w:rsid w:val="002D5E30"/>
    <w:rsid w:val="002E0D26"/>
    <w:rsid w:val="002E15CB"/>
    <w:rsid w:val="002F0F74"/>
    <w:rsid w:val="002F4685"/>
    <w:rsid w:val="002F71C5"/>
    <w:rsid w:val="00302D2B"/>
    <w:rsid w:val="003036C9"/>
    <w:rsid w:val="0030603E"/>
    <w:rsid w:val="003065ED"/>
    <w:rsid w:val="00313061"/>
    <w:rsid w:val="00316479"/>
    <w:rsid w:val="00323B17"/>
    <w:rsid w:val="00326787"/>
    <w:rsid w:val="00327340"/>
    <w:rsid w:val="00331CAF"/>
    <w:rsid w:val="00343972"/>
    <w:rsid w:val="003448E3"/>
    <w:rsid w:val="003460C5"/>
    <w:rsid w:val="003472FC"/>
    <w:rsid w:val="0035047C"/>
    <w:rsid w:val="00351967"/>
    <w:rsid w:val="00352BB3"/>
    <w:rsid w:val="00356771"/>
    <w:rsid w:val="0036522C"/>
    <w:rsid w:val="003667D6"/>
    <w:rsid w:val="00366E58"/>
    <w:rsid w:val="00372841"/>
    <w:rsid w:val="00374D49"/>
    <w:rsid w:val="003805E1"/>
    <w:rsid w:val="00383432"/>
    <w:rsid w:val="00385141"/>
    <w:rsid w:val="003878BB"/>
    <w:rsid w:val="003A318A"/>
    <w:rsid w:val="003B15D1"/>
    <w:rsid w:val="003B1CBE"/>
    <w:rsid w:val="003B3C7C"/>
    <w:rsid w:val="003B4BB1"/>
    <w:rsid w:val="003B4C68"/>
    <w:rsid w:val="003E07F9"/>
    <w:rsid w:val="003E4D77"/>
    <w:rsid w:val="003E6DAE"/>
    <w:rsid w:val="003E7FE1"/>
    <w:rsid w:val="003F2617"/>
    <w:rsid w:val="003F2D1B"/>
    <w:rsid w:val="003F410D"/>
    <w:rsid w:val="004041CC"/>
    <w:rsid w:val="00404459"/>
    <w:rsid w:val="00416341"/>
    <w:rsid w:val="0041714C"/>
    <w:rsid w:val="0042055E"/>
    <w:rsid w:val="0042280C"/>
    <w:rsid w:val="0043720B"/>
    <w:rsid w:val="00441D7B"/>
    <w:rsid w:val="00443A9A"/>
    <w:rsid w:val="0044778C"/>
    <w:rsid w:val="00447C28"/>
    <w:rsid w:val="00450DA4"/>
    <w:rsid w:val="004537CD"/>
    <w:rsid w:val="0046504C"/>
    <w:rsid w:val="00467392"/>
    <w:rsid w:val="00471479"/>
    <w:rsid w:val="004749DA"/>
    <w:rsid w:val="00482AAD"/>
    <w:rsid w:val="00491045"/>
    <w:rsid w:val="004919CD"/>
    <w:rsid w:val="0049477D"/>
    <w:rsid w:val="004A182B"/>
    <w:rsid w:val="004A20A8"/>
    <w:rsid w:val="004A3257"/>
    <w:rsid w:val="004A56AE"/>
    <w:rsid w:val="004C20DC"/>
    <w:rsid w:val="004C368F"/>
    <w:rsid w:val="004C506F"/>
    <w:rsid w:val="004D51E4"/>
    <w:rsid w:val="004D63AD"/>
    <w:rsid w:val="004E0B29"/>
    <w:rsid w:val="004E2339"/>
    <w:rsid w:val="004E243D"/>
    <w:rsid w:val="004E2F99"/>
    <w:rsid w:val="004E3022"/>
    <w:rsid w:val="004E54EB"/>
    <w:rsid w:val="004F2723"/>
    <w:rsid w:val="004F3F06"/>
    <w:rsid w:val="004F5E70"/>
    <w:rsid w:val="004F793E"/>
    <w:rsid w:val="0050073B"/>
    <w:rsid w:val="00500FBB"/>
    <w:rsid w:val="005013E3"/>
    <w:rsid w:val="0050544E"/>
    <w:rsid w:val="0051095E"/>
    <w:rsid w:val="00533A9E"/>
    <w:rsid w:val="0054066D"/>
    <w:rsid w:val="005459C8"/>
    <w:rsid w:val="00554B8B"/>
    <w:rsid w:val="00557008"/>
    <w:rsid w:val="0056286B"/>
    <w:rsid w:val="005835FE"/>
    <w:rsid w:val="00584EC5"/>
    <w:rsid w:val="005851C9"/>
    <w:rsid w:val="00586501"/>
    <w:rsid w:val="00591CD2"/>
    <w:rsid w:val="0059404A"/>
    <w:rsid w:val="005960F0"/>
    <w:rsid w:val="00597EFA"/>
    <w:rsid w:val="005A6F9D"/>
    <w:rsid w:val="005B271F"/>
    <w:rsid w:val="005B56EE"/>
    <w:rsid w:val="005B5C14"/>
    <w:rsid w:val="005D0070"/>
    <w:rsid w:val="005D0D19"/>
    <w:rsid w:val="005D6CBF"/>
    <w:rsid w:val="005E0068"/>
    <w:rsid w:val="005E18AD"/>
    <w:rsid w:val="005E2A13"/>
    <w:rsid w:val="005E61AB"/>
    <w:rsid w:val="005F349B"/>
    <w:rsid w:val="005F65D4"/>
    <w:rsid w:val="006057B5"/>
    <w:rsid w:val="00614299"/>
    <w:rsid w:val="00620500"/>
    <w:rsid w:val="0062222E"/>
    <w:rsid w:val="006231E0"/>
    <w:rsid w:val="00623854"/>
    <w:rsid w:val="00625250"/>
    <w:rsid w:val="00626E98"/>
    <w:rsid w:val="00626FFB"/>
    <w:rsid w:val="00631A18"/>
    <w:rsid w:val="00634F46"/>
    <w:rsid w:val="00640D44"/>
    <w:rsid w:val="00645452"/>
    <w:rsid w:val="0064795D"/>
    <w:rsid w:val="0065472D"/>
    <w:rsid w:val="00656276"/>
    <w:rsid w:val="0065643B"/>
    <w:rsid w:val="00666EAC"/>
    <w:rsid w:val="00667E39"/>
    <w:rsid w:val="00667F63"/>
    <w:rsid w:val="006751B4"/>
    <w:rsid w:val="00675401"/>
    <w:rsid w:val="00677957"/>
    <w:rsid w:val="00680814"/>
    <w:rsid w:val="00682AD5"/>
    <w:rsid w:val="00684F83"/>
    <w:rsid w:val="00686BC3"/>
    <w:rsid w:val="006A035D"/>
    <w:rsid w:val="006A1F93"/>
    <w:rsid w:val="006A47FB"/>
    <w:rsid w:val="006B44D4"/>
    <w:rsid w:val="006C0F71"/>
    <w:rsid w:val="006C3953"/>
    <w:rsid w:val="006C7746"/>
    <w:rsid w:val="006D055C"/>
    <w:rsid w:val="006D6CC4"/>
    <w:rsid w:val="006D6F69"/>
    <w:rsid w:val="006E0733"/>
    <w:rsid w:val="006E0CE0"/>
    <w:rsid w:val="006F3811"/>
    <w:rsid w:val="006F48A0"/>
    <w:rsid w:val="007013A6"/>
    <w:rsid w:val="007033AB"/>
    <w:rsid w:val="00707BA7"/>
    <w:rsid w:val="007111DC"/>
    <w:rsid w:val="00713FEB"/>
    <w:rsid w:val="00721246"/>
    <w:rsid w:val="00724EA2"/>
    <w:rsid w:val="0072655E"/>
    <w:rsid w:val="00731AE7"/>
    <w:rsid w:val="0074371E"/>
    <w:rsid w:val="00744550"/>
    <w:rsid w:val="00750200"/>
    <w:rsid w:val="00751FB3"/>
    <w:rsid w:val="00752379"/>
    <w:rsid w:val="00754E32"/>
    <w:rsid w:val="0077094C"/>
    <w:rsid w:val="00774C0A"/>
    <w:rsid w:val="00781F07"/>
    <w:rsid w:val="0078679D"/>
    <w:rsid w:val="00786C0C"/>
    <w:rsid w:val="0079284C"/>
    <w:rsid w:val="00797293"/>
    <w:rsid w:val="007A0ECC"/>
    <w:rsid w:val="007A17CA"/>
    <w:rsid w:val="007A2DC1"/>
    <w:rsid w:val="007A6A8A"/>
    <w:rsid w:val="007B6502"/>
    <w:rsid w:val="007C2356"/>
    <w:rsid w:val="007C348D"/>
    <w:rsid w:val="007C7112"/>
    <w:rsid w:val="007C7494"/>
    <w:rsid w:val="007C77B3"/>
    <w:rsid w:val="007D0A88"/>
    <w:rsid w:val="007D1CFA"/>
    <w:rsid w:val="007D4A7C"/>
    <w:rsid w:val="007E14F4"/>
    <w:rsid w:val="007E3399"/>
    <w:rsid w:val="007E61BB"/>
    <w:rsid w:val="007E7AEF"/>
    <w:rsid w:val="007F2630"/>
    <w:rsid w:val="007F4F13"/>
    <w:rsid w:val="007F6244"/>
    <w:rsid w:val="007F6B5A"/>
    <w:rsid w:val="00800164"/>
    <w:rsid w:val="00800C08"/>
    <w:rsid w:val="008014A3"/>
    <w:rsid w:val="00804062"/>
    <w:rsid w:val="00804DDE"/>
    <w:rsid w:val="00810079"/>
    <w:rsid w:val="00812151"/>
    <w:rsid w:val="00816F15"/>
    <w:rsid w:val="00820441"/>
    <w:rsid w:val="008318BF"/>
    <w:rsid w:val="00831EAA"/>
    <w:rsid w:val="00832EED"/>
    <w:rsid w:val="00836CB3"/>
    <w:rsid w:val="00843543"/>
    <w:rsid w:val="0084509E"/>
    <w:rsid w:val="00845D99"/>
    <w:rsid w:val="00852739"/>
    <w:rsid w:val="00854D9F"/>
    <w:rsid w:val="00861568"/>
    <w:rsid w:val="008632D0"/>
    <w:rsid w:val="00867AE3"/>
    <w:rsid w:val="00873B81"/>
    <w:rsid w:val="0087534B"/>
    <w:rsid w:val="00875729"/>
    <w:rsid w:val="00876CD8"/>
    <w:rsid w:val="008803C0"/>
    <w:rsid w:val="00880BB3"/>
    <w:rsid w:val="008826B9"/>
    <w:rsid w:val="00882721"/>
    <w:rsid w:val="00884F75"/>
    <w:rsid w:val="008856D0"/>
    <w:rsid w:val="00886572"/>
    <w:rsid w:val="00891F14"/>
    <w:rsid w:val="00894EEF"/>
    <w:rsid w:val="008957B5"/>
    <w:rsid w:val="00896C06"/>
    <w:rsid w:val="008A4A0D"/>
    <w:rsid w:val="008A5D23"/>
    <w:rsid w:val="008B0433"/>
    <w:rsid w:val="008B1736"/>
    <w:rsid w:val="008B1A3F"/>
    <w:rsid w:val="008B68F7"/>
    <w:rsid w:val="008B6B38"/>
    <w:rsid w:val="008C0F83"/>
    <w:rsid w:val="008D09E3"/>
    <w:rsid w:val="008D11BE"/>
    <w:rsid w:val="008D1B36"/>
    <w:rsid w:val="008E25E6"/>
    <w:rsid w:val="008E57BF"/>
    <w:rsid w:val="008F568D"/>
    <w:rsid w:val="00902E43"/>
    <w:rsid w:val="00905A58"/>
    <w:rsid w:val="00914772"/>
    <w:rsid w:val="00920087"/>
    <w:rsid w:val="00923A6E"/>
    <w:rsid w:val="00931298"/>
    <w:rsid w:val="00933041"/>
    <w:rsid w:val="009346A8"/>
    <w:rsid w:val="00935CE2"/>
    <w:rsid w:val="00940F60"/>
    <w:rsid w:val="00942E10"/>
    <w:rsid w:val="0094409C"/>
    <w:rsid w:val="0094642F"/>
    <w:rsid w:val="00947102"/>
    <w:rsid w:val="00947956"/>
    <w:rsid w:val="00947981"/>
    <w:rsid w:val="00951E22"/>
    <w:rsid w:val="00952DC9"/>
    <w:rsid w:val="00955D06"/>
    <w:rsid w:val="009561EF"/>
    <w:rsid w:val="009638BA"/>
    <w:rsid w:val="009649B7"/>
    <w:rsid w:val="009674B3"/>
    <w:rsid w:val="0097522B"/>
    <w:rsid w:val="0097658B"/>
    <w:rsid w:val="00976C0D"/>
    <w:rsid w:val="00981B3F"/>
    <w:rsid w:val="009827EF"/>
    <w:rsid w:val="00982D0A"/>
    <w:rsid w:val="0098467C"/>
    <w:rsid w:val="009866DB"/>
    <w:rsid w:val="00991A24"/>
    <w:rsid w:val="00991BA9"/>
    <w:rsid w:val="00993226"/>
    <w:rsid w:val="00994B47"/>
    <w:rsid w:val="00995AC9"/>
    <w:rsid w:val="00996143"/>
    <w:rsid w:val="009A44AB"/>
    <w:rsid w:val="009A4CAC"/>
    <w:rsid w:val="009B26F3"/>
    <w:rsid w:val="009B3B0E"/>
    <w:rsid w:val="009B3CCA"/>
    <w:rsid w:val="009C0F11"/>
    <w:rsid w:val="009C219E"/>
    <w:rsid w:val="009C6ADB"/>
    <w:rsid w:val="009E06E4"/>
    <w:rsid w:val="009E1BC0"/>
    <w:rsid w:val="009E40F8"/>
    <w:rsid w:val="009E469A"/>
    <w:rsid w:val="009E47FD"/>
    <w:rsid w:val="009F6077"/>
    <w:rsid w:val="00A00820"/>
    <w:rsid w:val="00A01419"/>
    <w:rsid w:val="00A0200E"/>
    <w:rsid w:val="00A052C7"/>
    <w:rsid w:val="00A103A2"/>
    <w:rsid w:val="00A1097F"/>
    <w:rsid w:val="00A13C97"/>
    <w:rsid w:val="00A2266C"/>
    <w:rsid w:val="00A23389"/>
    <w:rsid w:val="00A353EF"/>
    <w:rsid w:val="00A35B69"/>
    <w:rsid w:val="00A411FF"/>
    <w:rsid w:val="00A556CC"/>
    <w:rsid w:val="00A74B52"/>
    <w:rsid w:val="00A75D65"/>
    <w:rsid w:val="00A80708"/>
    <w:rsid w:val="00A816FD"/>
    <w:rsid w:val="00A81C7A"/>
    <w:rsid w:val="00A8530D"/>
    <w:rsid w:val="00A8690C"/>
    <w:rsid w:val="00A90D5C"/>
    <w:rsid w:val="00A96D6D"/>
    <w:rsid w:val="00A9771A"/>
    <w:rsid w:val="00AA11ED"/>
    <w:rsid w:val="00AA1EF4"/>
    <w:rsid w:val="00AA22AB"/>
    <w:rsid w:val="00AA31A4"/>
    <w:rsid w:val="00AA415F"/>
    <w:rsid w:val="00AC0DC9"/>
    <w:rsid w:val="00AC20B0"/>
    <w:rsid w:val="00AC3A43"/>
    <w:rsid w:val="00AC5040"/>
    <w:rsid w:val="00AC585D"/>
    <w:rsid w:val="00AC5AA4"/>
    <w:rsid w:val="00AD516D"/>
    <w:rsid w:val="00AD5191"/>
    <w:rsid w:val="00AD6579"/>
    <w:rsid w:val="00AE0369"/>
    <w:rsid w:val="00AE048A"/>
    <w:rsid w:val="00AE1391"/>
    <w:rsid w:val="00AE2738"/>
    <w:rsid w:val="00AE29A3"/>
    <w:rsid w:val="00AE31F1"/>
    <w:rsid w:val="00AE3AEB"/>
    <w:rsid w:val="00AF43A4"/>
    <w:rsid w:val="00AF514C"/>
    <w:rsid w:val="00AF61C4"/>
    <w:rsid w:val="00AF7950"/>
    <w:rsid w:val="00B0296B"/>
    <w:rsid w:val="00B06CFE"/>
    <w:rsid w:val="00B11417"/>
    <w:rsid w:val="00B20C6E"/>
    <w:rsid w:val="00B225BE"/>
    <w:rsid w:val="00B23609"/>
    <w:rsid w:val="00B307E3"/>
    <w:rsid w:val="00B30B07"/>
    <w:rsid w:val="00B32C75"/>
    <w:rsid w:val="00B33F61"/>
    <w:rsid w:val="00B405D0"/>
    <w:rsid w:val="00B465B1"/>
    <w:rsid w:val="00B50934"/>
    <w:rsid w:val="00B50972"/>
    <w:rsid w:val="00B50C73"/>
    <w:rsid w:val="00B60E9F"/>
    <w:rsid w:val="00B7604C"/>
    <w:rsid w:val="00BA06F5"/>
    <w:rsid w:val="00BA16DE"/>
    <w:rsid w:val="00BA5977"/>
    <w:rsid w:val="00BA5A85"/>
    <w:rsid w:val="00BA7A5E"/>
    <w:rsid w:val="00BB3644"/>
    <w:rsid w:val="00BB48A3"/>
    <w:rsid w:val="00BC07EE"/>
    <w:rsid w:val="00BC3C7C"/>
    <w:rsid w:val="00BC40A8"/>
    <w:rsid w:val="00BC6D21"/>
    <w:rsid w:val="00BD1084"/>
    <w:rsid w:val="00BD6072"/>
    <w:rsid w:val="00BD667B"/>
    <w:rsid w:val="00BD6800"/>
    <w:rsid w:val="00BE036F"/>
    <w:rsid w:val="00BE0548"/>
    <w:rsid w:val="00BE1A6F"/>
    <w:rsid w:val="00BE1B9D"/>
    <w:rsid w:val="00BE4C43"/>
    <w:rsid w:val="00BF2C8F"/>
    <w:rsid w:val="00C018D6"/>
    <w:rsid w:val="00C01D44"/>
    <w:rsid w:val="00C02899"/>
    <w:rsid w:val="00C104C3"/>
    <w:rsid w:val="00C12C90"/>
    <w:rsid w:val="00C140A6"/>
    <w:rsid w:val="00C15C47"/>
    <w:rsid w:val="00C16854"/>
    <w:rsid w:val="00C17082"/>
    <w:rsid w:val="00C20DEE"/>
    <w:rsid w:val="00C25D62"/>
    <w:rsid w:val="00C268C9"/>
    <w:rsid w:val="00C26DB3"/>
    <w:rsid w:val="00C31C9E"/>
    <w:rsid w:val="00C50575"/>
    <w:rsid w:val="00C5125B"/>
    <w:rsid w:val="00C530E4"/>
    <w:rsid w:val="00C563B8"/>
    <w:rsid w:val="00C64EF7"/>
    <w:rsid w:val="00C6681F"/>
    <w:rsid w:val="00C718A1"/>
    <w:rsid w:val="00C909A0"/>
    <w:rsid w:val="00C945EA"/>
    <w:rsid w:val="00C97E9F"/>
    <w:rsid w:val="00CA08E2"/>
    <w:rsid w:val="00CA3518"/>
    <w:rsid w:val="00CA59F8"/>
    <w:rsid w:val="00CA6CD3"/>
    <w:rsid w:val="00CD152C"/>
    <w:rsid w:val="00CD509B"/>
    <w:rsid w:val="00CD5827"/>
    <w:rsid w:val="00CD6A8C"/>
    <w:rsid w:val="00CE04B1"/>
    <w:rsid w:val="00CE0B31"/>
    <w:rsid w:val="00CE39C4"/>
    <w:rsid w:val="00CE3C75"/>
    <w:rsid w:val="00CE7811"/>
    <w:rsid w:val="00CF3D71"/>
    <w:rsid w:val="00D02BAA"/>
    <w:rsid w:val="00D040DC"/>
    <w:rsid w:val="00D07643"/>
    <w:rsid w:val="00D15916"/>
    <w:rsid w:val="00D15D77"/>
    <w:rsid w:val="00D221EC"/>
    <w:rsid w:val="00D233B3"/>
    <w:rsid w:val="00D26E04"/>
    <w:rsid w:val="00D320F8"/>
    <w:rsid w:val="00D3672C"/>
    <w:rsid w:val="00D41D5B"/>
    <w:rsid w:val="00D427B2"/>
    <w:rsid w:val="00D55F80"/>
    <w:rsid w:val="00D63F82"/>
    <w:rsid w:val="00D74600"/>
    <w:rsid w:val="00D75B83"/>
    <w:rsid w:val="00D77923"/>
    <w:rsid w:val="00D82B1F"/>
    <w:rsid w:val="00D918E8"/>
    <w:rsid w:val="00D9526F"/>
    <w:rsid w:val="00DA5395"/>
    <w:rsid w:val="00DB065C"/>
    <w:rsid w:val="00DB5D24"/>
    <w:rsid w:val="00DB7619"/>
    <w:rsid w:val="00DC3E15"/>
    <w:rsid w:val="00DC5A12"/>
    <w:rsid w:val="00DC6873"/>
    <w:rsid w:val="00DE0ED3"/>
    <w:rsid w:val="00DE5AA8"/>
    <w:rsid w:val="00DF15E9"/>
    <w:rsid w:val="00DF20C2"/>
    <w:rsid w:val="00E00A18"/>
    <w:rsid w:val="00E011A2"/>
    <w:rsid w:val="00E03FBA"/>
    <w:rsid w:val="00E050C1"/>
    <w:rsid w:val="00E07B48"/>
    <w:rsid w:val="00E07E9A"/>
    <w:rsid w:val="00E12897"/>
    <w:rsid w:val="00E13F80"/>
    <w:rsid w:val="00E176D6"/>
    <w:rsid w:val="00E20CC4"/>
    <w:rsid w:val="00E219EE"/>
    <w:rsid w:val="00E23295"/>
    <w:rsid w:val="00E25A71"/>
    <w:rsid w:val="00E31301"/>
    <w:rsid w:val="00E31B13"/>
    <w:rsid w:val="00E35BBD"/>
    <w:rsid w:val="00E36063"/>
    <w:rsid w:val="00E3784E"/>
    <w:rsid w:val="00E42996"/>
    <w:rsid w:val="00E42DA6"/>
    <w:rsid w:val="00E437F5"/>
    <w:rsid w:val="00E45D44"/>
    <w:rsid w:val="00E46434"/>
    <w:rsid w:val="00E51FE8"/>
    <w:rsid w:val="00E5481E"/>
    <w:rsid w:val="00E5549C"/>
    <w:rsid w:val="00E64F07"/>
    <w:rsid w:val="00E6513F"/>
    <w:rsid w:val="00E660B0"/>
    <w:rsid w:val="00E661CA"/>
    <w:rsid w:val="00E71D96"/>
    <w:rsid w:val="00E72866"/>
    <w:rsid w:val="00E73780"/>
    <w:rsid w:val="00E74E84"/>
    <w:rsid w:val="00E75816"/>
    <w:rsid w:val="00E75988"/>
    <w:rsid w:val="00E82712"/>
    <w:rsid w:val="00E9198F"/>
    <w:rsid w:val="00E9554F"/>
    <w:rsid w:val="00E97B54"/>
    <w:rsid w:val="00EA0BBA"/>
    <w:rsid w:val="00EA117F"/>
    <w:rsid w:val="00EA1EE4"/>
    <w:rsid w:val="00EA291E"/>
    <w:rsid w:val="00EA5959"/>
    <w:rsid w:val="00EA598D"/>
    <w:rsid w:val="00EA5C86"/>
    <w:rsid w:val="00EA618C"/>
    <w:rsid w:val="00EA6982"/>
    <w:rsid w:val="00EA6A77"/>
    <w:rsid w:val="00EB7AC5"/>
    <w:rsid w:val="00EC40DB"/>
    <w:rsid w:val="00EC41C6"/>
    <w:rsid w:val="00EC5A17"/>
    <w:rsid w:val="00ED5BEE"/>
    <w:rsid w:val="00EE0A26"/>
    <w:rsid w:val="00EE4AE3"/>
    <w:rsid w:val="00EF11A8"/>
    <w:rsid w:val="00EF412E"/>
    <w:rsid w:val="00EF5325"/>
    <w:rsid w:val="00EF5A67"/>
    <w:rsid w:val="00EF7ECB"/>
    <w:rsid w:val="00F00701"/>
    <w:rsid w:val="00F0291B"/>
    <w:rsid w:val="00F14259"/>
    <w:rsid w:val="00F14654"/>
    <w:rsid w:val="00F14C4E"/>
    <w:rsid w:val="00F15380"/>
    <w:rsid w:val="00F15DB4"/>
    <w:rsid w:val="00F24BE3"/>
    <w:rsid w:val="00F34933"/>
    <w:rsid w:val="00F36C5E"/>
    <w:rsid w:val="00F3703A"/>
    <w:rsid w:val="00F424AC"/>
    <w:rsid w:val="00F4367F"/>
    <w:rsid w:val="00F445DD"/>
    <w:rsid w:val="00F479DC"/>
    <w:rsid w:val="00F527A2"/>
    <w:rsid w:val="00F53D4E"/>
    <w:rsid w:val="00F615A3"/>
    <w:rsid w:val="00F62A42"/>
    <w:rsid w:val="00F66242"/>
    <w:rsid w:val="00F7034E"/>
    <w:rsid w:val="00F70604"/>
    <w:rsid w:val="00F7253E"/>
    <w:rsid w:val="00F72FA7"/>
    <w:rsid w:val="00F75C21"/>
    <w:rsid w:val="00F76873"/>
    <w:rsid w:val="00F80F0B"/>
    <w:rsid w:val="00F81A66"/>
    <w:rsid w:val="00F81C76"/>
    <w:rsid w:val="00F81ECC"/>
    <w:rsid w:val="00F87E7C"/>
    <w:rsid w:val="00F90B4F"/>
    <w:rsid w:val="00F934F6"/>
    <w:rsid w:val="00F940D0"/>
    <w:rsid w:val="00F96DA9"/>
    <w:rsid w:val="00F96F3C"/>
    <w:rsid w:val="00FA2ED1"/>
    <w:rsid w:val="00FA70CA"/>
    <w:rsid w:val="00FA7405"/>
    <w:rsid w:val="00FA776F"/>
    <w:rsid w:val="00FA7912"/>
    <w:rsid w:val="00FB7BB4"/>
    <w:rsid w:val="00FD19ED"/>
    <w:rsid w:val="00FE0EE1"/>
    <w:rsid w:val="00FE488C"/>
    <w:rsid w:val="00FE4E83"/>
    <w:rsid w:val="00FE54D4"/>
    <w:rsid w:val="00FF49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customStyle="1" w:styleId="casehead1">
    <w:name w:val="casehead1"/>
    <w:basedOn w:val="Normal"/>
    <w:rsid w:val="00C909A0"/>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97805">
      <w:bodyDiv w:val="1"/>
      <w:marLeft w:val="0"/>
      <w:marRight w:val="0"/>
      <w:marTop w:val="0"/>
      <w:marBottom w:val="0"/>
      <w:divBdr>
        <w:top w:val="none" w:sz="0" w:space="0" w:color="auto"/>
        <w:left w:val="none" w:sz="0" w:space="0" w:color="auto"/>
        <w:bottom w:val="none" w:sz="0" w:space="0" w:color="auto"/>
        <w:right w:val="none" w:sz="0" w:space="0" w:color="auto"/>
      </w:divBdr>
      <w:divsChild>
        <w:div w:id="2097089434">
          <w:marLeft w:val="0"/>
          <w:marRight w:val="0"/>
          <w:marTop w:val="120"/>
          <w:marBottom w:val="0"/>
          <w:divBdr>
            <w:top w:val="none" w:sz="0" w:space="0" w:color="auto"/>
            <w:left w:val="none" w:sz="0" w:space="0" w:color="auto"/>
            <w:bottom w:val="none" w:sz="0" w:space="0" w:color="auto"/>
            <w:right w:val="none" w:sz="0" w:space="0" w:color="auto"/>
          </w:divBdr>
        </w:div>
      </w:divsChild>
    </w:div>
    <w:div w:id="105119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4934">
          <w:marLeft w:val="0"/>
          <w:marRight w:val="0"/>
          <w:marTop w:val="120"/>
          <w:marBottom w:val="0"/>
          <w:divBdr>
            <w:top w:val="none" w:sz="0" w:space="0" w:color="auto"/>
            <w:left w:val="none" w:sz="0" w:space="0" w:color="auto"/>
            <w:bottom w:val="none" w:sz="0" w:space="0" w:color="auto"/>
            <w:right w:val="none" w:sz="0" w:space="0" w:color="auto"/>
          </w:divBdr>
        </w:div>
        <w:div w:id="844172336">
          <w:marLeft w:val="0"/>
          <w:marRight w:val="0"/>
          <w:marTop w:val="240"/>
          <w:marBottom w:val="24"/>
          <w:divBdr>
            <w:top w:val="single" w:sz="8" w:space="2" w:color="808080"/>
            <w:left w:val="none" w:sz="0" w:space="0" w:color="auto"/>
            <w:bottom w:val="none" w:sz="0" w:space="0" w:color="auto"/>
            <w:right w:val="none" w:sz="0" w:space="0" w:color="auto"/>
          </w:divBdr>
        </w:div>
        <w:div w:id="697199053">
          <w:marLeft w:val="0"/>
          <w:marRight w:val="0"/>
          <w:marTop w:val="120"/>
          <w:marBottom w:val="0"/>
          <w:divBdr>
            <w:top w:val="none" w:sz="0" w:space="0" w:color="auto"/>
            <w:left w:val="none" w:sz="0" w:space="0" w:color="auto"/>
            <w:bottom w:val="none" w:sz="0" w:space="0" w:color="auto"/>
            <w:right w:val="none" w:sz="0" w:space="0" w:color="auto"/>
          </w:divBdr>
        </w:div>
        <w:div w:id="1184973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353143177">
      <w:bodyDiv w:val="1"/>
      <w:marLeft w:val="0"/>
      <w:marRight w:val="0"/>
      <w:marTop w:val="0"/>
      <w:marBottom w:val="0"/>
      <w:divBdr>
        <w:top w:val="none" w:sz="0" w:space="0" w:color="auto"/>
        <w:left w:val="none" w:sz="0" w:space="0" w:color="auto"/>
        <w:bottom w:val="none" w:sz="0" w:space="0" w:color="auto"/>
        <w:right w:val="none" w:sz="0" w:space="0" w:color="auto"/>
      </w:divBdr>
      <w:divsChild>
        <w:div w:id="824011088">
          <w:marLeft w:val="0"/>
          <w:marRight w:val="0"/>
          <w:marTop w:val="120"/>
          <w:marBottom w:val="0"/>
          <w:divBdr>
            <w:top w:val="none" w:sz="0" w:space="0" w:color="auto"/>
            <w:left w:val="none" w:sz="0" w:space="0" w:color="auto"/>
            <w:bottom w:val="none" w:sz="0" w:space="0" w:color="auto"/>
            <w:right w:val="none" w:sz="0" w:space="0" w:color="auto"/>
          </w:divBdr>
        </w:div>
      </w:divsChild>
    </w:div>
    <w:div w:id="1760176658">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96F3B-EA05-422A-8B9D-846DA403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Mary Bruce</cp:lastModifiedBy>
  <cp:revision>3</cp:revision>
  <cp:lastPrinted>2023-11-09T14:36:00Z</cp:lastPrinted>
  <dcterms:created xsi:type="dcterms:W3CDTF">2023-12-12T06:14:00Z</dcterms:created>
  <dcterms:modified xsi:type="dcterms:W3CDTF">2024-01-11T09:49:00Z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57b65fd134b5309cb1ba602393baf3e320b135b864d1ba55b140df27cee3b594</vt:lpwstr>
  </property>
</Properties>
</file>