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A8" w:rsidRDefault="00EF11A8" w:rsidP="00EF11A8">
      <w:pPr>
        <w:ind w:left="2160" w:firstLine="720"/>
        <w:rPr>
          <w:rFonts w:ascii="Arial" w:hAnsi="Arial" w:cs="Arial"/>
          <w:b/>
          <w:u w:val="single"/>
        </w:rPr>
      </w:pPr>
      <w:bookmarkStart w:id="0" w:name="_GoBack"/>
      <w:bookmarkEnd w:id="0"/>
      <w:r w:rsidRPr="005B354E">
        <w:rPr>
          <w:rFonts w:asciiTheme="minorHAnsi" w:eastAsiaTheme="minorHAnsi" w:hAnsiTheme="minorHAnsi" w:cstheme="minorBidi"/>
          <w:noProof/>
          <w:lang w:val="en-ZA" w:eastAsia="en-ZA"/>
        </w:rPr>
        <w:drawing>
          <wp:anchor distT="0" distB="0" distL="114300" distR="114300" simplePos="0" relativeHeight="251659264" behindDoc="1" locked="0" layoutInCell="1" allowOverlap="1" wp14:anchorId="41A27A92" wp14:editId="1144FAF9">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063">
        <w:rPr>
          <w:rFonts w:ascii="Arial" w:hAnsi="Arial" w:cs="Arial"/>
          <w:b/>
          <w:u w:val="single"/>
        </w:rPr>
        <w:t xml:space="preserve"> </w:t>
      </w: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DC6873" w:rsidRDefault="00DC6873" w:rsidP="00EF11A8">
      <w:pPr>
        <w:ind w:left="2160" w:firstLine="720"/>
        <w:rPr>
          <w:rFonts w:ascii="Arial" w:hAnsi="Arial" w:cs="Arial"/>
          <w:b/>
          <w:u w:val="single"/>
        </w:rPr>
      </w:pPr>
    </w:p>
    <w:p w:rsidR="00EF11A8" w:rsidRDefault="00EF11A8" w:rsidP="00EF11A8">
      <w:pPr>
        <w:ind w:left="1440" w:firstLine="720"/>
        <w:rPr>
          <w:rFonts w:ascii="Arial" w:hAnsi="Arial" w:cs="Arial"/>
          <w:b/>
          <w:u w:val="single"/>
        </w:rPr>
      </w:pPr>
      <w:r>
        <w:rPr>
          <w:rFonts w:ascii="Arial" w:hAnsi="Arial" w:cs="Arial"/>
          <w:b/>
          <w:u w:val="single"/>
        </w:rPr>
        <w:t>IN THE HIGH COURT OF SOUTH AFRICA,</w:t>
      </w:r>
    </w:p>
    <w:p w:rsidR="00EF11A8" w:rsidRDefault="00EF11A8" w:rsidP="00EF11A8">
      <w:pPr>
        <w:ind w:left="1440" w:firstLine="720"/>
        <w:rPr>
          <w:rFonts w:ascii="Arial" w:hAnsi="Arial" w:cs="Arial"/>
          <w:b/>
          <w:u w:val="single"/>
        </w:rPr>
      </w:pPr>
      <w:r>
        <w:rPr>
          <w:rFonts w:ascii="Arial" w:hAnsi="Arial" w:cs="Arial"/>
          <w:b/>
          <w:u w:val="single"/>
        </w:rPr>
        <w:t>FREE STATE DIVISION, BLOEMFONTEIN</w:t>
      </w:r>
    </w:p>
    <w:p w:rsidR="003F2617" w:rsidRDefault="003F2617" w:rsidP="00EF11A8">
      <w:pPr>
        <w:ind w:left="1440" w:firstLine="720"/>
        <w:rPr>
          <w:rFonts w:ascii="Arial" w:hAnsi="Arial" w:cs="Arial"/>
          <w:b/>
          <w:u w:val="single"/>
        </w:rPr>
      </w:pPr>
    </w:p>
    <w:p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A8" w:rsidRPr="005D6CBF" w:rsidRDefault="00EF11A8" w:rsidP="007C2356">
            <w:pPr>
              <w:rPr>
                <w:rFonts w:ascii="Arial" w:hAnsi="Arial" w:cs="Arial"/>
                <w:b/>
                <w:sz w:val="16"/>
                <w:szCs w:val="16"/>
              </w:rPr>
            </w:pPr>
            <w:r w:rsidRPr="005D6CBF">
              <w:rPr>
                <w:rFonts w:ascii="Arial" w:hAnsi="Arial" w:cs="Arial"/>
                <w:b/>
                <w:sz w:val="16"/>
                <w:szCs w:val="16"/>
              </w:rPr>
              <w:t>Reportable:                              NO</w:t>
            </w:r>
          </w:p>
          <w:p w:rsidR="00EF11A8" w:rsidRPr="005D6CBF" w:rsidRDefault="00EF11A8" w:rsidP="007C2356">
            <w:pPr>
              <w:rPr>
                <w:rFonts w:ascii="Arial" w:hAnsi="Arial" w:cs="Arial"/>
                <w:b/>
                <w:sz w:val="16"/>
                <w:szCs w:val="16"/>
              </w:rPr>
            </w:pPr>
            <w:r w:rsidRPr="005D6CBF">
              <w:rPr>
                <w:rFonts w:ascii="Arial" w:hAnsi="Arial" w:cs="Arial"/>
                <w:b/>
                <w:sz w:val="16"/>
                <w:szCs w:val="16"/>
              </w:rPr>
              <w:t>Of Interest to other Judges:   NO</w:t>
            </w:r>
          </w:p>
          <w:p w:rsidR="00EF11A8" w:rsidRPr="005D6CBF" w:rsidRDefault="00EF11A8" w:rsidP="007C2356">
            <w:pPr>
              <w:rPr>
                <w:rFonts w:ascii="Arial" w:hAnsi="Arial" w:cs="Arial"/>
                <w:b/>
                <w:sz w:val="16"/>
                <w:szCs w:val="16"/>
                <w:u w:val="single"/>
              </w:rPr>
            </w:pPr>
            <w:r w:rsidRPr="005D6CBF">
              <w:rPr>
                <w:rFonts w:ascii="Arial" w:hAnsi="Arial" w:cs="Arial"/>
                <w:b/>
                <w:sz w:val="16"/>
                <w:szCs w:val="16"/>
              </w:rPr>
              <w:t>Circulate to Magistrates:        NO</w:t>
            </w:r>
          </w:p>
        </w:tc>
      </w:tr>
    </w:tbl>
    <w:p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781F07" w:rsidRPr="005D6CBF" w:rsidRDefault="00EF11A8" w:rsidP="0017063A">
      <w:pPr>
        <w:ind w:left="567" w:hanging="567"/>
        <w:jc w:val="right"/>
        <w:rPr>
          <w:rFonts w:ascii="Arial" w:hAnsi="Arial" w:cs="Arial"/>
          <w:b/>
        </w:rPr>
      </w:pPr>
      <w:r w:rsidRPr="005D6CBF">
        <w:rPr>
          <w:rFonts w:ascii="Arial" w:hAnsi="Arial" w:cs="Arial"/>
          <w:b/>
        </w:rPr>
        <w:tab/>
      </w:r>
      <w:r w:rsidRPr="005D6CBF">
        <w:rPr>
          <w:rFonts w:ascii="Arial" w:hAnsi="Arial" w:cs="Arial"/>
          <w:b/>
        </w:rPr>
        <w:tab/>
      </w:r>
      <w:r w:rsidRPr="005D6CBF">
        <w:rPr>
          <w:rFonts w:ascii="Arial" w:hAnsi="Arial" w:cs="Arial"/>
          <w:b/>
        </w:rPr>
        <w:tab/>
      </w:r>
      <w:r w:rsidRPr="005D6CBF">
        <w:rPr>
          <w:rFonts w:ascii="Arial" w:hAnsi="Arial" w:cs="Arial"/>
          <w:b/>
        </w:rPr>
        <w:tab/>
      </w:r>
      <w:r w:rsidR="00781F07" w:rsidRPr="005D6CBF">
        <w:rPr>
          <w:rFonts w:ascii="Arial" w:hAnsi="Arial" w:cs="Arial"/>
          <w:b/>
        </w:rPr>
        <w:t xml:space="preserve"> </w:t>
      </w:r>
      <w:r w:rsidR="0094642F" w:rsidRPr="005D6CBF">
        <w:rPr>
          <w:rFonts w:ascii="Arial" w:hAnsi="Arial" w:cs="Arial"/>
          <w:b/>
        </w:rPr>
        <w:t>C</w:t>
      </w:r>
      <w:r w:rsidR="004E243D">
        <w:rPr>
          <w:rFonts w:ascii="Arial" w:hAnsi="Arial" w:cs="Arial"/>
          <w:b/>
        </w:rPr>
        <w:t>ase No</w:t>
      </w:r>
      <w:r w:rsidR="00781F07" w:rsidRPr="005D6CBF">
        <w:rPr>
          <w:rFonts w:ascii="Arial" w:hAnsi="Arial" w:cs="Arial"/>
          <w:b/>
        </w:rPr>
        <w:t>:</w:t>
      </w:r>
      <w:r w:rsidR="00571C4A">
        <w:rPr>
          <w:rFonts w:ascii="Arial" w:hAnsi="Arial" w:cs="Arial"/>
          <w:b/>
        </w:rPr>
        <w:t xml:space="preserve"> </w:t>
      </w:r>
      <w:r w:rsidR="008E251E">
        <w:rPr>
          <w:rFonts w:ascii="Arial" w:hAnsi="Arial" w:cs="Arial"/>
          <w:b/>
        </w:rPr>
        <w:t>3379</w:t>
      </w:r>
      <w:r w:rsidR="00781F07" w:rsidRPr="005D6CBF">
        <w:rPr>
          <w:rFonts w:ascii="Arial" w:hAnsi="Arial" w:cs="Arial"/>
          <w:b/>
        </w:rPr>
        <w:t>/</w:t>
      </w:r>
      <w:r w:rsidR="00AA31A4">
        <w:rPr>
          <w:rFonts w:ascii="Arial" w:hAnsi="Arial" w:cs="Arial"/>
          <w:b/>
        </w:rPr>
        <w:t>20</w:t>
      </w:r>
      <w:r w:rsidR="008E251E">
        <w:rPr>
          <w:rFonts w:ascii="Arial" w:hAnsi="Arial" w:cs="Arial"/>
          <w:b/>
        </w:rPr>
        <w:t>20</w:t>
      </w:r>
    </w:p>
    <w:p w:rsidR="00EF11A8" w:rsidRPr="005D6CBF" w:rsidRDefault="00EF11A8" w:rsidP="00EF11A8">
      <w:pPr>
        <w:jc w:val="right"/>
        <w:rPr>
          <w:rFonts w:ascii="Arial" w:hAnsi="Arial" w:cs="Arial"/>
        </w:rPr>
      </w:pPr>
      <w:r w:rsidRPr="005D6CBF">
        <w:rPr>
          <w:rFonts w:ascii="Arial" w:hAnsi="Arial" w:cs="Arial"/>
        </w:rPr>
        <w:t xml:space="preserve"> </w:t>
      </w:r>
      <w:r w:rsidRPr="005D6CBF">
        <w:rPr>
          <w:rFonts w:ascii="Arial" w:hAnsi="Arial" w:cs="Arial"/>
        </w:rPr>
        <w:tab/>
        <w:t xml:space="preserve"> </w:t>
      </w:r>
    </w:p>
    <w:p w:rsidR="00781F07" w:rsidRPr="005D6CBF" w:rsidRDefault="00EF11A8" w:rsidP="00EF11A8">
      <w:pPr>
        <w:jc w:val="both"/>
        <w:rPr>
          <w:rFonts w:ascii="Arial" w:hAnsi="Arial" w:cs="Arial"/>
        </w:rPr>
      </w:pPr>
      <w:r w:rsidRPr="005D6CBF">
        <w:rPr>
          <w:rFonts w:ascii="Arial" w:hAnsi="Arial" w:cs="Arial"/>
        </w:rPr>
        <w:t>In the matter between:</w:t>
      </w:r>
    </w:p>
    <w:p w:rsidR="00EF11A8" w:rsidRPr="005D6CBF" w:rsidRDefault="00EF11A8" w:rsidP="00EF11A8">
      <w:pPr>
        <w:jc w:val="both"/>
        <w:rPr>
          <w:rFonts w:ascii="Arial" w:hAnsi="Arial" w:cs="Arial"/>
        </w:rPr>
      </w:pPr>
      <w:r w:rsidRPr="005D6CBF">
        <w:rPr>
          <w:rFonts w:ascii="Arial" w:hAnsi="Arial" w:cs="Arial"/>
        </w:rPr>
        <w:t xml:space="preserve"> </w:t>
      </w:r>
    </w:p>
    <w:p w:rsidR="004E243D" w:rsidRPr="005C1241" w:rsidRDefault="008E251E" w:rsidP="000026C2">
      <w:pPr>
        <w:tabs>
          <w:tab w:val="left" w:pos="720"/>
          <w:tab w:val="left" w:pos="1440"/>
          <w:tab w:val="left" w:pos="2160"/>
          <w:tab w:val="left" w:pos="2880"/>
          <w:tab w:val="left" w:pos="3600"/>
          <w:tab w:val="left" w:pos="4320"/>
          <w:tab w:val="left" w:pos="5040"/>
          <w:tab w:val="left" w:pos="5760"/>
        </w:tabs>
        <w:jc w:val="both"/>
        <w:rPr>
          <w:rFonts w:ascii="Arial" w:hAnsi="Arial" w:cs="Arial"/>
        </w:rPr>
      </w:pPr>
      <w:r>
        <w:rPr>
          <w:rFonts w:ascii="Arial" w:hAnsi="Arial" w:cs="Arial"/>
          <w:b/>
        </w:rPr>
        <w:t>TIMAC AGRO SOUTH AFRICA (PTY) LTD</w:t>
      </w:r>
      <w:r w:rsidR="000026C2">
        <w:rPr>
          <w:rFonts w:ascii="Arial" w:hAnsi="Arial" w:cs="Arial"/>
          <w:b/>
        </w:rPr>
        <w:tab/>
      </w:r>
      <w:r w:rsidR="000026C2">
        <w:rPr>
          <w:rFonts w:ascii="Arial" w:hAnsi="Arial" w:cs="Arial"/>
          <w:b/>
        </w:rPr>
        <w:tab/>
      </w:r>
      <w:r w:rsidR="000026C2">
        <w:rPr>
          <w:rFonts w:ascii="Arial" w:hAnsi="Arial" w:cs="Arial"/>
          <w:b/>
        </w:rPr>
        <w:tab/>
      </w:r>
      <w:r w:rsidR="00571C4A">
        <w:rPr>
          <w:rFonts w:ascii="Arial" w:hAnsi="Arial" w:cs="Arial"/>
          <w:b/>
        </w:rPr>
        <w:t xml:space="preserve">       </w:t>
      </w:r>
      <w:r w:rsidR="005C1241">
        <w:rPr>
          <w:rFonts w:ascii="Arial" w:hAnsi="Arial" w:cs="Arial"/>
          <w:b/>
        </w:rPr>
        <w:tab/>
        <w:t xml:space="preserve">    </w:t>
      </w:r>
      <w:r>
        <w:rPr>
          <w:rFonts w:ascii="Arial" w:hAnsi="Arial" w:cs="Arial"/>
          <w:b/>
        </w:rPr>
        <w:t xml:space="preserve"> </w:t>
      </w:r>
      <w:r>
        <w:rPr>
          <w:rFonts w:ascii="Arial" w:hAnsi="Arial" w:cs="Arial"/>
          <w:b/>
        </w:rPr>
        <w:tab/>
        <w:t xml:space="preserve">    </w:t>
      </w:r>
      <w:r w:rsidR="005C1241">
        <w:rPr>
          <w:rFonts w:ascii="Arial" w:hAnsi="Arial" w:cs="Arial"/>
        </w:rPr>
        <w:t xml:space="preserve">Plaintiff </w:t>
      </w:r>
    </w:p>
    <w:p w:rsidR="00571C4A" w:rsidRDefault="00571C4A" w:rsidP="000026C2">
      <w:pPr>
        <w:tabs>
          <w:tab w:val="left" w:pos="720"/>
          <w:tab w:val="left" w:pos="1440"/>
          <w:tab w:val="left" w:pos="2160"/>
          <w:tab w:val="left" w:pos="2880"/>
          <w:tab w:val="left" w:pos="3600"/>
          <w:tab w:val="left" w:pos="4320"/>
          <w:tab w:val="left" w:pos="5040"/>
          <w:tab w:val="left" w:pos="5760"/>
        </w:tabs>
        <w:jc w:val="both"/>
        <w:rPr>
          <w:rFonts w:ascii="Arial" w:hAnsi="Arial" w:cs="Arial"/>
        </w:rPr>
      </w:pPr>
    </w:p>
    <w:p w:rsidR="00EF11A8" w:rsidRPr="005D6CBF" w:rsidRDefault="00EF11A8" w:rsidP="00EF11A8">
      <w:pPr>
        <w:jc w:val="both"/>
        <w:rPr>
          <w:rFonts w:ascii="Arial" w:hAnsi="Arial" w:cs="Arial"/>
        </w:rPr>
      </w:pPr>
      <w:r w:rsidRPr="005D6CBF">
        <w:rPr>
          <w:rFonts w:ascii="Arial" w:hAnsi="Arial" w:cs="Arial"/>
        </w:rPr>
        <w:t xml:space="preserve">and </w:t>
      </w:r>
    </w:p>
    <w:p w:rsidR="00781F07" w:rsidRDefault="00781F07" w:rsidP="00EF11A8">
      <w:pPr>
        <w:jc w:val="both"/>
        <w:rPr>
          <w:rFonts w:ascii="Arial" w:hAnsi="Arial" w:cs="Arial"/>
        </w:rPr>
      </w:pPr>
    </w:p>
    <w:p w:rsidR="00AA31A4" w:rsidRDefault="008E251E" w:rsidP="00EF11A8">
      <w:pPr>
        <w:jc w:val="both"/>
        <w:rPr>
          <w:rFonts w:ascii="Arial" w:hAnsi="Arial" w:cs="Arial"/>
        </w:rPr>
      </w:pPr>
      <w:r>
        <w:rPr>
          <w:rFonts w:ascii="Arial" w:hAnsi="Arial" w:cs="Arial"/>
          <w:b/>
        </w:rPr>
        <w:t>THEUNIS LODEWYK ADRIAAN NEL</w:t>
      </w:r>
      <w:r w:rsidR="000026C2">
        <w:rPr>
          <w:rFonts w:ascii="Arial" w:hAnsi="Arial" w:cs="Arial"/>
          <w:b/>
        </w:rPr>
        <w:tab/>
      </w:r>
      <w:r w:rsidR="000026C2">
        <w:rPr>
          <w:rFonts w:ascii="Arial" w:hAnsi="Arial" w:cs="Arial"/>
          <w:b/>
        </w:rPr>
        <w:tab/>
      </w:r>
      <w:r w:rsidR="00571C4A">
        <w:rPr>
          <w:rFonts w:ascii="Arial" w:hAnsi="Arial" w:cs="Arial"/>
          <w:b/>
        </w:rPr>
        <w:tab/>
      </w:r>
      <w:r w:rsidR="00571C4A">
        <w:rPr>
          <w:rFonts w:ascii="Arial" w:hAnsi="Arial" w:cs="Arial"/>
          <w:b/>
        </w:rPr>
        <w:tab/>
      </w:r>
      <w:r w:rsidR="00571C4A">
        <w:rPr>
          <w:rFonts w:ascii="Arial" w:hAnsi="Arial" w:cs="Arial"/>
          <w:b/>
        </w:rPr>
        <w:tab/>
        <w:t xml:space="preserve">   </w:t>
      </w:r>
      <w:r w:rsidR="005C1241">
        <w:rPr>
          <w:rFonts w:ascii="Arial" w:hAnsi="Arial" w:cs="Arial"/>
          <w:b/>
        </w:rPr>
        <w:t xml:space="preserve">   </w:t>
      </w:r>
      <w:r>
        <w:rPr>
          <w:rFonts w:ascii="Arial" w:hAnsi="Arial" w:cs="Arial"/>
          <w:b/>
        </w:rPr>
        <w:t xml:space="preserve">    </w:t>
      </w:r>
      <w:r w:rsidR="005C1241">
        <w:rPr>
          <w:rFonts w:ascii="Arial" w:hAnsi="Arial" w:cs="Arial"/>
        </w:rPr>
        <w:t>Defendant</w:t>
      </w:r>
    </w:p>
    <w:p w:rsidR="00571C4A" w:rsidRDefault="00571C4A" w:rsidP="00EF11A8">
      <w:pPr>
        <w:jc w:val="both"/>
        <w:rPr>
          <w:rFonts w:ascii="Arial" w:hAnsi="Arial" w:cs="Arial"/>
          <w:b/>
        </w:rPr>
      </w:pPr>
    </w:p>
    <w:p w:rsidR="004E243D" w:rsidRPr="005D6CBF" w:rsidRDefault="004E243D" w:rsidP="00EF11A8">
      <w:pPr>
        <w:pBdr>
          <w:bottom w:val="single" w:sz="12" w:space="1" w:color="auto"/>
        </w:pBdr>
        <w:jc w:val="both"/>
        <w:rPr>
          <w:rFonts w:ascii="Arial" w:hAnsi="Arial" w:cs="Arial"/>
          <w:b/>
        </w:rPr>
      </w:pPr>
    </w:p>
    <w:p w:rsidR="00EF11A8" w:rsidRPr="005D6CBF" w:rsidRDefault="00EF11A8" w:rsidP="00EF11A8">
      <w:pPr>
        <w:contextualSpacing/>
        <w:jc w:val="both"/>
        <w:rPr>
          <w:rFonts w:ascii="Arial" w:hAnsi="Arial" w:cs="Arial"/>
          <w:b/>
          <w:u w:val="single"/>
        </w:rPr>
      </w:pPr>
    </w:p>
    <w:p w:rsidR="00D221EC" w:rsidRDefault="00EF11A8" w:rsidP="009E06E4">
      <w:pPr>
        <w:pBdr>
          <w:bottom w:val="single" w:sz="12" w:space="1" w:color="auto"/>
        </w:pBdr>
        <w:ind w:left="2880" w:hanging="2880"/>
        <w:contextualSpacing/>
        <w:jc w:val="both"/>
        <w:rPr>
          <w:rFonts w:ascii="Arial" w:hAnsi="Arial" w:cs="Arial"/>
          <w:bCs/>
        </w:rPr>
      </w:pPr>
      <w:r w:rsidRPr="005D6CBF">
        <w:rPr>
          <w:rFonts w:ascii="Arial" w:hAnsi="Arial" w:cs="Arial"/>
          <w:b/>
          <w:u w:val="single"/>
        </w:rPr>
        <w:t>HEARD ON:</w:t>
      </w:r>
      <w:r w:rsidRPr="005D6CBF">
        <w:rPr>
          <w:rFonts w:ascii="Arial" w:hAnsi="Arial" w:cs="Arial"/>
          <w:b/>
        </w:rPr>
        <w:tab/>
      </w:r>
      <w:r w:rsidR="0046504C">
        <w:rPr>
          <w:rFonts w:ascii="Arial" w:hAnsi="Arial" w:cs="Arial"/>
          <w:b/>
        </w:rPr>
        <w:t xml:space="preserve"> </w:t>
      </w:r>
      <w:r w:rsidR="00571C4A">
        <w:rPr>
          <w:rFonts w:ascii="Arial" w:hAnsi="Arial" w:cs="Arial"/>
        </w:rPr>
        <w:t xml:space="preserve">15 JUNE </w:t>
      </w:r>
      <w:r w:rsidR="00781F07" w:rsidRPr="00F940D0">
        <w:rPr>
          <w:rFonts w:ascii="Arial" w:hAnsi="Arial" w:cs="Arial"/>
          <w:bCs/>
        </w:rPr>
        <w:t>202</w:t>
      </w:r>
      <w:r w:rsidR="00571C4A">
        <w:rPr>
          <w:rFonts w:ascii="Arial" w:hAnsi="Arial" w:cs="Arial"/>
          <w:bCs/>
        </w:rPr>
        <w:t>3</w:t>
      </w:r>
    </w:p>
    <w:p w:rsidR="00D221EC" w:rsidRDefault="00EF11A8" w:rsidP="009E06E4">
      <w:pPr>
        <w:pBdr>
          <w:bottom w:val="single" w:sz="12" w:space="1" w:color="auto"/>
        </w:pBdr>
        <w:ind w:left="2880" w:hanging="2880"/>
        <w:contextualSpacing/>
        <w:jc w:val="both"/>
        <w:rPr>
          <w:rFonts w:ascii="Arial" w:hAnsi="Arial" w:cs="Arial"/>
        </w:rPr>
      </w:pPr>
      <w:r w:rsidRPr="00F940D0">
        <w:rPr>
          <w:rFonts w:ascii="Arial" w:hAnsi="Arial" w:cs="Arial"/>
        </w:rPr>
        <w:t xml:space="preserve"> </w:t>
      </w:r>
    </w:p>
    <w:p w:rsidR="00D221EC" w:rsidRPr="005D6CBF" w:rsidRDefault="00D221EC" w:rsidP="00EF11A8">
      <w:pPr>
        <w:contextualSpacing/>
        <w:jc w:val="both"/>
        <w:rPr>
          <w:rFonts w:ascii="Arial" w:hAnsi="Arial" w:cs="Arial"/>
          <w:b/>
        </w:rPr>
      </w:pPr>
    </w:p>
    <w:p w:rsidR="009E06E4" w:rsidRPr="005D6CBF" w:rsidRDefault="00797293" w:rsidP="009E06E4">
      <w:pPr>
        <w:contextualSpacing/>
        <w:jc w:val="both"/>
        <w:rPr>
          <w:rFonts w:ascii="Arial" w:hAnsi="Arial" w:cs="Arial"/>
          <w:b/>
          <w:u w:val="single"/>
        </w:rPr>
      </w:pPr>
      <w:r>
        <w:rPr>
          <w:rFonts w:ascii="Arial" w:hAnsi="Arial" w:cs="Arial"/>
          <w:b/>
          <w:u w:val="single"/>
        </w:rPr>
        <w:t>JUDGMENT BY</w:t>
      </w:r>
      <w:r w:rsidR="003F410D" w:rsidRPr="005D6CBF">
        <w:rPr>
          <w:rFonts w:ascii="Arial" w:hAnsi="Arial" w:cs="Arial"/>
          <w:b/>
        </w:rPr>
        <w:t xml:space="preserve">:                 </w:t>
      </w:r>
      <w:bookmarkStart w:id="1" w:name="_Hlk111883941"/>
      <w:r w:rsidR="009E06E4" w:rsidRPr="00F940D0">
        <w:rPr>
          <w:rFonts w:ascii="Arial" w:hAnsi="Arial" w:cs="Arial"/>
        </w:rPr>
        <w:t>MHLAMBI, J</w:t>
      </w:r>
      <w:bookmarkEnd w:id="1"/>
      <w:r w:rsidR="009E06E4" w:rsidRPr="00F940D0">
        <w:rPr>
          <w:rFonts w:ascii="Arial" w:hAnsi="Arial" w:cs="Arial"/>
        </w:rPr>
        <w:t xml:space="preserve"> </w:t>
      </w:r>
    </w:p>
    <w:p w:rsidR="003F410D" w:rsidRPr="003036C9" w:rsidRDefault="003F410D" w:rsidP="003036C9">
      <w:pPr>
        <w:ind w:right="26"/>
        <w:contextualSpacing/>
        <w:jc w:val="both"/>
        <w:rPr>
          <w:rFonts w:ascii="Arial" w:hAnsi="Arial" w:cs="Arial"/>
          <w:bCs/>
          <w:u w:val="single"/>
        </w:rPr>
      </w:pPr>
      <w:r w:rsidRPr="005D6CBF">
        <w:rPr>
          <w:rFonts w:ascii="Arial" w:hAnsi="Arial" w:cs="Arial"/>
          <w:b/>
          <w:u w:val="single"/>
        </w:rPr>
        <w:t>_________________________________________________________</w:t>
      </w:r>
      <w:r w:rsidR="003036C9">
        <w:rPr>
          <w:rFonts w:ascii="Arial" w:hAnsi="Arial" w:cs="Arial"/>
          <w:b/>
          <w:u w:val="single"/>
        </w:rPr>
        <w:t>__________</w:t>
      </w:r>
    </w:p>
    <w:p w:rsidR="003F410D" w:rsidRPr="005D6CBF" w:rsidRDefault="003F410D" w:rsidP="00EF11A8">
      <w:pPr>
        <w:contextualSpacing/>
        <w:jc w:val="both"/>
        <w:rPr>
          <w:rFonts w:ascii="Arial" w:hAnsi="Arial" w:cs="Arial"/>
          <w:b/>
          <w:u w:val="single"/>
        </w:rPr>
      </w:pPr>
    </w:p>
    <w:p w:rsidR="007C348D" w:rsidRPr="005D6CBF" w:rsidRDefault="00EF11A8" w:rsidP="00F87E7C">
      <w:pPr>
        <w:tabs>
          <w:tab w:val="left" w:pos="2880"/>
        </w:tabs>
        <w:ind w:left="1985" w:hanging="1985"/>
        <w:contextualSpacing/>
        <w:jc w:val="both"/>
        <w:rPr>
          <w:rFonts w:ascii="Arial" w:hAnsi="Arial" w:cs="Arial"/>
          <w:b/>
          <w:bCs/>
        </w:rPr>
      </w:pPr>
      <w:r w:rsidRPr="005D6CBF">
        <w:rPr>
          <w:rFonts w:ascii="Arial" w:hAnsi="Arial" w:cs="Arial"/>
          <w:b/>
          <w:u w:val="single"/>
        </w:rPr>
        <w:t>DELIVERED ON:</w:t>
      </w:r>
      <w:r w:rsidR="00F87E7C">
        <w:rPr>
          <w:rFonts w:ascii="Arial" w:hAnsi="Arial" w:cs="Arial"/>
          <w:b/>
        </w:rPr>
        <w:t xml:space="preserve">  </w:t>
      </w:r>
    </w:p>
    <w:p w:rsidR="00891F14" w:rsidRPr="005D6CBF" w:rsidRDefault="00891F14" w:rsidP="00EF11A8">
      <w:pPr>
        <w:pBdr>
          <w:bottom w:val="single" w:sz="12" w:space="1" w:color="auto"/>
        </w:pBdr>
        <w:tabs>
          <w:tab w:val="left" w:pos="2940"/>
        </w:tabs>
        <w:contextualSpacing/>
        <w:jc w:val="both"/>
        <w:rPr>
          <w:rFonts w:ascii="Arial" w:hAnsi="Arial" w:cs="Arial"/>
          <w:b/>
          <w:bCs/>
          <w:u w:val="single"/>
        </w:rPr>
      </w:pPr>
    </w:p>
    <w:p w:rsidR="007C348D" w:rsidRDefault="007C348D" w:rsidP="007C348D">
      <w:pPr>
        <w:spacing w:line="360" w:lineRule="auto"/>
        <w:ind w:left="709" w:hanging="709"/>
        <w:jc w:val="both"/>
        <w:rPr>
          <w:rFonts w:ascii="Arial" w:hAnsi="Arial" w:cs="Arial"/>
          <w:sz w:val="28"/>
          <w:szCs w:val="28"/>
        </w:rPr>
      </w:pPr>
    </w:p>
    <w:p w:rsidR="0048162C" w:rsidRDefault="002A631E" w:rsidP="005C1241">
      <w:pPr>
        <w:spacing w:after="240" w:line="360" w:lineRule="auto"/>
        <w:ind w:left="567" w:hanging="567"/>
        <w:jc w:val="both"/>
        <w:rPr>
          <w:rFonts w:ascii="Arial" w:hAnsi="Arial" w:cs="Arial"/>
        </w:rPr>
      </w:pPr>
      <w:r>
        <w:rPr>
          <w:rFonts w:ascii="Arial" w:hAnsi="Arial" w:cs="Arial"/>
        </w:rPr>
        <w:t>[1]</w:t>
      </w:r>
      <w:r w:rsidR="0017063A">
        <w:rPr>
          <w:rFonts w:ascii="Arial" w:hAnsi="Arial" w:cs="Arial"/>
        </w:rPr>
        <w:tab/>
      </w:r>
      <w:r w:rsidR="0048162C">
        <w:rPr>
          <w:rFonts w:ascii="Arial" w:hAnsi="Arial" w:cs="Arial"/>
        </w:rPr>
        <w:t xml:space="preserve">On 13 June 2018, the plaintiff and the defendant entered into a written credit facility, subject to terms and conditions, in terms of which the plaintiff undertook to provide and supply agricultural fertilizer to the defendant from time to time at the instance and request of the defendant. </w:t>
      </w:r>
    </w:p>
    <w:p w:rsidR="0048162C" w:rsidRDefault="0048162C" w:rsidP="005C1241">
      <w:pPr>
        <w:spacing w:after="240" w:line="360" w:lineRule="auto"/>
        <w:ind w:left="567" w:hanging="567"/>
        <w:jc w:val="both"/>
        <w:rPr>
          <w:rFonts w:ascii="Arial" w:hAnsi="Arial" w:cs="Arial"/>
        </w:rPr>
      </w:pPr>
      <w:r>
        <w:rPr>
          <w:rFonts w:ascii="Arial" w:hAnsi="Arial" w:cs="Arial"/>
        </w:rPr>
        <w:t>[2]</w:t>
      </w:r>
      <w:r>
        <w:rPr>
          <w:rFonts w:ascii="Arial" w:hAnsi="Arial" w:cs="Arial"/>
        </w:rPr>
        <w:tab/>
        <w:t xml:space="preserve">It was agreed between the parties that the defendant would pay within 180 days from the date of delivery of the fertilizer. Interest was chargeable at the rate of 2% above the prime interest per month charged by ABSA bank limited, the defendant signed a written acknowledgement of debt at Vesselbron in terms of which the defendant acknowledged to be indebted to plaintiff in the amount of R </w:t>
      </w:r>
      <w:r>
        <w:rPr>
          <w:rFonts w:ascii="Arial" w:hAnsi="Arial" w:cs="Arial"/>
        </w:rPr>
        <w:lastRenderedPageBreak/>
        <w:t xml:space="preserve">1 582 642.26 which the defendant undertook to repay in three equal instalments of R 527 547.42. The first instalment was payable on or before 31 May 2022, the second instalment on or before 30 June 2020 and the third instalment on or before 31 July 2020. As of 17 July 2020, the defendant had effected the total payments in the amount of R 325 000.00. </w:t>
      </w:r>
    </w:p>
    <w:p w:rsidR="0048162C" w:rsidRDefault="0048162C" w:rsidP="005C1241">
      <w:pPr>
        <w:spacing w:after="240" w:line="360" w:lineRule="auto"/>
        <w:ind w:left="567" w:hanging="567"/>
        <w:jc w:val="both"/>
        <w:rPr>
          <w:rFonts w:ascii="Arial" w:hAnsi="Arial" w:cs="Arial"/>
        </w:rPr>
      </w:pPr>
      <w:r>
        <w:rPr>
          <w:rFonts w:ascii="Arial" w:hAnsi="Arial" w:cs="Arial"/>
        </w:rPr>
        <w:t>[3]</w:t>
      </w:r>
      <w:r>
        <w:rPr>
          <w:rFonts w:ascii="Arial" w:hAnsi="Arial" w:cs="Arial"/>
        </w:rPr>
        <w:tab/>
        <w:t>On 09 September 2020, the plaintiff, relying on the agreement and the acknowledgement of debt, issued summons against the defendant for the payment of the amount of R 1 398 220.25 together with interest calculated from the date of service of the summons. In the alternative, interest</w:t>
      </w:r>
      <w:r w:rsidR="004053E0">
        <w:rPr>
          <w:rFonts w:ascii="Arial" w:hAnsi="Arial" w:cs="Arial"/>
        </w:rPr>
        <w:t>s</w:t>
      </w:r>
      <w:r>
        <w:rPr>
          <w:rFonts w:ascii="Arial" w:hAnsi="Arial" w:cs="Arial"/>
        </w:rPr>
        <w:t xml:space="preserve"> are </w:t>
      </w:r>
      <w:r>
        <w:rPr>
          <w:rFonts w:ascii="Arial" w:hAnsi="Arial" w:cs="Arial"/>
          <w:i/>
        </w:rPr>
        <w:t xml:space="preserve">tempore morae </w:t>
      </w:r>
      <w:r>
        <w:rPr>
          <w:rFonts w:ascii="Arial" w:hAnsi="Arial" w:cs="Arial"/>
        </w:rPr>
        <w:t>calculated at 10.5% per annum from the date of service of the summons. In the further</w:t>
      </w:r>
      <w:r w:rsidR="004053E0">
        <w:rPr>
          <w:rFonts w:ascii="Arial" w:hAnsi="Arial" w:cs="Arial"/>
        </w:rPr>
        <w:t xml:space="preserve"> alternative that the defendant pay the plaintiff R 1 194 367.65 together with interest at the rate of 10.5% per annum and costs of suit. </w:t>
      </w:r>
      <w:r>
        <w:rPr>
          <w:rFonts w:ascii="Arial" w:hAnsi="Arial" w:cs="Arial"/>
        </w:rPr>
        <w:t xml:space="preserve">  </w:t>
      </w:r>
    </w:p>
    <w:p w:rsidR="0017063A" w:rsidRDefault="0017063A" w:rsidP="0048162C">
      <w:pPr>
        <w:spacing w:after="240" w:line="360" w:lineRule="auto"/>
        <w:ind w:left="567"/>
        <w:jc w:val="both"/>
        <w:rPr>
          <w:rFonts w:ascii="Arial" w:hAnsi="Arial" w:cs="Arial"/>
        </w:rPr>
      </w:pPr>
      <w:r>
        <w:rPr>
          <w:rFonts w:ascii="Arial" w:hAnsi="Arial" w:cs="Arial"/>
        </w:rPr>
        <w:t xml:space="preserve">The plaintiff, relying on a document titled </w:t>
      </w:r>
      <w:r w:rsidR="00BA03D2">
        <w:rPr>
          <w:rFonts w:ascii="Arial" w:hAnsi="Arial" w:cs="Arial"/>
        </w:rPr>
        <w:t>Application for Credit Facility completed and si</w:t>
      </w:r>
      <w:r>
        <w:rPr>
          <w:rFonts w:ascii="Arial" w:hAnsi="Arial" w:cs="Arial"/>
        </w:rPr>
        <w:t>g</w:t>
      </w:r>
      <w:r w:rsidR="00BA03D2">
        <w:rPr>
          <w:rFonts w:ascii="Arial" w:hAnsi="Arial" w:cs="Arial"/>
        </w:rPr>
        <w:t>n</w:t>
      </w:r>
      <w:r>
        <w:rPr>
          <w:rFonts w:ascii="Arial" w:hAnsi="Arial" w:cs="Arial"/>
        </w:rPr>
        <w:t xml:space="preserve">ed by the defendant on 13 June 2018 and an </w:t>
      </w:r>
      <w:r w:rsidR="00BA03D2">
        <w:rPr>
          <w:rFonts w:ascii="Arial" w:hAnsi="Arial" w:cs="Arial"/>
        </w:rPr>
        <w:t>acknowledgment</w:t>
      </w:r>
      <w:r>
        <w:rPr>
          <w:rFonts w:ascii="Arial" w:hAnsi="Arial" w:cs="Arial"/>
        </w:rPr>
        <w:t xml:space="preserve"> of debt signed by the defendant, issued </w:t>
      </w:r>
      <w:r w:rsidR="00BA03D2">
        <w:rPr>
          <w:rFonts w:ascii="Arial" w:hAnsi="Arial" w:cs="Arial"/>
        </w:rPr>
        <w:t xml:space="preserve">a </w:t>
      </w:r>
      <w:r>
        <w:rPr>
          <w:rFonts w:ascii="Arial" w:hAnsi="Arial" w:cs="Arial"/>
        </w:rPr>
        <w:t>summons in September 2020 against the defendant for</w:t>
      </w:r>
      <w:r w:rsidR="00BA03D2">
        <w:rPr>
          <w:rFonts w:ascii="Arial" w:hAnsi="Arial" w:cs="Arial"/>
        </w:rPr>
        <w:t xml:space="preserve"> the</w:t>
      </w:r>
      <w:r>
        <w:rPr>
          <w:rFonts w:ascii="Arial" w:hAnsi="Arial" w:cs="Arial"/>
        </w:rPr>
        <w:t xml:space="preserve"> payment of R 1 340 000.00. </w:t>
      </w:r>
    </w:p>
    <w:p w:rsidR="00924386" w:rsidRDefault="004053E0" w:rsidP="005C1241">
      <w:pPr>
        <w:spacing w:after="240" w:line="360" w:lineRule="auto"/>
        <w:ind w:left="567" w:hanging="567"/>
        <w:jc w:val="both"/>
        <w:rPr>
          <w:rFonts w:ascii="Arial" w:hAnsi="Arial" w:cs="Arial"/>
        </w:rPr>
      </w:pPr>
      <w:r>
        <w:rPr>
          <w:rFonts w:ascii="Arial" w:hAnsi="Arial" w:cs="Arial"/>
        </w:rPr>
        <w:t>[4</w:t>
      </w:r>
      <w:r w:rsidR="0017063A">
        <w:rPr>
          <w:rFonts w:ascii="Arial" w:hAnsi="Arial" w:cs="Arial"/>
        </w:rPr>
        <w:t>]</w:t>
      </w:r>
      <w:r w:rsidR="0017063A">
        <w:rPr>
          <w:rFonts w:ascii="Arial" w:hAnsi="Arial" w:cs="Arial"/>
        </w:rPr>
        <w:tab/>
        <w:t xml:space="preserve">The defendant raised special pleas such as non-compliance with </w:t>
      </w:r>
      <w:r w:rsidR="00BA03D2">
        <w:rPr>
          <w:rFonts w:ascii="Arial" w:hAnsi="Arial" w:cs="Arial"/>
        </w:rPr>
        <w:t xml:space="preserve">the </w:t>
      </w:r>
      <w:r w:rsidR="0017063A">
        <w:rPr>
          <w:rFonts w:ascii="Arial" w:hAnsi="Arial" w:cs="Arial"/>
        </w:rPr>
        <w:t>provision</w:t>
      </w:r>
      <w:r w:rsidR="00BA03D2">
        <w:rPr>
          <w:rFonts w:ascii="Arial" w:hAnsi="Arial" w:cs="Arial"/>
        </w:rPr>
        <w:t>s</w:t>
      </w:r>
      <w:r w:rsidR="0017063A">
        <w:rPr>
          <w:rFonts w:ascii="Arial" w:hAnsi="Arial" w:cs="Arial"/>
        </w:rPr>
        <w:t xml:space="preserve"> of Rule 41A, the jurisdiction of the High Court, reckless credit, non-compliance with the provisions of sections 103, 104, 123, 129, and 130 (inclusive of the unlawfulness of the accelerations </w:t>
      </w:r>
      <w:r w:rsidR="00924386">
        <w:rPr>
          <w:rFonts w:ascii="Arial" w:hAnsi="Arial" w:cs="Arial"/>
        </w:rPr>
        <w:t>pr</w:t>
      </w:r>
      <w:r w:rsidR="00BA03D2">
        <w:rPr>
          <w:rFonts w:ascii="Arial" w:hAnsi="Arial" w:cs="Arial"/>
        </w:rPr>
        <w:t>ovisions) of the NCA and the in</w:t>
      </w:r>
      <w:r w:rsidR="00924386">
        <w:rPr>
          <w:rFonts w:ascii="Arial" w:hAnsi="Arial" w:cs="Arial"/>
        </w:rPr>
        <w:t xml:space="preserve">effectiveness of the certificate of balance. The defendant admitted having appended his signature to both the credit facility and the acknowledgment of debt; that </w:t>
      </w:r>
      <w:r w:rsidR="00BA03D2">
        <w:rPr>
          <w:rFonts w:ascii="Arial" w:hAnsi="Arial" w:cs="Arial"/>
        </w:rPr>
        <w:t xml:space="preserve">the </w:t>
      </w:r>
      <w:r w:rsidR="00924386">
        <w:rPr>
          <w:rFonts w:ascii="Arial" w:hAnsi="Arial" w:cs="Arial"/>
        </w:rPr>
        <w:t>fertiliser was sold and delivered to him by the plaintiff and the out</w:t>
      </w:r>
      <w:r w:rsidR="00BA03D2">
        <w:rPr>
          <w:rFonts w:ascii="Arial" w:hAnsi="Arial" w:cs="Arial"/>
        </w:rPr>
        <w:t>standing amount was not paid on/</w:t>
      </w:r>
      <w:r w:rsidR="00924386">
        <w:rPr>
          <w:rFonts w:ascii="Arial" w:hAnsi="Arial" w:cs="Arial"/>
        </w:rPr>
        <w:t xml:space="preserve">or before 31 July 2020. </w:t>
      </w:r>
      <w:r w:rsidR="006C6668">
        <w:rPr>
          <w:rFonts w:ascii="Arial" w:hAnsi="Arial" w:cs="Arial"/>
        </w:rPr>
        <w:t>The defendant also filed three conditional counterclaims based on sections 110,81,89 and 90 of the NCA.</w:t>
      </w:r>
    </w:p>
    <w:p w:rsidR="00924386" w:rsidRDefault="004053E0" w:rsidP="00BA03D2">
      <w:pPr>
        <w:spacing w:after="240" w:line="360" w:lineRule="auto"/>
        <w:ind w:left="567" w:hanging="567"/>
        <w:jc w:val="both"/>
        <w:rPr>
          <w:rFonts w:ascii="Arial" w:hAnsi="Arial" w:cs="Arial"/>
        </w:rPr>
      </w:pPr>
      <w:r>
        <w:rPr>
          <w:rFonts w:ascii="Arial" w:hAnsi="Arial" w:cs="Arial"/>
        </w:rPr>
        <w:t>[5</w:t>
      </w:r>
      <w:r w:rsidR="00924386">
        <w:rPr>
          <w:rFonts w:ascii="Arial" w:hAnsi="Arial" w:cs="Arial"/>
        </w:rPr>
        <w:t>]</w:t>
      </w:r>
      <w:r w:rsidR="00924386">
        <w:rPr>
          <w:rFonts w:ascii="Arial" w:hAnsi="Arial" w:cs="Arial"/>
        </w:rPr>
        <w:tab/>
        <w:t>At the commencement of the trial proceedings</w:t>
      </w:r>
      <w:r w:rsidR="00BA03D2">
        <w:rPr>
          <w:rFonts w:ascii="Arial" w:hAnsi="Arial" w:cs="Arial"/>
        </w:rPr>
        <w:t>,</w:t>
      </w:r>
      <w:r w:rsidR="00924386">
        <w:rPr>
          <w:rFonts w:ascii="Arial" w:hAnsi="Arial" w:cs="Arial"/>
        </w:rPr>
        <w:t xml:space="preserve"> the defendant was ordered to commence with the presentation of his evidence </w:t>
      </w:r>
      <w:r w:rsidR="00BA03D2">
        <w:rPr>
          <w:rFonts w:ascii="Arial" w:hAnsi="Arial" w:cs="Arial"/>
        </w:rPr>
        <w:t>whereupon</w:t>
      </w:r>
      <w:r w:rsidR="00924386">
        <w:rPr>
          <w:rFonts w:ascii="Arial" w:hAnsi="Arial" w:cs="Arial"/>
        </w:rPr>
        <w:t xml:space="preserve"> the defendant closed his case without presentin</w:t>
      </w:r>
      <w:r w:rsidR="00BA03D2">
        <w:rPr>
          <w:rFonts w:ascii="Arial" w:hAnsi="Arial" w:cs="Arial"/>
        </w:rPr>
        <w:t>g any evidence in support of his</w:t>
      </w:r>
      <w:r w:rsidR="00924386">
        <w:rPr>
          <w:rFonts w:ascii="Arial" w:hAnsi="Arial" w:cs="Arial"/>
        </w:rPr>
        <w:t xml:space="preserve"> defence or the conditional </w:t>
      </w:r>
      <w:r w:rsidR="00791911">
        <w:rPr>
          <w:rFonts w:ascii="Arial" w:hAnsi="Arial" w:cs="Arial"/>
        </w:rPr>
        <w:t>counterclaims</w:t>
      </w:r>
      <w:r w:rsidR="00924386">
        <w:rPr>
          <w:rFonts w:ascii="Arial" w:hAnsi="Arial" w:cs="Arial"/>
        </w:rPr>
        <w:t xml:space="preserve">. </w:t>
      </w:r>
    </w:p>
    <w:p w:rsidR="00924386" w:rsidRDefault="00924386" w:rsidP="00791911">
      <w:pPr>
        <w:spacing w:after="240" w:line="360" w:lineRule="auto"/>
        <w:ind w:left="567" w:hanging="567"/>
        <w:jc w:val="both"/>
        <w:rPr>
          <w:rFonts w:ascii="Arial" w:hAnsi="Arial" w:cs="Arial"/>
        </w:rPr>
      </w:pPr>
      <w:r>
        <w:rPr>
          <w:rFonts w:ascii="Arial" w:hAnsi="Arial" w:cs="Arial"/>
        </w:rPr>
        <w:lastRenderedPageBreak/>
        <w:t>[</w:t>
      </w:r>
      <w:r w:rsidR="004053E0">
        <w:rPr>
          <w:rFonts w:ascii="Arial" w:hAnsi="Arial" w:cs="Arial"/>
        </w:rPr>
        <w:t>6</w:t>
      </w:r>
      <w:r>
        <w:rPr>
          <w:rFonts w:ascii="Arial" w:hAnsi="Arial" w:cs="Arial"/>
        </w:rPr>
        <w:t>]</w:t>
      </w:r>
      <w:r>
        <w:rPr>
          <w:rFonts w:ascii="Arial" w:hAnsi="Arial" w:cs="Arial"/>
        </w:rPr>
        <w:tab/>
        <w:t xml:space="preserve">The plaintiff called two </w:t>
      </w:r>
      <w:r w:rsidR="00791911">
        <w:rPr>
          <w:rFonts w:ascii="Arial" w:hAnsi="Arial" w:cs="Arial"/>
        </w:rPr>
        <w:t>witnesses</w:t>
      </w:r>
      <w:r>
        <w:rPr>
          <w:rFonts w:ascii="Arial" w:hAnsi="Arial" w:cs="Arial"/>
        </w:rPr>
        <w:t>, Ms Britz and Mr Bothma. During the testimony of Mr Bothma, Mr Swart</w:t>
      </w:r>
      <w:r w:rsidR="00791911">
        <w:rPr>
          <w:rFonts w:ascii="Arial" w:hAnsi="Arial" w:cs="Arial"/>
        </w:rPr>
        <w:t>,</w:t>
      </w:r>
      <w:r>
        <w:rPr>
          <w:rFonts w:ascii="Arial" w:hAnsi="Arial" w:cs="Arial"/>
        </w:rPr>
        <w:t xml:space="preserve"> on behalf of the plaintiff</w:t>
      </w:r>
      <w:r w:rsidR="00791911">
        <w:rPr>
          <w:rFonts w:ascii="Arial" w:hAnsi="Arial" w:cs="Arial"/>
        </w:rPr>
        <w:t>, applied</w:t>
      </w:r>
      <w:r>
        <w:rPr>
          <w:rFonts w:ascii="Arial" w:hAnsi="Arial" w:cs="Arial"/>
        </w:rPr>
        <w:t xml:space="preserve"> for the amendment of the amount in prayer </w:t>
      </w:r>
      <w:r w:rsidR="001945D3">
        <w:rPr>
          <w:rFonts w:ascii="Arial" w:hAnsi="Arial" w:cs="Arial"/>
        </w:rPr>
        <w:t>1 which</w:t>
      </w:r>
      <w:r w:rsidR="00791911">
        <w:rPr>
          <w:rFonts w:ascii="Arial" w:hAnsi="Arial" w:cs="Arial"/>
        </w:rPr>
        <w:t xml:space="preserve"> read R 1 398 220.95. The P</w:t>
      </w:r>
      <w:r>
        <w:rPr>
          <w:rFonts w:ascii="Arial" w:hAnsi="Arial" w:cs="Arial"/>
        </w:rPr>
        <w:t>articular</w:t>
      </w:r>
      <w:r w:rsidR="00791911">
        <w:rPr>
          <w:rFonts w:ascii="Arial" w:hAnsi="Arial" w:cs="Arial"/>
        </w:rPr>
        <w:t>s</w:t>
      </w:r>
      <w:r>
        <w:rPr>
          <w:rFonts w:ascii="Arial" w:hAnsi="Arial" w:cs="Arial"/>
        </w:rPr>
        <w:t xml:space="preserve"> of claim were therefore amended to read as follows:</w:t>
      </w:r>
    </w:p>
    <w:p w:rsidR="00924386" w:rsidRDefault="00924386" w:rsidP="00924386">
      <w:pPr>
        <w:spacing w:after="240" w:line="360" w:lineRule="auto"/>
        <w:ind w:left="993" w:hanging="426"/>
        <w:jc w:val="both"/>
        <w:rPr>
          <w:rFonts w:ascii="Arial" w:hAnsi="Arial" w:cs="Arial"/>
        </w:rPr>
      </w:pPr>
      <w:r>
        <w:rPr>
          <w:rFonts w:ascii="Arial" w:hAnsi="Arial" w:cs="Arial"/>
        </w:rPr>
        <w:t>a)</w:t>
      </w:r>
      <w:r>
        <w:rPr>
          <w:rFonts w:ascii="Arial" w:hAnsi="Arial" w:cs="Arial"/>
        </w:rPr>
        <w:tab/>
        <w:t xml:space="preserve">Payment in the amount of R 1 239 533.75. </w:t>
      </w:r>
    </w:p>
    <w:p w:rsidR="003E7F0C" w:rsidRDefault="00924386" w:rsidP="00924386">
      <w:pPr>
        <w:spacing w:after="240" w:line="360" w:lineRule="auto"/>
        <w:ind w:left="993" w:hanging="426"/>
        <w:jc w:val="both"/>
        <w:rPr>
          <w:rFonts w:ascii="Arial" w:hAnsi="Arial" w:cs="Arial"/>
        </w:rPr>
      </w:pPr>
      <w:r>
        <w:rPr>
          <w:rFonts w:ascii="Arial" w:hAnsi="Arial" w:cs="Arial"/>
        </w:rPr>
        <w:t xml:space="preserve">b) </w:t>
      </w:r>
      <w:r w:rsidR="003E7F0C">
        <w:rPr>
          <w:rFonts w:ascii="Arial" w:hAnsi="Arial" w:cs="Arial"/>
        </w:rPr>
        <w:tab/>
      </w:r>
      <w:r>
        <w:rPr>
          <w:rFonts w:ascii="Arial" w:hAnsi="Arial" w:cs="Arial"/>
        </w:rPr>
        <w:t>Interest on the amount above at a rate of 1% per month calculated from the date of service of the summons being 20 September 202</w:t>
      </w:r>
      <w:r w:rsidR="003E7F0C">
        <w:rPr>
          <w:rFonts w:ascii="Arial" w:hAnsi="Arial" w:cs="Arial"/>
        </w:rPr>
        <w:t>0.</w:t>
      </w:r>
    </w:p>
    <w:p w:rsidR="003E7F0C" w:rsidRDefault="003E7F0C" w:rsidP="00924386">
      <w:pPr>
        <w:spacing w:after="240" w:line="360" w:lineRule="auto"/>
        <w:ind w:left="993" w:hanging="426"/>
        <w:jc w:val="both"/>
        <w:rPr>
          <w:rFonts w:ascii="Arial" w:hAnsi="Arial" w:cs="Arial"/>
        </w:rPr>
      </w:pPr>
      <w:r>
        <w:rPr>
          <w:rFonts w:ascii="Arial" w:hAnsi="Arial" w:cs="Arial"/>
        </w:rPr>
        <w:t>c)</w:t>
      </w:r>
      <w:r>
        <w:rPr>
          <w:rFonts w:ascii="Arial" w:hAnsi="Arial" w:cs="Arial"/>
        </w:rPr>
        <w:tab/>
        <w:t xml:space="preserve">In the alternative to the interest claimed above, interest a </w:t>
      </w:r>
      <w:r w:rsidR="001945D3">
        <w:rPr>
          <w:rFonts w:ascii="Arial" w:hAnsi="Arial" w:cs="Arial"/>
          <w:i/>
        </w:rPr>
        <w:t>tempore mo</w:t>
      </w:r>
      <w:r>
        <w:rPr>
          <w:rFonts w:ascii="Arial" w:hAnsi="Arial" w:cs="Arial"/>
          <w:i/>
        </w:rPr>
        <w:t xml:space="preserve">rae </w:t>
      </w:r>
      <w:r>
        <w:rPr>
          <w:rFonts w:ascii="Arial" w:hAnsi="Arial" w:cs="Arial"/>
        </w:rPr>
        <w:t>calculated at 7% from the date of service of the summons.</w:t>
      </w:r>
    </w:p>
    <w:p w:rsidR="007A5243" w:rsidRDefault="003E7F0C" w:rsidP="003E7F0C">
      <w:pPr>
        <w:spacing w:after="240" w:line="360" w:lineRule="auto"/>
        <w:ind w:left="567" w:hanging="567"/>
        <w:jc w:val="both"/>
        <w:rPr>
          <w:rFonts w:ascii="Arial" w:hAnsi="Arial" w:cs="Arial"/>
        </w:rPr>
      </w:pPr>
      <w:r>
        <w:rPr>
          <w:rFonts w:ascii="Arial" w:hAnsi="Arial" w:cs="Arial"/>
        </w:rPr>
        <w:t>[</w:t>
      </w:r>
      <w:r w:rsidR="004053E0">
        <w:rPr>
          <w:rFonts w:ascii="Arial" w:hAnsi="Arial" w:cs="Arial"/>
        </w:rPr>
        <w:t>7</w:t>
      </w:r>
      <w:r>
        <w:rPr>
          <w:rFonts w:ascii="Arial" w:hAnsi="Arial" w:cs="Arial"/>
        </w:rPr>
        <w:t>]</w:t>
      </w:r>
      <w:r>
        <w:rPr>
          <w:rFonts w:ascii="Arial" w:hAnsi="Arial" w:cs="Arial"/>
        </w:rPr>
        <w:tab/>
        <w:t>The defendant argued that as the plaintiff’s claim was premised upon the credit facility and acknowledgment of debt, the plaintiff had to prove both these agreements and the defendant a special defence. The defendant contended that</w:t>
      </w:r>
      <w:r>
        <w:rPr>
          <w:rStyle w:val="FootnoteReference"/>
          <w:rFonts w:ascii="Arial" w:hAnsi="Arial" w:cs="Arial"/>
        </w:rPr>
        <w:footnoteReference w:id="2"/>
      </w:r>
      <w:r>
        <w:rPr>
          <w:rFonts w:ascii="Arial" w:hAnsi="Arial" w:cs="Arial"/>
        </w:rPr>
        <w:t xml:space="preserve"> the plaintiff succeeded in proving </w:t>
      </w:r>
      <w:r w:rsidR="00D86060">
        <w:rPr>
          <w:rFonts w:ascii="Arial" w:hAnsi="Arial" w:cs="Arial"/>
        </w:rPr>
        <w:t xml:space="preserve">the </w:t>
      </w:r>
      <w:r>
        <w:rPr>
          <w:rFonts w:ascii="Arial" w:hAnsi="Arial" w:cs="Arial"/>
        </w:rPr>
        <w:t>contents of these documents but contested the enforceability of these contracts</w:t>
      </w:r>
      <w:r w:rsidR="00791911">
        <w:rPr>
          <w:rFonts w:ascii="Arial" w:hAnsi="Arial" w:cs="Arial"/>
        </w:rPr>
        <w:t xml:space="preserve"> on the following basis:</w:t>
      </w:r>
    </w:p>
    <w:p w:rsidR="007A5243" w:rsidRPr="008604D0" w:rsidRDefault="008604D0" w:rsidP="008604D0">
      <w:pPr>
        <w:spacing w:after="240" w:line="360" w:lineRule="auto"/>
        <w:ind w:left="993" w:hanging="426"/>
        <w:jc w:val="both"/>
        <w:rPr>
          <w:rFonts w:ascii="Arial" w:hAnsi="Arial" w:cs="Arial"/>
          <w:sz w:val="20"/>
          <w:szCs w:val="20"/>
        </w:rPr>
      </w:pPr>
      <w:r w:rsidRPr="007A5243">
        <w:rPr>
          <w:rFonts w:ascii="Arial" w:hAnsi="Arial" w:cs="Arial"/>
          <w:sz w:val="20"/>
          <w:szCs w:val="20"/>
        </w:rPr>
        <w:t>a)</w:t>
      </w:r>
      <w:r w:rsidRPr="007A5243">
        <w:rPr>
          <w:rFonts w:ascii="Arial" w:hAnsi="Arial" w:cs="Arial"/>
          <w:sz w:val="20"/>
          <w:szCs w:val="20"/>
        </w:rPr>
        <w:tab/>
      </w:r>
      <w:r w:rsidR="007A5243" w:rsidRPr="008604D0">
        <w:rPr>
          <w:rFonts w:ascii="Arial" w:hAnsi="Arial" w:cs="Arial"/>
        </w:rPr>
        <w:t>In that they did not comply with the provisions of the NCA;</w:t>
      </w:r>
    </w:p>
    <w:p w:rsidR="007A5243" w:rsidRPr="008604D0" w:rsidRDefault="008604D0" w:rsidP="008604D0">
      <w:pPr>
        <w:spacing w:after="240" w:line="360" w:lineRule="auto"/>
        <w:ind w:left="993" w:hanging="426"/>
        <w:jc w:val="both"/>
        <w:rPr>
          <w:rFonts w:ascii="Arial" w:hAnsi="Arial" w:cs="Arial"/>
          <w:sz w:val="20"/>
          <w:szCs w:val="20"/>
        </w:rPr>
      </w:pPr>
      <w:r w:rsidRPr="007A5243">
        <w:rPr>
          <w:rFonts w:ascii="Arial" w:hAnsi="Arial" w:cs="Arial"/>
          <w:sz w:val="20"/>
          <w:szCs w:val="20"/>
        </w:rPr>
        <w:t>b)</w:t>
      </w:r>
      <w:r w:rsidRPr="007A5243">
        <w:rPr>
          <w:rFonts w:ascii="Arial" w:hAnsi="Arial" w:cs="Arial"/>
          <w:sz w:val="20"/>
          <w:szCs w:val="20"/>
        </w:rPr>
        <w:tab/>
      </w:r>
      <w:r w:rsidR="007A5243" w:rsidRPr="008604D0">
        <w:rPr>
          <w:rFonts w:ascii="Arial" w:hAnsi="Arial" w:cs="Arial"/>
        </w:rPr>
        <w:t>The plaintiff was not registered in accordance with section 40 of the NCA;</w:t>
      </w:r>
    </w:p>
    <w:p w:rsidR="007A5243" w:rsidRPr="008604D0" w:rsidRDefault="008604D0" w:rsidP="008604D0">
      <w:pPr>
        <w:spacing w:after="240" w:line="360" w:lineRule="auto"/>
        <w:ind w:left="993" w:hanging="426"/>
        <w:jc w:val="both"/>
        <w:rPr>
          <w:rFonts w:ascii="Arial" w:hAnsi="Arial" w:cs="Arial"/>
          <w:sz w:val="20"/>
          <w:szCs w:val="20"/>
        </w:rPr>
      </w:pPr>
      <w:r w:rsidRPr="007A5243">
        <w:rPr>
          <w:rFonts w:ascii="Arial" w:hAnsi="Arial" w:cs="Arial"/>
          <w:sz w:val="20"/>
          <w:szCs w:val="20"/>
        </w:rPr>
        <w:t>c)</w:t>
      </w:r>
      <w:r w:rsidRPr="007A5243">
        <w:rPr>
          <w:rFonts w:ascii="Arial" w:hAnsi="Arial" w:cs="Arial"/>
          <w:sz w:val="20"/>
          <w:szCs w:val="20"/>
        </w:rPr>
        <w:tab/>
      </w:r>
      <w:r w:rsidR="007A5243" w:rsidRPr="008604D0">
        <w:rPr>
          <w:rFonts w:ascii="Arial" w:hAnsi="Arial" w:cs="Arial"/>
        </w:rPr>
        <w:t>It failed</w:t>
      </w:r>
      <w:r w:rsidR="00791911" w:rsidRPr="008604D0">
        <w:rPr>
          <w:rFonts w:ascii="Arial" w:hAnsi="Arial" w:cs="Arial"/>
        </w:rPr>
        <w:t xml:space="preserve"> to</w:t>
      </w:r>
      <w:r w:rsidR="007A5243" w:rsidRPr="008604D0">
        <w:rPr>
          <w:rFonts w:ascii="Arial" w:hAnsi="Arial" w:cs="Arial"/>
        </w:rPr>
        <w:t xml:space="preserve"> comply with clause 20 of the credit facility which determined that disputes should be referred to a joint committee for resolution;</w:t>
      </w:r>
    </w:p>
    <w:p w:rsidR="007A5243" w:rsidRPr="008604D0" w:rsidRDefault="008604D0" w:rsidP="008604D0">
      <w:pPr>
        <w:spacing w:after="240" w:line="360" w:lineRule="auto"/>
        <w:ind w:left="993" w:hanging="426"/>
        <w:jc w:val="both"/>
        <w:rPr>
          <w:rFonts w:ascii="Arial" w:hAnsi="Arial" w:cs="Arial"/>
          <w:sz w:val="20"/>
          <w:szCs w:val="20"/>
        </w:rPr>
      </w:pPr>
      <w:r w:rsidRPr="007A5243">
        <w:rPr>
          <w:rFonts w:ascii="Arial" w:hAnsi="Arial" w:cs="Arial"/>
          <w:sz w:val="20"/>
          <w:szCs w:val="20"/>
        </w:rPr>
        <w:t>d)</w:t>
      </w:r>
      <w:r w:rsidRPr="007A5243">
        <w:rPr>
          <w:rFonts w:ascii="Arial" w:hAnsi="Arial" w:cs="Arial"/>
          <w:sz w:val="20"/>
          <w:szCs w:val="20"/>
        </w:rPr>
        <w:tab/>
      </w:r>
      <w:r w:rsidR="007A5243" w:rsidRPr="008604D0">
        <w:rPr>
          <w:rFonts w:ascii="Arial" w:hAnsi="Arial" w:cs="Arial"/>
        </w:rPr>
        <w:t xml:space="preserve">Failure to comply with clause 12.1 requiring a 14-day notice period enabling the party in default to remedy the default;  </w:t>
      </w:r>
    </w:p>
    <w:p w:rsidR="007A5243" w:rsidRPr="008604D0" w:rsidRDefault="008604D0" w:rsidP="008604D0">
      <w:pPr>
        <w:spacing w:after="240" w:line="360" w:lineRule="auto"/>
        <w:ind w:left="993" w:hanging="426"/>
        <w:jc w:val="both"/>
        <w:rPr>
          <w:rFonts w:ascii="Arial" w:hAnsi="Arial" w:cs="Arial"/>
          <w:sz w:val="20"/>
          <w:szCs w:val="20"/>
        </w:rPr>
      </w:pPr>
      <w:r w:rsidRPr="007A5243">
        <w:rPr>
          <w:rFonts w:ascii="Arial" w:hAnsi="Arial" w:cs="Arial"/>
          <w:sz w:val="20"/>
          <w:szCs w:val="20"/>
        </w:rPr>
        <w:t>e)</w:t>
      </w:r>
      <w:r w:rsidRPr="007A5243">
        <w:rPr>
          <w:rFonts w:ascii="Arial" w:hAnsi="Arial" w:cs="Arial"/>
          <w:sz w:val="20"/>
          <w:szCs w:val="20"/>
        </w:rPr>
        <w:tab/>
      </w:r>
      <w:r w:rsidR="007A5243" w:rsidRPr="008604D0">
        <w:rPr>
          <w:rFonts w:ascii="Arial" w:hAnsi="Arial" w:cs="Arial"/>
        </w:rPr>
        <w:t>Failure to prove that the agreement constituted incidental credit agreements.</w:t>
      </w:r>
    </w:p>
    <w:p w:rsidR="007A5243" w:rsidRPr="00D11CE4" w:rsidRDefault="004053E0" w:rsidP="007A5243">
      <w:pPr>
        <w:spacing w:after="240" w:line="360" w:lineRule="auto"/>
        <w:ind w:left="567" w:hanging="567"/>
        <w:jc w:val="both"/>
        <w:rPr>
          <w:rFonts w:ascii="Arial" w:hAnsi="Arial" w:cs="Arial"/>
        </w:rPr>
      </w:pPr>
      <w:r>
        <w:rPr>
          <w:rFonts w:ascii="Arial" w:hAnsi="Arial" w:cs="Arial"/>
        </w:rPr>
        <w:t>[8</w:t>
      </w:r>
      <w:r w:rsidR="007A5243">
        <w:rPr>
          <w:rFonts w:ascii="Arial" w:hAnsi="Arial" w:cs="Arial"/>
        </w:rPr>
        <w:t>]</w:t>
      </w:r>
      <w:r w:rsidR="007A5243">
        <w:rPr>
          <w:rFonts w:ascii="Arial" w:hAnsi="Arial" w:cs="Arial"/>
        </w:rPr>
        <w:tab/>
        <w:t xml:space="preserve">In </w:t>
      </w:r>
      <w:r w:rsidR="00791911">
        <w:rPr>
          <w:rFonts w:ascii="Arial" w:hAnsi="Arial" w:cs="Arial"/>
        </w:rPr>
        <w:t xml:space="preserve">an </w:t>
      </w:r>
      <w:r w:rsidR="007A5243">
        <w:rPr>
          <w:rFonts w:ascii="Arial" w:hAnsi="Arial" w:cs="Arial"/>
        </w:rPr>
        <w:t xml:space="preserve">oral address, Mr Du Plessis submitted that if annexure “A”, the acknowledgment of debt is found to be an incidental agreement, then the defences based on sections 103, 104, 123 and 130 would fall away. </w:t>
      </w:r>
      <w:r w:rsidR="00D11CE4">
        <w:rPr>
          <w:rFonts w:ascii="Arial" w:hAnsi="Arial" w:cs="Arial"/>
        </w:rPr>
        <w:t xml:space="preserve">In his written heads of argument, he stated that the parties were </w:t>
      </w:r>
      <w:r w:rsidR="00D11CE4">
        <w:rPr>
          <w:rFonts w:ascii="Arial" w:hAnsi="Arial" w:cs="Arial"/>
          <w:i/>
        </w:rPr>
        <w:t xml:space="preserve">ad idem </w:t>
      </w:r>
      <w:r w:rsidR="00D11CE4">
        <w:rPr>
          <w:rFonts w:ascii="Arial" w:hAnsi="Arial" w:cs="Arial"/>
        </w:rPr>
        <w:t xml:space="preserve">that in the event of the court holding that the agreements in question constituted incidental credit </w:t>
      </w:r>
      <w:r w:rsidR="00D11CE4">
        <w:rPr>
          <w:rFonts w:ascii="Arial" w:hAnsi="Arial" w:cs="Arial"/>
        </w:rPr>
        <w:lastRenderedPageBreak/>
        <w:t xml:space="preserve">agreements, the issues relating to reckless credit as </w:t>
      </w:r>
      <w:r w:rsidR="00791911">
        <w:rPr>
          <w:rFonts w:ascii="Arial" w:hAnsi="Arial" w:cs="Arial"/>
        </w:rPr>
        <w:t>pleaded by the defendant fell by</w:t>
      </w:r>
      <w:r w:rsidR="00D11CE4">
        <w:rPr>
          <w:rFonts w:ascii="Arial" w:hAnsi="Arial" w:cs="Arial"/>
        </w:rPr>
        <w:t xml:space="preserve"> the </w:t>
      </w:r>
      <w:r w:rsidR="00791911">
        <w:rPr>
          <w:rFonts w:ascii="Arial" w:hAnsi="Arial" w:cs="Arial"/>
        </w:rPr>
        <w:t>wayside</w:t>
      </w:r>
      <w:r w:rsidR="00D11CE4">
        <w:rPr>
          <w:rFonts w:ascii="Arial" w:hAnsi="Arial" w:cs="Arial"/>
        </w:rPr>
        <w:t xml:space="preserve">. </w:t>
      </w:r>
    </w:p>
    <w:p w:rsidR="00D11CE4" w:rsidRDefault="001E04F7" w:rsidP="007A5243">
      <w:pPr>
        <w:spacing w:after="240" w:line="360" w:lineRule="auto"/>
        <w:ind w:left="567" w:hanging="567"/>
        <w:jc w:val="both"/>
        <w:rPr>
          <w:rFonts w:ascii="Arial" w:hAnsi="Arial" w:cs="Arial"/>
        </w:rPr>
      </w:pPr>
      <w:r w:rsidRPr="001E04F7">
        <w:rPr>
          <w:rFonts w:ascii="Arial" w:hAnsi="Arial" w:cs="Arial"/>
          <w:u w:val="single"/>
        </w:rPr>
        <w:t>The fact</w:t>
      </w:r>
      <w:r w:rsidR="00D11CE4">
        <w:rPr>
          <w:rFonts w:ascii="Arial" w:hAnsi="Arial" w:cs="Arial"/>
          <w:u w:val="single"/>
        </w:rPr>
        <w:t>s</w:t>
      </w:r>
      <w:r w:rsidRPr="001E04F7">
        <w:rPr>
          <w:rFonts w:ascii="Arial" w:hAnsi="Arial" w:cs="Arial"/>
          <w:u w:val="single"/>
        </w:rPr>
        <w:t xml:space="preserve"> not in </w:t>
      </w:r>
      <w:r>
        <w:rPr>
          <w:rFonts w:ascii="Arial" w:hAnsi="Arial" w:cs="Arial"/>
          <w:u w:val="single"/>
        </w:rPr>
        <w:t>dispute</w:t>
      </w:r>
      <w:r w:rsidR="007A5243" w:rsidRPr="001E04F7">
        <w:rPr>
          <w:rFonts w:ascii="Arial" w:hAnsi="Arial" w:cs="Arial"/>
        </w:rPr>
        <w:t xml:space="preserve">  </w:t>
      </w:r>
    </w:p>
    <w:p w:rsidR="00DB3CA2" w:rsidRDefault="004053E0" w:rsidP="007A5243">
      <w:pPr>
        <w:spacing w:after="240" w:line="360" w:lineRule="auto"/>
        <w:ind w:left="567" w:hanging="567"/>
        <w:jc w:val="both"/>
        <w:rPr>
          <w:rFonts w:ascii="Arial" w:hAnsi="Arial" w:cs="Arial"/>
        </w:rPr>
      </w:pPr>
      <w:r>
        <w:rPr>
          <w:rFonts w:ascii="Arial" w:hAnsi="Arial" w:cs="Arial"/>
        </w:rPr>
        <w:t>[9</w:t>
      </w:r>
      <w:r w:rsidR="00D11CE4">
        <w:rPr>
          <w:rFonts w:ascii="Arial" w:hAnsi="Arial" w:cs="Arial"/>
        </w:rPr>
        <w:t>]</w:t>
      </w:r>
      <w:r w:rsidR="00D11CE4">
        <w:rPr>
          <w:rFonts w:ascii="Arial" w:hAnsi="Arial" w:cs="Arial"/>
        </w:rPr>
        <w:tab/>
        <w:t>It is not in dispute that the defendant signed the credit facility</w:t>
      </w:r>
      <w:r w:rsidR="007952B2">
        <w:rPr>
          <w:rFonts w:ascii="Arial" w:hAnsi="Arial" w:cs="Arial"/>
        </w:rPr>
        <w:t>, subject to written terms and conditions as reflected on annexures “B1” and “B2” to the Particulars of Claim,</w:t>
      </w:r>
      <w:r w:rsidR="00D11CE4">
        <w:rPr>
          <w:rFonts w:ascii="Arial" w:hAnsi="Arial" w:cs="Arial"/>
        </w:rPr>
        <w:t xml:space="preserve"> and the acknowledgment of debt</w:t>
      </w:r>
      <w:r w:rsidR="00BC0294">
        <w:rPr>
          <w:rStyle w:val="FootnoteReference"/>
          <w:rFonts w:ascii="Arial" w:hAnsi="Arial" w:cs="Arial"/>
        </w:rPr>
        <w:footnoteReference w:id="3"/>
      </w:r>
      <w:r w:rsidR="00D11CE4">
        <w:rPr>
          <w:rFonts w:ascii="Arial" w:hAnsi="Arial" w:cs="Arial"/>
        </w:rPr>
        <w:t xml:space="preserve"> and that the plaintiff sold and delivered the fertilizer to him. </w:t>
      </w:r>
      <w:r w:rsidR="007623BF">
        <w:rPr>
          <w:rFonts w:ascii="Arial" w:hAnsi="Arial" w:cs="Arial"/>
        </w:rPr>
        <w:t xml:space="preserve">The plaintiff duly performed in terms of the agreement and sold and delivered fertilizer to the defendant from June 2018 until June 2019 when requested to do so by the defendant. A copy of the customer statement that constituted a summary of the fertiliser sold and delivered to the defendant by the plaintiff was attached to the Particulars of Claim as </w:t>
      </w:r>
      <w:r w:rsidR="00810F9B">
        <w:rPr>
          <w:rFonts w:ascii="Arial" w:hAnsi="Arial" w:cs="Arial"/>
        </w:rPr>
        <w:t>annexure “ C</w:t>
      </w:r>
      <w:r w:rsidR="007623BF">
        <w:rPr>
          <w:rFonts w:ascii="Arial" w:hAnsi="Arial" w:cs="Arial"/>
        </w:rPr>
        <w:t xml:space="preserve">”. </w:t>
      </w:r>
      <w:r w:rsidR="00D11CE4">
        <w:rPr>
          <w:rFonts w:ascii="Arial" w:hAnsi="Arial" w:cs="Arial"/>
        </w:rPr>
        <w:t>The defendant used and consumed the fertilizer for which he made vari</w:t>
      </w:r>
      <w:r w:rsidR="00D86060">
        <w:rPr>
          <w:rFonts w:ascii="Arial" w:hAnsi="Arial" w:cs="Arial"/>
        </w:rPr>
        <w:t>ous payments to the plaintiff.</w:t>
      </w:r>
      <w:r w:rsidR="007623BF">
        <w:rPr>
          <w:rStyle w:val="FootnoteReference"/>
          <w:rFonts w:ascii="Arial" w:hAnsi="Arial" w:cs="Arial"/>
        </w:rPr>
        <w:footnoteReference w:id="4"/>
      </w:r>
      <w:r w:rsidR="00D86060">
        <w:rPr>
          <w:rFonts w:ascii="Arial" w:hAnsi="Arial" w:cs="Arial"/>
        </w:rPr>
        <w:t xml:space="preserve"> Th</w:t>
      </w:r>
      <w:r w:rsidR="00D11CE4">
        <w:rPr>
          <w:rFonts w:ascii="Arial" w:hAnsi="Arial" w:cs="Arial"/>
        </w:rPr>
        <w:t>e</w:t>
      </w:r>
      <w:r w:rsidR="00D86060">
        <w:rPr>
          <w:rFonts w:ascii="Arial" w:hAnsi="Arial" w:cs="Arial"/>
        </w:rPr>
        <w:t xml:space="preserve"> defendant</w:t>
      </w:r>
      <w:r w:rsidR="00D11CE4">
        <w:rPr>
          <w:rFonts w:ascii="Arial" w:hAnsi="Arial" w:cs="Arial"/>
        </w:rPr>
        <w:t xml:space="preserve"> received the plaintiff’s notice in term</w:t>
      </w:r>
      <w:r w:rsidR="002C5BA3">
        <w:rPr>
          <w:rFonts w:ascii="Arial" w:hAnsi="Arial" w:cs="Arial"/>
        </w:rPr>
        <w:t>s of</w:t>
      </w:r>
      <w:r w:rsidR="00D11CE4">
        <w:rPr>
          <w:rFonts w:ascii="Arial" w:hAnsi="Arial" w:cs="Arial"/>
        </w:rPr>
        <w:t xml:space="preserve"> section 129 (1)(a) of the NCA but elected not to exercise any of his rights mentioned in that section.</w:t>
      </w:r>
      <w:r w:rsidR="002C5BA3">
        <w:rPr>
          <w:rStyle w:val="FootnoteReference"/>
          <w:rFonts w:ascii="Arial" w:hAnsi="Arial" w:cs="Arial"/>
        </w:rPr>
        <w:footnoteReference w:id="5"/>
      </w:r>
      <w:r w:rsidR="00D11CE4">
        <w:rPr>
          <w:rFonts w:ascii="Arial" w:hAnsi="Arial" w:cs="Arial"/>
        </w:rPr>
        <w:t xml:space="preserve"> The customer statement</w:t>
      </w:r>
      <w:r w:rsidR="005A232B">
        <w:rPr>
          <w:rFonts w:ascii="Arial" w:hAnsi="Arial" w:cs="Arial"/>
        </w:rPr>
        <w:t>,</w:t>
      </w:r>
      <w:r w:rsidR="00D11CE4">
        <w:rPr>
          <w:rFonts w:ascii="Arial" w:hAnsi="Arial" w:cs="Arial"/>
        </w:rPr>
        <w:t xml:space="preserve"> annexed to the particulars of claim</w:t>
      </w:r>
      <w:r w:rsidR="005A232B">
        <w:rPr>
          <w:rFonts w:ascii="Arial" w:hAnsi="Arial" w:cs="Arial"/>
        </w:rPr>
        <w:t>,</w:t>
      </w:r>
      <w:r w:rsidR="00D86060">
        <w:rPr>
          <w:rFonts w:ascii="Arial" w:hAnsi="Arial" w:cs="Arial"/>
        </w:rPr>
        <w:t xml:space="preserve"> wa</w:t>
      </w:r>
      <w:r w:rsidR="005A232B">
        <w:rPr>
          <w:rFonts w:ascii="Arial" w:hAnsi="Arial" w:cs="Arial"/>
        </w:rPr>
        <w:t>s</w:t>
      </w:r>
      <w:r w:rsidR="00D86060">
        <w:rPr>
          <w:rFonts w:ascii="Arial" w:hAnsi="Arial" w:cs="Arial"/>
        </w:rPr>
        <w:t xml:space="preserve"> no longer</w:t>
      </w:r>
      <w:r w:rsidR="00D11CE4">
        <w:rPr>
          <w:rFonts w:ascii="Arial" w:hAnsi="Arial" w:cs="Arial"/>
        </w:rPr>
        <w:t xml:space="preserve"> disputed. The </w:t>
      </w:r>
      <w:r w:rsidR="005A232B">
        <w:rPr>
          <w:rFonts w:ascii="Arial" w:hAnsi="Arial" w:cs="Arial"/>
        </w:rPr>
        <w:t>acknowledgment</w:t>
      </w:r>
      <w:r w:rsidR="00D11CE4">
        <w:rPr>
          <w:rFonts w:ascii="Arial" w:hAnsi="Arial" w:cs="Arial"/>
        </w:rPr>
        <w:t xml:space="preserve"> of debt was signed by the defendant whilst being represented by an attorney. </w:t>
      </w:r>
    </w:p>
    <w:p w:rsidR="00DB3CA2" w:rsidRPr="00DB3CA2" w:rsidRDefault="004053E0" w:rsidP="00DB3CA2">
      <w:pPr>
        <w:spacing w:after="240" w:line="360" w:lineRule="auto"/>
        <w:ind w:left="567" w:hanging="567"/>
        <w:jc w:val="both"/>
        <w:rPr>
          <w:rFonts w:ascii="Arial" w:hAnsi="Arial" w:cs="Arial"/>
          <w:lang w:val="en-ZA"/>
        </w:rPr>
      </w:pPr>
      <w:r>
        <w:rPr>
          <w:rFonts w:ascii="Arial" w:hAnsi="Arial" w:cs="Arial"/>
        </w:rPr>
        <w:t>[10</w:t>
      </w:r>
      <w:r w:rsidR="00DB3CA2">
        <w:rPr>
          <w:rFonts w:ascii="Arial" w:hAnsi="Arial" w:cs="Arial"/>
        </w:rPr>
        <w:t xml:space="preserve">] The crucial point for determination is whether the acknowledgment of debt was an incidental agreement or not. An incidental agreement is defined as follows in the Act: </w:t>
      </w:r>
      <w:hyperlink r:id="rId10" w:tgtFrame="main" w:history="1">
        <w:r w:rsidR="00DB3CA2" w:rsidRPr="004053E0">
          <w:rPr>
            <w:rStyle w:val="Hyperlink"/>
            <w:rFonts w:ascii="Arial" w:hAnsi="Arial" w:cs="Arial"/>
            <w:bCs/>
            <w:color w:val="auto"/>
            <w:u w:val="none"/>
            <w:lang w:val="en-ZA"/>
          </w:rPr>
          <w:t>'incidental credit agreement'</w:t>
        </w:r>
      </w:hyperlink>
      <w:r w:rsidR="00DB3CA2" w:rsidRPr="004053E0">
        <w:rPr>
          <w:rFonts w:ascii="Arial" w:hAnsi="Arial" w:cs="Arial"/>
          <w:lang w:val="en-ZA"/>
        </w:rPr>
        <w:t> </w:t>
      </w:r>
      <w:r w:rsidR="00DB3CA2" w:rsidRPr="00DB3CA2">
        <w:rPr>
          <w:rFonts w:ascii="Arial" w:hAnsi="Arial" w:cs="Arial"/>
          <w:lang w:val="en-ZA"/>
        </w:rPr>
        <w:t>means an agreement, irrespective of its form, in terms of which an account was tendered for goods or services that have been provided to the consumer, or goods or services that are to be provided to a consumer over a period of time and either or both of the following conditions apply:</w:t>
      </w:r>
    </w:p>
    <w:p w:rsidR="00DB3CA2" w:rsidRPr="00DB3CA2" w:rsidRDefault="00DB3CA2" w:rsidP="004053E0">
      <w:pPr>
        <w:spacing w:after="240" w:line="360" w:lineRule="auto"/>
        <w:ind w:left="1134" w:hanging="567"/>
        <w:jc w:val="both"/>
        <w:rPr>
          <w:rFonts w:ascii="Arial" w:hAnsi="Arial" w:cs="Arial"/>
          <w:lang w:val="en-ZA"/>
        </w:rPr>
      </w:pPr>
      <w:bookmarkStart w:id="2" w:name="0-0-0-76275"/>
      <w:bookmarkEnd w:id="2"/>
      <w:r w:rsidRPr="00DB3CA2">
        <w:rPr>
          <w:rFonts w:ascii="Arial" w:hAnsi="Arial" w:cs="Arial"/>
          <w:i/>
          <w:iCs/>
          <w:lang w:val="en-ZA"/>
        </w:rPr>
        <w:t>(a)</w:t>
      </w:r>
      <w:r w:rsidRPr="00DB3CA2">
        <w:rPr>
          <w:rFonts w:ascii="Arial" w:hAnsi="Arial" w:cs="Arial"/>
          <w:lang w:val="en-ZA"/>
        </w:rPr>
        <w:t>   a fee, charge or interest became payable when payment of an amount charged in terms of that account was not made on or before a determined period or date; or</w:t>
      </w:r>
    </w:p>
    <w:p w:rsidR="00DB3CA2" w:rsidRPr="00DB3CA2" w:rsidRDefault="00DB3CA2" w:rsidP="004053E0">
      <w:pPr>
        <w:spacing w:after="240" w:line="360" w:lineRule="auto"/>
        <w:ind w:left="1134" w:hanging="567"/>
        <w:jc w:val="both"/>
        <w:rPr>
          <w:rFonts w:ascii="Arial" w:hAnsi="Arial" w:cs="Arial"/>
          <w:lang w:val="en-ZA"/>
        </w:rPr>
      </w:pPr>
      <w:bookmarkStart w:id="3" w:name="0-0-0-76277"/>
      <w:bookmarkEnd w:id="3"/>
      <w:r w:rsidRPr="00DB3CA2">
        <w:rPr>
          <w:rFonts w:ascii="Arial" w:hAnsi="Arial" w:cs="Arial"/>
          <w:i/>
          <w:iCs/>
          <w:lang w:val="en-ZA"/>
        </w:rPr>
        <w:lastRenderedPageBreak/>
        <w:t>(b)</w:t>
      </w:r>
      <w:r w:rsidRPr="00DB3CA2">
        <w:rPr>
          <w:rFonts w:ascii="Arial" w:hAnsi="Arial" w:cs="Arial"/>
          <w:lang w:val="en-ZA"/>
        </w:rPr>
        <w:t>   </w:t>
      </w:r>
      <w:r w:rsidR="004053E0">
        <w:rPr>
          <w:rFonts w:ascii="Arial" w:hAnsi="Arial" w:cs="Arial"/>
          <w:lang w:val="en-ZA"/>
        </w:rPr>
        <w:tab/>
      </w:r>
      <w:r w:rsidRPr="00DB3CA2">
        <w:rPr>
          <w:rFonts w:ascii="Arial" w:hAnsi="Arial" w:cs="Arial"/>
          <w:lang w:val="en-ZA"/>
        </w:rPr>
        <w:t>two prices were quoted for settlement of the account, the lower price being applicable if the account is paid on or before a determined date, and the higher price being applicable due to the account not having been paid by that date.</w:t>
      </w:r>
    </w:p>
    <w:p w:rsidR="000026C2" w:rsidRPr="001E04F7" w:rsidRDefault="004053E0" w:rsidP="007A5243">
      <w:pPr>
        <w:spacing w:after="240" w:line="360" w:lineRule="auto"/>
        <w:ind w:left="567" w:hanging="567"/>
        <w:jc w:val="both"/>
        <w:rPr>
          <w:rFonts w:ascii="Arial" w:hAnsi="Arial" w:cs="Arial"/>
          <w:sz w:val="20"/>
          <w:szCs w:val="20"/>
        </w:rPr>
      </w:pPr>
      <w:r>
        <w:rPr>
          <w:rFonts w:ascii="Arial" w:hAnsi="Arial" w:cs="Arial"/>
        </w:rPr>
        <w:t>[11</w:t>
      </w:r>
      <w:r w:rsidR="00DB3CA2">
        <w:rPr>
          <w:rFonts w:ascii="Arial" w:hAnsi="Arial" w:cs="Arial"/>
        </w:rPr>
        <w:t xml:space="preserve">]  </w:t>
      </w:r>
      <w:r w:rsidR="007A5243" w:rsidRPr="001E04F7">
        <w:rPr>
          <w:rFonts w:ascii="Arial" w:hAnsi="Arial" w:cs="Arial"/>
        </w:rPr>
        <w:t xml:space="preserve"> </w:t>
      </w:r>
      <w:r w:rsidR="003E7F0C" w:rsidRPr="001E04F7">
        <w:rPr>
          <w:rFonts w:ascii="Arial" w:hAnsi="Arial" w:cs="Arial"/>
        </w:rPr>
        <w:t xml:space="preserve">     </w:t>
      </w:r>
      <w:r w:rsidR="0017063A" w:rsidRPr="001E04F7">
        <w:rPr>
          <w:rFonts w:ascii="Arial" w:hAnsi="Arial" w:cs="Arial"/>
        </w:rPr>
        <w:t xml:space="preserve">   </w:t>
      </w:r>
      <w:r w:rsidR="002A631E" w:rsidRPr="001E04F7">
        <w:rPr>
          <w:rFonts w:ascii="Arial" w:hAnsi="Arial" w:cs="Arial"/>
        </w:rPr>
        <w:tab/>
      </w:r>
    </w:p>
    <w:p w:rsidR="005835FE" w:rsidRDefault="002D3664" w:rsidP="0035047C">
      <w:pPr>
        <w:pStyle w:val="ListParagraph"/>
        <w:ind w:left="5761"/>
        <w:jc w:val="right"/>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rsidR="005835FE" w:rsidRPr="002B369A" w:rsidRDefault="002B369A" w:rsidP="0035047C">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B369A">
        <w:rPr>
          <w:rFonts w:ascii="Arial" w:hAnsi="Arial" w:cs="Arial"/>
          <w:b/>
          <w:bCs/>
        </w:rPr>
        <w:t>MHLAMBI</w:t>
      </w:r>
      <w:r w:rsidR="0035047C">
        <w:rPr>
          <w:rFonts w:ascii="Arial" w:hAnsi="Arial" w:cs="Arial"/>
          <w:b/>
          <w:bCs/>
        </w:rPr>
        <w:t>,</w:t>
      </w:r>
      <w:r w:rsidRPr="002B369A">
        <w:rPr>
          <w:rFonts w:ascii="Arial" w:hAnsi="Arial" w:cs="Arial"/>
          <w:b/>
          <w:bCs/>
        </w:rPr>
        <w:t xml:space="preserve"> J</w:t>
      </w:r>
    </w:p>
    <w:p w:rsidR="005835FE" w:rsidRPr="00C20DEE" w:rsidRDefault="005835FE" w:rsidP="0035047C">
      <w:pPr>
        <w:jc w:val="right"/>
        <w:rPr>
          <w:rFonts w:ascii="Arial" w:hAnsi="Arial" w:cs="Arial"/>
        </w:rPr>
      </w:pPr>
    </w:p>
    <w:p w:rsidR="005835FE" w:rsidRPr="00C20DEE" w:rsidRDefault="005835FE" w:rsidP="005B271F">
      <w:pPr>
        <w:spacing w:line="360" w:lineRule="auto"/>
        <w:jc w:val="both"/>
        <w:rPr>
          <w:rFonts w:ascii="Arial" w:hAnsi="Arial" w:cs="Arial"/>
        </w:rPr>
      </w:pPr>
    </w:p>
    <w:p w:rsidR="00E5549C" w:rsidRPr="00C20DEE" w:rsidRDefault="005960F0" w:rsidP="00E5549C">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00D82B1F">
        <w:rPr>
          <w:rFonts w:ascii="Arial" w:hAnsi="Arial" w:cs="Arial"/>
          <w:color w:val="000000" w:themeColor="text1"/>
        </w:rPr>
        <w:t>plaintiff</w:t>
      </w:r>
      <w:r w:rsidRPr="00C20DEE">
        <w:rPr>
          <w:rFonts w:ascii="Arial" w:hAnsi="Arial" w:cs="Arial"/>
          <w:color w:val="000000" w:themeColor="text1"/>
        </w:rPr>
        <w:t>:</w:t>
      </w:r>
      <w:r w:rsidR="00F24BE3" w:rsidRPr="00C20DEE">
        <w:rPr>
          <w:rFonts w:ascii="Arial" w:hAnsi="Arial" w:cs="Arial"/>
          <w:color w:val="000000" w:themeColor="text1"/>
        </w:rPr>
        <w:t xml:space="preserve">  </w:t>
      </w:r>
      <w:r w:rsidR="00CA6CD3">
        <w:rPr>
          <w:rFonts w:ascii="Arial" w:hAnsi="Arial" w:cs="Arial"/>
          <w:color w:val="000000" w:themeColor="text1"/>
        </w:rPr>
        <w:tab/>
      </w:r>
      <w:r w:rsidR="00CD17CC">
        <w:rPr>
          <w:rFonts w:ascii="Arial" w:hAnsi="Arial" w:cs="Arial"/>
          <w:color w:val="000000" w:themeColor="text1"/>
        </w:rPr>
        <w:t>Adv. R van der Merwe</w:t>
      </w:r>
    </w:p>
    <w:p w:rsidR="00E5481E" w:rsidRDefault="005960F0" w:rsidP="00831273">
      <w:pPr>
        <w:tabs>
          <w:tab w:val="left" w:pos="2977"/>
        </w:tabs>
        <w:spacing w:line="360" w:lineRule="auto"/>
        <w:ind w:left="851" w:hanging="851"/>
        <w:rPr>
          <w:rFonts w:ascii="Arial" w:hAnsi="Arial" w:cs="Arial"/>
          <w:color w:val="000000" w:themeColor="text1"/>
        </w:rPr>
      </w:pPr>
      <w:r w:rsidRPr="00C20DEE">
        <w:rPr>
          <w:rFonts w:ascii="Arial" w:hAnsi="Arial" w:cs="Arial"/>
          <w:color w:val="000000" w:themeColor="text1"/>
        </w:rPr>
        <w:t>Instructed by:</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831273">
        <w:rPr>
          <w:rFonts w:ascii="Arial" w:hAnsi="Arial" w:cs="Arial"/>
          <w:color w:val="000000" w:themeColor="text1"/>
        </w:rPr>
        <w:t>Graham Attorneys</w:t>
      </w:r>
    </w:p>
    <w:p w:rsidR="00831273" w:rsidRDefault="00831273" w:rsidP="00831273">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14A Torbet Street</w:t>
      </w:r>
    </w:p>
    <w:p w:rsidR="00831273" w:rsidRDefault="00831273" w:rsidP="00831273">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Noordhoek</w:t>
      </w:r>
    </w:p>
    <w:p w:rsidR="00831273" w:rsidRPr="00C20DEE" w:rsidRDefault="00831273" w:rsidP="00831273">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Bloe</w:t>
      </w:r>
      <w:r w:rsidR="00507297">
        <w:rPr>
          <w:rFonts w:ascii="Arial" w:hAnsi="Arial" w:cs="Arial"/>
          <w:color w:val="000000" w:themeColor="text1"/>
        </w:rPr>
        <w:t>m</w:t>
      </w:r>
      <w:r>
        <w:rPr>
          <w:rFonts w:ascii="Arial" w:hAnsi="Arial" w:cs="Arial"/>
          <w:color w:val="000000" w:themeColor="text1"/>
        </w:rPr>
        <w:t>fontein</w:t>
      </w:r>
    </w:p>
    <w:p w:rsidR="00E5481E" w:rsidRPr="00C20DEE" w:rsidRDefault="00E5481E" w:rsidP="007C2356">
      <w:pPr>
        <w:ind w:left="851" w:hanging="851"/>
        <w:rPr>
          <w:rFonts w:ascii="Arial" w:hAnsi="Arial" w:cs="Arial"/>
          <w:color w:val="000000" w:themeColor="text1"/>
        </w:rPr>
      </w:pPr>
    </w:p>
    <w:p w:rsidR="00E5481E" w:rsidRPr="00C20DEE" w:rsidRDefault="00E5481E" w:rsidP="007C2356">
      <w:pPr>
        <w:ind w:left="851" w:hanging="851"/>
        <w:rPr>
          <w:rFonts w:ascii="Arial" w:hAnsi="Arial" w:cs="Arial"/>
          <w:color w:val="000000" w:themeColor="text1"/>
        </w:rPr>
      </w:pPr>
    </w:p>
    <w:p w:rsidR="005960F0" w:rsidRPr="00C20DEE" w:rsidRDefault="005960F0" w:rsidP="002F71C5">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Pr="00C20DEE">
        <w:rPr>
          <w:rFonts w:ascii="Arial" w:hAnsi="Arial" w:cs="Arial"/>
          <w:color w:val="000000" w:themeColor="text1"/>
        </w:rPr>
        <w:t>respondent:</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F24BE3" w:rsidRPr="00C20DEE">
        <w:rPr>
          <w:rFonts w:ascii="Arial" w:hAnsi="Arial" w:cs="Arial"/>
          <w:color w:val="000000" w:themeColor="text1"/>
        </w:rPr>
        <w:t>Adv</w:t>
      </w:r>
      <w:r w:rsidR="00CA6CD3">
        <w:rPr>
          <w:rFonts w:ascii="Arial" w:hAnsi="Arial" w:cs="Arial"/>
          <w:color w:val="000000" w:themeColor="text1"/>
        </w:rPr>
        <w:t xml:space="preserve">. </w:t>
      </w:r>
      <w:r w:rsidR="00F24BE3" w:rsidRPr="00C20DEE">
        <w:rPr>
          <w:rFonts w:ascii="Arial" w:hAnsi="Arial" w:cs="Arial"/>
          <w:color w:val="000000" w:themeColor="text1"/>
        </w:rPr>
        <w:t xml:space="preserve"> </w:t>
      </w:r>
      <w:r w:rsidR="00831273">
        <w:rPr>
          <w:rFonts w:ascii="Arial" w:hAnsi="Arial" w:cs="Arial"/>
          <w:color w:val="000000" w:themeColor="text1"/>
        </w:rPr>
        <w:t>J Ferreira</w:t>
      </w:r>
      <w:r w:rsidR="005B56EE">
        <w:rPr>
          <w:rFonts w:ascii="Arial" w:hAnsi="Arial" w:cs="Arial"/>
          <w:color w:val="000000" w:themeColor="text1"/>
        </w:rPr>
        <w:t xml:space="preserve"> </w:t>
      </w:r>
    </w:p>
    <w:p w:rsidR="00831273" w:rsidRDefault="00831273" w:rsidP="00831273">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Instructed by:</w:t>
      </w:r>
      <w:r>
        <w:rPr>
          <w:rFonts w:ascii="Arial" w:hAnsi="Arial" w:cs="Arial"/>
          <w:color w:val="000000" w:themeColor="text1"/>
        </w:rPr>
        <w:tab/>
        <w:t xml:space="preserve">   Callis Attorneys</w:t>
      </w:r>
    </w:p>
    <w:p w:rsidR="00831273" w:rsidRPr="00C20DEE" w:rsidRDefault="00831273" w:rsidP="00831273">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Pr>
          <w:rFonts w:ascii="Arial" w:hAnsi="Arial" w:cs="Arial"/>
          <w:color w:val="000000" w:themeColor="text1"/>
        </w:rPr>
        <w:tab/>
        <w:t xml:space="preserve">   12 Milner Road .</w:t>
      </w:r>
    </w:p>
    <w:p w:rsidR="00831273" w:rsidRPr="00C20DEE" w:rsidRDefault="00831273" w:rsidP="00831273">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Pr>
          <w:rFonts w:ascii="Arial" w:hAnsi="Arial" w:cs="Arial"/>
          <w:color w:val="000000" w:themeColor="text1"/>
        </w:rPr>
        <w:tab/>
        <w:t xml:space="preserve">    Waverley </w:t>
      </w:r>
      <w:r w:rsidRPr="00C20DEE">
        <w:rPr>
          <w:rFonts w:ascii="Arial" w:hAnsi="Arial" w:cs="Arial"/>
          <w:color w:val="000000" w:themeColor="text1"/>
        </w:rPr>
        <w:t xml:space="preserve"> </w:t>
      </w:r>
    </w:p>
    <w:p w:rsidR="00831273" w:rsidRPr="00C20DEE" w:rsidRDefault="00831273" w:rsidP="00831273">
      <w:pPr>
        <w:tabs>
          <w:tab w:val="left" w:pos="2880"/>
        </w:tabs>
        <w:spacing w:line="360" w:lineRule="auto"/>
        <w:ind w:left="851" w:hanging="851"/>
        <w:rPr>
          <w:rFonts w:ascii="Arial" w:hAnsi="Arial" w:cs="Arial"/>
          <w:color w:val="000000" w:themeColor="text1"/>
        </w:rPr>
      </w:pPr>
      <w:r w:rsidRPr="00C20DEE">
        <w:rPr>
          <w:rFonts w:ascii="Arial" w:hAnsi="Arial" w:cs="Arial"/>
          <w:color w:val="000000" w:themeColor="text1"/>
        </w:rPr>
        <w:t xml:space="preserve">                                        </w:t>
      </w:r>
      <w:r>
        <w:rPr>
          <w:rFonts w:ascii="Arial" w:hAnsi="Arial" w:cs="Arial"/>
          <w:color w:val="000000" w:themeColor="text1"/>
        </w:rPr>
        <w:t xml:space="preserve"> </w:t>
      </w:r>
      <w:r>
        <w:rPr>
          <w:rFonts w:ascii="Arial" w:hAnsi="Arial" w:cs="Arial"/>
          <w:color w:val="000000" w:themeColor="text1"/>
        </w:rPr>
        <w:tab/>
        <w:t xml:space="preserve">      </w:t>
      </w:r>
      <w:r w:rsidRPr="00C20DEE">
        <w:rPr>
          <w:rFonts w:ascii="Arial" w:hAnsi="Arial" w:cs="Arial"/>
          <w:color w:val="000000" w:themeColor="text1"/>
        </w:rPr>
        <w:t>Bloemfontein</w:t>
      </w:r>
    </w:p>
    <w:p w:rsidR="00D82B1F" w:rsidRPr="00C20DEE" w:rsidRDefault="00D82B1F" w:rsidP="002F71C5">
      <w:pPr>
        <w:spacing w:line="360" w:lineRule="auto"/>
        <w:rPr>
          <w:rFonts w:ascii="Arial" w:hAnsi="Arial" w:cs="Arial"/>
          <w:color w:val="000000" w:themeColor="text1"/>
        </w:rPr>
      </w:pPr>
    </w:p>
    <w:p w:rsidR="005960F0" w:rsidRPr="00C20DEE" w:rsidRDefault="005960F0" w:rsidP="002F71C5">
      <w:pPr>
        <w:spacing w:line="360" w:lineRule="auto"/>
        <w:rPr>
          <w:rFonts w:ascii="Arial" w:hAnsi="Arial" w:cs="Arial"/>
          <w:color w:val="000000" w:themeColor="text1"/>
        </w:rPr>
      </w:pPr>
      <w:r w:rsidRPr="00C20DEE">
        <w:rPr>
          <w:rFonts w:ascii="Arial" w:hAnsi="Arial" w:cs="Arial"/>
          <w:color w:val="000000" w:themeColor="text1"/>
        </w:rPr>
        <w:tab/>
      </w:r>
      <w:r w:rsidRPr="00C20DEE">
        <w:rPr>
          <w:rFonts w:ascii="Arial" w:hAnsi="Arial" w:cs="Arial"/>
          <w:color w:val="000000" w:themeColor="text1"/>
        </w:rPr>
        <w:tab/>
      </w:r>
      <w:r w:rsidRPr="00C20DEE">
        <w:rPr>
          <w:rFonts w:ascii="Arial" w:hAnsi="Arial" w:cs="Arial"/>
          <w:color w:val="000000" w:themeColor="text1"/>
        </w:rPr>
        <w:tab/>
      </w:r>
    </w:p>
    <w:p w:rsidR="005960F0" w:rsidRPr="00AE0369" w:rsidRDefault="005960F0" w:rsidP="003F2617">
      <w:pPr>
        <w:spacing w:line="360" w:lineRule="auto"/>
        <w:ind w:left="851" w:hanging="851"/>
        <w:jc w:val="both"/>
        <w:rPr>
          <w:rFonts w:ascii="Arial" w:hAnsi="Arial" w:cs="Arial"/>
          <w:sz w:val="28"/>
          <w:szCs w:val="28"/>
        </w:rPr>
      </w:pPr>
    </w:p>
    <w:sectPr w:rsidR="005960F0" w:rsidRPr="00AE0369" w:rsidSect="00CA6CD3">
      <w:headerReference w:type="default" r:id="rId11"/>
      <w:pgSz w:w="11906" w:h="16838"/>
      <w:pgMar w:top="1440" w:right="1440" w:bottom="164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398" w:rsidRDefault="00337398" w:rsidP="00DA5395">
      <w:r>
        <w:separator/>
      </w:r>
    </w:p>
  </w:endnote>
  <w:endnote w:type="continuationSeparator" w:id="0">
    <w:p w:rsidR="00337398" w:rsidRDefault="00337398" w:rsidP="00DA5395">
      <w:r>
        <w:continuationSeparator/>
      </w:r>
    </w:p>
  </w:endnote>
  <w:endnote w:type="continuationNotice" w:id="1">
    <w:p w:rsidR="00337398" w:rsidRDefault="00337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398" w:rsidRDefault="00337398" w:rsidP="00DA5395">
      <w:r>
        <w:separator/>
      </w:r>
    </w:p>
  </w:footnote>
  <w:footnote w:type="continuationSeparator" w:id="0">
    <w:p w:rsidR="00337398" w:rsidRDefault="00337398" w:rsidP="00DA5395">
      <w:r>
        <w:continuationSeparator/>
      </w:r>
    </w:p>
  </w:footnote>
  <w:footnote w:type="continuationNotice" w:id="1">
    <w:p w:rsidR="00337398" w:rsidRDefault="00337398"/>
  </w:footnote>
  <w:footnote w:id="2">
    <w:p w:rsidR="007A5243" w:rsidRPr="003E7F0C" w:rsidRDefault="007A5243">
      <w:pPr>
        <w:pStyle w:val="FootnoteText"/>
        <w:rPr>
          <w:lang w:val="en-ZA"/>
        </w:rPr>
      </w:pPr>
      <w:r>
        <w:rPr>
          <w:rStyle w:val="FootnoteReference"/>
        </w:rPr>
        <w:footnoteRef/>
      </w:r>
      <w:r>
        <w:t xml:space="preserve"> </w:t>
      </w:r>
      <w:r>
        <w:rPr>
          <w:lang w:val="en-ZA"/>
        </w:rPr>
        <w:t xml:space="preserve">Paragraph 4.1 of the defendant’s heads of argument. </w:t>
      </w:r>
    </w:p>
  </w:footnote>
  <w:footnote w:id="3">
    <w:p w:rsidR="00BC0294" w:rsidRPr="00BC0294" w:rsidRDefault="00BC0294">
      <w:pPr>
        <w:pStyle w:val="FootnoteText"/>
        <w:rPr>
          <w:lang w:val="en-ZA"/>
        </w:rPr>
      </w:pPr>
      <w:r w:rsidRPr="00BC0294">
        <w:rPr>
          <w:vertAlign w:val="superscript"/>
        </w:rPr>
        <w:footnoteRef/>
      </w:r>
      <w:r w:rsidRPr="00BC0294">
        <w:t xml:space="preserve"> Paras 6 and 7 of the Particulars of Claim</w:t>
      </w:r>
      <w:r w:rsidR="00A630A8">
        <w:t xml:space="preserve"> and 9.4 of the Plea</w:t>
      </w:r>
      <w:r w:rsidRPr="00BC0294">
        <w:t>.</w:t>
      </w:r>
    </w:p>
  </w:footnote>
  <w:footnote w:id="4">
    <w:p w:rsidR="007623BF" w:rsidRPr="007623BF" w:rsidRDefault="007623BF">
      <w:pPr>
        <w:pStyle w:val="FootnoteText"/>
        <w:rPr>
          <w:lang w:val="en-ZA"/>
        </w:rPr>
      </w:pPr>
      <w:r>
        <w:rPr>
          <w:rStyle w:val="FootnoteReference"/>
        </w:rPr>
        <w:footnoteRef/>
      </w:r>
      <w:r>
        <w:t xml:space="preserve"> </w:t>
      </w:r>
      <w:r>
        <w:rPr>
          <w:lang w:val="en-ZA"/>
        </w:rPr>
        <w:t xml:space="preserve">Paras 10-13 of the Particulars of Claim and paras and paras 9.5 and 9.6 of the Plea. </w:t>
      </w:r>
    </w:p>
  </w:footnote>
  <w:footnote w:id="5">
    <w:p w:rsidR="002C5BA3" w:rsidRPr="002C5BA3" w:rsidRDefault="002C5BA3">
      <w:pPr>
        <w:pStyle w:val="FootnoteText"/>
        <w:rPr>
          <w:lang w:val="en-ZA"/>
        </w:rPr>
      </w:pPr>
      <w:r>
        <w:rPr>
          <w:rStyle w:val="FootnoteReference"/>
        </w:rPr>
        <w:footnoteRef/>
      </w:r>
      <w:r>
        <w:t xml:space="preserve"> </w:t>
      </w:r>
      <w:r>
        <w:rPr>
          <w:lang w:val="en-ZA"/>
        </w:rPr>
        <w:t>Para 25 of the Particulars of Claim and para 9.16 of the Plea.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43" w:rsidRDefault="00337398">
    <w:pPr>
      <w:pStyle w:val="Header"/>
      <w:jc w:val="right"/>
    </w:pPr>
    <w:sdt>
      <w:sdtPr>
        <w:id w:val="1641074034"/>
        <w:docPartObj>
          <w:docPartGallery w:val="Page Numbers (Top of Page)"/>
          <w:docPartUnique/>
        </w:docPartObj>
      </w:sdtPr>
      <w:sdtEndPr>
        <w:rPr>
          <w:noProof/>
        </w:rPr>
      </w:sdtEndPr>
      <w:sdtContent>
        <w:r w:rsidR="007A5243">
          <w:fldChar w:fldCharType="begin"/>
        </w:r>
        <w:r w:rsidR="007A5243">
          <w:instrText xml:space="preserve"> PAGE   \* MERGEFORMAT </w:instrText>
        </w:r>
        <w:r w:rsidR="007A5243">
          <w:fldChar w:fldCharType="separate"/>
        </w:r>
        <w:r w:rsidR="008604D0">
          <w:rPr>
            <w:noProof/>
          </w:rPr>
          <w:t>5</w:t>
        </w:r>
        <w:r w:rsidR="007A5243">
          <w:rPr>
            <w:noProof/>
          </w:rPr>
          <w:fldChar w:fldCharType="end"/>
        </w:r>
      </w:sdtContent>
    </w:sdt>
  </w:p>
  <w:p w:rsidR="007A5243" w:rsidRDefault="007A52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C34"/>
    <w:multiLevelType w:val="hybridMultilevel"/>
    <w:tmpl w:val="0A604118"/>
    <w:lvl w:ilvl="0" w:tplc="1C090017">
      <w:start w:val="1"/>
      <w:numFmt w:val="lowerLetter"/>
      <w:lvlText w:val="%1)"/>
      <w:lvlJc w:val="left"/>
      <w:pPr>
        <w:ind w:left="1353" w:hanging="360"/>
      </w:p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15:restartNumberingAfterBreak="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FD5810"/>
    <w:multiLevelType w:val="hybridMultilevel"/>
    <w:tmpl w:val="8668C52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1F24E39"/>
    <w:multiLevelType w:val="hybridMultilevel"/>
    <w:tmpl w:val="EB885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CFD5BBE"/>
    <w:multiLevelType w:val="hybridMultilevel"/>
    <w:tmpl w:val="219CE982"/>
    <w:lvl w:ilvl="0" w:tplc="FDA8D7B6">
      <w:start w:val="1"/>
      <w:numFmt w:val="decimal"/>
      <w:lvlText w:val="%1."/>
      <w:lvlJc w:val="left"/>
      <w:pPr>
        <w:ind w:left="987" w:hanging="4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11" w15:restartNumberingAfterBreak="0">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2" w15:restartNumberingAfterBreak="0">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6"/>
  </w:num>
  <w:num w:numId="3">
    <w:abstractNumId w:val="10"/>
  </w:num>
  <w:num w:numId="4">
    <w:abstractNumId w:val="1"/>
  </w:num>
  <w:num w:numId="5">
    <w:abstractNumId w:val="2"/>
  </w:num>
  <w:num w:numId="6">
    <w:abstractNumId w:val="13"/>
  </w:num>
  <w:num w:numId="7">
    <w:abstractNumId w:val="7"/>
  </w:num>
  <w:num w:numId="8">
    <w:abstractNumId w:val="11"/>
  </w:num>
  <w:num w:numId="9">
    <w:abstractNumId w:val="3"/>
  </w:num>
  <w:num w:numId="10">
    <w:abstractNumId w:val="4"/>
  </w:num>
  <w:num w:numId="11">
    <w:abstractNumId w:val="8"/>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yMLcwMjIxNzQzNzZQ0lEKTi0uzszPAykwNKoFAE2UlOktAAAA"/>
  </w:docVars>
  <w:rsids>
    <w:rsidRoot w:val="007C348D"/>
    <w:rsid w:val="000026C2"/>
    <w:rsid w:val="000111F4"/>
    <w:rsid w:val="00013A3F"/>
    <w:rsid w:val="00017C1A"/>
    <w:rsid w:val="0002217F"/>
    <w:rsid w:val="000237D5"/>
    <w:rsid w:val="000312FA"/>
    <w:rsid w:val="00037432"/>
    <w:rsid w:val="00040225"/>
    <w:rsid w:val="00040C9D"/>
    <w:rsid w:val="00041CD0"/>
    <w:rsid w:val="00047074"/>
    <w:rsid w:val="00056043"/>
    <w:rsid w:val="00056E59"/>
    <w:rsid w:val="00056F05"/>
    <w:rsid w:val="00063844"/>
    <w:rsid w:val="00064C98"/>
    <w:rsid w:val="00067989"/>
    <w:rsid w:val="000712B0"/>
    <w:rsid w:val="00076CB8"/>
    <w:rsid w:val="00077E52"/>
    <w:rsid w:val="00080924"/>
    <w:rsid w:val="00080ACE"/>
    <w:rsid w:val="00085FA9"/>
    <w:rsid w:val="00095075"/>
    <w:rsid w:val="000A016A"/>
    <w:rsid w:val="000A4558"/>
    <w:rsid w:val="000A52BA"/>
    <w:rsid w:val="000A647C"/>
    <w:rsid w:val="000B7255"/>
    <w:rsid w:val="000B7705"/>
    <w:rsid w:val="000C3063"/>
    <w:rsid w:val="000C66EC"/>
    <w:rsid w:val="000C72FC"/>
    <w:rsid w:val="000C747A"/>
    <w:rsid w:val="000C77F8"/>
    <w:rsid w:val="000C7CAF"/>
    <w:rsid w:val="000D68EE"/>
    <w:rsid w:val="000E5025"/>
    <w:rsid w:val="000E5BD2"/>
    <w:rsid w:val="000F0D5A"/>
    <w:rsid w:val="000F2881"/>
    <w:rsid w:val="000F713E"/>
    <w:rsid w:val="00101B7F"/>
    <w:rsid w:val="00101FFF"/>
    <w:rsid w:val="00102312"/>
    <w:rsid w:val="0010369D"/>
    <w:rsid w:val="001036C0"/>
    <w:rsid w:val="0011077A"/>
    <w:rsid w:val="00122559"/>
    <w:rsid w:val="0012615F"/>
    <w:rsid w:val="00131CF1"/>
    <w:rsid w:val="00134B44"/>
    <w:rsid w:val="00136A1F"/>
    <w:rsid w:val="00141DCC"/>
    <w:rsid w:val="00143AAA"/>
    <w:rsid w:val="001479EF"/>
    <w:rsid w:val="00150C96"/>
    <w:rsid w:val="00153BD2"/>
    <w:rsid w:val="00157593"/>
    <w:rsid w:val="001575AF"/>
    <w:rsid w:val="00160F7C"/>
    <w:rsid w:val="00161BEC"/>
    <w:rsid w:val="0016393F"/>
    <w:rsid w:val="00166DD4"/>
    <w:rsid w:val="0017063A"/>
    <w:rsid w:val="001842DC"/>
    <w:rsid w:val="001856BF"/>
    <w:rsid w:val="00187391"/>
    <w:rsid w:val="001918A4"/>
    <w:rsid w:val="001920AD"/>
    <w:rsid w:val="001945D3"/>
    <w:rsid w:val="00196B60"/>
    <w:rsid w:val="001A3AC1"/>
    <w:rsid w:val="001A4AE0"/>
    <w:rsid w:val="001A57CE"/>
    <w:rsid w:val="001B34F4"/>
    <w:rsid w:val="001B7DC9"/>
    <w:rsid w:val="001C2172"/>
    <w:rsid w:val="001C6D91"/>
    <w:rsid w:val="001D0A19"/>
    <w:rsid w:val="001D15CD"/>
    <w:rsid w:val="001D54AE"/>
    <w:rsid w:val="001E04F7"/>
    <w:rsid w:val="001E2FDC"/>
    <w:rsid w:val="001E5C90"/>
    <w:rsid w:val="001F5201"/>
    <w:rsid w:val="001F70BD"/>
    <w:rsid w:val="00201579"/>
    <w:rsid w:val="002060ED"/>
    <w:rsid w:val="00212A94"/>
    <w:rsid w:val="002147E3"/>
    <w:rsid w:val="00217700"/>
    <w:rsid w:val="002274E2"/>
    <w:rsid w:val="00230A2D"/>
    <w:rsid w:val="00234018"/>
    <w:rsid w:val="0023461F"/>
    <w:rsid w:val="00234EC4"/>
    <w:rsid w:val="00240AC1"/>
    <w:rsid w:val="00240D77"/>
    <w:rsid w:val="002478B2"/>
    <w:rsid w:val="00251520"/>
    <w:rsid w:val="00251A7C"/>
    <w:rsid w:val="00254945"/>
    <w:rsid w:val="00261FF7"/>
    <w:rsid w:val="002627AF"/>
    <w:rsid w:val="002727D6"/>
    <w:rsid w:val="002734F8"/>
    <w:rsid w:val="00277577"/>
    <w:rsid w:val="0027763B"/>
    <w:rsid w:val="00286EB0"/>
    <w:rsid w:val="00286F23"/>
    <w:rsid w:val="0029022F"/>
    <w:rsid w:val="002911AF"/>
    <w:rsid w:val="002938AA"/>
    <w:rsid w:val="002A46BB"/>
    <w:rsid w:val="002A521C"/>
    <w:rsid w:val="002A60B8"/>
    <w:rsid w:val="002A61D2"/>
    <w:rsid w:val="002A62A7"/>
    <w:rsid w:val="002A631E"/>
    <w:rsid w:val="002A6BEB"/>
    <w:rsid w:val="002A7CB0"/>
    <w:rsid w:val="002A7D4B"/>
    <w:rsid w:val="002B0A9D"/>
    <w:rsid w:val="002B27AB"/>
    <w:rsid w:val="002B369A"/>
    <w:rsid w:val="002B48A4"/>
    <w:rsid w:val="002C0225"/>
    <w:rsid w:val="002C5414"/>
    <w:rsid w:val="002C5BA3"/>
    <w:rsid w:val="002D3664"/>
    <w:rsid w:val="002D5E30"/>
    <w:rsid w:val="002E0D26"/>
    <w:rsid w:val="002E15CB"/>
    <w:rsid w:val="002F0F74"/>
    <w:rsid w:val="002F4685"/>
    <w:rsid w:val="002F71C5"/>
    <w:rsid w:val="00302D2B"/>
    <w:rsid w:val="003036C9"/>
    <w:rsid w:val="0030603E"/>
    <w:rsid w:val="003065ED"/>
    <w:rsid w:val="00313061"/>
    <w:rsid w:val="00314887"/>
    <w:rsid w:val="00316479"/>
    <w:rsid w:val="00322CD8"/>
    <w:rsid w:val="00323B17"/>
    <w:rsid w:val="00326787"/>
    <w:rsid w:val="00327340"/>
    <w:rsid w:val="00331CAF"/>
    <w:rsid w:val="00337398"/>
    <w:rsid w:val="00343972"/>
    <w:rsid w:val="003448E3"/>
    <w:rsid w:val="003460C5"/>
    <w:rsid w:val="003472FC"/>
    <w:rsid w:val="0035047C"/>
    <w:rsid w:val="00351967"/>
    <w:rsid w:val="00352BB3"/>
    <w:rsid w:val="00356771"/>
    <w:rsid w:val="0036522C"/>
    <w:rsid w:val="003667D6"/>
    <w:rsid w:val="00366E58"/>
    <w:rsid w:val="00372841"/>
    <w:rsid w:val="00374D49"/>
    <w:rsid w:val="003805E1"/>
    <w:rsid w:val="00383432"/>
    <w:rsid w:val="00385141"/>
    <w:rsid w:val="003863FA"/>
    <w:rsid w:val="003878BB"/>
    <w:rsid w:val="00390B72"/>
    <w:rsid w:val="003A318A"/>
    <w:rsid w:val="003A5F5D"/>
    <w:rsid w:val="003A73D0"/>
    <w:rsid w:val="003B15D1"/>
    <w:rsid w:val="003B1CBE"/>
    <w:rsid w:val="003B3C7C"/>
    <w:rsid w:val="003B4BB1"/>
    <w:rsid w:val="003B4C68"/>
    <w:rsid w:val="003D399B"/>
    <w:rsid w:val="003E07F9"/>
    <w:rsid w:val="003E7F0C"/>
    <w:rsid w:val="003E7FE1"/>
    <w:rsid w:val="003F2617"/>
    <w:rsid w:val="003F2D1B"/>
    <w:rsid w:val="003F410D"/>
    <w:rsid w:val="004041CC"/>
    <w:rsid w:val="00404459"/>
    <w:rsid w:val="004053E0"/>
    <w:rsid w:val="004141A2"/>
    <w:rsid w:val="0041482F"/>
    <w:rsid w:val="00416341"/>
    <w:rsid w:val="0041714C"/>
    <w:rsid w:val="0042055E"/>
    <w:rsid w:val="0042280C"/>
    <w:rsid w:val="004337BE"/>
    <w:rsid w:val="0043720B"/>
    <w:rsid w:val="00441D7B"/>
    <w:rsid w:val="0044778C"/>
    <w:rsid w:val="00447C28"/>
    <w:rsid w:val="00450DA4"/>
    <w:rsid w:val="004517E2"/>
    <w:rsid w:val="004537CD"/>
    <w:rsid w:val="0046504C"/>
    <w:rsid w:val="00467392"/>
    <w:rsid w:val="00471479"/>
    <w:rsid w:val="004749DA"/>
    <w:rsid w:val="0048162C"/>
    <w:rsid w:val="00482AAD"/>
    <w:rsid w:val="00491045"/>
    <w:rsid w:val="004919CD"/>
    <w:rsid w:val="0049477D"/>
    <w:rsid w:val="004A182B"/>
    <w:rsid w:val="004A20A8"/>
    <w:rsid w:val="004A3257"/>
    <w:rsid w:val="004A56AE"/>
    <w:rsid w:val="004C20DC"/>
    <w:rsid w:val="004C368F"/>
    <w:rsid w:val="004C506F"/>
    <w:rsid w:val="004D51E4"/>
    <w:rsid w:val="004D63AD"/>
    <w:rsid w:val="004E0B29"/>
    <w:rsid w:val="004E2339"/>
    <w:rsid w:val="004E243D"/>
    <w:rsid w:val="004E2F99"/>
    <w:rsid w:val="004E3022"/>
    <w:rsid w:val="004E54EB"/>
    <w:rsid w:val="004F2723"/>
    <w:rsid w:val="004F3F06"/>
    <w:rsid w:val="004F5E70"/>
    <w:rsid w:val="004F793E"/>
    <w:rsid w:val="0050073B"/>
    <w:rsid w:val="00500FBB"/>
    <w:rsid w:val="005013E3"/>
    <w:rsid w:val="0050544E"/>
    <w:rsid w:val="00507297"/>
    <w:rsid w:val="0051095E"/>
    <w:rsid w:val="0051159C"/>
    <w:rsid w:val="00513DBB"/>
    <w:rsid w:val="00533A9E"/>
    <w:rsid w:val="0054066D"/>
    <w:rsid w:val="005413D9"/>
    <w:rsid w:val="005459C8"/>
    <w:rsid w:val="00554B8B"/>
    <w:rsid w:val="00557008"/>
    <w:rsid w:val="0056286B"/>
    <w:rsid w:val="00571C4A"/>
    <w:rsid w:val="005835FE"/>
    <w:rsid w:val="00584EC5"/>
    <w:rsid w:val="005851C9"/>
    <w:rsid w:val="00586501"/>
    <w:rsid w:val="00591CD2"/>
    <w:rsid w:val="00592DD6"/>
    <w:rsid w:val="0059404A"/>
    <w:rsid w:val="005960F0"/>
    <w:rsid w:val="00596990"/>
    <w:rsid w:val="00597EFA"/>
    <w:rsid w:val="005A232B"/>
    <w:rsid w:val="005A6F9D"/>
    <w:rsid w:val="005B271F"/>
    <w:rsid w:val="005B56EE"/>
    <w:rsid w:val="005B5C14"/>
    <w:rsid w:val="005C1241"/>
    <w:rsid w:val="005D0070"/>
    <w:rsid w:val="005D0D19"/>
    <w:rsid w:val="005D6CBF"/>
    <w:rsid w:val="005E0068"/>
    <w:rsid w:val="005E18AD"/>
    <w:rsid w:val="005E2A13"/>
    <w:rsid w:val="005E61AB"/>
    <w:rsid w:val="005F349B"/>
    <w:rsid w:val="005F65D4"/>
    <w:rsid w:val="00600E51"/>
    <w:rsid w:val="006057B5"/>
    <w:rsid w:val="00620500"/>
    <w:rsid w:val="0062222E"/>
    <w:rsid w:val="006231E0"/>
    <w:rsid w:val="00623854"/>
    <w:rsid w:val="00625250"/>
    <w:rsid w:val="00626E98"/>
    <w:rsid w:val="00626FFB"/>
    <w:rsid w:val="00634F46"/>
    <w:rsid w:val="00640D44"/>
    <w:rsid w:val="0064106F"/>
    <w:rsid w:val="00645452"/>
    <w:rsid w:val="0064795D"/>
    <w:rsid w:val="0065472D"/>
    <w:rsid w:val="00656276"/>
    <w:rsid w:val="0065643B"/>
    <w:rsid w:val="00666EAC"/>
    <w:rsid w:val="00667E39"/>
    <w:rsid w:val="00667F63"/>
    <w:rsid w:val="006751B4"/>
    <w:rsid w:val="00675401"/>
    <w:rsid w:val="006764FB"/>
    <w:rsid w:val="00677957"/>
    <w:rsid w:val="00682AD5"/>
    <w:rsid w:val="00684F83"/>
    <w:rsid w:val="00686BC3"/>
    <w:rsid w:val="006946C4"/>
    <w:rsid w:val="006A035D"/>
    <w:rsid w:val="006A1F93"/>
    <w:rsid w:val="006A47FB"/>
    <w:rsid w:val="006A5612"/>
    <w:rsid w:val="006B44D4"/>
    <w:rsid w:val="006C0F71"/>
    <w:rsid w:val="006C3953"/>
    <w:rsid w:val="006C6668"/>
    <w:rsid w:val="006C7746"/>
    <w:rsid w:val="006D055C"/>
    <w:rsid w:val="006D6CC4"/>
    <w:rsid w:val="006D6F69"/>
    <w:rsid w:val="006E0733"/>
    <w:rsid w:val="006E0CE0"/>
    <w:rsid w:val="006F0695"/>
    <w:rsid w:val="006F3811"/>
    <w:rsid w:val="006F48A0"/>
    <w:rsid w:val="007013A6"/>
    <w:rsid w:val="007033AB"/>
    <w:rsid w:val="00704FD9"/>
    <w:rsid w:val="00707BA7"/>
    <w:rsid w:val="007111DC"/>
    <w:rsid w:val="00713FEB"/>
    <w:rsid w:val="00721246"/>
    <w:rsid w:val="00724EA2"/>
    <w:rsid w:val="0072655E"/>
    <w:rsid w:val="00727414"/>
    <w:rsid w:val="00731AE7"/>
    <w:rsid w:val="00732FC4"/>
    <w:rsid w:val="0074371E"/>
    <w:rsid w:val="00743DC7"/>
    <w:rsid w:val="00744550"/>
    <w:rsid w:val="00750200"/>
    <w:rsid w:val="00751FB3"/>
    <w:rsid w:val="00752379"/>
    <w:rsid w:val="00754E32"/>
    <w:rsid w:val="007623BF"/>
    <w:rsid w:val="00767383"/>
    <w:rsid w:val="0077094C"/>
    <w:rsid w:val="00773FDF"/>
    <w:rsid w:val="00774C0A"/>
    <w:rsid w:val="007777E7"/>
    <w:rsid w:val="00781F07"/>
    <w:rsid w:val="0078679D"/>
    <w:rsid w:val="00786C0C"/>
    <w:rsid w:val="00790326"/>
    <w:rsid w:val="00791006"/>
    <w:rsid w:val="00791911"/>
    <w:rsid w:val="0079284C"/>
    <w:rsid w:val="007952B2"/>
    <w:rsid w:val="00797293"/>
    <w:rsid w:val="007A0ECC"/>
    <w:rsid w:val="007A17CA"/>
    <w:rsid w:val="007A2DC1"/>
    <w:rsid w:val="007A5243"/>
    <w:rsid w:val="007A6A8A"/>
    <w:rsid w:val="007B6502"/>
    <w:rsid w:val="007C2356"/>
    <w:rsid w:val="007C348D"/>
    <w:rsid w:val="007C7112"/>
    <w:rsid w:val="007C7494"/>
    <w:rsid w:val="007C77B3"/>
    <w:rsid w:val="007D0A88"/>
    <w:rsid w:val="007D1CFA"/>
    <w:rsid w:val="007D4A7C"/>
    <w:rsid w:val="007D7B19"/>
    <w:rsid w:val="007E14F4"/>
    <w:rsid w:val="007E3399"/>
    <w:rsid w:val="007E61BB"/>
    <w:rsid w:val="007E7AEF"/>
    <w:rsid w:val="007F2630"/>
    <w:rsid w:val="007F4F13"/>
    <w:rsid w:val="007F6B5A"/>
    <w:rsid w:val="00800164"/>
    <w:rsid w:val="00800C08"/>
    <w:rsid w:val="008014A3"/>
    <w:rsid w:val="00804DDE"/>
    <w:rsid w:val="00810079"/>
    <w:rsid w:val="00810F9B"/>
    <w:rsid w:val="00812151"/>
    <w:rsid w:val="00816F15"/>
    <w:rsid w:val="00820441"/>
    <w:rsid w:val="00831273"/>
    <w:rsid w:val="008318BF"/>
    <w:rsid w:val="00831EAA"/>
    <w:rsid w:val="00832EED"/>
    <w:rsid w:val="00836CB3"/>
    <w:rsid w:val="00841883"/>
    <w:rsid w:val="00843543"/>
    <w:rsid w:val="0084509E"/>
    <w:rsid w:val="00845D99"/>
    <w:rsid w:val="00852739"/>
    <w:rsid w:val="00854D9F"/>
    <w:rsid w:val="008604D0"/>
    <w:rsid w:val="00861568"/>
    <w:rsid w:val="008632D0"/>
    <w:rsid w:val="00867AE3"/>
    <w:rsid w:val="008735C1"/>
    <w:rsid w:val="00873B81"/>
    <w:rsid w:val="0087534B"/>
    <w:rsid w:val="00875729"/>
    <w:rsid w:val="00876CD8"/>
    <w:rsid w:val="008803C0"/>
    <w:rsid w:val="00880BB3"/>
    <w:rsid w:val="00880E12"/>
    <w:rsid w:val="008826B9"/>
    <w:rsid w:val="00882721"/>
    <w:rsid w:val="0088439F"/>
    <w:rsid w:val="00884F75"/>
    <w:rsid w:val="008856D0"/>
    <w:rsid w:val="00886572"/>
    <w:rsid w:val="00887767"/>
    <w:rsid w:val="00891F14"/>
    <w:rsid w:val="00894EEF"/>
    <w:rsid w:val="008957B5"/>
    <w:rsid w:val="008A4A0D"/>
    <w:rsid w:val="008A5D23"/>
    <w:rsid w:val="008A6057"/>
    <w:rsid w:val="008B0433"/>
    <w:rsid w:val="008B1A3F"/>
    <w:rsid w:val="008B68F7"/>
    <w:rsid w:val="008B6B38"/>
    <w:rsid w:val="008C0F83"/>
    <w:rsid w:val="008D09E3"/>
    <w:rsid w:val="008D11BE"/>
    <w:rsid w:val="008D1B36"/>
    <w:rsid w:val="008E251E"/>
    <w:rsid w:val="008E57BF"/>
    <w:rsid w:val="008F568D"/>
    <w:rsid w:val="00902E43"/>
    <w:rsid w:val="00905A58"/>
    <w:rsid w:val="00914772"/>
    <w:rsid w:val="00920087"/>
    <w:rsid w:val="00923A6E"/>
    <w:rsid w:val="00924386"/>
    <w:rsid w:val="00931298"/>
    <w:rsid w:val="00933041"/>
    <w:rsid w:val="009346A8"/>
    <w:rsid w:val="00935CE2"/>
    <w:rsid w:val="00940F33"/>
    <w:rsid w:val="00940F60"/>
    <w:rsid w:val="00942E10"/>
    <w:rsid w:val="0094409C"/>
    <w:rsid w:val="0094642F"/>
    <w:rsid w:val="00947102"/>
    <w:rsid w:val="00947956"/>
    <w:rsid w:val="00947981"/>
    <w:rsid w:val="00951E22"/>
    <w:rsid w:val="00952DC9"/>
    <w:rsid w:val="00955D06"/>
    <w:rsid w:val="009561EF"/>
    <w:rsid w:val="009638BA"/>
    <w:rsid w:val="009649B7"/>
    <w:rsid w:val="00966918"/>
    <w:rsid w:val="009674B3"/>
    <w:rsid w:val="0097522B"/>
    <w:rsid w:val="0097658B"/>
    <w:rsid w:val="00976AE3"/>
    <w:rsid w:val="00976C0D"/>
    <w:rsid w:val="00981B3F"/>
    <w:rsid w:val="009827EF"/>
    <w:rsid w:val="00982D0A"/>
    <w:rsid w:val="0098408B"/>
    <w:rsid w:val="0098467C"/>
    <w:rsid w:val="009866DB"/>
    <w:rsid w:val="00991A24"/>
    <w:rsid w:val="00991BA9"/>
    <w:rsid w:val="00993226"/>
    <w:rsid w:val="00994B47"/>
    <w:rsid w:val="00995AC9"/>
    <w:rsid w:val="00996143"/>
    <w:rsid w:val="009A44AB"/>
    <w:rsid w:val="009A4CAC"/>
    <w:rsid w:val="009B26F3"/>
    <w:rsid w:val="009B3B0E"/>
    <w:rsid w:val="009B3CCA"/>
    <w:rsid w:val="009C0F11"/>
    <w:rsid w:val="009C219E"/>
    <w:rsid w:val="009C6260"/>
    <w:rsid w:val="009C6ADB"/>
    <w:rsid w:val="009D1A85"/>
    <w:rsid w:val="009E06E4"/>
    <w:rsid w:val="009E1BC0"/>
    <w:rsid w:val="009E40F8"/>
    <w:rsid w:val="009E469A"/>
    <w:rsid w:val="009E47FD"/>
    <w:rsid w:val="009F6077"/>
    <w:rsid w:val="00A00820"/>
    <w:rsid w:val="00A01419"/>
    <w:rsid w:val="00A0200E"/>
    <w:rsid w:val="00A052C7"/>
    <w:rsid w:val="00A103A2"/>
    <w:rsid w:val="00A1097F"/>
    <w:rsid w:val="00A12087"/>
    <w:rsid w:val="00A13C97"/>
    <w:rsid w:val="00A2266C"/>
    <w:rsid w:val="00A23389"/>
    <w:rsid w:val="00A353EF"/>
    <w:rsid w:val="00A35B69"/>
    <w:rsid w:val="00A407C4"/>
    <w:rsid w:val="00A411FF"/>
    <w:rsid w:val="00A556CC"/>
    <w:rsid w:val="00A630A8"/>
    <w:rsid w:val="00A6647A"/>
    <w:rsid w:val="00A74B52"/>
    <w:rsid w:val="00A75260"/>
    <w:rsid w:val="00A75D65"/>
    <w:rsid w:val="00A80708"/>
    <w:rsid w:val="00A816FD"/>
    <w:rsid w:val="00A81C7A"/>
    <w:rsid w:val="00A8530D"/>
    <w:rsid w:val="00A8690C"/>
    <w:rsid w:val="00A907A0"/>
    <w:rsid w:val="00A90D5C"/>
    <w:rsid w:val="00A91727"/>
    <w:rsid w:val="00A96D6D"/>
    <w:rsid w:val="00A9771A"/>
    <w:rsid w:val="00AA11ED"/>
    <w:rsid w:val="00AA1EF4"/>
    <w:rsid w:val="00AA22AB"/>
    <w:rsid w:val="00AA31A4"/>
    <w:rsid w:val="00AA415F"/>
    <w:rsid w:val="00AC0DC9"/>
    <w:rsid w:val="00AC20B0"/>
    <w:rsid w:val="00AC5040"/>
    <w:rsid w:val="00AC585D"/>
    <w:rsid w:val="00AC5AA4"/>
    <w:rsid w:val="00AD516D"/>
    <w:rsid w:val="00AD5191"/>
    <w:rsid w:val="00AD6579"/>
    <w:rsid w:val="00AE0369"/>
    <w:rsid w:val="00AE048A"/>
    <w:rsid w:val="00AE1391"/>
    <w:rsid w:val="00AE29A3"/>
    <w:rsid w:val="00AE31F1"/>
    <w:rsid w:val="00AE3AEB"/>
    <w:rsid w:val="00AF43A4"/>
    <w:rsid w:val="00AF514C"/>
    <w:rsid w:val="00AF61C4"/>
    <w:rsid w:val="00AF7950"/>
    <w:rsid w:val="00B0296B"/>
    <w:rsid w:val="00B06CFE"/>
    <w:rsid w:val="00B11417"/>
    <w:rsid w:val="00B20C6E"/>
    <w:rsid w:val="00B225BE"/>
    <w:rsid w:val="00B23609"/>
    <w:rsid w:val="00B307E3"/>
    <w:rsid w:val="00B30B07"/>
    <w:rsid w:val="00B32C75"/>
    <w:rsid w:val="00B33F61"/>
    <w:rsid w:val="00B405D0"/>
    <w:rsid w:val="00B465B1"/>
    <w:rsid w:val="00B47B09"/>
    <w:rsid w:val="00B50934"/>
    <w:rsid w:val="00B50972"/>
    <w:rsid w:val="00B50C73"/>
    <w:rsid w:val="00B52EE0"/>
    <w:rsid w:val="00B60E9F"/>
    <w:rsid w:val="00B7604C"/>
    <w:rsid w:val="00B91154"/>
    <w:rsid w:val="00BA03D2"/>
    <w:rsid w:val="00BA06F5"/>
    <w:rsid w:val="00BA16DE"/>
    <w:rsid w:val="00BA5977"/>
    <w:rsid w:val="00BA5A85"/>
    <w:rsid w:val="00BA7A5E"/>
    <w:rsid w:val="00BB3644"/>
    <w:rsid w:val="00BB48A3"/>
    <w:rsid w:val="00BC0294"/>
    <w:rsid w:val="00BC07EE"/>
    <w:rsid w:val="00BC3C7C"/>
    <w:rsid w:val="00BC40A8"/>
    <w:rsid w:val="00BC6D21"/>
    <w:rsid w:val="00BD1084"/>
    <w:rsid w:val="00BD6072"/>
    <w:rsid w:val="00BD667B"/>
    <w:rsid w:val="00BD6800"/>
    <w:rsid w:val="00BD74D6"/>
    <w:rsid w:val="00BE036F"/>
    <w:rsid w:val="00BE1A6F"/>
    <w:rsid w:val="00BE1B9D"/>
    <w:rsid w:val="00BE4C43"/>
    <w:rsid w:val="00BE4E23"/>
    <w:rsid w:val="00BE596A"/>
    <w:rsid w:val="00BF2C8F"/>
    <w:rsid w:val="00C018D6"/>
    <w:rsid w:val="00C01D44"/>
    <w:rsid w:val="00C02899"/>
    <w:rsid w:val="00C03623"/>
    <w:rsid w:val="00C059E6"/>
    <w:rsid w:val="00C104C3"/>
    <w:rsid w:val="00C12C90"/>
    <w:rsid w:val="00C140A6"/>
    <w:rsid w:val="00C15C47"/>
    <w:rsid w:val="00C16854"/>
    <w:rsid w:val="00C17082"/>
    <w:rsid w:val="00C20DEE"/>
    <w:rsid w:val="00C25D62"/>
    <w:rsid w:val="00C268C9"/>
    <w:rsid w:val="00C26DB3"/>
    <w:rsid w:val="00C31C9E"/>
    <w:rsid w:val="00C50575"/>
    <w:rsid w:val="00C5125B"/>
    <w:rsid w:val="00C530E4"/>
    <w:rsid w:val="00C563B8"/>
    <w:rsid w:val="00C64063"/>
    <w:rsid w:val="00C6681F"/>
    <w:rsid w:val="00C718A1"/>
    <w:rsid w:val="00C84EA3"/>
    <w:rsid w:val="00C909A0"/>
    <w:rsid w:val="00C945EA"/>
    <w:rsid w:val="00C97E9F"/>
    <w:rsid w:val="00CA08E2"/>
    <w:rsid w:val="00CA3147"/>
    <w:rsid w:val="00CA3518"/>
    <w:rsid w:val="00CA59F8"/>
    <w:rsid w:val="00CA6CD3"/>
    <w:rsid w:val="00CC3553"/>
    <w:rsid w:val="00CD152C"/>
    <w:rsid w:val="00CD17CC"/>
    <w:rsid w:val="00CD509B"/>
    <w:rsid w:val="00CD5827"/>
    <w:rsid w:val="00CD6A8C"/>
    <w:rsid w:val="00CE04B1"/>
    <w:rsid w:val="00CE0B31"/>
    <w:rsid w:val="00CE39C4"/>
    <w:rsid w:val="00CE3C75"/>
    <w:rsid w:val="00CE7811"/>
    <w:rsid w:val="00CF3D71"/>
    <w:rsid w:val="00D01B62"/>
    <w:rsid w:val="00D02BAA"/>
    <w:rsid w:val="00D040DC"/>
    <w:rsid w:val="00D07643"/>
    <w:rsid w:val="00D11CE4"/>
    <w:rsid w:val="00D15916"/>
    <w:rsid w:val="00D15D77"/>
    <w:rsid w:val="00D221EC"/>
    <w:rsid w:val="00D233B3"/>
    <w:rsid w:val="00D26E04"/>
    <w:rsid w:val="00D320F8"/>
    <w:rsid w:val="00D41D5B"/>
    <w:rsid w:val="00D427B2"/>
    <w:rsid w:val="00D50A42"/>
    <w:rsid w:val="00D55F80"/>
    <w:rsid w:val="00D5780C"/>
    <w:rsid w:val="00D63F82"/>
    <w:rsid w:val="00D74600"/>
    <w:rsid w:val="00D75B83"/>
    <w:rsid w:val="00D7687C"/>
    <w:rsid w:val="00D77923"/>
    <w:rsid w:val="00D82B1F"/>
    <w:rsid w:val="00D84EC5"/>
    <w:rsid w:val="00D86060"/>
    <w:rsid w:val="00D863C5"/>
    <w:rsid w:val="00D918E8"/>
    <w:rsid w:val="00D9526F"/>
    <w:rsid w:val="00DA335C"/>
    <w:rsid w:val="00DA5395"/>
    <w:rsid w:val="00DB3CA2"/>
    <w:rsid w:val="00DB5D24"/>
    <w:rsid w:val="00DB7619"/>
    <w:rsid w:val="00DC3E15"/>
    <w:rsid w:val="00DC52EF"/>
    <w:rsid w:val="00DC5A12"/>
    <w:rsid w:val="00DC6873"/>
    <w:rsid w:val="00DE0ED3"/>
    <w:rsid w:val="00DE5AA8"/>
    <w:rsid w:val="00DE7A1B"/>
    <w:rsid w:val="00DF15E9"/>
    <w:rsid w:val="00DF20C2"/>
    <w:rsid w:val="00E00552"/>
    <w:rsid w:val="00E011A2"/>
    <w:rsid w:val="00E01BBD"/>
    <w:rsid w:val="00E03FBA"/>
    <w:rsid w:val="00E050C1"/>
    <w:rsid w:val="00E07B48"/>
    <w:rsid w:val="00E07E9A"/>
    <w:rsid w:val="00E12897"/>
    <w:rsid w:val="00E13F80"/>
    <w:rsid w:val="00E176D6"/>
    <w:rsid w:val="00E20CC4"/>
    <w:rsid w:val="00E219EE"/>
    <w:rsid w:val="00E23295"/>
    <w:rsid w:val="00E25A71"/>
    <w:rsid w:val="00E31301"/>
    <w:rsid w:val="00E31B13"/>
    <w:rsid w:val="00E35BBD"/>
    <w:rsid w:val="00E3784E"/>
    <w:rsid w:val="00E42996"/>
    <w:rsid w:val="00E42DA6"/>
    <w:rsid w:val="00E437F5"/>
    <w:rsid w:val="00E45D44"/>
    <w:rsid w:val="00E46434"/>
    <w:rsid w:val="00E51FE8"/>
    <w:rsid w:val="00E5481E"/>
    <w:rsid w:val="00E5549C"/>
    <w:rsid w:val="00E64F07"/>
    <w:rsid w:val="00E6513F"/>
    <w:rsid w:val="00E660B0"/>
    <w:rsid w:val="00E661CA"/>
    <w:rsid w:val="00E71D96"/>
    <w:rsid w:val="00E72866"/>
    <w:rsid w:val="00E73780"/>
    <w:rsid w:val="00E74814"/>
    <w:rsid w:val="00E74E84"/>
    <w:rsid w:val="00E75816"/>
    <w:rsid w:val="00E820D5"/>
    <w:rsid w:val="00E82712"/>
    <w:rsid w:val="00E9198F"/>
    <w:rsid w:val="00E9554F"/>
    <w:rsid w:val="00E9678B"/>
    <w:rsid w:val="00E97B54"/>
    <w:rsid w:val="00EA0BBA"/>
    <w:rsid w:val="00EA117F"/>
    <w:rsid w:val="00EA1EE4"/>
    <w:rsid w:val="00EA291E"/>
    <w:rsid w:val="00EA5959"/>
    <w:rsid w:val="00EA598D"/>
    <w:rsid w:val="00EA5C86"/>
    <w:rsid w:val="00EA618C"/>
    <w:rsid w:val="00EA6982"/>
    <w:rsid w:val="00EA6A77"/>
    <w:rsid w:val="00EC40DB"/>
    <w:rsid w:val="00EC41C6"/>
    <w:rsid w:val="00EC5A17"/>
    <w:rsid w:val="00ED066F"/>
    <w:rsid w:val="00ED47B4"/>
    <w:rsid w:val="00ED5BEE"/>
    <w:rsid w:val="00EE4AE3"/>
    <w:rsid w:val="00EF11A8"/>
    <w:rsid w:val="00EF412E"/>
    <w:rsid w:val="00EF4306"/>
    <w:rsid w:val="00EF5325"/>
    <w:rsid w:val="00EF5A67"/>
    <w:rsid w:val="00EF7ECB"/>
    <w:rsid w:val="00F00701"/>
    <w:rsid w:val="00F0291B"/>
    <w:rsid w:val="00F14259"/>
    <w:rsid w:val="00F14654"/>
    <w:rsid w:val="00F14C4E"/>
    <w:rsid w:val="00F15380"/>
    <w:rsid w:val="00F15DB4"/>
    <w:rsid w:val="00F24009"/>
    <w:rsid w:val="00F24BE3"/>
    <w:rsid w:val="00F32BD8"/>
    <w:rsid w:val="00F34933"/>
    <w:rsid w:val="00F36C5E"/>
    <w:rsid w:val="00F3703A"/>
    <w:rsid w:val="00F424AC"/>
    <w:rsid w:val="00F4367F"/>
    <w:rsid w:val="00F43C20"/>
    <w:rsid w:val="00F445DD"/>
    <w:rsid w:val="00F479DC"/>
    <w:rsid w:val="00F527A2"/>
    <w:rsid w:val="00F53D4E"/>
    <w:rsid w:val="00F615A3"/>
    <w:rsid w:val="00F62A42"/>
    <w:rsid w:val="00F66242"/>
    <w:rsid w:val="00F7034E"/>
    <w:rsid w:val="00F70604"/>
    <w:rsid w:val="00F7253E"/>
    <w:rsid w:val="00F72F09"/>
    <w:rsid w:val="00F72FA7"/>
    <w:rsid w:val="00F73D45"/>
    <w:rsid w:val="00F75C21"/>
    <w:rsid w:val="00F76873"/>
    <w:rsid w:val="00F772F9"/>
    <w:rsid w:val="00F776C0"/>
    <w:rsid w:val="00F80F0B"/>
    <w:rsid w:val="00F81A66"/>
    <w:rsid w:val="00F81C76"/>
    <w:rsid w:val="00F87E7C"/>
    <w:rsid w:val="00F90B4F"/>
    <w:rsid w:val="00F934F6"/>
    <w:rsid w:val="00F940D0"/>
    <w:rsid w:val="00F96DA9"/>
    <w:rsid w:val="00F96F3C"/>
    <w:rsid w:val="00FA0BBD"/>
    <w:rsid w:val="00FA2ED1"/>
    <w:rsid w:val="00FA70CA"/>
    <w:rsid w:val="00FA7405"/>
    <w:rsid w:val="00FA776F"/>
    <w:rsid w:val="00FA7912"/>
    <w:rsid w:val="00FB7BB4"/>
    <w:rsid w:val="00FD19ED"/>
    <w:rsid w:val="00FE0EE1"/>
    <w:rsid w:val="00FE4E83"/>
    <w:rsid w:val="00FE54D4"/>
    <w:rsid w:val="00FF49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unhideWhenUsed/>
    <w:rsid w:val="00331CAF"/>
    <w:rPr>
      <w:color w:val="0000FF"/>
      <w:u w:val="single"/>
    </w:rPr>
  </w:style>
  <w:style w:type="paragraph" w:customStyle="1" w:styleId="casehead1">
    <w:name w:val="casehead1"/>
    <w:basedOn w:val="Normal"/>
    <w:rsid w:val="00C909A0"/>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97805">
      <w:bodyDiv w:val="1"/>
      <w:marLeft w:val="0"/>
      <w:marRight w:val="0"/>
      <w:marTop w:val="0"/>
      <w:marBottom w:val="0"/>
      <w:divBdr>
        <w:top w:val="none" w:sz="0" w:space="0" w:color="auto"/>
        <w:left w:val="none" w:sz="0" w:space="0" w:color="auto"/>
        <w:bottom w:val="none" w:sz="0" w:space="0" w:color="auto"/>
        <w:right w:val="none" w:sz="0" w:space="0" w:color="auto"/>
      </w:divBdr>
      <w:divsChild>
        <w:div w:id="2097089434">
          <w:marLeft w:val="0"/>
          <w:marRight w:val="0"/>
          <w:marTop w:val="120"/>
          <w:marBottom w:val="0"/>
          <w:divBdr>
            <w:top w:val="none" w:sz="0" w:space="0" w:color="auto"/>
            <w:left w:val="none" w:sz="0" w:space="0" w:color="auto"/>
            <w:bottom w:val="none" w:sz="0" w:space="0" w:color="auto"/>
            <w:right w:val="none" w:sz="0" w:space="0" w:color="auto"/>
          </w:divBdr>
        </w:div>
      </w:divsChild>
    </w:div>
    <w:div w:id="1051199123">
      <w:bodyDiv w:val="1"/>
      <w:marLeft w:val="0"/>
      <w:marRight w:val="0"/>
      <w:marTop w:val="0"/>
      <w:marBottom w:val="0"/>
      <w:divBdr>
        <w:top w:val="none" w:sz="0" w:space="0" w:color="auto"/>
        <w:left w:val="none" w:sz="0" w:space="0" w:color="auto"/>
        <w:bottom w:val="none" w:sz="0" w:space="0" w:color="auto"/>
        <w:right w:val="none" w:sz="0" w:space="0" w:color="auto"/>
      </w:divBdr>
      <w:divsChild>
        <w:div w:id="1420834934">
          <w:marLeft w:val="0"/>
          <w:marRight w:val="0"/>
          <w:marTop w:val="120"/>
          <w:marBottom w:val="0"/>
          <w:divBdr>
            <w:top w:val="none" w:sz="0" w:space="0" w:color="auto"/>
            <w:left w:val="none" w:sz="0" w:space="0" w:color="auto"/>
            <w:bottom w:val="none" w:sz="0" w:space="0" w:color="auto"/>
            <w:right w:val="none" w:sz="0" w:space="0" w:color="auto"/>
          </w:divBdr>
        </w:div>
        <w:div w:id="844172336">
          <w:marLeft w:val="0"/>
          <w:marRight w:val="0"/>
          <w:marTop w:val="240"/>
          <w:marBottom w:val="24"/>
          <w:divBdr>
            <w:top w:val="single" w:sz="8" w:space="2" w:color="808080"/>
            <w:left w:val="none" w:sz="0" w:space="0" w:color="auto"/>
            <w:bottom w:val="none" w:sz="0" w:space="0" w:color="auto"/>
            <w:right w:val="none" w:sz="0" w:space="0" w:color="auto"/>
          </w:divBdr>
        </w:div>
        <w:div w:id="697199053">
          <w:marLeft w:val="0"/>
          <w:marRight w:val="0"/>
          <w:marTop w:val="120"/>
          <w:marBottom w:val="0"/>
          <w:divBdr>
            <w:top w:val="none" w:sz="0" w:space="0" w:color="auto"/>
            <w:left w:val="none" w:sz="0" w:space="0" w:color="auto"/>
            <w:bottom w:val="none" w:sz="0" w:space="0" w:color="auto"/>
            <w:right w:val="none" w:sz="0" w:space="0" w:color="auto"/>
          </w:divBdr>
        </w:div>
        <w:div w:id="118497317">
          <w:marLeft w:val="0"/>
          <w:marRight w:val="0"/>
          <w:marTop w:val="120"/>
          <w:marBottom w:val="0"/>
          <w:divBdr>
            <w:top w:val="none" w:sz="0" w:space="0" w:color="auto"/>
            <w:left w:val="none" w:sz="0" w:space="0" w:color="auto"/>
            <w:bottom w:val="none" w:sz="0" w:space="0" w:color="auto"/>
            <w:right w:val="none" w:sz="0" w:space="0" w:color="auto"/>
          </w:divBdr>
        </w:div>
      </w:divsChild>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181430714">
      <w:bodyDiv w:val="1"/>
      <w:marLeft w:val="0"/>
      <w:marRight w:val="0"/>
      <w:marTop w:val="0"/>
      <w:marBottom w:val="0"/>
      <w:divBdr>
        <w:top w:val="none" w:sz="0" w:space="0" w:color="auto"/>
        <w:left w:val="none" w:sz="0" w:space="0" w:color="auto"/>
        <w:bottom w:val="none" w:sz="0" w:space="0" w:color="auto"/>
        <w:right w:val="none" w:sz="0" w:space="0" w:color="auto"/>
      </w:divBdr>
      <w:divsChild>
        <w:div w:id="467670929">
          <w:marLeft w:val="284"/>
          <w:marRight w:val="0"/>
          <w:marTop w:val="80"/>
          <w:marBottom w:val="0"/>
          <w:divBdr>
            <w:top w:val="none" w:sz="0" w:space="0" w:color="auto"/>
            <w:left w:val="none" w:sz="0" w:space="0" w:color="auto"/>
            <w:bottom w:val="none" w:sz="0" w:space="0" w:color="auto"/>
            <w:right w:val="none" w:sz="0" w:space="0" w:color="auto"/>
          </w:divBdr>
        </w:div>
        <w:div w:id="440809384">
          <w:marLeft w:val="1134"/>
          <w:marRight w:val="0"/>
          <w:marTop w:val="60"/>
          <w:marBottom w:val="0"/>
          <w:divBdr>
            <w:top w:val="none" w:sz="0" w:space="0" w:color="auto"/>
            <w:left w:val="none" w:sz="0" w:space="0" w:color="auto"/>
            <w:bottom w:val="none" w:sz="0" w:space="0" w:color="auto"/>
            <w:right w:val="none" w:sz="0" w:space="0" w:color="auto"/>
          </w:divBdr>
        </w:div>
        <w:div w:id="1351567560">
          <w:marLeft w:val="1134"/>
          <w:marRight w:val="0"/>
          <w:marTop w:val="60"/>
          <w:marBottom w:val="0"/>
          <w:divBdr>
            <w:top w:val="none" w:sz="0" w:space="0" w:color="auto"/>
            <w:left w:val="none" w:sz="0" w:space="0" w:color="auto"/>
            <w:bottom w:val="none" w:sz="0" w:space="0" w:color="auto"/>
            <w:right w:val="none" w:sz="0" w:space="0" w:color="auto"/>
          </w:divBdr>
        </w:div>
      </w:divsChild>
    </w:div>
    <w:div w:id="1353143177">
      <w:bodyDiv w:val="1"/>
      <w:marLeft w:val="0"/>
      <w:marRight w:val="0"/>
      <w:marTop w:val="0"/>
      <w:marBottom w:val="0"/>
      <w:divBdr>
        <w:top w:val="none" w:sz="0" w:space="0" w:color="auto"/>
        <w:left w:val="none" w:sz="0" w:space="0" w:color="auto"/>
        <w:bottom w:val="none" w:sz="0" w:space="0" w:color="auto"/>
        <w:right w:val="none" w:sz="0" w:space="0" w:color="auto"/>
      </w:divBdr>
      <w:divsChild>
        <w:div w:id="824011088">
          <w:marLeft w:val="0"/>
          <w:marRight w:val="0"/>
          <w:marTop w:val="120"/>
          <w:marBottom w:val="0"/>
          <w:divBdr>
            <w:top w:val="none" w:sz="0" w:space="0" w:color="auto"/>
            <w:left w:val="none" w:sz="0" w:space="0" w:color="auto"/>
            <w:bottom w:val="none" w:sz="0" w:space="0" w:color="auto"/>
            <w:right w:val="none" w:sz="0" w:space="0" w:color="auto"/>
          </w:divBdr>
        </w:div>
      </w:divsChild>
    </w:div>
    <w:div w:id="1760176658">
      <w:bodyDiv w:val="1"/>
      <w:marLeft w:val="0"/>
      <w:marRight w:val="0"/>
      <w:marTop w:val="0"/>
      <w:marBottom w:val="0"/>
      <w:divBdr>
        <w:top w:val="none" w:sz="0" w:space="0" w:color="auto"/>
        <w:left w:val="none" w:sz="0" w:space="0" w:color="auto"/>
        <w:bottom w:val="none" w:sz="0" w:space="0" w:color="auto"/>
        <w:right w:val="none" w:sz="0" w:space="0" w:color="auto"/>
      </w:divBdr>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1_defn_incidental_credit_agreement%27%5d&amp;xhitlist_md=target-id=0-0-0-76273"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54E6B-597B-4413-A298-698EC51C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Mary Bruce</cp:lastModifiedBy>
  <cp:revision>3</cp:revision>
  <cp:lastPrinted>2022-12-02T09:53:00Z</cp:lastPrinted>
  <dcterms:created xsi:type="dcterms:W3CDTF">2023-11-14T10:49:00Z</dcterms:created>
  <dcterms:modified xsi:type="dcterms:W3CDTF">2024-01-11T09:53:00Z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57b65fd134b5309cb1ba602393baf3e320b135b864d1ba55b140df27cee3b594</vt:lpwstr>
  </property>
</Properties>
</file>