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1A8" w:rsidRDefault="00EF11A8" w:rsidP="00EF11A8">
      <w:pPr>
        <w:ind w:left="2160" w:firstLine="720"/>
        <w:rPr>
          <w:rFonts w:ascii="Arial" w:hAnsi="Arial" w:cs="Arial"/>
          <w:b/>
          <w:u w:val="single"/>
        </w:rPr>
      </w:pPr>
      <w:r w:rsidRPr="005B354E">
        <w:rPr>
          <w:rFonts w:asciiTheme="minorHAnsi" w:eastAsiaTheme="minorHAnsi" w:hAnsiTheme="minorHAnsi" w:cstheme="minorBidi"/>
          <w:noProof/>
          <w:lang w:val="en-US" w:eastAsia="en-US"/>
        </w:rPr>
        <w:drawing>
          <wp:anchor distT="0" distB="0" distL="114300" distR="114300" simplePos="0" relativeHeight="251659264" behindDoc="1" locked="0" layoutInCell="1" allowOverlap="1" wp14:anchorId="41A27A92" wp14:editId="1144FAF9">
            <wp:simplePos x="0" y="0"/>
            <wp:positionH relativeFrom="margin">
              <wp:posOffset>2089150</wp:posOffset>
            </wp:positionH>
            <wp:positionV relativeFrom="paragraph">
              <wp:posOffset>-717550</wp:posOffset>
            </wp:positionV>
            <wp:extent cx="1797050" cy="1668780"/>
            <wp:effectExtent l="0" t="0" r="0" b="762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97050" cy="1668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1A8" w:rsidRDefault="00EF11A8" w:rsidP="00EF11A8">
      <w:pPr>
        <w:ind w:left="2160" w:firstLine="720"/>
        <w:rPr>
          <w:rFonts w:ascii="Arial" w:hAnsi="Arial" w:cs="Arial"/>
          <w:b/>
          <w:u w:val="single"/>
        </w:rPr>
      </w:pPr>
    </w:p>
    <w:p w:rsidR="00EF11A8" w:rsidRDefault="00EF11A8" w:rsidP="00EF11A8">
      <w:pPr>
        <w:ind w:left="2160" w:firstLine="720"/>
        <w:rPr>
          <w:rFonts w:ascii="Arial" w:hAnsi="Arial" w:cs="Arial"/>
          <w:b/>
          <w:u w:val="single"/>
        </w:rPr>
      </w:pPr>
    </w:p>
    <w:p w:rsidR="00EF11A8" w:rsidRDefault="00EF11A8" w:rsidP="00EF11A8">
      <w:pPr>
        <w:ind w:left="2160" w:firstLine="720"/>
        <w:rPr>
          <w:rFonts w:ascii="Arial" w:hAnsi="Arial" w:cs="Arial"/>
          <w:b/>
          <w:u w:val="single"/>
        </w:rPr>
      </w:pPr>
    </w:p>
    <w:p w:rsidR="00EF11A8" w:rsidRDefault="00EF11A8" w:rsidP="00EF11A8">
      <w:pPr>
        <w:ind w:left="2160" w:firstLine="720"/>
        <w:rPr>
          <w:rFonts w:ascii="Arial" w:hAnsi="Arial" w:cs="Arial"/>
          <w:b/>
          <w:u w:val="single"/>
        </w:rPr>
      </w:pPr>
    </w:p>
    <w:p w:rsidR="00DC6873" w:rsidRDefault="00DC6873" w:rsidP="00EF11A8">
      <w:pPr>
        <w:ind w:left="2160" w:firstLine="720"/>
        <w:rPr>
          <w:rFonts w:ascii="Arial" w:hAnsi="Arial" w:cs="Arial"/>
          <w:b/>
          <w:u w:val="single"/>
        </w:rPr>
      </w:pPr>
    </w:p>
    <w:p w:rsidR="00EF11A8" w:rsidRDefault="00EF11A8" w:rsidP="00EF11A8">
      <w:pPr>
        <w:ind w:left="1440" w:firstLine="720"/>
        <w:rPr>
          <w:rFonts w:ascii="Arial" w:hAnsi="Arial" w:cs="Arial"/>
          <w:b/>
          <w:u w:val="single"/>
        </w:rPr>
      </w:pPr>
      <w:r>
        <w:rPr>
          <w:rFonts w:ascii="Arial" w:hAnsi="Arial" w:cs="Arial"/>
          <w:b/>
          <w:u w:val="single"/>
        </w:rPr>
        <w:t>IN THE HIGH COURT OF SOUTH AFRICA,</w:t>
      </w:r>
    </w:p>
    <w:p w:rsidR="00EF11A8" w:rsidRDefault="00EF11A8" w:rsidP="00EF11A8">
      <w:pPr>
        <w:ind w:left="1440" w:firstLine="720"/>
        <w:rPr>
          <w:rFonts w:ascii="Arial" w:hAnsi="Arial" w:cs="Arial"/>
          <w:b/>
          <w:u w:val="single"/>
        </w:rPr>
      </w:pPr>
      <w:r>
        <w:rPr>
          <w:rFonts w:ascii="Arial" w:hAnsi="Arial" w:cs="Arial"/>
          <w:b/>
          <w:u w:val="single"/>
        </w:rPr>
        <w:t>FREE STATE DIVISION, BLOEMFONTEIN</w:t>
      </w:r>
    </w:p>
    <w:p w:rsidR="003F2617" w:rsidRDefault="003F2617" w:rsidP="00EF11A8">
      <w:pPr>
        <w:ind w:left="1440" w:firstLine="720"/>
        <w:rPr>
          <w:rFonts w:ascii="Arial" w:hAnsi="Arial" w:cs="Arial"/>
          <w:b/>
          <w:u w:val="single"/>
        </w:rPr>
      </w:pPr>
    </w:p>
    <w:p w:rsidR="003F2617" w:rsidRDefault="003F2617" w:rsidP="00EF11A8">
      <w:pPr>
        <w:ind w:left="1440" w:firstLine="720"/>
        <w:rPr>
          <w:rFonts w:ascii="Arial" w:hAnsi="Arial" w:cs="Arial"/>
          <w:b/>
          <w:u w:val="single"/>
        </w:rPr>
      </w:pPr>
    </w:p>
    <w:tbl>
      <w:tblPr>
        <w:tblStyle w:val="TableGrid"/>
        <w:tblW w:w="2693" w:type="dxa"/>
        <w:tblInd w:w="6487" w:type="dxa"/>
        <w:tblLook w:val="04A0" w:firstRow="1" w:lastRow="0" w:firstColumn="1" w:lastColumn="0" w:noHBand="0" w:noVBand="1"/>
      </w:tblPr>
      <w:tblGrid>
        <w:gridCol w:w="2693"/>
      </w:tblGrid>
      <w:tr w:rsidR="00EF11A8" w:rsidTr="007C2356">
        <w:trPr>
          <w:trHeight w:val="642"/>
        </w:trPr>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F11A8" w:rsidRPr="005D6CBF" w:rsidRDefault="00EF11A8" w:rsidP="007C2356">
            <w:pPr>
              <w:rPr>
                <w:rFonts w:ascii="Arial" w:hAnsi="Arial" w:cs="Arial"/>
                <w:b/>
                <w:sz w:val="16"/>
                <w:szCs w:val="16"/>
              </w:rPr>
            </w:pPr>
            <w:r w:rsidRPr="005D6CBF">
              <w:rPr>
                <w:rFonts w:ascii="Arial" w:hAnsi="Arial" w:cs="Arial"/>
                <w:b/>
                <w:sz w:val="16"/>
                <w:szCs w:val="16"/>
              </w:rPr>
              <w:t>Reportable:                              NO</w:t>
            </w:r>
          </w:p>
          <w:p w:rsidR="00EF11A8" w:rsidRPr="005D6CBF" w:rsidRDefault="00EF11A8" w:rsidP="007C2356">
            <w:pPr>
              <w:rPr>
                <w:rFonts w:ascii="Arial" w:hAnsi="Arial" w:cs="Arial"/>
                <w:b/>
                <w:sz w:val="16"/>
                <w:szCs w:val="16"/>
              </w:rPr>
            </w:pPr>
            <w:r w:rsidRPr="005D6CBF">
              <w:rPr>
                <w:rFonts w:ascii="Arial" w:hAnsi="Arial" w:cs="Arial"/>
                <w:b/>
                <w:sz w:val="16"/>
                <w:szCs w:val="16"/>
              </w:rPr>
              <w:t>Of Interest to other Judges:   NO</w:t>
            </w:r>
          </w:p>
          <w:p w:rsidR="00EF11A8" w:rsidRPr="005D6CBF" w:rsidRDefault="00EF11A8" w:rsidP="007C2356">
            <w:pPr>
              <w:rPr>
                <w:rFonts w:ascii="Arial" w:hAnsi="Arial" w:cs="Arial"/>
                <w:b/>
                <w:sz w:val="16"/>
                <w:szCs w:val="16"/>
                <w:u w:val="single"/>
              </w:rPr>
            </w:pPr>
            <w:r w:rsidRPr="005D6CBF">
              <w:rPr>
                <w:rFonts w:ascii="Arial" w:hAnsi="Arial" w:cs="Arial"/>
                <w:b/>
                <w:sz w:val="16"/>
                <w:szCs w:val="16"/>
              </w:rPr>
              <w:t>Circulate to Magistrates:        NO</w:t>
            </w:r>
          </w:p>
        </w:tc>
      </w:tr>
    </w:tbl>
    <w:p w:rsidR="00EF11A8" w:rsidRDefault="00EF11A8" w:rsidP="00EF11A8">
      <w:pPr>
        <w:jc w:val="both"/>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781F07" w:rsidRPr="005D6CBF" w:rsidRDefault="0094642F" w:rsidP="008A68B4">
      <w:pPr>
        <w:jc w:val="right"/>
        <w:rPr>
          <w:rFonts w:ascii="Arial" w:hAnsi="Arial" w:cs="Arial"/>
          <w:b/>
        </w:rPr>
      </w:pPr>
      <w:r w:rsidRPr="005D6CBF">
        <w:rPr>
          <w:rFonts w:ascii="Arial" w:hAnsi="Arial" w:cs="Arial"/>
          <w:b/>
        </w:rPr>
        <w:t>C</w:t>
      </w:r>
      <w:r w:rsidR="004E243D">
        <w:rPr>
          <w:rFonts w:ascii="Arial" w:hAnsi="Arial" w:cs="Arial"/>
          <w:b/>
        </w:rPr>
        <w:t>ase No</w:t>
      </w:r>
      <w:r w:rsidR="00781F07" w:rsidRPr="005D6CBF">
        <w:rPr>
          <w:rFonts w:ascii="Arial" w:hAnsi="Arial" w:cs="Arial"/>
          <w:b/>
        </w:rPr>
        <w:t>:</w:t>
      </w:r>
      <w:r w:rsidR="00AA3872">
        <w:rPr>
          <w:rFonts w:ascii="Arial" w:hAnsi="Arial" w:cs="Arial"/>
          <w:b/>
        </w:rPr>
        <w:t>3963</w:t>
      </w:r>
      <w:r w:rsidR="00781F07" w:rsidRPr="005D6CBF">
        <w:rPr>
          <w:rFonts w:ascii="Arial" w:hAnsi="Arial" w:cs="Arial"/>
          <w:b/>
        </w:rPr>
        <w:t>/</w:t>
      </w:r>
      <w:r w:rsidR="00AA31A4">
        <w:rPr>
          <w:rFonts w:ascii="Arial" w:hAnsi="Arial" w:cs="Arial"/>
          <w:b/>
        </w:rPr>
        <w:t>202</w:t>
      </w:r>
      <w:r w:rsidR="00AA3872">
        <w:rPr>
          <w:rFonts w:ascii="Arial" w:hAnsi="Arial" w:cs="Arial"/>
          <w:b/>
        </w:rPr>
        <w:t>1</w:t>
      </w:r>
    </w:p>
    <w:p w:rsidR="00EF11A8" w:rsidRPr="005D6CBF" w:rsidRDefault="00EF11A8" w:rsidP="00EF11A8">
      <w:pPr>
        <w:jc w:val="right"/>
        <w:rPr>
          <w:rFonts w:ascii="Arial" w:hAnsi="Arial" w:cs="Arial"/>
        </w:rPr>
      </w:pPr>
      <w:r w:rsidRPr="005D6CBF">
        <w:rPr>
          <w:rFonts w:ascii="Arial" w:hAnsi="Arial" w:cs="Arial"/>
        </w:rPr>
        <w:t xml:space="preserve"> </w:t>
      </w:r>
      <w:r w:rsidRPr="005D6CBF">
        <w:rPr>
          <w:rFonts w:ascii="Arial" w:hAnsi="Arial" w:cs="Arial"/>
        </w:rPr>
        <w:tab/>
        <w:t xml:space="preserve"> </w:t>
      </w:r>
    </w:p>
    <w:p w:rsidR="00781F07" w:rsidRPr="005D6CBF" w:rsidRDefault="00EF11A8" w:rsidP="00EF11A8">
      <w:pPr>
        <w:jc w:val="both"/>
        <w:rPr>
          <w:rFonts w:ascii="Arial" w:hAnsi="Arial" w:cs="Arial"/>
        </w:rPr>
      </w:pPr>
      <w:r w:rsidRPr="005D6CBF">
        <w:rPr>
          <w:rFonts w:ascii="Arial" w:hAnsi="Arial" w:cs="Arial"/>
        </w:rPr>
        <w:t>In the matter between:</w:t>
      </w:r>
    </w:p>
    <w:p w:rsidR="00EF11A8" w:rsidRPr="005D6CBF" w:rsidRDefault="00EF11A8" w:rsidP="00EF11A8">
      <w:pPr>
        <w:jc w:val="both"/>
        <w:rPr>
          <w:rFonts w:ascii="Arial" w:hAnsi="Arial" w:cs="Arial"/>
        </w:rPr>
      </w:pPr>
      <w:r w:rsidRPr="005D6CBF">
        <w:rPr>
          <w:rFonts w:ascii="Arial" w:hAnsi="Arial" w:cs="Arial"/>
        </w:rPr>
        <w:t xml:space="preserve"> </w:t>
      </w:r>
    </w:p>
    <w:p w:rsidR="004E243D" w:rsidRPr="00AA31A4" w:rsidRDefault="0043729E" w:rsidP="008A68B4">
      <w:pPr>
        <w:tabs>
          <w:tab w:val="left" w:pos="720"/>
          <w:tab w:val="left" w:pos="1440"/>
          <w:tab w:val="left" w:pos="2160"/>
          <w:tab w:val="left" w:pos="2880"/>
          <w:tab w:val="left" w:pos="3600"/>
          <w:tab w:val="left" w:pos="4320"/>
          <w:tab w:val="left" w:pos="5040"/>
          <w:tab w:val="left" w:pos="5760"/>
        </w:tabs>
        <w:jc w:val="both"/>
        <w:rPr>
          <w:rFonts w:ascii="Arial" w:hAnsi="Arial" w:cs="Arial"/>
        </w:rPr>
      </w:pPr>
      <w:r>
        <w:rPr>
          <w:rFonts w:ascii="Arial" w:hAnsi="Arial" w:cs="Arial"/>
          <w:b/>
        </w:rPr>
        <w:t>HIGHPOINT MANUFACTURING (</w:t>
      </w:r>
      <w:r w:rsidR="00AA3872">
        <w:rPr>
          <w:rFonts w:ascii="Arial" w:hAnsi="Arial" w:cs="Arial"/>
          <w:b/>
        </w:rPr>
        <w:t xml:space="preserve">PTY) </w:t>
      </w:r>
      <w:r w:rsidR="0055759E">
        <w:rPr>
          <w:rFonts w:ascii="Arial" w:hAnsi="Arial" w:cs="Arial"/>
          <w:b/>
        </w:rPr>
        <w:t>LIMITED</w:t>
      </w:r>
      <w:r w:rsidR="008A68B4">
        <w:rPr>
          <w:rFonts w:ascii="Arial" w:hAnsi="Arial" w:cs="Arial"/>
          <w:b/>
        </w:rPr>
        <w:t xml:space="preserve"> </w:t>
      </w:r>
      <w:r w:rsidR="008A68B4">
        <w:rPr>
          <w:rFonts w:ascii="Arial" w:hAnsi="Arial" w:cs="Arial"/>
          <w:b/>
        </w:rPr>
        <w:tab/>
      </w:r>
      <w:r w:rsidR="008A68B4">
        <w:rPr>
          <w:rFonts w:ascii="Arial" w:hAnsi="Arial" w:cs="Arial"/>
          <w:b/>
        </w:rPr>
        <w:tab/>
      </w:r>
      <w:r w:rsidR="008A68B4">
        <w:rPr>
          <w:rFonts w:ascii="Arial" w:hAnsi="Arial" w:cs="Arial"/>
          <w:b/>
        </w:rPr>
        <w:tab/>
      </w:r>
      <w:r w:rsidR="00AA31A4">
        <w:rPr>
          <w:rFonts w:ascii="Arial" w:hAnsi="Arial" w:cs="Arial"/>
        </w:rPr>
        <w:t>Applicant</w:t>
      </w:r>
    </w:p>
    <w:p w:rsidR="003667D6" w:rsidRPr="005D6CBF" w:rsidRDefault="003667D6" w:rsidP="00EF11A8">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b/>
        </w:rPr>
      </w:pPr>
    </w:p>
    <w:p w:rsidR="00EF11A8" w:rsidRPr="005D6CBF" w:rsidRDefault="00EF11A8" w:rsidP="00EF11A8">
      <w:pPr>
        <w:jc w:val="both"/>
        <w:rPr>
          <w:rFonts w:ascii="Arial" w:hAnsi="Arial" w:cs="Arial"/>
        </w:rPr>
      </w:pPr>
      <w:r w:rsidRPr="005D6CBF">
        <w:rPr>
          <w:rFonts w:ascii="Arial" w:hAnsi="Arial" w:cs="Arial"/>
        </w:rPr>
        <w:t xml:space="preserve">and </w:t>
      </w:r>
    </w:p>
    <w:p w:rsidR="00781F07" w:rsidRDefault="00781F07" w:rsidP="00EF11A8">
      <w:pPr>
        <w:jc w:val="both"/>
        <w:rPr>
          <w:rFonts w:ascii="Arial" w:hAnsi="Arial" w:cs="Arial"/>
        </w:rPr>
      </w:pPr>
    </w:p>
    <w:p w:rsidR="00AA31A4" w:rsidRDefault="00AA3872" w:rsidP="00EF11A8">
      <w:pPr>
        <w:jc w:val="both"/>
        <w:rPr>
          <w:rFonts w:ascii="Arial" w:hAnsi="Arial" w:cs="Arial"/>
        </w:rPr>
      </w:pPr>
      <w:r>
        <w:rPr>
          <w:rFonts w:ascii="Arial" w:hAnsi="Arial" w:cs="Arial"/>
          <w:b/>
        </w:rPr>
        <w:t>EMERSON ASSETS HOLDINGS (PTY) LTD</w:t>
      </w:r>
      <w:r w:rsidR="008A68B4">
        <w:rPr>
          <w:rFonts w:ascii="Arial" w:hAnsi="Arial" w:cs="Arial"/>
          <w:b/>
        </w:rPr>
        <w:tab/>
      </w:r>
      <w:r w:rsidR="008A68B4">
        <w:rPr>
          <w:rFonts w:ascii="Arial" w:hAnsi="Arial" w:cs="Arial"/>
          <w:b/>
        </w:rPr>
        <w:tab/>
      </w:r>
      <w:r w:rsidR="008A68B4">
        <w:rPr>
          <w:rFonts w:ascii="Arial" w:hAnsi="Arial" w:cs="Arial"/>
          <w:b/>
        </w:rPr>
        <w:tab/>
      </w:r>
      <w:r w:rsidR="008A68B4">
        <w:rPr>
          <w:rFonts w:ascii="Arial" w:hAnsi="Arial" w:cs="Arial"/>
          <w:b/>
        </w:rPr>
        <w:tab/>
      </w:r>
      <w:r w:rsidR="00AA31A4">
        <w:rPr>
          <w:rFonts w:ascii="Arial" w:hAnsi="Arial" w:cs="Arial"/>
        </w:rPr>
        <w:t>1</w:t>
      </w:r>
      <w:r w:rsidR="00AA31A4" w:rsidRPr="00AA31A4">
        <w:rPr>
          <w:rFonts w:ascii="Arial" w:hAnsi="Arial" w:cs="Arial"/>
          <w:vertAlign w:val="superscript"/>
        </w:rPr>
        <w:t>st</w:t>
      </w:r>
      <w:r w:rsidR="00AA31A4">
        <w:rPr>
          <w:rFonts w:ascii="Arial" w:hAnsi="Arial" w:cs="Arial"/>
        </w:rPr>
        <w:t xml:space="preserve"> Respondent</w:t>
      </w:r>
    </w:p>
    <w:p w:rsidR="00AA3872" w:rsidRDefault="00AA3872" w:rsidP="00EF11A8">
      <w:pPr>
        <w:jc w:val="both"/>
        <w:rPr>
          <w:rFonts w:ascii="Arial" w:hAnsi="Arial" w:cs="Arial"/>
          <w:b/>
        </w:rPr>
      </w:pPr>
    </w:p>
    <w:p w:rsidR="00AA31A4" w:rsidRDefault="00AA3872" w:rsidP="00EF11A8">
      <w:pPr>
        <w:jc w:val="both"/>
        <w:rPr>
          <w:rFonts w:ascii="Arial" w:hAnsi="Arial" w:cs="Arial"/>
        </w:rPr>
      </w:pPr>
      <w:r>
        <w:rPr>
          <w:rFonts w:ascii="Arial" w:hAnsi="Arial" w:cs="Arial"/>
          <w:b/>
        </w:rPr>
        <w:t xml:space="preserve">ERMELO TRUCK AND </w:t>
      </w:r>
      <w:r w:rsidR="0093177E">
        <w:rPr>
          <w:rFonts w:ascii="Arial" w:hAnsi="Arial" w:cs="Arial"/>
          <w:b/>
        </w:rPr>
        <w:t>TRACTOR</w:t>
      </w:r>
      <w:r>
        <w:rPr>
          <w:rFonts w:ascii="Arial" w:hAnsi="Arial" w:cs="Arial"/>
          <w:b/>
        </w:rPr>
        <w:t xml:space="preserve"> CENTRE (PTY) LTD</w:t>
      </w:r>
      <w:r w:rsidR="008A68B4">
        <w:rPr>
          <w:rFonts w:ascii="Arial" w:hAnsi="Arial" w:cs="Arial"/>
          <w:b/>
        </w:rPr>
        <w:tab/>
      </w:r>
      <w:r w:rsidR="008A68B4">
        <w:rPr>
          <w:rFonts w:ascii="Arial" w:hAnsi="Arial" w:cs="Arial"/>
          <w:b/>
        </w:rPr>
        <w:tab/>
      </w:r>
      <w:r w:rsidR="00AA31A4">
        <w:rPr>
          <w:rFonts w:ascii="Arial" w:hAnsi="Arial" w:cs="Arial"/>
        </w:rPr>
        <w:t>2</w:t>
      </w:r>
      <w:r w:rsidR="00AA31A4" w:rsidRPr="00AA31A4">
        <w:rPr>
          <w:rFonts w:ascii="Arial" w:hAnsi="Arial" w:cs="Arial"/>
          <w:vertAlign w:val="superscript"/>
        </w:rPr>
        <w:t>nd</w:t>
      </w:r>
      <w:r w:rsidR="00AA31A4">
        <w:rPr>
          <w:rFonts w:ascii="Arial" w:hAnsi="Arial" w:cs="Arial"/>
        </w:rPr>
        <w:t xml:space="preserve"> Respondent</w:t>
      </w:r>
    </w:p>
    <w:p w:rsidR="00AA31A4" w:rsidRDefault="00AA31A4" w:rsidP="00EF11A8">
      <w:pPr>
        <w:jc w:val="both"/>
        <w:rPr>
          <w:rFonts w:ascii="Arial" w:hAnsi="Arial" w:cs="Arial"/>
        </w:rPr>
      </w:pPr>
    </w:p>
    <w:p w:rsidR="00AA31A4" w:rsidRDefault="00AA3872" w:rsidP="00EF11A8">
      <w:pPr>
        <w:jc w:val="both"/>
        <w:rPr>
          <w:rFonts w:ascii="Arial" w:hAnsi="Arial" w:cs="Arial"/>
        </w:rPr>
      </w:pPr>
      <w:r>
        <w:rPr>
          <w:rFonts w:ascii="Arial" w:hAnsi="Arial" w:cs="Arial"/>
          <w:b/>
        </w:rPr>
        <w:t>UD TRUCKS SOUTH AFRICA (PTY) LTD</w:t>
      </w:r>
      <w:r>
        <w:rPr>
          <w:rFonts w:ascii="Arial" w:hAnsi="Arial" w:cs="Arial"/>
          <w:b/>
        </w:rPr>
        <w:tab/>
      </w:r>
      <w:r w:rsidR="008A68B4">
        <w:rPr>
          <w:rFonts w:ascii="Arial" w:hAnsi="Arial" w:cs="Arial"/>
          <w:b/>
        </w:rPr>
        <w:t xml:space="preserve"> </w:t>
      </w:r>
      <w:r w:rsidR="008A68B4">
        <w:rPr>
          <w:rFonts w:ascii="Arial" w:hAnsi="Arial" w:cs="Arial"/>
          <w:b/>
        </w:rPr>
        <w:tab/>
      </w:r>
      <w:r w:rsidR="008A68B4">
        <w:rPr>
          <w:rFonts w:ascii="Arial" w:hAnsi="Arial" w:cs="Arial"/>
          <w:b/>
        </w:rPr>
        <w:tab/>
      </w:r>
      <w:r w:rsidR="008A68B4">
        <w:rPr>
          <w:rFonts w:ascii="Arial" w:hAnsi="Arial" w:cs="Arial"/>
          <w:b/>
        </w:rPr>
        <w:tab/>
      </w:r>
      <w:r w:rsidR="00AA31A4">
        <w:rPr>
          <w:rFonts w:ascii="Arial" w:hAnsi="Arial" w:cs="Arial"/>
        </w:rPr>
        <w:t xml:space="preserve">3rd Respondent </w:t>
      </w:r>
    </w:p>
    <w:p w:rsidR="00AA31A4" w:rsidRDefault="00AA31A4" w:rsidP="00EF11A8">
      <w:pPr>
        <w:jc w:val="both"/>
        <w:rPr>
          <w:rFonts w:ascii="Arial" w:hAnsi="Arial" w:cs="Arial"/>
        </w:rPr>
      </w:pPr>
    </w:p>
    <w:p w:rsidR="004E243D" w:rsidRPr="005D6CBF" w:rsidRDefault="004E243D" w:rsidP="00EF11A8">
      <w:pPr>
        <w:pBdr>
          <w:bottom w:val="single" w:sz="12" w:space="1" w:color="auto"/>
        </w:pBdr>
        <w:jc w:val="both"/>
        <w:rPr>
          <w:rFonts w:ascii="Arial" w:hAnsi="Arial" w:cs="Arial"/>
          <w:b/>
        </w:rPr>
      </w:pPr>
    </w:p>
    <w:p w:rsidR="00EF11A8" w:rsidRPr="005D6CBF" w:rsidRDefault="00EF11A8" w:rsidP="00EF11A8">
      <w:pPr>
        <w:contextualSpacing/>
        <w:jc w:val="both"/>
        <w:rPr>
          <w:rFonts w:ascii="Arial" w:hAnsi="Arial" w:cs="Arial"/>
          <w:b/>
          <w:u w:val="single"/>
        </w:rPr>
      </w:pPr>
    </w:p>
    <w:p w:rsidR="00D221EC" w:rsidRDefault="00EF11A8" w:rsidP="009E06E4">
      <w:pPr>
        <w:pBdr>
          <w:bottom w:val="single" w:sz="12" w:space="1" w:color="auto"/>
        </w:pBdr>
        <w:ind w:left="2880" w:hanging="2880"/>
        <w:contextualSpacing/>
        <w:jc w:val="both"/>
        <w:rPr>
          <w:rFonts w:ascii="Arial" w:hAnsi="Arial" w:cs="Arial"/>
          <w:bCs/>
        </w:rPr>
      </w:pPr>
      <w:r w:rsidRPr="005D6CBF">
        <w:rPr>
          <w:rFonts w:ascii="Arial" w:hAnsi="Arial" w:cs="Arial"/>
          <w:b/>
          <w:u w:val="single"/>
        </w:rPr>
        <w:t>HEARD ON:</w:t>
      </w:r>
      <w:r w:rsidRPr="005D6CBF">
        <w:rPr>
          <w:rFonts w:ascii="Arial" w:hAnsi="Arial" w:cs="Arial"/>
          <w:b/>
        </w:rPr>
        <w:tab/>
      </w:r>
      <w:r w:rsidR="00FA3679" w:rsidRPr="00FA3679">
        <w:rPr>
          <w:rFonts w:ascii="Arial" w:hAnsi="Arial" w:cs="Arial"/>
        </w:rPr>
        <w:t xml:space="preserve">17 </w:t>
      </w:r>
      <w:r w:rsidR="0046504C">
        <w:rPr>
          <w:rFonts w:ascii="Arial" w:hAnsi="Arial" w:cs="Arial"/>
        </w:rPr>
        <w:t xml:space="preserve">NOVEMBER </w:t>
      </w:r>
      <w:r w:rsidR="00781F07" w:rsidRPr="00F940D0">
        <w:rPr>
          <w:rFonts w:ascii="Arial" w:hAnsi="Arial" w:cs="Arial"/>
          <w:bCs/>
        </w:rPr>
        <w:t>202</w:t>
      </w:r>
      <w:r w:rsidR="002F71C5" w:rsidRPr="00F940D0">
        <w:rPr>
          <w:rFonts w:ascii="Arial" w:hAnsi="Arial" w:cs="Arial"/>
          <w:bCs/>
        </w:rPr>
        <w:t>2</w:t>
      </w:r>
    </w:p>
    <w:p w:rsidR="00D221EC" w:rsidRDefault="00EF11A8" w:rsidP="009E06E4">
      <w:pPr>
        <w:pBdr>
          <w:bottom w:val="single" w:sz="12" w:space="1" w:color="auto"/>
        </w:pBdr>
        <w:ind w:left="2880" w:hanging="2880"/>
        <w:contextualSpacing/>
        <w:jc w:val="both"/>
        <w:rPr>
          <w:rFonts w:ascii="Arial" w:hAnsi="Arial" w:cs="Arial"/>
        </w:rPr>
      </w:pPr>
      <w:r w:rsidRPr="00F940D0">
        <w:rPr>
          <w:rFonts w:ascii="Arial" w:hAnsi="Arial" w:cs="Arial"/>
        </w:rPr>
        <w:t xml:space="preserve"> </w:t>
      </w:r>
    </w:p>
    <w:p w:rsidR="00D221EC" w:rsidRPr="005D6CBF" w:rsidRDefault="00D221EC" w:rsidP="00EF11A8">
      <w:pPr>
        <w:contextualSpacing/>
        <w:jc w:val="both"/>
        <w:rPr>
          <w:rFonts w:ascii="Arial" w:hAnsi="Arial" w:cs="Arial"/>
          <w:b/>
        </w:rPr>
      </w:pPr>
    </w:p>
    <w:p w:rsidR="009E06E4" w:rsidRPr="005D6CBF" w:rsidRDefault="00797293" w:rsidP="009E06E4">
      <w:pPr>
        <w:contextualSpacing/>
        <w:jc w:val="both"/>
        <w:rPr>
          <w:rFonts w:ascii="Arial" w:hAnsi="Arial" w:cs="Arial"/>
          <w:b/>
          <w:u w:val="single"/>
        </w:rPr>
      </w:pPr>
      <w:r>
        <w:rPr>
          <w:rFonts w:ascii="Arial" w:hAnsi="Arial" w:cs="Arial"/>
          <w:b/>
          <w:u w:val="single"/>
        </w:rPr>
        <w:t>JUDGMENT BY</w:t>
      </w:r>
      <w:r w:rsidR="003F410D" w:rsidRPr="005D6CBF">
        <w:rPr>
          <w:rFonts w:ascii="Arial" w:hAnsi="Arial" w:cs="Arial"/>
          <w:b/>
        </w:rPr>
        <w:t xml:space="preserve">: </w:t>
      </w:r>
      <w:bookmarkStart w:id="0" w:name="_Hlk111883941"/>
      <w:r w:rsidR="008A68B4">
        <w:rPr>
          <w:rFonts w:ascii="Arial" w:hAnsi="Arial" w:cs="Arial"/>
          <w:b/>
        </w:rPr>
        <w:tab/>
      </w:r>
      <w:r w:rsidR="008A68B4">
        <w:rPr>
          <w:rFonts w:ascii="Arial" w:hAnsi="Arial" w:cs="Arial"/>
          <w:b/>
        </w:rPr>
        <w:tab/>
      </w:r>
      <w:r w:rsidR="009E06E4" w:rsidRPr="00F940D0">
        <w:rPr>
          <w:rFonts w:ascii="Arial" w:hAnsi="Arial" w:cs="Arial"/>
        </w:rPr>
        <w:t>MHLAMBI, J</w:t>
      </w:r>
      <w:bookmarkEnd w:id="0"/>
      <w:r w:rsidR="009E06E4" w:rsidRPr="00F940D0">
        <w:rPr>
          <w:rFonts w:ascii="Arial" w:hAnsi="Arial" w:cs="Arial"/>
        </w:rPr>
        <w:t xml:space="preserve"> </w:t>
      </w:r>
    </w:p>
    <w:p w:rsidR="003F410D" w:rsidRPr="003036C9" w:rsidRDefault="003F410D" w:rsidP="003036C9">
      <w:pPr>
        <w:ind w:right="26"/>
        <w:contextualSpacing/>
        <w:jc w:val="both"/>
        <w:rPr>
          <w:rFonts w:ascii="Arial" w:hAnsi="Arial" w:cs="Arial"/>
          <w:bCs/>
          <w:u w:val="single"/>
        </w:rPr>
      </w:pPr>
      <w:r w:rsidRPr="005D6CBF">
        <w:rPr>
          <w:rFonts w:ascii="Arial" w:hAnsi="Arial" w:cs="Arial"/>
          <w:b/>
          <w:u w:val="single"/>
        </w:rPr>
        <w:t>_________________________________________________________</w:t>
      </w:r>
      <w:r w:rsidR="003036C9">
        <w:rPr>
          <w:rFonts w:ascii="Arial" w:hAnsi="Arial" w:cs="Arial"/>
          <w:b/>
          <w:u w:val="single"/>
        </w:rPr>
        <w:t>__________</w:t>
      </w:r>
    </w:p>
    <w:p w:rsidR="003F410D" w:rsidRPr="005D6CBF" w:rsidRDefault="003F410D" w:rsidP="00EF11A8">
      <w:pPr>
        <w:contextualSpacing/>
        <w:jc w:val="both"/>
        <w:rPr>
          <w:rFonts w:ascii="Arial" w:hAnsi="Arial" w:cs="Arial"/>
          <w:b/>
          <w:u w:val="single"/>
        </w:rPr>
      </w:pPr>
    </w:p>
    <w:p w:rsidR="007C348D" w:rsidRPr="005D6CBF" w:rsidRDefault="00EF11A8" w:rsidP="00F87E7C">
      <w:pPr>
        <w:tabs>
          <w:tab w:val="left" w:pos="2880"/>
        </w:tabs>
        <w:ind w:left="1985" w:hanging="1985"/>
        <w:contextualSpacing/>
        <w:jc w:val="both"/>
        <w:rPr>
          <w:rFonts w:ascii="Arial" w:hAnsi="Arial" w:cs="Arial"/>
          <w:b/>
          <w:bCs/>
        </w:rPr>
      </w:pPr>
      <w:r w:rsidRPr="005D6CBF">
        <w:rPr>
          <w:rFonts w:ascii="Arial" w:hAnsi="Arial" w:cs="Arial"/>
          <w:b/>
          <w:u w:val="single"/>
        </w:rPr>
        <w:t>DELIVERED ON:</w:t>
      </w:r>
      <w:r w:rsidR="00F87E7C">
        <w:rPr>
          <w:rFonts w:ascii="Arial" w:hAnsi="Arial" w:cs="Arial"/>
          <w:b/>
        </w:rPr>
        <w:t xml:space="preserve">  </w:t>
      </w:r>
      <w:r w:rsidR="00F87E7C" w:rsidRPr="00C665C9">
        <w:rPr>
          <w:rFonts w:ascii="Arial" w:hAnsi="Arial" w:cs="Arial"/>
        </w:rPr>
        <w:t xml:space="preserve">This judgment was handed down electronically by circulation to the parties’ legal representatives by email and </w:t>
      </w:r>
      <w:r w:rsidR="00F87E7C">
        <w:rPr>
          <w:rFonts w:ascii="Arial" w:hAnsi="Arial" w:cs="Arial"/>
        </w:rPr>
        <w:t>released</w:t>
      </w:r>
      <w:r w:rsidR="00F87E7C" w:rsidRPr="00C665C9">
        <w:rPr>
          <w:rFonts w:ascii="Arial" w:hAnsi="Arial" w:cs="Arial"/>
        </w:rPr>
        <w:t xml:space="preserve"> to SAFLI. The date and time for</w:t>
      </w:r>
      <w:r w:rsidR="0097522B">
        <w:rPr>
          <w:rFonts w:ascii="Arial" w:hAnsi="Arial" w:cs="Arial"/>
        </w:rPr>
        <w:t xml:space="preserve"> the</w:t>
      </w:r>
      <w:r w:rsidR="00F87E7C" w:rsidRPr="00C665C9">
        <w:rPr>
          <w:rFonts w:ascii="Arial" w:hAnsi="Arial" w:cs="Arial"/>
        </w:rPr>
        <w:t xml:space="preserve"> hand-down </w:t>
      </w:r>
      <w:r w:rsidR="00F87E7C">
        <w:rPr>
          <w:rFonts w:ascii="Arial" w:hAnsi="Arial" w:cs="Arial"/>
        </w:rPr>
        <w:t>are</w:t>
      </w:r>
      <w:r w:rsidR="00F87E7C" w:rsidRPr="00C665C9">
        <w:rPr>
          <w:rFonts w:ascii="Arial" w:hAnsi="Arial" w:cs="Arial"/>
        </w:rPr>
        <w:t xml:space="preserve"> deemed to</w:t>
      </w:r>
      <w:r w:rsidR="006751B4">
        <w:rPr>
          <w:rFonts w:ascii="Arial" w:hAnsi="Arial" w:cs="Arial"/>
        </w:rPr>
        <w:t xml:space="preserve"> be </w:t>
      </w:r>
      <w:r w:rsidR="00FA3679">
        <w:rPr>
          <w:rFonts w:ascii="Arial" w:hAnsi="Arial" w:cs="Arial"/>
        </w:rPr>
        <w:t>8</w:t>
      </w:r>
      <w:r w:rsidR="00F87E7C">
        <w:rPr>
          <w:rFonts w:ascii="Arial" w:hAnsi="Arial" w:cs="Arial"/>
        </w:rPr>
        <w:t>h3</w:t>
      </w:r>
      <w:r w:rsidR="00FA3679">
        <w:rPr>
          <w:rFonts w:ascii="Arial" w:hAnsi="Arial" w:cs="Arial"/>
        </w:rPr>
        <w:t>0</w:t>
      </w:r>
      <w:r w:rsidR="00F87E7C" w:rsidRPr="00C665C9">
        <w:rPr>
          <w:rFonts w:ascii="Arial" w:hAnsi="Arial" w:cs="Arial"/>
        </w:rPr>
        <w:t xml:space="preserve"> </w:t>
      </w:r>
      <w:r w:rsidR="009C219E">
        <w:rPr>
          <w:rFonts w:ascii="Arial" w:hAnsi="Arial" w:cs="Arial"/>
        </w:rPr>
        <w:t xml:space="preserve">on </w:t>
      </w:r>
      <w:r w:rsidR="00FA3679">
        <w:rPr>
          <w:rFonts w:ascii="Arial" w:hAnsi="Arial" w:cs="Arial"/>
        </w:rPr>
        <w:t xml:space="preserve">6 February </w:t>
      </w:r>
      <w:r w:rsidR="00F87E7C">
        <w:rPr>
          <w:rFonts w:ascii="Arial" w:hAnsi="Arial" w:cs="Arial"/>
        </w:rPr>
        <w:t>202</w:t>
      </w:r>
      <w:r w:rsidR="00E90B84">
        <w:rPr>
          <w:rFonts w:ascii="Arial" w:hAnsi="Arial" w:cs="Arial"/>
        </w:rPr>
        <w:t>3</w:t>
      </w:r>
      <w:r w:rsidR="009C219E">
        <w:rPr>
          <w:rFonts w:ascii="Arial" w:hAnsi="Arial" w:cs="Arial"/>
        </w:rPr>
        <w:t>.</w:t>
      </w:r>
    </w:p>
    <w:p w:rsidR="00891F14" w:rsidRPr="005D6CBF" w:rsidRDefault="00891F14" w:rsidP="00EF11A8">
      <w:pPr>
        <w:pBdr>
          <w:bottom w:val="single" w:sz="12" w:space="1" w:color="auto"/>
        </w:pBdr>
        <w:tabs>
          <w:tab w:val="left" w:pos="2940"/>
        </w:tabs>
        <w:contextualSpacing/>
        <w:jc w:val="both"/>
        <w:rPr>
          <w:rFonts w:ascii="Arial" w:hAnsi="Arial" w:cs="Arial"/>
          <w:b/>
          <w:bCs/>
          <w:u w:val="single"/>
        </w:rPr>
      </w:pPr>
    </w:p>
    <w:p w:rsidR="007C348D" w:rsidRDefault="007C348D" w:rsidP="007C348D">
      <w:pPr>
        <w:spacing w:line="360" w:lineRule="auto"/>
        <w:ind w:left="709" w:hanging="709"/>
        <w:jc w:val="both"/>
        <w:rPr>
          <w:rFonts w:ascii="Arial" w:hAnsi="Arial" w:cs="Arial"/>
          <w:sz w:val="28"/>
          <w:szCs w:val="28"/>
        </w:rPr>
      </w:pPr>
    </w:p>
    <w:p w:rsidR="0037484C" w:rsidRPr="008321CA" w:rsidRDefault="0037484C" w:rsidP="007C348D">
      <w:pPr>
        <w:spacing w:line="360" w:lineRule="auto"/>
        <w:ind w:left="709" w:hanging="709"/>
        <w:jc w:val="both"/>
        <w:rPr>
          <w:rFonts w:ascii="Arial" w:hAnsi="Arial" w:cs="Arial"/>
          <w:i/>
          <w:sz w:val="28"/>
          <w:szCs w:val="28"/>
          <w:u w:val="single"/>
        </w:rPr>
      </w:pPr>
      <w:r w:rsidRPr="008321CA">
        <w:rPr>
          <w:rFonts w:ascii="Arial" w:hAnsi="Arial" w:cs="Arial"/>
          <w:i/>
          <w:sz w:val="28"/>
          <w:szCs w:val="28"/>
          <w:u w:val="single"/>
        </w:rPr>
        <w:t>Introduction</w:t>
      </w:r>
    </w:p>
    <w:p w:rsidR="008C2D93" w:rsidRDefault="002A631E" w:rsidP="00FA3679">
      <w:pPr>
        <w:spacing w:before="240" w:after="240" w:line="360" w:lineRule="auto"/>
        <w:ind w:left="567" w:hanging="567"/>
        <w:jc w:val="both"/>
        <w:rPr>
          <w:rFonts w:ascii="Arial" w:hAnsi="Arial" w:cs="Arial"/>
        </w:rPr>
      </w:pPr>
      <w:r>
        <w:rPr>
          <w:rFonts w:ascii="Arial" w:hAnsi="Arial" w:cs="Arial"/>
        </w:rPr>
        <w:t>[1]</w:t>
      </w:r>
      <w:r w:rsidR="008C2D93">
        <w:rPr>
          <w:rFonts w:ascii="Arial" w:hAnsi="Arial" w:cs="Arial"/>
        </w:rPr>
        <w:t xml:space="preserve"> </w:t>
      </w:r>
      <w:r w:rsidR="00FA3679">
        <w:rPr>
          <w:rFonts w:ascii="Arial" w:hAnsi="Arial" w:cs="Arial"/>
        </w:rPr>
        <w:tab/>
      </w:r>
      <w:r w:rsidR="008C2D93">
        <w:rPr>
          <w:rFonts w:ascii="Arial" w:hAnsi="Arial" w:cs="Arial"/>
        </w:rPr>
        <w:t>The applicant seeks leave of the court to serve and f</w:t>
      </w:r>
      <w:r w:rsidR="00CE4A5A">
        <w:rPr>
          <w:rFonts w:ascii="Arial" w:hAnsi="Arial" w:cs="Arial"/>
        </w:rPr>
        <w:t xml:space="preserve">ile a third-party notice on the </w:t>
      </w:r>
      <w:r w:rsidR="008C2D93">
        <w:rPr>
          <w:rFonts w:ascii="Arial" w:hAnsi="Arial" w:cs="Arial"/>
        </w:rPr>
        <w:t xml:space="preserve">third respondent in terms </w:t>
      </w:r>
      <w:r w:rsidR="001D1971">
        <w:rPr>
          <w:rFonts w:ascii="Arial" w:hAnsi="Arial" w:cs="Arial"/>
        </w:rPr>
        <w:t>of Uniform Rule 13(3)(b)</w:t>
      </w:r>
      <w:r w:rsidR="0055759E">
        <w:rPr>
          <w:rFonts w:ascii="Arial" w:hAnsi="Arial" w:cs="Arial"/>
        </w:rPr>
        <w:t xml:space="preserve"> which provides that after </w:t>
      </w:r>
      <w:r w:rsidR="00001F8C">
        <w:rPr>
          <w:rFonts w:ascii="Arial" w:hAnsi="Arial" w:cs="Arial"/>
        </w:rPr>
        <w:t xml:space="preserve">the </w:t>
      </w:r>
      <w:r w:rsidR="0055759E">
        <w:rPr>
          <w:rFonts w:ascii="Arial" w:hAnsi="Arial" w:cs="Arial"/>
        </w:rPr>
        <w:lastRenderedPageBreak/>
        <w:t>close of pleadings, a third party may only be served with the leave of the court</w:t>
      </w:r>
      <w:r w:rsidR="001D1971">
        <w:rPr>
          <w:rFonts w:ascii="Arial" w:hAnsi="Arial" w:cs="Arial"/>
        </w:rPr>
        <w:t>. T</w:t>
      </w:r>
      <w:r w:rsidR="008C2D93">
        <w:rPr>
          <w:rFonts w:ascii="Arial" w:hAnsi="Arial" w:cs="Arial"/>
        </w:rPr>
        <w:t>he third respondent</w:t>
      </w:r>
      <w:r w:rsidR="001D1971">
        <w:rPr>
          <w:rFonts w:ascii="Arial" w:hAnsi="Arial" w:cs="Arial"/>
        </w:rPr>
        <w:t xml:space="preserve"> is the only party that</w:t>
      </w:r>
      <w:r w:rsidR="008C2D93">
        <w:rPr>
          <w:rFonts w:ascii="Arial" w:hAnsi="Arial" w:cs="Arial"/>
        </w:rPr>
        <w:t xml:space="preserve"> opposes the application.</w:t>
      </w:r>
    </w:p>
    <w:p w:rsidR="00585BEA" w:rsidRDefault="008C2D93" w:rsidP="00FA3679">
      <w:pPr>
        <w:spacing w:after="240" w:line="360" w:lineRule="auto"/>
        <w:ind w:left="567" w:hanging="567"/>
        <w:jc w:val="both"/>
        <w:rPr>
          <w:rFonts w:ascii="Arial" w:hAnsi="Arial" w:cs="Arial"/>
        </w:rPr>
      </w:pPr>
      <w:r>
        <w:rPr>
          <w:rFonts w:ascii="Arial" w:hAnsi="Arial" w:cs="Arial"/>
        </w:rPr>
        <w:t xml:space="preserve">[2] </w:t>
      </w:r>
      <w:r w:rsidR="00FA3679">
        <w:rPr>
          <w:rFonts w:ascii="Arial" w:hAnsi="Arial" w:cs="Arial"/>
        </w:rPr>
        <w:tab/>
      </w:r>
      <w:r>
        <w:rPr>
          <w:rFonts w:ascii="Arial" w:hAnsi="Arial" w:cs="Arial"/>
        </w:rPr>
        <w:t>The claim against the third respondent (who is also the second third party) stems from the plaintiff’s (the first respondent in this application)</w:t>
      </w:r>
      <w:r w:rsidR="00D36AFE">
        <w:rPr>
          <w:rFonts w:ascii="Arial" w:hAnsi="Arial" w:cs="Arial"/>
        </w:rPr>
        <w:t xml:space="preserve"> action</w:t>
      </w:r>
      <w:r>
        <w:rPr>
          <w:rFonts w:ascii="Arial" w:hAnsi="Arial" w:cs="Arial"/>
        </w:rPr>
        <w:t xml:space="preserve"> against the applicant (the defendant in the main action) for damages arising from the sale</w:t>
      </w:r>
      <w:r w:rsidR="00745F1D">
        <w:rPr>
          <w:rFonts w:ascii="Arial" w:hAnsi="Arial" w:cs="Arial"/>
        </w:rPr>
        <w:t xml:space="preserve"> of a truck, a new white ED Trucks E26 CWE 6x4 Rigid F/C Quester with external throttle control model E26001 425, engine number GH11447871 and chassis number (VIN) JPCZM30D2</w:t>
      </w:r>
      <w:r w:rsidR="00111D58">
        <w:rPr>
          <w:rFonts w:ascii="Arial" w:hAnsi="Arial" w:cs="Arial"/>
        </w:rPr>
        <w:t>JS806492</w:t>
      </w:r>
      <w:r w:rsidR="00D36AFE">
        <w:rPr>
          <w:rFonts w:ascii="Arial" w:hAnsi="Arial" w:cs="Arial"/>
        </w:rPr>
        <w:t xml:space="preserve"> fitted by the third respondent</w:t>
      </w:r>
      <w:r w:rsidR="00745F1D">
        <w:rPr>
          <w:rFonts w:ascii="Arial" w:hAnsi="Arial" w:cs="Arial"/>
        </w:rPr>
        <w:t xml:space="preserve"> with </w:t>
      </w:r>
      <w:r w:rsidR="00D36AFE">
        <w:rPr>
          <w:rFonts w:ascii="Arial" w:hAnsi="Arial" w:cs="Arial"/>
        </w:rPr>
        <w:t>an</w:t>
      </w:r>
      <w:r w:rsidR="00745F1D">
        <w:rPr>
          <w:rFonts w:ascii="Arial" w:hAnsi="Arial" w:cs="Arial"/>
        </w:rPr>
        <w:t xml:space="preserve"> HPVR-1000</w:t>
      </w:r>
      <w:r w:rsidR="00872161">
        <w:rPr>
          <w:rFonts w:ascii="Arial" w:hAnsi="Arial" w:cs="Arial"/>
        </w:rPr>
        <w:t xml:space="preserve"> 10 00</w:t>
      </w:r>
      <w:r w:rsidR="00D36AFE">
        <w:rPr>
          <w:rFonts w:ascii="Arial" w:hAnsi="Arial" w:cs="Arial"/>
        </w:rPr>
        <w:t>0 litre co</w:t>
      </w:r>
      <w:r w:rsidR="00872161">
        <w:rPr>
          <w:rFonts w:ascii="Arial" w:hAnsi="Arial" w:cs="Arial"/>
        </w:rPr>
        <w:t>mbination jetting and vacuum body.</w:t>
      </w:r>
      <w:r>
        <w:rPr>
          <w:rFonts w:ascii="Arial" w:hAnsi="Arial" w:cs="Arial"/>
        </w:rPr>
        <w:t xml:space="preserve"> </w:t>
      </w:r>
    </w:p>
    <w:p w:rsidR="00585BEA" w:rsidRDefault="00585BEA" w:rsidP="00AA3872">
      <w:pPr>
        <w:spacing w:after="240" w:line="360" w:lineRule="auto"/>
        <w:ind w:left="567" w:hanging="567"/>
        <w:jc w:val="both"/>
        <w:rPr>
          <w:rFonts w:ascii="Arial" w:hAnsi="Arial" w:cs="Arial"/>
        </w:rPr>
      </w:pPr>
      <w:r>
        <w:rPr>
          <w:rFonts w:ascii="Arial" w:hAnsi="Arial" w:cs="Arial"/>
        </w:rPr>
        <w:t xml:space="preserve">[3] </w:t>
      </w:r>
      <w:r w:rsidR="00FA3679">
        <w:rPr>
          <w:rFonts w:ascii="Arial" w:hAnsi="Arial" w:cs="Arial"/>
        </w:rPr>
        <w:tab/>
      </w:r>
      <w:r>
        <w:rPr>
          <w:rFonts w:ascii="Arial" w:hAnsi="Arial" w:cs="Arial"/>
        </w:rPr>
        <w:t>The thrust of the annexure to the third party notice reads as follows:</w:t>
      </w:r>
    </w:p>
    <w:p w:rsidR="00585BEA" w:rsidRPr="009153E3" w:rsidRDefault="00585BEA" w:rsidP="00FA3679">
      <w:pPr>
        <w:spacing w:after="240" w:line="360" w:lineRule="auto"/>
        <w:ind w:left="993" w:hanging="426"/>
        <w:jc w:val="both"/>
        <w:rPr>
          <w:rFonts w:ascii="Arial" w:hAnsi="Arial" w:cs="Arial"/>
          <w:i/>
          <w:sz w:val="20"/>
          <w:szCs w:val="20"/>
        </w:rPr>
      </w:pPr>
      <w:r w:rsidRPr="009153E3">
        <w:rPr>
          <w:rFonts w:ascii="Arial" w:hAnsi="Arial" w:cs="Arial"/>
          <w:i/>
          <w:sz w:val="20"/>
          <w:szCs w:val="20"/>
        </w:rPr>
        <w:t>“If it is held that:</w:t>
      </w:r>
    </w:p>
    <w:p w:rsidR="00585BEA" w:rsidRPr="0009269C" w:rsidRDefault="0009269C" w:rsidP="0009269C">
      <w:pPr>
        <w:spacing w:after="240" w:line="360" w:lineRule="auto"/>
        <w:ind w:left="993" w:hanging="426"/>
        <w:jc w:val="both"/>
        <w:rPr>
          <w:rFonts w:ascii="Arial" w:hAnsi="Arial" w:cs="Arial"/>
          <w:i/>
          <w:color w:val="000000"/>
          <w:sz w:val="20"/>
          <w:szCs w:val="20"/>
          <w:lang w:val="en-ZA" w:eastAsia="en-ZA"/>
        </w:rPr>
      </w:pPr>
      <w:r w:rsidRPr="009153E3">
        <w:rPr>
          <w:rFonts w:ascii="Arial" w:hAnsi="Arial" w:cs="Arial"/>
          <w:i/>
          <w:sz w:val="20"/>
          <w:szCs w:val="20"/>
          <w:lang w:val="en-ZA" w:eastAsia="en-ZA"/>
        </w:rPr>
        <w:t>(a)</w:t>
      </w:r>
      <w:r w:rsidRPr="009153E3">
        <w:rPr>
          <w:rFonts w:ascii="Arial" w:hAnsi="Arial" w:cs="Arial"/>
          <w:i/>
          <w:sz w:val="20"/>
          <w:szCs w:val="20"/>
          <w:lang w:val="en-ZA" w:eastAsia="en-ZA"/>
        </w:rPr>
        <w:tab/>
      </w:r>
      <w:r w:rsidR="00585BEA" w:rsidRPr="0009269C">
        <w:rPr>
          <w:rFonts w:ascii="Arial" w:hAnsi="Arial" w:cs="Arial"/>
          <w:i/>
          <w:sz w:val="20"/>
          <w:szCs w:val="20"/>
        </w:rPr>
        <w:t>The chassis and/or cab was not manufactured with reasonable skill and care; alternatively</w:t>
      </w:r>
    </w:p>
    <w:p w:rsidR="00585BEA" w:rsidRPr="0009269C" w:rsidRDefault="0009269C" w:rsidP="0009269C">
      <w:pPr>
        <w:spacing w:after="240" w:line="360" w:lineRule="auto"/>
        <w:ind w:left="993" w:hanging="426"/>
        <w:jc w:val="both"/>
        <w:rPr>
          <w:rFonts w:ascii="Arial" w:hAnsi="Arial" w:cs="Arial"/>
          <w:i/>
          <w:color w:val="000000"/>
          <w:sz w:val="20"/>
          <w:szCs w:val="20"/>
          <w:lang w:val="en-ZA" w:eastAsia="en-ZA"/>
        </w:rPr>
      </w:pPr>
      <w:r w:rsidRPr="009153E3">
        <w:rPr>
          <w:rFonts w:ascii="Arial" w:hAnsi="Arial" w:cs="Arial"/>
          <w:i/>
          <w:sz w:val="20"/>
          <w:szCs w:val="20"/>
          <w:lang w:val="en-ZA" w:eastAsia="en-ZA"/>
        </w:rPr>
        <w:t>(b)</w:t>
      </w:r>
      <w:r w:rsidRPr="009153E3">
        <w:rPr>
          <w:rFonts w:ascii="Arial" w:hAnsi="Arial" w:cs="Arial"/>
          <w:i/>
          <w:sz w:val="20"/>
          <w:szCs w:val="20"/>
          <w:lang w:val="en-ZA" w:eastAsia="en-ZA"/>
        </w:rPr>
        <w:tab/>
      </w:r>
      <w:r w:rsidR="00585BEA" w:rsidRPr="0009269C">
        <w:rPr>
          <w:rFonts w:ascii="Arial" w:hAnsi="Arial" w:cs="Arial"/>
          <w:i/>
          <w:sz w:val="20"/>
          <w:szCs w:val="20"/>
        </w:rPr>
        <w:t>Was not fit for the purpose it was designed and manufactured for; and/or</w:t>
      </w:r>
    </w:p>
    <w:p w:rsidR="00FD7150" w:rsidRPr="0009269C" w:rsidRDefault="0009269C" w:rsidP="0009269C">
      <w:pPr>
        <w:spacing w:after="240" w:line="360" w:lineRule="auto"/>
        <w:ind w:left="993" w:hanging="426"/>
        <w:jc w:val="both"/>
        <w:rPr>
          <w:rFonts w:ascii="Arial" w:hAnsi="Arial" w:cs="Arial"/>
          <w:i/>
          <w:color w:val="000000"/>
          <w:sz w:val="20"/>
          <w:szCs w:val="20"/>
          <w:lang w:val="en-ZA" w:eastAsia="en-ZA"/>
        </w:rPr>
      </w:pPr>
      <w:r w:rsidRPr="00FD7150">
        <w:rPr>
          <w:rFonts w:ascii="Arial" w:hAnsi="Arial" w:cs="Arial"/>
          <w:i/>
          <w:sz w:val="20"/>
          <w:szCs w:val="20"/>
          <w:lang w:val="en-ZA" w:eastAsia="en-ZA"/>
        </w:rPr>
        <w:t>(c)</w:t>
      </w:r>
      <w:r w:rsidRPr="00FD7150">
        <w:rPr>
          <w:rFonts w:ascii="Arial" w:hAnsi="Arial" w:cs="Arial"/>
          <w:i/>
          <w:sz w:val="20"/>
          <w:szCs w:val="20"/>
          <w:lang w:val="en-ZA" w:eastAsia="en-ZA"/>
        </w:rPr>
        <w:tab/>
      </w:r>
      <w:r w:rsidR="00585BEA" w:rsidRPr="0009269C">
        <w:rPr>
          <w:rFonts w:ascii="Arial" w:hAnsi="Arial" w:cs="Arial"/>
          <w:i/>
          <w:sz w:val="20"/>
          <w:szCs w:val="20"/>
        </w:rPr>
        <w:t>That the gearbox</w:t>
      </w:r>
      <w:r w:rsidR="0075444F" w:rsidRPr="0009269C">
        <w:rPr>
          <w:rFonts w:ascii="Arial" w:hAnsi="Arial" w:cs="Arial"/>
          <w:i/>
          <w:sz w:val="20"/>
          <w:szCs w:val="20"/>
        </w:rPr>
        <w:t xml:space="preserve"> or any other part of the chassis and cab provided by the First Third Party, as negotiated and agreed with the plaintiff, received by the Defendant for the manufacturing and fitment of the HPVR-1000 10 000 liter combination jetting and vacuum body on the specific instance and request of the Plaintiff, is and/or was defective, then the Defendant:</w:t>
      </w:r>
    </w:p>
    <w:p w:rsidR="00FD7150" w:rsidRPr="0009269C" w:rsidRDefault="0009269C" w:rsidP="0009269C">
      <w:pPr>
        <w:spacing w:after="240" w:line="360" w:lineRule="auto"/>
        <w:ind w:left="993" w:hanging="426"/>
        <w:jc w:val="both"/>
        <w:rPr>
          <w:rFonts w:ascii="Arial" w:hAnsi="Arial" w:cs="Arial"/>
          <w:i/>
          <w:color w:val="000000"/>
          <w:sz w:val="20"/>
          <w:szCs w:val="20"/>
          <w:lang w:val="en-ZA" w:eastAsia="en-ZA"/>
        </w:rPr>
      </w:pPr>
      <w:r w:rsidRPr="00FD7150">
        <w:rPr>
          <w:rFonts w:ascii="Arial" w:hAnsi="Arial" w:cs="Arial"/>
          <w:i/>
          <w:sz w:val="20"/>
          <w:szCs w:val="20"/>
          <w:lang w:val="en-ZA" w:eastAsia="en-ZA"/>
        </w:rPr>
        <w:t>(i)</w:t>
      </w:r>
      <w:r w:rsidRPr="00FD7150">
        <w:rPr>
          <w:rFonts w:ascii="Arial" w:hAnsi="Arial" w:cs="Arial"/>
          <w:i/>
          <w:sz w:val="20"/>
          <w:szCs w:val="20"/>
          <w:lang w:val="en-ZA" w:eastAsia="en-ZA"/>
        </w:rPr>
        <w:tab/>
      </w:r>
      <w:r w:rsidR="0075444F" w:rsidRPr="0009269C">
        <w:rPr>
          <w:rFonts w:ascii="Arial" w:hAnsi="Arial" w:cs="Arial"/>
          <w:i/>
          <w:sz w:val="20"/>
          <w:szCs w:val="20"/>
        </w:rPr>
        <w:t>Received a defective chassis and cab from the First Third Party; and/or alternatively</w:t>
      </w:r>
    </w:p>
    <w:p w:rsidR="00FD7150" w:rsidRPr="0009269C" w:rsidRDefault="0009269C" w:rsidP="0009269C">
      <w:pPr>
        <w:spacing w:after="240" w:line="360" w:lineRule="auto"/>
        <w:ind w:left="993" w:hanging="426"/>
        <w:jc w:val="both"/>
        <w:rPr>
          <w:rFonts w:ascii="Arial" w:hAnsi="Arial" w:cs="Arial"/>
          <w:i/>
          <w:color w:val="000000"/>
          <w:sz w:val="20"/>
          <w:szCs w:val="20"/>
          <w:lang w:val="en-ZA" w:eastAsia="en-ZA"/>
        </w:rPr>
      </w:pPr>
      <w:r w:rsidRPr="00FD7150">
        <w:rPr>
          <w:rFonts w:ascii="Arial" w:hAnsi="Arial" w:cs="Arial"/>
          <w:i/>
          <w:sz w:val="20"/>
          <w:szCs w:val="20"/>
          <w:lang w:val="en-ZA" w:eastAsia="en-ZA"/>
        </w:rPr>
        <w:t>(ii)</w:t>
      </w:r>
      <w:r w:rsidRPr="00FD7150">
        <w:rPr>
          <w:rFonts w:ascii="Arial" w:hAnsi="Arial" w:cs="Arial"/>
          <w:i/>
          <w:sz w:val="20"/>
          <w:szCs w:val="20"/>
          <w:lang w:val="en-ZA" w:eastAsia="en-ZA"/>
        </w:rPr>
        <w:tab/>
      </w:r>
      <w:r w:rsidR="0075444F" w:rsidRPr="0009269C">
        <w:rPr>
          <w:rFonts w:ascii="Arial" w:hAnsi="Arial" w:cs="Arial"/>
          <w:i/>
          <w:sz w:val="20"/>
          <w:szCs w:val="20"/>
        </w:rPr>
        <w:t xml:space="preserve">That the Second Third Party warranted against </w:t>
      </w:r>
      <w:r w:rsidR="002824F0" w:rsidRPr="0009269C">
        <w:rPr>
          <w:rFonts w:ascii="Arial" w:hAnsi="Arial" w:cs="Arial"/>
          <w:i/>
          <w:sz w:val="20"/>
          <w:szCs w:val="20"/>
        </w:rPr>
        <w:t>defectiveness of the chassis and cab supplied and is thus liable for the damages and repairs.</w:t>
      </w:r>
    </w:p>
    <w:p w:rsidR="00491045" w:rsidRPr="0009269C" w:rsidRDefault="0009269C" w:rsidP="0009269C">
      <w:pPr>
        <w:spacing w:after="240" w:line="360" w:lineRule="auto"/>
        <w:ind w:left="993" w:hanging="426"/>
        <w:jc w:val="both"/>
        <w:rPr>
          <w:rFonts w:ascii="Arial" w:hAnsi="Arial" w:cs="Arial"/>
          <w:i/>
          <w:color w:val="000000"/>
          <w:sz w:val="20"/>
          <w:szCs w:val="20"/>
          <w:lang w:val="en-ZA" w:eastAsia="en-ZA"/>
        </w:rPr>
      </w:pPr>
      <w:r w:rsidRPr="00FD7150">
        <w:rPr>
          <w:rFonts w:ascii="Arial" w:hAnsi="Arial" w:cs="Arial"/>
          <w:i/>
          <w:sz w:val="20"/>
          <w:szCs w:val="20"/>
          <w:lang w:val="en-ZA" w:eastAsia="en-ZA"/>
        </w:rPr>
        <w:t>(i</w:t>
      </w:r>
      <w:bookmarkStart w:id="1" w:name="_GoBack"/>
      <w:bookmarkEnd w:id="1"/>
      <w:r w:rsidRPr="00FD7150">
        <w:rPr>
          <w:rFonts w:ascii="Arial" w:hAnsi="Arial" w:cs="Arial"/>
          <w:i/>
          <w:sz w:val="20"/>
          <w:szCs w:val="20"/>
          <w:lang w:val="en-ZA" w:eastAsia="en-ZA"/>
        </w:rPr>
        <w:t>ii)</w:t>
      </w:r>
      <w:r w:rsidRPr="00FD7150">
        <w:rPr>
          <w:rFonts w:ascii="Arial" w:hAnsi="Arial" w:cs="Arial"/>
          <w:i/>
          <w:sz w:val="20"/>
          <w:szCs w:val="20"/>
          <w:lang w:val="en-ZA" w:eastAsia="en-ZA"/>
        </w:rPr>
        <w:tab/>
      </w:r>
      <w:r w:rsidR="002824F0" w:rsidRPr="0009269C">
        <w:rPr>
          <w:rFonts w:ascii="Arial" w:hAnsi="Arial" w:cs="Arial"/>
          <w:i/>
          <w:sz w:val="20"/>
          <w:szCs w:val="20"/>
        </w:rPr>
        <w:t>Having regard to the terms of and indemnity as detailed in the warranty against</w:t>
      </w:r>
      <w:r w:rsidR="008748C9" w:rsidRPr="0009269C">
        <w:rPr>
          <w:rFonts w:ascii="Arial" w:hAnsi="Arial" w:cs="Arial"/>
          <w:i/>
          <w:sz w:val="20"/>
          <w:szCs w:val="20"/>
        </w:rPr>
        <w:t>.</w:t>
      </w:r>
      <w:r w:rsidR="002824F0" w:rsidRPr="0009269C">
        <w:rPr>
          <w:rFonts w:ascii="Arial" w:hAnsi="Arial" w:cs="Arial"/>
          <w:i/>
          <w:sz w:val="20"/>
          <w:szCs w:val="20"/>
        </w:rPr>
        <w:t xml:space="preserve"> defectiveness by the Second Third Party on supply of a new chassis and cab, and if the Defendant is held liable to the Plaintiff in terms of the plaintiff’s claim as set out in the particulars of claim attached hereto, then the</w:t>
      </w:r>
      <w:r w:rsidR="002A631E" w:rsidRPr="0009269C">
        <w:rPr>
          <w:rFonts w:ascii="Arial" w:hAnsi="Arial" w:cs="Arial"/>
          <w:i/>
          <w:sz w:val="20"/>
          <w:szCs w:val="20"/>
        </w:rPr>
        <w:tab/>
      </w:r>
      <w:r w:rsidR="002824F0" w:rsidRPr="0009269C">
        <w:rPr>
          <w:rFonts w:ascii="Arial" w:hAnsi="Arial" w:cs="Arial"/>
          <w:i/>
          <w:sz w:val="20"/>
          <w:szCs w:val="20"/>
        </w:rPr>
        <w:t xml:space="preserve"> Defendant is entitled to and prays for an order against the Second Third Party in the following terms:</w:t>
      </w:r>
    </w:p>
    <w:p w:rsidR="002824F0" w:rsidRPr="0009269C" w:rsidRDefault="0009269C" w:rsidP="0009269C">
      <w:pPr>
        <w:spacing w:after="240" w:line="360" w:lineRule="auto"/>
        <w:ind w:left="993" w:hanging="426"/>
        <w:jc w:val="both"/>
        <w:rPr>
          <w:rFonts w:ascii="Arial" w:hAnsi="Arial" w:cs="Arial"/>
          <w:i/>
          <w:color w:val="000000"/>
          <w:sz w:val="20"/>
          <w:szCs w:val="20"/>
          <w:lang w:val="en-ZA" w:eastAsia="en-ZA"/>
        </w:rPr>
      </w:pPr>
      <w:r w:rsidRPr="000E4CC5">
        <w:rPr>
          <w:rFonts w:ascii="Arial" w:hAnsi="Arial" w:cs="Arial"/>
          <w:i/>
          <w:color w:val="000000"/>
          <w:sz w:val="20"/>
          <w:szCs w:val="20"/>
          <w:lang w:val="en-ZA" w:eastAsia="en-ZA"/>
        </w:rPr>
        <w:t>(a)</w:t>
      </w:r>
      <w:r w:rsidRPr="000E4CC5">
        <w:rPr>
          <w:rFonts w:ascii="Arial" w:hAnsi="Arial" w:cs="Arial"/>
          <w:i/>
          <w:color w:val="000000"/>
          <w:sz w:val="20"/>
          <w:szCs w:val="20"/>
          <w:lang w:val="en-ZA" w:eastAsia="en-ZA"/>
        </w:rPr>
        <w:tab/>
      </w:r>
      <w:r w:rsidR="00416B9E" w:rsidRPr="0009269C">
        <w:rPr>
          <w:rFonts w:ascii="Arial" w:hAnsi="Arial" w:cs="Arial"/>
          <w:i/>
          <w:color w:val="000000"/>
          <w:sz w:val="20"/>
          <w:szCs w:val="20"/>
          <w:lang w:val="en-ZA" w:eastAsia="en-ZA"/>
        </w:rPr>
        <w:t xml:space="preserve"> A full indemnity of any </w:t>
      </w:r>
      <w:r w:rsidR="000E4CC5" w:rsidRPr="0009269C">
        <w:rPr>
          <w:rFonts w:ascii="Arial" w:hAnsi="Arial" w:cs="Arial"/>
          <w:i/>
          <w:color w:val="000000"/>
          <w:sz w:val="20"/>
          <w:szCs w:val="20"/>
          <w:lang w:val="en-ZA" w:eastAsia="en-ZA"/>
        </w:rPr>
        <w:t>amount</w:t>
      </w:r>
      <w:r w:rsidR="00416B9E" w:rsidRPr="0009269C">
        <w:rPr>
          <w:rFonts w:ascii="Arial" w:hAnsi="Arial" w:cs="Arial"/>
          <w:i/>
          <w:color w:val="000000"/>
          <w:sz w:val="20"/>
          <w:szCs w:val="20"/>
          <w:lang w:val="en-ZA" w:eastAsia="en-ZA"/>
        </w:rPr>
        <w:t xml:space="preserve"> (including interest) for which the Defendant is held liable to the Plaintiff, in</w:t>
      </w:r>
      <w:r w:rsidR="000E4CC5" w:rsidRPr="0009269C">
        <w:rPr>
          <w:rFonts w:ascii="Arial" w:hAnsi="Arial" w:cs="Arial"/>
          <w:i/>
          <w:color w:val="000000"/>
          <w:sz w:val="20"/>
          <w:szCs w:val="20"/>
          <w:lang w:val="en-ZA" w:eastAsia="en-ZA"/>
        </w:rPr>
        <w:t xml:space="preserve"> accordance with the Plaintiff’s claim against the defendant;</w:t>
      </w:r>
    </w:p>
    <w:p w:rsidR="001566DC" w:rsidRPr="0009269C" w:rsidRDefault="0009269C" w:rsidP="0009269C">
      <w:pPr>
        <w:spacing w:after="240" w:line="360" w:lineRule="auto"/>
        <w:ind w:left="993" w:hanging="426"/>
        <w:jc w:val="both"/>
        <w:rPr>
          <w:rFonts w:ascii="Arial" w:hAnsi="Arial" w:cs="Arial"/>
          <w:i/>
          <w:color w:val="000000"/>
          <w:sz w:val="20"/>
          <w:szCs w:val="20"/>
          <w:lang w:val="en-ZA" w:eastAsia="en-ZA"/>
        </w:rPr>
      </w:pPr>
      <w:r w:rsidRPr="009153E3">
        <w:rPr>
          <w:rFonts w:ascii="Arial" w:hAnsi="Arial" w:cs="Arial"/>
          <w:i/>
          <w:color w:val="000000"/>
          <w:sz w:val="20"/>
          <w:szCs w:val="20"/>
          <w:lang w:val="en-ZA" w:eastAsia="en-ZA"/>
        </w:rPr>
        <w:t>(b)</w:t>
      </w:r>
      <w:r w:rsidRPr="009153E3">
        <w:rPr>
          <w:rFonts w:ascii="Arial" w:hAnsi="Arial" w:cs="Arial"/>
          <w:i/>
          <w:color w:val="000000"/>
          <w:sz w:val="20"/>
          <w:szCs w:val="20"/>
          <w:lang w:val="en-ZA" w:eastAsia="en-ZA"/>
        </w:rPr>
        <w:tab/>
      </w:r>
      <w:r w:rsidR="001566DC" w:rsidRPr="0009269C">
        <w:rPr>
          <w:rFonts w:ascii="Arial" w:hAnsi="Arial" w:cs="Arial"/>
          <w:i/>
          <w:color w:val="000000"/>
          <w:sz w:val="20"/>
          <w:szCs w:val="20"/>
          <w:lang w:val="en-ZA" w:eastAsia="en-ZA"/>
        </w:rPr>
        <w:t>Cost of suit, including the cost of the Defendant in defending the action against the Plaintiff.”</w:t>
      </w:r>
    </w:p>
    <w:p w:rsidR="00074FB6" w:rsidRDefault="00074FB6" w:rsidP="009049EF">
      <w:pPr>
        <w:spacing w:after="240" w:line="360" w:lineRule="auto"/>
        <w:ind w:left="567" w:hanging="567"/>
        <w:jc w:val="both"/>
        <w:rPr>
          <w:rFonts w:ascii="Arial" w:hAnsi="Arial" w:cs="Arial"/>
          <w:color w:val="000000"/>
          <w:lang w:val="en-ZA" w:eastAsia="en-ZA"/>
        </w:rPr>
      </w:pPr>
      <w:r>
        <w:rPr>
          <w:rFonts w:ascii="Arial" w:hAnsi="Arial" w:cs="Arial"/>
          <w:color w:val="000000"/>
          <w:lang w:val="en-ZA" w:eastAsia="en-ZA"/>
        </w:rPr>
        <w:t xml:space="preserve">[4] </w:t>
      </w:r>
      <w:r w:rsidR="009049EF">
        <w:rPr>
          <w:rFonts w:ascii="Arial" w:hAnsi="Arial" w:cs="Arial"/>
          <w:color w:val="000000"/>
          <w:lang w:val="en-ZA" w:eastAsia="en-ZA"/>
        </w:rPr>
        <w:tab/>
      </w:r>
      <w:r>
        <w:rPr>
          <w:rFonts w:ascii="Arial" w:hAnsi="Arial" w:cs="Arial"/>
          <w:color w:val="000000"/>
          <w:lang w:val="en-ZA" w:eastAsia="en-ZA"/>
        </w:rPr>
        <w:t>The essence of the third respondent’s opposition is based on the following:</w:t>
      </w:r>
    </w:p>
    <w:p w:rsidR="00074FB6" w:rsidRDefault="00074FB6" w:rsidP="009049EF">
      <w:pPr>
        <w:spacing w:after="240" w:line="360" w:lineRule="auto"/>
        <w:ind w:left="1134" w:hanging="567"/>
        <w:jc w:val="both"/>
        <w:rPr>
          <w:rFonts w:ascii="Arial" w:hAnsi="Arial" w:cs="Arial"/>
          <w:color w:val="000000"/>
          <w:lang w:val="en-ZA" w:eastAsia="en-ZA"/>
        </w:rPr>
      </w:pPr>
      <w:r>
        <w:rPr>
          <w:rFonts w:ascii="Arial" w:hAnsi="Arial" w:cs="Arial"/>
          <w:color w:val="000000"/>
          <w:lang w:val="en-ZA" w:eastAsia="en-ZA"/>
        </w:rPr>
        <w:lastRenderedPageBreak/>
        <w:t xml:space="preserve">4.1 </w:t>
      </w:r>
      <w:r w:rsidR="009049EF">
        <w:rPr>
          <w:rFonts w:ascii="Arial" w:hAnsi="Arial" w:cs="Arial"/>
          <w:color w:val="000000"/>
          <w:lang w:val="en-ZA" w:eastAsia="en-ZA"/>
        </w:rPr>
        <w:tab/>
      </w:r>
      <w:r w:rsidR="00CC741E">
        <w:rPr>
          <w:rFonts w:ascii="Arial" w:hAnsi="Arial" w:cs="Arial"/>
          <w:color w:val="000000"/>
          <w:lang w:val="en-ZA" w:eastAsia="en-ZA"/>
        </w:rPr>
        <w:t>the application is an indulgence that is sought belatedly from this court, with no good cause or reasonable explanation for the extensive delay in bringing the application.</w:t>
      </w:r>
    </w:p>
    <w:p w:rsidR="00CC741E" w:rsidRDefault="00CC741E" w:rsidP="009049EF">
      <w:pPr>
        <w:spacing w:after="240" w:line="360" w:lineRule="auto"/>
        <w:ind w:left="1134" w:hanging="567"/>
        <w:jc w:val="both"/>
        <w:rPr>
          <w:rFonts w:ascii="Arial" w:hAnsi="Arial" w:cs="Arial"/>
          <w:color w:val="000000"/>
          <w:lang w:val="en-ZA" w:eastAsia="en-ZA"/>
        </w:rPr>
      </w:pPr>
      <w:r>
        <w:rPr>
          <w:rFonts w:ascii="Arial" w:hAnsi="Arial" w:cs="Arial"/>
          <w:color w:val="000000"/>
          <w:lang w:val="en-ZA" w:eastAsia="en-ZA"/>
        </w:rPr>
        <w:t xml:space="preserve">4.2 </w:t>
      </w:r>
      <w:r w:rsidR="009049EF">
        <w:rPr>
          <w:rFonts w:ascii="Arial" w:hAnsi="Arial" w:cs="Arial"/>
          <w:color w:val="000000"/>
          <w:lang w:val="en-ZA" w:eastAsia="en-ZA"/>
        </w:rPr>
        <w:tab/>
      </w:r>
      <w:r>
        <w:rPr>
          <w:rFonts w:ascii="Arial" w:hAnsi="Arial" w:cs="Arial"/>
          <w:color w:val="000000"/>
          <w:lang w:val="en-ZA" w:eastAsia="en-ZA"/>
        </w:rPr>
        <w:t>It is without merit, since the alleged claim against UD Trucks has prescribed and the joinder of UD Trucks to the main action would therefore be a futile exercise in causing further delay and distraction in the main action, in addition to being a waste of this court’s resources.</w:t>
      </w:r>
    </w:p>
    <w:p w:rsidR="00F91E5F" w:rsidRDefault="00F91E5F" w:rsidP="009049EF">
      <w:pPr>
        <w:spacing w:after="240" w:line="360" w:lineRule="auto"/>
        <w:ind w:left="1134" w:hanging="567"/>
        <w:jc w:val="both"/>
        <w:rPr>
          <w:rFonts w:ascii="Arial" w:hAnsi="Arial" w:cs="Arial"/>
          <w:color w:val="000000"/>
          <w:lang w:val="en-ZA" w:eastAsia="en-ZA"/>
        </w:rPr>
      </w:pPr>
      <w:r>
        <w:rPr>
          <w:rFonts w:ascii="Arial" w:hAnsi="Arial" w:cs="Arial"/>
          <w:color w:val="000000"/>
          <w:lang w:val="en-ZA" w:eastAsia="en-ZA"/>
        </w:rPr>
        <w:t xml:space="preserve">4.3 </w:t>
      </w:r>
      <w:r w:rsidR="009049EF">
        <w:rPr>
          <w:rFonts w:ascii="Arial" w:hAnsi="Arial" w:cs="Arial"/>
          <w:color w:val="000000"/>
          <w:lang w:val="en-ZA" w:eastAsia="en-ZA"/>
        </w:rPr>
        <w:tab/>
      </w:r>
      <w:r>
        <w:rPr>
          <w:rFonts w:ascii="Arial" w:hAnsi="Arial" w:cs="Arial"/>
          <w:color w:val="000000"/>
          <w:lang w:val="en-ZA" w:eastAsia="en-ZA"/>
        </w:rPr>
        <w:t>It is without merit and appears to be predicated on an alleged warranty that does not find application in the present instance.</w:t>
      </w:r>
    </w:p>
    <w:p w:rsidR="00F91E5F" w:rsidRDefault="00F91E5F" w:rsidP="009049EF">
      <w:pPr>
        <w:spacing w:after="240" w:line="360" w:lineRule="auto"/>
        <w:ind w:left="1134" w:hanging="567"/>
        <w:jc w:val="both"/>
        <w:rPr>
          <w:rFonts w:ascii="Arial" w:hAnsi="Arial" w:cs="Arial"/>
          <w:color w:val="000000"/>
          <w:lang w:val="en-ZA" w:eastAsia="en-ZA"/>
        </w:rPr>
      </w:pPr>
      <w:r>
        <w:rPr>
          <w:rFonts w:ascii="Arial" w:hAnsi="Arial" w:cs="Arial"/>
          <w:color w:val="000000"/>
          <w:lang w:val="en-ZA" w:eastAsia="en-ZA"/>
        </w:rPr>
        <w:t xml:space="preserve">4.4 </w:t>
      </w:r>
      <w:r w:rsidR="009049EF">
        <w:rPr>
          <w:rFonts w:ascii="Arial" w:hAnsi="Arial" w:cs="Arial"/>
          <w:color w:val="000000"/>
          <w:lang w:val="en-ZA" w:eastAsia="en-ZA"/>
        </w:rPr>
        <w:tab/>
      </w:r>
      <w:r>
        <w:rPr>
          <w:rFonts w:ascii="Arial" w:hAnsi="Arial" w:cs="Arial"/>
          <w:color w:val="000000"/>
          <w:lang w:val="en-ZA" w:eastAsia="en-ZA"/>
        </w:rPr>
        <w:t xml:space="preserve">It is an attempt to join UD Trucks on the basis of a </w:t>
      </w:r>
      <w:r w:rsidR="00DF1E5B">
        <w:rPr>
          <w:rFonts w:ascii="Arial" w:hAnsi="Arial" w:cs="Arial"/>
          <w:color w:val="000000"/>
          <w:lang w:val="en-ZA" w:eastAsia="en-ZA"/>
        </w:rPr>
        <w:t>third-party</w:t>
      </w:r>
      <w:r>
        <w:rPr>
          <w:rFonts w:ascii="Arial" w:hAnsi="Arial" w:cs="Arial"/>
          <w:color w:val="000000"/>
          <w:lang w:val="en-ZA" w:eastAsia="en-ZA"/>
        </w:rPr>
        <w:t xml:space="preserve"> notice</w:t>
      </w:r>
      <w:r w:rsidR="00DF1E5B">
        <w:rPr>
          <w:rFonts w:ascii="Arial" w:hAnsi="Arial" w:cs="Arial"/>
          <w:color w:val="000000"/>
          <w:lang w:val="en-ZA" w:eastAsia="en-ZA"/>
        </w:rPr>
        <w:t xml:space="preserve"> that is excipiable when the test as set out by case law precedent is applied to the third-party notice.</w:t>
      </w:r>
    </w:p>
    <w:p w:rsidR="00A02615" w:rsidRDefault="00252EF9" w:rsidP="009049EF">
      <w:pPr>
        <w:spacing w:after="240" w:line="360" w:lineRule="auto"/>
        <w:ind w:left="1134" w:hanging="567"/>
        <w:jc w:val="both"/>
        <w:rPr>
          <w:rFonts w:ascii="Arial" w:hAnsi="Arial" w:cs="Arial"/>
          <w:color w:val="000000"/>
          <w:lang w:val="en-ZA" w:eastAsia="en-ZA"/>
        </w:rPr>
      </w:pPr>
      <w:r>
        <w:rPr>
          <w:rFonts w:ascii="Arial" w:hAnsi="Arial" w:cs="Arial"/>
          <w:color w:val="000000"/>
          <w:lang w:val="en-ZA" w:eastAsia="en-ZA"/>
        </w:rPr>
        <w:t xml:space="preserve">4.5 </w:t>
      </w:r>
      <w:r w:rsidR="009049EF">
        <w:rPr>
          <w:rFonts w:ascii="Arial" w:hAnsi="Arial" w:cs="Arial"/>
          <w:color w:val="000000"/>
          <w:lang w:val="en-ZA" w:eastAsia="en-ZA"/>
        </w:rPr>
        <w:tab/>
      </w:r>
      <w:r>
        <w:rPr>
          <w:rFonts w:ascii="Arial" w:hAnsi="Arial" w:cs="Arial"/>
          <w:color w:val="000000"/>
          <w:lang w:val="en-ZA" w:eastAsia="en-ZA"/>
        </w:rPr>
        <w:t xml:space="preserve">It does not make out a </w:t>
      </w:r>
      <w:r w:rsidRPr="00337D39">
        <w:rPr>
          <w:rFonts w:ascii="Arial" w:hAnsi="Arial" w:cs="Arial"/>
          <w:i/>
          <w:color w:val="000000"/>
          <w:lang w:val="en-ZA" w:eastAsia="en-ZA"/>
        </w:rPr>
        <w:t>prima facie</w:t>
      </w:r>
      <w:r>
        <w:rPr>
          <w:rFonts w:ascii="Arial" w:hAnsi="Arial" w:cs="Arial"/>
          <w:color w:val="000000"/>
          <w:lang w:val="en-ZA" w:eastAsia="en-ZA"/>
        </w:rPr>
        <w:t xml:space="preserve"> case against UD Trucks.</w:t>
      </w:r>
    </w:p>
    <w:p w:rsidR="00F52CE1" w:rsidRPr="009049EF" w:rsidRDefault="00F52CE1" w:rsidP="00074FB6">
      <w:pPr>
        <w:spacing w:after="240" w:line="360" w:lineRule="auto"/>
        <w:jc w:val="both"/>
        <w:rPr>
          <w:rFonts w:ascii="Arial" w:hAnsi="Arial" w:cs="Arial"/>
          <w:i/>
          <w:color w:val="000000"/>
          <w:u w:val="single"/>
          <w:lang w:val="en-ZA" w:eastAsia="en-ZA"/>
        </w:rPr>
      </w:pPr>
      <w:r w:rsidRPr="009049EF">
        <w:rPr>
          <w:rFonts w:ascii="Arial" w:hAnsi="Arial" w:cs="Arial"/>
          <w:i/>
          <w:color w:val="000000"/>
          <w:u w:val="single"/>
          <w:lang w:val="en-ZA" w:eastAsia="en-ZA"/>
        </w:rPr>
        <w:t>Background</w:t>
      </w:r>
    </w:p>
    <w:p w:rsidR="00C2600F" w:rsidRDefault="00C2600F" w:rsidP="009049EF">
      <w:pPr>
        <w:spacing w:after="240" w:line="360" w:lineRule="auto"/>
        <w:ind w:left="567" w:hanging="567"/>
        <w:jc w:val="both"/>
        <w:rPr>
          <w:rFonts w:ascii="Arial" w:hAnsi="Arial" w:cs="Arial"/>
          <w:color w:val="000000"/>
          <w:lang w:val="en-ZA" w:eastAsia="en-ZA"/>
        </w:rPr>
      </w:pPr>
      <w:r>
        <w:rPr>
          <w:rFonts w:ascii="Arial" w:hAnsi="Arial" w:cs="Arial"/>
          <w:color w:val="000000"/>
          <w:lang w:val="en-ZA" w:eastAsia="en-ZA"/>
        </w:rPr>
        <w:t xml:space="preserve">[5] </w:t>
      </w:r>
      <w:r w:rsidR="009049EF">
        <w:rPr>
          <w:rFonts w:ascii="Arial" w:hAnsi="Arial" w:cs="Arial"/>
          <w:color w:val="000000"/>
          <w:lang w:val="en-ZA" w:eastAsia="en-ZA"/>
        </w:rPr>
        <w:tab/>
      </w:r>
      <w:r w:rsidR="00395344">
        <w:rPr>
          <w:rFonts w:ascii="Arial" w:hAnsi="Arial" w:cs="Arial"/>
          <w:color w:val="000000"/>
          <w:lang w:val="en-ZA" w:eastAsia="en-ZA"/>
        </w:rPr>
        <w:t>On 2 August 2018, the second respondent delivered a truck to the applicant who effected an alteration to the truck by modifying and fitting it with a 10 000 litre combination jetting and vacuum body. The alteration was fitted to the cab and chassis of the truck. The third respondent manufactured the cab and chassis of the truck.</w:t>
      </w:r>
      <w:r w:rsidR="00576882">
        <w:rPr>
          <w:rFonts w:ascii="Arial" w:hAnsi="Arial" w:cs="Arial"/>
          <w:color w:val="000000"/>
          <w:lang w:val="en-ZA" w:eastAsia="en-ZA"/>
        </w:rPr>
        <w:t xml:space="preserve"> The applicant delivered the modified truck to the first respondent on 27 May 2019.</w:t>
      </w:r>
    </w:p>
    <w:p w:rsidR="00C2600F" w:rsidRDefault="00A02615" w:rsidP="009049EF">
      <w:pPr>
        <w:spacing w:after="240" w:line="360" w:lineRule="auto"/>
        <w:ind w:left="567" w:hanging="567"/>
        <w:jc w:val="both"/>
        <w:rPr>
          <w:rFonts w:ascii="Arial" w:hAnsi="Arial" w:cs="Arial"/>
          <w:color w:val="000000"/>
          <w:lang w:val="en-ZA" w:eastAsia="en-ZA"/>
        </w:rPr>
      </w:pPr>
      <w:r>
        <w:rPr>
          <w:rFonts w:ascii="Arial" w:hAnsi="Arial" w:cs="Arial"/>
          <w:color w:val="000000"/>
          <w:lang w:val="en-ZA" w:eastAsia="en-ZA"/>
        </w:rPr>
        <w:t>[6]</w:t>
      </w:r>
      <w:r w:rsidR="009049EF">
        <w:rPr>
          <w:rFonts w:ascii="Arial" w:hAnsi="Arial" w:cs="Arial"/>
          <w:color w:val="000000"/>
          <w:lang w:val="en-ZA" w:eastAsia="en-ZA"/>
        </w:rPr>
        <w:tab/>
      </w:r>
      <w:r>
        <w:rPr>
          <w:rFonts w:ascii="Arial" w:hAnsi="Arial" w:cs="Arial"/>
          <w:color w:val="000000"/>
          <w:lang w:val="en-ZA" w:eastAsia="en-ZA"/>
        </w:rPr>
        <w:t xml:space="preserve"> At the instance of the first respondent, a letter of demand was dispatched to the third respondent, stating that the truck’s gearbox was materially defective and legal remedies would be pursued against the third respondent in relation to the truck.</w:t>
      </w:r>
      <w:r>
        <w:rPr>
          <w:rStyle w:val="FootnoteReference"/>
          <w:rFonts w:ascii="Arial" w:hAnsi="Arial" w:cs="Arial"/>
          <w:color w:val="000000"/>
          <w:lang w:val="en-ZA" w:eastAsia="en-ZA"/>
        </w:rPr>
        <w:footnoteReference w:id="2"/>
      </w:r>
      <w:r w:rsidR="003439E2">
        <w:rPr>
          <w:rFonts w:ascii="Arial" w:hAnsi="Arial" w:cs="Arial"/>
          <w:color w:val="000000"/>
          <w:lang w:val="en-ZA" w:eastAsia="en-ZA"/>
        </w:rPr>
        <w:t xml:space="preserve"> The third respondent was required to replace the truck of the same model with a different gearbox, in good working order and condition which was subject </w:t>
      </w:r>
      <w:r w:rsidR="003439E2">
        <w:rPr>
          <w:rFonts w:ascii="Arial" w:hAnsi="Arial" w:cs="Arial"/>
          <w:color w:val="000000"/>
          <w:lang w:val="en-ZA" w:eastAsia="en-ZA"/>
        </w:rPr>
        <w:lastRenderedPageBreak/>
        <w:t>to a min</w:t>
      </w:r>
      <w:r w:rsidR="00AE5421">
        <w:rPr>
          <w:rFonts w:ascii="Arial" w:hAnsi="Arial" w:cs="Arial"/>
          <w:color w:val="000000"/>
          <w:lang w:val="en-ZA" w:eastAsia="en-ZA"/>
        </w:rPr>
        <w:t>imum two-year</w:t>
      </w:r>
      <w:r w:rsidR="003439E2">
        <w:rPr>
          <w:rFonts w:ascii="Arial" w:hAnsi="Arial" w:cs="Arial"/>
          <w:color w:val="000000"/>
          <w:lang w:val="en-ZA" w:eastAsia="en-ZA"/>
        </w:rPr>
        <w:t xml:space="preserve"> warranty by 26 March 2021.</w:t>
      </w:r>
      <w:r w:rsidR="003439E2">
        <w:rPr>
          <w:rStyle w:val="FootnoteReference"/>
          <w:rFonts w:ascii="Arial" w:hAnsi="Arial" w:cs="Arial"/>
          <w:color w:val="000000"/>
          <w:lang w:val="en-ZA" w:eastAsia="en-ZA"/>
        </w:rPr>
        <w:footnoteReference w:id="3"/>
      </w:r>
      <w:r w:rsidR="00BD78D6">
        <w:rPr>
          <w:rFonts w:ascii="Arial" w:hAnsi="Arial" w:cs="Arial"/>
          <w:color w:val="000000"/>
          <w:lang w:val="en-ZA" w:eastAsia="en-ZA"/>
        </w:rPr>
        <w:t xml:space="preserve"> It was stated in this letter that a letter of demand was also dispatched to the applicant.</w:t>
      </w:r>
      <w:r w:rsidR="00BD78D6">
        <w:rPr>
          <w:rStyle w:val="FootnoteReference"/>
          <w:rFonts w:ascii="Arial" w:hAnsi="Arial" w:cs="Arial"/>
          <w:color w:val="000000"/>
          <w:lang w:val="en-ZA" w:eastAsia="en-ZA"/>
        </w:rPr>
        <w:footnoteReference w:id="4"/>
      </w:r>
      <w:r w:rsidR="00E11B4C">
        <w:rPr>
          <w:rFonts w:ascii="Arial" w:hAnsi="Arial" w:cs="Arial"/>
          <w:color w:val="000000"/>
          <w:lang w:val="en-ZA" w:eastAsia="en-ZA"/>
        </w:rPr>
        <w:t xml:space="preserve"> </w:t>
      </w:r>
    </w:p>
    <w:p w:rsidR="00E11B4C" w:rsidRDefault="00FF024E" w:rsidP="009049EF">
      <w:pPr>
        <w:spacing w:after="240" w:line="360" w:lineRule="auto"/>
        <w:ind w:left="567" w:hanging="567"/>
        <w:jc w:val="both"/>
        <w:rPr>
          <w:rFonts w:ascii="Arial" w:hAnsi="Arial" w:cs="Arial"/>
          <w:color w:val="000000"/>
          <w:lang w:val="en-ZA" w:eastAsia="en-ZA"/>
        </w:rPr>
      </w:pPr>
      <w:r>
        <w:rPr>
          <w:rFonts w:ascii="Arial" w:hAnsi="Arial" w:cs="Arial"/>
          <w:color w:val="000000"/>
          <w:lang w:val="en-ZA" w:eastAsia="en-ZA"/>
        </w:rPr>
        <w:t xml:space="preserve">[7] </w:t>
      </w:r>
      <w:r w:rsidR="009049EF">
        <w:rPr>
          <w:rFonts w:ascii="Arial" w:hAnsi="Arial" w:cs="Arial"/>
          <w:color w:val="000000"/>
          <w:lang w:val="en-ZA" w:eastAsia="en-ZA"/>
        </w:rPr>
        <w:tab/>
      </w:r>
      <w:r>
        <w:rPr>
          <w:rFonts w:ascii="Arial" w:hAnsi="Arial" w:cs="Arial"/>
          <w:color w:val="000000"/>
          <w:lang w:val="en-ZA" w:eastAsia="en-ZA"/>
        </w:rPr>
        <w:t>The</w:t>
      </w:r>
      <w:r w:rsidR="00E11B4C">
        <w:rPr>
          <w:rFonts w:ascii="Arial" w:hAnsi="Arial" w:cs="Arial"/>
          <w:color w:val="000000"/>
          <w:lang w:val="en-ZA" w:eastAsia="en-ZA"/>
        </w:rPr>
        <w:t xml:space="preserve"> third respondent replied to the first respondent’s letter of demand on 1 April 2021 and indicated that it had investigated the history and nature of the repairs to the truck and the parts to be replaced and had found that the damage caused had been as a result of driver conduct.</w:t>
      </w:r>
      <w:r w:rsidR="00E1790E">
        <w:rPr>
          <w:rFonts w:ascii="Arial" w:hAnsi="Arial" w:cs="Arial"/>
          <w:color w:val="000000"/>
          <w:lang w:val="en-ZA" w:eastAsia="en-ZA"/>
        </w:rPr>
        <w:t xml:space="preserve"> The first two repairs were warrantable due to a factory fault. However, the subsequent five failures of the truck’s gearbox or any other component were not materially defective or defective in any manner that would necessitate continuous further repairs.</w:t>
      </w:r>
      <w:r w:rsidR="00E1790E">
        <w:rPr>
          <w:rStyle w:val="FootnoteReference"/>
          <w:rFonts w:ascii="Arial" w:hAnsi="Arial" w:cs="Arial"/>
          <w:color w:val="000000"/>
          <w:lang w:val="en-ZA" w:eastAsia="en-ZA"/>
        </w:rPr>
        <w:footnoteReference w:id="5"/>
      </w:r>
    </w:p>
    <w:p w:rsidR="0066061B" w:rsidRDefault="0066061B" w:rsidP="009049EF">
      <w:pPr>
        <w:spacing w:after="240" w:line="360" w:lineRule="auto"/>
        <w:ind w:left="567" w:hanging="567"/>
        <w:jc w:val="both"/>
        <w:rPr>
          <w:rFonts w:ascii="Arial" w:hAnsi="Arial" w:cs="Arial"/>
          <w:color w:val="000000"/>
          <w:lang w:val="en-ZA" w:eastAsia="en-ZA"/>
        </w:rPr>
      </w:pPr>
      <w:r>
        <w:rPr>
          <w:rFonts w:ascii="Arial" w:hAnsi="Arial" w:cs="Arial"/>
          <w:color w:val="000000"/>
          <w:lang w:val="en-ZA" w:eastAsia="en-ZA"/>
        </w:rPr>
        <w:t xml:space="preserve">[8] </w:t>
      </w:r>
      <w:r w:rsidR="009049EF">
        <w:rPr>
          <w:rFonts w:ascii="Arial" w:hAnsi="Arial" w:cs="Arial"/>
          <w:color w:val="000000"/>
          <w:lang w:val="en-ZA" w:eastAsia="en-ZA"/>
        </w:rPr>
        <w:tab/>
      </w:r>
      <w:r>
        <w:rPr>
          <w:rFonts w:ascii="Arial" w:hAnsi="Arial" w:cs="Arial"/>
          <w:color w:val="000000"/>
          <w:lang w:val="en-ZA" w:eastAsia="en-ZA"/>
        </w:rPr>
        <w:t xml:space="preserve">The first respondent issued </w:t>
      </w:r>
      <w:r w:rsidR="00B201D2">
        <w:rPr>
          <w:rFonts w:ascii="Arial" w:hAnsi="Arial" w:cs="Arial"/>
          <w:color w:val="000000"/>
          <w:lang w:val="en-ZA" w:eastAsia="en-ZA"/>
        </w:rPr>
        <w:t xml:space="preserve">a </w:t>
      </w:r>
      <w:r>
        <w:rPr>
          <w:rFonts w:ascii="Arial" w:hAnsi="Arial" w:cs="Arial"/>
          <w:color w:val="000000"/>
          <w:lang w:val="en-ZA" w:eastAsia="en-ZA"/>
        </w:rPr>
        <w:t xml:space="preserve">summons against </w:t>
      </w:r>
      <w:r w:rsidR="00F937D1">
        <w:rPr>
          <w:rFonts w:ascii="Arial" w:hAnsi="Arial" w:cs="Arial"/>
          <w:color w:val="000000"/>
          <w:lang w:val="en-ZA" w:eastAsia="en-ZA"/>
        </w:rPr>
        <w:t>the applicant on 27 August 2021, alleging amongst others, that the truck was not manufactured with reasonable skill and care, alternatively, had a defective gearbox on delivery to the applicant, subsequently to the Standard Bank</w:t>
      </w:r>
      <w:r w:rsidR="00F937D1">
        <w:rPr>
          <w:rStyle w:val="FootnoteReference"/>
          <w:rFonts w:ascii="Arial" w:hAnsi="Arial" w:cs="Arial"/>
          <w:color w:val="000000"/>
          <w:lang w:val="en-ZA" w:eastAsia="en-ZA"/>
        </w:rPr>
        <w:footnoteReference w:id="6"/>
      </w:r>
      <w:r w:rsidR="00F937D1">
        <w:rPr>
          <w:rFonts w:ascii="Arial" w:hAnsi="Arial" w:cs="Arial"/>
          <w:color w:val="000000"/>
          <w:lang w:val="en-ZA" w:eastAsia="en-ZA"/>
        </w:rPr>
        <w:t xml:space="preserve"> </w:t>
      </w:r>
      <w:r w:rsidR="00984558">
        <w:rPr>
          <w:rFonts w:ascii="Arial" w:hAnsi="Arial" w:cs="Arial"/>
          <w:color w:val="000000"/>
          <w:lang w:val="en-ZA" w:eastAsia="en-ZA"/>
        </w:rPr>
        <w:t>and the first respondent</w:t>
      </w:r>
      <w:r w:rsidR="00632B87">
        <w:rPr>
          <w:rFonts w:ascii="Arial" w:hAnsi="Arial" w:cs="Arial"/>
          <w:color w:val="000000"/>
          <w:lang w:val="en-ZA" w:eastAsia="en-ZA"/>
        </w:rPr>
        <w:t>.</w:t>
      </w:r>
      <w:r w:rsidR="00984558">
        <w:rPr>
          <w:rStyle w:val="FootnoteReference"/>
          <w:rFonts w:ascii="Arial" w:hAnsi="Arial" w:cs="Arial"/>
          <w:color w:val="000000"/>
          <w:lang w:val="en-ZA" w:eastAsia="en-ZA"/>
        </w:rPr>
        <w:footnoteReference w:id="7"/>
      </w:r>
      <w:r w:rsidR="0052107D">
        <w:rPr>
          <w:rFonts w:ascii="Arial" w:hAnsi="Arial" w:cs="Arial"/>
          <w:color w:val="000000"/>
          <w:lang w:val="en-ZA" w:eastAsia="en-ZA"/>
        </w:rPr>
        <w:t xml:space="preserve"> The applicant filed its Plea in the action together with a third party notice against the second respondent. The applicant pleaded that it did not manufacture the cab and chassis, which included the engine and gearbox, nor was it the underwriter of the manufacturer’s warranty as accepted by the first respondent.</w:t>
      </w:r>
      <w:r w:rsidR="0052107D">
        <w:rPr>
          <w:rStyle w:val="FootnoteReference"/>
          <w:rFonts w:ascii="Arial" w:hAnsi="Arial" w:cs="Arial"/>
          <w:color w:val="000000"/>
          <w:lang w:val="en-ZA" w:eastAsia="en-ZA"/>
        </w:rPr>
        <w:footnoteReference w:id="8"/>
      </w:r>
      <w:r w:rsidR="008B04ED">
        <w:rPr>
          <w:rFonts w:ascii="Arial" w:hAnsi="Arial" w:cs="Arial"/>
          <w:color w:val="000000"/>
          <w:lang w:val="en-ZA" w:eastAsia="en-ZA"/>
        </w:rPr>
        <w:t xml:space="preserve"> The cab and chassis, including the engine and gearbox, were supplied as a new vehicle subject to the manufacturer’s warranty by the second respondent as per the respective agreements between the first respondent and the second respondent and the first respondent and the applicant as pleaded.</w:t>
      </w:r>
      <w:r w:rsidR="00A366CC">
        <w:rPr>
          <w:rStyle w:val="FootnoteReference"/>
          <w:rFonts w:ascii="Arial" w:hAnsi="Arial" w:cs="Arial"/>
          <w:color w:val="000000"/>
          <w:lang w:val="en-ZA" w:eastAsia="en-ZA"/>
        </w:rPr>
        <w:footnoteReference w:id="9"/>
      </w:r>
    </w:p>
    <w:p w:rsidR="00166E4D" w:rsidRDefault="00332212" w:rsidP="009049EF">
      <w:pPr>
        <w:spacing w:after="240" w:line="360" w:lineRule="auto"/>
        <w:ind w:left="567" w:hanging="567"/>
        <w:jc w:val="both"/>
        <w:rPr>
          <w:rFonts w:ascii="Arial" w:hAnsi="Arial" w:cs="Arial"/>
          <w:color w:val="000000"/>
          <w:lang w:val="en-ZA" w:eastAsia="en-ZA"/>
        </w:rPr>
      </w:pPr>
      <w:r>
        <w:rPr>
          <w:rFonts w:ascii="Arial" w:hAnsi="Arial" w:cs="Arial"/>
          <w:color w:val="000000"/>
          <w:lang w:val="en-ZA" w:eastAsia="en-ZA"/>
        </w:rPr>
        <w:t>[9</w:t>
      </w:r>
      <w:r w:rsidR="00166E4D">
        <w:rPr>
          <w:rFonts w:ascii="Arial" w:hAnsi="Arial" w:cs="Arial"/>
          <w:color w:val="000000"/>
          <w:lang w:val="en-ZA" w:eastAsia="en-ZA"/>
        </w:rPr>
        <w:t xml:space="preserve">] </w:t>
      </w:r>
      <w:r w:rsidR="009049EF">
        <w:rPr>
          <w:rFonts w:ascii="Arial" w:hAnsi="Arial" w:cs="Arial"/>
          <w:color w:val="000000"/>
          <w:lang w:val="en-ZA" w:eastAsia="en-ZA"/>
        </w:rPr>
        <w:tab/>
      </w:r>
      <w:r w:rsidR="00166E4D">
        <w:rPr>
          <w:rFonts w:ascii="Arial" w:hAnsi="Arial" w:cs="Arial"/>
          <w:color w:val="000000"/>
          <w:lang w:val="en-ZA" w:eastAsia="en-ZA"/>
        </w:rPr>
        <w:t>Pleadings closed on 23 December 2021.</w:t>
      </w:r>
      <w:r w:rsidR="00166E4D">
        <w:rPr>
          <w:rStyle w:val="FootnoteReference"/>
          <w:rFonts w:ascii="Arial" w:hAnsi="Arial" w:cs="Arial"/>
          <w:color w:val="000000"/>
          <w:lang w:val="en-ZA" w:eastAsia="en-ZA"/>
        </w:rPr>
        <w:footnoteReference w:id="10"/>
      </w:r>
      <w:r w:rsidR="000C77C4">
        <w:rPr>
          <w:rFonts w:ascii="Arial" w:hAnsi="Arial" w:cs="Arial"/>
          <w:color w:val="000000"/>
          <w:lang w:val="en-ZA" w:eastAsia="en-ZA"/>
        </w:rPr>
        <w:t xml:space="preserve"> The first respondent filed its discovery affidavit on 25 February 2022. The applicant’s attorneys inspected the discovered documents on 28 March 2022.</w:t>
      </w:r>
      <w:r w:rsidR="000C77C4">
        <w:rPr>
          <w:rStyle w:val="FootnoteReference"/>
          <w:rFonts w:ascii="Arial" w:hAnsi="Arial" w:cs="Arial"/>
          <w:color w:val="000000"/>
          <w:lang w:val="en-ZA" w:eastAsia="en-ZA"/>
        </w:rPr>
        <w:footnoteReference w:id="11"/>
      </w:r>
      <w:r w:rsidR="000C77C4">
        <w:rPr>
          <w:rFonts w:ascii="Arial" w:hAnsi="Arial" w:cs="Arial"/>
          <w:color w:val="000000"/>
          <w:lang w:val="en-ZA" w:eastAsia="en-ZA"/>
        </w:rPr>
        <w:t xml:space="preserve"> In both written and oral argument</w:t>
      </w:r>
      <w:r w:rsidR="00600DB1">
        <w:rPr>
          <w:rFonts w:ascii="Arial" w:hAnsi="Arial" w:cs="Arial"/>
          <w:color w:val="000000"/>
          <w:lang w:val="en-ZA" w:eastAsia="en-ZA"/>
        </w:rPr>
        <w:t>s</w:t>
      </w:r>
      <w:r w:rsidR="000C77C4">
        <w:rPr>
          <w:rFonts w:ascii="Arial" w:hAnsi="Arial" w:cs="Arial"/>
          <w:color w:val="000000"/>
          <w:lang w:val="en-ZA" w:eastAsia="en-ZA"/>
        </w:rPr>
        <w:t xml:space="preserve">, </w:t>
      </w:r>
      <w:r w:rsidR="000C77C4">
        <w:rPr>
          <w:rFonts w:ascii="Arial" w:hAnsi="Arial" w:cs="Arial"/>
          <w:color w:val="000000"/>
          <w:lang w:val="en-ZA" w:eastAsia="en-ZA"/>
        </w:rPr>
        <w:lastRenderedPageBreak/>
        <w:t>the applicant submitted that the application should succeed as the claim against the third respondent had not prescribed as:</w:t>
      </w:r>
    </w:p>
    <w:p w:rsidR="008153E4" w:rsidRDefault="00332212" w:rsidP="009049EF">
      <w:pPr>
        <w:spacing w:after="240" w:line="360" w:lineRule="auto"/>
        <w:ind w:left="1134" w:hanging="567"/>
        <w:jc w:val="both"/>
        <w:rPr>
          <w:rFonts w:ascii="Arial" w:hAnsi="Arial" w:cs="Arial"/>
          <w:color w:val="000000"/>
          <w:lang w:val="en-ZA" w:eastAsia="en-ZA"/>
        </w:rPr>
      </w:pPr>
      <w:r>
        <w:rPr>
          <w:rFonts w:ascii="Arial" w:hAnsi="Arial" w:cs="Arial"/>
          <w:color w:val="000000"/>
          <w:lang w:val="en-ZA" w:eastAsia="en-ZA"/>
        </w:rPr>
        <w:t>9</w:t>
      </w:r>
      <w:r w:rsidR="000C77C4">
        <w:rPr>
          <w:rFonts w:ascii="Arial" w:hAnsi="Arial" w:cs="Arial"/>
          <w:color w:val="000000"/>
          <w:lang w:val="en-ZA" w:eastAsia="en-ZA"/>
        </w:rPr>
        <w:t xml:space="preserve">.1 </w:t>
      </w:r>
      <w:r w:rsidR="009049EF">
        <w:rPr>
          <w:rFonts w:ascii="Arial" w:hAnsi="Arial" w:cs="Arial"/>
          <w:color w:val="000000"/>
          <w:lang w:val="en-ZA" w:eastAsia="en-ZA"/>
        </w:rPr>
        <w:tab/>
      </w:r>
      <w:r w:rsidR="000C77C4">
        <w:rPr>
          <w:rFonts w:ascii="Arial" w:hAnsi="Arial" w:cs="Arial"/>
          <w:color w:val="000000"/>
          <w:lang w:val="en-ZA" w:eastAsia="en-ZA"/>
        </w:rPr>
        <w:t>A claim for indemnification</w:t>
      </w:r>
      <w:r w:rsidR="00CC3E6E">
        <w:rPr>
          <w:rFonts w:ascii="Arial" w:hAnsi="Arial" w:cs="Arial"/>
          <w:color w:val="000000"/>
          <w:lang w:val="en-ZA" w:eastAsia="en-ZA"/>
        </w:rPr>
        <w:t>, as sought by the applicant in terms of Rule 13, does not constitute a debt for the purposes of the Prescription Act;</w:t>
      </w:r>
    </w:p>
    <w:p w:rsidR="008153E4" w:rsidRDefault="00332212" w:rsidP="009049EF">
      <w:pPr>
        <w:spacing w:after="240" w:line="360" w:lineRule="auto"/>
        <w:ind w:left="1134" w:hanging="567"/>
        <w:jc w:val="both"/>
        <w:rPr>
          <w:rFonts w:ascii="Arial" w:hAnsi="Arial" w:cs="Arial"/>
          <w:color w:val="000000"/>
          <w:lang w:val="en-ZA" w:eastAsia="en-ZA"/>
        </w:rPr>
      </w:pPr>
      <w:r>
        <w:rPr>
          <w:rFonts w:ascii="Arial" w:hAnsi="Arial" w:cs="Arial"/>
          <w:color w:val="000000"/>
          <w:lang w:val="en-ZA" w:eastAsia="en-ZA"/>
        </w:rPr>
        <w:t>9</w:t>
      </w:r>
      <w:r w:rsidR="00CC3E6E">
        <w:rPr>
          <w:rFonts w:ascii="Arial" w:hAnsi="Arial" w:cs="Arial"/>
          <w:color w:val="000000"/>
          <w:lang w:val="en-ZA" w:eastAsia="en-ZA"/>
        </w:rPr>
        <w:t xml:space="preserve">.2 </w:t>
      </w:r>
      <w:r w:rsidR="009049EF">
        <w:rPr>
          <w:rFonts w:ascii="Arial" w:hAnsi="Arial" w:cs="Arial"/>
          <w:color w:val="000000"/>
          <w:lang w:val="en-ZA" w:eastAsia="en-ZA"/>
        </w:rPr>
        <w:tab/>
      </w:r>
      <w:r w:rsidR="00CC3E6E">
        <w:rPr>
          <w:rFonts w:ascii="Arial" w:hAnsi="Arial" w:cs="Arial"/>
          <w:color w:val="000000"/>
          <w:lang w:val="en-ZA" w:eastAsia="en-ZA"/>
        </w:rPr>
        <w:t>The third respondent wilfully prevented the applicant from coming to know of the existence of the admitted factory faults to the cab and chassis of the truck, specifically in relation to the gearbox;</w:t>
      </w:r>
    </w:p>
    <w:p w:rsidR="006F68DB" w:rsidRDefault="00332212" w:rsidP="009049EF">
      <w:pPr>
        <w:spacing w:after="240" w:line="360" w:lineRule="auto"/>
        <w:ind w:left="1134" w:hanging="567"/>
        <w:jc w:val="both"/>
        <w:rPr>
          <w:rFonts w:ascii="Arial" w:hAnsi="Arial" w:cs="Arial"/>
          <w:color w:val="000000"/>
          <w:lang w:val="en-ZA" w:eastAsia="en-ZA"/>
        </w:rPr>
      </w:pPr>
      <w:r>
        <w:rPr>
          <w:rFonts w:ascii="Arial" w:hAnsi="Arial" w:cs="Arial"/>
          <w:color w:val="000000"/>
          <w:lang w:val="en-ZA" w:eastAsia="en-ZA"/>
        </w:rPr>
        <w:t>9</w:t>
      </w:r>
      <w:r w:rsidR="009049EF">
        <w:rPr>
          <w:rFonts w:ascii="Arial" w:hAnsi="Arial" w:cs="Arial"/>
          <w:color w:val="000000"/>
          <w:lang w:val="en-ZA" w:eastAsia="en-ZA"/>
        </w:rPr>
        <w:t xml:space="preserve">.3 </w:t>
      </w:r>
      <w:r w:rsidR="009049EF">
        <w:rPr>
          <w:rFonts w:ascii="Arial" w:hAnsi="Arial" w:cs="Arial"/>
          <w:color w:val="000000"/>
          <w:lang w:val="en-ZA" w:eastAsia="en-ZA"/>
        </w:rPr>
        <w:tab/>
        <w:t>T</w:t>
      </w:r>
      <w:r w:rsidR="00CC3E6E">
        <w:rPr>
          <w:rFonts w:ascii="Arial" w:hAnsi="Arial" w:cs="Arial"/>
          <w:color w:val="000000"/>
          <w:lang w:val="en-ZA" w:eastAsia="en-ZA"/>
        </w:rPr>
        <w:t>he applicant only became aware of and obtained knowledge of the admitted factory fault on 28 March 2022, which gave rise to the first respondent’s claim against the applicant.</w:t>
      </w:r>
    </w:p>
    <w:p w:rsidR="005F460B" w:rsidRDefault="00332212" w:rsidP="009049EF">
      <w:pPr>
        <w:spacing w:after="240" w:line="360" w:lineRule="auto"/>
        <w:ind w:left="1134" w:hanging="567"/>
        <w:jc w:val="both"/>
        <w:rPr>
          <w:rFonts w:ascii="Arial" w:hAnsi="Arial" w:cs="Arial"/>
          <w:color w:val="000000"/>
          <w:lang w:val="en-ZA" w:eastAsia="en-ZA"/>
        </w:rPr>
      </w:pPr>
      <w:r>
        <w:rPr>
          <w:rFonts w:ascii="Arial" w:hAnsi="Arial" w:cs="Arial"/>
          <w:color w:val="000000"/>
          <w:lang w:val="en-ZA" w:eastAsia="en-ZA"/>
        </w:rPr>
        <w:t>9</w:t>
      </w:r>
      <w:r w:rsidR="005F460B">
        <w:rPr>
          <w:rFonts w:ascii="Arial" w:hAnsi="Arial" w:cs="Arial"/>
          <w:color w:val="000000"/>
          <w:lang w:val="en-ZA" w:eastAsia="en-ZA"/>
        </w:rPr>
        <w:t xml:space="preserve">.4 </w:t>
      </w:r>
      <w:r w:rsidR="009049EF">
        <w:rPr>
          <w:rFonts w:ascii="Arial" w:hAnsi="Arial" w:cs="Arial"/>
          <w:color w:val="000000"/>
          <w:lang w:val="en-ZA" w:eastAsia="en-ZA"/>
        </w:rPr>
        <w:tab/>
      </w:r>
      <w:r w:rsidR="005F460B">
        <w:rPr>
          <w:rFonts w:ascii="Arial" w:hAnsi="Arial" w:cs="Arial"/>
          <w:color w:val="000000"/>
          <w:lang w:val="en-ZA" w:eastAsia="en-ZA"/>
        </w:rPr>
        <w:t>The third respondent had attended to at least two of the “warrantable” remedial repairs and five repairs under the warranty. The third respondent relied on the terms of the warranty to exclude further repairs.</w:t>
      </w:r>
      <w:r w:rsidR="005F460B">
        <w:rPr>
          <w:rStyle w:val="FootnoteReference"/>
          <w:rFonts w:ascii="Arial" w:hAnsi="Arial" w:cs="Arial"/>
          <w:color w:val="000000"/>
          <w:lang w:val="en-ZA" w:eastAsia="en-ZA"/>
        </w:rPr>
        <w:footnoteReference w:id="12"/>
      </w:r>
    </w:p>
    <w:p w:rsidR="00332212" w:rsidRPr="009049EF" w:rsidRDefault="00332212" w:rsidP="00074FB6">
      <w:pPr>
        <w:spacing w:after="240" w:line="360" w:lineRule="auto"/>
        <w:jc w:val="both"/>
        <w:rPr>
          <w:rFonts w:ascii="Arial" w:hAnsi="Arial" w:cs="Arial"/>
          <w:i/>
          <w:color w:val="000000"/>
          <w:u w:val="single"/>
          <w:lang w:val="en-ZA" w:eastAsia="en-ZA"/>
        </w:rPr>
      </w:pPr>
      <w:r w:rsidRPr="009049EF">
        <w:rPr>
          <w:rFonts w:ascii="Arial" w:hAnsi="Arial" w:cs="Arial"/>
          <w:i/>
          <w:color w:val="000000"/>
          <w:u w:val="single"/>
          <w:lang w:val="en-ZA" w:eastAsia="en-ZA"/>
        </w:rPr>
        <w:t>The Legal position</w:t>
      </w:r>
    </w:p>
    <w:p w:rsidR="00EC14D6" w:rsidRPr="00996EB3" w:rsidRDefault="00332212" w:rsidP="009049EF">
      <w:pPr>
        <w:spacing w:after="240" w:line="360" w:lineRule="auto"/>
        <w:ind w:left="567" w:hanging="567"/>
        <w:jc w:val="both"/>
        <w:rPr>
          <w:rFonts w:ascii="Arial" w:hAnsi="Arial" w:cs="Arial"/>
        </w:rPr>
      </w:pPr>
      <w:r>
        <w:rPr>
          <w:rFonts w:ascii="Arial" w:hAnsi="Arial" w:cs="Arial"/>
          <w:color w:val="000000"/>
          <w:lang w:val="en-ZA" w:eastAsia="en-ZA"/>
        </w:rPr>
        <w:t>[10]</w:t>
      </w:r>
      <w:r w:rsidR="006B6E9D" w:rsidRPr="00996EB3">
        <w:rPr>
          <w:rFonts w:ascii="Arial" w:hAnsi="Arial" w:cs="Arial"/>
          <w:color w:val="000000"/>
          <w:lang w:val="en-ZA" w:eastAsia="en-ZA"/>
        </w:rPr>
        <w:t xml:space="preserve"> </w:t>
      </w:r>
      <w:r w:rsidR="009049EF">
        <w:rPr>
          <w:rFonts w:ascii="Arial" w:hAnsi="Arial" w:cs="Arial"/>
          <w:color w:val="000000"/>
          <w:lang w:val="en-ZA" w:eastAsia="en-ZA"/>
        </w:rPr>
        <w:tab/>
      </w:r>
      <w:r w:rsidR="00FC6039" w:rsidRPr="00996EB3">
        <w:rPr>
          <w:rFonts w:ascii="Arial" w:hAnsi="Arial" w:cs="Arial"/>
          <w:color w:val="000000"/>
          <w:lang w:val="en-ZA" w:eastAsia="en-ZA"/>
        </w:rPr>
        <w:t xml:space="preserve">Rule </w:t>
      </w:r>
      <w:r w:rsidR="000B04E7" w:rsidRPr="00996EB3">
        <w:rPr>
          <w:rFonts w:ascii="Arial" w:hAnsi="Arial" w:cs="Arial"/>
        </w:rPr>
        <w:t>13</w:t>
      </w:r>
      <w:r w:rsidR="008F33C4">
        <w:rPr>
          <w:rFonts w:ascii="Arial" w:hAnsi="Arial" w:cs="Arial"/>
        </w:rPr>
        <w:t xml:space="preserve"> (1) and (2)</w:t>
      </w:r>
      <w:r w:rsidR="00FC6039" w:rsidRPr="00996EB3">
        <w:rPr>
          <w:rFonts w:ascii="Arial" w:hAnsi="Arial" w:cs="Arial"/>
        </w:rPr>
        <w:t xml:space="preserve"> of the Uniform Rules of Court (which regulates </w:t>
      </w:r>
      <w:r w:rsidR="00F8377C">
        <w:rPr>
          <w:rFonts w:ascii="Arial" w:hAnsi="Arial" w:cs="Arial"/>
        </w:rPr>
        <w:t xml:space="preserve">the </w:t>
      </w:r>
      <w:r w:rsidR="00E874EF">
        <w:rPr>
          <w:rFonts w:ascii="Arial" w:hAnsi="Arial" w:cs="Arial"/>
        </w:rPr>
        <w:t>third-party</w:t>
      </w:r>
      <w:r w:rsidR="000B04E7" w:rsidRPr="00996EB3">
        <w:rPr>
          <w:rFonts w:ascii="Arial" w:hAnsi="Arial" w:cs="Arial"/>
        </w:rPr>
        <w:t xml:space="preserve"> party procedure</w:t>
      </w:r>
      <w:r w:rsidR="008F33C4">
        <w:rPr>
          <w:rFonts w:ascii="Arial" w:hAnsi="Arial" w:cs="Arial"/>
        </w:rPr>
        <w:t>) provide</w:t>
      </w:r>
      <w:r w:rsidR="00FC6039" w:rsidRPr="00996EB3">
        <w:rPr>
          <w:rFonts w:ascii="Arial" w:hAnsi="Arial" w:cs="Arial"/>
        </w:rPr>
        <w:t xml:space="preserve"> as follows:</w:t>
      </w:r>
    </w:p>
    <w:p w:rsidR="00EC14D6" w:rsidRPr="00E874EF" w:rsidRDefault="00FC6039" w:rsidP="009049EF">
      <w:pPr>
        <w:spacing w:after="240" w:line="360" w:lineRule="auto"/>
        <w:ind w:left="1134" w:hanging="567"/>
        <w:jc w:val="both"/>
        <w:rPr>
          <w:rFonts w:ascii="Arial" w:hAnsi="Arial" w:cs="Arial"/>
          <w:i/>
          <w:sz w:val="20"/>
          <w:szCs w:val="20"/>
        </w:rPr>
      </w:pPr>
      <w:r w:rsidRPr="00E874EF">
        <w:rPr>
          <w:rFonts w:ascii="Arial" w:hAnsi="Arial" w:cs="Arial"/>
          <w:i/>
          <w:sz w:val="20"/>
          <w:szCs w:val="20"/>
        </w:rPr>
        <w:t>“(</w:t>
      </w:r>
      <w:r w:rsidR="000B04E7" w:rsidRPr="00E874EF">
        <w:rPr>
          <w:rFonts w:ascii="Arial" w:hAnsi="Arial" w:cs="Arial"/>
          <w:i/>
          <w:sz w:val="20"/>
          <w:szCs w:val="20"/>
        </w:rPr>
        <w:t>1) Where a party in any action claims—</w:t>
      </w:r>
    </w:p>
    <w:p w:rsidR="00EC14D6" w:rsidRPr="00E874EF" w:rsidRDefault="008153E4" w:rsidP="009049EF">
      <w:pPr>
        <w:spacing w:after="240" w:line="360" w:lineRule="auto"/>
        <w:ind w:left="1134" w:hanging="567"/>
        <w:jc w:val="both"/>
        <w:rPr>
          <w:rFonts w:ascii="Arial" w:hAnsi="Arial" w:cs="Arial"/>
          <w:i/>
          <w:sz w:val="20"/>
          <w:szCs w:val="20"/>
        </w:rPr>
      </w:pPr>
      <w:r>
        <w:rPr>
          <w:rFonts w:ascii="Arial" w:hAnsi="Arial" w:cs="Arial"/>
          <w:i/>
          <w:sz w:val="20"/>
          <w:szCs w:val="20"/>
        </w:rPr>
        <w:t xml:space="preserve">(a) </w:t>
      </w:r>
      <w:r w:rsidR="009049EF">
        <w:rPr>
          <w:rFonts w:ascii="Arial" w:hAnsi="Arial" w:cs="Arial"/>
          <w:i/>
          <w:sz w:val="20"/>
          <w:szCs w:val="20"/>
        </w:rPr>
        <w:tab/>
      </w:r>
      <w:r w:rsidR="000B04E7" w:rsidRPr="00E874EF">
        <w:rPr>
          <w:rFonts w:ascii="Arial" w:hAnsi="Arial" w:cs="Arial"/>
          <w:i/>
          <w:sz w:val="20"/>
          <w:szCs w:val="20"/>
        </w:rPr>
        <w:t xml:space="preserve">as against any other person not a party to the action (in this rule called a “third party”) that such party is entitled, in respect of any relief claimed against him, to a </w:t>
      </w:r>
      <w:r w:rsidR="000B04E7" w:rsidRPr="00455EC4">
        <w:rPr>
          <w:rFonts w:ascii="Arial" w:hAnsi="Arial" w:cs="Arial"/>
          <w:i/>
          <w:color w:val="000000" w:themeColor="text1"/>
          <w:sz w:val="20"/>
          <w:szCs w:val="20"/>
        </w:rPr>
        <w:t xml:space="preserve">contribution or indemnification </w:t>
      </w:r>
      <w:r w:rsidR="000B04E7" w:rsidRPr="00E874EF">
        <w:rPr>
          <w:rFonts w:ascii="Arial" w:hAnsi="Arial" w:cs="Arial"/>
          <w:i/>
          <w:sz w:val="20"/>
          <w:szCs w:val="20"/>
        </w:rPr>
        <w:t>from such third party, or (b) any question or issue in the action is substantially the same as a question or issue which has arisen or will arise between such party and the third party, and should properly be determined not only as between any parties to the action but also as between such parties and the third party or between any of them, such party may issue a notice, hereinafter referred to as a third party notice, as near as may be in accordance with Form 7 of the First Schedule, which notice shall be served by the sheriff.</w:t>
      </w:r>
    </w:p>
    <w:p w:rsidR="00EC14D6" w:rsidRPr="00E874EF" w:rsidRDefault="000B04E7" w:rsidP="009049EF">
      <w:pPr>
        <w:spacing w:after="240" w:line="360" w:lineRule="auto"/>
        <w:ind w:left="1134" w:hanging="567"/>
        <w:jc w:val="both"/>
        <w:rPr>
          <w:rFonts w:ascii="Arial" w:hAnsi="Arial" w:cs="Arial"/>
          <w:i/>
          <w:sz w:val="20"/>
          <w:szCs w:val="20"/>
        </w:rPr>
      </w:pPr>
      <w:r w:rsidRPr="00E874EF">
        <w:rPr>
          <w:rFonts w:ascii="Arial" w:hAnsi="Arial" w:cs="Arial"/>
          <w:i/>
          <w:sz w:val="20"/>
          <w:szCs w:val="20"/>
        </w:rPr>
        <w:t xml:space="preserve"> (2) </w:t>
      </w:r>
      <w:r w:rsidR="009049EF">
        <w:rPr>
          <w:rFonts w:ascii="Arial" w:hAnsi="Arial" w:cs="Arial"/>
          <w:i/>
          <w:sz w:val="20"/>
          <w:szCs w:val="20"/>
        </w:rPr>
        <w:tab/>
      </w:r>
      <w:r w:rsidRPr="00E874EF">
        <w:rPr>
          <w:rFonts w:ascii="Arial" w:hAnsi="Arial" w:cs="Arial"/>
          <w:i/>
          <w:sz w:val="20"/>
          <w:szCs w:val="20"/>
        </w:rPr>
        <w:t xml:space="preserve">Such notice shall state the nature and grounds of the claim of the party issuing the same, the question or issue to be determined, and any relief or remedy claimed. In so far as the </w:t>
      </w:r>
      <w:r w:rsidRPr="00E874EF">
        <w:rPr>
          <w:rFonts w:ascii="Arial" w:hAnsi="Arial" w:cs="Arial"/>
          <w:i/>
          <w:sz w:val="20"/>
          <w:szCs w:val="20"/>
        </w:rPr>
        <w:lastRenderedPageBreak/>
        <w:t>statement of the claim and the question or issue are concerned, the rules with regard to pleadings and to summonses shall mutatis mutandis apply.</w:t>
      </w:r>
    </w:p>
    <w:p w:rsidR="00FF6CA4" w:rsidRDefault="00587231" w:rsidP="009049EF">
      <w:pPr>
        <w:spacing w:after="240" w:line="360" w:lineRule="auto"/>
        <w:ind w:left="567" w:hanging="567"/>
        <w:jc w:val="both"/>
        <w:rPr>
          <w:rFonts w:ascii="Arial" w:hAnsi="Arial" w:cs="Arial"/>
          <w:lang w:val="en-ZA"/>
        </w:rPr>
      </w:pPr>
      <w:r w:rsidRPr="00996EB3">
        <w:rPr>
          <w:rFonts w:ascii="Arial" w:hAnsi="Arial" w:cs="Arial"/>
        </w:rPr>
        <w:t xml:space="preserve"> </w:t>
      </w:r>
      <w:r w:rsidR="00EC14D6" w:rsidRPr="00996EB3">
        <w:rPr>
          <w:rFonts w:ascii="Arial" w:hAnsi="Arial" w:cs="Arial"/>
        </w:rPr>
        <w:t>[1</w:t>
      </w:r>
      <w:r w:rsidR="009049EF">
        <w:rPr>
          <w:rFonts w:ascii="Arial" w:hAnsi="Arial" w:cs="Arial"/>
        </w:rPr>
        <w:t>1</w:t>
      </w:r>
      <w:r w:rsidR="00EC14D6" w:rsidRPr="00996EB3">
        <w:rPr>
          <w:rFonts w:ascii="Arial" w:hAnsi="Arial" w:cs="Arial"/>
        </w:rPr>
        <w:t>]</w:t>
      </w:r>
      <w:r w:rsidR="00BC6C19" w:rsidRPr="00996EB3">
        <w:rPr>
          <w:rFonts w:ascii="Arial" w:hAnsi="Arial" w:cs="Arial"/>
        </w:rPr>
        <w:t xml:space="preserve"> </w:t>
      </w:r>
      <w:r w:rsidR="009A36E8" w:rsidRPr="00996EB3">
        <w:rPr>
          <w:rFonts w:ascii="Arial" w:hAnsi="Arial" w:cs="Arial"/>
          <w:lang w:val="en-ZA"/>
        </w:rPr>
        <w:t xml:space="preserve">The test </w:t>
      </w:r>
      <w:r w:rsidR="00A768EF">
        <w:rPr>
          <w:rFonts w:ascii="Arial" w:hAnsi="Arial" w:cs="Arial"/>
          <w:lang w:val="en-ZA"/>
        </w:rPr>
        <w:t xml:space="preserve">to be applied in </w:t>
      </w:r>
      <w:r w:rsidR="009A36E8" w:rsidRPr="00996EB3">
        <w:rPr>
          <w:rFonts w:ascii="Arial" w:hAnsi="Arial" w:cs="Arial"/>
          <w:lang w:val="en-ZA"/>
        </w:rPr>
        <w:t>applications</w:t>
      </w:r>
      <w:r w:rsidR="00A768EF">
        <w:rPr>
          <w:rFonts w:ascii="Arial" w:hAnsi="Arial" w:cs="Arial"/>
          <w:lang w:val="en-ZA"/>
        </w:rPr>
        <w:t xml:space="preserve"> of this nature was stated as follows</w:t>
      </w:r>
      <w:r w:rsidR="009A36E8" w:rsidRPr="00996EB3">
        <w:rPr>
          <w:rFonts w:ascii="Arial" w:hAnsi="Arial" w:cs="Arial"/>
          <w:lang w:val="en-ZA"/>
        </w:rPr>
        <w:t xml:space="preserve"> in </w:t>
      </w:r>
      <w:r w:rsidR="009A36E8" w:rsidRPr="00996EB3">
        <w:rPr>
          <w:rFonts w:ascii="Arial" w:hAnsi="Arial" w:cs="Arial"/>
          <w:i/>
          <w:lang w:val="en-ZA"/>
        </w:rPr>
        <w:t>Wapnick and Another v Durban City Garage and Others</w:t>
      </w:r>
      <w:r w:rsidR="009A36E8" w:rsidRPr="00996EB3">
        <w:rPr>
          <w:rStyle w:val="FootnoteReference"/>
          <w:rFonts w:ascii="Arial" w:hAnsi="Arial" w:cs="Arial"/>
          <w:i/>
          <w:lang w:val="en-ZA"/>
        </w:rPr>
        <w:footnoteReference w:id="13"/>
      </w:r>
      <w:r w:rsidR="00A03D81">
        <w:rPr>
          <w:rFonts w:ascii="Arial" w:hAnsi="Arial" w:cs="Arial"/>
          <w:lang w:val="en-ZA"/>
        </w:rPr>
        <w:t>:</w:t>
      </w:r>
    </w:p>
    <w:p w:rsidR="008748C9" w:rsidRPr="009049EF" w:rsidRDefault="00FF6CA4" w:rsidP="009049EF">
      <w:pPr>
        <w:spacing w:after="240" w:line="360" w:lineRule="auto"/>
        <w:ind w:left="567"/>
        <w:jc w:val="both"/>
        <w:rPr>
          <w:rFonts w:ascii="Arial" w:hAnsi="Arial" w:cs="Arial"/>
          <w:i/>
          <w:sz w:val="20"/>
          <w:szCs w:val="20"/>
          <w:lang w:val="en-ZA"/>
        </w:rPr>
      </w:pPr>
      <w:r w:rsidRPr="009049EF">
        <w:rPr>
          <w:rFonts w:ascii="Arial" w:hAnsi="Arial" w:cs="Arial"/>
          <w:i/>
          <w:sz w:val="20"/>
          <w:szCs w:val="20"/>
          <w:lang w:val="en-ZA"/>
        </w:rPr>
        <w:t>“</w:t>
      </w:r>
      <w:r w:rsidR="008748C9" w:rsidRPr="009049EF">
        <w:rPr>
          <w:rFonts w:ascii="Arial" w:hAnsi="Arial" w:cs="Arial"/>
          <w:i/>
          <w:color w:val="000000"/>
          <w:sz w:val="20"/>
          <w:szCs w:val="20"/>
        </w:rPr>
        <w:t>It seems to me that an application for leave to give a third party notice is also one of the same </w:t>
      </w:r>
      <w:r w:rsidR="008748C9" w:rsidRPr="009049EF">
        <w:rPr>
          <w:rFonts w:ascii="Arial" w:hAnsi="Arial" w:cs="Arial"/>
          <w:i/>
          <w:iCs/>
          <w:color w:val="000000"/>
          <w:sz w:val="20"/>
          <w:szCs w:val="20"/>
        </w:rPr>
        <w:t>genus</w:t>
      </w:r>
      <w:r w:rsidR="008748C9" w:rsidRPr="009049EF">
        <w:rPr>
          <w:rFonts w:ascii="Arial" w:hAnsi="Arial" w:cs="Arial"/>
          <w:i/>
          <w:color w:val="000000"/>
          <w:sz w:val="20"/>
          <w:szCs w:val="20"/>
        </w:rPr>
        <w:t>. Although good cause is not in terms required to be shown the Court would obviously not grant leave if it should appear that the applicant's claim is patently unfounded. Whilst I am not prepared to say that it is a </w:t>
      </w:r>
      <w:r w:rsidR="008748C9" w:rsidRPr="009049EF">
        <w:rPr>
          <w:rFonts w:ascii="Arial" w:hAnsi="Arial" w:cs="Arial"/>
          <w:i/>
          <w:iCs/>
          <w:color w:val="000000"/>
          <w:sz w:val="20"/>
          <w:szCs w:val="20"/>
        </w:rPr>
        <w:t>sine qua non</w:t>
      </w:r>
      <w:r w:rsidR="008748C9" w:rsidRPr="009049EF">
        <w:rPr>
          <w:rFonts w:ascii="Arial" w:hAnsi="Arial" w:cs="Arial"/>
          <w:i/>
          <w:color w:val="000000"/>
          <w:sz w:val="20"/>
          <w:szCs w:val="20"/>
        </w:rPr>
        <w:t> to the success of the application that the applicant should make out a </w:t>
      </w:r>
      <w:r w:rsidR="008748C9" w:rsidRPr="009049EF">
        <w:rPr>
          <w:rFonts w:ascii="Arial" w:hAnsi="Arial" w:cs="Arial"/>
          <w:i/>
          <w:iCs/>
          <w:color w:val="000000"/>
          <w:sz w:val="20"/>
          <w:szCs w:val="20"/>
        </w:rPr>
        <w:t>prima facie</w:t>
      </w:r>
      <w:r w:rsidR="008748C9" w:rsidRPr="009049EF">
        <w:rPr>
          <w:rFonts w:ascii="Arial" w:hAnsi="Arial" w:cs="Arial"/>
          <w:i/>
          <w:color w:val="000000"/>
          <w:sz w:val="20"/>
          <w:szCs w:val="20"/>
        </w:rPr>
        <w:t> case on the merits, I do believe it correct to state that it is</w:t>
      </w:r>
      <w:r w:rsidR="009049EF" w:rsidRPr="009049EF">
        <w:rPr>
          <w:rStyle w:val="mc"/>
          <w:rFonts w:ascii="Arial" w:hAnsi="Arial" w:cs="Arial"/>
          <w:i/>
          <w:color w:val="FF0000"/>
          <w:sz w:val="20"/>
          <w:szCs w:val="20"/>
          <w:shd w:val="clear" w:color="auto" w:fill="FFFFFF" w:themeFill="background1"/>
        </w:rPr>
        <w:t xml:space="preserve"> </w:t>
      </w:r>
      <w:r w:rsidR="008748C9" w:rsidRPr="009049EF">
        <w:rPr>
          <w:rFonts w:ascii="Arial" w:hAnsi="Arial" w:cs="Arial"/>
          <w:i/>
          <w:color w:val="000000"/>
          <w:sz w:val="20"/>
          <w:szCs w:val="20"/>
        </w:rPr>
        <w:t>in general required of such an applicant to furnish a satisfactory explanation for his failure to give the notice before close of pleadings and to make out a </w:t>
      </w:r>
      <w:r w:rsidR="008748C9" w:rsidRPr="009049EF">
        <w:rPr>
          <w:rFonts w:ascii="Arial" w:hAnsi="Arial" w:cs="Arial"/>
          <w:i/>
          <w:iCs/>
          <w:color w:val="000000"/>
          <w:sz w:val="20"/>
          <w:szCs w:val="20"/>
        </w:rPr>
        <w:t>prima facie</w:t>
      </w:r>
      <w:r w:rsidR="008748C9" w:rsidRPr="009049EF">
        <w:rPr>
          <w:rFonts w:ascii="Arial" w:hAnsi="Arial" w:cs="Arial"/>
          <w:i/>
          <w:color w:val="000000"/>
          <w:sz w:val="20"/>
          <w:szCs w:val="20"/>
        </w:rPr>
        <w:t> case against the person he seeks to sue by alleging facts which, if established at the trial, would entitle him to succeed.”</w:t>
      </w:r>
      <w:r w:rsidRPr="009049EF">
        <w:rPr>
          <w:rFonts w:ascii="Arial" w:hAnsi="Arial" w:cs="Arial"/>
          <w:i/>
          <w:sz w:val="20"/>
          <w:szCs w:val="20"/>
          <w:lang w:val="en-ZA"/>
        </w:rPr>
        <w:t xml:space="preserve"> </w:t>
      </w:r>
    </w:p>
    <w:p w:rsidR="0049454F" w:rsidRPr="00EE760E" w:rsidRDefault="00C94F33" w:rsidP="009049EF">
      <w:pPr>
        <w:spacing w:after="240" w:line="360" w:lineRule="auto"/>
        <w:ind w:left="567" w:hanging="567"/>
        <w:jc w:val="both"/>
        <w:rPr>
          <w:rFonts w:ascii="Arial" w:hAnsi="Arial" w:cs="Arial"/>
          <w:i/>
        </w:rPr>
      </w:pPr>
      <w:r>
        <w:rPr>
          <w:rFonts w:ascii="Arial" w:hAnsi="Arial" w:cs="Arial"/>
          <w:lang w:val="en-ZA"/>
        </w:rPr>
        <w:t>[1</w:t>
      </w:r>
      <w:r w:rsidR="009049EF">
        <w:rPr>
          <w:rFonts w:ascii="Arial" w:hAnsi="Arial" w:cs="Arial"/>
          <w:lang w:val="en-ZA"/>
        </w:rPr>
        <w:t>2</w:t>
      </w:r>
      <w:r>
        <w:rPr>
          <w:rFonts w:ascii="Arial" w:hAnsi="Arial" w:cs="Arial"/>
          <w:lang w:val="en-ZA"/>
        </w:rPr>
        <w:t xml:space="preserve">] </w:t>
      </w:r>
      <w:r w:rsidR="009049EF">
        <w:rPr>
          <w:rFonts w:ascii="Arial" w:hAnsi="Arial" w:cs="Arial"/>
          <w:lang w:val="en-ZA"/>
        </w:rPr>
        <w:tab/>
      </w:r>
      <w:r w:rsidR="008B3CEB" w:rsidRPr="00996EB3">
        <w:rPr>
          <w:rFonts w:ascii="Arial" w:hAnsi="Arial" w:cs="Arial"/>
          <w:lang w:val="en-ZA"/>
        </w:rPr>
        <w:t xml:space="preserve">In </w:t>
      </w:r>
      <w:r w:rsidR="008B3CEB" w:rsidRPr="00996EB3">
        <w:rPr>
          <w:rFonts w:ascii="Arial" w:hAnsi="Arial" w:cs="Arial"/>
          <w:i/>
          <w:lang w:val="en-ZA"/>
        </w:rPr>
        <w:t>Mercantile Bank LTD v Carlisle and Another</w:t>
      </w:r>
      <w:r w:rsidR="00691277" w:rsidRPr="00996EB3">
        <w:rPr>
          <w:rFonts w:ascii="Arial" w:hAnsi="Arial" w:cs="Arial"/>
          <w:i/>
          <w:lang w:val="en-ZA"/>
        </w:rPr>
        <w:t>,</w:t>
      </w:r>
      <w:r w:rsidR="008B3CEB" w:rsidRPr="00996EB3">
        <w:rPr>
          <w:rStyle w:val="FootnoteReference"/>
          <w:rFonts w:ascii="Arial" w:hAnsi="Arial" w:cs="Arial"/>
          <w:i/>
          <w:lang w:val="en-ZA"/>
        </w:rPr>
        <w:footnoteReference w:id="14"/>
      </w:r>
      <w:r w:rsidR="00691277" w:rsidRPr="00996EB3">
        <w:rPr>
          <w:rFonts w:ascii="Arial" w:hAnsi="Arial" w:cs="Arial"/>
          <w:lang w:val="en-ZA"/>
        </w:rPr>
        <w:t xml:space="preserve"> t</w:t>
      </w:r>
      <w:r w:rsidR="00BF628F">
        <w:rPr>
          <w:rFonts w:ascii="Arial" w:hAnsi="Arial" w:cs="Arial"/>
          <w:lang w:val="en-ZA"/>
        </w:rPr>
        <w:t>he</w:t>
      </w:r>
      <w:r w:rsidR="00691277" w:rsidRPr="00996EB3">
        <w:rPr>
          <w:rFonts w:ascii="Arial" w:hAnsi="Arial" w:cs="Arial"/>
          <w:lang w:val="en-ZA"/>
        </w:rPr>
        <w:t xml:space="preserve"> court</w:t>
      </w:r>
      <w:r w:rsidR="009552FC">
        <w:rPr>
          <w:rFonts w:ascii="Arial" w:hAnsi="Arial" w:cs="Arial"/>
          <w:lang w:val="en-ZA"/>
        </w:rPr>
        <w:t xml:space="preserve">’s approach </w:t>
      </w:r>
      <w:r w:rsidR="00BF628F">
        <w:rPr>
          <w:rFonts w:ascii="Arial" w:hAnsi="Arial" w:cs="Arial"/>
          <w:lang w:val="en-ZA"/>
        </w:rPr>
        <w:t>was</w:t>
      </w:r>
      <w:r w:rsidR="009552FC">
        <w:rPr>
          <w:rFonts w:ascii="Arial" w:hAnsi="Arial" w:cs="Arial"/>
          <w:lang w:val="en-ZA"/>
        </w:rPr>
        <w:t xml:space="preserve"> that, </w:t>
      </w:r>
      <w:r w:rsidR="00691277" w:rsidRPr="00996EB3">
        <w:rPr>
          <w:rFonts w:ascii="Arial" w:hAnsi="Arial" w:cs="Arial"/>
          <w:lang w:val="en-ZA"/>
        </w:rPr>
        <w:t xml:space="preserve"> </w:t>
      </w:r>
      <w:r w:rsidR="009552FC" w:rsidRPr="009552FC">
        <w:rPr>
          <w:rFonts w:ascii="Arial" w:hAnsi="Arial" w:cs="Arial"/>
          <w:i/>
          <w:sz w:val="22"/>
          <w:szCs w:val="22"/>
        </w:rPr>
        <w:t xml:space="preserve"> </w:t>
      </w:r>
      <w:r w:rsidR="009552FC" w:rsidRPr="00677E1C">
        <w:rPr>
          <w:rFonts w:ascii="Arial" w:hAnsi="Arial" w:cs="Arial"/>
          <w:i/>
          <w:sz w:val="22"/>
          <w:szCs w:val="22"/>
        </w:rPr>
        <w:t xml:space="preserve"> </w:t>
      </w:r>
      <w:r w:rsidR="00D05204">
        <w:rPr>
          <w:rFonts w:ascii="Arial" w:hAnsi="Arial" w:cs="Arial"/>
        </w:rPr>
        <w:t>it should</w:t>
      </w:r>
      <w:r w:rsidR="009552FC" w:rsidRPr="00BF628F">
        <w:rPr>
          <w:rFonts w:ascii="Arial" w:hAnsi="Arial" w:cs="Arial"/>
        </w:rPr>
        <w:t xml:space="preserve"> be a sine qua non to the success of such an application that the applicant should make out a prima facie case on the merits, in the sense of alleging facts, which if established at the trial, would entitle it to succeed. If no prima facie case is made out in the claim as set out in the notice and annexure</w:t>
      </w:r>
      <w:r w:rsidR="00BF628F" w:rsidRPr="00BF628F">
        <w:rPr>
          <w:rFonts w:ascii="Arial" w:hAnsi="Arial" w:cs="Arial"/>
        </w:rPr>
        <w:t>, it would be excipiable in that it would not disclose a cause of action and</w:t>
      </w:r>
      <w:r w:rsidR="009552FC" w:rsidRPr="00BF628F">
        <w:rPr>
          <w:rFonts w:ascii="Arial" w:hAnsi="Arial" w:cs="Arial"/>
        </w:rPr>
        <w:t xml:space="preserve"> inconceivable that a court would permit the third party joinder.</w:t>
      </w:r>
      <w:r w:rsidR="0049454F">
        <w:rPr>
          <w:rFonts w:ascii="Arial" w:hAnsi="Arial" w:cs="Arial"/>
        </w:rPr>
        <w:t xml:space="preserve"> It was stated further that:</w:t>
      </w:r>
    </w:p>
    <w:p w:rsidR="009552FC" w:rsidRPr="009049EF" w:rsidRDefault="00EE760E" w:rsidP="009049EF">
      <w:pPr>
        <w:spacing w:after="240" w:line="360" w:lineRule="auto"/>
        <w:ind w:left="567"/>
        <w:jc w:val="both"/>
        <w:rPr>
          <w:rFonts w:ascii="Arial" w:hAnsi="Arial" w:cs="Arial"/>
          <w:i/>
          <w:sz w:val="20"/>
          <w:szCs w:val="20"/>
        </w:rPr>
      </w:pPr>
      <w:r w:rsidRPr="009049EF">
        <w:rPr>
          <w:rFonts w:ascii="Arial" w:hAnsi="Arial" w:cs="Arial"/>
          <w:i/>
          <w:sz w:val="20"/>
          <w:szCs w:val="20"/>
        </w:rPr>
        <w:t>“The</w:t>
      </w:r>
      <w:r w:rsidR="00942730" w:rsidRPr="009049EF">
        <w:rPr>
          <w:rFonts w:ascii="Arial" w:hAnsi="Arial" w:cs="Arial"/>
          <w:i/>
          <w:color w:val="000000"/>
          <w:sz w:val="20"/>
          <w:szCs w:val="20"/>
        </w:rPr>
        <w:t> </w:t>
      </w:r>
      <w:r w:rsidR="00942730" w:rsidRPr="009049EF">
        <w:rPr>
          <w:rFonts w:ascii="Arial" w:hAnsi="Arial" w:cs="Arial"/>
          <w:i/>
          <w:iCs/>
          <w:color w:val="000000"/>
          <w:sz w:val="20"/>
          <w:szCs w:val="20"/>
        </w:rPr>
        <w:t>prima facie</w:t>
      </w:r>
      <w:r w:rsidR="00942730" w:rsidRPr="009049EF">
        <w:rPr>
          <w:rFonts w:ascii="Arial" w:hAnsi="Arial" w:cs="Arial"/>
          <w:i/>
          <w:color w:val="000000"/>
          <w:sz w:val="20"/>
          <w:szCs w:val="20"/>
        </w:rPr>
        <w:t> case, or absence of excipiability, must of course be weighed in the light of the totality of the available facts. The applicant may, for instance, present a technically correct pleading, whereas the common cause facts as they emerge from the affidavits may make it clear that the ca</w:t>
      </w:r>
      <w:r w:rsidRPr="009049EF">
        <w:rPr>
          <w:rFonts w:ascii="Arial" w:hAnsi="Arial" w:cs="Arial"/>
          <w:i/>
          <w:color w:val="000000"/>
          <w:sz w:val="20"/>
          <w:szCs w:val="20"/>
        </w:rPr>
        <w:t>se against the third party, if</w:t>
      </w:r>
      <w:r w:rsidR="00E75D11" w:rsidRPr="009049EF">
        <w:rPr>
          <w:rFonts w:ascii="Arial" w:hAnsi="Arial" w:cs="Arial"/>
          <w:i/>
          <w:color w:val="000000"/>
          <w:sz w:val="20"/>
          <w:szCs w:val="20"/>
        </w:rPr>
        <w:t xml:space="preserve"> </w:t>
      </w:r>
      <w:r w:rsidR="00942730" w:rsidRPr="009049EF">
        <w:rPr>
          <w:rFonts w:ascii="Arial" w:hAnsi="Arial" w:cs="Arial"/>
          <w:i/>
          <w:color w:val="000000"/>
          <w:sz w:val="20"/>
          <w:szCs w:val="20"/>
        </w:rPr>
        <w:t>pleaded according to those facts, could never succeed. To that extent, the </w:t>
      </w:r>
      <w:r w:rsidR="00942730" w:rsidRPr="009049EF">
        <w:rPr>
          <w:rFonts w:ascii="Arial" w:hAnsi="Arial" w:cs="Arial"/>
          <w:i/>
          <w:iCs/>
          <w:color w:val="000000"/>
          <w:sz w:val="20"/>
          <w:szCs w:val="20"/>
        </w:rPr>
        <w:t>prima facie</w:t>
      </w:r>
      <w:r w:rsidR="00942730" w:rsidRPr="009049EF">
        <w:rPr>
          <w:rFonts w:ascii="Arial" w:hAnsi="Arial" w:cs="Arial"/>
          <w:i/>
          <w:color w:val="000000"/>
          <w:sz w:val="20"/>
          <w:szCs w:val="20"/>
        </w:rPr>
        <w:t> case, or absence of excipiability, must be qualified by having regard to the totality of the facts. In this exercise, it must be borne in mind that the purpose of the Rule is to prevent a multiplicity of actions (</w:t>
      </w:r>
      <w:r w:rsidR="00942730" w:rsidRPr="009049EF">
        <w:rPr>
          <w:rFonts w:ascii="Arial" w:hAnsi="Arial" w:cs="Arial"/>
          <w:i/>
          <w:iCs/>
          <w:color w:val="000000"/>
          <w:sz w:val="20"/>
          <w:szCs w:val="20"/>
        </w:rPr>
        <w:t>MCC Contracts (Pty) Ltd v</w:t>
      </w:r>
      <w:r w:rsidRPr="009049EF">
        <w:rPr>
          <w:rFonts w:ascii="Arial" w:hAnsi="Arial" w:cs="Arial"/>
          <w:i/>
          <w:color w:val="000000"/>
          <w:sz w:val="20"/>
          <w:szCs w:val="20"/>
        </w:rPr>
        <w:t xml:space="preserve"> </w:t>
      </w:r>
      <w:r w:rsidR="00942730" w:rsidRPr="009049EF">
        <w:rPr>
          <w:rFonts w:ascii="Arial" w:hAnsi="Arial" w:cs="Arial"/>
          <w:i/>
          <w:iCs/>
          <w:color w:val="000000"/>
          <w:sz w:val="20"/>
          <w:szCs w:val="20"/>
        </w:rPr>
        <w:t>Coertzen and Others</w:t>
      </w:r>
      <w:r w:rsidR="00942730" w:rsidRPr="009049EF">
        <w:rPr>
          <w:rFonts w:ascii="Arial" w:hAnsi="Arial" w:cs="Arial"/>
          <w:i/>
          <w:color w:val="000000"/>
          <w:sz w:val="20"/>
          <w:szCs w:val="20"/>
        </w:rPr>
        <w:t> </w:t>
      </w:r>
      <w:hyperlink r:id="rId10" w:tgtFrame="main" w:history="1">
        <w:r w:rsidR="00942730" w:rsidRPr="009049EF">
          <w:rPr>
            <w:rFonts w:ascii="Arial" w:hAnsi="Arial" w:cs="Arial"/>
            <w:i/>
            <w:sz w:val="20"/>
            <w:szCs w:val="20"/>
            <w:u w:val="single"/>
          </w:rPr>
          <w:t>1998 (4) SA 1046 (SCA)</w:t>
        </w:r>
      </w:hyperlink>
      <w:r w:rsidR="00942730" w:rsidRPr="009049EF">
        <w:rPr>
          <w:rFonts w:ascii="Arial" w:hAnsi="Arial" w:cs="Arial"/>
          <w:i/>
          <w:sz w:val="20"/>
          <w:szCs w:val="20"/>
        </w:rPr>
        <w:t> </w:t>
      </w:r>
      <w:r w:rsidR="00942730" w:rsidRPr="009049EF">
        <w:rPr>
          <w:rFonts w:ascii="Arial" w:hAnsi="Arial" w:cs="Arial"/>
          <w:i/>
          <w:color w:val="000000"/>
          <w:sz w:val="20"/>
          <w:szCs w:val="20"/>
        </w:rPr>
        <w:t>at 1049J - 1050A), the Court is given a wide discretion (</w:t>
      </w:r>
      <w:r w:rsidR="00942730" w:rsidRPr="009049EF">
        <w:rPr>
          <w:rFonts w:ascii="Arial" w:hAnsi="Arial" w:cs="Arial"/>
          <w:i/>
          <w:iCs/>
          <w:color w:val="000000"/>
          <w:sz w:val="20"/>
          <w:szCs w:val="20"/>
        </w:rPr>
        <w:t>Wapnick v Durban City Garage (supra</w:t>
      </w:r>
      <w:r w:rsidR="00942730" w:rsidRPr="009049EF">
        <w:rPr>
          <w:rFonts w:ascii="Arial" w:hAnsi="Arial" w:cs="Arial"/>
          <w:i/>
          <w:color w:val="000000"/>
          <w:sz w:val="20"/>
          <w:szCs w:val="20"/>
        </w:rPr>
        <w:t xml:space="preserve"> at 423E)), and a lenient approach is called for. Accordingly, if on the totality of the facts, the case against the third party is totally unfounded, the joinder would be refused. It </w:t>
      </w:r>
      <w:r w:rsidR="00942730" w:rsidRPr="009049EF">
        <w:rPr>
          <w:rFonts w:ascii="Arial" w:hAnsi="Arial" w:cs="Arial"/>
          <w:i/>
          <w:color w:val="000000"/>
          <w:sz w:val="20"/>
          <w:szCs w:val="20"/>
        </w:rPr>
        <w:lastRenderedPageBreak/>
        <w:t>must be a clear case, for i</w:t>
      </w:r>
      <w:r w:rsidRPr="009049EF">
        <w:rPr>
          <w:rFonts w:ascii="Arial" w:hAnsi="Arial" w:cs="Arial"/>
          <w:i/>
          <w:color w:val="000000"/>
          <w:sz w:val="20"/>
          <w:szCs w:val="20"/>
        </w:rPr>
        <w:t>t is the function of the trial </w:t>
      </w:r>
      <w:r w:rsidR="00942730" w:rsidRPr="009049EF">
        <w:rPr>
          <w:rFonts w:ascii="Arial" w:hAnsi="Arial" w:cs="Arial"/>
          <w:i/>
          <w:color w:val="000000"/>
          <w:sz w:val="20"/>
          <w:szCs w:val="20"/>
        </w:rPr>
        <w:t>Court to decide disputes, and joinders should in my view not be refused save in the clearest of cases.</w:t>
      </w:r>
      <w:r w:rsidRPr="009049EF">
        <w:rPr>
          <w:rFonts w:ascii="Arial" w:hAnsi="Arial" w:cs="Arial"/>
          <w:i/>
          <w:color w:val="000000"/>
          <w:sz w:val="20"/>
          <w:szCs w:val="20"/>
        </w:rPr>
        <w:t>”</w:t>
      </w:r>
    </w:p>
    <w:p w:rsidR="009049EF" w:rsidRDefault="009049EF" w:rsidP="008321CA">
      <w:pPr>
        <w:autoSpaceDE w:val="0"/>
        <w:autoSpaceDN w:val="0"/>
        <w:adjustRightInd w:val="0"/>
        <w:spacing w:line="360" w:lineRule="auto"/>
        <w:ind w:left="567" w:hanging="567"/>
        <w:jc w:val="both"/>
        <w:rPr>
          <w:rFonts w:ascii="Arial" w:hAnsi="Arial" w:cs="Arial"/>
          <w:color w:val="000000"/>
        </w:rPr>
      </w:pPr>
      <w:r>
        <w:rPr>
          <w:rFonts w:ascii="Arial" w:hAnsi="Arial" w:cs="Arial"/>
          <w:lang w:val="en-ZA"/>
        </w:rPr>
        <w:t>[13</w:t>
      </w:r>
      <w:r w:rsidR="00B05EC8" w:rsidRPr="00996EB3">
        <w:rPr>
          <w:rFonts w:ascii="Arial" w:hAnsi="Arial" w:cs="Arial"/>
          <w:lang w:val="en-ZA"/>
        </w:rPr>
        <w:t>]</w:t>
      </w:r>
      <w:r w:rsidR="006810FF">
        <w:rPr>
          <w:rFonts w:ascii="Arial" w:hAnsi="Arial" w:cs="Arial"/>
          <w:lang w:val="en-ZA"/>
        </w:rPr>
        <w:t xml:space="preserve"> </w:t>
      </w:r>
      <w:r>
        <w:rPr>
          <w:rFonts w:ascii="Arial" w:hAnsi="Arial" w:cs="Arial"/>
          <w:lang w:val="en-ZA"/>
        </w:rPr>
        <w:tab/>
      </w:r>
      <w:r w:rsidR="006810FF">
        <w:rPr>
          <w:rFonts w:ascii="Arial" w:hAnsi="Arial" w:cs="Arial"/>
          <w:lang w:val="en-ZA"/>
        </w:rPr>
        <w:t>In P</w:t>
      </w:r>
      <w:r w:rsidR="006810FF" w:rsidRPr="006810FF">
        <w:rPr>
          <w:rFonts w:ascii="Arial" w:hAnsi="Arial" w:cs="Arial"/>
          <w:i/>
          <w:lang w:val="en-ZA"/>
        </w:rPr>
        <w:t>adongelukkefonds v Van den Berg</w:t>
      </w:r>
      <w:r w:rsidR="006810FF">
        <w:rPr>
          <w:rStyle w:val="FootnoteReference"/>
          <w:rFonts w:ascii="Arial" w:hAnsi="Arial" w:cs="Arial"/>
          <w:i/>
          <w:lang w:val="en-ZA"/>
        </w:rPr>
        <w:footnoteReference w:id="15"/>
      </w:r>
      <w:r w:rsidR="006810FF" w:rsidRPr="006810FF">
        <w:rPr>
          <w:rFonts w:ascii="Arial" w:hAnsi="Arial" w:cs="Arial"/>
          <w:lang w:val="en-ZA"/>
        </w:rPr>
        <w:t xml:space="preserve"> </w:t>
      </w:r>
      <w:r w:rsidR="006810FF">
        <w:rPr>
          <w:rFonts w:ascii="Arial" w:hAnsi="Arial" w:cs="Arial"/>
          <w:lang w:val="en-ZA"/>
        </w:rPr>
        <w:t>the court held that</w:t>
      </w:r>
      <w:r w:rsidR="00347FB6" w:rsidRPr="00996EB3">
        <w:rPr>
          <w:rFonts w:ascii="Arial" w:hAnsi="Arial" w:cs="Arial"/>
          <w:lang w:val="en-ZA"/>
        </w:rPr>
        <w:t xml:space="preserve"> </w:t>
      </w:r>
      <w:r w:rsidR="006810FF">
        <w:rPr>
          <w:rFonts w:ascii="Arial" w:eastAsiaTheme="minorHAnsi" w:hAnsi="Arial" w:cs="Arial"/>
          <w:lang w:val="en-ZA" w:eastAsia="en-US"/>
        </w:rPr>
        <w:t>a</w:t>
      </w:r>
      <w:r w:rsidR="006810FF" w:rsidRPr="006810FF">
        <w:rPr>
          <w:rFonts w:ascii="Arial" w:eastAsiaTheme="minorHAnsi" w:hAnsi="Arial" w:cs="Arial"/>
          <w:lang w:val="en-ZA" w:eastAsia="en-US"/>
        </w:rPr>
        <w:t xml:space="preserve">lthough the </w:t>
      </w:r>
      <w:r>
        <w:rPr>
          <w:rFonts w:ascii="Arial" w:eastAsiaTheme="minorHAnsi" w:hAnsi="Arial" w:cs="Arial"/>
          <w:lang w:val="en-ZA" w:eastAsia="en-US"/>
        </w:rPr>
        <w:t>a</w:t>
      </w:r>
      <w:r w:rsidR="006810FF" w:rsidRPr="006810FF">
        <w:rPr>
          <w:rFonts w:ascii="Arial" w:eastAsiaTheme="minorHAnsi" w:hAnsi="Arial" w:cs="Arial"/>
          <w:lang w:val="en-ZA" w:eastAsia="en-US"/>
        </w:rPr>
        <w:t>pplicant had clearly failed</w:t>
      </w:r>
      <w:r w:rsidR="006810FF">
        <w:rPr>
          <w:rFonts w:ascii="Arial" w:eastAsiaTheme="minorHAnsi" w:hAnsi="Arial" w:cs="Arial"/>
          <w:lang w:val="en-ZA" w:eastAsia="en-US"/>
        </w:rPr>
        <w:t xml:space="preserve"> to make out a </w:t>
      </w:r>
      <w:r w:rsidR="006810FF" w:rsidRPr="006810FF">
        <w:rPr>
          <w:rFonts w:ascii="Arial" w:eastAsiaTheme="minorHAnsi" w:hAnsi="Arial" w:cs="Arial"/>
          <w:i/>
          <w:lang w:val="en-ZA" w:eastAsia="en-US"/>
        </w:rPr>
        <w:t>prima facie</w:t>
      </w:r>
      <w:r w:rsidR="006810FF" w:rsidRPr="006810FF">
        <w:rPr>
          <w:rFonts w:ascii="Arial" w:eastAsiaTheme="minorHAnsi" w:hAnsi="Arial" w:cs="Arial"/>
          <w:lang w:val="en-ZA" w:eastAsia="en-US"/>
        </w:rPr>
        <w:t xml:space="preserve"> case</w:t>
      </w:r>
      <w:r w:rsidR="006810FF">
        <w:rPr>
          <w:rFonts w:ascii="Arial" w:eastAsiaTheme="minorHAnsi" w:hAnsi="Arial" w:cs="Arial"/>
          <w:lang w:val="en-ZA" w:eastAsia="en-US"/>
        </w:rPr>
        <w:t>,</w:t>
      </w:r>
      <w:r w:rsidR="006810FF" w:rsidRPr="006810FF">
        <w:rPr>
          <w:rFonts w:ascii="Arial" w:eastAsiaTheme="minorHAnsi" w:hAnsi="Arial" w:cs="Arial"/>
          <w:lang w:val="en-ZA" w:eastAsia="en-US"/>
        </w:rPr>
        <w:t xml:space="preserve"> it would in the</w:t>
      </w:r>
      <w:r>
        <w:rPr>
          <w:rFonts w:ascii="Arial" w:eastAsiaTheme="minorHAnsi" w:hAnsi="Arial" w:cs="Arial"/>
          <w:lang w:val="en-ZA" w:eastAsia="en-US"/>
        </w:rPr>
        <w:t xml:space="preserve"> </w:t>
      </w:r>
      <w:r w:rsidR="006810FF" w:rsidRPr="006810FF">
        <w:rPr>
          <w:rFonts w:ascii="Arial" w:eastAsiaTheme="minorHAnsi" w:hAnsi="Arial" w:cs="Arial"/>
          <w:lang w:val="en-ZA" w:eastAsia="en-US"/>
        </w:rPr>
        <w:t>circumstances of the case not be a proper exercise of the Court's discretion to slam the door in the applicant's fac</w:t>
      </w:r>
      <w:r w:rsidR="006810FF">
        <w:rPr>
          <w:rFonts w:ascii="Arial" w:eastAsiaTheme="minorHAnsi" w:hAnsi="Arial" w:cs="Arial"/>
          <w:lang w:val="en-ZA" w:eastAsia="en-US"/>
        </w:rPr>
        <w:t xml:space="preserve">e, particularly in view thereof </w:t>
      </w:r>
      <w:r w:rsidR="006810FF" w:rsidRPr="006810FF">
        <w:rPr>
          <w:rFonts w:ascii="Arial" w:eastAsiaTheme="minorHAnsi" w:hAnsi="Arial" w:cs="Arial"/>
          <w:lang w:val="en-ZA" w:eastAsia="en-US"/>
        </w:rPr>
        <w:t xml:space="preserve">that such a step would in all probability leave him without any remedy against the second respondent. The application </w:t>
      </w:r>
      <w:r w:rsidR="00B3726E">
        <w:rPr>
          <w:rFonts w:ascii="Arial" w:eastAsiaTheme="minorHAnsi" w:hAnsi="Arial" w:cs="Arial"/>
          <w:lang w:val="en-ZA" w:eastAsia="en-US"/>
        </w:rPr>
        <w:t>was</w:t>
      </w:r>
      <w:r w:rsidR="006810FF">
        <w:rPr>
          <w:rFonts w:ascii="Arial" w:eastAsiaTheme="minorHAnsi" w:hAnsi="Arial" w:cs="Arial"/>
          <w:lang w:val="en-ZA" w:eastAsia="en-US"/>
        </w:rPr>
        <w:t xml:space="preserve"> granted.</w:t>
      </w:r>
      <w:r w:rsidR="00E15A40">
        <w:rPr>
          <w:rFonts w:ascii="Arial" w:eastAsiaTheme="minorHAnsi" w:hAnsi="Arial" w:cs="Arial"/>
          <w:lang w:val="en-ZA" w:eastAsia="en-US"/>
        </w:rPr>
        <w:t xml:space="preserve"> In </w:t>
      </w:r>
      <w:r w:rsidR="00E15A40" w:rsidRPr="00180C48">
        <w:rPr>
          <w:rFonts w:ascii="Arial" w:eastAsiaTheme="minorHAnsi" w:hAnsi="Arial" w:cs="Arial"/>
          <w:i/>
          <w:lang w:val="en-ZA" w:eastAsia="en-US"/>
        </w:rPr>
        <w:t>Pitsiladi and Others v Absa Bank and Others</w:t>
      </w:r>
      <w:r w:rsidR="00180C48">
        <w:rPr>
          <w:rFonts w:ascii="Arial" w:eastAsiaTheme="minorHAnsi" w:hAnsi="Arial" w:cs="Arial"/>
          <w:i/>
          <w:lang w:val="en-ZA" w:eastAsia="en-US"/>
        </w:rPr>
        <w:t>,</w:t>
      </w:r>
      <w:r w:rsidR="00180C48">
        <w:rPr>
          <w:rStyle w:val="FootnoteReference"/>
          <w:rFonts w:ascii="Arial" w:eastAsiaTheme="minorHAnsi" w:hAnsi="Arial" w:cs="Arial"/>
          <w:i/>
          <w:lang w:val="en-ZA" w:eastAsia="en-US"/>
        </w:rPr>
        <w:footnoteReference w:id="16"/>
      </w:r>
      <w:r w:rsidR="00E15A40" w:rsidRPr="00180C48">
        <w:rPr>
          <w:rFonts w:ascii="Arial" w:eastAsiaTheme="minorHAnsi" w:hAnsi="Arial" w:cs="Arial"/>
          <w:lang w:val="en-ZA" w:eastAsia="en-US"/>
        </w:rPr>
        <w:t xml:space="preserve"> </w:t>
      </w:r>
      <w:r w:rsidR="00180C48">
        <w:rPr>
          <w:rFonts w:ascii="Arial" w:eastAsiaTheme="minorHAnsi" w:hAnsi="Arial" w:cs="Arial"/>
          <w:lang w:val="en-ZA" w:eastAsia="en-US"/>
        </w:rPr>
        <w:t>contrary to</w:t>
      </w:r>
      <w:r w:rsidR="00180C48" w:rsidRPr="00CC50E5">
        <w:rPr>
          <w:rFonts w:ascii="Arial" w:eastAsiaTheme="minorHAnsi" w:hAnsi="Arial" w:cs="Arial"/>
          <w:i/>
          <w:lang w:val="en-ZA" w:eastAsia="en-US"/>
        </w:rPr>
        <w:t xml:space="preserve"> Mercantile Bank Ltd</w:t>
      </w:r>
      <w:r w:rsidR="00CC50E5">
        <w:rPr>
          <w:rFonts w:ascii="Arial" w:eastAsiaTheme="minorHAnsi" w:hAnsi="Arial" w:cs="Arial"/>
          <w:i/>
          <w:lang w:val="en-ZA" w:eastAsia="en-US"/>
        </w:rPr>
        <w:t>,</w:t>
      </w:r>
      <w:r w:rsidR="00180C48">
        <w:rPr>
          <w:rStyle w:val="FootnoteReference"/>
          <w:rFonts w:ascii="Arial" w:eastAsiaTheme="minorHAnsi" w:hAnsi="Arial" w:cs="Arial"/>
          <w:lang w:val="en-ZA" w:eastAsia="en-US"/>
        </w:rPr>
        <w:footnoteReference w:id="17"/>
      </w:r>
      <w:r w:rsidR="00CC50E5">
        <w:rPr>
          <w:rFonts w:ascii="Arial" w:eastAsiaTheme="minorHAnsi" w:hAnsi="Arial" w:cs="Arial"/>
          <w:lang w:val="en-ZA" w:eastAsia="en-US"/>
        </w:rPr>
        <w:t xml:space="preserve"> the view was expressed </w:t>
      </w:r>
      <w:r w:rsidR="00CC50E5" w:rsidRPr="00FA215F">
        <w:rPr>
          <w:rFonts w:ascii="Arial" w:eastAsiaTheme="minorHAnsi" w:hAnsi="Arial" w:cs="Arial"/>
          <w:lang w:val="en-ZA" w:eastAsia="en-US"/>
        </w:rPr>
        <w:t xml:space="preserve">that </w:t>
      </w:r>
      <w:r w:rsidR="00FA215F">
        <w:rPr>
          <w:rFonts w:ascii="Arial" w:hAnsi="Arial" w:cs="Arial"/>
          <w:color w:val="000000"/>
        </w:rPr>
        <w:t>a</w:t>
      </w:r>
      <w:r w:rsidR="006B0B80" w:rsidRPr="00FA215F">
        <w:rPr>
          <w:rFonts w:ascii="Arial" w:hAnsi="Arial" w:cs="Arial"/>
          <w:color w:val="000000"/>
        </w:rPr>
        <w:t xml:space="preserve"> draft third party notice annexed to an application under subrule (3) is not a pleading, at least not until such time as</w:t>
      </w:r>
      <w:r w:rsidR="00FA215F">
        <w:rPr>
          <w:rFonts w:ascii="Arial" w:hAnsi="Arial" w:cs="Arial"/>
          <w:color w:val="000000"/>
        </w:rPr>
        <w:t xml:space="preserve"> the applicant has been granted</w:t>
      </w:r>
      <w:r w:rsidR="006B0B80" w:rsidRPr="00FA215F">
        <w:rPr>
          <w:rStyle w:val="mc"/>
          <w:rFonts w:ascii="Arial" w:hAnsi="Arial" w:cs="Arial"/>
          <w:color w:val="000000"/>
          <w:shd w:val="clear" w:color="auto" w:fill="C0C0C0"/>
        </w:rPr>
        <w:t> </w:t>
      </w:r>
      <w:r w:rsidR="006B0B80" w:rsidRPr="00FA215F">
        <w:rPr>
          <w:rFonts w:ascii="Arial" w:hAnsi="Arial" w:cs="Arial"/>
          <w:color w:val="000000"/>
        </w:rPr>
        <w:t>leave as envisaged by the said subrule. The purpose thereof is to satisfy the Court that the applicant has a </w:t>
      </w:r>
      <w:r w:rsidR="006B0B80" w:rsidRPr="00FA215F">
        <w:rPr>
          <w:rFonts w:ascii="Arial" w:hAnsi="Arial" w:cs="Arial"/>
          <w:i/>
          <w:iCs/>
          <w:color w:val="000000"/>
        </w:rPr>
        <w:t>prima facie</w:t>
      </w:r>
      <w:r w:rsidR="006B0B80" w:rsidRPr="00FA215F">
        <w:rPr>
          <w:rFonts w:ascii="Arial" w:hAnsi="Arial" w:cs="Arial"/>
          <w:color w:val="000000"/>
        </w:rPr>
        <w:t> case </w:t>
      </w:r>
      <w:r w:rsidR="006B0B80" w:rsidRPr="00FA215F">
        <w:rPr>
          <w:rFonts w:ascii="Arial" w:hAnsi="Arial" w:cs="Arial"/>
          <w:i/>
          <w:iCs/>
          <w:color w:val="000000"/>
        </w:rPr>
        <w:t>vis-à-vis</w:t>
      </w:r>
      <w:r w:rsidR="006B0B80" w:rsidRPr="00FA215F">
        <w:rPr>
          <w:rFonts w:ascii="Arial" w:hAnsi="Arial" w:cs="Arial"/>
          <w:color w:val="000000"/>
        </w:rPr>
        <w:t> the third party and not that it constitutes a legally valid pleading</w:t>
      </w:r>
      <w:r w:rsidR="006B0B80" w:rsidRPr="00640D43">
        <w:rPr>
          <w:rFonts w:ascii="Arial" w:hAnsi="Arial" w:cs="Arial"/>
          <w:color w:val="000000"/>
        </w:rPr>
        <w:t>.</w:t>
      </w:r>
      <w:r w:rsidR="00296CD8" w:rsidRPr="00640D43">
        <w:rPr>
          <w:rFonts w:ascii="Arial" w:hAnsi="Arial" w:cs="Arial"/>
          <w:color w:val="000000"/>
        </w:rPr>
        <w:t xml:space="preserve"> </w:t>
      </w:r>
      <w:r w:rsidR="00640D43" w:rsidRPr="00D577DA">
        <w:rPr>
          <w:rFonts w:ascii="Arial" w:hAnsi="Arial" w:cs="Arial"/>
          <w:color w:val="000000"/>
        </w:rPr>
        <w:t>T</w:t>
      </w:r>
      <w:r w:rsidR="00296CD8" w:rsidRPr="00D577DA">
        <w:rPr>
          <w:rFonts w:ascii="Arial" w:hAnsi="Arial" w:cs="Arial"/>
          <w:color w:val="000000"/>
        </w:rPr>
        <w:t>o dismiss the application on the basis that the draft third party notice is excipiable would deny the applicant the opportunity to amend the notice and remove the cause of complaint, as he may otherwise have been able to do if an exception was delivered in terms of Rule 23. This may leave the applicant remediless against the third party or may result in a multiplicity of actions, exactly what Rule 13 is intended to avoid.</w:t>
      </w:r>
      <w:r w:rsidR="00D577DA">
        <w:rPr>
          <w:rStyle w:val="FootnoteReference"/>
          <w:rFonts w:ascii="Arial" w:hAnsi="Arial" w:cs="Arial"/>
          <w:color w:val="000000"/>
        </w:rPr>
        <w:footnoteReference w:id="18"/>
      </w:r>
    </w:p>
    <w:p w:rsidR="008321CA" w:rsidRDefault="008321CA" w:rsidP="008321CA">
      <w:pPr>
        <w:autoSpaceDE w:val="0"/>
        <w:autoSpaceDN w:val="0"/>
        <w:adjustRightInd w:val="0"/>
        <w:spacing w:line="360" w:lineRule="auto"/>
        <w:ind w:left="567" w:hanging="567"/>
        <w:jc w:val="both"/>
        <w:rPr>
          <w:rFonts w:ascii="Arial" w:hAnsi="Arial" w:cs="Arial"/>
        </w:rPr>
      </w:pPr>
    </w:p>
    <w:p w:rsidR="0089014D" w:rsidRPr="00640D43" w:rsidRDefault="00402AA4" w:rsidP="009049EF">
      <w:pPr>
        <w:spacing w:after="240" w:line="360" w:lineRule="auto"/>
        <w:ind w:left="567" w:hanging="567"/>
        <w:jc w:val="both"/>
        <w:rPr>
          <w:rFonts w:ascii="Arial" w:hAnsi="Arial" w:cs="Arial"/>
        </w:rPr>
      </w:pPr>
      <w:r>
        <w:rPr>
          <w:rFonts w:ascii="Arial" w:hAnsi="Arial" w:cs="Arial"/>
        </w:rPr>
        <w:t>[1</w:t>
      </w:r>
      <w:r w:rsidR="009049EF">
        <w:rPr>
          <w:rFonts w:ascii="Arial" w:hAnsi="Arial" w:cs="Arial"/>
        </w:rPr>
        <w:t>4</w:t>
      </w:r>
      <w:r>
        <w:rPr>
          <w:rFonts w:ascii="Arial" w:hAnsi="Arial" w:cs="Arial"/>
        </w:rPr>
        <w:t xml:space="preserve">] </w:t>
      </w:r>
      <w:r w:rsidR="009049EF">
        <w:rPr>
          <w:rFonts w:ascii="Arial" w:hAnsi="Arial" w:cs="Arial"/>
        </w:rPr>
        <w:tab/>
      </w:r>
      <w:r w:rsidR="00343D48">
        <w:rPr>
          <w:rFonts w:ascii="Arial" w:hAnsi="Arial" w:cs="Arial"/>
        </w:rPr>
        <w:t>The court</w:t>
      </w:r>
      <w:r w:rsidR="00343D48">
        <w:rPr>
          <w:rStyle w:val="FootnoteReference"/>
          <w:rFonts w:ascii="Arial" w:hAnsi="Arial" w:cs="Arial"/>
        </w:rPr>
        <w:footnoteReference w:id="19"/>
      </w:r>
      <w:r w:rsidR="00343D48">
        <w:rPr>
          <w:rFonts w:ascii="Arial" w:hAnsi="Arial" w:cs="Arial"/>
        </w:rPr>
        <w:t xml:space="preserve"> stated that</w:t>
      </w:r>
      <w:r w:rsidR="00296CD8">
        <w:rPr>
          <w:rFonts w:ascii="Arial" w:hAnsi="Arial" w:cs="Arial"/>
        </w:rPr>
        <w:t xml:space="preserve"> </w:t>
      </w:r>
      <w:r w:rsidR="00640D43">
        <w:rPr>
          <w:rFonts w:ascii="Arial" w:hAnsi="Arial" w:cs="Arial"/>
          <w:color w:val="000000"/>
        </w:rPr>
        <w:t>t</w:t>
      </w:r>
      <w:r w:rsidR="00640D43" w:rsidRPr="00640D43">
        <w:rPr>
          <w:rFonts w:ascii="Arial" w:hAnsi="Arial" w:cs="Arial"/>
          <w:color w:val="000000"/>
        </w:rPr>
        <w:t>o establish a </w:t>
      </w:r>
      <w:r w:rsidR="00640D43" w:rsidRPr="00640D43">
        <w:rPr>
          <w:rFonts w:ascii="Arial" w:hAnsi="Arial" w:cs="Arial"/>
          <w:iCs/>
          <w:color w:val="000000"/>
        </w:rPr>
        <w:t>prima facie</w:t>
      </w:r>
      <w:r w:rsidR="00640D43" w:rsidRPr="00640D43">
        <w:rPr>
          <w:rFonts w:ascii="Arial" w:hAnsi="Arial" w:cs="Arial"/>
          <w:color w:val="000000"/>
        </w:rPr>
        <w:t> case for purposes of Rule 13(3)</w:t>
      </w:r>
      <w:r w:rsidR="00640D43" w:rsidRPr="00640D43">
        <w:rPr>
          <w:rFonts w:ascii="Arial" w:hAnsi="Arial" w:cs="Arial"/>
          <w:iCs/>
          <w:color w:val="000000"/>
        </w:rPr>
        <w:t>(b)</w:t>
      </w:r>
      <w:r w:rsidR="00640D43" w:rsidRPr="00640D43">
        <w:rPr>
          <w:rFonts w:ascii="Arial" w:hAnsi="Arial" w:cs="Arial"/>
          <w:color w:val="000000"/>
        </w:rPr>
        <w:t xml:space="preserve"> means that the applicant's case on the merits must not be totally unfounded, and should be based on facts mentioned in outline, which, if proved, would constitute a claim. </w:t>
      </w:r>
      <w:r w:rsidR="00640D43">
        <w:rPr>
          <w:rFonts w:ascii="Arial" w:hAnsi="Arial" w:cs="Arial"/>
          <w:color w:val="000000"/>
        </w:rPr>
        <w:t>U</w:t>
      </w:r>
      <w:r w:rsidR="00640D43" w:rsidRPr="00640D43">
        <w:rPr>
          <w:rFonts w:ascii="Arial" w:hAnsi="Arial" w:cs="Arial"/>
          <w:color w:val="000000"/>
        </w:rPr>
        <w:t>nless the Court is satisfied on a </w:t>
      </w:r>
      <w:r w:rsidR="00640D43" w:rsidRPr="00640D43">
        <w:rPr>
          <w:rFonts w:ascii="Arial" w:hAnsi="Arial" w:cs="Arial"/>
          <w:iCs/>
          <w:color w:val="000000"/>
        </w:rPr>
        <w:t>conspectus</w:t>
      </w:r>
      <w:r w:rsidR="00640D43" w:rsidRPr="00640D43">
        <w:rPr>
          <w:rFonts w:ascii="Arial" w:hAnsi="Arial" w:cs="Arial"/>
          <w:color w:val="000000"/>
        </w:rPr>
        <w:t> of all the facts that the applicant's case is clearly without merit, factual and legal issues raised by an application in terms of subrule (3) are rather to be determined at the trial or left to be addressed in the pleadings which the third party is entitled to file in terms of Rule 13.</w:t>
      </w:r>
    </w:p>
    <w:p w:rsidR="00B3451A" w:rsidRDefault="00402AA4" w:rsidP="009049EF">
      <w:pPr>
        <w:autoSpaceDE w:val="0"/>
        <w:autoSpaceDN w:val="0"/>
        <w:adjustRightInd w:val="0"/>
        <w:spacing w:line="360" w:lineRule="auto"/>
        <w:ind w:left="567" w:hanging="567"/>
        <w:jc w:val="both"/>
        <w:rPr>
          <w:rFonts w:ascii="Arial" w:eastAsiaTheme="minorHAnsi" w:hAnsi="Arial" w:cs="Arial"/>
          <w:lang w:val="en-ZA" w:eastAsia="en-US"/>
        </w:rPr>
      </w:pPr>
      <w:r>
        <w:rPr>
          <w:rFonts w:ascii="Arial" w:hAnsi="Arial" w:cs="Arial"/>
        </w:rPr>
        <w:lastRenderedPageBreak/>
        <w:t>[1</w:t>
      </w:r>
      <w:r w:rsidR="009049EF">
        <w:rPr>
          <w:rFonts w:ascii="Arial" w:hAnsi="Arial" w:cs="Arial"/>
        </w:rPr>
        <w:t>5</w:t>
      </w:r>
      <w:r w:rsidR="00B3451A" w:rsidRPr="00996EB3">
        <w:rPr>
          <w:rFonts w:ascii="Arial" w:hAnsi="Arial" w:cs="Arial"/>
        </w:rPr>
        <w:t xml:space="preserve">] </w:t>
      </w:r>
      <w:r w:rsidR="009049EF">
        <w:rPr>
          <w:rFonts w:ascii="Arial" w:hAnsi="Arial" w:cs="Arial"/>
        </w:rPr>
        <w:tab/>
      </w:r>
      <w:r w:rsidR="00962867">
        <w:rPr>
          <w:rFonts w:ascii="Arial" w:hAnsi="Arial" w:cs="Arial"/>
        </w:rPr>
        <w:t xml:space="preserve">Having considered the above, </w:t>
      </w:r>
      <w:r w:rsidR="000C3BA4">
        <w:rPr>
          <w:rFonts w:ascii="Arial" w:hAnsi="Arial" w:cs="Arial"/>
        </w:rPr>
        <w:t xml:space="preserve">it is evident that </w:t>
      </w:r>
      <w:r w:rsidR="00962867">
        <w:rPr>
          <w:rFonts w:ascii="Arial" w:hAnsi="Arial" w:cs="Arial"/>
        </w:rPr>
        <w:t>an applicant must</w:t>
      </w:r>
      <w:r w:rsidR="000C3BA4">
        <w:rPr>
          <w:rFonts w:ascii="Arial" w:hAnsi="Arial" w:cs="Arial"/>
        </w:rPr>
        <w:t>,</w:t>
      </w:r>
      <w:r w:rsidR="00962867">
        <w:rPr>
          <w:rFonts w:ascii="Arial" w:hAnsi="Arial" w:cs="Arial"/>
        </w:rPr>
        <w:t xml:space="preserve"> firstly,</w:t>
      </w:r>
      <w:r w:rsidR="00962867" w:rsidRPr="00962867">
        <w:rPr>
          <w:rFonts w:ascii="Arial" w:hAnsi="Arial" w:cs="Arial"/>
        </w:rPr>
        <w:t xml:space="preserve"> furnish a satisfactory explanation for his/her failure to issue the notice before the close of</w:t>
      </w:r>
      <w:r w:rsidR="00962867">
        <w:rPr>
          <w:rFonts w:ascii="Arial" w:hAnsi="Arial" w:cs="Arial"/>
        </w:rPr>
        <w:t xml:space="preserve"> pleadings and, secondly,</w:t>
      </w:r>
      <w:r w:rsidR="00962867" w:rsidRPr="00962867">
        <w:rPr>
          <w:rFonts w:ascii="Arial" w:hAnsi="Arial" w:cs="Arial"/>
        </w:rPr>
        <w:t xml:space="preserve"> </w:t>
      </w:r>
      <w:r w:rsidR="00FE2616">
        <w:rPr>
          <w:rFonts w:ascii="Arial" w:hAnsi="Arial" w:cs="Arial"/>
        </w:rPr>
        <w:t xml:space="preserve">the applicant’s case on the merits </w:t>
      </w:r>
      <w:r w:rsidR="00962867" w:rsidRPr="00962867">
        <w:rPr>
          <w:rFonts w:ascii="Arial" w:hAnsi="Arial" w:cs="Arial"/>
        </w:rPr>
        <w:t>m</w:t>
      </w:r>
      <w:r w:rsidR="00FE2616">
        <w:rPr>
          <w:rFonts w:ascii="Arial" w:hAnsi="Arial" w:cs="Arial"/>
        </w:rPr>
        <w:t>ust not be totally unfounded, and should be based on facts mentioned in outline, which, if proved, would constitute a claim. The court should be satisfied on a conspectus of all the facts that the applicant’s case is clearly without merit</w:t>
      </w:r>
      <w:r w:rsidR="001E356C">
        <w:rPr>
          <w:rFonts w:ascii="Arial" w:hAnsi="Arial" w:cs="Arial"/>
        </w:rPr>
        <w:t xml:space="preserve"> before rejecting it</w:t>
      </w:r>
      <w:r w:rsidR="00FE2616">
        <w:rPr>
          <w:rFonts w:ascii="Arial" w:hAnsi="Arial" w:cs="Arial"/>
        </w:rPr>
        <w:t>.</w:t>
      </w:r>
    </w:p>
    <w:p w:rsidR="00AF61EC" w:rsidRPr="00AF61EC" w:rsidRDefault="00AF61EC" w:rsidP="00677E1C">
      <w:pPr>
        <w:autoSpaceDE w:val="0"/>
        <w:autoSpaceDN w:val="0"/>
        <w:adjustRightInd w:val="0"/>
        <w:spacing w:line="360" w:lineRule="auto"/>
        <w:jc w:val="both"/>
        <w:rPr>
          <w:rFonts w:ascii="Arial" w:eastAsiaTheme="minorHAnsi" w:hAnsi="Arial" w:cs="Arial"/>
          <w:lang w:val="en-ZA" w:eastAsia="en-US"/>
        </w:rPr>
      </w:pPr>
    </w:p>
    <w:p w:rsidR="00F4378B" w:rsidRPr="009049EF" w:rsidRDefault="00F60980" w:rsidP="00962867">
      <w:pPr>
        <w:spacing w:after="240" w:line="360" w:lineRule="auto"/>
        <w:jc w:val="both"/>
        <w:rPr>
          <w:rFonts w:ascii="Arial" w:hAnsi="Arial" w:cs="Arial"/>
          <w:i/>
          <w:u w:val="single"/>
        </w:rPr>
      </w:pPr>
      <w:r>
        <w:rPr>
          <w:rFonts w:ascii="Arial" w:hAnsi="Arial" w:cs="Arial"/>
          <w:i/>
          <w:u w:val="single"/>
        </w:rPr>
        <w:t xml:space="preserve">The parties’ </w:t>
      </w:r>
      <w:r w:rsidR="00F4378B" w:rsidRPr="009049EF">
        <w:rPr>
          <w:rFonts w:ascii="Arial" w:hAnsi="Arial" w:cs="Arial"/>
          <w:i/>
          <w:u w:val="single"/>
        </w:rPr>
        <w:t>submissions</w:t>
      </w:r>
    </w:p>
    <w:p w:rsidR="00056BDC" w:rsidRDefault="00962867" w:rsidP="009049EF">
      <w:pPr>
        <w:spacing w:after="240" w:line="360" w:lineRule="auto"/>
        <w:ind w:left="567" w:hanging="567"/>
        <w:jc w:val="both"/>
        <w:rPr>
          <w:rFonts w:ascii="Arial" w:hAnsi="Arial" w:cs="Arial"/>
        </w:rPr>
      </w:pPr>
      <w:r>
        <w:rPr>
          <w:rFonts w:ascii="Arial" w:hAnsi="Arial" w:cs="Arial"/>
        </w:rPr>
        <w:t>[1</w:t>
      </w:r>
      <w:r w:rsidR="009049EF">
        <w:rPr>
          <w:rFonts w:ascii="Arial" w:hAnsi="Arial" w:cs="Arial"/>
        </w:rPr>
        <w:t>6</w:t>
      </w:r>
      <w:r>
        <w:rPr>
          <w:rFonts w:ascii="Arial" w:hAnsi="Arial" w:cs="Arial"/>
        </w:rPr>
        <w:t>]</w:t>
      </w:r>
      <w:r w:rsidR="006A2F67">
        <w:rPr>
          <w:rFonts w:ascii="Arial" w:hAnsi="Arial" w:cs="Arial"/>
        </w:rPr>
        <w:t xml:space="preserve"> </w:t>
      </w:r>
      <w:r w:rsidR="009049EF">
        <w:rPr>
          <w:rFonts w:ascii="Arial" w:hAnsi="Arial" w:cs="Arial"/>
        </w:rPr>
        <w:tab/>
      </w:r>
      <w:r w:rsidR="006A2F67">
        <w:rPr>
          <w:rFonts w:ascii="Arial" w:hAnsi="Arial" w:cs="Arial"/>
        </w:rPr>
        <w:t xml:space="preserve">It was submitted </w:t>
      </w:r>
      <w:r w:rsidR="008F4B86">
        <w:rPr>
          <w:rFonts w:ascii="Arial" w:hAnsi="Arial" w:cs="Arial"/>
        </w:rPr>
        <w:t xml:space="preserve">in the </w:t>
      </w:r>
      <w:r w:rsidR="006A2F67">
        <w:rPr>
          <w:rFonts w:ascii="Arial" w:hAnsi="Arial" w:cs="Arial"/>
        </w:rPr>
        <w:t>applicant</w:t>
      </w:r>
      <w:r w:rsidR="008F4B86">
        <w:rPr>
          <w:rFonts w:ascii="Arial" w:hAnsi="Arial" w:cs="Arial"/>
        </w:rPr>
        <w:t>’s written heads of argument</w:t>
      </w:r>
      <w:r w:rsidR="006A2F67">
        <w:rPr>
          <w:rFonts w:ascii="Arial" w:hAnsi="Arial" w:cs="Arial"/>
        </w:rPr>
        <w:t xml:space="preserve"> that the test was </w:t>
      </w:r>
      <w:r w:rsidR="008F4B86">
        <w:rPr>
          <w:rFonts w:ascii="Arial" w:hAnsi="Arial" w:cs="Arial"/>
        </w:rPr>
        <w:t>“</w:t>
      </w:r>
      <w:r w:rsidR="006A2F67" w:rsidRPr="008F4B86">
        <w:rPr>
          <w:rFonts w:ascii="Arial" w:hAnsi="Arial" w:cs="Arial"/>
          <w:i/>
        </w:rPr>
        <w:t>merely to provide a satisfactory explanation</w:t>
      </w:r>
      <w:r w:rsidR="008F4B86">
        <w:rPr>
          <w:rFonts w:ascii="Arial" w:hAnsi="Arial" w:cs="Arial"/>
        </w:rPr>
        <w:t>”</w:t>
      </w:r>
      <w:r w:rsidR="008F4B86">
        <w:rPr>
          <w:rStyle w:val="FootnoteReference"/>
          <w:rFonts w:ascii="Arial" w:hAnsi="Arial" w:cs="Arial"/>
        </w:rPr>
        <w:footnoteReference w:id="20"/>
      </w:r>
      <w:r w:rsidR="006A2F67">
        <w:rPr>
          <w:rFonts w:ascii="Arial" w:hAnsi="Arial" w:cs="Arial"/>
        </w:rPr>
        <w:t xml:space="preserve"> as to why the notice was not served before 23 December 2021. The summary of the explanation</w:t>
      </w:r>
      <w:r w:rsidR="008461E8">
        <w:rPr>
          <w:rFonts w:ascii="Arial" w:hAnsi="Arial" w:cs="Arial"/>
        </w:rPr>
        <w:t>, it was contended,</w:t>
      </w:r>
      <w:r w:rsidR="006A2F67">
        <w:rPr>
          <w:rFonts w:ascii="Arial" w:hAnsi="Arial" w:cs="Arial"/>
        </w:rPr>
        <w:t xml:space="preserve"> was that the applicant only became aware of the admitted factory fault on 28 March 2022 on perusal of the discovered documents.</w:t>
      </w:r>
      <w:r w:rsidR="006A2F67">
        <w:rPr>
          <w:rStyle w:val="FootnoteReference"/>
          <w:rFonts w:ascii="Arial" w:hAnsi="Arial" w:cs="Arial"/>
        </w:rPr>
        <w:footnoteReference w:id="21"/>
      </w:r>
      <w:r w:rsidR="008461E8">
        <w:rPr>
          <w:rFonts w:ascii="Arial" w:hAnsi="Arial" w:cs="Arial"/>
        </w:rPr>
        <w:t xml:space="preserve"> T</w:t>
      </w:r>
      <w:r w:rsidR="00935E01">
        <w:rPr>
          <w:rFonts w:ascii="Arial" w:hAnsi="Arial" w:cs="Arial"/>
        </w:rPr>
        <w:t xml:space="preserve">he third respondent </w:t>
      </w:r>
      <w:r w:rsidR="008461E8">
        <w:rPr>
          <w:rFonts w:ascii="Arial" w:hAnsi="Arial" w:cs="Arial"/>
        </w:rPr>
        <w:t xml:space="preserve">contended </w:t>
      </w:r>
      <w:r w:rsidR="00935E01">
        <w:rPr>
          <w:rFonts w:ascii="Arial" w:hAnsi="Arial" w:cs="Arial"/>
        </w:rPr>
        <w:t>that the</w:t>
      </w:r>
      <w:r w:rsidR="008461E8">
        <w:rPr>
          <w:rFonts w:ascii="Arial" w:hAnsi="Arial" w:cs="Arial"/>
        </w:rPr>
        <w:t xml:space="preserve"> applicant’s version under oath</w:t>
      </w:r>
      <w:r w:rsidR="00935E01">
        <w:rPr>
          <w:rFonts w:ascii="Arial" w:hAnsi="Arial" w:cs="Arial"/>
        </w:rPr>
        <w:t xml:space="preserve"> was clearly and blatantly belied and contradicted by the papers and correspondence before the court. </w:t>
      </w:r>
      <w:r w:rsidR="006C3CD6">
        <w:rPr>
          <w:rFonts w:ascii="Arial" w:hAnsi="Arial" w:cs="Arial"/>
        </w:rPr>
        <w:t>Any information that the applicant was desirous of obtaining at any point prior to the close of pleadings</w:t>
      </w:r>
      <w:r w:rsidR="004D7BEB">
        <w:rPr>
          <w:rFonts w:ascii="Arial" w:hAnsi="Arial" w:cs="Arial"/>
        </w:rPr>
        <w:t>,</w:t>
      </w:r>
      <w:r w:rsidR="006C3CD6">
        <w:rPr>
          <w:rFonts w:ascii="Arial" w:hAnsi="Arial" w:cs="Arial"/>
        </w:rPr>
        <w:t xml:space="preserve"> was within reach of its fingertips as it was aware of the third respondent’s involvement as</w:t>
      </w:r>
      <w:r w:rsidR="00F007B0">
        <w:rPr>
          <w:rFonts w:ascii="Arial" w:hAnsi="Arial" w:cs="Arial"/>
        </w:rPr>
        <w:t xml:space="preserve"> a</w:t>
      </w:r>
      <w:r w:rsidR="006C3CD6">
        <w:rPr>
          <w:rFonts w:ascii="Arial" w:hAnsi="Arial" w:cs="Arial"/>
        </w:rPr>
        <w:t xml:space="preserve"> manufacturer of the original cab and chassis.</w:t>
      </w:r>
      <w:r w:rsidR="006C3CD6">
        <w:rPr>
          <w:rStyle w:val="FootnoteReference"/>
          <w:rFonts w:ascii="Arial" w:hAnsi="Arial" w:cs="Arial"/>
        </w:rPr>
        <w:footnoteReference w:id="22"/>
      </w:r>
      <w:r w:rsidR="00935E01">
        <w:rPr>
          <w:rFonts w:ascii="Arial" w:hAnsi="Arial" w:cs="Arial"/>
        </w:rPr>
        <w:t xml:space="preserve"> </w:t>
      </w:r>
    </w:p>
    <w:p w:rsidR="00333ABC" w:rsidRDefault="00056BDC" w:rsidP="009049EF">
      <w:pPr>
        <w:spacing w:after="240" w:line="360" w:lineRule="auto"/>
        <w:ind w:left="567" w:hanging="567"/>
        <w:jc w:val="both"/>
        <w:rPr>
          <w:rFonts w:ascii="Arial" w:hAnsi="Arial" w:cs="Arial"/>
        </w:rPr>
      </w:pPr>
      <w:r>
        <w:rPr>
          <w:rFonts w:ascii="Arial" w:hAnsi="Arial" w:cs="Arial"/>
        </w:rPr>
        <w:t>[1</w:t>
      </w:r>
      <w:r w:rsidR="009049EF">
        <w:rPr>
          <w:rFonts w:ascii="Arial" w:hAnsi="Arial" w:cs="Arial"/>
        </w:rPr>
        <w:t>7</w:t>
      </w:r>
      <w:r>
        <w:rPr>
          <w:rFonts w:ascii="Arial" w:hAnsi="Arial" w:cs="Arial"/>
        </w:rPr>
        <w:t xml:space="preserve">] </w:t>
      </w:r>
      <w:r w:rsidR="009049EF">
        <w:rPr>
          <w:rFonts w:ascii="Arial" w:hAnsi="Arial" w:cs="Arial"/>
        </w:rPr>
        <w:tab/>
      </w:r>
      <w:r>
        <w:rPr>
          <w:rFonts w:ascii="Arial" w:hAnsi="Arial" w:cs="Arial"/>
        </w:rPr>
        <w:t xml:space="preserve">The </w:t>
      </w:r>
      <w:r w:rsidR="004A4986">
        <w:rPr>
          <w:rFonts w:ascii="Arial" w:hAnsi="Arial" w:cs="Arial"/>
        </w:rPr>
        <w:t>third</w:t>
      </w:r>
      <w:r>
        <w:rPr>
          <w:rFonts w:ascii="Arial" w:hAnsi="Arial" w:cs="Arial"/>
        </w:rPr>
        <w:t xml:space="preserve"> respondent argued that the applicant and its attorneys ha</w:t>
      </w:r>
      <w:r w:rsidR="004A4986">
        <w:rPr>
          <w:rFonts w:ascii="Arial" w:hAnsi="Arial" w:cs="Arial"/>
        </w:rPr>
        <w:t>d</w:t>
      </w:r>
      <w:r w:rsidR="006B7FDC">
        <w:rPr>
          <w:rFonts w:ascii="Arial" w:hAnsi="Arial" w:cs="Arial"/>
        </w:rPr>
        <w:t xml:space="preserve"> this knowledge</w:t>
      </w:r>
      <w:r>
        <w:rPr>
          <w:rFonts w:ascii="Arial" w:hAnsi="Arial" w:cs="Arial"/>
        </w:rPr>
        <w:t xml:space="preserve"> throughout the main action proceedings</w:t>
      </w:r>
      <w:r w:rsidR="006B7FDC">
        <w:rPr>
          <w:rFonts w:ascii="Arial" w:hAnsi="Arial" w:cs="Arial"/>
        </w:rPr>
        <w:t xml:space="preserve">, and it was </w:t>
      </w:r>
      <w:r w:rsidR="004A4986">
        <w:rPr>
          <w:rFonts w:ascii="Arial" w:hAnsi="Arial" w:cs="Arial"/>
        </w:rPr>
        <w:t>set out in the correspondence</w:t>
      </w:r>
      <w:r w:rsidR="004A4986">
        <w:rPr>
          <w:rStyle w:val="FootnoteReference"/>
          <w:rFonts w:ascii="Arial" w:hAnsi="Arial" w:cs="Arial"/>
        </w:rPr>
        <w:footnoteReference w:id="23"/>
      </w:r>
      <w:r w:rsidR="004A4986">
        <w:rPr>
          <w:rFonts w:ascii="Arial" w:hAnsi="Arial" w:cs="Arial"/>
        </w:rPr>
        <w:t xml:space="preserve"> addressed to the applicant by the first respondent’s attorneys on 22 July 2022.</w:t>
      </w:r>
      <w:r>
        <w:rPr>
          <w:rFonts w:ascii="Arial" w:hAnsi="Arial" w:cs="Arial"/>
        </w:rPr>
        <w:t xml:space="preserve"> </w:t>
      </w:r>
      <w:r w:rsidR="00F77D14">
        <w:rPr>
          <w:rFonts w:ascii="Arial" w:hAnsi="Arial" w:cs="Arial"/>
        </w:rPr>
        <w:t>In its answering affidavit,</w:t>
      </w:r>
      <w:r w:rsidR="00FC4FC2">
        <w:rPr>
          <w:rStyle w:val="FootnoteReference"/>
          <w:rFonts w:ascii="Arial" w:hAnsi="Arial" w:cs="Arial"/>
        </w:rPr>
        <w:footnoteReference w:id="24"/>
      </w:r>
      <w:r w:rsidR="00F77D14">
        <w:rPr>
          <w:rFonts w:ascii="Arial" w:hAnsi="Arial" w:cs="Arial"/>
        </w:rPr>
        <w:t xml:space="preserve"> the third respondent s</w:t>
      </w:r>
      <w:r w:rsidR="00333ABC">
        <w:rPr>
          <w:rFonts w:ascii="Arial" w:hAnsi="Arial" w:cs="Arial"/>
        </w:rPr>
        <w:t>tated that:</w:t>
      </w:r>
    </w:p>
    <w:p w:rsidR="006F68DB" w:rsidRDefault="006F68DB" w:rsidP="009049EF">
      <w:pPr>
        <w:spacing w:after="240" w:line="360" w:lineRule="auto"/>
        <w:ind w:left="1276" w:hanging="709"/>
        <w:jc w:val="both"/>
        <w:rPr>
          <w:rFonts w:ascii="Arial" w:hAnsi="Arial" w:cs="Arial"/>
          <w:i/>
          <w:sz w:val="20"/>
          <w:szCs w:val="20"/>
        </w:rPr>
      </w:pPr>
      <w:r>
        <w:rPr>
          <w:rFonts w:ascii="Arial" w:hAnsi="Arial" w:cs="Arial"/>
          <w:i/>
          <w:sz w:val="20"/>
          <w:szCs w:val="20"/>
        </w:rPr>
        <w:t>‘’</w:t>
      </w:r>
      <w:r w:rsidRPr="006F68DB">
        <w:rPr>
          <w:rFonts w:ascii="Arial" w:hAnsi="Arial" w:cs="Arial"/>
          <w:i/>
          <w:sz w:val="20"/>
          <w:szCs w:val="20"/>
        </w:rPr>
        <w:t>71.</w:t>
      </w:r>
      <w:r>
        <w:rPr>
          <w:rFonts w:ascii="Arial" w:hAnsi="Arial" w:cs="Arial"/>
        </w:rPr>
        <w:t xml:space="preserve"> </w:t>
      </w:r>
      <w:r w:rsidR="009049EF">
        <w:rPr>
          <w:rFonts w:ascii="Arial" w:hAnsi="Arial" w:cs="Arial"/>
        </w:rPr>
        <w:tab/>
      </w:r>
      <w:r w:rsidR="000F19A8" w:rsidRPr="008B1089">
        <w:rPr>
          <w:rFonts w:ascii="Arial" w:hAnsi="Arial" w:cs="Arial"/>
          <w:i/>
          <w:sz w:val="20"/>
          <w:szCs w:val="20"/>
        </w:rPr>
        <w:t>In particular, and on or about 22 July 2022, t</w:t>
      </w:r>
      <w:r w:rsidR="00333ABC" w:rsidRPr="008B1089">
        <w:rPr>
          <w:rFonts w:ascii="Arial" w:hAnsi="Arial" w:cs="Arial"/>
          <w:i/>
          <w:sz w:val="20"/>
          <w:szCs w:val="20"/>
        </w:rPr>
        <w:t>he</w:t>
      </w:r>
      <w:r w:rsidR="000F19A8" w:rsidRPr="008B1089">
        <w:rPr>
          <w:rFonts w:ascii="Arial" w:hAnsi="Arial" w:cs="Arial"/>
          <w:i/>
          <w:sz w:val="20"/>
          <w:szCs w:val="20"/>
        </w:rPr>
        <w:t xml:space="preserve"> attorneys acting on behalf of the first respondent addressed correspondence to the applicant’s attorneys, wherein the first respondent emphasised that</w:t>
      </w:r>
      <w:r w:rsidR="00E90E0E" w:rsidRPr="008B1089">
        <w:rPr>
          <w:rFonts w:ascii="Arial" w:hAnsi="Arial" w:cs="Arial"/>
          <w:i/>
          <w:sz w:val="20"/>
          <w:szCs w:val="20"/>
        </w:rPr>
        <w:t xml:space="preserve"> the intended cost order was unfounded and without lawful basis since, inter alia:</w:t>
      </w:r>
    </w:p>
    <w:p w:rsidR="00BA2163" w:rsidRDefault="00E90E0E" w:rsidP="009049EF">
      <w:pPr>
        <w:spacing w:after="240" w:line="360" w:lineRule="auto"/>
        <w:ind w:left="1985" w:hanging="709"/>
        <w:jc w:val="both"/>
        <w:rPr>
          <w:rFonts w:ascii="Arial" w:hAnsi="Arial" w:cs="Arial"/>
          <w:i/>
          <w:sz w:val="20"/>
          <w:szCs w:val="20"/>
        </w:rPr>
      </w:pPr>
      <w:r w:rsidRPr="008B1089">
        <w:rPr>
          <w:rFonts w:ascii="Arial" w:hAnsi="Arial" w:cs="Arial"/>
          <w:i/>
          <w:sz w:val="20"/>
          <w:szCs w:val="20"/>
        </w:rPr>
        <w:lastRenderedPageBreak/>
        <w:t xml:space="preserve">71.1 </w:t>
      </w:r>
      <w:r w:rsidR="009049EF">
        <w:rPr>
          <w:rFonts w:ascii="Arial" w:hAnsi="Arial" w:cs="Arial"/>
          <w:i/>
          <w:sz w:val="20"/>
          <w:szCs w:val="20"/>
        </w:rPr>
        <w:tab/>
      </w:r>
      <w:r w:rsidRPr="008B1089">
        <w:rPr>
          <w:rFonts w:ascii="Arial" w:hAnsi="Arial" w:cs="Arial"/>
          <w:i/>
          <w:sz w:val="20"/>
          <w:szCs w:val="20"/>
        </w:rPr>
        <w:t>The applicant had already been</w:t>
      </w:r>
      <w:r w:rsidR="00333ABC" w:rsidRPr="008B1089">
        <w:rPr>
          <w:rFonts w:ascii="Arial" w:hAnsi="Arial" w:cs="Arial"/>
          <w:i/>
          <w:sz w:val="20"/>
          <w:szCs w:val="20"/>
        </w:rPr>
        <w:t xml:space="preserve"> aw</w:t>
      </w:r>
      <w:r w:rsidRPr="008B1089">
        <w:rPr>
          <w:rFonts w:ascii="Arial" w:hAnsi="Arial" w:cs="Arial"/>
          <w:i/>
          <w:sz w:val="20"/>
          <w:szCs w:val="20"/>
        </w:rPr>
        <w:t>are</w:t>
      </w:r>
      <w:r w:rsidR="00333ABC" w:rsidRPr="008B1089">
        <w:rPr>
          <w:rFonts w:ascii="Arial" w:hAnsi="Arial" w:cs="Arial"/>
          <w:i/>
          <w:sz w:val="20"/>
          <w:szCs w:val="20"/>
        </w:rPr>
        <w:t xml:space="preserve"> since</w:t>
      </w:r>
      <w:r w:rsidRPr="008B1089">
        <w:rPr>
          <w:rFonts w:ascii="Arial" w:hAnsi="Arial" w:cs="Arial"/>
          <w:i/>
          <w:sz w:val="20"/>
          <w:szCs w:val="20"/>
        </w:rPr>
        <w:t xml:space="preserve"> 12</w:t>
      </w:r>
      <w:r w:rsidR="00333ABC" w:rsidRPr="008B1089">
        <w:rPr>
          <w:rFonts w:ascii="Arial" w:hAnsi="Arial" w:cs="Arial"/>
          <w:i/>
          <w:sz w:val="20"/>
          <w:szCs w:val="20"/>
        </w:rPr>
        <w:t xml:space="preserve"> March 2021</w:t>
      </w:r>
      <w:r w:rsidRPr="008B1089">
        <w:rPr>
          <w:rFonts w:ascii="Arial" w:hAnsi="Arial" w:cs="Arial"/>
          <w:i/>
          <w:sz w:val="20"/>
          <w:szCs w:val="20"/>
        </w:rPr>
        <w:t xml:space="preserve"> that the first respondent had dispatched its letter of demand to UD Trucks, which date was before the main action had even commenced.</w:t>
      </w:r>
    </w:p>
    <w:p w:rsidR="00BA2163" w:rsidRDefault="00E90E0E" w:rsidP="009049EF">
      <w:pPr>
        <w:spacing w:after="240" w:line="360" w:lineRule="auto"/>
        <w:ind w:left="1985" w:hanging="709"/>
        <w:jc w:val="both"/>
        <w:rPr>
          <w:rFonts w:ascii="Arial" w:hAnsi="Arial" w:cs="Arial"/>
          <w:i/>
          <w:sz w:val="20"/>
          <w:szCs w:val="20"/>
        </w:rPr>
      </w:pPr>
      <w:r w:rsidRPr="008B1089">
        <w:rPr>
          <w:rFonts w:ascii="Arial" w:hAnsi="Arial" w:cs="Arial"/>
          <w:i/>
          <w:sz w:val="20"/>
          <w:szCs w:val="20"/>
        </w:rPr>
        <w:t>71.2</w:t>
      </w:r>
      <w:r w:rsidR="00333ABC" w:rsidRPr="008B1089">
        <w:rPr>
          <w:rFonts w:ascii="Arial" w:hAnsi="Arial" w:cs="Arial"/>
          <w:i/>
          <w:sz w:val="20"/>
          <w:szCs w:val="20"/>
        </w:rPr>
        <w:t xml:space="preserve"> </w:t>
      </w:r>
      <w:r w:rsidR="009049EF">
        <w:rPr>
          <w:rFonts w:ascii="Arial" w:hAnsi="Arial" w:cs="Arial"/>
          <w:i/>
          <w:sz w:val="20"/>
          <w:szCs w:val="20"/>
        </w:rPr>
        <w:tab/>
      </w:r>
      <w:r w:rsidR="00333ABC" w:rsidRPr="008B1089">
        <w:rPr>
          <w:rFonts w:ascii="Arial" w:hAnsi="Arial" w:cs="Arial"/>
          <w:i/>
          <w:sz w:val="20"/>
          <w:szCs w:val="20"/>
        </w:rPr>
        <w:t>T</w:t>
      </w:r>
      <w:r w:rsidRPr="008B1089">
        <w:rPr>
          <w:rFonts w:ascii="Arial" w:hAnsi="Arial" w:cs="Arial"/>
          <w:i/>
          <w:sz w:val="20"/>
          <w:szCs w:val="20"/>
        </w:rPr>
        <w:t>he applicant should have</w:t>
      </w:r>
      <w:r w:rsidR="00333ABC" w:rsidRPr="008B1089">
        <w:rPr>
          <w:rFonts w:ascii="Arial" w:hAnsi="Arial" w:cs="Arial"/>
          <w:i/>
          <w:sz w:val="20"/>
          <w:szCs w:val="20"/>
        </w:rPr>
        <w:t xml:space="preserve"> plea</w:t>
      </w:r>
      <w:r w:rsidRPr="008B1089">
        <w:rPr>
          <w:rFonts w:ascii="Arial" w:hAnsi="Arial" w:cs="Arial"/>
          <w:i/>
          <w:sz w:val="20"/>
          <w:szCs w:val="20"/>
        </w:rPr>
        <w:t>ded</w:t>
      </w:r>
      <w:r w:rsidR="00333ABC" w:rsidRPr="008B1089">
        <w:rPr>
          <w:rFonts w:ascii="Arial" w:hAnsi="Arial" w:cs="Arial"/>
          <w:i/>
          <w:sz w:val="20"/>
          <w:szCs w:val="20"/>
        </w:rPr>
        <w:t xml:space="preserve"> misjoinder</w:t>
      </w:r>
      <w:r w:rsidRPr="008B1089">
        <w:rPr>
          <w:rFonts w:ascii="Arial" w:hAnsi="Arial" w:cs="Arial"/>
          <w:i/>
          <w:sz w:val="20"/>
          <w:szCs w:val="20"/>
        </w:rPr>
        <w:t xml:space="preserve"> in the main application, but i</w:t>
      </w:r>
      <w:r w:rsidR="00031425" w:rsidRPr="008B1089">
        <w:rPr>
          <w:rFonts w:ascii="Arial" w:hAnsi="Arial" w:cs="Arial"/>
          <w:i/>
          <w:sz w:val="20"/>
          <w:szCs w:val="20"/>
        </w:rPr>
        <w:t>nstead</w:t>
      </w:r>
      <w:r w:rsidRPr="008B1089">
        <w:rPr>
          <w:rFonts w:ascii="Arial" w:hAnsi="Arial" w:cs="Arial"/>
          <w:i/>
          <w:sz w:val="20"/>
          <w:szCs w:val="20"/>
        </w:rPr>
        <w:t xml:space="preserve"> elected</w:t>
      </w:r>
      <w:r w:rsidR="00031425" w:rsidRPr="008B1089">
        <w:rPr>
          <w:rFonts w:ascii="Arial" w:hAnsi="Arial" w:cs="Arial"/>
          <w:i/>
          <w:sz w:val="20"/>
          <w:szCs w:val="20"/>
        </w:rPr>
        <w:t xml:space="preserve"> to delay and is only</w:t>
      </w:r>
      <w:r w:rsidRPr="008B1089">
        <w:rPr>
          <w:rFonts w:ascii="Arial" w:hAnsi="Arial" w:cs="Arial"/>
          <w:i/>
          <w:sz w:val="20"/>
          <w:szCs w:val="20"/>
        </w:rPr>
        <w:t xml:space="preserve"> now</w:t>
      </w:r>
      <w:r w:rsidR="00031425" w:rsidRPr="008B1089">
        <w:rPr>
          <w:rFonts w:ascii="Arial" w:hAnsi="Arial" w:cs="Arial"/>
          <w:i/>
          <w:sz w:val="20"/>
          <w:szCs w:val="20"/>
        </w:rPr>
        <w:t xml:space="preserve"> attempting to advance a claim for indemnificat</w:t>
      </w:r>
      <w:r w:rsidRPr="008B1089">
        <w:rPr>
          <w:rFonts w:ascii="Arial" w:hAnsi="Arial" w:cs="Arial"/>
          <w:i/>
          <w:sz w:val="20"/>
          <w:szCs w:val="20"/>
        </w:rPr>
        <w:t>ion against UD Trucks</w:t>
      </w:r>
      <w:r w:rsidR="00031425" w:rsidRPr="008B1089">
        <w:rPr>
          <w:rFonts w:ascii="Arial" w:hAnsi="Arial" w:cs="Arial"/>
          <w:i/>
          <w:sz w:val="20"/>
          <w:szCs w:val="20"/>
        </w:rPr>
        <w:t xml:space="preserve"> at this late stage.</w:t>
      </w:r>
    </w:p>
    <w:p w:rsidR="00BA2163" w:rsidRDefault="002E08EC" w:rsidP="009049EF">
      <w:pPr>
        <w:spacing w:after="240" w:line="360" w:lineRule="auto"/>
        <w:ind w:left="1985" w:hanging="709"/>
        <w:jc w:val="both"/>
        <w:rPr>
          <w:rFonts w:ascii="Arial" w:hAnsi="Arial" w:cs="Arial"/>
          <w:i/>
          <w:sz w:val="20"/>
          <w:szCs w:val="20"/>
        </w:rPr>
      </w:pPr>
      <w:r w:rsidRPr="008B1089">
        <w:rPr>
          <w:rFonts w:ascii="Arial" w:hAnsi="Arial" w:cs="Arial"/>
          <w:i/>
          <w:sz w:val="20"/>
          <w:szCs w:val="20"/>
        </w:rPr>
        <w:t>71</w:t>
      </w:r>
      <w:r w:rsidR="00031425" w:rsidRPr="008B1089">
        <w:rPr>
          <w:rFonts w:ascii="Arial" w:hAnsi="Arial" w:cs="Arial"/>
          <w:i/>
          <w:sz w:val="20"/>
          <w:szCs w:val="20"/>
        </w:rPr>
        <w:t>.3</w:t>
      </w:r>
      <w:r w:rsidR="00333ABC" w:rsidRPr="008B1089">
        <w:rPr>
          <w:rFonts w:ascii="Arial" w:hAnsi="Arial" w:cs="Arial"/>
          <w:i/>
          <w:sz w:val="20"/>
          <w:szCs w:val="20"/>
        </w:rPr>
        <w:t xml:space="preserve"> </w:t>
      </w:r>
      <w:r w:rsidR="009049EF">
        <w:rPr>
          <w:rFonts w:ascii="Arial" w:hAnsi="Arial" w:cs="Arial"/>
          <w:i/>
          <w:sz w:val="20"/>
          <w:szCs w:val="20"/>
        </w:rPr>
        <w:tab/>
      </w:r>
      <w:r w:rsidR="004E03AB" w:rsidRPr="008B1089">
        <w:rPr>
          <w:rFonts w:ascii="Arial" w:hAnsi="Arial" w:cs="Arial"/>
          <w:i/>
          <w:sz w:val="20"/>
          <w:szCs w:val="20"/>
        </w:rPr>
        <w:t>The applicant h</w:t>
      </w:r>
      <w:r w:rsidR="00A71706" w:rsidRPr="008B1089">
        <w:rPr>
          <w:rFonts w:ascii="Arial" w:hAnsi="Arial" w:cs="Arial"/>
          <w:i/>
          <w:sz w:val="20"/>
          <w:szCs w:val="20"/>
        </w:rPr>
        <w:t>as</w:t>
      </w:r>
      <w:r w:rsidR="004E03AB" w:rsidRPr="008B1089">
        <w:rPr>
          <w:rFonts w:ascii="Arial" w:hAnsi="Arial" w:cs="Arial"/>
          <w:i/>
          <w:sz w:val="20"/>
          <w:szCs w:val="20"/>
        </w:rPr>
        <w:t xml:space="preserve"> been</w:t>
      </w:r>
      <w:r w:rsidR="00A71706" w:rsidRPr="008B1089">
        <w:rPr>
          <w:rFonts w:ascii="Arial" w:hAnsi="Arial" w:cs="Arial"/>
          <w:i/>
          <w:sz w:val="20"/>
          <w:szCs w:val="20"/>
        </w:rPr>
        <w:t xml:space="preserve"> </w:t>
      </w:r>
      <w:r w:rsidR="004E03AB" w:rsidRPr="008B1089">
        <w:rPr>
          <w:rFonts w:ascii="Arial" w:hAnsi="Arial" w:cs="Arial"/>
          <w:i/>
          <w:sz w:val="20"/>
          <w:szCs w:val="20"/>
        </w:rPr>
        <w:t>“</w:t>
      </w:r>
      <w:r w:rsidR="00A71706" w:rsidRPr="008B1089">
        <w:rPr>
          <w:rFonts w:ascii="Arial" w:hAnsi="Arial" w:cs="Arial"/>
          <w:i/>
          <w:sz w:val="20"/>
          <w:szCs w:val="20"/>
        </w:rPr>
        <w:t>well aware</w:t>
      </w:r>
      <w:r w:rsidR="004E03AB" w:rsidRPr="008B1089">
        <w:rPr>
          <w:rFonts w:ascii="Arial" w:hAnsi="Arial" w:cs="Arial"/>
          <w:i/>
          <w:sz w:val="20"/>
          <w:szCs w:val="20"/>
        </w:rPr>
        <w:t xml:space="preserve">” of UD Trucks’ </w:t>
      </w:r>
      <w:r w:rsidR="00A71706" w:rsidRPr="008B1089">
        <w:rPr>
          <w:rFonts w:ascii="Arial" w:hAnsi="Arial" w:cs="Arial"/>
          <w:i/>
          <w:sz w:val="20"/>
          <w:szCs w:val="20"/>
        </w:rPr>
        <w:t>involvement since</w:t>
      </w:r>
      <w:r w:rsidR="004E03AB" w:rsidRPr="008B1089">
        <w:rPr>
          <w:rFonts w:ascii="Arial" w:hAnsi="Arial" w:cs="Arial"/>
          <w:i/>
          <w:sz w:val="20"/>
          <w:szCs w:val="20"/>
        </w:rPr>
        <w:t xml:space="preserve"> even</w:t>
      </w:r>
      <w:r w:rsidR="00A71706" w:rsidRPr="008B1089">
        <w:rPr>
          <w:rFonts w:ascii="Arial" w:hAnsi="Arial" w:cs="Arial"/>
          <w:i/>
          <w:sz w:val="20"/>
          <w:szCs w:val="20"/>
        </w:rPr>
        <w:t xml:space="preserve"> before the action was instituted and is therefore seeking an indulgence with the present application.</w:t>
      </w:r>
    </w:p>
    <w:p w:rsidR="00BA2163" w:rsidRDefault="004E03AB" w:rsidP="009049EF">
      <w:pPr>
        <w:spacing w:after="240" w:line="360" w:lineRule="auto"/>
        <w:ind w:left="1985" w:hanging="709"/>
        <w:jc w:val="both"/>
        <w:rPr>
          <w:rFonts w:ascii="Arial" w:hAnsi="Arial" w:cs="Arial"/>
          <w:i/>
          <w:sz w:val="20"/>
          <w:szCs w:val="20"/>
        </w:rPr>
      </w:pPr>
      <w:r w:rsidRPr="008B1089">
        <w:rPr>
          <w:rFonts w:ascii="Arial" w:hAnsi="Arial" w:cs="Arial"/>
          <w:i/>
          <w:sz w:val="20"/>
          <w:szCs w:val="20"/>
        </w:rPr>
        <w:t xml:space="preserve">71.4 </w:t>
      </w:r>
      <w:r w:rsidR="009049EF">
        <w:rPr>
          <w:rFonts w:ascii="Arial" w:hAnsi="Arial" w:cs="Arial"/>
          <w:i/>
          <w:sz w:val="20"/>
          <w:szCs w:val="20"/>
        </w:rPr>
        <w:tab/>
      </w:r>
      <w:r w:rsidRPr="008B1089">
        <w:rPr>
          <w:rFonts w:ascii="Arial" w:hAnsi="Arial" w:cs="Arial"/>
          <w:i/>
          <w:sz w:val="20"/>
          <w:szCs w:val="20"/>
        </w:rPr>
        <w:t>The applicant is not entitled to any costs in this application, even if it were opposed by any party, unless the opposition was unreasonable.</w:t>
      </w:r>
    </w:p>
    <w:p w:rsidR="00962867" w:rsidRPr="006F68DB" w:rsidRDefault="004E03AB" w:rsidP="009049EF">
      <w:pPr>
        <w:spacing w:after="240" w:line="360" w:lineRule="auto"/>
        <w:ind w:left="1985" w:hanging="709"/>
        <w:jc w:val="both"/>
        <w:rPr>
          <w:rFonts w:ascii="Arial" w:hAnsi="Arial" w:cs="Arial"/>
          <w:i/>
          <w:sz w:val="20"/>
          <w:szCs w:val="20"/>
        </w:rPr>
      </w:pPr>
      <w:r w:rsidRPr="008B1089">
        <w:rPr>
          <w:rFonts w:ascii="Arial" w:hAnsi="Arial" w:cs="Arial"/>
          <w:i/>
          <w:sz w:val="20"/>
          <w:szCs w:val="20"/>
        </w:rPr>
        <w:t xml:space="preserve">71.5 </w:t>
      </w:r>
      <w:r w:rsidR="009049EF">
        <w:rPr>
          <w:rFonts w:ascii="Arial" w:hAnsi="Arial" w:cs="Arial"/>
          <w:i/>
          <w:sz w:val="20"/>
          <w:szCs w:val="20"/>
        </w:rPr>
        <w:tab/>
      </w:r>
      <w:r w:rsidRPr="008B1089">
        <w:rPr>
          <w:rFonts w:ascii="Arial" w:hAnsi="Arial" w:cs="Arial"/>
          <w:i/>
          <w:sz w:val="20"/>
          <w:szCs w:val="20"/>
        </w:rPr>
        <w:t>This letter is annexed hereto as “AA1”.</w:t>
      </w:r>
      <w:r w:rsidR="00962867" w:rsidRPr="008B1089">
        <w:rPr>
          <w:rFonts w:ascii="Arial" w:hAnsi="Arial" w:cs="Arial"/>
          <w:i/>
          <w:sz w:val="20"/>
          <w:szCs w:val="20"/>
        </w:rPr>
        <w:t xml:space="preserve"> </w:t>
      </w:r>
    </w:p>
    <w:p w:rsidR="000C5A07" w:rsidRDefault="008321CA" w:rsidP="008321CA">
      <w:pPr>
        <w:spacing w:after="240" w:line="360" w:lineRule="auto"/>
        <w:ind w:left="567" w:hanging="567"/>
        <w:jc w:val="both"/>
        <w:rPr>
          <w:rFonts w:ascii="Arial" w:hAnsi="Arial" w:cs="Arial"/>
        </w:rPr>
      </w:pPr>
      <w:r>
        <w:rPr>
          <w:rFonts w:ascii="Arial" w:hAnsi="Arial" w:cs="Arial"/>
        </w:rPr>
        <w:t>[18</w:t>
      </w:r>
      <w:r w:rsidR="002367D6">
        <w:rPr>
          <w:rFonts w:ascii="Arial" w:hAnsi="Arial" w:cs="Arial"/>
        </w:rPr>
        <w:t>] This letter to the applicant by the first respondent was prompted when the applicant</w:t>
      </w:r>
      <w:r w:rsidR="002846A1">
        <w:rPr>
          <w:rFonts w:ascii="Arial" w:hAnsi="Arial" w:cs="Arial"/>
        </w:rPr>
        <w:t xml:space="preserve"> sought a cost or</w:t>
      </w:r>
      <w:r w:rsidR="00A07AE3">
        <w:rPr>
          <w:rFonts w:ascii="Arial" w:hAnsi="Arial" w:cs="Arial"/>
        </w:rPr>
        <w:t>der against the former</w:t>
      </w:r>
      <w:r w:rsidR="002846A1">
        <w:rPr>
          <w:rFonts w:ascii="Arial" w:hAnsi="Arial" w:cs="Arial"/>
        </w:rPr>
        <w:t xml:space="preserve"> but not</w:t>
      </w:r>
      <w:r w:rsidR="00696FCF">
        <w:rPr>
          <w:rFonts w:ascii="Arial" w:hAnsi="Arial" w:cs="Arial"/>
        </w:rPr>
        <w:t xml:space="preserve"> against</w:t>
      </w:r>
      <w:r w:rsidR="002846A1">
        <w:rPr>
          <w:rFonts w:ascii="Arial" w:hAnsi="Arial" w:cs="Arial"/>
        </w:rPr>
        <w:t xml:space="preserve"> the second and third respondents in the application for the joinder of the third respondent.  The first respondent indicated its opposition to the application solely on the basis of the envisaged cost order against it as it viewed it as unfounded and without a lawful basis. The applicant capitulated and an agreement was reached </w:t>
      </w:r>
      <w:r w:rsidR="00A07AE3">
        <w:rPr>
          <w:rFonts w:ascii="Arial" w:hAnsi="Arial" w:cs="Arial"/>
        </w:rPr>
        <w:t xml:space="preserve">with the first respondent </w:t>
      </w:r>
      <w:r w:rsidR="002846A1">
        <w:rPr>
          <w:rFonts w:ascii="Arial" w:hAnsi="Arial" w:cs="Arial"/>
        </w:rPr>
        <w:t>that the applicant would not persist in seeking a cost order</w:t>
      </w:r>
      <w:r w:rsidR="00A07AE3">
        <w:rPr>
          <w:rFonts w:ascii="Arial" w:hAnsi="Arial" w:cs="Arial"/>
        </w:rPr>
        <w:t xml:space="preserve"> against the first respondent in which event</w:t>
      </w:r>
      <w:r w:rsidR="002846A1">
        <w:rPr>
          <w:rFonts w:ascii="Arial" w:hAnsi="Arial" w:cs="Arial"/>
        </w:rPr>
        <w:t xml:space="preserve"> the</w:t>
      </w:r>
      <w:r w:rsidR="00696FCF">
        <w:rPr>
          <w:rFonts w:ascii="Arial" w:hAnsi="Arial" w:cs="Arial"/>
        </w:rPr>
        <w:t xml:space="preserve"> first</w:t>
      </w:r>
      <w:r w:rsidR="002846A1">
        <w:rPr>
          <w:rFonts w:ascii="Arial" w:hAnsi="Arial" w:cs="Arial"/>
        </w:rPr>
        <w:t xml:space="preserve"> respondent would not oppose the application.</w:t>
      </w:r>
      <w:r w:rsidR="002846A1">
        <w:rPr>
          <w:rStyle w:val="FootnoteReference"/>
          <w:rFonts w:ascii="Arial" w:hAnsi="Arial" w:cs="Arial"/>
        </w:rPr>
        <w:footnoteReference w:id="25"/>
      </w:r>
      <w:r w:rsidR="002846A1">
        <w:rPr>
          <w:rFonts w:ascii="Arial" w:hAnsi="Arial" w:cs="Arial"/>
        </w:rPr>
        <w:t xml:space="preserve"> The attorneys of the third respondent</w:t>
      </w:r>
      <w:r w:rsidR="007C7857">
        <w:rPr>
          <w:rFonts w:ascii="Arial" w:hAnsi="Arial" w:cs="Arial"/>
        </w:rPr>
        <w:t>, in reaction to the third party notic</w:t>
      </w:r>
      <w:r w:rsidR="00696FCF">
        <w:rPr>
          <w:rFonts w:ascii="Arial" w:hAnsi="Arial" w:cs="Arial"/>
        </w:rPr>
        <w:t>e served on it</w:t>
      </w:r>
      <w:r w:rsidR="007C7857">
        <w:rPr>
          <w:rFonts w:ascii="Arial" w:hAnsi="Arial" w:cs="Arial"/>
        </w:rPr>
        <w:t>,</w:t>
      </w:r>
      <w:r w:rsidR="002846A1">
        <w:rPr>
          <w:rFonts w:ascii="Arial" w:hAnsi="Arial" w:cs="Arial"/>
        </w:rPr>
        <w:t xml:space="preserve"> addressed a letter </w:t>
      </w:r>
      <w:r w:rsidR="00EC7D25">
        <w:rPr>
          <w:rFonts w:ascii="Arial" w:hAnsi="Arial" w:cs="Arial"/>
        </w:rPr>
        <w:t>to the applicant’s attorneys on 2 August 2022 and informed them that:</w:t>
      </w:r>
    </w:p>
    <w:p w:rsidR="00BA2163" w:rsidRDefault="00EC7D25" w:rsidP="008321CA">
      <w:pPr>
        <w:spacing w:after="240" w:line="360" w:lineRule="auto"/>
        <w:ind w:left="1134" w:hanging="567"/>
        <w:jc w:val="both"/>
        <w:rPr>
          <w:rFonts w:ascii="Arial" w:hAnsi="Arial" w:cs="Arial"/>
          <w:i/>
          <w:sz w:val="20"/>
          <w:szCs w:val="20"/>
        </w:rPr>
      </w:pPr>
      <w:r>
        <w:rPr>
          <w:rFonts w:ascii="Arial" w:hAnsi="Arial" w:cs="Arial"/>
        </w:rPr>
        <w:t>“</w:t>
      </w:r>
      <w:r w:rsidRPr="00EC7D25">
        <w:rPr>
          <w:rFonts w:ascii="Arial" w:hAnsi="Arial" w:cs="Arial"/>
          <w:i/>
          <w:sz w:val="20"/>
          <w:szCs w:val="20"/>
        </w:rPr>
        <w:t>73.1</w:t>
      </w:r>
      <w:r w:rsidR="008321CA">
        <w:rPr>
          <w:rFonts w:ascii="Arial" w:hAnsi="Arial" w:cs="Arial"/>
          <w:i/>
          <w:sz w:val="20"/>
          <w:szCs w:val="20"/>
        </w:rPr>
        <w:tab/>
      </w:r>
      <w:r w:rsidRPr="00EC7D25">
        <w:rPr>
          <w:rFonts w:ascii="Arial" w:hAnsi="Arial" w:cs="Arial"/>
          <w:i/>
          <w:sz w:val="20"/>
          <w:szCs w:val="20"/>
        </w:rPr>
        <w:t xml:space="preserve"> Any claim against UD Trucks on the basis of the manufacturing of the cab and chassis has already prescribed.</w:t>
      </w:r>
    </w:p>
    <w:p w:rsidR="00BA2163" w:rsidRDefault="00EC7D25" w:rsidP="008321CA">
      <w:pPr>
        <w:spacing w:after="240" w:line="360" w:lineRule="auto"/>
        <w:ind w:left="1134" w:hanging="567"/>
        <w:jc w:val="both"/>
        <w:rPr>
          <w:rFonts w:ascii="Arial" w:hAnsi="Arial" w:cs="Arial"/>
          <w:i/>
          <w:sz w:val="20"/>
          <w:szCs w:val="20"/>
        </w:rPr>
      </w:pPr>
      <w:r w:rsidRPr="00EC7D25">
        <w:rPr>
          <w:rFonts w:ascii="Arial" w:hAnsi="Arial" w:cs="Arial"/>
          <w:i/>
          <w:sz w:val="20"/>
          <w:szCs w:val="20"/>
        </w:rPr>
        <w:t xml:space="preserve">73.2 </w:t>
      </w:r>
      <w:r w:rsidR="008321CA">
        <w:rPr>
          <w:rFonts w:ascii="Arial" w:hAnsi="Arial" w:cs="Arial"/>
          <w:i/>
          <w:sz w:val="20"/>
          <w:szCs w:val="20"/>
        </w:rPr>
        <w:tab/>
      </w:r>
      <w:r w:rsidRPr="00EC7D25">
        <w:rPr>
          <w:rFonts w:ascii="Arial" w:hAnsi="Arial" w:cs="Arial"/>
          <w:i/>
          <w:sz w:val="20"/>
          <w:szCs w:val="20"/>
        </w:rPr>
        <w:t>Any claim which may have arisen under the warranty is similarly time-barred, prescribed and of no force and effect.</w:t>
      </w:r>
    </w:p>
    <w:p w:rsidR="00BA2163" w:rsidRDefault="00EC7D25" w:rsidP="008321CA">
      <w:pPr>
        <w:spacing w:after="240" w:line="360" w:lineRule="auto"/>
        <w:ind w:left="1134" w:hanging="567"/>
        <w:jc w:val="both"/>
        <w:rPr>
          <w:rFonts w:ascii="Arial" w:hAnsi="Arial" w:cs="Arial"/>
          <w:i/>
          <w:sz w:val="20"/>
          <w:szCs w:val="20"/>
        </w:rPr>
      </w:pPr>
      <w:r w:rsidRPr="00EC7D25">
        <w:rPr>
          <w:rFonts w:ascii="Arial" w:hAnsi="Arial" w:cs="Arial"/>
          <w:i/>
          <w:sz w:val="20"/>
          <w:szCs w:val="20"/>
        </w:rPr>
        <w:t xml:space="preserve">73.3 </w:t>
      </w:r>
      <w:r w:rsidR="008321CA">
        <w:rPr>
          <w:rFonts w:ascii="Arial" w:hAnsi="Arial" w:cs="Arial"/>
          <w:i/>
          <w:sz w:val="20"/>
          <w:szCs w:val="20"/>
        </w:rPr>
        <w:tab/>
      </w:r>
      <w:r w:rsidRPr="00EC7D25">
        <w:rPr>
          <w:rFonts w:ascii="Arial" w:hAnsi="Arial" w:cs="Arial"/>
          <w:i/>
          <w:sz w:val="20"/>
          <w:szCs w:val="20"/>
        </w:rPr>
        <w:t>The application does not make out a prima facie case against UD Trucks.</w:t>
      </w:r>
    </w:p>
    <w:p w:rsidR="00BA2163" w:rsidRDefault="00EC7D25" w:rsidP="008321CA">
      <w:pPr>
        <w:spacing w:after="240" w:line="360" w:lineRule="auto"/>
        <w:ind w:left="1134" w:hanging="567"/>
        <w:jc w:val="both"/>
        <w:rPr>
          <w:rFonts w:ascii="Arial" w:hAnsi="Arial" w:cs="Arial"/>
          <w:i/>
          <w:sz w:val="20"/>
          <w:szCs w:val="20"/>
        </w:rPr>
      </w:pPr>
      <w:r w:rsidRPr="00EC7D25">
        <w:rPr>
          <w:rFonts w:ascii="Arial" w:hAnsi="Arial" w:cs="Arial"/>
          <w:i/>
          <w:sz w:val="20"/>
          <w:szCs w:val="20"/>
        </w:rPr>
        <w:lastRenderedPageBreak/>
        <w:t xml:space="preserve">73.4 </w:t>
      </w:r>
      <w:r w:rsidR="008321CA">
        <w:rPr>
          <w:rFonts w:ascii="Arial" w:hAnsi="Arial" w:cs="Arial"/>
          <w:i/>
          <w:sz w:val="20"/>
          <w:szCs w:val="20"/>
        </w:rPr>
        <w:tab/>
      </w:r>
      <w:r w:rsidRPr="00EC7D25">
        <w:rPr>
          <w:rFonts w:ascii="Arial" w:hAnsi="Arial" w:cs="Arial"/>
          <w:i/>
          <w:sz w:val="20"/>
          <w:szCs w:val="20"/>
        </w:rPr>
        <w:t xml:space="preserve">The joinder of UD Trucks will be a fruitless exercise and a waste of this Court’s </w:t>
      </w:r>
      <w:r w:rsidR="002F5A42" w:rsidRPr="00EC7D25">
        <w:rPr>
          <w:rFonts w:ascii="Arial" w:hAnsi="Arial" w:cs="Arial"/>
          <w:i/>
          <w:sz w:val="20"/>
          <w:szCs w:val="20"/>
        </w:rPr>
        <w:t>resources</w:t>
      </w:r>
      <w:r w:rsidRPr="00EC7D25">
        <w:rPr>
          <w:rFonts w:ascii="Arial" w:hAnsi="Arial" w:cs="Arial"/>
          <w:i/>
          <w:sz w:val="20"/>
          <w:szCs w:val="20"/>
        </w:rPr>
        <w:t>.</w:t>
      </w:r>
    </w:p>
    <w:p w:rsidR="00EC7D25" w:rsidRPr="00BA2163" w:rsidRDefault="00EC7D25" w:rsidP="008321CA">
      <w:pPr>
        <w:spacing w:after="240" w:line="360" w:lineRule="auto"/>
        <w:ind w:left="1134" w:hanging="567"/>
        <w:jc w:val="both"/>
        <w:rPr>
          <w:rFonts w:ascii="Arial" w:hAnsi="Arial" w:cs="Arial"/>
          <w:i/>
          <w:sz w:val="20"/>
          <w:szCs w:val="20"/>
        </w:rPr>
      </w:pPr>
      <w:r w:rsidRPr="00EC7D25">
        <w:rPr>
          <w:rFonts w:ascii="Arial" w:hAnsi="Arial" w:cs="Arial"/>
          <w:i/>
          <w:sz w:val="20"/>
          <w:szCs w:val="20"/>
        </w:rPr>
        <w:t xml:space="preserve">73.5 </w:t>
      </w:r>
      <w:r w:rsidR="008321CA">
        <w:rPr>
          <w:rFonts w:ascii="Arial" w:hAnsi="Arial" w:cs="Arial"/>
          <w:i/>
          <w:sz w:val="20"/>
          <w:szCs w:val="20"/>
        </w:rPr>
        <w:tab/>
      </w:r>
      <w:r w:rsidRPr="00EC7D25">
        <w:rPr>
          <w:rFonts w:ascii="Arial" w:hAnsi="Arial" w:cs="Arial"/>
          <w:i/>
          <w:sz w:val="20"/>
          <w:szCs w:val="20"/>
        </w:rPr>
        <w:t xml:space="preserve">This letter is annexed </w:t>
      </w:r>
      <w:r w:rsidR="002F5A42" w:rsidRPr="00EC7D25">
        <w:rPr>
          <w:rFonts w:ascii="Arial" w:hAnsi="Arial" w:cs="Arial"/>
          <w:i/>
          <w:sz w:val="20"/>
          <w:szCs w:val="20"/>
        </w:rPr>
        <w:t>hereto</w:t>
      </w:r>
      <w:r w:rsidRPr="00EC7D25">
        <w:rPr>
          <w:rFonts w:ascii="Arial" w:hAnsi="Arial" w:cs="Arial"/>
          <w:i/>
          <w:sz w:val="20"/>
          <w:szCs w:val="20"/>
        </w:rPr>
        <w:t xml:space="preserve"> as annexure “AA2”.</w:t>
      </w:r>
      <w:r w:rsidR="008F09E1">
        <w:rPr>
          <w:rStyle w:val="FootnoteReference"/>
          <w:rFonts w:ascii="Arial" w:hAnsi="Arial" w:cs="Arial"/>
          <w:i/>
          <w:sz w:val="20"/>
          <w:szCs w:val="20"/>
        </w:rPr>
        <w:footnoteReference w:id="26"/>
      </w:r>
      <w:r w:rsidR="00405244">
        <w:rPr>
          <w:rFonts w:ascii="Arial" w:hAnsi="Arial" w:cs="Arial"/>
          <w:sz w:val="20"/>
          <w:szCs w:val="20"/>
        </w:rPr>
        <w:t xml:space="preserve"> </w:t>
      </w:r>
    </w:p>
    <w:p w:rsidR="006A4704" w:rsidRPr="004662FA" w:rsidRDefault="006A4704" w:rsidP="008321CA">
      <w:pPr>
        <w:spacing w:after="240" w:line="360" w:lineRule="auto"/>
        <w:ind w:left="567" w:hanging="567"/>
        <w:jc w:val="both"/>
        <w:rPr>
          <w:rFonts w:ascii="Arial" w:hAnsi="Arial" w:cs="Arial"/>
        </w:rPr>
      </w:pPr>
      <w:r w:rsidRPr="006A4704">
        <w:rPr>
          <w:rFonts w:ascii="Arial" w:hAnsi="Arial" w:cs="Arial"/>
        </w:rPr>
        <w:t>[1</w:t>
      </w:r>
      <w:r w:rsidR="008321CA">
        <w:rPr>
          <w:rFonts w:ascii="Arial" w:hAnsi="Arial" w:cs="Arial"/>
        </w:rPr>
        <w:t>9</w:t>
      </w:r>
      <w:r w:rsidRPr="006A4704">
        <w:rPr>
          <w:rFonts w:ascii="Arial" w:hAnsi="Arial" w:cs="Arial"/>
        </w:rPr>
        <w:t xml:space="preserve">] </w:t>
      </w:r>
      <w:r w:rsidR="008321CA">
        <w:rPr>
          <w:rFonts w:ascii="Arial" w:hAnsi="Arial" w:cs="Arial"/>
        </w:rPr>
        <w:tab/>
      </w:r>
      <w:r w:rsidRPr="006A4704">
        <w:rPr>
          <w:rFonts w:ascii="Arial" w:hAnsi="Arial" w:cs="Arial"/>
        </w:rPr>
        <w:t>In response</w:t>
      </w:r>
      <w:r>
        <w:rPr>
          <w:rFonts w:ascii="Arial" w:hAnsi="Arial" w:cs="Arial"/>
        </w:rPr>
        <w:t>, the applicant encouraged the third respondent to oppose the application and to del</w:t>
      </w:r>
      <w:r w:rsidR="00406679">
        <w:rPr>
          <w:rFonts w:ascii="Arial" w:hAnsi="Arial" w:cs="Arial"/>
        </w:rPr>
        <w:t>iver its answering affidavit.</w:t>
      </w:r>
      <w:r>
        <w:rPr>
          <w:rStyle w:val="FootnoteReference"/>
          <w:rFonts w:ascii="Arial" w:hAnsi="Arial" w:cs="Arial"/>
        </w:rPr>
        <w:footnoteReference w:id="27"/>
      </w:r>
    </w:p>
    <w:p w:rsidR="0045270C" w:rsidRDefault="008321CA" w:rsidP="008321CA">
      <w:pPr>
        <w:spacing w:after="240" w:line="360" w:lineRule="auto"/>
        <w:ind w:left="567" w:hanging="567"/>
        <w:jc w:val="both"/>
        <w:rPr>
          <w:rFonts w:ascii="Arial" w:hAnsi="Arial" w:cs="Arial"/>
        </w:rPr>
      </w:pPr>
      <w:r>
        <w:rPr>
          <w:rFonts w:ascii="Arial" w:hAnsi="Arial" w:cs="Arial"/>
        </w:rPr>
        <w:t>[20</w:t>
      </w:r>
      <w:r w:rsidR="00405244" w:rsidRPr="004662FA">
        <w:rPr>
          <w:rFonts w:ascii="Arial" w:hAnsi="Arial" w:cs="Arial"/>
        </w:rPr>
        <w:t xml:space="preserve">] </w:t>
      </w:r>
      <w:r>
        <w:rPr>
          <w:rFonts w:ascii="Arial" w:hAnsi="Arial" w:cs="Arial"/>
        </w:rPr>
        <w:tab/>
      </w:r>
      <w:r w:rsidR="00405244" w:rsidRPr="004662FA">
        <w:rPr>
          <w:rFonts w:ascii="Arial" w:hAnsi="Arial" w:cs="Arial"/>
        </w:rPr>
        <w:t>In support of</w:t>
      </w:r>
      <w:r w:rsidR="008E7503">
        <w:rPr>
          <w:rFonts w:ascii="Arial" w:hAnsi="Arial" w:cs="Arial"/>
        </w:rPr>
        <w:t xml:space="preserve"> its argument that the claim had</w:t>
      </w:r>
      <w:r w:rsidR="00405244" w:rsidRPr="004662FA">
        <w:rPr>
          <w:rFonts w:ascii="Arial" w:hAnsi="Arial" w:cs="Arial"/>
        </w:rPr>
        <w:t xml:space="preserve"> </w:t>
      </w:r>
      <w:r w:rsidR="00BD7E9B" w:rsidRPr="004662FA">
        <w:rPr>
          <w:rFonts w:ascii="Arial" w:hAnsi="Arial" w:cs="Arial"/>
        </w:rPr>
        <w:t>prescribed, the third respondent relied</w:t>
      </w:r>
      <w:r w:rsidR="00BD7E9B" w:rsidRPr="00F912E0">
        <w:rPr>
          <w:rFonts w:ascii="Arial" w:hAnsi="Arial" w:cs="Arial"/>
          <w:sz w:val="22"/>
          <w:szCs w:val="22"/>
        </w:rPr>
        <w:t xml:space="preserve"> on</w:t>
      </w:r>
      <w:r w:rsidR="00A927AC">
        <w:rPr>
          <w:rFonts w:ascii="Arial" w:hAnsi="Arial" w:cs="Arial"/>
          <w:sz w:val="22"/>
          <w:szCs w:val="22"/>
        </w:rPr>
        <w:t xml:space="preserve"> </w:t>
      </w:r>
      <w:r w:rsidR="00A927AC" w:rsidRPr="00677E1C">
        <w:rPr>
          <w:rFonts w:ascii="Arial" w:hAnsi="Arial" w:cs="Arial"/>
          <w:i/>
        </w:rPr>
        <w:t>Duet and Magnum Financial Services CC (in liquidation) v Koster</w:t>
      </w:r>
      <w:r w:rsidR="003C60E7">
        <w:rPr>
          <w:rFonts w:ascii="Arial" w:hAnsi="Arial" w:cs="Arial"/>
          <w:i/>
          <w:sz w:val="20"/>
          <w:szCs w:val="20"/>
        </w:rPr>
        <w:t xml:space="preserve"> </w:t>
      </w:r>
      <w:r w:rsidR="00A927AC">
        <w:rPr>
          <w:rStyle w:val="FootnoteReference"/>
          <w:rFonts w:ascii="Arial" w:hAnsi="Arial" w:cs="Arial"/>
          <w:sz w:val="22"/>
          <w:szCs w:val="22"/>
        </w:rPr>
        <w:footnoteReference w:id="28"/>
      </w:r>
      <w:r w:rsidR="003C60E7">
        <w:rPr>
          <w:rFonts w:ascii="Arial" w:hAnsi="Arial" w:cs="Arial"/>
          <w:i/>
          <w:sz w:val="20"/>
          <w:szCs w:val="20"/>
        </w:rPr>
        <w:t xml:space="preserve"> </w:t>
      </w:r>
      <w:r w:rsidR="004662FA" w:rsidRPr="004662FA">
        <w:rPr>
          <w:rFonts w:ascii="Arial" w:hAnsi="Arial" w:cs="Arial"/>
        </w:rPr>
        <w:t>where it was held</w:t>
      </w:r>
      <w:r w:rsidR="00E56A05" w:rsidRPr="004662FA">
        <w:rPr>
          <w:rFonts w:ascii="Arial" w:hAnsi="Arial" w:cs="Arial"/>
        </w:rPr>
        <w:t xml:space="preserve"> that</w:t>
      </w:r>
      <w:r w:rsidR="0045270C">
        <w:rPr>
          <w:rFonts w:ascii="Arial" w:hAnsi="Arial" w:cs="Arial"/>
        </w:rPr>
        <w:t xml:space="preserve"> while</w:t>
      </w:r>
      <w:r w:rsidR="004662FA">
        <w:rPr>
          <w:rFonts w:ascii="Arial" w:hAnsi="Arial" w:cs="Arial"/>
        </w:rPr>
        <w:t xml:space="preserve"> </w:t>
      </w:r>
      <w:r w:rsidR="0045270C">
        <w:rPr>
          <w:rFonts w:ascii="Arial" w:hAnsi="Arial" w:cs="Arial"/>
        </w:rPr>
        <w:t xml:space="preserve">a </w:t>
      </w:r>
      <w:r w:rsidR="004662FA">
        <w:rPr>
          <w:rFonts w:ascii="Arial" w:hAnsi="Arial" w:cs="Arial"/>
        </w:rPr>
        <w:t>debt for purposes of the Prescription Act entailed both a right and a corresponding</w:t>
      </w:r>
      <w:r w:rsidR="0045270C">
        <w:rPr>
          <w:rFonts w:ascii="Arial" w:hAnsi="Arial" w:cs="Arial"/>
        </w:rPr>
        <w:t xml:space="preserve"> obligation, the converse of a ri</w:t>
      </w:r>
      <w:r w:rsidR="00FA4BDA">
        <w:rPr>
          <w:rFonts w:ascii="Arial" w:hAnsi="Arial" w:cs="Arial"/>
        </w:rPr>
        <w:t>ght</w:t>
      </w:r>
      <w:r w:rsidR="0045270C">
        <w:rPr>
          <w:rFonts w:ascii="Arial" w:hAnsi="Arial" w:cs="Arial"/>
        </w:rPr>
        <w:t xml:space="preserve"> would be better described by the word ‘liability’ because at times the exercise of a </w:t>
      </w:r>
      <w:r w:rsidR="004662FA">
        <w:rPr>
          <w:rFonts w:ascii="Arial" w:hAnsi="Arial" w:cs="Arial"/>
        </w:rPr>
        <w:t xml:space="preserve">right calls for no action on the part of the </w:t>
      </w:r>
      <w:r w:rsidR="0045270C">
        <w:rPr>
          <w:rFonts w:ascii="Arial" w:hAnsi="Arial" w:cs="Arial"/>
        </w:rPr>
        <w:t>‘</w:t>
      </w:r>
      <w:r w:rsidR="004662FA">
        <w:rPr>
          <w:rFonts w:ascii="Arial" w:hAnsi="Arial" w:cs="Arial"/>
        </w:rPr>
        <w:t>debtor</w:t>
      </w:r>
      <w:r w:rsidR="0045270C">
        <w:rPr>
          <w:rFonts w:ascii="Arial" w:hAnsi="Arial" w:cs="Arial"/>
        </w:rPr>
        <w:t>’</w:t>
      </w:r>
      <w:r w:rsidR="0008277E">
        <w:rPr>
          <w:rFonts w:ascii="Arial" w:hAnsi="Arial" w:cs="Arial"/>
        </w:rPr>
        <w:t>,</w:t>
      </w:r>
      <w:r w:rsidR="004662FA">
        <w:rPr>
          <w:rFonts w:ascii="Arial" w:hAnsi="Arial" w:cs="Arial"/>
        </w:rPr>
        <w:t xml:space="preserve"> but only for the </w:t>
      </w:r>
      <w:r w:rsidR="0045270C">
        <w:rPr>
          <w:rFonts w:ascii="Arial" w:hAnsi="Arial" w:cs="Arial"/>
        </w:rPr>
        <w:t>‘</w:t>
      </w:r>
      <w:r w:rsidR="004662FA">
        <w:rPr>
          <w:rFonts w:ascii="Arial" w:hAnsi="Arial" w:cs="Arial"/>
        </w:rPr>
        <w:t>debtor</w:t>
      </w:r>
      <w:r w:rsidR="0045270C">
        <w:rPr>
          <w:rFonts w:ascii="Arial" w:hAnsi="Arial" w:cs="Arial"/>
        </w:rPr>
        <w:t>’</w:t>
      </w:r>
      <w:r w:rsidR="004662FA">
        <w:rPr>
          <w:rFonts w:ascii="Arial" w:hAnsi="Arial" w:cs="Arial"/>
        </w:rPr>
        <w:t xml:space="preserve"> to submit himself or herself to the exercise of the right.</w:t>
      </w:r>
      <w:r w:rsidR="004662FA">
        <w:rPr>
          <w:rStyle w:val="FootnoteReference"/>
          <w:rFonts w:ascii="Arial" w:hAnsi="Arial" w:cs="Arial"/>
        </w:rPr>
        <w:footnoteReference w:id="29"/>
      </w:r>
      <w:r w:rsidR="00FF6C60">
        <w:rPr>
          <w:rFonts w:ascii="Arial" w:hAnsi="Arial" w:cs="Arial"/>
        </w:rPr>
        <w:t xml:space="preserve"> The third respondent’s</w:t>
      </w:r>
      <w:r w:rsidR="00FC6EDD">
        <w:rPr>
          <w:rFonts w:ascii="Arial" w:hAnsi="Arial" w:cs="Arial"/>
        </w:rPr>
        <w:t xml:space="preserve"> debt or</w:t>
      </w:r>
      <w:r w:rsidR="00FF6C60">
        <w:rPr>
          <w:rFonts w:ascii="Arial" w:hAnsi="Arial" w:cs="Arial"/>
        </w:rPr>
        <w:t xml:space="preserve"> liability to the applicant was extinguished by prescription as the debt or the third respondent’s liability</w:t>
      </w:r>
      <w:r w:rsidR="00FC6EDD">
        <w:rPr>
          <w:rFonts w:ascii="Arial" w:hAnsi="Arial" w:cs="Arial"/>
        </w:rPr>
        <w:t xml:space="preserve"> towards the applicant</w:t>
      </w:r>
      <w:r w:rsidR="00FF6C60">
        <w:rPr>
          <w:rFonts w:ascii="Arial" w:hAnsi="Arial" w:cs="Arial"/>
        </w:rPr>
        <w:t xml:space="preserve"> started to run on 2 </w:t>
      </w:r>
      <w:r w:rsidR="00C1306A">
        <w:rPr>
          <w:rFonts w:ascii="Arial" w:hAnsi="Arial" w:cs="Arial"/>
        </w:rPr>
        <w:t>August 2018</w:t>
      </w:r>
      <w:r w:rsidR="00F53F14">
        <w:rPr>
          <w:rFonts w:ascii="Arial" w:hAnsi="Arial" w:cs="Arial"/>
        </w:rPr>
        <w:t xml:space="preserve"> when the latter accepted the delivery of the truck to effect repairs to it being fully aware that the third respondent had manufactured the truck’s cab and chassis.</w:t>
      </w:r>
      <w:r w:rsidR="00C67A12">
        <w:rPr>
          <w:rFonts w:ascii="Arial" w:hAnsi="Arial" w:cs="Arial"/>
        </w:rPr>
        <w:t xml:space="preserve"> Since February 2018</w:t>
      </w:r>
      <w:r w:rsidR="00124212">
        <w:rPr>
          <w:rFonts w:ascii="Arial" w:hAnsi="Arial" w:cs="Arial"/>
        </w:rPr>
        <w:t>, the applicant was already aware that it would be required to fit its alteration to the cab and chassis of the truck as manufactured by the third respondent.</w:t>
      </w:r>
      <w:r w:rsidR="00124212">
        <w:rPr>
          <w:rStyle w:val="FootnoteReference"/>
          <w:rFonts w:ascii="Arial" w:hAnsi="Arial" w:cs="Arial"/>
        </w:rPr>
        <w:footnoteReference w:id="30"/>
      </w:r>
    </w:p>
    <w:p w:rsidR="006F1CEF" w:rsidRDefault="00202924" w:rsidP="008321CA">
      <w:pPr>
        <w:spacing w:after="240" w:line="360" w:lineRule="auto"/>
        <w:ind w:left="567" w:hanging="567"/>
        <w:jc w:val="both"/>
        <w:rPr>
          <w:rFonts w:ascii="Arial" w:hAnsi="Arial" w:cs="Arial"/>
        </w:rPr>
      </w:pPr>
      <w:r>
        <w:rPr>
          <w:rFonts w:ascii="Arial" w:hAnsi="Arial" w:cs="Arial"/>
        </w:rPr>
        <w:t>[</w:t>
      </w:r>
      <w:r w:rsidR="008321CA">
        <w:rPr>
          <w:rFonts w:ascii="Arial" w:hAnsi="Arial" w:cs="Arial"/>
        </w:rPr>
        <w:t>21</w:t>
      </w:r>
      <w:r>
        <w:rPr>
          <w:rFonts w:ascii="Arial" w:hAnsi="Arial" w:cs="Arial"/>
        </w:rPr>
        <w:t xml:space="preserve">] </w:t>
      </w:r>
      <w:r w:rsidR="008321CA">
        <w:rPr>
          <w:rFonts w:ascii="Arial" w:hAnsi="Arial" w:cs="Arial"/>
        </w:rPr>
        <w:tab/>
      </w:r>
      <w:r w:rsidR="00397856" w:rsidRPr="004662FA">
        <w:rPr>
          <w:rFonts w:ascii="Arial" w:hAnsi="Arial" w:cs="Arial"/>
        </w:rPr>
        <w:t>The applicant contended that the claim had</w:t>
      </w:r>
      <w:r>
        <w:rPr>
          <w:rFonts w:ascii="Arial" w:hAnsi="Arial" w:cs="Arial"/>
        </w:rPr>
        <w:t xml:space="preserve"> </w:t>
      </w:r>
      <w:r w:rsidR="00397856" w:rsidRPr="004662FA">
        <w:rPr>
          <w:rFonts w:ascii="Arial" w:hAnsi="Arial" w:cs="Arial"/>
        </w:rPr>
        <w:t xml:space="preserve">not prescribed </w:t>
      </w:r>
      <w:r w:rsidR="006F1CEF">
        <w:rPr>
          <w:rFonts w:ascii="Arial" w:hAnsi="Arial" w:cs="Arial"/>
        </w:rPr>
        <w:t>as section12(2) of the Prescription Act provides that if the debtor wilfully prevents the creditor from coming to know of the existence of the debt, prescription shall not commence to run until the creditor becomes aware of the existence of the debt.</w:t>
      </w:r>
      <w:r w:rsidR="00397856" w:rsidRPr="004662FA">
        <w:rPr>
          <w:rFonts w:ascii="Arial" w:hAnsi="Arial" w:cs="Arial"/>
        </w:rPr>
        <w:t xml:space="preserve"> </w:t>
      </w:r>
      <w:r w:rsidR="006F1CEF">
        <w:rPr>
          <w:rFonts w:ascii="Arial" w:hAnsi="Arial" w:cs="Arial"/>
        </w:rPr>
        <w:t>Although the applicant was aware who the manufacturer of the cab and chassis was at the time of the delivery of the truck</w:t>
      </w:r>
      <w:r w:rsidR="00DB6B90">
        <w:rPr>
          <w:rFonts w:ascii="Arial" w:hAnsi="Arial" w:cs="Arial"/>
        </w:rPr>
        <w:t xml:space="preserve"> to the applicant, it could not have reasonably </w:t>
      </w:r>
      <w:r w:rsidR="007A507F">
        <w:rPr>
          <w:rFonts w:ascii="Arial" w:hAnsi="Arial" w:cs="Arial"/>
        </w:rPr>
        <w:t xml:space="preserve">been aware that the third respondent admitted the defectiveness of the truck as indicated in the discovered documents. The third respondent wilfully prevented </w:t>
      </w:r>
      <w:r w:rsidR="007A507F">
        <w:rPr>
          <w:rFonts w:ascii="Arial" w:hAnsi="Arial" w:cs="Arial"/>
        </w:rPr>
        <w:lastRenderedPageBreak/>
        <w:t>the a</w:t>
      </w:r>
      <w:r w:rsidR="001909B3">
        <w:rPr>
          <w:rFonts w:ascii="Arial" w:hAnsi="Arial" w:cs="Arial"/>
        </w:rPr>
        <w:t>pplicant</w:t>
      </w:r>
      <w:r w:rsidR="007A507F">
        <w:rPr>
          <w:rFonts w:ascii="Arial" w:hAnsi="Arial" w:cs="Arial"/>
        </w:rPr>
        <w:t xml:space="preserve"> and the first respondent from coming to know of the factory fault and consequently, of the claim against the third respondent.</w:t>
      </w:r>
      <w:r w:rsidR="007A507F">
        <w:rPr>
          <w:rStyle w:val="FootnoteReference"/>
          <w:rFonts w:ascii="Arial" w:hAnsi="Arial" w:cs="Arial"/>
        </w:rPr>
        <w:footnoteReference w:id="31"/>
      </w:r>
    </w:p>
    <w:p w:rsidR="000E2717" w:rsidRDefault="00AD703C" w:rsidP="008321CA">
      <w:pPr>
        <w:spacing w:after="240" w:line="360" w:lineRule="auto"/>
        <w:ind w:left="567" w:hanging="567"/>
        <w:jc w:val="both"/>
        <w:rPr>
          <w:rFonts w:ascii="Arial" w:hAnsi="Arial" w:cs="Arial"/>
        </w:rPr>
      </w:pPr>
      <w:r>
        <w:rPr>
          <w:rFonts w:ascii="Arial" w:hAnsi="Arial" w:cs="Arial"/>
        </w:rPr>
        <w:t>[2</w:t>
      </w:r>
      <w:r w:rsidR="008321CA">
        <w:rPr>
          <w:rFonts w:ascii="Arial" w:hAnsi="Arial" w:cs="Arial"/>
        </w:rPr>
        <w:t>2</w:t>
      </w:r>
      <w:r>
        <w:rPr>
          <w:rFonts w:ascii="Arial" w:hAnsi="Arial" w:cs="Arial"/>
        </w:rPr>
        <w:t xml:space="preserve">] </w:t>
      </w:r>
      <w:r w:rsidR="008321CA">
        <w:rPr>
          <w:rFonts w:ascii="Arial" w:hAnsi="Arial" w:cs="Arial"/>
        </w:rPr>
        <w:tab/>
      </w:r>
      <w:r w:rsidR="000E2717">
        <w:rPr>
          <w:rFonts w:ascii="Arial" w:hAnsi="Arial" w:cs="Arial"/>
        </w:rPr>
        <w:t>It was stated as follows in the Replying Affidavit:</w:t>
      </w:r>
    </w:p>
    <w:p w:rsidR="00AD703C" w:rsidRPr="008321CA" w:rsidRDefault="000E2717" w:rsidP="008321CA">
      <w:pPr>
        <w:spacing w:after="240" w:line="360" w:lineRule="auto"/>
        <w:ind w:left="567"/>
        <w:jc w:val="both"/>
        <w:rPr>
          <w:rFonts w:ascii="Arial" w:hAnsi="Arial" w:cs="Arial"/>
          <w:i/>
          <w:sz w:val="20"/>
          <w:szCs w:val="20"/>
        </w:rPr>
      </w:pPr>
      <w:r w:rsidRPr="008321CA">
        <w:rPr>
          <w:rFonts w:ascii="Arial" w:hAnsi="Arial" w:cs="Arial"/>
          <w:i/>
          <w:sz w:val="20"/>
          <w:szCs w:val="20"/>
        </w:rPr>
        <w:t>“</w:t>
      </w:r>
      <w:r w:rsidR="00AD703C" w:rsidRPr="008321CA">
        <w:rPr>
          <w:rFonts w:ascii="Arial" w:hAnsi="Arial" w:cs="Arial"/>
          <w:i/>
          <w:sz w:val="20"/>
          <w:szCs w:val="20"/>
        </w:rPr>
        <w:t xml:space="preserve">Having taken reasonable care in the matter, and when the problems experienced by Emerson was brought under attention of the Applicant, numerous discussions and meetings were </w:t>
      </w:r>
      <w:r w:rsidR="00241374" w:rsidRPr="008321CA">
        <w:rPr>
          <w:rFonts w:ascii="Arial" w:hAnsi="Arial" w:cs="Arial"/>
          <w:i/>
          <w:sz w:val="20"/>
          <w:szCs w:val="20"/>
        </w:rPr>
        <w:t xml:space="preserve">held </w:t>
      </w:r>
      <w:r w:rsidR="00AD703C" w:rsidRPr="008321CA">
        <w:rPr>
          <w:rFonts w:ascii="Arial" w:hAnsi="Arial" w:cs="Arial"/>
          <w:i/>
          <w:sz w:val="20"/>
          <w:szCs w:val="20"/>
        </w:rPr>
        <w:t>between the Applicant,</w:t>
      </w:r>
      <w:r w:rsidRPr="008321CA">
        <w:rPr>
          <w:rFonts w:ascii="Arial" w:hAnsi="Arial" w:cs="Arial"/>
          <w:i/>
          <w:sz w:val="20"/>
          <w:szCs w:val="20"/>
        </w:rPr>
        <w:t xml:space="preserve"> having been represented by myself, and Awie Pistorius, an employee of UD Trucks, the Third Respondent, being the manufacturer of the cab and chassis, including the gearbox.</w:t>
      </w:r>
    </w:p>
    <w:p w:rsidR="000E2717" w:rsidRPr="008321CA" w:rsidRDefault="000E2717" w:rsidP="008321CA">
      <w:pPr>
        <w:spacing w:after="240" w:line="360" w:lineRule="auto"/>
        <w:ind w:left="567"/>
        <w:jc w:val="both"/>
        <w:rPr>
          <w:rFonts w:ascii="Arial" w:hAnsi="Arial" w:cs="Arial"/>
          <w:i/>
          <w:sz w:val="20"/>
          <w:szCs w:val="20"/>
        </w:rPr>
      </w:pPr>
      <w:r w:rsidRPr="008321CA">
        <w:rPr>
          <w:rFonts w:ascii="Arial" w:hAnsi="Arial" w:cs="Arial"/>
          <w:i/>
          <w:sz w:val="20"/>
          <w:szCs w:val="20"/>
        </w:rPr>
        <w:t>It was at all times Awie Pistorius expressed the opinion to myself that the cause of the problems was rooted in the driver’s technique, further alleging that the vehicle itself had been inspected by the Third Respondent and/or representatives thereof, finding it in good order.</w:t>
      </w:r>
    </w:p>
    <w:p w:rsidR="000E2717" w:rsidRPr="008321CA" w:rsidRDefault="000E2717" w:rsidP="008321CA">
      <w:pPr>
        <w:spacing w:after="240" w:line="360" w:lineRule="auto"/>
        <w:ind w:left="567"/>
        <w:jc w:val="both"/>
        <w:rPr>
          <w:rFonts w:ascii="Arial" w:hAnsi="Arial" w:cs="Arial"/>
          <w:i/>
          <w:sz w:val="20"/>
          <w:szCs w:val="20"/>
        </w:rPr>
      </w:pPr>
      <w:r w:rsidRPr="008321CA">
        <w:rPr>
          <w:rFonts w:ascii="Arial" w:hAnsi="Arial" w:cs="Arial"/>
          <w:i/>
          <w:sz w:val="20"/>
          <w:szCs w:val="20"/>
        </w:rPr>
        <w:t>The opinion and advice of Awie Pistorius were at all times accepted by the Applicant, myself included, to such an extent that an assessment of the usual driver of the vehicle was arranged at the premises of the Applicant on 19 March 2021.</w:t>
      </w:r>
      <w:r w:rsidR="00DE22A9" w:rsidRPr="008321CA">
        <w:rPr>
          <w:rStyle w:val="FootnoteReference"/>
          <w:rFonts w:ascii="Arial" w:hAnsi="Arial" w:cs="Arial"/>
          <w:i/>
          <w:sz w:val="20"/>
          <w:szCs w:val="20"/>
        </w:rPr>
        <w:footnoteReference w:id="32"/>
      </w:r>
    </w:p>
    <w:p w:rsidR="00615623" w:rsidRPr="008321CA" w:rsidRDefault="001909B3" w:rsidP="008321CA">
      <w:pPr>
        <w:spacing w:after="240" w:line="360" w:lineRule="auto"/>
        <w:ind w:left="567"/>
        <w:jc w:val="both"/>
        <w:rPr>
          <w:rFonts w:ascii="Arial" w:hAnsi="Arial" w:cs="Arial"/>
          <w:i/>
          <w:sz w:val="20"/>
          <w:szCs w:val="20"/>
        </w:rPr>
      </w:pPr>
      <w:r w:rsidRPr="008321CA">
        <w:rPr>
          <w:rFonts w:ascii="Arial" w:hAnsi="Arial" w:cs="Arial"/>
          <w:i/>
          <w:sz w:val="20"/>
          <w:szCs w:val="20"/>
        </w:rPr>
        <w:t>The only conclusion is that UD Trucks, the Third Respondent, wilfully withheld the information from</w:t>
      </w:r>
      <w:r w:rsidR="00201E0B" w:rsidRPr="008321CA">
        <w:rPr>
          <w:rFonts w:ascii="Arial" w:hAnsi="Arial" w:cs="Arial"/>
          <w:i/>
          <w:sz w:val="20"/>
          <w:szCs w:val="20"/>
        </w:rPr>
        <w:t xml:space="preserve"> the A</w:t>
      </w:r>
      <w:r w:rsidRPr="008321CA">
        <w:rPr>
          <w:rFonts w:ascii="Arial" w:hAnsi="Arial" w:cs="Arial"/>
          <w:i/>
          <w:sz w:val="20"/>
          <w:szCs w:val="20"/>
        </w:rPr>
        <w:t>pplicant</w:t>
      </w:r>
      <w:r w:rsidR="00201E0B" w:rsidRPr="008321CA">
        <w:rPr>
          <w:rFonts w:ascii="Arial" w:hAnsi="Arial" w:cs="Arial"/>
          <w:i/>
          <w:sz w:val="20"/>
          <w:szCs w:val="20"/>
        </w:rPr>
        <w:t>, furthermore wilfully prevented the Applicant from coming to know thereof and deliberately attempted to mislead the Applicant, and Emerson, as to the true cause of the issues.”</w:t>
      </w:r>
      <w:r w:rsidR="00201E0B" w:rsidRPr="008321CA">
        <w:rPr>
          <w:rStyle w:val="FootnoteReference"/>
          <w:rFonts w:ascii="Arial" w:hAnsi="Arial" w:cs="Arial"/>
          <w:i/>
          <w:sz w:val="20"/>
          <w:szCs w:val="20"/>
        </w:rPr>
        <w:footnoteReference w:id="33"/>
      </w:r>
    </w:p>
    <w:p w:rsidR="00677E1C" w:rsidRDefault="006302D0" w:rsidP="008321CA">
      <w:pPr>
        <w:spacing w:after="240" w:line="360" w:lineRule="auto"/>
        <w:ind w:left="567" w:hanging="567"/>
        <w:jc w:val="both"/>
        <w:rPr>
          <w:rFonts w:ascii="Arial" w:hAnsi="Arial" w:cs="Arial"/>
        </w:rPr>
      </w:pPr>
      <w:r w:rsidRPr="00BA2163">
        <w:rPr>
          <w:rFonts w:ascii="Arial" w:hAnsi="Arial" w:cs="Arial"/>
        </w:rPr>
        <w:t>[2</w:t>
      </w:r>
      <w:r w:rsidR="008321CA">
        <w:rPr>
          <w:rFonts w:ascii="Arial" w:hAnsi="Arial" w:cs="Arial"/>
        </w:rPr>
        <w:t>3</w:t>
      </w:r>
      <w:r w:rsidRPr="00BA2163">
        <w:rPr>
          <w:rFonts w:ascii="Arial" w:hAnsi="Arial" w:cs="Arial"/>
        </w:rPr>
        <w:t>]</w:t>
      </w:r>
      <w:r>
        <w:rPr>
          <w:rFonts w:ascii="Arial" w:hAnsi="Arial" w:cs="Arial"/>
          <w:sz w:val="20"/>
          <w:szCs w:val="20"/>
        </w:rPr>
        <w:t xml:space="preserve"> </w:t>
      </w:r>
      <w:r w:rsidR="008321CA">
        <w:rPr>
          <w:rFonts w:ascii="Arial" w:hAnsi="Arial" w:cs="Arial"/>
          <w:sz w:val="20"/>
          <w:szCs w:val="20"/>
        </w:rPr>
        <w:tab/>
      </w:r>
      <w:r w:rsidRPr="00BA2163">
        <w:rPr>
          <w:rFonts w:ascii="Arial" w:hAnsi="Arial" w:cs="Arial"/>
        </w:rPr>
        <w:t xml:space="preserve">In its Heads of Argument and oral address, the </w:t>
      </w:r>
      <w:r w:rsidRPr="00241374">
        <w:rPr>
          <w:rFonts w:ascii="Arial" w:hAnsi="Arial" w:cs="Arial"/>
        </w:rPr>
        <w:t>applicant s</w:t>
      </w:r>
      <w:r w:rsidRPr="00BA2163">
        <w:rPr>
          <w:rFonts w:ascii="Arial" w:hAnsi="Arial" w:cs="Arial"/>
        </w:rPr>
        <w:t xml:space="preserve">ubmitted that the indemnification </w:t>
      </w:r>
      <w:r w:rsidR="00241374" w:rsidRPr="00241374">
        <w:rPr>
          <w:rFonts w:ascii="Arial" w:hAnsi="Arial" w:cs="Arial"/>
        </w:rPr>
        <w:t xml:space="preserve">sought by </w:t>
      </w:r>
      <w:r w:rsidR="00241374">
        <w:rPr>
          <w:rFonts w:ascii="Arial" w:hAnsi="Arial" w:cs="Arial"/>
        </w:rPr>
        <w:t>it</w:t>
      </w:r>
      <w:r w:rsidRPr="00BA2163">
        <w:rPr>
          <w:rFonts w:ascii="Arial" w:hAnsi="Arial" w:cs="Arial"/>
        </w:rPr>
        <w:t xml:space="preserve"> in terms of the provisions of Rule 13, did not fall within the definition of a debt and </w:t>
      </w:r>
      <w:r w:rsidR="00F62D49">
        <w:rPr>
          <w:rFonts w:ascii="Arial" w:hAnsi="Arial" w:cs="Arial"/>
        </w:rPr>
        <w:t xml:space="preserve">had </w:t>
      </w:r>
      <w:r w:rsidRPr="00BA2163">
        <w:rPr>
          <w:rFonts w:ascii="Arial" w:hAnsi="Arial" w:cs="Arial"/>
        </w:rPr>
        <w:t>thus</w:t>
      </w:r>
      <w:r w:rsidR="008D7ECD" w:rsidRPr="00BA2163">
        <w:rPr>
          <w:rFonts w:ascii="Arial" w:hAnsi="Arial" w:cs="Arial"/>
        </w:rPr>
        <w:t xml:space="preserve"> not prescribed. A debt conte</w:t>
      </w:r>
      <w:r w:rsidR="00F62D49">
        <w:rPr>
          <w:rFonts w:ascii="Arial" w:hAnsi="Arial" w:cs="Arial"/>
        </w:rPr>
        <w:t>mplated in the Prescription Act</w:t>
      </w:r>
      <w:r w:rsidR="008D7ECD" w:rsidRPr="00BA2163">
        <w:rPr>
          <w:rFonts w:ascii="Arial" w:hAnsi="Arial" w:cs="Arial"/>
        </w:rPr>
        <w:t xml:space="preserve"> did not cover the indemnification sought by the Applicant and the provisions of the Act did not therefore apply. Relying on the narrow interpretation of a debt as suggested in </w:t>
      </w:r>
      <w:r w:rsidR="008D7ECD" w:rsidRPr="00677E1C">
        <w:rPr>
          <w:rFonts w:ascii="Arial" w:hAnsi="Arial" w:cs="Arial"/>
          <w:i/>
        </w:rPr>
        <w:t>Makate v Vodacom (Pty) Ltd</w:t>
      </w:r>
      <w:r w:rsidR="000B3EE8" w:rsidRPr="00BA2163">
        <w:rPr>
          <w:rFonts w:ascii="Arial" w:hAnsi="Arial" w:cs="Arial"/>
        </w:rPr>
        <w:t>,</w:t>
      </w:r>
      <w:r w:rsidR="008D7ECD" w:rsidRPr="00BA2163">
        <w:rPr>
          <w:rStyle w:val="FootnoteReference"/>
          <w:rFonts w:ascii="Arial" w:hAnsi="Arial" w:cs="Arial"/>
        </w:rPr>
        <w:footnoteReference w:id="34"/>
      </w:r>
      <w:r w:rsidR="000B3EE8" w:rsidRPr="00BA2163">
        <w:rPr>
          <w:rFonts w:ascii="Arial" w:hAnsi="Arial" w:cs="Arial"/>
        </w:rPr>
        <w:t xml:space="preserve"> </w:t>
      </w:r>
      <w:r w:rsidR="00EF0079" w:rsidRPr="00BA2163">
        <w:rPr>
          <w:rFonts w:ascii="Arial" w:hAnsi="Arial" w:cs="Arial"/>
        </w:rPr>
        <w:t xml:space="preserve">the applicant submitted that the indemnification sought was not a debt  and there was no corresponding debt or liability until the court, at trial, found that the applicant was liable to the first respondent and subsequent thereto, that the third respondent must indemnify the applicant against such liability. </w:t>
      </w:r>
    </w:p>
    <w:p w:rsidR="00A560A6" w:rsidRDefault="00677E1C" w:rsidP="008321CA">
      <w:pPr>
        <w:spacing w:after="240" w:line="360" w:lineRule="auto"/>
        <w:ind w:left="567" w:hanging="567"/>
        <w:jc w:val="both"/>
        <w:rPr>
          <w:rFonts w:ascii="Arial" w:hAnsi="Arial" w:cs="Arial"/>
        </w:rPr>
      </w:pPr>
      <w:r>
        <w:rPr>
          <w:rFonts w:ascii="Arial" w:hAnsi="Arial" w:cs="Arial"/>
        </w:rPr>
        <w:lastRenderedPageBreak/>
        <w:t>[2</w:t>
      </w:r>
      <w:r w:rsidR="008321CA">
        <w:rPr>
          <w:rFonts w:ascii="Arial" w:hAnsi="Arial" w:cs="Arial"/>
        </w:rPr>
        <w:t>4</w:t>
      </w:r>
      <w:r>
        <w:rPr>
          <w:rFonts w:ascii="Arial" w:hAnsi="Arial" w:cs="Arial"/>
        </w:rPr>
        <w:t>]</w:t>
      </w:r>
      <w:r>
        <w:rPr>
          <w:rFonts w:ascii="Arial" w:hAnsi="Arial" w:cs="Arial"/>
        </w:rPr>
        <w:tab/>
        <w:t>The applicant stated that it first became aware of the repairs that the truck an</w:t>
      </w:r>
      <w:r w:rsidR="00EC20C7">
        <w:rPr>
          <w:rFonts w:ascii="Arial" w:hAnsi="Arial" w:cs="Arial"/>
        </w:rPr>
        <w:t>d</w:t>
      </w:r>
      <w:r>
        <w:rPr>
          <w:rFonts w:ascii="Arial" w:hAnsi="Arial" w:cs="Arial"/>
        </w:rPr>
        <w:t xml:space="preserve"> specifically the gearbox required repairs on 10 September 2019.</w:t>
      </w:r>
      <w:r>
        <w:rPr>
          <w:rStyle w:val="FootnoteReference"/>
          <w:rFonts w:ascii="Arial" w:hAnsi="Arial" w:cs="Arial"/>
        </w:rPr>
        <w:footnoteReference w:id="35"/>
      </w:r>
      <w:r w:rsidR="000B3EE8" w:rsidRPr="00BA2163">
        <w:rPr>
          <w:rFonts w:ascii="Arial" w:hAnsi="Arial" w:cs="Arial"/>
        </w:rPr>
        <w:t xml:space="preserve"> </w:t>
      </w:r>
      <w:r w:rsidR="00EF3BAF">
        <w:rPr>
          <w:rFonts w:ascii="Arial" w:hAnsi="Arial" w:cs="Arial"/>
        </w:rPr>
        <w:t>Although it was aware that the third respondent was the manufacturer of the cab and chassis as at the date of the delivery th</w:t>
      </w:r>
      <w:r w:rsidR="00324853">
        <w:rPr>
          <w:rFonts w:ascii="Arial" w:hAnsi="Arial" w:cs="Arial"/>
        </w:rPr>
        <w:t>ereof to the applicant, it could</w:t>
      </w:r>
      <w:r w:rsidR="00EF3BAF">
        <w:rPr>
          <w:rFonts w:ascii="Arial" w:hAnsi="Arial" w:cs="Arial"/>
        </w:rPr>
        <w:t xml:space="preserve"> not reasonably have been aware of the fact that the third respondent admitted the defectiveness thereof.</w:t>
      </w:r>
      <w:r w:rsidR="00EF3BAF">
        <w:rPr>
          <w:rStyle w:val="FootnoteReference"/>
          <w:rFonts w:ascii="Arial" w:hAnsi="Arial" w:cs="Arial"/>
        </w:rPr>
        <w:footnoteReference w:id="36"/>
      </w:r>
      <w:r w:rsidR="00EF3BAF">
        <w:rPr>
          <w:rFonts w:ascii="Arial" w:hAnsi="Arial" w:cs="Arial"/>
        </w:rPr>
        <w:t xml:space="preserve"> When the problems experienced by the first respondent were brought </w:t>
      </w:r>
      <w:r w:rsidR="00EE2049">
        <w:rPr>
          <w:rFonts w:ascii="Arial" w:hAnsi="Arial" w:cs="Arial"/>
        </w:rPr>
        <w:t>to</w:t>
      </w:r>
      <w:r w:rsidR="00EF3BAF">
        <w:rPr>
          <w:rFonts w:ascii="Arial" w:hAnsi="Arial" w:cs="Arial"/>
        </w:rPr>
        <w:t xml:space="preserve"> its attention, numerous discussions and meetings were  held between the applicant and the third respondent.</w:t>
      </w:r>
      <w:r w:rsidR="00EF3BAF">
        <w:rPr>
          <w:rStyle w:val="FootnoteReference"/>
          <w:rFonts w:ascii="Arial" w:hAnsi="Arial" w:cs="Arial"/>
        </w:rPr>
        <w:footnoteReference w:id="37"/>
      </w:r>
      <w:r w:rsidR="00EF3BAF">
        <w:rPr>
          <w:rFonts w:ascii="Arial" w:hAnsi="Arial" w:cs="Arial"/>
        </w:rPr>
        <w:t xml:space="preserve"> When the truck was delivered to the applicant on 02 August 2018 nor at the time of the subsequent delivery to the first respondent on 27 May 2019, nor at th</w:t>
      </w:r>
      <w:r w:rsidR="00371929">
        <w:rPr>
          <w:rFonts w:ascii="Arial" w:hAnsi="Arial" w:cs="Arial"/>
        </w:rPr>
        <w:t>e time of the first repairs on</w:t>
      </w:r>
      <w:r w:rsidR="00EF3BAF">
        <w:rPr>
          <w:rFonts w:ascii="Arial" w:hAnsi="Arial" w:cs="Arial"/>
        </w:rPr>
        <w:t xml:space="preserve"> 10 September 2019, nor for the period thereafter, the warranty had not expired.</w:t>
      </w:r>
      <w:r w:rsidR="00EE3855">
        <w:rPr>
          <w:rStyle w:val="FootnoteReference"/>
          <w:rFonts w:ascii="Arial" w:hAnsi="Arial" w:cs="Arial"/>
        </w:rPr>
        <w:footnoteReference w:id="38"/>
      </w:r>
      <w:r w:rsidR="00EF3BAF">
        <w:rPr>
          <w:rFonts w:ascii="Arial" w:hAnsi="Arial" w:cs="Arial"/>
        </w:rPr>
        <w:t xml:space="preserve"> The warranty was therefore in full force and effect during the period that the cause of action arose.</w:t>
      </w:r>
      <w:r w:rsidR="00451B85">
        <w:rPr>
          <w:rStyle w:val="FootnoteReference"/>
          <w:rFonts w:ascii="Arial" w:hAnsi="Arial" w:cs="Arial"/>
        </w:rPr>
        <w:footnoteReference w:id="39"/>
      </w:r>
      <w:r w:rsidR="00EF3BAF">
        <w:rPr>
          <w:rFonts w:ascii="Arial" w:hAnsi="Arial" w:cs="Arial"/>
        </w:rPr>
        <w:t xml:space="preserve"> </w:t>
      </w:r>
    </w:p>
    <w:p w:rsidR="006F1CEF" w:rsidRPr="00CF3506" w:rsidRDefault="008321CA" w:rsidP="008321CA">
      <w:pPr>
        <w:spacing w:after="240" w:line="360" w:lineRule="auto"/>
        <w:ind w:left="567" w:hanging="567"/>
        <w:jc w:val="both"/>
        <w:rPr>
          <w:rFonts w:ascii="Arial" w:hAnsi="Arial" w:cs="Arial"/>
          <w:i/>
        </w:rPr>
      </w:pPr>
      <w:r>
        <w:rPr>
          <w:rFonts w:ascii="Arial" w:hAnsi="Arial" w:cs="Arial"/>
        </w:rPr>
        <w:t>[25</w:t>
      </w:r>
      <w:r w:rsidR="00A560A6">
        <w:rPr>
          <w:rFonts w:ascii="Arial" w:hAnsi="Arial" w:cs="Arial"/>
        </w:rPr>
        <w:t>]</w:t>
      </w:r>
      <w:r w:rsidR="00A560A6">
        <w:rPr>
          <w:rFonts w:ascii="Arial" w:hAnsi="Arial" w:cs="Arial"/>
        </w:rPr>
        <w:tab/>
        <w:t>The applicant does not deny that when a letter of demand was dispatched to the third respondent, it also received one. It is therefore evident that the applicant was well aware of the action envisaged by the first respondent before litigation started. The third responden</w:t>
      </w:r>
      <w:r w:rsidR="00DB2B8C">
        <w:rPr>
          <w:rFonts w:ascii="Arial" w:hAnsi="Arial" w:cs="Arial"/>
        </w:rPr>
        <w:t>t stated that the warranty was only</w:t>
      </w:r>
      <w:r w:rsidR="00A560A6">
        <w:rPr>
          <w:rFonts w:ascii="Arial" w:hAnsi="Arial" w:cs="Arial"/>
        </w:rPr>
        <w:t xml:space="preserve"> valid for the period of twelve (12) months, including an additional period of twelve (12) mo</w:t>
      </w:r>
      <w:r w:rsidR="00472913">
        <w:rPr>
          <w:rFonts w:ascii="Arial" w:hAnsi="Arial" w:cs="Arial"/>
        </w:rPr>
        <w:t>nths for a driveline warranty fo</w:t>
      </w:r>
      <w:r w:rsidR="00A560A6">
        <w:rPr>
          <w:rFonts w:ascii="Arial" w:hAnsi="Arial" w:cs="Arial"/>
        </w:rPr>
        <w:t xml:space="preserve">llowing the delivery of the cab and chassis. This time period had already </w:t>
      </w:r>
      <w:r w:rsidR="00662AA2">
        <w:rPr>
          <w:rFonts w:ascii="Arial" w:hAnsi="Arial" w:cs="Arial"/>
        </w:rPr>
        <w:t>expired for</w:t>
      </w:r>
      <w:r w:rsidR="00A560A6">
        <w:rPr>
          <w:rFonts w:ascii="Arial" w:hAnsi="Arial" w:cs="Arial"/>
        </w:rPr>
        <w:t xml:space="preserve"> purposes of enforcing the warranty.</w:t>
      </w:r>
      <w:r w:rsidR="00662AA2">
        <w:rPr>
          <w:rStyle w:val="FootnoteReference"/>
          <w:rFonts w:ascii="Arial" w:hAnsi="Arial" w:cs="Arial"/>
        </w:rPr>
        <w:footnoteReference w:id="40"/>
      </w:r>
      <w:r w:rsidR="00A560A6">
        <w:rPr>
          <w:rFonts w:ascii="Arial" w:hAnsi="Arial" w:cs="Arial"/>
        </w:rPr>
        <w:t xml:space="preserve"> The applicant was therefore time-barred from attempting to enforce the warranty due to it having prescribed as calculated from the date of delivery of the cab and chassis by the third respondent.</w:t>
      </w:r>
      <w:r w:rsidR="00662AA2">
        <w:rPr>
          <w:rStyle w:val="FootnoteReference"/>
          <w:rFonts w:ascii="Arial" w:hAnsi="Arial" w:cs="Arial"/>
        </w:rPr>
        <w:footnoteReference w:id="41"/>
      </w:r>
      <w:r w:rsidR="00A560A6">
        <w:rPr>
          <w:rFonts w:ascii="Arial" w:hAnsi="Arial" w:cs="Arial"/>
        </w:rPr>
        <w:t xml:space="preserve"> The joinder of the third respondent as a second third party to the main action proceedings would be a fruitless and wasteful exercise as the warranty did not apply </w:t>
      </w:r>
      <w:r w:rsidR="006E1206">
        <w:rPr>
          <w:rFonts w:ascii="Arial" w:hAnsi="Arial" w:cs="Arial"/>
        </w:rPr>
        <w:t>to any of the parties and even if it did, any of the parties would have been time-barred from relying on it.</w:t>
      </w:r>
      <w:r w:rsidR="00662AA2">
        <w:rPr>
          <w:rStyle w:val="FootnoteReference"/>
          <w:rFonts w:ascii="Arial" w:hAnsi="Arial" w:cs="Arial"/>
        </w:rPr>
        <w:footnoteReference w:id="42"/>
      </w:r>
      <w:r w:rsidR="006E1206">
        <w:rPr>
          <w:rFonts w:ascii="Arial" w:hAnsi="Arial" w:cs="Arial"/>
        </w:rPr>
        <w:t xml:space="preserve"> </w:t>
      </w:r>
      <w:r w:rsidR="00A560A6">
        <w:rPr>
          <w:rFonts w:ascii="Arial" w:hAnsi="Arial" w:cs="Arial"/>
        </w:rPr>
        <w:t xml:space="preserve"> </w:t>
      </w:r>
    </w:p>
    <w:p w:rsidR="00405244" w:rsidRPr="008321CA" w:rsidRDefault="00CF3506" w:rsidP="00962867">
      <w:pPr>
        <w:spacing w:after="240" w:line="360" w:lineRule="auto"/>
        <w:jc w:val="both"/>
        <w:rPr>
          <w:rFonts w:ascii="Arial" w:hAnsi="Arial" w:cs="Arial"/>
          <w:i/>
          <w:u w:val="single"/>
        </w:rPr>
      </w:pPr>
      <w:r w:rsidRPr="008321CA">
        <w:rPr>
          <w:rFonts w:ascii="Arial" w:hAnsi="Arial" w:cs="Arial"/>
          <w:i/>
          <w:u w:val="single"/>
        </w:rPr>
        <w:lastRenderedPageBreak/>
        <w:t>Has the applicant furnished a satisfactory explanation?</w:t>
      </w:r>
    </w:p>
    <w:p w:rsidR="00DB2B8C" w:rsidRDefault="00277A29" w:rsidP="008321CA">
      <w:pPr>
        <w:spacing w:after="240" w:line="360" w:lineRule="auto"/>
        <w:ind w:left="567" w:hanging="567"/>
        <w:jc w:val="both"/>
        <w:rPr>
          <w:rFonts w:ascii="Arial" w:hAnsi="Arial" w:cs="Arial"/>
          <w:color w:val="000000"/>
          <w:lang w:val="en-ZA" w:eastAsia="en-ZA"/>
        </w:rPr>
      </w:pPr>
      <w:r>
        <w:rPr>
          <w:rFonts w:ascii="Arial" w:hAnsi="Arial" w:cs="Arial"/>
          <w:color w:val="000000"/>
          <w:lang w:val="en-ZA" w:eastAsia="en-ZA"/>
        </w:rPr>
        <w:t>[2</w:t>
      </w:r>
      <w:r w:rsidR="008321CA">
        <w:rPr>
          <w:rFonts w:ascii="Arial" w:hAnsi="Arial" w:cs="Arial"/>
          <w:color w:val="000000"/>
          <w:lang w:val="en-ZA" w:eastAsia="en-ZA"/>
        </w:rPr>
        <w:t>6</w:t>
      </w:r>
      <w:r>
        <w:rPr>
          <w:rFonts w:ascii="Arial" w:hAnsi="Arial" w:cs="Arial"/>
          <w:color w:val="000000"/>
          <w:lang w:val="en-ZA" w:eastAsia="en-ZA"/>
        </w:rPr>
        <w:t xml:space="preserve">] </w:t>
      </w:r>
      <w:r w:rsidR="008321CA">
        <w:rPr>
          <w:rFonts w:ascii="Arial" w:hAnsi="Arial" w:cs="Arial"/>
          <w:color w:val="000000"/>
          <w:lang w:val="en-ZA" w:eastAsia="en-ZA"/>
        </w:rPr>
        <w:tab/>
      </w:r>
      <w:r>
        <w:rPr>
          <w:rFonts w:ascii="Arial" w:hAnsi="Arial" w:cs="Arial"/>
          <w:color w:val="000000"/>
          <w:lang w:val="en-ZA" w:eastAsia="en-ZA"/>
        </w:rPr>
        <w:t>T</w:t>
      </w:r>
      <w:r w:rsidR="008841F0">
        <w:rPr>
          <w:rFonts w:ascii="Arial" w:hAnsi="Arial" w:cs="Arial"/>
          <w:color w:val="000000"/>
          <w:lang w:val="en-ZA" w:eastAsia="en-ZA"/>
        </w:rPr>
        <w:t>he first</w:t>
      </w:r>
      <w:r>
        <w:rPr>
          <w:rFonts w:ascii="Arial" w:hAnsi="Arial" w:cs="Arial"/>
          <w:color w:val="000000"/>
          <w:lang w:val="en-ZA" w:eastAsia="en-ZA"/>
        </w:rPr>
        <w:t xml:space="preserve"> question</w:t>
      </w:r>
      <w:r w:rsidR="008841F0">
        <w:rPr>
          <w:rFonts w:ascii="Arial" w:hAnsi="Arial" w:cs="Arial"/>
          <w:color w:val="000000"/>
          <w:lang w:val="en-ZA" w:eastAsia="en-ZA"/>
        </w:rPr>
        <w:t xml:space="preserve"> that arises is</w:t>
      </w:r>
      <w:r>
        <w:rPr>
          <w:rFonts w:ascii="Arial" w:hAnsi="Arial" w:cs="Arial"/>
          <w:color w:val="000000"/>
          <w:lang w:val="en-ZA" w:eastAsia="en-ZA"/>
        </w:rPr>
        <w:t xml:space="preserve"> </w:t>
      </w:r>
      <w:r w:rsidR="00CF3506">
        <w:rPr>
          <w:rFonts w:ascii="Arial" w:hAnsi="Arial" w:cs="Arial"/>
          <w:color w:val="000000"/>
          <w:lang w:val="en-ZA" w:eastAsia="en-ZA"/>
        </w:rPr>
        <w:t>whether</w:t>
      </w:r>
      <w:r>
        <w:rPr>
          <w:rFonts w:ascii="Arial" w:hAnsi="Arial" w:cs="Arial"/>
          <w:color w:val="000000"/>
          <w:lang w:val="en-ZA" w:eastAsia="en-ZA"/>
        </w:rPr>
        <w:t xml:space="preserve"> the applicant</w:t>
      </w:r>
      <w:r w:rsidR="00CF3506">
        <w:rPr>
          <w:rFonts w:ascii="Arial" w:hAnsi="Arial" w:cs="Arial"/>
          <w:color w:val="000000"/>
          <w:lang w:val="en-ZA" w:eastAsia="en-ZA"/>
        </w:rPr>
        <w:t xml:space="preserve"> has</w:t>
      </w:r>
      <w:r w:rsidR="00361C1B">
        <w:rPr>
          <w:rFonts w:ascii="Arial" w:hAnsi="Arial" w:cs="Arial"/>
          <w:color w:val="000000"/>
          <w:lang w:val="en-ZA" w:eastAsia="en-ZA"/>
        </w:rPr>
        <w:t xml:space="preserve"> </w:t>
      </w:r>
      <w:r w:rsidR="008841F0">
        <w:rPr>
          <w:rFonts w:ascii="Arial" w:hAnsi="Arial" w:cs="Arial"/>
          <w:color w:val="000000"/>
          <w:lang w:val="en-ZA" w:eastAsia="en-ZA"/>
        </w:rPr>
        <w:t>furnished a</w:t>
      </w:r>
      <w:r w:rsidR="00361C1B">
        <w:rPr>
          <w:rFonts w:ascii="Arial" w:hAnsi="Arial" w:cs="Arial"/>
          <w:color w:val="000000"/>
          <w:lang w:val="en-ZA" w:eastAsia="en-ZA"/>
        </w:rPr>
        <w:t xml:space="preserve"> satisfactory explanation for its failure to issue the notice</w:t>
      </w:r>
      <w:r w:rsidR="008841F0">
        <w:rPr>
          <w:rFonts w:ascii="Arial" w:hAnsi="Arial" w:cs="Arial"/>
          <w:color w:val="000000"/>
          <w:lang w:val="en-ZA" w:eastAsia="en-ZA"/>
        </w:rPr>
        <w:t xml:space="preserve"> before the close of pleadings? In</w:t>
      </w:r>
      <w:r w:rsidR="00B17DD9">
        <w:rPr>
          <w:rFonts w:ascii="Arial" w:hAnsi="Arial" w:cs="Arial"/>
          <w:color w:val="000000"/>
          <w:lang w:val="en-ZA" w:eastAsia="en-ZA"/>
        </w:rPr>
        <w:t xml:space="preserve"> its heads of argument, the applicant admitted that it ought to have reasonably been aware that the third respondent was the manufacturer of the cab and chassis and</w:t>
      </w:r>
      <w:r w:rsidR="00CF3506">
        <w:rPr>
          <w:rFonts w:ascii="Arial" w:hAnsi="Arial" w:cs="Arial"/>
          <w:color w:val="000000"/>
          <w:lang w:val="en-ZA" w:eastAsia="en-ZA"/>
        </w:rPr>
        <w:t xml:space="preserve"> was aware since 12 March 2021 of the lette</w:t>
      </w:r>
      <w:r w:rsidR="00B17DD9">
        <w:rPr>
          <w:rFonts w:ascii="Arial" w:hAnsi="Arial" w:cs="Arial"/>
          <w:color w:val="000000"/>
          <w:lang w:val="en-ZA" w:eastAsia="en-ZA"/>
        </w:rPr>
        <w:t>r of demand</w:t>
      </w:r>
      <w:r w:rsidR="00DB2B8C">
        <w:rPr>
          <w:rFonts w:ascii="Arial" w:hAnsi="Arial" w:cs="Arial"/>
          <w:color w:val="000000"/>
          <w:lang w:val="en-ZA" w:eastAsia="en-ZA"/>
        </w:rPr>
        <w:t xml:space="preserve"> that was</w:t>
      </w:r>
      <w:r w:rsidR="00B17DD9">
        <w:rPr>
          <w:rFonts w:ascii="Arial" w:hAnsi="Arial" w:cs="Arial"/>
          <w:color w:val="000000"/>
          <w:lang w:val="en-ZA" w:eastAsia="en-ZA"/>
        </w:rPr>
        <w:t xml:space="preserve"> dispatched to the third respondent by the first respondent</w:t>
      </w:r>
      <w:r w:rsidR="00A60491">
        <w:rPr>
          <w:rFonts w:ascii="Arial" w:hAnsi="Arial" w:cs="Arial"/>
          <w:color w:val="000000"/>
          <w:lang w:val="en-ZA" w:eastAsia="en-ZA"/>
        </w:rPr>
        <w:t xml:space="preserve"> prior to the summons being issued against itself</w:t>
      </w:r>
      <w:r w:rsidR="00B17DD9">
        <w:rPr>
          <w:rFonts w:ascii="Arial" w:hAnsi="Arial" w:cs="Arial"/>
          <w:color w:val="000000"/>
          <w:lang w:val="en-ZA" w:eastAsia="en-ZA"/>
        </w:rPr>
        <w:t>.</w:t>
      </w:r>
      <w:r w:rsidR="00755D03">
        <w:rPr>
          <w:rStyle w:val="FootnoteReference"/>
          <w:rFonts w:ascii="Arial" w:hAnsi="Arial" w:cs="Arial"/>
          <w:color w:val="000000"/>
          <w:lang w:val="en-ZA" w:eastAsia="en-ZA"/>
        </w:rPr>
        <w:footnoteReference w:id="43"/>
      </w:r>
      <w:r>
        <w:rPr>
          <w:rFonts w:ascii="Arial" w:hAnsi="Arial" w:cs="Arial"/>
          <w:color w:val="000000"/>
          <w:lang w:val="en-ZA" w:eastAsia="en-ZA"/>
        </w:rPr>
        <w:t xml:space="preserve"> </w:t>
      </w:r>
      <w:r w:rsidR="00CF3506">
        <w:rPr>
          <w:rFonts w:ascii="Arial" w:hAnsi="Arial" w:cs="Arial"/>
          <w:color w:val="000000"/>
          <w:lang w:val="en-ZA" w:eastAsia="en-ZA"/>
        </w:rPr>
        <w:t>In the letter, the replacement of the truck with a new engine and a warranty of two years was demanded. The applicant does not deny that a letter of demand was at the same time dispatched to itself by the first respondent. During March 2021, after the problems experienced by the first respondent</w:t>
      </w:r>
      <w:r w:rsidR="009F64D2">
        <w:rPr>
          <w:rFonts w:ascii="Arial" w:hAnsi="Arial" w:cs="Arial"/>
          <w:color w:val="000000"/>
          <w:lang w:val="en-ZA" w:eastAsia="en-ZA"/>
        </w:rPr>
        <w:t xml:space="preserve"> came to its attention, it had meetings on two occasions with the third respondent. The particulars of claim mention specifically that the engine was defective. If the applicant ignored the contents of the letter of demand, surely the contents of the summons should have </w:t>
      </w:r>
      <w:r w:rsidR="00EA7B65">
        <w:rPr>
          <w:rFonts w:ascii="Arial" w:hAnsi="Arial" w:cs="Arial"/>
          <w:color w:val="000000"/>
          <w:lang w:val="en-ZA" w:eastAsia="en-ZA"/>
        </w:rPr>
        <w:t>flickered red lights pointing in the direction of the third respondent.</w:t>
      </w:r>
    </w:p>
    <w:p w:rsidR="00DB2B8C" w:rsidRDefault="00DB2B8C" w:rsidP="008321CA">
      <w:pPr>
        <w:spacing w:after="240" w:line="360" w:lineRule="auto"/>
        <w:ind w:left="567" w:hanging="567"/>
        <w:jc w:val="both"/>
        <w:rPr>
          <w:rFonts w:ascii="Arial" w:hAnsi="Arial" w:cs="Arial"/>
          <w:color w:val="000000"/>
          <w:lang w:val="en-ZA" w:eastAsia="en-ZA"/>
        </w:rPr>
      </w:pPr>
      <w:r>
        <w:rPr>
          <w:rFonts w:ascii="Arial" w:hAnsi="Arial" w:cs="Arial"/>
          <w:color w:val="000000"/>
          <w:lang w:val="en-ZA" w:eastAsia="en-ZA"/>
        </w:rPr>
        <w:t>[2</w:t>
      </w:r>
      <w:r w:rsidR="008321CA">
        <w:rPr>
          <w:rFonts w:ascii="Arial" w:hAnsi="Arial" w:cs="Arial"/>
          <w:color w:val="000000"/>
          <w:lang w:val="en-ZA" w:eastAsia="en-ZA"/>
        </w:rPr>
        <w:t>7</w:t>
      </w:r>
      <w:r>
        <w:rPr>
          <w:rFonts w:ascii="Arial" w:hAnsi="Arial" w:cs="Arial"/>
          <w:color w:val="000000"/>
          <w:lang w:val="en-ZA" w:eastAsia="en-ZA"/>
        </w:rPr>
        <w:t xml:space="preserve">] </w:t>
      </w:r>
      <w:r w:rsidR="008321CA">
        <w:rPr>
          <w:rFonts w:ascii="Arial" w:hAnsi="Arial" w:cs="Arial"/>
          <w:color w:val="000000"/>
          <w:lang w:val="en-ZA" w:eastAsia="en-ZA"/>
        </w:rPr>
        <w:tab/>
      </w:r>
      <w:r w:rsidR="00EC20C7">
        <w:rPr>
          <w:rFonts w:ascii="Arial" w:hAnsi="Arial" w:cs="Arial"/>
          <w:color w:val="000000"/>
          <w:lang w:val="en-ZA" w:eastAsia="en-ZA"/>
        </w:rPr>
        <w:t>Beside the various meetings it had with the third respondent pertaining to the allegedly defective truck, the</w:t>
      </w:r>
      <w:r w:rsidR="00EC20C7">
        <w:rPr>
          <w:rFonts w:ascii="Arial" w:hAnsi="Arial" w:cs="Arial"/>
        </w:rPr>
        <w:t xml:space="preserve"> applicant first became aware</w:t>
      </w:r>
      <w:r w:rsidR="00584EBC">
        <w:rPr>
          <w:rFonts w:ascii="Arial" w:hAnsi="Arial" w:cs="Arial"/>
        </w:rPr>
        <w:t xml:space="preserve"> on 10 September 2019</w:t>
      </w:r>
      <w:r w:rsidR="00EC20C7">
        <w:rPr>
          <w:rFonts w:ascii="Arial" w:hAnsi="Arial" w:cs="Arial"/>
        </w:rPr>
        <w:t xml:space="preserve"> that the truck</w:t>
      </w:r>
      <w:r w:rsidR="00584EBC">
        <w:rPr>
          <w:rFonts w:ascii="Arial" w:hAnsi="Arial" w:cs="Arial"/>
        </w:rPr>
        <w:t>,</w:t>
      </w:r>
      <w:r w:rsidR="00EC20C7">
        <w:rPr>
          <w:rFonts w:ascii="Arial" w:hAnsi="Arial" w:cs="Arial"/>
        </w:rPr>
        <w:t xml:space="preserve"> and specifically the gearbox</w:t>
      </w:r>
      <w:r w:rsidR="00584EBC">
        <w:rPr>
          <w:rFonts w:ascii="Arial" w:hAnsi="Arial" w:cs="Arial"/>
        </w:rPr>
        <w:t>,</w:t>
      </w:r>
      <w:r w:rsidR="00EC20C7">
        <w:rPr>
          <w:rFonts w:ascii="Arial" w:hAnsi="Arial" w:cs="Arial"/>
        </w:rPr>
        <w:t xml:space="preserve"> required repairs.</w:t>
      </w:r>
      <w:r w:rsidR="00EC20C7">
        <w:rPr>
          <w:rStyle w:val="FootnoteReference"/>
          <w:rFonts w:ascii="Arial" w:hAnsi="Arial" w:cs="Arial"/>
        </w:rPr>
        <w:footnoteReference w:id="44"/>
      </w:r>
      <w:r w:rsidR="00EC20C7">
        <w:rPr>
          <w:rFonts w:ascii="Arial" w:hAnsi="Arial" w:cs="Arial"/>
        </w:rPr>
        <w:t xml:space="preserve"> This</w:t>
      </w:r>
      <w:r w:rsidR="00EC20C7">
        <w:rPr>
          <w:rFonts w:ascii="Arial" w:hAnsi="Arial" w:cs="Arial"/>
          <w:color w:val="000000"/>
          <w:lang w:val="en-ZA" w:eastAsia="en-ZA"/>
        </w:rPr>
        <w:t xml:space="preserve">  makes the applicant’s version that it only </w:t>
      </w:r>
      <w:r w:rsidR="00B202A0">
        <w:rPr>
          <w:rFonts w:ascii="Arial" w:hAnsi="Arial" w:cs="Arial"/>
          <w:color w:val="000000"/>
          <w:lang w:val="en-ZA" w:eastAsia="en-ZA"/>
        </w:rPr>
        <w:t>became aware</w:t>
      </w:r>
      <w:r w:rsidR="00EC20C7">
        <w:rPr>
          <w:rFonts w:ascii="Arial" w:hAnsi="Arial" w:cs="Arial"/>
          <w:color w:val="000000"/>
          <w:lang w:val="en-ZA" w:eastAsia="en-ZA"/>
        </w:rPr>
        <w:t xml:space="preserve"> of the factory fault</w:t>
      </w:r>
      <w:r w:rsidR="00B202A0">
        <w:rPr>
          <w:rFonts w:ascii="Arial" w:hAnsi="Arial" w:cs="Arial"/>
          <w:color w:val="000000"/>
          <w:lang w:val="en-ZA" w:eastAsia="en-ZA"/>
        </w:rPr>
        <w:t>s to the cab and chassis</w:t>
      </w:r>
      <w:r w:rsidR="00EC20C7">
        <w:rPr>
          <w:rFonts w:ascii="Arial" w:hAnsi="Arial" w:cs="Arial"/>
          <w:color w:val="000000"/>
          <w:lang w:val="en-ZA" w:eastAsia="en-ZA"/>
        </w:rPr>
        <w:t xml:space="preserve"> </w:t>
      </w:r>
      <w:r w:rsidR="00584EBC">
        <w:rPr>
          <w:rFonts w:ascii="Arial" w:hAnsi="Arial" w:cs="Arial"/>
          <w:color w:val="000000"/>
          <w:lang w:val="en-ZA" w:eastAsia="en-ZA"/>
        </w:rPr>
        <w:t>after</w:t>
      </w:r>
      <w:r w:rsidR="00EC20C7">
        <w:rPr>
          <w:rFonts w:ascii="Arial" w:hAnsi="Arial" w:cs="Arial"/>
          <w:color w:val="000000"/>
          <w:lang w:val="en-ZA" w:eastAsia="en-ZA"/>
        </w:rPr>
        <w:t xml:space="preserve"> the </w:t>
      </w:r>
      <w:r w:rsidR="005C0BFA">
        <w:rPr>
          <w:rFonts w:ascii="Arial" w:hAnsi="Arial" w:cs="Arial"/>
          <w:color w:val="000000"/>
          <w:lang w:val="en-ZA" w:eastAsia="en-ZA"/>
        </w:rPr>
        <w:t>discovery of documents</w:t>
      </w:r>
      <w:r w:rsidR="00B202A0">
        <w:rPr>
          <w:rFonts w:ascii="Arial" w:hAnsi="Arial" w:cs="Arial"/>
          <w:color w:val="000000"/>
          <w:lang w:val="en-ZA" w:eastAsia="en-ZA"/>
        </w:rPr>
        <w:t xml:space="preserve"> on 28 March 2022 after the third respondent had deliberately and wilfully withheld and prevented the applicant to coming to know thereof,</w:t>
      </w:r>
      <w:r w:rsidR="005C0BFA">
        <w:rPr>
          <w:rFonts w:ascii="Arial" w:hAnsi="Arial" w:cs="Arial"/>
          <w:color w:val="000000"/>
          <w:lang w:val="en-ZA" w:eastAsia="en-ZA"/>
        </w:rPr>
        <w:t xml:space="preserve"> to be contradictory and false.</w:t>
      </w:r>
      <w:r w:rsidR="00F8377C">
        <w:rPr>
          <w:rFonts w:ascii="Arial" w:hAnsi="Arial" w:cs="Arial"/>
          <w:color w:val="000000"/>
          <w:lang w:val="en-ZA" w:eastAsia="en-ZA"/>
        </w:rPr>
        <w:t xml:space="preserve"> The explanation for the late filing of the third party notice is not satisfactory at all.</w:t>
      </w:r>
    </w:p>
    <w:p w:rsidR="00D55A20" w:rsidRPr="008321CA" w:rsidRDefault="00D55A20" w:rsidP="00074FB6">
      <w:pPr>
        <w:spacing w:after="240" w:line="360" w:lineRule="auto"/>
        <w:jc w:val="both"/>
        <w:rPr>
          <w:rFonts w:ascii="Arial" w:hAnsi="Arial" w:cs="Arial"/>
          <w:i/>
          <w:color w:val="000000"/>
          <w:u w:val="single"/>
          <w:lang w:val="en-ZA" w:eastAsia="en-ZA"/>
        </w:rPr>
      </w:pPr>
      <w:r w:rsidRPr="008321CA">
        <w:rPr>
          <w:rFonts w:ascii="Arial" w:hAnsi="Arial" w:cs="Arial"/>
          <w:i/>
          <w:color w:val="000000"/>
          <w:u w:val="single"/>
          <w:lang w:val="en-ZA" w:eastAsia="en-ZA"/>
        </w:rPr>
        <w:t>Do the facts alleged entitle the applicant to succeed at</w:t>
      </w:r>
      <w:r w:rsidR="00583A8C" w:rsidRPr="008321CA">
        <w:rPr>
          <w:rFonts w:ascii="Arial" w:hAnsi="Arial" w:cs="Arial"/>
          <w:i/>
          <w:color w:val="000000"/>
          <w:u w:val="single"/>
          <w:lang w:val="en-ZA" w:eastAsia="en-ZA"/>
        </w:rPr>
        <w:t xml:space="preserve"> the</w:t>
      </w:r>
      <w:r w:rsidRPr="008321CA">
        <w:rPr>
          <w:rFonts w:ascii="Arial" w:hAnsi="Arial" w:cs="Arial"/>
          <w:i/>
          <w:color w:val="000000"/>
          <w:u w:val="single"/>
          <w:lang w:val="en-ZA" w:eastAsia="en-ZA"/>
        </w:rPr>
        <w:t xml:space="preserve"> trial? </w:t>
      </w:r>
    </w:p>
    <w:p w:rsidR="00761A31" w:rsidRDefault="008321CA" w:rsidP="008321CA">
      <w:pPr>
        <w:spacing w:after="240" w:line="360" w:lineRule="auto"/>
        <w:ind w:left="567" w:hanging="567"/>
        <w:jc w:val="both"/>
        <w:rPr>
          <w:rFonts w:ascii="Arial" w:hAnsi="Arial" w:cs="Arial"/>
        </w:rPr>
      </w:pPr>
      <w:r>
        <w:rPr>
          <w:rFonts w:ascii="Arial" w:hAnsi="Arial" w:cs="Arial"/>
          <w:color w:val="000000"/>
          <w:lang w:val="en-ZA" w:eastAsia="en-ZA"/>
        </w:rPr>
        <w:t>[28</w:t>
      </w:r>
      <w:r w:rsidR="00761A31">
        <w:rPr>
          <w:rFonts w:ascii="Arial" w:hAnsi="Arial" w:cs="Arial"/>
          <w:color w:val="000000"/>
          <w:lang w:val="en-ZA" w:eastAsia="en-ZA"/>
        </w:rPr>
        <w:t xml:space="preserve">] </w:t>
      </w:r>
      <w:r>
        <w:rPr>
          <w:rFonts w:ascii="Arial" w:hAnsi="Arial" w:cs="Arial"/>
          <w:color w:val="000000"/>
          <w:lang w:val="en-ZA" w:eastAsia="en-ZA"/>
        </w:rPr>
        <w:tab/>
      </w:r>
      <w:r w:rsidR="00D55A20">
        <w:rPr>
          <w:rFonts w:ascii="Arial" w:hAnsi="Arial" w:cs="Arial"/>
          <w:color w:val="000000"/>
          <w:lang w:val="en-ZA" w:eastAsia="en-ZA"/>
        </w:rPr>
        <w:t xml:space="preserve">The applicant seeks </w:t>
      </w:r>
      <w:r w:rsidR="008222E9">
        <w:rPr>
          <w:rFonts w:ascii="Arial" w:hAnsi="Arial" w:cs="Arial"/>
          <w:color w:val="000000"/>
          <w:lang w:val="en-ZA" w:eastAsia="en-ZA"/>
        </w:rPr>
        <w:t>a full indemnity of any amount</w:t>
      </w:r>
      <w:r w:rsidR="00253BDA">
        <w:rPr>
          <w:rFonts w:ascii="Arial" w:hAnsi="Arial" w:cs="Arial"/>
          <w:color w:val="000000"/>
          <w:lang w:val="en-ZA" w:eastAsia="en-ZA"/>
        </w:rPr>
        <w:t xml:space="preserve"> for which it is held liable</w:t>
      </w:r>
      <w:r w:rsidR="008222E9">
        <w:rPr>
          <w:rFonts w:ascii="Arial" w:hAnsi="Arial" w:cs="Arial"/>
          <w:color w:val="000000"/>
          <w:lang w:val="en-ZA" w:eastAsia="en-ZA"/>
        </w:rPr>
        <w:t xml:space="preserve"> to the </w:t>
      </w:r>
      <w:r w:rsidR="00253BDA">
        <w:rPr>
          <w:rFonts w:ascii="Arial" w:hAnsi="Arial" w:cs="Arial"/>
          <w:color w:val="000000"/>
          <w:lang w:val="en-ZA" w:eastAsia="en-ZA"/>
        </w:rPr>
        <w:t>first respondent</w:t>
      </w:r>
      <w:r w:rsidR="000342DF">
        <w:rPr>
          <w:rFonts w:ascii="Arial" w:hAnsi="Arial" w:cs="Arial"/>
          <w:color w:val="000000"/>
          <w:lang w:val="en-ZA" w:eastAsia="en-ZA"/>
        </w:rPr>
        <w:t>,</w:t>
      </w:r>
      <w:r w:rsidR="008222E9">
        <w:rPr>
          <w:rFonts w:ascii="Arial" w:hAnsi="Arial" w:cs="Arial"/>
          <w:color w:val="000000"/>
          <w:lang w:val="en-ZA" w:eastAsia="en-ZA"/>
        </w:rPr>
        <w:t xml:space="preserve"> </w:t>
      </w:r>
      <w:r w:rsidR="00E50F9D">
        <w:rPr>
          <w:rFonts w:ascii="Arial" w:hAnsi="Arial" w:cs="Arial"/>
        </w:rPr>
        <w:t>h</w:t>
      </w:r>
      <w:r w:rsidR="008222E9" w:rsidRPr="008222E9">
        <w:rPr>
          <w:rFonts w:ascii="Arial" w:hAnsi="Arial" w:cs="Arial"/>
        </w:rPr>
        <w:t>aving regard to the terms of and indemnity as detailed in the warranty against defecti</w:t>
      </w:r>
      <w:r w:rsidR="00E50F9D">
        <w:rPr>
          <w:rFonts w:ascii="Arial" w:hAnsi="Arial" w:cs="Arial"/>
        </w:rPr>
        <w:t>veness by the third respondent</w:t>
      </w:r>
      <w:r w:rsidR="008222E9" w:rsidRPr="008222E9">
        <w:rPr>
          <w:rFonts w:ascii="Arial" w:hAnsi="Arial" w:cs="Arial"/>
        </w:rPr>
        <w:t xml:space="preserve"> on </w:t>
      </w:r>
      <w:r w:rsidR="000342DF">
        <w:rPr>
          <w:rFonts w:ascii="Arial" w:hAnsi="Arial" w:cs="Arial"/>
        </w:rPr>
        <w:t xml:space="preserve">the </w:t>
      </w:r>
      <w:r w:rsidR="008222E9" w:rsidRPr="008222E9">
        <w:rPr>
          <w:rFonts w:ascii="Arial" w:hAnsi="Arial" w:cs="Arial"/>
        </w:rPr>
        <w:t>supply of a new chas</w:t>
      </w:r>
      <w:r w:rsidR="00E50F9D">
        <w:rPr>
          <w:rFonts w:ascii="Arial" w:hAnsi="Arial" w:cs="Arial"/>
        </w:rPr>
        <w:t>sis and cab, and if the applican</w:t>
      </w:r>
      <w:r w:rsidR="008222E9" w:rsidRPr="008222E9">
        <w:rPr>
          <w:rFonts w:ascii="Arial" w:hAnsi="Arial" w:cs="Arial"/>
        </w:rPr>
        <w:t>t</w:t>
      </w:r>
      <w:r w:rsidR="00E50F9D">
        <w:rPr>
          <w:rFonts w:ascii="Arial" w:hAnsi="Arial" w:cs="Arial"/>
        </w:rPr>
        <w:t xml:space="preserve"> is held liable to the first respondent in </w:t>
      </w:r>
      <w:r w:rsidR="00E50F9D">
        <w:rPr>
          <w:rFonts w:ascii="Arial" w:hAnsi="Arial" w:cs="Arial"/>
        </w:rPr>
        <w:lastRenderedPageBreak/>
        <w:t>terms of the first respondent’s</w:t>
      </w:r>
      <w:r w:rsidR="008222E9" w:rsidRPr="008222E9">
        <w:rPr>
          <w:rFonts w:ascii="Arial" w:hAnsi="Arial" w:cs="Arial"/>
        </w:rPr>
        <w:t xml:space="preserve"> claim as set out in the particulars of claim</w:t>
      </w:r>
      <w:r w:rsidR="00260853">
        <w:rPr>
          <w:rFonts w:ascii="Arial" w:hAnsi="Arial" w:cs="Arial"/>
        </w:rPr>
        <w:t>. The warranty</w:t>
      </w:r>
      <w:r w:rsidR="007E16C1">
        <w:rPr>
          <w:rFonts w:ascii="Arial" w:hAnsi="Arial" w:cs="Arial"/>
        </w:rPr>
        <w:t xml:space="preserve"> (styled the UD Trucks Warranty)</w:t>
      </w:r>
      <w:r w:rsidR="008B74F5">
        <w:rPr>
          <w:rFonts w:ascii="Arial" w:hAnsi="Arial" w:cs="Arial"/>
        </w:rPr>
        <w:t xml:space="preserve"> covered defects in material and faulty workmanship existing at the time of delivery or coming into existence during the warranty period. </w:t>
      </w:r>
      <w:r w:rsidR="008A08F8">
        <w:rPr>
          <w:rFonts w:ascii="Arial" w:hAnsi="Arial" w:cs="Arial"/>
        </w:rPr>
        <w:t xml:space="preserve"> The warranty period was for a period of two years</w:t>
      </w:r>
      <w:r w:rsidR="00253BDA">
        <w:rPr>
          <w:rStyle w:val="FootnoteReference"/>
          <w:rFonts w:ascii="Arial" w:hAnsi="Arial" w:cs="Arial"/>
        </w:rPr>
        <w:footnoteReference w:id="45"/>
      </w:r>
      <w:r w:rsidR="008A08F8">
        <w:rPr>
          <w:rFonts w:ascii="Arial" w:hAnsi="Arial" w:cs="Arial"/>
        </w:rPr>
        <w:t xml:space="preserve"> and lapsed on 2 August 2020.</w:t>
      </w:r>
      <w:r w:rsidR="008A08F8">
        <w:rPr>
          <w:rStyle w:val="FootnoteReference"/>
          <w:rFonts w:ascii="Arial" w:hAnsi="Arial" w:cs="Arial"/>
        </w:rPr>
        <w:footnoteReference w:id="46"/>
      </w:r>
      <w:r w:rsidR="00FD6FDD">
        <w:rPr>
          <w:rFonts w:ascii="Arial" w:hAnsi="Arial" w:cs="Arial"/>
        </w:rPr>
        <w:t xml:space="preserve"> The applicant’s version is that the third respondent attended to certain repairs under the warranty and that at the time of the discovery of the defects the warranty was still valid.</w:t>
      </w:r>
      <w:r w:rsidR="002B12B3">
        <w:rPr>
          <w:rFonts w:ascii="Arial" w:hAnsi="Arial" w:cs="Arial"/>
        </w:rPr>
        <w:t xml:space="preserve"> </w:t>
      </w:r>
    </w:p>
    <w:p w:rsidR="00761A31" w:rsidRDefault="008321CA" w:rsidP="008321CA">
      <w:pPr>
        <w:spacing w:after="240" w:line="360" w:lineRule="auto"/>
        <w:ind w:left="567" w:hanging="567"/>
        <w:jc w:val="both"/>
        <w:rPr>
          <w:rFonts w:ascii="Arial" w:hAnsi="Arial" w:cs="Arial"/>
        </w:rPr>
      </w:pPr>
      <w:r>
        <w:rPr>
          <w:rFonts w:ascii="Arial" w:hAnsi="Arial" w:cs="Arial"/>
        </w:rPr>
        <w:t>[29</w:t>
      </w:r>
      <w:r w:rsidR="00761A31">
        <w:rPr>
          <w:rFonts w:ascii="Arial" w:hAnsi="Arial" w:cs="Arial"/>
        </w:rPr>
        <w:t xml:space="preserve">] </w:t>
      </w:r>
      <w:r>
        <w:rPr>
          <w:rFonts w:ascii="Arial" w:hAnsi="Arial" w:cs="Arial"/>
        </w:rPr>
        <w:tab/>
      </w:r>
      <w:r w:rsidR="002B12B3">
        <w:rPr>
          <w:rFonts w:ascii="Arial" w:hAnsi="Arial" w:cs="Arial"/>
        </w:rPr>
        <w:t>The applicant stated in its written heads of argument</w:t>
      </w:r>
      <w:r w:rsidR="002B12B3">
        <w:rPr>
          <w:rStyle w:val="FootnoteReference"/>
          <w:rFonts w:ascii="Arial" w:hAnsi="Arial" w:cs="Arial"/>
        </w:rPr>
        <w:footnoteReference w:id="47"/>
      </w:r>
      <w:r w:rsidR="002B12B3">
        <w:rPr>
          <w:rFonts w:ascii="Arial" w:hAnsi="Arial" w:cs="Arial"/>
        </w:rPr>
        <w:t xml:space="preserve"> that the third respondent</w:t>
      </w:r>
      <w:r w:rsidR="00935A44">
        <w:rPr>
          <w:rFonts w:ascii="Arial" w:hAnsi="Arial" w:cs="Arial"/>
        </w:rPr>
        <w:t xml:space="preserve"> relied on</w:t>
      </w:r>
      <w:r w:rsidR="00C943FF">
        <w:rPr>
          <w:rFonts w:ascii="Arial" w:hAnsi="Arial" w:cs="Arial"/>
        </w:rPr>
        <w:t xml:space="preserve"> the terms of the warranty to exclude further repairs. The point is that the applicant also</w:t>
      </w:r>
      <w:r w:rsidR="00CE2B00">
        <w:rPr>
          <w:rFonts w:ascii="Arial" w:hAnsi="Arial" w:cs="Arial"/>
        </w:rPr>
        <w:t xml:space="preserve"> relied</w:t>
      </w:r>
      <w:r w:rsidR="00C943FF">
        <w:rPr>
          <w:rFonts w:ascii="Arial" w:hAnsi="Arial" w:cs="Arial"/>
        </w:rPr>
        <w:t xml:space="preserve"> on the warranty for the success of its claim against the third respondent as </w:t>
      </w:r>
      <w:r w:rsidR="00C943FF" w:rsidRPr="008321CA">
        <w:rPr>
          <w:rFonts w:ascii="Arial" w:hAnsi="Arial" w:cs="Arial"/>
          <w:sz w:val="20"/>
          <w:szCs w:val="20"/>
        </w:rPr>
        <w:t>“</w:t>
      </w:r>
      <w:r w:rsidR="00C943FF" w:rsidRPr="008321CA">
        <w:rPr>
          <w:rFonts w:ascii="Arial" w:hAnsi="Arial" w:cs="Arial"/>
          <w:i/>
          <w:sz w:val="20"/>
          <w:szCs w:val="20"/>
        </w:rPr>
        <w:t>the warranty relied upon is applicable as</w:t>
      </w:r>
      <w:r w:rsidR="0045387C" w:rsidRPr="008321CA">
        <w:rPr>
          <w:rFonts w:ascii="Arial" w:hAnsi="Arial" w:cs="Arial"/>
          <w:i/>
          <w:sz w:val="20"/>
          <w:szCs w:val="20"/>
        </w:rPr>
        <w:t>: The warranty provides that the Third Respondent undertook to remedy free of charge, those established defects in material or faulty workmanship existing at the time of delivery or coming into existence during the warranty period;”</w:t>
      </w:r>
      <w:r w:rsidR="0045387C" w:rsidRPr="008321CA">
        <w:rPr>
          <w:rStyle w:val="FootnoteReference"/>
          <w:rFonts w:ascii="Arial" w:hAnsi="Arial" w:cs="Arial"/>
          <w:i/>
          <w:sz w:val="20"/>
          <w:szCs w:val="20"/>
        </w:rPr>
        <w:footnoteReference w:id="48"/>
      </w:r>
      <w:r w:rsidR="002B12B3" w:rsidRPr="0045387C">
        <w:rPr>
          <w:rFonts w:ascii="Arial" w:hAnsi="Arial" w:cs="Arial"/>
          <w:i/>
        </w:rPr>
        <w:t xml:space="preserve"> </w:t>
      </w:r>
      <w:r w:rsidR="00761A31">
        <w:rPr>
          <w:rFonts w:ascii="Arial" w:hAnsi="Arial" w:cs="Arial"/>
        </w:rPr>
        <w:t>The applicant conceded that the warranty lapsed on 2 August 2020.</w:t>
      </w:r>
    </w:p>
    <w:p w:rsidR="0096380A" w:rsidRDefault="008321CA" w:rsidP="008321CA">
      <w:pPr>
        <w:autoSpaceDE w:val="0"/>
        <w:autoSpaceDN w:val="0"/>
        <w:adjustRightInd w:val="0"/>
        <w:spacing w:line="360" w:lineRule="auto"/>
        <w:ind w:left="567" w:hanging="567"/>
        <w:jc w:val="both"/>
        <w:rPr>
          <w:rFonts w:ascii="Arial" w:hAnsi="Arial" w:cs="Arial"/>
          <w:color w:val="000000"/>
          <w:lang w:val="en-ZA" w:eastAsia="en-ZA"/>
        </w:rPr>
      </w:pPr>
      <w:r>
        <w:rPr>
          <w:rFonts w:ascii="Arial" w:hAnsi="Arial" w:cs="Arial"/>
        </w:rPr>
        <w:t>[30</w:t>
      </w:r>
      <w:r w:rsidR="00761A31">
        <w:rPr>
          <w:rFonts w:ascii="Arial" w:hAnsi="Arial" w:cs="Arial"/>
        </w:rPr>
        <w:t>] The authorities state that the courts have a wide discretion and that a lenient approach</w:t>
      </w:r>
      <w:r w:rsidR="00420929">
        <w:rPr>
          <w:rFonts w:ascii="Arial" w:hAnsi="Arial" w:cs="Arial"/>
        </w:rPr>
        <w:t xml:space="preserve"> is called for so that joinders are not refused save in the clearest of cases.</w:t>
      </w:r>
      <w:r w:rsidR="00657B1C">
        <w:rPr>
          <w:rFonts w:ascii="Arial" w:hAnsi="Arial" w:cs="Arial"/>
        </w:rPr>
        <w:t xml:space="preserve"> In</w:t>
      </w:r>
      <w:r w:rsidR="002B12B3" w:rsidRPr="0045387C">
        <w:rPr>
          <w:rFonts w:ascii="Arial" w:hAnsi="Arial" w:cs="Arial"/>
          <w:i/>
        </w:rPr>
        <w:t xml:space="preserve"> </w:t>
      </w:r>
      <w:r w:rsidR="00D37BE9" w:rsidRPr="00246208">
        <w:rPr>
          <w:rFonts w:ascii="Arial" w:hAnsi="Arial" w:cs="Arial"/>
          <w:i/>
          <w:color w:val="000000"/>
          <w:lang w:val="en-ZA" w:eastAsia="en-ZA"/>
        </w:rPr>
        <w:t>Padogelukkefonds</w:t>
      </w:r>
      <w:r w:rsidR="000342DF">
        <w:rPr>
          <w:rFonts w:ascii="Arial" w:hAnsi="Arial" w:cs="Arial"/>
          <w:i/>
          <w:color w:val="000000"/>
          <w:lang w:val="en-ZA" w:eastAsia="en-ZA"/>
        </w:rPr>
        <w:t>,</w:t>
      </w:r>
      <w:r w:rsidR="00246208">
        <w:rPr>
          <w:rStyle w:val="FootnoteReference"/>
          <w:rFonts w:ascii="Arial" w:hAnsi="Arial" w:cs="Arial"/>
          <w:i/>
          <w:color w:val="000000"/>
          <w:lang w:val="en-ZA" w:eastAsia="en-ZA"/>
        </w:rPr>
        <w:footnoteReference w:id="49"/>
      </w:r>
      <w:r w:rsidR="00265D74">
        <w:rPr>
          <w:rFonts w:ascii="Arial" w:hAnsi="Arial" w:cs="Arial"/>
          <w:color w:val="000000"/>
          <w:lang w:val="en-ZA" w:eastAsia="en-ZA"/>
        </w:rPr>
        <w:t xml:space="preserve"> </w:t>
      </w:r>
      <w:r w:rsidR="00930BCF">
        <w:rPr>
          <w:rFonts w:ascii="Arial" w:hAnsi="Arial" w:cs="Arial"/>
          <w:color w:val="000000"/>
          <w:lang w:val="en-ZA" w:eastAsia="en-ZA"/>
        </w:rPr>
        <w:t>the court granted the</w:t>
      </w:r>
      <w:r w:rsidR="00824D90">
        <w:rPr>
          <w:rFonts w:ascii="Arial" w:hAnsi="Arial" w:cs="Arial"/>
          <w:color w:val="000000"/>
          <w:lang w:val="en-ZA" w:eastAsia="en-ZA"/>
        </w:rPr>
        <w:t xml:space="preserve"> application because it</w:t>
      </w:r>
      <w:r w:rsidR="00930BCF">
        <w:rPr>
          <w:rFonts w:ascii="Arial" w:hAnsi="Arial" w:cs="Arial"/>
          <w:color w:val="000000"/>
          <w:lang w:val="en-ZA" w:eastAsia="en-ZA"/>
        </w:rPr>
        <w:t xml:space="preserve"> discovered an affidavit</w:t>
      </w:r>
      <w:r w:rsidR="00824D90">
        <w:rPr>
          <w:rFonts w:ascii="Arial" w:hAnsi="Arial" w:cs="Arial"/>
          <w:color w:val="000000"/>
          <w:lang w:val="en-ZA" w:eastAsia="en-ZA"/>
        </w:rPr>
        <w:t xml:space="preserve"> deposed to by the second respondent that was filed in the original action</w:t>
      </w:r>
      <w:r w:rsidR="00930BCF">
        <w:rPr>
          <w:rFonts w:ascii="Arial" w:hAnsi="Arial" w:cs="Arial"/>
          <w:color w:val="000000"/>
          <w:lang w:val="en-ZA" w:eastAsia="en-ZA"/>
        </w:rPr>
        <w:t xml:space="preserve"> during its preparation</w:t>
      </w:r>
      <w:r w:rsidR="00824D90">
        <w:rPr>
          <w:rFonts w:ascii="Arial" w:hAnsi="Arial" w:cs="Arial"/>
          <w:color w:val="000000"/>
          <w:lang w:val="en-ZA" w:eastAsia="en-ZA"/>
        </w:rPr>
        <w:t xml:space="preserve"> for the case. The court was of the opinion that the allegations contained therein might be relevant to the adjudication of the case as they had a bearing on the negligence of the second respondent. The</w:t>
      </w:r>
      <w:r w:rsidR="00595295">
        <w:rPr>
          <w:rFonts w:ascii="Arial" w:hAnsi="Arial" w:cs="Arial"/>
          <w:color w:val="000000"/>
          <w:lang w:val="en-ZA" w:eastAsia="en-ZA"/>
        </w:rPr>
        <w:t xml:space="preserve"> counsel for the</w:t>
      </w:r>
      <w:r w:rsidR="00824D90">
        <w:rPr>
          <w:rFonts w:ascii="Arial" w:hAnsi="Arial" w:cs="Arial"/>
          <w:color w:val="000000"/>
          <w:lang w:val="en-ZA" w:eastAsia="en-ZA"/>
        </w:rPr>
        <w:t xml:space="preserve"> second respondent</w:t>
      </w:r>
      <w:r w:rsidR="00595295">
        <w:rPr>
          <w:rFonts w:ascii="Arial" w:hAnsi="Arial" w:cs="Arial"/>
          <w:color w:val="000000"/>
          <w:lang w:val="en-ZA" w:eastAsia="en-ZA"/>
        </w:rPr>
        <w:t xml:space="preserve"> argued unsuccessfully that</w:t>
      </w:r>
      <w:r w:rsidR="00595295" w:rsidRPr="00595295">
        <w:rPr>
          <w:rFonts w:ascii="Verdana" w:eastAsiaTheme="minorHAnsi" w:hAnsi="Verdana" w:cs="Verdana"/>
          <w:color w:val="000000"/>
          <w:sz w:val="15"/>
          <w:szCs w:val="15"/>
          <w:lang w:val="en-ZA" w:eastAsia="en-US"/>
        </w:rPr>
        <w:t xml:space="preserve"> </w:t>
      </w:r>
      <w:r w:rsidR="00595295" w:rsidRPr="00595295">
        <w:rPr>
          <w:rFonts w:ascii="Arial" w:eastAsiaTheme="minorHAnsi" w:hAnsi="Arial" w:cs="Arial"/>
          <w:color w:val="000000"/>
          <w:lang w:val="en-ZA" w:eastAsia="en-US"/>
        </w:rPr>
        <w:t>it was trite that an applicant in motion</w:t>
      </w:r>
      <w:r>
        <w:rPr>
          <w:rFonts w:ascii="Arial" w:eastAsiaTheme="minorHAnsi" w:hAnsi="Arial" w:cs="Arial"/>
          <w:color w:val="000000"/>
          <w:lang w:val="en-ZA" w:eastAsia="en-US"/>
        </w:rPr>
        <w:t xml:space="preserve"> </w:t>
      </w:r>
      <w:r w:rsidR="00595295" w:rsidRPr="00595295">
        <w:rPr>
          <w:rFonts w:ascii="Arial" w:eastAsiaTheme="minorHAnsi" w:hAnsi="Arial" w:cs="Arial"/>
          <w:color w:val="000000"/>
          <w:lang w:val="en-ZA" w:eastAsia="en-US"/>
        </w:rPr>
        <w:t>proceedings was confined to the allegations in its founding papers and that the Court was accordingly barred from</w:t>
      </w:r>
      <w:r w:rsidR="00595295" w:rsidRPr="00595295">
        <w:rPr>
          <w:rFonts w:ascii="Arial" w:hAnsi="Arial" w:cs="Arial"/>
          <w:color w:val="000000"/>
          <w:lang w:val="en-ZA" w:eastAsia="en-ZA"/>
        </w:rPr>
        <w:t xml:space="preserve"> </w:t>
      </w:r>
      <w:r w:rsidR="00595295">
        <w:rPr>
          <w:rFonts w:ascii="Arial" w:hAnsi="Arial" w:cs="Arial"/>
          <w:color w:val="000000"/>
          <w:lang w:val="en-ZA" w:eastAsia="en-ZA"/>
        </w:rPr>
        <w:t>taking any notice of the allegations in the affidavit.</w:t>
      </w:r>
      <w:r w:rsidR="00595295" w:rsidRPr="00595295">
        <w:rPr>
          <w:rFonts w:ascii="Arial" w:hAnsi="Arial" w:cs="Arial"/>
          <w:color w:val="000000"/>
          <w:lang w:val="en-ZA" w:eastAsia="en-ZA"/>
        </w:rPr>
        <w:t xml:space="preserve"> </w:t>
      </w:r>
      <w:r w:rsidR="0096380A">
        <w:rPr>
          <w:rFonts w:ascii="Arial" w:hAnsi="Arial" w:cs="Arial"/>
          <w:color w:val="000000"/>
          <w:lang w:val="en-ZA" w:eastAsia="en-ZA"/>
        </w:rPr>
        <w:t>This case is distinguishable from the current one.</w:t>
      </w:r>
    </w:p>
    <w:p w:rsidR="0096380A" w:rsidRDefault="0096380A" w:rsidP="00595295">
      <w:pPr>
        <w:autoSpaceDE w:val="0"/>
        <w:autoSpaceDN w:val="0"/>
        <w:adjustRightInd w:val="0"/>
        <w:rPr>
          <w:rFonts w:ascii="Arial" w:hAnsi="Arial" w:cs="Arial"/>
          <w:color w:val="000000"/>
          <w:lang w:val="en-ZA" w:eastAsia="en-ZA"/>
        </w:rPr>
      </w:pPr>
    </w:p>
    <w:p w:rsidR="000215FA" w:rsidRDefault="008321CA" w:rsidP="008321CA">
      <w:pPr>
        <w:spacing w:line="360" w:lineRule="auto"/>
        <w:ind w:left="567" w:hanging="567"/>
        <w:jc w:val="both"/>
        <w:rPr>
          <w:rFonts w:ascii="Arial" w:hAnsi="Arial" w:cs="Arial"/>
          <w:color w:val="000000"/>
          <w:lang w:val="en-ZA" w:eastAsia="en-ZA"/>
        </w:rPr>
      </w:pPr>
      <w:r>
        <w:rPr>
          <w:rFonts w:ascii="Arial" w:hAnsi="Arial" w:cs="Arial"/>
          <w:color w:val="000000"/>
          <w:lang w:val="en-ZA" w:eastAsia="en-ZA"/>
        </w:rPr>
        <w:t>[31</w:t>
      </w:r>
      <w:r w:rsidR="0096380A">
        <w:rPr>
          <w:rFonts w:ascii="Arial" w:hAnsi="Arial" w:cs="Arial"/>
          <w:color w:val="000000"/>
          <w:lang w:val="en-ZA" w:eastAsia="en-ZA"/>
        </w:rPr>
        <w:t xml:space="preserve">] </w:t>
      </w:r>
      <w:r>
        <w:rPr>
          <w:rFonts w:ascii="Arial" w:hAnsi="Arial" w:cs="Arial"/>
          <w:color w:val="000000"/>
          <w:lang w:val="en-ZA" w:eastAsia="en-ZA"/>
        </w:rPr>
        <w:tab/>
      </w:r>
      <w:r w:rsidR="004E5A7E">
        <w:rPr>
          <w:rFonts w:ascii="Arial" w:hAnsi="Arial" w:cs="Arial"/>
          <w:color w:val="000000"/>
          <w:lang w:val="en-ZA" w:eastAsia="en-ZA"/>
        </w:rPr>
        <w:t xml:space="preserve">In </w:t>
      </w:r>
      <w:r w:rsidR="004E5A7E" w:rsidRPr="000215FA">
        <w:rPr>
          <w:rFonts w:ascii="Arial" w:hAnsi="Arial" w:cs="Arial"/>
          <w:i/>
          <w:color w:val="000000"/>
          <w:lang w:val="en-ZA" w:eastAsia="en-ZA"/>
        </w:rPr>
        <w:t>Pitsiladi</w:t>
      </w:r>
      <w:r w:rsidR="000215FA">
        <w:rPr>
          <w:rFonts w:ascii="Arial" w:hAnsi="Arial" w:cs="Arial"/>
          <w:i/>
          <w:color w:val="000000"/>
          <w:lang w:val="en-ZA" w:eastAsia="en-ZA"/>
        </w:rPr>
        <w:t xml:space="preserve">, </w:t>
      </w:r>
      <w:r w:rsidR="004E5A7E">
        <w:rPr>
          <w:rStyle w:val="FootnoteReference"/>
          <w:rFonts w:ascii="Arial" w:hAnsi="Arial" w:cs="Arial"/>
          <w:color w:val="000000"/>
          <w:lang w:val="en-ZA" w:eastAsia="en-ZA"/>
        </w:rPr>
        <w:footnoteReference w:id="50"/>
      </w:r>
      <w:r w:rsidR="000215FA">
        <w:rPr>
          <w:rFonts w:ascii="Arial" w:hAnsi="Arial" w:cs="Arial"/>
          <w:color w:val="000000"/>
          <w:lang w:val="en-ZA" w:eastAsia="en-ZA"/>
        </w:rPr>
        <w:t>it was stated that</w:t>
      </w:r>
      <w:r w:rsidR="000215FA" w:rsidRPr="000215FA">
        <w:rPr>
          <w:rFonts w:ascii="Arial" w:hAnsi="Arial" w:cs="Arial"/>
          <w:color w:val="000000"/>
          <w:lang w:val="en-ZA" w:eastAsia="en-ZA"/>
        </w:rPr>
        <w:t xml:space="preserve"> where the applicant's case against the third party is undoubtedly without any merit, the granting of leave to join the third party would </w:t>
      </w:r>
      <w:r w:rsidR="000215FA" w:rsidRPr="000215FA">
        <w:rPr>
          <w:rFonts w:ascii="Arial" w:hAnsi="Arial" w:cs="Arial"/>
          <w:color w:val="000000"/>
          <w:lang w:val="en-ZA" w:eastAsia="en-ZA"/>
        </w:rPr>
        <w:lastRenderedPageBreak/>
        <w:t xml:space="preserve">be pointless and be prejudicial to the plaintiff, whose claims would be unnecessarily delayed, and to the proposed third party, who would unnecessarily become a party to the proceedings and incur costs. </w:t>
      </w:r>
    </w:p>
    <w:p w:rsidR="001C5A54" w:rsidRDefault="001C5A54" w:rsidP="001C5A54">
      <w:pPr>
        <w:jc w:val="both"/>
        <w:rPr>
          <w:rFonts w:ascii="Arial" w:hAnsi="Arial" w:cs="Arial"/>
          <w:color w:val="000000"/>
          <w:lang w:val="en-ZA" w:eastAsia="en-ZA"/>
        </w:rPr>
      </w:pPr>
    </w:p>
    <w:p w:rsidR="001C5A54" w:rsidRPr="008321CA" w:rsidRDefault="001C5A54" w:rsidP="001C5A54">
      <w:pPr>
        <w:jc w:val="both"/>
        <w:rPr>
          <w:rFonts w:ascii="Arial" w:hAnsi="Arial" w:cs="Arial"/>
          <w:i/>
          <w:color w:val="000000"/>
          <w:u w:val="single"/>
          <w:lang w:val="en-ZA" w:eastAsia="en-ZA"/>
        </w:rPr>
      </w:pPr>
      <w:r w:rsidRPr="008321CA">
        <w:rPr>
          <w:rFonts w:ascii="Arial" w:hAnsi="Arial" w:cs="Arial"/>
          <w:i/>
          <w:color w:val="000000"/>
          <w:u w:val="single"/>
          <w:lang w:val="en-ZA" w:eastAsia="en-ZA"/>
        </w:rPr>
        <w:t>Conclusion</w:t>
      </w:r>
    </w:p>
    <w:p w:rsidR="001C5A54" w:rsidRDefault="001C5A54" w:rsidP="001C5A54">
      <w:pPr>
        <w:jc w:val="both"/>
        <w:rPr>
          <w:rFonts w:ascii="Arial" w:hAnsi="Arial" w:cs="Arial"/>
          <w:color w:val="000000"/>
          <w:lang w:val="en-ZA" w:eastAsia="en-ZA"/>
        </w:rPr>
      </w:pPr>
    </w:p>
    <w:p w:rsidR="001C5A54" w:rsidRDefault="008321CA" w:rsidP="008321CA">
      <w:pPr>
        <w:spacing w:line="360" w:lineRule="auto"/>
        <w:ind w:left="567" w:hanging="567"/>
        <w:jc w:val="both"/>
        <w:rPr>
          <w:rFonts w:ascii="Arial" w:hAnsi="Arial" w:cs="Arial"/>
          <w:color w:val="000000"/>
          <w:lang w:val="en-ZA" w:eastAsia="en-ZA"/>
        </w:rPr>
      </w:pPr>
      <w:r>
        <w:rPr>
          <w:rFonts w:ascii="Arial" w:hAnsi="Arial" w:cs="Arial"/>
          <w:color w:val="000000"/>
          <w:lang w:val="en-ZA" w:eastAsia="en-ZA"/>
        </w:rPr>
        <w:t>[32</w:t>
      </w:r>
      <w:r w:rsidR="001C5A54">
        <w:rPr>
          <w:rFonts w:ascii="Arial" w:hAnsi="Arial" w:cs="Arial"/>
          <w:color w:val="000000"/>
          <w:lang w:val="en-ZA" w:eastAsia="en-ZA"/>
        </w:rPr>
        <w:t xml:space="preserve">] </w:t>
      </w:r>
      <w:r>
        <w:rPr>
          <w:rFonts w:ascii="Arial" w:hAnsi="Arial" w:cs="Arial"/>
          <w:color w:val="000000"/>
          <w:lang w:val="en-ZA" w:eastAsia="en-ZA"/>
        </w:rPr>
        <w:tab/>
      </w:r>
      <w:r w:rsidR="0007780D">
        <w:rPr>
          <w:rFonts w:ascii="Arial" w:hAnsi="Arial" w:cs="Arial"/>
          <w:color w:val="000000"/>
          <w:lang w:val="en-ZA" w:eastAsia="en-ZA"/>
        </w:rPr>
        <w:t>I have come to the conclusion that the applicant has failed to furnish a satisfactory explanation for its failure to issue the notice before the close of pleadings and on a conspectus of all the evidence and</w:t>
      </w:r>
      <w:r w:rsidR="00DD1973">
        <w:rPr>
          <w:rFonts w:ascii="Arial" w:hAnsi="Arial" w:cs="Arial"/>
          <w:color w:val="000000"/>
          <w:lang w:val="en-ZA" w:eastAsia="en-ZA"/>
        </w:rPr>
        <w:t xml:space="preserve"> facts</w:t>
      </w:r>
      <w:r w:rsidR="00DD1973">
        <w:rPr>
          <w:rFonts w:ascii="Arial" w:hAnsi="Arial" w:cs="Arial"/>
        </w:rPr>
        <w:t xml:space="preserve"> that the applicant’s case is clearly without merit.</w:t>
      </w:r>
      <w:r w:rsidR="001C5A54">
        <w:rPr>
          <w:rFonts w:ascii="Arial" w:hAnsi="Arial" w:cs="Arial"/>
          <w:color w:val="000000"/>
          <w:lang w:val="en-ZA" w:eastAsia="en-ZA"/>
        </w:rPr>
        <w:t xml:space="preserve"> </w:t>
      </w:r>
      <w:r w:rsidR="00522B0C">
        <w:rPr>
          <w:rFonts w:ascii="Arial" w:hAnsi="Arial" w:cs="Arial"/>
          <w:color w:val="000000"/>
          <w:lang w:val="en-ZA" w:eastAsia="en-ZA"/>
        </w:rPr>
        <w:t>The application can therefore not succeed. In the result I make the following order:</w:t>
      </w:r>
    </w:p>
    <w:p w:rsidR="00522B0C" w:rsidRDefault="00522B0C" w:rsidP="001C5A54">
      <w:pPr>
        <w:jc w:val="both"/>
        <w:rPr>
          <w:rFonts w:ascii="Arial" w:hAnsi="Arial" w:cs="Arial"/>
          <w:color w:val="000000"/>
          <w:lang w:val="en-ZA" w:eastAsia="en-ZA"/>
        </w:rPr>
      </w:pPr>
    </w:p>
    <w:p w:rsidR="00522B0C" w:rsidRPr="008321CA" w:rsidRDefault="00522B0C" w:rsidP="001C5A54">
      <w:pPr>
        <w:jc w:val="both"/>
        <w:rPr>
          <w:rFonts w:ascii="Verdana" w:hAnsi="Verdana"/>
          <w:b/>
          <w:color w:val="000000"/>
          <w:sz w:val="20"/>
          <w:szCs w:val="20"/>
          <w:u w:val="single"/>
          <w:lang w:val="en-ZA" w:eastAsia="en-ZA"/>
        </w:rPr>
      </w:pPr>
      <w:r w:rsidRPr="008321CA">
        <w:rPr>
          <w:rFonts w:ascii="Arial" w:hAnsi="Arial" w:cs="Arial"/>
          <w:b/>
          <w:color w:val="000000"/>
          <w:u w:val="single"/>
          <w:lang w:val="en-ZA" w:eastAsia="en-ZA"/>
        </w:rPr>
        <w:t>Order</w:t>
      </w:r>
      <w:r w:rsidR="008321CA">
        <w:rPr>
          <w:rFonts w:ascii="Arial" w:hAnsi="Arial" w:cs="Arial"/>
          <w:b/>
          <w:color w:val="000000"/>
          <w:u w:val="single"/>
          <w:lang w:val="en-ZA" w:eastAsia="en-ZA"/>
        </w:rPr>
        <w:t>:</w:t>
      </w:r>
    </w:p>
    <w:p w:rsidR="0096380A" w:rsidRDefault="0096380A" w:rsidP="00595295">
      <w:pPr>
        <w:autoSpaceDE w:val="0"/>
        <w:autoSpaceDN w:val="0"/>
        <w:adjustRightInd w:val="0"/>
        <w:rPr>
          <w:rFonts w:ascii="Arial" w:hAnsi="Arial" w:cs="Arial"/>
          <w:color w:val="000000"/>
          <w:lang w:val="en-ZA" w:eastAsia="en-ZA"/>
        </w:rPr>
      </w:pPr>
    </w:p>
    <w:p w:rsidR="00522B0C" w:rsidRPr="000215FA" w:rsidRDefault="00522B0C" w:rsidP="00595295">
      <w:pPr>
        <w:autoSpaceDE w:val="0"/>
        <w:autoSpaceDN w:val="0"/>
        <w:adjustRightInd w:val="0"/>
        <w:rPr>
          <w:rFonts w:ascii="Arial" w:hAnsi="Arial" w:cs="Arial"/>
          <w:color w:val="000000"/>
          <w:lang w:val="en-ZA" w:eastAsia="en-ZA"/>
        </w:rPr>
      </w:pPr>
      <w:r>
        <w:rPr>
          <w:rFonts w:ascii="Arial" w:hAnsi="Arial" w:cs="Arial"/>
          <w:color w:val="000000"/>
          <w:lang w:val="en-ZA" w:eastAsia="en-ZA"/>
        </w:rPr>
        <w:t>The application is dismissed with costs.</w:t>
      </w:r>
    </w:p>
    <w:p w:rsidR="00595295" w:rsidRDefault="00595295" w:rsidP="00595295">
      <w:pPr>
        <w:autoSpaceDE w:val="0"/>
        <w:autoSpaceDN w:val="0"/>
        <w:adjustRightInd w:val="0"/>
        <w:rPr>
          <w:rFonts w:ascii="Arial" w:hAnsi="Arial" w:cs="Arial"/>
          <w:color w:val="000000"/>
          <w:lang w:val="en-ZA" w:eastAsia="en-ZA"/>
        </w:rPr>
      </w:pPr>
    </w:p>
    <w:p w:rsidR="00595295" w:rsidRDefault="00595295" w:rsidP="00595295">
      <w:pPr>
        <w:autoSpaceDE w:val="0"/>
        <w:autoSpaceDN w:val="0"/>
        <w:adjustRightInd w:val="0"/>
        <w:rPr>
          <w:rFonts w:ascii="Arial" w:hAnsi="Arial" w:cs="Arial"/>
          <w:color w:val="000000"/>
          <w:lang w:val="en-ZA" w:eastAsia="en-ZA"/>
        </w:rPr>
      </w:pPr>
    </w:p>
    <w:p w:rsidR="00595295" w:rsidRDefault="00595295" w:rsidP="00595295">
      <w:pPr>
        <w:autoSpaceDE w:val="0"/>
        <w:autoSpaceDN w:val="0"/>
        <w:adjustRightInd w:val="0"/>
        <w:rPr>
          <w:rFonts w:ascii="Arial" w:hAnsi="Arial" w:cs="Arial"/>
          <w:color w:val="000000"/>
          <w:lang w:val="en-ZA" w:eastAsia="en-ZA"/>
        </w:rPr>
      </w:pPr>
    </w:p>
    <w:p w:rsidR="00595295" w:rsidRPr="00595295" w:rsidRDefault="00595295" w:rsidP="00595295">
      <w:pPr>
        <w:autoSpaceDE w:val="0"/>
        <w:autoSpaceDN w:val="0"/>
        <w:adjustRightInd w:val="0"/>
        <w:rPr>
          <w:rFonts w:ascii="Arial" w:eastAsiaTheme="minorHAnsi" w:hAnsi="Arial" w:cs="Arial"/>
          <w:color w:val="000000"/>
          <w:lang w:val="en-ZA" w:eastAsia="en-US"/>
        </w:rPr>
      </w:pPr>
    </w:p>
    <w:p w:rsidR="005835FE" w:rsidRDefault="002D3664" w:rsidP="0035047C">
      <w:pPr>
        <w:pStyle w:val="ListParagraph"/>
        <w:ind w:left="5761"/>
        <w:jc w:val="right"/>
        <w:rPr>
          <w:rFonts w:ascii="Arial" w:hAnsi="Arial" w:cs="Arial"/>
          <w:sz w:val="28"/>
          <w:szCs w:val="28"/>
        </w:rPr>
      </w:pPr>
      <w:r>
        <w:rPr>
          <w:rFonts w:ascii="Arial" w:hAnsi="Arial" w:cs="Arial"/>
          <w:sz w:val="28"/>
          <w:szCs w:val="28"/>
        </w:rPr>
        <w:t>___</w:t>
      </w:r>
      <w:r w:rsidR="005835FE">
        <w:rPr>
          <w:rFonts w:ascii="Arial" w:hAnsi="Arial" w:cs="Arial"/>
          <w:sz w:val="28"/>
          <w:szCs w:val="28"/>
        </w:rPr>
        <w:t>______________</w:t>
      </w:r>
    </w:p>
    <w:p w:rsidR="005835FE" w:rsidRPr="002B369A" w:rsidRDefault="00BA2163" w:rsidP="0035047C">
      <w:pPr>
        <w:jc w:val="right"/>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B369A" w:rsidRPr="002B369A">
        <w:rPr>
          <w:rFonts w:ascii="Arial" w:hAnsi="Arial" w:cs="Arial"/>
          <w:b/>
          <w:bCs/>
        </w:rPr>
        <w:t>MHLAMBI</w:t>
      </w:r>
      <w:r w:rsidR="0035047C">
        <w:rPr>
          <w:rFonts w:ascii="Arial" w:hAnsi="Arial" w:cs="Arial"/>
          <w:b/>
          <w:bCs/>
        </w:rPr>
        <w:t>,</w:t>
      </w:r>
      <w:r w:rsidR="002B369A" w:rsidRPr="002B369A">
        <w:rPr>
          <w:rFonts w:ascii="Arial" w:hAnsi="Arial" w:cs="Arial"/>
          <w:b/>
          <w:bCs/>
        </w:rPr>
        <w:t xml:space="preserve"> J</w:t>
      </w:r>
    </w:p>
    <w:p w:rsidR="005835FE" w:rsidRPr="00C20DEE" w:rsidRDefault="005835FE" w:rsidP="0035047C">
      <w:pPr>
        <w:jc w:val="right"/>
        <w:rPr>
          <w:rFonts w:ascii="Arial" w:hAnsi="Arial" w:cs="Arial"/>
        </w:rPr>
      </w:pPr>
    </w:p>
    <w:p w:rsidR="005835FE" w:rsidRPr="00C20DEE" w:rsidRDefault="005835FE" w:rsidP="005B271F">
      <w:pPr>
        <w:spacing w:line="360" w:lineRule="auto"/>
        <w:jc w:val="both"/>
        <w:rPr>
          <w:rFonts w:ascii="Arial" w:hAnsi="Arial" w:cs="Arial"/>
        </w:rPr>
      </w:pPr>
    </w:p>
    <w:p w:rsidR="00E5549C" w:rsidRPr="00C20DEE" w:rsidRDefault="005960F0" w:rsidP="00E5549C">
      <w:pPr>
        <w:spacing w:line="360" w:lineRule="auto"/>
        <w:ind w:left="851" w:hanging="851"/>
        <w:rPr>
          <w:rFonts w:ascii="Arial" w:hAnsi="Arial" w:cs="Arial"/>
          <w:color w:val="000000" w:themeColor="text1"/>
        </w:rPr>
      </w:pPr>
      <w:r w:rsidRPr="00C20DEE">
        <w:rPr>
          <w:rFonts w:ascii="Arial" w:hAnsi="Arial" w:cs="Arial"/>
          <w:color w:val="000000" w:themeColor="text1"/>
        </w:rPr>
        <w:t xml:space="preserve">On behalf of </w:t>
      </w:r>
      <w:r w:rsidR="00BA7A5E">
        <w:rPr>
          <w:rFonts w:ascii="Arial" w:hAnsi="Arial" w:cs="Arial"/>
          <w:color w:val="000000" w:themeColor="text1"/>
        </w:rPr>
        <w:t xml:space="preserve">the </w:t>
      </w:r>
      <w:r w:rsidR="00D82B1F">
        <w:rPr>
          <w:rFonts w:ascii="Arial" w:hAnsi="Arial" w:cs="Arial"/>
          <w:color w:val="000000" w:themeColor="text1"/>
        </w:rPr>
        <w:t>plaintiff</w:t>
      </w:r>
      <w:r w:rsidRPr="00C20DEE">
        <w:rPr>
          <w:rFonts w:ascii="Arial" w:hAnsi="Arial" w:cs="Arial"/>
          <w:color w:val="000000" w:themeColor="text1"/>
        </w:rPr>
        <w:t>:</w:t>
      </w:r>
      <w:r w:rsidR="00F24BE3" w:rsidRPr="00C20DEE">
        <w:rPr>
          <w:rFonts w:ascii="Arial" w:hAnsi="Arial" w:cs="Arial"/>
          <w:color w:val="000000" w:themeColor="text1"/>
        </w:rPr>
        <w:t xml:space="preserve">  </w:t>
      </w:r>
      <w:r w:rsidR="00CA6CD3">
        <w:rPr>
          <w:rFonts w:ascii="Arial" w:hAnsi="Arial" w:cs="Arial"/>
          <w:color w:val="000000" w:themeColor="text1"/>
        </w:rPr>
        <w:tab/>
      </w:r>
      <w:r w:rsidR="00FA3679">
        <w:rPr>
          <w:rFonts w:ascii="Arial" w:hAnsi="Arial" w:cs="Arial"/>
          <w:color w:val="000000" w:themeColor="text1"/>
        </w:rPr>
        <w:t xml:space="preserve"> Ms M Thessner </w:t>
      </w:r>
    </w:p>
    <w:p w:rsidR="00E5549C" w:rsidRDefault="005960F0" w:rsidP="00FA3679">
      <w:pPr>
        <w:tabs>
          <w:tab w:val="left" w:pos="2977"/>
        </w:tabs>
        <w:ind w:left="851" w:hanging="851"/>
        <w:rPr>
          <w:rFonts w:ascii="Arial" w:hAnsi="Arial" w:cs="Arial"/>
          <w:color w:val="000000" w:themeColor="text1"/>
        </w:rPr>
      </w:pPr>
      <w:r w:rsidRPr="00C20DEE">
        <w:rPr>
          <w:rFonts w:ascii="Arial" w:hAnsi="Arial" w:cs="Arial"/>
          <w:color w:val="000000" w:themeColor="text1"/>
        </w:rPr>
        <w:t>Instructed by:</w:t>
      </w:r>
      <w:r w:rsidR="00F24BE3" w:rsidRPr="00C20DEE">
        <w:rPr>
          <w:rFonts w:ascii="Arial" w:hAnsi="Arial" w:cs="Arial"/>
          <w:color w:val="000000" w:themeColor="text1"/>
        </w:rPr>
        <w:t xml:space="preserve">                </w:t>
      </w:r>
      <w:r w:rsidR="003F410D" w:rsidRPr="00C20DEE">
        <w:rPr>
          <w:rFonts w:ascii="Arial" w:hAnsi="Arial" w:cs="Arial"/>
          <w:color w:val="000000" w:themeColor="text1"/>
        </w:rPr>
        <w:t xml:space="preserve">  </w:t>
      </w:r>
      <w:r w:rsidR="005B56EE">
        <w:rPr>
          <w:rFonts w:ascii="Arial" w:hAnsi="Arial" w:cs="Arial"/>
          <w:color w:val="000000" w:themeColor="text1"/>
        </w:rPr>
        <w:t xml:space="preserve"> </w:t>
      </w:r>
      <w:r w:rsidR="009E06E4">
        <w:rPr>
          <w:rFonts w:ascii="Arial" w:hAnsi="Arial" w:cs="Arial"/>
          <w:color w:val="000000" w:themeColor="text1"/>
        </w:rPr>
        <w:t xml:space="preserve">   </w:t>
      </w:r>
      <w:r w:rsidR="00FA3679">
        <w:rPr>
          <w:rFonts w:ascii="Arial" w:hAnsi="Arial" w:cs="Arial"/>
          <w:color w:val="000000" w:themeColor="text1"/>
        </w:rPr>
        <w:t xml:space="preserve"> Rossouws Incorporated</w:t>
      </w:r>
    </w:p>
    <w:p w:rsidR="005960F0" w:rsidRPr="00C20DEE" w:rsidRDefault="00E5549C" w:rsidP="00FA3679">
      <w:pPr>
        <w:tabs>
          <w:tab w:val="left" w:pos="2977"/>
        </w:tabs>
        <w:ind w:left="851" w:hanging="851"/>
        <w:rPr>
          <w:rFonts w:ascii="Arial" w:hAnsi="Arial" w:cs="Arial"/>
          <w:color w:val="000000" w:themeColor="text1"/>
        </w:rPr>
      </w:pPr>
      <w:r>
        <w:rPr>
          <w:rFonts w:ascii="Arial" w:hAnsi="Arial" w:cs="Arial"/>
          <w:color w:val="000000" w:themeColor="text1"/>
        </w:rPr>
        <w:tab/>
        <w:t xml:space="preserve">                           </w:t>
      </w:r>
      <w:r w:rsidR="005B56EE">
        <w:rPr>
          <w:rFonts w:ascii="Arial" w:hAnsi="Arial" w:cs="Arial"/>
          <w:color w:val="000000" w:themeColor="text1"/>
        </w:rPr>
        <w:t xml:space="preserve"> </w:t>
      </w:r>
      <w:r w:rsidR="00FA3679">
        <w:rPr>
          <w:rFonts w:ascii="Arial" w:hAnsi="Arial" w:cs="Arial"/>
          <w:color w:val="000000" w:themeColor="text1"/>
        </w:rPr>
        <w:t xml:space="preserve">   119 President Reitz Avenue</w:t>
      </w:r>
    </w:p>
    <w:p w:rsidR="00C20DEE" w:rsidRPr="00C20DEE" w:rsidRDefault="00C20DEE" w:rsidP="00FA3679">
      <w:pPr>
        <w:tabs>
          <w:tab w:val="left" w:pos="2977"/>
        </w:tabs>
        <w:ind w:left="851" w:hanging="851"/>
        <w:rPr>
          <w:rFonts w:ascii="Arial" w:hAnsi="Arial" w:cs="Arial"/>
          <w:color w:val="000000" w:themeColor="text1"/>
        </w:rPr>
      </w:pPr>
      <w:r>
        <w:rPr>
          <w:rFonts w:ascii="Arial" w:hAnsi="Arial" w:cs="Arial"/>
          <w:color w:val="000000" w:themeColor="text1"/>
        </w:rPr>
        <w:tab/>
        <w:t xml:space="preserve">                           </w:t>
      </w:r>
      <w:r w:rsidR="009E06E4">
        <w:rPr>
          <w:rFonts w:ascii="Arial" w:hAnsi="Arial" w:cs="Arial"/>
          <w:color w:val="000000" w:themeColor="text1"/>
        </w:rPr>
        <w:t xml:space="preserve">   </w:t>
      </w:r>
      <w:r w:rsidR="00FA3679">
        <w:rPr>
          <w:rFonts w:ascii="Arial" w:hAnsi="Arial" w:cs="Arial"/>
          <w:color w:val="000000" w:themeColor="text1"/>
        </w:rPr>
        <w:t xml:space="preserve">  Westdene </w:t>
      </w:r>
      <w:r w:rsidRPr="00C20DEE">
        <w:rPr>
          <w:rFonts w:ascii="Arial" w:hAnsi="Arial" w:cs="Arial"/>
          <w:color w:val="000000" w:themeColor="text1"/>
        </w:rPr>
        <w:t xml:space="preserve"> </w:t>
      </w:r>
    </w:p>
    <w:p w:rsidR="00E5481E" w:rsidRPr="00C20DEE" w:rsidRDefault="00F24BE3" w:rsidP="00FA3679">
      <w:pPr>
        <w:tabs>
          <w:tab w:val="left" w:pos="2880"/>
        </w:tabs>
        <w:ind w:left="851" w:hanging="851"/>
        <w:rPr>
          <w:rFonts w:ascii="Arial" w:hAnsi="Arial" w:cs="Arial"/>
          <w:color w:val="000000" w:themeColor="text1"/>
        </w:rPr>
      </w:pPr>
      <w:r w:rsidRPr="00C20DEE">
        <w:rPr>
          <w:rFonts w:ascii="Arial" w:hAnsi="Arial" w:cs="Arial"/>
          <w:color w:val="000000" w:themeColor="text1"/>
        </w:rPr>
        <w:t xml:space="preserve">                                       </w:t>
      </w:r>
      <w:r w:rsidR="003F410D" w:rsidRPr="00C20DEE">
        <w:rPr>
          <w:rFonts w:ascii="Arial" w:hAnsi="Arial" w:cs="Arial"/>
          <w:color w:val="000000" w:themeColor="text1"/>
        </w:rPr>
        <w:t xml:space="preserve"> </w:t>
      </w:r>
      <w:r w:rsidR="005B56EE">
        <w:rPr>
          <w:rFonts w:ascii="Arial" w:hAnsi="Arial" w:cs="Arial"/>
          <w:color w:val="000000" w:themeColor="text1"/>
        </w:rPr>
        <w:t xml:space="preserve"> </w:t>
      </w:r>
      <w:r w:rsidR="009E06E4">
        <w:rPr>
          <w:rFonts w:ascii="Arial" w:hAnsi="Arial" w:cs="Arial"/>
          <w:color w:val="000000" w:themeColor="text1"/>
        </w:rPr>
        <w:tab/>
      </w:r>
      <w:r w:rsidR="00FA3679">
        <w:rPr>
          <w:rFonts w:ascii="Arial" w:hAnsi="Arial" w:cs="Arial"/>
          <w:color w:val="000000" w:themeColor="text1"/>
        </w:rPr>
        <w:t xml:space="preserve"> </w:t>
      </w:r>
      <w:r w:rsidRPr="00C20DEE">
        <w:rPr>
          <w:rFonts w:ascii="Arial" w:hAnsi="Arial" w:cs="Arial"/>
          <w:color w:val="000000" w:themeColor="text1"/>
        </w:rPr>
        <w:t>Bloemfontein</w:t>
      </w:r>
    </w:p>
    <w:p w:rsidR="00E5481E" w:rsidRPr="00C20DEE" w:rsidRDefault="00E5481E" w:rsidP="007C2356">
      <w:pPr>
        <w:ind w:left="851" w:hanging="851"/>
        <w:rPr>
          <w:rFonts w:ascii="Arial" w:hAnsi="Arial" w:cs="Arial"/>
          <w:color w:val="000000" w:themeColor="text1"/>
        </w:rPr>
      </w:pPr>
    </w:p>
    <w:p w:rsidR="00E5481E" w:rsidRPr="00C20DEE" w:rsidRDefault="00E5481E" w:rsidP="007C2356">
      <w:pPr>
        <w:ind w:left="851" w:hanging="851"/>
        <w:rPr>
          <w:rFonts w:ascii="Arial" w:hAnsi="Arial" w:cs="Arial"/>
          <w:color w:val="000000" w:themeColor="text1"/>
        </w:rPr>
      </w:pPr>
    </w:p>
    <w:p w:rsidR="005960F0" w:rsidRPr="00C20DEE" w:rsidRDefault="005960F0" w:rsidP="002F71C5">
      <w:pPr>
        <w:spacing w:line="360" w:lineRule="auto"/>
        <w:ind w:left="851" w:hanging="851"/>
        <w:rPr>
          <w:rFonts w:ascii="Arial" w:hAnsi="Arial" w:cs="Arial"/>
          <w:color w:val="000000" w:themeColor="text1"/>
        </w:rPr>
      </w:pPr>
      <w:r w:rsidRPr="00C20DEE">
        <w:rPr>
          <w:rFonts w:ascii="Arial" w:hAnsi="Arial" w:cs="Arial"/>
          <w:color w:val="000000" w:themeColor="text1"/>
        </w:rPr>
        <w:t xml:space="preserve">On behalf of </w:t>
      </w:r>
      <w:r w:rsidR="00BA7A5E">
        <w:rPr>
          <w:rFonts w:ascii="Arial" w:hAnsi="Arial" w:cs="Arial"/>
          <w:color w:val="000000" w:themeColor="text1"/>
        </w:rPr>
        <w:t xml:space="preserve">the </w:t>
      </w:r>
      <w:r w:rsidRPr="00C20DEE">
        <w:rPr>
          <w:rFonts w:ascii="Arial" w:hAnsi="Arial" w:cs="Arial"/>
          <w:color w:val="000000" w:themeColor="text1"/>
        </w:rPr>
        <w:t>respondent:</w:t>
      </w:r>
      <w:r w:rsidR="00F24BE3" w:rsidRPr="00C20DEE">
        <w:rPr>
          <w:rFonts w:ascii="Arial" w:hAnsi="Arial" w:cs="Arial"/>
          <w:color w:val="000000" w:themeColor="text1"/>
        </w:rPr>
        <w:t xml:space="preserve"> </w:t>
      </w:r>
      <w:r w:rsidR="003F410D" w:rsidRPr="00C20DEE">
        <w:rPr>
          <w:rFonts w:ascii="Arial" w:hAnsi="Arial" w:cs="Arial"/>
          <w:color w:val="000000" w:themeColor="text1"/>
        </w:rPr>
        <w:t xml:space="preserve"> </w:t>
      </w:r>
      <w:r w:rsidR="00F24BE3" w:rsidRPr="00C20DEE">
        <w:rPr>
          <w:rFonts w:ascii="Arial" w:hAnsi="Arial" w:cs="Arial"/>
          <w:color w:val="000000" w:themeColor="text1"/>
        </w:rPr>
        <w:t>Adv</w:t>
      </w:r>
      <w:r w:rsidR="00CA6CD3">
        <w:rPr>
          <w:rFonts w:ascii="Arial" w:hAnsi="Arial" w:cs="Arial"/>
          <w:color w:val="000000" w:themeColor="text1"/>
        </w:rPr>
        <w:t xml:space="preserve">. </w:t>
      </w:r>
      <w:r w:rsidR="00FA3679">
        <w:rPr>
          <w:rFonts w:ascii="Arial" w:hAnsi="Arial" w:cs="Arial"/>
          <w:color w:val="000000" w:themeColor="text1"/>
        </w:rPr>
        <w:t>M Scheepers</w:t>
      </w:r>
      <w:r w:rsidR="00F24BE3" w:rsidRPr="00C20DEE">
        <w:rPr>
          <w:rFonts w:ascii="Arial" w:hAnsi="Arial" w:cs="Arial"/>
          <w:color w:val="000000" w:themeColor="text1"/>
        </w:rPr>
        <w:t xml:space="preserve"> </w:t>
      </w:r>
      <w:r w:rsidR="005B56EE">
        <w:rPr>
          <w:rFonts w:ascii="Arial" w:hAnsi="Arial" w:cs="Arial"/>
          <w:color w:val="000000" w:themeColor="text1"/>
        </w:rPr>
        <w:t xml:space="preserve"> </w:t>
      </w:r>
    </w:p>
    <w:p w:rsidR="00D82B1F" w:rsidRPr="00C20DEE" w:rsidRDefault="005960F0" w:rsidP="00FA3679">
      <w:pPr>
        <w:rPr>
          <w:rFonts w:ascii="Arial" w:hAnsi="Arial" w:cs="Arial"/>
          <w:color w:val="000000" w:themeColor="text1"/>
        </w:rPr>
      </w:pPr>
      <w:r w:rsidRPr="00C20DEE">
        <w:rPr>
          <w:rFonts w:ascii="Arial" w:hAnsi="Arial" w:cs="Arial"/>
          <w:color w:val="000000" w:themeColor="text1"/>
        </w:rPr>
        <w:t>Instructed by:</w:t>
      </w:r>
      <w:r w:rsidRPr="00C20DEE">
        <w:rPr>
          <w:rFonts w:ascii="Arial" w:hAnsi="Arial" w:cs="Arial"/>
          <w:color w:val="000000" w:themeColor="text1"/>
        </w:rPr>
        <w:tab/>
      </w:r>
      <w:r w:rsidRPr="00C20DEE">
        <w:rPr>
          <w:rFonts w:ascii="Arial" w:hAnsi="Arial" w:cs="Arial"/>
          <w:color w:val="000000" w:themeColor="text1"/>
        </w:rPr>
        <w:tab/>
      </w:r>
      <w:r w:rsidR="006751B4">
        <w:rPr>
          <w:rFonts w:ascii="Arial" w:hAnsi="Arial" w:cs="Arial"/>
          <w:color w:val="000000" w:themeColor="text1"/>
        </w:rPr>
        <w:t xml:space="preserve">    </w:t>
      </w:r>
      <w:r w:rsidR="00FA3679">
        <w:rPr>
          <w:rFonts w:ascii="Arial" w:hAnsi="Arial" w:cs="Arial"/>
          <w:color w:val="000000" w:themeColor="text1"/>
        </w:rPr>
        <w:t xml:space="preserve">Symington &amp; De Kok Attorneys </w:t>
      </w:r>
    </w:p>
    <w:p w:rsidR="00D82B1F" w:rsidRDefault="00F24BE3" w:rsidP="00FA3679">
      <w:pPr>
        <w:rPr>
          <w:rFonts w:ascii="Arial" w:hAnsi="Arial" w:cs="Arial"/>
          <w:color w:val="000000" w:themeColor="text1"/>
        </w:rPr>
      </w:pPr>
      <w:r w:rsidRPr="00C20DEE">
        <w:rPr>
          <w:rFonts w:ascii="Arial" w:hAnsi="Arial" w:cs="Arial"/>
          <w:color w:val="000000" w:themeColor="text1"/>
        </w:rPr>
        <w:t xml:space="preserve">                                           </w:t>
      </w:r>
      <w:r w:rsidR="006751B4">
        <w:rPr>
          <w:rFonts w:ascii="Arial" w:hAnsi="Arial" w:cs="Arial"/>
          <w:color w:val="000000" w:themeColor="text1"/>
        </w:rPr>
        <w:t xml:space="preserve">    </w:t>
      </w:r>
      <w:r w:rsidR="00D82B1F">
        <w:rPr>
          <w:rFonts w:ascii="Arial" w:hAnsi="Arial" w:cs="Arial"/>
          <w:color w:val="000000" w:themeColor="text1"/>
        </w:rPr>
        <w:t>1</w:t>
      </w:r>
      <w:r w:rsidR="00FA3679">
        <w:rPr>
          <w:rFonts w:ascii="Arial" w:hAnsi="Arial" w:cs="Arial"/>
          <w:color w:val="000000" w:themeColor="text1"/>
        </w:rPr>
        <w:t xml:space="preserve">69B Nelson Mandela Drive </w:t>
      </w:r>
    </w:p>
    <w:p w:rsidR="00D82B1F" w:rsidRDefault="00D82B1F" w:rsidP="00FA3679">
      <w:pPr>
        <w:rPr>
          <w:rFonts w:ascii="Arial" w:hAnsi="Arial" w:cs="Arial"/>
          <w:color w:val="000000" w:themeColor="text1"/>
        </w:rPr>
      </w:pPr>
      <w:r>
        <w:rPr>
          <w:rFonts w:ascii="Arial" w:hAnsi="Arial" w:cs="Arial"/>
          <w:color w:val="000000" w:themeColor="text1"/>
        </w:rPr>
        <w:t xml:space="preserve">                                            </w:t>
      </w:r>
      <w:r w:rsidR="006751B4">
        <w:rPr>
          <w:rFonts w:ascii="Arial" w:hAnsi="Arial" w:cs="Arial"/>
          <w:color w:val="000000" w:themeColor="text1"/>
        </w:rPr>
        <w:t xml:space="preserve">   </w:t>
      </w:r>
      <w:r>
        <w:rPr>
          <w:rFonts w:ascii="Arial" w:hAnsi="Arial" w:cs="Arial"/>
          <w:color w:val="000000" w:themeColor="text1"/>
        </w:rPr>
        <w:t>Westdene</w:t>
      </w:r>
    </w:p>
    <w:p w:rsidR="005960F0" w:rsidRPr="00C20DEE" w:rsidRDefault="00D82B1F" w:rsidP="00FA3679">
      <w:pPr>
        <w:rPr>
          <w:rFonts w:ascii="Arial" w:hAnsi="Arial" w:cs="Arial"/>
          <w:color w:val="000000" w:themeColor="text1"/>
        </w:rPr>
      </w:pPr>
      <w:r>
        <w:rPr>
          <w:rFonts w:ascii="Arial" w:hAnsi="Arial" w:cs="Arial"/>
          <w:color w:val="000000" w:themeColor="text1"/>
        </w:rPr>
        <w:t xml:space="preserve">                                            </w:t>
      </w:r>
      <w:r w:rsidR="006751B4">
        <w:rPr>
          <w:rFonts w:ascii="Arial" w:hAnsi="Arial" w:cs="Arial"/>
          <w:color w:val="000000" w:themeColor="text1"/>
        </w:rPr>
        <w:t xml:space="preserve">   </w:t>
      </w:r>
      <w:r w:rsidR="00F24BE3" w:rsidRPr="00C20DEE">
        <w:rPr>
          <w:rFonts w:ascii="Arial" w:hAnsi="Arial" w:cs="Arial"/>
          <w:color w:val="000000" w:themeColor="text1"/>
        </w:rPr>
        <w:t>BLOEMFONTEIN</w:t>
      </w:r>
      <w:r w:rsidR="005960F0" w:rsidRPr="00C20DEE">
        <w:rPr>
          <w:rFonts w:ascii="Arial" w:hAnsi="Arial" w:cs="Arial"/>
          <w:color w:val="000000" w:themeColor="text1"/>
        </w:rPr>
        <w:tab/>
      </w:r>
      <w:r w:rsidR="005960F0" w:rsidRPr="00C20DEE">
        <w:rPr>
          <w:rFonts w:ascii="Arial" w:hAnsi="Arial" w:cs="Arial"/>
          <w:color w:val="000000" w:themeColor="text1"/>
        </w:rPr>
        <w:tab/>
      </w:r>
      <w:r w:rsidR="005960F0" w:rsidRPr="00C20DEE">
        <w:rPr>
          <w:rFonts w:ascii="Arial" w:hAnsi="Arial" w:cs="Arial"/>
          <w:color w:val="000000" w:themeColor="text1"/>
        </w:rPr>
        <w:tab/>
      </w:r>
    </w:p>
    <w:p w:rsidR="005960F0" w:rsidRDefault="005960F0" w:rsidP="003F2617">
      <w:pPr>
        <w:spacing w:line="360" w:lineRule="auto"/>
        <w:ind w:left="851" w:hanging="851"/>
        <w:jc w:val="both"/>
        <w:rPr>
          <w:rFonts w:ascii="Arial" w:hAnsi="Arial" w:cs="Arial"/>
          <w:sz w:val="28"/>
          <w:szCs w:val="28"/>
        </w:rPr>
      </w:pPr>
    </w:p>
    <w:p w:rsidR="00677E1C" w:rsidRDefault="00677E1C" w:rsidP="003F2617">
      <w:pPr>
        <w:spacing w:line="360" w:lineRule="auto"/>
        <w:ind w:left="851" w:hanging="851"/>
        <w:jc w:val="both"/>
        <w:rPr>
          <w:rFonts w:ascii="Arial" w:hAnsi="Arial" w:cs="Arial"/>
          <w:sz w:val="28"/>
          <w:szCs w:val="28"/>
        </w:rPr>
      </w:pPr>
    </w:p>
    <w:p w:rsidR="00677E1C" w:rsidRDefault="00677E1C" w:rsidP="003F2617">
      <w:pPr>
        <w:spacing w:line="360" w:lineRule="auto"/>
        <w:ind w:left="851" w:hanging="851"/>
        <w:jc w:val="both"/>
        <w:rPr>
          <w:rFonts w:ascii="Arial" w:hAnsi="Arial" w:cs="Arial"/>
          <w:sz w:val="28"/>
          <w:szCs w:val="28"/>
        </w:rPr>
      </w:pPr>
    </w:p>
    <w:p w:rsidR="00677E1C" w:rsidRDefault="00677E1C" w:rsidP="003F2617">
      <w:pPr>
        <w:spacing w:line="360" w:lineRule="auto"/>
        <w:ind w:left="851" w:hanging="851"/>
        <w:jc w:val="both"/>
        <w:rPr>
          <w:rFonts w:ascii="Arial" w:hAnsi="Arial" w:cs="Arial"/>
          <w:sz w:val="28"/>
          <w:szCs w:val="28"/>
        </w:rPr>
      </w:pPr>
    </w:p>
    <w:p w:rsidR="00677E1C" w:rsidRDefault="00677E1C" w:rsidP="003F2617">
      <w:pPr>
        <w:spacing w:line="360" w:lineRule="auto"/>
        <w:ind w:left="851" w:hanging="851"/>
        <w:jc w:val="both"/>
        <w:rPr>
          <w:rFonts w:ascii="Arial" w:hAnsi="Arial" w:cs="Arial"/>
          <w:sz w:val="28"/>
          <w:szCs w:val="28"/>
        </w:rPr>
      </w:pPr>
    </w:p>
    <w:p w:rsidR="00677E1C" w:rsidRDefault="00677E1C" w:rsidP="003F2617">
      <w:pPr>
        <w:spacing w:line="360" w:lineRule="auto"/>
        <w:ind w:left="851" w:hanging="851"/>
        <w:jc w:val="both"/>
        <w:rPr>
          <w:rFonts w:ascii="Arial" w:hAnsi="Arial" w:cs="Arial"/>
          <w:sz w:val="28"/>
          <w:szCs w:val="28"/>
        </w:rPr>
      </w:pPr>
    </w:p>
    <w:p w:rsidR="00677E1C" w:rsidRDefault="00677E1C" w:rsidP="003F2617">
      <w:pPr>
        <w:spacing w:line="360" w:lineRule="auto"/>
        <w:ind w:left="851" w:hanging="851"/>
        <w:jc w:val="both"/>
        <w:rPr>
          <w:rFonts w:ascii="Arial" w:hAnsi="Arial" w:cs="Arial"/>
          <w:sz w:val="28"/>
          <w:szCs w:val="28"/>
        </w:rPr>
      </w:pPr>
    </w:p>
    <w:p w:rsidR="00677E1C" w:rsidRDefault="00677E1C" w:rsidP="003F2617">
      <w:pPr>
        <w:spacing w:line="360" w:lineRule="auto"/>
        <w:ind w:left="851" w:hanging="851"/>
        <w:jc w:val="both"/>
        <w:rPr>
          <w:rFonts w:ascii="Arial" w:hAnsi="Arial" w:cs="Arial"/>
          <w:sz w:val="28"/>
          <w:szCs w:val="28"/>
        </w:rPr>
      </w:pPr>
    </w:p>
    <w:p w:rsidR="00677E1C" w:rsidRPr="00AE0369" w:rsidRDefault="00677E1C" w:rsidP="008321CA">
      <w:pPr>
        <w:spacing w:line="360" w:lineRule="auto"/>
        <w:jc w:val="both"/>
        <w:rPr>
          <w:rFonts w:ascii="Arial" w:hAnsi="Arial" w:cs="Arial"/>
          <w:sz w:val="28"/>
          <w:szCs w:val="28"/>
        </w:rPr>
      </w:pPr>
    </w:p>
    <w:sectPr w:rsidR="00677E1C" w:rsidRPr="00AE0369" w:rsidSect="00CA6CD3">
      <w:headerReference w:type="default" r:id="rId11"/>
      <w:pgSz w:w="11906" w:h="16838"/>
      <w:pgMar w:top="1440" w:right="1440" w:bottom="164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CFF" w:rsidRDefault="00D76CFF" w:rsidP="00DA5395">
      <w:r>
        <w:separator/>
      </w:r>
    </w:p>
  </w:endnote>
  <w:endnote w:type="continuationSeparator" w:id="0">
    <w:p w:rsidR="00D76CFF" w:rsidRDefault="00D76CFF" w:rsidP="00DA5395">
      <w:r>
        <w:continuationSeparator/>
      </w:r>
    </w:p>
  </w:endnote>
  <w:endnote w:type="continuationNotice" w:id="1">
    <w:p w:rsidR="00D76CFF" w:rsidRDefault="00D76C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CFF" w:rsidRDefault="00D76CFF" w:rsidP="00DA5395">
      <w:r>
        <w:separator/>
      </w:r>
    </w:p>
  </w:footnote>
  <w:footnote w:type="continuationSeparator" w:id="0">
    <w:p w:rsidR="00D76CFF" w:rsidRDefault="00D76CFF" w:rsidP="00DA5395">
      <w:r>
        <w:continuationSeparator/>
      </w:r>
    </w:p>
  </w:footnote>
  <w:footnote w:type="continuationNotice" w:id="1">
    <w:p w:rsidR="00D76CFF" w:rsidRDefault="00D76CFF"/>
  </w:footnote>
  <w:footnote w:id="2">
    <w:p w:rsidR="00761A31" w:rsidRPr="00A02615" w:rsidRDefault="00761A31">
      <w:pPr>
        <w:pStyle w:val="FootnoteText"/>
        <w:rPr>
          <w:lang w:val="en-ZA"/>
        </w:rPr>
      </w:pPr>
      <w:r>
        <w:rPr>
          <w:rStyle w:val="FootnoteReference"/>
        </w:rPr>
        <w:footnoteRef/>
      </w:r>
      <w:r>
        <w:t xml:space="preserve"> </w:t>
      </w:r>
      <w:r>
        <w:rPr>
          <w:lang w:val="en-ZA"/>
        </w:rPr>
        <w:t xml:space="preserve">Page 187 of the indexed papers. </w:t>
      </w:r>
    </w:p>
  </w:footnote>
  <w:footnote w:id="3">
    <w:p w:rsidR="00761A31" w:rsidRPr="003439E2" w:rsidRDefault="00761A31">
      <w:pPr>
        <w:pStyle w:val="FootnoteText"/>
        <w:rPr>
          <w:lang w:val="en-ZA"/>
        </w:rPr>
      </w:pPr>
      <w:r>
        <w:rPr>
          <w:rStyle w:val="FootnoteReference"/>
        </w:rPr>
        <w:footnoteRef/>
      </w:r>
      <w:r>
        <w:t xml:space="preserve"> </w:t>
      </w:r>
      <w:r>
        <w:rPr>
          <w:lang w:val="en-ZA"/>
        </w:rPr>
        <w:t>Page 188 of the indexed papers.</w:t>
      </w:r>
    </w:p>
  </w:footnote>
  <w:footnote w:id="4">
    <w:p w:rsidR="00761A31" w:rsidRPr="00BD78D6" w:rsidRDefault="00761A31">
      <w:pPr>
        <w:pStyle w:val="FootnoteText"/>
        <w:rPr>
          <w:lang w:val="en-ZA"/>
        </w:rPr>
      </w:pPr>
      <w:r>
        <w:rPr>
          <w:rStyle w:val="FootnoteReference"/>
        </w:rPr>
        <w:footnoteRef/>
      </w:r>
      <w:r>
        <w:t xml:space="preserve"> </w:t>
      </w:r>
      <w:r>
        <w:rPr>
          <w:lang w:val="en-ZA"/>
        </w:rPr>
        <w:t>Page 190 of the indexed papers.</w:t>
      </w:r>
    </w:p>
  </w:footnote>
  <w:footnote w:id="5">
    <w:p w:rsidR="00761A31" w:rsidRPr="00E1790E" w:rsidRDefault="00761A31">
      <w:pPr>
        <w:pStyle w:val="FootnoteText"/>
        <w:rPr>
          <w:lang w:val="en-ZA"/>
        </w:rPr>
      </w:pPr>
      <w:r>
        <w:rPr>
          <w:rStyle w:val="FootnoteReference"/>
        </w:rPr>
        <w:footnoteRef/>
      </w:r>
      <w:r>
        <w:t xml:space="preserve"> </w:t>
      </w:r>
      <w:r>
        <w:rPr>
          <w:lang w:val="en-ZA"/>
        </w:rPr>
        <w:t>Page 184 of the indexed papers.</w:t>
      </w:r>
    </w:p>
  </w:footnote>
  <w:footnote w:id="6">
    <w:p w:rsidR="00761A31" w:rsidRPr="00F937D1" w:rsidRDefault="00761A31">
      <w:pPr>
        <w:pStyle w:val="FootnoteText"/>
        <w:rPr>
          <w:lang w:val="en-ZA"/>
        </w:rPr>
      </w:pPr>
      <w:r>
        <w:rPr>
          <w:rStyle w:val="FootnoteReference"/>
        </w:rPr>
        <w:footnoteRef/>
      </w:r>
      <w:r>
        <w:t xml:space="preserve"> </w:t>
      </w:r>
      <w:r>
        <w:rPr>
          <w:lang w:val="en-ZA"/>
        </w:rPr>
        <w:t>The financier.</w:t>
      </w:r>
    </w:p>
  </w:footnote>
  <w:footnote w:id="7">
    <w:p w:rsidR="00761A31" w:rsidRPr="00984558" w:rsidRDefault="00761A31">
      <w:pPr>
        <w:pStyle w:val="FootnoteText"/>
        <w:rPr>
          <w:lang w:val="en-ZA"/>
        </w:rPr>
      </w:pPr>
      <w:r>
        <w:rPr>
          <w:rStyle w:val="FootnoteReference"/>
        </w:rPr>
        <w:footnoteRef/>
      </w:r>
      <w:r>
        <w:t xml:space="preserve"> </w:t>
      </w:r>
      <w:r>
        <w:rPr>
          <w:lang w:val="en-ZA"/>
        </w:rPr>
        <w:t>Paragraph 6 of the Particulars of Claim.</w:t>
      </w:r>
    </w:p>
  </w:footnote>
  <w:footnote w:id="8">
    <w:p w:rsidR="00761A31" w:rsidRPr="0052107D" w:rsidRDefault="00761A31">
      <w:pPr>
        <w:pStyle w:val="FootnoteText"/>
        <w:rPr>
          <w:lang w:val="en-ZA"/>
        </w:rPr>
      </w:pPr>
      <w:r>
        <w:rPr>
          <w:rStyle w:val="FootnoteReference"/>
        </w:rPr>
        <w:footnoteRef/>
      </w:r>
      <w:r>
        <w:t xml:space="preserve"> </w:t>
      </w:r>
      <w:r>
        <w:rPr>
          <w:lang w:val="en-ZA"/>
        </w:rPr>
        <w:t>Paragraph 4.2 of the defendant’s Plea.</w:t>
      </w:r>
    </w:p>
  </w:footnote>
  <w:footnote w:id="9">
    <w:p w:rsidR="00761A31" w:rsidRPr="00A366CC" w:rsidRDefault="00761A31">
      <w:pPr>
        <w:pStyle w:val="FootnoteText"/>
        <w:rPr>
          <w:lang w:val="en-ZA"/>
        </w:rPr>
      </w:pPr>
      <w:r>
        <w:rPr>
          <w:rStyle w:val="FootnoteReference"/>
        </w:rPr>
        <w:footnoteRef/>
      </w:r>
      <w:r>
        <w:t xml:space="preserve"> </w:t>
      </w:r>
      <w:r>
        <w:rPr>
          <w:lang w:val="en-ZA"/>
        </w:rPr>
        <w:t>Paragraph 4.3 of the defendant’s Plea.</w:t>
      </w:r>
    </w:p>
  </w:footnote>
  <w:footnote w:id="10">
    <w:p w:rsidR="00761A31" w:rsidRPr="00166E4D" w:rsidRDefault="00761A31">
      <w:pPr>
        <w:pStyle w:val="FootnoteText"/>
        <w:rPr>
          <w:lang w:val="en-ZA"/>
        </w:rPr>
      </w:pPr>
      <w:r>
        <w:rPr>
          <w:rStyle w:val="FootnoteReference"/>
        </w:rPr>
        <w:footnoteRef/>
      </w:r>
      <w:r>
        <w:t xml:space="preserve"> </w:t>
      </w:r>
      <w:r>
        <w:rPr>
          <w:lang w:val="en-ZA"/>
        </w:rPr>
        <w:t>Paragraph 6.6 of the Founding Affidavit.</w:t>
      </w:r>
    </w:p>
  </w:footnote>
  <w:footnote w:id="11">
    <w:p w:rsidR="00761A31" w:rsidRPr="000C77C4" w:rsidRDefault="00761A31">
      <w:pPr>
        <w:pStyle w:val="FootnoteText"/>
        <w:rPr>
          <w:lang w:val="en-ZA"/>
        </w:rPr>
      </w:pPr>
      <w:r>
        <w:rPr>
          <w:rStyle w:val="FootnoteReference"/>
        </w:rPr>
        <w:footnoteRef/>
      </w:r>
      <w:r>
        <w:t xml:space="preserve"> </w:t>
      </w:r>
      <w:r>
        <w:rPr>
          <w:lang w:val="en-ZA"/>
        </w:rPr>
        <w:t>Paragraph 6.7 of the Founding Affidavit.</w:t>
      </w:r>
    </w:p>
  </w:footnote>
  <w:footnote w:id="12">
    <w:p w:rsidR="00761A31" w:rsidRPr="005F460B" w:rsidRDefault="00761A31">
      <w:pPr>
        <w:pStyle w:val="FootnoteText"/>
        <w:rPr>
          <w:lang w:val="en-ZA"/>
        </w:rPr>
      </w:pPr>
      <w:r>
        <w:rPr>
          <w:rStyle w:val="FootnoteReference"/>
        </w:rPr>
        <w:footnoteRef/>
      </w:r>
      <w:r>
        <w:t xml:space="preserve"> </w:t>
      </w:r>
      <w:r>
        <w:rPr>
          <w:lang w:val="en-ZA"/>
        </w:rPr>
        <w:t>The applicant’s Heads of Argument.</w:t>
      </w:r>
    </w:p>
  </w:footnote>
  <w:footnote w:id="13">
    <w:p w:rsidR="00761A31" w:rsidRPr="009A36E8" w:rsidRDefault="00761A31">
      <w:pPr>
        <w:pStyle w:val="FootnoteText"/>
        <w:rPr>
          <w:lang w:val="en-ZA"/>
        </w:rPr>
      </w:pPr>
      <w:r>
        <w:rPr>
          <w:rStyle w:val="FootnoteReference"/>
        </w:rPr>
        <w:footnoteRef/>
      </w:r>
      <w:r>
        <w:t xml:space="preserve"> </w:t>
      </w:r>
      <w:r>
        <w:rPr>
          <w:lang w:val="en-ZA"/>
        </w:rPr>
        <w:t>!984 (2) SA 414 (D) at 424 B-C.</w:t>
      </w:r>
    </w:p>
  </w:footnote>
  <w:footnote w:id="14">
    <w:p w:rsidR="00761A31" w:rsidRPr="008B3CEB" w:rsidRDefault="00761A31">
      <w:pPr>
        <w:pStyle w:val="FootnoteText"/>
        <w:rPr>
          <w:lang w:val="en-ZA"/>
        </w:rPr>
      </w:pPr>
      <w:r>
        <w:rPr>
          <w:rStyle w:val="FootnoteReference"/>
        </w:rPr>
        <w:footnoteRef/>
      </w:r>
      <w:r>
        <w:t xml:space="preserve"> </w:t>
      </w:r>
      <w:r>
        <w:rPr>
          <w:lang w:val="en-ZA"/>
        </w:rPr>
        <w:t>2002 (4) SA 886 (W)</w:t>
      </w:r>
    </w:p>
  </w:footnote>
  <w:footnote w:id="15">
    <w:p w:rsidR="00761A31" w:rsidRPr="006810FF" w:rsidRDefault="00761A31">
      <w:pPr>
        <w:pStyle w:val="FootnoteText"/>
        <w:rPr>
          <w:lang w:val="en-ZA"/>
        </w:rPr>
      </w:pPr>
      <w:r>
        <w:rPr>
          <w:rStyle w:val="FootnoteReference"/>
        </w:rPr>
        <w:footnoteRef/>
      </w:r>
      <w:r>
        <w:t xml:space="preserve"> </w:t>
      </w:r>
      <w:r>
        <w:rPr>
          <w:lang w:val="en-ZA"/>
        </w:rPr>
        <w:t>1999(2) SA 876 (O).</w:t>
      </w:r>
    </w:p>
  </w:footnote>
  <w:footnote w:id="16">
    <w:p w:rsidR="00761A31" w:rsidRPr="00180C48" w:rsidRDefault="00761A31">
      <w:pPr>
        <w:pStyle w:val="FootnoteText"/>
        <w:rPr>
          <w:lang w:val="en-ZA"/>
        </w:rPr>
      </w:pPr>
      <w:r>
        <w:rPr>
          <w:rStyle w:val="FootnoteReference"/>
        </w:rPr>
        <w:footnoteRef/>
      </w:r>
      <w:r>
        <w:t xml:space="preserve"> </w:t>
      </w:r>
      <w:r>
        <w:rPr>
          <w:lang w:val="en-ZA"/>
        </w:rPr>
        <w:t>2007 (4) SA 478 SE para 12.</w:t>
      </w:r>
    </w:p>
  </w:footnote>
  <w:footnote w:id="17">
    <w:p w:rsidR="00761A31" w:rsidRPr="00180C48" w:rsidRDefault="00761A31">
      <w:pPr>
        <w:pStyle w:val="FootnoteText"/>
        <w:rPr>
          <w:lang w:val="en-ZA"/>
        </w:rPr>
      </w:pPr>
      <w:r>
        <w:rPr>
          <w:rStyle w:val="FootnoteReference"/>
        </w:rPr>
        <w:footnoteRef/>
      </w:r>
      <w:r>
        <w:t xml:space="preserve"> </w:t>
      </w:r>
      <w:r>
        <w:rPr>
          <w:lang w:val="en-ZA"/>
        </w:rPr>
        <w:t>Supra.</w:t>
      </w:r>
    </w:p>
  </w:footnote>
  <w:footnote w:id="18">
    <w:p w:rsidR="00761A31" w:rsidRPr="00D577DA" w:rsidRDefault="00761A31">
      <w:pPr>
        <w:pStyle w:val="FootnoteText"/>
        <w:rPr>
          <w:lang w:val="en-ZA"/>
        </w:rPr>
      </w:pPr>
      <w:r>
        <w:rPr>
          <w:rStyle w:val="FootnoteReference"/>
        </w:rPr>
        <w:footnoteRef/>
      </w:r>
      <w:r>
        <w:t xml:space="preserve"> </w:t>
      </w:r>
      <w:r w:rsidRPr="008A56AB">
        <w:rPr>
          <w:lang w:val="en-ZA"/>
        </w:rPr>
        <w:t>Paragraph</w:t>
      </w:r>
      <w:r w:rsidR="008A56AB">
        <w:rPr>
          <w:lang w:val="en-ZA"/>
        </w:rPr>
        <w:t xml:space="preserve"> 13.</w:t>
      </w:r>
    </w:p>
  </w:footnote>
  <w:footnote w:id="19">
    <w:p w:rsidR="00761A31" w:rsidRPr="00343D48" w:rsidRDefault="00761A31">
      <w:pPr>
        <w:pStyle w:val="FootnoteText"/>
        <w:rPr>
          <w:lang w:val="en-ZA"/>
        </w:rPr>
      </w:pPr>
      <w:r>
        <w:rPr>
          <w:rStyle w:val="FootnoteReference"/>
        </w:rPr>
        <w:footnoteRef/>
      </w:r>
      <w:r>
        <w:t xml:space="preserve"> </w:t>
      </w:r>
      <w:r>
        <w:rPr>
          <w:lang w:val="en-ZA"/>
        </w:rPr>
        <w:t>Pitsiladi, supra.</w:t>
      </w:r>
    </w:p>
  </w:footnote>
  <w:footnote w:id="20">
    <w:p w:rsidR="00761A31" w:rsidRPr="008F4B86" w:rsidRDefault="00761A31">
      <w:pPr>
        <w:pStyle w:val="FootnoteText"/>
        <w:rPr>
          <w:lang w:val="en-US"/>
        </w:rPr>
      </w:pPr>
      <w:r>
        <w:rPr>
          <w:rStyle w:val="FootnoteReference"/>
        </w:rPr>
        <w:footnoteRef/>
      </w:r>
      <w:r>
        <w:t xml:space="preserve"> </w:t>
      </w:r>
      <w:r>
        <w:rPr>
          <w:lang w:val="en-US"/>
        </w:rPr>
        <w:t>Paragraph 4.40 of the Applicant’s Heads of Argument.</w:t>
      </w:r>
    </w:p>
  </w:footnote>
  <w:footnote w:id="21">
    <w:p w:rsidR="00761A31" w:rsidRPr="006A2F67" w:rsidRDefault="00761A31">
      <w:pPr>
        <w:pStyle w:val="FootnoteText"/>
        <w:rPr>
          <w:lang w:val="en-ZA"/>
        </w:rPr>
      </w:pPr>
      <w:r>
        <w:rPr>
          <w:rStyle w:val="FootnoteReference"/>
        </w:rPr>
        <w:footnoteRef/>
      </w:r>
      <w:r>
        <w:t xml:space="preserve"> </w:t>
      </w:r>
      <w:r>
        <w:rPr>
          <w:lang w:val="en-ZA"/>
        </w:rPr>
        <w:t>Paragraph 4.41 of the Applicant’s Heads of argument.</w:t>
      </w:r>
    </w:p>
  </w:footnote>
  <w:footnote w:id="22">
    <w:p w:rsidR="00761A31" w:rsidRPr="006C3CD6" w:rsidRDefault="00761A31">
      <w:pPr>
        <w:pStyle w:val="FootnoteText"/>
        <w:rPr>
          <w:lang w:val="en-ZA"/>
        </w:rPr>
      </w:pPr>
      <w:r>
        <w:rPr>
          <w:rStyle w:val="FootnoteReference"/>
        </w:rPr>
        <w:footnoteRef/>
      </w:r>
      <w:r>
        <w:t xml:space="preserve"> </w:t>
      </w:r>
      <w:r>
        <w:rPr>
          <w:lang w:val="en-ZA"/>
        </w:rPr>
        <w:t>Paragraphs 26 and 27 of the Third Respondent’s Heads of argument.</w:t>
      </w:r>
    </w:p>
  </w:footnote>
  <w:footnote w:id="23">
    <w:p w:rsidR="00761A31" w:rsidRPr="004A4986" w:rsidRDefault="00761A31">
      <w:pPr>
        <w:pStyle w:val="FootnoteText"/>
        <w:rPr>
          <w:lang w:val="en-ZA"/>
        </w:rPr>
      </w:pPr>
      <w:r>
        <w:rPr>
          <w:rStyle w:val="FootnoteReference"/>
        </w:rPr>
        <w:footnoteRef/>
      </w:r>
      <w:r>
        <w:t xml:space="preserve"> </w:t>
      </w:r>
      <w:r>
        <w:rPr>
          <w:lang w:val="en-ZA"/>
        </w:rPr>
        <w:t>Annexure “AA1” Pages 380-382 of the indexed papers.</w:t>
      </w:r>
    </w:p>
  </w:footnote>
  <w:footnote w:id="24">
    <w:p w:rsidR="00761A31" w:rsidRPr="00FC4FC2" w:rsidRDefault="00761A31">
      <w:pPr>
        <w:pStyle w:val="FootnoteText"/>
        <w:rPr>
          <w:lang w:val="en-US"/>
        </w:rPr>
      </w:pPr>
      <w:r>
        <w:rPr>
          <w:rStyle w:val="FootnoteReference"/>
        </w:rPr>
        <w:footnoteRef/>
      </w:r>
      <w:r>
        <w:t xml:space="preserve"> </w:t>
      </w:r>
      <w:r>
        <w:rPr>
          <w:lang w:val="en-US"/>
        </w:rPr>
        <w:t>Paragraph 71.</w:t>
      </w:r>
    </w:p>
  </w:footnote>
  <w:footnote w:id="25">
    <w:p w:rsidR="00761A31" w:rsidRPr="002846A1" w:rsidRDefault="00761A31">
      <w:pPr>
        <w:pStyle w:val="FootnoteText"/>
        <w:rPr>
          <w:lang w:val="en-US"/>
        </w:rPr>
      </w:pPr>
      <w:r>
        <w:rPr>
          <w:rStyle w:val="FootnoteReference"/>
        </w:rPr>
        <w:footnoteRef/>
      </w:r>
      <w:r>
        <w:t xml:space="preserve"> </w:t>
      </w:r>
      <w:r>
        <w:rPr>
          <w:lang w:val="en-US"/>
        </w:rPr>
        <w:t>Paragraph 70 of the Answering Affidavit.</w:t>
      </w:r>
    </w:p>
  </w:footnote>
  <w:footnote w:id="26">
    <w:p w:rsidR="00761A31" w:rsidRPr="008F09E1" w:rsidRDefault="00761A31">
      <w:pPr>
        <w:pStyle w:val="FootnoteText"/>
        <w:rPr>
          <w:lang w:val="en-US"/>
        </w:rPr>
      </w:pPr>
      <w:r>
        <w:rPr>
          <w:rStyle w:val="FootnoteReference"/>
        </w:rPr>
        <w:footnoteRef/>
      </w:r>
      <w:r>
        <w:t xml:space="preserve"> </w:t>
      </w:r>
      <w:r>
        <w:rPr>
          <w:lang w:val="en-US"/>
        </w:rPr>
        <w:t>Paragraph 73 of the Answering Affidavit.</w:t>
      </w:r>
    </w:p>
  </w:footnote>
  <w:footnote w:id="27">
    <w:p w:rsidR="00761A31" w:rsidRPr="006A4704" w:rsidRDefault="00761A31">
      <w:pPr>
        <w:pStyle w:val="FootnoteText"/>
        <w:rPr>
          <w:lang w:val="en-ZA"/>
        </w:rPr>
      </w:pPr>
      <w:r>
        <w:rPr>
          <w:rStyle w:val="FootnoteReference"/>
        </w:rPr>
        <w:footnoteRef/>
      </w:r>
      <w:r>
        <w:t xml:space="preserve"> </w:t>
      </w:r>
      <w:r>
        <w:rPr>
          <w:lang w:val="en-ZA"/>
        </w:rPr>
        <w:t>Paragraph 74 of the Answering Affidavit.</w:t>
      </w:r>
    </w:p>
  </w:footnote>
  <w:footnote w:id="28">
    <w:p w:rsidR="00761A31" w:rsidRPr="00A927AC" w:rsidRDefault="00761A31">
      <w:pPr>
        <w:pStyle w:val="FootnoteText"/>
        <w:rPr>
          <w:lang w:val="en-ZA"/>
        </w:rPr>
      </w:pPr>
      <w:r>
        <w:rPr>
          <w:rStyle w:val="FootnoteReference"/>
        </w:rPr>
        <w:footnoteRef/>
      </w:r>
      <w:r>
        <w:t xml:space="preserve"> </w:t>
      </w:r>
      <w:r>
        <w:rPr>
          <w:lang w:val="en-ZA"/>
        </w:rPr>
        <w:t>2010 (4) SA 499 (SCA).</w:t>
      </w:r>
    </w:p>
  </w:footnote>
  <w:footnote w:id="29">
    <w:p w:rsidR="00761A31" w:rsidRPr="004662FA" w:rsidRDefault="00761A31">
      <w:pPr>
        <w:pStyle w:val="FootnoteText"/>
        <w:rPr>
          <w:lang w:val="en-ZA"/>
        </w:rPr>
      </w:pPr>
      <w:r>
        <w:rPr>
          <w:rStyle w:val="FootnoteReference"/>
        </w:rPr>
        <w:footnoteRef/>
      </w:r>
      <w:r>
        <w:t xml:space="preserve"> </w:t>
      </w:r>
      <w:r>
        <w:rPr>
          <w:lang w:val="en-ZA"/>
        </w:rPr>
        <w:t>Paragraph 24 of the judgment.</w:t>
      </w:r>
    </w:p>
  </w:footnote>
  <w:footnote w:id="30">
    <w:p w:rsidR="00761A31" w:rsidRPr="00124212" w:rsidRDefault="00761A31">
      <w:pPr>
        <w:pStyle w:val="FootnoteText"/>
        <w:rPr>
          <w:lang w:val="en-ZA"/>
        </w:rPr>
      </w:pPr>
      <w:r>
        <w:rPr>
          <w:rStyle w:val="FootnoteReference"/>
        </w:rPr>
        <w:footnoteRef/>
      </w:r>
      <w:r>
        <w:t xml:space="preserve"> </w:t>
      </w:r>
      <w:r>
        <w:rPr>
          <w:lang w:val="en-ZA"/>
        </w:rPr>
        <w:t>Paragraphs 5.4-5.7 of the Founding affidavit.</w:t>
      </w:r>
    </w:p>
  </w:footnote>
  <w:footnote w:id="31">
    <w:p w:rsidR="00761A31" w:rsidRPr="007A507F" w:rsidRDefault="00761A31">
      <w:pPr>
        <w:pStyle w:val="FootnoteText"/>
        <w:rPr>
          <w:lang w:val="en-ZA"/>
        </w:rPr>
      </w:pPr>
      <w:r>
        <w:rPr>
          <w:rStyle w:val="FootnoteReference"/>
        </w:rPr>
        <w:footnoteRef/>
      </w:r>
      <w:r>
        <w:t xml:space="preserve"> </w:t>
      </w:r>
      <w:r>
        <w:rPr>
          <w:lang w:val="en-ZA"/>
        </w:rPr>
        <w:t>Paragraphs 2.4-2.6 of the Founding Affidavit.</w:t>
      </w:r>
    </w:p>
  </w:footnote>
  <w:footnote w:id="32">
    <w:p w:rsidR="00761A31" w:rsidRPr="00DE22A9" w:rsidRDefault="00761A31">
      <w:pPr>
        <w:pStyle w:val="FootnoteText"/>
        <w:rPr>
          <w:lang w:val="en-ZA"/>
        </w:rPr>
      </w:pPr>
      <w:r>
        <w:rPr>
          <w:rStyle w:val="FootnoteReference"/>
        </w:rPr>
        <w:footnoteRef/>
      </w:r>
      <w:r>
        <w:t xml:space="preserve"> </w:t>
      </w:r>
      <w:r>
        <w:rPr>
          <w:lang w:val="en-ZA"/>
        </w:rPr>
        <w:t>Paragraphs 2.9-2.11 of the Replying Affidavit.</w:t>
      </w:r>
    </w:p>
  </w:footnote>
  <w:footnote w:id="33">
    <w:p w:rsidR="00761A31" w:rsidRPr="00201E0B" w:rsidRDefault="00761A31">
      <w:pPr>
        <w:pStyle w:val="FootnoteText"/>
        <w:rPr>
          <w:lang w:val="en-ZA"/>
        </w:rPr>
      </w:pPr>
      <w:r>
        <w:rPr>
          <w:rStyle w:val="FootnoteReference"/>
        </w:rPr>
        <w:footnoteRef/>
      </w:r>
      <w:r>
        <w:t xml:space="preserve"> </w:t>
      </w:r>
      <w:r>
        <w:rPr>
          <w:lang w:val="en-ZA"/>
        </w:rPr>
        <w:t>Paragraph 4.8 of the Replying Affidavit.</w:t>
      </w:r>
    </w:p>
  </w:footnote>
  <w:footnote w:id="34">
    <w:p w:rsidR="00761A31" w:rsidRPr="008D7ECD" w:rsidRDefault="00761A31">
      <w:pPr>
        <w:pStyle w:val="FootnoteText"/>
        <w:rPr>
          <w:lang w:val="en-ZA"/>
        </w:rPr>
      </w:pPr>
      <w:r>
        <w:rPr>
          <w:rStyle w:val="FootnoteReference"/>
        </w:rPr>
        <w:footnoteRef/>
      </w:r>
      <w:r>
        <w:t xml:space="preserve"> </w:t>
      </w:r>
      <w:r>
        <w:rPr>
          <w:lang w:val="en-ZA"/>
        </w:rPr>
        <w:t>2016(4) SA 121 (CC)</w:t>
      </w:r>
    </w:p>
  </w:footnote>
  <w:footnote w:id="35">
    <w:p w:rsidR="00761A31" w:rsidRPr="00677E1C" w:rsidRDefault="00761A31">
      <w:pPr>
        <w:pStyle w:val="FootnoteText"/>
        <w:rPr>
          <w:lang w:val="en-ZA"/>
        </w:rPr>
      </w:pPr>
      <w:r>
        <w:rPr>
          <w:rStyle w:val="FootnoteReference"/>
        </w:rPr>
        <w:footnoteRef/>
      </w:r>
      <w:r>
        <w:t xml:space="preserve"> </w:t>
      </w:r>
      <w:r>
        <w:rPr>
          <w:lang w:val="en-ZA"/>
        </w:rPr>
        <w:t xml:space="preserve">Paragraph 2.2.3 of the Replying Affidavit. </w:t>
      </w:r>
    </w:p>
  </w:footnote>
  <w:footnote w:id="36">
    <w:p w:rsidR="00761A31" w:rsidRPr="00EF3BAF" w:rsidRDefault="00761A31">
      <w:pPr>
        <w:pStyle w:val="FootnoteText"/>
        <w:rPr>
          <w:lang w:val="en-ZA"/>
        </w:rPr>
      </w:pPr>
      <w:r>
        <w:rPr>
          <w:rStyle w:val="FootnoteReference"/>
        </w:rPr>
        <w:footnoteRef/>
      </w:r>
      <w:r>
        <w:t xml:space="preserve"> </w:t>
      </w:r>
      <w:r>
        <w:rPr>
          <w:lang w:val="en-ZA"/>
        </w:rPr>
        <w:t xml:space="preserve">Paragraph 2.6 of the Replying Affidavit. </w:t>
      </w:r>
    </w:p>
  </w:footnote>
  <w:footnote w:id="37">
    <w:p w:rsidR="00761A31" w:rsidRPr="00EF3BAF" w:rsidRDefault="00761A31">
      <w:pPr>
        <w:pStyle w:val="FootnoteText"/>
        <w:rPr>
          <w:lang w:val="en-ZA"/>
        </w:rPr>
      </w:pPr>
      <w:r>
        <w:rPr>
          <w:rStyle w:val="FootnoteReference"/>
        </w:rPr>
        <w:footnoteRef/>
      </w:r>
      <w:r>
        <w:t xml:space="preserve"> </w:t>
      </w:r>
      <w:r>
        <w:rPr>
          <w:lang w:val="en-ZA"/>
        </w:rPr>
        <w:t xml:space="preserve">Paragraph 2.9 of the Replying Affidavit. </w:t>
      </w:r>
    </w:p>
  </w:footnote>
  <w:footnote w:id="38">
    <w:p w:rsidR="00EE3855" w:rsidRPr="00EE3855" w:rsidRDefault="00EE3855">
      <w:pPr>
        <w:pStyle w:val="FootnoteText"/>
        <w:rPr>
          <w:lang w:val="en-ZA"/>
        </w:rPr>
      </w:pPr>
      <w:r>
        <w:rPr>
          <w:rStyle w:val="FootnoteReference"/>
        </w:rPr>
        <w:footnoteRef/>
      </w:r>
      <w:r>
        <w:t xml:space="preserve"> </w:t>
      </w:r>
      <w:r>
        <w:rPr>
          <w:lang w:val="en-ZA"/>
        </w:rPr>
        <w:t>Paragraph 12.2 of the Replying Affidavit.</w:t>
      </w:r>
    </w:p>
  </w:footnote>
  <w:footnote w:id="39">
    <w:p w:rsidR="00451B85" w:rsidRPr="00451B85" w:rsidRDefault="00451B85">
      <w:pPr>
        <w:pStyle w:val="FootnoteText"/>
        <w:rPr>
          <w:lang w:val="en-ZA"/>
        </w:rPr>
      </w:pPr>
      <w:r>
        <w:rPr>
          <w:rStyle w:val="FootnoteReference"/>
        </w:rPr>
        <w:footnoteRef/>
      </w:r>
      <w:r>
        <w:t xml:space="preserve"> </w:t>
      </w:r>
      <w:r>
        <w:rPr>
          <w:lang w:val="en-ZA"/>
        </w:rPr>
        <w:t>Paragraph 12.3 of the Replying Affidavit.</w:t>
      </w:r>
    </w:p>
  </w:footnote>
  <w:footnote w:id="40">
    <w:p w:rsidR="00761A31" w:rsidRPr="00662AA2" w:rsidRDefault="00761A31">
      <w:pPr>
        <w:pStyle w:val="FootnoteText"/>
        <w:rPr>
          <w:lang w:val="en-ZA"/>
        </w:rPr>
      </w:pPr>
      <w:r>
        <w:rPr>
          <w:rStyle w:val="FootnoteReference"/>
        </w:rPr>
        <w:footnoteRef/>
      </w:r>
      <w:r>
        <w:t xml:space="preserve"> </w:t>
      </w:r>
      <w:r>
        <w:rPr>
          <w:lang w:val="en-ZA"/>
        </w:rPr>
        <w:t xml:space="preserve">Paragraph 24 of the Answering Affidavit. </w:t>
      </w:r>
    </w:p>
  </w:footnote>
  <w:footnote w:id="41">
    <w:p w:rsidR="00761A31" w:rsidRPr="00662AA2" w:rsidRDefault="00761A31">
      <w:pPr>
        <w:pStyle w:val="FootnoteText"/>
        <w:rPr>
          <w:lang w:val="en-ZA"/>
        </w:rPr>
      </w:pPr>
      <w:r>
        <w:rPr>
          <w:rStyle w:val="FootnoteReference"/>
        </w:rPr>
        <w:footnoteRef/>
      </w:r>
      <w:r>
        <w:t xml:space="preserve"> </w:t>
      </w:r>
      <w:r>
        <w:rPr>
          <w:lang w:val="en-ZA"/>
        </w:rPr>
        <w:t>Paragraph 26 of the Answering Affidavit.</w:t>
      </w:r>
    </w:p>
  </w:footnote>
  <w:footnote w:id="42">
    <w:p w:rsidR="00761A31" w:rsidRPr="00662AA2" w:rsidRDefault="00761A31">
      <w:pPr>
        <w:pStyle w:val="FootnoteText"/>
        <w:rPr>
          <w:lang w:val="en-ZA"/>
        </w:rPr>
      </w:pPr>
      <w:r>
        <w:rPr>
          <w:rStyle w:val="FootnoteReference"/>
        </w:rPr>
        <w:footnoteRef/>
      </w:r>
      <w:r>
        <w:t xml:space="preserve"> </w:t>
      </w:r>
      <w:r>
        <w:rPr>
          <w:lang w:val="en-ZA"/>
        </w:rPr>
        <w:t xml:space="preserve">Paragraph 27 of the Answering Affidavit. </w:t>
      </w:r>
    </w:p>
  </w:footnote>
  <w:footnote w:id="43">
    <w:p w:rsidR="00761A31" w:rsidRPr="00755D03" w:rsidRDefault="00761A31">
      <w:pPr>
        <w:pStyle w:val="FootnoteText"/>
        <w:rPr>
          <w:lang w:val="en-ZA"/>
        </w:rPr>
      </w:pPr>
      <w:r>
        <w:rPr>
          <w:rStyle w:val="FootnoteReference"/>
        </w:rPr>
        <w:footnoteRef/>
      </w:r>
      <w:r>
        <w:t xml:space="preserve"> </w:t>
      </w:r>
      <w:r>
        <w:rPr>
          <w:lang w:val="en-ZA"/>
        </w:rPr>
        <w:t>Paragraphs 4.42 and 4.43 of the Applicant’s Heads of Argument.</w:t>
      </w:r>
    </w:p>
  </w:footnote>
  <w:footnote w:id="44">
    <w:p w:rsidR="00761A31" w:rsidRPr="00677E1C" w:rsidRDefault="00761A31" w:rsidP="00EC20C7">
      <w:pPr>
        <w:pStyle w:val="FootnoteText"/>
        <w:rPr>
          <w:lang w:val="en-ZA"/>
        </w:rPr>
      </w:pPr>
      <w:r>
        <w:rPr>
          <w:rStyle w:val="FootnoteReference"/>
        </w:rPr>
        <w:footnoteRef/>
      </w:r>
      <w:r>
        <w:t xml:space="preserve"> </w:t>
      </w:r>
      <w:r>
        <w:rPr>
          <w:lang w:val="en-ZA"/>
        </w:rPr>
        <w:t xml:space="preserve">Paragraph 2.2.3 of the Replying Affidavit. </w:t>
      </w:r>
    </w:p>
  </w:footnote>
  <w:footnote w:id="45">
    <w:p w:rsidR="00761A31" w:rsidRPr="00253BDA" w:rsidRDefault="00761A31">
      <w:pPr>
        <w:pStyle w:val="FootnoteText"/>
        <w:rPr>
          <w:lang w:val="en-ZA"/>
        </w:rPr>
      </w:pPr>
      <w:r>
        <w:rPr>
          <w:rStyle w:val="FootnoteReference"/>
        </w:rPr>
        <w:footnoteRef/>
      </w:r>
      <w:r>
        <w:t xml:space="preserve"> </w:t>
      </w:r>
      <w:r>
        <w:rPr>
          <w:lang w:val="en-ZA"/>
        </w:rPr>
        <w:t>Page 173 of the indexed papers.</w:t>
      </w:r>
    </w:p>
  </w:footnote>
  <w:footnote w:id="46">
    <w:p w:rsidR="00761A31" w:rsidRPr="008A08F8" w:rsidRDefault="00761A31">
      <w:pPr>
        <w:pStyle w:val="FootnoteText"/>
        <w:rPr>
          <w:lang w:val="en-ZA"/>
        </w:rPr>
      </w:pPr>
      <w:r>
        <w:rPr>
          <w:rStyle w:val="FootnoteReference"/>
        </w:rPr>
        <w:footnoteRef/>
      </w:r>
      <w:r>
        <w:t xml:space="preserve"> </w:t>
      </w:r>
      <w:r>
        <w:rPr>
          <w:lang w:val="en-ZA"/>
        </w:rPr>
        <w:t>Paragraph 6.3.1 of the Applicant’s Heads of Argument.</w:t>
      </w:r>
    </w:p>
  </w:footnote>
  <w:footnote w:id="47">
    <w:p w:rsidR="00761A31" w:rsidRPr="002B12B3" w:rsidRDefault="00761A31">
      <w:pPr>
        <w:pStyle w:val="FootnoteText"/>
        <w:rPr>
          <w:lang w:val="en-ZA"/>
        </w:rPr>
      </w:pPr>
      <w:r>
        <w:rPr>
          <w:rStyle w:val="FootnoteReference"/>
        </w:rPr>
        <w:footnoteRef/>
      </w:r>
      <w:r>
        <w:t xml:space="preserve"> </w:t>
      </w:r>
      <w:r>
        <w:rPr>
          <w:lang w:val="en-ZA"/>
        </w:rPr>
        <w:t>Paragraph 6.3.5.</w:t>
      </w:r>
    </w:p>
  </w:footnote>
  <w:footnote w:id="48">
    <w:p w:rsidR="00761A31" w:rsidRPr="0045387C" w:rsidRDefault="00761A31">
      <w:pPr>
        <w:pStyle w:val="FootnoteText"/>
        <w:rPr>
          <w:lang w:val="en-ZA"/>
        </w:rPr>
      </w:pPr>
      <w:r>
        <w:rPr>
          <w:rStyle w:val="FootnoteReference"/>
        </w:rPr>
        <w:footnoteRef/>
      </w:r>
      <w:r>
        <w:t xml:space="preserve"> </w:t>
      </w:r>
      <w:r>
        <w:rPr>
          <w:lang w:val="en-ZA"/>
        </w:rPr>
        <w:t>Paragraph 3.2 of the Applicant’s Heads of Argument.</w:t>
      </w:r>
    </w:p>
  </w:footnote>
  <w:footnote w:id="49">
    <w:p w:rsidR="00246208" w:rsidRPr="00246208" w:rsidRDefault="00246208">
      <w:pPr>
        <w:pStyle w:val="FootnoteText"/>
        <w:rPr>
          <w:lang w:val="en-ZA"/>
        </w:rPr>
      </w:pPr>
      <w:r>
        <w:rPr>
          <w:rStyle w:val="FootnoteReference"/>
        </w:rPr>
        <w:footnoteRef/>
      </w:r>
      <w:r>
        <w:t xml:space="preserve"> </w:t>
      </w:r>
      <w:r>
        <w:rPr>
          <w:lang w:val="en-ZA"/>
        </w:rPr>
        <w:t>Supra.</w:t>
      </w:r>
    </w:p>
  </w:footnote>
  <w:footnote w:id="50">
    <w:p w:rsidR="004E5A7E" w:rsidRPr="004E5A7E" w:rsidRDefault="004E5A7E">
      <w:pPr>
        <w:pStyle w:val="FootnoteText"/>
        <w:rPr>
          <w:lang w:val="en-ZA"/>
        </w:rPr>
      </w:pPr>
      <w:r>
        <w:rPr>
          <w:rStyle w:val="FootnoteReference"/>
        </w:rPr>
        <w:footnoteRef/>
      </w:r>
      <w:r>
        <w:t xml:space="preserve"> </w:t>
      </w:r>
      <w:r>
        <w:rPr>
          <w:lang w:val="en-ZA"/>
        </w:rPr>
        <w:t>Supra</w:t>
      </w:r>
      <w:r w:rsidR="000215FA">
        <w:rPr>
          <w:lang w:val="en-ZA"/>
        </w:rPr>
        <w:t xml:space="preserve">; </w:t>
      </w:r>
      <w:r w:rsidR="00FA3679">
        <w:rPr>
          <w:lang w:val="en-ZA"/>
        </w:rPr>
        <w:t>Melane vs Santam Insurance Co. Ltd 1962 (4) SA 531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A31" w:rsidRDefault="00D76CFF">
    <w:pPr>
      <w:pStyle w:val="Header"/>
      <w:jc w:val="right"/>
    </w:pPr>
    <w:sdt>
      <w:sdtPr>
        <w:id w:val="1641074034"/>
        <w:docPartObj>
          <w:docPartGallery w:val="Page Numbers (Top of Page)"/>
          <w:docPartUnique/>
        </w:docPartObj>
      </w:sdtPr>
      <w:sdtEndPr>
        <w:rPr>
          <w:noProof/>
        </w:rPr>
      </w:sdtEndPr>
      <w:sdtContent>
        <w:r w:rsidR="00761A31">
          <w:fldChar w:fldCharType="begin"/>
        </w:r>
        <w:r w:rsidR="00761A31">
          <w:instrText xml:space="preserve"> PAGE   \* MERGEFORMAT </w:instrText>
        </w:r>
        <w:r w:rsidR="00761A31">
          <w:fldChar w:fldCharType="separate"/>
        </w:r>
        <w:r w:rsidR="0009269C">
          <w:rPr>
            <w:noProof/>
          </w:rPr>
          <w:t>2</w:t>
        </w:r>
        <w:r w:rsidR="00761A31">
          <w:rPr>
            <w:noProof/>
          </w:rPr>
          <w:fldChar w:fldCharType="end"/>
        </w:r>
      </w:sdtContent>
    </w:sdt>
  </w:p>
  <w:p w:rsidR="00761A31" w:rsidRDefault="00761A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36233"/>
    <w:multiLevelType w:val="hybridMultilevel"/>
    <w:tmpl w:val="3FAE639E"/>
    <w:lvl w:ilvl="0" w:tplc="0F8478AC">
      <w:start w:val="1"/>
      <w:numFmt w:val="decimal"/>
      <w:lvlText w:val="[%1]"/>
      <w:lvlJc w:val="left"/>
      <w:pPr>
        <w:ind w:left="720" w:hanging="360"/>
      </w:pPr>
      <w:rPr>
        <w:rFonts w:hint="default"/>
        <w:strike w:val="0"/>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99820F1"/>
    <w:multiLevelType w:val="multilevel"/>
    <w:tmpl w:val="F26A4DA0"/>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AC35F5B"/>
    <w:multiLevelType w:val="hybridMultilevel"/>
    <w:tmpl w:val="04BCFFB0"/>
    <w:lvl w:ilvl="0" w:tplc="CF1AD304">
      <w:start w:val="89"/>
      <w:numFmt w:val="decimal"/>
      <w:lvlText w:val="%1"/>
      <w:lvlJc w:val="left"/>
      <w:pPr>
        <w:ind w:left="309"/>
      </w:pPr>
      <w:rPr>
        <w:rFonts w:ascii="Verdana" w:eastAsia="Verdana" w:hAnsi="Verdana" w:cs="Verdana"/>
        <w:b/>
        <w:bCs/>
        <w:i w:val="0"/>
        <w:strike w:val="0"/>
        <w:dstrike w:val="0"/>
        <w:color w:val="000000"/>
        <w:sz w:val="15"/>
        <w:szCs w:val="15"/>
        <w:u w:val="none" w:color="000000"/>
        <w:bdr w:val="none" w:sz="0" w:space="0" w:color="auto"/>
        <w:shd w:val="clear" w:color="auto" w:fill="auto"/>
        <w:vertAlign w:val="baseline"/>
      </w:rPr>
    </w:lvl>
    <w:lvl w:ilvl="1" w:tplc="DAA452BA">
      <w:start w:val="1"/>
      <w:numFmt w:val="decimal"/>
      <w:lvlText w:val="(%2)"/>
      <w:lvlJc w:val="left"/>
      <w:pPr>
        <w:ind w:left="7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tplc="43AEDF7C">
      <w:start w:val="1"/>
      <w:numFmt w:val="lowerLetter"/>
      <w:lvlText w:val="(%3)"/>
      <w:lvlJc w:val="left"/>
      <w:pPr>
        <w:ind w:left="1824"/>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3" w:tplc="5288A39C">
      <w:start w:val="1"/>
      <w:numFmt w:val="decimal"/>
      <w:lvlText w:val="%4"/>
      <w:lvlJc w:val="left"/>
      <w:pPr>
        <w:ind w:left="155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4" w:tplc="11B4914C">
      <w:start w:val="1"/>
      <w:numFmt w:val="lowerLetter"/>
      <w:lvlText w:val="%5"/>
      <w:lvlJc w:val="left"/>
      <w:pPr>
        <w:ind w:left="227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5" w:tplc="81D43A5C">
      <w:start w:val="1"/>
      <w:numFmt w:val="lowerRoman"/>
      <w:lvlText w:val="%6"/>
      <w:lvlJc w:val="left"/>
      <w:pPr>
        <w:ind w:left="299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6" w:tplc="31D87456">
      <w:start w:val="1"/>
      <w:numFmt w:val="decimal"/>
      <w:lvlText w:val="%7"/>
      <w:lvlJc w:val="left"/>
      <w:pPr>
        <w:ind w:left="371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7" w:tplc="937EE536">
      <w:start w:val="1"/>
      <w:numFmt w:val="lowerLetter"/>
      <w:lvlText w:val="%8"/>
      <w:lvlJc w:val="left"/>
      <w:pPr>
        <w:ind w:left="443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8" w:tplc="0F5A62E8">
      <w:start w:val="1"/>
      <w:numFmt w:val="lowerRoman"/>
      <w:lvlText w:val="%9"/>
      <w:lvlJc w:val="left"/>
      <w:pPr>
        <w:ind w:left="515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abstractNum>
  <w:abstractNum w:abstractNumId="3">
    <w:nsid w:val="280322DE"/>
    <w:multiLevelType w:val="hybridMultilevel"/>
    <w:tmpl w:val="466642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AFD5810"/>
    <w:multiLevelType w:val="hybridMultilevel"/>
    <w:tmpl w:val="8668C52A"/>
    <w:lvl w:ilvl="0" w:tplc="1C09000F">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E3A2127"/>
    <w:multiLevelType w:val="hybridMultilevel"/>
    <w:tmpl w:val="DB00352C"/>
    <w:lvl w:ilvl="0" w:tplc="B15A36D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05F77F1"/>
    <w:multiLevelType w:val="hybridMultilevel"/>
    <w:tmpl w:val="78329DF2"/>
    <w:lvl w:ilvl="0" w:tplc="3F60C0EA">
      <w:start w:val="1"/>
      <w:numFmt w:val="decimal"/>
      <w:lvlText w:val="%1."/>
      <w:lvlJc w:val="left"/>
      <w:pPr>
        <w:ind w:left="644" w:hanging="360"/>
      </w:pPr>
      <w:rPr>
        <w:rFonts w:hint="default"/>
        <w:i w:val="0"/>
      </w:rPr>
    </w:lvl>
    <w:lvl w:ilvl="1" w:tplc="CC0A19C6">
      <w:start w:val="1"/>
      <w:numFmt w:val="lowerLetter"/>
      <w:lvlText w:val="%2."/>
      <w:lvlJc w:val="left"/>
      <w:pPr>
        <w:ind w:left="1440" w:hanging="360"/>
      </w:pPr>
      <w:rPr>
        <w:sz w:val="20"/>
        <w:szCs w:val="20"/>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1F24E39"/>
    <w:multiLevelType w:val="hybridMultilevel"/>
    <w:tmpl w:val="EB8853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AA5002B"/>
    <w:multiLevelType w:val="hybridMultilevel"/>
    <w:tmpl w:val="4202C18E"/>
    <w:lvl w:ilvl="0" w:tplc="E48EDF40">
      <w:start w:val="2"/>
      <w:numFmt w:val="lowerRoman"/>
      <w:lvlText w:val="(%1)"/>
      <w:lvlJc w:val="left"/>
      <w:pPr>
        <w:ind w:left="1080" w:hanging="72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F671391"/>
    <w:multiLevelType w:val="hybridMultilevel"/>
    <w:tmpl w:val="FB98B69C"/>
    <w:lvl w:ilvl="0" w:tplc="3782FF1A">
      <w:start w:val="1"/>
      <w:numFmt w:val="lowerRoman"/>
      <w:lvlText w:val="(%1)"/>
      <w:lvlJc w:val="left"/>
      <w:pPr>
        <w:ind w:left="1440" w:hanging="360"/>
      </w:pPr>
      <w:rPr>
        <w:rFonts w:ascii="Arial" w:eastAsia="Times New Roman" w:hAnsi="Arial" w:cs="Arial"/>
        <w:color w:val="auto"/>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4CFD5BBE"/>
    <w:multiLevelType w:val="hybridMultilevel"/>
    <w:tmpl w:val="219CE982"/>
    <w:lvl w:ilvl="0" w:tplc="FDA8D7B6">
      <w:start w:val="1"/>
      <w:numFmt w:val="decimal"/>
      <w:lvlText w:val="%1."/>
      <w:lvlJc w:val="left"/>
      <w:pPr>
        <w:ind w:left="987" w:hanging="4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1">
    <w:nsid w:val="5F0D310D"/>
    <w:multiLevelType w:val="hybridMultilevel"/>
    <w:tmpl w:val="122C92D8"/>
    <w:lvl w:ilvl="0" w:tplc="6D688BBC">
      <w:start w:val="1"/>
      <w:numFmt w:val="lowerLetter"/>
      <w:lvlText w:val="(%1)"/>
      <w:lvlJc w:val="left"/>
      <w:pPr>
        <w:ind w:left="720" w:hanging="360"/>
      </w:pPr>
      <w:rPr>
        <w:rFonts w:hint="default"/>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1442E51"/>
    <w:multiLevelType w:val="hybridMultilevel"/>
    <w:tmpl w:val="C0B205E6"/>
    <w:lvl w:ilvl="0" w:tplc="B5D2CCC6">
      <w:start w:val="1"/>
      <w:numFmt w:val="decimal"/>
      <w:lvlText w:val="%1."/>
      <w:lvlJc w:val="left"/>
      <w:pPr>
        <w:ind w:left="554" w:hanging="360"/>
      </w:pPr>
      <w:rPr>
        <w:rFonts w:ascii="Arial" w:eastAsia="Times New Roman" w:hAnsi="Arial" w:cs="Arial"/>
      </w:rPr>
    </w:lvl>
    <w:lvl w:ilvl="1" w:tplc="1C090019" w:tentative="1">
      <w:start w:val="1"/>
      <w:numFmt w:val="lowerLetter"/>
      <w:lvlText w:val="%2."/>
      <w:lvlJc w:val="left"/>
      <w:pPr>
        <w:ind w:left="1274" w:hanging="360"/>
      </w:pPr>
    </w:lvl>
    <w:lvl w:ilvl="2" w:tplc="1C09001B" w:tentative="1">
      <w:start w:val="1"/>
      <w:numFmt w:val="lowerRoman"/>
      <w:lvlText w:val="%3."/>
      <w:lvlJc w:val="right"/>
      <w:pPr>
        <w:ind w:left="1994" w:hanging="180"/>
      </w:pPr>
    </w:lvl>
    <w:lvl w:ilvl="3" w:tplc="1C09000F" w:tentative="1">
      <w:start w:val="1"/>
      <w:numFmt w:val="decimal"/>
      <w:lvlText w:val="%4."/>
      <w:lvlJc w:val="left"/>
      <w:pPr>
        <w:ind w:left="2714" w:hanging="360"/>
      </w:pPr>
    </w:lvl>
    <w:lvl w:ilvl="4" w:tplc="1C090019" w:tentative="1">
      <w:start w:val="1"/>
      <w:numFmt w:val="lowerLetter"/>
      <w:lvlText w:val="%5."/>
      <w:lvlJc w:val="left"/>
      <w:pPr>
        <w:ind w:left="3434" w:hanging="360"/>
      </w:pPr>
    </w:lvl>
    <w:lvl w:ilvl="5" w:tplc="1C09001B" w:tentative="1">
      <w:start w:val="1"/>
      <w:numFmt w:val="lowerRoman"/>
      <w:lvlText w:val="%6."/>
      <w:lvlJc w:val="right"/>
      <w:pPr>
        <w:ind w:left="4154" w:hanging="180"/>
      </w:pPr>
    </w:lvl>
    <w:lvl w:ilvl="6" w:tplc="1C09000F" w:tentative="1">
      <w:start w:val="1"/>
      <w:numFmt w:val="decimal"/>
      <w:lvlText w:val="%7."/>
      <w:lvlJc w:val="left"/>
      <w:pPr>
        <w:ind w:left="4874" w:hanging="360"/>
      </w:pPr>
    </w:lvl>
    <w:lvl w:ilvl="7" w:tplc="1C090019" w:tentative="1">
      <w:start w:val="1"/>
      <w:numFmt w:val="lowerLetter"/>
      <w:lvlText w:val="%8."/>
      <w:lvlJc w:val="left"/>
      <w:pPr>
        <w:ind w:left="5594" w:hanging="360"/>
      </w:pPr>
    </w:lvl>
    <w:lvl w:ilvl="8" w:tplc="1C09001B" w:tentative="1">
      <w:start w:val="1"/>
      <w:numFmt w:val="lowerRoman"/>
      <w:lvlText w:val="%9."/>
      <w:lvlJc w:val="right"/>
      <w:pPr>
        <w:ind w:left="6314" w:hanging="180"/>
      </w:pPr>
    </w:lvl>
  </w:abstractNum>
  <w:abstractNum w:abstractNumId="13">
    <w:nsid w:val="6A423919"/>
    <w:multiLevelType w:val="hybridMultilevel"/>
    <w:tmpl w:val="81F40AC8"/>
    <w:lvl w:ilvl="0" w:tplc="888CEBCC">
      <w:start w:val="1"/>
      <w:numFmt w:val="decimal"/>
      <w:lvlText w:val="%1."/>
      <w:lvlJc w:val="left"/>
      <w:pPr>
        <w:ind w:left="1004" w:hanging="36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4">
    <w:nsid w:val="6BE03973"/>
    <w:multiLevelType w:val="hybridMultilevel"/>
    <w:tmpl w:val="64DEFACA"/>
    <w:lvl w:ilvl="0" w:tplc="61EE402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D646FFE"/>
    <w:multiLevelType w:val="hybridMultilevel"/>
    <w:tmpl w:val="1842DDB0"/>
    <w:lvl w:ilvl="0" w:tplc="62605F6A">
      <w:start w:val="1"/>
      <w:numFmt w:val="lowerLetter"/>
      <w:lvlText w:val="(%1)"/>
      <w:lvlJc w:val="left"/>
      <w:pPr>
        <w:ind w:left="1800" w:hanging="360"/>
      </w:pPr>
      <w:rPr>
        <w:rFonts w:ascii="Arial" w:eastAsia="Times New Roman" w:hAnsi="Arial" w:cs="Arial"/>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nsid w:val="6E0C21EF"/>
    <w:multiLevelType w:val="multilevel"/>
    <w:tmpl w:val="206C2698"/>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F513AC9"/>
    <w:multiLevelType w:val="hybridMultilevel"/>
    <w:tmpl w:val="16DEC55E"/>
    <w:lvl w:ilvl="0" w:tplc="1DF0C21A">
      <w:start w:val="9"/>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5"/>
  </w:num>
  <w:num w:numId="3">
    <w:abstractNumId w:val="12"/>
  </w:num>
  <w:num w:numId="4">
    <w:abstractNumId w:val="0"/>
  </w:num>
  <w:num w:numId="5">
    <w:abstractNumId w:val="1"/>
  </w:num>
  <w:num w:numId="6">
    <w:abstractNumId w:val="16"/>
  </w:num>
  <w:num w:numId="7">
    <w:abstractNumId w:val="6"/>
  </w:num>
  <w:num w:numId="8">
    <w:abstractNumId w:val="13"/>
  </w:num>
  <w:num w:numId="9">
    <w:abstractNumId w:val="2"/>
  </w:num>
  <w:num w:numId="10">
    <w:abstractNumId w:val="3"/>
  </w:num>
  <w:num w:numId="11">
    <w:abstractNumId w:val="7"/>
  </w:num>
  <w:num w:numId="12">
    <w:abstractNumId w:val="4"/>
  </w:num>
  <w:num w:numId="13">
    <w:abstractNumId w:val="10"/>
  </w:num>
  <w:num w:numId="14">
    <w:abstractNumId w:val="11"/>
  </w:num>
  <w:num w:numId="15">
    <w:abstractNumId w:val="17"/>
  </w:num>
  <w:num w:numId="16">
    <w:abstractNumId w:val="8"/>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GyMLcwMjIxNzQzNzZQ0lEKTi0uzszPAykwNKsFAElR+I0tAAAA"/>
  </w:docVars>
  <w:rsids>
    <w:rsidRoot w:val="007C348D"/>
    <w:rsid w:val="00001F8C"/>
    <w:rsid w:val="000111F4"/>
    <w:rsid w:val="00013A3F"/>
    <w:rsid w:val="00017C1A"/>
    <w:rsid w:val="00017F22"/>
    <w:rsid w:val="000215FA"/>
    <w:rsid w:val="0002217F"/>
    <w:rsid w:val="000237D5"/>
    <w:rsid w:val="00023E42"/>
    <w:rsid w:val="000312FA"/>
    <w:rsid w:val="00031425"/>
    <w:rsid w:val="000342DF"/>
    <w:rsid w:val="00037432"/>
    <w:rsid w:val="00040225"/>
    <w:rsid w:val="00040C9D"/>
    <w:rsid w:val="00041CD0"/>
    <w:rsid w:val="00047074"/>
    <w:rsid w:val="00056043"/>
    <w:rsid w:val="00056BDC"/>
    <w:rsid w:val="00056E59"/>
    <w:rsid w:val="00056F05"/>
    <w:rsid w:val="00063844"/>
    <w:rsid w:val="00067989"/>
    <w:rsid w:val="0007039A"/>
    <w:rsid w:val="000712B0"/>
    <w:rsid w:val="00074FB6"/>
    <w:rsid w:val="00076CB8"/>
    <w:rsid w:val="0007780D"/>
    <w:rsid w:val="00077E52"/>
    <w:rsid w:val="00080924"/>
    <w:rsid w:val="00080ACE"/>
    <w:rsid w:val="0008277E"/>
    <w:rsid w:val="00085FA9"/>
    <w:rsid w:val="0009269C"/>
    <w:rsid w:val="000A016A"/>
    <w:rsid w:val="000A4558"/>
    <w:rsid w:val="000A52BA"/>
    <w:rsid w:val="000A647C"/>
    <w:rsid w:val="000B04E7"/>
    <w:rsid w:val="000B3EE8"/>
    <w:rsid w:val="000B7255"/>
    <w:rsid w:val="000B7705"/>
    <w:rsid w:val="000C3BA4"/>
    <w:rsid w:val="000C5A07"/>
    <w:rsid w:val="000C66EC"/>
    <w:rsid w:val="000C72FC"/>
    <w:rsid w:val="000C747A"/>
    <w:rsid w:val="000C77C4"/>
    <w:rsid w:val="000C77F8"/>
    <w:rsid w:val="000C7CAF"/>
    <w:rsid w:val="000D68EE"/>
    <w:rsid w:val="000E2717"/>
    <w:rsid w:val="000E4CC5"/>
    <w:rsid w:val="000E5025"/>
    <w:rsid w:val="000E50EE"/>
    <w:rsid w:val="000F0D5A"/>
    <w:rsid w:val="000F19A8"/>
    <w:rsid w:val="000F2881"/>
    <w:rsid w:val="000F713E"/>
    <w:rsid w:val="00101B7F"/>
    <w:rsid w:val="00101FFF"/>
    <w:rsid w:val="00102312"/>
    <w:rsid w:val="0010369D"/>
    <w:rsid w:val="001036C0"/>
    <w:rsid w:val="00111D58"/>
    <w:rsid w:val="00111EEA"/>
    <w:rsid w:val="00114529"/>
    <w:rsid w:val="00122559"/>
    <w:rsid w:val="00124212"/>
    <w:rsid w:val="00131CF1"/>
    <w:rsid w:val="00134B44"/>
    <w:rsid w:val="00136A1F"/>
    <w:rsid w:val="00141DCC"/>
    <w:rsid w:val="00143AAA"/>
    <w:rsid w:val="001479EF"/>
    <w:rsid w:val="00153BD2"/>
    <w:rsid w:val="001566DC"/>
    <w:rsid w:val="00157593"/>
    <w:rsid w:val="001575AF"/>
    <w:rsid w:val="00160F7C"/>
    <w:rsid w:val="00161BEC"/>
    <w:rsid w:val="0016393F"/>
    <w:rsid w:val="00166E4D"/>
    <w:rsid w:val="00180C48"/>
    <w:rsid w:val="001842DC"/>
    <w:rsid w:val="001856BF"/>
    <w:rsid w:val="00187391"/>
    <w:rsid w:val="001909B3"/>
    <w:rsid w:val="00196B60"/>
    <w:rsid w:val="001A00EF"/>
    <w:rsid w:val="001A57CE"/>
    <w:rsid w:val="001B34F4"/>
    <w:rsid w:val="001B7DC9"/>
    <w:rsid w:val="001C2172"/>
    <w:rsid w:val="001C5A54"/>
    <w:rsid w:val="001C6D91"/>
    <w:rsid w:val="001D0A19"/>
    <w:rsid w:val="001D15CD"/>
    <w:rsid w:val="001D1971"/>
    <w:rsid w:val="001D54AE"/>
    <w:rsid w:val="001E2FDC"/>
    <w:rsid w:val="001E356C"/>
    <w:rsid w:val="001F70BD"/>
    <w:rsid w:val="00201579"/>
    <w:rsid w:val="00201E0B"/>
    <w:rsid w:val="00202924"/>
    <w:rsid w:val="002060ED"/>
    <w:rsid w:val="00212A94"/>
    <w:rsid w:val="00217700"/>
    <w:rsid w:val="002274E2"/>
    <w:rsid w:val="00234018"/>
    <w:rsid w:val="002367D6"/>
    <w:rsid w:val="00240AC1"/>
    <w:rsid w:val="00240D77"/>
    <w:rsid w:val="00241374"/>
    <w:rsid w:val="00246208"/>
    <w:rsid w:val="00251520"/>
    <w:rsid w:val="00251A7C"/>
    <w:rsid w:val="00252EF9"/>
    <w:rsid w:val="00253BDA"/>
    <w:rsid w:val="00254F43"/>
    <w:rsid w:val="00260853"/>
    <w:rsid w:val="00261FF7"/>
    <w:rsid w:val="002627AF"/>
    <w:rsid w:val="00265D74"/>
    <w:rsid w:val="002734F8"/>
    <w:rsid w:val="00277577"/>
    <w:rsid w:val="0027763B"/>
    <w:rsid w:val="00277A29"/>
    <w:rsid w:val="002824F0"/>
    <w:rsid w:val="002846A1"/>
    <w:rsid w:val="00284A48"/>
    <w:rsid w:val="00286EB0"/>
    <w:rsid w:val="00286F23"/>
    <w:rsid w:val="0029022F"/>
    <w:rsid w:val="002938AA"/>
    <w:rsid w:val="00296CD8"/>
    <w:rsid w:val="002A46BB"/>
    <w:rsid w:val="002A60B8"/>
    <w:rsid w:val="002A61D2"/>
    <w:rsid w:val="002A62A7"/>
    <w:rsid w:val="002A631E"/>
    <w:rsid w:val="002A7CB0"/>
    <w:rsid w:val="002A7D4B"/>
    <w:rsid w:val="002B0A9D"/>
    <w:rsid w:val="002B12B3"/>
    <w:rsid w:val="002B27AB"/>
    <w:rsid w:val="002B369A"/>
    <w:rsid w:val="002B48A4"/>
    <w:rsid w:val="002C0225"/>
    <w:rsid w:val="002C5414"/>
    <w:rsid w:val="002D172A"/>
    <w:rsid w:val="002D3664"/>
    <w:rsid w:val="002D5E30"/>
    <w:rsid w:val="002E08EC"/>
    <w:rsid w:val="002E0D26"/>
    <w:rsid w:val="002E15CB"/>
    <w:rsid w:val="002E19A6"/>
    <w:rsid w:val="002E1F3F"/>
    <w:rsid w:val="002F4685"/>
    <w:rsid w:val="002F5A42"/>
    <w:rsid w:val="002F71C5"/>
    <w:rsid w:val="00302D2B"/>
    <w:rsid w:val="003036C9"/>
    <w:rsid w:val="0030603E"/>
    <w:rsid w:val="003065ED"/>
    <w:rsid w:val="00313061"/>
    <w:rsid w:val="00315D4D"/>
    <w:rsid w:val="00316479"/>
    <w:rsid w:val="00323B17"/>
    <w:rsid w:val="00324853"/>
    <w:rsid w:val="00326787"/>
    <w:rsid w:val="00327340"/>
    <w:rsid w:val="00331CAF"/>
    <w:rsid w:val="00332212"/>
    <w:rsid w:val="00333ABC"/>
    <w:rsid w:val="00337D39"/>
    <w:rsid w:val="00343972"/>
    <w:rsid w:val="003439E2"/>
    <w:rsid w:val="00343D48"/>
    <w:rsid w:val="003448E3"/>
    <w:rsid w:val="003460C5"/>
    <w:rsid w:val="00347FB6"/>
    <w:rsid w:val="0035047C"/>
    <w:rsid w:val="00351967"/>
    <w:rsid w:val="00352BB3"/>
    <w:rsid w:val="003556F0"/>
    <w:rsid w:val="00356771"/>
    <w:rsid w:val="00361C1B"/>
    <w:rsid w:val="0036522C"/>
    <w:rsid w:val="003667D6"/>
    <w:rsid w:val="00366E58"/>
    <w:rsid w:val="00371929"/>
    <w:rsid w:val="00372841"/>
    <w:rsid w:val="0037484C"/>
    <w:rsid w:val="00374D49"/>
    <w:rsid w:val="003805E1"/>
    <w:rsid w:val="00383432"/>
    <w:rsid w:val="00385141"/>
    <w:rsid w:val="003878BB"/>
    <w:rsid w:val="00395344"/>
    <w:rsid w:val="00397856"/>
    <w:rsid w:val="003A266C"/>
    <w:rsid w:val="003B15D1"/>
    <w:rsid w:val="003B1CBE"/>
    <w:rsid w:val="003B3C7C"/>
    <w:rsid w:val="003B4BB1"/>
    <w:rsid w:val="003B59BA"/>
    <w:rsid w:val="003C60E7"/>
    <w:rsid w:val="003C6B8B"/>
    <w:rsid w:val="003D05C5"/>
    <w:rsid w:val="003D0E2F"/>
    <w:rsid w:val="003E07F9"/>
    <w:rsid w:val="003E7FE1"/>
    <w:rsid w:val="003F2617"/>
    <w:rsid w:val="003F2D1B"/>
    <w:rsid w:val="003F410D"/>
    <w:rsid w:val="00402AA4"/>
    <w:rsid w:val="004041CC"/>
    <w:rsid w:val="00404459"/>
    <w:rsid w:val="00405244"/>
    <w:rsid w:val="00406679"/>
    <w:rsid w:val="00416341"/>
    <w:rsid w:val="00416B9E"/>
    <w:rsid w:val="0041714C"/>
    <w:rsid w:val="0042055E"/>
    <w:rsid w:val="00420929"/>
    <w:rsid w:val="00421BC2"/>
    <w:rsid w:val="0042280C"/>
    <w:rsid w:val="00426196"/>
    <w:rsid w:val="0043720B"/>
    <w:rsid w:val="0043729E"/>
    <w:rsid w:val="00441D7B"/>
    <w:rsid w:val="004450B8"/>
    <w:rsid w:val="0044778C"/>
    <w:rsid w:val="00447C28"/>
    <w:rsid w:val="00450DA4"/>
    <w:rsid w:val="00451B85"/>
    <w:rsid w:val="0045270C"/>
    <w:rsid w:val="00452BD9"/>
    <w:rsid w:val="004537CD"/>
    <w:rsid w:val="0045387C"/>
    <w:rsid w:val="00455EC4"/>
    <w:rsid w:val="0046504C"/>
    <w:rsid w:val="004662FA"/>
    <w:rsid w:val="00467392"/>
    <w:rsid w:val="00471479"/>
    <w:rsid w:val="00472913"/>
    <w:rsid w:val="004749DA"/>
    <w:rsid w:val="004810F5"/>
    <w:rsid w:val="00482AAD"/>
    <w:rsid w:val="00491045"/>
    <w:rsid w:val="004919CD"/>
    <w:rsid w:val="0049454F"/>
    <w:rsid w:val="0049477D"/>
    <w:rsid w:val="00495DBF"/>
    <w:rsid w:val="004A20A8"/>
    <w:rsid w:val="004A3257"/>
    <w:rsid w:val="004A4986"/>
    <w:rsid w:val="004A56AE"/>
    <w:rsid w:val="004B2CE4"/>
    <w:rsid w:val="004C20DC"/>
    <w:rsid w:val="004C368F"/>
    <w:rsid w:val="004D63AD"/>
    <w:rsid w:val="004D7BEB"/>
    <w:rsid w:val="004E03AB"/>
    <w:rsid w:val="004E0B29"/>
    <w:rsid w:val="004E2339"/>
    <w:rsid w:val="004E243D"/>
    <w:rsid w:val="004E2EE6"/>
    <w:rsid w:val="004E2F99"/>
    <w:rsid w:val="004E3022"/>
    <w:rsid w:val="004E54EB"/>
    <w:rsid w:val="004E5A7E"/>
    <w:rsid w:val="004F2723"/>
    <w:rsid w:val="004F3F06"/>
    <w:rsid w:val="004F5E70"/>
    <w:rsid w:val="004F793E"/>
    <w:rsid w:val="0050073B"/>
    <w:rsid w:val="00500FBB"/>
    <w:rsid w:val="005013E3"/>
    <w:rsid w:val="0050544E"/>
    <w:rsid w:val="0051095E"/>
    <w:rsid w:val="0052107D"/>
    <w:rsid w:val="00522B0C"/>
    <w:rsid w:val="00533A9E"/>
    <w:rsid w:val="0054066D"/>
    <w:rsid w:val="005459C8"/>
    <w:rsid w:val="00550629"/>
    <w:rsid w:val="00554302"/>
    <w:rsid w:val="00554B8B"/>
    <w:rsid w:val="00557008"/>
    <w:rsid w:val="0055759E"/>
    <w:rsid w:val="0056286B"/>
    <w:rsid w:val="00562BA7"/>
    <w:rsid w:val="00576882"/>
    <w:rsid w:val="005835FE"/>
    <w:rsid w:val="00583A8C"/>
    <w:rsid w:val="00584EBC"/>
    <w:rsid w:val="00584EC5"/>
    <w:rsid w:val="005851C9"/>
    <w:rsid w:val="00585BEA"/>
    <w:rsid w:val="00586501"/>
    <w:rsid w:val="00587231"/>
    <w:rsid w:val="00591CD2"/>
    <w:rsid w:val="0059404A"/>
    <w:rsid w:val="00595295"/>
    <w:rsid w:val="005960F0"/>
    <w:rsid w:val="00597EFA"/>
    <w:rsid w:val="005A6F9D"/>
    <w:rsid w:val="005B271F"/>
    <w:rsid w:val="005B56EE"/>
    <w:rsid w:val="005B5C14"/>
    <w:rsid w:val="005C0BFA"/>
    <w:rsid w:val="005D0070"/>
    <w:rsid w:val="005D0D19"/>
    <w:rsid w:val="005D6CBF"/>
    <w:rsid w:val="005E0068"/>
    <w:rsid w:val="005E18AD"/>
    <w:rsid w:val="005E2A13"/>
    <w:rsid w:val="005E61AB"/>
    <w:rsid w:val="005F349B"/>
    <w:rsid w:val="005F460B"/>
    <w:rsid w:val="005F65D4"/>
    <w:rsid w:val="00600DB1"/>
    <w:rsid w:val="006057B5"/>
    <w:rsid w:val="00615623"/>
    <w:rsid w:val="0061679A"/>
    <w:rsid w:val="00620500"/>
    <w:rsid w:val="0062222E"/>
    <w:rsid w:val="006231E0"/>
    <w:rsid w:val="00623854"/>
    <w:rsid w:val="00625250"/>
    <w:rsid w:val="00626E98"/>
    <w:rsid w:val="00626FFB"/>
    <w:rsid w:val="006302D0"/>
    <w:rsid w:val="00632B87"/>
    <w:rsid w:val="00634F46"/>
    <w:rsid w:val="00640D43"/>
    <w:rsid w:val="00640D44"/>
    <w:rsid w:val="00645452"/>
    <w:rsid w:val="0064795D"/>
    <w:rsid w:val="0065472D"/>
    <w:rsid w:val="00656276"/>
    <w:rsid w:val="0065643B"/>
    <w:rsid w:val="00657B1C"/>
    <w:rsid w:val="0066061B"/>
    <w:rsid w:val="00662AA2"/>
    <w:rsid w:val="00665622"/>
    <w:rsid w:val="00666EAC"/>
    <w:rsid w:val="00667E39"/>
    <w:rsid w:val="0067488D"/>
    <w:rsid w:val="006751B4"/>
    <w:rsid w:val="00677957"/>
    <w:rsid w:val="00677E1C"/>
    <w:rsid w:val="006810FF"/>
    <w:rsid w:val="00682AD5"/>
    <w:rsid w:val="00684F83"/>
    <w:rsid w:val="00685588"/>
    <w:rsid w:val="00686BC3"/>
    <w:rsid w:val="00687C0B"/>
    <w:rsid w:val="00691277"/>
    <w:rsid w:val="00696FCF"/>
    <w:rsid w:val="006A035D"/>
    <w:rsid w:val="006A1F93"/>
    <w:rsid w:val="006A2F67"/>
    <w:rsid w:val="006A4704"/>
    <w:rsid w:val="006A47FB"/>
    <w:rsid w:val="006B0B80"/>
    <w:rsid w:val="006B44D4"/>
    <w:rsid w:val="006B6E9D"/>
    <w:rsid w:val="006B7FDC"/>
    <w:rsid w:val="006C0F71"/>
    <w:rsid w:val="006C3953"/>
    <w:rsid w:val="006C3CD6"/>
    <w:rsid w:val="006C7746"/>
    <w:rsid w:val="006D055C"/>
    <w:rsid w:val="006D59AD"/>
    <w:rsid w:val="006D6CC4"/>
    <w:rsid w:val="006D6F69"/>
    <w:rsid w:val="006E05A0"/>
    <w:rsid w:val="006E0733"/>
    <w:rsid w:val="006E0CE0"/>
    <w:rsid w:val="006E1206"/>
    <w:rsid w:val="006F1CEF"/>
    <w:rsid w:val="006F3811"/>
    <w:rsid w:val="006F48A0"/>
    <w:rsid w:val="006F68DB"/>
    <w:rsid w:val="007013A6"/>
    <w:rsid w:val="007033AB"/>
    <w:rsid w:val="00707BA7"/>
    <w:rsid w:val="007111DC"/>
    <w:rsid w:val="00713FEB"/>
    <w:rsid w:val="00721246"/>
    <w:rsid w:val="00724EA2"/>
    <w:rsid w:val="0072546B"/>
    <w:rsid w:val="0072655E"/>
    <w:rsid w:val="00727465"/>
    <w:rsid w:val="00731AE7"/>
    <w:rsid w:val="0074371E"/>
    <w:rsid w:val="00744550"/>
    <w:rsid w:val="00745F1D"/>
    <w:rsid w:val="00750200"/>
    <w:rsid w:val="00751FB3"/>
    <w:rsid w:val="00752379"/>
    <w:rsid w:val="0075444F"/>
    <w:rsid w:val="00754E32"/>
    <w:rsid w:val="00755D03"/>
    <w:rsid w:val="00761A31"/>
    <w:rsid w:val="0077094C"/>
    <w:rsid w:val="00774C0A"/>
    <w:rsid w:val="00781F07"/>
    <w:rsid w:val="0078679D"/>
    <w:rsid w:val="00786C0C"/>
    <w:rsid w:val="0079284C"/>
    <w:rsid w:val="00797293"/>
    <w:rsid w:val="007A0ECC"/>
    <w:rsid w:val="007A2DC1"/>
    <w:rsid w:val="007A507F"/>
    <w:rsid w:val="007A6A8A"/>
    <w:rsid w:val="007B561D"/>
    <w:rsid w:val="007B62E4"/>
    <w:rsid w:val="007C2356"/>
    <w:rsid w:val="007C348D"/>
    <w:rsid w:val="007C7112"/>
    <w:rsid w:val="007C7494"/>
    <w:rsid w:val="007C77B3"/>
    <w:rsid w:val="007C7857"/>
    <w:rsid w:val="007D1CFA"/>
    <w:rsid w:val="007D4A7C"/>
    <w:rsid w:val="007E0DCB"/>
    <w:rsid w:val="007E14F4"/>
    <w:rsid w:val="007E16C1"/>
    <w:rsid w:val="007E3399"/>
    <w:rsid w:val="007E61BB"/>
    <w:rsid w:val="007E7AEF"/>
    <w:rsid w:val="007F2630"/>
    <w:rsid w:val="007F49B3"/>
    <w:rsid w:val="007F4F13"/>
    <w:rsid w:val="007F6B5A"/>
    <w:rsid w:val="00800164"/>
    <w:rsid w:val="00800C08"/>
    <w:rsid w:val="008014A3"/>
    <w:rsid w:val="00804DDE"/>
    <w:rsid w:val="00810079"/>
    <w:rsid w:val="00812151"/>
    <w:rsid w:val="008153E4"/>
    <w:rsid w:val="00816F15"/>
    <w:rsid w:val="00820441"/>
    <w:rsid w:val="008222E9"/>
    <w:rsid w:val="00824D90"/>
    <w:rsid w:val="008318BF"/>
    <w:rsid w:val="00831EAA"/>
    <w:rsid w:val="008321CA"/>
    <w:rsid w:val="00832EED"/>
    <w:rsid w:val="00836CB3"/>
    <w:rsid w:val="00843543"/>
    <w:rsid w:val="0084509E"/>
    <w:rsid w:val="00845D99"/>
    <w:rsid w:val="008461E8"/>
    <w:rsid w:val="00852739"/>
    <w:rsid w:val="00854D9F"/>
    <w:rsid w:val="00861568"/>
    <w:rsid w:val="008632D0"/>
    <w:rsid w:val="00867AE3"/>
    <w:rsid w:val="00872161"/>
    <w:rsid w:val="00873B81"/>
    <w:rsid w:val="008748C9"/>
    <w:rsid w:val="0087534B"/>
    <w:rsid w:val="00875729"/>
    <w:rsid w:val="00876CD8"/>
    <w:rsid w:val="008803C0"/>
    <w:rsid w:val="00880BB3"/>
    <w:rsid w:val="008826B9"/>
    <w:rsid w:val="00882721"/>
    <w:rsid w:val="008841F0"/>
    <w:rsid w:val="008856D0"/>
    <w:rsid w:val="00886572"/>
    <w:rsid w:val="0089014D"/>
    <w:rsid w:val="00891F14"/>
    <w:rsid w:val="00894EEF"/>
    <w:rsid w:val="008957B5"/>
    <w:rsid w:val="00896A57"/>
    <w:rsid w:val="008A08F8"/>
    <w:rsid w:val="008A4A0D"/>
    <w:rsid w:val="008A4B98"/>
    <w:rsid w:val="008A56AB"/>
    <w:rsid w:val="008A5D23"/>
    <w:rsid w:val="008A68B4"/>
    <w:rsid w:val="008B0433"/>
    <w:rsid w:val="008B04ED"/>
    <w:rsid w:val="008B1089"/>
    <w:rsid w:val="008B1A3F"/>
    <w:rsid w:val="008B3CEB"/>
    <w:rsid w:val="008B53B4"/>
    <w:rsid w:val="008B68F7"/>
    <w:rsid w:val="008B6B38"/>
    <w:rsid w:val="008B74F5"/>
    <w:rsid w:val="008C0F83"/>
    <w:rsid w:val="008C2D93"/>
    <w:rsid w:val="008D09E3"/>
    <w:rsid w:val="008D11BE"/>
    <w:rsid w:val="008D1B36"/>
    <w:rsid w:val="008D7ECD"/>
    <w:rsid w:val="008E57BF"/>
    <w:rsid w:val="008E7503"/>
    <w:rsid w:val="008F09E1"/>
    <w:rsid w:val="008F33C4"/>
    <w:rsid w:val="008F4B86"/>
    <w:rsid w:val="008F568D"/>
    <w:rsid w:val="00902E43"/>
    <w:rsid w:val="009049EF"/>
    <w:rsid w:val="00905A58"/>
    <w:rsid w:val="00914772"/>
    <w:rsid w:val="009153E3"/>
    <w:rsid w:val="00920087"/>
    <w:rsid w:val="00923A6E"/>
    <w:rsid w:val="00930BCF"/>
    <w:rsid w:val="00931298"/>
    <w:rsid w:val="0093177E"/>
    <w:rsid w:val="00933041"/>
    <w:rsid w:val="009346A8"/>
    <w:rsid w:val="00935A44"/>
    <w:rsid w:val="00935CE2"/>
    <w:rsid w:val="00935E01"/>
    <w:rsid w:val="00940F60"/>
    <w:rsid w:val="00942730"/>
    <w:rsid w:val="00942E10"/>
    <w:rsid w:val="0094409C"/>
    <w:rsid w:val="009451C2"/>
    <w:rsid w:val="0094642F"/>
    <w:rsid w:val="00947102"/>
    <w:rsid w:val="00947956"/>
    <w:rsid w:val="00947981"/>
    <w:rsid w:val="00951E22"/>
    <w:rsid w:val="00952DC9"/>
    <w:rsid w:val="009552FC"/>
    <w:rsid w:val="00955D06"/>
    <w:rsid w:val="009561EF"/>
    <w:rsid w:val="00962867"/>
    <w:rsid w:val="0096380A"/>
    <w:rsid w:val="009638BA"/>
    <w:rsid w:val="009674B3"/>
    <w:rsid w:val="00967B2F"/>
    <w:rsid w:val="0097522B"/>
    <w:rsid w:val="0097658B"/>
    <w:rsid w:val="00976C0D"/>
    <w:rsid w:val="00981B3F"/>
    <w:rsid w:val="009827EF"/>
    <w:rsid w:val="00982D0A"/>
    <w:rsid w:val="00984558"/>
    <w:rsid w:val="0098467C"/>
    <w:rsid w:val="00984B73"/>
    <w:rsid w:val="009866DB"/>
    <w:rsid w:val="00991A24"/>
    <w:rsid w:val="00991BA9"/>
    <w:rsid w:val="00994B47"/>
    <w:rsid w:val="00996143"/>
    <w:rsid w:val="00996EB3"/>
    <w:rsid w:val="009A36E8"/>
    <w:rsid w:val="009A44AB"/>
    <w:rsid w:val="009A4CAC"/>
    <w:rsid w:val="009B26F3"/>
    <w:rsid w:val="009B3622"/>
    <w:rsid w:val="009B3CCA"/>
    <w:rsid w:val="009C0F11"/>
    <w:rsid w:val="009C219E"/>
    <w:rsid w:val="009C6ADB"/>
    <w:rsid w:val="009E06E4"/>
    <w:rsid w:val="009E1BC0"/>
    <w:rsid w:val="009E40F8"/>
    <w:rsid w:val="009E469A"/>
    <w:rsid w:val="009E47FD"/>
    <w:rsid w:val="009F0D9E"/>
    <w:rsid w:val="009F6077"/>
    <w:rsid w:val="009F64D2"/>
    <w:rsid w:val="00A00820"/>
    <w:rsid w:val="00A01419"/>
    <w:rsid w:val="00A0200E"/>
    <w:rsid w:val="00A02615"/>
    <w:rsid w:val="00A03D81"/>
    <w:rsid w:val="00A052C7"/>
    <w:rsid w:val="00A07AE3"/>
    <w:rsid w:val="00A103A2"/>
    <w:rsid w:val="00A1097F"/>
    <w:rsid w:val="00A13C97"/>
    <w:rsid w:val="00A16095"/>
    <w:rsid w:val="00A2266C"/>
    <w:rsid w:val="00A22FB7"/>
    <w:rsid w:val="00A23389"/>
    <w:rsid w:val="00A24DF9"/>
    <w:rsid w:val="00A353EF"/>
    <w:rsid w:val="00A35B69"/>
    <w:rsid w:val="00A366CC"/>
    <w:rsid w:val="00A411FF"/>
    <w:rsid w:val="00A44545"/>
    <w:rsid w:val="00A556CC"/>
    <w:rsid w:val="00A560A6"/>
    <w:rsid w:val="00A57BD7"/>
    <w:rsid w:val="00A60491"/>
    <w:rsid w:val="00A71706"/>
    <w:rsid w:val="00A74B52"/>
    <w:rsid w:val="00A75D65"/>
    <w:rsid w:val="00A768EF"/>
    <w:rsid w:val="00A80708"/>
    <w:rsid w:val="00A816FD"/>
    <w:rsid w:val="00A81C7A"/>
    <w:rsid w:val="00A8530D"/>
    <w:rsid w:val="00A8690C"/>
    <w:rsid w:val="00A908A4"/>
    <w:rsid w:val="00A90D5C"/>
    <w:rsid w:val="00A927AC"/>
    <w:rsid w:val="00A96D6D"/>
    <w:rsid w:val="00A9771A"/>
    <w:rsid w:val="00AA11ED"/>
    <w:rsid w:val="00AA1EF4"/>
    <w:rsid w:val="00AA22AB"/>
    <w:rsid w:val="00AA31A4"/>
    <w:rsid w:val="00AA3872"/>
    <w:rsid w:val="00AA415F"/>
    <w:rsid w:val="00AB18CE"/>
    <w:rsid w:val="00AC5040"/>
    <w:rsid w:val="00AC585D"/>
    <w:rsid w:val="00AC5AA4"/>
    <w:rsid w:val="00AD516D"/>
    <w:rsid w:val="00AD5191"/>
    <w:rsid w:val="00AD6579"/>
    <w:rsid w:val="00AD703C"/>
    <w:rsid w:val="00AE0369"/>
    <w:rsid w:val="00AE1391"/>
    <w:rsid w:val="00AE29A3"/>
    <w:rsid w:val="00AE31F1"/>
    <w:rsid w:val="00AE3AEB"/>
    <w:rsid w:val="00AE5421"/>
    <w:rsid w:val="00AF43A4"/>
    <w:rsid w:val="00AF514C"/>
    <w:rsid w:val="00AF61C4"/>
    <w:rsid w:val="00AF61EC"/>
    <w:rsid w:val="00AF7950"/>
    <w:rsid w:val="00B0296B"/>
    <w:rsid w:val="00B05EC8"/>
    <w:rsid w:val="00B06CFE"/>
    <w:rsid w:val="00B11417"/>
    <w:rsid w:val="00B17DD9"/>
    <w:rsid w:val="00B201D2"/>
    <w:rsid w:val="00B202A0"/>
    <w:rsid w:val="00B20C6E"/>
    <w:rsid w:val="00B225BE"/>
    <w:rsid w:val="00B23609"/>
    <w:rsid w:val="00B307E3"/>
    <w:rsid w:val="00B30B07"/>
    <w:rsid w:val="00B32C75"/>
    <w:rsid w:val="00B3451A"/>
    <w:rsid w:val="00B3726E"/>
    <w:rsid w:val="00B405D0"/>
    <w:rsid w:val="00B414B7"/>
    <w:rsid w:val="00B465B1"/>
    <w:rsid w:val="00B50934"/>
    <w:rsid w:val="00B50972"/>
    <w:rsid w:val="00B50C73"/>
    <w:rsid w:val="00B60D5A"/>
    <w:rsid w:val="00B60E9F"/>
    <w:rsid w:val="00B773EE"/>
    <w:rsid w:val="00BA06F5"/>
    <w:rsid w:val="00BA16DE"/>
    <w:rsid w:val="00BA2163"/>
    <w:rsid w:val="00BA5977"/>
    <w:rsid w:val="00BA5A85"/>
    <w:rsid w:val="00BA7A5E"/>
    <w:rsid w:val="00BB3644"/>
    <w:rsid w:val="00BB48A3"/>
    <w:rsid w:val="00BB74B8"/>
    <w:rsid w:val="00BC07EE"/>
    <w:rsid w:val="00BC3C7C"/>
    <w:rsid w:val="00BC40A8"/>
    <w:rsid w:val="00BC6C19"/>
    <w:rsid w:val="00BC6D21"/>
    <w:rsid w:val="00BD1084"/>
    <w:rsid w:val="00BD6072"/>
    <w:rsid w:val="00BD667B"/>
    <w:rsid w:val="00BD6800"/>
    <w:rsid w:val="00BD78D6"/>
    <w:rsid w:val="00BD7E9B"/>
    <w:rsid w:val="00BE036F"/>
    <w:rsid w:val="00BE1A6F"/>
    <w:rsid w:val="00BE1B9D"/>
    <w:rsid w:val="00BE2706"/>
    <w:rsid w:val="00BE4C43"/>
    <w:rsid w:val="00BF2C8F"/>
    <w:rsid w:val="00BF628F"/>
    <w:rsid w:val="00C018D6"/>
    <w:rsid w:val="00C01D44"/>
    <w:rsid w:val="00C02899"/>
    <w:rsid w:val="00C104C3"/>
    <w:rsid w:val="00C12C90"/>
    <w:rsid w:val="00C1306A"/>
    <w:rsid w:val="00C140A6"/>
    <w:rsid w:val="00C15C47"/>
    <w:rsid w:val="00C16854"/>
    <w:rsid w:val="00C17082"/>
    <w:rsid w:val="00C20DEE"/>
    <w:rsid w:val="00C25D62"/>
    <w:rsid w:val="00C2600F"/>
    <w:rsid w:val="00C268C9"/>
    <w:rsid w:val="00C26DB3"/>
    <w:rsid w:val="00C31C9E"/>
    <w:rsid w:val="00C33A0B"/>
    <w:rsid w:val="00C46159"/>
    <w:rsid w:val="00C46754"/>
    <w:rsid w:val="00C50575"/>
    <w:rsid w:val="00C5125B"/>
    <w:rsid w:val="00C530E4"/>
    <w:rsid w:val="00C563B8"/>
    <w:rsid w:val="00C6681F"/>
    <w:rsid w:val="00C67A12"/>
    <w:rsid w:val="00C718A1"/>
    <w:rsid w:val="00C909A0"/>
    <w:rsid w:val="00C943FF"/>
    <w:rsid w:val="00C945EA"/>
    <w:rsid w:val="00C94DC6"/>
    <w:rsid w:val="00C94F33"/>
    <w:rsid w:val="00CA045F"/>
    <w:rsid w:val="00CA08E2"/>
    <w:rsid w:val="00CA3518"/>
    <w:rsid w:val="00CA59F8"/>
    <w:rsid w:val="00CA6CD3"/>
    <w:rsid w:val="00CC3E6E"/>
    <w:rsid w:val="00CC50E5"/>
    <w:rsid w:val="00CC741E"/>
    <w:rsid w:val="00CD152C"/>
    <w:rsid w:val="00CD509B"/>
    <w:rsid w:val="00CD5827"/>
    <w:rsid w:val="00CD6A8C"/>
    <w:rsid w:val="00CE04B1"/>
    <w:rsid w:val="00CE0B31"/>
    <w:rsid w:val="00CE2B00"/>
    <w:rsid w:val="00CE39C4"/>
    <w:rsid w:val="00CE3C75"/>
    <w:rsid w:val="00CE4A5A"/>
    <w:rsid w:val="00CE7811"/>
    <w:rsid w:val="00CF3506"/>
    <w:rsid w:val="00CF3D71"/>
    <w:rsid w:val="00D02BAA"/>
    <w:rsid w:val="00D040DC"/>
    <w:rsid w:val="00D05204"/>
    <w:rsid w:val="00D07643"/>
    <w:rsid w:val="00D15916"/>
    <w:rsid w:val="00D15D77"/>
    <w:rsid w:val="00D221EC"/>
    <w:rsid w:val="00D233B3"/>
    <w:rsid w:val="00D26E04"/>
    <w:rsid w:val="00D320F8"/>
    <w:rsid w:val="00D36AFE"/>
    <w:rsid w:val="00D37BE9"/>
    <w:rsid w:val="00D400AF"/>
    <w:rsid w:val="00D41D5B"/>
    <w:rsid w:val="00D427B2"/>
    <w:rsid w:val="00D53982"/>
    <w:rsid w:val="00D55A20"/>
    <w:rsid w:val="00D55F80"/>
    <w:rsid w:val="00D577DA"/>
    <w:rsid w:val="00D63F82"/>
    <w:rsid w:val="00D74600"/>
    <w:rsid w:val="00D75B83"/>
    <w:rsid w:val="00D76CFF"/>
    <w:rsid w:val="00D77923"/>
    <w:rsid w:val="00D82B1F"/>
    <w:rsid w:val="00D85866"/>
    <w:rsid w:val="00D918E8"/>
    <w:rsid w:val="00D9526F"/>
    <w:rsid w:val="00DA5395"/>
    <w:rsid w:val="00DA67C4"/>
    <w:rsid w:val="00DB2B8C"/>
    <w:rsid w:val="00DB2C37"/>
    <w:rsid w:val="00DB526F"/>
    <w:rsid w:val="00DB5D24"/>
    <w:rsid w:val="00DB6B90"/>
    <w:rsid w:val="00DB7619"/>
    <w:rsid w:val="00DC3E15"/>
    <w:rsid w:val="00DC5A12"/>
    <w:rsid w:val="00DC6873"/>
    <w:rsid w:val="00DD1973"/>
    <w:rsid w:val="00DE0ED3"/>
    <w:rsid w:val="00DE22A9"/>
    <w:rsid w:val="00DE5AA8"/>
    <w:rsid w:val="00DF15E9"/>
    <w:rsid w:val="00DF1E5B"/>
    <w:rsid w:val="00DF20C2"/>
    <w:rsid w:val="00E011A2"/>
    <w:rsid w:val="00E03FBA"/>
    <w:rsid w:val="00E050C1"/>
    <w:rsid w:val="00E07B48"/>
    <w:rsid w:val="00E07E9A"/>
    <w:rsid w:val="00E11B4C"/>
    <w:rsid w:val="00E12897"/>
    <w:rsid w:val="00E13F80"/>
    <w:rsid w:val="00E15A40"/>
    <w:rsid w:val="00E176D6"/>
    <w:rsid w:val="00E1790E"/>
    <w:rsid w:val="00E20CC4"/>
    <w:rsid w:val="00E23295"/>
    <w:rsid w:val="00E25A71"/>
    <w:rsid w:val="00E31301"/>
    <w:rsid w:val="00E31B13"/>
    <w:rsid w:val="00E35BBD"/>
    <w:rsid w:val="00E3784E"/>
    <w:rsid w:val="00E42996"/>
    <w:rsid w:val="00E42DA6"/>
    <w:rsid w:val="00E437F5"/>
    <w:rsid w:val="00E45D44"/>
    <w:rsid w:val="00E46434"/>
    <w:rsid w:val="00E50F9D"/>
    <w:rsid w:val="00E51FE8"/>
    <w:rsid w:val="00E5481E"/>
    <w:rsid w:val="00E5549C"/>
    <w:rsid w:val="00E56A05"/>
    <w:rsid w:val="00E64F07"/>
    <w:rsid w:val="00E6513F"/>
    <w:rsid w:val="00E660B0"/>
    <w:rsid w:val="00E661CA"/>
    <w:rsid w:val="00E71D96"/>
    <w:rsid w:val="00E72866"/>
    <w:rsid w:val="00E73780"/>
    <w:rsid w:val="00E74E84"/>
    <w:rsid w:val="00E75816"/>
    <w:rsid w:val="00E75D11"/>
    <w:rsid w:val="00E82712"/>
    <w:rsid w:val="00E874EF"/>
    <w:rsid w:val="00E90B84"/>
    <w:rsid w:val="00E90E0E"/>
    <w:rsid w:val="00E9198F"/>
    <w:rsid w:val="00E9554F"/>
    <w:rsid w:val="00E97B54"/>
    <w:rsid w:val="00EA0BBA"/>
    <w:rsid w:val="00EA117F"/>
    <w:rsid w:val="00EA1EE4"/>
    <w:rsid w:val="00EA291E"/>
    <w:rsid w:val="00EA5959"/>
    <w:rsid w:val="00EA598D"/>
    <w:rsid w:val="00EA5C86"/>
    <w:rsid w:val="00EA618C"/>
    <w:rsid w:val="00EA6982"/>
    <w:rsid w:val="00EA6A77"/>
    <w:rsid w:val="00EA7B65"/>
    <w:rsid w:val="00EC14D6"/>
    <w:rsid w:val="00EC20C7"/>
    <w:rsid w:val="00EC40DB"/>
    <w:rsid w:val="00EC41C6"/>
    <w:rsid w:val="00EC5A17"/>
    <w:rsid w:val="00EC7D25"/>
    <w:rsid w:val="00ED5BEE"/>
    <w:rsid w:val="00ED6A43"/>
    <w:rsid w:val="00EE2049"/>
    <w:rsid w:val="00EE3855"/>
    <w:rsid w:val="00EE4AE3"/>
    <w:rsid w:val="00EE760E"/>
    <w:rsid w:val="00EF0079"/>
    <w:rsid w:val="00EF0BAF"/>
    <w:rsid w:val="00EF11A8"/>
    <w:rsid w:val="00EF3BAF"/>
    <w:rsid w:val="00EF412E"/>
    <w:rsid w:val="00EF5325"/>
    <w:rsid w:val="00EF5A67"/>
    <w:rsid w:val="00EF7ECB"/>
    <w:rsid w:val="00F00701"/>
    <w:rsid w:val="00F007B0"/>
    <w:rsid w:val="00F0291B"/>
    <w:rsid w:val="00F13C46"/>
    <w:rsid w:val="00F14654"/>
    <w:rsid w:val="00F15380"/>
    <w:rsid w:val="00F15DB4"/>
    <w:rsid w:val="00F24BE3"/>
    <w:rsid w:val="00F302B6"/>
    <w:rsid w:val="00F34933"/>
    <w:rsid w:val="00F36C5E"/>
    <w:rsid w:val="00F3703A"/>
    <w:rsid w:val="00F424AC"/>
    <w:rsid w:val="00F4378B"/>
    <w:rsid w:val="00F445DD"/>
    <w:rsid w:val="00F479DC"/>
    <w:rsid w:val="00F527A2"/>
    <w:rsid w:val="00F52CE1"/>
    <w:rsid w:val="00F53D4E"/>
    <w:rsid w:val="00F53F14"/>
    <w:rsid w:val="00F60980"/>
    <w:rsid w:val="00F615A3"/>
    <w:rsid w:val="00F61A68"/>
    <w:rsid w:val="00F62A42"/>
    <w:rsid w:val="00F62D49"/>
    <w:rsid w:val="00F66242"/>
    <w:rsid w:val="00F7034E"/>
    <w:rsid w:val="00F70604"/>
    <w:rsid w:val="00F7253E"/>
    <w:rsid w:val="00F72FA7"/>
    <w:rsid w:val="00F75C21"/>
    <w:rsid w:val="00F76873"/>
    <w:rsid w:val="00F77D14"/>
    <w:rsid w:val="00F80F0B"/>
    <w:rsid w:val="00F81A66"/>
    <w:rsid w:val="00F81C76"/>
    <w:rsid w:val="00F8377C"/>
    <w:rsid w:val="00F87E7C"/>
    <w:rsid w:val="00F87EFB"/>
    <w:rsid w:val="00F90B4F"/>
    <w:rsid w:val="00F912E0"/>
    <w:rsid w:val="00F91E5F"/>
    <w:rsid w:val="00F934F6"/>
    <w:rsid w:val="00F937D1"/>
    <w:rsid w:val="00F939E7"/>
    <w:rsid w:val="00F940D0"/>
    <w:rsid w:val="00F96DA9"/>
    <w:rsid w:val="00F96F3C"/>
    <w:rsid w:val="00FA215F"/>
    <w:rsid w:val="00FA2ED1"/>
    <w:rsid w:val="00FA3679"/>
    <w:rsid w:val="00FA4BDA"/>
    <w:rsid w:val="00FA70CA"/>
    <w:rsid w:val="00FA7405"/>
    <w:rsid w:val="00FA776F"/>
    <w:rsid w:val="00FA7912"/>
    <w:rsid w:val="00FB7BB4"/>
    <w:rsid w:val="00FC4FC2"/>
    <w:rsid w:val="00FC6039"/>
    <w:rsid w:val="00FC6EDD"/>
    <w:rsid w:val="00FD19ED"/>
    <w:rsid w:val="00FD6FDD"/>
    <w:rsid w:val="00FD7150"/>
    <w:rsid w:val="00FE0EE1"/>
    <w:rsid w:val="00FE2616"/>
    <w:rsid w:val="00FE4E83"/>
    <w:rsid w:val="00FF024E"/>
    <w:rsid w:val="00FF2E54"/>
    <w:rsid w:val="00FF49A1"/>
    <w:rsid w:val="00FF6C60"/>
    <w:rsid w:val="00FF6CA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832498-575D-4D52-AAC5-0C330C24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48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395"/>
    <w:pPr>
      <w:tabs>
        <w:tab w:val="center" w:pos="4513"/>
        <w:tab w:val="right" w:pos="9026"/>
      </w:tabs>
    </w:pPr>
  </w:style>
  <w:style w:type="character" w:customStyle="1" w:styleId="HeaderChar">
    <w:name w:val="Header Char"/>
    <w:basedOn w:val="DefaultParagraphFont"/>
    <w:link w:val="Header"/>
    <w:uiPriority w:val="99"/>
    <w:rsid w:val="00DA539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A5395"/>
    <w:pPr>
      <w:tabs>
        <w:tab w:val="center" w:pos="4513"/>
        <w:tab w:val="right" w:pos="9026"/>
      </w:tabs>
    </w:pPr>
  </w:style>
  <w:style w:type="character" w:customStyle="1" w:styleId="FooterChar">
    <w:name w:val="Footer Char"/>
    <w:basedOn w:val="DefaultParagraphFont"/>
    <w:link w:val="Footer"/>
    <w:uiPriority w:val="99"/>
    <w:rsid w:val="00DA5395"/>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EF11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681F"/>
    <w:rPr>
      <w:rFonts w:ascii="Tahoma" w:hAnsi="Tahoma" w:cs="Tahoma"/>
      <w:sz w:val="16"/>
      <w:szCs w:val="16"/>
    </w:rPr>
  </w:style>
  <w:style w:type="character" w:customStyle="1" w:styleId="BalloonTextChar">
    <w:name w:val="Balloon Text Char"/>
    <w:basedOn w:val="DefaultParagraphFont"/>
    <w:link w:val="BalloonText"/>
    <w:uiPriority w:val="99"/>
    <w:semiHidden/>
    <w:rsid w:val="00C6681F"/>
    <w:rPr>
      <w:rFonts w:ascii="Tahoma" w:eastAsia="Times New Roman" w:hAnsi="Tahoma" w:cs="Tahoma"/>
      <w:sz w:val="16"/>
      <w:szCs w:val="16"/>
      <w:lang w:val="en-GB" w:eastAsia="en-GB"/>
    </w:rPr>
  </w:style>
  <w:style w:type="paragraph" w:styleId="ListParagraph">
    <w:name w:val="List Paragraph"/>
    <w:basedOn w:val="Normal"/>
    <w:uiPriority w:val="34"/>
    <w:qFormat/>
    <w:rsid w:val="00781F07"/>
    <w:pPr>
      <w:ind w:left="720"/>
      <w:contextualSpacing/>
    </w:pPr>
  </w:style>
  <w:style w:type="paragraph" w:styleId="FootnoteText">
    <w:name w:val="footnote text"/>
    <w:basedOn w:val="Normal"/>
    <w:link w:val="FootnoteTextChar"/>
    <w:uiPriority w:val="99"/>
    <w:unhideWhenUsed/>
    <w:qFormat/>
    <w:rsid w:val="00781F07"/>
    <w:rPr>
      <w:sz w:val="20"/>
      <w:szCs w:val="20"/>
    </w:rPr>
  </w:style>
  <w:style w:type="character" w:customStyle="1" w:styleId="FootnoteTextChar">
    <w:name w:val="Footnote Text Char"/>
    <w:basedOn w:val="DefaultParagraphFont"/>
    <w:link w:val="FootnoteText"/>
    <w:uiPriority w:val="99"/>
    <w:rsid w:val="00781F07"/>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781F07"/>
    <w:rPr>
      <w:vertAlign w:val="superscript"/>
    </w:rPr>
  </w:style>
  <w:style w:type="character" w:customStyle="1" w:styleId="mc">
    <w:name w:val="mc"/>
    <w:basedOn w:val="DefaultParagraphFont"/>
    <w:rsid w:val="00E46434"/>
  </w:style>
  <w:style w:type="character" w:styleId="Hyperlink">
    <w:name w:val="Hyperlink"/>
    <w:basedOn w:val="DefaultParagraphFont"/>
    <w:uiPriority w:val="99"/>
    <w:semiHidden/>
    <w:unhideWhenUsed/>
    <w:rsid w:val="00331CAF"/>
    <w:rPr>
      <w:color w:val="0000FF"/>
      <w:u w:val="single"/>
    </w:rPr>
  </w:style>
  <w:style w:type="paragraph" w:customStyle="1" w:styleId="casehead1">
    <w:name w:val="casehead1"/>
    <w:basedOn w:val="Normal"/>
    <w:rsid w:val="00C909A0"/>
    <w:pPr>
      <w:spacing w:before="100" w:beforeAutospacing="1" w:after="100" w:afterAutospacing="1"/>
    </w:pPr>
    <w:rPr>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497805">
      <w:bodyDiv w:val="1"/>
      <w:marLeft w:val="0"/>
      <w:marRight w:val="0"/>
      <w:marTop w:val="0"/>
      <w:marBottom w:val="0"/>
      <w:divBdr>
        <w:top w:val="none" w:sz="0" w:space="0" w:color="auto"/>
        <w:left w:val="none" w:sz="0" w:space="0" w:color="auto"/>
        <w:bottom w:val="none" w:sz="0" w:space="0" w:color="auto"/>
        <w:right w:val="none" w:sz="0" w:space="0" w:color="auto"/>
      </w:divBdr>
      <w:divsChild>
        <w:div w:id="2097089434">
          <w:marLeft w:val="0"/>
          <w:marRight w:val="0"/>
          <w:marTop w:val="120"/>
          <w:marBottom w:val="0"/>
          <w:divBdr>
            <w:top w:val="none" w:sz="0" w:space="0" w:color="auto"/>
            <w:left w:val="none" w:sz="0" w:space="0" w:color="auto"/>
            <w:bottom w:val="none" w:sz="0" w:space="0" w:color="auto"/>
            <w:right w:val="none" w:sz="0" w:space="0" w:color="auto"/>
          </w:divBdr>
        </w:div>
      </w:divsChild>
    </w:div>
    <w:div w:id="1051199123">
      <w:bodyDiv w:val="1"/>
      <w:marLeft w:val="0"/>
      <w:marRight w:val="0"/>
      <w:marTop w:val="0"/>
      <w:marBottom w:val="0"/>
      <w:divBdr>
        <w:top w:val="none" w:sz="0" w:space="0" w:color="auto"/>
        <w:left w:val="none" w:sz="0" w:space="0" w:color="auto"/>
        <w:bottom w:val="none" w:sz="0" w:space="0" w:color="auto"/>
        <w:right w:val="none" w:sz="0" w:space="0" w:color="auto"/>
      </w:divBdr>
      <w:divsChild>
        <w:div w:id="1420834934">
          <w:marLeft w:val="0"/>
          <w:marRight w:val="0"/>
          <w:marTop w:val="120"/>
          <w:marBottom w:val="0"/>
          <w:divBdr>
            <w:top w:val="none" w:sz="0" w:space="0" w:color="auto"/>
            <w:left w:val="none" w:sz="0" w:space="0" w:color="auto"/>
            <w:bottom w:val="none" w:sz="0" w:space="0" w:color="auto"/>
            <w:right w:val="none" w:sz="0" w:space="0" w:color="auto"/>
          </w:divBdr>
        </w:div>
        <w:div w:id="844172336">
          <w:marLeft w:val="0"/>
          <w:marRight w:val="0"/>
          <w:marTop w:val="240"/>
          <w:marBottom w:val="24"/>
          <w:divBdr>
            <w:top w:val="single" w:sz="8" w:space="2" w:color="808080"/>
            <w:left w:val="none" w:sz="0" w:space="0" w:color="auto"/>
            <w:bottom w:val="none" w:sz="0" w:space="0" w:color="auto"/>
            <w:right w:val="none" w:sz="0" w:space="0" w:color="auto"/>
          </w:divBdr>
        </w:div>
        <w:div w:id="697199053">
          <w:marLeft w:val="0"/>
          <w:marRight w:val="0"/>
          <w:marTop w:val="120"/>
          <w:marBottom w:val="0"/>
          <w:divBdr>
            <w:top w:val="none" w:sz="0" w:space="0" w:color="auto"/>
            <w:left w:val="none" w:sz="0" w:space="0" w:color="auto"/>
            <w:bottom w:val="none" w:sz="0" w:space="0" w:color="auto"/>
            <w:right w:val="none" w:sz="0" w:space="0" w:color="auto"/>
          </w:divBdr>
        </w:div>
        <w:div w:id="118497317">
          <w:marLeft w:val="0"/>
          <w:marRight w:val="0"/>
          <w:marTop w:val="120"/>
          <w:marBottom w:val="0"/>
          <w:divBdr>
            <w:top w:val="none" w:sz="0" w:space="0" w:color="auto"/>
            <w:left w:val="none" w:sz="0" w:space="0" w:color="auto"/>
            <w:bottom w:val="none" w:sz="0" w:space="0" w:color="auto"/>
            <w:right w:val="none" w:sz="0" w:space="0" w:color="auto"/>
          </w:divBdr>
        </w:div>
      </w:divsChild>
    </w:div>
    <w:div w:id="1073313488">
      <w:bodyDiv w:val="1"/>
      <w:marLeft w:val="0"/>
      <w:marRight w:val="0"/>
      <w:marTop w:val="0"/>
      <w:marBottom w:val="0"/>
      <w:divBdr>
        <w:top w:val="none" w:sz="0" w:space="0" w:color="auto"/>
        <w:left w:val="none" w:sz="0" w:space="0" w:color="auto"/>
        <w:bottom w:val="none" w:sz="0" w:space="0" w:color="auto"/>
        <w:right w:val="none" w:sz="0" w:space="0" w:color="auto"/>
      </w:divBdr>
      <w:divsChild>
        <w:div w:id="1481850162">
          <w:marLeft w:val="0"/>
          <w:marRight w:val="0"/>
          <w:marTop w:val="120"/>
          <w:marBottom w:val="0"/>
          <w:divBdr>
            <w:top w:val="none" w:sz="0" w:space="0" w:color="auto"/>
            <w:left w:val="none" w:sz="0" w:space="0" w:color="auto"/>
            <w:bottom w:val="none" w:sz="0" w:space="0" w:color="auto"/>
            <w:right w:val="none" w:sz="0" w:space="0" w:color="auto"/>
          </w:divBdr>
        </w:div>
        <w:div w:id="1310132206">
          <w:marLeft w:val="0"/>
          <w:marRight w:val="0"/>
          <w:marTop w:val="120"/>
          <w:marBottom w:val="0"/>
          <w:divBdr>
            <w:top w:val="none" w:sz="0" w:space="0" w:color="auto"/>
            <w:left w:val="none" w:sz="0" w:space="0" w:color="auto"/>
            <w:bottom w:val="none" w:sz="0" w:space="0" w:color="auto"/>
            <w:right w:val="none" w:sz="0" w:space="0" w:color="auto"/>
          </w:divBdr>
        </w:div>
      </w:divsChild>
    </w:div>
    <w:div w:id="1353143177">
      <w:bodyDiv w:val="1"/>
      <w:marLeft w:val="0"/>
      <w:marRight w:val="0"/>
      <w:marTop w:val="0"/>
      <w:marBottom w:val="0"/>
      <w:divBdr>
        <w:top w:val="none" w:sz="0" w:space="0" w:color="auto"/>
        <w:left w:val="none" w:sz="0" w:space="0" w:color="auto"/>
        <w:bottom w:val="none" w:sz="0" w:space="0" w:color="auto"/>
        <w:right w:val="none" w:sz="0" w:space="0" w:color="auto"/>
      </w:divBdr>
      <w:divsChild>
        <w:div w:id="824011088">
          <w:marLeft w:val="0"/>
          <w:marRight w:val="0"/>
          <w:marTop w:val="120"/>
          <w:marBottom w:val="0"/>
          <w:divBdr>
            <w:top w:val="none" w:sz="0" w:space="0" w:color="auto"/>
            <w:left w:val="none" w:sz="0" w:space="0" w:color="auto"/>
            <w:bottom w:val="none" w:sz="0" w:space="0" w:color="auto"/>
            <w:right w:val="none" w:sz="0" w:space="0" w:color="auto"/>
          </w:divBdr>
        </w:div>
      </w:divsChild>
    </w:div>
    <w:div w:id="1535387742">
      <w:bodyDiv w:val="1"/>
      <w:marLeft w:val="0"/>
      <w:marRight w:val="0"/>
      <w:marTop w:val="0"/>
      <w:marBottom w:val="0"/>
      <w:divBdr>
        <w:top w:val="none" w:sz="0" w:space="0" w:color="auto"/>
        <w:left w:val="none" w:sz="0" w:space="0" w:color="auto"/>
        <w:bottom w:val="none" w:sz="0" w:space="0" w:color="auto"/>
        <w:right w:val="none" w:sz="0" w:space="0" w:color="auto"/>
      </w:divBdr>
      <w:divsChild>
        <w:div w:id="988024115">
          <w:marLeft w:val="0"/>
          <w:marRight w:val="0"/>
          <w:marTop w:val="120"/>
          <w:marBottom w:val="0"/>
          <w:divBdr>
            <w:top w:val="none" w:sz="0" w:space="0" w:color="auto"/>
            <w:left w:val="none" w:sz="0" w:space="0" w:color="auto"/>
            <w:bottom w:val="none" w:sz="0" w:space="0" w:color="auto"/>
            <w:right w:val="none" w:sz="0" w:space="0" w:color="auto"/>
          </w:divBdr>
        </w:div>
        <w:div w:id="1561553062">
          <w:marLeft w:val="0"/>
          <w:marRight w:val="0"/>
          <w:marTop w:val="120"/>
          <w:marBottom w:val="0"/>
          <w:divBdr>
            <w:top w:val="none" w:sz="0" w:space="0" w:color="auto"/>
            <w:left w:val="none" w:sz="0" w:space="0" w:color="auto"/>
            <w:bottom w:val="none" w:sz="0" w:space="0" w:color="auto"/>
            <w:right w:val="none" w:sz="0" w:space="0" w:color="auto"/>
          </w:divBdr>
        </w:div>
      </w:divsChild>
    </w:div>
    <w:div w:id="1760176658">
      <w:bodyDiv w:val="1"/>
      <w:marLeft w:val="0"/>
      <w:marRight w:val="0"/>
      <w:marTop w:val="0"/>
      <w:marBottom w:val="0"/>
      <w:divBdr>
        <w:top w:val="none" w:sz="0" w:space="0" w:color="auto"/>
        <w:left w:val="none" w:sz="0" w:space="0" w:color="auto"/>
        <w:bottom w:val="none" w:sz="0" w:space="0" w:color="auto"/>
        <w:right w:val="none" w:sz="0" w:space="0" w:color="auto"/>
      </w:divBdr>
    </w:div>
    <w:div w:id="1815177631">
      <w:bodyDiv w:val="1"/>
      <w:marLeft w:val="0"/>
      <w:marRight w:val="0"/>
      <w:marTop w:val="0"/>
      <w:marBottom w:val="0"/>
      <w:divBdr>
        <w:top w:val="none" w:sz="0" w:space="0" w:color="auto"/>
        <w:left w:val="none" w:sz="0" w:space="0" w:color="auto"/>
        <w:bottom w:val="none" w:sz="0" w:space="0" w:color="auto"/>
        <w:right w:val="none" w:sz="0" w:space="0" w:color="auto"/>
      </w:divBdr>
      <w:divsChild>
        <w:div w:id="1300379227">
          <w:marLeft w:val="0"/>
          <w:marRight w:val="0"/>
          <w:marTop w:val="144"/>
          <w:marBottom w:val="24"/>
          <w:divBdr>
            <w:top w:val="none" w:sz="0" w:space="0" w:color="auto"/>
            <w:left w:val="none" w:sz="0" w:space="0" w:color="auto"/>
            <w:bottom w:val="none" w:sz="0" w:space="0" w:color="auto"/>
            <w:right w:val="none" w:sz="0" w:space="0" w:color="auto"/>
          </w:divBdr>
        </w:div>
      </w:divsChild>
    </w:div>
    <w:div w:id="2078555941">
      <w:bodyDiv w:val="1"/>
      <w:marLeft w:val="0"/>
      <w:marRight w:val="0"/>
      <w:marTop w:val="0"/>
      <w:marBottom w:val="0"/>
      <w:divBdr>
        <w:top w:val="none" w:sz="0" w:space="0" w:color="auto"/>
        <w:left w:val="none" w:sz="0" w:space="0" w:color="auto"/>
        <w:bottom w:val="none" w:sz="0" w:space="0" w:color="auto"/>
        <w:right w:val="none" w:sz="0" w:space="0" w:color="auto"/>
      </w:divBdr>
      <w:divsChild>
        <w:div w:id="182059558">
          <w:marLeft w:val="0"/>
          <w:marRight w:val="0"/>
          <w:marTop w:val="120"/>
          <w:marBottom w:val="0"/>
          <w:divBdr>
            <w:top w:val="none" w:sz="0" w:space="0" w:color="auto"/>
            <w:left w:val="none" w:sz="0" w:space="0" w:color="auto"/>
            <w:bottom w:val="none" w:sz="0" w:space="0" w:color="auto"/>
            <w:right w:val="none" w:sz="0" w:space="0" w:color="auto"/>
          </w:divBdr>
        </w:div>
        <w:div w:id="1952666396">
          <w:marLeft w:val="567"/>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9841046%27%5d&amp;xhitlist_md=target-id=0-0-0-365889" TargetMode="Externa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414BC-11EA-405F-8C41-6E2F4EEA7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4415</Words>
  <Characters>25166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Judge-Johannes Daffue</dc:creator>
  <cp:keywords/>
  <dc:description/>
  <cp:lastModifiedBy>Mokone</cp:lastModifiedBy>
  <cp:revision>3</cp:revision>
  <cp:lastPrinted>2023-02-06T05:28:00Z</cp:lastPrinted>
  <dcterms:created xsi:type="dcterms:W3CDTF">2023-02-10T11:31:00Z</dcterms:created>
  <dcterms:modified xsi:type="dcterms:W3CDTF">2023-02-10T11:37:00Z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57b65fd134b5309cb1ba602393baf3e320b135b864d1ba55b140df27cee3b594</vt:lpwstr>
  </property>
</Properties>
</file>