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E64B" w14:textId="62BAC4F2" w:rsidR="00B01811" w:rsidRDefault="00B01811" w:rsidP="008743BB">
      <w:pPr>
        <w:ind w:left="720" w:firstLine="720"/>
        <w:rPr>
          <w:rFonts w:ascii="Arial" w:hAnsi="Arial" w:cs="Arial"/>
          <w:b/>
          <w:sz w:val="26"/>
          <w:szCs w:val="26"/>
        </w:rPr>
      </w:pPr>
      <w:r w:rsidRPr="008B79D6">
        <w:rPr>
          <w:rFonts w:ascii="Arial" w:hAnsi="Arial" w:cs="Arial"/>
          <w:b/>
          <w:noProof/>
          <w:u w:val="single"/>
          <w:lang w:val="en-ZA" w:eastAsia="en-ZA"/>
        </w:rPr>
        <w:drawing>
          <wp:anchor distT="0" distB="0" distL="114300" distR="114300" simplePos="0" relativeHeight="251658240" behindDoc="1" locked="0" layoutInCell="1" allowOverlap="1" wp14:anchorId="1D62DEF9" wp14:editId="2A50AFC6">
            <wp:simplePos x="0" y="0"/>
            <wp:positionH relativeFrom="margin">
              <wp:posOffset>2082800</wp:posOffset>
            </wp:positionH>
            <wp:positionV relativeFrom="paragraph">
              <wp:posOffset>-482600</wp:posOffset>
            </wp:positionV>
            <wp:extent cx="1504950" cy="1438275"/>
            <wp:effectExtent l="0" t="0" r="0" b="952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7" r:link="rId9">
                      <a:extLst>
                        <a:ext uri="{BEBA8EAE-BF5A-486C-A8C5-ECC9F3942E4B}">
                          <a14:imgProps xmlns:a14="http://schemas.microsoft.com/office/drawing/2010/main">
                            <a14:imgLayer r:embed="rId8">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4950" cy="1438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14:paraId="0EF6AB2D" w14:textId="77777777" w:rsidR="00B01811" w:rsidRDefault="00B01811" w:rsidP="008743BB">
      <w:pPr>
        <w:ind w:left="720" w:firstLine="720"/>
        <w:rPr>
          <w:rFonts w:ascii="Arial" w:hAnsi="Arial" w:cs="Arial"/>
          <w:b/>
          <w:sz w:val="26"/>
          <w:szCs w:val="26"/>
        </w:rPr>
      </w:pPr>
    </w:p>
    <w:p w14:paraId="5E29DDD0" w14:textId="77777777" w:rsidR="00B01811" w:rsidRDefault="00B01811" w:rsidP="008743BB">
      <w:pPr>
        <w:ind w:left="720" w:firstLine="720"/>
        <w:rPr>
          <w:rFonts w:ascii="Arial" w:hAnsi="Arial" w:cs="Arial"/>
          <w:b/>
          <w:sz w:val="26"/>
          <w:szCs w:val="26"/>
        </w:rPr>
      </w:pPr>
    </w:p>
    <w:p w14:paraId="6DC05B94" w14:textId="77777777" w:rsidR="00B01811" w:rsidRDefault="00B01811" w:rsidP="008743BB">
      <w:pPr>
        <w:ind w:left="720" w:firstLine="720"/>
        <w:rPr>
          <w:rFonts w:ascii="Arial" w:hAnsi="Arial" w:cs="Arial"/>
          <w:b/>
          <w:sz w:val="26"/>
          <w:szCs w:val="26"/>
        </w:rPr>
      </w:pPr>
    </w:p>
    <w:p w14:paraId="736F2A36" w14:textId="23B39951" w:rsidR="005B62B9" w:rsidRPr="008F7851" w:rsidRDefault="00B01811" w:rsidP="008743BB">
      <w:pPr>
        <w:ind w:left="720" w:firstLine="720"/>
        <w:rPr>
          <w:rFonts w:ascii="Arial" w:hAnsi="Arial" w:cs="Arial"/>
          <w:b/>
          <w:sz w:val="26"/>
          <w:szCs w:val="26"/>
        </w:rPr>
      </w:pPr>
      <w:r>
        <w:rPr>
          <w:rFonts w:ascii="Arial" w:hAnsi="Arial" w:cs="Arial"/>
          <w:b/>
          <w:sz w:val="26"/>
          <w:szCs w:val="26"/>
        </w:rPr>
        <w:t xml:space="preserve">    </w:t>
      </w:r>
      <w:r w:rsidR="008743BB" w:rsidRPr="008F7851">
        <w:rPr>
          <w:rFonts w:ascii="Arial" w:hAnsi="Arial" w:cs="Arial"/>
          <w:b/>
          <w:sz w:val="26"/>
          <w:szCs w:val="26"/>
        </w:rPr>
        <w:t>IN THE HIGH COURT OF SOUTH AFRICA</w:t>
      </w:r>
    </w:p>
    <w:p w14:paraId="0AB34AC3" w14:textId="0C3BCFE7" w:rsidR="008743BB" w:rsidRPr="008F7851" w:rsidRDefault="00B01811" w:rsidP="008743BB">
      <w:pPr>
        <w:ind w:left="720" w:firstLine="720"/>
        <w:rPr>
          <w:rFonts w:ascii="Arial" w:hAnsi="Arial" w:cs="Arial"/>
          <w:sz w:val="26"/>
          <w:szCs w:val="26"/>
        </w:rPr>
      </w:pPr>
      <w:r>
        <w:rPr>
          <w:rFonts w:ascii="Arial" w:hAnsi="Arial" w:cs="Arial"/>
          <w:b/>
          <w:sz w:val="26"/>
          <w:szCs w:val="26"/>
        </w:rPr>
        <w:t xml:space="preserve">    </w:t>
      </w:r>
      <w:r w:rsidR="008743BB" w:rsidRPr="008F7851">
        <w:rPr>
          <w:rFonts w:ascii="Arial" w:hAnsi="Arial" w:cs="Arial"/>
          <w:b/>
          <w:sz w:val="26"/>
          <w:szCs w:val="26"/>
        </w:rPr>
        <w:t>FREE STATE DIVISION, BLOEMFONTEIN</w:t>
      </w:r>
    </w:p>
    <w:p w14:paraId="1B47D91C" w14:textId="77777777" w:rsidR="008743BB" w:rsidRPr="008F7851" w:rsidRDefault="008743BB" w:rsidP="008743BB">
      <w:pPr>
        <w:ind w:left="720" w:firstLine="720"/>
        <w:rPr>
          <w:rFonts w:ascii="Arial" w:hAnsi="Arial" w:cs="Arial"/>
          <w:sz w:val="26"/>
          <w:szCs w:val="26"/>
        </w:rPr>
      </w:pPr>
    </w:p>
    <w:p w14:paraId="2E60B87A" w14:textId="2A412D2A" w:rsidR="008743BB" w:rsidRPr="008F7851" w:rsidRDefault="008743BB" w:rsidP="008743BB">
      <w:pPr>
        <w:ind w:left="720" w:firstLine="720"/>
        <w:rPr>
          <w:rFonts w:ascii="Arial" w:hAnsi="Arial" w:cs="Arial"/>
          <w:b/>
          <w:sz w:val="26"/>
          <w:szCs w:val="26"/>
        </w:rPr>
      </w:pPr>
      <w:r w:rsidRPr="008F7851">
        <w:rPr>
          <w:rFonts w:ascii="Arial" w:hAnsi="Arial" w:cs="Arial"/>
          <w:sz w:val="26"/>
          <w:szCs w:val="26"/>
        </w:rPr>
        <w:tab/>
      </w:r>
      <w:r w:rsidRPr="008F7851">
        <w:rPr>
          <w:rFonts w:ascii="Arial" w:hAnsi="Arial" w:cs="Arial"/>
          <w:sz w:val="26"/>
          <w:szCs w:val="26"/>
        </w:rPr>
        <w:tab/>
      </w:r>
      <w:r w:rsidRPr="008F7851">
        <w:rPr>
          <w:rFonts w:ascii="Arial" w:hAnsi="Arial" w:cs="Arial"/>
          <w:sz w:val="26"/>
          <w:szCs w:val="26"/>
        </w:rPr>
        <w:tab/>
      </w:r>
      <w:r w:rsidRPr="008F7851">
        <w:rPr>
          <w:rFonts w:ascii="Arial" w:hAnsi="Arial" w:cs="Arial"/>
          <w:sz w:val="26"/>
          <w:szCs w:val="26"/>
        </w:rPr>
        <w:tab/>
      </w:r>
      <w:r w:rsidRPr="008F7851">
        <w:rPr>
          <w:rFonts w:ascii="Arial" w:hAnsi="Arial" w:cs="Arial"/>
          <w:sz w:val="26"/>
          <w:szCs w:val="26"/>
        </w:rPr>
        <w:tab/>
      </w:r>
      <w:r w:rsidRPr="008F7851">
        <w:rPr>
          <w:rFonts w:ascii="Arial" w:hAnsi="Arial" w:cs="Arial"/>
          <w:sz w:val="26"/>
          <w:szCs w:val="26"/>
        </w:rPr>
        <w:tab/>
      </w:r>
      <w:r w:rsidRPr="008F7851">
        <w:rPr>
          <w:rFonts w:ascii="Arial" w:hAnsi="Arial" w:cs="Arial"/>
          <w:sz w:val="26"/>
          <w:szCs w:val="26"/>
        </w:rPr>
        <w:tab/>
      </w:r>
      <w:r w:rsidR="008F7851" w:rsidRPr="008F7851">
        <w:rPr>
          <w:rFonts w:ascii="Arial" w:hAnsi="Arial" w:cs="Arial"/>
          <w:b/>
          <w:sz w:val="26"/>
          <w:szCs w:val="26"/>
        </w:rPr>
        <w:t xml:space="preserve">CASE NO. </w:t>
      </w:r>
      <w:r w:rsidR="00207B7A">
        <w:rPr>
          <w:rFonts w:ascii="Arial" w:hAnsi="Arial" w:cs="Arial"/>
          <w:b/>
          <w:sz w:val="26"/>
          <w:szCs w:val="26"/>
        </w:rPr>
        <w:t>1395</w:t>
      </w:r>
      <w:r w:rsidR="00BE16C7">
        <w:rPr>
          <w:rFonts w:ascii="Arial" w:hAnsi="Arial" w:cs="Arial"/>
          <w:b/>
          <w:sz w:val="26"/>
          <w:szCs w:val="26"/>
        </w:rPr>
        <w:t>/</w:t>
      </w:r>
      <w:r w:rsidRPr="008F7851">
        <w:rPr>
          <w:rFonts w:ascii="Arial" w:hAnsi="Arial" w:cs="Arial"/>
          <w:b/>
          <w:sz w:val="26"/>
          <w:szCs w:val="26"/>
        </w:rPr>
        <w:t>202</w:t>
      </w:r>
      <w:r w:rsidR="006663D5">
        <w:rPr>
          <w:rFonts w:ascii="Arial" w:hAnsi="Arial" w:cs="Arial"/>
          <w:b/>
          <w:sz w:val="26"/>
          <w:szCs w:val="26"/>
        </w:rPr>
        <w:t>2</w:t>
      </w:r>
    </w:p>
    <w:p w14:paraId="4F91E7BA" w14:textId="40808DB6" w:rsidR="008743BB" w:rsidRPr="008F7851" w:rsidRDefault="008743BB" w:rsidP="008743BB">
      <w:pPr>
        <w:rPr>
          <w:rFonts w:ascii="Arial" w:hAnsi="Arial" w:cs="Arial"/>
          <w:b/>
          <w:sz w:val="26"/>
          <w:szCs w:val="26"/>
        </w:rPr>
      </w:pPr>
      <w:r w:rsidRPr="008F7851">
        <w:rPr>
          <w:rFonts w:ascii="Arial" w:hAnsi="Arial" w:cs="Arial"/>
          <w:b/>
          <w:sz w:val="26"/>
          <w:szCs w:val="26"/>
        </w:rPr>
        <w:t>In the matter between</w:t>
      </w:r>
    </w:p>
    <w:p w14:paraId="2B73A862" w14:textId="77777777" w:rsidR="008743BB" w:rsidRPr="008F7851" w:rsidRDefault="008743BB" w:rsidP="008743BB">
      <w:pPr>
        <w:rPr>
          <w:rFonts w:ascii="Arial" w:hAnsi="Arial" w:cs="Arial"/>
          <w:b/>
          <w:sz w:val="26"/>
          <w:szCs w:val="26"/>
        </w:rPr>
      </w:pPr>
    </w:p>
    <w:p w14:paraId="0F0F7AF7" w14:textId="2C921ACB" w:rsidR="008743BB" w:rsidRDefault="00207B7A" w:rsidP="008743BB">
      <w:pPr>
        <w:rPr>
          <w:rFonts w:ascii="Arial" w:hAnsi="Arial" w:cs="Arial"/>
          <w:b/>
          <w:sz w:val="26"/>
          <w:szCs w:val="26"/>
        </w:rPr>
      </w:pPr>
      <w:r>
        <w:rPr>
          <w:rFonts w:ascii="Arial" w:hAnsi="Arial" w:cs="Arial"/>
          <w:b/>
          <w:sz w:val="26"/>
          <w:szCs w:val="26"/>
        </w:rPr>
        <w:t>LIBERTY GROUP</w:t>
      </w:r>
      <w:r w:rsidR="00BE16C7">
        <w:rPr>
          <w:rFonts w:ascii="Arial" w:hAnsi="Arial" w:cs="Arial"/>
          <w:b/>
          <w:sz w:val="26"/>
          <w:szCs w:val="26"/>
        </w:rPr>
        <w:t xml:space="preserve"> L</w:t>
      </w:r>
      <w:r>
        <w:rPr>
          <w:rFonts w:ascii="Arial" w:hAnsi="Arial" w:cs="Arial"/>
          <w:b/>
          <w:sz w:val="26"/>
          <w:szCs w:val="26"/>
        </w:rPr>
        <w:t>IMI</w:t>
      </w:r>
      <w:r w:rsidR="00BE16C7">
        <w:rPr>
          <w:rFonts w:ascii="Arial" w:hAnsi="Arial" w:cs="Arial"/>
          <w:b/>
          <w:sz w:val="26"/>
          <w:szCs w:val="26"/>
        </w:rPr>
        <w:t>T</w:t>
      </w:r>
      <w:r>
        <w:rPr>
          <w:rFonts w:ascii="Arial" w:hAnsi="Arial" w:cs="Arial"/>
          <w:b/>
          <w:sz w:val="26"/>
          <w:szCs w:val="26"/>
        </w:rPr>
        <w:t>E</w:t>
      </w:r>
      <w:r w:rsidR="00BE16C7">
        <w:rPr>
          <w:rFonts w:ascii="Arial" w:hAnsi="Arial" w:cs="Arial"/>
          <w:b/>
          <w:sz w:val="26"/>
          <w:szCs w:val="26"/>
        </w:rPr>
        <w:t>D</w:t>
      </w:r>
      <w:r w:rsidR="00BE16C7">
        <w:rPr>
          <w:rFonts w:ascii="Arial" w:hAnsi="Arial" w:cs="Arial"/>
          <w:b/>
          <w:sz w:val="26"/>
          <w:szCs w:val="26"/>
        </w:rPr>
        <w:tab/>
      </w:r>
      <w:r w:rsidR="00BE16C7">
        <w:rPr>
          <w:rFonts w:ascii="Arial" w:hAnsi="Arial" w:cs="Arial"/>
          <w:b/>
          <w:sz w:val="26"/>
          <w:szCs w:val="26"/>
        </w:rPr>
        <w:tab/>
      </w:r>
      <w:r w:rsidR="00BE16C7">
        <w:rPr>
          <w:rFonts w:ascii="Arial" w:hAnsi="Arial" w:cs="Arial"/>
          <w:b/>
          <w:sz w:val="26"/>
          <w:szCs w:val="26"/>
        </w:rPr>
        <w:tab/>
      </w:r>
      <w:r>
        <w:rPr>
          <w:rFonts w:ascii="Arial" w:hAnsi="Arial" w:cs="Arial"/>
          <w:b/>
          <w:sz w:val="26"/>
          <w:szCs w:val="26"/>
        </w:rPr>
        <w:tab/>
      </w:r>
      <w:r>
        <w:rPr>
          <w:rFonts w:ascii="Arial" w:hAnsi="Arial" w:cs="Arial"/>
          <w:b/>
          <w:sz w:val="26"/>
          <w:szCs w:val="26"/>
        </w:rPr>
        <w:tab/>
        <w:t>Plaintiff</w:t>
      </w:r>
    </w:p>
    <w:p w14:paraId="7E8F04CE" w14:textId="4FB84134" w:rsidR="00BE16C7" w:rsidRDefault="00BE16C7" w:rsidP="008743BB">
      <w:pPr>
        <w:rPr>
          <w:rFonts w:ascii="Arial" w:hAnsi="Arial" w:cs="Arial"/>
          <w:b/>
          <w:sz w:val="26"/>
          <w:szCs w:val="26"/>
        </w:rPr>
      </w:pPr>
    </w:p>
    <w:p w14:paraId="6AAA5728" w14:textId="38EB337D" w:rsidR="00BE16C7" w:rsidRPr="008F7851" w:rsidRDefault="00BE16C7" w:rsidP="008743BB">
      <w:pPr>
        <w:rPr>
          <w:rFonts w:ascii="Arial" w:hAnsi="Arial" w:cs="Arial"/>
          <w:b/>
          <w:sz w:val="26"/>
          <w:szCs w:val="26"/>
        </w:rPr>
      </w:pPr>
    </w:p>
    <w:p w14:paraId="5FED1485" w14:textId="77777777" w:rsidR="008F7851" w:rsidRPr="008F7851" w:rsidRDefault="008F7851" w:rsidP="008743BB">
      <w:pPr>
        <w:rPr>
          <w:rFonts w:ascii="Arial" w:hAnsi="Arial" w:cs="Arial"/>
          <w:b/>
          <w:sz w:val="26"/>
          <w:szCs w:val="26"/>
        </w:rPr>
      </w:pPr>
    </w:p>
    <w:p w14:paraId="25391466" w14:textId="77777777" w:rsidR="008743BB" w:rsidRPr="008F7851" w:rsidRDefault="008743BB" w:rsidP="008743BB">
      <w:pPr>
        <w:rPr>
          <w:rFonts w:ascii="Arial" w:hAnsi="Arial" w:cs="Arial"/>
          <w:b/>
          <w:sz w:val="26"/>
          <w:szCs w:val="26"/>
        </w:rPr>
      </w:pPr>
      <w:r w:rsidRPr="008F7851">
        <w:rPr>
          <w:rFonts w:ascii="Arial" w:hAnsi="Arial" w:cs="Arial"/>
          <w:b/>
          <w:sz w:val="26"/>
          <w:szCs w:val="26"/>
        </w:rPr>
        <w:t>versus</w:t>
      </w:r>
    </w:p>
    <w:p w14:paraId="19D05DFB" w14:textId="77777777" w:rsidR="008743BB" w:rsidRPr="008F7851" w:rsidRDefault="008743BB" w:rsidP="008743BB">
      <w:pPr>
        <w:rPr>
          <w:rFonts w:ascii="Arial" w:hAnsi="Arial" w:cs="Arial"/>
          <w:b/>
          <w:sz w:val="26"/>
          <w:szCs w:val="26"/>
        </w:rPr>
      </w:pPr>
    </w:p>
    <w:p w14:paraId="1549B15D" w14:textId="0E3E9587" w:rsidR="00207B7A" w:rsidRDefault="00207B7A" w:rsidP="008743BB">
      <w:pPr>
        <w:rPr>
          <w:rFonts w:ascii="Arial" w:hAnsi="Arial" w:cs="Arial"/>
          <w:b/>
          <w:sz w:val="26"/>
          <w:szCs w:val="26"/>
        </w:rPr>
      </w:pPr>
      <w:r>
        <w:rPr>
          <w:rFonts w:ascii="Arial" w:hAnsi="Arial" w:cs="Arial"/>
          <w:b/>
          <w:sz w:val="26"/>
          <w:szCs w:val="26"/>
        </w:rPr>
        <w:t>CFS SOLUTIONS</w:t>
      </w:r>
      <w:r w:rsidR="006663D5">
        <w:rPr>
          <w:rFonts w:ascii="Arial" w:hAnsi="Arial" w:cs="Arial"/>
          <w:b/>
          <w:sz w:val="26"/>
          <w:szCs w:val="26"/>
        </w:rPr>
        <w:t xml:space="preserve"> </w:t>
      </w:r>
      <w:r w:rsidR="00BE16C7">
        <w:rPr>
          <w:rFonts w:ascii="Arial" w:hAnsi="Arial" w:cs="Arial"/>
          <w:b/>
          <w:sz w:val="26"/>
          <w:szCs w:val="26"/>
        </w:rPr>
        <w:t>(PTY) LTD</w:t>
      </w:r>
      <w:r w:rsidR="006663D5">
        <w:rPr>
          <w:rFonts w:ascii="Arial" w:hAnsi="Arial" w:cs="Arial"/>
          <w:b/>
          <w:sz w:val="26"/>
          <w:szCs w:val="26"/>
        </w:rPr>
        <w:tab/>
      </w:r>
      <w:r w:rsidR="006663D5">
        <w:rPr>
          <w:rFonts w:ascii="Arial" w:hAnsi="Arial" w:cs="Arial"/>
          <w:b/>
          <w:sz w:val="26"/>
          <w:szCs w:val="26"/>
        </w:rPr>
        <w:tab/>
      </w:r>
      <w:r w:rsidR="006663D5">
        <w:rPr>
          <w:rFonts w:ascii="Arial" w:hAnsi="Arial" w:cs="Arial"/>
          <w:b/>
          <w:sz w:val="26"/>
          <w:szCs w:val="26"/>
        </w:rPr>
        <w:tab/>
      </w:r>
      <w:r>
        <w:rPr>
          <w:rFonts w:ascii="Arial" w:hAnsi="Arial" w:cs="Arial"/>
          <w:b/>
          <w:sz w:val="26"/>
          <w:szCs w:val="26"/>
        </w:rPr>
        <w:tab/>
        <w:t xml:space="preserve">          First Defendant </w:t>
      </w:r>
    </w:p>
    <w:p w14:paraId="17A9D30E" w14:textId="77777777" w:rsidR="00207B7A" w:rsidRDefault="00207B7A" w:rsidP="008743BB">
      <w:pPr>
        <w:rPr>
          <w:rFonts w:ascii="Arial" w:hAnsi="Arial" w:cs="Arial"/>
          <w:b/>
          <w:sz w:val="26"/>
          <w:szCs w:val="26"/>
        </w:rPr>
      </w:pPr>
    </w:p>
    <w:p w14:paraId="69B22040" w14:textId="1A1F4575" w:rsidR="008F7851" w:rsidRDefault="00207B7A" w:rsidP="008743BB">
      <w:pPr>
        <w:rPr>
          <w:rFonts w:ascii="Arial" w:hAnsi="Arial" w:cs="Arial"/>
          <w:b/>
          <w:sz w:val="26"/>
          <w:szCs w:val="26"/>
        </w:rPr>
      </w:pPr>
      <w:r>
        <w:rPr>
          <w:rFonts w:ascii="Arial" w:hAnsi="Arial" w:cs="Arial"/>
          <w:b/>
          <w:sz w:val="26"/>
          <w:szCs w:val="26"/>
        </w:rPr>
        <w:t xml:space="preserve"> ISHMAEL THAMI LINDA</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Second Defendant</w:t>
      </w:r>
    </w:p>
    <w:p w14:paraId="718C2EAF" w14:textId="77777777" w:rsidR="008F7851" w:rsidRDefault="008F7851" w:rsidP="008743BB">
      <w:pPr>
        <w:rPr>
          <w:rFonts w:ascii="Arial" w:hAnsi="Arial" w:cs="Arial"/>
          <w:b/>
          <w:sz w:val="26"/>
          <w:szCs w:val="26"/>
        </w:rPr>
      </w:pPr>
    </w:p>
    <w:p w14:paraId="06A5957A" w14:textId="5CE8475E" w:rsidR="00FE0A05" w:rsidRPr="00FE0A05" w:rsidRDefault="00FE0A05" w:rsidP="008743BB">
      <w:pPr>
        <w:rPr>
          <w:rFonts w:ascii="Arial" w:hAnsi="Arial" w:cs="Arial"/>
          <w:b/>
          <w:sz w:val="26"/>
          <w:szCs w:val="26"/>
        </w:rPr>
      </w:pPr>
      <w:r w:rsidRPr="00FE0A05">
        <w:rPr>
          <w:rFonts w:ascii="Arial" w:hAnsi="Arial" w:cs="Arial"/>
          <w:b/>
          <w:sz w:val="26"/>
          <w:szCs w:val="26"/>
        </w:rPr>
        <w:t>___________________________________________________________</w:t>
      </w:r>
      <w:r w:rsidR="00951A27">
        <w:rPr>
          <w:rFonts w:ascii="Arial" w:hAnsi="Arial" w:cs="Arial"/>
          <w:b/>
          <w:sz w:val="26"/>
          <w:szCs w:val="26"/>
        </w:rPr>
        <w:t>_____</w:t>
      </w:r>
    </w:p>
    <w:p w14:paraId="4AACECC3" w14:textId="06D0FA02" w:rsidR="00DC7D71" w:rsidRDefault="006C74B2" w:rsidP="006C74B2">
      <w:pPr>
        <w:ind w:firstLine="720"/>
        <w:rPr>
          <w:rFonts w:ascii="Arial" w:hAnsi="Arial" w:cs="Arial"/>
          <w:b/>
          <w:sz w:val="26"/>
          <w:szCs w:val="26"/>
        </w:rPr>
      </w:pPr>
      <w:r>
        <w:rPr>
          <w:rFonts w:ascii="Arial" w:hAnsi="Arial" w:cs="Arial"/>
          <w:b/>
          <w:sz w:val="28"/>
          <w:szCs w:val="28"/>
        </w:rPr>
        <w:t xml:space="preserve">   </w:t>
      </w:r>
      <w:r w:rsidR="006663D5">
        <w:rPr>
          <w:rFonts w:ascii="Arial" w:hAnsi="Arial" w:cs="Arial"/>
          <w:b/>
          <w:sz w:val="28"/>
          <w:szCs w:val="28"/>
        </w:rPr>
        <w:tab/>
      </w:r>
      <w:r w:rsidR="006663D5">
        <w:rPr>
          <w:rFonts w:ascii="Arial" w:hAnsi="Arial" w:cs="Arial"/>
          <w:b/>
          <w:sz w:val="28"/>
          <w:szCs w:val="28"/>
        </w:rPr>
        <w:tab/>
      </w:r>
      <w:r w:rsidR="006663D5">
        <w:rPr>
          <w:rFonts w:ascii="Arial" w:hAnsi="Arial" w:cs="Arial"/>
          <w:b/>
          <w:sz w:val="28"/>
          <w:szCs w:val="28"/>
        </w:rPr>
        <w:tab/>
      </w:r>
      <w:r w:rsidR="006663D5">
        <w:rPr>
          <w:rFonts w:ascii="Arial" w:hAnsi="Arial" w:cs="Arial"/>
          <w:b/>
          <w:sz w:val="28"/>
          <w:szCs w:val="28"/>
        </w:rPr>
        <w:tab/>
      </w:r>
      <w:r w:rsidR="00FE0A05" w:rsidRPr="00C67560">
        <w:rPr>
          <w:rFonts w:ascii="Arial" w:hAnsi="Arial" w:cs="Arial"/>
          <w:b/>
          <w:sz w:val="28"/>
          <w:szCs w:val="28"/>
        </w:rPr>
        <w:t xml:space="preserve">JUDGMENT </w:t>
      </w:r>
      <w:r>
        <w:rPr>
          <w:rFonts w:ascii="Arial" w:hAnsi="Arial" w:cs="Arial"/>
          <w:b/>
          <w:sz w:val="28"/>
          <w:szCs w:val="28"/>
        </w:rPr>
        <w:t xml:space="preserve"> </w:t>
      </w:r>
    </w:p>
    <w:p w14:paraId="6703C72F" w14:textId="587081EE" w:rsidR="00DC7D71" w:rsidRDefault="00DC7D71" w:rsidP="00DC7D71">
      <w:pPr>
        <w:pBdr>
          <w:top w:val="single" w:sz="12" w:space="1" w:color="auto"/>
          <w:bottom w:val="single" w:sz="12" w:space="1" w:color="auto"/>
        </w:pBdr>
        <w:rPr>
          <w:rFonts w:ascii="Arial" w:hAnsi="Arial" w:cs="Arial"/>
          <w:b/>
          <w:sz w:val="26"/>
          <w:szCs w:val="26"/>
        </w:rPr>
      </w:pPr>
      <w:r w:rsidRPr="00FE0A05">
        <w:rPr>
          <w:rFonts w:ascii="Arial" w:hAnsi="Arial" w:cs="Arial"/>
          <w:b/>
          <w:sz w:val="26"/>
          <w:szCs w:val="26"/>
        </w:rPr>
        <w:t>CORAM</w:t>
      </w: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t xml:space="preserve">          </w:t>
      </w:r>
      <w:r w:rsidR="00A424D5">
        <w:rPr>
          <w:rFonts w:ascii="Arial" w:hAnsi="Arial" w:cs="Arial"/>
          <w:b/>
          <w:sz w:val="26"/>
          <w:szCs w:val="26"/>
        </w:rPr>
        <w:t xml:space="preserve">          </w:t>
      </w:r>
      <w:r w:rsidRPr="00FE0A05">
        <w:rPr>
          <w:rFonts w:ascii="Arial" w:hAnsi="Arial" w:cs="Arial"/>
          <w:b/>
          <w:sz w:val="26"/>
          <w:szCs w:val="26"/>
        </w:rPr>
        <w:t>NAIDOO</w:t>
      </w:r>
      <w:r>
        <w:rPr>
          <w:rFonts w:ascii="Arial" w:hAnsi="Arial" w:cs="Arial"/>
          <w:b/>
          <w:sz w:val="26"/>
          <w:szCs w:val="26"/>
        </w:rPr>
        <w:t xml:space="preserve"> J </w:t>
      </w:r>
      <w:r w:rsidRPr="00FE0A05">
        <w:rPr>
          <w:rFonts w:ascii="Arial" w:hAnsi="Arial" w:cs="Arial"/>
          <w:b/>
          <w:sz w:val="26"/>
          <w:szCs w:val="26"/>
        </w:rPr>
        <w:t>______________________________________________________</w:t>
      </w:r>
      <w:r>
        <w:rPr>
          <w:rFonts w:ascii="Arial" w:hAnsi="Arial" w:cs="Arial"/>
          <w:b/>
          <w:sz w:val="26"/>
          <w:szCs w:val="26"/>
        </w:rPr>
        <w:t>____</w:t>
      </w:r>
    </w:p>
    <w:p w14:paraId="3CC2B580" w14:textId="5FE7154E" w:rsidR="00B01811" w:rsidRDefault="00DC7D71" w:rsidP="006663D5">
      <w:pPr>
        <w:pBdr>
          <w:top w:val="single" w:sz="12" w:space="1" w:color="auto"/>
          <w:bottom w:val="single" w:sz="12" w:space="1" w:color="auto"/>
        </w:pBdr>
        <w:ind w:left="2310" w:hanging="2310"/>
        <w:rPr>
          <w:rFonts w:ascii="Arial" w:hAnsi="Arial" w:cs="Arial"/>
          <w:b/>
          <w:sz w:val="26"/>
          <w:szCs w:val="26"/>
        </w:rPr>
      </w:pPr>
      <w:r w:rsidRPr="00FE0A05">
        <w:rPr>
          <w:rFonts w:ascii="Arial" w:hAnsi="Arial" w:cs="Arial"/>
          <w:b/>
          <w:sz w:val="26"/>
          <w:szCs w:val="26"/>
        </w:rPr>
        <w:t xml:space="preserve">HEARD ON: </w:t>
      </w:r>
      <w:r>
        <w:rPr>
          <w:rFonts w:ascii="Arial" w:hAnsi="Arial" w:cs="Arial"/>
          <w:b/>
          <w:sz w:val="26"/>
          <w:szCs w:val="26"/>
        </w:rPr>
        <w:t xml:space="preserve">       </w:t>
      </w:r>
      <w:r w:rsidR="006663D5">
        <w:rPr>
          <w:rFonts w:ascii="Arial" w:hAnsi="Arial" w:cs="Arial"/>
          <w:b/>
          <w:sz w:val="26"/>
          <w:szCs w:val="26"/>
        </w:rPr>
        <w:tab/>
      </w:r>
      <w:r w:rsidR="006663D5">
        <w:rPr>
          <w:rFonts w:ascii="Arial" w:hAnsi="Arial" w:cs="Arial"/>
          <w:b/>
          <w:sz w:val="26"/>
          <w:szCs w:val="26"/>
        </w:rPr>
        <w:tab/>
      </w:r>
      <w:r w:rsidR="006663D5">
        <w:rPr>
          <w:rFonts w:ascii="Arial" w:hAnsi="Arial" w:cs="Arial"/>
          <w:b/>
          <w:sz w:val="26"/>
          <w:szCs w:val="26"/>
        </w:rPr>
        <w:tab/>
      </w:r>
      <w:r w:rsidR="00F81347">
        <w:rPr>
          <w:rFonts w:ascii="Arial" w:hAnsi="Arial" w:cs="Arial"/>
          <w:b/>
          <w:sz w:val="26"/>
          <w:szCs w:val="26"/>
        </w:rPr>
        <w:t>21</w:t>
      </w:r>
      <w:r w:rsidR="006663D5">
        <w:rPr>
          <w:rFonts w:ascii="Arial" w:hAnsi="Arial" w:cs="Arial"/>
          <w:b/>
          <w:sz w:val="26"/>
          <w:szCs w:val="26"/>
        </w:rPr>
        <w:t xml:space="preserve"> JU</w:t>
      </w:r>
      <w:r w:rsidR="00F81347">
        <w:rPr>
          <w:rFonts w:ascii="Arial" w:hAnsi="Arial" w:cs="Arial"/>
          <w:b/>
          <w:sz w:val="26"/>
          <w:szCs w:val="26"/>
        </w:rPr>
        <w:t>LY</w:t>
      </w:r>
      <w:r w:rsidR="006663D5">
        <w:rPr>
          <w:rFonts w:ascii="Arial" w:hAnsi="Arial" w:cs="Arial"/>
          <w:b/>
          <w:sz w:val="26"/>
          <w:szCs w:val="26"/>
        </w:rPr>
        <w:t xml:space="preserve"> 2022</w:t>
      </w:r>
    </w:p>
    <w:p w14:paraId="35369C45" w14:textId="568A6B07" w:rsidR="00B01811" w:rsidRDefault="00B01811" w:rsidP="008743BB">
      <w:pPr>
        <w:rPr>
          <w:rFonts w:ascii="Arial" w:hAnsi="Arial" w:cs="Arial"/>
          <w:b/>
          <w:sz w:val="28"/>
          <w:szCs w:val="28"/>
        </w:rPr>
      </w:pPr>
      <w:r>
        <w:rPr>
          <w:rFonts w:ascii="Arial" w:hAnsi="Arial" w:cs="Arial"/>
          <w:b/>
          <w:sz w:val="26"/>
          <w:szCs w:val="26"/>
        </w:rPr>
        <w:t>D</w:t>
      </w:r>
      <w:r w:rsidR="00DC7D71" w:rsidRPr="00FE0A05">
        <w:rPr>
          <w:rFonts w:ascii="Arial" w:hAnsi="Arial" w:cs="Arial"/>
          <w:b/>
          <w:sz w:val="26"/>
          <w:szCs w:val="26"/>
        </w:rPr>
        <w:t>ELIVERED ON:</w:t>
      </w:r>
      <w:r w:rsidR="00DC7D71">
        <w:rPr>
          <w:rFonts w:ascii="Arial" w:hAnsi="Arial" w:cs="Arial"/>
          <w:b/>
          <w:sz w:val="26"/>
          <w:szCs w:val="26"/>
        </w:rPr>
        <w:tab/>
      </w:r>
      <w:r w:rsidR="00DC7D71">
        <w:rPr>
          <w:rFonts w:ascii="Arial" w:hAnsi="Arial" w:cs="Arial"/>
          <w:b/>
          <w:sz w:val="26"/>
          <w:szCs w:val="26"/>
        </w:rPr>
        <w:tab/>
      </w:r>
      <w:r w:rsidR="00A424D5">
        <w:rPr>
          <w:rFonts w:ascii="Arial" w:hAnsi="Arial" w:cs="Arial"/>
          <w:b/>
          <w:sz w:val="26"/>
          <w:szCs w:val="26"/>
        </w:rPr>
        <w:t xml:space="preserve">          </w:t>
      </w:r>
      <w:r w:rsidR="00F81347">
        <w:rPr>
          <w:rFonts w:ascii="Arial" w:hAnsi="Arial" w:cs="Arial"/>
          <w:b/>
          <w:sz w:val="26"/>
          <w:szCs w:val="26"/>
        </w:rPr>
        <w:t xml:space="preserve"> </w:t>
      </w:r>
      <w:r w:rsidR="00537040">
        <w:rPr>
          <w:rFonts w:ascii="Arial" w:hAnsi="Arial" w:cs="Arial"/>
          <w:b/>
          <w:sz w:val="26"/>
          <w:szCs w:val="26"/>
        </w:rPr>
        <w:t>23</w:t>
      </w:r>
      <w:r w:rsidR="00800435">
        <w:rPr>
          <w:rFonts w:ascii="Arial" w:hAnsi="Arial" w:cs="Arial"/>
          <w:b/>
          <w:sz w:val="26"/>
          <w:szCs w:val="26"/>
        </w:rPr>
        <w:t xml:space="preserve"> </w:t>
      </w:r>
      <w:r w:rsidR="00F81347">
        <w:rPr>
          <w:rFonts w:ascii="Arial" w:hAnsi="Arial" w:cs="Arial"/>
          <w:b/>
          <w:sz w:val="26"/>
          <w:szCs w:val="26"/>
        </w:rPr>
        <w:t xml:space="preserve">JANUARY </w:t>
      </w:r>
      <w:r w:rsidR="00D20C19">
        <w:rPr>
          <w:rFonts w:ascii="Arial" w:hAnsi="Arial" w:cs="Arial"/>
          <w:b/>
          <w:sz w:val="26"/>
          <w:szCs w:val="26"/>
        </w:rPr>
        <w:t>202</w:t>
      </w:r>
      <w:r w:rsidR="00F81347">
        <w:rPr>
          <w:rFonts w:ascii="Arial" w:hAnsi="Arial" w:cs="Arial"/>
          <w:b/>
          <w:sz w:val="26"/>
          <w:szCs w:val="26"/>
        </w:rPr>
        <w:t>3</w:t>
      </w:r>
    </w:p>
    <w:p w14:paraId="567CF84A" w14:textId="00899BAF" w:rsidR="00951A27" w:rsidRPr="00B01811" w:rsidRDefault="00951A27" w:rsidP="008743BB">
      <w:pPr>
        <w:rPr>
          <w:rFonts w:ascii="Arial" w:hAnsi="Arial" w:cs="Arial"/>
          <w:b/>
          <w:sz w:val="28"/>
          <w:szCs w:val="28"/>
        </w:rPr>
      </w:pPr>
      <w:r>
        <w:rPr>
          <w:rFonts w:ascii="Arial" w:hAnsi="Arial" w:cs="Arial"/>
          <w:b/>
          <w:sz w:val="26"/>
          <w:szCs w:val="26"/>
        </w:rPr>
        <w:t>___________________________________________________________</w:t>
      </w:r>
      <w:r w:rsidR="00A424D5">
        <w:rPr>
          <w:rFonts w:ascii="Arial" w:hAnsi="Arial" w:cs="Arial"/>
          <w:b/>
          <w:sz w:val="26"/>
          <w:szCs w:val="26"/>
        </w:rPr>
        <w:t>_</w:t>
      </w:r>
      <w:r w:rsidR="00B01811">
        <w:rPr>
          <w:rFonts w:ascii="Arial" w:hAnsi="Arial" w:cs="Arial"/>
          <w:b/>
          <w:sz w:val="26"/>
          <w:szCs w:val="26"/>
        </w:rPr>
        <w:t>___</w:t>
      </w:r>
    </w:p>
    <w:p w14:paraId="33F8B7C9" w14:textId="3CB866C1" w:rsidR="00B01811" w:rsidRDefault="00B01811" w:rsidP="0024432A">
      <w:pPr>
        <w:spacing w:line="360" w:lineRule="auto"/>
        <w:ind w:left="720" w:hanging="720"/>
        <w:jc w:val="both"/>
        <w:rPr>
          <w:rFonts w:ascii="Arial" w:hAnsi="Arial" w:cs="Arial"/>
          <w:sz w:val="28"/>
          <w:szCs w:val="28"/>
        </w:rPr>
      </w:pPr>
    </w:p>
    <w:p w14:paraId="094ADE5F" w14:textId="0E5E8658" w:rsidR="00207B7A" w:rsidRDefault="00207B7A" w:rsidP="0024432A">
      <w:pPr>
        <w:spacing w:line="360" w:lineRule="auto"/>
        <w:ind w:left="720" w:hanging="720"/>
        <w:jc w:val="both"/>
        <w:rPr>
          <w:rFonts w:ascii="Arial" w:hAnsi="Arial" w:cs="Arial"/>
          <w:sz w:val="28"/>
          <w:szCs w:val="28"/>
        </w:rPr>
      </w:pPr>
    </w:p>
    <w:p w14:paraId="5B549FD4" w14:textId="77777777" w:rsidR="00A153E4" w:rsidRDefault="00A153E4" w:rsidP="0024432A">
      <w:pPr>
        <w:spacing w:line="360" w:lineRule="auto"/>
        <w:ind w:left="720" w:hanging="720"/>
        <w:jc w:val="both"/>
        <w:rPr>
          <w:rFonts w:ascii="Arial" w:hAnsi="Arial" w:cs="Arial"/>
          <w:sz w:val="28"/>
          <w:szCs w:val="28"/>
        </w:rPr>
      </w:pPr>
    </w:p>
    <w:p w14:paraId="65B77CFB" w14:textId="25769CFF" w:rsidR="0068655C" w:rsidRDefault="00D94DB9" w:rsidP="00207B7A">
      <w:pPr>
        <w:spacing w:line="360" w:lineRule="auto"/>
        <w:ind w:left="720" w:hanging="720"/>
        <w:jc w:val="both"/>
        <w:rPr>
          <w:rFonts w:ascii="Arial" w:hAnsi="Arial" w:cs="Arial"/>
          <w:sz w:val="28"/>
          <w:szCs w:val="28"/>
        </w:rPr>
      </w:pPr>
      <w:r w:rsidRPr="00D94DB9">
        <w:rPr>
          <w:rFonts w:ascii="Arial" w:hAnsi="Arial" w:cs="Arial"/>
          <w:sz w:val="28"/>
          <w:szCs w:val="28"/>
        </w:rPr>
        <w:t>[1]</w:t>
      </w:r>
      <w:r w:rsidR="008B035A">
        <w:rPr>
          <w:rFonts w:ascii="Arial" w:hAnsi="Arial" w:cs="Arial"/>
          <w:sz w:val="28"/>
          <w:szCs w:val="28"/>
        </w:rPr>
        <w:t xml:space="preserve"> </w:t>
      </w:r>
      <w:r w:rsidR="008B035A">
        <w:rPr>
          <w:rFonts w:ascii="Arial" w:hAnsi="Arial" w:cs="Arial"/>
          <w:sz w:val="28"/>
          <w:szCs w:val="28"/>
        </w:rPr>
        <w:tab/>
      </w:r>
      <w:r w:rsidR="00A153E4">
        <w:rPr>
          <w:rFonts w:ascii="Arial" w:hAnsi="Arial" w:cs="Arial"/>
          <w:sz w:val="28"/>
          <w:szCs w:val="28"/>
        </w:rPr>
        <w:t>The plaintiff</w:t>
      </w:r>
      <w:r w:rsidR="00106789">
        <w:rPr>
          <w:rFonts w:ascii="Arial" w:hAnsi="Arial" w:cs="Arial"/>
          <w:sz w:val="28"/>
          <w:szCs w:val="28"/>
        </w:rPr>
        <w:t xml:space="preserve"> (Liberty)</w:t>
      </w:r>
      <w:r w:rsidR="00A153E4">
        <w:rPr>
          <w:rFonts w:ascii="Arial" w:hAnsi="Arial" w:cs="Arial"/>
          <w:sz w:val="28"/>
          <w:szCs w:val="28"/>
        </w:rPr>
        <w:t xml:space="preserve"> issued Provisional Sentence Summons against the first and second defendants</w:t>
      </w:r>
      <w:r w:rsidR="00106789">
        <w:rPr>
          <w:rFonts w:ascii="Arial" w:hAnsi="Arial" w:cs="Arial"/>
          <w:sz w:val="28"/>
          <w:szCs w:val="28"/>
        </w:rPr>
        <w:t xml:space="preserve"> (CFS and </w:t>
      </w:r>
      <w:proofErr w:type="spellStart"/>
      <w:r w:rsidR="00106789">
        <w:rPr>
          <w:rFonts w:ascii="Arial" w:hAnsi="Arial" w:cs="Arial"/>
          <w:sz w:val="28"/>
          <w:szCs w:val="28"/>
        </w:rPr>
        <w:t>Mr</w:t>
      </w:r>
      <w:proofErr w:type="spellEnd"/>
      <w:r w:rsidR="00106789">
        <w:rPr>
          <w:rFonts w:ascii="Arial" w:hAnsi="Arial" w:cs="Arial"/>
          <w:sz w:val="28"/>
          <w:szCs w:val="28"/>
        </w:rPr>
        <w:t xml:space="preserve"> Linda, respectively)</w:t>
      </w:r>
      <w:r w:rsidR="00C339F8">
        <w:rPr>
          <w:rFonts w:ascii="Arial" w:hAnsi="Arial" w:cs="Arial"/>
          <w:sz w:val="28"/>
          <w:szCs w:val="28"/>
        </w:rPr>
        <w:t xml:space="preserve"> for payment of the amount of One Million Seven Hundred and Ninety</w:t>
      </w:r>
      <w:r w:rsidR="00E71EB3">
        <w:rPr>
          <w:rFonts w:ascii="Arial" w:hAnsi="Arial" w:cs="Arial"/>
          <w:sz w:val="28"/>
          <w:szCs w:val="28"/>
        </w:rPr>
        <w:t xml:space="preserve"> </w:t>
      </w:r>
      <w:r w:rsidR="00C339F8">
        <w:rPr>
          <w:rFonts w:ascii="Arial" w:hAnsi="Arial" w:cs="Arial"/>
          <w:sz w:val="28"/>
          <w:szCs w:val="28"/>
        </w:rPr>
        <w:t xml:space="preserve">Three Thousand Nine Hundred and </w:t>
      </w:r>
      <w:proofErr w:type="gramStart"/>
      <w:r w:rsidR="00C339F8">
        <w:rPr>
          <w:rFonts w:ascii="Arial" w:hAnsi="Arial" w:cs="Arial"/>
          <w:sz w:val="28"/>
          <w:szCs w:val="28"/>
        </w:rPr>
        <w:t>Seventy</w:t>
      </w:r>
      <w:r w:rsidR="00A715EC">
        <w:rPr>
          <w:rFonts w:ascii="Arial" w:hAnsi="Arial" w:cs="Arial"/>
          <w:sz w:val="28"/>
          <w:szCs w:val="28"/>
        </w:rPr>
        <w:t xml:space="preserve"> Two</w:t>
      </w:r>
      <w:proofErr w:type="gramEnd"/>
      <w:r w:rsidR="00A715EC">
        <w:rPr>
          <w:rFonts w:ascii="Arial" w:hAnsi="Arial" w:cs="Arial"/>
          <w:sz w:val="28"/>
          <w:szCs w:val="28"/>
        </w:rPr>
        <w:t xml:space="preserve"> Rand and Ninety Eight Cents (R1 793 972.98), which it alleges is owed to it in terms of an Acknowledgment of Debt (AOD) signed by </w:t>
      </w:r>
      <w:r w:rsidR="00106789">
        <w:rPr>
          <w:rFonts w:ascii="Arial" w:hAnsi="Arial" w:cs="Arial"/>
          <w:sz w:val="28"/>
          <w:szCs w:val="28"/>
        </w:rPr>
        <w:t>CFS</w:t>
      </w:r>
      <w:r w:rsidR="00A715EC">
        <w:rPr>
          <w:rFonts w:ascii="Arial" w:hAnsi="Arial" w:cs="Arial"/>
          <w:sz w:val="28"/>
          <w:szCs w:val="28"/>
        </w:rPr>
        <w:t xml:space="preserve">. </w:t>
      </w:r>
      <w:proofErr w:type="spellStart"/>
      <w:r w:rsidR="00106789">
        <w:rPr>
          <w:rFonts w:ascii="Arial" w:hAnsi="Arial" w:cs="Arial"/>
          <w:sz w:val="28"/>
          <w:szCs w:val="28"/>
        </w:rPr>
        <w:t>Mr</w:t>
      </w:r>
      <w:proofErr w:type="spellEnd"/>
      <w:r w:rsidR="00106789">
        <w:rPr>
          <w:rFonts w:ascii="Arial" w:hAnsi="Arial" w:cs="Arial"/>
          <w:sz w:val="28"/>
          <w:szCs w:val="28"/>
        </w:rPr>
        <w:t xml:space="preserve"> Linda</w:t>
      </w:r>
      <w:r w:rsidR="00A715EC">
        <w:rPr>
          <w:rFonts w:ascii="Arial" w:hAnsi="Arial" w:cs="Arial"/>
          <w:sz w:val="28"/>
          <w:szCs w:val="28"/>
        </w:rPr>
        <w:t xml:space="preserve">’s liability </w:t>
      </w:r>
      <w:r w:rsidR="006047B6">
        <w:rPr>
          <w:rFonts w:ascii="Arial" w:hAnsi="Arial" w:cs="Arial"/>
          <w:sz w:val="28"/>
          <w:szCs w:val="28"/>
        </w:rPr>
        <w:t xml:space="preserve">is alleged to </w:t>
      </w:r>
      <w:r w:rsidR="00A715EC">
        <w:rPr>
          <w:rFonts w:ascii="Arial" w:hAnsi="Arial" w:cs="Arial"/>
          <w:sz w:val="28"/>
          <w:szCs w:val="28"/>
        </w:rPr>
        <w:t xml:space="preserve">arise out of a Deed of Suretyship in terms of which he bound himself to pay the debts of </w:t>
      </w:r>
      <w:r w:rsidR="00106789">
        <w:rPr>
          <w:rFonts w:ascii="Arial" w:hAnsi="Arial" w:cs="Arial"/>
          <w:sz w:val="28"/>
          <w:szCs w:val="28"/>
        </w:rPr>
        <w:t>CFS</w:t>
      </w:r>
      <w:r w:rsidR="00A715EC">
        <w:rPr>
          <w:rFonts w:ascii="Arial" w:hAnsi="Arial" w:cs="Arial"/>
          <w:sz w:val="28"/>
          <w:szCs w:val="28"/>
        </w:rPr>
        <w:t>.</w:t>
      </w:r>
      <w:r w:rsidR="00E71EB3">
        <w:rPr>
          <w:rFonts w:ascii="Arial" w:hAnsi="Arial" w:cs="Arial"/>
          <w:sz w:val="28"/>
          <w:szCs w:val="28"/>
        </w:rPr>
        <w:t xml:space="preserve"> The defendant</w:t>
      </w:r>
      <w:r w:rsidR="00106789">
        <w:rPr>
          <w:rFonts w:ascii="Arial" w:hAnsi="Arial" w:cs="Arial"/>
          <w:sz w:val="28"/>
          <w:szCs w:val="28"/>
        </w:rPr>
        <w:t>s</w:t>
      </w:r>
      <w:r w:rsidR="00E71EB3">
        <w:rPr>
          <w:rFonts w:ascii="Arial" w:hAnsi="Arial" w:cs="Arial"/>
          <w:sz w:val="28"/>
          <w:szCs w:val="28"/>
        </w:rPr>
        <w:t xml:space="preserve"> entered an appearance to defend and filed an affidavit, proffering the </w:t>
      </w:r>
      <w:proofErr w:type="spellStart"/>
      <w:r w:rsidR="00E71EB3">
        <w:rPr>
          <w:rFonts w:ascii="Arial" w:hAnsi="Arial" w:cs="Arial"/>
          <w:sz w:val="28"/>
          <w:szCs w:val="28"/>
        </w:rPr>
        <w:t>defence</w:t>
      </w:r>
      <w:proofErr w:type="spellEnd"/>
      <w:r w:rsidR="00E71EB3">
        <w:rPr>
          <w:rFonts w:ascii="Arial" w:hAnsi="Arial" w:cs="Arial"/>
          <w:sz w:val="28"/>
          <w:szCs w:val="28"/>
        </w:rPr>
        <w:t xml:space="preserve"> that the amount</w:t>
      </w:r>
      <w:r w:rsidR="003C76F0">
        <w:rPr>
          <w:rFonts w:ascii="Arial" w:hAnsi="Arial" w:cs="Arial"/>
          <w:sz w:val="28"/>
          <w:szCs w:val="28"/>
        </w:rPr>
        <w:t xml:space="preserve"> claimed</w:t>
      </w:r>
      <w:r w:rsidR="00E71EB3">
        <w:rPr>
          <w:rFonts w:ascii="Arial" w:hAnsi="Arial" w:cs="Arial"/>
          <w:sz w:val="28"/>
          <w:szCs w:val="28"/>
        </w:rPr>
        <w:t xml:space="preserve"> has been paid. Adv (</w:t>
      </w:r>
      <w:proofErr w:type="spellStart"/>
      <w:r w:rsidR="00E71EB3">
        <w:rPr>
          <w:rFonts w:ascii="Arial" w:hAnsi="Arial" w:cs="Arial"/>
          <w:sz w:val="28"/>
          <w:szCs w:val="28"/>
        </w:rPr>
        <w:t>Mr</w:t>
      </w:r>
      <w:proofErr w:type="spellEnd"/>
      <w:r w:rsidR="00E71EB3">
        <w:rPr>
          <w:rFonts w:ascii="Arial" w:hAnsi="Arial" w:cs="Arial"/>
          <w:sz w:val="28"/>
          <w:szCs w:val="28"/>
        </w:rPr>
        <w:t>) LCM Morland represented the plaintiff and Adv (</w:t>
      </w:r>
      <w:proofErr w:type="spellStart"/>
      <w:r w:rsidR="00E71EB3">
        <w:rPr>
          <w:rFonts w:ascii="Arial" w:hAnsi="Arial" w:cs="Arial"/>
          <w:sz w:val="28"/>
          <w:szCs w:val="28"/>
        </w:rPr>
        <w:t>Mr</w:t>
      </w:r>
      <w:proofErr w:type="spellEnd"/>
      <w:r w:rsidR="00E71EB3">
        <w:rPr>
          <w:rFonts w:ascii="Arial" w:hAnsi="Arial" w:cs="Arial"/>
          <w:sz w:val="28"/>
          <w:szCs w:val="28"/>
        </w:rPr>
        <w:t xml:space="preserve">) NM </w:t>
      </w:r>
      <w:proofErr w:type="spellStart"/>
      <w:r w:rsidR="00E71EB3">
        <w:rPr>
          <w:rFonts w:ascii="Arial" w:hAnsi="Arial" w:cs="Arial"/>
          <w:sz w:val="28"/>
          <w:szCs w:val="28"/>
        </w:rPr>
        <w:t>Bahlekazi</w:t>
      </w:r>
      <w:proofErr w:type="spellEnd"/>
      <w:r w:rsidR="00E71EB3">
        <w:rPr>
          <w:rFonts w:ascii="Arial" w:hAnsi="Arial" w:cs="Arial"/>
          <w:sz w:val="28"/>
          <w:szCs w:val="28"/>
        </w:rPr>
        <w:t xml:space="preserve"> represented the defendants</w:t>
      </w:r>
      <w:r w:rsidR="001E6F2C">
        <w:rPr>
          <w:rFonts w:ascii="Arial" w:hAnsi="Arial" w:cs="Arial"/>
          <w:sz w:val="28"/>
          <w:szCs w:val="28"/>
        </w:rPr>
        <w:t>.</w:t>
      </w:r>
    </w:p>
    <w:p w14:paraId="15C3F6FA" w14:textId="77777777" w:rsidR="00884CCF" w:rsidRDefault="00884CCF" w:rsidP="0024432A">
      <w:pPr>
        <w:spacing w:line="360" w:lineRule="auto"/>
        <w:ind w:left="720" w:hanging="720"/>
        <w:jc w:val="both"/>
        <w:rPr>
          <w:rFonts w:ascii="Arial" w:hAnsi="Arial" w:cs="Arial"/>
          <w:sz w:val="28"/>
          <w:szCs w:val="28"/>
        </w:rPr>
      </w:pPr>
    </w:p>
    <w:p w14:paraId="6D941DCC" w14:textId="77777777" w:rsidR="00AB2842" w:rsidRDefault="00B93104" w:rsidP="00AB2842">
      <w:pPr>
        <w:spacing w:line="360" w:lineRule="auto"/>
        <w:ind w:left="720" w:hanging="720"/>
        <w:jc w:val="both"/>
        <w:rPr>
          <w:rFonts w:ascii="Arial" w:hAnsi="Arial" w:cs="Arial"/>
          <w:sz w:val="28"/>
          <w:szCs w:val="28"/>
        </w:rPr>
      </w:pPr>
      <w:r>
        <w:rPr>
          <w:rFonts w:ascii="Arial" w:hAnsi="Arial" w:cs="Arial"/>
          <w:sz w:val="28"/>
          <w:szCs w:val="28"/>
        </w:rPr>
        <w:t>[2]</w:t>
      </w:r>
      <w:r>
        <w:rPr>
          <w:rFonts w:ascii="Arial" w:hAnsi="Arial" w:cs="Arial"/>
          <w:sz w:val="28"/>
          <w:szCs w:val="28"/>
        </w:rPr>
        <w:tab/>
      </w:r>
      <w:r w:rsidR="00927755">
        <w:rPr>
          <w:rFonts w:ascii="Arial" w:hAnsi="Arial" w:cs="Arial"/>
          <w:sz w:val="28"/>
          <w:szCs w:val="28"/>
        </w:rPr>
        <w:t xml:space="preserve"> </w:t>
      </w:r>
      <w:r w:rsidR="006047B6">
        <w:rPr>
          <w:rFonts w:ascii="Arial" w:hAnsi="Arial" w:cs="Arial"/>
          <w:sz w:val="28"/>
          <w:szCs w:val="28"/>
        </w:rPr>
        <w:t xml:space="preserve">According to the averments </w:t>
      </w:r>
      <w:r w:rsidR="00106789">
        <w:rPr>
          <w:rFonts w:ascii="Arial" w:hAnsi="Arial" w:cs="Arial"/>
          <w:sz w:val="28"/>
          <w:szCs w:val="28"/>
        </w:rPr>
        <w:t>in the opposing affidavit</w:t>
      </w:r>
      <w:r w:rsidR="006047B6">
        <w:rPr>
          <w:rFonts w:ascii="Arial" w:hAnsi="Arial" w:cs="Arial"/>
          <w:sz w:val="28"/>
          <w:szCs w:val="28"/>
        </w:rPr>
        <w:t xml:space="preserve">, </w:t>
      </w:r>
      <w:r w:rsidR="003C76F0">
        <w:rPr>
          <w:rFonts w:ascii="Arial" w:hAnsi="Arial" w:cs="Arial"/>
          <w:sz w:val="28"/>
          <w:szCs w:val="28"/>
        </w:rPr>
        <w:t xml:space="preserve">on 16 January 2018, </w:t>
      </w:r>
      <w:r w:rsidR="00106789">
        <w:rPr>
          <w:rFonts w:ascii="Arial" w:hAnsi="Arial" w:cs="Arial"/>
          <w:sz w:val="28"/>
          <w:szCs w:val="28"/>
        </w:rPr>
        <w:t>Liberty</w:t>
      </w:r>
      <w:r w:rsidR="001E6F2C">
        <w:rPr>
          <w:rFonts w:ascii="Arial" w:hAnsi="Arial" w:cs="Arial"/>
          <w:sz w:val="28"/>
          <w:szCs w:val="28"/>
        </w:rPr>
        <w:t xml:space="preserve"> and </w:t>
      </w:r>
      <w:r w:rsidR="00106789">
        <w:rPr>
          <w:rFonts w:ascii="Arial" w:hAnsi="Arial" w:cs="Arial"/>
          <w:sz w:val="28"/>
          <w:szCs w:val="28"/>
        </w:rPr>
        <w:t>CFS</w:t>
      </w:r>
      <w:r w:rsidR="001E6F2C">
        <w:rPr>
          <w:rFonts w:ascii="Arial" w:hAnsi="Arial" w:cs="Arial"/>
          <w:sz w:val="28"/>
          <w:szCs w:val="28"/>
        </w:rPr>
        <w:t xml:space="preserve"> entered into</w:t>
      </w:r>
      <w:r w:rsidR="006047B6">
        <w:rPr>
          <w:rFonts w:ascii="Arial" w:hAnsi="Arial" w:cs="Arial"/>
          <w:sz w:val="28"/>
          <w:szCs w:val="28"/>
        </w:rPr>
        <w:t xml:space="preserve"> a </w:t>
      </w:r>
      <w:r w:rsidR="003C76F0">
        <w:rPr>
          <w:rFonts w:ascii="Arial" w:hAnsi="Arial" w:cs="Arial"/>
          <w:sz w:val="28"/>
          <w:szCs w:val="28"/>
        </w:rPr>
        <w:t>Liberty B</w:t>
      </w:r>
      <w:r w:rsidR="006047B6">
        <w:rPr>
          <w:rFonts w:ascii="Arial" w:hAnsi="Arial" w:cs="Arial"/>
          <w:sz w:val="28"/>
          <w:szCs w:val="28"/>
        </w:rPr>
        <w:t>roker</w:t>
      </w:r>
      <w:r w:rsidR="003C76F0">
        <w:rPr>
          <w:rFonts w:ascii="Arial" w:hAnsi="Arial" w:cs="Arial"/>
          <w:sz w:val="28"/>
          <w:szCs w:val="28"/>
        </w:rPr>
        <w:t xml:space="preserve"> Franchise </w:t>
      </w:r>
      <w:r w:rsidR="006047B6">
        <w:rPr>
          <w:rFonts w:ascii="Arial" w:hAnsi="Arial" w:cs="Arial"/>
          <w:sz w:val="28"/>
          <w:szCs w:val="28"/>
        </w:rPr>
        <w:t>agreement</w:t>
      </w:r>
      <w:r w:rsidR="00106789">
        <w:rPr>
          <w:rFonts w:ascii="Arial" w:hAnsi="Arial" w:cs="Arial"/>
          <w:sz w:val="28"/>
          <w:szCs w:val="28"/>
        </w:rPr>
        <w:t xml:space="preserve">, in terms of which </w:t>
      </w:r>
      <w:r w:rsidR="00252777">
        <w:rPr>
          <w:rFonts w:ascii="Arial" w:hAnsi="Arial" w:cs="Arial"/>
          <w:sz w:val="28"/>
          <w:szCs w:val="28"/>
        </w:rPr>
        <w:t>CFS was required to provide</w:t>
      </w:r>
      <w:r w:rsidR="000D582E">
        <w:rPr>
          <w:rFonts w:ascii="Arial" w:hAnsi="Arial" w:cs="Arial"/>
          <w:sz w:val="28"/>
          <w:szCs w:val="28"/>
        </w:rPr>
        <w:t xml:space="preserve"> </w:t>
      </w:r>
      <w:r w:rsidR="000D582E" w:rsidRPr="000D582E">
        <w:rPr>
          <w:rFonts w:ascii="Arial" w:hAnsi="Arial" w:cs="Arial"/>
          <w:i/>
          <w:iCs/>
          <w:sz w:val="28"/>
          <w:szCs w:val="28"/>
        </w:rPr>
        <w:t>inter alia</w:t>
      </w:r>
      <w:r w:rsidR="00B47E1A">
        <w:rPr>
          <w:rFonts w:ascii="Arial" w:hAnsi="Arial" w:cs="Arial"/>
          <w:sz w:val="28"/>
          <w:szCs w:val="28"/>
        </w:rPr>
        <w:t xml:space="preserve"> broker consultant services</w:t>
      </w:r>
      <w:r w:rsidR="000D582E">
        <w:rPr>
          <w:rFonts w:ascii="Arial" w:hAnsi="Arial" w:cs="Arial"/>
          <w:sz w:val="28"/>
          <w:szCs w:val="28"/>
        </w:rPr>
        <w:t xml:space="preserve"> and services in the long and short-term insurance industry. The defendants allege that </w:t>
      </w:r>
      <w:r w:rsidR="001D5F7D">
        <w:rPr>
          <w:rFonts w:ascii="Arial" w:hAnsi="Arial" w:cs="Arial"/>
          <w:sz w:val="28"/>
          <w:szCs w:val="28"/>
        </w:rPr>
        <w:t xml:space="preserve">from 2018 to March 2020, business was conducted without any problems. When the Covid 19 pandemic hit South Africa and the country went into lockdown in March 2020, CFS struggled to keep its business afloat. It was granted financial </w:t>
      </w:r>
      <w:r w:rsidR="00AB2842">
        <w:rPr>
          <w:rFonts w:ascii="Arial" w:hAnsi="Arial" w:cs="Arial"/>
          <w:sz w:val="28"/>
          <w:szCs w:val="28"/>
        </w:rPr>
        <w:t>assistance</w:t>
      </w:r>
      <w:r w:rsidR="001D5F7D">
        <w:rPr>
          <w:rFonts w:ascii="Arial" w:hAnsi="Arial" w:cs="Arial"/>
          <w:sz w:val="28"/>
          <w:szCs w:val="28"/>
        </w:rPr>
        <w:t xml:space="preserve"> by Liberty for four months from March to June 2020</w:t>
      </w:r>
      <w:r w:rsidR="00AB2842">
        <w:rPr>
          <w:rFonts w:ascii="Arial" w:hAnsi="Arial" w:cs="Arial"/>
          <w:sz w:val="28"/>
          <w:szCs w:val="28"/>
        </w:rPr>
        <w:t xml:space="preserve"> to enable it to meet its running expenses</w:t>
      </w:r>
      <w:r w:rsidR="001D5F7D">
        <w:rPr>
          <w:rFonts w:ascii="Arial" w:hAnsi="Arial" w:cs="Arial"/>
          <w:sz w:val="28"/>
          <w:szCs w:val="28"/>
        </w:rPr>
        <w:t xml:space="preserve">. However, it was not receiving any income as it was not able to do business and applied for </w:t>
      </w:r>
    </w:p>
    <w:p w14:paraId="73A7D7CF" w14:textId="77777777" w:rsidR="00AB2842" w:rsidRDefault="00AB2842" w:rsidP="00AB2842">
      <w:pPr>
        <w:spacing w:line="360" w:lineRule="auto"/>
        <w:ind w:left="720" w:hanging="720"/>
        <w:jc w:val="both"/>
        <w:rPr>
          <w:rFonts w:ascii="Arial" w:hAnsi="Arial" w:cs="Arial"/>
          <w:sz w:val="28"/>
          <w:szCs w:val="28"/>
        </w:rPr>
      </w:pPr>
    </w:p>
    <w:p w14:paraId="1B940BB4" w14:textId="77777777" w:rsidR="00D50719" w:rsidRDefault="001D5F7D" w:rsidP="00D50719">
      <w:pPr>
        <w:spacing w:line="360" w:lineRule="auto"/>
        <w:ind w:left="720"/>
        <w:jc w:val="both"/>
        <w:rPr>
          <w:rFonts w:ascii="Arial" w:hAnsi="Arial" w:cs="Arial"/>
          <w:sz w:val="28"/>
          <w:szCs w:val="28"/>
        </w:rPr>
      </w:pPr>
      <w:r>
        <w:rPr>
          <w:rFonts w:ascii="Arial" w:hAnsi="Arial" w:cs="Arial"/>
          <w:sz w:val="28"/>
          <w:szCs w:val="28"/>
        </w:rPr>
        <w:lastRenderedPageBreak/>
        <w:t xml:space="preserve">further </w:t>
      </w:r>
      <w:r w:rsidR="00AB2842">
        <w:rPr>
          <w:rFonts w:ascii="Arial" w:hAnsi="Arial" w:cs="Arial"/>
          <w:sz w:val="28"/>
          <w:szCs w:val="28"/>
        </w:rPr>
        <w:t>financial assistance</w:t>
      </w:r>
      <w:r>
        <w:rPr>
          <w:rFonts w:ascii="Arial" w:hAnsi="Arial" w:cs="Arial"/>
          <w:sz w:val="28"/>
          <w:szCs w:val="28"/>
        </w:rPr>
        <w:t xml:space="preserve"> from Liberty, which was refused.</w:t>
      </w:r>
      <w:r w:rsidR="00AB2842">
        <w:rPr>
          <w:rFonts w:ascii="Arial" w:hAnsi="Arial" w:cs="Arial"/>
          <w:sz w:val="28"/>
          <w:szCs w:val="28"/>
        </w:rPr>
        <w:t xml:space="preserve"> </w:t>
      </w:r>
      <w:r>
        <w:rPr>
          <w:rFonts w:ascii="Arial" w:hAnsi="Arial" w:cs="Arial"/>
          <w:sz w:val="28"/>
          <w:szCs w:val="28"/>
        </w:rPr>
        <w:t xml:space="preserve">In order not to lose the contract with Liberty, </w:t>
      </w:r>
      <w:r w:rsidR="00AB2842">
        <w:rPr>
          <w:rFonts w:ascii="Arial" w:hAnsi="Arial" w:cs="Arial"/>
          <w:sz w:val="28"/>
          <w:szCs w:val="28"/>
        </w:rPr>
        <w:t>CFS</w:t>
      </w:r>
      <w:r>
        <w:rPr>
          <w:rFonts w:ascii="Arial" w:hAnsi="Arial" w:cs="Arial"/>
          <w:sz w:val="28"/>
          <w:szCs w:val="28"/>
        </w:rPr>
        <w:t xml:space="preserve"> signed an AOD in </w:t>
      </w:r>
      <w:proofErr w:type="spellStart"/>
      <w:r>
        <w:rPr>
          <w:rFonts w:ascii="Arial" w:hAnsi="Arial" w:cs="Arial"/>
          <w:sz w:val="28"/>
          <w:szCs w:val="28"/>
        </w:rPr>
        <w:t>favour</w:t>
      </w:r>
      <w:proofErr w:type="spellEnd"/>
      <w:r>
        <w:rPr>
          <w:rFonts w:ascii="Arial" w:hAnsi="Arial" w:cs="Arial"/>
          <w:sz w:val="28"/>
          <w:szCs w:val="28"/>
        </w:rPr>
        <w:t xml:space="preserve"> of Liberty</w:t>
      </w:r>
      <w:r w:rsidR="00AB2842">
        <w:rPr>
          <w:rFonts w:ascii="Arial" w:hAnsi="Arial" w:cs="Arial"/>
          <w:sz w:val="28"/>
          <w:szCs w:val="28"/>
        </w:rPr>
        <w:t>, in the amount claimed.</w:t>
      </w:r>
    </w:p>
    <w:p w14:paraId="34BA062F" w14:textId="77777777" w:rsidR="00D50719" w:rsidRDefault="00D50719" w:rsidP="00D50719">
      <w:pPr>
        <w:spacing w:line="360" w:lineRule="auto"/>
        <w:jc w:val="both"/>
        <w:rPr>
          <w:rFonts w:ascii="Arial" w:hAnsi="Arial" w:cs="Arial"/>
          <w:sz w:val="28"/>
          <w:szCs w:val="28"/>
        </w:rPr>
      </w:pPr>
    </w:p>
    <w:p w14:paraId="4DB39AE9" w14:textId="3FA7958B" w:rsidR="0009405B" w:rsidRDefault="00C705D6" w:rsidP="004E14D2">
      <w:pPr>
        <w:spacing w:line="360" w:lineRule="auto"/>
        <w:ind w:left="720" w:hanging="720"/>
        <w:jc w:val="both"/>
        <w:rPr>
          <w:rFonts w:ascii="Arial" w:hAnsi="Arial" w:cs="Arial"/>
          <w:sz w:val="28"/>
          <w:szCs w:val="28"/>
        </w:rPr>
      </w:pPr>
      <w:r>
        <w:rPr>
          <w:rFonts w:ascii="Arial" w:hAnsi="Arial" w:cs="Arial"/>
          <w:sz w:val="28"/>
          <w:szCs w:val="28"/>
        </w:rPr>
        <w:t>[3]</w:t>
      </w:r>
      <w:r w:rsidR="00D50719">
        <w:rPr>
          <w:rFonts w:ascii="Arial" w:hAnsi="Arial" w:cs="Arial"/>
          <w:sz w:val="28"/>
          <w:szCs w:val="28"/>
        </w:rPr>
        <w:tab/>
      </w:r>
      <w:r w:rsidR="00C31C87">
        <w:rPr>
          <w:rFonts w:ascii="Arial" w:hAnsi="Arial" w:cs="Arial"/>
          <w:sz w:val="28"/>
          <w:szCs w:val="28"/>
        </w:rPr>
        <w:t>The defendants</w:t>
      </w:r>
      <w:r w:rsidR="00D50719">
        <w:rPr>
          <w:rFonts w:ascii="Arial" w:hAnsi="Arial" w:cs="Arial"/>
          <w:sz w:val="28"/>
          <w:szCs w:val="28"/>
        </w:rPr>
        <w:t xml:space="preserve"> alleges that since the AOD was signed, </w:t>
      </w:r>
      <w:r w:rsidR="00C31C87">
        <w:rPr>
          <w:rFonts w:ascii="Arial" w:hAnsi="Arial" w:cs="Arial"/>
          <w:sz w:val="28"/>
          <w:szCs w:val="28"/>
        </w:rPr>
        <w:t>CFS</w:t>
      </w:r>
      <w:r w:rsidR="00D50719">
        <w:rPr>
          <w:rFonts w:ascii="Arial" w:hAnsi="Arial" w:cs="Arial"/>
          <w:sz w:val="28"/>
          <w:szCs w:val="28"/>
        </w:rPr>
        <w:t xml:space="preserve"> continued to submit work to Liberty and that whatever commission it earned, was used to reduce its debt </w:t>
      </w:r>
      <w:r w:rsidR="000A1C31">
        <w:rPr>
          <w:rFonts w:ascii="Arial" w:hAnsi="Arial" w:cs="Arial"/>
          <w:sz w:val="28"/>
          <w:szCs w:val="28"/>
        </w:rPr>
        <w:t xml:space="preserve">arising from the AOD. It further alleges that the work it submitted to Liberty </w:t>
      </w:r>
      <w:r w:rsidR="008F7D0B">
        <w:rPr>
          <w:rFonts w:ascii="Arial" w:hAnsi="Arial" w:cs="Arial"/>
          <w:sz w:val="28"/>
          <w:szCs w:val="28"/>
        </w:rPr>
        <w:t xml:space="preserve">from </w:t>
      </w:r>
      <w:r w:rsidR="000A1C31">
        <w:rPr>
          <w:rFonts w:ascii="Arial" w:hAnsi="Arial" w:cs="Arial"/>
          <w:sz w:val="28"/>
          <w:szCs w:val="28"/>
        </w:rPr>
        <w:t>15 December 2020 to 16 July 2021 was not taken into account</w:t>
      </w:r>
      <w:r w:rsidR="008F7D0B">
        <w:rPr>
          <w:rFonts w:ascii="Arial" w:hAnsi="Arial" w:cs="Arial"/>
          <w:sz w:val="28"/>
          <w:szCs w:val="28"/>
        </w:rPr>
        <w:t xml:space="preserve">. CFS alleges that a commission statement, which was marked “E” and handed </w:t>
      </w:r>
      <w:r w:rsidR="004E14D2">
        <w:rPr>
          <w:rFonts w:ascii="Arial" w:hAnsi="Arial" w:cs="Arial"/>
          <w:sz w:val="28"/>
          <w:szCs w:val="28"/>
        </w:rPr>
        <w:t>up</w:t>
      </w:r>
      <w:r w:rsidR="008F7D0B">
        <w:rPr>
          <w:rFonts w:ascii="Arial" w:hAnsi="Arial" w:cs="Arial"/>
          <w:sz w:val="28"/>
          <w:szCs w:val="28"/>
        </w:rPr>
        <w:t xml:space="preserve"> as an exhibit, received in July 2021 reflects a debt of R1 730</w:t>
      </w:r>
      <w:r w:rsidR="004E14D2">
        <w:rPr>
          <w:rFonts w:ascii="Arial" w:hAnsi="Arial" w:cs="Arial"/>
          <w:sz w:val="28"/>
          <w:szCs w:val="28"/>
        </w:rPr>
        <w:t> </w:t>
      </w:r>
      <w:r w:rsidR="008F7D0B">
        <w:rPr>
          <w:rFonts w:ascii="Arial" w:hAnsi="Arial" w:cs="Arial"/>
          <w:sz w:val="28"/>
          <w:szCs w:val="28"/>
        </w:rPr>
        <w:t>177</w:t>
      </w:r>
      <w:r w:rsidR="004E14D2">
        <w:rPr>
          <w:rFonts w:ascii="Arial" w:hAnsi="Arial" w:cs="Arial"/>
          <w:sz w:val="28"/>
          <w:szCs w:val="28"/>
        </w:rPr>
        <w:t xml:space="preserve"> </w:t>
      </w:r>
      <w:r w:rsidR="008F7D0B">
        <w:rPr>
          <w:rFonts w:ascii="Arial" w:hAnsi="Arial" w:cs="Arial"/>
          <w:sz w:val="28"/>
          <w:szCs w:val="28"/>
        </w:rPr>
        <w:t>as at March 2021, but that the following month, in April 2021, CFS is reflected as having a positive balance. Therefore</w:t>
      </w:r>
      <w:r w:rsidR="00D638CF">
        <w:rPr>
          <w:rFonts w:ascii="Arial" w:hAnsi="Arial" w:cs="Arial"/>
          <w:sz w:val="28"/>
          <w:szCs w:val="28"/>
        </w:rPr>
        <w:t>,</w:t>
      </w:r>
      <w:r w:rsidR="008F7D0B">
        <w:rPr>
          <w:rFonts w:ascii="Arial" w:hAnsi="Arial" w:cs="Arial"/>
          <w:sz w:val="28"/>
          <w:szCs w:val="28"/>
        </w:rPr>
        <w:t xml:space="preserve"> it does not owe </w:t>
      </w:r>
      <w:r w:rsidR="004E14D2">
        <w:rPr>
          <w:rFonts w:ascii="Arial" w:hAnsi="Arial" w:cs="Arial"/>
          <w:sz w:val="28"/>
          <w:szCs w:val="28"/>
        </w:rPr>
        <w:t>Liberty the amount claimed.</w:t>
      </w:r>
    </w:p>
    <w:p w14:paraId="7699403C" w14:textId="77777777" w:rsidR="004E14D2" w:rsidRDefault="004E14D2" w:rsidP="004E14D2">
      <w:pPr>
        <w:spacing w:line="360" w:lineRule="auto"/>
        <w:ind w:left="720" w:hanging="720"/>
        <w:jc w:val="both"/>
        <w:rPr>
          <w:rFonts w:ascii="Arial" w:hAnsi="Arial" w:cs="Arial"/>
          <w:sz w:val="28"/>
          <w:szCs w:val="28"/>
        </w:rPr>
      </w:pPr>
    </w:p>
    <w:p w14:paraId="26180F89" w14:textId="77777777" w:rsidR="008D213F" w:rsidRDefault="00E614C8" w:rsidP="0063227E">
      <w:pPr>
        <w:tabs>
          <w:tab w:val="left" w:pos="6946"/>
        </w:tabs>
        <w:spacing w:line="360" w:lineRule="auto"/>
        <w:ind w:left="720" w:hanging="720"/>
        <w:jc w:val="both"/>
        <w:rPr>
          <w:rFonts w:ascii="Arial" w:hAnsi="Arial" w:cs="Arial"/>
          <w:sz w:val="28"/>
          <w:szCs w:val="28"/>
        </w:rPr>
      </w:pPr>
      <w:r>
        <w:rPr>
          <w:rFonts w:ascii="Arial" w:hAnsi="Arial" w:cs="Arial"/>
          <w:sz w:val="28"/>
          <w:szCs w:val="28"/>
        </w:rPr>
        <w:t>[4]</w:t>
      </w:r>
      <w:r w:rsidR="004E14D2">
        <w:rPr>
          <w:rFonts w:ascii="Arial" w:hAnsi="Arial" w:cs="Arial"/>
          <w:sz w:val="28"/>
          <w:szCs w:val="28"/>
        </w:rPr>
        <w:tab/>
        <w:t>Liberty filed a Replying Affidavit</w:t>
      </w:r>
      <w:r w:rsidR="00C31C87">
        <w:rPr>
          <w:rFonts w:ascii="Arial" w:hAnsi="Arial" w:cs="Arial"/>
          <w:sz w:val="28"/>
          <w:szCs w:val="28"/>
        </w:rPr>
        <w:t xml:space="preserve"> in which it disputed the version tendered by the defendants</w:t>
      </w:r>
      <w:r w:rsidR="00D638CF">
        <w:rPr>
          <w:rFonts w:ascii="Arial" w:hAnsi="Arial" w:cs="Arial"/>
          <w:sz w:val="28"/>
          <w:szCs w:val="28"/>
        </w:rPr>
        <w:t xml:space="preserve">, giving an explanation as to why the defendants’ version is incorrect and alleging that the defendants have acted </w:t>
      </w:r>
      <w:r w:rsidR="00D638CF" w:rsidRPr="009C5363">
        <w:rPr>
          <w:rFonts w:ascii="Arial" w:hAnsi="Arial" w:cs="Arial"/>
          <w:i/>
          <w:iCs/>
          <w:sz w:val="28"/>
          <w:szCs w:val="28"/>
        </w:rPr>
        <w:t>male fide</w:t>
      </w:r>
      <w:r w:rsidR="00D638CF">
        <w:rPr>
          <w:rFonts w:ascii="Arial" w:hAnsi="Arial" w:cs="Arial"/>
          <w:sz w:val="28"/>
          <w:szCs w:val="28"/>
        </w:rPr>
        <w:t xml:space="preserve"> in advancing such a </w:t>
      </w:r>
      <w:proofErr w:type="spellStart"/>
      <w:r w:rsidR="00D638CF">
        <w:rPr>
          <w:rFonts w:ascii="Arial" w:hAnsi="Arial" w:cs="Arial"/>
          <w:sz w:val="28"/>
          <w:szCs w:val="28"/>
        </w:rPr>
        <w:t>defence</w:t>
      </w:r>
      <w:proofErr w:type="spellEnd"/>
      <w:r w:rsidR="00D638CF">
        <w:rPr>
          <w:rFonts w:ascii="Arial" w:hAnsi="Arial" w:cs="Arial"/>
          <w:sz w:val="28"/>
          <w:szCs w:val="28"/>
        </w:rPr>
        <w:t>. I pause to mention that</w:t>
      </w:r>
      <w:r w:rsidR="009C5363">
        <w:rPr>
          <w:rFonts w:ascii="Arial" w:hAnsi="Arial" w:cs="Arial"/>
          <w:sz w:val="28"/>
          <w:szCs w:val="28"/>
        </w:rPr>
        <w:t xml:space="preserve"> the name of the deponent to the Replying Affidavit was not included therein and </w:t>
      </w:r>
      <w:proofErr w:type="spellStart"/>
      <w:r w:rsidR="009C5363">
        <w:rPr>
          <w:rFonts w:ascii="Arial" w:hAnsi="Arial" w:cs="Arial"/>
          <w:sz w:val="28"/>
          <w:szCs w:val="28"/>
        </w:rPr>
        <w:t>Mr</w:t>
      </w:r>
      <w:proofErr w:type="spellEnd"/>
      <w:r w:rsidR="009C5363">
        <w:rPr>
          <w:rFonts w:ascii="Arial" w:hAnsi="Arial" w:cs="Arial"/>
          <w:sz w:val="28"/>
          <w:szCs w:val="28"/>
        </w:rPr>
        <w:t xml:space="preserve"> Morland indicated that a supplementary affidavit would be filed to correct that omission, but that does not appear to have been done. </w:t>
      </w:r>
      <w:proofErr w:type="spellStart"/>
      <w:r w:rsidR="009C5363">
        <w:rPr>
          <w:rFonts w:ascii="Arial" w:hAnsi="Arial" w:cs="Arial"/>
          <w:sz w:val="28"/>
          <w:szCs w:val="28"/>
        </w:rPr>
        <w:t>Mr</w:t>
      </w:r>
      <w:proofErr w:type="spellEnd"/>
      <w:r w:rsidR="009C5363">
        <w:rPr>
          <w:rFonts w:ascii="Arial" w:hAnsi="Arial" w:cs="Arial"/>
          <w:sz w:val="28"/>
          <w:szCs w:val="28"/>
        </w:rPr>
        <w:t xml:space="preserve"> </w:t>
      </w:r>
      <w:proofErr w:type="spellStart"/>
      <w:r w:rsidR="009C5363">
        <w:rPr>
          <w:rFonts w:ascii="Arial" w:hAnsi="Arial" w:cs="Arial"/>
          <w:sz w:val="28"/>
          <w:szCs w:val="28"/>
        </w:rPr>
        <w:t>Bahlekazi</w:t>
      </w:r>
      <w:proofErr w:type="spellEnd"/>
      <w:r w:rsidR="009C5363">
        <w:rPr>
          <w:rFonts w:ascii="Arial" w:hAnsi="Arial" w:cs="Arial"/>
          <w:sz w:val="28"/>
          <w:szCs w:val="28"/>
        </w:rPr>
        <w:t xml:space="preserve"> did not take issue with the omission of the deponent’s name. </w:t>
      </w:r>
      <w:r w:rsidR="005A04B6">
        <w:rPr>
          <w:rFonts w:ascii="Arial" w:hAnsi="Arial" w:cs="Arial"/>
          <w:sz w:val="28"/>
          <w:szCs w:val="28"/>
        </w:rPr>
        <w:t>Liberty explained that CFS is a franchised branch of Liberty and as such is remunerated by a management fee referred to as an “overrider fee”</w:t>
      </w:r>
      <w:r w:rsidR="008D213F">
        <w:rPr>
          <w:rFonts w:ascii="Arial" w:hAnsi="Arial" w:cs="Arial"/>
          <w:sz w:val="28"/>
          <w:szCs w:val="28"/>
        </w:rPr>
        <w:t>. This fee is calculated according to the</w:t>
      </w:r>
    </w:p>
    <w:p w14:paraId="432649F2" w14:textId="77777777" w:rsidR="008D213F" w:rsidRDefault="008D213F" w:rsidP="0063227E">
      <w:pPr>
        <w:tabs>
          <w:tab w:val="left" w:pos="6946"/>
        </w:tabs>
        <w:spacing w:line="360" w:lineRule="auto"/>
        <w:ind w:left="720" w:hanging="720"/>
        <w:jc w:val="both"/>
        <w:rPr>
          <w:rFonts w:ascii="Arial" w:hAnsi="Arial" w:cs="Arial"/>
          <w:sz w:val="28"/>
          <w:szCs w:val="28"/>
        </w:rPr>
      </w:pPr>
    </w:p>
    <w:p w14:paraId="46CE41DF" w14:textId="396641BE" w:rsidR="005A04B6" w:rsidRDefault="008D213F" w:rsidP="0063227E">
      <w:pPr>
        <w:tabs>
          <w:tab w:val="left" w:pos="6946"/>
        </w:tabs>
        <w:spacing w:line="360" w:lineRule="auto"/>
        <w:ind w:left="720" w:hanging="720"/>
        <w:jc w:val="both"/>
        <w:rPr>
          <w:rFonts w:ascii="Arial" w:hAnsi="Arial" w:cs="Arial"/>
          <w:sz w:val="28"/>
          <w:szCs w:val="28"/>
        </w:rPr>
      </w:pPr>
      <w:r>
        <w:rPr>
          <w:rFonts w:ascii="Arial" w:hAnsi="Arial" w:cs="Arial"/>
          <w:sz w:val="28"/>
          <w:szCs w:val="28"/>
        </w:rPr>
        <w:lastRenderedPageBreak/>
        <w:tab/>
        <w:t>mathematical formula set out in the Broker Franchise Agreement that the parties entered into. The defendants have not disputed the methodology employed in such calculation.</w:t>
      </w:r>
    </w:p>
    <w:p w14:paraId="359ABE86" w14:textId="77777777" w:rsidR="005A04B6" w:rsidRDefault="005A04B6" w:rsidP="0063227E">
      <w:pPr>
        <w:tabs>
          <w:tab w:val="left" w:pos="6946"/>
        </w:tabs>
        <w:spacing w:line="360" w:lineRule="auto"/>
        <w:ind w:left="720" w:hanging="720"/>
        <w:jc w:val="both"/>
        <w:rPr>
          <w:rFonts w:ascii="Arial" w:hAnsi="Arial" w:cs="Arial"/>
          <w:sz w:val="28"/>
          <w:szCs w:val="28"/>
        </w:rPr>
      </w:pPr>
    </w:p>
    <w:p w14:paraId="284D6AF5" w14:textId="77777777" w:rsidR="001064A6" w:rsidRDefault="008D213F" w:rsidP="0063227E">
      <w:pPr>
        <w:tabs>
          <w:tab w:val="left" w:pos="6946"/>
        </w:tabs>
        <w:spacing w:line="360" w:lineRule="auto"/>
        <w:ind w:left="720" w:hanging="720"/>
        <w:jc w:val="both"/>
        <w:rPr>
          <w:rFonts w:ascii="Arial" w:hAnsi="Arial" w:cs="Arial"/>
          <w:sz w:val="28"/>
          <w:szCs w:val="28"/>
        </w:rPr>
      </w:pPr>
      <w:r>
        <w:rPr>
          <w:rFonts w:ascii="Arial" w:hAnsi="Arial" w:cs="Arial"/>
          <w:sz w:val="28"/>
          <w:szCs w:val="28"/>
        </w:rPr>
        <w:t>[5]</w:t>
      </w:r>
      <w:r>
        <w:rPr>
          <w:rFonts w:ascii="Arial" w:hAnsi="Arial" w:cs="Arial"/>
          <w:sz w:val="28"/>
          <w:szCs w:val="28"/>
        </w:rPr>
        <w:tab/>
      </w:r>
      <w:r w:rsidR="009C5363">
        <w:rPr>
          <w:rFonts w:ascii="Arial" w:hAnsi="Arial" w:cs="Arial"/>
          <w:sz w:val="28"/>
          <w:szCs w:val="28"/>
        </w:rPr>
        <w:t>Liberty alleged that the figure of 1 730 177 referred to by the defendants is not the Rand</w:t>
      </w:r>
      <w:r w:rsidR="00FF2C2E">
        <w:rPr>
          <w:rFonts w:ascii="Arial" w:hAnsi="Arial" w:cs="Arial"/>
          <w:sz w:val="28"/>
          <w:szCs w:val="28"/>
        </w:rPr>
        <w:t xml:space="preserve"> value of</w:t>
      </w:r>
      <w:r w:rsidR="009C5363">
        <w:rPr>
          <w:rFonts w:ascii="Arial" w:hAnsi="Arial" w:cs="Arial"/>
          <w:sz w:val="28"/>
          <w:szCs w:val="28"/>
        </w:rPr>
        <w:t xml:space="preserve"> fee</w:t>
      </w:r>
      <w:r w:rsidR="00FF2C2E">
        <w:rPr>
          <w:rFonts w:ascii="Arial" w:hAnsi="Arial" w:cs="Arial"/>
          <w:sz w:val="28"/>
          <w:szCs w:val="28"/>
        </w:rPr>
        <w:t>s</w:t>
      </w:r>
      <w:r w:rsidR="009C5363">
        <w:rPr>
          <w:rFonts w:ascii="Arial" w:hAnsi="Arial" w:cs="Arial"/>
          <w:sz w:val="28"/>
          <w:szCs w:val="28"/>
        </w:rPr>
        <w:t xml:space="preserve"> payable to CFS. The volume of written policies accepted by Liberty from brokers serviced by CFS is referred to as Production Credits (PCR’s)</w:t>
      </w:r>
      <w:r w:rsidR="005A04B6">
        <w:rPr>
          <w:rFonts w:ascii="Arial" w:hAnsi="Arial" w:cs="Arial"/>
          <w:sz w:val="28"/>
          <w:szCs w:val="28"/>
        </w:rPr>
        <w:t xml:space="preserve">, which is a mathematical </w:t>
      </w:r>
      <w:r>
        <w:rPr>
          <w:rFonts w:ascii="Arial" w:hAnsi="Arial" w:cs="Arial"/>
          <w:sz w:val="28"/>
          <w:szCs w:val="28"/>
        </w:rPr>
        <w:t>metric used in the calculation of the overrider fee.</w:t>
      </w:r>
      <w:r w:rsidR="00850DF8">
        <w:rPr>
          <w:rFonts w:ascii="Arial" w:hAnsi="Arial" w:cs="Arial"/>
          <w:sz w:val="28"/>
          <w:szCs w:val="28"/>
        </w:rPr>
        <w:t xml:space="preserve"> It is this “metric” on annexure E that the defendant refers to, and is not a reflection of the fee paid by Liberty to CFS. Liberty explains further that the overrider statement is accompanied by a monthly commission statement</w:t>
      </w:r>
      <w:r w:rsidR="00FF2C2E">
        <w:rPr>
          <w:rFonts w:ascii="Arial" w:hAnsi="Arial" w:cs="Arial"/>
          <w:sz w:val="28"/>
          <w:szCs w:val="28"/>
        </w:rPr>
        <w:t xml:space="preserve"> which not only serves as a tax invoice, but reflects the net financial position</w:t>
      </w:r>
      <w:r w:rsidR="0066478D">
        <w:rPr>
          <w:rFonts w:ascii="Arial" w:hAnsi="Arial" w:cs="Arial"/>
          <w:sz w:val="28"/>
          <w:szCs w:val="28"/>
        </w:rPr>
        <w:t xml:space="preserve"> of the broker after deductions or allowances have been taken into account. </w:t>
      </w:r>
      <w:r w:rsidR="003D1642">
        <w:rPr>
          <w:rFonts w:ascii="Arial" w:hAnsi="Arial" w:cs="Arial"/>
          <w:sz w:val="28"/>
          <w:szCs w:val="28"/>
        </w:rPr>
        <w:t>Liberty attached copies of a commission statement for October 2021, which reflected the financial position for September 2021</w:t>
      </w:r>
      <w:r w:rsidR="001064A6">
        <w:rPr>
          <w:rFonts w:ascii="Arial" w:hAnsi="Arial" w:cs="Arial"/>
          <w:sz w:val="28"/>
          <w:szCs w:val="28"/>
        </w:rPr>
        <w:t xml:space="preserve">. From that statement it appears that CFS owed a net amount of R2 158 824.76 to Liberty. This statement was not disclosed by CFS. </w:t>
      </w:r>
    </w:p>
    <w:p w14:paraId="6E0FAD83" w14:textId="77777777" w:rsidR="001064A6" w:rsidRDefault="001064A6" w:rsidP="00727E6D">
      <w:pPr>
        <w:spacing w:line="360" w:lineRule="auto"/>
        <w:ind w:left="720" w:hanging="720"/>
        <w:jc w:val="both"/>
        <w:rPr>
          <w:rFonts w:ascii="Arial" w:hAnsi="Arial" w:cs="Arial"/>
          <w:sz w:val="28"/>
          <w:szCs w:val="28"/>
        </w:rPr>
      </w:pPr>
    </w:p>
    <w:p w14:paraId="3B74FF8C" w14:textId="1738BEDE" w:rsidR="00867B77" w:rsidRDefault="00E34E39" w:rsidP="001064A6">
      <w:pPr>
        <w:tabs>
          <w:tab w:val="left" w:pos="6946"/>
        </w:tabs>
        <w:spacing w:line="360" w:lineRule="auto"/>
        <w:ind w:left="720" w:hanging="720"/>
        <w:jc w:val="both"/>
        <w:rPr>
          <w:rFonts w:ascii="Arial" w:hAnsi="Arial" w:cs="Arial"/>
          <w:sz w:val="28"/>
          <w:szCs w:val="28"/>
        </w:rPr>
      </w:pPr>
      <w:r>
        <w:rPr>
          <w:rFonts w:ascii="Arial" w:hAnsi="Arial" w:cs="Arial"/>
          <w:sz w:val="28"/>
          <w:szCs w:val="28"/>
        </w:rPr>
        <w:t>[</w:t>
      </w:r>
      <w:r w:rsidR="00C13E86">
        <w:rPr>
          <w:rFonts w:ascii="Arial" w:hAnsi="Arial" w:cs="Arial"/>
          <w:sz w:val="28"/>
          <w:szCs w:val="28"/>
        </w:rPr>
        <w:t>6</w:t>
      </w:r>
      <w:r w:rsidR="00CD19F3">
        <w:rPr>
          <w:rFonts w:ascii="Arial" w:hAnsi="Arial" w:cs="Arial"/>
          <w:sz w:val="28"/>
          <w:szCs w:val="28"/>
        </w:rPr>
        <w:t>]</w:t>
      </w:r>
      <w:r w:rsidR="001064A6">
        <w:rPr>
          <w:rFonts w:ascii="Arial" w:hAnsi="Arial" w:cs="Arial"/>
          <w:sz w:val="28"/>
          <w:szCs w:val="28"/>
        </w:rPr>
        <w:tab/>
        <w:t xml:space="preserve">Another statement that Liberty attached was an “overrider fee account”, which reflected CFS’s </w:t>
      </w:r>
      <w:proofErr w:type="spellStart"/>
      <w:r w:rsidR="001064A6">
        <w:rPr>
          <w:rFonts w:ascii="Arial" w:hAnsi="Arial" w:cs="Arial"/>
          <w:sz w:val="28"/>
          <w:szCs w:val="28"/>
        </w:rPr>
        <w:t>nett</w:t>
      </w:r>
      <w:proofErr w:type="spellEnd"/>
      <w:r w:rsidR="001064A6">
        <w:rPr>
          <w:rFonts w:ascii="Arial" w:hAnsi="Arial" w:cs="Arial"/>
          <w:sz w:val="28"/>
          <w:szCs w:val="28"/>
        </w:rPr>
        <w:t xml:space="preserve"> financial position after deduction of overrider fees previously paid</w:t>
      </w:r>
      <w:r w:rsidR="00537040">
        <w:rPr>
          <w:rFonts w:ascii="Arial" w:hAnsi="Arial" w:cs="Arial"/>
          <w:sz w:val="28"/>
          <w:szCs w:val="28"/>
        </w:rPr>
        <w:t>,</w:t>
      </w:r>
      <w:r w:rsidR="001064A6">
        <w:rPr>
          <w:rFonts w:ascii="Arial" w:hAnsi="Arial" w:cs="Arial"/>
          <w:sz w:val="28"/>
          <w:szCs w:val="28"/>
        </w:rPr>
        <w:t xml:space="preserve"> from the overrider fees actually earned. Liberty then attached a reconciliation statement which it referred to as a “settlement account”</w:t>
      </w:r>
      <w:r w:rsidR="00867B77">
        <w:rPr>
          <w:rFonts w:ascii="Arial" w:hAnsi="Arial" w:cs="Arial"/>
          <w:sz w:val="28"/>
          <w:szCs w:val="28"/>
        </w:rPr>
        <w:t xml:space="preserve"> and alleges that when the overrider fee and settlement accounts are reconciled, two amounts were owing to it by CFS on 4 February 2021, namely, R59 990.99 and </w:t>
      </w:r>
    </w:p>
    <w:p w14:paraId="2CA0B323" w14:textId="4A246058" w:rsidR="002665B3" w:rsidRDefault="00867B77" w:rsidP="005F6431">
      <w:pPr>
        <w:tabs>
          <w:tab w:val="left" w:pos="6946"/>
        </w:tabs>
        <w:spacing w:line="360" w:lineRule="auto"/>
        <w:ind w:left="720" w:hanging="720"/>
        <w:jc w:val="both"/>
        <w:rPr>
          <w:rFonts w:ascii="Arial" w:hAnsi="Arial" w:cs="Arial"/>
          <w:sz w:val="28"/>
          <w:szCs w:val="28"/>
        </w:rPr>
      </w:pPr>
      <w:r>
        <w:rPr>
          <w:rFonts w:ascii="Arial" w:hAnsi="Arial" w:cs="Arial"/>
          <w:sz w:val="28"/>
          <w:szCs w:val="28"/>
        </w:rPr>
        <w:lastRenderedPageBreak/>
        <w:tab/>
        <w:t xml:space="preserve">R1 195 981.99, although there was a typographical error in </w:t>
      </w:r>
      <w:r w:rsidR="00537040">
        <w:rPr>
          <w:rFonts w:ascii="Arial" w:hAnsi="Arial" w:cs="Arial"/>
          <w:sz w:val="28"/>
          <w:szCs w:val="28"/>
        </w:rPr>
        <w:t>cit</w:t>
      </w:r>
      <w:r>
        <w:rPr>
          <w:rFonts w:ascii="Arial" w:hAnsi="Arial" w:cs="Arial"/>
          <w:sz w:val="28"/>
          <w:szCs w:val="28"/>
        </w:rPr>
        <w:t>ing the latter amount in para 25 of the Replying Affidavit. Reference to the settlement account reflects the correct amount.</w:t>
      </w:r>
      <w:r w:rsidR="005F6431">
        <w:rPr>
          <w:rFonts w:ascii="Arial" w:hAnsi="Arial" w:cs="Arial"/>
          <w:sz w:val="28"/>
          <w:szCs w:val="28"/>
        </w:rPr>
        <w:t xml:space="preserve"> The total of these two amounts</w:t>
      </w:r>
      <w:r w:rsidR="003318EB">
        <w:rPr>
          <w:rFonts w:ascii="Arial" w:hAnsi="Arial" w:cs="Arial"/>
          <w:sz w:val="28"/>
          <w:szCs w:val="28"/>
        </w:rPr>
        <w:t>,</w:t>
      </w:r>
      <w:r w:rsidR="005F6431">
        <w:rPr>
          <w:rFonts w:ascii="Arial" w:hAnsi="Arial" w:cs="Arial"/>
          <w:sz w:val="28"/>
          <w:szCs w:val="28"/>
        </w:rPr>
        <w:t xml:space="preserve"> namely R1 793 972.98, is what CFS acknowledged itself to be liable for in the AOD, which was signed in December 2021</w:t>
      </w:r>
    </w:p>
    <w:p w14:paraId="5F0A1481" w14:textId="77777777" w:rsidR="005F6431" w:rsidRDefault="005F6431" w:rsidP="005F6431">
      <w:pPr>
        <w:tabs>
          <w:tab w:val="left" w:pos="6946"/>
        </w:tabs>
        <w:spacing w:line="360" w:lineRule="auto"/>
        <w:ind w:left="720" w:hanging="720"/>
        <w:jc w:val="both"/>
        <w:rPr>
          <w:rFonts w:ascii="Arial" w:hAnsi="Arial" w:cs="Arial"/>
          <w:sz w:val="28"/>
          <w:szCs w:val="28"/>
        </w:rPr>
      </w:pPr>
    </w:p>
    <w:p w14:paraId="43D43AF8" w14:textId="66A47E60" w:rsidR="007F2E88" w:rsidRDefault="009741B7" w:rsidP="00FD0B9E">
      <w:pPr>
        <w:spacing w:line="360" w:lineRule="auto"/>
        <w:ind w:left="720" w:hanging="720"/>
        <w:rPr>
          <w:rFonts w:ascii="Arial" w:hAnsi="Arial" w:cs="Arial"/>
          <w:sz w:val="28"/>
          <w:szCs w:val="28"/>
        </w:rPr>
      </w:pPr>
      <w:r>
        <w:rPr>
          <w:rFonts w:ascii="Arial" w:hAnsi="Arial" w:cs="Arial"/>
          <w:sz w:val="28"/>
          <w:szCs w:val="28"/>
        </w:rPr>
        <w:t>[</w:t>
      </w:r>
      <w:r w:rsidR="00C13E86">
        <w:rPr>
          <w:rFonts w:ascii="Arial" w:hAnsi="Arial" w:cs="Arial"/>
          <w:sz w:val="28"/>
          <w:szCs w:val="28"/>
        </w:rPr>
        <w:t>7</w:t>
      </w:r>
      <w:r w:rsidR="00823FD3">
        <w:rPr>
          <w:rFonts w:ascii="Arial" w:hAnsi="Arial" w:cs="Arial"/>
          <w:sz w:val="28"/>
          <w:szCs w:val="28"/>
        </w:rPr>
        <w:t>]</w:t>
      </w:r>
      <w:r w:rsidR="005B61B1">
        <w:rPr>
          <w:rFonts w:ascii="Arial" w:hAnsi="Arial" w:cs="Arial"/>
          <w:sz w:val="28"/>
          <w:szCs w:val="28"/>
        </w:rPr>
        <w:tab/>
      </w:r>
      <w:r w:rsidR="00244F1E">
        <w:rPr>
          <w:rFonts w:ascii="Arial" w:hAnsi="Arial" w:cs="Arial"/>
          <w:sz w:val="28"/>
          <w:szCs w:val="28"/>
        </w:rPr>
        <w:t xml:space="preserve"> </w:t>
      </w:r>
      <w:r w:rsidR="005F6431">
        <w:rPr>
          <w:rFonts w:ascii="Arial" w:hAnsi="Arial" w:cs="Arial"/>
          <w:sz w:val="28"/>
          <w:szCs w:val="28"/>
        </w:rPr>
        <w:t xml:space="preserve">Liberty explained that the vehicle of the AOD was employed to assist CFS, as it would not be permitted by its electronic systems from putting through such a large amount as a serviceable debt in ordinary business operations. </w:t>
      </w:r>
      <w:r w:rsidR="003318EB">
        <w:rPr>
          <w:rFonts w:ascii="Arial" w:hAnsi="Arial" w:cs="Arial"/>
          <w:sz w:val="28"/>
          <w:szCs w:val="28"/>
        </w:rPr>
        <w:t xml:space="preserve">The AOD was intended to assist CFS as the latter would be permitted to maintain cash flow whilst it repaid the debt in terms of the AOD. </w:t>
      </w:r>
      <w:r w:rsidR="00537040">
        <w:rPr>
          <w:rFonts w:ascii="Arial" w:hAnsi="Arial" w:cs="Arial"/>
          <w:sz w:val="28"/>
          <w:szCs w:val="28"/>
        </w:rPr>
        <w:t>Liberty</w:t>
      </w:r>
      <w:r w:rsidR="005F6431">
        <w:rPr>
          <w:rFonts w:ascii="Arial" w:hAnsi="Arial" w:cs="Arial"/>
          <w:sz w:val="28"/>
          <w:szCs w:val="28"/>
        </w:rPr>
        <w:t xml:space="preserve"> therefore alleges that CFS acted </w:t>
      </w:r>
      <w:r w:rsidR="005F6431" w:rsidRPr="005F6431">
        <w:rPr>
          <w:rFonts w:ascii="Arial" w:hAnsi="Arial" w:cs="Arial"/>
          <w:i/>
          <w:iCs/>
          <w:sz w:val="28"/>
          <w:szCs w:val="28"/>
        </w:rPr>
        <w:t>male fides</w:t>
      </w:r>
      <w:r w:rsidR="005F6431">
        <w:rPr>
          <w:rFonts w:ascii="Arial" w:hAnsi="Arial" w:cs="Arial"/>
          <w:sz w:val="28"/>
          <w:szCs w:val="28"/>
        </w:rPr>
        <w:t xml:space="preserve"> in not disclosing to the court all the relevant documentation and its true indebtedness to Liberty.</w:t>
      </w:r>
    </w:p>
    <w:p w14:paraId="7414733E" w14:textId="77777777" w:rsidR="007F2E88" w:rsidRPr="001F2B7A" w:rsidRDefault="007F2E88" w:rsidP="007F2E88">
      <w:pPr>
        <w:spacing w:line="360" w:lineRule="auto"/>
        <w:ind w:left="1260"/>
        <w:rPr>
          <w:rFonts w:ascii="Arial" w:hAnsi="Arial" w:cs="Arial"/>
          <w:sz w:val="24"/>
          <w:szCs w:val="24"/>
        </w:rPr>
      </w:pPr>
    </w:p>
    <w:p w14:paraId="63AD3F89" w14:textId="00FA6D25" w:rsidR="00F5225F" w:rsidRDefault="007F2E88" w:rsidP="00FD0B9E">
      <w:pPr>
        <w:spacing w:line="360" w:lineRule="auto"/>
        <w:ind w:left="720" w:hanging="720"/>
        <w:rPr>
          <w:rFonts w:ascii="Arial" w:hAnsi="Arial" w:cs="Arial"/>
          <w:sz w:val="28"/>
          <w:szCs w:val="28"/>
        </w:rPr>
      </w:pPr>
      <w:r>
        <w:rPr>
          <w:rFonts w:ascii="Arial" w:hAnsi="Arial" w:cs="Arial"/>
          <w:sz w:val="28"/>
          <w:szCs w:val="28"/>
        </w:rPr>
        <w:t>[</w:t>
      </w:r>
      <w:r w:rsidR="00C13E86">
        <w:rPr>
          <w:rFonts w:ascii="Arial" w:hAnsi="Arial" w:cs="Arial"/>
          <w:sz w:val="28"/>
          <w:szCs w:val="28"/>
        </w:rPr>
        <w:t>8</w:t>
      </w:r>
      <w:r w:rsidR="00BA3C6D">
        <w:rPr>
          <w:rFonts w:ascii="Arial" w:hAnsi="Arial" w:cs="Arial"/>
          <w:sz w:val="28"/>
          <w:szCs w:val="28"/>
        </w:rPr>
        <w:t>]</w:t>
      </w:r>
      <w:r>
        <w:rPr>
          <w:rFonts w:ascii="Arial" w:hAnsi="Arial" w:cs="Arial"/>
          <w:sz w:val="28"/>
          <w:szCs w:val="28"/>
        </w:rPr>
        <w:tab/>
        <w:t xml:space="preserve"> </w:t>
      </w:r>
      <w:r w:rsidR="00B95B79">
        <w:rPr>
          <w:rFonts w:ascii="Arial" w:hAnsi="Arial" w:cs="Arial"/>
          <w:sz w:val="28"/>
          <w:szCs w:val="28"/>
        </w:rPr>
        <w:t>The relevant portions of Uniform Rule 8 provide as follows:</w:t>
      </w:r>
    </w:p>
    <w:p w14:paraId="39FAE710" w14:textId="77777777" w:rsidR="00150325" w:rsidRDefault="00B95B79" w:rsidP="00150325">
      <w:pPr>
        <w:ind w:left="724"/>
        <w:rPr>
          <w:rFonts w:ascii="Arial" w:eastAsia="Times New Roman" w:hAnsi="Arial" w:cs="Arial"/>
          <w:color w:val="000000"/>
          <w:sz w:val="24"/>
          <w:szCs w:val="24"/>
          <w:lang w:val="en-ZA" w:eastAsia="en-ZA"/>
        </w:rPr>
      </w:pPr>
      <w:r w:rsidRPr="00B95B79">
        <w:rPr>
          <w:rFonts w:ascii="Verdana" w:eastAsia="Times New Roman" w:hAnsi="Verdana" w:cs="Times New Roman"/>
          <w:color w:val="000000"/>
          <w:sz w:val="16"/>
          <w:szCs w:val="16"/>
          <w:lang w:val="en-ZA" w:eastAsia="en-ZA"/>
        </w:rPr>
        <w:t>(</w:t>
      </w:r>
      <w:r w:rsidRPr="00150325">
        <w:rPr>
          <w:rFonts w:ascii="Arial" w:eastAsia="Times New Roman" w:hAnsi="Arial" w:cs="Arial"/>
          <w:color w:val="000000"/>
          <w:sz w:val="24"/>
          <w:szCs w:val="24"/>
          <w:lang w:val="en-ZA" w:eastAsia="en-ZA"/>
        </w:rPr>
        <w:t>1) Where by law any person may be summoned to answer a claim made for</w:t>
      </w:r>
    </w:p>
    <w:p w14:paraId="4AA5F3C5" w14:textId="68010394" w:rsidR="00B95B79" w:rsidRPr="00150325" w:rsidRDefault="00150325" w:rsidP="00150325">
      <w:pPr>
        <w:spacing w:line="360" w:lineRule="auto"/>
        <w:ind w:left="1123"/>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p</w:t>
      </w:r>
      <w:r w:rsidR="00B95B79" w:rsidRPr="00150325">
        <w:rPr>
          <w:rFonts w:ascii="Arial" w:eastAsia="Times New Roman" w:hAnsi="Arial" w:cs="Arial"/>
          <w:color w:val="000000"/>
          <w:sz w:val="24"/>
          <w:szCs w:val="24"/>
          <w:lang w:val="en-ZA" w:eastAsia="en-ZA"/>
        </w:rPr>
        <w:t>rovisional sentence,</w:t>
      </w:r>
      <w:r>
        <w:rPr>
          <w:rFonts w:ascii="Arial" w:eastAsia="Times New Roman" w:hAnsi="Arial" w:cs="Arial"/>
          <w:color w:val="000000"/>
          <w:sz w:val="24"/>
          <w:szCs w:val="24"/>
          <w:lang w:val="en-ZA" w:eastAsia="en-ZA"/>
        </w:rPr>
        <w:t xml:space="preserve"> </w:t>
      </w:r>
      <w:r w:rsidR="00B95B79" w:rsidRPr="00150325">
        <w:rPr>
          <w:rFonts w:ascii="Arial" w:eastAsia="Times New Roman" w:hAnsi="Arial" w:cs="Arial"/>
          <w:color w:val="000000"/>
          <w:sz w:val="24"/>
          <w:szCs w:val="24"/>
          <w:lang w:val="en-ZA" w:eastAsia="en-ZA"/>
        </w:rPr>
        <w:t>proceedings shall be instituted by way of a summons as near as may be in accordance with Form 3 of the First Schedule calling upon such person to pay the amount claimed or, failing such payment, to appear personally or by counsel or by an attorney who, under section 4(2) of the Right of Appearance in Courts Act, 1995 (Act No. 62 of 1995), has the right of appearance in the Supreme Court upon a day named in such summons, not being less than 10 days after the service upon him or her of such summons, to admit or deny his or her liability.</w:t>
      </w:r>
    </w:p>
    <w:p w14:paraId="4CE1484C" w14:textId="77777777" w:rsidR="00150325" w:rsidRDefault="00B95B79" w:rsidP="00150325">
      <w:pPr>
        <w:spacing w:after="0" w:line="360" w:lineRule="auto"/>
        <w:ind w:left="720"/>
        <w:rPr>
          <w:rFonts w:ascii="Arial" w:eastAsia="Times New Roman" w:hAnsi="Arial" w:cs="Arial"/>
          <w:color w:val="000000"/>
          <w:sz w:val="24"/>
          <w:szCs w:val="24"/>
          <w:lang w:val="en-ZA" w:eastAsia="en-ZA"/>
        </w:rPr>
      </w:pPr>
      <w:r w:rsidRPr="00B95B79">
        <w:rPr>
          <w:rFonts w:ascii="Arial" w:eastAsia="Times New Roman" w:hAnsi="Arial" w:cs="Arial"/>
          <w:color w:val="000000"/>
          <w:sz w:val="24"/>
          <w:szCs w:val="24"/>
          <w:lang w:val="en-ZA" w:eastAsia="en-ZA"/>
        </w:rPr>
        <w:t>(8) Should the court refuse provisional sentence it may order the defendant to file</w:t>
      </w:r>
    </w:p>
    <w:p w14:paraId="4730FF4E" w14:textId="6F4CFC58" w:rsidR="00B95B79" w:rsidRPr="00150325" w:rsidRDefault="00B95B79" w:rsidP="00150325">
      <w:pPr>
        <w:spacing w:after="0" w:line="360" w:lineRule="auto"/>
        <w:ind w:left="1120"/>
        <w:rPr>
          <w:rFonts w:ascii="Arial" w:eastAsia="Times New Roman" w:hAnsi="Arial" w:cs="Arial"/>
          <w:color w:val="000000"/>
          <w:sz w:val="24"/>
          <w:szCs w:val="24"/>
          <w:lang w:val="en-ZA" w:eastAsia="en-ZA"/>
        </w:rPr>
      </w:pPr>
      <w:r w:rsidRPr="00B95B79">
        <w:rPr>
          <w:rFonts w:ascii="Arial" w:eastAsia="Times New Roman" w:hAnsi="Arial" w:cs="Arial"/>
          <w:color w:val="000000"/>
          <w:sz w:val="24"/>
          <w:szCs w:val="24"/>
          <w:lang w:val="en-ZA" w:eastAsia="en-ZA"/>
        </w:rPr>
        <w:t>a plea within a stated</w:t>
      </w:r>
      <w:r w:rsidR="00150325">
        <w:rPr>
          <w:rFonts w:ascii="Arial" w:eastAsia="Times New Roman" w:hAnsi="Arial" w:cs="Arial"/>
          <w:color w:val="000000"/>
          <w:sz w:val="24"/>
          <w:szCs w:val="24"/>
          <w:lang w:val="en-ZA" w:eastAsia="en-ZA"/>
        </w:rPr>
        <w:t xml:space="preserve"> </w:t>
      </w:r>
      <w:r w:rsidRPr="00B95B79">
        <w:rPr>
          <w:rFonts w:ascii="Arial" w:eastAsia="Times New Roman" w:hAnsi="Arial" w:cs="Arial"/>
          <w:color w:val="000000"/>
          <w:sz w:val="24"/>
          <w:szCs w:val="24"/>
          <w:lang w:val="en-ZA" w:eastAsia="en-ZA"/>
        </w:rPr>
        <w:t>time and may make such order as to the costs of the proceedings as to it may seem just. Thereafter</w:t>
      </w:r>
      <w:r w:rsidR="00150325" w:rsidRPr="00150325">
        <w:rPr>
          <w:rFonts w:ascii="Arial" w:eastAsia="Times New Roman" w:hAnsi="Arial" w:cs="Arial"/>
          <w:color w:val="000000"/>
          <w:sz w:val="24"/>
          <w:szCs w:val="24"/>
          <w:lang w:val="en-ZA" w:eastAsia="en-ZA"/>
        </w:rPr>
        <w:t xml:space="preserve"> </w:t>
      </w:r>
      <w:r w:rsidRPr="00B95B79">
        <w:rPr>
          <w:rFonts w:ascii="Arial" w:eastAsia="Times New Roman" w:hAnsi="Arial" w:cs="Arial"/>
          <w:color w:val="000000"/>
          <w:sz w:val="24"/>
          <w:szCs w:val="24"/>
          <w:lang w:val="en-ZA" w:eastAsia="en-ZA"/>
        </w:rPr>
        <w:t xml:space="preserve">the provisions of these rules </w:t>
      </w:r>
      <w:r w:rsidRPr="00B95B79">
        <w:rPr>
          <w:rFonts w:ascii="Arial" w:eastAsia="Times New Roman" w:hAnsi="Arial" w:cs="Arial"/>
          <w:color w:val="000000"/>
          <w:sz w:val="24"/>
          <w:szCs w:val="24"/>
          <w:lang w:val="en-ZA" w:eastAsia="en-ZA"/>
        </w:rPr>
        <w:lastRenderedPageBreak/>
        <w:t>as to pleading and the further conduct of trial actions shall </w:t>
      </w:r>
      <w:r w:rsidRPr="00B95B79">
        <w:rPr>
          <w:rFonts w:ascii="Arial" w:eastAsia="Times New Roman" w:hAnsi="Arial" w:cs="Arial"/>
          <w:i/>
          <w:iCs/>
          <w:color w:val="000000"/>
          <w:sz w:val="24"/>
          <w:szCs w:val="24"/>
          <w:lang w:val="en-ZA" w:eastAsia="en-ZA"/>
        </w:rPr>
        <w:t>mutatis mutandis</w:t>
      </w:r>
      <w:r w:rsidRPr="00B95B79">
        <w:rPr>
          <w:rFonts w:ascii="Arial" w:eastAsia="Times New Roman" w:hAnsi="Arial" w:cs="Arial"/>
          <w:color w:val="000000"/>
          <w:sz w:val="24"/>
          <w:szCs w:val="24"/>
          <w:lang w:val="en-ZA" w:eastAsia="en-ZA"/>
        </w:rPr>
        <w:t> apply.</w:t>
      </w:r>
    </w:p>
    <w:p w14:paraId="186EEA4E" w14:textId="77777777" w:rsidR="00150325" w:rsidRPr="00B95B79" w:rsidRDefault="00150325" w:rsidP="00150325">
      <w:pPr>
        <w:spacing w:after="0" w:line="240" w:lineRule="auto"/>
        <w:ind w:left="1060"/>
        <w:rPr>
          <w:rFonts w:ascii="Arial" w:eastAsia="Times New Roman" w:hAnsi="Arial" w:cs="Arial"/>
          <w:color w:val="000000"/>
          <w:sz w:val="24"/>
          <w:szCs w:val="24"/>
          <w:lang w:val="en-ZA" w:eastAsia="en-ZA"/>
        </w:rPr>
      </w:pPr>
    </w:p>
    <w:p w14:paraId="415B96A6" w14:textId="77777777" w:rsidR="00150325" w:rsidRDefault="00B95B79" w:rsidP="00150325">
      <w:pPr>
        <w:spacing w:after="0" w:line="360" w:lineRule="auto"/>
        <w:ind w:left="720"/>
        <w:rPr>
          <w:rFonts w:ascii="Arial" w:eastAsia="Times New Roman" w:hAnsi="Arial" w:cs="Arial"/>
          <w:i/>
          <w:iCs/>
          <w:color w:val="000000"/>
          <w:sz w:val="24"/>
          <w:szCs w:val="24"/>
          <w:lang w:val="en-ZA" w:eastAsia="en-ZA"/>
        </w:rPr>
      </w:pPr>
      <w:bookmarkStart w:id="0" w:name="0-0-0-30781"/>
      <w:bookmarkEnd w:id="0"/>
      <w:r w:rsidRPr="00B95B79">
        <w:rPr>
          <w:rFonts w:ascii="Arial" w:eastAsia="Times New Roman" w:hAnsi="Arial" w:cs="Arial"/>
          <w:color w:val="000000"/>
          <w:sz w:val="24"/>
          <w:szCs w:val="24"/>
          <w:lang w:val="en-ZA" w:eastAsia="en-ZA"/>
        </w:rPr>
        <w:t>(9) The plaintiff shall on demand furnish the defendant with security </w:t>
      </w:r>
      <w:r w:rsidRPr="00B95B79">
        <w:rPr>
          <w:rFonts w:ascii="Arial" w:eastAsia="Times New Roman" w:hAnsi="Arial" w:cs="Arial"/>
          <w:i/>
          <w:iCs/>
          <w:color w:val="000000"/>
          <w:sz w:val="24"/>
          <w:szCs w:val="24"/>
          <w:lang w:val="en-ZA" w:eastAsia="en-ZA"/>
        </w:rPr>
        <w:t>de</w:t>
      </w:r>
    </w:p>
    <w:p w14:paraId="3DBF315F" w14:textId="0EC5241B" w:rsidR="00B95B79" w:rsidRPr="00150325" w:rsidRDefault="00B95B79" w:rsidP="00150325">
      <w:pPr>
        <w:spacing w:after="0" w:line="360" w:lineRule="auto"/>
        <w:ind w:left="1120"/>
        <w:rPr>
          <w:rFonts w:ascii="Arial" w:eastAsia="Times New Roman" w:hAnsi="Arial" w:cs="Arial"/>
          <w:color w:val="000000"/>
          <w:sz w:val="24"/>
          <w:szCs w:val="24"/>
          <w:lang w:val="en-ZA" w:eastAsia="en-ZA"/>
        </w:rPr>
      </w:pPr>
      <w:proofErr w:type="spellStart"/>
      <w:r w:rsidRPr="00B95B79">
        <w:rPr>
          <w:rFonts w:ascii="Arial" w:eastAsia="Times New Roman" w:hAnsi="Arial" w:cs="Arial"/>
          <w:i/>
          <w:iCs/>
          <w:color w:val="000000"/>
          <w:sz w:val="24"/>
          <w:szCs w:val="24"/>
          <w:lang w:val="en-ZA" w:eastAsia="en-ZA"/>
        </w:rPr>
        <w:t>restituendo</w:t>
      </w:r>
      <w:proofErr w:type="spellEnd"/>
      <w:r w:rsidRPr="00B95B79">
        <w:rPr>
          <w:rFonts w:ascii="Arial" w:eastAsia="Times New Roman" w:hAnsi="Arial" w:cs="Arial"/>
          <w:color w:val="000000"/>
          <w:sz w:val="24"/>
          <w:szCs w:val="24"/>
          <w:lang w:val="en-ZA" w:eastAsia="en-ZA"/>
        </w:rPr>
        <w:t> to the satisfaction of</w:t>
      </w:r>
      <w:r w:rsidR="00150325">
        <w:rPr>
          <w:rFonts w:ascii="Arial" w:eastAsia="Times New Roman" w:hAnsi="Arial" w:cs="Arial"/>
          <w:color w:val="000000"/>
          <w:sz w:val="24"/>
          <w:szCs w:val="24"/>
          <w:lang w:val="en-ZA" w:eastAsia="en-ZA"/>
        </w:rPr>
        <w:t xml:space="preserve"> </w:t>
      </w:r>
      <w:r w:rsidRPr="00B95B79">
        <w:rPr>
          <w:rFonts w:ascii="Arial" w:eastAsia="Times New Roman" w:hAnsi="Arial" w:cs="Arial"/>
          <w:color w:val="000000"/>
          <w:sz w:val="24"/>
          <w:szCs w:val="24"/>
          <w:lang w:val="en-ZA" w:eastAsia="en-ZA"/>
        </w:rPr>
        <w:t>the registrar, against payment of the amount due under the judgment.</w:t>
      </w:r>
    </w:p>
    <w:p w14:paraId="376FE2AD" w14:textId="77777777" w:rsidR="00150325" w:rsidRPr="00B95B79" w:rsidRDefault="00150325" w:rsidP="00B95B79">
      <w:pPr>
        <w:spacing w:after="0" w:line="240" w:lineRule="auto"/>
        <w:ind w:left="720"/>
        <w:rPr>
          <w:rFonts w:ascii="Arial" w:eastAsia="Times New Roman" w:hAnsi="Arial" w:cs="Arial"/>
          <w:color w:val="000000"/>
          <w:sz w:val="24"/>
          <w:szCs w:val="24"/>
          <w:lang w:val="en-ZA" w:eastAsia="en-ZA"/>
        </w:rPr>
      </w:pPr>
    </w:p>
    <w:p w14:paraId="5882D255" w14:textId="77777777" w:rsidR="00150325" w:rsidRDefault="00B95B79" w:rsidP="00150325">
      <w:pPr>
        <w:spacing w:after="0" w:line="360" w:lineRule="auto"/>
        <w:ind w:left="720"/>
        <w:rPr>
          <w:rFonts w:ascii="Arial" w:eastAsia="Times New Roman" w:hAnsi="Arial" w:cs="Arial"/>
          <w:color w:val="000000"/>
          <w:sz w:val="24"/>
          <w:szCs w:val="24"/>
          <w:lang w:val="en-ZA" w:eastAsia="en-ZA"/>
        </w:rPr>
      </w:pPr>
      <w:bookmarkStart w:id="1" w:name="0-0-0-30783"/>
      <w:bookmarkEnd w:id="1"/>
      <w:r w:rsidRPr="00B95B79">
        <w:rPr>
          <w:rFonts w:ascii="Arial" w:eastAsia="Times New Roman" w:hAnsi="Arial" w:cs="Arial"/>
          <w:color w:val="000000"/>
          <w:sz w:val="24"/>
          <w:szCs w:val="24"/>
          <w:lang w:val="en-ZA" w:eastAsia="en-ZA"/>
        </w:rPr>
        <w:t>(10) Any person against whom provisional sentence has been granted may enter</w:t>
      </w:r>
    </w:p>
    <w:p w14:paraId="6AD5E1C6" w14:textId="3C01BA3C" w:rsidR="00B95B79" w:rsidRPr="00B95B79" w:rsidRDefault="00B95B79" w:rsidP="00150325">
      <w:pPr>
        <w:spacing w:after="0" w:line="360" w:lineRule="auto"/>
        <w:ind w:left="1190"/>
        <w:rPr>
          <w:rFonts w:ascii="Arial" w:eastAsia="Times New Roman" w:hAnsi="Arial" w:cs="Arial"/>
          <w:color w:val="000000"/>
          <w:sz w:val="24"/>
          <w:szCs w:val="24"/>
          <w:lang w:val="en-ZA" w:eastAsia="en-ZA"/>
        </w:rPr>
      </w:pPr>
      <w:r w:rsidRPr="00B95B79">
        <w:rPr>
          <w:rFonts w:ascii="Arial" w:eastAsia="Times New Roman" w:hAnsi="Arial" w:cs="Arial"/>
          <w:color w:val="000000"/>
          <w:sz w:val="24"/>
          <w:szCs w:val="24"/>
          <w:lang w:val="en-ZA" w:eastAsia="en-ZA"/>
        </w:rPr>
        <w:t>into the principal case</w:t>
      </w:r>
      <w:r w:rsidR="00150325">
        <w:rPr>
          <w:rFonts w:ascii="Arial" w:eastAsia="Times New Roman" w:hAnsi="Arial" w:cs="Arial"/>
          <w:color w:val="000000"/>
          <w:sz w:val="24"/>
          <w:szCs w:val="24"/>
          <w:lang w:val="en-ZA" w:eastAsia="en-ZA"/>
        </w:rPr>
        <w:t xml:space="preserve"> </w:t>
      </w:r>
      <w:r w:rsidRPr="00B95B79">
        <w:rPr>
          <w:rFonts w:ascii="Arial" w:eastAsia="Times New Roman" w:hAnsi="Arial" w:cs="Arial"/>
          <w:color w:val="000000"/>
          <w:sz w:val="24"/>
          <w:szCs w:val="24"/>
          <w:lang w:val="en-ZA" w:eastAsia="en-ZA"/>
        </w:rPr>
        <w:t>only if he shall have satisfied the amount of the judgment of provisional sentence and taxed costs, or if the plaintiff on demand fails to furnish due security in terms of subrule (9).</w:t>
      </w:r>
    </w:p>
    <w:p w14:paraId="36A56695" w14:textId="77777777" w:rsidR="00150325" w:rsidRPr="00150325" w:rsidRDefault="00150325" w:rsidP="00B95B79">
      <w:pPr>
        <w:spacing w:after="0" w:line="240" w:lineRule="auto"/>
        <w:ind w:left="720"/>
        <w:rPr>
          <w:rFonts w:ascii="Arial" w:eastAsia="Times New Roman" w:hAnsi="Arial" w:cs="Arial"/>
          <w:color w:val="000000"/>
          <w:sz w:val="24"/>
          <w:szCs w:val="24"/>
          <w:lang w:val="en-ZA" w:eastAsia="en-ZA"/>
        </w:rPr>
      </w:pPr>
      <w:bookmarkStart w:id="2" w:name="0-0-0-30785"/>
      <w:bookmarkStart w:id="3" w:name="0-0-0-30787"/>
      <w:bookmarkEnd w:id="2"/>
      <w:bookmarkEnd w:id="3"/>
    </w:p>
    <w:p w14:paraId="1DE59ACF" w14:textId="77777777" w:rsidR="00150325" w:rsidRDefault="00B95B79" w:rsidP="00150325">
      <w:pPr>
        <w:spacing w:after="0" w:line="360" w:lineRule="auto"/>
        <w:ind w:left="720"/>
        <w:rPr>
          <w:rFonts w:ascii="Arial" w:eastAsia="Times New Roman" w:hAnsi="Arial" w:cs="Arial"/>
          <w:color w:val="000000"/>
          <w:sz w:val="24"/>
          <w:szCs w:val="24"/>
          <w:lang w:val="en-ZA" w:eastAsia="en-ZA"/>
        </w:rPr>
      </w:pPr>
      <w:r w:rsidRPr="00B95B79">
        <w:rPr>
          <w:rFonts w:ascii="Arial" w:eastAsia="Times New Roman" w:hAnsi="Arial" w:cs="Arial"/>
          <w:color w:val="000000"/>
          <w:sz w:val="24"/>
          <w:szCs w:val="24"/>
          <w:lang w:val="en-ZA" w:eastAsia="en-ZA"/>
        </w:rPr>
        <w:t>(11) A defendant entitled and wishing to enter into the principal case shall, within</w:t>
      </w:r>
    </w:p>
    <w:p w14:paraId="76FCD0E8" w14:textId="4021A4F7" w:rsidR="00B95B79" w:rsidRPr="00B95B79" w:rsidRDefault="00B95B79" w:rsidP="00150325">
      <w:pPr>
        <w:spacing w:after="0" w:line="360" w:lineRule="auto"/>
        <w:ind w:left="1190"/>
        <w:rPr>
          <w:rFonts w:ascii="Arial" w:eastAsia="Times New Roman" w:hAnsi="Arial" w:cs="Arial"/>
          <w:color w:val="000000"/>
          <w:sz w:val="24"/>
          <w:szCs w:val="24"/>
          <w:lang w:val="en-ZA" w:eastAsia="en-ZA"/>
        </w:rPr>
      </w:pPr>
      <w:r w:rsidRPr="00B95B79">
        <w:rPr>
          <w:rFonts w:ascii="Arial" w:eastAsia="Times New Roman" w:hAnsi="Arial" w:cs="Arial"/>
          <w:color w:val="000000"/>
          <w:sz w:val="24"/>
          <w:szCs w:val="24"/>
          <w:lang w:val="en-ZA" w:eastAsia="en-ZA"/>
        </w:rPr>
        <w:t>two months of the grant</w:t>
      </w:r>
      <w:r w:rsidR="00150325">
        <w:rPr>
          <w:rFonts w:ascii="Arial" w:eastAsia="Times New Roman" w:hAnsi="Arial" w:cs="Arial"/>
          <w:color w:val="000000"/>
          <w:sz w:val="24"/>
          <w:szCs w:val="24"/>
          <w:lang w:val="en-ZA" w:eastAsia="en-ZA"/>
        </w:rPr>
        <w:t xml:space="preserve"> </w:t>
      </w:r>
      <w:r w:rsidRPr="00B95B79">
        <w:rPr>
          <w:rFonts w:ascii="Arial" w:eastAsia="Times New Roman" w:hAnsi="Arial" w:cs="Arial"/>
          <w:color w:val="000000"/>
          <w:sz w:val="24"/>
          <w:szCs w:val="24"/>
          <w:lang w:val="en-ZA" w:eastAsia="en-ZA"/>
        </w:rPr>
        <w:t>of provisional sentence, deliver notice of his intention to do so, in which event the summons shall be deemed to be a combined summons and he shall deliver a plea within 10 days thereafter. Failing such notice or such plea the provisional sentence shall </w:t>
      </w:r>
      <w:r w:rsidRPr="00B95B79">
        <w:rPr>
          <w:rFonts w:ascii="Arial" w:eastAsia="Times New Roman" w:hAnsi="Arial" w:cs="Arial"/>
          <w:i/>
          <w:iCs/>
          <w:color w:val="000000"/>
          <w:sz w:val="24"/>
          <w:szCs w:val="24"/>
          <w:lang w:val="en-ZA" w:eastAsia="en-ZA"/>
        </w:rPr>
        <w:t>ipso facto</w:t>
      </w:r>
      <w:r w:rsidRPr="00B95B79">
        <w:rPr>
          <w:rFonts w:ascii="Arial" w:eastAsia="Times New Roman" w:hAnsi="Arial" w:cs="Arial"/>
          <w:color w:val="000000"/>
          <w:sz w:val="24"/>
          <w:szCs w:val="24"/>
          <w:lang w:val="en-ZA" w:eastAsia="en-ZA"/>
        </w:rPr>
        <w:t> become a final judgment and the security given by the plaintiff shall lapse.</w:t>
      </w:r>
    </w:p>
    <w:p w14:paraId="2ABEDB02" w14:textId="77777777" w:rsidR="00150325" w:rsidRDefault="00150325" w:rsidP="00FD0B9E">
      <w:pPr>
        <w:spacing w:line="360" w:lineRule="auto"/>
        <w:ind w:left="720" w:hanging="720"/>
        <w:jc w:val="both"/>
        <w:rPr>
          <w:rFonts w:ascii="Arial" w:hAnsi="Arial" w:cs="Arial"/>
          <w:sz w:val="28"/>
          <w:szCs w:val="28"/>
        </w:rPr>
      </w:pPr>
    </w:p>
    <w:p w14:paraId="46C28DCF" w14:textId="78C59681" w:rsidR="00D359D6" w:rsidRDefault="009741B7" w:rsidP="00FD0B9E">
      <w:pPr>
        <w:spacing w:line="360" w:lineRule="auto"/>
        <w:ind w:left="720" w:hanging="720"/>
        <w:jc w:val="both"/>
        <w:rPr>
          <w:rFonts w:ascii="Arial" w:hAnsi="Arial" w:cs="Arial"/>
          <w:sz w:val="28"/>
          <w:szCs w:val="28"/>
        </w:rPr>
      </w:pPr>
      <w:r>
        <w:rPr>
          <w:rFonts w:ascii="Arial" w:hAnsi="Arial" w:cs="Arial"/>
          <w:sz w:val="28"/>
          <w:szCs w:val="28"/>
        </w:rPr>
        <w:t>[</w:t>
      </w:r>
      <w:r w:rsidR="00C13E86">
        <w:rPr>
          <w:rFonts w:ascii="Arial" w:hAnsi="Arial" w:cs="Arial"/>
          <w:sz w:val="28"/>
          <w:szCs w:val="28"/>
        </w:rPr>
        <w:t>9</w:t>
      </w:r>
      <w:r w:rsidR="00C85E67">
        <w:rPr>
          <w:rFonts w:ascii="Arial" w:hAnsi="Arial" w:cs="Arial"/>
          <w:sz w:val="28"/>
          <w:szCs w:val="28"/>
        </w:rPr>
        <w:t>]</w:t>
      </w:r>
      <w:r w:rsidR="00150325">
        <w:rPr>
          <w:rFonts w:ascii="Arial" w:hAnsi="Arial" w:cs="Arial"/>
          <w:sz w:val="28"/>
          <w:szCs w:val="28"/>
        </w:rPr>
        <w:tab/>
      </w:r>
      <w:r w:rsidR="008F456F">
        <w:rPr>
          <w:rFonts w:ascii="Arial" w:hAnsi="Arial" w:cs="Arial"/>
          <w:sz w:val="28"/>
          <w:szCs w:val="28"/>
        </w:rPr>
        <w:t>It is trite that provisional sentence is a summary and interlocutory remedy. It has been accepted as such for over eight decades through our case law.</w:t>
      </w:r>
      <w:r w:rsidR="00537040">
        <w:rPr>
          <w:rFonts w:ascii="Arial" w:hAnsi="Arial" w:cs="Arial"/>
          <w:sz w:val="28"/>
          <w:szCs w:val="28"/>
        </w:rPr>
        <w:t xml:space="preserve"> The learned author</w:t>
      </w:r>
      <w:r w:rsidR="008F456F">
        <w:rPr>
          <w:rFonts w:ascii="Arial" w:hAnsi="Arial" w:cs="Arial"/>
          <w:sz w:val="28"/>
          <w:szCs w:val="28"/>
        </w:rPr>
        <w:t xml:space="preserve"> </w:t>
      </w:r>
      <w:r w:rsidR="008F456F" w:rsidRPr="000A6602">
        <w:rPr>
          <w:rFonts w:ascii="Arial" w:hAnsi="Arial" w:cs="Arial"/>
          <w:i/>
          <w:iCs/>
          <w:sz w:val="28"/>
          <w:szCs w:val="28"/>
        </w:rPr>
        <w:t>Erasmus</w:t>
      </w:r>
      <w:r w:rsidR="00537040">
        <w:rPr>
          <w:rFonts w:ascii="Arial" w:hAnsi="Arial" w:cs="Arial"/>
          <w:i/>
          <w:iCs/>
          <w:sz w:val="28"/>
          <w:szCs w:val="28"/>
        </w:rPr>
        <w:t xml:space="preserve"> </w:t>
      </w:r>
      <w:r w:rsidR="00537040" w:rsidRPr="00537040">
        <w:rPr>
          <w:rFonts w:ascii="Arial" w:hAnsi="Arial" w:cs="Arial"/>
          <w:sz w:val="28"/>
          <w:szCs w:val="28"/>
        </w:rPr>
        <w:t>in the work</w:t>
      </w:r>
      <w:r w:rsidR="00537040">
        <w:rPr>
          <w:rFonts w:ascii="Arial" w:hAnsi="Arial" w:cs="Arial"/>
          <w:i/>
          <w:iCs/>
          <w:sz w:val="28"/>
          <w:szCs w:val="28"/>
        </w:rPr>
        <w:t xml:space="preserve"> Superior Court Practice</w:t>
      </w:r>
      <w:r w:rsidR="008F456F">
        <w:rPr>
          <w:rFonts w:ascii="Arial" w:hAnsi="Arial" w:cs="Arial"/>
          <w:sz w:val="28"/>
          <w:szCs w:val="28"/>
        </w:rPr>
        <w:t xml:space="preserve"> at</w:t>
      </w:r>
      <w:r w:rsidR="000A6602">
        <w:rPr>
          <w:rFonts w:ascii="Arial" w:hAnsi="Arial" w:cs="Arial"/>
          <w:sz w:val="28"/>
          <w:szCs w:val="28"/>
        </w:rPr>
        <w:t xml:space="preserve"> </w:t>
      </w:r>
      <w:r w:rsidR="000A6602" w:rsidRPr="000A6602">
        <w:rPr>
          <w:rFonts w:ascii="Arial" w:hAnsi="Arial" w:cs="Arial"/>
          <w:i/>
          <w:iCs/>
          <w:sz w:val="26"/>
          <w:szCs w:val="26"/>
        </w:rPr>
        <w:t>RS 17, 2021, D1-98</w:t>
      </w:r>
      <w:r w:rsidR="000A6602">
        <w:rPr>
          <w:rFonts w:ascii="Arial" w:hAnsi="Arial" w:cs="Arial"/>
          <w:i/>
          <w:iCs/>
          <w:sz w:val="26"/>
          <w:szCs w:val="26"/>
        </w:rPr>
        <w:t xml:space="preserve"> </w:t>
      </w:r>
      <w:proofErr w:type="spellStart"/>
      <w:r w:rsidR="000A6602" w:rsidRPr="000A6602">
        <w:rPr>
          <w:rFonts w:ascii="Arial" w:hAnsi="Arial" w:cs="Arial"/>
          <w:sz w:val="28"/>
          <w:szCs w:val="28"/>
        </w:rPr>
        <w:t>succintly</w:t>
      </w:r>
      <w:proofErr w:type="spellEnd"/>
      <w:r w:rsidR="000A6602" w:rsidRPr="000A6602">
        <w:rPr>
          <w:rFonts w:ascii="Arial" w:hAnsi="Arial" w:cs="Arial"/>
          <w:sz w:val="28"/>
          <w:szCs w:val="28"/>
        </w:rPr>
        <w:t xml:space="preserve"> </w:t>
      </w:r>
      <w:proofErr w:type="spellStart"/>
      <w:r w:rsidR="000A6602" w:rsidRPr="000A6602">
        <w:rPr>
          <w:rFonts w:ascii="Arial" w:hAnsi="Arial" w:cs="Arial"/>
          <w:sz w:val="28"/>
          <w:szCs w:val="28"/>
        </w:rPr>
        <w:t>summarises</w:t>
      </w:r>
      <w:proofErr w:type="spellEnd"/>
      <w:r w:rsidR="000A6602" w:rsidRPr="000A6602">
        <w:rPr>
          <w:rFonts w:ascii="Arial" w:hAnsi="Arial" w:cs="Arial"/>
          <w:sz w:val="28"/>
          <w:szCs w:val="28"/>
        </w:rPr>
        <w:t xml:space="preserve"> the position in our law as follows:</w:t>
      </w:r>
    </w:p>
    <w:p w14:paraId="5D533113" w14:textId="77777777" w:rsidR="003000F3" w:rsidRDefault="000A6602" w:rsidP="00FD0B9E">
      <w:pPr>
        <w:spacing w:line="360" w:lineRule="auto"/>
        <w:ind w:left="720" w:hanging="720"/>
        <w:jc w:val="both"/>
        <w:rPr>
          <w:rFonts w:ascii="Arial" w:hAnsi="Arial" w:cs="Arial"/>
          <w:color w:val="000000"/>
          <w:sz w:val="24"/>
          <w:szCs w:val="24"/>
        </w:rPr>
      </w:pPr>
      <w:r>
        <w:rPr>
          <w:rFonts w:ascii="Arial" w:hAnsi="Arial" w:cs="Arial"/>
          <w:sz w:val="28"/>
          <w:szCs w:val="28"/>
        </w:rPr>
        <w:tab/>
      </w:r>
      <w:r w:rsidRPr="000A6602">
        <w:rPr>
          <w:rFonts w:ascii="Arial" w:hAnsi="Arial" w:cs="Arial"/>
          <w:sz w:val="24"/>
          <w:szCs w:val="24"/>
        </w:rPr>
        <w:t>“</w:t>
      </w:r>
      <w:r w:rsidRPr="000A6602">
        <w:rPr>
          <w:rFonts w:ascii="Arial" w:hAnsi="Arial" w:cs="Arial"/>
          <w:color w:val="000000"/>
          <w:sz w:val="24"/>
          <w:szCs w:val="24"/>
        </w:rPr>
        <w:t>Provisional sentence…..is an extraordinary, summary and interlocutory remedy </w:t>
      </w:r>
      <w:bookmarkStart w:id="4" w:name="0-0-0-30793"/>
      <w:bookmarkEnd w:id="4"/>
      <w:r w:rsidRPr="000A6602">
        <w:rPr>
          <w:rFonts w:ascii="Arial" w:hAnsi="Arial" w:cs="Arial"/>
          <w:color w:val="000000"/>
          <w:sz w:val="24"/>
          <w:szCs w:val="24"/>
        </w:rPr>
        <w:t>designed to enable a creditor who has liquid proof of his claim to obtain a speedy judgment therefor without resorting to the more expensive and dilatory machinery of an illiquid action.</w:t>
      </w:r>
      <w:bookmarkStart w:id="5" w:name="0-0-0-30797"/>
      <w:bookmarkEnd w:id="5"/>
      <w:r>
        <w:rPr>
          <w:rFonts w:ascii="Arial" w:hAnsi="Arial" w:cs="Arial"/>
          <w:color w:val="000000"/>
          <w:sz w:val="24"/>
          <w:szCs w:val="24"/>
        </w:rPr>
        <w:t xml:space="preserve"> </w:t>
      </w:r>
      <w:r w:rsidRPr="000A6602">
        <w:rPr>
          <w:rFonts w:ascii="Arial" w:hAnsi="Arial" w:cs="Arial"/>
          <w:color w:val="000000"/>
          <w:sz w:val="24"/>
          <w:szCs w:val="24"/>
        </w:rPr>
        <w:t xml:space="preserve">Provisional sentence precludes a defendant with no valid </w:t>
      </w:r>
      <w:proofErr w:type="spellStart"/>
      <w:r w:rsidRPr="000A6602">
        <w:rPr>
          <w:rFonts w:ascii="Arial" w:hAnsi="Arial" w:cs="Arial"/>
          <w:color w:val="000000"/>
          <w:sz w:val="24"/>
          <w:szCs w:val="24"/>
        </w:rPr>
        <w:t>defence</w:t>
      </w:r>
      <w:proofErr w:type="spellEnd"/>
      <w:r w:rsidRPr="000A6602">
        <w:rPr>
          <w:rFonts w:ascii="Arial" w:hAnsi="Arial" w:cs="Arial"/>
          <w:color w:val="000000"/>
          <w:sz w:val="24"/>
          <w:szCs w:val="24"/>
        </w:rPr>
        <w:t xml:space="preserve"> from ‘playing for time’. </w:t>
      </w:r>
      <w:bookmarkStart w:id="6" w:name="0-0-0-30801"/>
      <w:bookmarkEnd w:id="6"/>
      <w:r w:rsidRPr="000A6602">
        <w:rPr>
          <w:rFonts w:ascii="Arial" w:hAnsi="Arial" w:cs="Arial"/>
          <w:color w:val="000000"/>
          <w:sz w:val="24"/>
          <w:szCs w:val="24"/>
        </w:rPr>
        <w:t xml:space="preserve">Apart from the fact that provisional sentence is only available to a plaintiff who is armed with a liquid document, two further inherent characteristics of provisional sentence have always rendered it </w:t>
      </w:r>
    </w:p>
    <w:p w14:paraId="098756FE" w14:textId="77777777" w:rsidR="003000F3" w:rsidRDefault="003000F3" w:rsidP="00FD0B9E">
      <w:pPr>
        <w:spacing w:line="360" w:lineRule="auto"/>
        <w:ind w:left="720" w:hanging="720"/>
        <w:jc w:val="both"/>
        <w:rPr>
          <w:rFonts w:ascii="Arial" w:hAnsi="Arial" w:cs="Arial"/>
          <w:color w:val="000000"/>
          <w:sz w:val="24"/>
          <w:szCs w:val="24"/>
        </w:rPr>
      </w:pPr>
    </w:p>
    <w:p w14:paraId="6B7E2FE8" w14:textId="5B8E9F6F" w:rsidR="000A6602" w:rsidRDefault="000A6602" w:rsidP="003000F3">
      <w:pPr>
        <w:spacing w:line="360" w:lineRule="auto"/>
        <w:ind w:left="720"/>
        <w:jc w:val="both"/>
        <w:rPr>
          <w:rFonts w:ascii="Arial" w:hAnsi="Arial" w:cs="Arial"/>
          <w:sz w:val="24"/>
          <w:szCs w:val="24"/>
        </w:rPr>
      </w:pPr>
      <w:r w:rsidRPr="000A6602">
        <w:rPr>
          <w:rFonts w:ascii="Arial" w:hAnsi="Arial" w:cs="Arial"/>
          <w:color w:val="000000"/>
          <w:sz w:val="24"/>
          <w:szCs w:val="24"/>
        </w:rPr>
        <w:lastRenderedPageBreak/>
        <w:t>distinguishable from other remedies. The one is that it only leads to a provisional or interlocutory order. Final judgment is still to be considered in the principal case. In the final instance, the claim against the defendant can still be dismissed. The other is that, while on the one hand it entitles the plaintiff to payment of the judgment immediately, that is, before entering into the principal case, on the other hand it affords the defendant to insist on security for repayment pending the final outcome. </w:t>
      </w:r>
      <w:bookmarkStart w:id="7" w:name="0-0-0-30805"/>
      <w:bookmarkEnd w:id="7"/>
      <w:r w:rsidRPr="000A6602">
        <w:rPr>
          <w:rFonts w:ascii="Arial" w:hAnsi="Arial" w:cs="Arial"/>
          <w:sz w:val="24"/>
          <w:szCs w:val="24"/>
        </w:rPr>
        <w:t xml:space="preserve"> </w:t>
      </w:r>
    </w:p>
    <w:p w14:paraId="6F7AB9E1" w14:textId="55319DC3" w:rsidR="000A6602" w:rsidRPr="000A6602" w:rsidRDefault="000A6602" w:rsidP="00FD0B9E">
      <w:pPr>
        <w:spacing w:line="360" w:lineRule="auto"/>
        <w:ind w:left="720" w:hanging="720"/>
        <w:jc w:val="both"/>
        <w:rPr>
          <w:rFonts w:ascii="Arial" w:hAnsi="Arial" w:cs="Arial"/>
          <w:sz w:val="28"/>
          <w:szCs w:val="28"/>
        </w:rPr>
      </w:pPr>
      <w:r>
        <w:rPr>
          <w:rFonts w:ascii="Arial" w:hAnsi="Arial" w:cs="Arial"/>
          <w:sz w:val="26"/>
          <w:szCs w:val="26"/>
        </w:rPr>
        <w:tab/>
      </w:r>
    </w:p>
    <w:p w14:paraId="17ABE174" w14:textId="12F0ABCA" w:rsidR="00F17915" w:rsidRPr="006B6783" w:rsidRDefault="00915732" w:rsidP="006B6783">
      <w:pPr>
        <w:spacing w:line="360" w:lineRule="auto"/>
        <w:ind w:left="720" w:hanging="720"/>
        <w:jc w:val="both"/>
        <w:rPr>
          <w:rFonts w:ascii="Arial" w:eastAsia="Times New Roman" w:hAnsi="Arial" w:cs="Arial"/>
          <w:color w:val="000000"/>
          <w:sz w:val="24"/>
          <w:szCs w:val="24"/>
          <w:lang w:val="en-ZA" w:eastAsia="en-ZA"/>
        </w:rPr>
      </w:pPr>
      <w:r>
        <w:rPr>
          <w:rFonts w:ascii="Arial" w:hAnsi="Arial" w:cs="Arial"/>
          <w:sz w:val="28"/>
          <w:szCs w:val="28"/>
        </w:rPr>
        <w:t>[</w:t>
      </w:r>
      <w:r w:rsidR="00C13E86">
        <w:rPr>
          <w:rFonts w:ascii="Arial" w:hAnsi="Arial" w:cs="Arial"/>
          <w:sz w:val="28"/>
          <w:szCs w:val="28"/>
        </w:rPr>
        <w:t>10</w:t>
      </w:r>
      <w:r>
        <w:rPr>
          <w:rFonts w:ascii="Arial" w:hAnsi="Arial" w:cs="Arial"/>
          <w:sz w:val="28"/>
          <w:szCs w:val="28"/>
        </w:rPr>
        <w:t>]</w:t>
      </w:r>
      <w:r w:rsidR="003E484E">
        <w:rPr>
          <w:rFonts w:ascii="Arial" w:hAnsi="Arial" w:cs="Arial"/>
          <w:sz w:val="28"/>
          <w:szCs w:val="28"/>
        </w:rPr>
        <w:tab/>
      </w:r>
      <w:r w:rsidR="000A6602">
        <w:rPr>
          <w:rFonts w:ascii="Arial" w:hAnsi="Arial" w:cs="Arial"/>
          <w:sz w:val="28"/>
          <w:szCs w:val="28"/>
        </w:rPr>
        <w:t>The defendants, in their Heads of Argument, referred to</w:t>
      </w:r>
      <w:r w:rsidR="0007006D">
        <w:rPr>
          <w:rFonts w:ascii="Arial" w:hAnsi="Arial" w:cs="Arial"/>
          <w:sz w:val="28"/>
          <w:szCs w:val="28"/>
        </w:rPr>
        <w:t xml:space="preserve"> and relied on</w:t>
      </w:r>
      <w:r w:rsidR="000A6602">
        <w:rPr>
          <w:rFonts w:ascii="Arial" w:hAnsi="Arial" w:cs="Arial"/>
          <w:sz w:val="28"/>
          <w:szCs w:val="28"/>
        </w:rPr>
        <w:t xml:space="preserve"> the case of </w:t>
      </w:r>
      <w:r w:rsidR="000A6602" w:rsidRPr="00B94A4E">
        <w:rPr>
          <w:rFonts w:ascii="Arial" w:hAnsi="Arial" w:cs="Arial"/>
          <w:i/>
          <w:iCs/>
          <w:color w:val="000000"/>
          <w:sz w:val="28"/>
          <w:szCs w:val="28"/>
        </w:rPr>
        <w:t xml:space="preserve">Twee </w:t>
      </w:r>
      <w:proofErr w:type="spellStart"/>
      <w:r w:rsidR="000A6602" w:rsidRPr="00B94A4E">
        <w:rPr>
          <w:rFonts w:ascii="Arial" w:hAnsi="Arial" w:cs="Arial"/>
          <w:i/>
          <w:iCs/>
          <w:color w:val="000000"/>
          <w:sz w:val="28"/>
          <w:szCs w:val="28"/>
        </w:rPr>
        <w:t>Jonge</w:t>
      </w:r>
      <w:proofErr w:type="spellEnd"/>
      <w:r w:rsidR="000A6602" w:rsidRPr="00B94A4E">
        <w:rPr>
          <w:rFonts w:ascii="Arial" w:hAnsi="Arial" w:cs="Arial"/>
          <w:i/>
          <w:iCs/>
          <w:color w:val="000000"/>
          <w:sz w:val="28"/>
          <w:szCs w:val="28"/>
        </w:rPr>
        <w:t xml:space="preserve"> </w:t>
      </w:r>
      <w:proofErr w:type="spellStart"/>
      <w:r w:rsidR="000A6602" w:rsidRPr="00B94A4E">
        <w:rPr>
          <w:rFonts w:ascii="Arial" w:hAnsi="Arial" w:cs="Arial"/>
          <w:i/>
          <w:iCs/>
          <w:color w:val="000000"/>
          <w:sz w:val="28"/>
          <w:szCs w:val="28"/>
        </w:rPr>
        <w:t>Gezellen</w:t>
      </w:r>
      <w:proofErr w:type="spellEnd"/>
      <w:r w:rsidR="000A6602" w:rsidRPr="00B94A4E">
        <w:rPr>
          <w:rFonts w:ascii="Arial" w:hAnsi="Arial" w:cs="Arial"/>
          <w:i/>
          <w:iCs/>
          <w:color w:val="000000"/>
          <w:sz w:val="28"/>
          <w:szCs w:val="28"/>
        </w:rPr>
        <w:t xml:space="preserve"> (Pty) Ltd v Land and Agricultural Development Bank of South Africa t/a The Land Bank</w:t>
      </w:r>
      <w:r w:rsidR="00B94A4E" w:rsidRPr="00B94A4E">
        <w:rPr>
          <w:rFonts w:ascii="Arial" w:hAnsi="Arial" w:cs="Arial"/>
          <w:i/>
          <w:iCs/>
          <w:color w:val="000000"/>
          <w:sz w:val="28"/>
          <w:szCs w:val="28"/>
        </w:rPr>
        <w:t xml:space="preserve"> 2011(3)</w:t>
      </w:r>
      <w:r w:rsidR="0007006D">
        <w:rPr>
          <w:rFonts w:ascii="Arial" w:hAnsi="Arial" w:cs="Arial"/>
          <w:i/>
          <w:iCs/>
          <w:color w:val="000000"/>
          <w:sz w:val="28"/>
          <w:szCs w:val="28"/>
        </w:rPr>
        <w:t xml:space="preserve"> </w:t>
      </w:r>
      <w:r w:rsidR="00B94A4E" w:rsidRPr="00B94A4E">
        <w:rPr>
          <w:rFonts w:ascii="Arial" w:hAnsi="Arial" w:cs="Arial"/>
          <w:i/>
          <w:iCs/>
          <w:color w:val="000000"/>
          <w:sz w:val="28"/>
          <w:szCs w:val="28"/>
        </w:rPr>
        <w:t>SA 1 (CC),</w:t>
      </w:r>
      <w:r w:rsidR="00B94A4E">
        <w:rPr>
          <w:rFonts w:ascii="Verdana" w:hAnsi="Verdana"/>
          <w:i/>
          <w:iCs/>
          <w:color w:val="000000"/>
          <w:sz w:val="20"/>
          <w:szCs w:val="20"/>
        </w:rPr>
        <w:t xml:space="preserve"> </w:t>
      </w:r>
      <w:r w:rsidR="0007006D" w:rsidRPr="0007006D">
        <w:rPr>
          <w:rFonts w:ascii="Arial" w:hAnsi="Arial" w:cs="Arial"/>
          <w:color w:val="000000"/>
          <w:sz w:val="28"/>
          <w:szCs w:val="28"/>
        </w:rPr>
        <w:t xml:space="preserve">where the court </w:t>
      </w:r>
      <w:r w:rsidR="00F17915">
        <w:rPr>
          <w:rFonts w:ascii="Arial" w:eastAsia="Times New Roman" w:hAnsi="Arial" w:cs="Arial"/>
          <w:color w:val="000000"/>
          <w:sz w:val="28"/>
          <w:szCs w:val="28"/>
          <w:lang w:val="en-ZA" w:eastAsia="en-ZA"/>
        </w:rPr>
        <w:t xml:space="preserve">made </w:t>
      </w:r>
      <w:r w:rsidR="006B6783">
        <w:rPr>
          <w:rFonts w:ascii="Arial" w:eastAsia="Times New Roman" w:hAnsi="Arial" w:cs="Arial"/>
          <w:color w:val="000000"/>
          <w:sz w:val="28"/>
          <w:szCs w:val="28"/>
          <w:lang w:val="en-ZA" w:eastAsia="en-ZA"/>
        </w:rPr>
        <w:t>the following</w:t>
      </w:r>
      <w:r w:rsidR="00F17915">
        <w:rPr>
          <w:rFonts w:ascii="Arial" w:eastAsia="Times New Roman" w:hAnsi="Arial" w:cs="Arial"/>
          <w:color w:val="000000"/>
          <w:sz w:val="28"/>
          <w:szCs w:val="28"/>
          <w:lang w:val="en-ZA" w:eastAsia="en-ZA"/>
        </w:rPr>
        <w:t xml:space="preserve"> order</w:t>
      </w:r>
      <w:r w:rsidR="006B6783">
        <w:rPr>
          <w:rFonts w:ascii="Arial" w:eastAsia="Times New Roman" w:hAnsi="Arial" w:cs="Arial"/>
          <w:color w:val="000000"/>
          <w:sz w:val="28"/>
          <w:szCs w:val="28"/>
          <w:lang w:val="en-ZA" w:eastAsia="en-ZA"/>
        </w:rPr>
        <w:t>:</w:t>
      </w:r>
    </w:p>
    <w:p w14:paraId="07CE1774" w14:textId="77777777" w:rsidR="00537040" w:rsidRDefault="00D06B85" w:rsidP="00537040">
      <w:pPr>
        <w:spacing w:line="360" w:lineRule="auto"/>
        <w:ind w:left="723"/>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w:t>
      </w:r>
      <w:r w:rsidR="00F17915" w:rsidRPr="006B6783">
        <w:rPr>
          <w:rFonts w:ascii="Arial" w:eastAsia="Times New Roman" w:hAnsi="Arial" w:cs="Arial"/>
          <w:color w:val="000000"/>
          <w:sz w:val="24"/>
          <w:szCs w:val="24"/>
          <w:lang w:val="en-ZA" w:eastAsia="en-ZA"/>
        </w:rPr>
        <w:t>3.   The procedure for provisional sentence is declared to be inconsistent with</w:t>
      </w:r>
    </w:p>
    <w:p w14:paraId="0AF8B727" w14:textId="434E10A9" w:rsidR="00F17915" w:rsidRPr="006B6783" w:rsidRDefault="00F17915" w:rsidP="00537040">
      <w:pPr>
        <w:spacing w:line="360" w:lineRule="auto"/>
        <w:ind w:left="1253"/>
        <w:rPr>
          <w:rFonts w:ascii="Arial" w:eastAsia="Times New Roman" w:hAnsi="Arial" w:cs="Arial"/>
          <w:color w:val="000000"/>
          <w:sz w:val="24"/>
          <w:szCs w:val="24"/>
          <w:lang w:val="en-ZA" w:eastAsia="en-ZA"/>
        </w:rPr>
      </w:pPr>
      <w:r w:rsidRPr="006B6783">
        <w:rPr>
          <w:rFonts w:ascii="Arial" w:eastAsia="Times New Roman" w:hAnsi="Arial" w:cs="Arial"/>
          <w:color w:val="000000"/>
          <w:sz w:val="24"/>
          <w:szCs w:val="24"/>
          <w:lang w:val="en-ZA" w:eastAsia="en-ZA"/>
        </w:rPr>
        <w:t>the</w:t>
      </w:r>
      <w:r w:rsidR="00537040">
        <w:rPr>
          <w:rFonts w:ascii="Arial" w:eastAsia="Times New Roman" w:hAnsi="Arial" w:cs="Arial"/>
          <w:color w:val="000000"/>
          <w:sz w:val="24"/>
          <w:szCs w:val="24"/>
          <w:lang w:val="en-ZA" w:eastAsia="en-ZA"/>
        </w:rPr>
        <w:t xml:space="preserve"> </w:t>
      </w:r>
      <w:r w:rsidRPr="006B6783">
        <w:rPr>
          <w:rFonts w:ascii="Arial" w:eastAsia="Times New Roman" w:hAnsi="Arial" w:cs="Arial"/>
          <w:color w:val="000000"/>
          <w:sz w:val="24"/>
          <w:szCs w:val="24"/>
          <w:lang w:val="en-ZA" w:eastAsia="en-ZA"/>
        </w:rPr>
        <w:t xml:space="preserve">Constitution and invalid, to the extent that it does not give to courts a </w:t>
      </w:r>
      <w:r w:rsidR="00537040">
        <w:rPr>
          <w:rFonts w:ascii="Arial" w:eastAsia="Times New Roman" w:hAnsi="Arial" w:cs="Arial"/>
          <w:color w:val="000000"/>
          <w:sz w:val="24"/>
          <w:szCs w:val="24"/>
          <w:lang w:val="en-ZA" w:eastAsia="en-ZA"/>
        </w:rPr>
        <w:t xml:space="preserve">   </w:t>
      </w:r>
      <w:r w:rsidRPr="006B6783">
        <w:rPr>
          <w:rFonts w:ascii="Arial" w:eastAsia="Times New Roman" w:hAnsi="Arial" w:cs="Arial"/>
          <w:color w:val="000000"/>
          <w:sz w:val="24"/>
          <w:szCs w:val="24"/>
          <w:lang w:val="en-ZA" w:eastAsia="en-ZA"/>
        </w:rPr>
        <w:t>discretion to refuse provisional sentence where:</w:t>
      </w:r>
    </w:p>
    <w:p w14:paraId="6E62141D" w14:textId="43AA94B8" w:rsidR="006B6783" w:rsidRPr="006B6783" w:rsidRDefault="00F17915" w:rsidP="006B6783">
      <w:pPr>
        <w:pStyle w:val="ListParagraph"/>
        <w:numPr>
          <w:ilvl w:val="0"/>
          <w:numId w:val="7"/>
        </w:numPr>
        <w:spacing w:after="0" w:line="360" w:lineRule="auto"/>
        <w:rPr>
          <w:rFonts w:ascii="Arial" w:eastAsia="Times New Roman" w:hAnsi="Arial" w:cs="Arial"/>
          <w:color w:val="000000"/>
          <w:sz w:val="24"/>
          <w:szCs w:val="24"/>
          <w:lang w:val="en-ZA" w:eastAsia="en-ZA"/>
        </w:rPr>
      </w:pPr>
      <w:r w:rsidRPr="006B6783">
        <w:rPr>
          <w:rFonts w:ascii="Arial" w:eastAsia="Times New Roman" w:hAnsi="Arial" w:cs="Arial"/>
          <w:color w:val="000000"/>
          <w:sz w:val="24"/>
          <w:szCs w:val="24"/>
          <w:lang w:val="en-ZA" w:eastAsia="en-ZA"/>
        </w:rPr>
        <w:t>The nature of the defence raised does not allow the defendant to show a</w:t>
      </w:r>
    </w:p>
    <w:p w14:paraId="02971436" w14:textId="422A361B" w:rsidR="00F17915" w:rsidRPr="006B6783" w:rsidRDefault="00F17915" w:rsidP="006B6783">
      <w:pPr>
        <w:pStyle w:val="ListParagraph"/>
        <w:spacing w:after="0" w:line="360" w:lineRule="auto"/>
        <w:ind w:left="1683"/>
        <w:rPr>
          <w:rFonts w:ascii="Arial" w:eastAsia="Times New Roman" w:hAnsi="Arial" w:cs="Arial"/>
          <w:color w:val="000000"/>
          <w:sz w:val="24"/>
          <w:szCs w:val="24"/>
          <w:lang w:val="en-ZA" w:eastAsia="en-ZA"/>
        </w:rPr>
      </w:pPr>
      <w:r w:rsidRPr="006B6783">
        <w:rPr>
          <w:rFonts w:ascii="Arial" w:eastAsia="Times New Roman" w:hAnsi="Arial" w:cs="Arial"/>
          <w:color w:val="000000"/>
          <w:sz w:val="24"/>
          <w:szCs w:val="24"/>
          <w:lang w:val="en-ZA" w:eastAsia="en-ZA"/>
        </w:rPr>
        <w:t>balance of success in his or her favour, without the benefit of oral</w:t>
      </w:r>
      <w:r w:rsidR="006B6783">
        <w:rPr>
          <w:rFonts w:ascii="Arial" w:eastAsia="Times New Roman" w:hAnsi="Arial" w:cs="Arial"/>
          <w:color w:val="000000"/>
          <w:sz w:val="24"/>
          <w:szCs w:val="24"/>
          <w:lang w:val="en-ZA" w:eastAsia="en-ZA"/>
        </w:rPr>
        <w:t xml:space="preserve"> </w:t>
      </w:r>
      <w:r w:rsidRPr="006B6783">
        <w:rPr>
          <w:rFonts w:ascii="Arial" w:eastAsia="Times New Roman" w:hAnsi="Arial" w:cs="Arial"/>
          <w:color w:val="000000"/>
          <w:sz w:val="24"/>
          <w:szCs w:val="24"/>
          <w:lang w:val="en-ZA" w:eastAsia="en-ZA"/>
        </w:rPr>
        <w:t>evidence;</w:t>
      </w:r>
    </w:p>
    <w:p w14:paraId="78EF0234" w14:textId="686A916F" w:rsidR="00F17915" w:rsidRPr="00F17915" w:rsidRDefault="00F17915" w:rsidP="006B6783">
      <w:pPr>
        <w:spacing w:after="0" w:line="360" w:lineRule="auto"/>
        <w:ind w:hanging="1021"/>
        <w:rPr>
          <w:rFonts w:ascii="Arial" w:eastAsia="Times New Roman" w:hAnsi="Arial" w:cs="Arial"/>
          <w:color w:val="000000"/>
          <w:sz w:val="24"/>
          <w:szCs w:val="24"/>
          <w:lang w:val="en-ZA" w:eastAsia="en-ZA"/>
        </w:rPr>
      </w:pPr>
      <w:r w:rsidRPr="00F17915">
        <w:rPr>
          <w:rFonts w:ascii="Arial" w:eastAsia="Times New Roman" w:hAnsi="Arial" w:cs="Arial"/>
          <w:color w:val="000000"/>
          <w:sz w:val="24"/>
          <w:szCs w:val="24"/>
          <w:lang w:val="en-ZA" w:eastAsia="en-ZA"/>
        </w:rPr>
        <w:t>  </w:t>
      </w:r>
      <w:r w:rsidR="006B6783">
        <w:rPr>
          <w:rFonts w:ascii="Arial" w:eastAsia="Times New Roman" w:hAnsi="Arial" w:cs="Arial"/>
          <w:color w:val="000000"/>
          <w:sz w:val="24"/>
          <w:szCs w:val="24"/>
          <w:lang w:val="en-ZA" w:eastAsia="en-ZA"/>
        </w:rPr>
        <w:tab/>
      </w:r>
      <w:r w:rsidR="006B6783">
        <w:rPr>
          <w:rFonts w:ascii="Arial" w:eastAsia="Times New Roman" w:hAnsi="Arial" w:cs="Arial"/>
          <w:color w:val="000000"/>
          <w:sz w:val="24"/>
          <w:szCs w:val="24"/>
          <w:lang w:val="en-ZA" w:eastAsia="en-ZA"/>
        </w:rPr>
        <w:tab/>
        <w:t xml:space="preserve">     </w:t>
      </w:r>
      <w:r w:rsidRPr="00F17915">
        <w:rPr>
          <w:rFonts w:ascii="Arial" w:eastAsia="Times New Roman" w:hAnsi="Arial" w:cs="Arial"/>
          <w:color w:val="000000"/>
          <w:sz w:val="24"/>
          <w:szCs w:val="24"/>
          <w:lang w:val="en-ZA" w:eastAsia="en-ZA"/>
        </w:rPr>
        <w:t> </w:t>
      </w:r>
      <w:r w:rsidRPr="00F17915">
        <w:rPr>
          <w:rFonts w:ascii="Arial" w:eastAsia="Times New Roman" w:hAnsi="Arial" w:cs="Arial"/>
          <w:i/>
          <w:iCs/>
          <w:color w:val="000000"/>
          <w:sz w:val="24"/>
          <w:szCs w:val="24"/>
          <w:lang w:val="en-ZA" w:eastAsia="en-ZA"/>
        </w:rPr>
        <w:t>(b)</w:t>
      </w:r>
      <w:r w:rsidRPr="00F17915">
        <w:rPr>
          <w:rFonts w:ascii="Arial" w:eastAsia="Times New Roman" w:hAnsi="Arial" w:cs="Arial"/>
          <w:color w:val="000000"/>
          <w:sz w:val="24"/>
          <w:szCs w:val="24"/>
          <w:lang w:val="en-ZA" w:eastAsia="en-ZA"/>
        </w:rPr>
        <w:t>  </w:t>
      </w:r>
      <w:r w:rsidR="006B6783">
        <w:rPr>
          <w:rFonts w:ascii="Arial" w:eastAsia="Times New Roman" w:hAnsi="Arial" w:cs="Arial"/>
          <w:color w:val="000000"/>
          <w:sz w:val="24"/>
          <w:szCs w:val="24"/>
          <w:lang w:val="en-ZA" w:eastAsia="en-ZA"/>
        </w:rPr>
        <w:t xml:space="preserve"> </w:t>
      </w:r>
      <w:r w:rsidRPr="00F17915">
        <w:rPr>
          <w:rFonts w:ascii="Arial" w:eastAsia="Times New Roman" w:hAnsi="Arial" w:cs="Arial"/>
          <w:color w:val="000000"/>
          <w:sz w:val="24"/>
          <w:szCs w:val="24"/>
          <w:lang w:val="en-ZA" w:eastAsia="en-ZA"/>
        </w:rPr>
        <w:t> the defendant is unable to satisfy the judgment debt; and</w:t>
      </w:r>
    </w:p>
    <w:p w14:paraId="520A47F8" w14:textId="132A8547" w:rsidR="006B6783" w:rsidRPr="006B6783" w:rsidRDefault="006B6783" w:rsidP="006B6783">
      <w:pPr>
        <w:pStyle w:val="ListParagraph"/>
        <w:numPr>
          <w:ilvl w:val="0"/>
          <w:numId w:val="8"/>
        </w:numPr>
        <w:spacing w:after="0" w:line="36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  </w:t>
      </w:r>
      <w:r w:rsidRPr="006B6783">
        <w:rPr>
          <w:rFonts w:ascii="Arial" w:eastAsia="Times New Roman" w:hAnsi="Arial" w:cs="Arial"/>
          <w:color w:val="000000"/>
          <w:sz w:val="24"/>
          <w:szCs w:val="24"/>
          <w:lang w:val="en-ZA" w:eastAsia="en-ZA"/>
        </w:rPr>
        <w:t xml:space="preserve"> </w:t>
      </w:r>
      <w:r w:rsidR="00F17915" w:rsidRPr="006B6783">
        <w:rPr>
          <w:rFonts w:ascii="Arial" w:eastAsia="Times New Roman" w:hAnsi="Arial" w:cs="Arial"/>
          <w:color w:val="000000"/>
          <w:sz w:val="24"/>
          <w:szCs w:val="24"/>
          <w:lang w:val="en-ZA" w:eastAsia="en-ZA"/>
        </w:rPr>
        <w:t>outside 'special circumstances', the court has no discretion to refuse</w:t>
      </w:r>
    </w:p>
    <w:p w14:paraId="08647FA6" w14:textId="6DFAF6BF" w:rsidR="006B6783" w:rsidRPr="00F17915" w:rsidRDefault="006B6783" w:rsidP="00D06B85">
      <w:pPr>
        <w:spacing w:after="0" w:line="360" w:lineRule="auto"/>
        <w:ind w:left="1123"/>
        <w:rPr>
          <w:rFonts w:ascii="Arial" w:eastAsia="Times New Roman" w:hAnsi="Arial" w:cs="Arial"/>
          <w:color w:val="000000"/>
          <w:sz w:val="28"/>
          <w:szCs w:val="28"/>
          <w:lang w:val="en-ZA" w:eastAsia="en-ZA"/>
        </w:rPr>
      </w:pPr>
      <w:r>
        <w:rPr>
          <w:rFonts w:ascii="Arial" w:eastAsia="Times New Roman" w:hAnsi="Arial" w:cs="Arial"/>
          <w:color w:val="000000"/>
          <w:sz w:val="24"/>
          <w:szCs w:val="24"/>
          <w:lang w:val="en-ZA" w:eastAsia="en-ZA"/>
        </w:rPr>
        <w:t xml:space="preserve">      </w:t>
      </w:r>
      <w:r w:rsidR="00F17915" w:rsidRPr="006B6783">
        <w:rPr>
          <w:rFonts w:ascii="Arial" w:eastAsia="Times New Roman" w:hAnsi="Arial" w:cs="Arial"/>
          <w:color w:val="000000"/>
          <w:sz w:val="24"/>
          <w:szCs w:val="24"/>
          <w:lang w:val="en-ZA" w:eastAsia="en-ZA"/>
        </w:rPr>
        <w:t xml:space="preserve"> </w:t>
      </w:r>
      <w:r>
        <w:rPr>
          <w:rFonts w:ascii="Arial" w:eastAsia="Times New Roman" w:hAnsi="Arial" w:cs="Arial"/>
          <w:color w:val="000000"/>
          <w:sz w:val="24"/>
          <w:szCs w:val="24"/>
          <w:lang w:val="en-ZA" w:eastAsia="en-ZA"/>
        </w:rPr>
        <w:t xml:space="preserve">  </w:t>
      </w:r>
      <w:r w:rsidR="00F17915" w:rsidRPr="006B6783">
        <w:rPr>
          <w:rFonts w:ascii="Arial" w:eastAsia="Times New Roman" w:hAnsi="Arial" w:cs="Arial"/>
          <w:color w:val="000000"/>
          <w:sz w:val="24"/>
          <w:szCs w:val="24"/>
          <w:lang w:val="en-ZA" w:eastAsia="en-ZA"/>
        </w:rPr>
        <w:t>provisional sentence.</w:t>
      </w:r>
      <w:r w:rsidR="00D06B85">
        <w:rPr>
          <w:rFonts w:ascii="Arial" w:eastAsia="Times New Roman" w:hAnsi="Arial" w:cs="Arial"/>
          <w:color w:val="000000"/>
          <w:sz w:val="24"/>
          <w:szCs w:val="24"/>
          <w:lang w:val="en-ZA" w:eastAsia="en-ZA"/>
        </w:rPr>
        <w:t>”</w:t>
      </w:r>
    </w:p>
    <w:p w14:paraId="1051AB66" w14:textId="2894C29E" w:rsidR="00F65B56" w:rsidRDefault="00D06B85" w:rsidP="006B6783">
      <w:pPr>
        <w:spacing w:after="0" w:line="360" w:lineRule="auto"/>
        <w:ind w:left="720"/>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w:t>
      </w:r>
      <w:r w:rsidR="00F17915" w:rsidRPr="00F17915">
        <w:rPr>
          <w:rFonts w:ascii="Arial" w:eastAsia="Times New Roman" w:hAnsi="Arial" w:cs="Arial"/>
          <w:color w:val="000000"/>
          <w:sz w:val="24"/>
          <w:szCs w:val="24"/>
          <w:lang w:val="en-ZA" w:eastAsia="en-ZA"/>
        </w:rPr>
        <w:t>4.   The common law is developed, so that courts will in future have a discretion</w:t>
      </w:r>
    </w:p>
    <w:p w14:paraId="6B451099" w14:textId="07CD4849" w:rsidR="00F17915" w:rsidRPr="00F17915" w:rsidRDefault="00F65B56" w:rsidP="00F65B56">
      <w:pPr>
        <w:spacing w:after="0" w:line="360" w:lineRule="auto"/>
        <w:ind w:left="1190"/>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t</w:t>
      </w:r>
      <w:r w:rsidR="00F17915" w:rsidRPr="00F17915">
        <w:rPr>
          <w:rFonts w:ascii="Arial" w:eastAsia="Times New Roman" w:hAnsi="Arial" w:cs="Arial"/>
          <w:color w:val="000000"/>
          <w:sz w:val="24"/>
          <w:szCs w:val="24"/>
          <w:lang w:val="en-ZA" w:eastAsia="en-ZA"/>
        </w:rPr>
        <w:t>o</w:t>
      </w:r>
      <w:r>
        <w:rPr>
          <w:rFonts w:ascii="Arial" w:eastAsia="Times New Roman" w:hAnsi="Arial" w:cs="Arial"/>
          <w:color w:val="000000"/>
          <w:sz w:val="24"/>
          <w:szCs w:val="24"/>
          <w:lang w:val="en-ZA" w:eastAsia="en-ZA"/>
        </w:rPr>
        <w:t xml:space="preserve"> </w:t>
      </w:r>
      <w:r w:rsidR="00F17915" w:rsidRPr="00F17915">
        <w:rPr>
          <w:rFonts w:ascii="Arial" w:eastAsia="Times New Roman" w:hAnsi="Arial" w:cs="Arial"/>
          <w:color w:val="000000"/>
          <w:sz w:val="24"/>
          <w:szCs w:val="24"/>
          <w:lang w:val="en-ZA" w:eastAsia="en-ZA"/>
        </w:rPr>
        <w:t>refuse provisional sentence, only in circumstances where the defendant demonstrates:</w:t>
      </w:r>
    </w:p>
    <w:p w14:paraId="539ABC5C" w14:textId="5E282F13" w:rsidR="00F17915" w:rsidRPr="00F17915" w:rsidRDefault="00F17915" w:rsidP="006B6783">
      <w:pPr>
        <w:spacing w:after="0" w:line="360" w:lineRule="auto"/>
        <w:ind w:hanging="1021"/>
        <w:rPr>
          <w:rFonts w:ascii="Arial" w:eastAsia="Times New Roman" w:hAnsi="Arial" w:cs="Arial"/>
          <w:color w:val="000000"/>
          <w:sz w:val="24"/>
          <w:szCs w:val="24"/>
          <w:lang w:val="en-ZA" w:eastAsia="en-ZA"/>
        </w:rPr>
      </w:pPr>
      <w:r w:rsidRPr="00F17915">
        <w:rPr>
          <w:rFonts w:ascii="Arial" w:eastAsia="Times New Roman" w:hAnsi="Arial" w:cs="Arial"/>
          <w:color w:val="000000"/>
          <w:sz w:val="24"/>
          <w:szCs w:val="24"/>
          <w:lang w:val="en-ZA" w:eastAsia="en-ZA"/>
        </w:rPr>
        <w:t>   </w:t>
      </w:r>
      <w:r w:rsidR="006B6783" w:rsidRPr="00F65B56">
        <w:rPr>
          <w:rFonts w:ascii="Arial" w:eastAsia="Times New Roman" w:hAnsi="Arial" w:cs="Arial"/>
          <w:color w:val="000000"/>
          <w:sz w:val="24"/>
          <w:szCs w:val="24"/>
          <w:lang w:val="en-ZA" w:eastAsia="en-ZA"/>
        </w:rPr>
        <w:tab/>
      </w:r>
      <w:r w:rsidR="006B6783" w:rsidRPr="00F65B56">
        <w:rPr>
          <w:rFonts w:ascii="Arial" w:eastAsia="Times New Roman" w:hAnsi="Arial" w:cs="Arial"/>
          <w:color w:val="000000"/>
          <w:sz w:val="24"/>
          <w:szCs w:val="24"/>
          <w:lang w:val="en-ZA" w:eastAsia="en-ZA"/>
        </w:rPr>
        <w:tab/>
        <w:t xml:space="preserve">      </w:t>
      </w:r>
      <w:r w:rsidRPr="00F17915">
        <w:rPr>
          <w:rFonts w:ascii="Arial" w:eastAsia="Times New Roman" w:hAnsi="Arial" w:cs="Arial"/>
          <w:i/>
          <w:iCs/>
          <w:color w:val="000000"/>
          <w:sz w:val="24"/>
          <w:szCs w:val="24"/>
          <w:lang w:val="en-ZA" w:eastAsia="en-ZA"/>
        </w:rPr>
        <w:t>(a)</w:t>
      </w:r>
      <w:r w:rsidRPr="00F17915">
        <w:rPr>
          <w:rFonts w:ascii="Arial" w:eastAsia="Times New Roman" w:hAnsi="Arial" w:cs="Arial"/>
          <w:color w:val="000000"/>
          <w:sz w:val="24"/>
          <w:szCs w:val="24"/>
          <w:lang w:val="en-ZA" w:eastAsia="en-ZA"/>
        </w:rPr>
        <w:t>   An inability to satisfy the judgment debt;</w:t>
      </w:r>
    </w:p>
    <w:p w14:paraId="7238FC25" w14:textId="4BE27109" w:rsidR="00F17915" w:rsidRPr="00F65B56" w:rsidRDefault="00F17915" w:rsidP="006B6783">
      <w:pPr>
        <w:pStyle w:val="ListParagraph"/>
        <w:numPr>
          <w:ilvl w:val="0"/>
          <w:numId w:val="7"/>
        </w:numPr>
        <w:spacing w:after="0" w:line="360" w:lineRule="auto"/>
        <w:rPr>
          <w:rFonts w:ascii="Arial" w:eastAsia="Times New Roman" w:hAnsi="Arial" w:cs="Arial"/>
          <w:color w:val="000000"/>
          <w:sz w:val="24"/>
          <w:szCs w:val="24"/>
          <w:lang w:val="en-ZA" w:eastAsia="en-ZA"/>
        </w:rPr>
      </w:pPr>
      <w:r w:rsidRPr="00F65B56">
        <w:rPr>
          <w:rFonts w:ascii="Arial" w:eastAsia="Times New Roman" w:hAnsi="Arial" w:cs="Arial"/>
          <w:color w:val="000000"/>
          <w:sz w:val="24"/>
          <w:szCs w:val="24"/>
          <w:lang w:val="en-ZA" w:eastAsia="en-ZA"/>
        </w:rPr>
        <w:t>an even balance of prospects of success in the main case on the papers; and</w:t>
      </w:r>
    </w:p>
    <w:p w14:paraId="0F2E18C5" w14:textId="07780FAE" w:rsidR="00F17915" w:rsidRPr="00D06B85" w:rsidRDefault="00F17915" w:rsidP="009C2276">
      <w:pPr>
        <w:pStyle w:val="ListParagraph"/>
        <w:numPr>
          <w:ilvl w:val="0"/>
          <w:numId w:val="7"/>
        </w:numPr>
        <w:spacing w:after="0" w:line="360" w:lineRule="auto"/>
        <w:rPr>
          <w:rFonts w:ascii="Arial" w:eastAsia="Times New Roman" w:hAnsi="Arial" w:cs="Arial"/>
          <w:color w:val="000000"/>
          <w:sz w:val="24"/>
          <w:szCs w:val="24"/>
          <w:lang w:val="en-ZA" w:eastAsia="en-ZA"/>
        </w:rPr>
      </w:pPr>
      <w:r w:rsidRPr="00D06B85">
        <w:rPr>
          <w:rFonts w:ascii="Arial" w:eastAsia="Times New Roman" w:hAnsi="Arial" w:cs="Arial"/>
          <w:color w:val="000000"/>
          <w:sz w:val="24"/>
          <w:szCs w:val="24"/>
          <w:lang w:val="en-ZA" w:eastAsia="en-ZA"/>
        </w:rPr>
        <w:t>a reasonable prospect that oral evidence may tip the balance of prospective success in his or her favour.</w:t>
      </w:r>
      <w:r w:rsidR="00D06B85">
        <w:rPr>
          <w:rFonts w:ascii="Arial" w:eastAsia="Times New Roman" w:hAnsi="Arial" w:cs="Arial"/>
          <w:color w:val="000000"/>
          <w:sz w:val="24"/>
          <w:szCs w:val="24"/>
          <w:lang w:val="en-ZA" w:eastAsia="en-ZA"/>
        </w:rPr>
        <w:t>”</w:t>
      </w:r>
    </w:p>
    <w:p w14:paraId="657FAD1C" w14:textId="767904D2" w:rsidR="00F17915" w:rsidRPr="00F17915" w:rsidRDefault="00F17915" w:rsidP="00F17915">
      <w:pPr>
        <w:spacing w:after="0" w:line="360" w:lineRule="auto"/>
        <w:rPr>
          <w:rFonts w:ascii="Arial" w:eastAsia="Times New Roman" w:hAnsi="Arial" w:cs="Arial"/>
          <w:color w:val="000000"/>
          <w:sz w:val="28"/>
          <w:szCs w:val="28"/>
          <w:lang w:val="en-ZA" w:eastAsia="en-ZA"/>
        </w:rPr>
      </w:pPr>
    </w:p>
    <w:p w14:paraId="5A7160CB" w14:textId="5C7AC553" w:rsidR="001A1BE5" w:rsidRDefault="001A1BE5" w:rsidP="00B01811">
      <w:pPr>
        <w:spacing w:line="360" w:lineRule="auto"/>
        <w:ind w:left="720"/>
        <w:jc w:val="both"/>
        <w:rPr>
          <w:rFonts w:ascii="Arial" w:hAnsi="Arial" w:cs="Arial"/>
          <w:sz w:val="28"/>
          <w:szCs w:val="28"/>
        </w:rPr>
      </w:pPr>
    </w:p>
    <w:p w14:paraId="6CF0E8B3" w14:textId="711C1C47" w:rsidR="00B94A4E" w:rsidRDefault="00B94A4E" w:rsidP="00B01811">
      <w:pPr>
        <w:spacing w:line="360" w:lineRule="auto"/>
        <w:ind w:left="720"/>
        <w:jc w:val="both"/>
        <w:rPr>
          <w:rFonts w:ascii="Arial" w:hAnsi="Arial" w:cs="Arial"/>
          <w:sz w:val="28"/>
          <w:szCs w:val="28"/>
        </w:rPr>
      </w:pPr>
    </w:p>
    <w:p w14:paraId="2309979F" w14:textId="420A6409" w:rsidR="00D06B85" w:rsidRDefault="00F65B56" w:rsidP="003000F3">
      <w:pPr>
        <w:spacing w:before="100" w:beforeAutospacing="1" w:after="100" w:afterAutospacing="1" w:line="360" w:lineRule="auto"/>
        <w:ind w:left="720"/>
        <w:jc w:val="both"/>
        <w:rPr>
          <w:rFonts w:ascii="Arial" w:hAnsi="Arial" w:cs="Arial"/>
          <w:color w:val="000000"/>
          <w:sz w:val="24"/>
          <w:szCs w:val="24"/>
        </w:rPr>
      </w:pPr>
      <w:r w:rsidRPr="00F65B56">
        <w:rPr>
          <w:rFonts w:ascii="Arial" w:hAnsi="Arial" w:cs="Arial"/>
          <w:color w:val="000000"/>
          <w:sz w:val="28"/>
          <w:szCs w:val="28"/>
        </w:rPr>
        <w:t xml:space="preserve">Following </w:t>
      </w:r>
      <w:r w:rsidR="00B94A4E" w:rsidRPr="00F65B56">
        <w:rPr>
          <w:rFonts w:ascii="Arial" w:hAnsi="Arial" w:cs="Arial"/>
          <w:color w:val="000000"/>
          <w:sz w:val="28"/>
          <w:szCs w:val="28"/>
        </w:rPr>
        <w:t xml:space="preserve">the </w:t>
      </w:r>
      <w:r w:rsidRPr="00F65B56">
        <w:rPr>
          <w:rFonts w:ascii="Arial" w:hAnsi="Arial" w:cs="Arial"/>
          <w:i/>
          <w:iCs/>
          <w:color w:val="000000"/>
          <w:sz w:val="28"/>
          <w:szCs w:val="28"/>
        </w:rPr>
        <w:t xml:space="preserve">Twee </w:t>
      </w:r>
      <w:proofErr w:type="spellStart"/>
      <w:r w:rsidRPr="00F65B56">
        <w:rPr>
          <w:rFonts w:ascii="Arial" w:hAnsi="Arial" w:cs="Arial"/>
          <w:i/>
          <w:iCs/>
          <w:color w:val="000000"/>
          <w:sz w:val="28"/>
          <w:szCs w:val="28"/>
        </w:rPr>
        <w:t>Jonge</w:t>
      </w:r>
      <w:proofErr w:type="spellEnd"/>
      <w:r w:rsidRPr="00F65B56">
        <w:rPr>
          <w:rFonts w:ascii="Arial" w:hAnsi="Arial" w:cs="Arial"/>
          <w:i/>
          <w:iCs/>
          <w:color w:val="000000"/>
          <w:sz w:val="28"/>
          <w:szCs w:val="28"/>
        </w:rPr>
        <w:t xml:space="preserve"> </w:t>
      </w:r>
      <w:proofErr w:type="spellStart"/>
      <w:r w:rsidRPr="00F65B56">
        <w:rPr>
          <w:rFonts w:ascii="Arial" w:hAnsi="Arial" w:cs="Arial"/>
          <w:i/>
          <w:iCs/>
          <w:color w:val="000000"/>
          <w:sz w:val="28"/>
          <w:szCs w:val="28"/>
        </w:rPr>
        <w:t>Gezellen</w:t>
      </w:r>
      <w:proofErr w:type="spellEnd"/>
      <w:r w:rsidRPr="00F65B56">
        <w:rPr>
          <w:rFonts w:ascii="Arial" w:hAnsi="Arial" w:cs="Arial"/>
          <w:color w:val="000000"/>
          <w:sz w:val="28"/>
          <w:szCs w:val="28"/>
        </w:rPr>
        <w:t xml:space="preserve">  </w:t>
      </w:r>
      <w:r w:rsidR="00B94A4E" w:rsidRPr="00F65B56">
        <w:rPr>
          <w:rFonts w:ascii="Arial" w:hAnsi="Arial" w:cs="Arial"/>
          <w:color w:val="000000"/>
          <w:sz w:val="28"/>
          <w:szCs w:val="28"/>
        </w:rPr>
        <w:t xml:space="preserve">judgment and order, </w:t>
      </w:r>
      <w:r w:rsidRPr="00F65B56">
        <w:rPr>
          <w:rFonts w:ascii="Arial" w:hAnsi="Arial" w:cs="Arial"/>
          <w:color w:val="000000"/>
          <w:sz w:val="28"/>
          <w:szCs w:val="28"/>
        </w:rPr>
        <w:t xml:space="preserve">it appears that </w:t>
      </w:r>
      <w:r w:rsidR="00B94A4E" w:rsidRPr="00F65B56">
        <w:rPr>
          <w:rFonts w:ascii="Arial" w:hAnsi="Arial" w:cs="Arial"/>
          <w:color w:val="000000"/>
          <w:sz w:val="28"/>
          <w:szCs w:val="28"/>
        </w:rPr>
        <w:t>the Rules Board for Courts of Law intends to amend rule 8(10) to read:</w:t>
      </w:r>
      <w:r w:rsidR="007A05F8">
        <w:rPr>
          <w:rFonts w:ascii="Arial" w:hAnsi="Arial" w:cs="Arial"/>
          <w:color w:val="000000"/>
          <w:sz w:val="24"/>
          <w:szCs w:val="24"/>
        </w:rPr>
        <w:br/>
      </w:r>
      <w:r w:rsidR="00D06B85">
        <w:rPr>
          <w:rFonts w:ascii="Arial" w:hAnsi="Arial" w:cs="Arial"/>
          <w:color w:val="000000"/>
          <w:sz w:val="24"/>
          <w:szCs w:val="24"/>
        </w:rPr>
        <w:t>“</w:t>
      </w:r>
      <w:r w:rsidR="00C74A5C" w:rsidRPr="00C74A5C">
        <w:rPr>
          <w:rFonts w:ascii="Arial" w:hAnsi="Arial" w:cs="Arial"/>
          <w:color w:val="000000"/>
          <w:sz w:val="24"/>
          <w:szCs w:val="24"/>
        </w:rPr>
        <w:t xml:space="preserve">(10) Any person against whom provisional sentence has been granted may enter </w:t>
      </w:r>
      <w:r w:rsidR="00D06B85">
        <w:rPr>
          <w:rFonts w:ascii="Arial" w:hAnsi="Arial" w:cs="Arial"/>
          <w:color w:val="000000"/>
          <w:sz w:val="24"/>
          <w:szCs w:val="24"/>
        </w:rPr>
        <w:t xml:space="preserve"> </w:t>
      </w:r>
    </w:p>
    <w:p w14:paraId="44438FCF" w14:textId="2D9FA525" w:rsidR="00C74A5C" w:rsidRDefault="00C74A5C" w:rsidP="00D06B85">
      <w:pPr>
        <w:spacing w:before="100" w:beforeAutospacing="1" w:after="100" w:afterAutospacing="1" w:line="240" w:lineRule="auto"/>
        <w:ind w:left="720"/>
        <w:jc w:val="both"/>
        <w:rPr>
          <w:rFonts w:ascii="Arial" w:hAnsi="Arial" w:cs="Arial"/>
          <w:color w:val="000000"/>
          <w:sz w:val="24"/>
          <w:szCs w:val="24"/>
        </w:rPr>
      </w:pPr>
      <w:r w:rsidRPr="00C74A5C">
        <w:rPr>
          <w:rFonts w:ascii="Arial" w:hAnsi="Arial" w:cs="Arial"/>
          <w:color w:val="000000"/>
          <w:sz w:val="24"/>
          <w:szCs w:val="24"/>
        </w:rPr>
        <w:t xml:space="preserve">       </w:t>
      </w:r>
      <w:r w:rsidR="00D06B85">
        <w:rPr>
          <w:rFonts w:ascii="Arial" w:hAnsi="Arial" w:cs="Arial"/>
          <w:color w:val="000000"/>
          <w:sz w:val="24"/>
          <w:szCs w:val="24"/>
        </w:rPr>
        <w:t xml:space="preserve">  i</w:t>
      </w:r>
      <w:r w:rsidRPr="00C74A5C">
        <w:rPr>
          <w:rFonts w:ascii="Arial" w:hAnsi="Arial" w:cs="Arial"/>
          <w:color w:val="000000"/>
          <w:sz w:val="24"/>
          <w:szCs w:val="24"/>
        </w:rPr>
        <w:t>n to [</w:t>
      </w:r>
      <w:r w:rsidRPr="00C74A5C">
        <w:rPr>
          <w:rFonts w:ascii="Arial" w:hAnsi="Arial" w:cs="Arial"/>
          <w:i/>
          <w:iCs/>
          <w:color w:val="000000"/>
          <w:sz w:val="24"/>
          <w:szCs w:val="24"/>
        </w:rPr>
        <w:t>sic</w:t>
      </w:r>
      <w:r w:rsidRPr="00C74A5C">
        <w:rPr>
          <w:rFonts w:ascii="Arial" w:hAnsi="Arial" w:cs="Arial"/>
          <w:color w:val="000000"/>
          <w:sz w:val="24"/>
          <w:szCs w:val="24"/>
        </w:rPr>
        <w:t>] the principal case if:</w:t>
      </w:r>
    </w:p>
    <w:p w14:paraId="01BA241F" w14:textId="77777777" w:rsidR="00ED36B0" w:rsidRDefault="00C74A5C" w:rsidP="00ED36B0">
      <w:pPr>
        <w:pStyle w:val="ListParagraph"/>
        <w:numPr>
          <w:ilvl w:val="0"/>
          <w:numId w:val="9"/>
        </w:numPr>
        <w:spacing w:before="100" w:beforeAutospacing="1" w:after="100" w:afterAutospacing="1" w:line="360" w:lineRule="auto"/>
        <w:ind w:left="1418" w:hanging="284"/>
        <w:jc w:val="both"/>
        <w:rPr>
          <w:rFonts w:ascii="Arial" w:hAnsi="Arial" w:cs="Arial"/>
          <w:color w:val="000000"/>
          <w:sz w:val="24"/>
          <w:szCs w:val="24"/>
        </w:rPr>
      </w:pPr>
      <w:r w:rsidRPr="00C74A5C">
        <w:rPr>
          <w:rFonts w:ascii="Arial" w:hAnsi="Arial" w:cs="Arial"/>
          <w:color w:val="000000"/>
          <w:sz w:val="24"/>
          <w:szCs w:val="24"/>
        </w:rPr>
        <w:t>he or she shall have satisfied the amount of the judgment for provision</w:t>
      </w:r>
      <w:r w:rsidR="00ED36B0">
        <w:rPr>
          <w:rFonts w:ascii="Arial" w:hAnsi="Arial" w:cs="Arial"/>
          <w:color w:val="000000"/>
          <w:sz w:val="24"/>
          <w:szCs w:val="24"/>
        </w:rPr>
        <w:t>al sentence and taxed costs, or</w:t>
      </w:r>
    </w:p>
    <w:p w14:paraId="3AB05ACF" w14:textId="77777777" w:rsidR="00ED36B0" w:rsidRDefault="00C74A5C" w:rsidP="00ED36B0">
      <w:pPr>
        <w:pStyle w:val="ListParagraph"/>
        <w:numPr>
          <w:ilvl w:val="0"/>
          <w:numId w:val="9"/>
        </w:numPr>
        <w:spacing w:before="100" w:beforeAutospacing="1" w:after="100" w:afterAutospacing="1" w:line="360" w:lineRule="auto"/>
        <w:ind w:left="1418" w:hanging="284"/>
        <w:jc w:val="both"/>
        <w:rPr>
          <w:rFonts w:ascii="Arial" w:hAnsi="Arial" w:cs="Arial"/>
          <w:color w:val="000000"/>
          <w:sz w:val="24"/>
          <w:szCs w:val="24"/>
        </w:rPr>
      </w:pPr>
      <w:r w:rsidRPr="00C74A5C">
        <w:rPr>
          <w:rFonts w:ascii="Arial" w:hAnsi="Arial" w:cs="Arial"/>
          <w:color w:val="000000"/>
          <w:sz w:val="24"/>
          <w:szCs w:val="24"/>
        </w:rPr>
        <w:t>the plaintiff on demand fails to furnish due securi</w:t>
      </w:r>
      <w:r w:rsidR="00ED36B0">
        <w:rPr>
          <w:rFonts w:ascii="Arial" w:hAnsi="Arial" w:cs="Arial"/>
          <w:color w:val="000000"/>
          <w:sz w:val="24"/>
          <w:szCs w:val="24"/>
        </w:rPr>
        <w:t>ty in terms of sub-rule (9); or</w:t>
      </w:r>
    </w:p>
    <w:p w14:paraId="6689EF32" w14:textId="01B28AEA" w:rsidR="00C74A5C" w:rsidRPr="00C74A5C" w:rsidRDefault="00C74A5C" w:rsidP="00ED36B0">
      <w:pPr>
        <w:pStyle w:val="ListParagraph"/>
        <w:numPr>
          <w:ilvl w:val="0"/>
          <w:numId w:val="9"/>
        </w:numPr>
        <w:spacing w:before="100" w:beforeAutospacing="1" w:after="100" w:afterAutospacing="1" w:line="360" w:lineRule="auto"/>
        <w:ind w:left="1418" w:hanging="284"/>
        <w:jc w:val="both"/>
        <w:rPr>
          <w:rFonts w:ascii="Arial" w:hAnsi="Arial" w:cs="Arial"/>
          <w:color w:val="000000"/>
          <w:sz w:val="24"/>
          <w:szCs w:val="24"/>
        </w:rPr>
      </w:pPr>
      <w:r w:rsidRPr="00C74A5C">
        <w:rPr>
          <w:rFonts w:ascii="Arial" w:hAnsi="Arial" w:cs="Arial"/>
          <w:color w:val="000000"/>
          <w:sz w:val="24"/>
          <w:szCs w:val="24"/>
        </w:rPr>
        <w:t>leave has been granted by the court.</w:t>
      </w:r>
      <w:r w:rsidR="00D06B85">
        <w:rPr>
          <w:rFonts w:ascii="Arial" w:hAnsi="Arial" w:cs="Arial"/>
          <w:color w:val="000000"/>
          <w:sz w:val="24"/>
          <w:szCs w:val="24"/>
        </w:rPr>
        <w:t>”</w:t>
      </w:r>
    </w:p>
    <w:p w14:paraId="5A9C65B3" w14:textId="4AC6CDC3" w:rsidR="00C74A5C" w:rsidRDefault="00C74A5C" w:rsidP="00C74A5C">
      <w:pPr>
        <w:spacing w:before="100" w:beforeAutospacing="1" w:after="100" w:afterAutospacing="1" w:line="360" w:lineRule="auto"/>
        <w:jc w:val="both"/>
        <w:rPr>
          <w:rFonts w:ascii="Arial" w:hAnsi="Arial" w:cs="Arial"/>
          <w:color w:val="000000"/>
          <w:sz w:val="24"/>
          <w:szCs w:val="24"/>
        </w:rPr>
      </w:pPr>
    </w:p>
    <w:p w14:paraId="47D09FFC" w14:textId="290B3928" w:rsidR="00C74A5C" w:rsidRDefault="00FB2B1C" w:rsidP="00FB2B1C">
      <w:pPr>
        <w:spacing w:before="100" w:beforeAutospacing="1" w:after="100" w:afterAutospacing="1" w:line="360" w:lineRule="auto"/>
        <w:ind w:left="720" w:hanging="720"/>
        <w:jc w:val="both"/>
        <w:rPr>
          <w:rFonts w:ascii="Arial" w:hAnsi="Arial" w:cs="Arial"/>
          <w:color w:val="000000"/>
          <w:sz w:val="28"/>
          <w:szCs w:val="28"/>
        </w:rPr>
      </w:pPr>
      <w:r>
        <w:rPr>
          <w:rFonts w:ascii="Arial" w:hAnsi="Arial" w:cs="Arial"/>
          <w:color w:val="000000"/>
          <w:sz w:val="28"/>
          <w:szCs w:val="28"/>
        </w:rPr>
        <w:t>[11]</w:t>
      </w:r>
      <w:r>
        <w:rPr>
          <w:rFonts w:ascii="Arial" w:hAnsi="Arial" w:cs="Arial"/>
          <w:color w:val="000000"/>
          <w:sz w:val="28"/>
          <w:szCs w:val="28"/>
        </w:rPr>
        <w:tab/>
        <w:t xml:space="preserve">The court in Twee </w:t>
      </w:r>
      <w:proofErr w:type="spellStart"/>
      <w:r>
        <w:rPr>
          <w:rFonts w:ascii="Arial" w:hAnsi="Arial" w:cs="Arial"/>
          <w:color w:val="000000"/>
          <w:sz w:val="28"/>
          <w:szCs w:val="28"/>
        </w:rPr>
        <w:t>Jonge</w:t>
      </w:r>
      <w:proofErr w:type="spellEnd"/>
      <w:r>
        <w:rPr>
          <w:rFonts w:ascii="Arial" w:hAnsi="Arial" w:cs="Arial"/>
          <w:color w:val="000000"/>
          <w:sz w:val="28"/>
          <w:szCs w:val="28"/>
        </w:rPr>
        <w:t xml:space="preserve"> </w:t>
      </w:r>
      <w:proofErr w:type="spellStart"/>
      <w:r>
        <w:rPr>
          <w:rFonts w:ascii="Arial" w:hAnsi="Arial" w:cs="Arial"/>
          <w:color w:val="000000"/>
          <w:sz w:val="28"/>
          <w:szCs w:val="28"/>
        </w:rPr>
        <w:t>Gezellen</w:t>
      </w:r>
      <w:proofErr w:type="spellEnd"/>
      <w:r>
        <w:rPr>
          <w:rFonts w:ascii="Arial" w:hAnsi="Arial" w:cs="Arial"/>
          <w:color w:val="000000"/>
          <w:sz w:val="28"/>
          <w:szCs w:val="28"/>
        </w:rPr>
        <w:t xml:space="preserve"> rema</w:t>
      </w:r>
      <w:r w:rsidR="00537040">
        <w:rPr>
          <w:rFonts w:ascii="Arial" w:hAnsi="Arial" w:cs="Arial"/>
          <w:color w:val="000000"/>
          <w:sz w:val="28"/>
          <w:szCs w:val="28"/>
        </w:rPr>
        <w:t>r</w:t>
      </w:r>
      <w:r>
        <w:rPr>
          <w:rFonts w:ascii="Arial" w:hAnsi="Arial" w:cs="Arial"/>
          <w:color w:val="000000"/>
          <w:sz w:val="28"/>
          <w:szCs w:val="28"/>
        </w:rPr>
        <w:t xml:space="preserve">ked at paras 21, 22 and 23 </w:t>
      </w:r>
      <w:r w:rsidR="00537040">
        <w:rPr>
          <w:rFonts w:ascii="Arial" w:hAnsi="Arial" w:cs="Arial"/>
          <w:color w:val="000000"/>
          <w:sz w:val="28"/>
          <w:szCs w:val="28"/>
        </w:rPr>
        <w:t>as follows:</w:t>
      </w:r>
    </w:p>
    <w:p w14:paraId="08C0A3B7" w14:textId="77777777" w:rsidR="00ED36B0" w:rsidRDefault="0033743D" w:rsidP="00ED36B0">
      <w:pPr>
        <w:ind w:firstLine="471"/>
        <w:rPr>
          <w:rFonts w:ascii="Arial" w:hAnsi="Arial" w:cs="Arial"/>
          <w:color w:val="000000"/>
          <w:sz w:val="24"/>
          <w:szCs w:val="24"/>
        </w:rPr>
      </w:pPr>
      <w:r>
        <w:rPr>
          <w:rFonts w:ascii="Arial" w:hAnsi="Arial" w:cs="Arial"/>
          <w:color w:val="000000"/>
          <w:sz w:val="24"/>
          <w:szCs w:val="24"/>
        </w:rPr>
        <w:t xml:space="preserve">    </w:t>
      </w:r>
      <w:r w:rsidR="00D06B85">
        <w:rPr>
          <w:rFonts w:ascii="Arial" w:hAnsi="Arial" w:cs="Arial"/>
          <w:color w:val="000000"/>
          <w:sz w:val="24"/>
          <w:szCs w:val="24"/>
        </w:rPr>
        <w:t>“</w:t>
      </w:r>
      <w:r w:rsidR="00FB2B1C" w:rsidRPr="00FB2B1C">
        <w:rPr>
          <w:rFonts w:ascii="Arial" w:hAnsi="Arial" w:cs="Arial"/>
          <w:color w:val="000000"/>
          <w:sz w:val="24"/>
          <w:szCs w:val="24"/>
        </w:rPr>
        <w:t>[</w:t>
      </w:r>
      <w:r w:rsidR="00FB2B1C" w:rsidRPr="0033743D">
        <w:rPr>
          <w:rFonts w:ascii="Arial" w:hAnsi="Arial" w:cs="Arial"/>
          <w:color w:val="000000"/>
          <w:sz w:val="24"/>
          <w:szCs w:val="24"/>
        </w:rPr>
        <w:t xml:space="preserve">21] But a defendant, who relies on a </w:t>
      </w:r>
      <w:proofErr w:type="spellStart"/>
      <w:r w:rsidR="00FB2B1C" w:rsidRPr="0033743D">
        <w:rPr>
          <w:rFonts w:ascii="Arial" w:hAnsi="Arial" w:cs="Arial"/>
          <w:color w:val="000000"/>
          <w:sz w:val="24"/>
          <w:szCs w:val="24"/>
        </w:rPr>
        <w:t>defence</w:t>
      </w:r>
      <w:bookmarkStart w:id="8" w:name="0-0-0-274061"/>
      <w:bookmarkEnd w:id="8"/>
      <w:proofErr w:type="spellEnd"/>
      <w:r w:rsidR="00ED36B0">
        <w:rPr>
          <w:rFonts w:ascii="Arial" w:hAnsi="Arial" w:cs="Arial"/>
          <w:color w:val="000000"/>
          <w:sz w:val="24"/>
          <w:szCs w:val="24"/>
        </w:rPr>
        <w:t> </w:t>
      </w:r>
      <w:r w:rsidR="00FB2B1C" w:rsidRPr="0033743D">
        <w:rPr>
          <w:rFonts w:ascii="Arial" w:hAnsi="Arial" w:cs="Arial"/>
          <w:color w:val="000000"/>
          <w:sz w:val="24"/>
          <w:szCs w:val="24"/>
        </w:rPr>
        <w:t>which goes beyond the liquid</w:t>
      </w:r>
      <w:r w:rsidR="00ED36B0">
        <w:rPr>
          <w:rFonts w:ascii="Arial" w:hAnsi="Arial" w:cs="Arial"/>
          <w:color w:val="000000"/>
          <w:sz w:val="24"/>
          <w:szCs w:val="24"/>
        </w:rPr>
        <w:t xml:space="preserve">      </w:t>
      </w:r>
    </w:p>
    <w:p w14:paraId="3F2389CB" w14:textId="6C564B33" w:rsidR="0033743D" w:rsidRDefault="00ED36B0" w:rsidP="00ED36B0">
      <w:pPr>
        <w:ind w:firstLine="471"/>
        <w:rPr>
          <w:rFonts w:ascii="Arial" w:hAnsi="Arial" w:cs="Arial"/>
          <w:color w:val="000000"/>
          <w:sz w:val="24"/>
          <w:szCs w:val="24"/>
        </w:rPr>
      </w:pPr>
      <w:r>
        <w:rPr>
          <w:rFonts w:ascii="Arial" w:hAnsi="Arial" w:cs="Arial"/>
          <w:color w:val="000000"/>
          <w:sz w:val="24"/>
          <w:szCs w:val="24"/>
        </w:rPr>
        <w:t xml:space="preserve">   </w:t>
      </w:r>
      <w:r w:rsidR="0033743D">
        <w:rPr>
          <w:rFonts w:ascii="Arial" w:hAnsi="Arial" w:cs="Arial"/>
          <w:color w:val="000000"/>
          <w:sz w:val="24"/>
          <w:szCs w:val="24"/>
        </w:rPr>
        <w:t xml:space="preserve">      </w:t>
      </w:r>
      <w:r w:rsidR="00FB2B1C" w:rsidRPr="0033743D">
        <w:rPr>
          <w:rFonts w:ascii="Arial" w:hAnsi="Arial" w:cs="Arial"/>
          <w:color w:val="000000"/>
          <w:sz w:val="24"/>
          <w:szCs w:val="24"/>
        </w:rPr>
        <w:t xml:space="preserve"> document, </w:t>
      </w:r>
      <w:r w:rsidR="0033743D">
        <w:rPr>
          <w:rFonts w:ascii="Arial" w:hAnsi="Arial" w:cs="Arial"/>
          <w:color w:val="000000"/>
          <w:sz w:val="24"/>
          <w:szCs w:val="24"/>
        </w:rPr>
        <w:t>i</w:t>
      </w:r>
      <w:r w:rsidR="00FB2B1C" w:rsidRPr="0033743D">
        <w:rPr>
          <w:rFonts w:ascii="Arial" w:hAnsi="Arial" w:cs="Arial"/>
          <w:color w:val="000000"/>
          <w:sz w:val="24"/>
          <w:szCs w:val="24"/>
        </w:rPr>
        <w:t xml:space="preserve">s required to produce sufficient proof of that </w:t>
      </w:r>
      <w:proofErr w:type="spellStart"/>
      <w:r w:rsidR="00FB2B1C" w:rsidRPr="0033743D">
        <w:rPr>
          <w:rFonts w:ascii="Arial" w:hAnsi="Arial" w:cs="Arial"/>
          <w:color w:val="000000"/>
          <w:sz w:val="24"/>
          <w:szCs w:val="24"/>
        </w:rPr>
        <w:t>defence</w:t>
      </w:r>
      <w:proofErr w:type="spellEnd"/>
      <w:r w:rsidR="00FB2B1C" w:rsidRPr="0033743D">
        <w:rPr>
          <w:rFonts w:ascii="Arial" w:hAnsi="Arial" w:cs="Arial"/>
          <w:color w:val="000000"/>
          <w:sz w:val="24"/>
          <w:szCs w:val="24"/>
        </w:rPr>
        <w:t xml:space="preserve"> to satisfy the</w:t>
      </w:r>
    </w:p>
    <w:p w14:paraId="2BE86C8B" w14:textId="77777777" w:rsidR="0033743D" w:rsidRDefault="0033743D" w:rsidP="0033743D">
      <w:pPr>
        <w:ind w:left="720"/>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court that the probability of success, in the principal case, is against the</w:t>
      </w:r>
    </w:p>
    <w:p w14:paraId="561A3C67" w14:textId="77777777" w:rsidR="0033743D" w:rsidRDefault="0033743D" w:rsidP="0033743D">
      <w:pPr>
        <w:ind w:left="720"/>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 xml:space="preserve"> </w:t>
      </w:r>
      <w:r>
        <w:rPr>
          <w:rFonts w:ascii="Arial" w:hAnsi="Arial" w:cs="Arial"/>
          <w:color w:val="000000"/>
          <w:sz w:val="24"/>
          <w:szCs w:val="24"/>
        </w:rPr>
        <w:t xml:space="preserve">    </w:t>
      </w:r>
      <w:r w:rsidR="00FB2B1C" w:rsidRPr="0033743D">
        <w:rPr>
          <w:rFonts w:ascii="Arial" w:hAnsi="Arial" w:cs="Arial"/>
          <w:color w:val="000000"/>
          <w:sz w:val="24"/>
          <w:szCs w:val="24"/>
        </w:rPr>
        <w:t>plaintiff, before provisional sentence can be refused.</w:t>
      </w:r>
      <w:bookmarkStart w:id="9" w:name="0-0-0-274065"/>
      <w:bookmarkEnd w:id="9"/>
      <w:r w:rsidR="00FB2B1C" w:rsidRPr="0033743D">
        <w:rPr>
          <w:rFonts w:ascii="Arial" w:hAnsi="Arial" w:cs="Arial"/>
          <w:color w:val="000000"/>
          <w:sz w:val="24"/>
          <w:szCs w:val="24"/>
        </w:rPr>
        <w:t xml:space="preserve">  If there is no balance of </w:t>
      </w:r>
    </w:p>
    <w:p w14:paraId="19DC67DE" w14:textId="77777777" w:rsidR="0033743D" w:rsidRDefault="0033743D" w:rsidP="0033743D">
      <w:pPr>
        <w:ind w:left="720"/>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probabilities either way with regard to the principal case, the court will grant</w:t>
      </w:r>
    </w:p>
    <w:p w14:paraId="793B7C38" w14:textId="77777777" w:rsidR="0033743D" w:rsidRDefault="0033743D" w:rsidP="0033743D">
      <w:pPr>
        <w:ind w:left="720"/>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 xml:space="preserve"> provisional sentence. It follows that, if there is a balance in </w:t>
      </w:r>
      <w:proofErr w:type="spellStart"/>
      <w:r w:rsidR="00FB2B1C" w:rsidRPr="0033743D">
        <w:rPr>
          <w:rFonts w:ascii="Arial" w:hAnsi="Arial" w:cs="Arial"/>
          <w:color w:val="000000"/>
          <w:sz w:val="24"/>
          <w:szCs w:val="24"/>
        </w:rPr>
        <w:t>favour</w:t>
      </w:r>
      <w:proofErr w:type="spellEnd"/>
      <w:r w:rsidR="00FB2B1C" w:rsidRPr="0033743D">
        <w:rPr>
          <w:rFonts w:ascii="Arial" w:hAnsi="Arial" w:cs="Arial"/>
          <w:color w:val="000000"/>
          <w:sz w:val="24"/>
          <w:szCs w:val="24"/>
        </w:rPr>
        <w:t xml:space="preserve"> of the </w:t>
      </w:r>
    </w:p>
    <w:p w14:paraId="1202929C" w14:textId="4D625733" w:rsidR="00FB2B1C" w:rsidRDefault="0033743D" w:rsidP="0033743D">
      <w:pPr>
        <w:ind w:left="720"/>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plaintiff, provisional sentence will also be granted.…</w:t>
      </w:r>
    </w:p>
    <w:p w14:paraId="50B820E5" w14:textId="77777777" w:rsidR="0033743D" w:rsidRPr="0033743D" w:rsidRDefault="0033743D" w:rsidP="0033743D">
      <w:pPr>
        <w:ind w:left="720"/>
        <w:jc w:val="both"/>
        <w:rPr>
          <w:rFonts w:ascii="Arial" w:hAnsi="Arial" w:cs="Arial"/>
          <w:color w:val="000000"/>
          <w:sz w:val="24"/>
          <w:szCs w:val="24"/>
        </w:rPr>
      </w:pPr>
    </w:p>
    <w:p w14:paraId="2EB2BC2D" w14:textId="77777777" w:rsidR="0033743D" w:rsidRDefault="00FB2B1C" w:rsidP="0033743D">
      <w:pPr>
        <w:ind w:left="720"/>
        <w:jc w:val="both"/>
        <w:rPr>
          <w:rFonts w:ascii="Arial" w:hAnsi="Arial" w:cs="Arial"/>
          <w:color w:val="000000"/>
          <w:sz w:val="24"/>
          <w:szCs w:val="24"/>
        </w:rPr>
      </w:pPr>
      <w:r w:rsidRPr="0033743D">
        <w:rPr>
          <w:rFonts w:ascii="Arial" w:hAnsi="Arial" w:cs="Arial"/>
          <w:color w:val="000000"/>
          <w:sz w:val="24"/>
          <w:szCs w:val="24"/>
        </w:rPr>
        <w:t>[22]</w:t>
      </w:r>
      <w:r w:rsidR="0033743D">
        <w:rPr>
          <w:rFonts w:ascii="Arial" w:hAnsi="Arial" w:cs="Arial"/>
          <w:color w:val="000000"/>
          <w:sz w:val="24"/>
          <w:szCs w:val="24"/>
        </w:rPr>
        <w:t xml:space="preserve"> </w:t>
      </w:r>
      <w:r w:rsidRPr="0033743D">
        <w:rPr>
          <w:rFonts w:ascii="Arial" w:hAnsi="Arial" w:cs="Arial"/>
          <w:color w:val="000000"/>
          <w:sz w:val="24"/>
          <w:szCs w:val="24"/>
        </w:rPr>
        <w:t xml:space="preserve"> It has been said that the balance of probability which the defendant must raise</w:t>
      </w:r>
    </w:p>
    <w:p w14:paraId="663B98D1" w14:textId="77777777" w:rsidR="0033743D" w:rsidRDefault="0033743D" w:rsidP="0033743D">
      <w:pPr>
        <w:ind w:left="720"/>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 xml:space="preserve"> </w:t>
      </w:r>
      <w:r>
        <w:rPr>
          <w:rFonts w:ascii="Arial" w:hAnsi="Arial" w:cs="Arial"/>
          <w:color w:val="000000"/>
          <w:sz w:val="24"/>
          <w:szCs w:val="24"/>
        </w:rPr>
        <w:t xml:space="preserve">  </w:t>
      </w:r>
      <w:r w:rsidR="00FB2B1C" w:rsidRPr="0033743D">
        <w:rPr>
          <w:rFonts w:ascii="Arial" w:hAnsi="Arial" w:cs="Arial"/>
          <w:color w:val="000000"/>
          <w:sz w:val="24"/>
          <w:szCs w:val="24"/>
        </w:rPr>
        <w:t>must</w:t>
      </w:r>
      <w:r>
        <w:rPr>
          <w:rFonts w:ascii="Arial" w:hAnsi="Arial" w:cs="Arial"/>
          <w:color w:val="000000"/>
          <w:sz w:val="24"/>
          <w:szCs w:val="24"/>
        </w:rPr>
        <w:t xml:space="preserve"> </w:t>
      </w:r>
      <w:r w:rsidR="00FB2B1C" w:rsidRPr="0033743D">
        <w:rPr>
          <w:rFonts w:ascii="Arial" w:hAnsi="Arial" w:cs="Arial"/>
          <w:color w:val="000000"/>
          <w:sz w:val="24"/>
          <w:szCs w:val="24"/>
        </w:rPr>
        <w:t>be substantial before the court will refuse provisional</w:t>
      </w:r>
    </w:p>
    <w:p w14:paraId="0C4ADA1B" w14:textId="77777777" w:rsidR="0033743D" w:rsidRDefault="0033743D" w:rsidP="0033743D">
      <w:pPr>
        <w:ind w:left="720"/>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sentence.</w:t>
      </w:r>
      <w:bookmarkStart w:id="10" w:name="0-0-0-274081"/>
      <w:bookmarkEnd w:id="10"/>
      <w:r>
        <w:rPr>
          <w:rFonts w:ascii="Arial" w:hAnsi="Arial" w:cs="Arial"/>
          <w:color w:val="000000"/>
          <w:sz w:val="24"/>
          <w:szCs w:val="24"/>
        </w:rPr>
        <w:t xml:space="preserve"> </w:t>
      </w:r>
      <w:r w:rsidR="00FB2B1C" w:rsidRPr="0033743D">
        <w:rPr>
          <w:rFonts w:ascii="Arial" w:hAnsi="Arial" w:cs="Arial"/>
          <w:color w:val="000000"/>
          <w:sz w:val="24"/>
          <w:szCs w:val="24"/>
        </w:rPr>
        <w:t>However, as was pointed out in </w:t>
      </w:r>
      <w:r w:rsidR="00FB2B1C" w:rsidRPr="0033743D">
        <w:rPr>
          <w:rFonts w:ascii="Arial" w:hAnsi="Arial" w:cs="Arial"/>
          <w:i/>
          <w:iCs/>
          <w:color w:val="000000"/>
          <w:sz w:val="24"/>
          <w:szCs w:val="24"/>
        </w:rPr>
        <w:t>Rich and Others v Lagerwey</w:t>
      </w:r>
      <w:r w:rsidR="00FB2B1C" w:rsidRPr="0033743D">
        <w:rPr>
          <w:rFonts w:ascii="Arial" w:hAnsi="Arial" w:cs="Arial"/>
          <w:color w:val="000000"/>
          <w:sz w:val="24"/>
          <w:szCs w:val="24"/>
        </w:rPr>
        <w:t>,</w:t>
      </w:r>
      <w:bookmarkStart w:id="11" w:name="0-0-0-274085"/>
      <w:bookmarkEnd w:id="11"/>
      <w:r w:rsidR="00FB2B1C" w:rsidRPr="0033743D">
        <w:rPr>
          <w:rFonts w:ascii="Arial" w:hAnsi="Arial" w:cs="Arial"/>
          <w:color w:val="000000"/>
          <w:sz w:val="24"/>
          <w:szCs w:val="24"/>
        </w:rPr>
        <w:t xml:space="preserve"> our</w:t>
      </w:r>
    </w:p>
    <w:p w14:paraId="0D0E6089" w14:textId="2E9C8CEC" w:rsidR="0033743D" w:rsidRDefault="0033743D" w:rsidP="0033743D">
      <w:pPr>
        <w:ind w:left="720"/>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 xml:space="preserve"> </w:t>
      </w:r>
      <w:r>
        <w:rPr>
          <w:rFonts w:ascii="Arial" w:hAnsi="Arial" w:cs="Arial"/>
          <w:color w:val="000000"/>
          <w:sz w:val="24"/>
          <w:szCs w:val="24"/>
        </w:rPr>
        <w:t xml:space="preserve">  </w:t>
      </w:r>
      <w:r w:rsidR="00FB2B1C" w:rsidRPr="0033743D">
        <w:rPr>
          <w:rFonts w:ascii="Arial" w:hAnsi="Arial" w:cs="Arial"/>
          <w:color w:val="000000"/>
          <w:sz w:val="24"/>
          <w:szCs w:val="24"/>
        </w:rPr>
        <w:t xml:space="preserve">law knows only two standards of proof, namely, proof beyond reasonable </w:t>
      </w:r>
    </w:p>
    <w:p w14:paraId="46D707F6" w14:textId="4259341F" w:rsidR="00537040" w:rsidRDefault="00537040" w:rsidP="0033743D">
      <w:pPr>
        <w:ind w:left="720"/>
        <w:jc w:val="both"/>
        <w:rPr>
          <w:rFonts w:ascii="Arial" w:hAnsi="Arial" w:cs="Arial"/>
          <w:color w:val="000000"/>
          <w:sz w:val="24"/>
          <w:szCs w:val="24"/>
        </w:rPr>
      </w:pPr>
    </w:p>
    <w:p w14:paraId="7331553C" w14:textId="77777777" w:rsidR="00537040" w:rsidRDefault="00537040" w:rsidP="0033743D">
      <w:pPr>
        <w:ind w:left="720"/>
        <w:jc w:val="both"/>
        <w:rPr>
          <w:rFonts w:ascii="Arial" w:hAnsi="Arial" w:cs="Arial"/>
          <w:color w:val="000000"/>
          <w:sz w:val="24"/>
          <w:szCs w:val="24"/>
        </w:rPr>
      </w:pPr>
    </w:p>
    <w:p w14:paraId="11D98D91" w14:textId="7F490896" w:rsidR="00E611C4" w:rsidRDefault="00E611C4" w:rsidP="00E611C4">
      <w:p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00FB2B1C" w:rsidRPr="0033743D">
        <w:rPr>
          <w:rFonts w:ascii="Arial" w:hAnsi="Arial" w:cs="Arial"/>
          <w:color w:val="000000"/>
          <w:sz w:val="24"/>
          <w:szCs w:val="24"/>
        </w:rPr>
        <w:t>doubt which applies in criminal cases, and the civil standard of proof on a</w:t>
      </w:r>
    </w:p>
    <w:p w14:paraId="2DCEE95D" w14:textId="67E55F6D" w:rsidR="00E611C4" w:rsidRDefault="00E611C4" w:rsidP="00E611C4">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 xml:space="preserve"> </w:t>
      </w:r>
      <w:r>
        <w:rPr>
          <w:rFonts w:ascii="Arial" w:hAnsi="Arial" w:cs="Arial"/>
          <w:color w:val="000000"/>
          <w:sz w:val="24"/>
          <w:szCs w:val="24"/>
        </w:rPr>
        <w:t xml:space="preserve">       </w:t>
      </w:r>
      <w:r w:rsidR="00FB2B1C" w:rsidRPr="0033743D">
        <w:rPr>
          <w:rFonts w:ascii="Arial" w:hAnsi="Arial" w:cs="Arial"/>
          <w:color w:val="000000"/>
          <w:sz w:val="24"/>
          <w:szCs w:val="24"/>
        </w:rPr>
        <w:t xml:space="preserve">preponderance of probability. In order to escape provisional sentence, the </w:t>
      </w:r>
    </w:p>
    <w:p w14:paraId="79147938" w14:textId="17730744" w:rsidR="00E611C4" w:rsidRDefault="00E611C4" w:rsidP="00E611C4">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defendant must therefore satisfy the court on a preponderance of probability</w:t>
      </w:r>
    </w:p>
    <w:p w14:paraId="7E667BFD" w14:textId="65ACB568" w:rsidR="00FB2B1C" w:rsidRPr="0033743D" w:rsidRDefault="00E611C4" w:rsidP="00E611C4">
      <w:pPr>
        <w:spacing w:line="360" w:lineRule="auto"/>
        <w:jc w:val="both"/>
        <w:rPr>
          <w:rFonts w:ascii="Arial" w:hAnsi="Arial" w:cs="Arial"/>
          <w:color w:val="000000"/>
          <w:sz w:val="24"/>
          <w:szCs w:val="24"/>
          <w:shd w:val="clear" w:color="auto" w:fill="C0C0C0"/>
        </w:rPr>
      </w:pPr>
      <w:r>
        <w:rPr>
          <w:rFonts w:ascii="Arial" w:hAnsi="Arial" w:cs="Arial"/>
          <w:color w:val="000000"/>
          <w:sz w:val="24"/>
          <w:szCs w:val="24"/>
        </w:rPr>
        <w:t xml:space="preserve">                </w:t>
      </w:r>
      <w:r w:rsidR="00FB2B1C" w:rsidRPr="0033743D">
        <w:rPr>
          <w:rFonts w:ascii="Arial" w:hAnsi="Arial" w:cs="Arial"/>
          <w:color w:val="000000"/>
          <w:sz w:val="24"/>
          <w:szCs w:val="24"/>
        </w:rPr>
        <w:t xml:space="preserve"> </w:t>
      </w:r>
      <w:r>
        <w:rPr>
          <w:rFonts w:ascii="Arial" w:hAnsi="Arial" w:cs="Arial"/>
          <w:color w:val="000000"/>
          <w:sz w:val="24"/>
          <w:szCs w:val="24"/>
        </w:rPr>
        <w:t xml:space="preserve">    </w:t>
      </w:r>
      <w:r w:rsidR="00FB2B1C" w:rsidRPr="0033743D">
        <w:rPr>
          <w:rFonts w:ascii="Arial" w:hAnsi="Arial" w:cs="Arial"/>
          <w:color w:val="000000"/>
          <w:sz w:val="24"/>
          <w:szCs w:val="24"/>
        </w:rPr>
        <w:t>that the plaintiff is unlikely to succeed in the principal case.</w:t>
      </w:r>
    </w:p>
    <w:p w14:paraId="1D5D81CE" w14:textId="77777777" w:rsidR="00D06B85" w:rsidRDefault="00FB2B1C" w:rsidP="00D06B85">
      <w:pPr>
        <w:ind w:left="850"/>
        <w:jc w:val="both"/>
        <w:rPr>
          <w:rFonts w:ascii="Arial" w:hAnsi="Arial" w:cs="Arial"/>
          <w:color w:val="000000"/>
          <w:sz w:val="24"/>
          <w:szCs w:val="24"/>
        </w:rPr>
      </w:pPr>
      <w:r w:rsidRPr="0033743D">
        <w:rPr>
          <w:rFonts w:ascii="Arial" w:hAnsi="Arial" w:cs="Arial"/>
          <w:color w:val="000000"/>
          <w:sz w:val="24"/>
          <w:szCs w:val="24"/>
        </w:rPr>
        <w:t>[23] This onus, moreover, can only be discharged upon facts raised on affidavit.</w:t>
      </w:r>
    </w:p>
    <w:p w14:paraId="4469A997" w14:textId="77777777" w:rsidR="00D06B85" w:rsidRDefault="00D06B85" w:rsidP="00D06B85">
      <w:pPr>
        <w:ind w:left="850"/>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 xml:space="preserve"> The court has no inherent discretion to hear oral evidence on issues other</w:t>
      </w:r>
    </w:p>
    <w:p w14:paraId="48E23DCD" w14:textId="77777777" w:rsidR="00D06B85" w:rsidRDefault="00D06B85" w:rsidP="00D06B85">
      <w:pPr>
        <w:ind w:left="850"/>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 xml:space="preserve"> than the authenticity of the defendant's signature on the document, where</w:t>
      </w:r>
    </w:p>
    <w:p w14:paraId="3CAF978A" w14:textId="2DB85629" w:rsidR="00FB2B1C" w:rsidRDefault="00D06B85" w:rsidP="00D06B85">
      <w:pPr>
        <w:ind w:left="850"/>
        <w:jc w:val="both"/>
        <w:rPr>
          <w:rFonts w:ascii="Arial" w:hAnsi="Arial" w:cs="Arial"/>
          <w:color w:val="000000"/>
          <w:sz w:val="24"/>
          <w:szCs w:val="24"/>
        </w:rPr>
      </w:pPr>
      <w:r>
        <w:rPr>
          <w:rFonts w:ascii="Arial" w:hAnsi="Arial" w:cs="Arial"/>
          <w:color w:val="000000"/>
          <w:sz w:val="24"/>
          <w:szCs w:val="24"/>
        </w:rPr>
        <w:t xml:space="preserve">       </w:t>
      </w:r>
      <w:r w:rsidR="00FB2B1C" w:rsidRPr="0033743D">
        <w:rPr>
          <w:rFonts w:ascii="Arial" w:hAnsi="Arial" w:cs="Arial"/>
          <w:color w:val="000000"/>
          <w:sz w:val="24"/>
          <w:szCs w:val="24"/>
        </w:rPr>
        <w:t xml:space="preserve"> the plaintiff, in any event, bears the onus</w:t>
      </w:r>
      <w:r w:rsidR="0033743D" w:rsidRPr="0033743D">
        <w:rPr>
          <w:rFonts w:ascii="Arial" w:hAnsi="Arial" w:cs="Arial"/>
          <w:color w:val="000000"/>
          <w:sz w:val="24"/>
          <w:szCs w:val="24"/>
        </w:rPr>
        <w:t>….</w:t>
      </w:r>
      <w:r>
        <w:rPr>
          <w:rFonts w:ascii="Arial" w:hAnsi="Arial" w:cs="Arial"/>
          <w:color w:val="000000"/>
          <w:sz w:val="24"/>
          <w:szCs w:val="24"/>
        </w:rPr>
        <w:t>”</w:t>
      </w:r>
    </w:p>
    <w:p w14:paraId="1C285C4B" w14:textId="5369755F" w:rsidR="00E611C4" w:rsidRDefault="00E611C4" w:rsidP="00E611C4">
      <w:pPr>
        <w:jc w:val="both"/>
        <w:rPr>
          <w:rFonts w:ascii="Arial" w:hAnsi="Arial" w:cs="Arial"/>
          <w:color w:val="000000"/>
          <w:sz w:val="24"/>
          <w:szCs w:val="24"/>
        </w:rPr>
      </w:pPr>
    </w:p>
    <w:p w14:paraId="7B5CA302" w14:textId="6F307B3B" w:rsidR="003000F3" w:rsidRDefault="00E611C4" w:rsidP="003000F3">
      <w:pPr>
        <w:spacing w:line="360" w:lineRule="auto"/>
        <w:ind w:left="720" w:hanging="720"/>
        <w:jc w:val="both"/>
        <w:rPr>
          <w:rFonts w:ascii="Arial" w:hAnsi="Arial" w:cs="Arial"/>
          <w:color w:val="000000"/>
          <w:sz w:val="28"/>
          <w:szCs w:val="28"/>
        </w:rPr>
      </w:pPr>
      <w:r>
        <w:rPr>
          <w:rFonts w:ascii="Arial" w:hAnsi="Arial" w:cs="Arial"/>
          <w:color w:val="000000"/>
          <w:sz w:val="28"/>
          <w:szCs w:val="28"/>
        </w:rPr>
        <w:t>[12]</w:t>
      </w:r>
      <w:r>
        <w:rPr>
          <w:rFonts w:ascii="Arial" w:hAnsi="Arial" w:cs="Arial"/>
          <w:color w:val="000000"/>
          <w:sz w:val="28"/>
          <w:szCs w:val="28"/>
        </w:rPr>
        <w:tab/>
        <w:t xml:space="preserve">In the present matter the defendants make the allegation that they have paid the debt that they owed to Liberty. They do not allege that they are unable to pay the debt. Implicit in that assertion is the concession that they were indebted to Liberty. Where the defendants raise a </w:t>
      </w:r>
      <w:proofErr w:type="spellStart"/>
      <w:r>
        <w:rPr>
          <w:rFonts w:ascii="Arial" w:hAnsi="Arial" w:cs="Arial"/>
          <w:color w:val="000000"/>
          <w:sz w:val="28"/>
          <w:szCs w:val="28"/>
        </w:rPr>
        <w:t>defence</w:t>
      </w:r>
      <w:proofErr w:type="spellEnd"/>
      <w:r>
        <w:rPr>
          <w:rFonts w:ascii="Arial" w:hAnsi="Arial" w:cs="Arial"/>
          <w:color w:val="000000"/>
          <w:sz w:val="28"/>
          <w:szCs w:val="28"/>
        </w:rPr>
        <w:t xml:space="preserve"> beyond the AOD, the onus is on them to satisfy the court, on a balance of probabilit</w:t>
      </w:r>
      <w:r w:rsidR="00537040">
        <w:rPr>
          <w:rFonts w:ascii="Arial" w:hAnsi="Arial" w:cs="Arial"/>
          <w:color w:val="000000"/>
          <w:sz w:val="28"/>
          <w:szCs w:val="28"/>
        </w:rPr>
        <w:t>ies,</w:t>
      </w:r>
      <w:r w:rsidR="00C9206A">
        <w:rPr>
          <w:rFonts w:ascii="Arial" w:hAnsi="Arial" w:cs="Arial"/>
          <w:color w:val="000000"/>
          <w:sz w:val="28"/>
          <w:szCs w:val="28"/>
        </w:rPr>
        <w:t xml:space="preserve"> that they will succeed in the main case, or put differently, that the plaintiff will not succeed with its claim. The only financial record that the defendants attached to the Answering Affidavit is Annexure</w:t>
      </w:r>
      <w:r w:rsidR="00537040">
        <w:rPr>
          <w:rFonts w:ascii="Arial" w:hAnsi="Arial" w:cs="Arial"/>
          <w:color w:val="000000"/>
          <w:sz w:val="28"/>
          <w:szCs w:val="28"/>
        </w:rPr>
        <w:t xml:space="preserve"> E</w:t>
      </w:r>
      <w:r w:rsidR="00C9206A">
        <w:rPr>
          <w:rFonts w:ascii="Arial" w:hAnsi="Arial" w:cs="Arial"/>
          <w:color w:val="000000"/>
          <w:sz w:val="28"/>
          <w:szCs w:val="28"/>
        </w:rPr>
        <w:t xml:space="preserve"> which I referred to above. Based on the detailed explanation given by Liberty, which I have set out above, regarding the financial relationship and payment procedures between it and CFS, together with the supporting documents I have referred to, it is clear that the defendants have not played open cards with the court and have deliberately withheld the full set of documentation relevant to this matter. When regard is had to annexure E, it is clear </w:t>
      </w:r>
      <w:r w:rsidR="00C9206A" w:rsidRPr="00C9206A">
        <w:rPr>
          <w:rFonts w:ascii="Arial" w:hAnsi="Arial" w:cs="Arial"/>
          <w:i/>
          <w:iCs/>
          <w:color w:val="000000"/>
          <w:sz w:val="28"/>
          <w:szCs w:val="28"/>
        </w:rPr>
        <w:t>ex facie</w:t>
      </w:r>
      <w:r w:rsidR="00C9206A">
        <w:rPr>
          <w:rFonts w:ascii="Arial" w:hAnsi="Arial" w:cs="Arial"/>
          <w:color w:val="000000"/>
          <w:sz w:val="28"/>
          <w:szCs w:val="28"/>
        </w:rPr>
        <w:t xml:space="preserve"> the document, that the figures relied on by the defendants, fall into a column that does not have a monetary or Rand value as the last two columns on that document do. The explanation given by Liberty with regard to the meaning of PCR (Production Credits) is rational, </w:t>
      </w:r>
      <w:r w:rsidR="00C9206A">
        <w:rPr>
          <w:rFonts w:ascii="Arial" w:hAnsi="Arial" w:cs="Arial"/>
          <w:color w:val="000000"/>
          <w:sz w:val="28"/>
          <w:szCs w:val="28"/>
        </w:rPr>
        <w:lastRenderedPageBreak/>
        <w:t>reasonable and credible, and accords with the rest of its version as well as the rest of the documentation furnished by Liberty.</w:t>
      </w:r>
    </w:p>
    <w:p w14:paraId="7A6823C3" w14:textId="77777777" w:rsidR="003000F3" w:rsidRDefault="003000F3" w:rsidP="003000F3">
      <w:pPr>
        <w:spacing w:line="360" w:lineRule="auto"/>
        <w:ind w:left="720" w:hanging="720"/>
        <w:jc w:val="both"/>
        <w:rPr>
          <w:rFonts w:ascii="Arial" w:hAnsi="Arial" w:cs="Arial"/>
          <w:color w:val="000000"/>
          <w:sz w:val="28"/>
          <w:szCs w:val="28"/>
        </w:rPr>
      </w:pPr>
    </w:p>
    <w:p w14:paraId="4447CFC8" w14:textId="4DCE0184" w:rsidR="003000F3" w:rsidRDefault="003000F3" w:rsidP="003000F3">
      <w:pPr>
        <w:spacing w:line="360" w:lineRule="auto"/>
        <w:ind w:left="720" w:hanging="720"/>
        <w:jc w:val="both"/>
        <w:rPr>
          <w:rFonts w:ascii="Arial" w:hAnsi="Arial" w:cs="Arial"/>
          <w:color w:val="000000"/>
          <w:sz w:val="28"/>
          <w:szCs w:val="28"/>
        </w:rPr>
      </w:pPr>
      <w:r>
        <w:rPr>
          <w:rFonts w:ascii="Arial" w:hAnsi="Arial" w:cs="Arial"/>
          <w:color w:val="000000"/>
          <w:sz w:val="28"/>
          <w:szCs w:val="28"/>
        </w:rPr>
        <w:t>[13]</w:t>
      </w:r>
      <w:r>
        <w:rPr>
          <w:rFonts w:ascii="Arial" w:hAnsi="Arial" w:cs="Arial"/>
          <w:color w:val="000000"/>
          <w:sz w:val="28"/>
          <w:szCs w:val="28"/>
        </w:rPr>
        <w:tab/>
        <w:t xml:space="preserve">The defendants have not indicated how the </w:t>
      </w:r>
      <w:proofErr w:type="spellStart"/>
      <w:r>
        <w:rPr>
          <w:rFonts w:ascii="Arial" w:hAnsi="Arial" w:cs="Arial"/>
          <w:color w:val="000000"/>
          <w:sz w:val="28"/>
          <w:szCs w:val="28"/>
        </w:rPr>
        <w:t>the</w:t>
      </w:r>
      <w:proofErr w:type="spellEnd"/>
      <w:r>
        <w:rPr>
          <w:rFonts w:ascii="Arial" w:hAnsi="Arial" w:cs="Arial"/>
          <w:color w:val="000000"/>
          <w:sz w:val="28"/>
          <w:szCs w:val="28"/>
        </w:rPr>
        <w:t xml:space="preserve"> </w:t>
      </w:r>
      <w:proofErr w:type="spellStart"/>
      <w:r>
        <w:rPr>
          <w:rFonts w:ascii="Arial" w:hAnsi="Arial" w:cs="Arial"/>
          <w:color w:val="000000"/>
          <w:sz w:val="28"/>
          <w:szCs w:val="28"/>
        </w:rPr>
        <w:t>defence</w:t>
      </w:r>
      <w:proofErr w:type="spellEnd"/>
      <w:r>
        <w:rPr>
          <w:rFonts w:ascii="Arial" w:hAnsi="Arial" w:cs="Arial"/>
          <w:color w:val="000000"/>
          <w:sz w:val="28"/>
          <w:szCs w:val="28"/>
        </w:rPr>
        <w:t xml:space="preserve"> they raised does not allow them to show a balance of success in their </w:t>
      </w:r>
      <w:proofErr w:type="spellStart"/>
      <w:r>
        <w:rPr>
          <w:rFonts w:ascii="Arial" w:hAnsi="Arial" w:cs="Arial"/>
          <w:color w:val="000000"/>
          <w:sz w:val="28"/>
          <w:szCs w:val="28"/>
        </w:rPr>
        <w:t>favour</w:t>
      </w:r>
      <w:proofErr w:type="spellEnd"/>
      <w:r>
        <w:rPr>
          <w:rFonts w:ascii="Arial" w:hAnsi="Arial" w:cs="Arial"/>
          <w:color w:val="000000"/>
          <w:sz w:val="28"/>
          <w:szCs w:val="28"/>
        </w:rPr>
        <w:t xml:space="preserve">, without the benefit of oral evidence. The so-called dispute they have raised is contrived and does not appear to be </w:t>
      </w:r>
      <w:r w:rsidRPr="00537040">
        <w:rPr>
          <w:rFonts w:ascii="Arial" w:hAnsi="Arial" w:cs="Arial"/>
          <w:i/>
          <w:iCs/>
          <w:color w:val="000000"/>
          <w:sz w:val="28"/>
          <w:szCs w:val="28"/>
        </w:rPr>
        <w:t>bona fide</w:t>
      </w:r>
      <w:r>
        <w:rPr>
          <w:rFonts w:ascii="Arial" w:hAnsi="Arial" w:cs="Arial"/>
          <w:color w:val="000000"/>
          <w:sz w:val="28"/>
          <w:szCs w:val="28"/>
        </w:rPr>
        <w:t xml:space="preserve">. In any event, as pointed out in Twee </w:t>
      </w:r>
      <w:proofErr w:type="spellStart"/>
      <w:r>
        <w:rPr>
          <w:rFonts w:ascii="Arial" w:hAnsi="Arial" w:cs="Arial"/>
          <w:color w:val="000000"/>
          <w:sz w:val="28"/>
          <w:szCs w:val="28"/>
        </w:rPr>
        <w:t>Jonge</w:t>
      </w:r>
      <w:proofErr w:type="spellEnd"/>
      <w:r>
        <w:rPr>
          <w:rFonts w:ascii="Arial" w:hAnsi="Arial" w:cs="Arial"/>
          <w:color w:val="000000"/>
          <w:sz w:val="28"/>
          <w:szCs w:val="28"/>
        </w:rPr>
        <w:t xml:space="preserve"> </w:t>
      </w:r>
      <w:proofErr w:type="spellStart"/>
      <w:r>
        <w:rPr>
          <w:rFonts w:ascii="Arial" w:hAnsi="Arial" w:cs="Arial"/>
          <w:color w:val="000000"/>
          <w:sz w:val="28"/>
          <w:szCs w:val="28"/>
        </w:rPr>
        <w:t>Gezellen</w:t>
      </w:r>
      <w:proofErr w:type="spellEnd"/>
      <w:r>
        <w:rPr>
          <w:rFonts w:ascii="Arial" w:hAnsi="Arial" w:cs="Arial"/>
          <w:color w:val="000000"/>
          <w:sz w:val="28"/>
          <w:szCs w:val="28"/>
        </w:rPr>
        <w:t xml:space="preserve">, this court does not have inherent jurisdiction to hear oral evidence on any issue except a dispute as to the authenticity of the defendant’s signature on the AOD. It does not assist the defendants to put up a “bare-bones” type of </w:t>
      </w:r>
      <w:proofErr w:type="spellStart"/>
      <w:r>
        <w:rPr>
          <w:rFonts w:ascii="Arial" w:hAnsi="Arial" w:cs="Arial"/>
          <w:color w:val="000000"/>
          <w:sz w:val="28"/>
          <w:szCs w:val="28"/>
        </w:rPr>
        <w:t>defence</w:t>
      </w:r>
      <w:proofErr w:type="spellEnd"/>
      <w:r>
        <w:rPr>
          <w:rFonts w:ascii="Arial" w:hAnsi="Arial" w:cs="Arial"/>
          <w:color w:val="000000"/>
          <w:sz w:val="28"/>
          <w:szCs w:val="28"/>
        </w:rPr>
        <w:t xml:space="preserve"> and expect this court to come to their assistance, where it seems very probable that they have deliberately withheld important documentation from this court, which would not support their version.</w:t>
      </w:r>
    </w:p>
    <w:p w14:paraId="731CFC8B" w14:textId="3A11474C" w:rsidR="003000F3" w:rsidRDefault="003000F3" w:rsidP="003000F3">
      <w:pPr>
        <w:spacing w:line="360" w:lineRule="auto"/>
        <w:ind w:left="720" w:hanging="720"/>
        <w:jc w:val="both"/>
        <w:rPr>
          <w:rFonts w:ascii="Arial" w:hAnsi="Arial" w:cs="Arial"/>
          <w:color w:val="000000"/>
          <w:sz w:val="28"/>
          <w:szCs w:val="28"/>
        </w:rPr>
      </w:pPr>
    </w:p>
    <w:p w14:paraId="43E9108A" w14:textId="4235B111" w:rsidR="003000F3" w:rsidRPr="00E611C4" w:rsidRDefault="003000F3" w:rsidP="003000F3">
      <w:pPr>
        <w:spacing w:line="360" w:lineRule="auto"/>
        <w:ind w:left="720" w:hanging="720"/>
        <w:jc w:val="both"/>
        <w:rPr>
          <w:rFonts w:ascii="Arial" w:hAnsi="Arial" w:cs="Arial"/>
          <w:color w:val="000000"/>
          <w:sz w:val="28"/>
          <w:szCs w:val="28"/>
        </w:rPr>
      </w:pPr>
      <w:r>
        <w:rPr>
          <w:rFonts w:ascii="Arial" w:hAnsi="Arial" w:cs="Arial"/>
          <w:color w:val="000000"/>
          <w:sz w:val="28"/>
          <w:szCs w:val="28"/>
        </w:rPr>
        <w:t xml:space="preserve">[14] </w:t>
      </w:r>
      <w:r w:rsidR="008B7880">
        <w:rPr>
          <w:rFonts w:ascii="Arial" w:hAnsi="Arial" w:cs="Arial"/>
          <w:color w:val="000000"/>
          <w:sz w:val="28"/>
          <w:szCs w:val="28"/>
        </w:rPr>
        <w:tab/>
      </w:r>
      <w:r>
        <w:rPr>
          <w:rFonts w:ascii="Arial" w:hAnsi="Arial" w:cs="Arial"/>
          <w:color w:val="000000"/>
          <w:sz w:val="28"/>
          <w:szCs w:val="28"/>
        </w:rPr>
        <w:t>I am not satisfied that the defendants have discharged the</w:t>
      </w:r>
      <w:r w:rsidR="008B7880">
        <w:rPr>
          <w:rFonts w:ascii="Arial" w:hAnsi="Arial" w:cs="Arial"/>
          <w:color w:val="000000"/>
          <w:sz w:val="28"/>
          <w:szCs w:val="28"/>
        </w:rPr>
        <w:t xml:space="preserve"> </w:t>
      </w:r>
      <w:r>
        <w:rPr>
          <w:rFonts w:ascii="Arial" w:hAnsi="Arial" w:cs="Arial"/>
          <w:color w:val="000000"/>
          <w:sz w:val="28"/>
          <w:szCs w:val="28"/>
        </w:rPr>
        <w:t xml:space="preserve">onus on them to </w:t>
      </w:r>
      <w:r w:rsidR="008B7880">
        <w:rPr>
          <w:rFonts w:ascii="Arial" w:hAnsi="Arial" w:cs="Arial"/>
          <w:color w:val="000000"/>
          <w:sz w:val="28"/>
          <w:szCs w:val="28"/>
        </w:rPr>
        <w:t xml:space="preserve">show on a balance of probabilities that the plaintiff, Liberty, will not succeed in the main action. The second defendant, </w:t>
      </w:r>
      <w:proofErr w:type="spellStart"/>
      <w:r w:rsidR="008B7880">
        <w:rPr>
          <w:rFonts w:ascii="Arial" w:hAnsi="Arial" w:cs="Arial"/>
          <w:color w:val="000000"/>
          <w:sz w:val="28"/>
          <w:szCs w:val="28"/>
        </w:rPr>
        <w:t>Mr</w:t>
      </w:r>
      <w:proofErr w:type="spellEnd"/>
      <w:r w:rsidR="008B7880">
        <w:rPr>
          <w:rFonts w:ascii="Arial" w:hAnsi="Arial" w:cs="Arial"/>
          <w:color w:val="000000"/>
          <w:sz w:val="28"/>
          <w:szCs w:val="28"/>
        </w:rPr>
        <w:t xml:space="preserve"> Linda, has put forward no </w:t>
      </w:r>
      <w:proofErr w:type="spellStart"/>
      <w:r w:rsidR="008B7880">
        <w:rPr>
          <w:rFonts w:ascii="Arial" w:hAnsi="Arial" w:cs="Arial"/>
          <w:color w:val="000000"/>
          <w:sz w:val="28"/>
          <w:szCs w:val="28"/>
        </w:rPr>
        <w:t>defence</w:t>
      </w:r>
      <w:proofErr w:type="spellEnd"/>
      <w:r w:rsidR="008B7880">
        <w:rPr>
          <w:rFonts w:ascii="Arial" w:hAnsi="Arial" w:cs="Arial"/>
          <w:color w:val="000000"/>
          <w:sz w:val="28"/>
          <w:szCs w:val="28"/>
        </w:rPr>
        <w:t xml:space="preserve"> at all, other than to stand by CFS’s assertion that the debt was paid in full. In this regard, the dicta of the court in Twee </w:t>
      </w:r>
      <w:proofErr w:type="spellStart"/>
      <w:r w:rsidR="008B7880">
        <w:rPr>
          <w:rFonts w:ascii="Arial" w:hAnsi="Arial" w:cs="Arial"/>
          <w:color w:val="000000"/>
          <w:sz w:val="28"/>
          <w:szCs w:val="28"/>
        </w:rPr>
        <w:t>Jonge</w:t>
      </w:r>
      <w:proofErr w:type="spellEnd"/>
      <w:r w:rsidR="008B7880">
        <w:rPr>
          <w:rFonts w:ascii="Arial" w:hAnsi="Arial" w:cs="Arial"/>
          <w:color w:val="000000"/>
          <w:sz w:val="28"/>
          <w:szCs w:val="28"/>
        </w:rPr>
        <w:t xml:space="preserve"> </w:t>
      </w:r>
      <w:proofErr w:type="spellStart"/>
      <w:r w:rsidR="008B7880">
        <w:rPr>
          <w:rFonts w:ascii="Arial" w:hAnsi="Arial" w:cs="Arial"/>
          <w:color w:val="000000"/>
          <w:sz w:val="28"/>
          <w:szCs w:val="28"/>
        </w:rPr>
        <w:t>Gezellen</w:t>
      </w:r>
      <w:proofErr w:type="spellEnd"/>
      <w:r w:rsidR="008B7880">
        <w:rPr>
          <w:rFonts w:ascii="Arial" w:hAnsi="Arial" w:cs="Arial"/>
          <w:color w:val="000000"/>
          <w:sz w:val="28"/>
          <w:szCs w:val="28"/>
        </w:rPr>
        <w:t xml:space="preserve"> do not assist them</w:t>
      </w:r>
      <w:r w:rsidR="00537040">
        <w:rPr>
          <w:rFonts w:ascii="Arial" w:hAnsi="Arial" w:cs="Arial"/>
          <w:color w:val="000000"/>
          <w:sz w:val="28"/>
          <w:szCs w:val="28"/>
        </w:rPr>
        <w:t xml:space="preserve">. The defendants in </w:t>
      </w:r>
      <w:r w:rsidR="008B7880">
        <w:rPr>
          <w:rFonts w:ascii="Arial" w:hAnsi="Arial" w:cs="Arial"/>
          <w:color w:val="000000"/>
          <w:sz w:val="28"/>
          <w:szCs w:val="28"/>
        </w:rPr>
        <w:t xml:space="preserve">this case </w:t>
      </w:r>
      <w:r w:rsidR="00537040">
        <w:rPr>
          <w:rFonts w:ascii="Arial" w:hAnsi="Arial" w:cs="Arial"/>
          <w:color w:val="000000"/>
          <w:sz w:val="28"/>
          <w:szCs w:val="28"/>
        </w:rPr>
        <w:t xml:space="preserve">have not met the requirements set out in </w:t>
      </w:r>
      <w:r w:rsidR="008B7880">
        <w:rPr>
          <w:rFonts w:ascii="Arial" w:hAnsi="Arial" w:cs="Arial"/>
          <w:color w:val="000000"/>
          <w:sz w:val="28"/>
          <w:szCs w:val="28"/>
        </w:rPr>
        <w:t xml:space="preserve">the Twee </w:t>
      </w:r>
      <w:proofErr w:type="spellStart"/>
      <w:r w:rsidR="008B7880">
        <w:rPr>
          <w:rFonts w:ascii="Arial" w:hAnsi="Arial" w:cs="Arial"/>
          <w:color w:val="000000"/>
          <w:sz w:val="28"/>
          <w:szCs w:val="28"/>
        </w:rPr>
        <w:t>Jonge</w:t>
      </w:r>
      <w:proofErr w:type="spellEnd"/>
      <w:r w:rsidR="008B7880">
        <w:rPr>
          <w:rFonts w:ascii="Arial" w:hAnsi="Arial" w:cs="Arial"/>
          <w:color w:val="000000"/>
          <w:sz w:val="28"/>
          <w:szCs w:val="28"/>
        </w:rPr>
        <w:t xml:space="preserve"> </w:t>
      </w:r>
      <w:proofErr w:type="spellStart"/>
      <w:r w:rsidR="008B7880">
        <w:rPr>
          <w:rFonts w:ascii="Arial" w:hAnsi="Arial" w:cs="Arial"/>
          <w:color w:val="000000"/>
          <w:sz w:val="28"/>
          <w:szCs w:val="28"/>
        </w:rPr>
        <w:t>Gezellen</w:t>
      </w:r>
      <w:proofErr w:type="spellEnd"/>
      <w:r w:rsidR="008B7880">
        <w:rPr>
          <w:rFonts w:ascii="Arial" w:hAnsi="Arial" w:cs="Arial"/>
          <w:color w:val="000000"/>
          <w:sz w:val="28"/>
          <w:szCs w:val="28"/>
        </w:rPr>
        <w:t xml:space="preserve"> case</w:t>
      </w:r>
      <w:r w:rsidR="00537040">
        <w:rPr>
          <w:rFonts w:ascii="Arial" w:hAnsi="Arial" w:cs="Arial"/>
          <w:color w:val="000000"/>
          <w:sz w:val="28"/>
          <w:szCs w:val="28"/>
        </w:rPr>
        <w:t>, to enable them to escape Provisional Sentence.</w:t>
      </w:r>
    </w:p>
    <w:p w14:paraId="7D1DCE7E" w14:textId="37556213" w:rsidR="00FB2B1C" w:rsidRPr="00C74A5C" w:rsidRDefault="00FB2B1C" w:rsidP="00FB2B1C">
      <w:pPr>
        <w:spacing w:before="100" w:beforeAutospacing="1" w:after="100" w:afterAutospacing="1" w:line="360" w:lineRule="auto"/>
        <w:ind w:left="720" w:hanging="720"/>
        <w:jc w:val="both"/>
        <w:rPr>
          <w:rFonts w:ascii="Arial" w:hAnsi="Arial" w:cs="Arial"/>
          <w:color w:val="000000"/>
          <w:sz w:val="28"/>
          <w:szCs w:val="28"/>
        </w:rPr>
      </w:pPr>
    </w:p>
    <w:p w14:paraId="20475CA8" w14:textId="77777777" w:rsidR="00C74A5C" w:rsidRDefault="00C74A5C" w:rsidP="00C74A5C">
      <w:pPr>
        <w:spacing w:before="100" w:beforeAutospacing="1" w:after="100" w:afterAutospacing="1" w:line="360" w:lineRule="auto"/>
        <w:ind w:left="720"/>
        <w:jc w:val="both"/>
        <w:rPr>
          <w:rFonts w:ascii="Arial" w:hAnsi="Arial" w:cs="Arial"/>
          <w:color w:val="000000"/>
          <w:sz w:val="24"/>
          <w:szCs w:val="24"/>
        </w:rPr>
      </w:pPr>
    </w:p>
    <w:p w14:paraId="51DC7D3E" w14:textId="77777777" w:rsidR="00C74A5C" w:rsidRPr="00C74A5C" w:rsidRDefault="00C74A5C" w:rsidP="00C74A5C">
      <w:pPr>
        <w:spacing w:before="100" w:beforeAutospacing="1" w:after="100" w:afterAutospacing="1" w:line="360" w:lineRule="auto"/>
        <w:ind w:left="720"/>
        <w:jc w:val="both"/>
        <w:rPr>
          <w:rFonts w:ascii="Arial" w:hAnsi="Arial" w:cs="Arial"/>
          <w:color w:val="000000"/>
          <w:sz w:val="24"/>
          <w:szCs w:val="24"/>
        </w:rPr>
      </w:pPr>
    </w:p>
    <w:p w14:paraId="61B24B1D" w14:textId="43E1405E" w:rsidR="003E484E" w:rsidRDefault="001A1BE5" w:rsidP="00D17656">
      <w:pPr>
        <w:spacing w:line="360" w:lineRule="auto"/>
        <w:ind w:left="720" w:hanging="720"/>
        <w:jc w:val="both"/>
        <w:rPr>
          <w:rFonts w:ascii="Arial" w:hAnsi="Arial" w:cs="Arial"/>
          <w:sz w:val="28"/>
          <w:szCs w:val="28"/>
        </w:rPr>
      </w:pPr>
      <w:r>
        <w:rPr>
          <w:rFonts w:ascii="Arial" w:hAnsi="Arial" w:cs="Arial"/>
          <w:sz w:val="28"/>
          <w:szCs w:val="28"/>
        </w:rPr>
        <w:lastRenderedPageBreak/>
        <w:t>[</w:t>
      </w:r>
      <w:r w:rsidR="008B7880">
        <w:rPr>
          <w:rFonts w:ascii="Arial" w:hAnsi="Arial" w:cs="Arial"/>
          <w:sz w:val="28"/>
          <w:szCs w:val="28"/>
        </w:rPr>
        <w:t>15</w:t>
      </w:r>
      <w:r>
        <w:rPr>
          <w:rFonts w:ascii="Arial" w:hAnsi="Arial" w:cs="Arial"/>
          <w:sz w:val="28"/>
          <w:szCs w:val="28"/>
        </w:rPr>
        <w:t>]</w:t>
      </w:r>
      <w:r w:rsidR="003E484E">
        <w:rPr>
          <w:rFonts w:ascii="Arial" w:hAnsi="Arial" w:cs="Arial"/>
          <w:sz w:val="28"/>
          <w:szCs w:val="28"/>
        </w:rPr>
        <w:tab/>
        <w:t>In the circumstances the following order is made</w:t>
      </w:r>
      <w:r w:rsidR="000166C0">
        <w:rPr>
          <w:rFonts w:ascii="Arial" w:hAnsi="Arial" w:cs="Arial"/>
          <w:sz w:val="28"/>
          <w:szCs w:val="28"/>
        </w:rPr>
        <w:t xml:space="preserve"> against the first and second defendants jointly and severally, the one paying the other to be absolved</w:t>
      </w:r>
      <w:r w:rsidR="008B7880">
        <w:rPr>
          <w:rFonts w:ascii="Arial" w:hAnsi="Arial" w:cs="Arial"/>
          <w:sz w:val="28"/>
          <w:szCs w:val="28"/>
        </w:rPr>
        <w:t>:</w:t>
      </w:r>
    </w:p>
    <w:p w14:paraId="7CEBF5A7" w14:textId="033BFFC8" w:rsidR="008B7880" w:rsidRDefault="008B7880" w:rsidP="00D17656">
      <w:pPr>
        <w:spacing w:line="360" w:lineRule="auto"/>
        <w:ind w:left="720" w:hanging="720"/>
        <w:jc w:val="both"/>
        <w:rPr>
          <w:rFonts w:ascii="Arial" w:hAnsi="Arial" w:cs="Arial"/>
          <w:sz w:val="28"/>
          <w:szCs w:val="28"/>
        </w:rPr>
      </w:pPr>
    </w:p>
    <w:p w14:paraId="338CF1F5" w14:textId="412B18D3" w:rsidR="00D76C2F" w:rsidRDefault="008B7880" w:rsidP="000166C0">
      <w:pPr>
        <w:spacing w:line="360" w:lineRule="auto"/>
        <w:ind w:left="720" w:hanging="720"/>
        <w:jc w:val="both"/>
        <w:rPr>
          <w:rFonts w:ascii="Arial" w:hAnsi="Arial" w:cs="Arial"/>
          <w:sz w:val="28"/>
          <w:szCs w:val="28"/>
        </w:rPr>
      </w:pPr>
      <w:r>
        <w:rPr>
          <w:rFonts w:ascii="Arial" w:hAnsi="Arial" w:cs="Arial"/>
          <w:sz w:val="28"/>
          <w:szCs w:val="28"/>
        </w:rPr>
        <w:t>15.1</w:t>
      </w:r>
      <w:r>
        <w:rPr>
          <w:rFonts w:ascii="Arial" w:hAnsi="Arial" w:cs="Arial"/>
          <w:sz w:val="28"/>
          <w:szCs w:val="28"/>
        </w:rPr>
        <w:tab/>
        <w:t>Provisional Sentence is granted against the first and second defendants</w:t>
      </w:r>
      <w:r w:rsidR="000166C0">
        <w:rPr>
          <w:rFonts w:ascii="Arial" w:hAnsi="Arial" w:cs="Arial"/>
          <w:sz w:val="28"/>
          <w:szCs w:val="28"/>
        </w:rPr>
        <w:t xml:space="preserve"> in the amount of One Million Seven Hundred and Ninety Three Thousand Nine Hundred and Seventy Two Rand and Ninety Eight Cents (R1 793 972.98);</w:t>
      </w:r>
    </w:p>
    <w:p w14:paraId="2D6421CF" w14:textId="77777777" w:rsidR="00D76C2F" w:rsidRDefault="00D76C2F" w:rsidP="000166C0">
      <w:pPr>
        <w:spacing w:line="360" w:lineRule="auto"/>
        <w:ind w:left="720" w:hanging="720"/>
        <w:jc w:val="both"/>
        <w:rPr>
          <w:rFonts w:ascii="Arial" w:hAnsi="Arial" w:cs="Arial"/>
          <w:sz w:val="28"/>
          <w:szCs w:val="28"/>
        </w:rPr>
      </w:pPr>
    </w:p>
    <w:p w14:paraId="7271EDE1" w14:textId="7571BCCA" w:rsidR="000166C0" w:rsidRDefault="000166C0" w:rsidP="000166C0">
      <w:pPr>
        <w:spacing w:line="360" w:lineRule="auto"/>
        <w:ind w:left="720" w:hanging="720"/>
        <w:jc w:val="both"/>
        <w:rPr>
          <w:rFonts w:ascii="Arial" w:hAnsi="Arial" w:cs="Arial"/>
          <w:sz w:val="28"/>
          <w:szCs w:val="28"/>
        </w:rPr>
      </w:pPr>
      <w:r>
        <w:rPr>
          <w:rFonts w:ascii="Arial" w:hAnsi="Arial" w:cs="Arial"/>
          <w:sz w:val="28"/>
          <w:szCs w:val="28"/>
        </w:rPr>
        <w:t>15.2</w:t>
      </w:r>
      <w:r>
        <w:rPr>
          <w:rFonts w:ascii="Arial" w:hAnsi="Arial" w:cs="Arial"/>
          <w:sz w:val="28"/>
          <w:szCs w:val="28"/>
        </w:rPr>
        <w:tab/>
        <w:t>The first and second defendants are ordered to pay interest on the aforesaid amount at the rate of 7% per annum, and</w:t>
      </w:r>
    </w:p>
    <w:p w14:paraId="2764933C" w14:textId="77777777" w:rsidR="00D76C2F" w:rsidRDefault="00D76C2F" w:rsidP="000166C0">
      <w:pPr>
        <w:spacing w:line="360" w:lineRule="auto"/>
        <w:ind w:left="720" w:hanging="720"/>
        <w:jc w:val="both"/>
        <w:rPr>
          <w:rFonts w:ascii="Arial" w:hAnsi="Arial" w:cs="Arial"/>
          <w:sz w:val="28"/>
          <w:szCs w:val="28"/>
        </w:rPr>
      </w:pPr>
    </w:p>
    <w:p w14:paraId="2AD8D240" w14:textId="12C1239E" w:rsidR="000166C0" w:rsidRDefault="000166C0" w:rsidP="000166C0">
      <w:pPr>
        <w:spacing w:line="360" w:lineRule="auto"/>
        <w:ind w:left="720" w:hanging="720"/>
        <w:jc w:val="both"/>
        <w:rPr>
          <w:rFonts w:ascii="Arial" w:hAnsi="Arial" w:cs="Arial"/>
          <w:sz w:val="28"/>
          <w:szCs w:val="28"/>
        </w:rPr>
      </w:pPr>
      <w:r>
        <w:rPr>
          <w:rFonts w:ascii="Arial" w:hAnsi="Arial" w:cs="Arial"/>
          <w:sz w:val="28"/>
          <w:szCs w:val="28"/>
        </w:rPr>
        <w:t>15.3</w:t>
      </w:r>
      <w:r>
        <w:rPr>
          <w:rFonts w:ascii="Arial" w:hAnsi="Arial" w:cs="Arial"/>
          <w:sz w:val="28"/>
          <w:szCs w:val="28"/>
        </w:rPr>
        <w:tab/>
        <w:t>The first and second defendant</w:t>
      </w:r>
      <w:r w:rsidR="00A44B40">
        <w:rPr>
          <w:rFonts w:ascii="Arial" w:hAnsi="Arial" w:cs="Arial"/>
          <w:sz w:val="28"/>
          <w:szCs w:val="28"/>
        </w:rPr>
        <w:t>s</w:t>
      </w:r>
      <w:r>
        <w:rPr>
          <w:rFonts w:ascii="Arial" w:hAnsi="Arial" w:cs="Arial"/>
          <w:sz w:val="28"/>
          <w:szCs w:val="28"/>
        </w:rPr>
        <w:t xml:space="preserve"> are ordered to pay the plaintiff’s costs of the action</w:t>
      </w:r>
    </w:p>
    <w:p w14:paraId="1D3E3CA8" w14:textId="253FDF3D" w:rsidR="00363CE6" w:rsidRDefault="003E484E" w:rsidP="00D17656">
      <w:pPr>
        <w:spacing w:line="360" w:lineRule="auto"/>
        <w:ind w:left="720" w:hanging="720"/>
        <w:jc w:val="both"/>
        <w:rPr>
          <w:rFonts w:ascii="Arial" w:hAnsi="Arial" w:cs="Arial"/>
          <w:sz w:val="28"/>
          <w:szCs w:val="28"/>
        </w:rPr>
      </w:pPr>
      <w:r>
        <w:rPr>
          <w:rFonts w:ascii="Arial" w:hAnsi="Arial" w:cs="Arial"/>
          <w:sz w:val="28"/>
          <w:szCs w:val="28"/>
        </w:rPr>
        <w:tab/>
      </w:r>
    </w:p>
    <w:p w14:paraId="6FA0621D" w14:textId="76E0EACB" w:rsidR="003E484E" w:rsidRDefault="003E484E" w:rsidP="00D17656">
      <w:pPr>
        <w:spacing w:line="360" w:lineRule="auto"/>
        <w:ind w:left="720" w:hanging="720"/>
        <w:jc w:val="both"/>
        <w:rPr>
          <w:rFonts w:ascii="Arial" w:hAnsi="Arial" w:cs="Arial"/>
          <w:sz w:val="28"/>
          <w:szCs w:val="28"/>
        </w:rPr>
      </w:pPr>
    </w:p>
    <w:p w14:paraId="2D9C730C" w14:textId="65F64C3A" w:rsidR="003E484E" w:rsidRDefault="003E484E" w:rsidP="00D17656">
      <w:pPr>
        <w:spacing w:line="360" w:lineRule="auto"/>
        <w:ind w:left="720" w:hanging="720"/>
        <w:jc w:val="both"/>
        <w:rPr>
          <w:rFonts w:ascii="Arial" w:hAnsi="Arial" w:cs="Arial"/>
          <w:sz w:val="28"/>
          <w:szCs w:val="28"/>
        </w:rPr>
      </w:pPr>
    </w:p>
    <w:p w14:paraId="76978262" w14:textId="77777777" w:rsidR="003E484E" w:rsidRDefault="003E484E" w:rsidP="00D17656">
      <w:pPr>
        <w:spacing w:line="360" w:lineRule="auto"/>
        <w:ind w:left="720" w:hanging="720"/>
        <w:jc w:val="both"/>
        <w:rPr>
          <w:rFonts w:ascii="Arial" w:hAnsi="Arial" w:cs="Arial"/>
          <w:sz w:val="28"/>
          <w:szCs w:val="28"/>
        </w:rPr>
      </w:pPr>
    </w:p>
    <w:p w14:paraId="76323ED2" w14:textId="77777777" w:rsidR="00C13E86" w:rsidRDefault="00C13E86" w:rsidP="00D17656">
      <w:pPr>
        <w:spacing w:line="360" w:lineRule="auto"/>
        <w:ind w:left="720" w:hanging="720"/>
        <w:jc w:val="both"/>
        <w:rPr>
          <w:rFonts w:ascii="Arial" w:hAnsi="Arial" w:cs="Arial"/>
          <w:sz w:val="28"/>
          <w:szCs w:val="28"/>
        </w:rPr>
      </w:pPr>
    </w:p>
    <w:p w14:paraId="557185E7" w14:textId="77777777" w:rsidR="005D07EF" w:rsidRDefault="005D07EF"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_______________________</w:t>
      </w:r>
    </w:p>
    <w:p w14:paraId="7F2AE022" w14:textId="77777777" w:rsidR="005D07EF" w:rsidRPr="005D07EF" w:rsidRDefault="005D07EF" w:rsidP="005D07EF">
      <w:pPr>
        <w:spacing w:line="360" w:lineRule="auto"/>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5D07EF">
        <w:rPr>
          <w:rFonts w:ascii="Arial" w:hAnsi="Arial" w:cs="Arial"/>
          <w:b/>
          <w:sz w:val="28"/>
          <w:szCs w:val="28"/>
        </w:rPr>
        <w:t>S NAIDOO J</w:t>
      </w:r>
    </w:p>
    <w:p w14:paraId="2AE563CD" w14:textId="77777777" w:rsidR="00291CE5" w:rsidRDefault="00291CE5" w:rsidP="005D07EF">
      <w:pPr>
        <w:spacing w:line="360" w:lineRule="auto"/>
        <w:ind w:left="720" w:hanging="720"/>
        <w:rPr>
          <w:rFonts w:ascii="Arial" w:hAnsi="Arial" w:cs="Arial"/>
          <w:sz w:val="28"/>
          <w:szCs w:val="28"/>
        </w:rPr>
      </w:pPr>
    </w:p>
    <w:p w14:paraId="3D32753B" w14:textId="45FA7EF3" w:rsidR="00291CE5" w:rsidRDefault="00291CE5" w:rsidP="005D07EF">
      <w:pPr>
        <w:spacing w:line="360" w:lineRule="auto"/>
        <w:ind w:left="720" w:hanging="720"/>
        <w:rPr>
          <w:rFonts w:ascii="Arial" w:hAnsi="Arial" w:cs="Arial"/>
          <w:sz w:val="28"/>
          <w:szCs w:val="28"/>
        </w:rPr>
      </w:pPr>
    </w:p>
    <w:p w14:paraId="4C1B634C" w14:textId="0737E74B" w:rsidR="00D250F1" w:rsidRDefault="00D250F1" w:rsidP="000166C0">
      <w:pPr>
        <w:spacing w:line="360" w:lineRule="auto"/>
        <w:rPr>
          <w:rFonts w:ascii="Arial" w:hAnsi="Arial" w:cs="Arial"/>
          <w:sz w:val="28"/>
          <w:szCs w:val="28"/>
        </w:rPr>
      </w:pPr>
    </w:p>
    <w:p w14:paraId="06B0D342" w14:textId="77777777" w:rsidR="003E484E" w:rsidRDefault="003E484E" w:rsidP="005D07EF">
      <w:pPr>
        <w:spacing w:line="360" w:lineRule="auto"/>
        <w:ind w:left="720" w:hanging="720"/>
        <w:rPr>
          <w:rFonts w:ascii="Arial" w:hAnsi="Arial" w:cs="Arial"/>
          <w:sz w:val="28"/>
          <w:szCs w:val="28"/>
        </w:rPr>
      </w:pPr>
    </w:p>
    <w:p w14:paraId="53C83665" w14:textId="50EACF7C" w:rsidR="005D07EF" w:rsidRDefault="005D07EF" w:rsidP="005D07EF">
      <w:pPr>
        <w:spacing w:line="360" w:lineRule="auto"/>
        <w:ind w:left="720" w:hanging="720"/>
        <w:rPr>
          <w:rFonts w:ascii="Arial" w:hAnsi="Arial" w:cs="Arial"/>
          <w:sz w:val="28"/>
          <w:szCs w:val="28"/>
        </w:rPr>
      </w:pPr>
      <w:r>
        <w:rPr>
          <w:rFonts w:ascii="Arial" w:hAnsi="Arial" w:cs="Arial"/>
          <w:sz w:val="28"/>
          <w:szCs w:val="28"/>
        </w:rPr>
        <w:t>On behalf of the Applicant</w:t>
      </w:r>
      <w:r w:rsidR="00F47BAE">
        <w:rPr>
          <w:rFonts w:ascii="Arial" w:hAnsi="Arial" w:cs="Arial"/>
          <w:sz w:val="28"/>
          <w:szCs w:val="28"/>
        </w:rPr>
        <w:t>s</w:t>
      </w:r>
      <w:r>
        <w:rPr>
          <w:rFonts w:ascii="Arial" w:hAnsi="Arial" w:cs="Arial"/>
          <w:sz w:val="28"/>
          <w:szCs w:val="28"/>
        </w:rPr>
        <w:t>:</w:t>
      </w:r>
      <w:r>
        <w:rPr>
          <w:rFonts w:ascii="Arial" w:hAnsi="Arial" w:cs="Arial"/>
          <w:sz w:val="28"/>
          <w:szCs w:val="28"/>
        </w:rPr>
        <w:tab/>
      </w:r>
      <w:r>
        <w:rPr>
          <w:rFonts w:ascii="Arial" w:hAnsi="Arial" w:cs="Arial"/>
          <w:sz w:val="28"/>
          <w:szCs w:val="28"/>
        </w:rPr>
        <w:tab/>
        <w:t>Adv</w:t>
      </w:r>
      <w:r w:rsidR="00DE4A69">
        <w:rPr>
          <w:rFonts w:ascii="Arial" w:hAnsi="Arial" w:cs="Arial"/>
          <w:sz w:val="28"/>
          <w:szCs w:val="28"/>
        </w:rPr>
        <w:t xml:space="preserve"> </w:t>
      </w:r>
      <w:r w:rsidR="00D813DB">
        <w:rPr>
          <w:rFonts w:ascii="Arial" w:hAnsi="Arial" w:cs="Arial"/>
          <w:sz w:val="28"/>
          <w:szCs w:val="28"/>
        </w:rPr>
        <w:t>LCM Morland</w:t>
      </w:r>
    </w:p>
    <w:p w14:paraId="42DB91FD" w14:textId="705737DA" w:rsidR="005D07EF" w:rsidRDefault="005D07EF" w:rsidP="005D07EF">
      <w:pPr>
        <w:spacing w:line="360" w:lineRule="auto"/>
        <w:ind w:left="720" w:hanging="720"/>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sidR="00D813DB">
        <w:rPr>
          <w:rFonts w:ascii="Arial" w:hAnsi="Arial" w:cs="Arial"/>
          <w:sz w:val="28"/>
          <w:szCs w:val="28"/>
        </w:rPr>
        <w:t>Gerings</w:t>
      </w:r>
      <w:proofErr w:type="spellEnd"/>
      <w:r w:rsidR="00D813DB">
        <w:rPr>
          <w:rFonts w:ascii="Arial" w:hAnsi="Arial" w:cs="Arial"/>
          <w:sz w:val="28"/>
          <w:szCs w:val="28"/>
        </w:rPr>
        <w:t xml:space="preserve"> </w:t>
      </w:r>
      <w:r w:rsidR="00886281">
        <w:rPr>
          <w:rFonts w:ascii="Arial" w:hAnsi="Arial" w:cs="Arial"/>
          <w:sz w:val="28"/>
          <w:szCs w:val="28"/>
        </w:rPr>
        <w:t xml:space="preserve">Attorneys </w:t>
      </w:r>
    </w:p>
    <w:p w14:paraId="5F30D695" w14:textId="6DE9ABA3" w:rsidR="00D813DB" w:rsidRDefault="00886281" w:rsidP="005D07EF">
      <w:pPr>
        <w:spacing w:line="360" w:lineRule="auto"/>
        <w:ind w:left="720" w:hanging="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813DB">
        <w:rPr>
          <w:rFonts w:ascii="Arial" w:hAnsi="Arial" w:cs="Arial"/>
          <w:sz w:val="28"/>
          <w:szCs w:val="28"/>
        </w:rPr>
        <w:t>Johannesburg</w:t>
      </w:r>
    </w:p>
    <w:p w14:paraId="162B81E7" w14:textId="4889556A" w:rsidR="00D813DB" w:rsidRDefault="00D813DB" w:rsidP="00D813DB">
      <w:pPr>
        <w:spacing w:line="360" w:lineRule="auto"/>
        <w:ind w:left="720" w:hanging="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c/o </w:t>
      </w:r>
      <w:proofErr w:type="spellStart"/>
      <w:r>
        <w:rPr>
          <w:rFonts w:ascii="Arial" w:hAnsi="Arial" w:cs="Arial"/>
          <w:sz w:val="28"/>
          <w:szCs w:val="28"/>
        </w:rPr>
        <w:t>Hendre</w:t>
      </w:r>
      <w:proofErr w:type="spellEnd"/>
      <w:r>
        <w:rPr>
          <w:rFonts w:ascii="Arial" w:hAnsi="Arial" w:cs="Arial"/>
          <w:sz w:val="28"/>
          <w:szCs w:val="28"/>
        </w:rPr>
        <w:t xml:space="preserve"> Conradie Inc</w:t>
      </w:r>
    </w:p>
    <w:p w14:paraId="579E8D76" w14:textId="4653CEA6" w:rsidR="00D813DB" w:rsidRDefault="00D813DB" w:rsidP="00D813DB">
      <w:pPr>
        <w:spacing w:line="360" w:lineRule="auto"/>
        <w:ind w:left="720" w:hanging="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(t/a </w:t>
      </w:r>
      <w:proofErr w:type="spellStart"/>
      <w:r>
        <w:rPr>
          <w:rFonts w:ascii="Arial" w:hAnsi="Arial" w:cs="Arial"/>
          <w:sz w:val="28"/>
          <w:szCs w:val="28"/>
        </w:rPr>
        <w:t>Roussouws</w:t>
      </w:r>
      <w:proofErr w:type="spellEnd"/>
      <w:r>
        <w:rPr>
          <w:rFonts w:ascii="Arial" w:hAnsi="Arial" w:cs="Arial"/>
          <w:sz w:val="28"/>
          <w:szCs w:val="28"/>
        </w:rPr>
        <w:t xml:space="preserve"> Attorneys)</w:t>
      </w:r>
    </w:p>
    <w:p w14:paraId="17FBEEDF" w14:textId="1A5191D1" w:rsidR="00886281" w:rsidRDefault="00D813DB" w:rsidP="00D813DB">
      <w:pPr>
        <w:spacing w:line="360" w:lineRule="auto"/>
        <w:ind w:left="3600" w:firstLine="720"/>
        <w:rPr>
          <w:rFonts w:ascii="Arial" w:hAnsi="Arial" w:cs="Arial"/>
          <w:sz w:val="28"/>
          <w:szCs w:val="28"/>
        </w:rPr>
      </w:pPr>
      <w:r>
        <w:rPr>
          <w:rFonts w:ascii="Arial" w:hAnsi="Arial" w:cs="Arial"/>
          <w:sz w:val="28"/>
          <w:szCs w:val="28"/>
        </w:rPr>
        <w:t>119 President Reitz Avenue</w:t>
      </w:r>
    </w:p>
    <w:p w14:paraId="4D74221E" w14:textId="1B804AE4" w:rsidR="005D07EF" w:rsidRDefault="005D07EF" w:rsidP="005D07EF">
      <w:pPr>
        <w:spacing w:line="360" w:lineRule="auto"/>
        <w:ind w:left="720" w:hanging="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813DB">
        <w:rPr>
          <w:rFonts w:ascii="Arial" w:hAnsi="Arial" w:cs="Arial"/>
          <w:sz w:val="28"/>
          <w:szCs w:val="28"/>
        </w:rPr>
        <w:t xml:space="preserve"> </w:t>
      </w:r>
      <w:proofErr w:type="spellStart"/>
      <w:r w:rsidR="00D813DB">
        <w:rPr>
          <w:rFonts w:ascii="Arial" w:hAnsi="Arial" w:cs="Arial"/>
          <w:sz w:val="28"/>
          <w:szCs w:val="28"/>
        </w:rPr>
        <w:t>Westdene</w:t>
      </w:r>
      <w:proofErr w:type="spellEnd"/>
    </w:p>
    <w:p w14:paraId="7B4DC936" w14:textId="77777777" w:rsidR="005D07EF" w:rsidRDefault="005D07EF" w:rsidP="005D07EF">
      <w:pPr>
        <w:spacing w:line="360" w:lineRule="auto"/>
        <w:rPr>
          <w:rFonts w:ascii="Arial" w:hAnsi="Arial" w:cs="Arial"/>
          <w:sz w:val="28"/>
          <w:szCs w:val="28"/>
        </w:rPr>
      </w:pPr>
      <w:r>
        <w:rPr>
          <w:rFonts w:ascii="Arial" w:hAnsi="Arial" w:cs="Arial"/>
          <w:sz w:val="28"/>
          <w:szCs w:val="28"/>
        </w:rPr>
        <w:t xml:space="preserve">                                                         Bloemfontein</w:t>
      </w:r>
    </w:p>
    <w:p w14:paraId="4952839E" w14:textId="27D26170" w:rsidR="005D07EF" w:rsidRDefault="005D07EF"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(Ref: </w:t>
      </w:r>
      <w:r w:rsidR="00D813DB">
        <w:rPr>
          <w:rFonts w:ascii="Arial" w:hAnsi="Arial" w:cs="Arial"/>
          <w:sz w:val="28"/>
          <w:szCs w:val="28"/>
        </w:rPr>
        <w:t>GER29</w:t>
      </w:r>
      <w:r w:rsidR="00886281">
        <w:rPr>
          <w:rFonts w:ascii="Arial" w:hAnsi="Arial" w:cs="Arial"/>
          <w:sz w:val="28"/>
          <w:szCs w:val="28"/>
        </w:rPr>
        <w:t>/</w:t>
      </w:r>
      <w:r w:rsidR="00D813DB">
        <w:rPr>
          <w:rFonts w:ascii="Arial" w:hAnsi="Arial" w:cs="Arial"/>
          <w:sz w:val="28"/>
          <w:szCs w:val="28"/>
        </w:rPr>
        <w:t>0049</w:t>
      </w:r>
      <w:r w:rsidR="00886281">
        <w:rPr>
          <w:rFonts w:ascii="Arial" w:hAnsi="Arial" w:cs="Arial"/>
          <w:sz w:val="28"/>
          <w:szCs w:val="28"/>
        </w:rPr>
        <w:t>)</w:t>
      </w:r>
    </w:p>
    <w:p w14:paraId="7D901DEF" w14:textId="07589BF4" w:rsidR="005D07EF" w:rsidRDefault="005D07EF" w:rsidP="005D07EF">
      <w:pPr>
        <w:spacing w:line="360" w:lineRule="auto"/>
        <w:rPr>
          <w:rFonts w:ascii="Arial" w:hAnsi="Arial" w:cs="Arial"/>
          <w:sz w:val="28"/>
          <w:szCs w:val="28"/>
        </w:rPr>
      </w:pPr>
    </w:p>
    <w:p w14:paraId="2B6A76B6" w14:textId="77777777" w:rsidR="00C25718" w:rsidRDefault="00C25718" w:rsidP="005D07EF">
      <w:pPr>
        <w:spacing w:line="360" w:lineRule="auto"/>
        <w:rPr>
          <w:rFonts w:ascii="Arial" w:hAnsi="Arial" w:cs="Arial"/>
          <w:sz w:val="28"/>
          <w:szCs w:val="28"/>
        </w:rPr>
      </w:pPr>
    </w:p>
    <w:p w14:paraId="1CD95C5A" w14:textId="623F5246" w:rsidR="005D07EF" w:rsidRDefault="005D07EF" w:rsidP="005D07EF">
      <w:pPr>
        <w:spacing w:line="360" w:lineRule="auto"/>
        <w:rPr>
          <w:rFonts w:ascii="Arial" w:hAnsi="Arial" w:cs="Arial"/>
          <w:sz w:val="28"/>
          <w:szCs w:val="28"/>
        </w:rPr>
      </w:pPr>
      <w:r>
        <w:rPr>
          <w:rFonts w:ascii="Arial" w:hAnsi="Arial" w:cs="Arial"/>
          <w:sz w:val="28"/>
          <w:szCs w:val="28"/>
        </w:rPr>
        <w:t>On behalf of the Respondent:</w:t>
      </w:r>
      <w:r>
        <w:rPr>
          <w:rFonts w:ascii="Arial" w:hAnsi="Arial" w:cs="Arial"/>
          <w:sz w:val="28"/>
          <w:szCs w:val="28"/>
        </w:rPr>
        <w:tab/>
        <w:t>Adv</w:t>
      </w:r>
      <w:r w:rsidR="00F47BAE">
        <w:rPr>
          <w:rFonts w:ascii="Arial" w:hAnsi="Arial" w:cs="Arial"/>
          <w:sz w:val="28"/>
          <w:szCs w:val="28"/>
        </w:rPr>
        <w:t xml:space="preserve"> </w:t>
      </w:r>
      <w:r w:rsidR="00D813DB">
        <w:rPr>
          <w:rFonts w:ascii="Arial" w:hAnsi="Arial" w:cs="Arial"/>
          <w:sz w:val="28"/>
          <w:szCs w:val="28"/>
        </w:rPr>
        <w:t xml:space="preserve">NM </w:t>
      </w:r>
      <w:proofErr w:type="spellStart"/>
      <w:r w:rsidR="00D813DB">
        <w:rPr>
          <w:rFonts w:ascii="Arial" w:hAnsi="Arial" w:cs="Arial"/>
          <w:sz w:val="28"/>
          <w:szCs w:val="28"/>
        </w:rPr>
        <w:t>Bahlekazi</w:t>
      </w:r>
      <w:proofErr w:type="spellEnd"/>
    </w:p>
    <w:p w14:paraId="59B8AC5B" w14:textId="4D60BF95" w:rsidR="00F47BAE" w:rsidRDefault="00F47BAE" w:rsidP="005D07EF">
      <w:pPr>
        <w:spacing w:line="360" w:lineRule="auto"/>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sidR="0063227E">
        <w:rPr>
          <w:rFonts w:ascii="Arial" w:hAnsi="Arial" w:cs="Arial"/>
          <w:sz w:val="28"/>
          <w:szCs w:val="28"/>
        </w:rPr>
        <w:t>M</w:t>
      </w:r>
      <w:r w:rsidR="00D813DB">
        <w:rPr>
          <w:rFonts w:ascii="Arial" w:hAnsi="Arial" w:cs="Arial"/>
          <w:sz w:val="28"/>
          <w:szCs w:val="28"/>
        </w:rPr>
        <w:t>akubalo</w:t>
      </w:r>
      <w:proofErr w:type="spellEnd"/>
      <w:r w:rsidR="00D813DB">
        <w:rPr>
          <w:rFonts w:ascii="Arial" w:hAnsi="Arial" w:cs="Arial"/>
          <w:sz w:val="28"/>
          <w:szCs w:val="28"/>
        </w:rPr>
        <w:t xml:space="preserve"> Attorneys</w:t>
      </w:r>
    </w:p>
    <w:p w14:paraId="13A290BF" w14:textId="3C22CF34" w:rsidR="00D813DB" w:rsidRDefault="00D813DB"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Suite 115-118 Sun</w:t>
      </w:r>
      <w:r w:rsidR="00373D45">
        <w:rPr>
          <w:rFonts w:ascii="Arial" w:hAnsi="Arial" w:cs="Arial"/>
          <w:sz w:val="28"/>
          <w:szCs w:val="28"/>
        </w:rPr>
        <w:t>day School Building</w:t>
      </w:r>
    </w:p>
    <w:p w14:paraId="1CB8F9B9" w14:textId="3DD669D3" w:rsidR="00F47BAE" w:rsidRDefault="00F47BAE"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3227E">
        <w:rPr>
          <w:rFonts w:ascii="Arial" w:hAnsi="Arial" w:cs="Arial"/>
          <w:sz w:val="28"/>
          <w:szCs w:val="28"/>
        </w:rPr>
        <w:t>1</w:t>
      </w:r>
      <w:r w:rsidR="00373D45">
        <w:rPr>
          <w:rFonts w:ascii="Arial" w:hAnsi="Arial" w:cs="Arial"/>
          <w:sz w:val="28"/>
          <w:szCs w:val="28"/>
        </w:rPr>
        <w:t xml:space="preserve">54 Charlotte </w:t>
      </w:r>
      <w:proofErr w:type="spellStart"/>
      <w:r w:rsidR="00373D45">
        <w:rPr>
          <w:rFonts w:ascii="Arial" w:hAnsi="Arial" w:cs="Arial"/>
          <w:sz w:val="28"/>
          <w:szCs w:val="28"/>
        </w:rPr>
        <w:t>Maxeke</w:t>
      </w:r>
      <w:proofErr w:type="spellEnd"/>
      <w:r w:rsidR="00373D45">
        <w:rPr>
          <w:rFonts w:ascii="Arial" w:hAnsi="Arial" w:cs="Arial"/>
          <w:sz w:val="28"/>
          <w:szCs w:val="28"/>
        </w:rPr>
        <w:t xml:space="preserve"> </w:t>
      </w:r>
      <w:r w:rsidR="00886281">
        <w:rPr>
          <w:rFonts w:ascii="Arial" w:hAnsi="Arial" w:cs="Arial"/>
          <w:sz w:val="28"/>
          <w:szCs w:val="28"/>
        </w:rPr>
        <w:t>Street</w:t>
      </w:r>
    </w:p>
    <w:p w14:paraId="7F50FFCD" w14:textId="77777777" w:rsidR="00F47BAE" w:rsidRDefault="00F47BAE"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roofErr w:type="spellStart"/>
      <w:r>
        <w:rPr>
          <w:rFonts w:ascii="Arial" w:hAnsi="Arial" w:cs="Arial"/>
          <w:sz w:val="28"/>
          <w:szCs w:val="28"/>
        </w:rPr>
        <w:t>Westdene</w:t>
      </w:r>
      <w:proofErr w:type="spellEnd"/>
      <w:r>
        <w:rPr>
          <w:rFonts w:ascii="Arial" w:hAnsi="Arial" w:cs="Arial"/>
          <w:sz w:val="28"/>
          <w:szCs w:val="28"/>
        </w:rPr>
        <w:t xml:space="preserve"> </w:t>
      </w:r>
    </w:p>
    <w:p w14:paraId="61725441" w14:textId="77777777" w:rsidR="00F47BAE" w:rsidRDefault="00F47BAE"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Bloemfontein</w:t>
      </w:r>
    </w:p>
    <w:p w14:paraId="68254D87" w14:textId="57FB760F" w:rsidR="005D07EF" w:rsidRDefault="00F47BAE" w:rsidP="005D07EF">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sectPr w:rsidR="005D07EF" w:rsidSect="00B01811">
      <w:headerReference w:type="default" r:id="rId10"/>
      <w:pgSz w:w="12240" w:h="15840"/>
      <w:pgMar w:top="851"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C0AA" w14:textId="77777777" w:rsidR="002366C9" w:rsidRDefault="002366C9" w:rsidP="00393EB3">
      <w:pPr>
        <w:spacing w:after="0" w:line="240" w:lineRule="auto"/>
      </w:pPr>
      <w:r>
        <w:separator/>
      </w:r>
    </w:p>
  </w:endnote>
  <w:endnote w:type="continuationSeparator" w:id="0">
    <w:p w14:paraId="06F8D6D4" w14:textId="77777777" w:rsidR="002366C9" w:rsidRDefault="002366C9" w:rsidP="0039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3EF3" w14:textId="77777777" w:rsidR="002366C9" w:rsidRDefault="002366C9" w:rsidP="00393EB3">
      <w:pPr>
        <w:spacing w:after="0" w:line="240" w:lineRule="auto"/>
      </w:pPr>
      <w:r>
        <w:separator/>
      </w:r>
    </w:p>
  </w:footnote>
  <w:footnote w:type="continuationSeparator" w:id="0">
    <w:p w14:paraId="43371653" w14:textId="77777777" w:rsidR="002366C9" w:rsidRDefault="002366C9" w:rsidP="0039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216023"/>
      <w:docPartObj>
        <w:docPartGallery w:val="Page Numbers (Top of Page)"/>
        <w:docPartUnique/>
      </w:docPartObj>
    </w:sdtPr>
    <w:sdtEndPr>
      <w:rPr>
        <w:noProof/>
      </w:rPr>
    </w:sdtEndPr>
    <w:sdtContent>
      <w:p w14:paraId="559333D9" w14:textId="172E33A9" w:rsidR="009B6BC2" w:rsidRDefault="009B6BC2">
        <w:pPr>
          <w:pStyle w:val="Header"/>
          <w:jc w:val="right"/>
        </w:pPr>
        <w:r>
          <w:fldChar w:fldCharType="begin"/>
        </w:r>
        <w:r>
          <w:instrText xml:space="preserve"> PAGE   \* MERGEFORMAT </w:instrText>
        </w:r>
        <w:r>
          <w:fldChar w:fldCharType="separate"/>
        </w:r>
        <w:r w:rsidR="00ED36B0">
          <w:rPr>
            <w:noProof/>
          </w:rPr>
          <w:t>12</w:t>
        </w:r>
        <w:r>
          <w:rPr>
            <w:noProof/>
          </w:rPr>
          <w:fldChar w:fldCharType="end"/>
        </w:r>
      </w:p>
    </w:sdtContent>
  </w:sdt>
  <w:p w14:paraId="0B38F8B5" w14:textId="77777777" w:rsidR="009B6BC2" w:rsidRDefault="009B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892"/>
    <w:multiLevelType w:val="hybridMultilevel"/>
    <w:tmpl w:val="4E429026"/>
    <w:lvl w:ilvl="0" w:tplc="665A13D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CBD3D2A"/>
    <w:multiLevelType w:val="hybridMultilevel"/>
    <w:tmpl w:val="3016333A"/>
    <w:lvl w:ilvl="0" w:tplc="EC6211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D3A4C81"/>
    <w:multiLevelType w:val="multilevel"/>
    <w:tmpl w:val="9C76FB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6A26C20"/>
    <w:multiLevelType w:val="hybridMultilevel"/>
    <w:tmpl w:val="C10EB5B6"/>
    <w:lvl w:ilvl="0" w:tplc="34EE0A12">
      <w:start w:val="1"/>
      <w:numFmt w:val="lowerLetter"/>
      <w:lvlText w:val="(%1)"/>
      <w:lvlJc w:val="left"/>
      <w:pPr>
        <w:ind w:left="1213" w:hanging="490"/>
      </w:pPr>
      <w:rPr>
        <w:rFonts w:hint="default"/>
        <w:i/>
      </w:rPr>
    </w:lvl>
    <w:lvl w:ilvl="1" w:tplc="1C090019" w:tentative="1">
      <w:start w:val="1"/>
      <w:numFmt w:val="lowerLetter"/>
      <w:lvlText w:val="%2."/>
      <w:lvlJc w:val="left"/>
      <w:pPr>
        <w:ind w:left="1803" w:hanging="360"/>
      </w:pPr>
    </w:lvl>
    <w:lvl w:ilvl="2" w:tplc="1C09001B" w:tentative="1">
      <w:start w:val="1"/>
      <w:numFmt w:val="lowerRoman"/>
      <w:lvlText w:val="%3."/>
      <w:lvlJc w:val="right"/>
      <w:pPr>
        <w:ind w:left="2523" w:hanging="180"/>
      </w:pPr>
    </w:lvl>
    <w:lvl w:ilvl="3" w:tplc="1C09000F" w:tentative="1">
      <w:start w:val="1"/>
      <w:numFmt w:val="decimal"/>
      <w:lvlText w:val="%4."/>
      <w:lvlJc w:val="left"/>
      <w:pPr>
        <w:ind w:left="3243" w:hanging="360"/>
      </w:pPr>
    </w:lvl>
    <w:lvl w:ilvl="4" w:tplc="1C090019" w:tentative="1">
      <w:start w:val="1"/>
      <w:numFmt w:val="lowerLetter"/>
      <w:lvlText w:val="%5."/>
      <w:lvlJc w:val="left"/>
      <w:pPr>
        <w:ind w:left="3963" w:hanging="360"/>
      </w:pPr>
    </w:lvl>
    <w:lvl w:ilvl="5" w:tplc="1C09001B" w:tentative="1">
      <w:start w:val="1"/>
      <w:numFmt w:val="lowerRoman"/>
      <w:lvlText w:val="%6."/>
      <w:lvlJc w:val="right"/>
      <w:pPr>
        <w:ind w:left="4683" w:hanging="180"/>
      </w:pPr>
    </w:lvl>
    <w:lvl w:ilvl="6" w:tplc="1C09000F" w:tentative="1">
      <w:start w:val="1"/>
      <w:numFmt w:val="decimal"/>
      <w:lvlText w:val="%7."/>
      <w:lvlJc w:val="left"/>
      <w:pPr>
        <w:ind w:left="5403" w:hanging="360"/>
      </w:pPr>
    </w:lvl>
    <w:lvl w:ilvl="7" w:tplc="1C090019" w:tentative="1">
      <w:start w:val="1"/>
      <w:numFmt w:val="lowerLetter"/>
      <w:lvlText w:val="%8."/>
      <w:lvlJc w:val="left"/>
      <w:pPr>
        <w:ind w:left="6123" w:hanging="360"/>
      </w:pPr>
    </w:lvl>
    <w:lvl w:ilvl="8" w:tplc="1C09001B" w:tentative="1">
      <w:start w:val="1"/>
      <w:numFmt w:val="lowerRoman"/>
      <w:lvlText w:val="%9."/>
      <w:lvlJc w:val="right"/>
      <w:pPr>
        <w:ind w:left="6843" w:hanging="180"/>
      </w:pPr>
    </w:lvl>
  </w:abstractNum>
  <w:abstractNum w:abstractNumId="4" w15:restartNumberingAfterBreak="0">
    <w:nsid w:val="49F74F26"/>
    <w:multiLevelType w:val="hybridMultilevel"/>
    <w:tmpl w:val="2C480E60"/>
    <w:lvl w:ilvl="0" w:tplc="C7941A3E">
      <w:start w:val="1"/>
      <w:numFmt w:val="lowerLetter"/>
      <w:lvlText w:val="(%1)"/>
      <w:lvlJc w:val="left"/>
      <w:pPr>
        <w:ind w:left="1648" w:hanging="360"/>
      </w:pPr>
      <w:rPr>
        <w:rFonts w:hint="default"/>
        <w:i/>
      </w:rPr>
    </w:lvl>
    <w:lvl w:ilvl="1" w:tplc="1C090019" w:tentative="1">
      <w:start w:val="1"/>
      <w:numFmt w:val="lowerLetter"/>
      <w:lvlText w:val="%2."/>
      <w:lvlJc w:val="left"/>
      <w:pPr>
        <w:ind w:left="2368" w:hanging="360"/>
      </w:pPr>
    </w:lvl>
    <w:lvl w:ilvl="2" w:tplc="1C09001B" w:tentative="1">
      <w:start w:val="1"/>
      <w:numFmt w:val="lowerRoman"/>
      <w:lvlText w:val="%3."/>
      <w:lvlJc w:val="right"/>
      <w:pPr>
        <w:ind w:left="3088" w:hanging="180"/>
      </w:pPr>
    </w:lvl>
    <w:lvl w:ilvl="3" w:tplc="1C09000F" w:tentative="1">
      <w:start w:val="1"/>
      <w:numFmt w:val="decimal"/>
      <w:lvlText w:val="%4."/>
      <w:lvlJc w:val="left"/>
      <w:pPr>
        <w:ind w:left="3808" w:hanging="360"/>
      </w:pPr>
    </w:lvl>
    <w:lvl w:ilvl="4" w:tplc="1C090019" w:tentative="1">
      <w:start w:val="1"/>
      <w:numFmt w:val="lowerLetter"/>
      <w:lvlText w:val="%5."/>
      <w:lvlJc w:val="left"/>
      <w:pPr>
        <w:ind w:left="4528" w:hanging="360"/>
      </w:pPr>
    </w:lvl>
    <w:lvl w:ilvl="5" w:tplc="1C09001B" w:tentative="1">
      <w:start w:val="1"/>
      <w:numFmt w:val="lowerRoman"/>
      <w:lvlText w:val="%6."/>
      <w:lvlJc w:val="right"/>
      <w:pPr>
        <w:ind w:left="5248" w:hanging="180"/>
      </w:pPr>
    </w:lvl>
    <w:lvl w:ilvl="6" w:tplc="1C09000F" w:tentative="1">
      <w:start w:val="1"/>
      <w:numFmt w:val="decimal"/>
      <w:lvlText w:val="%7."/>
      <w:lvlJc w:val="left"/>
      <w:pPr>
        <w:ind w:left="5968" w:hanging="360"/>
      </w:pPr>
    </w:lvl>
    <w:lvl w:ilvl="7" w:tplc="1C090019" w:tentative="1">
      <w:start w:val="1"/>
      <w:numFmt w:val="lowerLetter"/>
      <w:lvlText w:val="%8."/>
      <w:lvlJc w:val="left"/>
      <w:pPr>
        <w:ind w:left="6688" w:hanging="360"/>
      </w:pPr>
    </w:lvl>
    <w:lvl w:ilvl="8" w:tplc="1C09001B" w:tentative="1">
      <w:start w:val="1"/>
      <w:numFmt w:val="lowerRoman"/>
      <w:lvlText w:val="%9."/>
      <w:lvlJc w:val="right"/>
      <w:pPr>
        <w:ind w:left="7408" w:hanging="180"/>
      </w:pPr>
    </w:lvl>
  </w:abstractNum>
  <w:abstractNum w:abstractNumId="5" w15:restartNumberingAfterBreak="0">
    <w:nsid w:val="4F9E2DA4"/>
    <w:multiLevelType w:val="hybridMultilevel"/>
    <w:tmpl w:val="D4AEB028"/>
    <w:lvl w:ilvl="0" w:tplc="BBEE1728">
      <w:start w:val="1"/>
      <w:numFmt w:val="lowerLetter"/>
      <w:lvlText w:val="(%1)"/>
      <w:lvlJc w:val="left"/>
      <w:pPr>
        <w:ind w:left="1613" w:hanging="490"/>
      </w:pPr>
      <w:rPr>
        <w:rFonts w:hint="default"/>
        <w:i/>
      </w:rPr>
    </w:lvl>
    <w:lvl w:ilvl="1" w:tplc="1C090019" w:tentative="1">
      <w:start w:val="1"/>
      <w:numFmt w:val="lowerLetter"/>
      <w:lvlText w:val="%2."/>
      <w:lvlJc w:val="left"/>
      <w:pPr>
        <w:ind w:left="2203" w:hanging="360"/>
      </w:pPr>
    </w:lvl>
    <w:lvl w:ilvl="2" w:tplc="1C09001B" w:tentative="1">
      <w:start w:val="1"/>
      <w:numFmt w:val="lowerRoman"/>
      <w:lvlText w:val="%3."/>
      <w:lvlJc w:val="right"/>
      <w:pPr>
        <w:ind w:left="2923" w:hanging="180"/>
      </w:pPr>
    </w:lvl>
    <w:lvl w:ilvl="3" w:tplc="1C09000F" w:tentative="1">
      <w:start w:val="1"/>
      <w:numFmt w:val="decimal"/>
      <w:lvlText w:val="%4."/>
      <w:lvlJc w:val="left"/>
      <w:pPr>
        <w:ind w:left="3643" w:hanging="360"/>
      </w:pPr>
    </w:lvl>
    <w:lvl w:ilvl="4" w:tplc="1C090019" w:tentative="1">
      <w:start w:val="1"/>
      <w:numFmt w:val="lowerLetter"/>
      <w:lvlText w:val="%5."/>
      <w:lvlJc w:val="left"/>
      <w:pPr>
        <w:ind w:left="4363" w:hanging="360"/>
      </w:pPr>
    </w:lvl>
    <w:lvl w:ilvl="5" w:tplc="1C09001B" w:tentative="1">
      <w:start w:val="1"/>
      <w:numFmt w:val="lowerRoman"/>
      <w:lvlText w:val="%6."/>
      <w:lvlJc w:val="right"/>
      <w:pPr>
        <w:ind w:left="5083" w:hanging="180"/>
      </w:pPr>
    </w:lvl>
    <w:lvl w:ilvl="6" w:tplc="1C09000F" w:tentative="1">
      <w:start w:val="1"/>
      <w:numFmt w:val="decimal"/>
      <w:lvlText w:val="%7."/>
      <w:lvlJc w:val="left"/>
      <w:pPr>
        <w:ind w:left="5803" w:hanging="360"/>
      </w:pPr>
    </w:lvl>
    <w:lvl w:ilvl="7" w:tplc="1C090019" w:tentative="1">
      <w:start w:val="1"/>
      <w:numFmt w:val="lowerLetter"/>
      <w:lvlText w:val="%8."/>
      <w:lvlJc w:val="left"/>
      <w:pPr>
        <w:ind w:left="6523" w:hanging="360"/>
      </w:pPr>
    </w:lvl>
    <w:lvl w:ilvl="8" w:tplc="1C09001B" w:tentative="1">
      <w:start w:val="1"/>
      <w:numFmt w:val="lowerRoman"/>
      <w:lvlText w:val="%9."/>
      <w:lvlJc w:val="right"/>
      <w:pPr>
        <w:ind w:left="7243" w:hanging="180"/>
      </w:pPr>
    </w:lvl>
  </w:abstractNum>
  <w:abstractNum w:abstractNumId="6" w15:restartNumberingAfterBreak="0">
    <w:nsid w:val="555260B1"/>
    <w:multiLevelType w:val="hybridMultilevel"/>
    <w:tmpl w:val="DE16B510"/>
    <w:lvl w:ilvl="0" w:tplc="C19E4F4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59E62028"/>
    <w:multiLevelType w:val="hybridMultilevel"/>
    <w:tmpl w:val="E6C49020"/>
    <w:lvl w:ilvl="0" w:tplc="E9642A1C">
      <w:start w:val="3"/>
      <w:numFmt w:val="lowerLetter"/>
      <w:lvlText w:val="(%1)"/>
      <w:lvlJc w:val="left"/>
      <w:pPr>
        <w:ind w:left="1490" w:hanging="36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8" w15:restartNumberingAfterBreak="0">
    <w:nsid w:val="64EE590D"/>
    <w:multiLevelType w:val="hybridMultilevel"/>
    <w:tmpl w:val="E8AE18C2"/>
    <w:lvl w:ilvl="0" w:tplc="CF16058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1383291754">
    <w:abstractNumId w:val="2"/>
  </w:num>
  <w:num w:numId="2" w16cid:durableId="1856646917">
    <w:abstractNumId w:val="3"/>
  </w:num>
  <w:num w:numId="3" w16cid:durableId="1858931003">
    <w:abstractNumId w:val="6"/>
  </w:num>
  <w:num w:numId="4" w16cid:durableId="1262953383">
    <w:abstractNumId w:val="1"/>
  </w:num>
  <w:num w:numId="5" w16cid:durableId="2035108236">
    <w:abstractNumId w:val="0"/>
  </w:num>
  <w:num w:numId="6" w16cid:durableId="594557193">
    <w:abstractNumId w:val="8"/>
  </w:num>
  <w:num w:numId="7" w16cid:durableId="310402576">
    <w:abstractNumId w:val="5"/>
  </w:num>
  <w:num w:numId="8" w16cid:durableId="376709507">
    <w:abstractNumId w:val="7"/>
  </w:num>
  <w:num w:numId="9" w16cid:durableId="310137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BB"/>
    <w:rsid w:val="000166C0"/>
    <w:rsid w:val="00032FEC"/>
    <w:rsid w:val="00035395"/>
    <w:rsid w:val="0003616A"/>
    <w:rsid w:val="00062375"/>
    <w:rsid w:val="0006350B"/>
    <w:rsid w:val="0007006D"/>
    <w:rsid w:val="00070B3D"/>
    <w:rsid w:val="0007670E"/>
    <w:rsid w:val="0009405B"/>
    <w:rsid w:val="000A1C31"/>
    <w:rsid w:val="000A325D"/>
    <w:rsid w:val="000A6602"/>
    <w:rsid w:val="000A69EB"/>
    <w:rsid w:val="000B0465"/>
    <w:rsid w:val="000B1B13"/>
    <w:rsid w:val="000B3D41"/>
    <w:rsid w:val="000C2D69"/>
    <w:rsid w:val="000D0B92"/>
    <w:rsid w:val="000D23E2"/>
    <w:rsid w:val="000D326A"/>
    <w:rsid w:val="000D582E"/>
    <w:rsid w:val="000E55B7"/>
    <w:rsid w:val="000E622D"/>
    <w:rsid w:val="000F4763"/>
    <w:rsid w:val="00104963"/>
    <w:rsid w:val="001064A6"/>
    <w:rsid w:val="00106789"/>
    <w:rsid w:val="00106E4A"/>
    <w:rsid w:val="001129A6"/>
    <w:rsid w:val="00116D0F"/>
    <w:rsid w:val="001326B5"/>
    <w:rsid w:val="00135DA8"/>
    <w:rsid w:val="001370E4"/>
    <w:rsid w:val="00144046"/>
    <w:rsid w:val="00145D38"/>
    <w:rsid w:val="00145DD8"/>
    <w:rsid w:val="001470F7"/>
    <w:rsid w:val="00147D8D"/>
    <w:rsid w:val="00150325"/>
    <w:rsid w:val="00152BFB"/>
    <w:rsid w:val="00154962"/>
    <w:rsid w:val="00155319"/>
    <w:rsid w:val="001566D8"/>
    <w:rsid w:val="001665EB"/>
    <w:rsid w:val="001676E5"/>
    <w:rsid w:val="001841D6"/>
    <w:rsid w:val="00187CE4"/>
    <w:rsid w:val="001A1BE5"/>
    <w:rsid w:val="001B00B6"/>
    <w:rsid w:val="001B06DE"/>
    <w:rsid w:val="001B1B1C"/>
    <w:rsid w:val="001B365B"/>
    <w:rsid w:val="001B5245"/>
    <w:rsid w:val="001B5CE8"/>
    <w:rsid w:val="001D3318"/>
    <w:rsid w:val="001D5F7D"/>
    <w:rsid w:val="001D6945"/>
    <w:rsid w:val="001D6D5F"/>
    <w:rsid w:val="001E1173"/>
    <w:rsid w:val="001E2346"/>
    <w:rsid w:val="001E5DC8"/>
    <w:rsid w:val="001E6F2C"/>
    <w:rsid w:val="00200137"/>
    <w:rsid w:val="002008B5"/>
    <w:rsid w:val="00201367"/>
    <w:rsid w:val="002056ED"/>
    <w:rsid w:val="00207B7A"/>
    <w:rsid w:val="00212FE9"/>
    <w:rsid w:val="00215551"/>
    <w:rsid w:val="00216117"/>
    <w:rsid w:val="00220E18"/>
    <w:rsid w:val="0022282B"/>
    <w:rsid w:val="00222B50"/>
    <w:rsid w:val="00223741"/>
    <w:rsid w:val="002366C9"/>
    <w:rsid w:val="0024432A"/>
    <w:rsid w:val="00244F1E"/>
    <w:rsid w:val="00246B44"/>
    <w:rsid w:val="00250D77"/>
    <w:rsid w:val="00252777"/>
    <w:rsid w:val="002665B3"/>
    <w:rsid w:val="002815C1"/>
    <w:rsid w:val="002829CC"/>
    <w:rsid w:val="00290D9A"/>
    <w:rsid w:val="00291CE5"/>
    <w:rsid w:val="00292B36"/>
    <w:rsid w:val="002951EE"/>
    <w:rsid w:val="002966B9"/>
    <w:rsid w:val="002B2789"/>
    <w:rsid w:val="002B3A71"/>
    <w:rsid w:val="002C52C7"/>
    <w:rsid w:val="002D196A"/>
    <w:rsid w:val="002D5A74"/>
    <w:rsid w:val="002F3656"/>
    <w:rsid w:val="002F5B5E"/>
    <w:rsid w:val="003000F3"/>
    <w:rsid w:val="00306A01"/>
    <w:rsid w:val="00311E29"/>
    <w:rsid w:val="0031470B"/>
    <w:rsid w:val="003318EB"/>
    <w:rsid w:val="003343BF"/>
    <w:rsid w:val="0033743D"/>
    <w:rsid w:val="0034167E"/>
    <w:rsid w:val="00341FF5"/>
    <w:rsid w:val="003471C6"/>
    <w:rsid w:val="0035645D"/>
    <w:rsid w:val="00357586"/>
    <w:rsid w:val="00361E0A"/>
    <w:rsid w:val="00363CE6"/>
    <w:rsid w:val="00370A72"/>
    <w:rsid w:val="003723FF"/>
    <w:rsid w:val="00373D45"/>
    <w:rsid w:val="00380228"/>
    <w:rsid w:val="00387166"/>
    <w:rsid w:val="003912E7"/>
    <w:rsid w:val="00393EB3"/>
    <w:rsid w:val="003B0A49"/>
    <w:rsid w:val="003C30D8"/>
    <w:rsid w:val="003C76F0"/>
    <w:rsid w:val="003D1642"/>
    <w:rsid w:val="003D420E"/>
    <w:rsid w:val="003D6BC7"/>
    <w:rsid w:val="003E484E"/>
    <w:rsid w:val="003E7F27"/>
    <w:rsid w:val="003F4852"/>
    <w:rsid w:val="003F752F"/>
    <w:rsid w:val="004068EB"/>
    <w:rsid w:val="00415BE5"/>
    <w:rsid w:val="00417615"/>
    <w:rsid w:val="004301AE"/>
    <w:rsid w:val="00436B6F"/>
    <w:rsid w:val="0044215F"/>
    <w:rsid w:val="004427BE"/>
    <w:rsid w:val="00453BBC"/>
    <w:rsid w:val="00454BAD"/>
    <w:rsid w:val="00460402"/>
    <w:rsid w:val="00482527"/>
    <w:rsid w:val="00483640"/>
    <w:rsid w:val="0048765E"/>
    <w:rsid w:val="004A4C20"/>
    <w:rsid w:val="004B6244"/>
    <w:rsid w:val="004C3A38"/>
    <w:rsid w:val="004D32A4"/>
    <w:rsid w:val="004E14D2"/>
    <w:rsid w:val="004E7BA9"/>
    <w:rsid w:val="005041C5"/>
    <w:rsid w:val="00504A25"/>
    <w:rsid w:val="00505F51"/>
    <w:rsid w:val="00513149"/>
    <w:rsid w:val="00514915"/>
    <w:rsid w:val="00514D22"/>
    <w:rsid w:val="00522C43"/>
    <w:rsid w:val="0052778A"/>
    <w:rsid w:val="00527E5B"/>
    <w:rsid w:val="00530140"/>
    <w:rsid w:val="00536948"/>
    <w:rsid w:val="00536AAE"/>
    <w:rsid w:val="00537040"/>
    <w:rsid w:val="005435EF"/>
    <w:rsid w:val="00545AFE"/>
    <w:rsid w:val="00557342"/>
    <w:rsid w:val="00564C40"/>
    <w:rsid w:val="005668CA"/>
    <w:rsid w:val="005914D3"/>
    <w:rsid w:val="005A04B6"/>
    <w:rsid w:val="005A325F"/>
    <w:rsid w:val="005B0761"/>
    <w:rsid w:val="005B5826"/>
    <w:rsid w:val="005B61B1"/>
    <w:rsid w:val="005B62B9"/>
    <w:rsid w:val="005D07EF"/>
    <w:rsid w:val="005D3E4D"/>
    <w:rsid w:val="005D42D8"/>
    <w:rsid w:val="005E1ACE"/>
    <w:rsid w:val="005E2DD6"/>
    <w:rsid w:val="005F4CAD"/>
    <w:rsid w:val="005F6431"/>
    <w:rsid w:val="005F68E0"/>
    <w:rsid w:val="006047B6"/>
    <w:rsid w:val="00613E9D"/>
    <w:rsid w:val="00620E52"/>
    <w:rsid w:val="0062770F"/>
    <w:rsid w:val="0063227E"/>
    <w:rsid w:val="00633167"/>
    <w:rsid w:val="00636A7A"/>
    <w:rsid w:val="0066329E"/>
    <w:rsid w:val="0066378F"/>
    <w:rsid w:val="0066478D"/>
    <w:rsid w:val="006663D5"/>
    <w:rsid w:val="00666942"/>
    <w:rsid w:val="00673F11"/>
    <w:rsid w:val="00674F91"/>
    <w:rsid w:val="0068655C"/>
    <w:rsid w:val="00686F59"/>
    <w:rsid w:val="006B6783"/>
    <w:rsid w:val="006C432A"/>
    <w:rsid w:val="006C68E7"/>
    <w:rsid w:val="006C74B2"/>
    <w:rsid w:val="006E560E"/>
    <w:rsid w:val="006F0DD9"/>
    <w:rsid w:val="006F2BD7"/>
    <w:rsid w:val="006F7513"/>
    <w:rsid w:val="007074B2"/>
    <w:rsid w:val="00707F4B"/>
    <w:rsid w:val="00715D34"/>
    <w:rsid w:val="007271C2"/>
    <w:rsid w:val="00727E6D"/>
    <w:rsid w:val="00745D09"/>
    <w:rsid w:val="00747926"/>
    <w:rsid w:val="007514DE"/>
    <w:rsid w:val="00755353"/>
    <w:rsid w:val="007715DB"/>
    <w:rsid w:val="00772D0A"/>
    <w:rsid w:val="00772E8D"/>
    <w:rsid w:val="007811DC"/>
    <w:rsid w:val="007835BB"/>
    <w:rsid w:val="00795A26"/>
    <w:rsid w:val="007A05F8"/>
    <w:rsid w:val="007D523A"/>
    <w:rsid w:val="007E3690"/>
    <w:rsid w:val="007F2E88"/>
    <w:rsid w:val="00800435"/>
    <w:rsid w:val="00813A7F"/>
    <w:rsid w:val="008140D1"/>
    <w:rsid w:val="00815F21"/>
    <w:rsid w:val="0081797C"/>
    <w:rsid w:val="00823FD3"/>
    <w:rsid w:val="00831632"/>
    <w:rsid w:val="0084050C"/>
    <w:rsid w:val="00850DF8"/>
    <w:rsid w:val="00851359"/>
    <w:rsid w:val="0085463F"/>
    <w:rsid w:val="00856B9E"/>
    <w:rsid w:val="0086092E"/>
    <w:rsid w:val="00867B77"/>
    <w:rsid w:val="008743BB"/>
    <w:rsid w:val="00874609"/>
    <w:rsid w:val="00884CCF"/>
    <w:rsid w:val="00886281"/>
    <w:rsid w:val="00891D2B"/>
    <w:rsid w:val="008B035A"/>
    <w:rsid w:val="008B7880"/>
    <w:rsid w:val="008C383B"/>
    <w:rsid w:val="008C478A"/>
    <w:rsid w:val="008C5ED1"/>
    <w:rsid w:val="008D1A67"/>
    <w:rsid w:val="008D213F"/>
    <w:rsid w:val="008E2202"/>
    <w:rsid w:val="008E25B1"/>
    <w:rsid w:val="008E4DA5"/>
    <w:rsid w:val="008E4ED7"/>
    <w:rsid w:val="008F0EDE"/>
    <w:rsid w:val="008F456F"/>
    <w:rsid w:val="008F5A51"/>
    <w:rsid w:val="008F7851"/>
    <w:rsid w:val="008F7D0B"/>
    <w:rsid w:val="00900957"/>
    <w:rsid w:val="00901E4E"/>
    <w:rsid w:val="00904090"/>
    <w:rsid w:val="00905763"/>
    <w:rsid w:val="00915732"/>
    <w:rsid w:val="009159BD"/>
    <w:rsid w:val="00923443"/>
    <w:rsid w:val="00923C1D"/>
    <w:rsid w:val="00927755"/>
    <w:rsid w:val="0093188F"/>
    <w:rsid w:val="0094029D"/>
    <w:rsid w:val="00944718"/>
    <w:rsid w:val="00951A27"/>
    <w:rsid w:val="00953824"/>
    <w:rsid w:val="00955ED9"/>
    <w:rsid w:val="009674EF"/>
    <w:rsid w:val="00967F1A"/>
    <w:rsid w:val="009741B7"/>
    <w:rsid w:val="009745C0"/>
    <w:rsid w:val="00980B4D"/>
    <w:rsid w:val="009861DB"/>
    <w:rsid w:val="0098734A"/>
    <w:rsid w:val="009B041A"/>
    <w:rsid w:val="009B4118"/>
    <w:rsid w:val="009B6BC2"/>
    <w:rsid w:val="009C0971"/>
    <w:rsid w:val="009C2616"/>
    <w:rsid w:val="009C5363"/>
    <w:rsid w:val="009D00DB"/>
    <w:rsid w:val="009E0BD3"/>
    <w:rsid w:val="009F60DC"/>
    <w:rsid w:val="009F6BFE"/>
    <w:rsid w:val="00A01136"/>
    <w:rsid w:val="00A10EE7"/>
    <w:rsid w:val="00A153E4"/>
    <w:rsid w:val="00A33813"/>
    <w:rsid w:val="00A3794C"/>
    <w:rsid w:val="00A424D5"/>
    <w:rsid w:val="00A44B40"/>
    <w:rsid w:val="00A55680"/>
    <w:rsid w:val="00A55B18"/>
    <w:rsid w:val="00A57B14"/>
    <w:rsid w:val="00A660FC"/>
    <w:rsid w:val="00A715EC"/>
    <w:rsid w:val="00A75DD3"/>
    <w:rsid w:val="00A76752"/>
    <w:rsid w:val="00A8707D"/>
    <w:rsid w:val="00AA7195"/>
    <w:rsid w:val="00AB2842"/>
    <w:rsid w:val="00AB7771"/>
    <w:rsid w:val="00AC2B15"/>
    <w:rsid w:val="00AC4D23"/>
    <w:rsid w:val="00AD0A48"/>
    <w:rsid w:val="00AD5761"/>
    <w:rsid w:val="00AE4D6E"/>
    <w:rsid w:val="00B01811"/>
    <w:rsid w:val="00B06A3B"/>
    <w:rsid w:val="00B10B0A"/>
    <w:rsid w:val="00B12599"/>
    <w:rsid w:val="00B13FB1"/>
    <w:rsid w:val="00B14ECF"/>
    <w:rsid w:val="00B223CF"/>
    <w:rsid w:val="00B227E1"/>
    <w:rsid w:val="00B23527"/>
    <w:rsid w:val="00B47E1A"/>
    <w:rsid w:val="00B57B4D"/>
    <w:rsid w:val="00B751E0"/>
    <w:rsid w:val="00B76CA5"/>
    <w:rsid w:val="00B771C7"/>
    <w:rsid w:val="00B93104"/>
    <w:rsid w:val="00B94A4E"/>
    <w:rsid w:val="00B95B79"/>
    <w:rsid w:val="00BA3C6D"/>
    <w:rsid w:val="00BB146D"/>
    <w:rsid w:val="00BB4445"/>
    <w:rsid w:val="00BB6B16"/>
    <w:rsid w:val="00BC1D6F"/>
    <w:rsid w:val="00BC6593"/>
    <w:rsid w:val="00BD0FFA"/>
    <w:rsid w:val="00BD3B69"/>
    <w:rsid w:val="00BD78CB"/>
    <w:rsid w:val="00BE16C7"/>
    <w:rsid w:val="00BF46BB"/>
    <w:rsid w:val="00C06A2F"/>
    <w:rsid w:val="00C13E86"/>
    <w:rsid w:val="00C25718"/>
    <w:rsid w:val="00C31A26"/>
    <w:rsid w:val="00C31C87"/>
    <w:rsid w:val="00C339F8"/>
    <w:rsid w:val="00C40F9A"/>
    <w:rsid w:val="00C44D1F"/>
    <w:rsid w:val="00C47B8E"/>
    <w:rsid w:val="00C53FAA"/>
    <w:rsid w:val="00C67560"/>
    <w:rsid w:val="00C705D6"/>
    <w:rsid w:val="00C74623"/>
    <w:rsid w:val="00C74A5C"/>
    <w:rsid w:val="00C80071"/>
    <w:rsid w:val="00C85E67"/>
    <w:rsid w:val="00C86385"/>
    <w:rsid w:val="00C90897"/>
    <w:rsid w:val="00C9206A"/>
    <w:rsid w:val="00CB1029"/>
    <w:rsid w:val="00CB2B2E"/>
    <w:rsid w:val="00CB69CD"/>
    <w:rsid w:val="00CB7A1C"/>
    <w:rsid w:val="00CB7E75"/>
    <w:rsid w:val="00CC65DE"/>
    <w:rsid w:val="00CC7C9E"/>
    <w:rsid w:val="00CD19F3"/>
    <w:rsid w:val="00CD26F3"/>
    <w:rsid w:val="00CD5999"/>
    <w:rsid w:val="00CE496C"/>
    <w:rsid w:val="00CE7FC6"/>
    <w:rsid w:val="00D00F86"/>
    <w:rsid w:val="00D017F6"/>
    <w:rsid w:val="00D03D3F"/>
    <w:rsid w:val="00D06B85"/>
    <w:rsid w:val="00D13BEE"/>
    <w:rsid w:val="00D152A2"/>
    <w:rsid w:val="00D152DB"/>
    <w:rsid w:val="00D17656"/>
    <w:rsid w:val="00D20C19"/>
    <w:rsid w:val="00D23D48"/>
    <w:rsid w:val="00D250F1"/>
    <w:rsid w:val="00D25733"/>
    <w:rsid w:val="00D26B79"/>
    <w:rsid w:val="00D30948"/>
    <w:rsid w:val="00D324DE"/>
    <w:rsid w:val="00D359D6"/>
    <w:rsid w:val="00D4114A"/>
    <w:rsid w:val="00D43C64"/>
    <w:rsid w:val="00D45E2F"/>
    <w:rsid w:val="00D50719"/>
    <w:rsid w:val="00D5182B"/>
    <w:rsid w:val="00D530F7"/>
    <w:rsid w:val="00D539AC"/>
    <w:rsid w:val="00D5702B"/>
    <w:rsid w:val="00D638CF"/>
    <w:rsid w:val="00D72D3C"/>
    <w:rsid w:val="00D72E90"/>
    <w:rsid w:val="00D76C2F"/>
    <w:rsid w:val="00D813DB"/>
    <w:rsid w:val="00D94DB9"/>
    <w:rsid w:val="00D96919"/>
    <w:rsid w:val="00DA74FD"/>
    <w:rsid w:val="00DB61DC"/>
    <w:rsid w:val="00DC694E"/>
    <w:rsid w:val="00DC7D71"/>
    <w:rsid w:val="00DE37C5"/>
    <w:rsid w:val="00DE4A69"/>
    <w:rsid w:val="00DE5BD2"/>
    <w:rsid w:val="00DF548F"/>
    <w:rsid w:val="00DF5AEC"/>
    <w:rsid w:val="00E06CC1"/>
    <w:rsid w:val="00E12761"/>
    <w:rsid w:val="00E12E04"/>
    <w:rsid w:val="00E1511C"/>
    <w:rsid w:val="00E17DA8"/>
    <w:rsid w:val="00E2332A"/>
    <w:rsid w:val="00E25DF4"/>
    <w:rsid w:val="00E27ADC"/>
    <w:rsid w:val="00E332BC"/>
    <w:rsid w:val="00E34644"/>
    <w:rsid w:val="00E34E39"/>
    <w:rsid w:val="00E451ED"/>
    <w:rsid w:val="00E45328"/>
    <w:rsid w:val="00E51E32"/>
    <w:rsid w:val="00E53BC7"/>
    <w:rsid w:val="00E611C4"/>
    <w:rsid w:val="00E614C8"/>
    <w:rsid w:val="00E660E0"/>
    <w:rsid w:val="00E71EB3"/>
    <w:rsid w:val="00E8657B"/>
    <w:rsid w:val="00E9070E"/>
    <w:rsid w:val="00E92462"/>
    <w:rsid w:val="00E97B53"/>
    <w:rsid w:val="00EA5105"/>
    <w:rsid w:val="00EB4D99"/>
    <w:rsid w:val="00EC6A79"/>
    <w:rsid w:val="00EC7DFB"/>
    <w:rsid w:val="00ED36B0"/>
    <w:rsid w:val="00EE1536"/>
    <w:rsid w:val="00EF1DDA"/>
    <w:rsid w:val="00EF5CD2"/>
    <w:rsid w:val="00F15E06"/>
    <w:rsid w:val="00F17915"/>
    <w:rsid w:val="00F24ECC"/>
    <w:rsid w:val="00F31FE0"/>
    <w:rsid w:val="00F32D0D"/>
    <w:rsid w:val="00F44E4C"/>
    <w:rsid w:val="00F45C3A"/>
    <w:rsid w:val="00F47BAE"/>
    <w:rsid w:val="00F5225F"/>
    <w:rsid w:val="00F563E1"/>
    <w:rsid w:val="00F65B56"/>
    <w:rsid w:val="00F65ED8"/>
    <w:rsid w:val="00F73E13"/>
    <w:rsid w:val="00F81347"/>
    <w:rsid w:val="00F81824"/>
    <w:rsid w:val="00FA70E0"/>
    <w:rsid w:val="00FB18A4"/>
    <w:rsid w:val="00FB2B1C"/>
    <w:rsid w:val="00FC1196"/>
    <w:rsid w:val="00FC16FB"/>
    <w:rsid w:val="00FC1D61"/>
    <w:rsid w:val="00FC7277"/>
    <w:rsid w:val="00FD0B9E"/>
    <w:rsid w:val="00FD694B"/>
    <w:rsid w:val="00FD7B32"/>
    <w:rsid w:val="00FE0A05"/>
    <w:rsid w:val="00FE79EF"/>
    <w:rsid w:val="00FF0139"/>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B3D8"/>
  <w15:docId w15:val="{955CB4AF-5308-403D-8D61-F3CE7A15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B3"/>
  </w:style>
  <w:style w:type="paragraph" w:styleId="Footer">
    <w:name w:val="footer"/>
    <w:basedOn w:val="Normal"/>
    <w:link w:val="FooterChar"/>
    <w:uiPriority w:val="99"/>
    <w:unhideWhenUsed/>
    <w:rsid w:val="00393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B3"/>
  </w:style>
  <w:style w:type="paragraph" w:styleId="BalloonText">
    <w:name w:val="Balloon Text"/>
    <w:basedOn w:val="Normal"/>
    <w:link w:val="BalloonTextChar"/>
    <w:uiPriority w:val="99"/>
    <w:semiHidden/>
    <w:unhideWhenUsed/>
    <w:rsid w:val="005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40"/>
    <w:rPr>
      <w:rFonts w:ascii="Segoe UI" w:hAnsi="Segoe UI" w:cs="Segoe UI"/>
      <w:sz w:val="18"/>
      <w:szCs w:val="18"/>
    </w:rPr>
  </w:style>
  <w:style w:type="paragraph" w:styleId="ListParagraph">
    <w:name w:val="List Paragraph"/>
    <w:basedOn w:val="Normal"/>
    <w:uiPriority w:val="34"/>
    <w:qFormat/>
    <w:rsid w:val="00D530F7"/>
    <w:pPr>
      <w:ind w:left="720"/>
      <w:contextualSpacing/>
    </w:pPr>
  </w:style>
  <w:style w:type="character" w:customStyle="1" w:styleId="mc">
    <w:name w:val="mc"/>
    <w:basedOn w:val="DefaultParagraphFont"/>
    <w:rsid w:val="00BD3B69"/>
  </w:style>
  <w:style w:type="character" w:customStyle="1" w:styleId="g1">
    <w:name w:val="g1"/>
    <w:basedOn w:val="DefaultParagraphFont"/>
    <w:rsid w:val="00D72D3C"/>
  </w:style>
  <w:style w:type="character" w:styleId="Hyperlink">
    <w:name w:val="Hyperlink"/>
    <w:basedOn w:val="DefaultParagraphFont"/>
    <w:uiPriority w:val="99"/>
    <w:semiHidden/>
    <w:unhideWhenUsed/>
    <w:rsid w:val="00D72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9048">
      <w:bodyDiv w:val="1"/>
      <w:marLeft w:val="0"/>
      <w:marRight w:val="0"/>
      <w:marTop w:val="0"/>
      <w:marBottom w:val="0"/>
      <w:divBdr>
        <w:top w:val="none" w:sz="0" w:space="0" w:color="auto"/>
        <w:left w:val="none" w:sz="0" w:space="0" w:color="auto"/>
        <w:bottom w:val="none" w:sz="0" w:space="0" w:color="auto"/>
        <w:right w:val="none" w:sz="0" w:space="0" w:color="auto"/>
      </w:divBdr>
      <w:divsChild>
        <w:div w:id="1138229930">
          <w:marLeft w:val="567"/>
          <w:marRight w:val="0"/>
          <w:marTop w:val="60"/>
          <w:marBottom w:val="0"/>
          <w:divBdr>
            <w:top w:val="none" w:sz="0" w:space="0" w:color="auto"/>
            <w:left w:val="none" w:sz="0" w:space="0" w:color="auto"/>
            <w:bottom w:val="none" w:sz="0" w:space="0" w:color="auto"/>
            <w:right w:val="none" w:sz="0" w:space="0" w:color="auto"/>
          </w:divBdr>
        </w:div>
        <w:div w:id="1181748162">
          <w:marLeft w:val="1418"/>
          <w:marRight w:val="0"/>
          <w:marTop w:val="60"/>
          <w:marBottom w:val="0"/>
          <w:divBdr>
            <w:top w:val="none" w:sz="0" w:space="0" w:color="auto"/>
            <w:left w:val="none" w:sz="0" w:space="0" w:color="auto"/>
            <w:bottom w:val="none" w:sz="0" w:space="0" w:color="auto"/>
            <w:right w:val="none" w:sz="0" w:space="0" w:color="auto"/>
          </w:divBdr>
        </w:div>
        <w:div w:id="785932299">
          <w:marLeft w:val="1418"/>
          <w:marRight w:val="0"/>
          <w:marTop w:val="60"/>
          <w:marBottom w:val="0"/>
          <w:divBdr>
            <w:top w:val="none" w:sz="0" w:space="0" w:color="auto"/>
            <w:left w:val="none" w:sz="0" w:space="0" w:color="auto"/>
            <w:bottom w:val="none" w:sz="0" w:space="0" w:color="auto"/>
            <w:right w:val="none" w:sz="0" w:space="0" w:color="auto"/>
          </w:divBdr>
        </w:div>
        <w:div w:id="901601689">
          <w:marLeft w:val="1418"/>
          <w:marRight w:val="0"/>
          <w:marTop w:val="60"/>
          <w:marBottom w:val="0"/>
          <w:divBdr>
            <w:top w:val="none" w:sz="0" w:space="0" w:color="auto"/>
            <w:left w:val="none" w:sz="0" w:space="0" w:color="auto"/>
            <w:bottom w:val="none" w:sz="0" w:space="0" w:color="auto"/>
            <w:right w:val="none" w:sz="0" w:space="0" w:color="auto"/>
          </w:divBdr>
        </w:div>
        <w:div w:id="1867599721">
          <w:marLeft w:val="567"/>
          <w:marRight w:val="0"/>
          <w:marTop w:val="60"/>
          <w:marBottom w:val="0"/>
          <w:divBdr>
            <w:top w:val="none" w:sz="0" w:space="0" w:color="auto"/>
            <w:left w:val="none" w:sz="0" w:space="0" w:color="auto"/>
            <w:bottom w:val="none" w:sz="0" w:space="0" w:color="auto"/>
            <w:right w:val="none" w:sz="0" w:space="0" w:color="auto"/>
          </w:divBdr>
        </w:div>
        <w:div w:id="409543931">
          <w:marLeft w:val="1418"/>
          <w:marRight w:val="0"/>
          <w:marTop w:val="60"/>
          <w:marBottom w:val="0"/>
          <w:divBdr>
            <w:top w:val="none" w:sz="0" w:space="0" w:color="auto"/>
            <w:left w:val="none" w:sz="0" w:space="0" w:color="auto"/>
            <w:bottom w:val="none" w:sz="0" w:space="0" w:color="auto"/>
            <w:right w:val="none" w:sz="0" w:space="0" w:color="auto"/>
          </w:divBdr>
        </w:div>
        <w:div w:id="948049054">
          <w:marLeft w:val="1418"/>
          <w:marRight w:val="0"/>
          <w:marTop w:val="60"/>
          <w:marBottom w:val="0"/>
          <w:divBdr>
            <w:top w:val="none" w:sz="0" w:space="0" w:color="auto"/>
            <w:left w:val="none" w:sz="0" w:space="0" w:color="auto"/>
            <w:bottom w:val="none" w:sz="0" w:space="0" w:color="auto"/>
            <w:right w:val="none" w:sz="0" w:space="0" w:color="auto"/>
          </w:divBdr>
        </w:div>
        <w:div w:id="2140223722">
          <w:marLeft w:val="1418"/>
          <w:marRight w:val="0"/>
          <w:marTop w:val="60"/>
          <w:marBottom w:val="0"/>
          <w:divBdr>
            <w:top w:val="none" w:sz="0" w:space="0" w:color="auto"/>
            <w:left w:val="none" w:sz="0" w:space="0" w:color="auto"/>
            <w:bottom w:val="none" w:sz="0" w:space="0" w:color="auto"/>
            <w:right w:val="none" w:sz="0" w:space="0" w:color="auto"/>
          </w:divBdr>
        </w:div>
      </w:divsChild>
    </w:div>
    <w:div w:id="686566399">
      <w:bodyDiv w:val="1"/>
      <w:marLeft w:val="0"/>
      <w:marRight w:val="0"/>
      <w:marTop w:val="0"/>
      <w:marBottom w:val="0"/>
      <w:divBdr>
        <w:top w:val="none" w:sz="0" w:space="0" w:color="auto"/>
        <w:left w:val="none" w:sz="0" w:space="0" w:color="auto"/>
        <w:bottom w:val="none" w:sz="0" w:space="0" w:color="auto"/>
        <w:right w:val="none" w:sz="0" w:space="0" w:color="auto"/>
      </w:divBdr>
      <w:divsChild>
        <w:div w:id="1576473749">
          <w:marLeft w:val="0"/>
          <w:marRight w:val="0"/>
          <w:marTop w:val="60"/>
          <w:marBottom w:val="0"/>
          <w:divBdr>
            <w:top w:val="none" w:sz="0" w:space="0" w:color="auto"/>
            <w:left w:val="none" w:sz="0" w:space="0" w:color="auto"/>
            <w:bottom w:val="none" w:sz="0" w:space="0" w:color="auto"/>
            <w:right w:val="none" w:sz="0" w:space="0" w:color="auto"/>
          </w:divBdr>
        </w:div>
        <w:div w:id="329875271">
          <w:marLeft w:val="0"/>
          <w:marRight w:val="0"/>
          <w:marTop w:val="60"/>
          <w:marBottom w:val="0"/>
          <w:divBdr>
            <w:top w:val="none" w:sz="0" w:space="0" w:color="auto"/>
            <w:left w:val="none" w:sz="0" w:space="0" w:color="auto"/>
            <w:bottom w:val="none" w:sz="0" w:space="0" w:color="auto"/>
            <w:right w:val="none" w:sz="0" w:space="0" w:color="auto"/>
          </w:divBdr>
        </w:div>
        <w:div w:id="80954603">
          <w:marLeft w:val="0"/>
          <w:marRight w:val="0"/>
          <w:marTop w:val="60"/>
          <w:marBottom w:val="0"/>
          <w:divBdr>
            <w:top w:val="none" w:sz="0" w:space="0" w:color="auto"/>
            <w:left w:val="none" w:sz="0" w:space="0" w:color="auto"/>
            <w:bottom w:val="none" w:sz="0" w:space="0" w:color="auto"/>
            <w:right w:val="none" w:sz="0" w:space="0" w:color="auto"/>
          </w:divBdr>
        </w:div>
        <w:div w:id="207691069">
          <w:marLeft w:val="0"/>
          <w:marRight w:val="0"/>
          <w:marTop w:val="180"/>
          <w:marBottom w:val="60"/>
          <w:divBdr>
            <w:top w:val="single" w:sz="8" w:space="1" w:color="808080"/>
            <w:left w:val="none" w:sz="0" w:space="0" w:color="auto"/>
            <w:bottom w:val="none" w:sz="0" w:space="0" w:color="auto"/>
            <w:right w:val="none" w:sz="0" w:space="0" w:color="auto"/>
          </w:divBdr>
        </w:div>
        <w:div w:id="1077946071">
          <w:marLeft w:val="0"/>
          <w:marRight w:val="0"/>
          <w:marTop w:val="60"/>
          <w:marBottom w:val="0"/>
          <w:divBdr>
            <w:top w:val="none" w:sz="0" w:space="0" w:color="auto"/>
            <w:left w:val="none" w:sz="0" w:space="0" w:color="auto"/>
            <w:bottom w:val="none" w:sz="0" w:space="0" w:color="auto"/>
            <w:right w:val="none" w:sz="0" w:space="0" w:color="auto"/>
          </w:divBdr>
        </w:div>
      </w:divsChild>
    </w:div>
    <w:div w:id="1001390481">
      <w:bodyDiv w:val="1"/>
      <w:marLeft w:val="0"/>
      <w:marRight w:val="0"/>
      <w:marTop w:val="0"/>
      <w:marBottom w:val="0"/>
      <w:divBdr>
        <w:top w:val="none" w:sz="0" w:space="0" w:color="auto"/>
        <w:left w:val="none" w:sz="0" w:space="0" w:color="auto"/>
        <w:bottom w:val="none" w:sz="0" w:space="0" w:color="auto"/>
        <w:right w:val="none" w:sz="0" w:space="0" w:color="auto"/>
      </w:divBdr>
      <w:divsChild>
        <w:div w:id="923999026">
          <w:marLeft w:val="0"/>
          <w:marRight w:val="0"/>
          <w:marTop w:val="120"/>
          <w:marBottom w:val="0"/>
          <w:divBdr>
            <w:top w:val="none" w:sz="0" w:space="0" w:color="auto"/>
            <w:left w:val="none" w:sz="0" w:space="0" w:color="auto"/>
            <w:bottom w:val="none" w:sz="0" w:space="0" w:color="auto"/>
            <w:right w:val="none" w:sz="0" w:space="0" w:color="auto"/>
          </w:divBdr>
        </w:div>
        <w:div w:id="1717855864">
          <w:marLeft w:val="0"/>
          <w:marRight w:val="0"/>
          <w:marTop w:val="120"/>
          <w:marBottom w:val="0"/>
          <w:divBdr>
            <w:top w:val="none" w:sz="0" w:space="0" w:color="auto"/>
            <w:left w:val="none" w:sz="0" w:space="0" w:color="auto"/>
            <w:bottom w:val="none" w:sz="0" w:space="0" w:color="auto"/>
            <w:right w:val="none" w:sz="0" w:space="0" w:color="auto"/>
          </w:divBdr>
        </w:div>
        <w:div w:id="919947090">
          <w:marLeft w:val="0"/>
          <w:marRight w:val="0"/>
          <w:marTop w:val="120"/>
          <w:marBottom w:val="0"/>
          <w:divBdr>
            <w:top w:val="none" w:sz="0" w:space="0" w:color="auto"/>
            <w:left w:val="none" w:sz="0" w:space="0" w:color="auto"/>
            <w:bottom w:val="none" w:sz="0" w:space="0" w:color="auto"/>
            <w:right w:val="none" w:sz="0" w:space="0" w:color="auto"/>
          </w:divBdr>
        </w:div>
      </w:divsChild>
    </w:div>
    <w:div w:id="1479297558">
      <w:bodyDiv w:val="1"/>
      <w:marLeft w:val="0"/>
      <w:marRight w:val="0"/>
      <w:marTop w:val="0"/>
      <w:marBottom w:val="0"/>
      <w:divBdr>
        <w:top w:val="none" w:sz="0" w:space="0" w:color="auto"/>
        <w:left w:val="none" w:sz="0" w:space="0" w:color="auto"/>
        <w:bottom w:val="none" w:sz="0" w:space="0" w:color="auto"/>
        <w:right w:val="none" w:sz="0" w:space="0" w:color="auto"/>
      </w:divBdr>
      <w:divsChild>
        <w:div w:id="915935777">
          <w:marLeft w:val="567"/>
          <w:marRight w:val="0"/>
          <w:marTop w:val="60"/>
          <w:marBottom w:val="0"/>
          <w:divBdr>
            <w:top w:val="none" w:sz="0" w:space="0" w:color="auto"/>
            <w:left w:val="none" w:sz="0" w:space="0" w:color="auto"/>
            <w:bottom w:val="none" w:sz="0" w:space="0" w:color="auto"/>
            <w:right w:val="none" w:sz="0" w:space="0" w:color="auto"/>
          </w:divBdr>
        </w:div>
        <w:div w:id="29498263">
          <w:marLeft w:val="567"/>
          <w:marRight w:val="0"/>
          <w:marTop w:val="120"/>
          <w:marBottom w:val="0"/>
          <w:divBdr>
            <w:top w:val="none" w:sz="0" w:space="0" w:color="auto"/>
            <w:left w:val="none" w:sz="0" w:space="0" w:color="auto"/>
            <w:bottom w:val="none" w:sz="0" w:space="0" w:color="auto"/>
            <w:right w:val="none" w:sz="0" w:space="0" w:color="auto"/>
          </w:divBdr>
        </w:div>
        <w:div w:id="1891306294">
          <w:marLeft w:val="567"/>
          <w:marRight w:val="0"/>
          <w:marTop w:val="120"/>
          <w:marBottom w:val="0"/>
          <w:divBdr>
            <w:top w:val="none" w:sz="0" w:space="0" w:color="auto"/>
            <w:left w:val="none" w:sz="0" w:space="0" w:color="auto"/>
            <w:bottom w:val="none" w:sz="0" w:space="0" w:color="auto"/>
            <w:right w:val="none" w:sz="0" w:space="0" w:color="auto"/>
          </w:divBdr>
        </w:div>
        <w:div w:id="818888417">
          <w:marLeft w:val="567"/>
          <w:marRight w:val="0"/>
          <w:marTop w:val="120"/>
          <w:marBottom w:val="0"/>
          <w:divBdr>
            <w:top w:val="none" w:sz="0" w:space="0" w:color="auto"/>
            <w:left w:val="none" w:sz="0" w:space="0" w:color="auto"/>
            <w:bottom w:val="none" w:sz="0" w:space="0" w:color="auto"/>
            <w:right w:val="none" w:sz="0" w:space="0" w:color="auto"/>
          </w:divBdr>
        </w:div>
      </w:divsChild>
    </w:div>
    <w:div w:id="1512916107">
      <w:bodyDiv w:val="1"/>
      <w:marLeft w:val="0"/>
      <w:marRight w:val="0"/>
      <w:marTop w:val="0"/>
      <w:marBottom w:val="0"/>
      <w:divBdr>
        <w:top w:val="none" w:sz="0" w:space="0" w:color="auto"/>
        <w:left w:val="none" w:sz="0" w:space="0" w:color="auto"/>
        <w:bottom w:val="none" w:sz="0" w:space="0" w:color="auto"/>
        <w:right w:val="none" w:sz="0" w:space="0" w:color="auto"/>
      </w:divBdr>
      <w:divsChild>
        <w:div w:id="2009405030">
          <w:marLeft w:val="0"/>
          <w:marRight w:val="0"/>
          <w:marTop w:val="120"/>
          <w:marBottom w:val="0"/>
          <w:divBdr>
            <w:top w:val="none" w:sz="0" w:space="0" w:color="auto"/>
            <w:left w:val="none" w:sz="0" w:space="0" w:color="auto"/>
            <w:bottom w:val="none" w:sz="0" w:space="0" w:color="auto"/>
            <w:right w:val="none" w:sz="0" w:space="0" w:color="auto"/>
          </w:divBdr>
        </w:div>
        <w:div w:id="1462115026">
          <w:marLeft w:val="1134"/>
          <w:marRight w:val="0"/>
          <w:marTop w:val="60"/>
          <w:marBottom w:val="0"/>
          <w:divBdr>
            <w:top w:val="none" w:sz="0" w:space="0" w:color="auto"/>
            <w:left w:val="none" w:sz="0" w:space="0" w:color="auto"/>
            <w:bottom w:val="none" w:sz="0" w:space="0" w:color="auto"/>
            <w:right w:val="none" w:sz="0" w:space="0" w:color="auto"/>
          </w:divBdr>
        </w:div>
        <w:div w:id="1745907455">
          <w:marLeft w:val="1134"/>
          <w:marRight w:val="0"/>
          <w:marTop w:val="60"/>
          <w:marBottom w:val="0"/>
          <w:divBdr>
            <w:top w:val="none" w:sz="0" w:space="0" w:color="auto"/>
            <w:left w:val="none" w:sz="0" w:space="0" w:color="auto"/>
            <w:bottom w:val="none" w:sz="0" w:space="0" w:color="auto"/>
            <w:right w:val="none" w:sz="0" w:space="0" w:color="auto"/>
          </w:divBdr>
        </w:div>
      </w:divsChild>
    </w:div>
    <w:div w:id="1567378640">
      <w:bodyDiv w:val="1"/>
      <w:marLeft w:val="0"/>
      <w:marRight w:val="0"/>
      <w:marTop w:val="0"/>
      <w:marBottom w:val="0"/>
      <w:divBdr>
        <w:top w:val="none" w:sz="0" w:space="0" w:color="auto"/>
        <w:left w:val="none" w:sz="0" w:space="0" w:color="auto"/>
        <w:bottom w:val="none" w:sz="0" w:space="0" w:color="auto"/>
        <w:right w:val="none" w:sz="0" w:space="0" w:color="auto"/>
      </w:divBdr>
      <w:divsChild>
        <w:div w:id="1683241179">
          <w:marLeft w:val="0"/>
          <w:marRight w:val="0"/>
          <w:marTop w:val="120"/>
          <w:marBottom w:val="0"/>
          <w:divBdr>
            <w:top w:val="none" w:sz="0" w:space="0" w:color="auto"/>
            <w:left w:val="none" w:sz="0" w:space="0" w:color="auto"/>
            <w:bottom w:val="none" w:sz="0" w:space="0" w:color="auto"/>
            <w:right w:val="none" w:sz="0" w:space="0" w:color="auto"/>
          </w:divBdr>
        </w:div>
        <w:div w:id="1397819222">
          <w:marLeft w:val="0"/>
          <w:marRight w:val="0"/>
          <w:marTop w:val="240"/>
          <w:marBottom w:val="24"/>
          <w:divBdr>
            <w:top w:val="single" w:sz="8" w:space="2" w:color="808080"/>
            <w:left w:val="none" w:sz="0" w:space="0" w:color="auto"/>
            <w:bottom w:val="none" w:sz="0" w:space="0" w:color="auto"/>
            <w:right w:val="none" w:sz="0" w:space="0" w:color="auto"/>
          </w:divBdr>
        </w:div>
        <w:div w:id="2040889162">
          <w:marLeft w:val="0"/>
          <w:marRight w:val="0"/>
          <w:marTop w:val="120"/>
          <w:marBottom w:val="0"/>
          <w:divBdr>
            <w:top w:val="none" w:sz="0" w:space="0" w:color="auto"/>
            <w:left w:val="none" w:sz="0" w:space="0" w:color="auto"/>
            <w:bottom w:val="none" w:sz="0" w:space="0" w:color="auto"/>
            <w:right w:val="none" w:sz="0" w:space="0" w:color="auto"/>
          </w:divBdr>
        </w:div>
        <w:div w:id="1538934305">
          <w:marLeft w:val="0"/>
          <w:marRight w:val="0"/>
          <w:marTop w:val="120"/>
          <w:marBottom w:val="0"/>
          <w:divBdr>
            <w:top w:val="none" w:sz="0" w:space="0" w:color="auto"/>
            <w:left w:val="none" w:sz="0" w:space="0" w:color="auto"/>
            <w:bottom w:val="none" w:sz="0" w:space="0" w:color="auto"/>
            <w:right w:val="none" w:sz="0" w:space="0" w:color="auto"/>
          </w:divBdr>
        </w:div>
        <w:div w:id="1829322793">
          <w:marLeft w:val="0"/>
          <w:marRight w:val="0"/>
          <w:marTop w:val="120"/>
          <w:marBottom w:val="0"/>
          <w:divBdr>
            <w:top w:val="none" w:sz="0" w:space="0" w:color="auto"/>
            <w:left w:val="none" w:sz="0" w:space="0" w:color="auto"/>
            <w:bottom w:val="none" w:sz="0" w:space="0" w:color="auto"/>
            <w:right w:val="none" w:sz="0" w:space="0" w:color="auto"/>
          </w:divBdr>
        </w:div>
        <w:div w:id="252473754">
          <w:marLeft w:val="0"/>
          <w:marRight w:val="0"/>
          <w:marTop w:val="120"/>
          <w:marBottom w:val="0"/>
          <w:divBdr>
            <w:top w:val="none" w:sz="0" w:space="0" w:color="auto"/>
            <w:left w:val="none" w:sz="0" w:space="0" w:color="auto"/>
            <w:bottom w:val="none" w:sz="0" w:space="0" w:color="auto"/>
            <w:right w:val="none" w:sz="0" w:space="0" w:color="auto"/>
          </w:divBdr>
        </w:div>
      </w:divsChild>
    </w:div>
    <w:div w:id="2086148730">
      <w:bodyDiv w:val="1"/>
      <w:marLeft w:val="0"/>
      <w:marRight w:val="0"/>
      <w:marTop w:val="0"/>
      <w:marBottom w:val="0"/>
      <w:divBdr>
        <w:top w:val="none" w:sz="0" w:space="0" w:color="auto"/>
        <w:left w:val="none" w:sz="0" w:space="0" w:color="auto"/>
        <w:bottom w:val="none" w:sz="0" w:space="0" w:color="auto"/>
        <w:right w:val="none" w:sz="0" w:space="0" w:color="auto"/>
      </w:divBdr>
      <w:divsChild>
        <w:div w:id="2089036049">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Judge-Somaganthie Naidoo</dc:creator>
  <cp:keywords/>
  <dc:description/>
  <cp:lastModifiedBy>Mariana Anguelov</cp:lastModifiedBy>
  <cp:revision>4</cp:revision>
  <cp:lastPrinted>2023-01-23T07:16:00Z</cp:lastPrinted>
  <dcterms:created xsi:type="dcterms:W3CDTF">2023-01-23T07:17:00Z</dcterms:created>
  <dcterms:modified xsi:type="dcterms:W3CDTF">2023-02-13T18:32:00Z</dcterms:modified>
</cp:coreProperties>
</file>