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D422" w14:textId="77777777" w:rsidR="00091DAB" w:rsidRDefault="00391977" w:rsidP="00091DAB">
      <w:pPr>
        <w:jc w:val="center"/>
        <w:rPr>
          <w:rFonts w:ascii="Arial" w:hAnsi="Arial" w:cs="Arial"/>
          <w:b/>
          <w:u w:val="single"/>
        </w:rPr>
      </w:pPr>
      <w:r>
        <w:rPr>
          <w:noProof/>
          <w:lang w:eastAsia="en-ZA"/>
        </w:rPr>
        <w:drawing>
          <wp:anchor distT="0" distB="0" distL="114300" distR="114300" simplePos="0" relativeHeight="251659264" behindDoc="1" locked="0" layoutInCell="1" allowOverlap="1" wp14:anchorId="377C3364" wp14:editId="32CC553A">
            <wp:simplePos x="0" y="0"/>
            <wp:positionH relativeFrom="column">
              <wp:posOffset>2333625</wp:posOffset>
            </wp:positionH>
            <wp:positionV relativeFrom="paragraph">
              <wp:posOffset>-200025</wp:posOffset>
            </wp:positionV>
            <wp:extent cx="1190444" cy="1019175"/>
            <wp:effectExtent l="0" t="0" r="0" b="0"/>
            <wp:wrapNone/>
            <wp:docPr id="2" name="Picture 2"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0444" cy="1019175"/>
                    </a:xfrm>
                    <a:prstGeom prst="rect">
                      <a:avLst/>
                    </a:prstGeom>
                    <a:noFill/>
                  </pic:spPr>
                </pic:pic>
              </a:graphicData>
            </a:graphic>
            <wp14:sizeRelH relativeFrom="page">
              <wp14:pctWidth>0</wp14:pctWidth>
            </wp14:sizeRelH>
            <wp14:sizeRelV relativeFrom="page">
              <wp14:pctHeight>0</wp14:pctHeight>
            </wp14:sizeRelV>
          </wp:anchor>
        </w:drawing>
      </w:r>
    </w:p>
    <w:p w14:paraId="581BD84B" w14:textId="77777777" w:rsidR="00091DAB" w:rsidRDefault="00091DAB" w:rsidP="00091DAB">
      <w:pPr>
        <w:jc w:val="center"/>
        <w:rPr>
          <w:rFonts w:ascii="Arial" w:hAnsi="Arial" w:cs="Arial"/>
          <w:b/>
          <w:u w:val="single"/>
        </w:rPr>
      </w:pPr>
    </w:p>
    <w:p w14:paraId="3F459B13" w14:textId="77777777" w:rsidR="00091DAB" w:rsidRDefault="00091DAB" w:rsidP="00091DAB">
      <w:pPr>
        <w:jc w:val="center"/>
        <w:rPr>
          <w:rFonts w:ascii="Arial" w:hAnsi="Arial" w:cs="Arial"/>
          <w:b/>
          <w:u w:val="single"/>
        </w:rPr>
      </w:pPr>
    </w:p>
    <w:p w14:paraId="6C5AFBF8" w14:textId="77777777" w:rsidR="00091DAB" w:rsidRDefault="00091DAB" w:rsidP="00091DAB">
      <w:pPr>
        <w:jc w:val="center"/>
        <w:rPr>
          <w:rFonts w:ascii="Arial" w:hAnsi="Arial" w:cs="Arial"/>
          <w:b/>
          <w:u w:val="single"/>
        </w:rPr>
      </w:pPr>
    </w:p>
    <w:p w14:paraId="798151A6" w14:textId="77777777" w:rsidR="00091DAB" w:rsidRPr="006B533F" w:rsidRDefault="00091DAB" w:rsidP="00091DAB">
      <w:pPr>
        <w:jc w:val="center"/>
        <w:rPr>
          <w:rFonts w:ascii="Arial" w:hAnsi="Arial" w:cs="Arial"/>
          <w:b/>
          <w:sz w:val="24"/>
          <w:szCs w:val="24"/>
          <w:u w:val="single"/>
        </w:rPr>
      </w:pPr>
      <w:r w:rsidRPr="006B533F">
        <w:rPr>
          <w:rFonts w:ascii="Arial" w:hAnsi="Arial" w:cs="Arial"/>
          <w:b/>
          <w:sz w:val="24"/>
          <w:szCs w:val="24"/>
          <w:u w:val="single"/>
        </w:rPr>
        <w:t>IN THE HIGH COURT OF SOUTH AFRICA,</w:t>
      </w:r>
    </w:p>
    <w:p w14:paraId="7126578B" w14:textId="77777777" w:rsidR="00091DAB" w:rsidRPr="00693FDB" w:rsidRDefault="00091DAB" w:rsidP="00091DAB">
      <w:pPr>
        <w:jc w:val="center"/>
        <w:rPr>
          <w:rFonts w:ascii="Arial" w:hAnsi="Arial" w:cs="Arial"/>
          <w:b/>
          <w:sz w:val="24"/>
          <w:szCs w:val="24"/>
          <w:u w:val="single"/>
        </w:rPr>
      </w:pPr>
      <w:r w:rsidRPr="006B533F">
        <w:rPr>
          <w:rFonts w:ascii="Arial" w:hAnsi="Arial" w:cs="Arial"/>
          <w:b/>
          <w:sz w:val="24"/>
          <w:szCs w:val="24"/>
          <w:u w:val="single"/>
        </w:rPr>
        <w:t>FREE STATE DIVISION, BLOEMFONTEIN</w:t>
      </w:r>
    </w:p>
    <w:tbl>
      <w:tblPr>
        <w:tblStyle w:val="TableGrid"/>
        <w:tblW w:w="0" w:type="auto"/>
        <w:tblInd w:w="5353" w:type="dxa"/>
        <w:tblLook w:val="04A0" w:firstRow="1" w:lastRow="0" w:firstColumn="1" w:lastColumn="0" w:noHBand="0" w:noVBand="1"/>
      </w:tblPr>
      <w:tblGrid>
        <w:gridCol w:w="3172"/>
      </w:tblGrid>
      <w:tr w:rsidR="00091DAB" w14:paraId="74CC595E" w14:textId="77777777" w:rsidTr="007C2D09">
        <w:trPr>
          <w:trHeight w:val="624"/>
        </w:trPr>
        <w:tc>
          <w:tcPr>
            <w:tcW w:w="31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974A4" w14:textId="77777777" w:rsidR="00091DAB" w:rsidRDefault="00091DAB" w:rsidP="007C2D09">
            <w:pPr>
              <w:rPr>
                <w:rFonts w:ascii="Arial" w:eastAsia="Times New Roman" w:hAnsi="Arial" w:cs="Arial"/>
                <w:b/>
                <w:sz w:val="16"/>
                <w:szCs w:val="16"/>
                <w:lang w:eastAsia="en-GB"/>
              </w:rPr>
            </w:pPr>
            <w:r>
              <w:rPr>
                <w:rFonts w:ascii="Arial" w:hAnsi="Arial" w:cs="Arial"/>
                <w:b/>
                <w:sz w:val="16"/>
                <w:szCs w:val="16"/>
              </w:rPr>
              <w:t>Reportable:                              YES/NO</w:t>
            </w:r>
          </w:p>
          <w:p w14:paraId="0AFCAF3E" w14:textId="77777777" w:rsidR="00091DAB" w:rsidRDefault="00091DAB" w:rsidP="007C2D09">
            <w:pPr>
              <w:rPr>
                <w:rFonts w:ascii="Arial" w:hAnsi="Arial" w:cs="Arial"/>
                <w:b/>
                <w:sz w:val="16"/>
                <w:szCs w:val="16"/>
              </w:rPr>
            </w:pPr>
            <w:r>
              <w:rPr>
                <w:rFonts w:ascii="Arial" w:hAnsi="Arial" w:cs="Arial"/>
                <w:b/>
                <w:sz w:val="16"/>
                <w:szCs w:val="16"/>
              </w:rPr>
              <w:t>Of Interest to other Judges:   YES/NO</w:t>
            </w:r>
          </w:p>
          <w:p w14:paraId="1ADB9413" w14:textId="77777777" w:rsidR="00091DAB" w:rsidRDefault="00091DAB" w:rsidP="007C2D09">
            <w:pPr>
              <w:rPr>
                <w:rFonts w:ascii="Arial" w:eastAsia="Times New Roman" w:hAnsi="Arial" w:cs="Arial"/>
                <w:b/>
                <w:sz w:val="16"/>
                <w:szCs w:val="16"/>
                <w:u w:val="single"/>
                <w:lang w:eastAsia="en-GB"/>
              </w:rPr>
            </w:pPr>
            <w:r>
              <w:rPr>
                <w:rFonts w:ascii="Arial" w:hAnsi="Arial" w:cs="Arial"/>
                <w:b/>
                <w:sz w:val="16"/>
                <w:szCs w:val="16"/>
              </w:rPr>
              <w:t>Circulate to Magistrates:        YES/NO</w:t>
            </w:r>
          </w:p>
        </w:tc>
      </w:tr>
    </w:tbl>
    <w:p w14:paraId="5E8D5B64" w14:textId="77777777" w:rsidR="00091DAB" w:rsidRPr="006B533F" w:rsidRDefault="00091DAB" w:rsidP="00091DAB">
      <w:pPr>
        <w:spacing w:after="0" w:line="240" w:lineRule="auto"/>
        <w:jc w:val="both"/>
        <w:rPr>
          <w:rFonts w:ascii="Arial" w:hAnsi="Arial" w:cs="Arial"/>
          <w:b/>
          <w:sz w:val="28"/>
          <w:szCs w:val="28"/>
        </w:rPr>
      </w:pPr>
      <w:r w:rsidRPr="001D52C9">
        <w:rPr>
          <w:rFonts w:ascii="Arial" w:hAnsi="Arial" w:cs="Arial"/>
          <w:b/>
          <w:sz w:val="28"/>
          <w:szCs w:val="28"/>
        </w:rPr>
        <w:tab/>
      </w:r>
      <w:r w:rsidRPr="006B533F">
        <w:rPr>
          <w:rFonts w:ascii="Arial" w:hAnsi="Arial" w:cs="Arial"/>
          <w:b/>
          <w:sz w:val="28"/>
          <w:szCs w:val="28"/>
        </w:rPr>
        <w:tab/>
      </w:r>
      <w:r w:rsidRPr="006B533F">
        <w:rPr>
          <w:rFonts w:ascii="Arial" w:hAnsi="Arial" w:cs="Arial"/>
          <w:b/>
          <w:sz w:val="28"/>
          <w:szCs w:val="28"/>
        </w:rPr>
        <w:tab/>
      </w:r>
      <w:r w:rsidRPr="006B533F">
        <w:rPr>
          <w:rFonts w:ascii="Arial" w:hAnsi="Arial" w:cs="Arial"/>
          <w:b/>
          <w:sz w:val="28"/>
          <w:szCs w:val="28"/>
        </w:rPr>
        <w:tab/>
      </w:r>
    </w:p>
    <w:p w14:paraId="6FF7E910" w14:textId="6FB12407" w:rsidR="00091DAB" w:rsidRPr="00EB2564" w:rsidRDefault="00091DAB" w:rsidP="00091DAB">
      <w:pPr>
        <w:spacing w:after="0" w:line="240" w:lineRule="auto"/>
        <w:jc w:val="right"/>
        <w:rPr>
          <w:rFonts w:ascii="Arial" w:hAnsi="Arial" w:cs="Arial"/>
          <w:sz w:val="24"/>
          <w:szCs w:val="24"/>
        </w:rPr>
      </w:pPr>
      <w:r w:rsidRPr="00EB2564">
        <w:rPr>
          <w:rFonts w:ascii="Arial" w:hAnsi="Arial" w:cs="Arial"/>
          <w:sz w:val="24"/>
          <w:szCs w:val="24"/>
        </w:rPr>
        <w:t xml:space="preserve">Case number:   </w:t>
      </w:r>
      <w:r w:rsidR="004D49FF" w:rsidRPr="004D49FF">
        <w:rPr>
          <w:rFonts w:ascii="Arial" w:eastAsia="Times New Roman" w:hAnsi="Arial" w:cs="Arial"/>
          <w:bCs/>
          <w:sz w:val="24"/>
          <w:szCs w:val="24"/>
          <w:lang w:eastAsia="en-GB"/>
        </w:rPr>
        <w:t>359</w:t>
      </w:r>
      <w:r w:rsidR="004D49FF" w:rsidRPr="004D49FF">
        <w:rPr>
          <w:rFonts w:ascii="Arial" w:eastAsia="Times New Roman" w:hAnsi="Arial" w:cs="Arial"/>
          <w:bCs/>
          <w:sz w:val="24"/>
          <w:szCs w:val="24"/>
          <w:lang w:eastAsia="en-GB"/>
        </w:rPr>
        <w:t>/</w:t>
      </w:r>
      <w:r w:rsidR="004D49FF" w:rsidRPr="004D49FF">
        <w:rPr>
          <w:rFonts w:ascii="Arial" w:eastAsia="Times New Roman" w:hAnsi="Arial" w:cs="Arial"/>
          <w:bCs/>
          <w:sz w:val="24"/>
          <w:szCs w:val="24"/>
          <w:lang w:eastAsia="en-GB"/>
        </w:rPr>
        <w:t>2023</w:t>
      </w:r>
    </w:p>
    <w:p w14:paraId="14B4ED92" w14:textId="77777777" w:rsidR="00091DAB" w:rsidRPr="00EB2564" w:rsidRDefault="00091DAB" w:rsidP="00091DAB">
      <w:pPr>
        <w:spacing w:after="0" w:line="240" w:lineRule="auto"/>
        <w:jc w:val="both"/>
        <w:rPr>
          <w:rFonts w:ascii="Arial" w:hAnsi="Arial" w:cs="Arial"/>
          <w:sz w:val="24"/>
          <w:szCs w:val="24"/>
        </w:rPr>
      </w:pPr>
    </w:p>
    <w:p w14:paraId="7C0ABD19" w14:textId="77777777" w:rsidR="00091DAB" w:rsidRPr="00EB2564" w:rsidRDefault="00091DAB" w:rsidP="00091DAB">
      <w:pPr>
        <w:spacing w:after="0" w:line="240" w:lineRule="auto"/>
        <w:jc w:val="both"/>
        <w:rPr>
          <w:rFonts w:ascii="Arial" w:hAnsi="Arial" w:cs="Arial"/>
          <w:sz w:val="24"/>
          <w:szCs w:val="24"/>
        </w:rPr>
      </w:pPr>
      <w:r w:rsidRPr="00EB2564">
        <w:rPr>
          <w:rFonts w:ascii="Arial" w:hAnsi="Arial" w:cs="Arial"/>
          <w:sz w:val="24"/>
          <w:szCs w:val="24"/>
        </w:rPr>
        <w:t xml:space="preserve">In the matter between: </w:t>
      </w:r>
    </w:p>
    <w:p w14:paraId="430557BA" w14:textId="77777777" w:rsidR="00091DAB" w:rsidRPr="00EB2564" w:rsidRDefault="00091DAB" w:rsidP="00091DAB">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14:paraId="52345E5D" w14:textId="08E430D3" w:rsidR="00B26CCA" w:rsidRPr="00EB2564" w:rsidRDefault="004D49FF" w:rsidP="00091DAB">
      <w:pPr>
        <w:tabs>
          <w:tab w:val="right" w:pos="9180"/>
        </w:tabs>
        <w:spacing w:after="0" w:line="240" w:lineRule="auto"/>
        <w:jc w:val="both"/>
        <w:rPr>
          <w:rFonts w:ascii="Arial" w:eastAsia="Times New Roman" w:hAnsi="Arial" w:cs="Arial"/>
          <w:sz w:val="24"/>
          <w:szCs w:val="24"/>
          <w:lang w:eastAsia="en-GB"/>
        </w:rPr>
      </w:pPr>
      <w:r w:rsidRPr="004D49FF">
        <w:rPr>
          <w:rFonts w:ascii="Arial" w:eastAsia="Times New Roman" w:hAnsi="Arial" w:cs="Arial"/>
          <w:b/>
          <w:sz w:val="24"/>
          <w:szCs w:val="24"/>
          <w:lang w:eastAsia="en-GB"/>
        </w:rPr>
        <w:t xml:space="preserve">SOUTH BOUND VAN LINES CC  </w:t>
      </w:r>
      <w:r w:rsidR="0058757C" w:rsidRPr="00EB2564">
        <w:rPr>
          <w:rFonts w:ascii="Arial" w:eastAsia="Times New Roman" w:hAnsi="Arial" w:cs="Arial"/>
          <w:b/>
          <w:sz w:val="24"/>
          <w:szCs w:val="24"/>
          <w:lang w:eastAsia="en-GB"/>
        </w:rPr>
        <w:tab/>
      </w:r>
      <w:r w:rsidR="003977A7">
        <w:rPr>
          <w:rFonts w:ascii="Arial" w:eastAsia="Times New Roman" w:hAnsi="Arial" w:cs="Arial"/>
          <w:sz w:val="24"/>
          <w:szCs w:val="24"/>
          <w:lang w:eastAsia="en-GB"/>
        </w:rPr>
        <w:t>Applicant</w:t>
      </w:r>
    </w:p>
    <w:p w14:paraId="7BC4A917" w14:textId="77777777" w:rsidR="00091DAB" w:rsidRPr="00EB2564" w:rsidRDefault="00091DAB" w:rsidP="00C53CC7">
      <w:pPr>
        <w:tabs>
          <w:tab w:val="right" w:pos="8306"/>
        </w:tabs>
        <w:spacing w:after="0" w:line="240" w:lineRule="auto"/>
        <w:jc w:val="both"/>
        <w:rPr>
          <w:rFonts w:ascii="Arial" w:eastAsia="Times New Roman" w:hAnsi="Arial" w:cs="Arial"/>
          <w:b/>
          <w:sz w:val="24"/>
          <w:szCs w:val="24"/>
          <w:lang w:eastAsia="en-GB"/>
        </w:rPr>
      </w:pPr>
    </w:p>
    <w:p w14:paraId="4297E3FF" w14:textId="77777777" w:rsidR="00091DAB" w:rsidRPr="00EB2564" w:rsidRDefault="0005789D" w:rsidP="00091DAB">
      <w:pPr>
        <w:tabs>
          <w:tab w:val="right" w:pos="8306"/>
        </w:tabs>
        <w:spacing w:after="0" w:line="360" w:lineRule="auto"/>
        <w:jc w:val="both"/>
        <w:rPr>
          <w:rFonts w:ascii="Arial" w:eastAsia="Times New Roman" w:hAnsi="Arial" w:cs="Arial"/>
          <w:sz w:val="24"/>
          <w:szCs w:val="24"/>
          <w:lang w:eastAsia="en-GB"/>
        </w:rPr>
      </w:pPr>
      <w:r w:rsidRPr="00EB2564">
        <w:rPr>
          <w:rFonts w:ascii="Arial" w:eastAsia="Times New Roman" w:hAnsi="Arial" w:cs="Arial"/>
          <w:sz w:val="24"/>
          <w:szCs w:val="24"/>
          <w:lang w:eastAsia="en-GB"/>
        </w:rPr>
        <w:t>and</w:t>
      </w:r>
    </w:p>
    <w:p w14:paraId="5812853A" w14:textId="77777777" w:rsidR="0005789D" w:rsidRPr="00EB2564" w:rsidRDefault="0005789D" w:rsidP="00C53CC7">
      <w:pPr>
        <w:tabs>
          <w:tab w:val="right" w:pos="8306"/>
        </w:tabs>
        <w:spacing w:after="0" w:line="240" w:lineRule="auto"/>
        <w:jc w:val="both"/>
        <w:rPr>
          <w:rFonts w:ascii="Arial" w:eastAsia="Times New Roman" w:hAnsi="Arial" w:cs="Arial"/>
          <w:sz w:val="24"/>
          <w:szCs w:val="24"/>
          <w:lang w:eastAsia="en-GB"/>
        </w:rPr>
      </w:pPr>
    </w:p>
    <w:p w14:paraId="4ADF25B5" w14:textId="6902CC50" w:rsidR="00C819E6" w:rsidRDefault="004D49FF" w:rsidP="00C819E6">
      <w:pPr>
        <w:tabs>
          <w:tab w:val="right" w:pos="9180"/>
        </w:tabs>
        <w:spacing w:after="0" w:line="360" w:lineRule="auto"/>
        <w:jc w:val="both"/>
        <w:rPr>
          <w:rFonts w:ascii="Arial" w:eastAsia="Times New Roman" w:hAnsi="Arial" w:cs="Arial"/>
          <w:b/>
          <w:sz w:val="24"/>
          <w:szCs w:val="24"/>
          <w:lang w:eastAsia="en-GB"/>
        </w:rPr>
      </w:pPr>
      <w:r w:rsidRPr="004D49FF">
        <w:rPr>
          <w:rFonts w:ascii="Arial" w:eastAsia="Times New Roman" w:hAnsi="Arial" w:cs="Arial"/>
          <w:b/>
          <w:sz w:val="24"/>
          <w:szCs w:val="24"/>
          <w:lang w:eastAsia="en-GB"/>
        </w:rPr>
        <w:t>THE HOD</w:t>
      </w:r>
      <w:r w:rsidR="00C819E6">
        <w:rPr>
          <w:rFonts w:ascii="Arial" w:eastAsia="Times New Roman" w:hAnsi="Arial" w:cs="Arial"/>
          <w:b/>
          <w:sz w:val="24"/>
          <w:szCs w:val="24"/>
          <w:lang w:eastAsia="en-GB"/>
        </w:rPr>
        <w:t>:</w:t>
      </w:r>
      <w:r w:rsidRPr="004D49FF">
        <w:rPr>
          <w:rFonts w:ascii="Arial" w:eastAsia="Times New Roman" w:hAnsi="Arial" w:cs="Arial"/>
          <w:b/>
          <w:sz w:val="24"/>
          <w:szCs w:val="24"/>
          <w:lang w:eastAsia="en-GB"/>
        </w:rPr>
        <w:t xml:space="preserve"> FREE STATE PROVINCIAL DEPARTMEN</w:t>
      </w:r>
      <w:r>
        <w:rPr>
          <w:rFonts w:ascii="Arial" w:eastAsia="Times New Roman" w:hAnsi="Arial" w:cs="Arial"/>
          <w:b/>
          <w:sz w:val="24"/>
          <w:szCs w:val="24"/>
          <w:lang w:eastAsia="en-GB"/>
        </w:rPr>
        <w:t>T</w:t>
      </w:r>
      <w:r w:rsidRPr="004D49FF">
        <w:rPr>
          <w:rFonts w:ascii="Arial" w:eastAsia="Times New Roman" w:hAnsi="Arial" w:cs="Arial"/>
          <w:b/>
          <w:sz w:val="24"/>
          <w:szCs w:val="24"/>
          <w:lang w:eastAsia="en-GB"/>
        </w:rPr>
        <w:t xml:space="preserve"> </w:t>
      </w:r>
    </w:p>
    <w:p w14:paraId="38AE4806" w14:textId="0ABF53E9" w:rsidR="00903EB7" w:rsidRPr="00C819E6" w:rsidRDefault="004D49FF" w:rsidP="00C819E6">
      <w:pPr>
        <w:tabs>
          <w:tab w:val="right" w:pos="9180"/>
        </w:tabs>
        <w:spacing w:after="0" w:line="360" w:lineRule="auto"/>
        <w:jc w:val="both"/>
        <w:rPr>
          <w:rFonts w:ascii="Arial" w:eastAsia="Times New Roman" w:hAnsi="Arial" w:cs="Arial"/>
          <w:b/>
          <w:sz w:val="24"/>
          <w:szCs w:val="24"/>
          <w:lang w:eastAsia="en-GB"/>
        </w:rPr>
      </w:pPr>
      <w:r w:rsidRPr="004D49FF">
        <w:rPr>
          <w:rFonts w:ascii="Arial" w:eastAsia="Times New Roman" w:hAnsi="Arial" w:cs="Arial"/>
          <w:b/>
          <w:sz w:val="24"/>
          <w:szCs w:val="24"/>
          <w:lang w:eastAsia="en-GB"/>
        </w:rPr>
        <w:t>OF</w:t>
      </w:r>
      <w:r w:rsidR="00C819E6">
        <w:rPr>
          <w:rFonts w:ascii="Arial" w:eastAsia="Times New Roman" w:hAnsi="Arial" w:cs="Arial"/>
          <w:b/>
          <w:sz w:val="24"/>
          <w:szCs w:val="24"/>
          <w:lang w:eastAsia="en-GB"/>
        </w:rPr>
        <w:t xml:space="preserve"> </w:t>
      </w:r>
      <w:r w:rsidRPr="004D49FF">
        <w:rPr>
          <w:rFonts w:ascii="Arial" w:eastAsia="Times New Roman" w:hAnsi="Arial" w:cs="Arial"/>
          <w:b/>
          <w:sz w:val="24"/>
          <w:szCs w:val="24"/>
          <w:lang w:eastAsia="en-GB"/>
        </w:rPr>
        <w:t>HEALTH</w:t>
      </w:r>
      <w:r w:rsidR="00E122D6" w:rsidRPr="00EB2564">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003977A7">
        <w:rPr>
          <w:rFonts w:ascii="Arial" w:eastAsia="Times New Roman" w:hAnsi="Arial" w:cs="Arial"/>
          <w:sz w:val="24"/>
          <w:szCs w:val="24"/>
          <w:lang w:eastAsia="en-GB"/>
        </w:rPr>
        <w:t>First Responde</w:t>
      </w:r>
      <w:r w:rsidR="00B26CCA">
        <w:rPr>
          <w:rFonts w:ascii="Arial" w:eastAsia="Times New Roman" w:hAnsi="Arial" w:cs="Arial"/>
          <w:sz w:val="24"/>
          <w:szCs w:val="24"/>
          <w:lang w:eastAsia="en-GB"/>
        </w:rPr>
        <w:t>nt</w:t>
      </w:r>
    </w:p>
    <w:p w14:paraId="288B8989" w14:textId="3355D7F9" w:rsidR="004D49FF" w:rsidRDefault="004D49FF" w:rsidP="00C819E6">
      <w:pPr>
        <w:tabs>
          <w:tab w:val="right" w:pos="9180"/>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THE MEC: FREE STATE PROVINCIAL </w:t>
      </w:r>
      <w:r w:rsidR="00C819E6">
        <w:rPr>
          <w:rFonts w:ascii="Arial" w:eastAsia="Times New Roman" w:hAnsi="Arial" w:cs="Arial"/>
          <w:b/>
          <w:sz w:val="24"/>
          <w:szCs w:val="24"/>
          <w:lang w:eastAsia="en-GB"/>
        </w:rPr>
        <w:t>GOVERNMENT:</w:t>
      </w:r>
    </w:p>
    <w:p w14:paraId="2240842C" w14:textId="6B741CF0" w:rsidR="00B26CCA" w:rsidRPr="00B26CCA" w:rsidRDefault="00C819E6" w:rsidP="00C819E6">
      <w:pPr>
        <w:tabs>
          <w:tab w:val="right" w:pos="9180"/>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DEPARTMENT OF HEALTH</w:t>
      </w:r>
      <w:r w:rsidR="00B26CCA">
        <w:rPr>
          <w:rFonts w:ascii="Arial" w:eastAsia="Times New Roman" w:hAnsi="Arial" w:cs="Arial"/>
          <w:b/>
          <w:sz w:val="24"/>
          <w:szCs w:val="24"/>
          <w:lang w:eastAsia="en-GB"/>
        </w:rPr>
        <w:tab/>
      </w:r>
      <w:r w:rsidR="003977A7">
        <w:rPr>
          <w:rFonts w:ascii="Arial" w:eastAsia="Times New Roman" w:hAnsi="Arial" w:cs="Arial"/>
          <w:sz w:val="24"/>
          <w:szCs w:val="24"/>
          <w:lang w:eastAsia="en-GB"/>
        </w:rPr>
        <w:t>Second Responde</w:t>
      </w:r>
      <w:r w:rsidR="00B26CCA" w:rsidRPr="00B26CCA">
        <w:rPr>
          <w:rFonts w:ascii="Arial" w:eastAsia="Times New Roman" w:hAnsi="Arial" w:cs="Arial"/>
          <w:sz w:val="24"/>
          <w:szCs w:val="24"/>
          <w:lang w:eastAsia="en-GB"/>
        </w:rPr>
        <w:t>nt</w:t>
      </w:r>
    </w:p>
    <w:p w14:paraId="5280C68E" w14:textId="2005CFD8" w:rsidR="00A445C0" w:rsidRPr="003A3338" w:rsidRDefault="00A445C0" w:rsidP="00A445C0">
      <w:pPr>
        <w:pBdr>
          <w:bottom w:val="single" w:sz="12" w:space="1" w:color="auto"/>
        </w:pBdr>
        <w:spacing w:after="0" w:line="240" w:lineRule="auto"/>
        <w:jc w:val="both"/>
        <w:rPr>
          <w:rFonts w:ascii="Arial" w:hAnsi="Arial" w:cs="Arial"/>
          <w:b/>
          <w:sz w:val="24"/>
          <w:szCs w:val="24"/>
        </w:rPr>
      </w:pPr>
      <w:r w:rsidRPr="003A3338">
        <w:rPr>
          <w:rFonts w:ascii="Arial" w:hAnsi="Arial" w:cs="Arial"/>
          <w:b/>
          <w:sz w:val="24"/>
          <w:szCs w:val="24"/>
        </w:rPr>
        <w:tab/>
      </w:r>
    </w:p>
    <w:p w14:paraId="314E2741" w14:textId="77777777" w:rsidR="00A445C0" w:rsidRPr="003A3338" w:rsidRDefault="00A445C0" w:rsidP="00A445C0">
      <w:pPr>
        <w:spacing w:after="0" w:line="240" w:lineRule="auto"/>
        <w:contextualSpacing/>
        <w:jc w:val="both"/>
        <w:rPr>
          <w:rFonts w:ascii="Arial" w:hAnsi="Arial" w:cs="Arial"/>
          <w:b/>
          <w:sz w:val="24"/>
          <w:szCs w:val="24"/>
          <w:u w:val="single"/>
        </w:rPr>
      </w:pPr>
    </w:p>
    <w:p w14:paraId="1E44B125" w14:textId="4E0AF276" w:rsidR="00A445C0" w:rsidRPr="003A3338" w:rsidRDefault="00A445C0" w:rsidP="00A445C0">
      <w:pPr>
        <w:spacing w:after="0" w:line="240" w:lineRule="auto"/>
        <w:contextualSpacing/>
        <w:jc w:val="both"/>
        <w:rPr>
          <w:rFonts w:ascii="Arial" w:hAnsi="Arial" w:cs="Arial"/>
          <w:sz w:val="24"/>
          <w:szCs w:val="24"/>
          <w:u w:val="single"/>
        </w:rPr>
      </w:pPr>
      <w:r w:rsidRPr="003A3338">
        <w:rPr>
          <w:rFonts w:ascii="Arial" w:hAnsi="Arial" w:cs="Arial"/>
          <w:b/>
          <w:sz w:val="24"/>
          <w:szCs w:val="24"/>
          <w:u w:val="single"/>
        </w:rPr>
        <w:t>HEARD ON:</w:t>
      </w:r>
      <w:r w:rsidRPr="003A3338">
        <w:rPr>
          <w:rFonts w:ascii="Arial" w:hAnsi="Arial" w:cs="Arial"/>
          <w:sz w:val="24"/>
          <w:szCs w:val="24"/>
        </w:rPr>
        <w:tab/>
      </w:r>
      <w:r w:rsidRPr="003A3338">
        <w:rPr>
          <w:rFonts w:ascii="Arial" w:hAnsi="Arial" w:cs="Arial"/>
          <w:sz w:val="24"/>
          <w:szCs w:val="24"/>
        </w:rPr>
        <w:tab/>
      </w:r>
      <w:r>
        <w:rPr>
          <w:rFonts w:ascii="Arial" w:hAnsi="Arial" w:cs="Arial"/>
          <w:sz w:val="24"/>
          <w:szCs w:val="24"/>
        </w:rPr>
        <w:tab/>
        <w:t>1</w:t>
      </w:r>
      <w:r>
        <w:rPr>
          <w:rFonts w:ascii="Arial" w:hAnsi="Arial" w:cs="Arial"/>
          <w:sz w:val="24"/>
          <w:szCs w:val="24"/>
        </w:rPr>
        <w:t>6 FEBRUARY</w:t>
      </w:r>
      <w:r w:rsidRPr="003A3338">
        <w:rPr>
          <w:rFonts w:ascii="Arial" w:hAnsi="Arial" w:cs="Arial"/>
          <w:b/>
          <w:sz w:val="24"/>
          <w:szCs w:val="24"/>
        </w:rPr>
        <w:t xml:space="preserve"> </w:t>
      </w:r>
      <w:r w:rsidRPr="003A3338">
        <w:rPr>
          <w:rFonts w:ascii="Arial" w:hAnsi="Arial" w:cs="Arial"/>
          <w:sz w:val="24"/>
          <w:szCs w:val="24"/>
        </w:rPr>
        <w:t>202</w:t>
      </w:r>
      <w:r>
        <w:rPr>
          <w:rFonts w:ascii="Arial" w:hAnsi="Arial" w:cs="Arial"/>
          <w:sz w:val="24"/>
          <w:szCs w:val="24"/>
        </w:rPr>
        <w:t>3</w:t>
      </w:r>
    </w:p>
    <w:p w14:paraId="4C4CABB0" w14:textId="77777777" w:rsidR="00A445C0" w:rsidRPr="003A3338" w:rsidRDefault="00A445C0" w:rsidP="00A445C0">
      <w:pPr>
        <w:pBdr>
          <w:bottom w:val="single" w:sz="6" w:space="1" w:color="auto"/>
        </w:pBdr>
        <w:spacing w:after="0" w:line="240" w:lineRule="auto"/>
        <w:contextualSpacing/>
        <w:jc w:val="both"/>
        <w:rPr>
          <w:rFonts w:ascii="Arial" w:hAnsi="Arial" w:cs="Arial"/>
          <w:b/>
          <w:sz w:val="24"/>
          <w:szCs w:val="24"/>
        </w:rPr>
      </w:pPr>
    </w:p>
    <w:p w14:paraId="34635136" w14:textId="77777777" w:rsidR="00A445C0" w:rsidRPr="003A3338" w:rsidRDefault="00A445C0" w:rsidP="00A445C0">
      <w:pPr>
        <w:spacing w:after="0" w:line="240" w:lineRule="auto"/>
        <w:contextualSpacing/>
        <w:jc w:val="both"/>
        <w:rPr>
          <w:rFonts w:ascii="Arial" w:hAnsi="Arial" w:cs="Arial"/>
          <w:b/>
          <w:sz w:val="24"/>
          <w:szCs w:val="24"/>
          <w:u w:val="single"/>
          <w:lang w:val="nb-NO"/>
        </w:rPr>
      </w:pPr>
    </w:p>
    <w:p w14:paraId="612F4906" w14:textId="77777777" w:rsidR="00A445C0" w:rsidRPr="003A3338" w:rsidRDefault="00A445C0" w:rsidP="00A445C0">
      <w:pPr>
        <w:spacing w:after="0" w:line="240" w:lineRule="auto"/>
        <w:contextualSpacing/>
        <w:jc w:val="both"/>
        <w:rPr>
          <w:rFonts w:ascii="Arial" w:hAnsi="Arial" w:cs="Arial"/>
          <w:sz w:val="24"/>
          <w:szCs w:val="24"/>
          <w:u w:val="single"/>
        </w:rPr>
      </w:pPr>
      <w:r w:rsidRPr="003A3338">
        <w:rPr>
          <w:rFonts w:ascii="Arial" w:hAnsi="Arial" w:cs="Arial"/>
          <w:b/>
          <w:sz w:val="24"/>
          <w:szCs w:val="24"/>
          <w:u w:val="single"/>
        </w:rPr>
        <w:t>JUDGEMENT BY:</w:t>
      </w:r>
      <w:r w:rsidRPr="003A3338">
        <w:rPr>
          <w:rFonts w:ascii="Arial" w:hAnsi="Arial" w:cs="Arial"/>
          <w:sz w:val="24"/>
          <w:szCs w:val="24"/>
        </w:rPr>
        <w:tab/>
      </w:r>
      <w:r>
        <w:rPr>
          <w:rFonts w:ascii="Arial" w:hAnsi="Arial" w:cs="Arial"/>
          <w:sz w:val="24"/>
          <w:szCs w:val="24"/>
        </w:rPr>
        <w:tab/>
      </w:r>
      <w:r w:rsidRPr="003A3338">
        <w:rPr>
          <w:rFonts w:ascii="Arial" w:eastAsia="Times New Roman" w:hAnsi="Arial" w:cs="Arial"/>
          <w:sz w:val="24"/>
          <w:szCs w:val="24"/>
          <w:lang w:eastAsia="en-GB"/>
        </w:rPr>
        <w:t>LOUBSER, J</w:t>
      </w:r>
    </w:p>
    <w:p w14:paraId="6E116529" w14:textId="77777777" w:rsidR="00A445C0" w:rsidRPr="003A3338" w:rsidRDefault="00A445C0" w:rsidP="00A445C0">
      <w:pPr>
        <w:pBdr>
          <w:bottom w:val="single" w:sz="6" w:space="1" w:color="auto"/>
        </w:pBdr>
        <w:spacing w:after="0" w:line="240" w:lineRule="auto"/>
        <w:contextualSpacing/>
        <w:jc w:val="both"/>
        <w:rPr>
          <w:rFonts w:ascii="Arial" w:hAnsi="Arial" w:cs="Arial"/>
          <w:b/>
          <w:sz w:val="24"/>
          <w:szCs w:val="24"/>
        </w:rPr>
      </w:pPr>
    </w:p>
    <w:p w14:paraId="2C62CB02" w14:textId="77777777" w:rsidR="00A445C0" w:rsidRPr="003A3338" w:rsidRDefault="00A445C0" w:rsidP="00A445C0">
      <w:pPr>
        <w:spacing w:after="0" w:line="240" w:lineRule="auto"/>
        <w:contextualSpacing/>
        <w:jc w:val="both"/>
        <w:rPr>
          <w:rFonts w:ascii="Arial" w:hAnsi="Arial" w:cs="Arial"/>
          <w:b/>
          <w:sz w:val="24"/>
          <w:szCs w:val="24"/>
        </w:rPr>
      </w:pPr>
    </w:p>
    <w:p w14:paraId="6512E1F8" w14:textId="120C0919" w:rsidR="00A445C0" w:rsidRPr="003A3338" w:rsidRDefault="00A445C0" w:rsidP="00A445C0">
      <w:pPr>
        <w:spacing w:after="0" w:line="240" w:lineRule="auto"/>
        <w:ind w:left="2880" w:hanging="2880"/>
        <w:contextualSpacing/>
        <w:jc w:val="both"/>
        <w:rPr>
          <w:rFonts w:ascii="Arial" w:hAnsi="Arial" w:cs="Arial"/>
          <w:sz w:val="24"/>
          <w:szCs w:val="24"/>
          <w:u w:val="single"/>
        </w:rPr>
      </w:pPr>
      <w:r w:rsidRPr="003A3338">
        <w:rPr>
          <w:rFonts w:ascii="Arial" w:hAnsi="Arial" w:cs="Arial"/>
          <w:b/>
          <w:sz w:val="24"/>
          <w:szCs w:val="24"/>
          <w:u w:val="single"/>
        </w:rPr>
        <w:t>DELIVERED ON:</w:t>
      </w:r>
      <w:r w:rsidRPr="003A3338">
        <w:rPr>
          <w:rFonts w:ascii="Arial" w:hAnsi="Arial" w:cs="Arial"/>
          <w:sz w:val="24"/>
          <w:szCs w:val="24"/>
        </w:rPr>
        <w:tab/>
      </w:r>
      <w:r w:rsidR="0071277A" w:rsidRPr="00157D82">
        <w:rPr>
          <w:rFonts w:ascii="Arial" w:hAnsi="Arial" w:cs="Arial"/>
          <w:sz w:val="24"/>
          <w:szCs w:val="24"/>
        </w:rPr>
        <w:t>The judgment was handed down electronically by circulation to the parties’ legal representatives by email and release</w:t>
      </w:r>
      <w:r w:rsidR="0071277A">
        <w:rPr>
          <w:rFonts w:ascii="Arial" w:hAnsi="Arial" w:cs="Arial"/>
          <w:sz w:val="24"/>
          <w:szCs w:val="24"/>
        </w:rPr>
        <w:t>d</w:t>
      </w:r>
      <w:r w:rsidR="0071277A" w:rsidRPr="00157D82">
        <w:rPr>
          <w:rFonts w:ascii="Arial" w:hAnsi="Arial" w:cs="Arial"/>
          <w:sz w:val="24"/>
          <w:szCs w:val="24"/>
        </w:rPr>
        <w:t xml:space="preserve"> to SAFLII on </w:t>
      </w:r>
      <w:r w:rsidR="0071277A">
        <w:rPr>
          <w:rFonts w:ascii="Arial" w:hAnsi="Arial" w:cs="Arial"/>
          <w:sz w:val="24"/>
          <w:szCs w:val="24"/>
        </w:rPr>
        <w:t>24 FEBRUARY</w:t>
      </w:r>
      <w:r w:rsidR="0071277A" w:rsidRPr="003A3338">
        <w:rPr>
          <w:rFonts w:ascii="Arial" w:hAnsi="Arial" w:cs="Arial"/>
          <w:b/>
          <w:sz w:val="24"/>
          <w:szCs w:val="24"/>
        </w:rPr>
        <w:t xml:space="preserve"> </w:t>
      </w:r>
      <w:r w:rsidR="0071277A" w:rsidRPr="003A3338">
        <w:rPr>
          <w:rFonts w:ascii="Arial" w:hAnsi="Arial" w:cs="Arial"/>
          <w:sz w:val="24"/>
          <w:szCs w:val="24"/>
        </w:rPr>
        <w:t>202</w:t>
      </w:r>
      <w:r w:rsidR="0071277A">
        <w:rPr>
          <w:rFonts w:ascii="Arial" w:hAnsi="Arial" w:cs="Arial"/>
          <w:sz w:val="24"/>
          <w:szCs w:val="24"/>
        </w:rPr>
        <w:t>3</w:t>
      </w:r>
      <w:r w:rsidR="0071277A" w:rsidRPr="00157D82">
        <w:rPr>
          <w:rFonts w:ascii="Arial" w:hAnsi="Arial" w:cs="Arial"/>
          <w:sz w:val="24"/>
          <w:szCs w:val="24"/>
        </w:rPr>
        <w:t xml:space="preserve">. The date and time for hand-down is deemed to be </w:t>
      </w:r>
      <w:r w:rsidR="0071277A">
        <w:rPr>
          <w:rFonts w:ascii="Arial" w:hAnsi="Arial" w:cs="Arial"/>
          <w:sz w:val="24"/>
          <w:szCs w:val="24"/>
        </w:rPr>
        <w:t>24 FEBRUARY</w:t>
      </w:r>
      <w:r w:rsidR="0071277A" w:rsidRPr="003A3338">
        <w:rPr>
          <w:rFonts w:ascii="Arial" w:hAnsi="Arial" w:cs="Arial"/>
          <w:b/>
          <w:sz w:val="24"/>
          <w:szCs w:val="24"/>
        </w:rPr>
        <w:t xml:space="preserve"> </w:t>
      </w:r>
      <w:r w:rsidR="0071277A" w:rsidRPr="003A3338">
        <w:rPr>
          <w:rFonts w:ascii="Arial" w:hAnsi="Arial" w:cs="Arial"/>
          <w:sz w:val="24"/>
          <w:szCs w:val="24"/>
        </w:rPr>
        <w:t>202</w:t>
      </w:r>
      <w:r w:rsidR="0071277A">
        <w:rPr>
          <w:rFonts w:ascii="Arial" w:hAnsi="Arial" w:cs="Arial"/>
          <w:sz w:val="24"/>
          <w:szCs w:val="24"/>
        </w:rPr>
        <w:t>3</w:t>
      </w:r>
      <w:r w:rsidR="0071277A">
        <w:rPr>
          <w:rFonts w:ascii="Arial" w:hAnsi="Arial" w:cs="Arial"/>
          <w:sz w:val="24"/>
          <w:szCs w:val="24"/>
        </w:rPr>
        <w:t xml:space="preserve"> </w:t>
      </w:r>
      <w:r w:rsidR="0071277A" w:rsidRPr="00157D82">
        <w:rPr>
          <w:rFonts w:ascii="Arial" w:hAnsi="Arial" w:cs="Arial"/>
          <w:sz w:val="24"/>
          <w:szCs w:val="24"/>
        </w:rPr>
        <w:t>at 1</w:t>
      </w:r>
      <w:r w:rsidR="0071277A">
        <w:rPr>
          <w:rFonts w:ascii="Arial" w:hAnsi="Arial" w:cs="Arial"/>
          <w:sz w:val="24"/>
          <w:szCs w:val="24"/>
        </w:rPr>
        <w:t>2</w:t>
      </w:r>
      <w:r w:rsidR="0071277A" w:rsidRPr="00157D82">
        <w:rPr>
          <w:rFonts w:ascii="Arial" w:hAnsi="Arial" w:cs="Arial"/>
          <w:sz w:val="24"/>
          <w:szCs w:val="24"/>
        </w:rPr>
        <w:t>:</w:t>
      </w:r>
      <w:r w:rsidR="000B1FEC">
        <w:rPr>
          <w:rFonts w:ascii="Arial" w:hAnsi="Arial" w:cs="Arial"/>
          <w:sz w:val="24"/>
          <w:szCs w:val="24"/>
        </w:rPr>
        <w:t>0</w:t>
      </w:r>
      <w:r w:rsidR="0071277A" w:rsidRPr="00157D82">
        <w:rPr>
          <w:rFonts w:ascii="Arial" w:hAnsi="Arial" w:cs="Arial"/>
          <w:sz w:val="24"/>
          <w:szCs w:val="24"/>
        </w:rPr>
        <w:t>0</w:t>
      </w:r>
    </w:p>
    <w:p w14:paraId="2073C38F" w14:textId="77777777" w:rsidR="00A445C0" w:rsidRPr="003A3338" w:rsidRDefault="00A445C0" w:rsidP="00A445C0">
      <w:pPr>
        <w:pBdr>
          <w:bottom w:val="single" w:sz="6" w:space="1" w:color="auto"/>
        </w:pBdr>
        <w:spacing w:after="0" w:line="240" w:lineRule="auto"/>
        <w:contextualSpacing/>
        <w:jc w:val="both"/>
        <w:rPr>
          <w:rFonts w:ascii="Arial" w:hAnsi="Arial" w:cs="Arial"/>
          <w:b/>
          <w:sz w:val="24"/>
          <w:szCs w:val="24"/>
        </w:rPr>
      </w:pPr>
    </w:p>
    <w:p w14:paraId="6D2C6BC4" w14:textId="77777777" w:rsidR="008D53F2" w:rsidRPr="00EB2564" w:rsidRDefault="008D53F2" w:rsidP="00091DAB">
      <w:pPr>
        <w:spacing w:after="0" w:line="360" w:lineRule="auto"/>
        <w:jc w:val="both"/>
        <w:rPr>
          <w:rFonts w:ascii="Arial" w:hAnsi="Arial" w:cs="Arial"/>
          <w:b/>
          <w:sz w:val="24"/>
          <w:szCs w:val="24"/>
        </w:rPr>
      </w:pPr>
    </w:p>
    <w:p w14:paraId="565B55BB" w14:textId="6BB470FE" w:rsidR="003E2C3D" w:rsidRPr="00D34E7E" w:rsidRDefault="00091DAB" w:rsidP="003E2C3D">
      <w:pPr>
        <w:spacing w:line="360" w:lineRule="auto"/>
        <w:ind w:left="720" w:hanging="720"/>
        <w:jc w:val="both"/>
        <w:rPr>
          <w:rFonts w:ascii="Arial" w:hAnsi="Arial" w:cs="Arial"/>
          <w:sz w:val="24"/>
          <w:szCs w:val="24"/>
        </w:rPr>
      </w:pPr>
      <w:r w:rsidRPr="00EB2564">
        <w:rPr>
          <w:rFonts w:ascii="Arial" w:hAnsi="Arial" w:cs="Arial"/>
          <w:sz w:val="24"/>
          <w:szCs w:val="24"/>
        </w:rPr>
        <w:t>[1]</w:t>
      </w:r>
      <w:r w:rsidRPr="00EB2564">
        <w:rPr>
          <w:rFonts w:ascii="Arial" w:hAnsi="Arial" w:cs="Arial"/>
          <w:sz w:val="24"/>
          <w:szCs w:val="24"/>
        </w:rPr>
        <w:tab/>
      </w:r>
      <w:r w:rsidR="003E2C3D">
        <w:rPr>
          <w:rFonts w:ascii="Arial" w:hAnsi="Arial" w:cs="Arial"/>
          <w:sz w:val="24"/>
          <w:szCs w:val="24"/>
        </w:rPr>
        <w:t>This is an application that comes before this court in the form of a semi</w:t>
      </w:r>
      <w:r w:rsidR="00F56861">
        <w:rPr>
          <w:rFonts w:ascii="Arial" w:hAnsi="Arial" w:cs="Arial"/>
          <w:sz w:val="24"/>
          <w:szCs w:val="24"/>
        </w:rPr>
        <w:t>-</w:t>
      </w:r>
      <w:r w:rsidR="003E2C3D">
        <w:rPr>
          <w:rFonts w:ascii="Arial" w:hAnsi="Arial" w:cs="Arial"/>
          <w:sz w:val="24"/>
          <w:szCs w:val="24"/>
        </w:rPr>
        <w:t>urgent application in terms of the Promotion of Administrative Justice Act</w:t>
      </w:r>
      <w:r w:rsidR="003E2C3D" w:rsidRPr="003E2C3D">
        <w:rPr>
          <w:rStyle w:val="FootnoteReference"/>
          <w:rFonts w:ascii="Arial" w:hAnsi="Arial" w:cs="Arial"/>
          <w:b/>
          <w:bCs/>
          <w:sz w:val="24"/>
          <w:szCs w:val="24"/>
        </w:rPr>
        <w:footnoteReference w:id="1"/>
      </w:r>
      <w:r w:rsidR="003E2C3D">
        <w:rPr>
          <w:rFonts w:ascii="Arial" w:hAnsi="Arial" w:cs="Arial"/>
          <w:sz w:val="24"/>
          <w:szCs w:val="24"/>
        </w:rPr>
        <w:t xml:space="preserve"> (“PAJA”).</w:t>
      </w:r>
      <w:r w:rsidR="003712C1">
        <w:rPr>
          <w:rFonts w:ascii="Arial" w:hAnsi="Arial" w:cs="Arial"/>
          <w:sz w:val="24"/>
          <w:szCs w:val="24"/>
        </w:rPr>
        <w:t xml:space="preserve"> </w:t>
      </w:r>
      <w:r w:rsidR="003E2C3D">
        <w:rPr>
          <w:rFonts w:ascii="Arial" w:hAnsi="Arial" w:cs="Arial"/>
          <w:sz w:val="24"/>
          <w:szCs w:val="24"/>
        </w:rPr>
        <w:t xml:space="preserve">The applicant seeks an order to </w:t>
      </w:r>
      <w:r w:rsidR="00FC4853">
        <w:rPr>
          <w:rFonts w:ascii="Arial" w:hAnsi="Arial" w:cs="Arial"/>
          <w:sz w:val="24"/>
          <w:szCs w:val="24"/>
        </w:rPr>
        <w:t xml:space="preserve">compel the Respondents to provide full and written reasons why its tender for the provision of distribution and courier </w:t>
      </w:r>
      <w:r w:rsidR="00FC4853">
        <w:rPr>
          <w:rFonts w:ascii="Arial" w:hAnsi="Arial" w:cs="Arial"/>
          <w:sz w:val="24"/>
          <w:szCs w:val="24"/>
        </w:rPr>
        <w:lastRenderedPageBreak/>
        <w:t>services for the Respondents’ department was not successful. In addition, it seeks a number of documents relevant to the specific tender process that was followed in substantiation of the required reasons, and lastly it seeks an order that all this information be provided within 5 days of the order.</w:t>
      </w:r>
    </w:p>
    <w:p w14:paraId="63DABF5E" w14:textId="77777777" w:rsidR="008B5D0D" w:rsidRPr="003A3338" w:rsidRDefault="008B5D0D" w:rsidP="008B5D0D">
      <w:pPr>
        <w:spacing w:after="0" w:line="240" w:lineRule="auto"/>
        <w:jc w:val="both"/>
        <w:rPr>
          <w:rFonts w:ascii="Arial" w:hAnsi="Arial" w:cs="Arial"/>
          <w:b/>
          <w:sz w:val="24"/>
          <w:szCs w:val="24"/>
          <w:u w:val="single"/>
        </w:rPr>
      </w:pPr>
    </w:p>
    <w:p w14:paraId="59EC560F" w14:textId="05FBF845" w:rsidR="008B5D0D" w:rsidRPr="00DB7E9F" w:rsidRDefault="008B5D0D" w:rsidP="00DB7E9F">
      <w:pPr>
        <w:autoSpaceDE w:val="0"/>
        <w:autoSpaceDN w:val="0"/>
        <w:adjustRightInd w:val="0"/>
        <w:spacing w:after="0" w:line="360" w:lineRule="auto"/>
        <w:ind w:left="720" w:hanging="720"/>
        <w:jc w:val="both"/>
        <w:rPr>
          <w:rFonts w:ascii="Arial" w:hAnsi="Arial" w:cs="Arial"/>
          <w:sz w:val="24"/>
          <w:szCs w:val="24"/>
        </w:rPr>
      </w:pPr>
      <w:r w:rsidRPr="003A3338">
        <w:rPr>
          <w:rFonts w:ascii="Arial" w:eastAsia="Calibri" w:hAnsi="Arial" w:cs="Arial"/>
          <w:sz w:val="24"/>
          <w:szCs w:val="24"/>
        </w:rPr>
        <w:t xml:space="preserve">[2] </w:t>
      </w:r>
      <w:r w:rsidRPr="003A3338">
        <w:rPr>
          <w:rFonts w:ascii="Arial" w:eastAsia="Calibri" w:hAnsi="Arial" w:cs="Arial"/>
          <w:sz w:val="24"/>
          <w:szCs w:val="24"/>
        </w:rPr>
        <w:tab/>
      </w:r>
      <w:r w:rsidR="00DB7E9F">
        <w:rPr>
          <w:rFonts w:ascii="Arial" w:hAnsi="Arial" w:cs="Arial"/>
          <w:sz w:val="24"/>
          <w:szCs w:val="24"/>
        </w:rPr>
        <w:t>Section 5 of PAJA provides that a</w:t>
      </w:r>
      <w:r w:rsidR="00DB7E9F" w:rsidRPr="00DB7E9F">
        <w:rPr>
          <w:rFonts w:ascii="Arial" w:hAnsi="Arial" w:cs="Arial"/>
          <w:sz w:val="24"/>
          <w:szCs w:val="24"/>
        </w:rPr>
        <w:t>ny person whose rights have been adversely</w:t>
      </w:r>
      <w:r w:rsidR="00DB7E9F">
        <w:rPr>
          <w:rFonts w:ascii="Arial" w:hAnsi="Arial" w:cs="Arial"/>
          <w:sz w:val="24"/>
          <w:szCs w:val="24"/>
        </w:rPr>
        <w:t xml:space="preserve"> </w:t>
      </w:r>
      <w:r w:rsidR="00DB7E9F" w:rsidRPr="00DB7E9F">
        <w:rPr>
          <w:rFonts w:ascii="Arial" w:hAnsi="Arial" w:cs="Arial"/>
          <w:sz w:val="24"/>
          <w:szCs w:val="24"/>
        </w:rPr>
        <w:t>affected by administrative action and who has not been given reasons for the action</w:t>
      </w:r>
      <w:r w:rsidR="00DB7E9F">
        <w:rPr>
          <w:rFonts w:ascii="Arial" w:hAnsi="Arial" w:cs="Arial"/>
          <w:sz w:val="24"/>
          <w:szCs w:val="24"/>
        </w:rPr>
        <w:t>,</w:t>
      </w:r>
      <w:r w:rsidR="00DB7E9F" w:rsidRPr="00DB7E9F">
        <w:rPr>
          <w:rFonts w:ascii="Arial" w:hAnsi="Arial" w:cs="Arial"/>
          <w:sz w:val="24"/>
          <w:szCs w:val="24"/>
        </w:rPr>
        <w:t xml:space="preserve"> may within 90 days</w:t>
      </w:r>
      <w:r w:rsidR="00DB7E9F">
        <w:rPr>
          <w:rFonts w:ascii="Arial" w:hAnsi="Arial" w:cs="Arial"/>
          <w:sz w:val="24"/>
          <w:szCs w:val="24"/>
        </w:rPr>
        <w:t>,</w:t>
      </w:r>
      <w:r w:rsidR="00DB7E9F" w:rsidRPr="00DB7E9F">
        <w:rPr>
          <w:rFonts w:ascii="Arial" w:hAnsi="Arial" w:cs="Arial"/>
          <w:sz w:val="24"/>
          <w:szCs w:val="24"/>
        </w:rPr>
        <w:t xml:space="preserve"> request that the administrator concerned furnish written reasons for the action.</w:t>
      </w:r>
      <w:r w:rsidR="00DB7E9F">
        <w:rPr>
          <w:rFonts w:ascii="Arial" w:hAnsi="Arial" w:cs="Arial"/>
          <w:sz w:val="24"/>
          <w:szCs w:val="24"/>
        </w:rPr>
        <w:t xml:space="preserve"> Section 5</w:t>
      </w:r>
      <w:r w:rsidR="00DB7E9F" w:rsidRPr="00DB7E9F">
        <w:rPr>
          <w:rFonts w:ascii="Arial" w:hAnsi="Arial" w:cs="Arial"/>
          <w:sz w:val="24"/>
          <w:szCs w:val="24"/>
        </w:rPr>
        <w:t xml:space="preserve">(2) </w:t>
      </w:r>
      <w:r w:rsidR="00DB7E9F">
        <w:rPr>
          <w:rFonts w:ascii="Arial" w:hAnsi="Arial" w:cs="Arial"/>
          <w:sz w:val="24"/>
          <w:szCs w:val="24"/>
        </w:rPr>
        <w:t>provides t</w:t>
      </w:r>
      <w:r w:rsidR="00DB7E9F" w:rsidRPr="00DB7E9F">
        <w:rPr>
          <w:rFonts w:ascii="Arial" w:hAnsi="Arial" w:cs="Arial"/>
          <w:sz w:val="24"/>
          <w:szCs w:val="24"/>
        </w:rPr>
        <w:t>h</w:t>
      </w:r>
      <w:r w:rsidR="00DB7E9F">
        <w:rPr>
          <w:rFonts w:ascii="Arial" w:hAnsi="Arial" w:cs="Arial"/>
          <w:sz w:val="24"/>
          <w:szCs w:val="24"/>
        </w:rPr>
        <w:t xml:space="preserve">at such reasons </w:t>
      </w:r>
      <w:r w:rsidR="00DB7E9F" w:rsidRPr="00DB7E9F">
        <w:rPr>
          <w:rFonts w:ascii="Arial" w:hAnsi="Arial" w:cs="Arial"/>
          <w:sz w:val="24"/>
          <w:szCs w:val="24"/>
        </w:rPr>
        <w:t>must</w:t>
      </w:r>
      <w:r w:rsidR="00DB7E9F">
        <w:rPr>
          <w:rFonts w:ascii="Arial" w:hAnsi="Arial" w:cs="Arial"/>
          <w:sz w:val="24"/>
          <w:szCs w:val="24"/>
        </w:rPr>
        <w:t xml:space="preserve"> be furnished</w:t>
      </w:r>
      <w:r w:rsidR="00DB7E9F" w:rsidRPr="00DB7E9F">
        <w:rPr>
          <w:rFonts w:ascii="Arial" w:hAnsi="Arial" w:cs="Arial"/>
          <w:sz w:val="24"/>
          <w:szCs w:val="24"/>
        </w:rPr>
        <w:t xml:space="preserve"> within 90 days after receiving the request</w:t>
      </w:r>
      <w:r w:rsidR="00DB7E9F">
        <w:rPr>
          <w:rFonts w:ascii="Arial" w:hAnsi="Arial" w:cs="Arial"/>
          <w:sz w:val="24"/>
          <w:szCs w:val="24"/>
        </w:rPr>
        <w:t>.</w:t>
      </w:r>
    </w:p>
    <w:p w14:paraId="5AAE6047" w14:textId="77777777" w:rsidR="008B5D0D" w:rsidRDefault="008B5D0D" w:rsidP="008B5D0D">
      <w:pPr>
        <w:spacing w:after="0" w:line="240" w:lineRule="auto"/>
        <w:ind w:left="720" w:hanging="720"/>
        <w:jc w:val="both"/>
        <w:rPr>
          <w:rFonts w:ascii="Arial" w:hAnsi="Arial" w:cs="Arial"/>
          <w:sz w:val="24"/>
          <w:szCs w:val="24"/>
        </w:rPr>
      </w:pPr>
    </w:p>
    <w:p w14:paraId="4297EFEE" w14:textId="02D3C9C3" w:rsidR="009D76E3" w:rsidRPr="00592087" w:rsidRDefault="008B5D0D" w:rsidP="00FC4853">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FC4853">
        <w:rPr>
          <w:rFonts w:ascii="Arial" w:hAnsi="Arial" w:cs="Arial"/>
          <w:sz w:val="24"/>
          <w:szCs w:val="24"/>
        </w:rPr>
        <w:t xml:space="preserve">Generally speaking, the Act leaves no doubt that the applicant has the right to call for reasons explaining the decision. In terms of the Act, this is a </w:t>
      </w:r>
      <w:r w:rsidR="00FC4853" w:rsidRPr="0071277A">
        <w:rPr>
          <w:rFonts w:ascii="Arial" w:hAnsi="Arial" w:cs="Arial"/>
          <w:sz w:val="24"/>
          <w:szCs w:val="24"/>
        </w:rPr>
        <w:t>clear right</w:t>
      </w:r>
      <w:r w:rsidR="00FC4853">
        <w:rPr>
          <w:rFonts w:ascii="Arial" w:hAnsi="Arial" w:cs="Arial"/>
          <w:sz w:val="24"/>
          <w:szCs w:val="24"/>
        </w:rPr>
        <w:t xml:space="preserve"> of any person whose rights have been adversely affected by administrative action.</w:t>
      </w:r>
    </w:p>
    <w:p w14:paraId="02605ADC" w14:textId="77777777" w:rsidR="008B5D0D" w:rsidRDefault="008B5D0D" w:rsidP="008B5D0D">
      <w:pPr>
        <w:spacing w:after="0" w:line="240" w:lineRule="auto"/>
        <w:jc w:val="both"/>
        <w:rPr>
          <w:rFonts w:ascii="Arial" w:hAnsi="Arial" w:cs="Arial"/>
          <w:sz w:val="24"/>
          <w:szCs w:val="24"/>
        </w:rPr>
      </w:pPr>
    </w:p>
    <w:p w14:paraId="458A5874" w14:textId="7817697D" w:rsidR="008B5D0D" w:rsidRPr="00592087" w:rsidRDefault="008B5D0D" w:rsidP="008B5D0D">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8733ED">
        <w:rPr>
          <w:rFonts w:ascii="Arial" w:hAnsi="Arial" w:cs="Arial"/>
          <w:sz w:val="24"/>
          <w:szCs w:val="24"/>
        </w:rPr>
        <w:t xml:space="preserve">It appears </w:t>
      </w:r>
      <w:r w:rsidR="005E19FF">
        <w:rPr>
          <w:rFonts w:ascii="Arial" w:hAnsi="Arial" w:cs="Arial"/>
          <w:sz w:val="24"/>
          <w:szCs w:val="24"/>
        </w:rPr>
        <w:t xml:space="preserve">from the papers before me that the applicant has submitted a formal bid for tender DOH(FS) 04/2022/2023, which closed on 29 July 2022 at 11 am, to the Free State Department of Health for the provision of certain services. The applicant then became aware of certain irregularities in the </w:t>
      </w:r>
      <w:r w:rsidR="005E19FF" w:rsidRPr="0071277A">
        <w:rPr>
          <w:rFonts w:ascii="Arial" w:hAnsi="Arial" w:cs="Arial"/>
          <w:sz w:val="24"/>
          <w:szCs w:val="24"/>
        </w:rPr>
        <w:t xml:space="preserve">tendering </w:t>
      </w:r>
      <w:r w:rsidR="0071277A">
        <w:rPr>
          <w:rFonts w:ascii="Arial" w:hAnsi="Arial" w:cs="Arial"/>
          <w:sz w:val="24"/>
          <w:szCs w:val="24"/>
        </w:rPr>
        <w:t>opening</w:t>
      </w:r>
      <w:r w:rsidR="005E19FF" w:rsidRPr="0071277A">
        <w:rPr>
          <w:rFonts w:ascii="Arial" w:hAnsi="Arial" w:cs="Arial"/>
          <w:sz w:val="24"/>
          <w:szCs w:val="24"/>
        </w:rPr>
        <w:t xml:space="preserve"> process, </w:t>
      </w:r>
      <w:r w:rsidR="005E19FF">
        <w:rPr>
          <w:rFonts w:ascii="Arial" w:hAnsi="Arial" w:cs="Arial"/>
          <w:sz w:val="24"/>
          <w:szCs w:val="24"/>
        </w:rPr>
        <w:t xml:space="preserve">and the </w:t>
      </w:r>
      <w:r w:rsidR="0071277A">
        <w:rPr>
          <w:rFonts w:ascii="Arial" w:hAnsi="Arial" w:cs="Arial"/>
          <w:sz w:val="24"/>
          <w:szCs w:val="24"/>
        </w:rPr>
        <w:t>a</w:t>
      </w:r>
      <w:r w:rsidR="005E19FF">
        <w:rPr>
          <w:rFonts w:ascii="Arial" w:hAnsi="Arial" w:cs="Arial"/>
          <w:sz w:val="24"/>
          <w:szCs w:val="24"/>
        </w:rPr>
        <w:t>pplicant bemoaned this fact in a letter to the Department.</w:t>
      </w:r>
      <w:r w:rsidR="00E34E7F">
        <w:rPr>
          <w:rFonts w:ascii="Arial" w:hAnsi="Arial" w:cs="Arial"/>
          <w:sz w:val="24"/>
          <w:szCs w:val="24"/>
        </w:rPr>
        <w:t xml:space="preserve"> On 29 November 2022 the applicant requested by letter information as to the status of the tender and when bidders can be informed of the outcome of the tender. The Department failed to respond to this letter. Another letter by the applicant then followed in the same vein, and again there was no response.</w:t>
      </w:r>
    </w:p>
    <w:p w14:paraId="67702C43" w14:textId="77777777" w:rsidR="008B5D0D" w:rsidRPr="003A3338" w:rsidRDefault="008B5D0D" w:rsidP="008B5D0D">
      <w:pPr>
        <w:spacing w:after="0" w:line="240" w:lineRule="auto"/>
        <w:contextualSpacing/>
        <w:jc w:val="both"/>
        <w:rPr>
          <w:rFonts w:ascii="Arial" w:eastAsia="Calibri" w:hAnsi="Arial" w:cs="Arial"/>
          <w:b/>
          <w:sz w:val="24"/>
          <w:szCs w:val="24"/>
          <w:u w:val="single"/>
        </w:rPr>
      </w:pPr>
    </w:p>
    <w:p w14:paraId="555EFA2E" w14:textId="525FBD87" w:rsidR="008B5D0D" w:rsidRDefault="008B5D0D" w:rsidP="008B5D0D">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t>[</w:t>
      </w:r>
      <w:r>
        <w:rPr>
          <w:rFonts w:ascii="Arial" w:eastAsia="Calibri" w:hAnsi="Arial" w:cs="Arial"/>
          <w:sz w:val="24"/>
          <w:szCs w:val="24"/>
        </w:rPr>
        <w:t>5</w:t>
      </w:r>
      <w:r w:rsidRPr="003A3338">
        <w:rPr>
          <w:rFonts w:ascii="Arial" w:eastAsia="Calibri" w:hAnsi="Arial" w:cs="Arial"/>
          <w:sz w:val="24"/>
          <w:szCs w:val="24"/>
        </w:rPr>
        <w:t>]</w:t>
      </w:r>
      <w:r w:rsidRPr="003A3338">
        <w:rPr>
          <w:rFonts w:ascii="Arial" w:eastAsia="Calibri" w:hAnsi="Arial" w:cs="Arial"/>
          <w:sz w:val="24"/>
          <w:szCs w:val="24"/>
        </w:rPr>
        <w:tab/>
      </w:r>
      <w:r w:rsidR="00812F66">
        <w:rPr>
          <w:rFonts w:ascii="Arial" w:eastAsia="Calibri" w:hAnsi="Arial" w:cs="Arial"/>
          <w:sz w:val="24"/>
          <w:szCs w:val="24"/>
        </w:rPr>
        <w:t xml:space="preserve">Eventually, on 14 December 2022, the Department responded by informing that the applicant’s bid was unsuccessful and that the Department was in the process of concluding contracts with the successful bidders, who will be published on the tender bulletin in early January 2023. The applicants replied that it requires full and adequate reasons as to whom the tender was awarded to by 16 January 2023, and also certain documents to substantiate those reasons. The applicant mentions in its letter that it needed the information and the documents to consider its prospects of successfully impugning the decision to award the tender to another bidder. The applicant expressly stated that </w:t>
      </w:r>
      <w:r w:rsidR="00812F66">
        <w:rPr>
          <w:rFonts w:ascii="Arial" w:eastAsia="Calibri" w:hAnsi="Arial" w:cs="Arial"/>
          <w:sz w:val="24"/>
          <w:szCs w:val="24"/>
        </w:rPr>
        <w:lastRenderedPageBreak/>
        <w:t>failure to comply with the request timeously, will result in an urgent application in the High Court to compel the Department to provide the required information and documents.</w:t>
      </w:r>
    </w:p>
    <w:p w14:paraId="44D0CF12" w14:textId="77777777" w:rsidR="008B5D0D" w:rsidRPr="005B0068" w:rsidRDefault="008B5D0D" w:rsidP="008B5D0D">
      <w:pPr>
        <w:spacing w:after="0" w:line="240" w:lineRule="auto"/>
        <w:ind w:left="720" w:hanging="720"/>
        <w:jc w:val="both"/>
        <w:rPr>
          <w:rFonts w:ascii="Arial" w:hAnsi="Arial" w:cs="Arial"/>
          <w:sz w:val="24"/>
          <w:szCs w:val="24"/>
        </w:rPr>
      </w:pPr>
    </w:p>
    <w:p w14:paraId="37B08982" w14:textId="0FEA8328" w:rsidR="008B5D0D" w:rsidRPr="007D1EE8" w:rsidRDefault="008B5D0D" w:rsidP="008B5D0D">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Pr>
          <w:rFonts w:ascii="Arial" w:eastAsia="Calibri" w:hAnsi="Arial" w:cs="Arial"/>
          <w:sz w:val="24"/>
          <w:szCs w:val="24"/>
        </w:rPr>
        <w:t>6</w:t>
      </w:r>
      <w:r w:rsidRPr="003A3338">
        <w:rPr>
          <w:rFonts w:ascii="Arial" w:eastAsia="Calibri" w:hAnsi="Arial" w:cs="Arial"/>
          <w:sz w:val="24"/>
          <w:szCs w:val="24"/>
        </w:rPr>
        <w:t>]</w:t>
      </w:r>
      <w:r w:rsidRPr="003A3338">
        <w:rPr>
          <w:rFonts w:ascii="Arial" w:eastAsia="Calibri" w:hAnsi="Arial" w:cs="Arial"/>
          <w:sz w:val="24"/>
          <w:szCs w:val="24"/>
        </w:rPr>
        <w:tab/>
      </w:r>
      <w:r w:rsidR="00052DED">
        <w:rPr>
          <w:rFonts w:ascii="Arial" w:eastAsia="Calibri" w:hAnsi="Arial" w:cs="Arial"/>
          <w:sz w:val="24"/>
          <w:szCs w:val="24"/>
        </w:rPr>
        <w:t>A</w:t>
      </w:r>
      <w:r w:rsidR="0000646D">
        <w:rPr>
          <w:rFonts w:ascii="Arial" w:eastAsia="Calibri" w:hAnsi="Arial" w:cs="Arial"/>
          <w:sz w:val="24"/>
          <w:szCs w:val="24"/>
        </w:rPr>
        <w:t>ccording to the a</w:t>
      </w:r>
      <w:r w:rsidR="00052DED">
        <w:rPr>
          <w:rFonts w:ascii="Arial" w:eastAsia="Calibri" w:hAnsi="Arial" w:cs="Arial"/>
          <w:sz w:val="24"/>
          <w:szCs w:val="24"/>
        </w:rPr>
        <w:t>pplicant</w:t>
      </w:r>
      <w:r w:rsidR="0000646D">
        <w:rPr>
          <w:rFonts w:ascii="Arial" w:eastAsia="Calibri" w:hAnsi="Arial" w:cs="Arial"/>
          <w:sz w:val="24"/>
          <w:szCs w:val="24"/>
        </w:rPr>
        <w:t>,</w:t>
      </w:r>
      <w:r w:rsidR="00052DED">
        <w:rPr>
          <w:rFonts w:ascii="Arial" w:eastAsia="Calibri" w:hAnsi="Arial" w:cs="Arial"/>
          <w:sz w:val="24"/>
          <w:szCs w:val="24"/>
        </w:rPr>
        <w:t xml:space="preserve"> the </w:t>
      </w:r>
      <w:r w:rsidR="0000646D">
        <w:rPr>
          <w:rFonts w:ascii="Arial" w:eastAsia="Calibri" w:hAnsi="Arial" w:cs="Arial"/>
          <w:sz w:val="24"/>
          <w:szCs w:val="24"/>
        </w:rPr>
        <w:t>tender</w:t>
      </w:r>
      <w:r w:rsidR="0072170B">
        <w:rPr>
          <w:rFonts w:ascii="Arial" w:eastAsia="Calibri" w:hAnsi="Arial" w:cs="Arial"/>
          <w:sz w:val="24"/>
          <w:szCs w:val="24"/>
        </w:rPr>
        <w:t xml:space="preserve"> </w:t>
      </w:r>
      <w:r w:rsidR="0071277A">
        <w:rPr>
          <w:rFonts w:ascii="Arial" w:eastAsia="Calibri" w:hAnsi="Arial" w:cs="Arial"/>
          <w:sz w:val="24"/>
          <w:szCs w:val="24"/>
        </w:rPr>
        <w:t>opening</w:t>
      </w:r>
      <w:r w:rsidR="0072170B">
        <w:rPr>
          <w:rFonts w:ascii="Arial" w:eastAsia="Calibri" w:hAnsi="Arial" w:cs="Arial"/>
          <w:sz w:val="24"/>
          <w:szCs w:val="24"/>
        </w:rPr>
        <w:t xml:space="preserve"> process was flawed. It is common practice that tenders are </w:t>
      </w:r>
      <w:r w:rsidR="0071277A">
        <w:rPr>
          <w:rFonts w:ascii="Arial" w:eastAsia="Calibri" w:hAnsi="Arial" w:cs="Arial"/>
          <w:sz w:val="24"/>
          <w:szCs w:val="24"/>
        </w:rPr>
        <w:t>opened</w:t>
      </w:r>
      <w:r w:rsidR="002B3DCF">
        <w:rPr>
          <w:rFonts w:ascii="Arial" w:eastAsia="Calibri" w:hAnsi="Arial" w:cs="Arial"/>
          <w:sz w:val="24"/>
          <w:szCs w:val="24"/>
        </w:rPr>
        <w:t xml:space="preserve"> in public where the names of bidders and the tender prices and the B-BBEE points claimed by bidders are revealed. This did not happen, the applicant alleged. </w:t>
      </w:r>
    </w:p>
    <w:p w14:paraId="0A980F0E" w14:textId="77777777" w:rsidR="008B5D0D" w:rsidRDefault="008B5D0D" w:rsidP="008B5D0D">
      <w:pPr>
        <w:spacing w:after="0" w:line="240" w:lineRule="auto"/>
        <w:ind w:left="720" w:hanging="720"/>
        <w:jc w:val="both"/>
        <w:rPr>
          <w:rFonts w:ascii="Arial" w:eastAsia="Calibri" w:hAnsi="Arial" w:cs="Arial"/>
          <w:sz w:val="24"/>
          <w:szCs w:val="24"/>
        </w:rPr>
      </w:pPr>
    </w:p>
    <w:p w14:paraId="068642DD" w14:textId="3192A0CE" w:rsidR="008B5D0D" w:rsidRPr="00C86B74" w:rsidRDefault="008B5D0D" w:rsidP="008B5D0D">
      <w:pPr>
        <w:spacing w:line="360" w:lineRule="auto"/>
        <w:ind w:left="720" w:hanging="720"/>
        <w:jc w:val="both"/>
        <w:rPr>
          <w:rFonts w:ascii="Arial" w:hAnsi="Arial" w:cs="Arial"/>
          <w:sz w:val="24"/>
          <w:szCs w:val="24"/>
        </w:rPr>
      </w:pPr>
      <w:r>
        <w:rPr>
          <w:rFonts w:ascii="Arial" w:eastAsia="Calibri" w:hAnsi="Arial" w:cs="Arial"/>
          <w:sz w:val="24"/>
          <w:szCs w:val="24"/>
        </w:rPr>
        <w:t>[7]</w:t>
      </w:r>
      <w:r>
        <w:rPr>
          <w:rFonts w:ascii="Arial" w:eastAsia="Calibri" w:hAnsi="Arial" w:cs="Arial"/>
          <w:sz w:val="24"/>
          <w:szCs w:val="24"/>
        </w:rPr>
        <w:tab/>
      </w:r>
      <w:r w:rsidR="00CA7B10">
        <w:rPr>
          <w:rFonts w:ascii="Arial" w:eastAsia="Calibri" w:hAnsi="Arial" w:cs="Arial"/>
          <w:sz w:val="24"/>
          <w:szCs w:val="24"/>
        </w:rPr>
        <w:t xml:space="preserve">It is </w:t>
      </w:r>
      <w:r w:rsidR="00F11C97">
        <w:rPr>
          <w:rFonts w:ascii="Arial" w:eastAsia="Calibri" w:hAnsi="Arial" w:cs="Arial"/>
          <w:sz w:val="24"/>
          <w:szCs w:val="24"/>
        </w:rPr>
        <w:t xml:space="preserve">clear to this court that </w:t>
      </w:r>
      <w:r w:rsidR="00743FC9">
        <w:rPr>
          <w:rFonts w:ascii="Arial" w:eastAsia="Calibri" w:hAnsi="Arial" w:cs="Arial"/>
          <w:sz w:val="24"/>
          <w:szCs w:val="24"/>
        </w:rPr>
        <w:t>the</w:t>
      </w:r>
      <w:r w:rsidR="00F11C97">
        <w:rPr>
          <w:rFonts w:ascii="Arial" w:eastAsia="Calibri" w:hAnsi="Arial" w:cs="Arial"/>
          <w:sz w:val="24"/>
          <w:szCs w:val="24"/>
        </w:rPr>
        <w:t xml:space="preserve"> applicant needs the required information to consider a review</w:t>
      </w:r>
      <w:r w:rsidR="00743FC9">
        <w:rPr>
          <w:rFonts w:ascii="Arial" w:eastAsia="Calibri" w:hAnsi="Arial" w:cs="Arial"/>
          <w:sz w:val="24"/>
          <w:szCs w:val="24"/>
        </w:rPr>
        <w:t xml:space="preserve"> application </w:t>
      </w:r>
      <w:r w:rsidR="00F11C97">
        <w:rPr>
          <w:rFonts w:ascii="Arial" w:eastAsia="Calibri" w:hAnsi="Arial" w:cs="Arial"/>
          <w:sz w:val="24"/>
          <w:szCs w:val="24"/>
        </w:rPr>
        <w:t xml:space="preserve">for the </w:t>
      </w:r>
      <w:r w:rsidR="001E5EA5">
        <w:rPr>
          <w:rFonts w:ascii="Arial" w:eastAsia="Calibri" w:hAnsi="Arial" w:cs="Arial"/>
          <w:sz w:val="24"/>
          <w:szCs w:val="24"/>
        </w:rPr>
        <w:t xml:space="preserve">setting aside of the tender award. It speaks for itself that a review application should preferable be launched before the successful bidder assumes his obligations, and therefore a person in the shoes of the applicant cannot wait indefinitely before he takes steps to have the award set aside. There are also financial implications for an unsuccessful bidder in such circumstances which I need not spell out. The result is that I am prepared to accept the notion that this application is at least semi-urgent in nature. </w:t>
      </w:r>
    </w:p>
    <w:p w14:paraId="67BFC34B" w14:textId="77777777" w:rsidR="008B5D0D" w:rsidRPr="003A3338" w:rsidRDefault="008B5D0D" w:rsidP="008B5D0D">
      <w:pPr>
        <w:spacing w:after="0" w:line="240" w:lineRule="auto"/>
        <w:ind w:left="360" w:hanging="360"/>
        <w:contextualSpacing/>
        <w:jc w:val="both"/>
        <w:rPr>
          <w:rFonts w:ascii="Arial" w:eastAsia="Calibri" w:hAnsi="Arial" w:cs="Arial"/>
          <w:sz w:val="24"/>
          <w:szCs w:val="24"/>
        </w:rPr>
      </w:pPr>
    </w:p>
    <w:p w14:paraId="42B3F820" w14:textId="4AB10935" w:rsidR="008B5D0D" w:rsidRDefault="008B5D0D" w:rsidP="008B5D0D">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Pr>
          <w:rFonts w:ascii="Arial" w:eastAsia="Calibri" w:hAnsi="Arial" w:cs="Arial"/>
          <w:sz w:val="24"/>
          <w:szCs w:val="24"/>
        </w:rPr>
        <w:t>8</w:t>
      </w:r>
      <w:r w:rsidRPr="003A3338">
        <w:rPr>
          <w:rFonts w:ascii="Arial" w:eastAsia="Calibri" w:hAnsi="Arial" w:cs="Arial"/>
          <w:sz w:val="24"/>
          <w:szCs w:val="24"/>
        </w:rPr>
        <w:t xml:space="preserve">] </w:t>
      </w:r>
      <w:r w:rsidRPr="003A3338">
        <w:rPr>
          <w:rFonts w:ascii="Arial" w:eastAsia="Calibri" w:hAnsi="Arial" w:cs="Arial"/>
          <w:sz w:val="24"/>
          <w:szCs w:val="24"/>
        </w:rPr>
        <w:tab/>
      </w:r>
      <w:r w:rsidR="001E5EA5">
        <w:rPr>
          <w:rFonts w:ascii="Arial" w:eastAsia="Calibri" w:hAnsi="Arial" w:cs="Arial"/>
          <w:sz w:val="24"/>
          <w:szCs w:val="24"/>
        </w:rPr>
        <w:t>T</w:t>
      </w:r>
      <w:r w:rsidR="002C52BF">
        <w:rPr>
          <w:rFonts w:ascii="Arial" w:eastAsia="Calibri" w:hAnsi="Arial" w:cs="Arial"/>
          <w:sz w:val="24"/>
          <w:szCs w:val="24"/>
        </w:rPr>
        <w:t xml:space="preserve">he </w:t>
      </w:r>
      <w:r w:rsidR="001E5EA5">
        <w:rPr>
          <w:rFonts w:ascii="Arial" w:eastAsia="Calibri" w:hAnsi="Arial" w:cs="Arial"/>
          <w:sz w:val="24"/>
          <w:szCs w:val="24"/>
        </w:rPr>
        <w:t>a</w:t>
      </w:r>
      <w:r w:rsidR="002C52BF">
        <w:rPr>
          <w:rFonts w:ascii="Arial" w:eastAsia="Calibri" w:hAnsi="Arial" w:cs="Arial"/>
          <w:sz w:val="24"/>
          <w:szCs w:val="24"/>
        </w:rPr>
        <w:t xml:space="preserve">pplicant </w:t>
      </w:r>
      <w:r w:rsidR="001E5EA5">
        <w:rPr>
          <w:rFonts w:ascii="Arial" w:eastAsia="Calibri" w:hAnsi="Arial" w:cs="Arial"/>
          <w:sz w:val="24"/>
          <w:szCs w:val="24"/>
        </w:rPr>
        <w:t xml:space="preserve">points out that the validity period for all tenders submitted was 120 days, which period would have expired on 27 November 2022. This is why the applicant sent letters of enquiry to the Department after this date. It complained, </w:t>
      </w:r>
      <w:r w:rsidR="001E5EA5" w:rsidRPr="001E5EA5">
        <w:rPr>
          <w:rFonts w:ascii="Arial" w:eastAsia="Calibri" w:hAnsi="Arial" w:cs="Arial"/>
          <w:i/>
          <w:iCs/>
          <w:sz w:val="24"/>
          <w:szCs w:val="24"/>
        </w:rPr>
        <w:t>inter alia</w:t>
      </w:r>
      <w:r w:rsidR="001E5EA5">
        <w:rPr>
          <w:rFonts w:ascii="Arial" w:eastAsia="Calibri" w:hAnsi="Arial" w:cs="Arial"/>
          <w:sz w:val="24"/>
          <w:szCs w:val="24"/>
        </w:rPr>
        <w:t xml:space="preserve">, that they were not yet informed of the outcome of the tender. In their </w:t>
      </w:r>
      <w:r w:rsidR="006F67A5">
        <w:rPr>
          <w:rFonts w:ascii="Arial" w:eastAsia="Calibri" w:hAnsi="Arial" w:cs="Arial"/>
          <w:sz w:val="24"/>
          <w:szCs w:val="24"/>
        </w:rPr>
        <w:t xml:space="preserve">eventual response, the Department did not reveal the name of the successful bidder. </w:t>
      </w:r>
      <w:r w:rsidR="00C43AE0">
        <w:rPr>
          <w:rFonts w:ascii="Arial" w:eastAsia="Calibri" w:hAnsi="Arial" w:cs="Arial"/>
          <w:sz w:val="24"/>
          <w:szCs w:val="24"/>
        </w:rPr>
        <w:t>It later transpired that a second component of the tender was only awarded after the tender validity period to an entity by the name of Safranic.</w:t>
      </w:r>
    </w:p>
    <w:p w14:paraId="0D42C256" w14:textId="77777777" w:rsidR="008B5D0D" w:rsidRPr="0031675A" w:rsidRDefault="008B5D0D" w:rsidP="008B5D0D">
      <w:pPr>
        <w:spacing w:after="0" w:line="240" w:lineRule="auto"/>
        <w:ind w:left="720" w:hanging="720"/>
        <w:jc w:val="both"/>
        <w:rPr>
          <w:rFonts w:ascii="Arial" w:hAnsi="Arial" w:cs="Arial"/>
          <w:sz w:val="24"/>
          <w:szCs w:val="24"/>
        </w:rPr>
      </w:pPr>
    </w:p>
    <w:p w14:paraId="5526277F" w14:textId="054E74BF" w:rsidR="008B5D0D" w:rsidRPr="003A3338" w:rsidRDefault="008B5D0D" w:rsidP="008B5D0D">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Pr>
          <w:rFonts w:ascii="Arial" w:eastAsia="Calibri" w:hAnsi="Arial" w:cs="Arial"/>
          <w:sz w:val="24"/>
          <w:szCs w:val="24"/>
        </w:rPr>
        <w:t>9</w:t>
      </w:r>
      <w:r w:rsidRPr="003A3338">
        <w:rPr>
          <w:rFonts w:ascii="Arial" w:eastAsia="Calibri" w:hAnsi="Arial" w:cs="Arial"/>
          <w:sz w:val="24"/>
          <w:szCs w:val="24"/>
        </w:rPr>
        <w:t xml:space="preserve">] </w:t>
      </w:r>
      <w:r w:rsidRPr="003A3338">
        <w:rPr>
          <w:rFonts w:ascii="Arial" w:eastAsia="Calibri" w:hAnsi="Arial" w:cs="Arial"/>
          <w:sz w:val="24"/>
          <w:szCs w:val="24"/>
        </w:rPr>
        <w:tab/>
      </w:r>
      <w:r w:rsidR="00C43AE0">
        <w:rPr>
          <w:rFonts w:ascii="Arial" w:eastAsia="Calibri" w:hAnsi="Arial" w:cs="Arial"/>
          <w:sz w:val="24"/>
          <w:szCs w:val="24"/>
        </w:rPr>
        <w:t>T</w:t>
      </w:r>
      <w:r w:rsidR="0058027E">
        <w:rPr>
          <w:rFonts w:ascii="Arial" w:eastAsia="Calibri" w:hAnsi="Arial" w:cs="Arial"/>
          <w:sz w:val="24"/>
          <w:szCs w:val="24"/>
        </w:rPr>
        <w:t xml:space="preserve">he </w:t>
      </w:r>
      <w:r w:rsidR="00C43AE0">
        <w:rPr>
          <w:rFonts w:ascii="Arial" w:eastAsia="Calibri" w:hAnsi="Arial" w:cs="Arial"/>
          <w:sz w:val="24"/>
          <w:szCs w:val="24"/>
        </w:rPr>
        <w:t>r</w:t>
      </w:r>
      <w:r w:rsidR="0058027E">
        <w:rPr>
          <w:rFonts w:ascii="Arial" w:eastAsia="Calibri" w:hAnsi="Arial" w:cs="Arial"/>
          <w:sz w:val="24"/>
          <w:szCs w:val="24"/>
        </w:rPr>
        <w:t>espondent</w:t>
      </w:r>
      <w:r w:rsidR="00C43AE0">
        <w:rPr>
          <w:rFonts w:ascii="Arial" w:eastAsia="Calibri" w:hAnsi="Arial" w:cs="Arial"/>
          <w:sz w:val="24"/>
          <w:szCs w:val="24"/>
        </w:rPr>
        <w:t>s</w:t>
      </w:r>
      <w:r w:rsidR="0058027E">
        <w:rPr>
          <w:rFonts w:ascii="Arial" w:eastAsia="Calibri" w:hAnsi="Arial" w:cs="Arial"/>
          <w:sz w:val="24"/>
          <w:szCs w:val="24"/>
        </w:rPr>
        <w:t xml:space="preserve"> </w:t>
      </w:r>
      <w:r w:rsidR="00CA6DC8">
        <w:rPr>
          <w:rFonts w:ascii="Arial" w:eastAsia="Calibri" w:hAnsi="Arial" w:cs="Arial"/>
          <w:sz w:val="24"/>
          <w:szCs w:val="24"/>
        </w:rPr>
        <w:t xml:space="preserve">oppose the application firstly, on the basis that it is not urgent. I have already dealt with this issue. Secondly the respondents opposed the reduction of the 90 day period to a 5 day period within which the information must be provided. They rely on the 90 day period allowed for in section 5 of PAJA. Thirdly, the respondents deny that they were requested </w:t>
      </w:r>
      <w:r w:rsidR="00CA6DC8" w:rsidRPr="0071277A">
        <w:rPr>
          <w:rFonts w:ascii="Arial" w:eastAsia="Calibri" w:hAnsi="Arial" w:cs="Arial"/>
          <w:sz w:val="24"/>
          <w:szCs w:val="24"/>
        </w:rPr>
        <w:t xml:space="preserve">reasons </w:t>
      </w:r>
      <w:r w:rsidR="00CA6DC8">
        <w:rPr>
          <w:rFonts w:ascii="Arial" w:eastAsia="Calibri" w:hAnsi="Arial" w:cs="Arial"/>
          <w:sz w:val="24"/>
          <w:szCs w:val="24"/>
        </w:rPr>
        <w:t>for their decision. They were only requested to furnish reasons why the applicant was not selected as the successful bidder.</w:t>
      </w:r>
      <w:r w:rsidR="00321EAF">
        <w:rPr>
          <w:rFonts w:ascii="Arial" w:eastAsia="Calibri" w:hAnsi="Arial" w:cs="Arial"/>
          <w:sz w:val="24"/>
          <w:szCs w:val="24"/>
        </w:rPr>
        <w:t xml:space="preserve"> Later the request was for reasons for selecting the successful bidder. In my view, nothing turns on this contention. </w:t>
      </w:r>
      <w:r w:rsidR="00321EAF">
        <w:rPr>
          <w:rFonts w:ascii="Arial" w:eastAsia="Calibri" w:hAnsi="Arial" w:cs="Arial"/>
          <w:sz w:val="24"/>
          <w:szCs w:val="24"/>
        </w:rPr>
        <w:lastRenderedPageBreak/>
        <w:t>Clearly the applicant wanted information and reasons for the Department’s decision, irrespective of how the request was formulated. The respondents add that should reasons for the decision itself be requested, they will supply same within the period stipulated in PAJA. Lastly, the respondents contend that they are not obliged by PAJA to produce any documents on which their decision was based, but only to the reasons for their decision</w:t>
      </w:r>
      <w:r w:rsidR="000128EC">
        <w:rPr>
          <w:rFonts w:ascii="Arial" w:eastAsia="Calibri" w:hAnsi="Arial" w:cs="Arial"/>
          <w:sz w:val="24"/>
          <w:szCs w:val="24"/>
        </w:rPr>
        <w:t>.</w:t>
      </w:r>
    </w:p>
    <w:p w14:paraId="33C60D34" w14:textId="77777777" w:rsidR="008B5D0D" w:rsidRPr="003A3338" w:rsidRDefault="008B5D0D" w:rsidP="008B5D0D">
      <w:pPr>
        <w:spacing w:after="0" w:line="240" w:lineRule="auto"/>
        <w:ind w:left="720" w:hanging="720"/>
        <w:jc w:val="both"/>
        <w:rPr>
          <w:rFonts w:ascii="Arial" w:eastAsia="Calibri" w:hAnsi="Arial" w:cs="Arial"/>
          <w:sz w:val="24"/>
          <w:szCs w:val="24"/>
        </w:rPr>
      </w:pPr>
    </w:p>
    <w:p w14:paraId="4FF5441B" w14:textId="187A281D" w:rsidR="008B5D0D" w:rsidRPr="00AE51D8" w:rsidRDefault="008B5D0D" w:rsidP="008B5D0D">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Pr>
          <w:rFonts w:ascii="Arial" w:eastAsia="Calibri" w:hAnsi="Arial" w:cs="Arial"/>
          <w:sz w:val="24"/>
          <w:szCs w:val="24"/>
        </w:rPr>
        <w:t>10</w:t>
      </w:r>
      <w:r w:rsidRPr="003A3338">
        <w:rPr>
          <w:rFonts w:ascii="Arial" w:eastAsia="Calibri" w:hAnsi="Arial" w:cs="Arial"/>
          <w:sz w:val="24"/>
          <w:szCs w:val="24"/>
        </w:rPr>
        <w:t xml:space="preserve">] </w:t>
      </w:r>
      <w:r w:rsidRPr="003A3338">
        <w:rPr>
          <w:rFonts w:ascii="Arial" w:eastAsia="Calibri" w:hAnsi="Arial" w:cs="Arial"/>
          <w:sz w:val="24"/>
          <w:szCs w:val="24"/>
        </w:rPr>
        <w:tab/>
      </w:r>
      <w:r w:rsidR="00A43364">
        <w:rPr>
          <w:rFonts w:ascii="Arial" w:eastAsia="Calibri" w:hAnsi="Arial" w:cs="Arial"/>
          <w:sz w:val="24"/>
          <w:szCs w:val="24"/>
        </w:rPr>
        <w:t xml:space="preserve">As for the last-mentioned contention advanced by the respondents, I was referred to two different decisions of this division of the High Court where it was held that an applicant cannot demand documents underscoring a decision when reasons for that decision are sought in terms of PAJA. In the </w:t>
      </w:r>
      <w:r w:rsidR="00A43364" w:rsidRPr="00A43364">
        <w:rPr>
          <w:rFonts w:ascii="Arial" w:eastAsia="Calibri" w:hAnsi="Arial" w:cs="Arial"/>
          <w:b/>
          <w:bCs/>
          <w:sz w:val="24"/>
          <w:szCs w:val="24"/>
        </w:rPr>
        <w:t>Democratic Alliance v The Head of the Department of Hum</w:t>
      </w:r>
      <w:r w:rsidR="00A43364">
        <w:rPr>
          <w:rFonts w:ascii="Arial" w:eastAsia="Calibri" w:hAnsi="Arial" w:cs="Arial"/>
          <w:b/>
          <w:bCs/>
          <w:sz w:val="24"/>
          <w:szCs w:val="24"/>
        </w:rPr>
        <w:t>an Settlements, Free State Province</w:t>
      </w:r>
      <w:r w:rsidR="00A43364">
        <w:rPr>
          <w:rStyle w:val="FootnoteReference"/>
          <w:rFonts w:ascii="Arial" w:eastAsia="Calibri" w:hAnsi="Arial" w:cs="Arial"/>
          <w:b/>
          <w:bCs/>
          <w:sz w:val="24"/>
          <w:szCs w:val="24"/>
        </w:rPr>
        <w:footnoteReference w:id="2"/>
      </w:r>
      <w:r w:rsidR="00A43364" w:rsidRPr="00A43364">
        <w:rPr>
          <w:rFonts w:ascii="Arial" w:hAnsi="Arial" w:cs="Arial"/>
          <w:sz w:val="24"/>
          <w:szCs w:val="24"/>
        </w:rPr>
        <w:t xml:space="preserve"> </w:t>
      </w:r>
      <w:r w:rsidR="00A43364">
        <w:rPr>
          <w:rFonts w:ascii="Arial" w:hAnsi="Arial" w:cs="Arial"/>
          <w:sz w:val="24"/>
          <w:szCs w:val="24"/>
        </w:rPr>
        <w:t>Van Zyl, J held that an applicant cannot rely upon PAJA for the relief sought regarding the disclosure and production of documentation. This is so, because there is no provision in PAJA itself entitling the applicant to the disclosure or production of documents.</w:t>
      </w:r>
      <w:r w:rsidR="00A43364" w:rsidRPr="00A43364">
        <w:rPr>
          <w:rStyle w:val="FootnoteReference"/>
          <w:rFonts w:ascii="Arial" w:hAnsi="Arial" w:cs="Arial"/>
          <w:b/>
          <w:bCs/>
          <w:sz w:val="24"/>
          <w:szCs w:val="24"/>
        </w:rPr>
        <w:footnoteReference w:id="3"/>
      </w:r>
    </w:p>
    <w:p w14:paraId="0F428CD7" w14:textId="77777777" w:rsidR="008B5D0D" w:rsidRPr="003A3338" w:rsidRDefault="008B5D0D" w:rsidP="008B5D0D">
      <w:pPr>
        <w:spacing w:line="240" w:lineRule="auto"/>
        <w:contextualSpacing/>
        <w:rPr>
          <w:rFonts w:ascii="Arial" w:eastAsia="Calibri" w:hAnsi="Arial" w:cs="Arial"/>
          <w:sz w:val="24"/>
          <w:szCs w:val="24"/>
        </w:rPr>
      </w:pPr>
    </w:p>
    <w:p w14:paraId="09989394" w14:textId="4126F901" w:rsidR="00AC0D46" w:rsidRDefault="008B5D0D" w:rsidP="00AC0D46">
      <w:pPr>
        <w:tabs>
          <w:tab w:val="right" w:pos="9180"/>
        </w:tabs>
        <w:spacing w:after="0" w:line="360" w:lineRule="auto"/>
        <w:ind w:left="709" w:hanging="709"/>
        <w:jc w:val="both"/>
        <w:rPr>
          <w:rFonts w:ascii="Arial" w:eastAsia="Times New Roman" w:hAnsi="Arial" w:cs="Arial"/>
          <w:bCs/>
          <w:sz w:val="24"/>
          <w:szCs w:val="24"/>
          <w:lang w:eastAsia="en-GB"/>
        </w:rPr>
      </w:pPr>
      <w:r w:rsidRPr="003A3338">
        <w:rPr>
          <w:rFonts w:ascii="Arial" w:eastAsia="Calibri" w:hAnsi="Arial" w:cs="Arial"/>
          <w:sz w:val="24"/>
          <w:szCs w:val="24"/>
        </w:rPr>
        <w:t>[11]</w:t>
      </w:r>
      <w:r w:rsidRPr="003A3338">
        <w:rPr>
          <w:rFonts w:ascii="Arial" w:eastAsia="Calibri" w:hAnsi="Arial" w:cs="Arial"/>
          <w:sz w:val="24"/>
          <w:szCs w:val="24"/>
        </w:rPr>
        <w:tab/>
      </w:r>
      <w:r w:rsidR="00A52A94">
        <w:rPr>
          <w:rFonts w:ascii="Arial" w:eastAsia="Calibri" w:hAnsi="Arial" w:cs="Arial"/>
          <w:sz w:val="24"/>
          <w:szCs w:val="24"/>
        </w:rPr>
        <w:t xml:space="preserve">In </w:t>
      </w:r>
      <w:r w:rsidR="00A43364" w:rsidRPr="00311D2D">
        <w:rPr>
          <w:rFonts w:ascii="Arial" w:eastAsia="Calibri" w:hAnsi="Arial" w:cs="Arial"/>
          <w:b/>
          <w:bCs/>
          <w:sz w:val="24"/>
          <w:szCs w:val="24"/>
        </w:rPr>
        <w:t>Cell C Service Provider (Pty) Ltd v MEC:</w:t>
      </w:r>
      <w:r w:rsidR="00A43364" w:rsidRPr="00A43364">
        <w:rPr>
          <w:rFonts w:ascii="Arial" w:eastAsia="Times New Roman" w:hAnsi="Arial" w:cs="Arial"/>
          <w:b/>
          <w:sz w:val="24"/>
          <w:szCs w:val="24"/>
          <w:lang w:eastAsia="en-GB"/>
        </w:rPr>
        <w:t xml:space="preserve"> </w:t>
      </w:r>
      <w:r w:rsidR="00A43364" w:rsidRPr="004D49FF">
        <w:rPr>
          <w:rFonts w:ascii="Arial" w:eastAsia="Times New Roman" w:hAnsi="Arial" w:cs="Arial"/>
          <w:b/>
          <w:sz w:val="24"/>
          <w:szCs w:val="24"/>
          <w:lang w:eastAsia="en-GB"/>
        </w:rPr>
        <w:t>F</w:t>
      </w:r>
      <w:r w:rsidR="00311D2D" w:rsidRPr="004D49FF">
        <w:rPr>
          <w:rFonts w:ascii="Arial" w:eastAsia="Times New Roman" w:hAnsi="Arial" w:cs="Arial"/>
          <w:b/>
          <w:sz w:val="24"/>
          <w:szCs w:val="24"/>
          <w:lang w:eastAsia="en-GB"/>
        </w:rPr>
        <w:t>ree</w:t>
      </w:r>
      <w:r w:rsidR="00A43364" w:rsidRPr="004D49FF">
        <w:rPr>
          <w:rFonts w:ascii="Arial" w:eastAsia="Times New Roman" w:hAnsi="Arial" w:cs="Arial"/>
          <w:b/>
          <w:sz w:val="24"/>
          <w:szCs w:val="24"/>
          <w:lang w:eastAsia="en-GB"/>
        </w:rPr>
        <w:t xml:space="preserve"> S</w:t>
      </w:r>
      <w:r w:rsidR="00311D2D" w:rsidRPr="004D49FF">
        <w:rPr>
          <w:rFonts w:ascii="Arial" w:eastAsia="Times New Roman" w:hAnsi="Arial" w:cs="Arial"/>
          <w:b/>
          <w:sz w:val="24"/>
          <w:szCs w:val="24"/>
          <w:lang w:eastAsia="en-GB"/>
        </w:rPr>
        <w:t>tate</w:t>
      </w:r>
      <w:r w:rsidR="00A43364" w:rsidRPr="004D49FF">
        <w:rPr>
          <w:rFonts w:ascii="Arial" w:eastAsia="Times New Roman" w:hAnsi="Arial" w:cs="Arial"/>
          <w:b/>
          <w:sz w:val="24"/>
          <w:szCs w:val="24"/>
          <w:lang w:eastAsia="en-GB"/>
        </w:rPr>
        <w:t xml:space="preserve"> P</w:t>
      </w:r>
      <w:r w:rsidR="00311D2D" w:rsidRPr="004D49FF">
        <w:rPr>
          <w:rFonts w:ascii="Arial" w:eastAsia="Times New Roman" w:hAnsi="Arial" w:cs="Arial"/>
          <w:b/>
          <w:sz w:val="24"/>
          <w:szCs w:val="24"/>
          <w:lang w:eastAsia="en-GB"/>
        </w:rPr>
        <w:t>rovincial</w:t>
      </w:r>
      <w:r w:rsidR="00A43364" w:rsidRPr="004D49FF">
        <w:rPr>
          <w:rFonts w:ascii="Arial" w:eastAsia="Times New Roman" w:hAnsi="Arial" w:cs="Arial"/>
          <w:b/>
          <w:sz w:val="24"/>
          <w:szCs w:val="24"/>
          <w:lang w:eastAsia="en-GB"/>
        </w:rPr>
        <w:t xml:space="preserve"> </w:t>
      </w:r>
      <w:r w:rsidR="00311D2D">
        <w:rPr>
          <w:rFonts w:ascii="Arial" w:eastAsia="Times New Roman" w:hAnsi="Arial" w:cs="Arial"/>
          <w:b/>
          <w:sz w:val="24"/>
          <w:szCs w:val="24"/>
          <w:lang w:eastAsia="en-GB"/>
        </w:rPr>
        <w:t xml:space="preserve">Government: </w:t>
      </w:r>
      <w:r w:rsidR="00A43364" w:rsidRPr="004D49FF">
        <w:rPr>
          <w:rFonts w:ascii="Arial" w:eastAsia="Times New Roman" w:hAnsi="Arial" w:cs="Arial"/>
          <w:b/>
          <w:sz w:val="24"/>
          <w:szCs w:val="24"/>
          <w:lang w:eastAsia="en-GB"/>
        </w:rPr>
        <w:t>D</w:t>
      </w:r>
      <w:r w:rsidR="00311D2D" w:rsidRPr="004D49FF">
        <w:rPr>
          <w:rFonts w:ascii="Arial" w:eastAsia="Times New Roman" w:hAnsi="Arial" w:cs="Arial"/>
          <w:b/>
          <w:sz w:val="24"/>
          <w:szCs w:val="24"/>
          <w:lang w:eastAsia="en-GB"/>
        </w:rPr>
        <w:t>epartmen</w:t>
      </w:r>
      <w:r w:rsidR="00311D2D">
        <w:rPr>
          <w:rFonts w:ascii="Arial" w:eastAsia="Times New Roman" w:hAnsi="Arial" w:cs="Arial"/>
          <w:b/>
          <w:sz w:val="24"/>
          <w:szCs w:val="24"/>
          <w:lang w:eastAsia="en-GB"/>
        </w:rPr>
        <w:t>t</w:t>
      </w:r>
      <w:r w:rsidR="00A43364" w:rsidRPr="004D49FF">
        <w:rPr>
          <w:rFonts w:ascii="Arial" w:eastAsia="Times New Roman" w:hAnsi="Arial" w:cs="Arial"/>
          <w:b/>
          <w:sz w:val="24"/>
          <w:szCs w:val="24"/>
          <w:lang w:eastAsia="en-GB"/>
        </w:rPr>
        <w:t xml:space="preserve"> </w:t>
      </w:r>
      <w:r w:rsidR="00A43364">
        <w:rPr>
          <w:rFonts w:ascii="Arial" w:eastAsia="Times New Roman" w:hAnsi="Arial" w:cs="Arial"/>
          <w:b/>
          <w:sz w:val="24"/>
          <w:szCs w:val="24"/>
          <w:lang w:eastAsia="en-GB"/>
        </w:rPr>
        <w:t>of</w:t>
      </w:r>
      <w:r w:rsidR="00311D2D">
        <w:rPr>
          <w:rFonts w:ascii="Arial" w:eastAsia="Times New Roman" w:hAnsi="Arial" w:cs="Arial"/>
          <w:b/>
          <w:sz w:val="24"/>
          <w:szCs w:val="24"/>
          <w:lang w:eastAsia="en-GB"/>
        </w:rPr>
        <w:t xml:space="preserve"> Treasury</w:t>
      </w:r>
      <w:r w:rsidR="00311D2D">
        <w:rPr>
          <w:rStyle w:val="FootnoteReference"/>
          <w:rFonts w:ascii="Arial" w:eastAsia="Times New Roman" w:hAnsi="Arial" w:cs="Arial"/>
          <w:b/>
          <w:sz w:val="24"/>
          <w:szCs w:val="24"/>
          <w:lang w:eastAsia="en-GB"/>
        </w:rPr>
        <w:footnoteReference w:id="4"/>
      </w:r>
      <w:r w:rsidR="00311D2D">
        <w:rPr>
          <w:rFonts w:ascii="Arial" w:eastAsia="Times New Roman" w:hAnsi="Arial" w:cs="Arial"/>
          <w:bCs/>
          <w:sz w:val="24"/>
          <w:szCs w:val="24"/>
          <w:lang w:eastAsia="en-GB"/>
        </w:rPr>
        <w:t xml:space="preserve"> Rampai, J came to the same conclusion. </w:t>
      </w:r>
      <w:r w:rsidR="00B1680D">
        <w:rPr>
          <w:rFonts w:ascii="Arial" w:eastAsia="Times New Roman" w:hAnsi="Arial" w:cs="Arial"/>
          <w:bCs/>
          <w:sz w:val="24"/>
          <w:szCs w:val="24"/>
          <w:lang w:eastAsia="en-GB"/>
        </w:rPr>
        <w:t>“</w:t>
      </w:r>
      <w:r w:rsidR="00B1680D" w:rsidRPr="00B1680D">
        <w:rPr>
          <w:rFonts w:ascii="Arial" w:hAnsi="Arial" w:cs="Arial"/>
          <w:color w:val="242121"/>
          <w:sz w:val="24"/>
          <w:szCs w:val="24"/>
          <w:shd w:val="clear" w:color="auto" w:fill="FFFFFF"/>
        </w:rPr>
        <w:t xml:space="preserve">It is rather quite vivid that the legislation </w:t>
      </w:r>
      <w:r w:rsidR="00B1680D">
        <w:rPr>
          <w:rFonts w:ascii="Arial" w:hAnsi="Arial" w:cs="Arial"/>
          <w:color w:val="242121"/>
          <w:sz w:val="24"/>
          <w:szCs w:val="24"/>
          <w:shd w:val="clear" w:color="auto" w:fill="FFFFFF"/>
        </w:rPr>
        <w:t>…</w:t>
      </w:r>
      <w:r w:rsidR="00B1680D" w:rsidRPr="00B1680D">
        <w:rPr>
          <w:rFonts w:ascii="Arial" w:hAnsi="Arial" w:cs="Arial"/>
          <w:color w:val="242121"/>
          <w:sz w:val="24"/>
          <w:szCs w:val="24"/>
          <w:shd w:val="clear" w:color="auto" w:fill="FFFFFF"/>
        </w:rPr>
        <w:t xml:space="preserve"> called PAJA is exhaustively concerned with written request for written reasons relative to an administrator’s decision or action and not an administrator’s record or information relative to an administrative decision on which the action was based.  The applicant’s reliance on the legislation that concerns reasons instead of the legislation that concerns information was fundamentally misguided</w:t>
      </w:r>
      <w:r w:rsidR="00B1680D">
        <w:rPr>
          <w:rFonts w:ascii="Arial" w:hAnsi="Arial" w:cs="Arial"/>
          <w:color w:val="242121"/>
          <w:sz w:val="24"/>
          <w:szCs w:val="24"/>
          <w:shd w:val="clear" w:color="auto" w:fill="FFFFFF"/>
        </w:rPr>
        <w:t>,” he stated.</w:t>
      </w:r>
      <w:r w:rsidR="00B1680D" w:rsidRPr="00B1680D">
        <w:rPr>
          <w:rStyle w:val="FootnoteReference"/>
          <w:rFonts w:ascii="Arial" w:hAnsi="Arial" w:cs="Arial"/>
          <w:b/>
          <w:bCs/>
          <w:color w:val="242121"/>
          <w:sz w:val="24"/>
          <w:szCs w:val="24"/>
          <w:shd w:val="clear" w:color="auto" w:fill="FFFFFF"/>
        </w:rPr>
        <w:footnoteReference w:id="5"/>
      </w:r>
      <w:r w:rsidR="00B1680D">
        <w:rPr>
          <w:rFonts w:ascii="Arial" w:hAnsi="Arial" w:cs="Arial"/>
          <w:color w:val="242121"/>
          <w:sz w:val="24"/>
          <w:szCs w:val="24"/>
          <w:shd w:val="clear" w:color="auto" w:fill="FFFFFF"/>
        </w:rPr>
        <w:t xml:space="preserve">  The legislation to which the learned Judge referred to in this respect, was the Promotion of Access to Information Act.</w:t>
      </w:r>
      <w:r w:rsidR="00B1680D" w:rsidRPr="00B1680D">
        <w:rPr>
          <w:rStyle w:val="FootnoteReference"/>
          <w:rFonts w:ascii="Arial" w:hAnsi="Arial" w:cs="Arial"/>
          <w:b/>
          <w:bCs/>
          <w:color w:val="242121"/>
          <w:sz w:val="24"/>
          <w:szCs w:val="24"/>
          <w:shd w:val="clear" w:color="auto" w:fill="FFFFFF"/>
        </w:rPr>
        <w:footnoteReference w:id="6"/>
      </w:r>
    </w:p>
    <w:p w14:paraId="68475974" w14:textId="77777777" w:rsidR="00AC0D46" w:rsidRPr="00AC0D46" w:rsidRDefault="00AC0D46" w:rsidP="00AC0D46">
      <w:pPr>
        <w:tabs>
          <w:tab w:val="right" w:pos="9180"/>
        </w:tabs>
        <w:spacing w:after="0" w:line="360" w:lineRule="auto"/>
        <w:ind w:left="709" w:hanging="709"/>
        <w:jc w:val="both"/>
        <w:rPr>
          <w:rFonts w:ascii="Arial" w:eastAsia="Times New Roman" w:hAnsi="Arial" w:cs="Arial"/>
          <w:bCs/>
          <w:sz w:val="24"/>
          <w:szCs w:val="24"/>
          <w:lang w:eastAsia="en-GB"/>
        </w:rPr>
      </w:pPr>
    </w:p>
    <w:p w14:paraId="38148B99" w14:textId="31CE5E8B" w:rsidR="005C4C12" w:rsidRDefault="008B5D0D" w:rsidP="00377455">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lastRenderedPageBreak/>
        <w:t>[12]</w:t>
      </w:r>
      <w:r>
        <w:rPr>
          <w:rFonts w:ascii="Arial" w:eastAsia="Calibri" w:hAnsi="Arial" w:cs="Arial"/>
          <w:sz w:val="24"/>
          <w:szCs w:val="24"/>
        </w:rPr>
        <w:tab/>
      </w:r>
      <w:r w:rsidR="00377455">
        <w:rPr>
          <w:rFonts w:ascii="Arial" w:eastAsia="Calibri" w:hAnsi="Arial" w:cs="Arial"/>
          <w:sz w:val="24"/>
          <w:szCs w:val="24"/>
        </w:rPr>
        <w:t>I</w:t>
      </w:r>
      <w:r w:rsidR="00AC0D46">
        <w:rPr>
          <w:rFonts w:ascii="Arial" w:eastAsia="Calibri" w:hAnsi="Arial" w:cs="Arial"/>
          <w:sz w:val="24"/>
          <w:szCs w:val="24"/>
        </w:rPr>
        <w:t xml:space="preserve"> agree with the sentiments expressed in the two decisions mentioned. It follows that the applicant in the present application is not entitled to the documentation it seeks in terms of PAJA.</w:t>
      </w:r>
    </w:p>
    <w:p w14:paraId="63B083B0" w14:textId="77777777" w:rsidR="008B5D0D" w:rsidRDefault="008B5D0D" w:rsidP="008B5D0D">
      <w:pPr>
        <w:spacing w:after="0" w:line="240" w:lineRule="auto"/>
        <w:jc w:val="both"/>
        <w:rPr>
          <w:rFonts w:ascii="Arial" w:eastAsia="Calibri" w:hAnsi="Arial" w:cs="Arial"/>
          <w:sz w:val="24"/>
          <w:szCs w:val="24"/>
        </w:rPr>
      </w:pPr>
    </w:p>
    <w:p w14:paraId="7A3D6C7D" w14:textId="609A9454" w:rsidR="008B5D0D" w:rsidRPr="00AE51D8" w:rsidRDefault="008B5D0D" w:rsidP="008B5D0D">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Pr>
          <w:rFonts w:ascii="Arial" w:eastAsia="Calibri" w:hAnsi="Arial" w:cs="Arial"/>
          <w:sz w:val="24"/>
          <w:szCs w:val="24"/>
        </w:rPr>
        <w:t>13</w:t>
      </w:r>
      <w:r w:rsidRPr="003A3338">
        <w:rPr>
          <w:rFonts w:ascii="Arial" w:eastAsia="Calibri" w:hAnsi="Arial" w:cs="Arial"/>
          <w:sz w:val="24"/>
          <w:szCs w:val="24"/>
        </w:rPr>
        <w:t xml:space="preserve">] </w:t>
      </w:r>
      <w:r w:rsidRPr="003A3338">
        <w:rPr>
          <w:rFonts w:ascii="Arial" w:eastAsia="Calibri" w:hAnsi="Arial" w:cs="Arial"/>
          <w:sz w:val="24"/>
          <w:szCs w:val="24"/>
        </w:rPr>
        <w:tab/>
      </w:r>
      <w:r w:rsidR="004E45CB">
        <w:rPr>
          <w:rFonts w:ascii="Arial" w:eastAsia="Calibri" w:hAnsi="Arial" w:cs="Arial"/>
          <w:sz w:val="24"/>
          <w:szCs w:val="24"/>
        </w:rPr>
        <w:t xml:space="preserve">Upon a proper and due consideration of all the application papers before me, I come to the conclusion that the </w:t>
      </w:r>
      <w:r w:rsidR="0071277A">
        <w:rPr>
          <w:rFonts w:ascii="Arial" w:eastAsia="Calibri" w:hAnsi="Arial" w:cs="Arial"/>
          <w:sz w:val="24"/>
          <w:szCs w:val="24"/>
        </w:rPr>
        <w:t>r</w:t>
      </w:r>
      <w:r w:rsidR="004E45CB">
        <w:rPr>
          <w:rFonts w:ascii="Arial" w:eastAsia="Calibri" w:hAnsi="Arial" w:cs="Arial"/>
          <w:sz w:val="24"/>
          <w:szCs w:val="24"/>
        </w:rPr>
        <w:t>espondent</w:t>
      </w:r>
      <w:r w:rsidR="0071277A">
        <w:rPr>
          <w:rFonts w:ascii="Arial" w:eastAsia="Calibri" w:hAnsi="Arial" w:cs="Arial"/>
          <w:sz w:val="24"/>
          <w:szCs w:val="24"/>
        </w:rPr>
        <w:t>s</w:t>
      </w:r>
      <w:r w:rsidR="004E45CB">
        <w:rPr>
          <w:rFonts w:ascii="Arial" w:eastAsia="Calibri" w:hAnsi="Arial" w:cs="Arial"/>
          <w:sz w:val="24"/>
          <w:szCs w:val="24"/>
        </w:rPr>
        <w:t xml:space="preserve"> were unreasonably reluctant to provide the applicant with the reasons for their decision. In addition, the application was filed more than two weeks ago, and still the respondents did nothing to provide the applicant with the required reasons. On the other hand, I am mindful of the fact that the reluctance of the respondent probably stemmed from the misguided request for documentation underscoring the decision, and from the prayer in the notice of motion requesting that the 90 day period for the furnishing of the information be reduced to a period of only 5 days. Since the legislature has obviously considered the 90 day period as a reasonable period, I am of the view that a mere 5 day period is unreasonable in the circumstances.</w:t>
      </w:r>
    </w:p>
    <w:p w14:paraId="2177EBA0" w14:textId="77777777" w:rsidR="008B5D0D" w:rsidRPr="003A3338" w:rsidRDefault="008B5D0D" w:rsidP="008B5D0D">
      <w:pPr>
        <w:spacing w:line="240" w:lineRule="auto"/>
        <w:contextualSpacing/>
        <w:rPr>
          <w:rFonts w:ascii="Arial" w:eastAsia="Calibri" w:hAnsi="Arial" w:cs="Arial"/>
          <w:sz w:val="24"/>
          <w:szCs w:val="24"/>
        </w:rPr>
      </w:pPr>
    </w:p>
    <w:p w14:paraId="1AD553F0" w14:textId="79923118" w:rsidR="004E45CB" w:rsidRDefault="008B5D0D" w:rsidP="008B5D0D">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t>[1</w:t>
      </w:r>
      <w:r>
        <w:rPr>
          <w:rFonts w:ascii="Arial" w:eastAsia="Calibri" w:hAnsi="Arial" w:cs="Arial"/>
          <w:sz w:val="24"/>
          <w:szCs w:val="24"/>
        </w:rPr>
        <w:t>4</w:t>
      </w:r>
      <w:r w:rsidRPr="003A3338">
        <w:rPr>
          <w:rFonts w:ascii="Arial" w:eastAsia="Calibri" w:hAnsi="Arial" w:cs="Arial"/>
          <w:sz w:val="24"/>
          <w:szCs w:val="24"/>
        </w:rPr>
        <w:t>]</w:t>
      </w:r>
      <w:r w:rsidRPr="003A3338">
        <w:rPr>
          <w:rFonts w:ascii="Arial" w:eastAsia="Calibri" w:hAnsi="Arial" w:cs="Arial"/>
          <w:sz w:val="24"/>
          <w:szCs w:val="24"/>
        </w:rPr>
        <w:tab/>
      </w:r>
      <w:r w:rsidR="00FE4DC7">
        <w:rPr>
          <w:rFonts w:ascii="Arial" w:eastAsia="Calibri" w:hAnsi="Arial" w:cs="Arial"/>
          <w:sz w:val="24"/>
          <w:szCs w:val="24"/>
        </w:rPr>
        <w:t xml:space="preserve">As for costs, I am guided by the fact that the applicant is only partially successful in the application, while the respondents were correct in viewing the request for documentation and a reduction of </w:t>
      </w:r>
      <w:r w:rsidR="0071277A">
        <w:rPr>
          <w:rFonts w:ascii="Arial" w:eastAsia="Calibri" w:hAnsi="Arial" w:cs="Arial"/>
          <w:sz w:val="24"/>
          <w:szCs w:val="24"/>
        </w:rPr>
        <w:t>the</w:t>
      </w:r>
      <w:r w:rsidR="00FE4DC7">
        <w:rPr>
          <w:rFonts w:ascii="Arial" w:eastAsia="Calibri" w:hAnsi="Arial" w:cs="Arial"/>
          <w:sz w:val="24"/>
          <w:szCs w:val="24"/>
        </w:rPr>
        <w:t xml:space="preserve"> 90 day period as inappropriate. There was nothing, however, that could have stopped the respondents from providing the reasons for their decision timeously, as they were obliged to do in terms of PAJA. In the circumstances, it would be fair to both parties not to make any order of costs.</w:t>
      </w:r>
    </w:p>
    <w:p w14:paraId="3558EFF4" w14:textId="77777777" w:rsidR="004E45CB" w:rsidRDefault="004E45CB" w:rsidP="00FE4DC7">
      <w:pPr>
        <w:spacing w:after="0" w:line="240" w:lineRule="auto"/>
        <w:ind w:left="720" w:hanging="720"/>
        <w:jc w:val="both"/>
        <w:rPr>
          <w:rFonts w:ascii="Arial" w:eastAsia="Calibri" w:hAnsi="Arial" w:cs="Arial"/>
          <w:sz w:val="24"/>
          <w:szCs w:val="24"/>
        </w:rPr>
      </w:pPr>
    </w:p>
    <w:p w14:paraId="1097287A" w14:textId="7299559F" w:rsidR="008B5D0D" w:rsidRDefault="004E45CB" w:rsidP="008B5D0D">
      <w:pPr>
        <w:spacing w:line="360" w:lineRule="auto"/>
        <w:ind w:left="720" w:hanging="720"/>
        <w:jc w:val="both"/>
        <w:rPr>
          <w:rFonts w:ascii="Arial" w:eastAsia="Calibri" w:hAnsi="Arial" w:cs="Arial"/>
          <w:sz w:val="24"/>
          <w:szCs w:val="24"/>
        </w:rPr>
      </w:pPr>
      <w:r>
        <w:rPr>
          <w:rFonts w:ascii="Arial" w:eastAsia="Calibri" w:hAnsi="Arial" w:cs="Arial"/>
          <w:sz w:val="24"/>
          <w:szCs w:val="24"/>
        </w:rPr>
        <w:t>[15]</w:t>
      </w:r>
      <w:r>
        <w:rPr>
          <w:rFonts w:ascii="Arial" w:eastAsia="Calibri" w:hAnsi="Arial" w:cs="Arial"/>
          <w:sz w:val="24"/>
          <w:szCs w:val="24"/>
        </w:rPr>
        <w:tab/>
        <w:t>T</w:t>
      </w:r>
      <w:r w:rsidR="00E82F3B">
        <w:rPr>
          <w:rFonts w:ascii="Arial" w:eastAsia="Calibri" w:hAnsi="Arial" w:cs="Arial"/>
          <w:sz w:val="24"/>
          <w:szCs w:val="24"/>
        </w:rPr>
        <w:t xml:space="preserve">he following orders are </w:t>
      </w:r>
      <w:r>
        <w:rPr>
          <w:rFonts w:ascii="Arial" w:eastAsia="Calibri" w:hAnsi="Arial" w:cs="Arial"/>
          <w:sz w:val="24"/>
          <w:szCs w:val="24"/>
        </w:rPr>
        <w:t>made</w:t>
      </w:r>
      <w:r w:rsidR="00E82F3B">
        <w:rPr>
          <w:rFonts w:ascii="Arial" w:eastAsia="Calibri" w:hAnsi="Arial" w:cs="Arial"/>
          <w:sz w:val="24"/>
          <w:szCs w:val="24"/>
        </w:rPr>
        <w:t>:</w:t>
      </w:r>
    </w:p>
    <w:p w14:paraId="1F131280" w14:textId="7BF7B2F9" w:rsidR="00FE4DC7" w:rsidRDefault="00FE4DC7" w:rsidP="00FE4DC7">
      <w:pPr>
        <w:pStyle w:val="ListParagraph"/>
        <w:numPr>
          <w:ilvl w:val="0"/>
          <w:numId w:val="15"/>
        </w:numPr>
        <w:spacing w:line="360" w:lineRule="auto"/>
        <w:jc w:val="both"/>
        <w:rPr>
          <w:rFonts w:ascii="Arial" w:eastAsia="Calibri" w:hAnsi="Arial" w:cs="Arial"/>
          <w:sz w:val="24"/>
          <w:szCs w:val="24"/>
        </w:rPr>
      </w:pPr>
      <w:r>
        <w:rPr>
          <w:rFonts w:ascii="Arial" w:eastAsia="Calibri" w:hAnsi="Arial" w:cs="Arial"/>
          <w:sz w:val="24"/>
          <w:szCs w:val="24"/>
        </w:rPr>
        <w:t>The applicant’s non-compliance with the Rules of Court relating to time periods and service is condoned, and the application is heard on a semi-urgent basis.</w:t>
      </w:r>
    </w:p>
    <w:p w14:paraId="6899E740" w14:textId="7BD9B995" w:rsidR="00FE4DC7" w:rsidRPr="0048411A" w:rsidRDefault="00FE4DC7" w:rsidP="00FE4DC7">
      <w:pPr>
        <w:pStyle w:val="ListParagraph"/>
        <w:numPr>
          <w:ilvl w:val="0"/>
          <w:numId w:val="15"/>
        </w:numPr>
        <w:spacing w:line="360" w:lineRule="auto"/>
        <w:jc w:val="both"/>
        <w:rPr>
          <w:rFonts w:ascii="Arial" w:eastAsia="Calibri" w:hAnsi="Arial" w:cs="Arial"/>
          <w:sz w:val="24"/>
          <w:szCs w:val="24"/>
        </w:rPr>
      </w:pPr>
      <w:r>
        <w:rPr>
          <w:rFonts w:ascii="Arial" w:eastAsia="Calibri" w:hAnsi="Arial" w:cs="Arial"/>
          <w:sz w:val="24"/>
          <w:szCs w:val="24"/>
        </w:rPr>
        <w:t xml:space="preserve">The first and the second respondents are ordered to, within 20 days after the date of this order, provide the applicant with full and written reasons for its failure to secure Public Contract styled </w:t>
      </w:r>
      <w:r>
        <w:rPr>
          <w:rFonts w:ascii="Arial" w:hAnsi="Arial" w:cs="Arial"/>
          <w:sz w:val="24"/>
          <w:szCs w:val="24"/>
        </w:rPr>
        <w:t>DOH(FS) 04/2022/2023</w:t>
      </w:r>
      <w:r>
        <w:rPr>
          <w:rFonts w:ascii="Arial" w:hAnsi="Arial" w:cs="Arial"/>
          <w:sz w:val="24"/>
          <w:szCs w:val="24"/>
        </w:rPr>
        <w:t xml:space="preserve">: </w:t>
      </w:r>
      <w:r w:rsidR="0048411A">
        <w:rPr>
          <w:rFonts w:ascii="Arial" w:hAnsi="Arial" w:cs="Arial"/>
          <w:sz w:val="24"/>
          <w:szCs w:val="24"/>
        </w:rPr>
        <w:t xml:space="preserve">Appointment of Suitable Service Provider to Render Distribution and Courier Services for Pharmaceutical, Medical Consumables, Forms and </w:t>
      </w:r>
      <w:r w:rsidR="0048411A">
        <w:rPr>
          <w:rFonts w:ascii="Arial" w:hAnsi="Arial" w:cs="Arial"/>
          <w:sz w:val="24"/>
          <w:szCs w:val="24"/>
        </w:rPr>
        <w:lastRenderedPageBreak/>
        <w:t>Cold Chain Items to Various Institutions within the Free State Department of Health.</w:t>
      </w:r>
    </w:p>
    <w:p w14:paraId="6AB17BB1" w14:textId="19B7BE04" w:rsidR="0048411A" w:rsidRPr="00FE4DC7" w:rsidRDefault="0048411A" w:rsidP="00FE4DC7">
      <w:pPr>
        <w:pStyle w:val="ListParagraph"/>
        <w:numPr>
          <w:ilvl w:val="0"/>
          <w:numId w:val="15"/>
        </w:numPr>
        <w:spacing w:line="360" w:lineRule="auto"/>
        <w:jc w:val="both"/>
        <w:rPr>
          <w:rFonts w:ascii="Arial" w:eastAsia="Calibri" w:hAnsi="Arial" w:cs="Arial"/>
          <w:sz w:val="24"/>
          <w:szCs w:val="24"/>
        </w:rPr>
      </w:pPr>
      <w:r>
        <w:rPr>
          <w:rFonts w:ascii="Arial" w:hAnsi="Arial" w:cs="Arial"/>
          <w:sz w:val="24"/>
          <w:szCs w:val="24"/>
        </w:rPr>
        <w:t>No order as to costs.</w:t>
      </w:r>
    </w:p>
    <w:p w14:paraId="333CB2BE" w14:textId="3AA200FD" w:rsidR="00B07F5B" w:rsidRDefault="00B07F5B" w:rsidP="0048411A">
      <w:pPr>
        <w:spacing w:after="0" w:line="276" w:lineRule="auto"/>
        <w:rPr>
          <w:rFonts w:ascii="Arial" w:hAnsi="Arial" w:cs="Arial"/>
          <w:sz w:val="24"/>
          <w:szCs w:val="24"/>
        </w:rPr>
      </w:pPr>
    </w:p>
    <w:p w14:paraId="740CABD8" w14:textId="252977AE" w:rsidR="00B07F5B" w:rsidRDefault="00B07F5B" w:rsidP="005548F4">
      <w:pPr>
        <w:spacing w:after="0" w:line="276" w:lineRule="auto"/>
        <w:ind w:left="720" w:hanging="720"/>
        <w:jc w:val="right"/>
        <w:rPr>
          <w:rFonts w:ascii="Arial" w:hAnsi="Arial" w:cs="Arial"/>
          <w:sz w:val="24"/>
          <w:szCs w:val="24"/>
        </w:rPr>
      </w:pPr>
    </w:p>
    <w:p w14:paraId="42E10B94" w14:textId="4A1DAC6D" w:rsidR="00B07F5B" w:rsidRDefault="00B07F5B" w:rsidP="005548F4">
      <w:pPr>
        <w:spacing w:after="0" w:line="276" w:lineRule="auto"/>
        <w:ind w:left="720" w:hanging="720"/>
        <w:jc w:val="right"/>
        <w:rPr>
          <w:rFonts w:ascii="Arial" w:hAnsi="Arial" w:cs="Arial"/>
          <w:sz w:val="24"/>
          <w:szCs w:val="24"/>
        </w:rPr>
      </w:pPr>
    </w:p>
    <w:p w14:paraId="6F6CAF8E" w14:textId="77777777" w:rsidR="0048411A" w:rsidRDefault="0048411A" w:rsidP="005548F4">
      <w:pPr>
        <w:spacing w:after="0" w:line="276" w:lineRule="auto"/>
        <w:ind w:left="720" w:hanging="720"/>
        <w:jc w:val="right"/>
        <w:rPr>
          <w:rFonts w:ascii="Arial" w:hAnsi="Arial" w:cs="Arial"/>
          <w:sz w:val="24"/>
          <w:szCs w:val="24"/>
        </w:rPr>
      </w:pPr>
    </w:p>
    <w:p w14:paraId="284A83F2" w14:textId="2AA8DF5D" w:rsidR="00091DAB" w:rsidRPr="00EB2564" w:rsidRDefault="005E7F11" w:rsidP="005548F4">
      <w:pPr>
        <w:spacing w:after="0" w:line="276" w:lineRule="auto"/>
        <w:ind w:left="720" w:hanging="720"/>
        <w:jc w:val="right"/>
        <w:rPr>
          <w:rFonts w:ascii="Arial" w:hAnsi="Arial" w:cs="Arial"/>
          <w:sz w:val="24"/>
          <w:szCs w:val="24"/>
        </w:rPr>
      </w:pPr>
      <w:r w:rsidRPr="00EB2564">
        <w:rPr>
          <w:rFonts w:ascii="Arial" w:hAnsi="Arial" w:cs="Arial"/>
          <w:sz w:val="24"/>
          <w:szCs w:val="24"/>
        </w:rPr>
        <w:t>_</w:t>
      </w:r>
      <w:r w:rsidR="00091DAB" w:rsidRPr="00EB2564">
        <w:rPr>
          <w:rFonts w:ascii="Arial" w:hAnsi="Arial" w:cs="Arial"/>
          <w:sz w:val="24"/>
          <w:szCs w:val="24"/>
        </w:rPr>
        <w:t>______________</w:t>
      </w:r>
    </w:p>
    <w:p w14:paraId="4DB494D5" w14:textId="1C3C4C59" w:rsidR="00091DAB" w:rsidRDefault="005E7F11" w:rsidP="005548F4">
      <w:pPr>
        <w:spacing w:after="0" w:line="276" w:lineRule="auto"/>
        <w:ind w:left="720" w:hanging="720"/>
        <w:jc w:val="right"/>
        <w:rPr>
          <w:rFonts w:ascii="Arial" w:hAnsi="Arial" w:cs="Arial"/>
          <w:sz w:val="24"/>
          <w:szCs w:val="24"/>
        </w:rPr>
      </w:pPr>
      <w:r w:rsidRPr="00EB2564">
        <w:rPr>
          <w:rFonts w:ascii="Arial" w:hAnsi="Arial" w:cs="Arial"/>
          <w:sz w:val="24"/>
          <w:szCs w:val="24"/>
        </w:rPr>
        <w:t>P. J. LOUBSER</w:t>
      </w:r>
      <w:r w:rsidR="00091DAB" w:rsidRPr="00EB2564">
        <w:rPr>
          <w:rFonts w:ascii="Arial" w:hAnsi="Arial" w:cs="Arial"/>
          <w:sz w:val="24"/>
          <w:szCs w:val="24"/>
        </w:rPr>
        <w:t>, J</w:t>
      </w:r>
    </w:p>
    <w:p w14:paraId="2E075850" w14:textId="66BE23E9" w:rsidR="00507BFF" w:rsidRPr="00EB2564" w:rsidRDefault="00507BFF" w:rsidP="005548F4">
      <w:pPr>
        <w:tabs>
          <w:tab w:val="left" w:pos="1701"/>
        </w:tabs>
        <w:spacing w:line="276" w:lineRule="auto"/>
        <w:rPr>
          <w:rFonts w:ascii="Arial" w:hAnsi="Arial" w:cs="Arial"/>
          <w:color w:val="000000" w:themeColor="text1"/>
          <w:sz w:val="24"/>
          <w:szCs w:val="24"/>
        </w:rPr>
      </w:pPr>
    </w:p>
    <w:p w14:paraId="055C69A2" w14:textId="77777777" w:rsidR="00B07F5B" w:rsidRDefault="00B07F5B" w:rsidP="00B07F5B">
      <w:pPr>
        <w:tabs>
          <w:tab w:val="left" w:pos="1701"/>
        </w:tabs>
        <w:spacing w:line="276" w:lineRule="auto"/>
        <w:jc w:val="both"/>
        <w:rPr>
          <w:rFonts w:ascii="Arial" w:hAnsi="Arial" w:cs="Arial"/>
          <w:color w:val="000000" w:themeColor="text1"/>
          <w:sz w:val="24"/>
          <w:szCs w:val="24"/>
        </w:rPr>
      </w:pPr>
    </w:p>
    <w:p w14:paraId="1E043FB7" w14:textId="3B31554A" w:rsidR="00B07F5B" w:rsidRPr="00EB2564" w:rsidRDefault="00B07F5B" w:rsidP="00B07F5B">
      <w:pPr>
        <w:tabs>
          <w:tab w:val="left" w:pos="1701"/>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For the </w:t>
      </w:r>
      <w:r w:rsidR="005B4D6D">
        <w:rPr>
          <w:rFonts w:ascii="Arial" w:hAnsi="Arial" w:cs="Arial"/>
          <w:color w:val="000000" w:themeColor="text1"/>
          <w:sz w:val="24"/>
          <w:szCs w:val="24"/>
        </w:rPr>
        <w:t>A</w:t>
      </w:r>
      <w:r>
        <w:rPr>
          <w:rFonts w:ascii="Arial" w:hAnsi="Arial" w:cs="Arial"/>
          <w:color w:val="000000" w:themeColor="text1"/>
          <w:sz w:val="24"/>
          <w:szCs w:val="24"/>
        </w:rPr>
        <w:t>pplicant</w:t>
      </w:r>
      <w:r w:rsidRPr="00EB2564">
        <w:rPr>
          <w:rFonts w:ascii="Arial" w:hAnsi="Arial" w:cs="Arial"/>
          <w:color w:val="000000" w:themeColor="text1"/>
          <w:sz w:val="24"/>
          <w:szCs w:val="24"/>
        </w:rPr>
        <w:t>:</w:t>
      </w:r>
      <w:r w:rsidRPr="00EB2564">
        <w:rPr>
          <w:rFonts w:ascii="Arial" w:hAnsi="Arial" w:cs="Arial"/>
          <w:color w:val="000000" w:themeColor="text1"/>
          <w:sz w:val="24"/>
          <w:szCs w:val="24"/>
        </w:rPr>
        <w:tab/>
      </w:r>
      <w:r w:rsidRPr="00EB2564">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EB2564">
        <w:rPr>
          <w:rFonts w:ascii="Arial" w:hAnsi="Arial" w:cs="Arial"/>
          <w:color w:val="000000" w:themeColor="text1"/>
          <w:sz w:val="24"/>
          <w:szCs w:val="24"/>
        </w:rPr>
        <w:t xml:space="preserve">Adv. </w:t>
      </w:r>
      <w:r w:rsidR="0048411A">
        <w:rPr>
          <w:rFonts w:ascii="Arial" w:hAnsi="Arial" w:cs="Arial"/>
          <w:color w:val="000000" w:themeColor="text1"/>
          <w:sz w:val="24"/>
          <w:szCs w:val="24"/>
        </w:rPr>
        <w:t>S. Grobler</w:t>
      </w:r>
      <w:r>
        <w:rPr>
          <w:rFonts w:ascii="Arial" w:hAnsi="Arial" w:cs="Arial"/>
          <w:color w:val="000000" w:themeColor="text1"/>
          <w:sz w:val="24"/>
          <w:szCs w:val="24"/>
        </w:rPr>
        <w:t xml:space="preserve"> SC</w:t>
      </w:r>
    </w:p>
    <w:p w14:paraId="2536C026" w14:textId="78724D6B" w:rsidR="00B07F5B" w:rsidRDefault="00B07F5B" w:rsidP="0048411A">
      <w:pPr>
        <w:tabs>
          <w:tab w:val="left" w:pos="1701"/>
        </w:tabs>
        <w:spacing w:line="276" w:lineRule="auto"/>
        <w:ind w:left="3544" w:hanging="3544"/>
        <w:jc w:val="both"/>
        <w:rPr>
          <w:rFonts w:ascii="Arial" w:hAnsi="Arial" w:cs="Arial"/>
          <w:color w:val="000000" w:themeColor="text1"/>
          <w:sz w:val="24"/>
          <w:szCs w:val="24"/>
        </w:rPr>
      </w:pPr>
      <w:r w:rsidRPr="00EB2564">
        <w:rPr>
          <w:rFonts w:ascii="Arial" w:hAnsi="Arial" w:cs="Arial"/>
          <w:color w:val="000000" w:themeColor="text1"/>
          <w:sz w:val="24"/>
          <w:szCs w:val="24"/>
        </w:rPr>
        <w:t>Instructed by:</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48411A">
        <w:rPr>
          <w:rFonts w:ascii="Arial" w:hAnsi="Arial" w:cs="Arial"/>
          <w:color w:val="000000" w:themeColor="text1"/>
          <w:sz w:val="24"/>
          <w:szCs w:val="24"/>
        </w:rPr>
        <w:t xml:space="preserve">Honey </w:t>
      </w:r>
      <w:r w:rsidR="0048411A">
        <w:rPr>
          <w:rFonts w:ascii="Arial" w:hAnsi="Arial" w:cs="Arial"/>
          <w:color w:val="000000" w:themeColor="text1"/>
          <w:sz w:val="24"/>
          <w:szCs w:val="24"/>
        </w:rPr>
        <w:t>Attorney</w:t>
      </w:r>
      <w:r w:rsidR="0071277A">
        <w:rPr>
          <w:rFonts w:ascii="Arial" w:hAnsi="Arial" w:cs="Arial"/>
          <w:color w:val="000000" w:themeColor="text1"/>
          <w:sz w:val="24"/>
          <w:szCs w:val="24"/>
        </w:rPr>
        <w:t>s</w:t>
      </w:r>
      <w:r w:rsidR="0048411A">
        <w:rPr>
          <w:rFonts w:ascii="Arial" w:hAnsi="Arial" w:cs="Arial"/>
          <w:color w:val="000000" w:themeColor="text1"/>
          <w:sz w:val="24"/>
          <w:szCs w:val="24"/>
        </w:rPr>
        <w:t xml:space="preserve">, </w:t>
      </w:r>
      <w:r w:rsidRPr="00EB2564">
        <w:rPr>
          <w:rFonts w:ascii="Arial" w:hAnsi="Arial" w:cs="Arial"/>
          <w:color w:val="000000" w:themeColor="text1"/>
          <w:sz w:val="24"/>
          <w:szCs w:val="24"/>
        </w:rPr>
        <w:t>Bloemfontein</w:t>
      </w:r>
    </w:p>
    <w:p w14:paraId="676CCB69" w14:textId="77777777" w:rsidR="00B07F5B" w:rsidRDefault="00B07F5B" w:rsidP="00B07F5B">
      <w:pPr>
        <w:tabs>
          <w:tab w:val="left" w:pos="1701"/>
        </w:tabs>
        <w:spacing w:line="276" w:lineRule="auto"/>
        <w:ind w:left="851" w:hanging="851"/>
        <w:jc w:val="both"/>
        <w:rPr>
          <w:rFonts w:ascii="Arial" w:hAnsi="Arial" w:cs="Arial"/>
          <w:color w:val="000000" w:themeColor="text1"/>
          <w:sz w:val="24"/>
          <w:szCs w:val="24"/>
        </w:rPr>
      </w:pPr>
    </w:p>
    <w:p w14:paraId="53C460F9" w14:textId="4C908DBE" w:rsidR="00B07F5B" w:rsidRPr="00EB2564" w:rsidRDefault="00B07F5B" w:rsidP="00B07F5B">
      <w:pPr>
        <w:tabs>
          <w:tab w:val="left" w:pos="1701"/>
        </w:tabs>
        <w:spacing w:line="276" w:lineRule="auto"/>
        <w:ind w:left="851" w:hanging="851"/>
        <w:jc w:val="both"/>
        <w:rPr>
          <w:rFonts w:ascii="Arial" w:hAnsi="Arial" w:cs="Arial"/>
          <w:color w:val="000000" w:themeColor="text1"/>
          <w:sz w:val="24"/>
          <w:szCs w:val="24"/>
        </w:rPr>
      </w:pPr>
      <w:r w:rsidRPr="00EB2564">
        <w:rPr>
          <w:rFonts w:ascii="Arial" w:hAnsi="Arial" w:cs="Arial"/>
          <w:color w:val="000000" w:themeColor="text1"/>
          <w:sz w:val="24"/>
          <w:szCs w:val="24"/>
        </w:rPr>
        <w:t>F</w:t>
      </w:r>
      <w:r>
        <w:rPr>
          <w:rFonts w:ascii="Arial" w:hAnsi="Arial" w:cs="Arial"/>
          <w:color w:val="000000" w:themeColor="text1"/>
          <w:sz w:val="24"/>
          <w:szCs w:val="24"/>
        </w:rPr>
        <w:t>or the Respondent</w:t>
      </w:r>
      <w:r w:rsidR="0071277A">
        <w:rPr>
          <w:rFonts w:ascii="Arial" w:hAnsi="Arial" w:cs="Arial"/>
          <w:color w:val="000000" w:themeColor="text1"/>
          <w:sz w:val="24"/>
          <w:szCs w:val="24"/>
        </w:rPr>
        <w:t>s</w:t>
      </w:r>
      <w:r w:rsidRPr="00EB2564">
        <w:rPr>
          <w:rFonts w:ascii="Arial" w:hAnsi="Arial" w:cs="Arial"/>
          <w:color w:val="000000" w:themeColor="text1"/>
          <w:sz w:val="24"/>
          <w:szCs w:val="24"/>
        </w:rPr>
        <w:t>:</w:t>
      </w:r>
      <w:r w:rsidR="0071277A">
        <w:rPr>
          <w:rFonts w:ascii="Arial" w:hAnsi="Arial" w:cs="Arial"/>
          <w:color w:val="000000" w:themeColor="text1"/>
          <w:sz w:val="24"/>
          <w:szCs w:val="24"/>
        </w:rPr>
        <w:tab/>
      </w:r>
      <w:r w:rsidRPr="00EB2564">
        <w:rPr>
          <w:rFonts w:ascii="Arial" w:hAnsi="Arial" w:cs="Arial"/>
          <w:color w:val="000000" w:themeColor="text1"/>
          <w:sz w:val="24"/>
          <w:szCs w:val="24"/>
        </w:rPr>
        <w:tab/>
      </w:r>
      <w:r>
        <w:rPr>
          <w:rFonts w:ascii="Arial" w:hAnsi="Arial" w:cs="Arial"/>
          <w:color w:val="000000" w:themeColor="text1"/>
          <w:sz w:val="24"/>
          <w:szCs w:val="24"/>
        </w:rPr>
        <w:tab/>
      </w:r>
      <w:r w:rsidRPr="00EB2564">
        <w:rPr>
          <w:rFonts w:ascii="Arial" w:hAnsi="Arial" w:cs="Arial"/>
          <w:color w:val="000000" w:themeColor="text1"/>
          <w:sz w:val="24"/>
          <w:szCs w:val="24"/>
        </w:rPr>
        <w:t xml:space="preserve">Adv. </w:t>
      </w:r>
      <w:r w:rsidR="0048411A">
        <w:rPr>
          <w:rFonts w:ascii="Arial" w:hAnsi="Arial" w:cs="Arial"/>
          <w:color w:val="000000" w:themeColor="text1"/>
          <w:sz w:val="24"/>
          <w:szCs w:val="24"/>
        </w:rPr>
        <w:t>N. Snellenburg SC</w:t>
      </w:r>
    </w:p>
    <w:p w14:paraId="4DBF813D" w14:textId="67EAFFEB" w:rsidR="00B07F5B" w:rsidRPr="005548F4" w:rsidRDefault="00B07F5B" w:rsidP="00B07F5B">
      <w:pPr>
        <w:tabs>
          <w:tab w:val="left" w:pos="1701"/>
        </w:tabs>
        <w:spacing w:line="276" w:lineRule="auto"/>
        <w:ind w:left="851" w:hanging="851"/>
        <w:jc w:val="both"/>
        <w:rPr>
          <w:rFonts w:ascii="Arial" w:hAnsi="Arial" w:cs="Arial"/>
          <w:color w:val="000000" w:themeColor="text1"/>
          <w:sz w:val="24"/>
          <w:szCs w:val="24"/>
        </w:rPr>
      </w:pPr>
      <w:r w:rsidRPr="00EB2564">
        <w:rPr>
          <w:rFonts w:ascii="Arial" w:hAnsi="Arial" w:cs="Arial"/>
          <w:color w:val="000000" w:themeColor="text1"/>
          <w:sz w:val="24"/>
          <w:szCs w:val="24"/>
        </w:rPr>
        <w:t>Instructed by:</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Mo</w:t>
      </w:r>
      <w:r w:rsidR="0048411A">
        <w:rPr>
          <w:rFonts w:ascii="Arial" w:hAnsi="Arial" w:cs="Arial"/>
          <w:color w:val="000000" w:themeColor="text1"/>
          <w:sz w:val="24"/>
          <w:szCs w:val="24"/>
        </w:rPr>
        <w:t>roka</w:t>
      </w:r>
      <w:r>
        <w:rPr>
          <w:rFonts w:ascii="Arial" w:hAnsi="Arial" w:cs="Arial"/>
          <w:color w:val="000000" w:themeColor="text1"/>
          <w:sz w:val="24"/>
          <w:szCs w:val="24"/>
        </w:rPr>
        <w:t xml:space="preserve"> Attorneys</w:t>
      </w:r>
      <w:r w:rsidR="0048411A">
        <w:rPr>
          <w:rFonts w:ascii="Arial" w:hAnsi="Arial" w:cs="Arial"/>
          <w:color w:val="000000" w:themeColor="text1"/>
          <w:sz w:val="24"/>
          <w:szCs w:val="24"/>
        </w:rPr>
        <w:t xml:space="preserve">, </w:t>
      </w:r>
      <w:r w:rsidRPr="00EB2564">
        <w:rPr>
          <w:rFonts w:ascii="Arial" w:hAnsi="Arial" w:cs="Arial"/>
          <w:color w:val="000000" w:themeColor="text1"/>
          <w:sz w:val="24"/>
          <w:szCs w:val="24"/>
        </w:rPr>
        <w:t>Bloemfontein</w:t>
      </w:r>
    </w:p>
    <w:p w14:paraId="69701573" w14:textId="0BF3DE2F" w:rsidR="0073484C" w:rsidRDefault="0073484C" w:rsidP="00C53CC7">
      <w:pPr>
        <w:tabs>
          <w:tab w:val="left" w:pos="1701"/>
        </w:tabs>
        <w:spacing w:line="276" w:lineRule="auto"/>
        <w:jc w:val="both"/>
        <w:rPr>
          <w:rFonts w:ascii="Arial" w:hAnsi="Arial" w:cs="Arial"/>
          <w:color w:val="000000" w:themeColor="text1"/>
          <w:sz w:val="24"/>
          <w:szCs w:val="24"/>
        </w:rPr>
      </w:pPr>
    </w:p>
    <w:p w14:paraId="259F58CA" w14:textId="1FA6EDB5" w:rsidR="0073484C" w:rsidRDefault="0073484C" w:rsidP="008A612E">
      <w:pPr>
        <w:tabs>
          <w:tab w:val="left" w:pos="1701"/>
        </w:tabs>
        <w:spacing w:line="276" w:lineRule="auto"/>
        <w:ind w:left="851" w:hanging="851"/>
        <w:jc w:val="both"/>
        <w:rPr>
          <w:rFonts w:ascii="Arial" w:hAnsi="Arial" w:cs="Arial"/>
          <w:color w:val="000000" w:themeColor="text1"/>
          <w:sz w:val="24"/>
          <w:szCs w:val="24"/>
        </w:rPr>
      </w:pPr>
    </w:p>
    <w:p w14:paraId="61FA0E8C" w14:textId="1C5CD7FA" w:rsidR="00EF5901" w:rsidRDefault="00EF5901" w:rsidP="008A612E">
      <w:pPr>
        <w:tabs>
          <w:tab w:val="left" w:pos="1701"/>
        </w:tabs>
        <w:spacing w:line="276" w:lineRule="auto"/>
        <w:ind w:left="851" w:hanging="851"/>
        <w:jc w:val="both"/>
        <w:rPr>
          <w:rFonts w:ascii="Arial" w:hAnsi="Arial" w:cs="Arial"/>
          <w:color w:val="000000" w:themeColor="text1"/>
          <w:sz w:val="24"/>
          <w:szCs w:val="24"/>
        </w:rPr>
      </w:pPr>
    </w:p>
    <w:p w14:paraId="30D665BE" w14:textId="2C09EE49" w:rsidR="0048411A" w:rsidRDefault="0048411A" w:rsidP="008A612E">
      <w:pPr>
        <w:tabs>
          <w:tab w:val="left" w:pos="1701"/>
        </w:tabs>
        <w:spacing w:line="276" w:lineRule="auto"/>
        <w:ind w:left="851" w:hanging="851"/>
        <w:jc w:val="both"/>
        <w:rPr>
          <w:rFonts w:ascii="Arial" w:hAnsi="Arial" w:cs="Arial"/>
          <w:color w:val="000000" w:themeColor="text1"/>
          <w:sz w:val="24"/>
          <w:szCs w:val="24"/>
        </w:rPr>
      </w:pPr>
    </w:p>
    <w:p w14:paraId="14072C35" w14:textId="72379DE1" w:rsidR="0048411A" w:rsidRDefault="0048411A" w:rsidP="008A612E">
      <w:pPr>
        <w:tabs>
          <w:tab w:val="left" w:pos="1701"/>
        </w:tabs>
        <w:spacing w:line="276" w:lineRule="auto"/>
        <w:ind w:left="851" w:hanging="851"/>
        <w:jc w:val="both"/>
        <w:rPr>
          <w:rFonts w:ascii="Arial" w:hAnsi="Arial" w:cs="Arial"/>
          <w:color w:val="000000" w:themeColor="text1"/>
          <w:sz w:val="24"/>
          <w:szCs w:val="24"/>
        </w:rPr>
      </w:pPr>
    </w:p>
    <w:p w14:paraId="5AB0BC85" w14:textId="493D16DA" w:rsidR="0048411A" w:rsidRDefault="0048411A" w:rsidP="008A612E">
      <w:pPr>
        <w:tabs>
          <w:tab w:val="left" w:pos="1701"/>
        </w:tabs>
        <w:spacing w:line="276" w:lineRule="auto"/>
        <w:ind w:left="851" w:hanging="851"/>
        <w:jc w:val="both"/>
        <w:rPr>
          <w:rFonts w:ascii="Arial" w:hAnsi="Arial" w:cs="Arial"/>
          <w:color w:val="000000" w:themeColor="text1"/>
          <w:sz w:val="24"/>
          <w:szCs w:val="24"/>
        </w:rPr>
      </w:pPr>
    </w:p>
    <w:p w14:paraId="47A28F8C" w14:textId="4269CC58" w:rsidR="0048411A" w:rsidRDefault="0048411A" w:rsidP="008A612E">
      <w:pPr>
        <w:tabs>
          <w:tab w:val="left" w:pos="1701"/>
        </w:tabs>
        <w:spacing w:line="276" w:lineRule="auto"/>
        <w:ind w:left="851" w:hanging="851"/>
        <w:jc w:val="both"/>
        <w:rPr>
          <w:rFonts w:ascii="Arial" w:hAnsi="Arial" w:cs="Arial"/>
          <w:color w:val="000000" w:themeColor="text1"/>
          <w:sz w:val="24"/>
          <w:szCs w:val="24"/>
        </w:rPr>
      </w:pPr>
    </w:p>
    <w:p w14:paraId="6FD127AE" w14:textId="45EC24A3" w:rsidR="0048411A" w:rsidRDefault="0048411A" w:rsidP="008A612E">
      <w:pPr>
        <w:tabs>
          <w:tab w:val="left" w:pos="1701"/>
        </w:tabs>
        <w:spacing w:line="276" w:lineRule="auto"/>
        <w:ind w:left="851" w:hanging="851"/>
        <w:jc w:val="both"/>
        <w:rPr>
          <w:rFonts w:ascii="Arial" w:hAnsi="Arial" w:cs="Arial"/>
          <w:color w:val="000000" w:themeColor="text1"/>
          <w:sz w:val="24"/>
          <w:szCs w:val="24"/>
        </w:rPr>
      </w:pPr>
    </w:p>
    <w:p w14:paraId="0F4666BF" w14:textId="1AE06596" w:rsidR="0048411A" w:rsidRDefault="0048411A" w:rsidP="008A612E">
      <w:pPr>
        <w:tabs>
          <w:tab w:val="left" w:pos="1701"/>
        </w:tabs>
        <w:spacing w:line="276" w:lineRule="auto"/>
        <w:ind w:left="851" w:hanging="851"/>
        <w:jc w:val="both"/>
        <w:rPr>
          <w:rFonts w:ascii="Arial" w:hAnsi="Arial" w:cs="Arial"/>
          <w:color w:val="000000" w:themeColor="text1"/>
          <w:sz w:val="24"/>
          <w:szCs w:val="24"/>
        </w:rPr>
      </w:pPr>
    </w:p>
    <w:p w14:paraId="5E872A89" w14:textId="0277B3DF" w:rsidR="0048411A" w:rsidRDefault="0048411A" w:rsidP="0071277A">
      <w:pPr>
        <w:tabs>
          <w:tab w:val="left" w:pos="1701"/>
        </w:tabs>
        <w:spacing w:line="276" w:lineRule="auto"/>
        <w:jc w:val="both"/>
        <w:rPr>
          <w:rFonts w:ascii="Arial" w:hAnsi="Arial" w:cs="Arial"/>
          <w:color w:val="000000" w:themeColor="text1"/>
          <w:sz w:val="24"/>
          <w:szCs w:val="24"/>
        </w:rPr>
      </w:pPr>
    </w:p>
    <w:p w14:paraId="453C2D48" w14:textId="30A1F0A3" w:rsidR="0048411A" w:rsidRDefault="0048411A" w:rsidP="008A612E">
      <w:pPr>
        <w:tabs>
          <w:tab w:val="left" w:pos="1701"/>
        </w:tabs>
        <w:spacing w:line="276" w:lineRule="auto"/>
        <w:ind w:left="851" w:hanging="851"/>
        <w:jc w:val="both"/>
        <w:rPr>
          <w:rFonts w:ascii="Arial" w:hAnsi="Arial" w:cs="Arial"/>
          <w:color w:val="000000" w:themeColor="text1"/>
          <w:sz w:val="24"/>
          <w:szCs w:val="24"/>
        </w:rPr>
      </w:pPr>
    </w:p>
    <w:p w14:paraId="4F9960A6" w14:textId="77777777" w:rsidR="0048411A" w:rsidRDefault="0048411A" w:rsidP="008A612E">
      <w:pPr>
        <w:tabs>
          <w:tab w:val="left" w:pos="1701"/>
        </w:tabs>
        <w:spacing w:line="276" w:lineRule="auto"/>
        <w:ind w:left="851" w:hanging="851"/>
        <w:jc w:val="both"/>
        <w:rPr>
          <w:rFonts w:ascii="Arial" w:hAnsi="Arial" w:cs="Arial"/>
          <w:color w:val="000000" w:themeColor="text1"/>
          <w:sz w:val="24"/>
          <w:szCs w:val="24"/>
        </w:rPr>
      </w:pPr>
    </w:p>
    <w:p w14:paraId="13493904" w14:textId="7B1D0E83" w:rsidR="00EF5901" w:rsidRDefault="00EF5901" w:rsidP="00B07F5B">
      <w:pPr>
        <w:tabs>
          <w:tab w:val="left" w:pos="1701"/>
        </w:tabs>
        <w:spacing w:line="276" w:lineRule="auto"/>
        <w:jc w:val="both"/>
        <w:rPr>
          <w:rFonts w:ascii="Arial" w:hAnsi="Arial" w:cs="Arial"/>
          <w:color w:val="000000" w:themeColor="text1"/>
          <w:sz w:val="24"/>
          <w:szCs w:val="24"/>
        </w:rPr>
      </w:pPr>
    </w:p>
    <w:p w14:paraId="24C2C368" w14:textId="77777777" w:rsidR="00EF5901" w:rsidRDefault="00EF5901" w:rsidP="008A612E">
      <w:pPr>
        <w:tabs>
          <w:tab w:val="left" w:pos="1701"/>
        </w:tabs>
        <w:spacing w:line="276" w:lineRule="auto"/>
        <w:ind w:left="851" w:hanging="851"/>
        <w:jc w:val="both"/>
        <w:rPr>
          <w:rFonts w:ascii="Arial" w:hAnsi="Arial" w:cs="Arial"/>
          <w:color w:val="000000" w:themeColor="text1"/>
          <w:sz w:val="24"/>
          <w:szCs w:val="24"/>
        </w:rPr>
      </w:pPr>
    </w:p>
    <w:p w14:paraId="323AA7BF" w14:textId="22260769" w:rsidR="0073484C" w:rsidRPr="0073484C" w:rsidRDefault="0073484C" w:rsidP="008A612E">
      <w:pPr>
        <w:tabs>
          <w:tab w:val="left" w:pos="1701"/>
        </w:tabs>
        <w:spacing w:line="276" w:lineRule="auto"/>
        <w:ind w:left="851" w:hanging="851"/>
        <w:jc w:val="both"/>
        <w:rPr>
          <w:rFonts w:ascii="Arial" w:hAnsi="Arial" w:cs="Arial"/>
          <w:color w:val="000000" w:themeColor="text1"/>
          <w:sz w:val="18"/>
          <w:szCs w:val="18"/>
        </w:rPr>
      </w:pPr>
      <w:r w:rsidRPr="0073484C">
        <w:rPr>
          <w:rFonts w:ascii="Arial" w:hAnsi="Arial" w:cs="Arial"/>
          <w:color w:val="000000" w:themeColor="text1"/>
          <w:sz w:val="18"/>
          <w:szCs w:val="18"/>
        </w:rPr>
        <w:t>/roosthuizen</w:t>
      </w:r>
    </w:p>
    <w:sectPr w:rsidR="0073484C" w:rsidRPr="0073484C" w:rsidSect="00AC0D46">
      <w:headerReference w:type="default" r:id="rId10"/>
      <w:pgSz w:w="11906" w:h="16838"/>
      <w:pgMar w:top="1134"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23BD" w14:textId="77777777" w:rsidR="006E52CD" w:rsidRDefault="006E52CD" w:rsidP="00A603BB">
      <w:pPr>
        <w:spacing w:after="0" w:line="240" w:lineRule="auto"/>
      </w:pPr>
      <w:r>
        <w:separator/>
      </w:r>
    </w:p>
  </w:endnote>
  <w:endnote w:type="continuationSeparator" w:id="0">
    <w:p w14:paraId="32E3118E" w14:textId="77777777" w:rsidR="006E52CD" w:rsidRDefault="006E52CD" w:rsidP="00A6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5166" w14:textId="77777777" w:rsidR="006E52CD" w:rsidRDefault="006E52CD" w:rsidP="00A603BB">
      <w:pPr>
        <w:spacing w:after="0" w:line="240" w:lineRule="auto"/>
      </w:pPr>
      <w:r>
        <w:separator/>
      </w:r>
    </w:p>
  </w:footnote>
  <w:footnote w:type="continuationSeparator" w:id="0">
    <w:p w14:paraId="144FF6D4" w14:textId="77777777" w:rsidR="006E52CD" w:rsidRDefault="006E52CD" w:rsidP="00A603BB">
      <w:pPr>
        <w:spacing w:after="0" w:line="240" w:lineRule="auto"/>
      </w:pPr>
      <w:r>
        <w:continuationSeparator/>
      </w:r>
    </w:p>
  </w:footnote>
  <w:footnote w:id="1">
    <w:p w14:paraId="3D22D133" w14:textId="70FA320C" w:rsidR="003E2C3D" w:rsidRPr="003E2C3D" w:rsidRDefault="003E2C3D">
      <w:pPr>
        <w:pStyle w:val="FootnoteText"/>
        <w:rPr>
          <w:b/>
          <w:bCs/>
        </w:rPr>
      </w:pPr>
      <w:r w:rsidRPr="003E2C3D">
        <w:rPr>
          <w:rStyle w:val="FootnoteReference"/>
          <w:b/>
          <w:bCs/>
        </w:rPr>
        <w:footnoteRef/>
      </w:r>
      <w:r w:rsidRPr="003E2C3D">
        <w:rPr>
          <w:b/>
          <w:bCs/>
        </w:rPr>
        <w:t xml:space="preserve"> </w:t>
      </w:r>
      <w:r>
        <w:rPr>
          <w:b/>
          <w:bCs/>
        </w:rPr>
        <w:t>Act 3 of 20</w:t>
      </w:r>
      <w:r w:rsidR="006C63A2">
        <w:rPr>
          <w:b/>
          <w:bCs/>
        </w:rPr>
        <w:t>0</w:t>
      </w:r>
      <w:r>
        <w:rPr>
          <w:b/>
          <w:bCs/>
        </w:rPr>
        <w:t>0</w:t>
      </w:r>
    </w:p>
  </w:footnote>
  <w:footnote w:id="2">
    <w:p w14:paraId="4F0AD92B" w14:textId="6744911A" w:rsidR="00A43364" w:rsidRPr="00A43364" w:rsidRDefault="00A43364">
      <w:pPr>
        <w:pStyle w:val="FootnoteText"/>
        <w:rPr>
          <w:b/>
          <w:bCs/>
        </w:rPr>
      </w:pPr>
      <w:r w:rsidRPr="00A43364">
        <w:rPr>
          <w:rStyle w:val="FootnoteReference"/>
          <w:b/>
          <w:bCs/>
        </w:rPr>
        <w:footnoteRef/>
      </w:r>
      <w:r w:rsidRPr="00A43364">
        <w:rPr>
          <w:b/>
          <w:bCs/>
        </w:rPr>
        <w:t xml:space="preserve"> </w:t>
      </w:r>
      <w:r>
        <w:rPr>
          <w:b/>
          <w:bCs/>
        </w:rPr>
        <w:t>Case no. 3101/2015 FS High Court</w:t>
      </w:r>
    </w:p>
  </w:footnote>
  <w:footnote w:id="3">
    <w:p w14:paraId="0F985C00" w14:textId="0D2194C3" w:rsidR="00A43364" w:rsidRPr="00A43364" w:rsidRDefault="00A43364">
      <w:pPr>
        <w:pStyle w:val="FootnoteText"/>
        <w:rPr>
          <w:b/>
          <w:bCs/>
        </w:rPr>
      </w:pPr>
      <w:r w:rsidRPr="00A43364">
        <w:rPr>
          <w:rStyle w:val="FootnoteReference"/>
          <w:b/>
          <w:bCs/>
        </w:rPr>
        <w:footnoteRef/>
      </w:r>
      <w:r w:rsidRPr="00A43364">
        <w:rPr>
          <w:b/>
          <w:bCs/>
        </w:rPr>
        <w:t xml:space="preserve"> </w:t>
      </w:r>
      <w:r>
        <w:rPr>
          <w:b/>
          <w:bCs/>
        </w:rPr>
        <w:t>Page 8 of the judgement.</w:t>
      </w:r>
    </w:p>
  </w:footnote>
  <w:footnote w:id="4">
    <w:p w14:paraId="62F1025D" w14:textId="7DDF012E" w:rsidR="00311D2D" w:rsidRPr="00311D2D" w:rsidRDefault="00311D2D">
      <w:pPr>
        <w:pStyle w:val="FootnoteText"/>
        <w:rPr>
          <w:b/>
          <w:bCs/>
        </w:rPr>
      </w:pPr>
      <w:r w:rsidRPr="00311D2D">
        <w:rPr>
          <w:rStyle w:val="FootnoteReference"/>
          <w:b/>
          <w:bCs/>
        </w:rPr>
        <w:footnoteRef/>
      </w:r>
      <w:r w:rsidRPr="00311D2D">
        <w:rPr>
          <w:b/>
          <w:bCs/>
        </w:rPr>
        <w:t xml:space="preserve"> </w:t>
      </w:r>
      <w:r>
        <w:rPr>
          <w:b/>
          <w:bCs/>
        </w:rPr>
        <w:t>Case no. 2812/2018</w:t>
      </w:r>
      <w:r w:rsidR="0071277A">
        <w:rPr>
          <w:b/>
          <w:bCs/>
        </w:rPr>
        <w:t xml:space="preserve"> FS High Court</w:t>
      </w:r>
    </w:p>
  </w:footnote>
  <w:footnote w:id="5">
    <w:p w14:paraId="5257DBB2" w14:textId="51ED2333" w:rsidR="00B1680D" w:rsidRPr="00B1680D" w:rsidRDefault="00B1680D">
      <w:pPr>
        <w:pStyle w:val="FootnoteText"/>
        <w:rPr>
          <w:b/>
          <w:bCs/>
        </w:rPr>
      </w:pPr>
      <w:r w:rsidRPr="00B1680D">
        <w:rPr>
          <w:rStyle w:val="FootnoteReference"/>
          <w:b/>
          <w:bCs/>
        </w:rPr>
        <w:footnoteRef/>
      </w:r>
      <w:r w:rsidRPr="00B1680D">
        <w:rPr>
          <w:b/>
          <w:bCs/>
        </w:rPr>
        <w:t xml:space="preserve"> </w:t>
      </w:r>
      <w:r>
        <w:rPr>
          <w:b/>
          <w:bCs/>
        </w:rPr>
        <w:t>Par 104 of judgement</w:t>
      </w:r>
    </w:p>
  </w:footnote>
  <w:footnote w:id="6">
    <w:p w14:paraId="5C26C460" w14:textId="622BE62E" w:rsidR="00B1680D" w:rsidRPr="00B1680D" w:rsidRDefault="00B1680D">
      <w:pPr>
        <w:pStyle w:val="FootnoteText"/>
        <w:rPr>
          <w:b/>
          <w:bCs/>
        </w:rPr>
      </w:pPr>
      <w:r w:rsidRPr="00B1680D">
        <w:rPr>
          <w:rStyle w:val="FootnoteReference"/>
          <w:b/>
          <w:bCs/>
        </w:rPr>
        <w:footnoteRef/>
      </w:r>
      <w:r w:rsidRPr="00B1680D">
        <w:rPr>
          <w:b/>
          <w:bCs/>
        </w:rPr>
        <w:t xml:space="preserve"> </w:t>
      </w:r>
      <w:r>
        <w:rPr>
          <w:b/>
          <w:bCs/>
        </w:rPr>
        <w:t>Act 2 of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844108"/>
      <w:docPartObj>
        <w:docPartGallery w:val="Page Numbers (Top of Page)"/>
        <w:docPartUnique/>
      </w:docPartObj>
    </w:sdtPr>
    <w:sdtEndPr>
      <w:rPr>
        <w:noProof/>
      </w:rPr>
    </w:sdtEndPr>
    <w:sdtContent>
      <w:p w14:paraId="74F087A5" w14:textId="7EF20F1F" w:rsidR="00E85846" w:rsidRDefault="00E85846">
        <w:pPr>
          <w:pStyle w:val="Header"/>
          <w:jc w:val="right"/>
        </w:pPr>
        <w:r>
          <w:fldChar w:fldCharType="begin"/>
        </w:r>
        <w:r>
          <w:instrText xml:space="preserve"> PAGE   \* MERGEFORMAT </w:instrText>
        </w:r>
        <w:r>
          <w:fldChar w:fldCharType="separate"/>
        </w:r>
        <w:r w:rsidR="00DB21D8">
          <w:rPr>
            <w:noProof/>
          </w:rPr>
          <w:t>2</w:t>
        </w:r>
        <w:r>
          <w:rPr>
            <w:noProof/>
          </w:rPr>
          <w:fldChar w:fldCharType="end"/>
        </w:r>
      </w:p>
    </w:sdtContent>
  </w:sdt>
  <w:p w14:paraId="4A90BABA" w14:textId="77777777" w:rsidR="00E85846" w:rsidRDefault="00E85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ind w:left="142" w:firstLine="0"/>
      </w:pPr>
      <w:rPr>
        <w:rFonts w:ascii="Times New Roman" w:hAnsi="Times New Roman"/>
        <w:sz w:val="28"/>
      </w:rPr>
    </w:lvl>
  </w:abstractNum>
  <w:abstractNum w:abstractNumId="1" w15:restartNumberingAfterBreak="0">
    <w:nsid w:val="04DC1159"/>
    <w:multiLevelType w:val="hybridMultilevel"/>
    <w:tmpl w:val="57FE0CE0"/>
    <w:lvl w:ilvl="0" w:tplc="F34688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A797277"/>
    <w:multiLevelType w:val="hybridMultilevel"/>
    <w:tmpl w:val="C238555A"/>
    <w:lvl w:ilvl="0" w:tplc="FD1A81C4">
      <w:start w:val="8"/>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CB620CA"/>
    <w:multiLevelType w:val="hybridMultilevel"/>
    <w:tmpl w:val="ACF6EAB6"/>
    <w:lvl w:ilvl="0" w:tplc="07BC3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50A32"/>
    <w:multiLevelType w:val="hybridMultilevel"/>
    <w:tmpl w:val="9030E7F8"/>
    <w:lvl w:ilvl="0" w:tplc="D1461DAC">
      <w:start w:val="1"/>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36493B3F"/>
    <w:multiLevelType w:val="hybridMultilevel"/>
    <w:tmpl w:val="1B444A5A"/>
    <w:lvl w:ilvl="0" w:tplc="1C09000F">
      <w:start w:val="1"/>
      <w:numFmt w:val="decimal"/>
      <w:lvlText w:val="%1."/>
      <w:lvlJc w:val="left"/>
      <w:pPr>
        <w:ind w:left="1446" w:hanging="360"/>
      </w:p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6" w15:restartNumberingAfterBreak="0">
    <w:nsid w:val="37841145"/>
    <w:multiLevelType w:val="hybridMultilevel"/>
    <w:tmpl w:val="526ED7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86D3E05"/>
    <w:multiLevelType w:val="hybridMultilevel"/>
    <w:tmpl w:val="EAF65F5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4F570B1C"/>
    <w:multiLevelType w:val="hybridMultilevel"/>
    <w:tmpl w:val="29006DCE"/>
    <w:lvl w:ilvl="0" w:tplc="63948490">
      <w:start w:val="8"/>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546E45CA"/>
    <w:multiLevelType w:val="hybridMultilevel"/>
    <w:tmpl w:val="C8A85E40"/>
    <w:lvl w:ilvl="0" w:tplc="6C5A2124">
      <w:start w:val="5"/>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 w15:restartNumberingAfterBreak="0">
    <w:nsid w:val="5725696C"/>
    <w:multiLevelType w:val="hybridMultilevel"/>
    <w:tmpl w:val="4ECE8AB8"/>
    <w:lvl w:ilvl="0" w:tplc="2E42EAF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C22454B"/>
    <w:multiLevelType w:val="hybridMultilevel"/>
    <w:tmpl w:val="079C3486"/>
    <w:lvl w:ilvl="0" w:tplc="668C8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E73B9F"/>
    <w:multiLevelType w:val="hybridMultilevel"/>
    <w:tmpl w:val="090696C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7DEA5543"/>
    <w:multiLevelType w:val="hybridMultilevel"/>
    <w:tmpl w:val="5E0EB48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442696906">
    <w:abstractNumId w:val="9"/>
  </w:num>
  <w:num w:numId="2" w16cid:durableId="493299683">
    <w:abstractNumId w:val="4"/>
  </w:num>
  <w:num w:numId="3" w16cid:durableId="418604453">
    <w:abstractNumId w:val="11"/>
  </w:num>
  <w:num w:numId="4" w16cid:durableId="1086808309">
    <w:abstractNumId w:val="3"/>
  </w:num>
  <w:num w:numId="5" w16cid:durableId="1814562730">
    <w:abstractNumId w:val="13"/>
  </w:num>
  <w:num w:numId="6" w16cid:durableId="823930965">
    <w:abstractNumId w:val="2"/>
  </w:num>
  <w:num w:numId="7" w16cid:durableId="1652556452">
    <w:abstractNumId w:val="8"/>
  </w:num>
  <w:num w:numId="8" w16cid:durableId="1190952823">
    <w:abstractNumId w:val="5"/>
  </w:num>
  <w:num w:numId="9" w16cid:durableId="1242642844">
    <w:abstractNumId w:val="6"/>
  </w:num>
  <w:num w:numId="10" w16cid:durableId="296574521">
    <w:abstractNumId w:val="0"/>
    <w:lvlOverride w:ilvl="0">
      <w:startOverride w:val="1"/>
    </w:lvlOverride>
  </w:num>
  <w:num w:numId="11" w16cid:durableId="1627544614">
    <w:abstractNumId w:val="0"/>
  </w:num>
  <w:num w:numId="12" w16cid:durableId="735739516">
    <w:abstractNumId w:val="1"/>
  </w:num>
  <w:num w:numId="13" w16cid:durableId="1552038572">
    <w:abstractNumId w:val="10"/>
  </w:num>
  <w:num w:numId="14" w16cid:durableId="333456408">
    <w:abstractNumId w:val="12"/>
  </w:num>
  <w:num w:numId="15" w16cid:durableId="15463292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DAB"/>
    <w:rsid w:val="00000CED"/>
    <w:rsid w:val="0000373E"/>
    <w:rsid w:val="0000646D"/>
    <w:rsid w:val="000128EC"/>
    <w:rsid w:val="00014516"/>
    <w:rsid w:val="00023903"/>
    <w:rsid w:val="0002450A"/>
    <w:rsid w:val="00025384"/>
    <w:rsid w:val="000368DC"/>
    <w:rsid w:val="00045186"/>
    <w:rsid w:val="00052071"/>
    <w:rsid w:val="00052A89"/>
    <w:rsid w:val="00052DED"/>
    <w:rsid w:val="00053B99"/>
    <w:rsid w:val="00054163"/>
    <w:rsid w:val="000546BC"/>
    <w:rsid w:val="0005789D"/>
    <w:rsid w:val="0006366C"/>
    <w:rsid w:val="000707A9"/>
    <w:rsid w:val="00071B25"/>
    <w:rsid w:val="00072BCC"/>
    <w:rsid w:val="000741EB"/>
    <w:rsid w:val="0007677F"/>
    <w:rsid w:val="00077DAD"/>
    <w:rsid w:val="00082426"/>
    <w:rsid w:val="00090844"/>
    <w:rsid w:val="000917D4"/>
    <w:rsid w:val="00091DAB"/>
    <w:rsid w:val="00092E2D"/>
    <w:rsid w:val="0009342F"/>
    <w:rsid w:val="000937EC"/>
    <w:rsid w:val="000962F1"/>
    <w:rsid w:val="000968C8"/>
    <w:rsid w:val="000A28E9"/>
    <w:rsid w:val="000B1FEC"/>
    <w:rsid w:val="000B5E07"/>
    <w:rsid w:val="000C02A5"/>
    <w:rsid w:val="000C673F"/>
    <w:rsid w:val="000C715A"/>
    <w:rsid w:val="000D4D3D"/>
    <w:rsid w:val="000E12C4"/>
    <w:rsid w:val="000F4EA4"/>
    <w:rsid w:val="000F6321"/>
    <w:rsid w:val="000F6F85"/>
    <w:rsid w:val="000F7D26"/>
    <w:rsid w:val="001027F6"/>
    <w:rsid w:val="00106F3A"/>
    <w:rsid w:val="00110B99"/>
    <w:rsid w:val="00117292"/>
    <w:rsid w:val="00117488"/>
    <w:rsid w:val="00120212"/>
    <w:rsid w:val="00124BA6"/>
    <w:rsid w:val="00127183"/>
    <w:rsid w:val="00131F9A"/>
    <w:rsid w:val="00132131"/>
    <w:rsid w:val="00143993"/>
    <w:rsid w:val="00144EFD"/>
    <w:rsid w:val="00147703"/>
    <w:rsid w:val="00154E2E"/>
    <w:rsid w:val="001576CA"/>
    <w:rsid w:val="00173A22"/>
    <w:rsid w:val="00174303"/>
    <w:rsid w:val="001748F7"/>
    <w:rsid w:val="00182CFA"/>
    <w:rsid w:val="00182D08"/>
    <w:rsid w:val="0019275C"/>
    <w:rsid w:val="001A1C93"/>
    <w:rsid w:val="001A27F7"/>
    <w:rsid w:val="001A29A5"/>
    <w:rsid w:val="001A34CD"/>
    <w:rsid w:val="001A4C08"/>
    <w:rsid w:val="001A5879"/>
    <w:rsid w:val="001C1C9D"/>
    <w:rsid w:val="001C7378"/>
    <w:rsid w:val="001D3DC7"/>
    <w:rsid w:val="001D5A74"/>
    <w:rsid w:val="001E5EA5"/>
    <w:rsid w:val="001F2DA1"/>
    <w:rsid w:val="001F3692"/>
    <w:rsid w:val="00205ABE"/>
    <w:rsid w:val="002143EB"/>
    <w:rsid w:val="00214448"/>
    <w:rsid w:val="0022677C"/>
    <w:rsid w:val="00232036"/>
    <w:rsid w:val="00232878"/>
    <w:rsid w:val="00232EA0"/>
    <w:rsid w:val="00232FF6"/>
    <w:rsid w:val="0023419C"/>
    <w:rsid w:val="002377B4"/>
    <w:rsid w:val="002447A0"/>
    <w:rsid w:val="00251EE3"/>
    <w:rsid w:val="00261691"/>
    <w:rsid w:val="00266A9C"/>
    <w:rsid w:val="00272513"/>
    <w:rsid w:val="00272679"/>
    <w:rsid w:val="0028330F"/>
    <w:rsid w:val="00283D2D"/>
    <w:rsid w:val="00285D41"/>
    <w:rsid w:val="00286A49"/>
    <w:rsid w:val="00287A1D"/>
    <w:rsid w:val="002A45F5"/>
    <w:rsid w:val="002A5D13"/>
    <w:rsid w:val="002A7635"/>
    <w:rsid w:val="002B0CD8"/>
    <w:rsid w:val="002B3DCF"/>
    <w:rsid w:val="002C3782"/>
    <w:rsid w:val="002C52BF"/>
    <w:rsid w:val="002C575F"/>
    <w:rsid w:val="002C79A5"/>
    <w:rsid w:val="002D60C8"/>
    <w:rsid w:val="002E08DD"/>
    <w:rsid w:val="002E104D"/>
    <w:rsid w:val="002E7EC7"/>
    <w:rsid w:val="002F2DCF"/>
    <w:rsid w:val="002F326B"/>
    <w:rsid w:val="00300AF3"/>
    <w:rsid w:val="003038F8"/>
    <w:rsid w:val="00310EB7"/>
    <w:rsid w:val="00311D2D"/>
    <w:rsid w:val="00312E85"/>
    <w:rsid w:val="00312F90"/>
    <w:rsid w:val="00315E43"/>
    <w:rsid w:val="00320188"/>
    <w:rsid w:val="00321EAF"/>
    <w:rsid w:val="00327BB7"/>
    <w:rsid w:val="00327BC7"/>
    <w:rsid w:val="003327EE"/>
    <w:rsid w:val="00335AE4"/>
    <w:rsid w:val="003528F6"/>
    <w:rsid w:val="0035552D"/>
    <w:rsid w:val="00361F8D"/>
    <w:rsid w:val="00363879"/>
    <w:rsid w:val="0036666E"/>
    <w:rsid w:val="00370B1C"/>
    <w:rsid w:val="00370DEF"/>
    <w:rsid w:val="003712C1"/>
    <w:rsid w:val="0037497E"/>
    <w:rsid w:val="00377455"/>
    <w:rsid w:val="00380BF4"/>
    <w:rsid w:val="00381EAB"/>
    <w:rsid w:val="003860C9"/>
    <w:rsid w:val="0039001D"/>
    <w:rsid w:val="00391977"/>
    <w:rsid w:val="003977A7"/>
    <w:rsid w:val="003B0957"/>
    <w:rsid w:val="003B0B71"/>
    <w:rsid w:val="003C77DD"/>
    <w:rsid w:val="003E1C6C"/>
    <w:rsid w:val="003E2C3D"/>
    <w:rsid w:val="003E7369"/>
    <w:rsid w:val="003E7CD6"/>
    <w:rsid w:val="003F1D9C"/>
    <w:rsid w:val="003F4D8C"/>
    <w:rsid w:val="003F7F14"/>
    <w:rsid w:val="00405B43"/>
    <w:rsid w:val="004075D5"/>
    <w:rsid w:val="004112DB"/>
    <w:rsid w:val="00421371"/>
    <w:rsid w:val="004303A5"/>
    <w:rsid w:val="004369DA"/>
    <w:rsid w:val="0043734B"/>
    <w:rsid w:val="0044509D"/>
    <w:rsid w:val="004604AA"/>
    <w:rsid w:val="004614AB"/>
    <w:rsid w:val="004627A2"/>
    <w:rsid w:val="00463483"/>
    <w:rsid w:val="004640F3"/>
    <w:rsid w:val="00476D86"/>
    <w:rsid w:val="00482DE2"/>
    <w:rsid w:val="00483C17"/>
    <w:rsid w:val="0048411A"/>
    <w:rsid w:val="004867B7"/>
    <w:rsid w:val="004C1C83"/>
    <w:rsid w:val="004C2DF1"/>
    <w:rsid w:val="004C55CD"/>
    <w:rsid w:val="004D0C47"/>
    <w:rsid w:val="004D4974"/>
    <w:rsid w:val="004D49FF"/>
    <w:rsid w:val="004D5B9C"/>
    <w:rsid w:val="004E45CB"/>
    <w:rsid w:val="004F2A4E"/>
    <w:rsid w:val="004F3771"/>
    <w:rsid w:val="004F3B87"/>
    <w:rsid w:val="004F3E58"/>
    <w:rsid w:val="004F5F63"/>
    <w:rsid w:val="004F62CC"/>
    <w:rsid w:val="00500DD0"/>
    <w:rsid w:val="00503CC3"/>
    <w:rsid w:val="00507BFF"/>
    <w:rsid w:val="005104D2"/>
    <w:rsid w:val="00514845"/>
    <w:rsid w:val="0052741E"/>
    <w:rsid w:val="00527839"/>
    <w:rsid w:val="00530D32"/>
    <w:rsid w:val="00536B2C"/>
    <w:rsid w:val="005404C5"/>
    <w:rsid w:val="00541F35"/>
    <w:rsid w:val="005454DA"/>
    <w:rsid w:val="00554719"/>
    <w:rsid w:val="005548F4"/>
    <w:rsid w:val="0056513C"/>
    <w:rsid w:val="00573A98"/>
    <w:rsid w:val="00576672"/>
    <w:rsid w:val="0058027E"/>
    <w:rsid w:val="00580316"/>
    <w:rsid w:val="00584041"/>
    <w:rsid w:val="00585D0B"/>
    <w:rsid w:val="00586427"/>
    <w:rsid w:val="0058757C"/>
    <w:rsid w:val="00594D50"/>
    <w:rsid w:val="005954E1"/>
    <w:rsid w:val="005B034C"/>
    <w:rsid w:val="005B2684"/>
    <w:rsid w:val="005B4D6D"/>
    <w:rsid w:val="005C4C12"/>
    <w:rsid w:val="005C6D51"/>
    <w:rsid w:val="005E19FF"/>
    <w:rsid w:val="005E6F34"/>
    <w:rsid w:val="005E7F11"/>
    <w:rsid w:val="005F69AE"/>
    <w:rsid w:val="0060172F"/>
    <w:rsid w:val="00616CE2"/>
    <w:rsid w:val="0064481B"/>
    <w:rsid w:val="00644AEE"/>
    <w:rsid w:val="00644FEC"/>
    <w:rsid w:val="006464B3"/>
    <w:rsid w:val="006475ED"/>
    <w:rsid w:val="00651929"/>
    <w:rsid w:val="006553C9"/>
    <w:rsid w:val="006622E0"/>
    <w:rsid w:val="00663AFC"/>
    <w:rsid w:val="00665608"/>
    <w:rsid w:val="00670D0C"/>
    <w:rsid w:val="006713C7"/>
    <w:rsid w:val="00672A97"/>
    <w:rsid w:val="0067462D"/>
    <w:rsid w:val="00674772"/>
    <w:rsid w:val="00683CFC"/>
    <w:rsid w:val="00691041"/>
    <w:rsid w:val="006A5125"/>
    <w:rsid w:val="006B479A"/>
    <w:rsid w:val="006C20A0"/>
    <w:rsid w:val="006C63A2"/>
    <w:rsid w:val="006E52CD"/>
    <w:rsid w:val="006F36C7"/>
    <w:rsid w:val="006F67A5"/>
    <w:rsid w:val="0070034D"/>
    <w:rsid w:val="007003D7"/>
    <w:rsid w:val="007022E3"/>
    <w:rsid w:val="007068CF"/>
    <w:rsid w:val="0070705C"/>
    <w:rsid w:val="00710DBE"/>
    <w:rsid w:val="00711C20"/>
    <w:rsid w:val="0071277A"/>
    <w:rsid w:val="0071316D"/>
    <w:rsid w:val="007201D7"/>
    <w:rsid w:val="0072170B"/>
    <w:rsid w:val="007264B9"/>
    <w:rsid w:val="007266D1"/>
    <w:rsid w:val="00732DD3"/>
    <w:rsid w:val="0073484C"/>
    <w:rsid w:val="00737C36"/>
    <w:rsid w:val="007411F9"/>
    <w:rsid w:val="00743FC9"/>
    <w:rsid w:val="007452E1"/>
    <w:rsid w:val="007464F1"/>
    <w:rsid w:val="00746A8C"/>
    <w:rsid w:val="00751DFD"/>
    <w:rsid w:val="00770516"/>
    <w:rsid w:val="0077294E"/>
    <w:rsid w:val="00776AA3"/>
    <w:rsid w:val="00781D6A"/>
    <w:rsid w:val="00786F5F"/>
    <w:rsid w:val="00787D15"/>
    <w:rsid w:val="0079281A"/>
    <w:rsid w:val="007933F8"/>
    <w:rsid w:val="00797AFF"/>
    <w:rsid w:val="007A0937"/>
    <w:rsid w:val="007A1510"/>
    <w:rsid w:val="007A734E"/>
    <w:rsid w:val="007B7F42"/>
    <w:rsid w:val="007C0005"/>
    <w:rsid w:val="007C2D09"/>
    <w:rsid w:val="007C4D9E"/>
    <w:rsid w:val="007C76A5"/>
    <w:rsid w:val="007C7740"/>
    <w:rsid w:val="007E179D"/>
    <w:rsid w:val="007E302C"/>
    <w:rsid w:val="007E3A18"/>
    <w:rsid w:val="007E72B5"/>
    <w:rsid w:val="007F2A92"/>
    <w:rsid w:val="007F37E2"/>
    <w:rsid w:val="007F408A"/>
    <w:rsid w:val="00800084"/>
    <w:rsid w:val="00801C5D"/>
    <w:rsid w:val="00804ADF"/>
    <w:rsid w:val="008070FE"/>
    <w:rsid w:val="00812F66"/>
    <w:rsid w:val="00821385"/>
    <w:rsid w:val="008334F4"/>
    <w:rsid w:val="00844183"/>
    <w:rsid w:val="00845A38"/>
    <w:rsid w:val="00852021"/>
    <w:rsid w:val="008533E1"/>
    <w:rsid w:val="00866023"/>
    <w:rsid w:val="00866F8A"/>
    <w:rsid w:val="008733ED"/>
    <w:rsid w:val="00875E90"/>
    <w:rsid w:val="00881EE9"/>
    <w:rsid w:val="00884D13"/>
    <w:rsid w:val="008860D4"/>
    <w:rsid w:val="008A0354"/>
    <w:rsid w:val="008A2061"/>
    <w:rsid w:val="008A4E1D"/>
    <w:rsid w:val="008A612E"/>
    <w:rsid w:val="008B0047"/>
    <w:rsid w:val="008B5D0D"/>
    <w:rsid w:val="008B6696"/>
    <w:rsid w:val="008C1320"/>
    <w:rsid w:val="008C2848"/>
    <w:rsid w:val="008C319C"/>
    <w:rsid w:val="008C3247"/>
    <w:rsid w:val="008C3A4A"/>
    <w:rsid w:val="008D53F2"/>
    <w:rsid w:val="008E3B89"/>
    <w:rsid w:val="008E6023"/>
    <w:rsid w:val="008F1AC5"/>
    <w:rsid w:val="008F279B"/>
    <w:rsid w:val="008F44D8"/>
    <w:rsid w:val="008F48A6"/>
    <w:rsid w:val="00901A1B"/>
    <w:rsid w:val="0090238E"/>
    <w:rsid w:val="00903EB7"/>
    <w:rsid w:val="00907B90"/>
    <w:rsid w:val="0091039D"/>
    <w:rsid w:val="00911654"/>
    <w:rsid w:val="00925A2A"/>
    <w:rsid w:val="00930EA7"/>
    <w:rsid w:val="0093463A"/>
    <w:rsid w:val="00956CBC"/>
    <w:rsid w:val="00961875"/>
    <w:rsid w:val="00965347"/>
    <w:rsid w:val="0096734A"/>
    <w:rsid w:val="00967DBF"/>
    <w:rsid w:val="00971C13"/>
    <w:rsid w:val="00976DED"/>
    <w:rsid w:val="00984C91"/>
    <w:rsid w:val="00985B5D"/>
    <w:rsid w:val="0099412F"/>
    <w:rsid w:val="00995C2A"/>
    <w:rsid w:val="009A33EF"/>
    <w:rsid w:val="009B1C23"/>
    <w:rsid w:val="009B2554"/>
    <w:rsid w:val="009B5DE0"/>
    <w:rsid w:val="009B7F6A"/>
    <w:rsid w:val="009C0D62"/>
    <w:rsid w:val="009D00EA"/>
    <w:rsid w:val="009D2367"/>
    <w:rsid w:val="009D5F12"/>
    <w:rsid w:val="009D76E3"/>
    <w:rsid w:val="009E418C"/>
    <w:rsid w:val="009E5387"/>
    <w:rsid w:val="009E6AAB"/>
    <w:rsid w:val="009F28FA"/>
    <w:rsid w:val="009F37D1"/>
    <w:rsid w:val="009F4D98"/>
    <w:rsid w:val="009F7F5B"/>
    <w:rsid w:val="00A02D7C"/>
    <w:rsid w:val="00A06A05"/>
    <w:rsid w:val="00A14F95"/>
    <w:rsid w:val="00A1662A"/>
    <w:rsid w:val="00A212E7"/>
    <w:rsid w:val="00A22B38"/>
    <w:rsid w:val="00A2386F"/>
    <w:rsid w:val="00A23E6C"/>
    <w:rsid w:val="00A25873"/>
    <w:rsid w:val="00A25C32"/>
    <w:rsid w:val="00A32299"/>
    <w:rsid w:val="00A33646"/>
    <w:rsid w:val="00A33B4A"/>
    <w:rsid w:val="00A34321"/>
    <w:rsid w:val="00A34987"/>
    <w:rsid w:val="00A3749C"/>
    <w:rsid w:val="00A3751B"/>
    <w:rsid w:val="00A41804"/>
    <w:rsid w:val="00A43364"/>
    <w:rsid w:val="00A445C0"/>
    <w:rsid w:val="00A50416"/>
    <w:rsid w:val="00A52A94"/>
    <w:rsid w:val="00A538A4"/>
    <w:rsid w:val="00A54A02"/>
    <w:rsid w:val="00A603BB"/>
    <w:rsid w:val="00A6411C"/>
    <w:rsid w:val="00A858ED"/>
    <w:rsid w:val="00A92C59"/>
    <w:rsid w:val="00A9441D"/>
    <w:rsid w:val="00A95B7A"/>
    <w:rsid w:val="00AA0FF6"/>
    <w:rsid w:val="00AA1B0B"/>
    <w:rsid w:val="00AA450E"/>
    <w:rsid w:val="00AA53FE"/>
    <w:rsid w:val="00AA7368"/>
    <w:rsid w:val="00AB2290"/>
    <w:rsid w:val="00AB2F04"/>
    <w:rsid w:val="00AC0D46"/>
    <w:rsid w:val="00AC1216"/>
    <w:rsid w:val="00AC134D"/>
    <w:rsid w:val="00AC3418"/>
    <w:rsid w:val="00AE184F"/>
    <w:rsid w:val="00AE3B10"/>
    <w:rsid w:val="00AE671C"/>
    <w:rsid w:val="00B026BA"/>
    <w:rsid w:val="00B02C3E"/>
    <w:rsid w:val="00B07F5B"/>
    <w:rsid w:val="00B1680D"/>
    <w:rsid w:val="00B26CCA"/>
    <w:rsid w:val="00B43847"/>
    <w:rsid w:val="00B4718C"/>
    <w:rsid w:val="00B63A5F"/>
    <w:rsid w:val="00B71460"/>
    <w:rsid w:val="00B7596C"/>
    <w:rsid w:val="00B82C11"/>
    <w:rsid w:val="00B845BD"/>
    <w:rsid w:val="00B9196E"/>
    <w:rsid w:val="00BA3095"/>
    <w:rsid w:val="00BA3BE5"/>
    <w:rsid w:val="00BA3F45"/>
    <w:rsid w:val="00BA53EF"/>
    <w:rsid w:val="00BB5D49"/>
    <w:rsid w:val="00BC281A"/>
    <w:rsid w:val="00BD210A"/>
    <w:rsid w:val="00BD549E"/>
    <w:rsid w:val="00BD7583"/>
    <w:rsid w:val="00BE5BB7"/>
    <w:rsid w:val="00BE7177"/>
    <w:rsid w:val="00BF5B47"/>
    <w:rsid w:val="00C00EAB"/>
    <w:rsid w:val="00C1361A"/>
    <w:rsid w:val="00C31BF3"/>
    <w:rsid w:val="00C3394B"/>
    <w:rsid w:val="00C3606E"/>
    <w:rsid w:val="00C36852"/>
    <w:rsid w:val="00C416A2"/>
    <w:rsid w:val="00C43AE0"/>
    <w:rsid w:val="00C44933"/>
    <w:rsid w:val="00C46AAF"/>
    <w:rsid w:val="00C47D67"/>
    <w:rsid w:val="00C503D0"/>
    <w:rsid w:val="00C53CC7"/>
    <w:rsid w:val="00C63203"/>
    <w:rsid w:val="00C63E83"/>
    <w:rsid w:val="00C70A88"/>
    <w:rsid w:val="00C7184A"/>
    <w:rsid w:val="00C7261F"/>
    <w:rsid w:val="00C73336"/>
    <w:rsid w:val="00C755F7"/>
    <w:rsid w:val="00C77DAE"/>
    <w:rsid w:val="00C819E6"/>
    <w:rsid w:val="00C8263F"/>
    <w:rsid w:val="00CA1953"/>
    <w:rsid w:val="00CA4003"/>
    <w:rsid w:val="00CA4357"/>
    <w:rsid w:val="00CA6DC8"/>
    <w:rsid w:val="00CA7B10"/>
    <w:rsid w:val="00CC29D4"/>
    <w:rsid w:val="00CC5275"/>
    <w:rsid w:val="00CC5DEC"/>
    <w:rsid w:val="00CE1BE3"/>
    <w:rsid w:val="00CE2CED"/>
    <w:rsid w:val="00CE3441"/>
    <w:rsid w:val="00CE5BBE"/>
    <w:rsid w:val="00CF1BE2"/>
    <w:rsid w:val="00CF228D"/>
    <w:rsid w:val="00CF27DB"/>
    <w:rsid w:val="00CF3579"/>
    <w:rsid w:val="00CF456C"/>
    <w:rsid w:val="00CF4720"/>
    <w:rsid w:val="00D015B7"/>
    <w:rsid w:val="00D04623"/>
    <w:rsid w:val="00D120EF"/>
    <w:rsid w:val="00D12270"/>
    <w:rsid w:val="00D13A03"/>
    <w:rsid w:val="00D143F6"/>
    <w:rsid w:val="00D16E1A"/>
    <w:rsid w:val="00D30264"/>
    <w:rsid w:val="00D34E7E"/>
    <w:rsid w:val="00D37806"/>
    <w:rsid w:val="00D41AFF"/>
    <w:rsid w:val="00D521AE"/>
    <w:rsid w:val="00D54774"/>
    <w:rsid w:val="00D55199"/>
    <w:rsid w:val="00D57E4D"/>
    <w:rsid w:val="00D60EAF"/>
    <w:rsid w:val="00D67C2E"/>
    <w:rsid w:val="00D82265"/>
    <w:rsid w:val="00D83A92"/>
    <w:rsid w:val="00D83EDD"/>
    <w:rsid w:val="00D871E6"/>
    <w:rsid w:val="00DA2EAE"/>
    <w:rsid w:val="00DA4FF5"/>
    <w:rsid w:val="00DA5A4A"/>
    <w:rsid w:val="00DB21D8"/>
    <w:rsid w:val="00DB3F53"/>
    <w:rsid w:val="00DB3FE8"/>
    <w:rsid w:val="00DB4A99"/>
    <w:rsid w:val="00DB53A0"/>
    <w:rsid w:val="00DB6683"/>
    <w:rsid w:val="00DB7E9F"/>
    <w:rsid w:val="00DC1D26"/>
    <w:rsid w:val="00DC511B"/>
    <w:rsid w:val="00DD5841"/>
    <w:rsid w:val="00DD7495"/>
    <w:rsid w:val="00DE09D3"/>
    <w:rsid w:val="00DE1922"/>
    <w:rsid w:val="00DE1FE8"/>
    <w:rsid w:val="00DE299E"/>
    <w:rsid w:val="00DF0444"/>
    <w:rsid w:val="00E02224"/>
    <w:rsid w:val="00E02A94"/>
    <w:rsid w:val="00E03504"/>
    <w:rsid w:val="00E042D5"/>
    <w:rsid w:val="00E05CC7"/>
    <w:rsid w:val="00E11FB6"/>
    <w:rsid w:val="00E122D6"/>
    <w:rsid w:val="00E2652B"/>
    <w:rsid w:val="00E265DC"/>
    <w:rsid w:val="00E30DC6"/>
    <w:rsid w:val="00E34E7F"/>
    <w:rsid w:val="00E36ECD"/>
    <w:rsid w:val="00E412C1"/>
    <w:rsid w:val="00E4794A"/>
    <w:rsid w:val="00E57078"/>
    <w:rsid w:val="00E62082"/>
    <w:rsid w:val="00E64C21"/>
    <w:rsid w:val="00E64FE7"/>
    <w:rsid w:val="00E672AC"/>
    <w:rsid w:val="00E6799B"/>
    <w:rsid w:val="00E70FAD"/>
    <w:rsid w:val="00E74D54"/>
    <w:rsid w:val="00E74F9B"/>
    <w:rsid w:val="00E82F3B"/>
    <w:rsid w:val="00E835D6"/>
    <w:rsid w:val="00E85846"/>
    <w:rsid w:val="00E90690"/>
    <w:rsid w:val="00E920F7"/>
    <w:rsid w:val="00E9364F"/>
    <w:rsid w:val="00EA0568"/>
    <w:rsid w:val="00EB2564"/>
    <w:rsid w:val="00EB2F5E"/>
    <w:rsid w:val="00EB486F"/>
    <w:rsid w:val="00EB4A05"/>
    <w:rsid w:val="00ED70CB"/>
    <w:rsid w:val="00EF5901"/>
    <w:rsid w:val="00F0017D"/>
    <w:rsid w:val="00F10E6C"/>
    <w:rsid w:val="00F1135C"/>
    <w:rsid w:val="00F11C97"/>
    <w:rsid w:val="00F12099"/>
    <w:rsid w:val="00F21A5B"/>
    <w:rsid w:val="00F22C15"/>
    <w:rsid w:val="00F3638F"/>
    <w:rsid w:val="00F36441"/>
    <w:rsid w:val="00F371F0"/>
    <w:rsid w:val="00F5211A"/>
    <w:rsid w:val="00F52CE1"/>
    <w:rsid w:val="00F53342"/>
    <w:rsid w:val="00F53A38"/>
    <w:rsid w:val="00F557B3"/>
    <w:rsid w:val="00F56861"/>
    <w:rsid w:val="00F57047"/>
    <w:rsid w:val="00F61643"/>
    <w:rsid w:val="00F63E2B"/>
    <w:rsid w:val="00F67A0A"/>
    <w:rsid w:val="00F67E38"/>
    <w:rsid w:val="00F723C3"/>
    <w:rsid w:val="00F73EAF"/>
    <w:rsid w:val="00F74D5D"/>
    <w:rsid w:val="00F8424C"/>
    <w:rsid w:val="00F85B03"/>
    <w:rsid w:val="00F95B33"/>
    <w:rsid w:val="00F97AF9"/>
    <w:rsid w:val="00FA1F6F"/>
    <w:rsid w:val="00FA3ED3"/>
    <w:rsid w:val="00FB031B"/>
    <w:rsid w:val="00FB22B8"/>
    <w:rsid w:val="00FB29F6"/>
    <w:rsid w:val="00FB47A1"/>
    <w:rsid w:val="00FB62FD"/>
    <w:rsid w:val="00FC4853"/>
    <w:rsid w:val="00FC4E3A"/>
    <w:rsid w:val="00FC74B9"/>
    <w:rsid w:val="00FC7B3E"/>
    <w:rsid w:val="00FD3E8A"/>
    <w:rsid w:val="00FE31F1"/>
    <w:rsid w:val="00FE4DC7"/>
    <w:rsid w:val="00FF165F"/>
    <w:rsid w:val="00FF3D1E"/>
    <w:rsid w:val="00FF507E"/>
    <w:rsid w:val="00FF5F41"/>
    <w:rsid w:val="00FF6080"/>
    <w:rsid w:val="00FF6C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8692"/>
  <w15:chartTrackingRefBased/>
  <w15:docId w15:val="{7D1EB473-FA69-4276-96D4-92CB4336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DA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AB"/>
    <w:rPr>
      <w:rFonts w:ascii="Segoe UI" w:hAnsi="Segoe UI" w:cs="Segoe UI"/>
      <w:sz w:val="18"/>
      <w:szCs w:val="18"/>
    </w:rPr>
  </w:style>
  <w:style w:type="paragraph" w:styleId="ListParagraph">
    <w:name w:val="List Paragraph"/>
    <w:basedOn w:val="Normal"/>
    <w:uiPriority w:val="34"/>
    <w:qFormat/>
    <w:rsid w:val="006464B3"/>
    <w:pPr>
      <w:ind w:left="720"/>
      <w:contextualSpacing/>
    </w:pPr>
  </w:style>
  <w:style w:type="paragraph" w:styleId="Header">
    <w:name w:val="header"/>
    <w:basedOn w:val="Normal"/>
    <w:link w:val="HeaderChar"/>
    <w:uiPriority w:val="99"/>
    <w:unhideWhenUsed/>
    <w:rsid w:val="00A6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3BB"/>
  </w:style>
  <w:style w:type="paragraph" w:styleId="Footer">
    <w:name w:val="footer"/>
    <w:basedOn w:val="Normal"/>
    <w:link w:val="FooterChar"/>
    <w:uiPriority w:val="99"/>
    <w:unhideWhenUsed/>
    <w:rsid w:val="00A6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3BB"/>
  </w:style>
  <w:style w:type="paragraph" w:styleId="FootnoteText">
    <w:name w:val="footnote text"/>
    <w:basedOn w:val="Normal"/>
    <w:link w:val="FootnoteTextChar"/>
    <w:uiPriority w:val="99"/>
    <w:semiHidden/>
    <w:unhideWhenUsed/>
    <w:rsid w:val="00E042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2D5"/>
    <w:rPr>
      <w:sz w:val="20"/>
      <w:szCs w:val="20"/>
    </w:rPr>
  </w:style>
  <w:style w:type="character" w:styleId="FootnoteReference">
    <w:name w:val="footnote reference"/>
    <w:basedOn w:val="DefaultParagraphFont"/>
    <w:uiPriority w:val="99"/>
    <w:semiHidden/>
    <w:unhideWhenUsed/>
    <w:rsid w:val="00E042D5"/>
    <w:rPr>
      <w:vertAlign w:val="superscript"/>
    </w:rPr>
  </w:style>
  <w:style w:type="paragraph" w:styleId="EndnoteText">
    <w:name w:val="endnote text"/>
    <w:basedOn w:val="Normal"/>
    <w:link w:val="EndnoteTextChar"/>
    <w:uiPriority w:val="99"/>
    <w:semiHidden/>
    <w:unhideWhenUsed/>
    <w:rsid w:val="008E3B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3B89"/>
    <w:rPr>
      <w:sz w:val="20"/>
      <w:szCs w:val="20"/>
    </w:rPr>
  </w:style>
  <w:style w:type="character" w:styleId="EndnoteReference">
    <w:name w:val="endnote reference"/>
    <w:basedOn w:val="DefaultParagraphFont"/>
    <w:uiPriority w:val="99"/>
    <w:semiHidden/>
    <w:unhideWhenUsed/>
    <w:rsid w:val="008E3B89"/>
    <w:rPr>
      <w:vertAlign w:val="superscript"/>
    </w:rPr>
  </w:style>
  <w:style w:type="character" w:customStyle="1" w:styleId="Citation">
    <w:name w:val="Citation"/>
    <w:basedOn w:val="DefaultParagraphFont"/>
    <w:uiPriority w:val="99"/>
    <w:rsid w:val="00FF3D1E"/>
    <w:rPr>
      <w:rFonts w:ascii="Times New Roman" w:eastAsia="Times New Roman" w:hAnsi="Times New Roman" w:cs="DejaVu San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414593">
      <w:bodyDiv w:val="1"/>
      <w:marLeft w:val="0"/>
      <w:marRight w:val="0"/>
      <w:marTop w:val="0"/>
      <w:marBottom w:val="0"/>
      <w:divBdr>
        <w:top w:val="none" w:sz="0" w:space="0" w:color="auto"/>
        <w:left w:val="none" w:sz="0" w:space="0" w:color="auto"/>
        <w:bottom w:val="none" w:sz="0" w:space="0" w:color="auto"/>
        <w:right w:val="none" w:sz="0" w:space="0" w:color="auto"/>
      </w:divBdr>
    </w:div>
    <w:div w:id="2052994754">
      <w:bodyDiv w:val="1"/>
      <w:marLeft w:val="0"/>
      <w:marRight w:val="0"/>
      <w:marTop w:val="0"/>
      <w:marBottom w:val="0"/>
      <w:divBdr>
        <w:top w:val="none" w:sz="0" w:space="0" w:color="auto"/>
        <w:left w:val="none" w:sz="0" w:space="0" w:color="auto"/>
        <w:bottom w:val="none" w:sz="0" w:space="0" w:color="auto"/>
        <w:right w:val="none" w:sz="0" w:space="0" w:color="auto"/>
      </w:divBdr>
    </w:div>
    <w:div w:id="206413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C8BB7-6C83-43A8-AED4-639A10DF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5596</TotalTime>
  <Pages>6</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Oosthuizen</dc:creator>
  <cp:keywords/>
  <dc:description/>
  <cp:lastModifiedBy>Riana Oosthuizen</cp:lastModifiedBy>
  <cp:revision>168</cp:revision>
  <cp:lastPrinted>2023-02-24T09:49:00Z</cp:lastPrinted>
  <dcterms:created xsi:type="dcterms:W3CDTF">2022-07-11T09:55:00Z</dcterms:created>
  <dcterms:modified xsi:type="dcterms:W3CDTF">2023-02-24T09:56:00Z</dcterms:modified>
</cp:coreProperties>
</file>