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1D" w:rsidRDefault="003C1B1D" w:rsidP="003C1B1D">
      <w:pPr>
        <w:jc w:val="center"/>
        <w:rPr>
          <w:rFonts w:ascii="Arial" w:hAnsi="Arial" w:cs="Arial"/>
          <w:sz w:val="24"/>
          <w:szCs w:val="24"/>
        </w:rPr>
      </w:pPr>
      <w:r>
        <w:rPr>
          <w:noProof/>
          <w:lang w:eastAsia="en-ZA"/>
        </w:rPr>
        <w:drawing>
          <wp:anchor distT="0" distB="0" distL="114300" distR="114300" simplePos="0" relativeHeight="251658240" behindDoc="1" locked="0" layoutInCell="1" allowOverlap="1">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3C1B1D" w:rsidRDefault="003C1B1D" w:rsidP="003C1B1D">
      <w:pPr>
        <w:pStyle w:val="Heading1"/>
        <w:rPr>
          <w:rFonts w:ascii="Arial" w:hAnsi="Arial" w:cs="Arial"/>
          <w:szCs w:val="24"/>
        </w:rPr>
      </w:pPr>
    </w:p>
    <w:p w:rsidR="003C1B1D" w:rsidRDefault="003C1B1D" w:rsidP="003C1B1D">
      <w:pPr>
        <w:pStyle w:val="Heading1"/>
        <w:rPr>
          <w:rFonts w:ascii="Arial" w:hAnsi="Arial" w:cs="Arial"/>
          <w:szCs w:val="24"/>
        </w:rPr>
      </w:pPr>
    </w:p>
    <w:p w:rsidR="003C1B1D" w:rsidRDefault="003C1B1D" w:rsidP="003C1B1D">
      <w:pPr>
        <w:pStyle w:val="Heading1"/>
        <w:rPr>
          <w:rFonts w:ascii="Arial" w:hAnsi="Arial" w:cs="Arial"/>
          <w:szCs w:val="24"/>
        </w:rPr>
      </w:pPr>
    </w:p>
    <w:p w:rsidR="003C1B1D" w:rsidRDefault="003C1B1D" w:rsidP="003C1B1D">
      <w:pPr>
        <w:jc w:val="center"/>
        <w:rPr>
          <w:rFonts w:ascii="Arial" w:hAnsi="Arial" w:cs="Arial"/>
          <w:b/>
          <w:sz w:val="24"/>
          <w:szCs w:val="24"/>
          <w:u w:val="single"/>
        </w:rPr>
      </w:pPr>
    </w:p>
    <w:p w:rsidR="003C1B1D" w:rsidRDefault="003C1B1D" w:rsidP="003C1B1D">
      <w:pPr>
        <w:jc w:val="center"/>
        <w:rPr>
          <w:rFonts w:ascii="Arial" w:hAnsi="Arial" w:cs="Arial"/>
          <w:b/>
          <w:sz w:val="24"/>
          <w:szCs w:val="24"/>
          <w:u w:val="single"/>
        </w:rPr>
      </w:pPr>
    </w:p>
    <w:p w:rsidR="003C1B1D" w:rsidRDefault="003C1B1D" w:rsidP="003C1B1D">
      <w:pPr>
        <w:jc w:val="center"/>
        <w:rPr>
          <w:rFonts w:ascii="Arial" w:hAnsi="Arial" w:cs="Arial"/>
          <w:b/>
          <w:sz w:val="24"/>
          <w:szCs w:val="24"/>
          <w:u w:val="single"/>
        </w:rPr>
      </w:pPr>
      <w:r>
        <w:rPr>
          <w:rFonts w:ascii="Arial" w:hAnsi="Arial" w:cs="Arial"/>
          <w:b/>
          <w:sz w:val="24"/>
          <w:szCs w:val="24"/>
          <w:u w:val="single"/>
        </w:rPr>
        <w:t>IN THE HIGH COURT OF SOUTH AFRICA,</w:t>
      </w:r>
    </w:p>
    <w:p w:rsidR="003C1B1D" w:rsidRDefault="003C1B1D" w:rsidP="003C1B1D">
      <w:pPr>
        <w:jc w:val="center"/>
        <w:rPr>
          <w:rFonts w:ascii="Arial" w:hAnsi="Arial" w:cs="Arial"/>
          <w:b/>
          <w:sz w:val="24"/>
          <w:szCs w:val="24"/>
          <w:u w:val="single"/>
        </w:rPr>
      </w:pPr>
      <w:r>
        <w:rPr>
          <w:rFonts w:ascii="Arial" w:hAnsi="Arial" w:cs="Arial"/>
          <w:b/>
          <w:sz w:val="24"/>
          <w:szCs w:val="24"/>
          <w:u w:val="single"/>
        </w:rPr>
        <w:t>FREE STATE DIVISION, BLOEMFONTEIN</w:t>
      </w:r>
    </w:p>
    <w:p w:rsidR="003C1B1D" w:rsidRDefault="003C1B1D" w:rsidP="003C1B1D">
      <w:pPr>
        <w:jc w:val="center"/>
        <w:rPr>
          <w:rFonts w:ascii="Arial" w:hAnsi="Arial" w:cs="Arial"/>
          <w:b/>
          <w:sz w:val="24"/>
          <w:szCs w:val="24"/>
          <w:u w:val="single"/>
        </w:rPr>
      </w:pPr>
    </w:p>
    <w:tbl>
      <w:tblPr>
        <w:tblStyle w:val="TableGrid"/>
        <w:tblW w:w="3992" w:type="dxa"/>
        <w:tblInd w:w="5353" w:type="dxa"/>
        <w:tblLook w:val="04A0" w:firstRow="1" w:lastRow="0" w:firstColumn="1" w:lastColumn="0" w:noHBand="0" w:noVBand="1"/>
      </w:tblPr>
      <w:tblGrid>
        <w:gridCol w:w="3992"/>
      </w:tblGrid>
      <w:tr w:rsidR="003C1B1D" w:rsidTr="003C1B1D">
        <w:trPr>
          <w:trHeight w:val="587"/>
        </w:trPr>
        <w:tc>
          <w:tcPr>
            <w:tcW w:w="3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1B1D" w:rsidRDefault="003C1B1D">
            <w:pPr>
              <w:rPr>
                <w:rFonts w:ascii="Arial" w:eastAsia="Times New Roman" w:hAnsi="Arial" w:cs="Arial"/>
                <w:b/>
                <w:sz w:val="24"/>
                <w:szCs w:val="24"/>
                <w:lang w:eastAsia="en-GB"/>
              </w:rPr>
            </w:pPr>
            <w:r>
              <w:rPr>
                <w:rFonts w:ascii="Arial" w:hAnsi="Arial" w:cs="Arial"/>
                <w:b/>
                <w:sz w:val="24"/>
                <w:szCs w:val="24"/>
              </w:rPr>
              <w:t>Reportable:                              YES/NO</w:t>
            </w:r>
          </w:p>
          <w:p w:rsidR="003C1B1D" w:rsidRDefault="003C1B1D">
            <w:pPr>
              <w:rPr>
                <w:rFonts w:ascii="Arial" w:hAnsi="Arial" w:cs="Arial"/>
                <w:b/>
                <w:sz w:val="24"/>
                <w:szCs w:val="24"/>
              </w:rPr>
            </w:pPr>
            <w:r>
              <w:rPr>
                <w:rFonts w:ascii="Arial" w:hAnsi="Arial" w:cs="Arial"/>
                <w:b/>
                <w:sz w:val="24"/>
                <w:szCs w:val="24"/>
              </w:rPr>
              <w:t>Of Interest to other Judges:   YES/NO</w:t>
            </w:r>
          </w:p>
          <w:p w:rsidR="003C1B1D" w:rsidRDefault="003C1B1D">
            <w:pPr>
              <w:rPr>
                <w:rFonts w:ascii="Arial" w:eastAsia="Times New Roman" w:hAnsi="Arial" w:cs="Arial"/>
                <w:b/>
                <w:sz w:val="24"/>
                <w:szCs w:val="24"/>
                <w:u w:val="single"/>
                <w:lang w:eastAsia="en-GB"/>
              </w:rPr>
            </w:pPr>
            <w:r>
              <w:rPr>
                <w:rFonts w:ascii="Arial" w:hAnsi="Arial" w:cs="Arial"/>
                <w:b/>
                <w:sz w:val="24"/>
                <w:szCs w:val="24"/>
              </w:rPr>
              <w:t>Circulate to Magistrates:        YES/NO</w:t>
            </w:r>
          </w:p>
        </w:tc>
      </w:tr>
    </w:tbl>
    <w:p w:rsidR="00A55F12" w:rsidRDefault="00A55F12" w:rsidP="00A55F12">
      <w:pPr>
        <w:pStyle w:val="Heading1"/>
        <w:rPr>
          <w:rFonts w:ascii="Arial" w:hAnsi="Arial" w:cs="Arial"/>
          <w:szCs w:val="24"/>
        </w:rPr>
      </w:pPr>
    </w:p>
    <w:p w:rsidR="00A55F12" w:rsidRDefault="00A55F12" w:rsidP="00A55F12">
      <w:pPr>
        <w:jc w:val="center"/>
        <w:rPr>
          <w:rFonts w:ascii="Arial" w:hAnsi="Arial" w:cs="Arial"/>
          <w:b/>
          <w:sz w:val="24"/>
          <w:szCs w:val="24"/>
          <w:u w:val="single"/>
        </w:rPr>
      </w:pPr>
      <w:bookmarkStart w:id="0" w:name="_GoBack"/>
      <w:bookmarkEnd w:id="0"/>
    </w:p>
    <w:p w:rsidR="00A55F12" w:rsidRDefault="00290420" w:rsidP="00A55F12">
      <w:pPr>
        <w:spacing w:after="0" w:line="240" w:lineRule="auto"/>
        <w:jc w:val="right"/>
        <w:rPr>
          <w:rFonts w:ascii="Arial" w:hAnsi="Arial" w:cs="Arial"/>
          <w:b/>
          <w:sz w:val="24"/>
          <w:szCs w:val="24"/>
        </w:rPr>
      </w:pPr>
      <w:r>
        <w:rPr>
          <w:rFonts w:ascii="Arial" w:hAnsi="Arial" w:cs="Arial"/>
          <w:sz w:val="24"/>
          <w:szCs w:val="24"/>
        </w:rPr>
        <w:t>Case number: 2288</w:t>
      </w:r>
      <w:r w:rsidR="0077145E">
        <w:rPr>
          <w:rFonts w:ascii="Arial" w:hAnsi="Arial" w:cs="Arial"/>
          <w:sz w:val="24"/>
          <w:szCs w:val="24"/>
        </w:rPr>
        <w:t>/2022</w:t>
      </w:r>
    </w:p>
    <w:p w:rsidR="00A55F12" w:rsidRDefault="00A55F12" w:rsidP="00A55F12">
      <w:pPr>
        <w:spacing w:after="0" w:line="240" w:lineRule="auto"/>
        <w:jc w:val="right"/>
        <w:rPr>
          <w:rFonts w:ascii="Arial" w:hAnsi="Arial" w:cs="Arial"/>
          <w:sz w:val="24"/>
          <w:szCs w:val="24"/>
        </w:rPr>
      </w:pPr>
    </w:p>
    <w:p w:rsidR="00A55F12" w:rsidRDefault="00A55F12" w:rsidP="00A55F12">
      <w:pPr>
        <w:spacing w:after="0" w:line="240" w:lineRule="auto"/>
        <w:jc w:val="both"/>
        <w:rPr>
          <w:rFonts w:ascii="Arial" w:hAnsi="Arial" w:cs="Arial"/>
          <w:sz w:val="24"/>
          <w:szCs w:val="24"/>
        </w:rPr>
      </w:pPr>
      <w:r>
        <w:rPr>
          <w:rFonts w:ascii="Arial" w:hAnsi="Arial" w:cs="Arial"/>
          <w:sz w:val="24"/>
          <w:szCs w:val="24"/>
        </w:rPr>
        <w:t xml:space="preserve">In the matter between: </w:t>
      </w:r>
    </w:p>
    <w:p w:rsidR="00A55F12" w:rsidRDefault="00A55F12" w:rsidP="00A55F12">
      <w:pPr>
        <w:spacing w:after="0" w:line="240" w:lineRule="auto"/>
        <w:jc w:val="both"/>
        <w:rPr>
          <w:rFonts w:ascii="Arial" w:hAnsi="Arial" w:cs="Arial"/>
          <w:sz w:val="24"/>
          <w:szCs w:val="24"/>
        </w:rPr>
      </w:pPr>
    </w:p>
    <w:p w:rsidR="00050809" w:rsidRDefault="00050809" w:rsidP="00200CDA">
      <w:pPr>
        <w:spacing w:after="0" w:line="240" w:lineRule="auto"/>
        <w:rPr>
          <w:rFonts w:ascii="Arial" w:hAnsi="Arial" w:cs="Arial"/>
          <w:b/>
          <w:sz w:val="24"/>
          <w:szCs w:val="24"/>
        </w:rPr>
      </w:pPr>
    </w:p>
    <w:p w:rsidR="00A55F12" w:rsidRPr="00050809" w:rsidRDefault="0077145E" w:rsidP="00200CDA">
      <w:pPr>
        <w:spacing w:after="0" w:line="240" w:lineRule="auto"/>
        <w:rPr>
          <w:rFonts w:ascii="Arial" w:hAnsi="Arial" w:cs="Arial"/>
          <w:sz w:val="24"/>
          <w:szCs w:val="24"/>
        </w:rPr>
      </w:pPr>
      <w:r w:rsidRPr="00050809">
        <w:rPr>
          <w:rFonts w:ascii="Arial" w:hAnsi="Arial" w:cs="Arial"/>
          <w:b/>
          <w:sz w:val="24"/>
          <w:szCs w:val="24"/>
        </w:rPr>
        <w:t>RAUBEX</w:t>
      </w:r>
      <w:r w:rsidR="005313ED" w:rsidRPr="00050809">
        <w:rPr>
          <w:rFonts w:ascii="Arial" w:hAnsi="Arial" w:cs="Arial"/>
          <w:b/>
          <w:sz w:val="24"/>
          <w:szCs w:val="24"/>
        </w:rPr>
        <w:t>/NODOLI CONSTRUCTION JOINT VENTURE</w:t>
      </w:r>
      <w:r w:rsidR="005313ED" w:rsidRPr="00050809">
        <w:rPr>
          <w:rFonts w:ascii="Arial" w:hAnsi="Arial" w:cs="Arial"/>
          <w:b/>
          <w:sz w:val="24"/>
          <w:szCs w:val="24"/>
        </w:rPr>
        <w:tab/>
      </w:r>
      <w:r w:rsidR="00252138" w:rsidRPr="00050809">
        <w:rPr>
          <w:rFonts w:ascii="Arial" w:hAnsi="Arial" w:cs="Arial"/>
          <w:b/>
          <w:sz w:val="24"/>
          <w:szCs w:val="24"/>
        </w:rPr>
        <w:tab/>
      </w:r>
      <w:r w:rsidR="00050809">
        <w:rPr>
          <w:rFonts w:ascii="Arial" w:hAnsi="Arial" w:cs="Arial"/>
          <w:b/>
          <w:sz w:val="24"/>
          <w:szCs w:val="24"/>
        </w:rPr>
        <w:t xml:space="preserve">   </w:t>
      </w:r>
      <w:r w:rsidR="00252138" w:rsidRPr="00050809">
        <w:rPr>
          <w:rFonts w:ascii="Arial" w:hAnsi="Arial" w:cs="Arial"/>
          <w:b/>
          <w:sz w:val="24"/>
          <w:szCs w:val="24"/>
        </w:rPr>
        <w:t>Applicant</w:t>
      </w:r>
      <w:r w:rsidR="00252138" w:rsidRPr="00050809">
        <w:rPr>
          <w:rFonts w:ascii="Arial" w:hAnsi="Arial" w:cs="Arial"/>
          <w:b/>
          <w:sz w:val="24"/>
          <w:szCs w:val="24"/>
        </w:rPr>
        <w:tab/>
      </w:r>
      <w:r w:rsidR="00A55F12" w:rsidRPr="00050809">
        <w:rPr>
          <w:rFonts w:ascii="Arial" w:hAnsi="Arial" w:cs="Arial"/>
          <w:b/>
          <w:sz w:val="24"/>
          <w:szCs w:val="24"/>
        </w:rPr>
        <w:tab/>
        <w:t xml:space="preserve">           </w:t>
      </w:r>
    </w:p>
    <w:p w:rsidR="00A55F12" w:rsidRPr="00050809" w:rsidRDefault="00050809" w:rsidP="00A55F12">
      <w:pPr>
        <w:spacing w:after="0" w:line="240" w:lineRule="auto"/>
        <w:jc w:val="both"/>
        <w:rPr>
          <w:rFonts w:ascii="Arial" w:hAnsi="Arial" w:cs="Arial"/>
          <w:sz w:val="24"/>
          <w:szCs w:val="24"/>
        </w:rPr>
      </w:pPr>
      <w:r>
        <w:rPr>
          <w:rFonts w:ascii="Arial" w:hAnsi="Arial" w:cs="Arial"/>
          <w:sz w:val="24"/>
          <w:szCs w:val="24"/>
        </w:rPr>
        <w:t>a</w:t>
      </w:r>
      <w:r w:rsidR="00A55F12" w:rsidRPr="00050809">
        <w:rPr>
          <w:rFonts w:ascii="Arial" w:hAnsi="Arial" w:cs="Arial"/>
          <w:sz w:val="24"/>
          <w:szCs w:val="24"/>
        </w:rPr>
        <w:t xml:space="preserve">nd </w:t>
      </w:r>
    </w:p>
    <w:p w:rsidR="00A55F12" w:rsidRPr="00050809" w:rsidRDefault="00A55F12" w:rsidP="00A55F12">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jc w:val="both"/>
        <w:rPr>
          <w:rFonts w:ascii="Arial" w:hAnsi="Arial" w:cs="Arial"/>
          <w:b/>
          <w:sz w:val="24"/>
          <w:szCs w:val="24"/>
          <w:u w:val="single"/>
        </w:rPr>
      </w:pPr>
    </w:p>
    <w:p w:rsidR="005313ED" w:rsidRPr="00050809" w:rsidRDefault="005313ED" w:rsidP="00A55F12">
      <w:pPr>
        <w:pBdr>
          <w:bottom w:val="single" w:sz="12" w:space="1" w:color="auto"/>
        </w:pBdr>
        <w:spacing w:after="0" w:line="240" w:lineRule="auto"/>
        <w:rPr>
          <w:rFonts w:ascii="Arial" w:hAnsi="Arial" w:cs="Arial"/>
          <w:b/>
          <w:sz w:val="24"/>
          <w:szCs w:val="24"/>
        </w:rPr>
      </w:pPr>
      <w:r w:rsidRPr="00050809">
        <w:rPr>
          <w:rFonts w:ascii="Arial" w:hAnsi="Arial" w:cs="Arial"/>
          <w:b/>
          <w:sz w:val="24"/>
          <w:szCs w:val="24"/>
        </w:rPr>
        <w:t>THE MEMBER OF THE EXECUTIVE COUNCIL:</w:t>
      </w:r>
    </w:p>
    <w:p w:rsidR="005313ED" w:rsidRPr="00050809" w:rsidRDefault="005313ED" w:rsidP="00200CDA">
      <w:pPr>
        <w:pBdr>
          <w:bottom w:val="single" w:sz="12" w:space="1" w:color="auto"/>
        </w:pBdr>
        <w:tabs>
          <w:tab w:val="left" w:pos="851"/>
        </w:tabs>
        <w:spacing w:after="0" w:line="240" w:lineRule="auto"/>
        <w:rPr>
          <w:rFonts w:ascii="Arial" w:hAnsi="Arial" w:cs="Arial"/>
          <w:b/>
          <w:sz w:val="24"/>
          <w:szCs w:val="24"/>
        </w:rPr>
      </w:pPr>
      <w:r w:rsidRPr="00050809">
        <w:rPr>
          <w:rFonts w:ascii="Arial" w:hAnsi="Arial" w:cs="Arial"/>
          <w:b/>
          <w:sz w:val="24"/>
          <w:szCs w:val="24"/>
        </w:rPr>
        <w:t>FREE STATE DEPARTEMENT OF POLICE, ROADS</w:t>
      </w:r>
    </w:p>
    <w:p w:rsidR="00050809" w:rsidRDefault="005313ED" w:rsidP="00A55F12">
      <w:pPr>
        <w:pBdr>
          <w:bottom w:val="single" w:sz="12" w:space="1" w:color="auto"/>
        </w:pBdr>
        <w:spacing w:after="0" w:line="240" w:lineRule="auto"/>
        <w:rPr>
          <w:rFonts w:ascii="Arial" w:hAnsi="Arial" w:cs="Arial"/>
          <w:b/>
          <w:sz w:val="24"/>
          <w:szCs w:val="24"/>
        </w:rPr>
      </w:pPr>
      <w:r w:rsidRPr="00050809">
        <w:rPr>
          <w:rFonts w:ascii="Arial" w:hAnsi="Arial" w:cs="Arial"/>
          <w:b/>
          <w:sz w:val="24"/>
          <w:szCs w:val="24"/>
        </w:rPr>
        <w:t xml:space="preserve">AND TRANSPORT, FREE STATE PROVINCIAL </w:t>
      </w:r>
    </w:p>
    <w:p w:rsidR="00A55F12" w:rsidRPr="00050809" w:rsidRDefault="005313ED" w:rsidP="00A55F12">
      <w:pPr>
        <w:pBdr>
          <w:bottom w:val="single" w:sz="12" w:space="1" w:color="auto"/>
        </w:pBdr>
        <w:spacing w:after="0" w:line="240" w:lineRule="auto"/>
        <w:rPr>
          <w:rFonts w:ascii="Arial" w:hAnsi="Arial" w:cs="Arial"/>
          <w:b/>
          <w:sz w:val="24"/>
          <w:szCs w:val="24"/>
        </w:rPr>
      </w:pPr>
      <w:r w:rsidRPr="00050809">
        <w:rPr>
          <w:rFonts w:ascii="Arial" w:hAnsi="Arial" w:cs="Arial"/>
          <w:b/>
          <w:sz w:val="24"/>
          <w:szCs w:val="24"/>
        </w:rPr>
        <w:t>GOVERNMENT N.O.</w:t>
      </w:r>
      <w:r w:rsidR="00252138" w:rsidRPr="00050809">
        <w:rPr>
          <w:rFonts w:ascii="Arial" w:hAnsi="Arial" w:cs="Arial"/>
          <w:b/>
          <w:sz w:val="24"/>
          <w:szCs w:val="24"/>
        </w:rPr>
        <w:tab/>
      </w:r>
      <w:r w:rsidR="00590C60" w:rsidRPr="00050809">
        <w:rPr>
          <w:rFonts w:ascii="Arial" w:hAnsi="Arial" w:cs="Arial"/>
          <w:b/>
          <w:sz w:val="24"/>
          <w:szCs w:val="24"/>
        </w:rPr>
        <w:t xml:space="preserve">     </w:t>
      </w:r>
      <w:r w:rsidR="00050809">
        <w:rPr>
          <w:rFonts w:ascii="Arial" w:hAnsi="Arial" w:cs="Arial"/>
          <w:b/>
          <w:sz w:val="24"/>
          <w:szCs w:val="24"/>
        </w:rPr>
        <w:tab/>
      </w:r>
      <w:r w:rsidR="00050809">
        <w:rPr>
          <w:rFonts w:ascii="Arial" w:hAnsi="Arial" w:cs="Arial"/>
          <w:b/>
          <w:sz w:val="24"/>
          <w:szCs w:val="24"/>
        </w:rPr>
        <w:tab/>
      </w:r>
      <w:r w:rsidR="00050809">
        <w:rPr>
          <w:rFonts w:ascii="Arial" w:hAnsi="Arial" w:cs="Arial"/>
          <w:b/>
          <w:sz w:val="24"/>
          <w:szCs w:val="24"/>
        </w:rPr>
        <w:tab/>
      </w:r>
      <w:r w:rsidR="00050809">
        <w:rPr>
          <w:rFonts w:ascii="Arial" w:hAnsi="Arial" w:cs="Arial"/>
          <w:b/>
          <w:sz w:val="24"/>
          <w:szCs w:val="24"/>
        </w:rPr>
        <w:tab/>
      </w:r>
      <w:r w:rsidR="00050809">
        <w:rPr>
          <w:rFonts w:ascii="Arial" w:hAnsi="Arial" w:cs="Arial"/>
          <w:b/>
          <w:sz w:val="24"/>
          <w:szCs w:val="24"/>
        </w:rPr>
        <w:tab/>
      </w:r>
      <w:r w:rsidR="00050809">
        <w:rPr>
          <w:rFonts w:ascii="Arial" w:hAnsi="Arial" w:cs="Arial"/>
          <w:b/>
          <w:sz w:val="24"/>
          <w:szCs w:val="24"/>
        </w:rPr>
        <w:tab/>
      </w:r>
      <w:r w:rsidR="00590C60" w:rsidRPr="00050809">
        <w:rPr>
          <w:rFonts w:ascii="Arial" w:hAnsi="Arial" w:cs="Arial"/>
          <w:b/>
          <w:sz w:val="24"/>
          <w:szCs w:val="24"/>
        </w:rPr>
        <w:t xml:space="preserve"> </w:t>
      </w:r>
      <w:r w:rsidR="00252138" w:rsidRPr="00050809">
        <w:rPr>
          <w:rFonts w:ascii="Arial" w:hAnsi="Arial" w:cs="Arial"/>
          <w:b/>
          <w:sz w:val="24"/>
          <w:szCs w:val="24"/>
        </w:rPr>
        <w:t>Respondent</w:t>
      </w:r>
    </w:p>
    <w:p w:rsidR="00A55F12" w:rsidRDefault="00A55F12" w:rsidP="00A55F12">
      <w:pPr>
        <w:pBdr>
          <w:bottom w:val="single" w:sz="12" w:space="1" w:color="auto"/>
        </w:pBdr>
        <w:spacing w:after="0" w:line="240" w:lineRule="auto"/>
        <w:rPr>
          <w:rFonts w:ascii="Arial" w:hAnsi="Arial" w:cs="Arial"/>
          <w:b/>
          <w:sz w:val="24"/>
          <w:szCs w:val="24"/>
        </w:rPr>
      </w:pPr>
    </w:p>
    <w:p w:rsidR="00A55F12" w:rsidRDefault="00A55F12" w:rsidP="00A55F12">
      <w:pPr>
        <w:pBdr>
          <w:bottom w:val="single" w:sz="12" w:space="1" w:color="auto"/>
        </w:pBdr>
        <w:spacing w:after="0" w:line="240" w:lineRule="auto"/>
        <w:rPr>
          <w:rFonts w:ascii="Arial" w:hAnsi="Arial" w:cs="Arial"/>
          <w:b/>
          <w:sz w:val="24"/>
          <w:szCs w:val="24"/>
        </w:rPr>
      </w:pPr>
    </w:p>
    <w:p w:rsidR="00A55F12" w:rsidRDefault="00A55F12" w:rsidP="00A55F12">
      <w:pPr>
        <w:pBdr>
          <w:bottom w:val="single" w:sz="12" w:space="1" w:color="auto"/>
        </w:pBdr>
        <w:spacing w:after="0" w:line="240" w:lineRule="auto"/>
        <w:rPr>
          <w:rFonts w:ascii="Arial" w:hAnsi="Arial" w:cs="Arial"/>
          <w:b/>
          <w:sz w:val="24"/>
          <w:szCs w:val="24"/>
        </w:rPr>
      </w:pPr>
      <w:r>
        <w:rPr>
          <w:rFonts w:ascii="Arial" w:hAnsi="Arial" w:cs="Arial"/>
          <w:sz w:val="24"/>
          <w:szCs w:val="24"/>
        </w:rPr>
        <w:tab/>
      </w:r>
      <w:r>
        <w:rPr>
          <w:rFonts w:ascii="Arial" w:hAnsi="Arial" w:cs="Arial"/>
          <w:b/>
          <w:sz w:val="24"/>
          <w:szCs w:val="24"/>
        </w:rPr>
        <w:tab/>
      </w:r>
      <w:r>
        <w:rPr>
          <w:rFonts w:ascii="Arial" w:hAnsi="Arial" w:cs="Arial"/>
          <w:b/>
          <w:sz w:val="24"/>
          <w:szCs w:val="24"/>
        </w:rPr>
        <w:tab/>
      </w:r>
    </w:p>
    <w:p w:rsidR="00A55F12" w:rsidRDefault="00A55F12" w:rsidP="00A55F12">
      <w:pPr>
        <w:spacing w:after="0" w:line="240" w:lineRule="auto"/>
        <w:contextualSpacing/>
        <w:jc w:val="both"/>
        <w:rPr>
          <w:rFonts w:ascii="Arial" w:hAnsi="Arial" w:cs="Arial"/>
          <w:b/>
          <w:sz w:val="24"/>
          <w:szCs w:val="24"/>
          <w:u w:val="single"/>
        </w:rPr>
      </w:pPr>
    </w:p>
    <w:p w:rsidR="00A55F12" w:rsidRDefault="00A55F12" w:rsidP="00A55F12">
      <w:pPr>
        <w:pBdr>
          <w:bottom w:val="single" w:sz="12" w:space="1" w:color="auto"/>
        </w:pBdr>
        <w:spacing w:after="0" w:line="240" w:lineRule="auto"/>
        <w:contextualSpacing/>
        <w:jc w:val="both"/>
        <w:rPr>
          <w:rFonts w:ascii="Arial" w:hAnsi="Arial" w:cs="Arial"/>
          <w:sz w:val="24"/>
          <w:szCs w:val="24"/>
        </w:rPr>
      </w:pPr>
      <w:r>
        <w:rPr>
          <w:rFonts w:ascii="Arial" w:hAnsi="Arial" w:cs="Arial"/>
          <w:b/>
          <w:sz w:val="24"/>
          <w:szCs w:val="24"/>
          <w:u w:val="single"/>
        </w:rPr>
        <w:t>JUDGMENT BY:</w:t>
      </w:r>
      <w:r>
        <w:rPr>
          <w:rFonts w:ascii="Arial" w:hAnsi="Arial" w:cs="Arial"/>
          <w:b/>
          <w:sz w:val="24"/>
          <w:szCs w:val="24"/>
        </w:rPr>
        <w:tab/>
      </w:r>
      <w:r>
        <w:rPr>
          <w:rFonts w:ascii="Arial" w:hAnsi="Arial" w:cs="Arial"/>
          <w:b/>
          <w:sz w:val="24"/>
          <w:szCs w:val="24"/>
        </w:rPr>
        <w:tab/>
      </w:r>
      <w:r>
        <w:rPr>
          <w:rFonts w:ascii="Arial" w:hAnsi="Arial" w:cs="Arial"/>
          <w:sz w:val="24"/>
          <w:szCs w:val="24"/>
        </w:rPr>
        <w:t xml:space="preserve">C REINDERS, J </w:t>
      </w:r>
    </w:p>
    <w:p w:rsidR="00A55F12" w:rsidRDefault="00A55F12" w:rsidP="00A55F12">
      <w:pPr>
        <w:pBdr>
          <w:bottom w:val="single" w:sz="12" w:space="1" w:color="auto"/>
        </w:pBdr>
        <w:spacing w:after="0" w:line="240" w:lineRule="auto"/>
        <w:contextualSpacing/>
        <w:jc w:val="both"/>
        <w:rPr>
          <w:rFonts w:ascii="Arial" w:hAnsi="Arial" w:cs="Arial"/>
          <w:sz w:val="24"/>
          <w:szCs w:val="24"/>
          <w:u w:val="single"/>
        </w:rPr>
      </w:pPr>
    </w:p>
    <w:p w:rsidR="00BB4B86" w:rsidRDefault="00BB4B86" w:rsidP="00A55F12">
      <w:pPr>
        <w:spacing w:after="0" w:line="360" w:lineRule="auto"/>
        <w:jc w:val="both"/>
        <w:rPr>
          <w:rFonts w:ascii="Arial" w:hAnsi="Arial" w:cs="Arial"/>
          <w:sz w:val="24"/>
          <w:szCs w:val="24"/>
        </w:rPr>
      </w:pPr>
    </w:p>
    <w:p w:rsidR="00BB4B86" w:rsidRDefault="00BB4B86" w:rsidP="00BB4B86">
      <w:pPr>
        <w:pBdr>
          <w:bottom w:val="single" w:sz="12" w:space="1" w:color="auto"/>
        </w:pBdr>
        <w:spacing w:after="0" w:line="240" w:lineRule="auto"/>
        <w:rPr>
          <w:rFonts w:ascii="Arial" w:hAnsi="Arial" w:cs="Arial"/>
          <w:sz w:val="24"/>
          <w:szCs w:val="24"/>
        </w:rPr>
      </w:pPr>
      <w:r>
        <w:rPr>
          <w:rFonts w:ascii="Arial" w:hAnsi="Arial" w:cs="Arial"/>
          <w:b/>
          <w:sz w:val="24"/>
          <w:szCs w:val="24"/>
          <w:u w:val="single"/>
        </w:rPr>
        <w:t>HEARD ON:</w:t>
      </w:r>
      <w:r>
        <w:rPr>
          <w:rFonts w:ascii="Arial" w:hAnsi="Arial" w:cs="Arial"/>
          <w:b/>
          <w:sz w:val="24"/>
          <w:szCs w:val="24"/>
        </w:rPr>
        <w:tab/>
      </w:r>
      <w:r>
        <w:rPr>
          <w:rFonts w:ascii="Arial" w:hAnsi="Arial" w:cs="Arial"/>
          <w:b/>
          <w:sz w:val="24"/>
          <w:szCs w:val="24"/>
        </w:rPr>
        <w:tab/>
      </w:r>
      <w:r>
        <w:rPr>
          <w:rFonts w:ascii="Arial" w:hAnsi="Arial" w:cs="Arial"/>
          <w:sz w:val="24"/>
          <w:szCs w:val="24"/>
        </w:rPr>
        <w:tab/>
        <w:t>6 OCTOBER 2022</w:t>
      </w:r>
    </w:p>
    <w:p w:rsidR="00BB4B86" w:rsidRDefault="00BB4B86" w:rsidP="00BB4B86">
      <w:pPr>
        <w:pBdr>
          <w:bottom w:val="single" w:sz="12" w:space="1" w:color="auto"/>
        </w:pBdr>
        <w:spacing w:after="0" w:line="240" w:lineRule="auto"/>
        <w:contextualSpacing/>
        <w:jc w:val="both"/>
        <w:rPr>
          <w:rFonts w:ascii="Arial" w:hAnsi="Arial" w:cs="Arial"/>
          <w:sz w:val="24"/>
          <w:szCs w:val="24"/>
          <w:u w:val="single"/>
        </w:rPr>
      </w:pPr>
    </w:p>
    <w:p w:rsidR="00BB4B86" w:rsidRDefault="00BB4B86" w:rsidP="00BB4B86">
      <w:pPr>
        <w:spacing w:after="0" w:line="360" w:lineRule="auto"/>
        <w:jc w:val="both"/>
        <w:rPr>
          <w:rFonts w:ascii="Arial" w:hAnsi="Arial" w:cs="Arial"/>
          <w:sz w:val="24"/>
          <w:szCs w:val="24"/>
        </w:rPr>
      </w:pPr>
    </w:p>
    <w:p w:rsidR="00A55F12" w:rsidRDefault="00BB4B86" w:rsidP="00A55F12">
      <w:pPr>
        <w:spacing w:after="0" w:line="360" w:lineRule="auto"/>
        <w:jc w:val="both"/>
        <w:rPr>
          <w:rFonts w:ascii="Arial" w:hAnsi="Arial" w:cs="Arial"/>
          <w:sz w:val="24"/>
          <w:szCs w:val="24"/>
        </w:rPr>
      </w:pPr>
      <w:r>
        <w:rPr>
          <w:rFonts w:ascii="Arial" w:hAnsi="Arial" w:cs="Arial"/>
          <w:b/>
          <w:sz w:val="24"/>
          <w:szCs w:val="24"/>
          <w:u w:val="single"/>
        </w:rPr>
        <w:t>DELIVERED</w:t>
      </w:r>
      <w:r w:rsidR="00A55F12">
        <w:rPr>
          <w:rFonts w:ascii="Arial" w:hAnsi="Arial" w:cs="Arial"/>
          <w:b/>
          <w:sz w:val="24"/>
          <w:szCs w:val="24"/>
          <w:u w:val="single"/>
        </w:rPr>
        <w:t xml:space="preserve"> ON:</w:t>
      </w:r>
      <w:r w:rsidR="00A55F12">
        <w:rPr>
          <w:rFonts w:ascii="Arial" w:hAnsi="Arial" w:cs="Arial"/>
          <w:sz w:val="24"/>
          <w:szCs w:val="24"/>
        </w:rPr>
        <w:t xml:space="preserve">     </w:t>
      </w:r>
      <w:r w:rsidR="002D6D72">
        <w:rPr>
          <w:rFonts w:ascii="Arial" w:hAnsi="Arial" w:cs="Arial"/>
          <w:sz w:val="24"/>
          <w:szCs w:val="24"/>
        </w:rPr>
        <w:tab/>
      </w:r>
      <w:r>
        <w:rPr>
          <w:rFonts w:ascii="Arial" w:hAnsi="Arial" w:cs="Arial"/>
          <w:sz w:val="24"/>
          <w:szCs w:val="24"/>
        </w:rPr>
        <w:t>20 FEBRUARY 2023</w:t>
      </w:r>
      <w:r w:rsidR="002D6D72">
        <w:rPr>
          <w:rFonts w:ascii="Arial" w:hAnsi="Arial" w:cs="Arial"/>
          <w:sz w:val="24"/>
          <w:szCs w:val="24"/>
        </w:rPr>
        <w:tab/>
      </w:r>
      <w:r w:rsidR="00A55F12">
        <w:rPr>
          <w:rFonts w:ascii="Arial" w:hAnsi="Arial" w:cs="Arial"/>
          <w:sz w:val="24"/>
          <w:szCs w:val="24"/>
        </w:rPr>
        <w:tab/>
      </w:r>
      <w:r w:rsidR="00A55F12">
        <w:rPr>
          <w:rFonts w:ascii="Arial" w:hAnsi="Arial" w:cs="Arial"/>
          <w:sz w:val="24"/>
          <w:szCs w:val="24"/>
        </w:rPr>
        <w:tab/>
      </w:r>
    </w:p>
    <w:p w:rsidR="00A55F12" w:rsidRDefault="00A55F12" w:rsidP="00A55F12">
      <w:pPr>
        <w:pBdr>
          <w:bottom w:val="single" w:sz="12" w:space="1" w:color="auto"/>
        </w:pBdr>
        <w:tabs>
          <w:tab w:val="left" w:pos="2940"/>
        </w:tabs>
        <w:spacing w:after="0" w:line="240" w:lineRule="auto"/>
        <w:contextualSpacing/>
        <w:jc w:val="both"/>
        <w:rPr>
          <w:rFonts w:ascii="Arial" w:hAnsi="Arial" w:cs="Arial"/>
          <w:b/>
          <w:sz w:val="24"/>
          <w:szCs w:val="24"/>
        </w:rPr>
      </w:pPr>
    </w:p>
    <w:p w:rsidR="00A55F12" w:rsidRDefault="00A55F12" w:rsidP="00A55F12">
      <w:pPr>
        <w:spacing w:after="0" w:line="360" w:lineRule="auto"/>
        <w:ind w:left="851" w:hanging="851"/>
        <w:jc w:val="both"/>
        <w:rPr>
          <w:rFonts w:ascii="Arial" w:hAnsi="Arial" w:cs="Arial"/>
          <w:b/>
          <w:sz w:val="24"/>
          <w:szCs w:val="24"/>
          <w:u w:val="single"/>
        </w:rPr>
      </w:pPr>
    </w:p>
    <w:p w:rsidR="00C8193E" w:rsidRPr="008F5239" w:rsidRDefault="00A55F12" w:rsidP="00A55F12">
      <w:pPr>
        <w:spacing w:after="0" w:line="360" w:lineRule="auto"/>
        <w:ind w:left="851" w:hanging="851"/>
        <w:jc w:val="both"/>
        <w:rPr>
          <w:rFonts w:ascii="Arial" w:hAnsi="Arial" w:cs="Arial"/>
          <w:sz w:val="24"/>
          <w:szCs w:val="24"/>
        </w:rPr>
      </w:pPr>
      <w:r>
        <w:rPr>
          <w:rFonts w:ascii="Arial" w:hAnsi="Arial" w:cs="Arial"/>
          <w:sz w:val="24"/>
          <w:szCs w:val="24"/>
        </w:rPr>
        <w:lastRenderedPageBreak/>
        <w:t xml:space="preserve">[1] </w:t>
      </w:r>
      <w:r w:rsidR="004A3B52">
        <w:rPr>
          <w:rFonts w:ascii="Arial" w:hAnsi="Arial" w:cs="Arial"/>
          <w:sz w:val="24"/>
          <w:szCs w:val="24"/>
        </w:rPr>
        <w:tab/>
      </w:r>
      <w:r w:rsidR="008F5239">
        <w:rPr>
          <w:rFonts w:ascii="Arial" w:hAnsi="Arial" w:cs="Arial"/>
          <w:sz w:val="24"/>
        </w:rPr>
        <w:t>On 10 May 2019 the applicant</w:t>
      </w:r>
      <w:r w:rsidR="004A5E9A">
        <w:rPr>
          <w:rFonts w:ascii="Arial" w:hAnsi="Arial" w:cs="Arial"/>
          <w:sz w:val="24"/>
        </w:rPr>
        <w:t xml:space="preserve"> </w:t>
      </w:r>
      <w:r w:rsidR="008F5239">
        <w:rPr>
          <w:rFonts w:ascii="Arial" w:hAnsi="Arial" w:cs="Arial"/>
          <w:sz w:val="24"/>
        </w:rPr>
        <w:t>and the respondent</w:t>
      </w:r>
      <w:r w:rsidR="001B5736" w:rsidRPr="008F5239">
        <w:rPr>
          <w:rFonts w:ascii="Arial" w:hAnsi="Arial" w:cs="Arial"/>
          <w:sz w:val="24"/>
          <w:szCs w:val="24"/>
        </w:rPr>
        <w:t xml:space="preserve"> entered into a written </w:t>
      </w:r>
      <w:r w:rsidR="00092523">
        <w:rPr>
          <w:rFonts w:ascii="Arial" w:hAnsi="Arial" w:cs="Arial"/>
          <w:sz w:val="24"/>
          <w:szCs w:val="24"/>
        </w:rPr>
        <w:t xml:space="preserve">  </w:t>
      </w:r>
      <w:r w:rsidR="00F53532">
        <w:rPr>
          <w:rFonts w:ascii="Arial" w:hAnsi="Arial" w:cs="Arial"/>
          <w:sz w:val="24"/>
          <w:szCs w:val="24"/>
        </w:rPr>
        <w:t>contract (</w:t>
      </w:r>
      <w:r w:rsidR="00462B2F">
        <w:rPr>
          <w:rFonts w:ascii="Arial" w:hAnsi="Arial" w:cs="Arial"/>
          <w:sz w:val="24"/>
          <w:szCs w:val="24"/>
        </w:rPr>
        <w:t xml:space="preserve">essentially based on </w:t>
      </w:r>
      <w:r w:rsidR="00050809">
        <w:rPr>
          <w:rFonts w:ascii="Arial" w:hAnsi="Arial" w:cs="Arial"/>
          <w:sz w:val="24"/>
          <w:szCs w:val="24"/>
        </w:rPr>
        <w:t>the New</w:t>
      </w:r>
      <w:r w:rsidR="00462B2F">
        <w:rPr>
          <w:rFonts w:ascii="Arial" w:hAnsi="Arial" w:cs="Arial"/>
          <w:sz w:val="24"/>
          <w:szCs w:val="24"/>
        </w:rPr>
        <w:t xml:space="preserve"> Engineering Contract</w:t>
      </w:r>
      <w:r w:rsidR="00050809">
        <w:rPr>
          <w:rFonts w:ascii="Arial" w:hAnsi="Arial" w:cs="Arial"/>
          <w:sz w:val="24"/>
          <w:szCs w:val="24"/>
        </w:rPr>
        <w:t xml:space="preserve"> 3, April 2013- “the NEC3”)</w:t>
      </w:r>
      <w:r w:rsidR="00863CFE">
        <w:rPr>
          <w:rFonts w:ascii="Arial" w:hAnsi="Arial" w:cs="Arial"/>
          <w:sz w:val="24"/>
          <w:szCs w:val="24"/>
        </w:rPr>
        <w:t xml:space="preserve"> </w:t>
      </w:r>
      <w:r w:rsidR="00092523">
        <w:rPr>
          <w:rFonts w:ascii="Arial" w:hAnsi="Arial" w:cs="Arial"/>
          <w:sz w:val="24"/>
          <w:szCs w:val="24"/>
        </w:rPr>
        <w:t xml:space="preserve">for </w:t>
      </w:r>
      <w:r w:rsidR="00F53532">
        <w:rPr>
          <w:rFonts w:ascii="Arial" w:eastAsia="Calibri" w:hAnsi="Arial" w:cs="Arial"/>
          <w:sz w:val="24"/>
          <w:szCs w:val="24"/>
          <w:lang w:val="en-US"/>
        </w:rPr>
        <w:t xml:space="preserve">maintenance of the public road </w:t>
      </w:r>
      <w:r w:rsidR="00092523">
        <w:rPr>
          <w:rFonts w:ascii="Arial" w:eastAsia="Calibri" w:hAnsi="Arial" w:cs="Arial"/>
          <w:sz w:val="24"/>
          <w:szCs w:val="24"/>
          <w:lang w:val="en-US"/>
        </w:rPr>
        <w:t>between Sasolburg and Heilbron</w:t>
      </w:r>
      <w:r w:rsidR="00F53532">
        <w:rPr>
          <w:rFonts w:ascii="Arial" w:eastAsia="Calibri" w:hAnsi="Arial" w:cs="Arial"/>
          <w:sz w:val="24"/>
          <w:szCs w:val="24"/>
          <w:lang w:val="en-US"/>
        </w:rPr>
        <w:t xml:space="preserve"> in the Free State Province</w:t>
      </w:r>
      <w:r w:rsidR="004E2696">
        <w:rPr>
          <w:rFonts w:ascii="Arial" w:eastAsia="Calibri" w:hAnsi="Arial" w:cs="Arial"/>
          <w:sz w:val="24"/>
          <w:szCs w:val="24"/>
          <w:lang w:val="en-US"/>
        </w:rPr>
        <w:t xml:space="preserve">. </w:t>
      </w:r>
      <w:r w:rsidR="001B5736" w:rsidRPr="008F5239">
        <w:rPr>
          <w:rFonts w:ascii="Arial" w:hAnsi="Arial" w:cs="Arial"/>
          <w:sz w:val="24"/>
          <w:szCs w:val="24"/>
        </w:rPr>
        <w:t>A dispute arose between the parties culminating in an adjudicator hearing the dispute and han</w:t>
      </w:r>
      <w:r w:rsidR="004A3B52" w:rsidRPr="008F5239">
        <w:rPr>
          <w:rFonts w:ascii="Arial" w:hAnsi="Arial" w:cs="Arial"/>
          <w:sz w:val="24"/>
          <w:szCs w:val="24"/>
        </w:rPr>
        <w:t>d</w:t>
      </w:r>
      <w:r w:rsidR="001B5736" w:rsidRPr="008F5239">
        <w:rPr>
          <w:rFonts w:ascii="Arial" w:hAnsi="Arial" w:cs="Arial"/>
          <w:sz w:val="24"/>
          <w:szCs w:val="24"/>
        </w:rPr>
        <w:t>ing down his decision (the adjudication deci</w:t>
      </w:r>
      <w:r w:rsidR="004A3B52" w:rsidRPr="008F5239">
        <w:rPr>
          <w:rFonts w:ascii="Arial" w:hAnsi="Arial" w:cs="Arial"/>
          <w:sz w:val="24"/>
          <w:szCs w:val="24"/>
        </w:rPr>
        <w:t xml:space="preserve">sion/award) on 7 April </w:t>
      </w:r>
      <w:r w:rsidR="000E5AEA" w:rsidRPr="008F5239">
        <w:rPr>
          <w:rFonts w:ascii="Arial" w:hAnsi="Arial" w:cs="Arial"/>
          <w:sz w:val="24"/>
          <w:szCs w:val="24"/>
        </w:rPr>
        <w:t xml:space="preserve">2022. </w:t>
      </w:r>
    </w:p>
    <w:p w:rsidR="00C8193E" w:rsidRPr="008F5239" w:rsidRDefault="00C8193E" w:rsidP="00682531">
      <w:pPr>
        <w:tabs>
          <w:tab w:val="left" w:pos="709"/>
        </w:tabs>
        <w:spacing w:after="0" w:line="360" w:lineRule="auto"/>
        <w:ind w:left="851" w:hanging="851"/>
        <w:jc w:val="both"/>
        <w:rPr>
          <w:rFonts w:ascii="Arial" w:hAnsi="Arial" w:cs="Arial"/>
          <w:sz w:val="24"/>
          <w:szCs w:val="24"/>
        </w:rPr>
      </w:pPr>
    </w:p>
    <w:p w:rsidR="006A6BBE" w:rsidRDefault="00C8193E" w:rsidP="000268D8">
      <w:pPr>
        <w:spacing w:after="0" w:line="360" w:lineRule="auto"/>
        <w:ind w:left="851" w:hanging="851"/>
        <w:jc w:val="both"/>
        <w:rPr>
          <w:rFonts w:ascii="Arial" w:hAnsi="Arial" w:cs="Arial"/>
          <w:sz w:val="24"/>
          <w:szCs w:val="24"/>
        </w:rPr>
      </w:pPr>
      <w:r>
        <w:rPr>
          <w:rFonts w:ascii="Arial" w:hAnsi="Arial" w:cs="Arial"/>
          <w:sz w:val="24"/>
          <w:szCs w:val="24"/>
        </w:rPr>
        <w:t>[2]</w:t>
      </w:r>
      <w:r>
        <w:rPr>
          <w:rFonts w:ascii="Arial" w:hAnsi="Arial" w:cs="Arial"/>
          <w:sz w:val="24"/>
          <w:szCs w:val="24"/>
        </w:rPr>
        <w:tab/>
      </w:r>
      <w:r w:rsidR="000E5AEA">
        <w:rPr>
          <w:rFonts w:ascii="Arial" w:hAnsi="Arial" w:cs="Arial"/>
          <w:sz w:val="24"/>
          <w:szCs w:val="24"/>
        </w:rPr>
        <w:t>The a</w:t>
      </w:r>
      <w:r w:rsidR="004A3B52">
        <w:rPr>
          <w:rFonts w:ascii="Arial" w:hAnsi="Arial" w:cs="Arial"/>
          <w:sz w:val="24"/>
          <w:szCs w:val="24"/>
        </w:rPr>
        <w:t>p</w:t>
      </w:r>
      <w:r w:rsidR="003B0055">
        <w:rPr>
          <w:rFonts w:ascii="Arial" w:hAnsi="Arial" w:cs="Arial"/>
          <w:sz w:val="24"/>
          <w:szCs w:val="24"/>
        </w:rPr>
        <w:t>p</w:t>
      </w:r>
      <w:r w:rsidR="004A3B52">
        <w:rPr>
          <w:rFonts w:ascii="Arial" w:hAnsi="Arial" w:cs="Arial"/>
          <w:sz w:val="24"/>
          <w:szCs w:val="24"/>
        </w:rPr>
        <w:t xml:space="preserve">licant </w:t>
      </w:r>
      <w:r w:rsidR="00A613FA">
        <w:rPr>
          <w:rFonts w:ascii="Arial" w:hAnsi="Arial" w:cs="Arial"/>
          <w:sz w:val="24"/>
          <w:szCs w:val="24"/>
        </w:rPr>
        <w:t xml:space="preserve">moves for relief </w:t>
      </w:r>
      <w:r w:rsidR="003B0055">
        <w:rPr>
          <w:rFonts w:ascii="Arial" w:hAnsi="Arial" w:cs="Arial"/>
          <w:sz w:val="24"/>
          <w:szCs w:val="24"/>
        </w:rPr>
        <w:t xml:space="preserve">that effect be given to the </w:t>
      </w:r>
      <w:r w:rsidR="000E5AEA">
        <w:rPr>
          <w:rFonts w:ascii="Arial" w:hAnsi="Arial" w:cs="Arial"/>
          <w:sz w:val="24"/>
          <w:szCs w:val="24"/>
        </w:rPr>
        <w:t xml:space="preserve">adjudication award </w:t>
      </w:r>
      <w:r w:rsidR="00A613FA">
        <w:rPr>
          <w:rFonts w:ascii="Arial" w:hAnsi="Arial" w:cs="Arial"/>
          <w:sz w:val="24"/>
          <w:szCs w:val="24"/>
        </w:rPr>
        <w:t xml:space="preserve">in the following terms: </w:t>
      </w:r>
    </w:p>
    <w:p w:rsidR="006A6BBE" w:rsidRPr="00C8193E" w:rsidRDefault="006A6BBE" w:rsidP="006A6BBE">
      <w:pPr>
        <w:jc w:val="both"/>
        <w:rPr>
          <w:rFonts w:ascii="Arial" w:hAnsi="Arial" w:cs="Arial"/>
          <w:b/>
        </w:rPr>
      </w:pPr>
    </w:p>
    <w:p w:rsidR="006A6BBE" w:rsidRPr="00C8193E" w:rsidRDefault="003B0055" w:rsidP="00C8193E">
      <w:pPr>
        <w:spacing w:line="360" w:lineRule="auto"/>
        <w:ind w:left="1440" w:hanging="589"/>
        <w:jc w:val="both"/>
        <w:rPr>
          <w:rFonts w:ascii="Arial" w:eastAsia="Calibri" w:hAnsi="Arial" w:cs="Arial"/>
          <w:lang w:val="en-US"/>
        </w:rPr>
      </w:pPr>
      <w:r w:rsidRPr="00C8193E">
        <w:rPr>
          <w:rFonts w:ascii="Arial" w:eastAsia="Calibri" w:hAnsi="Arial" w:cs="Arial"/>
        </w:rPr>
        <w:t>“1.</w:t>
      </w:r>
      <w:r w:rsidRPr="00C8193E">
        <w:rPr>
          <w:rFonts w:ascii="Arial" w:eastAsia="Calibri" w:hAnsi="Arial" w:cs="Arial"/>
        </w:rPr>
        <w:tab/>
      </w:r>
      <w:r w:rsidR="006A6BBE" w:rsidRPr="00C8193E">
        <w:rPr>
          <w:rFonts w:ascii="Arial" w:eastAsia="Calibri" w:hAnsi="Arial" w:cs="Arial"/>
          <w:lang w:val="en-US"/>
        </w:rPr>
        <w:t>The respondent is forthwith to give effect to the adjudication award handed down on 7 April 2022, a copy of which is annexed hereto to the founding affidavit marked “C9”;</w:t>
      </w:r>
    </w:p>
    <w:p w:rsidR="006A6BBE" w:rsidRPr="00C8193E" w:rsidRDefault="006A6BBE" w:rsidP="006A6BBE">
      <w:pPr>
        <w:spacing w:line="360" w:lineRule="auto"/>
        <w:ind w:left="720" w:hanging="720"/>
        <w:jc w:val="both"/>
        <w:rPr>
          <w:rFonts w:ascii="Arial" w:eastAsia="Calibri" w:hAnsi="Arial" w:cs="Arial"/>
          <w:lang w:val="en-US"/>
        </w:rPr>
      </w:pPr>
    </w:p>
    <w:p w:rsidR="006A6BBE" w:rsidRPr="00C8193E" w:rsidRDefault="006A6BBE" w:rsidP="006A6BBE">
      <w:pPr>
        <w:numPr>
          <w:ilvl w:val="1"/>
          <w:numId w:val="1"/>
        </w:numPr>
        <w:spacing w:after="0" w:line="360" w:lineRule="auto"/>
        <w:jc w:val="both"/>
        <w:rPr>
          <w:rFonts w:ascii="Arial" w:eastAsia="Calibri" w:hAnsi="Arial" w:cs="Arial"/>
          <w:lang w:val="en-US"/>
        </w:rPr>
      </w:pPr>
      <w:r w:rsidRPr="00C8193E">
        <w:rPr>
          <w:rFonts w:ascii="Arial" w:eastAsia="Calibri" w:hAnsi="Arial" w:cs="Arial"/>
          <w:lang w:val="en-US"/>
        </w:rPr>
        <w:t>Pursuant to the above-mentioned adjudication award, the respondent is ordered to pay the applicant:</w:t>
      </w:r>
    </w:p>
    <w:p w:rsidR="006A6BBE" w:rsidRPr="00C8193E" w:rsidRDefault="006A6BBE" w:rsidP="006A6BBE">
      <w:pPr>
        <w:spacing w:line="360" w:lineRule="auto"/>
        <w:ind w:left="720" w:hanging="720"/>
        <w:jc w:val="both"/>
        <w:rPr>
          <w:rFonts w:ascii="Arial" w:eastAsia="Calibri" w:hAnsi="Arial" w:cs="Arial"/>
          <w:lang w:val="en-US"/>
        </w:rPr>
      </w:pPr>
    </w:p>
    <w:p w:rsidR="006A6BBE" w:rsidRPr="00C8193E" w:rsidRDefault="006A6BBE" w:rsidP="006A6BBE">
      <w:pPr>
        <w:numPr>
          <w:ilvl w:val="2"/>
          <w:numId w:val="1"/>
        </w:numPr>
        <w:spacing w:after="0" w:line="360" w:lineRule="auto"/>
        <w:jc w:val="both"/>
        <w:rPr>
          <w:rFonts w:ascii="Arial" w:eastAsia="Calibri" w:hAnsi="Arial" w:cs="Arial"/>
          <w:lang w:val="en-US"/>
        </w:rPr>
      </w:pPr>
      <w:r w:rsidRPr="00C8193E">
        <w:rPr>
          <w:rFonts w:ascii="Arial" w:eastAsia="Calibri" w:hAnsi="Arial" w:cs="Arial"/>
          <w:lang w:val="en-US"/>
        </w:rPr>
        <w:t>R14 280 737.40 plus VAT less R8 222 621.10, in other words R8 200 229.91;</w:t>
      </w:r>
    </w:p>
    <w:p w:rsidR="006A6BBE" w:rsidRDefault="006A6BBE" w:rsidP="00590C60">
      <w:pPr>
        <w:numPr>
          <w:ilvl w:val="2"/>
          <w:numId w:val="1"/>
        </w:numPr>
        <w:spacing w:after="0" w:line="360" w:lineRule="auto"/>
        <w:jc w:val="both"/>
        <w:rPr>
          <w:rFonts w:ascii="Arial" w:eastAsia="Calibri" w:hAnsi="Arial" w:cs="Arial"/>
          <w:lang w:val="en-US"/>
        </w:rPr>
      </w:pPr>
      <w:r w:rsidRPr="00C8193E">
        <w:rPr>
          <w:rFonts w:ascii="Arial" w:eastAsia="Calibri" w:hAnsi="Arial" w:cs="Arial"/>
          <w:lang w:val="en-US"/>
        </w:rPr>
        <w:t>Interest on the amount of R14 280 737.40 plus VAT at the rate of 7% per annum from 26 October 2021 to 31 March 2022; and</w:t>
      </w:r>
    </w:p>
    <w:p w:rsidR="00590C60" w:rsidRPr="00590C60" w:rsidRDefault="00590C60" w:rsidP="00590C60">
      <w:pPr>
        <w:spacing w:after="0" w:line="360" w:lineRule="auto"/>
        <w:ind w:left="2160"/>
        <w:jc w:val="both"/>
        <w:rPr>
          <w:rFonts w:ascii="Arial" w:eastAsia="Calibri" w:hAnsi="Arial" w:cs="Arial"/>
          <w:lang w:val="en-US"/>
        </w:rPr>
      </w:pPr>
    </w:p>
    <w:p w:rsidR="006A6BBE" w:rsidRPr="00C8193E" w:rsidRDefault="006A6BBE" w:rsidP="006A6BBE">
      <w:pPr>
        <w:numPr>
          <w:ilvl w:val="2"/>
          <w:numId w:val="1"/>
        </w:numPr>
        <w:spacing w:after="0" w:line="360" w:lineRule="auto"/>
        <w:jc w:val="both"/>
        <w:rPr>
          <w:rFonts w:ascii="Arial" w:eastAsia="Calibri" w:hAnsi="Arial" w:cs="Arial"/>
          <w:lang w:val="en-US"/>
        </w:rPr>
      </w:pPr>
      <w:r w:rsidRPr="00C8193E">
        <w:rPr>
          <w:rFonts w:ascii="Arial" w:eastAsia="Calibri" w:hAnsi="Arial" w:cs="Arial"/>
          <w:lang w:val="en-US"/>
        </w:rPr>
        <w:t>Interest on the balance of the amount due of R8 200 229.91 (inclusive of VAT) at 7% per annum from 1 April 2022 to the date of payment.</w:t>
      </w:r>
    </w:p>
    <w:p w:rsidR="006A6BBE" w:rsidRPr="00C8193E" w:rsidRDefault="006A6BBE" w:rsidP="006A6BBE">
      <w:pPr>
        <w:spacing w:line="360" w:lineRule="auto"/>
        <w:ind w:left="720" w:hanging="720"/>
        <w:jc w:val="both"/>
        <w:rPr>
          <w:rFonts w:ascii="Arial" w:eastAsia="Calibri" w:hAnsi="Arial" w:cs="Arial"/>
          <w:lang w:val="en-US"/>
        </w:rPr>
      </w:pPr>
    </w:p>
    <w:p w:rsidR="006A6BBE" w:rsidRPr="00C8193E" w:rsidRDefault="006A6BBE" w:rsidP="006A6BBE">
      <w:pPr>
        <w:spacing w:line="360" w:lineRule="auto"/>
        <w:ind w:left="1440" w:hanging="720"/>
        <w:jc w:val="both"/>
        <w:rPr>
          <w:rFonts w:ascii="Arial" w:eastAsia="Calibri" w:hAnsi="Arial" w:cs="Arial"/>
          <w:lang w:val="en-US"/>
        </w:rPr>
      </w:pPr>
      <w:r w:rsidRPr="00C8193E">
        <w:rPr>
          <w:rFonts w:ascii="Arial" w:eastAsia="Calibri" w:hAnsi="Arial" w:cs="Arial"/>
          <w:lang w:val="en-US"/>
        </w:rPr>
        <w:t>1.2</w:t>
      </w:r>
      <w:r w:rsidRPr="00C8193E">
        <w:rPr>
          <w:rFonts w:ascii="Arial" w:eastAsia="Calibri" w:hAnsi="Arial" w:cs="Arial"/>
          <w:lang w:val="en-US"/>
        </w:rPr>
        <w:tab/>
        <w:t>The respondent is ordered to pay the costs of this application on an attorney and client scale.</w:t>
      </w:r>
      <w:r w:rsidR="00C63AFD">
        <w:rPr>
          <w:rFonts w:ascii="Arial" w:eastAsia="Calibri" w:hAnsi="Arial" w:cs="Arial"/>
          <w:lang w:val="en-US"/>
        </w:rPr>
        <w:t>”</w:t>
      </w:r>
    </w:p>
    <w:p w:rsidR="006A6BBE" w:rsidRPr="006A6BBE" w:rsidRDefault="006A6BBE" w:rsidP="006A6BBE">
      <w:pPr>
        <w:spacing w:line="360" w:lineRule="auto"/>
        <w:ind w:left="720" w:hanging="720"/>
        <w:jc w:val="both"/>
        <w:rPr>
          <w:rFonts w:ascii="Arial" w:eastAsia="Calibri" w:hAnsi="Arial" w:cs="Arial"/>
          <w:sz w:val="24"/>
          <w:szCs w:val="24"/>
          <w:lang w:val="en-US"/>
        </w:rPr>
      </w:pPr>
    </w:p>
    <w:p w:rsidR="008F6135" w:rsidRDefault="003B0055" w:rsidP="008F6135">
      <w:pPr>
        <w:spacing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w:t>
      </w:r>
      <w:r w:rsidR="008A1B72">
        <w:rPr>
          <w:rFonts w:ascii="Arial" w:eastAsia="Calibri" w:hAnsi="Arial" w:cs="Arial"/>
          <w:sz w:val="24"/>
          <w:szCs w:val="24"/>
          <w:lang w:val="en-US"/>
        </w:rPr>
        <w:t>3</w:t>
      </w:r>
      <w:r>
        <w:rPr>
          <w:rFonts w:ascii="Arial" w:eastAsia="Calibri" w:hAnsi="Arial" w:cs="Arial"/>
          <w:sz w:val="24"/>
          <w:szCs w:val="24"/>
          <w:lang w:val="en-US"/>
        </w:rPr>
        <w:t>]</w:t>
      </w:r>
      <w:r w:rsidR="006A6BBE" w:rsidRPr="006A6BBE">
        <w:rPr>
          <w:rFonts w:ascii="Arial" w:eastAsia="Calibri" w:hAnsi="Arial" w:cs="Arial"/>
          <w:sz w:val="24"/>
          <w:szCs w:val="24"/>
          <w:lang w:val="en-US"/>
        </w:rPr>
        <w:tab/>
        <w:t xml:space="preserve">The </w:t>
      </w:r>
      <w:r w:rsidR="001B5736">
        <w:rPr>
          <w:rFonts w:ascii="Arial" w:eastAsia="Calibri" w:hAnsi="Arial" w:cs="Arial"/>
          <w:sz w:val="24"/>
          <w:szCs w:val="24"/>
          <w:lang w:val="en-US"/>
        </w:rPr>
        <w:t>respondent opposes the relief claimed by the applicant</w:t>
      </w:r>
      <w:r w:rsidR="005D34DD">
        <w:rPr>
          <w:rFonts w:ascii="Arial" w:eastAsia="Calibri" w:hAnsi="Arial" w:cs="Arial"/>
          <w:sz w:val="24"/>
          <w:szCs w:val="24"/>
          <w:lang w:val="en-US"/>
        </w:rPr>
        <w:t xml:space="preserve">, contending </w:t>
      </w:r>
      <w:r w:rsidR="00863CFE">
        <w:rPr>
          <w:rFonts w:ascii="Arial" w:eastAsia="Calibri" w:hAnsi="Arial" w:cs="Arial"/>
          <w:sz w:val="24"/>
          <w:szCs w:val="24"/>
          <w:lang w:val="en-US"/>
        </w:rPr>
        <w:t>that the applicant is not entitled to such relief until the arbitra</w:t>
      </w:r>
      <w:r w:rsidR="00F53532">
        <w:rPr>
          <w:rFonts w:ascii="Arial" w:eastAsia="Calibri" w:hAnsi="Arial" w:cs="Arial"/>
          <w:sz w:val="24"/>
          <w:szCs w:val="24"/>
          <w:lang w:val="en-US"/>
        </w:rPr>
        <w:t xml:space="preserve">tion proceedings are finalized </w:t>
      </w:r>
      <w:r w:rsidR="00863CFE">
        <w:rPr>
          <w:rFonts w:ascii="Arial" w:eastAsia="Calibri" w:hAnsi="Arial" w:cs="Arial"/>
          <w:sz w:val="24"/>
          <w:szCs w:val="24"/>
          <w:lang w:val="en-US"/>
        </w:rPr>
        <w:t xml:space="preserve">and </w:t>
      </w:r>
      <w:r w:rsidR="00F53532">
        <w:rPr>
          <w:rFonts w:ascii="Arial" w:eastAsia="Calibri" w:hAnsi="Arial" w:cs="Arial"/>
          <w:sz w:val="24"/>
          <w:szCs w:val="24"/>
          <w:lang w:val="en-US"/>
        </w:rPr>
        <w:t>“</w:t>
      </w:r>
      <w:r w:rsidR="00863CFE">
        <w:rPr>
          <w:rFonts w:ascii="Arial" w:eastAsia="Calibri" w:hAnsi="Arial" w:cs="Arial"/>
          <w:sz w:val="24"/>
          <w:szCs w:val="24"/>
          <w:lang w:val="en-US"/>
        </w:rPr>
        <w:t>an arbitration award is issued in its favour.” I</w:t>
      </w:r>
      <w:r w:rsidR="00C063A1">
        <w:rPr>
          <w:rFonts w:ascii="Arial" w:eastAsia="Calibri" w:hAnsi="Arial" w:cs="Arial"/>
          <w:sz w:val="24"/>
          <w:szCs w:val="24"/>
          <w:lang w:val="en-US"/>
        </w:rPr>
        <w:t xml:space="preserve">n essence </w:t>
      </w:r>
      <w:r w:rsidR="00863CFE">
        <w:rPr>
          <w:rFonts w:ascii="Arial" w:eastAsia="Calibri" w:hAnsi="Arial" w:cs="Arial"/>
          <w:sz w:val="24"/>
          <w:szCs w:val="24"/>
          <w:lang w:val="en-US"/>
        </w:rPr>
        <w:t xml:space="preserve">it is submitted </w:t>
      </w:r>
      <w:r w:rsidR="005D34DD">
        <w:rPr>
          <w:rFonts w:ascii="Arial" w:eastAsia="Calibri" w:hAnsi="Arial" w:cs="Arial"/>
          <w:sz w:val="24"/>
          <w:szCs w:val="24"/>
          <w:lang w:val="en-US"/>
        </w:rPr>
        <w:t>that the adjudication decision (including any payment) is suspended pending the dispute being revised by the arbitrator</w:t>
      </w:r>
      <w:r w:rsidR="009071AC">
        <w:rPr>
          <w:rFonts w:ascii="Arial" w:eastAsia="Calibri" w:hAnsi="Arial" w:cs="Arial"/>
          <w:sz w:val="24"/>
          <w:szCs w:val="24"/>
          <w:lang w:val="en-US"/>
        </w:rPr>
        <w:t xml:space="preserve"> in terms of </w:t>
      </w:r>
      <w:r w:rsidR="00590C60">
        <w:rPr>
          <w:rFonts w:ascii="Arial" w:eastAsia="Calibri" w:hAnsi="Arial" w:cs="Arial"/>
          <w:sz w:val="24"/>
          <w:szCs w:val="24"/>
          <w:lang w:val="en-US"/>
        </w:rPr>
        <w:t xml:space="preserve">the dispute </w:t>
      </w:r>
      <w:r w:rsidR="00590C60">
        <w:rPr>
          <w:rFonts w:ascii="Arial" w:eastAsia="Calibri" w:hAnsi="Arial" w:cs="Arial"/>
          <w:sz w:val="24"/>
          <w:szCs w:val="24"/>
          <w:lang w:val="en-US"/>
        </w:rPr>
        <w:lastRenderedPageBreak/>
        <w:t xml:space="preserve">resolution process </w:t>
      </w:r>
      <w:r w:rsidR="009D4A36">
        <w:rPr>
          <w:rFonts w:ascii="Arial" w:eastAsia="Calibri" w:hAnsi="Arial" w:cs="Arial"/>
          <w:sz w:val="24"/>
          <w:szCs w:val="24"/>
          <w:lang w:val="en-US"/>
        </w:rPr>
        <w:t>agreed upon by the parties.</w:t>
      </w:r>
      <w:r w:rsidR="008F6135">
        <w:rPr>
          <w:rFonts w:ascii="Arial" w:eastAsia="Calibri" w:hAnsi="Arial" w:cs="Arial"/>
          <w:sz w:val="24"/>
          <w:szCs w:val="24"/>
          <w:lang w:val="en-US"/>
        </w:rPr>
        <w:t xml:space="preserve"> Applicant, so the argument goes, seeks court to give effect to the decision</w:t>
      </w:r>
      <w:r w:rsidR="00050809">
        <w:rPr>
          <w:rFonts w:ascii="Arial" w:eastAsia="Calibri" w:hAnsi="Arial" w:cs="Arial"/>
          <w:sz w:val="24"/>
          <w:szCs w:val="24"/>
          <w:lang w:val="en-US"/>
        </w:rPr>
        <w:t xml:space="preserve"> of the adjudicator not being </w:t>
      </w:r>
      <w:r w:rsidR="008F6135">
        <w:rPr>
          <w:rFonts w:ascii="Arial" w:eastAsia="Calibri" w:hAnsi="Arial" w:cs="Arial"/>
          <w:sz w:val="24"/>
          <w:szCs w:val="24"/>
          <w:lang w:val="en-US"/>
        </w:rPr>
        <w:t>final and binding as there is no provision in the NEC</w:t>
      </w:r>
      <w:r w:rsidR="00050809">
        <w:rPr>
          <w:rFonts w:ascii="Arial" w:eastAsia="Calibri" w:hAnsi="Arial" w:cs="Arial"/>
          <w:sz w:val="24"/>
          <w:szCs w:val="24"/>
          <w:lang w:val="en-US"/>
        </w:rPr>
        <w:t>3</w:t>
      </w:r>
      <w:r w:rsidR="008F6135">
        <w:rPr>
          <w:rFonts w:ascii="Arial" w:eastAsia="Calibri" w:hAnsi="Arial" w:cs="Arial"/>
          <w:sz w:val="24"/>
          <w:szCs w:val="24"/>
          <w:lang w:val="en-US"/>
        </w:rPr>
        <w:t xml:space="preserve"> </w:t>
      </w:r>
      <w:r w:rsidR="006D039A">
        <w:rPr>
          <w:rFonts w:ascii="Arial" w:eastAsia="Calibri" w:hAnsi="Arial" w:cs="Arial"/>
          <w:sz w:val="24"/>
          <w:szCs w:val="24"/>
          <w:lang w:val="en-US"/>
        </w:rPr>
        <w:t>that</w:t>
      </w:r>
      <w:r w:rsidR="008F6135">
        <w:rPr>
          <w:rFonts w:ascii="Arial" w:eastAsia="Calibri" w:hAnsi="Arial" w:cs="Arial"/>
          <w:sz w:val="24"/>
          <w:szCs w:val="24"/>
          <w:lang w:val="en-US"/>
        </w:rPr>
        <w:t xml:space="preserve"> the decision should be promptly given effect to or without undue delay</w:t>
      </w:r>
      <w:r w:rsidR="006D039A">
        <w:rPr>
          <w:rFonts w:ascii="Arial" w:eastAsia="Calibri" w:hAnsi="Arial" w:cs="Arial"/>
          <w:sz w:val="24"/>
          <w:szCs w:val="24"/>
          <w:lang w:val="en-US"/>
        </w:rPr>
        <w:t>,</w:t>
      </w:r>
      <w:r w:rsidR="00050809">
        <w:rPr>
          <w:rFonts w:ascii="Arial" w:eastAsia="Calibri" w:hAnsi="Arial" w:cs="Arial"/>
          <w:sz w:val="24"/>
          <w:szCs w:val="24"/>
          <w:lang w:val="en-US"/>
        </w:rPr>
        <w:t xml:space="preserve"> whilst</w:t>
      </w:r>
      <w:r w:rsidR="008F6135">
        <w:rPr>
          <w:rFonts w:ascii="Arial" w:eastAsia="Calibri" w:hAnsi="Arial" w:cs="Arial"/>
          <w:sz w:val="24"/>
          <w:szCs w:val="24"/>
          <w:lang w:val="en-US"/>
        </w:rPr>
        <w:t xml:space="preserve"> the arbitration process is still pending.</w:t>
      </w:r>
    </w:p>
    <w:p w:rsidR="004E2696" w:rsidRDefault="004E2696" w:rsidP="006D039A">
      <w:pPr>
        <w:spacing w:line="360" w:lineRule="auto"/>
        <w:jc w:val="both"/>
        <w:rPr>
          <w:rFonts w:ascii="Arial" w:eastAsia="Calibri" w:hAnsi="Arial" w:cs="Arial"/>
          <w:sz w:val="24"/>
          <w:szCs w:val="24"/>
          <w:lang w:val="en-US"/>
        </w:rPr>
      </w:pPr>
    </w:p>
    <w:p w:rsidR="00C063A1" w:rsidRDefault="004E2696" w:rsidP="006A6BBE">
      <w:pPr>
        <w:spacing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 xml:space="preserve"> </w:t>
      </w:r>
      <w:r w:rsidR="008A1B72">
        <w:rPr>
          <w:rFonts w:ascii="Arial" w:eastAsia="Calibri" w:hAnsi="Arial" w:cs="Arial"/>
          <w:sz w:val="24"/>
          <w:szCs w:val="24"/>
          <w:lang w:val="en-US"/>
        </w:rPr>
        <w:t>[4</w:t>
      </w:r>
      <w:r w:rsidR="004A5E9A">
        <w:rPr>
          <w:rFonts w:ascii="Arial" w:eastAsia="Calibri" w:hAnsi="Arial" w:cs="Arial"/>
          <w:sz w:val="24"/>
          <w:szCs w:val="24"/>
          <w:lang w:val="en-US"/>
        </w:rPr>
        <w:t>]</w:t>
      </w:r>
      <w:r w:rsidR="004A5E9A">
        <w:rPr>
          <w:rFonts w:ascii="Arial" w:eastAsia="Calibri" w:hAnsi="Arial" w:cs="Arial"/>
          <w:sz w:val="24"/>
          <w:szCs w:val="24"/>
          <w:lang w:val="en-US"/>
        </w:rPr>
        <w:tab/>
      </w:r>
      <w:r w:rsidR="00C063A1">
        <w:rPr>
          <w:rFonts w:ascii="Arial" w:eastAsia="Calibri" w:hAnsi="Arial" w:cs="Arial"/>
          <w:sz w:val="24"/>
          <w:szCs w:val="24"/>
          <w:lang w:val="en-US"/>
        </w:rPr>
        <w:t xml:space="preserve">A brief </w:t>
      </w:r>
      <w:r w:rsidR="006445D7">
        <w:rPr>
          <w:rFonts w:ascii="Arial" w:eastAsia="Calibri" w:hAnsi="Arial" w:cs="Arial"/>
          <w:sz w:val="24"/>
          <w:szCs w:val="24"/>
          <w:lang w:val="en-US"/>
        </w:rPr>
        <w:t xml:space="preserve">factual </w:t>
      </w:r>
      <w:r w:rsidR="00C063A1">
        <w:rPr>
          <w:rFonts w:ascii="Arial" w:eastAsia="Calibri" w:hAnsi="Arial" w:cs="Arial"/>
          <w:sz w:val="24"/>
          <w:szCs w:val="24"/>
          <w:lang w:val="en-US"/>
        </w:rPr>
        <w:t xml:space="preserve">background to the application </w:t>
      </w:r>
      <w:r w:rsidR="006445D7">
        <w:rPr>
          <w:rFonts w:ascii="Arial" w:eastAsia="Calibri" w:hAnsi="Arial" w:cs="Arial"/>
          <w:sz w:val="24"/>
          <w:szCs w:val="24"/>
          <w:lang w:val="en-US"/>
        </w:rPr>
        <w:t xml:space="preserve">is mostly common cause (or not seriously disputed) and </w:t>
      </w:r>
      <w:r w:rsidR="00C063A1">
        <w:rPr>
          <w:rFonts w:ascii="Arial" w:eastAsia="Calibri" w:hAnsi="Arial" w:cs="Arial"/>
          <w:sz w:val="24"/>
          <w:szCs w:val="24"/>
          <w:lang w:val="en-US"/>
        </w:rPr>
        <w:t>can be summarized as follows:</w:t>
      </w:r>
    </w:p>
    <w:p w:rsidR="00050809" w:rsidRDefault="00050809" w:rsidP="006A6BBE">
      <w:pPr>
        <w:spacing w:line="360" w:lineRule="auto"/>
        <w:ind w:left="720" w:hanging="720"/>
        <w:jc w:val="both"/>
        <w:rPr>
          <w:rFonts w:ascii="Arial" w:eastAsia="Calibri" w:hAnsi="Arial" w:cs="Arial"/>
          <w:sz w:val="24"/>
          <w:szCs w:val="24"/>
          <w:lang w:val="en-US"/>
        </w:rPr>
      </w:pPr>
    </w:p>
    <w:p w:rsidR="00DA7693" w:rsidRDefault="008A1B72" w:rsidP="00925DB5">
      <w:pPr>
        <w:spacing w:line="360" w:lineRule="auto"/>
        <w:ind w:left="720" w:hanging="720"/>
        <w:jc w:val="both"/>
        <w:rPr>
          <w:rFonts w:ascii="Arial" w:hAnsi="Arial" w:cs="Arial"/>
          <w:sz w:val="24"/>
        </w:rPr>
      </w:pPr>
      <w:r>
        <w:rPr>
          <w:rFonts w:ascii="Arial" w:eastAsia="Calibri" w:hAnsi="Arial" w:cs="Arial"/>
          <w:sz w:val="24"/>
          <w:szCs w:val="24"/>
          <w:lang w:val="en-US"/>
        </w:rPr>
        <w:t>4.</w:t>
      </w:r>
      <w:r w:rsidR="004A5E9A">
        <w:rPr>
          <w:rFonts w:ascii="Arial" w:eastAsia="Calibri" w:hAnsi="Arial" w:cs="Arial"/>
          <w:sz w:val="24"/>
          <w:szCs w:val="24"/>
          <w:lang w:val="en-US"/>
        </w:rPr>
        <w:t>1</w:t>
      </w:r>
      <w:r w:rsidR="004A5E9A">
        <w:rPr>
          <w:rFonts w:ascii="Arial" w:eastAsia="Calibri" w:hAnsi="Arial" w:cs="Arial"/>
          <w:sz w:val="24"/>
          <w:szCs w:val="24"/>
          <w:lang w:val="en-US"/>
        </w:rPr>
        <w:tab/>
      </w:r>
      <w:r w:rsidR="004E2696">
        <w:rPr>
          <w:rFonts w:ascii="Arial" w:eastAsia="Calibri" w:hAnsi="Arial" w:cs="Arial"/>
          <w:sz w:val="24"/>
          <w:szCs w:val="24"/>
          <w:lang w:val="en-US"/>
        </w:rPr>
        <w:t xml:space="preserve">The </w:t>
      </w:r>
      <w:r w:rsidR="00001AEF">
        <w:rPr>
          <w:rFonts w:ascii="Arial" w:eastAsia="Calibri" w:hAnsi="Arial" w:cs="Arial"/>
          <w:sz w:val="24"/>
          <w:szCs w:val="24"/>
          <w:lang w:val="en-US"/>
        </w:rPr>
        <w:t>NEC3</w:t>
      </w:r>
      <w:r w:rsidR="004E2696">
        <w:rPr>
          <w:rFonts w:ascii="Arial" w:eastAsia="Calibri" w:hAnsi="Arial" w:cs="Arial"/>
          <w:sz w:val="24"/>
          <w:szCs w:val="24"/>
          <w:lang w:val="en-US"/>
        </w:rPr>
        <w:t xml:space="preserve"> incorporated in the contract is</w:t>
      </w:r>
      <w:r w:rsidR="00001AEF">
        <w:rPr>
          <w:rFonts w:ascii="Arial" w:eastAsia="Calibri" w:hAnsi="Arial" w:cs="Arial"/>
          <w:sz w:val="24"/>
          <w:szCs w:val="24"/>
          <w:lang w:val="en-US"/>
        </w:rPr>
        <w:t xml:space="preserve"> </w:t>
      </w:r>
      <w:r w:rsidR="00001AEF" w:rsidRPr="00001AEF">
        <w:rPr>
          <w:rFonts w:ascii="Arial" w:hAnsi="Arial" w:cs="Arial"/>
          <w:sz w:val="24"/>
        </w:rPr>
        <w:t xml:space="preserve">a standard contract used within the construction industry in terms of which parties </w:t>
      </w:r>
      <w:r w:rsidR="00050809">
        <w:rPr>
          <w:rFonts w:ascii="Arial" w:hAnsi="Arial" w:cs="Arial"/>
          <w:sz w:val="24"/>
        </w:rPr>
        <w:t>can select certain clauses to</w:t>
      </w:r>
      <w:r w:rsidR="00001AEF" w:rsidRPr="00001AEF">
        <w:rPr>
          <w:rFonts w:ascii="Arial" w:hAnsi="Arial" w:cs="Arial"/>
          <w:sz w:val="24"/>
        </w:rPr>
        <w:t xml:space="preserve"> govern their rights and obligations</w:t>
      </w:r>
      <w:r w:rsidR="00050809">
        <w:rPr>
          <w:rFonts w:ascii="Arial" w:hAnsi="Arial" w:cs="Arial"/>
          <w:sz w:val="24"/>
        </w:rPr>
        <w:t xml:space="preserve"> </w:t>
      </w:r>
      <w:r w:rsidR="00001AEF" w:rsidRPr="00001AEF">
        <w:rPr>
          <w:rFonts w:ascii="Arial" w:hAnsi="Arial" w:cs="Arial"/>
          <w:sz w:val="24"/>
        </w:rPr>
        <w:t>and regulate the completion of a</w:t>
      </w:r>
      <w:r w:rsidR="004A5E9A">
        <w:rPr>
          <w:rFonts w:ascii="Arial" w:hAnsi="Arial" w:cs="Arial"/>
          <w:sz w:val="24"/>
        </w:rPr>
        <w:t xml:space="preserve"> specific</w:t>
      </w:r>
      <w:r w:rsidR="00001AEF" w:rsidRPr="00001AEF">
        <w:rPr>
          <w:rFonts w:ascii="Arial" w:hAnsi="Arial" w:cs="Arial"/>
          <w:sz w:val="24"/>
        </w:rPr>
        <w:t xml:space="preserve"> project</w:t>
      </w:r>
      <w:r w:rsidR="00001AEF">
        <w:rPr>
          <w:rFonts w:ascii="Arial" w:eastAsia="Calibri" w:hAnsi="Arial" w:cs="Arial"/>
          <w:sz w:val="24"/>
          <w:szCs w:val="24"/>
          <w:lang w:val="en-US"/>
        </w:rPr>
        <w:t>.</w:t>
      </w:r>
      <w:r w:rsidR="006F6201">
        <w:rPr>
          <w:rFonts w:ascii="Arial" w:eastAsia="Calibri" w:hAnsi="Arial" w:cs="Arial"/>
          <w:sz w:val="24"/>
          <w:szCs w:val="24"/>
          <w:lang w:val="en-US"/>
        </w:rPr>
        <w:t xml:space="preserve"> </w:t>
      </w:r>
      <w:r w:rsidR="004A5E9A">
        <w:rPr>
          <w:rFonts w:ascii="Arial" w:hAnsi="Arial" w:cs="Arial"/>
          <w:sz w:val="24"/>
        </w:rPr>
        <w:t>The c</w:t>
      </w:r>
      <w:r w:rsidR="006F6201" w:rsidRPr="006F6201">
        <w:rPr>
          <w:rFonts w:ascii="Arial" w:hAnsi="Arial" w:cs="Arial"/>
          <w:sz w:val="24"/>
        </w:rPr>
        <w:t>ontra</w:t>
      </w:r>
      <w:r w:rsidR="008747A1">
        <w:rPr>
          <w:rFonts w:ascii="Arial" w:hAnsi="Arial" w:cs="Arial"/>
          <w:sz w:val="24"/>
        </w:rPr>
        <w:t xml:space="preserve">ct also envisages the appointment by the employer (the respondent) of a </w:t>
      </w:r>
      <w:r w:rsidR="00050809">
        <w:rPr>
          <w:rFonts w:ascii="Arial" w:hAnsi="Arial" w:cs="Arial"/>
          <w:sz w:val="24"/>
        </w:rPr>
        <w:t>project m</w:t>
      </w:r>
      <w:r w:rsidR="006F6201" w:rsidRPr="006F6201">
        <w:rPr>
          <w:rFonts w:ascii="Arial" w:hAnsi="Arial" w:cs="Arial"/>
          <w:sz w:val="24"/>
        </w:rPr>
        <w:t>anager</w:t>
      </w:r>
      <w:r w:rsidR="00050809">
        <w:rPr>
          <w:rFonts w:ascii="Arial" w:hAnsi="Arial" w:cs="Arial"/>
          <w:sz w:val="24"/>
        </w:rPr>
        <w:t>, with the task</w:t>
      </w:r>
      <w:r w:rsidR="008747A1">
        <w:rPr>
          <w:rFonts w:ascii="Arial" w:hAnsi="Arial" w:cs="Arial"/>
          <w:sz w:val="24"/>
        </w:rPr>
        <w:t xml:space="preserve"> to </w:t>
      </w:r>
      <w:r w:rsidR="006F6201" w:rsidRPr="006F6201">
        <w:rPr>
          <w:rFonts w:ascii="Arial" w:hAnsi="Arial" w:cs="Arial"/>
          <w:sz w:val="24"/>
        </w:rPr>
        <w:t>manage the contract on behalf of the employe</w:t>
      </w:r>
      <w:r w:rsidR="008747A1">
        <w:rPr>
          <w:rFonts w:ascii="Arial" w:hAnsi="Arial" w:cs="Arial"/>
          <w:sz w:val="24"/>
        </w:rPr>
        <w:t xml:space="preserve">r. </w:t>
      </w:r>
      <w:r w:rsidR="00C1223B">
        <w:rPr>
          <w:rFonts w:ascii="Arial" w:hAnsi="Arial" w:cs="Arial"/>
          <w:sz w:val="24"/>
        </w:rPr>
        <w:t xml:space="preserve">Included in the contract </w:t>
      </w:r>
      <w:r w:rsidR="00CB3564">
        <w:rPr>
          <w:rFonts w:ascii="Arial" w:hAnsi="Arial" w:cs="Arial"/>
          <w:sz w:val="24"/>
        </w:rPr>
        <w:t>(</w:t>
      </w:r>
      <w:r w:rsidR="00050809">
        <w:rPr>
          <w:rFonts w:ascii="Arial" w:hAnsi="Arial" w:cs="Arial"/>
          <w:sz w:val="24"/>
        </w:rPr>
        <w:t xml:space="preserve">with the applicable portions </w:t>
      </w:r>
      <w:r w:rsidR="00CB3564">
        <w:rPr>
          <w:rFonts w:ascii="Arial" w:hAnsi="Arial" w:cs="Arial"/>
          <w:sz w:val="24"/>
        </w:rPr>
        <w:t xml:space="preserve">annexed to the applicant’s founding papers) </w:t>
      </w:r>
      <w:r w:rsidR="00C1223B">
        <w:rPr>
          <w:rFonts w:ascii="Arial" w:hAnsi="Arial" w:cs="Arial"/>
          <w:sz w:val="24"/>
        </w:rPr>
        <w:t>is the dispute resolution (Option W.1) agreed upon by the parties.</w:t>
      </w:r>
      <w:r w:rsidR="002946B2">
        <w:rPr>
          <w:rFonts w:ascii="Arial" w:hAnsi="Arial" w:cs="Arial"/>
          <w:sz w:val="24"/>
        </w:rPr>
        <w:t xml:space="preserve"> P</w:t>
      </w:r>
      <w:r w:rsidR="006F6201" w:rsidRPr="006F6201">
        <w:rPr>
          <w:rFonts w:ascii="Arial" w:hAnsi="Arial" w:cs="Arial"/>
          <w:sz w:val="24"/>
        </w:rPr>
        <w:t xml:space="preserve">rovision </w:t>
      </w:r>
      <w:r w:rsidR="00925DB5">
        <w:rPr>
          <w:rFonts w:ascii="Arial" w:hAnsi="Arial" w:cs="Arial"/>
          <w:sz w:val="24"/>
        </w:rPr>
        <w:t xml:space="preserve">is also made in the contract </w:t>
      </w:r>
      <w:r w:rsidR="002946B2">
        <w:rPr>
          <w:rFonts w:ascii="Arial" w:hAnsi="Arial" w:cs="Arial"/>
          <w:sz w:val="24"/>
        </w:rPr>
        <w:t>for what is termed</w:t>
      </w:r>
      <w:r w:rsidR="006F6201" w:rsidRPr="006F6201">
        <w:rPr>
          <w:rFonts w:ascii="Arial" w:hAnsi="Arial" w:cs="Arial"/>
          <w:sz w:val="24"/>
        </w:rPr>
        <w:t xml:space="preserve"> ‘compensation events’</w:t>
      </w:r>
      <w:r w:rsidR="00925DB5">
        <w:rPr>
          <w:rFonts w:ascii="Arial" w:hAnsi="Arial" w:cs="Arial"/>
          <w:sz w:val="24"/>
        </w:rPr>
        <w:t xml:space="preserve"> </w:t>
      </w:r>
      <w:r w:rsidR="00DD1904">
        <w:rPr>
          <w:rFonts w:ascii="Arial" w:hAnsi="Arial" w:cs="Arial"/>
          <w:sz w:val="24"/>
        </w:rPr>
        <w:t>allowing</w:t>
      </w:r>
      <w:r w:rsidR="007802B1">
        <w:rPr>
          <w:rFonts w:ascii="Arial" w:hAnsi="Arial" w:cs="Arial"/>
          <w:sz w:val="24"/>
        </w:rPr>
        <w:t xml:space="preserve"> the contractor </w:t>
      </w:r>
      <w:r w:rsidR="006F6201" w:rsidRPr="006F6201">
        <w:rPr>
          <w:rFonts w:ascii="Arial" w:hAnsi="Arial" w:cs="Arial"/>
          <w:sz w:val="24"/>
        </w:rPr>
        <w:t xml:space="preserve">to claim </w:t>
      </w:r>
      <w:r w:rsidR="004A5E9A" w:rsidRPr="006F6201">
        <w:rPr>
          <w:rFonts w:ascii="Arial" w:hAnsi="Arial" w:cs="Arial"/>
          <w:sz w:val="24"/>
        </w:rPr>
        <w:t>from the employer</w:t>
      </w:r>
      <w:r w:rsidR="004A5E9A">
        <w:rPr>
          <w:rFonts w:ascii="Arial" w:hAnsi="Arial" w:cs="Arial"/>
          <w:sz w:val="24"/>
        </w:rPr>
        <w:t xml:space="preserve"> </w:t>
      </w:r>
      <w:r w:rsidR="006F6201" w:rsidRPr="006F6201">
        <w:rPr>
          <w:rFonts w:ascii="Arial" w:hAnsi="Arial" w:cs="Arial"/>
          <w:sz w:val="24"/>
        </w:rPr>
        <w:t xml:space="preserve">additional payment and extra time to do the work. </w:t>
      </w:r>
    </w:p>
    <w:p w:rsidR="00DD1904" w:rsidRDefault="00DD1904" w:rsidP="00925DB5">
      <w:pPr>
        <w:spacing w:line="360" w:lineRule="auto"/>
        <w:ind w:left="720" w:hanging="720"/>
        <w:jc w:val="both"/>
        <w:rPr>
          <w:rFonts w:ascii="Arial" w:hAnsi="Arial" w:cs="Arial"/>
          <w:sz w:val="24"/>
        </w:rPr>
      </w:pPr>
    </w:p>
    <w:p w:rsidR="006445D7" w:rsidRDefault="00E4121B" w:rsidP="006445D7">
      <w:pPr>
        <w:spacing w:line="360" w:lineRule="auto"/>
        <w:ind w:left="720" w:hanging="720"/>
        <w:jc w:val="both"/>
        <w:rPr>
          <w:rFonts w:ascii="Arial" w:eastAsia="Calibri" w:hAnsi="Arial" w:cs="Arial"/>
          <w:sz w:val="24"/>
          <w:szCs w:val="24"/>
          <w:lang w:val="en-US"/>
        </w:rPr>
      </w:pPr>
      <w:r>
        <w:rPr>
          <w:rFonts w:ascii="Arial" w:hAnsi="Arial" w:cs="Arial"/>
          <w:sz w:val="24"/>
        </w:rPr>
        <w:t>4.2</w:t>
      </w:r>
      <w:r>
        <w:rPr>
          <w:rFonts w:ascii="Arial" w:hAnsi="Arial" w:cs="Arial"/>
          <w:sz w:val="24"/>
        </w:rPr>
        <w:tab/>
      </w:r>
      <w:r w:rsidR="006F6201">
        <w:rPr>
          <w:rFonts w:ascii="Arial" w:hAnsi="Arial" w:cs="Arial"/>
          <w:sz w:val="24"/>
        </w:rPr>
        <w:t>It is not disputed that the applicant cla</w:t>
      </w:r>
      <w:r w:rsidR="00925DB5">
        <w:rPr>
          <w:rFonts w:ascii="Arial" w:hAnsi="Arial" w:cs="Arial"/>
          <w:sz w:val="24"/>
        </w:rPr>
        <w:t>i</w:t>
      </w:r>
      <w:r w:rsidR="006F6201">
        <w:rPr>
          <w:rFonts w:ascii="Arial" w:hAnsi="Arial" w:cs="Arial"/>
          <w:sz w:val="24"/>
        </w:rPr>
        <w:t>med for compensation relating to the national lockdown (Covid-19) during the period March to May 2020, and that the employer’s instruction on 25 March 2020 to cease work was a compensation event enti</w:t>
      </w:r>
      <w:r w:rsidR="001C7077">
        <w:rPr>
          <w:rFonts w:ascii="Arial" w:hAnsi="Arial" w:cs="Arial"/>
          <w:sz w:val="24"/>
        </w:rPr>
        <w:t>tling the applicant to an extens</w:t>
      </w:r>
      <w:r w:rsidR="006F6201">
        <w:rPr>
          <w:rFonts w:ascii="Arial" w:hAnsi="Arial" w:cs="Arial"/>
          <w:sz w:val="24"/>
        </w:rPr>
        <w:t>ion of time and compe</w:t>
      </w:r>
      <w:r w:rsidR="006445D7">
        <w:rPr>
          <w:rFonts w:ascii="Arial" w:hAnsi="Arial" w:cs="Arial"/>
          <w:sz w:val="24"/>
        </w:rPr>
        <w:t xml:space="preserve">nsation. </w:t>
      </w:r>
      <w:r w:rsidR="00CB3564">
        <w:rPr>
          <w:rFonts w:ascii="Arial" w:hAnsi="Arial" w:cs="Arial"/>
          <w:sz w:val="24"/>
        </w:rPr>
        <w:t xml:space="preserve">The matter was referred for adjudication after a </w:t>
      </w:r>
      <w:r w:rsidR="002946B2">
        <w:rPr>
          <w:rFonts w:ascii="Arial" w:hAnsi="Arial" w:cs="Arial"/>
          <w:sz w:val="24"/>
        </w:rPr>
        <w:t>dispute arose between the parties</w:t>
      </w:r>
      <w:r w:rsidR="00CB3564">
        <w:rPr>
          <w:rFonts w:ascii="Arial" w:hAnsi="Arial" w:cs="Arial"/>
          <w:sz w:val="24"/>
        </w:rPr>
        <w:t>.</w:t>
      </w:r>
      <w:r w:rsidR="002946B2">
        <w:rPr>
          <w:rFonts w:ascii="Arial" w:hAnsi="Arial" w:cs="Arial"/>
          <w:sz w:val="24"/>
        </w:rPr>
        <w:t xml:space="preserve"> The parties duly filed their </w:t>
      </w:r>
      <w:r w:rsidR="006445D7">
        <w:rPr>
          <w:rFonts w:ascii="Arial" w:hAnsi="Arial" w:cs="Arial"/>
          <w:sz w:val="24"/>
        </w:rPr>
        <w:t xml:space="preserve">written submissions and the adjudicator handed down his award </w:t>
      </w:r>
      <w:r w:rsidR="006445D7">
        <w:rPr>
          <w:rFonts w:ascii="Arial" w:eastAsia="Calibri" w:hAnsi="Arial" w:cs="Arial"/>
          <w:sz w:val="24"/>
          <w:szCs w:val="24"/>
          <w:lang w:val="en-US"/>
        </w:rPr>
        <w:t>on 7 April 2022.</w:t>
      </w:r>
    </w:p>
    <w:p w:rsidR="00597698" w:rsidRDefault="00597698" w:rsidP="00597698">
      <w:pPr>
        <w:spacing w:line="360" w:lineRule="auto"/>
        <w:jc w:val="both"/>
        <w:rPr>
          <w:rFonts w:ascii="Arial" w:eastAsia="Calibri" w:hAnsi="Arial" w:cs="Arial"/>
          <w:sz w:val="24"/>
          <w:szCs w:val="24"/>
          <w:lang w:val="en-US"/>
        </w:rPr>
      </w:pPr>
    </w:p>
    <w:p w:rsidR="004E2696" w:rsidRDefault="006445D7" w:rsidP="00597698">
      <w:pPr>
        <w:spacing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lastRenderedPageBreak/>
        <w:t>4.</w:t>
      </w:r>
      <w:r w:rsidR="00DD1904">
        <w:rPr>
          <w:rFonts w:ascii="Arial" w:eastAsia="Calibri" w:hAnsi="Arial" w:cs="Arial"/>
          <w:sz w:val="24"/>
          <w:szCs w:val="24"/>
          <w:lang w:val="en-US"/>
        </w:rPr>
        <w:t>3</w:t>
      </w:r>
      <w:r w:rsidR="00DD1904">
        <w:rPr>
          <w:rFonts w:ascii="Arial" w:eastAsia="Calibri" w:hAnsi="Arial" w:cs="Arial"/>
          <w:sz w:val="24"/>
          <w:szCs w:val="24"/>
          <w:lang w:val="en-US"/>
        </w:rPr>
        <w:tab/>
        <w:t xml:space="preserve">Pursuant to the award a trial of </w:t>
      </w:r>
      <w:r w:rsidR="00E4121B">
        <w:rPr>
          <w:rFonts w:ascii="Arial" w:eastAsia="Calibri" w:hAnsi="Arial" w:cs="Arial"/>
          <w:sz w:val="24"/>
          <w:szCs w:val="24"/>
          <w:lang w:val="en-US"/>
        </w:rPr>
        <w:t>corres</w:t>
      </w:r>
      <w:r w:rsidR="00DD1904">
        <w:rPr>
          <w:rFonts w:ascii="Arial" w:eastAsia="Calibri" w:hAnsi="Arial" w:cs="Arial"/>
          <w:sz w:val="24"/>
          <w:szCs w:val="24"/>
          <w:lang w:val="en-US"/>
        </w:rPr>
        <w:t>pondence</w:t>
      </w:r>
      <w:r w:rsidR="00E4121B">
        <w:rPr>
          <w:rFonts w:ascii="Arial" w:eastAsia="Calibri" w:hAnsi="Arial" w:cs="Arial"/>
          <w:sz w:val="24"/>
          <w:szCs w:val="24"/>
          <w:lang w:val="en-US"/>
        </w:rPr>
        <w:t xml:space="preserve"> ensued between the par</w:t>
      </w:r>
      <w:r>
        <w:rPr>
          <w:rFonts w:ascii="Arial" w:eastAsia="Calibri" w:hAnsi="Arial" w:cs="Arial"/>
          <w:sz w:val="24"/>
          <w:szCs w:val="24"/>
          <w:lang w:val="en-US"/>
        </w:rPr>
        <w:t>ties.</w:t>
      </w:r>
      <w:r w:rsidR="00113860">
        <w:rPr>
          <w:rFonts w:ascii="Arial" w:eastAsia="Calibri" w:hAnsi="Arial" w:cs="Arial"/>
          <w:sz w:val="24"/>
          <w:szCs w:val="24"/>
          <w:lang w:val="en-US"/>
        </w:rPr>
        <w:t xml:space="preserve"> I do not deem it necessary to comprehensively deal with the precise content of these electronic mails as the content thereof </w:t>
      </w:r>
      <w:r w:rsidR="00597698">
        <w:rPr>
          <w:rFonts w:ascii="Arial" w:eastAsia="Calibri" w:hAnsi="Arial" w:cs="Arial"/>
          <w:sz w:val="24"/>
          <w:szCs w:val="24"/>
          <w:lang w:val="en-US"/>
        </w:rPr>
        <w:t>is not in dispute</w:t>
      </w:r>
      <w:r w:rsidR="00113860">
        <w:rPr>
          <w:rFonts w:ascii="Arial" w:eastAsia="Calibri" w:hAnsi="Arial" w:cs="Arial"/>
          <w:sz w:val="24"/>
          <w:szCs w:val="24"/>
          <w:lang w:val="en-US"/>
        </w:rPr>
        <w:t xml:space="preserve">. </w:t>
      </w:r>
    </w:p>
    <w:p w:rsidR="00CB3564" w:rsidRDefault="00CB3564" w:rsidP="00597698">
      <w:pPr>
        <w:spacing w:line="360" w:lineRule="auto"/>
        <w:ind w:left="720" w:hanging="720"/>
        <w:jc w:val="both"/>
        <w:rPr>
          <w:rFonts w:ascii="Arial" w:eastAsia="Calibri" w:hAnsi="Arial" w:cs="Arial"/>
          <w:sz w:val="24"/>
          <w:szCs w:val="24"/>
          <w:lang w:val="en-US"/>
        </w:rPr>
      </w:pPr>
    </w:p>
    <w:p w:rsidR="00ED1100" w:rsidRDefault="004E2696" w:rsidP="00597698">
      <w:pPr>
        <w:spacing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4.3.1</w:t>
      </w:r>
      <w:r>
        <w:rPr>
          <w:rFonts w:ascii="Arial" w:eastAsia="Calibri" w:hAnsi="Arial" w:cs="Arial"/>
          <w:sz w:val="24"/>
          <w:szCs w:val="24"/>
          <w:lang w:val="en-US"/>
        </w:rPr>
        <w:tab/>
      </w:r>
      <w:r w:rsidR="00113860">
        <w:rPr>
          <w:rFonts w:ascii="Arial" w:eastAsia="Calibri" w:hAnsi="Arial" w:cs="Arial"/>
          <w:sz w:val="24"/>
          <w:szCs w:val="24"/>
          <w:lang w:val="en-US"/>
        </w:rPr>
        <w:t>It suffices to say that the applicant claimed payment from the respondent in the amo</w:t>
      </w:r>
      <w:r w:rsidR="00597698">
        <w:rPr>
          <w:rFonts w:ascii="Arial" w:eastAsia="Calibri" w:hAnsi="Arial" w:cs="Arial"/>
          <w:sz w:val="24"/>
          <w:szCs w:val="24"/>
          <w:lang w:val="en-US"/>
        </w:rPr>
        <w:t xml:space="preserve">unt </w:t>
      </w:r>
      <w:r w:rsidR="00113860">
        <w:rPr>
          <w:rFonts w:ascii="Arial" w:eastAsia="Calibri" w:hAnsi="Arial" w:cs="Arial"/>
          <w:sz w:val="24"/>
          <w:szCs w:val="24"/>
          <w:lang w:val="en-US"/>
        </w:rPr>
        <w:t>of R 8 708 861,64 on 13 April 2013.</w:t>
      </w:r>
      <w:r w:rsidR="00E4121B">
        <w:rPr>
          <w:rFonts w:ascii="Arial" w:eastAsia="Calibri" w:hAnsi="Arial" w:cs="Arial"/>
          <w:sz w:val="24"/>
          <w:szCs w:val="24"/>
          <w:lang w:val="en-US"/>
        </w:rPr>
        <w:t xml:space="preserve"> The respondent </w:t>
      </w:r>
      <w:r w:rsidR="00DD1904">
        <w:rPr>
          <w:rFonts w:ascii="Arial" w:eastAsia="Calibri" w:hAnsi="Arial" w:cs="Arial"/>
          <w:sz w:val="24"/>
          <w:szCs w:val="24"/>
          <w:lang w:val="en-US"/>
        </w:rPr>
        <w:t xml:space="preserve">(as represented by Mr M Monyane) </w:t>
      </w:r>
      <w:r w:rsidR="00E4121B">
        <w:rPr>
          <w:rFonts w:ascii="Arial" w:eastAsia="Calibri" w:hAnsi="Arial" w:cs="Arial"/>
          <w:sz w:val="24"/>
          <w:szCs w:val="24"/>
          <w:lang w:val="en-US"/>
        </w:rPr>
        <w:t>on even date replied</w:t>
      </w:r>
      <w:r w:rsidR="006445D7">
        <w:rPr>
          <w:rFonts w:ascii="Arial" w:eastAsia="Calibri" w:hAnsi="Arial" w:cs="Arial"/>
          <w:sz w:val="24"/>
          <w:szCs w:val="24"/>
          <w:lang w:val="en-US"/>
        </w:rPr>
        <w:t xml:space="preserve"> that it wished to advise the applicant that “</w:t>
      </w:r>
      <w:r w:rsidR="006445D7" w:rsidRPr="00DD1904">
        <w:rPr>
          <w:rFonts w:ascii="Arial" w:eastAsia="Calibri" w:hAnsi="Arial" w:cs="Arial"/>
          <w:lang w:val="en-US"/>
        </w:rPr>
        <w:t>it is our instructions to approach the tribunal to challenge the decision of the Adjudicator</w:t>
      </w:r>
      <w:r w:rsidR="006445D7">
        <w:rPr>
          <w:rFonts w:ascii="Arial" w:eastAsia="Calibri" w:hAnsi="Arial" w:cs="Arial"/>
          <w:sz w:val="24"/>
          <w:szCs w:val="24"/>
          <w:lang w:val="en-US"/>
        </w:rPr>
        <w:t>”</w:t>
      </w:r>
      <w:r w:rsidR="00113860">
        <w:rPr>
          <w:rFonts w:ascii="Arial" w:eastAsia="Calibri" w:hAnsi="Arial" w:cs="Arial"/>
          <w:sz w:val="24"/>
          <w:szCs w:val="24"/>
          <w:lang w:val="en-US"/>
        </w:rPr>
        <w:t xml:space="preserve"> and </w:t>
      </w:r>
      <w:r w:rsidR="00ED1100">
        <w:rPr>
          <w:rFonts w:ascii="Arial" w:eastAsia="Calibri" w:hAnsi="Arial" w:cs="Arial"/>
          <w:sz w:val="24"/>
          <w:szCs w:val="24"/>
          <w:lang w:val="en-US"/>
        </w:rPr>
        <w:t>“</w:t>
      </w:r>
      <w:r w:rsidR="00DD1904">
        <w:rPr>
          <w:rFonts w:ascii="Arial" w:eastAsia="Calibri" w:hAnsi="Arial" w:cs="Arial"/>
          <w:lang w:val="en-US"/>
        </w:rPr>
        <w:t>…</w:t>
      </w:r>
      <w:r w:rsidR="00113860" w:rsidRPr="00DD1904">
        <w:rPr>
          <w:rFonts w:ascii="Arial" w:eastAsia="Calibri" w:hAnsi="Arial" w:cs="Arial"/>
          <w:lang w:val="en-US"/>
        </w:rPr>
        <w:t>has four weeks to do so</w:t>
      </w:r>
      <w:r w:rsidR="00113860">
        <w:rPr>
          <w:rFonts w:ascii="Arial" w:eastAsia="Calibri" w:hAnsi="Arial" w:cs="Arial"/>
          <w:sz w:val="24"/>
          <w:szCs w:val="24"/>
          <w:lang w:val="en-US"/>
        </w:rPr>
        <w:t xml:space="preserve">.” </w:t>
      </w:r>
      <w:r w:rsidR="00DD1904">
        <w:rPr>
          <w:rFonts w:ascii="Arial" w:eastAsia="Calibri" w:hAnsi="Arial" w:cs="Arial"/>
          <w:sz w:val="24"/>
          <w:szCs w:val="24"/>
          <w:lang w:val="en-US"/>
        </w:rPr>
        <w:t>In a further response Mr Monyane replied:</w:t>
      </w:r>
    </w:p>
    <w:p w:rsidR="00730371" w:rsidRPr="00ED1100" w:rsidRDefault="00ED1100" w:rsidP="00ED1100">
      <w:pPr>
        <w:spacing w:line="360" w:lineRule="auto"/>
        <w:ind w:left="1440"/>
        <w:jc w:val="both"/>
        <w:rPr>
          <w:rFonts w:ascii="Arial" w:eastAsia="Calibri" w:hAnsi="Arial" w:cs="Arial"/>
          <w:lang w:val="en-US"/>
        </w:rPr>
      </w:pPr>
      <w:r>
        <w:rPr>
          <w:rFonts w:ascii="Arial" w:eastAsia="Calibri" w:hAnsi="Arial" w:cs="Arial"/>
          <w:lang w:val="en-US"/>
        </w:rPr>
        <w:t xml:space="preserve">“Yes </w:t>
      </w:r>
      <w:r w:rsidR="00113860" w:rsidRPr="00ED1100">
        <w:rPr>
          <w:rFonts w:ascii="Arial" w:eastAsia="Calibri" w:hAnsi="Arial" w:cs="Arial"/>
          <w:lang w:val="en-US"/>
        </w:rPr>
        <w:t>the decision of the adjudicator is binding and must thus be referred to Tribunal</w:t>
      </w:r>
      <w:r>
        <w:rPr>
          <w:rFonts w:ascii="Arial" w:eastAsia="Calibri" w:hAnsi="Arial" w:cs="Arial"/>
          <w:lang w:val="en-US"/>
        </w:rPr>
        <w:t xml:space="preserve"> if there is dissatisfaction.</w:t>
      </w:r>
    </w:p>
    <w:p w:rsidR="00ED1100" w:rsidRDefault="00730371" w:rsidP="00ED1100">
      <w:pPr>
        <w:spacing w:line="360" w:lineRule="auto"/>
        <w:ind w:left="1440"/>
        <w:jc w:val="both"/>
        <w:rPr>
          <w:rFonts w:ascii="Arial" w:eastAsia="Calibri" w:hAnsi="Arial" w:cs="Arial"/>
          <w:lang w:val="en-US"/>
        </w:rPr>
      </w:pPr>
      <w:r w:rsidRPr="00ED1100">
        <w:rPr>
          <w:rFonts w:ascii="Arial" w:eastAsia="Calibri" w:hAnsi="Arial" w:cs="Arial"/>
          <w:lang w:val="en-US"/>
        </w:rPr>
        <w:t>B</w:t>
      </w:r>
      <w:r w:rsidR="00113860" w:rsidRPr="00ED1100">
        <w:rPr>
          <w:rFonts w:ascii="Arial" w:eastAsia="Calibri" w:hAnsi="Arial" w:cs="Arial"/>
          <w:lang w:val="en-US"/>
        </w:rPr>
        <w:t>y taking a decision to refer it to Tribunal suspend (</w:t>
      </w:r>
      <w:r w:rsidR="00113860" w:rsidRPr="00ED1100">
        <w:rPr>
          <w:rFonts w:ascii="Arial" w:eastAsia="Calibri" w:hAnsi="Arial" w:cs="Arial"/>
          <w:i/>
          <w:lang w:val="en-US"/>
        </w:rPr>
        <w:t xml:space="preserve">sic) </w:t>
      </w:r>
      <w:r w:rsidR="00113860" w:rsidRPr="00ED1100">
        <w:rPr>
          <w:rFonts w:ascii="Arial" w:eastAsia="Calibri" w:hAnsi="Arial" w:cs="Arial"/>
          <w:lang w:val="en-US"/>
        </w:rPr>
        <w:t>the payment until final decision is arrived at.</w:t>
      </w:r>
      <w:r w:rsidRPr="00ED1100">
        <w:rPr>
          <w:rFonts w:ascii="Arial" w:eastAsia="Calibri" w:hAnsi="Arial" w:cs="Arial"/>
          <w:lang w:val="en-US"/>
        </w:rPr>
        <w:t xml:space="preserve"> </w:t>
      </w:r>
    </w:p>
    <w:p w:rsidR="00ED1100" w:rsidRDefault="00730371" w:rsidP="00ED1100">
      <w:pPr>
        <w:spacing w:line="360" w:lineRule="auto"/>
        <w:ind w:left="1440"/>
        <w:jc w:val="both"/>
        <w:rPr>
          <w:rFonts w:ascii="Arial" w:eastAsia="Calibri" w:hAnsi="Arial" w:cs="Arial"/>
          <w:lang w:val="en-US"/>
        </w:rPr>
      </w:pPr>
      <w:r w:rsidRPr="00ED1100">
        <w:rPr>
          <w:rFonts w:ascii="Arial" w:eastAsia="Calibri" w:hAnsi="Arial" w:cs="Arial"/>
          <w:lang w:val="en-US"/>
        </w:rPr>
        <w:t xml:space="preserve">For </w:t>
      </w:r>
      <w:r w:rsidR="00E175B7" w:rsidRPr="00ED1100">
        <w:rPr>
          <w:rFonts w:ascii="Arial" w:eastAsia="Calibri" w:hAnsi="Arial" w:cs="Arial"/>
          <w:lang w:val="en-US"/>
        </w:rPr>
        <w:t>now,</w:t>
      </w:r>
      <w:r w:rsidRPr="00ED1100">
        <w:rPr>
          <w:rFonts w:ascii="Arial" w:eastAsia="Calibri" w:hAnsi="Arial" w:cs="Arial"/>
          <w:lang w:val="en-US"/>
        </w:rPr>
        <w:t xml:space="preserve"> there is no willingness on our part to pay any amount except the one already paid to your client. </w:t>
      </w:r>
      <w:r w:rsidR="00ED1100">
        <w:rPr>
          <w:rFonts w:ascii="Arial" w:eastAsia="Calibri" w:hAnsi="Arial" w:cs="Arial"/>
          <w:lang w:val="en-US"/>
        </w:rPr>
        <w:tab/>
      </w:r>
    </w:p>
    <w:p w:rsidR="00C063A1" w:rsidRPr="00ED1100" w:rsidRDefault="00730371" w:rsidP="00ED1100">
      <w:pPr>
        <w:spacing w:line="360" w:lineRule="auto"/>
        <w:ind w:left="720" w:firstLine="720"/>
        <w:jc w:val="both"/>
        <w:rPr>
          <w:rFonts w:ascii="Arial" w:eastAsia="Calibri" w:hAnsi="Arial" w:cs="Arial"/>
          <w:lang w:val="en-US"/>
        </w:rPr>
      </w:pPr>
      <w:r w:rsidRPr="00ED1100">
        <w:rPr>
          <w:rFonts w:ascii="Arial" w:eastAsia="Calibri" w:hAnsi="Arial" w:cs="Arial"/>
          <w:lang w:val="en-US"/>
        </w:rPr>
        <w:t>We will wait for the Tribunal decision.</w:t>
      </w:r>
      <w:r w:rsidR="00ED1100">
        <w:rPr>
          <w:rFonts w:ascii="Arial" w:eastAsia="Calibri" w:hAnsi="Arial" w:cs="Arial"/>
          <w:lang w:val="en-US"/>
        </w:rPr>
        <w:t>”</w:t>
      </w:r>
    </w:p>
    <w:p w:rsidR="00730371" w:rsidRPr="00E175B7" w:rsidRDefault="004E2696" w:rsidP="00682531">
      <w:pPr>
        <w:spacing w:line="360" w:lineRule="auto"/>
        <w:ind w:left="709" w:hanging="709"/>
        <w:jc w:val="both"/>
        <w:rPr>
          <w:rFonts w:ascii="Arial" w:hAnsi="Arial" w:cs="Arial"/>
          <w:sz w:val="24"/>
          <w:szCs w:val="24"/>
        </w:rPr>
      </w:pPr>
      <w:r>
        <w:rPr>
          <w:rFonts w:ascii="Arial" w:eastAsia="Calibri" w:hAnsi="Arial" w:cs="Arial"/>
          <w:sz w:val="24"/>
          <w:szCs w:val="24"/>
          <w:lang w:val="en-US"/>
        </w:rPr>
        <w:t>4.3.2</w:t>
      </w:r>
      <w:r>
        <w:rPr>
          <w:rFonts w:ascii="Arial" w:eastAsia="Calibri" w:hAnsi="Arial" w:cs="Arial"/>
          <w:sz w:val="24"/>
          <w:szCs w:val="24"/>
          <w:lang w:val="en-US"/>
        </w:rPr>
        <w:tab/>
      </w:r>
      <w:r w:rsidR="00730371">
        <w:rPr>
          <w:rFonts w:ascii="Arial" w:eastAsia="Calibri" w:hAnsi="Arial" w:cs="Arial"/>
          <w:sz w:val="24"/>
          <w:szCs w:val="24"/>
          <w:lang w:val="en-US"/>
        </w:rPr>
        <w:t>T</w:t>
      </w:r>
      <w:r>
        <w:rPr>
          <w:rFonts w:ascii="Arial" w:eastAsia="Calibri" w:hAnsi="Arial" w:cs="Arial"/>
          <w:sz w:val="24"/>
          <w:szCs w:val="24"/>
          <w:lang w:val="en-US"/>
        </w:rPr>
        <w:t>he applicant’s attorneys of record responded by stating that referring the de</w:t>
      </w:r>
      <w:r w:rsidR="00730371">
        <w:rPr>
          <w:rFonts w:ascii="Arial" w:eastAsia="Calibri" w:hAnsi="Arial" w:cs="Arial"/>
          <w:sz w:val="24"/>
          <w:szCs w:val="24"/>
          <w:lang w:val="en-US"/>
        </w:rPr>
        <w:t>cision to the tribunal does not suspend payment and pointed M</w:t>
      </w:r>
      <w:r>
        <w:rPr>
          <w:rFonts w:ascii="Arial" w:eastAsia="Calibri" w:hAnsi="Arial" w:cs="Arial"/>
          <w:sz w:val="24"/>
          <w:szCs w:val="24"/>
          <w:lang w:val="en-US"/>
        </w:rPr>
        <w:t>r M</w:t>
      </w:r>
      <w:r w:rsidR="00730371">
        <w:rPr>
          <w:rFonts w:ascii="Arial" w:eastAsia="Calibri" w:hAnsi="Arial" w:cs="Arial"/>
          <w:sz w:val="24"/>
          <w:szCs w:val="24"/>
          <w:lang w:val="en-US"/>
        </w:rPr>
        <w:t xml:space="preserve">onyane to Option W.1.3 (10) of the contract. On 5 May 2022 the respondent addressed </w:t>
      </w:r>
      <w:r w:rsidR="00730371" w:rsidRPr="00E175B7">
        <w:rPr>
          <w:rFonts w:ascii="Arial" w:eastAsia="Calibri" w:hAnsi="Arial" w:cs="Arial"/>
          <w:sz w:val="24"/>
          <w:szCs w:val="24"/>
          <w:lang w:val="en-US"/>
        </w:rPr>
        <w:t xml:space="preserve">an email to the attorneys of the applicant and the adjudicator that it </w:t>
      </w:r>
      <w:r w:rsidR="00730371" w:rsidRPr="00AC6D1A">
        <w:rPr>
          <w:rFonts w:ascii="Arial" w:eastAsia="Calibri" w:hAnsi="Arial" w:cs="Arial"/>
          <w:sz w:val="24"/>
          <w:szCs w:val="24"/>
          <w:lang w:val="en-US"/>
        </w:rPr>
        <w:t>“notify”</w:t>
      </w:r>
      <w:r w:rsidR="00730371" w:rsidRPr="00AC6D1A">
        <w:rPr>
          <w:rFonts w:ascii="Arial" w:eastAsia="Calibri" w:hAnsi="Arial" w:cs="Arial"/>
          <w:lang w:val="en-US"/>
        </w:rPr>
        <w:t xml:space="preserve"> the </w:t>
      </w:r>
      <w:r w:rsidR="00730371" w:rsidRPr="00AC6D1A">
        <w:rPr>
          <w:rFonts w:ascii="Arial" w:eastAsia="Calibri" w:hAnsi="Arial" w:cs="Arial"/>
          <w:sz w:val="24"/>
          <w:szCs w:val="24"/>
          <w:lang w:val="en-US"/>
        </w:rPr>
        <w:t>applicant and the adjudicator</w:t>
      </w:r>
      <w:r w:rsidR="00AC6D1A">
        <w:rPr>
          <w:rFonts w:ascii="Arial" w:eastAsia="Calibri" w:hAnsi="Arial" w:cs="Arial"/>
          <w:lang w:val="en-US"/>
        </w:rPr>
        <w:t xml:space="preserve"> </w:t>
      </w:r>
      <w:r w:rsidR="00AC6D1A">
        <w:rPr>
          <w:rFonts w:ascii="Arial" w:eastAsia="Calibri" w:hAnsi="Arial" w:cs="Arial"/>
          <w:sz w:val="24"/>
          <w:szCs w:val="24"/>
          <w:lang w:val="en-US"/>
        </w:rPr>
        <w:t>of its “…i</w:t>
      </w:r>
      <w:r w:rsidR="00730371" w:rsidRPr="00AC6D1A">
        <w:rPr>
          <w:rFonts w:ascii="Arial" w:eastAsia="Calibri" w:hAnsi="Arial" w:cs="Arial"/>
          <w:lang w:val="en-US"/>
        </w:rPr>
        <w:t>ntention to refer the matter for arbitration as it is not satisfied about the Ruling made on the 5</w:t>
      </w:r>
      <w:r w:rsidR="00730371" w:rsidRPr="00AC6D1A">
        <w:rPr>
          <w:rFonts w:ascii="Arial" w:eastAsia="Calibri" w:hAnsi="Arial" w:cs="Arial"/>
          <w:vertAlign w:val="superscript"/>
          <w:lang w:val="en-US"/>
        </w:rPr>
        <w:t xml:space="preserve">th </w:t>
      </w:r>
      <w:r w:rsidR="00730371" w:rsidRPr="00AC6D1A">
        <w:rPr>
          <w:rFonts w:ascii="Arial" w:hAnsi="Arial" w:cs="Arial"/>
        </w:rPr>
        <w:t>April 2022</w:t>
      </w:r>
      <w:r w:rsidR="00730371" w:rsidRPr="00E175B7">
        <w:rPr>
          <w:rFonts w:ascii="Arial" w:hAnsi="Arial" w:cs="Arial"/>
          <w:sz w:val="24"/>
          <w:szCs w:val="24"/>
        </w:rPr>
        <w:t>.”</w:t>
      </w:r>
    </w:p>
    <w:p w:rsidR="00C15FF4" w:rsidRPr="004E2696" w:rsidRDefault="00C15FF4" w:rsidP="00730371">
      <w:pPr>
        <w:spacing w:line="360" w:lineRule="auto"/>
        <w:ind w:left="720"/>
        <w:jc w:val="both"/>
        <w:rPr>
          <w:rFonts w:ascii="Arial" w:hAnsi="Arial" w:cs="Arial"/>
        </w:rPr>
      </w:pPr>
    </w:p>
    <w:p w:rsidR="00D83368" w:rsidRPr="00001AEF" w:rsidRDefault="00D83368" w:rsidP="006A6BBE">
      <w:pPr>
        <w:spacing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4.4</w:t>
      </w:r>
      <w:r w:rsidR="00730371">
        <w:rPr>
          <w:rFonts w:ascii="Arial" w:eastAsia="Calibri" w:hAnsi="Arial" w:cs="Arial"/>
          <w:sz w:val="24"/>
          <w:szCs w:val="24"/>
          <w:lang w:val="en-US"/>
        </w:rPr>
        <w:tab/>
        <w:t>The applicant hereafter launched this application to</w:t>
      </w:r>
      <w:r w:rsidR="00ED1100">
        <w:rPr>
          <w:rFonts w:ascii="Arial" w:eastAsia="Calibri" w:hAnsi="Arial" w:cs="Arial"/>
          <w:sz w:val="24"/>
          <w:szCs w:val="24"/>
          <w:lang w:val="en-US"/>
        </w:rPr>
        <w:t xml:space="preserve"> </w:t>
      </w:r>
      <w:r w:rsidR="0050706E">
        <w:rPr>
          <w:rFonts w:ascii="Arial" w:eastAsia="Calibri" w:hAnsi="Arial" w:cs="Arial"/>
          <w:sz w:val="24"/>
          <w:szCs w:val="24"/>
          <w:lang w:val="en-US"/>
        </w:rPr>
        <w:t xml:space="preserve">have the adjudicator’s award </w:t>
      </w:r>
      <w:r w:rsidR="0084628C">
        <w:rPr>
          <w:rFonts w:ascii="Arial" w:eastAsia="Calibri" w:hAnsi="Arial" w:cs="Arial"/>
          <w:sz w:val="24"/>
          <w:szCs w:val="24"/>
          <w:lang w:val="en-US"/>
        </w:rPr>
        <w:t>enforced.</w:t>
      </w:r>
    </w:p>
    <w:p w:rsidR="00C063A1" w:rsidRDefault="00C063A1" w:rsidP="006A6BBE">
      <w:pPr>
        <w:spacing w:line="360" w:lineRule="auto"/>
        <w:ind w:left="720" w:hanging="720"/>
        <w:jc w:val="both"/>
        <w:rPr>
          <w:rFonts w:ascii="Arial" w:eastAsia="Calibri" w:hAnsi="Arial" w:cs="Arial"/>
          <w:sz w:val="24"/>
          <w:szCs w:val="24"/>
          <w:lang w:val="en-US"/>
        </w:rPr>
      </w:pPr>
    </w:p>
    <w:p w:rsidR="006A6BBE" w:rsidRPr="006A6BBE" w:rsidRDefault="00D83368" w:rsidP="008F6135">
      <w:pPr>
        <w:spacing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[5</w:t>
      </w:r>
      <w:r w:rsidR="004A3B52">
        <w:rPr>
          <w:rFonts w:ascii="Arial" w:eastAsia="Calibri" w:hAnsi="Arial" w:cs="Arial"/>
          <w:sz w:val="24"/>
          <w:szCs w:val="24"/>
          <w:lang w:val="en-US"/>
        </w:rPr>
        <w:t>]</w:t>
      </w:r>
      <w:r w:rsidR="004A3B52">
        <w:rPr>
          <w:rFonts w:ascii="Arial" w:eastAsia="Calibri" w:hAnsi="Arial" w:cs="Arial"/>
          <w:sz w:val="24"/>
          <w:szCs w:val="24"/>
          <w:lang w:val="en-US"/>
        </w:rPr>
        <w:tab/>
      </w:r>
      <w:r w:rsidR="00AC6D1A">
        <w:rPr>
          <w:rFonts w:ascii="Arial" w:eastAsia="Calibri" w:hAnsi="Arial" w:cs="Arial"/>
          <w:sz w:val="24"/>
          <w:szCs w:val="24"/>
          <w:lang w:val="en-US"/>
        </w:rPr>
        <w:t xml:space="preserve">The applicability of the </w:t>
      </w:r>
      <w:r w:rsidR="006A6BBE" w:rsidRPr="006A6BBE">
        <w:rPr>
          <w:rFonts w:ascii="Arial" w:eastAsia="Calibri" w:hAnsi="Arial" w:cs="Arial"/>
          <w:sz w:val="24"/>
          <w:szCs w:val="24"/>
          <w:lang w:val="en-US"/>
        </w:rPr>
        <w:t>dispute resolution provisions of the contract (NEC</w:t>
      </w:r>
      <w:r w:rsidR="00C1223B">
        <w:rPr>
          <w:rFonts w:ascii="Arial" w:eastAsia="Calibri" w:hAnsi="Arial" w:cs="Arial"/>
          <w:sz w:val="24"/>
          <w:szCs w:val="24"/>
          <w:lang w:val="en-US"/>
        </w:rPr>
        <w:t>3</w:t>
      </w:r>
      <w:r w:rsidR="008F6135">
        <w:rPr>
          <w:rFonts w:ascii="Arial" w:eastAsia="Calibri" w:hAnsi="Arial" w:cs="Arial"/>
          <w:sz w:val="24"/>
          <w:szCs w:val="24"/>
          <w:lang w:val="en-US"/>
        </w:rPr>
        <w:t xml:space="preserve">) </w:t>
      </w:r>
      <w:r w:rsidR="00C1223B">
        <w:rPr>
          <w:rFonts w:ascii="Arial" w:eastAsia="Calibri" w:hAnsi="Arial" w:cs="Arial"/>
          <w:sz w:val="24"/>
          <w:szCs w:val="24"/>
          <w:lang w:val="en-US"/>
        </w:rPr>
        <w:t>that governs</w:t>
      </w:r>
      <w:r w:rsidR="006A6BBE" w:rsidRPr="006A6BBE">
        <w:rPr>
          <w:rFonts w:ascii="Arial" w:eastAsia="Calibri" w:hAnsi="Arial" w:cs="Arial"/>
          <w:sz w:val="24"/>
          <w:szCs w:val="24"/>
          <w:lang w:val="en-US"/>
        </w:rPr>
        <w:t xml:space="preserve"> the relationship between the parties</w:t>
      </w:r>
      <w:r w:rsidR="00AC6D1A">
        <w:rPr>
          <w:rFonts w:ascii="Arial" w:eastAsia="Calibri" w:hAnsi="Arial" w:cs="Arial"/>
          <w:sz w:val="24"/>
          <w:szCs w:val="24"/>
          <w:lang w:val="en-US"/>
        </w:rPr>
        <w:t xml:space="preserve"> is not in dispute.</w:t>
      </w:r>
      <w:r w:rsidR="00F76F22">
        <w:rPr>
          <w:rFonts w:ascii="Arial" w:eastAsia="Calibri" w:hAnsi="Arial" w:cs="Arial"/>
          <w:sz w:val="24"/>
          <w:szCs w:val="24"/>
          <w:lang w:val="en-US"/>
        </w:rPr>
        <w:t xml:space="preserve"> </w:t>
      </w:r>
      <w:r w:rsidR="003B0055">
        <w:rPr>
          <w:rFonts w:ascii="Arial" w:eastAsia="Calibri" w:hAnsi="Arial" w:cs="Arial"/>
          <w:sz w:val="24"/>
          <w:szCs w:val="24"/>
          <w:lang w:val="en-US"/>
        </w:rPr>
        <w:t xml:space="preserve">The </w:t>
      </w:r>
      <w:r w:rsidR="004E2696">
        <w:rPr>
          <w:rFonts w:ascii="Arial" w:eastAsia="Calibri" w:hAnsi="Arial" w:cs="Arial"/>
          <w:sz w:val="24"/>
          <w:szCs w:val="24"/>
          <w:lang w:val="en-US"/>
        </w:rPr>
        <w:t xml:space="preserve">main </w:t>
      </w:r>
      <w:r w:rsidR="00F76F22">
        <w:rPr>
          <w:rFonts w:ascii="Arial" w:eastAsia="Calibri" w:hAnsi="Arial" w:cs="Arial"/>
          <w:sz w:val="24"/>
          <w:szCs w:val="24"/>
          <w:lang w:val="en-US"/>
        </w:rPr>
        <w:t xml:space="preserve">bone </w:t>
      </w:r>
      <w:r w:rsidR="00F76F22">
        <w:rPr>
          <w:rFonts w:ascii="Arial" w:eastAsia="Calibri" w:hAnsi="Arial" w:cs="Arial"/>
          <w:sz w:val="24"/>
          <w:szCs w:val="24"/>
          <w:lang w:val="en-US"/>
        </w:rPr>
        <w:lastRenderedPageBreak/>
        <w:t xml:space="preserve">of contention between the parties </w:t>
      </w:r>
      <w:r w:rsidR="00AC6D1A">
        <w:rPr>
          <w:rFonts w:ascii="Arial" w:eastAsia="Calibri" w:hAnsi="Arial" w:cs="Arial"/>
          <w:sz w:val="24"/>
          <w:szCs w:val="24"/>
          <w:lang w:val="en-US"/>
        </w:rPr>
        <w:t>relates to the</w:t>
      </w:r>
      <w:r w:rsidR="008F6135">
        <w:rPr>
          <w:rFonts w:ascii="Arial" w:eastAsia="Calibri" w:hAnsi="Arial" w:cs="Arial"/>
          <w:sz w:val="24"/>
          <w:szCs w:val="24"/>
          <w:lang w:val="en-US"/>
        </w:rPr>
        <w:t xml:space="preserve"> aforementioned</w:t>
      </w:r>
      <w:r w:rsidR="003B0055">
        <w:rPr>
          <w:rFonts w:ascii="Arial" w:eastAsia="Calibri" w:hAnsi="Arial" w:cs="Arial"/>
          <w:sz w:val="24"/>
          <w:szCs w:val="24"/>
          <w:lang w:val="en-US"/>
        </w:rPr>
        <w:t xml:space="preserve"> clause </w:t>
      </w:r>
      <w:r w:rsidR="008F6135">
        <w:rPr>
          <w:rFonts w:ascii="Arial" w:eastAsia="Calibri" w:hAnsi="Arial" w:cs="Arial"/>
          <w:sz w:val="24"/>
          <w:szCs w:val="24"/>
          <w:lang w:val="en-US"/>
        </w:rPr>
        <w:t xml:space="preserve">W1.3 (10) which </w:t>
      </w:r>
      <w:r w:rsidR="003B0055">
        <w:rPr>
          <w:rFonts w:ascii="Arial" w:eastAsia="Calibri" w:hAnsi="Arial" w:cs="Arial"/>
          <w:sz w:val="24"/>
          <w:szCs w:val="24"/>
          <w:lang w:val="en-US"/>
        </w:rPr>
        <w:t>reads</w:t>
      </w:r>
      <w:r w:rsidR="006A6BBE" w:rsidRPr="006A6BBE">
        <w:rPr>
          <w:rFonts w:ascii="Arial" w:eastAsia="Calibri" w:hAnsi="Arial" w:cs="Arial"/>
          <w:sz w:val="24"/>
          <w:szCs w:val="24"/>
          <w:lang w:val="en-US"/>
        </w:rPr>
        <w:t>:</w:t>
      </w:r>
    </w:p>
    <w:p w:rsidR="006A6BBE" w:rsidRPr="00DA7693" w:rsidRDefault="008F6135" w:rsidP="008F6135">
      <w:pPr>
        <w:spacing w:line="360" w:lineRule="auto"/>
        <w:ind w:left="2160"/>
        <w:jc w:val="both"/>
        <w:rPr>
          <w:rFonts w:ascii="Arial" w:eastAsia="Calibri" w:hAnsi="Arial" w:cs="Arial"/>
          <w:sz w:val="24"/>
          <w:szCs w:val="24"/>
          <w:lang w:val="en-US"/>
        </w:rPr>
      </w:pPr>
      <w:r>
        <w:rPr>
          <w:rFonts w:ascii="Arial" w:eastAsia="Calibri" w:hAnsi="Arial" w:cs="Arial"/>
          <w:sz w:val="24"/>
          <w:szCs w:val="24"/>
          <w:lang w:val="en-US"/>
        </w:rPr>
        <w:t>“</w:t>
      </w:r>
      <w:r w:rsidR="006A6BBE" w:rsidRPr="00DA7693">
        <w:rPr>
          <w:rFonts w:ascii="Arial" w:eastAsia="Calibri" w:hAnsi="Arial" w:cs="Arial"/>
          <w:sz w:val="24"/>
          <w:szCs w:val="24"/>
          <w:lang w:val="en-US"/>
        </w:rPr>
        <w:t>The Adjudicator’s decision is binding on the Parties unless and until revised by the tribunal and is enforceable as a matter of contractual obligation between the Parties and not as an arbitral award.  The Adjudicator’s decision is final and binding if neither Party has notified the other within the times required by this contract that he is dissatisfied with a decision of the Adjudicator and intends to refer the matter to the tribunal.</w:t>
      </w:r>
      <w:r w:rsidR="00DA7693">
        <w:rPr>
          <w:rFonts w:ascii="Arial" w:eastAsia="Calibri" w:hAnsi="Arial" w:cs="Arial"/>
          <w:sz w:val="24"/>
          <w:szCs w:val="24"/>
          <w:lang w:val="en-US"/>
        </w:rPr>
        <w:t>”</w:t>
      </w:r>
    </w:p>
    <w:p w:rsidR="00D1543F" w:rsidRPr="00DA7693" w:rsidRDefault="00D1543F" w:rsidP="006A6BBE">
      <w:pPr>
        <w:ind w:left="720" w:hanging="720"/>
        <w:jc w:val="both"/>
        <w:rPr>
          <w:rFonts w:eastAsia="Calibri"/>
          <w:szCs w:val="24"/>
        </w:rPr>
      </w:pPr>
    </w:p>
    <w:p w:rsidR="007802B1" w:rsidRDefault="00D83368" w:rsidP="007B5E20">
      <w:pPr>
        <w:spacing w:line="360" w:lineRule="auto"/>
        <w:ind w:left="720" w:hanging="720"/>
        <w:jc w:val="both"/>
        <w:rPr>
          <w:rFonts w:ascii="Arial" w:eastAsia="Calibri" w:hAnsi="Arial" w:cs="Arial"/>
          <w:sz w:val="24"/>
          <w:szCs w:val="24"/>
        </w:rPr>
      </w:pPr>
      <w:r>
        <w:rPr>
          <w:rFonts w:ascii="Arial" w:eastAsia="Calibri" w:hAnsi="Arial" w:cs="Arial"/>
          <w:sz w:val="24"/>
          <w:szCs w:val="24"/>
        </w:rPr>
        <w:t>[6</w:t>
      </w:r>
      <w:r w:rsidR="007B5E20">
        <w:rPr>
          <w:rFonts w:ascii="Arial" w:eastAsia="Calibri" w:hAnsi="Arial" w:cs="Arial"/>
          <w:sz w:val="24"/>
          <w:szCs w:val="24"/>
        </w:rPr>
        <w:t>]</w:t>
      </w:r>
      <w:r w:rsidR="007B5E20">
        <w:rPr>
          <w:rFonts w:ascii="Arial" w:eastAsia="Calibri" w:hAnsi="Arial" w:cs="Arial"/>
          <w:sz w:val="24"/>
          <w:szCs w:val="24"/>
        </w:rPr>
        <w:tab/>
      </w:r>
      <w:r w:rsidR="008F6135">
        <w:rPr>
          <w:rFonts w:ascii="Arial" w:eastAsia="Calibri" w:hAnsi="Arial" w:cs="Arial"/>
          <w:sz w:val="24"/>
          <w:szCs w:val="24"/>
        </w:rPr>
        <w:t>T</w:t>
      </w:r>
      <w:r w:rsidR="008847E8">
        <w:rPr>
          <w:rFonts w:ascii="Arial" w:eastAsia="Calibri" w:hAnsi="Arial" w:cs="Arial"/>
          <w:sz w:val="24"/>
          <w:szCs w:val="24"/>
        </w:rPr>
        <w:t xml:space="preserve">he </w:t>
      </w:r>
      <w:r w:rsidR="008F6135">
        <w:rPr>
          <w:rFonts w:ascii="Arial" w:eastAsia="Calibri" w:hAnsi="Arial" w:cs="Arial"/>
          <w:sz w:val="24"/>
          <w:szCs w:val="24"/>
        </w:rPr>
        <w:t xml:space="preserve">dispute between </w:t>
      </w:r>
      <w:r w:rsidR="00AC6D1A">
        <w:rPr>
          <w:rFonts w:ascii="Arial" w:eastAsia="Calibri" w:hAnsi="Arial" w:cs="Arial"/>
          <w:sz w:val="24"/>
          <w:szCs w:val="24"/>
        </w:rPr>
        <w:t>the parties is accordingly t</w:t>
      </w:r>
      <w:r w:rsidR="008F6135">
        <w:rPr>
          <w:rFonts w:ascii="Arial" w:eastAsia="Calibri" w:hAnsi="Arial" w:cs="Arial"/>
          <w:sz w:val="24"/>
          <w:szCs w:val="24"/>
        </w:rPr>
        <w:t xml:space="preserve">he </w:t>
      </w:r>
      <w:r w:rsidR="008847E8">
        <w:rPr>
          <w:rFonts w:ascii="Arial" w:eastAsia="Calibri" w:hAnsi="Arial" w:cs="Arial"/>
          <w:sz w:val="24"/>
          <w:szCs w:val="24"/>
        </w:rPr>
        <w:t xml:space="preserve">question whether the adjudication award which the applicant seeks to enforce, is binding in the event that the award was referred for arbitration in terms of the </w:t>
      </w:r>
      <w:r w:rsidR="001C7077">
        <w:rPr>
          <w:rFonts w:ascii="Arial" w:eastAsia="Calibri" w:hAnsi="Arial" w:cs="Arial"/>
          <w:sz w:val="24"/>
          <w:szCs w:val="24"/>
        </w:rPr>
        <w:t xml:space="preserve">aforementioned </w:t>
      </w:r>
      <w:r w:rsidR="008F6135">
        <w:rPr>
          <w:rFonts w:ascii="Arial" w:eastAsia="Calibri" w:hAnsi="Arial" w:cs="Arial"/>
          <w:sz w:val="24"/>
          <w:szCs w:val="24"/>
        </w:rPr>
        <w:t>dispute resolution provisions in view of W1.3(10).</w:t>
      </w:r>
      <w:r w:rsidR="008847E8">
        <w:rPr>
          <w:rFonts w:ascii="Arial" w:eastAsia="Calibri" w:hAnsi="Arial" w:cs="Arial"/>
          <w:sz w:val="24"/>
          <w:szCs w:val="24"/>
        </w:rPr>
        <w:t xml:space="preserve"> </w:t>
      </w:r>
      <w:r w:rsidR="008F6135">
        <w:rPr>
          <w:rFonts w:ascii="Arial" w:eastAsia="Calibri" w:hAnsi="Arial" w:cs="Arial"/>
          <w:sz w:val="24"/>
          <w:szCs w:val="24"/>
        </w:rPr>
        <w:t xml:space="preserve">Counsel held different views and both </w:t>
      </w:r>
      <w:r w:rsidR="008847E8">
        <w:rPr>
          <w:rFonts w:ascii="Arial" w:eastAsia="Calibri" w:hAnsi="Arial" w:cs="Arial"/>
          <w:sz w:val="24"/>
          <w:szCs w:val="24"/>
        </w:rPr>
        <w:t xml:space="preserve">in their heads of argument and in submission before me, referred me to case law in </w:t>
      </w:r>
      <w:r w:rsidR="004A58B4">
        <w:rPr>
          <w:rFonts w:ascii="Arial" w:eastAsia="Calibri" w:hAnsi="Arial" w:cs="Arial"/>
          <w:sz w:val="24"/>
          <w:szCs w:val="24"/>
        </w:rPr>
        <w:t>suppo</w:t>
      </w:r>
      <w:r w:rsidR="00C1223B">
        <w:rPr>
          <w:rFonts w:ascii="Arial" w:eastAsia="Calibri" w:hAnsi="Arial" w:cs="Arial"/>
          <w:sz w:val="24"/>
          <w:szCs w:val="24"/>
        </w:rPr>
        <w:t>rt of such views</w:t>
      </w:r>
      <w:r w:rsidR="004A58B4">
        <w:rPr>
          <w:rFonts w:ascii="Arial" w:eastAsia="Calibri" w:hAnsi="Arial" w:cs="Arial"/>
          <w:sz w:val="24"/>
          <w:szCs w:val="24"/>
        </w:rPr>
        <w:t>.</w:t>
      </w:r>
      <w:r w:rsidR="008847E8">
        <w:rPr>
          <w:rFonts w:ascii="Arial" w:eastAsia="Calibri" w:hAnsi="Arial" w:cs="Arial"/>
          <w:sz w:val="24"/>
          <w:szCs w:val="24"/>
        </w:rPr>
        <w:t xml:space="preserve"> </w:t>
      </w:r>
    </w:p>
    <w:p w:rsidR="00C15FF4" w:rsidRDefault="00C15FF4" w:rsidP="007B5E20">
      <w:pPr>
        <w:spacing w:line="360" w:lineRule="auto"/>
        <w:ind w:left="720" w:hanging="720"/>
        <w:jc w:val="both"/>
        <w:rPr>
          <w:rFonts w:ascii="Arial" w:eastAsia="Calibri" w:hAnsi="Arial" w:cs="Arial"/>
          <w:sz w:val="24"/>
          <w:szCs w:val="24"/>
        </w:rPr>
      </w:pPr>
    </w:p>
    <w:p w:rsidR="008847E8" w:rsidRPr="00AC6D1A" w:rsidRDefault="00D83368" w:rsidP="00AC6D1A">
      <w:pPr>
        <w:spacing w:line="360" w:lineRule="auto"/>
        <w:ind w:left="720" w:hanging="720"/>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r>
      <w:r w:rsidR="00B1251B">
        <w:rPr>
          <w:rFonts w:ascii="Arial" w:eastAsia="Calibri" w:hAnsi="Arial" w:cs="Arial"/>
          <w:sz w:val="24"/>
          <w:szCs w:val="24"/>
        </w:rPr>
        <w:t>Applicant placed reliance</w:t>
      </w:r>
      <w:r w:rsidR="004A58B4">
        <w:rPr>
          <w:rFonts w:ascii="Arial" w:eastAsia="Calibri" w:hAnsi="Arial" w:cs="Arial"/>
          <w:sz w:val="24"/>
          <w:szCs w:val="24"/>
        </w:rPr>
        <w:t>, amongst others,</w:t>
      </w:r>
      <w:r w:rsidR="00B1251B">
        <w:rPr>
          <w:rFonts w:ascii="Arial" w:eastAsia="Calibri" w:hAnsi="Arial" w:cs="Arial"/>
          <w:sz w:val="24"/>
          <w:szCs w:val="24"/>
        </w:rPr>
        <w:t xml:space="preserve"> on </w:t>
      </w:r>
      <w:r w:rsidR="008847E8">
        <w:rPr>
          <w:rFonts w:ascii="Arial" w:eastAsia="Calibri" w:hAnsi="Arial" w:cs="Arial"/>
          <w:sz w:val="24"/>
          <w:szCs w:val="24"/>
        </w:rPr>
        <w:t xml:space="preserve">the case of </w:t>
      </w:r>
      <w:r w:rsidR="008847E8" w:rsidRPr="00DA7693">
        <w:rPr>
          <w:rFonts w:ascii="Arial" w:eastAsia="Calibri" w:hAnsi="Arial" w:cs="Arial"/>
          <w:b/>
          <w:i/>
          <w:sz w:val="24"/>
          <w:szCs w:val="24"/>
        </w:rPr>
        <w:t>Tubular Holdings (Pty) Ltd v DBT Technologies (Pty) Ltd</w:t>
      </w:r>
      <w:r w:rsidR="004E0E98">
        <w:rPr>
          <w:rStyle w:val="FootnoteReference"/>
          <w:rFonts w:eastAsia="Calibri"/>
          <w:sz w:val="24"/>
          <w:szCs w:val="24"/>
        </w:rPr>
        <w:footnoteReference w:id="1"/>
      </w:r>
      <w:r w:rsidR="00DA7693">
        <w:rPr>
          <w:rFonts w:ascii="Arial" w:eastAsia="Calibri" w:hAnsi="Arial" w:cs="Arial"/>
          <w:sz w:val="24"/>
          <w:szCs w:val="24"/>
        </w:rPr>
        <w:t xml:space="preserve"> </w:t>
      </w:r>
      <w:r w:rsidR="007B5E20">
        <w:rPr>
          <w:rFonts w:ascii="Arial" w:eastAsia="Calibri" w:hAnsi="Arial" w:cs="Arial"/>
          <w:sz w:val="24"/>
          <w:szCs w:val="24"/>
        </w:rPr>
        <w:t>where the court concluded that the notice of dissatisfaction does not suspend the obligation to give effect to the decision. The applicable clau</w:t>
      </w:r>
      <w:r w:rsidR="00AF0FB0">
        <w:rPr>
          <w:rFonts w:ascii="Arial" w:eastAsia="Calibri" w:hAnsi="Arial" w:cs="Arial"/>
          <w:sz w:val="24"/>
          <w:szCs w:val="24"/>
        </w:rPr>
        <w:t xml:space="preserve">se in </w:t>
      </w:r>
      <w:r w:rsidR="00AF0FB0" w:rsidRPr="00CB3564">
        <w:rPr>
          <w:rFonts w:ascii="Arial" w:eastAsia="Calibri" w:hAnsi="Arial" w:cs="Arial"/>
          <w:b/>
          <w:i/>
          <w:sz w:val="24"/>
          <w:szCs w:val="24"/>
        </w:rPr>
        <w:t>Tubular Holdings</w:t>
      </w:r>
      <w:r w:rsidR="00AF0FB0">
        <w:rPr>
          <w:rFonts w:ascii="Arial" w:eastAsia="Calibri" w:hAnsi="Arial" w:cs="Arial"/>
          <w:sz w:val="24"/>
          <w:szCs w:val="24"/>
        </w:rPr>
        <w:t xml:space="preserve"> </w:t>
      </w:r>
      <w:r w:rsidR="00B1251B">
        <w:rPr>
          <w:rFonts w:ascii="Arial" w:eastAsia="Calibri" w:hAnsi="Arial" w:cs="Arial"/>
          <w:sz w:val="24"/>
          <w:szCs w:val="24"/>
        </w:rPr>
        <w:t xml:space="preserve">stated that </w:t>
      </w:r>
      <w:r w:rsidR="00AC6D1A">
        <w:rPr>
          <w:rFonts w:ascii="Arial" w:eastAsia="Calibri" w:hAnsi="Arial" w:cs="Arial"/>
          <w:sz w:val="24"/>
          <w:szCs w:val="24"/>
        </w:rPr>
        <w:t xml:space="preserve">the decision  of the </w:t>
      </w:r>
      <w:r w:rsidR="00703464">
        <w:rPr>
          <w:rFonts w:ascii="Arial" w:eastAsia="Calibri" w:hAnsi="Arial" w:cs="Arial"/>
          <w:sz w:val="24"/>
          <w:szCs w:val="24"/>
        </w:rPr>
        <w:t xml:space="preserve">Dispute Adjudication Board </w:t>
      </w:r>
      <w:r w:rsidR="00AC6D1A">
        <w:rPr>
          <w:rFonts w:ascii="Arial" w:eastAsia="Calibri" w:hAnsi="Arial" w:cs="Arial"/>
          <w:sz w:val="24"/>
          <w:szCs w:val="24"/>
        </w:rPr>
        <w:t xml:space="preserve">is binding on </w:t>
      </w:r>
      <w:r w:rsidR="00B1251B">
        <w:rPr>
          <w:rFonts w:ascii="Arial" w:eastAsia="Calibri" w:hAnsi="Arial" w:cs="Arial"/>
          <w:sz w:val="24"/>
          <w:szCs w:val="24"/>
        </w:rPr>
        <w:t xml:space="preserve">the </w:t>
      </w:r>
      <w:r w:rsidR="00703464">
        <w:rPr>
          <w:rFonts w:ascii="Arial" w:eastAsia="Calibri" w:hAnsi="Arial" w:cs="Arial"/>
          <w:sz w:val="24"/>
          <w:szCs w:val="24"/>
        </w:rPr>
        <w:t xml:space="preserve">parties and </w:t>
      </w:r>
      <w:r w:rsidR="00B1251B">
        <w:rPr>
          <w:rFonts w:ascii="Arial" w:eastAsia="Calibri" w:hAnsi="Arial" w:cs="Arial"/>
          <w:sz w:val="24"/>
          <w:szCs w:val="24"/>
        </w:rPr>
        <w:t>should be promptly given effect</w:t>
      </w:r>
      <w:r w:rsidR="00AC6D1A">
        <w:rPr>
          <w:rFonts w:ascii="Arial" w:eastAsia="Calibri" w:hAnsi="Arial" w:cs="Arial"/>
          <w:sz w:val="24"/>
          <w:szCs w:val="24"/>
        </w:rPr>
        <w:t xml:space="preserve"> </w:t>
      </w:r>
      <w:r w:rsidR="00703464">
        <w:rPr>
          <w:rFonts w:ascii="Arial" w:eastAsia="Calibri" w:hAnsi="Arial" w:cs="Arial"/>
          <w:sz w:val="24"/>
          <w:szCs w:val="24"/>
        </w:rPr>
        <w:t xml:space="preserve">to, </w:t>
      </w:r>
      <w:r w:rsidR="00AC6D1A">
        <w:rPr>
          <w:rFonts w:ascii="Arial" w:eastAsia="Calibri" w:hAnsi="Arial" w:cs="Arial"/>
          <w:sz w:val="24"/>
          <w:szCs w:val="24"/>
        </w:rPr>
        <w:t>w</w:t>
      </w:r>
      <w:r w:rsidR="00703464">
        <w:rPr>
          <w:rFonts w:ascii="Arial" w:eastAsia="Calibri" w:hAnsi="Arial" w:cs="Arial"/>
          <w:sz w:val="24"/>
          <w:szCs w:val="24"/>
        </w:rPr>
        <w:t>hereas</w:t>
      </w:r>
      <w:r w:rsidR="00AC6D1A">
        <w:rPr>
          <w:rFonts w:ascii="Arial" w:eastAsia="Calibri" w:hAnsi="Arial" w:cs="Arial"/>
          <w:sz w:val="24"/>
          <w:szCs w:val="24"/>
        </w:rPr>
        <w:t xml:space="preserve"> in </w:t>
      </w:r>
      <w:r w:rsidR="00AC6D1A" w:rsidRPr="00DA7693">
        <w:rPr>
          <w:rFonts w:ascii="Arial" w:eastAsia="Calibri" w:hAnsi="Arial" w:cs="Arial"/>
          <w:b/>
          <w:i/>
          <w:sz w:val="24"/>
          <w:szCs w:val="24"/>
        </w:rPr>
        <w:t>S</w:t>
      </w:r>
      <w:r w:rsidR="00AC6D1A">
        <w:rPr>
          <w:rFonts w:ascii="Arial" w:eastAsia="Calibri" w:hAnsi="Arial" w:cs="Arial"/>
          <w:b/>
          <w:i/>
          <w:sz w:val="24"/>
          <w:szCs w:val="24"/>
        </w:rPr>
        <w:t>teffanuti Stocks (Pty) Ltd v S8 Property (Pty) Ltd</w:t>
      </w:r>
      <w:r w:rsidR="00AC6D1A">
        <w:rPr>
          <w:rStyle w:val="FootnoteReference"/>
          <w:rFonts w:eastAsia="Calibri"/>
          <w:sz w:val="24"/>
          <w:szCs w:val="24"/>
        </w:rPr>
        <w:footnoteReference w:id="2"/>
      </w:r>
      <w:r w:rsidR="00AC6D1A">
        <w:rPr>
          <w:rFonts w:ascii="Arial" w:eastAsia="Calibri" w:hAnsi="Arial" w:cs="Arial"/>
          <w:sz w:val="24"/>
          <w:szCs w:val="24"/>
        </w:rPr>
        <w:t xml:space="preserve"> the applicable dispute resolution clause included the wording </w:t>
      </w:r>
      <w:r w:rsidR="00AC6D1A" w:rsidRPr="00AC6D1A">
        <w:rPr>
          <w:rFonts w:ascii="Arial" w:eastAsia="Calibri" w:hAnsi="Arial" w:cs="Arial"/>
        </w:rPr>
        <w:t>“without undue delay.</w:t>
      </w:r>
      <w:r w:rsidR="00AC6D1A">
        <w:rPr>
          <w:rFonts w:ascii="Arial" w:eastAsia="Calibri" w:hAnsi="Arial" w:cs="Arial"/>
          <w:sz w:val="24"/>
          <w:szCs w:val="24"/>
        </w:rPr>
        <w:t>”</w:t>
      </w:r>
    </w:p>
    <w:p w:rsidR="00C15FF4" w:rsidRDefault="00C15FF4" w:rsidP="007B5E20">
      <w:pPr>
        <w:spacing w:line="360" w:lineRule="auto"/>
        <w:ind w:left="720" w:hanging="720"/>
        <w:jc w:val="both"/>
        <w:rPr>
          <w:rFonts w:ascii="Arial" w:eastAsia="Calibri" w:hAnsi="Arial" w:cs="Arial"/>
          <w:sz w:val="24"/>
          <w:szCs w:val="24"/>
        </w:rPr>
      </w:pPr>
    </w:p>
    <w:p w:rsidR="00964A9F" w:rsidRDefault="00D83368" w:rsidP="007B5E20">
      <w:pPr>
        <w:spacing w:line="360" w:lineRule="auto"/>
        <w:ind w:left="720" w:hanging="720"/>
        <w:jc w:val="both"/>
        <w:rPr>
          <w:rFonts w:ascii="Arial" w:eastAsia="Calibri" w:hAnsi="Arial" w:cs="Arial"/>
          <w:sz w:val="24"/>
          <w:szCs w:val="24"/>
        </w:rPr>
      </w:pPr>
      <w:r>
        <w:rPr>
          <w:rFonts w:ascii="Arial" w:eastAsia="Calibri" w:hAnsi="Arial" w:cs="Arial"/>
          <w:sz w:val="24"/>
          <w:szCs w:val="24"/>
        </w:rPr>
        <w:t>[8]</w:t>
      </w:r>
      <w:r w:rsidR="007802B1">
        <w:rPr>
          <w:rFonts w:ascii="Arial" w:eastAsia="Calibri" w:hAnsi="Arial" w:cs="Arial"/>
          <w:sz w:val="24"/>
          <w:szCs w:val="24"/>
        </w:rPr>
        <w:tab/>
      </w:r>
      <w:r w:rsidR="00B1251B">
        <w:rPr>
          <w:rFonts w:ascii="Arial" w:eastAsia="Calibri" w:hAnsi="Arial" w:cs="Arial"/>
          <w:sz w:val="24"/>
          <w:szCs w:val="24"/>
        </w:rPr>
        <w:t xml:space="preserve">Counsel for respondent </w:t>
      </w:r>
      <w:r>
        <w:rPr>
          <w:rFonts w:ascii="Arial" w:eastAsia="Calibri" w:hAnsi="Arial" w:cs="Arial"/>
          <w:sz w:val="24"/>
          <w:szCs w:val="24"/>
        </w:rPr>
        <w:t xml:space="preserve">sought to distinguish the aforementioned case law by submitting that reliance on such case law </w:t>
      </w:r>
      <w:r w:rsidR="00B1251B">
        <w:rPr>
          <w:rFonts w:ascii="Arial" w:eastAsia="Calibri" w:hAnsi="Arial" w:cs="Arial"/>
          <w:sz w:val="24"/>
          <w:szCs w:val="24"/>
        </w:rPr>
        <w:t xml:space="preserve">is misplaced as </w:t>
      </w:r>
      <w:r w:rsidR="004A58B4">
        <w:rPr>
          <w:rFonts w:ascii="Arial" w:eastAsia="Calibri" w:hAnsi="Arial" w:cs="Arial"/>
          <w:i/>
          <w:sz w:val="24"/>
          <w:szCs w:val="24"/>
        </w:rPr>
        <w:t xml:space="preserve">in casu </w:t>
      </w:r>
      <w:r w:rsidR="00CB3564">
        <w:rPr>
          <w:rFonts w:ascii="Arial" w:eastAsia="Calibri" w:hAnsi="Arial" w:cs="Arial"/>
          <w:sz w:val="24"/>
          <w:szCs w:val="24"/>
        </w:rPr>
        <w:t>clause W</w:t>
      </w:r>
      <w:r w:rsidR="00682531">
        <w:rPr>
          <w:rFonts w:ascii="Arial" w:eastAsia="Calibri" w:hAnsi="Arial" w:cs="Arial"/>
          <w:sz w:val="24"/>
          <w:szCs w:val="24"/>
        </w:rPr>
        <w:t>1 does</w:t>
      </w:r>
      <w:r w:rsidR="004A58B4">
        <w:rPr>
          <w:rFonts w:ascii="Arial" w:eastAsia="Calibri" w:hAnsi="Arial" w:cs="Arial"/>
          <w:sz w:val="24"/>
          <w:szCs w:val="24"/>
        </w:rPr>
        <w:t xml:space="preserve"> not cont</w:t>
      </w:r>
      <w:r w:rsidR="00AF0FB0">
        <w:rPr>
          <w:rFonts w:ascii="Arial" w:eastAsia="Calibri" w:hAnsi="Arial" w:cs="Arial"/>
          <w:sz w:val="24"/>
          <w:szCs w:val="24"/>
        </w:rPr>
        <w:t xml:space="preserve">ain any provision </w:t>
      </w:r>
      <w:r w:rsidR="004A58B4">
        <w:rPr>
          <w:rFonts w:ascii="Arial" w:eastAsia="Calibri" w:hAnsi="Arial" w:cs="Arial"/>
          <w:sz w:val="24"/>
          <w:szCs w:val="24"/>
        </w:rPr>
        <w:t xml:space="preserve">that that the adjudicator’s decision should be </w:t>
      </w:r>
      <w:r w:rsidR="004A58B4">
        <w:rPr>
          <w:rFonts w:ascii="Arial" w:eastAsia="Calibri" w:hAnsi="Arial" w:cs="Arial"/>
          <w:sz w:val="24"/>
          <w:szCs w:val="24"/>
        </w:rPr>
        <w:lastRenderedPageBreak/>
        <w:t>given effect to “promptly”</w:t>
      </w:r>
      <w:r w:rsidR="002665EA">
        <w:rPr>
          <w:rFonts w:ascii="Arial" w:eastAsia="Calibri" w:hAnsi="Arial" w:cs="Arial"/>
          <w:sz w:val="24"/>
          <w:szCs w:val="24"/>
        </w:rPr>
        <w:t xml:space="preserve"> (or without unduly delay)</w:t>
      </w:r>
      <w:r w:rsidR="00AF0FB0">
        <w:rPr>
          <w:rFonts w:ascii="Arial" w:eastAsia="Calibri" w:hAnsi="Arial" w:cs="Arial"/>
          <w:sz w:val="24"/>
          <w:szCs w:val="24"/>
        </w:rPr>
        <w:t>,</w:t>
      </w:r>
      <w:r w:rsidR="004A58B4">
        <w:rPr>
          <w:rFonts w:ascii="Arial" w:eastAsia="Calibri" w:hAnsi="Arial" w:cs="Arial"/>
          <w:sz w:val="24"/>
          <w:szCs w:val="24"/>
        </w:rPr>
        <w:t xml:space="preserve"> but instead </w:t>
      </w:r>
      <w:r w:rsidR="001C7077">
        <w:rPr>
          <w:rFonts w:ascii="Arial" w:eastAsia="Calibri" w:hAnsi="Arial" w:cs="Arial"/>
          <w:sz w:val="24"/>
          <w:szCs w:val="24"/>
        </w:rPr>
        <w:t>the clause provides that the de</w:t>
      </w:r>
      <w:r w:rsidR="004A58B4">
        <w:rPr>
          <w:rFonts w:ascii="Arial" w:eastAsia="Calibri" w:hAnsi="Arial" w:cs="Arial"/>
          <w:sz w:val="24"/>
          <w:szCs w:val="24"/>
        </w:rPr>
        <w:t>cision is enforceable as a contractual obligation. Relying on</w:t>
      </w:r>
      <w:r w:rsidR="00121F72">
        <w:rPr>
          <w:rFonts w:ascii="Arial" w:eastAsia="Calibri" w:hAnsi="Arial" w:cs="Arial"/>
          <w:sz w:val="24"/>
          <w:szCs w:val="24"/>
        </w:rPr>
        <w:t>, inter alia,</w:t>
      </w:r>
      <w:r w:rsidR="00121F72" w:rsidRPr="00DA7693">
        <w:rPr>
          <w:rFonts w:ascii="Arial" w:eastAsia="Calibri" w:hAnsi="Arial" w:cs="Arial"/>
          <w:b/>
          <w:i/>
          <w:sz w:val="24"/>
          <w:szCs w:val="24"/>
        </w:rPr>
        <w:t xml:space="preserve"> </w:t>
      </w:r>
      <w:r w:rsidR="004A58B4" w:rsidRPr="00DA7693">
        <w:rPr>
          <w:rFonts w:ascii="Arial" w:eastAsia="Calibri" w:hAnsi="Arial" w:cs="Arial"/>
          <w:b/>
          <w:i/>
          <w:sz w:val="24"/>
          <w:szCs w:val="24"/>
        </w:rPr>
        <w:t>Britstow</w:t>
      </w:r>
      <w:r w:rsidR="00121F72" w:rsidRPr="00DA7693">
        <w:rPr>
          <w:rFonts w:ascii="Arial" w:eastAsia="Calibri" w:hAnsi="Arial" w:cs="Arial"/>
          <w:b/>
          <w:i/>
          <w:sz w:val="24"/>
          <w:szCs w:val="24"/>
        </w:rPr>
        <w:t>n Municipality v Beunderman (Pty) Ltd</w:t>
      </w:r>
      <w:r w:rsidR="00DA7693">
        <w:rPr>
          <w:rStyle w:val="FootnoteReference"/>
          <w:rFonts w:eastAsia="Calibri"/>
          <w:sz w:val="24"/>
          <w:szCs w:val="24"/>
        </w:rPr>
        <w:footnoteReference w:id="3"/>
      </w:r>
      <w:r w:rsidR="00121F72">
        <w:rPr>
          <w:rFonts w:ascii="Arial" w:eastAsia="Calibri" w:hAnsi="Arial" w:cs="Arial"/>
          <w:sz w:val="24"/>
          <w:szCs w:val="24"/>
        </w:rPr>
        <w:t xml:space="preserve">and </w:t>
      </w:r>
      <w:r w:rsidR="00121F72" w:rsidRPr="00DA7693">
        <w:rPr>
          <w:rFonts w:ascii="Arial" w:eastAsia="Calibri" w:hAnsi="Arial" w:cs="Arial"/>
          <w:b/>
          <w:i/>
          <w:sz w:val="24"/>
          <w:szCs w:val="24"/>
        </w:rPr>
        <w:t>Blue Circle Projects (Pty) Ltd v Klerksdorp Municipality</w:t>
      </w:r>
      <w:r w:rsidR="00121F72">
        <w:rPr>
          <w:rFonts w:ascii="Arial" w:eastAsia="Calibri" w:hAnsi="Arial" w:cs="Arial"/>
          <w:sz w:val="24"/>
          <w:szCs w:val="24"/>
        </w:rPr>
        <w:t xml:space="preserve"> </w:t>
      </w:r>
      <w:r w:rsidR="00A74FEF">
        <w:rPr>
          <w:rStyle w:val="FootnoteReference"/>
          <w:rFonts w:eastAsia="Calibri"/>
          <w:sz w:val="24"/>
          <w:szCs w:val="24"/>
        </w:rPr>
        <w:footnoteReference w:id="4"/>
      </w:r>
      <w:r w:rsidR="00925DB5">
        <w:rPr>
          <w:rFonts w:ascii="Arial" w:eastAsia="Calibri" w:hAnsi="Arial" w:cs="Arial"/>
          <w:sz w:val="24"/>
          <w:szCs w:val="24"/>
        </w:rPr>
        <w:t xml:space="preserve"> in respect of the fina</w:t>
      </w:r>
      <w:r w:rsidR="002665EA">
        <w:rPr>
          <w:rFonts w:ascii="Arial" w:eastAsia="Calibri" w:hAnsi="Arial" w:cs="Arial"/>
          <w:sz w:val="24"/>
          <w:szCs w:val="24"/>
        </w:rPr>
        <w:t xml:space="preserve">lity of an arbitrator’s </w:t>
      </w:r>
      <w:r w:rsidR="003A305E">
        <w:rPr>
          <w:rFonts w:ascii="Arial" w:eastAsia="Calibri" w:hAnsi="Arial" w:cs="Arial"/>
          <w:sz w:val="24"/>
          <w:szCs w:val="24"/>
        </w:rPr>
        <w:t>award, he submitted that the de</w:t>
      </w:r>
      <w:r w:rsidR="002665EA">
        <w:rPr>
          <w:rFonts w:ascii="Arial" w:eastAsia="Calibri" w:hAnsi="Arial" w:cs="Arial"/>
          <w:sz w:val="24"/>
          <w:szCs w:val="24"/>
        </w:rPr>
        <w:t xml:space="preserve">cision of the adjudicator </w:t>
      </w:r>
      <w:r w:rsidR="00E12E51">
        <w:rPr>
          <w:rFonts w:ascii="Arial" w:eastAsia="Calibri" w:hAnsi="Arial" w:cs="Arial"/>
          <w:sz w:val="24"/>
          <w:szCs w:val="24"/>
        </w:rPr>
        <w:t xml:space="preserve">the matter at hand </w:t>
      </w:r>
      <w:r w:rsidR="002665EA">
        <w:rPr>
          <w:rFonts w:ascii="Arial" w:eastAsia="Calibri" w:hAnsi="Arial" w:cs="Arial"/>
          <w:sz w:val="24"/>
          <w:szCs w:val="24"/>
        </w:rPr>
        <w:t xml:space="preserve">is not final and binding whilst </w:t>
      </w:r>
      <w:r w:rsidR="00121F72">
        <w:rPr>
          <w:rFonts w:ascii="Arial" w:eastAsia="Calibri" w:hAnsi="Arial" w:cs="Arial"/>
          <w:sz w:val="24"/>
          <w:szCs w:val="24"/>
        </w:rPr>
        <w:t xml:space="preserve">the arbitration process is still </w:t>
      </w:r>
      <w:r w:rsidR="002665EA">
        <w:rPr>
          <w:rFonts w:ascii="Arial" w:eastAsia="Calibri" w:hAnsi="Arial" w:cs="Arial"/>
          <w:sz w:val="24"/>
          <w:szCs w:val="24"/>
        </w:rPr>
        <w:t>pending.</w:t>
      </w:r>
      <w:r w:rsidR="0059131E">
        <w:rPr>
          <w:rFonts w:ascii="Arial" w:eastAsia="Calibri" w:hAnsi="Arial" w:cs="Arial"/>
          <w:sz w:val="24"/>
          <w:szCs w:val="24"/>
        </w:rPr>
        <w:t xml:space="preserve"> I pause to mention that </w:t>
      </w:r>
      <w:r w:rsidR="00CB3564" w:rsidRPr="00095ABD">
        <w:rPr>
          <w:rFonts w:ascii="Arial" w:eastAsia="Calibri" w:hAnsi="Arial" w:cs="Arial"/>
          <w:b/>
          <w:i/>
          <w:sz w:val="24"/>
          <w:szCs w:val="24"/>
        </w:rPr>
        <w:t>Britstown</w:t>
      </w:r>
      <w:r w:rsidR="00CB3564">
        <w:rPr>
          <w:rFonts w:ascii="Arial" w:eastAsia="Calibri" w:hAnsi="Arial" w:cs="Arial"/>
          <w:sz w:val="24"/>
          <w:szCs w:val="24"/>
        </w:rPr>
        <w:t xml:space="preserve"> </w:t>
      </w:r>
      <w:r w:rsidR="00095ABD">
        <w:rPr>
          <w:rFonts w:ascii="Arial" w:eastAsia="Calibri" w:hAnsi="Arial" w:cs="Arial"/>
          <w:sz w:val="24"/>
          <w:szCs w:val="24"/>
        </w:rPr>
        <w:t>pertains to an award made by an arbitrator,</w:t>
      </w:r>
      <w:r w:rsidR="00CB3564">
        <w:rPr>
          <w:rFonts w:ascii="Arial" w:eastAsia="Calibri" w:hAnsi="Arial" w:cs="Arial"/>
          <w:sz w:val="24"/>
          <w:szCs w:val="24"/>
        </w:rPr>
        <w:t xml:space="preserve"> whilst </w:t>
      </w:r>
      <w:r w:rsidR="00CB3564" w:rsidRPr="00095ABD">
        <w:rPr>
          <w:rFonts w:ascii="Arial" w:eastAsia="Calibri" w:hAnsi="Arial" w:cs="Arial"/>
          <w:b/>
          <w:i/>
          <w:sz w:val="24"/>
          <w:szCs w:val="24"/>
        </w:rPr>
        <w:t>Blue Circle Projects</w:t>
      </w:r>
      <w:r w:rsidR="00CB3564">
        <w:rPr>
          <w:rFonts w:ascii="Arial" w:eastAsia="Calibri" w:hAnsi="Arial" w:cs="Arial"/>
          <w:sz w:val="24"/>
          <w:szCs w:val="24"/>
        </w:rPr>
        <w:t xml:space="preserve"> dealt with the opinion of a mediator.</w:t>
      </w:r>
    </w:p>
    <w:p w:rsidR="007802B1" w:rsidRDefault="00D83368" w:rsidP="00925DB5">
      <w:pPr>
        <w:spacing w:line="360" w:lineRule="auto"/>
        <w:ind w:left="720" w:right="26" w:hanging="720"/>
        <w:jc w:val="both"/>
        <w:rPr>
          <w:rFonts w:ascii="Arial" w:eastAsia="Calibri" w:hAnsi="Arial" w:cs="Arial"/>
          <w:sz w:val="24"/>
          <w:szCs w:val="24"/>
        </w:rPr>
      </w:pPr>
      <w:r>
        <w:rPr>
          <w:rFonts w:ascii="Arial" w:eastAsia="Calibri" w:hAnsi="Arial" w:cs="Arial"/>
          <w:sz w:val="24"/>
          <w:szCs w:val="24"/>
        </w:rPr>
        <w:t>[9</w:t>
      </w:r>
      <w:r w:rsidR="00925DB5">
        <w:rPr>
          <w:rFonts w:ascii="Arial" w:eastAsia="Calibri" w:hAnsi="Arial" w:cs="Arial"/>
          <w:sz w:val="24"/>
          <w:szCs w:val="24"/>
        </w:rPr>
        <w:t>]</w:t>
      </w:r>
      <w:r w:rsidR="00925DB5">
        <w:rPr>
          <w:rFonts w:ascii="Arial" w:eastAsia="Calibri" w:hAnsi="Arial" w:cs="Arial"/>
          <w:sz w:val="24"/>
          <w:szCs w:val="24"/>
        </w:rPr>
        <w:tab/>
      </w:r>
      <w:r w:rsidR="00964A9F">
        <w:rPr>
          <w:rFonts w:ascii="Arial" w:eastAsia="Calibri" w:hAnsi="Arial" w:cs="Arial"/>
          <w:sz w:val="24"/>
          <w:szCs w:val="24"/>
        </w:rPr>
        <w:t>Recently, the Supreme Court of Appeal</w:t>
      </w:r>
      <w:r w:rsidR="00AF0FB0">
        <w:rPr>
          <w:rFonts w:ascii="Arial" w:eastAsia="Calibri" w:hAnsi="Arial" w:cs="Arial"/>
          <w:sz w:val="24"/>
          <w:szCs w:val="24"/>
        </w:rPr>
        <w:t xml:space="preserve"> comprehensively dealt with the</w:t>
      </w:r>
      <w:r w:rsidR="007802B1" w:rsidRPr="002D6D72">
        <w:rPr>
          <w:rFonts w:ascii="Arial" w:hAnsi="Arial" w:cs="Arial"/>
          <w:sz w:val="24"/>
          <w:szCs w:val="24"/>
        </w:rPr>
        <w:t xml:space="preserve"> legal principles </w:t>
      </w:r>
      <w:r w:rsidR="00925DB5">
        <w:rPr>
          <w:rFonts w:ascii="Arial" w:hAnsi="Arial" w:cs="Arial"/>
          <w:sz w:val="24"/>
          <w:szCs w:val="24"/>
        </w:rPr>
        <w:t>applicable to the status of an</w:t>
      </w:r>
      <w:r w:rsidR="007802B1">
        <w:rPr>
          <w:rFonts w:ascii="Arial" w:hAnsi="Arial" w:cs="Arial"/>
          <w:sz w:val="24"/>
          <w:szCs w:val="24"/>
        </w:rPr>
        <w:t xml:space="preserve"> adj</w:t>
      </w:r>
      <w:r w:rsidR="007802B1" w:rsidRPr="002D6D72">
        <w:rPr>
          <w:rFonts w:ascii="Arial" w:hAnsi="Arial" w:cs="Arial"/>
          <w:sz w:val="24"/>
          <w:szCs w:val="24"/>
        </w:rPr>
        <w:t>udicator</w:t>
      </w:r>
      <w:r w:rsidR="007802B1">
        <w:rPr>
          <w:rFonts w:ascii="Arial" w:hAnsi="Arial" w:cs="Arial"/>
          <w:sz w:val="24"/>
          <w:szCs w:val="24"/>
        </w:rPr>
        <w:t>’s</w:t>
      </w:r>
      <w:r w:rsidR="002E5BA9">
        <w:rPr>
          <w:rFonts w:ascii="Arial" w:hAnsi="Arial" w:cs="Arial"/>
          <w:sz w:val="24"/>
          <w:szCs w:val="24"/>
        </w:rPr>
        <w:t xml:space="preserve"> award in </w:t>
      </w:r>
      <w:r w:rsidR="004E0E98" w:rsidRPr="00DA7693">
        <w:rPr>
          <w:rFonts w:ascii="Arial" w:hAnsi="Arial" w:cs="Arial"/>
          <w:b/>
          <w:bCs/>
          <w:i/>
          <w:sz w:val="24"/>
        </w:rPr>
        <w:t>Framatome v Eskom Holdings SOC Ltd</w:t>
      </w:r>
      <w:r w:rsidR="004E0E98" w:rsidRPr="00463D04">
        <w:rPr>
          <w:rStyle w:val="FootnoteReference"/>
          <w:bCs/>
          <w:sz w:val="24"/>
        </w:rPr>
        <w:footnoteReference w:id="5"/>
      </w:r>
      <w:r w:rsidR="00121F72">
        <w:rPr>
          <w:rFonts w:ascii="Arial" w:hAnsi="Arial" w:cs="Arial"/>
          <w:bCs/>
          <w:sz w:val="24"/>
        </w:rPr>
        <w:t xml:space="preserve"> (</w:t>
      </w:r>
      <w:r w:rsidR="00121F72" w:rsidRPr="00DA7693">
        <w:rPr>
          <w:rFonts w:ascii="Arial" w:hAnsi="Arial" w:cs="Arial"/>
          <w:b/>
          <w:bCs/>
          <w:i/>
          <w:sz w:val="24"/>
        </w:rPr>
        <w:t>‘Framatome’</w:t>
      </w:r>
      <w:r w:rsidR="00121F72">
        <w:rPr>
          <w:rFonts w:ascii="Arial" w:hAnsi="Arial" w:cs="Arial"/>
          <w:bCs/>
          <w:sz w:val="24"/>
        </w:rPr>
        <w:t>)</w:t>
      </w:r>
      <w:r w:rsidR="00192BBF">
        <w:rPr>
          <w:rFonts w:ascii="Arial" w:hAnsi="Arial" w:cs="Arial"/>
          <w:bCs/>
          <w:sz w:val="24"/>
        </w:rPr>
        <w:t xml:space="preserve">. The summary </w:t>
      </w:r>
      <w:r w:rsidR="005C7354">
        <w:rPr>
          <w:rFonts w:ascii="Arial" w:hAnsi="Arial" w:cs="Arial"/>
          <w:bCs/>
          <w:sz w:val="24"/>
        </w:rPr>
        <w:t xml:space="preserve">of the judgment reads: </w:t>
      </w:r>
      <w:r w:rsidR="00192BBF">
        <w:rPr>
          <w:rFonts w:ascii="Arial" w:hAnsi="Arial" w:cs="Arial"/>
          <w:bCs/>
          <w:sz w:val="24"/>
        </w:rPr>
        <w:t>“</w:t>
      </w:r>
      <w:r w:rsidR="005C7354" w:rsidRPr="005C7354">
        <w:rPr>
          <w:rFonts w:ascii="Arial" w:hAnsi="Arial" w:cs="Arial"/>
        </w:rPr>
        <w:t>Construction contract – contract providing for dispute resolution process through adjudication – adjudicator’s award final and binding on the parties until and unless set aside on review – High Court erred in not enforcing the award.</w:t>
      </w:r>
      <w:r w:rsidR="005C7354">
        <w:rPr>
          <w:sz w:val="24"/>
        </w:rPr>
        <w:t>”</w:t>
      </w:r>
      <w:r w:rsidR="00925DB5">
        <w:rPr>
          <w:rFonts w:ascii="Arial" w:hAnsi="Arial" w:cs="Arial"/>
          <w:bCs/>
          <w:sz w:val="24"/>
        </w:rPr>
        <w:t xml:space="preserve"> </w:t>
      </w:r>
      <w:r w:rsidR="0059131E">
        <w:rPr>
          <w:rFonts w:ascii="Arial" w:hAnsi="Arial" w:cs="Arial"/>
          <w:bCs/>
          <w:sz w:val="24"/>
        </w:rPr>
        <w:t xml:space="preserve">In my view </w:t>
      </w:r>
      <w:r w:rsidR="0059131E" w:rsidRPr="003F3ECC">
        <w:rPr>
          <w:rFonts w:ascii="Arial" w:hAnsi="Arial" w:cs="Arial"/>
          <w:b/>
          <w:bCs/>
          <w:i/>
          <w:sz w:val="24"/>
        </w:rPr>
        <w:t>Framatome</w:t>
      </w:r>
      <w:r w:rsidR="0059131E">
        <w:rPr>
          <w:rFonts w:ascii="Arial" w:hAnsi="Arial" w:cs="Arial"/>
          <w:bCs/>
          <w:sz w:val="24"/>
        </w:rPr>
        <w:t xml:space="preserve"> </w:t>
      </w:r>
      <w:r w:rsidR="003F3ECC">
        <w:rPr>
          <w:rFonts w:ascii="Arial" w:hAnsi="Arial" w:cs="Arial"/>
          <w:bCs/>
          <w:sz w:val="24"/>
        </w:rPr>
        <w:t>put this issue to bed</w:t>
      </w:r>
      <w:r w:rsidR="0059131E">
        <w:rPr>
          <w:rFonts w:ascii="Arial" w:hAnsi="Arial" w:cs="Arial"/>
          <w:bCs/>
          <w:sz w:val="24"/>
        </w:rPr>
        <w:t>.</w:t>
      </w:r>
      <w:r w:rsidR="003F3ECC">
        <w:rPr>
          <w:rFonts w:ascii="Arial" w:hAnsi="Arial" w:cs="Arial"/>
          <w:bCs/>
          <w:sz w:val="24"/>
        </w:rPr>
        <w:t xml:space="preserve"> </w:t>
      </w:r>
      <w:r w:rsidR="005C7354">
        <w:rPr>
          <w:rFonts w:ascii="Arial" w:hAnsi="Arial" w:cs="Arial"/>
          <w:bCs/>
          <w:sz w:val="24"/>
        </w:rPr>
        <w:t xml:space="preserve">I </w:t>
      </w:r>
      <w:r w:rsidR="00C01A26">
        <w:rPr>
          <w:rFonts w:ascii="Arial" w:hAnsi="Arial" w:cs="Arial"/>
          <w:bCs/>
          <w:sz w:val="24"/>
        </w:rPr>
        <w:t>find it a</w:t>
      </w:r>
      <w:r>
        <w:rPr>
          <w:rFonts w:ascii="Arial" w:hAnsi="Arial" w:cs="Arial"/>
          <w:bCs/>
          <w:sz w:val="24"/>
        </w:rPr>
        <w:t xml:space="preserve">pposite </w:t>
      </w:r>
      <w:r w:rsidR="0059131E">
        <w:rPr>
          <w:rFonts w:ascii="Arial" w:hAnsi="Arial" w:cs="Arial"/>
          <w:bCs/>
          <w:sz w:val="24"/>
        </w:rPr>
        <w:t xml:space="preserve">however </w:t>
      </w:r>
      <w:r>
        <w:rPr>
          <w:rFonts w:ascii="Arial" w:hAnsi="Arial" w:cs="Arial"/>
          <w:bCs/>
          <w:sz w:val="24"/>
        </w:rPr>
        <w:t xml:space="preserve">to </w:t>
      </w:r>
      <w:r w:rsidR="00121F72">
        <w:rPr>
          <w:rFonts w:ascii="Arial" w:hAnsi="Arial" w:cs="Arial"/>
          <w:bCs/>
          <w:sz w:val="24"/>
        </w:rPr>
        <w:t xml:space="preserve">quote liberally </w:t>
      </w:r>
      <w:r w:rsidR="00B51042">
        <w:rPr>
          <w:rFonts w:ascii="Arial" w:hAnsi="Arial" w:cs="Arial"/>
          <w:bCs/>
          <w:sz w:val="24"/>
        </w:rPr>
        <w:t>from</w:t>
      </w:r>
      <w:r w:rsidR="00C01A26">
        <w:rPr>
          <w:rFonts w:ascii="Arial" w:hAnsi="Arial" w:cs="Arial"/>
          <w:bCs/>
          <w:sz w:val="24"/>
        </w:rPr>
        <w:t xml:space="preserve"> the applicable paragraphs of the</w:t>
      </w:r>
      <w:r w:rsidR="00AE1234">
        <w:rPr>
          <w:rFonts w:ascii="Arial" w:hAnsi="Arial" w:cs="Arial"/>
          <w:bCs/>
          <w:sz w:val="24"/>
        </w:rPr>
        <w:t xml:space="preserve"> unanimous </w:t>
      </w:r>
      <w:r w:rsidR="00C01A26">
        <w:rPr>
          <w:rFonts w:ascii="Arial" w:hAnsi="Arial" w:cs="Arial"/>
          <w:bCs/>
          <w:sz w:val="24"/>
        </w:rPr>
        <w:t xml:space="preserve">judgment </w:t>
      </w:r>
      <w:r w:rsidR="00AE1234">
        <w:rPr>
          <w:rFonts w:ascii="Arial" w:hAnsi="Arial" w:cs="Arial"/>
          <w:bCs/>
          <w:sz w:val="24"/>
        </w:rPr>
        <w:t xml:space="preserve">penned by </w:t>
      </w:r>
      <w:r w:rsidR="00964A9F" w:rsidRPr="002D6D72">
        <w:rPr>
          <w:rFonts w:ascii="Arial" w:hAnsi="Arial" w:cs="Arial"/>
          <w:sz w:val="24"/>
          <w:szCs w:val="24"/>
        </w:rPr>
        <w:t>Math</w:t>
      </w:r>
      <w:r w:rsidR="00AE1234">
        <w:rPr>
          <w:rFonts w:ascii="Arial" w:hAnsi="Arial" w:cs="Arial"/>
          <w:sz w:val="24"/>
          <w:szCs w:val="24"/>
        </w:rPr>
        <w:t xml:space="preserve">opo JA </w:t>
      </w:r>
      <w:r w:rsidR="00964A9F" w:rsidRPr="002D6D72">
        <w:rPr>
          <w:rFonts w:ascii="Arial" w:hAnsi="Arial" w:cs="Arial"/>
          <w:sz w:val="24"/>
          <w:szCs w:val="24"/>
        </w:rPr>
        <w:t>on</w:t>
      </w:r>
      <w:r w:rsidR="007802B1">
        <w:rPr>
          <w:rFonts w:ascii="Arial" w:hAnsi="Arial" w:cs="Arial"/>
          <w:sz w:val="24"/>
          <w:szCs w:val="24"/>
        </w:rPr>
        <w:t xml:space="preserve"> behalf of </w:t>
      </w:r>
      <w:r w:rsidR="00AE1234">
        <w:rPr>
          <w:rFonts w:ascii="Arial" w:hAnsi="Arial" w:cs="Arial"/>
          <w:sz w:val="24"/>
          <w:szCs w:val="24"/>
        </w:rPr>
        <w:t xml:space="preserve">the </w:t>
      </w:r>
      <w:r w:rsidR="007802B1">
        <w:rPr>
          <w:rFonts w:ascii="Arial" w:hAnsi="Arial" w:cs="Arial"/>
          <w:sz w:val="24"/>
          <w:szCs w:val="24"/>
        </w:rPr>
        <w:t>full bench</w:t>
      </w:r>
      <w:r w:rsidR="00964A9F">
        <w:rPr>
          <w:rFonts w:ascii="Arial" w:eastAsia="Calibri" w:hAnsi="Arial" w:cs="Arial"/>
          <w:sz w:val="24"/>
          <w:szCs w:val="24"/>
        </w:rPr>
        <w:t>.</w:t>
      </w:r>
      <w:r w:rsidR="00B51042">
        <w:rPr>
          <w:rFonts w:ascii="Arial" w:eastAsia="Calibri" w:hAnsi="Arial" w:cs="Arial"/>
          <w:sz w:val="24"/>
          <w:szCs w:val="24"/>
        </w:rPr>
        <w:t xml:space="preserve"> All emphases</w:t>
      </w:r>
      <w:r w:rsidR="00874D9D">
        <w:rPr>
          <w:rFonts w:ascii="Arial" w:eastAsia="Calibri" w:hAnsi="Arial" w:cs="Arial"/>
          <w:sz w:val="24"/>
          <w:szCs w:val="24"/>
        </w:rPr>
        <w:t xml:space="preserve"> are</w:t>
      </w:r>
      <w:r w:rsidR="00B51042">
        <w:rPr>
          <w:rFonts w:ascii="Arial" w:eastAsia="Calibri" w:hAnsi="Arial" w:cs="Arial"/>
          <w:sz w:val="24"/>
          <w:szCs w:val="24"/>
        </w:rPr>
        <w:t xml:space="preserve"> that of myself.</w:t>
      </w:r>
    </w:p>
    <w:p w:rsidR="00B82D97" w:rsidRPr="00925DB5" w:rsidRDefault="00B82D97" w:rsidP="00925DB5">
      <w:pPr>
        <w:spacing w:line="360" w:lineRule="auto"/>
        <w:ind w:left="720" w:right="26" w:hanging="720"/>
        <w:jc w:val="both"/>
        <w:rPr>
          <w:bCs/>
          <w:sz w:val="24"/>
        </w:rPr>
      </w:pPr>
    </w:p>
    <w:p w:rsidR="00B70DB9" w:rsidRDefault="00D83368" w:rsidP="00C326A0">
      <w:pPr>
        <w:spacing w:line="360" w:lineRule="auto"/>
        <w:ind w:left="720" w:hanging="720"/>
        <w:jc w:val="both"/>
        <w:rPr>
          <w:rFonts w:ascii="Arial" w:eastAsia="Calibri" w:hAnsi="Arial" w:cs="Arial"/>
          <w:sz w:val="24"/>
          <w:szCs w:val="24"/>
        </w:rPr>
      </w:pPr>
      <w:r>
        <w:rPr>
          <w:rFonts w:ascii="Arial" w:eastAsia="Calibri" w:hAnsi="Arial" w:cs="Arial"/>
          <w:sz w:val="24"/>
          <w:szCs w:val="24"/>
        </w:rPr>
        <w:t>9.1</w:t>
      </w:r>
      <w:r w:rsidR="007802B1">
        <w:rPr>
          <w:rFonts w:ascii="Arial" w:eastAsia="Calibri" w:hAnsi="Arial" w:cs="Arial"/>
          <w:sz w:val="24"/>
          <w:szCs w:val="24"/>
        </w:rPr>
        <w:tab/>
        <w:t xml:space="preserve">The appeal </w:t>
      </w:r>
      <w:r w:rsidR="00121F72">
        <w:rPr>
          <w:rFonts w:ascii="Arial" w:eastAsia="Calibri" w:hAnsi="Arial" w:cs="Arial"/>
          <w:sz w:val="24"/>
          <w:szCs w:val="24"/>
        </w:rPr>
        <w:t xml:space="preserve">in </w:t>
      </w:r>
      <w:r w:rsidR="00121F72" w:rsidRPr="00DA7693">
        <w:rPr>
          <w:rFonts w:ascii="Arial" w:eastAsia="Calibri" w:hAnsi="Arial" w:cs="Arial"/>
          <w:b/>
          <w:i/>
          <w:sz w:val="24"/>
          <w:szCs w:val="24"/>
        </w:rPr>
        <w:t>Framatome</w:t>
      </w:r>
      <w:r w:rsidR="00121F72">
        <w:rPr>
          <w:rFonts w:ascii="Arial" w:eastAsia="Calibri" w:hAnsi="Arial" w:cs="Arial"/>
          <w:sz w:val="24"/>
          <w:szCs w:val="24"/>
        </w:rPr>
        <w:t xml:space="preserve"> </w:t>
      </w:r>
      <w:r w:rsidR="007802B1">
        <w:rPr>
          <w:rFonts w:ascii="Arial" w:eastAsia="Calibri" w:hAnsi="Arial" w:cs="Arial"/>
          <w:sz w:val="24"/>
          <w:szCs w:val="24"/>
        </w:rPr>
        <w:t xml:space="preserve">emanated from the Gauteng </w:t>
      </w:r>
      <w:r w:rsidR="005163B8">
        <w:rPr>
          <w:rFonts w:ascii="Arial" w:eastAsia="Calibri" w:hAnsi="Arial" w:cs="Arial"/>
          <w:sz w:val="24"/>
          <w:szCs w:val="24"/>
        </w:rPr>
        <w:t>South Division and concerned</w:t>
      </w:r>
      <w:r w:rsidR="00994242">
        <w:rPr>
          <w:rFonts w:ascii="Arial" w:eastAsia="Calibri" w:hAnsi="Arial" w:cs="Arial"/>
          <w:sz w:val="24"/>
          <w:szCs w:val="24"/>
        </w:rPr>
        <w:t xml:space="preserve"> </w:t>
      </w:r>
      <w:r w:rsidR="00C326A0">
        <w:rPr>
          <w:rFonts w:ascii="Arial" w:eastAsia="Calibri" w:hAnsi="Arial" w:cs="Arial"/>
          <w:sz w:val="24"/>
          <w:szCs w:val="24"/>
        </w:rPr>
        <w:t xml:space="preserve">a dispute that arose between the parties in relation to whether the project manager’s notification (and assessment) amounted to a compensation event. The trial court </w:t>
      </w:r>
      <w:r w:rsidR="009D6EB0">
        <w:rPr>
          <w:rFonts w:ascii="Arial" w:eastAsia="Calibri" w:hAnsi="Arial" w:cs="Arial"/>
          <w:sz w:val="24"/>
          <w:szCs w:val="24"/>
        </w:rPr>
        <w:t xml:space="preserve">had </w:t>
      </w:r>
      <w:r w:rsidR="00C326A0">
        <w:rPr>
          <w:rFonts w:ascii="Arial" w:eastAsia="Calibri" w:hAnsi="Arial" w:cs="Arial"/>
          <w:sz w:val="24"/>
          <w:szCs w:val="24"/>
        </w:rPr>
        <w:t>declined an order to enforce the award by the adjudicator.</w:t>
      </w:r>
      <w:r w:rsidR="00B4182A">
        <w:rPr>
          <w:rFonts w:ascii="Arial" w:eastAsia="Calibri" w:hAnsi="Arial" w:cs="Arial"/>
          <w:sz w:val="24"/>
          <w:szCs w:val="24"/>
        </w:rPr>
        <w:t xml:space="preserve"> </w:t>
      </w:r>
      <w:r w:rsidR="005163B8">
        <w:rPr>
          <w:rFonts w:ascii="Arial" w:eastAsia="Calibri" w:hAnsi="Arial" w:cs="Arial"/>
          <w:sz w:val="24"/>
          <w:szCs w:val="24"/>
        </w:rPr>
        <w:t>Although the applicable edition of</w:t>
      </w:r>
      <w:r w:rsidR="00192BBF">
        <w:rPr>
          <w:rFonts w:ascii="Arial" w:eastAsia="Calibri" w:hAnsi="Arial" w:cs="Arial"/>
          <w:sz w:val="24"/>
          <w:szCs w:val="24"/>
        </w:rPr>
        <w:t xml:space="preserve"> the </w:t>
      </w:r>
      <w:r w:rsidR="00192BBF" w:rsidRPr="00192BBF">
        <w:rPr>
          <w:rFonts w:ascii="Arial" w:hAnsi="Arial" w:cs="Arial"/>
          <w:sz w:val="24"/>
        </w:rPr>
        <w:t xml:space="preserve">NEC3 </w:t>
      </w:r>
      <w:r w:rsidR="00192BBF">
        <w:rPr>
          <w:rFonts w:ascii="Arial" w:hAnsi="Arial" w:cs="Arial"/>
          <w:sz w:val="24"/>
        </w:rPr>
        <w:t>was that with amendments of June 2006, the</w:t>
      </w:r>
      <w:r w:rsidR="00AE1234" w:rsidRPr="00192BBF">
        <w:rPr>
          <w:rFonts w:ascii="Arial" w:eastAsia="Calibri" w:hAnsi="Arial" w:cs="Arial"/>
          <w:sz w:val="24"/>
          <w:szCs w:val="24"/>
        </w:rPr>
        <w:t xml:space="preserve"> </w:t>
      </w:r>
      <w:r w:rsidR="00192BBF">
        <w:rPr>
          <w:rFonts w:ascii="Arial" w:eastAsia="Calibri" w:hAnsi="Arial" w:cs="Arial"/>
          <w:sz w:val="24"/>
          <w:szCs w:val="24"/>
        </w:rPr>
        <w:t xml:space="preserve">principles </w:t>
      </w:r>
      <w:r w:rsidR="005163B8">
        <w:rPr>
          <w:rFonts w:ascii="Arial" w:eastAsia="Calibri" w:hAnsi="Arial" w:cs="Arial"/>
          <w:sz w:val="24"/>
          <w:szCs w:val="24"/>
        </w:rPr>
        <w:t>in terms of</w:t>
      </w:r>
      <w:r w:rsidR="00192BBF">
        <w:rPr>
          <w:rFonts w:ascii="Arial" w:eastAsia="Calibri" w:hAnsi="Arial" w:cs="Arial"/>
          <w:sz w:val="24"/>
          <w:szCs w:val="24"/>
        </w:rPr>
        <w:t xml:space="preserve"> the dispute resolution process</w:t>
      </w:r>
      <w:r w:rsidR="005163B8">
        <w:rPr>
          <w:rFonts w:ascii="Arial" w:eastAsia="Calibri" w:hAnsi="Arial" w:cs="Arial"/>
          <w:sz w:val="24"/>
          <w:szCs w:val="24"/>
        </w:rPr>
        <w:t xml:space="preserve"> </w:t>
      </w:r>
      <w:r w:rsidR="00A74FEF">
        <w:rPr>
          <w:rFonts w:ascii="Arial" w:eastAsia="Calibri" w:hAnsi="Arial" w:cs="Arial"/>
          <w:sz w:val="24"/>
          <w:szCs w:val="24"/>
        </w:rPr>
        <w:t xml:space="preserve">(and more specifically clause W1.3 (10)) </w:t>
      </w:r>
      <w:r w:rsidR="005163B8">
        <w:rPr>
          <w:rFonts w:ascii="Arial" w:eastAsia="Calibri" w:hAnsi="Arial" w:cs="Arial"/>
          <w:sz w:val="24"/>
          <w:szCs w:val="24"/>
        </w:rPr>
        <w:t>are identical to that of</w:t>
      </w:r>
      <w:r>
        <w:rPr>
          <w:rFonts w:ascii="Arial" w:eastAsia="Calibri" w:hAnsi="Arial" w:cs="Arial"/>
          <w:sz w:val="24"/>
          <w:szCs w:val="24"/>
        </w:rPr>
        <w:t xml:space="preserve"> the application that serves before me for adjudication.</w:t>
      </w:r>
    </w:p>
    <w:p w:rsidR="009D6EB0" w:rsidRPr="003F3ECC" w:rsidRDefault="00D83368" w:rsidP="003F3ECC">
      <w:pPr>
        <w:spacing w:line="360" w:lineRule="auto"/>
        <w:ind w:left="720" w:hanging="720"/>
        <w:jc w:val="both"/>
        <w:rPr>
          <w:rFonts w:ascii="Arial" w:eastAsia="Calibri" w:hAnsi="Arial" w:cs="Arial"/>
          <w:sz w:val="24"/>
          <w:szCs w:val="24"/>
        </w:rPr>
      </w:pPr>
      <w:r>
        <w:rPr>
          <w:rFonts w:ascii="Arial" w:eastAsia="Calibri" w:hAnsi="Arial" w:cs="Arial"/>
          <w:sz w:val="24"/>
          <w:szCs w:val="24"/>
        </w:rPr>
        <w:t>9.</w:t>
      </w:r>
      <w:r w:rsidR="00B70DB9">
        <w:rPr>
          <w:rFonts w:ascii="Arial" w:eastAsia="Calibri" w:hAnsi="Arial" w:cs="Arial"/>
          <w:sz w:val="24"/>
          <w:szCs w:val="24"/>
        </w:rPr>
        <w:t>2</w:t>
      </w:r>
      <w:r w:rsidR="00B70DB9">
        <w:rPr>
          <w:rFonts w:ascii="Arial" w:eastAsia="Calibri" w:hAnsi="Arial" w:cs="Arial"/>
          <w:sz w:val="24"/>
          <w:szCs w:val="24"/>
        </w:rPr>
        <w:tab/>
      </w:r>
      <w:r w:rsidR="00B4182A">
        <w:rPr>
          <w:rFonts w:ascii="Arial" w:eastAsia="Calibri" w:hAnsi="Arial" w:cs="Arial"/>
          <w:sz w:val="24"/>
          <w:szCs w:val="24"/>
        </w:rPr>
        <w:t>Having set out the background to the appeal,</w:t>
      </w:r>
      <w:r w:rsidR="00761D96">
        <w:rPr>
          <w:rFonts w:ascii="Arial" w:eastAsia="Calibri" w:hAnsi="Arial" w:cs="Arial"/>
          <w:sz w:val="24"/>
          <w:szCs w:val="24"/>
        </w:rPr>
        <w:t xml:space="preserve"> Mathopo JA addressed</w:t>
      </w:r>
      <w:r w:rsidR="00B70DB9">
        <w:rPr>
          <w:rFonts w:ascii="Arial" w:eastAsia="Calibri" w:hAnsi="Arial" w:cs="Arial"/>
          <w:sz w:val="24"/>
          <w:szCs w:val="24"/>
        </w:rPr>
        <w:t xml:space="preserve"> in paragraph</w:t>
      </w:r>
      <w:r w:rsidR="00761D96">
        <w:rPr>
          <w:rFonts w:ascii="Arial" w:eastAsia="Calibri" w:hAnsi="Arial" w:cs="Arial"/>
          <w:sz w:val="24"/>
          <w:szCs w:val="24"/>
        </w:rPr>
        <w:t xml:space="preserve"> [20] the issue w</w:t>
      </w:r>
      <w:r w:rsidR="00DA7693">
        <w:rPr>
          <w:rFonts w:ascii="Arial" w:eastAsia="Calibri" w:hAnsi="Arial" w:cs="Arial"/>
          <w:sz w:val="24"/>
          <w:szCs w:val="24"/>
        </w:rPr>
        <w:t xml:space="preserve">hether the high court correctly </w:t>
      </w:r>
      <w:r w:rsidR="00761D96">
        <w:rPr>
          <w:rFonts w:ascii="Arial" w:eastAsia="Calibri" w:hAnsi="Arial" w:cs="Arial"/>
          <w:sz w:val="24"/>
          <w:szCs w:val="24"/>
        </w:rPr>
        <w:t>declined the order of enforcement</w:t>
      </w:r>
      <w:r w:rsidR="00A74FEF">
        <w:rPr>
          <w:rFonts w:ascii="Arial" w:eastAsia="Calibri" w:hAnsi="Arial" w:cs="Arial"/>
          <w:sz w:val="24"/>
          <w:szCs w:val="24"/>
        </w:rPr>
        <w:t xml:space="preserve"> and referred to the judgment of</w:t>
      </w:r>
      <w:r w:rsidR="00BB6844" w:rsidRPr="001C7077">
        <w:rPr>
          <w:rFonts w:ascii="Arial" w:hAnsi="Arial" w:cs="Arial"/>
        </w:rPr>
        <w:t xml:space="preserve"> </w:t>
      </w:r>
      <w:bookmarkStart w:id="1" w:name="_Hlk83395351"/>
      <w:r w:rsidR="00BB6844" w:rsidRPr="00DA7693">
        <w:rPr>
          <w:rFonts w:ascii="Arial" w:hAnsi="Arial" w:cs="Arial"/>
          <w:b/>
          <w:i/>
          <w:iCs/>
          <w:sz w:val="24"/>
          <w:szCs w:val="24"/>
        </w:rPr>
        <w:t xml:space="preserve">Radon Projects (Pty) Ltd v NV </w:t>
      </w:r>
      <w:r w:rsidR="00BB6844" w:rsidRPr="00DA7693">
        <w:rPr>
          <w:rFonts w:ascii="Arial" w:hAnsi="Arial" w:cs="Arial"/>
          <w:b/>
          <w:i/>
          <w:iCs/>
          <w:sz w:val="24"/>
          <w:szCs w:val="24"/>
        </w:rPr>
        <w:lastRenderedPageBreak/>
        <w:t>Properties (Pty) Ltd &amp; Another</w:t>
      </w:r>
      <w:bookmarkEnd w:id="1"/>
      <w:r w:rsidR="00BB6844" w:rsidRPr="001C7077">
        <w:rPr>
          <w:rFonts w:ascii="Arial" w:hAnsi="Arial" w:cs="Arial"/>
        </w:rPr>
        <w:t>,</w:t>
      </w:r>
      <w:r w:rsidR="00BB6844" w:rsidRPr="001C7077">
        <w:rPr>
          <w:rStyle w:val="FootnoteReference"/>
          <w:rFonts w:ascii="Arial" w:hAnsi="Arial" w:cs="Arial"/>
        </w:rPr>
        <w:footnoteReference w:id="6"/>
      </w:r>
      <w:r w:rsidR="00BB6844">
        <w:rPr>
          <w:rFonts w:ascii="Arial" w:hAnsi="Arial" w:cs="Arial"/>
        </w:rPr>
        <w:t xml:space="preserve"> </w:t>
      </w:r>
      <w:r w:rsidR="00BB6844" w:rsidRPr="00B51042">
        <w:rPr>
          <w:rFonts w:ascii="Arial" w:hAnsi="Arial" w:cs="Arial"/>
          <w:sz w:val="24"/>
          <w:szCs w:val="24"/>
        </w:rPr>
        <w:t xml:space="preserve">where the process of adjudication </w:t>
      </w:r>
      <w:r w:rsidR="00D922FF">
        <w:rPr>
          <w:rFonts w:ascii="Arial" w:hAnsi="Arial" w:cs="Arial"/>
          <w:sz w:val="24"/>
          <w:szCs w:val="24"/>
        </w:rPr>
        <w:t xml:space="preserve">(and its purpose) </w:t>
      </w:r>
      <w:r w:rsidR="00BB6844" w:rsidRPr="00B51042">
        <w:rPr>
          <w:rFonts w:ascii="Arial" w:hAnsi="Arial" w:cs="Arial"/>
          <w:sz w:val="24"/>
          <w:szCs w:val="24"/>
        </w:rPr>
        <w:t xml:space="preserve">was </w:t>
      </w:r>
      <w:r w:rsidR="00D922FF">
        <w:rPr>
          <w:rFonts w:ascii="Arial" w:hAnsi="Arial" w:cs="Arial"/>
          <w:sz w:val="24"/>
          <w:szCs w:val="24"/>
        </w:rPr>
        <w:t xml:space="preserve">comprehensively </w:t>
      </w:r>
      <w:r w:rsidR="00B51042">
        <w:rPr>
          <w:rFonts w:ascii="Arial" w:hAnsi="Arial" w:cs="Arial"/>
          <w:sz w:val="24"/>
          <w:szCs w:val="24"/>
        </w:rPr>
        <w:t xml:space="preserve">dealt with </w:t>
      </w:r>
      <w:r w:rsidR="00D922FF">
        <w:rPr>
          <w:rFonts w:ascii="Arial" w:hAnsi="Arial" w:cs="Arial"/>
          <w:sz w:val="24"/>
          <w:szCs w:val="24"/>
        </w:rPr>
        <w:t xml:space="preserve">and </w:t>
      </w:r>
      <w:r w:rsidR="00BB6844" w:rsidRPr="00B51042">
        <w:rPr>
          <w:rFonts w:ascii="Arial" w:hAnsi="Arial" w:cs="Arial"/>
          <w:sz w:val="24"/>
          <w:szCs w:val="24"/>
        </w:rPr>
        <w:t>described.</w:t>
      </w:r>
      <w:r w:rsidR="0059131E">
        <w:rPr>
          <w:rFonts w:ascii="Arial" w:hAnsi="Arial" w:cs="Arial"/>
          <w:sz w:val="24"/>
          <w:szCs w:val="24"/>
        </w:rPr>
        <w:t xml:space="preserve"> </w:t>
      </w:r>
    </w:p>
    <w:p w:rsidR="00B82D97" w:rsidRDefault="00B82D97" w:rsidP="009D6EB0">
      <w:pPr>
        <w:spacing w:line="360" w:lineRule="auto"/>
        <w:ind w:left="720" w:hanging="720"/>
        <w:jc w:val="both"/>
        <w:rPr>
          <w:rFonts w:ascii="Arial" w:eastAsia="Calibri" w:hAnsi="Arial" w:cs="Arial"/>
          <w:sz w:val="24"/>
          <w:szCs w:val="24"/>
        </w:rPr>
      </w:pPr>
    </w:p>
    <w:p w:rsidR="00074D96" w:rsidRDefault="00D83368" w:rsidP="009D6EB0">
      <w:pPr>
        <w:spacing w:line="360" w:lineRule="auto"/>
        <w:ind w:left="720" w:hanging="720"/>
        <w:jc w:val="both"/>
        <w:rPr>
          <w:rFonts w:ascii="Arial" w:hAnsi="Arial" w:cs="Arial"/>
        </w:rPr>
      </w:pPr>
      <w:r>
        <w:rPr>
          <w:rFonts w:ascii="Arial" w:eastAsia="Calibri" w:hAnsi="Arial" w:cs="Arial"/>
          <w:sz w:val="24"/>
          <w:szCs w:val="24"/>
        </w:rPr>
        <w:t>9.3</w:t>
      </w:r>
      <w:r w:rsidR="00B4182A">
        <w:rPr>
          <w:rFonts w:ascii="Arial" w:eastAsia="Calibri" w:hAnsi="Arial" w:cs="Arial"/>
          <w:sz w:val="24"/>
          <w:szCs w:val="24"/>
        </w:rPr>
        <w:tab/>
      </w:r>
      <w:r w:rsidR="00B51042">
        <w:rPr>
          <w:rFonts w:ascii="Arial" w:eastAsia="Calibri" w:hAnsi="Arial" w:cs="Arial"/>
          <w:sz w:val="24"/>
          <w:szCs w:val="24"/>
        </w:rPr>
        <w:t>Clause W.1.3 (10) was quoted</w:t>
      </w:r>
      <w:r w:rsidR="003F3ECC">
        <w:rPr>
          <w:rFonts w:eastAsia="Calibri"/>
          <w:sz w:val="24"/>
          <w:szCs w:val="24"/>
        </w:rPr>
        <w:t xml:space="preserve"> </w:t>
      </w:r>
      <w:r w:rsidR="00A25A5A">
        <w:rPr>
          <w:rFonts w:ascii="Arial" w:eastAsia="Calibri" w:hAnsi="Arial" w:cs="Arial"/>
          <w:sz w:val="24"/>
          <w:szCs w:val="24"/>
        </w:rPr>
        <w:t>an</w:t>
      </w:r>
      <w:r w:rsidR="000518C7">
        <w:rPr>
          <w:rFonts w:ascii="Arial" w:eastAsia="Calibri" w:hAnsi="Arial" w:cs="Arial"/>
          <w:sz w:val="24"/>
          <w:szCs w:val="24"/>
        </w:rPr>
        <w:t>d the court concluded by holding</w:t>
      </w:r>
      <w:r w:rsidR="00A25A5A">
        <w:rPr>
          <w:rFonts w:ascii="Arial" w:eastAsia="Calibri" w:hAnsi="Arial" w:cs="Arial"/>
          <w:sz w:val="24"/>
          <w:szCs w:val="24"/>
        </w:rPr>
        <w:t xml:space="preserve"> </w:t>
      </w:r>
      <w:r w:rsidR="00A25A5A" w:rsidRPr="00B70DB9">
        <w:rPr>
          <w:rFonts w:ascii="Arial" w:eastAsia="Calibri" w:hAnsi="Arial" w:cs="Arial"/>
        </w:rPr>
        <w:t>“…</w:t>
      </w:r>
      <w:r w:rsidR="00A25A5A" w:rsidRPr="00B70DB9">
        <w:rPr>
          <w:rFonts w:ascii="Arial" w:hAnsi="Arial" w:cs="Arial"/>
        </w:rPr>
        <w:t>It is clear that only the arbitration is the appropriate forum. In argument before us, Eskom conceded that the dispute has been referred to arbitration.”</w:t>
      </w:r>
      <w:r w:rsidR="00A74FEF">
        <w:rPr>
          <w:rStyle w:val="FootnoteReference"/>
        </w:rPr>
        <w:footnoteReference w:id="7"/>
      </w:r>
    </w:p>
    <w:p w:rsidR="008F6135" w:rsidRPr="009D6EB0" w:rsidRDefault="008F6135" w:rsidP="009D6EB0">
      <w:pPr>
        <w:spacing w:line="360" w:lineRule="auto"/>
        <w:ind w:left="720" w:hanging="720"/>
        <w:jc w:val="both"/>
        <w:rPr>
          <w:rFonts w:ascii="Arial" w:hAnsi="Arial" w:cs="Arial"/>
        </w:rPr>
      </w:pPr>
    </w:p>
    <w:p w:rsidR="002D6D72" w:rsidRPr="009331AE" w:rsidRDefault="00D83368" w:rsidP="009331AE">
      <w:pPr>
        <w:spacing w:line="360" w:lineRule="auto"/>
        <w:ind w:left="720" w:hanging="720"/>
        <w:jc w:val="both"/>
        <w:rPr>
          <w:rFonts w:ascii="Arial" w:eastAsia="Calibri" w:hAnsi="Arial" w:cs="Arial"/>
          <w:sz w:val="24"/>
          <w:szCs w:val="24"/>
        </w:rPr>
      </w:pPr>
      <w:r>
        <w:rPr>
          <w:rFonts w:ascii="Arial" w:eastAsia="Calibri" w:hAnsi="Arial" w:cs="Arial"/>
          <w:sz w:val="24"/>
          <w:szCs w:val="24"/>
        </w:rPr>
        <w:t>9.4</w:t>
      </w:r>
      <w:r w:rsidR="00B70DB9">
        <w:rPr>
          <w:rFonts w:ascii="Arial" w:eastAsia="Calibri" w:hAnsi="Arial" w:cs="Arial"/>
          <w:sz w:val="24"/>
          <w:szCs w:val="24"/>
        </w:rPr>
        <w:tab/>
      </w:r>
      <w:r w:rsidR="003A305E">
        <w:rPr>
          <w:rFonts w:ascii="Arial" w:eastAsia="Calibri" w:hAnsi="Arial" w:cs="Arial"/>
          <w:sz w:val="24"/>
          <w:szCs w:val="24"/>
        </w:rPr>
        <w:t>The arguments tendered by counsel for the respo</w:t>
      </w:r>
      <w:r w:rsidR="00A74FEF">
        <w:rPr>
          <w:rFonts w:ascii="Arial" w:eastAsia="Calibri" w:hAnsi="Arial" w:cs="Arial"/>
          <w:sz w:val="24"/>
          <w:szCs w:val="24"/>
        </w:rPr>
        <w:t>ndents, were found to be without</w:t>
      </w:r>
      <w:r w:rsidR="003A305E">
        <w:rPr>
          <w:rFonts w:ascii="Arial" w:eastAsia="Calibri" w:hAnsi="Arial" w:cs="Arial"/>
          <w:sz w:val="24"/>
          <w:szCs w:val="24"/>
        </w:rPr>
        <w:t xml:space="preserve"> merit.</w:t>
      </w:r>
      <w:r w:rsidR="00877F28">
        <w:rPr>
          <w:rFonts w:ascii="Arial" w:eastAsia="Calibri" w:hAnsi="Arial" w:cs="Arial"/>
          <w:sz w:val="24"/>
          <w:szCs w:val="24"/>
        </w:rPr>
        <w:t xml:space="preserve"> Mathopo</w:t>
      </w:r>
      <w:r w:rsidR="008D700F">
        <w:rPr>
          <w:rFonts w:ascii="Arial" w:eastAsia="Calibri" w:hAnsi="Arial" w:cs="Arial"/>
          <w:sz w:val="24"/>
          <w:szCs w:val="24"/>
        </w:rPr>
        <w:t xml:space="preserve"> JA held:</w:t>
      </w:r>
    </w:p>
    <w:p w:rsidR="00D83368" w:rsidRPr="00D83368" w:rsidRDefault="00A74FEF" w:rsidP="00D83368">
      <w:pPr>
        <w:spacing w:line="360" w:lineRule="auto"/>
        <w:ind w:left="1440" w:hanging="720"/>
        <w:jc w:val="both"/>
        <w:rPr>
          <w:rFonts w:ascii="Arial" w:hAnsi="Arial" w:cs="Arial"/>
        </w:rPr>
      </w:pPr>
      <w:r>
        <w:rPr>
          <w:rFonts w:ascii="Arial" w:hAnsi="Arial" w:cs="Arial"/>
        </w:rPr>
        <w:t>“</w:t>
      </w:r>
      <w:r w:rsidR="002D6D72" w:rsidRPr="00B70DB9">
        <w:rPr>
          <w:rFonts w:ascii="Arial" w:hAnsi="Arial" w:cs="Arial"/>
        </w:rPr>
        <w:t>[23]</w:t>
      </w:r>
      <w:r w:rsidR="002D6D72" w:rsidRPr="00B70DB9">
        <w:rPr>
          <w:rFonts w:ascii="Arial" w:hAnsi="Arial" w:cs="Arial"/>
        </w:rPr>
        <w:tab/>
        <w:t>If the interpretation contended for by Eskom is correct, it will substantially undermine the effectiveness of the scheme of adjudication.</w:t>
      </w:r>
      <w:r w:rsidR="002D6D72" w:rsidRPr="00B70DB9">
        <w:rPr>
          <w:rFonts w:ascii="Arial" w:hAnsi="Arial" w:cs="Arial"/>
          <w:u w:val="single"/>
        </w:rPr>
        <w:t xml:space="preserve"> It is plain that the purpose of adjudication was to introduce a speedy mechanism for settling disputes in construction contracts on a provisional interim basis and requiring the decisions of adjudicators to be enforced pending the final determination of disputes by arbitration. As far as the procedure is concerned, adjudicators are given a fairly free hand. They are required to act impartially and permitted to take the initiative in ascertaining the facts and the law. Sight should not be lost of the fact that adjudication is merely an intervening, provisional stage in the dispute resolution process. Parties still have a right of recourse to litigation and arbitration. Only a tribunal may revise an adjudicator’s decision. As that decision has not been revised, it remains binding and enforceable</w:t>
      </w:r>
      <w:r w:rsidR="00B70DB9">
        <w:rPr>
          <w:rFonts w:ascii="Arial" w:hAnsi="Arial" w:cs="Arial"/>
        </w:rPr>
        <w:t>…”</w:t>
      </w:r>
    </w:p>
    <w:p w:rsidR="00BB6844" w:rsidRPr="00D922FF" w:rsidRDefault="00C561CB" w:rsidP="007718A8">
      <w:pPr>
        <w:spacing w:line="360" w:lineRule="auto"/>
        <w:ind w:left="720" w:hanging="720"/>
        <w:jc w:val="both"/>
        <w:rPr>
          <w:rFonts w:ascii="Arial" w:hAnsi="Arial" w:cs="Arial"/>
        </w:rPr>
      </w:pPr>
      <w:r>
        <w:rPr>
          <w:rFonts w:ascii="Arial" w:hAnsi="Arial" w:cs="Arial"/>
          <w:sz w:val="24"/>
          <w:szCs w:val="24"/>
        </w:rPr>
        <w:t>9.5</w:t>
      </w:r>
      <w:r>
        <w:rPr>
          <w:rFonts w:ascii="Arial" w:hAnsi="Arial" w:cs="Arial"/>
          <w:sz w:val="24"/>
          <w:szCs w:val="24"/>
        </w:rPr>
        <w:tab/>
      </w:r>
      <w:r w:rsidR="00A74FEF">
        <w:rPr>
          <w:rFonts w:ascii="Arial" w:hAnsi="Arial" w:cs="Arial"/>
          <w:sz w:val="24"/>
          <w:szCs w:val="24"/>
        </w:rPr>
        <w:t>The court dealt with the submission by Eskom</w:t>
      </w:r>
      <w:r w:rsidR="00A74FEF">
        <w:rPr>
          <w:rFonts w:ascii="Arial" w:hAnsi="Arial" w:cs="Arial"/>
        </w:rPr>
        <w:t xml:space="preserve"> </w:t>
      </w:r>
      <w:r w:rsidR="002D6D72" w:rsidRPr="00C561CB">
        <w:rPr>
          <w:rFonts w:ascii="Arial" w:hAnsi="Arial" w:cs="Arial"/>
          <w:sz w:val="24"/>
          <w:szCs w:val="24"/>
        </w:rPr>
        <w:t>that the adjudicator exce</w:t>
      </w:r>
      <w:r w:rsidR="007718A8">
        <w:rPr>
          <w:rFonts w:ascii="Arial" w:hAnsi="Arial" w:cs="Arial"/>
          <w:sz w:val="24"/>
          <w:szCs w:val="24"/>
        </w:rPr>
        <w:t xml:space="preserve">eded his jurisdiction and the proper procedure had not been </w:t>
      </w:r>
      <w:r w:rsidR="002D6D72" w:rsidRPr="00C561CB">
        <w:rPr>
          <w:rFonts w:ascii="Arial" w:hAnsi="Arial" w:cs="Arial"/>
          <w:sz w:val="24"/>
          <w:szCs w:val="24"/>
        </w:rPr>
        <w:t>followed</w:t>
      </w:r>
      <w:r w:rsidR="007718A8">
        <w:rPr>
          <w:rFonts w:ascii="Arial" w:hAnsi="Arial" w:cs="Arial"/>
          <w:sz w:val="24"/>
          <w:szCs w:val="24"/>
        </w:rPr>
        <w:t>,</w:t>
      </w:r>
      <w:r w:rsidR="002D6D72" w:rsidRPr="00C561CB">
        <w:rPr>
          <w:rFonts w:ascii="Arial" w:hAnsi="Arial" w:cs="Arial"/>
          <w:sz w:val="24"/>
          <w:szCs w:val="24"/>
        </w:rPr>
        <w:t xml:space="preserve"> </w:t>
      </w:r>
      <w:r>
        <w:rPr>
          <w:rFonts w:ascii="Arial" w:hAnsi="Arial" w:cs="Arial"/>
          <w:sz w:val="24"/>
          <w:szCs w:val="24"/>
        </w:rPr>
        <w:t xml:space="preserve">and </w:t>
      </w:r>
      <w:r w:rsidR="008D700F">
        <w:rPr>
          <w:rFonts w:ascii="Arial" w:hAnsi="Arial" w:cs="Arial"/>
          <w:sz w:val="24"/>
          <w:szCs w:val="24"/>
        </w:rPr>
        <w:t>found that even this aspect did</w:t>
      </w:r>
      <w:r>
        <w:rPr>
          <w:rFonts w:ascii="Arial" w:hAnsi="Arial" w:cs="Arial"/>
          <w:sz w:val="24"/>
          <w:szCs w:val="24"/>
        </w:rPr>
        <w:t xml:space="preserve"> not entitle Eskom not to comply with the adjudicator’s award</w:t>
      </w:r>
      <w:r w:rsidR="008D700F">
        <w:rPr>
          <w:rFonts w:ascii="Arial" w:hAnsi="Arial" w:cs="Arial"/>
        </w:rPr>
        <w:t>: …</w:t>
      </w:r>
      <w:r w:rsidR="002D6D72" w:rsidRPr="00994242">
        <w:rPr>
          <w:rFonts w:ascii="Arial" w:hAnsi="Arial" w:cs="Arial"/>
        </w:rPr>
        <w:t xml:space="preserve"> </w:t>
      </w:r>
      <w:r w:rsidR="002D6D72" w:rsidRPr="00994242">
        <w:rPr>
          <w:rFonts w:ascii="Arial" w:hAnsi="Arial" w:cs="Arial"/>
          <w:u w:val="single"/>
        </w:rPr>
        <w:t>The adjudicator formulated the dispute with the understanding and appreciation of</w:t>
      </w:r>
      <w:r w:rsidR="0044439B">
        <w:rPr>
          <w:rFonts w:ascii="Arial" w:hAnsi="Arial" w:cs="Arial"/>
          <w:u w:val="single"/>
        </w:rPr>
        <w:t xml:space="preserve"> what the parties contemplated.</w:t>
      </w:r>
      <w:r w:rsidR="0044439B">
        <w:rPr>
          <w:rFonts w:ascii="Arial" w:hAnsi="Arial" w:cs="Arial"/>
        </w:rPr>
        <w:t xml:space="preserve"> </w:t>
      </w:r>
      <w:r w:rsidR="002D6D72" w:rsidRPr="00994242">
        <w:rPr>
          <w:rFonts w:ascii="Arial" w:hAnsi="Arial" w:cs="Arial"/>
        </w:rPr>
        <w:t>It is trite that if upon an application for enforcement of an adjudication decision, it is found that the adjudicator did not have the requisite jurisdiction, his decision will not be binding or enforceable</w:t>
      </w:r>
      <w:r w:rsidR="008D700F">
        <w:rPr>
          <w:rFonts w:ascii="Arial" w:hAnsi="Arial" w:cs="Arial"/>
        </w:rPr>
        <w:t>’</w:t>
      </w:r>
      <w:r w:rsidR="002D6D72" w:rsidRPr="00994242">
        <w:rPr>
          <w:rFonts w:ascii="Arial" w:hAnsi="Arial" w:cs="Arial"/>
        </w:rPr>
        <w:t>.</w:t>
      </w:r>
      <w:r w:rsidR="00A74FEF">
        <w:rPr>
          <w:rStyle w:val="FootnoteReference"/>
        </w:rPr>
        <w:footnoteReference w:id="8"/>
      </w:r>
      <w:r w:rsidR="002D6D72" w:rsidRPr="00994242">
        <w:rPr>
          <w:rFonts w:ascii="Arial" w:hAnsi="Arial" w:cs="Arial"/>
        </w:rPr>
        <w:t xml:space="preserve"> </w:t>
      </w:r>
      <w:r w:rsidR="00B82D97">
        <w:rPr>
          <w:rFonts w:ascii="Arial" w:hAnsi="Arial" w:cs="Arial"/>
          <w:sz w:val="24"/>
          <w:szCs w:val="24"/>
        </w:rPr>
        <w:t xml:space="preserve"> Mathope JA </w:t>
      </w:r>
      <w:r w:rsidR="008D700F" w:rsidRPr="008D700F">
        <w:rPr>
          <w:rFonts w:ascii="Arial" w:hAnsi="Arial" w:cs="Arial"/>
          <w:sz w:val="24"/>
          <w:szCs w:val="24"/>
        </w:rPr>
        <w:t>proceeded to state:</w:t>
      </w:r>
      <w:r w:rsidR="008D700F">
        <w:rPr>
          <w:rFonts w:ascii="Arial" w:hAnsi="Arial" w:cs="Arial"/>
        </w:rPr>
        <w:t xml:space="preserve"> “</w:t>
      </w:r>
      <w:r w:rsidR="002D6D72" w:rsidRPr="009331AE">
        <w:rPr>
          <w:rFonts w:ascii="Arial" w:hAnsi="Arial" w:cs="Arial"/>
        </w:rPr>
        <w:t xml:space="preserve">A determination of whether or not Framatome’s quotation was valid under the Contract and whether the process for the deemed acceptance of </w:t>
      </w:r>
      <w:r w:rsidR="002D6D72" w:rsidRPr="009331AE">
        <w:rPr>
          <w:rFonts w:ascii="Arial" w:hAnsi="Arial" w:cs="Arial"/>
        </w:rPr>
        <w:lastRenderedPageBreak/>
        <w:t xml:space="preserve">that quotation requires an analysis of the facts. </w:t>
      </w:r>
      <w:r w:rsidR="002D6D72" w:rsidRPr="009331AE">
        <w:rPr>
          <w:rFonts w:ascii="Arial" w:hAnsi="Arial" w:cs="Arial"/>
          <w:u w:val="single"/>
        </w:rPr>
        <w:t xml:space="preserve">This is an issue which the arbitrator will deal with in due course. That said, it is clear that the decision of the adjudicator is binding and enforceable. </w:t>
      </w:r>
      <w:r>
        <w:rPr>
          <w:rStyle w:val="FootnoteReference"/>
          <w:u w:val="single"/>
        </w:rPr>
        <w:footnoteReference w:id="9"/>
      </w:r>
      <w:r w:rsidR="007718A8">
        <w:rPr>
          <w:rFonts w:ascii="Arial" w:hAnsi="Arial" w:cs="Arial"/>
        </w:rPr>
        <w:t xml:space="preserve"> </w:t>
      </w:r>
      <w:r w:rsidR="00B82D97">
        <w:rPr>
          <w:rFonts w:ascii="Arial" w:hAnsi="Arial" w:cs="Arial"/>
          <w:sz w:val="24"/>
          <w:szCs w:val="24"/>
        </w:rPr>
        <w:t>At paragraph [29] it was held</w:t>
      </w:r>
      <w:r w:rsidR="007718A8" w:rsidRPr="008F6135">
        <w:rPr>
          <w:rFonts w:ascii="Arial" w:hAnsi="Arial" w:cs="Arial"/>
          <w:sz w:val="24"/>
          <w:szCs w:val="24"/>
        </w:rPr>
        <w:t xml:space="preserve"> that</w:t>
      </w:r>
      <w:r w:rsidR="007718A8">
        <w:rPr>
          <w:rFonts w:ascii="Arial" w:hAnsi="Arial" w:cs="Arial"/>
        </w:rPr>
        <w:t xml:space="preserve"> …’</w:t>
      </w:r>
      <w:r w:rsidR="002D6D72" w:rsidRPr="009331AE">
        <w:rPr>
          <w:rFonts w:ascii="Arial" w:hAnsi="Arial" w:cs="Arial"/>
        </w:rPr>
        <w:t xml:space="preserve">In the final analysis, the question to be asked is whether the adjudicator’s determination is binding on the parties. </w:t>
      </w:r>
      <w:r w:rsidR="002D6D72" w:rsidRPr="009331AE">
        <w:rPr>
          <w:rFonts w:ascii="Arial" w:hAnsi="Arial" w:cs="Arial"/>
          <w:u w:val="single"/>
        </w:rPr>
        <w:t>The answer to that question turns on whether the adjudicator confined himself to a determination of the issues that were put before him by the parties. If he did so, then the parties are bound by his determination, notwithstanding that he may have fallen into an error</w:t>
      </w:r>
      <w:r w:rsidR="002D6D72" w:rsidRPr="009331AE">
        <w:rPr>
          <w:rFonts w:ascii="Arial" w:hAnsi="Arial" w:cs="Arial"/>
        </w:rPr>
        <w:t>.</w:t>
      </w:r>
      <w:r w:rsidR="002D6D72" w:rsidRPr="009331AE">
        <w:rPr>
          <w:rStyle w:val="FootnoteReference"/>
          <w:rFonts w:ascii="Arial" w:hAnsi="Arial" w:cs="Arial"/>
        </w:rPr>
        <w:footnoteReference w:id="10"/>
      </w:r>
      <w:r w:rsidR="002D6D72" w:rsidRPr="009331AE">
        <w:rPr>
          <w:rFonts w:ascii="Arial" w:hAnsi="Arial" w:cs="Arial"/>
        </w:rPr>
        <w:t xml:space="preserve"> </w:t>
      </w:r>
    </w:p>
    <w:p w:rsidR="0059131E" w:rsidRDefault="0059131E" w:rsidP="00D922FF">
      <w:pPr>
        <w:spacing w:line="360" w:lineRule="auto"/>
        <w:ind w:left="720"/>
        <w:jc w:val="both"/>
        <w:rPr>
          <w:rFonts w:ascii="Arial" w:hAnsi="Arial" w:cs="Arial"/>
          <w:sz w:val="24"/>
          <w:szCs w:val="24"/>
          <w:lang w:eastAsia="en-ZA"/>
        </w:rPr>
      </w:pPr>
    </w:p>
    <w:p w:rsidR="0044439B" w:rsidRDefault="001F5392" w:rsidP="00D922FF">
      <w:pPr>
        <w:spacing w:line="360" w:lineRule="auto"/>
        <w:ind w:left="720"/>
        <w:jc w:val="both"/>
        <w:rPr>
          <w:rFonts w:ascii="Arial" w:hAnsi="Arial" w:cs="Arial"/>
          <w:sz w:val="24"/>
          <w:szCs w:val="24"/>
        </w:rPr>
      </w:pPr>
      <w:r>
        <w:rPr>
          <w:rFonts w:ascii="Arial" w:hAnsi="Arial" w:cs="Arial"/>
          <w:sz w:val="24"/>
          <w:szCs w:val="24"/>
          <w:lang w:eastAsia="en-ZA"/>
        </w:rPr>
        <w:t xml:space="preserve">The respondent </w:t>
      </w:r>
      <w:r w:rsidR="00BB6844">
        <w:rPr>
          <w:rFonts w:ascii="Arial" w:hAnsi="Arial" w:cs="Arial"/>
          <w:sz w:val="24"/>
          <w:szCs w:val="24"/>
          <w:lang w:eastAsia="en-ZA"/>
        </w:rPr>
        <w:t>did not attack the granting of the relief claimed by applicant on the basis that the adjudicator did not confine himself to a determination of the issu</w:t>
      </w:r>
      <w:r>
        <w:rPr>
          <w:rFonts w:ascii="Arial" w:hAnsi="Arial" w:cs="Arial"/>
          <w:sz w:val="24"/>
          <w:szCs w:val="24"/>
          <w:lang w:eastAsia="en-ZA"/>
        </w:rPr>
        <w:t xml:space="preserve">es put before him. </w:t>
      </w:r>
      <w:r w:rsidR="0044439B">
        <w:rPr>
          <w:rFonts w:ascii="Arial" w:hAnsi="Arial" w:cs="Arial"/>
          <w:sz w:val="24"/>
          <w:szCs w:val="24"/>
          <w:lang w:eastAsia="en-ZA"/>
        </w:rPr>
        <w:t xml:space="preserve">It can thus be accepted that the adjudicator indeed confined himself to </w:t>
      </w:r>
      <w:r w:rsidR="00B82D97">
        <w:rPr>
          <w:rFonts w:ascii="Arial" w:hAnsi="Arial" w:cs="Arial"/>
          <w:sz w:val="24"/>
          <w:szCs w:val="24"/>
          <w:lang w:eastAsia="en-ZA"/>
        </w:rPr>
        <w:t xml:space="preserve">such issues </w:t>
      </w:r>
      <w:r w:rsidR="0044439B">
        <w:rPr>
          <w:rFonts w:ascii="Arial" w:hAnsi="Arial" w:cs="Arial"/>
          <w:sz w:val="24"/>
          <w:szCs w:val="24"/>
          <w:lang w:eastAsia="en-ZA"/>
        </w:rPr>
        <w:t>before him and the parties are consequently</w:t>
      </w:r>
      <w:r w:rsidR="007718A8">
        <w:rPr>
          <w:rFonts w:ascii="Arial" w:hAnsi="Arial" w:cs="Arial"/>
          <w:sz w:val="24"/>
          <w:szCs w:val="24"/>
          <w:lang w:eastAsia="en-ZA"/>
        </w:rPr>
        <w:t xml:space="preserve"> bound by</w:t>
      </w:r>
      <w:r w:rsidR="0044439B">
        <w:rPr>
          <w:rFonts w:ascii="Arial" w:hAnsi="Arial" w:cs="Arial"/>
          <w:sz w:val="24"/>
          <w:szCs w:val="24"/>
          <w:lang w:eastAsia="en-ZA"/>
        </w:rPr>
        <w:t xml:space="preserve"> his determination. </w:t>
      </w:r>
      <w:r w:rsidR="007F2178">
        <w:rPr>
          <w:rFonts w:ascii="Arial" w:hAnsi="Arial" w:cs="Arial"/>
          <w:sz w:val="24"/>
          <w:szCs w:val="24"/>
          <w:lang w:eastAsia="en-ZA"/>
        </w:rPr>
        <w:t>Whether the adjudicator was correct in his findings is for the arbitrator to decide.</w:t>
      </w:r>
    </w:p>
    <w:p w:rsidR="0059131E" w:rsidRDefault="0059131E" w:rsidP="0044439B">
      <w:pPr>
        <w:spacing w:line="360" w:lineRule="auto"/>
        <w:ind w:left="720" w:hanging="720"/>
        <w:jc w:val="both"/>
        <w:rPr>
          <w:rFonts w:ascii="Arial" w:hAnsi="Arial" w:cs="Arial"/>
          <w:sz w:val="24"/>
          <w:szCs w:val="24"/>
        </w:rPr>
      </w:pPr>
    </w:p>
    <w:p w:rsidR="009D6EB0" w:rsidRPr="0044439B" w:rsidRDefault="0044439B" w:rsidP="0044439B">
      <w:pPr>
        <w:spacing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t>Counsel for respondent pressed on me to exercise</w:t>
      </w:r>
      <w:r w:rsidR="00D922FF">
        <w:rPr>
          <w:rFonts w:ascii="Arial" w:hAnsi="Arial" w:cs="Arial"/>
          <w:sz w:val="24"/>
          <w:szCs w:val="24"/>
        </w:rPr>
        <w:t xml:space="preserve"> my discretion in declining to enforce the adjudicator’s award in view of the fact that arbitration proceedings were pending and, as conveyed from the bar, submissions by the parties had already bee</w:t>
      </w:r>
      <w:r w:rsidR="008D700F">
        <w:rPr>
          <w:rFonts w:ascii="Arial" w:hAnsi="Arial" w:cs="Arial"/>
          <w:sz w:val="24"/>
          <w:szCs w:val="24"/>
        </w:rPr>
        <w:t>n furnished to the arbitrator.</w:t>
      </w:r>
      <w:r w:rsidR="00D922FF">
        <w:rPr>
          <w:rFonts w:ascii="Arial" w:hAnsi="Arial" w:cs="Arial"/>
          <w:sz w:val="24"/>
          <w:szCs w:val="24"/>
        </w:rPr>
        <w:t xml:space="preserve"> </w:t>
      </w:r>
      <w:r w:rsidR="009D6EB0">
        <w:rPr>
          <w:rFonts w:ascii="Arial" w:hAnsi="Arial" w:cs="Arial"/>
          <w:sz w:val="24"/>
          <w:szCs w:val="24"/>
        </w:rPr>
        <w:t xml:space="preserve">In </w:t>
      </w:r>
      <w:r w:rsidR="009D6EB0" w:rsidRPr="0044439B">
        <w:rPr>
          <w:rFonts w:ascii="Arial" w:hAnsi="Arial" w:cs="Arial"/>
          <w:b/>
          <w:i/>
          <w:sz w:val="24"/>
          <w:szCs w:val="24"/>
        </w:rPr>
        <w:t>Framatone</w:t>
      </w:r>
      <w:r w:rsidR="009D6EB0">
        <w:rPr>
          <w:rFonts w:ascii="Arial" w:hAnsi="Arial" w:cs="Arial"/>
          <w:sz w:val="24"/>
          <w:szCs w:val="24"/>
        </w:rPr>
        <w:t xml:space="preserve"> arbitration proceedings in respect of the adjudicator’s decision was, like in this instance, already instituted and pending.</w:t>
      </w:r>
      <w:r>
        <w:rPr>
          <w:rFonts w:ascii="Arial" w:hAnsi="Arial" w:cs="Arial"/>
          <w:sz w:val="24"/>
          <w:szCs w:val="24"/>
        </w:rPr>
        <w:t xml:space="preserve"> </w:t>
      </w:r>
      <w:r w:rsidR="00D922FF">
        <w:rPr>
          <w:rFonts w:ascii="Arial" w:hAnsi="Arial" w:cs="Arial"/>
          <w:sz w:val="24"/>
          <w:szCs w:val="24"/>
        </w:rPr>
        <w:t>Despite this aspect being dealt with thoroughly as indicated in the above mentioned paragraphs of</w:t>
      </w:r>
      <w:r w:rsidR="008D700F">
        <w:rPr>
          <w:rFonts w:ascii="Arial" w:hAnsi="Arial" w:cs="Arial"/>
          <w:sz w:val="24"/>
          <w:szCs w:val="24"/>
        </w:rPr>
        <w:t xml:space="preserve"> the judgment</w:t>
      </w:r>
      <w:r w:rsidR="00D922FF">
        <w:rPr>
          <w:rFonts w:ascii="Arial" w:hAnsi="Arial" w:cs="Arial"/>
          <w:sz w:val="24"/>
          <w:szCs w:val="24"/>
        </w:rPr>
        <w:t>, the court did not a</w:t>
      </w:r>
      <w:r>
        <w:rPr>
          <w:rFonts w:ascii="Arial" w:hAnsi="Arial" w:cs="Arial"/>
          <w:sz w:val="24"/>
          <w:szCs w:val="24"/>
        </w:rPr>
        <w:t>pply a</w:t>
      </w:r>
      <w:r w:rsidR="00D922FF">
        <w:rPr>
          <w:rFonts w:ascii="Arial" w:hAnsi="Arial" w:cs="Arial"/>
          <w:sz w:val="24"/>
          <w:szCs w:val="24"/>
        </w:rPr>
        <w:t>ny</w:t>
      </w:r>
      <w:r>
        <w:rPr>
          <w:rFonts w:ascii="Arial" w:hAnsi="Arial" w:cs="Arial"/>
          <w:sz w:val="24"/>
          <w:szCs w:val="24"/>
        </w:rPr>
        <w:t xml:space="preserve"> discretion </w:t>
      </w:r>
      <w:r w:rsidR="00D922FF">
        <w:rPr>
          <w:rFonts w:ascii="Arial" w:hAnsi="Arial" w:cs="Arial"/>
          <w:sz w:val="24"/>
          <w:szCs w:val="24"/>
        </w:rPr>
        <w:t xml:space="preserve">leading to a dismissal of the appeal. In fact, </w:t>
      </w:r>
      <w:r w:rsidR="009D6EB0">
        <w:rPr>
          <w:rFonts w:ascii="Arial" w:hAnsi="Arial" w:cs="Arial"/>
          <w:sz w:val="24"/>
          <w:szCs w:val="24"/>
        </w:rPr>
        <w:t>Mathopo JA concluded</w:t>
      </w:r>
      <w:r w:rsidR="001F5392">
        <w:rPr>
          <w:rFonts w:ascii="Arial" w:hAnsi="Arial" w:cs="Arial"/>
          <w:sz w:val="24"/>
          <w:szCs w:val="24"/>
        </w:rPr>
        <w:t>: …</w:t>
      </w:r>
      <w:r w:rsidR="009D6EB0">
        <w:rPr>
          <w:rFonts w:ascii="Arial" w:hAnsi="Arial" w:cs="Arial"/>
          <w:sz w:val="24"/>
          <w:szCs w:val="24"/>
        </w:rPr>
        <w:t xml:space="preserve"> </w:t>
      </w:r>
      <w:r w:rsidR="001F5392">
        <w:rPr>
          <w:rFonts w:ascii="Arial" w:hAnsi="Arial" w:cs="Arial"/>
        </w:rPr>
        <w:t>‘</w:t>
      </w:r>
      <w:r w:rsidR="009D6EB0" w:rsidRPr="009331AE">
        <w:rPr>
          <w:rFonts w:ascii="Arial" w:hAnsi="Arial" w:cs="Arial"/>
        </w:rPr>
        <w:t xml:space="preserve">To my mind, no justifiable reason exists for not fully giving effect to the adjudicator’s award. </w:t>
      </w:r>
      <w:r w:rsidR="009D6EB0" w:rsidRPr="009331AE">
        <w:rPr>
          <w:rFonts w:ascii="Arial" w:hAnsi="Arial" w:cs="Arial"/>
          <w:u w:val="single"/>
        </w:rPr>
        <w:t>Refusing to comply with the payment award of the adjudicator is disingenuous.</w:t>
      </w:r>
      <w:r w:rsidR="001F5392">
        <w:rPr>
          <w:rFonts w:ascii="Arial" w:hAnsi="Arial" w:cs="Arial"/>
        </w:rPr>
        <w:t>’</w:t>
      </w:r>
    </w:p>
    <w:p w:rsidR="00F53532" w:rsidRPr="0022186D" w:rsidRDefault="00121F72" w:rsidP="007F2178">
      <w:pPr>
        <w:spacing w:line="360" w:lineRule="auto"/>
        <w:ind w:left="720"/>
        <w:jc w:val="both"/>
        <w:rPr>
          <w:rFonts w:ascii="Arial" w:hAnsi="Arial" w:cs="Arial"/>
          <w:sz w:val="24"/>
          <w:szCs w:val="24"/>
        </w:rPr>
      </w:pPr>
      <w:r w:rsidRPr="00C561CB">
        <w:rPr>
          <w:rFonts w:ascii="Arial" w:hAnsi="Arial" w:cs="Arial"/>
          <w:sz w:val="24"/>
          <w:szCs w:val="24"/>
        </w:rPr>
        <w:t>The appeal was upheld</w:t>
      </w:r>
      <w:r w:rsidR="00C561CB">
        <w:rPr>
          <w:rFonts w:ascii="Arial" w:hAnsi="Arial" w:cs="Arial"/>
          <w:sz w:val="24"/>
          <w:szCs w:val="24"/>
        </w:rPr>
        <w:t xml:space="preserve">, </w:t>
      </w:r>
      <w:r w:rsidRPr="00C561CB">
        <w:rPr>
          <w:rFonts w:ascii="Arial" w:hAnsi="Arial" w:cs="Arial"/>
          <w:sz w:val="24"/>
          <w:szCs w:val="24"/>
        </w:rPr>
        <w:t xml:space="preserve">the order of the trial court </w:t>
      </w:r>
      <w:r w:rsidR="00C561CB">
        <w:rPr>
          <w:rFonts w:ascii="Arial" w:hAnsi="Arial" w:cs="Arial"/>
          <w:sz w:val="24"/>
          <w:szCs w:val="24"/>
        </w:rPr>
        <w:t xml:space="preserve">was </w:t>
      </w:r>
      <w:r w:rsidRPr="00C561CB">
        <w:rPr>
          <w:rFonts w:ascii="Arial" w:hAnsi="Arial" w:cs="Arial"/>
          <w:sz w:val="24"/>
          <w:szCs w:val="24"/>
        </w:rPr>
        <w:t xml:space="preserve">set aside </w:t>
      </w:r>
      <w:r w:rsidR="00C561CB">
        <w:rPr>
          <w:rFonts w:ascii="Arial" w:hAnsi="Arial" w:cs="Arial"/>
          <w:sz w:val="24"/>
          <w:szCs w:val="24"/>
        </w:rPr>
        <w:t>and replaced with the order</w:t>
      </w:r>
      <w:r w:rsidR="0044439B">
        <w:rPr>
          <w:rFonts w:ascii="Arial" w:hAnsi="Arial" w:cs="Arial"/>
          <w:sz w:val="24"/>
          <w:szCs w:val="24"/>
        </w:rPr>
        <w:t xml:space="preserve"> as prayed for by the appellant </w:t>
      </w:r>
      <w:r w:rsidR="00D922FF">
        <w:rPr>
          <w:rFonts w:ascii="Arial" w:hAnsi="Arial" w:cs="Arial"/>
          <w:sz w:val="24"/>
          <w:szCs w:val="24"/>
        </w:rPr>
        <w:t xml:space="preserve">(as applicant) </w:t>
      </w:r>
      <w:r w:rsidR="0044439B">
        <w:rPr>
          <w:rFonts w:ascii="Arial" w:hAnsi="Arial" w:cs="Arial"/>
          <w:sz w:val="24"/>
          <w:szCs w:val="24"/>
        </w:rPr>
        <w:t>in the trial court.</w:t>
      </w:r>
      <w:r w:rsidR="003426E8">
        <w:rPr>
          <w:rFonts w:ascii="Arial" w:hAnsi="Arial" w:cs="Arial"/>
          <w:sz w:val="24"/>
          <w:szCs w:val="24"/>
        </w:rPr>
        <w:t xml:space="preserve"> </w:t>
      </w:r>
      <w:r w:rsidR="00C561CB">
        <w:rPr>
          <w:rFonts w:ascii="Arial" w:hAnsi="Arial" w:cs="Arial"/>
          <w:sz w:val="24"/>
          <w:szCs w:val="24"/>
        </w:rPr>
        <w:t xml:space="preserve"> </w:t>
      </w:r>
    </w:p>
    <w:p w:rsidR="009331AE" w:rsidRDefault="008D700F" w:rsidP="00E40BAC">
      <w:pPr>
        <w:spacing w:line="360" w:lineRule="auto"/>
        <w:ind w:left="720" w:hanging="720"/>
        <w:jc w:val="both"/>
        <w:rPr>
          <w:rFonts w:ascii="Arial" w:eastAsia="Calibri" w:hAnsi="Arial" w:cs="Arial"/>
          <w:sz w:val="24"/>
          <w:szCs w:val="24"/>
        </w:rPr>
      </w:pPr>
      <w:r>
        <w:rPr>
          <w:rFonts w:ascii="Arial" w:eastAsia="Calibri" w:hAnsi="Arial" w:cs="Arial"/>
          <w:sz w:val="24"/>
          <w:szCs w:val="24"/>
        </w:rPr>
        <w:lastRenderedPageBreak/>
        <w:t>[11]</w:t>
      </w:r>
      <w:r>
        <w:rPr>
          <w:rFonts w:ascii="Arial" w:eastAsia="Calibri" w:hAnsi="Arial" w:cs="Arial"/>
          <w:sz w:val="24"/>
          <w:szCs w:val="24"/>
        </w:rPr>
        <w:tab/>
        <w:t xml:space="preserve">Applying the facts of this application to the principles enunciated </w:t>
      </w:r>
      <w:r w:rsidR="006F3946">
        <w:rPr>
          <w:rFonts w:ascii="Arial" w:eastAsia="Calibri" w:hAnsi="Arial" w:cs="Arial"/>
          <w:sz w:val="24"/>
          <w:szCs w:val="24"/>
        </w:rPr>
        <w:t xml:space="preserve">by </w:t>
      </w:r>
      <w:r>
        <w:rPr>
          <w:rFonts w:ascii="Arial" w:eastAsia="Calibri" w:hAnsi="Arial" w:cs="Arial"/>
          <w:sz w:val="24"/>
          <w:szCs w:val="24"/>
        </w:rPr>
        <w:t xml:space="preserve">and findings of the Supreme Court of Appeal in </w:t>
      </w:r>
      <w:r w:rsidRPr="006F3946">
        <w:rPr>
          <w:rFonts w:ascii="Arial" w:eastAsia="Calibri" w:hAnsi="Arial" w:cs="Arial"/>
          <w:b/>
          <w:i/>
          <w:sz w:val="24"/>
          <w:szCs w:val="24"/>
        </w:rPr>
        <w:t>Framatome</w:t>
      </w:r>
      <w:r>
        <w:rPr>
          <w:rFonts w:ascii="Arial" w:eastAsia="Calibri" w:hAnsi="Arial" w:cs="Arial"/>
          <w:sz w:val="24"/>
          <w:szCs w:val="24"/>
        </w:rPr>
        <w:t xml:space="preserve">, I am satisfied that the applicant has made out a proper case for the relief claimed. Despite the able arguments proffered by counsel for the respondent to convince me that the application should be dismissed in view thereof that </w:t>
      </w:r>
      <w:r w:rsidR="006F3946">
        <w:rPr>
          <w:rFonts w:ascii="Arial" w:eastAsia="Calibri" w:hAnsi="Arial" w:cs="Arial"/>
          <w:sz w:val="24"/>
          <w:szCs w:val="24"/>
        </w:rPr>
        <w:t xml:space="preserve">the award of the adjudicator is not final (due to it being subject to review by the </w:t>
      </w:r>
      <w:r w:rsidR="007718A8">
        <w:rPr>
          <w:rFonts w:ascii="Arial" w:eastAsia="Calibri" w:hAnsi="Arial" w:cs="Arial"/>
          <w:sz w:val="24"/>
          <w:szCs w:val="24"/>
        </w:rPr>
        <w:t>arbitrator</w:t>
      </w:r>
      <w:r w:rsidR="006F3946">
        <w:rPr>
          <w:rFonts w:ascii="Arial" w:eastAsia="Calibri" w:hAnsi="Arial" w:cs="Arial"/>
          <w:sz w:val="24"/>
          <w:szCs w:val="24"/>
        </w:rPr>
        <w:t>) and the application</w:t>
      </w:r>
      <w:r w:rsidR="007718A8">
        <w:rPr>
          <w:rFonts w:ascii="Arial" w:eastAsia="Calibri" w:hAnsi="Arial" w:cs="Arial"/>
          <w:sz w:val="24"/>
          <w:szCs w:val="24"/>
        </w:rPr>
        <w:t xml:space="preserve"> is</w:t>
      </w:r>
      <w:r w:rsidR="006F3946">
        <w:rPr>
          <w:rFonts w:ascii="Arial" w:eastAsia="Calibri" w:hAnsi="Arial" w:cs="Arial"/>
          <w:sz w:val="24"/>
          <w:szCs w:val="24"/>
        </w:rPr>
        <w:t xml:space="preserve"> accordingly premature, I have not been so convinced. </w:t>
      </w:r>
      <w:r w:rsidR="007718A8">
        <w:rPr>
          <w:rFonts w:ascii="Arial" w:eastAsia="Calibri" w:hAnsi="Arial" w:cs="Arial"/>
          <w:sz w:val="24"/>
          <w:szCs w:val="24"/>
        </w:rPr>
        <w:t>C</w:t>
      </w:r>
      <w:r w:rsidR="0001362D">
        <w:rPr>
          <w:rFonts w:ascii="Arial" w:eastAsia="Calibri" w:hAnsi="Arial" w:cs="Arial"/>
          <w:sz w:val="24"/>
          <w:szCs w:val="24"/>
        </w:rPr>
        <w:t>ounsel for applicant submitted</w:t>
      </w:r>
      <w:r w:rsidR="007718A8">
        <w:rPr>
          <w:rFonts w:ascii="Arial" w:eastAsia="Calibri" w:hAnsi="Arial" w:cs="Arial"/>
          <w:sz w:val="24"/>
          <w:szCs w:val="24"/>
        </w:rPr>
        <w:t xml:space="preserve"> that a proper case </w:t>
      </w:r>
      <w:r w:rsidR="006F3946">
        <w:rPr>
          <w:rFonts w:ascii="Arial" w:eastAsia="Calibri" w:hAnsi="Arial" w:cs="Arial"/>
          <w:sz w:val="24"/>
          <w:szCs w:val="24"/>
        </w:rPr>
        <w:t xml:space="preserve">for the </w:t>
      </w:r>
      <w:r w:rsidR="007718A8">
        <w:rPr>
          <w:rFonts w:ascii="Arial" w:eastAsia="Calibri" w:hAnsi="Arial" w:cs="Arial"/>
          <w:sz w:val="24"/>
          <w:szCs w:val="24"/>
        </w:rPr>
        <w:t>relief claimed was made out. I agree with her.</w:t>
      </w:r>
      <w:r w:rsidR="00E92853">
        <w:rPr>
          <w:rFonts w:ascii="Arial" w:eastAsia="Calibri" w:hAnsi="Arial" w:cs="Arial"/>
          <w:sz w:val="24"/>
          <w:szCs w:val="24"/>
        </w:rPr>
        <w:t xml:space="preserve"> The respondent made payment of only R </w:t>
      </w:r>
      <w:r w:rsidR="00E92853" w:rsidRPr="00E92853">
        <w:rPr>
          <w:rFonts w:ascii="Arial" w:eastAsia="Calibri" w:hAnsi="Arial" w:cs="Arial"/>
          <w:sz w:val="24"/>
          <w:szCs w:val="24"/>
          <w:lang w:val="en-US"/>
        </w:rPr>
        <w:t>8 222 621.10.</w:t>
      </w:r>
      <w:r w:rsidR="00E92853">
        <w:rPr>
          <w:rFonts w:ascii="Arial" w:eastAsia="Calibri" w:hAnsi="Arial" w:cs="Arial"/>
          <w:lang w:val="en-US"/>
        </w:rPr>
        <w:t xml:space="preserve"> </w:t>
      </w:r>
      <w:r w:rsidR="00BB4F3B">
        <w:rPr>
          <w:rFonts w:ascii="Arial" w:eastAsia="Calibri" w:hAnsi="Arial" w:cs="Arial"/>
          <w:sz w:val="24"/>
          <w:szCs w:val="24"/>
          <w:lang w:val="en-US"/>
        </w:rPr>
        <w:t>The</w:t>
      </w:r>
      <w:r w:rsidR="00E92853">
        <w:rPr>
          <w:rFonts w:ascii="Arial" w:eastAsia="Calibri" w:hAnsi="Arial" w:cs="Arial"/>
          <w:sz w:val="24"/>
          <w:szCs w:val="24"/>
          <w:lang w:val="en-US"/>
        </w:rPr>
        <w:t xml:space="preserve"> notice of motion </w:t>
      </w:r>
      <w:r w:rsidR="00BB4F3B">
        <w:rPr>
          <w:rFonts w:ascii="Arial" w:eastAsia="Calibri" w:hAnsi="Arial" w:cs="Arial"/>
          <w:sz w:val="24"/>
          <w:szCs w:val="24"/>
          <w:lang w:val="en-US"/>
        </w:rPr>
        <w:t xml:space="preserve">embodies the precise wording of the adjudicator’s award which includes a </w:t>
      </w:r>
      <w:r w:rsidR="00E92853">
        <w:rPr>
          <w:rFonts w:ascii="Arial" w:eastAsia="Calibri" w:hAnsi="Arial" w:cs="Arial"/>
          <w:sz w:val="24"/>
          <w:szCs w:val="24"/>
          <w:lang w:val="en-US"/>
        </w:rPr>
        <w:t xml:space="preserve">calculation of this amount being subtracted from the amount of </w:t>
      </w:r>
      <w:r w:rsidR="00F53532">
        <w:rPr>
          <w:rFonts w:ascii="Arial" w:eastAsia="Calibri" w:hAnsi="Arial" w:cs="Arial"/>
          <w:sz w:val="24"/>
          <w:szCs w:val="24"/>
          <w:lang w:val="en-US"/>
        </w:rPr>
        <w:t xml:space="preserve">                              </w:t>
      </w:r>
      <w:r w:rsidR="00E92853" w:rsidRPr="00635318">
        <w:rPr>
          <w:rFonts w:ascii="Arial" w:eastAsia="Calibri" w:hAnsi="Arial" w:cs="Arial"/>
          <w:sz w:val="24"/>
          <w:szCs w:val="24"/>
          <w:lang w:val="en-US"/>
        </w:rPr>
        <w:t>R</w:t>
      </w:r>
      <w:r w:rsidR="00F53532">
        <w:rPr>
          <w:rFonts w:ascii="Arial" w:eastAsia="Calibri" w:hAnsi="Arial" w:cs="Arial"/>
          <w:sz w:val="24"/>
          <w:szCs w:val="24"/>
          <w:lang w:val="en-US"/>
        </w:rPr>
        <w:t xml:space="preserve"> </w:t>
      </w:r>
      <w:r w:rsidR="00E92853" w:rsidRPr="00635318">
        <w:rPr>
          <w:rFonts w:ascii="Arial" w:eastAsia="Calibri" w:hAnsi="Arial" w:cs="Arial"/>
          <w:sz w:val="24"/>
          <w:szCs w:val="24"/>
          <w:lang w:val="en-US"/>
        </w:rPr>
        <w:t>14 280 737.40 (plus VAT)</w:t>
      </w:r>
      <w:r w:rsidR="00BB4F3B" w:rsidRPr="00635318">
        <w:rPr>
          <w:rFonts w:ascii="Arial" w:eastAsia="Calibri" w:hAnsi="Arial" w:cs="Arial"/>
          <w:sz w:val="24"/>
          <w:szCs w:val="24"/>
          <w:lang w:val="en-US"/>
        </w:rPr>
        <w:t>,</w:t>
      </w:r>
      <w:r w:rsidR="00E92853" w:rsidRPr="00635318">
        <w:rPr>
          <w:rFonts w:ascii="Arial" w:eastAsia="Calibri" w:hAnsi="Arial" w:cs="Arial"/>
          <w:sz w:val="24"/>
          <w:szCs w:val="24"/>
          <w:lang w:val="en-US"/>
        </w:rPr>
        <w:t xml:space="preserve"> as well as interest</w:t>
      </w:r>
      <w:r w:rsidR="00635318" w:rsidRPr="00635318">
        <w:rPr>
          <w:rFonts w:ascii="Arial" w:eastAsia="Calibri" w:hAnsi="Arial" w:cs="Arial"/>
          <w:sz w:val="24"/>
          <w:szCs w:val="24"/>
          <w:lang w:val="en-US"/>
        </w:rPr>
        <w:t xml:space="preserve"> as set out in </w:t>
      </w:r>
      <w:r w:rsidR="00635318">
        <w:rPr>
          <w:rFonts w:ascii="Arial" w:eastAsia="Calibri" w:hAnsi="Arial" w:cs="Arial"/>
          <w:sz w:val="24"/>
          <w:szCs w:val="24"/>
          <w:lang w:val="en-US"/>
        </w:rPr>
        <w:t xml:space="preserve">paragraphs </w:t>
      </w:r>
      <w:r w:rsidR="00635318" w:rsidRPr="00635318">
        <w:rPr>
          <w:rFonts w:ascii="Arial" w:eastAsia="Calibri" w:hAnsi="Arial" w:cs="Arial"/>
          <w:sz w:val="24"/>
          <w:szCs w:val="24"/>
          <w:lang w:val="en-US"/>
        </w:rPr>
        <w:t>11.2 and 11.3 of the award</w:t>
      </w:r>
      <w:r w:rsidR="008C0394">
        <w:rPr>
          <w:rFonts w:ascii="Arial" w:eastAsia="Calibri" w:hAnsi="Arial" w:cs="Arial"/>
          <w:sz w:val="24"/>
          <w:szCs w:val="24"/>
          <w:lang w:val="en-US"/>
        </w:rPr>
        <w:t>.</w:t>
      </w:r>
      <w:r w:rsidR="006B4050">
        <w:rPr>
          <w:rFonts w:ascii="Arial" w:eastAsia="Calibri" w:hAnsi="Arial" w:cs="Arial"/>
          <w:sz w:val="24"/>
          <w:szCs w:val="24"/>
          <w:lang w:val="en-US"/>
        </w:rPr>
        <w:t xml:space="preserve">  </w:t>
      </w:r>
      <w:r w:rsidR="001B0A3F">
        <w:rPr>
          <w:rFonts w:ascii="Arial" w:eastAsia="Calibri" w:hAnsi="Arial" w:cs="Arial"/>
          <w:sz w:val="24"/>
          <w:szCs w:val="24"/>
          <w:lang w:val="en-US"/>
        </w:rPr>
        <w:t>I</w:t>
      </w:r>
      <w:r w:rsidR="00635318">
        <w:rPr>
          <w:rFonts w:ascii="Arial" w:eastAsia="Calibri" w:hAnsi="Arial" w:cs="Arial"/>
          <w:sz w:val="24"/>
          <w:szCs w:val="24"/>
          <w:lang w:val="en-US"/>
        </w:rPr>
        <w:t xml:space="preserve"> was not called upon to review</w:t>
      </w:r>
      <w:r w:rsidR="001B0A3F">
        <w:rPr>
          <w:rFonts w:ascii="Arial" w:eastAsia="Calibri" w:hAnsi="Arial" w:cs="Arial"/>
          <w:sz w:val="24"/>
          <w:szCs w:val="24"/>
          <w:lang w:val="en-US"/>
        </w:rPr>
        <w:t xml:space="preserve"> the adjudicator’s award and thus refrain from any comments in </w:t>
      </w:r>
      <w:r w:rsidR="00635318">
        <w:rPr>
          <w:rFonts w:ascii="Arial" w:eastAsia="Calibri" w:hAnsi="Arial" w:cs="Arial"/>
          <w:sz w:val="24"/>
          <w:szCs w:val="24"/>
          <w:lang w:val="en-US"/>
        </w:rPr>
        <w:t>respect of the wording of the order and the paragraphs relating to interest.</w:t>
      </w:r>
      <w:r w:rsidR="00635318">
        <w:rPr>
          <w:rFonts w:ascii="Arial" w:eastAsia="Calibri" w:hAnsi="Arial" w:cs="Arial"/>
          <w:sz w:val="24"/>
          <w:szCs w:val="24"/>
        </w:rPr>
        <w:t xml:space="preserve"> </w:t>
      </w:r>
      <w:r w:rsidR="00D86C42">
        <w:rPr>
          <w:rFonts w:ascii="Arial" w:eastAsia="Calibri" w:hAnsi="Arial" w:cs="Arial"/>
          <w:sz w:val="24"/>
          <w:szCs w:val="24"/>
        </w:rPr>
        <w:t xml:space="preserve">It seemed that the respondent did indeed make certain payments, but the amount so mentioned is different from that which is indicated to be subtracted </w:t>
      </w:r>
      <w:r w:rsidR="00C03ECF">
        <w:rPr>
          <w:rFonts w:ascii="Arial" w:eastAsia="Calibri" w:hAnsi="Arial" w:cs="Arial"/>
          <w:sz w:val="24"/>
          <w:szCs w:val="24"/>
        </w:rPr>
        <w:t>in the arbitration award that I am being requested to enforce.</w:t>
      </w:r>
      <w:r w:rsidR="00462B2F">
        <w:rPr>
          <w:rFonts w:ascii="Arial" w:eastAsia="Calibri" w:hAnsi="Arial" w:cs="Arial"/>
          <w:sz w:val="24"/>
          <w:szCs w:val="24"/>
        </w:rPr>
        <w:t xml:space="preserve"> In my view it would be up to the parties to calculate the correct amounts due to the applicant in terms of the award.</w:t>
      </w:r>
    </w:p>
    <w:p w:rsidR="00655C1C" w:rsidRDefault="00861F4F" w:rsidP="008D2606">
      <w:pPr>
        <w:spacing w:line="360" w:lineRule="auto"/>
        <w:ind w:left="720" w:hanging="720"/>
        <w:jc w:val="both"/>
        <w:rPr>
          <w:rFonts w:ascii="Arial" w:eastAsia="Calibri" w:hAnsi="Arial" w:cs="Arial"/>
          <w:sz w:val="24"/>
          <w:szCs w:val="24"/>
        </w:rPr>
      </w:pPr>
      <w:r>
        <w:rPr>
          <w:rFonts w:ascii="Arial" w:eastAsia="Calibri" w:hAnsi="Arial" w:cs="Arial"/>
          <w:sz w:val="24"/>
          <w:szCs w:val="24"/>
        </w:rPr>
        <w:t>[12</w:t>
      </w:r>
      <w:r w:rsidR="009331AE">
        <w:rPr>
          <w:rFonts w:ascii="Arial" w:eastAsia="Calibri" w:hAnsi="Arial" w:cs="Arial"/>
          <w:sz w:val="24"/>
          <w:szCs w:val="24"/>
        </w:rPr>
        <w:t>]</w:t>
      </w:r>
      <w:r w:rsidR="009331AE">
        <w:rPr>
          <w:rFonts w:ascii="Arial" w:eastAsia="Calibri" w:hAnsi="Arial" w:cs="Arial"/>
          <w:sz w:val="24"/>
          <w:szCs w:val="24"/>
        </w:rPr>
        <w:tab/>
      </w:r>
      <w:r w:rsidR="00BB49BA">
        <w:rPr>
          <w:rFonts w:ascii="Arial" w:eastAsia="Calibri" w:hAnsi="Arial" w:cs="Arial"/>
          <w:sz w:val="24"/>
          <w:szCs w:val="24"/>
        </w:rPr>
        <w:t>There is no reason why co</w:t>
      </w:r>
      <w:r w:rsidR="00FD1EF7">
        <w:rPr>
          <w:rFonts w:ascii="Arial" w:eastAsia="Calibri" w:hAnsi="Arial" w:cs="Arial"/>
          <w:sz w:val="24"/>
          <w:szCs w:val="24"/>
        </w:rPr>
        <w:t>sts should not follow the event</w:t>
      </w:r>
      <w:r w:rsidR="00BB49BA">
        <w:rPr>
          <w:rFonts w:ascii="Arial" w:eastAsia="Calibri" w:hAnsi="Arial" w:cs="Arial"/>
          <w:sz w:val="24"/>
          <w:szCs w:val="24"/>
        </w:rPr>
        <w:t xml:space="preserve">. </w:t>
      </w:r>
      <w:r w:rsidR="009331AE">
        <w:rPr>
          <w:rFonts w:ascii="Arial" w:eastAsia="Calibri" w:hAnsi="Arial" w:cs="Arial"/>
          <w:sz w:val="24"/>
          <w:szCs w:val="24"/>
        </w:rPr>
        <w:t xml:space="preserve">Although </w:t>
      </w:r>
      <w:r w:rsidR="00635318">
        <w:rPr>
          <w:rFonts w:ascii="Arial" w:eastAsia="Calibri" w:hAnsi="Arial" w:cs="Arial"/>
          <w:sz w:val="24"/>
          <w:szCs w:val="24"/>
        </w:rPr>
        <w:t xml:space="preserve">counsel for </w:t>
      </w:r>
      <w:r w:rsidR="009331AE">
        <w:rPr>
          <w:rFonts w:ascii="Arial" w:eastAsia="Calibri" w:hAnsi="Arial" w:cs="Arial"/>
          <w:sz w:val="24"/>
          <w:szCs w:val="24"/>
        </w:rPr>
        <w:t>applicant pressed on me to award costs o</w:t>
      </w:r>
      <w:r w:rsidR="00BB49BA">
        <w:rPr>
          <w:rFonts w:ascii="Arial" w:eastAsia="Calibri" w:hAnsi="Arial" w:cs="Arial"/>
          <w:sz w:val="24"/>
          <w:szCs w:val="24"/>
        </w:rPr>
        <w:t xml:space="preserve">n a scale </w:t>
      </w:r>
      <w:r w:rsidR="00635318">
        <w:rPr>
          <w:rFonts w:ascii="Arial" w:eastAsia="Calibri" w:hAnsi="Arial" w:cs="Arial"/>
          <w:sz w:val="24"/>
          <w:szCs w:val="24"/>
        </w:rPr>
        <w:t>as between attorney and client. In my view the respondent, as an organ of state holding the purse of the public, was at liberty</w:t>
      </w:r>
      <w:r w:rsidR="00BB4F3B">
        <w:rPr>
          <w:rFonts w:ascii="Arial" w:eastAsia="Calibri" w:hAnsi="Arial" w:cs="Arial"/>
          <w:sz w:val="24"/>
          <w:szCs w:val="24"/>
        </w:rPr>
        <w:t xml:space="preserve"> </w:t>
      </w:r>
      <w:r w:rsidR="00635318">
        <w:rPr>
          <w:rFonts w:ascii="Arial" w:eastAsia="Calibri" w:hAnsi="Arial" w:cs="Arial"/>
          <w:sz w:val="24"/>
          <w:szCs w:val="24"/>
        </w:rPr>
        <w:t>to defend its view on the issues raised.</w:t>
      </w:r>
    </w:p>
    <w:p w:rsidR="003F3ECC" w:rsidRDefault="003F3ECC" w:rsidP="00E40BAC">
      <w:pPr>
        <w:spacing w:line="360" w:lineRule="auto"/>
        <w:ind w:left="720" w:hanging="720"/>
        <w:jc w:val="both"/>
        <w:rPr>
          <w:rFonts w:ascii="Arial" w:eastAsia="Calibri" w:hAnsi="Arial" w:cs="Arial"/>
          <w:sz w:val="24"/>
          <w:szCs w:val="24"/>
        </w:rPr>
      </w:pPr>
    </w:p>
    <w:p w:rsidR="00E40BAC" w:rsidRDefault="00861F4F" w:rsidP="00E40BAC">
      <w:pPr>
        <w:spacing w:line="360" w:lineRule="auto"/>
        <w:ind w:left="720" w:hanging="720"/>
        <w:jc w:val="both"/>
        <w:rPr>
          <w:rFonts w:ascii="Arial" w:eastAsia="Calibri" w:hAnsi="Arial" w:cs="Arial"/>
          <w:sz w:val="24"/>
          <w:szCs w:val="24"/>
        </w:rPr>
      </w:pPr>
      <w:r>
        <w:rPr>
          <w:rFonts w:ascii="Arial" w:eastAsia="Calibri" w:hAnsi="Arial" w:cs="Arial"/>
          <w:sz w:val="24"/>
          <w:szCs w:val="24"/>
        </w:rPr>
        <w:t>[13</w:t>
      </w:r>
      <w:r w:rsidR="00E40BAC">
        <w:rPr>
          <w:rFonts w:ascii="Arial" w:eastAsia="Calibri" w:hAnsi="Arial" w:cs="Arial"/>
          <w:sz w:val="24"/>
          <w:szCs w:val="24"/>
        </w:rPr>
        <w:t>]</w:t>
      </w:r>
      <w:r w:rsidR="00E40BAC">
        <w:rPr>
          <w:rFonts w:ascii="Arial" w:eastAsia="Calibri" w:hAnsi="Arial" w:cs="Arial"/>
          <w:sz w:val="24"/>
          <w:szCs w:val="24"/>
        </w:rPr>
        <w:tab/>
        <w:t>Accordingly I make the following order:</w:t>
      </w:r>
    </w:p>
    <w:p w:rsidR="005763CC" w:rsidRPr="00635318" w:rsidRDefault="005763CC" w:rsidP="005763CC">
      <w:pPr>
        <w:jc w:val="both"/>
        <w:rPr>
          <w:rFonts w:ascii="Arial" w:hAnsi="Arial" w:cs="Arial"/>
          <w:b/>
          <w:sz w:val="24"/>
          <w:szCs w:val="24"/>
        </w:rPr>
      </w:pPr>
    </w:p>
    <w:p w:rsidR="005763CC" w:rsidRPr="00861F4F" w:rsidRDefault="005763CC" w:rsidP="00861F4F">
      <w:pPr>
        <w:pStyle w:val="ListParagraph"/>
        <w:numPr>
          <w:ilvl w:val="1"/>
          <w:numId w:val="4"/>
        </w:numPr>
        <w:spacing w:line="360" w:lineRule="auto"/>
        <w:jc w:val="both"/>
        <w:rPr>
          <w:rFonts w:ascii="Arial" w:eastAsia="Calibri" w:hAnsi="Arial" w:cs="Arial"/>
          <w:sz w:val="24"/>
          <w:szCs w:val="24"/>
          <w:lang w:val="en-US"/>
        </w:rPr>
      </w:pPr>
      <w:r w:rsidRPr="00861F4F">
        <w:rPr>
          <w:rFonts w:ascii="Arial" w:eastAsia="Calibri" w:hAnsi="Arial" w:cs="Arial"/>
          <w:sz w:val="24"/>
          <w:szCs w:val="24"/>
          <w:lang w:val="en-US"/>
        </w:rPr>
        <w:t xml:space="preserve">The respondent is forthwith to give effect to the adjudication award </w:t>
      </w:r>
      <w:r w:rsidR="000D15F0" w:rsidRPr="00861F4F">
        <w:rPr>
          <w:rFonts w:ascii="Arial" w:eastAsia="Calibri" w:hAnsi="Arial" w:cs="Arial"/>
          <w:sz w:val="24"/>
          <w:szCs w:val="24"/>
          <w:lang w:val="en-US"/>
        </w:rPr>
        <w:t xml:space="preserve">of Adv. A </w:t>
      </w:r>
      <w:r w:rsidR="00682531">
        <w:rPr>
          <w:rFonts w:ascii="Arial" w:eastAsia="Calibri" w:hAnsi="Arial" w:cs="Arial"/>
          <w:sz w:val="24"/>
          <w:szCs w:val="24"/>
          <w:lang w:val="en-US"/>
        </w:rPr>
        <w:tab/>
      </w:r>
      <w:r w:rsidR="000D15F0" w:rsidRPr="00861F4F">
        <w:rPr>
          <w:rFonts w:ascii="Arial" w:eastAsia="Calibri" w:hAnsi="Arial" w:cs="Arial"/>
          <w:sz w:val="24"/>
          <w:szCs w:val="24"/>
          <w:lang w:val="en-US"/>
        </w:rPr>
        <w:t xml:space="preserve">Gautschi SC dated 5 April 2022 and </w:t>
      </w:r>
      <w:r w:rsidRPr="00861F4F">
        <w:rPr>
          <w:rFonts w:ascii="Arial" w:eastAsia="Calibri" w:hAnsi="Arial" w:cs="Arial"/>
          <w:sz w:val="24"/>
          <w:szCs w:val="24"/>
          <w:lang w:val="en-US"/>
        </w:rPr>
        <w:t>handed down on 7 April 2022</w:t>
      </w:r>
      <w:r w:rsidR="00635318" w:rsidRPr="00861F4F">
        <w:rPr>
          <w:rFonts w:ascii="Arial" w:eastAsia="Calibri" w:hAnsi="Arial" w:cs="Arial"/>
          <w:sz w:val="24"/>
          <w:szCs w:val="24"/>
          <w:lang w:val="en-US"/>
        </w:rPr>
        <w:t xml:space="preserve"> as annexed </w:t>
      </w:r>
      <w:r w:rsidR="00682531">
        <w:rPr>
          <w:rFonts w:ascii="Arial" w:eastAsia="Calibri" w:hAnsi="Arial" w:cs="Arial"/>
          <w:sz w:val="24"/>
          <w:szCs w:val="24"/>
          <w:lang w:val="en-US"/>
        </w:rPr>
        <w:tab/>
      </w:r>
      <w:r w:rsidR="00635318" w:rsidRPr="00861F4F">
        <w:rPr>
          <w:rFonts w:ascii="Arial" w:eastAsia="Calibri" w:hAnsi="Arial" w:cs="Arial"/>
          <w:sz w:val="24"/>
          <w:szCs w:val="24"/>
          <w:lang w:val="en-US"/>
        </w:rPr>
        <w:t xml:space="preserve">to the applicant’s founding affidavit </w:t>
      </w:r>
      <w:r w:rsidR="00861F4F" w:rsidRPr="00861F4F">
        <w:rPr>
          <w:rFonts w:ascii="Arial" w:eastAsia="Calibri" w:hAnsi="Arial" w:cs="Arial"/>
          <w:sz w:val="24"/>
          <w:szCs w:val="24"/>
          <w:lang w:val="en-US"/>
        </w:rPr>
        <w:t xml:space="preserve">and </w:t>
      </w:r>
      <w:r w:rsidR="00635318" w:rsidRPr="00861F4F">
        <w:rPr>
          <w:rFonts w:ascii="Arial" w:eastAsia="Calibri" w:hAnsi="Arial" w:cs="Arial"/>
          <w:sz w:val="24"/>
          <w:szCs w:val="24"/>
          <w:lang w:val="en-US"/>
        </w:rPr>
        <w:t>marked “CS9”.</w:t>
      </w:r>
    </w:p>
    <w:p w:rsidR="000D15F0" w:rsidRPr="00635318" w:rsidRDefault="000D15F0" w:rsidP="000D15F0">
      <w:pPr>
        <w:pStyle w:val="ListParagraph"/>
        <w:spacing w:line="360" w:lineRule="auto"/>
        <w:jc w:val="both"/>
        <w:rPr>
          <w:rFonts w:ascii="Arial" w:eastAsia="Calibri" w:hAnsi="Arial" w:cs="Arial"/>
          <w:sz w:val="24"/>
          <w:szCs w:val="24"/>
          <w:lang w:val="en-US"/>
        </w:rPr>
      </w:pPr>
    </w:p>
    <w:p w:rsidR="005763CC" w:rsidRPr="00861F4F" w:rsidRDefault="000D15F0" w:rsidP="00861F4F">
      <w:pPr>
        <w:pStyle w:val="ListParagraph"/>
        <w:numPr>
          <w:ilvl w:val="1"/>
          <w:numId w:val="4"/>
        </w:numPr>
        <w:spacing w:after="0" w:line="360" w:lineRule="auto"/>
        <w:jc w:val="both"/>
        <w:rPr>
          <w:rFonts w:ascii="Arial" w:eastAsia="Calibri" w:hAnsi="Arial" w:cs="Arial"/>
          <w:sz w:val="24"/>
          <w:szCs w:val="24"/>
          <w:lang w:val="en-US"/>
        </w:rPr>
      </w:pPr>
      <w:r w:rsidRPr="00861F4F">
        <w:rPr>
          <w:rFonts w:ascii="Arial" w:eastAsia="Calibri" w:hAnsi="Arial" w:cs="Arial"/>
          <w:sz w:val="24"/>
          <w:szCs w:val="24"/>
          <w:lang w:val="en-US"/>
        </w:rPr>
        <w:t xml:space="preserve">Pursuant to the </w:t>
      </w:r>
      <w:r w:rsidR="005763CC" w:rsidRPr="00861F4F">
        <w:rPr>
          <w:rFonts w:ascii="Arial" w:eastAsia="Calibri" w:hAnsi="Arial" w:cs="Arial"/>
          <w:sz w:val="24"/>
          <w:szCs w:val="24"/>
          <w:lang w:val="en-US"/>
        </w:rPr>
        <w:t>adjudication award, the respondent</w:t>
      </w:r>
      <w:r w:rsidR="00635318" w:rsidRPr="00861F4F">
        <w:rPr>
          <w:rFonts w:ascii="Arial" w:eastAsia="Calibri" w:hAnsi="Arial" w:cs="Arial"/>
          <w:sz w:val="24"/>
          <w:szCs w:val="24"/>
          <w:lang w:val="en-US"/>
        </w:rPr>
        <w:t xml:space="preserve"> is ordered to pay the </w:t>
      </w:r>
      <w:r w:rsidR="00682531">
        <w:rPr>
          <w:rFonts w:ascii="Arial" w:eastAsia="Calibri" w:hAnsi="Arial" w:cs="Arial"/>
          <w:sz w:val="24"/>
          <w:szCs w:val="24"/>
          <w:lang w:val="en-US"/>
        </w:rPr>
        <w:tab/>
      </w:r>
      <w:r w:rsidR="00682531">
        <w:rPr>
          <w:rFonts w:ascii="Arial" w:eastAsia="Calibri" w:hAnsi="Arial" w:cs="Arial"/>
          <w:sz w:val="24"/>
          <w:szCs w:val="24"/>
          <w:lang w:val="en-US"/>
        </w:rPr>
        <w:tab/>
      </w:r>
      <w:r w:rsidR="00635318" w:rsidRPr="00861F4F">
        <w:rPr>
          <w:rFonts w:ascii="Arial" w:eastAsia="Calibri" w:hAnsi="Arial" w:cs="Arial"/>
          <w:sz w:val="24"/>
          <w:szCs w:val="24"/>
          <w:lang w:val="en-US"/>
        </w:rPr>
        <w:t>applicant</w:t>
      </w:r>
      <w:r w:rsidR="005763CC" w:rsidRPr="00861F4F">
        <w:rPr>
          <w:rFonts w:ascii="Arial" w:eastAsia="Calibri" w:hAnsi="Arial" w:cs="Arial"/>
          <w:sz w:val="24"/>
          <w:szCs w:val="24"/>
          <w:lang w:val="en-US"/>
        </w:rPr>
        <w:t>:</w:t>
      </w:r>
    </w:p>
    <w:p w:rsidR="005763CC" w:rsidRPr="00635318" w:rsidRDefault="005763CC" w:rsidP="005763CC">
      <w:pPr>
        <w:spacing w:line="360" w:lineRule="auto"/>
        <w:ind w:left="720" w:hanging="720"/>
        <w:jc w:val="both"/>
        <w:rPr>
          <w:rFonts w:ascii="Arial" w:eastAsia="Calibri" w:hAnsi="Arial" w:cs="Arial"/>
          <w:sz w:val="24"/>
          <w:szCs w:val="24"/>
          <w:lang w:val="en-US"/>
        </w:rPr>
      </w:pPr>
    </w:p>
    <w:p w:rsidR="00877F28" w:rsidRDefault="00877F28" w:rsidP="00877F28">
      <w:pPr>
        <w:tabs>
          <w:tab w:val="left" w:pos="851"/>
          <w:tab w:val="left" w:pos="1701"/>
        </w:tabs>
        <w:spacing w:after="0" w:line="360" w:lineRule="auto"/>
        <w:ind w:left="1560" w:hanging="1560"/>
        <w:jc w:val="both"/>
        <w:rPr>
          <w:rFonts w:ascii="Arial" w:eastAsia="Calibri" w:hAnsi="Arial" w:cs="Arial"/>
          <w:sz w:val="24"/>
          <w:szCs w:val="24"/>
          <w:lang w:val="en-US"/>
        </w:rPr>
      </w:pPr>
      <w:r>
        <w:rPr>
          <w:rFonts w:ascii="Arial" w:eastAsia="Calibri" w:hAnsi="Arial" w:cs="Arial"/>
          <w:sz w:val="24"/>
          <w:szCs w:val="24"/>
          <w:lang w:val="en-US"/>
        </w:rPr>
        <w:tab/>
      </w:r>
      <w:r w:rsidR="00682531">
        <w:rPr>
          <w:rFonts w:ascii="Arial" w:eastAsia="Calibri" w:hAnsi="Arial" w:cs="Arial"/>
          <w:sz w:val="24"/>
          <w:szCs w:val="24"/>
          <w:lang w:val="en-US"/>
        </w:rPr>
        <w:t>13.2.1.</w:t>
      </w:r>
      <w:r w:rsidR="0040617A">
        <w:rPr>
          <w:rFonts w:ascii="Arial" w:eastAsia="Calibri" w:hAnsi="Arial" w:cs="Arial"/>
          <w:sz w:val="24"/>
          <w:szCs w:val="24"/>
          <w:lang w:val="en-US"/>
        </w:rPr>
        <w:t xml:space="preserve"> </w:t>
      </w:r>
      <w:r w:rsidR="00682531" w:rsidRPr="00861F4F">
        <w:rPr>
          <w:rFonts w:ascii="Arial" w:eastAsia="Calibri" w:hAnsi="Arial" w:cs="Arial"/>
          <w:sz w:val="24"/>
          <w:szCs w:val="24"/>
          <w:lang w:val="en-US"/>
        </w:rPr>
        <w:t>R</w:t>
      </w:r>
      <w:r w:rsidR="005763CC" w:rsidRPr="00861F4F">
        <w:rPr>
          <w:rFonts w:ascii="Arial" w:eastAsia="Calibri" w:hAnsi="Arial" w:cs="Arial"/>
          <w:sz w:val="24"/>
          <w:szCs w:val="24"/>
          <w:lang w:val="en-US"/>
        </w:rPr>
        <w:t xml:space="preserve">14 280 737.40 plus VAT less R8 222 621.10, in other words </w:t>
      </w:r>
      <w:r>
        <w:rPr>
          <w:rFonts w:ascii="Arial" w:eastAsia="Calibri" w:hAnsi="Arial" w:cs="Arial"/>
          <w:sz w:val="24"/>
          <w:szCs w:val="24"/>
          <w:lang w:val="en-US"/>
        </w:rPr>
        <w:tab/>
      </w:r>
      <w:r>
        <w:rPr>
          <w:rFonts w:ascii="Arial" w:eastAsia="Calibri" w:hAnsi="Arial" w:cs="Arial"/>
          <w:sz w:val="24"/>
          <w:szCs w:val="24"/>
          <w:lang w:val="en-US"/>
        </w:rPr>
        <w:tab/>
      </w:r>
      <w:r w:rsidR="005763CC" w:rsidRPr="00861F4F">
        <w:rPr>
          <w:rFonts w:ascii="Arial" w:eastAsia="Calibri" w:hAnsi="Arial" w:cs="Arial"/>
          <w:sz w:val="24"/>
          <w:szCs w:val="24"/>
          <w:lang w:val="en-US"/>
        </w:rPr>
        <w:t>R8 200 229.91;</w:t>
      </w:r>
    </w:p>
    <w:p w:rsidR="0040617A" w:rsidRDefault="0040617A" w:rsidP="00877F28">
      <w:pPr>
        <w:tabs>
          <w:tab w:val="left" w:pos="851"/>
          <w:tab w:val="left" w:pos="1701"/>
        </w:tabs>
        <w:spacing w:after="0" w:line="360" w:lineRule="auto"/>
        <w:ind w:left="1560" w:hanging="1560"/>
        <w:jc w:val="both"/>
        <w:rPr>
          <w:rFonts w:ascii="Arial" w:eastAsia="Calibri" w:hAnsi="Arial" w:cs="Arial"/>
          <w:sz w:val="24"/>
          <w:szCs w:val="24"/>
          <w:lang w:val="en-US"/>
        </w:rPr>
      </w:pPr>
    </w:p>
    <w:p w:rsidR="0040617A" w:rsidRDefault="0040617A" w:rsidP="0040617A">
      <w:pPr>
        <w:pStyle w:val="ListParagraph"/>
        <w:numPr>
          <w:ilvl w:val="2"/>
          <w:numId w:val="8"/>
        </w:numPr>
        <w:tabs>
          <w:tab w:val="left" w:pos="284"/>
          <w:tab w:val="left" w:pos="851"/>
          <w:tab w:val="left" w:pos="1418"/>
          <w:tab w:val="left" w:pos="1701"/>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 </w:t>
      </w:r>
      <w:r w:rsidR="005763CC" w:rsidRPr="0040617A">
        <w:rPr>
          <w:rFonts w:ascii="Arial" w:eastAsia="Calibri" w:hAnsi="Arial" w:cs="Arial"/>
          <w:sz w:val="24"/>
          <w:szCs w:val="24"/>
          <w:lang w:val="en-US"/>
        </w:rPr>
        <w:t>Interest on the amount of R14 280 737.40 plus VAT at the rate of 7</w:t>
      </w:r>
      <w:r w:rsidRPr="0040617A">
        <w:rPr>
          <w:rFonts w:ascii="Arial" w:eastAsia="Calibri" w:hAnsi="Arial" w:cs="Arial"/>
          <w:sz w:val="24"/>
          <w:szCs w:val="24"/>
          <w:lang w:val="en-US"/>
        </w:rPr>
        <w:t xml:space="preserve">% </w:t>
      </w:r>
      <w:r>
        <w:rPr>
          <w:rFonts w:ascii="Arial" w:eastAsia="Calibri" w:hAnsi="Arial" w:cs="Arial"/>
          <w:sz w:val="24"/>
          <w:szCs w:val="24"/>
          <w:lang w:val="en-US"/>
        </w:rPr>
        <w:tab/>
      </w:r>
      <w:r w:rsidR="005763CC" w:rsidRPr="0040617A">
        <w:rPr>
          <w:rFonts w:ascii="Arial" w:eastAsia="Calibri" w:hAnsi="Arial" w:cs="Arial"/>
          <w:sz w:val="24"/>
          <w:szCs w:val="24"/>
          <w:lang w:val="en-US"/>
        </w:rPr>
        <w:t>per annum from 26 October 2021 to 31 March 2022; and</w:t>
      </w:r>
    </w:p>
    <w:p w:rsidR="0040617A" w:rsidRDefault="0040617A" w:rsidP="0040617A">
      <w:pPr>
        <w:pStyle w:val="ListParagraph"/>
        <w:tabs>
          <w:tab w:val="left" w:pos="284"/>
          <w:tab w:val="left" w:pos="851"/>
          <w:tab w:val="left" w:pos="1701"/>
        </w:tabs>
        <w:spacing w:after="0" w:line="360" w:lineRule="auto"/>
        <w:ind w:left="1568"/>
        <w:jc w:val="both"/>
        <w:rPr>
          <w:rFonts w:ascii="Arial" w:eastAsia="Calibri" w:hAnsi="Arial" w:cs="Arial"/>
          <w:sz w:val="24"/>
          <w:szCs w:val="24"/>
          <w:lang w:val="en-US"/>
        </w:rPr>
      </w:pPr>
    </w:p>
    <w:p w:rsidR="005763CC" w:rsidRPr="0040617A" w:rsidRDefault="0040617A" w:rsidP="0040617A">
      <w:pPr>
        <w:pStyle w:val="ListParagraph"/>
        <w:numPr>
          <w:ilvl w:val="2"/>
          <w:numId w:val="8"/>
        </w:numPr>
        <w:tabs>
          <w:tab w:val="left" w:pos="851"/>
          <w:tab w:val="left" w:pos="1701"/>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 </w:t>
      </w:r>
      <w:r w:rsidR="005763CC" w:rsidRPr="0040617A">
        <w:rPr>
          <w:rFonts w:ascii="Arial" w:eastAsia="Calibri" w:hAnsi="Arial" w:cs="Arial"/>
          <w:sz w:val="24"/>
          <w:szCs w:val="24"/>
          <w:lang w:val="en-US"/>
        </w:rPr>
        <w:t xml:space="preserve">Interest on the balance of the amount due of R8 200 229.91 (inclusive </w:t>
      </w:r>
      <w:r>
        <w:rPr>
          <w:rFonts w:ascii="Arial" w:eastAsia="Calibri" w:hAnsi="Arial" w:cs="Arial"/>
          <w:sz w:val="24"/>
          <w:szCs w:val="24"/>
          <w:lang w:val="en-US"/>
        </w:rPr>
        <w:tab/>
      </w:r>
      <w:r w:rsidR="005763CC" w:rsidRPr="0040617A">
        <w:rPr>
          <w:rFonts w:ascii="Arial" w:eastAsia="Calibri" w:hAnsi="Arial" w:cs="Arial"/>
          <w:sz w:val="24"/>
          <w:szCs w:val="24"/>
          <w:lang w:val="en-US"/>
        </w:rPr>
        <w:t>of VAT) at 7% per annum from 1 April 2022 to the date of payment.</w:t>
      </w:r>
    </w:p>
    <w:p w:rsidR="005763CC" w:rsidRPr="00635318" w:rsidRDefault="005763CC" w:rsidP="005763CC">
      <w:pPr>
        <w:spacing w:line="360" w:lineRule="auto"/>
        <w:ind w:left="720" w:hanging="720"/>
        <w:jc w:val="both"/>
        <w:rPr>
          <w:rFonts w:ascii="Arial" w:eastAsia="Calibri" w:hAnsi="Arial" w:cs="Arial"/>
          <w:sz w:val="24"/>
          <w:szCs w:val="24"/>
          <w:lang w:val="en-US"/>
        </w:rPr>
      </w:pPr>
    </w:p>
    <w:p w:rsidR="006A6BBE" w:rsidRPr="00635318" w:rsidRDefault="00861F4F" w:rsidP="00861F4F">
      <w:pPr>
        <w:spacing w:line="360" w:lineRule="auto"/>
        <w:jc w:val="both"/>
        <w:rPr>
          <w:rFonts w:ascii="Arial" w:eastAsia="Calibri" w:hAnsi="Arial" w:cs="Arial"/>
          <w:sz w:val="24"/>
          <w:szCs w:val="24"/>
          <w:lang w:val="en-US"/>
        </w:rPr>
      </w:pPr>
      <w:r>
        <w:rPr>
          <w:rFonts w:ascii="Arial" w:eastAsia="Calibri" w:hAnsi="Arial" w:cs="Arial"/>
          <w:sz w:val="24"/>
          <w:szCs w:val="24"/>
          <w:lang w:val="en-US"/>
        </w:rPr>
        <w:t>13.3</w:t>
      </w:r>
      <w:r>
        <w:rPr>
          <w:rFonts w:ascii="Arial" w:eastAsia="Calibri" w:hAnsi="Arial" w:cs="Arial"/>
          <w:sz w:val="24"/>
          <w:szCs w:val="24"/>
          <w:lang w:val="en-US"/>
        </w:rPr>
        <w:tab/>
      </w:r>
      <w:r w:rsidR="005763CC" w:rsidRPr="00635318">
        <w:rPr>
          <w:rFonts w:ascii="Arial" w:eastAsia="Calibri" w:hAnsi="Arial" w:cs="Arial"/>
          <w:sz w:val="24"/>
          <w:szCs w:val="24"/>
          <w:lang w:val="en-US"/>
        </w:rPr>
        <w:t>The respondent is ordered to p</w:t>
      </w:r>
      <w:r w:rsidR="000D15F0" w:rsidRPr="00635318">
        <w:rPr>
          <w:rFonts w:ascii="Arial" w:eastAsia="Calibri" w:hAnsi="Arial" w:cs="Arial"/>
          <w:sz w:val="24"/>
          <w:szCs w:val="24"/>
          <w:lang w:val="en-US"/>
        </w:rPr>
        <w:t>ay the costs of this application.</w:t>
      </w:r>
    </w:p>
    <w:p w:rsidR="00A55F12" w:rsidRDefault="00A55F12" w:rsidP="003A6922">
      <w:pPr>
        <w:spacing w:after="0" w:line="360" w:lineRule="auto"/>
        <w:jc w:val="both"/>
        <w:rPr>
          <w:rFonts w:ascii="Arial" w:hAnsi="Arial" w:cs="Arial"/>
          <w:sz w:val="24"/>
          <w:szCs w:val="24"/>
        </w:rPr>
      </w:pPr>
    </w:p>
    <w:p w:rsidR="00A55F12" w:rsidRDefault="00A55F12" w:rsidP="000D15F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A55F12" w:rsidRDefault="00A55F12" w:rsidP="00A55F12">
      <w:pPr>
        <w:spacing w:after="0" w:line="360" w:lineRule="auto"/>
        <w:ind w:left="851" w:hanging="851"/>
        <w:jc w:val="right"/>
        <w:rPr>
          <w:rFonts w:ascii="Arial" w:hAnsi="Arial" w:cs="Arial"/>
          <w:b/>
          <w:sz w:val="24"/>
          <w:szCs w:val="24"/>
        </w:rPr>
      </w:pPr>
      <w:r>
        <w:rPr>
          <w:rFonts w:ascii="Arial" w:hAnsi="Arial" w:cs="Arial"/>
          <w:b/>
          <w:sz w:val="24"/>
          <w:szCs w:val="24"/>
        </w:rPr>
        <w:t>_________________</w:t>
      </w:r>
    </w:p>
    <w:p w:rsidR="00A55F12" w:rsidRDefault="00A55F12" w:rsidP="00A55F12">
      <w:pPr>
        <w:spacing w:after="0" w:line="360" w:lineRule="auto"/>
        <w:ind w:left="851" w:hanging="851"/>
        <w:jc w:val="right"/>
        <w:rPr>
          <w:rFonts w:ascii="Arial" w:hAnsi="Arial" w:cs="Arial"/>
          <w:b/>
          <w:sz w:val="24"/>
          <w:szCs w:val="24"/>
        </w:rPr>
      </w:pPr>
      <w:r>
        <w:rPr>
          <w:rFonts w:ascii="Arial" w:hAnsi="Arial" w:cs="Arial"/>
          <w:b/>
          <w:sz w:val="24"/>
          <w:szCs w:val="24"/>
        </w:rPr>
        <w:t>C REINDERS, J</w:t>
      </w:r>
    </w:p>
    <w:p w:rsidR="00A55F12" w:rsidRDefault="00A55F12" w:rsidP="00A55F12">
      <w:pPr>
        <w:spacing w:after="0" w:line="360" w:lineRule="auto"/>
        <w:ind w:left="851" w:hanging="851"/>
        <w:jc w:val="right"/>
        <w:rPr>
          <w:rFonts w:ascii="Arial" w:hAnsi="Arial" w:cs="Arial"/>
          <w:b/>
          <w:sz w:val="24"/>
          <w:szCs w:val="24"/>
        </w:rPr>
      </w:pPr>
    </w:p>
    <w:p w:rsidR="00C15FF4" w:rsidRDefault="00C15FF4" w:rsidP="00A55F12">
      <w:pPr>
        <w:spacing w:line="360" w:lineRule="auto"/>
        <w:jc w:val="both"/>
        <w:rPr>
          <w:rFonts w:ascii="Arial" w:hAnsi="Arial" w:cs="Arial"/>
          <w:sz w:val="24"/>
          <w:szCs w:val="24"/>
        </w:rPr>
      </w:pPr>
    </w:p>
    <w:p w:rsidR="00A55F12" w:rsidRDefault="00A55F12" w:rsidP="00A55F12">
      <w:pPr>
        <w:spacing w:line="360" w:lineRule="auto"/>
        <w:jc w:val="both"/>
        <w:rPr>
          <w:rFonts w:ascii="Arial" w:hAnsi="Arial" w:cs="Arial"/>
          <w:sz w:val="24"/>
          <w:szCs w:val="24"/>
        </w:rPr>
      </w:pPr>
      <w:r>
        <w:rPr>
          <w:rFonts w:ascii="Arial" w:hAnsi="Arial" w:cs="Arial"/>
          <w:sz w:val="24"/>
          <w:szCs w:val="24"/>
        </w:rPr>
        <w:t>On behalf</w:t>
      </w:r>
      <w:r w:rsidR="0077145E">
        <w:rPr>
          <w:rFonts w:ascii="Arial" w:hAnsi="Arial" w:cs="Arial"/>
          <w:sz w:val="24"/>
          <w:szCs w:val="24"/>
        </w:rPr>
        <w:t xml:space="preserve"> of applicant:</w:t>
      </w:r>
      <w:r w:rsidR="0077145E">
        <w:rPr>
          <w:rFonts w:ascii="Arial" w:hAnsi="Arial" w:cs="Arial"/>
          <w:sz w:val="24"/>
          <w:szCs w:val="24"/>
        </w:rPr>
        <w:tab/>
      </w:r>
      <w:r w:rsidR="0077145E">
        <w:rPr>
          <w:rFonts w:ascii="Arial" w:hAnsi="Arial" w:cs="Arial"/>
          <w:sz w:val="24"/>
          <w:szCs w:val="24"/>
        </w:rPr>
        <w:tab/>
      </w:r>
      <w:r w:rsidR="0077145E">
        <w:rPr>
          <w:rFonts w:ascii="Arial" w:hAnsi="Arial" w:cs="Arial"/>
          <w:sz w:val="24"/>
          <w:szCs w:val="24"/>
        </w:rPr>
        <w:tab/>
        <w:t>Ms J Harwood</w:t>
      </w:r>
    </w:p>
    <w:p w:rsidR="00A55F12" w:rsidRDefault="00A55F12" w:rsidP="00A55F1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w:t>
      </w:r>
    </w:p>
    <w:p w:rsidR="00A55F12" w:rsidRDefault="005313ED" w:rsidP="00A55F1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Hewlett Bunn Inc.</w:t>
      </w:r>
    </w:p>
    <w:p w:rsidR="005313ED" w:rsidRDefault="005313ED" w:rsidP="00A55F1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 Lovius Block Attorneys</w:t>
      </w:r>
    </w:p>
    <w:p w:rsidR="00A55F12" w:rsidRDefault="00A55F12" w:rsidP="00A55F12">
      <w:pPr>
        <w:spacing w:line="360" w:lineRule="auto"/>
        <w:ind w:left="3600" w:firstLine="720"/>
        <w:jc w:val="both"/>
        <w:rPr>
          <w:rFonts w:ascii="Arial" w:hAnsi="Arial" w:cs="Arial"/>
          <w:sz w:val="24"/>
          <w:szCs w:val="24"/>
        </w:rPr>
      </w:pPr>
      <w:r>
        <w:rPr>
          <w:rFonts w:ascii="Arial" w:hAnsi="Arial" w:cs="Arial"/>
          <w:sz w:val="24"/>
          <w:szCs w:val="24"/>
        </w:rPr>
        <w:t>BLOEMFONTEIN</w:t>
      </w:r>
    </w:p>
    <w:p w:rsidR="00FD1EF7" w:rsidRDefault="00FD1EF7" w:rsidP="00A55F12">
      <w:pPr>
        <w:spacing w:line="360" w:lineRule="auto"/>
        <w:jc w:val="both"/>
        <w:rPr>
          <w:rFonts w:ascii="Arial" w:hAnsi="Arial" w:cs="Arial"/>
          <w:sz w:val="24"/>
          <w:szCs w:val="24"/>
        </w:rPr>
      </w:pPr>
    </w:p>
    <w:p w:rsidR="00A55F12" w:rsidRDefault="00A55F12" w:rsidP="00A55F12">
      <w:pPr>
        <w:spacing w:line="360" w:lineRule="auto"/>
        <w:jc w:val="both"/>
        <w:rPr>
          <w:rFonts w:ascii="Arial" w:hAnsi="Arial" w:cs="Arial"/>
          <w:sz w:val="24"/>
          <w:szCs w:val="24"/>
        </w:rPr>
      </w:pPr>
      <w:r>
        <w:rPr>
          <w:rFonts w:ascii="Arial" w:hAnsi="Arial" w:cs="Arial"/>
          <w:sz w:val="24"/>
          <w:szCs w:val="24"/>
        </w:rPr>
        <w:t>On behalf of 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 </w:t>
      </w:r>
      <w:r w:rsidR="0077145E">
        <w:rPr>
          <w:rFonts w:ascii="Arial" w:hAnsi="Arial" w:cs="Arial"/>
          <w:sz w:val="24"/>
          <w:szCs w:val="24"/>
        </w:rPr>
        <w:t>BS Mene SC</w:t>
      </w:r>
    </w:p>
    <w:p w:rsidR="00A55F12" w:rsidRDefault="00A55F12" w:rsidP="00A55F1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w:t>
      </w:r>
    </w:p>
    <w:p w:rsidR="00A55F12" w:rsidRDefault="00A55F12" w:rsidP="00A55F1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State Attorneys</w:t>
      </w:r>
    </w:p>
    <w:p w:rsidR="00A55F12" w:rsidRDefault="00A55F12" w:rsidP="00A55F1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BLOEMFONTEIN</w:t>
      </w:r>
    </w:p>
    <w:p w:rsidR="00A55F12" w:rsidRDefault="00A55F12" w:rsidP="00A55F12">
      <w:pPr>
        <w:spacing w:line="360" w:lineRule="auto"/>
        <w:jc w:val="both"/>
        <w:rPr>
          <w:rFonts w:ascii="Arial" w:hAnsi="Arial" w:cs="Arial"/>
          <w:sz w:val="24"/>
          <w:szCs w:val="24"/>
        </w:rPr>
      </w:pPr>
    </w:p>
    <w:p w:rsidR="006D2294" w:rsidRDefault="006D2294" w:rsidP="006D2294">
      <w:pPr>
        <w:pStyle w:val="Heading1"/>
        <w:rPr>
          <w:rFonts w:ascii="Arial" w:hAnsi="Arial" w:cs="Arial"/>
          <w:szCs w:val="24"/>
        </w:rPr>
      </w:pPr>
    </w:p>
    <w:p w:rsidR="006D2294" w:rsidRDefault="006D2294" w:rsidP="006D2294">
      <w:pPr>
        <w:pStyle w:val="Heading1"/>
        <w:rPr>
          <w:rFonts w:ascii="Arial" w:hAnsi="Arial" w:cs="Arial"/>
          <w:szCs w:val="24"/>
        </w:rPr>
      </w:pPr>
    </w:p>
    <w:p w:rsidR="006D2294" w:rsidRDefault="006D2294" w:rsidP="006D2294">
      <w:pPr>
        <w:pStyle w:val="Heading1"/>
        <w:rPr>
          <w:rFonts w:ascii="Arial" w:hAnsi="Arial" w:cs="Arial"/>
          <w:szCs w:val="24"/>
        </w:rPr>
      </w:pPr>
    </w:p>
    <w:p w:rsidR="006D2294" w:rsidRDefault="006D2294" w:rsidP="006D2294">
      <w:pPr>
        <w:jc w:val="center"/>
        <w:rPr>
          <w:rFonts w:ascii="Arial" w:hAnsi="Arial" w:cs="Arial"/>
          <w:b/>
          <w:sz w:val="24"/>
          <w:szCs w:val="24"/>
          <w:u w:val="single"/>
        </w:rPr>
      </w:pPr>
    </w:p>
    <w:p w:rsidR="006D2294" w:rsidRDefault="006D2294" w:rsidP="006D2294">
      <w:pPr>
        <w:jc w:val="center"/>
        <w:rPr>
          <w:rFonts w:ascii="Arial" w:hAnsi="Arial" w:cs="Arial"/>
          <w:b/>
          <w:sz w:val="24"/>
          <w:szCs w:val="24"/>
          <w:u w:val="single"/>
        </w:rPr>
      </w:pPr>
    </w:p>
    <w:sectPr w:rsidR="006D229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2B6" w:rsidRDefault="00F722B6" w:rsidP="000E5AEA">
      <w:pPr>
        <w:spacing w:after="0" w:line="240" w:lineRule="auto"/>
      </w:pPr>
      <w:r>
        <w:separator/>
      </w:r>
    </w:p>
  </w:endnote>
  <w:endnote w:type="continuationSeparator" w:id="0">
    <w:p w:rsidR="00F722B6" w:rsidRDefault="00F722B6" w:rsidP="000E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2B6" w:rsidRDefault="00F722B6" w:rsidP="000E5AEA">
      <w:pPr>
        <w:spacing w:after="0" w:line="240" w:lineRule="auto"/>
      </w:pPr>
      <w:r>
        <w:separator/>
      </w:r>
    </w:p>
  </w:footnote>
  <w:footnote w:type="continuationSeparator" w:id="0">
    <w:p w:rsidR="00F722B6" w:rsidRDefault="00F722B6" w:rsidP="000E5AEA">
      <w:pPr>
        <w:spacing w:after="0" w:line="240" w:lineRule="auto"/>
      </w:pPr>
      <w:r>
        <w:continuationSeparator/>
      </w:r>
    </w:p>
  </w:footnote>
  <w:footnote w:id="1">
    <w:p w:rsidR="004E0E98" w:rsidRPr="00626C03" w:rsidRDefault="004E0E98">
      <w:pPr>
        <w:pStyle w:val="FootnoteText"/>
        <w:rPr>
          <w:rFonts w:ascii="Arial" w:hAnsi="Arial" w:cs="Arial"/>
          <w:lang w:val="en-ZA"/>
        </w:rPr>
      </w:pPr>
      <w:r w:rsidRPr="00626C03">
        <w:rPr>
          <w:rStyle w:val="FootnoteReference"/>
          <w:rFonts w:ascii="Arial" w:hAnsi="Arial" w:cs="Arial"/>
        </w:rPr>
        <w:footnoteRef/>
      </w:r>
      <w:r w:rsidRPr="00626C03">
        <w:rPr>
          <w:rFonts w:ascii="Arial" w:hAnsi="Arial" w:cs="Arial"/>
        </w:rPr>
        <w:t xml:space="preserve"> </w:t>
      </w:r>
      <w:r w:rsidR="006D039A" w:rsidRPr="00626C03">
        <w:rPr>
          <w:rFonts w:ascii="Arial" w:hAnsi="Arial" w:cs="Arial"/>
        </w:rPr>
        <w:t>2013 JDR 2441 (GSJ)</w:t>
      </w:r>
    </w:p>
  </w:footnote>
  <w:footnote w:id="2">
    <w:p w:rsidR="00AC6D1A" w:rsidRPr="003F3ECC" w:rsidRDefault="00AC6D1A" w:rsidP="00AC6D1A">
      <w:pPr>
        <w:pStyle w:val="FootnoteText"/>
        <w:rPr>
          <w:rFonts w:ascii="Arial" w:hAnsi="Arial" w:cs="Arial"/>
          <w:lang w:val="en-ZA"/>
        </w:rPr>
      </w:pPr>
      <w:r w:rsidRPr="00626C03">
        <w:rPr>
          <w:rStyle w:val="FootnoteReference"/>
          <w:rFonts w:ascii="Arial" w:hAnsi="Arial" w:cs="Arial"/>
        </w:rPr>
        <w:footnoteRef/>
      </w:r>
      <w:r w:rsidRPr="00626C03">
        <w:rPr>
          <w:rFonts w:ascii="Arial" w:hAnsi="Arial" w:cs="Arial"/>
        </w:rPr>
        <w:t xml:space="preserve"> </w:t>
      </w:r>
      <w:r w:rsidRPr="00626C03">
        <w:rPr>
          <w:rFonts w:ascii="Arial" w:eastAsia="Calibri" w:hAnsi="Arial" w:cs="Arial"/>
        </w:rPr>
        <w:t>2014 (1) SA 244 (GSJ)</w:t>
      </w:r>
    </w:p>
  </w:footnote>
  <w:footnote w:id="3">
    <w:p w:rsidR="00DA7693" w:rsidRPr="00626C03" w:rsidRDefault="00DA7693">
      <w:pPr>
        <w:pStyle w:val="FootnoteText"/>
        <w:rPr>
          <w:rFonts w:ascii="Arial" w:hAnsi="Arial" w:cs="Arial"/>
          <w:lang w:val="en-ZA"/>
        </w:rPr>
      </w:pPr>
      <w:r w:rsidRPr="00626C03">
        <w:rPr>
          <w:rStyle w:val="FootnoteReference"/>
          <w:rFonts w:ascii="Arial" w:hAnsi="Arial" w:cs="Arial"/>
        </w:rPr>
        <w:footnoteRef/>
      </w:r>
      <w:r w:rsidRPr="00626C03">
        <w:rPr>
          <w:rFonts w:ascii="Arial" w:hAnsi="Arial" w:cs="Arial"/>
        </w:rPr>
        <w:t xml:space="preserve"> </w:t>
      </w:r>
      <w:r w:rsidRPr="00626C03">
        <w:rPr>
          <w:rFonts w:ascii="Arial" w:eastAsia="Calibri" w:hAnsi="Arial" w:cs="Arial"/>
        </w:rPr>
        <w:t>1967 (3) SA 154 (C)</w:t>
      </w:r>
    </w:p>
  </w:footnote>
  <w:footnote w:id="4">
    <w:p w:rsidR="00A74FEF" w:rsidRPr="00626C03" w:rsidRDefault="00A74FEF">
      <w:pPr>
        <w:pStyle w:val="FootnoteText"/>
        <w:rPr>
          <w:rFonts w:ascii="Arial" w:hAnsi="Arial" w:cs="Arial"/>
          <w:lang w:val="en-ZA"/>
        </w:rPr>
      </w:pPr>
      <w:r w:rsidRPr="00626C03">
        <w:rPr>
          <w:rStyle w:val="FootnoteReference"/>
          <w:rFonts w:ascii="Arial" w:hAnsi="Arial" w:cs="Arial"/>
        </w:rPr>
        <w:footnoteRef/>
      </w:r>
      <w:r w:rsidRPr="00626C03">
        <w:rPr>
          <w:rFonts w:ascii="Arial" w:hAnsi="Arial" w:cs="Arial"/>
        </w:rPr>
        <w:t xml:space="preserve"> </w:t>
      </w:r>
      <w:r w:rsidR="00092523" w:rsidRPr="00626C03">
        <w:rPr>
          <w:rFonts w:ascii="Arial" w:eastAsia="Calibri" w:hAnsi="Arial" w:cs="Arial"/>
        </w:rPr>
        <w:t>1990 (1) SA 469 (T)</w:t>
      </w:r>
    </w:p>
  </w:footnote>
  <w:footnote w:id="5">
    <w:p w:rsidR="004E0E98" w:rsidRPr="00626C03" w:rsidRDefault="004E0E98">
      <w:pPr>
        <w:pStyle w:val="FootnoteText"/>
        <w:rPr>
          <w:rFonts w:ascii="Arial" w:hAnsi="Arial" w:cs="Arial"/>
          <w:lang w:val="en-ZA"/>
        </w:rPr>
      </w:pPr>
      <w:r w:rsidRPr="00626C03">
        <w:rPr>
          <w:rStyle w:val="FootnoteReference"/>
          <w:rFonts w:ascii="Arial" w:hAnsi="Arial" w:cs="Arial"/>
        </w:rPr>
        <w:footnoteRef/>
      </w:r>
      <w:r w:rsidRPr="00626C03">
        <w:rPr>
          <w:rFonts w:ascii="Arial" w:hAnsi="Arial" w:cs="Arial"/>
        </w:rPr>
        <w:t xml:space="preserve"> </w:t>
      </w:r>
      <w:r w:rsidR="00DA7693" w:rsidRPr="00626C03">
        <w:rPr>
          <w:rFonts w:ascii="Arial" w:hAnsi="Arial" w:cs="Arial"/>
          <w:bCs/>
        </w:rPr>
        <w:t>(357/2021) [2021] ZASCA 132 (1 October 2021)</w:t>
      </w:r>
    </w:p>
  </w:footnote>
  <w:footnote w:id="6">
    <w:p w:rsidR="00BB6844" w:rsidRPr="00626C03" w:rsidRDefault="00BB6844" w:rsidP="00BB6844">
      <w:pPr>
        <w:pStyle w:val="FootnoteText"/>
        <w:jc w:val="both"/>
        <w:rPr>
          <w:rFonts w:ascii="Arial" w:hAnsi="Arial" w:cs="Arial"/>
        </w:rPr>
      </w:pPr>
      <w:r w:rsidRPr="00626C03">
        <w:rPr>
          <w:rStyle w:val="FootnoteReference"/>
          <w:rFonts w:ascii="Arial" w:hAnsi="Arial" w:cs="Arial"/>
        </w:rPr>
        <w:footnoteRef/>
      </w:r>
      <w:r w:rsidRPr="00626C03">
        <w:rPr>
          <w:rFonts w:ascii="Arial" w:hAnsi="Arial" w:cs="Arial"/>
        </w:rPr>
        <w:t xml:space="preserve"> </w:t>
      </w:r>
      <w:r w:rsidRPr="00626C03">
        <w:rPr>
          <w:rFonts w:ascii="Arial" w:hAnsi="Arial" w:cs="Arial"/>
          <w:lang w:val="en-GB"/>
        </w:rPr>
        <w:t>[2013] ZASCA 83; [2013] 3 All SA 615 (SCA); 2013 (6) SA 345 (SCA)</w:t>
      </w:r>
      <w:r w:rsidRPr="00626C03">
        <w:rPr>
          <w:rFonts w:ascii="Arial" w:hAnsi="Arial" w:cs="Arial"/>
          <w:color w:val="64473A"/>
          <w:lang w:val="en-ZA" w:eastAsia="en-ZA"/>
        </w:rPr>
        <w:t xml:space="preserve"> </w:t>
      </w:r>
      <w:r w:rsidRPr="00626C03">
        <w:rPr>
          <w:rFonts w:ascii="Arial" w:hAnsi="Arial" w:cs="Arial"/>
          <w:lang w:val="en-ZA"/>
        </w:rPr>
        <w:t>(31 May 2013)</w:t>
      </w:r>
      <w:r w:rsidRPr="00626C03">
        <w:rPr>
          <w:rFonts w:ascii="Arial" w:hAnsi="Arial" w:cs="Arial"/>
          <w:lang w:val="en-GB"/>
        </w:rPr>
        <w:t xml:space="preserve"> para 3-5.</w:t>
      </w:r>
    </w:p>
  </w:footnote>
  <w:footnote w:id="7">
    <w:p w:rsidR="00A74FEF" w:rsidRPr="00626C03" w:rsidRDefault="00A74FEF">
      <w:pPr>
        <w:pStyle w:val="FootnoteText"/>
        <w:rPr>
          <w:rFonts w:ascii="Arial" w:hAnsi="Arial" w:cs="Arial"/>
          <w:lang w:val="en-ZA"/>
        </w:rPr>
      </w:pPr>
      <w:r w:rsidRPr="00626C03">
        <w:rPr>
          <w:rStyle w:val="FootnoteReference"/>
          <w:rFonts w:ascii="Arial" w:hAnsi="Arial" w:cs="Arial"/>
        </w:rPr>
        <w:footnoteRef/>
      </w:r>
      <w:r w:rsidRPr="00626C03">
        <w:rPr>
          <w:rFonts w:ascii="Arial" w:hAnsi="Arial" w:cs="Arial"/>
        </w:rPr>
        <w:t xml:space="preserve"> </w:t>
      </w:r>
      <w:r w:rsidR="003F3ECC" w:rsidRPr="00626C03">
        <w:rPr>
          <w:rFonts w:ascii="Arial" w:hAnsi="Arial" w:cs="Arial"/>
        </w:rPr>
        <w:t xml:space="preserve">At paragraph </w:t>
      </w:r>
      <w:r w:rsidR="00F53532" w:rsidRPr="00626C03">
        <w:rPr>
          <w:rFonts w:ascii="Arial" w:hAnsi="Arial" w:cs="Arial"/>
        </w:rPr>
        <w:t>[</w:t>
      </w:r>
      <w:r w:rsidR="003F3ECC" w:rsidRPr="00626C03">
        <w:rPr>
          <w:rFonts w:ascii="Arial" w:hAnsi="Arial" w:cs="Arial"/>
        </w:rPr>
        <w:t>22</w:t>
      </w:r>
      <w:r w:rsidR="00F53532" w:rsidRPr="00626C03">
        <w:rPr>
          <w:rFonts w:ascii="Arial" w:hAnsi="Arial" w:cs="Arial"/>
        </w:rPr>
        <w:t>]</w:t>
      </w:r>
      <w:r w:rsidR="003F3ECC" w:rsidRPr="00626C03">
        <w:rPr>
          <w:rFonts w:ascii="Arial" w:hAnsi="Arial" w:cs="Arial"/>
        </w:rPr>
        <w:t>.</w:t>
      </w:r>
    </w:p>
  </w:footnote>
  <w:footnote w:id="8">
    <w:p w:rsidR="00A74FEF" w:rsidRPr="00626C03" w:rsidRDefault="00A74FEF">
      <w:pPr>
        <w:pStyle w:val="FootnoteText"/>
        <w:rPr>
          <w:rFonts w:ascii="Arial" w:hAnsi="Arial" w:cs="Arial"/>
          <w:lang w:val="en-ZA"/>
        </w:rPr>
      </w:pPr>
      <w:r w:rsidRPr="00626C03">
        <w:rPr>
          <w:rStyle w:val="FootnoteReference"/>
          <w:rFonts w:ascii="Arial" w:hAnsi="Arial" w:cs="Arial"/>
        </w:rPr>
        <w:footnoteRef/>
      </w:r>
      <w:r w:rsidRPr="00626C03">
        <w:rPr>
          <w:rFonts w:ascii="Arial" w:hAnsi="Arial" w:cs="Arial"/>
        </w:rPr>
        <w:t xml:space="preserve"> </w:t>
      </w:r>
      <w:r w:rsidRPr="00626C03">
        <w:rPr>
          <w:rFonts w:ascii="Arial" w:hAnsi="Arial" w:cs="Arial"/>
          <w:lang w:val="en-ZA"/>
        </w:rPr>
        <w:t>A</w:t>
      </w:r>
      <w:r w:rsidR="003F3ECC" w:rsidRPr="00626C03">
        <w:rPr>
          <w:rFonts w:ascii="Arial" w:hAnsi="Arial" w:cs="Arial"/>
          <w:lang w:val="en-ZA"/>
        </w:rPr>
        <w:t>t paragraph [</w:t>
      </w:r>
      <w:r w:rsidR="00F53532" w:rsidRPr="00626C03">
        <w:rPr>
          <w:rFonts w:ascii="Arial" w:hAnsi="Arial" w:cs="Arial"/>
          <w:lang w:val="en-ZA"/>
        </w:rPr>
        <w:t>25</w:t>
      </w:r>
      <w:r w:rsidR="003F3ECC" w:rsidRPr="00626C03">
        <w:rPr>
          <w:rFonts w:ascii="Arial" w:hAnsi="Arial" w:cs="Arial"/>
          <w:lang w:val="en-ZA"/>
        </w:rPr>
        <w:t>]</w:t>
      </w:r>
    </w:p>
  </w:footnote>
  <w:footnote w:id="9">
    <w:p w:rsidR="00C561CB" w:rsidRPr="00626C03" w:rsidRDefault="00C561CB">
      <w:pPr>
        <w:pStyle w:val="FootnoteText"/>
        <w:rPr>
          <w:rFonts w:ascii="Arial" w:hAnsi="Arial" w:cs="Arial"/>
          <w:lang w:val="en-ZA"/>
        </w:rPr>
      </w:pPr>
      <w:r w:rsidRPr="00626C03">
        <w:rPr>
          <w:rStyle w:val="FootnoteReference"/>
          <w:rFonts w:ascii="Arial" w:hAnsi="Arial" w:cs="Arial"/>
        </w:rPr>
        <w:footnoteRef/>
      </w:r>
      <w:r w:rsidRPr="00626C03">
        <w:rPr>
          <w:rFonts w:ascii="Arial" w:hAnsi="Arial" w:cs="Arial"/>
        </w:rPr>
        <w:t xml:space="preserve"> </w:t>
      </w:r>
      <w:r w:rsidR="00F53532" w:rsidRPr="00626C03">
        <w:rPr>
          <w:rFonts w:ascii="Arial" w:hAnsi="Arial" w:cs="Arial"/>
        </w:rPr>
        <w:t>At paragraph [26]</w:t>
      </w:r>
    </w:p>
  </w:footnote>
  <w:footnote w:id="10">
    <w:p w:rsidR="002D6D72" w:rsidRDefault="002D6D72" w:rsidP="002D6D72">
      <w:pPr>
        <w:pStyle w:val="FootnoteText"/>
        <w:jc w:val="both"/>
      </w:pPr>
      <w:r w:rsidRPr="00626C03">
        <w:rPr>
          <w:rStyle w:val="FootnoteReference"/>
          <w:rFonts w:ascii="Arial" w:hAnsi="Arial" w:cs="Arial"/>
        </w:rPr>
        <w:footnoteRef/>
      </w:r>
      <w:r w:rsidR="00B51042" w:rsidRPr="00626C03">
        <w:rPr>
          <w:rFonts w:ascii="Arial" w:hAnsi="Arial" w:cs="Arial"/>
        </w:rPr>
        <w:t xml:space="preserve"> The court referred to </w:t>
      </w:r>
      <w:r w:rsidRPr="00626C03">
        <w:rPr>
          <w:rFonts w:ascii="Arial" w:hAnsi="Arial" w:cs="Arial"/>
          <w:i/>
          <w:iCs/>
          <w:lang w:val="en-ZA"/>
        </w:rPr>
        <w:t xml:space="preserve">Carillion Construction Limited v Devonport Royal Dockyard Ltd </w:t>
      </w:r>
      <w:r w:rsidRPr="00626C03">
        <w:rPr>
          <w:rFonts w:ascii="Arial" w:hAnsi="Arial" w:cs="Arial"/>
          <w:lang w:val="en-ZA"/>
        </w:rPr>
        <w:t xml:space="preserve">[2005] EWHC 778 (TCC) </w:t>
      </w:r>
      <w:r w:rsidR="007F2178" w:rsidRPr="00626C03">
        <w:rPr>
          <w:rFonts w:ascii="Arial" w:hAnsi="Arial" w:cs="Arial"/>
          <w:lang w:val="en-ZA"/>
        </w:rPr>
        <w:t xml:space="preserve">at </w:t>
      </w:r>
      <w:r w:rsidRPr="00626C03">
        <w:rPr>
          <w:rFonts w:ascii="Arial" w:hAnsi="Arial" w:cs="Arial"/>
          <w:lang w:val="en-ZA"/>
        </w:rPr>
        <w:t>para</w:t>
      </w:r>
      <w:r w:rsidR="007F2178" w:rsidRPr="00626C03">
        <w:rPr>
          <w:rFonts w:ascii="Arial" w:hAnsi="Arial" w:cs="Arial"/>
          <w:lang w:val="en-ZA"/>
        </w:rPr>
        <w:t>graph</w:t>
      </w:r>
      <w:r w:rsidRPr="00626C03">
        <w:rPr>
          <w:rFonts w:ascii="Arial" w:hAnsi="Arial" w:cs="Arial"/>
          <w:lang w:val="en-ZA"/>
        </w:rPr>
        <w:t xml:space="preserve"> 63.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823138"/>
      <w:docPartObj>
        <w:docPartGallery w:val="Page Numbers (Top of Page)"/>
        <w:docPartUnique/>
      </w:docPartObj>
    </w:sdtPr>
    <w:sdtEndPr>
      <w:rPr>
        <w:noProof/>
      </w:rPr>
    </w:sdtEndPr>
    <w:sdtContent>
      <w:p w:rsidR="000E5AEA" w:rsidRDefault="000E5AEA">
        <w:pPr>
          <w:pStyle w:val="Header"/>
          <w:jc w:val="right"/>
        </w:pPr>
        <w:r>
          <w:fldChar w:fldCharType="begin"/>
        </w:r>
        <w:r>
          <w:instrText xml:space="preserve"> PAGE   \* MERGEFORMAT </w:instrText>
        </w:r>
        <w:r>
          <w:fldChar w:fldCharType="separate"/>
        </w:r>
        <w:r w:rsidR="00290420">
          <w:rPr>
            <w:noProof/>
          </w:rPr>
          <w:t>11</w:t>
        </w:r>
        <w:r>
          <w:rPr>
            <w:noProof/>
          </w:rPr>
          <w:fldChar w:fldCharType="end"/>
        </w:r>
      </w:p>
    </w:sdtContent>
  </w:sdt>
  <w:p w:rsidR="000E5AEA" w:rsidRDefault="000E5A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D69A9"/>
    <w:multiLevelType w:val="multilevel"/>
    <w:tmpl w:val="7E422DE8"/>
    <w:lvl w:ilvl="0">
      <w:start w:val="13"/>
      <w:numFmt w:val="decimal"/>
      <w:lvlText w:val="%1"/>
      <w:lvlJc w:val="left"/>
      <w:pPr>
        <w:ind w:left="660" w:hanging="660"/>
      </w:pPr>
      <w:rPr>
        <w:rFonts w:hint="default"/>
      </w:rPr>
    </w:lvl>
    <w:lvl w:ilvl="1">
      <w:start w:val="2"/>
      <w:numFmt w:val="decimal"/>
      <w:lvlText w:val="%1.%2"/>
      <w:lvlJc w:val="left"/>
      <w:pPr>
        <w:ind w:left="1084" w:hanging="660"/>
      </w:pPr>
      <w:rPr>
        <w:rFonts w:hint="default"/>
      </w:rPr>
    </w:lvl>
    <w:lvl w:ilvl="2">
      <w:start w:val="2"/>
      <w:numFmt w:val="decimal"/>
      <w:lvlText w:val="%1.%2.%3"/>
      <w:lvlJc w:val="left"/>
      <w:pPr>
        <w:ind w:left="1568" w:hanging="720"/>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192" w:hanging="1800"/>
      </w:pPr>
      <w:rPr>
        <w:rFonts w:hint="default"/>
      </w:rPr>
    </w:lvl>
  </w:abstractNum>
  <w:abstractNum w:abstractNumId="1" w15:restartNumberingAfterBreak="0">
    <w:nsid w:val="2FEF2E17"/>
    <w:multiLevelType w:val="multilevel"/>
    <w:tmpl w:val="CC68268C"/>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564ACA"/>
    <w:multiLevelType w:val="multilevel"/>
    <w:tmpl w:val="CC1E4EDA"/>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15:restartNumberingAfterBreak="0">
    <w:nsid w:val="4DAA3723"/>
    <w:multiLevelType w:val="multilevel"/>
    <w:tmpl w:val="D7883C68"/>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046AB7"/>
    <w:multiLevelType w:val="multilevel"/>
    <w:tmpl w:val="D63E80CC"/>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15:restartNumberingAfterBreak="0">
    <w:nsid w:val="54516297"/>
    <w:multiLevelType w:val="multilevel"/>
    <w:tmpl w:val="FB14DB0E"/>
    <w:lvl w:ilvl="0">
      <w:start w:val="1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4C54B5"/>
    <w:multiLevelType w:val="multilevel"/>
    <w:tmpl w:val="E50804BA"/>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206691"/>
    <w:multiLevelType w:val="multilevel"/>
    <w:tmpl w:val="3AC62D06"/>
    <w:lvl w:ilvl="0">
      <w:start w:val="1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53"/>
    <w:rsid w:val="00001AEF"/>
    <w:rsid w:val="0001362D"/>
    <w:rsid w:val="00014EB0"/>
    <w:rsid w:val="000268D8"/>
    <w:rsid w:val="0003473A"/>
    <w:rsid w:val="00050809"/>
    <w:rsid w:val="00051437"/>
    <w:rsid w:val="000518C7"/>
    <w:rsid w:val="00056683"/>
    <w:rsid w:val="00061572"/>
    <w:rsid w:val="00074D96"/>
    <w:rsid w:val="00085A9C"/>
    <w:rsid w:val="00092523"/>
    <w:rsid w:val="00095ABD"/>
    <w:rsid w:val="000A7386"/>
    <w:rsid w:val="000B1EC4"/>
    <w:rsid w:val="000B4B30"/>
    <w:rsid w:val="000D0FDA"/>
    <w:rsid w:val="000D15F0"/>
    <w:rsid w:val="000E5AEA"/>
    <w:rsid w:val="00110161"/>
    <w:rsid w:val="00113860"/>
    <w:rsid w:val="00113ECB"/>
    <w:rsid w:val="00121F72"/>
    <w:rsid w:val="00131397"/>
    <w:rsid w:val="001627E4"/>
    <w:rsid w:val="00192BBF"/>
    <w:rsid w:val="001A033A"/>
    <w:rsid w:val="001B0A3F"/>
    <w:rsid w:val="001B5736"/>
    <w:rsid w:val="001C302C"/>
    <w:rsid w:val="001C7077"/>
    <w:rsid w:val="001D5D7C"/>
    <w:rsid w:val="001E4A06"/>
    <w:rsid w:val="001F5392"/>
    <w:rsid w:val="00200CDA"/>
    <w:rsid w:val="0020167C"/>
    <w:rsid w:val="00214046"/>
    <w:rsid w:val="0022186D"/>
    <w:rsid w:val="00252138"/>
    <w:rsid w:val="002665EA"/>
    <w:rsid w:val="00276CB4"/>
    <w:rsid w:val="00282C23"/>
    <w:rsid w:val="00290420"/>
    <w:rsid w:val="002946B2"/>
    <w:rsid w:val="002A3EC2"/>
    <w:rsid w:val="002D6D72"/>
    <w:rsid w:val="002E5BA9"/>
    <w:rsid w:val="002F4D6C"/>
    <w:rsid w:val="003426E8"/>
    <w:rsid w:val="0035531F"/>
    <w:rsid w:val="003A305E"/>
    <w:rsid w:val="003A6922"/>
    <w:rsid w:val="003B0055"/>
    <w:rsid w:val="003B5FBE"/>
    <w:rsid w:val="003C1B1D"/>
    <w:rsid w:val="003E7E72"/>
    <w:rsid w:val="003F3ECC"/>
    <w:rsid w:val="003F46D6"/>
    <w:rsid w:val="0040617A"/>
    <w:rsid w:val="0042422B"/>
    <w:rsid w:val="0044439B"/>
    <w:rsid w:val="00462B2F"/>
    <w:rsid w:val="00463D04"/>
    <w:rsid w:val="00481ACF"/>
    <w:rsid w:val="004A3B52"/>
    <w:rsid w:val="004A58B4"/>
    <w:rsid w:val="004A5E9A"/>
    <w:rsid w:val="004E0E98"/>
    <w:rsid w:val="004E2696"/>
    <w:rsid w:val="004F31D1"/>
    <w:rsid w:val="004F4CD1"/>
    <w:rsid w:val="0050706E"/>
    <w:rsid w:val="005163B8"/>
    <w:rsid w:val="005313ED"/>
    <w:rsid w:val="00562CEE"/>
    <w:rsid w:val="00566EEC"/>
    <w:rsid w:val="00574392"/>
    <w:rsid w:val="005763CC"/>
    <w:rsid w:val="00590C60"/>
    <w:rsid w:val="0059131E"/>
    <w:rsid w:val="00597698"/>
    <w:rsid w:val="005C057A"/>
    <w:rsid w:val="005C3C69"/>
    <w:rsid w:val="005C7354"/>
    <w:rsid w:val="005D34DD"/>
    <w:rsid w:val="005F6ECB"/>
    <w:rsid w:val="00626C03"/>
    <w:rsid w:val="00635318"/>
    <w:rsid w:val="006445D7"/>
    <w:rsid w:val="00652569"/>
    <w:rsid w:val="00655C1C"/>
    <w:rsid w:val="00682531"/>
    <w:rsid w:val="006A62DA"/>
    <w:rsid w:val="006A6BBE"/>
    <w:rsid w:val="006B4050"/>
    <w:rsid w:val="006C4912"/>
    <w:rsid w:val="006D039A"/>
    <w:rsid w:val="006D2294"/>
    <w:rsid w:val="006E7AA4"/>
    <w:rsid w:val="006F3946"/>
    <w:rsid w:val="006F6201"/>
    <w:rsid w:val="00703464"/>
    <w:rsid w:val="00724A13"/>
    <w:rsid w:val="00730371"/>
    <w:rsid w:val="00742344"/>
    <w:rsid w:val="00761D96"/>
    <w:rsid w:val="0077145E"/>
    <w:rsid w:val="007718A8"/>
    <w:rsid w:val="00775C18"/>
    <w:rsid w:val="007802B1"/>
    <w:rsid w:val="00795452"/>
    <w:rsid w:val="007B5E20"/>
    <w:rsid w:val="007D3BB0"/>
    <w:rsid w:val="007F2178"/>
    <w:rsid w:val="00815EA0"/>
    <w:rsid w:val="00841E3A"/>
    <w:rsid w:val="0084628C"/>
    <w:rsid w:val="00847348"/>
    <w:rsid w:val="00861F4F"/>
    <w:rsid w:val="00863CFE"/>
    <w:rsid w:val="00872853"/>
    <w:rsid w:val="008747A1"/>
    <w:rsid w:val="00874D9D"/>
    <w:rsid w:val="00877F28"/>
    <w:rsid w:val="008847E8"/>
    <w:rsid w:val="008A1B72"/>
    <w:rsid w:val="008A517B"/>
    <w:rsid w:val="008B74EA"/>
    <w:rsid w:val="008C0394"/>
    <w:rsid w:val="008C17ED"/>
    <w:rsid w:val="008D2606"/>
    <w:rsid w:val="008D700F"/>
    <w:rsid w:val="008E1222"/>
    <w:rsid w:val="008F5239"/>
    <w:rsid w:val="008F6135"/>
    <w:rsid w:val="008F709B"/>
    <w:rsid w:val="009071AC"/>
    <w:rsid w:val="00925DB5"/>
    <w:rsid w:val="009331AE"/>
    <w:rsid w:val="00956D08"/>
    <w:rsid w:val="00964A9F"/>
    <w:rsid w:val="00984C09"/>
    <w:rsid w:val="00994242"/>
    <w:rsid w:val="009D4A36"/>
    <w:rsid w:val="009D6EB0"/>
    <w:rsid w:val="009E5014"/>
    <w:rsid w:val="00A13B9F"/>
    <w:rsid w:val="00A25A5A"/>
    <w:rsid w:val="00A42726"/>
    <w:rsid w:val="00A55F12"/>
    <w:rsid w:val="00A613FA"/>
    <w:rsid w:val="00A62F23"/>
    <w:rsid w:val="00A724B7"/>
    <w:rsid w:val="00A74FEF"/>
    <w:rsid w:val="00A8456B"/>
    <w:rsid w:val="00A95D4D"/>
    <w:rsid w:val="00AA556B"/>
    <w:rsid w:val="00AA757F"/>
    <w:rsid w:val="00AC6D1A"/>
    <w:rsid w:val="00AE1234"/>
    <w:rsid w:val="00AE1EF6"/>
    <w:rsid w:val="00AF0FB0"/>
    <w:rsid w:val="00B02F2B"/>
    <w:rsid w:val="00B1251B"/>
    <w:rsid w:val="00B4182A"/>
    <w:rsid w:val="00B44598"/>
    <w:rsid w:val="00B51042"/>
    <w:rsid w:val="00B70DB9"/>
    <w:rsid w:val="00B82D97"/>
    <w:rsid w:val="00BB49BA"/>
    <w:rsid w:val="00BB4B86"/>
    <w:rsid w:val="00BB4F3B"/>
    <w:rsid w:val="00BB6844"/>
    <w:rsid w:val="00BD0E01"/>
    <w:rsid w:val="00BE6846"/>
    <w:rsid w:val="00C01A26"/>
    <w:rsid w:val="00C03ECF"/>
    <w:rsid w:val="00C063A1"/>
    <w:rsid w:val="00C1223B"/>
    <w:rsid w:val="00C15FF4"/>
    <w:rsid w:val="00C326A0"/>
    <w:rsid w:val="00C561CB"/>
    <w:rsid w:val="00C63AFD"/>
    <w:rsid w:val="00C8193E"/>
    <w:rsid w:val="00C978E4"/>
    <w:rsid w:val="00CB3564"/>
    <w:rsid w:val="00CC6561"/>
    <w:rsid w:val="00CF7D40"/>
    <w:rsid w:val="00D1543F"/>
    <w:rsid w:val="00D346B0"/>
    <w:rsid w:val="00D83368"/>
    <w:rsid w:val="00D86C42"/>
    <w:rsid w:val="00D922FF"/>
    <w:rsid w:val="00D95679"/>
    <w:rsid w:val="00DA6DAA"/>
    <w:rsid w:val="00DA7693"/>
    <w:rsid w:val="00DB7161"/>
    <w:rsid w:val="00DD1166"/>
    <w:rsid w:val="00DD1904"/>
    <w:rsid w:val="00DD55F1"/>
    <w:rsid w:val="00E07820"/>
    <w:rsid w:val="00E12E51"/>
    <w:rsid w:val="00E175B7"/>
    <w:rsid w:val="00E31814"/>
    <w:rsid w:val="00E318CB"/>
    <w:rsid w:val="00E40BAC"/>
    <w:rsid w:val="00E4121B"/>
    <w:rsid w:val="00E92853"/>
    <w:rsid w:val="00ED1100"/>
    <w:rsid w:val="00EE4D55"/>
    <w:rsid w:val="00EE7897"/>
    <w:rsid w:val="00F53532"/>
    <w:rsid w:val="00F64C38"/>
    <w:rsid w:val="00F722B6"/>
    <w:rsid w:val="00F76F22"/>
    <w:rsid w:val="00F95E50"/>
    <w:rsid w:val="00FD1EF7"/>
    <w:rsid w:val="00FE53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DFF7"/>
  <w15:chartTrackingRefBased/>
  <w15:docId w15:val="{6992433E-6593-4772-93FF-01EEBDD0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294"/>
    <w:pPr>
      <w:spacing w:line="252" w:lineRule="auto"/>
    </w:pPr>
  </w:style>
  <w:style w:type="paragraph" w:styleId="Heading1">
    <w:name w:val="heading 1"/>
    <w:basedOn w:val="Normal"/>
    <w:next w:val="Normal"/>
    <w:link w:val="Heading1Char"/>
    <w:qFormat/>
    <w:rsid w:val="006D2294"/>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294"/>
    <w:rPr>
      <w:rFonts w:ascii="Times New Roman" w:eastAsia="Times New Roman" w:hAnsi="Times New Roman" w:cs="Times New Roman"/>
      <w:sz w:val="24"/>
      <w:szCs w:val="20"/>
      <w:u w:val="single"/>
      <w:lang w:val="en-AU"/>
    </w:rPr>
  </w:style>
  <w:style w:type="table" w:styleId="TableGrid">
    <w:name w:val="Table Grid"/>
    <w:basedOn w:val="TableNormal"/>
    <w:uiPriority w:val="59"/>
    <w:rsid w:val="006D22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AEA"/>
  </w:style>
  <w:style w:type="paragraph" w:styleId="Footer">
    <w:name w:val="footer"/>
    <w:basedOn w:val="Normal"/>
    <w:link w:val="FooterChar"/>
    <w:uiPriority w:val="99"/>
    <w:unhideWhenUsed/>
    <w:rsid w:val="000E5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AEA"/>
  </w:style>
  <w:style w:type="paragraph" w:styleId="FootnoteText">
    <w:name w:val="footnote text"/>
    <w:basedOn w:val="Normal"/>
    <w:link w:val="FootnoteTextChar"/>
    <w:uiPriority w:val="99"/>
    <w:semiHidden/>
    <w:unhideWhenUsed/>
    <w:rsid w:val="00A13B9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13B9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3B9F"/>
    <w:rPr>
      <w:rFonts w:ascii="Times New Roman" w:hAnsi="Times New Roman" w:cs="Times New Roman" w:hint="default"/>
      <w:vertAlign w:val="superscript"/>
    </w:rPr>
  </w:style>
  <w:style w:type="paragraph" w:styleId="ListParagraph">
    <w:name w:val="List Paragraph"/>
    <w:basedOn w:val="Normal"/>
    <w:uiPriority w:val="34"/>
    <w:qFormat/>
    <w:rsid w:val="000D15F0"/>
    <w:pPr>
      <w:ind w:left="720"/>
      <w:contextualSpacing/>
    </w:pPr>
  </w:style>
  <w:style w:type="paragraph" w:styleId="BalloonText">
    <w:name w:val="Balloon Text"/>
    <w:basedOn w:val="Normal"/>
    <w:link w:val="BalloonTextChar"/>
    <w:uiPriority w:val="99"/>
    <w:semiHidden/>
    <w:unhideWhenUsed/>
    <w:rsid w:val="008B7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6607">
      <w:bodyDiv w:val="1"/>
      <w:marLeft w:val="0"/>
      <w:marRight w:val="0"/>
      <w:marTop w:val="0"/>
      <w:marBottom w:val="0"/>
      <w:divBdr>
        <w:top w:val="none" w:sz="0" w:space="0" w:color="auto"/>
        <w:left w:val="none" w:sz="0" w:space="0" w:color="auto"/>
        <w:bottom w:val="none" w:sz="0" w:space="0" w:color="auto"/>
        <w:right w:val="none" w:sz="0" w:space="0" w:color="auto"/>
      </w:divBdr>
    </w:div>
    <w:div w:id="843011240">
      <w:bodyDiv w:val="1"/>
      <w:marLeft w:val="0"/>
      <w:marRight w:val="0"/>
      <w:marTop w:val="0"/>
      <w:marBottom w:val="0"/>
      <w:divBdr>
        <w:top w:val="none" w:sz="0" w:space="0" w:color="auto"/>
        <w:left w:val="none" w:sz="0" w:space="0" w:color="auto"/>
        <w:bottom w:val="none" w:sz="0" w:space="0" w:color="auto"/>
        <w:right w:val="none" w:sz="0" w:space="0" w:color="auto"/>
      </w:divBdr>
    </w:div>
    <w:div w:id="870461817">
      <w:bodyDiv w:val="1"/>
      <w:marLeft w:val="0"/>
      <w:marRight w:val="0"/>
      <w:marTop w:val="0"/>
      <w:marBottom w:val="0"/>
      <w:divBdr>
        <w:top w:val="none" w:sz="0" w:space="0" w:color="auto"/>
        <w:left w:val="none" w:sz="0" w:space="0" w:color="auto"/>
        <w:bottom w:val="none" w:sz="0" w:space="0" w:color="auto"/>
        <w:right w:val="none" w:sz="0" w:space="0" w:color="auto"/>
      </w:divBdr>
    </w:div>
    <w:div w:id="1155728700">
      <w:bodyDiv w:val="1"/>
      <w:marLeft w:val="0"/>
      <w:marRight w:val="0"/>
      <w:marTop w:val="0"/>
      <w:marBottom w:val="0"/>
      <w:divBdr>
        <w:top w:val="none" w:sz="0" w:space="0" w:color="auto"/>
        <w:left w:val="none" w:sz="0" w:space="0" w:color="auto"/>
        <w:bottom w:val="none" w:sz="0" w:space="0" w:color="auto"/>
        <w:right w:val="none" w:sz="0" w:space="0" w:color="auto"/>
      </w:divBdr>
    </w:div>
    <w:div w:id="1466972958">
      <w:bodyDiv w:val="1"/>
      <w:marLeft w:val="0"/>
      <w:marRight w:val="0"/>
      <w:marTop w:val="0"/>
      <w:marBottom w:val="0"/>
      <w:divBdr>
        <w:top w:val="none" w:sz="0" w:space="0" w:color="auto"/>
        <w:left w:val="none" w:sz="0" w:space="0" w:color="auto"/>
        <w:bottom w:val="none" w:sz="0" w:space="0" w:color="auto"/>
        <w:right w:val="none" w:sz="0" w:space="0" w:color="auto"/>
      </w:divBdr>
    </w:div>
    <w:div w:id="1516337366">
      <w:bodyDiv w:val="1"/>
      <w:marLeft w:val="0"/>
      <w:marRight w:val="0"/>
      <w:marTop w:val="0"/>
      <w:marBottom w:val="0"/>
      <w:divBdr>
        <w:top w:val="none" w:sz="0" w:space="0" w:color="auto"/>
        <w:left w:val="none" w:sz="0" w:space="0" w:color="auto"/>
        <w:bottom w:val="none" w:sz="0" w:space="0" w:color="auto"/>
        <w:right w:val="none" w:sz="0" w:space="0" w:color="auto"/>
      </w:divBdr>
    </w:div>
    <w:div w:id="1575973474">
      <w:bodyDiv w:val="1"/>
      <w:marLeft w:val="0"/>
      <w:marRight w:val="0"/>
      <w:marTop w:val="0"/>
      <w:marBottom w:val="0"/>
      <w:divBdr>
        <w:top w:val="none" w:sz="0" w:space="0" w:color="auto"/>
        <w:left w:val="none" w:sz="0" w:space="0" w:color="auto"/>
        <w:bottom w:val="none" w:sz="0" w:space="0" w:color="auto"/>
        <w:right w:val="none" w:sz="0" w:space="0" w:color="auto"/>
      </w:divBdr>
    </w:div>
    <w:div w:id="1622151127">
      <w:bodyDiv w:val="1"/>
      <w:marLeft w:val="0"/>
      <w:marRight w:val="0"/>
      <w:marTop w:val="0"/>
      <w:marBottom w:val="0"/>
      <w:divBdr>
        <w:top w:val="none" w:sz="0" w:space="0" w:color="auto"/>
        <w:left w:val="none" w:sz="0" w:space="0" w:color="auto"/>
        <w:bottom w:val="none" w:sz="0" w:space="0" w:color="auto"/>
        <w:right w:val="none" w:sz="0" w:space="0" w:color="auto"/>
      </w:divBdr>
    </w:div>
    <w:div w:id="1779107862">
      <w:bodyDiv w:val="1"/>
      <w:marLeft w:val="0"/>
      <w:marRight w:val="0"/>
      <w:marTop w:val="0"/>
      <w:marBottom w:val="0"/>
      <w:divBdr>
        <w:top w:val="none" w:sz="0" w:space="0" w:color="auto"/>
        <w:left w:val="none" w:sz="0" w:space="0" w:color="auto"/>
        <w:bottom w:val="none" w:sz="0" w:space="0" w:color="auto"/>
        <w:right w:val="none" w:sz="0" w:space="0" w:color="auto"/>
      </w:divBdr>
    </w:div>
    <w:div w:id="1830632397">
      <w:bodyDiv w:val="1"/>
      <w:marLeft w:val="0"/>
      <w:marRight w:val="0"/>
      <w:marTop w:val="0"/>
      <w:marBottom w:val="0"/>
      <w:divBdr>
        <w:top w:val="none" w:sz="0" w:space="0" w:color="auto"/>
        <w:left w:val="none" w:sz="0" w:space="0" w:color="auto"/>
        <w:bottom w:val="none" w:sz="0" w:space="0" w:color="auto"/>
        <w:right w:val="none" w:sz="0" w:space="0" w:color="auto"/>
      </w:divBdr>
    </w:div>
    <w:div w:id="2013990435">
      <w:bodyDiv w:val="1"/>
      <w:marLeft w:val="0"/>
      <w:marRight w:val="0"/>
      <w:marTop w:val="0"/>
      <w:marBottom w:val="0"/>
      <w:divBdr>
        <w:top w:val="none" w:sz="0" w:space="0" w:color="auto"/>
        <w:left w:val="none" w:sz="0" w:space="0" w:color="auto"/>
        <w:bottom w:val="none" w:sz="0" w:space="0" w:color="auto"/>
        <w:right w:val="none" w:sz="0" w:space="0" w:color="auto"/>
      </w:divBdr>
    </w:div>
    <w:div w:id="2055305977">
      <w:bodyDiv w:val="1"/>
      <w:marLeft w:val="0"/>
      <w:marRight w:val="0"/>
      <w:marTop w:val="0"/>
      <w:marBottom w:val="0"/>
      <w:divBdr>
        <w:top w:val="none" w:sz="0" w:space="0" w:color="auto"/>
        <w:left w:val="none" w:sz="0" w:space="0" w:color="auto"/>
        <w:bottom w:val="none" w:sz="0" w:space="0" w:color="auto"/>
        <w:right w:val="none" w:sz="0" w:space="0" w:color="auto"/>
      </w:divBdr>
    </w:div>
    <w:div w:id="2102943502">
      <w:bodyDiv w:val="1"/>
      <w:marLeft w:val="0"/>
      <w:marRight w:val="0"/>
      <w:marTop w:val="0"/>
      <w:marBottom w:val="0"/>
      <w:divBdr>
        <w:top w:val="none" w:sz="0" w:space="0" w:color="auto"/>
        <w:left w:val="none" w:sz="0" w:space="0" w:color="auto"/>
        <w:bottom w:val="none" w:sz="0" w:space="0" w:color="auto"/>
        <w:right w:val="none" w:sz="0" w:space="0" w:color="auto"/>
      </w:divBdr>
    </w:div>
    <w:div w:id="211250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35461-76C2-4CF3-861C-9769C2EE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Judge-Celeste Reinders</dc:creator>
  <cp:keywords/>
  <dc:description/>
  <cp:lastModifiedBy>Makgotso Velaphi</cp:lastModifiedBy>
  <cp:revision>3</cp:revision>
  <cp:lastPrinted>2023-02-20T12:15:00Z</cp:lastPrinted>
  <dcterms:created xsi:type="dcterms:W3CDTF">2023-02-21T13:23:00Z</dcterms:created>
  <dcterms:modified xsi:type="dcterms:W3CDTF">2023-02-21T13:42:00Z</dcterms:modified>
</cp:coreProperties>
</file>