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9" w:rsidRPr="00DB2A06" w:rsidRDefault="001F5819" w:rsidP="001F581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1F5819" w:rsidRDefault="001F5819" w:rsidP="00302938">
      <w:pPr>
        <w:spacing w:after="0" w:line="240" w:lineRule="auto"/>
        <w:jc w:val="center"/>
        <w:rPr>
          <w:noProof/>
          <w:lang w:val="en-US"/>
        </w:rPr>
      </w:pPr>
    </w:p>
    <w:p w:rsidR="001F5819" w:rsidRDefault="001F5819" w:rsidP="00302938">
      <w:pPr>
        <w:spacing w:after="0" w:line="240" w:lineRule="auto"/>
        <w:jc w:val="center"/>
        <w:rPr>
          <w:noProof/>
          <w:lang w:val="en-US"/>
        </w:rPr>
      </w:pPr>
    </w:p>
    <w:p w:rsidR="001F5819" w:rsidRDefault="001F5819" w:rsidP="00302938">
      <w:pPr>
        <w:spacing w:after="0" w:line="240" w:lineRule="auto"/>
        <w:jc w:val="center"/>
        <w:rPr>
          <w:noProof/>
          <w:lang w:val="en-US"/>
        </w:rPr>
      </w:pPr>
    </w:p>
    <w:p w:rsidR="001F5819" w:rsidRDefault="001F5819" w:rsidP="00302938">
      <w:pPr>
        <w:spacing w:after="0" w:line="240" w:lineRule="auto"/>
        <w:jc w:val="center"/>
        <w:rPr>
          <w:noProof/>
          <w:lang w:val="en-US"/>
        </w:rPr>
      </w:pPr>
    </w:p>
    <w:p w:rsidR="001F5819" w:rsidRDefault="001F5819" w:rsidP="00302938">
      <w:pPr>
        <w:spacing w:after="0" w:line="240" w:lineRule="auto"/>
        <w:jc w:val="center"/>
        <w:rPr>
          <w:noProof/>
          <w:lang w:val="en-US"/>
        </w:rPr>
      </w:pPr>
    </w:p>
    <w:p w:rsidR="001F5819" w:rsidRDefault="001F5819" w:rsidP="00302938">
      <w:pPr>
        <w:spacing w:after="0" w:line="240" w:lineRule="auto"/>
        <w:jc w:val="center"/>
        <w:rPr>
          <w:noProof/>
          <w:lang w:val="en-US"/>
        </w:rPr>
      </w:pPr>
    </w:p>
    <w:p w:rsidR="00302938" w:rsidRDefault="00302938" w:rsidP="00302938">
      <w:pPr>
        <w:spacing w:after="0" w:line="240" w:lineRule="auto"/>
        <w:jc w:val="center"/>
        <w:rPr>
          <w:rFonts w:ascii="Arial" w:hAnsi="Arial" w:cs="Arial"/>
          <w:b/>
          <w:sz w:val="24"/>
          <w:szCs w:val="24"/>
          <w:u w:val="single"/>
        </w:rPr>
      </w:pPr>
      <w:r>
        <w:rPr>
          <w:noProof/>
          <w:lang w:val="en-US"/>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sz w:val="24"/>
          <w:szCs w:val="24"/>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Pr>
          <w:rFonts w:ascii="Arial" w:hAnsi="Arial"/>
          <w:sz w:val="24"/>
          <w:szCs w:val="24"/>
        </w:rPr>
        <w:t xml:space="preserve">Case No.: </w:t>
      </w:r>
      <w:r w:rsidR="003C6C83">
        <w:rPr>
          <w:rFonts w:ascii="Arial" w:hAnsi="Arial"/>
          <w:sz w:val="24"/>
          <w:szCs w:val="24"/>
        </w:rPr>
        <w:t>5268</w:t>
      </w:r>
      <w:r>
        <w:rPr>
          <w:rFonts w:ascii="Arial" w:hAnsi="Arial"/>
          <w:sz w:val="24"/>
          <w:szCs w:val="24"/>
        </w:rPr>
        <w:t>/20</w:t>
      </w:r>
      <w:r w:rsidR="003C6C83">
        <w:rPr>
          <w:rFonts w:ascii="Arial" w:hAnsi="Arial"/>
          <w:sz w:val="24"/>
          <w:szCs w:val="24"/>
        </w:rPr>
        <w:t>19</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Pr="00F76B55" w:rsidRDefault="003C6C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sz w:val="24"/>
          <w:szCs w:val="24"/>
        </w:rPr>
      </w:pPr>
      <w:r>
        <w:rPr>
          <w:rFonts w:ascii="Arial" w:hAnsi="Arial"/>
          <w:b/>
          <w:bCs/>
          <w:sz w:val="24"/>
          <w:szCs w:val="24"/>
        </w:rPr>
        <w:t>THE STANDARD BANK OF SOUTH AFRICA LIMITED</w:t>
      </w:r>
      <w:r w:rsidR="00302938" w:rsidRPr="008B13F6">
        <w:rPr>
          <w:rFonts w:ascii="Arial" w:hAnsi="Arial"/>
          <w:b/>
          <w:bCs/>
          <w:sz w:val="24"/>
          <w:szCs w:val="24"/>
        </w:rPr>
        <w:tab/>
      </w:r>
      <w:r w:rsidR="00D34925" w:rsidRPr="00F76B55">
        <w:rPr>
          <w:rFonts w:ascii="Arial" w:hAnsi="Arial"/>
          <w:b/>
          <w:sz w:val="24"/>
          <w:szCs w:val="24"/>
        </w:rPr>
        <w:t>Plaintiff/Res</w:t>
      </w:r>
      <w:r w:rsidR="00C90F38" w:rsidRPr="00F76B55">
        <w:rPr>
          <w:rFonts w:ascii="Arial" w:hAnsi="Arial"/>
          <w:b/>
          <w:sz w:val="24"/>
          <w:szCs w:val="24"/>
        </w:rPr>
        <w:t>p</w:t>
      </w:r>
      <w:r w:rsidR="00D34925" w:rsidRPr="00F76B55">
        <w:rPr>
          <w:rFonts w:ascii="Arial" w:hAnsi="Arial"/>
          <w:b/>
          <w:sz w:val="24"/>
          <w:szCs w:val="24"/>
        </w:rPr>
        <w:t>ondent</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b/>
          <w:bCs/>
          <w:sz w:val="24"/>
          <w:szCs w:val="24"/>
        </w:rPr>
      </w:pP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302938" w:rsidRDefault="003C6C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sz w:val="24"/>
          <w:szCs w:val="24"/>
        </w:rPr>
      </w:pPr>
      <w:r>
        <w:rPr>
          <w:rFonts w:ascii="Arial" w:hAnsi="Arial"/>
          <w:b/>
          <w:bCs/>
          <w:sz w:val="24"/>
          <w:szCs w:val="24"/>
        </w:rPr>
        <w:t xml:space="preserve">PETRUS ALBERTUS PRETORIUS        </w:t>
      </w:r>
      <w:r w:rsidR="00302938">
        <w:rPr>
          <w:rFonts w:ascii="Arial" w:hAnsi="Arial"/>
          <w:b/>
          <w:bCs/>
          <w:sz w:val="24"/>
          <w:szCs w:val="24"/>
        </w:rPr>
        <w:tab/>
      </w:r>
      <w:r w:rsidR="00302938">
        <w:rPr>
          <w:rFonts w:ascii="Arial" w:hAnsi="Arial"/>
          <w:b/>
          <w:bCs/>
          <w:sz w:val="24"/>
          <w:szCs w:val="24"/>
        </w:rPr>
        <w:tab/>
      </w:r>
      <w:r w:rsidR="00302938" w:rsidRPr="008B13F6">
        <w:rPr>
          <w:rFonts w:ascii="Arial" w:hAnsi="Arial"/>
          <w:b/>
          <w:bCs/>
          <w:sz w:val="24"/>
          <w:szCs w:val="24"/>
        </w:rPr>
        <w:tab/>
      </w:r>
      <w:r>
        <w:rPr>
          <w:rFonts w:ascii="Arial" w:hAnsi="Arial"/>
          <w:b/>
          <w:bCs/>
          <w:sz w:val="24"/>
          <w:szCs w:val="24"/>
        </w:rPr>
        <w:t>1</w:t>
      </w:r>
      <w:r w:rsidR="00F76B55">
        <w:rPr>
          <w:rFonts w:ascii="Arial" w:hAnsi="Arial"/>
          <w:b/>
          <w:bCs/>
          <w:sz w:val="24"/>
          <w:szCs w:val="24"/>
          <w:vertAlign w:val="superscript"/>
        </w:rPr>
        <w:t xml:space="preserve">st </w:t>
      </w:r>
      <w:r w:rsidR="00F76B55">
        <w:rPr>
          <w:rFonts w:ascii="Arial" w:hAnsi="Arial"/>
          <w:b/>
          <w:bCs/>
          <w:sz w:val="24"/>
          <w:szCs w:val="24"/>
        </w:rPr>
        <w:t>Defendant</w:t>
      </w:r>
      <w:r w:rsidR="00D34925" w:rsidRPr="00F76B55">
        <w:rPr>
          <w:rFonts w:ascii="Arial" w:hAnsi="Arial"/>
          <w:b/>
          <w:sz w:val="24"/>
          <w:szCs w:val="24"/>
        </w:rPr>
        <w:t>/Applicant</w:t>
      </w:r>
    </w:p>
    <w:p w:rsidR="003C6C83" w:rsidRDefault="003C6C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ANNA MAGDALENA PRETORIUS N.O                                  2</w:t>
      </w:r>
      <w:r w:rsidRPr="003C6C83">
        <w:rPr>
          <w:rFonts w:ascii="Arial" w:hAnsi="Arial"/>
          <w:b/>
          <w:sz w:val="24"/>
          <w:szCs w:val="24"/>
          <w:vertAlign w:val="superscript"/>
        </w:rPr>
        <w:t>nd</w:t>
      </w:r>
      <w:r>
        <w:rPr>
          <w:rFonts w:ascii="Arial" w:hAnsi="Arial"/>
          <w:b/>
          <w:sz w:val="24"/>
          <w:szCs w:val="24"/>
        </w:rPr>
        <w:t xml:space="preserve"> Defendant</w:t>
      </w:r>
    </w:p>
    <w:p w:rsidR="003C6C83" w:rsidRDefault="003C6C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PETRUS ALBERTUS PRETORIUS N.O                                  3</w:t>
      </w:r>
      <w:r>
        <w:rPr>
          <w:rFonts w:ascii="Arial" w:hAnsi="Arial"/>
          <w:b/>
          <w:sz w:val="24"/>
          <w:szCs w:val="24"/>
          <w:vertAlign w:val="superscript"/>
        </w:rPr>
        <w:t xml:space="preserve">rd </w:t>
      </w:r>
      <w:r>
        <w:rPr>
          <w:rFonts w:ascii="Arial" w:hAnsi="Arial"/>
          <w:b/>
          <w:sz w:val="24"/>
          <w:szCs w:val="24"/>
        </w:rPr>
        <w:t xml:space="preserve"> Defendant</w:t>
      </w:r>
    </w:p>
    <w:p w:rsidR="003C6C83" w:rsidRPr="003C6C83" w:rsidRDefault="003C6C83"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 xml:space="preserve">WIL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3B5DC9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34925">
        <w:rPr>
          <w:rFonts w:ascii="Arial" w:hAnsi="Arial" w:cs="Arial"/>
          <w:bCs/>
          <w:sz w:val="24"/>
          <w:szCs w:val="24"/>
        </w:rPr>
        <w:t>N</w:t>
      </w:r>
      <w:r w:rsidRPr="000C217E">
        <w:rPr>
          <w:rFonts w:ascii="Arial" w:hAnsi="Arial" w:cs="Arial"/>
          <w:bCs/>
          <w:sz w:val="24"/>
          <w:szCs w:val="24"/>
        </w:rPr>
        <w:t xml:space="preserve">. </w:t>
      </w:r>
      <w:r w:rsidR="00D34925">
        <w:rPr>
          <w:rFonts w:ascii="Arial" w:hAnsi="Arial" w:cs="Arial"/>
          <w:bCs/>
          <w:sz w:val="24"/>
          <w:szCs w:val="24"/>
        </w:rPr>
        <w:t>M</w:t>
      </w:r>
      <w:bookmarkStart w:id="0" w:name="_GoBack"/>
      <w:r w:rsidRPr="000C217E">
        <w:rPr>
          <w:rFonts w:ascii="Arial" w:hAnsi="Arial" w:cs="Arial"/>
          <w:bCs/>
          <w:sz w:val="24"/>
          <w:szCs w:val="24"/>
        </w:rPr>
        <w:t>.</w:t>
      </w:r>
      <w:r w:rsidRPr="000C217E">
        <w:rPr>
          <w:rFonts w:ascii="Arial" w:hAnsi="Arial"/>
          <w:sz w:val="24"/>
          <w:szCs w:val="24"/>
        </w:rPr>
        <w:t xml:space="preserve"> </w:t>
      </w:r>
      <w:r>
        <w:rPr>
          <w:rFonts w:ascii="Arial" w:hAnsi="Arial"/>
          <w:sz w:val="24"/>
          <w:szCs w:val="24"/>
        </w:rPr>
        <w:t>M</w:t>
      </w:r>
      <w:r w:rsidR="00D34925">
        <w:rPr>
          <w:rFonts w:ascii="Arial" w:hAnsi="Arial"/>
          <w:sz w:val="24"/>
          <w:szCs w:val="24"/>
        </w:rPr>
        <w:t>BHELE</w:t>
      </w:r>
      <w:bookmarkEnd w:id="0"/>
      <w:r>
        <w:rPr>
          <w:rFonts w:ascii="Arial" w:hAnsi="Arial"/>
          <w:sz w:val="24"/>
          <w:szCs w:val="24"/>
        </w:rPr>
        <w:t xml:space="preserve">, </w:t>
      </w:r>
      <w:r w:rsidR="003C6C83">
        <w:rPr>
          <w:rFonts w:ascii="Arial" w:hAnsi="Arial"/>
          <w:sz w:val="24"/>
          <w:szCs w:val="24"/>
        </w:rPr>
        <w:t>D</w:t>
      </w:r>
      <w:r>
        <w:rPr>
          <w:rFonts w:ascii="Arial" w:hAnsi="Arial"/>
          <w:sz w:val="24"/>
          <w:szCs w:val="24"/>
        </w:rPr>
        <w:t>JP</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3D577F6"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r>
      <w:r w:rsidR="003C6C83">
        <w:rPr>
          <w:rFonts w:ascii="Arial" w:hAnsi="Arial" w:cs="Arial"/>
          <w:sz w:val="24"/>
          <w:szCs w:val="24"/>
        </w:rPr>
        <w:t xml:space="preserve">03 NOVEMEBR </w:t>
      </w:r>
      <w:r w:rsidR="00D34925">
        <w:rPr>
          <w:rFonts w:ascii="Arial" w:hAnsi="Arial" w:cs="Arial"/>
          <w:sz w:val="24"/>
          <w:szCs w:val="24"/>
        </w:rPr>
        <w:t xml:space="preserve"> 2022</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DA5338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F72EE8">
        <w:rPr>
          <w:rFonts w:ascii="Arial" w:hAnsi="Arial" w:cs="Arial"/>
          <w:sz w:val="24"/>
          <w:szCs w:val="24"/>
        </w:rPr>
        <w:t>23 FEBRUARY 2023</w:t>
      </w:r>
    </w:p>
    <w:p w:rsidR="00302938" w:rsidRPr="00FD136B"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67A7A64"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302938" w:rsidRDefault="00302938" w:rsidP="001913D9">
      <w:pPr>
        <w:spacing w:after="0" w:line="360" w:lineRule="auto"/>
        <w:ind w:left="709" w:hanging="709"/>
        <w:jc w:val="both"/>
        <w:rPr>
          <w:rFonts w:ascii="Arial" w:hAnsi="Arial" w:cs="Arial"/>
          <w:sz w:val="24"/>
          <w:szCs w:val="24"/>
        </w:rPr>
      </w:pPr>
    </w:p>
    <w:p w:rsidR="0018181C" w:rsidRDefault="001913D9" w:rsidP="00F76B55">
      <w:pPr>
        <w:pStyle w:val="Default"/>
        <w:spacing w:line="360" w:lineRule="auto"/>
        <w:ind w:left="709" w:hanging="709"/>
        <w:jc w:val="both"/>
      </w:pPr>
      <w:r>
        <w:lastRenderedPageBreak/>
        <w:t>[1]</w:t>
      </w:r>
      <w:r>
        <w:tab/>
      </w:r>
      <w:r w:rsidR="007A1CD9">
        <w:tab/>
      </w:r>
      <w:r w:rsidR="007A1CD9" w:rsidRPr="007A1CD9">
        <w:t>The</w:t>
      </w:r>
      <w:r w:rsidR="00CE5064">
        <w:t xml:space="preserve"> de</w:t>
      </w:r>
      <w:r w:rsidR="001F45E9">
        <w:t xml:space="preserve">fendants approached this court for an application to compel the plaintiff to comply with their request for discovery made </w:t>
      </w:r>
      <w:r w:rsidR="00043010">
        <w:t>in terms of Rule 35(14)</w:t>
      </w:r>
      <w:r w:rsidR="00B0110F">
        <w:t>. T</w:t>
      </w:r>
      <w:r w:rsidR="00043010">
        <w:t xml:space="preserve">hey </w:t>
      </w:r>
      <w:r w:rsidR="006653DC">
        <w:t>seek</w:t>
      </w:r>
      <w:r w:rsidR="00B0110F">
        <w:t xml:space="preserve"> an order compelling the plaintiff</w:t>
      </w:r>
      <w:r w:rsidR="006653DC">
        <w:t xml:space="preserve"> to comply wi</w:t>
      </w:r>
      <w:r w:rsidR="00B0110F">
        <w:t>th the first to fifth defendant</w:t>
      </w:r>
      <w:r w:rsidR="006653DC">
        <w:t>’s request for discovery</w:t>
      </w:r>
      <w:r w:rsidR="00B1027C">
        <w:t xml:space="preserve">, filed on </w:t>
      </w:r>
      <w:r w:rsidR="00F76B55">
        <w:t>18 February</w:t>
      </w:r>
      <w:r w:rsidR="00B1027C">
        <w:t xml:space="preserve"> </w:t>
      </w:r>
      <w:r w:rsidR="00F76B55">
        <w:t>2020, and</w:t>
      </w:r>
      <w:r w:rsidR="00B0110F">
        <w:t xml:space="preserve"> to</w:t>
      </w:r>
      <w:r w:rsidR="006653DC">
        <w:t xml:space="preserve"> make available for inspection within 5 days of the order the docume</w:t>
      </w:r>
      <w:r w:rsidR="007D1155">
        <w:t>nts in its possession and to allow copies of transcriptions thereof</w:t>
      </w:r>
      <w:r w:rsidR="00B0110F">
        <w:t xml:space="preserve"> to be made. They further seek</w:t>
      </w:r>
      <w:r w:rsidR="007D1155">
        <w:t xml:space="preserve"> leave for the </w:t>
      </w:r>
      <w:r w:rsidR="0018181C">
        <w:t xml:space="preserve">first to fifth </w:t>
      </w:r>
      <w:r w:rsidR="007D1155">
        <w:t>Defendants to approach court on the same papers for an order that the plaintiff’s claim</w:t>
      </w:r>
      <w:r w:rsidR="0018181C">
        <w:t xml:space="preserve"> be struck out in the event that the plaintiff fails to comply with </w:t>
      </w:r>
      <w:r w:rsidR="00AA537A">
        <w:t>the order as set out above</w:t>
      </w:r>
      <w:r w:rsidR="0018181C">
        <w:t>.</w:t>
      </w:r>
    </w:p>
    <w:p w:rsidR="00D34925" w:rsidRDefault="007D1155" w:rsidP="00F76B55">
      <w:pPr>
        <w:pStyle w:val="Default"/>
        <w:spacing w:line="360" w:lineRule="auto"/>
        <w:ind w:left="709" w:hanging="709"/>
        <w:jc w:val="both"/>
      </w:pPr>
      <w:r>
        <w:t xml:space="preserve"> </w:t>
      </w:r>
    </w:p>
    <w:p w:rsidR="00B1027C" w:rsidRDefault="00D34925" w:rsidP="00F76B55">
      <w:pPr>
        <w:spacing w:after="0" w:line="36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B1027C">
        <w:rPr>
          <w:rFonts w:ascii="Arial" w:hAnsi="Arial" w:cs="Arial"/>
          <w:sz w:val="24"/>
          <w:szCs w:val="24"/>
        </w:rPr>
        <w:t xml:space="preserve">On 18 February 2020 the defendants filed a notice in terms of Rule 35 (14) calling upon the plaintiff to provide the below stated  documentation:  </w:t>
      </w:r>
    </w:p>
    <w:p w:rsidR="00B1027C" w:rsidRPr="00262ED6" w:rsidRDefault="00B1027C" w:rsidP="00262ED6">
      <w:pPr>
        <w:ind w:left="1440" w:hanging="710"/>
        <w:rPr>
          <w:rFonts w:ascii="Arial" w:hAnsi="Arial" w:cs="Arial"/>
          <w:b/>
          <w:sz w:val="24"/>
          <w:szCs w:val="24"/>
          <w:u w:val="single"/>
        </w:rPr>
      </w:pPr>
      <w:r w:rsidRPr="00262ED6">
        <w:rPr>
          <w:rFonts w:ascii="Arial" w:hAnsi="Arial" w:cs="Arial"/>
          <w:sz w:val="24"/>
          <w:szCs w:val="24"/>
        </w:rPr>
        <w:t>2.1</w:t>
      </w:r>
      <w:r w:rsidRPr="00262ED6">
        <w:rPr>
          <w:rFonts w:ascii="Arial" w:hAnsi="Arial" w:cs="Arial"/>
          <w:sz w:val="24"/>
          <w:szCs w:val="24"/>
        </w:rPr>
        <w:tab/>
      </w:r>
      <w:r w:rsidRPr="00262ED6">
        <w:rPr>
          <w:rFonts w:ascii="Arial" w:hAnsi="Arial" w:cs="Arial"/>
          <w:b/>
          <w:sz w:val="24"/>
          <w:szCs w:val="24"/>
          <w:u w:val="single"/>
        </w:rPr>
        <w:t>Bank Statements and / or Agreements for the following account numbers:</w:t>
      </w:r>
    </w:p>
    <w:p w:rsidR="00B1027C" w:rsidRPr="00262ED6" w:rsidRDefault="00B1027C" w:rsidP="00B1027C">
      <w:pPr>
        <w:ind w:firstLine="720"/>
        <w:rPr>
          <w:rFonts w:ascii="Arial" w:hAnsi="Arial" w:cs="Arial"/>
          <w:sz w:val="24"/>
          <w:szCs w:val="24"/>
        </w:rPr>
      </w:pPr>
      <w:r w:rsidRPr="00262ED6">
        <w:rPr>
          <w:rFonts w:ascii="Arial" w:hAnsi="Arial" w:cs="Arial"/>
          <w:sz w:val="24"/>
          <w:szCs w:val="24"/>
        </w:rPr>
        <w:t>2</w:t>
      </w:r>
      <w:r w:rsidR="001F5819">
        <w:rPr>
          <w:rFonts w:ascii="Arial" w:hAnsi="Arial" w:cs="Arial"/>
          <w:sz w:val="24"/>
          <w:szCs w:val="24"/>
        </w:rPr>
        <w:t>.1.1</w:t>
      </w:r>
      <w:r w:rsidR="001F5819">
        <w:rPr>
          <w:rFonts w:ascii="Arial" w:hAnsi="Arial" w:cs="Arial"/>
          <w:sz w:val="24"/>
          <w:szCs w:val="24"/>
        </w:rPr>
        <w:tab/>
        <w:t>Account number […]</w:t>
      </w:r>
      <w:r w:rsidRPr="00262ED6">
        <w:rPr>
          <w:rFonts w:ascii="Arial" w:hAnsi="Arial" w:cs="Arial"/>
          <w:sz w:val="24"/>
          <w:szCs w:val="24"/>
        </w:rPr>
        <w:t xml:space="preserve"> from 25/09/2016 till 25/01/2018;</w:t>
      </w:r>
    </w:p>
    <w:p w:rsidR="00B1027C" w:rsidRPr="00262ED6" w:rsidRDefault="00B1027C" w:rsidP="00B1027C">
      <w:pPr>
        <w:ind w:firstLine="720"/>
        <w:rPr>
          <w:rFonts w:ascii="Arial" w:hAnsi="Arial" w:cs="Arial"/>
          <w:sz w:val="24"/>
          <w:szCs w:val="24"/>
        </w:rPr>
      </w:pPr>
      <w:r w:rsidRPr="00262ED6">
        <w:rPr>
          <w:rFonts w:ascii="Arial" w:hAnsi="Arial" w:cs="Arial"/>
          <w:sz w:val="24"/>
          <w:szCs w:val="24"/>
        </w:rPr>
        <w:t>2</w:t>
      </w:r>
      <w:r w:rsidR="001F5819">
        <w:rPr>
          <w:rFonts w:ascii="Arial" w:hAnsi="Arial" w:cs="Arial"/>
          <w:sz w:val="24"/>
          <w:szCs w:val="24"/>
        </w:rPr>
        <w:t>.1.2</w:t>
      </w:r>
      <w:r w:rsidR="001F5819">
        <w:rPr>
          <w:rFonts w:ascii="Arial" w:hAnsi="Arial" w:cs="Arial"/>
          <w:sz w:val="24"/>
          <w:szCs w:val="24"/>
        </w:rPr>
        <w:tab/>
        <w:t>Account number […]</w:t>
      </w:r>
      <w:r w:rsidRPr="00262ED6">
        <w:rPr>
          <w:rFonts w:ascii="Arial" w:hAnsi="Arial" w:cs="Arial"/>
          <w:sz w:val="24"/>
          <w:szCs w:val="24"/>
        </w:rPr>
        <w:t xml:space="preserve"> from 25/09/2016 till 25/01/2018;</w:t>
      </w:r>
    </w:p>
    <w:p w:rsidR="00B1027C" w:rsidRPr="00262ED6" w:rsidRDefault="00B1027C" w:rsidP="00B1027C">
      <w:pPr>
        <w:ind w:firstLine="720"/>
        <w:rPr>
          <w:rFonts w:ascii="Arial" w:hAnsi="Arial" w:cs="Arial"/>
          <w:sz w:val="24"/>
          <w:szCs w:val="24"/>
        </w:rPr>
      </w:pPr>
      <w:r w:rsidRPr="00262ED6">
        <w:rPr>
          <w:rFonts w:ascii="Arial" w:hAnsi="Arial" w:cs="Arial"/>
          <w:sz w:val="24"/>
          <w:szCs w:val="24"/>
        </w:rPr>
        <w:t>2</w:t>
      </w:r>
      <w:r w:rsidR="001F5819">
        <w:rPr>
          <w:rFonts w:ascii="Arial" w:hAnsi="Arial" w:cs="Arial"/>
          <w:sz w:val="24"/>
          <w:szCs w:val="24"/>
        </w:rPr>
        <w:t>.1.3</w:t>
      </w:r>
      <w:r w:rsidR="001F5819">
        <w:rPr>
          <w:rFonts w:ascii="Arial" w:hAnsi="Arial" w:cs="Arial"/>
          <w:sz w:val="24"/>
          <w:szCs w:val="24"/>
        </w:rPr>
        <w:tab/>
        <w:t>Account number […]</w:t>
      </w:r>
      <w:r w:rsidRPr="00262ED6">
        <w:rPr>
          <w:rFonts w:ascii="Arial" w:hAnsi="Arial" w:cs="Arial"/>
          <w:sz w:val="24"/>
          <w:szCs w:val="24"/>
        </w:rPr>
        <w:t xml:space="preserve"> from 25/09/2016 till 25/01/2018;</w:t>
      </w:r>
    </w:p>
    <w:p w:rsidR="00B1027C" w:rsidRPr="00262ED6" w:rsidRDefault="00B1027C" w:rsidP="00F76B55">
      <w:pPr>
        <w:ind w:firstLine="709"/>
        <w:rPr>
          <w:rFonts w:ascii="Arial" w:hAnsi="Arial" w:cs="Arial"/>
          <w:sz w:val="24"/>
          <w:szCs w:val="24"/>
        </w:rPr>
      </w:pPr>
      <w:r w:rsidRPr="00262ED6">
        <w:rPr>
          <w:rFonts w:ascii="Arial" w:hAnsi="Arial" w:cs="Arial"/>
          <w:sz w:val="24"/>
          <w:szCs w:val="24"/>
        </w:rPr>
        <w:t>2</w:t>
      </w:r>
      <w:r w:rsidR="001F5819">
        <w:rPr>
          <w:rFonts w:ascii="Arial" w:hAnsi="Arial" w:cs="Arial"/>
          <w:sz w:val="24"/>
          <w:szCs w:val="24"/>
        </w:rPr>
        <w:t>.1.4</w:t>
      </w:r>
      <w:r w:rsidR="001F5819">
        <w:rPr>
          <w:rFonts w:ascii="Arial" w:hAnsi="Arial" w:cs="Arial"/>
          <w:sz w:val="24"/>
          <w:szCs w:val="24"/>
        </w:rPr>
        <w:tab/>
        <w:t>Account number […]</w:t>
      </w:r>
      <w:r w:rsidRPr="00262ED6">
        <w:rPr>
          <w:rFonts w:ascii="Arial" w:hAnsi="Arial" w:cs="Arial"/>
          <w:sz w:val="24"/>
          <w:szCs w:val="24"/>
        </w:rPr>
        <w:t xml:space="preserve"> from 25/09/2016 till 25/01/2018.</w:t>
      </w:r>
    </w:p>
    <w:p w:rsidR="00B1027C" w:rsidRDefault="00B1027C" w:rsidP="00B1027C">
      <w:pPr>
        <w:spacing w:after="0" w:line="360" w:lineRule="auto"/>
        <w:ind w:left="709" w:hanging="709"/>
        <w:jc w:val="both"/>
        <w:rPr>
          <w:rFonts w:ascii="Arial" w:hAnsi="Arial" w:cs="Arial"/>
          <w:sz w:val="24"/>
          <w:szCs w:val="24"/>
        </w:rPr>
      </w:pPr>
      <w:r>
        <w:rPr>
          <w:rFonts w:ascii="Arial" w:hAnsi="Arial" w:cs="Arial"/>
          <w:sz w:val="24"/>
          <w:szCs w:val="24"/>
        </w:rPr>
        <w:t xml:space="preserve">           </w:t>
      </w:r>
    </w:p>
    <w:p w:rsidR="00555FDF" w:rsidRDefault="002703CD" w:rsidP="00E103A9">
      <w:pPr>
        <w:spacing w:after="0" w:line="360" w:lineRule="auto"/>
        <w:ind w:left="709" w:hanging="709"/>
        <w:jc w:val="both"/>
        <w:rPr>
          <w:rFonts w:ascii="Arial" w:hAnsi="Arial" w:cs="Arial"/>
          <w:sz w:val="24"/>
          <w:szCs w:val="24"/>
        </w:rPr>
      </w:pPr>
      <w:r>
        <w:rPr>
          <w:rFonts w:ascii="Arial" w:hAnsi="Arial" w:cs="Arial"/>
          <w:sz w:val="24"/>
          <w:szCs w:val="24"/>
        </w:rPr>
        <w:t xml:space="preserve">[3]  </w:t>
      </w:r>
      <w:r w:rsidR="00B1027C">
        <w:rPr>
          <w:rFonts w:ascii="Arial" w:hAnsi="Arial" w:cs="Arial"/>
          <w:sz w:val="24"/>
          <w:szCs w:val="24"/>
        </w:rPr>
        <w:t xml:space="preserve"> </w:t>
      </w:r>
      <w:r w:rsidR="00412F39">
        <w:rPr>
          <w:rFonts w:ascii="Arial" w:hAnsi="Arial" w:cs="Arial"/>
          <w:sz w:val="24"/>
          <w:szCs w:val="24"/>
        </w:rPr>
        <w:tab/>
      </w:r>
      <w:r w:rsidR="002D0D1C">
        <w:rPr>
          <w:rFonts w:ascii="Arial" w:hAnsi="Arial" w:cs="Arial"/>
          <w:sz w:val="24"/>
          <w:szCs w:val="24"/>
        </w:rPr>
        <w:t>On 27 February</w:t>
      </w:r>
      <w:r w:rsidR="00842334">
        <w:rPr>
          <w:rFonts w:ascii="Arial" w:hAnsi="Arial" w:cs="Arial"/>
          <w:sz w:val="24"/>
          <w:szCs w:val="24"/>
        </w:rPr>
        <w:t xml:space="preserve"> 2020</w:t>
      </w:r>
      <w:r w:rsidR="002D0D1C">
        <w:rPr>
          <w:rFonts w:ascii="Arial" w:hAnsi="Arial" w:cs="Arial"/>
          <w:sz w:val="24"/>
          <w:szCs w:val="24"/>
        </w:rPr>
        <w:t xml:space="preserve"> the Defendants served the notice in terms of Rule 30 A on the plaintiff’s attorneys. </w:t>
      </w:r>
      <w:r w:rsidR="00734D83">
        <w:rPr>
          <w:rFonts w:ascii="Arial" w:hAnsi="Arial" w:cs="Arial"/>
          <w:sz w:val="24"/>
          <w:szCs w:val="24"/>
        </w:rPr>
        <w:t>On 06 March 2020</w:t>
      </w:r>
      <w:r w:rsidR="009417EC">
        <w:rPr>
          <w:rFonts w:ascii="Arial" w:hAnsi="Arial" w:cs="Arial"/>
          <w:sz w:val="24"/>
          <w:szCs w:val="24"/>
        </w:rPr>
        <w:t xml:space="preserve"> the plaintiff served </w:t>
      </w:r>
      <w:r w:rsidR="0084465D">
        <w:rPr>
          <w:rFonts w:ascii="Arial" w:hAnsi="Arial" w:cs="Arial"/>
          <w:sz w:val="24"/>
          <w:szCs w:val="24"/>
        </w:rPr>
        <w:t xml:space="preserve">an </w:t>
      </w:r>
      <w:r w:rsidR="00920218">
        <w:rPr>
          <w:rFonts w:ascii="Arial" w:hAnsi="Arial" w:cs="Arial"/>
          <w:sz w:val="24"/>
          <w:szCs w:val="24"/>
        </w:rPr>
        <w:t>answer to the Defendant’s</w:t>
      </w:r>
      <w:r w:rsidR="0084465D">
        <w:rPr>
          <w:rFonts w:ascii="Arial" w:hAnsi="Arial" w:cs="Arial"/>
          <w:sz w:val="24"/>
          <w:szCs w:val="24"/>
        </w:rPr>
        <w:t xml:space="preserve"> notice in terms of </w:t>
      </w:r>
      <w:r w:rsidR="009417EC">
        <w:rPr>
          <w:rFonts w:ascii="Arial" w:hAnsi="Arial" w:cs="Arial"/>
          <w:sz w:val="24"/>
          <w:szCs w:val="24"/>
        </w:rPr>
        <w:t>Rule 35 (14) and 35 (10)</w:t>
      </w:r>
      <w:r w:rsidR="00920218">
        <w:rPr>
          <w:rFonts w:ascii="Arial" w:hAnsi="Arial" w:cs="Arial"/>
          <w:sz w:val="24"/>
          <w:szCs w:val="24"/>
        </w:rPr>
        <w:t xml:space="preserve"> and refused to make available the requested documents on the ba</w:t>
      </w:r>
      <w:r w:rsidR="00FC10C8">
        <w:rPr>
          <w:rFonts w:ascii="Arial" w:hAnsi="Arial" w:cs="Arial"/>
          <w:sz w:val="24"/>
          <w:szCs w:val="24"/>
        </w:rPr>
        <w:t>sis that they</w:t>
      </w:r>
      <w:r w:rsidR="00920218">
        <w:rPr>
          <w:rFonts w:ascii="Arial" w:hAnsi="Arial" w:cs="Arial"/>
          <w:sz w:val="24"/>
          <w:szCs w:val="24"/>
        </w:rPr>
        <w:t xml:space="preserve"> are not relevant for the purpose of</w:t>
      </w:r>
      <w:r w:rsidR="00BA6C76">
        <w:rPr>
          <w:rFonts w:ascii="Arial" w:hAnsi="Arial" w:cs="Arial"/>
          <w:sz w:val="24"/>
          <w:szCs w:val="24"/>
        </w:rPr>
        <w:t xml:space="preserve"> pleading as the application was served long after the defendants’ plea was filed</w:t>
      </w:r>
      <w:r w:rsidR="00920218">
        <w:rPr>
          <w:rFonts w:ascii="Arial" w:hAnsi="Arial" w:cs="Arial"/>
          <w:sz w:val="24"/>
          <w:szCs w:val="24"/>
        </w:rPr>
        <w:t xml:space="preserve">. </w:t>
      </w:r>
      <w:r w:rsidR="00636828">
        <w:rPr>
          <w:rFonts w:ascii="Arial" w:hAnsi="Arial" w:cs="Arial"/>
          <w:sz w:val="24"/>
          <w:szCs w:val="24"/>
        </w:rPr>
        <w:t>They</w:t>
      </w:r>
      <w:r w:rsidR="00A248C3">
        <w:rPr>
          <w:rFonts w:ascii="Arial" w:hAnsi="Arial" w:cs="Arial"/>
          <w:sz w:val="24"/>
          <w:szCs w:val="24"/>
        </w:rPr>
        <w:t xml:space="preserve"> further allege </w:t>
      </w:r>
      <w:r w:rsidR="004A091E">
        <w:rPr>
          <w:rFonts w:ascii="Arial" w:hAnsi="Arial" w:cs="Arial"/>
          <w:sz w:val="24"/>
          <w:szCs w:val="24"/>
        </w:rPr>
        <w:t>that the</w:t>
      </w:r>
      <w:r w:rsidR="00636828">
        <w:rPr>
          <w:rFonts w:ascii="Arial" w:hAnsi="Arial" w:cs="Arial"/>
          <w:sz w:val="24"/>
          <w:szCs w:val="24"/>
        </w:rPr>
        <w:t xml:space="preserve"> requested</w:t>
      </w:r>
      <w:r w:rsidR="00F04D00">
        <w:rPr>
          <w:rFonts w:ascii="Arial" w:hAnsi="Arial" w:cs="Arial"/>
          <w:sz w:val="24"/>
          <w:szCs w:val="24"/>
        </w:rPr>
        <w:t xml:space="preserve"> documents do not fall within the ambit </w:t>
      </w:r>
      <w:r w:rsidR="004A091E">
        <w:rPr>
          <w:rFonts w:ascii="Arial" w:hAnsi="Arial" w:cs="Arial"/>
          <w:sz w:val="24"/>
          <w:szCs w:val="24"/>
        </w:rPr>
        <w:t xml:space="preserve">of Rule 35(14) </w:t>
      </w:r>
      <w:r w:rsidR="00EE7830">
        <w:rPr>
          <w:rFonts w:ascii="Arial" w:hAnsi="Arial" w:cs="Arial"/>
          <w:sz w:val="24"/>
          <w:szCs w:val="24"/>
        </w:rPr>
        <w:t xml:space="preserve">as they </w:t>
      </w:r>
      <w:r w:rsidR="009826F1">
        <w:rPr>
          <w:rFonts w:ascii="Arial" w:hAnsi="Arial" w:cs="Arial"/>
          <w:sz w:val="24"/>
          <w:szCs w:val="24"/>
        </w:rPr>
        <w:t xml:space="preserve"> </w:t>
      </w:r>
      <w:r w:rsidR="00636828">
        <w:rPr>
          <w:rFonts w:ascii="Arial" w:hAnsi="Arial" w:cs="Arial"/>
          <w:sz w:val="24"/>
          <w:szCs w:val="24"/>
        </w:rPr>
        <w:t xml:space="preserve"> relate to accounts that were closed </w:t>
      </w:r>
      <w:r w:rsidR="00A248C3">
        <w:rPr>
          <w:rFonts w:ascii="Arial" w:hAnsi="Arial" w:cs="Arial"/>
          <w:sz w:val="24"/>
          <w:szCs w:val="24"/>
        </w:rPr>
        <w:t>between 2017 and 2018</w:t>
      </w:r>
      <w:r w:rsidR="00636828">
        <w:rPr>
          <w:rFonts w:ascii="Arial" w:hAnsi="Arial" w:cs="Arial"/>
          <w:sz w:val="24"/>
          <w:szCs w:val="24"/>
        </w:rPr>
        <w:t xml:space="preserve"> </w:t>
      </w:r>
      <w:r w:rsidR="00E103A9">
        <w:rPr>
          <w:rFonts w:ascii="Arial" w:hAnsi="Arial" w:cs="Arial"/>
          <w:sz w:val="24"/>
          <w:szCs w:val="24"/>
        </w:rPr>
        <w:t>and have</w:t>
      </w:r>
      <w:r w:rsidR="00636828">
        <w:rPr>
          <w:rFonts w:ascii="Arial" w:hAnsi="Arial" w:cs="Arial"/>
          <w:sz w:val="24"/>
          <w:szCs w:val="24"/>
        </w:rPr>
        <w:t xml:space="preserve"> nothing to do with the </w:t>
      </w:r>
      <w:r w:rsidR="001524EE">
        <w:rPr>
          <w:rFonts w:ascii="Arial" w:hAnsi="Arial" w:cs="Arial"/>
          <w:sz w:val="24"/>
          <w:szCs w:val="24"/>
        </w:rPr>
        <w:t>c</w:t>
      </w:r>
      <w:r w:rsidR="00EE7830">
        <w:rPr>
          <w:rFonts w:ascii="Arial" w:hAnsi="Arial" w:cs="Arial"/>
          <w:sz w:val="24"/>
          <w:szCs w:val="24"/>
        </w:rPr>
        <w:t xml:space="preserve">ase that the defendants are called upon to answer. </w:t>
      </w:r>
    </w:p>
    <w:p w:rsidR="00636828" w:rsidRDefault="00636828" w:rsidP="00306EE6">
      <w:pPr>
        <w:spacing w:after="0" w:line="360" w:lineRule="auto"/>
        <w:ind w:left="709" w:hanging="851"/>
        <w:jc w:val="both"/>
        <w:rPr>
          <w:rFonts w:ascii="Arial" w:hAnsi="Arial" w:cs="Arial"/>
          <w:sz w:val="24"/>
          <w:szCs w:val="24"/>
        </w:rPr>
      </w:pPr>
    </w:p>
    <w:p w:rsidR="003705DC" w:rsidRDefault="00F82EBC" w:rsidP="00F96B5D">
      <w:pPr>
        <w:spacing w:after="0" w:line="360" w:lineRule="auto"/>
        <w:ind w:left="709" w:hanging="709"/>
        <w:jc w:val="both"/>
        <w:rPr>
          <w:rFonts w:ascii="Arial" w:hAnsi="Arial" w:cs="Arial"/>
          <w:sz w:val="24"/>
          <w:szCs w:val="24"/>
        </w:rPr>
      </w:pPr>
      <w:r>
        <w:rPr>
          <w:rFonts w:ascii="Arial" w:hAnsi="Arial" w:cs="Arial"/>
          <w:sz w:val="24"/>
          <w:szCs w:val="24"/>
        </w:rPr>
        <w:t>[4</w:t>
      </w:r>
      <w:r w:rsidR="003B5C96">
        <w:rPr>
          <w:rFonts w:ascii="Arial" w:hAnsi="Arial" w:cs="Arial"/>
          <w:sz w:val="24"/>
          <w:szCs w:val="24"/>
        </w:rPr>
        <w:t xml:space="preserve">]    </w:t>
      </w:r>
      <w:r>
        <w:rPr>
          <w:rFonts w:ascii="Arial" w:hAnsi="Arial" w:cs="Arial"/>
          <w:sz w:val="24"/>
          <w:szCs w:val="24"/>
        </w:rPr>
        <w:t xml:space="preserve"> </w:t>
      </w:r>
      <w:r w:rsidR="00B80E21">
        <w:rPr>
          <w:rFonts w:ascii="Arial" w:hAnsi="Arial" w:cs="Arial"/>
          <w:sz w:val="24"/>
          <w:szCs w:val="24"/>
        </w:rPr>
        <w:t xml:space="preserve"> </w:t>
      </w:r>
      <w:r w:rsidR="00972A77">
        <w:rPr>
          <w:rFonts w:ascii="Arial" w:hAnsi="Arial" w:cs="Arial"/>
          <w:sz w:val="24"/>
          <w:szCs w:val="24"/>
        </w:rPr>
        <w:t xml:space="preserve"> </w:t>
      </w:r>
      <w:r w:rsidR="00B80E21">
        <w:rPr>
          <w:rFonts w:ascii="Arial" w:hAnsi="Arial" w:cs="Arial"/>
          <w:sz w:val="24"/>
          <w:szCs w:val="24"/>
        </w:rPr>
        <w:t xml:space="preserve">The defendants submit </w:t>
      </w:r>
      <w:r w:rsidR="00636828">
        <w:rPr>
          <w:rFonts w:ascii="Arial" w:hAnsi="Arial" w:cs="Arial"/>
          <w:sz w:val="24"/>
          <w:szCs w:val="24"/>
        </w:rPr>
        <w:t>that they</w:t>
      </w:r>
      <w:r w:rsidR="00B80E21">
        <w:rPr>
          <w:rFonts w:ascii="Arial" w:hAnsi="Arial" w:cs="Arial"/>
          <w:sz w:val="24"/>
          <w:szCs w:val="24"/>
        </w:rPr>
        <w:t xml:space="preserve"> have appointed a forensic auditor to determine whether the </w:t>
      </w:r>
      <w:r w:rsidR="008327F3">
        <w:rPr>
          <w:rFonts w:ascii="Arial" w:hAnsi="Arial" w:cs="Arial"/>
          <w:sz w:val="24"/>
          <w:szCs w:val="24"/>
        </w:rPr>
        <w:t xml:space="preserve">plaintiff’s calculations of the </w:t>
      </w:r>
      <w:r w:rsidR="002135ED">
        <w:rPr>
          <w:rFonts w:ascii="Arial" w:hAnsi="Arial" w:cs="Arial"/>
          <w:sz w:val="24"/>
          <w:szCs w:val="24"/>
        </w:rPr>
        <w:t>defendants</w:t>
      </w:r>
      <w:r w:rsidR="008327F3">
        <w:rPr>
          <w:rFonts w:ascii="Arial" w:hAnsi="Arial" w:cs="Arial"/>
          <w:sz w:val="24"/>
          <w:szCs w:val="24"/>
        </w:rPr>
        <w:t xml:space="preserve">’ alleged indebtedness was in fact correct. </w:t>
      </w:r>
      <w:r w:rsidR="00F837D9">
        <w:rPr>
          <w:rFonts w:ascii="Arial" w:hAnsi="Arial" w:cs="Arial"/>
          <w:sz w:val="24"/>
          <w:szCs w:val="24"/>
        </w:rPr>
        <w:t>The said forensic auditor allege</w:t>
      </w:r>
      <w:r w:rsidR="00FC10C8">
        <w:rPr>
          <w:rFonts w:ascii="Arial" w:hAnsi="Arial" w:cs="Arial"/>
          <w:sz w:val="24"/>
          <w:szCs w:val="24"/>
        </w:rPr>
        <w:t>s</w:t>
      </w:r>
      <w:r w:rsidR="00F837D9">
        <w:rPr>
          <w:rFonts w:ascii="Arial" w:hAnsi="Arial" w:cs="Arial"/>
          <w:sz w:val="24"/>
          <w:szCs w:val="24"/>
        </w:rPr>
        <w:t xml:space="preserve"> that there are certain account entries which are linked to the aforementioned account numbers and it would </w:t>
      </w:r>
      <w:r w:rsidR="00F837D9">
        <w:rPr>
          <w:rFonts w:ascii="Arial" w:hAnsi="Arial" w:cs="Arial"/>
          <w:sz w:val="24"/>
          <w:szCs w:val="24"/>
        </w:rPr>
        <w:lastRenderedPageBreak/>
        <w:t xml:space="preserve">be impossible to finalise his audit without the information relating to these accounts. </w:t>
      </w:r>
      <w:r w:rsidR="00636828">
        <w:rPr>
          <w:rFonts w:ascii="Arial" w:hAnsi="Arial" w:cs="Arial"/>
          <w:sz w:val="24"/>
          <w:szCs w:val="24"/>
        </w:rPr>
        <w:t xml:space="preserve"> </w:t>
      </w:r>
    </w:p>
    <w:p w:rsidR="00F76B55" w:rsidRDefault="00F76B55" w:rsidP="00F96B5D">
      <w:pPr>
        <w:spacing w:after="0" w:line="360" w:lineRule="auto"/>
        <w:ind w:left="709" w:hanging="709"/>
        <w:jc w:val="both"/>
        <w:rPr>
          <w:rFonts w:ascii="Arial" w:hAnsi="Arial" w:cs="Arial"/>
          <w:sz w:val="24"/>
          <w:szCs w:val="24"/>
        </w:rPr>
      </w:pPr>
    </w:p>
    <w:p w:rsidR="001F1F29" w:rsidRDefault="00F76B55" w:rsidP="00F76B55">
      <w:pPr>
        <w:spacing w:after="0" w:line="360" w:lineRule="auto"/>
        <w:ind w:left="567" w:hanging="567"/>
        <w:jc w:val="both"/>
        <w:rPr>
          <w:rFonts w:ascii="Arial" w:hAnsi="Arial" w:cs="Arial"/>
          <w:sz w:val="24"/>
          <w:szCs w:val="24"/>
        </w:rPr>
      </w:pPr>
      <w:r>
        <w:rPr>
          <w:rFonts w:ascii="Arial" w:hAnsi="Arial" w:cs="Arial"/>
          <w:sz w:val="24"/>
          <w:szCs w:val="24"/>
        </w:rPr>
        <w:t>[5</w:t>
      </w:r>
      <w:r w:rsidR="00F96B5D" w:rsidRPr="002A6D12">
        <w:rPr>
          <w:rFonts w:ascii="Arial" w:hAnsi="Arial" w:cs="Arial"/>
          <w:sz w:val="24"/>
          <w:szCs w:val="24"/>
        </w:rPr>
        <w:t>]</w:t>
      </w:r>
      <w:r w:rsidR="004C77BC" w:rsidRPr="002A6D12">
        <w:rPr>
          <w:rFonts w:ascii="Arial" w:hAnsi="Arial" w:cs="Arial"/>
          <w:sz w:val="24"/>
          <w:szCs w:val="24"/>
        </w:rPr>
        <w:t xml:space="preserve"> </w:t>
      </w:r>
      <w:r w:rsidR="00473CD1" w:rsidRPr="002A6D12">
        <w:rPr>
          <w:rFonts w:ascii="Arial" w:hAnsi="Arial" w:cs="Arial"/>
          <w:sz w:val="24"/>
          <w:szCs w:val="24"/>
        </w:rPr>
        <w:t xml:space="preserve">    </w:t>
      </w:r>
      <w:r w:rsidR="006843C0">
        <w:rPr>
          <w:rFonts w:ascii="Arial" w:hAnsi="Arial" w:cs="Arial"/>
          <w:sz w:val="24"/>
          <w:szCs w:val="24"/>
        </w:rPr>
        <w:t xml:space="preserve">The plaintiff contends that the </w:t>
      </w:r>
      <w:r w:rsidR="00CD77DD">
        <w:rPr>
          <w:rFonts w:ascii="Arial" w:hAnsi="Arial" w:cs="Arial"/>
          <w:sz w:val="24"/>
          <w:szCs w:val="24"/>
        </w:rPr>
        <w:t>Defendants’ auditor wi</w:t>
      </w:r>
      <w:r>
        <w:rPr>
          <w:rFonts w:ascii="Arial" w:hAnsi="Arial" w:cs="Arial"/>
          <w:sz w:val="24"/>
          <w:szCs w:val="24"/>
        </w:rPr>
        <w:t xml:space="preserve">ll be in a position to finalise   </w:t>
      </w:r>
      <w:r w:rsidR="00CD77DD">
        <w:rPr>
          <w:rFonts w:ascii="Arial" w:hAnsi="Arial" w:cs="Arial"/>
          <w:sz w:val="24"/>
          <w:szCs w:val="24"/>
        </w:rPr>
        <w:t>his audit</w:t>
      </w:r>
      <w:r w:rsidR="00FC10C8">
        <w:rPr>
          <w:rFonts w:ascii="Arial" w:hAnsi="Arial" w:cs="Arial"/>
          <w:sz w:val="24"/>
          <w:szCs w:val="24"/>
        </w:rPr>
        <w:t xml:space="preserve"> without the requested information</w:t>
      </w:r>
      <w:r w:rsidR="00CD77DD">
        <w:rPr>
          <w:rFonts w:ascii="Arial" w:hAnsi="Arial" w:cs="Arial"/>
          <w:sz w:val="24"/>
          <w:szCs w:val="24"/>
        </w:rPr>
        <w:t>.</w:t>
      </w:r>
      <w:r w:rsidR="00FC10C8">
        <w:rPr>
          <w:rFonts w:ascii="Arial" w:hAnsi="Arial" w:cs="Arial"/>
          <w:sz w:val="24"/>
          <w:szCs w:val="24"/>
        </w:rPr>
        <w:t xml:space="preserve"> </w:t>
      </w:r>
      <w:r w:rsidR="001F1F29">
        <w:rPr>
          <w:rFonts w:ascii="Arial" w:hAnsi="Arial" w:cs="Arial"/>
          <w:sz w:val="24"/>
          <w:szCs w:val="24"/>
        </w:rPr>
        <w:t>The plaintiff gav</w:t>
      </w:r>
      <w:r w:rsidR="00CD77DD">
        <w:rPr>
          <w:rFonts w:ascii="Arial" w:hAnsi="Arial" w:cs="Arial"/>
          <w:sz w:val="24"/>
          <w:szCs w:val="24"/>
        </w:rPr>
        <w:t>e the follow</w:t>
      </w:r>
      <w:r w:rsidR="001F01C0">
        <w:rPr>
          <w:rFonts w:ascii="Arial" w:hAnsi="Arial" w:cs="Arial"/>
          <w:sz w:val="24"/>
          <w:szCs w:val="24"/>
        </w:rPr>
        <w:t xml:space="preserve">ing account in respect </w:t>
      </w:r>
      <w:r>
        <w:rPr>
          <w:rFonts w:ascii="Arial" w:hAnsi="Arial" w:cs="Arial"/>
          <w:sz w:val="24"/>
          <w:szCs w:val="24"/>
        </w:rPr>
        <w:t>of the</w:t>
      </w:r>
      <w:r w:rsidR="001F1F29">
        <w:rPr>
          <w:rFonts w:ascii="Arial" w:hAnsi="Arial" w:cs="Arial"/>
          <w:sz w:val="24"/>
          <w:szCs w:val="24"/>
        </w:rPr>
        <w:t xml:space="preserve"> a</w:t>
      </w:r>
      <w:r w:rsidR="00934369">
        <w:rPr>
          <w:rFonts w:ascii="Arial" w:hAnsi="Arial" w:cs="Arial"/>
          <w:sz w:val="24"/>
          <w:szCs w:val="24"/>
        </w:rPr>
        <w:t xml:space="preserve">forementioned accounts: </w:t>
      </w:r>
    </w:p>
    <w:p w:rsidR="00D97A9F" w:rsidRPr="00893F0A" w:rsidRDefault="001F1F29" w:rsidP="009A475C">
      <w:pPr>
        <w:spacing w:after="0" w:line="360" w:lineRule="auto"/>
        <w:ind w:left="709" w:hanging="709"/>
        <w:jc w:val="both"/>
        <w:rPr>
          <w:rFonts w:ascii="Arial" w:eastAsia="Times New Roman" w:hAnsi="Arial" w:cs="Arial"/>
          <w:b/>
          <w:sz w:val="24"/>
          <w:szCs w:val="24"/>
          <w:lang w:eastAsia="en-GB"/>
        </w:rPr>
      </w:pPr>
      <w:r>
        <w:rPr>
          <w:rFonts w:ascii="Arial" w:hAnsi="Arial" w:cs="Arial"/>
          <w:sz w:val="24"/>
          <w:szCs w:val="24"/>
        </w:rPr>
        <w:t xml:space="preserve">          </w:t>
      </w:r>
      <w:r w:rsidR="00F96B5D" w:rsidRPr="002A6D12">
        <w:rPr>
          <w:rFonts w:ascii="Arial" w:hAnsi="Arial" w:cs="Arial"/>
          <w:sz w:val="24"/>
          <w:szCs w:val="24"/>
        </w:rPr>
        <w:t xml:space="preserve"> </w:t>
      </w:r>
      <w:r w:rsidR="001F5819">
        <w:rPr>
          <w:rFonts w:ascii="Arial" w:hAnsi="Arial" w:cs="Arial"/>
          <w:sz w:val="24"/>
          <w:szCs w:val="24"/>
        </w:rPr>
        <w:t>[…]</w:t>
      </w:r>
      <w:r w:rsidR="000E495D" w:rsidRPr="00893F0A">
        <w:rPr>
          <w:rFonts w:ascii="Arial" w:hAnsi="Arial" w:cs="Arial"/>
          <w:sz w:val="24"/>
          <w:szCs w:val="24"/>
        </w:rPr>
        <w:t xml:space="preserve"> - an agricultural production loan opened in December 2015 </w:t>
      </w:r>
      <w:r w:rsidR="00B92AC3">
        <w:rPr>
          <w:rFonts w:ascii="Arial" w:hAnsi="Arial" w:cs="Arial"/>
          <w:sz w:val="24"/>
          <w:szCs w:val="24"/>
        </w:rPr>
        <w:t xml:space="preserve">and closed during February 2018 and has zero balance; </w:t>
      </w:r>
    </w:p>
    <w:p w:rsidR="00CF4505" w:rsidRPr="00893F0A" w:rsidRDefault="001F5819" w:rsidP="009A475C">
      <w:pPr>
        <w:spacing w:after="0" w:line="360" w:lineRule="auto"/>
        <w:ind w:left="709"/>
        <w:jc w:val="both"/>
        <w:rPr>
          <w:rFonts w:ascii="Arial" w:hAnsi="Arial" w:cs="Arial"/>
          <w:sz w:val="24"/>
          <w:szCs w:val="24"/>
        </w:rPr>
      </w:pPr>
      <w:r>
        <w:rPr>
          <w:rFonts w:ascii="Arial" w:hAnsi="Arial" w:cs="Arial"/>
          <w:sz w:val="24"/>
          <w:szCs w:val="24"/>
        </w:rPr>
        <w:t>[…]</w:t>
      </w:r>
      <w:r w:rsidR="000E495D" w:rsidRPr="00893F0A">
        <w:rPr>
          <w:rFonts w:ascii="Arial" w:hAnsi="Arial" w:cs="Arial"/>
          <w:sz w:val="24"/>
          <w:szCs w:val="24"/>
        </w:rPr>
        <w:t xml:space="preserve"> – </w:t>
      </w:r>
      <w:r w:rsidR="00E63A7F" w:rsidRPr="00893F0A">
        <w:rPr>
          <w:rFonts w:ascii="Arial" w:hAnsi="Arial" w:cs="Arial"/>
          <w:sz w:val="24"/>
          <w:szCs w:val="24"/>
        </w:rPr>
        <w:t>a</w:t>
      </w:r>
      <w:r w:rsidR="000E495D" w:rsidRPr="00893F0A">
        <w:rPr>
          <w:rFonts w:ascii="Arial" w:hAnsi="Arial" w:cs="Arial"/>
          <w:sz w:val="24"/>
          <w:szCs w:val="24"/>
        </w:rPr>
        <w:t xml:space="preserve">n agricultural production loan </w:t>
      </w:r>
      <w:r w:rsidR="00EB4F05" w:rsidRPr="00893F0A">
        <w:rPr>
          <w:rFonts w:ascii="Arial" w:hAnsi="Arial" w:cs="Arial"/>
          <w:sz w:val="24"/>
          <w:szCs w:val="24"/>
        </w:rPr>
        <w:t>opened during A</w:t>
      </w:r>
      <w:r w:rsidR="00E63A7F" w:rsidRPr="00893F0A">
        <w:rPr>
          <w:rFonts w:ascii="Arial" w:hAnsi="Arial" w:cs="Arial"/>
          <w:sz w:val="24"/>
          <w:szCs w:val="24"/>
        </w:rPr>
        <w:t>ugust 2015</w:t>
      </w:r>
      <w:r w:rsidR="00B92AC3">
        <w:rPr>
          <w:rFonts w:ascii="Arial" w:hAnsi="Arial" w:cs="Arial"/>
          <w:sz w:val="24"/>
          <w:szCs w:val="24"/>
        </w:rPr>
        <w:t>, repaid and closed during 2017 and has zero balance;</w:t>
      </w:r>
    </w:p>
    <w:p w:rsidR="009A475C" w:rsidRPr="00893F0A" w:rsidRDefault="001F5819" w:rsidP="009A475C">
      <w:pPr>
        <w:spacing w:after="0" w:line="360" w:lineRule="auto"/>
        <w:ind w:left="709"/>
        <w:jc w:val="both"/>
        <w:rPr>
          <w:rFonts w:ascii="Arial" w:hAnsi="Arial" w:cs="Arial"/>
          <w:sz w:val="24"/>
          <w:szCs w:val="24"/>
        </w:rPr>
      </w:pPr>
      <w:r>
        <w:rPr>
          <w:rFonts w:ascii="Arial" w:hAnsi="Arial" w:cs="Arial"/>
          <w:sz w:val="24"/>
          <w:szCs w:val="24"/>
        </w:rPr>
        <w:t>[…]</w:t>
      </w:r>
      <w:r w:rsidR="00F76B55" w:rsidRPr="00893F0A">
        <w:rPr>
          <w:rFonts w:ascii="Arial" w:hAnsi="Arial" w:cs="Arial"/>
          <w:sz w:val="24"/>
          <w:szCs w:val="24"/>
        </w:rPr>
        <w:t xml:space="preserve"> -</w:t>
      </w:r>
      <w:r w:rsidR="00E63A7F" w:rsidRPr="00893F0A">
        <w:rPr>
          <w:rFonts w:ascii="Arial" w:hAnsi="Arial" w:cs="Arial"/>
          <w:sz w:val="24"/>
          <w:szCs w:val="24"/>
        </w:rPr>
        <w:t xml:space="preserve"> an agricultural production loan opened during August 2015 and closed in March 2018</w:t>
      </w:r>
      <w:r w:rsidR="00B92AC3">
        <w:rPr>
          <w:rFonts w:ascii="Arial" w:hAnsi="Arial" w:cs="Arial"/>
          <w:sz w:val="24"/>
          <w:szCs w:val="24"/>
        </w:rPr>
        <w:t xml:space="preserve"> and has zero balance;</w:t>
      </w:r>
    </w:p>
    <w:p w:rsidR="009A475C" w:rsidRDefault="001F5819" w:rsidP="009A475C">
      <w:pPr>
        <w:spacing w:after="0" w:line="360" w:lineRule="auto"/>
        <w:ind w:left="709"/>
        <w:jc w:val="both"/>
        <w:rPr>
          <w:rFonts w:ascii="Arial" w:hAnsi="Arial" w:cs="Arial"/>
          <w:sz w:val="24"/>
          <w:szCs w:val="24"/>
        </w:rPr>
      </w:pPr>
      <w:r>
        <w:rPr>
          <w:rFonts w:ascii="Arial" w:hAnsi="Arial" w:cs="Arial"/>
          <w:sz w:val="24"/>
          <w:szCs w:val="24"/>
        </w:rPr>
        <w:t>[…]</w:t>
      </w:r>
      <w:r w:rsidR="00893F0A" w:rsidRPr="00893F0A">
        <w:rPr>
          <w:rFonts w:ascii="Arial" w:hAnsi="Arial" w:cs="Arial"/>
          <w:sz w:val="24"/>
          <w:szCs w:val="24"/>
        </w:rPr>
        <w:t xml:space="preserve"> </w:t>
      </w:r>
      <w:r w:rsidR="006843C0">
        <w:rPr>
          <w:rFonts w:ascii="Arial" w:hAnsi="Arial" w:cs="Arial"/>
          <w:sz w:val="24"/>
          <w:szCs w:val="24"/>
        </w:rPr>
        <w:t>t</w:t>
      </w:r>
      <w:r w:rsidR="00893F0A" w:rsidRPr="00893F0A">
        <w:rPr>
          <w:rFonts w:ascii="Arial" w:hAnsi="Arial" w:cs="Arial"/>
          <w:sz w:val="24"/>
          <w:szCs w:val="24"/>
        </w:rPr>
        <w:t>h</w:t>
      </w:r>
      <w:r w:rsidR="006843C0">
        <w:rPr>
          <w:rFonts w:ascii="Arial" w:hAnsi="Arial" w:cs="Arial"/>
          <w:sz w:val="24"/>
          <w:szCs w:val="24"/>
        </w:rPr>
        <w:t>e account is</w:t>
      </w:r>
      <w:r w:rsidR="00893F0A" w:rsidRPr="00893F0A">
        <w:rPr>
          <w:rFonts w:ascii="Arial" w:hAnsi="Arial" w:cs="Arial"/>
          <w:sz w:val="24"/>
          <w:szCs w:val="24"/>
        </w:rPr>
        <w:t xml:space="preserve"> closed and no longer exists on the plaintiff’s records. </w:t>
      </w:r>
    </w:p>
    <w:p w:rsidR="00F76B55" w:rsidRPr="00893F0A" w:rsidRDefault="00F76B55" w:rsidP="009A475C">
      <w:pPr>
        <w:spacing w:after="0" w:line="360" w:lineRule="auto"/>
        <w:ind w:left="709"/>
        <w:jc w:val="both"/>
        <w:rPr>
          <w:rFonts w:ascii="Arial" w:hAnsi="Arial" w:cs="Arial"/>
          <w:sz w:val="24"/>
          <w:szCs w:val="24"/>
        </w:rPr>
      </w:pPr>
    </w:p>
    <w:p w:rsidR="00D97A9F" w:rsidRDefault="00F76B55" w:rsidP="00F96B5D">
      <w:pPr>
        <w:spacing w:after="0" w:line="360" w:lineRule="auto"/>
        <w:ind w:left="709" w:hanging="709"/>
        <w:jc w:val="both"/>
        <w:rPr>
          <w:rFonts w:ascii="Arial" w:hAnsi="Arial" w:cs="Arial"/>
          <w:sz w:val="28"/>
          <w:szCs w:val="28"/>
        </w:rPr>
      </w:pPr>
      <w:r w:rsidRPr="00F72EE8">
        <w:rPr>
          <w:rFonts w:ascii="Arial" w:hAnsi="Arial" w:cs="Arial"/>
          <w:sz w:val="24"/>
          <w:szCs w:val="24"/>
        </w:rPr>
        <w:t>[6</w:t>
      </w:r>
      <w:r w:rsidR="00CF4505" w:rsidRPr="00F72EE8">
        <w:rPr>
          <w:rFonts w:ascii="Arial" w:hAnsi="Arial" w:cs="Arial"/>
          <w:sz w:val="24"/>
          <w:szCs w:val="24"/>
        </w:rPr>
        <w:t>]</w:t>
      </w:r>
      <w:r w:rsidR="00CF4505">
        <w:rPr>
          <w:rFonts w:ascii="Arial" w:hAnsi="Arial" w:cs="Arial"/>
          <w:sz w:val="28"/>
          <w:szCs w:val="28"/>
        </w:rPr>
        <w:t xml:space="preserve"> </w:t>
      </w:r>
      <w:r w:rsidR="00792CD6">
        <w:rPr>
          <w:rFonts w:ascii="Arial" w:hAnsi="Arial" w:cs="Arial"/>
          <w:sz w:val="28"/>
          <w:szCs w:val="28"/>
        </w:rPr>
        <w:t xml:space="preserve">  </w:t>
      </w:r>
      <w:r w:rsidR="00CD77DD">
        <w:rPr>
          <w:rFonts w:ascii="Arial" w:hAnsi="Arial" w:cs="Arial"/>
          <w:sz w:val="28"/>
          <w:szCs w:val="28"/>
        </w:rPr>
        <w:t xml:space="preserve">  </w:t>
      </w:r>
      <w:r w:rsidR="00916986" w:rsidRPr="00F72EE8">
        <w:rPr>
          <w:rFonts w:ascii="Arial" w:hAnsi="Arial" w:cs="Arial"/>
          <w:sz w:val="24"/>
          <w:szCs w:val="24"/>
        </w:rPr>
        <w:t>Rule 35(14) of the Uniform Rules of Court provides as follows</w:t>
      </w:r>
      <w:r w:rsidR="00916986">
        <w:rPr>
          <w:rFonts w:ascii="Arial" w:hAnsi="Arial" w:cs="Arial"/>
          <w:sz w:val="28"/>
          <w:szCs w:val="28"/>
        </w:rPr>
        <w:t>:</w:t>
      </w:r>
    </w:p>
    <w:p w:rsidR="00916986" w:rsidRPr="00916986" w:rsidRDefault="00916986" w:rsidP="00F76B55">
      <w:pPr>
        <w:ind w:left="1440" w:hanging="716"/>
        <w:jc w:val="both"/>
        <w:rPr>
          <w:rFonts w:ascii="Arial" w:eastAsia="Times New Roman" w:hAnsi="Arial" w:cs="Arial"/>
          <w:color w:val="000000"/>
          <w:sz w:val="20"/>
          <w:szCs w:val="20"/>
          <w:lang w:eastAsia="en-ZA"/>
        </w:rPr>
      </w:pPr>
      <w:r w:rsidRPr="00916986">
        <w:rPr>
          <w:rFonts w:ascii="Arial" w:eastAsia="Times New Roman" w:hAnsi="Arial" w:cs="Arial"/>
          <w:color w:val="000000"/>
          <w:sz w:val="20"/>
          <w:szCs w:val="20"/>
          <w:lang w:eastAsia="en-ZA"/>
        </w:rPr>
        <w:t>(14)</w:t>
      </w:r>
      <w:r w:rsidR="00BA6C76">
        <w:rPr>
          <w:rFonts w:ascii="Arial" w:eastAsia="Times New Roman" w:hAnsi="Arial" w:cs="Arial"/>
          <w:color w:val="000000"/>
          <w:sz w:val="20"/>
          <w:szCs w:val="20"/>
          <w:lang w:eastAsia="en-ZA"/>
        </w:rPr>
        <w:tab/>
      </w:r>
      <w:r w:rsidRPr="00916986">
        <w:rPr>
          <w:rFonts w:ascii="Arial" w:eastAsia="Times New Roman" w:hAnsi="Arial" w:cs="Arial"/>
          <w:color w:val="000000"/>
          <w:sz w:val="20"/>
          <w:szCs w:val="20"/>
          <w:lang w:eastAsia="en-ZA"/>
        </w:rPr>
        <w:t>After appearance to defend has been entered, any party to any action may, for purposes of pleading, require any other party to —</w:t>
      </w:r>
    </w:p>
    <w:p w:rsidR="00916986" w:rsidRPr="00916986" w:rsidRDefault="00916986" w:rsidP="00F76B55">
      <w:pPr>
        <w:spacing w:after="0" w:line="240" w:lineRule="auto"/>
        <w:ind w:left="1440"/>
        <w:jc w:val="both"/>
        <w:rPr>
          <w:rFonts w:ascii="Arial" w:eastAsia="Times New Roman" w:hAnsi="Arial" w:cs="Arial"/>
          <w:color w:val="000000"/>
          <w:sz w:val="20"/>
          <w:szCs w:val="20"/>
          <w:lang w:eastAsia="en-ZA"/>
        </w:rPr>
      </w:pPr>
      <w:bookmarkStart w:id="1" w:name="LPHit1"/>
      <w:bookmarkStart w:id="2" w:name="0-0-0-48435"/>
      <w:bookmarkEnd w:id="1"/>
      <w:bookmarkEnd w:id="2"/>
      <w:r w:rsidRPr="00916986">
        <w:rPr>
          <w:rFonts w:ascii="Arial" w:eastAsia="Times New Roman" w:hAnsi="Arial" w:cs="Arial"/>
          <w:i/>
          <w:iCs/>
          <w:color w:val="000000"/>
          <w:sz w:val="20"/>
          <w:szCs w:val="20"/>
          <w:lang w:eastAsia="en-ZA"/>
        </w:rPr>
        <w:t>(a)</w:t>
      </w:r>
      <w:r w:rsidRPr="00916986">
        <w:rPr>
          <w:rFonts w:ascii="Arial" w:eastAsia="Times New Roman" w:hAnsi="Arial" w:cs="Arial"/>
          <w:color w:val="000000"/>
          <w:sz w:val="20"/>
          <w:szCs w:val="20"/>
          <w:lang w:eastAsia="en-ZA"/>
        </w:rPr>
        <w:t>   make available for inspection within five days a clearly specified document or tape recording in such party’s possession which is relevant to a reasonably anticipated issue in the action and to allow a copy or transcription to be made thereof; or</w:t>
      </w:r>
    </w:p>
    <w:p w:rsidR="00916986" w:rsidRPr="00916986" w:rsidRDefault="00916986" w:rsidP="00F76B55">
      <w:pPr>
        <w:spacing w:after="0" w:line="240" w:lineRule="auto"/>
        <w:ind w:left="1440"/>
        <w:jc w:val="both"/>
        <w:rPr>
          <w:rFonts w:ascii="Arial" w:eastAsia="Times New Roman" w:hAnsi="Arial" w:cs="Arial"/>
          <w:color w:val="000000"/>
          <w:sz w:val="20"/>
          <w:szCs w:val="20"/>
          <w:lang w:eastAsia="en-ZA"/>
        </w:rPr>
      </w:pPr>
      <w:bookmarkStart w:id="3" w:name="0-0-0-48437"/>
      <w:bookmarkEnd w:id="3"/>
      <w:r w:rsidRPr="00916986">
        <w:rPr>
          <w:rFonts w:ascii="Arial" w:eastAsia="Times New Roman" w:hAnsi="Arial" w:cs="Arial"/>
          <w:i/>
          <w:iCs/>
          <w:color w:val="000000"/>
          <w:sz w:val="20"/>
          <w:szCs w:val="20"/>
          <w:lang w:eastAsia="en-ZA"/>
        </w:rPr>
        <w:t>(b)</w:t>
      </w:r>
      <w:r w:rsidRPr="00916986">
        <w:rPr>
          <w:rFonts w:ascii="Arial" w:eastAsia="Times New Roman" w:hAnsi="Arial" w:cs="Arial"/>
          <w:color w:val="000000"/>
          <w:sz w:val="20"/>
          <w:szCs w:val="20"/>
          <w:lang w:eastAsia="en-ZA"/>
        </w:rPr>
        <w:t>   state in writing within 10 days whether the party receiving the notice objects to the production of the document or tape recording and the grounds therefor; or</w:t>
      </w:r>
    </w:p>
    <w:p w:rsidR="00916986" w:rsidRPr="00F76B55" w:rsidRDefault="00916986" w:rsidP="00F76B55">
      <w:pPr>
        <w:spacing w:after="0" w:line="240" w:lineRule="auto"/>
        <w:ind w:left="1440"/>
        <w:jc w:val="both"/>
        <w:rPr>
          <w:rFonts w:ascii="Arial" w:eastAsia="Times New Roman" w:hAnsi="Arial" w:cs="Arial"/>
          <w:color w:val="000000"/>
          <w:sz w:val="20"/>
          <w:szCs w:val="20"/>
          <w:lang w:eastAsia="en-ZA"/>
        </w:rPr>
      </w:pPr>
      <w:bookmarkStart w:id="4" w:name="0-0-0-48439"/>
      <w:bookmarkEnd w:id="4"/>
      <w:r w:rsidRPr="00916986">
        <w:rPr>
          <w:rFonts w:ascii="Arial" w:eastAsia="Times New Roman" w:hAnsi="Arial" w:cs="Arial"/>
          <w:i/>
          <w:iCs/>
          <w:color w:val="000000"/>
          <w:sz w:val="20"/>
          <w:szCs w:val="20"/>
          <w:lang w:eastAsia="en-ZA"/>
        </w:rPr>
        <w:t>(c)</w:t>
      </w:r>
      <w:r w:rsidRPr="00916986">
        <w:rPr>
          <w:rFonts w:ascii="Arial" w:eastAsia="Times New Roman" w:hAnsi="Arial" w:cs="Arial"/>
          <w:color w:val="000000"/>
          <w:sz w:val="20"/>
          <w:szCs w:val="20"/>
          <w:lang w:eastAsia="en-ZA"/>
        </w:rPr>
        <w:t>   state on oath, within 10 days, that such document or tape recording is not in such party’s possession and in such event to state its whereabouts, if known.</w:t>
      </w:r>
    </w:p>
    <w:p w:rsidR="00916986" w:rsidRDefault="00916986" w:rsidP="00F96B5D">
      <w:pPr>
        <w:spacing w:after="0" w:line="360" w:lineRule="auto"/>
        <w:ind w:left="709" w:hanging="709"/>
        <w:jc w:val="both"/>
        <w:rPr>
          <w:rFonts w:ascii="Arial" w:hAnsi="Arial" w:cs="Arial"/>
          <w:sz w:val="28"/>
          <w:szCs w:val="28"/>
        </w:rPr>
      </w:pPr>
    </w:p>
    <w:p w:rsidR="001D1107" w:rsidRPr="00F72EE8" w:rsidRDefault="00F76B55" w:rsidP="00374376">
      <w:pPr>
        <w:spacing w:after="0" w:line="360" w:lineRule="auto"/>
        <w:ind w:left="720" w:hanging="720"/>
        <w:jc w:val="both"/>
        <w:rPr>
          <w:rFonts w:ascii="Arial" w:hAnsi="Arial" w:cs="Arial"/>
          <w:sz w:val="24"/>
          <w:szCs w:val="24"/>
        </w:rPr>
      </w:pPr>
      <w:r w:rsidRPr="00F72EE8">
        <w:rPr>
          <w:rFonts w:ascii="Arial" w:hAnsi="Arial" w:cs="Arial"/>
          <w:sz w:val="24"/>
          <w:szCs w:val="24"/>
        </w:rPr>
        <w:t>[7</w:t>
      </w:r>
      <w:r w:rsidR="00EF1358" w:rsidRPr="00F72EE8">
        <w:rPr>
          <w:rFonts w:ascii="Arial" w:hAnsi="Arial" w:cs="Arial"/>
          <w:sz w:val="24"/>
          <w:szCs w:val="24"/>
        </w:rPr>
        <w:t>]</w:t>
      </w:r>
      <w:r w:rsidR="00EF1358">
        <w:rPr>
          <w:rFonts w:ascii="Arial" w:hAnsi="Arial" w:cs="Arial"/>
          <w:sz w:val="28"/>
          <w:szCs w:val="28"/>
        </w:rPr>
        <w:t xml:space="preserve"> </w:t>
      </w:r>
      <w:r w:rsidR="00EF1358">
        <w:rPr>
          <w:rFonts w:ascii="Arial" w:hAnsi="Arial" w:cs="Arial"/>
          <w:sz w:val="28"/>
          <w:szCs w:val="28"/>
        </w:rPr>
        <w:tab/>
      </w:r>
      <w:r w:rsidR="00EE51B9" w:rsidRPr="00F72EE8">
        <w:rPr>
          <w:rFonts w:ascii="Arial" w:hAnsi="Arial" w:cs="Arial"/>
          <w:sz w:val="24"/>
          <w:szCs w:val="24"/>
        </w:rPr>
        <w:t xml:space="preserve">Rule 35 (14) prescribes that </w:t>
      </w:r>
      <w:r w:rsidR="00736483" w:rsidRPr="00F72EE8">
        <w:rPr>
          <w:rFonts w:ascii="Arial" w:hAnsi="Arial" w:cs="Arial"/>
          <w:sz w:val="24"/>
          <w:szCs w:val="24"/>
        </w:rPr>
        <w:t xml:space="preserve">a </w:t>
      </w:r>
      <w:r w:rsidR="00EE51B9" w:rsidRPr="00F72EE8">
        <w:rPr>
          <w:rFonts w:ascii="Arial" w:hAnsi="Arial" w:cs="Arial"/>
          <w:sz w:val="24"/>
          <w:szCs w:val="24"/>
        </w:rPr>
        <w:t>document</w:t>
      </w:r>
      <w:r w:rsidR="00736483" w:rsidRPr="00F72EE8">
        <w:rPr>
          <w:rFonts w:ascii="Arial" w:hAnsi="Arial" w:cs="Arial"/>
          <w:sz w:val="24"/>
          <w:szCs w:val="24"/>
        </w:rPr>
        <w:t xml:space="preserve"> or tape recording may</w:t>
      </w:r>
      <w:r w:rsidR="00EE51B9" w:rsidRPr="00F72EE8">
        <w:rPr>
          <w:rFonts w:ascii="Arial" w:hAnsi="Arial" w:cs="Arial"/>
          <w:sz w:val="24"/>
          <w:szCs w:val="24"/>
        </w:rPr>
        <w:t xml:space="preserve"> be</w:t>
      </w:r>
      <w:r w:rsidR="008841FB" w:rsidRPr="00F72EE8">
        <w:rPr>
          <w:rFonts w:ascii="Arial" w:hAnsi="Arial" w:cs="Arial"/>
          <w:sz w:val="24"/>
          <w:szCs w:val="24"/>
        </w:rPr>
        <w:t xml:space="preserve"> required</w:t>
      </w:r>
      <w:r w:rsidR="00C1271B" w:rsidRPr="00F72EE8">
        <w:rPr>
          <w:rFonts w:ascii="Arial" w:hAnsi="Arial" w:cs="Arial"/>
          <w:sz w:val="24"/>
          <w:szCs w:val="24"/>
        </w:rPr>
        <w:t xml:space="preserve"> (a) after an appeara</w:t>
      </w:r>
      <w:r w:rsidR="001D1107" w:rsidRPr="00F72EE8">
        <w:rPr>
          <w:rFonts w:ascii="Arial" w:hAnsi="Arial" w:cs="Arial"/>
          <w:sz w:val="24"/>
          <w:szCs w:val="24"/>
        </w:rPr>
        <w:t>nce to defend has been entered</w:t>
      </w:r>
      <w:r w:rsidR="00B0110F" w:rsidRPr="00F72EE8">
        <w:rPr>
          <w:rFonts w:ascii="Arial" w:hAnsi="Arial" w:cs="Arial"/>
          <w:sz w:val="24"/>
          <w:szCs w:val="24"/>
        </w:rPr>
        <w:t>,</w:t>
      </w:r>
      <w:r w:rsidR="001D1107" w:rsidRPr="00F72EE8">
        <w:rPr>
          <w:rFonts w:ascii="Arial" w:hAnsi="Arial" w:cs="Arial"/>
          <w:sz w:val="24"/>
          <w:szCs w:val="24"/>
        </w:rPr>
        <w:t xml:space="preserve"> </w:t>
      </w:r>
      <w:r w:rsidR="00C1271B" w:rsidRPr="00F72EE8">
        <w:rPr>
          <w:rFonts w:ascii="Arial" w:hAnsi="Arial" w:cs="Arial"/>
          <w:sz w:val="24"/>
          <w:szCs w:val="24"/>
        </w:rPr>
        <w:t xml:space="preserve">(b) it must </w:t>
      </w:r>
      <w:r w:rsidRPr="00F72EE8">
        <w:rPr>
          <w:rFonts w:ascii="Arial" w:hAnsi="Arial" w:cs="Arial"/>
          <w:sz w:val="24"/>
          <w:szCs w:val="24"/>
        </w:rPr>
        <w:t>be for</w:t>
      </w:r>
      <w:r w:rsidR="008841FB" w:rsidRPr="00F72EE8">
        <w:rPr>
          <w:rFonts w:ascii="Arial" w:hAnsi="Arial" w:cs="Arial"/>
          <w:sz w:val="24"/>
          <w:szCs w:val="24"/>
        </w:rPr>
        <w:t xml:space="preserve"> the purposes of pleading</w:t>
      </w:r>
      <w:r w:rsidR="001D1107" w:rsidRPr="00F72EE8">
        <w:rPr>
          <w:rFonts w:ascii="Arial" w:hAnsi="Arial" w:cs="Arial"/>
          <w:sz w:val="24"/>
          <w:szCs w:val="24"/>
        </w:rPr>
        <w:t xml:space="preserve">, (c) it must be clearly specified and (d) it must be </w:t>
      </w:r>
      <w:r w:rsidR="00C1271B" w:rsidRPr="00F72EE8">
        <w:rPr>
          <w:rFonts w:ascii="Arial" w:hAnsi="Arial" w:cs="Arial"/>
          <w:sz w:val="24"/>
          <w:szCs w:val="24"/>
        </w:rPr>
        <w:t xml:space="preserve"> </w:t>
      </w:r>
      <w:r w:rsidR="008841FB" w:rsidRPr="00F72EE8">
        <w:rPr>
          <w:rFonts w:ascii="Arial" w:hAnsi="Arial" w:cs="Arial"/>
          <w:sz w:val="24"/>
          <w:szCs w:val="24"/>
        </w:rPr>
        <w:t xml:space="preserve"> relevant to a reasonably anticipated iss</w:t>
      </w:r>
      <w:r w:rsidR="001D1107" w:rsidRPr="00F72EE8">
        <w:rPr>
          <w:rFonts w:ascii="Arial" w:hAnsi="Arial" w:cs="Arial"/>
          <w:sz w:val="24"/>
          <w:szCs w:val="24"/>
        </w:rPr>
        <w:t xml:space="preserve">ue in the action. </w:t>
      </w:r>
    </w:p>
    <w:p w:rsidR="001D1107" w:rsidRPr="00F72EE8" w:rsidRDefault="001D1107" w:rsidP="00374376">
      <w:pPr>
        <w:spacing w:after="0" w:line="360" w:lineRule="auto"/>
        <w:ind w:left="720" w:hanging="720"/>
        <w:jc w:val="both"/>
        <w:rPr>
          <w:rFonts w:ascii="Arial" w:hAnsi="Arial" w:cs="Arial"/>
          <w:sz w:val="24"/>
          <w:szCs w:val="24"/>
        </w:rPr>
      </w:pPr>
    </w:p>
    <w:p w:rsidR="00374376" w:rsidRPr="00F72EE8" w:rsidRDefault="00F76B55" w:rsidP="00374376">
      <w:pPr>
        <w:spacing w:after="0" w:line="360" w:lineRule="auto"/>
        <w:ind w:left="720" w:hanging="720"/>
        <w:jc w:val="both"/>
        <w:rPr>
          <w:rFonts w:ascii="Arial" w:hAnsi="Arial" w:cs="Arial"/>
          <w:sz w:val="24"/>
          <w:szCs w:val="24"/>
        </w:rPr>
      </w:pPr>
      <w:r w:rsidRPr="00F72EE8">
        <w:rPr>
          <w:rFonts w:ascii="Arial" w:hAnsi="Arial" w:cs="Arial"/>
          <w:sz w:val="24"/>
          <w:szCs w:val="24"/>
        </w:rPr>
        <w:t>[8</w:t>
      </w:r>
      <w:r w:rsidR="001D1107" w:rsidRPr="00F72EE8">
        <w:rPr>
          <w:rFonts w:ascii="Arial" w:hAnsi="Arial" w:cs="Arial"/>
          <w:sz w:val="24"/>
          <w:szCs w:val="24"/>
        </w:rPr>
        <w:t xml:space="preserve">]  </w:t>
      </w:r>
      <w:r w:rsidR="00F72EE8">
        <w:rPr>
          <w:rFonts w:ascii="Arial" w:hAnsi="Arial" w:cs="Arial"/>
          <w:sz w:val="24"/>
          <w:szCs w:val="24"/>
        </w:rPr>
        <w:tab/>
      </w:r>
      <w:r w:rsidR="001D1107" w:rsidRPr="00F72EE8">
        <w:rPr>
          <w:rFonts w:ascii="Arial" w:hAnsi="Arial" w:cs="Arial"/>
          <w:sz w:val="24"/>
          <w:szCs w:val="24"/>
        </w:rPr>
        <w:t xml:space="preserve">This was amplified </w:t>
      </w:r>
      <w:r w:rsidR="008841FB" w:rsidRPr="00F72EE8">
        <w:rPr>
          <w:rFonts w:ascii="Arial" w:hAnsi="Arial" w:cs="Arial"/>
          <w:sz w:val="24"/>
          <w:szCs w:val="24"/>
        </w:rPr>
        <w:t xml:space="preserve"> i</w:t>
      </w:r>
      <w:r w:rsidR="00374376" w:rsidRPr="00F72EE8">
        <w:rPr>
          <w:rFonts w:ascii="Arial" w:hAnsi="Arial" w:cs="Arial"/>
          <w:sz w:val="24"/>
          <w:szCs w:val="24"/>
        </w:rPr>
        <w:t xml:space="preserve">n </w:t>
      </w:r>
      <w:r w:rsidR="00374376" w:rsidRPr="00F72EE8">
        <w:rPr>
          <w:rFonts w:ascii="Arial" w:hAnsi="Arial" w:cs="Arial"/>
          <w:b/>
          <w:sz w:val="24"/>
          <w:szCs w:val="24"/>
        </w:rPr>
        <w:t>Cullinan Holdings LTD v Mamelodi Stadsraad</w:t>
      </w:r>
      <w:r w:rsidR="008841FB" w:rsidRPr="00F72EE8">
        <w:rPr>
          <w:rStyle w:val="FootnoteReference"/>
          <w:rFonts w:ascii="Arial" w:hAnsi="Arial" w:cs="Arial"/>
          <w:b/>
          <w:sz w:val="24"/>
          <w:szCs w:val="24"/>
        </w:rPr>
        <w:footnoteReference w:id="1"/>
      </w:r>
      <w:r w:rsidR="00374376" w:rsidRPr="00F72EE8">
        <w:rPr>
          <w:rFonts w:ascii="Arial" w:hAnsi="Arial" w:cs="Arial"/>
          <w:b/>
          <w:sz w:val="24"/>
          <w:szCs w:val="24"/>
        </w:rPr>
        <w:t xml:space="preserve"> 1992 (1) SA 645 (T) at 647F </w:t>
      </w:r>
      <w:r w:rsidR="008841FB" w:rsidRPr="00F72EE8">
        <w:rPr>
          <w:rFonts w:ascii="Arial" w:hAnsi="Arial" w:cs="Arial"/>
          <w:b/>
          <w:sz w:val="24"/>
          <w:szCs w:val="24"/>
        </w:rPr>
        <w:t xml:space="preserve"> </w:t>
      </w:r>
      <w:r w:rsidR="008841FB" w:rsidRPr="00F72EE8">
        <w:rPr>
          <w:rFonts w:ascii="Arial" w:hAnsi="Arial" w:cs="Arial"/>
          <w:sz w:val="24"/>
          <w:szCs w:val="24"/>
        </w:rPr>
        <w:t xml:space="preserve">where the following was said: </w:t>
      </w:r>
    </w:p>
    <w:p w:rsidR="00210A0A" w:rsidRDefault="00374376" w:rsidP="00F72EE8">
      <w:pPr>
        <w:spacing w:after="0" w:line="360" w:lineRule="auto"/>
        <w:ind w:left="1418"/>
        <w:jc w:val="both"/>
        <w:rPr>
          <w:rFonts w:ascii="Arial" w:hAnsi="Arial" w:cs="Arial"/>
          <w:sz w:val="28"/>
          <w:szCs w:val="28"/>
        </w:rPr>
      </w:pPr>
      <w:r>
        <w:rPr>
          <w:rFonts w:ascii="Verdana" w:hAnsi="Verdana"/>
          <w:color w:val="000000"/>
          <w:sz w:val="20"/>
          <w:szCs w:val="20"/>
        </w:rPr>
        <w:t xml:space="preserve">Die eerste vereiste is dat die aangevraagde dokument 'vir doeleindes van pleit' benodig word. Uit die eedsverklaring van Nel is dit duidelik dat die verweerder sy verwere duidelik kon formuleer sonder die vermelde </w:t>
      </w:r>
      <w:r>
        <w:rPr>
          <w:rFonts w:ascii="Verdana" w:hAnsi="Verdana"/>
          <w:color w:val="000000"/>
          <w:sz w:val="20"/>
          <w:szCs w:val="20"/>
        </w:rPr>
        <w:lastRenderedPageBreak/>
        <w:t xml:space="preserve">dokumente. Die dokumente is nie noodsaaklik ten einde te kan pleit nie. Die feit dat dit nuttig kan wees indien die opsteller van die pleitstuk dit beskikbaar het, is nie die toets nie. Om hierdie rede alleen al </w:t>
      </w:r>
      <w:r w:rsidR="00F76B55">
        <w:rPr>
          <w:rFonts w:ascii="Verdana" w:hAnsi="Verdana"/>
          <w:color w:val="000000"/>
          <w:sz w:val="20"/>
          <w:szCs w:val="20"/>
        </w:rPr>
        <w:t>moet die</w:t>
      </w:r>
      <w:r>
        <w:rPr>
          <w:rFonts w:ascii="Verdana" w:hAnsi="Verdana"/>
          <w:color w:val="000000"/>
          <w:sz w:val="20"/>
          <w:szCs w:val="20"/>
        </w:rPr>
        <w:t xml:space="preserve"> aansoek onder Reël 30 faal.</w:t>
      </w:r>
    </w:p>
    <w:p w:rsidR="00210A0A" w:rsidRDefault="00210A0A" w:rsidP="00F96B5D">
      <w:pPr>
        <w:spacing w:after="0" w:line="360" w:lineRule="auto"/>
        <w:ind w:left="709" w:hanging="709"/>
        <w:jc w:val="both"/>
        <w:rPr>
          <w:rFonts w:ascii="Arial" w:hAnsi="Arial" w:cs="Arial"/>
          <w:sz w:val="28"/>
          <w:szCs w:val="28"/>
        </w:rPr>
      </w:pPr>
    </w:p>
    <w:p w:rsidR="00210A0A" w:rsidRDefault="00F76B55" w:rsidP="00F72EE8">
      <w:pPr>
        <w:spacing w:after="0" w:line="360" w:lineRule="auto"/>
        <w:ind w:left="709" w:hanging="709"/>
        <w:jc w:val="both"/>
        <w:rPr>
          <w:rFonts w:ascii="Arial" w:hAnsi="Arial" w:cs="Arial"/>
          <w:sz w:val="24"/>
          <w:szCs w:val="24"/>
          <w:lang w:val="en-US"/>
        </w:rPr>
      </w:pPr>
      <w:r>
        <w:rPr>
          <w:rFonts w:ascii="Arial" w:hAnsi="Arial" w:cs="Arial"/>
          <w:sz w:val="24"/>
          <w:szCs w:val="24"/>
          <w:lang w:val="en-US"/>
        </w:rPr>
        <w:t>[9</w:t>
      </w:r>
      <w:r w:rsidR="00CE53BD">
        <w:rPr>
          <w:rFonts w:ascii="Arial" w:hAnsi="Arial" w:cs="Arial"/>
          <w:sz w:val="24"/>
          <w:szCs w:val="24"/>
          <w:lang w:val="en-US"/>
        </w:rPr>
        <w:t>]</w:t>
      </w:r>
      <w:r w:rsidR="00210A0A">
        <w:rPr>
          <w:rFonts w:ascii="Arial" w:hAnsi="Arial" w:cs="Arial"/>
          <w:sz w:val="24"/>
          <w:szCs w:val="24"/>
          <w:lang w:val="en-US"/>
        </w:rPr>
        <w:tab/>
      </w:r>
      <w:r w:rsidR="00DD114B">
        <w:rPr>
          <w:rFonts w:ascii="Arial" w:hAnsi="Arial" w:cs="Arial"/>
          <w:sz w:val="24"/>
          <w:szCs w:val="24"/>
          <w:lang w:val="en-US"/>
        </w:rPr>
        <w:t>The rule does not give parties</w:t>
      </w:r>
      <w:r w:rsidR="008841FB">
        <w:rPr>
          <w:rFonts w:ascii="Arial" w:hAnsi="Arial" w:cs="Arial"/>
          <w:sz w:val="24"/>
          <w:szCs w:val="24"/>
          <w:lang w:val="en-US"/>
        </w:rPr>
        <w:t xml:space="preserve"> carte blanche to request any document even if it bears no relevance to the issue at hand. </w:t>
      </w:r>
      <w:r w:rsidR="00D60EAD">
        <w:rPr>
          <w:rFonts w:ascii="Arial" w:hAnsi="Arial" w:cs="Arial"/>
          <w:sz w:val="24"/>
          <w:szCs w:val="24"/>
          <w:lang w:val="en-US"/>
        </w:rPr>
        <w:t xml:space="preserve">The document must be pertinent </w:t>
      </w:r>
      <w:r w:rsidR="00026292">
        <w:rPr>
          <w:rFonts w:ascii="Arial" w:hAnsi="Arial" w:cs="Arial"/>
          <w:sz w:val="24"/>
          <w:szCs w:val="24"/>
          <w:lang w:val="en-US"/>
        </w:rPr>
        <w:t>to the issue in dispute</w:t>
      </w:r>
      <w:r w:rsidR="00DD114B">
        <w:rPr>
          <w:rFonts w:ascii="Arial" w:hAnsi="Arial" w:cs="Arial"/>
          <w:sz w:val="24"/>
          <w:szCs w:val="24"/>
          <w:lang w:val="en-US"/>
        </w:rPr>
        <w:t>, it must have some connection with the issue to be determine</w:t>
      </w:r>
      <w:r w:rsidR="00872E1C">
        <w:rPr>
          <w:rFonts w:ascii="Arial" w:hAnsi="Arial" w:cs="Arial"/>
          <w:sz w:val="24"/>
          <w:szCs w:val="24"/>
          <w:lang w:val="en-US"/>
        </w:rPr>
        <w:t>d</w:t>
      </w:r>
      <w:r w:rsidR="00DD114B">
        <w:rPr>
          <w:rFonts w:ascii="Arial" w:hAnsi="Arial" w:cs="Arial"/>
          <w:sz w:val="24"/>
          <w:szCs w:val="24"/>
          <w:lang w:val="en-US"/>
        </w:rPr>
        <w:t xml:space="preserve"> in the action or have some tendency to prove a matter of fact significant to the issue in dispute. </w:t>
      </w:r>
    </w:p>
    <w:p w:rsidR="00210A0A" w:rsidRDefault="00210A0A" w:rsidP="00210A0A">
      <w:pPr>
        <w:spacing w:after="0" w:line="360" w:lineRule="auto"/>
        <w:ind w:left="851" w:hanging="851"/>
        <w:jc w:val="both"/>
        <w:rPr>
          <w:rFonts w:ascii="Arial" w:hAnsi="Arial" w:cs="Arial"/>
          <w:sz w:val="24"/>
          <w:szCs w:val="24"/>
          <w:lang w:val="en-US"/>
        </w:rPr>
      </w:pPr>
    </w:p>
    <w:p w:rsidR="00872E1C" w:rsidRDefault="00F76B55" w:rsidP="00F72EE8">
      <w:pPr>
        <w:ind w:left="720" w:hanging="720"/>
        <w:rPr>
          <w:rFonts w:ascii="Arial" w:hAnsi="Arial" w:cs="Arial"/>
          <w:sz w:val="24"/>
          <w:szCs w:val="24"/>
          <w:lang w:val="en-US"/>
        </w:rPr>
      </w:pPr>
      <w:r>
        <w:rPr>
          <w:rFonts w:ascii="Arial" w:hAnsi="Arial" w:cs="Arial"/>
          <w:sz w:val="24"/>
          <w:szCs w:val="24"/>
          <w:lang w:val="en-US"/>
        </w:rPr>
        <w:t>[10</w:t>
      </w:r>
      <w:r w:rsidR="004D1BF3">
        <w:rPr>
          <w:rFonts w:ascii="Arial" w:hAnsi="Arial" w:cs="Arial"/>
          <w:sz w:val="24"/>
          <w:szCs w:val="24"/>
          <w:lang w:val="en-US"/>
        </w:rPr>
        <w:t>]</w:t>
      </w:r>
      <w:r w:rsidR="00872E1C">
        <w:rPr>
          <w:rFonts w:ascii="Arial" w:hAnsi="Arial" w:cs="Arial"/>
          <w:sz w:val="24"/>
          <w:szCs w:val="24"/>
          <w:lang w:val="en-US"/>
        </w:rPr>
        <w:tab/>
      </w:r>
      <w:r w:rsidR="00F72EE8">
        <w:rPr>
          <w:rFonts w:ascii="Arial" w:hAnsi="Arial" w:cs="Arial"/>
          <w:color w:val="000000"/>
          <w:sz w:val="24"/>
          <w:szCs w:val="24"/>
        </w:rPr>
        <w:t>In</w:t>
      </w:r>
      <w:r w:rsidR="00872E1C">
        <w:rPr>
          <w:rFonts w:ascii="Verdana" w:hAnsi="Verdana"/>
          <w:color w:val="000000"/>
          <w:sz w:val="20"/>
          <w:szCs w:val="20"/>
        </w:rPr>
        <w:t xml:space="preserve"> </w:t>
      </w:r>
      <w:r w:rsidR="00872E1C" w:rsidRPr="00872E1C">
        <w:rPr>
          <w:rFonts w:ascii="Arial" w:hAnsi="Arial" w:cs="Arial"/>
          <w:color w:val="000000"/>
          <w:sz w:val="24"/>
          <w:szCs w:val="24"/>
        </w:rPr>
        <w:t> </w:t>
      </w:r>
      <w:r w:rsidR="00872E1C" w:rsidRPr="00872E1C">
        <w:rPr>
          <w:rFonts w:ascii="Arial" w:hAnsi="Arial" w:cs="Arial"/>
          <w:b/>
          <w:iCs/>
          <w:color w:val="000000"/>
          <w:sz w:val="24"/>
          <w:szCs w:val="24"/>
        </w:rPr>
        <w:t>Priday v Thos Cook &amp; Son (SA) Ltd</w:t>
      </w:r>
      <w:r w:rsidR="00872E1C">
        <w:rPr>
          <w:rFonts w:ascii="Arial" w:hAnsi="Arial" w:cs="Arial"/>
          <w:b/>
          <w:color w:val="000000"/>
          <w:sz w:val="24"/>
          <w:szCs w:val="24"/>
        </w:rPr>
        <w:t> </w:t>
      </w:r>
      <w:r w:rsidR="00872E1C">
        <w:rPr>
          <w:rStyle w:val="FootnoteReference"/>
          <w:rFonts w:ascii="Arial" w:hAnsi="Arial" w:cs="Arial"/>
          <w:b/>
          <w:color w:val="000000"/>
          <w:sz w:val="24"/>
          <w:szCs w:val="24"/>
        </w:rPr>
        <w:footnoteReference w:id="2"/>
      </w:r>
      <w:r w:rsidR="00872E1C" w:rsidRPr="00872E1C">
        <w:rPr>
          <w:rFonts w:ascii="Arial" w:hAnsi="Arial" w:cs="Arial"/>
          <w:color w:val="000000"/>
          <w:sz w:val="24"/>
          <w:szCs w:val="24"/>
        </w:rPr>
        <w:t xml:space="preserve"> Van Winsen J</w:t>
      </w:r>
      <w:r w:rsidR="00872E1C">
        <w:rPr>
          <w:rFonts w:ascii="Arial" w:hAnsi="Arial" w:cs="Arial"/>
          <w:color w:val="000000"/>
          <w:sz w:val="24"/>
          <w:szCs w:val="24"/>
        </w:rPr>
        <w:t xml:space="preserve"> remarked as follows : </w:t>
      </w:r>
    </w:p>
    <w:p w:rsidR="00872E1C" w:rsidRPr="00872E1C" w:rsidRDefault="00872E1C" w:rsidP="00F72EE8">
      <w:pPr>
        <w:ind w:left="1418"/>
        <w:jc w:val="both"/>
        <w:rPr>
          <w:rFonts w:ascii="Arial" w:eastAsia="Times New Roman" w:hAnsi="Arial" w:cs="Arial"/>
          <w:color w:val="000000"/>
          <w:sz w:val="20"/>
          <w:szCs w:val="20"/>
          <w:lang w:eastAsia="en-ZA"/>
        </w:rPr>
      </w:pPr>
      <w:r w:rsidRPr="00872E1C">
        <w:rPr>
          <w:rFonts w:ascii="Arial" w:eastAsia="Times New Roman" w:hAnsi="Arial" w:cs="Arial"/>
          <w:color w:val="000000"/>
          <w:sz w:val="20"/>
          <w:szCs w:val="20"/>
          <w:lang w:eastAsia="en-ZA"/>
        </w:rPr>
        <w:t xml:space="preserve"> On the other </w:t>
      </w:r>
      <w:r w:rsidR="00F76B55" w:rsidRPr="00872E1C">
        <w:rPr>
          <w:rFonts w:ascii="Arial" w:eastAsia="Times New Roman" w:hAnsi="Arial" w:cs="Arial"/>
          <w:color w:val="000000"/>
          <w:sz w:val="20"/>
          <w:szCs w:val="20"/>
          <w:lang w:eastAsia="en-ZA"/>
        </w:rPr>
        <w:t>hand,</w:t>
      </w:r>
      <w:r w:rsidRPr="00872E1C">
        <w:rPr>
          <w:rFonts w:ascii="Arial" w:eastAsia="Times New Roman" w:hAnsi="Arial" w:cs="Arial"/>
          <w:color w:val="000000"/>
          <w:sz w:val="20"/>
          <w:szCs w:val="20"/>
          <w:lang w:eastAsia="en-ZA"/>
        </w:rPr>
        <w:t xml:space="preserve"> there are decisions in our Courts which tend to show that it is not the policy of our Courts to encourage a person to search amongst the books and documents of another in order to find out whether or not he has an action against such other. Thus for instance in </w:t>
      </w:r>
      <w:r w:rsidRPr="00872E1C">
        <w:rPr>
          <w:rFonts w:ascii="Arial" w:eastAsia="Times New Roman" w:hAnsi="Arial" w:cs="Arial"/>
          <w:i/>
          <w:iCs/>
          <w:color w:val="000000"/>
          <w:sz w:val="20"/>
          <w:szCs w:val="20"/>
          <w:lang w:eastAsia="en-ZA"/>
        </w:rPr>
        <w:t xml:space="preserve">Rogers v Sanitary Board of </w:t>
      </w:r>
      <w:r w:rsidRPr="00872E1C">
        <w:rPr>
          <w:rFonts w:ascii="Arial" w:eastAsia="Times New Roman" w:hAnsi="Arial" w:cs="Arial"/>
          <w:iCs/>
          <w:color w:val="000000"/>
          <w:sz w:val="20"/>
          <w:szCs w:val="20"/>
          <w:lang w:eastAsia="en-ZA"/>
        </w:rPr>
        <w:t>J</w:t>
      </w:r>
      <w:r w:rsidRPr="00872E1C">
        <w:rPr>
          <w:rFonts w:ascii="Arial" w:eastAsia="Times New Roman" w:hAnsi="Arial" w:cs="Arial"/>
          <w:color w:val="000000"/>
          <w:sz w:val="20"/>
          <w:szCs w:val="20"/>
          <w:lang w:eastAsia="en-ZA"/>
        </w:rPr>
        <w:t>ohannesburg 1 OR 65 the Court refused to grant an application for discovery which was made</w:t>
      </w:r>
    </w:p>
    <w:p w:rsidR="00872E1C" w:rsidRPr="00872E1C" w:rsidRDefault="00872E1C" w:rsidP="00F72EE8">
      <w:pPr>
        <w:spacing w:after="0" w:line="240" w:lineRule="auto"/>
        <w:ind w:left="1418"/>
        <w:rPr>
          <w:rFonts w:ascii="Arial" w:eastAsia="Times New Roman" w:hAnsi="Arial" w:cs="Arial"/>
          <w:color w:val="000000"/>
          <w:sz w:val="16"/>
          <w:szCs w:val="16"/>
          <w:lang w:eastAsia="en-ZA"/>
        </w:rPr>
      </w:pPr>
      <w:r w:rsidRPr="00872E1C">
        <w:rPr>
          <w:rFonts w:ascii="Arial" w:eastAsia="Times New Roman" w:hAnsi="Arial" w:cs="Arial"/>
          <w:color w:val="000000"/>
          <w:sz w:val="16"/>
          <w:szCs w:val="16"/>
          <w:lang w:eastAsia="en-ZA"/>
        </w:rPr>
        <w:t xml:space="preserve">''to obtain evidence for the purpose of seeing if he (applicant) really has a case and not with the object of using the evidence in an action already begun''. </w:t>
      </w:r>
    </w:p>
    <w:p w:rsidR="00872E1C" w:rsidRPr="00872E1C" w:rsidRDefault="00872E1C" w:rsidP="00872E1C">
      <w:pPr>
        <w:spacing w:after="0" w:line="240" w:lineRule="auto"/>
        <w:ind w:left="720"/>
        <w:rPr>
          <w:rFonts w:ascii="Arial" w:eastAsia="Times New Roman" w:hAnsi="Arial" w:cs="Arial"/>
          <w:color w:val="000000"/>
          <w:sz w:val="16"/>
          <w:szCs w:val="16"/>
          <w:lang w:eastAsia="en-ZA"/>
        </w:rPr>
      </w:pPr>
    </w:p>
    <w:p w:rsidR="00872E1C" w:rsidRPr="00872E1C" w:rsidRDefault="00872E1C" w:rsidP="00F72EE8">
      <w:pPr>
        <w:spacing w:after="0" w:line="240" w:lineRule="auto"/>
        <w:ind w:left="1418"/>
        <w:jc w:val="both"/>
        <w:rPr>
          <w:rFonts w:ascii="Arial" w:eastAsia="Times New Roman" w:hAnsi="Arial" w:cs="Arial"/>
          <w:color w:val="000000"/>
          <w:sz w:val="20"/>
          <w:szCs w:val="20"/>
          <w:lang w:eastAsia="en-ZA"/>
        </w:rPr>
      </w:pPr>
      <w:r w:rsidRPr="00872E1C">
        <w:rPr>
          <w:rFonts w:ascii="Arial" w:eastAsia="Times New Roman" w:hAnsi="Arial" w:cs="Arial"/>
          <w:color w:val="000000"/>
          <w:sz w:val="20"/>
          <w:szCs w:val="20"/>
          <w:lang w:eastAsia="en-ZA"/>
        </w:rPr>
        <w:t>An application to hand over for inspection a letter alleged to contain defamatory statements concerning the applicant so as to enable the applicant to institute an action for damages against the respondent was refused, the Court holding that there was nothing to show that there had been a libel committed against the applicant. </w:t>
      </w:r>
      <w:r w:rsidRPr="00872E1C">
        <w:rPr>
          <w:rFonts w:ascii="Arial" w:eastAsia="Times New Roman" w:hAnsi="Arial" w:cs="Arial"/>
          <w:i/>
          <w:iCs/>
          <w:color w:val="000000"/>
          <w:sz w:val="20"/>
          <w:szCs w:val="20"/>
          <w:lang w:eastAsia="en-ZA"/>
        </w:rPr>
        <w:t>Attwell &amp; Co v Van de Ven and Another</w:t>
      </w:r>
      <w:r w:rsidRPr="00872E1C">
        <w:rPr>
          <w:rFonts w:ascii="Arial" w:eastAsia="Times New Roman" w:hAnsi="Arial" w:cs="Arial"/>
          <w:color w:val="000000"/>
          <w:sz w:val="20"/>
          <w:szCs w:val="20"/>
          <w:lang w:eastAsia="en-ZA"/>
        </w:rPr>
        <w:t> 1875 B 93. So also in </w:t>
      </w:r>
      <w:r w:rsidRPr="00872E1C">
        <w:rPr>
          <w:rFonts w:ascii="Arial" w:eastAsia="Times New Roman" w:hAnsi="Arial" w:cs="Arial"/>
          <w:i/>
          <w:iCs/>
          <w:color w:val="000000"/>
          <w:sz w:val="20"/>
          <w:szCs w:val="20"/>
          <w:lang w:eastAsia="en-ZA"/>
        </w:rPr>
        <w:t>Dabuku v Mann</w:t>
      </w:r>
      <w:r w:rsidRPr="00872E1C">
        <w:rPr>
          <w:rFonts w:ascii="Arial" w:eastAsia="Times New Roman" w:hAnsi="Arial" w:cs="Arial"/>
          <w:color w:val="000000"/>
          <w:sz w:val="20"/>
          <w:szCs w:val="20"/>
          <w:lang w:eastAsia="en-ZA"/>
        </w:rPr>
        <w:t> 9 NLR 253, the Court refused to allow the applicant inspection of books and documents in order to ascertain whether or not he had an action against the respondent.'</w:t>
      </w:r>
    </w:p>
    <w:p w:rsidR="00210A0A" w:rsidRPr="00872E1C" w:rsidRDefault="00210A0A" w:rsidP="00210A0A">
      <w:pPr>
        <w:spacing w:after="0" w:line="360" w:lineRule="auto"/>
        <w:ind w:left="851" w:hanging="851"/>
        <w:jc w:val="both"/>
        <w:rPr>
          <w:rFonts w:ascii="Arial" w:hAnsi="Arial" w:cs="Arial"/>
          <w:sz w:val="20"/>
          <w:szCs w:val="20"/>
          <w:lang w:val="en-US"/>
        </w:rPr>
      </w:pPr>
    </w:p>
    <w:p w:rsidR="00210A0A" w:rsidRDefault="00210A0A" w:rsidP="00E103A9">
      <w:pPr>
        <w:spacing w:after="0" w:line="360" w:lineRule="auto"/>
        <w:ind w:left="851" w:hanging="567"/>
        <w:jc w:val="both"/>
        <w:rPr>
          <w:rFonts w:ascii="Arial" w:hAnsi="Arial" w:cs="Arial"/>
          <w:bCs/>
          <w:sz w:val="24"/>
          <w:szCs w:val="24"/>
        </w:rPr>
      </w:pPr>
      <w:r>
        <w:rPr>
          <w:rFonts w:ascii="Arial" w:hAnsi="Arial" w:cs="Arial"/>
          <w:sz w:val="24"/>
          <w:szCs w:val="24"/>
          <w:lang w:val="en-US"/>
        </w:rPr>
        <w:t>6.</w:t>
      </w:r>
      <w:r>
        <w:rPr>
          <w:rFonts w:ascii="Arial" w:hAnsi="Arial" w:cs="Arial"/>
          <w:sz w:val="24"/>
          <w:szCs w:val="24"/>
          <w:lang w:val="en-US"/>
        </w:rPr>
        <w:tab/>
      </w:r>
      <w:r w:rsidR="00056D7F">
        <w:rPr>
          <w:rFonts w:ascii="Arial" w:hAnsi="Arial" w:cs="Arial"/>
          <w:sz w:val="24"/>
          <w:szCs w:val="24"/>
          <w:lang w:val="en-US"/>
        </w:rPr>
        <w:t xml:space="preserve">In </w:t>
      </w:r>
      <w:r w:rsidR="00056D7F" w:rsidRPr="007F4D36">
        <w:rPr>
          <w:rFonts w:ascii="Arial" w:hAnsi="Arial" w:cs="Arial"/>
          <w:b/>
          <w:bCs/>
          <w:sz w:val="24"/>
          <w:szCs w:val="24"/>
        </w:rPr>
        <w:t xml:space="preserve">Quayside Fish  Suppliers CC v Irvin &amp; Johnson Ltd </w:t>
      </w:r>
      <w:r w:rsidR="007F4D36" w:rsidRPr="007F4D36">
        <w:rPr>
          <w:rStyle w:val="FootnoteReference"/>
          <w:rFonts w:ascii="Arial" w:hAnsi="Arial" w:cs="Arial"/>
          <w:b/>
          <w:bCs/>
          <w:sz w:val="24"/>
          <w:szCs w:val="24"/>
        </w:rPr>
        <w:footnoteReference w:id="3"/>
      </w:r>
      <w:r w:rsidR="00056D7F" w:rsidRPr="007F4D36">
        <w:rPr>
          <w:rFonts w:ascii="Arial" w:hAnsi="Arial" w:cs="Arial"/>
          <w:b/>
          <w:bCs/>
          <w:sz w:val="24"/>
          <w:szCs w:val="24"/>
        </w:rPr>
        <w:t xml:space="preserve"> </w:t>
      </w:r>
      <w:r w:rsidR="007F4D36">
        <w:rPr>
          <w:rFonts w:ascii="Arial" w:hAnsi="Arial" w:cs="Arial"/>
          <w:bCs/>
          <w:sz w:val="24"/>
          <w:szCs w:val="24"/>
        </w:rPr>
        <w:t xml:space="preserve">Traverso J </w:t>
      </w:r>
      <w:r w:rsidR="007F4D36">
        <w:rPr>
          <w:rFonts w:ascii="Arial" w:hAnsi="Arial" w:cs="Arial"/>
          <w:b/>
          <w:bCs/>
          <w:sz w:val="24"/>
          <w:szCs w:val="24"/>
        </w:rPr>
        <w:t xml:space="preserve"> </w:t>
      </w:r>
      <w:r w:rsidR="007F4D36">
        <w:rPr>
          <w:rFonts w:ascii="Arial" w:hAnsi="Arial" w:cs="Arial"/>
          <w:bCs/>
          <w:sz w:val="24"/>
          <w:szCs w:val="24"/>
        </w:rPr>
        <w:t>remarked as follows:</w:t>
      </w:r>
    </w:p>
    <w:p w:rsidR="007F4D36" w:rsidRPr="00F761D5" w:rsidRDefault="00F76B55" w:rsidP="00F72EE8">
      <w:pPr>
        <w:autoSpaceDE w:val="0"/>
        <w:autoSpaceDN w:val="0"/>
        <w:adjustRightInd w:val="0"/>
        <w:spacing w:after="0" w:line="240" w:lineRule="auto"/>
        <w:ind w:left="1418"/>
        <w:jc w:val="both"/>
        <w:rPr>
          <w:rFonts w:ascii="Arial" w:hAnsi="Arial" w:cs="Arial"/>
          <w:sz w:val="20"/>
          <w:szCs w:val="20"/>
        </w:rPr>
      </w:pPr>
      <w:r>
        <w:rPr>
          <w:rFonts w:ascii="Arial" w:hAnsi="Arial" w:cs="Arial"/>
          <w:sz w:val="20"/>
          <w:szCs w:val="20"/>
        </w:rPr>
        <w:t>“[</w:t>
      </w:r>
      <w:r w:rsidR="00F761D5" w:rsidRPr="00056D7F">
        <w:rPr>
          <w:rFonts w:ascii="Arial" w:hAnsi="Arial" w:cs="Arial"/>
          <w:sz w:val="20"/>
          <w:szCs w:val="20"/>
        </w:rPr>
        <w:t xml:space="preserve">16] Mr </w:t>
      </w:r>
      <w:r w:rsidR="00F761D5" w:rsidRPr="00056D7F">
        <w:rPr>
          <w:rFonts w:ascii="Arial" w:hAnsi="Arial" w:cs="Arial"/>
          <w:i/>
          <w:iCs/>
          <w:sz w:val="20"/>
          <w:szCs w:val="20"/>
        </w:rPr>
        <w:t>Burger</w:t>
      </w:r>
      <w:r w:rsidR="00F761D5" w:rsidRPr="00056D7F">
        <w:rPr>
          <w:rFonts w:ascii="Arial" w:hAnsi="Arial" w:cs="Arial"/>
          <w:sz w:val="20"/>
          <w:szCs w:val="20"/>
        </w:rPr>
        <w:t xml:space="preserve">, who appeared for the applicant, submitted that the </w:t>
      </w:r>
      <w:r w:rsidR="00F761D5" w:rsidRPr="00056D7F">
        <w:rPr>
          <w:rFonts w:ascii="Arial" w:hAnsi="Arial" w:cs="Arial"/>
          <w:i/>
          <w:iCs/>
          <w:sz w:val="20"/>
          <w:szCs w:val="20"/>
        </w:rPr>
        <w:t xml:space="preserve">Cullinan Holdings </w:t>
      </w:r>
      <w:r w:rsidR="00F761D5" w:rsidRPr="00056D7F">
        <w:rPr>
          <w:rFonts w:ascii="Arial" w:hAnsi="Arial" w:cs="Arial"/>
          <w:sz w:val="20"/>
          <w:szCs w:val="20"/>
        </w:rPr>
        <w:t xml:space="preserve">case </w:t>
      </w:r>
      <w:r w:rsidR="00F761D5">
        <w:rPr>
          <w:rFonts w:ascii="Arial" w:hAnsi="Arial" w:cs="Arial"/>
          <w:sz w:val="20"/>
          <w:szCs w:val="20"/>
        </w:rPr>
        <w:t xml:space="preserve">  </w:t>
      </w:r>
      <w:r w:rsidR="00F761D5" w:rsidRPr="00056D7F">
        <w:rPr>
          <w:rFonts w:ascii="Arial" w:hAnsi="Arial" w:cs="Arial"/>
          <w:sz w:val="20"/>
          <w:szCs w:val="20"/>
        </w:rPr>
        <w:t xml:space="preserve">was wrongly decided. Mr </w:t>
      </w:r>
      <w:r w:rsidR="00F761D5" w:rsidRPr="00056D7F">
        <w:rPr>
          <w:rFonts w:ascii="Arial" w:hAnsi="Arial" w:cs="Arial"/>
          <w:i/>
          <w:iCs/>
          <w:sz w:val="20"/>
          <w:szCs w:val="20"/>
        </w:rPr>
        <w:t xml:space="preserve">Burger </w:t>
      </w:r>
      <w:r w:rsidR="00F761D5" w:rsidRPr="00056D7F">
        <w:rPr>
          <w:rFonts w:ascii="Arial" w:hAnsi="Arial" w:cs="Arial"/>
          <w:sz w:val="20"/>
          <w:szCs w:val="20"/>
        </w:rPr>
        <w:t xml:space="preserve">contended that the interpretation attributed to Rule 35(14) by Van Dijkhorst J effectively renders the Rule inoperative. I cannot agree with this submission. Rule 35(14) is limited in application and is aimed at operating only in the very specific circumstances set out in the Rule. To interpret </w:t>
      </w:r>
      <w:r w:rsidRPr="00056D7F">
        <w:rPr>
          <w:rFonts w:ascii="Arial" w:hAnsi="Arial" w:cs="Arial"/>
          <w:sz w:val="20"/>
          <w:szCs w:val="20"/>
        </w:rPr>
        <w:t>it more</w:t>
      </w:r>
      <w:r w:rsidR="00F761D5" w:rsidRPr="00056D7F">
        <w:rPr>
          <w:rFonts w:ascii="Arial" w:hAnsi="Arial" w:cs="Arial"/>
          <w:sz w:val="20"/>
          <w:szCs w:val="20"/>
        </w:rPr>
        <w:t xml:space="preserve"> widely would make inroads into the general principle that prior to the institution of an action a party cannot snoop around other people's books. See, too, </w:t>
      </w:r>
      <w:r w:rsidR="00F761D5" w:rsidRPr="00056D7F">
        <w:rPr>
          <w:rFonts w:ascii="Arial" w:hAnsi="Arial" w:cs="Arial"/>
          <w:i/>
          <w:iCs/>
          <w:sz w:val="20"/>
          <w:szCs w:val="20"/>
        </w:rPr>
        <w:t xml:space="preserve">The MV </w:t>
      </w:r>
      <w:r w:rsidR="00F761D5" w:rsidRPr="00056D7F">
        <w:rPr>
          <w:rFonts w:ascii="Arial" w:hAnsi="Arial" w:cs="Arial"/>
          <w:sz w:val="20"/>
          <w:szCs w:val="20"/>
        </w:rPr>
        <w:t>Urgup</w:t>
      </w:r>
      <w:r w:rsidR="00F761D5" w:rsidRPr="00056D7F">
        <w:rPr>
          <w:rFonts w:ascii="Arial" w:hAnsi="Arial" w:cs="Arial"/>
          <w:i/>
          <w:iCs/>
          <w:sz w:val="20"/>
          <w:szCs w:val="20"/>
        </w:rPr>
        <w:t xml:space="preserve">: Owners of the MV </w:t>
      </w:r>
      <w:r w:rsidR="00F761D5" w:rsidRPr="00056D7F">
        <w:rPr>
          <w:rFonts w:ascii="Arial" w:hAnsi="Arial" w:cs="Arial"/>
          <w:sz w:val="20"/>
          <w:szCs w:val="20"/>
        </w:rPr>
        <w:t xml:space="preserve">Urgup </w:t>
      </w:r>
      <w:r w:rsidR="00F761D5" w:rsidRPr="00056D7F">
        <w:rPr>
          <w:rFonts w:ascii="Arial" w:hAnsi="Arial" w:cs="Arial"/>
          <w:i/>
          <w:iCs/>
          <w:sz w:val="20"/>
          <w:szCs w:val="20"/>
        </w:rPr>
        <w:t xml:space="preserve">v Western Bulk Carriers (Australia) (Pty) Ltd and Others </w:t>
      </w:r>
      <w:r w:rsidR="00F761D5" w:rsidRPr="00056D7F">
        <w:rPr>
          <w:rFonts w:ascii="Arial" w:hAnsi="Arial" w:cs="Arial"/>
          <w:sz w:val="20"/>
          <w:szCs w:val="20"/>
        </w:rPr>
        <w:t xml:space="preserve">1999 (3) SA 500 (C) at 515BI. In </w:t>
      </w:r>
      <w:r w:rsidR="00E103A9" w:rsidRPr="00056D7F">
        <w:rPr>
          <w:rFonts w:ascii="Arial" w:hAnsi="Arial" w:cs="Arial"/>
          <w:sz w:val="20"/>
          <w:szCs w:val="20"/>
        </w:rPr>
        <w:t>my view</w:t>
      </w:r>
      <w:r w:rsidR="00F761D5" w:rsidRPr="00056D7F">
        <w:rPr>
          <w:rFonts w:ascii="Arial" w:hAnsi="Arial" w:cs="Arial"/>
          <w:sz w:val="20"/>
          <w:szCs w:val="20"/>
        </w:rPr>
        <w:t xml:space="preserve">, the issues pending between the parties are </w:t>
      </w:r>
      <w:r w:rsidRPr="00056D7F">
        <w:rPr>
          <w:rFonts w:ascii="Arial" w:hAnsi="Arial" w:cs="Arial"/>
          <w:sz w:val="20"/>
          <w:szCs w:val="20"/>
        </w:rPr>
        <w:t>those reflected</w:t>
      </w:r>
      <w:r w:rsidR="00F761D5" w:rsidRPr="00056D7F">
        <w:rPr>
          <w:rFonts w:ascii="Arial" w:hAnsi="Arial" w:cs="Arial"/>
          <w:sz w:val="20"/>
          <w:szCs w:val="20"/>
        </w:rPr>
        <w:t xml:space="preserve"> in the pleadings. What the applicant is asking me to do is to permit it to search amongst the documents of the respondent to find out whether or not it has an additional or </w:t>
      </w:r>
      <w:r w:rsidR="00F761D5" w:rsidRPr="00056D7F">
        <w:rPr>
          <w:rFonts w:ascii="Arial" w:hAnsi="Arial" w:cs="Arial"/>
          <w:sz w:val="20"/>
          <w:szCs w:val="20"/>
        </w:rPr>
        <w:lastRenderedPageBreak/>
        <w:t xml:space="preserve">alternative counterclaim against the respondent. If this is what Rule 35(14) contemplates, it will give a plaintiff in reconvention a right which a plaintiff in convention does not have. The legislature could </w:t>
      </w:r>
      <w:r w:rsidRPr="00056D7F">
        <w:rPr>
          <w:rFonts w:ascii="Arial" w:hAnsi="Arial" w:cs="Arial"/>
          <w:sz w:val="20"/>
          <w:szCs w:val="20"/>
        </w:rPr>
        <w:t>never have</w:t>
      </w:r>
      <w:r w:rsidR="00F761D5" w:rsidRPr="00056D7F">
        <w:rPr>
          <w:rFonts w:ascii="Arial" w:hAnsi="Arial" w:cs="Arial"/>
          <w:sz w:val="20"/>
          <w:szCs w:val="20"/>
        </w:rPr>
        <w:t xml:space="preserve"> envisaged that once appearance to defend has been entered to a claim in convention it would give a plaintiff in </w:t>
      </w:r>
      <w:r w:rsidR="00F72EE8" w:rsidRPr="00056D7F">
        <w:rPr>
          <w:rFonts w:ascii="Arial" w:hAnsi="Arial" w:cs="Arial"/>
          <w:sz w:val="20"/>
          <w:szCs w:val="20"/>
        </w:rPr>
        <w:t>reconvention</w:t>
      </w:r>
      <w:r w:rsidR="00F761D5" w:rsidRPr="00056D7F">
        <w:rPr>
          <w:rFonts w:ascii="Arial" w:hAnsi="Arial" w:cs="Arial"/>
          <w:sz w:val="20"/>
          <w:szCs w:val="20"/>
        </w:rPr>
        <w:t xml:space="preserve"> </w:t>
      </w:r>
      <w:r w:rsidR="00F761D5" w:rsidRPr="00056D7F">
        <w:rPr>
          <w:rFonts w:ascii="Arial" w:hAnsi="Arial" w:cs="Arial"/>
          <w:i/>
          <w:iCs/>
          <w:sz w:val="20"/>
          <w:szCs w:val="20"/>
        </w:rPr>
        <w:t xml:space="preserve">carte blanche </w:t>
      </w:r>
      <w:r w:rsidR="00F761D5" w:rsidRPr="00056D7F">
        <w:rPr>
          <w:rFonts w:ascii="Arial" w:hAnsi="Arial" w:cs="Arial"/>
          <w:sz w:val="20"/>
          <w:szCs w:val="20"/>
        </w:rPr>
        <w:t>to ask for the production of documents to establish whether he/she has a legal or factual foundation to formulate a claim in reconvention.</w:t>
      </w:r>
      <w:r w:rsidR="00F761D5">
        <w:rPr>
          <w:rFonts w:ascii="Arial" w:hAnsi="Arial" w:cs="Arial"/>
          <w:sz w:val="20"/>
          <w:szCs w:val="20"/>
        </w:rPr>
        <w:t>”</w:t>
      </w:r>
      <w:r w:rsidR="007F4D36">
        <w:rPr>
          <w:rFonts w:ascii="Arial" w:hAnsi="Arial" w:cs="Arial"/>
          <w:b/>
          <w:bCs/>
          <w:sz w:val="24"/>
          <w:szCs w:val="24"/>
        </w:rPr>
        <w:t xml:space="preserve"> </w:t>
      </w:r>
    </w:p>
    <w:p w:rsidR="00210A0A" w:rsidRDefault="00210A0A" w:rsidP="00F72EE8">
      <w:pPr>
        <w:spacing w:after="0" w:line="360" w:lineRule="auto"/>
        <w:ind w:left="1560" w:hanging="709"/>
        <w:jc w:val="both"/>
        <w:rPr>
          <w:rFonts w:ascii="Arial" w:hAnsi="Arial" w:cs="Arial"/>
          <w:sz w:val="24"/>
          <w:szCs w:val="24"/>
          <w:lang w:val="en-US"/>
        </w:rPr>
      </w:pPr>
    </w:p>
    <w:p w:rsidR="00210A0A" w:rsidRDefault="00210A0A" w:rsidP="00F72EE8">
      <w:pPr>
        <w:spacing w:after="0" w:line="360" w:lineRule="auto"/>
        <w:ind w:left="851" w:hanging="851"/>
        <w:jc w:val="both"/>
        <w:rPr>
          <w:rFonts w:ascii="Arial" w:hAnsi="Arial" w:cs="Arial"/>
          <w:sz w:val="24"/>
          <w:szCs w:val="24"/>
          <w:lang w:val="en-US"/>
        </w:rPr>
      </w:pPr>
    </w:p>
    <w:p w:rsidR="00210A0A" w:rsidRPr="00F76B55" w:rsidRDefault="00F76B55" w:rsidP="00E103A9">
      <w:pPr>
        <w:spacing w:after="0" w:line="360" w:lineRule="auto"/>
        <w:ind w:left="709" w:hanging="425"/>
        <w:jc w:val="both"/>
        <w:rPr>
          <w:rFonts w:ascii="Arial" w:hAnsi="Arial" w:cs="Arial"/>
          <w:sz w:val="24"/>
          <w:szCs w:val="24"/>
          <w:lang w:val="en-US"/>
        </w:rPr>
      </w:pPr>
      <w:r>
        <w:rPr>
          <w:rFonts w:ascii="Arial" w:hAnsi="Arial" w:cs="Arial"/>
          <w:sz w:val="24"/>
          <w:szCs w:val="24"/>
          <w:lang w:val="en-US"/>
        </w:rPr>
        <w:t>7</w:t>
      </w:r>
      <w:r w:rsidR="00210A0A">
        <w:rPr>
          <w:rFonts w:ascii="Arial" w:hAnsi="Arial" w:cs="Arial"/>
          <w:sz w:val="24"/>
          <w:szCs w:val="24"/>
          <w:lang w:val="en-US"/>
        </w:rPr>
        <w:tab/>
      </w:r>
      <w:r w:rsidR="00CE1132">
        <w:rPr>
          <w:rFonts w:ascii="Arial" w:hAnsi="Arial" w:cs="Arial"/>
          <w:sz w:val="24"/>
          <w:szCs w:val="24"/>
          <w:lang w:val="en-US"/>
        </w:rPr>
        <w:t>Th</w:t>
      </w:r>
      <w:r w:rsidR="00B12231">
        <w:rPr>
          <w:rFonts w:ascii="Arial" w:hAnsi="Arial" w:cs="Arial"/>
          <w:sz w:val="24"/>
          <w:szCs w:val="24"/>
          <w:lang w:val="en-US"/>
        </w:rPr>
        <w:t xml:space="preserve">e Plaintiff dispatched notices in terms of Section 129 of the National Credit Act 34 of 2005 </w:t>
      </w:r>
      <w:r>
        <w:rPr>
          <w:rFonts w:ascii="Arial" w:hAnsi="Arial" w:cs="Arial"/>
          <w:sz w:val="24"/>
          <w:szCs w:val="24"/>
          <w:lang w:val="en-US"/>
        </w:rPr>
        <w:t>(the</w:t>
      </w:r>
      <w:r w:rsidR="00B12231">
        <w:rPr>
          <w:rFonts w:ascii="Arial" w:hAnsi="Arial" w:cs="Arial"/>
          <w:sz w:val="24"/>
          <w:szCs w:val="24"/>
          <w:lang w:val="en-US"/>
        </w:rPr>
        <w:t xml:space="preserve"> NCA) to the defendants during September 2018. </w:t>
      </w:r>
      <w:r w:rsidR="00B0110F">
        <w:rPr>
          <w:rFonts w:ascii="Arial" w:hAnsi="Arial" w:cs="Arial"/>
          <w:sz w:val="24"/>
          <w:szCs w:val="24"/>
          <w:lang w:val="en-US"/>
        </w:rPr>
        <w:t>When the section 129 notice was issued t</w:t>
      </w:r>
      <w:r w:rsidR="00B12231">
        <w:rPr>
          <w:rFonts w:ascii="Arial" w:hAnsi="Arial" w:cs="Arial"/>
          <w:sz w:val="24"/>
          <w:szCs w:val="24"/>
          <w:lang w:val="en-US"/>
        </w:rPr>
        <w:t xml:space="preserve">he accounts that </w:t>
      </w:r>
      <w:r w:rsidR="00B0110F">
        <w:rPr>
          <w:rFonts w:ascii="Arial" w:hAnsi="Arial" w:cs="Arial"/>
          <w:sz w:val="24"/>
          <w:szCs w:val="24"/>
          <w:lang w:val="en-US"/>
        </w:rPr>
        <w:t xml:space="preserve">are the subject matter of </w:t>
      </w:r>
      <w:r w:rsidR="00A07039">
        <w:rPr>
          <w:rFonts w:ascii="Arial" w:hAnsi="Arial" w:cs="Arial"/>
          <w:sz w:val="24"/>
          <w:szCs w:val="24"/>
          <w:lang w:val="en-US"/>
        </w:rPr>
        <w:t xml:space="preserve">this </w:t>
      </w:r>
      <w:r w:rsidR="00E103A9">
        <w:rPr>
          <w:rFonts w:ascii="Arial" w:hAnsi="Arial" w:cs="Arial"/>
          <w:sz w:val="24"/>
          <w:szCs w:val="24"/>
          <w:lang w:val="en-US"/>
        </w:rPr>
        <w:t>application were</w:t>
      </w:r>
      <w:r w:rsidR="00B0110F">
        <w:rPr>
          <w:rFonts w:ascii="Arial" w:hAnsi="Arial" w:cs="Arial"/>
          <w:sz w:val="24"/>
          <w:szCs w:val="24"/>
          <w:lang w:val="en-US"/>
        </w:rPr>
        <w:t xml:space="preserve"> already closed</w:t>
      </w:r>
      <w:r w:rsidR="006C6282">
        <w:rPr>
          <w:rFonts w:ascii="Arial" w:hAnsi="Arial" w:cs="Arial"/>
          <w:sz w:val="24"/>
          <w:szCs w:val="24"/>
          <w:lang w:val="en-US"/>
        </w:rPr>
        <w:t xml:space="preserve">. </w:t>
      </w:r>
    </w:p>
    <w:p w:rsidR="00210A0A" w:rsidRDefault="00210A0A" w:rsidP="00F96B5D">
      <w:pPr>
        <w:spacing w:after="0" w:line="360" w:lineRule="auto"/>
        <w:ind w:left="709" w:hanging="709"/>
        <w:jc w:val="both"/>
        <w:rPr>
          <w:rFonts w:ascii="Arial" w:hAnsi="Arial" w:cs="Arial"/>
          <w:sz w:val="28"/>
          <w:szCs w:val="28"/>
        </w:rPr>
      </w:pPr>
    </w:p>
    <w:p w:rsidR="00B92AC3" w:rsidRDefault="00F76B55" w:rsidP="00F96B5D">
      <w:pPr>
        <w:spacing w:after="0" w:line="360" w:lineRule="auto"/>
        <w:ind w:left="709" w:hanging="709"/>
        <w:jc w:val="both"/>
        <w:rPr>
          <w:rFonts w:ascii="Arial" w:hAnsi="Arial" w:cs="Arial"/>
          <w:sz w:val="24"/>
          <w:szCs w:val="24"/>
          <w:lang w:val="en-US"/>
        </w:rPr>
      </w:pPr>
      <w:r w:rsidRPr="00F76B55">
        <w:rPr>
          <w:rFonts w:ascii="Arial" w:hAnsi="Arial" w:cs="Arial"/>
          <w:sz w:val="24"/>
          <w:szCs w:val="24"/>
        </w:rPr>
        <w:t>[11</w:t>
      </w:r>
      <w:r w:rsidR="00A318B8" w:rsidRPr="00F76B55">
        <w:rPr>
          <w:rFonts w:ascii="Arial" w:hAnsi="Arial" w:cs="Arial"/>
          <w:sz w:val="24"/>
          <w:szCs w:val="24"/>
        </w:rPr>
        <w:t>]</w:t>
      </w:r>
      <w:r w:rsidR="00A318B8">
        <w:rPr>
          <w:rFonts w:ascii="Arial" w:hAnsi="Arial" w:cs="Arial"/>
          <w:sz w:val="28"/>
          <w:szCs w:val="28"/>
        </w:rPr>
        <w:t xml:space="preserve">  </w:t>
      </w:r>
      <w:r w:rsidR="00D40A33">
        <w:rPr>
          <w:rFonts w:ascii="Arial" w:hAnsi="Arial" w:cs="Arial"/>
          <w:sz w:val="28"/>
          <w:szCs w:val="28"/>
        </w:rPr>
        <w:t xml:space="preserve">  </w:t>
      </w:r>
      <w:r w:rsidR="00D40A33">
        <w:rPr>
          <w:rFonts w:ascii="Arial" w:hAnsi="Arial" w:cs="Arial"/>
          <w:sz w:val="24"/>
          <w:szCs w:val="24"/>
          <w:lang w:val="en-US"/>
        </w:rPr>
        <w:t xml:space="preserve">The defendants filed their plea in the main action before their request </w:t>
      </w:r>
      <w:r w:rsidR="00CC0E33">
        <w:rPr>
          <w:rFonts w:ascii="Arial" w:hAnsi="Arial" w:cs="Arial"/>
          <w:sz w:val="24"/>
          <w:szCs w:val="24"/>
          <w:lang w:val="en-US"/>
        </w:rPr>
        <w:t>in</w:t>
      </w:r>
      <w:r w:rsidR="00D40A33">
        <w:rPr>
          <w:rFonts w:ascii="Arial" w:hAnsi="Arial" w:cs="Arial"/>
          <w:sz w:val="24"/>
          <w:szCs w:val="24"/>
          <w:lang w:val="en-US"/>
        </w:rPr>
        <w:t xml:space="preserve"> terms of Rule 35(14).  They contend that they require the documents for the purpose</w:t>
      </w:r>
      <w:r w:rsidR="00CC0E33">
        <w:rPr>
          <w:rFonts w:ascii="Arial" w:hAnsi="Arial" w:cs="Arial"/>
          <w:sz w:val="24"/>
          <w:szCs w:val="24"/>
          <w:lang w:val="en-US"/>
        </w:rPr>
        <w:t xml:space="preserve">s of filing their counterclaim and </w:t>
      </w:r>
      <w:r w:rsidR="00EC336C">
        <w:rPr>
          <w:rFonts w:ascii="Arial" w:hAnsi="Arial" w:cs="Arial"/>
          <w:sz w:val="24"/>
          <w:szCs w:val="24"/>
          <w:lang w:val="en-US"/>
        </w:rPr>
        <w:t xml:space="preserve">possibly </w:t>
      </w:r>
      <w:r w:rsidR="00CC0E33">
        <w:rPr>
          <w:rFonts w:ascii="Arial" w:hAnsi="Arial" w:cs="Arial"/>
          <w:sz w:val="24"/>
          <w:szCs w:val="24"/>
          <w:lang w:val="en-US"/>
        </w:rPr>
        <w:t xml:space="preserve">amending their plea. The </w:t>
      </w:r>
      <w:r w:rsidR="00E441D0">
        <w:rPr>
          <w:rFonts w:ascii="Arial" w:hAnsi="Arial" w:cs="Arial"/>
          <w:sz w:val="24"/>
          <w:szCs w:val="24"/>
          <w:lang w:val="en-US"/>
        </w:rPr>
        <w:t>basis upon which they submit</w:t>
      </w:r>
      <w:r w:rsidR="00B0110F">
        <w:rPr>
          <w:rFonts w:ascii="Arial" w:hAnsi="Arial" w:cs="Arial"/>
          <w:sz w:val="24"/>
          <w:szCs w:val="24"/>
          <w:lang w:val="en-US"/>
        </w:rPr>
        <w:t xml:space="preserve"> that the requested documents are relevant to the </w:t>
      </w:r>
      <w:r w:rsidR="005F4EA5">
        <w:rPr>
          <w:rFonts w:ascii="Arial" w:hAnsi="Arial" w:cs="Arial"/>
          <w:sz w:val="24"/>
          <w:szCs w:val="24"/>
          <w:lang w:val="en-US"/>
        </w:rPr>
        <w:t xml:space="preserve">main claim is that according to their forensic auditor, the aforementioned accounts are still in existence and that there are unidentified interest transactions </w:t>
      </w:r>
      <w:r w:rsidR="00EC336C">
        <w:rPr>
          <w:rFonts w:ascii="Arial" w:hAnsi="Arial" w:cs="Arial"/>
          <w:sz w:val="24"/>
          <w:szCs w:val="24"/>
          <w:lang w:val="en-US"/>
        </w:rPr>
        <w:t xml:space="preserve">relating </w:t>
      </w:r>
      <w:r w:rsidR="005F4EA5">
        <w:rPr>
          <w:rFonts w:ascii="Arial" w:hAnsi="Arial" w:cs="Arial"/>
          <w:sz w:val="24"/>
          <w:szCs w:val="24"/>
          <w:lang w:val="en-US"/>
        </w:rPr>
        <w:t>to the said accounts b</w:t>
      </w:r>
      <w:r w:rsidR="00B92AC3">
        <w:rPr>
          <w:rFonts w:ascii="Arial" w:hAnsi="Arial" w:cs="Arial"/>
          <w:sz w:val="24"/>
          <w:szCs w:val="24"/>
          <w:lang w:val="en-US"/>
        </w:rPr>
        <w:t>eing debited aga</w:t>
      </w:r>
      <w:r w:rsidR="001F5819">
        <w:rPr>
          <w:rFonts w:ascii="Arial" w:hAnsi="Arial" w:cs="Arial"/>
          <w:sz w:val="24"/>
          <w:szCs w:val="24"/>
          <w:lang w:val="en-US"/>
        </w:rPr>
        <w:t>inst account number […]</w:t>
      </w:r>
      <w:r w:rsidR="00B92AC3">
        <w:rPr>
          <w:rFonts w:ascii="Arial" w:hAnsi="Arial" w:cs="Arial"/>
          <w:sz w:val="24"/>
          <w:szCs w:val="24"/>
          <w:lang w:val="en-US"/>
        </w:rPr>
        <w:t xml:space="preserve">, being one of </w:t>
      </w:r>
      <w:r>
        <w:rPr>
          <w:rFonts w:ascii="Arial" w:hAnsi="Arial" w:cs="Arial"/>
          <w:sz w:val="24"/>
          <w:szCs w:val="24"/>
          <w:lang w:val="en-US"/>
        </w:rPr>
        <w:t>the accounts</w:t>
      </w:r>
      <w:r w:rsidR="00B92AC3">
        <w:rPr>
          <w:rFonts w:ascii="Arial" w:hAnsi="Arial" w:cs="Arial"/>
          <w:sz w:val="24"/>
          <w:szCs w:val="24"/>
          <w:lang w:val="en-US"/>
        </w:rPr>
        <w:t xml:space="preserve"> central to </w:t>
      </w:r>
      <w:r>
        <w:rPr>
          <w:rFonts w:ascii="Arial" w:hAnsi="Arial" w:cs="Arial"/>
          <w:sz w:val="24"/>
          <w:szCs w:val="24"/>
          <w:lang w:val="en-US"/>
        </w:rPr>
        <w:t>the main</w:t>
      </w:r>
      <w:r w:rsidR="00B92AC3">
        <w:rPr>
          <w:rFonts w:ascii="Arial" w:hAnsi="Arial" w:cs="Arial"/>
          <w:sz w:val="24"/>
          <w:szCs w:val="24"/>
          <w:lang w:val="en-US"/>
        </w:rPr>
        <w:t xml:space="preserve"> claim.  This</w:t>
      </w:r>
      <w:r w:rsidR="00D631E7">
        <w:rPr>
          <w:rFonts w:ascii="Arial" w:hAnsi="Arial" w:cs="Arial"/>
          <w:sz w:val="24"/>
          <w:szCs w:val="24"/>
          <w:lang w:val="en-US"/>
        </w:rPr>
        <w:t xml:space="preserve"> allegation</w:t>
      </w:r>
      <w:r w:rsidR="00B92AC3">
        <w:rPr>
          <w:rFonts w:ascii="Arial" w:hAnsi="Arial" w:cs="Arial"/>
          <w:sz w:val="24"/>
          <w:szCs w:val="24"/>
          <w:lang w:val="en-US"/>
        </w:rPr>
        <w:t xml:space="preserve"> is denied by the plaintiff. There is evidence showing that </w:t>
      </w:r>
      <w:r w:rsidR="00D631E7">
        <w:rPr>
          <w:rFonts w:ascii="Arial" w:hAnsi="Arial" w:cs="Arial"/>
          <w:sz w:val="24"/>
          <w:szCs w:val="24"/>
          <w:lang w:val="en-US"/>
        </w:rPr>
        <w:t xml:space="preserve">all these </w:t>
      </w:r>
      <w:r w:rsidR="00B92AC3">
        <w:rPr>
          <w:rFonts w:ascii="Arial" w:hAnsi="Arial" w:cs="Arial"/>
          <w:sz w:val="24"/>
          <w:szCs w:val="24"/>
          <w:lang w:val="en-US"/>
        </w:rPr>
        <w:t xml:space="preserve">accounts are closed and </w:t>
      </w:r>
      <w:r w:rsidR="00D631E7">
        <w:rPr>
          <w:rFonts w:ascii="Arial" w:hAnsi="Arial" w:cs="Arial"/>
          <w:sz w:val="24"/>
          <w:szCs w:val="24"/>
          <w:lang w:val="en-US"/>
        </w:rPr>
        <w:t xml:space="preserve">three of them </w:t>
      </w:r>
      <w:r w:rsidR="00B92AC3">
        <w:rPr>
          <w:rFonts w:ascii="Arial" w:hAnsi="Arial" w:cs="Arial"/>
          <w:sz w:val="24"/>
          <w:szCs w:val="24"/>
          <w:lang w:val="en-US"/>
        </w:rPr>
        <w:t>have zero balance while the fourth one is no longer available on the records of the plaintiff</w:t>
      </w:r>
      <w:r w:rsidR="00D631E7">
        <w:rPr>
          <w:rFonts w:ascii="Arial" w:hAnsi="Arial" w:cs="Arial"/>
          <w:sz w:val="24"/>
          <w:szCs w:val="24"/>
          <w:lang w:val="en-US"/>
        </w:rPr>
        <w:t xml:space="preserve">. </w:t>
      </w:r>
    </w:p>
    <w:p w:rsidR="00B92AC3" w:rsidRDefault="00B92AC3" w:rsidP="00F96B5D">
      <w:pPr>
        <w:spacing w:after="0" w:line="360" w:lineRule="auto"/>
        <w:ind w:left="709" w:hanging="709"/>
        <w:jc w:val="both"/>
        <w:rPr>
          <w:rFonts w:ascii="Arial" w:hAnsi="Arial" w:cs="Arial"/>
          <w:sz w:val="24"/>
          <w:szCs w:val="24"/>
          <w:lang w:val="en-US"/>
        </w:rPr>
      </w:pPr>
    </w:p>
    <w:p w:rsidR="00B0110F" w:rsidRPr="00F76B55" w:rsidRDefault="00F76B55" w:rsidP="00F96B5D">
      <w:pPr>
        <w:spacing w:after="0" w:line="360" w:lineRule="auto"/>
        <w:ind w:left="709" w:hanging="709"/>
        <w:jc w:val="both"/>
        <w:rPr>
          <w:rFonts w:ascii="Arial" w:hAnsi="Arial" w:cs="Arial"/>
          <w:sz w:val="24"/>
          <w:szCs w:val="24"/>
        </w:rPr>
      </w:pPr>
      <w:r w:rsidRPr="00F76B55">
        <w:rPr>
          <w:rFonts w:ascii="Arial" w:hAnsi="Arial" w:cs="Arial"/>
          <w:sz w:val="24"/>
          <w:szCs w:val="24"/>
        </w:rPr>
        <w:t xml:space="preserve">[12] </w:t>
      </w:r>
      <w:r w:rsidRPr="00F76B55">
        <w:rPr>
          <w:rFonts w:ascii="Arial" w:hAnsi="Arial" w:cs="Arial"/>
          <w:sz w:val="24"/>
          <w:szCs w:val="24"/>
        </w:rPr>
        <w:tab/>
        <w:t>The</w:t>
      </w:r>
      <w:r w:rsidR="00D631E7" w:rsidRPr="00F76B55">
        <w:rPr>
          <w:rFonts w:ascii="Arial" w:hAnsi="Arial" w:cs="Arial"/>
          <w:sz w:val="24"/>
          <w:szCs w:val="24"/>
        </w:rPr>
        <w:t xml:space="preserve"> correspondence from the forensic auditor shows that these accounts have not been </w:t>
      </w:r>
      <w:r w:rsidR="00AB37F5" w:rsidRPr="00F76B55">
        <w:rPr>
          <w:rFonts w:ascii="Arial" w:hAnsi="Arial" w:cs="Arial"/>
          <w:sz w:val="24"/>
          <w:szCs w:val="24"/>
        </w:rPr>
        <w:t xml:space="preserve">audited. It is not clear how interest can continue to be debited for accounts that are already closed. There are closing statements showing that the defendants do not owe plaintiff a cent in respect of these accounts. </w:t>
      </w:r>
      <w:r w:rsidR="00EC336C">
        <w:rPr>
          <w:rFonts w:ascii="Arial" w:hAnsi="Arial" w:cs="Arial"/>
          <w:sz w:val="24"/>
          <w:szCs w:val="24"/>
        </w:rPr>
        <w:t xml:space="preserve">There would be no ongoing entries in these accounts if they are closed. </w:t>
      </w:r>
    </w:p>
    <w:p w:rsidR="00AB37F5" w:rsidRPr="00F76B55" w:rsidRDefault="00AB37F5" w:rsidP="00F96B5D">
      <w:pPr>
        <w:spacing w:after="0" w:line="360" w:lineRule="auto"/>
        <w:ind w:left="709" w:hanging="709"/>
        <w:jc w:val="both"/>
        <w:rPr>
          <w:rFonts w:ascii="Arial" w:hAnsi="Arial" w:cs="Arial"/>
          <w:sz w:val="24"/>
          <w:szCs w:val="24"/>
        </w:rPr>
      </w:pPr>
    </w:p>
    <w:p w:rsidR="006F10FB" w:rsidRPr="00F76B55" w:rsidRDefault="00F76B55" w:rsidP="00F96B5D">
      <w:pPr>
        <w:spacing w:after="0" w:line="360" w:lineRule="auto"/>
        <w:ind w:left="709" w:hanging="709"/>
        <w:jc w:val="both"/>
        <w:rPr>
          <w:rFonts w:ascii="Arial" w:hAnsi="Arial" w:cs="Arial"/>
          <w:sz w:val="24"/>
          <w:szCs w:val="24"/>
        </w:rPr>
      </w:pPr>
      <w:r w:rsidRPr="00F76B55">
        <w:rPr>
          <w:rFonts w:ascii="Arial" w:hAnsi="Arial" w:cs="Arial"/>
          <w:sz w:val="24"/>
          <w:szCs w:val="24"/>
        </w:rPr>
        <w:t>[13</w:t>
      </w:r>
      <w:r w:rsidR="000D135A" w:rsidRPr="00F76B55">
        <w:rPr>
          <w:rFonts w:ascii="Arial" w:hAnsi="Arial" w:cs="Arial"/>
          <w:sz w:val="24"/>
          <w:szCs w:val="24"/>
        </w:rPr>
        <w:t xml:space="preserve">] </w:t>
      </w:r>
      <w:r w:rsidR="00EC336C">
        <w:rPr>
          <w:rFonts w:ascii="Arial" w:hAnsi="Arial" w:cs="Arial"/>
          <w:sz w:val="24"/>
          <w:szCs w:val="24"/>
        </w:rPr>
        <w:t xml:space="preserve">  The correspondence exchanged between the </w:t>
      </w:r>
      <w:r w:rsidR="009941E1">
        <w:rPr>
          <w:rFonts w:ascii="Arial" w:hAnsi="Arial" w:cs="Arial"/>
          <w:sz w:val="24"/>
          <w:szCs w:val="24"/>
        </w:rPr>
        <w:t>parties indicates</w:t>
      </w:r>
      <w:r w:rsidR="00FF3276" w:rsidRPr="00F76B55">
        <w:rPr>
          <w:rFonts w:ascii="Arial" w:hAnsi="Arial" w:cs="Arial"/>
          <w:sz w:val="24"/>
          <w:szCs w:val="24"/>
        </w:rPr>
        <w:t xml:space="preserve"> that the defendants require inspection of the documents relating to the aforementioned account to investigate and formulate their claim in reconvention against the plaintiff. They are not required for the purpose of pleading because they would </w:t>
      </w:r>
      <w:r w:rsidR="00FF3276" w:rsidRPr="00F76B55">
        <w:rPr>
          <w:rFonts w:ascii="Arial" w:hAnsi="Arial" w:cs="Arial"/>
          <w:sz w:val="24"/>
          <w:szCs w:val="24"/>
        </w:rPr>
        <w:lastRenderedPageBreak/>
        <w:t xml:space="preserve">be able to file their plea and formulate their defence on the information at their disposal. </w:t>
      </w:r>
    </w:p>
    <w:p w:rsidR="00F76B55" w:rsidRDefault="00F76B55" w:rsidP="00F96B5D">
      <w:pPr>
        <w:spacing w:after="0" w:line="360" w:lineRule="auto"/>
        <w:ind w:left="709" w:hanging="709"/>
        <w:jc w:val="both"/>
        <w:rPr>
          <w:rFonts w:ascii="Arial" w:hAnsi="Arial" w:cs="Arial"/>
          <w:sz w:val="28"/>
          <w:szCs w:val="28"/>
        </w:rPr>
      </w:pPr>
    </w:p>
    <w:p w:rsidR="00F76B55" w:rsidRPr="00F76B55" w:rsidRDefault="00F76B55" w:rsidP="00F96B5D">
      <w:pPr>
        <w:spacing w:after="0" w:line="360" w:lineRule="auto"/>
        <w:ind w:left="709" w:hanging="709"/>
        <w:jc w:val="both"/>
        <w:rPr>
          <w:rFonts w:ascii="Arial" w:hAnsi="Arial" w:cs="Arial"/>
          <w:sz w:val="24"/>
          <w:szCs w:val="24"/>
        </w:rPr>
      </w:pPr>
      <w:r w:rsidRPr="00F72EE8">
        <w:rPr>
          <w:rFonts w:ascii="Arial" w:hAnsi="Arial" w:cs="Arial"/>
          <w:sz w:val="24"/>
          <w:szCs w:val="24"/>
        </w:rPr>
        <w:t>[14]</w:t>
      </w:r>
      <w:r>
        <w:rPr>
          <w:rFonts w:ascii="Arial" w:hAnsi="Arial" w:cs="Arial"/>
          <w:sz w:val="28"/>
          <w:szCs w:val="28"/>
        </w:rPr>
        <w:t xml:space="preserve"> </w:t>
      </w:r>
      <w:r w:rsidR="00F72EE8">
        <w:rPr>
          <w:rFonts w:ascii="Arial" w:hAnsi="Arial" w:cs="Arial"/>
          <w:sz w:val="28"/>
          <w:szCs w:val="28"/>
        </w:rPr>
        <w:tab/>
      </w:r>
      <w:r>
        <w:rPr>
          <w:rFonts w:ascii="Arial" w:hAnsi="Arial" w:cs="Arial"/>
          <w:sz w:val="28"/>
          <w:szCs w:val="28"/>
        </w:rPr>
        <w:t>As</w:t>
      </w:r>
      <w:r w:rsidR="00FF3276" w:rsidRPr="00F76B55">
        <w:rPr>
          <w:rFonts w:ascii="Arial" w:hAnsi="Arial" w:cs="Arial"/>
          <w:sz w:val="24"/>
          <w:szCs w:val="24"/>
        </w:rPr>
        <w:t xml:space="preserve"> stated in </w:t>
      </w:r>
      <w:r w:rsidRPr="00F76B55">
        <w:rPr>
          <w:rFonts w:ascii="Arial" w:hAnsi="Arial" w:cs="Arial"/>
          <w:b/>
          <w:sz w:val="24"/>
          <w:szCs w:val="24"/>
        </w:rPr>
        <w:t>Quayside</w:t>
      </w:r>
      <w:r w:rsidRPr="00F76B55">
        <w:rPr>
          <w:rFonts w:ascii="Arial" w:hAnsi="Arial" w:cs="Arial"/>
          <w:sz w:val="24"/>
          <w:szCs w:val="24"/>
        </w:rPr>
        <w:t xml:space="preserve"> Rule</w:t>
      </w:r>
      <w:r w:rsidR="00FF3276" w:rsidRPr="00F76B55">
        <w:rPr>
          <w:rFonts w:ascii="Arial" w:hAnsi="Arial" w:cs="Arial"/>
          <w:sz w:val="24"/>
          <w:szCs w:val="24"/>
        </w:rPr>
        <w:t xml:space="preserve"> 35(14) was not designed to give plaintiff in </w:t>
      </w:r>
      <w:r w:rsidR="006F10FB" w:rsidRPr="00F76B55">
        <w:rPr>
          <w:rFonts w:ascii="Arial" w:hAnsi="Arial" w:cs="Arial"/>
          <w:sz w:val="24"/>
          <w:szCs w:val="24"/>
        </w:rPr>
        <w:t xml:space="preserve">reconvention freedom to ask for production of documents to establish whether he/she </w:t>
      </w:r>
      <w:r w:rsidR="0002736F" w:rsidRPr="00F76B55">
        <w:rPr>
          <w:rFonts w:ascii="Arial" w:hAnsi="Arial" w:cs="Arial"/>
          <w:sz w:val="24"/>
          <w:szCs w:val="24"/>
        </w:rPr>
        <w:t>has gro</w:t>
      </w:r>
      <w:r w:rsidR="009941E1">
        <w:rPr>
          <w:rFonts w:ascii="Arial" w:hAnsi="Arial" w:cs="Arial"/>
          <w:sz w:val="24"/>
          <w:szCs w:val="24"/>
        </w:rPr>
        <w:t>unds for a counterclaim</w:t>
      </w:r>
      <w:r w:rsidR="0002736F" w:rsidRPr="00F76B55">
        <w:rPr>
          <w:rFonts w:ascii="Arial" w:hAnsi="Arial" w:cs="Arial"/>
          <w:sz w:val="24"/>
          <w:szCs w:val="24"/>
        </w:rPr>
        <w:t>. The defendants require inspection of documents to ascertain whether they have a claim in respect of account numbers that are not related to these proceedings. Not</w:t>
      </w:r>
      <w:r w:rsidR="009941E1">
        <w:rPr>
          <w:rFonts w:ascii="Arial" w:hAnsi="Arial" w:cs="Arial"/>
          <w:sz w:val="24"/>
          <w:szCs w:val="24"/>
        </w:rPr>
        <w:t xml:space="preserve">hing precludes the defendants from instituting </w:t>
      </w:r>
      <w:r w:rsidR="0002736F" w:rsidRPr="00F76B55">
        <w:rPr>
          <w:rFonts w:ascii="Arial" w:hAnsi="Arial" w:cs="Arial"/>
          <w:sz w:val="24"/>
          <w:szCs w:val="24"/>
        </w:rPr>
        <w:t xml:space="preserve">a </w:t>
      </w:r>
      <w:r w:rsidRPr="00F76B55">
        <w:rPr>
          <w:rFonts w:ascii="Arial" w:hAnsi="Arial" w:cs="Arial"/>
          <w:sz w:val="24"/>
          <w:szCs w:val="24"/>
        </w:rPr>
        <w:t>separate action</w:t>
      </w:r>
      <w:r w:rsidR="009941E1">
        <w:rPr>
          <w:rFonts w:ascii="Arial" w:hAnsi="Arial" w:cs="Arial"/>
          <w:sz w:val="24"/>
          <w:szCs w:val="24"/>
        </w:rPr>
        <w:t xml:space="preserve"> against the plaintiff</w:t>
      </w:r>
      <w:r w:rsidR="0002736F" w:rsidRPr="00F76B55">
        <w:rPr>
          <w:rFonts w:ascii="Arial" w:hAnsi="Arial" w:cs="Arial"/>
          <w:sz w:val="24"/>
          <w:szCs w:val="24"/>
        </w:rPr>
        <w:t xml:space="preserve"> outside of these proceedings.</w:t>
      </w:r>
      <w:r w:rsidR="009941E1">
        <w:rPr>
          <w:rFonts w:ascii="Arial" w:hAnsi="Arial" w:cs="Arial"/>
          <w:sz w:val="24"/>
          <w:szCs w:val="24"/>
        </w:rPr>
        <w:t xml:space="preserve"> Litigation in this matter should not be delayed by demanding access to irrelevant information in a hope to strengthen the defendant’s case.  </w:t>
      </w:r>
    </w:p>
    <w:p w:rsidR="000D135A" w:rsidRDefault="0002736F" w:rsidP="00F96B5D">
      <w:pPr>
        <w:spacing w:after="0" w:line="360" w:lineRule="auto"/>
        <w:ind w:left="709" w:hanging="709"/>
        <w:jc w:val="both"/>
        <w:rPr>
          <w:rFonts w:ascii="Arial" w:hAnsi="Arial" w:cs="Arial"/>
          <w:sz w:val="28"/>
          <w:szCs w:val="28"/>
        </w:rPr>
      </w:pPr>
      <w:r>
        <w:rPr>
          <w:rFonts w:ascii="Arial" w:hAnsi="Arial" w:cs="Arial"/>
          <w:sz w:val="28"/>
          <w:szCs w:val="28"/>
        </w:rPr>
        <w:t xml:space="preserve"> </w:t>
      </w:r>
    </w:p>
    <w:p w:rsidR="003C37BF" w:rsidRPr="00F76B55" w:rsidRDefault="00F76B55" w:rsidP="00F96B5D">
      <w:pPr>
        <w:spacing w:after="0" w:line="360" w:lineRule="auto"/>
        <w:ind w:left="709" w:hanging="709"/>
        <w:jc w:val="both"/>
        <w:rPr>
          <w:rFonts w:ascii="Arial" w:hAnsi="Arial" w:cs="Arial"/>
          <w:sz w:val="24"/>
          <w:szCs w:val="24"/>
        </w:rPr>
      </w:pPr>
      <w:r w:rsidRPr="00F72EE8">
        <w:rPr>
          <w:rFonts w:ascii="Arial" w:hAnsi="Arial" w:cs="Arial"/>
          <w:sz w:val="24"/>
          <w:szCs w:val="24"/>
        </w:rPr>
        <w:t>[15</w:t>
      </w:r>
      <w:r w:rsidR="003C37BF" w:rsidRPr="00F72EE8">
        <w:rPr>
          <w:rFonts w:ascii="Arial" w:hAnsi="Arial" w:cs="Arial"/>
          <w:sz w:val="24"/>
          <w:szCs w:val="24"/>
        </w:rPr>
        <w:t>]</w:t>
      </w:r>
      <w:r w:rsidR="003C37BF">
        <w:rPr>
          <w:rFonts w:ascii="Arial" w:hAnsi="Arial" w:cs="Arial"/>
          <w:sz w:val="28"/>
          <w:szCs w:val="28"/>
        </w:rPr>
        <w:t xml:space="preserve"> </w:t>
      </w:r>
      <w:r>
        <w:rPr>
          <w:rFonts w:ascii="Arial" w:hAnsi="Arial" w:cs="Arial"/>
          <w:sz w:val="28"/>
          <w:szCs w:val="28"/>
        </w:rPr>
        <w:t xml:space="preserve">  </w:t>
      </w:r>
      <w:r w:rsidR="0002736F" w:rsidRPr="00F76B55">
        <w:rPr>
          <w:rFonts w:ascii="Arial" w:hAnsi="Arial" w:cs="Arial"/>
          <w:sz w:val="24"/>
          <w:szCs w:val="24"/>
        </w:rPr>
        <w:t xml:space="preserve">The defendants failed to meet the requirements for </w:t>
      </w:r>
      <w:r w:rsidR="009941E1">
        <w:rPr>
          <w:rFonts w:ascii="Arial" w:hAnsi="Arial" w:cs="Arial"/>
          <w:sz w:val="24"/>
          <w:szCs w:val="24"/>
        </w:rPr>
        <w:t>the relief they seek</w:t>
      </w:r>
      <w:r w:rsidR="0002736F" w:rsidRPr="00F76B55">
        <w:rPr>
          <w:rFonts w:ascii="Arial" w:hAnsi="Arial" w:cs="Arial"/>
          <w:sz w:val="24"/>
          <w:szCs w:val="24"/>
        </w:rPr>
        <w:t xml:space="preserve">. Accordingly, the application must fail.  </w:t>
      </w:r>
      <w:r w:rsidR="001F01C0" w:rsidRPr="00F76B55">
        <w:rPr>
          <w:rFonts w:ascii="Arial" w:hAnsi="Arial" w:cs="Arial"/>
          <w:sz w:val="24"/>
          <w:szCs w:val="24"/>
        </w:rPr>
        <w:t xml:space="preserve">There is no reason why costs must not follow the event. Plaintiff employed two counsel. The matter is not so complicated that it required employment of two counsel. </w:t>
      </w:r>
    </w:p>
    <w:p w:rsidR="001F01C0" w:rsidRDefault="001F01C0" w:rsidP="0002736F">
      <w:pPr>
        <w:autoSpaceDE w:val="0"/>
        <w:autoSpaceDN w:val="0"/>
        <w:adjustRightInd w:val="0"/>
        <w:spacing w:after="0" w:line="240" w:lineRule="auto"/>
        <w:ind w:left="709" w:hanging="709"/>
        <w:rPr>
          <w:rFonts w:ascii="Arial" w:hAnsi="Arial" w:cs="Arial"/>
          <w:sz w:val="28"/>
          <w:szCs w:val="28"/>
        </w:rPr>
      </w:pPr>
    </w:p>
    <w:p w:rsidR="00555FDF" w:rsidRDefault="00F76B55" w:rsidP="001F01C0">
      <w:pPr>
        <w:autoSpaceDE w:val="0"/>
        <w:autoSpaceDN w:val="0"/>
        <w:adjustRightInd w:val="0"/>
        <w:spacing w:after="0" w:line="240" w:lineRule="auto"/>
        <w:ind w:left="709" w:hanging="709"/>
        <w:rPr>
          <w:rFonts w:ascii="Arial" w:hAnsi="Arial" w:cs="Arial"/>
          <w:sz w:val="24"/>
          <w:szCs w:val="24"/>
        </w:rPr>
      </w:pPr>
      <w:r w:rsidRPr="00F72EE8">
        <w:rPr>
          <w:rFonts w:ascii="Arial" w:hAnsi="Arial" w:cs="Arial"/>
          <w:sz w:val="24"/>
          <w:szCs w:val="24"/>
        </w:rPr>
        <w:t>[16</w:t>
      </w:r>
      <w:r w:rsidR="003C37BF" w:rsidRPr="00F72EE8">
        <w:rPr>
          <w:rFonts w:ascii="Arial" w:hAnsi="Arial" w:cs="Arial"/>
          <w:sz w:val="24"/>
          <w:szCs w:val="24"/>
        </w:rPr>
        <w:t>]</w:t>
      </w:r>
      <w:r w:rsidR="003C37BF">
        <w:rPr>
          <w:rFonts w:ascii="Arial" w:hAnsi="Arial" w:cs="Arial"/>
          <w:sz w:val="28"/>
          <w:szCs w:val="28"/>
        </w:rPr>
        <w:t xml:space="preserve"> </w:t>
      </w:r>
      <w:r w:rsidR="00824E42">
        <w:rPr>
          <w:rFonts w:ascii="Arial" w:hAnsi="Arial" w:cs="Arial"/>
          <w:sz w:val="28"/>
          <w:szCs w:val="28"/>
        </w:rPr>
        <w:t xml:space="preserve"> </w:t>
      </w:r>
      <w:r w:rsidR="00D15F30">
        <w:rPr>
          <w:rFonts w:ascii="Arial" w:hAnsi="Arial" w:cs="Arial"/>
          <w:sz w:val="28"/>
          <w:szCs w:val="28"/>
        </w:rPr>
        <w:tab/>
      </w:r>
      <w:r w:rsidR="0088098E">
        <w:rPr>
          <w:rFonts w:ascii="Arial" w:hAnsi="Arial" w:cs="Arial"/>
          <w:sz w:val="24"/>
          <w:szCs w:val="24"/>
        </w:rPr>
        <w:tab/>
      </w:r>
      <w:r w:rsidR="00555FDF" w:rsidRPr="0088098E">
        <w:rPr>
          <w:rFonts w:ascii="Arial" w:hAnsi="Arial" w:cs="Arial"/>
          <w:sz w:val="24"/>
          <w:szCs w:val="24"/>
        </w:rPr>
        <w:t>I make the following order:</w:t>
      </w:r>
    </w:p>
    <w:p w:rsidR="00A66EF9" w:rsidRPr="0088098E" w:rsidRDefault="00A66EF9" w:rsidP="00B627B4">
      <w:pPr>
        <w:spacing w:after="0" w:line="360" w:lineRule="auto"/>
        <w:ind w:left="720" w:hanging="720"/>
        <w:jc w:val="both"/>
        <w:rPr>
          <w:rFonts w:ascii="Arial" w:hAnsi="Arial" w:cs="Arial"/>
          <w:sz w:val="24"/>
          <w:szCs w:val="24"/>
        </w:rPr>
      </w:pPr>
    </w:p>
    <w:p w:rsidR="00555FDF" w:rsidRPr="0088098E" w:rsidRDefault="00555FDF" w:rsidP="00B84B62">
      <w:pPr>
        <w:spacing w:after="0" w:line="360" w:lineRule="auto"/>
        <w:jc w:val="both"/>
        <w:rPr>
          <w:rFonts w:ascii="Arial" w:hAnsi="Arial" w:cs="Arial"/>
          <w:sz w:val="24"/>
          <w:szCs w:val="24"/>
        </w:rPr>
      </w:pPr>
    </w:p>
    <w:p w:rsidR="003705DC" w:rsidRPr="003705DC" w:rsidRDefault="001F01C0" w:rsidP="003705DC">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The defendants’ application in terms of Rule 35(7) is dismissed with costs. </w:t>
      </w:r>
    </w:p>
    <w:p w:rsidR="003705DC" w:rsidRPr="003705DC" w:rsidRDefault="001F01C0" w:rsidP="003705DC">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 xml:space="preserve">Costs to include those of employing one counsel. </w:t>
      </w:r>
    </w:p>
    <w:p w:rsidR="004D5731" w:rsidRDefault="00555FDF" w:rsidP="00A66EF9">
      <w:pPr>
        <w:spacing w:after="0" w:line="360" w:lineRule="auto"/>
        <w:ind w:left="1440" w:hanging="720"/>
        <w:jc w:val="both"/>
        <w:rPr>
          <w:rFonts w:ascii="Arial" w:hAnsi="Arial" w:cs="Arial"/>
          <w:sz w:val="24"/>
          <w:szCs w:val="24"/>
        </w:rPr>
      </w:pPr>
      <w:r w:rsidRPr="0088098E">
        <w:rPr>
          <w:rFonts w:ascii="Arial" w:hAnsi="Arial" w:cs="Arial"/>
          <w:sz w:val="24"/>
          <w:szCs w:val="24"/>
        </w:rPr>
        <w:t xml:space="preserve"> </w:t>
      </w:r>
    </w:p>
    <w:p w:rsidR="004D5731" w:rsidRDefault="004D5731" w:rsidP="00A66EF9">
      <w:pPr>
        <w:spacing w:after="0" w:line="360" w:lineRule="auto"/>
        <w:ind w:left="1440" w:hanging="720"/>
        <w:jc w:val="both"/>
        <w:rPr>
          <w:rFonts w:ascii="Arial" w:hAnsi="Arial" w:cs="Arial"/>
          <w:sz w:val="24"/>
          <w:szCs w:val="24"/>
        </w:rPr>
      </w:pPr>
    </w:p>
    <w:p w:rsidR="00E103A9" w:rsidRPr="0088098E" w:rsidRDefault="00E103A9" w:rsidP="00A66EF9">
      <w:pPr>
        <w:spacing w:after="0" w:line="360" w:lineRule="auto"/>
        <w:ind w:left="1440" w:hanging="720"/>
        <w:jc w:val="both"/>
        <w:rPr>
          <w:rFonts w:ascii="Arial" w:hAnsi="Arial" w:cs="Arial"/>
          <w:sz w:val="24"/>
          <w:szCs w:val="24"/>
        </w:rPr>
      </w:pPr>
    </w:p>
    <w:p w:rsidR="00D30D55"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D30D55" w:rsidRDefault="00D34925"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N</w:t>
      </w:r>
      <w:r w:rsidR="00D30D55">
        <w:rPr>
          <w:rFonts w:ascii="Arial" w:hAnsi="Arial"/>
          <w:b/>
          <w:bCs/>
          <w:sz w:val="24"/>
          <w:szCs w:val="24"/>
        </w:rPr>
        <w:t>.</w:t>
      </w:r>
      <w:r>
        <w:rPr>
          <w:rFonts w:ascii="Arial" w:hAnsi="Arial"/>
          <w:b/>
          <w:bCs/>
          <w:sz w:val="24"/>
          <w:szCs w:val="24"/>
        </w:rPr>
        <w:t>M</w:t>
      </w:r>
      <w:r w:rsidR="00D30D55">
        <w:rPr>
          <w:rFonts w:ascii="Arial" w:hAnsi="Arial"/>
          <w:b/>
          <w:bCs/>
          <w:sz w:val="24"/>
          <w:szCs w:val="24"/>
        </w:rPr>
        <w:t>. M</w:t>
      </w:r>
      <w:r>
        <w:rPr>
          <w:rFonts w:ascii="Arial" w:hAnsi="Arial"/>
          <w:b/>
          <w:bCs/>
          <w:sz w:val="24"/>
          <w:szCs w:val="24"/>
        </w:rPr>
        <w:t>BHELE</w:t>
      </w:r>
      <w:r w:rsidR="00D30D55">
        <w:rPr>
          <w:rFonts w:ascii="Arial" w:hAnsi="Arial"/>
          <w:b/>
          <w:bCs/>
          <w:sz w:val="24"/>
          <w:szCs w:val="24"/>
        </w:rPr>
        <w:t xml:space="preserve">, </w:t>
      </w:r>
      <w:r w:rsidR="001F01C0">
        <w:rPr>
          <w:rFonts w:ascii="Arial" w:hAnsi="Arial"/>
          <w:b/>
          <w:bCs/>
          <w:sz w:val="24"/>
          <w:szCs w:val="24"/>
        </w:rPr>
        <w:t>D</w:t>
      </w:r>
      <w:r w:rsidR="00D30D55">
        <w:rPr>
          <w:rFonts w:ascii="Arial" w:hAnsi="Arial"/>
          <w:b/>
          <w:bCs/>
          <w:sz w:val="24"/>
          <w:szCs w:val="24"/>
        </w:rPr>
        <w:t>JP</w:t>
      </w:r>
    </w:p>
    <w:p w:rsidR="00D30D55" w:rsidRDefault="00D30D55" w:rsidP="00D30D55">
      <w:pPr>
        <w:rPr>
          <w:rFonts w:ascii="Arial" w:hAnsi="Arial" w:cs="Arial"/>
          <w:sz w:val="24"/>
          <w:szCs w:val="24"/>
        </w:rPr>
      </w:pPr>
    </w:p>
    <w:p w:rsidR="001913D9" w:rsidRDefault="001913D9" w:rsidP="001913D9">
      <w:pPr>
        <w:spacing w:after="0" w:line="360" w:lineRule="auto"/>
        <w:ind w:left="709" w:hanging="709"/>
        <w:jc w:val="both"/>
        <w:rPr>
          <w:rFonts w:ascii="Arial" w:hAnsi="Arial" w:cs="Arial"/>
          <w:sz w:val="24"/>
          <w:szCs w:val="24"/>
        </w:rPr>
      </w:pPr>
    </w:p>
    <w:p w:rsidR="00D30D55" w:rsidRPr="00EC0D3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EC0D35">
        <w:rPr>
          <w:rFonts w:ascii="Arial" w:hAnsi="Arial" w:cs="Arial"/>
          <w:b/>
          <w:bCs/>
          <w:sz w:val="24"/>
          <w:szCs w:val="24"/>
        </w:rPr>
        <w:t>Appearances:</w:t>
      </w:r>
    </w:p>
    <w:p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D34925">
        <w:rPr>
          <w:rFonts w:ascii="Arial" w:hAnsi="Arial" w:cs="Arial"/>
          <w:sz w:val="24"/>
          <w:szCs w:val="24"/>
        </w:rPr>
        <w:t>Plaintiff/Respondent</w:t>
      </w:r>
      <w:r w:rsidRPr="00EC0D35">
        <w:rPr>
          <w:rFonts w:ascii="Arial" w:hAnsi="Arial" w:cs="Arial"/>
          <w:sz w:val="24"/>
          <w:szCs w:val="24"/>
        </w:rPr>
        <w:t>:</w:t>
      </w:r>
      <w:r w:rsidRPr="00EC0D35">
        <w:rPr>
          <w:rFonts w:ascii="Arial" w:hAnsi="Arial" w:cs="Arial"/>
          <w:sz w:val="24"/>
          <w:szCs w:val="24"/>
        </w:rPr>
        <w:tab/>
      </w:r>
      <w:r w:rsidR="00C152C3">
        <w:rPr>
          <w:rFonts w:ascii="Arial" w:hAnsi="Arial" w:cs="Arial"/>
          <w:sz w:val="24"/>
          <w:szCs w:val="24"/>
        </w:rPr>
        <w:t>Adv</w:t>
      </w:r>
      <w:r w:rsidR="008601D9">
        <w:rPr>
          <w:rFonts w:ascii="Arial" w:hAnsi="Arial" w:cs="Arial"/>
          <w:sz w:val="24"/>
          <w:szCs w:val="24"/>
        </w:rPr>
        <w:t>.</w:t>
      </w:r>
      <w:r w:rsidR="00C152C3">
        <w:rPr>
          <w:rFonts w:ascii="Arial" w:hAnsi="Arial" w:cs="Arial"/>
          <w:sz w:val="24"/>
          <w:szCs w:val="24"/>
        </w:rPr>
        <w:t xml:space="preserve"> </w:t>
      </w:r>
      <w:r w:rsidR="001F01C0">
        <w:rPr>
          <w:rFonts w:ascii="Arial" w:hAnsi="Arial" w:cs="Arial"/>
          <w:sz w:val="24"/>
          <w:szCs w:val="24"/>
        </w:rPr>
        <w:t xml:space="preserve">Paul Zietsman SC </w:t>
      </w:r>
    </w:p>
    <w:p w:rsidR="001F01C0" w:rsidRPr="00EC0D35" w:rsidRDefault="001F01C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 xml:space="preserve">                                                      Adv. Els</w:t>
      </w:r>
    </w:p>
    <w:p w:rsidR="00D30D55" w:rsidRDefault="001F01C0"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2892" w:firstLine="708"/>
        <w:jc w:val="both"/>
        <w:rPr>
          <w:rFonts w:ascii="Arial" w:hAnsi="Arial" w:cs="Arial"/>
          <w:sz w:val="24"/>
          <w:szCs w:val="24"/>
        </w:rPr>
      </w:pPr>
      <w:r>
        <w:rPr>
          <w:rFonts w:ascii="Arial" w:hAnsi="Arial" w:cs="Arial"/>
          <w:sz w:val="24"/>
          <w:szCs w:val="24"/>
        </w:rPr>
        <w:t>Blair Attorneys</w:t>
      </w:r>
      <w:r w:rsidR="00D30D55" w:rsidRPr="00EC0D35">
        <w:rPr>
          <w:rFonts w:ascii="Arial" w:hAnsi="Arial" w:cs="Arial"/>
          <w:sz w:val="24"/>
          <w:szCs w:val="24"/>
        </w:rPr>
        <w:tab/>
      </w:r>
    </w:p>
    <w:p w:rsidR="00D34925" w:rsidRPr="00EC0D35" w:rsidRDefault="00D34925"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2892" w:firstLine="708"/>
        <w:jc w:val="both"/>
        <w:rPr>
          <w:rFonts w:ascii="Arial" w:hAnsi="Arial" w:cs="Arial"/>
          <w:sz w:val="24"/>
          <w:szCs w:val="24"/>
        </w:rPr>
      </w:pPr>
      <w:r>
        <w:rPr>
          <w:rFonts w:ascii="Arial" w:hAnsi="Arial" w:cs="Arial"/>
          <w:sz w:val="24"/>
          <w:szCs w:val="24"/>
        </w:rPr>
        <w:lastRenderedPageBreak/>
        <w:t>Bloemfontein</w:t>
      </w:r>
    </w:p>
    <w:p w:rsidR="00D30D55" w:rsidRPr="00EC0D35" w:rsidRDefault="00D30D55" w:rsidP="00D30D55">
      <w:pPr>
        <w:pStyle w:val="BodyA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D30D55" w:rsidRPr="00EC0D3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D34925">
        <w:rPr>
          <w:rFonts w:ascii="Arial" w:hAnsi="Arial" w:cs="Arial"/>
          <w:sz w:val="24"/>
          <w:szCs w:val="24"/>
        </w:rPr>
        <w:t>Defendant/Applicant</w:t>
      </w:r>
      <w:r w:rsidRPr="00EC0D35">
        <w:rPr>
          <w:rFonts w:ascii="Arial" w:hAnsi="Arial" w:cs="Arial"/>
          <w:sz w:val="24"/>
          <w:szCs w:val="24"/>
        </w:rPr>
        <w:t>:</w:t>
      </w:r>
      <w:r w:rsidRPr="00EC0D35">
        <w:rPr>
          <w:rFonts w:ascii="Arial" w:hAnsi="Arial" w:cs="Arial"/>
          <w:sz w:val="24"/>
          <w:szCs w:val="24"/>
        </w:rPr>
        <w:tab/>
        <w:t xml:space="preserve">Adv. </w:t>
      </w:r>
      <w:r w:rsidR="001F01C0">
        <w:rPr>
          <w:rFonts w:ascii="Arial" w:hAnsi="Arial" w:cs="Arial"/>
          <w:sz w:val="24"/>
          <w:szCs w:val="24"/>
        </w:rPr>
        <w:t>PJJ Zietsman</w:t>
      </w:r>
    </w:p>
    <w:p w:rsidR="00D30D55" w:rsidRPr="00EC0D35" w:rsidRDefault="00D30D55" w:rsidP="00D34925">
      <w:pPr>
        <w:pStyle w:val="BodyAAA"/>
        <w:pBdr>
          <w:top w:val="none" w:sz="0" w:space="0" w:color="auto"/>
          <w:left w:val="none" w:sz="0" w:space="0" w:color="auto"/>
          <w:bottom w:val="none" w:sz="0" w:space="0" w:color="auto"/>
          <w:right w:val="none" w:sz="0" w:space="0" w:color="auto"/>
          <w:bar w:val="none" w:sz="0" w:color="auto"/>
        </w:pBdr>
        <w:spacing w:line="360" w:lineRule="auto"/>
        <w:ind w:left="3567" w:firstLine="33"/>
        <w:jc w:val="both"/>
        <w:rPr>
          <w:rFonts w:ascii="Arial" w:hAnsi="Arial" w:cs="Arial"/>
          <w:sz w:val="24"/>
          <w:szCs w:val="24"/>
        </w:rPr>
      </w:pPr>
      <w:r w:rsidRPr="00EC0D35">
        <w:rPr>
          <w:rFonts w:ascii="Arial" w:hAnsi="Arial" w:cs="Arial"/>
          <w:sz w:val="24"/>
          <w:szCs w:val="24"/>
        </w:rPr>
        <w:t xml:space="preserve">Instructed by </w:t>
      </w:r>
      <w:r w:rsidR="001F01C0">
        <w:rPr>
          <w:rFonts w:ascii="Arial" w:hAnsi="Arial" w:cs="Arial"/>
          <w:sz w:val="24"/>
          <w:szCs w:val="24"/>
        </w:rPr>
        <w:t>Honey Attorneys</w:t>
      </w:r>
    </w:p>
    <w:p w:rsidR="00630002" w:rsidRPr="00E103A9" w:rsidRDefault="00D30D55" w:rsidP="00E103A9">
      <w:pPr>
        <w:pStyle w:val="BodyAAA"/>
        <w:pBdr>
          <w:top w:val="none" w:sz="0" w:space="0" w:color="auto"/>
          <w:left w:val="none" w:sz="0" w:space="0" w:color="auto"/>
          <w:bottom w:val="none" w:sz="0" w:space="0" w:color="auto"/>
          <w:right w:val="none" w:sz="0" w:space="0" w:color="auto"/>
          <w:bar w:val="none" w:sz="0" w:color="auto"/>
        </w:pBdr>
        <w:spacing w:line="360" w:lineRule="auto"/>
        <w:ind w:left="3523" w:firstLine="44"/>
        <w:jc w:val="both"/>
        <w:rPr>
          <w:rFonts w:ascii="Arial" w:hAnsi="Arial" w:cs="Arial"/>
          <w:sz w:val="28"/>
          <w:szCs w:val="28"/>
        </w:rPr>
      </w:pPr>
      <w:r w:rsidRPr="00D15F30">
        <w:rPr>
          <w:rFonts w:ascii="Arial" w:hAnsi="Arial" w:cs="Arial"/>
          <w:sz w:val="28"/>
          <w:szCs w:val="28"/>
        </w:rPr>
        <w:t>Bloemfontein</w:t>
      </w:r>
    </w:p>
    <w:sectPr w:rsidR="00630002" w:rsidRPr="00E103A9"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D8" w:rsidRDefault="00D626D8" w:rsidP="00454B2B">
      <w:pPr>
        <w:spacing w:after="0" w:line="240" w:lineRule="auto"/>
      </w:pPr>
      <w:r>
        <w:separator/>
      </w:r>
    </w:p>
  </w:endnote>
  <w:endnote w:type="continuationSeparator" w:id="0">
    <w:p w:rsidR="00D626D8" w:rsidRDefault="00D626D8"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D8" w:rsidRDefault="00D626D8" w:rsidP="00454B2B">
      <w:pPr>
        <w:spacing w:after="0" w:line="240" w:lineRule="auto"/>
      </w:pPr>
      <w:r>
        <w:separator/>
      </w:r>
    </w:p>
  </w:footnote>
  <w:footnote w:type="continuationSeparator" w:id="0">
    <w:p w:rsidR="00D626D8" w:rsidRDefault="00D626D8" w:rsidP="00454B2B">
      <w:pPr>
        <w:spacing w:after="0" w:line="240" w:lineRule="auto"/>
      </w:pPr>
      <w:r>
        <w:continuationSeparator/>
      </w:r>
    </w:p>
  </w:footnote>
  <w:footnote w:id="1">
    <w:p w:rsidR="008841FB" w:rsidRDefault="008841FB">
      <w:pPr>
        <w:pStyle w:val="FootnoteText"/>
      </w:pPr>
      <w:r>
        <w:rPr>
          <w:rStyle w:val="FootnoteReference"/>
        </w:rPr>
        <w:footnoteRef/>
      </w:r>
      <w:r>
        <w:t xml:space="preserve"> </w:t>
      </w:r>
      <w:r w:rsidRPr="008841FB">
        <w:rPr>
          <w:rFonts w:ascii="Arial" w:hAnsi="Arial" w:cs="Arial"/>
          <w:sz w:val="16"/>
          <w:szCs w:val="16"/>
        </w:rPr>
        <w:t>Cullinan Holdings LTD v Mamelodi Stadsraad 1992 (1) SA 645 (T) at 647F</w:t>
      </w:r>
      <w:r>
        <w:rPr>
          <w:rFonts w:ascii="Arial" w:hAnsi="Arial" w:cs="Arial"/>
          <w:b/>
          <w:sz w:val="28"/>
          <w:szCs w:val="28"/>
        </w:rPr>
        <w:t xml:space="preserve">  </w:t>
      </w:r>
    </w:p>
  </w:footnote>
  <w:footnote w:id="2">
    <w:p w:rsidR="00872E1C" w:rsidRPr="00872E1C" w:rsidRDefault="00872E1C">
      <w:pPr>
        <w:pStyle w:val="FootnoteText"/>
        <w:rPr>
          <w:sz w:val="16"/>
          <w:szCs w:val="16"/>
        </w:rPr>
      </w:pPr>
      <w:r>
        <w:rPr>
          <w:rStyle w:val="FootnoteReference"/>
        </w:rPr>
        <w:footnoteRef/>
      </w:r>
      <w:r>
        <w:t xml:space="preserve"> </w:t>
      </w:r>
      <w:r w:rsidRPr="00872E1C">
        <w:rPr>
          <w:rFonts w:ascii="Arial" w:hAnsi="Arial" w:cs="Arial"/>
          <w:iCs/>
          <w:color w:val="000000"/>
          <w:sz w:val="16"/>
          <w:szCs w:val="16"/>
        </w:rPr>
        <w:t>Priday v Thos Cook &amp; Son (SA) Ltd</w:t>
      </w:r>
      <w:r w:rsidRPr="00872E1C">
        <w:rPr>
          <w:rFonts w:ascii="Arial" w:hAnsi="Arial" w:cs="Arial"/>
          <w:color w:val="000000"/>
          <w:sz w:val="16"/>
          <w:szCs w:val="16"/>
        </w:rPr>
        <w:t> 1952 (4) SA 761 (C) at 764</w:t>
      </w:r>
    </w:p>
  </w:footnote>
  <w:footnote w:id="3">
    <w:p w:rsidR="007F4D36" w:rsidRPr="007F4D36" w:rsidRDefault="007F4D36" w:rsidP="007F4D36">
      <w:pPr>
        <w:spacing w:after="0" w:line="360" w:lineRule="auto"/>
        <w:ind w:left="851" w:hanging="851"/>
        <w:jc w:val="both"/>
        <w:rPr>
          <w:rFonts w:ascii="Arial" w:hAnsi="Arial" w:cs="Arial"/>
          <w:bCs/>
          <w:sz w:val="16"/>
          <w:szCs w:val="16"/>
        </w:rPr>
      </w:pPr>
      <w:r>
        <w:rPr>
          <w:rStyle w:val="FootnoteReference"/>
        </w:rPr>
        <w:footnoteRef/>
      </w:r>
      <w:r>
        <w:t xml:space="preserve"> </w:t>
      </w:r>
      <w:r w:rsidRPr="007F4D36">
        <w:rPr>
          <w:rFonts w:ascii="Arial" w:hAnsi="Arial" w:cs="Arial"/>
          <w:bCs/>
          <w:sz w:val="16"/>
          <w:szCs w:val="16"/>
        </w:rPr>
        <w:t xml:space="preserve">Quayside </w:t>
      </w:r>
      <w:r w:rsidR="00F76B55" w:rsidRPr="007F4D36">
        <w:rPr>
          <w:rFonts w:ascii="Arial" w:hAnsi="Arial" w:cs="Arial"/>
          <w:bCs/>
          <w:sz w:val="16"/>
          <w:szCs w:val="16"/>
        </w:rPr>
        <w:t>Fish Suppliers</w:t>
      </w:r>
      <w:r w:rsidRPr="007F4D36">
        <w:rPr>
          <w:rFonts w:ascii="Arial" w:hAnsi="Arial" w:cs="Arial"/>
          <w:bCs/>
          <w:sz w:val="16"/>
          <w:szCs w:val="16"/>
        </w:rPr>
        <w:t xml:space="preserve"> CC v Irvin &amp; Johnson Ltd   2000 (2) SA 529 (C) </w:t>
      </w:r>
    </w:p>
    <w:p w:rsidR="007F4D36" w:rsidRDefault="007F4D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rsidR="00533CFF" w:rsidRDefault="00533CFF">
        <w:pPr>
          <w:pStyle w:val="Header"/>
          <w:jc w:val="right"/>
        </w:pPr>
        <w:r>
          <w:fldChar w:fldCharType="begin"/>
        </w:r>
        <w:r>
          <w:instrText xml:space="preserve"> PAGE   \* MERGEFORMAT </w:instrText>
        </w:r>
        <w:r>
          <w:fldChar w:fldCharType="separate"/>
        </w:r>
        <w:r w:rsidR="009256BA">
          <w:rPr>
            <w:noProof/>
          </w:rPr>
          <w:t>2</w:t>
        </w:r>
        <w:r>
          <w:rPr>
            <w:noProof/>
          </w:rPr>
          <w:fldChar w:fldCharType="end"/>
        </w:r>
      </w:p>
    </w:sdtContent>
  </w:sdt>
  <w:p w:rsidR="00533CFF" w:rsidRDefault="0053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24EF"/>
    <w:rsid w:val="00016365"/>
    <w:rsid w:val="000168D9"/>
    <w:rsid w:val="00026292"/>
    <w:rsid w:val="0002736F"/>
    <w:rsid w:val="00043010"/>
    <w:rsid w:val="00050978"/>
    <w:rsid w:val="00052114"/>
    <w:rsid w:val="00056D7F"/>
    <w:rsid w:val="00057432"/>
    <w:rsid w:val="000635CA"/>
    <w:rsid w:val="00066021"/>
    <w:rsid w:val="00070794"/>
    <w:rsid w:val="0007199B"/>
    <w:rsid w:val="00076FE5"/>
    <w:rsid w:val="00084DDD"/>
    <w:rsid w:val="00087882"/>
    <w:rsid w:val="000B1178"/>
    <w:rsid w:val="000B3297"/>
    <w:rsid w:val="000B4408"/>
    <w:rsid w:val="000B749D"/>
    <w:rsid w:val="000C1787"/>
    <w:rsid w:val="000D135A"/>
    <w:rsid w:val="000D4EA6"/>
    <w:rsid w:val="000E495D"/>
    <w:rsid w:val="000F364C"/>
    <w:rsid w:val="00101DEC"/>
    <w:rsid w:val="0012219D"/>
    <w:rsid w:val="00123AC7"/>
    <w:rsid w:val="00123C70"/>
    <w:rsid w:val="001334FA"/>
    <w:rsid w:val="00141EC9"/>
    <w:rsid w:val="00150F7D"/>
    <w:rsid w:val="001524EE"/>
    <w:rsid w:val="0016252A"/>
    <w:rsid w:val="001671AA"/>
    <w:rsid w:val="00177AF4"/>
    <w:rsid w:val="0018181C"/>
    <w:rsid w:val="00187091"/>
    <w:rsid w:val="00187BD0"/>
    <w:rsid w:val="001913D9"/>
    <w:rsid w:val="00196A3F"/>
    <w:rsid w:val="001A4F6E"/>
    <w:rsid w:val="001B1C7C"/>
    <w:rsid w:val="001B5A59"/>
    <w:rsid w:val="001D1107"/>
    <w:rsid w:val="001D291B"/>
    <w:rsid w:val="001E2B48"/>
    <w:rsid w:val="001E6CEE"/>
    <w:rsid w:val="001F01C0"/>
    <w:rsid w:val="001F1F29"/>
    <w:rsid w:val="001F45E9"/>
    <w:rsid w:val="001F5819"/>
    <w:rsid w:val="00205856"/>
    <w:rsid w:val="00210A0A"/>
    <w:rsid w:val="002135ED"/>
    <w:rsid w:val="00217668"/>
    <w:rsid w:val="002601FC"/>
    <w:rsid w:val="00262ED6"/>
    <w:rsid w:val="002651AE"/>
    <w:rsid w:val="002703CD"/>
    <w:rsid w:val="00270545"/>
    <w:rsid w:val="0027334D"/>
    <w:rsid w:val="002958E1"/>
    <w:rsid w:val="002A10F9"/>
    <w:rsid w:val="002A6D12"/>
    <w:rsid w:val="002B267C"/>
    <w:rsid w:val="002D0D12"/>
    <w:rsid w:val="002D0D1C"/>
    <w:rsid w:val="002E1EE9"/>
    <w:rsid w:val="002E7133"/>
    <w:rsid w:val="002F52BD"/>
    <w:rsid w:val="00301212"/>
    <w:rsid w:val="00302938"/>
    <w:rsid w:val="00305A6A"/>
    <w:rsid w:val="00306EE6"/>
    <w:rsid w:val="00316502"/>
    <w:rsid w:val="0032204A"/>
    <w:rsid w:val="00330F06"/>
    <w:rsid w:val="00343F62"/>
    <w:rsid w:val="00351937"/>
    <w:rsid w:val="00352251"/>
    <w:rsid w:val="00360A6C"/>
    <w:rsid w:val="003705DC"/>
    <w:rsid w:val="00374376"/>
    <w:rsid w:val="003802F2"/>
    <w:rsid w:val="003A3878"/>
    <w:rsid w:val="003B0433"/>
    <w:rsid w:val="003B0A43"/>
    <w:rsid w:val="003B5C96"/>
    <w:rsid w:val="003B73BD"/>
    <w:rsid w:val="003C1ED2"/>
    <w:rsid w:val="003C25EF"/>
    <w:rsid w:val="003C37BF"/>
    <w:rsid w:val="003C649C"/>
    <w:rsid w:val="003C6C83"/>
    <w:rsid w:val="003D039E"/>
    <w:rsid w:val="003D1E6A"/>
    <w:rsid w:val="003F1413"/>
    <w:rsid w:val="003F1542"/>
    <w:rsid w:val="00411FE2"/>
    <w:rsid w:val="00412F39"/>
    <w:rsid w:val="00414E96"/>
    <w:rsid w:val="00417CD8"/>
    <w:rsid w:val="00426AE3"/>
    <w:rsid w:val="00447101"/>
    <w:rsid w:val="00453853"/>
    <w:rsid w:val="00454B2B"/>
    <w:rsid w:val="00457916"/>
    <w:rsid w:val="00461961"/>
    <w:rsid w:val="00462023"/>
    <w:rsid w:val="00471E65"/>
    <w:rsid w:val="00473CD1"/>
    <w:rsid w:val="004811A4"/>
    <w:rsid w:val="00481F89"/>
    <w:rsid w:val="00494E32"/>
    <w:rsid w:val="004A091E"/>
    <w:rsid w:val="004A346D"/>
    <w:rsid w:val="004B17F5"/>
    <w:rsid w:val="004B6A86"/>
    <w:rsid w:val="004B71E7"/>
    <w:rsid w:val="004C204C"/>
    <w:rsid w:val="004C3290"/>
    <w:rsid w:val="004C7528"/>
    <w:rsid w:val="004C77BC"/>
    <w:rsid w:val="004D1BF3"/>
    <w:rsid w:val="004D2DEB"/>
    <w:rsid w:val="004D5731"/>
    <w:rsid w:val="004D5ABC"/>
    <w:rsid w:val="004D7A02"/>
    <w:rsid w:val="004E25B5"/>
    <w:rsid w:val="004E37CA"/>
    <w:rsid w:val="004E5E82"/>
    <w:rsid w:val="004F0D36"/>
    <w:rsid w:val="00506E6C"/>
    <w:rsid w:val="00526F18"/>
    <w:rsid w:val="00533CFF"/>
    <w:rsid w:val="00540070"/>
    <w:rsid w:val="00546C2B"/>
    <w:rsid w:val="00551618"/>
    <w:rsid w:val="005556B6"/>
    <w:rsid w:val="00555FDF"/>
    <w:rsid w:val="00557230"/>
    <w:rsid w:val="005664CD"/>
    <w:rsid w:val="005830C1"/>
    <w:rsid w:val="00591434"/>
    <w:rsid w:val="00592EE1"/>
    <w:rsid w:val="005A0C6B"/>
    <w:rsid w:val="005B01B0"/>
    <w:rsid w:val="005C11CE"/>
    <w:rsid w:val="005D135F"/>
    <w:rsid w:val="005E6285"/>
    <w:rsid w:val="005F4EA5"/>
    <w:rsid w:val="00630002"/>
    <w:rsid w:val="00631447"/>
    <w:rsid w:val="00636828"/>
    <w:rsid w:val="0064001D"/>
    <w:rsid w:val="00642843"/>
    <w:rsid w:val="006435A8"/>
    <w:rsid w:val="00654050"/>
    <w:rsid w:val="006653DC"/>
    <w:rsid w:val="0067091C"/>
    <w:rsid w:val="00673BD3"/>
    <w:rsid w:val="006843C0"/>
    <w:rsid w:val="006B2C68"/>
    <w:rsid w:val="006C05E2"/>
    <w:rsid w:val="006C4B16"/>
    <w:rsid w:val="006C6282"/>
    <w:rsid w:val="006C62B5"/>
    <w:rsid w:val="006D49B2"/>
    <w:rsid w:val="006D784E"/>
    <w:rsid w:val="006F0B95"/>
    <w:rsid w:val="006F10FB"/>
    <w:rsid w:val="0070109A"/>
    <w:rsid w:val="007056BE"/>
    <w:rsid w:val="00712A8C"/>
    <w:rsid w:val="007155CA"/>
    <w:rsid w:val="007160DB"/>
    <w:rsid w:val="007171B3"/>
    <w:rsid w:val="00717CA7"/>
    <w:rsid w:val="00731F99"/>
    <w:rsid w:val="00734D83"/>
    <w:rsid w:val="00736483"/>
    <w:rsid w:val="00741389"/>
    <w:rsid w:val="00746C55"/>
    <w:rsid w:val="0075084C"/>
    <w:rsid w:val="007601E6"/>
    <w:rsid w:val="00772F95"/>
    <w:rsid w:val="00774564"/>
    <w:rsid w:val="0077767C"/>
    <w:rsid w:val="007849EE"/>
    <w:rsid w:val="00785C93"/>
    <w:rsid w:val="00786996"/>
    <w:rsid w:val="00787884"/>
    <w:rsid w:val="00792CD6"/>
    <w:rsid w:val="00794951"/>
    <w:rsid w:val="007A1CD9"/>
    <w:rsid w:val="007B746A"/>
    <w:rsid w:val="007C1E7C"/>
    <w:rsid w:val="007C5F91"/>
    <w:rsid w:val="007D1155"/>
    <w:rsid w:val="007D2B5F"/>
    <w:rsid w:val="007D4DF9"/>
    <w:rsid w:val="007D6047"/>
    <w:rsid w:val="007D7BDE"/>
    <w:rsid w:val="007F20F1"/>
    <w:rsid w:val="007F4D36"/>
    <w:rsid w:val="007F6227"/>
    <w:rsid w:val="007F681E"/>
    <w:rsid w:val="007F7EF1"/>
    <w:rsid w:val="00804A5A"/>
    <w:rsid w:val="0081717F"/>
    <w:rsid w:val="00821CB7"/>
    <w:rsid w:val="00824E42"/>
    <w:rsid w:val="00827BD1"/>
    <w:rsid w:val="008327F3"/>
    <w:rsid w:val="00842334"/>
    <w:rsid w:val="0084465D"/>
    <w:rsid w:val="00846045"/>
    <w:rsid w:val="00854672"/>
    <w:rsid w:val="00855243"/>
    <w:rsid w:val="008601D9"/>
    <w:rsid w:val="00872E1C"/>
    <w:rsid w:val="00874860"/>
    <w:rsid w:val="0088098E"/>
    <w:rsid w:val="00882214"/>
    <w:rsid w:val="008841FB"/>
    <w:rsid w:val="008904E7"/>
    <w:rsid w:val="00893F0A"/>
    <w:rsid w:val="00895342"/>
    <w:rsid w:val="00895729"/>
    <w:rsid w:val="008B4BCB"/>
    <w:rsid w:val="008C1765"/>
    <w:rsid w:val="008C491A"/>
    <w:rsid w:val="008E5224"/>
    <w:rsid w:val="008E5973"/>
    <w:rsid w:val="008F5372"/>
    <w:rsid w:val="008F7E48"/>
    <w:rsid w:val="00916986"/>
    <w:rsid w:val="00920218"/>
    <w:rsid w:val="009233C9"/>
    <w:rsid w:val="009256BA"/>
    <w:rsid w:val="00927BD7"/>
    <w:rsid w:val="00934369"/>
    <w:rsid w:val="00940006"/>
    <w:rsid w:val="009417EC"/>
    <w:rsid w:val="00942A74"/>
    <w:rsid w:val="009557E3"/>
    <w:rsid w:val="009652BC"/>
    <w:rsid w:val="00970B0F"/>
    <w:rsid w:val="00972A77"/>
    <w:rsid w:val="009756BD"/>
    <w:rsid w:val="009826F1"/>
    <w:rsid w:val="00990950"/>
    <w:rsid w:val="009941E1"/>
    <w:rsid w:val="009A475C"/>
    <w:rsid w:val="009B44AC"/>
    <w:rsid w:val="009D641A"/>
    <w:rsid w:val="009E05EC"/>
    <w:rsid w:val="00A00903"/>
    <w:rsid w:val="00A07039"/>
    <w:rsid w:val="00A12D19"/>
    <w:rsid w:val="00A17B2E"/>
    <w:rsid w:val="00A24713"/>
    <w:rsid w:val="00A248C3"/>
    <w:rsid w:val="00A318B8"/>
    <w:rsid w:val="00A408F5"/>
    <w:rsid w:val="00A416F0"/>
    <w:rsid w:val="00A45C5B"/>
    <w:rsid w:val="00A45EC3"/>
    <w:rsid w:val="00A569DC"/>
    <w:rsid w:val="00A66EF9"/>
    <w:rsid w:val="00A67B79"/>
    <w:rsid w:val="00A67EAA"/>
    <w:rsid w:val="00A700A5"/>
    <w:rsid w:val="00A7205F"/>
    <w:rsid w:val="00A747CE"/>
    <w:rsid w:val="00A80481"/>
    <w:rsid w:val="00A81789"/>
    <w:rsid w:val="00A86130"/>
    <w:rsid w:val="00A875F9"/>
    <w:rsid w:val="00A91982"/>
    <w:rsid w:val="00A974CF"/>
    <w:rsid w:val="00AA106B"/>
    <w:rsid w:val="00AA537A"/>
    <w:rsid w:val="00AB37F5"/>
    <w:rsid w:val="00AB410C"/>
    <w:rsid w:val="00AD6DAB"/>
    <w:rsid w:val="00AE339E"/>
    <w:rsid w:val="00AE56FC"/>
    <w:rsid w:val="00AE77B7"/>
    <w:rsid w:val="00AF21CB"/>
    <w:rsid w:val="00B0110F"/>
    <w:rsid w:val="00B1027C"/>
    <w:rsid w:val="00B12231"/>
    <w:rsid w:val="00B131FE"/>
    <w:rsid w:val="00B14D8D"/>
    <w:rsid w:val="00B22807"/>
    <w:rsid w:val="00B35897"/>
    <w:rsid w:val="00B50156"/>
    <w:rsid w:val="00B50273"/>
    <w:rsid w:val="00B50B36"/>
    <w:rsid w:val="00B627B4"/>
    <w:rsid w:val="00B63B0E"/>
    <w:rsid w:val="00B80E21"/>
    <w:rsid w:val="00B81270"/>
    <w:rsid w:val="00B8354A"/>
    <w:rsid w:val="00B84B62"/>
    <w:rsid w:val="00B9076E"/>
    <w:rsid w:val="00B92962"/>
    <w:rsid w:val="00B92AC3"/>
    <w:rsid w:val="00B93B81"/>
    <w:rsid w:val="00BA4E45"/>
    <w:rsid w:val="00BA6C76"/>
    <w:rsid w:val="00BB17CC"/>
    <w:rsid w:val="00BB4952"/>
    <w:rsid w:val="00BC0E0D"/>
    <w:rsid w:val="00BC3CF4"/>
    <w:rsid w:val="00BD1CE7"/>
    <w:rsid w:val="00BD28B1"/>
    <w:rsid w:val="00BD66D3"/>
    <w:rsid w:val="00BE469E"/>
    <w:rsid w:val="00BF52A9"/>
    <w:rsid w:val="00C01150"/>
    <w:rsid w:val="00C0724F"/>
    <w:rsid w:val="00C1271B"/>
    <w:rsid w:val="00C152C3"/>
    <w:rsid w:val="00C334C6"/>
    <w:rsid w:val="00C351C2"/>
    <w:rsid w:val="00C369A1"/>
    <w:rsid w:val="00C54B05"/>
    <w:rsid w:val="00C56BD4"/>
    <w:rsid w:val="00C61DF1"/>
    <w:rsid w:val="00C62F99"/>
    <w:rsid w:val="00C64D95"/>
    <w:rsid w:val="00C7608B"/>
    <w:rsid w:val="00C90918"/>
    <w:rsid w:val="00C90F38"/>
    <w:rsid w:val="00C95F9D"/>
    <w:rsid w:val="00CA7ED2"/>
    <w:rsid w:val="00CB756B"/>
    <w:rsid w:val="00CC0E33"/>
    <w:rsid w:val="00CC3AA8"/>
    <w:rsid w:val="00CC59B1"/>
    <w:rsid w:val="00CC66B9"/>
    <w:rsid w:val="00CD3303"/>
    <w:rsid w:val="00CD77DD"/>
    <w:rsid w:val="00CE1132"/>
    <w:rsid w:val="00CE4DAF"/>
    <w:rsid w:val="00CE5064"/>
    <w:rsid w:val="00CE53BD"/>
    <w:rsid w:val="00CF281F"/>
    <w:rsid w:val="00CF4505"/>
    <w:rsid w:val="00D15F30"/>
    <w:rsid w:val="00D245ED"/>
    <w:rsid w:val="00D30D55"/>
    <w:rsid w:val="00D34925"/>
    <w:rsid w:val="00D40A33"/>
    <w:rsid w:val="00D41D43"/>
    <w:rsid w:val="00D60EAD"/>
    <w:rsid w:val="00D626D8"/>
    <w:rsid w:val="00D631E7"/>
    <w:rsid w:val="00D6692F"/>
    <w:rsid w:val="00D741A2"/>
    <w:rsid w:val="00D77A53"/>
    <w:rsid w:val="00D86ABB"/>
    <w:rsid w:val="00D9512C"/>
    <w:rsid w:val="00D97A9F"/>
    <w:rsid w:val="00DA34CC"/>
    <w:rsid w:val="00DA7380"/>
    <w:rsid w:val="00DB39D5"/>
    <w:rsid w:val="00DB3C6B"/>
    <w:rsid w:val="00DC544A"/>
    <w:rsid w:val="00DC79DC"/>
    <w:rsid w:val="00DD114B"/>
    <w:rsid w:val="00DD3ECC"/>
    <w:rsid w:val="00DE56E9"/>
    <w:rsid w:val="00DF3D9F"/>
    <w:rsid w:val="00E054AE"/>
    <w:rsid w:val="00E10218"/>
    <w:rsid w:val="00E103A9"/>
    <w:rsid w:val="00E123E3"/>
    <w:rsid w:val="00E16D2D"/>
    <w:rsid w:val="00E441D0"/>
    <w:rsid w:val="00E45707"/>
    <w:rsid w:val="00E55735"/>
    <w:rsid w:val="00E55FC1"/>
    <w:rsid w:val="00E57EC3"/>
    <w:rsid w:val="00E63A7F"/>
    <w:rsid w:val="00E651C0"/>
    <w:rsid w:val="00E74D4A"/>
    <w:rsid w:val="00E94FAD"/>
    <w:rsid w:val="00EA2ADD"/>
    <w:rsid w:val="00EA3BC0"/>
    <w:rsid w:val="00EA5091"/>
    <w:rsid w:val="00EB4F05"/>
    <w:rsid w:val="00EC336C"/>
    <w:rsid w:val="00EE1C1D"/>
    <w:rsid w:val="00EE4907"/>
    <w:rsid w:val="00EE51B9"/>
    <w:rsid w:val="00EE7830"/>
    <w:rsid w:val="00EF1358"/>
    <w:rsid w:val="00EF5C62"/>
    <w:rsid w:val="00EF5F87"/>
    <w:rsid w:val="00F04D00"/>
    <w:rsid w:val="00F13744"/>
    <w:rsid w:val="00F213EC"/>
    <w:rsid w:val="00F34ED5"/>
    <w:rsid w:val="00F37735"/>
    <w:rsid w:val="00F42E45"/>
    <w:rsid w:val="00F54231"/>
    <w:rsid w:val="00F60D56"/>
    <w:rsid w:val="00F72EE8"/>
    <w:rsid w:val="00F761D5"/>
    <w:rsid w:val="00F76B55"/>
    <w:rsid w:val="00F81293"/>
    <w:rsid w:val="00F82EBC"/>
    <w:rsid w:val="00F837D9"/>
    <w:rsid w:val="00F912D4"/>
    <w:rsid w:val="00F92AE9"/>
    <w:rsid w:val="00F96B5D"/>
    <w:rsid w:val="00FA2493"/>
    <w:rsid w:val="00FA33DD"/>
    <w:rsid w:val="00FC0A01"/>
    <w:rsid w:val="00FC10C8"/>
    <w:rsid w:val="00FC1746"/>
    <w:rsid w:val="00FC5552"/>
    <w:rsid w:val="00FD1173"/>
    <w:rsid w:val="00FD2FFC"/>
    <w:rsid w:val="00FF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E309-6B4F-4601-99A3-350176B3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Mokone</cp:lastModifiedBy>
  <cp:revision>2</cp:revision>
  <cp:lastPrinted>2023-02-23T09:37:00Z</cp:lastPrinted>
  <dcterms:created xsi:type="dcterms:W3CDTF">2023-03-03T15:02:00Z</dcterms:created>
  <dcterms:modified xsi:type="dcterms:W3CDTF">2023-03-03T15:02:00Z</dcterms:modified>
</cp:coreProperties>
</file>