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Pr="00394F5A" w:rsidRDefault="00A231F0" w:rsidP="00B3107C">
      <w:pPr>
        <w:pStyle w:val="TableParagraph"/>
        <w:rPr>
          <w:rFonts w:ascii="Arial" w:hAnsi="Arial" w:cs="Arial"/>
          <w:noProof/>
          <w:u w:val="single"/>
          <w:lang w:eastAsia="en-ZA"/>
        </w:rPr>
      </w:pPr>
      <w:r w:rsidRPr="00394F5A">
        <w:rPr>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F4F" w:rsidRPr="00394F5A" w:rsidRDefault="00F41F4F" w:rsidP="000973CA">
      <w:pPr>
        <w:rPr>
          <w:rFonts w:ascii="Arial" w:hAnsi="Arial" w:cs="Arial"/>
          <w:u w:val="single"/>
        </w:rPr>
      </w:pPr>
    </w:p>
    <w:p w:rsidR="008F7F70" w:rsidRPr="00394F5A" w:rsidRDefault="008F7F70" w:rsidP="00A231F0">
      <w:pPr>
        <w:autoSpaceDE w:val="0"/>
        <w:autoSpaceDN w:val="0"/>
        <w:adjustRightInd w:val="0"/>
        <w:spacing w:before="100"/>
        <w:jc w:val="center"/>
        <w:rPr>
          <w:rFonts w:ascii="Arial" w:hAnsi="Arial" w:cs="Arial"/>
          <w:b/>
          <w:bCs/>
          <w:sz w:val="28"/>
          <w:szCs w:val="28"/>
          <w:u w:val="single"/>
        </w:rPr>
      </w:pPr>
    </w:p>
    <w:p w:rsidR="00212E9C" w:rsidRPr="00394F5A" w:rsidRDefault="00212E9C" w:rsidP="00A231F0">
      <w:pPr>
        <w:autoSpaceDE w:val="0"/>
        <w:autoSpaceDN w:val="0"/>
        <w:adjustRightInd w:val="0"/>
        <w:spacing w:before="100"/>
        <w:jc w:val="center"/>
        <w:rPr>
          <w:rFonts w:ascii="Arial" w:hAnsi="Arial" w:cs="Arial"/>
          <w:b/>
          <w:bCs/>
          <w:sz w:val="28"/>
          <w:szCs w:val="28"/>
          <w:u w:val="single"/>
        </w:rPr>
      </w:pPr>
    </w:p>
    <w:p w:rsidR="00A231F0" w:rsidRPr="00394F5A" w:rsidRDefault="00A231F0" w:rsidP="00A231F0">
      <w:pPr>
        <w:autoSpaceDE w:val="0"/>
        <w:autoSpaceDN w:val="0"/>
        <w:adjustRightInd w:val="0"/>
        <w:spacing w:before="100" w:after="100"/>
        <w:jc w:val="center"/>
        <w:rPr>
          <w:rFonts w:ascii="Arial" w:hAnsi="Arial" w:cs="Arial"/>
          <w:b/>
          <w:bCs/>
          <w:sz w:val="2"/>
          <w:szCs w:val="2"/>
          <w:u w:val="single"/>
        </w:rPr>
      </w:pPr>
    </w:p>
    <w:p w:rsidR="00A231F0" w:rsidRPr="00394F5A" w:rsidRDefault="00A231F0" w:rsidP="00A231F0">
      <w:pPr>
        <w:autoSpaceDE w:val="0"/>
        <w:autoSpaceDN w:val="0"/>
        <w:adjustRightInd w:val="0"/>
        <w:spacing w:before="100" w:after="100"/>
        <w:jc w:val="center"/>
        <w:rPr>
          <w:rFonts w:ascii="Arial" w:hAnsi="Arial" w:cs="Arial"/>
          <w:b/>
          <w:bCs/>
          <w:sz w:val="2"/>
          <w:szCs w:val="2"/>
          <w:u w:val="single"/>
        </w:rPr>
      </w:pPr>
    </w:p>
    <w:p w:rsidR="001E4E2C" w:rsidRPr="00394F5A" w:rsidRDefault="001E4E2C" w:rsidP="00E57E73">
      <w:pPr>
        <w:autoSpaceDE w:val="0"/>
        <w:autoSpaceDN w:val="0"/>
        <w:adjustRightInd w:val="0"/>
        <w:spacing w:before="100" w:after="100" w:line="276" w:lineRule="auto"/>
        <w:jc w:val="center"/>
        <w:rPr>
          <w:rFonts w:ascii="Arial" w:hAnsi="Arial" w:cs="Arial"/>
          <w:u w:val="single"/>
        </w:rPr>
      </w:pPr>
      <w:r w:rsidRPr="00394F5A">
        <w:rPr>
          <w:rFonts w:ascii="Arial" w:hAnsi="Arial" w:cs="Arial"/>
          <w:b/>
          <w:bCs/>
          <w:u w:val="single"/>
        </w:rPr>
        <w:t>IN THE HIGH COURT OF SOUTH AFRICA</w:t>
      </w:r>
    </w:p>
    <w:p w:rsidR="00EF5FF3" w:rsidRDefault="001E4E2C" w:rsidP="00EF5FF3">
      <w:pPr>
        <w:autoSpaceDE w:val="0"/>
        <w:autoSpaceDN w:val="0"/>
        <w:adjustRightInd w:val="0"/>
        <w:spacing w:before="100" w:line="480" w:lineRule="auto"/>
        <w:jc w:val="center"/>
        <w:rPr>
          <w:rFonts w:ascii="Arial" w:hAnsi="Arial" w:cs="Arial"/>
          <w:b/>
          <w:bCs/>
          <w:u w:val="single"/>
        </w:rPr>
      </w:pPr>
      <w:r w:rsidRPr="00394F5A">
        <w:rPr>
          <w:rFonts w:ascii="Arial" w:hAnsi="Arial" w:cs="Arial"/>
          <w:b/>
          <w:bCs/>
          <w:u w:val="single"/>
        </w:rPr>
        <w:t>FREE STATE DIVISION, BLOEMFONTEIN</w:t>
      </w:r>
    </w:p>
    <w:p w:rsidR="00383C77" w:rsidRPr="00394F5A" w:rsidRDefault="00383C77" w:rsidP="00EF5FF3">
      <w:pPr>
        <w:autoSpaceDE w:val="0"/>
        <w:autoSpaceDN w:val="0"/>
        <w:adjustRightInd w:val="0"/>
        <w:spacing w:before="100" w:line="480" w:lineRule="auto"/>
        <w:jc w:val="center"/>
        <w:rPr>
          <w:rFonts w:ascii="Arial" w:hAnsi="Arial" w:cs="Arial"/>
          <w:b/>
          <w:bCs/>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94F5A" w:rsidTr="001D2844">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94F5A" w:rsidRDefault="00A231F0" w:rsidP="001D2844">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ZA"/>
              </w:rPr>
            </w:pPr>
            <w:r w:rsidRPr="00394F5A">
              <w:rPr>
                <w:rFonts w:ascii="Arial" w:hAnsi="Arial"/>
                <w:b/>
                <w:bCs/>
                <w:sz w:val="16"/>
                <w:szCs w:val="16"/>
                <w:lang w:val="en-ZA"/>
              </w:rPr>
              <w:t xml:space="preserve">Reportable:                              </w:t>
            </w:r>
          </w:p>
          <w:p w:rsidR="00A231F0" w:rsidRPr="00394F5A"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ZA"/>
              </w:rPr>
            </w:pPr>
            <w:r w:rsidRPr="00394F5A">
              <w:rPr>
                <w:rFonts w:ascii="Arial" w:hAnsi="Arial"/>
                <w:b/>
                <w:bCs/>
                <w:sz w:val="16"/>
                <w:szCs w:val="16"/>
                <w:lang w:val="en-ZA"/>
              </w:rPr>
              <w:t xml:space="preserve">Of Interest to other Judges:   </w:t>
            </w:r>
          </w:p>
          <w:p w:rsidR="00A231F0" w:rsidRPr="00394F5A"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ZA"/>
              </w:rPr>
            </w:pPr>
            <w:r w:rsidRPr="00394F5A">
              <w:rPr>
                <w:rFonts w:ascii="Arial" w:hAnsi="Arial"/>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94F5A" w:rsidRDefault="00A231F0" w:rsidP="001D2844">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ZA"/>
              </w:rPr>
            </w:pPr>
            <w:r w:rsidRPr="00394F5A">
              <w:rPr>
                <w:rFonts w:ascii="Arial" w:hAnsi="Arial"/>
                <w:b/>
                <w:bCs/>
                <w:sz w:val="16"/>
                <w:szCs w:val="16"/>
                <w:lang w:val="en-ZA"/>
              </w:rPr>
              <w:t xml:space="preserve">YES/NO </w:t>
            </w:r>
          </w:p>
          <w:p w:rsidR="00A231F0" w:rsidRPr="00394F5A"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ZA"/>
              </w:rPr>
            </w:pPr>
            <w:r w:rsidRPr="00394F5A">
              <w:rPr>
                <w:rFonts w:ascii="Arial" w:hAnsi="Arial"/>
                <w:b/>
                <w:bCs/>
                <w:sz w:val="16"/>
                <w:szCs w:val="16"/>
                <w:lang w:val="en-ZA"/>
              </w:rPr>
              <w:t xml:space="preserve">YES/NO </w:t>
            </w:r>
          </w:p>
          <w:p w:rsidR="00A231F0" w:rsidRPr="00394F5A" w:rsidRDefault="00A231F0" w:rsidP="001D2844">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ZA"/>
              </w:rPr>
            </w:pPr>
            <w:r w:rsidRPr="00394F5A">
              <w:rPr>
                <w:rFonts w:ascii="Arial" w:hAnsi="Arial"/>
                <w:b/>
                <w:bCs/>
                <w:sz w:val="16"/>
                <w:szCs w:val="16"/>
                <w:lang w:val="en-ZA"/>
              </w:rPr>
              <w:t>YES/NO</w:t>
            </w:r>
          </w:p>
        </w:tc>
      </w:tr>
    </w:tbl>
    <w:p w:rsidR="001E4E2C" w:rsidRPr="00394F5A" w:rsidRDefault="001E4E2C" w:rsidP="00BE63E4">
      <w:pPr>
        <w:spacing w:line="276" w:lineRule="auto"/>
        <w:jc w:val="center"/>
        <w:rPr>
          <w:rFonts w:ascii="Arial" w:hAnsi="Arial" w:cs="Arial"/>
          <w:sz w:val="26"/>
          <w:szCs w:val="26"/>
        </w:rPr>
      </w:pPr>
    </w:p>
    <w:p w:rsidR="00031136" w:rsidRPr="00394F5A" w:rsidRDefault="00E344F1" w:rsidP="005A271D">
      <w:pPr>
        <w:spacing w:line="360" w:lineRule="auto"/>
        <w:jc w:val="right"/>
        <w:rPr>
          <w:rFonts w:ascii="Arial" w:hAnsi="Arial" w:cs="Arial"/>
          <w:b/>
          <w:bCs/>
        </w:rPr>
      </w:pPr>
      <w:r w:rsidRPr="00394F5A">
        <w:rPr>
          <w:rFonts w:ascii="Arial" w:hAnsi="Arial" w:cs="Arial"/>
        </w:rPr>
        <w:t xml:space="preserve">Case No: </w:t>
      </w:r>
      <w:r w:rsidR="002230DA" w:rsidRPr="00394F5A">
        <w:rPr>
          <w:rFonts w:ascii="Arial" w:hAnsi="Arial" w:cs="Arial"/>
          <w:b/>
          <w:bCs/>
        </w:rPr>
        <w:t>6050/2022</w:t>
      </w:r>
    </w:p>
    <w:p w:rsidR="00383C77" w:rsidRDefault="00383C77" w:rsidP="005A271D">
      <w:pPr>
        <w:spacing w:line="360" w:lineRule="auto"/>
        <w:rPr>
          <w:rFonts w:ascii="Arial" w:hAnsi="Arial" w:cs="Arial"/>
        </w:rPr>
      </w:pPr>
    </w:p>
    <w:p w:rsidR="00031136" w:rsidRPr="00394F5A" w:rsidRDefault="00031136" w:rsidP="005A271D">
      <w:pPr>
        <w:spacing w:line="360" w:lineRule="auto"/>
        <w:rPr>
          <w:rFonts w:ascii="Arial" w:hAnsi="Arial" w:cs="Arial"/>
        </w:rPr>
      </w:pPr>
      <w:r w:rsidRPr="00394F5A">
        <w:rPr>
          <w:rFonts w:ascii="Arial" w:hAnsi="Arial" w:cs="Arial"/>
        </w:rPr>
        <w:t>In the matter between:</w:t>
      </w:r>
    </w:p>
    <w:p w:rsidR="0035055B" w:rsidRPr="00394F5A" w:rsidRDefault="0035055B" w:rsidP="005A271D">
      <w:pPr>
        <w:spacing w:line="360" w:lineRule="auto"/>
        <w:rPr>
          <w:rFonts w:ascii="Arial" w:hAnsi="Arial" w:cs="Arial"/>
        </w:rPr>
      </w:pPr>
    </w:p>
    <w:p w:rsidR="0035055B" w:rsidRPr="00394F5A" w:rsidRDefault="002230DA" w:rsidP="0035055B">
      <w:pPr>
        <w:tabs>
          <w:tab w:val="right" w:pos="9072"/>
        </w:tabs>
        <w:suppressAutoHyphens/>
        <w:spacing w:line="240" w:lineRule="atLeast"/>
        <w:rPr>
          <w:rFonts w:asciiTheme="minorHAnsi" w:eastAsiaTheme="minorHAnsi" w:hAnsiTheme="minorHAnsi" w:cstheme="minorHAnsi"/>
          <w:spacing w:val="-3"/>
        </w:rPr>
      </w:pPr>
      <w:r w:rsidRPr="00394F5A">
        <w:rPr>
          <w:rFonts w:asciiTheme="minorHAnsi" w:eastAsiaTheme="minorHAnsi" w:hAnsiTheme="minorHAnsi" w:cstheme="minorHAnsi"/>
          <w:b/>
        </w:rPr>
        <w:t>IMPERIAL LOGISTICS SOUTH AFRICA</w:t>
      </w:r>
      <w:r w:rsidR="0035055B" w:rsidRPr="00394F5A">
        <w:rPr>
          <w:rFonts w:asciiTheme="minorHAnsi" w:eastAsiaTheme="minorHAnsi" w:hAnsiTheme="minorHAnsi" w:cstheme="minorHAnsi"/>
          <w:b/>
          <w:spacing w:val="-3"/>
        </w:rPr>
        <w:tab/>
      </w:r>
      <w:r w:rsidR="0035055B" w:rsidRPr="00394F5A">
        <w:rPr>
          <w:rFonts w:asciiTheme="minorHAnsi" w:eastAsiaTheme="minorHAnsi" w:hAnsiTheme="minorHAnsi" w:cstheme="minorHAnsi"/>
          <w:spacing w:val="-3"/>
        </w:rPr>
        <w:t>Applicant</w:t>
      </w:r>
    </w:p>
    <w:p w:rsidR="0035055B" w:rsidRPr="00394F5A" w:rsidRDefault="0035055B" w:rsidP="0035055B">
      <w:pPr>
        <w:tabs>
          <w:tab w:val="left" w:pos="-720"/>
        </w:tabs>
        <w:suppressAutoHyphens/>
        <w:spacing w:line="240" w:lineRule="atLeast"/>
        <w:rPr>
          <w:rFonts w:asciiTheme="minorHAnsi" w:eastAsiaTheme="minorHAnsi" w:hAnsiTheme="minorHAnsi" w:cstheme="minorHAnsi"/>
          <w:spacing w:val="-3"/>
        </w:rPr>
      </w:pPr>
    </w:p>
    <w:p w:rsidR="0035055B" w:rsidRPr="00394F5A" w:rsidRDefault="0035055B" w:rsidP="0035055B">
      <w:pPr>
        <w:tabs>
          <w:tab w:val="left" w:pos="-720"/>
        </w:tabs>
        <w:suppressAutoHyphens/>
        <w:spacing w:line="240" w:lineRule="atLeast"/>
        <w:rPr>
          <w:rFonts w:asciiTheme="minorHAnsi" w:eastAsiaTheme="minorHAnsi" w:hAnsiTheme="minorHAnsi" w:cstheme="minorHAnsi"/>
          <w:spacing w:val="-3"/>
        </w:rPr>
      </w:pPr>
    </w:p>
    <w:p w:rsidR="0035055B" w:rsidRPr="00394F5A" w:rsidRDefault="0035055B" w:rsidP="0035055B">
      <w:pPr>
        <w:tabs>
          <w:tab w:val="right" w:pos="9026"/>
        </w:tabs>
        <w:suppressAutoHyphens/>
        <w:spacing w:line="240" w:lineRule="atLeast"/>
        <w:rPr>
          <w:rFonts w:asciiTheme="minorHAnsi" w:eastAsiaTheme="minorHAnsi" w:hAnsiTheme="minorHAnsi" w:cstheme="minorHAnsi"/>
          <w:spacing w:val="-3"/>
        </w:rPr>
      </w:pPr>
      <w:r w:rsidRPr="00394F5A">
        <w:rPr>
          <w:rFonts w:asciiTheme="minorHAnsi" w:eastAsiaTheme="minorHAnsi" w:hAnsiTheme="minorHAnsi" w:cstheme="minorHAnsi"/>
          <w:spacing w:val="-3"/>
        </w:rPr>
        <w:t>and</w:t>
      </w:r>
    </w:p>
    <w:p w:rsidR="0035055B" w:rsidRPr="00394F5A" w:rsidRDefault="0035055B" w:rsidP="0035055B">
      <w:pPr>
        <w:tabs>
          <w:tab w:val="right" w:pos="9026"/>
        </w:tabs>
        <w:suppressAutoHyphens/>
        <w:spacing w:line="240" w:lineRule="atLeast"/>
        <w:rPr>
          <w:rFonts w:asciiTheme="minorHAnsi" w:eastAsiaTheme="minorHAnsi" w:hAnsiTheme="minorHAnsi" w:cstheme="minorHAnsi"/>
          <w:spacing w:val="-3"/>
        </w:rPr>
      </w:pPr>
    </w:p>
    <w:p w:rsidR="0035055B" w:rsidRPr="00394F5A" w:rsidRDefault="0035055B" w:rsidP="0035055B">
      <w:pPr>
        <w:tabs>
          <w:tab w:val="right" w:pos="9026"/>
        </w:tabs>
        <w:suppressAutoHyphens/>
        <w:spacing w:line="240" w:lineRule="atLeast"/>
        <w:rPr>
          <w:rFonts w:asciiTheme="minorHAnsi" w:eastAsiaTheme="minorHAnsi" w:hAnsiTheme="minorHAnsi" w:cstheme="minorHAnsi"/>
          <w:spacing w:val="-3"/>
        </w:rPr>
      </w:pPr>
    </w:p>
    <w:p w:rsidR="0035055B" w:rsidRPr="00394F5A" w:rsidRDefault="002230DA" w:rsidP="0035055B">
      <w:pPr>
        <w:tabs>
          <w:tab w:val="right" w:pos="9072"/>
        </w:tabs>
        <w:suppressAutoHyphens/>
        <w:spacing w:line="240" w:lineRule="atLeast"/>
        <w:rPr>
          <w:rFonts w:asciiTheme="minorHAnsi" w:eastAsiaTheme="minorHAnsi" w:hAnsiTheme="minorHAnsi" w:cstheme="minorHAnsi"/>
          <w:bCs/>
          <w:spacing w:val="-3"/>
        </w:rPr>
      </w:pPr>
      <w:r w:rsidRPr="00394F5A">
        <w:rPr>
          <w:rFonts w:asciiTheme="minorHAnsi" w:eastAsiaTheme="minorHAnsi" w:hAnsiTheme="minorHAnsi" w:cstheme="minorHAnsi"/>
          <w:b/>
        </w:rPr>
        <w:t xml:space="preserve">THE CITY OF MANGAUNG METRO MUNICIPALITY </w:t>
      </w:r>
      <w:r w:rsidR="0035055B" w:rsidRPr="00394F5A">
        <w:rPr>
          <w:rFonts w:asciiTheme="minorHAnsi" w:eastAsiaTheme="minorHAnsi" w:hAnsiTheme="minorHAnsi" w:cstheme="minorHAnsi"/>
          <w:b/>
          <w:spacing w:val="-3"/>
        </w:rPr>
        <w:tab/>
      </w:r>
      <w:r w:rsidR="0035055B" w:rsidRPr="00394F5A">
        <w:rPr>
          <w:rFonts w:asciiTheme="minorHAnsi" w:eastAsiaTheme="minorHAnsi" w:hAnsiTheme="minorHAnsi" w:cstheme="minorHAnsi"/>
          <w:bCs/>
          <w:spacing w:val="-3"/>
        </w:rPr>
        <w:t>Respondent</w:t>
      </w:r>
    </w:p>
    <w:p w:rsidR="0035055B" w:rsidRPr="00394F5A" w:rsidRDefault="0035055B" w:rsidP="0035055B">
      <w:pPr>
        <w:tabs>
          <w:tab w:val="right" w:pos="9072"/>
        </w:tabs>
        <w:suppressAutoHyphens/>
        <w:spacing w:line="240" w:lineRule="atLeast"/>
        <w:rPr>
          <w:rFonts w:asciiTheme="minorHAnsi" w:eastAsiaTheme="minorHAnsi" w:hAnsiTheme="minorHAnsi" w:cstheme="minorHAnsi"/>
          <w:b/>
          <w:bCs/>
          <w:spacing w:val="-3"/>
        </w:rPr>
      </w:pPr>
    </w:p>
    <w:p w:rsidR="00383C77" w:rsidRPr="00394F5A" w:rsidRDefault="00383C77" w:rsidP="005A271D">
      <w:pPr>
        <w:spacing w:line="360" w:lineRule="auto"/>
        <w:rPr>
          <w:rFonts w:asciiTheme="minorHAnsi" w:hAnsiTheme="minorHAnsi" w:cstheme="minorHAnsi"/>
        </w:rPr>
      </w:pPr>
    </w:p>
    <w:p w:rsidR="00A231F0" w:rsidRPr="00394F5A" w:rsidRDefault="00A231F0"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r w:rsidRPr="00394F5A">
        <w:rPr>
          <w:rFonts w:ascii="Arial" w:hAnsi="Arial" w:cs="Arial"/>
          <w:noProof/>
          <w:lang w:eastAsia="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504BCF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94F5A" w:rsidRDefault="00597462" w:rsidP="00BE63E4">
      <w:pPr>
        <w:spacing w:before="240" w:line="276" w:lineRule="auto"/>
        <w:jc w:val="both"/>
        <w:rPr>
          <w:rFonts w:ascii="Arial" w:hAnsi="Arial" w:cs="Arial"/>
        </w:rPr>
      </w:pPr>
      <w:r w:rsidRPr="00394F5A">
        <w:rPr>
          <w:rFonts w:ascii="Arial" w:hAnsi="Arial" w:cs="Arial"/>
          <w:b/>
          <w:u w:val="single"/>
        </w:rPr>
        <w:t>CORAM</w:t>
      </w:r>
      <w:r w:rsidR="00031136" w:rsidRPr="00394F5A">
        <w:rPr>
          <w:rFonts w:ascii="Arial" w:hAnsi="Arial" w:cs="Arial"/>
          <w:b/>
        </w:rPr>
        <w:t>:</w:t>
      </w:r>
      <w:r w:rsidR="00306913" w:rsidRPr="00394F5A">
        <w:rPr>
          <w:rFonts w:ascii="Arial" w:hAnsi="Arial" w:cs="Arial"/>
        </w:rPr>
        <w:tab/>
      </w:r>
      <w:r w:rsidR="00306913" w:rsidRPr="00394F5A">
        <w:rPr>
          <w:rFonts w:ascii="Arial" w:hAnsi="Arial" w:cs="Arial"/>
        </w:rPr>
        <w:tab/>
      </w:r>
      <w:r w:rsidR="004765E7" w:rsidRPr="00394F5A">
        <w:rPr>
          <w:rFonts w:ascii="Arial" w:hAnsi="Arial" w:cs="Arial"/>
        </w:rPr>
        <w:t>TSANGARAKIS</w:t>
      </w:r>
      <w:r w:rsidR="0035055B" w:rsidRPr="00394F5A">
        <w:rPr>
          <w:rFonts w:ascii="Arial" w:hAnsi="Arial" w:cs="Arial"/>
        </w:rPr>
        <w:t>,</w:t>
      </w:r>
      <w:r w:rsidR="00B31852" w:rsidRPr="00394F5A">
        <w:rPr>
          <w:rFonts w:ascii="Arial" w:hAnsi="Arial" w:cs="Arial"/>
        </w:rPr>
        <w:t xml:space="preserve"> AJ</w:t>
      </w:r>
    </w:p>
    <w:p w:rsidR="00A231F0" w:rsidRPr="00394F5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r w:rsidRPr="00394F5A">
        <w:rPr>
          <w:rFonts w:ascii="Arial" w:hAnsi="Arial" w:cs="Arial"/>
          <w:noProof/>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AE1392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AC0EAF" w:rsidRPr="00394F5A"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p>
    <w:p w:rsidR="00217FD6" w:rsidRPr="00394F5A" w:rsidRDefault="00217FD6" w:rsidP="00217FD6">
      <w:pPr>
        <w:spacing w:line="360" w:lineRule="auto"/>
        <w:jc w:val="both"/>
        <w:rPr>
          <w:rFonts w:ascii="Arial" w:hAnsi="Arial" w:cs="Arial"/>
          <w:bCs/>
        </w:rPr>
      </w:pPr>
      <w:r w:rsidRPr="00394F5A">
        <w:rPr>
          <w:rFonts w:ascii="Arial" w:hAnsi="Arial" w:cs="Arial"/>
          <w:b/>
          <w:u w:val="single"/>
        </w:rPr>
        <w:t>HEARD</w:t>
      </w:r>
      <w:r w:rsidR="00031136" w:rsidRPr="00394F5A">
        <w:rPr>
          <w:rFonts w:ascii="Arial" w:hAnsi="Arial" w:cs="Arial"/>
          <w:b/>
          <w:u w:val="single"/>
        </w:rPr>
        <w:t xml:space="preserve"> ON</w:t>
      </w:r>
      <w:r w:rsidR="00031136" w:rsidRPr="00394F5A">
        <w:rPr>
          <w:rFonts w:ascii="Arial" w:hAnsi="Arial" w:cs="Arial"/>
          <w:b/>
        </w:rPr>
        <w:t>:</w:t>
      </w:r>
      <w:r w:rsidR="00E706E4" w:rsidRPr="00394F5A">
        <w:rPr>
          <w:rFonts w:ascii="Arial" w:hAnsi="Arial" w:cs="Arial"/>
          <w:b/>
        </w:rPr>
        <w:tab/>
      </w:r>
      <w:r w:rsidRPr="00394F5A">
        <w:rPr>
          <w:rFonts w:ascii="Arial" w:hAnsi="Arial" w:cs="Arial"/>
          <w:b/>
        </w:rPr>
        <w:tab/>
      </w:r>
      <w:r w:rsidR="00867375" w:rsidRPr="00394F5A">
        <w:rPr>
          <w:rFonts w:ascii="Arial" w:hAnsi="Arial" w:cs="Arial"/>
          <w:bCs/>
        </w:rPr>
        <w:t>9 FEBRUARY</w:t>
      </w:r>
      <w:r w:rsidRPr="00394F5A">
        <w:rPr>
          <w:rFonts w:ascii="Arial" w:hAnsi="Arial" w:cs="Arial"/>
          <w:bCs/>
        </w:rPr>
        <w:t xml:space="preserve"> 2023</w:t>
      </w:r>
    </w:p>
    <w:p w:rsidR="00217FD6" w:rsidRPr="00394F5A" w:rsidRDefault="00217FD6" w:rsidP="00217FD6">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r w:rsidRPr="00394F5A">
        <w:rPr>
          <w:rFonts w:ascii="Arial" w:hAnsi="Arial" w:cs="Arial"/>
          <w:noProof/>
          <w:sz w:val="24"/>
          <w:szCs w:val="24"/>
          <w:lang w:val="en-ZA"/>
        </w:rPr>
        <mc:AlternateContent>
          <mc:Choice Requires="wps">
            <w:drawing>
              <wp:inline distT="0" distB="0" distL="0" distR="0" wp14:anchorId="7F57CE69" wp14:editId="66968F7F">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DE96C1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217FD6" w:rsidRPr="00394F5A" w:rsidRDefault="00217FD6" w:rsidP="00217FD6">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ZA"/>
        </w:rPr>
      </w:pPr>
    </w:p>
    <w:p w:rsidR="00217FD6" w:rsidRPr="00394F5A" w:rsidRDefault="00217FD6" w:rsidP="00217FD6">
      <w:pPr>
        <w:spacing w:line="360" w:lineRule="auto"/>
        <w:jc w:val="both"/>
        <w:rPr>
          <w:rFonts w:ascii="Arial" w:hAnsi="Arial" w:cs="Arial"/>
          <w:bCs/>
        </w:rPr>
      </w:pPr>
      <w:r w:rsidRPr="00394F5A">
        <w:rPr>
          <w:rFonts w:ascii="Arial" w:hAnsi="Arial" w:cs="Arial"/>
          <w:b/>
          <w:u w:val="single"/>
        </w:rPr>
        <w:t>DELIVERED ON</w:t>
      </w:r>
      <w:r w:rsidRPr="00394F5A">
        <w:rPr>
          <w:rFonts w:ascii="Arial" w:hAnsi="Arial" w:cs="Arial"/>
          <w:b/>
        </w:rPr>
        <w:t>:</w:t>
      </w:r>
      <w:r w:rsidRPr="00394F5A">
        <w:rPr>
          <w:rFonts w:ascii="Arial" w:hAnsi="Arial" w:cs="Arial"/>
          <w:b/>
        </w:rPr>
        <w:tab/>
      </w:r>
      <w:r w:rsidR="00383C77">
        <w:rPr>
          <w:rFonts w:ascii="Arial" w:hAnsi="Arial" w:cs="Arial"/>
          <w:bCs/>
        </w:rPr>
        <w:t>20</w:t>
      </w:r>
      <w:r w:rsidRPr="00394F5A">
        <w:rPr>
          <w:rFonts w:ascii="Arial" w:hAnsi="Arial" w:cs="Arial"/>
          <w:bCs/>
        </w:rPr>
        <w:t xml:space="preserve"> FEBRUARY 2023</w:t>
      </w:r>
    </w:p>
    <w:p w:rsidR="00A231F0" w:rsidRPr="00394F5A" w:rsidRDefault="00A231F0" w:rsidP="00BE63E4">
      <w:pPr>
        <w:spacing w:line="276" w:lineRule="auto"/>
        <w:jc w:val="both"/>
        <w:rPr>
          <w:rFonts w:ascii="Arial" w:hAnsi="Arial" w:cs="Arial"/>
        </w:rPr>
      </w:pPr>
    </w:p>
    <w:p w:rsidR="00CC0F8D" w:rsidRPr="00394F5A" w:rsidRDefault="00CC0F8D" w:rsidP="00CC0F8D">
      <w:pPr>
        <w:spacing w:line="276" w:lineRule="auto"/>
        <w:jc w:val="both"/>
        <w:rPr>
          <w:rFonts w:ascii="Arial" w:hAnsi="Arial" w:cs="Arial"/>
        </w:rPr>
      </w:pPr>
      <w:r w:rsidRPr="00394F5A">
        <w:rPr>
          <w:rFonts w:ascii="Arial" w:hAnsi="Arial" w:cs="Arial"/>
          <w:noProof/>
          <w:lang w:eastAsia="en-ZA"/>
        </w:rPr>
        <mc:AlternateContent>
          <mc:Choice Requires="wps">
            <w:drawing>
              <wp:inline distT="0" distB="0" distL="0" distR="0" wp14:anchorId="6AFE94F8" wp14:editId="43A5CEAD">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438744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CC0F8D" w:rsidRPr="00394F5A" w:rsidRDefault="00CC0F8D" w:rsidP="00CC0F8D">
      <w:pPr>
        <w:spacing w:line="276" w:lineRule="auto"/>
        <w:jc w:val="both"/>
        <w:rPr>
          <w:rFonts w:ascii="Arial" w:hAnsi="Arial" w:cs="Arial"/>
        </w:rPr>
      </w:pPr>
    </w:p>
    <w:p w:rsidR="00CB157D" w:rsidRPr="00394F5A" w:rsidRDefault="00CB157D" w:rsidP="00BE63E4">
      <w:pPr>
        <w:spacing w:line="276" w:lineRule="auto"/>
        <w:jc w:val="both"/>
        <w:rPr>
          <w:rFonts w:ascii="Arial" w:hAnsi="Arial" w:cs="Arial"/>
        </w:rPr>
      </w:pPr>
    </w:p>
    <w:p w:rsidR="0096158D" w:rsidRPr="00394F5A" w:rsidRDefault="0096158D" w:rsidP="00BE63E4">
      <w:pPr>
        <w:spacing w:line="276" w:lineRule="auto"/>
        <w:jc w:val="both"/>
        <w:rPr>
          <w:rFonts w:ascii="Arial" w:hAnsi="Arial" w:cs="Arial"/>
        </w:rPr>
      </w:pPr>
    </w:p>
    <w:p w:rsidR="00383C77" w:rsidRDefault="00383C77" w:rsidP="00BE63E4">
      <w:pPr>
        <w:spacing w:line="276" w:lineRule="auto"/>
        <w:jc w:val="both"/>
        <w:rPr>
          <w:rFonts w:ascii="Arial" w:hAnsi="Arial" w:cs="Arial"/>
          <w:b/>
          <w:bCs/>
        </w:rPr>
      </w:pPr>
    </w:p>
    <w:p w:rsidR="0096158D" w:rsidRPr="00394F5A" w:rsidRDefault="0096158D" w:rsidP="00BE63E4">
      <w:pPr>
        <w:spacing w:line="276" w:lineRule="auto"/>
        <w:jc w:val="both"/>
        <w:rPr>
          <w:rFonts w:ascii="Arial" w:hAnsi="Arial" w:cs="Arial"/>
          <w:b/>
          <w:bCs/>
        </w:rPr>
      </w:pPr>
      <w:r w:rsidRPr="00394F5A">
        <w:rPr>
          <w:rFonts w:ascii="Arial" w:hAnsi="Arial" w:cs="Arial"/>
          <w:b/>
          <w:bCs/>
        </w:rPr>
        <w:t xml:space="preserve">INTRODUCTION </w:t>
      </w:r>
    </w:p>
    <w:p w:rsidR="0096158D" w:rsidRPr="00394F5A" w:rsidRDefault="0096158D" w:rsidP="00BE63E4">
      <w:pPr>
        <w:spacing w:line="276" w:lineRule="auto"/>
        <w:jc w:val="both"/>
        <w:rPr>
          <w:rFonts w:ascii="Arial" w:hAnsi="Arial" w:cs="Arial"/>
          <w:b/>
          <w:bCs/>
        </w:rPr>
      </w:pPr>
    </w:p>
    <w:p w:rsidR="006963F5" w:rsidRPr="00394F5A" w:rsidRDefault="006963F5" w:rsidP="00BE63E4">
      <w:pPr>
        <w:spacing w:line="276" w:lineRule="auto"/>
        <w:jc w:val="both"/>
        <w:rPr>
          <w:rFonts w:ascii="Arial" w:hAnsi="Arial" w:cs="Arial"/>
          <w:b/>
          <w:bCs/>
        </w:rPr>
      </w:pPr>
    </w:p>
    <w:p w:rsidR="00383C77" w:rsidRPr="00383C77" w:rsidRDefault="005A271D" w:rsidP="00383C77">
      <w:pPr>
        <w:spacing w:after="240" w:line="480" w:lineRule="auto"/>
        <w:ind w:left="720" w:hanging="720"/>
        <w:jc w:val="both"/>
        <w:rPr>
          <w:rFonts w:asciiTheme="majorHAnsi" w:hAnsiTheme="majorHAnsi" w:cstheme="majorHAnsi"/>
        </w:rPr>
      </w:pPr>
      <w:r w:rsidRPr="00394F5A">
        <w:rPr>
          <w:rFonts w:ascii="Arial" w:hAnsi="Arial" w:cs="Arial"/>
        </w:rPr>
        <w:t>[1]</w:t>
      </w:r>
      <w:r w:rsidR="00383C77">
        <w:rPr>
          <w:rFonts w:asciiTheme="majorHAnsi" w:hAnsiTheme="majorHAnsi" w:cstheme="majorHAnsi"/>
        </w:rPr>
        <w:tab/>
        <w:t>T</w:t>
      </w:r>
      <w:r w:rsidR="00383C77" w:rsidRPr="00394F5A">
        <w:rPr>
          <w:rFonts w:asciiTheme="majorHAnsi" w:hAnsiTheme="majorHAnsi" w:cstheme="majorHAnsi"/>
        </w:rPr>
        <w:t xml:space="preserve">his application </w:t>
      </w:r>
      <w:r w:rsidR="00383C77">
        <w:rPr>
          <w:rFonts w:asciiTheme="majorHAnsi" w:hAnsiTheme="majorHAnsi" w:cstheme="majorHAnsi"/>
        </w:rPr>
        <w:t xml:space="preserve">concerns </w:t>
      </w:r>
      <w:r w:rsidR="00383C77" w:rsidRPr="00394F5A">
        <w:rPr>
          <w:rFonts w:asciiTheme="majorHAnsi" w:hAnsiTheme="majorHAnsi" w:cstheme="majorHAnsi"/>
        </w:rPr>
        <w:t>the</w:t>
      </w:r>
      <w:r w:rsidR="00383C77">
        <w:rPr>
          <w:rFonts w:asciiTheme="majorHAnsi" w:hAnsiTheme="majorHAnsi" w:cstheme="majorHAnsi"/>
        </w:rPr>
        <w:t xml:space="preserve"> entitlement of the respondent to </w:t>
      </w:r>
      <w:r w:rsidR="00383C77" w:rsidRPr="00394F5A">
        <w:rPr>
          <w:rFonts w:asciiTheme="majorHAnsi" w:hAnsiTheme="majorHAnsi" w:cstheme="majorHAnsi"/>
        </w:rPr>
        <w:t>disconnect the</w:t>
      </w:r>
      <w:r w:rsidR="00383C77">
        <w:rPr>
          <w:rFonts w:asciiTheme="majorHAnsi" w:hAnsiTheme="majorHAnsi" w:cstheme="majorHAnsi"/>
        </w:rPr>
        <w:t xml:space="preserve"> </w:t>
      </w:r>
      <w:r w:rsidR="00383C77" w:rsidRPr="00394F5A">
        <w:rPr>
          <w:rFonts w:asciiTheme="majorHAnsi" w:hAnsiTheme="majorHAnsi" w:cstheme="majorHAnsi"/>
        </w:rPr>
        <w:t xml:space="preserve">municipal electricity services to the applicant’s property as described in </w:t>
      </w:r>
      <w:r w:rsidR="00383C77">
        <w:rPr>
          <w:rFonts w:asciiTheme="majorHAnsi" w:hAnsiTheme="majorHAnsi" w:cstheme="majorHAnsi"/>
        </w:rPr>
        <w:t>prayer</w:t>
      </w:r>
      <w:r w:rsidR="00383C77" w:rsidRPr="00394F5A">
        <w:rPr>
          <w:rFonts w:asciiTheme="majorHAnsi" w:hAnsiTheme="majorHAnsi" w:cstheme="majorHAnsi"/>
        </w:rPr>
        <w:t xml:space="preserve"> 1 of the relief reproduced in paragraph </w:t>
      </w:r>
      <w:r w:rsidR="00383C77">
        <w:rPr>
          <w:rFonts w:asciiTheme="majorHAnsi" w:hAnsiTheme="majorHAnsi" w:cstheme="majorHAnsi"/>
        </w:rPr>
        <w:t>3</w:t>
      </w:r>
      <w:r w:rsidR="00383C77" w:rsidRPr="00394F5A">
        <w:rPr>
          <w:rFonts w:asciiTheme="majorHAnsi" w:hAnsiTheme="majorHAnsi" w:cstheme="majorHAnsi"/>
        </w:rPr>
        <w:t xml:space="preserve"> </w:t>
      </w:r>
      <w:r w:rsidR="00383C77">
        <w:rPr>
          <w:rFonts w:asciiTheme="majorHAnsi" w:hAnsiTheme="majorHAnsi" w:cstheme="majorHAnsi"/>
        </w:rPr>
        <w:t>below</w:t>
      </w:r>
      <w:r w:rsidR="00383C77" w:rsidRPr="00394F5A">
        <w:rPr>
          <w:rFonts w:asciiTheme="majorHAnsi" w:hAnsiTheme="majorHAnsi" w:cstheme="majorHAnsi"/>
        </w:rPr>
        <w:t xml:space="preserve"> (“</w:t>
      </w:r>
      <w:r w:rsidR="00383C77" w:rsidRPr="00394F5A">
        <w:rPr>
          <w:rFonts w:asciiTheme="majorHAnsi" w:hAnsiTheme="majorHAnsi" w:cstheme="majorHAnsi"/>
          <w:i/>
          <w:iCs/>
        </w:rPr>
        <w:t>the property</w:t>
      </w:r>
      <w:r w:rsidR="00383C77" w:rsidRPr="00394F5A">
        <w:rPr>
          <w:rFonts w:asciiTheme="majorHAnsi" w:hAnsiTheme="majorHAnsi" w:cstheme="majorHAnsi"/>
        </w:rPr>
        <w:t>”).</w:t>
      </w:r>
    </w:p>
    <w:p w:rsidR="00794BD0" w:rsidRPr="00394F5A" w:rsidRDefault="009A5664" w:rsidP="00FB5E8D">
      <w:pPr>
        <w:spacing w:after="240" w:line="480" w:lineRule="auto"/>
        <w:ind w:left="720" w:hanging="720"/>
        <w:jc w:val="both"/>
        <w:rPr>
          <w:rFonts w:ascii="Arial" w:hAnsi="Arial" w:cs="Arial"/>
        </w:rPr>
      </w:pPr>
      <w:r w:rsidRPr="00394F5A">
        <w:rPr>
          <w:rFonts w:ascii="Arial" w:hAnsi="Arial" w:cs="Arial"/>
        </w:rPr>
        <w:t>[</w:t>
      </w:r>
      <w:r w:rsidR="00383C77">
        <w:rPr>
          <w:rFonts w:ascii="Arial" w:hAnsi="Arial" w:cs="Arial"/>
        </w:rPr>
        <w:t>2</w:t>
      </w:r>
      <w:r w:rsidRPr="00394F5A">
        <w:rPr>
          <w:rFonts w:ascii="Arial" w:hAnsi="Arial" w:cs="Arial"/>
        </w:rPr>
        <w:t>]</w:t>
      </w:r>
      <w:r w:rsidRPr="00394F5A">
        <w:rPr>
          <w:rFonts w:ascii="Arial" w:hAnsi="Arial" w:cs="Arial"/>
        </w:rPr>
        <w:tab/>
      </w:r>
      <w:r w:rsidR="002230DA" w:rsidRPr="00394F5A">
        <w:rPr>
          <w:rFonts w:ascii="Arial" w:hAnsi="Arial" w:cs="Arial"/>
        </w:rPr>
        <w:t>Part A of the relief sought by the applica</w:t>
      </w:r>
      <w:r w:rsidR="003D027D">
        <w:rPr>
          <w:rFonts w:ascii="Arial" w:hAnsi="Arial" w:cs="Arial"/>
        </w:rPr>
        <w:t>nt</w:t>
      </w:r>
      <w:r w:rsidR="002230DA" w:rsidRPr="00394F5A">
        <w:rPr>
          <w:rFonts w:ascii="Arial" w:hAnsi="Arial" w:cs="Arial"/>
        </w:rPr>
        <w:t xml:space="preserve"> served before this Court on 2 December 2022</w:t>
      </w:r>
      <w:r w:rsidR="003D027D">
        <w:rPr>
          <w:rFonts w:ascii="Arial" w:hAnsi="Arial" w:cs="Arial"/>
        </w:rPr>
        <w:t>. On that</w:t>
      </w:r>
      <w:r w:rsidR="002230DA" w:rsidRPr="00394F5A">
        <w:rPr>
          <w:rFonts w:ascii="Arial" w:hAnsi="Arial" w:cs="Arial"/>
        </w:rPr>
        <w:t xml:space="preserve"> date an order </w:t>
      </w:r>
      <w:r w:rsidR="003D027D">
        <w:rPr>
          <w:rFonts w:ascii="Arial" w:hAnsi="Arial" w:cs="Arial"/>
        </w:rPr>
        <w:t>was granted inter alia</w:t>
      </w:r>
      <w:r w:rsidR="00FB5E8D">
        <w:rPr>
          <w:rFonts w:ascii="Arial" w:hAnsi="Arial" w:cs="Arial"/>
        </w:rPr>
        <w:t xml:space="preserve"> </w:t>
      </w:r>
      <w:r w:rsidR="00383C77">
        <w:rPr>
          <w:rFonts w:ascii="Arial" w:hAnsi="Arial" w:cs="Arial"/>
        </w:rPr>
        <w:t>(</w:t>
      </w:r>
      <w:proofErr w:type="spellStart"/>
      <w:r w:rsidR="00383C77">
        <w:rPr>
          <w:rFonts w:ascii="Arial" w:hAnsi="Arial" w:cs="Arial"/>
        </w:rPr>
        <w:t>i</w:t>
      </w:r>
      <w:proofErr w:type="spellEnd"/>
      <w:r w:rsidR="00383C77">
        <w:rPr>
          <w:rFonts w:ascii="Arial" w:hAnsi="Arial" w:cs="Arial"/>
        </w:rPr>
        <w:t xml:space="preserve">) </w:t>
      </w:r>
      <w:r w:rsidR="00FB5E8D">
        <w:rPr>
          <w:rFonts w:ascii="Arial" w:hAnsi="Arial" w:cs="Arial"/>
        </w:rPr>
        <w:t>p</w:t>
      </w:r>
      <w:r w:rsidR="002230DA" w:rsidRPr="00394F5A">
        <w:rPr>
          <w:rFonts w:ascii="Arial" w:hAnsi="Arial" w:cs="Arial"/>
        </w:rPr>
        <w:t>ostponing the application to 9 February 2023</w:t>
      </w:r>
      <w:r w:rsidR="00FB5E8D">
        <w:rPr>
          <w:rFonts w:ascii="Arial" w:hAnsi="Arial" w:cs="Arial"/>
        </w:rPr>
        <w:t xml:space="preserve">, </w:t>
      </w:r>
      <w:r w:rsidR="00383C77">
        <w:rPr>
          <w:rFonts w:ascii="Arial" w:hAnsi="Arial" w:cs="Arial"/>
        </w:rPr>
        <w:t xml:space="preserve">(ii) </w:t>
      </w:r>
      <w:r w:rsidR="00FB5E8D">
        <w:rPr>
          <w:rFonts w:ascii="Arial" w:hAnsi="Arial" w:cs="Arial"/>
        </w:rPr>
        <w:t>r</w:t>
      </w:r>
      <w:r w:rsidR="002230DA" w:rsidRPr="00394F5A">
        <w:rPr>
          <w:rFonts w:ascii="Arial" w:hAnsi="Arial" w:cs="Arial"/>
        </w:rPr>
        <w:t>egulating the periods of time in terms of which the respective parties were to file</w:t>
      </w:r>
      <w:r w:rsidR="003D027D">
        <w:rPr>
          <w:rFonts w:ascii="Arial" w:hAnsi="Arial" w:cs="Arial"/>
        </w:rPr>
        <w:t xml:space="preserve"> </w:t>
      </w:r>
      <w:r w:rsidR="009F2DF2">
        <w:rPr>
          <w:rFonts w:ascii="Arial" w:hAnsi="Arial" w:cs="Arial"/>
        </w:rPr>
        <w:t xml:space="preserve">further </w:t>
      </w:r>
      <w:r w:rsidR="003D027D">
        <w:rPr>
          <w:rFonts w:ascii="Arial" w:hAnsi="Arial" w:cs="Arial"/>
        </w:rPr>
        <w:t>affidavit</w:t>
      </w:r>
      <w:r w:rsidR="00FB5E8D">
        <w:rPr>
          <w:rFonts w:ascii="Arial" w:hAnsi="Arial" w:cs="Arial"/>
        </w:rPr>
        <w:t xml:space="preserve">s, </w:t>
      </w:r>
      <w:r w:rsidR="00383C77">
        <w:rPr>
          <w:rFonts w:ascii="Arial" w:hAnsi="Arial" w:cs="Arial"/>
        </w:rPr>
        <w:t xml:space="preserve">(iii) </w:t>
      </w:r>
      <w:r w:rsidR="00FB5E8D">
        <w:rPr>
          <w:rFonts w:ascii="Arial" w:hAnsi="Arial" w:cs="Arial"/>
        </w:rPr>
        <w:t>d</w:t>
      </w:r>
      <w:r w:rsidR="002230DA" w:rsidRPr="00394F5A">
        <w:rPr>
          <w:rFonts w:ascii="Arial" w:hAnsi="Arial" w:cs="Arial"/>
        </w:rPr>
        <w:t xml:space="preserve">irecting the respondent to reconnect the </w:t>
      </w:r>
      <w:r w:rsidR="00794BD0" w:rsidRPr="00394F5A">
        <w:rPr>
          <w:rFonts w:ascii="Arial" w:hAnsi="Arial" w:cs="Arial"/>
        </w:rPr>
        <w:t>electricity supply with immediate effect pending finalisation of</w:t>
      </w:r>
      <w:r w:rsidR="00BD3088">
        <w:rPr>
          <w:rFonts w:ascii="Arial" w:hAnsi="Arial" w:cs="Arial"/>
        </w:rPr>
        <w:t xml:space="preserve"> Part B of</w:t>
      </w:r>
      <w:r w:rsidR="00794BD0" w:rsidRPr="00394F5A">
        <w:rPr>
          <w:rFonts w:ascii="Arial" w:hAnsi="Arial" w:cs="Arial"/>
        </w:rPr>
        <w:t xml:space="preserve"> the application</w:t>
      </w:r>
      <w:r w:rsidR="00FB5E8D">
        <w:rPr>
          <w:rFonts w:ascii="Arial" w:hAnsi="Arial" w:cs="Arial"/>
        </w:rPr>
        <w:t xml:space="preserve"> </w:t>
      </w:r>
      <w:r w:rsidR="00794BD0" w:rsidRPr="00394F5A">
        <w:rPr>
          <w:rFonts w:ascii="Arial" w:hAnsi="Arial" w:cs="Arial"/>
        </w:rPr>
        <w:t>and</w:t>
      </w:r>
      <w:r w:rsidR="00FB5E8D">
        <w:rPr>
          <w:rFonts w:ascii="Arial" w:hAnsi="Arial" w:cs="Arial"/>
        </w:rPr>
        <w:t xml:space="preserve"> </w:t>
      </w:r>
      <w:r w:rsidR="00383C77">
        <w:rPr>
          <w:rFonts w:ascii="Arial" w:hAnsi="Arial" w:cs="Arial"/>
        </w:rPr>
        <w:t xml:space="preserve">(iv) </w:t>
      </w:r>
      <w:r w:rsidR="00FB5E8D">
        <w:rPr>
          <w:rFonts w:ascii="Arial" w:hAnsi="Arial" w:cs="Arial"/>
        </w:rPr>
        <w:t>s</w:t>
      </w:r>
      <w:r w:rsidR="00794BD0" w:rsidRPr="00394F5A">
        <w:rPr>
          <w:rFonts w:ascii="Arial" w:hAnsi="Arial" w:cs="Arial"/>
        </w:rPr>
        <w:t>tanding the costs over for later adjudication.</w:t>
      </w:r>
    </w:p>
    <w:p w:rsidR="00493800" w:rsidRPr="00394F5A" w:rsidRDefault="00493800" w:rsidP="00297922">
      <w:pPr>
        <w:spacing w:after="240" w:line="480" w:lineRule="auto"/>
        <w:ind w:left="720" w:hanging="720"/>
        <w:jc w:val="both"/>
        <w:rPr>
          <w:rFonts w:ascii="Arial" w:hAnsi="Arial" w:cs="Arial"/>
        </w:rPr>
      </w:pPr>
      <w:r w:rsidRPr="00394F5A">
        <w:rPr>
          <w:rFonts w:ascii="Arial" w:hAnsi="Arial" w:cs="Arial"/>
        </w:rPr>
        <w:t>[</w:t>
      </w:r>
      <w:r w:rsidR="00383C77">
        <w:rPr>
          <w:rFonts w:ascii="Arial" w:hAnsi="Arial" w:cs="Arial"/>
        </w:rPr>
        <w:t>3</w:t>
      </w:r>
      <w:r w:rsidRPr="00394F5A">
        <w:rPr>
          <w:rFonts w:ascii="Arial" w:hAnsi="Arial" w:cs="Arial"/>
        </w:rPr>
        <w:t>]</w:t>
      </w:r>
      <w:r w:rsidRPr="00394F5A">
        <w:rPr>
          <w:rFonts w:ascii="Arial" w:hAnsi="Arial" w:cs="Arial"/>
        </w:rPr>
        <w:tab/>
      </w:r>
      <w:r w:rsidR="003D027D">
        <w:rPr>
          <w:rFonts w:ascii="Arial" w:hAnsi="Arial" w:cs="Arial"/>
        </w:rPr>
        <w:t>In terms of</w:t>
      </w:r>
      <w:r w:rsidR="00794BD0" w:rsidRPr="00394F5A">
        <w:rPr>
          <w:rFonts w:ascii="Arial" w:hAnsi="Arial" w:cs="Arial"/>
        </w:rPr>
        <w:t xml:space="preserve"> Part B, </w:t>
      </w:r>
      <w:r w:rsidR="00BD3088">
        <w:rPr>
          <w:rFonts w:ascii="Arial" w:hAnsi="Arial" w:cs="Arial"/>
        </w:rPr>
        <w:t xml:space="preserve">it </w:t>
      </w:r>
      <w:r w:rsidR="00794BD0" w:rsidRPr="00394F5A">
        <w:rPr>
          <w:rFonts w:ascii="Arial" w:hAnsi="Arial" w:cs="Arial"/>
        </w:rPr>
        <w:t>being the</w:t>
      </w:r>
      <w:r w:rsidR="003D027D">
        <w:rPr>
          <w:rFonts w:ascii="Arial" w:hAnsi="Arial" w:cs="Arial"/>
        </w:rPr>
        <w:t xml:space="preserve"> remaining portion of the</w:t>
      </w:r>
      <w:r w:rsidR="00794BD0" w:rsidRPr="00394F5A">
        <w:rPr>
          <w:rFonts w:ascii="Arial" w:hAnsi="Arial" w:cs="Arial"/>
        </w:rPr>
        <w:t xml:space="preserve"> relief that serves before </w:t>
      </w:r>
      <w:r w:rsidR="004167A1">
        <w:rPr>
          <w:rFonts w:ascii="Arial" w:hAnsi="Arial" w:cs="Arial"/>
        </w:rPr>
        <w:t>me</w:t>
      </w:r>
      <w:r w:rsidR="00794BD0" w:rsidRPr="00394F5A">
        <w:rPr>
          <w:rFonts w:ascii="Arial" w:hAnsi="Arial" w:cs="Arial"/>
        </w:rPr>
        <w:t xml:space="preserve"> for adjudication, the applicant moves for an order in the following terms:</w:t>
      </w:r>
    </w:p>
    <w:p w:rsidR="00794BD0" w:rsidRPr="00394F5A" w:rsidRDefault="00794BD0" w:rsidP="00794BD0">
      <w:pPr>
        <w:spacing w:after="240" w:line="480" w:lineRule="auto"/>
        <w:ind w:left="1701" w:hanging="720"/>
        <w:jc w:val="both"/>
        <w:rPr>
          <w:rFonts w:ascii="Arial" w:hAnsi="Arial" w:cs="Arial"/>
          <w:i/>
          <w:iCs/>
        </w:rPr>
      </w:pPr>
      <w:r w:rsidRPr="00394F5A">
        <w:rPr>
          <w:rFonts w:ascii="Arial" w:hAnsi="Arial" w:cs="Arial"/>
        </w:rPr>
        <w:t>“</w:t>
      </w:r>
      <w:r w:rsidRPr="00394F5A">
        <w:rPr>
          <w:rFonts w:ascii="Arial" w:hAnsi="Arial" w:cs="Arial"/>
          <w:i/>
          <w:iCs/>
        </w:rPr>
        <w:t>1.</w:t>
      </w:r>
      <w:r w:rsidRPr="00394F5A">
        <w:rPr>
          <w:rFonts w:ascii="Arial" w:hAnsi="Arial" w:cs="Arial"/>
          <w:i/>
          <w:iCs/>
        </w:rPr>
        <w:tab/>
        <w:t>That it be declared that the Respondent’s conduct in disconnecting the municipal electrical services on 1 December 2022, to the property described as Erf</w:t>
      </w:r>
      <w:r w:rsidR="007924F9">
        <w:rPr>
          <w:rFonts w:ascii="Arial" w:hAnsi="Arial" w:cs="Arial"/>
          <w:i/>
          <w:iCs/>
        </w:rPr>
        <w:t xml:space="preserve"> 12637</w:t>
      </w:r>
      <w:r w:rsidRPr="00394F5A">
        <w:rPr>
          <w:rFonts w:ascii="Arial" w:hAnsi="Arial" w:cs="Arial"/>
          <w:i/>
          <w:iCs/>
        </w:rPr>
        <w:t xml:space="preserve"> Bloemfontein Extension 75 Township, </w:t>
      </w:r>
      <w:r w:rsidR="00345AE6" w:rsidRPr="00394F5A">
        <w:rPr>
          <w:rFonts w:ascii="Arial" w:hAnsi="Arial" w:cs="Arial"/>
          <w:i/>
          <w:iCs/>
        </w:rPr>
        <w:t>R</w:t>
      </w:r>
      <w:r w:rsidRPr="00394F5A">
        <w:rPr>
          <w:rFonts w:ascii="Arial" w:hAnsi="Arial" w:cs="Arial"/>
          <w:i/>
          <w:iCs/>
        </w:rPr>
        <w:t xml:space="preserve">egistration </w:t>
      </w:r>
      <w:r w:rsidR="00345AE6" w:rsidRPr="00394F5A">
        <w:rPr>
          <w:rFonts w:ascii="Arial" w:hAnsi="Arial" w:cs="Arial"/>
          <w:i/>
          <w:iCs/>
        </w:rPr>
        <w:t>D</w:t>
      </w:r>
      <w:r w:rsidRPr="00394F5A">
        <w:rPr>
          <w:rFonts w:ascii="Arial" w:hAnsi="Arial" w:cs="Arial"/>
          <w:i/>
          <w:iCs/>
        </w:rPr>
        <w:t xml:space="preserve">ivision Bloemfontein </w:t>
      </w:r>
      <w:r w:rsidR="00345AE6" w:rsidRPr="00394F5A">
        <w:rPr>
          <w:rFonts w:ascii="Arial" w:hAnsi="Arial" w:cs="Arial"/>
          <w:i/>
          <w:iCs/>
        </w:rPr>
        <w:t>R</w:t>
      </w:r>
      <w:r w:rsidRPr="00394F5A">
        <w:rPr>
          <w:rFonts w:ascii="Arial" w:hAnsi="Arial" w:cs="Arial"/>
          <w:i/>
          <w:iCs/>
        </w:rPr>
        <w:t>oad</w:t>
      </w:r>
      <w:r w:rsidR="00345AE6" w:rsidRPr="00394F5A">
        <w:rPr>
          <w:rFonts w:ascii="Arial" w:hAnsi="Arial" w:cs="Arial"/>
          <w:i/>
          <w:iCs/>
        </w:rPr>
        <w:t xml:space="preserve">, Free State, with municipal account number </w:t>
      </w:r>
      <w:r w:rsidR="007924F9">
        <w:rPr>
          <w:rFonts w:ascii="Arial" w:hAnsi="Arial" w:cs="Arial"/>
          <w:i/>
          <w:iCs/>
        </w:rPr>
        <w:t>1002688351</w:t>
      </w:r>
      <w:r w:rsidR="00345AE6" w:rsidRPr="00394F5A">
        <w:rPr>
          <w:rFonts w:ascii="Arial" w:hAnsi="Arial" w:cs="Arial"/>
          <w:i/>
          <w:iCs/>
        </w:rPr>
        <w:t xml:space="preserve"> is </w:t>
      </w:r>
      <w:r w:rsidR="004167A1">
        <w:rPr>
          <w:rFonts w:ascii="Arial" w:hAnsi="Arial" w:cs="Arial"/>
          <w:i/>
          <w:iCs/>
        </w:rPr>
        <w:t>unlawful</w:t>
      </w:r>
      <w:r w:rsidR="00B262DA" w:rsidRPr="00394F5A">
        <w:rPr>
          <w:rFonts w:ascii="Arial" w:hAnsi="Arial" w:cs="Arial"/>
          <w:i/>
          <w:iCs/>
        </w:rPr>
        <w:t>;</w:t>
      </w:r>
    </w:p>
    <w:p w:rsidR="00345AE6" w:rsidRPr="00394F5A" w:rsidRDefault="00345AE6" w:rsidP="00794BD0">
      <w:pPr>
        <w:spacing w:after="240" w:line="480" w:lineRule="auto"/>
        <w:ind w:left="1701" w:hanging="720"/>
        <w:jc w:val="both"/>
        <w:rPr>
          <w:rFonts w:ascii="Arial" w:hAnsi="Arial" w:cs="Arial"/>
          <w:i/>
          <w:iCs/>
        </w:rPr>
      </w:pPr>
      <w:r w:rsidRPr="00394F5A">
        <w:rPr>
          <w:rFonts w:ascii="Arial" w:hAnsi="Arial" w:cs="Arial"/>
          <w:i/>
          <w:iCs/>
        </w:rPr>
        <w:t>2.</w:t>
      </w:r>
      <w:r w:rsidRPr="00394F5A">
        <w:rPr>
          <w:rFonts w:ascii="Arial" w:hAnsi="Arial" w:cs="Arial"/>
          <w:i/>
          <w:iCs/>
        </w:rPr>
        <w:tab/>
        <w:t xml:space="preserve">That the Respondent </w:t>
      </w:r>
      <w:r w:rsidR="0071552F" w:rsidRPr="00394F5A">
        <w:rPr>
          <w:rFonts w:ascii="Arial" w:hAnsi="Arial" w:cs="Arial"/>
          <w:i/>
          <w:iCs/>
        </w:rPr>
        <w:t>be interdicted and restrained from disconnecting municipal service supply to the property without first complying with:</w:t>
      </w:r>
    </w:p>
    <w:p w:rsidR="0071552F" w:rsidRPr="00394F5A" w:rsidRDefault="0071552F" w:rsidP="0071552F">
      <w:pPr>
        <w:spacing w:after="240" w:line="480" w:lineRule="auto"/>
        <w:ind w:left="2410" w:hanging="720"/>
        <w:jc w:val="both"/>
        <w:rPr>
          <w:rFonts w:ascii="Arial" w:hAnsi="Arial" w:cs="Arial"/>
          <w:i/>
          <w:iCs/>
        </w:rPr>
      </w:pPr>
      <w:r w:rsidRPr="00394F5A">
        <w:rPr>
          <w:rFonts w:ascii="Arial" w:hAnsi="Arial" w:cs="Arial"/>
          <w:i/>
          <w:iCs/>
        </w:rPr>
        <w:t>2.1</w:t>
      </w:r>
      <w:r w:rsidRPr="00394F5A">
        <w:rPr>
          <w:rFonts w:ascii="Arial" w:hAnsi="Arial" w:cs="Arial"/>
          <w:i/>
          <w:iCs/>
        </w:rPr>
        <w:tab/>
        <w:t>its obligations in terms of the Municipal Systems Act, 2000, as amended; and</w:t>
      </w:r>
    </w:p>
    <w:p w:rsidR="0071552F" w:rsidRPr="00394F5A" w:rsidRDefault="0071552F" w:rsidP="0071552F">
      <w:pPr>
        <w:spacing w:after="240" w:line="480" w:lineRule="auto"/>
        <w:ind w:left="2410" w:hanging="720"/>
        <w:jc w:val="both"/>
        <w:rPr>
          <w:rFonts w:ascii="Arial" w:hAnsi="Arial" w:cs="Arial"/>
          <w:i/>
          <w:iCs/>
        </w:rPr>
      </w:pPr>
      <w:r w:rsidRPr="00394F5A">
        <w:rPr>
          <w:rFonts w:ascii="Arial" w:hAnsi="Arial" w:cs="Arial"/>
          <w:i/>
          <w:iCs/>
        </w:rPr>
        <w:t>2.2</w:t>
      </w:r>
      <w:r w:rsidRPr="00394F5A">
        <w:rPr>
          <w:rFonts w:ascii="Arial" w:hAnsi="Arial" w:cs="Arial"/>
          <w:i/>
          <w:iCs/>
        </w:rPr>
        <w:tab/>
        <w:t>its obligations in terms of the By-Law Relating to Credit Control and Debt Collection, 2013</w:t>
      </w:r>
      <w:r w:rsidR="007924F9">
        <w:rPr>
          <w:rFonts w:ascii="Arial" w:hAnsi="Arial" w:cs="Arial"/>
          <w:i/>
          <w:iCs/>
        </w:rPr>
        <w:t>.</w:t>
      </w:r>
    </w:p>
    <w:p w:rsidR="0071552F" w:rsidRPr="00394F5A" w:rsidRDefault="0071552F" w:rsidP="00794BD0">
      <w:pPr>
        <w:spacing w:after="240" w:line="480" w:lineRule="auto"/>
        <w:ind w:left="1701" w:hanging="720"/>
        <w:jc w:val="both"/>
        <w:rPr>
          <w:rFonts w:ascii="Arial" w:hAnsi="Arial" w:cs="Arial"/>
          <w:i/>
          <w:iCs/>
        </w:rPr>
      </w:pPr>
      <w:r w:rsidRPr="00394F5A">
        <w:rPr>
          <w:rFonts w:ascii="Arial" w:hAnsi="Arial" w:cs="Arial"/>
          <w:i/>
          <w:iCs/>
        </w:rPr>
        <w:t>3.</w:t>
      </w:r>
      <w:r w:rsidRPr="00394F5A">
        <w:rPr>
          <w:rFonts w:ascii="Arial" w:hAnsi="Arial" w:cs="Arial"/>
          <w:i/>
          <w:iCs/>
        </w:rPr>
        <w:tab/>
        <w:t>That to the extent necessary the respondent is ordered and directed to reinstate all municipal service supply to the property</w:t>
      </w:r>
      <w:r w:rsidR="00B262DA" w:rsidRPr="00394F5A">
        <w:rPr>
          <w:rFonts w:ascii="Arial" w:hAnsi="Arial" w:cs="Arial"/>
          <w:i/>
          <w:iCs/>
        </w:rPr>
        <w:t>;</w:t>
      </w:r>
    </w:p>
    <w:p w:rsidR="0071552F" w:rsidRPr="00394F5A" w:rsidRDefault="0071552F" w:rsidP="00794BD0">
      <w:pPr>
        <w:spacing w:after="240" w:line="480" w:lineRule="auto"/>
        <w:ind w:left="1701" w:hanging="720"/>
        <w:jc w:val="both"/>
        <w:rPr>
          <w:rFonts w:ascii="Arial" w:hAnsi="Arial" w:cs="Arial"/>
          <w:i/>
          <w:iCs/>
        </w:rPr>
      </w:pPr>
      <w:r w:rsidRPr="00394F5A">
        <w:rPr>
          <w:rFonts w:ascii="Arial" w:hAnsi="Arial" w:cs="Arial"/>
          <w:i/>
          <w:iCs/>
        </w:rPr>
        <w:t>4.</w:t>
      </w:r>
      <w:r w:rsidRPr="00394F5A">
        <w:rPr>
          <w:rFonts w:ascii="Arial" w:hAnsi="Arial" w:cs="Arial"/>
          <w:i/>
          <w:iCs/>
        </w:rPr>
        <w:tab/>
        <w:t>That the Respondent pay the costs of this application;</w:t>
      </w:r>
    </w:p>
    <w:p w:rsidR="00EA4550" w:rsidRPr="00383C77" w:rsidRDefault="0071552F" w:rsidP="00383C77">
      <w:pPr>
        <w:spacing w:after="240" w:line="480" w:lineRule="auto"/>
        <w:ind w:left="1701" w:hanging="720"/>
        <w:jc w:val="both"/>
        <w:rPr>
          <w:rFonts w:ascii="Arial" w:hAnsi="Arial" w:cs="Arial"/>
        </w:rPr>
      </w:pPr>
      <w:r w:rsidRPr="00394F5A">
        <w:rPr>
          <w:rFonts w:ascii="Arial" w:hAnsi="Arial" w:cs="Arial"/>
          <w:i/>
          <w:iCs/>
        </w:rPr>
        <w:t>5.</w:t>
      </w:r>
      <w:r w:rsidRPr="00394F5A">
        <w:rPr>
          <w:rFonts w:ascii="Arial" w:hAnsi="Arial" w:cs="Arial"/>
          <w:i/>
          <w:iCs/>
        </w:rPr>
        <w:tab/>
        <w:t>That this Honourable Court</w:t>
      </w:r>
      <w:r w:rsidR="00B262DA" w:rsidRPr="00394F5A">
        <w:rPr>
          <w:rFonts w:ascii="Arial" w:hAnsi="Arial" w:cs="Arial"/>
          <w:i/>
          <w:iCs/>
        </w:rPr>
        <w:t xml:space="preserve"> grants such further and alternative relief as it may deem fit in the circumstances.</w:t>
      </w:r>
      <w:r w:rsidR="00B262DA" w:rsidRPr="00394F5A">
        <w:rPr>
          <w:rFonts w:ascii="Arial" w:hAnsi="Arial" w:cs="Arial"/>
        </w:rPr>
        <w:t>”</w:t>
      </w:r>
    </w:p>
    <w:p w:rsidR="00B262DA" w:rsidRPr="00394F5A" w:rsidRDefault="00B262DA" w:rsidP="00B262DA">
      <w:pPr>
        <w:pStyle w:val="Heading3"/>
      </w:pPr>
      <w:r w:rsidRPr="00394F5A">
        <w:t>THE FACTUAL MATRIX</w:t>
      </w:r>
    </w:p>
    <w:p w:rsidR="00EA4550" w:rsidRPr="00394F5A" w:rsidRDefault="00EA4550" w:rsidP="00EA4550">
      <w:pPr>
        <w:spacing w:after="240" w:line="480" w:lineRule="auto"/>
        <w:ind w:left="720" w:hanging="720"/>
        <w:jc w:val="both"/>
        <w:rPr>
          <w:rFonts w:ascii="Arial" w:hAnsi="Arial" w:cs="Arial"/>
          <w:iCs/>
        </w:rPr>
      </w:pPr>
      <w:r w:rsidRPr="00394F5A">
        <w:rPr>
          <w:rFonts w:ascii="Arial" w:hAnsi="Arial" w:cs="Arial"/>
          <w:iCs/>
        </w:rPr>
        <w:t>[</w:t>
      </w:r>
      <w:r w:rsidR="00383C77">
        <w:rPr>
          <w:rFonts w:ascii="Arial" w:hAnsi="Arial" w:cs="Arial"/>
          <w:iCs/>
        </w:rPr>
        <w:t>4</w:t>
      </w:r>
      <w:r w:rsidRPr="00394F5A">
        <w:rPr>
          <w:rFonts w:ascii="Arial" w:hAnsi="Arial" w:cs="Arial"/>
          <w:iCs/>
        </w:rPr>
        <w:t>]</w:t>
      </w:r>
      <w:r w:rsidRPr="00394F5A">
        <w:rPr>
          <w:rFonts w:ascii="Arial" w:hAnsi="Arial" w:cs="Arial"/>
          <w:iCs/>
        </w:rPr>
        <w:tab/>
      </w:r>
      <w:r w:rsidR="00B262DA" w:rsidRPr="00394F5A">
        <w:rPr>
          <w:rFonts w:ascii="Arial" w:hAnsi="Arial" w:cs="Arial"/>
          <w:iCs/>
        </w:rPr>
        <w:t xml:space="preserve">The origin of this dispute </w:t>
      </w:r>
      <w:r w:rsidR="006A0237">
        <w:rPr>
          <w:rFonts w:ascii="Arial" w:hAnsi="Arial" w:cs="Arial"/>
          <w:iCs/>
        </w:rPr>
        <w:t>is</w:t>
      </w:r>
      <w:r w:rsidR="00E04851">
        <w:rPr>
          <w:rFonts w:ascii="Arial" w:hAnsi="Arial" w:cs="Arial"/>
          <w:iCs/>
        </w:rPr>
        <w:t xml:space="preserve"> to an extent</w:t>
      </w:r>
      <w:r w:rsidR="006A0237">
        <w:rPr>
          <w:rFonts w:ascii="Arial" w:hAnsi="Arial" w:cs="Arial"/>
          <w:iCs/>
        </w:rPr>
        <w:t xml:space="preserve"> evident</w:t>
      </w:r>
      <w:r w:rsidR="00B262DA" w:rsidRPr="00394F5A">
        <w:rPr>
          <w:rFonts w:ascii="Arial" w:hAnsi="Arial" w:cs="Arial"/>
          <w:iCs/>
        </w:rPr>
        <w:t xml:space="preserve"> from</w:t>
      </w:r>
      <w:r w:rsidR="006A0237">
        <w:rPr>
          <w:rFonts w:ascii="Arial" w:hAnsi="Arial" w:cs="Arial"/>
          <w:iCs/>
        </w:rPr>
        <w:t xml:space="preserve"> the content of</w:t>
      </w:r>
      <w:r w:rsidR="00B262DA" w:rsidRPr="00394F5A">
        <w:rPr>
          <w:rFonts w:ascii="Arial" w:hAnsi="Arial" w:cs="Arial"/>
          <w:iCs/>
        </w:rPr>
        <w:t xml:space="preserve"> a </w:t>
      </w:r>
      <w:r w:rsidR="006A0237">
        <w:rPr>
          <w:rFonts w:ascii="Arial" w:hAnsi="Arial" w:cs="Arial"/>
          <w:iCs/>
        </w:rPr>
        <w:t>c</w:t>
      </w:r>
      <w:r w:rsidR="00B262DA" w:rsidRPr="00394F5A">
        <w:rPr>
          <w:rFonts w:ascii="Arial" w:hAnsi="Arial" w:cs="Arial"/>
          <w:iCs/>
        </w:rPr>
        <w:t xml:space="preserve">ourt order granted on 28 July </w:t>
      </w:r>
      <w:r w:rsidR="006E3D46" w:rsidRPr="00394F5A">
        <w:rPr>
          <w:rFonts w:ascii="Arial" w:hAnsi="Arial" w:cs="Arial"/>
          <w:iCs/>
        </w:rPr>
        <w:t>2022</w:t>
      </w:r>
      <w:r w:rsidR="00561057" w:rsidRPr="00561057">
        <w:rPr>
          <w:rFonts w:ascii="Arial" w:hAnsi="Arial" w:cs="Arial"/>
          <w:iCs/>
        </w:rPr>
        <w:t xml:space="preserve"> </w:t>
      </w:r>
      <w:r w:rsidR="00561057">
        <w:rPr>
          <w:rFonts w:ascii="Arial" w:hAnsi="Arial" w:cs="Arial"/>
          <w:iCs/>
        </w:rPr>
        <w:t>(“the 28 July 2022 order”)</w:t>
      </w:r>
      <w:r w:rsidR="006E3D46" w:rsidRPr="00394F5A">
        <w:rPr>
          <w:rFonts w:ascii="Arial" w:hAnsi="Arial" w:cs="Arial"/>
          <w:iCs/>
        </w:rPr>
        <w:t>.</w:t>
      </w:r>
      <w:r w:rsidR="00754C55" w:rsidRPr="00394F5A">
        <w:rPr>
          <w:rFonts w:ascii="Arial" w:hAnsi="Arial" w:cs="Arial"/>
          <w:iCs/>
        </w:rPr>
        <w:t xml:space="preserve">  </w:t>
      </w:r>
      <w:r w:rsidR="00FB5E8D">
        <w:rPr>
          <w:rFonts w:ascii="Arial" w:hAnsi="Arial" w:cs="Arial"/>
          <w:iCs/>
        </w:rPr>
        <w:t>The 28 July 2022 order</w:t>
      </w:r>
      <w:r w:rsidR="00FB5E8D" w:rsidRPr="00394F5A">
        <w:rPr>
          <w:rFonts w:ascii="Arial" w:hAnsi="Arial" w:cs="Arial"/>
          <w:iCs/>
        </w:rPr>
        <w:t xml:space="preserve"> </w:t>
      </w:r>
      <w:r w:rsidR="00754C55" w:rsidRPr="00394F5A">
        <w:rPr>
          <w:rFonts w:ascii="Arial" w:hAnsi="Arial" w:cs="Arial"/>
          <w:iCs/>
        </w:rPr>
        <w:t xml:space="preserve">reads </w:t>
      </w:r>
      <w:r w:rsidR="004167A1">
        <w:rPr>
          <w:rFonts w:ascii="Arial" w:hAnsi="Arial" w:cs="Arial"/>
          <w:iCs/>
        </w:rPr>
        <w:t>as follows</w:t>
      </w:r>
      <w:r w:rsidR="00754C55" w:rsidRPr="00394F5A">
        <w:rPr>
          <w:rFonts w:ascii="Arial" w:hAnsi="Arial" w:cs="Arial"/>
          <w:iCs/>
        </w:rPr>
        <w:t>:</w:t>
      </w:r>
    </w:p>
    <w:p w:rsidR="00754C55" w:rsidRPr="00394F5A" w:rsidRDefault="00754C55" w:rsidP="00920937">
      <w:pPr>
        <w:spacing w:line="480" w:lineRule="auto"/>
        <w:ind w:left="1701" w:hanging="708"/>
        <w:jc w:val="both"/>
        <w:rPr>
          <w:rFonts w:ascii="Arial" w:eastAsia="Calibri" w:hAnsi="Arial" w:cs="Arial"/>
          <w:b/>
          <w:i/>
          <w:iCs/>
        </w:rPr>
      </w:pPr>
      <w:r w:rsidRPr="00394F5A">
        <w:rPr>
          <w:rFonts w:ascii="Arial" w:hAnsi="Arial" w:cs="Arial"/>
          <w:iCs/>
        </w:rPr>
        <w:t>“</w:t>
      </w:r>
      <w:r w:rsidRPr="00394F5A">
        <w:rPr>
          <w:rFonts w:ascii="Arial" w:eastAsia="Calibri" w:hAnsi="Arial" w:cs="Arial"/>
          <w:b/>
          <w:i/>
          <w:iCs/>
        </w:rPr>
        <w:t>IT IS ORDERED BY AGREEMENT BETWEEN THE PARTIES THAT:</w:t>
      </w:r>
    </w:p>
    <w:p w:rsidR="00754C55" w:rsidRPr="00754C55" w:rsidRDefault="00754C55" w:rsidP="00920937">
      <w:pPr>
        <w:ind w:left="1701" w:hanging="708"/>
        <w:jc w:val="both"/>
        <w:rPr>
          <w:rFonts w:ascii="Arial" w:eastAsia="Calibri" w:hAnsi="Arial" w:cs="Arial"/>
          <w:i/>
          <w:iCs/>
        </w:rPr>
      </w:pPr>
    </w:p>
    <w:p w:rsidR="00754C55" w:rsidRPr="00754C55"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754C55">
        <w:rPr>
          <w:rFonts w:ascii="Arial" w:eastAsia="Calibri" w:hAnsi="Arial" w:cs="Arial"/>
          <w:i/>
          <w:iCs/>
        </w:rPr>
        <w:t xml:space="preserve">In fulfilment of its obligations in terms of section 118 of the Local Government Municipal Systems Act, 2000, </w:t>
      </w:r>
      <w:r w:rsidRPr="00754C55">
        <w:rPr>
          <w:rFonts w:ascii="Arial" w:eastAsia="Calibri" w:hAnsi="Arial" w:cs="Arial"/>
          <w:b/>
          <w:i/>
          <w:iCs/>
        </w:rPr>
        <w:t>(MSA)</w:t>
      </w:r>
      <w:r w:rsidRPr="00754C55">
        <w:rPr>
          <w:rFonts w:ascii="Arial" w:eastAsia="Calibri" w:hAnsi="Arial" w:cs="Arial"/>
          <w:i/>
          <w:iCs/>
        </w:rPr>
        <w:t xml:space="preserve"> as amended, the applicant shall pay the amount of :</w:t>
      </w:r>
    </w:p>
    <w:p w:rsidR="00754C55" w:rsidRPr="00754C55" w:rsidRDefault="00754C55" w:rsidP="00920937">
      <w:pPr>
        <w:ind w:left="1701" w:hanging="708"/>
        <w:jc w:val="both"/>
        <w:rPr>
          <w:rFonts w:ascii="Arial" w:eastAsia="Calibri" w:hAnsi="Arial" w:cs="Arial"/>
          <w:i/>
          <w:iCs/>
        </w:rPr>
      </w:pPr>
    </w:p>
    <w:p w:rsidR="00754C55" w:rsidRPr="00754C55" w:rsidRDefault="00754C55" w:rsidP="00920937">
      <w:pPr>
        <w:widowControl w:val="0"/>
        <w:numPr>
          <w:ilvl w:val="1"/>
          <w:numId w:val="36"/>
        </w:numPr>
        <w:autoSpaceDE w:val="0"/>
        <w:autoSpaceDN w:val="0"/>
        <w:adjustRightInd w:val="0"/>
        <w:spacing w:line="480" w:lineRule="auto"/>
        <w:ind w:left="2410" w:hanging="708"/>
        <w:jc w:val="both"/>
        <w:rPr>
          <w:rFonts w:ascii="Arial" w:eastAsia="Calibri" w:hAnsi="Arial" w:cs="Arial"/>
          <w:i/>
          <w:iCs/>
        </w:rPr>
      </w:pPr>
      <w:r w:rsidRPr="00754C55">
        <w:rPr>
          <w:rFonts w:ascii="Arial" w:eastAsia="Calibri" w:hAnsi="Arial" w:cs="Arial"/>
          <w:i/>
          <w:iCs/>
        </w:rPr>
        <w:t>R7,369,054.74, being the amount of R7,636,563.74 in respect of the municipal clearance figures less interest in the amount of R267,509.66;</w:t>
      </w:r>
    </w:p>
    <w:p w:rsidR="00754C55" w:rsidRPr="00754C55" w:rsidRDefault="00754C55" w:rsidP="00920937">
      <w:pPr>
        <w:ind w:left="2410" w:hanging="708"/>
        <w:contextualSpacing/>
        <w:jc w:val="both"/>
        <w:rPr>
          <w:rFonts w:ascii="Arial" w:eastAsia="Calibri" w:hAnsi="Arial" w:cs="Arial"/>
          <w:i/>
          <w:iCs/>
        </w:rPr>
      </w:pPr>
    </w:p>
    <w:p w:rsidR="00754C55" w:rsidRPr="00754C55" w:rsidRDefault="00754C55" w:rsidP="00920937">
      <w:pPr>
        <w:widowControl w:val="0"/>
        <w:numPr>
          <w:ilvl w:val="1"/>
          <w:numId w:val="36"/>
        </w:numPr>
        <w:autoSpaceDE w:val="0"/>
        <w:autoSpaceDN w:val="0"/>
        <w:adjustRightInd w:val="0"/>
        <w:spacing w:line="480" w:lineRule="auto"/>
        <w:ind w:left="2410" w:hanging="708"/>
        <w:jc w:val="both"/>
        <w:rPr>
          <w:rFonts w:ascii="Arial" w:eastAsia="Calibri" w:hAnsi="Arial" w:cs="Arial"/>
          <w:i/>
          <w:iCs/>
        </w:rPr>
      </w:pPr>
      <w:r w:rsidRPr="00754C55">
        <w:rPr>
          <w:rFonts w:ascii="Arial" w:eastAsia="Calibri" w:hAnsi="Arial" w:cs="Arial"/>
          <w:i/>
          <w:iCs/>
        </w:rPr>
        <w:t>together with an amount equal to 4 months’ estimated charges, which amount is to be calculated by the respondent, and provided to the applicant, through its attorneys of record, within 5 days of this order.</w:t>
      </w:r>
    </w:p>
    <w:p w:rsidR="00754C55" w:rsidRPr="00754C55" w:rsidRDefault="00754C55" w:rsidP="00920937">
      <w:pPr>
        <w:ind w:left="1701" w:hanging="708"/>
        <w:contextualSpacing/>
        <w:jc w:val="both"/>
        <w:rPr>
          <w:rFonts w:ascii="Arial" w:eastAsia="Calibri" w:hAnsi="Arial" w:cs="Arial"/>
          <w:i/>
          <w:iCs/>
        </w:rPr>
      </w:pPr>
    </w:p>
    <w:p w:rsidR="00754C55" w:rsidRPr="00754C55"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754C55">
        <w:rPr>
          <w:rFonts w:ascii="Arial" w:eastAsia="Calibri" w:hAnsi="Arial" w:cs="Arial"/>
          <w:i/>
          <w:iCs/>
        </w:rPr>
        <w:t>The respondent is ordered and directed to issue a certificate in terms of section 118(1) of the MSA within 7 (seven) days of receipt of the payment contemplated by paragraph 1 above.</w:t>
      </w:r>
    </w:p>
    <w:p w:rsidR="00754C55" w:rsidRPr="00754C55" w:rsidRDefault="00754C55" w:rsidP="00920937">
      <w:pPr>
        <w:ind w:left="1701" w:hanging="708"/>
        <w:jc w:val="both"/>
        <w:rPr>
          <w:rFonts w:ascii="Arial" w:eastAsia="Calibri" w:hAnsi="Arial" w:cs="Arial"/>
          <w:i/>
          <w:iCs/>
        </w:rPr>
      </w:pPr>
    </w:p>
    <w:p w:rsidR="00754C55" w:rsidRPr="00754C55"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754C55">
        <w:rPr>
          <w:rFonts w:ascii="Arial" w:eastAsia="Calibri" w:hAnsi="Arial" w:cs="Arial"/>
          <w:i/>
          <w:iCs/>
        </w:rPr>
        <w:t>The payment contemplated in paragraph 1 above is made under protest, and shall, pending the outcome of the dispute contemplated in prayers 4 to 6 below, be held by the respondent as such.</w:t>
      </w:r>
    </w:p>
    <w:p w:rsidR="00754C55" w:rsidRPr="00754C55" w:rsidRDefault="00754C55" w:rsidP="00920937">
      <w:pPr>
        <w:ind w:left="1701" w:hanging="708"/>
        <w:contextualSpacing/>
        <w:jc w:val="both"/>
        <w:rPr>
          <w:rFonts w:ascii="Arial" w:eastAsia="Calibri" w:hAnsi="Arial" w:cs="Arial"/>
          <w:i/>
          <w:iCs/>
        </w:rPr>
      </w:pPr>
    </w:p>
    <w:p w:rsidR="00754C55" w:rsidRPr="00754C55"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754C55">
        <w:rPr>
          <w:rFonts w:ascii="Arial" w:eastAsia="Calibri" w:hAnsi="Arial" w:cs="Arial"/>
          <w:i/>
          <w:iCs/>
        </w:rPr>
        <w:t>The respondent is ordered and directed to take the following steps in resolution of the dispute which forms the subject of this application:</w:t>
      </w:r>
    </w:p>
    <w:p w:rsidR="00754C55" w:rsidRPr="00754C55" w:rsidRDefault="00754C55" w:rsidP="00920937">
      <w:pPr>
        <w:ind w:left="1701" w:hanging="708"/>
        <w:contextualSpacing/>
        <w:jc w:val="both"/>
        <w:rPr>
          <w:rFonts w:ascii="Arial" w:eastAsia="Calibri" w:hAnsi="Arial" w:cs="Arial"/>
          <w:i/>
          <w:iCs/>
        </w:rPr>
      </w:pPr>
    </w:p>
    <w:p w:rsidR="00754C55" w:rsidRPr="00754C55" w:rsidRDefault="00754C55" w:rsidP="00920937">
      <w:pPr>
        <w:widowControl w:val="0"/>
        <w:numPr>
          <w:ilvl w:val="1"/>
          <w:numId w:val="36"/>
        </w:numPr>
        <w:autoSpaceDE w:val="0"/>
        <w:autoSpaceDN w:val="0"/>
        <w:adjustRightInd w:val="0"/>
        <w:spacing w:line="480" w:lineRule="auto"/>
        <w:ind w:left="2410" w:hanging="708"/>
        <w:jc w:val="both"/>
        <w:rPr>
          <w:rFonts w:ascii="Arial" w:eastAsia="Calibri" w:hAnsi="Arial" w:cs="Arial"/>
          <w:i/>
          <w:iCs/>
        </w:rPr>
      </w:pPr>
      <w:r w:rsidRPr="00754C55">
        <w:rPr>
          <w:rFonts w:ascii="Arial" w:eastAsia="Calibri" w:hAnsi="Arial" w:cs="Arial"/>
          <w:i/>
          <w:iCs/>
        </w:rPr>
        <w:t xml:space="preserve">the respondent is ordered and directed to provide the meter reading records on combined meter numbered 1IH76298I and 1(M68353 (“the combined meter”) from January 2019 until the date of any order of this Honourable Court; </w:t>
      </w:r>
    </w:p>
    <w:p w:rsidR="00754C55" w:rsidRPr="00754C55" w:rsidRDefault="00754C55" w:rsidP="00920937">
      <w:pPr>
        <w:ind w:left="2410" w:hanging="708"/>
        <w:contextualSpacing/>
        <w:jc w:val="both"/>
        <w:rPr>
          <w:rFonts w:ascii="Arial" w:eastAsia="Calibri" w:hAnsi="Arial" w:cs="Arial"/>
          <w:i/>
          <w:iCs/>
        </w:rPr>
      </w:pPr>
    </w:p>
    <w:p w:rsidR="00754C55" w:rsidRPr="00754C55" w:rsidRDefault="00754C55" w:rsidP="00920937">
      <w:pPr>
        <w:widowControl w:val="0"/>
        <w:numPr>
          <w:ilvl w:val="1"/>
          <w:numId w:val="36"/>
        </w:numPr>
        <w:autoSpaceDE w:val="0"/>
        <w:autoSpaceDN w:val="0"/>
        <w:adjustRightInd w:val="0"/>
        <w:spacing w:line="480" w:lineRule="auto"/>
        <w:ind w:left="2410" w:hanging="708"/>
        <w:jc w:val="both"/>
        <w:rPr>
          <w:rFonts w:ascii="Arial" w:eastAsia="Calibri" w:hAnsi="Arial" w:cs="Arial"/>
          <w:i/>
          <w:iCs/>
        </w:rPr>
      </w:pPr>
      <w:r w:rsidRPr="00754C55">
        <w:rPr>
          <w:rFonts w:ascii="Arial" w:eastAsia="Calibri" w:hAnsi="Arial" w:cs="Arial"/>
          <w:i/>
          <w:iCs/>
        </w:rPr>
        <w:t>the respondent is ordered and directed to provide a written report, together with any supporting documentation such as job cards that may exist, regarding any work done, or contemplated, in respect of the combined meter between January 2020 until January 2021; and</w:t>
      </w:r>
    </w:p>
    <w:p w:rsidR="00754C55" w:rsidRPr="00754C55" w:rsidRDefault="00754C55" w:rsidP="00920937">
      <w:pPr>
        <w:ind w:left="2410" w:hanging="708"/>
        <w:contextualSpacing/>
        <w:jc w:val="both"/>
        <w:rPr>
          <w:rFonts w:ascii="Arial" w:eastAsia="Calibri" w:hAnsi="Arial" w:cs="Arial"/>
          <w:i/>
          <w:iCs/>
        </w:rPr>
      </w:pPr>
    </w:p>
    <w:p w:rsidR="00754C55" w:rsidRPr="00754C55" w:rsidRDefault="00754C55" w:rsidP="00920937">
      <w:pPr>
        <w:widowControl w:val="0"/>
        <w:numPr>
          <w:ilvl w:val="1"/>
          <w:numId w:val="36"/>
        </w:numPr>
        <w:autoSpaceDE w:val="0"/>
        <w:autoSpaceDN w:val="0"/>
        <w:adjustRightInd w:val="0"/>
        <w:spacing w:line="480" w:lineRule="auto"/>
        <w:ind w:left="2410" w:hanging="708"/>
        <w:jc w:val="both"/>
        <w:rPr>
          <w:rFonts w:ascii="Arial" w:eastAsia="Calibri" w:hAnsi="Arial" w:cs="Arial"/>
          <w:i/>
          <w:iCs/>
        </w:rPr>
      </w:pPr>
      <w:r w:rsidRPr="00754C55">
        <w:rPr>
          <w:rFonts w:ascii="Arial" w:eastAsia="Calibri" w:hAnsi="Arial" w:cs="Arial"/>
          <w:i/>
          <w:iCs/>
        </w:rPr>
        <w:t>the respondent is ordered and directed to appoint a registered third party meter checking agency to test the accuracy of the combined meter, as contemplated in section 36 of the Respondent’s By-laws relating to Water Services, 2013, and to provide a written report to the applicant thereon within 60 days of having appointed the aforementioned service provider – provided that the meter shall be removed from the property within 14 calendar days of this order and the applicant shall pay the fee as prescribed.</w:t>
      </w:r>
    </w:p>
    <w:p w:rsidR="00754C55" w:rsidRPr="00754C55" w:rsidRDefault="00754C55" w:rsidP="00920937">
      <w:pPr>
        <w:ind w:left="1701" w:hanging="708"/>
        <w:contextualSpacing/>
        <w:jc w:val="both"/>
        <w:rPr>
          <w:rFonts w:ascii="Arial" w:eastAsia="Calibri" w:hAnsi="Arial" w:cs="Arial"/>
          <w:b/>
          <w:i/>
          <w:iCs/>
        </w:rPr>
      </w:pPr>
    </w:p>
    <w:p w:rsidR="00754C55" w:rsidRPr="00754C55"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754C55">
        <w:rPr>
          <w:rFonts w:ascii="Arial" w:eastAsia="Calibri" w:hAnsi="Arial" w:cs="Arial"/>
          <w:i/>
          <w:iCs/>
        </w:rPr>
        <w:t>Upon receipt of the reports contemplated in paragraphs 4.2 and 4.3 above, the applicant will have 30 (thirty) calendar days within which to launch appropriate legal proceedings to impugn the report or reclaim the amounts paid to the respondent, if necessary.</w:t>
      </w:r>
    </w:p>
    <w:p w:rsidR="00754C55" w:rsidRPr="00754C55" w:rsidRDefault="00754C55" w:rsidP="00920937">
      <w:pPr>
        <w:ind w:left="1701" w:hanging="708"/>
        <w:contextualSpacing/>
        <w:jc w:val="both"/>
        <w:rPr>
          <w:rFonts w:ascii="Arial" w:eastAsia="Calibri" w:hAnsi="Arial" w:cs="Arial"/>
          <w:i/>
          <w:iCs/>
        </w:rPr>
      </w:pPr>
    </w:p>
    <w:p w:rsidR="00754C55" w:rsidRPr="00394F5A"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754C55">
        <w:rPr>
          <w:rFonts w:ascii="Arial" w:eastAsia="Calibri" w:hAnsi="Arial" w:cs="Arial"/>
          <w:i/>
          <w:iCs/>
        </w:rPr>
        <w:t>Should the applicant fail to launch legal proceedings contemplated in paragraph 5, the amount found to be due in the resolution shall be paid over to the respondent, or held by the respondent as no longer paid over under protest, as the case may be.</w:t>
      </w:r>
    </w:p>
    <w:p w:rsidR="00920937" w:rsidRPr="00394F5A" w:rsidRDefault="00920937" w:rsidP="00920937">
      <w:pPr>
        <w:pStyle w:val="ListParagraph"/>
        <w:ind w:left="1701" w:hanging="708"/>
        <w:rPr>
          <w:rFonts w:ascii="Arial" w:eastAsia="Calibri" w:hAnsi="Arial" w:cs="Arial"/>
          <w:i/>
          <w:iCs/>
        </w:rPr>
      </w:pPr>
    </w:p>
    <w:p w:rsidR="00754C55" w:rsidRPr="00394F5A" w:rsidRDefault="00754C55" w:rsidP="00920937">
      <w:pPr>
        <w:widowControl w:val="0"/>
        <w:numPr>
          <w:ilvl w:val="0"/>
          <w:numId w:val="36"/>
        </w:numPr>
        <w:autoSpaceDE w:val="0"/>
        <w:autoSpaceDN w:val="0"/>
        <w:adjustRightInd w:val="0"/>
        <w:spacing w:line="480" w:lineRule="auto"/>
        <w:ind w:left="1701" w:hanging="708"/>
        <w:jc w:val="both"/>
        <w:rPr>
          <w:rFonts w:ascii="Arial" w:eastAsia="Calibri" w:hAnsi="Arial" w:cs="Arial"/>
          <w:i/>
          <w:iCs/>
        </w:rPr>
      </w:pPr>
      <w:r w:rsidRPr="00394F5A">
        <w:rPr>
          <w:rFonts w:ascii="Arial" w:eastAsia="Calibri" w:hAnsi="Arial" w:cs="Arial"/>
          <w:i/>
          <w:iCs/>
        </w:rPr>
        <w:t>Each party shall pay their own costs.</w:t>
      </w:r>
      <w:r w:rsidR="00920937" w:rsidRPr="00394F5A">
        <w:rPr>
          <w:rFonts w:ascii="Arial" w:eastAsia="Calibri" w:hAnsi="Arial" w:cs="Arial"/>
        </w:rPr>
        <w:t>”</w:t>
      </w:r>
    </w:p>
    <w:p w:rsidR="00920937" w:rsidRPr="00394F5A" w:rsidRDefault="00920937" w:rsidP="00920937">
      <w:pPr>
        <w:pStyle w:val="ListParagraph"/>
        <w:rPr>
          <w:rFonts w:ascii="Arial" w:eastAsia="Calibri" w:hAnsi="Arial" w:cs="Arial"/>
          <w:i/>
          <w:iCs/>
        </w:rPr>
      </w:pPr>
    </w:p>
    <w:p w:rsidR="00561057" w:rsidRDefault="00EA4550" w:rsidP="00561057">
      <w:pPr>
        <w:spacing w:after="240" w:line="480" w:lineRule="auto"/>
        <w:ind w:left="720" w:hanging="720"/>
        <w:jc w:val="both"/>
        <w:rPr>
          <w:rFonts w:ascii="Arial" w:hAnsi="Arial" w:cs="Arial"/>
          <w:iCs/>
        </w:rPr>
      </w:pPr>
      <w:r w:rsidRPr="00394F5A">
        <w:rPr>
          <w:rFonts w:ascii="Arial" w:hAnsi="Arial" w:cs="Arial"/>
          <w:iCs/>
        </w:rPr>
        <w:t>[</w:t>
      </w:r>
      <w:r w:rsidR="00383C77">
        <w:rPr>
          <w:rFonts w:ascii="Arial" w:hAnsi="Arial" w:cs="Arial"/>
          <w:iCs/>
        </w:rPr>
        <w:t>5</w:t>
      </w:r>
      <w:r w:rsidRPr="00394F5A">
        <w:rPr>
          <w:rFonts w:ascii="Arial" w:hAnsi="Arial" w:cs="Arial"/>
          <w:iCs/>
        </w:rPr>
        <w:t>]</w:t>
      </w:r>
      <w:r w:rsidRPr="00394F5A">
        <w:rPr>
          <w:rFonts w:ascii="Arial" w:hAnsi="Arial" w:cs="Arial"/>
          <w:iCs/>
        </w:rPr>
        <w:tab/>
      </w:r>
      <w:r w:rsidR="004167A1">
        <w:rPr>
          <w:rFonts w:ascii="Arial" w:hAnsi="Arial" w:cs="Arial"/>
          <w:iCs/>
        </w:rPr>
        <w:t>Briefly the facts that gave rise to the</w:t>
      </w:r>
      <w:r w:rsidR="00561057">
        <w:rPr>
          <w:rFonts w:ascii="Arial" w:hAnsi="Arial" w:cs="Arial"/>
          <w:iCs/>
        </w:rPr>
        <w:t xml:space="preserve"> 28 July 2022 order </w:t>
      </w:r>
      <w:r w:rsidR="004167A1">
        <w:rPr>
          <w:rFonts w:ascii="Arial" w:hAnsi="Arial" w:cs="Arial"/>
          <w:iCs/>
        </w:rPr>
        <w:t>are that the</w:t>
      </w:r>
      <w:r w:rsidR="006F7F51" w:rsidRPr="00394F5A">
        <w:rPr>
          <w:rFonts w:ascii="Arial" w:hAnsi="Arial" w:cs="Arial"/>
          <w:iCs/>
        </w:rPr>
        <w:t xml:space="preserve"> applicant, as registered owner of the property, responsible for the payment of the </w:t>
      </w:r>
      <w:r w:rsidR="004167A1">
        <w:rPr>
          <w:rFonts w:ascii="Arial" w:hAnsi="Arial" w:cs="Arial"/>
          <w:iCs/>
        </w:rPr>
        <w:t>respondent m</w:t>
      </w:r>
      <w:r w:rsidR="006F7F51" w:rsidRPr="00394F5A">
        <w:rPr>
          <w:rFonts w:ascii="Arial" w:hAnsi="Arial" w:cs="Arial"/>
          <w:iCs/>
        </w:rPr>
        <w:t>unicipality’s account</w:t>
      </w:r>
      <w:r w:rsidR="003D027D">
        <w:rPr>
          <w:rFonts w:ascii="Arial" w:hAnsi="Arial" w:cs="Arial"/>
          <w:iCs/>
        </w:rPr>
        <w:t>(s)</w:t>
      </w:r>
      <w:r w:rsidR="006F7F51" w:rsidRPr="00394F5A">
        <w:rPr>
          <w:rFonts w:ascii="Arial" w:hAnsi="Arial" w:cs="Arial"/>
          <w:iCs/>
        </w:rPr>
        <w:t>, had entered into a deed of sale in terms of which it was obliged to give registration of transfer of the property to the purchaser</w:t>
      </w:r>
      <w:r w:rsidR="009F2DF2">
        <w:rPr>
          <w:rFonts w:ascii="Arial" w:hAnsi="Arial" w:cs="Arial"/>
          <w:iCs/>
        </w:rPr>
        <w:t xml:space="preserve"> </w:t>
      </w:r>
      <w:r w:rsidR="0012349C">
        <w:rPr>
          <w:rFonts w:ascii="Arial" w:hAnsi="Arial" w:cs="Arial"/>
          <w:iCs/>
        </w:rPr>
        <w:t xml:space="preserve">it </w:t>
      </w:r>
      <w:r w:rsidR="006F7F51" w:rsidRPr="00394F5A">
        <w:rPr>
          <w:rFonts w:ascii="Arial" w:hAnsi="Arial" w:cs="Arial"/>
          <w:iCs/>
        </w:rPr>
        <w:t xml:space="preserve">being </w:t>
      </w:r>
      <w:r w:rsidR="0012349C">
        <w:rPr>
          <w:rFonts w:ascii="Arial" w:hAnsi="Arial" w:cs="Arial"/>
          <w:iCs/>
        </w:rPr>
        <w:t xml:space="preserve">the </w:t>
      </w:r>
      <w:r w:rsidR="006F7F51" w:rsidRPr="00394F5A">
        <w:rPr>
          <w:rFonts w:ascii="Arial" w:hAnsi="Arial" w:cs="Arial"/>
          <w:iCs/>
        </w:rPr>
        <w:t>current tenant</w:t>
      </w:r>
      <w:r w:rsidR="0012349C">
        <w:rPr>
          <w:rFonts w:ascii="Arial" w:hAnsi="Arial" w:cs="Arial"/>
          <w:iCs/>
        </w:rPr>
        <w:t xml:space="preserve"> of the property</w:t>
      </w:r>
      <w:r w:rsidR="006F7F51" w:rsidRPr="00394F5A">
        <w:rPr>
          <w:rFonts w:ascii="Arial" w:hAnsi="Arial" w:cs="Arial"/>
          <w:iCs/>
        </w:rPr>
        <w:t xml:space="preserve">.  </w:t>
      </w:r>
      <w:r w:rsidR="004167A1">
        <w:rPr>
          <w:rFonts w:ascii="Arial" w:hAnsi="Arial" w:cs="Arial"/>
          <w:iCs/>
        </w:rPr>
        <w:t>Th</w:t>
      </w:r>
      <w:r w:rsidR="003E44ED">
        <w:rPr>
          <w:rFonts w:ascii="Arial" w:hAnsi="Arial" w:cs="Arial"/>
          <w:iCs/>
        </w:rPr>
        <w:t>e</w:t>
      </w:r>
      <w:r w:rsidR="004167A1">
        <w:rPr>
          <w:rFonts w:ascii="Arial" w:hAnsi="Arial" w:cs="Arial"/>
          <w:iCs/>
        </w:rPr>
        <w:t xml:space="preserve"> process</w:t>
      </w:r>
      <w:r w:rsidR="003E44ED">
        <w:rPr>
          <w:rFonts w:ascii="Arial" w:hAnsi="Arial" w:cs="Arial"/>
          <w:iCs/>
        </w:rPr>
        <w:t xml:space="preserve"> of registration of transfer</w:t>
      </w:r>
      <w:r w:rsidR="004167A1">
        <w:rPr>
          <w:rFonts w:ascii="Arial" w:hAnsi="Arial" w:cs="Arial"/>
          <w:iCs/>
        </w:rPr>
        <w:t xml:space="preserve"> was frustrated in and because of a dispute of the applicant’s then indebtedness to the respondent</w:t>
      </w:r>
      <w:r w:rsidR="003D027D">
        <w:rPr>
          <w:rFonts w:ascii="Arial" w:hAnsi="Arial" w:cs="Arial"/>
          <w:iCs/>
        </w:rPr>
        <w:t xml:space="preserve"> </w:t>
      </w:r>
      <w:r w:rsidR="005E5FDE">
        <w:rPr>
          <w:rFonts w:ascii="Arial" w:hAnsi="Arial" w:cs="Arial"/>
          <w:iCs/>
        </w:rPr>
        <w:t>which rendered</w:t>
      </w:r>
      <w:r w:rsidR="006A0237">
        <w:rPr>
          <w:rFonts w:ascii="Arial" w:hAnsi="Arial" w:cs="Arial"/>
          <w:iCs/>
        </w:rPr>
        <w:t xml:space="preserve"> </w:t>
      </w:r>
      <w:r w:rsidR="003D027D">
        <w:rPr>
          <w:rFonts w:ascii="Arial" w:hAnsi="Arial" w:cs="Arial"/>
          <w:iCs/>
        </w:rPr>
        <w:t xml:space="preserve">the </w:t>
      </w:r>
      <w:r w:rsidR="006A0237">
        <w:rPr>
          <w:rFonts w:ascii="Arial" w:hAnsi="Arial" w:cs="Arial"/>
          <w:iCs/>
        </w:rPr>
        <w:t xml:space="preserve">obtaining of </w:t>
      </w:r>
      <w:r w:rsidR="00F91DCF">
        <w:rPr>
          <w:rFonts w:ascii="Arial" w:hAnsi="Arial" w:cs="Arial"/>
          <w:iCs/>
        </w:rPr>
        <w:t xml:space="preserve">a clearance </w:t>
      </w:r>
      <w:r w:rsidR="003D027D">
        <w:rPr>
          <w:rFonts w:ascii="Arial" w:hAnsi="Arial" w:cs="Arial"/>
          <w:iCs/>
        </w:rPr>
        <w:t>certificate</w:t>
      </w:r>
      <w:r w:rsidR="00F91DCF">
        <w:rPr>
          <w:rFonts w:ascii="Arial" w:hAnsi="Arial" w:cs="Arial"/>
          <w:iCs/>
        </w:rPr>
        <w:t xml:space="preserve"> in terms of</w:t>
      </w:r>
      <w:r w:rsidR="00F91DCF" w:rsidRPr="00F91DCF">
        <w:rPr>
          <w:rFonts w:ascii="Arial" w:hAnsi="Arial" w:cs="Arial"/>
          <w:iCs/>
        </w:rPr>
        <w:t xml:space="preserve"> </w:t>
      </w:r>
      <w:r w:rsidR="00F91DCF">
        <w:rPr>
          <w:rFonts w:ascii="Arial" w:hAnsi="Arial" w:cs="Arial"/>
          <w:iCs/>
        </w:rPr>
        <w:t>s</w:t>
      </w:r>
      <w:r w:rsidR="00F91DCF" w:rsidRPr="00394F5A">
        <w:rPr>
          <w:rFonts w:ascii="Arial" w:hAnsi="Arial" w:cs="Arial"/>
          <w:iCs/>
        </w:rPr>
        <w:t xml:space="preserve">ection </w:t>
      </w:r>
      <w:r w:rsidR="00F91DCF">
        <w:rPr>
          <w:rFonts w:ascii="Arial" w:hAnsi="Arial" w:cs="Arial"/>
          <w:iCs/>
        </w:rPr>
        <w:t>118</w:t>
      </w:r>
      <w:r w:rsidR="00F91DCF" w:rsidRPr="00394F5A">
        <w:rPr>
          <w:rFonts w:ascii="Arial" w:hAnsi="Arial" w:cs="Arial"/>
          <w:iCs/>
        </w:rPr>
        <w:t xml:space="preserve"> of the </w:t>
      </w:r>
      <w:r w:rsidR="00F91DCF">
        <w:rPr>
          <w:rFonts w:ascii="Arial" w:hAnsi="Arial" w:cs="Arial"/>
          <w:iCs/>
        </w:rPr>
        <w:t>Municipal Systems Act 32 of 2000 (“the MSA”)</w:t>
      </w:r>
      <w:r w:rsidR="007924F9">
        <w:rPr>
          <w:rFonts w:ascii="Arial" w:hAnsi="Arial" w:cs="Arial"/>
          <w:iCs/>
        </w:rPr>
        <w:t xml:space="preserve"> problematic</w:t>
      </w:r>
      <w:r w:rsidR="0012349C">
        <w:rPr>
          <w:rFonts w:ascii="Arial" w:hAnsi="Arial" w:cs="Arial"/>
          <w:iCs/>
        </w:rPr>
        <w:t>. Such</w:t>
      </w:r>
      <w:r w:rsidR="00F53A6D">
        <w:rPr>
          <w:rFonts w:ascii="Arial" w:hAnsi="Arial" w:cs="Arial"/>
          <w:iCs/>
        </w:rPr>
        <w:t xml:space="preserve"> certificate</w:t>
      </w:r>
      <w:r w:rsidR="009F2DF2">
        <w:rPr>
          <w:rFonts w:ascii="Arial" w:hAnsi="Arial" w:cs="Arial"/>
          <w:iCs/>
        </w:rPr>
        <w:t xml:space="preserve"> is necessary</w:t>
      </w:r>
      <w:r w:rsidR="00F91DCF">
        <w:rPr>
          <w:rFonts w:ascii="Arial" w:hAnsi="Arial" w:cs="Arial"/>
          <w:iCs/>
        </w:rPr>
        <w:t xml:space="preserve"> </w:t>
      </w:r>
      <w:r w:rsidR="003D027D">
        <w:rPr>
          <w:rFonts w:ascii="Arial" w:hAnsi="Arial" w:cs="Arial"/>
          <w:iCs/>
        </w:rPr>
        <w:t>to pass transfer</w:t>
      </w:r>
      <w:r w:rsidR="007924F9">
        <w:rPr>
          <w:rFonts w:ascii="Arial" w:hAnsi="Arial" w:cs="Arial"/>
          <w:iCs/>
        </w:rPr>
        <w:t xml:space="preserve"> of the property</w:t>
      </w:r>
      <w:r w:rsidR="009F2DF2">
        <w:rPr>
          <w:rFonts w:ascii="Arial" w:hAnsi="Arial" w:cs="Arial"/>
          <w:iCs/>
        </w:rPr>
        <w:t>.</w:t>
      </w:r>
    </w:p>
    <w:p w:rsidR="00EA4550" w:rsidRPr="00394F5A" w:rsidRDefault="004167A1" w:rsidP="00FB5E8D">
      <w:pPr>
        <w:spacing w:after="240" w:line="480" w:lineRule="auto"/>
        <w:ind w:left="720" w:hanging="720"/>
        <w:jc w:val="both"/>
        <w:rPr>
          <w:rFonts w:ascii="Arial" w:hAnsi="Arial" w:cs="Arial"/>
          <w:iCs/>
        </w:rPr>
      </w:pPr>
      <w:r>
        <w:rPr>
          <w:rFonts w:ascii="Arial" w:hAnsi="Arial" w:cs="Arial"/>
          <w:iCs/>
        </w:rPr>
        <w:t>[</w:t>
      </w:r>
      <w:r w:rsidR="00383C77">
        <w:rPr>
          <w:rFonts w:ascii="Arial" w:hAnsi="Arial" w:cs="Arial"/>
          <w:iCs/>
        </w:rPr>
        <w:t>6</w:t>
      </w:r>
      <w:r>
        <w:rPr>
          <w:rFonts w:ascii="Arial" w:hAnsi="Arial" w:cs="Arial"/>
          <w:iCs/>
        </w:rPr>
        <w:t>]</w:t>
      </w:r>
      <w:r>
        <w:rPr>
          <w:rFonts w:ascii="Arial" w:hAnsi="Arial" w:cs="Arial"/>
          <w:iCs/>
        </w:rPr>
        <w:tab/>
      </w:r>
      <w:r w:rsidR="006F7F51" w:rsidRPr="00394F5A">
        <w:rPr>
          <w:rFonts w:ascii="Arial" w:hAnsi="Arial" w:cs="Arial"/>
          <w:iCs/>
        </w:rPr>
        <w:t xml:space="preserve">The dispute in that application had as its </w:t>
      </w:r>
      <w:r>
        <w:rPr>
          <w:rFonts w:ascii="Arial" w:hAnsi="Arial" w:cs="Arial"/>
          <w:iCs/>
        </w:rPr>
        <w:t xml:space="preserve">foundation </w:t>
      </w:r>
      <w:r w:rsidR="006A0237">
        <w:rPr>
          <w:rFonts w:ascii="Arial" w:hAnsi="Arial" w:cs="Arial"/>
          <w:iCs/>
        </w:rPr>
        <w:t>the fact that the</w:t>
      </w:r>
      <w:r>
        <w:rPr>
          <w:rFonts w:ascii="Arial" w:hAnsi="Arial" w:cs="Arial"/>
          <w:iCs/>
        </w:rPr>
        <w:t xml:space="preserve"> applicant disputed the</w:t>
      </w:r>
      <w:r w:rsidR="006F7F51" w:rsidRPr="00394F5A">
        <w:rPr>
          <w:rFonts w:ascii="Arial" w:hAnsi="Arial" w:cs="Arial"/>
          <w:iCs/>
        </w:rPr>
        <w:t xml:space="preserve"> computation of the amount purportedly owed</w:t>
      </w:r>
      <w:r>
        <w:rPr>
          <w:rFonts w:ascii="Arial" w:hAnsi="Arial" w:cs="Arial"/>
          <w:iCs/>
        </w:rPr>
        <w:t xml:space="preserve"> by it</w:t>
      </w:r>
      <w:r w:rsidR="006F7F51" w:rsidRPr="00394F5A">
        <w:rPr>
          <w:rFonts w:ascii="Arial" w:hAnsi="Arial" w:cs="Arial"/>
          <w:iCs/>
        </w:rPr>
        <w:t xml:space="preserve"> to the respondent</w:t>
      </w:r>
      <w:r w:rsidR="006A0237">
        <w:rPr>
          <w:rFonts w:ascii="Arial" w:hAnsi="Arial" w:cs="Arial"/>
          <w:iCs/>
        </w:rPr>
        <w:t xml:space="preserve"> at that time</w:t>
      </w:r>
      <w:r>
        <w:rPr>
          <w:rFonts w:ascii="Arial" w:hAnsi="Arial" w:cs="Arial"/>
          <w:iCs/>
        </w:rPr>
        <w:t>. This dispute was</w:t>
      </w:r>
      <w:r w:rsidR="003E44ED">
        <w:rPr>
          <w:rFonts w:ascii="Arial" w:hAnsi="Arial" w:cs="Arial"/>
          <w:iCs/>
        </w:rPr>
        <w:t xml:space="preserve"> prosecuted</w:t>
      </w:r>
      <w:r>
        <w:rPr>
          <w:rFonts w:ascii="Arial" w:hAnsi="Arial" w:cs="Arial"/>
          <w:iCs/>
        </w:rPr>
        <w:t xml:space="preserve"> </w:t>
      </w:r>
      <w:r w:rsidR="00BD3088">
        <w:rPr>
          <w:rFonts w:ascii="Arial" w:hAnsi="Arial" w:cs="Arial"/>
          <w:iCs/>
        </w:rPr>
        <w:t xml:space="preserve">inter alia </w:t>
      </w:r>
      <w:r>
        <w:rPr>
          <w:rFonts w:ascii="Arial" w:hAnsi="Arial" w:cs="Arial"/>
          <w:iCs/>
        </w:rPr>
        <w:t>on the basis</w:t>
      </w:r>
      <w:r w:rsidR="003E44ED">
        <w:rPr>
          <w:rFonts w:ascii="Arial" w:hAnsi="Arial" w:cs="Arial"/>
          <w:iCs/>
        </w:rPr>
        <w:t xml:space="preserve"> that</w:t>
      </w:r>
      <w:r w:rsidR="00FB5E8D">
        <w:rPr>
          <w:rFonts w:ascii="Arial" w:hAnsi="Arial" w:cs="Arial"/>
          <w:iCs/>
        </w:rPr>
        <w:t xml:space="preserve"> t</w:t>
      </w:r>
      <w:r w:rsidR="003E44ED">
        <w:rPr>
          <w:rFonts w:ascii="Arial" w:hAnsi="Arial" w:cs="Arial"/>
          <w:iCs/>
        </w:rPr>
        <w:t>he respondent h</w:t>
      </w:r>
      <w:r>
        <w:rPr>
          <w:rFonts w:ascii="Arial" w:hAnsi="Arial" w:cs="Arial"/>
          <w:iCs/>
        </w:rPr>
        <w:t>ad relied, in the computation of applicants</w:t>
      </w:r>
      <w:r w:rsidR="008B3781">
        <w:rPr>
          <w:rFonts w:ascii="Arial" w:hAnsi="Arial" w:cs="Arial"/>
          <w:iCs/>
        </w:rPr>
        <w:t xml:space="preserve"> purported</w:t>
      </w:r>
      <w:r>
        <w:rPr>
          <w:rFonts w:ascii="Arial" w:hAnsi="Arial" w:cs="Arial"/>
          <w:iCs/>
        </w:rPr>
        <w:t xml:space="preserve"> indebtedness</w:t>
      </w:r>
      <w:r w:rsidR="003E44ED">
        <w:rPr>
          <w:rFonts w:ascii="Arial" w:hAnsi="Arial" w:cs="Arial"/>
          <w:iCs/>
        </w:rPr>
        <w:t xml:space="preserve"> to it</w:t>
      </w:r>
      <w:r>
        <w:rPr>
          <w:rFonts w:ascii="Arial" w:hAnsi="Arial" w:cs="Arial"/>
          <w:iCs/>
        </w:rPr>
        <w:t xml:space="preserve">, upon </w:t>
      </w:r>
      <w:r w:rsidR="003E44ED">
        <w:rPr>
          <w:rFonts w:ascii="Arial" w:hAnsi="Arial" w:cs="Arial"/>
          <w:iCs/>
        </w:rPr>
        <w:t xml:space="preserve">the readings of </w:t>
      </w:r>
      <w:r>
        <w:rPr>
          <w:rFonts w:ascii="Arial" w:hAnsi="Arial" w:cs="Arial"/>
          <w:iCs/>
        </w:rPr>
        <w:t>an</w:t>
      </w:r>
      <w:r w:rsidR="006F7F51" w:rsidRPr="00394F5A">
        <w:rPr>
          <w:rFonts w:ascii="Arial" w:hAnsi="Arial" w:cs="Arial"/>
          <w:iCs/>
        </w:rPr>
        <w:t xml:space="preserve"> incorrect meter</w:t>
      </w:r>
      <w:r w:rsidR="00F53A6D">
        <w:rPr>
          <w:rFonts w:ascii="Arial" w:hAnsi="Arial" w:cs="Arial"/>
          <w:iCs/>
        </w:rPr>
        <w:t xml:space="preserve"> (which w</w:t>
      </w:r>
      <w:r w:rsidR="007924F9">
        <w:rPr>
          <w:rFonts w:ascii="Arial" w:hAnsi="Arial" w:cs="Arial"/>
          <w:iCs/>
        </w:rPr>
        <w:t>ere</w:t>
      </w:r>
      <w:r w:rsidR="00F53A6D">
        <w:rPr>
          <w:rFonts w:ascii="Arial" w:hAnsi="Arial" w:cs="Arial"/>
          <w:iCs/>
        </w:rPr>
        <w:t xml:space="preserve"> subsequently corrected)</w:t>
      </w:r>
      <w:r>
        <w:rPr>
          <w:rFonts w:ascii="Arial" w:hAnsi="Arial" w:cs="Arial"/>
          <w:iCs/>
        </w:rPr>
        <w:t xml:space="preserve"> </w:t>
      </w:r>
      <w:r w:rsidR="003E44ED">
        <w:rPr>
          <w:rFonts w:ascii="Arial" w:hAnsi="Arial" w:cs="Arial"/>
          <w:iCs/>
        </w:rPr>
        <w:t>and</w:t>
      </w:r>
      <w:r w:rsidR="00FB5E8D">
        <w:rPr>
          <w:rFonts w:ascii="Arial" w:hAnsi="Arial" w:cs="Arial"/>
          <w:iCs/>
        </w:rPr>
        <w:t xml:space="preserve"> </w:t>
      </w:r>
      <w:r w:rsidR="00F53A6D">
        <w:rPr>
          <w:rFonts w:ascii="Arial" w:hAnsi="Arial" w:cs="Arial"/>
          <w:iCs/>
        </w:rPr>
        <w:t xml:space="preserve">aberrant water meter </w:t>
      </w:r>
      <w:r w:rsidR="006F7F51" w:rsidRPr="00394F5A">
        <w:rPr>
          <w:rFonts w:ascii="Arial" w:hAnsi="Arial" w:cs="Arial"/>
          <w:iCs/>
        </w:rPr>
        <w:t>readings.</w:t>
      </w:r>
    </w:p>
    <w:p w:rsidR="00561057" w:rsidRPr="00561057" w:rsidRDefault="00EA4550" w:rsidP="00561057">
      <w:pPr>
        <w:spacing w:after="240" w:line="480" w:lineRule="auto"/>
        <w:ind w:left="720" w:hanging="720"/>
        <w:jc w:val="both"/>
        <w:rPr>
          <w:rFonts w:ascii="Arial" w:hAnsi="Arial" w:cs="Arial"/>
          <w:i/>
        </w:rPr>
      </w:pPr>
      <w:r w:rsidRPr="00394F5A">
        <w:rPr>
          <w:rFonts w:ascii="Arial" w:hAnsi="Arial" w:cs="Arial"/>
          <w:iCs/>
        </w:rPr>
        <w:t>[</w:t>
      </w:r>
      <w:r w:rsidR="00383C77">
        <w:rPr>
          <w:rFonts w:ascii="Arial" w:hAnsi="Arial" w:cs="Arial"/>
          <w:iCs/>
        </w:rPr>
        <w:t>7</w:t>
      </w:r>
      <w:r w:rsidRPr="00394F5A">
        <w:rPr>
          <w:rFonts w:ascii="Arial" w:hAnsi="Arial" w:cs="Arial"/>
          <w:iCs/>
        </w:rPr>
        <w:t>]</w:t>
      </w:r>
      <w:r w:rsidRPr="00394F5A">
        <w:rPr>
          <w:rFonts w:ascii="Arial" w:hAnsi="Arial" w:cs="Arial"/>
          <w:iCs/>
        </w:rPr>
        <w:tab/>
      </w:r>
      <w:r w:rsidR="006A0237">
        <w:rPr>
          <w:rFonts w:ascii="Arial" w:hAnsi="Arial" w:cs="Arial"/>
          <w:iCs/>
        </w:rPr>
        <w:t>The court order of 28 July 2022 clearly serve</w:t>
      </w:r>
      <w:r w:rsidR="00E04851">
        <w:rPr>
          <w:rFonts w:ascii="Arial" w:hAnsi="Arial" w:cs="Arial"/>
          <w:iCs/>
        </w:rPr>
        <w:t>s</w:t>
      </w:r>
      <w:r w:rsidR="006A0237">
        <w:rPr>
          <w:rFonts w:ascii="Arial" w:hAnsi="Arial" w:cs="Arial"/>
          <w:iCs/>
        </w:rPr>
        <w:t xml:space="preserve"> as a </w:t>
      </w:r>
      <w:r w:rsidR="00FB5E8D">
        <w:rPr>
          <w:rFonts w:ascii="Arial" w:hAnsi="Arial" w:cs="Arial"/>
          <w:iCs/>
        </w:rPr>
        <w:t>methodology</w:t>
      </w:r>
      <w:r w:rsidR="006A0237">
        <w:rPr>
          <w:rFonts w:ascii="Arial" w:hAnsi="Arial" w:cs="Arial"/>
          <w:iCs/>
        </w:rPr>
        <w:t xml:space="preserve"> recording the</w:t>
      </w:r>
      <w:r w:rsidR="00F91DCF">
        <w:rPr>
          <w:rFonts w:ascii="Arial" w:hAnsi="Arial" w:cs="Arial"/>
          <w:iCs/>
        </w:rPr>
        <w:t xml:space="preserve"> terms and conditions of the</w:t>
      </w:r>
      <w:r w:rsidR="006A0237">
        <w:rPr>
          <w:rFonts w:ascii="Arial" w:hAnsi="Arial" w:cs="Arial"/>
          <w:iCs/>
        </w:rPr>
        <w:t xml:space="preserve"> manner in which the respective parties envisaged that the dispute between them would be resolved. </w:t>
      </w:r>
      <w:r w:rsidR="00561057">
        <w:rPr>
          <w:rFonts w:ascii="Arial" w:hAnsi="Arial" w:cs="Arial"/>
          <w:iCs/>
        </w:rPr>
        <w:t>As stated by the respondent</w:t>
      </w:r>
      <w:r w:rsidR="008B3781">
        <w:rPr>
          <w:rFonts w:ascii="Arial" w:hAnsi="Arial" w:cs="Arial"/>
          <w:iCs/>
        </w:rPr>
        <w:t xml:space="preserve">, by way of </w:t>
      </w:r>
      <w:r w:rsidR="00561057">
        <w:rPr>
          <w:rFonts w:ascii="Arial" w:hAnsi="Arial" w:cs="Arial"/>
          <w:iCs/>
        </w:rPr>
        <w:t>its answering affidavit filed in t</w:t>
      </w:r>
      <w:r w:rsidR="008B3781">
        <w:rPr>
          <w:rFonts w:ascii="Arial" w:hAnsi="Arial" w:cs="Arial"/>
          <w:iCs/>
        </w:rPr>
        <w:t>he resistance of the present</w:t>
      </w:r>
      <w:r w:rsidR="00561057">
        <w:rPr>
          <w:rFonts w:ascii="Arial" w:hAnsi="Arial" w:cs="Arial"/>
          <w:iCs/>
        </w:rPr>
        <w:t xml:space="preserve"> application, the purpose of the order</w:t>
      </w:r>
      <w:r w:rsidR="008B3781">
        <w:rPr>
          <w:rFonts w:ascii="Arial" w:hAnsi="Arial" w:cs="Arial"/>
          <w:iCs/>
        </w:rPr>
        <w:t xml:space="preserve"> is</w:t>
      </w:r>
      <w:r w:rsidR="00561057">
        <w:rPr>
          <w:rFonts w:ascii="Arial" w:hAnsi="Arial" w:cs="Arial"/>
          <w:iCs/>
        </w:rPr>
        <w:t>:</w:t>
      </w:r>
    </w:p>
    <w:p w:rsidR="00561057" w:rsidRPr="00561057" w:rsidRDefault="00561057" w:rsidP="00561057">
      <w:pPr>
        <w:spacing w:after="240" w:line="480" w:lineRule="auto"/>
        <w:ind w:left="720" w:hanging="720"/>
        <w:jc w:val="both"/>
        <w:rPr>
          <w:rFonts w:ascii="Arial" w:hAnsi="Arial" w:cs="Arial"/>
          <w:i/>
        </w:rPr>
      </w:pPr>
      <w:r w:rsidRPr="00561057">
        <w:rPr>
          <w:rFonts w:ascii="Arial" w:hAnsi="Arial" w:cs="Arial"/>
          <w:i/>
        </w:rPr>
        <w:tab/>
        <w:t>“ 9.2.4</w:t>
      </w:r>
      <w:r w:rsidRPr="00561057">
        <w:rPr>
          <w:rFonts w:ascii="Arial" w:hAnsi="Arial" w:cs="Arial"/>
          <w:i/>
        </w:rPr>
        <w:tab/>
        <w:t xml:space="preserve"> to take certain steps in the resolution of the dispute, namely to:</w:t>
      </w:r>
    </w:p>
    <w:p w:rsidR="00561057" w:rsidRPr="00FB5E8D" w:rsidRDefault="00561057" w:rsidP="00FB5E8D">
      <w:pPr>
        <w:spacing w:after="240" w:line="480" w:lineRule="auto"/>
        <w:ind w:left="1350" w:hanging="1350"/>
        <w:jc w:val="both"/>
        <w:rPr>
          <w:rFonts w:ascii="Arial" w:hAnsi="Arial" w:cs="Arial"/>
          <w:i/>
        </w:rPr>
      </w:pPr>
      <w:r w:rsidRPr="00561057">
        <w:rPr>
          <w:rFonts w:ascii="Arial" w:hAnsi="Arial" w:cs="Arial"/>
          <w:i/>
        </w:rPr>
        <w:tab/>
        <w:t xml:space="preserve">a. provide the meter reading records on the combined meter from </w:t>
      </w:r>
      <w:r w:rsidRPr="00FB5E8D">
        <w:rPr>
          <w:rFonts w:ascii="Arial" w:hAnsi="Arial" w:cs="Arial"/>
          <w:b/>
          <w:bCs/>
          <w:i/>
        </w:rPr>
        <w:t xml:space="preserve">January  </w:t>
      </w:r>
      <w:r w:rsidRPr="00561057">
        <w:rPr>
          <w:rFonts w:ascii="Arial" w:hAnsi="Arial" w:cs="Arial"/>
          <w:b/>
          <w:bCs/>
          <w:i/>
        </w:rPr>
        <w:t>2019</w:t>
      </w:r>
      <w:r w:rsidRPr="00561057">
        <w:rPr>
          <w:rFonts w:ascii="Arial" w:hAnsi="Arial" w:cs="Arial"/>
          <w:i/>
        </w:rPr>
        <w:t xml:space="preserve"> until </w:t>
      </w:r>
      <w:r w:rsidRPr="00561057">
        <w:rPr>
          <w:rFonts w:ascii="Arial" w:hAnsi="Arial" w:cs="Arial"/>
          <w:b/>
          <w:bCs/>
          <w:i/>
        </w:rPr>
        <w:t>28 July 2022</w:t>
      </w:r>
      <w:r w:rsidRPr="00561057">
        <w:rPr>
          <w:rFonts w:ascii="Arial" w:hAnsi="Arial" w:cs="Arial"/>
          <w:i/>
        </w:rPr>
        <w:t xml:space="preserve"> (paragraph 4.1 of the Court Order)”</w:t>
      </w:r>
    </w:p>
    <w:p w:rsidR="00C75EAD" w:rsidRPr="00394F5A" w:rsidRDefault="00561057" w:rsidP="00FB5E8D">
      <w:pPr>
        <w:spacing w:after="240" w:line="480" w:lineRule="auto"/>
        <w:ind w:left="720" w:hanging="720"/>
        <w:jc w:val="both"/>
        <w:rPr>
          <w:rFonts w:ascii="Arial" w:hAnsi="Arial" w:cs="Arial"/>
          <w:iCs/>
        </w:rPr>
      </w:pPr>
      <w:r>
        <w:rPr>
          <w:rFonts w:ascii="Arial" w:hAnsi="Arial" w:cs="Arial"/>
          <w:iCs/>
        </w:rPr>
        <w:t>[</w:t>
      </w:r>
      <w:r w:rsidR="00383C77">
        <w:rPr>
          <w:rFonts w:ascii="Arial" w:hAnsi="Arial" w:cs="Arial"/>
          <w:iCs/>
        </w:rPr>
        <w:t>8</w:t>
      </w:r>
      <w:r>
        <w:rPr>
          <w:rFonts w:ascii="Arial" w:hAnsi="Arial" w:cs="Arial"/>
          <w:iCs/>
        </w:rPr>
        <w:t>]</w:t>
      </w:r>
      <w:r>
        <w:rPr>
          <w:rFonts w:ascii="Arial" w:hAnsi="Arial" w:cs="Arial"/>
          <w:iCs/>
        </w:rPr>
        <w:tab/>
      </w:r>
      <w:r w:rsidR="001C47BE" w:rsidRPr="00394F5A">
        <w:rPr>
          <w:rFonts w:ascii="Arial" w:hAnsi="Arial" w:cs="Arial"/>
          <w:iCs/>
        </w:rPr>
        <w:t xml:space="preserve">A </w:t>
      </w:r>
      <w:r w:rsidR="00B5702E">
        <w:rPr>
          <w:rFonts w:ascii="Arial" w:hAnsi="Arial" w:cs="Arial"/>
          <w:iCs/>
        </w:rPr>
        <w:t>significant portion</w:t>
      </w:r>
      <w:r w:rsidR="001C47BE" w:rsidRPr="00394F5A">
        <w:rPr>
          <w:rFonts w:ascii="Arial" w:hAnsi="Arial" w:cs="Arial"/>
          <w:iCs/>
        </w:rPr>
        <w:t xml:space="preserve"> of the </w:t>
      </w:r>
      <w:r w:rsidR="009F2DF2">
        <w:rPr>
          <w:rFonts w:ascii="Arial" w:hAnsi="Arial" w:cs="Arial"/>
          <w:iCs/>
        </w:rPr>
        <w:t xml:space="preserve">facts, as pleaded by both parties, </w:t>
      </w:r>
      <w:r w:rsidR="006E3D46" w:rsidRPr="00394F5A">
        <w:rPr>
          <w:rFonts w:ascii="Arial" w:hAnsi="Arial" w:cs="Arial"/>
          <w:iCs/>
        </w:rPr>
        <w:t>are dedicated to the dispute between the parties relevant to the</w:t>
      </w:r>
      <w:r w:rsidR="00856378">
        <w:rPr>
          <w:rFonts w:ascii="Arial" w:hAnsi="Arial" w:cs="Arial"/>
          <w:iCs/>
        </w:rPr>
        <w:t>ir respective</w:t>
      </w:r>
      <w:r w:rsidR="006E3D46" w:rsidRPr="00394F5A">
        <w:rPr>
          <w:rFonts w:ascii="Arial" w:hAnsi="Arial" w:cs="Arial"/>
          <w:iCs/>
        </w:rPr>
        <w:t xml:space="preserve"> interpretation of the order of 28 July 2022.  </w:t>
      </w:r>
      <w:r w:rsidR="003E44ED">
        <w:rPr>
          <w:rFonts w:ascii="Arial" w:hAnsi="Arial" w:cs="Arial"/>
          <w:iCs/>
        </w:rPr>
        <w:t>C</w:t>
      </w:r>
      <w:r w:rsidR="006E3D46" w:rsidRPr="00394F5A">
        <w:rPr>
          <w:rFonts w:ascii="Arial" w:hAnsi="Arial" w:cs="Arial"/>
          <w:iCs/>
        </w:rPr>
        <w:t>ounsel for both the applicant and the respondent</w:t>
      </w:r>
      <w:r w:rsidR="003E44ED">
        <w:rPr>
          <w:rFonts w:ascii="Arial" w:hAnsi="Arial" w:cs="Arial"/>
          <w:iCs/>
        </w:rPr>
        <w:t xml:space="preserve"> </w:t>
      </w:r>
      <w:r w:rsidR="005E5FDE">
        <w:rPr>
          <w:rFonts w:ascii="Arial" w:hAnsi="Arial" w:cs="Arial"/>
          <w:iCs/>
        </w:rPr>
        <w:t>submitted</w:t>
      </w:r>
      <w:r w:rsidR="006E3D46" w:rsidRPr="00394F5A">
        <w:rPr>
          <w:rFonts w:ascii="Arial" w:hAnsi="Arial" w:cs="Arial"/>
          <w:iCs/>
        </w:rPr>
        <w:t>,</w:t>
      </w:r>
      <w:r w:rsidR="003E44ED">
        <w:rPr>
          <w:rFonts w:ascii="Arial" w:hAnsi="Arial" w:cs="Arial"/>
          <w:iCs/>
        </w:rPr>
        <w:t xml:space="preserve"> correctly</w:t>
      </w:r>
      <w:r w:rsidR="00F53A6D">
        <w:rPr>
          <w:rFonts w:ascii="Arial" w:hAnsi="Arial" w:cs="Arial"/>
          <w:iCs/>
        </w:rPr>
        <w:t xml:space="preserve"> so</w:t>
      </w:r>
      <w:r w:rsidR="003E44ED">
        <w:rPr>
          <w:rFonts w:ascii="Arial" w:hAnsi="Arial" w:cs="Arial"/>
          <w:iCs/>
        </w:rPr>
        <w:t xml:space="preserve"> in my view, that</w:t>
      </w:r>
      <w:r w:rsidR="006E3D46" w:rsidRPr="00394F5A">
        <w:rPr>
          <w:rFonts w:ascii="Arial" w:hAnsi="Arial" w:cs="Arial"/>
          <w:iCs/>
        </w:rPr>
        <w:t xml:space="preserve"> this Court is not called </w:t>
      </w:r>
      <w:r w:rsidR="00E04851">
        <w:rPr>
          <w:rFonts w:ascii="Arial" w:hAnsi="Arial" w:cs="Arial"/>
          <w:iCs/>
        </w:rPr>
        <w:t xml:space="preserve">upon </w:t>
      </w:r>
      <w:r w:rsidR="003E44ED">
        <w:rPr>
          <w:rFonts w:ascii="Arial" w:hAnsi="Arial" w:cs="Arial"/>
          <w:iCs/>
        </w:rPr>
        <w:t xml:space="preserve">to </w:t>
      </w:r>
      <w:r w:rsidR="00C4336C">
        <w:rPr>
          <w:rFonts w:ascii="Arial" w:hAnsi="Arial" w:cs="Arial"/>
          <w:iCs/>
        </w:rPr>
        <w:t xml:space="preserve"> pronounce the manner in which the</w:t>
      </w:r>
      <w:r w:rsidR="006E3D46" w:rsidRPr="00394F5A">
        <w:rPr>
          <w:rFonts w:ascii="Arial" w:hAnsi="Arial" w:cs="Arial"/>
          <w:iCs/>
        </w:rPr>
        <w:t xml:space="preserve"> Court order of 28 July 2022</w:t>
      </w:r>
      <w:r w:rsidR="00C4336C">
        <w:rPr>
          <w:rFonts w:ascii="Arial" w:hAnsi="Arial" w:cs="Arial"/>
          <w:iCs/>
        </w:rPr>
        <w:t xml:space="preserve"> falls to be interpreted</w:t>
      </w:r>
      <w:r w:rsidR="006E3D46" w:rsidRPr="00394F5A">
        <w:rPr>
          <w:rFonts w:ascii="Arial" w:hAnsi="Arial" w:cs="Arial"/>
          <w:iCs/>
        </w:rPr>
        <w:t xml:space="preserve">.  </w:t>
      </w:r>
      <w:r w:rsidR="003E44ED">
        <w:rPr>
          <w:rFonts w:ascii="Arial" w:hAnsi="Arial" w:cs="Arial"/>
          <w:iCs/>
        </w:rPr>
        <w:t>The</w:t>
      </w:r>
      <w:r w:rsidR="006E3D46" w:rsidRPr="00394F5A">
        <w:rPr>
          <w:rFonts w:ascii="Arial" w:hAnsi="Arial" w:cs="Arial"/>
          <w:iCs/>
        </w:rPr>
        <w:t xml:space="preserve"> </w:t>
      </w:r>
      <w:r w:rsidR="00F91DCF">
        <w:rPr>
          <w:rFonts w:ascii="Arial" w:hAnsi="Arial" w:cs="Arial"/>
          <w:iCs/>
        </w:rPr>
        <w:t xml:space="preserve">particularity of these </w:t>
      </w:r>
      <w:r w:rsidR="006E3D46" w:rsidRPr="00394F5A">
        <w:rPr>
          <w:rFonts w:ascii="Arial" w:hAnsi="Arial" w:cs="Arial"/>
          <w:iCs/>
        </w:rPr>
        <w:t xml:space="preserve">facts are </w:t>
      </w:r>
      <w:r w:rsidR="003E44ED">
        <w:rPr>
          <w:rFonts w:ascii="Arial" w:hAnsi="Arial" w:cs="Arial"/>
          <w:iCs/>
        </w:rPr>
        <w:t>accordingly</w:t>
      </w:r>
      <w:r w:rsidR="009F2DF2">
        <w:rPr>
          <w:rFonts w:ascii="Arial" w:hAnsi="Arial" w:cs="Arial"/>
          <w:iCs/>
        </w:rPr>
        <w:t xml:space="preserve"> by and large</w:t>
      </w:r>
      <w:r w:rsidR="003E44ED">
        <w:rPr>
          <w:rFonts w:ascii="Arial" w:hAnsi="Arial" w:cs="Arial"/>
          <w:iCs/>
        </w:rPr>
        <w:t xml:space="preserve"> </w:t>
      </w:r>
      <w:r w:rsidR="006E3D46" w:rsidRPr="00394F5A">
        <w:rPr>
          <w:rFonts w:ascii="Arial" w:hAnsi="Arial" w:cs="Arial"/>
          <w:iCs/>
        </w:rPr>
        <w:t>irrelevant</w:t>
      </w:r>
      <w:r w:rsidR="003E44ED">
        <w:rPr>
          <w:rFonts w:ascii="Arial" w:hAnsi="Arial" w:cs="Arial"/>
          <w:iCs/>
        </w:rPr>
        <w:t xml:space="preserve"> </w:t>
      </w:r>
      <w:r w:rsidR="009F2DF2">
        <w:rPr>
          <w:rFonts w:ascii="Arial" w:hAnsi="Arial" w:cs="Arial"/>
          <w:iCs/>
        </w:rPr>
        <w:t>to the adjudication of this application</w:t>
      </w:r>
      <w:r w:rsidR="003E44ED">
        <w:rPr>
          <w:rFonts w:ascii="Arial" w:hAnsi="Arial" w:cs="Arial"/>
          <w:iCs/>
        </w:rPr>
        <w:t>.</w:t>
      </w:r>
      <w:r w:rsidR="006E3D46" w:rsidRPr="00394F5A">
        <w:rPr>
          <w:rFonts w:ascii="Arial" w:hAnsi="Arial" w:cs="Arial"/>
          <w:iCs/>
        </w:rPr>
        <w:t xml:space="preserve"> </w:t>
      </w:r>
      <w:r w:rsidR="003E44ED">
        <w:rPr>
          <w:rFonts w:ascii="Arial" w:hAnsi="Arial" w:cs="Arial"/>
          <w:iCs/>
        </w:rPr>
        <w:t xml:space="preserve">It </w:t>
      </w:r>
      <w:r w:rsidR="006E3D46" w:rsidRPr="00394F5A">
        <w:rPr>
          <w:rFonts w:ascii="Arial" w:hAnsi="Arial" w:cs="Arial"/>
          <w:iCs/>
        </w:rPr>
        <w:t>suffice</w:t>
      </w:r>
      <w:r w:rsidR="003E44ED">
        <w:rPr>
          <w:rFonts w:ascii="Arial" w:hAnsi="Arial" w:cs="Arial"/>
          <w:iCs/>
        </w:rPr>
        <w:t>s</w:t>
      </w:r>
      <w:r w:rsidR="006E3D46" w:rsidRPr="00394F5A">
        <w:rPr>
          <w:rFonts w:ascii="Arial" w:hAnsi="Arial" w:cs="Arial"/>
          <w:iCs/>
        </w:rPr>
        <w:t xml:space="preserve"> to record</w:t>
      </w:r>
      <w:r w:rsidR="00817CFF">
        <w:rPr>
          <w:rFonts w:ascii="Arial" w:hAnsi="Arial" w:cs="Arial"/>
          <w:iCs/>
        </w:rPr>
        <w:t xml:space="preserve"> </w:t>
      </w:r>
      <w:r w:rsidR="006E3D46" w:rsidRPr="00394F5A">
        <w:rPr>
          <w:rFonts w:ascii="Arial" w:hAnsi="Arial" w:cs="Arial"/>
          <w:iCs/>
        </w:rPr>
        <w:t xml:space="preserve">that </w:t>
      </w:r>
      <w:r w:rsidR="003E44ED">
        <w:rPr>
          <w:rFonts w:ascii="Arial" w:hAnsi="Arial" w:cs="Arial"/>
          <w:iCs/>
        </w:rPr>
        <w:t xml:space="preserve">it is common cause that </w:t>
      </w:r>
      <w:r w:rsidR="006E3D46" w:rsidRPr="00394F5A">
        <w:rPr>
          <w:rFonts w:ascii="Arial" w:hAnsi="Arial" w:cs="Arial"/>
          <w:iCs/>
        </w:rPr>
        <w:t xml:space="preserve">there </w:t>
      </w:r>
      <w:r w:rsidR="003E44ED">
        <w:rPr>
          <w:rFonts w:ascii="Arial" w:hAnsi="Arial" w:cs="Arial"/>
          <w:iCs/>
        </w:rPr>
        <w:t>exists</w:t>
      </w:r>
      <w:r w:rsidR="006E3D46" w:rsidRPr="00394F5A">
        <w:rPr>
          <w:rFonts w:ascii="Arial" w:hAnsi="Arial" w:cs="Arial"/>
          <w:iCs/>
        </w:rPr>
        <w:t xml:space="preserve"> a dispute between the parties regarding</w:t>
      </w:r>
      <w:r w:rsidR="00E04851">
        <w:rPr>
          <w:rFonts w:ascii="Arial" w:hAnsi="Arial" w:cs="Arial"/>
          <w:iCs/>
        </w:rPr>
        <w:t xml:space="preserve"> the</w:t>
      </w:r>
      <w:r w:rsidR="00FB5E8D">
        <w:rPr>
          <w:rFonts w:ascii="Arial" w:hAnsi="Arial" w:cs="Arial"/>
          <w:iCs/>
        </w:rPr>
        <w:t xml:space="preserve"> i</w:t>
      </w:r>
      <w:r w:rsidR="006E3D46" w:rsidRPr="00394F5A">
        <w:rPr>
          <w:rFonts w:ascii="Arial" w:hAnsi="Arial" w:cs="Arial"/>
          <w:iCs/>
        </w:rPr>
        <w:t>nterpretation of th</w:t>
      </w:r>
      <w:r w:rsidR="00E04851">
        <w:rPr>
          <w:rFonts w:ascii="Arial" w:hAnsi="Arial" w:cs="Arial"/>
          <w:iCs/>
        </w:rPr>
        <w:t>at</w:t>
      </w:r>
      <w:r w:rsidR="006E3D46" w:rsidRPr="00394F5A">
        <w:rPr>
          <w:rFonts w:ascii="Arial" w:hAnsi="Arial" w:cs="Arial"/>
          <w:iCs/>
        </w:rPr>
        <w:t xml:space="preserve"> Court order</w:t>
      </w:r>
      <w:r w:rsidR="009F2DF2">
        <w:rPr>
          <w:rFonts w:ascii="Arial" w:hAnsi="Arial" w:cs="Arial"/>
          <w:iCs/>
        </w:rPr>
        <w:t>.</w:t>
      </w:r>
      <w:r w:rsidR="00FB5E8D">
        <w:rPr>
          <w:rFonts w:ascii="Arial" w:hAnsi="Arial" w:cs="Arial"/>
          <w:iCs/>
        </w:rPr>
        <w:t xml:space="preserve"> </w:t>
      </w:r>
      <w:r w:rsidR="009F2DF2">
        <w:rPr>
          <w:rFonts w:ascii="Arial" w:hAnsi="Arial" w:cs="Arial"/>
          <w:iCs/>
        </w:rPr>
        <w:t>M</w:t>
      </w:r>
      <w:r w:rsidR="00FB5E8D">
        <w:rPr>
          <w:rFonts w:ascii="Arial" w:hAnsi="Arial" w:cs="Arial"/>
          <w:iCs/>
        </w:rPr>
        <w:t xml:space="preserve">ore importantly, within the context of this application, </w:t>
      </w:r>
      <w:r w:rsidR="009F2DF2">
        <w:rPr>
          <w:rFonts w:ascii="Arial" w:hAnsi="Arial" w:cs="Arial"/>
          <w:iCs/>
        </w:rPr>
        <w:t xml:space="preserve">the dispute provided for in the 28 July 2022 order </w:t>
      </w:r>
      <w:r w:rsidR="004D4E21">
        <w:rPr>
          <w:rFonts w:ascii="Arial" w:hAnsi="Arial" w:cs="Arial"/>
          <w:iCs/>
        </w:rPr>
        <w:t>(being</w:t>
      </w:r>
      <w:r w:rsidR="00817CFF">
        <w:rPr>
          <w:rFonts w:ascii="Arial" w:hAnsi="Arial" w:cs="Arial"/>
          <w:iCs/>
        </w:rPr>
        <w:t xml:space="preserve"> relevant</w:t>
      </w:r>
      <w:r w:rsidR="004D4E21">
        <w:rPr>
          <w:rFonts w:ascii="Arial" w:hAnsi="Arial" w:cs="Arial"/>
          <w:iCs/>
        </w:rPr>
        <w:t xml:space="preserve"> the applicants </w:t>
      </w:r>
      <w:r w:rsidR="00817CFF">
        <w:rPr>
          <w:rFonts w:ascii="Arial" w:hAnsi="Arial" w:cs="Arial"/>
          <w:iCs/>
        </w:rPr>
        <w:t xml:space="preserve">purported </w:t>
      </w:r>
      <w:r w:rsidR="004D4E21">
        <w:rPr>
          <w:rFonts w:ascii="Arial" w:hAnsi="Arial" w:cs="Arial"/>
          <w:iCs/>
        </w:rPr>
        <w:t xml:space="preserve">indebtedness to the respondent) </w:t>
      </w:r>
      <w:r w:rsidR="009F2DF2">
        <w:rPr>
          <w:rFonts w:ascii="Arial" w:hAnsi="Arial" w:cs="Arial"/>
          <w:iCs/>
        </w:rPr>
        <w:t xml:space="preserve">remains to date </w:t>
      </w:r>
      <w:r w:rsidR="00817CFF">
        <w:rPr>
          <w:rFonts w:ascii="Arial" w:hAnsi="Arial" w:cs="Arial"/>
          <w:iCs/>
        </w:rPr>
        <w:t>very much alive</w:t>
      </w:r>
      <w:r w:rsidR="006E3D46" w:rsidRPr="00394F5A">
        <w:rPr>
          <w:rFonts w:ascii="Arial" w:hAnsi="Arial" w:cs="Arial"/>
          <w:iCs/>
        </w:rPr>
        <w:t>.</w:t>
      </w:r>
    </w:p>
    <w:p w:rsidR="00C75EAD" w:rsidRPr="00394F5A" w:rsidRDefault="00C75EAD" w:rsidP="00EA4550">
      <w:pPr>
        <w:spacing w:after="240" w:line="480" w:lineRule="auto"/>
        <w:ind w:left="720" w:hanging="720"/>
        <w:jc w:val="both"/>
        <w:rPr>
          <w:rFonts w:ascii="Arial" w:hAnsi="Arial" w:cs="Arial"/>
          <w:iCs/>
        </w:rPr>
      </w:pPr>
      <w:r w:rsidRPr="00394F5A">
        <w:rPr>
          <w:rFonts w:ascii="Arial" w:hAnsi="Arial" w:cs="Arial"/>
          <w:iCs/>
        </w:rPr>
        <w:t>[</w:t>
      </w:r>
      <w:r w:rsidR="00383C77">
        <w:rPr>
          <w:rFonts w:ascii="Arial" w:hAnsi="Arial" w:cs="Arial"/>
          <w:iCs/>
        </w:rPr>
        <w:t>9</w:t>
      </w:r>
      <w:r w:rsidRPr="00394F5A">
        <w:rPr>
          <w:rFonts w:ascii="Arial" w:hAnsi="Arial" w:cs="Arial"/>
          <w:iCs/>
        </w:rPr>
        <w:t>]</w:t>
      </w:r>
      <w:r w:rsidRPr="00394F5A">
        <w:rPr>
          <w:rFonts w:ascii="Arial" w:hAnsi="Arial" w:cs="Arial"/>
          <w:iCs/>
        </w:rPr>
        <w:tab/>
      </w:r>
      <w:r w:rsidR="006E3D46" w:rsidRPr="00394F5A">
        <w:rPr>
          <w:rFonts w:ascii="Arial" w:hAnsi="Arial" w:cs="Arial"/>
          <w:iCs/>
        </w:rPr>
        <w:t>A synopsis of the more pertinent facts evident from the pleadings of</w:t>
      </w:r>
      <w:r w:rsidR="004E1E20" w:rsidRPr="00394F5A">
        <w:rPr>
          <w:rFonts w:ascii="Arial" w:hAnsi="Arial" w:cs="Arial"/>
          <w:iCs/>
        </w:rPr>
        <w:t xml:space="preserve"> record reveals that it is the applicant’s case</w:t>
      </w:r>
      <w:r w:rsidR="00B5702E">
        <w:rPr>
          <w:rFonts w:ascii="Arial" w:hAnsi="Arial" w:cs="Arial"/>
          <w:iCs/>
        </w:rPr>
        <w:t xml:space="preserve"> that</w:t>
      </w:r>
      <w:r w:rsidR="004E1E20" w:rsidRPr="00394F5A">
        <w:rPr>
          <w:rFonts w:ascii="Arial" w:hAnsi="Arial" w:cs="Arial"/>
          <w:iCs/>
        </w:rPr>
        <w:t>:</w:t>
      </w:r>
    </w:p>
    <w:p w:rsidR="004E1E20" w:rsidRPr="00394F5A" w:rsidRDefault="00383C77" w:rsidP="004E1E20">
      <w:pPr>
        <w:spacing w:after="240" w:line="480" w:lineRule="auto"/>
        <w:ind w:left="1418" w:hanging="720"/>
        <w:jc w:val="both"/>
        <w:rPr>
          <w:rFonts w:ascii="Arial" w:hAnsi="Arial" w:cs="Arial"/>
          <w:iCs/>
        </w:rPr>
      </w:pPr>
      <w:r>
        <w:rPr>
          <w:rFonts w:ascii="Arial" w:hAnsi="Arial" w:cs="Arial"/>
          <w:iCs/>
        </w:rPr>
        <w:t>9</w:t>
      </w:r>
      <w:r w:rsidR="004E1E20" w:rsidRPr="00394F5A">
        <w:rPr>
          <w:rFonts w:ascii="Arial" w:hAnsi="Arial" w:cs="Arial"/>
          <w:iCs/>
        </w:rPr>
        <w:t>.1</w:t>
      </w:r>
      <w:r w:rsidR="004E1E20" w:rsidRPr="00394F5A">
        <w:rPr>
          <w:rFonts w:ascii="Arial" w:hAnsi="Arial" w:cs="Arial"/>
          <w:iCs/>
        </w:rPr>
        <w:tab/>
        <w:t xml:space="preserve">There </w:t>
      </w:r>
      <w:r w:rsidR="00B5702E">
        <w:rPr>
          <w:rFonts w:ascii="Arial" w:hAnsi="Arial" w:cs="Arial"/>
          <w:iCs/>
        </w:rPr>
        <w:t>exists</w:t>
      </w:r>
      <w:r w:rsidR="004E1E20" w:rsidRPr="00394F5A">
        <w:rPr>
          <w:rFonts w:ascii="Arial" w:hAnsi="Arial" w:cs="Arial"/>
          <w:iCs/>
        </w:rPr>
        <w:t xml:space="preserve"> an ongoing and unresolved dispute regarding the applicant’s pecuniary obligations to the</w:t>
      </w:r>
      <w:r w:rsidR="009F2DF2">
        <w:rPr>
          <w:rFonts w:ascii="Arial" w:hAnsi="Arial" w:cs="Arial"/>
          <w:iCs/>
        </w:rPr>
        <w:t xml:space="preserve"> </w:t>
      </w:r>
      <w:r w:rsidR="004E1E20" w:rsidRPr="00394F5A">
        <w:rPr>
          <w:rFonts w:ascii="Arial" w:hAnsi="Arial" w:cs="Arial"/>
          <w:iCs/>
        </w:rPr>
        <w:t>respondent</w:t>
      </w:r>
      <w:r w:rsidR="009F2DF2">
        <w:rPr>
          <w:rFonts w:ascii="Arial" w:hAnsi="Arial" w:cs="Arial"/>
          <w:iCs/>
        </w:rPr>
        <w:t xml:space="preserve">, </w:t>
      </w:r>
      <w:r w:rsidR="00BD3088">
        <w:rPr>
          <w:rFonts w:ascii="Arial" w:hAnsi="Arial" w:cs="Arial"/>
          <w:iCs/>
        </w:rPr>
        <w:t xml:space="preserve">the extent of </w:t>
      </w:r>
      <w:r w:rsidR="004E1E20" w:rsidRPr="00394F5A">
        <w:rPr>
          <w:rFonts w:ascii="Arial" w:hAnsi="Arial" w:cs="Arial"/>
          <w:iCs/>
        </w:rPr>
        <w:t xml:space="preserve">which </w:t>
      </w:r>
      <w:r w:rsidR="00F53A6D">
        <w:rPr>
          <w:rFonts w:ascii="Arial" w:hAnsi="Arial" w:cs="Arial"/>
          <w:iCs/>
        </w:rPr>
        <w:t xml:space="preserve">is evident from </w:t>
      </w:r>
      <w:r w:rsidR="00B5702E">
        <w:rPr>
          <w:rFonts w:ascii="Arial" w:hAnsi="Arial" w:cs="Arial"/>
          <w:iCs/>
        </w:rPr>
        <w:t>the 28 July 2022</w:t>
      </w:r>
      <w:r w:rsidR="00BD3088">
        <w:rPr>
          <w:rFonts w:ascii="Arial" w:hAnsi="Arial" w:cs="Arial"/>
          <w:iCs/>
        </w:rPr>
        <w:t xml:space="preserve"> order</w:t>
      </w:r>
      <w:r w:rsidR="009F2DF2">
        <w:rPr>
          <w:rFonts w:ascii="Arial" w:hAnsi="Arial" w:cs="Arial"/>
          <w:iCs/>
        </w:rPr>
        <w:t xml:space="preserve"> and the events that subsequently transpired in relation thereto</w:t>
      </w:r>
      <w:r w:rsidR="004E1E20" w:rsidRPr="00394F5A">
        <w:rPr>
          <w:rFonts w:ascii="Arial" w:hAnsi="Arial" w:cs="Arial"/>
          <w:iCs/>
        </w:rPr>
        <w:t>;</w:t>
      </w:r>
    </w:p>
    <w:p w:rsidR="004E1E20" w:rsidRPr="00394F5A" w:rsidRDefault="00383C77" w:rsidP="004E1E20">
      <w:pPr>
        <w:spacing w:after="240" w:line="480" w:lineRule="auto"/>
        <w:ind w:left="1418" w:hanging="720"/>
        <w:jc w:val="both"/>
        <w:rPr>
          <w:rFonts w:ascii="Arial" w:hAnsi="Arial" w:cs="Arial"/>
          <w:iCs/>
        </w:rPr>
      </w:pPr>
      <w:r>
        <w:rPr>
          <w:rFonts w:ascii="Arial" w:hAnsi="Arial" w:cs="Arial"/>
          <w:iCs/>
        </w:rPr>
        <w:t>9</w:t>
      </w:r>
      <w:r w:rsidR="004E1E20" w:rsidRPr="00394F5A">
        <w:rPr>
          <w:rFonts w:ascii="Arial" w:hAnsi="Arial" w:cs="Arial"/>
          <w:iCs/>
        </w:rPr>
        <w:t>.2</w:t>
      </w:r>
      <w:r w:rsidR="004E1E20" w:rsidRPr="00394F5A">
        <w:rPr>
          <w:rFonts w:ascii="Arial" w:hAnsi="Arial" w:cs="Arial"/>
          <w:iCs/>
        </w:rPr>
        <w:tab/>
        <w:t xml:space="preserve">The respondent did not </w:t>
      </w:r>
      <w:r w:rsidR="00BD3088">
        <w:rPr>
          <w:rFonts w:ascii="Arial" w:hAnsi="Arial" w:cs="Arial"/>
          <w:iCs/>
        </w:rPr>
        <w:t>receive</w:t>
      </w:r>
      <w:r w:rsidR="004E1E20" w:rsidRPr="00394F5A">
        <w:rPr>
          <w:rFonts w:ascii="Arial" w:hAnsi="Arial" w:cs="Arial"/>
          <w:iCs/>
        </w:rPr>
        <w:t xml:space="preserve"> proper notice of the impending disconnection as required in terms of its By-Laws</w:t>
      </w:r>
      <w:r w:rsidR="00E057B6" w:rsidRPr="00394F5A">
        <w:rPr>
          <w:rFonts w:ascii="Arial" w:hAnsi="Arial" w:cs="Arial"/>
          <w:iCs/>
        </w:rPr>
        <w:t xml:space="preserve"> and </w:t>
      </w:r>
      <w:r w:rsidR="00646808" w:rsidRPr="00394F5A">
        <w:rPr>
          <w:rFonts w:ascii="Arial" w:hAnsi="Arial" w:cs="Arial"/>
          <w:iCs/>
        </w:rPr>
        <w:t xml:space="preserve">Credit Control Policy; </w:t>
      </w:r>
    </w:p>
    <w:p w:rsidR="00646808" w:rsidRDefault="00383C77" w:rsidP="004E1E20">
      <w:pPr>
        <w:spacing w:after="240" w:line="480" w:lineRule="auto"/>
        <w:ind w:left="1418" w:hanging="720"/>
        <w:jc w:val="both"/>
        <w:rPr>
          <w:rFonts w:ascii="Arial" w:hAnsi="Arial" w:cs="Arial"/>
          <w:iCs/>
        </w:rPr>
      </w:pPr>
      <w:r>
        <w:rPr>
          <w:rFonts w:ascii="Arial" w:hAnsi="Arial" w:cs="Arial"/>
          <w:iCs/>
        </w:rPr>
        <w:t>9</w:t>
      </w:r>
      <w:r w:rsidR="00646808" w:rsidRPr="00394F5A">
        <w:rPr>
          <w:rFonts w:ascii="Arial" w:hAnsi="Arial" w:cs="Arial"/>
          <w:iCs/>
        </w:rPr>
        <w:t>.3</w:t>
      </w:r>
      <w:r w:rsidR="00646808" w:rsidRPr="00394F5A">
        <w:rPr>
          <w:rFonts w:ascii="Arial" w:hAnsi="Arial" w:cs="Arial"/>
          <w:iCs/>
        </w:rPr>
        <w:tab/>
        <w:t xml:space="preserve">The applicant has been paying the undisputed charges on </w:t>
      </w:r>
      <w:r w:rsidR="009F2DF2">
        <w:rPr>
          <w:rFonts w:ascii="Arial" w:hAnsi="Arial" w:cs="Arial"/>
          <w:iCs/>
        </w:rPr>
        <w:t>its municipal</w:t>
      </w:r>
      <w:r w:rsidR="00646808" w:rsidRPr="00394F5A">
        <w:rPr>
          <w:rFonts w:ascii="Arial" w:hAnsi="Arial" w:cs="Arial"/>
          <w:iCs/>
        </w:rPr>
        <w:t xml:space="preserve"> account</w:t>
      </w:r>
      <w:r w:rsidR="00BD3088">
        <w:rPr>
          <w:rFonts w:ascii="Arial" w:hAnsi="Arial" w:cs="Arial"/>
          <w:iCs/>
        </w:rPr>
        <w:t>; and</w:t>
      </w:r>
    </w:p>
    <w:p w:rsidR="00BD3088" w:rsidRPr="00394F5A" w:rsidRDefault="00BD3088" w:rsidP="004E1E20">
      <w:pPr>
        <w:spacing w:after="240" w:line="480" w:lineRule="auto"/>
        <w:ind w:left="1418" w:hanging="720"/>
        <w:jc w:val="both"/>
        <w:rPr>
          <w:rFonts w:ascii="Arial" w:hAnsi="Arial" w:cs="Arial"/>
          <w:iCs/>
        </w:rPr>
      </w:pPr>
      <w:r>
        <w:rPr>
          <w:rFonts w:ascii="Arial" w:hAnsi="Arial" w:cs="Arial"/>
          <w:iCs/>
        </w:rPr>
        <w:t>9.4</w:t>
      </w:r>
      <w:r>
        <w:rPr>
          <w:rFonts w:ascii="Arial" w:hAnsi="Arial" w:cs="Arial"/>
          <w:iCs/>
        </w:rPr>
        <w:tab/>
        <w:t>There exists a</w:t>
      </w:r>
      <w:r w:rsidR="005E5FDE">
        <w:rPr>
          <w:rFonts w:ascii="Arial" w:hAnsi="Arial" w:cs="Arial"/>
          <w:iCs/>
        </w:rPr>
        <w:t xml:space="preserve"> </w:t>
      </w:r>
      <w:r>
        <w:rPr>
          <w:rFonts w:ascii="Arial" w:hAnsi="Arial" w:cs="Arial"/>
          <w:iCs/>
        </w:rPr>
        <w:t xml:space="preserve">process of negotiation between the parties relevant to the clearance certificates </w:t>
      </w:r>
      <w:r w:rsidR="005E5FDE">
        <w:rPr>
          <w:rFonts w:ascii="Arial" w:hAnsi="Arial" w:cs="Arial"/>
          <w:iCs/>
        </w:rPr>
        <w:t>required to give effect to</w:t>
      </w:r>
      <w:r>
        <w:rPr>
          <w:rFonts w:ascii="Arial" w:hAnsi="Arial" w:cs="Arial"/>
          <w:iCs/>
        </w:rPr>
        <w:t xml:space="preserve"> registration of transfer of the property pursuant to the 28 July 2022 order.</w:t>
      </w:r>
    </w:p>
    <w:p w:rsidR="001F0E12" w:rsidRPr="00394F5A" w:rsidRDefault="001F0E12" w:rsidP="00EA4550">
      <w:pPr>
        <w:spacing w:after="240" w:line="480" w:lineRule="auto"/>
        <w:ind w:left="720" w:hanging="720"/>
        <w:jc w:val="both"/>
        <w:rPr>
          <w:rFonts w:ascii="Arial" w:hAnsi="Arial" w:cs="Arial"/>
          <w:iCs/>
        </w:rPr>
      </w:pPr>
      <w:r w:rsidRPr="00394F5A">
        <w:rPr>
          <w:rFonts w:ascii="Arial" w:hAnsi="Arial" w:cs="Arial"/>
          <w:iCs/>
        </w:rPr>
        <w:t>[</w:t>
      </w:r>
      <w:r w:rsidR="00C65C0F" w:rsidRPr="00394F5A">
        <w:rPr>
          <w:rFonts w:ascii="Arial" w:hAnsi="Arial" w:cs="Arial"/>
          <w:iCs/>
        </w:rPr>
        <w:t>1</w:t>
      </w:r>
      <w:r w:rsidR="00383C77">
        <w:rPr>
          <w:rFonts w:ascii="Arial" w:hAnsi="Arial" w:cs="Arial"/>
          <w:iCs/>
        </w:rPr>
        <w:t>0</w:t>
      </w:r>
      <w:r w:rsidRPr="00394F5A">
        <w:rPr>
          <w:rFonts w:ascii="Arial" w:hAnsi="Arial" w:cs="Arial"/>
          <w:iCs/>
        </w:rPr>
        <w:t>]</w:t>
      </w:r>
      <w:r w:rsidRPr="00394F5A">
        <w:rPr>
          <w:rFonts w:ascii="Arial" w:hAnsi="Arial" w:cs="Arial"/>
          <w:iCs/>
        </w:rPr>
        <w:tab/>
      </w:r>
      <w:r w:rsidR="00646808" w:rsidRPr="00394F5A">
        <w:rPr>
          <w:rFonts w:ascii="Arial" w:hAnsi="Arial" w:cs="Arial"/>
          <w:iCs/>
        </w:rPr>
        <w:t xml:space="preserve">A similar synopsis of the respondent’s case </w:t>
      </w:r>
      <w:r w:rsidR="00C87336">
        <w:rPr>
          <w:rFonts w:ascii="Arial" w:hAnsi="Arial" w:cs="Arial"/>
          <w:iCs/>
        </w:rPr>
        <w:t>illustrates</w:t>
      </w:r>
      <w:r w:rsidR="00646808" w:rsidRPr="00394F5A">
        <w:rPr>
          <w:rFonts w:ascii="Arial" w:hAnsi="Arial" w:cs="Arial"/>
          <w:iCs/>
        </w:rPr>
        <w:t xml:space="preserve"> that:</w:t>
      </w:r>
    </w:p>
    <w:p w:rsidR="00646808" w:rsidRPr="00394F5A" w:rsidRDefault="00646808" w:rsidP="00320F19">
      <w:pPr>
        <w:pStyle w:val="BodyTextIndent"/>
        <w:rPr>
          <w:iCs/>
        </w:rPr>
      </w:pPr>
      <w:r w:rsidRPr="00394F5A">
        <w:rPr>
          <w:iCs/>
        </w:rPr>
        <w:t>1</w:t>
      </w:r>
      <w:r w:rsidR="00383C77">
        <w:rPr>
          <w:iCs/>
        </w:rPr>
        <w:t>0</w:t>
      </w:r>
      <w:r w:rsidRPr="00394F5A">
        <w:rPr>
          <w:iCs/>
        </w:rPr>
        <w:t>.</w:t>
      </w:r>
      <w:r w:rsidR="00383C77">
        <w:rPr>
          <w:iCs/>
        </w:rPr>
        <w:t>1</w:t>
      </w:r>
      <w:r w:rsidRPr="00394F5A">
        <w:rPr>
          <w:iCs/>
        </w:rPr>
        <w:tab/>
        <w:t xml:space="preserve">Its disconnection </w:t>
      </w:r>
      <w:r w:rsidR="00320F19" w:rsidRPr="00394F5A">
        <w:rPr>
          <w:iCs/>
        </w:rPr>
        <w:t xml:space="preserve">of the </w:t>
      </w:r>
      <w:r w:rsidR="00C4336C">
        <w:rPr>
          <w:iCs/>
        </w:rPr>
        <w:t xml:space="preserve">municipal </w:t>
      </w:r>
      <w:r w:rsidR="00320F19" w:rsidRPr="00394F5A">
        <w:rPr>
          <w:iCs/>
        </w:rPr>
        <w:t>electricity services to the property was lawful and that the necessary jurisdictional requirements</w:t>
      </w:r>
      <w:r w:rsidR="00B5702E">
        <w:rPr>
          <w:iCs/>
        </w:rPr>
        <w:t xml:space="preserve">, </w:t>
      </w:r>
      <w:r w:rsidR="00B5702E" w:rsidRPr="00394F5A">
        <w:rPr>
          <w:iCs/>
        </w:rPr>
        <w:t xml:space="preserve">as required </w:t>
      </w:r>
      <w:r w:rsidR="00C4336C">
        <w:rPr>
          <w:iCs/>
        </w:rPr>
        <w:t>inter ali</w:t>
      </w:r>
      <w:r w:rsidR="0012349C">
        <w:rPr>
          <w:iCs/>
        </w:rPr>
        <w:t>a</w:t>
      </w:r>
      <w:r w:rsidR="00C4336C">
        <w:rPr>
          <w:iCs/>
        </w:rPr>
        <w:t xml:space="preserve"> </w:t>
      </w:r>
      <w:r w:rsidR="00B5702E" w:rsidRPr="00394F5A">
        <w:rPr>
          <w:iCs/>
        </w:rPr>
        <w:t>in terms of its By-Laws and Credit Control Policy</w:t>
      </w:r>
      <w:r w:rsidR="00B5702E">
        <w:rPr>
          <w:iCs/>
        </w:rPr>
        <w:t xml:space="preserve"> </w:t>
      </w:r>
      <w:r w:rsidR="00F53A6D">
        <w:rPr>
          <w:iCs/>
        </w:rPr>
        <w:t xml:space="preserve">predominantly </w:t>
      </w:r>
      <w:r w:rsidR="00320F19" w:rsidRPr="00394F5A">
        <w:rPr>
          <w:iCs/>
        </w:rPr>
        <w:t>relevant to its</w:t>
      </w:r>
      <w:r w:rsidR="00572460">
        <w:rPr>
          <w:iCs/>
        </w:rPr>
        <w:t xml:space="preserve"> Notice of Intention to Limit or Disconnect o</w:t>
      </w:r>
      <w:r w:rsidR="00817CFF">
        <w:rPr>
          <w:iCs/>
        </w:rPr>
        <w:t>r</w:t>
      </w:r>
      <w:r w:rsidR="00572460">
        <w:rPr>
          <w:iCs/>
        </w:rPr>
        <w:t xml:space="preserve"> Discontinue the Supply of Electricity or Water (“</w:t>
      </w:r>
      <w:r w:rsidR="00572460" w:rsidRPr="00572460">
        <w:rPr>
          <w:i/>
        </w:rPr>
        <w:t>the</w:t>
      </w:r>
      <w:r w:rsidR="00320F19" w:rsidRPr="00572460">
        <w:rPr>
          <w:i/>
        </w:rPr>
        <w:t xml:space="preserve"> pre-termination notice</w:t>
      </w:r>
      <w:r w:rsidR="00572460">
        <w:rPr>
          <w:iCs/>
        </w:rPr>
        <w:t>”)</w:t>
      </w:r>
      <w:r w:rsidR="00B5702E">
        <w:rPr>
          <w:iCs/>
        </w:rPr>
        <w:t>,</w:t>
      </w:r>
      <w:r w:rsidR="00320F19" w:rsidRPr="00394F5A">
        <w:rPr>
          <w:iCs/>
        </w:rPr>
        <w:t xml:space="preserve"> were </w:t>
      </w:r>
      <w:r w:rsidR="004D4E21">
        <w:rPr>
          <w:iCs/>
        </w:rPr>
        <w:t xml:space="preserve">both in existence and </w:t>
      </w:r>
      <w:r w:rsidR="00320F19" w:rsidRPr="00394F5A">
        <w:rPr>
          <w:iCs/>
        </w:rPr>
        <w:t>complied with; and</w:t>
      </w:r>
    </w:p>
    <w:p w:rsidR="00320F19" w:rsidRPr="00394F5A" w:rsidRDefault="00320F19" w:rsidP="00646808">
      <w:pPr>
        <w:spacing w:after="240" w:line="480" w:lineRule="auto"/>
        <w:ind w:left="1418" w:hanging="720"/>
        <w:jc w:val="both"/>
        <w:rPr>
          <w:rFonts w:ascii="Arial" w:hAnsi="Arial" w:cs="Arial"/>
          <w:iCs/>
        </w:rPr>
      </w:pPr>
      <w:r w:rsidRPr="00394F5A">
        <w:rPr>
          <w:rFonts w:ascii="Arial" w:hAnsi="Arial" w:cs="Arial"/>
          <w:iCs/>
        </w:rPr>
        <w:t>1</w:t>
      </w:r>
      <w:r w:rsidR="00383C77">
        <w:rPr>
          <w:rFonts w:ascii="Arial" w:hAnsi="Arial" w:cs="Arial"/>
          <w:iCs/>
        </w:rPr>
        <w:t>0</w:t>
      </w:r>
      <w:r w:rsidRPr="00394F5A">
        <w:rPr>
          <w:rFonts w:ascii="Arial" w:hAnsi="Arial" w:cs="Arial"/>
          <w:iCs/>
        </w:rPr>
        <w:t>.2</w:t>
      </w:r>
      <w:r w:rsidRPr="00394F5A">
        <w:rPr>
          <w:rFonts w:ascii="Arial" w:hAnsi="Arial" w:cs="Arial"/>
          <w:iCs/>
        </w:rPr>
        <w:tab/>
        <w:t>The applicant</w:t>
      </w:r>
      <w:r w:rsidR="00F91DCF">
        <w:rPr>
          <w:rFonts w:ascii="Arial" w:hAnsi="Arial" w:cs="Arial"/>
          <w:iCs/>
        </w:rPr>
        <w:t xml:space="preserve"> </w:t>
      </w:r>
      <w:r w:rsidRPr="00394F5A">
        <w:rPr>
          <w:rFonts w:ascii="Arial" w:hAnsi="Arial" w:cs="Arial"/>
          <w:iCs/>
        </w:rPr>
        <w:t>has not made payment of its undisputed payment obligations to the respondent.</w:t>
      </w:r>
    </w:p>
    <w:p w:rsidR="0045391F" w:rsidRPr="00394F5A" w:rsidRDefault="00EA4550" w:rsidP="00EA4550">
      <w:pPr>
        <w:spacing w:after="240" w:line="480" w:lineRule="auto"/>
        <w:ind w:left="720" w:hanging="720"/>
        <w:jc w:val="both"/>
        <w:rPr>
          <w:rFonts w:ascii="Arial" w:hAnsi="Arial" w:cs="Arial"/>
          <w:iCs/>
        </w:rPr>
      </w:pPr>
      <w:r w:rsidRPr="00394F5A">
        <w:rPr>
          <w:rFonts w:ascii="Arial" w:hAnsi="Arial" w:cs="Arial"/>
          <w:iCs/>
        </w:rPr>
        <w:t>[</w:t>
      </w:r>
      <w:r w:rsidR="00BE1506" w:rsidRPr="00394F5A">
        <w:rPr>
          <w:rFonts w:ascii="Arial" w:hAnsi="Arial" w:cs="Arial"/>
          <w:iCs/>
        </w:rPr>
        <w:t>1</w:t>
      </w:r>
      <w:r w:rsidR="00383C77">
        <w:rPr>
          <w:rFonts w:ascii="Arial" w:hAnsi="Arial" w:cs="Arial"/>
          <w:iCs/>
        </w:rPr>
        <w:t>1</w:t>
      </w:r>
      <w:r w:rsidRPr="00394F5A">
        <w:rPr>
          <w:rFonts w:ascii="Arial" w:hAnsi="Arial" w:cs="Arial"/>
          <w:iCs/>
        </w:rPr>
        <w:t>]</w:t>
      </w:r>
      <w:r w:rsidRPr="00394F5A">
        <w:rPr>
          <w:rFonts w:ascii="Arial" w:hAnsi="Arial" w:cs="Arial"/>
          <w:iCs/>
        </w:rPr>
        <w:tab/>
      </w:r>
      <w:r w:rsidR="00320F19" w:rsidRPr="00394F5A">
        <w:rPr>
          <w:rFonts w:ascii="Arial" w:hAnsi="Arial" w:cs="Arial"/>
          <w:iCs/>
        </w:rPr>
        <w:t>Th</w:t>
      </w:r>
      <w:r w:rsidR="00DA0F86">
        <w:rPr>
          <w:rFonts w:ascii="Arial" w:hAnsi="Arial" w:cs="Arial"/>
          <w:iCs/>
        </w:rPr>
        <w:t xml:space="preserve">at which is recorded in paragraphs 9 </w:t>
      </w:r>
      <w:r w:rsidR="00604790">
        <w:rPr>
          <w:rFonts w:ascii="Arial" w:hAnsi="Arial" w:cs="Arial"/>
          <w:iCs/>
        </w:rPr>
        <w:t>and</w:t>
      </w:r>
      <w:r w:rsidR="00DA0F86">
        <w:rPr>
          <w:rFonts w:ascii="Arial" w:hAnsi="Arial" w:cs="Arial"/>
          <w:iCs/>
        </w:rPr>
        <w:t xml:space="preserve"> 10 above </w:t>
      </w:r>
      <w:r w:rsidR="00320F19" w:rsidRPr="00394F5A">
        <w:rPr>
          <w:rFonts w:ascii="Arial" w:hAnsi="Arial" w:cs="Arial"/>
          <w:iCs/>
        </w:rPr>
        <w:t>constitute</w:t>
      </w:r>
      <w:r w:rsidR="00DA0F86">
        <w:rPr>
          <w:rFonts w:ascii="Arial" w:hAnsi="Arial" w:cs="Arial"/>
          <w:iCs/>
        </w:rPr>
        <w:t>s</w:t>
      </w:r>
      <w:r w:rsidR="00320F19" w:rsidRPr="00394F5A">
        <w:rPr>
          <w:rFonts w:ascii="Arial" w:hAnsi="Arial" w:cs="Arial"/>
          <w:iCs/>
        </w:rPr>
        <w:t xml:space="preserve"> a br</w:t>
      </w:r>
      <w:r w:rsidR="00B5702E">
        <w:rPr>
          <w:rFonts w:ascii="Arial" w:hAnsi="Arial" w:cs="Arial"/>
          <w:iCs/>
        </w:rPr>
        <w:t xml:space="preserve">oad overview </w:t>
      </w:r>
      <w:r w:rsidR="00320F19" w:rsidRPr="00394F5A">
        <w:rPr>
          <w:rFonts w:ascii="Arial" w:hAnsi="Arial" w:cs="Arial"/>
          <w:iCs/>
        </w:rPr>
        <w:t>of the respective part</w:t>
      </w:r>
      <w:r w:rsidR="00B5702E">
        <w:rPr>
          <w:rFonts w:ascii="Arial" w:hAnsi="Arial" w:cs="Arial"/>
          <w:iCs/>
        </w:rPr>
        <w:t>ies fundamental submission</w:t>
      </w:r>
      <w:r w:rsidR="00856378">
        <w:rPr>
          <w:rFonts w:ascii="Arial" w:hAnsi="Arial" w:cs="Arial"/>
          <w:iCs/>
        </w:rPr>
        <w:t>s</w:t>
      </w:r>
      <w:r w:rsidR="00320F19" w:rsidRPr="00394F5A">
        <w:rPr>
          <w:rFonts w:ascii="Arial" w:hAnsi="Arial" w:cs="Arial"/>
          <w:iCs/>
        </w:rPr>
        <w:t xml:space="preserve"> as they </w:t>
      </w:r>
      <w:r w:rsidR="004D4E21">
        <w:rPr>
          <w:rFonts w:ascii="Arial" w:hAnsi="Arial" w:cs="Arial"/>
          <w:iCs/>
        </w:rPr>
        <w:t>developed</w:t>
      </w:r>
      <w:r w:rsidR="00320F19" w:rsidRPr="00394F5A">
        <w:rPr>
          <w:rFonts w:ascii="Arial" w:hAnsi="Arial" w:cs="Arial"/>
          <w:iCs/>
        </w:rPr>
        <w:t xml:space="preserve"> during the argument of th</w:t>
      </w:r>
      <w:r w:rsidR="000D0B8B" w:rsidRPr="00394F5A">
        <w:rPr>
          <w:rFonts w:ascii="Arial" w:hAnsi="Arial" w:cs="Arial"/>
          <w:iCs/>
        </w:rPr>
        <w:t>e application</w:t>
      </w:r>
      <w:r w:rsidR="004D4E21">
        <w:rPr>
          <w:rFonts w:ascii="Arial" w:hAnsi="Arial" w:cs="Arial"/>
          <w:iCs/>
        </w:rPr>
        <w:t xml:space="preserve"> before me</w:t>
      </w:r>
      <w:r w:rsidR="000D0B8B" w:rsidRPr="00394F5A">
        <w:rPr>
          <w:rFonts w:ascii="Arial" w:hAnsi="Arial" w:cs="Arial"/>
          <w:iCs/>
        </w:rPr>
        <w:t>.  Additionally relevant facts shall be dealt with under the heading “</w:t>
      </w:r>
      <w:r w:rsidR="000D0B8B" w:rsidRPr="00394F5A">
        <w:rPr>
          <w:rFonts w:ascii="Arial" w:hAnsi="Arial" w:cs="Arial"/>
          <w:b/>
          <w:bCs/>
          <w:i/>
        </w:rPr>
        <w:t>EVALUATION</w:t>
      </w:r>
      <w:r w:rsidR="000D0B8B" w:rsidRPr="00394F5A">
        <w:rPr>
          <w:rFonts w:ascii="Arial" w:hAnsi="Arial" w:cs="Arial"/>
          <w:iCs/>
        </w:rPr>
        <w:t>”</w:t>
      </w:r>
      <w:r w:rsidR="00320F19" w:rsidRPr="00394F5A">
        <w:rPr>
          <w:rFonts w:ascii="Arial" w:hAnsi="Arial" w:cs="Arial"/>
          <w:iCs/>
        </w:rPr>
        <w:t xml:space="preserve"> </w:t>
      </w:r>
      <w:r w:rsidR="000D0B8B" w:rsidRPr="00394F5A">
        <w:rPr>
          <w:rFonts w:ascii="Arial" w:hAnsi="Arial" w:cs="Arial"/>
          <w:iCs/>
        </w:rPr>
        <w:t>below.</w:t>
      </w:r>
    </w:p>
    <w:p w:rsidR="000D0B8B" w:rsidRPr="00394F5A" w:rsidRDefault="000D0B8B" w:rsidP="000D0B8B">
      <w:pPr>
        <w:pStyle w:val="Heading3"/>
      </w:pPr>
      <w:r w:rsidRPr="00394F5A">
        <w:t>STATUTORY FRAMEWORK AND</w:t>
      </w:r>
      <w:r w:rsidR="00B5702E">
        <w:t xml:space="preserve"> </w:t>
      </w:r>
      <w:r w:rsidR="00F53A6D">
        <w:t xml:space="preserve">APPLICABLE </w:t>
      </w:r>
      <w:r w:rsidRPr="00394F5A">
        <w:t xml:space="preserve">PRECEDENT </w:t>
      </w:r>
    </w:p>
    <w:p w:rsidR="000A1DD1" w:rsidRDefault="0045391F" w:rsidP="000A1DD1">
      <w:pPr>
        <w:spacing w:after="240" w:line="480" w:lineRule="auto"/>
        <w:ind w:left="720" w:hanging="720"/>
        <w:jc w:val="both"/>
        <w:rPr>
          <w:rFonts w:ascii="Arial" w:hAnsi="Arial" w:cs="Arial"/>
          <w:iCs/>
        </w:rPr>
      </w:pPr>
      <w:r w:rsidRPr="00394F5A">
        <w:rPr>
          <w:rFonts w:ascii="Arial" w:hAnsi="Arial" w:cs="Arial"/>
          <w:iCs/>
        </w:rPr>
        <w:t>[1</w:t>
      </w:r>
      <w:r w:rsidR="00383C77">
        <w:rPr>
          <w:rFonts w:ascii="Arial" w:hAnsi="Arial" w:cs="Arial"/>
          <w:iCs/>
        </w:rPr>
        <w:t>2</w:t>
      </w:r>
      <w:r w:rsidRPr="00394F5A">
        <w:rPr>
          <w:rFonts w:ascii="Arial" w:hAnsi="Arial" w:cs="Arial"/>
          <w:iCs/>
        </w:rPr>
        <w:t>]</w:t>
      </w:r>
      <w:r w:rsidRPr="00394F5A">
        <w:rPr>
          <w:rFonts w:ascii="Arial" w:hAnsi="Arial" w:cs="Arial"/>
          <w:iCs/>
        </w:rPr>
        <w:tab/>
      </w:r>
      <w:r w:rsidR="000A1DD1" w:rsidRPr="00394F5A">
        <w:rPr>
          <w:rFonts w:ascii="Arial" w:hAnsi="Arial" w:cs="Arial"/>
          <w:iCs/>
        </w:rPr>
        <w:t>Section 5(1)(g) of the</w:t>
      </w:r>
      <w:r w:rsidR="00F91DCF">
        <w:rPr>
          <w:rFonts w:ascii="Arial" w:hAnsi="Arial" w:cs="Arial"/>
          <w:iCs/>
        </w:rPr>
        <w:t xml:space="preserve"> </w:t>
      </w:r>
      <w:r w:rsidR="000A1DD1" w:rsidRPr="00394F5A">
        <w:rPr>
          <w:rFonts w:ascii="Arial" w:hAnsi="Arial" w:cs="Arial"/>
          <w:iCs/>
        </w:rPr>
        <w:t>MSA provides that:</w:t>
      </w:r>
    </w:p>
    <w:p w:rsidR="000A1DD1" w:rsidRDefault="000A1DD1" w:rsidP="000A1DD1">
      <w:pPr>
        <w:spacing w:after="240" w:line="480" w:lineRule="auto"/>
        <w:ind w:left="993" w:hanging="11"/>
        <w:jc w:val="both"/>
        <w:rPr>
          <w:rFonts w:ascii="Arial" w:hAnsi="Arial" w:cs="Arial"/>
          <w:iCs/>
        </w:rPr>
      </w:pPr>
      <w:r w:rsidRPr="00394F5A">
        <w:rPr>
          <w:rFonts w:ascii="Arial" w:hAnsi="Arial" w:cs="Arial"/>
          <w:iCs/>
        </w:rPr>
        <w:t>“</w:t>
      </w:r>
      <w:r w:rsidRPr="00394F5A">
        <w:rPr>
          <w:rFonts w:ascii="Arial" w:hAnsi="Arial" w:cs="Arial"/>
          <w:i/>
        </w:rPr>
        <w:t>Members of the local community have the right to have access to municipal services which the Municipality provides, provided the duties in subsection (2)(b) are complied with.</w:t>
      </w:r>
      <w:r w:rsidRPr="00394F5A">
        <w:rPr>
          <w:rFonts w:ascii="Arial" w:hAnsi="Arial" w:cs="Arial"/>
          <w:iCs/>
        </w:rPr>
        <w:t>”</w:t>
      </w:r>
    </w:p>
    <w:p w:rsidR="00BE1506" w:rsidRPr="00394F5A" w:rsidRDefault="000A1DD1" w:rsidP="000A1DD1">
      <w:pPr>
        <w:spacing w:after="240" w:line="480" w:lineRule="auto"/>
        <w:ind w:left="720" w:hanging="720"/>
        <w:jc w:val="both"/>
        <w:rPr>
          <w:rFonts w:ascii="Arial" w:hAnsi="Arial" w:cs="Arial"/>
          <w:iCs/>
        </w:rPr>
      </w:pPr>
      <w:r>
        <w:rPr>
          <w:rFonts w:ascii="Arial" w:hAnsi="Arial" w:cs="Arial"/>
          <w:iCs/>
        </w:rPr>
        <w:t>[1</w:t>
      </w:r>
      <w:r w:rsidR="00383C77">
        <w:rPr>
          <w:rFonts w:ascii="Arial" w:hAnsi="Arial" w:cs="Arial"/>
          <w:iCs/>
        </w:rPr>
        <w:t>3</w:t>
      </w:r>
      <w:r>
        <w:rPr>
          <w:rFonts w:ascii="Arial" w:hAnsi="Arial" w:cs="Arial"/>
          <w:iCs/>
        </w:rPr>
        <w:t>]</w:t>
      </w:r>
      <w:r>
        <w:rPr>
          <w:rFonts w:ascii="Arial" w:hAnsi="Arial" w:cs="Arial"/>
          <w:iCs/>
        </w:rPr>
        <w:tab/>
      </w:r>
      <w:r w:rsidR="000D0B8B" w:rsidRPr="00394F5A">
        <w:rPr>
          <w:rFonts w:ascii="Arial" w:hAnsi="Arial" w:cs="Arial"/>
          <w:iCs/>
        </w:rPr>
        <w:t xml:space="preserve">Section 102 </w:t>
      </w:r>
      <w:r w:rsidR="00B5702E">
        <w:rPr>
          <w:rFonts w:ascii="Arial" w:hAnsi="Arial" w:cs="Arial"/>
          <w:iCs/>
        </w:rPr>
        <w:t>t</w:t>
      </w:r>
      <w:r w:rsidR="000D0B8B" w:rsidRPr="00394F5A">
        <w:rPr>
          <w:rFonts w:ascii="Arial" w:hAnsi="Arial" w:cs="Arial"/>
          <w:iCs/>
        </w:rPr>
        <w:t>he MSA provides as follows:</w:t>
      </w:r>
    </w:p>
    <w:p w:rsidR="000D0B8B" w:rsidRPr="00394F5A" w:rsidRDefault="000D0B8B" w:rsidP="000D0B8B">
      <w:pPr>
        <w:spacing w:line="480" w:lineRule="auto"/>
        <w:ind w:left="1701" w:hanging="709"/>
        <w:jc w:val="both"/>
        <w:rPr>
          <w:rFonts w:ascii="Arial" w:hAnsi="Arial" w:cs="Arial"/>
          <w:i/>
          <w:iCs/>
        </w:rPr>
      </w:pPr>
      <w:r w:rsidRPr="00394F5A">
        <w:rPr>
          <w:rFonts w:ascii="Arial" w:hAnsi="Arial" w:cs="Arial"/>
          <w:iCs/>
        </w:rPr>
        <w:t>“</w:t>
      </w:r>
      <w:r w:rsidRPr="00394F5A">
        <w:rPr>
          <w:rFonts w:ascii="Arial" w:hAnsi="Arial" w:cs="Arial"/>
          <w:i/>
          <w:iCs/>
        </w:rPr>
        <w:t xml:space="preserve">(1) </w:t>
      </w:r>
      <w:r w:rsidRPr="00394F5A">
        <w:rPr>
          <w:rFonts w:ascii="Arial" w:hAnsi="Arial" w:cs="Arial"/>
          <w:i/>
          <w:iCs/>
        </w:rPr>
        <w:tab/>
        <w:t>A municipality may-</w:t>
      </w:r>
    </w:p>
    <w:p w:rsidR="000D0B8B" w:rsidRPr="00394F5A" w:rsidRDefault="000D0B8B" w:rsidP="000D0B8B">
      <w:pPr>
        <w:ind w:left="1701" w:hanging="709"/>
        <w:jc w:val="both"/>
        <w:rPr>
          <w:rFonts w:ascii="Arial" w:hAnsi="Arial" w:cs="Arial"/>
          <w:i/>
          <w:iCs/>
        </w:rPr>
      </w:pPr>
    </w:p>
    <w:p w:rsidR="000D0B8B" w:rsidRPr="00394F5A" w:rsidRDefault="000D0B8B" w:rsidP="000D0B8B">
      <w:pPr>
        <w:spacing w:line="480" w:lineRule="auto"/>
        <w:ind w:left="2552" w:hanging="850"/>
        <w:jc w:val="both"/>
        <w:rPr>
          <w:rFonts w:ascii="Arial" w:hAnsi="Arial" w:cs="Arial"/>
          <w:i/>
          <w:iCs/>
        </w:rPr>
      </w:pPr>
      <w:r w:rsidRPr="00394F5A">
        <w:rPr>
          <w:rFonts w:ascii="Arial" w:hAnsi="Arial" w:cs="Arial"/>
          <w:i/>
          <w:iCs/>
        </w:rPr>
        <w:t xml:space="preserve">   (a)   </w:t>
      </w:r>
      <w:r w:rsidRPr="00394F5A">
        <w:rPr>
          <w:rFonts w:ascii="Arial" w:hAnsi="Arial" w:cs="Arial"/>
          <w:i/>
          <w:iCs/>
        </w:rPr>
        <w:tab/>
        <w:t>consolidate any separate accounts of persons liable for payments to the municipality;</w:t>
      </w:r>
    </w:p>
    <w:p w:rsidR="000D0B8B" w:rsidRPr="00394F5A" w:rsidRDefault="000D0B8B" w:rsidP="000D0B8B">
      <w:pPr>
        <w:spacing w:line="480" w:lineRule="auto"/>
        <w:ind w:left="2552" w:hanging="850"/>
        <w:jc w:val="both"/>
        <w:rPr>
          <w:rFonts w:ascii="Arial" w:hAnsi="Arial" w:cs="Arial"/>
          <w:i/>
          <w:iCs/>
        </w:rPr>
      </w:pPr>
      <w:r w:rsidRPr="00394F5A">
        <w:rPr>
          <w:rFonts w:ascii="Arial" w:hAnsi="Arial" w:cs="Arial"/>
          <w:i/>
          <w:iCs/>
        </w:rPr>
        <w:t xml:space="preserve">   (b)   </w:t>
      </w:r>
      <w:r w:rsidRPr="00394F5A">
        <w:rPr>
          <w:rFonts w:ascii="Arial" w:hAnsi="Arial" w:cs="Arial"/>
          <w:i/>
          <w:iCs/>
        </w:rPr>
        <w:tab/>
        <w:t>credit a payment by such a person against any account of that person; and</w:t>
      </w:r>
    </w:p>
    <w:p w:rsidR="000D0B8B" w:rsidRPr="00394F5A" w:rsidRDefault="000D0B8B" w:rsidP="000D0B8B">
      <w:pPr>
        <w:spacing w:line="480" w:lineRule="auto"/>
        <w:ind w:left="2552" w:hanging="850"/>
        <w:jc w:val="both"/>
        <w:rPr>
          <w:rFonts w:ascii="Arial" w:hAnsi="Arial" w:cs="Arial"/>
          <w:i/>
          <w:iCs/>
        </w:rPr>
      </w:pPr>
      <w:r w:rsidRPr="00394F5A">
        <w:rPr>
          <w:rFonts w:ascii="Arial" w:hAnsi="Arial" w:cs="Arial"/>
          <w:i/>
          <w:iCs/>
        </w:rPr>
        <w:t xml:space="preserve">   (c)   </w:t>
      </w:r>
      <w:r w:rsidRPr="00394F5A">
        <w:rPr>
          <w:rFonts w:ascii="Arial" w:hAnsi="Arial" w:cs="Arial"/>
          <w:i/>
          <w:iCs/>
        </w:rPr>
        <w:tab/>
        <w:t>implement any of the debt collection and credit control measures provided for in this Chapter in relation to any arrears on any of the accounts of such a person.</w:t>
      </w:r>
    </w:p>
    <w:p w:rsidR="000D0B8B" w:rsidRPr="00394F5A" w:rsidRDefault="000D0B8B" w:rsidP="000D0B8B">
      <w:pPr>
        <w:ind w:left="2552" w:hanging="850"/>
        <w:jc w:val="both"/>
        <w:rPr>
          <w:rFonts w:ascii="Arial" w:hAnsi="Arial" w:cs="Arial"/>
          <w:i/>
          <w:iCs/>
        </w:rPr>
      </w:pPr>
    </w:p>
    <w:p w:rsidR="000D0B8B" w:rsidRPr="00394F5A" w:rsidRDefault="000D0B8B" w:rsidP="000D0B8B">
      <w:pPr>
        <w:spacing w:after="240" w:line="480" w:lineRule="auto"/>
        <w:ind w:left="1701" w:hanging="708"/>
        <w:jc w:val="both"/>
        <w:rPr>
          <w:rFonts w:ascii="Arial" w:hAnsi="Arial" w:cs="Arial"/>
          <w:iCs/>
        </w:rPr>
      </w:pPr>
      <w:r w:rsidRPr="00394F5A">
        <w:rPr>
          <w:rFonts w:ascii="Arial" w:hAnsi="Arial" w:cs="Arial"/>
          <w:i/>
          <w:iCs/>
        </w:rPr>
        <w:t xml:space="preserve">(2) </w:t>
      </w:r>
      <w:r w:rsidRPr="00394F5A">
        <w:rPr>
          <w:rFonts w:ascii="Arial" w:hAnsi="Arial" w:cs="Arial"/>
          <w:i/>
          <w:iCs/>
        </w:rPr>
        <w:tab/>
        <w:t>Subsection (1) does not apply where there is a dispute between the municipality and a person referred to in that subsection concerning any specific amount claimed by the municipality from that person.</w:t>
      </w:r>
      <w:r w:rsidRPr="00394F5A">
        <w:rPr>
          <w:rFonts w:ascii="Arial" w:hAnsi="Arial" w:cs="Arial"/>
          <w:iCs/>
        </w:rPr>
        <w:t>”</w:t>
      </w:r>
    </w:p>
    <w:p w:rsidR="00EA4550" w:rsidRPr="00394F5A" w:rsidRDefault="00BD627D" w:rsidP="00EA4550">
      <w:pPr>
        <w:spacing w:after="240" w:line="480" w:lineRule="auto"/>
        <w:ind w:left="720" w:hanging="720"/>
        <w:jc w:val="both"/>
        <w:rPr>
          <w:rFonts w:ascii="Arial" w:hAnsi="Arial" w:cs="Arial"/>
          <w:iCs/>
        </w:rPr>
      </w:pPr>
      <w:r w:rsidRPr="00394F5A">
        <w:rPr>
          <w:rFonts w:ascii="Arial" w:hAnsi="Arial" w:cs="Arial"/>
          <w:iCs/>
        </w:rPr>
        <w:t>[1</w:t>
      </w:r>
      <w:r w:rsidR="00383C77">
        <w:rPr>
          <w:rFonts w:ascii="Arial" w:hAnsi="Arial" w:cs="Arial"/>
          <w:iCs/>
        </w:rPr>
        <w:t>4</w:t>
      </w:r>
      <w:r w:rsidRPr="00394F5A">
        <w:rPr>
          <w:rFonts w:ascii="Arial" w:hAnsi="Arial" w:cs="Arial"/>
          <w:iCs/>
        </w:rPr>
        <w:t>]</w:t>
      </w:r>
      <w:r w:rsidRPr="00394F5A">
        <w:rPr>
          <w:rFonts w:ascii="Arial" w:hAnsi="Arial" w:cs="Arial"/>
          <w:iCs/>
        </w:rPr>
        <w:tab/>
      </w:r>
      <w:r w:rsidR="000D0B8B" w:rsidRPr="00394F5A">
        <w:rPr>
          <w:rFonts w:ascii="Arial" w:hAnsi="Arial" w:cs="Arial"/>
          <w:iCs/>
        </w:rPr>
        <w:t xml:space="preserve">In terms of section 20(3)(a) of the </w:t>
      </w:r>
      <w:r w:rsidR="00B5702E">
        <w:rPr>
          <w:rFonts w:ascii="Arial" w:hAnsi="Arial" w:cs="Arial"/>
          <w:iCs/>
        </w:rPr>
        <w:t>r</w:t>
      </w:r>
      <w:r w:rsidR="000D0B8B" w:rsidRPr="00394F5A">
        <w:rPr>
          <w:rFonts w:ascii="Arial" w:hAnsi="Arial" w:cs="Arial"/>
          <w:iCs/>
        </w:rPr>
        <w:t>espondent’s Credit Control and Debt Collection Policy (dated 30 June 2022</w:t>
      </w:r>
      <w:r w:rsidR="000D0B8B" w:rsidRPr="00B5702E">
        <w:rPr>
          <w:rFonts w:ascii="Arial" w:hAnsi="Arial" w:cs="Arial"/>
          <w:iCs/>
        </w:rPr>
        <w:t>) (“</w:t>
      </w:r>
      <w:r w:rsidR="000D0B8B" w:rsidRPr="00B5702E">
        <w:rPr>
          <w:rFonts w:ascii="Arial" w:hAnsi="Arial" w:cs="Arial"/>
          <w:i/>
          <w:iCs/>
        </w:rPr>
        <w:t>the Credit Control Policy</w:t>
      </w:r>
      <w:r w:rsidR="000D0B8B" w:rsidRPr="00B5702E">
        <w:rPr>
          <w:rFonts w:ascii="Arial" w:hAnsi="Arial" w:cs="Arial"/>
          <w:iCs/>
        </w:rPr>
        <w:t>”),</w:t>
      </w:r>
      <w:r w:rsidR="000D0B8B" w:rsidRPr="00394F5A">
        <w:rPr>
          <w:rFonts w:ascii="Arial" w:hAnsi="Arial" w:cs="Arial"/>
          <w:iCs/>
        </w:rPr>
        <w:t xml:space="preserve"> a municipality is authori</w:t>
      </w:r>
      <w:r w:rsidR="00B5702E">
        <w:rPr>
          <w:rFonts w:ascii="Arial" w:hAnsi="Arial" w:cs="Arial"/>
          <w:iCs/>
        </w:rPr>
        <w:t>s</w:t>
      </w:r>
      <w:r w:rsidR="000D0B8B" w:rsidRPr="00394F5A">
        <w:rPr>
          <w:rFonts w:ascii="Arial" w:hAnsi="Arial" w:cs="Arial"/>
          <w:iCs/>
        </w:rPr>
        <w:t>ed to discontinue the supply of electricity to an immovable property if the customer fails to pay any account.</w:t>
      </w:r>
    </w:p>
    <w:p w:rsidR="00CF2D5F" w:rsidRPr="00394F5A" w:rsidRDefault="00B82CFE" w:rsidP="00B82CFE">
      <w:pPr>
        <w:spacing w:after="240" w:line="480" w:lineRule="auto"/>
        <w:ind w:left="720" w:hanging="720"/>
        <w:jc w:val="both"/>
        <w:rPr>
          <w:rFonts w:ascii="Arial" w:hAnsi="Arial" w:cs="Arial"/>
        </w:rPr>
      </w:pPr>
      <w:r w:rsidRPr="00394F5A">
        <w:rPr>
          <w:rFonts w:ascii="Arial" w:hAnsi="Arial" w:cs="Arial"/>
        </w:rPr>
        <w:t>[</w:t>
      </w:r>
      <w:r w:rsidR="00BD627D" w:rsidRPr="00394F5A">
        <w:rPr>
          <w:rFonts w:ascii="Arial" w:hAnsi="Arial" w:cs="Arial"/>
        </w:rPr>
        <w:t>1</w:t>
      </w:r>
      <w:r w:rsidR="00383C77">
        <w:rPr>
          <w:rFonts w:ascii="Arial" w:hAnsi="Arial" w:cs="Arial"/>
        </w:rPr>
        <w:t>5</w:t>
      </w:r>
      <w:r w:rsidRPr="00394F5A">
        <w:rPr>
          <w:rFonts w:ascii="Arial" w:hAnsi="Arial" w:cs="Arial"/>
        </w:rPr>
        <w:t>]</w:t>
      </w:r>
      <w:r w:rsidRPr="00394F5A">
        <w:rPr>
          <w:rFonts w:ascii="Arial" w:hAnsi="Arial" w:cs="Arial"/>
        </w:rPr>
        <w:tab/>
      </w:r>
      <w:r w:rsidR="003D551A" w:rsidRPr="00394F5A">
        <w:rPr>
          <w:rFonts w:ascii="Arial" w:hAnsi="Arial" w:cs="Arial"/>
        </w:rPr>
        <w:t>Section 20(6) of the Credit Control Policy provides:</w:t>
      </w:r>
    </w:p>
    <w:p w:rsidR="003D551A" w:rsidRPr="00394F5A" w:rsidRDefault="003D551A" w:rsidP="003D551A">
      <w:pPr>
        <w:spacing w:line="480" w:lineRule="auto"/>
        <w:ind w:left="993"/>
        <w:jc w:val="both"/>
        <w:rPr>
          <w:rFonts w:ascii="Arial" w:hAnsi="Arial" w:cs="Arial"/>
          <w:i/>
          <w:iCs/>
        </w:rPr>
      </w:pPr>
      <w:r w:rsidRPr="00394F5A">
        <w:rPr>
          <w:rFonts w:ascii="Arial" w:hAnsi="Arial" w:cs="Arial"/>
        </w:rPr>
        <w:t>“</w:t>
      </w:r>
      <w:r w:rsidRPr="00394F5A">
        <w:rPr>
          <w:rFonts w:ascii="Arial" w:hAnsi="Arial" w:cs="Arial"/>
          <w:i/>
          <w:iCs/>
        </w:rPr>
        <w:t>Prior to the limitation, disconnection or discontinuation of the supply of electricity or water as per paragraph 20(3) above, the Municipality or Municipal Entity shall:</w:t>
      </w:r>
    </w:p>
    <w:p w:rsidR="003D551A" w:rsidRPr="00394F5A" w:rsidRDefault="003D551A" w:rsidP="003D551A">
      <w:pPr>
        <w:ind w:left="993"/>
        <w:jc w:val="both"/>
        <w:rPr>
          <w:rFonts w:ascii="Arial" w:hAnsi="Arial" w:cs="Arial"/>
          <w:i/>
          <w:iCs/>
        </w:rPr>
      </w:pPr>
    </w:p>
    <w:p w:rsidR="003D551A" w:rsidRPr="00394F5A" w:rsidRDefault="003D551A" w:rsidP="003D551A">
      <w:pPr>
        <w:spacing w:line="480" w:lineRule="auto"/>
        <w:ind w:left="1701" w:hanging="709"/>
        <w:jc w:val="both"/>
        <w:rPr>
          <w:rFonts w:ascii="Arial" w:hAnsi="Arial" w:cs="Arial"/>
          <w:i/>
          <w:iCs/>
        </w:rPr>
      </w:pPr>
      <w:r w:rsidRPr="00394F5A">
        <w:rPr>
          <w:rFonts w:ascii="Arial" w:hAnsi="Arial" w:cs="Arial"/>
          <w:i/>
          <w:iCs/>
        </w:rPr>
        <w:t xml:space="preserve">(a) </w:t>
      </w:r>
      <w:r w:rsidRPr="00394F5A">
        <w:rPr>
          <w:rFonts w:ascii="Arial" w:hAnsi="Arial" w:cs="Arial"/>
          <w:i/>
          <w:iCs/>
        </w:rPr>
        <w:tab/>
        <w:t>provide the customer with adequate notice, including:</w:t>
      </w:r>
    </w:p>
    <w:p w:rsidR="003D551A" w:rsidRPr="00394F5A" w:rsidRDefault="003D551A" w:rsidP="003D551A">
      <w:pPr>
        <w:ind w:left="1701" w:hanging="709"/>
        <w:jc w:val="both"/>
        <w:rPr>
          <w:rFonts w:ascii="Arial" w:hAnsi="Arial" w:cs="Arial"/>
          <w:i/>
          <w:iCs/>
        </w:rPr>
      </w:pPr>
    </w:p>
    <w:p w:rsidR="003D551A" w:rsidRPr="00394F5A" w:rsidRDefault="003D551A" w:rsidP="003D551A">
      <w:pPr>
        <w:spacing w:line="480" w:lineRule="auto"/>
        <w:ind w:left="2410" w:hanging="708"/>
        <w:jc w:val="both"/>
        <w:rPr>
          <w:rFonts w:ascii="Arial" w:hAnsi="Arial" w:cs="Arial"/>
          <w:i/>
          <w:iCs/>
        </w:rPr>
      </w:pPr>
      <w:r w:rsidRPr="00394F5A">
        <w:rPr>
          <w:rFonts w:ascii="Arial" w:hAnsi="Arial" w:cs="Arial"/>
          <w:i/>
          <w:iCs/>
        </w:rPr>
        <w:t>(</w:t>
      </w:r>
      <w:proofErr w:type="spellStart"/>
      <w:r w:rsidRPr="00394F5A">
        <w:rPr>
          <w:rFonts w:ascii="Arial" w:hAnsi="Arial" w:cs="Arial"/>
          <w:i/>
          <w:iCs/>
        </w:rPr>
        <w:t>i</w:t>
      </w:r>
      <w:proofErr w:type="spellEnd"/>
      <w:r w:rsidRPr="00394F5A">
        <w:rPr>
          <w:rFonts w:ascii="Arial" w:hAnsi="Arial" w:cs="Arial"/>
          <w:i/>
          <w:iCs/>
        </w:rPr>
        <w:t xml:space="preserve">) </w:t>
      </w:r>
      <w:r w:rsidRPr="00394F5A">
        <w:rPr>
          <w:rFonts w:ascii="Arial" w:hAnsi="Arial" w:cs="Arial"/>
          <w:i/>
          <w:iCs/>
        </w:rPr>
        <w:tab/>
        <w:t>the date of the proposed limitation, disconnection or discontinuation;</w:t>
      </w:r>
    </w:p>
    <w:p w:rsidR="003D551A" w:rsidRPr="00394F5A" w:rsidRDefault="003D551A" w:rsidP="003D551A">
      <w:pPr>
        <w:spacing w:line="480" w:lineRule="auto"/>
        <w:ind w:left="2410" w:hanging="708"/>
        <w:jc w:val="both"/>
        <w:rPr>
          <w:rFonts w:ascii="Arial" w:hAnsi="Arial" w:cs="Arial"/>
          <w:i/>
          <w:iCs/>
        </w:rPr>
      </w:pPr>
      <w:r w:rsidRPr="00394F5A">
        <w:rPr>
          <w:rFonts w:ascii="Arial" w:hAnsi="Arial" w:cs="Arial"/>
          <w:i/>
          <w:iCs/>
        </w:rPr>
        <w:t xml:space="preserve">(ii) </w:t>
      </w:r>
      <w:r w:rsidRPr="00394F5A">
        <w:rPr>
          <w:rFonts w:ascii="Arial" w:hAnsi="Arial" w:cs="Arial"/>
          <w:i/>
          <w:iCs/>
        </w:rPr>
        <w:tab/>
        <w:t>the reason for the proposed limitation, disconnection or discontinuation;</w:t>
      </w:r>
    </w:p>
    <w:p w:rsidR="003D551A" w:rsidRDefault="003D551A" w:rsidP="003D551A">
      <w:pPr>
        <w:spacing w:line="480" w:lineRule="auto"/>
        <w:ind w:left="2410" w:hanging="708"/>
        <w:jc w:val="both"/>
        <w:rPr>
          <w:rFonts w:ascii="Arial" w:hAnsi="Arial" w:cs="Arial"/>
          <w:i/>
          <w:iCs/>
        </w:rPr>
      </w:pPr>
      <w:r w:rsidRPr="00394F5A">
        <w:rPr>
          <w:rFonts w:ascii="Arial" w:hAnsi="Arial" w:cs="Arial"/>
          <w:i/>
          <w:iCs/>
        </w:rPr>
        <w:t xml:space="preserve">(iii) </w:t>
      </w:r>
      <w:r w:rsidRPr="00394F5A">
        <w:rPr>
          <w:rFonts w:ascii="Arial" w:hAnsi="Arial" w:cs="Arial"/>
          <w:i/>
          <w:iCs/>
        </w:rPr>
        <w:tab/>
        <w:t>the place at which the customer can challenge the basis of the proposed limitation, disconnection or discontinuation;</w:t>
      </w:r>
    </w:p>
    <w:p w:rsidR="004D4E21" w:rsidRPr="00394F5A" w:rsidRDefault="004D4E21" w:rsidP="003D551A">
      <w:pPr>
        <w:spacing w:line="480" w:lineRule="auto"/>
        <w:ind w:left="2410" w:hanging="708"/>
        <w:jc w:val="both"/>
        <w:rPr>
          <w:rFonts w:ascii="Arial" w:hAnsi="Arial" w:cs="Arial"/>
          <w:i/>
          <w:iCs/>
        </w:rPr>
      </w:pPr>
    </w:p>
    <w:p w:rsidR="003D551A" w:rsidRPr="00394F5A" w:rsidRDefault="003D551A" w:rsidP="003D551A">
      <w:pPr>
        <w:spacing w:line="480" w:lineRule="auto"/>
        <w:ind w:left="2410" w:hanging="708"/>
        <w:jc w:val="both"/>
        <w:rPr>
          <w:rFonts w:ascii="Arial" w:hAnsi="Arial" w:cs="Arial"/>
          <w:i/>
          <w:iCs/>
        </w:rPr>
      </w:pPr>
      <w:r w:rsidRPr="00394F5A">
        <w:rPr>
          <w:rFonts w:ascii="Arial" w:hAnsi="Arial" w:cs="Arial"/>
          <w:i/>
          <w:iCs/>
        </w:rPr>
        <w:t>(iv)</w:t>
      </w:r>
      <w:r w:rsidRPr="00394F5A">
        <w:rPr>
          <w:rFonts w:ascii="Arial" w:hAnsi="Arial" w:cs="Arial"/>
          <w:i/>
          <w:iCs/>
        </w:rPr>
        <w:tab/>
        <w:t>the notice may be a combined notice between both the Municipality and the Municipal Entity; and</w:t>
      </w:r>
    </w:p>
    <w:p w:rsidR="003D551A" w:rsidRPr="00394F5A" w:rsidRDefault="003D551A" w:rsidP="003D551A">
      <w:pPr>
        <w:ind w:left="2410" w:hanging="708"/>
        <w:jc w:val="both"/>
        <w:rPr>
          <w:rFonts w:ascii="Arial" w:hAnsi="Arial" w:cs="Arial"/>
          <w:i/>
          <w:iCs/>
        </w:rPr>
      </w:pPr>
    </w:p>
    <w:p w:rsidR="003D551A" w:rsidRPr="00394F5A" w:rsidRDefault="003D551A" w:rsidP="003D551A">
      <w:pPr>
        <w:spacing w:after="240" w:line="480" w:lineRule="auto"/>
        <w:ind w:left="1701" w:hanging="720"/>
        <w:jc w:val="both"/>
        <w:rPr>
          <w:rFonts w:ascii="Arial" w:hAnsi="Arial" w:cs="Arial"/>
        </w:rPr>
      </w:pPr>
      <w:r w:rsidRPr="00394F5A">
        <w:rPr>
          <w:rFonts w:ascii="Arial" w:hAnsi="Arial" w:cs="Arial"/>
          <w:i/>
          <w:iCs/>
        </w:rPr>
        <w:t xml:space="preserve">(b) </w:t>
      </w:r>
      <w:r w:rsidRPr="00394F5A">
        <w:rPr>
          <w:rFonts w:ascii="Arial" w:hAnsi="Arial" w:cs="Arial"/>
          <w:i/>
          <w:iCs/>
        </w:rPr>
        <w:tab/>
        <w:t>allow the customer fourteen (14) days within which to challenge or make representations.</w:t>
      </w:r>
      <w:r w:rsidRPr="00394F5A">
        <w:rPr>
          <w:rFonts w:ascii="Arial" w:hAnsi="Arial" w:cs="Arial"/>
        </w:rPr>
        <w:t>”</w:t>
      </w:r>
    </w:p>
    <w:p w:rsidR="00CF2D5F" w:rsidRPr="00394F5A" w:rsidRDefault="00CF2D5F" w:rsidP="008704A4">
      <w:pPr>
        <w:spacing w:after="240" w:line="480" w:lineRule="auto"/>
        <w:ind w:left="720" w:hanging="720"/>
        <w:jc w:val="both"/>
        <w:rPr>
          <w:rFonts w:ascii="Arial" w:hAnsi="Arial" w:cs="Arial"/>
        </w:rPr>
      </w:pPr>
      <w:r w:rsidRPr="00394F5A">
        <w:rPr>
          <w:rFonts w:ascii="Arial" w:hAnsi="Arial" w:cs="Arial"/>
        </w:rPr>
        <w:t>[</w:t>
      </w:r>
      <w:r w:rsidR="00BD627D" w:rsidRPr="00394F5A">
        <w:rPr>
          <w:rFonts w:ascii="Arial" w:hAnsi="Arial" w:cs="Arial"/>
        </w:rPr>
        <w:t>1</w:t>
      </w:r>
      <w:r w:rsidR="00383C77">
        <w:rPr>
          <w:rFonts w:ascii="Arial" w:hAnsi="Arial" w:cs="Arial"/>
        </w:rPr>
        <w:t>6</w:t>
      </w:r>
      <w:r w:rsidRPr="00394F5A">
        <w:rPr>
          <w:rFonts w:ascii="Arial" w:hAnsi="Arial" w:cs="Arial"/>
        </w:rPr>
        <w:t>]</w:t>
      </w:r>
      <w:r w:rsidRPr="00394F5A">
        <w:rPr>
          <w:rFonts w:ascii="Arial" w:hAnsi="Arial" w:cs="Arial"/>
        </w:rPr>
        <w:tab/>
      </w:r>
      <w:r w:rsidR="003D551A" w:rsidRPr="00394F5A">
        <w:rPr>
          <w:rFonts w:ascii="Arial" w:hAnsi="Arial" w:cs="Arial"/>
        </w:rPr>
        <w:t>Section 36(2) of the Credit Control Policy authori</w:t>
      </w:r>
      <w:r w:rsidR="00B5702E">
        <w:rPr>
          <w:rFonts w:ascii="Arial" w:hAnsi="Arial" w:cs="Arial"/>
        </w:rPr>
        <w:t>s</w:t>
      </w:r>
      <w:r w:rsidR="003D551A" w:rsidRPr="00394F5A">
        <w:rPr>
          <w:rFonts w:ascii="Arial" w:hAnsi="Arial" w:cs="Arial"/>
        </w:rPr>
        <w:t>es specific methods of service of the required pre-termination notice</w:t>
      </w:r>
      <w:r w:rsidR="00B5702E">
        <w:rPr>
          <w:rFonts w:ascii="Arial" w:hAnsi="Arial" w:cs="Arial"/>
        </w:rPr>
        <w:t>. They are these</w:t>
      </w:r>
      <w:r w:rsidR="003D551A" w:rsidRPr="00394F5A">
        <w:rPr>
          <w:rFonts w:ascii="Arial" w:hAnsi="Arial" w:cs="Arial"/>
        </w:rPr>
        <w:t>:</w:t>
      </w:r>
    </w:p>
    <w:p w:rsidR="003D551A" w:rsidRPr="00394F5A" w:rsidRDefault="003D551A" w:rsidP="003D551A">
      <w:pPr>
        <w:spacing w:line="480" w:lineRule="auto"/>
        <w:ind w:left="2127" w:hanging="709"/>
        <w:jc w:val="both"/>
        <w:rPr>
          <w:rFonts w:ascii="Arial" w:hAnsi="Arial" w:cs="Arial"/>
          <w:i/>
          <w:iCs/>
        </w:rPr>
      </w:pPr>
      <w:r w:rsidRPr="00394F5A">
        <w:rPr>
          <w:rFonts w:ascii="Arial" w:hAnsi="Arial" w:cs="Arial"/>
        </w:rPr>
        <w:t>“</w:t>
      </w:r>
      <w:r w:rsidRPr="00394F5A">
        <w:rPr>
          <w:rFonts w:ascii="Arial" w:hAnsi="Arial" w:cs="Arial"/>
          <w:i/>
          <w:iCs/>
        </w:rPr>
        <w:t xml:space="preserve">(2) </w:t>
      </w:r>
      <w:r w:rsidRPr="00394F5A">
        <w:rPr>
          <w:rFonts w:ascii="Arial" w:hAnsi="Arial" w:cs="Arial"/>
          <w:i/>
          <w:iCs/>
        </w:rPr>
        <w:tab/>
        <w:t>If a notice is to be served on a person in terms of this policy then such service shall be effected by:</w:t>
      </w:r>
    </w:p>
    <w:p w:rsidR="003F6F25" w:rsidRPr="00394F5A" w:rsidRDefault="003F6F25" w:rsidP="003F6F25">
      <w:pPr>
        <w:ind w:left="2127" w:hanging="709"/>
        <w:jc w:val="both"/>
        <w:rPr>
          <w:rFonts w:ascii="Arial" w:hAnsi="Arial" w:cs="Arial"/>
          <w:i/>
          <w:iCs/>
        </w:rPr>
      </w:pPr>
    </w:p>
    <w:p w:rsidR="003D551A" w:rsidRPr="00394F5A" w:rsidRDefault="003D551A" w:rsidP="003D551A">
      <w:pPr>
        <w:spacing w:line="480" w:lineRule="auto"/>
        <w:ind w:left="2835" w:hanging="708"/>
        <w:jc w:val="both"/>
        <w:rPr>
          <w:rFonts w:ascii="Arial" w:hAnsi="Arial" w:cs="Arial"/>
          <w:i/>
          <w:iCs/>
        </w:rPr>
      </w:pPr>
      <w:r w:rsidRPr="00394F5A">
        <w:rPr>
          <w:rFonts w:ascii="Arial" w:hAnsi="Arial" w:cs="Arial"/>
          <w:i/>
          <w:iCs/>
        </w:rPr>
        <w:t xml:space="preserve">(a) </w:t>
      </w:r>
      <w:r w:rsidRPr="00394F5A">
        <w:rPr>
          <w:rFonts w:ascii="Arial" w:hAnsi="Arial" w:cs="Arial"/>
          <w:i/>
          <w:iCs/>
        </w:rPr>
        <w:tab/>
        <w:t>delivering the notice to him or her personally, or to his or her duly authorised agent;</w:t>
      </w:r>
    </w:p>
    <w:p w:rsidR="003D551A" w:rsidRPr="00394F5A" w:rsidRDefault="003D551A" w:rsidP="003D551A">
      <w:pPr>
        <w:spacing w:line="480" w:lineRule="auto"/>
        <w:ind w:left="2835" w:hanging="708"/>
        <w:jc w:val="both"/>
        <w:rPr>
          <w:rFonts w:ascii="Arial" w:hAnsi="Arial" w:cs="Arial"/>
          <w:i/>
          <w:iCs/>
        </w:rPr>
      </w:pPr>
      <w:r w:rsidRPr="00394F5A">
        <w:rPr>
          <w:rFonts w:ascii="Arial" w:hAnsi="Arial" w:cs="Arial"/>
          <w:i/>
          <w:iCs/>
        </w:rPr>
        <w:t xml:space="preserve">(b) </w:t>
      </w:r>
      <w:r w:rsidRPr="00394F5A">
        <w:rPr>
          <w:rFonts w:ascii="Arial" w:hAnsi="Arial" w:cs="Arial"/>
          <w:i/>
          <w:iCs/>
        </w:rPr>
        <w:tab/>
        <w:t>delivering the notice at his or her residence or place of employment, to a person apparently not less than 16 (sixteen) years of age, and apparently residing or employed there;</w:t>
      </w:r>
    </w:p>
    <w:p w:rsidR="003D551A" w:rsidRPr="00394F5A" w:rsidRDefault="003D551A" w:rsidP="003D551A">
      <w:pPr>
        <w:spacing w:line="480" w:lineRule="auto"/>
        <w:ind w:left="2835" w:hanging="708"/>
        <w:jc w:val="both"/>
        <w:rPr>
          <w:rFonts w:ascii="Arial" w:hAnsi="Arial" w:cs="Arial"/>
          <w:i/>
          <w:iCs/>
        </w:rPr>
      </w:pPr>
      <w:r w:rsidRPr="00394F5A">
        <w:rPr>
          <w:rFonts w:ascii="Arial" w:hAnsi="Arial" w:cs="Arial"/>
          <w:i/>
          <w:iCs/>
        </w:rPr>
        <w:t xml:space="preserve">(c) </w:t>
      </w:r>
      <w:r w:rsidRPr="00394F5A">
        <w:rPr>
          <w:rFonts w:ascii="Arial" w:hAnsi="Arial" w:cs="Arial"/>
          <w:i/>
          <w:iCs/>
        </w:rPr>
        <w:tab/>
        <w:t>if he or she has nominated an address for legal purposes, delivering the notice to such an address;</w:t>
      </w:r>
    </w:p>
    <w:p w:rsidR="003D551A" w:rsidRPr="00394F5A" w:rsidRDefault="003D551A" w:rsidP="003D551A">
      <w:pPr>
        <w:spacing w:line="480" w:lineRule="auto"/>
        <w:ind w:left="2835" w:hanging="708"/>
        <w:jc w:val="both"/>
        <w:rPr>
          <w:rFonts w:ascii="Arial" w:hAnsi="Arial" w:cs="Arial"/>
          <w:i/>
          <w:iCs/>
        </w:rPr>
      </w:pPr>
      <w:r w:rsidRPr="00394F5A">
        <w:rPr>
          <w:rFonts w:ascii="Arial" w:hAnsi="Arial" w:cs="Arial"/>
          <w:i/>
          <w:iCs/>
        </w:rPr>
        <w:t xml:space="preserve">(d) </w:t>
      </w:r>
      <w:r w:rsidRPr="00394F5A">
        <w:rPr>
          <w:rFonts w:ascii="Arial" w:hAnsi="Arial" w:cs="Arial"/>
          <w:i/>
          <w:iCs/>
        </w:rPr>
        <w:tab/>
        <w:t>registered or certified post, addressed to his or her last known address;</w:t>
      </w:r>
    </w:p>
    <w:p w:rsidR="003D551A" w:rsidRPr="00394F5A" w:rsidRDefault="003D551A" w:rsidP="003D551A">
      <w:pPr>
        <w:spacing w:line="480" w:lineRule="auto"/>
        <w:ind w:left="2835" w:hanging="708"/>
        <w:jc w:val="both"/>
        <w:rPr>
          <w:rFonts w:ascii="Arial" w:hAnsi="Arial" w:cs="Arial"/>
          <w:i/>
          <w:iCs/>
        </w:rPr>
      </w:pPr>
      <w:r w:rsidRPr="00394F5A">
        <w:rPr>
          <w:rFonts w:ascii="Arial" w:hAnsi="Arial" w:cs="Arial"/>
          <w:i/>
          <w:iCs/>
        </w:rPr>
        <w:t xml:space="preserve">(e) </w:t>
      </w:r>
      <w:r w:rsidRPr="00394F5A">
        <w:rPr>
          <w:rFonts w:ascii="Arial" w:hAnsi="Arial" w:cs="Arial"/>
          <w:i/>
          <w:iCs/>
        </w:rPr>
        <w:tab/>
        <w:t>in the case of a body corporate, delivering it to the registered office or the business premises of such a body corporate; or</w:t>
      </w:r>
    </w:p>
    <w:p w:rsidR="003F6F25" w:rsidRPr="00394F5A" w:rsidRDefault="003D551A" w:rsidP="003F6F25">
      <w:pPr>
        <w:spacing w:line="480" w:lineRule="auto"/>
        <w:ind w:left="2835" w:hanging="708"/>
        <w:jc w:val="both"/>
        <w:rPr>
          <w:rFonts w:ascii="Arial" w:hAnsi="Arial" w:cs="Arial"/>
          <w:i/>
          <w:iCs/>
        </w:rPr>
      </w:pPr>
      <w:r w:rsidRPr="00394F5A">
        <w:rPr>
          <w:rFonts w:ascii="Arial" w:hAnsi="Arial" w:cs="Arial"/>
          <w:i/>
          <w:iCs/>
        </w:rPr>
        <w:t xml:space="preserve">(f) </w:t>
      </w:r>
      <w:r w:rsidRPr="00394F5A">
        <w:rPr>
          <w:rFonts w:ascii="Arial" w:hAnsi="Arial" w:cs="Arial"/>
          <w:i/>
          <w:iCs/>
        </w:rPr>
        <w:tab/>
        <w:t>if service cannot be effected in terms of the afore going subsections, by affixing it to the principal door of entry to the premises or displaying it in a conspicuous place on the property to which it relates.</w:t>
      </w:r>
    </w:p>
    <w:p w:rsidR="003D551A" w:rsidRPr="00394F5A" w:rsidRDefault="003D551A" w:rsidP="003F6F25">
      <w:pPr>
        <w:spacing w:line="480" w:lineRule="auto"/>
        <w:ind w:left="2835" w:hanging="708"/>
        <w:jc w:val="both"/>
        <w:rPr>
          <w:rFonts w:ascii="Arial" w:hAnsi="Arial" w:cs="Arial"/>
        </w:rPr>
      </w:pPr>
      <w:r w:rsidRPr="00394F5A">
        <w:rPr>
          <w:rFonts w:ascii="Arial" w:hAnsi="Arial" w:cs="Arial"/>
          <w:i/>
          <w:iCs/>
        </w:rPr>
        <w:t xml:space="preserve">(g) </w:t>
      </w:r>
      <w:r w:rsidRPr="00394F5A">
        <w:rPr>
          <w:rFonts w:ascii="Arial" w:hAnsi="Arial" w:cs="Arial"/>
          <w:i/>
          <w:iCs/>
        </w:rPr>
        <w:tab/>
      </w:r>
      <w:r w:rsidR="003F6F25" w:rsidRPr="00394F5A">
        <w:rPr>
          <w:rFonts w:ascii="Arial" w:hAnsi="Arial" w:cs="Arial"/>
          <w:i/>
          <w:iCs/>
        </w:rPr>
        <w:t>w</w:t>
      </w:r>
      <w:r w:rsidRPr="00394F5A">
        <w:rPr>
          <w:rFonts w:ascii="Arial" w:hAnsi="Arial" w:cs="Arial"/>
          <w:i/>
          <w:iCs/>
        </w:rPr>
        <w:t>ith respect to notices in respect of valuation rolls, section 49 of the Property rates act shall be followed.</w:t>
      </w:r>
      <w:r w:rsidRPr="00394F5A">
        <w:rPr>
          <w:rFonts w:ascii="Arial" w:hAnsi="Arial" w:cs="Arial"/>
        </w:rPr>
        <w:t>”</w:t>
      </w:r>
    </w:p>
    <w:p w:rsidR="003F6F25" w:rsidRPr="00394F5A" w:rsidRDefault="003F6F25" w:rsidP="003F6F25">
      <w:pPr>
        <w:ind w:left="2835" w:hanging="708"/>
        <w:jc w:val="both"/>
        <w:rPr>
          <w:rFonts w:ascii="Arial" w:hAnsi="Arial" w:cs="Arial"/>
          <w:i/>
          <w:iCs/>
        </w:rPr>
      </w:pPr>
    </w:p>
    <w:p w:rsidR="00856378" w:rsidRDefault="00CF2D5F" w:rsidP="00856378">
      <w:pPr>
        <w:spacing w:after="240" w:line="480" w:lineRule="auto"/>
        <w:ind w:left="720" w:hanging="720"/>
        <w:jc w:val="both"/>
        <w:rPr>
          <w:rFonts w:ascii="Arial" w:hAnsi="Arial" w:cs="Arial"/>
        </w:rPr>
      </w:pPr>
      <w:r w:rsidRPr="00394F5A">
        <w:rPr>
          <w:rFonts w:ascii="Arial" w:hAnsi="Arial" w:cs="Arial"/>
          <w:iCs/>
        </w:rPr>
        <w:t>[</w:t>
      </w:r>
      <w:r w:rsidR="00BD627D" w:rsidRPr="00394F5A">
        <w:rPr>
          <w:rFonts w:ascii="Arial" w:hAnsi="Arial" w:cs="Arial"/>
          <w:iCs/>
        </w:rPr>
        <w:t>1</w:t>
      </w:r>
      <w:r w:rsidR="00383C77">
        <w:rPr>
          <w:rFonts w:ascii="Arial" w:hAnsi="Arial" w:cs="Arial"/>
          <w:iCs/>
        </w:rPr>
        <w:t>7</w:t>
      </w:r>
      <w:r w:rsidRPr="00394F5A">
        <w:rPr>
          <w:rFonts w:ascii="Arial" w:hAnsi="Arial" w:cs="Arial"/>
          <w:iCs/>
        </w:rPr>
        <w:t>]</w:t>
      </w:r>
      <w:r w:rsidRPr="00394F5A">
        <w:rPr>
          <w:rFonts w:ascii="Arial" w:hAnsi="Arial" w:cs="Arial"/>
          <w:iCs/>
        </w:rPr>
        <w:tab/>
      </w:r>
      <w:r w:rsidR="008731F4">
        <w:rPr>
          <w:rFonts w:ascii="Arial" w:hAnsi="Arial" w:cs="Arial"/>
        </w:rPr>
        <w:t xml:space="preserve">It was held in </w:t>
      </w:r>
      <w:proofErr w:type="spellStart"/>
      <w:r w:rsidR="008731F4">
        <w:rPr>
          <w:rFonts w:ascii="Arial" w:hAnsi="Arial" w:cs="Arial"/>
          <w:b/>
          <w:bCs/>
          <w:i/>
          <w:iCs/>
        </w:rPr>
        <w:t>Ngqumba</w:t>
      </w:r>
      <w:proofErr w:type="spellEnd"/>
      <w:r w:rsidR="008731F4">
        <w:rPr>
          <w:rFonts w:ascii="Arial" w:hAnsi="Arial" w:cs="Arial"/>
          <w:b/>
          <w:bCs/>
          <w:i/>
          <w:iCs/>
        </w:rPr>
        <w:t xml:space="preserve"> </w:t>
      </w:r>
      <w:proofErr w:type="spellStart"/>
      <w:r w:rsidR="008731F4">
        <w:rPr>
          <w:rFonts w:ascii="Arial" w:hAnsi="Arial" w:cs="Arial"/>
          <w:b/>
          <w:bCs/>
          <w:i/>
          <w:iCs/>
        </w:rPr>
        <w:t>en</w:t>
      </w:r>
      <w:proofErr w:type="spellEnd"/>
      <w:r w:rsidR="008731F4">
        <w:rPr>
          <w:rFonts w:ascii="Arial" w:hAnsi="Arial" w:cs="Arial"/>
          <w:b/>
          <w:bCs/>
          <w:i/>
          <w:iCs/>
        </w:rPr>
        <w:t xml:space="preserve"> ‘n Ander v </w:t>
      </w:r>
      <w:proofErr w:type="spellStart"/>
      <w:r w:rsidR="008731F4">
        <w:rPr>
          <w:rFonts w:ascii="Arial" w:hAnsi="Arial" w:cs="Arial"/>
          <w:b/>
          <w:bCs/>
          <w:i/>
          <w:iCs/>
        </w:rPr>
        <w:t>Staatspresident</w:t>
      </w:r>
      <w:proofErr w:type="spellEnd"/>
      <w:r w:rsidR="008731F4">
        <w:rPr>
          <w:rFonts w:ascii="Arial" w:hAnsi="Arial" w:cs="Arial"/>
          <w:b/>
          <w:bCs/>
          <w:i/>
          <w:iCs/>
        </w:rPr>
        <w:t xml:space="preserve"> </w:t>
      </w:r>
      <w:proofErr w:type="spellStart"/>
      <w:r w:rsidR="008731F4">
        <w:rPr>
          <w:rFonts w:ascii="Arial" w:hAnsi="Arial" w:cs="Arial"/>
          <w:b/>
          <w:bCs/>
          <w:i/>
          <w:iCs/>
        </w:rPr>
        <w:t>en</w:t>
      </w:r>
      <w:proofErr w:type="spellEnd"/>
      <w:r w:rsidR="008731F4">
        <w:rPr>
          <w:rFonts w:ascii="Arial" w:hAnsi="Arial" w:cs="Arial"/>
          <w:b/>
          <w:bCs/>
          <w:i/>
          <w:iCs/>
        </w:rPr>
        <w:t xml:space="preserve"> </w:t>
      </w:r>
      <w:proofErr w:type="spellStart"/>
      <w:r w:rsidR="008731F4">
        <w:rPr>
          <w:rFonts w:ascii="Arial" w:hAnsi="Arial" w:cs="Arial"/>
          <w:b/>
          <w:bCs/>
          <w:i/>
          <w:iCs/>
        </w:rPr>
        <w:t>Andere</w:t>
      </w:r>
      <w:proofErr w:type="spellEnd"/>
      <w:r w:rsidR="008731F4">
        <w:rPr>
          <w:rFonts w:ascii="Arial" w:hAnsi="Arial" w:cs="Arial"/>
          <w:i/>
          <w:iCs/>
        </w:rPr>
        <w:t xml:space="preserve">; </w:t>
      </w:r>
      <w:proofErr w:type="spellStart"/>
      <w:r w:rsidR="008731F4" w:rsidRPr="00DE1BD3">
        <w:rPr>
          <w:rFonts w:ascii="Arial" w:hAnsi="Arial" w:cs="Arial"/>
          <w:b/>
          <w:bCs/>
          <w:i/>
          <w:iCs/>
        </w:rPr>
        <w:t>Damons</w:t>
      </w:r>
      <w:proofErr w:type="spellEnd"/>
      <w:r w:rsidR="008731F4" w:rsidRPr="00DE1BD3">
        <w:rPr>
          <w:rFonts w:ascii="Arial" w:hAnsi="Arial" w:cs="Arial"/>
          <w:b/>
          <w:bCs/>
          <w:i/>
          <w:iCs/>
        </w:rPr>
        <w:t xml:space="preserve"> NO </w:t>
      </w:r>
      <w:proofErr w:type="spellStart"/>
      <w:r w:rsidR="008731F4">
        <w:rPr>
          <w:rFonts w:ascii="Arial" w:hAnsi="Arial" w:cs="Arial"/>
          <w:b/>
          <w:bCs/>
          <w:i/>
          <w:iCs/>
        </w:rPr>
        <w:t>en</w:t>
      </w:r>
      <w:proofErr w:type="spellEnd"/>
      <w:r w:rsidR="008731F4">
        <w:rPr>
          <w:rFonts w:ascii="Arial" w:hAnsi="Arial" w:cs="Arial"/>
          <w:b/>
          <w:bCs/>
          <w:i/>
          <w:iCs/>
        </w:rPr>
        <w:t xml:space="preserve"> </w:t>
      </w:r>
      <w:proofErr w:type="spellStart"/>
      <w:r w:rsidR="008731F4">
        <w:rPr>
          <w:rFonts w:ascii="Arial" w:hAnsi="Arial" w:cs="Arial"/>
          <w:b/>
          <w:bCs/>
          <w:i/>
          <w:iCs/>
        </w:rPr>
        <w:t>Andere</w:t>
      </w:r>
      <w:proofErr w:type="spellEnd"/>
      <w:r w:rsidR="008731F4">
        <w:rPr>
          <w:rFonts w:ascii="Arial" w:hAnsi="Arial" w:cs="Arial"/>
          <w:b/>
          <w:bCs/>
          <w:i/>
          <w:iCs/>
        </w:rPr>
        <w:t xml:space="preserve"> v </w:t>
      </w:r>
      <w:proofErr w:type="spellStart"/>
      <w:r w:rsidR="008731F4">
        <w:rPr>
          <w:rFonts w:ascii="Arial" w:hAnsi="Arial" w:cs="Arial"/>
          <w:b/>
          <w:bCs/>
          <w:i/>
          <w:iCs/>
        </w:rPr>
        <w:t>Staatspresident</w:t>
      </w:r>
      <w:proofErr w:type="spellEnd"/>
      <w:r w:rsidR="008731F4">
        <w:rPr>
          <w:rFonts w:ascii="Arial" w:hAnsi="Arial" w:cs="Arial"/>
          <w:b/>
          <w:bCs/>
          <w:i/>
          <w:iCs/>
        </w:rPr>
        <w:t xml:space="preserve"> </w:t>
      </w:r>
      <w:proofErr w:type="spellStart"/>
      <w:r w:rsidR="008731F4">
        <w:rPr>
          <w:rFonts w:ascii="Arial" w:hAnsi="Arial" w:cs="Arial"/>
          <w:b/>
          <w:bCs/>
          <w:i/>
          <w:iCs/>
        </w:rPr>
        <w:t>en</w:t>
      </w:r>
      <w:proofErr w:type="spellEnd"/>
      <w:r w:rsidR="008731F4">
        <w:rPr>
          <w:rFonts w:ascii="Arial" w:hAnsi="Arial" w:cs="Arial"/>
          <w:b/>
          <w:bCs/>
          <w:i/>
          <w:iCs/>
        </w:rPr>
        <w:t xml:space="preserve"> </w:t>
      </w:r>
      <w:proofErr w:type="spellStart"/>
      <w:r w:rsidR="008731F4">
        <w:rPr>
          <w:rFonts w:ascii="Arial" w:hAnsi="Arial" w:cs="Arial"/>
          <w:b/>
          <w:bCs/>
          <w:i/>
          <w:iCs/>
        </w:rPr>
        <w:t>Andere</w:t>
      </w:r>
      <w:proofErr w:type="spellEnd"/>
      <w:r w:rsidR="008731F4">
        <w:rPr>
          <w:rFonts w:ascii="Arial" w:hAnsi="Arial" w:cs="Arial"/>
          <w:i/>
          <w:iCs/>
        </w:rPr>
        <w:t xml:space="preserve">; </w:t>
      </w:r>
      <w:proofErr w:type="spellStart"/>
      <w:r w:rsidR="008731F4">
        <w:rPr>
          <w:rFonts w:ascii="Arial" w:hAnsi="Arial" w:cs="Arial"/>
          <w:b/>
          <w:bCs/>
          <w:i/>
          <w:iCs/>
        </w:rPr>
        <w:t>Jooste</w:t>
      </w:r>
      <w:proofErr w:type="spellEnd"/>
      <w:r w:rsidR="008731F4">
        <w:rPr>
          <w:rFonts w:ascii="Arial" w:hAnsi="Arial" w:cs="Arial"/>
          <w:b/>
          <w:bCs/>
          <w:i/>
          <w:iCs/>
        </w:rPr>
        <w:t xml:space="preserve"> v </w:t>
      </w:r>
      <w:proofErr w:type="spellStart"/>
      <w:r w:rsidR="008731F4">
        <w:rPr>
          <w:rFonts w:ascii="Arial" w:hAnsi="Arial" w:cs="Arial"/>
          <w:b/>
          <w:bCs/>
          <w:i/>
          <w:iCs/>
        </w:rPr>
        <w:t>Staatspresident</w:t>
      </w:r>
      <w:proofErr w:type="spellEnd"/>
      <w:r w:rsidR="008731F4">
        <w:rPr>
          <w:rFonts w:ascii="Arial" w:hAnsi="Arial" w:cs="Arial"/>
          <w:b/>
          <w:bCs/>
          <w:i/>
          <w:iCs/>
        </w:rPr>
        <w:t xml:space="preserve"> </w:t>
      </w:r>
      <w:proofErr w:type="spellStart"/>
      <w:r w:rsidR="008731F4">
        <w:rPr>
          <w:rFonts w:ascii="Arial" w:hAnsi="Arial" w:cs="Arial"/>
          <w:b/>
          <w:bCs/>
          <w:i/>
          <w:iCs/>
        </w:rPr>
        <w:t>en</w:t>
      </w:r>
      <w:proofErr w:type="spellEnd"/>
      <w:r w:rsidR="008731F4">
        <w:rPr>
          <w:rFonts w:ascii="Arial" w:hAnsi="Arial" w:cs="Arial"/>
          <w:b/>
          <w:bCs/>
          <w:i/>
          <w:iCs/>
        </w:rPr>
        <w:t xml:space="preserve"> </w:t>
      </w:r>
      <w:proofErr w:type="spellStart"/>
      <w:r w:rsidR="008731F4">
        <w:rPr>
          <w:rFonts w:ascii="Arial" w:hAnsi="Arial" w:cs="Arial"/>
          <w:b/>
          <w:bCs/>
          <w:i/>
          <w:iCs/>
        </w:rPr>
        <w:t>Andere</w:t>
      </w:r>
      <w:proofErr w:type="spellEnd"/>
      <w:r w:rsidR="008731F4">
        <w:rPr>
          <w:rFonts w:ascii="Arial" w:hAnsi="Arial" w:cs="Arial"/>
          <w:b/>
          <w:bCs/>
          <w:i/>
          <w:iCs/>
        </w:rPr>
        <w:t xml:space="preserve"> </w:t>
      </w:r>
      <w:r w:rsidR="008731F4">
        <w:rPr>
          <w:rFonts w:ascii="Arial" w:hAnsi="Arial" w:cs="Arial"/>
          <w:i/>
          <w:iCs/>
        </w:rPr>
        <w:t xml:space="preserve">1988 (4) SA 224 (A) at 226B – C </w:t>
      </w:r>
      <w:r w:rsidR="008731F4" w:rsidRPr="00DE1BD3">
        <w:rPr>
          <w:rFonts w:ascii="Arial" w:hAnsi="Arial" w:cs="Arial"/>
        </w:rPr>
        <w:t xml:space="preserve">that the </w:t>
      </w:r>
      <w:r w:rsidR="008731F4">
        <w:rPr>
          <w:rFonts w:ascii="Arial" w:hAnsi="Arial" w:cs="Arial"/>
        </w:rPr>
        <w:t xml:space="preserve">rule in </w:t>
      </w:r>
      <w:proofErr w:type="spellStart"/>
      <w:r w:rsidR="008731F4">
        <w:rPr>
          <w:rFonts w:ascii="Arial" w:hAnsi="Arial" w:cs="Arial"/>
          <w:b/>
          <w:bCs/>
          <w:i/>
          <w:iCs/>
        </w:rPr>
        <w:t>Plascon</w:t>
      </w:r>
      <w:proofErr w:type="spellEnd"/>
      <w:r w:rsidR="008731F4">
        <w:rPr>
          <w:rFonts w:ascii="Arial" w:hAnsi="Arial" w:cs="Arial"/>
          <w:b/>
          <w:bCs/>
          <w:i/>
          <w:iCs/>
        </w:rPr>
        <w:t>-Evans</w:t>
      </w:r>
      <w:r w:rsidR="008731F4">
        <w:rPr>
          <w:rStyle w:val="FootnoteReference"/>
          <w:rFonts w:ascii="Arial" w:hAnsi="Arial" w:cs="Arial"/>
        </w:rPr>
        <w:footnoteReference w:id="1"/>
      </w:r>
      <w:r w:rsidR="008731F4">
        <w:rPr>
          <w:rFonts w:ascii="Arial" w:hAnsi="Arial" w:cs="Arial"/>
        </w:rPr>
        <w:t xml:space="preserve"> applies even where the onus in a matter is on the respondent.  However,</w:t>
      </w:r>
      <w:r w:rsidR="00817CFF">
        <w:rPr>
          <w:rFonts w:ascii="Arial" w:hAnsi="Arial" w:cs="Arial"/>
        </w:rPr>
        <w:t xml:space="preserve"> where an onus rests on the respondent, and the respondent fails to allege and prove a defence, judgment ought to follow.</w:t>
      </w:r>
    </w:p>
    <w:p w:rsidR="008731F4" w:rsidRDefault="00856378" w:rsidP="008731F4">
      <w:pPr>
        <w:spacing w:after="240" w:line="480" w:lineRule="auto"/>
        <w:ind w:left="720" w:hanging="720"/>
        <w:jc w:val="both"/>
        <w:rPr>
          <w:rFonts w:ascii="Arial" w:hAnsi="Arial" w:cs="Arial"/>
        </w:rPr>
      </w:pPr>
      <w:r>
        <w:rPr>
          <w:rFonts w:ascii="Arial" w:hAnsi="Arial" w:cs="Arial"/>
        </w:rPr>
        <w:t>[1</w:t>
      </w:r>
      <w:r w:rsidR="00383C77">
        <w:rPr>
          <w:rFonts w:ascii="Arial" w:hAnsi="Arial" w:cs="Arial"/>
        </w:rPr>
        <w:t>8</w:t>
      </w:r>
      <w:r>
        <w:rPr>
          <w:rFonts w:ascii="Arial" w:hAnsi="Arial" w:cs="Arial"/>
        </w:rPr>
        <w:t>]</w:t>
      </w:r>
      <w:r>
        <w:rPr>
          <w:rFonts w:ascii="Arial" w:hAnsi="Arial" w:cs="Arial"/>
        </w:rPr>
        <w:tab/>
      </w:r>
      <w:r w:rsidR="008731F4">
        <w:rPr>
          <w:rFonts w:ascii="Arial" w:hAnsi="Arial" w:cs="Arial"/>
        </w:rPr>
        <w:t xml:space="preserve">In the </w:t>
      </w:r>
      <w:r>
        <w:rPr>
          <w:rFonts w:ascii="Arial" w:hAnsi="Arial" w:cs="Arial"/>
        </w:rPr>
        <w:t>matter</w:t>
      </w:r>
      <w:r w:rsidR="008731F4">
        <w:rPr>
          <w:rFonts w:ascii="Arial" w:hAnsi="Arial" w:cs="Arial"/>
        </w:rPr>
        <w:t xml:space="preserve"> of </w:t>
      </w:r>
      <w:r w:rsidR="008731F4">
        <w:rPr>
          <w:rFonts w:ascii="Arial" w:hAnsi="Arial" w:cs="Arial"/>
          <w:b/>
          <w:bCs/>
          <w:i/>
          <w:iCs/>
        </w:rPr>
        <w:t xml:space="preserve">Euphorbia (Pty) Ltd t/a Gallagher Estate v City of Johannesburg </w:t>
      </w:r>
      <w:r w:rsidR="008731F4">
        <w:rPr>
          <w:rFonts w:ascii="Arial" w:hAnsi="Arial" w:cs="Arial"/>
          <w:i/>
          <w:iCs/>
        </w:rPr>
        <w:t>[2016] ZAGPPHC 548</w:t>
      </w:r>
      <w:r w:rsidR="00D6372F">
        <w:rPr>
          <w:rFonts w:ascii="Arial" w:hAnsi="Arial" w:cs="Arial"/>
          <w:i/>
          <w:iCs/>
        </w:rPr>
        <w:t xml:space="preserve"> </w:t>
      </w:r>
      <w:r w:rsidR="00D6372F">
        <w:rPr>
          <w:rFonts w:ascii="Arial" w:hAnsi="Arial" w:cs="Arial"/>
        </w:rPr>
        <w:t>the Court dealing with</w:t>
      </w:r>
      <w:r w:rsidR="008731F4">
        <w:rPr>
          <w:rFonts w:ascii="Arial" w:hAnsi="Arial" w:cs="Arial"/>
        </w:rPr>
        <w:t xml:space="preserve"> </w:t>
      </w:r>
      <w:r w:rsidR="00001D5F">
        <w:rPr>
          <w:rFonts w:ascii="Arial" w:hAnsi="Arial" w:cs="Arial"/>
        </w:rPr>
        <w:t>a</w:t>
      </w:r>
      <w:r w:rsidR="008731F4">
        <w:rPr>
          <w:rFonts w:ascii="Arial" w:hAnsi="Arial" w:cs="Arial"/>
        </w:rPr>
        <w:t xml:space="preserve"> municipality</w:t>
      </w:r>
      <w:r w:rsidR="00D6372F">
        <w:rPr>
          <w:rFonts w:ascii="Arial" w:hAnsi="Arial" w:cs="Arial"/>
        </w:rPr>
        <w:t>’s</w:t>
      </w:r>
      <w:r w:rsidR="008731F4">
        <w:rPr>
          <w:rFonts w:ascii="Arial" w:hAnsi="Arial" w:cs="Arial"/>
        </w:rPr>
        <w:t xml:space="preserve"> onus to prove the correctness of the municipal charges</w:t>
      </w:r>
      <w:r w:rsidR="00D6372F">
        <w:rPr>
          <w:rFonts w:ascii="Arial" w:hAnsi="Arial" w:cs="Arial"/>
        </w:rPr>
        <w:t>, explained the position at paragraph</w:t>
      </w:r>
      <w:r w:rsidR="00001D5F">
        <w:rPr>
          <w:rFonts w:ascii="Arial" w:hAnsi="Arial" w:cs="Arial"/>
        </w:rPr>
        <w:t xml:space="preserve"> </w:t>
      </w:r>
      <w:r w:rsidR="00D6372F">
        <w:rPr>
          <w:rFonts w:ascii="Arial" w:hAnsi="Arial" w:cs="Arial"/>
        </w:rPr>
        <w:t>17 as follows:</w:t>
      </w:r>
    </w:p>
    <w:p w:rsidR="00D6372F" w:rsidRPr="00001D5F" w:rsidRDefault="00D6372F" w:rsidP="00001D5F">
      <w:pPr>
        <w:spacing w:after="240" w:line="480" w:lineRule="auto"/>
        <w:ind w:left="1440" w:hanging="720"/>
        <w:jc w:val="both"/>
        <w:rPr>
          <w:rFonts w:ascii="Arial" w:hAnsi="Arial" w:cs="Arial"/>
          <w:i/>
          <w:iCs/>
          <w:color w:val="242121"/>
          <w:shd w:val="clear" w:color="auto" w:fill="FFFFFF"/>
        </w:rPr>
      </w:pPr>
      <w:r w:rsidRPr="00D6372F">
        <w:rPr>
          <w:rFonts w:ascii="Arial" w:hAnsi="Arial" w:cs="Arial"/>
          <w:i/>
          <w:iCs/>
        </w:rPr>
        <w:t>“</w:t>
      </w:r>
      <w:r w:rsidRPr="00D6372F">
        <w:rPr>
          <w:rFonts w:ascii="Arial" w:hAnsi="Arial" w:cs="Arial"/>
          <w:i/>
          <w:iCs/>
          <w:color w:val="242121"/>
          <w:lang w:val="en-GB"/>
        </w:rPr>
        <w:t xml:space="preserve">[17] </w:t>
      </w:r>
      <w:r w:rsidRPr="00D6372F">
        <w:rPr>
          <w:rFonts w:ascii="Arial" w:hAnsi="Arial" w:cs="Arial"/>
          <w:i/>
          <w:iCs/>
          <w:color w:val="242121"/>
          <w:lang w:val="en-GB"/>
        </w:rPr>
        <w:tab/>
        <w:t xml:space="preserve">In the absence of special circumstances, considerations of policy, practice and fairness require that </w:t>
      </w:r>
      <w:r w:rsidRPr="00C87336">
        <w:rPr>
          <w:rFonts w:ascii="Arial" w:hAnsi="Arial" w:cs="Arial"/>
          <w:b/>
          <w:bCs/>
          <w:i/>
          <w:iCs/>
          <w:color w:val="242121"/>
          <w:lang w:val="en-GB"/>
        </w:rPr>
        <w:t>the City is saddled with the onus of proving the correctness of its meters, the measurements of water consumption and statements of account rendered pursuant thereto. It cannot reasonably be expected from the consumer, having raised a bona fide dispute concerning the services delivered by the City, to pierce the municipal veil in order to prove aspects that peculiarly fall within the knowledge of and are controlled by the City.</w:t>
      </w:r>
      <w:r w:rsidRPr="00D6372F">
        <w:rPr>
          <w:rFonts w:ascii="Arial" w:hAnsi="Arial" w:cs="Arial"/>
          <w:i/>
          <w:iCs/>
          <w:color w:val="242121"/>
          <w:lang w:val="en-GB"/>
        </w:rPr>
        <w:t xml:space="preserve"> In the present matter it was impossible for Euphorbia to perform its own test on the contentious meter as, firstly, only </w:t>
      </w:r>
      <w:proofErr w:type="spellStart"/>
      <w:r w:rsidRPr="00D6372F">
        <w:rPr>
          <w:rFonts w:ascii="Arial" w:hAnsi="Arial" w:cs="Arial"/>
          <w:i/>
          <w:iCs/>
          <w:color w:val="242121"/>
          <w:lang w:val="en-GB"/>
        </w:rPr>
        <w:t>Termets</w:t>
      </w:r>
      <w:proofErr w:type="spellEnd"/>
      <w:r w:rsidRPr="00D6372F">
        <w:rPr>
          <w:rFonts w:ascii="Arial" w:hAnsi="Arial" w:cs="Arial"/>
          <w:i/>
          <w:iCs/>
          <w:color w:val="242121"/>
          <w:lang w:val="en-GB"/>
        </w:rPr>
        <w:t xml:space="preserve"> was legally permitted to perform the tests and, as it happened, the meter was untimely disposed of by the City. The statements and other data concerning the water usage were in the possession and under control of the City. </w:t>
      </w:r>
      <w:r w:rsidRPr="00C87336">
        <w:rPr>
          <w:rFonts w:ascii="Arial" w:hAnsi="Arial" w:cs="Arial"/>
          <w:b/>
          <w:bCs/>
          <w:i/>
          <w:iCs/>
          <w:color w:val="242121"/>
          <w:lang w:val="en-GB"/>
        </w:rPr>
        <w:t>Euphorbia relied on justified inferences arising from a sudden spike in water consumption arising from its own comprehensive investigation, in order to verify the correctness thereof. It accordingly raised a bona fide dispute as to the City’s billing in regard to the services, and the City bore the onus to prove the correctness thereof.”</w:t>
      </w:r>
    </w:p>
    <w:p w:rsidR="00C87336" w:rsidRPr="00C87336" w:rsidRDefault="00C87336" w:rsidP="00D6372F">
      <w:pPr>
        <w:pStyle w:val="NormalWeb"/>
        <w:spacing w:before="144" w:after="288" w:line="480" w:lineRule="auto"/>
        <w:ind w:left="1440" w:hanging="720"/>
        <w:jc w:val="both"/>
        <w:rPr>
          <w:rFonts w:ascii="Arial" w:hAnsi="Arial" w:cs="Arial"/>
          <w:b/>
          <w:bCs/>
          <w:color w:val="242121"/>
          <w:lang w:val="en-GB"/>
        </w:rPr>
      </w:pPr>
      <w:r>
        <w:rPr>
          <w:rFonts w:ascii="Arial" w:hAnsi="Arial" w:cs="Arial"/>
          <w:color w:val="242121"/>
          <w:lang w:val="en-GB"/>
        </w:rPr>
        <w:t>[</w:t>
      </w:r>
      <w:r w:rsidRPr="00C87336">
        <w:rPr>
          <w:rFonts w:ascii="Arial" w:hAnsi="Arial" w:cs="Arial"/>
          <w:color w:val="242121"/>
          <w:lang w:val="en-GB"/>
        </w:rPr>
        <w:t>Bold font added</w:t>
      </w:r>
      <w:r>
        <w:rPr>
          <w:rFonts w:ascii="Arial" w:hAnsi="Arial" w:cs="Arial"/>
          <w:color w:val="242121"/>
          <w:lang w:val="en-GB"/>
        </w:rPr>
        <w:t xml:space="preserve"> for emphasis]</w:t>
      </w:r>
    </w:p>
    <w:p w:rsidR="00CF2D5F" w:rsidRPr="00394F5A" w:rsidRDefault="008731F4" w:rsidP="008704A4">
      <w:pPr>
        <w:spacing w:after="240" w:line="480" w:lineRule="auto"/>
        <w:ind w:left="720" w:hanging="720"/>
        <w:jc w:val="both"/>
        <w:rPr>
          <w:rFonts w:ascii="Arial" w:hAnsi="Arial" w:cs="Arial"/>
          <w:iCs/>
        </w:rPr>
      </w:pPr>
      <w:r>
        <w:rPr>
          <w:rFonts w:ascii="Arial" w:hAnsi="Arial" w:cs="Arial"/>
          <w:iCs/>
        </w:rPr>
        <w:t>[</w:t>
      </w:r>
      <w:r w:rsidR="00383C77">
        <w:rPr>
          <w:rFonts w:ascii="Arial" w:hAnsi="Arial" w:cs="Arial"/>
          <w:iCs/>
        </w:rPr>
        <w:t>19</w:t>
      </w:r>
      <w:r>
        <w:rPr>
          <w:rFonts w:ascii="Arial" w:hAnsi="Arial" w:cs="Arial"/>
          <w:iCs/>
        </w:rPr>
        <w:t>]</w:t>
      </w:r>
      <w:r>
        <w:rPr>
          <w:rFonts w:ascii="Arial" w:hAnsi="Arial" w:cs="Arial"/>
          <w:iCs/>
        </w:rPr>
        <w:tab/>
      </w:r>
      <w:r w:rsidR="003F6F25" w:rsidRPr="00394F5A">
        <w:rPr>
          <w:rFonts w:ascii="Arial" w:hAnsi="Arial" w:cs="Arial"/>
          <w:iCs/>
        </w:rPr>
        <w:t xml:space="preserve">In </w:t>
      </w:r>
      <w:r w:rsidR="003F6F25" w:rsidRPr="00394F5A">
        <w:rPr>
          <w:rFonts w:ascii="Arial" w:hAnsi="Arial" w:cs="Arial"/>
          <w:b/>
          <w:bCs/>
          <w:i/>
        </w:rPr>
        <w:t xml:space="preserve">Body Corporate </w:t>
      </w:r>
      <w:proofErr w:type="spellStart"/>
      <w:r w:rsidR="003F6F25" w:rsidRPr="00394F5A">
        <w:rPr>
          <w:rFonts w:ascii="Arial" w:hAnsi="Arial" w:cs="Arial"/>
          <w:b/>
          <w:bCs/>
          <w:i/>
        </w:rPr>
        <w:t>Croftdene</w:t>
      </w:r>
      <w:proofErr w:type="spellEnd"/>
      <w:r w:rsidR="003F6F25" w:rsidRPr="00394F5A">
        <w:rPr>
          <w:rFonts w:ascii="Arial" w:hAnsi="Arial" w:cs="Arial"/>
          <w:b/>
          <w:bCs/>
          <w:i/>
        </w:rPr>
        <w:t xml:space="preserve"> Mall v </w:t>
      </w:r>
      <w:proofErr w:type="spellStart"/>
      <w:r w:rsidR="003F6F25" w:rsidRPr="00394F5A">
        <w:rPr>
          <w:rFonts w:ascii="Arial" w:hAnsi="Arial" w:cs="Arial"/>
          <w:b/>
          <w:bCs/>
          <w:i/>
        </w:rPr>
        <w:t>Ethekwini</w:t>
      </w:r>
      <w:proofErr w:type="spellEnd"/>
      <w:r w:rsidR="003F6F25" w:rsidRPr="00394F5A">
        <w:rPr>
          <w:rFonts w:ascii="Arial" w:hAnsi="Arial" w:cs="Arial"/>
          <w:b/>
          <w:bCs/>
          <w:i/>
        </w:rPr>
        <w:t xml:space="preserve"> Municipality </w:t>
      </w:r>
      <w:r w:rsidR="003F6F25" w:rsidRPr="00394F5A">
        <w:rPr>
          <w:rFonts w:ascii="Arial" w:hAnsi="Arial" w:cs="Arial"/>
          <w:i/>
        </w:rPr>
        <w:t>2012 (4) SA 169 (SCA)</w:t>
      </w:r>
      <w:r w:rsidR="003F6F25" w:rsidRPr="00394F5A">
        <w:rPr>
          <w:rFonts w:ascii="Arial" w:hAnsi="Arial" w:cs="Arial"/>
          <w:iCs/>
        </w:rPr>
        <w:t xml:space="preserve"> at paragraphs 21 – 23, the SCA reflected on the meaning of the word “</w:t>
      </w:r>
      <w:r w:rsidR="003F6F25" w:rsidRPr="00394F5A">
        <w:rPr>
          <w:rFonts w:ascii="Arial" w:hAnsi="Arial" w:cs="Arial"/>
          <w:i/>
        </w:rPr>
        <w:t>dispute</w:t>
      </w:r>
      <w:r w:rsidR="003F6F25" w:rsidRPr="00394F5A">
        <w:rPr>
          <w:rFonts w:ascii="Arial" w:hAnsi="Arial" w:cs="Arial"/>
          <w:iCs/>
        </w:rPr>
        <w:t>” for purposes of section 102(2) of the MSA and remarked as follows:</w:t>
      </w:r>
    </w:p>
    <w:p w:rsidR="003F6F25" w:rsidRDefault="003F6F25" w:rsidP="0016380E">
      <w:pPr>
        <w:spacing w:line="480" w:lineRule="auto"/>
        <w:ind w:left="1701" w:hanging="708"/>
        <w:jc w:val="both"/>
        <w:rPr>
          <w:rFonts w:ascii="Arial" w:hAnsi="Arial" w:cs="Arial"/>
          <w:i/>
          <w:iCs/>
        </w:rPr>
      </w:pPr>
      <w:r w:rsidRPr="00394F5A">
        <w:rPr>
          <w:rFonts w:ascii="Arial" w:hAnsi="Arial" w:cs="Arial"/>
          <w:iCs/>
        </w:rPr>
        <w:t>“</w:t>
      </w:r>
      <w:r w:rsidRPr="00394F5A">
        <w:rPr>
          <w:rFonts w:ascii="Arial" w:hAnsi="Arial" w:cs="Arial"/>
          <w:i/>
          <w:iCs/>
        </w:rPr>
        <w:t xml:space="preserve">[21] </w:t>
      </w:r>
      <w:r w:rsidR="0016380E" w:rsidRPr="00394F5A">
        <w:rPr>
          <w:rFonts w:ascii="Arial" w:hAnsi="Arial" w:cs="Arial"/>
          <w:i/>
          <w:iCs/>
        </w:rPr>
        <w:tab/>
      </w:r>
      <w:r w:rsidRPr="00394F5A">
        <w:rPr>
          <w:rFonts w:ascii="Arial" w:hAnsi="Arial" w:cs="Arial"/>
          <w:i/>
          <w:iCs/>
        </w:rPr>
        <w:t xml:space="preserve">Neither the Systems Act nor the policy defines the term 'dispute'. Some of the definitions ascribed to it include 'controversy, disagreement, difference of opinion', etc. This court had occasion to interpret the word in Frank R Thorold (Pty) Ltd v Estate Late Beit and said that a mere claim by one party, that something is or ought to have been the position, does not amount to a dispute: </w:t>
      </w:r>
      <w:r w:rsidRPr="000A1DD1">
        <w:rPr>
          <w:rFonts w:ascii="Arial" w:hAnsi="Arial" w:cs="Arial"/>
          <w:b/>
          <w:bCs/>
          <w:i/>
          <w:iCs/>
        </w:rPr>
        <w:t>there must exist two or more parties who are in controversy with each other in the sense that they are advancing irreconcilable contentions</w:t>
      </w:r>
      <w:r w:rsidRPr="00394F5A">
        <w:rPr>
          <w:rFonts w:ascii="Arial" w:hAnsi="Arial" w:cs="Arial"/>
          <w:i/>
          <w:iCs/>
        </w:rPr>
        <w:t>.</w:t>
      </w:r>
    </w:p>
    <w:p w:rsidR="000A1DD1" w:rsidRPr="00394F5A" w:rsidRDefault="000A1DD1" w:rsidP="0016380E">
      <w:pPr>
        <w:spacing w:line="480" w:lineRule="auto"/>
        <w:ind w:left="1701" w:hanging="708"/>
        <w:jc w:val="both"/>
        <w:rPr>
          <w:rFonts w:ascii="Arial" w:hAnsi="Arial" w:cs="Arial"/>
          <w:i/>
          <w:iCs/>
        </w:rPr>
      </w:pPr>
    </w:p>
    <w:p w:rsidR="003F6F25" w:rsidRDefault="003F6F25" w:rsidP="0016380E">
      <w:pPr>
        <w:spacing w:line="480" w:lineRule="auto"/>
        <w:ind w:left="1701" w:hanging="708"/>
        <w:jc w:val="both"/>
        <w:rPr>
          <w:rFonts w:ascii="Arial" w:hAnsi="Arial" w:cs="Arial"/>
          <w:i/>
          <w:iCs/>
        </w:rPr>
      </w:pPr>
      <w:r w:rsidRPr="00394F5A">
        <w:rPr>
          <w:rFonts w:ascii="Arial" w:hAnsi="Arial" w:cs="Arial"/>
          <w:i/>
          <w:iCs/>
        </w:rPr>
        <w:t xml:space="preserve">[22] </w:t>
      </w:r>
      <w:r w:rsidR="0016380E" w:rsidRPr="00394F5A">
        <w:rPr>
          <w:rFonts w:ascii="Arial" w:hAnsi="Arial" w:cs="Arial"/>
          <w:i/>
          <w:iCs/>
        </w:rPr>
        <w:tab/>
      </w:r>
      <w:r w:rsidRPr="00394F5A">
        <w:rPr>
          <w:rFonts w:ascii="Arial" w:hAnsi="Arial" w:cs="Arial"/>
          <w:i/>
          <w:iCs/>
        </w:rPr>
        <w:t xml:space="preserve">It is, in my view, of importance </w:t>
      </w:r>
      <w:r w:rsidRPr="008731F4">
        <w:rPr>
          <w:rFonts w:ascii="Arial" w:hAnsi="Arial" w:cs="Arial"/>
          <w:b/>
          <w:bCs/>
          <w:i/>
          <w:iCs/>
        </w:rPr>
        <w:t>that s 102(2) of the Systems Act requires that the dispute must relate to a 'specific amount' claimed by the municipality</w:t>
      </w:r>
      <w:r w:rsidRPr="00394F5A">
        <w:rPr>
          <w:rFonts w:ascii="Arial" w:hAnsi="Arial" w:cs="Arial"/>
          <w:i/>
          <w:iCs/>
        </w:rPr>
        <w:t>.</w:t>
      </w:r>
      <w:r w:rsidRPr="008731F4">
        <w:rPr>
          <w:rFonts w:ascii="Arial" w:hAnsi="Arial" w:cs="Arial"/>
          <w:b/>
          <w:bCs/>
          <w:i/>
          <w:iCs/>
        </w:rPr>
        <w:t xml:space="preserve"> Quite obviously, its objective must be to prevent a ratepayer from delaying payment of an account by raising a dispute in general terms</w:t>
      </w:r>
      <w:r w:rsidRPr="00394F5A">
        <w:rPr>
          <w:rFonts w:ascii="Arial" w:hAnsi="Arial" w:cs="Arial"/>
          <w:i/>
          <w:iCs/>
        </w:rPr>
        <w:t xml:space="preserve">. </w:t>
      </w:r>
      <w:r w:rsidRPr="000A1DD1">
        <w:rPr>
          <w:rFonts w:ascii="Arial" w:hAnsi="Arial" w:cs="Arial"/>
          <w:b/>
          <w:bCs/>
          <w:i/>
          <w:iCs/>
        </w:rPr>
        <w:t>The ratepayer is required to furnish facts that would adequately enable the municipality to ascertain or identify the disputed item or items and the basis for the ratepayer's objection thereto.</w:t>
      </w:r>
      <w:r w:rsidRPr="00394F5A">
        <w:rPr>
          <w:rFonts w:ascii="Arial" w:hAnsi="Arial" w:cs="Arial"/>
          <w:i/>
          <w:iCs/>
        </w:rPr>
        <w:t xml:space="preserve"> </w:t>
      </w:r>
      <w:r w:rsidRPr="004D4E21">
        <w:rPr>
          <w:rFonts w:ascii="Arial" w:hAnsi="Arial" w:cs="Arial"/>
          <w:b/>
          <w:bCs/>
          <w:i/>
          <w:iCs/>
        </w:rPr>
        <w:t xml:space="preserve">If an item is properly identified and a dispute properly raised, debt collection and credit control measures could not be implemented in regard to that item because of the provisions of the subsection. </w:t>
      </w:r>
      <w:r w:rsidRPr="00394F5A">
        <w:rPr>
          <w:rFonts w:ascii="Arial" w:hAnsi="Arial" w:cs="Arial"/>
          <w:i/>
          <w:iCs/>
        </w:rPr>
        <w:t>But the measures could be implemented in regard to the balance in arrears; and they could be implemented in respect of the entire amount if an item is not properly identified and a dispute in relation thereto is not properly raised.</w:t>
      </w:r>
    </w:p>
    <w:p w:rsidR="000A1DD1" w:rsidRPr="00394F5A" w:rsidRDefault="000A1DD1" w:rsidP="0016380E">
      <w:pPr>
        <w:spacing w:line="480" w:lineRule="auto"/>
        <w:ind w:left="1701" w:hanging="708"/>
        <w:jc w:val="both"/>
        <w:rPr>
          <w:rFonts w:ascii="Arial" w:hAnsi="Arial" w:cs="Arial"/>
          <w:i/>
          <w:iCs/>
        </w:rPr>
      </w:pPr>
    </w:p>
    <w:p w:rsidR="003F6F25" w:rsidRPr="00394F5A" w:rsidRDefault="003F6F25" w:rsidP="0016380E">
      <w:pPr>
        <w:spacing w:after="240" w:line="480" w:lineRule="auto"/>
        <w:ind w:left="1701" w:hanging="708"/>
        <w:jc w:val="both"/>
        <w:rPr>
          <w:rFonts w:ascii="Arial" w:hAnsi="Arial" w:cs="Arial"/>
          <w:iCs/>
        </w:rPr>
      </w:pPr>
      <w:r w:rsidRPr="00394F5A">
        <w:rPr>
          <w:rFonts w:ascii="Arial" w:hAnsi="Arial" w:cs="Arial"/>
          <w:i/>
          <w:iCs/>
        </w:rPr>
        <w:t xml:space="preserve">[23] </w:t>
      </w:r>
      <w:r w:rsidR="0016380E" w:rsidRPr="000A1DD1">
        <w:rPr>
          <w:rFonts w:ascii="Arial" w:hAnsi="Arial" w:cs="Arial"/>
          <w:b/>
          <w:bCs/>
          <w:i/>
          <w:iCs/>
        </w:rPr>
        <w:tab/>
      </w:r>
      <w:r w:rsidRPr="000A1DD1">
        <w:rPr>
          <w:rFonts w:ascii="Arial" w:hAnsi="Arial" w:cs="Arial"/>
          <w:b/>
          <w:bCs/>
          <w:i/>
          <w:iCs/>
        </w:rPr>
        <w:t>Whether a dispute has been properly raised must be a factual enquiry requiring determination on a case-by-case basis</w:t>
      </w:r>
      <w:r w:rsidRPr="00394F5A">
        <w:rPr>
          <w:rFonts w:ascii="Arial" w:hAnsi="Arial" w:cs="Arial"/>
          <w:i/>
          <w:iCs/>
        </w:rPr>
        <w:t>. It is clear from clause 22.3 of the policy referred to above that the dispute must be raised before the municipality has implemented the enforcement measures at its disposal.</w:t>
      </w:r>
      <w:r w:rsidRPr="00394F5A">
        <w:rPr>
          <w:rFonts w:ascii="Arial" w:hAnsi="Arial" w:cs="Arial"/>
          <w:iCs/>
        </w:rPr>
        <w:t>”</w:t>
      </w:r>
    </w:p>
    <w:p w:rsidR="0016380E" w:rsidRPr="00394F5A" w:rsidRDefault="0016380E" w:rsidP="0016380E">
      <w:pPr>
        <w:spacing w:after="240" w:line="480" w:lineRule="auto"/>
        <w:ind w:left="1701" w:hanging="708"/>
        <w:jc w:val="both"/>
        <w:rPr>
          <w:rFonts w:ascii="Arial" w:hAnsi="Arial" w:cs="Arial"/>
          <w:iCs/>
        </w:rPr>
      </w:pPr>
      <w:r w:rsidRPr="00394F5A">
        <w:rPr>
          <w:rFonts w:ascii="Arial" w:hAnsi="Arial" w:cs="Arial"/>
        </w:rPr>
        <w:t>[</w:t>
      </w:r>
      <w:r w:rsidR="000A1DD1">
        <w:rPr>
          <w:rFonts w:ascii="Arial" w:hAnsi="Arial" w:cs="Arial"/>
        </w:rPr>
        <w:t>Bold font added for emphasis</w:t>
      </w:r>
      <w:r w:rsidRPr="00394F5A">
        <w:rPr>
          <w:rFonts w:ascii="Arial" w:hAnsi="Arial" w:cs="Arial"/>
        </w:rPr>
        <w:t>]</w:t>
      </w:r>
    </w:p>
    <w:p w:rsidR="00CF2D5F" w:rsidRPr="000A1DD1" w:rsidRDefault="00CF2D5F" w:rsidP="000A1DD1">
      <w:pPr>
        <w:spacing w:after="240" w:line="480" w:lineRule="auto"/>
        <w:ind w:left="720" w:hanging="720"/>
        <w:jc w:val="both"/>
        <w:rPr>
          <w:rFonts w:ascii="Arial" w:hAnsi="Arial" w:cs="Arial"/>
          <w:iCs/>
        </w:rPr>
      </w:pPr>
      <w:r w:rsidRPr="00394F5A">
        <w:rPr>
          <w:rFonts w:ascii="Arial" w:hAnsi="Arial" w:cs="Arial"/>
          <w:iCs/>
        </w:rPr>
        <w:t>[</w:t>
      </w:r>
      <w:r w:rsidR="00561057">
        <w:rPr>
          <w:rFonts w:ascii="Arial" w:hAnsi="Arial" w:cs="Arial"/>
          <w:iCs/>
        </w:rPr>
        <w:t>2</w:t>
      </w:r>
      <w:r w:rsidR="00383C77">
        <w:rPr>
          <w:rFonts w:ascii="Arial" w:hAnsi="Arial" w:cs="Arial"/>
          <w:iCs/>
        </w:rPr>
        <w:t>0</w:t>
      </w:r>
      <w:r w:rsidRPr="00394F5A">
        <w:rPr>
          <w:rFonts w:ascii="Arial" w:hAnsi="Arial" w:cs="Arial"/>
          <w:iCs/>
        </w:rPr>
        <w:t>]</w:t>
      </w:r>
      <w:r w:rsidRPr="00394F5A">
        <w:rPr>
          <w:rFonts w:ascii="Arial" w:hAnsi="Arial" w:cs="Arial"/>
          <w:iCs/>
        </w:rPr>
        <w:tab/>
      </w:r>
      <w:r w:rsidR="00042F47" w:rsidRPr="00394F5A">
        <w:rPr>
          <w:rFonts w:ascii="Arial" w:hAnsi="Arial" w:cs="Arial"/>
          <w:iCs/>
        </w:rPr>
        <w:t xml:space="preserve"> </w:t>
      </w:r>
      <w:r w:rsidR="00394F5A">
        <w:rPr>
          <w:rFonts w:ascii="Arial" w:hAnsi="Arial" w:cs="Arial"/>
        </w:rPr>
        <w:t xml:space="preserve">In </w:t>
      </w:r>
      <w:r w:rsidR="00394F5A" w:rsidRPr="00394F5A">
        <w:rPr>
          <w:rFonts w:ascii="Arial" w:hAnsi="Arial" w:cs="Arial"/>
          <w:b/>
          <w:bCs/>
          <w:i/>
          <w:iCs/>
        </w:rPr>
        <w:t>Ditsobotla Local Municipality v IGA Dada Propertie</w:t>
      </w:r>
      <w:r w:rsidR="00394F5A">
        <w:rPr>
          <w:rFonts w:ascii="Arial" w:hAnsi="Arial" w:cs="Arial"/>
          <w:b/>
          <w:bCs/>
          <w:i/>
          <w:iCs/>
        </w:rPr>
        <w:t>s</w:t>
      </w:r>
      <w:r w:rsidR="00394F5A" w:rsidRPr="00394F5A">
        <w:rPr>
          <w:rFonts w:ascii="Arial" w:hAnsi="Arial" w:cs="Arial"/>
          <w:i/>
          <w:iCs/>
        </w:rPr>
        <w:t>,</w:t>
      </w:r>
      <w:r w:rsidR="00394F5A">
        <w:rPr>
          <w:rStyle w:val="FootnoteReference"/>
          <w:rFonts w:ascii="Arial" w:hAnsi="Arial" w:cs="Arial"/>
        </w:rPr>
        <w:footnoteReference w:id="2"/>
      </w:r>
      <w:r w:rsidR="00394F5A">
        <w:rPr>
          <w:rFonts w:ascii="Arial" w:hAnsi="Arial" w:cs="Arial"/>
        </w:rPr>
        <w:t xml:space="preserve"> in applying what was stated by the </w:t>
      </w:r>
      <w:r w:rsidR="00394F5A" w:rsidRPr="00A11D89">
        <w:rPr>
          <w:rFonts w:ascii="Arial" w:hAnsi="Arial" w:cs="Arial"/>
        </w:rPr>
        <w:t>Constitutional Court in</w:t>
      </w:r>
      <w:r w:rsidR="00394F5A" w:rsidRPr="00E50D5E">
        <w:rPr>
          <w:rFonts w:ascii="Arial" w:hAnsi="Arial" w:cs="Arial"/>
          <w:b/>
          <w:bCs/>
        </w:rPr>
        <w:t xml:space="preserve"> </w:t>
      </w:r>
      <w:proofErr w:type="spellStart"/>
      <w:r w:rsidR="00394F5A" w:rsidRPr="00394F5A">
        <w:rPr>
          <w:rFonts w:ascii="Arial" w:hAnsi="Arial" w:cs="Arial"/>
          <w:b/>
          <w:bCs/>
          <w:i/>
          <w:iCs/>
        </w:rPr>
        <w:t>Rademan</w:t>
      </w:r>
      <w:proofErr w:type="spellEnd"/>
      <w:r w:rsidR="00394F5A" w:rsidRPr="00394F5A">
        <w:rPr>
          <w:rFonts w:ascii="Arial" w:hAnsi="Arial" w:cs="Arial"/>
          <w:b/>
          <w:bCs/>
          <w:i/>
          <w:iCs/>
        </w:rPr>
        <w:t xml:space="preserve"> v </w:t>
      </w:r>
      <w:proofErr w:type="spellStart"/>
      <w:r w:rsidR="00394F5A" w:rsidRPr="00394F5A">
        <w:rPr>
          <w:rFonts w:ascii="Arial" w:hAnsi="Arial" w:cs="Arial"/>
          <w:b/>
          <w:bCs/>
          <w:i/>
          <w:iCs/>
        </w:rPr>
        <w:t>Moqhaka</w:t>
      </w:r>
      <w:proofErr w:type="spellEnd"/>
      <w:r w:rsidR="00394F5A" w:rsidRPr="00394F5A">
        <w:rPr>
          <w:rFonts w:ascii="Arial" w:hAnsi="Arial" w:cs="Arial"/>
          <w:b/>
          <w:bCs/>
          <w:i/>
          <w:iCs/>
        </w:rPr>
        <w:t xml:space="preserve"> Local Municipality and Other</w:t>
      </w:r>
      <w:r w:rsidR="00394F5A">
        <w:rPr>
          <w:rFonts w:ascii="Arial" w:hAnsi="Arial" w:cs="Arial"/>
          <w:b/>
          <w:bCs/>
          <w:i/>
          <w:iCs/>
        </w:rPr>
        <w:t>s</w:t>
      </w:r>
      <w:r w:rsidR="00394F5A">
        <w:rPr>
          <w:rFonts w:ascii="Arial" w:hAnsi="Arial" w:cs="Arial"/>
          <w:i/>
          <w:iCs/>
        </w:rPr>
        <w:t>,</w:t>
      </w:r>
      <w:r w:rsidR="00394F5A">
        <w:rPr>
          <w:rStyle w:val="FootnoteReference"/>
          <w:rFonts w:ascii="Arial" w:hAnsi="Arial" w:cs="Arial"/>
        </w:rPr>
        <w:footnoteReference w:id="3"/>
      </w:r>
      <w:r w:rsidR="00394F5A">
        <w:rPr>
          <w:rFonts w:ascii="Arial" w:hAnsi="Arial" w:cs="Arial"/>
        </w:rPr>
        <w:t xml:space="preserve"> the following was stated:</w:t>
      </w:r>
    </w:p>
    <w:p w:rsidR="00394F5A" w:rsidRPr="00394F5A" w:rsidRDefault="00394F5A" w:rsidP="00394F5A">
      <w:pPr>
        <w:spacing w:after="240" w:line="480" w:lineRule="auto"/>
        <w:ind w:left="1701" w:hanging="719"/>
        <w:jc w:val="both"/>
        <w:rPr>
          <w:rFonts w:ascii="Arial" w:hAnsi="Arial" w:cs="Arial"/>
        </w:rPr>
      </w:pPr>
      <w:r w:rsidRPr="00394F5A">
        <w:rPr>
          <w:rFonts w:ascii="Arial" w:hAnsi="Arial" w:cs="Arial"/>
        </w:rPr>
        <w:t>“</w:t>
      </w:r>
      <w:r w:rsidRPr="00394F5A">
        <w:rPr>
          <w:rFonts w:ascii="Arial" w:hAnsi="Arial" w:cs="Arial"/>
          <w:i/>
          <w:iCs/>
        </w:rPr>
        <w:t>[18]</w:t>
      </w:r>
      <w:r w:rsidRPr="00394F5A">
        <w:rPr>
          <w:rFonts w:ascii="Arial" w:hAnsi="Arial" w:cs="Arial"/>
          <w:i/>
          <w:iCs/>
        </w:rPr>
        <w:tab/>
        <w:t xml:space="preserve">The court in </w:t>
      </w:r>
      <w:proofErr w:type="spellStart"/>
      <w:r w:rsidRPr="00394F5A">
        <w:rPr>
          <w:rFonts w:ascii="Arial" w:hAnsi="Arial" w:cs="Arial"/>
          <w:i/>
          <w:iCs/>
        </w:rPr>
        <w:t>Rademan</w:t>
      </w:r>
      <w:proofErr w:type="spellEnd"/>
      <w:r w:rsidRPr="00394F5A">
        <w:rPr>
          <w:rFonts w:ascii="Arial" w:hAnsi="Arial" w:cs="Arial"/>
          <w:i/>
          <w:iCs/>
        </w:rPr>
        <w:t xml:space="preserve"> supra stated that “a municipality is obliged to collect all money that is due and payable to it, subject to the Systems Act and any other applicable legislation.” It was the applicant’s responsibility to ensure that it takes all reasonable steps to ensure that the revenue due to it is collected and calculated on a monthly basis. The non-payment by debtors of their accounts has a direct negative impact on the appellant’s ability to deliver services to residents. Thus the appellant was entitled to take reasonable steps to collect debts due to the appellant.</w:t>
      </w:r>
      <w:r w:rsidRPr="00394F5A">
        <w:rPr>
          <w:rFonts w:ascii="Arial" w:hAnsi="Arial" w:cs="Arial"/>
        </w:rPr>
        <w:t>”</w:t>
      </w:r>
    </w:p>
    <w:p w:rsidR="00727F20" w:rsidRDefault="00727F20" w:rsidP="00CB1B02">
      <w:pPr>
        <w:spacing w:after="240" w:line="480" w:lineRule="auto"/>
        <w:ind w:left="720" w:hanging="720"/>
        <w:jc w:val="both"/>
        <w:rPr>
          <w:rFonts w:ascii="Arial" w:hAnsi="Arial" w:cs="Arial"/>
        </w:rPr>
      </w:pPr>
      <w:r>
        <w:rPr>
          <w:rFonts w:ascii="Arial" w:hAnsi="Arial" w:cs="Arial"/>
        </w:rPr>
        <w:t>[2</w:t>
      </w:r>
      <w:r w:rsidR="00383C77">
        <w:rPr>
          <w:rFonts w:ascii="Arial" w:hAnsi="Arial" w:cs="Arial"/>
        </w:rPr>
        <w:t>1</w:t>
      </w:r>
      <w:r>
        <w:rPr>
          <w:rFonts w:ascii="Arial" w:hAnsi="Arial" w:cs="Arial"/>
        </w:rPr>
        <w:t>]</w:t>
      </w:r>
      <w:r w:rsidR="00EA2105">
        <w:rPr>
          <w:rFonts w:ascii="Arial" w:hAnsi="Arial" w:cs="Arial"/>
        </w:rPr>
        <w:tab/>
        <w:t>It is trite law that t</w:t>
      </w:r>
      <w:r w:rsidR="006415B6">
        <w:rPr>
          <w:rFonts w:ascii="Arial" w:hAnsi="Arial" w:cs="Arial"/>
        </w:rPr>
        <w:t>he onus to prove valid payments rests on the debtor.</w:t>
      </w:r>
      <w:r w:rsidR="006415B6">
        <w:rPr>
          <w:rStyle w:val="FootnoteReference"/>
          <w:rFonts w:ascii="Arial" w:hAnsi="Arial" w:cs="Arial"/>
        </w:rPr>
        <w:footnoteReference w:id="4"/>
      </w:r>
    </w:p>
    <w:p w:rsidR="0012349C" w:rsidRDefault="0012349C" w:rsidP="00604790">
      <w:pPr>
        <w:spacing w:after="240" w:line="480" w:lineRule="auto"/>
        <w:jc w:val="both"/>
        <w:rPr>
          <w:rFonts w:ascii="Arial" w:hAnsi="Arial" w:cs="Arial"/>
          <w:b/>
          <w:bCs/>
        </w:rPr>
      </w:pPr>
    </w:p>
    <w:p w:rsidR="00604790" w:rsidRDefault="00604790" w:rsidP="00604790">
      <w:pPr>
        <w:spacing w:after="240" w:line="480" w:lineRule="auto"/>
        <w:jc w:val="both"/>
        <w:rPr>
          <w:rFonts w:ascii="Arial" w:hAnsi="Arial" w:cs="Arial"/>
          <w:b/>
          <w:bCs/>
        </w:rPr>
      </w:pPr>
    </w:p>
    <w:p w:rsidR="00856378" w:rsidRPr="00856378" w:rsidRDefault="00856378" w:rsidP="00CB1B02">
      <w:pPr>
        <w:spacing w:after="240" w:line="480" w:lineRule="auto"/>
        <w:ind w:left="720" w:hanging="720"/>
        <w:jc w:val="both"/>
        <w:rPr>
          <w:rFonts w:ascii="Arial" w:hAnsi="Arial" w:cs="Arial"/>
          <w:b/>
          <w:bCs/>
        </w:rPr>
      </w:pPr>
      <w:r w:rsidRPr="00856378">
        <w:rPr>
          <w:rFonts w:ascii="Arial" w:hAnsi="Arial" w:cs="Arial"/>
          <w:b/>
          <w:bCs/>
        </w:rPr>
        <w:t>EVALUATION</w:t>
      </w:r>
    </w:p>
    <w:p w:rsidR="00747D50" w:rsidRDefault="00727F20" w:rsidP="003563E6">
      <w:pPr>
        <w:spacing w:after="240" w:line="480" w:lineRule="auto"/>
        <w:ind w:left="720" w:hanging="720"/>
        <w:jc w:val="both"/>
        <w:rPr>
          <w:rFonts w:ascii="Arial" w:hAnsi="Arial" w:cs="Arial"/>
          <w:iCs/>
        </w:rPr>
      </w:pPr>
      <w:r>
        <w:rPr>
          <w:rFonts w:ascii="Arial" w:hAnsi="Arial" w:cs="Arial"/>
        </w:rPr>
        <w:t>[2</w:t>
      </w:r>
      <w:r w:rsidR="00383C77">
        <w:rPr>
          <w:rFonts w:ascii="Arial" w:hAnsi="Arial" w:cs="Arial"/>
        </w:rPr>
        <w:t>2</w:t>
      </w:r>
      <w:r>
        <w:rPr>
          <w:rFonts w:ascii="Arial" w:hAnsi="Arial" w:cs="Arial"/>
        </w:rPr>
        <w:t>]</w:t>
      </w:r>
      <w:r w:rsidR="000A1DD1" w:rsidRPr="000A1DD1">
        <w:rPr>
          <w:rFonts w:ascii="Arial" w:hAnsi="Arial" w:cs="Arial"/>
          <w:iCs/>
        </w:rPr>
        <w:t xml:space="preserve"> </w:t>
      </w:r>
      <w:r w:rsidR="00856378">
        <w:rPr>
          <w:rFonts w:ascii="Arial" w:hAnsi="Arial" w:cs="Arial"/>
          <w:iCs/>
        </w:rPr>
        <w:tab/>
      </w:r>
      <w:r w:rsidR="00747D50">
        <w:rPr>
          <w:rFonts w:ascii="Arial" w:hAnsi="Arial" w:cs="Arial"/>
          <w:iCs/>
        </w:rPr>
        <w:t xml:space="preserve">It is convenient, within the facts and circumstances of this matter, to first deal with the </w:t>
      </w:r>
      <w:r w:rsidR="003563E6">
        <w:rPr>
          <w:rFonts w:ascii="Arial" w:hAnsi="Arial" w:cs="Arial"/>
          <w:iCs/>
        </w:rPr>
        <w:t xml:space="preserve">purported validity </w:t>
      </w:r>
      <w:r w:rsidR="00747D50">
        <w:rPr>
          <w:rFonts w:ascii="Arial" w:hAnsi="Arial" w:cs="Arial"/>
          <w:iCs/>
        </w:rPr>
        <w:t>of the respondent’s pre-termination notice.</w:t>
      </w:r>
    </w:p>
    <w:p w:rsidR="00747D50" w:rsidRDefault="00747D50" w:rsidP="000A1DD1">
      <w:pPr>
        <w:spacing w:after="240" w:line="480" w:lineRule="auto"/>
        <w:ind w:left="720" w:hanging="720"/>
        <w:jc w:val="both"/>
        <w:rPr>
          <w:rFonts w:ascii="Arial" w:hAnsi="Arial" w:cs="Arial"/>
          <w:iCs/>
        </w:rPr>
      </w:pPr>
      <w:r>
        <w:rPr>
          <w:rFonts w:ascii="Arial" w:hAnsi="Arial" w:cs="Arial"/>
          <w:iCs/>
        </w:rPr>
        <w:t>[2</w:t>
      </w:r>
      <w:r w:rsidR="003563E6">
        <w:rPr>
          <w:rFonts w:ascii="Arial" w:hAnsi="Arial" w:cs="Arial"/>
          <w:iCs/>
        </w:rPr>
        <w:t>3</w:t>
      </w:r>
      <w:r>
        <w:rPr>
          <w:rFonts w:ascii="Arial" w:hAnsi="Arial" w:cs="Arial"/>
          <w:iCs/>
        </w:rPr>
        <w:t>]</w:t>
      </w:r>
      <w:r w:rsidR="00E606A9">
        <w:rPr>
          <w:rFonts w:ascii="Arial" w:hAnsi="Arial" w:cs="Arial"/>
          <w:iCs/>
        </w:rPr>
        <w:tab/>
        <w:t>The respondent alleges that its pre-termination notice was delivered to the property on 26 October 2022 by Messrs Radebe and</w:t>
      </w:r>
      <w:r w:rsidR="00572460">
        <w:rPr>
          <w:rFonts w:ascii="Arial" w:hAnsi="Arial" w:cs="Arial"/>
          <w:iCs/>
        </w:rPr>
        <w:t xml:space="preserve"> one </w:t>
      </w:r>
      <w:r w:rsidR="00D637E9">
        <w:rPr>
          <w:rFonts w:ascii="Arial" w:hAnsi="Arial" w:cs="Arial"/>
          <w:iCs/>
        </w:rPr>
        <w:t>George.</w:t>
      </w:r>
    </w:p>
    <w:p w:rsidR="00747D50" w:rsidRDefault="00747D50" w:rsidP="000A1DD1">
      <w:pPr>
        <w:spacing w:after="240" w:line="480" w:lineRule="auto"/>
        <w:ind w:left="720" w:hanging="720"/>
        <w:jc w:val="both"/>
        <w:rPr>
          <w:rFonts w:ascii="Arial" w:hAnsi="Arial" w:cs="Arial"/>
          <w:iCs/>
        </w:rPr>
      </w:pPr>
      <w:r>
        <w:rPr>
          <w:rFonts w:ascii="Arial" w:hAnsi="Arial" w:cs="Arial"/>
          <w:iCs/>
        </w:rPr>
        <w:t>[2</w:t>
      </w:r>
      <w:r w:rsidR="003563E6">
        <w:rPr>
          <w:rFonts w:ascii="Arial" w:hAnsi="Arial" w:cs="Arial"/>
          <w:iCs/>
        </w:rPr>
        <w:t>4</w:t>
      </w:r>
      <w:r>
        <w:rPr>
          <w:rFonts w:ascii="Arial" w:hAnsi="Arial" w:cs="Arial"/>
          <w:iCs/>
        </w:rPr>
        <w:t>]</w:t>
      </w:r>
      <w:r w:rsidR="00572460">
        <w:rPr>
          <w:rFonts w:ascii="Arial" w:hAnsi="Arial" w:cs="Arial"/>
          <w:iCs/>
        </w:rPr>
        <w:tab/>
        <w:t xml:space="preserve">On that day Messrs </w:t>
      </w:r>
      <w:r w:rsidR="00D637E9">
        <w:rPr>
          <w:rFonts w:ascii="Arial" w:hAnsi="Arial" w:cs="Arial"/>
          <w:iCs/>
        </w:rPr>
        <w:t xml:space="preserve">Radebe and George enquired from a security guard at the gate of the premises to whom they could </w:t>
      </w:r>
      <w:r w:rsidR="00F06DED">
        <w:rPr>
          <w:rFonts w:ascii="Arial" w:hAnsi="Arial" w:cs="Arial"/>
          <w:iCs/>
        </w:rPr>
        <w:t xml:space="preserve">talk </w:t>
      </w:r>
      <w:r w:rsidR="003C5336">
        <w:rPr>
          <w:rFonts w:ascii="Arial" w:hAnsi="Arial" w:cs="Arial"/>
          <w:iCs/>
        </w:rPr>
        <w:t>in relation to</w:t>
      </w:r>
      <w:r w:rsidR="00D637E9">
        <w:rPr>
          <w:rFonts w:ascii="Arial" w:hAnsi="Arial" w:cs="Arial"/>
          <w:iCs/>
        </w:rPr>
        <w:t xml:space="preserve"> the </w:t>
      </w:r>
      <w:r w:rsidR="00F06DED">
        <w:rPr>
          <w:rFonts w:ascii="Arial" w:hAnsi="Arial" w:cs="Arial"/>
          <w:iCs/>
        </w:rPr>
        <w:t>pre-termination</w:t>
      </w:r>
      <w:r w:rsidR="00D637E9">
        <w:rPr>
          <w:rFonts w:ascii="Arial" w:hAnsi="Arial" w:cs="Arial"/>
          <w:iCs/>
        </w:rPr>
        <w:t xml:space="preserve"> notice.  The security took </w:t>
      </w:r>
      <w:r w:rsidR="00F06DED">
        <w:rPr>
          <w:rFonts w:ascii="Arial" w:hAnsi="Arial" w:cs="Arial"/>
          <w:iCs/>
        </w:rPr>
        <w:t>Messrs Radebe and George</w:t>
      </w:r>
      <w:r w:rsidR="00D637E9">
        <w:rPr>
          <w:rFonts w:ascii="Arial" w:hAnsi="Arial" w:cs="Arial"/>
          <w:iCs/>
        </w:rPr>
        <w:t xml:space="preserve"> to a</w:t>
      </w:r>
      <w:r w:rsidR="004A1A8C">
        <w:rPr>
          <w:rFonts w:ascii="Arial" w:hAnsi="Arial" w:cs="Arial"/>
          <w:iCs/>
        </w:rPr>
        <w:t>n unidentified female individual</w:t>
      </w:r>
      <w:r w:rsidR="00D637E9">
        <w:rPr>
          <w:rFonts w:ascii="Arial" w:hAnsi="Arial" w:cs="Arial"/>
          <w:iCs/>
        </w:rPr>
        <w:t xml:space="preserve"> who in turn informed </w:t>
      </w:r>
      <w:r w:rsidR="00F06DED">
        <w:rPr>
          <w:rFonts w:ascii="Arial" w:hAnsi="Arial" w:cs="Arial"/>
          <w:iCs/>
        </w:rPr>
        <w:t xml:space="preserve">them </w:t>
      </w:r>
      <w:r w:rsidR="00D637E9">
        <w:rPr>
          <w:rFonts w:ascii="Arial" w:hAnsi="Arial" w:cs="Arial"/>
          <w:iCs/>
        </w:rPr>
        <w:t xml:space="preserve">that one Ronel was the person to talk to.  The </w:t>
      </w:r>
      <w:r w:rsidR="004A1A8C">
        <w:rPr>
          <w:rFonts w:ascii="Arial" w:hAnsi="Arial" w:cs="Arial"/>
          <w:iCs/>
        </w:rPr>
        <w:t>unidentified individual</w:t>
      </w:r>
      <w:r w:rsidR="00D637E9">
        <w:rPr>
          <w:rFonts w:ascii="Arial" w:hAnsi="Arial" w:cs="Arial"/>
          <w:iCs/>
        </w:rPr>
        <w:t xml:space="preserve"> went outside to call Ronel, who was smoking.  They waited in a </w:t>
      </w:r>
      <w:r w:rsidR="003C5336">
        <w:rPr>
          <w:rFonts w:ascii="Arial" w:hAnsi="Arial" w:cs="Arial"/>
          <w:iCs/>
        </w:rPr>
        <w:t xml:space="preserve">reception </w:t>
      </w:r>
      <w:r w:rsidR="00D637E9">
        <w:rPr>
          <w:rFonts w:ascii="Arial" w:hAnsi="Arial" w:cs="Arial"/>
          <w:iCs/>
        </w:rPr>
        <w:t>area and after a while a</w:t>
      </w:r>
      <w:r w:rsidR="004A1A8C">
        <w:rPr>
          <w:rFonts w:ascii="Arial" w:hAnsi="Arial" w:cs="Arial"/>
          <w:iCs/>
        </w:rPr>
        <w:t xml:space="preserve">n individual </w:t>
      </w:r>
      <w:r w:rsidR="00D637E9">
        <w:rPr>
          <w:rFonts w:ascii="Arial" w:hAnsi="Arial" w:cs="Arial"/>
          <w:iCs/>
        </w:rPr>
        <w:t xml:space="preserve">arrived and introduced herself as </w:t>
      </w:r>
      <w:r w:rsidR="007D5A5A">
        <w:rPr>
          <w:rFonts w:ascii="Arial" w:hAnsi="Arial" w:cs="Arial"/>
          <w:iCs/>
        </w:rPr>
        <w:t>Ronel.  She accepted the notice, after being requested to sign both the original and a copy thereof for purposes of acknowledgement of receipt.  Ronel furthermore enquired from Mr Radebe who</w:t>
      </w:r>
      <w:r w:rsidR="003C5336">
        <w:rPr>
          <w:rFonts w:ascii="Arial" w:hAnsi="Arial" w:cs="Arial"/>
          <w:iCs/>
        </w:rPr>
        <w:t>m</w:t>
      </w:r>
      <w:r w:rsidR="007D5A5A">
        <w:rPr>
          <w:rFonts w:ascii="Arial" w:hAnsi="Arial" w:cs="Arial"/>
          <w:iCs/>
        </w:rPr>
        <w:t xml:space="preserve"> she must contact regarding the notice, and when informed that she may contact Ms </w:t>
      </w:r>
      <w:proofErr w:type="spellStart"/>
      <w:r w:rsidR="007D5A5A">
        <w:rPr>
          <w:rFonts w:ascii="Arial" w:hAnsi="Arial" w:cs="Arial"/>
          <w:iCs/>
        </w:rPr>
        <w:t>Selepe</w:t>
      </w:r>
      <w:proofErr w:type="spellEnd"/>
      <w:r w:rsidR="007D5A5A">
        <w:rPr>
          <w:rFonts w:ascii="Arial" w:hAnsi="Arial" w:cs="Arial"/>
          <w:iCs/>
        </w:rPr>
        <w:t>, she being employed in the debt collection department of the respondent, she told Mr Radebe that she knows M</w:t>
      </w:r>
      <w:r w:rsidR="009406EE">
        <w:rPr>
          <w:rFonts w:ascii="Arial" w:hAnsi="Arial" w:cs="Arial"/>
          <w:iCs/>
        </w:rPr>
        <w:t>s</w:t>
      </w:r>
      <w:r w:rsidR="007D5A5A">
        <w:rPr>
          <w:rFonts w:ascii="Arial" w:hAnsi="Arial" w:cs="Arial"/>
          <w:iCs/>
        </w:rPr>
        <w:t xml:space="preserve">s </w:t>
      </w:r>
      <w:proofErr w:type="spellStart"/>
      <w:r w:rsidR="007D5A5A">
        <w:rPr>
          <w:rFonts w:ascii="Arial" w:hAnsi="Arial" w:cs="Arial"/>
          <w:iCs/>
        </w:rPr>
        <w:t>Selepe</w:t>
      </w:r>
      <w:proofErr w:type="spellEnd"/>
      <w:r w:rsidR="007D5A5A">
        <w:rPr>
          <w:rFonts w:ascii="Arial" w:hAnsi="Arial" w:cs="Arial"/>
          <w:iCs/>
        </w:rPr>
        <w:t xml:space="preserve"> as they had corresponded in the past.  Ronel further informed Mr Radebe that she has to refer the notice to head office in Johannesburg, because all payments are attended to thereat.  </w:t>
      </w:r>
    </w:p>
    <w:p w:rsidR="00747D50" w:rsidRDefault="00747D50" w:rsidP="000A1DD1">
      <w:pPr>
        <w:spacing w:after="240" w:line="480" w:lineRule="auto"/>
        <w:ind w:left="720" w:hanging="720"/>
        <w:jc w:val="both"/>
        <w:rPr>
          <w:rFonts w:ascii="Arial" w:hAnsi="Arial" w:cs="Arial"/>
          <w:iCs/>
        </w:rPr>
      </w:pPr>
      <w:r>
        <w:rPr>
          <w:rFonts w:ascii="Arial" w:hAnsi="Arial" w:cs="Arial"/>
          <w:iCs/>
        </w:rPr>
        <w:t>[2</w:t>
      </w:r>
      <w:r w:rsidR="003563E6">
        <w:rPr>
          <w:rFonts w:ascii="Arial" w:hAnsi="Arial" w:cs="Arial"/>
          <w:iCs/>
        </w:rPr>
        <w:t>5</w:t>
      </w:r>
      <w:r>
        <w:rPr>
          <w:rFonts w:ascii="Arial" w:hAnsi="Arial" w:cs="Arial"/>
          <w:iCs/>
        </w:rPr>
        <w:t>]</w:t>
      </w:r>
      <w:r w:rsidR="00C66D23">
        <w:rPr>
          <w:rFonts w:ascii="Arial" w:hAnsi="Arial" w:cs="Arial"/>
          <w:iCs/>
        </w:rPr>
        <w:tab/>
        <w:t>In rebuttal of the facts, as aforesaid, the applicant denies that Ronel is employed whether by the applicant or the occup</w:t>
      </w:r>
      <w:r w:rsidR="003C5336">
        <w:rPr>
          <w:rFonts w:ascii="Arial" w:hAnsi="Arial" w:cs="Arial"/>
          <w:iCs/>
        </w:rPr>
        <w:t>ant</w:t>
      </w:r>
      <w:r w:rsidR="00C66D23">
        <w:rPr>
          <w:rFonts w:ascii="Arial" w:hAnsi="Arial" w:cs="Arial"/>
          <w:iCs/>
        </w:rPr>
        <w:t xml:space="preserve"> tenant of the premises.  In substantiation of this allegation</w:t>
      </w:r>
      <w:r w:rsidR="0012349C">
        <w:rPr>
          <w:rFonts w:ascii="Arial" w:hAnsi="Arial" w:cs="Arial"/>
          <w:iCs/>
        </w:rPr>
        <w:t xml:space="preserve"> </w:t>
      </w:r>
      <w:r w:rsidR="00C66D23">
        <w:rPr>
          <w:rFonts w:ascii="Arial" w:hAnsi="Arial" w:cs="Arial"/>
          <w:iCs/>
        </w:rPr>
        <w:t xml:space="preserve">the applicant lists </w:t>
      </w:r>
      <w:r w:rsidR="0012349C">
        <w:rPr>
          <w:rFonts w:ascii="Arial" w:hAnsi="Arial" w:cs="Arial"/>
          <w:iCs/>
        </w:rPr>
        <w:t xml:space="preserve">by name all </w:t>
      </w:r>
      <w:r w:rsidR="00C66D23">
        <w:rPr>
          <w:rFonts w:ascii="Arial" w:hAnsi="Arial" w:cs="Arial"/>
          <w:iCs/>
        </w:rPr>
        <w:t xml:space="preserve">of its and the tenant’s employees. </w:t>
      </w:r>
      <w:r w:rsidR="004A1A8C">
        <w:rPr>
          <w:rFonts w:ascii="Arial" w:hAnsi="Arial" w:cs="Arial"/>
          <w:iCs/>
        </w:rPr>
        <w:t xml:space="preserve"> The name</w:t>
      </w:r>
      <w:r w:rsidR="00C66D23">
        <w:rPr>
          <w:rFonts w:ascii="Arial" w:hAnsi="Arial" w:cs="Arial"/>
          <w:iCs/>
        </w:rPr>
        <w:t xml:space="preserve"> Ronel is not amongst those names listed.</w:t>
      </w:r>
    </w:p>
    <w:p w:rsidR="003563E6" w:rsidRDefault="003563E6" w:rsidP="000A1DD1">
      <w:pPr>
        <w:spacing w:after="240" w:line="480" w:lineRule="auto"/>
        <w:ind w:left="720" w:hanging="720"/>
        <w:jc w:val="both"/>
        <w:rPr>
          <w:rFonts w:ascii="Arial" w:hAnsi="Arial" w:cs="Arial"/>
          <w:iCs/>
        </w:rPr>
      </w:pPr>
      <w:r>
        <w:rPr>
          <w:rFonts w:ascii="Arial" w:hAnsi="Arial" w:cs="Arial"/>
          <w:iCs/>
        </w:rPr>
        <w:t>[26]</w:t>
      </w:r>
      <w:r>
        <w:rPr>
          <w:rFonts w:ascii="Arial" w:hAnsi="Arial" w:cs="Arial"/>
          <w:iCs/>
        </w:rPr>
        <w:tab/>
        <w:t xml:space="preserve">To my mind, the onus rests of the respondent to </w:t>
      </w:r>
      <w:r w:rsidR="00DA0F86">
        <w:rPr>
          <w:rFonts w:ascii="Arial" w:hAnsi="Arial" w:cs="Arial"/>
          <w:iCs/>
        </w:rPr>
        <w:t xml:space="preserve">allege and prove </w:t>
      </w:r>
      <w:r>
        <w:rPr>
          <w:rFonts w:ascii="Arial" w:hAnsi="Arial" w:cs="Arial"/>
          <w:iCs/>
        </w:rPr>
        <w:t>satis</w:t>
      </w:r>
      <w:r w:rsidR="00DA0F86">
        <w:rPr>
          <w:rFonts w:ascii="Arial" w:hAnsi="Arial" w:cs="Arial"/>
          <w:iCs/>
        </w:rPr>
        <w:t>faction of</w:t>
      </w:r>
      <w:r>
        <w:rPr>
          <w:rFonts w:ascii="Arial" w:hAnsi="Arial" w:cs="Arial"/>
          <w:iCs/>
        </w:rPr>
        <w:t xml:space="preserve"> the provisions of sections 20(6) and 36(2) of its Credit Control Policy.  Absent the satisfaction of the jurisdictional requirements provided for in these sections, the respondent’s pre-termination notice </w:t>
      </w:r>
      <w:r w:rsidR="0012349C">
        <w:rPr>
          <w:rFonts w:ascii="Arial" w:hAnsi="Arial" w:cs="Arial"/>
          <w:iCs/>
        </w:rPr>
        <w:t>is</w:t>
      </w:r>
      <w:r>
        <w:rPr>
          <w:rFonts w:ascii="Arial" w:hAnsi="Arial" w:cs="Arial"/>
          <w:iCs/>
        </w:rPr>
        <w:t xml:space="preserve"> invalid and unavoidably renders the termination of its electrical services to the property improper and therefore unlawful.</w:t>
      </w:r>
    </w:p>
    <w:p w:rsidR="0012349C" w:rsidRDefault="00747D50" w:rsidP="001A6F71">
      <w:pPr>
        <w:spacing w:after="240" w:line="480" w:lineRule="auto"/>
        <w:ind w:left="720" w:hanging="720"/>
        <w:jc w:val="both"/>
        <w:rPr>
          <w:rFonts w:ascii="Arial" w:hAnsi="Arial" w:cs="Arial"/>
          <w:iCs/>
        </w:rPr>
      </w:pPr>
      <w:r>
        <w:rPr>
          <w:rFonts w:ascii="Arial" w:hAnsi="Arial" w:cs="Arial"/>
          <w:iCs/>
        </w:rPr>
        <w:t>[2</w:t>
      </w:r>
      <w:r w:rsidR="00383C77">
        <w:rPr>
          <w:rFonts w:ascii="Arial" w:hAnsi="Arial" w:cs="Arial"/>
          <w:iCs/>
        </w:rPr>
        <w:t>7</w:t>
      </w:r>
      <w:r>
        <w:rPr>
          <w:rFonts w:ascii="Arial" w:hAnsi="Arial" w:cs="Arial"/>
          <w:iCs/>
        </w:rPr>
        <w:t>]</w:t>
      </w:r>
      <w:r w:rsidR="00C66D23">
        <w:rPr>
          <w:rFonts w:ascii="Arial" w:hAnsi="Arial" w:cs="Arial"/>
          <w:iCs/>
        </w:rPr>
        <w:tab/>
      </w:r>
      <w:r w:rsidR="004D14D5">
        <w:rPr>
          <w:rFonts w:ascii="Arial" w:hAnsi="Arial" w:cs="Arial"/>
          <w:iCs/>
        </w:rPr>
        <w:t xml:space="preserve">During argument, counsel </w:t>
      </w:r>
      <w:r w:rsidR="006E4AB8">
        <w:rPr>
          <w:rFonts w:ascii="Arial" w:hAnsi="Arial" w:cs="Arial"/>
          <w:iCs/>
        </w:rPr>
        <w:t xml:space="preserve">for the respondent submitted that the pre-termination notice was </w:t>
      </w:r>
      <w:r w:rsidR="00C4336C">
        <w:rPr>
          <w:rFonts w:ascii="Arial" w:hAnsi="Arial" w:cs="Arial"/>
          <w:iCs/>
        </w:rPr>
        <w:t>delivered</w:t>
      </w:r>
      <w:r w:rsidR="006E4AB8">
        <w:rPr>
          <w:rFonts w:ascii="Arial" w:hAnsi="Arial" w:cs="Arial"/>
          <w:iCs/>
        </w:rPr>
        <w:t xml:space="preserve"> in accordance with the provisions of section 36(2)(b) or (c).  </w:t>
      </w:r>
    </w:p>
    <w:p w:rsidR="00747D50" w:rsidRDefault="0012349C" w:rsidP="000A1DD1">
      <w:pPr>
        <w:spacing w:after="240" w:line="480" w:lineRule="auto"/>
        <w:ind w:left="720" w:hanging="720"/>
        <w:jc w:val="both"/>
        <w:rPr>
          <w:rFonts w:ascii="Arial" w:hAnsi="Arial" w:cs="Arial"/>
          <w:iCs/>
        </w:rPr>
      </w:pPr>
      <w:r>
        <w:rPr>
          <w:rFonts w:ascii="Arial" w:hAnsi="Arial" w:cs="Arial"/>
          <w:iCs/>
        </w:rPr>
        <w:t>[28]</w:t>
      </w:r>
      <w:r>
        <w:rPr>
          <w:rFonts w:ascii="Arial" w:hAnsi="Arial" w:cs="Arial"/>
          <w:iCs/>
        </w:rPr>
        <w:tab/>
      </w:r>
      <w:r w:rsidR="00C4336C">
        <w:rPr>
          <w:rFonts w:ascii="Arial" w:hAnsi="Arial" w:cs="Arial"/>
          <w:iCs/>
        </w:rPr>
        <w:t>The respondent’s reliance upon the provision of</w:t>
      </w:r>
      <w:r w:rsidR="006E4AB8">
        <w:rPr>
          <w:rFonts w:ascii="Arial" w:hAnsi="Arial" w:cs="Arial"/>
          <w:iCs/>
        </w:rPr>
        <w:t xml:space="preserve"> section 36(2)(b) is</w:t>
      </w:r>
      <w:r w:rsidR="004A1A8C">
        <w:rPr>
          <w:rFonts w:ascii="Arial" w:hAnsi="Arial" w:cs="Arial"/>
          <w:iCs/>
        </w:rPr>
        <w:t>,</w:t>
      </w:r>
      <w:r w:rsidR="006E4AB8">
        <w:rPr>
          <w:rFonts w:ascii="Arial" w:hAnsi="Arial" w:cs="Arial"/>
          <w:iCs/>
        </w:rPr>
        <w:t xml:space="preserve"> </w:t>
      </w:r>
      <w:r w:rsidR="009406EE">
        <w:rPr>
          <w:rFonts w:ascii="Arial" w:hAnsi="Arial" w:cs="Arial"/>
          <w:iCs/>
        </w:rPr>
        <w:t>in my view</w:t>
      </w:r>
      <w:r w:rsidR="004A1A8C">
        <w:rPr>
          <w:rFonts w:ascii="Arial" w:hAnsi="Arial" w:cs="Arial"/>
          <w:iCs/>
        </w:rPr>
        <w:t>,</w:t>
      </w:r>
      <w:r w:rsidR="009406EE">
        <w:rPr>
          <w:rFonts w:ascii="Arial" w:hAnsi="Arial" w:cs="Arial"/>
          <w:iCs/>
        </w:rPr>
        <w:t xml:space="preserve"> </w:t>
      </w:r>
      <w:r w:rsidR="006E4AB8">
        <w:rPr>
          <w:rFonts w:ascii="Arial" w:hAnsi="Arial" w:cs="Arial"/>
          <w:iCs/>
        </w:rPr>
        <w:t xml:space="preserve">misplaced.  The applicant is a company and cannot reside or have a place </w:t>
      </w:r>
      <w:r w:rsidR="00EE3755">
        <w:rPr>
          <w:rFonts w:ascii="Arial" w:hAnsi="Arial" w:cs="Arial"/>
          <w:iCs/>
        </w:rPr>
        <w:t xml:space="preserve">of residence.  The applicant has its registered address situated at 10 Skeen Boulevard, Bedford View, Johannesburg.  Service upon this address would obviously </w:t>
      </w:r>
      <w:r w:rsidR="00635E02">
        <w:rPr>
          <w:rFonts w:ascii="Arial" w:hAnsi="Arial" w:cs="Arial"/>
          <w:iCs/>
        </w:rPr>
        <w:t xml:space="preserve">have </w:t>
      </w:r>
      <w:r w:rsidR="009406EE">
        <w:rPr>
          <w:rFonts w:ascii="Arial" w:hAnsi="Arial" w:cs="Arial"/>
          <w:iCs/>
        </w:rPr>
        <w:t>sufficed</w:t>
      </w:r>
      <w:r w:rsidR="00EE3755">
        <w:rPr>
          <w:rFonts w:ascii="Arial" w:hAnsi="Arial" w:cs="Arial"/>
          <w:iCs/>
        </w:rPr>
        <w:t xml:space="preserve">. </w:t>
      </w:r>
    </w:p>
    <w:p w:rsidR="00747D50" w:rsidRDefault="00747D50" w:rsidP="000A1DD1">
      <w:pPr>
        <w:spacing w:after="240" w:line="480" w:lineRule="auto"/>
        <w:ind w:left="720" w:hanging="720"/>
        <w:jc w:val="both"/>
        <w:rPr>
          <w:rFonts w:ascii="Arial" w:hAnsi="Arial" w:cs="Arial"/>
          <w:iCs/>
        </w:rPr>
      </w:pPr>
      <w:r>
        <w:rPr>
          <w:rFonts w:ascii="Arial" w:hAnsi="Arial" w:cs="Arial"/>
          <w:iCs/>
        </w:rPr>
        <w:t>[2</w:t>
      </w:r>
      <w:r w:rsidR="0012349C">
        <w:rPr>
          <w:rFonts w:ascii="Arial" w:hAnsi="Arial" w:cs="Arial"/>
          <w:iCs/>
        </w:rPr>
        <w:t>9</w:t>
      </w:r>
      <w:r>
        <w:rPr>
          <w:rFonts w:ascii="Arial" w:hAnsi="Arial" w:cs="Arial"/>
          <w:iCs/>
        </w:rPr>
        <w:t>]</w:t>
      </w:r>
      <w:r w:rsidR="00EE3755">
        <w:rPr>
          <w:rFonts w:ascii="Arial" w:hAnsi="Arial" w:cs="Arial"/>
          <w:iCs/>
        </w:rPr>
        <w:tab/>
        <w:t>Insofar as the respondent relies on the provisions of section 36(2)(c) there is no evidence before me that the respondent nominated the premises as “</w:t>
      </w:r>
      <w:r w:rsidR="00EE3755">
        <w:rPr>
          <w:rFonts w:ascii="Arial" w:hAnsi="Arial" w:cs="Arial"/>
          <w:i/>
        </w:rPr>
        <w:t>an address for legal purposes</w:t>
      </w:r>
      <w:r w:rsidR="00EE3755">
        <w:rPr>
          <w:rFonts w:ascii="Arial" w:hAnsi="Arial" w:cs="Arial"/>
          <w:iCs/>
        </w:rPr>
        <w:t>”.</w:t>
      </w:r>
    </w:p>
    <w:p w:rsidR="00747D50" w:rsidRDefault="00747D50" w:rsidP="000A1DD1">
      <w:pPr>
        <w:spacing w:after="240" w:line="480" w:lineRule="auto"/>
        <w:ind w:left="720" w:hanging="720"/>
        <w:jc w:val="both"/>
        <w:rPr>
          <w:rFonts w:ascii="Arial" w:hAnsi="Arial" w:cs="Arial"/>
          <w:iCs/>
        </w:rPr>
      </w:pPr>
      <w:r>
        <w:rPr>
          <w:rFonts w:ascii="Arial" w:hAnsi="Arial" w:cs="Arial"/>
          <w:iCs/>
        </w:rPr>
        <w:t>[</w:t>
      </w:r>
      <w:r w:rsidR="0012349C">
        <w:rPr>
          <w:rFonts w:ascii="Arial" w:hAnsi="Arial" w:cs="Arial"/>
          <w:iCs/>
        </w:rPr>
        <w:t>30</w:t>
      </w:r>
      <w:r>
        <w:rPr>
          <w:rFonts w:ascii="Arial" w:hAnsi="Arial" w:cs="Arial"/>
          <w:iCs/>
        </w:rPr>
        <w:t>]</w:t>
      </w:r>
      <w:r w:rsidR="00EE3755">
        <w:rPr>
          <w:rFonts w:ascii="Arial" w:hAnsi="Arial" w:cs="Arial"/>
          <w:iCs/>
        </w:rPr>
        <w:tab/>
        <w:t>Moreover,</w:t>
      </w:r>
      <w:r w:rsidR="00635E02">
        <w:rPr>
          <w:rFonts w:ascii="Arial" w:hAnsi="Arial" w:cs="Arial"/>
          <w:iCs/>
        </w:rPr>
        <w:t xml:space="preserve"> and in any event,</w:t>
      </w:r>
      <w:r w:rsidR="00EE3755">
        <w:rPr>
          <w:rFonts w:ascii="Arial" w:hAnsi="Arial" w:cs="Arial"/>
          <w:iCs/>
        </w:rPr>
        <w:t xml:space="preserve"> the </w:t>
      </w:r>
      <w:r w:rsidR="0012349C">
        <w:rPr>
          <w:rFonts w:ascii="Arial" w:hAnsi="Arial" w:cs="Arial"/>
          <w:iCs/>
        </w:rPr>
        <w:t>probabilities</w:t>
      </w:r>
      <w:r w:rsidR="00EE3755">
        <w:rPr>
          <w:rFonts w:ascii="Arial" w:hAnsi="Arial" w:cs="Arial"/>
          <w:iCs/>
        </w:rPr>
        <w:t xml:space="preserve"> illustrate that the pre-termination notice </w:t>
      </w:r>
      <w:r w:rsidR="003C5336">
        <w:rPr>
          <w:rFonts w:ascii="Arial" w:hAnsi="Arial" w:cs="Arial"/>
          <w:iCs/>
        </w:rPr>
        <w:t xml:space="preserve">only </w:t>
      </w:r>
      <w:r w:rsidR="00EE3755">
        <w:rPr>
          <w:rFonts w:ascii="Arial" w:hAnsi="Arial" w:cs="Arial"/>
          <w:iCs/>
        </w:rPr>
        <w:t xml:space="preserve">came to the attention of the applicant on 30 </w:t>
      </w:r>
      <w:r w:rsidR="00C4336C">
        <w:rPr>
          <w:rFonts w:ascii="Arial" w:hAnsi="Arial" w:cs="Arial"/>
          <w:iCs/>
        </w:rPr>
        <w:t>Nove</w:t>
      </w:r>
      <w:r w:rsidR="00EE3755">
        <w:rPr>
          <w:rFonts w:ascii="Arial" w:hAnsi="Arial" w:cs="Arial"/>
          <w:iCs/>
        </w:rPr>
        <w:t>mber 2022</w:t>
      </w:r>
      <w:r w:rsidR="00C4336C">
        <w:rPr>
          <w:rFonts w:ascii="Arial" w:hAnsi="Arial" w:cs="Arial"/>
          <w:iCs/>
        </w:rPr>
        <w:t xml:space="preserve">. This </w:t>
      </w:r>
      <w:r w:rsidR="00DA0F86">
        <w:rPr>
          <w:rFonts w:ascii="Arial" w:hAnsi="Arial" w:cs="Arial"/>
          <w:iCs/>
        </w:rPr>
        <w:t>being</w:t>
      </w:r>
      <w:r w:rsidR="00C4336C">
        <w:rPr>
          <w:rFonts w:ascii="Arial" w:hAnsi="Arial" w:cs="Arial"/>
          <w:iCs/>
        </w:rPr>
        <w:t xml:space="preserve"> the date upon which the respondent’s representative attended upon the property with the intention of disconnecting the municipal electricity supply thereto</w:t>
      </w:r>
      <w:r w:rsidR="009406EE">
        <w:rPr>
          <w:rFonts w:ascii="Arial" w:hAnsi="Arial" w:cs="Arial"/>
          <w:iCs/>
        </w:rPr>
        <w:t>.</w:t>
      </w:r>
      <w:r w:rsidR="00EE3755">
        <w:rPr>
          <w:rFonts w:ascii="Arial" w:hAnsi="Arial" w:cs="Arial"/>
          <w:iCs/>
        </w:rPr>
        <w:t xml:space="preserve"> </w:t>
      </w:r>
      <w:r w:rsidR="009406EE">
        <w:rPr>
          <w:rFonts w:ascii="Arial" w:hAnsi="Arial" w:cs="Arial"/>
          <w:iCs/>
        </w:rPr>
        <w:t xml:space="preserve">The facts show </w:t>
      </w:r>
      <w:r w:rsidR="00635E02">
        <w:rPr>
          <w:rFonts w:ascii="Arial" w:hAnsi="Arial" w:cs="Arial"/>
          <w:iCs/>
        </w:rPr>
        <w:t xml:space="preserve">further </w:t>
      </w:r>
      <w:r w:rsidR="009406EE">
        <w:rPr>
          <w:rFonts w:ascii="Arial" w:hAnsi="Arial" w:cs="Arial"/>
          <w:iCs/>
        </w:rPr>
        <w:t>that i</w:t>
      </w:r>
      <w:r w:rsidR="00EE3755">
        <w:rPr>
          <w:rFonts w:ascii="Arial" w:hAnsi="Arial" w:cs="Arial"/>
          <w:iCs/>
        </w:rPr>
        <w:t xml:space="preserve">mmediately pursuant to </w:t>
      </w:r>
      <w:r w:rsidR="009406EE">
        <w:rPr>
          <w:rFonts w:ascii="Arial" w:hAnsi="Arial" w:cs="Arial"/>
          <w:iCs/>
        </w:rPr>
        <w:t xml:space="preserve">the pre-termination notice coming to </w:t>
      </w:r>
      <w:r w:rsidR="00EE3755">
        <w:rPr>
          <w:rFonts w:ascii="Arial" w:hAnsi="Arial" w:cs="Arial"/>
          <w:iCs/>
        </w:rPr>
        <w:t>the applicants</w:t>
      </w:r>
      <w:r w:rsidR="009406EE">
        <w:rPr>
          <w:rFonts w:ascii="Arial" w:hAnsi="Arial" w:cs="Arial"/>
          <w:iCs/>
        </w:rPr>
        <w:t xml:space="preserve"> attention, its</w:t>
      </w:r>
      <w:r w:rsidR="00EE3755">
        <w:rPr>
          <w:rFonts w:ascii="Arial" w:hAnsi="Arial" w:cs="Arial"/>
          <w:iCs/>
        </w:rPr>
        <w:t xml:space="preserve"> attorneys of record addressed a letter to </w:t>
      </w:r>
      <w:r w:rsidR="009406EE">
        <w:rPr>
          <w:rFonts w:ascii="Arial" w:hAnsi="Arial" w:cs="Arial"/>
          <w:iCs/>
        </w:rPr>
        <w:t xml:space="preserve">Ms </w:t>
      </w:r>
      <w:proofErr w:type="spellStart"/>
      <w:r w:rsidR="009406EE">
        <w:rPr>
          <w:rFonts w:ascii="Arial" w:hAnsi="Arial" w:cs="Arial"/>
          <w:iCs/>
        </w:rPr>
        <w:t>Selepe</w:t>
      </w:r>
      <w:proofErr w:type="spellEnd"/>
      <w:r w:rsidR="009406EE">
        <w:rPr>
          <w:rFonts w:ascii="Arial" w:hAnsi="Arial" w:cs="Arial"/>
          <w:iCs/>
        </w:rPr>
        <w:t>. By way of that</w:t>
      </w:r>
      <w:r w:rsidR="003C5336">
        <w:rPr>
          <w:rFonts w:ascii="Arial" w:hAnsi="Arial" w:cs="Arial"/>
          <w:iCs/>
        </w:rPr>
        <w:t xml:space="preserve"> letter</w:t>
      </w:r>
      <w:r w:rsidR="009406EE">
        <w:rPr>
          <w:rFonts w:ascii="Arial" w:hAnsi="Arial" w:cs="Arial"/>
          <w:iCs/>
        </w:rPr>
        <w:t xml:space="preserve"> the applicant</w:t>
      </w:r>
      <w:r w:rsidR="004A1A8C">
        <w:rPr>
          <w:rFonts w:ascii="Arial" w:hAnsi="Arial" w:cs="Arial"/>
          <w:iCs/>
        </w:rPr>
        <w:t>’s attorneys of record</w:t>
      </w:r>
      <w:r w:rsidR="00EE3755">
        <w:rPr>
          <w:rFonts w:ascii="Arial" w:hAnsi="Arial" w:cs="Arial"/>
          <w:iCs/>
        </w:rPr>
        <w:t xml:space="preserve"> </w:t>
      </w:r>
      <w:r w:rsidR="00C4336C">
        <w:rPr>
          <w:rFonts w:ascii="Arial" w:hAnsi="Arial" w:cs="Arial"/>
          <w:iCs/>
        </w:rPr>
        <w:t xml:space="preserve">inter alia </w:t>
      </w:r>
      <w:r w:rsidR="009406EE">
        <w:rPr>
          <w:rFonts w:ascii="Arial" w:hAnsi="Arial" w:cs="Arial"/>
          <w:iCs/>
        </w:rPr>
        <w:t>asserted the unresolved</w:t>
      </w:r>
      <w:r w:rsidR="00EE3755">
        <w:rPr>
          <w:rFonts w:ascii="Arial" w:hAnsi="Arial" w:cs="Arial"/>
          <w:iCs/>
        </w:rPr>
        <w:t xml:space="preserve"> dispute in respect of the applicant’s indebtedness to the respondent and </w:t>
      </w:r>
      <w:r w:rsidR="0022176C">
        <w:rPr>
          <w:rFonts w:ascii="Arial" w:hAnsi="Arial" w:cs="Arial"/>
          <w:iCs/>
        </w:rPr>
        <w:t>significantly</w:t>
      </w:r>
      <w:r w:rsidR="00C4336C">
        <w:rPr>
          <w:rFonts w:ascii="Arial" w:hAnsi="Arial" w:cs="Arial"/>
          <w:iCs/>
        </w:rPr>
        <w:t xml:space="preserve"> </w:t>
      </w:r>
      <w:r w:rsidR="00EE3755">
        <w:rPr>
          <w:rFonts w:ascii="Arial" w:hAnsi="Arial" w:cs="Arial"/>
          <w:iCs/>
        </w:rPr>
        <w:t xml:space="preserve">also demanded that the respondent demonstrate how the amount of R7 576 720.28 (it </w:t>
      </w:r>
      <w:r w:rsidR="00C02890">
        <w:rPr>
          <w:rFonts w:ascii="Arial" w:hAnsi="Arial" w:cs="Arial"/>
          <w:iCs/>
        </w:rPr>
        <w:t xml:space="preserve">being the amount reflected in the pre-termination notice) can be due on the applicant’s municipal account in circumstances in which the account totalled R7 636 563.75 at the time of the 28 July 2022 order.  No response </w:t>
      </w:r>
      <w:r w:rsidR="00635E02">
        <w:rPr>
          <w:rFonts w:ascii="Arial" w:hAnsi="Arial" w:cs="Arial"/>
          <w:iCs/>
        </w:rPr>
        <w:t xml:space="preserve">was </w:t>
      </w:r>
      <w:r w:rsidR="004A1A8C">
        <w:rPr>
          <w:rFonts w:ascii="Arial" w:hAnsi="Arial" w:cs="Arial"/>
          <w:iCs/>
        </w:rPr>
        <w:t>received</w:t>
      </w:r>
      <w:r w:rsidR="00635E02">
        <w:rPr>
          <w:rFonts w:ascii="Arial" w:hAnsi="Arial" w:cs="Arial"/>
          <w:iCs/>
        </w:rPr>
        <w:t xml:space="preserve"> in respect of</w:t>
      </w:r>
      <w:r w:rsidR="00C02890">
        <w:rPr>
          <w:rFonts w:ascii="Arial" w:hAnsi="Arial" w:cs="Arial"/>
          <w:iCs/>
        </w:rPr>
        <w:t xml:space="preserve"> the letter aforesaid</w:t>
      </w:r>
      <w:r w:rsidR="00635E02">
        <w:rPr>
          <w:rFonts w:ascii="Arial" w:hAnsi="Arial" w:cs="Arial"/>
          <w:iCs/>
        </w:rPr>
        <w:t>; instead the</w:t>
      </w:r>
      <w:r w:rsidR="00C02890">
        <w:rPr>
          <w:rFonts w:ascii="Arial" w:hAnsi="Arial" w:cs="Arial"/>
          <w:iCs/>
        </w:rPr>
        <w:t xml:space="preserve"> </w:t>
      </w:r>
      <w:r w:rsidR="00635E02">
        <w:rPr>
          <w:rFonts w:ascii="Arial" w:hAnsi="Arial" w:cs="Arial"/>
          <w:iCs/>
        </w:rPr>
        <w:t>respondent</w:t>
      </w:r>
      <w:r w:rsidR="005E5FDE">
        <w:rPr>
          <w:rFonts w:ascii="Arial" w:hAnsi="Arial" w:cs="Arial"/>
          <w:iCs/>
        </w:rPr>
        <w:t xml:space="preserve"> proceed</w:t>
      </w:r>
      <w:r w:rsidR="001A6F71">
        <w:rPr>
          <w:rFonts w:ascii="Arial" w:hAnsi="Arial" w:cs="Arial"/>
          <w:iCs/>
        </w:rPr>
        <w:t>ed</w:t>
      </w:r>
      <w:r w:rsidR="005E5FDE">
        <w:rPr>
          <w:rFonts w:ascii="Arial" w:hAnsi="Arial" w:cs="Arial"/>
          <w:iCs/>
        </w:rPr>
        <w:t xml:space="preserve"> to</w:t>
      </w:r>
      <w:r w:rsidR="00C02890">
        <w:rPr>
          <w:rFonts w:ascii="Arial" w:hAnsi="Arial" w:cs="Arial"/>
          <w:iCs/>
        </w:rPr>
        <w:t xml:space="preserve"> </w:t>
      </w:r>
      <w:r w:rsidR="005E5FDE">
        <w:rPr>
          <w:rFonts w:ascii="Arial" w:hAnsi="Arial" w:cs="Arial"/>
          <w:iCs/>
        </w:rPr>
        <w:t>disconnect the municipal electrical services to the property</w:t>
      </w:r>
      <w:r w:rsidR="003563E6">
        <w:rPr>
          <w:rFonts w:ascii="Arial" w:hAnsi="Arial" w:cs="Arial"/>
          <w:iCs/>
        </w:rPr>
        <w:t xml:space="preserve">. </w:t>
      </w:r>
      <w:r w:rsidR="00635E02">
        <w:rPr>
          <w:rFonts w:ascii="Arial" w:hAnsi="Arial" w:cs="Arial"/>
          <w:iCs/>
        </w:rPr>
        <w:t xml:space="preserve">On </w:t>
      </w:r>
      <w:r w:rsidR="003563E6">
        <w:rPr>
          <w:rFonts w:ascii="Arial" w:hAnsi="Arial" w:cs="Arial"/>
          <w:iCs/>
        </w:rPr>
        <w:t>1 December 2022</w:t>
      </w:r>
      <w:r w:rsidR="00635E02">
        <w:rPr>
          <w:rFonts w:ascii="Arial" w:hAnsi="Arial" w:cs="Arial"/>
          <w:iCs/>
        </w:rPr>
        <w:t xml:space="preserve"> </w:t>
      </w:r>
      <w:r w:rsidR="00C02890">
        <w:rPr>
          <w:rFonts w:ascii="Arial" w:hAnsi="Arial" w:cs="Arial"/>
          <w:iCs/>
        </w:rPr>
        <w:t>a further letter was addressed by the applicant’s attorneys to M</w:t>
      </w:r>
      <w:r w:rsidR="00635E02">
        <w:rPr>
          <w:rFonts w:ascii="Arial" w:hAnsi="Arial" w:cs="Arial"/>
          <w:iCs/>
        </w:rPr>
        <w:t>r</w:t>
      </w:r>
      <w:r w:rsidR="00C02890">
        <w:rPr>
          <w:rFonts w:ascii="Arial" w:hAnsi="Arial" w:cs="Arial"/>
          <w:iCs/>
        </w:rPr>
        <w:t xml:space="preserve"> </w:t>
      </w:r>
      <w:proofErr w:type="spellStart"/>
      <w:r w:rsidR="00C02890">
        <w:rPr>
          <w:rFonts w:ascii="Arial" w:hAnsi="Arial" w:cs="Arial"/>
          <w:iCs/>
        </w:rPr>
        <w:t>Chauke</w:t>
      </w:r>
      <w:proofErr w:type="spellEnd"/>
      <w:r w:rsidR="00D44463">
        <w:rPr>
          <w:rFonts w:ascii="Arial" w:hAnsi="Arial" w:cs="Arial"/>
          <w:iCs/>
        </w:rPr>
        <w:t xml:space="preserve"> </w:t>
      </w:r>
      <w:r w:rsidR="00635E02">
        <w:rPr>
          <w:rFonts w:ascii="Arial" w:hAnsi="Arial" w:cs="Arial"/>
          <w:iCs/>
        </w:rPr>
        <w:t xml:space="preserve">(of the respondents attorney of record) </w:t>
      </w:r>
      <w:r w:rsidR="00D44463">
        <w:rPr>
          <w:rFonts w:ascii="Arial" w:hAnsi="Arial" w:cs="Arial"/>
          <w:iCs/>
        </w:rPr>
        <w:t xml:space="preserve">and Ms </w:t>
      </w:r>
      <w:proofErr w:type="spellStart"/>
      <w:r w:rsidR="00D44463">
        <w:rPr>
          <w:rFonts w:ascii="Arial" w:hAnsi="Arial" w:cs="Arial"/>
          <w:iCs/>
        </w:rPr>
        <w:t>Selepe</w:t>
      </w:r>
      <w:proofErr w:type="spellEnd"/>
      <w:r w:rsidR="00D44463">
        <w:rPr>
          <w:rFonts w:ascii="Arial" w:hAnsi="Arial" w:cs="Arial"/>
          <w:iCs/>
        </w:rPr>
        <w:t xml:space="preserve"> in terms of which the applicant </w:t>
      </w:r>
      <w:r w:rsidR="00635E02">
        <w:rPr>
          <w:rFonts w:ascii="Arial" w:hAnsi="Arial" w:cs="Arial"/>
          <w:iCs/>
        </w:rPr>
        <w:t>re-asserted</w:t>
      </w:r>
      <w:r w:rsidR="00D44463">
        <w:rPr>
          <w:rFonts w:ascii="Arial" w:hAnsi="Arial" w:cs="Arial"/>
          <w:iCs/>
        </w:rPr>
        <w:t xml:space="preserve"> the dispute, joined issue with </w:t>
      </w:r>
      <w:r w:rsidR="00635E02">
        <w:rPr>
          <w:rFonts w:ascii="Arial" w:hAnsi="Arial" w:cs="Arial"/>
          <w:iCs/>
        </w:rPr>
        <w:t>delivery</w:t>
      </w:r>
      <w:r w:rsidR="00D44463">
        <w:rPr>
          <w:rFonts w:ascii="Arial" w:hAnsi="Arial" w:cs="Arial"/>
          <w:iCs/>
        </w:rPr>
        <w:t xml:space="preserve"> of the pre-termination notice</w:t>
      </w:r>
      <w:r w:rsidR="00635E02">
        <w:rPr>
          <w:rFonts w:ascii="Arial" w:hAnsi="Arial" w:cs="Arial"/>
          <w:iCs/>
        </w:rPr>
        <w:t xml:space="preserve"> and demand</w:t>
      </w:r>
      <w:r w:rsidR="003C5336">
        <w:rPr>
          <w:rFonts w:ascii="Arial" w:hAnsi="Arial" w:cs="Arial"/>
          <w:iCs/>
        </w:rPr>
        <w:t>ed</w:t>
      </w:r>
      <w:r w:rsidR="00635E02">
        <w:rPr>
          <w:rFonts w:ascii="Arial" w:hAnsi="Arial" w:cs="Arial"/>
          <w:iCs/>
        </w:rPr>
        <w:t xml:space="preserve"> the re-connection of the electrical services to the premises by 18:00 on 1 December 2022.</w:t>
      </w:r>
      <w:r w:rsidR="003C5336">
        <w:rPr>
          <w:rFonts w:ascii="Arial" w:hAnsi="Arial" w:cs="Arial"/>
          <w:iCs/>
        </w:rPr>
        <w:t xml:space="preserve"> The application was issued the very next day.</w:t>
      </w:r>
    </w:p>
    <w:p w:rsidR="00D44463" w:rsidRDefault="00D44463" w:rsidP="000A1DD1">
      <w:pPr>
        <w:spacing w:after="240" w:line="480" w:lineRule="auto"/>
        <w:ind w:left="720" w:hanging="720"/>
        <w:jc w:val="both"/>
        <w:rPr>
          <w:rFonts w:ascii="Arial" w:hAnsi="Arial" w:cs="Arial"/>
          <w:iCs/>
        </w:rPr>
      </w:pPr>
      <w:r>
        <w:rPr>
          <w:rFonts w:ascii="Arial" w:hAnsi="Arial" w:cs="Arial"/>
          <w:iCs/>
        </w:rPr>
        <w:t>[3</w:t>
      </w:r>
      <w:r w:rsidR="001A6F71">
        <w:rPr>
          <w:rFonts w:ascii="Arial" w:hAnsi="Arial" w:cs="Arial"/>
          <w:iCs/>
        </w:rPr>
        <w:t>1</w:t>
      </w:r>
      <w:r>
        <w:rPr>
          <w:rFonts w:ascii="Arial" w:hAnsi="Arial" w:cs="Arial"/>
          <w:iCs/>
        </w:rPr>
        <w:t>]</w:t>
      </w:r>
      <w:r w:rsidR="00BF7ED9">
        <w:rPr>
          <w:rFonts w:ascii="Arial" w:hAnsi="Arial" w:cs="Arial"/>
          <w:iCs/>
        </w:rPr>
        <w:tab/>
        <w:t>On the facts before</w:t>
      </w:r>
      <w:r w:rsidR="004A1A8C">
        <w:rPr>
          <w:rFonts w:ascii="Arial" w:hAnsi="Arial" w:cs="Arial"/>
          <w:iCs/>
        </w:rPr>
        <w:t xml:space="preserve"> me,</w:t>
      </w:r>
      <w:r w:rsidR="003C5336">
        <w:rPr>
          <w:rFonts w:ascii="Arial" w:hAnsi="Arial" w:cs="Arial"/>
          <w:iCs/>
        </w:rPr>
        <w:t xml:space="preserve"> and over and above</w:t>
      </w:r>
      <w:r w:rsidR="00EA3C36">
        <w:rPr>
          <w:rFonts w:ascii="Arial" w:hAnsi="Arial" w:cs="Arial"/>
          <w:iCs/>
        </w:rPr>
        <w:t xml:space="preserve"> the findings made in paragraphs </w:t>
      </w:r>
      <w:r w:rsidR="00BF7ED9">
        <w:rPr>
          <w:rFonts w:ascii="Arial" w:hAnsi="Arial" w:cs="Arial"/>
          <w:iCs/>
        </w:rPr>
        <w:t xml:space="preserve"> </w:t>
      </w:r>
      <w:r w:rsidR="00EA3C36">
        <w:rPr>
          <w:rFonts w:ascii="Arial" w:hAnsi="Arial" w:cs="Arial"/>
          <w:iCs/>
        </w:rPr>
        <w:t>2</w:t>
      </w:r>
      <w:r w:rsidR="001A6F71">
        <w:rPr>
          <w:rFonts w:ascii="Arial" w:hAnsi="Arial" w:cs="Arial"/>
          <w:iCs/>
        </w:rPr>
        <w:t>8</w:t>
      </w:r>
      <w:r w:rsidR="00EA3C36">
        <w:rPr>
          <w:rFonts w:ascii="Arial" w:hAnsi="Arial" w:cs="Arial"/>
          <w:iCs/>
        </w:rPr>
        <w:t xml:space="preserve"> and 2</w:t>
      </w:r>
      <w:r w:rsidR="001A6F71">
        <w:rPr>
          <w:rFonts w:ascii="Arial" w:hAnsi="Arial" w:cs="Arial"/>
          <w:iCs/>
        </w:rPr>
        <w:t>9</w:t>
      </w:r>
      <w:r w:rsidR="00EA3C36">
        <w:rPr>
          <w:rFonts w:ascii="Arial" w:hAnsi="Arial" w:cs="Arial"/>
          <w:iCs/>
        </w:rPr>
        <w:t xml:space="preserve"> above, </w:t>
      </w:r>
      <w:r w:rsidR="00BF7ED9">
        <w:rPr>
          <w:rFonts w:ascii="Arial" w:hAnsi="Arial" w:cs="Arial"/>
          <w:iCs/>
        </w:rPr>
        <w:t xml:space="preserve">I </w:t>
      </w:r>
      <w:r w:rsidR="00EA3C36">
        <w:rPr>
          <w:rFonts w:ascii="Arial" w:hAnsi="Arial" w:cs="Arial"/>
          <w:iCs/>
        </w:rPr>
        <w:t xml:space="preserve">additionally </w:t>
      </w:r>
      <w:r w:rsidR="00BF7ED9">
        <w:rPr>
          <w:rFonts w:ascii="Arial" w:hAnsi="Arial" w:cs="Arial"/>
          <w:iCs/>
        </w:rPr>
        <w:t xml:space="preserve">find that the </w:t>
      </w:r>
      <w:r w:rsidR="004A1A8C">
        <w:rPr>
          <w:rFonts w:ascii="Arial" w:hAnsi="Arial" w:cs="Arial"/>
          <w:iCs/>
        </w:rPr>
        <w:t>further</w:t>
      </w:r>
      <w:r w:rsidR="00BF7ED9">
        <w:rPr>
          <w:rFonts w:ascii="Arial" w:hAnsi="Arial" w:cs="Arial"/>
          <w:iCs/>
        </w:rPr>
        <w:t xml:space="preserve"> jurisdictional requirements for </w:t>
      </w:r>
      <w:r w:rsidR="004A1A8C">
        <w:rPr>
          <w:rFonts w:ascii="Arial" w:hAnsi="Arial" w:cs="Arial"/>
          <w:iCs/>
        </w:rPr>
        <w:t>the delivery</w:t>
      </w:r>
      <w:r w:rsidR="005E5FDE">
        <w:rPr>
          <w:rFonts w:ascii="Arial" w:hAnsi="Arial" w:cs="Arial"/>
          <w:iCs/>
        </w:rPr>
        <w:t xml:space="preserve"> of</w:t>
      </w:r>
      <w:r w:rsidR="004A1A8C">
        <w:rPr>
          <w:rFonts w:ascii="Arial" w:hAnsi="Arial" w:cs="Arial"/>
          <w:iCs/>
        </w:rPr>
        <w:t xml:space="preserve"> </w:t>
      </w:r>
      <w:r w:rsidR="00BF7ED9">
        <w:rPr>
          <w:rFonts w:ascii="Arial" w:hAnsi="Arial" w:cs="Arial"/>
          <w:iCs/>
        </w:rPr>
        <w:t xml:space="preserve">a valid pre-termination notice have </w:t>
      </w:r>
      <w:r w:rsidR="003563E6">
        <w:rPr>
          <w:rFonts w:ascii="Arial" w:hAnsi="Arial" w:cs="Arial"/>
          <w:iCs/>
        </w:rPr>
        <w:t xml:space="preserve">not </w:t>
      </w:r>
      <w:r w:rsidR="00BF7ED9">
        <w:rPr>
          <w:rFonts w:ascii="Arial" w:hAnsi="Arial" w:cs="Arial"/>
          <w:iCs/>
        </w:rPr>
        <w:t xml:space="preserve">been </w:t>
      </w:r>
      <w:r w:rsidR="004A1A8C">
        <w:rPr>
          <w:rFonts w:ascii="Arial" w:hAnsi="Arial" w:cs="Arial"/>
          <w:iCs/>
        </w:rPr>
        <w:t>satisfied</w:t>
      </w:r>
      <w:r w:rsidR="00BF7ED9">
        <w:rPr>
          <w:rFonts w:ascii="Arial" w:hAnsi="Arial" w:cs="Arial"/>
          <w:iCs/>
        </w:rPr>
        <w:t xml:space="preserve"> and that the respondent has </w:t>
      </w:r>
      <w:r w:rsidR="00EA3C36">
        <w:rPr>
          <w:rFonts w:ascii="Arial" w:hAnsi="Arial" w:cs="Arial"/>
          <w:iCs/>
        </w:rPr>
        <w:t xml:space="preserve">failed to </w:t>
      </w:r>
      <w:r w:rsidR="004A1A8C">
        <w:rPr>
          <w:rFonts w:ascii="Arial" w:hAnsi="Arial" w:cs="Arial"/>
          <w:iCs/>
        </w:rPr>
        <w:t>discharge</w:t>
      </w:r>
      <w:r w:rsidR="00BF7ED9">
        <w:rPr>
          <w:rFonts w:ascii="Arial" w:hAnsi="Arial" w:cs="Arial"/>
          <w:iCs/>
        </w:rPr>
        <w:t xml:space="preserve"> the onus which rests upon it</w:t>
      </w:r>
      <w:r w:rsidR="00AE1F00">
        <w:rPr>
          <w:rFonts w:ascii="Arial" w:hAnsi="Arial" w:cs="Arial"/>
          <w:iCs/>
        </w:rPr>
        <w:t xml:space="preserve"> on this score</w:t>
      </w:r>
      <w:r w:rsidR="00BF7ED9">
        <w:rPr>
          <w:rFonts w:ascii="Arial" w:hAnsi="Arial" w:cs="Arial"/>
          <w:iCs/>
        </w:rPr>
        <w:t xml:space="preserve">. </w:t>
      </w:r>
      <w:r w:rsidR="00AE1F00">
        <w:rPr>
          <w:rFonts w:ascii="Arial" w:hAnsi="Arial" w:cs="Arial"/>
          <w:iCs/>
        </w:rPr>
        <w:t xml:space="preserve">Who Ronel is and why she would have said that which she did to the </w:t>
      </w:r>
      <w:r w:rsidR="004A1A8C">
        <w:rPr>
          <w:rFonts w:ascii="Arial" w:hAnsi="Arial" w:cs="Arial"/>
          <w:iCs/>
        </w:rPr>
        <w:t>respondent</w:t>
      </w:r>
      <w:r w:rsidR="005E5FDE">
        <w:rPr>
          <w:rFonts w:ascii="Arial" w:hAnsi="Arial" w:cs="Arial"/>
          <w:iCs/>
        </w:rPr>
        <w:t>’s</w:t>
      </w:r>
      <w:r w:rsidR="004A1A8C">
        <w:rPr>
          <w:rFonts w:ascii="Arial" w:hAnsi="Arial" w:cs="Arial"/>
          <w:iCs/>
        </w:rPr>
        <w:t xml:space="preserve"> representatives responsible for the delivery of the pre-termination notice</w:t>
      </w:r>
      <w:r w:rsidR="00AE1F00">
        <w:rPr>
          <w:rFonts w:ascii="Arial" w:hAnsi="Arial" w:cs="Arial"/>
          <w:iCs/>
        </w:rPr>
        <w:t xml:space="preserve"> is un</w:t>
      </w:r>
      <w:r w:rsidR="004A1A8C">
        <w:rPr>
          <w:rFonts w:ascii="Arial" w:hAnsi="Arial" w:cs="Arial"/>
          <w:iCs/>
        </w:rPr>
        <w:t xml:space="preserve">clear. </w:t>
      </w:r>
      <w:r w:rsidR="0022176C">
        <w:rPr>
          <w:rFonts w:ascii="Arial" w:hAnsi="Arial" w:cs="Arial"/>
          <w:iCs/>
        </w:rPr>
        <w:t>What is</w:t>
      </w:r>
      <w:r w:rsidR="001A6F71">
        <w:rPr>
          <w:rFonts w:ascii="Arial" w:hAnsi="Arial" w:cs="Arial"/>
          <w:iCs/>
        </w:rPr>
        <w:t>, however,</w:t>
      </w:r>
      <w:r w:rsidR="0022176C">
        <w:rPr>
          <w:rFonts w:ascii="Arial" w:hAnsi="Arial" w:cs="Arial"/>
          <w:iCs/>
        </w:rPr>
        <w:t xml:space="preserve"> clear is that Ronel is not the applicant’s agent, she does not reside at the property and she is not employed </w:t>
      </w:r>
      <w:r w:rsidR="001A6F71">
        <w:rPr>
          <w:rFonts w:ascii="Arial" w:hAnsi="Arial" w:cs="Arial"/>
          <w:iCs/>
        </w:rPr>
        <w:t>either</w:t>
      </w:r>
      <w:r w:rsidR="0022176C">
        <w:rPr>
          <w:rFonts w:ascii="Arial" w:hAnsi="Arial" w:cs="Arial"/>
          <w:iCs/>
        </w:rPr>
        <w:t xml:space="preserve"> by the applicant or the applicant’s tenant. T</w:t>
      </w:r>
      <w:r w:rsidR="004A1A8C">
        <w:rPr>
          <w:rFonts w:ascii="Arial" w:hAnsi="Arial" w:cs="Arial"/>
          <w:iCs/>
        </w:rPr>
        <w:t>he</w:t>
      </w:r>
      <w:r w:rsidR="00AE1F00">
        <w:rPr>
          <w:rFonts w:ascii="Arial" w:hAnsi="Arial" w:cs="Arial"/>
          <w:iCs/>
        </w:rPr>
        <w:t xml:space="preserve"> respondent b</w:t>
      </w:r>
      <w:r w:rsidR="005E5FDE">
        <w:rPr>
          <w:rFonts w:ascii="Arial" w:hAnsi="Arial" w:cs="Arial"/>
          <w:iCs/>
        </w:rPr>
        <w:t>ears</w:t>
      </w:r>
      <w:r w:rsidR="00AE1F00">
        <w:rPr>
          <w:rFonts w:ascii="Arial" w:hAnsi="Arial" w:cs="Arial"/>
          <w:iCs/>
        </w:rPr>
        <w:t xml:space="preserve"> the onus of pleading and proving the</w:t>
      </w:r>
      <w:r w:rsidR="0022176C">
        <w:rPr>
          <w:rFonts w:ascii="Arial" w:hAnsi="Arial" w:cs="Arial"/>
          <w:iCs/>
        </w:rPr>
        <w:t xml:space="preserve"> satisfaction of the</w:t>
      </w:r>
      <w:r w:rsidR="004A1A8C">
        <w:rPr>
          <w:rFonts w:ascii="Arial" w:hAnsi="Arial" w:cs="Arial"/>
          <w:iCs/>
        </w:rPr>
        <w:t xml:space="preserve"> jurisdictional requirements </w:t>
      </w:r>
      <w:r w:rsidR="00AE1F00">
        <w:rPr>
          <w:rFonts w:ascii="Arial" w:hAnsi="Arial" w:cs="Arial"/>
          <w:iCs/>
        </w:rPr>
        <w:t>rel</w:t>
      </w:r>
      <w:r w:rsidR="004A1A8C">
        <w:rPr>
          <w:rFonts w:ascii="Arial" w:hAnsi="Arial" w:cs="Arial"/>
          <w:iCs/>
        </w:rPr>
        <w:t>evant</w:t>
      </w:r>
      <w:r w:rsidR="00AE1F00">
        <w:rPr>
          <w:rFonts w:ascii="Arial" w:hAnsi="Arial" w:cs="Arial"/>
          <w:iCs/>
        </w:rPr>
        <w:t xml:space="preserve"> to delivery</w:t>
      </w:r>
      <w:r w:rsidR="005E5FDE">
        <w:rPr>
          <w:rFonts w:ascii="Arial" w:hAnsi="Arial" w:cs="Arial"/>
          <w:iCs/>
        </w:rPr>
        <w:t xml:space="preserve"> </w:t>
      </w:r>
      <w:r w:rsidR="00EA3C36">
        <w:rPr>
          <w:rFonts w:ascii="Arial" w:hAnsi="Arial" w:cs="Arial"/>
          <w:iCs/>
        </w:rPr>
        <w:t>of the pre-termination notice</w:t>
      </w:r>
      <w:r w:rsidR="00C4336C">
        <w:rPr>
          <w:rFonts w:ascii="Arial" w:hAnsi="Arial" w:cs="Arial"/>
          <w:iCs/>
        </w:rPr>
        <w:t>. I</w:t>
      </w:r>
      <w:r w:rsidR="00AE1F00">
        <w:rPr>
          <w:rFonts w:ascii="Arial" w:hAnsi="Arial" w:cs="Arial"/>
          <w:iCs/>
        </w:rPr>
        <w:t xml:space="preserve">t has </w:t>
      </w:r>
      <w:r w:rsidR="003C5336">
        <w:rPr>
          <w:rFonts w:ascii="Arial" w:hAnsi="Arial" w:cs="Arial"/>
          <w:iCs/>
        </w:rPr>
        <w:t xml:space="preserve">failed to </w:t>
      </w:r>
      <w:r w:rsidR="00AE1F00">
        <w:rPr>
          <w:rFonts w:ascii="Arial" w:hAnsi="Arial" w:cs="Arial"/>
          <w:iCs/>
        </w:rPr>
        <w:t xml:space="preserve">discharge the same. </w:t>
      </w:r>
    </w:p>
    <w:p w:rsidR="00EA3C36" w:rsidRDefault="00D44463" w:rsidP="003C5336">
      <w:pPr>
        <w:spacing w:after="240" w:line="480" w:lineRule="auto"/>
        <w:ind w:left="720" w:hanging="720"/>
        <w:jc w:val="both"/>
        <w:rPr>
          <w:rFonts w:ascii="Arial" w:hAnsi="Arial" w:cs="Arial"/>
          <w:iCs/>
        </w:rPr>
      </w:pPr>
      <w:r>
        <w:rPr>
          <w:rFonts w:ascii="Arial" w:hAnsi="Arial" w:cs="Arial"/>
          <w:iCs/>
        </w:rPr>
        <w:t>[3</w:t>
      </w:r>
      <w:r w:rsidR="001A6F71">
        <w:rPr>
          <w:rFonts w:ascii="Arial" w:hAnsi="Arial" w:cs="Arial"/>
          <w:iCs/>
        </w:rPr>
        <w:t>2</w:t>
      </w:r>
      <w:r>
        <w:rPr>
          <w:rFonts w:ascii="Arial" w:hAnsi="Arial" w:cs="Arial"/>
          <w:iCs/>
        </w:rPr>
        <w:t>]</w:t>
      </w:r>
      <w:r w:rsidR="00EB6D07">
        <w:rPr>
          <w:rFonts w:ascii="Arial" w:hAnsi="Arial" w:cs="Arial"/>
          <w:iCs/>
        </w:rPr>
        <w:tab/>
      </w:r>
      <w:r w:rsidR="009B39C5">
        <w:rPr>
          <w:rFonts w:ascii="Arial" w:hAnsi="Arial" w:cs="Arial"/>
          <w:iCs/>
        </w:rPr>
        <w:t>Lest my finding</w:t>
      </w:r>
      <w:r w:rsidR="001A6F71">
        <w:rPr>
          <w:rFonts w:ascii="Arial" w:hAnsi="Arial" w:cs="Arial"/>
          <w:iCs/>
        </w:rPr>
        <w:t>s</w:t>
      </w:r>
      <w:r w:rsidR="009B39C5">
        <w:rPr>
          <w:rFonts w:ascii="Arial" w:hAnsi="Arial" w:cs="Arial"/>
          <w:iCs/>
        </w:rPr>
        <w:t xml:space="preserve"> in respect of the invalidity of the</w:t>
      </w:r>
      <w:r w:rsidR="003563E6">
        <w:rPr>
          <w:rFonts w:ascii="Arial" w:hAnsi="Arial" w:cs="Arial"/>
          <w:iCs/>
        </w:rPr>
        <w:t xml:space="preserve"> delivery of the</w:t>
      </w:r>
      <w:r w:rsidR="009B39C5">
        <w:rPr>
          <w:rFonts w:ascii="Arial" w:hAnsi="Arial" w:cs="Arial"/>
          <w:iCs/>
        </w:rPr>
        <w:t xml:space="preserve"> pre-termination notice be incorrect, which I do not suggest to be the case, I deal briefly with the aspect of whether or not the applicant has </w:t>
      </w:r>
      <w:r w:rsidR="004A1A8C">
        <w:rPr>
          <w:rFonts w:ascii="Arial" w:hAnsi="Arial" w:cs="Arial"/>
          <w:iCs/>
        </w:rPr>
        <w:t>made</w:t>
      </w:r>
      <w:r w:rsidR="009B39C5">
        <w:rPr>
          <w:rFonts w:ascii="Arial" w:hAnsi="Arial" w:cs="Arial"/>
          <w:iCs/>
        </w:rPr>
        <w:t xml:space="preserve"> </w:t>
      </w:r>
      <w:r w:rsidR="004A1A8C">
        <w:rPr>
          <w:rFonts w:ascii="Arial" w:hAnsi="Arial" w:cs="Arial"/>
          <w:iCs/>
        </w:rPr>
        <w:t xml:space="preserve">payment of </w:t>
      </w:r>
      <w:r w:rsidR="009B39C5">
        <w:rPr>
          <w:rFonts w:ascii="Arial" w:hAnsi="Arial" w:cs="Arial"/>
          <w:iCs/>
        </w:rPr>
        <w:t xml:space="preserve">the undisputed </w:t>
      </w:r>
      <w:r w:rsidR="003749D2">
        <w:rPr>
          <w:rFonts w:ascii="Arial" w:hAnsi="Arial" w:cs="Arial"/>
          <w:iCs/>
        </w:rPr>
        <w:t xml:space="preserve">municipal </w:t>
      </w:r>
      <w:r w:rsidR="009B39C5">
        <w:rPr>
          <w:rFonts w:ascii="Arial" w:hAnsi="Arial" w:cs="Arial"/>
          <w:iCs/>
        </w:rPr>
        <w:t>charges to the respondent.</w:t>
      </w:r>
      <w:r w:rsidR="00EA3C36">
        <w:rPr>
          <w:rFonts w:ascii="Arial" w:hAnsi="Arial" w:cs="Arial"/>
          <w:iCs/>
        </w:rPr>
        <w:t xml:space="preserve"> </w:t>
      </w:r>
    </w:p>
    <w:p w:rsidR="00D44463" w:rsidRDefault="00EA3C36" w:rsidP="000A1DD1">
      <w:pPr>
        <w:spacing w:after="240" w:line="480" w:lineRule="auto"/>
        <w:ind w:left="720" w:hanging="720"/>
        <w:jc w:val="both"/>
        <w:rPr>
          <w:rFonts w:ascii="Arial" w:hAnsi="Arial" w:cs="Arial"/>
          <w:iCs/>
        </w:rPr>
      </w:pPr>
      <w:r>
        <w:rPr>
          <w:rFonts w:ascii="Arial" w:hAnsi="Arial" w:cs="Arial"/>
          <w:iCs/>
        </w:rPr>
        <w:t>[3</w:t>
      </w:r>
      <w:r w:rsidR="001A6F71">
        <w:rPr>
          <w:rFonts w:ascii="Arial" w:hAnsi="Arial" w:cs="Arial"/>
          <w:iCs/>
        </w:rPr>
        <w:t>3</w:t>
      </w:r>
      <w:r>
        <w:rPr>
          <w:rFonts w:ascii="Arial" w:hAnsi="Arial" w:cs="Arial"/>
          <w:iCs/>
        </w:rPr>
        <w:t>]</w:t>
      </w:r>
      <w:r>
        <w:rPr>
          <w:rFonts w:ascii="Arial" w:hAnsi="Arial" w:cs="Arial"/>
          <w:iCs/>
        </w:rPr>
        <w:tab/>
        <w:t>The respondent’s case, simply put, is that it accepts that a substantial portion of the applicant’s indebtedness to it is disputed</w:t>
      </w:r>
      <w:r w:rsidR="003C5336">
        <w:rPr>
          <w:rFonts w:ascii="Arial" w:hAnsi="Arial" w:cs="Arial"/>
          <w:iCs/>
        </w:rPr>
        <w:t xml:space="preserve">. </w:t>
      </w:r>
      <w:r w:rsidR="003749D2">
        <w:rPr>
          <w:rFonts w:ascii="Arial" w:hAnsi="Arial" w:cs="Arial"/>
          <w:iCs/>
        </w:rPr>
        <w:t>H</w:t>
      </w:r>
      <w:r w:rsidR="003C5336">
        <w:rPr>
          <w:rFonts w:ascii="Arial" w:hAnsi="Arial" w:cs="Arial"/>
          <w:iCs/>
        </w:rPr>
        <w:t>owever,</w:t>
      </w:r>
      <w:r w:rsidR="005E5FDE">
        <w:rPr>
          <w:rFonts w:ascii="Arial" w:hAnsi="Arial" w:cs="Arial"/>
          <w:iCs/>
        </w:rPr>
        <w:t xml:space="preserve"> the respondent</w:t>
      </w:r>
      <w:r w:rsidR="003749D2">
        <w:rPr>
          <w:rFonts w:ascii="Arial" w:hAnsi="Arial" w:cs="Arial"/>
          <w:iCs/>
        </w:rPr>
        <w:t xml:space="preserve"> </w:t>
      </w:r>
      <w:r w:rsidR="003C5336">
        <w:rPr>
          <w:rFonts w:ascii="Arial" w:hAnsi="Arial" w:cs="Arial"/>
          <w:iCs/>
        </w:rPr>
        <w:t>denies</w:t>
      </w:r>
      <w:r>
        <w:rPr>
          <w:rFonts w:ascii="Arial" w:hAnsi="Arial" w:cs="Arial"/>
          <w:iCs/>
        </w:rPr>
        <w:t xml:space="preserve"> that the applicant has made payment of its undisputed indebtedness to </w:t>
      </w:r>
      <w:r w:rsidR="005E5FDE">
        <w:rPr>
          <w:rFonts w:ascii="Arial" w:hAnsi="Arial" w:cs="Arial"/>
          <w:iCs/>
        </w:rPr>
        <w:t>it</w:t>
      </w:r>
      <w:r w:rsidR="003563E6">
        <w:rPr>
          <w:rFonts w:ascii="Arial" w:hAnsi="Arial" w:cs="Arial"/>
          <w:iCs/>
        </w:rPr>
        <w:t xml:space="preserve"> and is </w:t>
      </w:r>
      <w:r w:rsidR="005E5FDE">
        <w:rPr>
          <w:rFonts w:ascii="Arial" w:hAnsi="Arial" w:cs="Arial"/>
          <w:iCs/>
        </w:rPr>
        <w:t xml:space="preserve">accordingly </w:t>
      </w:r>
      <w:r w:rsidR="003563E6">
        <w:rPr>
          <w:rFonts w:ascii="Arial" w:hAnsi="Arial" w:cs="Arial"/>
          <w:iCs/>
        </w:rPr>
        <w:t>on this basis entitled to disconnect the municipal electrical services to the property</w:t>
      </w:r>
      <w:r>
        <w:rPr>
          <w:rFonts w:ascii="Arial" w:hAnsi="Arial" w:cs="Arial"/>
          <w:iCs/>
        </w:rPr>
        <w:t>.</w:t>
      </w:r>
    </w:p>
    <w:p w:rsidR="00D44463" w:rsidRDefault="00D44463" w:rsidP="000A1DD1">
      <w:pPr>
        <w:spacing w:after="240" w:line="480" w:lineRule="auto"/>
        <w:ind w:left="720" w:hanging="720"/>
        <w:jc w:val="both"/>
        <w:rPr>
          <w:rFonts w:ascii="Arial" w:hAnsi="Arial" w:cs="Arial"/>
          <w:iCs/>
        </w:rPr>
      </w:pPr>
      <w:r>
        <w:rPr>
          <w:rFonts w:ascii="Arial" w:hAnsi="Arial" w:cs="Arial"/>
          <w:iCs/>
        </w:rPr>
        <w:t>[3</w:t>
      </w:r>
      <w:r w:rsidR="001A6F71">
        <w:rPr>
          <w:rFonts w:ascii="Arial" w:hAnsi="Arial" w:cs="Arial"/>
          <w:iCs/>
        </w:rPr>
        <w:t>4</w:t>
      </w:r>
      <w:r>
        <w:rPr>
          <w:rFonts w:ascii="Arial" w:hAnsi="Arial" w:cs="Arial"/>
          <w:iCs/>
        </w:rPr>
        <w:t>]</w:t>
      </w:r>
      <w:r w:rsidR="009B39C5">
        <w:rPr>
          <w:rFonts w:ascii="Arial" w:hAnsi="Arial" w:cs="Arial"/>
          <w:iCs/>
        </w:rPr>
        <w:tab/>
        <w:t xml:space="preserve">In </w:t>
      </w:r>
      <w:r w:rsidR="00EA3C36">
        <w:rPr>
          <w:rFonts w:ascii="Arial" w:hAnsi="Arial" w:cs="Arial"/>
          <w:iCs/>
        </w:rPr>
        <w:t>support of</w:t>
      </w:r>
      <w:r w:rsidR="009B39C5">
        <w:rPr>
          <w:rFonts w:ascii="Arial" w:hAnsi="Arial" w:cs="Arial"/>
          <w:iCs/>
        </w:rPr>
        <w:t xml:space="preserve"> the proposition, as aforesaid, the respondent relies on a tax invoice relevant to the applicant’s account with it.  The invoice </w:t>
      </w:r>
      <w:r w:rsidR="001A6F71">
        <w:rPr>
          <w:rFonts w:ascii="Arial" w:hAnsi="Arial" w:cs="Arial"/>
          <w:iCs/>
        </w:rPr>
        <w:t>is in respect of the</w:t>
      </w:r>
      <w:r w:rsidR="009B39C5">
        <w:rPr>
          <w:rFonts w:ascii="Arial" w:hAnsi="Arial" w:cs="Arial"/>
          <w:iCs/>
        </w:rPr>
        <w:t xml:space="preserve"> period 18 October 2022 </w:t>
      </w:r>
      <w:r w:rsidR="00DD4AF2">
        <w:rPr>
          <w:rFonts w:ascii="Arial" w:hAnsi="Arial" w:cs="Arial"/>
          <w:iCs/>
        </w:rPr>
        <w:t>to</w:t>
      </w:r>
      <w:r w:rsidR="009B39C5">
        <w:rPr>
          <w:rFonts w:ascii="Arial" w:hAnsi="Arial" w:cs="Arial"/>
          <w:iCs/>
        </w:rPr>
        <w:t xml:space="preserve"> 22 November 2022.  </w:t>
      </w:r>
    </w:p>
    <w:p w:rsidR="003C5336" w:rsidRDefault="00D44463" w:rsidP="000A1DD1">
      <w:pPr>
        <w:spacing w:after="240" w:line="480" w:lineRule="auto"/>
        <w:ind w:left="720" w:hanging="720"/>
        <w:jc w:val="both"/>
        <w:rPr>
          <w:rFonts w:ascii="Arial" w:hAnsi="Arial" w:cs="Arial"/>
          <w:b/>
          <w:bCs/>
          <w:i/>
          <w:iCs/>
          <w:color w:val="242121"/>
          <w:lang w:val="en-GB"/>
        </w:rPr>
      </w:pPr>
      <w:r>
        <w:rPr>
          <w:rFonts w:ascii="Arial" w:hAnsi="Arial" w:cs="Arial"/>
          <w:iCs/>
        </w:rPr>
        <w:t>[3</w:t>
      </w:r>
      <w:r w:rsidR="001A6F71">
        <w:rPr>
          <w:rFonts w:ascii="Arial" w:hAnsi="Arial" w:cs="Arial"/>
          <w:iCs/>
        </w:rPr>
        <w:t>5</w:t>
      </w:r>
      <w:r>
        <w:rPr>
          <w:rFonts w:ascii="Arial" w:hAnsi="Arial" w:cs="Arial"/>
          <w:iCs/>
        </w:rPr>
        <w:t>]</w:t>
      </w:r>
      <w:r w:rsidR="009B39C5">
        <w:rPr>
          <w:rFonts w:ascii="Arial" w:hAnsi="Arial" w:cs="Arial"/>
          <w:iCs/>
        </w:rPr>
        <w:tab/>
        <w:t xml:space="preserve">The first entry reflected on such invoice reflects the amount of R7 576 720.28, </w:t>
      </w:r>
      <w:r w:rsidR="00EA3C36">
        <w:rPr>
          <w:rFonts w:ascii="Arial" w:hAnsi="Arial" w:cs="Arial"/>
          <w:iCs/>
        </w:rPr>
        <w:t xml:space="preserve">this </w:t>
      </w:r>
      <w:r w:rsidR="009B39C5">
        <w:rPr>
          <w:rFonts w:ascii="Arial" w:hAnsi="Arial" w:cs="Arial"/>
          <w:iCs/>
        </w:rPr>
        <w:t xml:space="preserve">being the </w:t>
      </w:r>
      <w:r w:rsidR="003C5336">
        <w:rPr>
          <w:rFonts w:ascii="Arial" w:hAnsi="Arial" w:cs="Arial"/>
          <w:iCs/>
        </w:rPr>
        <w:t>precise</w:t>
      </w:r>
      <w:r w:rsidR="009B39C5">
        <w:rPr>
          <w:rFonts w:ascii="Arial" w:hAnsi="Arial" w:cs="Arial"/>
          <w:iCs/>
        </w:rPr>
        <w:t xml:space="preserve"> amount recorded in the respondent’s pre-termination notice</w:t>
      </w:r>
      <w:r w:rsidR="00EA3C36">
        <w:rPr>
          <w:rFonts w:ascii="Arial" w:hAnsi="Arial" w:cs="Arial"/>
          <w:iCs/>
        </w:rPr>
        <w:t xml:space="preserve">. How this amount is calculated is not </w:t>
      </w:r>
      <w:r w:rsidR="003C5336">
        <w:rPr>
          <w:rFonts w:ascii="Arial" w:hAnsi="Arial" w:cs="Arial"/>
          <w:iCs/>
        </w:rPr>
        <w:t xml:space="preserve">apparent from such invoice. </w:t>
      </w:r>
    </w:p>
    <w:p w:rsidR="0022176C" w:rsidRPr="001A6F71" w:rsidRDefault="003C5336" w:rsidP="001A6F71">
      <w:pPr>
        <w:spacing w:after="240" w:line="480" w:lineRule="auto"/>
        <w:ind w:left="720" w:hanging="720"/>
        <w:jc w:val="both"/>
        <w:rPr>
          <w:rFonts w:ascii="Arial" w:hAnsi="Arial" w:cs="Arial"/>
          <w:iCs/>
        </w:rPr>
      </w:pPr>
      <w:r w:rsidRPr="003C5336">
        <w:rPr>
          <w:rFonts w:ascii="Arial" w:hAnsi="Arial" w:cs="Arial"/>
          <w:color w:val="242121"/>
          <w:lang w:val="en-GB"/>
        </w:rPr>
        <w:t>[3</w:t>
      </w:r>
      <w:r w:rsidR="001A6F71">
        <w:rPr>
          <w:rFonts w:ascii="Arial" w:hAnsi="Arial" w:cs="Arial"/>
          <w:color w:val="242121"/>
          <w:lang w:val="en-GB"/>
        </w:rPr>
        <w:t>6</w:t>
      </w:r>
      <w:r w:rsidRPr="003C5336">
        <w:rPr>
          <w:rFonts w:ascii="Arial" w:hAnsi="Arial" w:cs="Arial"/>
          <w:color w:val="242121"/>
          <w:lang w:val="en-GB"/>
        </w:rPr>
        <w:t>]</w:t>
      </w:r>
      <w:r>
        <w:rPr>
          <w:rFonts w:ascii="Arial" w:hAnsi="Arial" w:cs="Arial"/>
          <w:b/>
          <w:bCs/>
          <w:i/>
          <w:iCs/>
          <w:color w:val="242121"/>
          <w:lang w:val="en-GB"/>
        </w:rPr>
        <w:tab/>
      </w:r>
      <w:r w:rsidR="00EA3C36">
        <w:rPr>
          <w:rFonts w:ascii="Arial" w:hAnsi="Arial" w:cs="Arial"/>
          <w:iCs/>
        </w:rPr>
        <w:t>The remainder of the entries</w:t>
      </w:r>
      <w:r w:rsidR="004A1A8C">
        <w:rPr>
          <w:rFonts w:ascii="Arial" w:hAnsi="Arial" w:cs="Arial"/>
          <w:iCs/>
        </w:rPr>
        <w:t xml:space="preserve"> on the invoice</w:t>
      </w:r>
      <w:r w:rsidR="00EA3C36">
        <w:rPr>
          <w:rFonts w:ascii="Arial" w:hAnsi="Arial" w:cs="Arial"/>
          <w:iCs/>
        </w:rPr>
        <w:t xml:space="preserve"> reflect</w:t>
      </w:r>
      <w:r w:rsidR="00253FB5">
        <w:rPr>
          <w:rFonts w:ascii="Arial" w:hAnsi="Arial" w:cs="Arial"/>
          <w:iCs/>
        </w:rPr>
        <w:t xml:space="preserve"> the municipal charges rendered </w:t>
      </w:r>
      <w:r w:rsidR="00D47F21">
        <w:rPr>
          <w:rFonts w:ascii="Arial" w:hAnsi="Arial" w:cs="Arial"/>
          <w:iCs/>
        </w:rPr>
        <w:t xml:space="preserve">by the respondent </w:t>
      </w:r>
      <w:r w:rsidR="00253FB5">
        <w:rPr>
          <w:rFonts w:ascii="Arial" w:hAnsi="Arial" w:cs="Arial"/>
          <w:iCs/>
        </w:rPr>
        <w:t xml:space="preserve">on 22 November 2022 </w:t>
      </w:r>
      <w:r w:rsidR="00EA3C36">
        <w:rPr>
          <w:rFonts w:ascii="Arial" w:hAnsi="Arial" w:cs="Arial"/>
          <w:iCs/>
        </w:rPr>
        <w:t xml:space="preserve">which are </w:t>
      </w:r>
      <w:r w:rsidR="00253FB5">
        <w:rPr>
          <w:rFonts w:ascii="Arial" w:hAnsi="Arial" w:cs="Arial"/>
          <w:iCs/>
        </w:rPr>
        <w:t xml:space="preserve">in respect of interest </w:t>
      </w:r>
      <w:r w:rsidR="00EA3C36">
        <w:rPr>
          <w:rFonts w:ascii="Arial" w:hAnsi="Arial" w:cs="Arial"/>
          <w:iCs/>
        </w:rPr>
        <w:t xml:space="preserve">charges </w:t>
      </w:r>
      <w:r w:rsidR="003749D2">
        <w:rPr>
          <w:rFonts w:ascii="Arial" w:hAnsi="Arial" w:cs="Arial"/>
          <w:iCs/>
        </w:rPr>
        <w:t>levied by the respondent in respect of</w:t>
      </w:r>
      <w:r w:rsidR="00253FB5">
        <w:rPr>
          <w:rFonts w:ascii="Arial" w:hAnsi="Arial" w:cs="Arial"/>
          <w:iCs/>
        </w:rPr>
        <w:t xml:space="preserve"> refuse removal, sanitation repairs, arrears sundries, rates and water and the levies in respect of sanitation, water and refuse</w:t>
      </w:r>
      <w:r w:rsidR="00EA3C36">
        <w:rPr>
          <w:rFonts w:ascii="Arial" w:hAnsi="Arial" w:cs="Arial"/>
          <w:iCs/>
        </w:rPr>
        <w:t xml:space="preserve"> (together with VAT thereon)</w:t>
      </w:r>
      <w:r w:rsidR="00253FB5">
        <w:rPr>
          <w:rFonts w:ascii="Arial" w:hAnsi="Arial" w:cs="Arial"/>
          <w:iCs/>
        </w:rPr>
        <w:t xml:space="preserve">.  The </w:t>
      </w:r>
      <w:r w:rsidR="00EA3C36">
        <w:rPr>
          <w:rFonts w:ascii="Arial" w:hAnsi="Arial" w:cs="Arial"/>
          <w:iCs/>
        </w:rPr>
        <w:t xml:space="preserve">monthly </w:t>
      </w:r>
      <w:r w:rsidR="00253FB5">
        <w:rPr>
          <w:rFonts w:ascii="Arial" w:hAnsi="Arial" w:cs="Arial"/>
          <w:iCs/>
        </w:rPr>
        <w:t xml:space="preserve">interest </w:t>
      </w:r>
      <w:r w:rsidR="00EA3C36">
        <w:rPr>
          <w:rFonts w:ascii="Arial" w:hAnsi="Arial" w:cs="Arial"/>
          <w:iCs/>
        </w:rPr>
        <w:t xml:space="preserve">levied on </w:t>
      </w:r>
      <w:r w:rsidR="00253FB5">
        <w:rPr>
          <w:rFonts w:ascii="Arial" w:hAnsi="Arial" w:cs="Arial"/>
          <w:iCs/>
        </w:rPr>
        <w:t>the</w:t>
      </w:r>
      <w:r w:rsidR="003563E6">
        <w:rPr>
          <w:rFonts w:ascii="Arial" w:hAnsi="Arial" w:cs="Arial"/>
          <w:iCs/>
        </w:rPr>
        <w:t>se charges</w:t>
      </w:r>
      <w:r w:rsidR="00253FB5">
        <w:rPr>
          <w:rFonts w:ascii="Arial" w:hAnsi="Arial" w:cs="Arial"/>
          <w:iCs/>
        </w:rPr>
        <w:t xml:space="preserve"> amounts to approximately R53 500.00.  The balance of the </w:t>
      </w:r>
      <w:r w:rsidR="00EA3C36">
        <w:rPr>
          <w:rFonts w:ascii="Arial" w:hAnsi="Arial" w:cs="Arial"/>
          <w:iCs/>
        </w:rPr>
        <w:t xml:space="preserve">monthly </w:t>
      </w:r>
      <w:r w:rsidR="00253FB5">
        <w:rPr>
          <w:rFonts w:ascii="Arial" w:hAnsi="Arial" w:cs="Arial"/>
          <w:iCs/>
        </w:rPr>
        <w:t>charges</w:t>
      </w:r>
      <w:r w:rsidR="00DD4AF2">
        <w:rPr>
          <w:rFonts w:ascii="Arial" w:hAnsi="Arial" w:cs="Arial"/>
          <w:iCs/>
        </w:rPr>
        <w:t xml:space="preserve"> reflected in the invoice</w:t>
      </w:r>
      <w:r w:rsidR="00EA3C36">
        <w:rPr>
          <w:rFonts w:ascii="Arial" w:hAnsi="Arial" w:cs="Arial"/>
          <w:iCs/>
        </w:rPr>
        <w:t>, which the respondent argues to be uncontested,</w:t>
      </w:r>
      <w:r w:rsidR="00253FB5">
        <w:rPr>
          <w:rFonts w:ascii="Arial" w:hAnsi="Arial" w:cs="Arial"/>
          <w:iCs/>
        </w:rPr>
        <w:t xml:space="preserve"> amount</w:t>
      </w:r>
      <w:r w:rsidR="00ED47DB">
        <w:rPr>
          <w:rFonts w:ascii="Arial" w:hAnsi="Arial" w:cs="Arial"/>
          <w:iCs/>
        </w:rPr>
        <w:t>s</w:t>
      </w:r>
      <w:r w:rsidR="00253FB5">
        <w:rPr>
          <w:rFonts w:ascii="Arial" w:hAnsi="Arial" w:cs="Arial"/>
          <w:iCs/>
        </w:rPr>
        <w:t xml:space="preserve"> to approximately R20 000.00.</w:t>
      </w:r>
      <w:r w:rsidR="003749D2">
        <w:rPr>
          <w:rFonts w:ascii="Arial" w:hAnsi="Arial" w:cs="Arial"/>
          <w:iCs/>
        </w:rPr>
        <w:t xml:space="preserve"> These uncontested entries were only charged long pursuant to the </w:t>
      </w:r>
      <w:r w:rsidR="003563E6">
        <w:rPr>
          <w:rFonts w:ascii="Arial" w:hAnsi="Arial" w:cs="Arial"/>
          <w:iCs/>
        </w:rPr>
        <w:t>respondent’s</w:t>
      </w:r>
      <w:r w:rsidR="003749D2">
        <w:rPr>
          <w:rFonts w:ascii="Arial" w:hAnsi="Arial" w:cs="Arial"/>
          <w:iCs/>
        </w:rPr>
        <w:t xml:space="preserve"> pre-termination notice which was</w:t>
      </w:r>
      <w:r w:rsidR="005E5FDE">
        <w:rPr>
          <w:rFonts w:ascii="Arial" w:hAnsi="Arial" w:cs="Arial"/>
          <w:iCs/>
        </w:rPr>
        <w:t xml:space="preserve">, </w:t>
      </w:r>
      <w:r w:rsidR="008B3781">
        <w:rPr>
          <w:rFonts w:ascii="Arial" w:hAnsi="Arial" w:cs="Arial"/>
          <w:iCs/>
        </w:rPr>
        <w:t xml:space="preserve">as </w:t>
      </w:r>
      <w:r w:rsidR="005E5FDE">
        <w:rPr>
          <w:rFonts w:ascii="Arial" w:hAnsi="Arial" w:cs="Arial"/>
          <w:iCs/>
        </w:rPr>
        <w:t>I have explained,</w:t>
      </w:r>
      <w:r w:rsidR="003749D2">
        <w:rPr>
          <w:rFonts w:ascii="Arial" w:hAnsi="Arial" w:cs="Arial"/>
          <w:iCs/>
        </w:rPr>
        <w:t xml:space="preserve"> dated 25 October 2022. </w:t>
      </w:r>
      <w:r w:rsidR="008B3781">
        <w:rPr>
          <w:rFonts w:ascii="Arial" w:hAnsi="Arial" w:cs="Arial"/>
          <w:iCs/>
        </w:rPr>
        <w:t>The uncontested charges for the months of August, September and October 2022 are</w:t>
      </w:r>
      <w:r w:rsidR="0012349C">
        <w:rPr>
          <w:rFonts w:ascii="Arial" w:hAnsi="Arial" w:cs="Arial"/>
          <w:iCs/>
        </w:rPr>
        <w:t>, for example,</w:t>
      </w:r>
      <w:r w:rsidR="008B3781">
        <w:rPr>
          <w:rFonts w:ascii="Arial" w:hAnsi="Arial" w:cs="Arial"/>
          <w:iCs/>
        </w:rPr>
        <w:t xml:space="preserve"> not </w:t>
      </w:r>
      <w:r w:rsidR="00DD4AF2">
        <w:rPr>
          <w:rFonts w:ascii="Arial" w:hAnsi="Arial" w:cs="Arial"/>
          <w:iCs/>
        </w:rPr>
        <w:t>reflected</w:t>
      </w:r>
      <w:r w:rsidR="008B3781">
        <w:rPr>
          <w:rFonts w:ascii="Arial" w:hAnsi="Arial" w:cs="Arial"/>
          <w:iCs/>
        </w:rPr>
        <w:t>.</w:t>
      </w:r>
    </w:p>
    <w:p w:rsidR="00D44463" w:rsidRDefault="00D44463" w:rsidP="000A1DD1">
      <w:pPr>
        <w:spacing w:after="240" w:line="480" w:lineRule="auto"/>
        <w:ind w:left="720" w:hanging="720"/>
        <w:jc w:val="both"/>
        <w:rPr>
          <w:rFonts w:ascii="Arial" w:hAnsi="Arial" w:cs="Arial"/>
          <w:iCs/>
        </w:rPr>
      </w:pPr>
      <w:r>
        <w:rPr>
          <w:rFonts w:ascii="Arial" w:hAnsi="Arial" w:cs="Arial"/>
          <w:iCs/>
        </w:rPr>
        <w:t>[3</w:t>
      </w:r>
      <w:r w:rsidR="0012349C">
        <w:rPr>
          <w:rFonts w:ascii="Arial" w:hAnsi="Arial" w:cs="Arial"/>
          <w:iCs/>
        </w:rPr>
        <w:t>7</w:t>
      </w:r>
      <w:r>
        <w:rPr>
          <w:rFonts w:ascii="Arial" w:hAnsi="Arial" w:cs="Arial"/>
          <w:iCs/>
        </w:rPr>
        <w:t>]</w:t>
      </w:r>
      <w:r w:rsidR="00253FB5">
        <w:rPr>
          <w:rFonts w:ascii="Arial" w:hAnsi="Arial" w:cs="Arial"/>
          <w:iCs/>
        </w:rPr>
        <w:tab/>
      </w:r>
      <w:r w:rsidR="004A1A8C">
        <w:rPr>
          <w:rFonts w:ascii="Arial" w:hAnsi="Arial" w:cs="Arial"/>
          <w:iCs/>
        </w:rPr>
        <w:t>The</w:t>
      </w:r>
      <w:r w:rsidR="00ED47DB">
        <w:rPr>
          <w:rFonts w:ascii="Arial" w:hAnsi="Arial" w:cs="Arial"/>
          <w:iCs/>
        </w:rPr>
        <w:t xml:space="preserve"> respondent</w:t>
      </w:r>
      <w:r w:rsidR="003749D2">
        <w:rPr>
          <w:rFonts w:ascii="Arial" w:hAnsi="Arial" w:cs="Arial"/>
          <w:iCs/>
        </w:rPr>
        <w:t xml:space="preserve"> </w:t>
      </w:r>
      <w:r w:rsidR="008B3781">
        <w:rPr>
          <w:rFonts w:ascii="Arial" w:hAnsi="Arial" w:cs="Arial"/>
          <w:iCs/>
        </w:rPr>
        <w:t>in further s</w:t>
      </w:r>
      <w:r w:rsidR="00DD4AF2">
        <w:rPr>
          <w:rFonts w:ascii="Arial" w:hAnsi="Arial" w:cs="Arial"/>
          <w:iCs/>
        </w:rPr>
        <w:t>upport of</w:t>
      </w:r>
      <w:r w:rsidR="008B3781">
        <w:rPr>
          <w:rFonts w:ascii="Arial" w:hAnsi="Arial" w:cs="Arial"/>
          <w:iCs/>
        </w:rPr>
        <w:t xml:space="preserve"> its proposition that the uncontested charges have not been paid </w:t>
      </w:r>
      <w:r w:rsidR="003749D2">
        <w:rPr>
          <w:rFonts w:ascii="Arial" w:hAnsi="Arial" w:cs="Arial"/>
          <w:iCs/>
        </w:rPr>
        <w:t>additionally</w:t>
      </w:r>
      <w:r w:rsidR="00ED47DB">
        <w:rPr>
          <w:rFonts w:ascii="Arial" w:hAnsi="Arial" w:cs="Arial"/>
          <w:iCs/>
        </w:rPr>
        <w:t xml:space="preserve"> attaches a screenshot of </w:t>
      </w:r>
      <w:r w:rsidR="003563E6">
        <w:rPr>
          <w:rFonts w:ascii="Arial" w:hAnsi="Arial" w:cs="Arial"/>
          <w:iCs/>
        </w:rPr>
        <w:t>its</w:t>
      </w:r>
      <w:r w:rsidR="00ED47DB">
        <w:rPr>
          <w:rFonts w:ascii="Arial" w:hAnsi="Arial" w:cs="Arial"/>
          <w:iCs/>
        </w:rPr>
        <w:t xml:space="preserve"> billing system</w:t>
      </w:r>
      <w:r w:rsidR="008B3781">
        <w:rPr>
          <w:rFonts w:ascii="Arial" w:hAnsi="Arial" w:cs="Arial"/>
          <w:iCs/>
        </w:rPr>
        <w:t>. The screenshot</w:t>
      </w:r>
      <w:r w:rsidR="00ED47DB">
        <w:rPr>
          <w:rFonts w:ascii="Arial" w:hAnsi="Arial" w:cs="Arial"/>
          <w:iCs/>
        </w:rPr>
        <w:t xml:space="preserve"> reflects that the last payment that the applicant made to it was in the month of December 2021 in the amount of R537 918.37. </w:t>
      </w:r>
    </w:p>
    <w:p w:rsidR="00D44463" w:rsidRDefault="00D44463" w:rsidP="000A1DD1">
      <w:pPr>
        <w:spacing w:after="240" w:line="480" w:lineRule="auto"/>
        <w:ind w:left="720" w:hanging="720"/>
        <w:jc w:val="both"/>
        <w:rPr>
          <w:rFonts w:ascii="Arial" w:hAnsi="Arial" w:cs="Arial"/>
          <w:iCs/>
        </w:rPr>
      </w:pPr>
      <w:r>
        <w:rPr>
          <w:rFonts w:ascii="Arial" w:hAnsi="Arial" w:cs="Arial"/>
          <w:iCs/>
        </w:rPr>
        <w:t>[3</w:t>
      </w:r>
      <w:r w:rsidR="0012349C">
        <w:rPr>
          <w:rFonts w:ascii="Arial" w:hAnsi="Arial" w:cs="Arial"/>
          <w:iCs/>
        </w:rPr>
        <w:t>8</w:t>
      </w:r>
      <w:r>
        <w:rPr>
          <w:rFonts w:ascii="Arial" w:hAnsi="Arial" w:cs="Arial"/>
          <w:iCs/>
        </w:rPr>
        <w:t>]</w:t>
      </w:r>
      <w:r w:rsidR="00ED47DB">
        <w:rPr>
          <w:rFonts w:ascii="Arial" w:hAnsi="Arial" w:cs="Arial"/>
          <w:iCs/>
        </w:rPr>
        <w:tab/>
        <w:t>The applicant explains that the amount of R537 918.37 was effected pursuant to a deposit request for clearance certificates in that amount</w:t>
      </w:r>
      <w:r w:rsidR="008B3781">
        <w:rPr>
          <w:rFonts w:ascii="Arial" w:hAnsi="Arial" w:cs="Arial"/>
          <w:iCs/>
        </w:rPr>
        <w:t xml:space="preserve"> and that t</w:t>
      </w:r>
      <w:r w:rsidR="00ED47DB">
        <w:rPr>
          <w:rFonts w:ascii="Arial" w:hAnsi="Arial" w:cs="Arial"/>
          <w:iCs/>
        </w:rPr>
        <w:t>he respondent</w:t>
      </w:r>
      <w:r w:rsidR="003749D2">
        <w:rPr>
          <w:rFonts w:ascii="Arial" w:hAnsi="Arial" w:cs="Arial"/>
          <w:iCs/>
        </w:rPr>
        <w:t xml:space="preserve"> </w:t>
      </w:r>
      <w:r w:rsidR="00ED47DB">
        <w:rPr>
          <w:rFonts w:ascii="Arial" w:hAnsi="Arial" w:cs="Arial"/>
          <w:iCs/>
        </w:rPr>
        <w:t>has inappropriately allocated this payment to the disputed amount in contravention of section 102 of the MSA.  This is in circumstances in which the charges raised to the account</w:t>
      </w:r>
      <w:r w:rsidR="003749D2">
        <w:rPr>
          <w:rFonts w:ascii="Arial" w:hAnsi="Arial" w:cs="Arial"/>
          <w:iCs/>
        </w:rPr>
        <w:t>,</w:t>
      </w:r>
      <w:r w:rsidR="00ED47DB">
        <w:rPr>
          <w:rFonts w:ascii="Arial" w:hAnsi="Arial" w:cs="Arial"/>
          <w:iCs/>
        </w:rPr>
        <w:t xml:space="preserve"> in the intervening periods</w:t>
      </w:r>
      <w:r w:rsidR="003749D2">
        <w:rPr>
          <w:rFonts w:ascii="Arial" w:hAnsi="Arial" w:cs="Arial"/>
          <w:iCs/>
        </w:rPr>
        <w:t>,</w:t>
      </w:r>
      <w:r w:rsidR="00ED47DB">
        <w:rPr>
          <w:rFonts w:ascii="Arial" w:hAnsi="Arial" w:cs="Arial"/>
          <w:iCs/>
        </w:rPr>
        <w:t xml:space="preserve"> </w:t>
      </w:r>
      <w:r w:rsidR="001E7952">
        <w:rPr>
          <w:rFonts w:ascii="Arial" w:hAnsi="Arial" w:cs="Arial"/>
          <w:iCs/>
        </w:rPr>
        <w:t>do not exceed R537 918.37</w:t>
      </w:r>
      <w:r w:rsidR="00D47F21">
        <w:rPr>
          <w:rFonts w:ascii="Arial" w:hAnsi="Arial" w:cs="Arial"/>
          <w:iCs/>
        </w:rPr>
        <w:t xml:space="preserve"> given that the</w:t>
      </w:r>
      <w:r w:rsidR="003749D2">
        <w:rPr>
          <w:rFonts w:ascii="Arial" w:hAnsi="Arial" w:cs="Arial"/>
          <w:iCs/>
        </w:rPr>
        <w:t xml:space="preserve">y </w:t>
      </w:r>
      <w:r w:rsidR="00C4336C">
        <w:rPr>
          <w:rFonts w:ascii="Arial" w:hAnsi="Arial" w:cs="Arial"/>
          <w:iCs/>
        </w:rPr>
        <w:t>ostensibly</w:t>
      </w:r>
      <w:r w:rsidR="003749D2">
        <w:rPr>
          <w:rFonts w:ascii="Arial" w:hAnsi="Arial" w:cs="Arial"/>
          <w:iCs/>
        </w:rPr>
        <w:t xml:space="preserve"> </w:t>
      </w:r>
      <w:r w:rsidR="00D47F21">
        <w:rPr>
          <w:rFonts w:ascii="Arial" w:hAnsi="Arial" w:cs="Arial"/>
          <w:iCs/>
        </w:rPr>
        <w:t>amount to approximately R20 000.00 per month.</w:t>
      </w:r>
    </w:p>
    <w:p w:rsidR="001A6F71" w:rsidRDefault="001A6F71" w:rsidP="000A1DD1">
      <w:pPr>
        <w:spacing w:after="240" w:line="480" w:lineRule="auto"/>
        <w:ind w:left="720" w:hanging="720"/>
        <w:jc w:val="both"/>
        <w:rPr>
          <w:rFonts w:ascii="Arial" w:hAnsi="Arial" w:cs="Arial"/>
          <w:iCs/>
        </w:rPr>
      </w:pPr>
      <w:r>
        <w:rPr>
          <w:rFonts w:ascii="Arial" w:hAnsi="Arial" w:cs="Arial"/>
          <w:iCs/>
        </w:rPr>
        <w:t>[39]</w:t>
      </w:r>
      <w:r>
        <w:rPr>
          <w:rFonts w:ascii="Arial" w:hAnsi="Arial" w:cs="Arial"/>
          <w:iCs/>
        </w:rPr>
        <w:tab/>
        <w:t>Mindful of the principles set forth in judgments of</w:t>
      </w:r>
      <w:r w:rsidRPr="0022176C">
        <w:rPr>
          <w:rFonts w:ascii="Arial" w:hAnsi="Arial" w:cs="Arial"/>
          <w:b/>
          <w:bCs/>
          <w:i/>
          <w:iCs/>
        </w:rPr>
        <w:t xml:space="preserve"> </w:t>
      </w:r>
      <w:proofErr w:type="spellStart"/>
      <w:r>
        <w:rPr>
          <w:rFonts w:ascii="Arial" w:hAnsi="Arial" w:cs="Arial"/>
          <w:b/>
          <w:bCs/>
          <w:i/>
          <w:iCs/>
        </w:rPr>
        <w:t>Ngqumba</w:t>
      </w:r>
      <w:proofErr w:type="spellEnd"/>
      <w:r>
        <w:rPr>
          <w:rFonts w:ascii="Arial" w:hAnsi="Arial" w:cs="Arial"/>
          <w:b/>
          <w:bCs/>
          <w:i/>
          <w:iCs/>
        </w:rPr>
        <w:t xml:space="preserve"> </w:t>
      </w:r>
      <w:proofErr w:type="spellStart"/>
      <w:r>
        <w:rPr>
          <w:rFonts w:ascii="Arial" w:hAnsi="Arial" w:cs="Arial"/>
          <w:b/>
          <w:bCs/>
          <w:i/>
          <w:iCs/>
        </w:rPr>
        <w:t>en</w:t>
      </w:r>
      <w:proofErr w:type="spellEnd"/>
      <w:r>
        <w:rPr>
          <w:rFonts w:ascii="Arial" w:hAnsi="Arial" w:cs="Arial"/>
          <w:b/>
          <w:bCs/>
          <w:i/>
          <w:iCs/>
        </w:rPr>
        <w:t xml:space="preserve"> ‘n Ander </w:t>
      </w:r>
      <w:r w:rsidRPr="0022176C">
        <w:rPr>
          <w:rFonts w:ascii="Arial" w:hAnsi="Arial" w:cs="Arial"/>
        </w:rPr>
        <w:t xml:space="preserve">in paragraph 17 above and </w:t>
      </w:r>
      <w:r>
        <w:rPr>
          <w:rFonts w:ascii="Arial" w:hAnsi="Arial" w:cs="Arial"/>
          <w:b/>
          <w:bCs/>
          <w:i/>
          <w:iCs/>
        </w:rPr>
        <w:t>Euphorbia (Pty) Ltd t/a Gallagher Estate</w:t>
      </w:r>
      <w:r>
        <w:rPr>
          <w:rFonts w:ascii="Arial" w:hAnsi="Arial" w:cs="Arial"/>
          <w:iCs/>
        </w:rPr>
        <w:t xml:space="preserve"> in paragraph 18 above, the respondent has unavoidably failed to discharge the onus’s which it bears </w:t>
      </w:r>
      <w:r>
        <w:rPr>
          <w:rFonts w:ascii="Arial" w:hAnsi="Arial" w:cs="Arial"/>
        </w:rPr>
        <w:t xml:space="preserve">in alleging and proving a defence and placing evidence before the </w:t>
      </w:r>
      <w:r w:rsidR="00153835">
        <w:rPr>
          <w:rFonts w:ascii="Arial" w:hAnsi="Arial" w:cs="Arial"/>
        </w:rPr>
        <w:t>court</w:t>
      </w:r>
      <w:r>
        <w:rPr>
          <w:rFonts w:ascii="Arial" w:hAnsi="Arial" w:cs="Arial"/>
        </w:rPr>
        <w:t xml:space="preserve"> evidencing </w:t>
      </w:r>
      <w:r>
        <w:rPr>
          <w:rFonts w:ascii="Arial" w:hAnsi="Arial" w:cs="Arial"/>
          <w:iCs/>
        </w:rPr>
        <w:t>the “</w:t>
      </w:r>
      <w:r w:rsidRPr="00C87336">
        <w:rPr>
          <w:rFonts w:ascii="Arial" w:hAnsi="Arial" w:cs="Arial"/>
          <w:b/>
          <w:bCs/>
          <w:i/>
          <w:iCs/>
          <w:color w:val="242121"/>
          <w:lang w:val="en-GB"/>
        </w:rPr>
        <w:t>correctness of its meters, the measurements of water consumption and statements of account rendered pursuant thereto.</w:t>
      </w:r>
      <w:r>
        <w:rPr>
          <w:rFonts w:ascii="Arial" w:hAnsi="Arial" w:cs="Arial"/>
          <w:b/>
          <w:bCs/>
          <w:i/>
          <w:iCs/>
          <w:color w:val="242121"/>
          <w:lang w:val="en-GB"/>
        </w:rPr>
        <w:t>”</w:t>
      </w:r>
    </w:p>
    <w:p w:rsidR="00D44463" w:rsidRDefault="00D44463" w:rsidP="0012349C">
      <w:pPr>
        <w:spacing w:after="240" w:line="480" w:lineRule="auto"/>
        <w:ind w:left="720" w:hanging="720"/>
        <w:jc w:val="both"/>
        <w:rPr>
          <w:rFonts w:ascii="Arial" w:hAnsi="Arial" w:cs="Arial"/>
          <w:iCs/>
        </w:rPr>
      </w:pPr>
      <w:r>
        <w:rPr>
          <w:rFonts w:ascii="Arial" w:hAnsi="Arial" w:cs="Arial"/>
          <w:iCs/>
        </w:rPr>
        <w:t>[</w:t>
      </w:r>
      <w:r w:rsidR="001A6F71">
        <w:rPr>
          <w:rFonts w:ascii="Arial" w:hAnsi="Arial" w:cs="Arial"/>
          <w:iCs/>
        </w:rPr>
        <w:t>40</w:t>
      </w:r>
      <w:r>
        <w:rPr>
          <w:rFonts w:ascii="Arial" w:hAnsi="Arial" w:cs="Arial"/>
          <w:iCs/>
        </w:rPr>
        <w:t>]</w:t>
      </w:r>
      <w:r w:rsidR="001E7952">
        <w:rPr>
          <w:rFonts w:ascii="Arial" w:hAnsi="Arial" w:cs="Arial"/>
          <w:iCs/>
        </w:rPr>
        <w:tab/>
      </w:r>
      <w:r w:rsidR="0012349C">
        <w:rPr>
          <w:rFonts w:ascii="Arial" w:hAnsi="Arial" w:cs="Arial"/>
          <w:iCs/>
        </w:rPr>
        <w:t xml:space="preserve">The </w:t>
      </w:r>
      <w:r w:rsidR="001E7952">
        <w:rPr>
          <w:rFonts w:ascii="Arial" w:hAnsi="Arial" w:cs="Arial"/>
          <w:iCs/>
        </w:rPr>
        <w:t>respondent</w:t>
      </w:r>
      <w:r w:rsidR="0012349C">
        <w:rPr>
          <w:rFonts w:ascii="Arial" w:hAnsi="Arial" w:cs="Arial"/>
          <w:iCs/>
        </w:rPr>
        <w:t xml:space="preserve"> reliance upon </w:t>
      </w:r>
      <w:r w:rsidR="001E7952">
        <w:rPr>
          <w:rFonts w:ascii="Arial" w:hAnsi="Arial" w:cs="Arial"/>
          <w:iCs/>
        </w:rPr>
        <w:t>the tax invoice and screenshot</w:t>
      </w:r>
      <w:r w:rsidR="0012349C">
        <w:rPr>
          <w:rFonts w:ascii="Arial" w:hAnsi="Arial" w:cs="Arial"/>
          <w:iCs/>
        </w:rPr>
        <w:t>,</w:t>
      </w:r>
      <w:r w:rsidR="003563E6">
        <w:rPr>
          <w:rFonts w:ascii="Arial" w:hAnsi="Arial" w:cs="Arial"/>
          <w:iCs/>
        </w:rPr>
        <w:t xml:space="preserve"> as aforesaid</w:t>
      </w:r>
      <w:r w:rsidR="0012349C">
        <w:rPr>
          <w:rFonts w:ascii="Arial" w:hAnsi="Arial" w:cs="Arial"/>
          <w:iCs/>
        </w:rPr>
        <w:t>,</w:t>
      </w:r>
      <w:r w:rsidR="001E7952">
        <w:rPr>
          <w:rFonts w:ascii="Arial" w:hAnsi="Arial" w:cs="Arial"/>
          <w:iCs/>
        </w:rPr>
        <w:t xml:space="preserve"> </w:t>
      </w:r>
      <w:r w:rsidR="00C4336C">
        <w:rPr>
          <w:rFonts w:ascii="Arial" w:hAnsi="Arial" w:cs="Arial"/>
          <w:iCs/>
        </w:rPr>
        <w:t>can</w:t>
      </w:r>
      <w:r w:rsidR="0012349C">
        <w:rPr>
          <w:rFonts w:ascii="Arial" w:hAnsi="Arial" w:cs="Arial"/>
          <w:iCs/>
        </w:rPr>
        <w:t xml:space="preserve"> therefore not assist it in its </w:t>
      </w:r>
      <w:r w:rsidR="003563E6">
        <w:rPr>
          <w:rFonts w:ascii="Arial" w:hAnsi="Arial" w:cs="Arial"/>
          <w:iCs/>
        </w:rPr>
        <w:t xml:space="preserve">attempted </w:t>
      </w:r>
      <w:r w:rsidR="003749D2">
        <w:rPr>
          <w:rFonts w:ascii="Arial" w:hAnsi="Arial" w:cs="Arial"/>
          <w:iCs/>
        </w:rPr>
        <w:t>resistance of the present application</w:t>
      </w:r>
      <w:r w:rsidR="001E7952">
        <w:rPr>
          <w:rFonts w:ascii="Arial" w:hAnsi="Arial" w:cs="Arial"/>
          <w:iCs/>
        </w:rPr>
        <w:t xml:space="preserve">.  The respondent’s pre-termination notice reflects the purported indebtedness of the applicant to the respondent as at </w:t>
      </w:r>
      <w:r w:rsidR="003563E6">
        <w:rPr>
          <w:rFonts w:ascii="Arial" w:hAnsi="Arial" w:cs="Arial"/>
          <w:iCs/>
        </w:rPr>
        <w:t>25</w:t>
      </w:r>
      <w:r w:rsidR="001E7952">
        <w:rPr>
          <w:rFonts w:ascii="Arial" w:hAnsi="Arial" w:cs="Arial"/>
          <w:iCs/>
        </w:rPr>
        <w:t xml:space="preserve"> October 2022 in the amount of R7 576 720.28.  There is no evidence before me which illustrates the manner in which </w:t>
      </w:r>
      <w:r w:rsidR="00D47F21">
        <w:rPr>
          <w:rFonts w:ascii="Arial" w:hAnsi="Arial" w:cs="Arial"/>
          <w:iCs/>
        </w:rPr>
        <w:t>said</w:t>
      </w:r>
      <w:r w:rsidR="001E7952">
        <w:rPr>
          <w:rFonts w:ascii="Arial" w:hAnsi="Arial" w:cs="Arial"/>
          <w:iCs/>
        </w:rPr>
        <w:t xml:space="preserve"> amount calculated</w:t>
      </w:r>
      <w:r w:rsidR="001A6F71">
        <w:rPr>
          <w:rFonts w:ascii="Arial" w:hAnsi="Arial" w:cs="Arial"/>
          <w:iCs/>
        </w:rPr>
        <w:t xml:space="preserve"> by the respondent</w:t>
      </w:r>
      <w:r w:rsidR="00C4336C">
        <w:rPr>
          <w:rFonts w:ascii="Arial" w:hAnsi="Arial" w:cs="Arial"/>
          <w:iCs/>
        </w:rPr>
        <w:t xml:space="preserve"> and its</w:t>
      </w:r>
      <w:r w:rsidR="005E5FDE">
        <w:rPr>
          <w:rFonts w:ascii="Arial" w:hAnsi="Arial" w:cs="Arial"/>
          <w:iCs/>
        </w:rPr>
        <w:t xml:space="preserve"> allocation</w:t>
      </w:r>
      <w:r w:rsidR="005E5FDE" w:rsidRPr="005E5FDE">
        <w:rPr>
          <w:rFonts w:ascii="Arial" w:hAnsi="Arial" w:cs="Arial"/>
          <w:iCs/>
        </w:rPr>
        <w:t xml:space="preserve"> </w:t>
      </w:r>
      <w:r w:rsidR="005E5FDE">
        <w:rPr>
          <w:rFonts w:ascii="Arial" w:hAnsi="Arial" w:cs="Arial"/>
          <w:iCs/>
        </w:rPr>
        <w:t>of the amount of R537 918.37 is in contravention of section 102 of the MSA.   O</w:t>
      </w:r>
      <w:r w:rsidR="00D47F21">
        <w:rPr>
          <w:rFonts w:ascii="Arial" w:hAnsi="Arial" w:cs="Arial"/>
          <w:iCs/>
        </w:rPr>
        <w:t xml:space="preserve">n the papers before me, </w:t>
      </w:r>
      <w:r w:rsidR="005E5FDE">
        <w:rPr>
          <w:rFonts w:ascii="Arial" w:hAnsi="Arial" w:cs="Arial"/>
          <w:iCs/>
        </w:rPr>
        <w:t xml:space="preserve">I </w:t>
      </w:r>
      <w:r w:rsidR="00D47F21">
        <w:rPr>
          <w:rFonts w:ascii="Arial" w:hAnsi="Arial" w:cs="Arial"/>
          <w:iCs/>
        </w:rPr>
        <w:t xml:space="preserve">accordingly find that the applicant has made payment of </w:t>
      </w:r>
      <w:r w:rsidR="003749D2">
        <w:rPr>
          <w:rFonts w:ascii="Arial" w:hAnsi="Arial" w:cs="Arial"/>
          <w:iCs/>
        </w:rPr>
        <w:t>its</w:t>
      </w:r>
      <w:r w:rsidR="00D47F21">
        <w:rPr>
          <w:rFonts w:ascii="Arial" w:hAnsi="Arial" w:cs="Arial"/>
          <w:iCs/>
        </w:rPr>
        <w:t xml:space="preserve"> undisputed charges to the respondent</w:t>
      </w:r>
      <w:r w:rsidR="00604790">
        <w:rPr>
          <w:rFonts w:ascii="Arial" w:hAnsi="Arial" w:cs="Arial"/>
          <w:iCs/>
        </w:rPr>
        <w:t xml:space="preserve"> and discharged the onus which rests upon it in this regard</w:t>
      </w:r>
      <w:r w:rsidR="00484A20">
        <w:rPr>
          <w:rFonts w:ascii="Arial" w:hAnsi="Arial" w:cs="Arial"/>
          <w:iCs/>
        </w:rPr>
        <w:t>.</w:t>
      </w:r>
    </w:p>
    <w:p w:rsidR="00484A20" w:rsidRPr="00484A20" w:rsidRDefault="00484A20" w:rsidP="00484A20">
      <w:pPr>
        <w:pStyle w:val="Heading3"/>
      </w:pPr>
      <w:r>
        <w:t>CONCLUSION</w:t>
      </w:r>
    </w:p>
    <w:p w:rsidR="00BD3088" w:rsidRDefault="00D44463" w:rsidP="00BD3088">
      <w:pPr>
        <w:spacing w:after="240" w:line="480" w:lineRule="auto"/>
        <w:ind w:left="720" w:hanging="720"/>
        <w:jc w:val="both"/>
        <w:rPr>
          <w:rFonts w:ascii="Arial" w:hAnsi="Arial" w:cs="Arial"/>
          <w:iCs/>
        </w:rPr>
      </w:pPr>
      <w:r>
        <w:rPr>
          <w:rFonts w:ascii="Arial" w:hAnsi="Arial" w:cs="Arial"/>
          <w:iCs/>
        </w:rPr>
        <w:t>[</w:t>
      </w:r>
      <w:r w:rsidR="0012349C">
        <w:rPr>
          <w:rFonts w:ascii="Arial" w:hAnsi="Arial" w:cs="Arial"/>
          <w:iCs/>
        </w:rPr>
        <w:t>41</w:t>
      </w:r>
      <w:r>
        <w:rPr>
          <w:rFonts w:ascii="Arial" w:hAnsi="Arial" w:cs="Arial"/>
          <w:iCs/>
        </w:rPr>
        <w:t>]</w:t>
      </w:r>
      <w:r w:rsidR="00484A20">
        <w:rPr>
          <w:rFonts w:ascii="Arial" w:hAnsi="Arial" w:cs="Arial"/>
          <w:iCs/>
        </w:rPr>
        <w:tab/>
      </w:r>
      <w:r w:rsidR="00DD4AF2">
        <w:rPr>
          <w:rFonts w:ascii="Arial" w:hAnsi="Arial" w:cs="Arial"/>
          <w:iCs/>
        </w:rPr>
        <w:t xml:space="preserve">I </w:t>
      </w:r>
      <w:r w:rsidR="00484A20">
        <w:rPr>
          <w:rFonts w:ascii="Arial" w:hAnsi="Arial" w:cs="Arial"/>
          <w:iCs/>
        </w:rPr>
        <w:t xml:space="preserve">am satisfied that the applicant has made out a case for the relief that it seeks </w:t>
      </w:r>
      <w:r w:rsidR="003749D2">
        <w:rPr>
          <w:rFonts w:ascii="Arial" w:hAnsi="Arial" w:cs="Arial"/>
          <w:iCs/>
        </w:rPr>
        <w:t xml:space="preserve">by of Part B of </w:t>
      </w:r>
      <w:r w:rsidR="00484A20">
        <w:rPr>
          <w:rFonts w:ascii="Arial" w:hAnsi="Arial" w:cs="Arial"/>
          <w:iCs/>
        </w:rPr>
        <w:t>the notice of motion.  The relief sought in p</w:t>
      </w:r>
      <w:r w:rsidR="00BD3088">
        <w:rPr>
          <w:rFonts w:ascii="Arial" w:hAnsi="Arial" w:cs="Arial"/>
          <w:iCs/>
        </w:rPr>
        <w:t>rayer</w:t>
      </w:r>
      <w:r w:rsidR="00484A20">
        <w:rPr>
          <w:rFonts w:ascii="Arial" w:hAnsi="Arial" w:cs="Arial"/>
          <w:iCs/>
        </w:rPr>
        <w:t xml:space="preserve"> 2 </w:t>
      </w:r>
      <w:r w:rsidR="00BD3088">
        <w:rPr>
          <w:rFonts w:ascii="Arial" w:hAnsi="Arial" w:cs="Arial"/>
          <w:iCs/>
        </w:rPr>
        <w:t xml:space="preserve">of the notice of motion </w:t>
      </w:r>
      <w:r w:rsidR="00484A20">
        <w:rPr>
          <w:rFonts w:ascii="Arial" w:hAnsi="Arial" w:cs="Arial"/>
          <w:iCs/>
        </w:rPr>
        <w:t>follows</w:t>
      </w:r>
      <w:r w:rsidR="00153835">
        <w:rPr>
          <w:rFonts w:ascii="Arial" w:hAnsi="Arial" w:cs="Arial"/>
          <w:iCs/>
        </w:rPr>
        <w:t xml:space="preserve"> by operation of law</w:t>
      </w:r>
      <w:r w:rsidR="00484A20">
        <w:rPr>
          <w:rFonts w:ascii="Arial" w:hAnsi="Arial" w:cs="Arial"/>
          <w:iCs/>
        </w:rPr>
        <w:t xml:space="preserve"> and </w:t>
      </w:r>
      <w:r w:rsidR="00EA3C36">
        <w:rPr>
          <w:rFonts w:ascii="Arial" w:hAnsi="Arial" w:cs="Arial"/>
          <w:iCs/>
        </w:rPr>
        <w:t>the</w:t>
      </w:r>
      <w:r w:rsidR="003749D2">
        <w:rPr>
          <w:rFonts w:ascii="Arial" w:hAnsi="Arial" w:cs="Arial"/>
          <w:iCs/>
        </w:rPr>
        <w:t xml:space="preserve">re </w:t>
      </w:r>
      <w:r w:rsidR="00604790">
        <w:rPr>
          <w:rFonts w:ascii="Arial" w:hAnsi="Arial" w:cs="Arial"/>
          <w:iCs/>
        </w:rPr>
        <w:t>is</w:t>
      </w:r>
      <w:r w:rsidR="003749D2">
        <w:rPr>
          <w:rFonts w:ascii="Arial" w:hAnsi="Arial" w:cs="Arial"/>
          <w:iCs/>
        </w:rPr>
        <w:t xml:space="preserve"> </w:t>
      </w:r>
      <w:r w:rsidR="00BD3088">
        <w:rPr>
          <w:rFonts w:ascii="Arial" w:hAnsi="Arial" w:cs="Arial"/>
          <w:iCs/>
        </w:rPr>
        <w:t xml:space="preserve">no </w:t>
      </w:r>
      <w:r w:rsidR="00484A20">
        <w:rPr>
          <w:rFonts w:ascii="Arial" w:hAnsi="Arial" w:cs="Arial"/>
          <w:iCs/>
        </w:rPr>
        <w:t xml:space="preserve">need </w:t>
      </w:r>
      <w:r w:rsidR="00EA3C36">
        <w:rPr>
          <w:rFonts w:ascii="Arial" w:hAnsi="Arial" w:cs="Arial"/>
          <w:iCs/>
        </w:rPr>
        <w:t xml:space="preserve">for </w:t>
      </w:r>
      <w:r w:rsidR="00484A20">
        <w:rPr>
          <w:rFonts w:ascii="Arial" w:hAnsi="Arial" w:cs="Arial"/>
          <w:iCs/>
        </w:rPr>
        <w:t>an order</w:t>
      </w:r>
      <w:r w:rsidR="00EA3C36">
        <w:rPr>
          <w:rFonts w:ascii="Arial" w:hAnsi="Arial" w:cs="Arial"/>
          <w:iCs/>
        </w:rPr>
        <w:t xml:space="preserve"> </w:t>
      </w:r>
      <w:r w:rsidR="00604790">
        <w:rPr>
          <w:rFonts w:ascii="Arial" w:hAnsi="Arial" w:cs="Arial"/>
          <w:iCs/>
        </w:rPr>
        <w:t>on this score</w:t>
      </w:r>
      <w:r w:rsidR="00484A20">
        <w:rPr>
          <w:rFonts w:ascii="Arial" w:hAnsi="Arial" w:cs="Arial"/>
          <w:iCs/>
        </w:rPr>
        <w:t>.</w:t>
      </w:r>
      <w:r w:rsidR="00EA3C36">
        <w:rPr>
          <w:rFonts w:ascii="Arial" w:hAnsi="Arial" w:cs="Arial"/>
          <w:iCs/>
        </w:rPr>
        <w:t xml:space="preserve"> </w:t>
      </w:r>
      <w:r w:rsidR="003749D2">
        <w:rPr>
          <w:rFonts w:ascii="Arial" w:hAnsi="Arial" w:cs="Arial"/>
          <w:iCs/>
        </w:rPr>
        <w:t xml:space="preserve">Given the subsequent reconnection of the </w:t>
      </w:r>
      <w:r w:rsidR="00BD3088">
        <w:rPr>
          <w:rFonts w:ascii="Arial" w:hAnsi="Arial" w:cs="Arial"/>
          <w:iCs/>
        </w:rPr>
        <w:t>municipal electrical services to the property, an order in accordance with prayer 2 of the notice of motion is</w:t>
      </w:r>
      <w:r w:rsidR="00C4336C">
        <w:rPr>
          <w:rFonts w:ascii="Arial" w:hAnsi="Arial" w:cs="Arial"/>
          <w:iCs/>
        </w:rPr>
        <w:t xml:space="preserve"> also</w:t>
      </w:r>
      <w:r w:rsidR="00BD3088">
        <w:rPr>
          <w:rFonts w:ascii="Arial" w:hAnsi="Arial" w:cs="Arial"/>
          <w:iCs/>
        </w:rPr>
        <w:t xml:space="preserve"> unnecessary.</w:t>
      </w:r>
    </w:p>
    <w:p w:rsidR="00BD3088" w:rsidRPr="00484A20" w:rsidRDefault="00BD3088" w:rsidP="000A1DD1">
      <w:pPr>
        <w:spacing w:after="240" w:line="480" w:lineRule="auto"/>
        <w:ind w:left="720" w:hanging="720"/>
        <w:jc w:val="both"/>
        <w:rPr>
          <w:rFonts w:ascii="Arial" w:hAnsi="Arial" w:cs="Arial"/>
          <w:iCs/>
        </w:rPr>
      </w:pPr>
      <w:r>
        <w:rPr>
          <w:rFonts w:ascii="Arial" w:hAnsi="Arial" w:cs="Arial"/>
          <w:iCs/>
        </w:rPr>
        <w:t>[4</w:t>
      </w:r>
      <w:r w:rsidR="0012349C">
        <w:rPr>
          <w:rFonts w:ascii="Arial" w:hAnsi="Arial" w:cs="Arial"/>
          <w:iCs/>
        </w:rPr>
        <w:t>2</w:t>
      </w:r>
      <w:r>
        <w:rPr>
          <w:rFonts w:ascii="Arial" w:hAnsi="Arial" w:cs="Arial"/>
          <w:iCs/>
        </w:rPr>
        <w:t>]</w:t>
      </w:r>
      <w:r>
        <w:rPr>
          <w:rFonts w:ascii="Arial" w:hAnsi="Arial" w:cs="Arial"/>
          <w:iCs/>
        </w:rPr>
        <w:tab/>
        <w:t>The exists no valid reason(s) why costs should not follow the result</w:t>
      </w:r>
      <w:r w:rsidR="00153835">
        <w:rPr>
          <w:rFonts w:ascii="Arial" w:hAnsi="Arial" w:cs="Arial"/>
          <w:iCs/>
        </w:rPr>
        <w:t>, which includes the cost</w:t>
      </w:r>
      <w:r w:rsidR="00D85E38">
        <w:rPr>
          <w:rFonts w:ascii="Arial" w:hAnsi="Arial" w:cs="Arial"/>
          <w:iCs/>
        </w:rPr>
        <w:t>s</w:t>
      </w:r>
      <w:r w:rsidR="00153835">
        <w:rPr>
          <w:rFonts w:ascii="Arial" w:hAnsi="Arial" w:cs="Arial"/>
          <w:iCs/>
        </w:rPr>
        <w:t xml:space="preserve"> of 2 December 2022.</w:t>
      </w:r>
    </w:p>
    <w:p w:rsidR="001A6F71" w:rsidRDefault="001A6F71" w:rsidP="00152779">
      <w:pPr>
        <w:spacing w:after="240" w:line="480" w:lineRule="auto"/>
        <w:ind w:left="720" w:hanging="720"/>
        <w:jc w:val="both"/>
        <w:rPr>
          <w:rFonts w:ascii="Arial" w:hAnsi="Arial" w:cs="Arial"/>
          <w:iCs/>
          <w:u w:val="single"/>
        </w:rPr>
      </w:pPr>
    </w:p>
    <w:p w:rsidR="001A6F71" w:rsidRDefault="001A6F71" w:rsidP="00152779">
      <w:pPr>
        <w:spacing w:after="240" w:line="480" w:lineRule="auto"/>
        <w:ind w:left="720" w:hanging="720"/>
        <w:jc w:val="both"/>
        <w:rPr>
          <w:rFonts w:ascii="Arial" w:hAnsi="Arial" w:cs="Arial"/>
          <w:iCs/>
          <w:u w:val="single"/>
        </w:rPr>
      </w:pPr>
    </w:p>
    <w:p w:rsidR="003B10CF" w:rsidRPr="00394F5A" w:rsidRDefault="00AC7946" w:rsidP="00152779">
      <w:pPr>
        <w:spacing w:after="240" w:line="480" w:lineRule="auto"/>
        <w:ind w:left="720" w:hanging="720"/>
        <w:jc w:val="both"/>
        <w:rPr>
          <w:rFonts w:ascii="Arial" w:hAnsi="Arial" w:cs="Arial"/>
          <w:iCs/>
        </w:rPr>
      </w:pPr>
      <w:r w:rsidRPr="00394F5A">
        <w:rPr>
          <w:rFonts w:ascii="Arial" w:hAnsi="Arial" w:cs="Arial"/>
          <w:iCs/>
          <w:u w:val="single"/>
        </w:rPr>
        <w:t>ACCORDINGLY, I MAKE THE FOLLOWING ORDER</w:t>
      </w:r>
      <w:r w:rsidRPr="00394F5A">
        <w:rPr>
          <w:rFonts w:ascii="Arial" w:hAnsi="Arial" w:cs="Arial"/>
          <w:iCs/>
        </w:rPr>
        <w:t>:</w:t>
      </w:r>
    </w:p>
    <w:p w:rsidR="00AC7946" w:rsidRPr="00394F5A" w:rsidRDefault="00484A20" w:rsidP="00AC7946">
      <w:pPr>
        <w:pStyle w:val="ListParagraph"/>
        <w:numPr>
          <w:ilvl w:val="0"/>
          <w:numId w:val="34"/>
        </w:numPr>
        <w:spacing w:after="240" w:line="480" w:lineRule="auto"/>
        <w:ind w:hanging="720"/>
        <w:jc w:val="both"/>
        <w:rPr>
          <w:rFonts w:ascii="Arial" w:hAnsi="Arial" w:cs="Arial"/>
          <w:iCs/>
        </w:rPr>
      </w:pPr>
      <w:r>
        <w:rPr>
          <w:rFonts w:ascii="Arial" w:hAnsi="Arial" w:cs="Arial"/>
          <w:iCs/>
        </w:rPr>
        <w:t xml:space="preserve">It is declared that the respondent’s conduct in disconnecting </w:t>
      </w:r>
      <w:r w:rsidR="005E5FDE">
        <w:rPr>
          <w:rFonts w:ascii="Arial" w:hAnsi="Arial" w:cs="Arial"/>
          <w:iCs/>
        </w:rPr>
        <w:t>the municipal electrical services</w:t>
      </w:r>
      <w:r>
        <w:rPr>
          <w:rFonts w:ascii="Arial" w:hAnsi="Arial" w:cs="Arial"/>
          <w:iCs/>
        </w:rPr>
        <w:t xml:space="preserve"> on 1 December 2022 to the property described as Erf 12637 Bloemfontein Extension 75 Township, </w:t>
      </w:r>
      <w:r w:rsidR="008603D9">
        <w:rPr>
          <w:rFonts w:ascii="Arial" w:hAnsi="Arial" w:cs="Arial"/>
          <w:iCs/>
        </w:rPr>
        <w:t>Registration Division Bloemfontein Road, Free State, with municipal account number 1002688351</w:t>
      </w:r>
      <w:r w:rsidR="00153835">
        <w:rPr>
          <w:rFonts w:ascii="Arial" w:hAnsi="Arial" w:cs="Arial"/>
          <w:iCs/>
        </w:rPr>
        <w:t>, is</w:t>
      </w:r>
      <w:r w:rsidR="008603D9">
        <w:rPr>
          <w:rFonts w:ascii="Arial" w:hAnsi="Arial" w:cs="Arial"/>
          <w:iCs/>
        </w:rPr>
        <w:t xml:space="preserve"> unlawful.</w:t>
      </w:r>
    </w:p>
    <w:p w:rsidR="00AC7946" w:rsidRPr="00394F5A" w:rsidRDefault="008603D9" w:rsidP="00AC7946">
      <w:pPr>
        <w:pStyle w:val="ListParagraph"/>
        <w:numPr>
          <w:ilvl w:val="0"/>
          <w:numId w:val="34"/>
        </w:numPr>
        <w:spacing w:after="240" w:line="480" w:lineRule="auto"/>
        <w:ind w:hanging="720"/>
        <w:jc w:val="both"/>
        <w:rPr>
          <w:rFonts w:ascii="Arial" w:hAnsi="Arial" w:cs="Arial"/>
          <w:iCs/>
        </w:rPr>
      </w:pPr>
      <w:r>
        <w:rPr>
          <w:rFonts w:ascii="Arial" w:hAnsi="Arial" w:cs="Arial"/>
          <w:iCs/>
        </w:rPr>
        <w:t>The respondent is to pay the costs of this application</w:t>
      </w:r>
      <w:r w:rsidR="00153835">
        <w:rPr>
          <w:rFonts w:ascii="Arial" w:hAnsi="Arial" w:cs="Arial"/>
          <w:iCs/>
        </w:rPr>
        <w:t>, including the costs of 2 December 2022</w:t>
      </w:r>
      <w:r>
        <w:rPr>
          <w:rFonts w:ascii="Arial" w:hAnsi="Arial" w:cs="Arial"/>
          <w:iCs/>
        </w:rPr>
        <w:t>.</w:t>
      </w:r>
    </w:p>
    <w:p w:rsidR="005F459C" w:rsidRPr="00394F5A" w:rsidRDefault="005F459C" w:rsidP="000C74F9">
      <w:pPr>
        <w:spacing w:line="480" w:lineRule="auto"/>
        <w:jc w:val="both"/>
        <w:rPr>
          <w:rFonts w:ascii="Arial" w:hAnsi="Arial" w:cs="Arial"/>
        </w:rPr>
      </w:pPr>
    </w:p>
    <w:p w:rsidR="006F6EDF" w:rsidRPr="00394F5A" w:rsidRDefault="006F6EDF" w:rsidP="001C4116">
      <w:pPr>
        <w:spacing w:line="360" w:lineRule="auto"/>
        <w:jc w:val="right"/>
        <w:rPr>
          <w:rFonts w:ascii="Arial" w:hAnsi="Arial" w:cs="Arial"/>
        </w:rPr>
      </w:pPr>
      <w:r w:rsidRPr="00394F5A">
        <w:rPr>
          <w:rFonts w:ascii="Arial" w:hAnsi="Arial" w:cs="Arial"/>
        </w:rPr>
        <w:t xml:space="preserve">________________________ </w:t>
      </w:r>
    </w:p>
    <w:p w:rsidR="006F6EDF" w:rsidRPr="00394F5A" w:rsidRDefault="00AC7946" w:rsidP="001C4116">
      <w:pPr>
        <w:spacing w:line="360" w:lineRule="auto"/>
        <w:jc w:val="right"/>
        <w:rPr>
          <w:rFonts w:ascii="Arial" w:hAnsi="Arial" w:cs="Arial"/>
          <w:b/>
          <w:bCs/>
        </w:rPr>
      </w:pPr>
      <w:r w:rsidRPr="00394F5A">
        <w:rPr>
          <w:rFonts w:ascii="Arial" w:hAnsi="Arial" w:cs="Arial"/>
          <w:b/>
          <w:bCs/>
        </w:rPr>
        <w:t>S. TSANGARAKIS</w:t>
      </w:r>
      <w:r w:rsidR="006F6EDF" w:rsidRPr="00394F5A">
        <w:rPr>
          <w:rFonts w:ascii="Arial" w:hAnsi="Arial" w:cs="Arial"/>
          <w:b/>
          <w:bCs/>
        </w:rPr>
        <w:t>, AJ</w:t>
      </w:r>
    </w:p>
    <w:p w:rsidR="00130C44" w:rsidRPr="00394F5A" w:rsidRDefault="00130C44" w:rsidP="001C4116">
      <w:pPr>
        <w:spacing w:line="360" w:lineRule="auto"/>
        <w:jc w:val="right"/>
        <w:rPr>
          <w:rFonts w:ascii="Arial" w:hAnsi="Arial" w:cs="Arial"/>
          <w:b/>
          <w:bCs/>
        </w:rPr>
      </w:pPr>
    </w:p>
    <w:p w:rsidR="00E77B9D" w:rsidRPr="00394F5A" w:rsidRDefault="00BA1EA6" w:rsidP="00897652">
      <w:pPr>
        <w:spacing w:line="360" w:lineRule="auto"/>
        <w:rPr>
          <w:rFonts w:ascii="Arial" w:hAnsi="Arial" w:cs="Arial"/>
        </w:rPr>
      </w:pPr>
      <w:r w:rsidRPr="00394F5A">
        <w:rPr>
          <w:rFonts w:ascii="Arial" w:hAnsi="Arial" w:cs="Arial"/>
        </w:rPr>
        <w:t xml:space="preserve">On behalf of the </w:t>
      </w:r>
      <w:r w:rsidR="00245D37" w:rsidRPr="00394F5A">
        <w:rPr>
          <w:rFonts w:ascii="Arial" w:hAnsi="Arial" w:cs="Arial"/>
        </w:rPr>
        <w:t>Applicant</w:t>
      </w:r>
      <w:r w:rsidR="00897652" w:rsidRPr="00394F5A">
        <w:rPr>
          <w:rFonts w:ascii="Arial" w:hAnsi="Arial" w:cs="Arial"/>
        </w:rPr>
        <w:t>:</w:t>
      </w:r>
      <w:r w:rsidRPr="00394F5A">
        <w:rPr>
          <w:rFonts w:ascii="Arial" w:hAnsi="Arial" w:cs="Arial"/>
        </w:rPr>
        <w:tab/>
      </w:r>
      <w:r w:rsidR="000C31C1" w:rsidRPr="00394F5A">
        <w:rPr>
          <w:rFonts w:ascii="Arial" w:hAnsi="Arial" w:cs="Arial"/>
        </w:rPr>
        <w:tab/>
      </w:r>
      <w:r w:rsidR="003D33BE" w:rsidRPr="00394F5A">
        <w:rPr>
          <w:rFonts w:ascii="Arial" w:hAnsi="Arial" w:cs="Arial"/>
        </w:rPr>
        <w:t>Adv</w:t>
      </w:r>
      <w:r w:rsidR="00B30A0C" w:rsidRPr="00394F5A">
        <w:rPr>
          <w:rFonts w:ascii="Arial" w:hAnsi="Arial" w:cs="Arial"/>
        </w:rPr>
        <w:t xml:space="preserve"> </w:t>
      </w:r>
      <w:r w:rsidR="008603D9">
        <w:rPr>
          <w:rFonts w:ascii="Arial" w:hAnsi="Arial" w:cs="Arial"/>
        </w:rPr>
        <w:t>H.J. Van der Merwe</w:t>
      </w:r>
    </w:p>
    <w:p w:rsidR="002642B8" w:rsidRPr="00821D6D" w:rsidRDefault="002642B8" w:rsidP="00821D6D">
      <w:pPr>
        <w:pStyle w:val="TableParagraph"/>
        <w:rPr>
          <w:rFonts w:ascii="Arial" w:hAnsi="Arial" w:cs="Arial"/>
        </w:rPr>
      </w:pPr>
    </w:p>
    <w:p w:rsidR="00B30A0C" w:rsidRPr="00394F5A" w:rsidRDefault="002642B8" w:rsidP="000C31C1">
      <w:pPr>
        <w:rPr>
          <w:rFonts w:ascii="Arial" w:hAnsi="Arial" w:cs="Arial"/>
        </w:rPr>
      </w:pP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t>Instructed by:</w:t>
      </w:r>
      <w:r w:rsidR="00C95FC6" w:rsidRPr="00394F5A">
        <w:rPr>
          <w:rFonts w:ascii="Arial" w:hAnsi="Arial" w:cs="Arial"/>
        </w:rPr>
        <w:tab/>
      </w:r>
      <w:r w:rsidR="008603D9">
        <w:rPr>
          <w:rFonts w:ascii="Arial" w:hAnsi="Arial" w:cs="Arial"/>
        </w:rPr>
        <w:t>Jacobs Fourie Attorneys</w:t>
      </w:r>
    </w:p>
    <w:p w:rsidR="00B30A0C" w:rsidRPr="00394F5A" w:rsidRDefault="00B30A0C" w:rsidP="00B30A0C">
      <w:pPr>
        <w:rPr>
          <w:rFonts w:ascii="Arial" w:hAnsi="Arial" w:cs="Arial"/>
        </w:rPr>
      </w:pP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008603D9">
        <w:rPr>
          <w:rFonts w:ascii="Arial" w:hAnsi="Arial" w:cs="Arial"/>
        </w:rPr>
        <w:t>Bloemfontein</w:t>
      </w:r>
    </w:p>
    <w:p w:rsidR="00BA1EA6" w:rsidRPr="00394F5A" w:rsidRDefault="00BA1EA6" w:rsidP="001C4116">
      <w:pPr>
        <w:spacing w:line="360" w:lineRule="auto"/>
        <w:rPr>
          <w:rFonts w:ascii="Arial" w:hAnsi="Arial" w:cs="Arial"/>
        </w:rPr>
      </w:pPr>
    </w:p>
    <w:p w:rsidR="00AC7FAC" w:rsidRPr="00394F5A" w:rsidRDefault="00BA1EA6" w:rsidP="000C31C1">
      <w:pPr>
        <w:spacing w:line="360" w:lineRule="auto"/>
        <w:rPr>
          <w:rFonts w:ascii="Arial" w:hAnsi="Arial" w:cs="Arial"/>
        </w:rPr>
      </w:pPr>
      <w:r w:rsidRPr="00394F5A">
        <w:rPr>
          <w:rFonts w:ascii="Arial" w:hAnsi="Arial" w:cs="Arial"/>
        </w:rPr>
        <w:t xml:space="preserve">On behalf of the </w:t>
      </w:r>
      <w:r w:rsidR="00245D37" w:rsidRPr="00394F5A">
        <w:rPr>
          <w:rFonts w:ascii="Arial" w:hAnsi="Arial" w:cs="Arial"/>
        </w:rPr>
        <w:t>Respondent</w:t>
      </w:r>
      <w:r w:rsidRPr="00394F5A">
        <w:rPr>
          <w:rFonts w:ascii="Arial" w:hAnsi="Arial" w:cs="Arial"/>
        </w:rPr>
        <w:t>:</w:t>
      </w:r>
      <w:r w:rsidR="00A33876" w:rsidRPr="00394F5A">
        <w:rPr>
          <w:rFonts w:ascii="Arial" w:hAnsi="Arial" w:cs="Arial"/>
        </w:rPr>
        <w:t xml:space="preserve"> </w:t>
      </w:r>
      <w:r w:rsidR="00C95FC6" w:rsidRPr="00394F5A">
        <w:rPr>
          <w:rFonts w:ascii="Arial" w:hAnsi="Arial" w:cs="Arial"/>
        </w:rPr>
        <w:tab/>
      </w:r>
      <w:r w:rsidR="000C31C1" w:rsidRPr="00394F5A">
        <w:rPr>
          <w:rFonts w:ascii="Arial" w:hAnsi="Arial" w:cs="Arial"/>
        </w:rPr>
        <w:t xml:space="preserve">Adv </w:t>
      </w:r>
      <w:r w:rsidR="008603D9">
        <w:rPr>
          <w:rFonts w:ascii="Arial" w:hAnsi="Arial" w:cs="Arial"/>
        </w:rPr>
        <w:t>J.J. Buys</w:t>
      </w:r>
    </w:p>
    <w:p w:rsidR="002642B8" w:rsidRPr="00821D6D" w:rsidRDefault="002642B8" w:rsidP="00821D6D">
      <w:pPr>
        <w:pStyle w:val="TableParagraph"/>
        <w:rPr>
          <w:rFonts w:ascii="Arial" w:hAnsi="Arial" w:cs="Arial"/>
        </w:rPr>
      </w:pPr>
    </w:p>
    <w:p w:rsidR="00821D6D" w:rsidRPr="00394F5A" w:rsidRDefault="002642B8" w:rsidP="000C31C1">
      <w:pPr>
        <w:rPr>
          <w:rFonts w:ascii="Arial" w:hAnsi="Arial" w:cs="Arial"/>
        </w:rPr>
      </w:pP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t>Instructed by:</w:t>
      </w:r>
      <w:r w:rsidRPr="00394F5A">
        <w:rPr>
          <w:rFonts w:ascii="Arial" w:hAnsi="Arial" w:cs="Arial"/>
        </w:rPr>
        <w:tab/>
      </w:r>
      <w:proofErr w:type="spellStart"/>
      <w:r w:rsidR="00821D6D">
        <w:rPr>
          <w:rFonts w:ascii="Arial" w:hAnsi="Arial" w:cs="Arial"/>
        </w:rPr>
        <w:t>Rampai</w:t>
      </w:r>
      <w:proofErr w:type="spellEnd"/>
      <w:r w:rsidR="00821D6D">
        <w:rPr>
          <w:rFonts w:ascii="Arial" w:hAnsi="Arial" w:cs="Arial"/>
        </w:rPr>
        <w:t xml:space="preserve"> Attorneys</w:t>
      </w:r>
    </w:p>
    <w:p w:rsidR="00C44031" w:rsidRPr="00821D6D" w:rsidRDefault="000C31C1" w:rsidP="00AC7FAC">
      <w:pPr>
        <w:rPr>
          <w:rFonts w:ascii="Arial" w:hAnsi="Arial" w:cs="Arial"/>
        </w:rPr>
      </w:pP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Pr="00394F5A">
        <w:rPr>
          <w:rFonts w:ascii="Arial" w:hAnsi="Arial" w:cs="Arial"/>
        </w:rPr>
        <w:tab/>
      </w:r>
      <w:r w:rsidR="00821D6D">
        <w:rPr>
          <w:rFonts w:ascii="Arial" w:hAnsi="Arial" w:cs="Arial"/>
        </w:rPr>
        <w:t>Bloemfontein</w:t>
      </w:r>
    </w:p>
    <w:sectPr w:rsidR="00C44031" w:rsidRPr="00821D6D" w:rsidSect="00E57E73">
      <w:headerReference w:type="default" r:id="rId9"/>
      <w:footerReference w:type="default" r:id="rId10"/>
      <w:headerReference w:type="first" r:id="rId11"/>
      <w:footnotePr>
        <w:pos w:val="beneathText"/>
      </w:footnotePr>
      <w:endnotePr>
        <w:numFmt w:val="decimal"/>
      </w:endnotePr>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0C" w:rsidRDefault="000E760C" w:rsidP="00F404A4">
      <w:r>
        <w:separator/>
      </w:r>
    </w:p>
  </w:endnote>
  <w:endnote w:type="continuationSeparator" w:id="0">
    <w:p w:rsidR="000E760C" w:rsidRDefault="000E760C"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44" w:rsidRDefault="001D2844">
    <w:pPr>
      <w:pStyle w:val="Footer"/>
      <w:jc w:val="right"/>
    </w:pPr>
  </w:p>
  <w:p w:rsidR="001D2844" w:rsidRDefault="001D28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0C" w:rsidRDefault="000E760C" w:rsidP="00F404A4">
      <w:r>
        <w:separator/>
      </w:r>
    </w:p>
  </w:footnote>
  <w:footnote w:type="continuationSeparator" w:id="0">
    <w:p w:rsidR="000E760C" w:rsidRDefault="000E760C" w:rsidP="00F404A4">
      <w:r>
        <w:continuationSeparator/>
      </w:r>
    </w:p>
  </w:footnote>
  <w:footnote w:id="1">
    <w:p w:rsidR="008731F4" w:rsidRPr="00321F7F" w:rsidRDefault="008731F4" w:rsidP="008731F4">
      <w:pPr>
        <w:pStyle w:val="FootnoteText"/>
        <w:ind w:left="426" w:hanging="426"/>
        <w:rPr>
          <w:rFonts w:asciiTheme="minorHAnsi" w:hAnsiTheme="minorHAnsi" w:cstheme="minorHAnsi"/>
        </w:rPr>
      </w:pPr>
      <w:r w:rsidRPr="00321F7F">
        <w:rPr>
          <w:rStyle w:val="FootnoteReference"/>
          <w:rFonts w:asciiTheme="minorHAnsi" w:hAnsiTheme="minorHAnsi" w:cstheme="minorHAnsi"/>
        </w:rPr>
        <w:footnoteRef/>
      </w:r>
      <w:r w:rsidRPr="00321F7F">
        <w:rPr>
          <w:rFonts w:asciiTheme="minorHAnsi" w:hAnsiTheme="minorHAnsi" w:cstheme="minorHAnsi"/>
        </w:rPr>
        <w:t xml:space="preserve"> </w:t>
      </w:r>
      <w:r w:rsidRPr="00321F7F">
        <w:rPr>
          <w:rFonts w:asciiTheme="minorHAnsi" w:hAnsiTheme="minorHAnsi" w:cstheme="minorHAnsi"/>
        </w:rPr>
        <w:tab/>
      </w:r>
      <w:r w:rsidRPr="00321F7F">
        <w:rPr>
          <w:rFonts w:asciiTheme="minorHAnsi" w:hAnsiTheme="minorHAnsi" w:cstheme="minorHAnsi"/>
          <w:b/>
          <w:bCs/>
        </w:rPr>
        <w:t xml:space="preserve">Plascon-Evans Paints Ltd v Van Riebeeck Paints (Pty) Ltd </w:t>
      </w:r>
      <w:r w:rsidRPr="00321F7F">
        <w:rPr>
          <w:rFonts w:asciiTheme="minorHAnsi" w:hAnsiTheme="minorHAnsi" w:cstheme="minorHAnsi"/>
        </w:rPr>
        <w:t>1983 (3) SA 623 (A)</w:t>
      </w:r>
    </w:p>
  </w:footnote>
  <w:footnote w:id="2">
    <w:p w:rsidR="00394F5A" w:rsidRPr="00321F7F" w:rsidRDefault="00394F5A" w:rsidP="006415B6">
      <w:pPr>
        <w:pStyle w:val="FootnoteText"/>
        <w:ind w:left="426" w:hanging="426"/>
        <w:rPr>
          <w:rFonts w:asciiTheme="minorHAnsi" w:hAnsiTheme="minorHAnsi" w:cstheme="minorHAnsi"/>
          <w:sz w:val="18"/>
          <w:szCs w:val="18"/>
          <w:lang w:val="en-US"/>
        </w:rPr>
      </w:pPr>
      <w:r w:rsidRPr="00321F7F">
        <w:rPr>
          <w:rStyle w:val="FootnoteReference"/>
          <w:rFonts w:asciiTheme="minorHAnsi" w:hAnsiTheme="minorHAnsi" w:cstheme="minorHAnsi"/>
          <w:sz w:val="18"/>
          <w:szCs w:val="18"/>
        </w:rPr>
        <w:footnoteRef/>
      </w:r>
      <w:r w:rsidRPr="00321F7F">
        <w:rPr>
          <w:rFonts w:asciiTheme="minorHAnsi" w:hAnsiTheme="minorHAnsi" w:cstheme="minorHAnsi"/>
          <w:sz w:val="18"/>
          <w:szCs w:val="18"/>
        </w:rPr>
        <w:t xml:space="preserve"> </w:t>
      </w:r>
      <w:r w:rsidRPr="00321F7F">
        <w:rPr>
          <w:rFonts w:asciiTheme="minorHAnsi" w:hAnsiTheme="minorHAnsi" w:cstheme="minorHAnsi"/>
          <w:sz w:val="18"/>
          <w:szCs w:val="18"/>
          <w:lang w:val="en-US"/>
        </w:rPr>
        <w:tab/>
        <w:t>[2018] jol 40382 (NW).</w:t>
      </w:r>
    </w:p>
  </w:footnote>
  <w:footnote w:id="3">
    <w:p w:rsidR="00394F5A" w:rsidRPr="00321F7F" w:rsidRDefault="00394F5A" w:rsidP="006415B6">
      <w:pPr>
        <w:pStyle w:val="FootnoteText"/>
        <w:ind w:left="426" w:hanging="426"/>
        <w:rPr>
          <w:rFonts w:asciiTheme="minorHAnsi" w:hAnsiTheme="minorHAnsi" w:cstheme="minorHAnsi"/>
          <w:sz w:val="18"/>
          <w:szCs w:val="18"/>
          <w:lang w:val="en-US"/>
        </w:rPr>
      </w:pPr>
      <w:r w:rsidRPr="00321F7F">
        <w:rPr>
          <w:rStyle w:val="FootnoteReference"/>
          <w:rFonts w:asciiTheme="minorHAnsi" w:hAnsiTheme="minorHAnsi" w:cstheme="minorHAnsi"/>
          <w:sz w:val="18"/>
          <w:szCs w:val="18"/>
        </w:rPr>
        <w:footnoteRef/>
      </w:r>
      <w:r w:rsidRPr="00321F7F">
        <w:rPr>
          <w:rFonts w:asciiTheme="minorHAnsi" w:hAnsiTheme="minorHAnsi" w:cstheme="minorHAnsi"/>
          <w:sz w:val="18"/>
          <w:szCs w:val="18"/>
        </w:rPr>
        <w:t xml:space="preserve"> </w:t>
      </w:r>
      <w:r w:rsidRPr="00321F7F">
        <w:rPr>
          <w:rFonts w:asciiTheme="minorHAnsi" w:hAnsiTheme="minorHAnsi" w:cstheme="minorHAnsi"/>
          <w:sz w:val="18"/>
          <w:szCs w:val="18"/>
          <w:lang w:val="en-US"/>
        </w:rPr>
        <w:tab/>
        <w:t>2013 (4) SA 225 (CC).</w:t>
      </w:r>
    </w:p>
  </w:footnote>
  <w:footnote w:id="4">
    <w:p w:rsidR="006415B6" w:rsidRPr="00321F7F" w:rsidRDefault="006415B6" w:rsidP="006415B6">
      <w:pPr>
        <w:pStyle w:val="FootnoteText"/>
        <w:ind w:left="426" w:hanging="426"/>
        <w:rPr>
          <w:rFonts w:asciiTheme="minorHAnsi" w:hAnsiTheme="minorHAnsi" w:cstheme="minorHAnsi"/>
        </w:rPr>
      </w:pPr>
      <w:r w:rsidRPr="00321F7F">
        <w:rPr>
          <w:rStyle w:val="FootnoteReference"/>
          <w:rFonts w:asciiTheme="minorHAnsi" w:hAnsiTheme="minorHAnsi" w:cstheme="minorHAnsi"/>
        </w:rPr>
        <w:footnoteRef/>
      </w:r>
      <w:r w:rsidRPr="00321F7F">
        <w:rPr>
          <w:rFonts w:asciiTheme="minorHAnsi" w:hAnsiTheme="minorHAnsi" w:cstheme="minorHAnsi"/>
        </w:rPr>
        <w:t xml:space="preserve"> </w:t>
      </w:r>
      <w:r w:rsidRPr="00321F7F">
        <w:rPr>
          <w:rFonts w:asciiTheme="minorHAnsi" w:hAnsiTheme="minorHAnsi" w:cstheme="minorHAnsi"/>
        </w:rPr>
        <w:tab/>
      </w:r>
      <w:r w:rsidRPr="00321F7F">
        <w:rPr>
          <w:rFonts w:asciiTheme="minorHAnsi" w:hAnsiTheme="minorHAnsi" w:cstheme="minorHAnsi"/>
          <w:b/>
          <w:bCs/>
        </w:rPr>
        <w:t xml:space="preserve">Pillay v Krishna and Another </w:t>
      </w:r>
      <w:r w:rsidRPr="00321F7F">
        <w:rPr>
          <w:rFonts w:asciiTheme="minorHAnsi" w:hAnsiTheme="minorHAnsi" w:cstheme="minorHAnsi"/>
        </w:rPr>
        <w:t>1946 AD 946 at 955B.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913391"/>
      <w:docPartObj>
        <w:docPartGallery w:val="Page Numbers (Top of Page)"/>
        <w:docPartUnique/>
      </w:docPartObj>
    </w:sdtPr>
    <w:sdtEndPr>
      <w:rPr>
        <w:noProof/>
      </w:rPr>
    </w:sdtEndPr>
    <w:sdtContent>
      <w:p w:rsidR="001D2844" w:rsidRDefault="001D2844">
        <w:pPr>
          <w:pStyle w:val="Header"/>
          <w:jc w:val="right"/>
        </w:pPr>
        <w:r>
          <w:fldChar w:fldCharType="begin"/>
        </w:r>
        <w:r>
          <w:instrText xml:space="preserve"> PAGE   \* MERGEFORMAT </w:instrText>
        </w:r>
        <w:r>
          <w:fldChar w:fldCharType="separate"/>
        </w:r>
        <w:r w:rsidR="00420675">
          <w:rPr>
            <w:noProof/>
          </w:rPr>
          <w:t>21</w:t>
        </w:r>
        <w:r>
          <w:rPr>
            <w:noProof/>
          </w:rPr>
          <w:fldChar w:fldCharType="end"/>
        </w:r>
      </w:p>
    </w:sdtContent>
  </w:sdt>
  <w:p w:rsidR="001D2844" w:rsidRDefault="001D28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44" w:rsidRPr="008F7F70" w:rsidRDefault="001D2844"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F2"/>
    <w:multiLevelType w:val="multilevel"/>
    <w:tmpl w:val="FF76D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353E85"/>
    <w:multiLevelType w:val="hybridMultilevel"/>
    <w:tmpl w:val="20F4BC04"/>
    <w:lvl w:ilvl="0" w:tplc="CD7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931657"/>
    <w:multiLevelType w:val="hybridMultilevel"/>
    <w:tmpl w:val="562AF0BC"/>
    <w:lvl w:ilvl="0" w:tplc="61F44C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D7D8F"/>
    <w:multiLevelType w:val="hybridMultilevel"/>
    <w:tmpl w:val="73D8A488"/>
    <w:lvl w:ilvl="0" w:tplc="973A3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40F5D"/>
    <w:multiLevelType w:val="hybridMultilevel"/>
    <w:tmpl w:val="F16EB942"/>
    <w:lvl w:ilvl="0" w:tplc="2A742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96961"/>
    <w:multiLevelType w:val="hybridMultilevel"/>
    <w:tmpl w:val="F1B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93AD8"/>
    <w:multiLevelType w:val="hybridMultilevel"/>
    <w:tmpl w:val="F1D62FEC"/>
    <w:lvl w:ilvl="0" w:tplc="9118E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931A08"/>
    <w:multiLevelType w:val="multilevel"/>
    <w:tmpl w:val="3B0ED1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B35441"/>
    <w:multiLevelType w:val="hybridMultilevel"/>
    <w:tmpl w:val="300C8242"/>
    <w:lvl w:ilvl="0" w:tplc="57023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00788E"/>
    <w:multiLevelType w:val="hybridMultilevel"/>
    <w:tmpl w:val="388CBE5A"/>
    <w:lvl w:ilvl="0" w:tplc="E312A3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C5642B"/>
    <w:multiLevelType w:val="hybridMultilevel"/>
    <w:tmpl w:val="B79C766C"/>
    <w:lvl w:ilvl="0" w:tplc="20E8AF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7D582E"/>
    <w:multiLevelType w:val="hybridMultilevel"/>
    <w:tmpl w:val="E08E376A"/>
    <w:lvl w:ilvl="0" w:tplc="E67E1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FD2D03"/>
    <w:multiLevelType w:val="hybridMultilevel"/>
    <w:tmpl w:val="65C6E05C"/>
    <w:lvl w:ilvl="0" w:tplc="AAC86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A961AA"/>
    <w:multiLevelType w:val="hybridMultilevel"/>
    <w:tmpl w:val="270087CC"/>
    <w:lvl w:ilvl="0" w:tplc="D5A81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757663"/>
    <w:multiLevelType w:val="hybridMultilevel"/>
    <w:tmpl w:val="57689B5C"/>
    <w:lvl w:ilvl="0" w:tplc="C700E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627FEC"/>
    <w:multiLevelType w:val="hybridMultilevel"/>
    <w:tmpl w:val="BEEE3248"/>
    <w:lvl w:ilvl="0" w:tplc="543CD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BB0D3F"/>
    <w:multiLevelType w:val="hybridMultilevel"/>
    <w:tmpl w:val="6A9445BC"/>
    <w:lvl w:ilvl="0" w:tplc="DF844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07783"/>
    <w:multiLevelType w:val="hybridMultilevel"/>
    <w:tmpl w:val="1912240E"/>
    <w:lvl w:ilvl="0" w:tplc="B4084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680AD8"/>
    <w:multiLevelType w:val="hybridMultilevel"/>
    <w:tmpl w:val="C318E736"/>
    <w:lvl w:ilvl="0" w:tplc="0D98DF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8AC283C"/>
    <w:multiLevelType w:val="hybridMultilevel"/>
    <w:tmpl w:val="1C763D28"/>
    <w:lvl w:ilvl="0" w:tplc="F8EE6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042C6C"/>
    <w:multiLevelType w:val="hybridMultilevel"/>
    <w:tmpl w:val="BF525180"/>
    <w:lvl w:ilvl="0" w:tplc="55BEB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C85CCC"/>
    <w:multiLevelType w:val="multilevel"/>
    <w:tmpl w:val="BB948B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1AC7388"/>
    <w:multiLevelType w:val="hybridMultilevel"/>
    <w:tmpl w:val="BCF6E444"/>
    <w:lvl w:ilvl="0" w:tplc="AF027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641B2E"/>
    <w:multiLevelType w:val="hybridMultilevel"/>
    <w:tmpl w:val="242288F2"/>
    <w:lvl w:ilvl="0" w:tplc="EFC2A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69776D"/>
    <w:multiLevelType w:val="hybridMultilevel"/>
    <w:tmpl w:val="01F0BB8C"/>
    <w:lvl w:ilvl="0" w:tplc="3C98FD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205AEB"/>
    <w:multiLevelType w:val="hybridMultilevel"/>
    <w:tmpl w:val="7AB4B8F8"/>
    <w:lvl w:ilvl="0" w:tplc="884EA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2962E4"/>
    <w:multiLevelType w:val="hybridMultilevel"/>
    <w:tmpl w:val="E0FA68BA"/>
    <w:lvl w:ilvl="0" w:tplc="7A463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762B7D"/>
    <w:multiLevelType w:val="multilevel"/>
    <w:tmpl w:val="68060E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F92376A"/>
    <w:multiLevelType w:val="hybridMultilevel"/>
    <w:tmpl w:val="A25E6138"/>
    <w:lvl w:ilvl="0" w:tplc="7832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5F0FBC"/>
    <w:multiLevelType w:val="hybridMultilevel"/>
    <w:tmpl w:val="950EB7AE"/>
    <w:lvl w:ilvl="0" w:tplc="3DF68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001BA1"/>
    <w:multiLevelType w:val="hybridMultilevel"/>
    <w:tmpl w:val="4C083A24"/>
    <w:lvl w:ilvl="0" w:tplc="8EF0F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2173CC"/>
    <w:multiLevelType w:val="multilevel"/>
    <w:tmpl w:val="C5B8C5D0"/>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2E2224"/>
    <w:multiLevelType w:val="multilevel"/>
    <w:tmpl w:val="19B824CE"/>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77C47C09"/>
    <w:multiLevelType w:val="hybridMultilevel"/>
    <w:tmpl w:val="1DD82A86"/>
    <w:lvl w:ilvl="0" w:tplc="B7FA99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9C231E"/>
    <w:multiLevelType w:val="hybridMultilevel"/>
    <w:tmpl w:val="B2226E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846C46"/>
    <w:multiLevelType w:val="hybridMultilevel"/>
    <w:tmpl w:val="1B98F5C4"/>
    <w:lvl w:ilvl="0" w:tplc="23AAA3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22"/>
  </w:num>
  <w:num w:numId="5">
    <w:abstractNumId w:val="5"/>
  </w:num>
  <w:num w:numId="6">
    <w:abstractNumId w:val="15"/>
  </w:num>
  <w:num w:numId="7">
    <w:abstractNumId w:val="11"/>
  </w:num>
  <w:num w:numId="8">
    <w:abstractNumId w:val="12"/>
  </w:num>
  <w:num w:numId="9">
    <w:abstractNumId w:val="23"/>
  </w:num>
  <w:num w:numId="10">
    <w:abstractNumId w:val="14"/>
  </w:num>
  <w:num w:numId="11">
    <w:abstractNumId w:val="13"/>
  </w:num>
  <w:num w:numId="12">
    <w:abstractNumId w:val="24"/>
  </w:num>
  <w:num w:numId="13">
    <w:abstractNumId w:val="9"/>
  </w:num>
  <w:num w:numId="14">
    <w:abstractNumId w:val="35"/>
  </w:num>
  <w:num w:numId="15">
    <w:abstractNumId w:val="1"/>
  </w:num>
  <w:num w:numId="16">
    <w:abstractNumId w:val="30"/>
  </w:num>
  <w:num w:numId="17">
    <w:abstractNumId w:val="10"/>
  </w:num>
  <w:num w:numId="18">
    <w:abstractNumId w:val="6"/>
  </w:num>
  <w:num w:numId="19">
    <w:abstractNumId w:val="33"/>
  </w:num>
  <w:num w:numId="20">
    <w:abstractNumId w:val="17"/>
  </w:num>
  <w:num w:numId="21">
    <w:abstractNumId w:val="26"/>
  </w:num>
  <w:num w:numId="22">
    <w:abstractNumId w:val="28"/>
  </w:num>
  <w:num w:numId="23">
    <w:abstractNumId w:val="19"/>
  </w:num>
  <w:num w:numId="24">
    <w:abstractNumId w:val="25"/>
  </w:num>
  <w:num w:numId="25">
    <w:abstractNumId w:val="16"/>
  </w:num>
  <w:num w:numId="26">
    <w:abstractNumId w:val="32"/>
  </w:num>
  <w:num w:numId="27">
    <w:abstractNumId w:val="20"/>
  </w:num>
  <w:num w:numId="28">
    <w:abstractNumId w:val="0"/>
  </w:num>
  <w:num w:numId="29">
    <w:abstractNumId w:val="27"/>
  </w:num>
  <w:num w:numId="30">
    <w:abstractNumId w:val="2"/>
  </w:num>
  <w:num w:numId="31">
    <w:abstractNumId w:val="18"/>
  </w:num>
  <w:num w:numId="32">
    <w:abstractNumId w:val="21"/>
  </w:num>
  <w:num w:numId="33">
    <w:abstractNumId w:val="29"/>
  </w:num>
  <w:num w:numId="34">
    <w:abstractNumId w:val="34"/>
  </w:num>
  <w:num w:numId="35">
    <w:abstractNumId w:val="7"/>
  </w:num>
  <w:num w:numId="36">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C5C"/>
    <w:rsid w:val="00001D5F"/>
    <w:rsid w:val="000026A8"/>
    <w:rsid w:val="0000615B"/>
    <w:rsid w:val="000115EB"/>
    <w:rsid w:val="00011BF3"/>
    <w:rsid w:val="00012084"/>
    <w:rsid w:val="000130CF"/>
    <w:rsid w:val="00013D39"/>
    <w:rsid w:val="00013E5B"/>
    <w:rsid w:val="000144FE"/>
    <w:rsid w:val="000147A2"/>
    <w:rsid w:val="000151DC"/>
    <w:rsid w:val="00016235"/>
    <w:rsid w:val="00017A7A"/>
    <w:rsid w:val="00020179"/>
    <w:rsid w:val="00020CFA"/>
    <w:rsid w:val="000236F0"/>
    <w:rsid w:val="00023A2D"/>
    <w:rsid w:val="0002516A"/>
    <w:rsid w:val="00025645"/>
    <w:rsid w:val="00025A35"/>
    <w:rsid w:val="00025B02"/>
    <w:rsid w:val="00026262"/>
    <w:rsid w:val="000308B2"/>
    <w:rsid w:val="00030CAE"/>
    <w:rsid w:val="00031136"/>
    <w:rsid w:val="00032AA3"/>
    <w:rsid w:val="00035926"/>
    <w:rsid w:val="0003592D"/>
    <w:rsid w:val="00036565"/>
    <w:rsid w:val="00036CCF"/>
    <w:rsid w:val="00037B1A"/>
    <w:rsid w:val="00040D44"/>
    <w:rsid w:val="000419DF"/>
    <w:rsid w:val="00041A5D"/>
    <w:rsid w:val="00041E66"/>
    <w:rsid w:val="00042F47"/>
    <w:rsid w:val="000437E9"/>
    <w:rsid w:val="00044DF5"/>
    <w:rsid w:val="00046B92"/>
    <w:rsid w:val="00047818"/>
    <w:rsid w:val="00047D25"/>
    <w:rsid w:val="0005094D"/>
    <w:rsid w:val="0005118C"/>
    <w:rsid w:val="00051B0D"/>
    <w:rsid w:val="00052B4B"/>
    <w:rsid w:val="000542D2"/>
    <w:rsid w:val="00055FAF"/>
    <w:rsid w:val="000560C5"/>
    <w:rsid w:val="00057AC2"/>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5705"/>
    <w:rsid w:val="00077342"/>
    <w:rsid w:val="0007767F"/>
    <w:rsid w:val="000808B1"/>
    <w:rsid w:val="000819C7"/>
    <w:rsid w:val="00083079"/>
    <w:rsid w:val="00083707"/>
    <w:rsid w:val="000838EE"/>
    <w:rsid w:val="00083BCC"/>
    <w:rsid w:val="00084CBF"/>
    <w:rsid w:val="00085714"/>
    <w:rsid w:val="000872D6"/>
    <w:rsid w:val="000877DF"/>
    <w:rsid w:val="00090472"/>
    <w:rsid w:val="00092561"/>
    <w:rsid w:val="0009283F"/>
    <w:rsid w:val="00092917"/>
    <w:rsid w:val="00092F2C"/>
    <w:rsid w:val="00095D3C"/>
    <w:rsid w:val="00096756"/>
    <w:rsid w:val="00096C9E"/>
    <w:rsid w:val="000973CA"/>
    <w:rsid w:val="00097D7C"/>
    <w:rsid w:val="000A023F"/>
    <w:rsid w:val="000A0522"/>
    <w:rsid w:val="000A0646"/>
    <w:rsid w:val="000A1DD1"/>
    <w:rsid w:val="000A2087"/>
    <w:rsid w:val="000A466F"/>
    <w:rsid w:val="000A6F1A"/>
    <w:rsid w:val="000A70F0"/>
    <w:rsid w:val="000A71F9"/>
    <w:rsid w:val="000A7572"/>
    <w:rsid w:val="000A776F"/>
    <w:rsid w:val="000B081C"/>
    <w:rsid w:val="000B2AD6"/>
    <w:rsid w:val="000B2D06"/>
    <w:rsid w:val="000B30CE"/>
    <w:rsid w:val="000B61CB"/>
    <w:rsid w:val="000B634D"/>
    <w:rsid w:val="000B637A"/>
    <w:rsid w:val="000B7211"/>
    <w:rsid w:val="000C2134"/>
    <w:rsid w:val="000C31C1"/>
    <w:rsid w:val="000C3559"/>
    <w:rsid w:val="000C3ADE"/>
    <w:rsid w:val="000C4AAB"/>
    <w:rsid w:val="000C6B6B"/>
    <w:rsid w:val="000C6CBE"/>
    <w:rsid w:val="000C74F9"/>
    <w:rsid w:val="000D04A8"/>
    <w:rsid w:val="000D0A3F"/>
    <w:rsid w:val="000D0B8B"/>
    <w:rsid w:val="000D3E56"/>
    <w:rsid w:val="000D5B10"/>
    <w:rsid w:val="000D7E35"/>
    <w:rsid w:val="000E0977"/>
    <w:rsid w:val="000E1CD6"/>
    <w:rsid w:val="000E27A8"/>
    <w:rsid w:val="000E5700"/>
    <w:rsid w:val="000E760C"/>
    <w:rsid w:val="000F02C3"/>
    <w:rsid w:val="000F0D81"/>
    <w:rsid w:val="000F176D"/>
    <w:rsid w:val="000F1952"/>
    <w:rsid w:val="000F3355"/>
    <w:rsid w:val="000F3C19"/>
    <w:rsid w:val="000F5F92"/>
    <w:rsid w:val="000F73DC"/>
    <w:rsid w:val="00100DA0"/>
    <w:rsid w:val="00101294"/>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349C"/>
    <w:rsid w:val="00123B08"/>
    <w:rsid w:val="001248CA"/>
    <w:rsid w:val="00124C43"/>
    <w:rsid w:val="00124CB9"/>
    <w:rsid w:val="0012620D"/>
    <w:rsid w:val="0012677E"/>
    <w:rsid w:val="00130020"/>
    <w:rsid w:val="00130C44"/>
    <w:rsid w:val="001313FF"/>
    <w:rsid w:val="001325AF"/>
    <w:rsid w:val="00133585"/>
    <w:rsid w:val="00135202"/>
    <w:rsid w:val="0013563A"/>
    <w:rsid w:val="00136D95"/>
    <w:rsid w:val="0013776B"/>
    <w:rsid w:val="001378E8"/>
    <w:rsid w:val="00137D2D"/>
    <w:rsid w:val="00140F5C"/>
    <w:rsid w:val="0014141C"/>
    <w:rsid w:val="00143DF7"/>
    <w:rsid w:val="00145CB3"/>
    <w:rsid w:val="001511B4"/>
    <w:rsid w:val="00151428"/>
    <w:rsid w:val="001522EA"/>
    <w:rsid w:val="00152779"/>
    <w:rsid w:val="00153835"/>
    <w:rsid w:val="00154850"/>
    <w:rsid w:val="00160819"/>
    <w:rsid w:val="001608B2"/>
    <w:rsid w:val="00161483"/>
    <w:rsid w:val="00161E31"/>
    <w:rsid w:val="00162C9A"/>
    <w:rsid w:val="0016380E"/>
    <w:rsid w:val="00165EA1"/>
    <w:rsid w:val="0017008D"/>
    <w:rsid w:val="00170AD4"/>
    <w:rsid w:val="00170F28"/>
    <w:rsid w:val="00172B74"/>
    <w:rsid w:val="001733F9"/>
    <w:rsid w:val="00173F9E"/>
    <w:rsid w:val="00175354"/>
    <w:rsid w:val="00175830"/>
    <w:rsid w:val="001759DF"/>
    <w:rsid w:val="001760D1"/>
    <w:rsid w:val="00180723"/>
    <w:rsid w:val="00180B03"/>
    <w:rsid w:val="00181165"/>
    <w:rsid w:val="001815B1"/>
    <w:rsid w:val="00181D6B"/>
    <w:rsid w:val="00182308"/>
    <w:rsid w:val="00182647"/>
    <w:rsid w:val="00183811"/>
    <w:rsid w:val="00183A6D"/>
    <w:rsid w:val="00184101"/>
    <w:rsid w:val="001846DC"/>
    <w:rsid w:val="001859E7"/>
    <w:rsid w:val="001901A4"/>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6F71"/>
    <w:rsid w:val="001A70E8"/>
    <w:rsid w:val="001A7EB9"/>
    <w:rsid w:val="001B0B58"/>
    <w:rsid w:val="001B0C0C"/>
    <w:rsid w:val="001B1108"/>
    <w:rsid w:val="001B1509"/>
    <w:rsid w:val="001B28E3"/>
    <w:rsid w:val="001B323F"/>
    <w:rsid w:val="001B546B"/>
    <w:rsid w:val="001B58CC"/>
    <w:rsid w:val="001B5D92"/>
    <w:rsid w:val="001B6282"/>
    <w:rsid w:val="001B72D4"/>
    <w:rsid w:val="001B7515"/>
    <w:rsid w:val="001C0B3C"/>
    <w:rsid w:val="001C2ECD"/>
    <w:rsid w:val="001C363F"/>
    <w:rsid w:val="001C4116"/>
    <w:rsid w:val="001C421A"/>
    <w:rsid w:val="001C47BE"/>
    <w:rsid w:val="001C5680"/>
    <w:rsid w:val="001C7A89"/>
    <w:rsid w:val="001C7D27"/>
    <w:rsid w:val="001D05AC"/>
    <w:rsid w:val="001D1FEF"/>
    <w:rsid w:val="001D24A8"/>
    <w:rsid w:val="001D2844"/>
    <w:rsid w:val="001D430C"/>
    <w:rsid w:val="001D4BCD"/>
    <w:rsid w:val="001D6381"/>
    <w:rsid w:val="001E015B"/>
    <w:rsid w:val="001E3147"/>
    <w:rsid w:val="001E421C"/>
    <w:rsid w:val="001E4E2C"/>
    <w:rsid w:val="001E53D5"/>
    <w:rsid w:val="001E548E"/>
    <w:rsid w:val="001E5E7F"/>
    <w:rsid w:val="001E615D"/>
    <w:rsid w:val="001E65DF"/>
    <w:rsid w:val="001E66C2"/>
    <w:rsid w:val="001E7952"/>
    <w:rsid w:val="001F0E12"/>
    <w:rsid w:val="001F3E80"/>
    <w:rsid w:val="001F3EB3"/>
    <w:rsid w:val="001F5048"/>
    <w:rsid w:val="001F5EA0"/>
    <w:rsid w:val="001F62C4"/>
    <w:rsid w:val="001F6F85"/>
    <w:rsid w:val="001F7C33"/>
    <w:rsid w:val="002026AD"/>
    <w:rsid w:val="0020401F"/>
    <w:rsid w:val="002041D8"/>
    <w:rsid w:val="00204507"/>
    <w:rsid w:val="00204DD8"/>
    <w:rsid w:val="00206695"/>
    <w:rsid w:val="00210121"/>
    <w:rsid w:val="00210B93"/>
    <w:rsid w:val="00210FAB"/>
    <w:rsid w:val="00211B3E"/>
    <w:rsid w:val="00212E9C"/>
    <w:rsid w:val="00213AE3"/>
    <w:rsid w:val="00215DC6"/>
    <w:rsid w:val="0021755D"/>
    <w:rsid w:val="00217FD6"/>
    <w:rsid w:val="0022176C"/>
    <w:rsid w:val="002218F1"/>
    <w:rsid w:val="00221B1E"/>
    <w:rsid w:val="00222324"/>
    <w:rsid w:val="00223066"/>
    <w:rsid w:val="002230DA"/>
    <w:rsid w:val="002234F9"/>
    <w:rsid w:val="00224456"/>
    <w:rsid w:val="0022472A"/>
    <w:rsid w:val="00224B4C"/>
    <w:rsid w:val="002265CF"/>
    <w:rsid w:val="0022731D"/>
    <w:rsid w:val="00231388"/>
    <w:rsid w:val="0023218D"/>
    <w:rsid w:val="002329F9"/>
    <w:rsid w:val="00232C26"/>
    <w:rsid w:val="002369A7"/>
    <w:rsid w:val="00236B31"/>
    <w:rsid w:val="00237C08"/>
    <w:rsid w:val="00245D37"/>
    <w:rsid w:val="00247337"/>
    <w:rsid w:val="00247C3B"/>
    <w:rsid w:val="00251309"/>
    <w:rsid w:val="00251A44"/>
    <w:rsid w:val="002521AE"/>
    <w:rsid w:val="00253FB5"/>
    <w:rsid w:val="002541D4"/>
    <w:rsid w:val="002549A1"/>
    <w:rsid w:val="00256562"/>
    <w:rsid w:val="0025669D"/>
    <w:rsid w:val="00257826"/>
    <w:rsid w:val="00257E2A"/>
    <w:rsid w:val="0026128E"/>
    <w:rsid w:val="00262034"/>
    <w:rsid w:val="002642B8"/>
    <w:rsid w:val="0026527F"/>
    <w:rsid w:val="00265418"/>
    <w:rsid w:val="0026647F"/>
    <w:rsid w:val="00267271"/>
    <w:rsid w:val="0027044A"/>
    <w:rsid w:val="0027076F"/>
    <w:rsid w:val="002736FA"/>
    <w:rsid w:val="002775D4"/>
    <w:rsid w:val="002777C9"/>
    <w:rsid w:val="00280452"/>
    <w:rsid w:val="00282D5B"/>
    <w:rsid w:val="00283FC8"/>
    <w:rsid w:val="00285613"/>
    <w:rsid w:val="0029061C"/>
    <w:rsid w:val="002919E8"/>
    <w:rsid w:val="002950D4"/>
    <w:rsid w:val="00297922"/>
    <w:rsid w:val="002A018D"/>
    <w:rsid w:val="002A096B"/>
    <w:rsid w:val="002A0A20"/>
    <w:rsid w:val="002A2120"/>
    <w:rsid w:val="002A34A8"/>
    <w:rsid w:val="002A3A90"/>
    <w:rsid w:val="002A4B33"/>
    <w:rsid w:val="002A63BE"/>
    <w:rsid w:val="002A6668"/>
    <w:rsid w:val="002A69A0"/>
    <w:rsid w:val="002A7F8C"/>
    <w:rsid w:val="002B02C9"/>
    <w:rsid w:val="002B1074"/>
    <w:rsid w:val="002B1436"/>
    <w:rsid w:val="002B1C03"/>
    <w:rsid w:val="002B3073"/>
    <w:rsid w:val="002B3099"/>
    <w:rsid w:val="002B35F9"/>
    <w:rsid w:val="002B36DF"/>
    <w:rsid w:val="002B40F2"/>
    <w:rsid w:val="002B461E"/>
    <w:rsid w:val="002B781D"/>
    <w:rsid w:val="002B791D"/>
    <w:rsid w:val="002B7D3C"/>
    <w:rsid w:val="002C0334"/>
    <w:rsid w:val="002C0815"/>
    <w:rsid w:val="002C0832"/>
    <w:rsid w:val="002C0E9A"/>
    <w:rsid w:val="002C2136"/>
    <w:rsid w:val="002C25CD"/>
    <w:rsid w:val="002C295A"/>
    <w:rsid w:val="002C2B3F"/>
    <w:rsid w:val="002C7E48"/>
    <w:rsid w:val="002D06A4"/>
    <w:rsid w:val="002D273F"/>
    <w:rsid w:val="002D3EF2"/>
    <w:rsid w:val="002D446F"/>
    <w:rsid w:val="002D4819"/>
    <w:rsid w:val="002D4FC6"/>
    <w:rsid w:val="002D60FA"/>
    <w:rsid w:val="002D7106"/>
    <w:rsid w:val="002D7D58"/>
    <w:rsid w:val="002E1854"/>
    <w:rsid w:val="002E22A9"/>
    <w:rsid w:val="002E32CD"/>
    <w:rsid w:val="002E7D29"/>
    <w:rsid w:val="002F173C"/>
    <w:rsid w:val="002F1979"/>
    <w:rsid w:val="002F3BC1"/>
    <w:rsid w:val="002F3BE0"/>
    <w:rsid w:val="002F43EA"/>
    <w:rsid w:val="002F4423"/>
    <w:rsid w:val="002F4629"/>
    <w:rsid w:val="002F4CE2"/>
    <w:rsid w:val="002F54C5"/>
    <w:rsid w:val="002F7FCC"/>
    <w:rsid w:val="003001FD"/>
    <w:rsid w:val="00300470"/>
    <w:rsid w:val="003004DF"/>
    <w:rsid w:val="00302BE9"/>
    <w:rsid w:val="003035FE"/>
    <w:rsid w:val="0030683C"/>
    <w:rsid w:val="00306913"/>
    <w:rsid w:val="00307F51"/>
    <w:rsid w:val="003119D2"/>
    <w:rsid w:val="00311E48"/>
    <w:rsid w:val="003141FE"/>
    <w:rsid w:val="00317977"/>
    <w:rsid w:val="003179AA"/>
    <w:rsid w:val="00320F19"/>
    <w:rsid w:val="0032172A"/>
    <w:rsid w:val="00321F7F"/>
    <w:rsid w:val="0032217A"/>
    <w:rsid w:val="00322226"/>
    <w:rsid w:val="00322847"/>
    <w:rsid w:val="00323633"/>
    <w:rsid w:val="00324F1A"/>
    <w:rsid w:val="00325D89"/>
    <w:rsid w:val="003268E1"/>
    <w:rsid w:val="0033032C"/>
    <w:rsid w:val="0033193A"/>
    <w:rsid w:val="00333ACC"/>
    <w:rsid w:val="00333DB9"/>
    <w:rsid w:val="00336A67"/>
    <w:rsid w:val="00340FF0"/>
    <w:rsid w:val="003412FB"/>
    <w:rsid w:val="003417EA"/>
    <w:rsid w:val="00343661"/>
    <w:rsid w:val="00345291"/>
    <w:rsid w:val="00345AE6"/>
    <w:rsid w:val="00346A71"/>
    <w:rsid w:val="00346E52"/>
    <w:rsid w:val="0035018F"/>
    <w:rsid w:val="0035055B"/>
    <w:rsid w:val="0035252B"/>
    <w:rsid w:val="00352767"/>
    <w:rsid w:val="0035280D"/>
    <w:rsid w:val="00352DB2"/>
    <w:rsid w:val="00353DEA"/>
    <w:rsid w:val="00354589"/>
    <w:rsid w:val="0035471C"/>
    <w:rsid w:val="00355ED2"/>
    <w:rsid w:val="00356313"/>
    <w:rsid w:val="003563E6"/>
    <w:rsid w:val="00356BD9"/>
    <w:rsid w:val="0036110D"/>
    <w:rsid w:val="003611E1"/>
    <w:rsid w:val="00363601"/>
    <w:rsid w:val="00364143"/>
    <w:rsid w:val="00370118"/>
    <w:rsid w:val="0037149E"/>
    <w:rsid w:val="00372138"/>
    <w:rsid w:val="003749D2"/>
    <w:rsid w:val="003759D4"/>
    <w:rsid w:val="003767C2"/>
    <w:rsid w:val="0037712C"/>
    <w:rsid w:val="0038018B"/>
    <w:rsid w:val="003807D4"/>
    <w:rsid w:val="00381B5C"/>
    <w:rsid w:val="003833EB"/>
    <w:rsid w:val="00383C77"/>
    <w:rsid w:val="00386D44"/>
    <w:rsid w:val="00387A55"/>
    <w:rsid w:val="003904D3"/>
    <w:rsid w:val="003932B5"/>
    <w:rsid w:val="0039357D"/>
    <w:rsid w:val="00393F3D"/>
    <w:rsid w:val="00394F5A"/>
    <w:rsid w:val="003956E8"/>
    <w:rsid w:val="003963A2"/>
    <w:rsid w:val="00397270"/>
    <w:rsid w:val="00397365"/>
    <w:rsid w:val="0039784A"/>
    <w:rsid w:val="003A052D"/>
    <w:rsid w:val="003A08A1"/>
    <w:rsid w:val="003A0F34"/>
    <w:rsid w:val="003A206F"/>
    <w:rsid w:val="003A2BF8"/>
    <w:rsid w:val="003A673D"/>
    <w:rsid w:val="003B0DCA"/>
    <w:rsid w:val="003B10CF"/>
    <w:rsid w:val="003B22BF"/>
    <w:rsid w:val="003B2A8F"/>
    <w:rsid w:val="003B4746"/>
    <w:rsid w:val="003C4D77"/>
    <w:rsid w:val="003C5336"/>
    <w:rsid w:val="003C5761"/>
    <w:rsid w:val="003C6C1A"/>
    <w:rsid w:val="003C769F"/>
    <w:rsid w:val="003C7A2E"/>
    <w:rsid w:val="003D027D"/>
    <w:rsid w:val="003D1231"/>
    <w:rsid w:val="003D12DC"/>
    <w:rsid w:val="003D33BE"/>
    <w:rsid w:val="003D3B8E"/>
    <w:rsid w:val="003D51B5"/>
    <w:rsid w:val="003D551A"/>
    <w:rsid w:val="003D579E"/>
    <w:rsid w:val="003D59F3"/>
    <w:rsid w:val="003D7CF6"/>
    <w:rsid w:val="003E1220"/>
    <w:rsid w:val="003E261A"/>
    <w:rsid w:val="003E317D"/>
    <w:rsid w:val="003E35B6"/>
    <w:rsid w:val="003E362A"/>
    <w:rsid w:val="003E44ED"/>
    <w:rsid w:val="003E4A24"/>
    <w:rsid w:val="003E5514"/>
    <w:rsid w:val="003E7283"/>
    <w:rsid w:val="003E7296"/>
    <w:rsid w:val="003F0838"/>
    <w:rsid w:val="003F0A0F"/>
    <w:rsid w:val="003F1155"/>
    <w:rsid w:val="003F11E2"/>
    <w:rsid w:val="003F3CEC"/>
    <w:rsid w:val="003F6BDB"/>
    <w:rsid w:val="003F6F25"/>
    <w:rsid w:val="00400245"/>
    <w:rsid w:val="00404521"/>
    <w:rsid w:val="0040705B"/>
    <w:rsid w:val="00407CAA"/>
    <w:rsid w:val="00413D48"/>
    <w:rsid w:val="004141DE"/>
    <w:rsid w:val="004144B8"/>
    <w:rsid w:val="004167A1"/>
    <w:rsid w:val="00417B0A"/>
    <w:rsid w:val="00420675"/>
    <w:rsid w:val="00421660"/>
    <w:rsid w:val="00421AB5"/>
    <w:rsid w:val="004222C9"/>
    <w:rsid w:val="004225C4"/>
    <w:rsid w:val="00423F8D"/>
    <w:rsid w:val="004248BD"/>
    <w:rsid w:val="004255F1"/>
    <w:rsid w:val="004269E6"/>
    <w:rsid w:val="00426DAF"/>
    <w:rsid w:val="004300FE"/>
    <w:rsid w:val="00430345"/>
    <w:rsid w:val="0043144F"/>
    <w:rsid w:val="004314CE"/>
    <w:rsid w:val="00431948"/>
    <w:rsid w:val="00431EF7"/>
    <w:rsid w:val="004342F7"/>
    <w:rsid w:val="00435DD7"/>
    <w:rsid w:val="004400D6"/>
    <w:rsid w:val="00442D54"/>
    <w:rsid w:val="0044310B"/>
    <w:rsid w:val="00444244"/>
    <w:rsid w:val="00445961"/>
    <w:rsid w:val="00446E3D"/>
    <w:rsid w:val="00447473"/>
    <w:rsid w:val="00450B62"/>
    <w:rsid w:val="00451063"/>
    <w:rsid w:val="00452828"/>
    <w:rsid w:val="0045391F"/>
    <w:rsid w:val="00455C9B"/>
    <w:rsid w:val="00455FB5"/>
    <w:rsid w:val="004621FF"/>
    <w:rsid w:val="00462D98"/>
    <w:rsid w:val="00463E28"/>
    <w:rsid w:val="00464A80"/>
    <w:rsid w:val="00465563"/>
    <w:rsid w:val="004700BE"/>
    <w:rsid w:val="004700FD"/>
    <w:rsid w:val="004715D5"/>
    <w:rsid w:val="00472FCE"/>
    <w:rsid w:val="004730F8"/>
    <w:rsid w:val="0047361E"/>
    <w:rsid w:val="004738F2"/>
    <w:rsid w:val="00474093"/>
    <w:rsid w:val="004744C4"/>
    <w:rsid w:val="00475EDC"/>
    <w:rsid w:val="004765E7"/>
    <w:rsid w:val="004800E3"/>
    <w:rsid w:val="0048080E"/>
    <w:rsid w:val="00480944"/>
    <w:rsid w:val="004814D7"/>
    <w:rsid w:val="00481806"/>
    <w:rsid w:val="00481A1B"/>
    <w:rsid w:val="00483460"/>
    <w:rsid w:val="00483DC9"/>
    <w:rsid w:val="00484A20"/>
    <w:rsid w:val="00485294"/>
    <w:rsid w:val="00487BFD"/>
    <w:rsid w:val="00487D4B"/>
    <w:rsid w:val="004907CE"/>
    <w:rsid w:val="00490C3D"/>
    <w:rsid w:val="0049127F"/>
    <w:rsid w:val="00491DE5"/>
    <w:rsid w:val="00492C70"/>
    <w:rsid w:val="00493800"/>
    <w:rsid w:val="00494A5A"/>
    <w:rsid w:val="00494AB0"/>
    <w:rsid w:val="00494EE4"/>
    <w:rsid w:val="00495067"/>
    <w:rsid w:val="004958CE"/>
    <w:rsid w:val="00495D66"/>
    <w:rsid w:val="00496312"/>
    <w:rsid w:val="00496A64"/>
    <w:rsid w:val="004A1A8C"/>
    <w:rsid w:val="004A299C"/>
    <w:rsid w:val="004A3213"/>
    <w:rsid w:val="004A33BE"/>
    <w:rsid w:val="004A3F74"/>
    <w:rsid w:val="004A451D"/>
    <w:rsid w:val="004A4715"/>
    <w:rsid w:val="004B1CA6"/>
    <w:rsid w:val="004B1D34"/>
    <w:rsid w:val="004B347C"/>
    <w:rsid w:val="004B51D2"/>
    <w:rsid w:val="004B651F"/>
    <w:rsid w:val="004B7272"/>
    <w:rsid w:val="004C03C0"/>
    <w:rsid w:val="004C0E1C"/>
    <w:rsid w:val="004C2EEB"/>
    <w:rsid w:val="004C4DA0"/>
    <w:rsid w:val="004C556D"/>
    <w:rsid w:val="004C5DA1"/>
    <w:rsid w:val="004C6776"/>
    <w:rsid w:val="004C69D6"/>
    <w:rsid w:val="004C7100"/>
    <w:rsid w:val="004C7B08"/>
    <w:rsid w:val="004D14D5"/>
    <w:rsid w:val="004D1BD0"/>
    <w:rsid w:val="004D20B8"/>
    <w:rsid w:val="004D23EF"/>
    <w:rsid w:val="004D2601"/>
    <w:rsid w:val="004D3E52"/>
    <w:rsid w:val="004D4651"/>
    <w:rsid w:val="004D4E21"/>
    <w:rsid w:val="004D4E41"/>
    <w:rsid w:val="004D628C"/>
    <w:rsid w:val="004D756D"/>
    <w:rsid w:val="004E1E20"/>
    <w:rsid w:val="004E339D"/>
    <w:rsid w:val="004E33ED"/>
    <w:rsid w:val="004E5E03"/>
    <w:rsid w:val="004E76CB"/>
    <w:rsid w:val="004E7F79"/>
    <w:rsid w:val="004F12CF"/>
    <w:rsid w:val="004F2B3F"/>
    <w:rsid w:val="004F49D2"/>
    <w:rsid w:val="004F53D2"/>
    <w:rsid w:val="004F6697"/>
    <w:rsid w:val="004F78DB"/>
    <w:rsid w:val="005004CD"/>
    <w:rsid w:val="00501044"/>
    <w:rsid w:val="005011B5"/>
    <w:rsid w:val="005015A5"/>
    <w:rsid w:val="00502685"/>
    <w:rsid w:val="00502AF6"/>
    <w:rsid w:val="005049FB"/>
    <w:rsid w:val="00505744"/>
    <w:rsid w:val="00506EEE"/>
    <w:rsid w:val="00507018"/>
    <w:rsid w:val="00507177"/>
    <w:rsid w:val="0051005B"/>
    <w:rsid w:val="00511C2C"/>
    <w:rsid w:val="00512C3C"/>
    <w:rsid w:val="005141A9"/>
    <w:rsid w:val="0051420D"/>
    <w:rsid w:val="00514D3B"/>
    <w:rsid w:val="00515C1B"/>
    <w:rsid w:val="00515FBB"/>
    <w:rsid w:val="005214B3"/>
    <w:rsid w:val="00521DD4"/>
    <w:rsid w:val="00522FCD"/>
    <w:rsid w:val="005243C4"/>
    <w:rsid w:val="005247AB"/>
    <w:rsid w:val="00525E4E"/>
    <w:rsid w:val="00526B0C"/>
    <w:rsid w:val="00526E51"/>
    <w:rsid w:val="0053022A"/>
    <w:rsid w:val="00531283"/>
    <w:rsid w:val="00531601"/>
    <w:rsid w:val="00531D68"/>
    <w:rsid w:val="00532B91"/>
    <w:rsid w:val="00532C14"/>
    <w:rsid w:val="00535B06"/>
    <w:rsid w:val="00535C2F"/>
    <w:rsid w:val="00535ED7"/>
    <w:rsid w:val="005410A4"/>
    <w:rsid w:val="0054243D"/>
    <w:rsid w:val="00542479"/>
    <w:rsid w:val="005426EA"/>
    <w:rsid w:val="00546460"/>
    <w:rsid w:val="00546FBB"/>
    <w:rsid w:val="00547097"/>
    <w:rsid w:val="0054793A"/>
    <w:rsid w:val="0055075C"/>
    <w:rsid w:val="00552CEE"/>
    <w:rsid w:val="0055370A"/>
    <w:rsid w:val="00553CDE"/>
    <w:rsid w:val="00555F27"/>
    <w:rsid w:val="00555FE0"/>
    <w:rsid w:val="005562E6"/>
    <w:rsid w:val="0055720F"/>
    <w:rsid w:val="00557527"/>
    <w:rsid w:val="00557ED6"/>
    <w:rsid w:val="00560D54"/>
    <w:rsid w:val="00561057"/>
    <w:rsid w:val="00563129"/>
    <w:rsid w:val="005633BB"/>
    <w:rsid w:val="00565691"/>
    <w:rsid w:val="005666F5"/>
    <w:rsid w:val="005669EF"/>
    <w:rsid w:val="00566B2E"/>
    <w:rsid w:val="0057016F"/>
    <w:rsid w:val="0057223E"/>
    <w:rsid w:val="00572460"/>
    <w:rsid w:val="00573812"/>
    <w:rsid w:val="00573BE8"/>
    <w:rsid w:val="00575148"/>
    <w:rsid w:val="00575AA6"/>
    <w:rsid w:val="005766EA"/>
    <w:rsid w:val="00576D5B"/>
    <w:rsid w:val="0058099C"/>
    <w:rsid w:val="00581408"/>
    <w:rsid w:val="00582569"/>
    <w:rsid w:val="005825D7"/>
    <w:rsid w:val="0058511C"/>
    <w:rsid w:val="0058528A"/>
    <w:rsid w:val="0058541B"/>
    <w:rsid w:val="00586175"/>
    <w:rsid w:val="00590297"/>
    <w:rsid w:val="00590E7A"/>
    <w:rsid w:val="00591304"/>
    <w:rsid w:val="00592111"/>
    <w:rsid w:val="00592471"/>
    <w:rsid w:val="00592BF8"/>
    <w:rsid w:val="00592F85"/>
    <w:rsid w:val="0059310B"/>
    <w:rsid w:val="00593C53"/>
    <w:rsid w:val="00594053"/>
    <w:rsid w:val="00594369"/>
    <w:rsid w:val="005944F6"/>
    <w:rsid w:val="00595644"/>
    <w:rsid w:val="00595B0E"/>
    <w:rsid w:val="00597226"/>
    <w:rsid w:val="00597462"/>
    <w:rsid w:val="00597E96"/>
    <w:rsid w:val="005A001D"/>
    <w:rsid w:val="005A11F9"/>
    <w:rsid w:val="005A1264"/>
    <w:rsid w:val="005A16A5"/>
    <w:rsid w:val="005A202A"/>
    <w:rsid w:val="005A271D"/>
    <w:rsid w:val="005A445E"/>
    <w:rsid w:val="005A4D8C"/>
    <w:rsid w:val="005A4D8E"/>
    <w:rsid w:val="005A671F"/>
    <w:rsid w:val="005B00EC"/>
    <w:rsid w:val="005B0238"/>
    <w:rsid w:val="005B3E0D"/>
    <w:rsid w:val="005B4EED"/>
    <w:rsid w:val="005B5A19"/>
    <w:rsid w:val="005C07F6"/>
    <w:rsid w:val="005C1B39"/>
    <w:rsid w:val="005C1E5B"/>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36"/>
    <w:rsid w:val="005D3BCD"/>
    <w:rsid w:val="005E0298"/>
    <w:rsid w:val="005E1731"/>
    <w:rsid w:val="005E379F"/>
    <w:rsid w:val="005E3892"/>
    <w:rsid w:val="005E4D17"/>
    <w:rsid w:val="005E5FDE"/>
    <w:rsid w:val="005F254D"/>
    <w:rsid w:val="005F459C"/>
    <w:rsid w:val="005F45F3"/>
    <w:rsid w:val="005F5606"/>
    <w:rsid w:val="005F6D08"/>
    <w:rsid w:val="005F76A0"/>
    <w:rsid w:val="005F7CF9"/>
    <w:rsid w:val="006037B1"/>
    <w:rsid w:val="00603B3D"/>
    <w:rsid w:val="00604790"/>
    <w:rsid w:val="00605C02"/>
    <w:rsid w:val="006061AE"/>
    <w:rsid w:val="00606FA5"/>
    <w:rsid w:val="006071F8"/>
    <w:rsid w:val="0060755F"/>
    <w:rsid w:val="006079DF"/>
    <w:rsid w:val="0061066A"/>
    <w:rsid w:val="006109D9"/>
    <w:rsid w:val="006119E8"/>
    <w:rsid w:val="00612593"/>
    <w:rsid w:val="00612700"/>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4EB"/>
    <w:rsid w:val="00635569"/>
    <w:rsid w:val="00635E02"/>
    <w:rsid w:val="00637FE5"/>
    <w:rsid w:val="00640008"/>
    <w:rsid w:val="006415B6"/>
    <w:rsid w:val="006418B3"/>
    <w:rsid w:val="006422C0"/>
    <w:rsid w:val="00642DC3"/>
    <w:rsid w:val="006434F0"/>
    <w:rsid w:val="00644235"/>
    <w:rsid w:val="00644D68"/>
    <w:rsid w:val="00646808"/>
    <w:rsid w:val="006504B8"/>
    <w:rsid w:val="00653DB7"/>
    <w:rsid w:val="00655161"/>
    <w:rsid w:val="00657BE9"/>
    <w:rsid w:val="00662CF2"/>
    <w:rsid w:val="006633C8"/>
    <w:rsid w:val="006637DE"/>
    <w:rsid w:val="00665A74"/>
    <w:rsid w:val="00666668"/>
    <w:rsid w:val="006671F0"/>
    <w:rsid w:val="00667B83"/>
    <w:rsid w:val="00671558"/>
    <w:rsid w:val="006715D5"/>
    <w:rsid w:val="00673536"/>
    <w:rsid w:val="006746B8"/>
    <w:rsid w:val="006747A5"/>
    <w:rsid w:val="0067544A"/>
    <w:rsid w:val="006761F0"/>
    <w:rsid w:val="00680DB4"/>
    <w:rsid w:val="0068189F"/>
    <w:rsid w:val="00683E19"/>
    <w:rsid w:val="00684A18"/>
    <w:rsid w:val="00684B40"/>
    <w:rsid w:val="006852E8"/>
    <w:rsid w:val="006861EF"/>
    <w:rsid w:val="0068666D"/>
    <w:rsid w:val="006906BA"/>
    <w:rsid w:val="0069241C"/>
    <w:rsid w:val="00694023"/>
    <w:rsid w:val="006941A2"/>
    <w:rsid w:val="006963F5"/>
    <w:rsid w:val="0069661A"/>
    <w:rsid w:val="006969EE"/>
    <w:rsid w:val="0069782A"/>
    <w:rsid w:val="006A0237"/>
    <w:rsid w:val="006A12E3"/>
    <w:rsid w:val="006A1A6A"/>
    <w:rsid w:val="006A2573"/>
    <w:rsid w:val="006A32BE"/>
    <w:rsid w:val="006A3614"/>
    <w:rsid w:val="006A49B9"/>
    <w:rsid w:val="006A6285"/>
    <w:rsid w:val="006A64A8"/>
    <w:rsid w:val="006A749C"/>
    <w:rsid w:val="006B234C"/>
    <w:rsid w:val="006B2F94"/>
    <w:rsid w:val="006B36FF"/>
    <w:rsid w:val="006B57ED"/>
    <w:rsid w:val="006B61C1"/>
    <w:rsid w:val="006B6635"/>
    <w:rsid w:val="006B76D8"/>
    <w:rsid w:val="006B7F3A"/>
    <w:rsid w:val="006C0384"/>
    <w:rsid w:val="006C3A94"/>
    <w:rsid w:val="006C53E0"/>
    <w:rsid w:val="006C60DD"/>
    <w:rsid w:val="006C7CB3"/>
    <w:rsid w:val="006D1FCE"/>
    <w:rsid w:val="006D2B30"/>
    <w:rsid w:val="006D3944"/>
    <w:rsid w:val="006D4927"/>
    <w:rsid w:val="006D6EFD"/>
    <w:rsid w:val="006D7318"/>
    <w:rsid w:val="006D7BD1"/>
    <w:rsid w:val="006E204D"/>
    <w:rsid w:val="006E3D46"/>
    <w:rsid w:val="006E4AB8"/>
    <w:rsid w:val="006E5231"/>
    <w:rsid w:val="006E5867"/>
    <w:rsid w:val="006E70EC"/>
    <w:rsid w:val="006E71E6"/>
    <w:rsid w:val="006F1FF0"/>
    <w:rsid w:val="006F2B82"/>
    <w:rsid w:val="006F2EAB"/>
    <w:rsid w:val="006F322F"/>
    <w:rsid w:val="006F52B6"/>
    <w:rsid w:val="006F5811"/>
    <w:rsid w:val="006F5A61"/>
    <w:rsid w:val="006F6EDF"/>
    <w:rsid w:val="006F7E58"/>
    <w:rsid w:val="006F7F51"/>
    <w:rsid w:val="0070048A"/>
    <w:rsid w:val="0070315B"/>
    <w:rsid w:val="00703C1B"/>
    <w:rsid w:val="0070408F"/>
    <w:rsid w:val="0070489E"/>
    <w:rsid w:val="00704E08"/>
    <w:rsid w:val="007056F3"/>
    <w:rsid w:val="00707A22"/>
    <w:rsid w:val="00712290"/>
    <w:rsid w:val="00714ECA"/>
    <w:rsid w:val="0071552F"/>
    <w:rsid w:val="007160FC"/>
    <w:rsid w:val="00720ABA"/>
    <w:rsid w:val="00720D92"/>
    <w:rsid w:val="00720DD1"/>
    <w:rsid w:val="0072182A"/>
    <w:rsid w:val="00722C58"/>
    <w:rsid w:val="00722FE3"/>
    <w:rsid w:val="00724B1C"/>
    <w:rsid w:val="00724D63"/>
    <w:rsid w:val="00724EDB"/>
    <w:rsid w:val="00725DB4"/>
    <w:rsid w:val="00725DB5"/>
    <w:rsid w:val="007262CE"/>
    <w:rsid w:val="007267FA"/>
    <w:rsid w:val="00726810"/>
    <w:rsid w:val="007277F5"/>
    <w:rsid w:val="00727F20"/>
    <w:rsid w:val="00730C7C"/>
    <w:rsid w:val="00732389"/>
    <w:rsid w:val="00735700"/>
    <w:rsid w:val="007371B3"/>
    <w:rsid w:val="00737FF9"/>
    <w:rsid w:val="007416C7"/>
    <w:rsid w:val="00741E11"/>
    <w:rsid w:val="00744D86"/>
    <w:rsid w:val="00745F28"/>
    <w:rsid w:val="00747D50"/>
    <w:rsid w:val="00747EA8"/>
    <w:rsid w:val="00750ADE"/>
    <w:rsid w:val="00753530"/>
    <w:rsid w:val="0075364D"/>
    <w:rsid w:val="00754C55"/>
    <w:rsid w:val="00754D57"/>
    <w:rsid w:val="00754DBC"/>
    <w:rsid w:val="00757D8D"/>
    <w:rsid w:val="00760A35"/>
    <w:rsid w:val="0076117E"/>
    <w:rsid w:val="0076170E"/>
    <w:rsid w:val="00761E0A"/>
    <w:rsid w:val="00764C93"/>
    <w:rsid w:val="00765903"/>
    <w:rsid w:val="007672B6"/>
    <w:rsid w:val="0077278F"/>
    <w:rsid w:val="007744B6"/>
    <w:rsid w:val="00777BF6"/>
    <w:rsid w:val="00780568"/>
    <w:rsid w:val="007812C0"/>
    <w:rsid w:val="00781327"/>
    <w:rsid w:val="00781794"/>
    <w:rsid w:val="00781C0A"/>
    <w:rsid w:val="0078287E"/>
    <w:rsid w:val="00783476"/>
    <w:rsid w:val="00784F42"/>
    <w:rsid w:val="00786CF1"/>
    <w:rsid w:val="007873A9"/>
    <w:rsid w:val="00787888"/>
    <w:rsid w:val="00790CA6"/>
    <w:rsid w:val="007924F9"/>
    <w:rsid w:val="007934E5"/>
    <w:rsid w:val="00793F46"/>
    <w:rsid w:val="007940CE"/>
    <w:rsid w:val="007944D7"/>
    <w:rsid w:val="00794BD0"/>
    <w:rsid w:val="0079573F"/>
    <w:rsid w:val="00795ACF"/>
    <w:rsid w:val="00796C2F"/>
    <w:rsid w:val="00797428"/>
    <w:rsid w:val="007A1120"/>
    <w:rsid w:val="007A19BA"/>
    <w:rsid w:val="007A45EC"/>
    <w:rsid w:val="007A68BF"/>
    <w:rsid w:val="007A710F"/>
    <w:rsid w:val="007A7853"/>
    <w:rsid w:val="007A78EF"/>
    <w:rsid w:val="007A7C23"/>
    <w:rsid w:val="007A7E20"/>
    <w:rsid w:val="007B02A4"/>
    <w:rsid w:val="007B143E"/>
    <w:rsid w:val="007B18FB"/>
    <w:rsid w:val="007B25A8"/>
    <w:rsid w:val="007B2DAE"/>
    <w:rsid w:val="007B3407"/>
    <w:rsid w:val="007B3B51"/>
    <w:rsid w:val="007B4D68"/>
    <w:rsid w:val="007B6397"/>
    <w:rsid w:val="007B63D6"/>
    <w:rsid w:val="007B6F07"/>
    <w:rsid w:val="007B75E8"/>
    <w:rsid w:val="007C0075"/>
    <w:rsid w:val="007C576F"/>
    <w:rsid w:val="007C6200"/>
    <w:rsid w:val="007C6831"/>
    <w:rsid w:val="007C786E"/>
    <w:rsid w:val="007D16B4"/>
    <w:rsid w:val="007D1712"/>
    <w:rsid w:val="007D2DAE"/>
    <w:rsid w:val="007D363E"/>
    <w:rsid w:val="007D5A5A"/>
    <w:rsid w:val="007D5AE1"/>
    <w:rsid w:val="007D638C"/>
    <w:rsid w:val="007D7D96"/>
    <w:rsid w:val="007E1978"/>
    <w:rsid w:val="007E1D1D"/>
    <w:rsid w:val="007E407E"/>
    <w:rsid w:val="007E611F"/>
    <w:rsid w:val="007E7B13"/>
    <w:rsid w:val="007F0C1B"/>
    <w:rsid w:val="007F1493"/>
    <w:rsid w:val="007F2203"/>
    <w:rsid w:val="007F25BA"/>
    <w:rsid w:val="007F280F"/>
    <w:rsid w:val="007F2D2F"/>
    <w:rsid w:val="007F3A0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7433"/>
    <w:rsid w:val="0080747C"/>
    <w:rsid w:val="00807862"/>
    <w:rsid w:val="00807AFC"/>
    <w:rsid w:val="0081030A"/>
    <w:rsid w:val="00813454"/>
    <w:rsid w:val="00817CFF"/>
    <w:rsid w:val="00820AFE"/>
    <w:rsid w:val="00820BA3"/>
    <w:rsid w:val="00821CB1"/>
    <w:rsid w:val="00821D6D"/>
    <w:rsid w:val="00822A69"/>
    <w:rsid w:val="00824768"/>
    <w:rsid w:val="00825820"/>
    <w:rsid w:val="00825830"/>
    <w:rsid w:val="00825F28"/>
    <w:rsid w:val="00827786"/>
    <w:rsid w:val="00827C12"/>
    <w:rsid w:val="00830BB2"/>
    <w:rsid w:val="0083122A"/>
    <w:rsid w:val="0083202B"/>
    <w:rsid w:val="00833953"/>
    <w:rsid w:val="00834308"/>
    <w:rsid w:val="00835066"/>
    <w:rsid w:val="00836583"/>
    <w:rsid w:val="00843E5A"/>
    <w:rsid w:val="00845308"/>
    <w:rsid w:val="0084620B"/>
    <w:rsid w:val="00846E2D"/>
    <w:rsid w:val="008472C9"/>
    <w:rsid w:val="00847B27"/>
    <w:rsid w:val="0085246C"/>
    <w:rsid w:val="00853AAF"/>
    <w:rsid w:val="00853DB1"/>
    <w:rsid w:val="008555AC"/>
    <w:rsid w:val="00856378"/>
    <w:rsid w:val="008603D9"/>
    <w:rsid w:val="00860894"/>
    <w:rsid w:val="00860F1C"/>
    <w:rsid w:val="00861089"/>
    <w:rsid w:val="008616C7"/>
    <w:rsid w:val="00861976"/>
    <w:rsid w:val="008622F3"/>
    <w:rsid w:val="00862B69"/>
    <w:rsid w:val="008635CE"/>
    <w:rsid w:val="008658B0"/>
    <w:rsid w:val="00866559"/>
    <w:rsid w:val="00867375"/>
    <w:rsid w:val="00867968"/>
    <w:rsid w:val="008704A4"/>
    <w:rsid w:val="008704AF"/>
    <w:rsid w:val="00870617"/>
    <w:rsid w:val="00870A01"/>
    <w:rsid w:val="00870AE0"/>
    <w:rsid w:val="00870EA8"/>
    <w:rsid w:val="008719B9"/>
    <w:rsid w:val="00871BB3"/>
    <w:rsid w:val="008731F4"/>
    <w:rsid w:val="00875736"/>
    <w:rsid w:val="00875B56"/>
    <w:rsid w:val="00876EE3"/>
    <w:rsid w:val="00877F07"/>
    <w:rsid w:val="008808D4"/>
    <w:rsid w:val="008853B0"/>
    <w:rsid w:val="00885DD4"/>
    <w:rsid w:val="0088641F"/>
    <w:rsid w:val="00887376"/>
    <w:rsid w:val="00892AB9"/>
    <w:rsid w:val="00893F24"/>
    <w:rsid w:val="0089446B"/>
    <w:rsid w:val="008965AA"/>
    <w:rsid w:val="0089707E"/>
    <w:rsid w:val="00897652"/>
    <w:rsid w:val="008A09C2"/>
    <w:rsid w:val="008A3002"/>
    <w:rsid w:val="008A411A"/>
    <w:rsid w:val="008A4A72"/>
    <w:rsid w:val="008A5914"/>
    <w:rsid w:val="008A6C9C"/>
    <w:rsid w:val="008A71F2"/>
    <w:rsid w:val="008A7D22"/>
    <w:rsid w:val="008B01D2"/>
    <w:rsid w:val="008B3781"/>
    <w:rsid w:val="008B3AB9"/>
    <w:rsid w:val="008B47B2"/>
    <w:rsid w:val="008B51A2"/>
    <w:rsid w:val="008B64EE"/>
    <w:rsid w:val="008B7F5D"/>
    <w:rsid w:val="008C0EC8"/>
    <w:rsid w:val="008C1D46"/>
    <w:rsid w:val="008C2293"/>
    <w:rsid w:val="008C30EF"/>
    <w:rsid w:val="008C3306"/>
    <w:rsid w:val="008D004B"/>
    <w:rsid w:val="008D1272"/>
    <w:rsid w:val="008D2028"/>
    <w:rsid w:val="008D2861"/>
    <w:rsid w:val="008D2885"/>
    <w:rsid w:val="008D594E"/>
    <w:rsid w:val="008D6198"/>
    <w:rsid w:val="008E02BD"/>
    <w:rsid w:val="008E34D4"/>
    <w:rsid w:val="008E7104"/>
    <w:rsid w:val="008E734B"/>
    <w:rsid w:val="008F1F1F"/>
    <w:rsid w:val="008F342B"/>
    <w:rsid w:val="008F37AB"/>
    <w:rsid w:val="008F4617"/>
    <w:rsid w:val="008F4C82"/>
    <w:rsid w:val="008F65FF"/>
    <w:rsid w:val="008F7236"/>
    <w:rsid w:val="008F7DC7"/>
    <w:rsid w:val="008F7F70"/>
    <w:rsid w:val="0090210F"/>
    <w:rsid w:val="00902764"/>
    <w:rsid w:val="0090276F"/>
    <w:rsid w:val="009030E6"/>
    <w:rsid w:val="00904511"/>
    <w:rsid w:val="009046C0"/>
    <w:rsid w:val="00906EE9"/>
    <w:rsid w:val="00907C94"/>
    <w:rsid w:val="00910084"/>
    <w:rsid w:val="00910F74"/>
    <w:rsid w:val="00911172"/>
    <w:rsid w:val="009118CE"/>
    <w:rsid w:val="00911F94"/>
    <w:rsid w:val="00913783"/>
    <w:rsid w:val="0091442F"/>
    <w:rsid w:val="00915402"/>
    <w:rsid w:val="00915522"/>
    <w:rsid w:val="00915C10"/>
    <w:rsid w:val="00916590"/>
    <w:rsid w:val="00920937"/>
    <w:rsid w:val="009220AD"/>
    <w:rsid w:val="009229B9"/>
    <w:rsid w:val="00923114"/>
    <w:rsid w:val="00923A52"/>
    <w:rsid w:val="00924A19"/>
    <w:rsid w:val="00925439"/>
    <w:rsid w:val="00925842"/>
    <w:rsid w:val="00925931"/>
    <w:rsid w:val="009263C8"/>
    <w:rsid w:val="00926F9F"/>
    <w:rsid w:val="009274F1"/>
    <w:rsid w:val="00930C74"/>
    <w:rsid w:val="00932777"/>
    <w:rsid w:val="00934472"/>
    <w:rsid w:val="0093457D"/>
    <w:rsid w:val="00937031"/>
    <w:rsid w:val="00937180"/>
    <w:rsid w:val="009406EE"/>
    <w:rsid w:val="00942A10"/>
    <w:rsid w:val="00943545"/>
    <w:rsid w:val="009438BF"/>
    <w:rsid w:val="00943B59"/>
    <w:rsid w:val="00945092"/>
    <w:rsid w:val="0094595D"/>
    <w:rsid w:val="00946630"/>
    <w:rsid w:val="009501FA"/>
    <w:rsid w:val="0095130C"/>
    <w:rsid w:val="0095192D"/>
    <w:rsid w:val="00951F55"/>
    <w:rsid w:val="00954995"/>
    <w:rsid w:val="009556DF"/>
    <w:rsid w:val="00955FC7"/>
    <w:rsid w:val="009574A8"/>
    <w:rsid w:val="00957718"/>
    <w:rsid w:val="00960745"/>
    <w:rsid w:val="0096086A"/>
    <w:rsid w:val="00960A02"/>
    <w:rsid w:val="0096158D"/>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664"/>
    <w:rsid w:val="009A59CF"/>
    <w:rsid w:val="009A5C8C"/>
    <w:rsid w:val="009A5EFB"/>
    <w:rsid w:val="009A61F7"/>
    <w:rsid w:val="009A655A"/>
    <w:rsid w:val="009A79EA"/>
    <w:rsid w:val="009B0D62"/>
    <w:rsid w:val="009B1C6C"/>
    <w:rsid w:val="009B39C5"/>
    <w:rsid w:val="009B5A30"/>
    <w:rsid w:val="009B640B"/>
    <w:rsid w:val="009B7C2C"/>
    <w:rsid w:val="009C1084"/>
    <w:rsid w:val="009C2A1D"/>
    <w:rsid w:val="009C4CD3"/>
    <w:rsid w:val="009C5204"/>
    <w:rsid w:val="009C5F49"/>
    <w:rsid w:val="009C6E95"/>
    <w:rsid w:val="009D07B1"/>
    <w:rsid w:val="009D263A"/>
    <w:rsid w:val="009D2A32"/>
    <w:rsid w:val="009D2DEA"/>
    <w:rsid w:val="009D2F58"/>
    <w:rsid w:val="009D3656"/>
    <w:rsid w:val="009D36E9"/>
    <w:rsid w:val="009D4D71"/>
    <w:rsid w:val="009D5724"/>
    <w:rsid w:val="009D5F92"/>
    <w:rsid w:val="009D7527"/>
    <w:rsid w:val="009E0584"/>
    <w:rsid w:val="009E0E4F"/>
    <w:rsid w:val="009E0F9B"/>
    <w:rsid w:val="009E2B00"/>
    <w:rsid w:val="009E51FC"/>
    <w:rsid w:val="009E6A72"/>
    <w:rsid w:val="009E7976"/>
    <w:rsid w:val="009F1140"/>
    <w:rsid w:val="009F1B48"/>
    <w:rsid w:val="009F1F15"/>
    <w:rsid w:val="009F2DF2"/>
    <w:rsid w:val="009F2F09"/>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1EB2"/>
    <w:rsid w:val="00A22548"/>
    <w:rsid w:val="00A22D13"/>
    <w:rsid w:val="00A22E04"/>
    <w:rsid w:val="00A231F0"/>
    <w:rsid w:val="00A248F6"/>
    <w:rsid w:val="00A26557"/>
    <w:rsid w:val="00A2717F"/>
    <w:rsid w:val="00A27997"/>
    <w:rsid w:val="00A27AE6"/>
    <w:rsid w:val="00A27B86"/>
    <w:rsid w:val="00A31E79"/>
    <w:rsid w:val="00A33876"/>
    <w:rsid w:val="00A34860"/>
    <w:rsid w:val="00A34F17"/>
    <w:rsid w:val="00A41399"/>
    <w:rsid w:val="00A4568C"/>
    <w:rsid w:val="00A4629C"/>
    <w:rsid w:val="00A506D8"/>
    <w:rsid w:val="00A514DD"/>
    <w:rsid w:val="00A52569"/>
    <w:rsid w:val="00A5493F"/>
    <w:rsid w:val="00A54A1C"/>
    <w:rsid w:val="00A560A2"/>
    <w:rsid w:val="00A56FE6"/>
    <w:rsid w:val="00A61988"/>
    <w:rsid w:val="00A62F8C"/>
    <w:rsid w:val="00A63D50"/>
    <w:rsid w:val="00A6577C"/>
    <w:rsid w:val="00A65BAE"/>
    <w:rsid w:val="00A67452"/>
    <w:rsid w:val="00A67F00"/>
    <w:rsid w:val="00A70BDF"/>
    <w:rsid w:val="00A70C2D"/>
    <w:rsid w:val="00A73584"/>
    <w:rsid w:val="00A73D76"/>
    <w:rsid w:val="00A752DF"/>
    <w:rsid w:val="00A75FED"/>
    <w:rsid w:val="00A76720"/>
    <w:rsid w:val="00A76762"/>
    <w:rsid w:val="00A77C6A"/>
    <w:rsid w:val="00A77DE3"/>
    <w:rsid w:val="00A809FF"/>
    <w:rsid w:val="00A815B9"/>
    <w:rsid w:val="00A843A7"/>
    <w:rsid w:val="00A85742"/>
    <w:rsid w:val="00A865B8"/>
    <w:rsid w:val="00A900A5"/>
    <w:rsid w:val="00A92C34"/>
    <w:rsid w:val="00A9545E"/>
    <w:rsid w:val="00A968E8"/>
    <w:rsid w:val="00A978DF"/>
    <w:rsid w:val="00AA09EC"/>
    <w:rsid w:val="00AA293E"/>
    <w:rsid w:val="00AA3937"/>
    <w:rsid w:val="00AA3DBB"/>
    <w:rsid w:val="00AA3FD9"/>
    <w:rsid w:val="00AA46C1"/>
    <w:rsid w:val="00AA510D"/>
    <w:rsid w:val="00AA7E16"/>
    <w:rsid w:val="00AB15CE"/>
    <w:rsid w:val="00AB2EFA"/>
    <w:rsid w:val="00AB32DF"/>
    <w:rsid w:val="00AB32E6"/>
    <w:rsid w:val="00AB3F28"/>
    <w:rsid w:val="00AB5E83"/>
    <w:rsid w:val="00AC0EAF"/>
    <w:rsid w:val="00AC1780"/>
    <w:rsid w:val="00AC1AB7"/>
    <w:rsid w:val="00AC1AC0"/>
    <w:rsid w:val="00AC24B8"/>
    <w:rsid w:val="00AC435F"/>
    <w:rsid w:val="00AC4372"/>
    <w:rsid w:val="00AC54B8"/>
    <w:rsid w:val="00AC7946"/>
    <w:rsid w:val="00AC7FAC"/>
    <w:rsid w:val="00AD1EA5"/>
    <w:rsid w:val="00AD25A5"/>
    <w:rsid w:val="00AD39D5"/>
    <w:rsid w:val="00AD3AA0"/>
    <w:rsid w:val="00AD5986"/>
    <w:rsid w:val="00AD7C06"/>
    <w:rsid w:val="00AE1D6E"/>
    <w:rsid w:val="00AE1F00"/>
    <w:rsid w:val="00AE1F1C"/>
    <w:rsid w:val="00AE203B"/>
    <w:rsid w:val="00AE429C"/>
    <w:rsid w:val="00AE4C9B"/>
    <w:rsid w:val="00AE64D3"/>
    <w:rsid w:val="00AF0675"/>
    <w:rsid w:val="00AF24C9"/>
    <w:rsid w:val="00AF54FF"/>
    <w:rsid w:val="00AF6A90"/>
    <w:rsid w:val="00AF6B0D"/>
    <w:rsid w:val="00AF6C66"/>
    <w:rsid w:val="00B009ED"/>
    <w:rsid w:val="00B02DF9"/>
    <w:rsid w:val="00B0322D"/>
    <w:rsid w:val="00B03CB5"/>
    <w:rsid w:val="00B050F2"/>
    <w:rsid w:val="00B07996"/>
    <w:rsid w:val="00B109F0"/>
    <w:rsid w:val="00B114F5"/>
    <w:rsid w:val="00B11934"/>
    <w:rsid w:val="00B11D40"/>
    <w:rsid w:val="00B127FC"/>
    <w:rsid w:val="00B12B16"/>
    <w:rsid w:val="00B13241"/>
    <w:rsid w:val="00B13C67"/>
    <w:rsid w:val="00B14BFC"/>
    <w:rsid w:val="00B14EC6"/>
    <w:rsid w:val="00B16BC6"/>
    <w:rsid w:val="00B216BC"/>
    <w:rsid w:val="00B22324"/>
    <w:rsid w:val="00B2451F"/>
    <w:rsid w:val="00B24F28"/>
    <w:rsid w:val="00B25036"/>
    <w:rsid w:val="00B262DA"/>
    <w:rsid w:val="00B30A0C"/>
    <w:rsid w:val="00B3107C"/>
    <w:rsid w:val="00B31852"/>
    <w:rsid w:val="00B3325B"/>
    <w:rsid w:val="00B33FB8"/>
    <w:rsid w:val="00B3684D"/>
    <w:rsid w:val="00B369CA"/>
    <w:rsid w:val="00B37310"/>
    <w:rsid w:val="00B40CD1"/>
    <w:rsid w:val="00B40EAC"/>
    <w:rsid w:val="00B41647"/>
    <w:rsid w:val="00B424CE"/>
    <w:rsid w:val="00B425C7"/>
    <w:rsid w:val="00B43735"/>
    <w:rsid w:val="00B44010"/>
    <w:rsid w:val="00B45FFB"/>
    <w:rsid w:val="00B5104D"/>
    <w:rsid w:val="00B52851"/>
    <w:rsid w:val="00B53E44"/>
    <w:rsid w:val="00B550E1"/>
    <w:rsid w:val="00B55177"/>
    <w:rsid w:val="00B55404"/>
    <w:rsid w:val="00B56163"/>
    <w:rsid w:val="00B56689"/>
    <w:rsid w:val="00B5702E"/>
    <w:rsid w:val="00B5748F"/>
    <w:rsid w:val="00B57750"/>
    <w:rsid w:val="00B57B5D"/>
    <w:rsid w:val="00B604D9"/>
    <w:rsid w:val="00B6064E"/>
    <w:rsid w:val="00B61B7C"/>
    <w:rsid w:val="00B62CFF"/>
    <w:rsid w:val="00B637F8"/>
    <w:rsid w:val="00B65B08"/>
    <w:rsid w:val="00B67001"/>
    <w:rsid w:val="00B6790A"/>
    <w:rsid w:val="00B70CBB"/>
    <w:rsid w:val="00B714F8"/>
    <w:rsid w:val="00B737BE"/>
    <w:rsid w:val="00B76472"/>
    <w:rsid w:val="00B80FD6"/>
    <w:rsid w:val="00B81036"/>
    <w:rsid w:val="00B82CFE"/>
    <w:rsid w:val="00B8325F"/>
    <w:rsid w:val="00B83499"/>
    <w:rsid w:val="00B83D63"/>
    <w:rsid w:val="00B8465F"/>
    <w:rsid w:val="00B84A42"/>
    <w:rsid w:val="00B858E1"/>
    <w:rsid w:val="00B90EAF"/>
    <w:rsid w:val="00B92BEF"/>
    <w:rsid w:val="00B9358C"/>
    <w:rsid w:val="00B9445F"/>
    <w:rsid w:val="00B96422"/>
    <w:rsid w:val="00B96577"/>
    <w:rsid w:val="00B97403"/>
    <w:rsid w:val="00BA1EA6"/>
    <w:rsid w:val="00BA27E6"/>
    <w:rsid w:val="00BA2910"/>
    <w:rsid w:val="00BA3ABA"/>
    <w:rsid w:val="00BA4CBD"/>
    <w:rsid w:val="00BA4D64"/>
    <w:rsid w:val="00BA52AE"/>
    <w:rsid w:val="00BA564A"/>
    <w:rsid w:val="00BA59F0"/>
    <w:rsid w:val="00BA75A9"/>
    <w:rsid w:val="00BA7B58"/>
    <w:rsid w:val="00BB11E7"/>
    <w:rsid w:val="00BB2082"/>
    <w:rsid w:val="00BB2E89"/>
    <w:rsid w:val="00BB2F32"/>
    <w:rsid w:val="00BB606F"/>
    <w:rsid w:val="00BC06A1"/>
    <w:rsid w:val="00BC1633"/>
    <w:rsid w:val="00BC1B68"/>
    <w:rsid w:val="00BC3772"/>
    <w:rsid w:val="00BC480A"/>
    <w:rsid w:val="00BC4B43"/>
    <w:rsid w:val="00BC60D6"/>
    <w:rsid w:val="00BC6EC8"/>
    <w:rsid w:val="00BD0128"/>
    <w:rsid w:val="00BD12E8"/>
    <w:rsid w:val="00BD1A63"/>
    <w:rsid w:val="00BD220C"/>
    <w:rsid w:val="00BD3088"/>
    <w:rsid w:val="00BD5B40"/>
    <w:rsid w:val="00BD627D"/>
    <w:rsid w:val="00BD77FC"/>
    <w:rsid w:val="00BE04E4"/>
    <w:rsid w:val="00BE069A"/>
    <w:rsid w:val="00BE0A90"/>
    <w:rsid w:val="00BE0B7B"/>
    <w:rsid w:val="00BE1506"/>
    <w:rsid w:val="00BE2A7F"/>
    <w:rsid w:val="00BE382B"/>
    <w:rsid w:val="00BE39A9"/>
    <w:rsid w:val="00BE4585"/>
    <w:rsid w:val="00BE4770"/>
    <w:rsid w:val="00BE4DBB"/>
    <w:rsid w:val="00BE5223"/>
    <w:rsid w:val="00BE59D5"/>
    <w:rsid w:val="00BE63E4"/>
    <w:rsid w:val="00BF2358"/>
    <w:rsid w:val="00BF2E0B"/>
    <w:rsid w:val="00BF49C4"/>
    <w:rsid w:val="00BF4A72"/>
    <w:rsid w:val="00BF5376"/>
    <w:rsid w:val="00BF57CF"/>
    <w:rsid w:val="00BF5BF5"/>
    <w:rsid w:val="00BF6655"/>
    <w:rsid w:val="00BF6C46"/>
    <w:rsid w:val="00BF7ED9"/>
    <w:rsid w:val="00C00743"/>
    <w:rsid w:val="00C00F35"/>
    <w:rsid w:val="00C02890"/>
    <w:rsid w:val="00C0395C"/>
    <w:rsid w:val="00C03DDB"/>
    <w:rsid w:val="00C04279"/>
    <w:rsid w:val="00C049EA"/>
    <w:rsid w:val="00C04ADF"/>
    <w:rsid w:val="00C04DA3"/>
    <w:rsid w:val="00C05031"/>
    <w:rsid w:val="00C05882"/>
    <w:rsid w:val="00C066B3"/>
    <w:rsid w:val="00C06EB3"/>
    <w:rsid w:val="00C06F59"/>
    <w:rsid w:val="00C07F1D"/>
    <w:rsid w:val="00C1076C"/>
    <w:rsid w:val="00C12D52"/>
    <w:rsid w:val="00C146D7"/>
    <w:rsid w:val="00C15487"/>
    <w:rsid w:val="00C17C2B"/>
    <w:rsid w:val="00C217FA"/>
    <w:rsid w:val="00C219D6"/>
    <w:rsid w:val="00C21B83"/>
    <w:rsid w:val="00C21CD3"/>
    <w:rsid w:val="00C22E6B"/>
    <w:rsid w:val="00C23520"/>
    <w:rsid w:val="00C24072"/>
    <w:rsid w:val="00C2408C"/>
    <w:rsid w:val="00C24480"/>
    <w:rsid w:val="00C24CA1"/>
    <w:rsid w:val="00C25977"/>
    <w:rsid w:val="00C25B97"/>
    <w:rsid w:val="00C26578"/>
    <w:rsid w:val="00C305D7"/>
    <w:rsid w:val="00C31035"/>
    <w:rsid w:val="00C32A97"/>
    <w:rsid w:val="00C33D68"/>
    <w:rsid w:val="00C35E68"/>
    <w:rsid w:val="00C40F08"/>
    <w:rsid w:val="00C43322"/>
    <w:rsid w:val="00C4336C"/>
    <w:rsid w:val="00C436A6"/>
    <w:rsid w:val="00C44031"/>
    <w:rsid w:val="00C4481C"/>
    <w:rsid w:val="00C453DC"/>
    <w:rsid w:val="00C461DD"/>
    <w:rsid w:val="00C47192"/>
    <w:rsid w:val="00C50D61"/>
    <w:rsid w:val="00C51547"/>
    <w:rsid w:val="00C518ED"/>
    <w:rsid w:val="00C53D8F"/>
    <w:rsid w:val="00C5632E"/>
    <w:rsid w:val="00C5714F"/>
    <w:rsid w:val="00C61725"/>
    <w:rsid w:val="00C633B5"/>
    <w:rsid w:val="00C63443"/>
    <w:rsid w:val="00C63FF5"/>
    <w:rsid w:val="00C64040"/>
    <w:rsid w:val="00C6502F"/>
    <w:rsid w:val="00C65C0F"/>
    <w:rsid w:val="00C668CE"/>
    <w:rsid w:val="00C66A1B"/>
    <w:rsid w:val="00C66D23"/>
    <w:rsid w:val="00C67EEB"/>
    <w:rsid w:val="00C707A7"/>
    <w:rsid w:val="00C7184F"/>
    <w:rsid w:val="00C74985"/>
    <w:rsid w:val="00C759AF"/>
    <w:rsid w:val="00C75EAD"/>
    <w:rsid w:val="00C75ED2"/>
    <w:rsid w:val="00C76CCD"/>
    <w:rsid w:val="00C81C72"/>
    <w:rsid w:val="00C82E14"/>
    <w:rsid w:val="00C83C2E"/>
    <w:rsid w:val="00C85321"/>
    <w:rsid w:val="00C856E0"/>
    <w:rsid w:val="00C858F6"/>
    <w:rsid w:val="00C87336"/>
    <w:rsid w:val="00C90196"/>
    <w:rsid w:val="00C90E19"/>
    <w:rsid w:val="00C91858"/>
    <w:rsid w:val="00C91B87"/>
    <w:rsid w:val="00C91B9A"/>
    <w:rsid w:val="00C9251E"/>
    <w:rsid w:val="00C9447D"/>
    <w:rsid w:val="00C95877"/>
    <w:rsid w:val="00C95E64"/>
    <w:rsid w:val="00C95FC6"/>
    <w:rsid w:val="00C96B23"/>
    <w:rsid w:val="00C973AE"/>
    <w:rsid w:val="00CA0C00"/>
    <w:rsid w:val="00CA19D0"/>
    <w:rsid w:val="00CA1C1D"/>
    <w:rsid w:val="00CA23A2"/>
    <w:rsid w:val="00CA29E8"/>
    <w:rsid w:val="00CA3C02"/>
    <w:rsid w:val="00CA4465"/>
    <w:rsid w:val="00CA56AA"/>
    <w:rsid w:val="00CA56F3"/>
    <w:rsid w:val="00CA607F"/>
    <w:rsid w:val="00CA64BB"/>
    <w:rsid w:val="00CA6832"/>
    <w:rsid w:val="00CA6CC3"/>
    <w:rsid w:val="00CB0136"/>
    <w:rsid w:val="00CB07D6"/>
    <w:rsid w:val="00CB0FE0"/>
    <w:rsid w:val="00CB157D"/>
    <w:rsid w:val="00CB1675"/>
    <w:rsid w:val="00CB1B02"/>
    <w:rsid w:val="00CB2AD9"/>
    <w:rsid w:val="00CB38BD"/>
    <w:rsid w:val="00CB4B24"/>
    <w:rsid w:val="00CB57BE"/>
    <w:rsid w:val="00CB6720"/>
    <w:rsid w:val="00CB672D"/>
    <w:rsid w:val="00CB6D6E"/>
    <w:rsid w:val="00CB7841"/>
    <w:rsid w:val="00CC0F8D"/>
    <w:rsid w:val="00CC1590"/>
    <w:rsid w:val="00CC2CBE"/>
    <w:rsid w:val="00CC3337"/>
    <w:rsid w:val="00CC5B42"/>
    <w:rsid w:val="00CC7DF1"/>
    <w:rsid w:val="00CD06AB"/>
    <w:rsid w:val="00CD07BA"/>
    <w:rsid w:val="00CD124F"/>
    <w:rsid w:val="00CD2836"/>
    <w:rsid w:val="00CD476D"/>
    <w:rsid w:val="00CE0AC8"/>
    <w:rsid w:val="00CE1E1E"/>
    <w:rsid w:val="00CE3598"/>
    <w:rsid w:val="00CE566B"/>
    <w:rsid w:val="00CE60B7"/>
    <w:rsid w:val="00CE7471"/>
    <w:rsid w:val="00CE7A0E"/>
    <w:rsid w:val="00CF0018"/>
    <w:rsid w:val="00CF1CEC"/>
    <w:rsid w:val="00CF2D5F"/>
    <w:rsid w:val="00CF2E23"/>
    <w:rsid w:val="00CF507B"/>
    <w:rsid w:val="00CF5827"/>
    <w:rsid w:val="00D0183F"/>
    <w:rsid w:val="00D02647"/>
    <w:rsid w:val="00D02BF3"/>
    <w:rsid w:val="00D03B3C"/>
    <w:rsid w:val="00D03EDE"/>
    <w:rsid w:val="00D03FB8"/>
    <w:rsid w:val="00D0762E"/>
    <w:rsid w:val="00D1017C"/>
    <w:rsid w:val="00D101BE"/>
    <w:rsid w:val="00D11CEE"/>
    <w:rsid w:val="00D15637"/>
    <w:rsid w:val="00D15F07"/>
    <w:rsid w:val="00D15FC5"/>
    <w:rsid w:val="00D16285"/>
    <w:rsid w:val="00D21018"/>
    <w:rsid w:val="00D220FA"/>
    <w:rsid w:val="00D223A9"/>
    <w:rsid w:val="00D22FA7"/>
    <w:rsid w:val="00D235B1"/>
    <w:rsid w:val="00D23BD8"/>
    <w:rsid w:val="00D2462A"/>
    <w:rsid w:val="00D252FE"/>
    <w:rsid w:val="00D2742E"/>
    <w:rsid w:val="00D30D5A"/>
    <w:rsid w:val="00D3144F"/>
    <w:rsid w:val="00D32F3E"/>
    <w:rsid w:val="00D34BD1"/>
    <w:rsid w:val="00D35F9B"/>
    <w:rsid w:val="00D365FE"/>
    <w:rsid w:val="00D36B2F"/>
    <w:rsid w:val="00D3734F"/>
    <w:rsid w:val="00D4059C"/>
    <w:rsid w:val="00D42691"/>
    <w:rsid w:val="00D44463"/>
    <w:rsid w:val="00D4551B"/>
    <w:rsid w:val="00D455B4"/>
    <w:rsid w:val="00D45937"/>
    <w:rsid w:val="00D47117"/>
    <w:rsid w:val="00D47D4E"/>
    <w:rsid w:val="00D47F21"/>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72F"/>
    <w:rsid w:val="00D637E9"/>
    <w:rsid w:val="00D63830"/>
    <w:rsid w:val="00D646B5"/>
    <w:rsid w:val="00D64F24"/>
    <w:rsid w:val="00D66E14"/>
    <w:rsid w:val="00D67962"/>
    <w:rsid w:val="00D70CD4"/>
    <w:rsid w:val="00D71298"/>
    <w:rsid w:val="00D71D97"/>
    <w:rsid w:val="00D72348"/>
    <w:rsid w:val="00D72D1E"/>
    <w:rsid w:val="00D75F8B"/>
    <w:rsid w:val="00D85CF6"/>
    <w:rsid w:val="00D85E38"/>
    <w:rsid w:val="00D8693E"/>
    <w:rsid w:val="00D86DBF"/>
    <w:rsid w:val="00D87AFC"/>
    <w:rsid w:val="00D9038A"/>
    <w:rsid w:val="00D934DB"/>
    <w:rsid w:val="00D93500"/>
    <w:rsid w:val="00D94BDD"/>
    <w:rsid w:val="00DA0F86"/>
    <w:rsid w:val="00DA159B"/>
    <w:rsid w:val="00DA1850"/>
    <w:rsid w:val="00DA231E"/>
    <w:rsid w:val="00DB3045"/>
    <w:rsid w:val="00DB3AA3"/>
    <w:rsid w:val="00DB3C11"/>
    <w:rsid w:val="00DB4707"/>
    <w:rsid w:val="00DB60A1"/>
    <w:rsid w:val="00DC107E"/>
    <w:rsid w:val="00DC1C60"/>
    <w:rsid w:val="00DC2385"/>
    <w:rsid w:val="00DC3062"/>
    <w:rsid w:val="00DC356E"/>
    <w:rsid w:val="00DC3FCB"/>
    <w:rsid w:val="00DC5DB1"/>
    <w:rsid w:val="00DC6ED4"/>
    <w:rsid w:val="00DD40BF"/>
    <w:rsid w:val="00DD4AF2"/>
    <w:rsid w:val="00DD4DE1"/>
    <w:rsid w:val="00DD4E22"/>
    <w:rsid w:val="00DD65C4"/>
    <w:rsid w:val="00DD69D6"/>
    <w:rsid w:val="00DD6D1E"/>
    <w:rsid w:val="00DE042E"/>
    <w:rsid w:val="00DE153F"/>
    <w:rsid w:val="00DE1BD3"/>
    <w:rsid w:val="00DE1BFB"/>
    <w:rsid w:val="00DE221B"/>
    <w:rsid w:val="00DE2F5E"/>
    <w:rsid w:val="00DE60F2"/>
    <w:rsid w:val="00DF2185"/>
    <w:rsid w:val="00DF4C11"/>
    <w:rsid w:val="00DF50A1"/>
    <w:rsid w:val="00DF5D25"/>
    <w:rsid w:val="00DF690E"/>
    <w:rsid w:val="00DF702D"/>
    <w:rsid w:val="00E03E56"/>
    <w:rsid w:val="00E041AB"/>
    <w:rsid w:val="00E04851"/>
    <w:rsid w:val="00E04A17"/>
    <w:rsid w:val="00E057B6"/>
    <w:rsid w:val="00E05A53"/>
    <w:rsid w:val="00E05E5E"/>
    <w:rsid w:val="00E0691B"/>
    <w:rsid w:val="00E07B11"/>
    <w:rsid w:val="00E10594"/>
    <w:rsid w:val="00E10756"/>
    <w:rsid w:val="00E1264B"/>
    <w:rsid w:val="00E14A8D"/>
    <w:rsid w:val="00E16149"/>
    <w:rsid w:val="00E17BCD"/>
    <w:rsid w:val="00E21437"/>
    <w:rsid w:val="00E219BB"/>
    <w:rsid w:val="00E21B55"/>
    <w:rsid w:val="00E21BC4"/>
    <w:rsid w:val="00E22104"/>
    <w:rsid w:val="00E23712"/>
    <w:rsid w:val="00E2393E"/>
    <w:rsid w:val="00E24DF0"/>
    <w:rsid w:val="00E26988"/>
    <w:rsid w:val="00E26C66"/>
    <w:rsid w:val="00E26D59"/>
    <w:rsid w:val="00E2729D"/>
    <w:rsid w:val="00E27716"/>
    <w:rsid w:val="00E339B6"/>
    <w:rsid w:val="00E340DB"/>
    <w:rsid w:val="00E344F1"/>
    <w:rsid w:val="00E34BCA"/>
    <w:rsid w:val="00E377BD"/>
    <w:rsid w:val="00E37C5A"/>
    <w:rsid w:val="00E40146"/>
    <w:rsid w:val="00E41870"/>
    <w:rsid w:val="00E42702"/>
    <w:rsid w:val="00E42D1A"/>
    <w:rsid w:val="00E447B6"/>
    <w:rsid w:val="00E45351"/>
    <w:rsid w:val="00E46879"/>
    <w:rsid w:val="00E532E4"/>
    <w:rsid w:val="00E54B0B"/>
    <w:rsid w:val="00E555EF"/>
    <w:rsid w:val="00E56400"/>
    <w:rsid w:val="00E56C2B"/>
    <w:rsid w:val="00E56C8C"/>
    <w:rsid w:val="00E5725A"/>
    <w:rsid w:val="00E5786D"/>
    <w:rsid w:val="00E57A07"/>
    <w:rsid w:val="00E57E73"/>
    <w:rsid w:val="00E606A9"/>
    <w:rsid w:val="00E6372F"/>
    <w:rsid w:val="00E657FE"/>
    <w:rsid w:val="00E662DE"/>
    <w:rsid w:val="00E668D4"/>
    <w:rsid w:val="00E67F57"/>
    <w:rsid w:val="00E706E4"/>
    <w:rsid w:val="00E708E9"/>
    <w:rsid w:val="00E738CC"/>
    <w:rsid w:val="00E760BD"/>
    <w:rsid w:val="00E771B2"/>
    <w:rsid w:val="00E77B9D"/>
    <w:rsid w:val="00E80944"/>
    <w:rsid w:val="00E81269"/>
    <w:rsid w:val="00E83953"/>
    <w:rsid w:val="00E83DE4"/>
    <w:rsid w:val="00E83EB8"/>
    <w:rsid w:val="00E86A13"/>
    <w:rsid w:val="00E86DAD"/>
    <w:rsid w:val="00E90124"/>
    <w:rsid w:val="00E90764"/>
    <w:rsid w:val="00E91515"/>
    <w:rsid w:val="00E94210"/>
    <w:rsid w:val="00E95FE6"/>
    <w:rsid w:val="00E963A1"/>
    <w:rsid w:val="00E96526"/>
    <w:rsid w:val="00E97415"/>
    <w:rsid w:val="00EA032C"/>
    <w:rsid w:val="00EA051D"/>
    <w:rsid w:val="00EA2105"/>
    <w:rsid w:val="00EA3C36"/>
    <w:rsid w:val="00EA3D0B"/>
    <w:rsid w:val="00EA4550"/>
    <w:rsid w:val="00EA5554"/>
    <w:rsid w:val="00EA6FAA"/>
    <w:rsid w:val="00EA7EEA"/>
    <w:rsid w:val="00EB033A"/>
    <w:rsid w:val="00EB0C68"/>
    <w:rsid w:val="00EB11B1"/>
    <w:rsid w:val="00EB15B3"/>
    <w:rsid w:val="00EB1FC1"/>
    <w:rsid w:val="00EB34C0"/>
    <w:rsid w:val="00EB3A00"/>
    <w:rsid w:val="00EB4EF9"/>
    <w:rsid w:val="00EB5029"/>
    <w:rsid w:val="00EB581D"/>
    <w:rsid w:val="00EB5C47"/>
    <w:rsid w:val="00EB5E54"/>
    <w:rsid w:val="00EB62FF"/>
    <w:rsid w:val="00EB6D07"/>
    <w:rsid w:val="00EB7D75"/>
    <w:rsid w:val="00EC0527"/>
    <w:rsid w:val="00EC1FB3"/>
    <w:rsid w:val="00EC384C"/>
    <w:rsid w:val="00EC388D"/>
    <w:rsid w:val="00EC43FD"/>
    <w:rsid w:val="00EC5BEA"/>
    <w:rsid w:val="00EC650E"/>
    <w:rsid w:val="00ED0CD1"/>
    <w:rsid w:val="00ED2269"/>
    <w:rsid w:val="00ED329F"/>
    <w:rsid w:val="00ED3836"/>
    <w:rsid w:val="00ED41C6"/>
    <w:rsid w:val="00ED45B9"/>
    <w:rsid w:val="00ED47DB"/>
    <w:rsid w:val="00ED4A7E"/>
    <w:rsid w:val="00ED4B58"/>
    <w:rsid w:val="00ED7C20"/>
    <w:rsid w:val="00EE254C"/>
    <w:rsid w:val="00EE3755"/>
    <w:rsid w:val="00EE459C"/>
    <w:rsid w:val="00EE5233"/>
    <w:rsid w:val="00EE65C7"/>
    <w:rsid w:val="00EE74FB"/>
    <w:rsid w:val="00EE7A15"/>
    <w:rsid w:val="00EF09EA"/>
    <w:rsid w:val="00EF0CF2"/>
    <w:rsid w:val="00EF0D5B"/>
    <w:rsid w:val="00EF0EDF"/>
    <w:rsid w:val="00EF0F0B"/>
    <w:rsid w:val="00EF102C"/>
    <w:rsid w:val="00EF1375"/>
    <w:rsid w:val="00EF2413"/>
    <w:rsid w:val="00EF32DF"/>
    <w:rsid w:val="00EF4068"/>
    <w:rsid w:val="00EF5DD7"/>
    <w:rsid w:val="00EF5FF3"/>
    <w:rsid w:val="00EF69C2"/>
    <w:rsid w:val="00EF7CBA"/>
    <w:rsid w:val="00EF7D29"/>
    <w:rsid w:val="00F03A74"/>
    <w:rsid w:val="00F04A44"/>
    <w:rsid w:val="00F0509C"/>
    <w:rsid w:val="00F06B6A"/>
    <w:rsid w:val="00F06DED"/>
    <w:rsid w:val="00F07E11"/>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D2E"/>
    <w:rsid w:val="00F41F4F"/>
    <w:rsid w:val="00F428A4"/>
    <w:rsid w:val="00F42A10"/>
    <w:rsid w:val="00F43728"/>
    <w:rsid w:val="00F44323"/>
    <w:rsid w:val="00F46AC3"/>
    <w:rsid w:val="00F5148A"/>
    <w:rsid w:val="00F51AEB"/>
    <w:rsid w:val="00F5288D"/>
    <w:rsid w:val="00F53A6D"/>
    <w:rsid w:val="00F53C01"/>
    <w:rsid w:val="00F5431E"/>
    <w:rsid w:val="00F57249"/>
    <w:rsid w:val="00F60CFE"/>
    <w:rsid w:val="00F634B1"/>
    <w:rsid w:val="00F64806"/>
    <w:rsid w:val="00F67C0E"/>
    <w:rsid w:val="00F71F1F"/>
    <w:rsid w:val="00F73641"/>
    <w:rsid w:val="00F74106"/>
    <w:rsid w:val="00F74460"/>
    <w:rsid w:val="00F74ECB"/>
    <w:rsid w:val="00F76355"/>
    <w:rsid w:val="00F80BD6"/>
    <w:rsid w:val="00F82486"/>
    <w:rsid w:val="00F83636"/>
    <w:rsid w:val="00F83861"/>
    <w:rsid w:val="00F84AEB"/>
    <w:rsid w:val="00F851C7"/>
    <w:rsid w:val="00F91DCF"/>
    <w:rsid w:val="00F92064"/>
    <w:rsid w:val="00F92822"/>
    <w:rsid w:val="00F94C51"/>
    <w:rsid w:val="00FA1262"/>
    <w:rsid w:val="00FA4EDF"/>
    <w:rsid w:val="00FA57E6"/>
    <w:rsid w:val="00FB0360"/>
    <w:rsid w:val="00FB0863"/>
    <w:rsid w:val="00FB234D"/>
    <w:rsid w:val="00FB32AA"/>
    <w:rsid w:val="00FB451F"/>
    <w:rsid w:val="00FB54F5"/>
    <w:rsid w:val="00FB5E8D"/>
    <w:rsid w:val="00FB6FC7"/>
    <w:rsid w:val="00FB7DCF"/>
    <w:rsid w:val="00FC0522"/>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E8A"/>
    <w:rsid w:val="00FE6B14"/>
    <w:rsid w:val="00FE7C25"/>
    <w:rsid w:val="00FF2ADC"/>
    <w:rsid w:val="00FF4F59"/>
    <w:rsid w:val="00FF5BDB"/>
    <w:rsid w:val="00FF5D1A"/>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B3684D"/>
    <w:pPr>
      <w:keepNext/>
      <w:spacing w:after="240" w:line="480" w:lineRule="auto"/>
      <w:jc w:val="both"/>
      <w:outlineLvl w:val="1"/>
    </w:pPr>
    <w:rPr>
      <w:rFonts w:ascii="Arial" w:hAnsi="Arial" w:cs="Arial"/>
      <w:b/>
      <w:bCs/>
    </w:rPr>
  </w:style>
  <w:style w:type="paragraph" w:styleId="Heading3">
    <w:name w:val="heading 3"/>
    <w:basedOn w:val="Normal"/>
    <w:next w:val="Normal"/>
    <w:link w:val="Heading3Char"/>
    <w:uiPriority w:val="9"/>
    <w:unhideWhenUsed/>
    <w:qFormat/>
    <w:rsid w:val="004A33BE"/>
    <w:pPr>
      <w:keepNext/>
      <w:spacing w:after="240" w:line="480" w:lineRule="auto"/>
      <w:ind w:left="720" w:hanging="720"/>
      <w:jc w:val="both"/>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aliases w:val="Footnote Text Char1,Footnote Text Char Char,Footnote Text Char1 Char,Footnote Text Char Char Char,Footnote Text Char Char1,Footnote Text Char Char Char Char Char,Footnote Text Char Char1 Char Char,(NECG) Footnote Text,ALTS FOOTNOTE,Car"/>
    <w:basedOn w:val="Normal"/>
    <w:link w:val="FootnoteTextChar"/>
    <w:uiPriority w:val="99"/>
    <w:unhideWhenUsed/>
    <w:qFormat/>
    <w:rsid w:val="002D3EF2"/>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Footnote Text Char Char Char Char Char Char,Footnote Text Char Char1 Char Char Char"/>
    <w:basedOn w:val="DefaultParagraphFont"/>
    <w:link w:val="FootnoteText"/>
    <w:uiPriority w:val="99"/>
    <w:rsid w:val="002D3EF2"/>
    <w:rPr>
      <w:rFonts w:ascii="Times New Roman" w:eastAsia="Times New Roman" w:hAnsi="Times New Roman" w:cs="Times New Roman"/>
      <w:sz w:val="20"/>
      <w:szCs w:val="20"/>
    </w:rPr>
  </w:style>
  <w:style w:type="character" w:styleId="FootnoteReference">
    <w:name w:val="footnote reference"/>
    <w:aliases w:val="Footnote Reference + Superscript,(NECG) Footnote Reference,Ref,de nota al pie,註腳內容,Footnotes refss"/>
    <w:basedOn w:val="DefaultParagraphFont"/>
    <w:uiPriority w:val="99"/>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ListParagraphChar">
    <w:name w:val="List Paragraph Char"/>
    <w:link w:val="ListParagraph"/>
    <w:uiPriority w:val="34"/>
    <w:locked/>
    <w:rsid w:val="00A67F00"/>
    <w:rPr>
      <w:rFonts w:ascii="Times New Roman" w:eastAsia="Times New Roman" w:hAnsi="Times New Roman" w:cs="Times New Roman"/>
      <w:sz w:val="24"/>
      <w:szCs w:val="24"/>
    </w:rPr>
  </w:style>
  <w:style w:type="paragraph" w:customStyle="1" w:styleId="Default">
    <w:name w:val="Default"/>
    <w:rsid w:val="00AE203B"/>
    <w:pPr>
      <w:widowControl/>
      <w:adjustRightInd w:val="0"/>
    </w:pPr>
    <w:rPr>
      <w:rFonts w:ascii="Arial" w:hAnsi="Arial" w:cs="Arial"/>
      <w:color w:val="000000"/>
      <w:sz w:val="24"/>
      <w:szCs w:val="24"/>
      <w:lang w:val="en-GB"/>
    </w:rPr>
  </w:style>
  <w:style w:type="character" w:customStyle="1" w:styleId="UnresolvedMention">
    <w:name w:val="Unresolved Mention"/>
    <w:basedOn w:val="DefaultParagraphFont"/>
    <w:uiPriority w:val="99"/>
    <w:semiHidden/>
    <w:unhideWhenUsed/>
    <w:rsid w:val="00B30A0C"/>
    <w:rPr>
      <w:color w:val="605E5C"/>
      <w:shd w:val="clear" w:color="auto" w:fill="E1DFDD"/>
    </w:rPr>
  </w:style>
  <w:style w:type="character" w:styleId="FollowedHyperlink">
    <w:name w:val="FollowedHyperlink"/>
    <w:basedOn w:val="DefaultParagraphFont"/>
    <w:uiPriority w:val="99"/>
    <w:semiHidden/>
    <w:unhideWhenUsed/>
    <w:rsid w:val="00B30A0C"/>
    <w:rPr>
      <w:color w:val="800080" w:themeColor="followedHyperlink"/>
      <w:u w:val="single"/>
    </w:rPr>
  </w:style>
  <w:style w:type="character" w:customStyle="1" w:styleId="Heading2Char">
    <w:name w:val="Heading 2 Char"/>
    <w:basedOn w:val="DefaultParagraphFont"/>
    <w:link w:val="Heading2"/>
    <w:uiPriority w:val="9"/>
    <w:rsid w:val="00B3684D"/>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E2729D"/>
    <w:pPr>
      <w:spacing w:after="240" w:line="480" w:lineRule="auto"/>
      <w:ind w:left="1418" w:hanging="720"/>
      <w:jc w:val="both"/>
    </w:pPr>
    <w:rPr>
      <w:rFonts w:ascii="Arial" w:hAnsi="Arial" w:cs="Arial"/>
    </w:rPr>
  </w:style>
  <w:style w:type="character" w:customStyle="1" w:styleId="BodyTextIndentChar">
    <w:name w:val="Body Text Indent Char"/>
    <w:basedOn w:val="DefaultParagraphFont"/>
    <w:link w:val="BodyTextIndent"/>
    <w:uiPriority w:val="99"/>
    <w:rsid w:val="00E2729D"/>
    <w:rPr>
      <w:rFonts w:ascii="Arial" w:eastAsia="Times New Roman" w:hAnsi="Arial" w:cs="Arial"/>
      <w:sz w:val="24"/>
      <w:szCs w:val="24"/>
    </w:rPr>
  </w:style>
  <w:style w:type="character" w:customStyle="1" w:styleId="Heading3Char">
    <w:name w:val="Heading 3 Char"/>
    <w:basedOn w:val="DefaultParagraphFont"/>
    <w:link w:val="Heading3"/>
    <w:uiPriority w:val="9"/>
    <w:rsid w:val="004A33BE"/>
    <w:rPr>
      <w:rFonts w:ascii="Arial" w:eastAsia="Times New Roman" w:hAnsi="Arial" w:cs="Arial"/>
      <w:b/>
      <w:bCs/>
      <w:iCs/>
      <w:sz w:val="24"/>
      <w:szCs w:val="24"/>
    </w:rPr>
  </w:style>
  <w:style w:type="paragraph" w:styleId="BodyTextIndent2">
    <w:name w:val="Body Text Indent 2"/>
    <w:basedOn w:val="Normal"/>
    <w:link w:val="BodyTextIndent2Char"/>
    <w:uiPriority w:val="99"/>
    <w:unhideWhenUsed/>
    <w:rsid w:val="00546460"/>
    <w:pPr>
      <w:spacing w:after="240" w:line="480" w:lineRule="auto"/>
      <w:ind w:left="993" w:hanging="12"/>
      <w:jc w:val="both"/>
    </w:pPr>
    <w:rPr>
      <w:rFonts w:ascii="Arial" w:hAnsi="Arial" w:cs="Arial"/>
      <w:i/>
      <w:iCs/>
      <w:lang w:val="af-ZA"/>
    </w:rPr>
  </w:style>
  <w:style w:type="character" w:customStyle="1" w:styleId="BodyTextIndent2Char">
    <w:name w:val="Body Text Indent 2 Char"/>
    <w:basedOn w:val="DefaultParagraphFont"/>
    <w:link w:val="BodyTextIndent2"/>
    <w:uiPriority w:val="99"/>
    <w:rsid w:val="00546460"/>
    <w:rPr>
      <w:rFonts w:ascii="Arial" w:eastAsia="Times New Roman" w:hAnsi="Arial" w:cs="Arial"/>
      <w:i/>
      <w:iCs/>
      <w:sz w:val="24"/>
      <w:szCs w:val="24"/>
      <w:lang w:val="af-ZA"/>
    </w:rPr>
  </w:style>
  <w:style w:type="paragraph" w:styleId="BodyTextIndent3">
    <w:name w:val="Body Text Indent 3"/>
    <w:basedOn w:val="Normal"/>
    <w:link w:val="BodyTextIndent3Char"/>
    <w:uiPriority w:val="99"/>
    <w:unhideWhenUsed/>
    <w:rsid w:val="00CD476D"/>
    <w:pPr>
      <w:spacing w:after="240" w:line="480" w:lineRule="auto"/>
      <w:ind w:left="1701" w:hanging="720"/>
      <w:jc w:val="both"/>
    </w:pPr>
    <w:rPr>
      <w:rFonts w:ascii="Arial" w:hAnsi="Arial" w:cs="Arial"/>
      <w:i/>
      <w:iCs/>
      <w:lang w:val="af-ZA"/>
    </w:rPr>
  </w:style>
  <w:style w:type="character" w:customStyle="1" w:styleId="BodyTextIndent3Char">
    <w:name w:val="Body Text Indent 3 Char"/>
    <w:basedOn w:val="DefaultParagraphFont"/>
    <w:link w:val="BodyTextIndent3"/>
    <w:uiPriority w:val="99"/>
    <w:rsid w:val="00CD476D"/>
    <w:rPr>
      <w:rFonts w:ascii="Arial" w:eastAsia="Times New Roman" w:hAnsi="Arial" w:cs="Arial"/>
      <w:i/>
      <w:iCs/>
      <w:sz w:val="24"/>
      <w:szCs w:val="24"/>
      <w:lang w:val="af-ZA"/>
    </w:rPr>
  </w:style>
  <w:style w:type="paragraph" w:styleId="BodyText2">
    <w:name w:val="Body Text 2"/>
    <w:basedOn w:val="Normal"/>
    <w:link w:val="BodyText2Char"/>
    <w:uiPriority w:val="99"/>
    <w:unhideWhenUsed/>
    <w:rsid w:val="00B22324"/>
    <w:pPr>
      <w:spacing w:after="240" w:line="480" w:lineRule="auto"/>
      <w:jc w:val="both"/>
    </w:pPr>
    <w:rPr>
      <w:rFonts w:ascii="Arial" w:hAnsi="Arial" w:cs="Arial"/>
      <w:b/>
      <w:bCs/>
    </w:rPr>
  </w:style>
  <w:style w:type="character" w:customStyle="1" w:styleId="BodyText2Char">
    <w:name w:val="Body Text 2 Char"/>
    <w:basedOn w:val="DefaultParagraphFont"/>
    <w:link w:val="BodyText2"/>
    <w:uiPriority w:val="99"/>
    <w:rsid w:val="00B22324"/>
    <w:rPr>
      <w:rFonts w:ascii="Arial" w:eastAsia="Times New Roman" w:hAnsi="Arial" w:cs="Arial"/>
      <w:b/>
      <w:bCs/>
      <w:sz w:val="24"/>
      <w:szCs w:val="24"/>
    </w:rPr>
  </w:style>
  <w:style w:type="paragraph" w:styleId="EndnoteText">
    <w:name w:val="endnote text"/>
    <w:basedOn w:val="Normal"/>
    <w:link w:val="EndnoteTextChar"/>
    <w:uiPriority w:val="99"/>
    <w:semiHidden/>
    <w:unhideWhenUsed/>
    <w:rsid w:val="00870EA8"/>
    <w:rPr>
      <w:sz w:val="20"/>
      <w:szCs w:val="20"/>
    </w:rPr>
  </w:style>
  <w:style w:type="character" w:customStyle="1" w:styleId="EndnoteTextChar">
    <w:name w:val="Endnote Text Char"/>
    <w:basedOn w:val="DefaultParagraphFont"/>
    <w:link w:val="EndnoteText"/>
    <w:uiPriority w:val="99"/>
    <w:semiHidden/>
    <w:rsid w:val="00870E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0EA8"/>
    <w:rPr>
      <w:vertAlign w:val="superscript"/>
    </w:rPr>
  </w:style>
  <w:style w:type="character" w:styleId="Emphasis">
    <w:name w:val="Emphasis"/>
    <w:basedOn w:val="DefaultParagraphFont"/>
    <w:uiPriority w:val="20"/>
    <w:qFormat/>
    <w:rsid w:val="00C91B87"/>
    <w:rPr>
      <w:i/>
      <w:iCs/>
    </w:rPr>
  </w:style>
  <w:style w:type="character" w:customStyle="1" w:styleId="apple-converted-space">
    <w:name w:val="apple-converted-space"/>
    <w:basedOn w:val="DefaultParagraphFont"/>
    <w:rsid w:val="00D6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27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0D55A5-512F-4381-A8C6-E9868419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stelios@law.co.za</cp:lastModifiedBy>
  <cp:revision>14</cp:revision>
  <cp:lastPrinted>2023-02-20T10:27:00Z</cp:lastPrinted>
  <dcterms:created xsi:type="dcterms:W3CDTF">2023-02-16T10:29:00Z</dcterms:created>
  <dcterms:modified xsi:type="dcterms:W3CDTF">2023-02-20T10:00:00Z</dcterms:modified>
</cp:coreProperties>
</file>