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CE64B" w14:textId="62BAC4F2" w:rsidR="00B01811" w:rsidRDefault="00B01811" w:rsidP="008743BB">
      <w:pPr>
        <w:ind w:left="720" w:firstLine="720"/>
        <w:rPr>
          <w:rFonts w:ascii="Arial" w:hAnsi="Arial" w:cs="Arial"/>
          <w:b/>
          <w:sz w:val="26"/>
          <w:szCs w:val="26"/>
        </w:rPr>
      </w:pPr>
      <w:bookmarkStart w:id="0" w:name="_GoBack"/>
      <w:bookmarkEnd w:id="0"/>
      <w:r w:rsidRPr="008B79D6">
        <w:rPr>
          <w:rFonts w:ascii="Arial" w:hAnsi="Arial" w:cs="Arial"/>
          <w:b/>
          <w:noProof/>
          <w:u w:val="single"/>
          <w:lang w:val="en-ZA" w:eastAsia="en-ZA"/>
        </w:rPr>
        <w:drawing>
          <wp:anchor distT="0" distB="0" distL="114300" distR="114300" simplePos="0" relativeHeight="251658240" behindDoc="1" locked="0" layoutInCell="1" allowOverlap="1" wp14:anchorId="1D62DEF9" wp14:editId="2A50AFC6">
            <wp:simplePos x="0" y="0"/>
            <wp:positionH relativeFrom="margin">
              <wp:posOffset>2082800</wp:posOffset>
            </wp:positionH>
            <wp:positionV relativeFrom="paragraph">
              <wp:posOffset>-482600</wp:posOffset>
            </wp:positionV>
            <wp:extent cx="1504950" cy="1438275"/>
            <wp:effectExtent l="0" t="0" r="0"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9">
                      <a:extLst>
                        <a:ext uri="{BEBA8EAE-BF5A-486C-A8C5-ECC9F3942E4B}">
                          <a14:imgProps xmlns:a14="http://schemas.microsoft.com/office/drawing/2010/main">
                            <a14:imgLayer r:embed="rId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0EF6AB2D" w14:textId="77777777" w:rsidR="00B01811" w:rsidRDefault="00B01811" w:rsidP="008743BB">
      <w:pPr>
        <w:ind w:left="720" w:firstLine="720"/>
        <w:rPr>
          <w:rFonts w:ascii="Arial" w:hAnsi="Arial" w:cs="Arial"/>
          <w:b/>
          <w:sz w:val="26"/>
          <w:szCs w:val="26"/>
        </w:rPr>
      </w:pPr>
    </w:p>
    <w:p w14:paraId="5E29DDD0" w14:textId="77777777" w:rsidR="00B01811" w:rsidRDefault="00B01811" w:rsidP="008743BB">
      <w:pPr>
        <w:ind w:left="720" w:firstLine="720"/>
        <w:rPr>
          <w:rFonts w:ascii="Arial" w:hAnsi="Arial" w:cs="Arial"/>
          <w:b/>
          <w:sz w:val="26"/>
          <w:szCs w:val="26"/>
        </w:rPr>
      </w:pPr>
    </w:p>
    <w:p w14:paraId="6DC05B94" w14:textId="77777777" w:rsidR="00B01811" w:rsidRDefault="00B01811" w:rsidP="008743BB">
      <w:pPr>
        <w:ind w:left="720" w:firstLine="720"/>
        <w:rPr>
          <w:rFonts w:ascii="Arial" w:hAnsi="Arial" w:cs="Arial"/>
          <w:b/>
          <w:sz w:val="26"/>
          <w:szCs w:val="26"/>
        </w:rPr>
      </w:pPr>
    </w:p>
    <w:p w14:paraId="736F2A36" w14:textId="23B39951" w:rsidR="005B62B9" w:rsidRPr="008F7851" w:rsidRDefault="00B01811" w:rsidP="008743BB">
      <w:pPr>
        <w:ind w:left="720" w:firstLine="720"/>
        <w:rPr>
          <w:rFonts w:ascii="Arial" w:hAnsi="Arial" w:cs="Arial"/>
          <w:b/>
          <w:sz w:val="26"/>
          <w:szCs w:val="26"/>
        </w:rPr>
      </w:pPr>
      <w:r>
        <w:rPr>
          <w:rFonts w:ascii="Arial" w:hAnsi="Arial" w:cs="Arial"/>
          <w:b/>
          <w:sz w:val="26"/>
          <w:szCs w:val="26"/>
        </w:rPr>
        <w:t xml:space="preserve">    </w:t>
      </w:r>
      <w:r w:rsidR="008743BB" w:rsidRPr="008F7851">
        <w:rPr>
          <w:rFonts w:ascii="Arial" w:hAnsi="Arial" w:cs="Arial"/>
          <w:b/>
          <w:sz w:val="26"/>
          <w:szCs w:val="26"/>
        </w:rPr>
        <w:t>IN THE HIGH COURT OF SOUTH AFRICA</w:t>
      </w:r>
    </w:p>
    <w:p w14:paraId="0AB34AC3" w14:textId="0C3BCFE7" w:rsidR="008743BB" w:rsidRPr="008F7851" w:rsidRDefault="00B01811" w:rsidP="008743BB">
      <w:pPr>
        <w:ind w:left="720" w:firstLine="720"/>
        <w:rPr>
          <w:rFonts w:ascii="Arial" w:hAnsi="Arial" w:cs="Arial"/>
          <w:sz w:val="26"/>
          <w:szCs w:val="26"/>
        </w:rPr>
      </w:pPr>
      <w:r>
        <w:rPr>
          <w:rFonts w:ascii="Arial" w:hAnsi="Arial" w:cs="Arial"/>
          <w:b/>
          <w:sz w:val="26"/>
          <w:szCs w:val="26"/>
        </w:rPr>
        <w:t xml:space="preserve">    </w:t>
      </w:r>
      <w:r w:rsidR="008743BB" w:rsidRPr="008F7851">
        <w:rPr>
          <w:rFonts w:ascii="Arial" w:hAnsi="Arial" w:cs="Arial"/>
          <w:b/>
          <w:sz w:val="26"/>
          <w:szCs w:val="26"/>
        </w:rPr>
        <w:t>FREE STATE DIVISION, BLOEMFONTEIN</w:t>
      </w:r>
    </w:p>
    <w:p w14:paraId="1B47D91C" w14:textId="77777777" w:rsidR="008743BB" w:rsidRPr="008F7851" w:rsidRDefault="008743BB" w:rsidP="008743BB">
      <w:pPr>
        <w:ind w:left="720" w:firstLine="720"/>
        <w:rPr>
          <w:rFonts w:ascii="Arial" w:hAnsi="Arial" w:cs="Arial"/>
          <w:sz w:val="26"/>
          <w:szCs w:val="26"/>
        </w:rPr>
      </w:pPr>
    </w:p>
    <w:p w14:paraId="2E60B87A" w14:textId="496871A9" w:rsidR="008743BB" w:rsidRPr="008F7851" w:rsidRDefault="008743BB" w:rsidP="008743BB">
      <w:pPr>
        <w:ind w:left="720" w:firstLine="720"/>
        <w:rPr>
          <w:rFonts w:ascii="Arial" w:hAnsi="Arial" w:cs="Arial"/>
          <w:b/>
          <w:sz w:val="26"/>
          <w:szCs w:val="26"/>
        </w:rPr>
      </w:pP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008F7851" w:rsidRPr="008F7851">
        <w:rPr>
          <w:rFonts w:ascii="Arial" w:hAnsi="Arial" w:cs="Arial"/>
          <w:b/>
          <w:sz w:val="26"/>
          <w:szCs w:val="26"/>
        </w:rPr>
        <w:t xml:space="preserve">CASE NO. </w:t>
      </w:r>
      <w:r w:rsidR="006663D5">
        <w:rPr>
          <w:rFonts w:ascii="Arial" w:hAnsi="Arial" w:cs="Arial"/>
          <w:b/>
          <w:sz w:val="26"/>
          <w:szCs w:val="26"/>
        </w:rPr>
        <w:t>92</w:t>
      </w:r>
      <w:r w:rsidR="00BE16C7">
        <w:rPr>
          <w:rFonts w:ascii="Arial" w:hAnsi="Arial" w:cs="Arial"/>
          <w:b/>
          <w:sz w:val="26"/>
          <w:szCs w:val="26"/>
        </w:rPr>
        <w:t>2/</w:t>
      </w:r>
      <w:r w:rsidRPr="008F7851">
        <w:rPr>
          <w:rFonts w:ascii="Arial" w:hAnsi="Arial" w:cs="Arial"/>
          <w:b/>
          <w:sz w:val="26"/>
          <w:szCs w:val="26"/>
        </w:rPr>
        <w:t>202</w:t>
      </w:r>
      <w:r w:rsidR="006663D5">
        <w:rPr>
          <w:rFonts w:ascii="Arial" w:hAnsi="Arial" w:cs="Arial"/>
          <w:b/>
          <w:sz w:val="26"/>
          <w:szCs w:val="26"/>
        </w:rPr>
        <w:t>2</w:t>
      </w:r>
    </w:p>
    <w:p w14:paraId="4F91E7BA" w14:textId="40808DB6" w:rsidR="008743BB" w:rsidRPr="008F7851" w:rsidRDefault="008743BB" w:rsidP="008743BB">
      <w:pPr>
        <w:rPr>
          <w:rFonts w:ascii="Arial" w:hAnsi="Arial" w:cs="Arial"/>
          <w:b/>
          <w:sz w:val="26"/>
          <w:szCs w:val="26"/>
        </w:rPr>
      </w:pPr>
      <w:r w:rsidRPr="008F7851">
        <w:rPr>
          <w:rFonts w:ascii="Arial" w:hAnsi="Arial" w:cs="Arial"/>
          <w:b/>
          <w:sz w:val="26"/>
          <w:szCs w:val="26"/>
        </w:rPr>
        <w:t>In the matter between</w:t>
      </w:r>
    </w:p>
    <w:p w14:paraId="2B73A862" w14:textId="77777777" w:rsidR="008743BB" w:rsidRPr="008F7851" w:rsidRDefault="008743BB" w:rsidP="008743BB">
      <w:pPr>
        <w:rPr>
          <w:rFonts w:ascii="Arial" w:hAnsi="Arial" w:cs="Arial"/>
          <w:b/>
          <w:sz w:val="26"/>
          <w:szCs w:val="26"/>
        </w:rPr>
      </w:pPr>
    </w:p>
    <w:p w14:paraId="0F0F7AF7" w14:textId="5771843E" w:rsidR="008743BB" w:rsidRDefault="006663D5" w:rsidP="008743BB">
      <w:pPr>
        <w:rPr>
          <w:rFonts w:ascii="Arial" w:hAnsi="Arial" w:cs="Arial"/>
          <w:b/>
          <w:sz w:val="26"/>
          <w:szCs w:val="26"/>
        </w:rPr>
      </w:pPr>
      <w:r>
        <w:rPr>
          <w:rFonts w:ascii="Arial" w:hAnsi="Arial" w:cs="Arial"/>
          <w:b/>
          <w:sz w:val="26"/>
          <w:szCs w:val="26"/>
        </w:rPr>
        <w:t>SUTHERLAND TRANSPORT</w:t>
      </w:r>
      <w:r w:rsidR="00BE16C7">
        <w:rPr>
          <w:rFonts w:ascii="Arial" w:hAnsi="Arial" w:cs="Arial"/>
          <w:b/>
          <w:sz w:val="26"/>
          <w:szCs w:val="26"/>
        </w:rPr>
        <w:t xml:space="preserve"> (PTY) LTD</w:t>
      </w:r>
      <w:r w:rsidR="00BE16C7">
        <w:rPr>
          <w:rFonts w:ascii="Arial" w:hAnsi="Arial" w:cs="Arial"/>
          <w:b/>
          <w:sz w:val="26"/>
          <w:szCs w:val="26"/>
        </w:rPr>
        <w:tab/>
      </w:r>
      <w:r w:rsidR="00BE16C7">
        <w:rPr>
          <w:rFonts w:ascii="Arial" w:hAnsi="Arial" w:cs="Arial"/>
          <w:b/>
          <w:sz w:val="26"/>
          <w:szCs w:val="26"/>
        </w:rPr>
        <w:tab/>
      </w:r>
      <w:r w:rsidR="00BE16C7">
        <w:rPr>
          <w:rFonts w:ascii="Arial" w:hAnsi="Arial" w:cs="Arial"/>
          <w:b/>
          <w:sz w:val="26"/>
          <w:szCs w:val="26"/>
        </w:rPr>
        <w:tab/>
      </w:r>
      <w:r w:rsidR="008F7851" w:rsidRPr="008F7851">
        <w:rPr>
          <w:rFonts w:ascii="Arial" w:hAnsi="Arial" w:cs="Arial"/>
          <w:b/>
          <w:sz w:val="26"/>
          <w:szCs w:val="26"/>
        </w:rPr>
        <w:t>APPLICANT</w:t>
      </w:r>
    </w:p>
    <w:p w14:paraId="7E8F04CE" w14:textId="4FB84134" w:rsidR="00BE16C7" w:rsidRDefault="00BE16C7" w:rsidP="008743BB">
      <w:pPr>
        <w:rPr>
          <w:rFonts w:ascii="Arial" w:hAnsi="Arial" w:cs="Arial"/>
          <w:b/>
          <w:sz w:val="26"/>
          <w:szCs w:val="26"/>
        </w:rPr>
      </w:pPr>
    </w:p>
    <w:p w14:paraId="6AAA5728" w14:textId="38EB337D" w:rsidR="00BE16C7" w:rsidRPr="008F7851" w:rsidRDefault="00BE16C7" w:rsidP="008743BB">
      <w:pPr>
        <w:rPr>
          <w:rFonts w:ascii="Arial" w:hAnsi="Arial" w:cs="Arial"/>
          <w:b/>
          <w:sz w:val="26"/>
          <w:szCs w:val="26"/>
        </w:rPr>
      </w:pPr>
    </w:p>
    <w:p w14:paraId="5FED1485" w14:textId="77777777" w:rsidR="008F7851" w:rsidRPr="008F7851" w:rsidRDefault="008F7851" w:rsidP="008743BB">
      <w:pPr>
        <w:rPr>
          <w:rFonts w:ascii="Arial" w:hAnsi="Arial" w:cs="Arial"/>
          <w:b/>
          <w:sz w:val="26"/>
          <w:szCs w:val="26"/>
        </w:rPr>
      </w:pPr>
    </w:p>
    <w:p w14:paraId="25391466" w14:textId="77777777" w:rsidR="008743BB" w:rsidRPr="008F7851" w:rsidRDefault="008743BB" w:rsidP="008743BB">
      <w:pPr>
        <w:rPr>
          <w:rFonts w:ascii="Arial" w:hAnsi="Arial" w:cs="Arial"/>
          <w:b/>
          <w:sz w:val="26"/>
          <w:szCs w:val="26"/>
        </w:rPr>
      </w:pPr>
      <w:r w:rsidRPr="008F7851">
        <w:rPr>
          <w:rFonts w:ascii="Arial" w:hAnsi="Arial" w:cs="Arial"/>
          <w:b/>
          <w:sz w:val="26"/>
          <w:szCs w:val="26"/>
        </w:rPr>
        <w:t>versus</w:t>
      </w:r>
    </w:p>
    <w:p w14:paraId="19D05DFB" w14:textId="77777777" w:rsidR="008743BB" w:rsidRPr="008F7851" w:rsidRDefault="008743BB" w:rsidP="008743BB">
      <w:pPr>
        <w:rPr>
          <w:rFonts w:ascii="Arial" w:hAnsi="Arial" w:cs="Arial"/>
          <w:b/>
          <w:sz w:val="26"/>
          <w:szCs w:val="26"/>
        </w:rPr>
      </w:pPr>
    </w:p>
    <w:p w14:paraId="69B22040" w14:textId="5B1C3B5F" w:rsidR="008F7851" w:rsidRDefault="006663D5" w:rsidP="008743BB">
      <w:pPr>
        <w:rPr>
          <w:rFonts w:ascii="Arial" w:hAnsi="Arial" w:cs="Arial"/>
          <w:b/>
          <w:sz w:val="26"/>
          <w:szCs w:val="26"/>
        </w:rPr>
      </w:pPr>
      <w:r>
        <w:rPr>
          <w:rFonts w:ascii="Arial" w:hAnsi="Arial" w:cs="Arial"/>
          <w:b/>
          <w:sz w:val="26"/>
          <w:szCs w:val="26"/>
        </w:rPr>
        <w:t xml:space="preserve">DIRK LOTTER VERVOER </w:t>
      </w:r>
      <w:r w:rsidR="00BE16C7">
        <w:rPr>
          <w:rFonts w:ascii="Arial" w:hAnsi="Arial" w:cs="Arial"/>
          <w:b/>
          <w:sz w:val="26"/>
          <w:szCs w:val="26"/>
        </w:rPr>
        <w:t>(PTY) LTD</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8F7851">
        <w:rPr>
          <w:rFonts w:ascii="Arial" w:hAnsi="Arial" w:cs="Arial"/>
          <w:b/>
          <w:sz w:val="26"/>
          <w:szCs w:val="26"/>
        </w:rPr>
        <w:t>RESPONDENT</w:t>
      </w:r>
    </w:p>
    <w:p w14:paraId="718C2EAF" w14:textId="748751E8" w:rsidR="008F7851" w:rsidRDefault="008F7851" w:rsidP="008743BB">
      <w:pPr>
        <w:rPr>
          <w:rFonts w:ascii="Arial" w:hAnsi="Arial" w:cs="Arial"/>
          <w:b/>
          <w:sz w:val="26"/>
          <w:szCs w:val="26"/>
        </w:rPr>
      </w:pPr>
    </w:p>
    <w:p w14:paraId="06A5957A" w14:textId="5CE8475E" w:rsidR="00FE0A05" w:rsidRPr="00FE0A05" w:rsidRDefault="00FE0A05" w:rsidP="008743BB">
      <w:pPr>
        <w:rPr>
          <w:rFonts w:ascii="Arial" w:hAnsi="Arial" w:cs="Arial"/>
          <w:b/>
          <w:sz w:val="26"/>
          <w:szCs w:val="26"/>
        </w:rPr>
      </w:pPr>
      <w:r w:rsidRPr="00FE0A05">
        <w:rPr>
          <w:rFonts w:ascii="Arial" w:hAnsi="Arial" w:cs="Arial"/>
          <w:b/>
          <w:sz w:val="26"/>
          <w:szCs w:val="26"/>
        </w:rPr>
        <w:t>___________________________________________________________</w:t>
      </w:r>
      <w:r w:rsidR="00951A27">
        <w:rPr>
          <w:rFonts w:ascii="Arial" w:hAnsi="Arial" w:cs="Arial"/>
          <w:b/>
          <w:sz w:val="26"/>
          <w:szCs w:val="26"/>
        </w:rPr>
        <w:t>_____</w:t>
      </w:r>
    </w:p>
    <w:p w14:paraId="437DF5D7" w14:textId="77777777" w:rsidR="00854152" w:rsidRDefault="006C74B2" w:rsidP="006C74B2">
      <w:pPr>
        <w:ind w:firstLine="720"/>
        <w:rPr>
          <w:rFonts w:ascii="Arial" w:hAnsi="Arial" w:cs="Arial"/>
          <w:b/>
          <w:sz w:val="28"/>
          <w:szCs w:val="28"/>
        </w:rPr>
      </w:pPr>
      <w:r>
        <w:rPr>
          <w:rFonts w:ascii="Arial" w:hAnsi="Arial" w:cs="Arial"/>
          <w:b/>
          <w:sz w:val="28"/>
          <w:szCs w:val="28"/>
        </w:rPr>
        <w:t xml:space="preserve">   </w:t>
      </w:r>
      <w:r w:rsidR="006663D5">
        <w:rPr>
          <w:rFonts w:ascii="Arial" w:hAnsi="Arial" w:cs="Arial"/>
          <w:b/>
          <w:sz w:val="28"/>
          <w:szCs w:val="28"/>
        </w:rPr>
        <w:tab/>
      </w:r>
      <w:r w:rsidR="006663D5">
        <w:rPr>
          <w:rFonts w:ascii="Arial" w:hAnsi="Arial" w:cs="Arial"/>
          <w:b/>
          <w:sz w:val="28"/>
          <w:szCs w:val="28"/>
        </w:rPr>
        <w:tab/>
      </w:r>
      <w:r w:rsidR="006663D5">
        <w:rPr>
          <w:rFonts w:ascii="Arial" w:hAnsi="Arial" w:cs="Arial"/>
          <w:b/>
          <w:sz w:val="28"/>
          <w:szCs w:val="28"/>
        </w:rPr>
        <w:tab/>
      </w:r>
      <w:r w:rsidR="006663D5">
        <w:rPr>
          <w:rFonts w:ascii="Arial" w:hAnsi="Arial" w:cs="Arial"/>
          <w:b/>
          <w:sz w:val="28"/>
          <w:szCs w:val="28"/>
        </w:rPr>
        <w:tab/>
      </w:r>
    </w:p>
    <w:p w14:paraId="312587F1" w14:textId="524CFF16" w:rsidR="00854152" w:rsidRDefault="00FE0A05" w:rsidP="00854152">
      <w:pPr>
        <w:ind w:left="2880" w:firstLine="720"/>
        <w:rPr>
          <w:rFonts w:ascii="Arial" w:hAnsi="Arial" w:cs="Arial"/>
          <w:b/>
          <w:sz w:val="26"/>
          <w:szCs w:val="26"/>
        </w:rPr>
      </w:pPr>
      <w:r w:rsidRPr="00C67560">
        <w:rPr>
          <w:rFonts w:ascii="Arial" w:hAnsi="Arial" w:cs="Arial"/>
          <w:b/>
          <w:sz w:val="28"/>
          <w:szCs w:val="28"/>
        </w:rPr>
        <w:t xml:space="preserve">JUDGMENT </w:t>
      </w:r>
      <w:r w:rsidR="006C74B2">
        <w:rPr>
          <w:rFonts w:ascii="Arial" w:hAnsi="Arial" w:cs="Arial"/>
          <w:b/>
          <w:sz w:val="28"/>
          <w:szCs w:val="28"/>
        </w:rPr>
        <w:t xml:space="preserve"> </w:t>
      </w:r>
    </w:p>
    <w:p w14:paraId="5DCB950C" w14:textId="77777777" w:rsidR="00854152" w:rsidRDefault="00854152" w:rsidP="00DC7D71">
      <w:pPr>
        <w:pBdr>
          <w:top w:val="single" w:sz="12" w:space="1" w:color="auto"/>
          <w:bottom w:val="single" w:sz="12" w:space="1" w:color="auto"/>
        </w:pBdr>
        <w:rPr>
          <w:rFonts w:ascii="Arial" w:hAnsi="Arial" w:cs="Arial"/>
          <w:b/>
          <w:sz w:val="26"/>
          <w:szCs w:val="26"/>
        </w:rPr>
      </w:pPr>
    </w:p>
    <w:p w14:paraId="3DCEC88E" w14:textId="76F4EC44" w:rsidR="00854152" w:rsidRDefault="00DC7D71" w:rsidP="00854152">
      <w:pPr>
        <w:pBdr>
          <w:top w:val="single" w:sz="12" w:space="1" w:color="auto"/>
          <w:bottom w:val="single" w:sz="12" w:space="1" w:color="auto"/>
        </w:pBdr>
        <w:rPr>
          <w:rFonts w:ascii="Arial" w:hAnsi="Arial" w:cs="Arial"/>
          <w:b/>
          <w:sz w:val="26"/>
          <w:szCs w:val="26"/>
        </w:rPr>
      </w:pPr>
      <w:r w:rsidRPr="00FE0A05">
        <w:rPr>
          <w:rFonts w:ascii="Arial" w:hAnsi="Arial" w:cs="Arial"/>
          <w:b/>
          <w:sz w:val="26"/>
          <w:szCs w:val="26"/>
        </w:rPr>
        <w:t>CORAM</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00A424D5">
        <w:rPr>
          <w:rFonts w:ascii="Arial" w:hAnsi="Arial" w:cs="Arial"/>
          <w:b/>
          <w:sz w:val="26"/>
          <w:szCs w:val="26"/>
        </w:rPr>
        <w:t xml:space="preserve">          </w:t>
      </w:r>
      <w:r w:rsidRPr="00FE0A05">
        <w:rPr>
          <w:rFonts w:ascii="Arial" w:hAnsi="Arial" w:cs="Arial"/>
          <w:b/>
          <w:sz w:val="26"/>
          <w:szCs w:val="26"/>
        </w:rPr>
        <w:t>NAIDOO</w:t>
      </w:r>
      <w:r>
        <w:rPr>
          <w:rFonts w:ascii="Arial" w:hAnsi="Arial" w:cs="Arial"/>
          <w:b/>
          <w:sz w:val="26"/>
          <w:szCs w:val="26"/>
        </w:rPr>
        <w:t xml:space="preserve"> J </w:t>
      </w:r>
      <w:r w:rsidRPr="00FE0A05">
        <w:rPr>
          <w:rFonts w:ascii="Arial" w:hAnsi="Arial" w:cs="Arial"/>
          <w:b/>
          <w:sz w:val="26"/>
          <w:szCs w:val="26"/>
        </w:rPr>
        <w:t>______________________________________________________</w:t>
      </w:r>
      <w:r>
        <w:rPr>
          <w:rFonts w:ascii="Arial" w:hAnsi="Arial" w:cs="Arial"/>
          <w:b/>
          <w:sz w:val="26"/>
          <w:szCs w:val="26"/>
        </w:rPr>
        <w:t>____</w:t>
      </w:r>
      <w:r w:rsidR="006F01FB">
        <w:rPr>
          <w:rFonts w:ascii="Arial" w:hAnsi="Arial" w:cs="Arial"/>
          <w:b/>
          <w:sz w:val="26"/>
          <w:szCs w:val="26"/>
        </w:rPr>
        <w:t>______</w:t>
      </w:r>
    </w:p>
    <w:p w14:paraId="3CC2B580" w14:textId="6621E804" w:rsidR="00B01811" w:rsidRDefault="00DC7D71" w:rsidP="006663D5">
      <w:pPr>
        <w:pBdr>
          <w:top w:val="single" w:sz="12" w:space="1" w:color="auto"/>
          <w:bottom w:val="single" w:sz="12" w:space="1" w:color="auto"/>
        </w:pBdr>
        <w:ind w:left="2310" w:hanging="2310"/>
        <w:rPr>
          <w:rFonts w:ascii="Arial" w:hAnsi="Arial" w:cs="Arial"/>
          <w:b/>
          <w:sz w:val="26"/>
          <w:szCs w:val="26"/>
        </w:rPr>
      </w:pPr>
      <w:r w:rsidRPr="00FE0A05">
        <w:rPr>
          <w:rFonts w:ascii="Arial" w:hAnsi="Arial" w:cs="Arial"/>
          <w:b/>
          <w:sz w:val="26"/>
          <w:szCs w:val="26"/>
        </w:rPr>
        <w:t xml:space="preserve">HEARD ON: </w:t>
      </w:r>
      <w:r>
        <w:rPr>
          <w:rFonts w:ascii="Arial" w:hAnsi="Arial" w:cs="Arial"/>
          <w:b/>
          <w:sz w:val="26"/>
          <w:szCs w:val="26"/>
        </w:rPr>
        <w:t xml:space="preserve">       </w:t>
      </w:r>
      <w:r w:rsidR="006663D5">
        <w:rPr>
          <w:rFonts w:ascii="Arial" w:hAnsi="Arial" w:cs="Arial"/>
          <w:b/>
          <w:sz w:val="26"/>
          <w:szCs w:val="26"/>
        </w:rPr>
        <w:tab/>
      </w:r>
      <w:r w:rsidR="006663D5">
        <w:rPr>
          <w:rFonts w:ascii="Arial" w:hAnsi="Arial" w:cs="Arial"/>
          <w:b/>
          <w:sz w:val="26"/>
          <w:szCs w:val="26"/>
        </w:rPr>
        <w:tab/>
      </w:r>
      <w:r w:rsidR="006663D5">
        <w:rPr>
          <w:rFonts w:ascii="Arial" w:hAnsi="Arial" w:cs="Arial"/>
          <w:b/>
          <w:sz w:val="26"/>
          <w:szCs w:val="26"/>
        </w:rPr>
        <w:tab/>
        <w:t>17 JUNE 2022</w:t>
      </w:r>
    </w:p>
    <w:p w14:paraId="35369C45" w14:textId="4DFB8FC0" w:rsidR="00B01811" w:rsidRDefault="00B01811" w:rsidP="008743BB">
      <w:pPr>
        <w:pBdr>
          <w:bottom w:val="single" w:sz="12" w:space="1" w:color="auto"/>
          <w:between w:val="single" w:sz="12" w:space="1" w:color="auto"/>
        </w:pBdr>
        <w:rPr>
          <w:rFonts w:ascii="Arial" w:hAnsi="Arial" w:cs="Arial"/>
          <w:b/>
          <w:sz w:val="28"/>
          <w:szCs w:val="28"/>
        </w:rPr>
      </w:pPr>
      <w:r>
        <w:rPr>
          <w:rFonts w:ascii="Arial" w:hAnsi="Arial" w:cs="Arial"/>
          <w:b/>
          <w:sz w:val="26"/>
          <w:szCs w:val="26"/>
        </w:rPr>
        <w:t>D</w:t>
      </w:r>
      <w:r w:rsidR="00DC7D71" w:rsidRPr="00FE0A05">
        <w:rPr>
          <w:rFonts w:ascii="Arial" w:hAnsi="Arial" w:cs="Arial"/>
          <w:b/>
          <w:sz w:val="26"/>
          <w:szCs w:val="26"/>
        </w:rPr>
        <w:t>ELIVERED ON:</w:t>
      </w:r>
      <w:r w:rsidR="00DC7D71">
        <w:rPr>
          <w:rFonts w:ascii="Arial" w:hAnsi="Arial" w:cs="Arial"/>
          <w:b/>
          <w:sz w:val="26"/>
          <w:szCs w:val="26"/>
        </w:rPr>
        <w:tab/>
      </w:r>
      <w:r w:rsidR="00DC7D71">
        <w:rPr>
          <w:rFonts w:ascii="Arial" w:hAnsi="Arial" w:cs="Arial"/>
          <w:b/>
          <w:sz w:val="26"/>
          <w:szCs w:val="26"/>
        </w:rPr>
        <w:tab/>
      </w:r>
      <w:r w:rsidR="00A424D5">
        <w:rPr>
          <w:rFonts w:ascii="Arial" w:hAnsi="Arial" w:cs="Arial"/>
          <w:b/>
          <w:sz w:val="26"/>
          <w:szCs w:val="26"/>
        </w:rPr>
        <w:t xml:space="preserve">          </w:t>
      </w:r>
      <w:r w:rsidR="00081F71">
        <w:rPr>
          <w:rFonts w:ascii="Arial" w:hAnsi="Arial" w:cs="Arial"/>
          <w:b/>
          <w:sz w:val="26"/>
          <w:szCs w:val="26"/>
        </w:rPr>
        <w:t xml:space="preserve">19 </w:t>
      </w:r>
      <w:r w:rsidR="006F01FB">
        <w:rPr>
          <w:rFonts w:ascii="Arial" w:hAnsi="Arial" w:cs="Arial"/>
          <w:b/>
          <w:sz w:val="26"/>
          <w:szCs w:val="26"/>
        </w:rPr>
        <w:t>JANUARY</w:t>
      </w:r>
      <w:r w:rsidR="00800435">
        <w:rPr>
          <w:rFonts w:ascii="Arial" w:hAnsi="Arial" w:cs="Arial"/>
          <w:b/>
          <w:sz w:val="26"/>
          <w:szCs w:val="26"/>
        </w:rPr>
        <w:t xml:space="preserve"> </w:t>
      </w:r>
      <w:r w:rsidR="00D20C19">
        <w:rPr>
          <w:rFonts w:ascii="Arial" w:hAnsi="Arial" w:cs="Arial"/>
          <w:b/>
          <w:sz w:val="26"/>
          <w:szCs w:val="26"/>
        </w:rPr>
        <w:t>20</w:t>
      </w:r>
      <w:r w:rsidR="006F01FB">
        <w:rPr>
          <w:rFonts w:ascii="Arial" w:hAnsi="Arial" w:cs="Arial"/>
          <w:b/>
          <w:sz w:val="26"/>
          <w:szCs w:val="26"/>
        </w:rPr>
        <w:t>23</w:t>
      </w:r>
    </w:p>
    <w:p w14:paraId="6FB34761" w14:textId="4BC6502B" w:rsidR="006F01FB" w:rsidRDefault="006F01FB" w:rsidP="008743BB">
      <w:pPr>
        <w:rPr>
          <w:rFonts w:ascii="Arial" w:hAnsi="Arial" w:cs="Arial"/>
          <w:b/>
          <w:sz w:val="26"/>
          <w:szCs w:val="26"/>
        </w:rPr>
      </w:pPr>
    </w:p>
    <w:p w14:paraId="11FE6C3F" w14:textId="688B7291" w:rsidR="006F01FB" w:rsidRDefault="006F01FB" w:rsidP="008743BB">
      <w:pPr>
        <w:rPr>
          <w:rFonts w:ascii="Arial" w:hAnsi="Arial" w:cs="Arial"/>
          <w:b/>
          <w:sz w:val="26"/>
          <w:szCs w:val="26"/>
        </w:rPr>
      </w:pPr>
    </w:p>
    <w:p w14:paraId="48B72208" w14:textId="34A16253" w:rsidR="006F01FB" w:rsidRDefault="006F01FB" w:rsidP="008743BB">
      <w:pPr>
        <w:rPr>
          <w:rFonts w:ascii="Arial" w:hAnsi="Arial" w:cs="Arial"/>
          <w:b/>
          <w:sz w:val="26"/>
          <w:szCs w:val="26"/>
        </w:rPr>
      </w:pPr>
    </w:p>
    <w:p w14:paraId="2E45E6B1" w14:textId="77777777" w:rsidR="006F01FB" w:rsidRPr="00B01811" w:rsidRDefault="006F01FB" w:rsidP="008743BB">
      <w:pPr>
        <w:rPr>
          <w:rFonts w:ascii="Arial" w:hAnsi="Arial" w:cs="Arial"/>
          <w:b/>
          <w:sz w:val="28"/>
          <w:szCs w:val="28"/>
        </w:rPr>
      </w:pPr>
    </w:p>
    <w:p w14:paraId="65B77CFB" w14:textId="7EA1337B" w:rsidR="0068655C" w:rsidRDefault="00D94DB9" w:rsidP="006F01FB">
      <w:pPr>
        <w:spacing w:line="360" w:lineRule="auto"/>
        <w:ind w:left="720" w:hanging="720"/>
        <w:jc w:val="both"/>
        <w:rPr>
          <w:rFonts w:ascii="Arial" w:hAnsi="Arial" w:cs="Arial"/>
          <w:sz w:val="28"/>
          <w:szCs w:val="28"/>
        </w:rPr>
      </w:pPr>
      <w:r w:rsidRPr="00D94DB9">
        <w:rPr>
          <w:rFonts w:ascii="Arial" w:hAnsi="Arial" w:cs="Arial"/>
          <w:sz w:val="28"/>
          <w:szCs w:val="28"/>
        </w:rPr>
        <w:t>[1]</w:t>
      </w:r>
      <w:r w:rsidR="008B035A">
        <w:rPr>
          <w:rFonts w:ascii="Arial" w:hAnsi="Arial" w:cs="Arial"/>
          <w:sz w:val="28"/>
          <w:szCs w:val="28"/>
        </w:rPr>
        <w:t xml:space="preserve"> </w:t>
      </w:r>
      <w:r w:rsidR="008B035A">
        <w:rPr>
          <w:rFonts w:ascii="Arial" w:hAnsi="Arial" w:cs="Arial"/>
          <w:sz w:val="28"/>
          <w:szCs w:val="28"/>
        </w:rPr>
        <w:tab/>
      </w:r>
      <w:r w:rsidR="009861DB">
        <w:rPr>
          <w:rFonts w:ascii="Arial" w:hAnsi="Arial" w:cs="Arial"/>
          <w:sz w:val="28"/>
          <w:szCs w:val="28"/>
        </w:rPr>
        <w:t xml:space="preserve">This </w:t>
      </w:r>
      <w:r w:rsidR="00AF27D6">
        <w:rPr>
          <w:rFonts w:ascii="Arial" w:hAnsi="Arial" w:cs="Arial"/>
          <w:sz w:val="28"/>
          <w:szCs w:val="28"/>
        </w:rPr>
        <w:t>started out as</w:t>
      </w:r>
      <w:r w:rsidR="009861DB">
        <w:rPr>
          <w:rFonts w:ascii="Arial" w:hAnsi="Arial" w:cs="Arial"/>
          <w:sz w:val="28"/>
          <w:szCs w:val="28"/>
        </w:rPr>
        <w:t xml:space="preserve"> a</w:t>
      </w:r>
      <w:r w:rsidR="006F01FB">
        <w:rPr>
          <w:rFonts w:ascii="Arial" w:hAnsi="Arial" w:cs="Arial"/>
          <w:sz w:val="28"/>
          <w:szCs w:val="28"/>
        </w:rPr>
        <w:t>n</w:t>
      </w:r>
      <w:r w:rsidR="00CB7A1C">
        <w:rPr>
          <w:rFonts w:ascii="Arial" w:hAnsi="Arial" w:cs="Arial"/>
          <w:sz w:val="28"/>
          <w:szCs w:val="28"/>
        </w:rPr>
        <w:t xml:space="preserve"> application brought by the </w:t>
      </w:r>
      <w:r w:rsidR="001F1E3C">
        <w:rPr>
          <w:rFonts w:ascii="Arial" w:hAnsi="Arial" w:cs="Arial"/>
          <w:sz w:val="28"/>
          <w:szCs w:val="28"/>
        </w:rPr>
        <w:t>A</w:t>
      </w:r>
      <w:r w:rsidR="00CB7A1C">
        <w:rPr>
          <w:rFonts w:ascii="Arial" w:hAnsi="Arial" w:cs="Arial"/>
          <w:sz w:val="28"/>
          <w:szCs w:val="28"/>
        </w:rPr>
        <w:t>pplicant</w:t>
      </w:r>
      <w:r w:rsidR="001F1E3C">
        <w:rPr>
          <w:rFonts w:ascii="Arial" w:hAnsi="Arial" w:cs="Arial"/>
          <w:sz w:val="28"/>
          <w:szCs w:val="28"/>
        </w:rPr>
        <w:t xml:space="preserve">, </w:t>
      </w:r>
      <w:r w:rsidR="00CB7A1C">
        <w:rPr>
          <w:rFonts w:ascii="Arial" w:hAnsi="Arial" w:cs="Arial"/>
          <w:sz w:val="28"/>
          <w:szCs w:val="28"/>
        </w:rPr>
        <w:t>Sutherland Transport, for the liquidation of the respondent, Dirk Lotter Vervoer (Pty) Ltd</w:t>
      </w:r>
      <w:r w:rsidR="001F1E3C">
        <w:rPr>
          <w:rFonts w:ascii="Arial" w:hAnsi="Arial" w:cs="Arial"/>
          <w:sz w:val="28"/>
          <w:szCs w:val="28"/>
        </w:rPr>
        <w:t xml:space="preserve">, and a claim in the alternative for a money judgment in the amount of One Million Five </w:t>
      </w:r>
      <w:r w:rsidR="003C2255">
        <w:rPr>
          <w:rFonts w:ascii="Arial" w:hAnsi="Arial" w:cs="Arial"/>
          <w:sz w:val="28"/>
          <w:szCs w:val="28"/>
        </w:rPr>
        <w:t>H</w:t>
      </w:r>
      <w:r w:rsidR="001F1E3C">
        <w:rPr>
          <w:rFonts w:ascii="Arial" w:hAnsi="Arial" w:cs="Arial"/>
          <w:sz w:val="28"/>
          <w:szCs w:val="28"/>
        </w:rPr>
        <w:t xml:space="preserve">undred and Forty </w:t>
      </w:r>
      <w:r w:rsidR="00752003">
        <w:rPr>
          <w:rFonts w:ascii="Arial" w:hAnsi="Arial" w:cs="Arial"/>
          <w:sz w:val="28"/>
          <w:szCs w:val="28"/>
        </w:rPr>
        <w:t>T</w:t>
      </w:r>
      <w:r w:rsidR="001F1E3C">
        <w:rPr>
          <w:rFonts w:ascii="Arial" w:hAnsi="Arial" w:cs="Arial"/>
          <w:sz w:val="28"/>
          <w:szCs w:val="28"/>
        </w:rPr>
        <w:t xml:space="preserve">wo Thousand Seven Hundred Seventy Six Rand and Seventy Five Cents (R1 542 776.75). </w:t>
      </w:r>
      <w:r w:rsidR="00AF27D6">
        <w:rPr>
          <w:rFonts w:ascii="Arial" w:hAnsi="Arial" w:cs="Arial"/>
          <w:sz w:val="28"/>
          <w:szCs w:val="28"/>
        </w:rPr>
        <w:t>Shortly after the application was served on the respondent, the latter paid to the applicant an amount of One Million Two Hundred and Eighty Eight Thousand Three Hundred and Thirty Rand (R1 288 330.00), which was not accompanied by a tender for the payment of any interest or the costs of the applicant. I will deal more fully with this later. A</w:t>
      </w:r>
      <w:r w:rsidR="001F1E3C">
        <w:rPr>
          <w:rFonts w:ascii="Arial" w:hAnsi="Arial" w:cs="Arial"/>
          <w:sz w:val="28"/>
          <w:szCs w:val="28"/>
        </w:rPr>
        <w:t>dv S Tsangarakis represented the applicant in this court and Adv P</w:t>
      </w:r>
      <w:r w:rsidR="00F0741C">
        <w:rPr>
          <w:rFonts w:ascii="Arial" w:hAnsi="Arial" w:cs="Arial"/>
          <w:sz w:val="28"/>
          <w:szCs w:val="28"/>
        </w:rPr>
        <w:t xml:space="preserve"> Zietsman SC, represented the respondent.</w:t>
      </w:r>
    </w:p>
    <w:p w14:paraId="15C3F6FA" w14:textId="77777777" w:rsidR="00884CCF" w:rsidRDefault="00884CCF" w:rsidP="0024432A">
      <w:pPr>
        <w:spacing w:line="360" w:lineRule="auto"/>
        <w:ind w:left="720" w:hanging="720"/>
        <w:jc w:val="both"/>
        <w:rPr>
          <w:rFonts w:ascii="Arial" w:hAnsi="Arial" w:cs="Arial"/>
          <w:sz w:val="28"/>
          <w:szCs w:val="28"/>
        </w:rPr>
      </w:pPr>
    </w:p>
    <w:p w14:paraId="1BFD9906" w14:textId="77777777" w:rsidR="00854152" w:rsidRDefault="00B93104" w:rsidP="00A816D5">
      <w:pPr>
        <w:spacing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00927755">
        <w:rPr>
          <w:rFonts w:ascii="Arial" w:hAnsi="Arial" w:cs="Arial"/>
          <w:sz w:val="28"/>
          <w:szCs w:val="28"/>
        </w:rPr>
        <w:t xml:space="preserve"> </w:t>
      </w:r>
      <w:r w:rsidR="00752003">
        <w:rPr>
          <w:rFonts w:ascii="Arial" w:hAnsi="Arial" w:cs="Arial"/>
          <w:sz w:val="28"/>
          <w:szCs w:val="28"/>
        </w:rPr>
        <w:t xml:space="preserve">It is common cause that the applicant and respondent </w:t>
      </w:r>
      <w:r w:rsidR="00E3068E">
        <w:rPr>
          <w:rFonts w:ascii="Arial" w:hAnsi="Arial" w:cs="Arial"/>
          <w:sz w:val="28"/>
          <w:szCs w:val="28"/>
        </w:rPr>
        <w:t>conduct business</w:t>
      </w:r>
      <w:r w:rsidR="00752003">
        <w:rPr>
          <w:rFonts w:ascii="Arial" w:hAnsi="Arial" w:cs="Arial"/>
          <w:sz w:val="28"/>
          <w:szCs w:val="28"/>
        </w:rPr>
        <w:t xml:space="preserve"> in the transport industry, providing carriage services in respect of various goods. In this matter, the respondent engaged the applicant as a subcontractor for provision of carriage services, where the respondent was the main contractor.</w:t>
      </w:r>
      <w:r w:rsidR="00E0085A">
        <w:rPr>
          <w:rFonts w:ascii="Arial" w:hAnsi="Arial" w:cs="Arial"/>
          <w:sz w:val="28"/>
          <w:szCs w:val="28"/>
        </w:rPr>
        <w:t xml:space="preserve"> The </w:t>
      </w:r>
      <w:r w:rsidR="00E3068E">
        <w:rPr>
          <w:rFonts w:ascii="Arial" w:hAnsi="Arial" w:cs="Arial"/>
          <w:sz w:val="28"/>
          <w:szCs w:val="28"/>
        </w:rPr>
        <w:t xml:space="preserve">applicant alleges that the respondent failed to make payment in respect of several invoices since October 2021, and made only part payment in respect of some invoices. Payment was demanded from the respondent as well as </w:t>
      </w:r>
      <w:r w:rsidR="00C50A2A">
        <w:rPr>
          <w:rFonts w:ascii="Arial" w:hAnsi="Arial" w:cs="Arial"/>
          <w:sz w:val="28"/>
          <w:szCs w:val="28"/>
        </w:rPr>
        <w:t>the surety, Coenraad Josephus Taljaard</w:t>
      </w:r>
      <w:r w:rsidR="00B54212">
        <w:rPr>
          <w:rFonts w:ascii="Arial" w:hAnsi="Arial" w:cs="Arial"/>
          <w:sz w:val="28"/>
          <w:szCs w:val="28"/>
        </w:rPr>
        <w:t>, but neither made payment.</w:t>
      </w:r>
      <w:r w:rsidR="001706C0">
        <w:rPr>
          <w:rFonts w:ascii="Arial" w:hAnsi="Arial" w:cs="Arial"/>
          <w:sz w:val="28"/>
          <w:szCs w:val="28"/>
        </w:rPr>
        <w:t xml:space="preserve"> The appellant moved the</w:t>
      </w:r>
      <w:r w:rsidR="005F0AD6">
        <w:rPr>
          <w:rFonts w:ascii="Arial" w:hAnsi="Arial" w:cs="Arial"/>
          <w:sz w:val="28"/>
          <w:szCs w:val="28"/>
        </w:rPr>
        <w:t xml:space="preserve"> hybrid</w:t>
      </w:r>
      <w:r w:rsidR="001706C0">
        <w:rPr>
          <w:rFonts w:ascii="Arial" w:hAnsi="Arial" w:cs="Arial"/>
          <w:sz w:val="28"/>
          <w:szCs w:val="28"/>
        </w:rPr>
        <w:t xml:space="preserve"> application </w:t>
      </w:r>
      <w:r w:rsidR="005F0AD6">
        <w:rPr>
          <w:rFonts w:ascii="Arial" w:hAnsi="Arial" w:cs="Arial"/>
          <w:sz w:val="28"/>
          <w:szCs w:val="28"/>
        </w:rPr>
        <w:t>I referred to earlier. The application was issued on 2 March 2022</w:t>
      </w:r>
      <w:r w:rsidR="001706C0">
        <w:rPr>
          <w:rFonts w:ascii="Arial" w:hAnsi="Arial" w:cs="Arial"/>
          <w:sz w:val="28"/>
          <w:szCs w:val="28"/>
        </w:rPr>
        <w:t xml:space="preserve"> </w:t>
      </w:r>
      <w:r w:rsidR="005F0AD6">
        <w:rPr>
          <w:rFonts w:ascii="Arial" w:hAnsi="Arial" w:cs="Arial"/>
          <w:sz w:val="28"/>
          <w:szCs w:val="28"/>
        </w:rPr>
        <w:t xml:space="preserve">and served on the respondent on 4 March 2022. </w:t>
      </w:r>
      <w:r w:rsidR="008561A7">
        <w:rPr>
          <w:rFonts w:ascii="Arial" w:hAnsi="Arial" w:cs="Arial"/>
          <w:sz w:val="28"/>
          <w:szCs w:val="28"/>
        </w:rPr>
        <w:t xml:space="preserve">As indicated earlier, </w:t>
      </w:r>
      <w:r w:rsidR="005F0AD6">
        <w:rPr>
          <w:rFonts w:ascii="Arial" w:hAnsi="Arial" w:cs="Arial"/>
          <w:sz w:val="28"/>
          <w:szCs w:val="28"/>
        </w:rPr>
        <w:t xml:space="preserve">the respondent paid </w:t>
      </w:r>
      <w:r w:rsidR="0081324C">
        <w:rPr>
          <w:rFonts w:ascii="Arial" w:hAnsi="Arial" w:cs="Arial"/>
          <w:sz w:val="28"/>
          <w:szCs w:val="28"/>
        </w:rPr>
        <w:t>to the applicant</w:t>
      </w:r>
      <w:r w:rsidR="008561A7">
        <w:rPr>
          <w:rFonts w:ascii="Arial" w:hAnsi="Arial" w:cs="Arial"/>
          <w:sz w:val="28"/>
          <w:szCs w:val="28"/>
        </w:rPr>
        <w:t>,</w:t>
      </w:r>
      <w:r w:rsidR="008561A7" w:rsidRPr="008561A7">
        <w:rPr>
          <w:rFonts w:ascii="Arial" w:hAnsi="Arial" w:cs="Arial"/>
          <w:sz w:val="28"/>
          <w:szCs w:val="28"/>
        </w:rPr>
        <w:t xml:space="preserve"> </w:t>
      </w:r>
      <w:r w:rsidR="008561A7">
        <w:rPr>
          <w:rFonts w:ascii="Arial" w:hAnsi="Arial" w:cs="Arial"/>
          <w:sz w:val="28"/>
          <w:szCs w:val="28"/>
        </w:rPr>
        <w:t>on 7 March 2022,</w:t>
      </w:r>
      <w:r w:rsidR="0081324C">
        <w:rPr>
          <w:rFonts w:ascii="Arial" w:hAnsi="Arial" w:cs="Arial"/>
          <w:sz w:val="28"/>
          <w:szCs w:val="28"/>
        </w:rPr>
        <w:t xml:space="preserve"> </w:t>
      </w:r>
      <w:r w:rsidR="005F0AD6">
        <w:rPr>
          <w:rFonts w:ascii="Arial" w:hAnsi="Arial" w:cs="Arial"/>
          <w:sz w:val="28"/>
          <w:szCs w:val="28"/>
        </w:rPr>
        <w:t xml:space="preserve">an amount </w:t>
      </w:r>
      <w:r w:rsidR="008561A7">
        <w:rPr>
          <w:rFonts w:ascii="Arial" w:hAnsi="Arial" w:cs="Arial"/>
          <w:sz w:val="28"/>
          <w:szCs w:val="28"/>
        </w:rPr>
        <w:t xml:space="preserve">of </w:t>
      </w:r>
      <w:r w:rsidR="005F0AD6">
        <w:rPr>
          <w:rFonts w:ascii="Arial" w:hAnsi="Arial" w:cs="Arial"/>
          <w:sz w:val="28"/>
          <w:szCs w:val="28"/>
        </w:rPr>
        <w:t xml:space="preserve">One Million Two Hundred and Eighty Eight Thousand Three Hundred and Thirty Rand </w:t>
      </w:r>
    </w:p>
    <w:p w14:paraId="4308B006" w14:textId="0940F4D7" w:rsidR="00915B6D" w:rsidRDefault="005F0AD6" w:rsidP="00854152">
      <w:pPr>
        <w:spacing w:line="360" w:lineRule="auto"/>
        <w:ind w:left="720"/>
        <w:jc w:val="both"/>
        <w:rPr>
          <w:rFonts w:ascii="Arial" w:hAnsi="Arial" w:cs="Arial"/>
          <w:sz w:val="28"/>
          <w:szCs w:val="28"/>
        </w:rPr>
      </w:pPr>
      <w:r>
        <w:rPr>
          <w:rFonts w:ascii="Arial" w:hAnsi="Arial" w:cs="Arial"/>
          <w:sz w:val="28"/>
          <w:szCs w:val="28"/>
        </w:rPr>
        <w:lastRenderedPageBreak/>
        <w:t xml:space="preserve">(R1 288 330.00), which by my calculation </w:t>
      </w:r>
      <w:r w:rsidR="00A816D5">
        <w:rPr>
          <w:rFonts w:ascii="Arial" w:hAnsi="Arial" w:cs="Arial"/>
          <w:sz w:val="28"/>
          <w:szCs w:val="28"/>
        </w:rPr>
        <w:t xml:space="preserve">was </w:t>
      </w:r>
      <w:r>
        <w:rPr>
          <w:rFonts w:ascii="Arial" w:hAnsi="Arial" w:cs="Arial"/>
          <w:sz w:val="28"/>
          <w:szCs w:val="28"/>
        </w:rPr>
        <w:t xml:space="preserve">R254 446.95 less than the claimed amount </w:t>
      </w:r>
      <w:r w:rsidR="00A816D5">
        <w:rPr>
          <w:rFonts w:ascii="Arial" w:hAnsi="Arial" w:cs="Arial"/>
          <w:sz w:val="28"/>
          <w:szCs w:val="28"/>
        </w:rPr>
        <w:t>of R1 542 776.75.</w:t>
      </w:r>
      <w:r w:rsidR="0069040F" w:rsidRPr="0069040F">
        <w:rPr>
          <w:rFonts w:ascii="Arial" w:hAnsi="Arial" w:cs="Arial"/>
          <w:sz w:val="28"/>
          <w:szCs w:val="28"/>
        </w:rPr>
        <w:t xml:space="preserve"> </w:t>
      </w:r>
    </w:p>
    <w:p w14:paraId="5D0F2520" w14:textId="77777777" w:rsidR="0081324C" w:rsidRDefault="0081324C" w:rsidP="00A816D5">
      <w:pPr>
        <w:spacing w:line="360" w:lineRule="auto"/>
        <w:ind w:left="720" w:hanging="720"/>
        <w:jc w:val="both"/>
        <w:rPr>
          <w:rFonts w:ascii="Arial" w:hAnsi="Arial" w:cs="Arial"/>
          <w:sz w:val="28"/>
          <w:szCs w:val="28"/>
        </w:rPr>
      </w:pPr>
    </w:p>
    <w:p w14:paraId="31B95D00" w14:textId="19D97D7E" w:rsidR="00F60BDF" w:rsidRDefault="00C705D6" w:rsidP="0081324C">
      <w:pPr>
        <w:spacing w:line="360" w:lineRule="auto"/>
        <w:ind w:left="720" w:hanging="720"/>
        <w:jc w:val="both"/>
        <w:rPr>
          <w:rFonts w:ascii="Arial" w:hAnsi="Arial" w:cs="Arial"/>
          <w:sz w:val="28"/>
          <w:szCs w:val="28"/>
        </w:rPr>
      </w:pPr>
      <w:r>
        <w:rPr>
          <w:rFonts w:ascii="Arial" w:hAnsi="Arial" w:cs="Arial"/>
          <w:sz w:val="28"/>
          <w:szCs w:val="28"/>
        </w:rPr>
        <w:t>[3]</w:t>
      </w:r>
      <w:r w:rsidR="00A816D5">
        <w:rPr>
          <w:rFonts w:ascii="Arial" w:hAnsi="Arial" w:cs="Arial"/>
          <w:sz w:val="28"/>
          <w:szCs w:val="28"/>
        </w:rPr>
        <w:tab/>
        <w:t xml:space="preserve">Between 9 and 11 March 2022, it seems there were </w:t>
      </w:r>
      <w:r w:rsidR="003C2255">
        <w:rPr>
          <w:rFonts w:ascii="Arial" w:hAnsi="Arial" w:cs="Arial"/>
          <w:sz w:val="28"/>
          <w:szCs w:val="28"/>
        </w:rPr>
        <w:t xml:space="preserve">numerous </w:t>
      </w:r>
      <w:r w:rsidR="00A816D5">
        <w:rPr>
          <w:rFonts w:ascii="Arial" w:hAnsi="Arial" w:cs="Arial"/>
          <w:sz w:val="28"/>
          <w:szCs w:val="28"/>
        </w:rPr>
        <w:t>discussions and</w:t>
      </w:r>
      <w:r w:rsidR="0021124A">
        <w:rPr>
          <w:rFonts w:ascii="Arial" w:hAnsi="Arial" w:cs="Arial"/>
          <w:sz w:val="28"/>
          <w:szCs w:val="28"/>
        </w:rPr>
        <w:t xml:space="preserve"> a slew of</w:t>
      </w:r>
      <w:r w:rsidR="00A816D5">
        <w:rPr>
          <w:rFonts w:ascii="Arial" w:hAnsi="Arial" w:cs="Arial"/>
          <w:sz w:val="28"/>
          <w:szCs w:val="28"/>
        </w:rPr>
        <w:t xml:space="preserve"> correspondence between the parties,</w:t>
      </w:r>
      <w:r w:rsidR="0081324C">
        <w:rPr>
          <w:rFonts w:ascii="Arial" w:hAnsi="Arial" w:cs="Arial"/>
          <w:sz w:val="28"/>
          <w:szCs w:val="28"/>
        </w:rPr>
        <w:t xml:space="preserve"> </w:t>
      </w:r>
      <w:r w:rsidR="00A816D5">
        <w:rPr>
          <w:rFonts w:ascii="Arial" w:hAnsi="Arial" w:cs="Arial"/>
          <w:sz w:val="28"/>
          <w:szCs w:val="28"/>
        </w:rPr>
        <w:t xml:space="preserve">culminating in two such letters </w:t>
      </w:r>
      <w:r w:rsidR="00B54212">
        <w:rPr>
          <w:rFonts w:ascii="Arial" w:hAnsi="Arial" w:cs="Arial"/>
          <w:sz w:val="28"/>
          <w:szCs w:val="28"/>
        </w:rPr>
        <w:t xml:space="preserve">being </w:t>
      </w:r>
      <w:r w:rsidR="00A816D5">
        <w:rPr>
          <w:rFonts w:ascii="Arial" w:hAnsi="Arial" w:cs="Arial"/>
          <w:sz w:val="28"/>
          <w:szCs w:val="28"/>
        </w:rPr>
        <w:t>referred to by the parties</w:t>
      </w:r>
      <w:r w:rsidR="00B54212">
        <w:rPr>
          <w:rFonts w:ascii="Arial" w:hAnsi="Arial" w:cs="Arial"/>
          <w:sz w:val="28"/>
          <w:szCs w:val="28"/>
        </w:rPr>
        <w:t>,</w:t>
      </w:r>
      <w:r w:rsidR="00A816D5">
        <w:rPr>
          <w:rFonts w:ascii="Arial" w:hAnsi="Arial" w:cs="Arial"/>
          <w:sz w:val="28"/>
          <w:szCs w:val="28"/>
        </w:rPr>
        <w:t xml:space="preserve"> and which are central to the current application.</w:t>
      </w:r>
      <w:r w:rsidR="00A357EB">
        <w:rPr>
          <w:rFonts w:ascii="Arial" w:hAnsi="Arial" w:cs="Arial"/>
          <w:sz w:val="28"/>
          <w:szCs w:val="28"/>
        </w:rPr>
        <w:t xml:space="preserve"> </w:t>
      </w:r>
      <w:r w:rsidR="00FF00E1">
        <w:rPr>
          <w:rFonts w:ascii="Arial" w:hAnsi="Arial" w:cs="Arial"/>
          <w:sz w:val="28"/>
          <w:szCs w:val="28"/>
        </w:rPr>
        <w:t>On 9 March 2022</w:t>
      </w:r>
      <w:r w:rsidR="00F60BDF">
        <w:rPr>
          <w:rFonts w:ascii="Arial" w:hAnsi="Arial" w:cs="Arial"/>
          <w:sz w:val="28"/>
          <w:szCs w:val="28"/>
        </w:rPr>
        <w:t>, the respondent’s attorney wrote a response to an earlier email of the same date, sent by the applicant’s attorney</w:t>
      </w:r>
      <w:r w:rsidR="003033D0">
        <w:rPr>
          <w:rFonts w:ascii="Arial" w:hAnsi="Arial" w:cs="Arial"/>
          <w:sz w:val="28"/>
          <w:szCs w:val="28"/>
        </w:rPr>
        <w:t xml:space="preserve">. I </w:t>
      </w:r>
      <w:r w:rsidR="00D65576">
        <w:rPr>
          <w:rFonts w:ascii="Arial" w:hAnsi="Arial" w:cs="Arial"/>
          <w:sz w:val="28"/>
          <w:szCs w:val="28"/>
        </w:rPr>
        <w:t>mention that</w:t>
      </w:r>
      <w:r w:rsidR="0081324C">
        <w:rPr>
          <w:rFonts w:ascii="Arial" w:hAnsi="Arial" w:cs="Arial"/>
          <w:sz w:val="28"/>
          <w:szCs w:val="28"/>
        </w:rPr>
        <w:t xml:space="preserve"> not all the correspondence was attached to the papers, including</w:t>
      </w:r>
      <w:r w:rsidR="00D65576">
        <w:rPr>
          <w:rFonts w:ascii="Arial" w:hAnsi="Arial" w:cs="Arial"/>
          <w:sz w:val="28"/>
          <w:szCs w:val="28"/>
        </w:rPr>
        <w:t xml:space="preserve"> the letter of 9 March 2022, sent by the applicant’s attorneys to the respondent’s attorne</w:t>
      </w:r>
      <w:r w:rsidR="0081324C">
        <w:rPr>
          <w:rFonts w:ascii="Arial" w:hAnsi="Arial" w:cs="Arial"/>
          <w:sz w:val="28"/>
          <w:szCs w:val="28"/>
        </w:rPr>
        <w:t>ys</w:t>
      </w:r>
      <w:r w:rsidR="00D65576">
        <w:rPr>
          <w:rFonts w:ascii="Arial" w:hAnsi="Arial" w:cs="Arial"/>
          <w:sz w:val="28"/>
          <w:szCs w:val="28"/>
        </w:rPr>
        <w:t xml:space="preserve">. </w:t>
      </w:r>
      <w:r w:rsidR="0069040F">
        <w:rPr>
          <w:rFonts w:ascii="Arial" w:hAnsi="Arial" w:cs="Arial"/>
          <w:sz w:val="28"/>
          <w:szCs w:val="28"/>
        </w:rPr>
        <w:t>In the letter dated 9 March 2022, the respondent expressed disagreement with certain items on some of the invoices. It is not necessary for present purposes to deal in any detail with</w:t>
      </w:r>
      <w:r w:rsidR="0081324C">
        <w:rPr>
          <w:rFonts w:ascii="Arial" w:hAnsi="Arial" w:cs="Arial"/>
          <w:sz w:val="28"/>
          <w:szCs w:val="28"/>
        </w:rPr>
        <w:t xml:space="preserve"> all</w:t>
      </w:r>
      <w:r w:rsidR="0069040F">
        <w:rPr>
          <w:rFonts w:ascii="Arial" w:hAnsi="Arial" w:cs="Arial"/>
          <w:sz w:val="28"/>
          <w:szCs w:val="28"/>
        </w:rPr>
        <w:t xml:space="preserve"> these issues, save to say that, b</w:t>
      </w:r>
      <w:r w:rsidR="00F60BDF">
        <w:rPr>
          <w:rFonts w:ascii="Arial" w:hAnsi="Arial" w:cs="Arial"/>
          <w:sz w:val="28"/>
          <w:szCs w:val="28"/>
        </w:rPr>
        <w:t>ased on the contents of th</w:t>
      </w:r>
      <w:r w:rsidR="00D65576">
        <w:rPr>
          <w:rFonts w:ascii="Arial" w:hAnsi="Arial" w:cs="Arial"/>
          <w:sz w:val="28"/>
          <w:szCs w:val="28"/>
        </w:rPr>
        <w:t>e</w:t>
      </w:r>
      <w:r w:rsidR="00F60BDF">
        <w:rPr>
          <w:rFonts w:ascii="Arial" w:hAnsi="Arial" w:cs="Arial"/>
          <w:sz w:val="28"/>
          <w:szCs w:val="28"/>
        </w:rPr>
        <w:t xml:space="preserve"> correspondence</w:t>
      </w:r>
      <w:r w:rsidR="00D65576">
        <w:rPr>
          <w:rFonts w:ascii="Arial" w:hAnsi="Arial" w:cs="Arial"/>
          <w:sz w:val="28"/>
          <w:szCs w:val="28"/>
        </w:rPr>
        <w:t xml:space="preserve"> by the applicant’s attorneys</w:t>
      </w:r>
      <w:r w:rsidR="00F60BDF">
        <w:rPr>
          <w:rFonts w:ascii="Arial" w:hAnsi="Arial" w:cs="Arial"/>
          <w:sz w:val="28"/>
          <w:szCs w:val="28"/>
        </w:rPr>
        <w:t xml:space="preserve">, </w:t>
      </w:r>
      <w:r w:rsidR="00D65576">
        <w:rPr>
          <w:rFonts w:ascii="Arial" w:hAnsi="Arial" w:cs="Arial"/>
          <w:sz w:val="28"/>
          <w:szCs w:val="28"/>
        </w:rPr>
        <w:t xml:space="preserve">the respondent </w:t>
      </w:r>
      <w:r w:rsidR="00F60BDF">
        <w:rPr>
          <w:rFonts w:ascii="Arial" w:hAnsi="Arial" w:cs="Arial"/>
          <w:sz w:val="28"/>
          <w:szCs w:val="28"/>
        </w:rPr>
        <w:t>identified three issues in dispute, namely</w:t>
      </w:r>
      <w:r w:rsidR="003033D0">
        <w:rPr>
          <w:rFonts w:ascii="Arial" w:hAnsi="Arial" w:cs="Arial"/>
          <w:sz w:val="28"/>
          <w:szCs w:val="28"/>
        </w:rPr>
        <w:t>:</w:t>
      </w:r>
    </w:p>
    <w:p w14:paraId="044D0233" w14:textId="77777777" w:rsidR="00F60BDF" w:rsidRDefault="00F60BDF" w:rsidP="0009405B">
      <w:pPr>
        <w:tabs>
          <w:tab w:val="left" w:pos="6946"/>
        </w:tabs>
        <w:spacing w:line="360" w:lineRule="auto"/>
        <w:ind w:left="720" w:hanging="720"/>
        <w:jc w:val="both"/>
        <w:rPr>
          <w:rFonts w:ascii="Arial" w:hAnsi="Arial" w:cs="Arial"/>
          <w:sz w:val="28"/>
          <w:szCs w:val="28"/>
        </w:rPr>
      </w:pPr>
      <w:r>
        <w:rPr>
          <w:rFonts w:ascii="Arial" w:hAnsi="Arial" w:cs="Arial"/>
          <w:sz w:val="28"/>
          <w:szCs w:val="28"/>
        </w:rPr>
        <w:t>3.1</w:t>
      </w:r>
      <w:r>
        <w:rPr>
          <w:rFonts w:ascii="Arial" w:hAnsi="Arial" w:cs="Arial"/>
          <w:sz w:val="28"/>
          <w:szCs w:val="28"/>
        </w:rPr>
        <w:tab/>
        <w:t>Standing charges</w:t>
      </w:r>
    </w:p>
    <w:p w14:paraId="745B3C2A" w14:textId="77777777" w:rsidR="00F60BDF" w:rsidRDefault="00F60BDF" w:rsidP="0009405B">
      <w:pPr>
        <w:tabs>
          <w:tab w:val="left" w:pos="6946"/>
        </w:tabs>
        <w:spacing w:line="360" w:lineRule="auto"/>
        <w:ind w:left="720" w:hanging="720"/>
        <w:jc w:val="both"/>
        <w:rPr>
          <w:rFonts w:ascii="Arial" w:hAnsi="Arial" w:cs="Arial"/>
          <w:sz w:val="28"/>
          <w:szCs w:val="28"/>
        </w:rPr>
      </w:pPr>
      <w:r>
        <w:rPr>
          <w:rFonts w:ascii="Arial" w:hAnsi="Arial" w:cs="Arial"/>
          <w:sz w:val="28"/>
          <w:szCs w:val="28"/>
        </w:rPr>
        <w:t>3.2</w:t>
      </w:r>
      <w:r>
        <w:rPr>
          <w:rFonts w:ascii="Arial" w:hAnsi="Arial" w:cs="Arial"/>
          <w:sz w:val="28"/>
          <w:szCs w:val="28"/>
        </w:rPr>
        <w:tab/>
        <w:t>Interest</w:t>
      </w:r>
    </w:p>
    <w:p w14:paraId="4DB39AE9" w14:textId="7CA4232F" w:rsidR="0009405B" w:rsidRDefault="00F60BDF" w:rsidP="0009405B">
      <w:pPr>
        <w:tabs>
          <w:tab w:val="left" w:pos="6946"/>
        </w:tabs>
        <w:spacing w:line="360" w:lineRule="auto"/>
        <w:ind w:left="720" w:hanging="720"/>
        <w:jc w:val="both"/>
        <w:rPr>
          <w:rFonts w:ascii="Arial" w:hAnsi="Arial" w:cs="Arial"/>
          <w:sz w:val="28"/>
          <w:szCs w:val="28"/>
        </w:rPr>
      </w:pPr>
      <w:r>
        <w:rPr>
          <w:rFonts w:ascii="Arial" w:hAnsi="Arial" w:cs="Arial"/>
          <w:sz w:val="28"/>
          <w:szCs w:val="28"/>
        </w:rPr>
        <w:t>3.3</w:t>
      </w:r>
      <w:r>
        <w:rPr>
          <w:rFonts w:ascii="Arial" w:hAnsi="Arial" w:cs="Arial"/>
          <w:sz w:val="28"/>
          <w:szCs w:val="28"/>
        </w:rPr>
        <w:tab/>
        <w:t>Costs</w:t>
      </w:r>
      <w:r w:rsidR="003033D0">
        <w:rPr>
          <w:rFonts w:ascii="Arial" w:hAnsi="Arial" w:cs="Arial"/>
          <w:sz w:val="28"/>
          <w:szCs w:val="28"/>
        </w:rPr>
        <w:t>.</w:t>
      </w:r>
      <w:r w:rsidR="00B00CED">
        <w:rPr>
          <w:rFonts w:ascii="Arial" w:hAnsi="Arial" w:cs="Arial"/>
          <w:sz w:val="28"/>
          <w:szCs w:val="28"/>
        </w:rPr>
        <w:t xml:space="preserve"> </w:t>
      </w:r>
    </w:p>
    <w:p w14:paraId="3FE6C918" w14:textId="77777777" w:rsidR="003033D0" w:rsidRDefault="003033D0" w:rsidP="0009405B">
      <w:pPr>
        <w:tabs>
          <w:tab w:val="left" w:pos="6946"/>
        </w:tabs>
        <w:spacing w:line="360" w:lineRule="auto"/>
        <w:ind w:left="720" w:hanging="720"/>
        <w:jc w:val="both"/>
        <w:rPr>
          <w:rFonts w:ascii="Arial" w:hAnsi="Arial" w:cs="Arial"/>
          <w:sz w:val="28"/>
          <w:szCs w:val="28"/>
        </w:rPr>
      </w:pPr>
    </w:p>
    <w:p w14:paraId="475D5C0A" w14:textId="77777777" w:rsidR="0081324C" w:rsidRDefault="00E614C8" w:rsidP="0063227E">
      <w:pPr>
        <w:tabs>
          <w:tab w:val="left" w:pos="6946"/>
        </w:tabs>
        <w:spacing w:line="360" w:lineRule="auto"/>
        <w:ind w:left="720" w:hanging="720"/>
        <w:jc w:val="both"/>
        <w:rPr>
          <w:rFonts w:ascii="Arial" w:hAnsi="Arial" w:cs="Arial"/>
          <w:sz w:val="28"/>
          <w:szCs w:val="28"/>
        </w:rPr>
      </w:pPr>
      <w:r>
        <w:rPr>
          <w:rFonts w:ascii="Arial" w:hAnsi="Arial" w:cs="Arial"/>
          <w:sz w:val="28"/>
          <w:szCs w:val="28"/>
        </w:rPr>
        <w:t>[4]</w:t>
      </w:r>
      <w:r w:rsidR="003033D0">
        <w:rPr>
          <w:rFonts w:ascii="Arial" w:hAnsi="Arial" w:cs="Arial"/>
          <w:sz w:val="28"/>
          <w:szCs w:val="28"/>
        </w:rPr>
        <w:tab/>
        <w:t>The respondent was of the view that the standing charges related to an invoice dated 1 November 2021. The respondent disputed that the applicant was entitled to those charges and consequently could not claim interest on the standing charges until the dispute was resolved.</w:t>
      </w:r>
      <w:r w:rsidR="00C13E86">
        <w:rPr>
          <w:rFonts w:ascii="Arial" w:hAnsi="Arial" w:cs="Arial"/>
          <w:sz w:val="28"/>
          <w:szCs w:val="28"/>
        </w:rPr>
        <w:t xml:space="preserve"> </w:t>
      </w:r>
    </w:p>
    <w:p w14:paraId="2B84F075" w14:textId="77777777" w:rsidR="0081324C" w:rsidRDefault="0081324C" w:rsidP="0063227E">
      <w:pPr>
        <w:tabs>
          <w:tab w:val="left" w:pos="6946"/>
        </w:tabs>
        <w:spacing w:line="360" w:lineRule="auto"/>
        <w:ind w:left="720" w:hanging="720"/>
        <w:jc w:val="both"/>
        <w:rPr>
          <w:rFonts w:ascii="Arial" w:hAnsi="Arial" w:cs="Arial"/>
          <w:sz w:val="28"/>
          <w:szCs w:val="28"/>
        </w:rPr>
      </w:pPr>
    </w:p>
    <w:p w14:paraId="296C1B60" w14:textId="33AFEF04" w:rsidR="00D65576" w:rsidRDefault="0081324C" w:rsidP="0063227E">
      <w:pPr>
        <w:tabs>
          <w:tab w:val="left" w:pos="6946"/>
        </w:tabs>
        <w:spacing w:line="360" w:lineRule="auto"/>
        <w:ind w:left="720" w:hanging="720"/>
        <w:jc w:val="both"/>
        <w:rPr>
          <w:rFonts w:ascii="Arial" w:hAnsi="Arial" w:cs="Arial"/>
          <w:sz w:val="28"/>
          <w:szCs w:val="28"/>
        </w:rPr>
      </w:pPr>
      <w:r>
        <w:rPr>
          <w:rFonts w:ascii="Arial" w:hAnsi="Arial" w:cs="Arial"/>
          <w:sz w:val="28"/>
          <w:szCs w:val="28"/>
        </w:rPr>
        <w:lastRenderedPageBreak/>
        <w:tab/>
      </w:r>
      <w:r w:rsidR="003033D0">
        <w:rPr>
          <w:rFonts w:ascii="Arial" w:hAnsi="Arial" w:cs="Arial"/>
          <w:sz w:val="28"/>
          <w:szCs w:val="28"/>
        </w:rPr>
        <w:t xml:space="preserve"> With regard to costs, the respondent averred that all invoices issued by the applicant were paid timeously, so there were no overdue amounts owing to the applicant.  Therefore, the issue of the hybrid application was premature, as a result of which the respondent refused to pay any of the applicant’s costs.</w:t>
      </w:r>
    </w:p>
    <w:p w14:paraId="751F32B1" w14:textId="77777777" w:rsidR="00D65576" w:rsidRDefault="00D65576" w:rsidP="0063227E">
      <w:pPr>
        <w:tabs>
          <w:tab w:val="left" w:pos="6946"/>
        </w:tabs>
        <w:spacing w:line="360" w:lineRule="auto"/>
        <w:ind w:left="720" w:hanging="720"/>
        <w:jc w:val="both"/>
        <w:rPr>
          <w:rFonts w:ascii="Arial" w:hAnsi="Arial" w:cs="Arial"/>
          <w:sz w:val="28"/>
          <w:szCs w:val="28"/>
        </w:rPr>
      </w:pPr>
    </w:p>
    <w:p w14:paraId="09C741C0" w14:textId="146AEE4B" w:rsidR="003912E7" w:rsidRDefault="00DE5BD2" w:rsidP="00D65576">
      <w:pPr>
        <w:tabs>
          <w:tab w:val="left" w:pos="6946"/>
        </w:tabs>
        <w:spacing w:line="360" w:lineRule="auto"/>
        <w:ind w:left="720" w:hanging="720"/>
        <w:jc w:val="both"/>
        <w:rPr>
          <w:rFonts w:ascii="Arial" w:hAnsi="Arial" w:cs="Arial"/>
          <w:sz w:val="28"/>
          <w:szCs w:val="28"/>
        </w:rPr>
      </w:pPr>
      <w:r>
        <w:rPr>
          <w:rFonts w:ascii="Arial" w:hAnsi="Arial" w:cs="Arial"/>
          <w:sz w:val="28"/>
          <w:szCs w:val="28"/>
        </w:rPr>
        <w:t>[5]</w:t>
      </w:r>
      <w:r>
        <w:rPr>
          <w:rFonts w:ascii="Arial" w:hAnsi="Arial" w:cs="Arial"/>
          <w:sz w:val="28"/>
          <w:szCs w:val="28"/>
        </w:rPr>
        <w:tab/>
      </w:r>
      <w:r w:rsidR="003033D0">
        <w:rPr>
          <w:rFonts w:ascii="Arial" w:hAnsi="Arial" w:cs="Arial"/>
          <w:sz w:val="28"/>
          <w:szCs w:val="28"/>
        </w:rPr>
        <w:t>The applicant’s response</w:t>
      </w:r>
      <w:r w:rsidR="00D65576">
        <w:rPr>
          <w:rFonts w:ascii="Arial" w:hAnsi="Arial" w:cs="Arial"/>
          <w:sz w:val="28"/>
          <w:szCs w:val="28"/>
        </w:rPr>
        <w:t xml:space="preserve"> to the</w:t>
      </w:r>
      <w:r w:rsidR="00854152">
        <w:rPr>
          <w:rFonts w:ascii="Arial" w:hAnsi="Arial" w:cs="Arial"/>
          <w:sz w:val="28"/>
          <w:szCs w:val="28"/>
        </w:rPr>
        <w:t xml:space="preserve"> aforementioned</w:t>
      </w:r>
      <w:r w:rsidR="00D65576">
        <w:rPr>
          <w:rFonts w:ascii="Arial" w:hAnsi="Arial" w:cs="Arial"/>
          <w:sz w:val="28"/>
          <w:szCs w:val="28"/>
        </w:rPr>
        <w:t xml:space="preserve"> letter by the respondent’s attorney was sent on 11 March</w:t>
      </w:r>
      <w:r w:rsidR="00073675">
        <w:rPr>
          <w:rFonts w:ascii="Arial" w:hAnsi="Arial" w:cs="Arial"/>
          <w:sz w:val="28"/>
          <w:szCs w:val="28"/>
        </w:rPr>
        <w:t xml:space="preserve"> 2022</w:t>
      </w:r>
      <w:r w:rsidR="00D65576">
        <w:rPr>
          <w:rFonts w:ascii="Arial" w:hAnsi="Arial" w:cs="Arial"/>
          <w:sz w:val="28"/>
          <w:szCs w:val="28"/>
        </w:rPr>
        <w:t>. The most important part of that letter was the last paragraph which read:</w:t>
      </w:r>
    </w:p>
    <w:p w14:paraId="761EAF66" w14:textId="2D221E10" w:rsidR="00D65576" w:rsidRDefault="00D65576" w:rsidP="00D65576">
      <w:pPr>
        <w:tabs>
          <w:tab w:val="left" w:pos="6946"/>
        </w:tabs>
        <w:spacing w:line="360" w:lineRule="auto"/>
        <w:ind w:left="720" w:hanging="720"/>
        <w:jc w:val="both"/>
        <w:rPr>
          <w:rFonts w:ascii="Arial" w:hAnsi="Arial" w:cs="Arial"/>
          <w:sz w:val="24"/>
          <w:szCs w:val="24"/>
        </w:rPr>
      </w:pPr>
      <w:r>
        <w:rPr>
          <w:rFonts w:ascii="Arial" w:hAnsi="Arial" w:cs="Arial"/>
          <w:sz w:val="28"/>
          <w:szCs w:val="28"/>
        </w:rPr>
        <w:tab/>
      </w:r>
      <w:r>
        <w:rPr>
          <w:rFonts w:ascii="Arial" w:hAnsi="Arial" w:cs="Arial"/>
          <w:sz w:val="24"/>
          <w:szCs w:val="24"/>
        </w:rPr>
        <w:t>“It is our instructions to institute an action for payment in the amount of R255 006.75, as well as the interest</w:t>
      </w:r>
      <w:r w:rsidR="008561A7">
        <w:rPr>
          <w:rFonts w:ascii="Arial" w:hAnsi="Arial" w:cs="Arial"/>
          <w:sz w:val="24"/>
          <w:szCs w:val="24"/>
        </w:rPr>
        <w:t xml:space="preserve"> </w:t>
      </w:r>
      <w:r>
        <w:rPr>
          <w:rFonts w:ascii="Arial" w:hAnsi="Arial" w:cs="Arial"/>
          <w:sz w:val="24"/>
          <w:szCs w:val="24"/>
        </w:rPr>
        <w:t>and that the costs of the present application, on the scale set out in the notice of motion, should be argued”</w:t>
      </w:r>
    </w:p>
    <w:p w14:paraId="6B30695E" w14:textId="4D350676" w:rsidR="00E12E04" w:rsidRDefault="00D65576" w:rsidP="0009405B">
      <w:pPr>
        <w:tabs>
          <w:tab w:val="left" w:pos="6946"/>
        </w:tabs>
        <w:spacing w:line="360" w:lineRule="auto"/>
        <w:ind w:left="720" w:hanging="720"/>
        <w:jc w:val="both"/>
        <w:rPr>
          <w:rFonts w:ascii="Arial" w:hAnsi="Arial" w:cs="Arial"/>
          <w:sz w:val="28"/>
          <w:szCs w:val="28"/>
        </w:rPr>
      </w:pPr>
      <w:r>
        <w:rPr>
          <w:rFonts w:ascii="Arial" w:hAnsi="Arial" w:cs="Arial"/>
          <w:sz w:val="24"/>
          <w:szCs w:val="24"/>
        </w:rPr>
        <w:tab/>
      </w:r>
      <w:r w:rsidR="00D93EC5">
        <w:rPr>
          <w:rFonts w:ascii="Arial" w:hAnsi="Arial" w:cs="Arial"/>
          <w:sz w:val="28"/>
          <w:szCs w:val="28"/>
        </w:rPr>
        <w:t xml:space="preserve">The respondent argues that this paragraph, properly interpreted, indicates that the action foreshadowed by the applicant would include the interest it claims and that only the costs of the hybrid application were to be argued in this current application. The applicant strenuously denied this, </w:t>
      </w:r>
      <w:r w:rsidR="00441397">
        <w:rPr>
          <w:rFonts w:ascii="Arial" w:hAnsi="Arial" w:cs="Arial"/>
          <w:sz w:val="28"/>
          <w:szCs w:val="28"/>
        </w:rPr>
        <w:t>arguing that</w:t>
      </w:r>
      <w:r w:rsidR="003C2255">
        <w:rPr>
          <w:rFonts w:ascii="Arial" w:hAnsi="Arial" w:cs="Arial"/>
          <w:sz w:val="28"/>
          <w:szCs w:val="28"/>
        </w:rPr>
        <w:t xml:space="preserve"> the respondent’s interpretation of the relevant paragraph was wrong, and</w:t>
      </w:r>
      <w:r w:rsidR="00441397">
        <w:rPr>
          <w:rFonts w:ascii="Arial" w:hAnsi="Arial" w:cs="Arial"/>
          <w:sz w:val="28"/>
          <w:szCs w:val="28"/>
        </w:rPr>
        <w:t xml:space="preserve"> it was entitled to interest on the amount paid by the respondent, as interest and costs were claimed in the Notice of Motion. As indicated</w:t>
      </w:r>
      <w:r w:rsidR="003C2255">
        <w:rPr>
          <w:rFonts w:ascii="Arial" w:hAnsi="Arial" w:cs="Arial"/>
          <w:sz w:val="28"/>
          <w:szCs w:val="28"/>
        </w:rPr>
        <w:t>,</w:t>
      </w:r>
      <w:r w:rsidR="00441397">
        <w:rPr>
          <w:rFonts w:ascii="Arial" w:hAnsi="Arial" w:cs="Arial"/>
          <w:sz w:val="28"/>
          <w:szCs w:val="28"/>
        </w:rPr>
        <w:t xml:space="preserve"> payment was made after the application was served on the respondent and before the hearing of the matter</w:t>
      </w:r>
      <w:r w:rsidR="003C2255">
        <w:rPr>
          <w:rFonts w:ascii="Arial" w:hAnsi="Arial" w:cs="Arial"/>
          <w:sz w:val="28"/>
          <w:szCs w:val="28"/>
        </w:rPr>
        <w:t>.</w:t>
      </w:r>
    </w:p>
    <w:p w14:paraId="52A103F7" w14:textId="77777777" w:rsidR="003C2255" w:rsidRDefault="003C2255" w:rsidP="0009405B">
      <w:pPr>
        <w:tabs>
          <w:tab w:val="left" w:pos="6946"/>
        </w:tabs>
        <w:spacing w:line="360" w:lineRule="auto"/>
        <w:ind w:left="720" w:hanging="720"/>
        <w:jc w:val="both"/>
        <w:rPr>
          <w:rFonts w:ascii="Arial" w:hAnsi="Arial" w:cs="Arial"/>
          <w:sz w:val="28"/>
          <w:szCs w:val="28"/>
        </w:rPr>
      </w:pPr>
    </w:p>
    <w:p w14:paraId="31CBCDF1" w14:textId="77777777" w:rsidR="008561A7" w:rsidRDefault="00E34E39" w:rsidP="00727E6D">
      <w:pPr>
        <w:spacing w:line="360" w:lineRule="auto"/>
        <w:ind w:left="720" w:hanging="720"/>
        <w:jc w:val="both"/>
        <w:rPr>
          <w:rFonts w:ascii="Arial" w:hAnsi="Arial" w:cs="Arial"/>
          <w:sz w:val="28"/>
          <w:szCs w:val="28"/>
        </w:rPr>
      </w:pPr>
      <w:r>
        <w:rPr>
          <w:rFonts w:ascii="Arial" w:hAnsi="Arial" w:cs="Arial"/>
          <w:sz w:val="28"/>
          <w:szCs w:val="28"/>
        </w:rPr>
        <w:t>[</w:t>
      </w:r>
      <w:r w:rsidR="00C13E86">
        <w:rPr>
          <w:rFonts w:ascii="Arial" w:hAnsi="Arial" w:cs="Arial"/>
          <w:sz w:val="28"/>
          <w:szCs w:val="28"/>
        </w:rPr>
        <w:t>6</w:t>
      </w:r>
      <w:r w:rsidR="00CD19F3">
        <w:rPr>
          <w:rFonts w:ascii="Arial" w:hAnsi="Arial" w:cs="Arial"/>
          <w:sz w:val="28"/>
          <w:szCs w:val="28"/>
        </w:rPr>
        <w:t>]</w:t>
      </w:r>
      <w:r w:rsidR="000A69EB">
        <w:rPr>
          <w:rFonts w:ascii="Arial" w:hAnsi="Arial" w:cs="Arial"/>
          <w:sz w:val="28"/>
          <w:szCs w:val="28"/>
        </w:rPr>
        <w:tab/>
      </w:r>
      <w:r w:rsidR="00680F80">
        <w:rPr>
          <w:rFonts w:ascii="Arial" w:hAnsi="Arial" w:cs="Arial"/>
          <w:sz w:val="28"/>
          <w:szCs w:val="28"/>
        </w:rPr>
        <w:t xml:space="preserve">The respondent indicates that the </w:t>
      </w:r>
      <w:r w:rsidR="00D57451">
        <w:rPr>
          <w:rFonts w:ascii="Arial" w:hAnsi="Arial" w:cs="Arial"/>
          <w:sz w:val="28"/>
          <w:szCs w:val="28"/>
        </w:rPr>
        <w:t xml:space="preserve">disputed amount of </w:t>
      </w:r>
      <w:r w:rsidR="00680F80">
        <w:rPr>
          <w:rFonts w:ascii="Arial" w:hAnsi="Arial" w:cs="Arial"/>
          <w:sz w:val="28"/>
          <w:szCs w:val="28"/>
        </w:rPr>
        <w:t>R255 006.75 is</w:t>
      </w:r>
      <w:r w:rsidR="00D57451">
        <w:rPr>
          <w:rFonts w:ascii="Arial" w:hAnsi="Arial" w:cs="Arial"/>
          <w:sz w:val="28"/>
          <w:szCs w:val="28"/>
        </w:rPr>
        <w:t xml:space="preserve"> in</w:t>
      </w:r>
      <w:r w:rsidR="00680F80">
        <w:rPr>
          <w:rFonts w:ascii="Arial" w:hAnsi="Arial" w:cs="Arial"/>
          <w:sz w:val="28"/>
          <w:szCs w:val="28"/>
        </w:rPr>
        <w:t xml:space="preserve"> respect of “standing charges”, on which interest is not recoverable. The respondent does not deal at all with the reason for its payment of R1 288 330.00, but  baldly denies, in its Opposing Affidavit, that it is </w:t>
      </w:r>
    </w:p>
    <w:p w14:paraId="516E0AB5" w14:textId="732F63BB" w:rsidR="005B61B1" w:rsidRDefault="00680F80" w:rsidP="008561A7">
      <w:pPr>
        <w:spacing w:line="360" w:lineRule="auto"/>
        <w:ind w:left="720"/>
        <w:jc w:val="both"/>
        <w:rPr>
          <w:rFonts w:ascii="Arial" w:hAnsi="Arial" w:cs="Arial"/>
          <w:sz w:val="28"/>
          <w:szCs w:val="28"/>
        </w:rPr>
      </w:pPr>
      <w:r>
        <w:rPr>
          <w:rFonts w:ascii="Arial" w:hAnsi="Arial" w:cs="Arial"/>
          <w:sz w:val="28"/>
          <w:szCs w:val="28"/>
        </w:rPr>
        <w:lastRenderedPageBreak/>
        <w:t>indebted to the applicant. The respondent further asserts that it complied with all statements issued by the applicant and made all payments timeously</w:t>
      </w:r>
      <w:r w:rsidR="00EF61D8">
        <w:rPr>
          <w:rFonts w:ascii="Arial" w:hAnsi="Arial" w:cs="Arial"/>
          <w:sz w:val="28"/>
          <w:szCs w:val="28"/>
        </w:rPr>
        <w:t>. It further fails to deal meaningfully with the applicant’s assertion in Founding that</w:t>
      </w:r>
      <w:r w:rsidR="00D57451">
        <w:rPr>
          <w:rFonts w:ascii="Arial" w:hAnsi="Arial" w:cs="Arial"/>
          <w:sz w:val="28"/>
          <w:szCs w:val="28"/>
        </w:rPr>
        <w:t xml:space="preserve"> the respondent’s breach initially occurred in October 2021. The applicant sets out in paragraphs 34 to 43, how the amount of the respondent’s indebtedness to it arose and attached the relevant documentation to support its allegations.</w:t>
      </w:r>
    </w:p>
    <w:p w14:paraId="2CA0B323" w14:textId="2DD96A42" w:rsidR="002665B3" w:rsidRDefault="002665B3" w:rsidP="002665B3">
      <w:pPr>
        <w:spacing w:line="360" w:lineRule="auto"/>
        <w:ind w:left="720"/>
        <w:jc w:val="both"/>
        <w:rPr>
          <w:rFonts w:ascii="Arial" w:hAnsi="Arial" w:cs="Arial"/>
          <w:sz w:val="28"/>
          <w:szCs w:val="28"/>
        </w:rPr>
      </w:pPr>
    </w:p>
    <w:p w14:paraId="43D43AF8" w14:textId="696A8CDA" w:rsidR="007F2E88" w:rsidRDefault="009741B7" w:rsidP="00FD0B9E">
      <w:pPr>
        <w:spacing w:line="360" w:lineRule="auto"/>
        <w:ind w:left="720" w:hanging="720"/>
        <w:rPr>
          <w:rFonts w:ascii="Arial" w:hAnsi="Arial" w:cs="Arial"/>
          <w:sz w:val="28"/>
          <w:szCs w:val="28"/>
        </w:rPr>
      </w:pPr>
      <w:r>
        <w:rPr>
          <w:rFonts w:ascii="Arial" w:hAnsi="Arial" w:cs="Arial"/>
          <w:sz w:val="28"/>
          <w:szCs w:val="28"/>
        </w:rPr>
        <w:t>[</w:t>
      </w:r>
      <w:r w:rsidR="00C13E86">
        <w:rPr>
          <w:rFonts w:ascii="Arial" w:hAnsi="Arial" w:cs="Arial"/>
          <w:sz w:val="28"/>
          <w:szCs w:val="28"/>
        </w:rPr>
        <w:t>7</w:t>
      </w:r>
      <w:r w:rsidR="00823FD3">
        <w:rPr>
          <w:rFonts w:ascii="Arial" w:hAnsi="Arial" w:cs="Arial"/>
          <w:sz w:val="28"/>
          <w:szCs w:val="28"/>
        </w:rPr>
        <w:t>]</w:t>
      </w:r>
      <w:r w:rsidR="005B61B1">
        <w:rPr>
          <w:rFonts w:ascii="Arial" w:hAnsi="Arial" w:cs="Arial"/>
          <w:sz w:val="28"/>
          <w:szCs w:val="28"/>
        </w:rPr>
        <w:tab/>
      </w:r>
      <w:r w:rsidR="00244F1E">
        <w:rPr>
          <w:rFonts w:ascii="Arial" w:hAnsi="Arial" w:cs="Arial"/>
          <w:sz w:val="28"/>
          <w:szCs w:val="28"/>
        </w:rPr>
        <w:t xml:space="preserve"> </w:t>
      </w:r>
      <w:r w:rsidR="002752CE">
        <w:rPr>
          <w:rFonts w:ascii="Arial" w:hAnsi="Arial" w:cs="Arial"/>
          <w:sz w:val="28"/>
          <w:szCs w:val="28"/>
        </w:rPr>
        <w:t>It is not in dispute that t</w:t>
      </w:r>
      <w:r w:rsidR="00D57451">
        <w:rPr>
          <w:rFonts w:ascii="Arial" w:hAnsi="Arial" w:cs="Arial"/>
          <w:sz w:val="28"/>
          <w:szCs w:val="28"/>
        </w:rPr>
        <w:t>he written agreement between the parties specifically stipulates</w:t>
      </w:r>
      <w:r w:rsidR="002752CE">
        <w:rPr>
          <w:rFonts w:ascii="Arial" w:hAnsi="Arial" w:cs="Arial"/>
          <w:sz w:val="28"/>
          <w:szCs w:val="28"/>
        </w:rPr>
        <w:t xml:space="preserve"> that payment of amounts due to the applicant must be made to the applicant thirty days after the date of the statement and must be received by the 25</w:t>
      </w:r>
      <w:r w:rsidR="002752CE" w:rsidRPr="002752CE">
        <w:rPr>
          <w:rFonts w:ascii="Arial" w:hAnsi="Arial" w:cs="Arial"/>
          <w:sz w:val="28"/>
          <w:szCs w:val="28"/>
          <w:vertAlign w:val="superscript"/>
        </w:rPr>
        <w:t>th</w:t>
      </w:r>
      <w:r w:rsidR="002752CE">
        <w:rPr>
          <w:rFonts w:ascii="Arial" w:hAnsi="Arial" w:cs="Arial"/>
          <w:sz w:val="28"/>
          <w:szCs w:val="28"/>
        </w:rPr>
        <w:t xml:space="preserve"> of each month. The amounts due to the applicant for October 2021, as set out in the Founding Affidavit , as well as payments for November 2021, December 2021 and January 2022 were not paid as they fell due. The respondent paid a partial amount on 17 January 2022, which was applied to the outstanding amounts for October 2021 and partially for November 2021. The</w:t>
      </w:r>
      <w:r w:rsidR="001D710E">
        <w:rPr>
          <w:rFonts w:ascii="Arial" w:hAnsi="Arial" w:cs="Arial"/>
          <w:sz w:val="28"/>
          <w:szCs w:val="28"/>
        </w:rPr>
        <w:t xml:space="preserve"> applicant argues that the</w:t>
      </w:r>
      <w:r w:rsidR="002752CE">
        <w:rPr>
          <w:rFonts w:ascii="Arial" w:hAnsi="Arial" w:cs="Arial"/>
          <w:sz w:val="28"/>
          <w:szCs w:val="28"/>
        </w:rPr>
        <w:t xml:space="preserve"> respondent had breached the agreement entered into between the parties, causing the applicant to demand from the respondent the full amount due to it by the respondent, which became immediately due and payable upon breach of the agreement</w:t>
      </w:r>
      <w:r w:rsidR="001D710E">
        <w:rPr>
          <w:rFonts w:ascii="Arial" w:hAnsi="Arial" w:cs="Arial"/>
          <w:sz w:val="28"/>
          <w:szCs w:val="28"/>
        </w:rPr>
        <w:t>.</w:t>
      </w:r>
    </w:p>
    <w:p w14:paraId="7414733E" w14:textId="77777777" w:rsidR="007F2E88" w:rsidRPr="001F2B7A" w:rsidRDefault="007F2E88" w:rsidP="007F2E88">
      <w:pPr>
        <w:spacing w:line="360" w:lineRule="auto"/>
        <w:ind w:left="1260"/>
        <w:rPr>
          <w:rFonts w:ascii="Arial" w:hAnsi="Arial" w:cs="Arial"/>
          <w:sz w:val="24"/>
          <w:szCs w:val="24"/>
        </w:rPr>
      </w:pPr>
    </w:p>
    <w:p w14:paraId="57D008FB" w14:textId="77777777" w:rsidR="008561A7" w:rsidRDefault="007F2E88" w:rsidP="00FD0B9E">
      <w:pPr>
        <w:spacing w:line="360" w:lineRule="auto"/>
        <w:ind w:left="720" w:hanging="720"/>
        <w:rPr>
          <w:rFonts w:ascii="Arial" w:hAnsi="Arial" w:cs="Arial"/>
          <w:sz w:val="28"/>
          <w:szCs w:val="28"/>
        </w:rPr>
      </w:pPr>
      <w:r>
        <w:rPr>
          <w:rFonts w:ascii="Arial" w:hAnsi="Arial" w:cs="Arial"/>
          <w:sz w:val="28"/>
          <w:szCs w:val="28"/>
        </w:rPr>
        <w:t>[</w:t>
      </w:r>
      <w:r w:rsidR="00C13E86">
        <w:rPr>
          <w:rFonts w:ascii="Arial" w:hAnsi="Arial" w:cs="Arial"/>
          <w:sz w:val="28"/>
          <w:szCs w:val="28"/>
        </w:rPr>
        <w:t>8</w:t>
      </w:r>
      <w:r w:rsidR="00BA3C6D">
        <w:rPr>
          <w:rFonts w:ascii="Arial" w:hAnsi="Arial" w:cs="Arial"/>
          <w:sz w:val="28"/>
          <w:szCs w:val="28"/>
        </w:rPr>
        <w:t>]</w:t>
      </w:r>
      <w:r>
        <w:rPr>
          <w:rFonts w:ascii="Arial" w:hAnsi="Arial" w:cs="Arial"/>
          <w:sz w:val="28"/>
          <w:szCs w:val="28"/>
        </w:rPr>
        <w:tab/>
      </w:r>
      <w:r w:rsidR="001D710E">
        <w:rPr>
          <w:rFonts w:ascii="Arial" w:hAnsi="Arial" w:cs="Arial"/>
          <w:sz w:val="28"/>
          <w:szCs w:val="28"/>
        </w:rPr>
        <w:t>In spite of the payment provisions of the agreement, which I have mentioned above</w:t>
      </w:r>
      <w:r w:rsidR="000F6E48">
        <w:rPr>
          <w:rFonts w:ascii="Arial" w:hAnsi="Arial" w:cs="Arial"/>
          <w:sz w:val="28"/>
          <w:szCs w:val="28"/>
        </w:rPr>
        <w:t xml:space="preserve">, the respondent appears not to have complied with the stipulated thirty- day period, but alleged in the Opposing Affidavit </w:t>
      </w:r>
    </w:p>
    <w:p w14:paraId="7AA736B6" w14:textId="77777777" w:rsidR="008561A7" w:rsidRDefault="008561A7" w:rsidP="00FD0B9E">
      <w:pPr>
        <w:spacing w:line="360" w:lineRule="auto"/>
        <w:ind w:left="720" w:hanging="720"/>
        <w:rPr>
          <w:rFonts w:ascii="Arial" w:hAnsi="Arial" w:cs="Arial"/>
          <w:sz w:val="28"/>
          <w:szCs w:val="28"/>
        </w:rPr>
      </w:pPr>
    </w:p>
    <w:p w14:paraId="55585162" w14:textId="65446632" w:rsidR="00915B6D" w:rsidRDefault="000F6E48" w:rsidP="00915B6D">
      <w:pPr>
        <w:spacing w:line="360" w:lineRule="auto"/>
        <w:ind w:left="720"/>
        <w:rPr>
          <w:rFonts w:ascii="Arial" w:hAnsi="Arial" w:cs="Arial"/>
          <w:sz w:val="28"/>
          <w:szCs w:val="28"/>
        </w:rPr>
      </w:pPr>
      <w:r>
        <w:rPr>
          <w:rFonts w:ascii="Arial" w:hAnsi="Arial" w:cs="Arial"/>
          <w:sz w:val="28"/>
          <w:szCs w:val="28"/>
        </w:rPr>
        <w:lastRenderedPageBreak/>
        <w:t>that there was an arrangement between it and the applicant that all invoices issued by the applicant up to the 25</w:t>
      </w:r>
      <w:r w:rsidRPr="000F6E48">
        <w:rPr>
          <w:rFonts w:ascii="Arial" w:hAnsi="Arial" w:cs="Arial"/>
          <w:sz w:val="28"/>
          <w:szCs w:val="28"/>
          <w:vertAlign w:val="superscript"/>
        </w:rPr>
        <w:t>th</w:t>
      </w:r>
      <w:r>
        <w:rPr>
          <w:rFonts w:ascii="Arial" w:hAnsi="Arial" w:cs="Arial"/>
          <w:sz w:val="28"/>
          <w:szCs w:val="28"/>
        </w:rPr>
        <w:t xml:space="preserve"> of the month will be reconciled at the end of that month and despatched to the respondent. The latter would then have one month and seven days to pay. The respondent alleges that it in fact did so</w:t>
      </w:r>
      <w:r w:rsidR="00A449CB">
        <w:rPr>
          <w:rFonts w:ascii="Arial" w:hAnsi="Arial" w:cs="Arial"/>
          <w:sz w:val="28"/>
          <w:szCs w:val="28"/>
        </w:rPr>
        <w:t>. The applicant clearly disputes this, alleging that as far as it is concerned, its business relationship with the respondent was regulated by the written contract entered into between them. I note that the respondent</w:t>
      </w:r>
      <w:r w:rsidR="008561A7">
        <w:rPr>
          <w:rFonts w:ascii="Arial" w:hAnsi="Arial" w:cs="Arial"/>
          <w:sz w:val="28"/>
          <w:szCs w:val="28"/>
        </w:rPr>
        <w:t xml:space="preserve"> </w:t>
      </w:r>
      <w:r w:rsidR="00A449CB">
        <w:rPr>
          <w:rFonts w:ascii="Arial" w:hAnsi="Arial" w:cs="Arial"/>
          <w:sz w:val="28"/>
          <w:szCs w:val="28"/>
        </w:rPr>
        <w:t>has not attached any documentation, evidencing the arrangement it alleges to have been in place between it and the applicant</w:t>
      </w:r>
      <w:r w:rsidR="00854152">
        <w:rPr>
          <w:rFonts w:ascii="Arial" w:hAnsi="Arial" w:cs="Arial"/>
          <w:sz w:val="28"/>
          <w:szCs w:val="28"/>
        </w:rPr>
        <w:t>,</w:t>
      </w:r>
      <w:r w:rsidR="008561A7">
        <w:rPr>
          <w:rFonts w:ascii="Arial" w:hAnsi="Arial" w:cs="Arial"/>
          <w:sz w:val="28"/>
          <w:szCs w:val="28"/>
        </w:rPr>
        <w:t xml:space="preserve"> and its compliance with such arrangement</w:t>
      </w:r>
      <w:r w:rsidR="00A449CB">
        <w:rPr>
          <w:rFonts w:ascii="Arial" w:hAnsi="Arial" w:cs="Arial"/>
          <w:sz w:val="28"/>
          <w:szCs w:val="28"/>
        </w:rPr>
        <w:t>.</w:t>
      </w:r>
      <w:r w:rsidR="00F20658">
        <w:rPr>
          <w:rFonts w:ascii="Arial" w:hAnsi="Arial" w:cs="Arial"/>
          <w:sz w:val="28"/>
          <w:szCs w:val="28"/>
        </w:rPr>
        <w:t xml:space="preserve"> It is also evident that the payments for October were not made</w:t>
      </w:r>
      <w:r w:rsidR="00FA7BF1">
        <w:rPr>
          <w:rFonts w:ascii="Arial" w:hAnsi="Arial" w:cs="Arial"/>
          <w:sz w:val="28"/>
          <w:szCs w:val="28"/>
        </w:rPr>
        <w:t xml:space="preserve"> as required</w:t>
      </w:r>
      <w:r w:rsidR="00F20658">
        <w:rPr>
          <w:rFonts w:ascii="Arial" w:hAnsi="Arial" w:cs="Arial"/>
          <w:sz w:val="28"/>
          <w:szCs w:val="28"/>
        </w:rPr>
        <w:t>. The payment made in January 2022 was applied to the respondent’s debts in accordance with the age of the debt</w:t>
      </w:r>
      <w:r w:rsidR="00387715">
        <w:rPr>
          <w:rFonts w:ascii="Arial" w:hAnsi="Arial" w:cs="Arial"/>
          <w:sz w:val="28"/>
          <w:szCs w:val="28"/>
        </w:rPr>
        <w:t xml:space="preserve">, the oldest debts being credited first. </w:t>
      </w:r>
      <w:r w:rsidR="00F20658">
        <w:rPr>
          <w:rFonts w:ascii="Arial" w:hAnsi="Arial" w:cs="Arial"/>
          <w:sz w:val="28"/>
          <w:szCs w:val="28"/>
        </w:rPr>
        <w:t>Therefore</w:t>
      </w:r>
      <w:r w:rsidR="00275711">
        <w:rPr>
          <w:rFonts w:ascii="Arial" w:hAnsi="Arial" w:cs="Arial"/>
          <w:sz w:val="28"/>
          <w:szCs w:val="28"/>
        </w:rPr>
        <w:t>,</w:t>
      </w:r>
      <w:r w:rsidR="00F20658">
        <w:rPr>
          <w:rFonts w:ascii="Arial" w:hAnsi="Arial" w:cs="Arial"/>
          <w:sz w:val="28"/>
          <w:szCs w:val="28"/>
        </w:rPr>
        <w:t xml:space="preserve"> payments for October were </w:t>
      </w:r>
      <w:r w:rsidR="00915B6D">
        <w:rPr>
          <w:rFonts w:ascii="Arial" w:hAnsi="Arial" w:cs="Arial"/>
          <w:sz w:val="28"/>
          <w:szCs w:val="28"/>
        </w:rPr>
        <w:t>very much</w:t>
      </w:r>
      <w:r w:rsidR="00F20658">
        <w:rPr>
          <w:rFonts w:ascii="Arial" w:hAnsi="Arial" w:cs="Arial"/>
          <w:sz w:val="28"/>
          <w:szCs w:val="28"/>
        </w:rPr>
        <w:t xml:space="preserve"> out of time, even on the respondent’s version. </w:t>
      </w:r>
    </w:p>
    <w:p w14:paraId="0A9D95D4" w14:textId="77777777" w:rsidR="008561A7" w:rsidRDefault="008561A7" w:rsidP="00915B6D">
      <w:pPr>
        <w:spacing w:line="360" w:lineRule="auto"/>
        <w:ind w:left="720"/>
        <w:rPr>
          <w:rFonts w:ascii="Arial" w:hAnsi="Arial" w:cs="Arial"/>
          <w:sz w:val="28"/>
          <w:szCs w:val="28"/>
        </w:rPr>
      </w:pPr>
    </w:p>
    <w:p w14:paraId="46C28DCF" w14:textId="5A89A46E" w:rsidR="00D359D6" w:rsidRDefault="009741B7" w:rsidP="00FD0B9E">
      <w:pPr>
        <w:spacing w:line="360" w:lineRule="auto"/>
        <w:ind w:left="720" w:hanging="720"/>
        <w:jc w:val="both"/>
        <w:rPr>
          <w:rFonts w:ascii="Arial" w:hAnsi="Arial" w:cs="Arial"/>
          <w:sz w:val="28"/>
          <w:szCs w:val="28"/>
        </w:rPr>
      </w:pPr>
      <w:r>
        <w:rPr>
          <w:rFonts w:ascii="Arial" w:hAnsi="Arial" w:cs="Arial"/>
          <w:sz w:val="28"/>
          <w:szCs w:val="28"/>
        </w:rPr>
        <w:t>[</w:t>
      </w:r>
      <w:r w:rsidR="00C13E86">
        <w:rPr>
          <w:rFonts w:ascii="Arial" w:hAnsi="Arial" w:cs="Arial"/>
          <w:sz w:val="28"/>
          <w:szCs w:val="28"/>
        </w:rPr>
        <w:t>9</w:t>
      </w:r>
      <w:r w:rsidR="00C85E67">
        <w:rPr>
          <w:rFonts w:ascii="Arial" w:hAnsi="Arial" w:cs="Arial"/>
          <w:sz w:val="28"/>
          <w:szCs w:val="28"/>
        </w:rPr>
        <w:t>]</w:t>
      </w:r>
      <w:r w:rsidR="0084050C">
        <w:rPr>
          <w:rFonts w:ascii="Arial" w:hAnsi="Arial" w:cs="Arial"/>
          <w:sz w:val="28"/>
          <w:szCs w:val="28"/>
        </w:rPr>
        <w:tab/>
      </w:r>
      <w:r w:rsidR="00915B6D">
        <w:rPr>
          <w:rFonts w:ascii="Arial" w:hAnsi="Arial" w:cs="Arial"/>
          <w:sz w:val="28"/>
          <w:szCs w:val="28"/>
        </w:rPr>
        <w:t xml:space="preserve">I mention that after the </w:t>
      </w:r>
      <w:r w:rsidR="00387715">
        <w:rPr>
          <w:rFonts w:ascii="Arial" w:hAnsi="Arial" w:cs="Arial"/>
          <w:sz w:val="28"/>
          <w:szCs w:val="28"/>
        </w:rPr>
        <w:t xml:space="preserve">applicant’s </w:t>
      </w:r>
      <w:r w:rsidR="00915B6D">
        <w:rPr>
          <w:rFonts w:ascii="Arial" w:hAnsi="Arial" w:cs="Arial"/>
          <w:sz w:val="28"/>
          <w:szCs w:val="28"/>
        </w:rPr>
        <w:t>Replying Affidavit was filed, the respondent filed an application to strike out certain portions</w:t>
      </w:r>
      <w:r w:rsidR="00745D49">
        <w:rPr>
          <w:rFonts w:ascii="Arial" w:hAnsi="Arial" w:cs="Arial"/>
          <w:sz w:val="28"/>
          <w:szCs w:val="28"/>
        </w:rPr>
        <w:t xml:space="preserve"> of the </w:t>
      </w:r>
      <w:r w:rsidR="00387715">
        <w:rPr>
          <w:rFonts w:ascii="Arial" w:hAnsi="Arial" w:cs="Arial"/>
          <w:sz w:val="28"/>
          <w:szCs w:val="28"/>
        </w:rPr>
        <w:t>a</w:t>
      </w:r>
      <w:r w:rsidR="00745D49">
        <w:rPr>
          <w:rFonts w:ascii="Arial" w:hAnsi="Arial" w:cs="Arial"/>
          <w:sz w:val="28"/>
          <w:szCs w:val="28"/>
        </w:rPr>
        <w:t>ffidavit</w:t>
      </w:r>
      <w:r w:rsidR="00387715">
        <w:rPr>
          <w:rFonts w:ascii="Arial" w:hAnsi="Arial" w:cs="Arial"/>
          <w:sz w:val="28"/>
          <w:szCs w:val="28"/>
        </w:rPr>
        <w:t>, on the basis that it was irrelevant and constitutes inadmissible evidence based on similar facts and also constitute new facts put up in reply. I will deal further with this aspect later.</w:t>
      </w:r>
    </w:p>
    <w:p w14:paraId="6D75F590" w14:textId="77777777" w:rsidR="008561A7" w:rsidRDefault="008561A7" w:rsidP="00FD0B9E">
      <w:pPr>
        <w:spacing w:line="360" w:lineRule="auto"/>
        <w:ind w:left="720" w:hanging="720"/>
        <w:jc w:val="both"/>
        <w:rPr>
          <w:rFonts w:ascii="Arial" w:hAnsi="Arial" w:cs="Arial"/>
          <w:sz w:val="28"/>
          <w:szCs w:val="28"/>
        </w:rPr>
      </w:pPr>
    </w:p>
    <w:p w14:paraId="0AE06CB7" w14:textId="6D9F4F0D" w:rsidR="00A03512" w:rsidRDefault="00915732" w:rsidP="00C13E86">
      <w:pPr>
        <w:spacing w:line="360" w:lineRule="auto"/>
        <w:ind w:left="720" w:hanging="720"/>
        <w:jc w:val="both"/>
        <w:rPr>
          <w:rFonts w:ascii="Arial" w:hAnsi="Arial" w:cs="Arial"/>
          <w:sz w:val="28"/>
          <w:szCs w:val="28"/>
        </w:rPr>
      </w:pPr>
      <w:r>
        <w:rPr>
          <w:rFonts w:ascii="Arial" w:hAnsi="Arial" w:cs="Arial"/>
          <w:sz w:val="28"/>
          <w:szCs w:val="28"/>
        </w:rPr>
        <w:t>[</w:t>
      </w:r>
      <w:r w:rsidR="00C13E86">
        <w:rPr>
          <w:rFonts w:ascii="Arial" w:hAnsi="Arial" w:cs="Arial"/>
          <w:sz w:val="28"/>
          <w:szCs w:val="28"/>
        </w:rPr>
        <w:t>10</w:t>
      </w:r>
      <w:r>
        <w:rPr>
          <w:rFonts w:ascii="Arial" w:hAnsi="Arial" w:cs="Arial"/>
          <w:sz w:val="28"/>
          <w:szCs w:val="28"/>
        </w:rPr>
        <w:t>]</w:t>
      </w:r>
      <w:r w:rsidR="00A03512">
        <w:rPr>
          <w:rFonts w:ascii="Arial" w:hAnsi="Arial" w:cs="Arial"/>
          <w:sz w:val="28"/>
          <w:szCs w:val="28"/>
        </w:rPr>
        <w:tab/>
        <w:t xml:space="preserve">After the respondent made payment of a portion of the amount claimed in the money judgment, the applicant asserts that it no longer had </w:t>
      </w:r>
      <w:r w:rsidR="00A03512" w:rsidRPr="00A03512">
        <w:rPr>
          <w:rFonts w:ascii="Arial" w:hAnsi="Arial" w:cs="Arial"/>
          <w:i/>
          <w:iCs/>
          <w:sz w:val="28"/>
          <w:szCs w:val="28"/>
        </w:rPr>
        <w:t>locus standi</w:t>
      </w:r>
      <w:r w:rsidR="00E860EE">
        <w:rPr>
          <w:rFonts w:ascii="Arial" w:hAnsi="Arial" w:cs="Arial"/>
          <w:i/>
          <w:iCs/>
          <w:sz w:val="28"/>
          <w:szCs w:val="28"/>
        </w:rPr>
        <w:t xml:space="preserve"> </w:t>
      </w:r>
      <w:r w:rsidR="00E860EE">
        <w:rPr>
          <w:rFonts w:ascii="Arial" w:hAnsi="Arial" w:cs="Arial"/>
          <w:sz w:val="28"/>
          <w:szCs w:val="28"/>
        </w:rPr>
        <w:t>t</w:t>
      </w:r>
      <w:r w:rsidR="00A03512">
        <w:rPr>
          <w:rFonts w:ascii="Arial" w:hAnsi="Arial" w:cs="Arial"/>
          <w:sz w:val="28"/>
          <w:szCs w:val="28"/>
        </w:rPr>
        <w:t xml:space="preserve">o proceed with the application for liquidation and informed the </w:t>
      </w:r>
    </w:p>
    <w:p w14:paraId="7F5F9E49" w14:textId="07E0263F" w:rsidR="00B01811" w:rsidRDefault="00A03512" w:rsidP="00A03512">
      <w:pPr>
        <w:spacing w:line="360" w:lineRule="auto"/>
        <w:ind w:left="720"/>
        <w:jc w:val="both"/>
        <w:rPr>
          <w:rFonts w:ascii="Arial" w:hAnsi="Arial" w:cs="Arial"/>
          <w:sz w:val="28"/>
          <w:szCs w:val="28"/>
        </w:rPr>
      </w:pPr>
      <w:r>
        <w:rPr>
          <w:rFonts w:ascii="Arial" w:hAnsi="Arial" w:cs="Arial"/>
          <w:sz w:val="28"/>
          <w:szCs w:val="28"/>
        </w:rPr>
        <w:lastRenderedPageBreak/>
        <w:t xml:space="preserve">respondent accordingly as early as March 2022. </w:t>
      </w:r>
      <w:r w:rsidR="00E860EE">
        <w:rPr>
          <w:rFonts w:ascii="Arial" w:hAnsi="Arial" w:cs="Arial"/>
          <w:sz w:val="28"/>
          <w:szCs w:val="28"/>
        </w:rPr>
        <w:t>The applicant asserted that it would</w:t>
      </w:r>
      <w:r w:rsidR="00854152">
        <w:rPr>
          <w:rFonts w:ascii="Arial" w:hAnsi="Arial" w:cs="Arial"/>
          <w:sz w:val="28"/>
          <w:szCs w:val="28"/>
        </w:rPr>
        <w:t xml:space="preserve"> not </w:t>
      </w:r>
      <w:r w:rsidR="00E860EE">
        <w:rPr>
          <w:rFonts w:ascii="Arial" w:hAnsi="Arial" w:cs="Arial"/>
          <w:sz w:val="28"/>
          <w:szCs w:val="28"/>
        </w:rPr>
        <w:t>liquidate the respondent for just over R2</w:t>
      </w:r>
      <w:r w:rsidR="00854152">
        <w:rPr>
          <w:rFonts w:ascii="Arial" w:hAnsi="Arial" w:cs="Arial"/>
          <w:sz w:val="28"/>
          <w:szCs w:val="28"/>
        </w:rPr>
        <w:t>2</w:t>
      </w:r>
      <w:r w:rsidR="00E860EE">
        <w:rPr>
          <w:rFonts w:ascii="Arial" w:hAnsi="Arial" w:cs="Arial"/>
          <w:sz w:val="28"/>
          <w:szCs w:val="28"/>
        </w:rPr>
        <w:t> 000.00</w:t>
      </w:r>
      <w:r w:rsidR="00854152">
        <w:rPr>
          <w:rFonts w:ascii="Arial" w:hAnsi="Arial" w:cs="Arial"/>
          <w:sz w:val="28"/>
          <w:szCs w:val="28"/>
        </w:rPr>
        <w:t xml:space="preserve"> in respect of interest, as that would be malicious. </w:t>
      </w:r>
      <w:r>
        <w:rPr>
          <w:rFonts w:ascii="Arial" w:hAnsi="Arial" w:cs="Arial"/>
          <w:sz w:val="28"/>
          <w:szCs w:val="28"/>
        </w:rPr>
        <w:t>With regard to monetary judgment, the applicant advised the respondent that it would proceed by way of action to recover the amount disputed by the respondent, namely R255 006.75. I pause to note that the dispute raised by the respondent was done after this application was launched and after payment by it of the amount</w:t>
      </w:r>
      <w:r w:rsidR="004068EB">
        <w:rPr>
          <w:rFonts w:ascii="Arial" w:hAnsi="Arial" w:cs="Arial"/>
          <w:sz w:val="28"/>
          <w:szCs w:val="28"/>
        </w:rPr>
        <w:t xml:space="preserve"> </w:t>
      </w:r>
      <w:r w:rsidR="002752CE">
        <w:rPr>
          <w:rFonts w:ascii="Arial" w:hAnsi="Arial" w:cs="Arial"/>
          <w:sz w:val="28"/>
          <w:szCs w:val="28"/>
        </w:rPr>
        <w:t xml:space="preserve"> </w:t>
      </w:r>
      <w:r>
        <w:rPr>
          <w:rFonts w:ascii="Arial" w:hAnsi="Arial" w:cs="Arial"/>
          <w:sz w:val="28"/>
          <w:szCs w:val="28"/>
        </w:rPr>
        <w:t>of R1 288 330.00. This latter amount represents 83</w:t>
      </w:r>
      <w:r w:rsidR="00516D8A">
        <w:rPr>
          <w:rFonts w:ascii="Arial" w:hAnsi="Arial" w:cs="Arial"/>
          <w:sz w:val="28"/>
          <w:szCs w:val="28"/>
        </w:rPr>
        <w:t>,5</w:t>
      </w:r>
      <w:r>
        <w:rPr>
          <w:rFonts w:ascii="Arial" w:hAnsi="Arial" w:cs="Arial"/>
          <w:sz w:val="28"/>
          <w:szCs w:val="28"/>
        </w:rPr>
        <w:t>% of the amount originally claimed</w:t>
      </w:r>
      <w:r w:rsidR="007E65D5">
        <w:rPr>
          <w:rFonts w:ascii="Arial" w:hAnsi="Arial" w:cs="Arial"/>
          <w:sz w:val="28"/>
          <w:szCs w:val="28"/>
        </w:rPr>
        <w:t xml:space="preserve">. According to the written agreement between the parties, under the heading “Conditions of Credit”, paragraph </w:t>
      </w:r>
      <w:r w:rsidR="007E65D5" w:rsidRPr="00863BEC">
        <w:rPr>
          <w:rFonts w:ascii="Arial" w:hAnsi="Arial" w:cs="Arial"/>
          <w:i/>
          <w:iCs/>
          <w:sz w:val="28"/>
          <w:szCs w:val="28"/>
        </w:rPr>
        <w:t>h</w:t>
      </w:r>
      <w:r w:rsidR="007E65D5">
        <w:rPr>
          <w:rFonts w:ascii="Arial" w:hAnsi="Arial" w:cs="Arial"/>
          <w:sz w:val="28"/>
          <w:szCs w:val="28"/>
        </w:rPr>
        <w:t xml:space="preserve"> provides as follows:</w:t>
      </w:r>
    </w:p>
    <w:p w14:paraId="30A84FC1" w14:textId="3E7E82FF" w:rsidR="007E65D5" w:rsidRDefault="007E65D5" w:rsidP="00A03512">
      <w:pPr>
        <w:spacing w:line="360" w:lineRule="auto"/>
        <w:ind w:left="720"/>
        <w:jc w:val="both"/>
        <w:rPr>
          <w:rFonts w:ascii="Arial" w:hAnsi="Arial" w:cs="Arial"/>
          <w:sz w:val="24"/>
          <w:szCs w:val="24"/>
        </w:rPr>
      </w:pPr>
      <w:r>
        <w:rPr>
          <w:rFonts w:ascii="Arial" w:hAnsi="Arial" w:cs="Arial"/>
          <w:sz w:val="24"/>
          <w:szCs w:val="24"/>
        </w:rPr>
        <w:t>“It is specifically agreed and recorded</w:t>
      </w:r>
      <w:r w:rsidR="00863BEC">
        <w:rPr>
          <w:rFonts w:ascii="Arial" w:hAnsi="Arial" w:cs="Arial"/>
          <w:sz w:val="24"/>
          <w:szCs w:val="24"/>
        </w:rPr>
        <w:t xml:space="preserve"> </w:t>
      </w:r>
      <w:r>
        <w:rPr>
          <w:rFonts w:ascii="Arial" w:hAnsi="Arial" w:cs="Arial"/>
          <w:sz w:val="24"/>
          <w:szCs w:val="24"/>
        </w:rPr>
        <w:t>that all amounts reflected on monthly statements</w:t>
      </w:r>
      <w:r w:rsidR="00863BEC">
        <w:rPr>
          <w:rFonts w:ascii="Arial" w:hAnsi="Arial" w:cs="Arial"/>
          <w:sz w:val="24"/>
          <w:szCs w:val="24"/>
        </w:rPr>
        <w:t xml:space="preserve"> issued by “Sutherland Transport” will be deemed to be correct in every respect, unless objected to in specific detail and in writing within 7 (seven) working days from date of issuing of the said statement and that the indebtedness of the “Applicant” to “Sutherland Transport” shall at any time be determined and proved by the contents of such statement, which shall be binding on the “Applicant” and be conclusive proof of the amount of the indebtedness of the “Applicant” to “Sutherland Transport” and will be valid as </w:t>
      </w:r>
      <w:r w:rsidR="00854152">
        <w:rPr>
          <w:rFonts w:ascii="Arial" w:hAnsi="Arial" w:cs="Arial"/>
          <w:sz w:val="24"/>
          <w:szCs w:val="24"/>
        </w:rPr>
        <w:t xml:space="preserve">a </w:t>
      </w:r>
      <w:r w:rsidR="00863BEC">
        <w:rPr>
          <w:rFonts w:ascii="Arial" w:hAnsi="Arial" w:cs="Arial"/>
          <w:sz w:val="24"/>
          <w:szCs w:val="24"/>
        </w:rPr>
        <w:t>liquid document against the “Applicant” in any competent Court”.</w:t>
      </w:r>
    </w:p>
    <w:p w14:paraId="5D14198B" w14:textId="6724E221" w:rsidR="00516D8A" w:rsidRDefault="00516D8A" w:rsidP="00516D8A">
      <w:pPr>
        <w:spacing w:line="360" w:lineRule="auto"/>
        <w:jc w:val="both"/>
        <w:rPr>
          <w:rFonts w:ascii="Arial" w:hAnsi="Arial" w:cs="Arial"/>
          <w:sz w:val="24"/>
          <w:szCs w:val="24"/>
        </w:rPr>
      </w:pPr>
    </w:p>
    <w:p w14:paraId="12ADC62A" w14:textId="77777777" w:rsidR="00E860EE" w:rsidRDefault="00657BD4" w:rsidP="00657BD4">
      <w:pPr>
        <w:spacing w:line="360" w:lineRule="auto"/>
        <w:ind w:left="720" w:hanging="720"/>
        <w:jc w:val="both"/>
        <w:rPr>
          <w:rFonts w:ascii="Arial" w:hAnsi="Arial" w:cs="Arial"/>
          <w:sz w:val="28"/>
          <w:szCs w:val="28"/>
        </w:rPr>
      </w:pPr>
      <w:r>
        <w:rPr>
          <w:rFonts w:ascii="Arial" w:hAnsi="Arial" w:cs="Arial"/>
          <w:sz w:val="28"/>
          <w:szCs w:val="28"/>
        </w:rPr>
        <w:t>[11]</w:t>
      </w:r>
      <w:r>
        <w:rPr>
          <w:rFonts w:ascii="Arial" w:hAnsi="Arial" w:cs="Arial"/>
          <w:sz w:val="28"/>
          <w:szCs w:val="28"/>
        </w:rPr>
        <w:tab/>
        <w:t>The respondent has not provided any proof</w:t>
      </w:r>
      <w:r w:rsidR="00E860EE">
        <w:rPr>
          <w:rFonts w:ascii="Arial" w:hAnsi="Arial" w:cs="Arial"/>
          <w:sz w:val="28"/>
          <w:szCs w:val="28"/>
        </w:rPr>
        <w:t xml:space="preserve"> </w:t>
      </w:r>
      <w:r>
        <w:rPr>
          <w:rFonts w:ascii="Arial" w:hAnsi="Arial" w:cs="Arial"/>
          <w:sz w:val="28"/>
          <w:szCs w:val="28"/>
        </w:rPr>
        <w:t xml:space="preserve">that it complied with the abovementioned provision, </w:t>
      </w:r>
      <w:r w:rsidR="00E860EE">
        <w:rPr>
          <w:rFonts w:ascii="Arial" w:hAnsi="Arial" w:cs="Arial"/>
          <w:sz w:val="28"/>
          <w:szCs w:val="28"/>
        </w:rPr>
        <w:t>other than to make a bald statement that it complied timeously. T</w:t>
      </w:r>
      <w:r>
        <w:rPr>
          <w:rFonts w:ascii="Arial" w:hAnsi="Arial" w:cs="Arial"/>
          <w:sz w:val="28"/>
          <w:szCs w:val="28"/>
        </w:rPr>
        <w:t>he applicant in fact raised the point that the respondent did not do so,</w:t>
      </w:r>
      <w:r w:rsidR="00E860EE">
        <w:rPr>
          <w:rFonts w:ascii="Arial" w:hAnsi="Arial" w:cs="Arial"/>
          <w:sz w:val="28"/>
          <w:szCs w:val="28"/>
        </w:rPr>
        <w:t xml:space="preserve"> </w:t>
      </w:r>
      <w:r>
        <w:rPr>
          <w:rFonts w:ascii="Arial" w:hAnsi="Arial" w:cs="Arial"/>
          <w:sz w:val="28"/>
          <w:szCs w:val="28"/>
        </w:rPr>
        <w:t>only rais</w:t>
      </w:r>
      <w:r w:rsidR="00E860EE">
        <w:rPr>
          <w:rFonts w:ascii="Arial" w:hAnsi="Arial" w:cs="Arial"/>
          <w:sz w:val="28"/>
          <w:szCs w:val="28"/>
        </w:rPr>
        <w:t>ing</w:t>
      </w:r>
      <w:r>
        <w:rPr>
          <w:rFonts w:ascii="Arial" w:hAnsi="Arial" w:cs="Arial"/>
          <w:sz w:val="28"/>
          <w:szCs w:val="28"/>
        </w:rPr>
        <w:t xml:space="preserve"> the dispute after the service of this application upon it. The respo</w:t>
      </w:r>
      <w:r w:rsidR="00475B82">
        <w:rPr>
          <w:rFonts w:ascii="Arial" w:hAnsi="Arial" w:cs="Arial"/>
          <w:sz w:val="28"/>
          <w:szCs w:val="28"/>
        </w:rPr>
        <w:t xml:space="preserve">ndent’s response to the application was to pay 83.5% of the amount claimed within two days of service of </w:t>
      </w:r>
    </w:p>
    <w:p w14:paraId="72B51637" w14:textId="77777777" w:rsidR="00E860EE" w:rsidRDefault="00E860EE" w:rsidP="00657BD4">
      <w:pPr>
        <w:spacing w:line="360" w:lineRule="auto"/>
        <w:ind w:left="720" w:hanging="720"/>
        <w:jc w:val="both"/>
        <w:rPr>
          <w:rFonts w:ascii="Arial" w:hAnsi="Arial" w:cs="Arial"/>
          <w:sz w:val="28"/>
          <w:szCs w:val="28"/>
        </w:rPr>
      </w:pPr>
    </w:p>
    <w:p w14:paraId="0D03F6C4" w14:textId="21FDE786" w:rsidR="00516D8A" w:rsidRDefault="00475B82" w:rsidP="00E860EE">
      <w:pPr>
        <w:spacing w:line="360" w:lineRule="auto"/>
        <w:ind w:left="720"/>
        <w:jc w:val="both"/>
        <w:rPr>
          <w:rFonts w:ascii="Arial" w:hAnsi="Arial" w:cs="Arial"/>
          <w:sz w:val="28"/>
          <w:szCs w:val="28"/>
        </w:rPr>
      </w:pPr>
      <w:r>
        <w:rPr>
          <w:rFonts w:ascii="Arial" w:hAnsi="Arial" w:cs="Arial"/>
          <w:sz w:val="28"/>
          <w:szCs w:val="28"/>
        </w:rPr>
        <w:lastRenderedPageBreak/>
        <w:t>the application, from which it can be inferred that it acknowledged its indebtedness to the applicant</w:t>
      </w:r>
      <w:r w:rsidR="00E860EE">
        <w:rPr>
          <w:rFonts w:ascii="Arial" w:hAnsi="Arial" w:cs="Arial"/>
          <w:sz w:val="28"/>
          <w:szCs w:val="28"/>
        </w:rPr>
        <w:t>, at the time this application was launched,</w:t>
      </w:r>
      <w:r>
        <w:rPr>
          <w:rFonts w:ascii="Arial" w:hAnsi="Arial" w:cs="Arial"/>
          <w:sz w:val="28"/>
          <w:szCs w:val="28"/>
        </w:rPr>
        <w:t xml:space="preserve"> in the amount paid</w:t>
      </w:r>
      <w:r w:rsidR="00E860EE">
        <w:rPr>
          <w:rFonts w:ascii="Arial" w:hAnsi="Arial" w:cs="Arial"/>
          <w:sz w:val="28"/>
          <w:szCs w:val="28"/>
        </w:rPr>
        <w:t xml:space="preserve">. The respondent did not tender the costs of </w:t>
      </w:r>
      <w:r w:rsidR="00240920">
        <w:rPr>
          <w:rFonts w:ascii="Arial" w:hAnsi="Arial" w:cs="Arial"/>
          <w:sz w:val="28"/>
          <w:szCs w:val="28"/>
        </w:rPr>
        <w:t xml:space="preserve">application as is the practice.  Furthermore, if the respondent had made timeous payments, </w:t>
      </w:r>
      <w:r w:rsidR="00854152">
        <w:rPr>
          <w:rFonts w:ascii="Arial" w:hAnsi="Arial" w:cs="Arial"/>
          <w:sz w:val="28"/>
          <w:szCs w:val="28"/>
        </w:rPr>
        <w:t xml:space="preserve">rendering the application premature, </w:t>
      </w:r>
      <w:r w:rsidR="00240920">
        <w:rPr>
          <w:rFonts w:ascii="Arial" w:hAnsi="Arial" w:cs="Arial"/>
          <w:sz w:val="28"/>
          <w:szCs w:val="28"/>
        </w:rPr>
        <w:t>as it alleged in the Answering Affidavit, it begs the question why it chose to pay 83.5% of the amount claimed, instead of opposing the application.</w:t>
      </w:r>
    </w:p>
    <w:p w14:paraId="5EA7883B" w14:textId="490E603B" w:rsidR="00240920" w:rsidRDefault="00240920" w:rsidP="00240920">
      <w:pPr>
        <w:spacing w:line="360" w:lineRule="auto"/>
        <w:jc w:val="both"/>
        <w:rPr>
          <w:rFonts w:ascii="Arial" w:hAnsi="Arial" w:cs="Arial"/>
          <w:sz w:val="28"/>
          <w:szCs w:val="28"/>
        </w:rPr>
      </w:pPr>
      <w:r>
        <w:rPr>
          <w:rFonts w:ascii="Arial" w:hAnsi="Arial" w:cs="Arial"/>
          <w:sz w:val="28"/>
          <w:szCs w:val="28"/>
        </w:rPr>
        <w:tab/>
      </w:r>
    </w:p>
    <w:p w14:paraId="252BC729" w14:textId="24A7BCD3" w:rsidR="00073675" w:rsidRDefault="00240920" w:rsidP="00114A19">
      <w:pPr>
        <w:spacing w:line="360" w:lineRule="auto"/>
        <w:ind w:left="720" w:hanging="720"/>
        <w:jc w:val="both"/>
        <w:rPr>
          <w:rFonts w:ascii="Arial" w:hAnsi="Arial" w:cs="Arial"/>
          <w:sz w:val="28"/>
          <w:szCs w:val="28"/>
        </w:rPr>
      </w:pPr>
      <w:r>
        <w:rPr>
          <w:rFonts w:ascii="Arial" w:hAnsi="Arial" w:cs="Arial"/>
          <w:sz w:val="28"/>
          <w:szCs w:val="28"/>
        </w:rPr>
        <w:t>[12]</w:t>
      </w:r>
      <w:r>
        <w:rPr>
          <w:rFonts w:ascii="Arial" w:hAnsi="Arial" w:cs="Arial"/>
          <w:sz w:val="28"/>
          <w:szCs w:val="28"/>
        </w:rPr>
        <w:tab/>
      </w:r>
      <w:r w:rsidR="00114A19">
        <w:rPr>
          <w:rFonts w:ascii="Arial" w:hAnsi="Arial" w:cs="Arial"/>
          <w:sz w:val="28"/>
          <w:szCs w:val="28"/>
        </w:rPr>
        <w:t>In the Notice of Motion, the</w:t>
      </w:r>
      <w:r>
        <w:rPr>
          <w:rFonts w:ascii="Arial" w:hAnsi="Arial" w:cs="Arial"/>
          <w:sz w:val="28"/>
          <w:szCs w:val="28"/>
        </w:rPr>
        <w:t xml:space="preserve"> applicant claimed </w:t>
      </w:r>
      <w:r w:rsidR="00114A19">
        <w:rPr>
          <w:rFonts w:ascii="Arial" w:hAnsi="Arial" w:cs="Arial"/>
          <w:sz w:val="28"/>
          <w:szCs w:val="28"/>
        </w:rPr>
        <w:t>interest on the amount claimed, and costs on an attorney and client scale (as provided for in the written agreement between the parties). The respondent’s argument in this regard is that</w:t>
      </w:r>
      <w:r w:rsidR="00DA261A">
        <w:rPr>
          <w:rFonts w:ascii="Arial" w:hAnsi="Arial" w:cs="Arial"/>
          <w:sz w:val="28"/>
          <w:szCs w:val="28"/>
        </w:rPr>
        <w:t xml:space="preserve"> the applicant clearly foresaw that it would be unsuccessful in obtaining a liquidation order or a money judgment against it by way of application, and therefore decided not to proceed with the liquidation application and to proceed by way of action for the recovery of the disputed amount. This is an obfuscation of the true position, which continues in the respondent’s argument that if a party no longer wishes to proceed with a matter, he must withdraw it and tender the costs of the other party. The applicant</w:t>
      </w:r>
      <w:r w:rsidR="00FE364A">
        <w:rPr>
          <w:rFonts w:ascii="Arial" w:hAnsi="Arial" w:cs="Arial"/>
          <w:sz w:val="28"/>
          <w:szCs w:val="28"/>
        </w:rPr>
        <w:t>, so the respondent argues, wants to withdraw the application but does not want to pay the respondent’s costs</w:t>
      </w:r>
      <w:r w:rsidR="00C60FFE">
        <w:rPr>
          <w:rFonts w:ascii="Arial" w:hAnsi="Arial" w:cs="Arial"/>
          <w:sz w:val="28"/>
          <w:szCs w:val="28"/>
        </w:rPr>
        <w:t xml:space="preserve">, and this is the reason it opposed this application. </w:t>
      </w:r>
    </w:p>
    <w:p w14:paraId="3AD17CB5" w14:textId="77777777" w:rsidR="00073675" w:rsidRDefault="00073675" w:rsidP="00114A19">
      <w:pPr>
        <w:spacing w:line="360" w:lineRule="auto"/>
        <w:ind w:left="720" w:hanging="720"/>
        <w:jc w:val="both"/>
        <w:rPr>
          <w:rFonts w:ascii="Arial" w:hAnsi="Arial" w:cs="Arial"/>
          <w:sz w:val="28"/>
          <w:szCs w:val="28"/>
        </w:rPr>
      </w:pPr>
    </w:p>
    <w:p w14:paraId="509921E4" w14:textId="77777777" w:rsidR="00073675" w:rsidRDefault="00073675" w:rsidP="00114A19">
      <w:pPr>
        <w:spacing w:line="360" w:lineRule="auto"/>
        <w:ind w:left="720" w:hanging="72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C60FFE">
        <w:rPr>
          <w:rFonts w:ascii="Arial" w:hAnsi="Arial" w:cs="Arial"/>
          <w:sz w:val="28"/>
          <w:szCs w:val="28"/>
        </w:rPr>
        <w:t>The respondent chose to pay a very substantial portion of the amount claimed in the alternative claim, making it unnecessary for the</w:t>
      </w:r>
    </w:p>
    <w:p w14:paraId="2330641B" w14:textId="7B7B59AD" w:rsidR="00240920" w:rsidRDefault="00C60FFE" w:rsidP="00817F38">
      <w:pPr>
        <w:spacing w:line="360" w:lineRule="auto"/>
        <w:ind w:left="720"/>
        <w:jc w:val="both"/>
        <w:rPr>
          <w:rFonts w:ascii="Arial" w:hAnsi="Arial" w:cs="Arial"/>
          <w:sz w:val="28"/>
          <w:szCs w:val="28"/>
        </w:rPr>
      </w:pPr>
      <w:r>
        <w:rPr>
          <w:rFonts w:ascii="Arial" w:hAnsi="Arial" w:cs="Arial"/>
          <w:sz w:val="28"/>
          <w:szCs w:val="28"/>
        </w:rPr>
        <w:t xml:space="preserve"> applicant to proceed with the liquidation application, </w:t>
      </w:r>
      <w:r w:rsidR="00817F38">
        <w:rPr>
          <w:rFonts w:ascii="Arial" w:hAnsi="Arial" w:cs="Arial"/>
          <w:sz w:val="28"/>
          <w:szCs w:val="28"/>
        </w:rPr>
        <w:t>it offered no reason why it paid the amount it did and disputed a very small</w:t>
      </w:r>
      <w:r w:rsidR="00073675">
        <w:rPr>
          <w:rFonts w:ascii="Arial" w:hAnsi="Arial" w:cs="Arial"/>
          <w:sz w:val="28"/>
          <w:szCs w:val="28"/>
        </w:rPr>
        <w:t xml:space="preserve"> </w:t>
      </w:r>
      <w:r w:rsidR="00817F38">
        <w:rPr>
          <w:rFonts w:ascii="Arial" w:hAnsi="Arial" w:cs="Arial"/>
          <w:sz w:val="28"/>
          <w:szCs w:val="28"/>
        </w:rPr>
        <w:t xml:space="preserve">portion </w:t>
      </w:r>
      <w:r w:rsidR="00817F38">
        <w:rPr>
          <w:rFonts w:ascii="Arial" w:hAnsi="Arial" w:cs="Arial"/>
          <w:sz w:val="28"/>
          <w:szCs w:val="28"/>
        </w:rPr>
        <w:lastRenderedPageBreak/>
        <w:t xml:space="preserve">of the original claim, after the launch of the application. </w:t>
      </w:r>
      <w:r w:rsidR="00073675">
        <w:rPr>
          <w:rFonts w:ascii="Arial" w:hAnsi="Arial" w:cs="Arial"/>
          <w:sz w:val="28"/>
          <w:szCs w:val="28"/>
        </w:rPr>
        <w:t>I should perhaps mention, without dealing at length with this point, that in my view, the applicant did show, on a balance of probabilities, that the applicant committed an act or acts of insolvency by failing to pay monies due to the applicant after demand was made for such amounts to be paid.</w:t>
      </w:r>
      <w:r w:rsidR="00854152">
        <w:rPr>
          <w:rFonts w:ascii="Arial" w:hAnsi="Arial" w:cs="Arial"/>
          <w:sz w:val="28"/>
          <w:szCs w:val="28"/>
        </w:rPr>
        <w:t xml:space="preserve"> In my view, this would justify an inference that the respondent was unable to pay its day-to-day debts</w:t>
      </w:r>
      <w:r w:rsidR="00073675">
        <w:rPr>
          <w:rFonts w:ascii="Arial" w:hAnsi="Arial" w:cs="Arial"/>
          <w:sz w:val="28"/>
          <w:szCs w:val="28"/>
        </w:rPr>
        <w:t xml:space="preserve"> The applicant would have, in all probability, succeeded in obtaining a provision</w:t>
      </w:r>
      <w:r w:rsidR="00D740A1">
        <w:rPr>
          <w:rFonts w:ascii="Arial" w:hAnsi="Arial" w:cs="Arial"/>
          <w:sz w:val="28"/>
          <w:szCs w:val="28"/>
        </w:rPr>
        <w:t>a</w:t>
      </w:r>
      <w:r w:rsidR="00073675">
        <w:rPr>
          <w:rFonts w:ascii="Arial" w:hAnsi="Arial" w:cs="Arial"/>
          <w:sz w:val="28"/>
          <w:szCs w:val="28"/>
        </w:rPr>
        <w:t>l liquidation order ag</w:t>
      </w:r>
      <w:r w:rsidR="00D740A1">
        <w:rPr>
          <w:rFonts w:ascii="Arial" w:hAnsi="Arial" w:cs="Arial"/>
          <w:sz w:val="28"/>
          <w:szCs w:val="28"/>
        </w:rPr>
        <w:t>a</w:t>
      </w:r>
      <w:r w:rsidR="00073675">
        <w:rPr>
          <w:rFonts w:ascii="Arial" w:hAnsi="Arial" w:cs="Arial"/>
          <w:sz w:val="28"/>
          <w:szCs w:val="28"/>
        </w:rPr>
        <w:t xml:space="preserve">inst the respondent, had </w:t>
      </w:r>
      <w:r w:rsidR="00E417CD">
        <w:rPr>
          <w:rFonts w:ascii="Arial" w:hAnsi="Arial" w:cs="Arial"/>
          <w:sz w:val="28"/>
          <w:szCs w:val="28"/>
        </w:rPr>
        <w:t xml:space="preserve">the latter </w:t>
      </w:r>
      <w:r w:rsidR="00073675">
        <w:rPr>
          <w:rFonts w:ascii="Arial" w:hAnsi="Arial" w:cs="Arial"/>
          <w:sz w:val="28"/>
          <w:szCs w:val="28"/>
        </w:rPr>
        <w:t>not paid the amount mentioned earlier</w:t>
      </w:r>
      <w:r w:rsidR="00D740A1">
        <w:rPr>
          <w:rFonts w:ascii="Arial" w:hAnsi="Arial" w:cs="Arial"/>
          <w:sz w:val="28"/>
          <w:szCs w:val="28"/>
        </w:rPr>
        <w:t xml:space="preserve">. </w:t>
      </w:r>
      <w:r w:rsidR="00817F38">
        <w:rPr>
          <w:rFonts w:ascii="Arial" w:hAnsi="Arial" w:cs="Arial"/>
          <w:sz w:val="28"/>
          <w:szCs w:val="28"/>
        </w:rPr>
        <w:t xml:space="preserve">It is remarkable that the respondent now embarks on the argument </w:t>
      </w:r>
      <w:r w:rsidR="00E417CD">
        <w:rPr>
          <w:rFonts w:ascii="Arial" w:hAnsi="Arial" w:cs="Arial"/>
          <w:sz w:val="28"/>
          <w:szCs w:val="28"/>
        </w:rPr>
        <w:t>that the applicant should withdraw the application and pay the respondent’s costs. Such an argument lacks merit and cannot be sustained</w:t>
      </w:r>
      <w:r w:rsidR="00817F38">
        <w:rPr>
          <w:rFonts w:ascii="Arial" w:hAnsi="Arial" w:cs="Arial"/>
          <w:sz w:val="28"/>
          <w:szCs w:val="28"/>
        </w:rPr>
        <w:t xml:space="preserve">. </w:t>
      </w:r>
      <w:r w:rsidR="00854152">
        <w:rPr>
          <w:rFonts w:ascii="Arial" w:hAnsi="Arial" w:cs="Arial"/>
          <w:sz w:val="28"/>
          <w:szCs w:val="28"/>
        </w:rPr>
        <w:t xml:space="preserve">The </w:t>
      </w:r>
      <w:r w:rsidR="00724C1B">
        <w:rPr>
          <w:rFonts w:ascii="Arial" w:hAnsi="Arial" w:cs="Arial"/>
          <w:sz w:val="28"/>
          <w:szCs w:val="28"/>
        </w:rPr>
        <w:t xml:space="preserve">argument </w:t>
      </w:r>
      <w:r w:rsidR="00854152">
        <w:rPr>
          <w:rFonts w:ascii="Arial" w:hAnsi="Arial" w:cs="Arial"/>
          <w:sz w:val="28"/>
          <w:szCs w:val="28"/>
        </w:rPr>
        <w:t xml:space="preserve">that the applicant chose not to proceed because it foresaw that it could not succeed </w:t>
      </w:r>
      <w:r w:rsidR="00724C1B">
        <w:rPr>
          <w:rFonts w:ascii="Arial" w:hAnsi="Arial" w:cs="Arial"/>
          <w:sz w:val="28"/>
          <w:szCs w:val="28"/>
        </w:rPr>
        <w:t>o</w:t>
      </w:r>
      <w:r w:rsidR="00854152">
        <w:rPr>
          <w:rFonts w:ascii="Arial" w:hAnsi="Arial" w:cs="Arial"/>
          <w:sz w:val="28"/>
          <w:szCs w:val="28"/>
        </w:rPr>
        <w:t xml:space="preserve">n </w:t>
      </w:r>
      <w:r w:rsidR="00724C1B">
        <w:rPr>
          <w:rFonts w:ascii="Arial" w:hAnsi="Arial" w:cs="Arial"/>
          <w:sz w:val="28"/>
          <w:szCs w:val="28"/>
        </w:rPr>
        <w:t>either the liquidation claim or the money judgment is equally without merit and cannot be sustained. The respondent’s</w:t>
      </w:r>
      <w:r w:rsidR="00817F38">
        <w:rPr>
          <w:rFonts w:ascii="Arial" w:hAnsi="Arial" w:cs="Arial"/>
          <w:sz w:val="28"/>
          <w:szCs w:val="28"/>
        </w:rPr>
        <w:t xml:space="preserve"> actions have</w:t>
      </w:r>
      <w:r w:rsidR="00724C1B">
        <w:rPr>
          <w:rFonts w:ascii="Arial" w:hAnsi="Arial" w:cs="Arial"/>
          <w:sz w:val="28"/>
          <w:szCs w:val="28"/>
        </w:rPr>
        <w:t xml:space="preserve"> only</w:t>
      </w:r>
      <w:r w:rsidR="00817F38">
        <w:rPr>
          <w:rFonts w:ascii="Arial" w:hAnsi="Arial" w:cs="Arial"/>
          <w:sz w:val="28"/>
          <w:szCs w:val="28"/>
        </w:rPr>
        <w:t xml:space="preserve"> served to escalate the costs in this matter by opposing the application for interests and costs.</w:t>
      </w:r>
    </w:p>
    <w:p w14:paraId="007BB50B" w14:textId="24DD29FC" w:rsidR="00817F38" w:rsidRDefault="00817F38" w:rsidP="00817F38">
      <w:pPr>
        <w:spacing w:line="360" w:lineRule="auto"/>
        <w:jc w:val="both"/>
        <w:rPr>
          <w:rFonts w:ascii="Arial" w:hAnsi="Arial" w:cs="Arial"/>
          <w:sz w:val="28"/>
          <w:szCs w:val="28"/>
        </w:rPr>
      </w:pPr>
    </w:p>
    <w:p w14:paraId="277F260C" w14:textId="77777777" w:rsidR="00724C1B" w:rsidRDefault="00817F38" w:rsidP="00073675">
      <w:pPr>
        <w:spacing w:line="360" w:lineRule="auto"/>
        <w:ind w:left="720" w:hanging="72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073675">
        <w:rPr>
          <w:rFonts w:ascii="Arial" w:hAnsi="Arial" w:cs="Arial"/>
          <w:sz w:val="28"/>
          <w:szCs w:val="28"/>
        </w:rPr>
        <w:t xml:space="preserve">As I mentioned earlier, the applicant gave notice to the respondent by way of its letter dated </w:t>
      </w:r>
      <w:r w:rsidR="00D740A1">
        <w:rPr>
          <w:rFonts w:ascii="Arial" w:hAnsi="Arial" w:cs="Arial"/>
          <w:sz w:val="28"/>
          <w:szCs w:val="28"/>
        </w:rPr>
        <w:t xml:space="preserve">11 March 2022 that it would proceed by way of action to recover the disputed amount of R255 006.75 together with interest, and that the costs of this application would be argued. It appears that in the numerous interactions between the from 9 to 11 March 2022, they were unable to agree on the issue of costs, hence the intention to argue that aspect. The respondent also took issue with the payment of interest on the amount of R1 288 330.00. Both parties </w:t>
      </w:r>
    </w:p>
    <w:p w14:paraId="526A39B3" w14:textId="77777777" w:rsidR="00724C1B" w:rsidRDefault="00724C1B" w:rsidP="00073675">
      <w:pPr>
        <w:spacing w:line="360" w:lineRule="auto"/>
        <w:ind w:left="720" w:hanging="720"/>
        <w:jc w:val="both"/>
        <w:rPr>
          <w:rFonts w:ascii="Arial" w:hAnsi="Arial" w:cs="Arial"/>
          <w:sz w:val="28"/>
          <w:szCs w:val="28"/>
        </w:rPr>
      </w:pPr>
    </w:p>
    <w:p w14:paraId="53A06ADC" w14:textId="491352FF" w:rsidR="00817F38" w:rsidRDefault="00D740A1" w:rsidP="003251D4">
      <w:pPr>
        <w:spacing w:line="360" w:lineRule="auto"/>
        <w:ind w:left="720"/>
        <w:jc w:val="both"/>
        <w:rPr>
          <w:rFonts w:ascii="Arial" w:hAnsi="Arial" w:cs="Arial"/>
          <w:sz w:val="28"/>
          <w:szCs w:val="28"/>
        </w:rPr>
      </w:pPr>
      <w:r>
        <w:rPr>
          <w:rFonts w:ascii="Arial" w:hAnsi="Arial" w:cs="Arial"/>
          <w:sz w:val="28"/>
          <w:szCs w:val="28"/>
        </w:rPr>
        <w:lastRenderedPageBreak/>
        <w:t>advanced argument in this respect, with the respondent arguing that the applicant</w:t>
      </w:r>
      <w:r w:rsidR="00724C1B">
        <w:rPr>
          <w:rFonts w:ascii="Arial" w:hAnsi="Arial" w:cs="Arial"/>
          <w:sz w:val="28"/>
          <w:szCs w:val="28"/>
        </w:rPr>
        <w:t xml:space="preserve"> “</w:t>
      </w:r>
      <w:r>
        <w:rPr>
          <w:rFonts w:ascii="Arial" w:hAnsi="Arial" w:cs="Arial"/>
          <w:sz w:val="28"/>
          <w:szCs w:val="28"/>
        </w:rPr>
        <w:t xml:space="preserve">belatedly” claims interest, in Reply. </w:t>
      </w:r>
      <w:r w:rsidR="00724C1B">
        <w:rPr>
          <w:rFonts w:ascii="Arial" w:hAnsi="Arial" w:cs="Arial"/>
          <w:sz w:val="28"/>
          <w:szCs w:val="28"/>
        </w:rPr>
        <w:t>This argument is also without merit as t</w:t>
      </w:r>
      <w:r>
        <w:rPr>
          <w:rFonts w:ascii="Arial" w:hAnsi="Arial" w:cs="Arial"/>
          <w:sz w:val="28"/>
          <w:szCs w:val="28"/>
        </w:rPr>
        <w:t>he interest was</w:t>
      </w:r>
      <w:r w:rsidR="00724C1B">
        <w:rPr>
          <w:rFonts w:ascii="Arial" w:hAnsi="Arial" w:cs="Arial"/>
          <w:sz w:val="28"/>
          <w:szCs w:val="28"/>
        </w:rPr>
        <w:t xml:space="preserve"> </w:t>
      </w:r>
      <w:r>
        <w:rPr>
          <w:rFonts w:ascii="Arial" w:hAnsi="Arial" w:cs="Arial"/>
          <w:sz w:val="28"/>
          <w:szCs w:val="28"/>
        </w:rPr>
        <w:t>claimed from the outset, albeit on a different amount. If a respondent pays a large part of th</w:t>
      </w:r>
      <w:r w:rsidR="00724C1B">
        <w:rPr>
          <w:rFonts w:ascii="Arial" w:hAnsi="Arial" w:cs="Arial"/>
          <w:sz w:val="28"/>
          <w:szCs w:val="28"/>
        </w:rPr>
        <w:t>e</w:t>
      </w:r>
      <w:r>
        <w:rPr>
          <w:rFonts w:ascii="Arial" w:hAnsi="Arial" w:cs="Arial"/>
          <w:sz w:val="28"/>
          <w:szCs w:val="28"/>
        </w:rPr>
        <w:t xml:space="preserve"> claim, then, in my view, he acknowledges his indebtedness in that amount and as a matter of common sense, will be liable for interest</w:t>
      </w:r>
      <w:r w:rsidR="003251D4">
        <w:rPr>
          <w:rFonts w:ascii="Arial" w:hAnsi="Arial" w:cs="Arial"/>
          <w:sz w:val="28"/>
          <w:szCs w:val="28"/>
        </w:rPr>
        <w:t xml:space="preserve"> (which is claimed)</w:t>
      </w:r>
      <w:r>
        <w:rPr>
          <w:rFonts w:ascii="Arial" w:hAnsi="Arial" w:cs="Arial"/>
          <w:sz w:val="28"/>
          <w:szCs w:val="28"/>
        </w:rPr>
        <w:t xml:space="preserve"> on the </w:t>
      </w:r>
      <w:r w:rsidR="003251D4">
        <w:rPr>
          <w:rFonts w:ascii="Arial" w:hAnsi="Arial" w:cs="Arial"/>
          <w:sz w:val="28"/>
          <w:szCs w:val="28"/>
        </w:rPr>
        <w:t>amount he acknowledges that he owes the applicant.</w:t>
      </w:r>
      <w:r>
        <w:rPr>
          <w:rFonts w:ascii="Arial" w:hAnsi="Arial" w:cs="Arial"/>
          <w:sz w:val="28"/>
          <w:szCs w:val="28"/>
        </w:rPr>
        <w:t xml:space="preserve"> </w:t>
      </w:r>
      <w:r w:rsidR="003251D4">
        <w:rPr>
          <w:rFonts w:ascii="Arial" w:hAnsi="Arial" w:cs="Arial"/>
          <w:sz w:val="28"/>
          <w:szCs w:val="28"/>
        </w:rPr>
        <w:t xml:space="preserve">The respondent’s recalcitrance and intransigent attitude in this respect is </w:t>
      </w:r>
      <w:r w:rsidR="00E417CD">
        <w:rPr>
          <w:rFonts w:ascii="Arial" w:hAnsi="Arial" w:cs="Arial"/>
          <w:sz w:val="28"/>
          <w:szCs w:val="28"/>
        </w:rPr>
        <w:t>unfortunate</w:t>
      </w:r>
      <w:r w:rsidR="00724C1B">
        <w:rPr>
          <w:rFonts w:ascii="Arial" w:hAnsi="Arial" w:cs="Arial"/>
          <w:sz w:val="28"/>
          <w:szCs w:val="28"/>
        </w:rPr>
        <w:t>, and militates against the court coming to its assistance.</w:t>
      </w:r>
    </w:p>
    <w:p w14:paraId="0009E7D5" w14:textId="170F9685" w:rsidR="003251D4" w:rsidRDefault="003251D4" w:rsidP="003251D4">
      <w:pPr>
        <w:spacing w:line="360" w:lineRule="auto"/>
        <w:jc w:val="both"/>
        <w:rPr>
          <w:rFonts w:ascii="Arial" w:hAnsi="Arial" w:cs="Arial"/>
          <w:sz w:val="28"/>
          <w:szCs w:val="28"/>
        </w:rPr>
      </w:pPr>
    </w:p>
    <w:p w14:paraId="0470B9FC" w14:textId="26F3C0FB" w:rsidR="007D649A" w:rsidRDefault="003251D4" w:rsidP="00AE6B80">
      <w:pPr>
        <w:spacing w:line="360" w:lineRule="auto"/>
        <w:ind w:left="720" w:hanging="720"/>
        <w:jc w:val="both"/>
        <w:rPr>
          <w:rFonts w:ascii="Arial" w:hAnsi="Arial" w:cs="Arial"/>
          <w:i/>
          <w:iCs/>
          <w:color w:val="000000"/>
          <w:sz w:val="28"/>
          <w:szCs w:val="28"/>
        </w:rPr>
      </w:pPr>
      <w:r>
        <w:rPr>
          <w:rFonts w:ascii="Arial" w:hAnsi="Arial" w:cs="Arial"/>
          <w:sz w:val="28"/>
          <w:szCs w:val="28"/>
        </w:rPr>
        <w:t>[14]</w:t>
      </w:r>
      <w:r>
        <w:rPr>
          <w:rFonts w:ascii="Arial" w:hAnsi="Arial" w:cs="Arial"/>
          <w:sz w:val="28"/>
          <w:szCs w:val="28"/>
        </w:rPr>
        <w:tab/>
        <w:t xml:space="preserve">With regard to costs, </w:t>
      </w:r>
      <w:r w:rsidR="00961396">
        <w:rPr>
          <w:rFonts w:ascii="Arial" w:hAnsi="Arial" w:cs="Arial"/>
          <w:sz w:val="28"/>
          <w:szCs w:val="28"/>
        </w:rPr>
        <w:t xml:space="preserve">it is trite that the award of costs is </w:t>
      </w:r>
      <w:r w:rsidR="00AE6B80">
        <w:rPr>
          <w:rFonts w:ascii="Arial" w:hAnsi="Arial" w:cs="Arial"/>
          <w:sz w:val="28"/>
          <w:szCs w:val="28"/>
        </w:rPr>
        <w:t xml:space="preserve">in the </w:t>
      </w:r>
      <w:r w:rsidR="00961396">
        <w:rPr>
          <w:rFonts w:ascii="Arial" w:hAnsi="Arial" w:cs="Arial"/>
          <w:sz w:val="28"/>
          <w:szCs w:val="28"/>
        </w:rPr>
        <w:t>discretion</w:t>
      </w:r>
      <w:r w:rsidR="00AE6B80">
        <w:rPr>
          <w:rFonts w:ascii="Arial" w:hAnsi="Arial" w:cs="Arial"/>
          <w:sz w:val="28"/>
          <w:szCs w:val="28"/>
        </w:rPr>
        <w:t xml:space="preserve"> of</w:t>
      </w:r>
      <w:r w:rsidR="00961396">
        <w:rPr>
          <w:rFonts w:ascii="Arial" w:hAnsi="Arial" w:cs="Arial"/>
          <w:sz w:val="28"/>
          <w:szCs w:val="28"/>
        </w:rPr>
        <w:t xml:space="preserve"> the court</w:t>
      </w:r>
      <w:r w:rsidR="00AE6B80">
        <w:rPr>
          <w:rFonts w:ascii="Arial" w:hAnsi="Arial" w:cs="Arial"/>
          <w:sz w:val="28"/>
          <w:szCs w:val="28"/>
        </w:rPr>
        <w:t>.</w:t>
      </w:r>
      <w:r w:rsidR="00961396">
        <w:rPr>
          <w:rFonts w:ascii="Arial" w:hAnsi="Arial" w:cs="Arial"/>
          <w:sz w:val="28"/>
          <w:szCs w:val="28"/>
        </w:rPr>
        <w:t xml:space="preserve"> </w:t>
      </w:r>
      <w:r w:rsidR="00AE6B80">
        <w:rPr>
          <w:rFonts w:ascii="Arial" w:hAnsi="Arial" w:cs="Arial"/>
          <w:sz w:val="28"/>
          <w:szCs w:val="28"/>
        </w:rPr>
        <w:t>I</w:t>
      </w:r>
      <w:r w:rsidR="00961396">
        <w:rPr>
          <w:rFonts w:ascii="Arial" w:hAnsi="Arial" w:cs="Arial"/>
          <w:sz w:val="28"/>
          <w:szCs w:val="28"/>
        </w:rPr>
        <w:t>n exercising its discretion</w:t>
      </w:r>
      <w:r w:rsidR="00AE6B80">
        <w:rPr>
          <w:rFonts w:ascii="Arial" w:hAnsi="Arial" w:cs="Arial"/>
          <w:sz w:val="28"/>
          <w:szCs w:val="28"/>
        </w:rPr>
        <w:t xml:space="preserve">, it </w:t>
      </w:r>
      <w:r w:rsidR="00961396">
        <w:rPr>
          <w:rFonts w:ascii="Arial" w:hAnsi="Arial" w:cs="Arial"/>
          <w:sz w:val="28"/>
          <w:szCs w:val="28"/>
        </w:rPr>
        <w:t>takes into account all relevant factors and makes an award based on fairness and equity. A</w:t>
      </w:r>
      <w:r>
        <w:rPr>
          <w:rFonts w:ascii="Arial" w:hAnsi="Arial" w:cs="Arial"/>
          <w:sz w:val="28"/>
          <w:szCs w:val="28"/>
        </w:rPr>
        <w:t xml:space="preserve">s a matter of general practice the rule is that a party who is successful or substantially successful will </w:t>
      </w:r>
      <w:r w:rsidR="005E09B8">
        <w:rPr>
          <w:rFonts w:ascii="Arial" w:hAnsi="Arial" w:cs="Arial"/>
          <w:sz w:val="28"/>
          <w:szCs w:val="28"/>
        </w:rPr>
        <w:t>be entitled to his costs.</w:t>
      </w:r>
      <w:r w:rsidR="00961396">
        <w:rPr>
          <w:rFonts w:ascii="Arial" w:hAnsi="Arial" w:cs="Arial"/>
          <w:sz w:val="28"/>
          <w:szCs w:val="28"/>
        </w:rPr>
        <w:t xml:space="preserve"> Substantial success does not mean he has to win the whole case</w:t>
      </w:r>
      <w:r w:rsidR="005E09B8">
        <w:rPr>
          <w:rFonts w:ascii="Arial" w:hAnsi="Arial" w:cs="Arial"/>
          <w:sz w:val="28"/>
          <w:szCs w:val="28"/>
        </w:rPr>
        <w:t xml:space="preserve"> </w:t>
      </w:r>
      <w:r w:rsidR="00961396">
        <w:rPr>
          <w:rFonts w:ascii="Arial" w:hAnsi="Arial" w:cs="Arial"/>
          <w:sz w:val="28"/>
          <w:szCs w:val="28"/>
        </w:rPr>
        <w:t>but obtains materially what he seeks.</w:t>
      </w:r>
      <w:r w:rsidR="00B37A4C">
        <w:rPr>
          <w:rFonts w:ascii="Arial" w:hAnsi="Arial" w:cs="Arial"/>
          <w:sz w:val="28"/>
          <w:szCs w:val="28"/>
        </w:rPr>
        <w:t xml:space="preserve"> </w:t>
      </w:r>
      <w:r w:rsidR="005E09B8">
        <w:rPr>
          <w:rFonts w:ascii="Arial" w:hAnsi="Arial" w:cs="Arial"/>
          <w:sz w:val="28"/>
          <w:szCs w:val="28"/>
        </w:rPr>
        <w:t xml:space="preserve">This has been established in a long line of cases for well over 60 years. </w:t>
      </w:r>
      <w:r w:rsidR="00B37A4C">
        <w:rPr>
          <w:rFonts w:ascii="Arial" w:hAnsi="Arial" w:cs="Arial"/>
          <w:sz w:val="28"/>
          <w:szCs w:val="28"/>
        </w:rPr>
        <w:t>[</w:t>
      </w:r>
      <w:r w:rsidR="00961396">
        <w:rPr>
          <w:rFonts w:ascii="Arial" w:hAnsi="Arial" w:cs="Arial"/>
          <w:sz w:val="28"/>
          <w:szCs w:val="28"/>
        </w:rPr>
        <w:t xml:space="preserve">See </w:t>
      </w:r>
      <w:r w:rsidR="00961396" w:rsidRPr="00961396">
        <w:rPr>
          <w:rFonts w:ascii="Arial" w:hAnsi="Arial" w:cs="Arial"/>
          <w:i/>
          <w:iCs/>
          <w:sz w:val="28"/>
          <w:szCs w:val="28"/>
        </w:rPr>
        <w:t>Herold v Taxing Master 1958(1) SA 812 (A)</w:t>
      </w:r>
      <w:r w:rsidR="00961396">
        <w:rPr>
          <w:rFonts w:ascii="Arial" w:hAnsi="Arial" w:cs="Arial"/>
          <w:sz w:val="28"/>
          <w:szCs w:val="28"/>
        </w:rPr>
        <w:t xml:space="preserve">, which was cited with approval in </w:t>
      </w:r>
      <w:r w:rsidR="00B37A4C" w:rsidRPr="00B37A4C">
        <w:rPr>
          <w:rFonts w:ascii="Arial" w:hAnsi="Arial" w:cs="Arial"/>
          <w:i/>
          <w:iCs/>
          <w:color w:val="000000"/>
          <w:sz w:val="28"/>
          <w:szCs w:val="28"/>
        </w:rPr>
        <w:t>L</w:t>
      </w:r>
      <w:r w:rsidR="00961396" w:rsidRPr="00B37A4C">
        <w:rPr>
          <w:rFonts w:ascii="Arial" w:hAnsi="Arial" w:cs="Arial"/>
          <w:i/>
          <w:iCs/>
          <w:color w:val="000000"/>
          <w:sz w:val="28"/>
          <w:szCs w:val="28"/>
        </w:rPr>
        <w:t xml:space="preserve">lama </w:t>
      </w:r>
      <w:r w:rsidR="00B37A4C" w:rsidRPr="00B37A4C">
        <w:rPr>
          <w:rFonts w:ascii="Arial" w:hAnsi="Arial" w:cs="Arial"/>
          <w:i/>
          <w:iCs/>
          <w:color w:val="000000"/>
          <w:sz w:val="28"/>
          <w:szCs w:val="28"/>
        </w:rPr>
        <w:t>R</w:t>
      </w:r>
      <w:r w:rsidR="00961396" w:rsidRPr="00B37A4C">
        <w:rPr>
          <w:rFonts w:ascii="Arial" w:hAnsi="Arial" w:cs="Arial"/>
          <w:i/>
          <w:iCs/>
          <w:color w:val="000000"/>
          <w:sz w:val="28"/>
          <w:szCs w:val="28"/>
        </w:rPr>
        <w:t xml:space="preserve">estaurant </w:t>
      </w:r>
      <w:r w:rsidR="00B37A4C" w:rsidRPr="00B37A4C">
        <w:rPr>
          <w:rFonts w:ascii="Arial" w:hAnsi="Arial" w:cs="Arial"/>
          <w:i/>
          <w:iCs/>
          <w:color w:val="000000"/>
          <w:sz w:val="28"/>
          <w:szCs w:val="28"/>
        </w:rPr>
        <w:t>F</w:t>
      </w:r>
      <w:r w:rsidR="00961396" w:rsidRPr="00B37A4C">
        <w:rPr>
          <w:rFonts w:ascii="Arial" w:hAnsi="Arial" w:cs="Arial"/>
          <w:i/>
          <w:iCs/>
          <w:color w:val="000000"/>
          <w:sz w:val="28"/>
          <w:szCs w:val="28"/>
        </w:rPr>
        <w:t xml:space="preserve">ranchising </w:t>
      </w:r>
      <w:r w:rsidR="00B37A4C" w:rsidRPr="00B37A4C">
        <w:rPr>
          <w:rFonts w:ascii="Arial" w:hAnsi="Arial" w:cs="Arial"/>
          <w:i/>
          <w:iCs/>
          <w:color w:val="000000"/>
          <w:sz w:val="28"/>
          <w:szCs w:val="28"/>
        </w:rPr>
        <w:t>C</w:t>
      </w:r>
      <w:r w:rsidR="00961396" w:rsidRPr="00B37A4C">
        <w:rPr>
          <w:rFonts w:ascii="Arial" w:hAnsi="Arial" w:cs="Arial"/>
          <w:i/>
          <w:iCs/>
          <w:color w:val="000000"/>
          <w:sz w:val="28"/>
          <w:szCs w:val="28"/>
        </w:rPr>
        <w:t>o (</w:t>
      </w:r>
      <w:r w:rsidR="00B37A4C" w:rsidRPr="00B37A4C">
        <w:rPr>
          <w:rFonts w:ascii="Arial" w:hAnsi="Arial" w:cs="Arial"/>
          <w:i/>
          <w:iCs/>
          <w:color w:val="000000"/>
          <w:sz w:val="28"/>
          <w:szCs w:val="28"/>
        </w:rPr>
        <w:t>P</w:t>
      </w:r>
      <w:r w:rsidR="00961396" w:rsidRPr="00B37A4C">
        <w:rPr>
          <w:rFonts w:ascii="Arial" w:hAnsi="Arial" w:cs="Arial"/>
          <w:i/>
          <w:iCs/>
          <w:color w:val="000000"/>
          <w:sz w:val="28"/>
          <w:szCs w:val="28"/>
        </w:rPr>
        <w:t xml:space="preserve">ty) </w:t>
      </w:r>
      <w:r w:rsidR="00B37A4C" w:rsidRPr="00B37A4C">
        <w:rPr>
          <w:rFonts w:ascii="Arial" w:hAnsi="Arial" w:cs="Arial"/>
          <w:i/>
          <w:iCs/>
          <w:color w:val="000000"/>
          <w:sz w:val="28"/>
          <w:szCs w:val="28"/>
        </w:rPr>
        <w:t>L</w:t>
      </w:r>
      <w:r w:rsidR="00961396" w:rsidRPr="00B37A4C">
        <w:rPr>
          <w:rFonts w:ascii="Arial" w:hAnsi="Arial" w:cs="Arial"/>
          <w:i/>
          <w:iCs/>
          <w:color w:val="000000"/>
          <w:sz w:val="28"/>
          <w:szCs w:val="28"/>
        </w:rPr>
        <w:t xml:space="preserve">td v </w:t>
      </w:r>
      <w:r w:rsidR="00B37A4C" w:rsidRPr="00B37A4C">
        <w:rPr>
          <w:rFonts w:ascii="Arial" w:hAnsi="Arial" w:cs="Arial"/>
          <w:i/>
          <w:iCs/>
          <w:color w:val="000000"/>
          <w:sz w:val="28"/>
          <w:szCs w:val="28"/>
        </w:rPr>
        <w:t>I</w:t>
      </w:r>
      <w:r w:rsidR="00961396" w:rsidRPr="00B37A4C">
        <w:rPr>
          <w:rFonts w:ascii="Arial" w:hAnsi="Arial" w:cs="Arial"/>
          <w:i/>
          <w:iCs/>
          <w:color w:val="000000"/>
          <w:sz w:val="28"/>
          <w:szCs w:val="28"/>
        </w:rPr>
        <w:t>vano (</w:t>
      </w:r>
      <w:r w:rsidR="00B37A4C" w:rsidRPr="00B37A4C">
        <w:rPr>
          <w:rFonts w:ascii="Arial" w:hAnsi="Arial" w:cs="Arial"/>
          <w:i/>
          <w:iCs/>
          <w:color w:val="000000"/>
          <w:sz w:val="28"/>
          <w:szCs w:val="28"/>
        </w:rPr>
        <w:t>P</w:t>
      </w:r>
      <w:r w:rsidR="00961396" w:rsidRPr="00B37A4C">
        <w:rPr>
          <w:rFonts w:ascii="Arial" w:hAnsi="Arial" w:cs="Arial"/>
          <w:i/>
          <w:iCs/>
          <w:color w:val="000000"/>
          <w:sz w:val="28"/>
          <w:szCs w:val="28"/>
        </w:rPr>
        <w:t xml:space="preserve">ty) </w:t>
      </w:r>
      <w:r w:rsidR="00B37A4C" w:rsidRPr="00B37A4C">
        <w:rPr>
          <w:rFonts w:ascii="Arial" w:hAnsi="Arial" w:cs="Arial"/>
          <w:i/>
          <w:iCs/>
          <w:color w:val="000000"/>
          <w:sz w:val="28"/>
          <w:szCs w:val="28"/>
        </w:rPr>
        <w:t>L</w:t>
      </w:r>
      <w:r w:rsidR="00961396" w:rsidRPr="00B37A4C">
        <w:rPr>
          <w:rFonts w:ascii="Arial" w:hAnsi="Arial" w:cs="Arial"/>
          <w:i/>
          <w:iCs/>
          <w:color w:val="000000"/>
          <w:sz w:val="28"/>
          <w:szCs w:val="28"/>
        </w:rPr>
        <w:t xml:space="preserve">td 1990 (1) </w:t>
      </w:r>
      <w:r w:rsidR="00B37A4C" w:rsidRPr="00B37A4C">
        <w:rPr>
          <w:rFonts w:ascii="Arial" w:hAnsi="Arial" w:cs="Arial"/>
          <w:i/>
          <w:iCs/>
          <w:color w:val="000000"/>
          <w:sz w:val="28"/>
          <w:szCs w:val="28"/>
        </w:rPr>
        <w:t>SA</w:t>
      </w:r>
      <w:r w:rsidR="00961396" w:rsidRPr="00B37A4C">
        <w:rPr>
          <w:rFonts w:ascii="Arial" w:hAnsi="Arial" w:cs="Arial"/>
          <w:i/>
          <w:iCs/>
          <w:color w:val="000000"/>
          <w:sz w:val="28"/>
          <w:szCs w:val="28"/>
        </w:rPr>
        <w:t xml:space="preserve"> 474 (</w:t>
      </w:r>
      <w:r w:rsidR="00B37A4C">
        <w:rPr>
          <w:rFonts w:ascii="Arial" w:hAnsi="Arial" w:cs="Arial"/>
          <w:i/>
          <w:iCs/>
          <w:color w:val="000000"/>
          <w:sz w:val="28"/>
          <w:szCs w:val="28"/>
        </w:rPr>
        <w:t>C</w:t>
      </w:r>
      <w:r w:rsidR="00961396" w:rsidRPr="00B37A4C">
        <w:rPr>
          <w:rFonts w:ascii="Arial" w:hAnsi="Arial" w:cs="Arial"/>
          <w:i/>
          <w:iCs/>
          <w:color w:val="000000"/>
          <w:sz w:val="28"/>
          <w:szCs w:val="28"/>
        </w:rPr>
        <w:t>)</w:t>
      </w:r>
      <w:r w:rsidR="00B37A4C">
        <w:rPr>
          <w:rFonts w:ascii="Verdana" w:hAnsi="Verdana"/>
          <w:b/>
          <w:bCs/>
          <w:i/>
          <w:iCs/>
          <w:color w:val="000000"/>
          <w:sz w:val="20"/>
          <w:szCs w:val="20"/>
        </w:rPr>
        <w:t xml:space="preserve">; </w:t>
      </w:r>
      <w:r w:rsidR="00B37A4C">
        <w:rPr>
          <w:rFonts w:ascii="Arial" w:eastAsia="Times New Roman" w:hAnsi="Arial" w:cs="Arial"/>
          <w:color w:val="000000"/>
          <w:sz w:val="28"/>
          <w:szCs w:val="28"/>
          <w:lang w:val="en-ZA" w:eastAsia="en-ZA"/>
        </w:rPr>
        <w:t>N</w:t>
      </w:r>
      <w:r w:rsidR="00B37A4C" w:rsidRPr="00B37A4C">
        <w:rPr>
          <w:rFonts w:ascii="Arial" w:eastAsia="Times New Roman" w:hAnsi="Arial" w:cs="Arial"/>
          <w:color w:val="000000"/>
          <w:sz w:val="28"/>
          <w:szCs w:val="28"/>
          <w:lang w:val="en-ZA" w:eastAsia="en-ZA"/>
        </w:rPr>
        <w:t xml:space="preserve">orwich </w:t>
      </w:r>
      <w:r w:rsidR="00B37A4C">
        <w:rPr>
          <w:rFonts w:ascii="Arial" w:eastAsia="Times New Roman" w:hAnsi="Arial" w:cs="Arial"/>
          <w:color w:val="000000"/>
          <w:sz w:val="28"/>
          <w:szCs w:val="28"/>
          <w:lang w:val="en-ZA" w:eastAsia="en-ZA"/>
        </w:rPr>
        <w:t>U</w:t>
      </w:r>
      <w:r w:rsidR="00B37A4C" w:rsidRPr="00B37A4C">
        <w:rPr>
          <w:rFonts w:ascii="Arial" w:eastAsia="Times New Roman" w:hAnsi="Arial" w:cs="Arial"/>
          <w:color w:val="000000"/>
          <w:sz w:val="28"/>
          <w:szCs w:val="28"/>
          <w:lang w:val="en-ZA" w:eastAsia="en-ZA"/>
        </w:rPr>
        <w:t xml:space="preserve">nion </w:t>
      </w:r>
      <w:r w:rsidR="00B37A4C">
        <w:rPr>
          <w:rFonts w:ascii="Arial" w:eastAsia="Times New Roman" w:hAnsi="Arial" w:cs="Arial"/>
          <w:color w:val="000000"/>
          <w:sz w:val="28"/>
          <w:szCs w:val="28"/>
          <w:lang w:val="en-ZA" w:eastAsia="en-ZA"/>
        </w:rPr>
        <w:t>F</w:t>
      </w:r>
      <w:r w:rsidR="00B37A4C" w:rsidRPr="00B37A4C">
        <w:rPr>
          <w:rFonts w:ascii="Arial" w:eastAsia="Times New Roman" w:hAnsi="Arial" w:cs="Arial"/>
          <w:color w:val="000000"/>
          <w:sz w:val="28"/>
          <w:szCs w:val="28"/>
          <w:lang w:val="en-ZA" w:eastAsia="en-ZA"/>
        </w:rPr>
        <w:t xml:space="preserve">ire </w:t>
      </w:r>
      <w:r w:rsidR="00B37A4C">
        <w:rPr>
          <w:rFonts w:ascii="Arial" w:eastAsia="Times New Roman" w:hAnsi="Arial" w:cs="Arial"/>
          <w:color w:val="000000"/>
          <w:sz w:val="28"/>
          <w:szCs w:val="28"/>
          <w:lang w:val="en-ZA" w:eastAsia="en-ZA"/>
        </w:rPr>
        <w:t>I</w:t>
      </w:r>
      <w:r w:rsidR="00B37A4C" w:rsidRPr="00B37A4C">
        <w:rPr>
          <w:rFonts w:ascii="Arial" w:eastAsia="Times New Roman" w:hAnsi="Arial" w:cs="Arial"/>
          <w:color w:val="000000"/>
          <w:sz w:val="28"/>
          <w:szCs w:val="28"/>
          <w:lang w:val="en-ZA" w:eastAsia="en-ZA"/>
        </w:rPr>
        <w:t xml:space="preserve">nsurance </w:t>
      </w:r>
      <w:r w:rsidR="00B37A4C">
        <w:rPr>
          <w:rFonts w:ascii="Arial" w:eastAsia="Times New Roman" w:hAnsi="Arial" w:cs="Arial"/>
          <w:color w:val="000000"/>
          <w:sz w:val="28"/>
          <w:szCs w:val="28"/>
          <w:lang w:val="en-ZA" w:eastAsia="en-ZA"/>
        </w:rPr>
        <w:t>S</w:t>
      </w:r>
      <w:r w:rsidR="00B37A4C" w:rsidRPr="00B37A4C">
        <w:rPr>
          <w:rFonts w:ascii="Arial" w:eastAsia="Times New Roman" w:hAnsi="Arial" w:cs="Arial"/>
          <w:color w:val="000000"/>
          <w:sz w:val="28"/>
          <w:szCs w:val="28"/>
          <w:lang w:val="en-ZA" w:eastAsia="en-ZA"/>
        </w:rPr>
        <w:t xml:space="preserve">ociety </w:t>
      </w:r>
      <w:r w:rsidR="00B37A4C">
        <w:rPr>
          <w:rFonts w:ascii="Arial" w:eastAsia="Times New Roman" w:hAnsi="Arial" w:cs="Arial"/>
          <w:color w:val="000000"/>
          <w:sz w:val="28"/>
          <w:szCs w:val="28"/>
          <w:lang w:val="en-ZA" w:eastAsia="en-ZA"/>
        </w:rPr>
        <w:t>L</w:t>
      </w:r>
      <w:r w:rsidR="00B37A4C" w:rsidRPr="00B37A4C">
        <w:rPr>
          <w:rFonts w:ascii="Arial" w:eastAsia="Times New Roman" w:hAnsi="Arial" w:cs="Arial"/>
          <w:color w:val="000000"/>
          <w:sz w:val="28"/>
          <w:szCs w:val="28"/>
          <w:lang w:val="en-ZA" w:eastAsia="en-ZA"/>
        </w:rPr>
        <w:t xml:space="preserve">td v </w:t>
      </w:r>
      <w:r w:rsidR="00B37A4C">
        <w:rPr>
          <w:rFonts w:ascii="Arial" w:eastAsia="Times New Roman" w:hAnsi="Arial" w:cs="Arial"/>
          <w:color w:val="000000"/>
          <w:sz w:val="28"/>
          <w:szCs w:val="28"/>
          <w:lang w:val="en-ZA" w:eastAsia="en-ZA"/>
        </w:rPr>
        <w:t>T</w:t>
      </w:r>
      <w:r w:rsidR="00B37A4C" w:rsidRPr="00B37A4C">
        <w:rPr>
          <w:rFonts w:ascii="Arial" w:eastAsia="Times New Roman" w:hAnsi="Arial" w:cs="Arial"/>
          <w:color w:val="000000"/>
          <w:sz w:val="28"/>
          <w:szCs w:val="28"/>
          <w:lang w:val="en-ZA" w:eastAsia="en-ZA"/>
        </w:rPr>
        <w:t xml:space="preserve">utt </w:t>
      </w:r>
      <w:r w:rsidR="007D649A" w:rsidRPr="00B37A4C">
        <w:rPr>
          <w:rFonts w:ascii="Arial" w:eastAsia="Times New Roman" w:hAnsi="Arial" w:cs="Arial"/>
          <w:color w:val="000000"/>
          <w:sz w:val="28"/>
          <w:szCs w:val="28"/>
          <w:lang w:val="en-ZA" w:eastAsia="en-ZA"/>
        </w:rPr>
        <w:t>1960 (4) SA 851</w:t>
      </w:r>
      <w:r w:rsidR="007D649A" w:rsidRPr="00B37A4C">
        <w:rPr>
          <w:rFonts w:ascii="Arial" w:hAnsi="Arial" w:cs="Arial"/>
          <w:color w:val="808080"/>
          <w:sz w:val="28"/>
          <w:szCs w:val="28"/>
        </w:rPr>
        <w:t xml:space="preserve"> </w:t>
      </w:r>
      <w:r w:rsidR="007D649A" w:rsidRPr="00B37A4C">
        <w:rPr>
          <w:rFonts w:ascii="Arial" w:hAnsi="Arial" w:cs="Arial"/>
          <w:sz w:val="28"/>
          <w:szCs w:val="28"/>
        </w:rPr>
        <w:t>1960 (4) SA p854 D</w:t>
      </w:r>
      <w:r w:rsidR="007D649A" w:rsidRPr="00B37A4C">
        <w:rPr>
          <w:rFonts w:ascii="Arial" w:eastAsia="Times New Roman" w:hAnsi="Arial" w:cs="Arial"/>
          <w:sz w:val="28"/>
          <w:szCs w:val="28"/>
          <w:lang w:val="en-ZA" w:eastAsia="en-ZA"/>
        </w:rPr>
        <w:t xml:space="preserve"> (A) </w:t>
      </w:r>
      <w:r w:rsidR="00AE6B80">
        <w:rPr>
          <w:rFonts w:ascii="Arial" w:eastAsia="Times New Roman" w:hAnsi="Arial" w:cs="Arial"/>
          <w:sz w:val="28"/>
          <w:szCs w:val="28"/>
          <w:lang w:val="en-ZA" w:eastAsia="en-ZA"/>
        </w:rPr>
        <w:t>and</w:t>
      </w:r>
      <w:r w:rsidR="00AE6B80">
        <w:rPr>
          <w:rFonts w:ascii="Verdana" w:eastAsia="Times New Roman" w:hAnsi="Verdana" w:cs="Times New Roman"/>
          <w:b/>
          <w:bCs/>
          <w:color w:val="000000"/>
          <w:sz w:val="20"/>
          <w:szCs w:val="20"/>
          <w:lang w:val="en-ZA" w:eastAsia="en-ZA"/>
        </w:rPr>
        <w:t xml:space="preserve"> </w:t>
      </w:r>
      <w:r w:rsidR="00961396" w:rsidRPr="00AE6B80">
        <w:rPr>
          <w:rFonts w:ascii="Arial" w:hAnsi="Arial" w:cs="Arial"/>
          <w:i/>
          <w:iCs/>
          <w:color w:val="000000"/>
          <w:sz w:val="28"/>
          <w:szCs w:val="28"/>
        </w:rPr>
        <w:t>J</w:t>
      </w:r>
      <w:r w:rsidR="00AE6B80" w:rsidRPr="00AE6B80">
        <w:rPr>
          <w:rFonts w:ascii="Arial" w:hAnsi="Arial" w:cs="Arial"/>
          <w:i/>
          <w:iCs/>
          <w:color w:val="000000"/>
          <w:sz w:val="28"/>
          <w:szCs w:val="28"/>
        </w:rPr>
        <w:t xml:space="preserve">acobs </w:t>
      </w:r>
      <w:r w:rsidR="00961396" w:rsidRPr="00AE6B80">
        <w:rPr>
          <w:rFonts w:ascii="Arial" w:hAnsi="Arial" w:cs="Arial"/>
          <w:i/>
          <w:iCs/>
          <w:color w:val="000000"/>
          <w:sz w:val="28"/>
          <w:szCs w:val="28"/>
        </w:rPr>
        <w:t>v C</w:t>
      </w:r>
      <w:r w:rsidR="00AE6B80" w:rsidRPr="00AE6B80">
        <w:rPr>
          <w:rFonts w:ascii="Arial" w:hAnsi="Arial" w:cs="Arial"/>
          <w:i/>
          <w:iCs/>
          <w:color w:val="000000"/>
          <w:sz w:val="28"/>
          <w:szCs w:val="28"/>
        </w:rPr>
        <w:t>hairman</w:t>
      </w:r>
      <w:r w:rsidR="00961396" w:rsidRPr="00AE6B80">
        <w:rPr>
          <w:rFonts w:ascii="Arial" w:hAnsi="Arial" w:cs="Arial"/>
          <w:i/>
          <w:iCs/>
          <w:color w:val="000000"/>
          <w:sz w:val="28"/>
          <w:szCs w:val="28"/>
        </w:rPr>
        <w:t>, G</w:t>
      </w:r>
      <w:r w:rsidR="00AE6B80" w:rsidRPr="00AE6B80">
        <w:rPr>
          <w:rFonts w:ascii="Arial" w:hAnsi="Arial" w:cs="Arial"/>
          <w:i/>
          <w:iCs/>
          <w:color w:val="000000"/>
          <w:sz w:val="28"/>
          <w:szCs w:val="28"/>
        </w:rPr>
        <w:t>overning</w:t>
      </w:r>
      <w:r w:rsidR="00961396" w:rsidRPr="00AE6B80">
        <w:rPr>
          <w:rFonts w:ascii="Arial" w:hAnsi="Arial" w:cs="Arial"/>
          <w:i/>
          <w:iCs/>
          <w:color w:val="000000"/>
          <w:sz w:val="28"/>
          <w:szCs w:val="28"/>
        </w:rPr>
        <w:t xml:space="preserve"> B</w:t>
      </w:r>
      <w:r w:rsidR="00AE6B80" w:rsidRPr="00AE6B80">
        <w:rPr>
          <w:rFonts w:ascii="Arial" w:hAnsi="Arial" w:cs="Arial"/>
          <w:i/>
          <w:iCs/>
          <w:color w:val="000000"/>
          <w:sz w:val="28"/>
          <w:szCs w:val="28"/>
        </w:rPr>
        <w:t>ody</w:t>
      </w:r>
      <w:r w:rsidR="00961396" w:rsidRPr="00AE6B80">
        <w:rPr>
          <w:rFonts w:ascii="Arial" w:hAnsi="Arial" w:cs="Arial"/>
          <w:i/>
          <w:iCs/>
          <w:color w:val="000000"/>
          <w:sz w:val="28"/>
          <w:szCs w:val="28"/>
        </w:rPr>
        <w:t>, R</w:t>
      </w:r>
      <w:r w:rsidR="00AE6B80" w:rsidRPr="00AE6B80">
        <w:rPr>
          <w:rFonts w:ascii="Arial" w:hAnsi="Arial" w:cs="Arial"/>
          <w:i/>
          <w:iCs/>
          <w:color w:val="000000"/>
          <w:sz w:val="28"/>
          <w:szCs w:val="28"/>
        </w:rPr>
        <w:t>hodes</w:t>
      </w:r>
      <w:r w:rsidR="00961396" w:rsidRPr="00AE6B80">
        <w:rPr>
          <w:rFonts w:ascii="Arial" w:hAnsi="Arial" w:cs="Arial"/>
          <w:i/>
          <w:iCs/>
          <w:color w:val="000000"/>
          <w:sz w:val="28"/>
          <w:szCs w:val="28"/>
        </w:rPr>
        <w:t xml:space="preserve"> H</w:t>
      </w:r>
      <w:r w:rsidR="00AE6B80" w:rsidRPr="00AE6B80">
        <w:rPr>
          <w:rFonts w:ascii="Arial" w:hAnsi="Arial" w:cs="Arial"/>
          <w:i/>
          <w:iCs/>
          <w:color w:val="000000"/>
          <w:sz w:val="28"/>
          <w:szCs w:val="28"/>
        </w:rPr>
        <w:t>igh</w:t>
      </w:r>
      <w:r w:rsidR="00961396" w:rsidRPr="00AE6B80">
        <w:rPr>
          <w:rFonts w:ascii="Arial" w:hAnsi="Arial" w:cs="Arial"/>
          <w:i/>
          <w:iCs/>
          <w:color w:val="000000"/>
          <w:sz w:val="28"/>
          <w:szCs w:val="28"/>
        </w:rPr>
        <w:t xml:space="preserve"> S</w:t>
      </w:r>
      <w:r w:rsidR="00AE6B80" w:rsidRPr="00AE6B80">
        <w:rPr>
          <w:rFonts w:ascii="Arial" w:hAnsi="Arial" w:cs="Arial"/>
          <w:i/>
          <w:iCs/>
          <w:color w:val="000000"/>
          <w:sz w:val="28"/>
          <w:szCs w:val="28"/>
        </w:rPr>
        <w:t>chool</w:t>
      </w:r>
      <w:r w:rsidR="00961396" w:rsidRPr="00AE6B80">
        <w:rPr>
          <w:rFonts w:ascii="Arial" w:hAnsi="Arial" w:cs="Arial"/>
          <w:i/>
          <w:iCs/>
          <w:color w:val="000000"/>
          <w:sz w:val="28"/>
          <w:szCs w:val="28"/>
        </w:rPr>
        <w:t xml:space="preserve">, </w:t>
      </w:r>
      <w:r w:rsidR="00AE6B80" w:rsidRPr="00AE6B80">
        <w:rPr>
          <w:rFonts w:ascii="Arial" w:hAnsi="Arial" w:cs="Arial"/>
          <w:i/>
          <w:iCs/>
          <w:color w:val="000000"/>
          <w:sz w:val="28"/>
          <w:szCs w:val="28"/>
        </w:rPr>
        <w:t xml:space="preserve">and </w:t>
      </w:r>
      <w:r w:rsidR="00961396" w:rsidRPr="00AE6B80">
        <w:rPr>
          <w:rFonts w:ascii="Arial" w:hAnsi="Arial" w:cs="Arial"/>
          <w:i/>
          <w:iCs/>
          <w:color w:val="000000"/>
          <w:sz w:val="28"/>
          <w:szCs w:val="28"/>
        </w:rPr>
        <w:t>O</w:t>
      </w:r>
      <w:r w:rsidR="00AE6B80" w:rsidRPr="00AE6B80">
        <w:rPr>
          <w:rFonts w:ascii="Arial" w:hAnsi="Arial" w:cs="Arial"/>
          <w:i/>
          <w:iCs/>
          <w:color w:val="000000"/>
          <w:sz w:val="28"/>
          <w:szCs w:val="28"/>
        </w:rPr>
        <w:t>thers</w:t>
      </w:r>
      <w:r w:rsidR="00961396" w:rsidRPr="00AE6B80">
        <w:rPr>
          <w:rFonts w:ascii="Arial" w:hAnsi="Arial" w:cs="Arial"/>
          <w:i/>
          <w:iCs/>
          <w:color w:val="000000"/>
          <w:sz w:val="28"/>
          <w:szCs w:val="28"/>
        </w:rPr>
        <w:t xml:space="preserve"> 2011 (1) SA 160 (WCC)</w:t>
      </w:r>
      <w:r w:rsidR="00AE6B80">
        <w:rPr>
          <w:rFonts w:ascii="Arial" w:hAnsi="Arial" w:cs="Arial"/>
          <w:i/>
          <w:iCs/>
          <w:color w:val="000000"/>
          <w:sz w:val="28"/>
          <w:szCs w:val="28"/>
        </w:rPr>
        <w:t>]</w:t>
      </w:r>
      <w:r w:rsidR="00B55C98">
        <w:rPr>
          <w:rFonts w:ascii="Arial" w:hAnsi="Arial" w:cs="Arial"/>
          <w:i/>
          <w:iCs/>
          <w:color w:val="000000"/>
          <w:sz w:val="28"/>
          <w:szCs w:val="28"/>
        </w:rPr>
        <w:t>.</w:t>
      </w:r>
    </w:p>
    <w:p w14:paraId="703F2EB4" w14:textId="0563DCA7" w:rsidR="00011414" w:rsidRDefault="00011414" w:rsidP="00AE6B80">
      <w:pPr>
        <w:spacing w:line="360" w:lineRule="auto"/>
        <w:ind w:left="720" w:hanging="720"/>
        <w:jc w:val="both"/>
        <w:rPr>
          <w:rFonts w:ascii="Arial" w:hAnsi="Arial" w:cs="Arial"/>
          <w:i/>
          <w:iCs/>
          <w:color w:val="000000"/>
          <w:sz w:val="28"/>
          <w:szCs w:val="28"/>
        </w:rPr>
      </w:pPr>
    </w:p>
    <w:p w14:paraId="6356360D" w14:textId="77777777" w:rsidR="00724C1B" w:rsidRDefault="00724C1B" w:rsidP="00AE6B80">
      <w:pPr>
        <w:spacing w:line="360" w:lineRule="auto"/>
        <w:ind w:left="720" w:hanging="720"/>
        <w:jc w:val="both"/>
        <w:rPr>
          <w:rFonts w:ascii="Arial" w:hAnsi="Arial" w:cs="Arial"/>
          <w:color w:val="000000"/>
          <w:sz w:val="28"/>
          <w:szCs w:val="28"/>
        </w:rPr>
      </w:pPr>
      <w:r>
        <w:rPr>
          <w:rFonts w:ascii="Arial" w:hAnsi="Arial" w:cs="Arial"/>
          <w:color w:val="000000"/>
          <w:sz w:val="28"/>
          <w:szCs w:val="28"/>
        </w:rPr>
        <w:t>[</w:t>
      </w:r>
      <w:r w:rsidR="00011414">
        <w:rPr>
          <w:rFonts w:ascii="Arial" w:hAnsi="Arial" w:cs="Arial"/>
          <w:color w:val="000000"/>
          <w:sz w:val="28"/>
          <w:szCs w:val="28"/>
        </w:rPr>
        <w:t>15]</w:t>
      </w:r>
      <w:r w:rsidR="00011414">
        <w:rPr>
          <w:rFonts w:ascii="Arial" w:hAnsi="Arial" w:cs="Arial"/>
          <w:color w:val="000000"/>
          <w:sz w:val="28"/>
          <w:szCs w:val="28"/>
        </w:rPr>
        <w:tab/>
        <w:t xml:space="preserve">In considering whether the applicant was substantially successful in the application, this court </w:t>
      </w:r>
      <w:r w:rsidR="001A207F">
        <w:rPr>
          <w:rFonts w:ascii="Arial" w:hAnsi="Arial" w:cs="Arial"/>
          <w:color w:val="000000"/>
          <w:sz w:val="28"/>
          <w:szCs w:val="28"/>
        </w:rPr>
        <w:t>takes cognizance of the</w:t>
      </w:r>
      <w:r w:rsidR="00011414">
        <w:rPr>
          <w:rFonts w:ascii="Arial" w:hAnsi="Arial" w:cs="Arial"/>
          <w:color w:val="000000"/>
          <w:sz w:val="28"/>
          <w:szCs w:val="28"/>
        </w:rPr>
        <w:t xml:space="preserve"> well</w:t>
      </w:r>
      <w:r w:rsidR="001A207F">
        <w:rPr>
          <w:rFonts w:ascii="Arial" w:hAnsi="Arial" w:cs="Arial"/>
          <w:color w:val="000000"/>
          <w:sz w:val="28"/>
          <w:szCs w:val="28"/>
        </w:rPr>
        <w:t xml:space="preserve">-established </w:t>
      </w:r>
    </w:p>
    <w:p w14:paraId="57E0CC0E" w14:textId="6AE74C96" w:rsidR="00182AA2" w:rsidRDefault="001A207F" w:rsidP="00182AA2">
      <w:pPr>
        <w:spacing w:line="360" w:lineRule="auto"/>
        <w:ind w:left="720"/>
        <w:jc w:val="both"/>
        <w:rPr>
          <w:rFonts w:ascii="Arial" w:hAnsi="Arial" w:cs="Arial"/>
          <w:color w:val="000000"/>
          <w:sz w:val="28"/>
          <w:szCs w:val="28"/>
        </w:rPr>
      </w:pPr>
      <w:r>
        <w:rPr>
          <w:rFonts w:ascii="Arial" w:hAnsi="Arial" w:cs="Arial"/>
          <w:color w:val="000000"/>
          <w:sz w:val="28"/>
          <w:szCs w:val="28"/>
        </w:rPr>
        <w:lastRenderedPageBreak/>
        <w:t xml:space="preserve">guidelines set out in our case law. In summary, a court must consider </w:t>
      </w:r>
      <w:r w:rsidR="00724C1B">
        <w:rPr>
          <w:rFonts w:ascii="Arial" w:hAnsi="Arial" w:cs="Arial"/>
          <w:color w:val="000000"/>
          <w:sz w:val="28"/>
          <w:szCs w:val="28"/>
        </w:rPr>
        <w:t>whe</w:t>
      </w:r>
      <w:r>
        <w:rPr>
          <w:rFonts w:ascii="Arial" w:hAnsi="Arial" w:cs="Arial"/>
          <w:color w:val="000000"/>
          <w:sz w:val="28"/>
          <w:szCs w:val="28"/>
        </w:rPr>
        <w:t>the</w:t>
      </w:r>
      <w:r w:rsidR="00724C1B">
        <w:rPr>
          <w:rFonts w:ascii="Arial" w:hAnsi="Arial" w:cs="Arial"/>
          <w:color w:val="000000"/>
          <w:sz w:val="28"/>
          <w:szCs w:val="28"/>
        </w:rPr>
        <w:t>r it was</w:t>
      </w:r>
      <w:r>
        <w:rPr>
          <w:rFonts w:ascii="Arial" w:hAnsi="Arial" w:cs="Arial"/>
          <w:color w:val="000000"/>
          <w:sz w:val="28"/>
          <w:szCs w:val="28"/>
        </w:rPr>
        <w:t xml:space="preserve"> necess</w:t>
      </w:r>
      <w:r w:rsidR="00724C1B">
        <w:rPr>
          <w:rFonts w:ascii="Arial" w:hAnsi="Arial" w:cs="Arial"/>
          <w:color w:val="000000"/>
          <w:sz w:val="28"/>
          <w:szCs w:val="28"/>
        </w:rPr>
        <w:t>ary</w:t>
      </w:r>
      <w:r>
        <w:rPr>
          <w:rFonts w:ascii="Arial" w:hAnsi="Arial" w:cs="Arial"/>
          <w:color w:val="000000"/>
          <w:sz w:val="28"/>
          <w:szCs w:val="28"/>
        </w:rPr>
        <w:t xml:space="preserve"> for the applicant to resort to litigation in order to obtain relief, </w:t>
      </w:r>
      <w:r w:rsidR="00724C1B">
        <w:rPr>
          <w:rFonts w:ascii="Arial" w:hAnsi="Arial" w:cs="Arial"/>
          <w:color w:val="000000"/>
          <w:sz w:val="28"/>
          <w:szCs w:val="28"/>
        </w:rPr>
        <w:t xml:space="preserve">and </w:t>
      </w:r>
      <w:r>
        <w:rPr>
          <w:rFonts w:ascii="Arial" w:hAnsi="Arial" w:cs="Arial"/>
          <w:color w:val="000000"/>
          <w:sz w:val="28"/>
          <w:szCs w:val="28"/>
        </w:rPr>
        <w:t xml:space="preserve">the measure of the applicant’s success and </w:t>
      </w:r>
      <w:r w:rsidR="00250AB5">
        <w:rPr>
          <w:rFonts w:ascii="Arial" w:hAnsi="Arial" w:cs="Arial"/>
          <w:color w:val="000000"/>
          <w:sz w:val="28"/>
          <w:szCs w:val="28"/>
        </w:rPr>
        <w:t>failure. The history of the matter as appears from the papers indicates that the applicant made numerous efforts to recover the monies owed to it. The correspondence indicates that the sole director of the respondent</w:t>
      </w:r>
      <w:r w:rsidR="00724C1B">
        <w:rPr>
          <w:rFonts w:ascii="Arial" w:hAnsi="Arial" w:cs="Arial"/>
          <w:color w:val="000000"/>
          <w:sz w:val="28"/>
          <w:szCs w:val="28"/>
        </w:rPr>
        <w:t>, Mr Dirk Lotter,</w:t>
      </w:r>
      <w:r w:rsidR="00250AB5">
        <w:rPr>
          <w:rFonts w:ascii="Arial" w:hAnsi="Arial" w:cs="Arial"/>
          <w:color w:val="000000"/>
          <w:sz w:val="28"/>
          <w:szCs w:val="28"/>
        </w:rPr>
        <w:t xml:space="preserve"> acknowledged that the monies were due to the applicant and made several promises to pay, but failed to do so. The applicant was clearly obliged to seek the assistance of the court for relief. It is the service of the application upon the respondent that resulted in the payment it made. </w:t>
      </w:r>
      <w:r>
        <w:rPr>
          <w:rFonts w:ascii="Arial" w:hAnsi="Arial" w:cs="Arial"/>
          <w:color w:val="000000"/>
          <w:sz w:val="28"/>
          <w:szCs w:val="28"/>
        </w:rPr>
        <w:t xml:space="preserve"> </w:t>
      </w:r>
      <w:r w:rsidR="00011414">
        <w:rPr>
          <w:rFonts w:ascii="Arial" w:hAnsi="Arial" w:cs="Arial"/>
          <w:color w:val="000000"/>
          <w:sz w:val="28"/>
          <w:szCs w:val="28"/>
        </w:rPr>
        <w:t>In my view, the payment of 83.5 % of the applicant’s claim</w:t>
      </w:r>
      <w:r w:rsidR="00182AA2">
        <w:rPr>
          <w:rFonts w:ascii="Arial" w:hAnsi="Arial" w:cs="Arial"/>
          <w:color w:val="000000"/>
          <w:sz w:val="28"/>
          <w:szCs w:val="28"/>
        </w:rPr>
        <w:t>, while the disputed amount represents 16.5%,</w:t>
      </w:r>
      <w:r w:rsidR="00011414">
        <w:rPr>
          <w:rFonts w:ascii="Arial" w:hAnsi="Arial" w:cs="Arial"/>
          <w:color w:val="000000"/>
          <w:sz w:val="28"/>
          <w:szCs w:val="28"/>
        </w:rPr>
        <w:t xml:space="preserve"> indicates that the applicant was substantially successful in the matter</w:t>
      </w:r>
      <w:r w:rsidR="00182AA2">
        <w:rPr>
          <w:rFonts w:ascii="Arial" w:hAnsi="Arial" w:cs="Arial"/>
          <w:color w:val="000000"/>
          <w:sz w:val="28"/>
          <w:szCs w:val="28"/>
        </w:rPr>
        <w:t>. There is no reason to depart from the general rule that costs follow the result.</w:t>
      </w:r>
    </w:p>
    <w:p w14:paraId="5386762C" w14:textId="77777777" w:rsidR="00182AA2" w:rsidRDefault="00182AA2" w:rsidP="00182AA2">
      <w:pPr>
        <w:spacing w:line="360" w:lineRule="auto"/>
        <w:jc w:val="both"/>
        <w:rPr>
          <w:rFonts w:ascii="Arial" w:hAnsi="Arial" w:cs="Arial"/>
          <w:color w:val="000000"/>
          <w:sz w:val="28"/>
          <w:szCs w:val="28"/>
        </w:rPr>
      </w:pPr>
    </w:p>
    <w:p w14:paraId="1A7E5B18" w14:textId="77777777" w:rsidR="00724C1B" w:rsidRDefault="00182AA2" w:rsidP="00496580">
      <w:pPr>
        <w:spacing w:line="360" w:lineRule="auto"/>
        <w:ind w:left="720" w:hanging="720"/>
        <w:jc w:val="both"/>
        <w:rPr>
          <w:rFonts w:ascii="Arial" w:hAnsi="Arial" w:cs="Arial"/>
          <w:color w:val="000000"/>
          <w:sz w:val="28"/>
          <w:szCs w:val="28"/>
        </w:rPr>
      </w:pPr>
      <w:r>
        <w:rPr>
          <w:rFonts w:ascii="Arial" w:hAnsi="Arial" w:cs="Arial"/>
          <w:color w:val="000000"/>
          <w:sz w:val="28"/>
          <w:szCs w:val="28"/>
        </w:rPr>
        <w:t>[16]</w:t>
      </w:r>
      <w:r>
        <w:rPr>
          <w:rFonts w:ascii="Arial" w:hAnsi="Arial" w:cs="Arial"/>
          <w:color w:val="000000"/>
          <w:sz w:val="28"/>
          <w:szCs w:val="28"/>
        </w:rPr>
        <w:tab/>
        <w:t xml:space="preserve"> </w:t>
      </w:r>
      <w:r w:rsidR="0090741A">
        <w:rPr>
          <w:rFonts w:ascii="Arial" w:hAnsi="Arial" w:cs="Arial"/>
          <w:color w:val="000000"/>
          <w:sz w:val="28"/>
          <w:szCs w:val="28"/>
        </w:rPr>
        <w:t>I turn now to deal with the respondent’s application to strike out portions of the applicant’s Replying Affidavit and certain annexures thereto. Such portions deal with an application by the respondent’s erstwhile accountants for the liquidation of the respondent, arising out of the latter’s failure to pay</w:t>
      </w:r>
      <w:r w:rsidR="00C13F62">
        <w:rPr>
          <w:rFonts w:ascii="Arial" w:hAnsi="Arial" w:cs="Arial"/>
          <w:color w:val="000000"/>
          <w:sz w:val="28"/>
          <w:szCs w:val="28"/>
        </w:rPr>
        <w:t xml:space="preserve"> the fees due to its accountant. That liquidation application was issued after the current application was launched by the applicant (2</w:t>
      </w:r>
      <w:r w:rsidR="00724C1B">
        <w:rPr>
          <w:rFonts w:ascii="Arial" w:hAnsi="Arial" w:cs="Arial"/>
          <w:color w:val="000000"/>
          <w:sz w:val="28"/>
          <w:szCs w:val="28"/>
        </w:rPr>
        <w:t xml:space="preserve"> </w:t>
      </w:r>
      <w:r w:rsidR="00C13F62">
        <w:rPr>
          <w:rFonts w:ascii="Arial" w:hAnsi="Arial" w:cs="Arial"/>
          <w:color w:val="000000"/>
          <w:sz w:val="28"/>
          <w:szCs w:val="28"/>
        </w:rPr>
        <w:t xml:space="preserve">March 2022) and appears to have been issued on the same day that the respondent filed its Answering Affidavit in this matter (30 March 2022). The applicant could not have referred to it in Founding as it had not come into existence on 2 March 2022. </w:t>
      </w:r>
      <w:r w:rsidR="00496580">
        <w:rPr>
          <w:rFonts w:ascii="Arial" w:hAnsi="Arial" w:cs="Arial"/>
          <w:sz w:val="28"/>
          <w:szCs w:val="28"/>
        </w:rPr>
        <w:t>One of the grounds for the striking out relied upon by t</w:t>
      </w:r>
      <w:r w:rsidR="00C13F62">
        <w:rPr>
          <w:rFonts w:ascii="Arial" w:hAnsi="Arial" w:cs="Arial"/>
          <w:color w:val="000000"/>
          <w:sz w:val="28"/>
          <w:szCs w:val="28"/>
        </w:rPr>
        <w:t xml:space="preserve">he </w:t>
      </w:r>
    </w:p>
    <w:p w14:paraId="597AFE81" w14:textId="77777777" w:rsidR="00724C1B" w:rsidRDefault="00724C1B" w:rsidP="00496580">
      <w:pPr>
        <w:spacing w:line="360" w:lineRule="auto"/>
        <w:ind w:left="720" w:hanging="720"/>
        <w:jc w:val="both"/>
        <w:rPr>
          <w:rFonts w:ascii="Arial" w:hAnsi="Arial" w:cs="Arial"/>
          <w:color w:val="000000"/>
          <w:sz w:val="28"/>
          <w:szCs w:val="28"/>
        </w:rPr>
      </w:pPr>
    </w:p>
    <w:p w14:paraId="6D51935D" w14:textId="3B6B32C5" w:rsidR="00496580" w:rsidRDefault="00C13F62" w:rsidP="00724C1B">
      <w:pPr>
        <w:spacing w:line="360" w:lineRule="auto"/>
        <w:ind w:left="720"/>
        <w:jc w:val="both"/>
        <w:rPr>
          <w:rFonts w:ascii="Arial" w:hAnsi="Arial" w:cs="Arial"/>
          <w:color w:val="000000"/>
          <w:sz w:val="28"/>
          <w:szCs w:val="28"/>
        </w:rPr>
      </w:pPr>
      <w:r>
        <w:rPr>
          <w:rFonts w:ascii="Arial" w:hAnsi="Arial" w:cs="Arial"/>
          <w:color w:val="000000"/>
          <w:sz w:val="28"/>
          <w:szCs w:val="28"/>
        </w:rPr>
        <w:lastRenderedPageBreak/>
        <w:t xml:space="preserve">respondent </w:t>
      </w:r>
      <w:r w:rsidR="00496580">
        <w:rPr>
          <w:rFonts w:ascii="Arial" w:hAnsi="Arial" w:cs="Arial"/>
          <w:color w:val="000000"/>
          <w:sz w:val="28"/>
          <w:szCs w:val="28"/>
        </w:rPr>
        <w:t>is that this amounts to similar fact evidence, which is impermissible.</w:t>
      </w:r>
    </w:p>
    <w:p w14:paraId="1A8770E8" w14:textId="77777777" w:rsidR="00724C1B" w:rsidRDefault="00724C1B" w:rsidP="00724C1B">
      <w:pPr>
        <w:spacing w:line="360" w:lineRule="auto"/>
        <w:ind w:left="720"/>
        <w:jc w:val="both"/>
        <w:rPr>
          <w:rFonts w:ascii="Arial" w:hAnsi="Arial" w:cs="Arial"/>
          <w:color w:val="000000"/>
          <w:sz w:val="28"/>
          <w:szCs w:val="28"/>
        </w:rPr>
      </w:pPr>
    </w:p>
    <w:p w14:paraId="38CFB5A2" w14:textId="6B57F548" w:rsidR="004E7D5B" w:rsidRDefault="00496580" w:rsidP="00496580">
      <w:pPr>
        <w:spacing w:line="360" w:lineRule="auto"/>
        <w:ind w:left="720" w:hanging="720"/>
        <w:jc w:val="both"/>
        <w:rPr>
          <w:rFonts w:ascii="Arial" w:hAnsi="Arial" w:cs="Arial"/>
          <w:color w:val="000000"/>
          <w:sz w:val="28"/>
          <w:szCs w:val="28"/>
        </w:rPr>
      </w:pPr>
      <w:r>
        <w:rPr>
          <w:rFonts w:ascii="Arial" w:hAnsi="Arial" w:cs="Arial"/>
          <w:color w:val="000000"/>
          <w:sz w:val="28"/>
          <w:szCs w:val="28"/>
        </w:rPr>
        <w:t>[17]</w:t>
      </w:r>
      <w:r>
        <w:rPr>
          <w:rFonts w:ascii="Arial" w:hAnsi="Arial" w:cs="Arial"/>
          <w:color w:val="000000"/>
          <w:sz w:val="28"/>
          <w:szCs w:val="28"/>
        </w:rPr>
        <w:tab/>
        <w:t>The striking out application was issued on 17 May 2022, more than two months after the respondent had paid the R1 288 330.00. The respondent was</w:t>
      </w:r>
      <w:r w:rsidR="00724C1B">
        <w:rPr>
          <w:rFonts w:ascii="Arial" w:hAnsi="Arial" w:cs="Arial"/>
          <w:color w:val="000000"/>
          <w:sz w:val="28"/>
          <w:szCs w:val="28"/>
        </w:rPr>
        <w:t>,</w:t>
      </w:r>
      <w:r>
        <w:rPr>
          <w:rFonts w:ascii="Arial" w:hAnsi="Arial" w:cs="Arial"/>
          <w:color w:val="000000"/>
          <w:sz w:val="28"/>
          <w:szCs w:val="28"/>
        </w:rPr>
        <w:t xml:space="preserve"> by the time it issued the striking out application</w:t>
      </w:r>
      <w:r w:rsidR="00724C1B">
        <w:rPr>
          <w:rFonts w:ascii="Arial" w:hAnsi="Arial" w:cs="Arial"/>
          <w:color w:val="000000"/>
          <w:sz w:val="28"/>
          <w:szCs w:val="28"/>
        </w:rPr>
        <w:t>,</w:t>
      </w:r>
      <w:r>
        <w:rPr>
          <w:rFonts w:ascii="Arial" w:hAnsi="Arial" w:cs="Arial"/>
          <w:color w:val="000000"/>
          <w:sz w:val="28"/>
          <w:szCs w:val="28"/>
        </w:rPr>
        <w:t xml:space="preserve"> well aware that such payment resulted in the applicant requiring only payment of the interest on R1 288 330.00 and the costs of this application</w:t>
      </w:r>
      <w:r w:rsidR="00E91BC5">
        <w:rPr>
          <w:rFonts w:ascii="Arial" w:hAnsi="Arial" w:cs="Arial"/>
          <w:color w:val="000000"/>
          <w:sz w:val="28"/>
          <w:szCs w:val="28"/>
        </w:rPr>
        <w:t xml:space="preserve">. The respondent was aware that the applicant would not be pursuing the liquidation application and that it would proceed to recover the disputed amount by way of action proceedings. Therefore the striking out application would serve no purpose and would be of academic interest only, should the respondent succeed in such application. </w:t>
      </w:r>
      <w:r w:rsidR="004E7D5B">
        <w:rPr>
          <w:rFonts w:ascii="Arial" w:hAnsi="Arial" w:cs="Arial"/>
          <w:color w:val="000000"/>
          <w:sz w:val="28"/>
          <w:szCs w:val="28"/>
        </w:rPr>
        <w:t xml:space="preserve">The respondent appears to have missed the point of the applicant’s reference to the liquidation application by the respondent’s accountants, or chose to ignore it. </w:t>
      </w:r>
    </w:p>
    <w:p w14:paraId="77DDE332" w14:textId="77777777" w:rsidR="004E7D5B" w:rsidRDefault="004E7D5B" w:rsidP="00496580">
      <w:pPr>
        <w:spacing w:line="360" w:lineRule="auto"/>
        <w:ind w:left="720" w:hanging="720"/>
        <w:jc w:val="both"/>
        <w:rPr>
          <w:rFonts w:ascii="Arial" w:hAnsi="Arial" w:cs="Arial"/>
          <w:color w:val="000000"/>
          <w:sz w:val="28"/>
          <w:szCs w:val="28"/>
        </w:rPr>
      </w:pPr>
    </w:p>
    <w:p w14:paraId="7AD13B04" w14:textId="77777777" w:rsidR="00724C1B" w:rsidRDefault="004E7D5B" w:rsidP="00F31AB8">
      <w:pPr>
        <w:spacing w:line="360" w:lineRule="auto"/>
        <w:ind w:left="720" w:hanging="720"/>
        <w:jc w:val="both"/>
        <w:rPr>
          <w:rFonts w:ascii="Arial" w:hAnsi="Arial" w:cs="Arial"/>
          <w:color w:val="000000"/>
          <w:sz w:val="28"/>
          <w:szCs w:val="28"/>
        </w:rPr>
      </w:pPr>
      <w:r>
        <w:rPr>
          <w:rFonts w:ascii="Arial" w:hAnsi="Arial" w:cs="Arial"/>
          <w:color w:val="000000"/>
          <w:sz w:val="28"/>
          <w:szCs w:val="28"/>
        </w:rPr>
        <w:t>[18]</w:t>
      </w:r>
      <w:r>
        <w:rPr>
          <w:rFonts w:ascii="Arial" w:hAnsi="Arial" w:cs="Arial"/>
          <w:color w:val="000000"/>
          <w:sz w:val="28"/>
          <w:szCs w:val="28"/>
        </w:rPr>
        <w:tab/>
        <w:t xml:space="preserve">The respondent in its Answering Affidavit went to great lengths to explain that the respondent is a financially healthy company with assets that far exceed its liabilities, that the applicant was aware of this but nonetheless pursued an application for liquidation against it. The respondent denied that it was either factually or commercially insolvent, or that it was indebted to the applicant. The applicant was entitled to deal with these allegations in Reply, which it did. It was only at that stage that it was able to refer to the accountants’ liquidation </w:t>
      </w:r>
    </w:p>
    <w:p w14:paraId="5C80EAC9" w14:textId="77777777" w:rsidR="00724C1B" w:rsidRDefault="00724C1B" w:rsidP="00F31AB8">
      <w:pPr>
        <w:spacing w:line="360" w:lineRule="auto"/>
        <w:ind w:left="720" w:hanging="720"/>
        <w:jc w:val="both"/>
        <w:rPr>
          <w:rFonts w:ascii="Arial" w:hAnsi="Arial" w:cs="Arial"/>
          <w:color w:val="000000"/>
          <w:sz w:val="28"/>
          <w:szCs w:val="28"/>
        </w:rPr>
      </w:pPr>
    </w:p>
    <w:p w14:paraId="29131053" w14:textId="52C51331" w:rsidR="00CD2791" w:rsidRDefault="004E7D5B" w:rsidP="00F31AB8">
      <w:pPr>
        <w:spacing w:line="360" w:lineRule="auto"/>
        <w:ind w:left="720"/>
        <w:jc w:val="both"/>
        <w:rPr>
          <w:rFonts w:ascii="Arial" w:hAnsi="Arial" w:cs="Arial"/>
          <w:sz w:val="28"/>
          <w:szCs w:val="28"/>
        </w:rPr>
      </w:pPr>
      <w:r>
        <w:rPr>
          <w:rFonts w:ascii="Arial" w:hAnsi="Arial" w:cs="Arial"/>
          <w:color w:val="000000"/>
          <w:sz w:val="28"/>
          <w:szCs w:val="28"/>
        </w:rPr>
        <w:lastRenderedPageBreak/>
        <w:t>application to refute the respondent’s allegation that it was a financially healthy company. Even</w:t>
      </w:r>
      <w:r w:rsidR="00F31AB8">
        <w:rPr>
          <w:rFonts w:ascii="Arial" w:hAnsi="Arial" w:cs="Arial"/>
          <w:color w:val="000000"/>
          <w:sz w:val="28"/>
          <w:szCs w:val="28"/>
        </w:rPr>
        <w:t xml:space="preserve"> </w:t>
      </w:r>
      <w:r>
        <w:rPr>
          <w:rFonts w:ascii="Arial" w:hAnsi="Arial" w:cs="Arial"/>
          <w:color w:val="000000"/>
          <w:sz w:val="28"/>
          <w:szCs w:val="28"/>
        </w:rPr>
        <w:t>a cursory reading of the Replying Affidavit</w:t>
      </w:r>
      <w:r w:rsidR="00F31AB8">
        <w:rPr>
          <w:rFonts w:ascii="Arial" w:hAnsi="Arial" w:cs="Arial"/>
          <w:color w:val="000000"/>
          <w:sz w:val="28"/>
          <w:szCs w:val="28"/>
        </w:rPr>
        <w:t>, giving the contents their ordinary grammatical meaning, would yield the result that the applicant was replying to allegations made by the</w:t>
      </w:r>
      <w:r w:rsidR="00724C1B">
        <w:rPr>
          <w:rFonts w:ascii="Arial" w:hAnsi="Arial" w:cs="Arial"/>
          <w:color w:val="000000"/>
          <w:sz w:val="28"/>
          <w:szCs w:val="28"/>
        </w:rPr>
        <w:t xml:space="preserve"> </w:t>
      </w:r>
      <w:r w:rsidR="00F31AB8">
        <w:rPr>
          <w:rFonts w:ascii="Arial" w:hAnsi="Arial" w:cs="Arial"/>
          <w:color w:val="000000"/>
          <w:sz w:val="28"/>
          <w:szCs w:val="28"/>
        </w:rPr>
        <w:t xml:space="preserve">respondent and to fortify the case that it made in Founding. While it may be regarded as new material, such liquidation application was not in existence at the time this application was launched and could not have been referred to by the applicant in Founding. One of the purposes of referring to such liquidation application was simply to </w:t>
      </w:r>
      <w:r w:rsidR="00F31AB8">
        <w:rPr>
          <w:rFonts w:ascii="Arial" w:hAnsi="Arial" w:cs="Arial"/>
          <w:sz w:val="28"/>
          <w:szCs w:val="28"/>
        </w:rPr>
        <w:t xml:space="preserve">refute the respondent’s allegations that </w:t>
      </w:r>
      <w:r w:rsidR="00724C1B">
        <w:rPr>
          <w:rFonts w:ascii="Arial" w:hAnsi="Arial" w:cs="Arial"/>
          <w:sz w:val="28"/>
          <w:szCs w:val="28"/>
        </w:rPr>
        <w:t>it was financially healthy</w:t>
      </w:r>
      <w:r w:rsidR="0018256C">
        <w:rPr>
          <w:rFonts w:ascii="Arial" w:hAnsi="Arial" w:cs="Arial"/>
          <w:sz w:val="28"/>
          <w:szCs w:val="28"/>
        </w:rPr>
        <w:t xml:space="preserve"> and that </w:t>
      </w:r>
      <w:r w:rsidR="00F31AB8">
        <w:rPr>
          <w:rFonts w:ascii="Arial" w:hAnsi="Arial" w:cs="Arial"/>
          <w:sz w:val="28"/>
          <w:szCs w:val="28"/>
        </w:rPr>
        <w:t>the applicant was not entitled to bring an application for the liquidation of the respondent.</w:t>
      </w:r>
    </w:p>
    <w:p w14:paraId="32716B5C" w14:textId="44306929" w:rsidR="00F31AB8" w:rsidRDefault="00F31AB8" w:rsidP="00F31AB8">
      <w:pPr>
        <w:spacing w:line="360" w:lineRule="auto"/>
        <w:jc w:val="both"/>
        <w:rPr>
          <w:rFonts w:ascii="Arial" w:hAnsi="Arial" w:cs="Arial"/>
          <w:sz w:val="28"/>
          <w:szCs w:val="28"/>
        </w:rPr>
      </w:pPr>
    </w:p>
    <w:p w14:paraId="3505CB89" w14:textId="77777777" w:rsidR="0018256C" w:rsidRDefault="00F31AB8" w:rsidP="00D00455">
      <w:pPr>
        <w:spacing w:line="360" w:lineRule="auto"/>
        <w:ind w:left="720" w:hanging="720"/>
        <w:jc w:val="both"/>
        <w:rPr>
          <w:rFonts w:ascii="Arial" w:hAnsi="Arial" w:cs="Arial"/>
          <w:sz w:val="28"/>
          <w:szCs w:val="28"/>
        </w:rPr>
      </w:pPr>
      <w:r>
        <w:rPr>
          <w:rFonts w:ascii="Arial" w:hAnsi="Arial" w:cs="Arial"/>
          <w:sz w:val="28"/>
          <w:szCs w:val="28"/>
        </w:rPr>
        <w:t>[19]</w:t>
      </w:r>
      <w:r>
        <w:rPr>
          <w:rFonts w:ascii="Arial" w:hAnsi="Arial" w:cs="Arial"/>
          <w:sz w:val="28"/>
          <w:szCs w:val="28"/>
        </w:rPr>
        <w:tab/>
        <w:t xml:space="preserve">In my view, it would serve little purpose to determine the striking out application as it does not bear on the issues that this court was called on to adjudicate. </w:t>
      </w:r>
      <w:r w:rsidR="0018256C">
        <w:rPr>
          <w:rFonts w:ascii="Arial" w:hAnsi="Arial" w:cs="Arial"/>
          <w:sz w:val="28"/>
          <w:szCs w:val="28"/>
        </w:rPr>
        <w:t xml:space="preserve">Courts are discouraged from giving orders which have academic value only and are slow to come to the assistance of litigants who raise technical defences, where such defences impact negatively on issues of fairness and the interests of justice. </w:t>
      </w:r>
      <w:r>
        <w:rPr>
          <w:rFonts w:ascii="Arial" w:hAnsi="Arial" w:cs="Arial"/>
          <w:sz w:val="28"/>
          <w:szCs w:val="28"/>
        </w:rPr>
        <w:t xml:space="preserve">It is also my view that </w:t>
      </w:r>
      <w:r w:rsidR="0018256C">
        <w:rPr>
          <w:rFonts w:ascii="Arial" w:hAnsi="Arial" w:cs="Arial"/>
          <w:sz w:val="28"/>
          <w:szCs w:val="28"/>
        </w:rPr>
        <w:t>striking out application falls into this category and was unnecessary. It</w:t>
      </w:r>
      <w:r>
        <w:rPr>
          <w:rFonts w:ascii="Arial" w:hAnsi="Arial" w:cs="Arial"/>
          <w:sz w:val="28"/>
          <w:szCs w:val="28"/>
        </w:rPr>
        <w:t xml:space="preserve"> served merely to escalate the costs in this matter.</w:t>
      </w:r>
      <w:r w:rsidR="00D00455">
        <w:rPr>
          <w:rFonts w:ascii="Arial" w:hAnsi="Arial" w:cs="Arial"/>
          <w:sz w:val="28"/>
          <w:szCs w:val="28"/>
        </w:rPr>
        <w:t xml:space="preserve"> Both the applicant and respondent sought costs on an attorney and client scale. As I indicated earlier, the written agreement between the parties provided for the payment of costs on that scale. It is also in the court’s discretion to grant costs on the attorney and client scale when it wishes to express its displeasure at the manner in which a party has conducted the litigation before it. This</w:t>
      </w:r>
      <w:r w:rsidR="0018256C">
        <w:rPr>
          <w:rFonts w:ascii="Arial" w:hAnsi="Arial" w:cs="Arial"/>
          <w:sz w:val="28"/>
          <w:szCs w:val="28"/>
        </w:rPr>
        <w:t xml:space="preserve"> is</w:t>
      </w:r>
      <w:r w:rsidR="00D00455">
        <w:rPr>
          <w:rFonts w:ascii="Arial" w:hAnsi="Arial" w:cs="Arial"/>
          <w:sz w:val="28"/>
          <w:szCs w:val="28"/>
        </w:rPr>
        <w:t xml:space="preserve"> one such case, where the </w:t>
      </w:r>
    </w:p>
    <w:p w14:paraId="67B0B751" w14:textId="683F348A" w:rsidR="00D00455" w:rsidRDefault="00D00455" w:rsidP="0018256C">
      <w:pPr>
        <w:spacing w:line="360" w:lineRule="auto"/>
        <w:ind w:left="720"/>
        <w:jc w:val="both"/>
        <w:rPr>
          <w:rFonts w:ascii="Arial" w:hAnsi="Arial" w:cs="Arial"/>
          <w:sz w:val="28"/>
          <w:szCs w:val="28"/>
        </w:rPr>
      </w:pPr>
      <w:r>
        <w:rPr>
          <w:rFonts w:ascii="Arial" w:hAnsi="Arial" w:cs="Arial"/>
          <w:sz w:val="28"/>
          <w:szCs w:val="28"/>
        </w:rPr>
        <w:lastRenderedPageBreak/>
        <w:t>respondent proceeded in a manner that has caused the applicant to incur unnecessary costs.</w:t>
      </w:r>
      <w:r w:rsidR="0018256C">
        <w:rPr>
          <w:rFonts w:ascii="Arial" w:hAnsi="Arial" w:cs="Arial"/>
          <w:sz w:val="28"/>
          <w:szCs w:val="28"/>
        </w:rPr>
        <w:t xml:space="preserve"> The respondent has chosen to misinterpret or place an interpretation on the assertions of the applicant both in the papers and annexures thereto, which are disingenuous and opportunistic.</w:t>
      </w:r>
      <w:r>
        <w:rPr>
          <w:rFonts w:ascii="Arial" w:hAnsi="Arial" w:cs="Arial"/>
          <w:sz w:val="28"/>
          <w:szCs w:val="28"/>
        </w:rPr>
        <w:t xml:space="preserve"> </w:t>
      </w:r>
      <w:r w:rsidR="0018256C">
        <w:rPr>
          <w:rFonts w:ascii="Arial" w:hAnsi="Arial" w:cs="Arial"/>
          <w:sz w:val="28"/>
          <w:szCs w:val="28"/>
        </w:rPr>
        <w:t>The</w:t>
      </w:r>
      <w:r>
        <w:rPr>
          <w:rFonts w:ascii="Arial" w:hAnsi="Arial" w:cs="Arial"/>
          <w:sz w:val="28"/>
          <w:szCs w:val="28"/>
        </w:rPr>
        <w:t xml:space="preserve"> costs </w:t>
      </w:r>
      <w:r w:rsidR="0018256C">
        <w:rPr>
          <w:rFonts w:ascii="Arial" w:hAnsi="Arial" w:cs="Arial"/>
          <w:sz w:val="28"/>
          <w:szCs w:val="28"/>
        </w:rPr>
        <w:t xml:space="preserve">in this matter </w:t>
      </w:r>
      <w:r>
        <w:rPr>
          <w:rFonts w:ascii="Arial" w:hAnsi="Arial" w:cs="Arial"/>
          <w:sz w:val="28"/>
          <w:szCs w:val="28"/>
        </w:rPr>
        <w:t>could have been curtailed in March 2022, when the parties were attempting to settle the matter, but the respondent failed or refused to do so, thus forcing the applicant to seek the assistance of the court for relief.</w:t>
      </w:r>
    </w:p>
    <w:p w14:paraId="14F4FEF6" w14:textId="77777777" w:rsidR="00D00455" w:rsidRDefault="00D00455" w:rsidP="00D00455">
      <w:pPr>
        <w:spacing w:line="360" w:lineRule="auto"/>
        <w:ind w:left="720" w:hanging="720"/>
        <w:jc w:val="both"/>
        <w:rPr>
          <w:rFonts w:ascii="Arial" w:hAnsi="Arial" w:cs="Arial"/>
          <w:sz w:val="28"/>
          <w:szCs w:val="28"/>
        </w:rPr>
      </w:pPr>
    </w:p>
    <w:p w14:paraId="61B24B1D" w14:textId="611C5DD2" w:rsidR="003E484E" w:rsidRDefault="001A1BE5" w:rsidP="00D17656">
      <w:pPr>
        <w:spacing w:line="360" w:lineRule="auto"/>
        <w:ind w:left="720" w:hanging="720"/>
        <w:jc w:val="both"/>
        <w:rPr>
          <w:rFonts w:ascii="Arial" w:hAnsi="Arial" w:cs="Arial"/>
          <w:sz w:val="28"/>
          <w:szCs w:val="28"/>
        </w:rPr>
      </w:pPr>
      <w:r>
        <w:rPr>
          <w:rFonts w:ascii="Arial" w:hAnsi="Arial" w:cs="Arial"/>
          <w:sz w:val="28"/>
          <w:szCs w:val="28"/>
        </w:rPr>
        <w:t>[</w:t>
      </w:r>
      <w:r w:rsidR="00D00455">
        <w:rPr>
          <w:rFonts w:ascii="Arial" w:hAnsi="Arial" w:cs="Arial"/>
          <w:sz w:val="28"/>
          <w:szCs w:val="28"/>
        </w:rPr>
        <w:t>20</w:t>
      </w:r>
      <w:r>
        <w:rPr>
          <w:rFonts w:ascii="Arial" w:hAnsi="Arial" w:cs="Arial"/>
          <w:sz w:val="28"/>
          <w:szCs w:val="28"/>
        </w:rPr>
        <w:t>]</w:t>
      </w:r>
      <w:r w:rsidR="003E484E">
        <w:rPr>
          <w:rFonts w:ascii="Arial" w:hAnsi="Arial" w:cs="Arial"/>
          <w:sz w:val="28"/>
          <w:szCs w:val="28"/>
        </w:rPr>
        <w:tab/>
        <w:t>In the circumstances the following order</w:t>
      </w:r>
      <w:r w:rsidR="00D00455">
        <w:rPr>
          <w:rFonts w:ascii="Arial" w:hAnsi="Arial" w:cs="Arial"/>
          <w:sz w:val="28"/>
          <w:szCs w:val="28"/>
        </w:rPr>
        <w:t>s</w:t>
      </w:r>
      <w:r w:rsidR="003E484E">
        <w:rPr>
          <w:rFonts w:ascii="Arial" w:hAnsi="Arial" w:cs="Arial"/>
          <w:sz w:val="28"/>
          <w:szCs w:val="28"/>
        </w:rPr>
        <w:t xml:space="preserve"> </w:t>
      </w:r>
      <w:r w:rsidR="00D00455">
        <w:rPr>
          <w:rFonts w:ascii="Arial" w:hAnsi="Arial" w:cs="Arial"/>
          <w:sz w:val="28"/>
          <w:szCs w:val="28"/>
        </w:rPr>
        <w:t>are</w:t>
      </w:r>
      <w:r w:rsidR="003E484E">
        <w:rPr>
          <w:rFonts w:ascii="Arial" w:hAnsi="Arial" w:cs="Arial"/>
          <w:sz w:val="28"/>
          <w:szCs w:val="28"/>
        </w:rPr>
        <w:t xml:space="preserve"> made</w:t>
      </w:r>
      <w:r w:rsidR="00D00455">
        <w:rPr>
          <w:rFonts w:ascii="Arial" w:hAnsi="Arial" w:cs="Arial"/>
          <w:sz w:val="28"/>
          <w:szCs w:val="28"/>
        </w:rPr>
        <w:t>:</w:t>
      </w:r>
    </w:p>
    <w:p w14:paraId="18483279" w14:textId="77777777" w:rsidR="00D00455" w:rsidRDefault="00D00455" w:rsidP="00D17656">
      <w:pPr>
        <w:spacing w:line="360" w:lineRule="auto"/>
        <w:ind w:left="720" w:hanging="720"/>
        <w:jc w:val="both"/>
        <w:rPr>
          <w:rFonts w:ascii="Arial" w:hAnsi="Arial" w:cs="Arial"/>
          <w:sz w:val="28"/>
          <w:szCs w:val="28"/>
        </w:rPr>
      </w:pPr>
    </w:p>
    <w:p w14:paraId="357F602A" w14:textId="2F4E6E3C" w:rsidR="00D00455" w:rsidRDefault="00D00455" w:rsidP="00D17656">
      <w:pPr>
        <w:spacing w:line="360" w:lineRule="auto"/>
        <w:ind w:left="720" w:hanging="720"/>
        <w:jc w:val="both"/>
        <w:rPr>
          <w:rFonts w:ascii="Arial" w:hAnsi="Arial" w:cs="Arial"/>
          <w:sz w:val="28"/>
          <w:szCs w:val="28"/>
        </w:rPr>
      </w:pPr>
      <w:r>
        <w:rPr>
          <w:rFonts w:ascii="Arial" w:hAnsi="Arial" w:cs="Arial"/>
          <w:sz w:val="28"/>
          <w:szCs w:val="28"/>
        </w:rPr>
        <w:t>20.1</w:t>
      </w:r>
      <w:r w:rsidR="003E484E">
        <w:rPr>
          <w:rFonts w:ascii="Arial" w:hAnsi="Arial" w:cs="Arial"/>
          <w:sz w:val="28"/>
          <w:szCs w:val="28"/>
        </w:rPr>
        <w:tab/>
        <w:t xml:space="preserve">The </w:t>
      </w:r>
      <w:r>
        <w:rPr>
          <w:rFonts w:ascii="Arial" w:hAnsi="Arial" w:cs="Arial"/>
          <w:sz w:val="28"/>
          <w:szCs w:val="28"/>
        </w:rPr>
        <w:t xml:space="preserve">respondent’s </w:t>
      </w:r>
      <w:r w:rsidR="003E484E">
        <w:rPr>
          <w:rFonts w:ascii="Arial" w:hAnsi="Arial" w:cs="Arial"/>
          <w:sz w:val="28"/>
          <w:szCs w:val="28"/>
        </w:rPr>
        <w:t xml:space="preserve">application </w:t>
      </w:r>
      <w:r>
        <w:rPr>
          <w:rFonts w:ascii="Arial" w:hAnsi="Arial" w:cs="Arial"/>
          <w:sz w:val="28"/>
          <w:szCs w:val="28"/>
        </w:rPr>
        <w:t>to strike out is dismissed with costs on the attorney and client scale;</w:t>
      </w:r>
    </w:p>
    <w:p w14:paraId="6EE7AEEA" w14:textId="77777777" w:rsidR="00C3274C" w:rsidRDefault="00C3274C" w:rsidP="00D17656">
      <w:pPr>
        <w:spacing w:line="360" w:lineRule="auto"/>
        <w:ind w:left="720" w:hanging="720"/>
        <w:jc w:val="both"/>
        <w:rPr>
          <w:rFonts w:ascii="Arial" w:hAnsi="Arial" w:cs="Arial"/>
          <w:sz w:val="28"/>
          <w:szCs w:val="28"/>
        </w:rPr>
      </w:pPr>
    </w:p>
    <w:p w14:paraId="5A79C4E5" w14:textId="492E2CE9" w:rsidR="00C3274C" w:rsidRDefault="00D00455" w:rsidP="00D17656">
      <w:pPr>
        <w:spacing w:line="360" w:lineRule="auto"/>
        <w:ind w:left="720" w:hanging="720"/>
        <w:jc w:val="both"/>
        <w:rPr>
          <w:rFonts w:ascii="Arial" w:hAnsi="Arial" w:cs="Arial"/>
          <w:sz w:val="28"/>
          <w:szCs w:val="28"/>
        </w:rPr>
      </w:pPr>
      <w:r>
        <w:rPr>
          <w:rFonts w:ascii="Arial" w:hAnsi="Arial" w:cs="Arial"/>
          <w:sz w:val="28"/>
          <w:szCs w:val="28"/>
        </w:rPr>
        <w:t>20.2</w:t>
      </w:r>
      <w:r>
        <w:rPr>
          <w:rFonts w:ascii="Arial" w:hAnsi="Arial" w:cs="Arial"/>
          <w:sz w:val="28"/>
          <w:szCs w:val="28"/>
        </w:rPr>
        <w:tab/>
        <w:t xml:space="preserve">The respondent is ordered to pay interest </w:t>
      </w:r>
      <w:r w:rsidR="00C3274C">
        <w:rPr>
          <w:rFonts w:ascii="Arial" w:hAnsi="Arial" w:cs="Arial"/>
          <w:sz w:val="28"/>
          <w:szCs w:val="28"/>
        </w:rPr>
        <w:t>i</w:t>
      </w:r>
      <w:r>
        <w:rPr>
          <w:rFonts w:ascii="Arial" w:hAnsi="Arial" w:cs="Arial"/>
          <w:sz w:val="28"/>
          <w:szCs w:val="28"/>
        </w:rPr>
        <w:t>n the amount</w:t>
      </w:r>
      <w:r w:rsidR="00C3274C">
        <w:rPr>
          <w:rFonts w:ascii="Arial" w:hAnsi="Arial" w:cs="Arial"/>
          <w:sz w:val="28"/>
          <w:szCs w:val="28"/>
        </w:rPr>
        <w:t xml:space="preserve"> of R22 336.59 (Twenty Two Thousand Three Hundred and Thirty Six Rand and Fifty Nine Cents);</w:t>
      </w:r>
    </w:p>
    <w:p w14:paraId="0B7DC1B0" w14:textId="77777777" w:rsidR="00C3274C" w:rsidRDefault="00C3274C" w:rsidP="00D17656">
      <w:pPr>
        <w:spacing w:line="360" w:lineRule="auto"/>
        <w:ind w:left="720" w:hanging="720"/>
        <w:jc w:val="both"/>
        <w:rPr>
          <w:rFonts w:ascii="Arial" w:hAnsi="Arial" w:cs="Arial"/>
          <w:sz w:val="28"/>
          <w:szCs w:val="28"/>
        </w:rPr>
      </w:pPr>
    </w:p>
    <w:p w14:paraId="1D3E3CA8" w14:textId="5FE58047" w:rsidR="00363CE6" w:rsidRDefault="00C3274C" w:rsidP="00D17656">
      <w:pPr>
        <w:spacing w:line="360" w:lineRule="auto"/>
        <w:ind w:left="720" w:hanging="720"/>
        <w:jc w:val="both"/>
        <w:rPr>
          <w:rFonts w:ascii="Arial" w:hAnsi="Arial" w:cs="Arial"/>
          <w:sz w:val="28"/>
          <w:szCs w:val="28"/>
        </w:rPr>
      </w:pPr>
      <w:r>
        <w:rPr>
          <w:rFonts w:ascii="Arial" w:hAnsi="Arial" w:cs="Arial"/>
          <w:sz w:val="28"/>
          <w:szCs w:val="28"/>
        </w:rPr>
        <w:t>20.3</w:t>
      </w:r>
      <w:r>
        <w:rPr>
          <w:rFonts w:ascii="Arial" w:hAnsi="Arial" w:cs="Arial"/>
          <w:sz w:val="28"/>
          <w:szCs w:val="28"/>
        </w:rPr>
        <w:tab/>
        <w:t>The respondent is ordered to pay the costs of the application, on an attorney and client scale.</w:t>
      </w:r>
    </w:p>
    <w:p w14:paraId="6FA0621D" w14:textId="76E0EACB" w:rsidR="003E484E" w:rsidRDefault="003E484E" w:rsidP="00D17656">
      <w:pPr>
        <w:spacing w:line="360" w:lineRule="auto"/>
        <w:ind w:left="720" w:hanging="720"/>
        <w:jc w:val="both"/>
        <w:rPr>
          <w:rFonts w:ascii="Arial" w:hAnsi="Arial" w:cs="Arial"/>
          <w:sz w:val="28"/>
          <w:szCs w:val="28"/>
        </w:rPr>
      </w:pPr>
    </w:p>
    <w:p w14:paraId="76323ED2" w14:textId="77777777" w:rsidR="00C13E86" w:rsidRDefault="00C13E86" w:rsidP="00D17656">
      <w:pPr>
        <w:spacing w:line="360" w:lineRule="auto"/>
        <w:ind w:left="720" w:hanging="720"/>
        <w:jc w:val="both"/>
        <w:rPr>
          <w:rFonts w:ascii="Arial" w:hAnsi="Arial" w:cs="Arial"/>
          <w:sz w:val="28"/>
          <w:szCs w:val="28"/>
        </w:rPr>
      </w:pPr>
    </w:p>
    <w:p w14:paraId="557185E7" w14:textId="77777777" w:rsidR="005D07EF" w:rsidRDefault="005D07EF"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w:t>
      </w:r>
    </w:p>
    <w:p w14:paraId="7F2AE022" w14:textId="77777777" w:rsidR="005D07EF" w:rsidRPr="005D07EF" w:rsidRDefault="005D07EF" w:rsidP="005D07EF">
      <w:pPr>
        <w:spacing w:line="36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5D07EF">
        <w:rPr>
          <w:rFonts w:ascii="Arial" w:hAnsi="Arial" w:cs="Arial"/>
          <w:b/>
          <w:sz w:val="28"/>
          <w:szCs w:val="28"/>
        </w:rPr>
        <w:t>S NAIDOO J</w:t>
      </w:r>
    </w:p>
    <w:p w14:paraId="2E007294" w14:textId="77777777" w:rsidR="00C3274C" w:rsidRDefault="00C3274C" w:rsidP="005D07EF">
      <w:pPr>
        <w:spacing w:line="360" w:lineRule="auto"/>
        <w:ind w:left="720" w:hanging="720"/>
        <w:rPr>
          <w:rFonts w:ascii="Arial" w:hAnsi="Arial" w:cs="Arial"/>
          <w:sz w:val="28"/>
          <w:szCs w:val="28"/>
        </w:rPr>
      </w:pPr>
    </w:p>
    <w:p w14:paraId="2A62905F" w14:textId="5BCF7F74" w:rsidR="00C3274C" w:rsidRDefault="00C3274C" w:rsidP="005D07EF">
      <w:pPr>
        <w:spacing w:line="360" w:lineRule="auto"/>
        <w:ind w:left="720" w:hanging="720"/>
        <w:rPr>
          <w:rFonts w:ascii="Arial" w:hAnsi="Arial" w:cs="Arial"/>
          <w:sz w:val="28"/>
          <w:szCs w:val="28"/>
        </w:rPr>
      </w:pPr>
    </w:p>
    <w:p w14:paraId="42595F81" w14:textId="77777777" w:rsidR="0018256C" w:rsidRDefault="0018256C" w:rsidP="005D07EF">
      <w:pPr>
        <w:spacing w:line="360" w:lineRule="auto"/>
        <w:ind w:left="720" w:hanging="720"/>
        <w:rPr>
          <w:rFonts w:ascii="Arial" w:hAnsi="Arial" w:cs="Arial"/>
          <w:sz w:val="28"/>
          <w:szCs w:val="28"/>
        </w:rPr>
      </w:pPr>
    </w:p>
    <w:p w14:paraId="53C83665" w14:textId="62387161" w:rsidR="005D07EF" w:rsidRDefault="005D07EF" w:rsidP="005D07EF">
      <w:pPr>
        <w:spacing w:line="360" w:lineRule="auto"/>
        <w:ind w:left="720" w:hanging="720"/>
        <w:rPr>
          <w:rFonts w:ascii="Arial" w:hAnsi="Arial" w:cs="Arial"/>
          <w:sz w:val="28"/>
          <w:szCs w:val="28"/>
        </w:rPr>
      </w:pPr>
      <w:r>
        <w:rPr>
          <w:rFonts w:ascii="Arial" w:hAnsi="Arial" w:cs="Arial"/>
          <w:sz w:val="28"/>
          <w:szCs w:val="28"/>
        </w:rPr>
        <w:t>On behalf of the Applicant</w:t>
      </w:r>
      <w:r w:rsidR="00F47BAE">
        <w:rPr>
          <w:rFonts w:ascii="Arial" w:hAnsi="Arial" w:cs="Arial"/>
          <w:sz w:val="28"/>
          <w:szCs w:val="28"/>
        </w:rPr>
        <w:t>s</w:t>
      </w:r>
      <w:r>
        <w:rPr>
          <w:rFonts w:ascii="Arial" w:hAnsi="Arial" w:cs="Arial"/>
          <w:sz w:val="28"/>
          <w:szCs w:val="28"/>
        </w:rPr>
        <w:t>:</w:t>
      </w:r>
      <w:r>
        <w:rPr>
          <w:rFonts w:ascii="Arial" w:hAnsi="Arial" w:cs="Arial"/>
          <w:sz w:val="28"/>
          <w:szCs w:val="28"/>
        </w:rPr>
        <w:tab/>
      </w:r>
      <w:r>
        <w:rPr>
          <w:rFonts w:ascii="Arial" w:hAnsi="Arial" w:cs="Arial"/>
          <w:sz w:val="28"/>
          <w:szCs w:val="28"/>
        </w:rPr>
        <w:tab/>
        <w:t>Adv</w:t>
      </w:r>
      <w:r w:rsidR="00DE4A69">
        <w:rPr>
          <w:rFonts w:ascii="Arial" w:hAnsi="Arial" w:cs="Arial"/>
          <w:sz w:val="28"/>
          <w:szCs w:val="28"/>
        </w:rPr>
        <w:t xml:space="preserve"> </w:t>
      </w:r>
      <w:r w:rsidR="0063227E">
        <w:rPr>
          <w:rFonts w:ascii="Arial" w:hAnsi="Arial" w:cs="Arial"/>
          <w:sz w:val="28"/>
          <w:szCs w:val="28"/>
        </w:rPr>
        <w:t>S Tsangarakis</w:t>
      </w:r>
    </w:p>
    <w:p w14:paraId="42DB91FD" w14:textId="4330AAFE" w:rsidR="005D07EF" w:rsidRDefault="005D07EF" w:rsidP="005D07EF">
      <w:pPr>
        <w:spacing w:line="360" w:lineRule="auto"/>
        <w:ind w:left="720" w:hanging="720"/>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3227E">
        <w:rPr>
          <w:rFonts w:ascii="Arial" w:hAnsi="Arial" w:cs="Arial"/>
          <w:sz w:val="28"/>
          <w:szCs w:val="28"/>
        </w:rPr>
        <w:t xml:space="preserve">Honey </w:t>
      </w:r>
      <w:r w:rsidR="00886281">
        <w:rPr>
          <w:rFonts w:ascii="Arial" w:hAnsi="Arial" w:cs="Arial"/>
          <w:sz w:val="28"/>
          <w:szCs w:val="28"/>
        </w:rPr>
        <w:t xml:space="preserve">Attorneys </w:t>
      </w:r>
    </w:p>
    <w:p w14:paraId="17FBEEDF" w14:textId="64D544CC" w:rsidR="00886281" w:rsidRDefault="00886281" w:rsidP="005D07EF">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3227E">
        <w:rPr>
          <w:rFonts w:ascii="Arial" w:hAnsi="Arial" w:cs="Arial"/>
          <w:sz w:val="28"/>
          <w:szCs w:val="28"/>
        </w:rPr>
        <w:t>1</w:t>
      </w:r>
      <w:r w:rsidR="0063227E" w:rsidRPr="0063227E">
        <w:rPr>
          <w:rFonts w:ascii="Arial" w:hAnsi="Arial" w:cs="Arial"/>
          <w:sz w:val="28"/>
          <w:szCs w:val="28"/>
          <w:vertAlign w:val="superscript"/>
        </w:rPr>
        <w:t>st</w:t>
      </w:r>
      <w:r w:rsidR="0063227E">
        <w:rPr>
          <w:rFonts w:ascii="Arial" w:hAnsi="Arial" w:cs="Arial"/>
          <w:sz w:val="28"/>
          <w:szCs w:val="28"/>
        </w:rPr>
        <w:t xml:space="preserve"> Floor Honey Chambers</w:t>
      </w:r>
    </w:p>
    <w:p w14:paraId="6CBD2F1A" w14:textId="1632009A" w:rsidR="00C25718" w:rsidRDefault="005D07EF" w:rsidP="005D07EF">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3227E">
        <w:rPr>
          <w:rFonts w:ascii="Arial" w:hAnsi="Arial" w:cs="Arial"/>
          <w:sz w:val="28"/>
          <w:szCs w:val="28"/>
        </w:rPr>
        <w:t>Northridge Mall</w:t>
      </w:r>
    </w:p>
    <w:p w14:paraId="4D74221E" w14:textId="7A38873D" w:rsidR="005D07EF" w:rsidRDefault="005D07EF" w:rsidP="005D07EF">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63227E">
        <w:rPr>
          <w:rFonts w:ascii="Arial" w:hAnsi="Arial" w:cs="Arial"/>
          <w:sz w:val="28"/>
          <w:szCs w:val="28"/>
        </w:rPr>
        <w:t>Kenneth Kaunda Road</w:t>
      </w:r>
    </w:p>
    <w:p w14:paraId="7B4DC936" w14:textId="77777777" w:rsidR="005D07EF" w:rsidRDefault="005D07EF" w:rsidP="005D07EF">
      <w:pPr>
        <w:spacing w:line="360" w:lineRule="auto"/>
        <w:rPr>
          <w:rFonts w:ascii="Arial" w:hAnsi="Arial" w:cs="Arial"/>
          <w:sz w:val="28"/>
          <w:szCs w:val="28"/>
        </w:rPr>
      </w:pPr>
      <w:r>
        <w:rPr>
          <w:rFonts w:ascii="Arial" w:hAnsi="Arial" w:cs="Arial"/>
          <w:sz w:val="28"/>
          <w:szCs w:val="28"/>
        </w:rPr>
        <w:t xml:space="preserve">                                                         Bloemfontein</w:t>
      </w:r>
    </w:p>
    <w:p w14:paraId="4952839E" w14:textId="1803EE23" w:rsidR="005D07EF" w:rsidRDefault="005D07EF"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(Ref: </w:t>
      </w:r>
      <w:r w:rsidR="0063227E">
        <w:rPr>
          <w:rFonts w:ascii="Arial" w:hAnsi="Arial" w:cs="Arial"/>
          <w:sz w:val="28"/>
          <w:szCs w:val="28"/>
        </w:rPr>
        <w:t>A Prinsloo</w:t>
      </w:r>
      <w:r w:rsidR="00886281">
        <w:rPr>
          <w:rFonts w:ascii="Arial" w:hAnsi="Arial" w:cs="Arial"/>
          <w:sz w:val="28"/>
          <w:szCs w:val="28"/>
        </w:rPr>
        <w:t>/</w:t>
      </w:r>
      <w:r w:rsidR="0063227E">
        <w:rPr>
          <w:rFonts w:ascii="Arial" w:hAnsi="Arial" w:cs="Arial"/>
          <w:sz w:val="28"/>
          <w:szCs w:val="28"/>
        </w:rPr>
        <w:t>fk</w:t>
      </w:r>
      <w:r w:rsidR="00886281">
        <w:rPr>
          <w:rFonts w:ascii="Arial" w:hAnsi="Arial" w:cs="Arial"/>
          <w:sz w:val="28"/>
          <w:szCs w:val="28"/>
        </w:rPr>
        <w:t>/</w:t>
      </w:r>
      <w:r w:rsidR="0063227E">
        <w:rPr>
          <w:rFonts w:ascii="Arial" w:hAnsi="Arial" w:cs="Arial"/>
          <w:sz w:val="28"/>
          <w:szCs w:val="28"/>
        </w:rPr>
        <w:t>133404</w:t>
      </w:r>
      <w:r w:rsidR="00886281">
        <w:rPr>
          <w:rFonts w:ascii="Arial" w:hAnsi="Arial" w:cs="Arial"/>
          <w:sz w:val="28"/>
          <w:szCs w:val="28"/>
        </w:rPr>
        <w:t>)</w:t>
      </w:r>
    </w:p>
    <w:p w14:paraId="7D901DEF" w14:textId="07589BF4" w:rsidR="005D07EF" w:rsidRDefault="005D07EF" w:rsidP="005D07EF">
      <w:pPr>
        <w:spacing w:line="360" w:lineRule="auto"/>
        <w:rPr>
          <w:rFonts w:ascii="Arial" w:hAnsi="Arial" w:cs="Arial"/>
          <w:sz w:val="28"/>
          <w:szCs w:val="28"/>
        </w:rPr>
      </w:pPr>
    </w:p>
    <w:p w14:paraId="2B6A76B6" w14:textId="77777777" w:rsidR="00C25718" w:rsidRDefault="00C25718" w:rsidP="005D07EF">
      <w:pPr>
        <w:spacing w:line="360" w:lineRule="auto"/>
        <w:rPr>
          <w:rFonts w:ascii="Arial" w:hAnsi="Arial" w:cs="Arial"/>
          <w:sz w:val="28"/>
          <w:szCs w:val="28"/>
        </w:rPr>
      </w:pPr>
    </w:p>
    <w:p w14:paraId="1CD95C5A" w14:textId="08E675BA" w:rsidR="005D07EF" w:rsidRDefault="005D07EF" w:rsidP="005D07EF">
      <w:pPr>
        <w:spacing w:line="360" w:lineRule="auto"/>
        <w:rPr>
          <w:rFonts w:ascii="Arial" w:hAnsi="Arial" w:cs="Arial"/>
          <w:sz w:val="28"/>
          <w:szCs w:val="28"/>
        </w:rPr>
      </w:pPr>
      <w:r>
        <w:rPr>
          <w:rFonts w:ascii="Arial" w:hAnsi="Arial" w:cs="Arial"/>
          <w:sz w:val="28"/>
          <w:szCs w:val="28"/>
        </w:rPr>
        <w:t>On behalf of the Respondent:</w:t>
      </w:r>
      <w:r>
        <w:rPr>
          <w:rFonts w:ascii="Arial" w:hAnsi="Arial" w:cs="Arial"/>
          <w:sz w:val="28"/>
          <w:szCs w:val="28"/>
        </w:rPr>
        <w:tab/>
        <w:t>Adv</w:t>
      </w:r>
      <w:r w:rsidR="00F47BAE">
        <w:rPr>
          <w:rFonts w:ascii="Arial" w:hAnsi="Arial" w:cs="Arial"/>
          <w:sz w:val="28"/>
          <w:szCs w:val="28"/>
        </w:rPr>
        <w:t xml:space="preserve"> </w:t>
      </w:r>
      <w:r w:rsidR="00E45328">
        <w:rPr>
          <w:rFonts w:ascii="Arial" w:hAnsi="Arial" w:cs="Arial"/>
          <w:sz w:val="28"/>
          <w:szCs w:val="28"/>
        </w:rPr>
        <w:t>P</w:t>
      </w:r>
      <w:r w:rsidR="00886281">
        <w:rPr>
          <w:rFonts w:ascii="Arial" w:hAnsi="Arial" w:cs="Arial"/>
          <w:sz w:val="28"/>
          <w:szCs w:val="28"/>
        </w:rPr>
        <w:t xml:space="preserve"> Zietsman</w:t>
      </w:r>
      <w:r>
        <w:rPr>
          <w:rFonts w:ascii="Arial" w:hAnsi="Arial" w:cs="Arial"/>
          <w:sz w:val="28"/>
          <w:szCs w:val="28"/>
        </w:rPr>
        <w:t xml:space="preserve"> </w:t>
      </w:r>
      <w:r w:rsidR="0063227E">
        <w:rPr>
          <w:rFonts w:ascii="Arial" w:hAnsi="Arial" w:cs="Arial"/>
          <w:sz w:val="28"/>
          <w:szCs w:val="28"/>
        </w:rPr>
        <w:t>SC</w:t>
      </w:r>
    </w:p>
    <w:p w14:paraId="59B8AC5B" w14:textId="13E143D9" w:rsidR="00F47BAE" w:rsidRDefault="00F47BAE" w:rsidP="005D07EF">
      <w:pPr>
        <w:spacing w:line="360" w:lineRule="auto"/>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3227E">
        <w:rPr>
          <w:rFonts w:ascii="Arial" w:hAnsi="Arial" w:cs="Arial"/>
          <w:sz w:val="28"/>
          <w:szCs w:val="28"/>
        </w:rPr>
        <w:t>McIntyre Van Der Post</w:t>
      </w:r>
    </w:p>
    <w:p w14:paraId="1CB8F9B9" w14:textId="57D9B38B"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3227E">
        <w:rPr>
          <w:rFonts w:ascii="Arial" w:hAnsi="Arial" w:cs="Arial"/>
          <w:sz w:val="28"/>
          <w:szCs w:val="28"/>
        </w:rPr>
        <w:t>1</w:t>
      </w:r>
      <w:r w:rsidR="00886281">
        <w:rPr>
          <w:rFonts w:ascii="Arial" w:hAnsi="Arial" w:cs="Arial"/>
          <w:sz w:val="28"/>
          <w:szCs w:val="28"/>
        </w:rPr>
        <w:t>2</w:t>
      </w:r>
      <w:r w:rsidR="0063227E">
        <w:rPr>
          <w:rFonts w:ascii="Arial" w:hAnsi="Arial" w:cs="Arial"/>
          <w:sz w:val="28"/>
          <w:szCs w:val="28"/>
        </w:rPr>
        <w:t xml:space="preserve"> </w:t>
      </w:r>
      <w:r w:rsidR="00886281">
        <w:rPr>
          <w:rFonts w:ascii="Arial" w:hAnsi="Arial" w:cs="Arial"/>
          <w:sz w:val="28"/>
          <w:szCs w:val="28"/>
        </w:rPr>
        <w:t>Barnes Street</w:t>
      </w:r>
    </w:p>
    <w:p w14:paraId="7F50FFCD" w14:textId="77777777"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Westdene </w:t>
      </w:r>
    </w:p>
    <w:p w14:paraId="61725441" w14:textId="77777777"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Bloemfontein</w:t>
      </w:r>
    </w:p>
    <w:p w14:paraId="68254D87" w14:textId="357EDF0B" w:rsidR="005D07EF"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w:t>
      </w:r>
      <w:r>
        <w:rPr>
          <w:rFonts w:ascii="Arial" w:hAnsi="Arial" w:cs="Arial"/>
          <w:sz w:val="28"/>
          <w:szCs w:val="28"/>
        </w:rPr>
        <w:tab/>
      </w:r>
      <w:r w:rsidR="0063227E">
        <w:rPr>
          <w:rFonts w:ascii="Arial" w:hAnsi="Arial" w:cs="Arial"/>
          <w:sz w:val="28"/>
          <w:szCs w:val="28"/>
        </w:rPr>
        <w:t>BAD001</w:t>
      </w:r>
      <w:r w:rsidR="00886281">
        <w:rPr>
          <w:rFonts w:ascii="Arial" w:hAnsi="Arial" w:cs="Arial"/>
          <w:sz w:val="28"/>
          <w:szCs w:val="28"/>
        </w:rPr>
        <w:t>/</w:t>
      </w:r>
      <w:r w:rsidR="0063227E">
        <w:rPr>
          <w:rFonts w:ascii="Arial" w:hAnsi="Arial" w:cs="Arial"/>
          <w:sz w:val="28"/>
          <w:szCs w:val="28"/>
        </w:rPr>
        <w:t>AD Venter</w:t>
      </w:r>
      <w:r w:rsidR="00886281">
        <w:rPr>
          <w:rFonts w:ascii="Arial" w:hAnsi="Arial" w:cs="Arial"/>
          <w:sz w:val="28"/>
          <w:szCs w:val="28"/>
        </w:rPr>
        <w:t>/</w:t>
      </w:r>
      <w:r w:rsidR="0063227E">
        <w:rPr>
          <w:rFonts w:ascii="Arial" w:hAnsi="Arial" w:cs="Arial"/>
          <w:sz w:val="28"/>
          <w:szCs w:val="28"/>
        </w:rPr>
        <w:t>ljb</w:t>
      </w:r>
      <w:r w:rsidR="00886281">
        <w:rPr>
          <w:rFonts w:ascii="Arial" w:hAnsi="Arial" w:cs="Arial"/>
          <w:sz w:val="28"/>
          <w:szCs w:val="28"/>
        </w:rPr>
        <w:t>)</w:t>
      </w:r>
    </w:p>
    <w:sectPr w:rsidR="005D07EF" w:rsidSect="00B01811">
      <w:headerReference w:type="default" r:id="rId10"/>
      <w:pgSz w:w="12240" w:h="15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CED3" w14:textId="77777777" w:rsidR="008856E8" w:rsidRDefault="008856E8" w:rsidP="00393EB3">
      <w:pPr>
        <w:spacing w:after="0" w:line="240" w:lineRule="auto"/>
      </w:pPr>
      <w:r>
        <w:separator/>
      </w:r>
    </w:p>
  </w:endnote>
  <w:endnote w:type="continuationSeparator" w:id="0">
    <w:p w14:paraId="625DA9FA" w14:textId="77777777" w:rsidR="008856E8" w:rsidRDefault="008856E8" w:rsidP="0039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09D55" w14:textId="77777777" w:rsidR="008856E8" w:rsidRDefault="008856E8" w:rsidP="00393EB3">
      <w:pPr>
        <w:spacing w:after="0" w:line="240" w:lineRule="auto"/>
      </w:pPr>
      <w:r>
        <w:separator/>
      </w:r>
    </w:p>
  </w:footnote>
  <w:footnote w:type="continuationSeparator" w:id="0">
    <w:p w14:paraId="477818F9" w14:textId="77777777" w:rsidR="008856E8" w:rsidRDefault="008856E8" w:rsidP="0039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16023"/>
      <w:docPartObj>
        <w:docPartGallery w:val="Page Numbers (Top of Page)"/>
        <w:docPartUnique/>
      </w:docPartObj>
    </w:sdtPr>
    <w:sdtEndPr>
      <w:rPr>
        <w:noProof/>
      </w:rPr>
    </w:sdtEndPr>
    <w:sdtContent>
      <w:p w14:paraId="559333D9" w14:textId="35FE41FD" w:rsidR="009B6BC2" w:rsidRDefault="009B6BC2">
        <w:pPr>
          <w:pStyle w:val="Header"/>
          <w:jc w:val="right"/>
        </w:pPr>
        <w:r>
          <w:fldChar w:fldCharType="begin"/>
        </w:r>
        <w:r>
          <w:instrText xml:space="preserve"> PAGE   \* MERGEFORMAT </w:instrText>
        </w:r>
        <w:r>
          <w:fldChar w:fldCharType="separate"/>
        </w:r>
        <w:r w:rsidR="00224498">
          <w:rPr>
            <w:noProof/>
          </w:rPr>
          <w:t>2</w:t>
        </w:r>
        <w:r>
          <w:rPr>
            <w:noProof/>
          </w:rPr>
          <w:fldChar w:fldCharType="end"/>
        </w:r>
      </w:p>
    </w:sdtContent>
  </w:sdt>
  <w:p w14:paraId="0B38F8B5" w14:textId="77777777" w:rsidR="009B6BC2" w:rsidRDefault="009B6B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4C81"/>
    <w:multiLevelType w:val="multilevel"/>
    <w:tmpl w:val="9C76FB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6A26C20"/>
    <w:multiLevelType w:val="hybridMultilevel"/>
    <w:tmpl w:val="C10EB5B6"/>
    <w:lvl w:ilvl="0" w:tplc="34EE0A12">
      <w:start w:val="1"/>
      <w:numFmt w:val="lowerLetter"/>
      <w:lvlText w:val="(%1)"/>
      <w:lvlJc w:val="left"/>
      <w:pPr>
        <w:ind w:left="1213" w:hanging="490"/>
      </w:pPr>
      <w:rPr>
        <w:rFonts w:hint="default"/>
        <w:i/>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B"/>
    <w:rsid w:val="00011414"/>
    <w:rsid w:val="00032FEC"/>
    <w:rsid w:val="00035395"/>
    <w:rsid w:val="0003616A"/>
    <w:rsid w:val="00062375"/>
    <w:rsid w:val="0006350B"/>
    <w:rsid w:val="00070B3D"/>
    <w:rsid w:val="00073675"/>
    <w:rsid w:val="0007670E"/>
    <w:rsid w:val="00081F71"/>
    <w:rsid w:val="0009405B"/>
    <w:rsid w:val="000A325D"/>
    <w:rsid w:val="000A69EB"/>
    <w:rsid w:val="000B0465"/>
    <w:rsid w:val="000B1B13"/>
    <w:rsid w:val="000B3D41"/>
    <w:rsid w:val="000C2D69"/>
    <w:rsid w:val="000D0B92"/>
    <w:rsid w:val="000D23E2"/>
    <w:rsid w:val="000D326A"/>
    <w:rsid w:val="000E55B7"/>
    <w:rsid w:val="000E622D"/>
    <w:rsid w:val="000F4763"/>
    <w:rsid w:val="000F6E48"/>
    <w:rsid w:val="00104606"/>
    <w:rsid w:val="00104963"/>
    <w:rsid w:val="0010652F"/>
    <w:rsid w:val="00106E4A"/>
    <w:rsid w:val="001129A6"/>
    <w:rsid w:val="00114A19"/>
    <w:rsid w:val="00116D0F"/>
    <w:rsid w:val="001326B5"/>
    <w:rsid w:val="00135DA8"/>
    <w:rsid w:val="001370E4"/>
    <w:rsid w:val="00144046"/>
    <w:rsid w:val="00145D38"/>
    <w:rsid w:val="00145DD8"/>
    <w:rsid w:val="00147D8D"/>
    <w:rsid w:val="00152BFB"/>
    <w:rsid w:val="00154962"/>
    <w:rsid w:val="00155319"/>
    <w:rsid w:val="001566D8"/>
    <w:rsid w:val="001665EB"/>
    <w:rsid w:val="001676E5"/>
    <w:rsid w:val="001706C0"/>
    <w:rsid w:val="0018256C"/>
    <w:rsid w:val="00182AA2"/>
    <w:rsid w:val="001841D6"/>
    <w:rsid w:val="00187CE4"/>
    <w:rsid w:val="001A1BE5"/>
    <w:rsid w:val="001A207F"/>
    <w:rsid w:val="001B00B6"/>
    <w:rsid w:val="001B06DE"/>
    <w:rsid w:val="001B0D6F"/>
    <w:rsid w:val="001B365B"/>
    <w:rsid w:val="001B5245"/>
    <w:rsid w:val="001B5CE8"/>
    <w:rsid w:val="001D3318"/>
    <w:rsid w:val="001D6945"/>
    <w:rsid w:val="001D6D5F"/>
    <w:rsid w:val="001D710E"/>
    <w:rsid w:val="001E1173"/>
    <w:rsid w:val="001E2346"/>
    <w:rsid w:val="001E5DC8"/>
    <w:rsid w:val="001F1E3C"/>
    <w:rsid w:val="00200137"/>
    <w:rsid w:val="002008B5"/>
    <w:rsid w:val="00201367"/>
    <w:rsid w:val="002056ED"/>
    <w:rsid w:val="0021124A"/>
    <w:rsid w:val="00212FE9"/>
    <w:rsid w:val="00215551"/>
    <w:rsid w:val="00216117"/>
    <w:rsid w:val="00220E18"/>
    <w:rsid w:val="0022282B"/>
    <w:rsid w:val="00222B50"/>
    <w:rsid w:val="00223741"/>
    <w:rsid w:val="00224498"/>
    <w:rsid w:val="00240920"/>
    <w:rsid w:val="0024432A"/>
    <w:rsid w:val="00244F1E"/>
    <w:rsid w:val="00246B44"/>
    <w:rsid w:val="00250AB5"/>
    <w:rsid w:val="00250D77"/>
    <w:rsid w:val="002665B3"/>
    <w:rsid w:val="002752CE"/>
    <w:rsid w:val="00275711"/>
    <w:rsid w:val="002815C1"/>
    <w:rsid w:val="002829CC"/>
    <w:rsid w:val="00290D9A"/>
    <w:rsid w:val="00291CE5"/>
    <w:rsid w:val="00292B36"/>
    <w:rsid w:val="002951EE"/>
    <w:rsid w:val="002966B9"/>
    <w:rsid w:val="002B2789"/>
    <w:rsid w:val="002B3A71"/>
    <w:rsid w:val="002C52C7"/>
    <w:rsid w:val="002D196A"/>
    <w:rsid w:val="002D5A74"/>
    <w:rsid w:val="002F3656"/>
    <w:rsid w:val="002F5B5E"/>
    <w:rsid w:val="003033D0"/>
    <w:rsid w:val="00306A01"/>
    <w:rsid w:val="00311E29"/>
    <w:rsid w:val="0031470B"/>
    <w:rsid w:val="003251D4"/>
    <w:rsid w:val="003343BF"/>
    <w:rsid w:val="0034167E"/>
    <w:rsid w:val="00341FF5"/>
    <w:rsid w:val="00343B28"/>
    <w:rsid w:val="003471C6"/>
    <w:rsid w:val="0035645D"/>
    <w:rsid w:val="00357586"/>
    <w:rsid w:val="00361E0A"/>
    <w:rsid w:val="00363CE6"/>
    <w:rsid w:val="003723FF"/>
    <w:rsid w:val="00380228"/>
    <w:rsid w:val="00387166"/>
    <w:rsid w:val="00387715"/>
    <w:rsid w:val="003912E7"/>
    <w:rsid w:val="00393EB3"/>
    <w:rsid w:val="003B0A49"/>
    <w:rsid w:val="003C2255"/>
    <w:rsid w:val="003C30D8"/>
    <w:rsid w:val="003D420E"/>
    <w:rsid w:val="003D6BC7"/>
    <w:rsid w:val="003E484E"/>
    <w:rsid w:val="003E7F27"/>
    <w:rsid w:val="003F4852"/>
    <w:rsid w:val="003F752F"/>
    <w:rsid w:val="004068EB"/>
    <w:rsid w:val="00415BE5"/>
    <w:rsid w:val="00417615"/>
    <w:rsid w:val="004301AE"/>
    <w:rsid w:val="00436B6F"/>
    <w:rsid w:val="00441397"/>
    <w:rsid w:val="0044215F"/>
    <w:rsid w:val="004427BE"/>
    <w:rsid w:val="00454BAD"/>
    <w:rsid w:val="00460402"/>
    <w:rsid w:val="00475B82"/>
    <w:rsid w:val="00482527"/>
    <w:rsid w:val="00483640"/>
    <w:rsid w:val="0048765E"/>
    <w:rsid w:val="00496580"/>
    <w:rsid w:val="004A4C20"/>
    <w:rsid w:val="004B6244"/>
    <w:rsid w:val="004C3A38"/>
    <w:rsid w:val="004D102E"/>
    <w:rsid w:val="004D32A4"/>
    <w:rsid w:val="004E7BA9"/>
    <w:rsid w:val="004E7D5B"/>
    <w:rsid w:val="005041C5"/>
    <w:rsid w:val="00504A25"/>
    <w:rsid w:val="00505F51"/>
    <w:rsid w:val="00513149"/>
    <w:rsid w:val="00514915"/>
    <w:rsid w:val="00514D22"/>
    <w:rsid w:val="00516D8A"/>
    <w:rsid w:val="00522C43"/>
    <w:rsid w:val="0052778A"/>
    <w:rsid w:val="00527E5B"/>
    <w:rsid w:val="00530140"/>
    <w:rsid w:val="00536948"/>
    <w:rsid w:val="00536AAE"/>
    <w:rsid w:val="005435EF"/>
    <w:rsid w:val="00545AFE"/>
    <w:rsid w:val="00557342"/>
    <w:rsid w:val="00564C40"/>
    <w:rsid w:val="005668CA"/>
    <w:rsid w:val="005914D3"/>
    <w:rsid w:val="005A325F"/>
    <w:rsid w:val="005B0761"/>
    <w:rsid w:val="005B5826"/>
    <w:rsid w:val="005B61B1"/>
    <w:rsid w:val="005B62B9"/>
    <w:rsid w:val="005D07EF"/>
    <w:rsid w:val="005D3E4D"/>
    <w:rsid w:val="005D42D8"/>
    <w:rsid w:val="005E09B8"/>
    <w:rsid w:val="005E1ACE"/>
    <w:rsid w:val="005E2DD6"/>
    <w:rsid w:val="005F0AD6"/>
    <w:rsid w:val="005F4CAD"/>
    <w:rsid w:val="005F68E0"/>
    <w:rsid w:val="00613E9D"/>
    <w:rsid w:val="00620E52"/>
    <w:rsid w:val="006218E0"/>
    <w:rsid w:val="0062770F"/>
    <w:rsid w:val="0063227E"/>
    <w:rsid w:val="00633167"/>
    <w:rsid w:val="00636A7A"/>
    <w:rsid w:val="00657BD4"/>
    <w:rsid w:val="0066329E"/>
    <w:rsid w:val="0066378F"/>
    <w:rsid w:val="006663D5"/>
    <w:rsid w:val="00666942"/>
    <w:rsid w:val="00673F11"/>
    <w:rsid w:val="00674F91"/>
    <w:rsid w:val="00680F80"/>
    <w:rsid w:val="0068655C"/>
    <w:rsid w:val="00686F59"/>
    <w:rsid w:val="0069040F"/>
    <w:rsid w:val="006C432A"/>
    <w:rsid w:val="006C68E7"/>
    <w:rsid w:val="006C74B2"/>
    <w:rsid w:val="006E560E"/>
    <w:rsid w:val="006F01FB"/>
    <w:rsid w:val="006F2BD7"/>
    <w:rsid w:val="006F7513"/>
    <w:rsid w:val="007074B2"/>
    <w:rsid w:val="00707F4B"/>
    <w:rsid w:val="00715D34"/>
    <w:rsid w:val="00724C1B"/>
    <w:rsid w:val="007271C2"/>
    <w:rsid w:val="00727E6D"/>
    <w:rsid w:val="00745D09"/>
    <w:rsid w:val="00745D49"/>
    <w:rsid w:val="00747926"/>
    <w:rsid w:val="007514DE"/>
    <w:rsid w:val="00752003"/>
    <w:rsid w:val="00755353"/>
    <w:rsid w:val="007715DB"/>
    <w:rsid w:val="00772D0A"/>
    <w:rsid w:val="00772E8D"/>
    <w:rsid w:val="007811DC"/>
    <w:rsid w:val="007835BB"/>
    <w:rsid w:val="00795A26"/>
    <w:rsid w:val="007A71DC"/>
    <w:rsid w:val="007D523A"/>
    <w:rsid w:val="007D649A"/>
    <w:rsid w:val="007E3690"/>
    <w:rsid w:val="007E65D5"/>
    <w:rsid w:val="007F2E88"/>
    <w:rsid w:val="00800435"/>
    <w:rsid w:val="0081324C"/>
    <w:rsid w:val="00813A7F"/>
    <w:rsid w:val="008140D1"/>
    <w:rsid w:val="00815F21"/>
    <w:rsid w:val="0081797C"/>
    <w:rsid w:val="00817F38"/>
    <w:rsid w:val="00823FD3"/>
    <w:rsid w:val="00831632"/>
    <w:rsid w:val="0084050C"/>
    <w:rsid w:val="00851359"/>
    <w:rsid w:val="00854152"/>
    <w:rsid w:val="0085463F"/>
    <w:rsid w:val="008561A7"/>
    <w:rsid w:val="00856B9E"/>
    <w:rsid w:val="0086092E"/>
    <w:rsid w:val="00863BEC"/>
    <w:rsid w:val="00867E40"/>
    <w:rsid w:val="008743BB"/>
    <w:rsid w:val="00874609"/>
    <w:rsid w:val="00884CCF"/>
    <w:rsid w:val="008856E8"/>
    <w:rsid w:val="00886281"/>
    <w:rsid w:val="00891D2B"/>
    <w:rsid w:val="008B035A"/>
    <w:rsid w:val="008C383B"/>
    <w:rsid w:val="008C478A"/>
    <w:rsid w:val="008C498F"/>
    <w:rsid w:val="008C5ED1"/>
    <w:rsid w:val="008D1A67"/>
    <w:rsid w:val="008E2202"/>
    <w:rsid w:val="008E25B1"/>
    <w:rsid w:val="008E4DA5"/>
    <w:rsid w:val="008F0EDE"/>
    <w:rsid w:val="008F5A51"/>
    <w:rsid w:val="008F7851"/>
    <w:rsid w:val="00900957"/>
    <w:rsid w:val="00901E4E"/>
    <w:rsid w:val="00904090"/>
    <w:rsid w:val="00905763"/>
    <w:rsid w:val="0090741A"/>
    <w:rsid w:val="00915732"/>
    <w:rsid w:val="009159BD"/>
    <w:rsid w:val="00915B6D"/>
    <w:rsid w:val="00923443"/>
    <w:rsid w:val="00927755"/>
    <w:rsid w:val="0093188F"/>
    <w:rsid w:val="00935E7F"/>
    <w:rsid w:val="0094029D"/>
    <w:rsid w:val="00944718"/>
    <w:rsid w:val="00951A27"/>
    <w:rsid w:val="00953824"/>
    <w:rsid w:val="00955ED9"/>
    <w:rsid w:val="00961396"/>
    <w:rsid w:val="009674EF"/>
    <w:rsid w:val="00967F1A"/>
    <w:rsid w:val="009741B7"/>
    <w:rsid w:val="009745C0"/>
    <w:rsid w:val="00980B4D"/>
    <w:rsid w:val="009861DB"/>
    <w:rsid w:val="0098734A"/>
    <w:rsid w:val="009B041A"/>
    <w:rsid w:val="009B4118"/>
    <w:rsid w:val="009B6BC2"/>
    <w:rsid w:val="009C0971"/>
    <w:rsid w:val="009C2616"/>
    <w:rsid w:val="009D00DB"/>
    <w:rsid w:val="009E0BD3"/>
    <w:rsid w:val="009F60DC"/>
    <w:rsid w:val="009F6BFE"/>
    <w:rsid w:val="00A01136"/>
    <w:rsid w:val="00A03512"/>
    <w:rsid w:val="00A10EE7"/>
    <w:rsid w:val="00A33813"/>
    <w:rsid w:val="00A357EB"/>
    <w:rsid w:val="00A3794C"/>
    <w:rsid w:val="00A424D5"/>
    <w:rsid w:val="00A449CB"/>
    <w:rsid w:val="00A55680"/>
    <w:rsid w:val="00A55B18"/>
    <w:rsid w:val="00A57B14"/>
    <w:rsid w:val="00A660FC"/>
    <w:rsid w:val="00A75DD3"/>
    <w:rsid w:val="00A76752"/>
    <w:rsid w:val="00A816D5"/>
    <w:rsid w:val="00A8707D"/>
    <w:rsid w:val="00AA7195"/>
    <w:rsid w:val="00AB7771"/>
    <w:rsid w:val="00AC2B15"/>
    <w:rsid w:val="00AC4D23"/>
    <w:rsid w:val="00AD0A48"/>
    <w:rsid w:val="00AD5761"/>
    <w:rsid w:val="00AE4D6E"/>
    <w:rsid w:val="00AE6B80"/>
    <w:rsid w:val="00AF27D6"/>
    <w:rsid w:val="00B00CED"/>
    <w:rsid w:val="00B01811"/>
    <w:rsid w:val="00B06A3B"/>
    <w:rsid w:val="00B10B0A"/>
    <w:rsid w:val="00B12599"/>
    <w:rsid w:val="00B13FB1"/>
    <w:rsid w:val="00B14ECF"/>
    <w:rsid w:val="00B223CF"/>
    <w:rsid w:val="00B227E1"/>
    <w:rsid w:val="00B23527"/>
    <w:rsid w:val="00B37A4C"/>
    <w:rsid w:val="00B54212"/>
    <w:rsid w:val="00B55C98"/>
    <w:rsid w:val="00B57B4D"/>
    <w:rsid w:val="00B751E0"/>
    <w:rsid w:val="00B76CA5"/>
    <w:rsid w:val="00B771C7"/>
    <w:rsid w:val="00B93104"/>
    <w:rsid w:val="00BA3C6D"/>
    <w:rsid w:val="00BB146D"/>
    <w:rsid w:val="00BB4445"/>
    <w:rsid w:val="00BB6B16"/>
    <w:rsid w:val="00BC1D6F"/>
    <w:rsid w:val="00BC6593"/>
    <w:rsid w:val="00BD0FFA"/>
    <w:rsid w:val="00BD3B69"/>
    <w:rsid w:val="00BD78CB"/>
    <w:rsid w:val="00BE16C7"/>
    <w:rsid w:val="00BE18BA"/>
    <w:rsid w:val="00BF46BB"/>
    <w:rsid w:val="00C06A2F"/>
    <w:rsid w:val="00C12996"/>
    <w:rsid w:val="00C13E86"/>
    <w:rsid w:val="00C13F62"/>
    <w:rsid w:val="00C25718"/>
    <w:rsid w:val="00C31A26"/>
    <w:rsid w:val="00C3274C"/>
    <w:rsid w:val="00C40F9A"/>
    <w:rsid w:val="00C41B4C"/>
    <w:rsid w:val="00C44D1F"/>
    <w:rsid w:val="00C47B8E"/>
    <w:rsid w:val="00C50A2A"/>
    <w:rsid w:val="00C53FAA"/>
    <w:rsid w:val="00C60FFE"/>
    <w:rsid w:val="00C67560"/>
    <w:rsid w:val="00C705D6"/>
    <w:rsid w:val="00C74623"/>
    <w:rsid w:val="00C757A5"/>
    <w:rsid w:val="00C80071"/>
    <w:rsid w:val="00C85E67"/>
    <w:rsid w:val="00C86385"/>
    <w:rsid w:val="00C90897"/>
    <w:rsid w:val="00CB1029"/>
    <w:rsid w:val="00CB2B2E"/>
    <w:rsid w:val="00CB69CD"/>
    <w:rsid w:val="00CB7A1C"/>
    <w:rsid w:val="00CB7E75"/>
    <w:rsid w:val="00CC65DE"/>
    <w:rsid w:val="00CC7C9E"/>
    <w:rsid w:val="00CD19F3"/>
    <w:rsid w:val="00CD26F3"/>
    <w:rsid w:val="00CD2791"/>
    <w:rsid w:val="00CD5999"/>
    <w:rsid w:val="00CE496C"/>
    <w:rsid w:val="00CE7FC6"/>
    <w:rsid w:val="00D00455"/>
    <w:rsid w:val="00D00F86"/>
    <w:rsid w:val="00D017F6"/>
    <w:rsid w:val="00D03D3F"/>
    <w:rsid w:val="00D13BEE"/>
    <w:rsid w:val="00D152A2"/>
    <w:rsid w:val="00D152DB"/>
    <w:rsid w:val="00D17656"/>
    <w:rsid w:val="00D20C19"/>
    <w:rsid w:val="00D23D48"/>
    <w:rsid w:val="00D250F1"/>
    <w:rsid w:val="00D25733"/>
    <w:rsid w:val="00D26B79"/>
    <w:rsid w:val="00D30948"/>
    <w:rsid w:val="00D324DE"/>
    <w:rsid w:val="00D359D6"/>
    <w:rsid w:val="00D4114A"/>
    <w:rsid w:val="00D45E2F"/>
    <w:rsid w:val="00D5182B"/>
    <w:rsid w:val="00D530F7"/>
    <w:rsid w:val="00D539AC"/>
    <w:rsid w:val="00D5702B"/>
    <w:rsid w:val="00D57451"/>
    <w:rsid w:val="00D65576"/>
    <w:rsid w:val="00D72D3C"/>
    <w:rsid w:val="00D72E90"/>
    <w:rsid w:val="00D740A1"/>
    <w:rsid w:val="00D91724"/>
    <w:rsid w:val="00D93EC5"/>
    <w:rsid w:val="00D94DB9"/>
    <w:rsid w:val="00D96919"/>
    <w:rsid w:val="00D9781B"/>
    <w:rsid w:val="00DA261A"/>
    <w:rsid w:val="00DA74FD"/>
    <w:rsid w:val="00DB61DC"/>
    <w:rsid w:val="00DC694E"/>
    <w:rsid w:val="00DC7D71"/>
    <w:rsid w:val="00DE37C5"/>
    <w:rsid w:val="00DE4A69"/>
    <w:rsid w:val="00DE5BD2"/>
    <w:rsid w:val="00DF548F"/>
    <w:rsid w:val="00DF5AEC"/>
    <w:rsid w:val="00E0085A"/>
    <w:rsid w:val="00E06CC1"/>
    <w:rsid w:val="00E12761"/>
    <w:rsid w:val="00E12E04"/>
    <w:rsid w:val="00E1511C"/>
    <w:rsid w:val="00E17DA8"/>
    <w:rsid w:val="00E21386"/>
    <w:rsid w:val="00E2332A"/>
    <w:rsid w:val="00E25DF4"/>
    <w:rsid w:val="00E27ADC"/>
    <w:rsid w:val="00E3068E"/>
    <w:rsid w:val="00E332BC"/>
    <w:rsid w:val="00E34644"/>
    <w:rsid w:val="00E34E39"/>
    <w:rsid w:val="00E417CD"/>
    <w:rsid w:val="00E451ED"/>
    <w:rsid w:val="00E45328"/>
    <w:rsid w:val="00E51E32"/>
    <w:rsid w:val="00E53BC7"/>
    <w:rsid w:val="00E57F83"/>
    <w:rsid w:val="00E614C8"/>
    <w:rsid w:val="00E660E0"/>
    <w:rsid w:val="00E860EE"/>
    <w:rsid w:val="00E8657B"/>
    <w:rsid w:val="00E9070E"/>
    <w:rsid w:val="00E91BC5"/>
    <w:rsid w:val="00E92462"/>
    <w:rsid w:val="00E97B53"/>
    <w:rsid w:val="00EA5105"/>
    <w:rsid w:val="00EB4D99"/>
    <w:rsid w:val="00EC6A79"/>
    <w:rsid w:val="00EC7DFB"/>
    <w:rsid w:val="00EE1536"/>
    <w:rsid w:val="00EF1DDA"/>
    <w:rsid w:val="00EF5CD2"/>
    <w:rsid w:val="00EF61D8"/>
    <w:rsid w:val="00F0741C"/>
    <w:rsid w:val="00F15E06"/>
    <w:rsid w:val="00F20658"/>
    <w:rsid w:val="00F24ECC"/>
    <w:rsid w:val="00F31AB8"/>
    <w:rsid w:val="00F31FE0"/>
    <w:rsid w:val="00F32D0D"/>
    <w:rsid w:val="00F44E4C"/>
    <w:rsid w:val="00F45C3A"/>
    <w:rsid w:val="00F47BAE"/>
    <w:rsid w:val="00F5225F"/>
    <w:rsid w:val="00F563E1"/>
    <w:rsid w:val="00F60BDF"/>
    <w:rsid w:val="00F65ED8"/>
    <w:rsid w:val="00F73E13"/>
    <w:rsid w:val="00F81824"/>
    <w:rsid w:val="00FA70E0"/>
    <w:rsid w:val="00FA7BF1"/>
    <w:rsid w:val="00FB16F6"/>
    <w:rsid w:val="00FC1196"/>
    <w:rsid w:val="00FC16FB"/>
    <w:rsid w:val="00FC1D61"/>
    <w:rsid w:val="00FC7277"/>
    <w:rsid w:val="00FD0B9E"/>
    <w:rsid w:val="00FD694B"/>
    <w:rsid w:val="00FD7B32"/>
    <w:rsid w:val="00FE0A05"/>
    <w:rsid w:val="00FE364A"/>
    <w:rsid w:val="00FE79EF"/>
    <w:rsid w:val="00FF00E1"/>
    <w:rsid w:val="00F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B3D8"/>
  <w15:docId w15:val="{8223DEAB-6261-4748-8722-903E9E5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B3"/>
  </w:style>
  <w:style w:type="paragraph" w:styleId="Footer">
    <w:name w:val="footer"/>
    <w:basedOn w:val="Normal"/>
    <w:link w:val="FooterChar"/>
    <w:uiPriority w:val="99"/>
    <w:unhideWhenUsed/>
    <w:rsid w:val="0039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B3"/>
  </w:style>
  <w:style w:type="paragraph" w:styleId="BalloonText">
    <w:name w:val="Balloon Text"/>
    <w:basedOn w:val="Normal"/>
    <w:link w:val="BalloonTextChar"/>
    <w:uiPriority w:val="99"/>
    <w:semiHidden/>
    <w:unhideWhenUsed/>
    <w:rsid w:val="005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40"/>
    <w:rPr>
      <w:rFonts w:ascii="Segoe UI" w:hAnsi="Segoe UI" w:cs="Segoe UI"/>
      <w:sz w:val="18"/>
      <w:szCs w:val="18"/>
    </w:rPr>
  </w:style>
  <w:style w:type="paragraph" w:styleId="ListParagraph">
    <w:name w:val="List Paragraph"/>
    <w:basedOn w:val="Normal"/>
    <w:uiPriority w:val="34"/>
    <w:qFormat/>
    <w:rsid w:val="00D530F7"/>
    <w:pPr>
      <w:ind w:left="720"/>
      <w:contextualSpacing/>
    </w:pPr>
  </w:style>
  <w:style w:type="character" w:customStyle="1" w:styleId="mc">
    <w:name w:val="mc"/>
    <w:basedOn w:val="DefaultParagraphFont"/>
    <w:rsid w:val="00BD3B69"/>
  </w:style>
  <w:style w:type="character" w:customStyle="1" w:styleId="g1">
    <w:name w:val="g1"/>
    <w:basedOn w:val="DefaultParagraphFont"/>
    <w:rsid w:val="00D72D3C"/>
  </w:style>
  <w:style w:type="character" w:styleId="Hyperlink">
    <w:name w:val="Hyperlink"/>
    <w:basedOn w:val="DefaultParagraphFont"/>
    <w:uiPriority w:val="99"/>
    <w:unhideWhenUsed/>
    <w:rsid w:val="00D72D3C"/>
    <w:rPr>
      <w:color w:val="0000FF"/>
      <w:u w:val="single"/>
    </w:rPr>
  </w:style>
  <w:style w:type="character" w:customStyle="1" w:styleId="UnresolvedMention">
    <w:name w:val="Unresolved Mention"/>
    <w:basedOn w:val="DefaultParagraphFont"/>
    <w:uiPriority w:val="99"/>
    <w:semiHidden/>
    <w:unhideWhenUsed/>
    <w:rsid w:val="00EF61D8"/>
    <w:rPr>
      <w:color w:val="605E5C"/>
      <w:shd w:val="clear" w:color="auto" w:fill="E1DFDD"/>
    </w:rPr>
  </w:style>
  <w:style w:type="character" w:styleId="CommentReference">
    <w:name w:val="annotation reference"/>
    <w:basedOn w:val="DefaultParagraphFont"/>
    <w:uiPriority w:val="99"/>
    <w:semiHidden/>
    <w:unhideWhenUsed/>
    <w:rsid w:val="00863BEC"/>
    <w:rPr>
      <w:sz w:val="16"/>
      <w:szCs w:val="16"/>
    </w:rPr>
  </w:style>
  <w:style w:type="paragraph" w:styleId="CommentText">
    <w:name w:val="annotation text"/>
    <w:basedOn w:val="Normal"/>
    <w:link w:val="CommentTextChar"/>
    <w:uiPriority w:val="99"/>
    <w:semiHidden/>
    <w:unhideWhenUsed/>
    <w:rsid w:val="00863BEC"/>
    <w:pPr>
      <w:spacing w:line="240" w:lineRule="auto"/>
    </w:pPr>
    <w:rPr>
      <w:sz w:val="20"/>
      <w:szCs w:val="20"/>
    </w:rPr>
  </w:style>
  <w:style w:type="character" w:customStyle="1" w:styleId="CommentTextChar">
    <w:name w:val="Comment Text Char"/>
    <w:basedOn w:val="DefaultParagraphFont"/>
    <w:link w:val="CommentText"/>
    <w:uiPriority w:val="99"/>
    <w:semiHidden/>
    <w:rsid w:val="00863BEC"/>
    <w:rPr>
      <w:sz w:val="20"/>
      <w:szCs w:val="20"/>
    </w:rPr>
  </w:style>
  <w:style w:type="paragraph" w:styleId="CommentSubject">
    <w:name w:val="annotation subject"/>
    <w:basedOn w:val="CommentText"/>
    <w:next w:val="CommentText"/>
    <w:link w:val="CommentSubjectChar"/>
    <w:uiPriority w:val="99"/>
    <w:semiHidden/>
    <w:unhideWhenUsed/>
    <w:rsid w:val="00863BEC"/>
    <w:rPr>
      <w:b/>
      <w:bCs/>
    </w:rPr>
  </w:style>
  <w:style w:type="character" w:customStyle="1" w:styleId="CommentSubjectChar">
    <w:name w:val="Comment Subject Char"/>
    <w:basedOn w:val="CommentTextChar"/>
    <w:link w:val="CommentSubject"/>
    <w:uiPriority w:val="99"/>
    <w:semiHidden/>
    <w:rsid w:val="00863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8595">
      <w:bodyDiv w:val="1"/>
      <w:marLeft w:val="0"/>
      <w:marRight w:val="0"/>
      <w:marTop w:val="0"/>
      <w:marBottom w:val="0"/>
      <w:divBdr>
        <w:top w:val="none" w:sz="0" w:space="0" w:color="auto"/>
        <w:left w:val="none" w:sz="0" w:space="0" w:color="auto"/>
        <w:bottom w:val="none" w:sz="0" w:space="0" w:color="auto"/>
        <w:right w:val="none" w:sz="0" w:space="0" w:color="auto"/>
      </w:divBdr>
      <w:divsChild>
        <w:div w:id="810516005">
          <w:marLeft w:val="0"/>
          <w:marRight w:val="0"/>
          <w:marTop w:val="120"/>
          <w:marBottom w:val="0"/>
          <w:divBdr>
            <w:top w:val="none" w:sz="0" w:space="0" w:color="auto"/>
            <w:left w:val="none" w:sz="0" w:space="0" w:color="auto"/>
            <w:bottom w:val="none" w:sz="0" w:space="0" w:color="auto"/>
            <w:right w:val="none" w:sz="0" w:space="0" w:color="auto"/>
          </w:divBdr>
        </w:div>
      </w:divsChild>
    </w:div>
    <w:div w:id="1001390481">
      <w:bodyDiv w:val="1"/>
      <w:marLeft w:val="0"/>
      <w:marRight w:val="0"/>
      <w:marTop w:val="0"/>
      <w:marBottom w:val="0"/>
      <w:divBdr>
        <w:top w:val="none" w:sz="0" w:space="0" w:color="auto"/>
        <w:left w:val="none" w:sz="0" w:space="0" w:color="auto"/>
        <w:bottom w:val="none" w:sz="0" w:space="0" w:color="auto"/>
        <w:right w:val="none" w:sz="0" w:space="0" w:color="auto"/>
      </w:divBdr>
      <w:divsChild>
        <w:div w:id="919947090">
          <w:marLeft w:val="0"/>
          <w:marRight w:val="0"/>
          <w:marTop w:val="120"/>
          <w:marBottom w:val="0"/>
          <w:divBdr>
            <w:top w:val="none" w:sz="0" w:space="0" w:color="auto"/>
            <w:left w:val="none" w:sz="0" w:space="0" w:color="auto"/>
            <w:bottom w:val="none" w:sz="0" w:space="0" w:color="auto"/>
            <w:right w:val="none" w:sz="0" w:space="0" w:color="auto"/>
          </w:divBdr>
        </w:div>
        <w:div w:id="923999026">
          <w:marLeft w:val="0"/>
          <w:marRight w:val="0"/>
          <w:marTop w:val="120"/>
          <w:marBottom w:val="0"/>
          <w:divBdr>
            <w:top w:val="none" w:sz="0" w:space="0" w:color="auto"/>
            <w:left w:val="none" w:sz="0" w:space="0" w:color="auto"/>
            <w:bottom w:val="none" w:sz="0" w:space="0" w:color="auto"/>
            <w:right w:val="none" w:sz="0" w:space="0" w:color="auto"/>
          </w:divBdr>
        </w:div>
        <w:div w:id="1717855864">
          <w:marLeft w:val="0"/>
          <w:marRight w:val="0"/>
          <w:marTop w:val="120"/>
          <w:marBottom w:val="0"/>
          <w:divBdr>
            <w:top w:val="none" w:sz="0" w:space="0" w:color="auto"/>
            <w:left w:val="none" w:sz="0" w:space="0" w:color="auto"/>
            <w:bottom w:val="none" w:sz="0" w:space="0" w:color="auto"/>
            <w:right w:val="none" w:sz="0" w:space="0" w:color="auto"/>
          </w:divBdr>
        </w:div>
      </w:divsChild>
    </w:div>
    <w:div w:id="1512916107">
      <w:bodyDiv w:val="1"/>
      <w:marLeft w:val="0"/>
      <w:marRight w:val="0"/>
      <w:marTop w:val="0"/>
      <w:marBottom w:val="0"/>
      <w:divBdr>
        <w:top w:val="none" w:sz="0" w:space="0" w:color="auto"/>
        <w:left w:val="none" w:sz="0" w:space="0" w:color="auto"/>
        <w:bottom w:val="none" w:sz="0" w:space="0" w:color="auto"/>
        <w:right w:val="none" w:sz="0" w:space="0" w:color="auto"/>
      </w:divBdr>
      <w:divsChild>
        <w:div w:id="1462115026">
          <w:marLeft w:val="1134"/>
          <w:marRight w:val="0"/>
          <w:marTop w:val="60"/>
          <w:marBottom w:val="0"/>
          <w:divBdr>
            <w:top w:val="none" w:sz="0" w:space="0" w:color="auto"/>
            <w:left w:val="none" w:sz="0" w:space="0" w:color="auto"/>
            <w:bottom w:val="none" w:sz="0" w:space="0" w:color="auto"/>
            <w:right w:val="none" w:sz="0" w:space="0" w:color="auto"/>
          </w:divBdr>
        </w:div>
        <w:div w:id="1745907455">
          <w:marLeft w:val="1134"/>
          <w:marRight w:val="0"/>
          <w:marTop w:val="60"/>
          <w:marBottom w:val="0"/>
          <w:divBdr>
            <w:top w:val="none" w:sz="0" w:space="0" w:color="auto"/>
            <w:left w:val="none" w:sz="0" w:space="0" w:color="auto"/>
            <w:bottom w:val="none" w:sz="0" w:space="0" w:color="auto"/>
            <w:right w:val="none" w:sz="0" w:space="0" w:color="auto"/>
          </w:divBdr>
        </w:div>
        <w:div w:id="2009405030">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Judge-Somaganthie Naidoo</dc:creator>
  <cp:keywords/>
  <dc:description/>
  <cp:lastModifiedBy>Lezal Adams</cp:lastModifiedBy>
  <cp:revision>2</cp:revision>
  <cp:lastPrinted>2023-01-18T23:48:00Z</cp:lastPrinted>
  <dcterms:created xsi:type="dcterms:W3CDTF">2023-01-19T13:41:00Z</dcterms:created>
  <dcterms:modified xsi:type="dcterms:W3CDTF">2023-01-19T13:41:00Z</dcterms:modified>
</cp:coreProperties>
</file>