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7525D" w14:textId="065D71D8" w:rsidR="00FD20A1" w:rsidRDefault="00FD20A1" w:rsidP="00FD20A1">
      <w:pPr>
        <w:jc w:val="center"/>
        <w:rPr>
          <w:szCs w:val="24"/>
        </w:rPr>
      </w:pPr>
      <w:bookmarkStart w:id="0" w:name="_GoBack"/>
      <w:bookmarkEnd w:id="0"/>
      <w:r>
        <w:rPr>
          <w:noProof/>
          <w:lang w:val="en-US"/>
        </w:rPr>
        <w:drawing>
          <wp:anchor distT="0" distB="0" distL="114300" distR="114300" simplePos="0" relativeHeight="251660288" behindDoc="1" locked="0" layoutInCell="1" allowOverlap="1" wp14:anchorId="38C792BB" wp14:editId="73820131">
            <wp:simplePos x="0" y="0"/>
            <wp:positionH relativeFrom="margin">
              <wp:posOffset>2033752</wp:posOffset>
            </wp:positionH>
            <wp:positionV relativeFrom="paragraph">
              <wp:posOffset>22991</wp:posOffset>
            </wp:positionV>
            <wp:extent cx="1659890" cy="1429071"/>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5176" cy="1459450"/>
                    </a:xfrm>
                    <a:prstGeom prst="rect">
                      <a:avLst/>
                    </a:prstGeom>
                    <a:noFill/>
                  </pic:spPr>
                </pic:pic>
              </a:graphicData>
            </a:graphic>
            <wp14:sizeRelH relativeFrom="page">
              <wp14:pctWidth>0</wp14:pctWidth>
            </wp14:sizeRelH>
            <wp14:sizeRelV relativeFrom="page">
              <wp14:pctHeight>0</wp14:pctHeight>
            </wp14:sizeRelV>
          </wp:anchor>
        </w:drawing>
      </w:r>
    </w:p>
    <w:p w14:paraId="5FEF7EF1" w14:textId="77777777" w:rsidR="00FD20A1" w:rsidRDefault="00FD20A1" w:rsidP="00FD20A1">
      <w:pPr>
        <w:pStyle w:val="Heading1"/>
        <w:rPr>
          <w:szCs w:val="24"/>
        </w:rPr>
      </w:pPr>
    </w:p>
    <w:p w14:paraId="01E5D67F" w14:textId="77777777" w:rsidR="00FD20A1" w:rsidRDefault="00FD20A1" w:rsidP="00FD20A1">
      <w:pPr>
        <w:pStyle w:val="Heading1"/>
        <w:rPr>
          <w:szCs w:val="24"/>
        </w:rPr>
      </w:pPr>
    </w:p>
    <w:p w14:paraId="69626BAC" w14:textId="77777777" w:rsidR="00FD20A1" w:rsidRDefault="00FD20A1" w:rsidP="00FD20A1">
      <w:pPr>
        <w:pStyle w:val="Heading1"/>
        <w:rPr>
          <w:szCs w:val="24"/>
        </w:rPr>
      </w:pPr>
    </w:p>
    <w:p w14:paraId="7FC9A5C3" w14:textId="77777777" w:rsidR="00FA7222" w:rsidRDefault="00FA7222" w:rsidP="008E5CD1">
      <w:pPr>
        <w:spacing w:line="360" w:lineRule="auto"/>
        <w:jc w:val="center"/>
        <w:rPr>
          <w:rFonts w:ascii="Arial" w:hAnsi="Arial" w:cs="Arial"/>
          <w:b/>
          <w:sz w:val="28"/>
          <w:szCs w:val="28"/>
          <w:u w:val="single"/>
        </w:rPr>
      </w:pPr>
    </w:p>
    <w:p w14:paraId="5D2A0C59" w14:textId="77777777" w:rsidR="00BB58C5" w:rsidRDefault="00BB58C5" w:rsidP="00A0334D">
      <w:pPr>
        <w:jc w:val="center"/>
        <w:rPr>
          <w:rFonts w:ascii="Arial" w:hAnsi="Arial" w:cs="Arial"/>
          <w:b/>
          <w:u w:val="single"/>
        </w:rPr>
      </w:pPr>
    </w:p>
    <w:p w14:paraId="75E9197B" w14:textId="1CAABD3A" w:rsidR="00A0334D" w:rsidRPr="00E50503" w:rsidRDefault="00A0334D" w:rsidP="00A0334D">
      <w:pPr>
        <w:jc w:val="center"/>
        <w:rPr>
          <w:rFonts w:ascii="Arial" w:hAnsi="Arial" w:cs="Arial"/>
          <w:b/>
          <w:sz w:val="24"/>
          <w:szCs w:val="24"/>
          <w:u w:val="single"/>
        </w:rPr>
      </w:pPr>
      <w:r w:rsidRPr="00E50503">
        <w:rPr>
          <w:rFonts w:ascii="Arial" w:hAnsi="Arial" w:cs="Arial"/>
          <w:b/>
          <w:sz w:val="24"/>
          <w:szCs w:val="24"/>
          <w:u w:val="single"/>
        </w:rPr>
        <w:t>IN THE HIGH COURT OF SOUTH AFRICA,</w:t>
      </w:r>
    </w:p>
    <w:p w14:paraId="0A837667" w14:textId="77777777" w:rsidR="00A0334D" w:rsidRPr="00E50503" w:rsidRDefault="00A0334D" w:rsidP="00A0334D">
      <w:pPr>
        <w:jc w:val="center"/>
        <w:rPr>
          <w:rFonts w:ascii="Arial" w:hAnsi="Arial" w:cs="Arial"/>
          <w:b/>
          <w:sz w:val="24"/>
          <w:szCs w:val="24"/>
          <w:u w:val="single"/>
        </w:rPr>
      </w:pPr>
      <w:r w:rsidRPr="00E50503">
        <w:rPr>
          <w:rFonts w:ascii="Arial" w:hAnsi="Arial" w:cs="Arial"/>
          <w:b/>
          <w:sz w:val="24"/>
          <w:szCs w:val="24"/>
          <w:u w:val="single"/>
        </w:rPr>
        <w:t>FREE STATE DIVISION, BLOEMFONTEIN</w:t>
      </w:r>
    </w:p>
    <w:tbl>
      <w:tblPr>
        <w:tblStyle w:val="TableGrid"/>
        <w:tblW w:w="3321" w:type="dxa"/>
        <w:tblInd w:w="6325" w:type="dxa"/>
        <w:tblLook w:val="04A0" w:firstRow="1" w:lastRow="0" w:firstColumn="1" w:lastColumn="0" w:noHBand="0" w:noVBand="1"/>
      </w:tblPr>
      <w:tblGrid>
        <w:gridCol w:w="3321"/>
      </w:tblGrid>
      <w:tr w:rsidR="00A0334D" w14:paraId="708B4204" w14:textId="77777777" w:rsidTr="00A31447">
        <w:trPr>
          <w:trHeight w:val="642"/>
        </w:trPr>
        <w:tc>
          <w:tcPr>
            <w:tcW w:w="3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531CA7" w14:textId="285E1D9A" w:rsidR="00A0334D" w:rsidRDefault="00A0334D" w:rsidP="00531F49">
            <w:pPr>
              <w:spacing w:after="0"/>
              <w:rPr>
                <w:rFonts w:ascii="Arial" w:eastAsia="Times New Roman" w:hAnsi="Arial" w:cs="Arial"/>
                <w:b/>
                <w:sz w:val="16"/>
                <w:szCs w:val="16"/>
                <w:lang w:eastAsia="en-GB"/>
              </w:rPr>
            </w:pPr>
            <w:r>
              <w:rPr>
                <w:rFonts w:ascii="Arial" w:hAnsi="Arial" w:cs="Arial"/>
                <w:b/>
                <w:sz w:val="16"/>
                <w:szCs w:val="16"/>
              </w:rPr>
              <w:t xml:space="preserve">Reportable:    </w:t>
            </w:r>
            <w:r w:rsidR="00A31447">
              <w:rPr>
                <w:rFonts w:ascii="Arial" w:hAnsi="Arial" w:cs="Arial"/>
                <w:b/>
                <w:sz w:val="16"/>
                <w:szCs w:val="16"/>
              </w:rPr>
              <w:t xml:space="preserve">                          YES</w:t>
            </w:r>
          </w:p>
          <w:p w14:paraId="3E7F2C94" w14:textId="34034D33" w:rsidR="00A0334D" w:rsidRDefault="00A0334D" w:rsidP="00531F49">
            <w:pPr>
              <w:spacing w:after="0"/>
              <w:rPr>
                <w:rFonts w:ascii="Arial" w:hAnsi="Arial" w:cs="Arial"/>
                <w:b/>
                <w:sz w:val="16"/>
                <w:szCs w:val="16"/>
              </w:rPr>
            </w:pPr>
            <w:r>
              <w:rPr>
                <w:rFonts w:ascii="Arial" w:hAnsi="Arial" w:cs="Arial"/>
                <w:b/>
                <w:sz w:val="16"/>
                <w:szCs w:val="16"/>
              </w:rPr>
              <w:t xml:space="preserve">Of </w:t>
            </w:r>
            <w:r w:rsidR="00A31447">
              <w:rPr>
                <w:rFonts w:ascii="Arial" w:hAnsi="Arial" w:cs="Arial"/>
                <w:b/>
                <w:sz w:val="16"/>
                <w:szCs w:val="16"/>
              </w:rPr>
              <w:t xml:space="preserve">Interest to other Judges:   </w:t>
            </w:r>
            <w:r>
              <w:rPr>
                <w:rFonts w:ascii="Arial" w:hAnsi="Arial" w:cs="Arial"/>
                <w:b/>
                <w:sz w:val="16"/>
                <w:szCs w:val="16"/>
              </w:rPr>
              <w:t>NO</w:t>
            </w:r>
          </w:p>
          <w:p w14:paraId="2FDDF1A0" w14:textId="4681220D" w:rsidR="00A0334D" w:rsidRDefault="00A0334D" w:rsidP="00531F49">
            <w:pPr>
              <w:spacing w:after="0"/>
              <w:rPr>
                <w:rFonts w:ascii="Arial" w:eastAsia="Times New Roman" w:hAnsi="Arial" w:cs="Arial"/>
                <w:b/>
                <w:sz w:val="16"/>
                <w:szCs w:val="16"/>
                <w:u w:val="single"/>
                <w:lang w:eastAsia="en-GB"/>
              </w:rPr>
            </w:pPr>
            <w:r>
              <w:rPr>
                <w:rFonts w:ascii="Arial" w:hAnsi="Arial" w:cs="Arial"/>
                <w:b/>
                <w:sz w:val="16"/>
                <w:szCs w:val="16"/>
              </w:rPr>
              <w:t>Circu</w:t>
            </w:r>
            <w:r w:rsidR="00A31447">
              <w:rPr>
                <w:rFonts w:ascii="Arial" w:hAnsi="Arial" w:cs="Arial"/>
                <w:b/>
                <w:sz w:val="16"/>
                <w:szCs w:val="16"/>
              </w:rPr>
              <w:t xml:space="preserve">late to Magistrates:        </w:t>
            </w:r>
            <w:r>
              <w:rPr>
                <w:rFonts w:ascii="Arial" w:hAnsi="Arial" w:cs="Arial"/>
                <w:b/>
                <w:sz w:val="16"/>
                <w:szCs w:val="16"/>
              </w:rPr>
              <w:t>NO</w:t>
            </w:r>
          </w:p>
        </w:tc>
      </w:tr>
    </w:tbl>
    <w:p w14:paraId="5D8A3509" w14:textId="14AA9303" w:rsidR="00A0334D" w:rsidRPr="0014277B" w:rsidRDefault="00A0334D" w:rsidP="00277B9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p>
    <w:p w14:paraId="154CCFD9" w14:textId="4091750F" w:rsidR="0014277B" w:rsidRPr="009B26CC" w:rsidRDefault="00D4554F" w:rsidP="00C516EA">
      <w:pPr>
        <w:spacing w:after="0" w:line="240" w:lineRule="auto"/>
        <w:jc w:val="right"/>
        <w:rPr>
          <w:rFonts w:ascii="Arial" w:hAnsi="Arial" w:cs="Arial"/>
          <w:sz w:val="24"/>
          <w:szCs w:val="24"/>
        </w:rPr>
      </w:pPr>
      <w:r w:rsidRPr="009B26CC">
        <w:rPr>
          <w:rFonts w:ascii="Arial" w:hAnsi="Arial" w:cs="Arial"/>
          <w:sz w:val="24"/>
          <w:szCs w:val="24"/>
        </w:rPr>
        <w:t xml:space="preserve">  </w:t>
      </w:r>
      <w:r w:rsidR="00A0334D" w:rsidRPr="009B26CC">
        <w:rPr>
          <w:rFonts w:ascii="Arial" w:hAnsi="Arial" w:cs="Arial"/>
          <w:sz w:val="24"/>
          <w:szCs w:val="24"/>
        </w:rPr>
        <w:t xml:space="preserve">Case </w:t>
      </w:r>
      <w:r w:rsidR="001E065C" w:rsidRPr="009B26CC">
        <w:rPr>
          <w:rFonts w:ascii="Arial" w:hAnsi="Arial" w:cs="Arial"/>
          <w:sz w:val="24"/>
          <w:szCs w:val="24"/>
        </w:rPr>
        <w:t>N</w:t>
      </w:r>
      <w:r w:rsidR="00A0334D" w:rsidRPr="009B26CC">
        <w:rPr>
          <w:rFonts w:ascii="Arial" w:hAnsi="Arial" w:cs="Arial"/>
          <w:sz w:val="24"/>
          <w:szCs w:val="24"/>
        </w:rPr>
        <w:t xml:space="preserve">umber: </w:t>
      </w:r>
      <w:r w:rsidR="00197512">
        <w:rPr>
          <w:rFonts w:ascii="Arial" w:hAnsi="Arial" w:cs="Arial"/>
          <w:sz w:val="24"/>
          <w:szCs w:val="24"/>
        </w:rPr>
        <w:t>4389</w:t>
      </w:r>
      <w:r w:rsidR="00F449F5">
        <w:rPr>
          <w:rFonts w:ascii="Arial" w:hAnsi="Arial" w:cs="Arial"/>
          <w:sz w:val="24"/>
          <w:szCs w:val="24"/>
        </w:rPr>
        <w:t>/2022</w:t>
      </w:r>
    </w:p>
    <w:p w14:paraId="3ECE7D84" w14:textId="77777777" w:rsidR="00A0334D" w:rsidRPr="00E50503" w:rsidRDefault="00A0334D" w:rsidP="00A0334D">
      <w:pPr>
        <w:spacing w:after="0" w:line="240" w:lineRule="auto"/>
        <w:jc w:val="both"/>
        <w:rPr>
          <w:rFonts w:ascii="Arial" w:hAnsi="Arial" w:cs="Arial"/>
          <w:sz w:val="24"/>
          <w:szCs w:val="24"/>
        </w:rPr>
      </w:pPr>
      <w:r w:rsidRPr="00E50503">
        <w:rPr>
          <w:rFonts w:ascii="Arial" w:hAnsi="Arial" w:cs="Arial"/>
          <w:sz w:val="24"/>
          <w:szCs w:val="24"/>
        </w:rPr>
        <w:t xml:space="preserve">In the matter between: </w:t>
      </w:r>
    </w:p>
    <w:p w14:paraId="3C9D482D" w14:textId="77777777" w:rsidR="001E065C" w:rsidRPr="00E50503" w:rsidRDefault="001E065C" w:rsidP="001E065C">
      <w:pPr>
        <w:rPr>
          <w:rFonts w:ascii="Arial" w:hAnsi="Arial" w:cs="Arial"/>
          <w:b/>
          <w:sz w:val="24"/>
          <w:szCs w:val="24"/>
          <w:u w:val="single"/>
        </w:rPr>
      </w:pPr>
    </w:p>
    <w:p w14:paraId="1515C049" w14:textId="4E0A6E5F" w:rsidR="00F449F5" w:rsidRDefault="00197512" w:rsidP="0014277B">
      <w:pPr>
        <w:rPr>
          <w:rFonts w:ascii="Arial" w:hAnsi="Arial" w:cs="Arial"/>
          <w:b/>
          <w:sz w:val="24"/>
          <w:szCs w:val="24"/>
        </w:rPr>
      </w:pPr>
      <w:r>
        <w:rPr>
          <w:rFonts w:ascii="Arial" w:hAnsi="Arial" w:cs="Arial"/>
          <w:b/>
          <w:sz w:val="24"/>
          <w:szCs w:val="24"/>
        </w:rPr>
        <w:t xml:space="preserve">THE NATIONAL PROSECUTING </w:t>
      </w:r>
      <w:r w:rsidR="008473F3">
        <w:rPr>
          <w:rFonts w:ascii="Arial" w:hAnsi="Arial" w:cs="Arial"/>
          <w:b/>
          <w:sz w:val="24"/>
          <w:szCs w:val="24"/>
        </w:rPr>
        <w:t>AUTHORITY</w:t>
      </w:r>
      <w:r w:rsidR="001E065C" w:rsidRPr="00E50503">
        <w:rPr>
          <w:rFonts w:ascii="Arial" w:hAnsi="Arial" w:cs="Arial"/>
          <w:b/>
          <w:sz w:val="24"/>
          <w:szCs w:val="24"/>
        </w:rPr>
        <w:tab/>
        <w:t xml:space="preserve">                    </w:t>
      </w:r>
      <w:r w:rsidR="001E065C" w:rsidRPr="00F449F5">
        <w:rPr>
          <w:rFonts w:ascii="Arial" w:hAnsi="Arial" w:cs="Arial"/>
          <w:sz w:val="24"/>
          <w:szCs w:val="24"/>
        </w:rPr>
        <w:t xml:space="preserve"> </w:t>
      </w:r>
      <w:r w:rsidR="00F449F5" w:rsidRPr="00F449F5">
        <w:rPr>
          <w:rFonts w:ascii="Arial" w:hAnsi="Arial" w:cs="Arial"/>
          <w:sz w:val="24"/>
          <w:szCs w:val="24"/>
        </w:rPr>
        <w:t>Applicant</w:t>
      </w:r>
    </w:p>
    <w:p w14:paraId="01390FCD" w14:textId="77777777" w:rsidR="008473F3" w:rsidRDefault="008473F3" w:rsidP="0014277B">
      <w:pPr>
        <w:rPr>
          <w:rFonts w:ascii="Arial" w:hAnsi="Arial" w:cs="Arial"/>
          <w:b/>
          <w:sz w:val="24"/>
          <w:szCs w:val="24"/>
        </w:rPr>
      </w:pPr>
    </w:p>
    <w:p w14:paraId="1B982D6B" w14:textId="0D33ED43" w:rsidR="0014277B" w:rsidRPr="00E50503" w:rsidRDefault="001E065C" w:rsidP="0014277B">
      <w:pPr>
        <w:rPr>
          <w:rFonts w:ascii="Arial" w:hAnsi="Arial" w:cs="Arial"/>
          <w:sz w:val="24"/>
          <w:szCs w:val="24"/>
        </w:rPr>
      </w:pPr>
      <w:r w:rsidRPr="00E50503">
        <w:rPr>
          <w:rFonts w:ascii="Arial" w:hAnsi="Arial" w:cs="Arial"/>
          <w:sz w:val="24"/>
          <w:szCs w:val="24"/>
        </w:rPr>
        <w:t>a</w:t>
      </w:r>
      <w:r w:rsidR="0014277B" w:rsidRPr="00E50503">
        <w:rPr>
          <w:rFonts w:ascii="Arial" w:hAnsi="Arial" w:cs="Arial"/>
          <w:sz w:val="24"/>
          <w:szCs w:val="24"/>
        </w:rPr>
        <w:t>nd</w:t>
      </w:r>
    </w:p>
    <w:p w14:paraId="28DE1E95" w14:textId="77777777" w:rsidR="00277B98" w:rsidRPr="00E50503" w:rsidRDefault="00277B98" w:rsidP="00277B98">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1CFEB6B2" w14:textId="77777777" w:rsidR="008473F3" w:rsidRDefault="008473F3" w:rsidP="008473F3">
      <w:pPr>
        <w:spacing w:after="0" w:line="360" w:lineRule="auto"/>
        <w:rPr>
          <w:rFonts w:ascii="Arial" w:hAnsi="Arial" w:cs="Arial"/>
          <w:b/>
          <w:sz w:val="24"/>
          <w:szCs w:val="24"/>
        </w:rPr>
      </w:pPr>
      <w:r>
        <w:rPr>
          <w:rFonts w:ascii="Arial" w:hAnsi="Arial" w:cs="Arial"/>
          <w:b/>
          <w:sz w:val="24"/>
          <w:szCs w:val="24"/>
        </w:rPr>
        <w:t>DYNOLOG RENTAL (PTY) LTD t/a DYNAMIC TRUCK RENTAL</w:t>
      </w:r>
    </w:p>
    <w:p w14:paraId="076C1FE5" w14:textId="34EDE53E" w:rsidR="001E065C" w:rsidRDefault="008473F3" w:rsidP="008473F3">
      <w:pPr>
        <w:spacing w:after="0" w:line="360" w:lineRule="auto"/>
        <w:rPr>
          <w:rFonts w:ascii="Arial" w:hAnsi="Arial" w:cs="Arial"/>
          <w:sz w:val="24"/>
          <w:szCs w:val="24"/>
        </w:rPr>
      </w:pPr>
      <w:r>
        <w:rPr>
          <w:rFonts w:ascii="Arial" w:hAnsi="Arial" w:cs="Arial"/>
          <w:sz w:val="24"/>
          <w:szCs w:val="24"/>
        </w:rPr>
        <w:t>(Registration number: 2007/033524/07)</w:t>
      </w:r>
      <w:r w:rsidR="001E065C" w:rsidRPr="00E50503">
        <w:rPr>
          <w:rFonts w:ascii="Arial" w:hAnsi="Arial" w:cs="Arial"/>
          <w:b/>
          <w:sz w:val="24"/>
          <w:szCs w:val="24"/>
        </w:rPr>
        <w:tab/>
      </w:r>
      <w:r w:rsidR="001E065C" w:rsidRPr="00E50503">
        <w:rPr>
          <w:rFonts w:ascii="Arial" w:hAnsi="Arial" w:cs="Arial"/>
          <w:b/>
          <w:sz w:val="24"/>
          <w:szCs w:val="24"/>
        </w:rPr>
        <w:tab/>
      </w:r>
      <w:r w:rsidR="001E065C" w:rsidRPr="00E50503">
        <w:rPr>
          <w:rFonts w:ascii="Arial" w:hAnsi="Arial" w:cs="Arial"/>
          <w:b/>
          <w:sz w:val="24"/>
          <w:szCs w:val="24"/>
        </w:rPr>
        <w:tab/>
        <w:t xml:space="preserve">     </w:t>
      </w:r>
      <w:r w:rsidR="00CF5F78">
        <w:rPr>
          <w:rFonts w:ascii="Arial" w:hAnsi="Arial" w:cs="Arial"/>
          <w:sz w:val="24"/>
          <w:szCs w:val="24"/>
        </w:rPr>
        <w:tab/>
      </w:r>
      <w:r w:rsidR="00CF5F78">
        <w:rPr>
          <w:rFonts w:ascii="Arial" w:hAnsi="Arial" w:cs="Arial"/>
          <w:sz w:val="24"/>
          <w:szCs w:val="24"/>
        </w:rPr>
        <w:tab/>
        <w:t xml:space="preserve">First </w:t>
      </w:r>
      <w:r>
        <w:rPr>
          <w:rFonts w:ascii="Arial" w:hAnsi="Arial" w:cs="Arial"/>
          <w:sz w:val="24"/>
          <w:szCs w:val="24"/>
        </w:rPr>
        <w:t>Defendant</w:t>
      </w:r>
    </w:p>
    <w:p w14:paraId="09227E03" w14:textId="77777777" w:rsidR="008473F3" w:rsidRPr="00E50503" w:rsidRDefault="008473F3" w:rsidP="008473F3">
      <w:pPr>
        <w:spacing w:after="0" w:line="360" w:lineRule="auto"/>
        <w:rPr>
          <w:rFonts w:ascii="Arial" w:hAnsi="Arial" w:cs="Arial"/>
          <w:b/>
          <w:sz w:val="24"/>
          <w:szCs w:val="24"/>
        </w:rPr>
      </w:pPr>
    </w:p>
    <w:p w14:paraId="32133BA8" w14:textId="5725CFA2" w:rsidR="00F449F5" w:rsidRPr="00E50503" w:rsidRDefault="008473F3" w:rsidP="00CF5F78">
      <w:pPr>
        <w:spacing w:line="360" w:lineRule="auto"/>
        <w:rPr>
          <w:rFonts w:ascii="Arial" w:hAnsi="Arial" w:cs="Arial"/>
          <w:b/>
          <w:sz w:val="24"/>
          <w:szCs w:val="24"/>
        </w:rPr>
      </w:pPr>
      <w:r>
        <w:rPr>
          <w:rFonts w:ascii="Arial" w:hAnsi="Arial" w:cs="Arial"/>
          <w:b/>
          <w:sz w:val="24"/>
          <w:szCs w:val="24"/>
        </w:rPr>
        <w:t>PHILIPPUS CHRISTOFFEL WILLEM VAN DER BERG</w:t>
      </w:r>
      <w:r w:rsidR="00F449F5" w:rsidRPr="00E50503">
        <w:rPr>
          <w:rFonts w:ascii="Arial" w:hAnsi="Arial" w:cs="Arial"/>
          <w:b/>
          <w:sz w:val="24"/>
          <w:szCs w:val="24"/>
        </w:rPr>
        <w:t xml:space="preserve">     </w:t>
      </w:r>
      <w:r w:rsidR="00CF5F78">
        <w:rPr>
          <w:rFonts w:ascii="Arial" w:hAnsi="Arial" w:cs="Arial"/>
          <w:sz w:val="24"/>
          <w:szCs w:val="24"/>
        </w:rPr>
        <w:tab/>
        <w:t xml:space="preserve">       Second </w:t>
      </w:r>
      <w:r>
        <w:rPr>
          <w:rFonts w:ascii="Arial" w:hAnsi="Arial" w:cs="Arial"/>
          <w:sz w:val="24"/>
          <w:szCs w:val="24"/>
        </w:rPr>
        <w:t>Defendant</w:t>
      </w:r>
    </w:p>
    <w:p w14:paraId="7BCB8979" w14:textId="7DB273AF" w:rsidR="00F449F5" w:rsidRPr="00E50503" w:rsidRDefault="000B701B" w:rsidP="00CF5F78">
      <w:pPr>
        <w:spacing w:line="360" w:lineRule="auto"/>
        <w:rPr>
          <w:rFonts w:ascii="Arial" w:hAnsi="Arial" w:cs="Arial"/>
          <w:b/>
          <w:sz w:val="24"/>
          <w:szCs w:val="24"/>
        </w:rPr>
      </w:pPr>
      <w:r>
        <w:rPr>
          <w:rFonts w:ascii="Arial" w:hAnsi="Arial" w:cs="Arial"/>
          <w:b/>
          <w:sz w:val="24"/>
          <w:szCs w:val="24"/>
        </w:rPr>
        <w:t>BENADETTE VAN DER BERG</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449F5" w:rsidRPr="00E50503">
        <w:rPr>
          <w:rFonts w:ascii="Arial" w:hAnsi="Arial" w:cs="Arial"/>
          <w:b/>
          <w:sz w:val="24"/>
          <w:szCs w:val="24"/>
        </w:rPr>
        <w:tab/>
        <w:t xml:space="preserve">     </w:t>
      </w:r>
      <w:r w:rsidR="00CF5F78">
        <w:rPr>
          <w:rFonts w:ascii="Arial" w:hAnsi="Arial" w:cs="Arial"/>
          <w:sz w:val="24"/>
          <w:szCs w:val="24"/>
        </w:rPr>
        <w:tab/>
      </w:r>
      <w:r w:rsidR="00CF5F78">
        <w:rPr>
          <w:rFonts w:ascii="Arial" w:hAnsi="Arial" w:cs="Arial"/>
          <w:sz w:val="24"/>
          <w:szCs w:val="24"/>
        </w:rPr>
        <w:tab/>
        <w:t xml:space="preserve">Third </w:t>
      </w:r>
      <w:r>
        <w:rPr>
          <w:rFonts w:ascii="Arial" w:hAnsi="Arial" w:cs="Arial"/>
          <w:sz w:val="24"/>
          <w:szCs w:val="24"/>
        </w:rPr>
        <w:t>Defendant</w:t>
      </w:r>
    </w:p>
    <w:p w14:paraId="50ED01B1" w14:textId="77777777" w:rsidR="000B701B" w:rsidRDefault="000B701B" w:rsidP="00F449F5">
      <w:pPr>
        <w:spacing w:line="360" w:lineRule="auto"/>
        <w:rPr>
          <w:rFonts w:ascii="Arial" w:hAnsi="Arial" w:cs="Arial"/>
          <w:b/>
          <w:sz w:val="24"/>
          <w:szCs w:val="24"/>
        </w:rPr>
      </w:pPr>
    </w:p>
    <w:p w14:paraId="1C4AD2CF" w14:textId="77777777" w:rsidR="000B701B" w:rsidRDefault="000B701B" w:rsidP="000B701B">
      <w:pPr>
        <w:spacing w:line="360" w:lineRule="auto"/>
        <w:rPr>
          <w:rFonts w:ascii="Arial" w:hAnsi="Arial" w:cs="Arial"/>
          <w:b/>
          <w:sz w:val="24"/>
          <w:szCs w:val="24"/>
        </w:rPr>
      </w:pPr>
      <w:r>
        <w:rPr>
          <w:rFonts w:ascii="Arial" w:hAnsi="Arial" w:cs="Arial"/>
          <w:b/>
          <w:sz w:val="24"/>
          <w:szCs w:val="24"/>
        </w:rPr>
        <w:t>PHILIPPUS CHRISTOFFEL WILLEM VAN DER BERG N.O</w:t>
      </w:r>
    </w:p>
    <w:p w14:paraId="47E412A9" w14:textId="77777777" w:rsidR="000B701B" w:rsidRDefault="000B701B" w:rsidP="000B701B">
      <w:pPr>
        <w:spacing w:line="360" w:lineRule="auto"/>
        <w:rPr>
          <w:rFonts w:ascii="Arial" w:hAnsi="Arial" w:cs="Arial"/>
          <w:b/>
          <w:sz w:val="24"/>
          <w:szCs w:val="24"/>
        </w:rPr>
      </w:pPr>
      <w:r>
        <w:rPr>
          <w:rFonts w:ascii="Arial" w:hAnsi="Arial" w:cs="Arial"/>
          <w:b/>
          <w:sz w:val="24"/>
          <w:szCs w:val="24"/>
        </w:rPr>
        <w:t>BENADETTE VAN DER BERG N.O</w:t>
      </w:r>
    </w:p>
    <w:p w14:paraId="57DB4724" w14:textId="77777777" w:rsidR="000B701B" w:rsidRDefault="000B701B" w:rsidP="000B701B">
      <w:pPr>
        <w:spacing w:line="360" w:lineRule="auto"/>
        <w:rPr>
          <w:rFonts w:ascii="Arial" w:hAnsi="Arial" w:cs="Arial"/>
          <w:b/>
          <w:sz w:val="24"/>
          <w:szCs w:val="24"/>
        </w:rPr>
      </w:pPr>
      <w:r>
        <w:rPr>
          <w:rFonts w:ascii="Arial" w:hAnsi="Arial" w:cs="Arial"/>
          <w:b/>
          <w:sz w:val="24"/>
          <w:szCs w:val="24"/>
        </w:rPr>
        <w:t>WEALTH ASSOCIATES FIDUCIARY SERVICES (PTY) LTD N.O</w:t>
      </w:r>
    </w:p>
    <w:p w14:paraId="3A685FA8" w14:textId="517FB679" w:rsidR="000B701B" w:rsidRDefault="000B701B" w:rsidP="00CF5F78">
      <w:pPr>
        <w:spacing w:line="360" w:lineRule="auto"/>
        <w:rPr>
          <w:rFonts w:ascii="Arial" w:hAnsi="Arial" w:cs="Arial"/>
          <w:sz w:val="24"/>
          <w:szCs w:val="24"/>
        </w:rPr>
      </w:pPr>
      <w:r>
        <w:rPr>
          <w:rFonts w:ascii="Arial" w:hAnsi="Arial" w:cs="Arial"/>
          <w:sz w:val="24"/>
          <w:szCs w:val="24"/>
        </w:rPr>
        <w:t>(Registration number: 2017/152514/07)</w:t>
      </w:r>
      <w:r>
        <w:rPr>
          <w:rFonts w:ascii="Arial" w:hAnsi="Arial" w:cs="Arial"/>
          <w:sz w:val="24"/>
          <w:szCs w:val="24"/>
        </w:rPr>
        <w:tab/>
      </w:r>
      <w:r>
        <w:rPr>
          <w:rFonts w:ascii="Arial" w:hAnsi="Arial" w:cs="Arial"/>
          <w:sz w:val="24"/>
          <w:szCs w:val="24"/>
        </w:rPr>
        <w:tab/>
      </w:r>
      <w:r>
        <w:rPr>
          <w:rFonts w:ascii="Arial" w:hAnsi="Arial" w:cs="Arial"/>
          <w:sz w:val="24"/>
          <w:szCs w:val="24"/>
        </w:rPr>
        <w:tab/>
      </w:r>
      <w:r w:rsidRPr="00E50503">
        <w:rPr>
          <w:rFonts w:ascii="Arial" w:hAnsi="Arial" w:cs="Arial"/>
          <w:b/>
          <w:sz w:val="24"/>
          <w:szCs w:val="24"/>
        </w:rPr>
        <w:t xml:space="preserve">     </w:t>
      </w:r>
      <w:r w:rsidR="00CF5F78">
        <w:rPr>
          <w:rFonts w:ascii="Arial" w:hAnsi="Arial" w:cs="Arial"/>
          <w:sz w:val="24"/>
          <w:szCs w:val="24"/>
        </w:rPr>
        <w:tab/>
        <w:t xml:space="preserve">        First </w:t>
      </w:r>
      <w:r>
        <w:rPr>
          <w:rFonts w:ascii="Arial" w:hAnsi="Arial" w:cs="Arial"/>
          <w:sz w:val="24"/>
          <w:szCs w:val="24"/>
        </w:rPr>
        <w:t>Respondent</w:t>
      </w:r>
    </w:p>
    <w:p w14:paraId="5D428D92" w14:textId="1EB28969" w:rsidR="000B701B" w:rsidRDefault="000B701B" w:rsidP="000B701B">
      <w:pPr>
        <w:spacing w:line="360" w:lineRule="auto"/>
        <w:rPr>
          <w:rFonts w:ascii="Arial" w:hAnsi="Arial" w:cs="Arial"/>
          <w:sz w:val="24"/>
          <w:szCs w:val="24"/>
        </w:rPr>
      </w:pPr>
      <w:r>
        <w:rPr>
          <w:rFonts w:ascii="Arial" w:hAnsi="Arial" w:cs="Arial"/>
          <w:sz w:val="24"/>
          <w:szCs w:val="24"/>
        </w:rPr>
        <w:t>(In their capacities as Trustees of Dynamic Trust</w:t>
      </w:r>
    </w:p>
    <w:p w14:paraId="424E4A6D" w14:textId="10CF08B6" w:rsidR="000B701B" w:rsidRDefault="000B701B" w:rsidP="000B701B">
      <w:pPr>
        <w:spacing w:after="0" w:line="360" w:lineRule="auto"/>
        <w:rPr>
          <w:rFonts w:ascii="Arial" w:hAnsi="Arial" w:cs="Arial"/>
          <w:sz w:val="24"/>
          <w:szCs w:val="24"/>
        </w:rPr>
      </w:pPr>
      <w:r>
        <w:rPr>
          <w:rFonts w:ascii="Arial" w:hAnsi="Arial" w:cs="Arial"/>
          <w:sz w:val="24"/>
          <w:szCs w:val="24"/>
        </w:rPr>
        <w:t>with Trust ID: IT1089/2007)</w:t>
      </w:r>
    </w:p>
    <w:p w14:paraId="718DEABB" w14:textId="77777777" w:rsidR="000B701B" w:rsidRPr="00E50503" w:rsidRDefault="000B701B" w:rsidP="000B701B">
      <w:pPr>
        <w:spacing w:after="0" w:line="360" w:lineRule="auto"/>
        <w:rPr>
          <w:rFonts w:ascii="Arial" w:hAnsi="Arial" w:cs="Arial"/>
          <w:b/>
          <w:sz w:val="24"/>
          <w:szCs w:val="24"/>
        </w:rPr>
      </w:pPr>
    </w:p>
    <w:p w14:paraId="026E498E" w14:textId="77777777" w:rsidR="000B701B" w:rsidRDefault="000B701B" w:rsidP="000B701B">
      <w:pPr>
        <w:spacing w:after="0" w:line="360" w:lineRule="auto"/>
        <w:rPr>
          <w:rFonts w:ascii="Arial" w:hAnsi="Arial" w:cs="Arial"/>
          <w:b/>
          <w:sz w:val="24"/>
          <w:szCs w:val="24"/>
        </w:rPr>
      </w:pPr>
      <w:r>
        <w:rPr>
          <w:rFonts w:ascii="Arial" w:hAnsi="Arial" w:cs="Arial"/>
          <w:b/>
          <w:sz w:val="24"/>
          <w:szCs w:val="24"/>
        </w:rPr>
        <w:t>PHILIPPUS CHRISTOFFEL WILLEM VAN DER BERG N.O</w:t>
      </w:r>
    </w:p>
    <w:p w14:paraId="5C088920" w14:textId="77777777" w:rsidR="000B701B" w:rsidRDefault="000B701B" w:rsidP="000B701B">
      <w:pPr>
        <w:spacing w:line="360" w:lineRule="auto"/>
        <w:rPr>
          <w:rFonts w:ascii="Arial" w:hAnsi="Arial" w:cs="Arial"/>
          <w:b/>
          <w:sz w:val="24"/>
          <w:szCs w:val="24"/>
        </w:rPr>
      </w:pPr>
      <w:r>
        <w:rPr>
          <w:rFonts w:ascii="Arial" w:hAnsi="Arial" w:cs="Arial"/>
          <w:b/>
          <w:sz w:val="24"/>
          <w:szCs w:val="24"/>
        </w:rPr>
        <w:t>BENADETTE VAN DER BERG N.O</w:t>
      </w:r>
    </w:p>
    <w:p w14:paraId="4E8187D6" w14:textId="77777777" w:rsidR="000B701B" w:rsidRDefault="000B701B" w:rsidP="000B701B">
      <w:pPr>
        <w:spacing w:line="360" w:lineRule="auto"/>
        <w:rPr>
          <w:rFonts w:ascii="Arial" w:hAnsi="Arial" w:cs="Arial"/>
          <w:b/>
          <w:sz w:val="24"/>
          <w:szCs w:val="24"/>
        </w:rPr>
      </w:pPr>
      <w:r>
        <w:rPr>
          <w:rFonts w:ascii="Arial" w:hAnsi="Arial" w:cs="Arial"/>
          <w:b/>
          <w:sz w:val="24"/>
          <w:szCs w:val="24"/>
        </w:rPr>
        <w:lastRenderedPageBreak/>
        <w:t>WEALTH ASSOCIATES FIDUCIARY SERVICES (PTY) LTD N.O</w:t>
      </w:r>
    </w:p>
    <w:p w14:paraId="5A450D35" w14:textId="5BE1D79C" w:rsidR="000B701B" w:rsidRDefault="000B701B" w:rsidP="00CF5F78">
      <w:pPr>
        <w:spacing w:line="360" w:lineRule="auto"/>
        <w:rPr>
          <w:rFonts w:ascii="Arial" w:hAnsi="Arial" w:cs="Arial"/>
          <w:sz w:val="24"/>
          <w:szCs w:val="24"/>
        </w:rPr>
      </w:pPr>
      <w:r>
        <w:rPr>
          <w:rFonts w:ascii="Arial" w:hAnsi="Arial" w:cs="Arial"/>
          <w:sz w:val="24"/>
          <w:szCs w:val="24"/>
        </w:rPr>
        <w:t>(Registration number: 2017/152514/07)</w:t>
      </w:r>
      <w:r>
        <w:rPr>
          <w:rFonts w:ascii="Arial" w:hAnsi="Arial" w:cs="Arial"/>
          <w:sz w:val="24"/>
          <w:szCs w:val="24"/>
        </w:rPr>
        <w:tab/>
      </w:r>
      <w:r>
        <w:rPr>
          <w:rFonts w:ascii="Arial" w:hAnsi="Arial" w:cs="Arial"/>
          <w:sz w:val="24"/>
          <w:szCs w:val="24"/>
        </w:rPr>
        <w:tab/>
      </w:r>
      <w:r>
        <w:rPr>
          <w:rFonts w:ascii="Arial" w:hAnsi="Arial" w:cs="Arial"/>
          <w:sz w:val="24"/>
          <w:szCs w:val="24"/>
        </w:rPr>
        <w:tab/>
      </w:r>
      <w:r w:rsidRPr="00E50503">
        <w:rPr>
          <w:rFonts w:ascii="Arial" w:hAnsi="Arial" w:cs="Arial"/>
          <w:b/>
          <w:sz w:val="24"/>
          <w:szCs w:val="24"/>
        </w:rPr>
        <w:t xml:space="preserve">     </w:t>
      </w:r>
      <w:r w:rsidR="00CF5F78">
        <w:rPr>
          <w:rFonts w:ascii="Arial" w:hAnsi="Arial" w:cs="Arial"/>
          <w:sz w:val="24"/>
          <w:szCs w:val="24"/>
        </w:rPr>
        <w:tab/>
        <w:t xml:space="preserve">     Second </w:t>
      </w:r>
      <w:r>
        <w:rPr>
          <w:rFonts w:ascii="Arial" w:hAnsi="Arial" w:cs="Arial"/>
          <w:sz w:val="24"/>
          <w:szCs w:val="24"/>
        </w:rPr>
        <w:t>Respondent</w:t>
      </w:r>
    </w:p>
    <w:p w14:paraId="26189CBF" w14:textId="648CC128" w:rsidR="000B701B" w:rsidRDefault="000B701B" w:rsidP="000B701B">
      <w:pPr>
        <w:spacing w:line="360" w:lineRule="auto"/>
        <w:rPr>
          <w:rFonts w:ascii="Arial" w:hAnsi="Arial" w:cs="Arial"/>
          <w:sz w:val="24"/>
          <w:szCs w:val="24"/>
        </w:rPr>
      </w:pPr>
      <w:r>
        <w:rPr>
          <w:rFonts w:ascii="Arial" w:hAnsi="Arial" w:cs="Arial"/>
          <w:sz w:val="24"/>
          <w:szCs w:val="24"/>
        </w:rPr>
        <w:t>(In their capacities as Trustees of Phiberg Family Trust</w:t>
      </w:r>
    </w:p>
    <w:p w14:paraId="194213D8" w14:textId="5343F6E2" w:rsidR="000B701B" w:rsidRDefault="000B701B" w:rsidP="000B701B">
      <w:pPr>
        <w:spacing w:after="0" w:line="360" w:lineRule="auto"/>
        <w:rPr>
          <w:rFonts w:ascii="Arial" w:hAnsi="Arial" w:cs="Arial"/>
          <w:sz w:val="24"/>
          <w:szCs w:val="24"/>
        </w:rPr>
      </w:pPr>
      <w:r>
        <w:rPr>
          <w:rFonts w:ascii="Arial" w:hAnsi="Arial" w:cs="Arial"/>
          <w:sz w:val="24"/>
          <w:szCs w:val="24"/>
        </w:rPr>
        <w:t>with Trust ID: IT1194/2006)</w:t>
      </w:r>
    </w:p>
    <w:p w14:paraId="71632034" w14:textId="77777777" w:rsidR="000B701B" w:rsidRPr="00E50503" w:rsidRDefault="000B701B" w:rsidP="000B701B">
      <w:pPr>
        <w:spacing w:after="0" w:line="360" w:lineRule="auto"/>
        <w:rPr>
          <w:rFonts w:ascii="Arial" w:hAnsi="Arial" w:cs="Arial"/>
          <w:b/>
          <w:sz w:val="24"/>
          <w:szCs w:val="24"/>
        </w:rPr>
      </w:pPr>
    </w:p>
    <w:p w14:paraId="5106D368" w14:textId="519A62ED" w:rsidR="0014277B" w:rsidRDefault="000B701B" w:rsidP="00CF5F78">
      <w:pPr>
        <w:spacing w:after="0" w:line="360" w:lineRule="auto"/>
        <w:rPr>
          <w:rFonts w:ascii="Arial" w:hAnsi="Arial" w:cs="Arial"/>
          <w:sz w:val="24"/>
          <w:szCs w:val="24"/>
        </w:rPr>
      </w:pPr>
      <w:r>
        <w:rPr>
          <w:rFonts w:ascii="Arial" w:hAnsi="Arial" w:cs="Arial"/>
          <w:b/>
          <w:sz w:val="24"/>
          <w:szCs w:val="24"/>
        </w:rPr>
        <w:t>SEDPROP DEVELOPMENTS (PTY) LTD</w:t>
      </w:r>
      <w:r w:rsidR="00F449F5" w:rsidRPr="00E50503">
        <w:rPr>
          <w:rFonts w:ascii="Arial" w:hAnsi="Arial" w:cs="Arial"/>
          <w:b/>
          <w:sz w:val="24"/>
          <w:szCs w:val="24"/>
        </w:rPr>
        <w:tab/>
      </w:r>
      <w:r w:rsidR="00F449F5" w:rsidRPr="00E50503">
        <w:rPr>
          <w:rFonts w:ascii="Arial" w:hAnsi="Arial" w:cs="Arial"/>
          <w:b/>
          <w:sz w:val="24"/>
          <w:szCs w:val="24"/>
        </w:rPr>
        <w:tab/>
        <w:t xml:space="preserve">     </w:t>
      </w:r>
      <w:r w:rsidR="00CF5F78">
        <w:rPr>
          <w:rFonts w:ascii="Arial" w:hAnsi="Arial" w:cs="Arial"/>
          <w:sz w:val="24"/>
          <w:szCs w:val="24"/>
        </w:rPr>
        <w:tab/>
        <w:t xml:space="preserve">        Third </w:t>
      </w:r>
      <w:r w:rsidR="00F449F5" w:rsidRPr="00F449F5">
        <w:rPr>
          <w:rFonts w:ascii="Arial" w:hAnsi="Arial" w:cs="Arial"/>
          <w:sz w:val="24"/>
          <w:szCs w:val="24"/>
        </w:rPr>
        <w:t>Respondent</w:t>
      </w:r>
    </w:p>
    <w:p w14:paraId="7045EB27" w14:textId="464F19AA" w:rsidR="000B701B" w:rsidRPr="00BB58C5" w:rsidRDefault="000B701B" w:rsidP="00F449F5">
      <w:pPr>
        <w:spacing w:line="360" w:lineRule="auto"/>
        <w:rPr>
          <w:rFonts w:ascii="Arial" w:hAnsi="Arial" w:cs="Arial"/>
          <w:sz w:val="24"/>
          <w:szCs w:val="24"/>
        </w:rPr>
      </w:pPr>
      <w:r>
        <w:rPr>
          <w:rFonts w:ascii="Arial" w:hAnsi="Arial" w:cs="Arial"/>
          <w:sz w:val="24"/>
          <w:szCs w:val="24"/>
        </w:rPr>
        <w:t>(Registration number: 2012/104272/07)</w:t>
      </w:r>
    </w:p>
    <w:p w14:paraId="0DE9187F" w14:textId="77777777" w:rsidR="00A0334D" w:rsidRPr="00BB58C5" w:rsidRDefault="004F7657" w:rsidP="004F7657">
      <w:pPr>
        <w:pBdr>
          <w:bottom w:val="single" w:sz="12" w:space="1" w:color="auto"/>
        </w:pBdr>
        <w:spacing w:after="0" w:line="240" w:lineRule="auto"/>
        <w:rPr>
          <w:rFonts w:ascii="Arial" w:hAnsi="Arial" w:cs="Arial"/>
          <w:b/>
          <w:sz w:val="24"/>
          <w:szCs w:val="24"/>
        </w:rPr>
      </w:pPr>
      <w:r w:rsidRPr="00BB58C5">
        <w:rPr>
          <w:rFonts w:ascii="Arial" w:hAnsi="Arial" w:cs="Arial"/>
          <w:sz w:val="24"/>
          <w:szCs w:val="24"/>
        </w:rPr>
        <w:tab/>
      </w:r>
      <w:r w:rsidR="00A0334D" w:rsidRPr="00BB58C5">
        <w:rPr>
          <w:rFonts w:ascii="Arial" w:hAnsi="Arial" w:cs="Arial"/>
          <w:b/>
          <w:sz w:val="24"/>
          <w:szCs w:val="24"/>
        </w:rPr>
        <w:tab/>
      </w:r>
      <w:r w:rsidR="00A0334D" w:rsidRPr="00BB58C5">
        <w:rPr>
          <w:rFonts w:ascii="Arial" w:hAnsi="Arial" w:cs="Arial"/>
          <w:b/>
          <w:sz w:val="24"/>
          <w:szCs w:val="24"/>
        </w:rPr>
        <w:tab/>
      </w:r>
    </w:p>
    <w:p w14:paraId="425D8033" w14:textId="77777777" w:rsidR="00A0334D" w:rsidRPr="00BB58C5" w:rsidRDefault="00A0334D" w:rsidP="00A0334D">
      <w:pPr>
        <w:spacing w:after="0" w:line="240" w:lineRule="auto"/>
        <w:contextualSpacing/>
        <w:jc w:val="both"/>
        <w:rPr>
          <w:rFonts w:ascii="Arial" w:hAnsi="Arial" w:cs="Arial"/>
          <w:b/>
          <w:sz w:val="24"/>
          <w:szCs w:val="24"/>
          <w:u w:val="single"/>
        </w:rPr>
      </w:pPr>
    </w:p>
    <w:p w14:paraId="180C09FC" w14:textId="636DB25E" w:rsidR="00A0334D" w:rsidRPr="00294A8A" w:rsidRDefault="00A0334D" w:rsidP="00A0334D">
      <w:pPr>
        <w:spacing w:after="0" w:line="240" w:lineRule="auto"/>
        <w:contextualSpacing/>
        <w:jc w:val="both"/>
        <w:rPr>
          <w:rFonts w:ascii="Arial" w:hAnsi="Arial" w:cs="Arial"/>
          <w:sz w:val="24"/>
          <w:szCs w:val="24"/>
        </w:rPr>
      </w:pPr>
      <w:r w:rsidRPr="00BB58C5">
        <w:rPr>
          <w:rFonts w:ascii="Arial" w:hAnsi="Arial" w:cs="Arial"/>
          <w:b/>
          <w:sz w:val="24"/>
          <w:szCs w:val="24"/>
          <w:u w:val="single"/>
        </w:rPr>
        <w:t>HEARD ON:</w:t>
      </w:r>
      <w:r w:rsidR="00294A8A">
        <w:rPr>
          <w:rFonts w:ascii="Arial" w:hAnsi="Arial" w:cs="Arial"/>
          <w:b/>
          <w:sz w:val="24"/>
          <w:szCs w:val="24"/>
        </w:rPr>
        <w:tab/>
      </w:r>
      <w:r w:rsidR="00294A8A">
        <w:rPr>
          <w:rFonts w:ascii="Arial" w:hAnsi="Arial" w:cs="Arial"/>
          <w:b/>
          <w:sz w:val="24"/>
          <w:szCs w:val="24"/>
        </w:rPr>
        <w:tab/>
      </w:r>
      <w:r w:rsidR="00294A8A">
        <w:rPr>
          <w:rFonts w:ascii="Arial" w:hAnsi="Arial" w:cs="Arial"/>
          <w:b/>
          <w:sz w:val="24"/>
          <w:szCs w:val="24"/>
        </w:rPr>
        <w:tab/>
      </w:r>
      <w:r w:rsidR="000B701B">
        <w:rPr>
          <w:rFonts w:ascii="Arial" w:hAnsi="Arial" w:cs="Arial"/>
          <w:sz w:val="24"/>
          <w:szCs w:val="24"/>
        </w:rPr>
        <w:t>10</w:t>
      </w:r>
      <w:r w:rsidR="00F449F5">
        <w:rPr>
          <w:rFonts w:ascii="Arial" w:hAnsi="Arial" w:cs="Arial"/>
          <w:sz w:val="24"/>
          <w:szCs w:val="24"/>
        </w:rPr>
        <w:t xml:space="preserve"> NOVEMBER</w:t>
      </w:r>
      <w:r w:rsidR="00294A8A">
        <w:rPr>
          <w:rFonts w:ascii="Arial" w:hAnsi="Arial" w:cs="Arial"/>
          <w:sz w:val="24"/>
          <w:szCs w:val="24"/>
        </w:rPr>
        <w:t xml:space="preserve"> 2022</w:t>
      </w:r>
    </w:p>
    <w:p w14:paraId="74CEC7BA" w14:textId="77777777" w:rsidR="00A0334D" w:rsidRPr="00BB58C5" w:rsidRDefault="00A0334D" w:rsidP="00A0334D">
      <w:pPr>
        <w:pBdr>
          <w:bottom w:val="single" w:sz="6" w:space="1" w:color="auto"/>
        </w:pBdr>
        <w:spacing w:after="0" w:line="240" w:lineRule="auto"/>
        <w:contextualSpacing/>
        <w:jc w:val="both"/>
        <w:rPr>
          <w:rFonts w:ascii="Arial" w:hAnsi="Arial" w:cs="Arial"/>
          <w:b/>
          <w:sz w:val="24"/>
          <w:szCs w:val="24"/>
        </w:rPr>
      </w:pPr>
    </w:p>
    <w:p w14:paraId="3BD132DE" w14:textId="77777777" w:rsidR="00A0334D" w:rsidRPr="00BB58C5" w:rsidRDefault="00A0334D" w:rsidP="00A0334D">
      <w:pPr>
        <w:spacing w:after="0" w:line="240" w:lineRule="auto"/>
        <w:contextualSpacing/>
        <w:jc w:val="both"/>
        <w:rPr>
          <w:rFonts w:ascii="Arial" w:hAnsi="Arial" w:cs="Arial"/>
          <w:b/>
          <w:sz w:val="24"/>
          <w:szCs w:val="24"/>
        </w:rPr>
      </w:pPr>
    </w:p>
    <w:p w14:paraId="639931B5" w14:textId="0B92585C" w:rsidR="0014277B" w:rsidRPr="00BB58C5" w:rsidRDefault="00294A8A" w:rsidP="0014277B">
      <w:pPr>
        <w:rPr>
          <w:rFonts w:ascii="Arial" w:hAnsi="Arial" w:cs="Arial"/>
          <w:sz w:val="24"/>
          <w:szCs w:val="24"/>
        </w:rPr>
      </w:pPr>
      <w:r>
        <w:rPr>
          <w:rFonts w:ascii="Arial" w:hAnsi="Arial" w:cs="Arial"/>
          <w:b/>
          <w:sz w:val="24"/>
          <w:szCs w:val="24"/>
          <w:u w:val="single"/>
        </w:rPr>
        <w:t>CORAM</w:t>
      </w:r>
      <w:r w:rsidR="00A0334D" w:rsidRPr="00BB58C5">
        <w:rPr>
          <w:rFonts w:ascii="Arial" w:hAnsi="Arial" w:cs="Arial"/>
          <w:b/>
          <w:sz w:val="24"/>
          <w:szCs w:val="24"/>
          <w:u w:val="single"/>
        </w:rPr>
        <w:t>:</w:t>
      </w:r>
      <w:r w:rsidR="00A0334D" w:rsidRPr="00BB58C5">
        <w:rPr>
          <w:rFonts w:ascii="Arial" w:hAnsi="Arial" w:cs="Arial"/>
          <w:b/>
          <w:sz w:val="24"/>
          <w:szCs w:val="24"/>
        </w:rPr>
        <w:tab/>
      </w:r>
      <w:r w:rsidR="00A0334D" w:rsidRPr="00BB58C5">
        <w:rPr>
          <w:rFonts w:ascii="Arial" w:hAnsi="Arial" w:cs="Arial"/>
          <w:b/>
          <w:sz w:val="24"/>
          <w:szCs w:val="24"/>
        </w:rPr>
        <w:tab/>
      </w:r>
      <w:r>
        <w:rPr>
          <w:rFonts w:ascii="Arial" w:hAnsi="Arial" w:cs="Arial"/>
          <w:b/>
          <w:sz w:val="24"/>
          <w:szCs w:val="24"/>
        </w:rPr>
        <w:tab/>
      </w:r>
      <w:r w:rsidR="00C516EA">
        <w:rPr>
          <w:rFonts w:ascii="Arial" w:hAnsi="Arial" w:cs="Arial"/>
          <w:sz w:val="24"/>
          <w:szCs w:val="24"/>
        </w:rPr>
        <w:t>MATHEBULA,</w:t>
      </w:r>
      <w:r w:rsidR="0014277B" w:rsidRPr="00BB58C5">
        <w:rPr>
          <w:rFonts w:ascii="Arial" w:hAnsi="Arial" w:cs="Arial"/>
          <w:sz w:val="24"/>
          <w:szCs w:val="24"/>
        </w:rPr>
        <w:t xml:space="preserve"> J</w:t>
      </w:r>
    </w:p>
    <w:p w14:paraId="0714DC67" w14:textId="77777777" w:rsidR="00A0334D" w:rsidRPr="00BB58C5" w:rsidRDefault="00A0334D" w:rsidP="00A0334D">
      <w:pPr>
        <w:pBdr>
          <w:bottom w:val="single" w:sz="6" w:space="1" w:color="auto"/>
        </w:pBdr>
        <w:spacing w:after="0" w:line="240" w:lineRule="auto"/>
        <w:contextualSpacing/>
        <w:jc w:val="both"/>
        <w:rPr>
          <w:rFonts w:ascii="Arial" w:hAnsi="Arial" w:cs="Arial"/>
          <w:b/>
          <w:sz w:val="24"/>
          <w:szCs w:val="24"/>
        </w:rPr>
      </w:pPr>
    </w:p>
    <w:p w14:paraId="46580142" w14:textId="77777777" w:rsidR="00A0334D" w:rsidRPr="00BB58C5" w:rsidRDefault="00A0334D" w:rsidP="00A0334D">
      <w:pPr>
        <w:spacing w:after="0" w:line="240" w:lineRule="auto"/>
        <w:contextualSpacing/>
        <w:jc w:val="both"/>
        <w:rPr>
          <w:rFonts w:ascii="Arial" w:hAnsi="Arial" w:cs="Arial"/>
          <w:b/>
          <w:sz w:val="24"/>
          <w:szCs w:val="24"/>
        </w:rPr>
      </w:pPr>
    </w:p>
    <w:p w14:paraId="39351067" w14:textId="0EAB79C6" w:rsidR="007954EA" w:rsidRPr="00BB58C5" w:rsidRDefault="00A0334D" w:rsidP="00294A8A">
      <w:pPr>
        <w:spacing w:after="0" w:line="360" w:lineRule="auto"/>
        <w:ind w:left="2880" w:hanging="2880"/>
        <w:jc w:val="both"/>
        <w:rPr>
          <w:rFonts w:ascii="Arial" w:hAnsi="Arial" w:cs="Arial"/>
          <w:sz w:val="24"/>
          <w:szCs w:val="24"/>
        </w:rPr>
      </w:pPr>
      <w:r w:rsidRPr="00BB58C5">
        <w:rPr>
          <w:rFonts w:ascii="Arial" w:hAnsi="Arial" w:cs="Arial"/>
          <w:b/>
          <w:sz w:val="24"/>
          <w:szCs w:val="24"/>
          <w:u w:val="single"/>
        </w:rPr>
        <w:t>DELIVERED ON:</w:t>
      </w:r>
      <w:r w:rsidRPr="00BB58C5">
        <w:rPr>
          <w:rFonts w:ascii="Arial" w:hAnsi="Arial" w:cs="Arial"/>
          <w:b/>
          <w:sz w:val="24"/>
          <w:szCs w:val="24"/>
        </w:rPr>
        <w:tab/>
      </w:r>
      <w:r w:rsidR="007954EA" w:rsidRPr="00BB58C5">
        <w:rPr>
          <w:rFonts w:ascii="Arial" w:hAnsi="Arial" w:cs="Arial"/>
          <w:sz w:val="24"/>
          <w:szCs w:val="24"/>
          <w:shd w:val="clear" w:color="auto" w:fill="FFFFFF"/>
        </w:rPr>
        <w:t>This judgment was handed down electronically by circulation to the parties' representatives by email and by release to SAFLII</w:t>
      </w:r>
      <w:r w:rsidR="00BF7EBA">
        <w:rPr>
          <w:rFonts w:ascii="Arial" w:hAnsi="Arial" w:cs="Arial"/>
          <w:sz w:val="24"/>
          <w:szCs w:val="24"/>
          <w:shd w:val="clear" w:color="auto" w:fill="FFFFFF"/>
        </w:rPr>
        <w:t xml:space="preserve"> on 21</w:t>
      </w:r>
      <w:r w:rsidR="000B2A71">
        <w:rPr>
          <w:rFonts w:ascii="Arial" w:hAnsi="Arial" w:cs="Arial"/>
          <w:sz w:val="24"/>
          <w:szCs w:val="24"/>
          <w:shd w:val="clear" w:color="auto" w:fill="FFFFFF"/>
        </w:rPr>
        <w:t xml:space="preserve"> FEBRUARY 2023</w:t>
      </w:r>
      <w:r w:rsidR="007954EA" w:rsidRPr="00BB58C5">
        <w:rPr>
          <w:rFonts w:ascii="Arial" w:hAnsi="Arial" w:cs="Arial"/>
          <w:sz w:val="24"/>
          <w:szCs w:val="24"/>
          <w:shd w:val="clear" w:color="auto" w:fill="FFFFFF"/>
        </w:rPr>
        <w:t>. The date and tim</w:t>
      </w:r>
      <w:r w:rsidR="000B2A71">
        <w:rPr>
          <w:rFonts w:ascii="Arial" w:hAnsi="Arial" w:cs="Arial"/>
          <w:sz w:val="24"/>
          <w:szCs w:val="24"/>
          <w:shd w:val="clear" w:color="auto" w:fill="FFFFFF"/>
        </w:rPr>
        <w:t xml:space="preserve">e </w:t>
      </w:r>
      <w:r w:rsidR="000B701B">
        <w:rPr>
          <w:rFonts w:ascii="Arial" w:hAnsi="Arial" w:cs="Arial"/>
          <w:sz w:val="24"/>
          <w:szCs w:val="24"/>
          <w:shd w:val="clear" w:color="auto" w:fill="FFFFFF"/>
        </w:rPr>
        <w:t>f</w:t>
      </w:r>
      <w:r w:rsidR="00BF7EBA">
        <w:rPr>
          <w:rFonts w:ascii="Arial" w:hAnsi="Arial" w:cs="Arial"/>
          <w:sz w:val="24"/>
          <w:szCs w:val="24"/>
          <w:shd w:val="clear" w:color="auto" w:fill="FFFFFF"/>
        </w:rPr>
        <w:t xml:space="preserve">or hand-down is deemed to be 21 </w:t>
      </w:r>
      <w:r w:rsidR="000B2A71">
        <w:rPr>
          <w:rFonts w:ascii="Arial" w:hAnsi="Arial" w:cs="Arial"/>
          <w:sz w:val="24"/>
          <w:szCs w:val="24"/>
          <w:shd w:val="clear" w:color="auto" w:fill="FFFFFF"/>
        </w:rPr>
        <w:t>FEBRUARY 2023</w:t>
      </w:r>
      <w:r w:rsidR="00A31447">
        <w:rPr>
          <w:rFonts w:ascii="Arial" w:hAnsi="Arial" w:cs="Arial"/>
          <w:sz w:val="24"/>
          <w:szCs w:val="24"/>
          <w:shd w:val="clear" w:color="auto" w:fill="FFFFFF"/>
        </w:rPr>
        <w:t xml:space="preserve"> at</w:t>
      </w:r>
      <w:r w:rsidR="00BF7EBA">
        <w:rPr>
          <w:rFonts w:ascii="Arial" w:hAnsi="Arial" w:cs="Arial"/>
          <w:sz w:val="24"/>
          <w:szCs w:val="24"/>
          <w:shd w:val="clear" w:color="auto" w:fill="FFFFFF"/>
        </w:rPr>
        <w:t xml:space="preserve"> 15H00</w:t>
      </w:r>
      <w:r w:rsidR="00976131" w:rsidRPr="00BB58C5">
        <w:rPr>
          <w:rFonts w:ascii="Arial" w:hAnsi="Arial" w:cs="Arial"/>
          <w:sz w:val="24"/>
          <w:szCs w:val="24"/>
          <w:shd w:val="clear" w:color="auto" w:fill="FFFFFF"/>
        </w:rPr>
        <w:t>.</w:t>
      </w:r>
    </w:p>
    <w:p w14:paraId="2C06692C" w14:textId="77777777" w:rsidR="00A0334D" w:rsidRPr="00BB58C5" w:rsidRDefault="00A0334D" w:rsidP="00294A8A">
      <w:pPr>
        <w:pBdr>
          <w:bottom w:val="single" w:sz="12" w:space="1" w:color="auto"/>
        </w:pBdr>
        <w:spacing w:after="0" w:line="360" w:lineRule="auto"/>
        <w:jc w:val="both"/>
        <w:rPr>
          <w:rFonts w:ascii="Arial" w:hAnsi="Arial" w:cs="Arial"/>
          <w:sz w:val="28"/>
          <w:szCs w:val="28"/>
        </w:rPr>
      </w:pPr>
    </w:p>
    <w:p w14:paraId="5B3C3BFD" w14:textId="77777777" w:rsidR="00503F1E" w:rsidRDefault="00503F1E" w:rsidP="003A5FF0">
      <w:pPr>
        <w:spacing w:after="0" w:line="360" w:lineRule="auto"/>
        <w:ind w:left="720" w:hanging="720"/>
        <w:jc w:val="both"/>
        <w:rPr>
          <w:rFonts w:ascii="Arial" w:hAnsi="Arial" w:cs="Arial"/>
          <w:sz w:val="24"/>
          <w:szCs w:val="24"/>
        </w:rPr>
      </w:pPr>
    </w:p>
    <w:p w14:paraId="183A6ED0" w14:textId="3FBD3C09" w:rsidR="00445C91" w:rsidRPr="00BF7EBA" w:rsidRDefault="005D5F51" w:rsidP="00CF5F78">
      <w:pPr>
        <w:spacing w:after="0" w:line="360" w:lineRule="auto"/>
        <w:ind w:left="720" w:hanging="720"/>
        <w:jc w:val="both"/>
        <w:rPr>
          <w:rFonts w:ascii="Arial" w:hAnsi="Arial" w:cs="Arial"/>
          <w:sz w:val="24"/>
          <w:szCs w:val="24"/>
        </w:rPr>
      </w:pPr>
      <w:r w:rsidRPr="00BF7EBA">
        <w:rPr>
          <w:rFonts w:ascii="Arial" w:hAnsi="Arial" w:cs="Arial"/>
          <w:sz w:val="24"/>
          <w:szCs w:val="24"/>
        </w:rPr>
        <w:t>[1]</w:t>
      </w:r>
      <w:r w:rsidRPr="00BF7EBA">
        <w:rPr>
          <w:rFonts w:ascii="Arial" w:hAnsi="Arial" w:cs="Arial"/>
          <w:sz w:val="24"/>
          <w:szCs w:val="24"/>
        </w:rPr>
        <w:tab/>
      </w:r>
      <w:r w:rsidR="00CF5F78" w:rsidRPr="00BF7EBA">
        <w:rPr>
          <w:rFonts w:ascii="Arial" w:hAnsi="Arial" w:cs="Arial"/>
          <w:sz w:val="24"/>
          <w:szCs w:val="24"/>
        </w:rPr>
        <w:t>This matter was initiated by</w:t>
      </w:r>
      <w:r w:rsidR="00511504" w:rsidRPr="00BF7EBA">
        <w:rPr>
          <w:rFonts w:ascii="Arial" w:hAnsi="Arial" w:cs="Arial"/>
          <w:sz w:val="24"/>
          <w:szCs w:val="24"/>
        </w:rPr>
        <w:t xml:space="preserve"> way of </w:t>
      </w:r>
      <w:r w:rsidR="00511504" w:rsidRPr="00BF7EBA">
        <w:rPr>
          <w:rFonts w:ascii="Arial" w:hAnsi="Arial" w:cs="Arial"/>
          <w:i/>
          <w:sz w:val="24"/>
          <w:szCs w:val="24"/>
        </w:rPr>
        <w:t xml:space="preserve">ex parte </w:t>
      </w:r>
      <w:r w:rsidR="00511504" w:rsidRPr="00BF7EBA">
        <w:rPr>
          <w:rFonts w:ascii="Arial" w:hAnsi="Arial" w:cs="Arial"/>
          <w:sz w:val="24"/>
          <w:szCs w:val="24"/>
        </w:rPr>
        <w:t>application to obtain a provisional restraining order. Before such an order could be granted</w:t>
      </w:r>
      <w:r w:rsidR="00BF7EBA">
        <w:rPr>
          <w:rFonts w:ascii="Arial" w:hAnsi="Arial" w:cs="Arial"/>
          <w:sz w:val="24"/>
          <w:szCs w:val="24"/>
        </w:rPr>
        <w:t xml:space="preserve"> by the court</w:t>
      </w:r>
      <w:r w:rsidR="00511504" w:rsidRPr="00BF7EBA">
        <w:rPr>
          <w:rFonts w:ascii="Arial" w:hAnsi="Arial" w:cs="Arial"/>
          <w:sz w:val="24"/>
          <w:szCs w:val="24"/>
        </w:rPr>
        <w:t xml:space="preserve">, the respondents became aware of the application. </w:t>
      </w:r>
      <w:r w:rsidR="00445C91" w:rsidRPr="00BF7EBA">
        <w:rPr>
          <w:rFonts w:ascii="Arial" w:hAnsi="Arial" w:cs="Arial"/>
          <w:sz w:val="24"/>
          <w:szCs w:val="24"/>
        </w:rPr>
        <w:t>The parties negotiated a postponement and</w:t>
      </w:r>
      <w:r w:rsidR="00D44374">
        <w:rPr>
          <w:rFonts w:ascii="Arial" w:hAnsi="Arial" w:cs="Arial"/>
          <w:sz w:val="24"/>
          <w:szCs w:val="24"/>
        </w:rPr>
        <w:t xml:space="preserve"> it culminated in the matter proceeding</w:t>
      </w:r>
      <w:r w:rsidR="00445C91" w:rsidRPr="00BF7EBA">
        <w:rPr>
          <w:rFonts w:ascii="Arial" w:hAnsi="Arial" w:cs="Arial"/>
          <w:sz w:val="24"/>
          <w:szCs w:val="24"/>
        </w:rPr>
        <w:t xml:space="preserve"> on opposed basis. </w:t>
      </w:r>
      <w:r w:rsidR="00CF5F78" w:rsidRPr="00BF7EBA">
        <w:rPr>
          <w:rFonts w:ascii="Arial" w:hAnsi="Arial" w:cs="Arial"/>
          <w:sz w:val="24"/>
          <w:szCs w:val="24"/>
        </w:rPr>
        <w:t>These turn of events did away with the proceedings as envisaged and now t</w:t>
      </w:r>
      <w:r w:rsidR="00445C91" w:rsidRPr="00BF7EBA">
        <w:rPr>
          <w:rFonts w:ascii="Arial" w:hAnsi="Arial" w:cs="Arial"/>
          <w:sz w:val="24"/>
          <w:szCs w:val="24"/>
        </w:rPr>
        <w:t>he applicant seeks a final restraint order.</w:t>
      </w:r>
    </w:p>
    <w:p w14:paraId="7DA93DFD" w14:textId="77777777" w:rsidR="00445C91" w:rsidRDefault="00445C91" w:rsidP="00445C91">
      <w:pPr>
        <w:spacing w:after="0" w:line="360" w:lineRule="auto"/>
        <w:ind w:left="720" w:hanging="720"/>
        <w:jc w:val="both"/>
        <w:rPr>
          <w:rFonts w:ascii="Arial" w:hAnsi="Arial" w:cs="Arial"/>
          <w:sz w:val="24"/>
          <w:szCs w:val="24"/>
        </w:rPr>
      </w:pPr>
    </w:p>
    <w:p w14:paraId="17737D51" w14:textId="5C5E62EC" w:rsidR="00291333" w:rsidRPr="00D44374" w:rsidRDefault="00445C91" w:rsidP="00CF5F78">
      <w:pPr>
        <w:spacing w:after="0" w:line="360" w:lineRule="auto"/>
        <w:ind w:left="720" w:hanging="720"/>
        <w:jc w:val="both"/>
        <w:rPr>
          <w:rFonts w:ascii="Arial" w:hAnsi="Arial" w:cs="Arial"/>
          <w:sz w:val="24"/>
          <w:szCs w:val="24"/>
        </w:rPr>
      </w:pPr>
      <w:r w:rsidRPr="00D44374">
        <w:rPr>
          <w:rFonts w:ascii="Arial" w:hAnsi="Arial" w:cs="Arial"/>
          <w:sz w:val="24"/>
          <w:szCs w:val="24"/>
        </w:rPr>
        <w:t xml:space="preserve"> </w:t>
      </w:r>
      <w:r w:rsidR="003A5FF0" w:rsidRPr="00D44374">
        <w:rPr>
          <w:rFonts w:ascii="Arial" w:hAnsi="Arial" w:cs="Arial"/>
          <w:sz w:val="24"/>
          <w:szCs w:val="24"/>
        </w:rPr>
        <w:t>[2]</w:t>
      </w:r>
      <w:r w:rsidR="003A5FF0" w:rsidRPr="00D44374">
        <w:rPr>
          <w:rFonts w:ascii="Arial" w:hAnsi="Arial" w:cs="Arial"/>
          <w:sz w:val="24"/>
          <w:szCs w:val="24"/>
        </w:rPr>
        <w:tab/>
      </w:r>
      <w:r w:rsidRPr="00D44374">
        <w:rPr>
          <w:rFonts w:ascii="Arial" w:hAnsi="Arial" w:cs="Arial"/>
          <w:sz w:val="24"/>
          <w:szCs w:val="24"/>
        </w:rPr>
        <w:t>The applicant is a statutory body established by law bestowed with the power to institute and conduct criminal proceedings on behalf of the State.</w:t>
      </w:r>
      <w:r w:rsidRPr="00D44374">
        <w:rPr>
          <w:rStyle w:val="FootnoteReference"/>
          <w:rFonts w:ascii="Arial" w:hAnsi="Arial" w:cs="Arial"/>
          <w:sz w:val="24"/>
          <w:szCs w:val="24"/>
        </w:rPr>
        <w:footnoteReference w:id="1"/>
      </w:r>
      <w:r w:rsidR="004F253B" w:rsidRPr="00D44374">
        <w:rPr>
          <w:rFonts w:ascii="Arial" w:hAnsi="Arial" w:cs="Arial"/>
          <w:sz w:val="24"/>
          <w:szCs w:val="24"/>
        </w:rPr>
        <w:t xml:space="preserve"> The first respondent is a legal entity incorporated in terms of the company laws of the Republic. The second and third respondents are</w:t>
      </w:r>
      <w:r w:rsidR="00CF5F78" w:rsidRPr="00D44374">
        <w:rPr>
          <w:rFonts w:ascii="Arial" w:hAnsi="Arial" w:cs="Arial"/>
          <w:sz w:val="24"/>
          <w:szCs w:val="24"/>
        </w:rPr>
        <w:t xml:space="preserve"> not only husband and wife but</w:t>
      </w:r>
      <w:r w:rsidR="004F253B" w:rsidRPr="00D44374">
        <w:rPr>
          <w:rFonts w:ascii="Arial" w:hAnsi="Arial" w:cs="Arial"/>
          <w:sz w:val="24"/>
          <w:szCs w:val="24"/>
        </w:rPr>
        <w:t xml:space="preserve"> </w:t>
      </w:r>
      <w:r w:rsidR="004F253B" w:rsidRPr="00D44374">
        <w:rPr>
          <w:rFonts w:ascii="Arial" w:hAnsi="Arial" w:cs="Arial"/>
          <w:sz w:val="24"/>
          <w:szCs w:val="24"/>
        </w:rPr>
        <w:lastRenderedPageBreak/>
        <w:t>directors of the first respondent. All three (3) respondents are arraigned before the Regional Court, Bloemfontein with a plethora of charges. These are transgressions of the provisions of the Income Tax Act 58 of 1962, Tax Administration Act 28 of 2011, Unemployment Insurance</w:t>
      </w:r>
      <w:r w:rsidR="00D44374">
        <w:rPr>
          <w:rFonts w:ascii="Arial" w:hAnsi="Arial" w:cs="Arial"/>
          <w:sz w:val="24"/>
          <w:szCs w:val="24"/>
        </w:rPr>
        <w:t xml:space="preserve"> Contributions</w:t>
      </w:r>
      <w:r w:rsidR="004F253B" w:rsidRPr="00D44374">
        <w:rPr>
          <w:rFonts w:ascii="Arial" w:hAnsi="Arial" w:cs="Arial"/>
          <w:sz w:val="24"/>
          <w:szCs w:val="24"/>
        </w:rPr>
        <w:t xml:space="preserve"> Act 4 of 2002 and</w:t>
      </w:r>
      <w:r w:rsidR="00D44374">
        <w:rPr>
          <w:rFonts w:ascii="Arial" w:hAnsi="Arial" w:cs="Arial"/>
          <w:sz w:val="24"/>
          <w:szCs w:val="24"/>
        </w:rPr>
        <w:t xml:space="preserve"> Skill Development Act 9 of 1999.</w:t>
      </w:r>
      <w:r w:rsidR="00291333" w:rsidRPr="00D44374">
        <w:rPr>
          <w:rFonts w:ascii="Arial" w:hAnsi="Arial" w:cs="Arial"/>
          <w:sz w:val="24"/>
          <w:szCs w:val="24"/>
        </w:rPr>
        <w:t xml:space="preserve"> </w:t>
      </w:r>
    </w:p>
    <w:p w14:paraId="4A975905" w14:textId="77777777" w:rsidR="00291333" w:rsidRDefault="00291333" w:rsidP="00291333">
      <w:pPr>
        <w:spacing w:after="0" w:line="360" w:lineRule="auto"/>
        <w:ind w:left="720" w:hanging="720"/>
        <w:jc w:val="both"/>
        <w:rPr>
          <w:rFonts w:ascii="Arial" w:hAnsi="Arial" w:cs="Arial"/>
          <w:sz w:val="24"/>
          <w:szCs w:val="24"/>
        </w:rPr>
      </w:pPr>
      <w:r w:rsidRPr="00E50503">
        <w:rPr>
          <w:rFonts w:ascii="Arial" w:hAnsi="Arial" w:cs="Arial"/>
          <w:sz w:val="24"/>
          <w:szCs w:val="24"/>
        </w:rPr>
        <w:t xml:space="preserve"> </w:t>
      </w:r>
    </w:p>
    <w:p w14:paraId="4839E636" w14:textId="241E122E" w:rsidR="00943263" w:rsidRPr="00D44374" w:rsidRDefault="00484001" w:rsidP="00943263">
      <w:pPr>
        <w:spacing w:after="0" w:line="360" w:lineRule="auto"/>
        <w:ind w:left="720" w:hanging="720"/>
        <w:jc w:val="both"/>
        <w:rPr>
          <w:rFonts w:ascii="Arial" w:hAnsi="Arial" w:cs="Arial"/>
          <w:sz w:val="24"/>
          <w:szCs w:val="24"/>
        </w:rPr>
      </w:pPr>
      <w:r w:rsidRPr="00D44374">
        <w:rPr>
          <w:rFonts w:ascii="Arial" w:hAnsi="Arial" w:cs="Arial"/>
          <w:sz w:val="24"/>
          <w:szCs w:val="24"/>
        </w:rPr>
        <w:t>[3</w:t>
      </w:r>
      <w:r w:rsidR="00207024" w:rsidRPr="00D44374">
        <w:rPr>
          <w:rFonts w:ascii="Arial" w:hAnsi="Arial" w:cs="Arial"/>
          <w:sz w:val="24"/>
          <w:szCs w:val="24"/>
        </w:rPr>
        <w:t>]</w:t>
      </w:r>
      <w:r w:rsidR="00207024" w:rsidRPr="00D44374">
        <w:rPr>
          <w:rFonts w:ascii="Arial" w:hAnsi="Arial" w:cs="Arial"/>
          <w:sz w:val="24"/>
          <w:szCs w:val="24"/>
        </w:rPr>
        <w:tab/>
      </w:r>
      <w:r w:rsidR="00291333" w:rsidRPr="00D44374">
        <w:rPr>
          <w:rFonts w:ascii="Arial" w:hAnsi="Arial" w:cs="Arial"/>
          <w:sz w:val="24"/>
          <w:szCs w:val="24"/>
        </w:rPr>
        <w:t xml:space="preserve">The </w:t>
      </w:r>
      <w:r w:rsidR="004F253B" w:rsidRPr="00D44374">
        <w:rPr>
          <w:rFonts w:ascii="Arial" w:hAnsi="Arial" w:cs="Arial"/>
          <w:sz w:val="24"/>
          <w:szCs w:val="24"/>
        </w:rPr>
        <w:t>background of this application can be summarised briefly as follows. The case on behalf of the app</w:t>
      </w:r>
      <w:r w:rsidR="00CF5F78" w:rsidRPr="00D44374">
        <w:rPr>
          <w:rFonts w:ascii="Arial" w:hAnsi="Arial" w:cs="Arial"/>
          <w:sz w:val="24"/>
          <w:szCs w:val="24"/>
        </w:rPr>
        <w:t>licant set out in the founding</w:t>
      </w:r>
      <w:r w:rsidR="004F253B" w:rsidRPr="00D44374">
        <w:rPr>
          <w:rFonts w:ascii="Arial" w:hAnsi="Arial" w:cs="Arial"/>
          <w:sz w:val="24"/>
          <w:szCs w:val="24"/>
        </w:rPr>
        <w:t xml:space="preserve"> affidavit is that the respondents stole and contravened the specified Acts resulting in</w:t>
      </w:r>
      <w:r w:rsidR="00CF5F78" w:rsidRPr="00D44374">
        <w:rPr>
          <w:rFonts w:ascii="Arial" w:hAnsi="Arial" w:cs="Arial"/>
          <w:sz w:val="24"/>
          <w:szCs w:val="24"/>
        </w:rPr>
        <w:t xml:space="preserve"> a</w:t>
      </w:r>
      <w:r w:rsidR="00D44374">
        <w:rPr>
          <w:rFonts w:ascii="Arial" w:hAnsi="Arial" w:cs="Arial"/>
          <w:sz w:val="24"/>
          <w:szCs w:val="24"/>
        </w:rPr>
        <w:t xml:space="preserve"> loss running into millions of R</w:t>
      </w:r>
      <w:r w:rsidR="004F253B" w:rsidRPr="00D44374">
        <w:rPr>
          <w:rFonts w:ascii="Arial" w:hAnsi="Arial" w:cs="Arial"/>
          <w:sz w:val="24"/>
          <w:szCs w:val="24"/>
        </w:rPr>
        <w:t>ands.</w:t>
      </w:r>
      <w:r w:rsidR="00CF5F78" w:rsidRPr="00D44374">
        <w:rPr>
          <w:rFonts w:ascii="Arial" w:hAnsi="Arial" w:cs="Arial"/>
          <w:sz w:val="24"/>
          <w:szCs w:val="24"/>
        </w:rPr>
        <w:t xml:space="preserve"> These monies are allegedly owed to the South</w:t>
      </w:r>
      <w:r w:rsidR="00D44374">
        <w:rPr>
          <w:rFonts w:ascii="Arial" w:hAnsi="Arial" w:cs="Arial"/>
          <w:sz w:val="24"/>
          <w:szCs w:val="24"/>
        </w:rPr>
        <w:t xml:space="preserve"> African Revenue Service (SARS</w:t>
      </w:r>
      <w:r w:rsidR="00CF5F78" w:rsidRPr="00D44374">
        <w:rPr>
          <w:rFonts w:ascii="Arial" w:hAnsi="Arial" w:cs="Arial"/>
          <w:sz w:val="24"/>
          <w:szCs w:val="24"/>
        </w:rPr>
        <w:t>).</w:t>
      </w:r>
      <w:r w:rsidR="004F253B" w:rsidRPr="00D44374">
        <w:rPr>
          <w:rFonts w:ascii="Arial" w:hAnsi="Arial" w:cs="Arial"/>
          <w:sz w:val="24"/>
          <w:szCs w:val="24"/>
        </w:rPr>
        <w:t xml:space="preserve"> The</w:t>
      </w:r>
      <w:r w:rsidR="00CF5F78" w:rsidRPr="00D44374">
        <w:rPr>
          <w:rFonts w:ascii="Arial" w:hAnsi="Arial" w:cs="Arial"/>
          <w:sz w:val="24"/>
          <w:szCs w:val="24"/>
        </w:rPr>
        <w:t xml:space="preserve"> exact</w:t>
      </w:r>
      <w:r w:rsidR="00D44374">
        <w:rPr>
          <w:rFonts w:ascii="Arial" w:hAnsi="Arial" w:cs="Arial"/>
          <w:sz w:val="24"/>
          <w:szCs w:val="24"/>
        </w:rPr>
        <w:t xml:space="preserve"> figure</w:t>
      </w:r>
      <w:r w:rsidR="004F253B" w:rsidRPr="00D44374">
        <w:rPr>
          <w:rFonts w:ascii="Arial" w:hAnsi="Arial" w:cs="Arial"/>
          <w:sz w:val="24"/>
          <w:szCs w:val="24"/>
        </w:rPr>
        <w:t xml:space="preserve"> is some kind of a moving target because of the ever inc</w:t>
      </w:r>
      <w:r w:rsidR="00D44374">
        <w:rPr>
          <w:rFonts w:ascii="Arial" w:hAnsi="Arial" w:cs="Arial"/>
          <w:sz w:val="24"/>
          <w:szCs w:val="24"/>
        </w:rPr>
        <w:t>reasing penalties and interests added to the capital amount.</w:t>
      </w:r>
      <w:r w:rsidR="004F253B" w:rsidRPr="00D44374">
        <w:rPr>
          <w:rFonts w:ascii="Arial" w:hAnsi="Arial" w:cs="Arial"/>
          <w:sz w:val="24"/>
          <w:szCs w:val="24"/>
        </w:rPr>
        <w:t xml:space="preserve"> These offences are alleged to have been committed between February 2017 to February 2020.</w:t>
      </w:r>
    </w:p>
    <w:p w14:paraId="1697647A" w14:textId="77777777" w:rsidR="00943263" w:rsidRDefault="00943263" w:rsidP="00943263">
      <w:pPr>
        <w:spacing w:after="0" w:line="360" w:lineRule="auto"/>
        <w:ind w:left="720" w:hanging="720"/>
        <w:jc w:val="both"/>
        <w:rPr>
          <w:rFonts w:ascii="Arial" w:hAnsi="Arial" w:cs="Arial"/>
          <w:sz w:val="24"/>
          <w:szCs w:val="24"/>
        </w:rPr>
      </w:pPr>
      <w:r w:rsidRPr="00E50503">
        <w:rPr>
          <w:rFonts w:ascii="Arial" w:hAnsi="Arial" w:cs="Arial"/>
          <w:sz w:val="24"/>
          <w:szCs w:val="24"/>
        </w:rPr>
        <w:t xml:space="preserve"> </w:t>
      </w:r>
    </w:p>
    <w:p w14:paraId="4FF83B8C" w14:textId="09670AC1" w:rsidR="00484001" w:rsidRPr="00D44374" w:rsidRDefault="00484001" w:rsidP="00943263">
      <w:pPr>
        <w:spacing w:after="0" w:line="360" w:lineRule="auto"/>
        <w:ind w:left="720" w:hanging="720"/>
        <w:jc w:val="both"/>
        <w:rPr>
          <w:rFonts w:ascii="Arial" w:hAnsi="Arial" w:cs="Arial"/>
          <w:sz w:val="24"/>
          <w:szCs w:val="24"/>
        </w:rPr>
      </w:pPr>
      <w:r w:rsidRPr="00D44374">
        <w:rPr>
          <w:rFonts w:ascii="Arial" w:hAnsi="Arial" w:cs="Arial"/>
          <w:sz w:val="24"/>
          <w:szCs w:val="24"/>
        </w:rPr>
        <w:t>[4]</w:t>
      </w:r>
      <w:r w:rsidRPr="00D44374">
        <w:rPr>
          <w:rFonts w:ascii="Arial" w:hAnsi="Arial" w:cs="Arial"/>
          <w:sz w:val="24"/>
          <w:szCs w:val="24"/>
        </w:rPr>
        <w:tab/>
      </w:r>
      <w:r w:rsidR="004F253B" w:rsidRPr="00D44374">
        <w:rPr>
          <w:rFonts w:ascii="Arial" w:hAnsi="Arial" w:cs="Arial"/>
          <w:sz w:val="24"/>
          <w:szCs w:val="24"/>
        </w:rPr>
        <w:t>In the supporting</w:t>
      </w:r>
      <w:r w:rsidR="002F677D" w:rsidRPr="00D44374">
        <w:rPr>
          <w:rFonts w:ascii="Arial" w:hAnsi="Arial" w:cs="Arial"/>
          <w:sz w:val="24"/>
          <w:szCs w:val="24"/>
        </w:rPr>
        <w:t xml:space="preserve"> affidavit it is alleged that during the aforementioned period, the second and third respondents were directors. Not only that, they were</w:t>
      </w:r>
      <w:r w:rsidR="00CF5F78" w:rsidRPr="00D44374">
        <w:rPr>
          <w:rFonts w:ascii="Arial" w:hAnsi="Arial" w:cs="Arial"/>
          <w:sz w:val="24"/>
          <w:szCs w:val="24"/>
        </w:rPr>
        <w:t xml:space="preserve"> also</w:t>
      </w:r>
      <w:r w:rsidR="002F677D" w:rsidRPr="00D44374">
        <w:rPr>
          <w:rFonts w:ascii="Arial" w:hAnsi="Arial" w:cs="Arial"/>
          <w:sz w:val="24"/>
          <w:szCs w:val="24"/>
        </w:rPr>
        <w:t xml:space="preserve"> actively involved in its affairs as evidenced by numerous payments made to them couched as directors’ remuneration. Some funds were also channelled into a Trust of which both of them are Trustees a</w:t>
      </w:r>
      <w:r w:rsidR="00CF5F78" w:rsidRPr="00D44374">
        <w:rPr>
          <w:rFonts w:ascii="Arial" w:hAnsi="Arial" w:cs="Arial"/>
          <w:sz w:val="24"/>
          <w:szCs w:val="24"/>
        </w:rPr>
        <w:t>nd Beneficiaries. The main allegation</w:t>
      </w:r>
      <w:r w:rsidR="002F677D" w:rsidRPr="00D44374">
        <w:rPr>
          <w:rFonts w:ascii="Arial" w:hAnsi="Arial" w:cs="Arial"/>
          <w:sz w:val="24"/>
          <w:szCs w:val="24"/>
        </w:rPr>
        <w:t xml:space="preserve"> is that the second and third respondents were disguising the true financial position of the first respondent.</w:t>
      </w:r>
    </w:p>
    <w:p w14:paraId="4F714A66" w14:textId="77777777" w:rsidR="00484001" w:rsidRPr="000E5970" w:rsidRDefault="00484001" w:rsidP="00484001">
      <w:pPr>
        <w:spacing w:after="0" w:line="360" w:lineRule="auto"/>
        <w:ind w:left="720" w:hanging="720"/>
        <w:jc w:val="both"/>
        <w:rPr>
          <w:rFonts w:ascii="Arial" w:hAnsi="Arial" w:cs="Arial"/>
          <w:sz w:val="28"/>
          <w:szCs w:val="28"/>
        </w:rPr>
      </w:pPr>
    </w:p>
    <w:p w14:paraId="625FF0AA" w14:textId="34E86F6A" w:rsidR="001B7743" w:rsidRPr="00D44374" w:rsidRDefault="00125A12" w:rsidP="00CF5F78">
      <w:pPr>
        <w:spacing w:after="0" w:line="360" w:lineRule="auto"/>
        <w:ind w:left="720" w:hanging="720"/>
        <w:jc w:val="both"/>
        <w:rPr>
          <w:rFonts w:ascii="Arial" w:hAnsi="Arial" w:cs="Arial"/>
          <w:sz w:val="24"/>
          <w:szCs w:val="24"/>
        </w:rPr>
      </w:pPr>
      <w:r w:rsidRPr="00D44374">
        <w:rPr>
          <w:rFonts w:ascii="Arial" w:hAnsi="Arial" w:cs="Arial"/>
          <w:sz w:val="24"/>
          <w:szCs w:val="24"/>
        </w:rPr>
        <w:t>[5]</w:t>
      </w:r>
      <w:r w:rsidRPr="00D44374">
        <w:rPr>
          <w:rFonts w:ascii="Arial" w:hAnsi="Arial" w:cs="Arial"/>
          <w:sz w:val="24"/>
          <w:szCs w:val="24"/>
        </w:rPr>
        <w:tab/>
      </w:r>
      <w:r w:rsidR="00207024" w:rsidRPr="00D44374">
        <w:rPr>
          <w:rFonts w:ascii="Arial" w:hAnsi="Arial" w:cs="Arial"/>
          <w:sz w:val="24"/>
          <w:szCs w:val="24"/>
        </w:rPr>
        <w:t>T</w:t>
      </w:r>
      <w:r w:rsidR="002F677D" w:rsidRPr="00D44374">
        <w:rPr>
          <w:rFonts w:ascii="Arial" w:hAnsi="Arial" w:cs="Arial"/>
          <w:sz w:val="24"/>
          <w:szCs w:val="24"/>
        </w:rPr>
        <w:t>urning to the very purpose of this application, movable and immovable assets were identified said to be held by the respondents were enumerated. These include bank accounts, a fleet of trucks and immovable properties in and around Bloemfontein and Kathu</w:t>
      </w:r>
      <w:r w:rsidR="00D44374">
        <w:rPr>
          <w:rFonts w:ascii="Arial" w:hAnsi="Arial" w:cs="Arial"/>
          <w:sz w:val="24"/>
          <w:szCs w:val="24"/>
        </w:rPr>
        <w:t>. There are also</w:t>
      </w:r>
      <w:r w:rsidR="001B7743" w:rsidRPr="00D44374">
        <w:rPr>
          <w:rFonts w:ascii="Arial" w:hAnsi="Arial" w:cs="Arial"/>
          <w:sz w:val="24"/>
          <w:szCs w:val="24"/>
        </w:rPr>
        <w:t xml:space="preserve"> properties owned by one or two of the respondents of which the one or others are believed to be having an interest in it. The primary purpose of the order sought is to preserve the assets to be realised in due course in satisfaction of a confiscation order.</w:t>
      </w:r>
      <w:r w:rsidR="00E35EE4">
        <w:rPr>
          <w:rFonts w:ascii="Arial" w:hAnsi="Arial" w:cs="Arial"/>
          <w:sz w:val="24"/>
          <w:szCs w:val="24"/>
        </w:rPr>
        <w:t xml:space="preserve"> Assuming such an order will ultimately be made.</w:t>
      </w:r>
    </w:p>
    <w:p w14:paraId="2D2CE44E" w14:textId="77777777" w:rsidR="00D31738" w:rsidRPr="000E5970" w:rsidRDefault="00D31738" w:rsidP="00D31738">
      <w:pPr>
        <w:spacing w:after="0" w:line="360" w:lineRule="auto"/>
        <w:ind w:left="720" w:hanging="720"/>
        <w:jc w:val="both"/>
        <w:rPr>
          <w:rFonts w:ascii="Arial" w:hAnsi="Arial" w:cs="Arial"/>
          <w:sz w:val="28"/>
          <w:szCs w:val="28"/>
        </w:rPr>
      </w:pPr>
    </w:p>
    <w:p w14:paraId="3F84A1E7" w14:textId="1A4426AD" w:rsidR="00B4249C" w:rsidRPr="00E35EE4" w:rsidRDefault="00207024" w:rsidP="003A5FF0">
      <w:pPr>
        <w:spacing w:after="0" w:line="360" w:lineRule="auto"/>
        <w:ind w:left="720" w:hanging="720"/>
        <w:jc w:val="both"/>
        <w:rPr>
          <w:rFonts w:ascii="Arial" w:hAnsi="Arial" w:cs="Arial"/>
          <w:sz w:val="24"/>
          <w:szCs w:val="24"/>
        </w:rPr>
      </w:pPr>
      <w:r w:rsidRPr="00E35EE4">
        <w:rPr>
          <w:rFonts w:ascii="Arial" w:hAnsi="Arial" w:cs="Arial"/>
          <w:sz w:val="24"/>
          <w:szCs w:val="24"/>
        </w:rPr>
        <w:t>[</w:t>
      </w:r>
      <w:r w:rsidR="00B4249C" w:rsidRPr="00E35EE4">
        <w:rPr>
          <w:rFonts w:ascii="Arial" w:hAnsi="Arial" w:cs="Arial"/>
          <w:sz w:val="24"/>
          <w:szCs w:val="24"/>
        </w:rPr>
        <w:t>6</w:t>
      </w:r>
      <w:r w:rsidRPr="00E35EE4">
        <w:rPr>
          <w:rFonts w:ascii="Arial" w:hAnsi="Arial" w:cs="Arial"/>
          <w:sz w:val="24"/>
          <w:szCs w:val="24"/>
        </w:rPr>
        <w:t>]</w:t>
      </w:r>
      <w:r w:rsidRPr="00E35EE4">
        <w:rPr>
          <w:rFonts w:ascii="Arial" w:hAnsi="Arial" w:cs="Arial"/>
          <w:sz w:val="24"/>
          <w:szCs w:val="24"/>
        </w:rPr>
        <w:tab/>
      </w:r>
      <w:r w:rsidR="00CF5F78" w:rsidRPr="00E35EE4">
        <w:rPr>
          <w:rFonts w:ascii="Arial" w:hAnsi="Arial" w:cs="Arial"/>
          <w:sz w:val="24"/>
          <w:szCs w:val="24"/>
        </w:rPr>
        <w:t>T</w:t>
      </w:r>
      <w:r w:rsidR="001B7743" w:rsidRPr="00E35EE4">
        <w:rPr>
          <w:rFonts w:ascii="Arial" w:hAnsi="Arial" w:cs="Arial"/>
          <w:sz w:val="24"/>
          <w:szCs w:val="24"/>
        </w:rPr>
        <w:t xml:space="preserve">he respondents disavow the allegations </w:t>
      </w:r>
      <w:r w:rsidR="00804562">
        <w:rPr>
          <w:rFonts w:ascii="Arial" w:hAnsi="Arial" w:cs="Arial"/>
          <w:sz w:val="24"/>
          <w:szCs w:val="24"/>
        </w:rPr>
        <w:t>made on behalf of the applicant</w:t>
      </w:r>
      <w:r w:rsidR="001B7743" w:rsidRPr="00E35EE4">
        <w:rPr>
          <w:rFonts w:ascii="Arial" w:hAnsi="Arial" w:cs="Arial"/>
          <w:sz w:val="24"/>
          <w:szCs w:val="24"/>
        </w:rPr>
        <w:t>. The opposition is f</w:t>
      </w:r>
      <w:r w:rsidR="00CF5F78" w:rsidRPr="00E35EE4">
        <w:rPr>
          <w:rFonts w:ascii="Arial" w:hAnsi="Arial" w:cs="Arial"/>
          <w:sz w:val="24"/>
          <w:szCs w:val="24"/>
        </w:rPr>
        <w:t>ounded on the grounds that these proceedings constitute</w:t>
      </w:r>
      <w:r w:rsidR="001B7743" w:rsidRPr="00E35EE4">
        <w:rPr>
          <w:rFonts w:ascii="Arial" w:hAnsi="Arial" w:cs="Arial"/>
          <w:sz w:val="24"/>
          <w:szCs w:val="24"/>
        </w:rPr>
        <w:t xml:space="preserve"> an </w:t>
      </w:r>
      <w:r w:rsidR="001B7743" w:rsidRPr="00E35EE4">
        <w:rPr>
          <w:rFonts w:ascii="Arial" w:hAnsi="Arial" w:cs="Arial"/>
          <w:sz w:val="24"/>
          <w:szCs w:val="24"/>
        </w:rPr>
        <w:lastRenderedPageBreak/>
        <w:t>abuse of the applicable legisla</w:t>
      </w:r>
      <w:r w:rsidR="00FD0C05" w:rsidRPr="00E35EE4">
        <w:rPr>
          <w:rFonts w:ascii="Arial" w:hAnsi="Arial" w:cs="Arial"/>
          <w:sz w:val="24"/>
          <w:szCs w:val="24"/>
        </w:rPr>
        <w:t xml:space="preserve">tion, which is used </w:t>
      </w:r>
      <w:r w:rsidR="00FD0C05" w:rsidRPr="00E35EE4">
        <w:rPr>
          <w:rFonts w:ascii="Arial" w:hAnsi="Arial" w:cs="Arial"/>
          <w:i/>
          <w:sz w:val="24"/>
          <w:szCs w:val="24"/>
        </w:rPr>
        <w:t>in terrorem</w:t>
      </w:r>
      <w:r w:rsidR="001B7743" w:rsidRPr="00E35EE4">
        <w:rPr>
          <w:rFonts w:ascii="Arial" w:hAnsi="Arial" w:cs="Arial"/>
          <w:sz w:val="24"/>
          <w:szCs w:val="24"/>
        </w:rPr>
        <w:t xml:space="preserve"> </w:t>
      </w:r>
      <w:r w:rsidR="00804562">
        <w:rPr>
          <w:rFonts w:ascii="Arial" w:hAnsi="Arial" w:cs="Arial"/>
          <w:sz w:val="24"/>
          <w:szCs w:val="24"/>
        </w:rPr>
        <w:t xml:space="preserve">and designed to intimidate them. They allege </w:t>
      </w:r>
      <w:r w:rsidR="001B7743" w:rsidRPr="00E35EE4">
        <w:rPr>
          <w:rFonts w:ascii="Arial" w:hAnsi="Arial" w:cs="Arial"/>
          <w:i/>
          <w:sz w:val="24"/>
          <w:szCs w:val="24"/>
        </w:rPr>
        <w:t xml:space="preserve">fraus legis </w:t>
      </w:r>
      <w:r w:rsidR="00FD0C05" w:rsidRPr="00E35EE4">
        <w:rPr>
          <w:rFonts w:ascii="Arial" w:hAnsi="Arial" w:cs="Arial"/>
          <w:sz w:val="24"/>
          <w:szCs w:val="24"/>
        </w:rPr>
        <w:t>as it is not applicable and that</w:t>
      </w:r>
      <w:r w:rsidR="001B7743" w:rsidRPr="00E35EE4">
        <w:rPr>
          <w:rFonts w:ascii="Arial" w:hAnsi="Arial" w:cs="Arial"/>
          <w:sz w:val="24"/>
          <w:szCs w:val="24"/>
        </w:rPr>
        <w:t xml:space="preserve"> the charges of theft and</w:t>
      </w:r>
      <w:r w:rsidR="00804562">
        <w:rPr>
          <w:rFonts w:ascii="Arial" w:hAnsi="Arial" w:cs="Arial"/>
          <w:sz w:val="24"/>
          <w:szCs w:val="24"/>
        </w:rPr>
        <w:t xml:space="preserve"> transgressions of t</w:t>
      </w:r>
      <w:r w:rsidR="001B7743" w:rsidRPr="00E35EE4">
        <w:rPr>
          <w:rFonts w:ascii="Arial" w:hAnsi="Arial" w:cs="Arial"/>
          <w:sz w:val="24"/>
          <w:szCs w:val="24"/>
        </w:rPr>
        <w:t>ax legislati</w:t>
      </w:r>
      <w:r w:rsidR="00FD0C05" w:rsidRPr="00E35EE4">
        <w:rPr>
          <w:rFonts w:ascii="Arial" w:hAnsi="Arial" w:cs="Arial"/>
          <w:sz w:val="24"/>
          <w:szCs w:val="24"/>
        </w:rPr>
        <w:t>on are bad in law.</w:t>
      </w:r>
      <w:r w:rsidR="00804562">
        <w:rPr>
          <w:rFonts w:ascii="Arial" w:hAnsi="Arial" w:cs="Arial"/>
          <w:sz w:val="24"/>
          <w:szCs w:val="24"/>
        </w:rPr>
        <w:t xml:space="preserve"> Their strong point is that</w:t>
      </w:r>
      <w:r w:rsidR="00FD0C05" w:rsidRPr="00E35EE4">
        <w:rPr>
          <w:rFonts w:ascii="Arial" w:hAnsi="Arial" w:cs="Arial"/>
          <w:sz w:val="24"/>
          <w:szCs w:val="24"/>
        </w:rPr>
        <w:t xml:space="preserve"> not</w:t>
      </w:r>
      <w:r w:rsidR="001B7743" w:rsidRPr="00E35EE4">
        <w:rPr>
          <w:rFonts w:ascii="Arial" w:hAnsi="Arial" w:cs="Arial"/>
          <w:sz w:val="24"/>
          <w:szCs w:val="24"/>
        </w:rPr>
        <w:t xml:space="preserve"> all material facts were disclosed</w:t>
      </w:r>
      <w:r w:rsidR="00FD0C05" w:rsidRPr="00E35EE4">
        <w:rPr>
          <w:rFonts w:ascii="Arial" w:hAnsi="Arial" w:cs="Arial"/>
          <w:sz w:val="24"/>
          <w:szCs w:val="24"/>
        </w:rPr>
        <w:t xml:space="preserve"> in the papers</w:t>
      </w:r>
      <w:r w:rsidR="001B7743" w:rsidRPr="00E35EE4">
        <w:rPr>
          <w:rFonts w:ascii="Arial" w:hAnsi="Arial" w:cs="Arial"/>
          <w:sz w:val="24"/>
          <w:szCs w:val="24"/>
        </w:rPr>
        <w:t xml:space="preserve"> and bank statements were incorrectly</w:t>
      </w:r>
      <w:r w:rsidR="00804562">
        <w:rPr>
          <w:rFonts w:ascii="Arial" w:hAnsi="Arial" w:cs="Arial"/>
          <w:sz w:val="24"/>
          <w:szCs w:val="24"/>
        </w:rPr>
        <w:t xml:space="preserve"> interpreted. Lastly, </w:t>
      </w:r>
      <w:r w:rsidR="001B7743" w:rsidRPr="00E35EE4">
        <w:rPr>
          <w:rFonts w:ascii="Arial" w:hAnsi="Arial" w:cs="Arial"/>
          <w:sz w:val="24"/>
          <w:szCs w:val="24"/>
        </w:rPr>
        <w:t>that a substantial period of twelve (12) mon</w:t>
      </w:r>
      <w:r w:rsidR="00FD0C05" w:rsidRPr="00E35EE4">
        <w:rPr>
          <w:rFonts w:ascii="Arial" w:hAnsi="Arial" w:cs="Arial"/>
          <w:sz w:val="24"/>
          <w:szCs w:val="24"/>
        </w:rPr>
        <w:t xml:space="preserve">ths </w:t>
      </w:r>
      <w:r w:rsidR="001B7743" w:rsidRPr="00E35EE4">
        <w:rPr>
          <w:rFonts w:ascii="Arial" w:hAnsi="Arial" w:cs="Arial"/>
          <w:sz w:val="24"/>
          <w:szCs w:val="24"/>
        </w:rPr>
        <w:t xml:space="preserve">elapsed before an </w:t>
      </w:r>
      <w:r w:rsidR="001B7743" w:rsidRPr="00E35EE4">
        <w:rPr>
          <w:rFonts w:ascii="Arial" w:hAnsi="Arial" w:cs="Arial"/>
          <w:i/>
          <w:sz w:val="24"/>
          <w:szCs w:val="24"/>
        </w:rPr>
        <w:t xml:space="preserve">ex parte </w:t>
      </w:r>
      <w:r w:rsidR="001B7743" w:rsidRPr="00E35EE4">
        <w:rPr>
          <w:rFonts w:ascii="Arial" w:hAnsi="Arial" w:cs="Arial"/>
          <w:sz w:val="24"/>
          <w:szCs w:val="24"/>
        </w:rPr>
        <w:t>application was launched against them.</w:t>
      </w:r>
      <w:r w:rsidR="00804562">
        <w:rPr>
          <w:rFonts w:ascii="Arial" w:hAnsi="Arial" w:cs="Arial"/>
          <w:sz w:val="24"/>
          <w:szCs w:val="24"/>
        </w:rPr>
        <w:t xml:space="preserve"> Which was not supported by any evidence.</w:t>
      </w:r>
    </w:p>
    <w:p w14:paraId="6DBBA30C" w14:textId="77777777" w:rsidR="00B4249C" w:rsidRPr="000E5970" w:rsidRDefault="00B4249C" w:rsidP="003A5FF0">
      <w:pPr>
        <w:spacing w:after="0" w:line="360" w:lineRule="auto"/>
        <w:ind w:left="720" w:hanging="720"/>
        <w:jc w:val="both"/>
        <w:rPr>
          <w:rFonts w:ascii="Arial" w:hAnsi="Arial" w:cs="Arial"/>
          <w:sz w:val="28"/>
          <w:szCs w:val="28"/>
        </w:rPr>
      </w:pPr>
    </w:p>
    <w:p w14:paraId="2BFF6857" w14:textId="6E9C49BB" w:rsidR="000407FB" w:rsidRPr="00804562" w:rsidRDefault="00B4249C" w:rsidP="003A5FF0">
      <w:pPr>
        <w:spacing w:after="0" w:line="360" w:lineRule="auto"/>
        <w:ind w:left="720" w:hanging="720"/>
        <w:jc w:val="both"/>
        <w:rPr>
          <w:rFonts w:ascii="Arial" w:hAnsi="Arial" w:cs="Arial"/>
          <w:sz w:val="24"/>
          <w:szCs w:val="24"/>
        </w:rPr>
      </w:pPr>
      <w:r w:rsidRPr="00804562">
        <w:rPr>
          <w:rFonts w:ascii="Arial" w:hAnsi="Arial" w:cs="Arial"/>
          <w:sz w:val="24"/>
          <w:szCs w:val="24"/>
        </w:rPr>
        <w:t>[7]</w:t>
      </w:r>
      <w:r w:rsidRPr="00804562">
        <w:rPr>
          <w:rFonts w:ascii="Arial" w:hAnsi="Arial" w:cs="Arial"/>
          <w:sz w:val="24"/>
          <w:szCs w:val="24"/>
        </w:rPr>
        <w:tab/>
      </w:r>
      <w:r w:rsidR="001B7743" w:rsidRPr="00804562">
        <w:rPr>
          <w:rFonts w:ascii="Arial" w:hAnsi="Arial" w:cs="Arial"/>
          <w:sz w:val="24"/>
          <w:szCs w:val="24"/>
        </w:rPr>
        <w:t xml:space="preserve">The third respondent who deposed to an affidavit on behalf </w:t>
      </w:r>
      <w:r w:rsidR="00FD0C05" w:rsidRPr="00804562">
        <w:rPr>
          <w:rFonts w:ascii="Arial" w:hAnsi="Arial" w:cs="Arial"/>
          <w:sz w:val="24"/>
          <w:szCs w:val="24"/>
        </w:rPr>
        <w:t>of all of the respondents</w:t>
      </w:r>
      <w:r w:rsidR="00E12D51" w:rsidRPr="00804562">
        <w:rPr>
          <w:rFonts w:ascii="Arial" w:hAnsi="Arial" w:cs="Arial"/>
          <w:sz w:val="24"/>
          <w:szCs w:val="24"/>
        </w:rPr>
        <w:t>, outlined the distressed financial position of the first respondent since 2017. In order to keep the first respondent afloat, it traded on an overdraft.</w:t>
      </w:r>
      <w:r w:rsidR="005035BF" w:rsidRPr="00804562">
        <w:rPr>
          <w:rFonts w:ascii="Arial" w:hAnsi="Arial" w:cs="Arial"/>
          <w:sz w:val="24"/>
          <w:szCs w:val="24"/>
        </w:rPr>
        <w:t xml:space="preserve"> She was quick to point out that the first respondent was not trading recklessly.</w:t>
      </w:r>
      <w:r w:rsidR="00E12D51" w:rsidRPr="00804562">
        <w:rPr>
          <w:rFonts w:ascii="Arial" w:hAnsi="Arial" w:cs="Arial"/>
          <w:sz w:val="24"/>
          <w:szCs w:val="24"/>
        </w:rPr>
        <w:t xml:space="preserve"> In addition, the second and third respondent</w:t>
      </w:r>
      <w:r w:rsidR="00B91F8A" w:rsidRPr="00804562">
        <w:rPr>
          <w:rFonts w:ascii="Arial" w:hAnsi="Arial" w:cs="Arial"/>
          <w:sz w:val="24"/>
          <w:szCs w:val="24"/>
        </w:rPr>
        <w:t>s</w:t>
      </w:r>
      <w:r w:rsidR="00E12D51" w:rsidRPr="00804562">
        <w:rPr>
          <w:rFonts w:ascii="Arial" w:hAnsi="Arial" w:cs="Arial"/>
          <w:sz w:val="24"/>
          <w:szCs w:val="24"/>
        </w:rPr>
        <w:t xml:space="preserve"> as well as their Trusts advanced monies </w:t>
      </w:r>
      <w:r w:rsidR="005A2304" w:rsidRPr="00804562">
        <w:rPr>
          <w:rFonts w:ascii="Arial" w:hAnsi="Arial" w:cs="Arial"/>
          <w:sz w:val="24"/>
          <w:szCs w:val="24"/>
        </w:rPr>
        <w:t xml:space="preserve">to it to sustain its liquidity. </w:t>
      </w:r>
      <w:r w:rsidR="005035BF" w:rsidRPr="00804562">
        <w:rPr>
          <w:rFonts w:ascii="Arial" w:hAnsi="Arial" w:cs="Arial"/>
          <w:sz w:val="24"/>
          <w:szCs w:val="24"/>
        </w:rPr>
        <w:t>She revealed the many plans set in motion to ease the situation. Among them</w:t>
      </w:r>
      <w:r w:rsidR="005A2304" w:rsidRPr="00804562">
        <w:rPr>
          <w:rFonts w:ascii="Arial" w:hAnsi="Arial" w:cs="Arial"/>
          <w:sz w:val="24"/>
          <w:szCs w:val="24"/>
        </w:rPr>
        <w:t xml:space="preserve"> was to sell the portion of the property known as 7 De Bloem Avenue, Bloem</w:t>
      </w:r>
      <w:r w:rsidR="005035BF" w:rsidRPr="00804562">
        <w:rPr>
          <w:rFonts w:ascii="Arial" w:hAnsi="Arial" w:cs="Arial"/>
          <w:sz w:val="24"/>
          <w:szCs w:val="24"/>
        </w:rPr>
        <w:t>fontein. The sale was delayed as a result of</w:t>
      </w:r>
      <w:r w:rsidR="005A2304" w:rsidRPr="00804562">
        <w:rPr>
          <w:rFonts w:ascii="Arial" w:hAnsi="Arial" w:cs="Arial"/>
          <w:sz w:val="24"/>
          <w:szCs w:val="24"/>
        </w:rPr>
        <w:t xml:space="preserve"> the slow decision from t</w:t>
      </w:r>
      <w:r w:rsidR="005035BF" w:rsidRPr="00804562">
        <w:rPr>
          <w:rFonts w:ascii="Arial" w:hAnsi="Arial" w:cs="Arial"/>
          <w:sz w:val="24"/>
          <w:szCs w:val="24"/>
        </w:rPr>
        <w:t xml:space="preserve">he Municipality pertaining to the application for subdivision of the </w:t>
      </w:r>
      <w:r w:rsidR="004A2E82">
        <w:rPr>
          <w:rFonts w:ascii="Arial" w:hAnsi="Arial" w:cs="Arial"/>
          <w:sz w:val="24"/>
          <w:szCs w:val="24"/>
        </w:rPr>
        <w:t xml:space="preserve">said </w:t>
      </w:r>
      <w:r w:rsidR="005035BF" w:rsidRPr="00804562">
        <w:rPr>
          <w:rFonts w:ascii="Arial" w:hAnsi="Arial" w:cs="Arial"/>
          <w:sz w:val="24"/>
          <w:szCs w:val="24"/>
        </w:rPr>
        <w:t>property.</w:t>
      </w:r>
    </w:p>
    <w:p w14:paraId="7CADBB6C" w14:textId="77777777" w:rsidR="000407FB" w:rsidRPr="000E5970" w:rsidRDefault="000407FB" w:rsidP="003A5FF0">
      <w:pPr>
        <w:spacing w:after="0" w:line="360" w:lineRule="auto"/>
        <w:ind w:left="720" w:hanging="720"/>
        <w:jc w:val="both"/>
        <w:rPr>
          <w:rFonts w:ascii="Arial" w:hAnsi="Arial" w:cs="Arial"/>
          <w:sz w:val="28"/>
          <w:szCs w:val="28"/>
        </w:rPr>
      </w:pPr>
    </w:p>
    <w:p w14:paraId="64D3EA72" w14:textId="66E19CD6" w:rsidR="00625DD2" w:rsidRPr="004A2E82" w:rsidRDefault="000407FB" w:rsidP="005A2304">
      <w:pPr>
        <w:spacing w:after="0" w:line="360" w:lineRule="auto"/>
        <w:ind w:left="720" w:hanging="720"/>
        <w:jc w:val="both"/>
        <w:rPr>
          <w:rFonts w:ascii="Arial" w:hAnsi="Arial" w:cs="Arial"/>
          <w:sz w:val="24"/>
          <w:szCs w:val="24"/>
        </w:rPr>
      </w:pPr>
      <w:r w:rsidRPr="004A2E82">
        <w:rPr>
          <w:rFonts w:ascii="Arial" w:hAnsi="Arial" w:cs="Arial"/>
          <w:sz w:val="24"/>
          <w:szCs w:val="24"/>
        </w:rPr>
        <w:t>[8]</w:t>
      </w:r>
      <w:r w:rsidRPr="004A2E82">
        <w:rPr>
          <w:rFonts w:ascii="Arial" w:hAnsi="Arial" w:cs="Arial"/>
          <w:sz w:val="24"/>
          <w:szCs w:val="24"/>
        </w:rPr>
        <w:tab/>
      </w:r>
      <w:r w:rsidR="005A2304" w:rsidRPr="004A2E82">
        <w:rPr>
          <w:rFonts w:ascii="Arial" w:hAnsi="Arial" w:cs="Arial"/>
          <w:sz w:val="24"/>
          <w:szCs w:val="24"/>
        </w:rPr>
        <w:t>It would appear that the respondents are not at odds with the amou</w:t>
      </w:r>
      <w:r w:rsidR="005035BF" w:rsidRPr="004A2E82">
        <w:rPr>
          <w:rFonts w:ascii="Arial" w:hAnsi="Arial" w:cs="Arial"/>
          <w:sz w:val="24"/>
          <w:szCs w:val="24"/>
        </w:rPr>
        <w:t xml:space="preserve">nt claimed by </w:t>
      </w:r>
      <w:r w:rsidR="002E51BE" w:rsidRPr="004A2E82">
        <w:rPr>
          <w:rFonts w:ascii="Arial" w:hAnsi="Arial" w:cs="Arial"/>
          <w:sz w:val="24"/>
          <w:szCs w:val="24"/>
        </w:rPr>
        <w:t>SARS</w:t>
      </w:r>
      <w:r w:rsidR="005A2304" w:rsidRPr="004A2E82">
        <w:rPr>
          <w:rFonts w:ascii="Arial" w:hAnsi="Arial" w:cs="Arial"/>
          <w:sz w:val="24"/>
          <w:szCs w:val="24"/>
        </w:rPr>
        <w:t>. They are doing everything in their power to extinguish the debt. These efforts were conveyed to the court</w:t>
      </w:r>
      <w:r w:rsidR="005035BF" w:rsidRPr="004A2E82">
        <w:rPr>
          <w:rFonts w:ascii="Arial" w:hAnsi="Arial" w:cs="Arial"/>
          <w:sz w:val="24"/>
          <w:szCs w:val="24"/>
        </w:rPr>
        <w:t xml:space="preserve"> </w:t>
      </w:r>
      <w:r w:rsidR="005035BF" w:rsidRPr="004A2E82">
        <w:rPr>
          <w:rFonts w:ascii="Arial" w:hAnsi="Arial" w:cs="Arial"/>
          <w:i/>
          <w:sz w:val="24"/>
          <w:szCs w:val="24"/>
        </w:rPr>
        <w:t>a quo</w:t>
      </w:r>
      <w:r w:rsidR="005A2304" w:rsidRPr="004A2E82">
        <w:rPr>
          <w:rFonts w:ascii="Arial" w:hAnsi="Arial" w:cs="Arial"/>
          <w:sz w:val="24"/>
          <w:szCs w:val="24"/>
        </w:rPr>
        <w:t xml:space="preserve"> to grant t</w:t>
      </w:r>
      <w:r w:rsidR="004A2E82">
        <w:rPr>
          <w:rFonts w:ascii="Arial" w:hAnsi="Arial" w:cs="Arial"/>
          <w:sz w:val="24"/>
          <w:szCs w:val="24"/>
        </w:rPr>
        <w:t>hem extension to settle it. These were</w:t>
      </w:r>
      <w:r w:rsidR="005A2304" w:rsidRPr="004A2E82">
        <w:rPr>
          <w:rFonts w:ascii="Arial" w:hAnsi="Arial" w:cs="Arial"/>
          <w:sz w:val="24"/>
          <w:szCs w:val="24"/>
        </w:rPr>
        <w:t xml:space="preserve"> interrupted by this application.</w:t>
      </w:r>
    </w:p>
    <w:p w14:paraId="518BFB99" w14:textId="77777777" w:rsidR="00625DD2" w:rsidRDefault="00625DD2" w:rsidP="00625DD2">
      <w:pPr>
        <w:spacing w:after="0" w:line="360" w:lineRule="auto"/>
        <w:ind w:left="720" w:hanging="720"/>
        <w:jc w:val="both"/>
        <w:rPr>
          <w:rFonts w:ascii="Arial" w:hAnsi="Arial" w:cs="Arial"/>
          <w:sz w:val="24"/>
          <w:szCs w:val="24"/>
        </w:rPr>
      </w:pPr>
      <w:r w:rsidRPr="00E50503">
        <w:rPr>
          <w:rFonts w:ascii="Arial" w:hAnsi="Arial" w:cs="Arial"/>
          <w:sz w:val="24"/>
          <w:szCs w:val="24"/>
        </w:rPr>
        <w:t xml:space="preserve"> </w:t>
      </w:r>
    </w:p>
    <w:p w14:paraId="5E84DC3B" w14:textId="0DB2D4BF" w:rsidR="00B91E34" w:rsidRPr="004A2E82" w:rsidRDefault="00B2106D" w:rsidP="005035BF">
      <w:pPr>
        <w:spacing w:after="0" w:line="360" w:lineRule="auto"/>
        <w:ind w:left="720" w:hanging="720"/>
        <w:jc w:val="both"/>
        <w:rPr>
          <w:rFonts w:ascii="Arial" w:hAnsi="Arial" w:cs="Arial"/>
          <w:sz w:val="24"/>
          <w:szCs w:val="24"/>
        </w:rPr>
      </w:pPr>
      <w:r w:rsidRPr="004A2E82">
        <w:rPr>
          <w:rFonts w:ascii="Arial" w:hAnsi="Arial" w:cs="Arial"/>
          <w:sz w:val="24"/>
          <w:szCs w:val="24"/>
        </w:rPr>
        <w:t>[9]</w:t>
      </w:r>
      <w:r w:rsidRPr="004A2E82">
        <w:rPr>
          <w:rFonts w:ascii="Arial" w:hAnsi="Arial" w:cs="Arial"/>
          <w:sz w:val="24"/>
          <w:szCs w:val="24"/>
        </w:rPr>
        <w:tab/>
      </w:r>
      <w:r w:rsidR="009733A4" w:rsidRPr="004A2E82">
        <w:rPr>
          <w:rFonts w:ascii="Arial" w:hAnsi="Arial" w:cs="Arial"/>
          <w:sz w:val="24"/>
          <w:szCs w:val="24"/>
        </w:rPr>
        <w:t>Th</w:t>
      </w:r>
      <w:r w:rsidR="005A2304" w:rsidRPr="004A2E82">
        <w:rPr>
          <w:rFonts w:ascii="Arial" w:hAnsi="Arial" w:cs="Arial"/>
          <w:sz w:val="24"/>
          <w:szCs w:val="24"/>
        </w:rPr>
        <w:t>e case for the respondents is that there is no factual basis to allege that the respondents are involved in racketeering activities, money laundering or any gang related activities in regard to the charges. Therefore, the provisions of the Prevention of Or</w:t>
      </w:r>
      <w:r w:rsidR="004A2E82">
        <w:rPr>
          <w:rFonts w:ascii="Arial" w:hAnsi="Arial" w:cs="Arial"/>
          <w:sz w:val="24"/>
          <w:szCs w:val="24"/>
        </w:rPr>
        <w:t>ganised Crime Act 121 of 1998 (POCA</w:t>
      </w:r>
      <w:r w:rsidR="005A2304" w:rsidRPr="004A2E82">
        <w:rPr>
          <w:rFonts w:ascii="Arial" w:hAnsi="Arial" w:cs="Arial"/>
          <w:sz w:val="24"/>
          <w:szCs w:val="24"/>
        </w:rPr>
        <w:t>) are not applicable to their case.</w:t>
      </w:r>
      <w:r w:rsidR="004A2E82">
        <w:rPr>
          <w:rFonts w:ascii="Arial" w:hAnsi="Arial" w:cs="Arial"/>
          <w:sz w:val="24"/>
          <w:szCs w:val="24"/>
        </w:rPr>
        <w:t xml:space="preserve"> I agree.</w:t>
      </w:r>
      <w:r w:rsidR="005035BF" w:rsidRPr="004A2E82">
        <w:rPr>
          <w:rFonts w:ascii="Arial" w:hAnsi="Arial" w:cs="Arial"/>
          <w:sz w:val="24"/>
          <w:szCs w:val="24"/>
        </w:rPr>
        <w:t xml:space="preserve"> </w:t>
      </w:r>
      <w:r w:rsidR="00992343" w:rsidRPr="004A2E82">
        <w:rPr>
          <w:rFonts w:ascii="Arial" w:hAnsi="Arial" w:cs="Arial"/>
          <w:sz w:val="24"/>
          <w:szCs w:val="24"/>
        </w:rPr>
        <w:t>The case made is that the allegations of theft are contrived and bad in law. The point is that there were no physical deductions of monies and all these were book entries. Therefore, the monies for Value Added Tax</w:t>
      </w:r>
      <w:r w:rsidR="004A2E82">
        <w:rPr>
          <w:rFonts w:ascii="Arial" w:hAnsi="Arial" w:cs="Arial"/>
          <w:sz w:val="24"/>
          <w:szCs w:val="24"/>
        </w:rPr>
        <w:t xml:space="preserve"> (VAT</w:t>
      </w:r>
      <w:r w:rsidR="009356CD" w:rsidRPr="004A2E82">
        <w:rPr>
          <w:rFonts w:ascii="Arial" w:hAnsi="Arial" w:cs="Arial"/>
          <w:sz w:val="24"/>
          <w:szCs w:val="24"/>
        </w:rPr>
        <w:t>)</w:t>
      </w:r>
      <w:r w:rsidR="00992343" w:rsidRPr="004A2E82">
        <w:rPr>
          <w:rFonts w:ascii="Arial" w:hAnsi="Arial" w:cs="Arial"/>
          <w:sz w:val="24"/>
          <w:szCs w:val="24"/>
        </w:rPr>
        <w:t xml:space="preserve"> and Pay </w:t>
      </w:r>
      <w:r w:rsidR="004A2E82">
        <w:rPr>
          <w:rFonts w:ascii="Arial" w:hAnsi="Arial" w:cs="Arial"/>
          <w:sz w:val="24"/>
          <w:szCs w:val="24"/>
        </w:rPr>
        <w:t>As You Earn (PAYE</w:t>
      </w:r>
      <w:r w:rsidR="009356CD" w:rsidRPr="004A2E82">
        <w:rPr>
          <w:rFonts w:ascii="Arial" w:hAnsi="Arial" w:cs="Arial"/>
          <w:sz w:val="24"/>
          <w:szCs w:val="24"/>
        </w:rPr>
        <w:t xml:space="preserve">) </w:t>
      </w:r>
      <w:r w:rsidR="00992343" w:rsidRPr="004A2E82">
        <w:rPr>
          <w:rFonts w:ascii="Arial" w:hAnsi="Arial" w:cs="Arial"/>
          <w:sz w:val="24"/>
          <w:szCs w:val="24"/>
        </w:rPr>
        <w:t>were not capable of being stolen</w:t>
      </w:r>
      <w:r w:rsidR="005035BF" w:rsidRPr="004A2E82">
        <w:rPr>
          <w:rFonts w:ascii="Arial" w:hAnsi="Arial" w:cs="Arial"/>
          <w:sz w:val="24"/>
          <w:szCs w:val="24"/>
        </w:rPr>
        <w:t xml:space="preserve">. Reference is also made to </w:t>
      </w:r>
      <w:r w:rsidR="00992343" w:rsidRPr="004A2E82">
        <w:rPr>
          <w:rFonts w:ascii="Arial" w:hAnsi="Arial" w:cs="Arial"/>
          <w:sz w:val="24"/>
          <w:szCs w:val="24"/>
        </w:rPr>
        <w:t xml:space="preserve">allegations being made about the payment of directors’ fees which they are entitled to in terms of the Companies Act 71 of </w:t>
      </w:r>
      <w:r w:rsidR="00992343" w:rsidRPr="004A2E82">
        <w:rPr>
          <w:rFonts w:ascii="Arial" w:hAnsi="Arial" w:cs="Arial"/>
          <w:sz w:val="24"/>
          <w:szCs w:val="24"/>
        </w:rPr>
        <w:lastRenderedPageBreak/>
        <w:t>2008.</w:t>
      </w:r>
      <w:r w:rsidR="004A2E82">
        <w:rPr>
          <w:rFonts w:ascii="Arial" w:hAnsi="Arial" w:cs="Arial"/>
          <w:sz w:val="24"/>
          <w:szCs w:val="24"/>
        </w:rPr>
        <w:t xml:space="preserve"> This is provided for in the law and it is a long shot to even raise this aspect to demonstrate the commission of any offence. Papers do not reveal any elaborate scheme on the part of the respondents to disguise any payments using the monies belonging to SARS.</w:t>
      </w:r>
    </w:p>
    <w:p w14:paraId="158B75F1" w14:textId="77777777" w:rsidR="00B91E34" w:rsidRPr="000E5970" w:rsidRDefault="00B91E34" w:rsidP="003A5FF0">
      <w:pPr>
        <w:spacing w:after="0" w:line="360" w:lineRule="auto"/>
        <w:ind w:left="720" w:hanging="720"/>
        <w:jc w:val="both"/>
        <w:rPr>
          <w:rFonts w:ascii="Arial" w:hAnsi="Arial" w:cs="Arial"/>
          <w:sz w:val="28"/>
          <w:szCs w:val="28"/>
        </w:rPr>
      </w:pPr>
    </w:p>
    <w:p w14:paraId="372129A1" w14:textId="60C5EAFA" w:rsidR="00FA0B97" w:rsidRPr="004A2E82" w:rsidRDefault="005035BF" w:rsidP="00FA0B97">
      <w:pPr>
        <w:spacing w:after="0" w:line="360" w:lineRule="auto"/>
        <w:ind w:left="720" w:hanging="720"/>
        <w:jc w:val="both"/>
        <w:rPr>
          <w:rFonts w:ascii="Arial" w:hAnsi="Arial" w:cs="Arial"/>
          <w:sz w:val="24"/>
          <w:szCs w:val="24"/>
        </w:rPr>
      </w:pPr>
      <w:r w:rsidRPr="004A2E82">
        <w:rPr>
          <w:rFonts w:ascii="Arial" w:hAnsi="Arial" w:cs="Arial"/>
          <w:sz w:val="24"/>
          <w:szCs w:val="24"/>
        </w:rPr>
        <w:t>[10</w:t>
      </w:r>
      <w:r w:rsidR="00B91E34" w:rsidRPr="004A2E82">
        <w:rPr>
          <w:rFonts w:ascii="Arial" w:hAnsi="Arial" w:cs="Arial"/>
          <w:sz w:val="24"/>
          <w:szCs w:val="24"/>
        </w:rPr>
        <w:t>]</w:t>
      </w:r>
      <w:r w:rsidR="00B91E34" w:rsidRPr="004A2E82">
        <w:rPr>
          <w:rFonts w:ascii="Arial" w:hAnsi="Arial" w:cs="Arial"/>
          <w:sz w:val="24"/>
          <w:szCs w:val="24"/>
        </w:rPr>
        <w:tab/>
      </w:r>
      <w:r w:rsidR="00992343" w:rsidRPr="004A2E82">
        <w:rPr>
          <w:rFonts w:ascii="Arial" w:hAnsi="Arial" w:cs="Arial"/>
          <w:sz w:val="24"/>
          <w:szCs w:val="24"/>
        </w:rPr>
        <w:t>The affidavit of the third respondent avers that crucial information was withheld</w:t>
      </w:r>
      <w:r w:rsidRPr="004A2E82">
        <w:rPr>
          <w:rFonts w:ascii="Arial" w:hAnsi="Arial" w:cs="Arial"/>
          <w:sz w:val="24"/>
          <w:szCs w:val="24"/>
        </w:rPr>
        <w:t xml:space="preserve"> from the court and dispute</w:t>
      </w:r>
      <w:r w:rsidR="00992343" w:rsidRPr="004A2E82">
        <w:rPr>
          <w:rFonts w:ascii="Arial" w:hAnsi="Arial" w:cs="Arial"/>
          <w:sz w:val="24"/>
          <w:szCs w:val="24"/>
        </w:rPr>
        <w:t xml:space="preserve"> the assertion that there were any monies in the bank accounts. Also that the motor vehicles referred to are</w:t>
      </w:r>
      <w:r w:rsidRPr="004A2E82">
        <w:rPr>
          <w:rFonts w:ascii="Arial" w:hAnsi="Arial" w:cs="Arial"/>
          <w:sz w:val="24"/>
          <w:szCs w:val="24"/>
        </w:rPr>
        <w:t xml:space="preserve"> subject to a finance agreement with </w:t>
      </w:r>
      <w:r w:rsidR="00992343" w:rsidRPr="004A2E82">
        <w:rPr>
          <w:rFonts w:ascii="Arial" w:hAnsi="Arial" w:cs="Arial"/>
          <w:sz w:val="24"/>
          <w:szCs w:val="24"/>
        </w:rPr>
        <w:t>finance house</w:t>
      </w:r>
      <w:r w:rsidRPr="004A2E82">
        <w:rPr>
          <w:rFonts w:ascii="Arial" w:hAnsi="Arial" w:cs="Arial"/>
          <w:sz w:val="24"/>
          <w:szCs w:val="24"/>
        </w:rPr>
        <w:t>s</w:t>
      </w:r>
      <w:r w:rsidR="00992343" w:rsidRPr="004A2E82">
        <w:rPr>
          <w:rFonts w:ascii="Arial" w:hAnsi="Arial" w:cs="Arial"/>
          <w:sz w:val="24"/>
          <w:szCs w:val="24"/>
        </w:rPr>
        <w:t xml:space="preserve"> namely Wesbank and Doorlean Investments. Only one motor vehicle is fully paid and owned by th</w:t>
      </w:r>
      <w:r w:rsidRPr="004A2E82">
        <w:rPr>
          <w:rFonts w:ascii="Arial" w:hAnsi="Arial" w:cs="Arial"/>
          <w:sz w:val="24"/>
          <w:szCs w:val="24"/>
        </w:rPr>
        <w:t xml:space="preserve">e first respondent. </w:t>
      </w:r>
      <w:r w:rsidR="00A05225" w:rsidRPr="004A2E82">
        <w:rPr>
          <w:rFonts w:ascii="Arial" w:hAnsi="Arial" w:cs="Arial"/>
          <w:sz w:val="24"/>
          <w:szCs w:val="24"/>
        </w:rPr>
        <w:t>T</w:t>
      </w:r>
      <w:r w:rsidR="00992343" w:rsidRPr="004A2E82">
        <w:rPr>
          <w:rFonts w:ascii="Arial" w:hAnsi="Arial" w:cs="Arial"/>
          <w:sz w:val="24"/>
          <w:szCs w:val="24"/>
        </w:rPr>
        <w:t>he</w:t>
      </w:r>
      <w:r w:rsidR="00A05225">
        <w:rPr>
          <w:rFonts w:ascii="Arial" w:hAnsi="Arial" w:cs="Arial"/>
          <w:sz w:val="24"/>
          <w:szCs w:val="24"/>
        </w:rPr>
        <w:t xml:space="preserve"> </w:t>
      </w:r>
      <w:r w:rsidR="00992343" w:rsidRPr="004A2E82">
        <w:rPr>
          <w:rFonts w:ascii="Arial" w:hAnsi="Arial" w:cs="Arial"/>
          <w:sz w:val="24"/>
          <w:szCs w:val="24"/>
        </w:rPr>
        <w:t>first respondent only has possession</w:t>
      </w:r>
      <w:r w:rsidR="00A05225">
        <w:rPr>
          <w:rFonts w:ascii="Arial" w:hAnsi="Arial" w:cs="Arial"/>
          <w:sz w:val="24"/>
          <w:szCs w:val="24"/>
        </w:rPr>
        <w:t xml:space="preserve"> of the other motor vehicles</w:t>
      </w:r>
      <w:r w:rsidR="00992343" w:rsidRPr="004A2E82">
        <w:rPr>
          <w:rFonts w:ascii="Arial" w:hAnsi="Arial" w:cs="Arial"/>
          <w:sz w:val="24"/>
          <w:szCs w:val="24"/>
        </w:rPr>
        <w:t xml:space="preserve"> while the ownership vests with the financier until the debt has been paid in full.</w:t>
      </w:r>
      <w:r w:rsidR="00A05225">
        <w:rPr>
          <w:rFonts w:ascii="Arial" w:hAnsi="Arial" w:cs="Arial"/>
          <w:sz w:val="24"/>
          <w:szCs w:val="24"/>
        </w:rPr>
        <w:t xml:space="preserve"> These are undisputed facts.</w:t>
      </w:r>
    </w:p>
    <w:p w14:paraId="2BDDE8A2" w14:textId="77777777" w:rsidR="005035BF" w:rsidRDefault="005035BF" w:rsidP="00FA0B97">
      <w:pPr>
        <w:spacing w:after="0" w:line="360" w:lineRule="auto"/>
        <w:ind w:left="720" w:hanging="720"/>
        <w:jc w:val="both"/>
        <w:rPr>
          <w:rFonts w:ascii="Arial" w:hAnsi="Arial" w:cs="Arial"/>
          <w:sz w:val="24"/>
          <w:szCs w:val="24"/>
        </w:rPr>
      </w:pPr>
    </w:p>
    <w:p w14:paraId="56F243AC" w14:textId="4C30E553" w:rsidR="000F6116" w:rsidRPr="00A05225" w:rsidRDefault="00FA0B97" w:rsidP="00FA0B97">
      <w:pPr>
        <w:spacing w:after="0" w:line="360" w:lineRule="auto"/>
        <w:ind w:left="720" w:hanging="720"/>
        <w:jc w:val="both"/>
        <w:rPr>
          <w:rFonts w:ascii="Arial" w:hAnsi="Arial" w:cs="Arial"/>
          <w:sz w:val="24"/>
          <w:szCs w:val="24"/>
        </w:rPr>
      </w:pPr>
      <w:r w:rsidRPr="00A05225">
        <w:rPr>
          <w:rFonts w:ascii="Arial" w:hAnsi="Arial" w:cs="Arial"/>
          <w:sz w:val="24"/>
          <w:szCs w:val="24"/>
        </w:rPr>
        <w:t xml:space="preserve"> </w:t>
      </w:r>
      <w:r w:rsidR="005035BF" w:rsidRPr="00A05225">
        <w:rPr>
          <w:rFonts w:ascii="Arial" w:hAnsi="Arial" w:cs="Arial"/>
          <w:sz w:val="24"/>
          <w:szCs w:val="24"/>
        </w:rPr>
        <w:t>[11</w:t>
      </w:r>
      <w:r w:rsidR="006E5F43" w:rsidRPr="00A05225">
        <w:rPr>
          <w:rFonts w:ascii="Arial" w:hAnsi="Arial" w:cs="Arial"/>
          <w:sz w:val="24"/>
          <w:szCs w:val="24"/>
        </w:rPr>
        <w:t>]</w:t>
      </w:r>
      <w:r w:rsidR="004262C2" w:rsidRPr="00A05225">
        <w:rPr>
          <w:rFonts w:ascii="Arial" w:hAnsi="Arial" w:cs="Arial"/>
          <w:sz w:val="24"/>
          <w:szCs w:val="24"/>
        </w:rPr>
        <w:tab/>
      </w:r>
      <w:r w:rsidR="002E51BE" w:rsidRPr="00A05225">
        <w:rPr>
          <w:rFonts w:ascii="Arial" w:hAnsi="Arial" w:cs="Arial"/>
          <w:sz w:val="24"/>
          <w:szCs w:val="24"/>
        </w:rPr>
        <w:t xml:space="preserve">Both counsel made compelling submissions and it is imperative that they are repeated here. Counsel for the applicant submitted that </w:t>
      </w:r>
      <w:r w:rsidR="005035BF" w:rsidRPr="00A05225">
        <w:rPr>
          <w:rFonts w:ascii="Arial" w:hAnsi="Arial" w:cs="Arial"/>
          <w:sz w:val="24"/>
          <w:szCs w:val="24"/>
        </w:rPr>
        <w:t xml:space="preserve">there is one argument </w:t>
      </w:r>
      <w:r w:rsidR="002E51BE" w:rsidRPr="00A05225">
        <w:rPr>
          <w:rFonts w:ascii="Arial" w:hAnsi="Arial" w:cs="Arial"/>
          <w:sz w:val="24"/>
          <w:szCs w:val="24"/>
        </w:rPr>
        <w:t>determinative of this case i</w:t>
      </w:r>
      <w:r w:rsidR="00A05225">
        <w:rPr>
          <w:rFonts w:ascii="Arial" w:hAnsi="Arial" w:cs="Arial"/>
          <w:sz w:val="24"/>
          <w:szCs w:val="24"/>
        </w:rPr>
        <w:t>.</w:t>
      </w:r>
      <w:r w:rsidR="002E51BE" w:rsidRPr="00A05225">
        <w:rPr>
          <w:rFonts w:ascii="Arial" w:hAnsi="Arial" w:cs="Arial"/>
          <w:sz w:val="24"/>
          <w:szCs w:val="24"/>
        </w:rPr>
        <w:t>e</w:t>
      </w:r>
      <w:r w:rsidR="00A05225">
        <w:rPr>
          <w:rFonts w:ascii="Arial" w:hAnsi="Arial" w:cs="Arial"/>
          <w:sz w:val="24"/>
          <w:szCs w:val="24"/>
        </w:rPr>
        <w:t>.</w:t>
      </w:r>
      <w:r w:rsidR="002E51BE" w:rsidRPr="00A05225">
        <w:rPr>
          <w:rFonts w:ascii="Arial" w:hAnsi="Arial" w:cs="Arial"/>
          <w:sz w:val="24"/>
          <w:szCs w:val="24"/>
        </w:rPr>
        <w:t xml:space="preserve"> whether there is evidence upon which a court can on reasonable grounds find that the respondents may at a later stage be convicted of any offence(s).</w:t>
      </w:r>
      <w:r w:rsidR="005035BF" w:rsidRPr="00A05225">
        <w:rPr>
          <w:rFonts w:ascii="Arial" w:hAnsi="Arial" w:cs="Arial"/>
          <w:sz w:val="24"/>
          <w:szCs w:val="24"/>
        </w:rPr>
        <w:t xml:space="preserve"> Once it was answered positively</w:t>
      </w:r>
      <w:r w:rsidR="002E51BE" w:rsidRPr="00A05225">
        <w:rPr>
          <w:rFonts w:ascii="Arial" w:hAnsi="Arial" w:cs="Arial"/>
          <w:sz w:val="24"/>
          <w:szCs w:val="24"/>
        </w:rPr>
        <w:t xml:space="preserve"> that was sufficient and the question of an exact amount was not relevant for the purpose of the proceedings before this court.</w:t>
      </w:r>
      <w:r w:rsidR="00A05225">
        <w:rPr>
          <w:rFonts w:ascii="Arial" w:hAnsi="Arial" w:cs="Arial"/>
          <w:sz w:val="24"/>
          <w:szCs w:val="24"/>
        </w:rPr>
        <w:t xml:space="preserve"> This submission is clearly wrong. That is an important element of the offence of theft.</w:t>
      </w:r>
    </w:p>
    <w:p w14:paraId="52FBE0E4" w14:textId="77777777" w:rsidR="000F6116" w:rsidRPr="000E5970" w:rsidRDefault="000F6116" w:rsidP="003A5FF0">
      <w:pPr>
        <w:spacing w:after="0" w:line="360" w:lineRule="auto"/>
        <w:ind w:left="720" w:hanging="720"/>
        <w:jc w:val="both"/>
        <w:rPr>
          <w:rFonts w:ascii="Arial" w:hAnsi="Arial" w:cs="Arial"/>
          <w:sz w:val="28"/>
          <w:szCs w:val="28"/>
        </w:rPr>
      </w:pPr>
    </w:p>
    <w:p w14:paraId="48ACF519" w14:textId="68B23B06" w:rsidR="006E5F43" w:rsidRPr="003466A7" w:rsidRDefault="005035BF" w:rsidP="003A5FF0">
      <w:pPr>
        <w:spacing w:after="0" w:line="360" w:lineRule="auto"/>
        <w:ind w:left="720" w:hanging="720"/>
        <w:jc w:val="both"/>
        <w:rPr>
          <w:rFonts w:ascii="Arial" w:hAnsi="Arial" w:cs="Arial"/>
          <w:sz w:val="24"/>
          <w:szCs w:val="24"/>
        </w:rPr>
      </w:pPr>
      <w:r w:rsidRPr="003466A7">
        <w:rPr>
          <w:rFonts w:ascii="Arial" w:hAnsi="Arial" w:cs="Arial"/>
          <w:sz w:val="24"/>
          <w:szCs w:val="24"/>
        </w:rPr>
        <w:t>[12</w:t>
      </w:r>
      <w:r w:rsidR="000F6116" w:rsidRPr="003466A7">
        <w:rPr>
          <w:rFonts w:ascii="Arial" w:hAnsi="Arial" w:cs="Arial"/>
          <w:sz w:val="24"/>
          <w:szCs w:val="24"/>
        </w:rPr>
        <w:t>]</w:t>
      </w:r>
      <w:r w:rsidR="000F6116" w:rsidRPr="003466A7">
        <w:rPr>
          <w:rFonts w:ascii="Arial" w:hAnsi="Arial" w:cs="Arial"/>
          <w:sz w:val="24"/>
          <w:szCs w:val="24"/>
        </w:rPr>
        <w:tab/>
      </w:r>
      <w:r w:rsidR="002E51BE" w:rsidRPr="003466A7">
        <w:rPr>
          <w:rFonts w:ascii="Arial" w:hAnsi="Arial" w:cs="Arial"/>
          <w:sz w:val="24"/>
          <w:szCs w:val="24"/>
        </w:rPr>
        <w:t>Counsel articulated with succinct eloquence all the provisions of different Acts allegedly contravened by the respondents. In this matter the respondents have failed to ring-fence the monies for their tax obligations and that constituted theft. On the prevailing facts</w:t>
      </w:r>
      <w:r w:rsidRPr="003466A7">
        <w:rPr>
          <w:rFonts w:ascii="Arial" w:hAnsi="Arial" w:cs="Arial"/>
          <w:sz w:val="24"/>
          <w:szCs w:val="24"/>
        </w:rPr>
        <w:t>, she argued,</w:t>
      </w:r>
      <w:r w:rsidR="002E51BE" w:rsidRPr="003466A7">
        <w:rPr>
          <w:rFonts w:ascii="Arial" w:hAnsi="Arial" w:cs="Arial"/>
          <w:sz w:val="24"/>
          <w:szCs w:val="24"/>
        </w:rPr>
        <w:t xml:space="preserve"> they could be found guilty of theft. On their o</w:t>
      </w:r>
      <w:r w:rsidRPr="003466A7">
        <w:rPr>
          <w:rFonts w:ascii="Arial" w:hAnsi="Arial" w:cs="Arial"/>
          <w:sz w:val="24"/>
          <w:szCs w:val="24"/>
        </w:rPr>
        <w:t>wn version, the respondents out</w:t>
      </w:r>
      <w:r w:rsidR="002E51BE" w:rsidRPr="003466A7">
        <w:rPr>
          <w:rFonts w:ascii="Arial" w:hAnsi="Arial" w:cs="Arial"/>
          <w:sz w:val="24"/>
          <w:szCs w:val="24"/>
        </w:rPr>
        <w:t>rightly admitted that they used the monies d</w:t>
      </w:r>
      <w:r w:rsidRPr="003466A7">
        <w:rPr>
          <w:rFonts w:ascii="Arial" w:hAnsi="Arial" w:cs="Arial"/>
          <w:sz w:val="24"/>
          <w:szCs w:val="24"/>
        </w:rPr>
        <w:t xml:space="preserve">ue to SARS for their operational </w:t>
      </w:r>
      <w:r w:rsidR="007F426D" w:rsidRPr="003466A7">
        <w:rPr>
          <w:rFonts w:ascii="Arial" w:hAnsi="Arial" w:cs="Arial"/>
          <w:sz w:val="24"/>
          <w:szCs w:val="24"/>
        </w:rPr>
        <w:t>expenses.</w:t>
      </w:r>
      <w:r w:rsidRPr="003466A7">
        <w:rPr>
          <w:rFonts w:ascii="Arial" w:hAnsi="Arial" w:cs="Arial"/>
          <w:sz w:val="24"/>
          <w:szCs w:val="24"/>
        </w:rPr>
        <w:t xml:space="preserve"> </w:t>
      </w:r>
      <w:r w:rsidR="007F426D" w:rsidRPr="003466A7">
        <w:rPr>
          <w:rFonts w:ascii="Arial" w:hAnsi="Arial" w:cs="Arial"/>
          <w:sz w:val="24"/>
          <w:szCs w:val="24"/>
        </w:rPr>
        <w:t xml:space="preserve">Counsel for the applicant countered the argument </w:t>
      </w:r>
      <w:r w:rsidR="008F4AA2" w:rsidRPr="003466A7">
        <w:rPr>
          <w:rFonts w:ascii="Arial" w:hAnsi="Arial" w:cs="Arial"/>
          <w:sz w:val="24"/>
          <w:szCs w:val="24"/>
        </w:rPr>
        <w:t xml:space="preserve">and submitted that POCA does </w:t>
      </w:r>
      <w:r w:rsidR="007F426D" w:rsidRPr="003466A7">
        <w:rPr>
          <w:rFonts w:ascii="Arial" w:hAnsi="Arial" w:cs="Arial"/>
          <w:sz w:val="24"/>
          <w:szCs w:val="24"/>
        </w:rPr>
        <w:t>apply in this matter. Her argument was simply</w:t>
      </w:r>
      <w:r w:rsidR="008F4AA2" w:rsidRPr="003466A7">
        <w:rPr>
          <w:rFonts w:ascii="Arial" w:hAnsi="Arial" w:cs="Arial"/>
          <w:sz w:val="24"/>
          <w:szCs w:val="24"/>
        </w:rPr>
        <w:t xml:space="preserve"> that</w:t>
      </w:r>
      <w:r w:rsidR="007F426D" w:rsidRPr="003466A7">
        <w:rPr>
          <w:rFonts w:ascii="Arial" w:hAnsi="Arial" w:cs="Arial"/>
          <w:sz w:val="24"/>
          <w:szCs w:val="24"/>
        </w:rPr>
        <w:t xml:space="preserve"> the amounts withheld from SARS qualified as proceeds of unlawful activities. In addition, the respondents were creating a dispute of fact where there is none to create confusion.</w:t>
      </w:r>
    </w:p>
    <w:p w14:paraId="4C94D7B1" w14:textId="77777777" w:rsidR="00A31A9A" w:rsidRPr="000E5970" w:rsidRDefault="00A31A9A" w:rsidP="003A5FF0">
      <w:pPr>
        <w:spacing w:after="0" w:line="360" w:lineRule="auto"/>
        <w:ind w:left="720" w:hanging="720"/>
        <w:jc w:val="both"/>
        <w:rPr>
          <w:rFonts w:ascii="Arial" w:hAnsi="Arial" w:cs="Arial"/>
          <w:sz w:val="28"/>
          <w:szCs w:val="28"/>
        </w:rPr>
      </w:pPr>
    </w:p>
    <w:p w14:paraId="4B2211B0" w14:textId="130086B9" w:rsidR="00BE2ADF" w:rsidRPr="003466A7" w:rsidRDefault="008F4AA2" w:rsidP="003A5FF0">
      <w:pPr>
        <w:spacing w:after="0" w:line="360" w:lineRule="auto"/>
        <w:ind w:left="720" w:hanging="720"/>
        <w:jc w:val="both"/>
        <w:rPr>
          <w:rFonts w:ascii="Arial" w:hAnsi="Arial" w:cs="Arial"/>
          <w:sz w:val="24"/>
          <w:szCs w:val="24"/>
        </w:rPr>
      </w:pPr>
      <w:r w:rsidRPr="003466A7">
        <w:rPr>
          <w:rFonts w:ascii="Arial" w:hAnsi="Arial" w:cs="Arial"/>
          <w:sz w:val="24"/>
          <w:szCs w:val="24"/>
        </w:rPr>
        <w:lastRenderedPageBreak/>
        <w:t>[13</w:t>
      </w:r>
      <w:r w:rsidR="00A31A9A" w:rsidRPr="003466A7">
        <w:rPr>
          <w:rFonts w:ascii="Arial" w:hAnsi="Arial" w:cs="Arial"/>
          <w:sz w:val="24"/>
          <w:szCs w:val="24"/>
        </w:rPr>
        <w:t>]</w:t>
      </w:r>
      <w:r w:rsidR="00A31A9A" w:rsidRPr="003466A7">
        <w:rPr>
          <w:rFonts w:ascii="Arial" w:hAnsi="Arial" w:cs="Arial"/>
          <w:sz w:val="24"/>
          <w:szCs w:val="24"/>
        </w:rPr>
        <w:tab/>
      </w:r>
      <w:r w:rsidR="007F426D" w:rsidRPr="003466A7">
        <w:rPr>
          <w:rFonts w:ascii="Arial" w:hAnsi="Arial" w:cs="Arial"/>
          <w:sz w:val="24"/>
          <w:szCs w:val="24"/>
        </w:rPr>
        <w:t>In rebuttal, counsel for the res</w:t>
      </w:r>
      <w:r w:rsidRPr="003466A7">
        <w:rPr>
          <w:rFonts w:ascii="Arial" w:hAnsi="Arial" w:cs="Arial"/>
          <w:sz w:val="24"/>
          <w:szCs w:val="24"/>
        </w:rPr>
        <w:t xml:space="preserve">pondents argued strongly that </w:t>
      </w:r>
      <w:r w:rsidR="007F426D" w:rsidRPr="003466A7">
        <w:rPr>
          <w:rFonts w:ascii="Arial" w:hAnsi="Arial" w:cs="Arial"/>
          <w:sz w:val="24"/>
          <w:szCs w:val="24"/>
        </w:rPr>
        <w:t>it was only the first respondent who had not complied with its tax obligations. That</w:t>
      </w:r>
      <w:r w:rsidRPr="003466A7">
        <w:rPr>
          <w:rFonts w:ascii="Arial" w:hAnsi="Arial" w:cs="Arial"/>
          <w:sz w:val="24"/>
          <w:szCs w:val="24"/>
        </w:rPr>
        <w:t xml:space="preserve"> granted</w:t>
      </w:r>
      <w:r w:rsidR="007F426D" w:rsidRPr="003466A7">
        <w:rPr>
          <w:rFonts w:ascii="Arial" w:hAnsi="Arial" w:cs="Arial"/>
          <w:sz w:val="24"/>
          <w:szCs w:val="24"/>
        </w:rPr>
        <w:t xml:space="preserve"> did not automatically mean that the applicant will secure a conviction. The most important point made was that none of the statutory offences levelled against the respondents were in existence at the stated period. Theref</w:t>
      </w:r>
      <w:r w:rsidR="00B91F8A" w:rsidRPr="003466A7">
        <w:rPr>
          <w:rFonts w:ascii="Arial" w:hAnsi="Arial" w:cs="Arial"/>
          <w:sz w:val="24"/>
          <w:szCs w:val="24"/>
        </w:rPr>
        <w:t>ore, the conduct sustaining the charges did not constitute an offence at the time.</w:t>
      </w:r>
    </w:p>
    <w:p w14:paraId="21518DC1" w14:textId="77777777" w:rsidR="00BE2ADF" w:rsidRPr="000E5970" w:rsidRDefault="00BE2ADF" w:rsidP="003A5FF0">
      <w:pPr>
        <w:spacing w:after="0" w:line="360" w:lineRule="auto"/>
        <w:ind w:left="720" w:hanging="720"/>
        <w:jc w:val="both"/>
        <w:rPr>
          <w:rFonts w:ascii="Arial" w:hAnsi="Arial" w:cs="Arial"/>
          <w:sz w:val="28"/>
          <w:szCs w:val="28"/>
        </w:rPr>
      </w:pPr>
    </w:p>
    <w:p w14:paraId="3D23C6A8" w14:textId="7A487164" w:rsidR="00A31A9A" w:rsidRPr="003466A7" w:rsidRDefault="008F4AA2" w:rsidP="003A5FF0">
      <w:pPr>
        <w:spacing w:after="0" w:line="360" w:lineRule="auto"/>
        <w:ind w:left="720" w:hanging="720"/>
        <w:jc w:val="both"/>
        <w:rPr>
          <w:rFonts w:ascii="Arial" w:hAnsi="Arial" w:cs="Arial"/>
          <w:sz w:val="24"/>
          <w:szCs w:val="24"/>
        </w:rPr>
      </w:pPr>
      <w:r w:rsidRPr="003466A7">
        <w:rPr>
          <w:rFonts w:ascii="Arial" w:hAnsi="Arial" w:cs="Arial"/>
          <w:sz w:val="24"/>
          <w:szCs w:val="24"/>
        </w:rPr>
        <w:t>[14</w:t>
      </w:r>
      <w:r w:rsidR="00BE2ADF" w:rsidRPr="003466A7">
        <w:rPr>
          <w:rFonts w:ascii="Arial" w:hAnsi="Arial" w:cs="Arial"/>
          <w:sz w:val="24"/>
          <w:szCs w:val="24"/>
        </w:rPr>
        <w:t>]</w:t>
      </w:r>
      <w:r w:rsidR="00BE2ADF" w:rsidRPr="003466A7">
        <w:rPr>
          <w:rFonts w:ascii="Arial" w:hAnsi="Arial" w:cs="Arial"/>
          <w:sz w:val="24"/>
          <w:szCs w:val="24"/>
        </w:rPr>
        <w:tab/>
      </w:r>
      <w:r w:rsidR="00B91F8A" w:rsidRPr="003466A7">
        <w:rPr>
          <w:rFonts w:ascii="Arial" w:hAnsi="Arial" w:cs="Arial"/>
          <w:sz w:val="24"/>
          <w:szCs w:val="24"/>
        </w:rPr>
        <w:t xml:space="preserve">The next contention was that the court must look at the </w:t>
      </w:r>
      <w:r w:rsidR="00B91F8A" w:rsidRPr="003466A7">
        <w:rPr>
          <w:rFonts w:ascii="Arial" w:hAnsi="Arial" w:cs="Arial"/>
          <w:i/>
          <w:sz w:val="24"/>
          <w:szCs w:val="24"/>
        </w:rPr>
        <w:t xml:space="preserve">actus reus </w:t>
      </w:r>
      <w:r w:rsidR="00B91F8A" w:rsidRPr="003466A7">
        <w:rPr>
          <w:rFonts w:ascii="Arial" w:hAnsi="Arial" w:cs="Arial"/>
          <w:sz w:val="24"/>
          <w:szCs w:val="24"/>
        </w:rPr>
        <w:t>of each and every accused person</w:t>
      </w:r>
      <w:r w:rsidRPr="003466A7">
        <w:rPr>
          <w:rFonts w:ascii="Arial" w:hAnsi="Arial" w:cs="Arial"/>
          <w:sz w:val="24"/>
          <w:szCs w:val="24"/>
        </w:rPr>
        <w:t xml:space="preserve"> to conclude that there was evidence required to secure a conviction</w:t>
      </w:r>
      <w:r w:rsidR="00B91F8A" w:rsidRPr="003466A7">
        <w:rPr>
          <w:rFonts w:ascii="Arial" w:hAnsi="Arial" w:cs="Arial"/>
          <w:sz w:val="24"/>
          <w:szCs w:val="24"/>
        </w:rPr>
        <w:t>. In this matter the second and third respondents were not charged in their capacity as directors. Counsel pointed out that the applicant has not made out a case in the papers</w:t>
      </w:r>
      <w:r w:rsidRPr="003466A7">
        <w:rPr>
          <w:rFonts w:ascii="Arial" w:hAnsi="Arial" w:cs="Arial"/>
          <w:sz w:val="24"/>
          <w:szCs w:val="24"/>
        </w:rPr>
        <w:t xml:space="preserve"> concerning the offence(s) that may lead to conviction</w:t>
      </w:r>
      <w:r w:rsidR="00B91F8A" w:rsidRPr="003466A7">
        <w:rPr>
          <w:rFonts w:ascii="Arial" w:hAnsi="Arial" w:cs="Arial"/>
          <w:sz w:val="24"/>
          <w:szCs w:val="24"/>
        </w:rPr>
        <w:t>. It must be sufficiently</w:t>
      </w:r>
      <w:r w:rsidR="00B157E6" w:rsidRPr="003466A7">
        <w:rPr>
          <w:rFonts w:ascii="Arial" w:hAnsi="Arial" w:cs="Arial"/>
          <w:sz w:val="24"/>
          <w:szCs w:val="24"/>
        </w:rPr>
        <w:t xml:space="preserve"> stated in the papers what are those “any other offences” that they might be found guilty of.</w:t>
      </w:r>
    </w:p>
    <w:p w14:paraId="670E8805" w14:textId="77777777" w:rsidR="00F17813" w:rsidRPr="000E5970" w:rsidRDefault="00F17813" w:rsidP="003A5FF0">
      <w:pPr>
        <w:spacing w:after="0" w:line="360" w:lineRule="auto"/>
        <w:ind w:left="720" w:hanging="720"/>
        <w:jc w:val="both"/>
        <w:rPr>
          <w:rFonts w:ascii="Arial" w:hAnsi="Arial" w:cs="Arial"/>
          <w:sz w:val="28"/>
          <w:szCs w:val="28"/>
        </w:rPr>
      </w:pPr>
    </w:p>
    <w:p w14:paraId="2DF7AFFC" w14:textId="1193DAC9" w:rsidR="00496EE7" w:rsidRPr="003466A7" w:rsidRDefault="008F4AA2" w:rsidP="00496EE7">
      <w:pPr>
        <w:spacing w:after="0" w:line="360" w:lineRule="auto"/>
        <w:ind w:left="720" w:hanging="720"/>
        <w:jc w:val="both"/>
        <w:rPr>
          <w:rFonts w:ascii="Arial" w:hAnsi="Arial" w:cs="Arial"/>
          <w:b/>
          <w:sz w:val="24"/>
          <w:szCs w:val="24"/>
          <w:u w:val="single"/>
        </w:rPr>
      </w:pPr>
      <w:r w:rsidRPr="003466A7">
        <w:rPr>
          <w:rFonts w:ascii="Arial" w:hAnsi="Arial" w:cs="Arial"/>
          <w:sz w:val="24"/>
          <w:szCs w:val="24"/>
        </w:rPr>
        <w:t>[15</w:t>
      </w:r>
      <w:r w:rsidR="00F17813" w:rsidRPr="003466A7">
        <w:rPr>
          <w:rFonts w:ascii="Arial" w:hAnsi="Arial" w:cs="Arial"/>
          <w:sz w:val="24"/>
          <w:szCs w:val="24"/>
        </w:rPr>
        <w:t>]</w:t>
      </w:r>
      <w:r w:rsidR="00F17813" w:rsidRPr="003466A7">
        <w:rPr>
          <w:rFonts w:ascii="Arial" w:hAnsi="Arial" w:cs="Arial"/>
          <w:sz w:val="24"/>
          <w:szCs w:val="24"/>
        </w:rPr>
        <w:tab/>
      </w:r>
      <w:r w:rsidR="00B157E6" w:rsidRPr="003466A7">
        <w:rPr>
          <w:rFonts w:ascii="Arial" w:hAnsi="Arial" w:cs="Arial"/>
          <w:sz w:val="24"/>
          <w:szCs w:val="24"/>
        </w:rPr>
        <w:t xml:space="preserve">He submitted that the second and third respondents are also taxpayers and it is common cause that they are tax compliant. He differed with counsel for the applicant that the amount is </w:t>
      </w:r>
      <w:r w:rsidRPr="003466A7">
        <w:rPr>
          <w:rFonts w:ascii="Arial" w:hAnsi="Arial" w:cs="Arial"/>
          <w:sz w:val="24"/>
          <w:szCs w:val="24"/>
        </w:rPr>
        <w:t>ir</w:t>
      </w:r>
      <w:r w:rsidR="00B157E6" w:rsidRPr="003466A7">
        <w:rPr>
          <w:rFonts w:ascii="Arial" w:hAnsi="Arial" w:cs="Arial"/>
          <w:sz w:val="24"/>
          <w:szCs w:val="24"/>
        </w:rPr>
        <w:t>relevant. The case that the respondents are called to meet is failure to pay not theft/fraud. He emphasised that the provisions of one Act cannot be used to achieve some</w:t>
      </w:r>
      <w:r w:rsidRPr="003466A7">
        <w:rPr>
          <w:rFonts w:ascii="Arial" w:hAnsi="Arial" w:cs="Arial"/>
          <w:sz w:val="24"/>
          <w:szCs w:val="24"/>
        </w:rPr>
        <w:t>thing dealt with in another Act</w:t>
      </w:r>
      <w:r w:rsidR="003466A7">
        <w:rPr>
          <w:rFonts w:ascii="Arial" w:hAnsi="Arial" w:cs="Arial"/>
          <w:sz w:val="24"/>
          <w:szCs w:val="24"/>
        </w:rPr>
        <w:t>.</w:t>
      </w:r>
    </w:p>
    <w:p w14:paraId="4AE96069" w14:textId="77777777" w:rsidR="00496EE7" w:rsidRDefault="00496EE7" w:rsidP="00496EE7">
      <w:pPr>
        <w:spacing w:after="0" w:line="360" w:lineRule="auto"/>
        <w:ind w:left="720" w:hanging="720"/>
        <w:jc w:val="both"/>
        <w:rPr>
          <w:rFonts w:ascii="Arial" w:hAnsi="Arial" w:cs="Arial"/>
          <w:b/>
          <w:sz w:val="24"/>
          <w:szCs w:val="24"/>
          <w:u w:val="single"/>
        </w:rPr>
      </w:pPr>
    </w:p>
    <w:p w14:paraId="4EE539D1" w14:textId="14560115" w:rsidR="00D64347" w:rsidRPr="003466A7" w:rsidRDefault="00496EE7" w:rsidP="00496EE7">
      <w:pPr>
        <w:spacing w:after="0" w:line="360" w:lineRule="auto"/>
        <w:ind w:left="720" w:hanging="720"/>
        <w:jc w:val="both"/>
        <w:rPr>
          <w:rFonts w:ascii="Arial" w:hAnsi="Arial" w:cs="Arial"/>
          <w:sz w:val="24"/>
          <w:szCs w:val="24"/>
        </w:rPr>
      </w:pPr>
      <w:r w:rsidRPr="003466A7">
        <w:rPr>
          <w:rFonts w:ascii="Arial" w:hAnsi="Arial" w:cs="Arial"/>
          <w:sz w:val="24"/>
          <w:szCs w:val="24"/>
        </w:rPr>
        <w:t xml:space="preserve"> </w:t>
      </w:r>
      <w:r w:rsidR="008F4AA2" w:rsidRPr="003466A7">
        <w:rPr>
          <w:rFonts w:ascii="Arial" w:hAnsi="Arial" w:cs="Arial"/>
          <w:sz w:val="24"/>
          <w:szCs w:val="24"/>
        </w:rPr>
        <w:t>[16</w:t>
      </w:r>
      <w:r w:rsidR="00F17813" w:rsidRPr="003466A7">
        <w:rPr>
          <w:rFonts w:ascii="Arial" w:hAnsi="Arial" w:cs="Arial"/>
          <w:sz w:val="24"/>
          <w:szCs w:val="24"/>
        </w:rPr>
        <w:t>]</w:t>
      </w:r>
      <w:r w:rsidR="00F17813" w:rsidRPr="003466A7">
        <w:rPr>
          <w:rFonts w:ascii="Arial" w:hAnsi="Arial" w:cs="Arial"/>
          <w:sz w:val="24"/>
          <w:szCs w:val="24"/>
        </w:rPr>
        <w:tab/>
      </w:r>
      <w:r w:rsidR="00B157E6" w:rsidRPr="003466A7">
        <w:rPr>
          <w:rFonts w:ascii="Arial" w:hAnsi="Arial" w:cs="Arial"/>
          <w:sz w:val="24"/>
          <w:szCs w:val="24"/>
        </w:rPr>
        <w:t xml:space="preserve">He pointed out that in this matter the second and third respondents were being punished </w:t>
      </w:r>
      <w:r w:rsidR="004A225E" w:rsidRPr="003466A7">
        <w:rPr>
          <w:rFonts w:ascii="Arial" w:hAnsi="Arial" w:cs="Arial"/>
          <w:sz w:val="24"/>
          <w:szCs w:val="24"/>
        </w:rPr>
        <w:t>for the omissions of others. All the same the failure to pay was not wilful</w:t>
      </w:r>
      <w:r w:rsidR="00CF02EB">
        <w:rPr>
          <w:rFonts w:ascii="Arial" w:hAnsi="Arial" w:cs="Arial"/>
          <w:sz w:val="24"/>
          <w:szCs w:val="24"/>
        </w:rPr>
        <w:t>,</w:t>
      </w:r>
      <w:r w:rsidR="004A225E" w:rsidRPr="003466A7">
        <w:rPr>
          <w:rFonts w:ascii="Arial" w:hAnsi="Arial" w:cs="Arial"/>
          <w:sz w:val="24"/>
          <w:szCs w:val="24"/>
        </w:rPr>
        <w:t xml:space="preserve"> but due to difficult business climate that existed at the time. The cardinal point made was that some offences eithe</w:t>
      </w:r>
      <w:r w:rsidR="008F4AA2" w:rsidRPr="003466A7">
        <w:rPr>
          <w:rFonts w:ascii="Arial" w:hAnsi="Arial" w:cs="Arial"/>
          <w:sz w:val="24"/>
          <w:szCs w:val="24"/>
        </w:rPr>
        <w:t>r did not exist or were repealed</w:t>
      </w:r>
      <w:r w:rsidR="004A225E" w:rsidRPr="003466A7">
        <w:rPr>
          <w:rFonts w:ascii="Arial" w:hAnsi="Arial" w:cs="Arial"/>
          <w:sz w:val="24"/>
          <w:szCs w:val="24"/>
        </w:rPr>
        <w:t>. Therefore, the application should be d</w:t>
      </w:r>
      <w:r w:rsidR="00A16964" w:rsidRPr="003466A7">
        <w:rPr>
          <w:rFonts w:ascii="Arial" w:hAnsi="Arial" w:cs="Arial"/>
          <w:sz w:val="24"/>
          <w:szCs w:val="24"/>
        </w:rPr>
        <w:t>ismissed with costs</w:t>
      </w:r>
      <w:r w:rsidR="008F4AA2" w:rsidRPr="003466A7">
        <w:rPr>
          <w:rFonts w:ascii="Arial" w:hAnsi="Arial" w:cs="Arial"/>
          <w:sz w:val="24"/>
          <w:szCs w:val="24"/>
        </w:rPr>
        <w:t xml:space="preserve"> on a punitive scale</w:t>
      </w:r>
      <w:r w:rsidR="00A16964" w:rsidRPr="003466A7">
        <w:rPr>
          <w:rFonts w:ascii="Arial" w:hAnsi="Arial" w:cs="Arial"/>
          <w:sz w:val="24"/>
          <w:szCs w:val="24"/>
        </w:rPr>
        <w:t>.</w:t>
      </w:r>
    </w:p>
    <w:p w14:paraId="041374E7" w14:textId="77777777" w:rsidR="00D64347" w:rsidRPr="000E5970" w:rsidRDefault="00D64347" w:rsidP="003A5FF0">
      <w:pPr>
        <w:spacing w:after="0" w:line="360" w:lineRule="auto"/>
        <w:ind w:left="720" w:hanging="720"/>
        <w:jc w:val="both"/>
        <w:rPr>
          <w:rFonts w:ascii="Arial" w:hAnsi="Arial" w:cs="Arial"/>
          <w:sz w:val="28"/>
          <w:szCs w:val="28"/>
        </w:rPr>
      </w:pPr>
    </w:p>
    <w:p w14:paraId="3EB04F0B" w14:textId="6F9C0166" w:rsidR="00B63F70" w:rsidRPr="00CF02EB" w:rsidRDefault="00B7309D" w:rsidP="00B63F70">
      <w:pPr>
        <w:spacing w:after="0" w:line="360" w:lineRule="auto"/>
        <w:ind w:left="720" w:hanging="720"/>
        <w:jc w:val="both"/>
        <w:rPr>
          <w:rFonts w:ascii="Arial" w:hAnsi="Arial" w:cs="Arial"/>
          <w:sz w:val="24"/>
          <w:szCs w:val="24"/>
        </w:rPr>
      </w:pPr>
      <w:r w:rsidRPr="00CF02EB">
        <w:rPr>
          <w:rFonts w:ascii="Arial" w:hAnsi="Arial" w:cs="Arial"/>
          <w:sz w:val="24"/>
          <w:szCs w:val="24"/>
        </w:rPr>
        <w:t>[17</w:t>
      </w:r>
      <w:r w:rsidR="00B63F70" w:rsidRPr="00CF02EB">
        <w:rPr>
          <w:rFonts w:ascii="Arial" w:hAnsi="Arial" w:cs="Arial"/>
          <w:sz w:val="24"/>
          <w:szCs w:val="24"/>
        </w:rPr>
        <w:t>]</w:t>
      </w:r>
      <w:r w:rsidR="00B63F70" w:rsidRPr="00CF02EB">
        <w:rPr>
          <w:rFonts w:ascii="Arial" w:hAnsi="Arial" w:cs="Arial"/>
          <w:sz w:val="24"/>
          <w:szCs w:val="24"/>
        </w:rPr>
        <w:tab/>
      </w:r>
      <w:r w:rsidR="007055BD" w:rsidRPr="00CF02EB">
        <w:rPr>
          <w:rFonts w:ascii="Arial" w:hAnsi="Arial" w:cs="Arial"/>
          <w:sz w:val="24"/>
          <w:szCs w:val="24"/>
        </w:rPr>
        <w:t>The</w:t>
      </w:r>
      <w:r w:rsidR="00496EE7" w:rsidRPr="00CF02EB">
        <w:rPr>
          <w:rFonts w:ascii="Arial" w:hAnsi="Arial" w:cs="Arial"/>
          <w:sz w:val="24"/>
          <w:szCs w:val="24"/>
        </w:rPr>
        <w:t xml:space="preserve"> </w:t>
      </w:r>
      <w:r w:rsidR="00A16964" w:rsidRPr="00CF02EB">
        <w:rPr>
          <w:rFonts w:ascii="Arial" w:hAnsi="Arial" w:cs="Arial"/>
          <w:sz w:val="24"/>
          <w:szCs w:val="24"/>
        </w:rPr>
        <w:t>general rule is that final relief may only be granted if those facts as stated by the respondent, together</w:t>
      </w:r>
      <w:r w:rsidR="00C026DB" w:rsidRPr="00CF02EB">
        <w:rPr>
          <w:rFonts w:ascii="Arial" w:hAnsi="Arial" w:cs="Arial"/>
          <w:sz w:val="24"/>
          <w:szCs w:val="24"/>
        </w:rPr>
        <w:t xml:space="preserve"> with those facts stated by the applicant that are admitted by the respondent, justify the granting of the order.</w:t>
      </w:r>
      <w:r w:rsidR="00C026DB" w:rsidRPr="00CF02EB">
        <w:rPr>
          <w:rStyle w:val="FootnoteReference"/>
          <w:rFonts w:ascii="Arial" w:hAnsi="Arial" w:cs="Arial"/>
          <w:sz w:val="24"/>
          <w:szCs w:val="24"/>
        </w:rPr>
        <w:footnoteReference w:id="2"/>
      </w:r>
      <w:r w:rsidR="00C026DB" w:rsidRPr="00CF02EB">
        <w:rPr>
          <w:rFonts w:ascii="Arial" w:hAnsi="Arial" w:cs="Arial"/>
          <w:sz w:val="24"/>
          <w:szCs w:val="24"/>
        </w:rPr>
        <w:t xml:space="preserve"> The exception to this general rule can occur where the allegations or denials are so far-fetched that the court is justified in rejecting them only on the papers. The robust approach to the determination of disputes of fact in certain circumstances </w:t>
      </w:r>
      <w:r w:rsidR="00C026DB" w:rsidRPr="00CF02EB">
        <w:rPr>
          <w:rFonts w:ascii="Arial" w:hAnsi="Arial" w:cs="Arial"/>
          <w:sz w:val="24"/>
          <w:szCs w:val="24"/>
        </w:rPr>
        <w:lastRenderedPageBreak/>
        <w:t xml:space="preserve">allows more discretion </w:t>
      </w:r>
      <w:r w:rsidR="00245D93" w:rsidRPr="00CF02EB">
        <w:rPr>
          <w:rFonts w:ascii="Arial" w:hAnsi="Arial" w:cs="Arial"/>
          <w:sz w:val="24"/>
          <w:szCs w:val="24"/>
        </w:rPr>
        <w:t>in ordering final relief on consideration of affidavits filed. This is the best approach that will be followed in this matter.</w:t>
      </w:r>
    </w:p>
    <w:p w14:paraId="1E795863" w14:textId="77777777" w:rsidR="00B63F70" w:rsidRPr="000E5970" w:rsidRDefault="00B63F70" w:rsidP="00B63F70">
      <w:pPr>
        <w:spacing w:after="0" w:line="360" w:lineRule="auto"/>
        <w:ind w:left="720" w:hanging="720"/>
        <w:jc w:val="both"/>
        <w:rPr>
          <w:rFonts w:ascii="Arial" w:hAnsi="Arial" w:cs="Arial"/>
          <w:sz w:val="28"/>
          <w:szCs w:val="28"/>
        </w:rPr>
      </w:pPr>
    </w:p>
    <w:p w14:paraId="5D2ECDB7" w14:textId="51ABDD76" w:rsidR="008C2B20" w:rsidRPr="00CF02EB" w:rsidRDefault="00B63F70" w:rsidP="008C2B20">
      <w:pPr>
        <w:spacing w:after="0" w:line="360" w:lineRule="auto"/>
        <w:ind w:left="720" w:hanging="720"/>
        <w:jc w:val="both"/>
        <w:rPr>
          <w:rFonts w:ascii="Arial" w:hAnsi="Arial" w:cs="Arial"/>
          <w:sz w:val="24"/>
          <w:szCs w:val="24"/>
        </w:rPr>
      </w:pPr>
      <w:r w:rsidRPr="000E5970">
        <w:rPr>
          <w:rFonts w:ascii="Arial" w:hAnsi="Arial" w:cs="Arial"/>
          <w:sz w:val="28"/>
          <w:szCs w:val="28"/>
        </w:rPr>
        <w:t xml:space="preserve"> </w:t>
      </w:r>
      <w:r w:rsidR="00B7309D" w:rsidRPr="00CF02EB">
        <w:rPr>
          <w:rFonts w:ascii="Arial" w:hAnsi="Arial" w:cs="Arial"/>
          <w:sz w:val="24"/>
          <w:szCs w:val="24"/>
        </w:rPr>
        <w:t>[18</w:t>
      </w:r>
      <w:r w:rsidR="008C2B20" w:rsidRPr="00CF02EB">
        <w:rPr>
          <w:rFonts w:ascii="Arial" w:hAnsi="Arial" w:cs="Arial"/>
          <w:sz w:val="24"/>
          <w:szCs w:val="24"/>
        </w:rPr>
        <w:t>]</w:t>
      </w:r>
      <w:r w:rsidR="008C2B20" w:rsidRPr="00CF02EB">
        <w:rPr>
          <w:rFonts w:ascii="Arial" w:hAnsi="Arial" w:cs="Arial"/>
          <w:sz w:val="24"/>
          <w:szCs w:val="24"/>
        </w:rPr>
        <w:tab/>
      </w:r>
      <w:r w:rsidR="00245D93" w:rsidRPr="00CF02EB">
        <w:rPr>
          <w:rFonts w:ascii="Arial" w:hAnsi="Arial" w:cs="Arial"/>
          <w:sz w:val="24"/>
          <w:szCs w:val="24"/>
        </w:rPr>
        <w:t>In motion proceedings an applicant must set out all the material facts of the case in the founding affidavit. Both counsel analysed it correctly that the question is whether there is evidence on reasonable grounds for believing that the respondents may at a later stage be convicted of any offence. Certainly this does not assume that because a charge sheet has been issued and served then that on its own fulfil the requirement that someone will be convicted.</w:t>
      </w:r>
      <w:r w:rsidR="00B7309D" w:rsidRPr="00CF02EB">
        <w:rPr>
          <w:rFonts w:ascii="Arial" w:hAnsi="Arial" w:cs="Arial"/>
          <w:sz w:val="24"/>
          <w:szCs w:val="24"/>
        </w:rPr>
        <w:t xml:space="preserve"> Those charges must be sustained by evidence.</w:t>
      </w:r>
    </w:p>
    <w:p w14:paraId="642174F2" w14:textId="77777777" w:rsidR="008C2B20" w:rsidRPr="000E5970" w:rsidRDefault="008C2B20" w:rsidP="008C2B20">
      <w:pPr>
        <w:spacing w:after="0" w:line="360" w:lineRule="auto"/>
        <w:ind w:left="720" w:hanging="720"/>
        <w:jc w:val="both"/>
        <w:rPr>
          <w:rFonts w:ascii="Arial" w:hAnsi="Arial" w:cs="Arial"/>
          <w:sz w:val="28"/>
          <w:szCs w:val="28"/>
        </w:rPr>
      </w:pPr>
    </w:p>
    <w:p w14:paraId="295155E2" w14:textId="03934476" w:rsidR="00F17813" w:rsidRPr="00CF02EB" w:rsidRDefault="00B7309D" w:rsidP="00ED1AE2">
      <w:pPr>
        <w:spacing w:after="0" w:line="360" w:lineRule="auto"/>
        <w:ind w:left="720" w:hanging="720"/>
        <w:jc w:val="both"/>
        <w:rPr>
          <w:rFonts w:ascii="Arial" w:hAnsi="Arial" w:cs="Arial"/>
          <w:sz w:val="24"/>
          <w:szCs w:val="24"/>
        </w:rPr>
      </w:pPr>
      <w:r w:rsidRPr="00CF02EB">
        <w:rPr>
          <w:rFonts w:ascii="Arial" w:hAnsi="Arial" w:cs="Arial"/>
          <w:sz w:val="24"/>
          <w:szCs w:val="24"/>
        </w:rPr>
        <w:t>[19</w:t>
      </w:r>
      <w:r w:rsidR="00D64347" w:rsidRPr="00CF02EB">
        <w:rPr>
          <w:rFonts w:ascii="Arial" w:hAnsi="Arial" w:cs="Arial"/>
          <w:sz w:val="24"/>
          <w:szCs w:val="24"/>
        </w:rPr>
        <w:t>]</w:t>
      </w:r>
      <w:r w:rsidR="00D64347" w:rsidRPr="00CF02EB">
        <w:rPr>
          <w:rFonts w:ascii="Arial" w:hAnsi="Arial" w:cs="Arial"/>
          <w:sz w:val="24"/>
          <w:szCs w:val="24"/>
        </w:rPr>
        <w:tab/>
      </w:r>
      <w:r w:rsidR="00245D93" w:rsidRPr="00CF02EB">
        <w:rPr>
          <w:rFonts w:ascii="Arial" w:hAnsi="Arial" w:cs="Arial"/>
          <w:sz w:val="24"/>
          <w:szCs w:val="24"/>
        </w:rPr>
        <w:t xml:space="preserve">Counsel for the applicant was at pains to explain exactly what offences the respondents may be convicted with. It must be clear to the respondents the exact terms of the case they are invited to meet. Clearly this submission is </w:t>
      </w:r>
      <w:r w:rsidR="00544E95" w:rsidRPr="00CF02EB">
        <w:rPr>
          <w:rFonts w:ascii="Arial" w:hAnsi="Arial" w:cs="Arial"/>
          <w:sz w:val="24"/>
          <w:szCs w:val="24"/>
        </w:rPr>
        <w:t>unhelpful and does not advance the case of the applicant. If counsel could not herself divulge the offences referred to, it is a long task for the court to make such assumption.</w:t>
      </w:r>
    </w:p>
    <w:p w14:paraId="30C2F031" w14:textId="77777777" w:rsidR="00B70D67" w:rsidRPr="000E5970" w:rsidRDefault="00B70D67" w:rsidP="003A5FF0">
      <w:pPr>
        <w:spacing w:after="0" w:line="360" w:lineRule="auto"/>
        <w:ind w:left="720" w:hanging="720"/>
        <w:jc w:val="both"/>
        <w:rPr>
          <w:rFonts w:ascii="Arial" w:hAnsi="Arial" w:cs="Arial"/>
          <w:sz w:val="28"/>
          <w:szCs w:val="28"/>
        </w:rPr>
      </w:pPr>
    </w:p>
    <w:p w14:paraId="41854B9C" w14:textId="25F9299E" w:rsidR="00B70D67" w:rsidRPr="00CF02EB" w:rsidRDefault="00B92CDD" w:rsidP="003A5FF0">
      <w:pPr>
        <w:spacing w:after="0" w:line="360" w:lineRule="auto"/>
        <w:ind w:left="720" w:hanging="720"/>
        <w:jc w:val="both"/>
        <w:rPr>
          <w:rFonts w:ascii="Arial" w:hAnsi="Arial" w:cs="Arial"/>
          <w:sz w:val="24"/>
          <w:szCs w:val="24"/>
        </w:rPr>
      </w:pPr>
      <w:r w:rsidRPr="00CF02EB">
        <w:rPr>
          <w:rFonts w:ascii="Arial" w:hAnsi="Arial" w:cs="Arial"/>
          <w:sz w:val="24"/>
          <w:szCs w:val="24"/>
        </w:rPr>
        <w:t>[</w:t>
      </w:r>
      <w:r w:rsidR="00B7309D" w:rsidRPr="00CF02EB">
        <w:rPr>
          <w:rFonts w:ascii="Arial" w:hAnsi="Arial" w:cs="Arial"/>
          <w:sz w:val="24"/>
          <w:szCs w:val="24"/>
        </w:rPr>
        <w:t>20</w:t>
      </w:r>
      <w:r w:rsidR="00B70D67" w:rsidRPr="00CF02EB">
        <w:rPr>
          <w:rFonts w:ascii="Arial" w:hAnsi="Arial" w:cs="Arial"/>
          <w:sz w:val="24"/>
          <w:szCs w:val="24"/>
        </w:rPr>
        <w:t>]</w:t>
      </w:r>
      <w:r w:rsidR="00B70D67" w:rsidRPr="00CF02EB">
        <w:rPr>
          <w:rFonts w:ascii="Arial" w:hAnsi="Arial" w:cs="Arial"/>
          <w:sz w:val="24"/>
          <w:szCs w:val="24"/>
        </w:rPr>
        <w:tab/>
      </w:r>
      <w:r w:rsidR="00544E95" w:rsidRPr="00CF02EB">
        <w:rPr>
          <w:rFonts w:ascii="Arial" w:hAnsi="Arial" w:cs="Arial"/>
          <w:sz w:val="24"/>
          <w:szCs w:val="24"/>
        </w:rPr>
        <w:t>The respondents</w:t>
      </w:r>
      <w:r w:rsidR="00B848C6" w:rsidRPr="00CF02EB">
        <w:rPr>
          <w:rFonts w:ascii="Arial" w:hAnsi="Arial" w:cs="Arial"/>
          <w:sz w:val="24"/>
          <w:szCs w:val="24"/>
        </w:rPr>
        <w:t xml:space="preserve"> are not charged with theft of the V</w:t>
      </w:r>
      <w:r w:rsidR="009356CD" w:rsidRPr="00CF02EB">
        <w:rPr>
          <w:rFonts w:ascii="Arial" w:hAnsi="Arial" w:cs="Arial"/>
          <w:sz w:val="24"/>
          <w:szCs w:val="24"/>
        </w:rPr>
        <w:t>AT</w:t>
      </w:r>
      <w:r w:rsidR="00B848C6" w:rsidRPr="00CF02EB">
        <w:rPr>
          <w:rFonts w:ascii="Arial" w:hAnsi="Arial" w:cs="Arial"/>
          <w:sz w:val="24"/>
          <w:szCs w:val="24"/>
        </w:rPr>
        <w:t xml:space="preserve">. It was also correctly </w:t>
      </w:r>
      <w:r w:rsidR="00EE0A60" w:rsidRPr="00CF02EB">
        <w:rPr>
          <w:rFonts w:ascii="Arial" w:hAnsi="Arial" w:cs="Arial"/>
          <w:sz w:val="24"/>
          <w:szCs w:val="24"/>
        </w:rPr>
        <w:t>conceded in line with the judgment of the S</w:t>
      </w:r>
      <w:r w:rsidR="0046325F" w:rsidRPr="00CF02EB">
        <w:rPr>
          <w:rFonts w:ascii="Arial" w:hAnsi="Arial" w:cs="Arial"/>
          <w:sz w:val="24"/>
          <w:szCs w:val="24"/>
        </w:rPr>
        <w:t>pil</w:t>
      </w:r>
      <w:r w:rsidR="00EE0A60" w:rsidRPr="00CF02EB">
        <w:rPr>
          <w:rFonts w:ascii="Arial" w:hAnsi="Arial" w:cs="Arial"/>
          <w:sz w:val="24"/>
          <w:szCs w:val="24"/>
        </w:rPr>
        <w:t xml:space="preserve">g J in </w:t>
      </w:r>
      <w:r w:rsidR="00EE0A60" w:rsidRPr="00CF02EB">
        <w:rPr>
          <w:rFonts w:ascii="Arial" w:hAnsi="Arial" w:cs="Arial"/>
          <w:b/>
          <w:sz w:val="24"/>
          <w:szCs w:val="24"/>
        </w:rPr>
        <w:t>G</w:t>
      </w:r>
      <w:r w:rsidR="00036E75" w:rsidRPr="00CF02EB">
        <w:rPr>
          <w:rFonts w:ascii="Arial" w:hAnsi="Arial" w:cs="Arial"/>
          <w:b/>
          <w:sz w:val="24"/>
          <w:szCs w:val="24"/>
        </w:rPr>
        <w:t>rayston T</w:t>
      </w:r>
      <w:r w:rsidR="00EE0A60" w:rsidRPr="00CF02EB">
        <w:rPr>
          <w:rFonts w:ascii="Arial" w:hAnsi="Arial" w:cs="Arial"/>
          <w:b/>
          <w:sz w:val="24"/>
          <w:szCs w:val="24"/>
        </w:rPr>
        <w:t>echnology Investment (Pty) Ltd</w:t>
      </w:r>
      <w:r w:rsidR="00160FC3">
        <w:rPr>
          <w:rFonts w:ascii="Arial" w:hAnsi="Arial" w:cs="Arial"/>
          <w:b/>
          <w:sz w:val="24"/>
          <w:szCs w:val="24"/>
        </w:rPr>
        <w:t xml:space="preserve"> and Another</w:t>
      </w:r>
      <w:r w:rsidR="00EE0A60" w:rsidRPr="00CF02EB">
        <w:rPr>
          <w:rFonts w:ascii="Arial" w:hAnsi="Arial" w:cs="Arial"/>
          <w:b/>
          <w:sz w:val="24"/>
          <w:szCs w:val="24"/>
        </w:rPr>
        <w:t xml:space="preserve"> v S</w:t>
      </w:r>
      <w:r w:rsidR="005523CC" w:rsidRPr="00CF02EB">
        <w:rPr>
          <w:rStyle w:val="FootnoteReference"/>
          <w:rFonts w:ascii="Arial" w:hAnsi="Arial" w:cs="Arial"/>
          <w:sz w:val="24"/>
          <w:szCs w:val="24"/>
        </w:rPr>
        <w:footnoteReference w:id="3"/>
      </w:r>
      <w:r w:rsidR="00EE0A60" w:rsidRPr="00CF02EB">
        <w:rPr>
          <w:rFonts w:ascii="Arial" w:hAnsi="Arial" w:cs="Arial"/>
          <w:b/>
          <w:sz w:val="24"/>
          <w:szCs w:val="24"/>
        </w:rPr>
        <w:t xml:space="preserve"> </w:t>
      </w:r>
      <w:r w:rsidR="00AF2599" w:rsidRPr="00CF02EB">
        <w:rPr>
          <w:rFonts w:ascii="Arial" w:hAnsi="Arial" w:cs="Arial"/>
          <w:sz w:val="24"/>
          <w:szCs w:val="24"/>
        </w:rPr>
        <w:t xml:space="preserve">that VAT and PAYE are incapable of being stolen. In this matter, on the respondents’ version, there was no money to even cover the key expenses of the first respondent. It was </w:t>
      </w:r>
      <w:r w:rsidR="00AF2599" w:rsidRPr="00CF02EB">
        <w:rPr>
          <w:rFonts w:ascii="Arial" w:hAnsi="Arial" w:cs="Arial"/>
          <w:i/>
          <w:sz w:val="24"/>
          <w:szCs w:val="24"/>
        </w:rPr>
        <w:t xml:space="preserve">inter alia </w:t>
      </w:r>
      <w:r w:rsidR="00AF2599" w:rsidRPr="00CF02EB">
        <w:rPr>
          <w:rFonts w:ascii="Arial" w:hAnsi="Arial" w:cs="Arial"/>
          <w:sz w:val="24"/>
          <w:szCs w:val="24"/>
        </w:rPr>
        <w:t>kept afloat by loans provided by the other respondents.</w:t>
      </w:r>
      <w:r w:rsidR="00B7309D" w:rsidRPr="00CF02EB">
        <w:rPr>
          <w:rFonts w:ascii="Arial" w:hAnsi="Arial" w:cs="Arial"/>
          <w:sz w:val="24"/>
          <w:szCs w:val="24"/>
        </w:rPr>
        <w:t xml:space="preserve"> There were no funds to ring fence for the purposes of paying the tax liability.</w:t>
      </w:r>
      <w:r w:rsidR="00AF2599" w:rsidRPr="00CF02EB">
        <w:rPr>
          <w:rFonts w:ascii="Arial" w:hAnsi="Arial" w:cs="Arial"/>
          <w:sz w:val="24"/>
          <w:szCs w:val="24"/>
        </w:rPr>
        <w:t xml:space="preserve"> It stands to reason that there is no evidence upon which the respondents may be convicted of the common law offence of theft.</w:t>
      </w:r>
    </w:p>
    <w:p w14:paraId="41D76FEB" w14:textId="77777777" w:rsidR="004F1E38" w:rsidRPr="000E5970" w:rsidRDefault="004F1E38" w:rsidP="003A5FF0">
      <w:pPr>
        <w:spacing w:after="0" w:line="360" w:lineRule="auto"/>
        <w:ind w:left="720" w:hanging="720"/>
        <w:jc w:val="both"/>
        <w:rPr>
          <w:rFonts w:ascii="Arial" w:hAnsi="Arial" w:cs="Arial"/>
          <w:sz w:val="28"/>
          <w:szCs w:val="28"/>
        </w:rPr>
      </w:pPr>
    </w:p>
    <w:p w14:paraId="79C87490" w14:textId="7CBB615C" w:rsidR="004753EA" w:rsidRPr="00160FC3" w:rsidRDefault="00B7309D" w:rsidP="00AF2599">
      <w:pPr>
        <w:spacing w:after="0" w:line="360" w:lineRule="auto"/>
        <w:ind w:left="720" w:hanging="720"/>
        <w:jc w:val="both"/>
        <w:rPr>
          <w:rFonts w:ascii="Arial" w:hAnsi="Arial" w:cs="Arial"/>
          <w:sz w:val="24"/>
          <w:szCs w:val="24"/>
        </w:rPr>
      </w:pPr>
      <w:r w:rsidRPr="00160FC3">
        <w:rPr>
          <w:rFonts w:ascii="Arial" w:hAnsi="Arial" w:cs="Arial"/>
          <w:sz w:val="24"/>
          <w:szCs w:val="24"/>
        </w:rPr>
        <w:t>[21</w:t>
      </w:r>
      <w:r w:rsidR="004F1E38" w:rsidRPr="00160FC3">
        <w:rPr>
          <w:rFonts w:ascii="Arial" w:hAnsi="Arial" w:cs="Arial"/>
          <w:sz w:val="24"/>
          <w:szCs w:val="24"/>
        </w:rPr>
        <w:t>]</w:t>
      </w:r>
      <w:r w:rsidR="004F1E38" w:rsidRPr="00160FC3">
        <w:rPr>
          <w:rFonts w:ascii="Arial" w:hAnsi="Arial" w:cs="Arial"/>
          <w:sz w:val="24"/>
          <w:szCs w:val="24"/>
        </w:rPr>
        <w:tab/>
      </w:r>
      <w:r w:rsidR="00435F7C" w:rsidRPr="00160FC3">
        <w:rPr>
          <w:rFonts w:ascii="Arial" w:hAnsi="Arial" w:cs="Arial"/>
          <w:sz w:val="24"/>
          <w:szCs w:val="24"/>
        </w:rPr>
        <w:t xml:space="preserve">The </w:t>
      </w:r>
      <w:r w:rsidR="00AF2599" w:rsidRPr="00160FC3">
        <w:rPr>
          <w:rFonts w:ascii="Arial" w:hAnsi="Arial" w:cs="Arial"/>
          <w:sz w:val="24"/>
          <w:szCs w:val="24"/>
        </w:rPr>
        <w:t>first respondent is the taxpayer that failed to meet its tax obligations. It is a separate entity on its own. The other taxpayers are tax compliant. There is no evidence on the papers</w:t>
      </w:r>
      <w:r w:rsidRPr="00160FC3">
        <w:rPr>
          <w:rFonts w:ascii="Arial" w:hAnsi="Arial" w:cs="Arial"/>
          <w:sz w:val="24"/>
          <w:szCs w:val="24"/>
        </w:rPr>
        <w:t>,</w:t>
      </w:r>
      <w:r w:rsidR="00AF2599" w:rsidRPr="00160FC3">
        <w:rPr>
          <w:rFonts w:ascii="Arial" w:hAnsi="Arial" w:cs="Arial"/>
          <w:sz w:val="24"/>
          <w:szCs w:val="24"/>
        </w:rPr>
        <w:t xml:space="preserve"> as counsel for the respondents correctly argued</w:t>
      </w:r>
      <w:r w:rsidRPr="00160FC3">
        <w:rPr>
          <w:rFonts w:ascii="Arial" w:hAnsi="Arial" w:cs="Arial"/>
          <w:sz w:val="24"/>
          <w:szCs w:val="24"/>
        </w:rPr>
        <w:t>,</w:t>
      </w:r>
      <w:r w:rsidR="00AF2599" w:rsidRPr="00160FC3">
        <w:rPr>
          <w:rFonts w:ascii="Arial" w:hAnsi="Arial" w:cs="Arial"/>
          <w:sz w:val="24"/>
          <w:szCs w:val="24"/>
        </w:rPr>
        <w:t xml:space="preserve"> that they did anything to be visited with the</w:t>
      </w:r>
      <w:r w:rsidR="00645DFA" w:rsidRPr="00160FC3">
        <w:rPr>
          <w:rFonts w:ascii="Arial" w:hAnsi="Arial" w:cs="Arial"/>
          <w:sz w:val="24"/>
          <w:szCs w:val="24"/>
        </w:rPr>
        <w:t xml:space="preserve"> criminal charges. T</w:t>
      </w:r>
      <w:r w:rsidR="00AF2599" w:rsidRPr="00160FC3">
        <w:rPr>
          <w:rFonts w:ascii="Arial" w:hAnsi="Arial" w:cs="Arial"/>
          <w:sz w:val="24"/>
          <w:szCs w:val="24"/>
        </w:rPr>
        <w:t>hey</w:t>
      </w:r>
      <w:r w:rsidR="00645DFA" w:rsidRPr="00160FC3">
        <w:rPr>
          <w:rFonts w:ascii="Arial" w:hAnsi="Arial" w:cs="Arial"/>
          <w:sz w:val="24"/>
          <w:szCs w:val="24"/>
        </w:rPr>
        <w:t xml:space="preserve"> </w:t>
      </w:r>
      <w:r w:rsidR="00AF2599" w:rsidRPr="00160FC3">
        <w:rPr>
          <w:rFonts w:ascii="Arial" w:hAnsi="Arial" w:cs="Arial"/>
          <w:sz w:val="24"/>
          <w:szCs w:val="24"/>
        </w:rPr>
        <w:t xml:space="preserve">mentioned the </w:t>
      </w:r>
      <w:r w:rsidR="00AF2599" w:rsidRPr="00160FC3">
        <w:rPr>
          <w:rFonts w:ascii="Arial" w:hAnsi="Arial" w:cs="Arial"/>
          <w:sz w:val="24"/>
          <w:szCs w:val="24"/>
        </w:rPr>
        <w:lastRenderedPageBreak/>
        <w:t>names of the people who were managing the affairs of the first respondent. It is insufficient, without facts, to lay the omission of others at their feet. The fact that they received directors’ fees does not, on its own, make them a party to any crime. They are entitled to directors’ fees as directors of the first respondent.</w:t>
      </w:r>
    </w:p>
    <w:p w14:paraId="02EA3C81" w14:textId="77777777" w:rsidR="0028512E" w:rsidRPr="00E50503" w:rsidRDefault="0028512E" w:rsidP="003A5FF0">
      <w:pPr>
        <w:spacing w:after="0" w:line="360" w:lineRule="auto"/>
        <w:ind w:left="720" w:hanging="720"/>
        <w:jc w:val="both"/>
        <w:rPr>
          <w:rFonts w:ascii="Arial" w:hAnsi="Arial" w:cs="Arial"/>
          <w:sz w:val="24"/>
          <w:szCs w:val="24"/>
        </w:rPr>
      </w:pPr>
    </w:p>
    <w:p w14:paraId="29666605" w14:textId="3D17F7ED" w:rsidR="00FB56FD" w:rsidRPr="00160FC3" w:rsidRDefault="00ED1AE2" w:rsidP="003A5FF0">
      <w:pPr>
        <w:spacing w:after="0" w:line="360" w:lineRule="auto"/>
        <w:ind w:left="720" w:hanging="720"/>
        <w:jc w:val="both"/>
        <w:rPr>
          <w:rFonts w:ascii="Arial" w:hAnsi="Arial" w:cs="Arial"/>
          <w:sz w:val="24"/>
          <w:szCs w:val="24"/>
        </w:rPr>
      </w:pPr>
      <w:r w:rsidRPr="00160FC3">
        <w:rPr>
          <w:rFonts w:ascii="Arial" w:hAnsi="Arial" w:cs="Arial"/>
          <w:sz w:val="24"/>
          <w:szCs w:val="24"/>
        </w:rPr>
        <w:t>[2</w:t>
      </w:r>
      <w:r w:rsidR="00645DFA" w:rsidRPr="00160FC3">
        <w:rPr>
          <w:rFonts w:ascii="Arial" w:hAnsi="Arial" w:cs="Arial"/>
          <w:sz w:val="24"/>
          <w:szCs w:val="24"/>
        </w:rPr>
        <w:t>2</w:t>
      </w:r>
      <w:r w:rsidR="0028512E" w:rsidRPr="00160FC3">
        <w:rPr>
          <w:rFonts w:ascii="Arial" w:hAnsi="Arial" w:cs="Arial"/>
          <w:sz w:val="24"/>
          <w:szCs w:val="24"/>
        </w:rPr>
        <w:t>]</w:t>
      </w:r>
      <w:r w:rsidR="0028512E" w:rsidRPr="00160FC3">
        <w:rPr>
          <w:rFonts w:ascii="Arial" w:hAnsi="Arial" w:cs="Arial"/>
          <w:sz w:val="24"/>
          <w:szCs w:val="24"/>
        </w:rPr>
        <w:tab/>
      </w:r>
      <w:r w:rsidR="00AF2599" w:rsidRPr="00160FC3">
        <w:rPr>
          <w:rFonts w:ascii="Arial" w:hAnsi="Arial" w:cs="Arial"/>
          <w:sz w:val="24"/>
          <w:szCs w:val="24"/>
        </w:rPr>
        <w:t>It also transpired that there are fundamental defects on the charge sheet. The provisions of the legislation relied upon were either not in operation at the stated period or repealed</w:t>
      </w:r>
      <w:r w:rsidR="00A345F6" w:rsidRPr="00160FC3">
        <w:rPr>
          <w:rFonts w:ascii="Arial" w:hAnsi="Arial" w:cs="Arial"/>
          <w:sz w:val="24"/>
          <w:szCs w:val="24"/>
        </w:rPr>
        <w:t>.</w:t>
      </w:r>
      <w:r w:rsidR="00645DFA" w:rsidRPr="00160FC3">
        <w:rPr>
          <w:rFonts w:ascii="Arial" w:hAnsi="Arial" w:cs="Arial"/>
          <w:sz w:val="24"/>
          <w:szCs w:val="24"/>
        </w:rPr>
        <w:t xml:space="preserve"> </w:t>
      </w:r>
      <w:r w:rsidR="00FB56FD" w:rsidRPr="00673028">
        <w:rPr>
          <w:rFonts w:ascii="Arial" w:hAnsi="Arial" w:cs="Arial"/>
          <w:sz w:val="24"/>
          <w:szCs w:val="24"/>
        </w:rPr>
        <w:t>T</w:t>
      </w:r>
      <w:r w:rsidR="00A345F6" w:rsidRPr="00673028">
        <w:rPr>
          <w:rFonts w:ascii="Arial" w:hAnsi="Arial" w:cs="Arial"/>
          <w:sz w:val="24"/>
          <w:szCs w:val="24"/>
        </w:rPr>
        <w:t>o illustrate this point section 234(2)(k) of the Tax Administration Act 28 of 2011 was not in existence at the relevant period. It was only inserted into section 234 during January 2021. Section 234(p) of the Tax Administration Act was also repealed.</w:t>
      </w:r>
      <w:r w:rsidR="005523CC" w:rsidRPr="00673028">
        <w:rPr>
          <w:rStyle w:val="FootnoteReference"/>
          <w:rFonts w:ascii="Arial" w:hAnsi="Arial" w:cs="Arial"/>
          <w:sz w:val="24"/>
          <w:szCs w:val="24"/>
        </w:rPr>
        <w:footnoteReference w:id="4"/>
      </w:r>
      <w:r w:rsidR="00584098" w:rsidRPr="00673028">
        <w:rPr>
          <w:rFonts w:ascii="Arial" w:hAnsi="Arial" w:cs="Arial"/>
          <w:sz w:val="24"/>
          <w:szCs w:val="24"/>
        </w:rPr>
        <w:t xml:space="preserve"> Lastly section 17 of the Unemployment Insurance</w:t>
      </w:r>
      <w:r w:rsidR="00673028" w:rsidRPr="00673028">
        <w:rPr>
          <w:rFonts w:ascii="Arial" w:hAnsi="Arial" w:cs="Arial"/>
          <w:sz w:val="24"/>
          <w:szCs w:val="24"/>
        </w:rPr>
        <w:t xml:space="preserve"> Contributions</w:t>
      </w:r>
      <w:r w:rsidR="00584098" w:rsidRPr="00673028">
        <w:rPr>
          <w:rFonts w:ascii="Arial" w:hAnsi="Arial" w:cs="Arial"/>
          <w:sz w:val="24"/>
          <w:szCs w:val="24"/>
        </w:rPr>
        <w:t xml:space="preserve"> Act 4 of 2002 was repealed.</w:t>
      </w:r>
      <w:r w:rsidR="009356CD" w:rsidRPr="00673028">
        <w:rPr>
          <w:rStyle w:val="FootnoteReference"/>
          <w:rFonts w:ascii="Arial" w:hAnsi="Arial" w:cs="Arial"/>
          <w:sz w:val="24"/>
          <w:szCs w:val="24"/>
        </w:rPr>
        <w:footnoteReference w:id="5"/>
      </w:r>
      <w:r w:rsidR="00584098" w:rsidRPr="00160FC3">
        <w:rPr>
          <w:rFonts w:ascii="Arial" w:hAnsi="Arial" w:cs="Arial"/>
          <w:sz w:val="24"/>
          <w:szCs w:val="24"/>
        </w:rPr>
        <w:t xml:space="preserve"> There is</w:t>
      </w:r>
      <w:r w:rsidR="00645DFA" w:rsidRPr="00160FC3">
        <w:rPr>
          <w:rFonts w:ascii="Arial" w:hAnsi="Arial" w:cs="Arial"/>
          <w:sz w:val="24"/>
          <w:szCs w:val="24"/>
        </w:rPr>
        <w:t xml:space="preserve"> no such offence. The neglectful manner the charge sheet is drawn is </w:t>
      </w:r>
      <w:r w:rsidR="00584098" w:rsidRPr="00160FC3">
        <w:rPr>
          <w:rFonts w:ascii="Arial" w:hAnsi="Arial" w:cs="Arial"/>
          <w:sz w:val="24"/>
          <w:szCs w:val="24"/>
        </w:rPr>
        <w:t>indicative of a very weak case advanced by the applicant.</w:t>
      </w:r>
    </w:p>
    <w:p w14:paraId="23818EC2" w14:textId="77777777" w:rsidR="00FB56FD" w:rsidRPr="000E5970" w:rsidRDefault="00FB56FD" w:rsidP="003A5FF0">
      <w:pPr>
        <w:spacing w:after="0" w:line="360" w:lineRule="auto"/>
        <w:ind w:left="720" w:hanging="720"/>
        <w:jc w:val="both"/>
        <w:rPr>
          <w:rFonts w:ascii="Arial" w:hAnsi="Arial" w:cs="Arial"/>
          <w:sz w:val="28"/>
          <w:szCs w:val="28"/>
        </w:rPr>
      </w:pPr>
    </w:p>
    <w:p w14:paraId="6D0A0F52" w14:textId="1A9C6183" w:rsidR="00AA10D0" w:rsidRPr="00673028" w:rsidRDefault="00FB56FD" w:rsidP="00584098">
      <w:pPr>
        <w:spacing w:after="0" w:line="360" w:lineRule="auto"/>
        <w:ind w:left="720" w:hanging="720"/>
        <w:jc w:val="both"/>
        <w:rPr>
          <w:rFonts w:ascii="Arial" w:hAnsi="Arial" w:cs="Arial"/>
          <w:sz w:val="24"/>
          <w:szCs w:val="24"/>
        </w:rPr>
      </w:pPr>
      <w:r w:rsidRPr="00673028">
        <w:rPr>
          <w:rFonts w:ascii="Arial" w:hAnsi="Arial" w:cs="Arial"/>
          <w:sz w:val="24"/>
          <w:szCs w:val="24"/>
        </w:rPr>
        <w:t>[2</w:t>
      </w:r>
      <w:r w:rsidR="00645DFA" w:rsidRPr="00673028">
        <w:rPr>
          <w:rFonts w:ascii="Arial" w:hAnsi="Arial" w:cs="Arial"/>
          <w:sz w:val="24"/>
          <w:szCs w:val="24"/>
        </w:rPr>
        <w:t>3</w:t>
      </w:r>
      <w:r w:rsidRPr="00673028">
        <w:rPr>
          <w:rFonts w:ascii="Arial" w:hAnsi="Arial" w:cs="Arial"/>
          <w:sz w:val="24"/>
          <w:szCs w:val="24"/>
        </w:rPr>
        <w:t>]</w:t>
      </w:r>
      <w:r w:rsidRPr="00673028">
        <w:rPr>
          <w:rFonts w:ascii="Arial" w:hAnsi="Arial" w:cs="Arial"/>
          <w:sz w:val="24"/>
          <w:szCs w:val="24"/>
        </w:rPr>
        <w:tab/>
        <w:t>The</w:t>
      </w:r>
      <w:r w:rsidR="00584098" w:rsidRPr="00673028">
        <w:rPr>
          <w:rFonts w:ascii="Arial" w:hAnsi="Arial" w:cs="Arial"/>
          <w:sz w:val="24"/>
          <w:szCs w:val="24"/>
        </w:rPr>
        <w:t xml:space="preserve"> primary purpose of this application is to coax the first respondent to settle its tax liability. Section 163 of the Tax Administration Act 28 of 2011 has similar provisions as POCA. The slight difference is that the former is designed to recover debts to SARS while the latter deals with forfeiture of assets. On the facts of this matter, there is no justification to approach this court relying on the provisions of POCA.</w:t>
      </w:r>
      <w:r w:rsidR="00645DFA" w:rsidRPr="00673028">
        <w:rPr>
          <w:rFonts w:ascii="Arial" w:hAnsi="Arial" w:cs="Arial"/>
          <w:sz w:val="24"/>
          <w:szCs w:val="24"/>
        </w:rPr>
        <w:t xml:space="preserve"> There are no allegations that the respondents are involved in racketeering, money laundering or gang related activities. This is a business entity that fell on hard times and was unable to meet its obligations.</w:t>
      </w:r>
      <w:r w:rsidR="00584098" w:rsidRPr="00673028">
        <w:rPr>
          <w:rFonts w:ascii="Arial" w:hAnsi="Arial" w:cs="Arial"/>
          <w:sz w:val="24"/>
          <w:szCs w:val="24"/>
        </w:rPr>
        <w:t xml:space="preserve"> I agree with counsel for the</w:t>
      </w:r>
      <w:r w:rsidR="00645DFA" w:rsidRPr="00673028">
        <w:rPr>
          <w:rFonts w:ascii="Arial" w:hAnsi="Arial" w:cs="Arial"/>
          <w:sz w:val="24"/>
          <w:szCs w:val="24"/>
        </w:rPr>
        <w:t xml:space="preserve"> respondents that it is an abuse</w:t>
      </w:r>
      <w:r w:rsidR="00584098" w:rsidRPr="00673028">
        <w:rPr>
          <w:rFonts w:ascii="Arial" w:hAnsi="Arial" w:cs="Arial"/>
          <w:sz w:val="24"/>
          <w:szCs w:val="24"/>
        </w:rPr>
        <w:t xml:space="preserve"> of the process. The point is that there are many cr</w:t>
      </w:r>
      <w:r w:rsidR="00645DFA" w:rsidRPr="00673028">
        <w:rPr>
          <w:rFonts w:ascii="Arial" w:hAnsi="Arial" w:cs="Arial"/>
          <w:sz w:val="24"/>
          <w:szCs w:val="24"/>
        </w:rPr>
        <w:t>iminal and administrative penal</w:t>
      </w:r>
      <w:r w:rsidR="00584098" w:rsidRPr="00673028">
        <w:rPr>
          <w:rFonts w:ascii="Arial" w:hAnsi="Arial" w:cs="Arial"/>
          <w:sz w:val="24"/>
          <w:szCs w:val="24"/>
        </w:rPr>
        <w:t xml:space="preserve"> sanctions that can be imposed in transgression</w:t>
      </w:r>
      <w:r w:rsidR="00673028">
        <w:rPr>
          <w:rFonts w:ascii="Arial" w:hAnsi="Arial" w:cs="Arial"/>
          <w:sz w:val="24"/>
          <w:szCs w:val="24"/>
        </w:rPr>
        <w:t>s</w:t>
      </w:r>
      <w:r w:rsidR="00584098" w:rsidRPr="00673028">
        <w:rPr>
          <w:rFonts w:ascii="Arial" w:hAnsi="Arial" w:cs="Arial"/>
          <w:sz w:val="24"/>
          <w:szCs w:val="24"/>
        </w:rPr>
        <w:t xml:space="preserve"> of this nature.</w:t>
      </w:r>
    </w:p>
    <w:p w14:paraId="6D39BBEC" w14:textId="77777777" w:rsidR="00AA10D0" w:rsidRDefault="00AA10D0" w:rsidP="00AA10D0">
      <w:pPr>
        <w:spacing w:after="0" w:line="360" w:lineRule="auto"/>
        <w:ind w:left="720" w:hanging="720"/>
        <w:jc w:val="both"/>
        <w:rPr>
          <w:rFonts w:ascii="Arial" w:hAnsi="Arial" w:cs="Arial"/>
          <w:b/>
          <w:sz w:val="24"/>
          <w:szCs w:val="24"/>
          <w:u w:val="single"/>
        </w:rPr>
      </w:pPr>
    </w:p>
    <w:p w14:paraId="056B8CB8" w14:textId="79311265" w:rsidR="00C8694F" w:rsidRPr="00673028" w:rsidRDefault="00645DFA" w:rsidP="005209CD">
      <w:pPr>
        <w:spacing w:after="0" w:line="360" w:lineRule="auto"/>
        <w:ind w:left="720" w:hanging="720"/>
        <w:jc w:val="both"/>
        <w:rPr>
          <w:rFonts w:ascii="Arial" w:hAnsi="Arial" w:cs="Arial"/>
          <w:sz w:val="24"/>
          <w:szCs w:val="24"/>
        </w:rPr>
      </w:pPr>
      <w:r w:rsidRPr="00673028">
        <w:rPr>
          <w:rFonts w:ascii="Arial" w:hAnsi="Arial" w:cs="Arial"/>
          <w:sz w:val="24"/>
          <w:szCs w:val="24"/>
        </w:rPr>
        <w:t xml:space="preserve"> [24</w:t>
      </w:r>
      <w:r w:rsidR="00D0245A" w:rsidRPr="00673028">
        <w:rPr>
          <w:rFonts w:ascii="Arial" w:hAnsi="Arial" w:cs="Arial"/>
          <w:sz w:val="24"/>
          <w:szCs w:val="24"/>
        </w:rPr>
        <w:t>]</w:t>
      </w:r>
      <w:r w:rsidR="00D0245A" w:rsidRPr="00673028">
        <w:rPr>
          <w:rFonts w:ascii="Arial" w:hAnsi="Arial" w:cs="Arial"/>
          <w:sz w:val="24"/>
          <w:szCs w:val="24"/>
        </w:rPr>
        <w:tab/>
        <w:t>Th</w:t>
      </w:r>
      <w:r w:rsidR="00584098" w:rsidRPr="00673028">
        <w:rPr>
          <w:rFonts w:ascii="Arial" w:hAnsi="Arial" w:cs="Arial"/>
          <w:sz w:val="24"/>
          <w:szCs w:val="24"/>
        </w:rPr>
        <w:t>is application was brought more than a year after the summons was issued</w:t>
      </w:r>
      <w:r w:rsidRPr="00673028">
        <w:rPr>
          <w:rFonts w:ascii="Arial" w:hAnsi="Arial" w:cs="Arial"/>
          <w:sz w:val="24"/>
          <w:szCs w:val="24"/>
        </w:rPr>
        <w:t xml:space="preserve"> in the Magistrate’s Court</w:t>
      </w:r>
      <w:r w:rsidR="00584098" w:rsidRPr="00673028">
        <w:rPr>
          <w:rFonts w:ascii="Arial" w:hAnsi="Arial" w:cs="Arial"/>
          <w:sz w:val="24"/>
          <w:szCs w:val="24"/>
        </w:rPr>
        <w:t>. The first court appearance of the respondents was on 1 September 2021. There is no morsel of evidence in the papers as to why it was suddenly necessary</w:t>
      </w:r>
      <w:r w:rsidR="005209CD" w:rsidRPr="00673028">
        <w:rPr>
          <w:rFonts w:ascii="Arial" w:hAnsi="Arial" w:cs="Arial"/>
          <w:sz w:val="24"/>
          <w:szCs w:val="24"/>
        </w:rPr>
        <w:t xml:space="preserve"> to launch the application</w:t>
      </w:r>
      <w:r w:rsidR="00584098" w:rsidRPr="00673028">
        <w:rPr>
          <w:rFonts w:ascii="Arial" w:hAnsi="Arial" w:cs="Arial"/>
          <w:sz w:val="24"/>
          <w:szCs w:val="24"/>
        </w:rPr>
        <w:t xml:space="preserve"> or what too</w:t>
      </w:r>
      <w:r w:rsidR="005209CD" w:rsidRPr="00673028">
        <w:rPr>
          <w:rFonts w:ascii="Arial" w:hAnsi="Arial" w:cs="Arial"/>
          <w:sz w:val="24"/>
          <w:szCs w:val="24"/>
        </w:rPr>
        <w:t xml:space="preserve">k the applicant so </w:t>
      </w:r>
      <w:r w:rsidR="005209CD" w:rsidRPr="00673028">
        <w:rPr>
          <w:rFonts w:ascii="Arial" w:hAnsi="Arial" w:cs="Arial"/>
          <w:sz w:val="24"/>
          <w:szCs w:val="24"/>
        </w:rPr>
        <w:lastRenderedPageBreak/>
        <w:t>long to proceed with it.</w:t>
      </w:r>
      <w:r w:rsidR="00584098" w:rsidRPr="00673028">
        <w:rPr>
          <w:rFonts w:ascii="Arial" w:hAnsi="Arial" w:cs="Arial"/>
          <w:sz w:val="24"/>
          <w:szCs w:val="24"/>
        </w:rPr>
        <w:t xml:space="preserve"> </w:t>
      </w:r>
      <w:r w:rsidR="005209CD" w:rsidRPr="00673028">
        <w:rPr>
          <w:rFonts w:ascii="Arial" w:hAnsi="Arial" w:cs="Arial"/>
          <w:sz w:val="24"/>
          <w:szCs w:val="24"/>
        </w:rPr>
        <w:t>I</w:t>
      </w:r>
      <w:r w:rsidR="00584098" w:rsidRPr="00673028">
        <w:rPr>
          <w:rFonts w:ascii="Arial" w:hAnsi="Arial" w:cs="Arial"/>
          <w:sz w:val="24"/>
          <w:szCs w:val="24"/>
        </w:rPr>
        <w:t>t</w:t>
      </w:r>
      <w:r w:rsidR="005209CD" w:rsidRPr="00673028">
        <w:rPr>
          <w:rFonts w:ascii="Arial" w:hAnsi="Arial" w:cs="Arial"/>
          <w:sz w:val="24"/>
          <w:szCs w:val="24"/>
        </w:rPr>
        <w:t xml:space="preserve"> </w:t>
      </w:r>
      <w:r w:rsidR="00584098" w:rsidRPr="00673028">
        <w:rPr>
          <w:rFonts w:ascii="Arial" w:hAnsi="Arial" w:cs="Arial"/>
          <w:sz w:val="24"/>
          <w:szCs w:val="24"/>
        </w:rPr>
        <w:t>is also not the case of the applicant that the respondents will dissipate any assets to the detriment of SARS</w:t>
      </w:r>
      <w:r w:rsidR="00845AB4" w:rsidRPr="00673028">
        <w:rPr>
          <w:rFonts w:ascii="Arial" w:hAnsi="Arial" w:cs="Arial"/>
          <w:sz w:val="24"/>
          <w:szCs w:val="24"/>
        </w:rPr>
        <w:t>.</w:t>
      </w:r>
      <w:r w:rsidR="00967549">
        <w:rPr>
          <w:rFonts w:ascii="Arial" w:hAnsi="Arial" w:cs="Arial"/>
          <w:sz w:val="24"/>
          <w:szCs w:val="24"/>
        </w:rPr>
        <w:t xml:space="preserve"> The sudden haste is unexplainable.</w:t>
      </w:r>
      <w:r w:rsidR="00845AB4" w:rsidRPr="00673028">
        <w:rPr>
          <w:rFonts w:ascii="Arial" w:hAnsi="Arial" w:cs="Arial"/>
          <w:sz w:val="24"/>
          <w:szCs w:val="24"/>
        </w:rPr>
        <w:t xml:space="preserve"> This application ought to fail in its entirety.</w:t>
      </w:r>
    </w:p>
    <w:p w14:paraId="22146362" w14:textId="77777777" w:rsidR="00C8694F" w:rsidRDefault="00C8694F" w:rsidP="00C8694F">
      <w:pPr>
        <w:spacing w:after="0" w:line="360" w:lineRule="auto"/>
        <w:ind w:left="720" w:hanging="720"/>
        <w:jc w:val="both"/>
        <w:rPr>
          <w:rFonts w:ascii="Arial" w:hAnsi="Arial" w:cs="Arial"/>
          <w:b/>
          <w:sz w:val="24"/>
          <w:szCs w:val="24"/>
          <w:u w:val="single"/>
        </w:rPr>
      </w:pPr>
    </w:p>
    <w:p w14:paraId="07A0C0B5" w14:textId="2A5F3EA0" w:rsidR="00305D9B" w:rsidRPr="00967549" w:rsidRDefault="00C8694F" w:rsidP="00C8694F">
      <w:pPr>
        <w:spacing w:after="0" w:line="360" w:lineRule="auto"/>
        <w:ind w:left="720" w:hanging="720"/>
        <w:jc w:val="both"/>
        <w:rPr>
          <w:rFonts w:ascii="Arial" w:hAnsi="Arial" w:cs="Arial"/>
          <w:sz w:val="24"/>
          <w:szCs w:val="24"/>
        </w:rPr>
      </w:pPr>
      <w:r w:rsidRPr="00E50503">
        <w:rPr>
          <w:rFonts w:ascii="Arial" w:hAnsi="Arial" w:cs="Arial"/>
          <w:sz w:val="24"/>
          <w:szCs w:val="24"/>
        </w:rPr>
        <w:t xml:space="preserve"> </w:t>
      </w:r>
      <w:r w:rsidR="005209CD" w:rsidRPr="00967549">
        <w:rPr>
          <w:rFonts w:ascii="Arial" w:hAnsi="Arial" w:cs="Arial"/>
          <w:sz w:val="24"/>
          <w:szCs w:val="24"/>
        </w:rPr>
        <w:t>[25</w:t>
      </w:r>
      <w:r w:rsidR="00305D9B" w:rsidRPr="00967549">
        <w:rPr>
          <w:rFonts w:ascii="Arial" w:hAnsi="Arial" w:cs="Arial"/>
          <w:sz w:val="24"/>
          <w:szCs w:val="24"/>
        </w:rPr>
        <w:t>]</w:t>
      </w:r>
      <w:r w:rsidR="00305D9B" w:rsidRPr="00967549">
        <w:rPr>
          <w:rFonts w:ascii="Arial" w:hAnsi="Arial" w:cs="Arial"/>
          <w:sz w:val="24"/>
          <w:szCs w:val="24"/>
        </w:rPr>
        <w:tab/>
      </w:r>
      <w:r w:rsidR="00845AB4" w:rsidRPr="00967549">
        <w:rPr>
          <w:rFonts w:ascii="Arial" w:hAnsi="Arial" w:cs="Arial"/>
          <w:sz w:val="24"/>
          <w:szCs w:val="24"/>
        </w:rPr>
        <w:t xml:space="preserve">Counsel for the respondents urged me to award costs on an attorney and client scale. In </w:t>
      </w:r>
      <w:r w:rsidR="00845AB4" w:rsidRPr="00967549">
        <w:rPr>
          <w:rFonts w:ascii="Arial" w:hAnsi="Arial" w:cs="Arial"/>
          <w:b/>
          <w:sz w:val="24"/>
          <w:szCs w:val="24"/>
        </w:rPr>
        <w:t>Plastics Convertors Association of South Africa</w:t>
      </w:r>
      <w:r w:rsidR="00967549">
        <w:rPr>
          <w:rFonts w:ascii="Arial" w:hAnsi="Arial" w:cs="Arial"/>
          <w:b/>
          <w:sz w:val="24"/>
          <w:szCs w:val="24"/>
        </w:rPr>
        <w:t xml:space="preserve"> (PCASA)</w:t>
      </w:r>
      <w:r w:rsidR="00845AB4" w:rsidRPr="00967549">
        <w:rPr>
          <w:rFonts w:ascii="Arial" w:hAnsi="Arial" w:cs="Arial"/>
          <w:b/>
          <w:sz w:val="24"/>
          <w:szCs w:val="24"/>
        </w:rPr>
        <w:t xml:space="preserve"> obo Members</w:t>
      </w:r>
      <w:r w:rsidR="00967549">
        <w:rPr>
          <w:rFonts w:ascii="Arial" w:hAnsi="Arial" w:cs="Arial"/>
          <w:b/>
          <w:sz w:val="24"/>
          <w:szCs w:val="24"/>
        </w:rPr>
        <w:t xml:space="preserve"> and Others</w:t>
      </w:r>
      <w:r w:rsidR="00845AB4" w:rsidRPr="00967549">
        <w:rPr>
          <w:rFonts w:ascii="Arial" w:hAnsi="Arial" w:cs="Arial"/>
          <w:b/>
          <w:sz w:val="24"/>
          <w:szCs w:val="24"/>
        </w:rPr>
        <w:t xml:space="preserve"> v National Union of Metal Workers of South Africa and Others</w:t>
      </w:r>
      <w:r w:rsidR="00845AB4" w:rsidRPr="00967549">
        <w:rPr>
          <w:rFonts w:ascii="Arial" w:hAnsi="Arial" w:cs="Arial"/>
          <w:sz w:val="24"/>
          <w:szCs w:val="24"/>
        </w:rPr>
        <w:t xml:space="preserve"> at paragraph 46 the Court stated the following: -</w:t>
      </w:r>
    </w:p>
    <w:p w14:paraId="3EC980BA" w14:textId="7617E17E" w:rsidR="00845AB4" w:rsidRDefault="00845AB4" w:rsidP="00C8694F">
      <w:pPr>
        <w:spacing w:after="0" w:line="360" w:lineRule="auto"/>
        <w:ind w:left="720" w:hanging="720"/>
        <w:jc w:val="both"/>
        <w:rPr>
          <w:rFonts w:ascii="Arial" w:hAnsi="Arial" w:cs="Arial"/>
          <w:sz w:val="28"/>
          <w:szCs w:val="28"/>
        </w:rPr>
      </w:pPr>
    </w:p>
    <w:p w14:paraId="0D32A2E0" w14:textId="56995E5D" w:rsidR="00845AB4" w:rsidRPr="00967549" w:rsidRDefault="00845AB4" w:rsidP="00B30AF7">
      <w:pPr>
        <w:spacing w:after="0" w:line="360" w:lineRule="auto"/>
        <w:ind w:left="1701" w:right="1088"/>
        <w:jc w:val="both"/>
        <w:rPr>
          <w:rFonts w:ascii="Arial" w:hAnsi="Arial" w:cs="Arial"/>
          <w:sz w:val="20"/>
          <w:szCs w:val="20"/>
        </w:rPr>
      </w:pPr>
      <w:r w:rsidRPr="00967549">
        <w:rPr>
          <w:rFonts w:ascii="Arial" w:hAnsi="Arial" w:cs="Arial"/>
          <w:i/>
          <w:sz w:val="20"/>
          <w:szCs w:val="20"/>
        </w:rPr>
        <w:t>“</w:t>
      </w:r>
      <w:r w:rsidR="00967549" w:rsidRPr="00967549">
        <w:rPr>
          <w:rFonts w:ascii="Arial" w:hAnsi="Arial" w:cs="Arial"/>
          <w:i/>
          <w:sz w:val="20"/>
          <w:szCs w:val="20"/>
        </w:rPr>
        <w:t>[46]</w:t>
      </w:r>
      <w:r w:rsidR="00967549" w:rsidRPr="00967549">
        <w:rPr>
          <w:rFonts w:ascii="Arial" w:hAnsi="Arial" w:cs="Arial"/>
          <w:i/>
          <w:sz w:val="20"/>
          <w:szCs w:val="20"/>
        </w:rPr>
        <w:tab/>
        <w:t>…</w:t>
      </w:r>
      <w:r w:rsidRPr="00967549">
        <w:rPr>
          <w:rFonts w:ascii="Arial" w:hAnsi="Arial" w:cs="Arial"/>
          <w:i/>
          <w:color w:val="242121"/>
          <w:sz w:val="20"/>
          <w:szCs w:val="20"/>
          <w:shd w:val="clear" w:color="auto" w:fill="FFFFFF"/>
        </w:rPr>
        <w:t>The scale of attorney and client is an extra-ordinary one which should be reserved for cases where it can be found that a litigant conducted itself in a clear and indubitably vexatious and reprehensible conduct. Such an award is exceptional and is intended to be very punitive and indicative of extreme opprobrium”.</w:t>
      </w:r>
      <w:r w:rsidR="00D11993" w:rsidRPr="00967549">
        <w:rPr>
          <w:rStyle w:val="FootnoteReference"/>
          <w:rFonts w:ascii="Arial" w:hAnsi="Arial" w:cs="Arial"/>
          <w:color w:val="242121"/>
          <w:sz w:val="20"/>
          <w:szCs w:val="20"/>
          <w:shd w:val="clear" w:color="auto" w:fill="FFFFFF"/>
        </w:rPr>
        <w:footnoteReference w:id="6"/>
      </w:r>
    </w:p>
    <w:p w14:paraId="4F7F5174" w14:textId="77777777" w:rsidR="00305D9B" w:rsidRPr="00E50503" w:rsidRDefault="00305D9B" w:rsidP="003A5FF0">
      <w:pPr>
        <w:spacing w:after="0" w:line="360" w:lineRule="auto"/>
        <w:ind w:left="720" w:hanging="720"/>
        <w:jc w:val="both"/>
        <w:rPr>
          <w:rFonts w:ascii="Arial" w:hAnsi="Arial" w:cs="Arial"/>
          <w:sz w:val="24"/>
          <w:szCs w:val="24"/>
        </w:rPr>
      </w:pPr>
    </w:p>
    <w:p w14:paraId="5D04B04D" w14:textId="3CA5E7A8" w:rsidR="00C2488B" w:rsidRPr="00967549" w:rsidRDefault="005209CD" w:rsidP="005209CD">
      <w:pPr>
        <w:spacing w:after="0" w:line="360" w:lineRule="auto"/>
        <w:ind w:left="720" w:hanging="720"/>
        <w:jc w:val="both"/>
        <w:rPr>
          <w:rFonts w:ascii="Arial" w:hAnsi="Arial" w:cs="Arial"/>
          <w:sz w:val="24"/>
          <w:szCs w:val="24"/>
        </w:rPr>
      </w:pPr>
      <w:r w:rsidRPr="00967549">
        <w:rPr>
          <w:rFonts w:ascii="Arial" w:hAnsi="Arial" w:cs="Arial"/>
          <w:sz w:val="24"/>
          <w:szCs w:val="24"/>
        </w:rPr>
        <w:t>[26</w:t>
      </w:r>
      <w:r w:rsidR="00845AB4" w:rsidRPr="00967549">
        <w:rPr>
          <w:rFonts w:ascii="Arial" w:hAnsi="Arial" w:cs="Arial"/>
          <w:sz w:val="24"/>
          <w:szCs w:val="24"/>
        </w:rPr>
        <w:t>]</w:t>
      </w:r>
      <w:r w:rsidR="00845AB4" w:rsidRPr="00967549">
        <w:rPr>
          <w:rFonts w:ascii="Arial" w:hAnsi="Arial" w:cs="Arial"/>
          <w:sz w:val="24"/>
          <w:szCs w:val="24"/>
        </w:rPr>
        <w:tab/>
      </w:r>
      <w:r w:rsidR="00D11993" w:rsidRPr="00967549">
        <w:rPr>
          <w:rFonts w:ascii="Arial" w:hAnsi="Arial" w:cs="Arial"/>
          <w:sz w:val="24"/>
          <w:szCs w:val="24"/>
        </w:rPr>
        <w:t>Although this application i</w:t>
      </w:r>
      <w:r w:rsidR="00967549">
        <w:rPr>
          <w:rFonts w:ascii="Arial" w:hAnsi="Arial" w:cs="Arial"/>
          <w:sz w:val="24"/>
          <w:szCs w:val="24"/>
        </w:rPr>
        <w:t>s lacking in substance, there are</w:t>
      </w:r>
      <w:r w:rsidR="00D11993" w:rsidRPr="00967549">
        <w:rPr>
          <w:rFonts w:ascii="Arial" w:hAnsi="Arial" w:cs="Arial"/>
          <w:sz w:val="24"/>
          <w:szCs w:val="24"/>
        </w:rPr>
        <w:t xml:space="preserve"> no cogent reasons to award costs on the punitive scale.</w:t>
      </w:r>
      <w:r w:rsidRPr="00967549">
        <w:rPr>
          <w:rFonts w:ascii="Arial" w:hAnsi="Arial" w:cs="Arial"/>
          <w:sz w:val="24"/>
          <w:szCs w:val="24"/>
        </w:rPr>
        <w:t xml:space="preserve"> There is nothing convincing that the applicant acted in a high handed manner in bringing the application. What is apparent is that the law was not well researched to sustain the application. The facts were equally weak.</w:t>
      </w:r>
      <w:r w:rsidR="00D11993" w:rsidRPr="00967549">
        <w:rPr>
          <w:rFonts w:ascii="Arial" w:hAnsi="Arial" w:cs="Arial"/>
          <w:sz w:val="24"/>
          <w:szCs w:val="24"/>
        </w:rPr>
        <w:t xml:space="preserve"> A usual costs order will suffice.</w:t>
      </w:r>
    </w:p>
    <w:p w14:paraId="1F222DA1" w14:textId="77777777" w:rsidR="00C2488B" w:rsidRDefault="00C2488B" w:rsidP="00C2488B">
      <w:pPr>
        <w:spacing w:after="0" w:line="360" w:lineRule="auto"/>
        <w:ind w:left="720" w:hanging="720"/>
        <w:jc w:val="both"/>
        <w:rPr>
          <w:rFonts w:ascii="Arial" w:hAnsi="Arial" w:cs="Arial"/>
          <w:b/>
          <w:sz w:val="24"/>
          <w:szCs w:val="24"/>
          <w:u w:val="single"/>
        </w:rPr>
      </w:pPr>
    </w:p>
    <w:p w14:paraId="7DC5E212" w14:textId="154EE602" w:rsidR="00C53909" w:rsidRPr="00B30AF7" w:rsidRDefault="00C2488B" w:rsidP="003A5FF0">
      <w:pPr>
        <w:spacing w:after="0" w:line="360" w:lineRule="auto"/>
        <w:ind w:left="720" w:hanging="720"/>
        <w:jc w:val="both"/>
        <w:rPr>
          <w:rFonts w:ascii="Arial" w:hAnsi="Arial" w:cs="Arial"/>
          <w:sz w:val="24"/>
          <w:szCs w:val="24"/>
        </w:rPr>
      </w:pPr>
      <w:r w:rsidRPr="00E50503">
        <w:rPr>
          <w:rFonts w:ascii="Arial" w:hAnsi="Arial" w:cs="Arial"/>
          <w:sz w:val="24"/>
          <w:szCs w:val="24"/>
        </w:rPr>
        <w:t xml:space="preserve"> </w:t>
      </w:r>
      <w:r w:rsidR="005209CD" w:rsidRPr="00B30AF7">
        <w:rPr>
          <w:rFonts w:ascii="Arial" w:hAnsi="Arial" w:cs="Arial"/>
          <w:sz w:val="24"/>
          <w:szCs w:val="24"/>
        </w:rPr>
        <w:t>[27</w:t>
      </w:r>
      <w:r w:rsidR="00305D9B" w:rsidRPr="00B30AF7">
        <w:rPr>
          <w:rFonts w:ascii="Arial" w:hAnsi="Arial" w:cs="Arial"/>
          <w:sz w:val="24"/>
          <w:szCs w:val="24"/>
        </w:rPr>
        <w:t>]</w:t>
      </w:r>
      <w:r w:rsidR="00305D9B" w:rsidRPr="00B30AF7">
        <w:rPr>
          <w:rFonts w:ascii="Arial" w:hAnsi="Arial" w:cs="Arial"/>
          <w:sz w:val="24"/>
          <w:szCs w:val="24"/>
        </w:rPr>
        <w:tab/>
      </w:r>
      <w:r w:rsidR="00C53909" w:rsidRPr="00B30AF7">
        <w:rPr>
          <w:rFonts w:ascii="Arial" w:hAnsi="Arial" w:cs="Arial"/>
          <w:sz w:val="24"/>
          <w:szCs w:val="24"/>
        </w:rPr>
        <w:t>The</w:t>
      </w:r>
      <w:r w:rsidRPr="00B30AF7">
        <w:rPr>
          <w:rFonts w:ascii="Arial" w:hAnsi="Arial" w:cs="Arial"/>
          <w:sz w:val="24"/>
          <w:szCs w:val="24"/>
        </w:rPr>
        <w:t xml:space="preserve"> following o</w:t>
      </w:r>
      <w:r w:rsidR="009B3BD9" w:rsidRPr="00B30AF7">
        <w:rPr>
          <w:rFonts w:ascii="Arial" w:hAnsi="Arial" w:cs="Arial"/>
          <w:sz w:val="24"/>
          <w:szCs w:val="24"/>
        </w:rPr>
        <w:t xml:space="preserve">rder is </w:t>
      </w:r>
      <w:r w:rsidR="00D11993" w:rsidRPr="00B30AF7">
        <w:rPr>
          <w:rFonts w:ascii="Arial" w:hAnsi="Arial" w:cs="Arial"/>
          <w:sz w:val="24"/>
          <w:szCs w:val="24"/>
        </w:rPr>
        <w:t>made</w:t>
      </w:r>
      <w:r w:rsidR="009B3BD9" w:rsidRPr="00B30AF7">
        <w:rPr>
          <w:rFonts w:ascii="Arial" w:hAnsi="Arial" w:cs="Arial"/>
          <w:sz w:val="24"/>
          <w:szCs w:val="24"/>
        </w:rPr>
        <w:t>:</w:t>
      </w:r>
      <w:r w:rsidR="00C53909" w:rsidRPr="00B30AF7">
        <w:rPr>
          <w:rFonts w:ascii="Arial" w:hAnsi="Arial" w:cs="Arial"/>
          <w:sz w:val="24"/>
          <w:szCs w:val="24"/>
        </w:rPr>
        <w:t xml:space="preserve"> -</w:t>
      </w:r>
    </w:p>
    <w:p w14:paraId="1F276FD4" w14:textId="77777777" w:rsidR="00C53909" w:rsidRPr="00B30AF7" w:rsidRDefault="00C53909" w:rsidP="003A5FF0">
      <w:pPr>
        <w:spacing w:after="0" w:line="360" w:lineRule="auto"/>
        <w:ind w:left="720" w:hanging="720"/>
        <w:jc w:val="both"/>
        <w:rPr>
          <w:rFonts w:ascii="Arial" w:hAnsi="Arial" w:cs="Arial"/>
          <w:sz w:val="24"/>
          <w:szCs w:val="24"/>
        </w:rPr>
      </w:pPr>
    </w:p>
    <w:p w14:paraId="431AFC46" w14:textId="0A05A7EB" w:rsidR="00D11993" w:rsidRDefault="005209CD" w:rsidP="00B30AF7">
      <w:pPr>
        <w:spacing w:after="0" w:line="360" w:lineRule="auto"/>
        <w:ind w:left="1440" w:hanging="720"/>
        <w:jc w:val="both"/>
        <w:rPr>
          <w:rFonts w:ascii="Arial" w:hAnsi="Arial" w:cs="Arial"/>
          <w:sz w:val="24"/>
          <w:szCs w:val="24"/>
        </w:rPr>
      </w:pPr>
      <w:r w:rsidRPr="00B30AF7">
        <w:rPr>
          <w:rFonts w:ascii="Arial" w:hAnsi="Arial" w:cs="Arial"/>
          <w:sz w:val="24"/>
          <w:szCs w:val="24"/>
        </w:rPr>
        <w:t>27</w:t>
      </w:r>
      <w:r w:rsidR="00C53909" w:rsidRPr="00B30AF7">
        <w:rPr>
          <w:rFonts w:ascii="Arial" w:hAnsi="Arial" w:cs="Arial"/>
          <w:sz w:val="24"/>
          <w:szCs w:val="24"/>
        </w:rPr>
        <w:t>.1.</w:t>
      </w:r>
      <w:r w:rsidR="00C53909" w:rsidRPr="00B30AF7">
        <w:rPr>
          <w:rFonts w:ascii="Arial" w:hAnsi="Arial" w:cs="Arial"/>
          <w:sz w:val="24"/>
          <w:szCs w:val="24"/>
        </w:rPr>
        <w:tab/>
        <w:t xml:space="preserve">The </w:t>
      </w:r>
      <w:r w:rsidR="00D11993" w:rsidRPr="00B30AF7">
        <w:rPr>
          <w:rFonts w:ascii="Arial" w:hAnsi="Arial" w:cs="Arial"/>
          <w:sz w:val="24"/>
          <w:szCs w:val="24"/>
        </w:rPr>
        <w:t>application is dismissed with costs.</w:t>
      </w:r>
    </w:p>
    <w:p w14:paraId="1607AA61" w14:textId="77777777" w:rsidR="00B30AF7" w:rsidRDefault="00B30AF7" w:rsidP="00B30AF7">
      <w:pPr>
        <w:spacing w:after="0" w:line="360" w:lineRule="auto"/>
        <w:ind w:left="1440" w:hanging="720"/>
        <w:jc w:val="both"/>
        <w:rPr>
          <w:rFonts w:ascii="Arial" w:hAnsi="Arial" w:cs="Arial"/>
          <w:sz w:val="28"/>
          <w:szCs w:val="28"/>
        </w:rPr>
      </w:pPr>
    </w:p>
    <w:p w14:paraId="4F36CD33" w14:textId="5E883E1D" w:rsidR="0014277B" w:rsidRPr="00E50503" w:rsidRDefault="008A2EE9" w:rsidP="008A2EE9">
      <w:pPr>
        <w:autoSpaceDE w:val="0"/>
        <w:autoSpaceDN w:val="0"/>
        <w:adjustRightInd w:val="0"/>
        <w:spacing w:after="0" w:line="240" w:lineRule="auto"/>
        <w:ind w:left="720"/>
        <w:jc w:val="right"/>
        <w:rPr>
          <w:rFonts w:ascii="Arial" w:hAnsi="Arial" w:cs="Arial"/>
          <w:b/>
          <w:sz w:val="24"/>
          <w:szCs w:val="24"/>
        </w:rPr>
      </w:pPr>
      <w:r w:rsidRPr="00E50503">
        <w:rPr>
          <w:rFonts w:ascii="Arial" w:hAnsi="Arial" w:cs="Arial"/>
          <w:b/>
          <w:sz w:val="24"/>
          <w:szCs w:val="24"/>
        </w:rPr>
        <w:t>_____</w:t>
      </w:r>
      <w:r w:rsidR="0014277B" w:rsidRPr="00E50503">
        <w:rPr>
          <w:rFonts w:ascii="Arial" w:hAnsi="Arial" w:cs="Arial"/>
          <w:b/>
          <w:sz w:val="24"/>
          <w:szCs w:val="24"/>
        </w:rPr>
        <w:t>_____________</w:t>
      </w:r>
    </w:p>
    <w:p w14:paraId="36B4AC9D" w14:textId="24DA1417" w:rsidR="00E50503" w:rsidRDefault="008A2EE9" w:rsidP="00B30AF7">
      <w:pPr>
        <w:autoSpaceDE w:val="0"/>
        <w:autoSpaceDN w:val="0"/>
        <w:adjustRightInd w:val="0"/>
        <w:spacing w:after="0" w:line="240" w:lineRule="auto"/>
        <w:ind w:left="720"/>
        <w:jc w:val="right"/>
        <w:rPr>
          <w:rFonts w:ascii="Arial" w:hAnsi="Arial" w:cs="Arial"/>
          <w:sz w:val="24"/>
          <w:szCs w:val="24"/>
        </w:rPr>
      </w:pPr>
      <w:r w:rsidRPr="00E50503">
        <w:rPr>
          <w:rFonts w:ascii="Arial" w:hAnsi="Arial" w:cs="Arial"/>
          <w:b/>
          <w:sz w:val="24"/>
          <w:szCs w:val="24"/>
        </w:rPr>
        <w:t>M.</w:t>
      </w:r>
      <w:r w:rsidR="00C516EA" w:rsidRPr="00E50503">
        <w:rPr>
          <w:rFonts w:ascii="Arial" w:hAnsi="Arial" w:cs="Arial"/>
          <w:b/>
          <w:sz w:val="24"/>
          <w:szCs w:val="24"/>
        </w:rPr>
        <w:t>A</w:t>
      </w:r>
      <w:r w:rsidRPr="00E50503">
        <w:rPr>
          <w:rFonts w:ascii="Arial" w:hAnsi="Arial" w:cs="Arial"/>
          <w:b/>
          <w:sz w:val="24"/>
          <w:szCs w:val="24"/>
        </w:rPr>
        <w:t>.</w:t>
      </w:r>
      <w:r w:rsidR="00C516EA" w:rsidRPr="00E50503">
        <w:rPr>
          <w:rFonts w:ascii="Arial" w:hAnsi="Arial" w:cs="Arial"/>
          <w:b/>
          <w:sz w:val="24"/>
          <w:szCs w:val="24"/>
        </w:rPr>
        <w:t xml:space="preserve"> MATHEBULA</w:t>
      </w:r>
      <w:r w:rsidR="00684A14">
        <w:rPr>
          <w:rFonts w:ascii="Arial" w:hAnsi="Arial" w:cs="Arial"/>
          <w:b/>
          <w:sz w:val="24"/>
          <w:szCs w:val="24"/>
        </w:rPr>
        <w:t>,</w:t>
      </w:r>
      <w:r w:rsidR="0014277B" w:rsidRPr="00E50503">
        <w:rPr>
          <w:rFonts w:ascii="Arial" w:hAnsi="Arial" w:cs="Arial"/>
          <w:b/>
          <w:sz w:val="24"/>
          <w:szCs w:val="24"/>
        </w:rPr>
        <w:t xml:space="preserve"> J </w:t>
      </w:r>
    </w:p>
    <w:p w14:paraId="5A093E5E" w14:textId="77777777" w:rsidR="00E50503" w:rsidRPr="00E50503" w:rsidRDefault="00E50503" w:rsidP="00EA0CB0">
      <w:pPr>
        <w:autoSpaceDE w:val="0"/>
        <w:autoSpaceDN w:val="0"/>
        <w:adjustRightInd w:val="0"/>
        <w:spacing w:line="360" w:lineRule="auto"/>
        <w:rPr>
          <w:rFonts w:ascii="Arial" w:hAnsi="Arial" w:cs="Arial"/>
          <w:sz w:val="24"/>
          <w:szCs w:val="24"/>
        </w:rPr>
      </w:pPr>
    </w:p>
    <w:p w14:paraId="4C83E24C" w14:textId="37ABB28A" w:rsidR="0014277B" w:rsidRPr="00E50503" w:rsidRDefault="0014277B" w:rsidP="00EA0CB0">
      <w:pPr>
        <w:autoSpaceDE w:val="0"/>
        <w:autoSpaceDN w:val="0"/>
        <w:adjustRightInd w:val="0"/>
        <w:spacing w:line="360" w:lineRule="auto"/>
        <w:rPr>
          <w:rFonts w:ascii="Arial" w:hAnsi="Arial" w:cs="Arial"/>
          <w:sz w:val="24"/>
          <w:szCs w:val="24"/>
        </w:rPr>
      </w:pPr>
      <w:r w:rsidRPr="00E50503">
        <w:rPr>
          <w:rFonts w:ascii="Arial" w:hAnsi="Arial" w:cs="Arial"/>
          <w:sz w:val="24"/>
          <w:szCs w:val="24"/>
        </w:rPr>
        <w:t xml:space="preserve">APPEARANCES: </w:t>
      </w:r>
      <w:r w:rsidRPr="00E50503">
        <w:rPr>
          <w:rFonts w:ascii="Arial" w:hAnsi="Arial" w:cs="Arial"/>
          <w:sz w:val="24"/>
          <w:szCs w:val="24"/>
        </w:rPr>
        <w:tab/>
      </w:r>
    </w:p>
    <w:p w14:paraId="7A8D6AA0" w14:textId="0985599C" w:rsidR="0014277B" w:rsidRPr="00E50503" w:rsidRDefault="0014277B" w:rsidP="00AA10D0">
      <w:pPr>
        <w:autoSpaceDE w:val="0"/>
        <w:autoSpaceDN w:val="0"/>
        <w:adjustRightInd w:val="0"/>
        <w:spacing w:after="0" w:line="360" w:lineRule="auto"/>
        <w:ind w:left="5040" w:hanging="5040"/>
        <w:rPr>
          <w:rFonts w:ascii="Arial" w:hAnsi="Arial" w:cs="Arial"/>
          <w:sz w:val="24"/>
          <w:szCs w:val="24"/>
        </w:rPr>
      </w:pPr>
      <w:r w:rsidRPr="00E50503">
        <w:rPr>
          <w:rFonts w:ascii="Arial" w:hAnsi="Arial" w:cs="Arial"/>
          <w:sz w:val="24"/>
          <w:szCs w:val="24"/>
        </w:rPr>
        <w:t xml:space="preserve">Counsel on behalf of </w:t>
      </w:r>
      <w:r w:rsidR="008A2EE9" w:rsidRPr="00E50503">
        <w:rPr>
          <w:rFonts w:ascii="Arial" w:hAnsi="Arial" w:cs="Arial"/>
          <w:sz w:val="24"/>
          <w:szCs w:val="24"/>
        </w:rPr>
        <w:t>the Applicant</w:t>
      </w:r>
      <w:r w:rsidR="0083360E" w:rsidRPr="00E50503">
        <w:rPr>
          <w:rFonts w:ascii="Arial" w:hAnsi="Arial" w:cs="Arial"/>
          <w:sz w:val="24"/>
          <w:szCs w:val="24"/>
        </w:rPr>
        <w:t>:</w:t>
      </w:r>
      <w:r w:rsidR="0083360E" w:rsidRPr="00E50503">
        <w:rPr>
          <w:rFonts w:ascii="Arial" w:hAnsi="Arial" w:cs="Arial"/>
          <w:sz w:val="24"/>
          <w:szCs w:val="24"/>
        </w:rPr>
        <w:tab/>
      </w:r>
      <w:r w:rsidR="0028784E">
        <w:rPr>
          <w:rFonts w:ascii="Arial" w:hAnsi="Arial" w:cs="Arial"/>
          <w:sz w:val="24"/>
          <w:szCs w:val="24"/>
        </w:rPr>
        <w:t>Ms S. Khumalo</w:t>
      </w:r>
    </w:p>
    <w:p w14:paraId="3E739C32" w14:textId="6307D849" w:rsidR="00AA10D0" w:rsidRPr="00E50503" w:rsidRDefault="0014277B" w:rsidP="00AA10D0">
      <w:pPr>
        <w:autoSpaceDE w:val="0"/>
        <w:autoSpaceDN w:val="0"/>
        <w:adjustRightInd w:val="0"/>
        <w:spacing w:after="0" w:line="360" w:lineRule="auto"/>
        <w:ind w:left="5040" w:hanging="5040"/>
        <w:rPr>
          <w:rFonts w:ascii="Arial" w:hAnsi="Arial" w:cs="Arial"/>
          <w:sz w:val="24"/>
          <w:szCs w:val="24"/>
        </w:rPr>
      </w:pPr>
      <w:r w:rsidRPr="00E50503">
        <w:rPr>
          <w:rFonts w:ascii="Arial" w:hAnsi="Arial" w:cs="Arial"/>
          <w:sz w:val="24"/>
          <w:szCs w:val="24"/>
        </w:rPr>
        <w:t>Instructed by:</w:t>
      </w:r>
      <w:r w:rsidRPr="00E50503">
        <w:rPr>
          <w:rFonts w:ascii="Arial" w:hAnsi="Arial" w:cs="Arial"/>
          <w:sz w:val="24"/>
          <w:szCs w:val="24"/>
        </w:rPr>
        <w:tab/>
      </w:r>
      <w:r w:rsidR="0028784E">
        <w:rPr>
          <w:rFonts w:ascii="Arial" w:hAnsi="Arial" w:cs="Arial"/>
          <w:sz w:val="24"/>
          <w:szCs w:val="24"/>
        </w:rPr>
        <w:t>Director of Public Prosecutions</w:t>
      </w:r>
    </w:p>
    <w:p w14:paraId="2C950154" w14:textId="65038029" w:rsidR="00EA0CB0" w:rsidRPr="00E50503" w:rsidRDefault="00EA0CB0" w:rsidP="006D6181">
      <w:pPr>
        <w:autoSpaceDE w:val="0"/>
        <w:autoSpaceDN w:val="0"/>
        <w:adjustRightInd w:val="0"/>
        <w:spacing w:after="0" w:line="360" w:lineRule="auto"/>
        <w:rPr>
          <w:rFonts w:ascii="Arial" w:hAnsi="Arial" w:cs="Arial"/>
          <w:b/>
          <w:sz w:val="24"/>
          <w:szCs w:val="24"/>
        </w:rPr>
      </w:pP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008A2EE9" w:rsidRPr="00E50503">
        <w:rPr>
          <w:rFonts w:ascii="Arial" w:hAnsi="Arial" w:cs="Arial"/>
          <w:sz w:val="24"/>
          <w:szCs w:val="24"/>
        </w:rPr>
        <w:tab/>
      </w:r>
      <w:r w:rsidRPr="00E50503">
        <w:rPr>
          <w:rFonts w:ascii="Arial" w:hAnsi="Arial" w:cs="Arial"/>
          <w:b/>
          <w:sz w:val="24"/>
          <w:szCs w:val="24"/>
        </w:rPr>
        <w:t>BLOEMFONTEIN</w:t>
      </w:r>
    </w:p>
    <w:p w14:paraId="6B60BC7E" w14:textId="77777777" w:rsidR="0014277B" w:rsidRPr="00E50503" w:rsidRDefault="0014277B" w:rsidP="006D6181">
      <w:pPr>
        <w:autoSpaceDE w:val="0"/>
        <w:autoSpaceDN w:val="0"/>
        <w:adjustRightInd w:val="0"/>
        <w:spacing w:after="0" w:line="360" w:lineRule="auto"/>
        <w:ind w:left="720"/>
        <w:rPr>
          <w:rFonts w:ascii="Arial" w:hAnsi="Arial" w:cs="Arial"/>
          <w:sz w:val="24"/>
          <w:szCs w:val="24"/>
        </w:rPr>
      </w:pPr>
    </w:p>
    <w:p w14:paraId="2E7E5E48" w14:textId="2005FCC7" w:rsidR="00A172C2" w:rsidRPr="00E50503" w:rsidRDefault="00A172C2" w:rsidP="00A172C2">
      <w:pPr>
        <w:autoSpaceDE w:val="0"/>
        <w:autoSpaceDN w:val="0"/>
        <w:adjustRightInd w:val="0"/>
        <w:spacing w:after="0" w:line="360" w:lineRule="auto"/>
        <w:rPr>
          <w:rFonts w:ascii="Arial" w:hAnsi="Arial" w:cs="Arial"/>
          <w:sz w:val="24"/>
          <w:szCs w:val="24"/>
        </w:rPr>
      </w:pPr>
      <w:r w:rsidRPr="00E50503">
        <w:rPr>
          <w:rFonts w:ascii="Arial" w:hAnsi="Arial" w:cs="Arial"/>
          <w:sz w:val="24"/>
          <w:szCs w:val="24"/>
        </w:rPr>
        <w:lastRenderedPageBreak/>
        <w:t xml:space="preserve">Counsel on behalf of </w:t>
      </w:r>
      <w:r w:rsidR="0028784E">
        <w:rPr>
          <w:rFonts w:ascii="Arial" w:hAnsi="Arial" w:cs="Arial"/>
          <w:sz w:val="24"/>
          <w:szCs w:val="24"/>
        </w:rPr>
        <w:t xml:space="preserve">the </w:t>
      </w:r>
      <w:r w:rsidRPr="00E50503">
        <w:rPr>
          <w:rFonts w:ascii="Arial" w:hAnsi="Arial" w:cs="Arial"/>
          <w:sz w:val="24"/>
          <w:szCs w:val="24"/>
        </w:rPr>
        <w:t>Respondent</w:t>
      </w:r>
      <w:r w:rsidR="0028784E">
        <w:rPr>
          <w:rFonts w:ascii="Arial" w:hAnsi="Arial" w:cs="Arial"/>
          <w:sz w:val="24"/>
          <w:szCs w:val="24"/>
        </w:rPr>
        <w:t>s</w:t>
      </w:r>
      <w:r w:rsidRPr="00E50503">
        <w:rPr>
          <w:rFonts w:ascii="Arial" w:hAnsi="Arial" w:cs="Arial"/>
          <w:sz w:val="24"/>
          <w:szCs w:val="24"/>
        </w:rPr>
        <w:t xml:space="preserve">: </w:t>
      </w:r>
      <w:r w:rsidRPr="00E50503">
        <w:rPr>
          <w:rFonts w:ascii="Arial" w:hAnsi="Arial" w:cs="Arial"/>
          <w:sz w:val="24"/>
          <w:szCs w:val="24"/>
        </w:rPr>
        <w:tab/>
      </w:r>
      <w:r w:rsidR="0028784E">
        <w:rPr>
          <w:rFonts w:ascii="Arial" w:hAnsi="Arial" w:cs="Arial"/>
          <w:sz w:val="24"/>
          <w:szCs w:val="24"/>
        </w:rPr>
        <w:tab/>
        <w:t>Adv. L.J. Lowies</w:t>
      </w:r>
    </w:p>
    <w:p w14:paraId="62571BCB" w14:textId="50BB5593" w:rsidR="00A172C2" w:rsidRDefault="00A172C2" w:rsidP="0028784E">
      <w:pPr>
        <w:autoSpaceDE w:val="0"/>
        <w:autoSpaceDN w:val="0"/>
        <w:adjustRightInd w:val="0"/>
        <w:spacing w:after="0" w:line="360" w:lineRule="auto"/>
        <w:rPr>
          <w:rFonts w:ascii="Arial" w:hAnsi="Arial" w:cs="Arial"/>
          <w:sz w:val="24"/>
          <w:szCs w:val="24"/>
        </w:rPr>
      </w:pPr>
      <w:r w:rsidRPr="00E50503">
        <w:rPr>
          <w:rFonts w:ascii="Arial" w:hAnsi="Arial" w:cs="Arial"/>
          <w:sz w:val="24"/>
          <w:szCs w:val="24"/>
        </w:rPr>
        <w:t>Instructed by:</w:t>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005209CD">
        <w:rPr>
          <w:rFonts w:ascii="Arial" w:hAnsi="Arial" w:cs="Arial"/>
          <w:sz w:val="24"/>
          <w:szCs w:val="24"/>
        </w:rPr>
        <w:t>J. Malan Attorneys</w:t>
      </w:r>
    </w:p>
    <w:p w14:paraId="3DCEC4B7" w14:textId="4F473FEC" w:rsidR="005209CD" w:rsidRPr="00E50503" w:rsidRDefault="005209CD" w:rsidP="0028784E">
      <w:pPr>
        <w:autoSpaceDE w:val="0"/>
        <w:autoSpaceDN w:val="0"/>
        <w:adjustRightInd w:val="0"/>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 Blair Attorneys</w:t>
      </w:r>
    </w:p>
    <w:p w14:paraId="0286ADF2" w14:textId="7429CF84" w:rsidR="00A172C2" w:rsidRPr="00E50503" w:rsidRDefault="00A172C2" w:rsidP="00A172C2">
      <w:pPr>
        <w:autoSpaceDE w:val="0"/>
        <w:autoSpaceDN w:val="0"/>
        <w:adjustRightInd w:val="0"/>
        <w:spacing w:after="0" w:line="360" w:lineRule="auto"/>
        <w:rPr>
          <w:rFonts w:ascii="Arial" w:hAnsi="Arial" w:cs="Arial"/>
          <w:b/>
          <w:sz w:val="24"/>
          <w:szCs w:val="24"/>
        </w:rPr>
      </w:pP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sz w:val="24"/>
          <w:szCs w:val="24"/>
        </w:rPr>
        <w:tab/>
      </w:r>
      <w:r w:rsidRPr="00E50503">
        <w:rPr>
          <w:rFonts w:ascii="Arial" w:hAnsi="Arial" w:cs="Arial"/>
          <w:b/>
          <w:sz w:val="24"/>
          <w:szCs w:val="24"/>
        </w:rPr>
        <w:t>BLOEMFONTEIN</w:t>
      </w:r>
    </w:p>
    <w:p w14:paraId="14099699" w14:textId="08FA5B8A" w:rsidR="00E73B6C" w:rsidRPr="00E50503" w:rsidRDefault="00E73B6C" w:rsidP="006D6181">
      <w:pPr>
        <w:autoSpaceDE w:val="0"/>
        <w:autoSpaceDN w:val="0"/>
        <w:adjustRightInd w:val="0"/>
        <w:spacing w:after="0" w:line="360" w:lineRule="auto"/>
        <w:rPr>
          <w:rFonts w:ascii="Arial Narrow" w:hAnsi="Arial Narrow" w:cs="Arial"/>
          <w:sz w:val="8"/>
          <w:szCs w:val="8"/>
        </w:rPr>
      </w:pPr>
    </w:p>
    <w:sectPr w:rsidR="00E73B6C" w:rsidRPr="00E50503" w:rsidSect="00D4554F">
      <w:headerReference w:type="even" r:id="rId10"/>
      <w:headerReference w:type="default" r:id="rId11"/>
      <w:footerReference w:type="even" r:id="rId12"/>
      <w:footerReference w:type="default" r:id="rId13"/>
      <w:headerReference w:type="first" r:id="rId14"/>
      <w:footerReference w:type="first" r:id="rId15"/>
      <w:pgSz w:w="11906" w:h="16838"/>
      <w:pgMar w:top="270" w:right="1440" w:bottom="117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7B49" w14:textId="77777777" w:rsidR="00CE50CB" w:rsidRDefault="00CE50CB" w:rsidP="003A2C84">
      <w:pPr>
        <w:spacing w:after="0" w:line="240" w:lineRule="auto"/>
      </w:pPr>
      <w:r>
        <w:separator/>
      </w:r>
    </w:p>
  </w:endnote>
  <w:endnote w:type="continuationSeparator" w:id="0">
    <w:p w14:paraId="4CEC4AA9" w14:textId="77777777" w:rsidR="00CE50CB" w:rsidRDefault="00CE50CB"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6B541" w14:textId="77777777" w:rsidR="003B3903" w:rsidRDefault="003B3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F3B9" w14:textId="77777777" w:rsidR="003B3903" w:rsidRDefault="003B3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B86B" w14:textId="77777777" w:rsidR="003B3903" w:rsidRDefault="003B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EDC49" w14:textId="77777777" w:rsidR="00CE50CB" w:rsidRDefault="00CE50CB" w:rsidP="003A2C84">
      <w:pPr>
        <w:spacing w:after="0" w:line="240" w:lineRule="auto"/>
      </w:pPr>
      <w:r>
        <w:separator/>
      </w:r>
    </w:p>
  </w:footnote>
  <w:footnote w:type="continuationSeparator" w:id="0">
    <w:p w14:paraId="5D0B579D" w14:textId="77777777" w:rsidR="00CE50CB" w:rsidRDefault="00CE50CB" w:rsidP="003A2C84">
      <w:pPr>
        <w:spacing w:after="0" w:line="240" w:lineRule="auto"/>
      </w:pPr>
      <w:r>
        <w:continuationSeparator/>
      </w:r>
    </w:p>
  </w:footnote>
  <w:footnote w:id="1">
    <w:p w14:paraId="2D3B6285" w14:textId="593387CE" w:rsidR="00445C91" w:rsidRPr="00445C91" w:rsidRDefault="00445C91">
      <w:pPr>
        <w:pStyle w:val="FootnoteText"/>
        <w:rPr>
          <w:rFonts w:ascii="Arial" w:hAnsi="Arial" w:cs="Arial"/>
        </w:rPr>
      </w:pPr>
      <w:r>
        <w:rPr>
          <w:rStyle w:val="FootnoteReference"/>
        </w:rPr>
        <w:footnoteRef/>
      </w:r>
      <w:r>
        <w:t xml:space="preserve"> </w:t>
      </w:r>
      <w:r>
        <w:rPr>
          <w:rFonts w:ascii="Arial" w:hAnsi="Arial" w:cs="Arial"/>
        </w:rPr>
        <w:t>Section 20(1) of the National Prosecuting Authority Act 32 of 1998, as amended.</w:t>
      </w:r>
    </w:p>
  </w:footnote>
  <w:footnote w:id="2">
    <w:p w14:paraId="1E0359FE" w14:textId="586AAAC1" w:rsidR="00C026DB" w:rsidRPr="00C026DB" w:rsidRDefault="00C026DB">
      <w:pPr>
        <w:pStyle w:val="FootnoteText"/>
        <w:rPr>
          <w:rFonts w:ascii="Arial" w:hAnsi="Arial" w:cs="Arial"/>
        </w:rPr>
      </w:pPr>
      <w:r>
        <w:rPr>
          <w:rStyle w:val="FootnoteReference"/>
        </w:rPr>
        <w:footnoteRef/>
      </w:r>
      <w:r>
        <w:t xml:space="preserve"> </w:t>
      </w:r>
      <w:r>
        <w:rPr>
          <w:rFonts w:ascii="Arial" w:hAnsi="Arial" w:cs="Arial"/>
        </w:rPr>
        <w:t>Plascon-Evans Paints Ltd v Van Riebeeck Paints (Pty) Ltd 1984 (3) SA 623 (A) at 634H.</w:t>
      </w:r>
    </w:p>
  </w:footnote>
  <w:footnote w:id="3">
    <w:p w14:paraId="652893CF" w14:textId="0948E3D8" w:rsidR="005523CC" w:rsidRPr="005523CC" w:rsidRDefault="005523CC">
      <w:pPr>
        <w:pStyle w:val="FootnoteText"/>
        <w:rPr>
          <w:rFonts w:ascii="Arial" w:hAnsi="Arial" w:cs="Arial"/>
        </w:rPr>
      </w:pPr>
      <w:r>
        <w:rPr>
          <w:rStyle w:val="FootnoteReference"/>
        </w:rPr>
        <w:footnoteRef/>
      </w:r>
      <w:r>
        <w:t xml:space="preserve"> </w:t>
      </w:r>
      <w:r>
        <w:rPr>
          <w:rFonts w:ascii="Arial" w:hAnsi="Arial" w:cs="Arial"/>
        </w:rPr>
        <w:t>[2016] 4 All SA 908 (GJ).</w:t>
      </w:r>
    </w:p>
  </w:footnote>
  <w:footnote w:id="4">
    <w:p w14:paraId="0F189B8A" w14:textId="4E46574E" w:rsidR="005523CC" w:rsidRPr="005523CC" w:rsidRDefault="005523CC">
      <w:pPr>
        <w:pStyle w:val="FootnoteText"/>
        <w:rPr>
          <w:rFonts w:ascii="Arial" w:hAnsi="Arial" w:cs="Arial"/>
        </w:rPr>
      </w:pPr>
      <w:r>
        <w:rPr>
          <w:rStyle w:val="FootnoteReference"/>
        </w:rPr>
        <w:footnoteRef/>
      </w:r>
      <w:r>
        <w:t xml:space="preserve"> </w:t>
      </w:r>
      <w:r>
        <w:rPr>
          <w:rFonts w:ascii="Arial" w:hAnsi="Arial" w:cs="Arial"/>
        </w:rPr>
        <w:t xml:space="preserve">See </w:t>
      </w:r>
      <w:r w:rsidR="00673028">
        <w:rPr>
          <w:rFonts w:ascii="Arial" w:hAnsi="Arial" w:cs="Arial"/>
        </w:rPr>
        <w:t>section 35 of the Tax Administration Laws Amendment Act 24 of 2020.</w:t>
      </w:r>
    </w:p>
  </w:footnote>
  <w:footnote w:id="5">
    <w:p w14:paraId="3741C3DE" w14:textId="56D0ED12" w:rsidR="009356CD" w:rsidRPr="009356CD" w:rsidRDefault="009356CD">
      <w:pPr>
        <w:pStyle w:val="FootnoteText"/>
        <w:rPr>
          <w:rFonts w:ascii="Arial" w:hAnsi="Arial" w:cs="Arial"/>
        </w:rPr>
      </w:pPr>
      <w:r>
        <w:rPr>
          <w:rStyle w:val="FootnoteReference"/>
        </w:rPr>
        <w:footnoteRef/>
      </w:r>
      <w:r>
        <w:t xml:space="preserve"> </w:t>
      </w:r>
      <w:r>
        <w:rPr>
          <w:rFonts w:ascii="Arial" w:hAnsi="Arial" w:cs="Arial"/>
        </w:rPr>
        <w:t>Se</w:t>
      </w:r>
      <w:r w:rsidR="00673028">
        <w:rPr>
          <w:rFonts w:ascii="Arial" w:hAnsi="Arial" w:cs="Arial"/>
        </w:rPr>
        <w:t>e section 271 of Act 28 of 2011.</w:t>
      </w:r>
    </w:p>
  </w:footnote>
  <w:footnote w:id="6">
    <w:p w14:paraId="3FE09BCE" w14:textId="2FA32CCF" w:rsidR="00D11993" w:rsidRPr="00D11993" w:rsidRDefault="00D11993">
      <w:pPr>
        <w:pStyle w:val="FootnoteText"/>
        <w:rPr>
          <w:rFonts w:ascii="Arial" w:hAnsi="Arial" w:cs="Arial"/>
        </w:rPr>
      </w:pPr>
      <w:r>
        <w:rPr>
          <w:rStyle w:val="FootnoteReference"/>
        </w:rPr>
        <w:footnoteRef/>
      </w:r>
      <w:r>
        <w:t xml:space="preserve"> </w:t>
      </w:r>
      <w:r>
        <w:rPr>
          <w:rFonts w:ascii="Arial" w:hAnsi="Arial" w:cs="Arial"/>
        </w:rPr>
        <w:t>(2016) 37 ILJ 2815 (LAC).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7EBA5" w14:textId="0AF02633" w:rsidR="003B3903" w:rsidRDefault="003B3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766E" w14:textId="227C43D0" w:rsidR="00C13C78" w:rsidRDefault="00CE50CB">
    <w:pPr>
      <w:pStyle w:val="Header"/>
      <w:jc w:val="right"/>
    </w:pPr>
    <w:sdt>
      <w:sdtPr>
        <w:id w:val="624440617"/>
        <w:docPartObj>
          <w:docPartGallery w:val="Page Numbers (Top of Page)"/>
          <w:docPartUnique/>
        </w:docPartObj>
      </w:sdtPr>
      <w:sdtEndPr>
        <w:rPr>
          <w:noProof/>
        </w:rPr>
      </w:sdtEndPr>
      <w:sdtContent>
        <w:r w:rsidR="00C13C78">
          <w:fldChar w:fldCharType="begin"/>
        </w:r>
        <w:r w:rsidR="00C13C78">
          <w:instrText xml:space="preserve"> PAGE   \* MERGEFORMAT </w:instrText>
        </w:r>
        <w:r w:rsidR="00C13C78">
          <w:fldChar w:fldCharType="separate"/>
        </w:r>
        <w:r w:rsidR="00BE676E">
          <w:rPr>
            <w:noProof/>
          </w:rPr>
          <w:t>3</w:t>
        </w:r>
        <w:r w:rsidR="00C13C78">
          <w:rPr>
            <w:noProof/>
          </w:rPr>
          <w:fldChar w:fldCharType="end"/>
        </w:r>
      </w:sdtContent>
    </w:sdt>
  </w:p>
  <w:p w14:paraId="0A9B53DF" w14:textId="77777777" w:rsidR="00C13C78" w:rsidRDefault="00C13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6521" w14:textId="73EA9F5A" w:rsidR="003B3903" w:rsidRDefault="003B3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7086"/>
    <w:multiLevelType w:val="hybridMultilevel"/>
    <w:tmpl w:val="665EAA66"/>
    <w:lvl w:ilvl="0" w:tplc="460499E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E144D99"/>
    <w:multiLevelType w:val="hybridMultilevel"/>
    <w:tmpl w:val="1AC20670"/>
    <w:lvl w:ilvl="0" w:tplc="56BE0A3E">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D42003F"/>
    <w:multiLevelType w:val="hybridMultilevel"/>
    <w:tmpl w:val="0C2EC0B0"/>
    <w:lvl w:ilvl="0" w:tplc="D8803614">
      <w:start w:val="1"/>
      <w:numFmt w:val="decimal"/>
      <w:lvlText w:val="%1."/>
      <w:lvlJc w:val="left"/>
      <w:pPr>
        <w:ind w:left="720" w:hanging="360"/>
      </w:pPr>
      <w:rPr>
        <w:rFonts w:ascii="Arial" w:eastAsiaTheme="minorHAnsi" w:hAnsi="Arial" w:cs="Arial"/>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BC2498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391169"/>
    <w:multiLevelType w:val="multilevel"/>
    <w:tmpl w:val="238AEF10"/>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B6B"/>
    <w:rsid w:val="00002584"/>
    <w:rsid w:val="0000303C"/>
    <w:rsid w:val="00011AD2"/>
    <w:rsid w:val="000167D1"/>
    <w:rsid w:val="000179D0"/>
    <w:rsid w:val="00021C6A"/>
    <w:rsid w:val="000225F7"/>
    <w:rsid w:val="000249DA"/>
    <w:rsid w:val="00024A54"/>
    <w:rsid w:val="00027921"/>
    <w:rsid w:val="00033270"/>
    <w:rsid w:val="0003607A"/>
    <w:rsid w:val="0003612A"/>
    <w:rsid w:val="000361B2"/>
    <w:rsid w:val="00036E75"/>
    <w:rsid w:val="0004035A"/>
    <w:rsid w:val="000407FB"/>
    <w:rsid w:val="00041297"/>
    <w:rsid w:val="00041B2F"/>
    <w:rsid w:val="00044AA1"/>
    <w:rsid w:val="00044EE1"/>
    <w:rsid w:val="00045DA6"/>
    <w:rsid w:val="000471A2"/>
    <w:rsid w:val="000536CD"/>
    <w:rsid w:val="00054CC3"/>
    <w:rsid w:val="00054D78"/>
    <w:rsid w:val="00054DFA"/>
    <w:rsid w:val="00057DDD"/>
    <w:rsid w:val="00057E20"/>
    <w:rsid w:val="000615D3"/>
    <w:rsid w:val="000617E6"/>
    <w:rsid w:val="00061ACA"/>
    <w:rsid w:val="00065E84"/>
    <w:rsid w:val="00065F0A"/>
    <w:rsid w:val="00066F64"/>
    <w:rsid w:val="00067FC1"/>
    <w:rsid w:val="0007057B"/>
    <w:rsid w:val="00071752"/>
    <w:rsid w:val="000726BF"/>
    <w:rsid w:val="0007272B"/>
    <w:rsid w:val="00073F1A"/>
    <w:rsid w:val="00077680"/>
    <w:rsid w:val="0008324E"/>
    <w:rsid w:val="00084218"/>
    <w:rsid w:val="00086182"/>
    <w:rsid w:val="00091997"/>
    <w:rsid w:val="000931ED"/>
    <w:rsid w:val="000942C3"/>
    <w:rsid w:val="00094FED"/>
    <w:rsid w:val="00096E9A"/>
    <w:rsid w:val="000970DB"/>
    <w:rsid w:val="000A05B2"/>
    <w:rsid w:val="000A1822"/>
    <w:rsid w:val="000A28F1"/>
    <w:rsid w:val="000A3867"/>
    <w:rsid w:val="000A7031"/>
    <w:rsid w:val="000A771D"/>
    <w:rsid w:val="000B0DA0"/>
    <w:rsid w:val="000B2A71"/>
    <w:rsid w:val="000B35BE"/>
    <w:rsid w:val="000B559F"/>
    <w:rsid w:val="000B577E"/>
    <w:rsid w:val="000B5A04"/>
    <w:rsid w:val="000B701B"/>
    <w:rsid w:val="000C01C5"/>
    <w:rsid w:val="000C1E88"/>
    <w:rsid w:val="000C3808"/>
    <w:rsid w:val="000C3942"/>
    <w:rsid w:val="000C4216"/>
    <w:rsid w:val="000C62CC"/>
    <w:rsid w:val="000D09C1"/>
    <w:rsid w:val="000D23C6"/>
    <w:rsid w:val="000D289F"/>
    <w:rsid w:val="000D321D"/>
    <w:rsid w:val="000D75F5"/>
    <w:rsid w:val="000D7AB4"/>
    <w:rsid w:val="000E04AB"/>
    <w:rsid w:val="000E1BCC"/>
    <w:rsid w:val="000E49B5"/>
    <w:rsid w:val="000E5970"/>
    <w:rsid w:val="000F1847"/>
    <w:rsid w:val="000F2052"/>
    <w:rsid w:val="000F6116"/>
    <w:rsid w:val="000F69B9"/>
    <w:rsid w:val="000F6E4A"/>
    <w:rsid w:val="0010252E"/>
    <w:rsid w:val="00104858"/>
    <w:rsid w:val="001049FA"/>
    <w:rsid w:val="00107105"/>
    <w:rsid w:val="0011030D"/>
    <w:rsid w:val="001105DF"/>
    <w:rsid w:val="00113015"/>
    <w:rsid w:val="001145A9"/>
    <w:rsid w:val="0012041F"/>
    <w:rsid w:val="00122FBA"/>
    <w:rsid w:val="0012334C"/>
    <w:rsid w:val="00123B44"/>
    <w:rsid w:val="00124FF9"/>
    <w:rsid w:val="00125A12"/>
    <w:rsid w:val="0012623E"/>
    <w:rsid w:val="00127F36"/>
    <w:rsid w:val="00130482"/>
    <w:rsid w:val="001306DC"/>
    <w:rsid w:val="00132DF7"/>
    <w:rsid w:val="00133CCB"/>
    <w:rsid w:val="001344AA"/>
    <w:rsid w:val="001376C3"/>
    <w:rsid w:val="001425BC"/>
    <w:rsid w:val="0014277B"/>
    <w:rsid w:val="00146FD7"/>
    <w:rsid w:val="00153012"/>
    <w:rsid w:val="00153B15"/>
    <w:rsid w:val="00156583"/>
    <w:rsid w:val="00156DA3"/>
    <w:rsid w:val="001572BA"/>
    <w:rsid w:val="00160FC3"/>
    <w:rsid w:val="00164410"/>
    <w:rsid w:val="00164BC1"/>
    <w:rsid w:val="00166E97"/>
    <w:rsid w:val="001707D5"/>
    <w:rsid w:val="00171E08"/>
    <w:rsid w:val="00172E56"/>
    <w:rsid w:val="00175D2D"/>
    <w:rsid w:val="00176D72"/>
    <w:rsid w:val="00186FEC"/>
    <w:rsid w:val="0018710E"/>
    <w:rsid w:val="001903A6"/>
    <w:rsid w:val="00191B25"/>
    <w:rsid w:val="00191C69"/>
    <w:rsid w:val="00191EE3"/>
    <w:rsid w:val="0019245F"/>
    <w:rsid w:val="00193C05"/>
    <w:rsid w:val="00195B08"/>
    <w:rsid w:val="00196D38"/>
    <w:rsid w:val="00197512"/>
    <w:rsid w:val="00197831"/>
    <w:rsid w:val="001A06CD"/>
    <w:rsid w:val="001A42F1"/>
    <w:rsid w:val="001A5603"/>
    <w:rsid w:val="001A5CF5"/>
    <w:rsid w:val="001A6510"/>
    <w:rsid w:val="001A6A6C"/>
    <w:rsid w:val="001B1DCB"/>
    <w:rsid w:val="001B247E"/>
    <w:rsid w:val="001B7743"/>
    <w:rsid w:val="001C2335"/>
    <w:rsid w:val="001C2980"/>
    <w:rsid w:val="001C6BF2"/>
    <w:rsid w:val="001D1628"/>
    <w:rsid w:val="001D20BF"/>
    <w:rsid w:val="001D3476"/>
    <w:rsid w:val="001D5F4D"/>
    <w:rsid w:val="001D6197"/>
    <w:rsid w:val="001D7275"/>
    <w:rsid w:val="001E065C"/>
    <w:rsid w:val="001E09F2"/>
    <w:rsid w:val="001E1E93"/>
    <w:rsid w:val="001E486E"/>
    <w:rsid w:val="001F1A46"/>
    <w:rsid w:val="001F23E6"/>
    <w:rsid w:val="001F6527"/>
    <w:rsid w:val="00202102"/>
    <w:rsid w:val="0020482A"/>
    <w:rsid w:val="00204A0F"/>
    <w:rsid w:val="00204B43"/>
    <w:rsid w:val="00207024"/>
    <w:rsid w:val="00210414"/>
    <w:rsid w:val="00211A70"/>
    <w:rsid w:val="00211E34"/>
    <w:rsid w:val="00220E12"/>
    <w:rsid w:val="0022249D"/>
    <w:rsid w:val="00224E49"/>
    <w:rsid w:val="00225B9E"/>
    <w:rsid w:val="00225BA8"/>
    <w:rsid w:val="002269D8"/>
    <w:rsid w:val="0023059B"/>
    <w:rsid w:val="00230BB5"/>
    <w:rsid w:val="00230D5C"/>
    <w:rsid w:val="0023123D"/>
    <w:rsid w:val="00231B59"/>
    <w:rsid w:val="00233D90"/>
    <w:rsid w:val="0023451A"/>
    <w:rsid w:val="00234C34"/>
    <w:rsid w:val="00237D4E"/>
    <w:rsid w:val="002405FC"/>
    <w:rsid w:val="00241894"/>
    <w:rsid w:val="00242207"/>
    <w:rsid w:val="0024295D"/>
    <w:rsid w:val="00243FEE"/>
    <w:rsid w:val="0024500F"/>
    <w:rsid w:val="00245267"/>
    <w:rsid w:val="00245D93"/>
    <w:rsid w:val="002475FF"/>
    <w:rsid w:val="002523F4"/>
    <w:rsid w:val="0025415C"/>
    <w:rsid w:val="00255891"/>
    <w:rsid w:val="00256E0D"/>
    <w:rsid w:val="00257895"/>
    <w:rsid w:val="00260FB3"/>
    <w:rsid w:val="002616F9"/>
    <w:rsid w:val="00262342"/>
    <w:rsid w:val="00263E5C"/>
    <w:rsid w:val="00265184"/>
    <w:rsid w:val="002712F3"/>
    <w:rsid w:val="0027499D"/>
    <w:rsid w:val="00275226"/>
    <w:rsid w:val="00277B98"/>
    <w:rsid w:val="00277E47"/>
    <w:rsid w:val="002805CB"/>
    <w:rsid w:val="0028265B"/>
    <w:rsid w:val="0028512E"/>
    <w:rsid w:val="0028652A"/>
    <w:rsid w:val="00286909"/>
    <w:rsid w:val="0028784E"/>
    <w:rsid w:val="002878CC"/>
    <w:rsid w:val="00291333"/>
    <w:rsid w:val="00292A86"/>
    <w:rsid w:val="00292C73"/>
    <w:rsid w:val="00294A8A"/>
    <w:rsid w:val="002A04B6"/>
    <w:rsid w:val="002A27A4"/>
    <w:rsid w:val="002A4191"/>
    <w:rsid w:val="002B096F"/>
    <w:rsid w:val="002B4F10"/>
    <w:rsid w:val="002B6911"/>
    <w:rsid w:val="002C2B22"/>
    <w:rsid w:val="002C2CCC"/>
    <w:rsid w:val="002D0404"/>
    <w:rsid w:val="002D053F"/>
    <w:rsid w:val="002D1531"/>
    <w:rsid w:val="002D23AB"/>
    <w:rsid w:val="002D5CB5"/>
    <w:rsid w:val="002D5FC3"/>
    <w:rsid w:val="002E00D1"/>
    <w:rsid w:val="002E1E09"/>
    <w:rsid w:val="002E41DF"/>
    <w:rsid w:val="002E4F5B"/>
    <w:rsid w:val="002E51AA"/>
    <w:rsid w:val="002E51BE"/>
    <w:rsid w:val="002E6A27"/>
    <w:rsid w:val="002F22C4"/>
    <w:rsid w:val="002F677D"/>
    <w:rsid w:val="002F6AD4"/>
    <w:rsid w:val="00302769"/>
    <w:rsid w:val="00304BF5"/>
    <w:rsid w:val="00305D9B"/>
    <w:rsid w:val="003061D1"/>
    <w:rsid w:val="00306B77"/>
    <w:rsid w:val="003144EE"/>
    <w:rsid w:val="00314E03"/>
    <w:rsid w:val="00315264"/>
    <w:rsid w:val="00315FAD"/>
    <w:rsid w:val="00320F22"/>
    <w:rsid w:val="00321C7B"/>
    <w:rsid w:val="00321D38"/>
    <w:rsid w:val="00322A9B"/>
    <w:rsid w:val="003253F4"/>
    <w:rsid w:val="00325532"/>
    <w:rsid w:val="00326D0D"/>
    <w:rsid w:val="00331E42"/>
    <w:rsid w:val="00333CD0"/>
    <w:rsid w:val="00335B9A"/>
    <w:rsid w:val="00336352"/>
    <w:rsid w:val="003363D2"/>
    <w:rsid w:val="00336A3A"/>
    <w:rsid w:val="00336D8B"/>
    <w:rsid w:val="00340986"/>
    <w:rsid w:val="00342A10"/>
    <w:rsid w:val="003439D3"/>
    <w:rsid w:val="003456B3"/>
    <w:rsid w:val="003466A7"/>
    <w:rsid w:val="00346FD4"/>
    <w:rsid w:val="00356B81"/>
    <w:rsid w:val="003604CF"/>
    <w:rsid w:val="00360AAB"/>
    <w:rsid w:val="0036112C"/>
    <w:rsid w:val="003624ED"/>
    <w:rsid w:val="00362A10"/>
    <w:rsid w:val="0036549B"/>
    <w:rsid w:val="00374D9C"/>
    <w:rsid w:val="003758AA"/>
    <w:rsid w:val="003807B0"/>
    <w:rsid w:val="00380B8E"/>
    <w:rsid w:val="00383C13"/>
    <w:rsid w:val="00384718"/>
    <w:rsid w:val="003963FF"/>
    <w:rsid w:val="00397823"/>
    <w:rsid w:val="00397BB9"/>
    <w:rsid w:val="003A2C84"/>
    <w:rsid w:val="003A31B0"/>
    <w:rsid w:val="003A43D8"/>
    <w:rsid w:val="003A5EB5"/>
    <w:rsid w:val="003A5FF0"/>
    <w:rsid w:val="003B0F7C"/>
    <w:rsid w:val="003B3903"/>
    <w:rsid w:val="003B565D"/>
    <w:rsid w:val="003C077D"/>
    <w:rsid w:val="003C1EEA"/>
    <w:rsid w:val="003C2A13"/>
    <w:rsid w:val="003C33DA"/>
    <w:rsid w:val="003C48EA"/>
    <w:rsid w:val="003C71D5"/>
    <w:rsid w:val="003D5049"/>
    <w:rsid w:val="003D6B8E"/>
    <w:rsid w:val="003E16E3"/>
    <w:rsid w:val="003E2965"/>
    <w:rsid w:val="003E2DDB"/>
    <w:rsid w:val="003E533D"/>
    <w:rsid w:val="003E6303"/>
    <w:rsid w:val="003F0D0C"/>
    <w:rsid w:val="003F2667"/>
    <w:rsid w:val="003F3BE7"/>
    <w:rsid w:val="003F4D18"/>
    <w:rsid w:val="003F6E45"/>
    <w:rsid w:val="00400DF9"/>
    <w:rsid w:val="004034CF"/>
    <w:rsid w:val="00406A1A"/>
    <w:rsid w:val="0041023B"/>
    <w:rsid w:val="00410B6D"/>
    <w:rsid w:val="004137B3"/>
    <w:rsid w:val="004142F9"/>
    <w:rsid w:val="00414654"/>
    <w:rsid w:val="0041495B"/>
    <w:rsid w:val="004149F0"/>
    <w:rsid w:val="00417B0A"/>
    <w:rsid w:val="004210F4"/>
    <w:rsid w:val="00422DEB"/>
    <w:rsid w:val="004247D2"/>
    <w:rsid w:val="00425640"/>
    <w:rsid w:val="00425D6E"/>
    <w:rsid w:val="004262C2"/>
    <w:rsid w:val="00426B0D"/>
    <w:rsid w:val="0042791B"/>
    <w:rsid w:val="00430BBE"/>
    <w:rsid w:val="00433722"/>
    <w:rsid w:val="00435F7C"/>
    <w:rsid w:val="00436823"/>
    <w:rsid w:val="00437338"/>
    <w:rsid w:val="004454D3"/>
    <w:rsid w:val="00445B60"/>
    <w:rsid w:val="00445C91"/>
    <w:rsid w:val="00446CD1"/>
    <w:rsid w:val="004504A6"/>
    <w:rsid w:val="0045185A"/>
    <w:rsid w:val="00462B73"/>
    <w:rsid w:val="0046325F"/>
    <w:rsid w:val="00463FC5"/>
    <w:rsid w:val="00465FF1"/>
    <w:rsid w:val="00473253"/>
    <w:rsid w:val="004753EA"/>
    <w:rsid w:val="0047554A"/>
    <w:rsid w:val="00475808"/>
    <w:rsid w:val="0047745E"/>
    <w:rsid w:val="00483B2E"/>
    <w:rsid w:val="00484001"/>
    <w:rsid w:val="004840F6"/>
    <w:rsid w:val="00485BB5"/>
    <w:rsid w:val="00487970"/>
    <w:rsid w:val="00491E26"/>
    <w:rsid w:val="0049244A"/>
    <w:rsid w:val="00495AC6"/>
    <w:rsid w:val="00496EE7"/>
    <w:rsid w:val="0049784F"/>
    <w:rsid w:val="004A225E"/>
    <w:rsid w:val="004A2E82"/>
    <w:rsid w:val="004B1E32"/>
    <w:rsid w:val="004B298B"/>
    <w:rsid w:val="004B4E34"/>
    <w:rsid w:val="004B7D09"/>
    <w:rsid w:val="004C1DF2"/>
    <w:rsid w:val="004C5E91"/>
    <w:rsid w:val="004C6F2F"/>
    <w:rsid w:val="004C6F42"/>
    <w:rsid w:val="004C79D6"/>
    <w:rsid w:val="004D084C"/>
    <w:rsid w:val="004D0EBB"/>
    <w:rsid w:val="004D25CB"/>
    <w:rsid w:val="004D275E"/>
    <w:rsid w:val="004D3102"/>
    <w:rsid w:val="004D4608"/>
    <w:rsid w:val="004D598C"/>
    <w:rsid w:val="004D75D9"/>
    <w:rsid w:val="004E138C"/>
    <w:rsid w:val="004E36E4"/>
    <w:rsid w:val="004E4C30"/>
    <w:rsid w:val="004E502C"/>
    <w:rsid w:val="004E7F6E"/>
    <w:rsid w:val="004F019A"/>
    <w:rsid w:val="004F18E2"/>
    <w:rsid w:val="004F1E38"/>
    <w:rsid w:val="004F253B"/>
    <w:rsid w:val="004F3C32"/>
    <w:rsid w:val="004F3D08"/>
    <w:rsid w:val="004F4861"/>
    <w:rsid w:val="004F6399"/>
    <w:rsid w:val="004F6DD6"/>
    <w:rsid w:val="004F7657"/>
    <w:rsid w:val="004F77B7"/>
    <w:rsid w:val="00500AF5"/>
    <w:rsid w:val="00502625"/>
    <w:rsid w:val="005035BF"/>
    <w:rsid w:val="00503F1E"/>
    <w:rsid w:val="00507E2C"/>
    <w:rsid w:val="005105CB"/>
    <w:rsid w:val="00510ACA"/>
    <w:rsid w:val="00511262"/>
    <w:rsid w:val="00511504"/>
    <w:rsid w:val="00511769"/>
    <w:rsid w:val="00515043"/>
    <w:rsid w:val="005155A1"/>
    <w:rsid w:val="005209CD"/>
    <w:rsid w:val="005222E2"/>
    <w:rsid w:val="00524123"/>
    <w:rsid w:val="005263D6"/>
    <w:rsid w:val="00526DFA"/>
    <w:rsid w:val="00530530"/>
    <w:rsid w:val="00531890"/>
    <w:rsid w:val="00531E74"/>
    <w:rsid w:val="00531F49"/>
    <w:rsid w:val="0053235B"/>
    <w:rsid w:val="005356E2"/>
    <w:rsid w:val="00543FAD"/>
    <w:rsid w:val="00544E3A"/>
    <w:rsid w:val="00544E95"/>
    <w:rsid w:val="0054575C"/>
    <w:rsid w:val="00545A8D"/>
    <w:rsid w:val="00546BF4"/>
    <w:rsid w:val="00546EF4"/>
    <w:rsid w:val="0054758C"/>
    <w:rsid w:val="005512F5"/>
    <w:rsid w:val="00551AA3"/>
    <w:rsid w:val="005523CC"/>
    <w:rsid w:val="00555483"/>
    <w:rsid w:val="005556AD"/>
    <w:rsid w:val="00563E8E"/>
    <w:rsid w:val="005649E6"/>
    <w:rsid w:val="005671C1"/>
    <w:rsid w:val="00570389"/>
    <w:rsid w:val="005758C9"/>
    <w:rsid w:val="005772E9"/>
    <w:rsid w:val="00580082"/>
    <w:rsid w:val="00582646"/>
    <w:rsid w:val="00584098"/>
    <w:rsid w:val="00585AED"/>
    <w:rsid w:val="00586095"/>
    <w:rsid w:val="0059133E"/>
    <w:rsid w:val="00591577"/>
    <w:rsid w:val="00592A99"/>
    <w:rsid w:val="00594838"/>
    <w:rsid w:val="005969A1"/>
    <w:rsid w:val="00597098"/>
    <w:rsid w:val="005A0345"/>
    <w:rsid w:val="005A219C"/>
    <w:rsid w:val="005A2304"/>
    <w:rsid w:val="005A2A7E"/>
    <w:rsid w:val="005A32DB"/>
    <w:rsid w:val="005A4899"/>
    <w:rsid w:val="005A6BE9"/>
    <w:rsid w:val="005A7540"/>
    <w:rsid w:val="005B0785"/>
    <w:rsid w:val="005B5953"/>
    <w:rsid w:val="005B5EBD"/>
    <w:rsid w:val="005B69FE"/>
    <w:rsid w:val="005B78B4"/>
    <w:rsid w:val="005B7959"/>
    <w:rsid w:val="005C3552"/>
    <w:rsid w:val="005C5CFB"/>
    <w:rsid w:val="005D03E3"/>
    <w:rsid w:val="005D3667"/>
    <w:rsid w:val="005D3954"/>
    <w:rsid w:val="005D5F51"/>
    <w:rsid w:val="005D6395"/>
    <w:rsid w:val="005D7DC4"/>
    <w:rsid w:val="005E062B"/>
    <w:rsid w:val="005E0CCE"/>
    <w:rsid w:val="005E0CE2"/>
    <w:rsid w:val="005E3504"/>
    <w:rsid w:val="005F0E1D"/>
    <w:rsid w:val="005F196D"/>
    <w:rsid w:val="005F5EDC"/>
    <w:rsid w:val="005F6885"/>
    <w:rsid w:val="005F6E98"/>
    <w:rsid w:val="005F7F39"/>
    <w:rsid w:val="00614ED5"/>
    <w:rsid w:val="00615EF9"/>
    <w:rsid w:val="00616710"/>
    <w:rsid w:val="00616CAE"/>
    <w:rsid w:val="00620EF1"/>
    <w:rsid w:val="00621C9B"/>
    <w:rsid w:val="00621EC5"/>
    <w:rsid w:val="00625DD2"/>
    <w:rsid w:val="0062737B"/>
    <w:rsid w:val="00631689"/>
    <w:rsid w:val="00631D89"/>
    <w:rsid w:val="0063378F"/>
    <w:rsid w:val="006341CE"/>
    <w:rsid w:val="006352BB"/>
    <w:rsid w:val="00635332"/>
    <w:rsid w:val="0063774D"/>
    <w:rsid w:val="00640D8F"/>
    <w:rsid w:val="00640F2E"/>
    <w:rsid w:val="00641245"/>
    <w:rsid w:val="00642064"/>
    <w:rsid w:val="00645DFA"/>
    <w:rsid w:val="006470F2"/>
    <w:rsid w:val="00650D46"/>
    <w:rsid w:val="00653F26"/>
    <w:rsid w:val="006562FF"/>
    <w:rsid w:val="00661285"/>
    <w:rsid w:val="00662DB8"/>
    <w:rsid w:val="00665647"/>
    <w:rsid w:val="006656CC"/>
    <w:rsid w:val="0066627D"/>
    <w:rsid w:val="00667792"/>
    <w:rsid w:val="006713CB"/>
    <w:rsid w:val="00671D8C"/>
    <w:rsid w:val="0067222E"/>
    <w:rsid w:val="00672A86"/>
    <w:rsid w:val="00673028"/>
    <w:rsid w:val="00676AA0"/>
    <w:rsid w:val="00676BD8"/>
    <w:rsid w:val="006777BB"/>
    <w:rsid w:val="0067792F"/>
    <w:rsid w:val="00677D9F"/>
    <w:rsid w:val="0068017F"/>
    <w:rsid w:val="00681DBB"/>
    <w:rsid w:val="006838E9"/>
    <w:rsid w:val="006845B7"/>
    <w:rsid w:val="00684A14"/>
    <w:rsid w:val="0068769C"/>
    <w:rsid w:val="0069021C"/>
    <w:rsid w:val="006917E7"/>
    <w:rsid w:val="006927C0"/>
    <w:rsid w:val="006943C4"/>
    <w:rsid w:val="006943C6"/>
    <w:rsid w:val="006966B3"/>
    <w:rsid w:val="00697997"/>
    <w:rsid w:val="006A2646"/>
    <w:rsid w:val="006A2A43"/>
    <w:rsid w:val="006A39D3"/>
    <w:rsid w:val="006A46DD"/>
    <w:rsid w:val="006A54C8"/>
    <w:rsid w:val="006B231C"/>
    <w:rsid w:val="006B453A"/>
    <w:rsid w:val="006B6DB5"/>
    <w:rsid w:val="006B76D1"/>
    <w:rsid w:val="006B7A2A"/>
    <w:rsid w:val="006B7FC7"/>
    <w:rsid w:val="006C15E8"/>
    <w:rsid w:val="006C269E"/>
    <w:rsid w:val="006C2F34"/>
    <w:rsid w:val="006C62EE"/>
    <w:rsid w:val="006D0307"/>
    <w:rsid w:val="006D0609"/>
    <w:rsid w:val="006D2786"/>
    <w:rsid w:val="006D2E03"/>
    <w:rsid w:val="006D50AA"/>
    <w:rsid w:val="006D6181"/>
    <w:rsid w:val="006E0453"/>
    <w:rsid w:val="006E266F"/>
    <w:rsid w:val="006E26B2"/>
    <w:rsid w:val="006E280B"/>
    <w:rsid w:val="006E5F43"/>
    <w:rsid w:val="006E6709"/>
    <w:rsid w:val="006E6C6D"/>
    <w:rsid w:val="006E6CE8"/>
    <w:rsid w:val="006F48A3"/>
    <w:rsid w:val="006F5FE4"/>
    <w:rsid w:val="006F6D2C"/>
    <w:rsid w:val="007015D9"/>
    <w:rsid w:val="00703A22"/>
    <w:rsid w:val="007055BD"/>
    <w:rsid w:val="007058B3"/>
    <w:rsid w:val="00706DDB"/>
    <w:rsid w:val="00712E9E"/>
    <w:rsid w:val="00716208"/>
    <w:rsid w:val="00720DBF"/>
    <w:rsid w:val="00721894"/>
    <w:rsid w:val="00722933"/>
    <w:rsid w:val="007259A3"/>
    <w:rsid w:val="00727044"/>
    <w:rsid w:val="00727582"/>
    <w:rsid w:val="0073262B"/>
    <w:rsid w:val="007329B1"/>
    <w:rsid w:val="00734026"/>
    <w:rsid w:val="0074063E"/>
    <w:rsid w:val="007421C6"/>
    <w:rsid w:val="00743191"/>
    <w:rsid w:val="007435FE"/>
    <w:rsid w:val="007438D0"/>
    <w:rsid w:val="007442EF"/>
    <w:rsid w:val="0074479F"/>
    <w:rsid w:val="007454D0"/>
    <w:rsid w:val="00746E2D"/>
    <w:rsid w:val="007500EC"/>
    <w:rsid w:val="00750424"/>
    <w:rsid w:val="00751475"/>
    <w:rsid w:val="00752813"/>
    <w:rsid w:val="0075459D"/>
    <w:rsid w:val="007570F7"/>
    <w:rsid w:val="0076064F"/>
    <w:rsid w:val="007650B6"/>
    <w:rsid w:val="00765BA5"/>
    <w:rsid w:val="00765CCA"/>
    <w:rsid w:val="00773518"/>
    <w:rsid w:val="00773FA7"/>
    <w:rsid w:val="00774271"/>
    <w:rsid w:val="00775980"/>
    <w:rsid w:val="00776EEB"/>
    <w:rsid w:val="007803EA"/>
    <w:rsid w:val="00781437"/>
    <w:rsid w:val="0078284B"/>
    <w:rsid w:val="00785D49"/>
    <w:rsid w:val="00786129"/>
    <w:rsid w:val="007912E3"/>
    <w:rsid w:val="00792122"/>
    <w:rsid w:val="007954EA"/>
    <w:rsid w:val="007974E6"/>
    <w:rsid w:val="007A4AA3"/>
    <w:rsid w:val="007A4C30"/>
    <w:rsid w:val="007A52EF"/>
    <w:rsid w:val="007A5516"/>
    <w:rsid w:val="007A7334"/>
    <w:rsid w:val="007A7730"/>
    <w:rsid w:val="007A7FB0"/>
    <w:rsid w:val="007B18DE"/>
    <w:rsid w:val="007B1E3C"/>
    <w:rsid w:val="007B298D"/>
    <w:rsid w:val="007B76B1"/>
    <w:rsid w:val="007C1556"/>
    <w:rsid w:val="007C284D"/>
    <w:rsid w:val="007C2DB2"/>
    <w:rsid w:val="007D1465"/>
    <w:rsid w:val="007D2754"/>
    <w:rsid w:val="007D2CC5"/>
    <w:rsid w:val="007D3592"/>
    <w:rsid w:val="007D491A"/>
    <w:rsid w:val="007D5EBA"/>
    <w:rsid w:val="007D68FC"/>
    <w:rsid w:val="007E08F4"/>
    <w:rsid w:val="007E2A20"/>
    <w:rsid w:val="007E444A"/>
    <w:rsid w:val="007E52DC"/>
    <w:rsid w:val="007E63AA"/>
    <w:rsid w:val="007E7554"/>
    <w:rsid w:val="007F088D"/>
    <w:rsid w:val="007F1406"/>
    <w:rsid w:val="007F22B0"/>
    <w:rsid w:val="007F426D"/>
    <w:rsid w:val="007F4874"/>
    <w:rsid w:val="007F7641"/>
    <w:rsid w:val="008004F9"/>
    <w:rsid w:val="00802655"/>
    <w:rsid w:val="0080340C"/>
    <w:rsid w:val="00803516"/>
    <w:rsid w:val="008038F3"/>
    <w:rsid w:val="008040D6"/>
    <w:rsid w:val="00804562"/>
    <w:rsid w:val="008049EE"/>
    <w:rsid w:val="00805168"/>
    <w:rsid w:val="00806519"/>
    <w:rsid w:val="00806D1F"/>
    <w:rsid w:val="00807748"/>
    <w:rsid w:val="008145D9"/>
    <w:rsid w:val="00815A6A"/>
    <w:rsid w:val="008160BE"/>
    <w:rsid w:val="00822DBF"/>
    <w:rsid w:val="008230AA"/>
    <w:rsid w:val="00824C86"/>
    <w:rsid w:val="0082606B"/>
    <w:rsid w:val="008310A0"/>
    <w:rsid w:val="0083138A"/>
    <w:rsid w:val="008327BF"/>
    <w:rsid w:val="0083360E"/>
    <w:rsid w:val="00833EFE"/>
    <w:rsid w:val="00835C26"/>
    <w:rsid w:val="00836DD5"/>
    <w:rsid w:val="0083784A"/>
    <w:rsid w:val="00845AB4"/>
    <w:rsid w:val="008473F3"/>
    <w:rsid w:val="0085175B"/>
    <w:rsid w:val="0085366E"/>
    <w:rsid w:val="0085490F"/>
    <w:rsid w:val="00860436"/>
    <w:rsid w:val="00863172"/>
    <w:rsid w:val="00864E9F"/>
    <w:rsid w:val="008707C3"/>
    <w:rsid w:val="00871CBB"/>
    <w:rsid w:val="00872956"/>
    <w:rsid w:val="00875899"/>
    <w:rsid w:val="008809D5"/>
    <w:rsid w:val="008814AE"/>
    <w:rsid w:val="0088158B"/>
    <w:rsid w:val="008818B9"/>
    <w:rsid w:val="00881A9C"/>
    <w:rsid w:val="00882DF2"/>
    <w:rsid w:val="00883C9F"/>
    <w:rsid w:val="008855A3"/>
    <w:rsid w:val="00887F1E"/>
    <w:rsid w:val="00890997"/>
    <w:rsid w:val="00890D3D"/>
    <w:rsid w:val="00891F57"/>
    <w:rsid w:val="00892051"/>
    <w:rsid w:val="008925FC"/>
    <w:rsid w:val="00893094"/>
    <w:rsid w:val="008A05F9"/>
    <w:rsid w:val="008A15E1"/>
    <w:rsid w:val="008A19CA"/>
    <w:rsid w:val="008A2EE9"/>
    <w:rsid w:val="008A54AD"/>
    <w:rsid w:val="008A5C6D"/>
    <w:rsid w:val="008B0864"/>
    <w:rsid w:val="008B0D10"/>
    <w:rsid w:val="008B2445"/>
    <w:rsid w:val="008C011C"/>
    <w:rsid w:val="008C09D7"/>
    <w:rsid w:val="008C2102"/>
    <w:rsid w:val="008C2B20"/>
    <w:rsid w:val="008C4026"/>
    <w:rsid w:val="008C4E84"/>
    <w:rsid w:val="008C755F"/>
    <w:rsid w:val="008D3E7F"/>
    <w:rsid w:val="008D4225"/>
    <w:rsid w:val="008D5ECA"/>
    <w:rsid w:val="008E0B0B"/>
    <w:rsid w:val="008E2810"/>
    <w:rsid w:val="008E4B98"/>
    <w:rsid w:val="008E5CD1"/>
    <w:rsid w:val="008E6948"/>
    <w:rsid w:val="008F26FD"/>
    <w:rsid w:val="008F4AA2"/>
    <w:rsid w:val="008F4CAC"/>
    <w:rsid w:val="008F4D8F"/>
    <w:rsid w:val="008F65A4"/>
    <w:rsid w:val="0090084C"/>
    <w:rsid w:val="00900AD2"/>
    <w:rsid w:val="00903BAA"/>
    <w:rsid w:val="00904631"/>
    <w:rsid w:val="00911353"/>
    <w:rsid w:val="009116D2"/>
    <w:rsid w:val="00911D71"/>
    <w:rsid w:val="009134A7"/>
    <w:rsid w:val="0091519C"/>
    <w:rsid w:val="0091572A"/>
    <w:rsid w:val="00915AD7"/>
    <w:rsid w:val="00915D6C"/>
    <w:rsid w:val="00915D6D"/>
    <w:rsid w:val="0092215B"/>
    <w:rsid w:val="009253A4"/>
    <w:rsid w:val="009267B8"/>
    <w:rsid w:val="00934785"/>
    <w:rsid w:val="00934FCD"/>
    <w:rsid w:val="009356CD"/>
    <w:rsid w:val="00935AA5"/>
    <w:rsid w:val="00943263"/>
    <w:rsid w:val="00947D2D"/>
    <w:rsid w:val="00955154"/>
    <w:rsid w:val="00955A5E"/>
    <w:rsid w:val="00956CA3"/>
    <w:rsid w:val="00957435"/>
    <w:rsid w:val="00961D8F"/>
    <w:rsid w:val="00961DF6"/>
    <w:rsid w:val="00964BC9"/>
    <w:rsid w:val="00965351"/>
    <w:rsid w:val="00966701"/>
    <w:rsid w:val="00966AFF"/>
    <w:rsid w:val="00967549"/>
    <w:rsid w:val="00970D20"/>
    <w:rsid w:val="00971C24"/>
    <w:rsid w:val="009729FF"/>
    <w:rsid w:val="009733A4"/>
    <w:rsid w:val="00976131"/>
    <w:rsid w:val="009764A4"/>
    <w:rsid w:val="00976C27"/>
    <w:rsid w:val="00983CF0"/>
    <w:rsid w:val="009861DF"/>
    <w:rsid w:val="00987BA8"/>
    <w:rsid w:val="00990407"/>
    <w:rsid w:val="00991980"/>
    <w:rsid w:val="00992343"/>
    <w:rsid w:val="009923F3"/>
    <w:rsid w:val="00993C44"/>
    <w:rsid w:val="009940C8"/>
    <w:rsid w:val="009956DF"/>
    <w:rsid w:val="00995FFC"/>
    <w:rsid w:val="009975D1"/>
    <w:rsid w:val="00997FA2"/>
    <w:rsid w:val="009A034B"/>
    <w:rsid w:val="009A15D1"/>
    <w:rsid w:val="009A16A4"/>
    <w:rsid w:val="009A6482"/>
    <w:rsid w:val="009B26CC"/>
    <w:rsid w:val="009B3BD9"/>
    <w:rsid w:val="009B52B5"/>
    <w:rsid w:val="009B74D1"/>
    <w:rsid w:val="009C13BA"/>
    <w:rsid w:val="009C2CD1"/>
    <w:rsid w:val="009D14CC"/>
    <w:rsid w:val="009D4026"/>
    <w:rsid w:val="009D7717"/>
    <w:rsid w:val="009D7A78"/>
    <w:rsid w:val="009D7D5C"/>
    <w:rsid w:val="009E375B"/>
    <w:rsid w:val="009E663B"/>
    <w:rsid w:val="009E696E"/>
    <w:rsid w:val="009F0D28"/>
    <w:rsid w:val="009F1B5D"/>
    <w:rsid w:val="009F1E99"/>
    <w:rsid w:val="009F26F4"/>
    <w:rsid w:val="009F5CFE"/>
    <w:rsid w:val="00A00632"/>
    <w:rsid w:val="00A00B12"/>
    <w:rsid w:val="00A0153F"/>
    <w:rsid w:val="00A01C83"/>
    <w:rsid w:val="00A0334D"/>
    <w:rsid w:val="00A05225"/>
    <w:rsid w:val="00A1188C"/>
    <w:rsid w:val="00A136FA"/>
    <w:rsid w:val="00A157EA"/>
    <w:rsid w:val="00A16964"/>
    <w:rsid w:val="00A172C2"/>
    <w:rsid w:val="00A17CAB"/>
    <w:rsid w:val="00A2101F"/>
    <w:rsid w:val="00A215C4"/>
    <w:rsid w:val="00A22EC7"/>
    <w:rsid w:val="00A240B4"/>
    <w:rsid w:val="00A31447"/>
    <w:rsid w:val="00A31A9A"/>
    <w:rsid w:val="00A3278A"/>
    <w:rsid w:val="00A33F68"/>
    <w:rsid w:val="00A345F6"/>
    <w:rsid w:val="00A35FB3"/>
    <w:rsid w:val="00A460A9"/>
    <w:rsid w:val="00A46730"/>
    <w:rsid w:val="00A47B82"/>
    <w:rsid w:val="00A51079"/>
    <w:rsid w:val="00A527C6"/>
    <w:rsid w:val="00A530C8"/>
    <w:rsid w:val="00A54915"/>
    <w:rsid w:val="00A567AD"/>
    <w:rsid w:val="00A56982"/>
    <w:rsid w:val="00A578D0"/>
    <w:rsid w:val="00A57DEC"/>
    <w:rsid w:val="00A65363"/>
    <w:rsid w:val="00A6638A"/>
    <w:rsid w:val="00A664BC"/>
    <w:rsid w:val="00A667F5"/>
    <w:rsid w:val="00A66B55"/>
    <w:rsid w:val="00A67CED"/>
    <w:rsid w:val="00A7183D"/>
    <w:rsid w:val="00A719A1"/>
    <w:rsid w:val="00A73609"/>
    <w:rsid w:val="00A7413A"/>
    <w:rsid w:val="00A7659D"/>
    <w:rsid w:val="00A77BA3"/>
    <w:rsid w:val="00A77C05"/>
    <w:rsid w:val="00A82525"/>
    <w:rsid w:val="00A84470"/>
    <w:rsid w:val="00A87E0D"/>
    <w:rsid w:val="00A87EF7"/>
    <w:rsid w:val="00A9033F"/>
    <w:rsid w:val="00A936C2"/>
    <w:rsid w:val="00A941F4"/>
    <w:rsid w:val="00A96CDA"/>
    <w:rsid w:val="00A97BDC"/>
    <w:rsid w:val="00A97BF8"/>
    <w:rsid w:val="00AA04C1"/>
    <w:rsid w:val="00AA10D0"/>
    <w:rsid w:val="00AA6308"/>
    <w:rsid w:val="00AA6EDE"/>
    <w:rsid w:val="00AA76A7"/>
    <w:rsid w:val="00AB18B9"/>
    <w:rsid w:val="00AB419C"/>
    <w:rsid w:val="00AB58F9"/>
    <w:rsid w:val="00AB670D"/>
    <w:rsid w:val="00AC4DD4"/>
    <w:rsid w:val="00AC6B51"/>
    <w:rsid w:val="00AC7A6D"/>
    <w:rsid w:val="00AD0172"/>
    <w:rsid w:val="00AD5312"/>
    <w:rsid w:val="00AD55E5"/>
    <w:rsid w:val="00AD6A62"/>
    <w:rsid w:val="00AD6E56"/>
    <w:rsid w:val="00AE0186"/>
    <w:rsid w:val="00AE118B"/>
    <w:rsid w:val="00AE1247"/>
    <w:rsid w:val="00AE36C4"/>
    <w:rsid w:val="00AE3864"/>
    <w:rsid w:val="00AE387A"/>
    <w:rsid w:val="00AE474C"/>
    <w:rsid w:val="00AE56A2"/>
    <w:rsid w:val="00AE6628"/>
    <w:rsid w:val="00AE793F"/>
    <w:rsid w:val="00AF10B0"/>
    <w:rsid w:val="00AF2599"/>
    <w:rsid w:val="00AF28D4"/>
    <w:rsid w:val="00AF4016"/>
    <w:rsid w:val="00AF5FC4"/>
    <w:rsid w:val="00AF6DFB"/>
    <w:rsid w:val="00B01801"/>
    <w:rsid w:val="00B01AC0"/>
    <w:rsid w:val="00B01D5F"/>
    <w:rsid w:val="00B01D8D"/>
    <w:rsid w:val="00B11890"/>
    <w:rsid w:val="00B12FC3"/>
    <w:rsid w:val="00B135D7"/>
    <w:rsid w:val="00B14068"/>
    <w:rsid w:val="00B157E6"/>
    <w:rsid w:val="00B17841"/>
    <w:rsid w:val="00B2106D"/>
    <w:rsid w:val="00B255EE"/>
    <w:rsid w:val="00B26C29"/>
    <w:rsid w:val="00B30AF7"/>
    <w:rsid w:val="00B30F9A"/>
    <w:rsid w:val="00B3168E"/>
    <w:rsid w:val="00B31BA5"/>
    <w:rsid w:val="00B32312"/>
    <w:rsid w:val="00B33332"/>
    <w:rsid w:val="00B33A82"/>
    <w:rsid w:val="00B33DA9"/>
    <w:rsid w:val="00B3495A"/>
    <w:rsid w:val="00B366ED"/>
    <w:rsid w:val="00B37390"/>
    <w:rsid w:val="00B4107D"/>
    <w:rsid w:val="00B41C65"/>
    <w:rsid w:val="00B4249C"/>
    <w:rsid w:val="00B44C09"/>
    <w:rsid w:val="00B47345"/>
    <w:rsid w:val="00B475D7"/>
    <w:rsid w:val="00B536A1"/>
    <w:rsid w:val="00B557B3"/>
    <w:rsid w:val="00B56672"/>
    <w:rsid w:val="00B603BE"/>
    <w:rsid w:val="00B63104"/>
    <w:rsid w:val="00B63296"/>
    <w:rsid w:val="00B63F70"/>
    <w:rsid w:val="00B70D67"/>
    <w:rsid w:val="00B7309D"/>
    <w:rsid w:val="00B74B72"/>
    <w:rsid w:val="00B75478"/>
    <w:rsid w:val="00B848C6"/>
    <w:rsid w:val="00B86DC2"/>
    <w:rsid w:val="00B90332"/>
    <w:rsid w:val="00B91E34"/>
    <w:rsid w:val="00B91F8A"/>
    <w:rsid w:val="00B9269D"/>
    <w:rsid w:val="00B92CDD"/>
    <w:rsid w:val="00B96B19"/>
    <w:rsid w:val="00BA2244"/>
    <w:rsid w:val="00BA4E2E"/>
    <w:rsid w:val="00BA5A93"/>
    <w:rsid w:val="00BB0D05"/>
    <w:rsid w:val="00BB15CB"/>
    <w:rsid w:val="00BB58C5"/>
    <w:rsid w:val="00BB7844"/>
    <w:rsid w:val="00BC2CF7"/>
    <w:rsid w:val="00BC49DC"/>
    <w:rsid w:val="00BC6605"/>
    <w:rsid w:val="00BC7BC9"/>
    <w:rsid w:val="00BC7DB8"/>
    <w:rsid w:val="00BC7DC7"/>
    <w:rsid w:val="00BD3B71"/>
    <w:rsid w:val="00BD413E"/>
    <w:rsid w:val="00BD673F"/>
    <w:rsid w:val="00BE2ADF"/>
    <w:rsid w:val="00BE3B68"/>
    <w:rsid w:val="00BE676E"/>
    <w:rsid w:val="00BE6FFC"/>
    <w:rsid w:val="00BF0CEE"/>
    <w:rsid w:val="00BF10D9"/>
    <w:rsid w:val="00BF2F80"/>
    <w:rsid w:val="00BF4E43"/>
    <w:rsid w:val="00BF55F2"/>
    <w:rsid w:val="00BF7EBA"/>
    <w:rsid w:val="00C005AE"/>
    <w:rsid w:val="00C026DB"/>
    <w:rsid w:val="00C045EA"/>
    <w:rsid w:val="00C113AF"/>
    <w:rsid w:val="00C12C0E"/>
    <w:rsid w:val="00C12C40"/>
    <w:rsid w:val="00C12F9E"/>
    <w:rsid w:val="00C13C78"/>
    <w:rsid w:val="00C15C13"/>
    <w:rsid w:val="00C20022"/>
    <w:rsid w:val="00C21F9F"/>
    <w:rsid w:val="00C229B2"/>
    <w:rsid w:val="00C22CDF"/>
    <w:rsid w:val="00C2488B"/>
    <w:rsid w:val="00C25A94"/>
    <w:rsid w:val="00C26CC3"/>
    <w:rsid w:val="00C30ADF"/>
    <w:rsid w:val="00C318A7"/>
    <w:rsid w:val="00C3284B"/>
    <w:rsid w:val="00C36723"/>
    <w:rsid w:val="00C4098F"/>
    <w:rsid w:val="00C40ADB"/>
    <w:rsid w:val="00C4154C"/>
    <w:rsid w:val="00C43C2A"/>
    <w:rsid w:val="00C45283"/>
    <w:rsid w:val="00C5114A"/>
    <w:rsid w:val="00C516EA"/>
    <w:rsid w:val="00C52A09"/>
    <w:rsid w:val="00C53909"/>
    <w:rsid w:val="00C556C3"/>
    <w:rsid w:val="00C56BE4"/>
    <w:rsid w:val="00C60048"/>
    <w:rsid w:val="00C610AF"/>
    <w:rsid w:val="00C629F3"/>
    <w:rsid w:val="00C62AE4"/>
    <w:rsid w:val="00C62B4A"/>
    <w:rsid w:val="00C638D2"/>
    <w:rsid w:val="00C63921"/>
    <w:rsid w:val="00C6536A"/>
    <w:rsid w:val="00C65692"/>
    <w:rsid w:val="00C65BB8"/>
    <w:rsid w:val="00C66986"/>
    <w:rsid w:val="00C676F8"/>
    <w:rsid w:val="00C72A68"/>
    <w:rsid w:val="00C76979"/>
    <w:rsid w:val="00C77BB6"/>
    <w:rsid w:val="00C77F85"/>
    <w:rsid w:val="00C85CF3"/>
    <w:rsid w:val="00C8694F"/>
    <w:rsid w:val="00C900FE"/>
    <w:rsid w:val="00C90B04"/>
    <w:rsid w:val="00CA3D95"/>
    <w:rsid w:val="00CA73A8"/>
    <w:rsid w:val="00CB187B"/>
    <w:rsid w:val="00CB4217"/>
    <w:rsid w:val="00CB520F"/>
    <w:rsid w:val="00CC0BBF"/>
    <w:rsid w:val="00CC7897"/>
    <w:rsid w:val="00CD1A04"/>
    <w:rsid w:val="00CD1FD4"/>
    <w:rsid w:val="00CD297F"/>
    <w:rsid w:val="00CD6D73"/>
    <w:rsid w:val="00CE08B1"/>
    <w:rsid w:val="00CE22A3"/>
    <w:rsid w:val="00CE24A3"/>
    <w:rsid w:val="00CE40D7"/>
    <w:rsid w:val="00CE50CB"/>
    <w:rsid w:val="00CE51DE"/>
    <w:rsid w:val="00CE551E"/>
    <w:rsid w:val="00CF02EB"/>
    <w:rsid w:val="00CF1853"/>
    <w:rsid w:val="00CF40CF"/>
    <w:rsid w:val="00CF4685"/>
    <w:rsid w:val="00CF5F78"/>
    <w:rsid w:val="00D00144"/>
    <w:rsid w:val="00D0133E"/>
    <w:rsid w:val="00D0245A"/>
    <w:rsid w:val="00D06D9A"/>
    <w:rsid w:val="00D11993"/>
    <w:rsid w:val="00D121E7"/>
    <w:rsid w:val="00D150DA"/>
    <w:rsid w:val="00D15490"/>
    <w:rsid w:val="00D157B3"/>
    <w:rsid w:val="00D16C37"/>
    <w:rsid w:val="00D16D99"/>
    <w:rsid w:val="00D22AEB"/>
    <w:rsid w:val="00D24E81"/>
    <w:rsid w:val="00D25B5F"/>
    <w:rsid w:val="00D25EE5"/>
    <w:rsid w:val="00D31738"/>
    <w:rsid w:val="00D323EC"/>
    <w:rsid w:val="00D32898"/>
    <w:rsid w:val="00D33BF7"/>
    <w:rsid w:val="00D34333"/>
    <w:rsid w:val="00D34959"/>
    <w:rsid w:val="00D358AE"/>
    <w:rsid w:val="00D36900"/>
    <w:rsid w:val="00D40A7C"/>
    <w:rsid w:val="00D40CBA"/>
    <w:rsid w:val="00D40D08"/>
    <w:rsid w:val="00D41481"/>
    <w:rsid w:val="00D44374"/>
    <w:rsid w:val="00D44BED"/>
    <w:rsid w:val="00D4554F"/>
    <w:rsid w:val="00D45588"/>
    <w:rsid w:val="00D455B5"/>
    <w:rsid w:val="00D457F6"/>
    <w:rsid w:val="00D471AF"/>
    <w:rsid w:val="00D47724"/>
    <w:rsid w:val="00D525C9"/>
    <w:rsid w:val="00D53E31"/>
    <w:rsid w:val="00D555E8"/>
    <w:rsid w:val="00D55E48"/>
    <w:rsid w:val="00D56972"/>
    <w:rsid w:val="00D60D2A"/>
    <w:rsid w:val="00D60DFD"/>
    <w:rsid w:val="00D61771"/>
    <w:rsid w:val="00D62541"/>
    <w:rsid w:val="00D63665"/>
    <w:rsid w:val="00D6389B"/>
    <w:rsid w:val="00D63C2A"/>
    <w:rsid w:val="00D64347"/>
    <w:rsid w:val="00D64884"/>
    <w:rsid w:val="00D65A02"/>
    <w:rsid w:val="00D65D91"/>
    <w:rsid w:val="00D66582"/>
    <w:rsid w:val="00D66968"/>
    <w:rsid w:val="00D70DFD"/>
    <w:rsid w:val="00D713C5"/>
    <w:rsid w:val="00D71453"/>
    <w:rsid w:val="00D72C65"/>
    <w:rsid w:val="00D72DF6"/>
    <w:rsid w:val="00D7449F"/>
    <w:rsid w:val="00D74F28"/>
    <w:rsid w:val="00D750E2"/>
    <w:rsid w:val="00D80EEE"/>
    <w:rsid w:val="00D83385"/>
    <w:rsid w:val="00D83B8E"/>
    <w:rsid w:val="00D8520E"/>
    <w:rsid w:val="00D86B19"/>
    <w:rsid w:val="00D876FF"/>
    <w:rsid w:val="00D924EC"/>
    <w:rsid w:val="00D9331B"/>
    <w:rsid w:val="00D94AB4"/>
    <w:rsid w:val="00D96A92"/>
    <w:rsid w:val="00DA1BE0"/>
    <w:rsid w:val="00DA6619"/>
    <w:rsid w:val="00DB0ECE"/>
    <w:rsid w:val="00DC086C"/>
    <w:rsid w:val="00DC217E"/>
    <w:rsid w:val="00DC29D6"/>
    <w:rsid w:val="00DC72C1"/>
    <w:rsid w:val="00DC7971"/>
    <w:rsid w:val="00DD284F"/>
    <w:rsid w:val="00DD28AA"/>
    <w:rsid w:val="00DD65DC"/>
    <w:rsid w:val="00DD7351"/>
    <w:rsid w:val="00DE351A"/>
    <w:rsid w:val="00DE5527"/>
    <w:rsid w:val="00DE5B6D"/>
    <w:rsid w:val="00DE6AB3"/>
    <w:rsid w:val="00DE7060"/>
    <w:rsid w:val="00DE7942"/>
    <w:rsid w:val="00DF308F"/>
    <w:rsid w:val="00DF412B"/>
    <w:rsid w:val="00DF5220"/>
    <w:rsid w:val="00E03CD0"/>
    <w:rsid w:val="00E0627F"/>
    <w:rsid w:val="00E0657D"/>
    <w:rsid w:val="00E06D0F"/>
    <w:rsid w:val="00E072AB"/>
    <w:rsid w:val="00E10455"/>
    <w:rsid w:val="00E12D51"/>
    <w:rsid w:val="00E15AE4"/>
    <w:rsid w:val="00E16927"/>
    <w:rsid w:val="00E17CC2"/>
    <w:rsid w:val="00E201FC"/>
    <w:rsid w:val="00E22CC4"/>
    <w:rsid w:val="00E23136"/>
    <w:rsid w:val="00E25C6A"/>
    <w:rsid w:val="00E2743B"/>
    <w:rsid w:val="00E318A9"/>
    <w:rsid w:val="00E31F11"/>
    <w:rsid w:val="00E320E3"/>
    <w:rsid w:val="00E32BD8"/>
    <w:rsid w:val="00E333DF"/>
    <w:rsid w:val="00E33F4C"/>
    <w:rsid w:val="00E35134"/>
    <w:rsid w:val="00E3577F"/>
    <w:rsid w:val="00E35EE4"/>
    <w:rsid w:val="00E36787"/>
    <w:rsid w:val="00E36F6F"/>
    <w:rsid w:val="00E406F2"/>
    <w:rsid w:val="00E40DB9"/>
    <w:rsid w:val="00E4378E"/>
    <w:rsid w:val="00E440D1"/>
    <w:rsid w:val="00E451B8"/>
    <w:rsid w:val="00E47B53"/>
    <w:rsid w:val="00E50503"/>
    <w:rsid w:val="00E54F24"/>
    <w:rsid w:val="00E627EE"/>
    <w:rsid w:val="00E63952"/>
    <w:rsid w:val="00E65B9D"/>
    <w:rsid w:val="00E66F39"/>
    <w:rsid w:val="00E67E57"/>
    <w:rsid w:val="00E704A9"/>
    <w:rsid w:val="00E73B6C"/>
    <w:rsid w:val="00E747B2"/>
    <w:rsid w:val="00E75DA6"/>
    <w:rsid w:val="00E7748F"/>
    <w:rsid w:val="00E77B82"/>
    <w:rsid w:val="00E80803"/>
    <w:rsid w:val="00E83035"/>
    <w:rsid w:val="00E85151"/>
    <w:rsid w:val="00E869EB"/>
    <w:rsid w:val="00E93049"/>
    <w:rsid w:val="00E94554"/>
    <w:rsid w:val="00E95299"/>
    <w:rsid w:val="00E953ED"/>
    <w:rsid w:val="00E964CE"/>
    <w:rsid w:val="00E96E15"/>
    <w:rsid w:val="00EA08DF"/>
    <w:rsid w:val="00EA0C8A"/>
    <w:rsid w:val="00EA0CB0"/>
    <w:rsid w:val="00EA3A84"/>
    <w:rsid w:val="00EA6931"/>
    <w:rsid w:val="00EA77E0"/>
    <w:rsid w:val="00EA7833"/>
    <w:rsid w:val="00EA78FC"/>
    <w:rsid w:val="00EB1B3C"/>
    <w:rsid w:val="00EB2BC1"/>
    <w:rsid w:val="00EB4240"/>
    <w:rsid w:val="00EB5828"/>
    <w:rsid w:val="00EC04DB"/>
    <w:rsid w:val="00EC14EC"/>
    <w:rsid w:val="00EC29FD"/>
    <w:rsid w:val="00EC3913"/>
    <w:rsid w:val="00EC41E2"/>
    <w:rsid w:val="00ED18F9"/>
    <w:rsid w:val="00ED1AE2"/>
    <w:rsid w:val="00ED1BEF"/>
    <w:rsid w:val="00ED2412"/>
    <w:rsid w:val="00ED3591"/>
    <w:rsid w:val="00ED3BDB"/>
    <w:rsid w:val="00ED43DC"/>
    <w:rsid w:val="00ED5FEE"/>
    <w:rsid w:val="00ED6853"/>
    <w:rsid w:val="00EE0A60"/>
    <w:rsid w:val="00EE1567"/>
    <w:rsid w:val="00EE27E1"/>
    <w:rsid w:val="00EE55DC"/>
    <w:rsid w:val="00EE5B4A"/>
    <w:rsid w:val="00EE5BA4"/>
    <w:rsid w:val="00EE6FE5"/>
    <w:rsid w:val="00EF11FB"/>
    <w:rsid w:val="00EF317A"/>
    <w:rsid w:val="00EF68E3"/>
    <w:rsid w:val="00EF799C"/>
    <w:rsid w:val="00F00F73"/>
    <w:rsid w:val="00F01393"/>
    <w:rsid w:val="00F019AE"/>
    <w:rsid w:val="00F023F9"/>
    <w:rsid w:val="00F030B9"/>
    <w:rsid w:val="00F03CA8"/>
    <w:rsid w:val="00F059F8"/>
    <w:rsid w:val="00F122E1"/>
    <w:rsid w:val="00F132B7"/>
    <w:rsid w:val="00F142A9"/>
    <w:rsid w:val="00F14962"/>
    <w:rsid w:val="00F14C2B"/>
    <w:rsid w:val="00F14DB0"/>
    <w:rsid w:val="00F150E8"/>
    <w:rsid w:val="00F151B3"/>
    <w:rsid w:val="00F17813"/>
    <w:rsid w:val="00F20860"/>
    <w:rsid w:val="00F20F55"/>
    <w:rsid w:val="00F240AA"/>
    <w:rsid w:val="00F2554F"/>
    <w:rsid w:val="00F356FE"/>
    <w:rsid w:val="00F367E4"/>
    <w:rsid w:val="00F3720C"/>
    <w:rsid w:val="00F4005C"/>
    <w:rsid w:val="00F440E8"/>
    <w:rsid w:val="00F449F5"/>
    <w:rsid w:val="00F500C5"/>
    <w:rsid w:val="00F51CEF"/>
    <w:rsid w:val="00F52BFB"/>
    <w:rsid w:val="00F5476D"/>
    <w:rsid w:val="00F55D0D"/>
    <w:rsid w:val="00F57437"/>
    <w:rsid w:val="00F607E7"/>
    <w:rsid w:val="00F63DE7"/>
    <w:rsid w:val="00F67B3F"/>
    <w:rsid w:val="00F765C1"/>
    <w:rsid w:val="00F80351"/>
    <w:rsid w:val="00F803EC"/>
    <w:rsid w:val="00F81A86"/>
    <w:rsid w:val="00F85E83"/>
    <w:rsid w:val="00F8637F"/>
    <w:rsid w:val="00F91734"/>
    <w:rsid w:val="00F95096"/>
    <w:rsid w:val="00F957A0"/>
    <w:rsid w:val="00F96B7B"/>
    <w:rsid w:val="00FA0B97"/>
    <w:rsid w:val="00FA6F19"/>
    <w:rsid w:val="00FA71E1"/>
    <w:rsid w:val="00FA7222"/>
    <w:rsid w:val="00FA7559"/>
    <w:rsid w:val="00FA788C"/>
    <w:rsid w:val="00FB10C5"/>
    <w:rsid w:val="00FB40A1"/>
    <w:rsid w:val="00FB48A8"/>
    <w:rsid w:val="00FB56FD"/>
    <w:rsid w:val="00FB70A2"/>
    <w:rsid w:val="00FC38A8"/>
    <w:rsid w:val="00FC479B"/>
    <w:rsid w:val="00FC4D34"/>
    <w:rsid w:val="00FC61C6"/>
    <w:rsid w:val="00FC6461"/>
    <w:rsid w:val="00FD0C05"/>
    <w:rsid w:val="00FD20A1"/>
    <w:rsid w:val="00FD3BBB"/>
    <w:rsid w:val="00FD3CD0"/>
    <w:rsid w:val="00FD4395"/>
    <w:rsid w:val="00FD5A3A"/>
    <w:rsid w:val="00FD6F79"/>
    <w:rsid w:val="00FE06DE"/>
    <w:rsid w:val="00FE08B2"/>
    <w:rsid w:val="00FE1B66"/>
    <w:rsid w:val="00FE273F"/>
    <w:rsid w:val="00FE6E43"/>
    <w:rsid w:val="00FE7B6A"/>
    <w:rsid w:val="00FE7BA7"/>
    <w:rsid w:val="00FF1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6B69"/>
  <w15:docId w15:val="{DB7A42C7-25A2-435A-A56F-48DCEA8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9C"/>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7C28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6B453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0">
    <w:name w:val="Body Text"/>
    <w:basedOn w:val="Normal"/>
    <w:link w:val="BodyTextChar"/>
    <w:rsid w:val="00EB4240"/>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0"/>
    <w:rsid w:val="00EB4240"/>
    <w:rPr>
      <w:rFonts w:ascii="Arial" w:eastAsia="Times New Roman" w:hAnsi="Arial" w:cs="Times New Roman"/>
      <w:sz w:val="24"/>
      <w:szCs w:val="20"/>
      <w:lang w:val="en-US"/>
    </w:rPr>
  </w:style>
  <w:style w:type="character" w:styleId="CommentReference">
    <w:name w:val="annotation reference"/>
    <w:basedOn w:val="DefaultParagraphFont"/>
    <w:uiPriority w:val="99"/>
    <w:semiHidden/>
    <w:unhideWhenUsed/>
    <w:rsid w:val="00AB18B9"/>
    <w:rPr>
      <w:sz w:val="16"/>
      <w:szCs w:val="16"/>
    </w:rPr>
  </w:style>
  <w:style w:type="paragraph" w:styleId="CommentText">
    <w:name w:val="annotation text"/>
    <w:basedOn w:val="Normal"/>
    <w:link w:val="CommentTextChar"/>
    <w:uiPriority w:val="99"/>
    <w:semiHidden/>
    <w:unhideWhenUsed/>
    <w:rsid w:val="00AB18B9"/>
    <w:pPr>
      <w:spacing w:line="240" w:lineRule="auto"/>
    </w:pPr>
    <w:rPr>
      <w:sz w:val="20"/>
      <w:szCs w:val="20"/>
    </w:rPr>
  </w:style>
  <w:style w:type="character" w:customStyle="1" w:styleId="CommentTextChar">
    <w:name w:val="Comment Text Char"/>
    <w:basedOn w:val="DefaultParagraphFont"/>
    <w:link w:val="CommentText"/>
    <w:uiPriority w:val="99"/>
    <w:semiHidden/>
    <w:rsid w:val="00AB18B9"/>
    <w:rPr>
      <w:sz w:val="20"/>
      <w:szCs w:val="20"/>
    </w:rPr>
  </w:style>
  <w:style w:type="paragraph" w:styleId="CommentSubject">
    <w:name w:val="annotation subject"/>
    <w:basedOn w:val="CommentText"/>
    <w:next w:val="CommentText"/>
    <w:link w:val="CommentSubjectChar"/>
    <w:uiPriority w:val="99"/>
    <w:semiHidden/>
    <w:unhideWhenUsed/>
    <w:rsid w:val="00AB18B9"/>
    <w:rPr>
      <w:b/>
      <w:bCs/>
    </w:rPr>
  </w:style>
  <w:style w:type="character" w:customStyle="1" w:styleId="CommentSubjectChar">
    <w:name w:val="Comment Subject Char"/>
    <w:basedOn w:val="CommentTextChar"/>
    <w:link w:val="CommentSubject"/>
    <w:uiPriority w:val="99"/>
    <w:semiHidden/>
    <w:rsid w:val="00AB18B9"/>
    <w:rPr>
      <w:b/>
      <w:bCs/>
      <w:sz w:val="20"/>
      <w:szCs w:val="20"/>
    </w:rPr>
  </w:style>
  <w:style w:type="character" w:customStyle="1" w:styleId="g1">
    <w:name w:val="g1"/>
    <w:basedOn w:val="DefaultParagraphFont"/>
    <w:rsid w:val="00570389"/>
  </w:style>
  <w:style w:type="character" w:customStyle="1" w:styleId="Heading2Char">
    <w:name w:val="Heading 2 Char"/>
    <w:basedOn w:val="DefaultParagraphFont"/>
    <w:link w:val="Heading2"/>
    <w:uiPriority w:val="9"/>
    <w:semiHidden/>
    <w:rsid w:val="007C28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42947198">
      <w:bodyDiv w:val="1"/>
      <w:marLeft w:val="0"/>
      <w:marRight w:val="0"/>
      <w:marTop w:val="0"/>
      <w:marBottom w:val="0"/>
      <w:divBdr>
        <w:top w:val="none" w:sz="0" w:space="0" w:color="auto"/>
        <w:left w:val="none" w:sz="0" w:space="0" w:color="auto"/>
        <w:bottom w:val="none" w:sz="0" w:space="0" w:color="auto"/>
        <w:right w:val="none" w:sz="0" w:space="0" w:color="auto"/>
      </w:divBdr>
    </w:div>
    <w:div w:id="757288167">
      <w:bodyDiv w:val="1"/>
      <w:marLeft w:val="0"/>
      <w:marRight w:val="0"/>
      <w:marTop w:val="0"/>
      <w:marBottom w:val="0"/>
      <w:divBdr>
        <w:top w:val="none" w:sz="0" w:space="0" w:color="auto"/>
        <w:left w:val="none" w:sz="0" w:space="0" w:color="auto"/>
        <w:bottom w:val="none" w:sz="0" w:space="0" w:color="auto"/>
        <w:right w:val="none" w:sz="0" w:space="0" w:color="auto"/>
      </w:divBdr>
    </w:div>
    <w:div w:id="869148776">
      <w:bodyDiv w:val="1"/>
      <w:marLeft w:val="0"/>
      <w:marRight w:val="0"/>
      <w:marTop w:val="0"/>
      <w:marBottom w:val="0"/>
      <w:divBdr>
        <w:top w:val="none" w:sz="0" w:space="0" w:color="auto"/>
        <w:left w:val="none" w:sz="0" w:space="0" w:color="auto"/>
        <w:bottom w:val="none" w:sz="0" w:space="0" w:color="auto"/>
        <w:right w:val="none" w:sz="0" w:space="0" w:color="auto"/>
      </w:divBdr>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4994454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17EE-1B2C-4133-8905-9BB1FADA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Mokone</cp:lastModifiedBy>
  <cp:revision>2</cp:revision>
  <cp:lastPrinted>2023-02-17T13:47:00Z</cp:lastPrinted>
  <dcterms:created xsi:type="dcterms:W3CDTF">2023-04-05T12:05:00Z</dcterms:created>
  <dcterms:modified xsi:type="dcterms:W3CDTF">2023-04-05T12:05:00Z</dcterms:modified>
</cp:coreProperties>
</file>