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1F" w:rsidRPr="00BD77FC" w:rsidRDefault="00546A1F" w:rsidP="00546A1F">
      <w:pPr>
        <w:rPr>
          <w:rFonts w:ascii="Arial" w:hAnsi="Arial" w:cs="Arial"/>
          <w:u w:val="single"/>
        </w:rPr>
      </w:pPr>
      <w:r>
        <w:rPr>
          <w:noProof/>
          <w:lang w:val="en-ZA" w:eastAsia="en-ZA"/>
        </w:rPr>
        <w:drawing>
          <wp:anchor distT="0" distB="0" distL="0" distR="0" simplePos="0" relativeHeight="251659264" behindDoc="1" locked="0" layoutInCell="1" allowOverlap="1" wp14:anchorId="0C6564BD" wp14:editId="28D65531">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A1F" w:rsidRPr="00BD77FC" w:rsidRDefault="00546A1F" w:rsidP="00546A1F">
      <w:pPr>
        <w:autoSpaceDE w:val="0"/>
        <w:autoSpaceDN w:val="0"/>
        <w:adjustRightInd w:val="0"/>
        <w:spacing w:before="100"/>
        <w:jc w:val="center"/>
        <w:rPr>
          <w:rFonts w:ascii="Arial" w:hAnsi="Arial" w:cs="Arial"/>
          <w:b/>
          <w:bCs/>
          <w:sz w:val="28"/>
          <w:szCs w:val="28"/>
          <w:u w:val="single"/>
        </w:rPr>
      </w:pPr>
    </w:p>
    <w:p w:rsidR="00546A1F" w:rsidRPr="00BD77FC" w:rsidRDefault="00546A1F" w:rsidP="00546A1F">
      <w:pPr>
        <w:autoSpaceDE w:val="0"/>
        <w:autoSpaceDN w:val="0"/>
        <w:adjustRightInd w:val="0"/>
        <w:spacing w:before="100"/>
        <w:jc w:val="center"/>
        <w:rPr>
          <w:rFonts w:ascii="Arial" w:hAnsi="Arial" w:cs="Arial"/>
          <w:b/>
          <w:bCs/>
          <w:sz w:val="28"/>
          <w:szCs w:val="28"/>
          <w:u w:val="single"/>
        </w:rPr>
      </w:pPr>
    </w:p>
    <w:p w:rsidR="00546A1F" w:rsidRDefault="00546A1F" w:rsidP="00546A1F">
      <w:pPr>
        <w:autoSpaceDE w:val="0"/>
        <w:autoSpaceDN w:val="0"/>
        <w:adjustRightInd w:val="0"/>
        <w:spacing w:before="100" w:after="100"/>
        <w:jc w:val="center"/>
        <w:rPr>
          <w:rFonts w:ascii="Arial" w:hAnsi="Arial" w:cs="Arial"/>
          <w:b/>
          <w:bCs/>
          <w:sz w:val="2"/>
          <w:szCs w:val="2"/>
          <w:u w:val="single"/>
        </w:rPr>
      </w:pPr>
    </w:p>
    <w:p w:rsidR="00546A1F" w:rsidRPr="00A231F0" w:rsidRDefault="00546A1F" w:rsidP="00546A1F">
      <w:pPr>
        <w:autoSpaceDE w:val="0"/>
        <w:autoSpaceDN w:val="0"/>
        <w:adjustRightInd w:val="0"/>
        <w:spacing w:before="100" w:after="100"/>
        <w:jc w:val="center"/>
        <w:rPr>
          <w:rFonts w:ascii="Arial" w:hAnsi="Arial" w:cs="Arial"/>
          <w:b/>
          <w:bCs/>
          <w:sz w:val="2"/>
          <w:szCs w:val="2"/>
          <w:u w:val="single"/>
        </w:rPr>
      </w:pPr>
    </w:p>
    <w:p w:rsidR="00546A1F" w:rsidRPr="00A231F0" w:rsidRDefault="00546A1F" w:rsidP="00546A1F">
      <w:pPr>
        <w:autoSpaceDE w:val="0"/>
        <w:autoSpaceDN w:val="0"/>
        <w:adjustRightInd w:val="0"/>
        <w:spacing w:before="100" w:after="100" w:line="276" w:lineRule="auto"/>
        <w:jc w:val="center"/>
        <w:rPr>
          <w:rFonts w:ascii="Arial" w:hAnsi="Arial" w:cs="Arial"/>
          <w:u w:val="single"/>
        </w:rPr>
      </w:pPr>
      <w:r w:rsidRPr="00A231F0">
        <w:rPr>
          <w:rFonts w:ascii="Arial" w:hAnsi="Arial" w:cs="Arial"/>
          <w:b/>
          <w:bCs/>
          <w:u w:val="single"/>
        </w:rPr>
        <w:t>IN THE HIGH COURT OF SOUTH AFRICA</w:t>
      </w:r>
    </w:p>
    <w:p w:rsidR="00546A1F" w:rsidRPr="00A231F0" w:rsidRDefault="00546A1F" w:rsidP="00546A1F">
      <w:pPr>
        <w:autoSpaceDE w:val="0"/>
        <w:autoSpaceDN w:val="0"/>
        <w:adjustRightInd w:val="0"/>
        <w:spacing w:before="100" w:line="480" w:lineRule="auto"/>
        <w:jc w:val="center"/>
        <w:rPr>
          <w:rFonts w:ascii="Arial" w:hAnsi="Arial" w:cs="Arial"/>
          <w:b/>
          <w:bCs/>
          <w:u w:val="single"/>
        </w:rPr>
      </w:pPr>
      <w:r w:rsidRPr="00A231F0">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546A1F" w:rsidTr="003302B2">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546A1F" w:rsidRDefault="00546A1F" w:rsidP="003302B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rsidR="00546A1F" w:rsidRDefault="00546A1F" w:rsidP="003302B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rsidR="00546A1F" w:rsidRDefault="00546A1F" w:rsidP="003302B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546A1F" w:rsidRDefault="00546A1F" w:rsidP="003302B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rsidR="00546A1F" w:rsidRDefault="00546A1F" w:rsidP="003302B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rsidR="00546A1F" w:rsidRDefault="00546A1F" w:rsidP="003302B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rsidR="00546A1F" w:rsidRDefault="00546A1F" w:rsidP="00546A1F">
      <w:pPr>
        <w:spacing w:line="276" w:lineRule="auto"/>
        <w:jc w:val="center"/>
        <w:rPr>
          <w:rFonts w:ascii="Arial" w:hAnsi="Arial" w:cs="Arial"/>
          <w:sz w:val="26"/>
          <w:szCs w:val="26"/>
        </w:rPr>
      </w:pPr>
    </w:p>
    <w:p w:rsidR="00546A1F" w:rsidRPr="00A231F0" w:rsidRDefault="00546A1F" w:rsidP="00546A1F">
      <w:pPr>
        <w:spacing w:line="276" w:lineRule="auto"/>
        <w:jc w:val="right"/>
        <w:rPr>
          <w:rFonts w:ascii="Arial" w:hAnsi="Arial" w:cs="Arial"/>
        </w:rPr>
      </w:pPr>
      <w:r>
        <w:rPr>
          <w:rFonts w:ascii="Arial" w:hAnsi="Arial" w:cs="Arial"/>
          <w:sz w:val="28"/>
          <w:szCs w:val="28"/>
        </w:rPr>
        <w:t xml:space="preserve"> </w:t>
      </w:r>
      <w:r w:rsidRPr="00A231F0">
        <w:rPr>
          <w:rFonts w:ascii="Arial" w:hAnsi="Arial" w:cs="Arial"/>
        </w:rPr>
        <w:t xml:space="preserve">Case no: </w:t>
      </w:r>
      <w:r w:rsidRPr="00546A1F">
        <w:rPr>
          <w:rFonts w:ascii="Arial" w:hAnsi="Arial" w:cs="Arial"/>
          <w:b/>
        </w:rPr>
        <w:t>A102/2021</w:t>
      </w:r>
    </w:p>
    <w:p w:rsidR="00546A1F" w:rsidRPr="00A231F0" w:rsidRDefault="00546A1F" w:rsidP="00546A1F">
      <w:pPr>
        <w:spacing w:line="276" w:lineRule="auto"/>
        <w:rPr>
          <w:rFonts w:ascii="Arial" w:hAnsi="Arial" w:cs="Arial"/>
        </w:rPr>
      </w:pPr>
      <w:r w:rsidRPr="00A231F0">
        <w:rPr>
          <w:rFonts w:ascii="Arial" w:hAnsi="Arial" w:cs="Arial"/>
        </w:rPr>
        <w:t>In the matter between:</w:t>
      </w:r>
    </w:p>
    <w:p w:rsidR="00546A1F" w:rsidRPr="00A231F0" w:rsidRDefault="00546A1F" w:rsidP="00546A1F">
      <w:pPr>
        <w:spacing w:line="276" w:lineRule="auto"/>
        <w:rPr>
          <w:rFonts w:ascii="Arial" w:hAnsi="Arial" w:cs="Arial"/>
          <w:b/>
        </w:rPr>
      </w:pPr>
      <w:r w:rsidRPr="00A231F0">
        <w:rPr>
          <w:rFonts w:ascii="Arial" w:hAnsi="Arial" w:cs="Arial"/>
          <w:b/>
        </w:rPr>
        <w:tab/>
      </w:r>
      <w:r w:rsidRPr="00A231F0">
        <w:rPr>
          <w:rFonts w:ascii="Arial" w:hAnsi="Arial" w:cs="Arial"/>
          <w:b/>
        </w:rPr>
        <w:tab/>
      </w:r>
      <w:r w:rsidRPr="00A231F0">
        <w:rPr>
          <w:rFonts w:ascii="Arial" w:hAnsi="Arial" w:cs="Arial"/>
          <w:b/>
        </w:rPr>
        <w:tab/>
      </w:r>
    </w:p>
    <w:p w:rsidR="00546A1F" w:rsidRDefault="00546A1F" w:rsidP="00546A1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9026"/>
        </w:tabs>
        <w:spacing w:line="276" w:lineRule="auto"/>
        <w:rPr>
          <w:rFonts w:ascii="Arial" w:hAnsi="Arial" w:cs="Arial"/>
        </w:rPr>
      </w:pPr>
      <w:r>
        <w:rPr>
          <w:rFonts w:ascii="Arial" w:hAnsi="Arial" w:cs="Arial"/>
          <w:b/>
        </w:rPr>
        <w:t>ELRICH RUWAYNE SMITH N.O.</w:t>
      </w:r>
      <w:r w:rsidRPr="00A231F0">
        <w:rPr>
          <w:rFonts w:ascii="Arial" w:hAnsi="Arial" w:cs="Arial"/>
          <w:b/>
        </w:rPr>
        <w:tab/>
      </w:r>
      <w:r w:rsidRPr="00A231F0">
        <w:rPr>
          <w:rFonts w:ascii="Arial" w:hAnsi="Arial" w:cs="Arial"/>
          <w:b/>
        </w:rPr>
        <w:tab/>
      </w:r>
      <w:r w:rsidRPr="00A231F0">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rPr>
        <w:t>1</w:t>
      </w:r>
      <w:r w:rsidRPr="00546A1F">
        <w:rPr>
          <w:rFonts w:ascii="Arial" w:hAnsi="Arial" w:cs="Arial"/>
          <w:vertAlign w:val="superscript"/>
        </w:rPr>
        <w:t>st</w:t>
      </w:r>
      <w:r>
        <w:rPr>
          <w:rFonts w:ascii="Arial" w:hAnsi="Arial" w:cs="Arial"/>
        </w:rPr>
        <w:t xml:space="preserve"> Appellant</w:t>
      </w:r>
    </w:p>
    <w:p w:rsidR="00546A1F" w:rsidRPr="00A231F0" w:rsidRDefault="00546A1F" w:rsidP="00546A1F">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9026"/>
        </w:tabs>
        <w:spacing w:line="276" w:lineRule="auto"/>
        <w:rPr>
          <w:rFonts w:ascii="Arial" w:hAnsi="Arial" w:cs="Arial"/>
        </w:rPr>
      </w:pPr>
      <w:r>
        <w:rPr>
          <w:rFonts w:ascii="Arial" w:hAnsi="Arial" w:cs="Arial"/>
          <w:b/>
        </w:rPr>
        <w:t>ETHNE MARY VAN WYK N.O.</w:t>
      </w:r>
      <w:r w:rsidRPr="00A231F0">
        <w:rPr>
          <w:rFonts w:ascii="Arial" w:hAnsi="Arial" w:cs="Arial"/>
          <w:b/>
        </w:rPr>
        <w:tab/>
      </w:r>
      <w:r w:rsidRPr="00A231F0">
        <w:rPr>
          <w:rFonts w:ascii="Arial" w:hAnsi="Arial" w:cs="Arial"/>
          <w:b/>
        </w:rPr>
        <w:tab/>
      </w:r>
      <w:r w:rsidRPr="00A231F0">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rPr>
        <w:t>2</w:t>
      </w:r>
      <w:r w:rsidRPr="00546A1F">
        <w:rPr>
          <w:rFonts w:ascii="Arial" w:hAnsi="Arial" w:cs="Arial"/>
          <w:vertAlign w:val="superscript"/>
        </w:rPr>
        <w:t>nd</w:t>
      </w:r>
      <w:r>
        <w:rPr>
          <w:rFonts w:ascii="Arial" w:hAnsi="Arial" w:cs="Arial"/>
        </w:rPr>
        <w:t xml:space="preserve"> Appellant</w:t>
      </w:r>
    </w:p>
    <w:p w:rsidR="00546A1F" w:rsidRPr="00A231F0" w:rsidRDefault="00546A1F" w:rsidP="00546A1F">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rPr>
      </w:pPr>
    </w:p>
    <w:p w:rsidR="00546A1F" w:rsidRPr="00A231F0" w:rsidRDefault="00546A1F" w:rsidP="00546A1F">
      <w:pPr>
        <w:spacing w:line="276" w:lineRule="auto"/>
        <w:rPr>
          <w:rFonts w:ascii="Arial" w:hAnsi="Arial" w:cs="Arial"/>
        </w:rPr>
      </w:pPr>
      <w:r w:rsidRPr="00A231F0">
        <w:rPr>
          <w:rFonts w:ascii="Arial" w:hAnsi="Arial" w:cs="Arial"/>
        </w:rPr>
        <w:t>and</w:t>
      </w:r>
    </w:p>
    <w:p w:rsidR="00546A1F" w:rsidRPr="00A231F0" w:rsidRDefault="00546A1F" w:rsidP="00546A1F">
      <w:pPr>
        <w:spacing w:line="276" w:lineRule="auto"/>
        <w:rPr>
          <w:rFonts w:ascii="Arial" w:hAnsi="Arial" w:cs="Arial"/>
        </w:rPr>
      </w:pPr>
    </w:p>
    <w:p w:rsidR="00546A1F" w:rsidRPr="00A231F0" w:rsidRDefault="00546A1F" w:rsidP="00546A1F">
      <w:pPr>
        <w:tabs>
          <w:tab w:val="left" w:pos="720"/>
          <w:tab w:val="left" w:pos="1440"/>
          <w:tab w:val="left" w:pos="2160"/>
          <w:tab w:val="left" w:pos="2880"/>
          <w:tab w:val="left" w:pos="3600"/>
          <w:tab w:val="left" w:pos="4320"/>
          <w:tab w:val="left" w:pos="5040"/>
          <w:tab w:val="left" w:pos="5760"/>
          <w:tab w:val="left" w:pos="6480"/>
          <w:tab w:val="left" w:pos="6521"/>
          <w:tab w:val="right" w:pos="9026"/>
        </w:tabs>
        <w:spacing w:line="276" w:lineRule="auto"/>
        <w:rPr>
          <w:rFonts w:ascii="Arial" w:hAnsi="Arial" w:cs="Arial"/>
          <w:b/>
        </w:rPr>
      </w:pPr>
      <w:r>
        <w:rPr>
          <w:rFonts w:ascii="Arial" w:hAnsi="Arial" w:cs="Arial"/>
          <w:b/>
        </w:rPr>
        <w:t>KALRO FARMING (PTY) LTD</w:t>
      </w:r>
      <w:r w:rsidRPr="00A231F0">
        <w:rPr>
          <w:rFonts w:ascii="Arial" w:hAnsi="Arial" w:cs="Arial"/>
          <w:b/>
        </w:rPr>
        <w:tab/>
      </w:r>
      <w:r w:rsidRPr="00A231F0">
        <w:rPr>
          <w:rFonts w:ascii="Arial" w:hAnsi="Arial" w:cs="Arial"/>
          <w:b/>
        </w:rPr>
        <w:tab/>
      </w:r>
      <w:r w:rsidRPr="00A231F0">
        <w:rPr>
          <w:rFonts w:ascii="Arial" w:hAnsi="Arial" w:cs="Arial"/>
          <w:b/>
        </w:rPr>
        <w:tab/>
      </w:r>
      <w:r w:rsidRPr="00A231F0">
        <w:rPr>
          <w:rFonts w:ascii="Arial" w:hAnsi="Arial" w:cs="Arial"/>
          <w:b/>
        </w:rPr>
        <w:tab/>
      </w:r>
      <w:r w:rsidRPr="00A231F0">
        <w:rPr>
          <w:rFonts w:ascii="Arial" w:hAnsi="Arial" w:cs="Arial"/>
          <w:b/>
        </w:rPr>
        <w:tab/>
      </w:r>
      <w:r>
        <w:rPr>
          <w:rFonts w:ascii="Arial" w:hAnsi="Arial" w:cs="Arial"/>
          <w:b/>
        </w:rPr>
        <w:tab/>
      </w:r>
      <w:r>
        <w:rPr>
          <w:rFonts w:ascii="Arial" w:hAnsi="Arial" w:cs="Arial"/>
          <w:b/>
        </w:rPr>
        <w:tab/>
      </w:r>
      <w:r>
        <w:rPr>
          <w:rFonts w:ascii="Arial" w:hAnsi="Arial" w:cs="Arial"/>
        </w:rPr>
        <w:t>Respondent</w:t>
      </w:r>
    </w:p>
    <w:p w:rsidR="00546A1F" w:rsidRDefault="00546A1F" w:rsidP="00546A1F">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418F0AEC" wp14:editId="27A2DC93">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0DC1859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546A1F" w:rsidRDefault="00546A1F" w:rsidP="00546A1F">
      <w:pPr>
        <w:spacing w:before="240" w:line="276" w:lineRule="auto"/>
        <w:jc w:val="both"/>
        <w:rPr>
          <w:rFonts w:ascii="Arial" w:hAnsi="Arial" w:cs="Arial"/>
        </w:rPr>
      </w:pPr>
      <w:r w:rsidRPr="00A231F0">
        <w:rPr>
          <w:rFonts w:ascii="Arial" w:hAnsi="Arial" w:cs="Arial"/>
          <w:b/>
          <w:u w:val="single"/>
        </w:rPr>
        <w:t>CORAM:</w:t>
      </w:r>
      <w:r w:rsidRPr="00A231F0">
        <w:rPr>
          <w:rFonts w:ascii="Arial" w:hAnsi="Arial" w:cs="Arial"/>
        </w:rPr>
        <w:tab/>
      </w:r>
      <w:r w:rsidRPr="00A231F0">
        <w:rPr>
          <w:rFonts w:ascii="Arial" w:hAnsi="Arial" w:cs="Arial"/>
        </w:rPr>
        <w:tab/>
      </w:r>
      <w:r>
        <w:rPr>
          <w:rFonts w:ascii="Arial" w:hAnsi="Arial" w:cs="Arial"/>
        </w:rPr>
        <w:t xml:space="preserve">MUSI, JP </w:t>
      </w:r>
      <w:r w:rsidRPr="00A231F0">
        <w:rPr>
          <w:rFonts w:ascii="Arial" w:hAnsi="Arial" w:cs="Arial"/>
          <w:i/>
        </w:rPr>
        <w:t>et</w:t>
      </w:r>
      <w:r w:rsidRPr="00A231F0">
        <w:rPr>
          <w:rFonts w:ascii="Arial" w:hAnsi="Arial" w:cs="Arial"/>
        </w:rPr>
        <w:t xml:space="preserve"> </w:t>
      </w:r>
      <w:r>
        <w:rPr>
          <w:rFonts w:ascii="Arial" w:hAnsi="Arial" w:cs="Arial"/>
        </w:rPr>
        <w:t xml:space="preserve">LOUBSER, J </w:t>
      </w:r>
      <w:r w:rsidRPr="00A231F0">
        <w:rPr>
          <w:rFonts w:ascii="Arial" w:hAnsi="Arial" w:cs="Arial"/>
          <w:i/>
        </w:rPr>
        <w:t>et</w:t>
      </w:r>
      <w:r w:rsidRPr="00546A1F">
        <w:rPr>
          <w:rFonts w:ascii="Arial" w:hAnsi="Arial" w:cs="Arial"/>
        </w:rPr>
        <w:t xml:space="preserve"> POHL, AJ</w:t>
      </w:r>
    </w:p>
    <w:p w:rsidR="00546A1F" w:rsidRDefault="00546A1F" w:rsidP="00546A1F">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2DF4A8E7" wp14:editId="1E0073EC">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4F90F240"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546A1F" w:rsidRDefault="00546A1F" w:rsidP="00546A1F">
      <w:pPr>
        <w:spacing w:before="240" w:line="276" w:lineRule="auto"/>
        <w:jc w:val="both"/>
        <w:rPr>
          <w:rFonts w:ascii="Arial" w:hAnsi="Arial" w:cs="Arial"/>
        </w:rPr>
      </w:pPr>
      <w:r w:rsidRPr="00A231F0">
        <w:rPr>
          <w:rFonts w:ascii="Arial" w:hAnsi="Arial" w:cs="Arial"/>
          <w:b/>
          <w:u w:val="single"/>
        </w:rPr>
        <w:t>HEARD ON:</w:t>
      </w:r>
      <w:r w:rsidRPr="00A231F0">
        <w:rPr>
          <w:rFonts w:ascii="Arial" w:hAnsi="Arial" w:cs="Arial"/>
        </w:rPr>
        <w:tab/>
      </w:r>
      <w:r w:rsidRPr="00A231F0">
        <w:rPr>
          <w:rFonts w:ascii="Arial" w:hAnsi="Arial" w:cs="Arial"/>
        </w:rPr>
        <w:tab/>
      </w:r>
      <w:r>
        <w:rPr>
          <w:rFonts w:ascii="Arial" w:hAnsi="Arial" w:cs="Arial"/>
        </w:rPr>
        <w:t>28 NOVEMBER 2022</w:t>
      </w:r>
      <w:r w:rsidRPr="00A231F0">
        <w:rPr>
          <w:rFonts w:ascii="Arial" w:hAnsi="Arial" w:cs="Arial"/>
        </w:rPr>
        <w:tab/>
      </w:r>
    </w:p>
    <w:p w:rsidR="00546A1F" w:rsidRDefault="00546A1F" w:rsidP="00546A1F">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126BDB96" wp14:editId="4ED3BB78">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050209D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546A1F" w:rsidRDefault="00546A1F" w:rsidP="00546A1F">
      <w:pPr>
        <w:spacing w:before="240" w:line="276" w:lineRule="auto"/>
        <w:jc w:val="both"/>
        <w:rPr>
          <w:rFonts w:ascii="Arial" w:hAnsi="Arial" w:cs="Arial"/>
        </w:rPr>
      </w:pPr>
      <w:r w:rsidRPr="00A231F0">
        <w:rPr>
          <w:rFonts w:ascii="Arial" w:hAnsi="Arial" w:cs="Arial"/>
          <w:b/>
          <w:u w:val="single"/>
        </w:rPr>
        <w:t>DELIVERED ON:</w:t>
      </w:r>
      <w:r w:rsidRPr="00A231F0">
        <w:rPr>
          <w:rFonts w:ascii="Arial" w:hAnsi="Arial" w:cs="Arial"/>
          <w:b/>
        </w:rPr>
        <w:tab/>
      </w:r>
      <w:r w:rsidR="0044158A">
        <w:rPr>
          <w:rFonts w:ascii="Arial" w:hAnsi="Arial" w:cs="Arial"/>
        </w:rPr>
        <w:t>20 JANUARY 2023</w:t>
      </w:r>
      <w:r w:rsidRPr="00A231F0">
        <w:rPr>
          <w:rFonts w:ascii="Arial" w:hAnsi="Arial" w:cs="Arial"/>
        </w:rPr>
        <w:tab/>
      </w:r>
    </w:p>
    <w:p w:rsidR="00546A1F" w:rsidRDefault="00546A1F" w:rsidP="00546A1F">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2BCBCA5B" wp14:editId="441EBDC8">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5F6F28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546A1F" w:rsidRPr="00A231F0" w:rsidRDefault="00546A1F" w:rsidP="00546A1F">
      <w:pPr>
        <w:spacing w:before="240" w:line="276" w:lineRule="auto"/>
        <w:jc w:val="both"/>
        <w:rPr>
          <w:rFonts w:ascii="Arial" w:hAnsi="Arial" w:cs="Arial"/>
        </w:rPr>
      </w:pPr>
      <w:r w:rsidRPr="00A231F0">
        <w:rPr>
          <w:rFonts w:ascii="Arial" w:hAnsi="Arial" w:cs="Arial"/>
          <w:b/>
          <w:u w:val="single"/>
        </w:rPr>
        <w:t>JUDGMENT BY:</w:t>
      </w:r>
      <w:r w:rsidRPr="00A231F0">
        <w:rPr>
          <w:rFonts w:ascii="Arial" w:hAnsi="Arial" w:cs="Arial"/>
          <w:b/>
        </w:rPr>
        <w:tab/>
      </w:r>
      <w:r>
        <w:rPr>
          <w:rFonts w:ascii="Arial" w:hAnsi="Arial" w:cs="Arial"/>
        </w:rPr>
        <w:t>MUSI, JP</w:t>
      </w:r>
    </w:p>
    <w:p w:rsidR="00546A1F" w:rsidRDefault="00546A1F" w:rsidP="00546A1F">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6A636863" wp14:editId="02A889CA">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7B90214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546A1F" w:rsidRDefault="00546A1F">
      <w:pPr>
        <w:rPr>
          <w:lang w:val="en-ZA"/>
        </w:rPr>
      </w:pPr>
    </w:p>
    <w:p w:rsidR="00BA60B5" w:rsidRPr="002F67B9"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[1]</w:t>
      </w:r>
      <w:r w:rsidRPr="002F67B9">
        <w:rPr>
          <w:rFonts w:ascii="Arial" w:hAnsi="Arial" w:cs="Arial"/>
          <w:sz w:val="24"/>
          <w:szCs w:val="24"/>
          <w:lang w:val="en-ZA"/>
        </w:rPr>
        <w:tab/>
      </w:r>
      <w:r w:rsidR="004C0BA5" w:rsidRPr="002F67B9">
        <w:rPr>
          <w:rFonts w:ascii="Arial" w:hAnsi="Arial" w:cs="Arial"/>
          <w:sz w:val="24"/>
          <w:szCs w:val="24"/>
          <w:lang w:val="en-ZA"/>
        </w:rPr>
        <w:t xml:space="preserve">This is an appeal against a judgment of a single judge of this Division. The court </w:t>
      </w:r>
      <w:r w:rsidR="004C0BA5" w:rsidRPr="002F67B9">
        <w:rPr>
          <w:rFonts w:ascii="Arial" w:hAnsi="Arial" w:cs="Arial"/>
          <w:i/>
          <w:sz w:val="24"/>
          <w:szCs w:val="24"/>
          <w:lang w:val="en-ZA"/>
        </w:rPr>
        <w:t>a quo</w:t>
      </w:r>
      <w:r w:rsidR="004C0BA5" w:rsidRPr="002F67B9">
        <w:rPr>
          <w:rFonts w:ascii="Arial" w:hAnsi="Arial" w:cs="Arial"/>
          <w:sz w:val="24"/>
          <w:szCs w:val="24"/>
          <w:lang w:val="en-ZA"/>
        </w:rPr>
        <w:t xml:space="preserve"> dismissed an application for the provisional liquidation of the respondent, </w:t>
      </w:r>
      <w:proofErr w:type="spellStart"/>
      <w:r w:rsidR="004C0BA5" w:rsidRPr="002F67B9">
        <w:rPr>
          <w:rFonts w:ascii="Arial" w:hAnsi="Arial" w:cs="Arial"/>
          <w:sz w:val="24"/>
          <w:szCs w:val="24"/>
          <w:lang w:val="en-ZA"/>
        </w:rPr>
        <w:lastRenderedPageBreak/>
        <w:t>Kalro</w:t>
      </w:r>
      <w:proofErr w:type="spellEnd"/>
      <w:r w:rsidR="004C0BA5" w:rsidRPr="002F67B9">
        <w:rPr>
          <w:rFonts w:ascii="Arial" w:hAnsi="Arial" w:cs="Arial"/>
          <w:sz w:val="24"/>
          <w:szCs w:val="24"/>
          <w:lang w:val="en-ZA"/>
        </w:rPr>
        <w:t xml:space="preserve"> Farming (Pty) Ltd (</w:t>
      </w:r>
      <w:proofErr w:type="spellStart"/>
      <w:r w:rsidR="004C0BA5" w:rsidRPr="002F67B9">
        <w:rPr>
          <w:rFonts w:ascii="Arial" w:hAnsi="Arial" w:cs="Arial"/>
          <w:sz w:val="24"/>
          <w:szCs w:val="24"/>
          <w:lang w:val="en-ZA"/>
        </w:rPr>
        <w:t>Kalro</w:t>
      </w:r>
      <w:proofErr w:type="spellEnd"/>
      <w:r w:rsidR="002F6714" w:rsidRPr="002F67B9">
        <w:rPr>
          <w:rFonts w:ascii="Arial" w:hAnsi="Arial" w:cs="Arial"/>
          <w:sz w:val="24"/>
          <w:szCs w:val="24"/>
          <w:lang w:val="en-ZA"/>
        </w:rPr>
        <w:t>).</w:t>
      </w:r>
      <w:r w:rsidR="00BD73B6" w:rsidRPr="002F67B9">
        <w:rPr>
          <w:rFonts w:ascii="Arial" w:hAnsi="Arial" w:cs="Arial"/>
          <w:sz w:val="24"/>
          <w:szCs w:val="24"/>
          <w:lang w:val="en-ZA"/>
        </w:rPr>
        <w:t xml:space="preserve"> </w:t>
      </w:r>
      <w:proofErr w:type="spellStart"/>
      <w:r w:rsidR="00BD73B6" w:rsidRPr="002F67B9">
        <w:rPr>
          <w:rFonts w:ascii="Arial" w:hAnsi="Arial" w:cs="Arial"/>
          <w:sz w:val="24"/>
          <w:szCs w:val="24"/>
          <w:lang w:val="en-ZA"/>
        </w:rPr>
        <w:t>Kalro</w:t>
      </w:r>
      <w:proofErr w:type="spellEnd"/>
      <w:r w:rsidR="00BD73B6" w:rsidRPr="002F67B9">
        <w:rPr>
          <w:rFonts w:ascii="Arial" w:hAnsi="Arial" w:cs="Arial"/>
          <w:sz w:val="24"/>
          <w:szCs w:val="24"/>
          <w:lang w:val="en-ZA"/>
        </w:rPr>
        <w:t xml:space="preserve"> has three directors, Mr Karel Smit, his wife Mrs </w:t>
      </w:r>
      <w:proofErr w:type="spellStart"/>
      <w:r w:rsidR="00BD73B6" w:rsidRPr="002F67B9">
        <w:rPr>
          <w:rFonts w:ascii="Arial" w:hAnsi="Arial" w:cs="Arial"/>
          <w:sz w:val="24"/>
          <w:szCs w:val="24"/>
          <w:lang w:val="en-ZA"/>
        </w:rPr>
        <w:t>Roleen</w:t>
      </w:r>
      <w:proofErr w:type="spellEnd"/>
      <w:r w:rsidR="00BD73B6" w:rsidRPr="002F67B9">
        <w:rPr>
          <w:rFonts w:ascii="Arial" w:hAnsi="Arial" w:cs="Arial"/>
          <w:sz w:val="24"/>
          <w:szCs w:val="24"/>
          <w:lang w:val="en-ZA"/>
        </w:rPr>
        <w:t xml:space="preserve"> Smit </w:t>
      </w:r>
      <w:r w:rsidR="00063466">
        <w:rPr>
          <w:rFonts w:ascii="Arial" w:hAnsi="Arial" w:cs="Arial"/>
          <w:sz w:val="24"/>
          <w:szCs w:val="24"/>
          <w:lang w:val="en-ZA"/>
        </w:rPr>
        <w:t xml:space="preserve">(the Smits) </w:t>
      </w:r>
      <w:r w:rsidR="00BD73B6" w:rsidRPr="002F67B9">
        <w:rPr>
          <w:rFonts w:ascii="Arial" w:hAnsi="Arial" w:cs="Arial"/>
          <w:sz w:val="24"/>
          <w:szCs w:val="24"/>
          <w:lang w:val="en-ZA"/>
        </w:rPr>
        <w:t>and Mr Alexis Du Preez</w:t>
      </w:r>
      <w:r w:rsidR="00063466">
        <w:rPr>
          <w:rFonts w:ascii="Arial" w:hAnsi="Arial" w:cs="Arial"/>
          <w:sz w:val="24"/>
          <w:szCs w:val="24"/>
          <w:lang w:val="en-ZA"/>
        </w:rPr>
        <w:t xml:space="preserve"> (</w:t>
      </w:r>
      <w:r w:rsidR="00936BFC">
        <w:rPr>
          <w:rFonts w:ascii="Arial" w:hAnsi="Arial" w:cs="Arial"/>
          <w:sz w:val="24"/>
          <w:szCs w:val="24"/>
          <w:lang w:val="en-ZA"/>
        </w:rPr>
        <w:t xml:space="preserve">Mr </w:t>
      </w:r>
      <w:r w:rsidR="00063466">
        <w:rPr>
          <w:rFonts w:ascii="Arial" w:hAnsi="Arial" w:cs="Arial"/>
          <w:sz w:val="24"/>
          <w:szCs w:val="24"/>
          <w:lang w:val="en-ZA"/>
        </w:rPr>
        <w:t>Du Preez)</w:t>
      </w:r>
      <w:r w:rsidR="00BD73B6" w:rsidRPr="002F67B9">
        <w:rPr>
          <w:rFonts w:ascii="Arial" w:hAnsi="Arial" w:cs="Arial"/>
          <w:sz w:val="24"/>
          <w:szCs w:val="24"/>
          <w:lang w:val="en-ZA"/>
        </w:rPr>
        <w:t xml:space="preserve">. They each hold 33.3% shares in </w:t>
      </w:r>
      <w:proofErr w:type="spellStart"/>
      <w:r w:rsidR="00BD73B6" w:rsidRPr="002F67B9">
        <w:rPr>
          <w:rFonts w:ascii="Arial" w:hAnsi="Arial" w:cs="Arial"/>
          <w:sz w:val="24"/>
          <w:szCs w:val="24"/>
          <w:lang w:val="en-ZA"/>
        </w:rPr>
        <w:t>Kalro</w:t>
      </w:r>
      <w:proofErr w:type="spellEnd"/>
      <w:r w:rsidR="00BD73B6" w:rsidRPr="002F67B9">
        <w:rPr>
          <w:rFonts w:ascii="Arial" w:hAnsi="Arial" w:cs="Arial"/>
          <w:sz w:val="24"/>
          <w:szCs w:val="24"/>
          <w:lang w:val="en-ZA"/>
        </w:rPr>
        <w:t xml:space="preserve">. During the proceedings in the court </w:t>
      </w:r>
      <w:r w:rsidR="00BD73B6" w:rsidRPr="002F67B9">
        <w:rPr>
          <w:rFonts w:ascii="Arial" w:hAnsi="Arial" w:cs="Arial"/>
          <w:i/>
          <w:sz w:val="24"/>
          <w:szCs w:val="24"/>
          <w:lang w:val="en-ZA"/>
        </w:rPr>
        <w:t>a quo</w:t>
      </w:r>
      <w:r w:rsidR="00BD73B6" w:rsidRPr="002F67B9">
        <w:rPr>
          <w:rFonts w:ascii="Arial" w:hAnsi="Arial" w:cs="Arial"/>
          <w:sz w:val="24"/>
          <w:szCs w:val="24"/>
          <w:lang w:val="en-ZA"/>
        </w:rPr>
        <w:t xml:space="preserve"> and in this cour</w:t>
      </w:r>
      <w:r w:rsidR="00843F11" w:rsidRPr="002F67B9">
        <w:rPr>
          <w:rFonts w:ascii="Arial" w:hAnsi="Arial" w:cs="Arial"/>
          <w:sz w:val="24"/>
          <w:szCs w:val="24"/>
          <w:lang w:val="en-ZA"/>
        </w:rPr>
        <w:t xml:space="preserve">t, </w:t>
      </w:r>
      <w:proofErr w:type="spellStart"/>
      <w:r w:rsidR="00843F11" w:rsidRPr="002F67B9">
        <w:rPr>
          <w:rFonts w:ascii="Arial" w:hAnsi="Arial" w:cs="Arial"/>
          <w:sz w:val="24"/>
          <w:szCs w:val="24"/>
          <w:lang w:val="en-ZA"/>
        </w:rPr>
        <w:t>Kalro</w:t>
      </w:r>
      <w:proofErr w:type="spellEnd"/>
      <w:r w:rsidR="00843F11" w:rsidRPr="002F67B9">
        <w:rPr>
          <w:rFonts w:ascii="Arial" w:hAnsi="Arial" w:cs="Arial"/>
          <w:sz w:val="24"/>
          <w:szCs w:val="24"/>
          <w:lang w:val="en-ZA"/>
        </w:rPr>
        <w:t xml:space="preserve"> was</w:t>
      </w:r>
      <w:r w:rsidR="00063466">
        <w:rPr>
          <w:rFonts w:ascii="Arial" w:hAnsi="Arial" w:cs="Arial"/>
          <w:sz w:val="24"/>
          <w:szCs w:val="24"/>
          <w:lang w:val="en-ZA"/>
        </w:rPr>
        <w:t xml:space="preserve"> represented by the Smits only, </w:t>
      </w:r>
      <w:r w:rsidR="00BD73B6" w:rsidRPr="002F67B9">
        <w:rPr>
          <w:rFonts w:ascii="Arial" w:hAnsi="Arial" w:cs="Arial"/>
          <w:sz w:val="24"/>
          <w:szCs w:val="24"/>
          <w:lang w:val="en-ZA"/>
        </w:rPr>
        <w:t>due to the acrimonious relationship between the directors.</w:t>
      </w:r>
      <w:r w:rsidR="00843F11" w:rsidRPr="002F67B9">
        <w:rPr>
          <w:rFonts w:ascii="Arial" w:hAnsi="Arial" w:cs="Arial"/>
          <w:sz w:val="24"/>
          <w:szCs w:val="24"/>
          <w:lang w:val="en-ZA"/>
        </w:rPr>
        <w:t xml:space="preserve"> </w:t>
      </w:r>
    </w:p>
    <w:p w:rsidR="004C0BA5" w:rsidRPr="002F67B9" w:rsidRDefault="004C0BA5" w:rsidP="00063466">
      <w:pPr>
        <w:spacing w:after="0" w:line="360" w:lineRule="auto"/>
        <w:jc w:val="both"/>
        <w:rPr>
          <w:rFonts w:ascii="Arial" w:hAnsi="Arial" w:cs="Arial"/>
          <w:b/>
          <w:sz w:val="24"/>
          <w:szCs w:val="24"/>
          <w:lang w:val="en-ZA"/>
        </w:rPr>
      </w:pPr>
    </w:p>
    <w:p w:rsidR="00D56A46" w:rsidRPr="002F67B9"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[2]</w:t>
      </w:r>
      <w:r w:rsidRPr="002F67B9">
        <w:rPr>
          <w:rFonts w:ascii="Arial" w:hAnsi="Arial" w:cs="Arial"/>
          <w:sz w:val="24"/>
          <w:szCs w:val="24"/>
          <w:lang w:val="en-ZA"/>
        </w:rPr>
        <w:tab/>
      </w:r>
      <w:r w:rsidR="004C0BA5" w:rsidRPr="002F67B9">
        <w:rPr>
          <w:rFonts w:ascii="Arial" w:hAnsi="Arial" w:cs="Arial"/>
          <w:sz w:val="24"/>
          <w:szCs w:val="24"/>
          <w:lang w:val="en-ZA"/>
        </w:rPr>
        <w:t xml:space="preserve">The </w:t>
      </w:r>
      <w:r w:rsidR="007E35BE" w:rsidRPr="002F67B9">
        <w:rPr>
          <w:rFonts w:ascii="Arial" w:hAnsi="Arial" w:cs="Arial"/>
          <w:sz w:val="24"/>
          <w:szCs w:val="24"/>
          <w:lang w:val="en-ZA"/>
        </w:rPr>
        <w:t>appellants</w:t>
      </w:r>
      <w:r w:rsidR="004C0BA5" w:rsidRPr="002F67B9">
        <w:rPr>
          <w:rFonts w:ascii="Arial" w:hAnsi="Arial" w:cs="Arial"/>
          <w:sz w:val="24"/>
          <w:szCs w:val="24"/>
          <w:lang w:val="en-ZA"/>
        </w:rPr>
        <w:t xml:space="preserve"> are the joint liquidators of </w:t>
      </w:r>
      <w:proofErr w:type="spellStart"/>
      <w:r w:rsidR="004C0BA5" w:rsidRPr="002F67B9">
        <w:rPr>
          <w:rFonts w:ascii="Arial" w:hAnsi="Arial" w:cs="Arial"/>
          <w:sz w:val="24"/>
          <w:szCs w:val="24"/>
          <w:lang w:val="en-ZA"/>
        </w:rPr>
        <w:t>Trackstar</w:t>
      </w:r>
      <w:proofErr w:type="spellEnd"/>
      <w:r w:rsidR="004C0BA5" w:rsidRPr="002F67B9">
        <w:rPr>
          <w:rFonts w:ascii="Arial" w:hAnsi="Arial" w:cs="Arial"/>
          <w:sz w:val="24"/>
          <w:szCs w:val="24"/>
          <w:lang w:val="en-ZA"/>
        </w:rPr>
        <w:t xml:space="preserve"> Trading 140 (Pty) Ltd – in </w:t>
      </w:r>
      <w:r w:rsidR="007E35BE" w:rsidRPr="002F67B9">
        <w:rPr>
          <w:rFonts w:ascii="Arial" w:hAnsi="Arial" w:cs="Arial"/>
          <w:sz w:val="24"/>
          <w:szCs w:val="24"/>
          <w:lang w:val="en-ZA"/>
        </w:rPr>
        <w:t>L</w:t>
      </w:r>
      <w:r w:rsidR="004C0BA5" w:rsidRPr="002F67B9">
        <w:rPr>
          <w:rFonts w:ascii="Arial" w:hAnsi="Arial" w:cs="Arial"/>
          <w:sz w:val="24"/>
          <w:szCs w:val="24"/>
          <w:lang w:val="en-ZA"/>
        </w:rPr>
        <w:t>iquidation (</w:t>
      </w:r>
      <w:proofErr w:type="spellStart"/>
      <w:r w:rsidR="004C0BA5" w:rsidRPr="002F67B9">
        <w:rPr>
          <w:rFonts w:ascii="Arial" w:hAnsi="Arial" w:cs="Arial"/>
          <w:sz w:val="24"/>
          <w:szCs w:val="24"/>
          <w:lang w:val="en-ZA"/>
        </w:rPr>
        <w:t>Trackstar</w:t>
      </w:r>
      <w:proofErr w:type="spellEnd"/>
      <w:r w:rsidR="004C0BA5" w:rsidRPr="002F67B9">
        <w:rPr>
          <w:rFonts w:ascii="Arial" w:hAnsi="Arial" w:cs="Arial"/>
          <w:sz w:val="24"/>
          <w:szCs w:val="24"/>
          <w:lang w:val="en-ZA"/>
        </w:rPr>
        <w:t>).</w:t>
      </w:r>
      <w:r w:rsidR="00936BFC">
        <w:rPr>
          <w:rFonts w:ascii="Arial" w:hAnsi="Arial" w:cs="Arial"/>
          <w:sz w:val="24"/>
          <w:szCs w:val="24"/>
          <w:lang w:val="en-ZA"/>
        </w:rPr>
        <w:t xml:space="preserve"> Mr </w:t>
      </w:r>
      <w:r w:rsidR="007E35BE" w:rsidRPr="002F67B9">
        <w:rPr>
          <w:rFonts w:ascii="Arial" w:hAnsi="Arial" w:cs="Arial"/>
          <w:sz w:val="24"/>
          <w:szCs w:val="24"/>
          <w:lang w:val="en-ZA"/>
        </w:rPr>
        <w:t>Du Preez</w:t>
      </w:r>
      <w:r w:rsidR="00843F11" w:rsidRPr="002F67B9">
        <w:rPr>
          <w:rFonts w:ascii="Arial" w:hAnsi="Arial" w:cs="Arial"/>
          <w:sz w:val="24"/>
          <w:szCs w:val="24"/>
          <w:lang w:val="en-ZA"/>
        </w:rPr>
        <w:t xml:space="preserve"> is also a </w:t>
      </w:r>
      <w:r w:rsidR="007E35BE" w:rsidRPr="002F67B9">
        <w:rPr>
          <w:rFonts w:ascii="Arial" w:hAnsi="Arial" w:cs="Arial"/>
          <w:sz w:val="24"/>
          <w:szCs w:val="24"/>
          <w:lang w:val="en-ZA"/>
        </w:rPr>
        <w:t xml:space="preserve">director of </w:t>
      </w:r>
      <w:proofErr w:type="spellStart"/>
      <w:r w:rsidR="007E35BE" w:rsidRPr="002F67B9">
        <w:rPr>
          <w:rFonts w:ascii="Arial" w:hAnsi="Arial" w:cs="Arial"/>
          <w:sz w:val="24"/>
          <w:szCs w:val="24"/>
          <w:lang w:val="en-ZA"/>
        </w:rPr>
        <w:t>Trackstar</w:t>
      </w:r>
      <w:proofErr w:type="spellEnd"/>
      <w:r w:rsidR="00BD73B6" w:rsidRPr="002F67B9">
        <w:rPr>
          <w:rFonts w:ascii="Arial" w:hAnsi="Arial" w:cs="Arial"/>
          <w:sz w:val="24"/>
          <w:szCs w:val="24"/>
          <w:lang w:val="en-ZA"/>
        </w:rPr>
        <w:t xml:space="preserve">. </w:t>
      </w:r>
      <w:r w:rsidR="00C86920" w:rsidRPr="002F67B9">
        <w:rPr>
          <w:rFonts w:ascii="Arial" w:hAnsi="Arial" w:cs="Arial"/>
          <w:sz w:val="24"/>
          <w:szCs w:val="24"/>
          <w:lang w:val="en-ZA"/>
        </w:rPr>
        <w:t xml:space="preserve">It is common cause that </w:t>
      </w:r>
      <w:proofErr w:type="spellStart"/>
      <w:r w:rsidR="00C86920" w:rsidRPr="002F67B9">
        <w:rPr>
          <w:rFonts w:ascii="Arial" w:hAnsi="Arial" w:cs="Arial"/>
          <w:sz w:val="24"/>
          <w:szCs w:val="24"/>
          <w:lang w:val="en-ZA"/>
        </w:rPr>
        <w:t>Kalro</w:t>
      </w:r>
      <w:proofErr w:type="spellEnd"/>
      <w:r w:rsidR="00C86920" w:rsidRPr="002F67B9">
        <w:rPr>
          <w:rFonts w:ascii="Arial" w:hAnsi="Arial" w:cs="Arial"/>
          <w:sz w:val="24"/>
          <w:szCs w:val="24"/>
          <w:lang w:val="en-ZA"/>
        </w:rPr>
        <w:t xml:space="preserve"> purchased the farm ‘</w:t>
      </w:r>
      <w:proofErr w:type="spellStart"/>
      <w:r w:rsidR="00C86920" w:rsidRPr="002F67B9">
        <w:rPr>
          <w:rFonts w:ascii="Arial" w:hAnsi="Arial" w:cs="Arial"/>
          <w:sz w:val="24"/>
          <w:szCs w:val="24"/>
          <w:lang w:val="en-ZA"/>
        </w:rPr>
        <w:t>Strydfontein</w:t>
      </w:r>
      <w:proofErr w:type="spellEnd"/>
      <w:r w:rsidR="00C86920" w:rsidRPr="002F67B9">
        <w:rPr>
          <w:rFonts w:ascii="Arial" w:hAnsi="Arial" w:cs="Arial"/>
          <w:sz w:val="24"/>
          <w:szCs w:val="24"/>
          <w:lang w:val="en-ZA"/>
        </w:rPr>
        <w:t>’ to commence its farming operations.</w:t>
      </w:r>
      <w:r w:rsidR="00673757" w:rsidRPr="002F67B9">
        <w:rPr>
          <w:rFonts w:ascii="Arial" w:hAnsi="Arial" w:cs="Arial"/>
          <w:sz w:val="24"/>
          <w:szCs w:val="24"/>
          <w:lang w:val="en-ZA"/>
        </w:rPr>
        <w:t xml:space="preserve"> It is also common cause that Nedbank financed the purchase of the farm.</w:t>
      </w:r>
      <w:r w:rsidR="00C86920" w:rsidRPr="002F67B9">
        <w:rPr>
          <w:rFonts w:ascii="Arial" w:hAnsi="Arial" w:cs="Arial"/>
          <w:sz w:val="24"/>
          <w:szCs w:val="24"/>
          <w:lang w:val="en-ZA"/>
        </w:rPr>
        <w:t xml:space="preserve"> It </w:t>
      </w:r>
      <w:r w:rsidR="00673757" w:rsidRPr="002F67B9">
        <w:rPr>
          <w:rFonts w:ascii="Arial" w:hAnsi="Arial" w:cs="Arial"/>
          <w:sz w:val="24"/>
          <w:szCs w:val="24"/>
          <w:lang w:val="en-ZA"/>
        </w:rPr>
        <w:t>is further</w:t>
      </w:r>
      <w:r w:rsidR="00C86920" w:rsidRPr="002F67B9">
        <w:rPr>
          <w:rFonts w:ascii="Arial" w:hAnsi="Arial" w:cs="Arial"/>
          <w:sz w:val="24"/>
          <w:szCs w:val="24"/>
          <w:lang w:val="en-ZA"/>
        </w:rPr>
        <w:t xml:space="preserve"> common</w:t>
      </w:r>
      <w:r w:rsidR="00673757" w:rsidRPr="002F67B9">
        <w:rPr>
          <w:rFonts w:ascii="Arial" w:hAnsi="Arial" w:cs="Arial"/>
          <w:sz w:val="24"/>
          <w:szCs w:val="24"/>
          <w:lang w:val="en-ZA"/>
        </w:rPr>
        <w:t xml:space="preserve"> cause that Nedbank financed </w:t>
      </w:r>
      <w:proofErr w:type="spellStart"/>
      <w:r w:rsidR="00673757" w:rsidRPr="002F67B9">
        <w:rPr>
          <w:rFonts w:ascii="Arial" w:hAnsi="Arial" w:cs="Arial"/>
          <w:sz w:val="24"/>
          <w:szCs w:val="24"/>
          <w:lang w:val="en-ZA"/>
        </w:rPr>
        <w:t>Kalro’s</w:t>
      </w:r>
      <w:proofErr w:type="spellEnd"/>
      <w:r w:rsidR="00673757" w:rsidRPr="002F67B9">
        <w:rPr>
          <w:rFonts w:ascii="Arial" w:hAnsi="Arial" w:cs="Arial"/>
          <w:sz w:val="24"/>
          <w:szCs w:val="24"/>
          <w:lang w:val="en-ZA"/>
        </w:rPr>
        <w:t xml:space="preserve"> initial production costs and registered a General Covering Bond over </w:t>
      </w:r>
      <w:proofErr w:type="spellStart"/>
      <w:r w:rsidR="00673757" w:rsidRPr="002F67B9">
        <w:rPr>
          <w:rFonts w:ascii="Arial" w:hAnsi="Arial" w:cs="Arial"/>
          <w:sz w:val="24"/>
          <w:szCs w:val="24"/>
          <w:lang w:val="en-ZA"/>
        </w:rPr>
        <w:t>Strydfontein</w:t>
      </w:r>
      <w:proofErr w:type="spellEnd"/>
      <w:r w:rsidR="00673757" w:rsidRPr="002F67B9">
        <w:rPr>
          <w:rFonts w:ascii="Arial" w:hAnsi="Arial" w:cs="Arial"/>
          <w:sz w:val="24"/>
          <w:szCs w:val="24"/>
          <w:lang w:val="en-ZA"/>
        </w:rPr>
        <w:t xml:space="preserve"> and a second farm, </w:t>
      </w:r>
      <w:proofErr w:type="spellStart"/>
      <w:r w:rsidR="00673757" w:rsidRPr="002F67B9">
        <w:rPr>
          <w:rFonts w:ascii="Arial" w:hAnsi="Arial" w:cs="Arial"/>
          <w:sz w:val="24"/>
          <w:szCs w:val="24"/>
          <w:lang w:val="en-ZA"/>
        </w:rPr>
        <w:t>Weltevreden</w:t>
      </w:r>
      <w:proofErr w:type="spellEnd"/>
      <w:r w:rsidR="00673757" w:rsidRPr="002F67B9">
        <w:rPr>
          <w:rFonts w:ascii="Arial" w:hAnsi="Arial" w:cs="Arial"/>
          <w:sz w:val="24"/>
          <w:szCs w:val="24"/>
          <w:lang w:val="en-ZA"/>
        </w:rPr>
        <w:t xml:space="preserve">. </w:t>
      </w:r>
      <w:r w:rsidR="00D56A46" w:rsidRPr="002F67B9">
        <w:rPr>
          <w:rFonts w:ascii="Arial" w:hAnsi="Arial" w:cs="Arial"/>
          <w:sz w:val="24"/>
          <w:szCs w:val="24"/>
          <w:lang w:val="en-ZA"/>
        </w:rPr>
        <w:t xml:space="preserve">Due to </w:t>
      </w:r>
      <w:proofErr w:type="spellStart"/>
      <w:r w:rsidR="00D56A46" w:rsidRPr="002F67B9">
        <w:rPr>
          <w:rFonts w:ascii="Arial" w:hAnsi="Arial" w:cs="Arial"/>
          <w:sz w:val="24"/>
          <w:szCs w:val="24"/>
          <w:lang w:val="en-ZA"/>
        </w:rPr>
        <w:t>Kalro’s</w:t>
      </w:r>
      <w:proofErr w:type="spellEnd"/>
      <w:r w:rsidR="00D56A46" w:rsidRPr="002F67B9">
        <w:rPr>
          <w:rFonts w:ascii="Arial" w:hAnsi="Arial" w:cs="Arial"/>
          <w:sz w:val="24"/>
          <w:szCs w:val="24"/>
          <w:lang w:val="en-ZA"/>
        </w:rPr>
        <w:t xml:space="preserve"> inability to pay </w:t>
      </w:r>
      <w:r w:rsidR="00673757" w:rsidRPr="002F67B9">
        <w:rPr>
          <w:rFonts w:ascii="Arial" w:hAnsi="Arial" w:cs="Arial"/>
          <w:sz w:val="24"/>
          <w:szCs w:val="24"/>
          <w:lang w:val="en-ZA"/>
        </w:rPr>
        <w:t>Nedbank</w:t>
      </w:r>
      <w:r w:rsidR="00D56A46" w:rsidRPr="002F67B9">
        <w:rPr>
          <w:rFonts w:ascii="Arial" w:hAnsi="Arial" w:cs="Arial"/>
          <w:sz w:val="24"/>
          <w:szCs w:val="24"/>
          <w:lang w:val="en-ZA"/>
        </w:rPr>
        <w:t>, it</w:t>
      </w:r>
      <w:r w:rsidR="00673757" w:rsidRPr="002F67B9">
        <w:rPr>
          <w:rFonts w:ascii="Arial" w:hAnsi="Arial" w:cs="Arial"/>
          <w:sz w:val="24"/>
          <w:szCs w:val="24"/>
          <w:lang w:val="en-ZA"/>
        </w:rPr>
        <w:t xml:space="preserve"> obtained judgment against </w:t>
      </w:r>
      <w:proofErr w:type="spellStart"/>
      <w:r w:rsidR="00673757" w:rsidRPr="002F67B9">
        <w:rPr>
          <w:rFonts w:ascii="Arial" w:hAnsi="Arial" w:cs="Arial"/>
          <w:sz w:val="24"/>
          <w:szCs w:val="24"/>
          <w:lang w:val="en-ZA"/>
        </w:rPr>
        <w:t>Kalro</w:t>
      </w:r>
      <w:proofErr w:type="spellEnd"/>
      <w:r w:rsidR="00673757" w:rsidRPr="002F67B9">
        <w:rPr>
          <w:rFonts w:ascii="Arial" w:hAnsi="Arial" w:cs="Arial"/>
          <w:sz w:val="24"/>
          <w:szCs w:val="24"/>
          <w:lang w:val="en-ZA"/>
        </w:rPr>
        <w:t xml:space="preserve"> for </w:t>
      </w:r>
      <w:r w:rsidR="00D56A46" w:rsidRPr="002F67B9">
        <w:rPr>
          <w:rFonts w:ascii="Arial" w:hAnsi="Arial" w:cs="Arial"/>
          <w:sz w:val="24"/>
          <w:szCs w:val="24"/>
          <w:lang w:val="en-ZA"/>
        </w:rPr>
        <w:t>a</w:t>
      </w:r>
      <w:r w:rsidR="00673757" w:rsidRPr="002F67B9">
        <w:rPr>
          <w:rFonts w:ascii="Arial" w:hAnsi="Arial" w:cs="Arial"/>
          <w:sz w:val="24"/>
          <w:szCs w:val="24"/>
          <w:lang w:val="en-ZA"/>
        </w:rPr>
        <w:t>pproximat</w:t>
      </w:r>
      <w:r w:rsidR="00D56A46" w:rsidRPr="002F67B9">
        <w:rPr>
          <w:rFonts w:ascii="Arial" w:hAnsi="Arial" w:cs="Arial"/>
          <w:sz w:val="24"/>
          <w:szCs w:val="24"/>
          <w:lang w:val="en-ZA"/>
        </w:rPr>
        <w:t>e</w:t>
      </w:r>
      <w:r w:rsidR="00BD73B6" w:rsidRPr="002F67B9">
        <w:rPr>
          <w:rFonts w:ascii="Arial" w:hAnsi="Arial" w:cs="Arial"/>
          <w:sz w:val="24"/>
          <w:szCs w:val="24"/>
          <w:lang w:val="en-ZA"/>
        </w:rPr>
        <w:t>ly R10m</w:t>
      </w:r>
      <w:r w:rsidR="00D56A46" w:rsidRPr="002F67B9">
        <w:rPr>
          <w:rFonts w:ascii="Arial" w:hAnsi="Arial" w:cs="Arial"/>
          <w:sz w:val="24"/>
          <w:szCs w:val="24"/>
          <w:lang w:val="en-ZA"/>
        </w:rPr>
        <w:t xml:space="preserve"> and an order declaring the two farms </w:t>
      </w:r>
      <w:proofErr w:type="gramStart"/>
      <w:r w:rsidR="00D56A46" w:rsidRPr="002F67B9">
        <w:rPr>
          <w:rFonts w:ascii="Arial" w:hAnsi="Arial" w:cs="Arial"/>
          <w:sz w:val="24"/>
          <w:szCs w:val="24"/>
          <w:lang w:val="en-ZA"/>
        </w:rPr>
        <w:t>specially</w:t>
      </w:r>
      <w:proofErr w:type="gramEnd"/>
      <w:r w:rsidR="00D56A46" w:rsidRPr="002F67B9">
        <w:rPr>
          <w:rFonts w:ascii="Arial" w:hAnsi="Arial" w:cs="Arial"/>
          <w:sz w:val="24"/>
          <w:szCs w:val="24"/>
          <w:lang w:val="en-ZA"/>
        </w:rPr>
        <w:t xml:space="preserve"> executable. </w:t>
      </w:r>
      <w:r w:rsidR="00BD73B6" w:rsidRPr="002F67B9">
        <w:rPr>
          <w:rFonts w:ascii="Arial" w:hAnsi="Arial" w:cs="Arial"/>
          <w:sz w:val="24"/>
          <w:szCs w:val="24"/>
          <w:lang w:val="en-ZA"/>
        </w:rPr>
        <w:t xml:space="preserve">Nedbank also obtained a session of </w:t>
      </w:r>
      <w:proofErr w:type="spellStart"/>
      <w:r w:rsidR="00BD73B6" w:rsidRPr="002F67B9">
        <w:rPr>
          <w:rFonts w:ascii="Arial" w:hAnsi="Arial" w:cs="Arial"/>
          <w:sz w:val="24"/>
          <w:szCs w:val="24"/>
          <w:lang w:val="en-ZA"/>
        </w:rPr>
        <w:t>Kalro’s</w:t>
      </w:r>
      <w:proofErr w:type="spellEnd"/>
      <w:r w:rsidR="00BD73B6" w:rsidRPr="002F67B9">
        <w:rPr>
          <w:rFonts w:ascii="Arial" w:hAnsi="Arial" w:cs="Arial"/>
          <w:sz w:val="24"/>
          <w:szCs w:val="24"/>
          <w:lang w:val="en-ZA"/>
        </w:rPr>
        <w:t xml:space="preserve"> crop-income. </w:t>
      </w:r>
      <w:r w:rsidR="00D56A46" w:rsidRPr="002F67B9">
        <w:rPr>
          <w:rFonts w:ascii="Arial" w:hAnsi="Arial" w:cs="Arial"/>
          <w:sz w:val="24"/>
          <w:szCs w:val="24"/>
          <w:lang w:val="en-ZA"/>
        </w:rPr>
        <w:t>Nedbank had not sold the farms at the time of the application.</w:t>
      </w:r>
    </w:p>
    <w:p w:rsidR="00546A1F" w:rsidRPr="002F67B9" w:rsidRDefault="00546A1F" w:rsidP="00520B5A">
      <w:pPr>
        <w:spacing w:after="0" w:line="360" w:lineRule="auto"/>
        <w:ind w:left="567" w:hanging="567"/>
        <w:jc w:val="both"/>
        <w:rPr>
          <w:rFonts w:ascii="Arial" w:hAnsi="Arial" w:cs="Arial"/>
          <w:sz w:val="24"/>
          <w:szCs w:val="24"/>
          <w:lang w:val="en-ZA"/>
        </w:rPr>
      </w:pPr>
    </w:p>
    <w:p w:rsidR="00C86920" w:rsidRPr="002F67B9"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[3]</w:t>
      </w:r>
      <w:r w:rsidRPr="002F67B9">
        <w:rPr>
          <w:rFonts w:ascii="Arial" w:hAnsi="Arial" w:cs="Arial"/>
          <w:sz w:val="24"/>
          <w:szCs w:val="24"/>
          <w:lang w:val="en-ZA"/>
        </w:rPr>
        <w:tab/>
      </w:r>
      <w:r w:rsidR="00C86920" w:rsidRPr="002F67B9">
        <w:rPr>
          <w:rFonts w:ascii="Arial" w:hAnsi="Arial" w:cs="Arial"/>
          <w:sz w:val="24"/>
          <w:szCs w:val="24"/>
          <w:lang w:val="en-ZA"/>
        </w:rPr>
        <w:t>The appellant</w:t>
      </w:r>
      <w:r w:rsidR="00673757" w:rsidRPr="002F67B9">
        <w:rPr>
          <w:rFonts w:ascii="Arial" w:hAnsi="Arial" w:cs="Arial"/>
          <w:sz w:val="24"/>
          <w:szCs w:val="24"/>
          <w:lang w:val="en-ZA"/>
        </w:rPr>
        <w:t xml:space="preserve">s’ claim is </w:t>
      </w:r>
      <w:r w:rsidR="00C86920" w:rsidRPr="002F67B9">
        <w:rPr>
          <w:rFonts w:ascii="Arial" w:hAnsi="Arial" w:cs="Arial"/>
          <w:sz w:val="24"/>
          <w:szCs w:val="24"/>
          <w:lang w:val="en-ZA"/>
        </w:rPr>
        <w:t xml:space="preserve">based on transactions between </w:t>
      </w:r>
      <w:proofErr w:type="spellStart"/>
      <w:r w:rsidR="00C86920" w:rsidRPr="002F67B9">
        <w:rPr>
          <w:rFonts w:ascii="Arial" w:hAnsi="Arial" w:cs="Arial"/>
          <w:sz w:val="24"/>
          <w:szCs w:val="24"/>
          <w:lang w:val="en-ZA"/>
        </w:rPr>
        <w:t>Trackstar</w:t>
      </w:r>
      <w:proofErr w:type="spellEnd"/>
      <w:r w:rsidR="00C86920" w:rsidRPr="002F67B9">
        <w:rPr>
          <w:rFonts w:ascii="Arial" w:hAnsi="Arial" w:cs="Arial"/>
          <w:sz w:val="24"/>
          <w:szCs w:val="24"/>
          <w:lang w:val="en-ZA"/>
        </w:rPr>
        <w:t xml:space="preserve"> and </w:t>
      </w:r>
      <w:proofErr w:type="spellStart"/>
      <w:r w:rsidR="00C86920" w:rsidRPr="002F67B9">
        <w:rPr>
          <w:rFonts w:ascii="Arial" w:hAnsi="Arial" w:cs="Arial"/>
          <w:sz w:val="24"/>
          <w:szCs w:val="24"/>
          <w:lang w:val="en-ZA"/>
        </w:rPr>
        <w:t>Kalro</w:t>
      </w:r>
      <w:proofErr w:type="spellEnd"/>
      <w:r w:rsidR="00C86920" w:rsidRPr="002F67B9">
        <w:rPr>
          <w:rFonts w:ascii="Arial" w:hAnsi="Arial" w:cs="Arial"/>
          <w:sz w:val="24"/>
          <w:szCs w:val="24"/>
          <w:lang w:val="en-ZA"/>
        </w:rPr>
        <w:t>. The</w:t>
      </w:r>
      <w:r w:rsidR="002F6714" w:rsidRPr="002F67B9">
        <w:rPr>
          <w:rFonts w:ascii="Arial" w:hAnsi="Arial" w:cs="Arial"/>
          <w:sz w:val="24"/>
          <w:szCs w:val="24"/>
          <w:lang w:val="en-ZA"/>
        </w:rPr>
        <w:t>y</w:t>
      </w:r>
      <w:r w:rsidR="00C86920" w:rsidRPr="002F67B9">
        <w:rPr>
          <w:rFonts w:ascii="Arial" w:hAnsi="Arial" w:cs="Arial"/>
          <w:sz w:val="24"/>
          <w:szCs w:val="24"/>
          <w:lang w:val="en-ZA"/>
        </w:rPr>
        <w:t xml:space="preserve"> </w:t>
      </w:r>
      <w:r w:rsidR="002F6714" w:rsidRPr="002F67B9">
        <w:rPr>
          <w:rFonts w:ascii="Arial" w:hAnsi="Arial" w:cs="Arial"/>
          <w:sz w:val="24"/>
          <w:szCs w:val="24"/>
          <w:lang w:val="en-ZA"/>
        </w:rPr>
        <w:t>allege</w:t>
      </w:r>
      <w:r w:rsidR="00C86920" w:rsidRPr="002F67B9">
        <w:rPr>
          <w:rFonts w:ascii="Arial" w:hAnsi="Arial" w:cs="Arial"/>
          <w:sz w:val="24"/>
          <w:szCs w:val="24"/>
          <w:lang w:val="en-ZA"/>
        </w:rPr>
        <w:t xml:space="preserve"> that there was a partnership agr</w:t>
      </w:r>
      <w:r w:rsidR="00D56A46" w:rsidRPr="002F67B9">
        <w:rPr>
          <w:rFonts w:ascii="Arial" w:hAnsi="Arial" w:cs="Arial"/>
          <w:sz w:val="24"/>
          <w:szCs w:val="24"/>
          <w:lang w:val="en-ZA"/>
        </w:rPr>
        <w:t xml:space="preserve">eement between </w:t>
      </w:r>
      <w:proofErr w:type="spellStart"/>
      <w:r w:rsidR="00D56A46" w:rsidRPr="002F67B9">
        <w:rPr>
          <w:rFonts w:ascii="Arial" w:hAnsi="Arial" w:cs="Arial"/>
          <w:sz w:val="24"/>
          <w:szCs w:val="24"/>
          <w:lang w:val="en-ZA"/>
        </w:rPr>
        <w:t>Kalro</w:t>
      </w:r>
      <w:proofErr w:type="spellEnd"/>
      <w:r w:rsidR="00D56A46" w:rsidRPr="002F67B9">
        <w:rPr>
          <w:rFonts w:ascii="Arial" w:hAnsi="Arial" w:cs="Arial"/>
          <w:sz w:val="24"/>
          <w:szCs w:val="24"/>
          <w:lang w:val="en-ZA"/>
        </w:rPr>
        <w:t xml:space="preserve"> and </w:t>
      </w:r>
      <w:proofErr w:type="spellStart"/>
      <w:r w:rsidR="00D56A46" w:rsidRPr="002F67B9">
        <w:rPr>
          <w:rFonts w:ascii="Arial" w:hAnsi="Arial" w:cs="Arial"/>
          <w:sz w:val="24"/>
          <w:szCs w:val="24"/>
          <w:lang w:val="en-ZA"/>
        </w:rPr>
        <w:t>Trackstar</w:t>
      </w:r>
      <w:proofErr w:type="spellEnd"/>
      <w:r w:rsidR="00C86920" w:rsidRPr="002F67B9">
        <w:rPr>
          <w:rFonts w:ascii="Arial" w:hAnsi="Arial" w:cs="Arial"/>
          <w:sz w:val="24"/>
          <w:szCs w:val="24"/>
          <w:lang w:val="en-ZA"/>
        </w:rPr>
        <w:t xml:space="preserve">, alternatively that </w:t>
      </w:r>
      <w:proofErr w:type="spellStart"/>
      <w:r w:rsidR="00C86920" w:rsidRPr="002F67B9">
        <w:rPr>
          <w:rFonts w:ascii="Arial" w:hAnsi="Arial" w:cs="Arial"/>
          <w:sz w:val="24"/>
          <w:szCs w:val="24"/>
          <w:lang w:val="en-ZA"/>
        </w:rPr>
        <w:t>Trackstar</w:t>
      </w:r>
      <w:proofErr w:type="spellEnd"/>
      <w:r w:rsidR="00C86920" w:rsidRPr="002F67B9">
        <w:rPr>
          <w:rFonts w:ascii="Arial" w:hAnsi="Arial" w:cs="Arial"/>
          <w:sz w:val="24"/>
          <w:szCs w:val="24"/>
          <w:lang w:val="en-ZA"/>
        </w:rPr>
        <w:t xml:space="preserve"> advanced production costs to </w:t>
      </w:r>
      <w:proofErr w:type="spellStart"/>
      <w:r w:rsidR="00C86920" w:rsidRPr="002F67B9">
        <w:rPr>
          <w:rFonts w:ascii="Arial" w:hAnsi="Arial" w:cs="Arial"/>
          <w:sz w:val="24"/>
          <w:szCs w:val="24"/>
          <w:lang w:val="en-ZA"/>
        </w:rPr>
        <w:t>Kalro</w:t>
      </w:r>
      <w:proofErr w:type="spellEnd"/>
      <w:r w:rsidR="00C86920" w:rsidRPr="002F67B9">
        <w:rPr>
          <w:rFonts w:ascii="Arial" w:hAnsi="Arial" w:cs="Arial"/>
          <w:sz w:val="24"/>
          <w:szCs w:val="24"/>
          <w:lang w:val="en-ZA"/>
        </w:rPr>
        <w:t>.</w:t>
      </w:r>
      <w:r w:rsidR="00673757" w:rsidRPr="002F67B9">
        <w:rPr>
          <w:rFonts w:ascii="Arial" w:hAnsi="Arial" w:cs="Arial"/>
          <w:sz w:val="24"/>
          <w:szCs w:val="24"/>
          <w:lang w:val="en-ZA"/>
        </w:rPr>
        <w:t xml:space="preserve"> They allege that </w:t>
      </w:r>
      <w:proofErr w:type="spellStart"/>
      <w:r w:rsidR="00673757" w:rsidRPr="002F67B9">
        <w:rPr>
          <w:rFonts w:ascii="Arial" w:hAnsi="Arial" w:cs="Arial"/>
          <w:sz w:val="24"/>
          <w:szCs w:val="24"/>
          <w:lang w:val="en-ZA"/>
        </w:rPr>
        <w:t>Kalro</w:t>
      </w:r>
      <w:proofErr w:type="spellEnd"/>
      <w:r w:rsidR="00673757" w:rsidRPr="002F67B9">
        <w:rPr>
          <w:rFonts w:ascii="Arial" w:hAnsi="Arial" w:cs="Arial"/>
          <w:sz w:val="24"/>
          <w:szCs w:val="24"/>
          <w:lang w:val="en-ZA"/>
        </w:rPr>
        <w:t xml:space="preserve"> owes </w:t>
      </w:r>
      <w:proofErr w:type="spellStart"/>
      <w:r w:rsidR="00673757" w:rsidRPr="002F67B9">
        <w:rPr>
          <w:rFonts w:ascii="Arial" w:hAnsi="Arial" w:cs="Arial"/>
          <w:sz w:val="24"/>
          <w:szCs w:val="24"/>
          <w:lang w:val="en-ZA"/>
        </w:rPr>
        <w:t>Trackstar</w:t>
      </w:r>
      <w:proofErr w:type="spellEnd"/>
      <w:r w:rsidR="00673757" w:rsidRPr="002F67B9">
        <w:rPr>
          <w:rFonts w:ascii="Arial" w:hAnsi="Arial" w:cs="Arial"/>
          <w:sz w:val="24"/>
          <w:szCs w:val="24"/>
          <w:lang w:val="en-ZA"/>
        </w:rPr>
        <w:t xml:space="preserve"> R3 378 564.04. </w:t>
      </w:r>
      <w:r w:rsidR="00D56A46" w:rsidRPr="002F67B9">
        <w:rPr>
          <w:rFonts w:ascii="Arial" w:hAnsi="Arial" w:cs="Arial"/>
          <w:sz w:val="24"/>
          <w:szCs w:val="24"/>
          <w:lang w:val="en-ZA"/>
        </w:rPr>
        <w:t>The appellants</w:t>
      </w:r>
      <w:r w:rsidR="002F6714" w:rsidRPr="002F67B9">
        <w:rPr>
          <w:rFonts w:ascii="Arial" w:hAnsi="Arial" w:cs="Arial"/>
          <w:sz w:val="24"/>
          <w:szCs w:val="24"/>
          <w:lang w:val="en-ZA"/>
        </w:rPr>
        <w:t xml:space="preserve"> unsuccessfully</w:t>
      </w:r>
      <w:r w:rsidR="00D56A46" w:rsidRPr="002F67B9">
        <w:rPr>
          <w:rFonts w:ascii="Arial" w:hAnsi="Arial" w:cs="Arial"/>
          <w:sz w:val="24"/>
          <w:szCs w:val="24"/>
          <w:lang w:val="en-ZA"/>
        </w:rPr>
        <w:t xml:space="preserve"> demanded payment of the aforesaid amount from </w:t>
      </w:r>
      <w:proofErr w:type="spellStart"/>
      <w:r w:rsidR="00D56A46" w:rsidRPr="002F67B9">
        <w:rPr>
          <w:rFonts w:ascii="Arial" w:hAnsi="Arial" w:cs="Arial"/>
          <w:sz w:val="24"/>
          <w:szCs w:val="24"/>
          <w:lang w:val="en-ZA"/>
        </w:rPr>
        <w:t>Kalro</w:t>
      </w:r>
      <w:proofErr w:type="spellEnd"/>
      <w:r w:rsidR="00D56A46" w:rsidRPr="002F67B9">
        <w:rPr>
          <w:rFonts w:ascii="Arial" w:hAnsi="Arial" w:cs="Arial"/>
          <w:sz w:val="24"/>
          <w:szCs w:val="24"/>
          <w:lang w:val="en-ZA"/>
        </w:rPr>
        <w:t>, in terms of section 345(1)(a)</w:t>
      </w:r>
      <w:r w:rsidR="002F6714" w:rsidRPr="002F67B9">
        <w:rPr>
          <w:rStyle w:val="FootnoteReference"/>
          <w:rFonts w:ascii="Arial" w:hAnsi="Arial" w:cs="Arial"/>
          <w:sz w:val="24"/>
          <w:szCs w:val="24"/>
          <w:lang w:val="en-ZA"/>
        </w:rPr>
        <w:footnoteReference w:id="1"/>
      </w:r>
      <w:r w:rsidR="00D56A46" w:rsidRPr="002F67B9">
        <w:rPr>
          <w:rFonts w:ascii="Arial" w:hAnsi="Arial" w:cs="Arial"/>
          <w:sz w:val="24"/>
          <w:szCs w:val="24"/>
          <w:lang w:val="en-ZA"/>
        </w:rPr>
        <w:t xml:space="preserve"> </w:t>
      </w:r>
      <w:r w:rsidR="002F6714" w:rsidRPr="002F67B9">
        <w:rPr>
          <w:rFonts w:ascii="Arial" w:hAnsi="Arial" w:cs="Arial"/>
          <w:sz w:val="24"/>
          <w:szCs w:val="24"/>
          <w:lang w:val="en-ZA"/>
        </w:rPr>
        <w:t>of the Companies Act 61 of 1973</w:t>
      </w:r>
      <w:r w:rsidR="00F50189">
        <w:rPr>
          <w:rFonts w:ascii="Arial" w:hAnsi="Arial" w:cs="Arial"/>
          <w:sz w:val="24"/>
          <w:szCs w:val="24"/>
          <w:lang w:val="en-ZA"/>
        </w:rPr>
        <w:t xml:space="preserve"> (the Act)</w:t>
      </w:r>
      <w:r w:rsidR="002F6714" w:rsidRPr="002F67B9">
        <w:rPr>
          <w:rFonts w:ascii="Arial" w:hAnsi="Arial" w:cs="Arial"/>
          <w:sz w:val="24"/>
          <w:szCs w:val="24"/>
          <w:lang w:val="en-ZA"/>
        </w:rPr>
        <w:t xml:space="preserve">. They contended that </w:t>
      </w:r>
      <w:proofErr w:type="spellStart"/>
      <w:r w:rsidR="002F6714" w:rsidRPr="002F67B9">
        <w:rPr>
          <w:rFonts w:ascii="Arial" w:hAnsi="Arial" w:cs="Arial"/>
          <w:sz w:val="24"/>
          <w:szCs w:val="24"/>
          <w:lang w:val="en-ZA"/>
        </w:rPr>
        <w:t>Kalro</w:t>
      </w:r>
      <w:proofErr w:type="spellEnd"/>
      <w:r w:rsidR="002F6714" w:rsidRPr="002F67B9">
        <w:rPr>
          <w:rFonts w:ascii="Arial" w:hAnsi="Arial" w:cs="Arial"/>
          <w:sz w:val="24"/>
          <w:szCs w:val="24"/>
          <w:lang w:val="en-ZA"/>
        </w:rPr>
        <w:t xml:space="preserve"> should be deemed to be unable to pay its debts. Additionally</w:t>
      </w:r>
      <w:r w:rsidR="00BD73B6" w:rsidRPr="002F67B9">
        <w:rPr>
          <w:rFonts w:ascii="Arial" w:hAnsi="Arial" w:cs="Arial"/>
          <w:sz w:val="24"/>
          <w:szCs w:val="24"/>
          <w:lang w:val="en-ZA"/>
        </w:rPr>
        <w:t>,</w:t>
      </w:r>
      <w:r w:rsidR="002F6714" w:rsidRPr="002F67B9">
        <w:rPr>
          <w:rFonts w:ascii="Arial" w:hAnsi="Arial" w:cs="Arial"/>
          <w:sz w:val="24"/>
          <w:szCs w:val="24"/>
          <w:lang w:val="en-ZA"/>
        </w:rPr>
        <w:t xml:space="preserve"> they pointed out tha</w:t>
      </w:r>
      <w:r w:rsidR="00936BFC">
        <w:rPr>
          <w:rFonts w:ascii="Arial" w:hAnsi="Arial" w:cs="Arial"/>
          <w:sz w:val="24"/>
          <w:szCs w:val="24"/>
          <w:lang w:val="en-ZA"/>
        </w:rPr>
        <w:t xml:space="preserve">t in terms of </w:t>
      </w:r>
      <w:proofErr w:type="spellStart"/>
      <w:r w:rsidR="00936BFC">
        <w:rPr>
          <w:rFonts w:ascii="Arial" w:hAnsi="Arial" w:cs="Arial"/>
          <w:sz w:val="24"/>
          <w:szCs w:val="24"/>
          <w:lang w:val="en-ZA"/>
        </w:rPr>
        <w:t>Trackstar’s</w:t>
      </w:r>
      <w:proofErr w:type="spellEnd"/>
      <w:r w:rsidR="00936BFC">
        <w:rPr>
          <w:rFonts w:ascii="Arial" w:hAnsi="Arial" w:cs="Arial"/>
          <w:sz w:val="24"/>
          <w:szCs w:val="24"/>
          <w:lang w:val="en-ZA"/>
        </w:rPr>
        <w:t xml:space="preserve"> financ</w:t>
      </w:r>
      <w:r w:rsidR="002F6714" w:rsidRPr="002F67B9">
        <w:rPr>
          <w:rFonts w:ascii="Arial" w:hAnsi="Arial" w:cs="Arial"/>
          <w:sz w:val="24"/>
          <w:szCs w:val="24"/>
          <w:lang w:val="en-ZA"/>
        </w:rPr>
        <w:t xml:space="preserve">ial statements for the year ending 2018, </w:t>
      </w:r>
      <w:proofErr w:type="spellStart"/>
      <w:r w:rsidR="002F6714" w:rsidRPr="002F67B9">
        <w:rPr>
          <w:rFonts w:ascii="Arial" w:hAnsi="Arial" w:cs="Arial"/>
          <w:sz w:val="24"/>
          <w:szCs w:val="24"/>
          <w:lang w:val="en-ZA"/>
        </w:rPr>
        <w:t>Kalro</w:t>
      </w:r>
      <w:proofErr w:type="spellEnd"/>
      <w:r w:rsidR="002F6714" w:rsidRPr="002F67B9">
        <w:rPr>
          <w:rFonts w:ascii="Arial" w:hAnsi="Arial" w:cs="Arial"/>
          <w:sz w:val="24"/>
          <w:szCs w:val="24"/>
          <w:lang w:val="en-ZA"/>
        </w:rPr>
        <w:t xml:space="preserve"> was indebted to </w:t>
      </w:r>
      <w:proofErr w:type="spellStart"/>
      <w:r w:rsidR="002F6714" w:rsidRPr="002F67B9">
        <w:rPr>
          <w:rFonts w:ascii="Arial" w:hAnsi="Arial" w:cs="Arial"/>
          <w:sz w:val="24"/>
          <w:szCs w:val="24"/>
          <w:lang w:val="en-ZA"/>
        </w:rPr>
        <w:t>Trackstar</w:t>
      </w:r>
      <w:proofErr w:type="spellEnd"/>
      <w:r w:rsidR="002F6714" w:rsidRPr="002F67B9">
        <w:rPr>
          <w:rFonts w:ascii="Arial" w:hAnsi="Arial" w:cs="Arial"/>
          <w:sz w:val="24"/>
          <w:szCs w:val="24"/>
          <w:lang w:val="en-ZA"/>
        </w:rPr>
        <w:t xml:space="preserve"> in the amount of R1 435 117.00.</w:t>
      </w:r>
      <w:r w:rsidR="00843F11" w:rsidRPr="002F67B9">
        <w:rPr>
          <w:rFonts w:ascii="Arial" w:hAnsi="Arial" w:cs="Arial"/>
          <w:sz w:val="24"/>
          <w:szCs w:val="24"/>
          <w:lang w:val="en-ZA"/>
        </w:rPr>
        <w:t xml:space="preserve"> Mr Du</w:t>
      </w:r>
      <w:r w:rsidR="00A726CB" w:rsidRPr="002F67B9">
        <w:rPr>
          <w:rFonts w:ascii="Arial" w:hAnsi="Arial" w:cs="Arial"/>
          <w:sz w:val="24"/>
          <w:szCs w:val="24"/>
          <w:lang w:val="en-ZA"/>
        </w:rPr>
        <w:t xml:space="preserve"> </w:t>
      </w:r>
      <w:r w:rsidR="00843F11" w:rsidRPr="002F67B9">
        <w:rPr>
          <w:rFonts w:ascii="Arial" w:hAnsi="Arial" w:cs="Arial"/>
          <w:sz w:val="24"/>
          <w:szCs w:val="24"/>
          <w:lang w:val="en-ZA"/>
        </w:rPr>
        <w:t xml:space="preserve">Preez filed an affidavit wherein he confirmed </w:t>
      </w:r>
      <w:proofErr w:type="spellStart"/>
      <w:r w:rsidR="00843F11" w:rsidRPr="002F67B9">
        <w:rPr>
          <w:rFonts w:ascii="Arial" w:hAnsi="Arial" w:cs="Arial"/>
          <w:sz w:val="24"/>
          <w:szCs w:val="24"/>
          <w:lang w:val="en-ZA"/>
        </w:rPr>
        <w:t>Kalro’s</w:t>
      </w:r>
      <w:proofErr w:type="spellEnd"/>
      <w:r w:rsidR="00843F11" w:rsidRPr="002F67B9">
        <w:rPr>
          <w:rFonts w:ascii="Arial" w:hAnsi="Arial" w:cs="Arial"/>
          <w:sz w:val="24"/>
          <w:szCs w:val="24"/>
          <w:lang w:val="en-ZA"/>
        </w:rPr>
        <w:t xml:space="preserve"> indebtedness to </w:t>
      </w:r>
      <w:proofErr w:type="spellStart"/>
      <w:r w:rsidR="00843F11" w:rsidRPr="002F67B9">
        <w:rPr>
          <w:rFonts w:ascii="Arial" w:hAnsi="Arial" w:cs="Arial"/>
          <w:sz w:val="24"/>
          <w:szCs w:val="24"/>
          <w:lang w:val="en-ZA"/>
        </w:rPr>
        <w:t>Trackstar</w:t>
      </w:r>
      <w:proofErr w:type="spellEnd"/>
      <w:r w:rsidR="00843F11" w:rsidRPr="002F67B9">
        <w:rPr>
          <w:rFonts w:ascii="Arial" w:hAnsi="Arial" w:cs="Arial"/>
          <w:sz w:val="24"/>
          <w:szCs w:val="24"/>
          <w:lang w:val="en-ZA"/>
        </w:rPr>
        <w:t>.</w:t>
      </w:r>
    </w:p>
    <w:p w:rsidR="00546A1F" w:rsidRPr="002F67B9" w:rsidRDefault="00546A1F" w:rsidP="00520B5A">
      <w:pPr>
        <w:spacing w:after="0" w:line="360" w:lineRule="auto"/>
        <w:ind w:left="567" w:hanging="567"/>
        <w:jc w:val="both"/>
        <w:rPr>
          <w:rFonts w:ascii="Arial" w:hAnsi="Arial" w:cs="Arial"/>
          <w:sz w:val="24"/>
          <w:szCs w:val="24"/>
          <w:lang w:val="en-ZA"/>
        </w:rPr>
      </w:pPr>
    </w:p>
    <w:p w:rsidR="00843F11" w:rsidRPr="002F67B9"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[4]</w:t>
      </w:r>
      <w:r w:rsidRPr="002F67B9">
        <w:rPr>
          <w:rFonts w:ascii="Arial" w:hAnsi="Arial" w:cs="Arial"/>
          <w:sz w:val="24"/>
          <w:szCs w:val="24"/>
          <w:lang w:val="en-ZA"/>
        </w:rPr>
        <w:tab/>
      </w:r>
      <w:r w:rsidR="00843F11" w:rsidRPr="002F67B9">
        <w:rPr>
          <w:rFonts w:ascii="Arial" w:hAnsi="Arial" w:cs="Arial"/>
          <w:sz w:val="24"/>
          <w:szCs w:val="24"/>
          <w:lang w:val="en-ZA"/>
        </w:rPr>
        <w:t xml:space="preserve">The Smits vehemently disputed </w:t>
      </w:r>
      <w:proofErr w:type="spellStart"/>
      <w:r w:rsidR="00843F11" w:rsidRPr="002F67B9">
        <w:rPr>
          <w:rFonts w:ascii="Arial" w:hAnsi="Arial" w:cs="Arial"/>
          <w:sz w:val="24"/>
          <w:szCs w:val="24"/>
          <w:lang w:val="en-ZA"/>
        </w:rPr>
        <w:t>Kalro’s</w:t>
      </w:r>
      <w:proofErr w:type="spellEnd"/>
      <w:r w:rsidR="00843F11" w:rsidRPr="002F67B9">
        <w:rPr>
          <w:rFonts w:ascii="Arial" w:hAnsi="Arial" w:cs="Arial"/>
          <w:sz w:val="24"/>
          <w:szCs w:val="24"/>
          <w:lang w:val="en-ZA"/>
        </w:rPr>
        <w:t xml:space="preserve"> indebtedness to </w:t>
      </w:r>
      <w:proofErr w:type="spellStart"/>
      <w:r w:rsidR="00843F11" w:rsidRPr="002F67B9">
        <w:rPr>
          <w:rFonts w:ascii="Arial" w:hAnsi="Arial" w:cs="Arial"/>
          <w:sz w:val="24"/>
          <w:szCs w:val="24"/>
          <w:lang w:val="en-ZA"/>
        </w:rPr>
        <w:t>Trackstar</w:t>
      </w:r>
      <w:proofErr w:type="spellEnd"/>
      <w:r w:rsidR="00843F11" w:rsidRPr="002F67B9">
        <w:rPr>
          <w:rFonts w:ascii="Arial" w:hAnsi="Arial" w:cs="Arial"/>
          <w:sz w:val="24"/>
          <w:szCs w:val="24"/>
          <w:lang w:val="en-ZA"/>
        </w:rPr>
        <w:t xml:space="preserve">. They contended that the entire claim is based on false information obtained from Mr Du Preez. They submitted that the information on which the claim is based is vague and unsubstantiated because Mr Du Preez is under investigation for fraud committed in his capacity as director of </w:t>
      </w:r>
      <w:proofErr w:type="spellStart"/>
      <w:r w:rsidR="00843F11" w:rsidRPr="002F67B9">
        <w:rPr>
          <w:rFonts w:ascii="Arial" w:hAnsi="Arial" w:cs="Arial"/>
          <w:sz w:val="24"/>
          <w:szCs w:val="24"/>
          <w:lang w:val="en-ZA"/>
        </w:rPr>
        <w:t>Trackstar</w:t>
      </w:r>
      <w:proofErr w:type="spellEnd"/>
      <w:r w:rsidR="00843F11" w:rsidRPr="002F67B9">
        <w:rPr>
          <w:rFonts w:ascii="Arial" w:hAnsi="Arial" w:cs="Arial"/>
          <w:sz w:val="24"/>
          <w:szCs w:val="24"/>
          <w:lang w:val="en-ZA"/>
        </w:rPr>
        <w:t xml:space="preserve"> and </w:t>
      </w:r>
      <w:proofErr w:type="spellStart"/>
      <w:r w:rsidR="00843F11" w:rsidRPr="002F67B9">
        <w:rPr>
          <w:rFonts w:ascii="Arial" w:hAnsi="Arial" w:cs="Arial"/>
          <w:sz w:val="24"/>
          <w:szCs w:val="24"/>
          <w:lang w:val="en-ZA"/>
        </w:rPr>
        <w:t>Kalro</w:t>
      </w:r>
      <w:proofErr w:type="spellEnd"/>
      <w:r w:rsidR="00843F11" w:rsidRPr="002F67B9">
        <w:rPr>
          <w:rFonts w:ascii="Arial" w:hAnsi="Arial" w:cs="Arial"/>
          <w:sz w:val="24"/>
          <w:szCs w:val="24"/>
          <w:lang w:val="en-ZA"/>
        </w:rPr>
        <w:t>. They disputed the alleged partnership agreement between the two companies</w:t>
      </w:r>
      <w:r w:rsidR="00DF27F3" w:rsidRPr="002F67B9">
        <w:rPr>
          <w:rFonts w:ascii="Arial" w:hAnsi="Arial" w:cs="Arial"/>
          <w:sz w:val="24"/>
          <w:szCs w:val="24"/>
          <w:lang w:val="en-ZA"/>
        </w:rPr>
        <w:t xml:space="preserve">. They specifically pointed out that Mr Du Preez moved </w:t>
      </w:r>
      <w:proofErr w:type="spellStart"/>
      <w:r w:rsidR="00DF27F3" w:rsidRPr="002F67B9">
        <w:rPr>
          <w:rFonts w:ascii="Arial" w:hAnsi="Arial" w:cs="Arial"/>
          <w:sz w:val="24"/>
          <w:szCs w:val="24"/>
          <w:lang w:val="en-ZA"/>
        </w:rPr>
        <w:t>Kalro’s</w:t>
      </w:r>
      <w:proofErr w:type="spellEnd"/>
      <w:r w:rsidR="00DF27F3" w:rsidRPr="002F67B9">
        <w:rPr>
          <w:rFonts w:ascii="Arial" w:hAnsi="Arial" w:cs="Arial"/>
          <w:sz w:val="24"/>
          <w:szCs w:val="24"/>
          <w:lang w:val="en-ZA"/>
        </w:rPr>
        <w:t xml:space="preserve"> bank account from Nedbank to Standard Bank ostensibly because Nedbank adopted an unfriendly approach towards agriculture or farmers. They state that Standard Bank denied them access to </w:t>
      </w:r>
      <w:proofErr w:type="spellStart"/>
      <w:r w:rsidR="00DF27F3" w:rsidRPr="002F67B9">
        <w:rPr>
          <w:rFonts w:ascii="Arial" w:hAnsi="Arial" w:cs="Arial"/>
          <w:sz w:val="24"/>
          <w:szCs w:val="24"/>
          <w:lang w:val="en-ZA"/>
        </w:rPr>
        <w:t>Kalro’s</w:t>
      </w:r>
      <w:proofErr w:type="spellEnd"/>
      <w:r w:rsidR="00DF27F3" w:rsidRPr="002F67B9">
        <w:rPr>
          <w:rFonts w:ascii="Arial" w:hAnsi="Arial" w:cs="Arial"/>
          <w:sz w:val="24"/>
          <w:szCs w:val="24"/>
          <w:lang w:val="en-ZA"/>
        </w:rPr>
        <w:t xml:space="preserve"> bank account. They had no dealings with Mr Du Preez in connection with </w:t>
      </w:r>
      <w:proofErr w:type="spellStart"/>
      <w:r w:rsidR="00DF27F3" w:rsidRPr="002F67B9">
        <w:rPr>
          <w:rFonts w:ascii="Arial" w:hAnsi="Arial" w:cs="Arial"/>
          <w:sz w:val="24"/>
          <w:szCs w:val="24"/>
          <w:lang w:val="en-ZA"/>
        </w:rPr>
        <w:t>Strydfontein</w:t>
      </w:r>
      <w:proofErr w:type="spellEnd"/>
      <w:r w:rsidR="00DF27F3" w:rsidRPr="002F67B9">
        <w:rPr>
          <w:rFonts w:ascii="Arial" w:hAnsi="Arial" w:cs="Arial"/>
          <w:sz w:val="24"/>
          <w:szCs w:val="24"/>
          <w:lang w:val="en-ZA"/>
        </w:rPr>
        <w:t xml:space="preserve"> for one year prior to the provisional liquidation application being launched. They were not aware that </w:t>
      </w:r>
      <w:proofErr w:type="spellStart"/>
      <w:r w:rsidR="00DF27F3" w:rsidRPr="002F67B9">
        <w:rPr>
          <w:rFonts w:ascii="Arial" w:hAnsi="Arial" w:cs="Arial"/>
          <w:sz w:val="24"/>
          <w:szCs w:val="24"/>
          <w:lang w:val="en-ZA"/>
        </w:rPr>
        <w:t>Kalro</w:t>
      </w:r>
      <w:proofErr w:type="spellEnd"/>
      <w:r w:rsidR="00DF27F3" w:rsidRPr="002F67B9">
        <w:rPr>
          <w:rFonts w:ascii="Arial" w:hAnsi="Arial" w:cs="Arial"/>
          <w:sz w:val="24"/>
          <w:szCs w:val="24"/>
          <w:lang w:val="en-ZA"/>
        </w:rPr>
        <w:t xml:space="preserve"> was in the process of being deregistered by the </w:t>
      </w:r>
      <w:r w:rsidR="00951136" w:rsidRPr="002F67B9">
        <w:rPr>
          <w:rFonts w:ascii="Arial" w:hAnsi="Arial" w:cs="Arial"/>
          <w:sz w:val="24"/>
          <w:szCs w:val="24"/>
          <w:lang w:val="en-ZA"/>
        </w:rPr>
        <w:t xml:space="preserve">Companies and Intellectual Property Commission </w:t>
      </w:r>
      <w:r w:rsidR="00936BFC">
        <w:rPr>
          <w:rFonts w:ascii="Arial" w:hAnsi="Arial" w:cs="Arial"/>
          <w:sz w:val="24"/>
          <w:szCs w:val="24"/>
          <w:lang w:val="en-ZA"/>
        </w:rPr>
        <w:t xml:space="preserve">(CIPC) </w:t>
      </w:r>
      <w:r w:rsidR="00951136" w:rsidRPr="002F67B9">
        <w:rPr>
          <w:rFonts w:ascii="Arial" w:hAnsi="Arial" w:cs="Arial"/>
          <w:sz w:val="24"/>
          <w:szCs w:val="24"/>
          <w:lang w:val="en-ZA"/>
        </w:rPr>
        <w:t>since 2016.</w:t>
      </w:r>
    </w:p>
    <w:p w:rsidR="00546A1F" w:rsidRPr="002F67B9" w:rsidRDefault="00546A1F" w:rsidP="00520B5A">
      <w:pPr>
        <w:spacing w:after="0" w:line="360" w:lineRule="auto"/>
        <w:ind w:left="567" w:hanging="567"/>
        <w:jc w:val="both"/>
        <w:rPr>
          <w:rFonts w:ascii="Arial" w:hAnsi="Arial" w:cs="Arial"/>
          <w:sz w:val="24"/>
          <w:szCs w:val="24"/>
          <w:lang w:val="en-ZA"/>
        </w:rPr>
      </w:pPr>
    </w:p>
    <w:p w:rsidR="00F173C1" w:rsidRPr="002F67B9"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[5]</w:t>
      </w:r>
      <w:r w:rsidRPr="002F67B9">
        <w:rPr>
          <w:rFonts w:ascii="Arial" w:hAnsi="Arial" w:cs="Arial"/>
          <w:sz w:val="24"/>
          <w:szCs w:val="24"/>
          <w:lang w:val="en-ZA"/>
        </w:rPr>
        <w:tab/>
      </w:r>
      <w:r w:rsidR="00F173C1" w:rsidRPr="002F67B9">
        <w:rPr>
          <w:rFonts w:ascii="Arial" w:hAnsi="Arial" w:cs="Arial"/>
          <w:sz w:val="24"/>
          <w:szCs w:val="24"/>
          <w:lang w:val="en-ZA"/>
        </w:rPr>
        <w:t xml:space="preserve">The Business Rescue Practitioner who was appointed to endeavour to get </w:t>
      </w:r>
      <w:proofErr w:type="spellStart"/>
      <w:r w:rsidR="00F173C1" w:rsidRPr="002F67B9">
        <w:rPr>
          <w:rFonts w:ascii="Arial" w:hAnsi="Arial" w:cs="Arial"/>
          <w:sz w:val="24"/>
          <w:szCs w:val="24"/>
          <w:lang w:val="en-ZA"/>
        </w:rPr>
        <w:t>Trackstar</w:t>
      </w:r>
      <w:proofErr w:type="spellEnd"/>
      <w:r w:rsidR="00F173C1" w:rsidRPr="002F67B9">
        <w:rPr>
          <w:rFonts w:ascii="Arial" w:hAnsi="Arial" w:cs="Arial"/>
          <w:sz w:val="24"/>
          <w:szCs w:val="24"/>
          <w:lang w:val="en-ZA"/>
        </w:rPr>
        <w:t xml:space="preserve"> back to solvency had indicated that </w:t>
      </w:r>
      <w:proofErr w:type="spellStart"/>
      <w:r w:rsidR="00F173C1" w:rsidRPr="002F67B9">
        <w:rPr>
          <w:rFonts w:ascii="Arial" w:hAnsi="Arial" w:cs="Arial"/>
          <w:sz w:val="24"/>
          <w:szCs w:val="24"/>
          <w:lang w:val="en-ZA"/>
        </w:rPr>
        <w:t>Kalro</w:t>
      </w:r>
      <w:proofErr w:type="spellEnd"/>
      <w:r w:rsidR="00F173C1" w:rsidRPr="002F67B9">
        <w:rPr>
          <w:rFonts w:ascii="Arial" w:hAnsi="Arial" w:cs="Arial"/>
          <w:sz w:val="24"/>
          <w:szCs w:val="24"/>
          <w:lang w:val="en-ZA"/>
        </w:rPr>
        <w:t xml:space="preserve"> owed </w:t>
      </w:r>
      <w:proofErr w:type="spellStart"/>
      <w:r w:rsidR="00F173C1" w:rsidRPr="002F67B9">
        <w:rPr>
          <w:rFonts w:ascii="Arial" w:hAnsi="Arial" w:cs="Arial"/>
          <w:sz w:val="24"/>
          <w:szCs w:val="24"/>
          <w:lang w:val="en-ZA"/>
        </w:rPr>
        <w:t>Trackstar</w:t>
      </w:r>
      <w:proofErr w:type="spellEnd"/>
      <w:r w:rsidR="00F173C1" w:rsidRPr="002F67B9">
        <w:rPr>
          <w:rFonts w:ascii="Arial" w:hAnsi="Arial" w:cs="Arial"/>
          <w:sz w:val="24"/>
          <w:szCs w:val="24"/>
          <w:lang w:val="en-ZA"/>
        </w:rPr>
        <w:t xml:space="preserve"> approximately R5.2m which was later reduced to </w:t>
      </w:r>
      <w:r w:rsidR="00076F32" w:rsidRPr="002F67B9">
        <w:rPr>
          <w:rFonts w:ascii="Arial" w:hAnsi="Arial" w:cs="Arial"/>
          <w:sz w:val="24"/>
          <w:szCs w:val="24"/>
          <w:lang w:val="en-ZA"/>
        </w:rPr>
        <w:t xml:space="preserve">approximately </w:t>
      </w:r>
      <w:r w:rsidR="00F173C1" w:rsidRPr="002F67B9">
        <w:rPr>
          <w:rFonts w:ascii="Arial" w:hAnsi="Arial" w:cs="Arial"/>
          <w:sz w:val="24"/>
          <w:szCs w:val="24"/>
          <w:lang w:val="en-ZA"/>
        </w:rPr>
        <w:t>R3.3m</w:t>
      </w:r>
      <w:r w:rsidR="00076F32" w:rsidRPr="002F67B9">
        <w:rPr>
          <w:rFonts w:ascii="Arial" w:hAnsi="Arial" w:cs="Arial"/>
          <w:sz w:val="24"/>
          <w:szCs w:val="24"/>
          <w:lang w:val="en-ZA"/>
        </w:rPr>
        <w:t>. He reduced</w:t>
      </w:r>
      <w:r w:rsidR="00936BFC">
        <w:rPr>
          <w:rFonts w:ascii="Arial" w:hAnsi="Arial" w:cs="Arial"/>
          <w:sz w:val="24"/>
          <w:szCs w:val="24"/>
          <w:lang w:val="en-ZA"/>
        </w:rPr>
        <w:t xml:space="preserve"> the amount to approximately 3.3</w:t>
      </w:r>
      <w:r w:rsidR="00076F32" w:rsidRPr="002F67B9">
        <w:rPr>
          <w:rFonts w:ascii="Arial" w:hAnsi="Arial" w:cs="Arial"/>
          <w:sz w:val="24"/>
          <w:szCs w:val="24"/>
          <w:lang w:val="en-ZA"/>
        </w:rPr>
        <w:t>m, being the</w:t>
      </w:r>
      <w:r w:rsidR="007F3869" w:rsidRPr="002F67B9">
        <w:rPr>
          <w:rFonts w:ascii="Arial" w:hAnsi="Arial" w:cs="Arial"/>
          <w:sz w:val="24"/>
          <w:szCs w:val="24"/>
          <w:lang w:val="en-ZA"/>
        </w:rPr>
        <w:t xml:space="preserve"> </w:t>
      </w:r>
      <w:r w:rsidR="00936BFC">
        <w:rPr>
          <w:rFonts w:ascii="Arial" w:hAnsi="Arial" w:cs="Arial"/>
          <w:sz w:val="24"/>
          <w:szCs w:val="24"/>
          <w:lang w:val="en-ZA"/>
        </w:rPr>
        <w:t xml:space="preserve">estimated </w:t>
      </w:r>
      <w:r w:rsidR="007F3869" w:rsidRPr="002F67B9">
        <w:rPr>
          <w:rFonts w:ascii="Arial" w:hAnsi="Arial" w:cs="Arial"/>
          <w:sz w:val="24"/>
          <w:szCs w:val="24"/>
          <w:lang w:val="en-ZA"/>
        </w:rPr>
        <w:t xml:space="preserve">value of </w:t>
      </w:r>
      <w:proofErr w:type="spellStart"/>
      <w:r w:rsidR="007F3869" w:rsidRPr="002F67B9">
        <w:rPr>
          <w:rFonts w:ascii="Arial" w:hAnsi="Arial" w:cs="Arial"/>
          <w:sz w:val="24"/>
          <w:szCs w:val="24"/>
          <w:lang w:val="en-ZA"/>
        </w:rPr>
        <w:t>Kalro’s</w:t>
      </w:r>
      <w:proofErr w:type="spellEnd"/>
      <w:r w:rsidR="007F3869" w:rsidRPr="002F67B9">
        <w:rPr>
          <w:rFonts w:ascii="Arial" w:hAnsi="Arial" w:cs="Arial"/>
          <w:sz w:val="24"/>
          <w:szCs w:val="24"/>
          <w:lang w:val="en-ZA"/>
        </w:rPr>
        <w:t xml:space="preserve"> crops that were</w:t>
      </w:r>
      <w:r w:rsidR="00076F32" w:rsidRPr="002F67B9">
        <w:rPr>
          <w:rFonts w:ascii="Arial" w:hAnsi="Arial" w:cs="Arial"/>
          <w:sz w:val="24"/>
          <w:szCs w:val="24"/>
          <w:lang w:val="en-ZA"/>
        </w:rPr>
        <w:t xml:space="preserve"> recoverable.</w:t>
      </w:r>
    </w:p>
    <w:p w:rsidR="00546A1F" w:rsidRPr="002F67B9" w:rsidRDefault="00546A1F" w:rsidP="00520B5A">
      <w:pPr>
        <w:spacing w:after="0" w:line="360" w:lineRule="auto"/>
        <w:ind w:left="567" w:hanging="567"/>
        <w:jc w:val="both"/>
        <w:rPr>
          <w:rFonts w:ascii="Arial" w:hAnsi="Arial" w:cs="Arial"/>
          <w:sz w:val="24"/>
          <w:szCs w:val="24"/>
          <w:lang w:val="en-ZA"/>
        </w:rPr>
      </w:pPr>
    </w:p>
    <w:p w:rsidR="00115EFE" w:rsidRPr="002F67B9"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[6]</w:t>
      </w:r>
      <w:r w:rsidRPr="002F67B9">
        <w:rPr>
          <w:rFonts w:ascii="Arial" w:hAnsi="Arial" w:cs="Arial"/>
          <w:sz w:val="24"/>
          <w:szCs w:val="24"/>
          <w:lang w:val="en-ZA"/>
        </w:rPr>
        <w:tab/>
      </w:r>
      <w:r w:rsidR="00115EFE" w:rsidRPr="002F67B9">
        <w:rPr>
          <w:rFonts w:ascii="Arial" w:hAnsi="Arial" w:cs="Arial"/>
          <w:sz w:val="24"/>
          <w:szCs w:val="24"/>
          <w:lang w:val="en-ZA"/>
        </w:rPr>
        <w:t xml:space="preserve">On 10 December 2019 </w:t>
      </w:r>
      <w:proofErr w:type="spellStart"/>
      <w:r w:rsidR="00115EFE" w:rsidRPr="002F67B9">
        <w:rPr>
          <w:rFonts w:ascii="Arial" w:hAnsi="Arial" w:cs="Arial"/>
          <w:sz w:val="24"/>
          <w:szCs w:val="24"/>
          <w:lang w:val="en-ZA"/>
        </w:rPr>
        <w:t>Kalro</w:t>
      </w:r>
      <w:proofErr w:type="spellEnd"/>
      <w:r w:rsidR="00115EFE" w:rsidRPr="002F67B9">
        <w:rPr>
          <w:rFonts w:ascii="Arial" w:hAnsi="Arial" w:cs="Arial"/>
          <w:sz w:val="24"/>
          <w:szCs w:val="24"/>
          <w:lang w:val="en-ZA"/>
        </w:rPr>
        <w:t>, represented by Mr Smit and SSS Farming (Pty)</w:t>
      </w:r>
      <w:r w:rsidR="0067171F" w:rsidRPr="002F67B9">
        <w:rPr>
          <w:rFonts w:ascii="Arial" w:hAnsi="Arial" w:cs="Arial"/>
          <w:sz w:val="24"/>
          <w:szCs w:val="24"/>
          <w:lang w:val="en-ZA"/>
        </w:rPr>
        <w:t xml:space="preserve"> </w:t>
      </w:r>
      <w:r w:rsidR="00115EFE" w:rsidRPr="002F67B9">
        <w:rPr>
          <w:rFonts w:ascii="Arial" w:hAnsi="Arial" w:cs="Arial"/>
          <w:sz w:val="24"/>
          <w:szCs w:val="24"/>
          <w:lang w:val="en-ZA"/>
        </w:rPr>
        <w:t>Ltd</w:t>
      </w:r>
      <w:r w:rsidR="003648E5" w:rsidRPr="002F67B9">
        <w:rPr>
          <w:rFonts w:ascii="Arial" w:hAnsi="Arial" w:cs="Arial"/>
          <w:sz w:val="24"/>
          <w:szCs w:val="24"/>
          <w:lang w:val="en-ZA"/>
        </w:rPr>
        <w:t xml:space="preserve"> (SSS)</w:t>
      </w:r>
      <w:r w:rsidR="00115EFE" w:rsidRPr="002F67B9">
        <w:rPr>
          <w:rFonts w:ascii="Arial" w:hAnsi="Arial" w:cs="Arial"/>
          <w:sz w:val="24"/>
          <w:szCs w:val="24"/>
          <w:lang w:val="en-ZA"/>
        </w:rPr>
        <w:t>, represented by Mrs Smit entered into a lease agreement</w:t>
      </w:r>
      <w:r w:rsidR="0067171F" w:rsidRPr="002F67B9">
        <w:rPr>
          <w:rFonts w:ascii="Arial" w:hAnsi="Arial" w:cs="Arial"/>
          <w:sz w:val="24"/>
          <w:szCs w:val="24"/>
          <w:lang w:val="en-ZA"/>
        </w:rPr>
        <w:t>, for a period of nine months</w:t>
      </w:r>
      <w:r w:rsidR="00115EFE" w:rsidRPr="002F67B9">
        <w:rPr>
          <w:rFonts w:ascii="Arial" w:hAnsi="Arial" w:cs="Arial"/>
          <w:sz w:val="24"/>
          <w:szCs w:val="24"/>
          <w:lang w:val="en-ZA"/>
        </w:rPr>
        <w:t xml:space="preserve">. In terms of the agreement, </w:t>
      </w:r>
      <w:proofErr w:type="spellStart"/>
      <w:r w:rsidR="00115EFE" w:rsidRPr="002F67B9">
        <w:rPr>
          <w:rFonts w:ascii="Arial" w:hAnsi="Arial" w:cs="Arial"/>
          <w:sz w:val="24"/>
          <w:szCs w:val="24"/>
          <w:lang w:val="en-ZA"/>
        </w:rPr>
        <w:t>Kalro</w:t>
      </w:r>
      <w:proofErr w:type="spellEnd"/>
      <w:r w:rsidR="00115EFE" w:rsidRPr="002F67B9">
        <w:rPr>
          <w:rFonts w:ascii="Arial" w:hAnsi="Arial" w:cs="Arial"/>
          <w:sz w:val="24"/>
          <w:szCs w:val="24"/>
          <w:lang w:val="en-ZA"/>
        </w:rPr>
        <w:t xml:space="preserve"> leased, amongst others, </w:t>
      </w:r>
      <w:proofErr w:type="spellStart"/>
      <w:r w:rsidR="00115EFE" w:rsidRPr="002F67B9">
        <w:rPr>
          <w:rFonts w:ascii="Arial" w:hAnsi="Arial" w:cs="Arial"/>
          <w:sz w:val="24"/>
          <w:szCs w:val="24"/>
          <w:lang w:val="en-ZA"/>
        </w:rPr>
        <w:t>Weltevrede</w:t>
      </w:r>
      <w:proofErr w:type="spellEnd"/>
      <w:r w:rsidR="00115EFE" w:rsidRPr="002F67B9">
        <w:rPr>
          <w:rFonts w:ascii="Arial" w:hAnsi="Arial" w:cs="Arial"/>
          <w:sz w:val="24"/>
          <w:szCs w:val="24"/>
          <w:lang w:val="en-ZA"/>
        </w:rPr>
        <w:t xml:space="preserve"> farm. The rental was payable on 31 August 2020 in the bank account of the lessor</w:t>
      </w:r>
      <w:r w:rsidR="0067171F" w:rsidRPr="002F67B9">
        <w:rPr>
          <w:rFonts w:ascii="Arial" w:hAnsi="Arial" w:cs="Arial"/>
          <w:sz w:val="24"/>
          <w:szCs w:val="24"/>
          <w:lang w:val="en-ZA"/>
        </w:rPr>
        <w:t xml:space="preserve">, as directed by it in writing.  </w:t>
      </w:r>
      <w:r w:rsidR="00115EFE" w:rsidRPr="002F67B9">
        <w:rPr>
          <w:rFonts w:ascii="Arial" w:hAnsi="Arial" w:cs="Arial"/>
          <w:sz w:val="24"/>
          <w:szCs w:val="24"/>
          <w:lang w:val="en-ZA"/>
        </w:rPr>
        <w:t xml:space="preserve"> </w:t>
      </w:r>
    </w:p>
    <w:p w:rsidR="00546A1F" w:rsidRPr="002F67B9" w:rsidRDefault="00546A1F" w:rsidP="00520B5A">
      <w:pPr>
        <w:spacing w:after="0" w:line="360" w:lineRule="auto"/>
        <w:ind w:left="567" w:hanging="567"/>
        <w:jc w:val="both"/>
        <w:rPr>
          <w:rFonts w:ascii="Arial" w:hAnsi="Arial" w:cs="Arial"/>
          <w:sz w:val="24"/>
          <w:szCs w:val="24"/>
          <w:lang w:val="en-ZA"/>
        </w:rPr>
      </w:pPr>
    </w:p>
    <w:p w:rsidR="00951136" w:rsidRPr="002F67B9"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[7]</w:t>
      </w:r>
      <w:r w:rsidRPr="002F67B9">
        <w:rPr>
          <w:rFonts w:ascii="Arial" w:hAnsi="Arial" w:cs="Arial"/>
          <w:sz w:val="24"/>
          <w:szCs w:val="24"/>
          <w:lang w:val="en-ZA"/>
        </w:rPr>
        <w:tab/>
      </w:r>
      <w:r w:rsidR="00F173C1" w:rsidRPr="002F67B9">
        <w:rPr>
          <w:rFonts w:ascii="Arial" w:hAnsi="Arial" w:cs="Arial"/>
          <w:sz w:val="24"/>
          <w:szCs w:val="24"/>
          <w:lang w:val="en-ZA"/>
        </w:rPr>
        <w:t xml:space="preserve">The court </w:t>
      </w:r>
      <w:r w:rsidR="00F173C1" w:rsidRPr="00EE4AC4">
        <w:rPr>
          <w:rFonts w:ascii="Arial" w:hAnsi="Arial" w:cs="Arial"/>
          <w:i/>
          <w:sz w:val="24"/>
          <w:szCs w:val="24"/>
          <w:lang w:val="en-ZA"/>
        </w:rPr>
        <w:t>a quo</w:t>
      </w:r>
      <w:r w:rsidR="00F173C1" w:rsidRPr="002F67B9">
        <w:rPr>
          <w:rFonts w:ascii="Arial" w:hAnsi="Arial" w:cs="Arial"/>
          <w:sz w:val="24"/>
          <w:szCs w:val="24"/>
          <w:lang w:val="en-ZA"/>
        </w:rPr>
        <w:t xml:space="preserve"> exercised its discretion against the appellants</w:t>
      </w:r>
      <w:r w:rsidR="00076F32" w:rsidRPr="002F67B9">
        <w:rPr>
          <w:rFonts w:ascii="Arial" w:hAnsi="Arial" w:cs="Arial"/>
          <w:sz w:val="24"/>
          <w:szCs w:val="24"/>
          <w:lang w:val="en-ZA"/>
        </w:rPr>
        <w:t xml:space="preserve">. In </w:t>
      </w:r>
      <w:r w:rsidR="00936BFC">
        <w:rPr>
          <w:rFonts w:ascii="Arial" w:hAnsi="Arial" w:cs="Arial"/>
          <w:sz w:val="24"/>
          <w:szCs w:val="24"/>
          <w:lang w:val="en-ZA"/>
        </w:rPr>
        <w:t xml:space="preserve">the first place, it found that </w:t>
      </w:r>
      <w:r w:rsidR="00076F32" w:rsidRPr="002F67B9">
        <w:rPr>
          <w:rFonts w:ascii="Arial" w:hAnsi="Arial" w:cs="Arial"/>
          <w:sz w:val="24"/>
          <w:szCs w:val="24"/>
          <w:lang w:val="en-ZA"/>
        </w:rPr>
        <w:t>although liquidation may well be a means of ensuring the payment of a deb</w:t>
      </w:r>
      <w:r w:rsidR="00936BFC">
        <w:rPr>
          <w:rFonts w:ascii="Arial" w:hAnsi="Arial" w:cs="Arial"/>
          <w:sz w:val="24"/>
          <w:szCs w:val="24"/>
          <w:lang w:val="en-ZA"/>
        </w:rPr>
        <w:t>t, it should be the last resort</w:t>
      </w:r>
      <w:r w:rsidR="00076F32" w:rsidRPr="002F67B9">
        <w:rPr>
          <w:rFonts w:ascii="Arial" w:hAnsi="Arial" w:cs="Arial"/>
          <w:sz w:val="24"/>
          <w:szCs w:val="24"/>
          <w:lang w:val="en-ZA"/>
        </w:rPr>
        <w:t xml:space="preserve">. Additionally, it found that it is unclear if the indebtedness is disputed but the amount of the debt and that it is due and payable, is. </w:t>
      </w:r>
      <w:r w:rsidR="006B2E5F" w:rsidRPr="002F67B9">
        <w:rPr>
          <w:rFonts w:ascii="Arial" w:hAnsi="Arial" w:cs="Arial"/>
          <w:sz w:val="24"/>
          <w:szCs w:val="24"/>
          <w:lang w:val="en-ZA"/>
        </w:rPr>
        <w:t>Furthermore, it found that the a</w:t>
      </w:r>
      <w:r w:rsidR="00BF2256" w:rsidRPr="002F67B9">
        <w:rPr>
          <w:rFonts w:ascii="Arial" w:hAnsi="Arial" w:cs="Arial"/>
          <w:sz w:val="24"/>
          <w:szCs w:val="24"/>
          <w:lang w:val="en-ZA"/>
        </w:rPr>
        <w:t xml:space="preserve">ppellants failed to prove that </w:t>
      </w:r>
      <w:proofErr w:type="spellStart"/>
      <w:r w:rsidR="006B2E5F" w:rsidRPr="002F67B9">
        <w:rPr>
          <w:rFonts w:ascii="Arial" w:hAnsi="Arial" w:cs="Arial"/>
          <w:sz w:val="24"/>
          <w:szCs w:val="24"/>
          <w:lang w:val="en-ZA"/>
        </w:rPr>
        <w:t>Kalro’s</w:t>
      </w:r>
      <w:proofErr w:type="spellEnd"/>
      <w:r w:rsidR="006B2E5F" w:rsidRPr="002F67B9">
        <w:rPr>
          <w:rFonts w:ascii="Arial" w:hAnsi="Arial" w:cs="Arial"/>
          <w:sz w:val="24"/>
          <w:szCs w:val="24"/>
          <w:lang w:val="en-ZA"/>
        </w:rPr>
        <w:t xml:space="preserve"> provisio</w:t>
      </w:r>
      <w:r w:rsidR="00936BFC">
        <w:rPr>
          <w:rFonts w:ascii="Arial" w:hAnsi="Arial" w:cs="Arial"/>
          <w:sz w:val="24"/>
          <w:szCs w:val="24"/>
          <w:lang w:val="en-ZA"/>
        </w:rPr>
        <w:t xml:space="preserve">nal liquidation would be to the </w:t>
      </w:r>
      <w:r w:rsidR="006B2E5F" w:rsidRPr="002F67B9">
        <w:rPr>
          <w:rFonts w:ascii="Arial" w:hAnsi="Arial" w:cs="Arial"/>
          <w:sz w:val="24"/>
          <w:szCs w:val="24"/>
          <w:lang w:val="en-ZA"/>
        </w:rPr>
        <w:t>advantage of creditors.</w:t>
      </w:r>
      <w:r w:rsidR="00BF2256" w:rsidRPr="002F67B9">
        <w:rPr>
          <w:rFonts w:ascii="Arial" w:hAnsi="Arial" w:cs="Arial"/>
          <w:sz w:val="24"/>
          <w:szCs w:val="24"/>
          <w:lang w:val="en-ZA"/>
        </w:rPr>
        <w:t xml:space="preserve"> Finally, it found </w:t>
      </w:r>
      <w:r w:rsidR="00936BFC">
        <w:rPr>
          <w:rFonts w:ascii="Arial" w:hAnsi="Arial" w:cs="Arial"/>
          <w:sz w:val="24"/>
          <w:szCs w:val="24"/>
          <w:lang w:val="en-ZA"/>
        </w:rPr>
        <w:lastRenderedPageBreak/>
        <w:t xml:space="preserve">that it is </w:t>
      </w:r>
      <w:r w:rsidR="00BF2256" w:rsidRPr="002F67B9">
        <w:rPr>
          <w:rFonts w:ascii="Arial" w:hAnsi="Arial" w:cs="Arial"/>
          <w:sz w:val="24"/>
          <w:szCs w:val="24"/>
          <w:lang w:val="en-ZA"/>
        </w:rPr>
        <w:t xml:space="preserve">good practice for courts to be hesitant to grant a liquidation order on </w:t>
      </w:r>
      <w:r w:rsidR="00936BFC">
        <w:rPr>
          <w:rFonts w:ascii="Arial" w:hAnsi="Arial" w:cs="Arial"/>
          <w:sz w:val="24"/>
          <w:szCs w:val="24"/>
          <w:lang w:val="en-ZA"/>
        </w:rPr>
        <w:t>the say-so of a single creditor</w:t>
      </w:r>
      <w:r w:rsidR="00BF2256" w:rsidRPr="002F67B9">
        <w:rPr>
          <w:rFonts w:ascii="Arial" w:hAnsi="Arial" w:cs="Arial"/>
          <w:sz w:val="24"/>
          <w:szCs w:val="24"/>
          <w:lang w:val="en-ZA"/>
        </w:rPr>
        <w:t>.</w:t>
      </w:r>
    </w:p>
    <w:p w:rsidR="00546A1F" w:rsidRPr="002F67B9" w:rsidRDefault="00546A1F" w:rsidP="00520B5A">
      <w:pPr>
        <w:spacing w:after="0" w:line="360" w:lineRule="auto"/>
        <w:ind w:left="567" w:hanging="567"/>
        <w:jc w:val="both"/>
        <w:rPr>
          <w:rFonts w:ascii="Arial" w:hAnsi="Arial" w:cs="Arial"/>
          <w:sz w:val="24"/>
          <w:szCs w:val="24"/>
          <w:lang w:val="en-ZA"/>
        </w:rPr>
      </w:pPr>
    </w:p>
    <w:p w:rsidR="0067171F" w:rsidRPr="002F67B9"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[8]</w:t>
      </w:r>
      <w:r w:rsidRPr="002F67B9">
        <w:rPr>
          <w:rFonts w:ascii="Arial" w:hAnsi="Arial" w:cs="Arial"/>
          <w:sz w:val="24"/>
          <w:szCs w:val="24"/>
          <w:lang w:val="en-ZA"/>
        </w:rPr>
        <w:tab/>
      </w:r>
      <w:r w:rsidR="0067171F" w:rsidRPr="002F67B9">
        <w:rPr>
          <w:rFonts w:ascii="Arial" w:hAnsi="Arial" w:cs="Arial"/>
          <w:sz w:val="24"/>
          <w:szCs w:val="24"/>
          <w:lang w:val="en-ZA"/>
        </w:rPr>
        <w:t>A respondent can avoid a winding-up order if it shows on a balan</w:t>
      </w:r>
      <w:r w:rsidR="006B2C09" w:rsidRPr="002F67B9">
        <w:rPr>
          <w:rFonts w:ascii="Arial" w:hAnsi="Arial" w:cs="Arial"/>
          <w:sz w:val="24"/>
          <w:szCs w:val="24"/>
          <w:lang w:val="en-ZA"/>
        </w:rPr>
        <w:t xml:space="preserve">ce of probabilities that </w:t>
      </w:r>
      <w:r w:rsidR="0067171F" w:rsidRPr="002F67B9">
        <w:rPr>
          <w:rFonts w:ascii="Arial" w:hAnsi="Arial" w:cs="Arial"/>
          <w:sz w:val="24"/>
          <w:szCs w:val="24"/>
          <w:lang w:val="en-ZA"/>
        </w:rPr>
        <w:t xml:space="preserve">its indebtedness to the applicant is disputed on </w:t>
      </w:r>
      <w:r w:rsidR="0067171F" w:rsidRPr="002F67B9">
        <w:rPr>
          <w:rFonts w:ascii="Arial" w:hAnsi="Arial" w:cs="Arial"/>
          <w:i/>
          <w:sz w:val="24"/>
          <w:szCs w:val="24"/>
          <w:lang w:val="en-ZA"/>
        </w:rPr>
        <w:t>bona fide</w:t>
      </w:r>
      <w:r w:rsidR="0067171F" w:rsidRPr="002F67B9">
        <w:rPr>
          <w:rFonts w:ascii="Arial" w:hAnsi="Arial" w:cs="Arial"/>
          <w:sz w:val="24"/>
          <w:szCs w:val="24"/>
          <w:lang w:val="en-ZA"/>
        </w:rPr>
        <w:t xml:space="preserve"> and reasonable grounds.</w:t>
      </w:r>
      <w:r w:rsidR="0067171F" w:rsidRPr="002F67B9">
        <w:rPr>
          <w:rStyle w:val="FootnoteReference"/>
          <w:rFonts w:ascii="Arial" w:hAnsi="Arial" w:cs="Arial"/>
          <w:sz w:val="24"/>
          <w:szCs w:val="24"/>
          <w:lang w:val="en-ZA"/>
        </w:rPr>
        <w:footnoteReference w:id="2"/>
      </w:r>
      <w:r w:rsidR="0067171F" w:rsidRPr="002F67B9">
        <w:rPr>
          <w:rFonts w:ascii="Arial" w:hAnsi="Arial" w:cs="Arial"/>
          <w:sz w:val="24"/>
          <w:szCs w:val="24"/>
          <w:lang w:val="en-ZA"/>
        </w:rPr>
        <w:t xml:space="preserve"> </w:t>
      </w:r>
      <w:r w:rsidR="006B2C09" w:rsidRPr="002F67B9">
        <w:rPr>
          <w:rFonts w:ascii="Arial" w:hAnsi="Arial" w:cs="Arial"/>
          <w:sz w:val="24"/>
          <w:szCs w:val="24"/>
          <w:lang w:val="en-ZA"/>
        </w:rPr>
        <w:t xml:space="preserve">A winding-up order will not be granted where the sole or predominant motive for seeking the order is something other than the </w:t>
      </w:r>
      <w:r w:rsidR="006B2C09" w:rsidRPr="002F67B9">
        <w:rPr>
          <w:rFonts w:ascii="Arial" w:hAnsi="Arial" w:cs="Arial"/>
          <w:i/>
          <w:sz w:val="24"/>
          <w:szCs w:val="24"/>
          <w:lang w:val="en-ZA"/>
        </w:rPr>
        <w:t>bona fide</w:t>
      </w:r>
      <w:r w:rsidR="006B2C09" w:rsidRPr="002F67B9">
        <w:rPr>
          <w:rFonts w:ascii="Arial" w:hAnsi="Arial" w:cs="Arial"/>
          <w:sz w:val="24"/>
          <w:szCs w:val="24"/>
          <w:lang w:val="en-ZA"/>
        </w:rPr>
        <w:t xml:space="preserve"> bringing about the liquidation of the company.</w:t>
      </w:r>
      <w:r w:rsidR="006B2C09" w:rsidRPr="002F67B9">
        <w:rPr>
          <w:rStyle w:val="FootnoteReference"/>
          <w:rFonts w:ascii="Arial" w:hAnsi="Arial" w:cs="Arial"/>
          <w:sz w:val="24"/>
          <w:szCs w:val="24"/>
          <w:lang w:val="en-ZA"/>
        </w:rPr>
        <w:footnoteReference w:id="3"/>
      </w:r>
      <w:r w:rsidR="009F0659">
        <w:rPr>
          <w:rFonts w:ascii="Arial" w:hAnsi="Arial" w:cs="Arial"/>
          <w:sz w:val="24"/>
          <w:szCs w:val="24"/>
          <w:lang w:val="en-ZA"/>
        </w:rPr>
        <w:t xml:space="preserve"> </w:t>
      </w:r>
      <w:r w:rsidR="009C0BA4" w:rsidRPr="002F67B9">
        <w:rPr>
          <w:rFonts w:ascii="Arial" w:hAnsi="Arial" w:cs="Arial"/>
          <w:sz w:val="24"/>
          <w:szCs w:val="24"/>
          <w:lang w:val="en-ZA"/>
        </w:rPr>
        <w:t xml:space="preserve">The Court has a narrow discretion to refuse a winding-up order. An appeal court will not easily interfere with the exercise of a discretion by the court </w:t>
      </w:r>
      <w:r w:rsidR="009C0BA4" w:rsidRPr="00EE4AC4">
        <w:rPr>
          <w:rFonts w:ascii="Arial" w:hAnsi="Arial" w:cs="Arial"/>
          <w:i/>
          <w:sz w:val="24"/>
          <w:szCs w:val="24"/>
          <w:lang w:val="en-ZA"/>
        </w:rPr>
        <w:t xml:space="preserve">a quo </w:t>
      </w:r>
      <w:r w:rsidR="00BD7C52" w:rsidRPr="002F67B9">
        <w:rPr>
          <w:rFonts w:ascii="Arial" w:hAnsi="Arial" w:cs="Arial"/>
          <w:sz w:val="24"/>
          <w:szCs w:val="24"/>
          <w:lang w:val="en-ZA"/>
        </w:rPr>
        <w:t>‘</w:t>
      </w:r>
      <w:r w:rsidR="009C0BA4" w:rsidRPr="002F67B9">
        <w:rPr>
          <w:rFonts w:ascii="Arial" w:hAnsi="Arial" w:cs="Arial"/>
          <w:sz w:val="24"/>
          <w:szCs w:val="24"/>
          <w:lang w:val="en-ZA"/>
        </w:rPr>
        <w:t xml:space="preserve">unless that court was influenced by </w:t>
      </w:r>
      <w:r w:rsidR="00D72194" w:rsidRPr="002F67B9">
        <w:rPr>
          <w:rFonts w:ascii="Arial" w:hAnsi="Arial" w:cs="Arial"/>
          <w:sz w:val="24"/>
          <w:szCs w:val="24"/>
          <w:lang w:val="en-ZA"/>
        </w:rPr>
        <w:t xml:space="preserve">wrong </w:t>
      </w:r>
      <w:r w:rsidR="009C0BA4" w:rsidRPr="002F67B9">
        <w:rPr>
          <w:rFonts w:ascii="Arial" w:hAnsi="Arial" w:cs="Arial"/>
          <w:sz w:val="24"/>
          <w:szCs w:val="24"/>
          <w:lang w:val="en-ZA"/>
        </w:rPr>
        <w:t xml:space="preserve">principles or a misdirection of the facts, or if </w:t>
      </w:r>
      <w:r w:rsidR="00BD7C52" w:rsidRPr="002F67B9">
        <w:rPr>
          <w:rFonts w:ascii="Arial" w:hAnsi="Arial" w:cs="Arial"/>
          <w:sz w:val="24"/>
          <w:szCs w:val="24"/>
          <w:lang w:val="en-ZA"/>
        </w:rPr>
        <w:t>that court reached a decision the result of which could not reasonably have been made by the court properly directing itself to all the relevant facts and principles’.</w:t>
      </w:r>
      <w:r w:rsidR="00BD7C52" w:rsidRPr="002F67B9">
        <w:rPr>
          <w:rStyle w:val="FootnoteReference"/>
          <w:rFonts w:ascii="Arial" w:hAnsi="Arial" w:cs="Arial"/>
          <w:sz w:val="24"/>
          <w:szCs w:val="24"/>
          <w:lang w:val="en-ZA"/>
        </w:rPr>
        <w:footnoteReference w:id="4"/>
      </w:r>
      <w:r w:rsidR="009C0BA4" w:rsidRPr="002F67B9">
        <w:rPr>
          <w:rFonts w:ascii="Arial" w:hAnsi="Arial" w:cs="Arial"/>
          <w:sz w:val="24"/>
          <w:szCs w:val="24"/>
          <w:lang w:val="en-ZA"/>
        </w:rPr>
        <w:t xml:space="preserve"> </w:t>
      </w:r>
      <w:r w:rsidR="00D72194" w:rsidRPr="002F67B9">
        <w:rPr>
          <w:rFonts w:ascii="Arial" w:hAnsi="Arial" w:cs="Arial"/>
          <w:sz w:val="24"/>
          <w:szCs w:val="24"/>
          <w:lang w:val="en-ZA"/>
        </w:rPr>
        <w:t xml:space="preserve">I now turn to examine the court </w:t>
      </w:r>
      <w:r w:rsidR="00D72194" w:rsidRPr="00EE4AC4">
        <w:rPr>
          <w:rFonts w:ascii="Arial" w:hAnsi="Arial" w:cs="Arial"/>
          <w:i/>
          <w:sz w:val="24"/>
          <w:szCs w:val="24"/>
          <w:lang w:val="en-ZA"/>
        </w:rPr>
        <w:t>a quo</w:t>
      </w:r>
      <w:r w:rsidR="00D72194" w:rsidRPr="002F67B9">
        <w:rPr>
          <w:rFonts w:ascii="Arial" w:hAnsi="Arial" w:cs="Arial"/>
          <w:sz w:val="24"/>
          <w:szCs w:val="24"/>
          <w:lang w:val="en-ZA"/>
        </w:rPr>
        <w:t>’s reasons for refusing the application.</w:t>
      </w:r>
    </w:p>
    <w:p w:rsidR="00546A1F" w:rsidRPr="002F67B9" w:rsidRDefault="00546A1F" w:rsidP="00520B5A">
      <w:pPr>
        <w:spacing w:after="0" w:line="360" w:lineRule="auto"/>
        <w:ind w:left="567" w:hanging="567"/>
        <w:jc w:val="both"/>
        <w:rPr>
          <w:rFonts w:ascii="Arial" w:hAnsi="Arial" w:cs="Arial"/>
          <w:sz w:val="24"/>
          <w:szCs w:val="24"/>
          <w:lang w:val="en-ZA"/>
        </w:rPr>
      </w:pPr>
    </w:p>
    <w:p w:rsidR="00D72194" w:rsidRPr="002F67B9"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[9]</w:t>
      </w:r>
      <w:r w:rsidRPr="002F67B9">
        <w:rPr>
          <w:rFonts w:ascii="Arial" w:hAnsi="Arial" w:cs="Arial"/>
          <w:sz w:val="24"/>
          <w:szCs w:val="24"/>
          <w:lang w:val="en-ZA"/>
        </w:rPr>
        <w:tab/>
      </w:r>
      <w:r w:rsidR="00D72194" w:rsidRPr="002F67B9">
        <w:rPr>
          <w:rFonts w:ascii="Arial" w:hAnsi="Arial" w:cs="Arial"/>
          <w:sz w:val="24"/>
          <w:szCs w:val="24"/>
          <w:lang w:val="en-ZA"/>
        </w:rPr>
        <w:t>I am not aware of any ru</w:t>
      </w:r>
      <w:r w:rsidR="00C64F9B" w:rsidRPr="002F67B9">
        <w:rPr>
          <w:rFonts w:ascii="Arial" w:hAnsi="Arial" w:cs="Arial"/>
          <w:sz w:val="24"/>
          <w:szCs w:val="24"/>
          <w:lang w:val="en-ZA"/>
        </w:rPr>
        <w:t>l</w:t>
      </w:r>
      <w:r w:rsidR="00D72194" w:rsidRPr="002F67B9">
        <w:rPr>
          <w:rFonts w:ascii="Arial" w:hAnsi="Arial" w:cs="Arial"/>
          <w:sz w:val="24"/>
          <w:szCs w:val="24"/>
          <w:lang w:val="en-ZA"/>
        </w:rPr>
        <w:t xml:space="preserve">e that </w:t>
      </w:r>
      <w:r w:rsidR="00936BFC">
        <w:rPr>
          <w:rFonts w:ascii="Arial" w:hAnsi="Arial" w:cs="Arial"/>
          <w:sz w:val="24"/>
          <w:szCs w:val="24"/>
          <w:lang w:val="en-ZA"/>
        </w:rPr>
        <w:t>states that liquidation proceedings</w:t>
      </w:r>
      <w:r w:rsidR="00D72194" w:rsidRPr="002F67B9">
        <w:rPr>
          <w:rFonts w:ascii="Arial" w:hAnsi="Arial" w:cs="Arial"/>
          <w:sz w:val="24"/>
          <w:szCs w:val="24"/>
          <w:lang w:val="en-ZA"/>
        </w:rPr>
        <w:t xml:space="preserve"> should be used as a last resort or, for that matter, as a first choice.</w:t>
      </w:r>
      <w:r w:rsidR="00C64F9B" w:rsidRPr="002F67B9">
        <w:rPr>
          <w:rFonts w:ascii="Arial" w:hAnsi="Arial" w:cs="Arial"/>
          <w:sz w:val="24"/>
          <w:szCs w:val="24"/>
          <w:lang w:val="en-ZA"/>
        </w:rPr>
        <w:t xml:space="preserve"> The general principle as stated in </w:t>
      </w:r>
      <w:proofErr w:type="spellStart"/>
      <w:r w:rsidR="00C64F9B" w:rsidRPr="009F0659">
        <w:rPr>
          <w:rFonts w:ascii="Arial" w:hAnsi="Arial" w:cs="Arial"/>
          <w:b/>
          <w:sz w:val="24"/>
          <w:szCs w:val="24"/>
          <w:lang w:val="en-ZA"/>
        </w:rPr>
        <w:t>Hamba</w:t>
      </w:r>
      <w:proofErr w:type="spellEnd"/>
      <w:r w:rsidR="00C64F9B" w:rsidRPr="009F0659">
        <w:rPr>
          <w:rFonts w:ascii="Arial" w:hAnsi="Arial" w:cs="Arial"/>
          <w:b/>
          <w:sz w:val="24"/>
          <w:szCs w:val="24"/>
          <w:lang w:val="en-ZA"/>
        </w:rPr>
        <w:t xml:space="preserve"> Fleet</w:t>
      </w:r>
      <w:r w:rsidR="00C64F9B" w:rsidRPr="002F67B9">
        <w:rPr>
          <w:rFonts w:ascii="Arial" w:hAnsi="Arial" w:cs="Arial"/>
          <w:sz w:val="24"/>
          <w:szCs w:val="24"/>
          <w:lang w:val="en-ZA"/>
        </w:rPr>
        <w:t xml:space="preserve"> is that ‘an unpaid creditor has a right, </w:t>
      </w:r>
      <w:r w:rsidR="00C64F9B" w:rsidRPr="002F67B9">
        <w:rPr>
          <w:rFonts w:ascii="Arial" w:hAnsi="Arial" w:cs="Arial"/>
          <w:i/>
          <w:sz w:val="24"/>
          <w:szCs w:val="24"/>
          <w:lang w:val="en-ZA"/>
        </w:rPr>
        <w:t xml:space="preserve">ex </w:t>
      </w:r>
      <w:proofErr w:type="spellStart"/>
      <w:r w:rsidR="00C64F9B" w:rsidRPr="002F67B9">
        <w:rPr>
          <w:rFonts w:ascii="Arial" w:hAnsi="Arial" w:cs="Arial"/>
          <w:i/>
          <w:sz w:val="24"/>
          <w:szCs w:val="24"/>
          <w:lang w:val="en-ZA"/>
        </w:rPr>
        <w:t>debitio</w:t>
      </w:r>
      <w:proofErr w:type="spellEnd"/>
      <w:r w:rsidR="00C64F9B" w:rsidRPr="002F67B9">
        <w:rPr>
          <w:rFonts w:ascii="Arial" w:hAnsi="Arial" w:cs="Arial"/>
          <w:i/>
          <w:sz w:val="24"/>
          <w:szCs w:val="24"/>
          <w:lang w:val="en-ZA"/>
        </w:rPr>
        <w:t xml:space="preserve"> </w:t>
      </w:r>
      <w:proofErr w:type="spellStart"/>
      <w:r w:rsidR="00C64F9B" w:rsidRPr="002F67B9">
        <w:rPr>
          <w:rFonts w:ascii="Arial" w:hAnsi="Arial" w:cs="Arial"/>
          <w:i/>
          <w:sz w:val="24"/>
          <w:szCs w:val="24"/>
          <w:lang w:val="en-ZA"/>
        </w:rPr>
        <w:t>justitiae</w:t>
      </w:r>
      <w:proofErr w:type="spellEnd"/>
      <w:r w:rsidR="00C64F9B" w:rsidRPr="002F67B9">
        <w:rPr>
          <w:rFonts w:ascii="Arial" w:hAnsi="Arial" w:cs="Arial"/>
          <w:i/>
          <w:sz w:val="24"/>
          <w:szCs w:val="24"/>
          <w:lang w:val="en-ZA"/>
        </w:rPr>
        <w:t>,</w:t>
      </w:r>
      <w:r w:rsidR="00C64F9B" w:rsidRPr="002F67B9">
        <w:rPr>
          <w:rFonts w:ascii="Arial" w:hAnsi="Arial" w:cs="Arial"/>
          <w:sz w:val="24"/>
          <w:szCs w:val="24"/>
          <w:lang w:val="en-ZA"/>
        </w:rPr>
        <w:t xml:space="preserve"> to a winding-up order against the respondent company that has not discharged that debt’.</w:t>
      </w:r>
      <w:r w:rsidR="00C64F9B" w:rsidRPr="002F67B9">
        <w:rPr>
          <w:rStyle w:val="FootnoteReference"/>
          <w:rFonts w:ascii="Arial" w:hAnsi="Arial" w:cs="Arial"/>
          <w:sz w:val="24"/>
          <w:szCs w:val="24"/>
          <w:lang w:val="en-ZA"/>
        </w:rPr>
        <w:footnoteReference w:id="5"/>
      </w:r>
      <w:r w:rsidR="009F0659">
        <w:rPr>
          <w:rFonts w:ascii="Arial" w:hAnsi="Arial" w:cs="Arial"/>
          <w:sz w:val="24"/>
          <w:szCs w:val="24"/>
          <w:lang w:val="en-ZA"/>
        </w:rPr>
        <w:t xml:space="preserve"> </w:t>
      </w:r>
      <w:r w:rsidR="00C64F9B" w:rsidRPr="002F67B9">
        <w:rPr>
          <w:rFonts w:ascii="Arial" w:hAnsi="Arial" w:cs="Arial"/>
          <w:sz w:val="24"/>
          <w:szCs w:val="24"/>
          <w:lang w:val="en-ZA"/>
        </w:rPr>
        <w:t xml:space="preserve">I therefore disagree with the court </w:t>
      </w:r>
      <w:r w:rsidR="00C64F9B" w:rsidRPr="00EE4AC4">
        <w:rPr>
          <w:rFonts w:ascii="Arial" w:hAnsi="Arial" w:cs="Arial"/>
          <w:i/>
          <w:sz w:val="24"/>
          <w:szCs w:val="24"/>
          <w:lang w:val="en-ZA"/>
        </w:rPr>
        <w:t>a quo</w:t>
      </w:r>
      <w:r w:rsidR="00C64F9B" w:rsidRPr="002F67B9">
        <w:rPr>
          <w:rFonts w:ascii="Arial" w:hAnsi="Arial" w:cs="Arial"/>
          <w:sz w:val="24"/>
          <w:szCs w:val="24"/>
          <w:lang w:val="en-ZA"/>
        </w:rPr>
        <w:t>’s finding that liquidation proceedings should be utilised as a last resort.</w:t>
      </w:r>
    </w:p>
    <w:p w:rsidR="00546A1F" w:rsidRPr="002F67B9" w:rsidRDefault="00546A1F" w:rsidP="00520B5A">
      <w:pPr>
        <w:spacing w:after="0" w:line="360" w:lineRule="auto"/>
        <w:ind w:left="567" w:hanging="567"/>
        <w:jc w:val="both"/>
        <w:rPr>
          <w:rFonts w:ascii="Arial" w:hAnsi="Arial" w:cs="Arial"/>
          <w:sz w:val="24"/>
          <w:szCs w:val="24"/>
          <w:lang w:val="en-ZA"/>
        </w:rPr>
      </w:pPr>
    </w:p>
    <w:p w:rsidR="00C64F9B" w:rsidRPr="002F67B9"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[10]</w:t>
      </w:r>
      <w:r w:rsidRPr="002F67B9">
        <w:rPr>
          <w:rFonts w:ascii="Arial" w:hAnsi="Arial" w:cs="Arial"/>
          <w:sz w:val="24"/>
          <w:szCs w:val="24"/>
          <w:lang w:val="en-ZA"/>
        </w:rPr>
        <w:tab/>
      </w:r>
      <w:r w:rsidR="00A726CB" w:rsidRPr="002F67B9">
        <w:rPr>
          <w:rFonts w:ascii="Arial" w:hAnsi="Arial" w:cs="Arial"/>
          <w:sz w:val="24"/>
          <w:szCs w:val="24"/>
          <w:lang w:val="en-ZA"/>
        </w:rPr>
        <w:t>The C</w:t>
      </w:r>
      <w:r w:rsidR="00C64F9B" w:rsidRPr="002F67B9">
        <w:rPr>
          <w:rFonts w:ascii="Arial" w:hAnsi="Arial" w:cs="Arial"/>
          <w:sz w:val="24"/>
          <w:szCs w:val="24"/>
          <w:lang w:val="en-ZA"/>
        </w:rPr>
        <w:t xml:space="preserve">ourt </w:t>
      </w:r>
      <w:r w:rsidR="00C64F9B" w:rsidRPr="009F0659">
        <w:rPr>
          <w:rFonts w:ascii="Arial" w:hAnsi="Arial" w:cs="Arial"/>
          <w:i/>
          <w:sz w:val="24"/>
          <w:szCs w:val="24"/>
          <w:lang w:val="en-ZA"/>
        </w:rPr>
        <w:t>a quo</w:t>
      </w:r>
      <w:r w:rsidR="00A726CB" w:rsidRPr="002F67B9">
        <w:rPr>
          <w:rFonts w:ascii="Arial" w:hAnsi="Arial" w:cs="Arial"/>
          <w:sz w:val="24"/>
          <w:szCs w:val="24"/>
          <w:lang w:val="en-ZA"/>
        </w:rPr>
        <w:t>’s finding</w:t>
      </w:r>
      <w:r w:rsidR="00C64F9B" w:rsidRPr="002F67B9">
        <w:rPr>
          <w:rFonts w:ascii="Arial" w:hAnsi="Arial" w:cs="Arial"/>
          <w:sz w:val="24"/>
          <w:szCs w:val="24"/>
          <w:lang w:val="en-ZA"/>
        </w:rPr>
        <w:t xml:space="preserve"> that it is unclear if the indebtedness is disputed but that the amount of the debt and whether it is </w:t>
      </w:r>
      <w:r w:rsidR="00A726CB" w:rsidRPr="002F67B9">
        <w:rPr>
          <w:rFonts w:ascii="Arial" w:hAnsi="Arial" w:cs="Arial"/>
          <w:sz w:val="24"/>
          <w:szCs w:val="24"/>
          <w:lang w:val="en-ZA"/>
        </w:rPr>
        <w:t xml:space="preserve">due </w:t>
      </w:r>
      <w:r w:rsidR="00C64F9B" w:rsidRPr="002F67B9">
        <w:rPr>
          <w:rFonts w:ascii="Arial" w:hAnsi="Arial" w:cs="Arial"/>
          <w:sz w:val="24"/>
          <w:szCs w:val="24"/>
          <w:lang w:val="en-ZA"/>
        </w:rPr>
        <w:t>and payable is</w:t>
      </w:r>
      <w:r w:rsidR="001C01F2" w:rsidRPr="002F67B9">
        <w:rPr>
          <w:rFonts w:ascii="Arial" w:hAnsi="Arial" w:cs="Arial"/>
          <w:sz w:val="24"/>
          <w:szCs w:val="24"/>
          <w:lang w:val="en-ZA"/>
        </w:rPr>
        <w:t xml:space="preserve"> disputed</w:t>
      </w:r>
      <w:r w:rsidR="00C64F9B" w:rsidRPr="002F67B9">
        <w:rPr>
          <w:rFonts w:ascii="Arial" w:hAnsi="Arial" w:cs="Arial"/>
          <w:sz w:val="24"/>
          <w:szCs w:val="24"/>
          <w:lang w:val="en-ZA"/>
        </w:rPr>
        <w:t xml:space="preserve">, is incorrect. At best for </w:t>
      </w:r>
      <w:proofErr w:type="spellStart"/>
      <w:r w:rsidR="00C64F9B" w:rsidRPr="002F67B9">
        <w:rPr>
          <w:rFonts w:ascii="Arial" w:hAnsi="Arial" w:cs="Arial"/>
          <w:sz w:val="24"/>
          <w:szCs w:val="24"/>
          <w:lang w:val="en-ZA"/>
        </w:rPr>
        <w:t>Kalro</w:t>
      </w:r>
      <w:proofErr w:type="spellEnd"/>
      <w:r w:rsidR="00C64F9B" w:rsidRPr="002F67B9">
        <w:rPr>
          <w:rFonts w:ascii="Arial" w:hAnsi="Arial" w:cs="Arial"/>
          <w:sz w:val="24"/>
          <w:szCs w:val="24"/>
          <w:lang w:val="en-ZA"/>
        </w:rPr>
        <w:t xml:space="preserve">, the Smits did not know the nature and extend of </w:t>
      </w:r>
      <w:proofErr w:type="spellStart"/>
      <w:r w:rsidR="00C64F9B" w:rsidRPr="002F67B9">
        <w:rPr>
          <w:rFonts w:ascii="Arial" w:hAnsi="Arial" w:cs="Arial"/>
          <w:sz w:val="24"/>
          <w:szCs w:val="24"/>
          <w:lang w:val="en-ZA"/>
        </w:rPr>
        <w:t>Kalro’</w:t>
      </w:r>
      <w:r w:rsidR="00A726CB" w:rsidRPr="002F67B9">
        <w:rPr>
          <w:rFonts w:ascii="Arial" w:hAnsi="Arial" w:cs="Arial"/>
          <w:sz w:val="24"/>
          <w:szCs w:val="24"/>
          <w:lang w:val="en-ZA"/>
        </w:rPr>
        <w:t>s</w:t>
      </w:r>
      <w:proofErr w:type="spellEnd"/>
      <w:r w:rsidR="00A726CB" w:rsidRPr="002F67B9">
        <w:rPr>
          <w:rFonts w:ascii="Arial" w:hAnsi="Arial" w:cs="Arial"/>
          <w:sz w:val="24"/>
          <w:szCs w:val="24"/>
          <w:lang w:val="en-ZA"/>
        </w:rPr>
        <w:t xml:space="preserve"> indebtedness to </w:t>
      </w:r>
      <w:proofErr w:type="spellStart"/>
      <w:r w:rsidR="00A726CB" w:rsidRPr="002F67B9">
        <w:rPr>
          <w:rFonts w:ascii="Arial" w:hAnsi="Arial" w:cs="Arial"/>
          <w:sz w:val="24"/>
          <w:szCs w:val="24"/>
          <w:lang w:val="en-ZA"/>
        </w:rPr>
        <w:t>Trackstar</w:t>
      </w:r>
      <w:proofErr w:type="spellEnd"/>
      <w:r w:rsidR="00A726CB" w:rsidRPr="002F67B9">
        <w:rPr>
          <w:rFonts w:ascii="Arial" w:hAnsi="Arial" w:cs="Arial"/>
          <w:sz w:val="24"/>
          <w:szCs w:val="24"/>
          <w:lang w:val="en-ZA"/>
        </w:rPr>
        <w:t>. This is s</w:t>
      </w:r>
      <w:r w:rsidR="00473071">
        <w:rPr>
          <w:rFonts w:ascii="Arial" w:hAnsi="Arial" w:cs="Arial"/>
          <w:sz w:val="24"/>
          <w:szCs w:val="24"/>
          <w:lang w:val="en-ZA"/>
        </w:rPr>
        <w:t>o because they were un</w:t>
      </w:r>
      <w:r w:rsidR="00A726CB" w:rsidRPr="002F67B9">
        <w:rPr>
          <w:rFonts w:ascii="Arial" w:hAnsi="Arial" w:cs="Arial"/>
          <w:sz w:val="24"/>
          <w:szCs w:val="24"/>
          <w:lang w:val="en-ZA"/>
        </w:rPr>
        <w:t xml:space="preserve">aware of the financial affairs of </w:t>
      </w:r>
      <w:proofErr w:type="spellStart"/>
      <w:r w:rsidR="00A726CB" w:rsidRPr="002F67B9">
        <w:rPr>
          <w:rFonts w:ascii="Arial" w:hAnsi="Arial" w:cs="Arial"/>
          <w:sz w:val="24"/>
          <w:szCs w:val="24"/>
          <w:lang w:val="en-ZA"/>
        </w:rPr>
        <w:t>Kalro</w:t>
      </w:r>
      <w:proofErr w:type="spellEnd"/>
      <w:r w:rsidR="00A726CB" w:rsidRPr="002F67B9">
        <w:rPr>
          <w:rFonts w:ascii="Arial" w:hAnsi="Arial" w:cs="Arial"/>
          <w:sz w:val="24"/>
          <w:szCs w:val="24"/>
          <w:lang w:val="en-ZA"/>
        </w:rPr>
        <w:t xml:space="preserve"> because they left the financial affairs in the hands of Du Preez. They trusted him. They had no access to </w:t>
      </w:r>
      <w:proofErr w:type="spellStart"/>
      <w:r w:rsidR="00A726CB" w:rsidRPr="002F67B9">
        <w:rPr>
          <w:rFonts w:ascii="Arial" w:hAnsi="Arial" w:cs="Arial"/>
          <w:sz w:val="24"/>
          <w:szCs w:val="24"/>
          <w:lang w:val="en-ZA"/>
        </w:rPr>
        <w:t>Kalro’s</w:t>
      </w:r>
      <w:proofErr w:type="spellEnd"/>
      <w:r w:rsidR="00A726CB" w:rsidRPr="002F67B9">
        <w:rPr>
          <w:rFonts w:ascii="Arial" w:hAnsi="Arial" w:cs="Arial"/>
          <w:sz w:val="24"/>
          <w:szCs w:val="24"/>
          <w:lang w:val="en-ZA"/>
        </w:rPr>
        <w:t xml:space="preserve"> bank account and were not privy to the transactions between </w:t>
      </w:r>
      <w:proofErr w:type="spellStart"/>
      <w:r w:rsidR="00A726CB" w:rsidRPr="002F67B9">
        <w:rPr>
          <w:rFonts w:ascii="Arial" w:hAnsi="Arial" w:cs="Arial"/>
          <w:sz w:val="24"/>
          <w:szCs w:val="24"/>
          <w:lang w:val="en-ZA"/>
        </w:rPr>
        <w:t>Kalro</w:t>
      </w:r>
      <w:proofErr w:type="spellEnd"/>
      <w:r w:rsidR="00A726CB" w:rsidRPr="002F67B9">
        <w:rPr>
          <w:rFonts w:ascii="Arial" w:hAnsi="Arial" w:cs="Arial"/>
          <w:sz w:val="24"/>
          <w:szCs w:val="24"/>
          <w:lang w:val="en-ZA"/>
        </w:rPr>
        <w:t xml:space="preserve"> and </w:t>
      </w:r>
      <w:proofErr w:type="spellStart"/>
      <w:r w:rsidR="00A726CB" w:rsidRPr="002F67B9">
        <w:rPr>
          <w:rFonts w:ascii="Arial" w:hAnsi="Arial" w:cs="Arial"/>
          <w:sz w:val="24"/>
          <w:szCs w:val="24"/>
          <w:lang w:val="en-ZA"/>
        </w:rPr>
        <w:t>Trackstar</w:t>
      </w:r>
      <w:proofErr w:type="spellEnd"/>
      <w:r w:rsidR="00A726CB" w:rsidRPr="002F67B9">
        <w:rPr>
          <w:rFonts w:ascii="Arial" w:hAnsi="Arial" w:cs="Arial"/>
          <w:sz w:val="24"/>
          <w:szCs w:val="24"/>
          <w:lang w:val="en-ZA"/>
        </w:rPr>
        <w:t xml:space="preserve">. They could therefore not dispute the indebtedness, on </w:t>
      </w:r>
      <w:r w:rsidR="00A726CB" w:rsidRPr="009F0659">
        <w:rPr>
          <w:rFonts w:ascii="Arial" w:hAnsi="Arial" w:cs="Arial"/>
          <w:i/>
          <w:sz w:val="24"/>
          <w:szCs w:val="24"/>
          <w:lang w:val="en-ZA"/>
        </w:rPr>
        <w:t>bona fide</w:t>
      </w:r>
      <w:r w:rsidR="00A726CB" w:rsidRPr="002F67B9">
        <w:rPr>
          <w:rFonts w:ascii="Arial" w:hAnsi="Arial" w:cs="Arial"/>
          <w:sz w:val="24"/>
          <w:szCs w:val="24"/>
          <w:lang w:val="en-ZA"/>
        </w:rPr>
        <w:t xml:space="preserve"> and reasonable grounds. They had to </w:t>
      </w:r>
      <w:r w:rsidR="00A726CB" w:rsidRPr="002F67B9">
        <w:rPr>
          <w:rFonts w:ascii="Arial" w:hAnsi="Arial" w:cs="Arial"/>
          <w:sz w:val="24"/>
          <w:szCs w:val="24"/>
          <w:lang w:val="en-ZA"/>
        </w:rPr>
        <w:lastRenderedPageBreak/>
        <w:t xml:space="preserve">resort to a bare denial and blanket challenge of </w:t>
      </w:r>
      <w:proofErr w:type="spellStart"/>
      <w:r w:rsidR="00A726CB" w:rsidRPr="002F67B9">
        <w:rPr>
          <w:rFonts w:ascii="Arial" w:hAnsi="Arial" w:cs="Arial"/>
          <w:sz w:val="24"/>
          <w:szCs w:val="24"/>
          <w:lang w:val="en-ZA"/>
        </w:rPr>
        <w:t>Trac</w:t>
      </w:r>
      <w:r w:rsidR="00E23D3E">
        <w:rPr>
          <w:rFonts w:ascii="Arial" w:hAnsi="Arial" w:cs="Arial"/>
          <w:sz w:val="24"/>
          <w:szCs w:val="24"/>
          <w:lang w:val="en-ZA"/>
        </w:rPr>
        <w:t>k</w:t>
      </w:r>
      <w:r w:rsidR="00A726CB" w:rsidRPr="002F67B9">
        <w:rPr>
          <w:rFonts w:ascii="Arial" w:hAnsi="Arial" w:cs="Arial"/>
          <w:sz w:val="24"/>
          <w:szCs w:val="24"/>
          <w:lang w:val="en-ZA"/>
        </w:rPr>
        <w:t>star’s</w:t>
      </w:r>
      <w:proofErr w:type="spellEnd"/>
      <w:r w:rsidR="00A726CB" w:rsidRPr="002F67B9">
        <w:rPr>
          <w:rFonts w:ascii="Arial" w:hAnsi="Arial" w:cs="Arial"/>
          <w:sz w:val="24"/>
          <w:szCs w:val="24"/>
          <w:lang w:val="en-ZA"/>
        </w:rPr>
        <w:t xml:space="preserve"> financial statements. They could not produce, even after being challenged to do so, any of </w:t>
      </w:r>
      <w:proofErr w:type="spellStart"/>
      <w:r w:rsidR="00A726CB" w:rsidRPr="002F67B9">
        <w:rPr>
          <w:rFonts w:ascii="Arial" w:hAnsi="Arial" w:cs="Arial"/>
          <w:sz w:val="24"/>
          <w:szCs w:val="24"/>
          <w:lang w:val="en-ZA"/>
        </w:rPr>
        <w:t>Kalro’s</w:t>
      </w:r>
      <w:proofErr w:type="spellEnd"/>
      <w:r w:rsidR="00A726CB" w:rsidRPr="002F67B9">
        <w:rPr>
          <w:rFonts w:ascii="Arial" w:hAnsi="Arial" w:cs="Arial"/>
          <w:sz w:val="24"/>
          <w:szCs w:val="24"/>
          <w:lang w:val="en-ZA"/>
        </w:rPr>
        <w:t xml:space="preserve"> financial statements. </w:t>
      </w:r>
      <w:r w:rsidR="00473071">
        <w:rPr>
          <w:rFonts w:ascii="Arial" w:hAnsi="Arial" w:cs="Arial"/>
          <w:sz w:val="24"/>
          <w:szCs w:val="24"/>
          <w:lang w:val="en-ZA"/>
        </w:rPr>
        <w:t xml:space="preserve">As stated earlier, Mr </w:t>
      </w:r>
      <w:r w:rsidR="00A726CB" w:rsidRPr="002F67B9">
        <w:rPr>
          <w:rFonts w:ascii="Arial" w:hAnsi="Arial" w:cs="Arial"/>
          <w:sz w:val="24"/>
          <w:szCs w:val="24"/>
          <w:lang w:val="en-ZA"/>
        </w:rPr>
        <w:t xml:space="preserve">Du Preez confirmed </w:t>
      </w:r>
      <w:proofErr w:type="spellStart"/>
      <w:r w:rsidR="00A726CB" w:rsidRPr="002F67B9">
        <w:rPr>
          <w:rFonts w:ascii="Arial" w:hAnsi="Arial" w:cs="Arial"/>
          <w:sz w:val="24"/>
          <w:szCs w:val="24"/>
          <w:lang w:val="en-ZA"/>
        </w:rPr>
        <w:t>Kalro’s</w:t>
      </w:r>
      <w:proofErr w:type="spellEnd"/>
      <w:r w:rsidR="00A726CB" w:rsidRPr="002F67B9">
        <w:rPr>
          <w:rFonts w:ascii="Arial" w:hAnsi="Arial" w:cs="Arial"/>
          <w:sz w:val="24"/>
          <w:szCs w:val="24"/>
          <w:lang w:val="en-ZA"/>
        </w:rPr>
        <w:t xml:space="preserve"> indebtedness</w:t>
      </w:r>
      <w:r w:rsidR="00473071">
        <w:rPr>
          <w:rFonts w:ascii="Arial" w:hAnsi="Arial" w:cs="Arial"/>
          <w:sz w:val="24"/>
          <w:szCs w:val="24"/>
          <w:lang w:val="en-ZA"/>
        </w:rPr>
        <w:t xml:space="preserve"> and that the money was due and payable</w:t>
      </w:r>
      <w:r w:rsidR="00A726CB" w:rsidRPr="002F67B9">
        <w:rPr>
          <w:rFonts w:ascii="Arial" w:hAnsi="Arial" w:cs="Arial"/>
          <w:sz w:val="24"/>
          <w:szCs w:val="24"/>
          <w:lang w:val="en-ZA"/>
        </w:rPr>
        <w:t>.</w:t>
      </w:r>
    </w:p>
    <w:p w:rsidR="00546A1F" w:rsidRPr="002F67B9" w:rsidRDefault="00546A1F" w:rsidP="00520B5A">
      <w:pPr>
        <w:spacing w:after="0" w:line="360" w:lineRule="auto"/>
        <w:ind w:left="567" w:hanging="567"/>
        <w:jc w:val="both"/>
        <w:rPr>
          <w:rFonts w:ascii="Arial" w:hAnsi="Arial" w:cs="Arial"/>
          <w:sz w:val="24"/>
          <w:szCs w:val="24"/>
          <w:lang w:val="en-ZA"/>
        </w:rPr>
      </w:pPr>
    </w:p>
    <w:p w:rsidR="00A726CB"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[11]</w:t>
      </w:r>
      <w:r w:rsidRPr="002F67B9">
        <w:rPr>
          <w:rFonts w:ascii="Arial" w:hAnsi="Arial" w:cs="Arial"/>
          <w:sz w:val="24"/>
          <w:szCs w:val="24"/>
          <w:lang w:val="en-ZA"/>
        </w:rPr>
        <w:tab/>
      </w:r>
      <w:r w:rsidR="001C01F2" w:rsidRPr="002F67B9">
        <w:rPr>
          <w:rFonts w:ascii="Arial" w:hAnsi="Arial" w:cs="Arial"/>
          <w:sz w:val="24"/>
          <w:szCs w:val="24"/>
          <w:lang w:val="en-ZA"/>
        </w:rPr>
        <w:t xml:space="preserve">The claim was proved at the meeting of creditors and Mr Smit was questioned in connection therewith. The applicants are not required to prove the entire amount due but only the legislatively required amount of R100 or more. </w:t>
      </w:r>
      <w:proofErr w:type="spellStart"/>
      <w:r w:rsidR="001C01F2" w:rsidRPr="002F67B9">
        <w:rPr>
          <w:rFonts w:ascii="Arial" w:hAnsi="Arial" w:cs="Arial"/>
          <w:sz w:val="24"/>
          <w:szCs w:val="24"/>
          <w:lang w:val="en-ZA"/>
        </w:rPr>
        <w:t>Trac</w:t>
      </w:r>
      <w:r w:rsidR="003648E5" w:rsidRPr="002F67B9">
        <w:rPr>
          <w:rFonts w:ascii="Arial" w:hAnsi="Arial" w:cs="Arial"/>
          <w:sz w:val="24"/>
          <w:szCs w:val="24"/>
          <w:lang w:val="en-ZA"/>
        </w:rPr>
        <w:t>k</w:t>
      </w:r>
      <w:r w:rsidR="001C01F2" w:rsidRPr="002F67B9">
        <w:rPr>
          <w:rFonts w:ascii="Arial" w:hAnsi="Arial" w:cs="Arial"/>
          <w:sz w:val="24"/>
          <w:szCs w:val="24"/>
          <w:lang w:val="en-ZA"/>
        </w:rPr>
        <w:t>strar’s</w:t>
      </w:r>
      <w:proofErr w:type="spellEnd"/>
      <w:r w:rsidR="001C01F2" w:rsidRPr="002F67B9">
        <w:rPr>
          <w:rFonts w:ascii="Arial" w:hAnsi="Arial" w:cs="Arial"/>
          <w:sz w:val="24"/>
          <w:szCs w:val="24"/>
          <w:lang w:val="en-ZA"/>
        </w:rPr>
        <w:t xml:space="preserve"> undisputed financial statements showed that </w:t>
      </w:r>
      <w:proofErr w:type="spellStart"/>
      <w:r w:rsidR="001C01F2" w:rsidRPr="002F67B9">
        <w:rPr>
          <w:rFonts w:ascii="Arial" w:hAnsi="Arial" w:cs="Arial"/>
          <w:sz w:val="24"/>
          <w:szCs w:val="24"/>
          <w:lang w:val="en-ZA"/>
        </w:rPr>
        <w:t>Kalro</w:t>
      </w:r>
      <w:proofErr w:type="spellEnd"/>
      <w:r w:rsidR="001C01F2" w:rsidRPr="002F67B9">
        <w:rPr>
          <w:rFonts w:ascii="Arial" w:hAnsi="Arial" w:cs="Arial"/>
          <w:sz w:val="24"/>
          <w:szCs w:val="24"/>
          <w:lang w:val="en-ZA"/>
        </w:rPr>
        <w:t xml:space="preserve"> owed it approximately R1</w:t>
      </w:r>
      <w:r w:rsidR="00473071">
        <w:rPr>
          <w:rFonts w:ascii="Arial" w:hAnsi="Arial" w:cs="Arial"/>
          <w:sz w:val="24"/>
          <w:szCs w:val="24"/>
          <w:lang w:val="en-ZA"/>
        </w:rPr>
        <w:t>.</w:t>
      </w:r>
      <w:r w:rsidR="001C01F2" w:rsidRPr="002F67B9">
        <w:rPr>
          <w:rFonts w:ascii="Arial" w:hAnsi="Arial" w:cs="Arial"/>
          <w:sz w:val="24"/>
          <w:szCs w:val="24"/>
          <w:lang w:val="en-ZA"/>
        </w:rPr>
        <w:t xml:space="preserve"> 435m. The court </w:t>
      </w:r>
      <w:r w:rsidR="001C01F2" w:rsidRPr="009F0659">
        <w:rPr>
          <w:rFonts w:ascii="Arial" w:hAnsi="Arial" w:cs="Arial"/>
          <w:i/>
          <w:sz w:val="24"/>
          <w:szCs w:val="24"/>
          <w:lang w:val="en-ZA"/>
        </w:rPr>
        <w:t>a quo</w:t>
      </w:r>
      <w:r w:rsidR="001C01F2" w:rsidRPr="002F67B9">
        <w:rPr>
          <w:rFonts w:ascii="Arial" w:hAnsi="Arial" w:cs="Arial"/>
          <w:sz w:val="24"/>
          <w:szCs w:val="24"/>
          <w:lang w:val="en-ZA"/>
        </w:rPr>
        <w:t xml:space="preserve"> should therefore have found that the applicants proved that </w:t>
      </w:r>
      <w:proofErr w:type="spellStart"/>
      <w:r w:rsidR="001C01F2" w:rsidRPr="002F67B9">
        <w:rPr>
          <w:rFonts w:ascii="Arial" w:hAnsi="Arial" w:cs="Arial"/>
          <w:sz w:val="24"/>
          <w:szCs w:val="24"/>
          <w:lang w:val="en-ZA"/>
        </w:rPr>
        <w:t>Kalro</w:t>
      </w:r>
      <w:proofErr w:type="spellEnd"/>
      <w:r w:rsidR="001C01F2" w:rsidRPr="002F67B9">
        <w:rPr>
          <w:rFonts w:ascii="Arial" w:hAnsi="Arial" w:cs="Arial"/>
          <w:sz w:val="24"/>
          <w:szCs w:val="24"/>
          <w:lang w:val="en-ZA"/>
        </w:rPr>
        <w:t xml:space="preserve"> owed it that amount and that it was unable to </w:t>
      </w:r>
      <w:r w:rsidR="00220C05">
        <w:rPr>
          <w:rFonts w:ascii="Arial" w:hAnsi="Arial" w:cs="Arial"/>
          <w:sz w:val="24"/>
          <w:szCs w:val="24"/>
          <w:lang w:val="en-ZA"/>
        </w:rPr>
        <w:t xml:space="preserve">pay </w:t>
      </w:r>
      <w:r w:rsidR="001C01F2" w:rsidRPr="002F67B9">
        <w:rPr>
          <w:rFonts w:ascii="Arial" w:hAnsi="Arial" w:cs="Arial"/>
          <w:sz w:val="24"/>
          <w:szCs w:val="24"/>
          <w:lang w:val="en-ZA"/>
        </w:rPr>
        <w:t>that debt in the ordinary course of its business. A demand was made and no payment was forthcoming.</w:t>
      </w:r>
      <w:r w:rsidR="00220C05">
        <w:rPr>
          <w:rFonts w:ascii="Arial" w:hAnsi="Arial" w:cs="Arial"/>
          <w:sz w:val="24"/>
          <w:szCs w:val="24"/>
          <w:lang w:val="en-ZA"/>
        </w:rPr>
        <w:t xml:space="preserve"> </w:t>
      </w:r>
      <w:proofErr w:type="spellStart"/>
      <w:r w:rsidR="00220C05">
        <w:rPr>
          <w:rFonts w:ascii="Arial" w:hAnsi="Arial" w:cs="Arial"/>
          <w:sz w:val="24"/>
          <w:szCs w:val="24"/>
          <w:lang w:val="en-ZA"/>
        </w:rPr>
        <w:t>Kalro</w:t>
      </w:r>
      <w:proofErr w:type="spellEnd"/>
      <w:r w:rsidR="00220C05">
        <w:rPr>
          <w:rFonts w:ascii="Arial" w:hAnsi="Arial" w:cs="Arial"/>
          <w:sz w:val="24"/>
          <w:szCs w:val="24"/>
          <w:lang w:val="en-ZA"/>
        </w:rPr>
        <w:t xml:space="preserve"> could not pay Nedbank and the applicants in the ordinary course of its business. It must be remembered that:</w:t>
      </w:r>
    </w:p>
    <w:p w:rsidR="00220C05" w:rsidRPr="00220C05" w:rsidRDefault="00220C05" w:rsidP="00520B5A">
      <w:pPr>
        <w:spacing w:after="0" w:line="360" w:lineRule="auto"/>
        <w:ind w:left="567" w:hanging="567"/>
        <w:jc w:val="both"/>
        <w:rPr>
          <w:rFonts w:ascii="Arial" w:hAnsi="Arial" w:cs="Arial"/>
          <w:sz w:val="20"/>
          <w:szCs w:val="20"/>
          <w:lang w:val="en-ZA"/>
        </w:rPr>
      </w:pPr>
      <w:r w:rsidRPr="00220C05">
        <w:rPr>
          <w:rFonts w:ascii="Arial" w:hAnsi="Arial" w:cs="Arial"/>
          <w:sz w:val="20"/>
          <w:szCs w:val="20"/>
          <w:lang w:val="en-ZA"/>
        </w:rPr>
        <w:t xml:space="preserve">         ‘ The primary question which a court is called upon to answer in deciding whether or not a company carrying on business should be wound up as commercially insolvent, is whether or not it has liquid assets readily realisable assets available to meet its liabilities as they fall due to be met in the ordinary cause of business and thereafter to be in a position to carry on normal trading – in other words, can the company meet current demands on it and remain buoyant’</w:t>
      </w:r>
      <w:r w:rsidRPr="00220C05">
        <w:rPr>
          <w:rStyle w:val="FootnoteReference"/>
          <w:rFonts w:ascii="Arial" w:hAnsi="Arial" w:cs="Arial"/>
          <w:sz w:val="20"/>
          <w:szCs w:val="20"/>
          <w:lang w:val="en-ZA"/>
        </w:rPr>
        <w:footnoteReference w:id="6"/>
      </w:r>
    </w:p>
    <w:p w:rsidR="00546A1F" w:rsidRPr="002F67B9" w:rsidRDefault="00546A1F" w:rsidP="00520B5A">
      <w:pPr>
        <w:spacing w:after="0" w:line="360" w:lineRule="auto"/>
        <w:ind w:left="567" w:hanging="567"/>
        <w:jc w:val="both"/>
        <w:rPr>
          <w:rFonts w:ascii="Arial" w:hAnsi="Arial" w:cs="Arial"/>
          <w:sz w:val="24"/>
          <w:szCs w:val="24"/>
          <w:lang w:val="en-ZA"/>
        </w:rPr>
      </w:pPr>
    </w:p>
    <w:p w:rsidR="00D72194" w:rsidRPr="002F67B9"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[12]</w:t>
      </w:r>
      <w:r w:rsidRPr="002F67B9">
        <w:rPr>
          <w:rFonts w:ascii="Arial" w:hAnsi="Arial" w:cs="Arial"/>
          <w:sz w:val="24"/>
          <w:szCs w:val="24"/>
          <w:lang w:val="en-ZA"/>
        </w:rPr>
        <w:tab/>
      </w:r>
      <w:r w:rsidR="001C01F2" w:rsidRPr="002F67B9">
        <w:rPr>
          <w:rFonts w:ascii="Arial" w:hAnsi="Arial" w:cs="Arial"/>
          <w:sz w:val="24"/>
          <w:szCs w:val="24"/>
          <w:lang w:val="en-ZA"/>
        </w:rPr>
        <w:t xml:space="preserve">The applicants need not show that it would be to the advantage of </w:t>
      </w:r>
      <w:r w:rsidR="005704C5">
        <w:rPr>
          <w:rFonts w:ascii="Arial" w:hAnsi="Arial" w:cs="Arial"/>
          <w:sz w:val="24"/>
          <w:szCs w:val="24"/>
          <w:lang w:val="en-ZA"/>
        </w:rPr>
        <w:t>the respondent’s creditors if the respondent</w:t>
      </w:r>
      <w:r w:rsidR="001C01F2" w:rsidRPr="002F67B9">
        <w:rPr>
          <w:rFonts w:ascii="Arial" w:hAnsi="Arial" w:cs="Arial"/>
          <w:sz w:val="24"/>
          <w:szCs w:val="24"/>
          <w:lang w:val="en-ZA"/>
        </w:rPr>
        <w:t xml:space="preserve"> is liquidated.</w:t>
      </w:r>
      <w:r w:rsidR="00CE434F" w:rsidRPr="002F67B9">
        <w:rPr>
          <w:rFonts w:ascii="Arial" w:hAnsi="Arial" w:cs="Arial"/>
          <w:sz w:val="24"/>
          <w:szCs w:val="24"/>
          <w:lang w:val="en-ZA"/>
        </w:rPr>
        <w:t xml:space="preserve"> In </w:t>
      </w:r>
      <w:proofErr w:type="spellStart"/>
      <w:r w:rsidR="00CE434F" w:rsidRPr="00E23D3E">
        <w:rPr>
          <w:rFonts w:ascii="Arial" w:hAnsi="Arial" w:cs="Arial"/>
          <w:b/>
          <w:sz w:val="24"/>
          <w:szCs w:val="24"/>
          <w:lang w:val="en-ZA"/>
        </w:rPr>
        <w:t>Imobrite</w:t>
      </w:r>
      <w:proofErr w:type="spellEnd"/>
      <w:r w:rsidR="00CE434F" w:rsidRPr="002F67B9">
        <w:rPr>
          <w:rFonts w:ascii="Arial" w:hAnsi="Arial" w:cs="Arial"/>
          <w:sz w:val="24"/>
          <w:szCs w:val="24"/>
          <w:lang w:val="en-ZA"/>
        </w:rPr>
        <w:t xml:space="preserve"> the court aptly stated that ‘the concept of </w:t>
      </w:r>
      <w:proofErr w:type="spellStart"/>
      <w:r w:rsidR="00CE434F" w:rsidRPr="00E23D3E">
        <w:rPr>
          <w:rFonts w:ascii="Arial" w:hAnsi="Arial" w:cs="Arial"/>
          <w:i/>
          <w:sz w:val="24"/>
          <w:szCs w:val="24"/>
          <w:lang w:val="en-ZA"/>
        </w:rPr>
        <w:t>concursus</w:t>
      </w:r>
      <w:proofErr w:type="spellEnd"/>
      <w:r w:rsidR="00CE434F" w:rsidRPr="00E23D3E">
        <w:rPr>
          <w:rFonts w:ascii="Arial" w:hAnsi="Arial" w:cs="Arial"/>
          <w:i/>
          <w:sz w:val="24"/>
          <w:szCs w:val="24"/>
          <w:lang w:val="en-ZA"/>
        </w:rPr>
        <w:t xml:space="preserve"> </w:t>
      </w:r>
      <w:proofErr w:type="spellStart"/>
      <w:r w:rsidR="00CE434F" w:rsidRPr="00E23D3E">
        <w:rPr>
          <w:rFonts w:ascii="Arial" w:hAnsi="Arial" w:cs="Arial"/>
          <w:i/>
          <w:sz w:val="24"/>
          <w:szCs w:val="24"/>
          <w:lang w:val="en-ZA"/>
        </w:rPr>
        <w:t>creditoruim</w:t>
      </w:r>
      <w:proofErr w:type="spellEnd"/>
      <w:r w:rsidR="00CE434F" w:rsidRPr="002F67B9">
        <w:rPr>
          <w:rFonts w:ascii="Arial" w:hAnsi="Arial" w:cs="Arial"/>
          <w:sz w:val="24"/>
          <w:szCs w:val="24"/>
          <w:lang w:val="en-ZA"/>
        </w:rPr>
        <w:t xml:space="preserve"> (which refers to the establishment of a “body of creditors” for purposes of distributing the estate among creditors) is not a prerequisite for the granting of a winding-up order but rather a consequence of the winding-up order by operation of law.’</w:t>
      </w:r>
      <w:r w:rsidR="00CE434F" w:rsidRPr="002F67B9">
        <w:rPr>
          <w:rStyle w:val="FootnoteReference"/>
          <w:rFonts w:ascii="Arial" w:hAnsi="Arial" w:cs="Arial"/>
          <w:sz w:val="24"/>
          <w:szCs w:val="24"/>
          <w:lang w:val="en-ZA"/>
        </w:rPr>
        <w:footnoteReference w:id="7"/>
      </w:r>
    </w:p>
    <w:p w:rsidR="00546A1F" w:rsidRPr="002F67B9" w:rsidRDefault="00546A1F" w:rsidP="00520B5A">
      <w:pPr>
        <w:spacing w:after="0" w:line="360" w:lineRule="auto"/>
        <w:ind w:left="567" w:hanging="567"/>
        <w:jc w:val="both"/>
        <w:rPr>
          <w:rFonts w:ascii="Arial" w:hAnsi="Arial" w:cs="Arial"/>
          <w:sz w:val="24"/>
          <w:szCs w:val="24"/>
          <w:lang w:val="en-ZA"/>
        </w:rPr>
      </w:pPr>
    </w:p>
    <w:p w:rsidR="00432828" w:rsidRPr="002F67B9"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[13]</w:t>
      </w:r>
      <w:r w:rsidRPr="002F67B9">
        <w:rPr>
          <w:rFonts w:ascii="Arial" w:hAnsi="Arial" w:cs="Arial"/>
          <w:sz w:val="24"/>
          <w:szCs w:val="24"/>
          <w:lang w:val="en-ZA"/>
        </w:rPr>
        <w:tab/>
      </w:r>
      <w:r w:rsidR="00CE7BF0" w:rsidRPr="002F67B9">
        <w:rPr>
          <w:rFonts w:ascii="Arial" w:hAnsi="Arial" w:cs="Arial"/>
          <w:sz w:val="24"/>
          <w:szCs w:val="24"/>
          <w:lang w:val="en-ZA"/>
        </w:rPr>
        <w:t xml:space="preserve">It is unfortunate that the court </w:t>
      </w:r>
      <w:r w:rsidR="00CE7BF0" w:rsidRPr="009F0659">
        <w:rPr>
          <w:rFonts w:ascii="Arial" w:hAnsi="Arial" w:cs="Arial"/>
          <w:i/>
          <w:sz w:val="24"/>
          <w:szCs w:val="24"/>
          <w:lang w:val="en-ZA"/>
        </w:rPr>
        <w:t>a quo</w:t>
      </w:r>
      <w:r w:rsidR="00CE7BF0" w:rsidRPr="002F67B9">
        <w:rPr>
          <w:rFonts w:ascii="Arial" w:hAnsi="Arial" w:cs="Arial"/>
          <w:sz w:val="24"/>
          <w:szCs w:val="24"/>
          <w:lang w:val="en-ZA"/>
        </w:rPr>
        <w:t xml:space="preserve"> presented no authority for its proposition that courts should be hesitant to grant a winding-up order based on the say-so of a single creditor. There is no nee</w:t>
      </w:r>
      <w:r w:rsidR="005704C5">
        <w:rPr>
          <w:rFonts w:ascii="Arial" w:hAnsi="Arial" w:cs="Arial"/>
          <w:sz w:val="24"/>
          <w:szCs w:val="24"/>
          <w:lang w:val="en-ZA"/>
        </w:rPr>
        <w:t>d for any hesitation or doubt which has no factual foundation</w:t>
      </w:r>
      <w:r w:rsidR="00CE7BF0" w:rsidRPr="002F67B9">
        <w:rPr>
          <w:rFonts w:ascii="Arial" w:hAnsi="Arial" w:cs="Arial"/>
          <w:sz w:val="24"/>
          <w:szCs w:val="24"/>
          <w:lang w:val="en-ZA"/>
        </w:rPr>
        <w:t xml:space="preserve">. </w:t>
      </w:r>
      <w:r w:rsidR="0058719A">
        <w:rPr>
          <w:rFonts w:ascii="Arial" w:hAnsi="Arial" w:cs="Arial"/>
          <w:sz w:val="24"/>
          <w:szCs w:val="24"/>
          <w:lang w:val="en-ZA"/>
        </w:rPr>
        <w:t>In terms of section 346(1)(b) of t</w:t>
      </w:r>
      <w:r w:rsidR="004020CF">
        <w:rPr>
          <w:rFonts w:ascii="Arial" w:hAnsi="Arial" w:cs="Arial"/>
          <w:sz w:val="24"/>
          <w:szCs w:val="24"/>
          <w:lang w:val="en-ZA"/>
        </w:rPr>
        <w:t xml:space="preserve">he Act </w:t>
      </w:r>
      <w:r w:rsidR="0058719A">
        <w:rPr>
          <w:rFonts w:ascii="Arial" w:hAnsi="Arial" w:cs="Arial"/>
          <w:sz w:val="24"/>
          <w:szCs w:val="24"/>
          <w:lang w:val="en-ZA"/>
        </w:rPr>
        <w:t>an application for the winding-up of a company may be made by one or more creditors.</w:t>
      </w:r>
      <w:r w:rsidR="004020CF">
        <w:rPr>
          <w:rFonts w:ascii="Arial" w:hAnsi="Arial" w:cs="Arial"/>
          <w:sz w:val="24"/>
          <w:szCs w:val="24"/>
          <w:lang w:val="en-ZA"/>
        </w:rPr>
        <w:t xml:space="preserve"> </w:t>
      </w:r>
      <w:r w:rsidR="00CE7BF0" w:rsidRPr="002F67B9">
        <w:rPr>
          <w:rFonts w:ascii="Arial" w:hAnsi="Arial" w:cs="Arial"/>
          <w:sz w:val="24"/>
          <w:szCs w:val="24"/>
          <w:lang w:val="en-ZA"/>
        </w:rPr>
        <w:t xml:space="preserve">Generally, if a single </w:t>
      </w:r>
      <w:r w:rsidR="00CE7BF0" w:rsidRPr="002F67B9">
        <w:rPr>
          <w:rFonts w:ascii="Arial" w:hAnsi="Arial" w:cs="Arial"/>
          <w:sz w:val="24"/>
          <w:szCs w:val="24"/>
          <w:lang w:val="en-ZA"/>
        </w:rPr>
        <w:lastRenderedPageBreak/>
        <w:t xml:space="preserve">creditor establishes a </w:t>
      </w:r>
      <w:r w:rsidR="00CE7BF0" w:rsidRPr="00E23D3E">
        <w:rPr>
          <w:rFonts w:ascii="Arial" w:hAnsi="Arial" w:cs="Arial"/>
          <w:i/>
          <w:sz w:val="24"/>
          <w:szCs w:val="24"/>
          <w:lang w:val="en-ZA"/>
        </w:rPr>
        <w:t>prima facie</w:t>
      </w:r>
      <w:r w:rsidR="00CE7BF0" w:rsidRPr="002F67B9">
        <w:rPr>
          <w:rFonts w:ascii="Arial" w:hAnsi="Arial" w:cs="Arial"/>
          <w:sz w:val="24"/>
          <w:szCs w:val="24"/>
          <w:lang w:val="en-ZA"/>
        </w:rPr>
        <w:t xml:space="preserve"> case for the liquidation of a company and that company is unable to discharge the onus of showing that the debt is disputed on </w:t>
      </w:r>
      <w:r w:rsidR="00CE7BF0" w:rsidRPr="00E23D3E">
        <w:rPr>
          <w:rFonts w:ascii="Arial" w:hAnsi="Arial" w:cs="Arial"/>
          <w:i/>
          <w:sz w:val="24"/>
          <w:szCs w:val="24"/>
          <w:lang w:val="en-ZA"/>
        </w:rPr>
        <w:t>bona fide</w:t>
      </w:r>
      <w:r w:rsidR="00CE7BF0" w:rsidRPr="002F67B9">
        <w:rPr>
          <w:rFonts w:ascii="Arial" w:hAnsi="Arial" w:cs="Arial"/>
          <w:sz w:val="24"/>
          <w:szCs w:val="24"/>
          <w:lang w:val="en-ZA"/>
        </w:rPr>
        <w:t xml:space="preserve"> and reasonable grounds then a winding-up order should issue.</w:t>
      </w:r>
    </w:p>
    <w:p w:rsidR="00EE4AC4" w:rsidRDefault="00EE4AC4" w:rsidP="00520B5A">
      <w:pPr>
        <w:spacing w:after="0" w:line="360" w:lineRule="auto"/>
        <w:ind w:left="567" w:hanging="567"/>
        <w:jc w:val="both"/>
        <w:rPr>
          <w:rFonts w:ascii="Arial" w:hAnsi="Arial" w:cs="Arial"/>
          <w:sz w:val="24"/>
          <w:szCs w:val="24"/>
          <w:lang w:val="en-ZA"/>
        </w:rPr>
      </w:pPr>
    </w:p>
    <w:p w:rsidR="00B35EBE" w:rsidRPr="002F67B9" w:rsidRDefault="00EE4AC4" w:rsidP="00520B5A">
      <w:pPr>
        <w:spacing w:after="0" w:line="360" w:lineRule="auto"/>
        <w:ind w:left="567" w:hanging="567"/>
        <w:jc w:val="both"/>
        <w:rPr>
          <w:rFonts w:ascii="Arial" w:hAnsi="Arial" w:cs="Arial"/>
          <w:sz w:val="24"/>
          <w:szCs w:val="24"/>
          <w:lang w:val="en-ZA"/>
        </w:rPr>
      </w:pPr>
      <w:r>
        <w:rPr>
          <w:rFonts w:ascii="Arial" w:hAnsi="Arial" w:cs="Arial"/>
          <w:sz w:val="24"/>
          <w:szCs w:val="24"/>
          <w:lang w:val="en-ZA"/>
        </w:rPr>
        <w:t>[14]</w:t>
      </w:r>
      <w:r>
        <w:rPr>
          <w:rFonts w:ascii="Arial" w:hAnsi="Arial" w:cs="Arial"/>
          <w:sz w:val="24"/>
          <w:szCs w:val="24"/>
          <w:lang w:val="en-ZA"/>
        </w:rPr>
        <w:tab/>
      </w:r>
      <w:r w:rsidR="00B35EBE" w:rsidRPr="002F67B9">
        <w:rPr>
          <w:rFonts w:ascii="Arial" w:hAnsi="Arial" w:cs="Arial"/>
          <w:sz w:val="24"/>
          <w:szCs w:val="24"/>
          <w:lang w:val="en-ZA"/>
        </w:rPr>
        <w:t xml:space="preserve">In my view the court </w:t>
      </w:r>
      <w:r w:rsidR="00B35EBE" w:rsidRPr="009F0659">
        <w:rPr>
          <w:rFonts w:ascii="Arial" w:hAnsi="Arial" w:cs="Arial"/>
          <w:i/>
          <w:sz w:val="24"/>
          <w:szCs w:val="24"/>
          <w:lang w:val="en-ZA"/>
        </w:rPr>
        <w:t>a quo</w:t>
      </w:r>
      <w:r w:rsidR="00B35EBE" w:rsidRPr="002F67B9">
        <w:rPr>
          <w:rFonts w:ascii="Arial" w:hAnsi="Arial" w:cs="Arial"/>
          <w:sz w:val="24"/>
          <w:szCs w:val="24"/>
          <w:lang w:val="en-ZA"/>
        </w:rPr>
        <w:t xml:space="preserve"> exercised its discretion influenced by wrong principles and it reached a conclusion that could not be reached after a proper consideration of the facts and principles. It ought to have found, at the very least</w:t>
      </w:r>
      <w:r w:rsidR="005704C5">
        <w:rPr>
          <w:rFonts w:ascii="Arial" w:hAnsi="Arial" w:cs="Arial"/>
          <w:sz w:val="24"/>
          <w:szCs w:val="24"/>
          <w:lang w:val="en-ZA"/>
        </w:rPr>
        <w:t>,</w:t>
      </w:r>
      <w:r w:rsidR="00B35EBE" w:rsidRPr="002F67B9">
        <w:rPr>
          <w:rFonts w:ascii="Arial" w:hAnsi="Arial" w:cs="Arial"/>
          <w:sz w:val="24"/>
          <w:szCs w:val="24"/>
          <w:lang w:val="en-ZA"/>
        </w:rPr>
        <w:t xml:space="preserve"> that the respondent should be deemed to be unable to pay its debt.</w:t>
      </w:r>
      <w:r w:rsidR="003648E5" w:rsidRPr="002F67B9">
        <w:rPr>
          <w:rFonts w:ascii="Arial" w:hAnsi="Arial" w:cs="Arial"/>
          <w:sz w:val="24"/>
          <w:szCs w:val="24"/>
          <w:lang w:val="en-ZA"/>
        </w:rPr>
        <w:t xml:space="preserve"> There is another reason why the court </w:t>
      </w:r>
      <w:r w:rsidR="003648E5" w:rsidRPr="009F0659">
        <w:rPr>
          <w:rFonts w:ascii="Arial" w:hAnsi="Arial" w:cs="Arial"/>
          <w:i/>
          <w:sz w:val="24"/>
          <w:szCs w:val="24"/>
          <w:lang w:val="en-ZA"/>
        </w:rPr>
        <w:t>a quo</w:t>
      </w:r>
      <w:r w:rsidR="003648E5" w:rsidRPr="002F67B9">
        <w:rPr>
          <w:rFonts w:ascii="Arial" w:hAnsi="Arial" w:cs="Arial"/>
          <w:sz w:val="24"/>
          <w:szCs w:val="24"/>
          <w:lang w:val="en-ZA"/>
        </w:rPr>
        <w:t xml:space="preserve"> should have issued a </w:t>
      </w:r>
      <w:r w:rsidR="005704C5">
        <w:rPr>
          <w:rFonts w:ascii="Arial" w:hAnsi="Arial" w:cs="Arial"/>
          <w:sz w:val="24"/>
          <w:szCs w:val="24"/>
          <w:lang w:val="en-ZA"/>
        </w:rPr>
        <w:t xml:space="preserve">provisional </w:t>
      </w:r>
      <w:r w:rsidR="003648E5" w:rsidRPr="002F67B9">
        <w:rPr>
          <w:rFonts w:ascii="Arial" w:hAnsi="Arial" w:cs="Arial"/>
          <w:sz w:val="24"/>
          <w:szCs w:val="24"/>
          <w:lang w:val="en-ZA"/>
        </w:rPr>
        <w:t>liquidation order.</w:t>
      </w:r>
    </w:p>
    <w:p w:rsidR="00546A1F" w:rsidRPr="002F67B9" w:rsidRDefault="00546A1F" w:rsidP="00520B5A">
      <w:pPr>
        <w:spacing w:after="0" w:line="360" w:lineRule="auto"/>
        <w:ind w:left="567" w:hanging="567"/>
        <w:jc w:val="both"/>
        <w:rPr>
          <w:rFonts w:ascii="Arial" w:hAnsi="Arial" w:cs="Arial"/>
          <w:sz w:val="24"/>
          <w:szCs w:val="24"/>
          <w:lang w:val="en-ZA"/>
        </w:rPr>
      </w:pPr>
    </w:p>
    <w:p w:rsidR="00B35EBE" w:rsidRPr="002F67B9"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[1</w:t>
      </w:r>
      <w:r w:rsidR="00EE4AC4">
        <w:rPr>
          <w:rFonts w:ascii="Arial" w:hAnsi="Arial" w:cs="Arial"/>
          <w:sz w:val="24"/>
          <w:szCs w:val="24"/>
          <w:lang w:val="en-ZA"/>
        </w:rPr>
        <w:t>5</w:t>
      </w:r>
      <w:r w:rsidRPr="002F67B9">
        <w:rPr>
          <w:rFonts w:ascii="Arial" w:hAnsi="Arial" w:cs="Arial"/>
          <w:sz w:val="24"/>
          <w:szCs w:val="24"/>
          <w:lang w:val="en-ZA"/>
        </w:rPr>
        <w:t>]</w:t>
      </w:r>
      <w:r w:rsidRPr="002F67B9">
        <w:rPr>
          <w:rFonts w:ascii="Arial" w:hAnsi="Arial" w:cs="Arial"/>
          <w:sz w:val="24"/>
          <w:szCs w:val="24"/>
          <w:lang w:val="en-ZA"/>
        </w:rPr>
        <w:tab/>
      </w:r>
      <w:r w:rsidR="00CD2667" w:rsidRPr="002F67B9">
        <w:rPr>
          <w:rFonts w:ascii="Arial" w:hAnsi="Arial" w:cs="Arial"/>
          <w:sz w:val="24"/>
          <w:szCs w:val="24"/>
          <w:lang w:val="en-ZA"/>
        </w:rPr>
        <w:t xml:space="preserve">The directors, </w:t>
      </w:r>
      <w:r w:rsidR="005704C5">
        <w:rPr>
          <w:rFonts w:ascii="Arial" w:hAnsi="Arial" w:cs="Arial"/>
          <w:sz w:val="24"/>
          <w:szCs w:val="24"/>
          <w:lang w:val="en-ZA"/>
        </w:rPr>
        <w:t xml:space="preserve">Mr </w:t>
      </w:r>
      <w:r w:rsidR="00CD2667" w:rsidRPr="002F67B9">
        <w:rPr>
          <w:rFonts w:ascii="Arial" w:hAnsi="Arial" w:cs="Arial"/>
          <w:sz w:val="24"/>
          <w:szCs w:val="24"/>
          <w:lang w:val="en-ZA"/>
        </w:rPr>
        <w:t xml:space="preserve">Du Preez on the one hand and the Smits on the other, are at loggerheads. The Smits accuse </w:t>
      </w:r>
      <w:r w:rsidR="005704C5">
        <w:rPr>
          <w:rFonts w:ascii="Arial" w:hAnsi="Arial" w:cs="Arial"/>
          <w:sz w:val="24"/>
          <w:szCs w:val="24"/>
          <w:lang w:val="en-ZA"/>
        </w:rPr>
        <w:t xml:space="preserve">Mr </w:t>
      </w:r>
      <w:r w:rsidR="00CD2667" w:rsidRPr="002F67B9">
        <w:rPr>
          <w:rFonts w:ascii="Arial" w:hAnsi="Arial" w:cs="Arial"/>
          <w:sz w:val="24"/>
          <w:szCs w:val="24"/>
          <w:lang w:val="en-ZA"/>
        </w:rPr>
        <w:t>Du Preez of fraud</w:t>
      </w:r>
      <w:r w:rsidR="00CD2658" w:rsidRPr="002F67B9">
        <w:rPr>
          <w:rFonts w:ascii="Arial" w:hAnsi="Arial" w:cs="Arial"/>
          <w:sz w:val="24"/>
          <w:szCs w:val="24"/>
          <w:lang w:val="en-ZA"/>
        </w:rPr>
        <w:t xml:space="preserve"> regarding the respondent’s assets</w:t>
      </w:r>
      <w:r w:rsidR="00CD2667" w:rsidRPr="002F67B9">
        <w:rPr>
          <w:rFonts w:ascii="Arial" w:hAnsi="Arial" w:cs="Arial"/>
          <w:sz w:val="24"/>
          <w:szCs w:val="24"/>
          <w:lang w:val="en-ZA"/>
        </w:rPr>
        <w:t xml:space="preserve"> and they have laid criminal charges against him. </w:t>
      </w:r>
      <w:r w:rsidR="005704C5">
        <w:rPr>
          <w:rFonts w:ascii="Arial" w:hAnsi="Arial" w:cs="Arial"/>
          <w:sz w:val="24"/>
          <w:szCs w:val="24"/>
          <w:lang w:val="en-ZA"/>
        </w:rPr>
        <w:t xml:space="preserve">Mr </w:t>
      </w:r>
      <w:r w:rsidR="00CD2667" w:rsidRPr="002F67B9">
        <w:rPr>
          <w:rFonts w:ascii="Arial" w:hAnsi="Arial" w:cs="Arial"/>
          <w:sz w:val="24"/>
          <w:szCs w:val="24"/>
          <w:lang w:val="en-ZA"/>
        </w:rPr>
        <w:t>Du Preez changed the bank account of the respondent and denied t</w:t>
      </w:r>
      <w:r w:rsidR="005704C5">
        <w:rPr>
          <w:rFonts w:ascii="Arial" w:hAnsi="Arial" w:cs="Arial"/>
          <w:sz w:val="24"/>
          <w:szCs w:val="24"/>
          <w:lang w:val="en-ZA"/>
        </w:rPr>
        <w:t>he other directors access to its</w:t>
      </w:r>
      <w:r w:rsidR="00CD2667" w:rsidRPr="002F67B9">
        <w:rPr>
          <w:rFonts w:ascii="Arial" w:hAnsi="Arial" w:cs="Arial"/>
          <w:sz w:val="24"/>
          <w:szCs w:val="24"/>
          <w:lang w:val="en-ZA"/>
        </w:rPr>
        <w:t xml:space="preserve"> bank statements and records.</w:t>
      </w:r>
      <w:r w:rsidR="00B35EBE" w:rsidRPr="002F67B9">
        <w:rPr>
          <w:rFonts w:ascii="Arial" w:hAnsi="Arial" w:cs="Arial"/>
          <w:sz w:val="24"/>
          <w:szCs w:val="24"/>
          <w:lang w:val="en-ZA"/>
        </w:rPr>
        <w:t xml:space="preserve"> </w:t>
      </w:r>
      <w:r w:rsidR="00CD2667" w:rsidRPr="002F67B9">
        <w:rPr>
          <w:rFonts w:ascii="Arial" w:hAnsi="Arial" w:cs="Arial"/>
          <w:sz w:val="24"/>
          <w:szCs w:val="24"/>
          <w:lang w:val="en-ZA"/>
        </w:rPr>
        <w:t>The respondent has not submitted its annual re</w:t>
      </w:r>
      <w:r w:rsidR="005704C5">
        <w:rPr>
          <w:rFonts w:ascii="Arial" w:hAnsi="Arial" w:cs="Arial"/>
          <w:sz w:val="24"/>
          <w:szCs w:val="24"/>
          <w:lang w:val="en-ZA"/>
        </w:rPr>
        <w:t>turns</w:t>
      </w:r>
      <w:r w:rsidR="00CD2667" w:rsidRPr="002F67B9">
        <w:rPr>
          <w:rFonts w:ascii="Arial" w:hAnsi="Arial" w:cs="Arial"/>
          <w:sz w:val="24"/>
          <w:szCs w:val="24"/>
          <w:lang w:val="en-ZA"/>
        </w:rPr>
        <w:t xml:space="preserve"> to the CIPC</w:t>
      </w:r>
      <w:r w:rsidR="005704C5">
        <w:rPr>
          <w:rFonts w:ascii="Arial" w:hAnsi="Arial" w:cs="Arial"/>
          <w:sz w:val="24"/>
          <w:szCs w:val="24"/>
          <w:lang w:val="en-ZA"/>
        </w:rPr>
        <w:t>, for at least four years,</w:t>
      </w:r>
      <w:r w:rsidR="00CD2667" w:rsidRPr="002F67B9">
        <w:rPr>
          <w:rFonts w:ascii="Arial" w:hAnsi="Arial" w:cs="Arial"/>
          <w:sz w:val="24"/>
          <w:szCs w:val="24"/>
          <w:lang w:val="en-ZA"/>
        </w:rPr>
        <w:t xml:space="preserve"> and is in the process of being </w:t>
      </w:r>
      <w:r w:rsidR="00CD2658" w:rsidRPr="002F67B9">
        <w:rPr>
          <w:rFonts w:ascii="Arial" w:hAnsi="Arial" w:cs="Arial"/>
          <w:sz w:val="24"/>
          <w:szCs w:val="24"/>
          <w:lang w:val="en-ZA"/>
        </w:rPr>
        <w:t>de</w:t>
      </w:r>
      <w:r w:rsidR="00CD2667" w:rsidRPr="002F67B9">
        <w:rPr>
          <w:rFonts w:ascii="Arial" w:hAnsi="Arial" w:cs="Arial"/>
          <w:sz w:val="24"/>
          <w:szCs w:val="24"/>
          <w:lang w:val="en-ZA"/>
        </w:rPr>
        <w:t xml:space="preserve">registered. The Smits were unaware of the deregistration process and only became aware of it during these proceedings. The three directors had not met since 2020. </w:t>
      </w:r>
      <w:r w:rsidR="005704C5">
        <w:rPr>
          <w:rFonts w:ascii="Arial" w:hAnsi="Arial" w:cs="Arial"/>
          <w:sz w:val="24"/>
          <w:szCs w:val="24"/>
          <w:lang w:val="en-ZA"/>
        </w:rPr>
        <w:t xml:space="preserve">Mr </w:t>
      </w:r>
      <w:r w:rsidR="00CD2667" w:rsidRPr="002F67B9">
        <w:rPr>
          <w:rFonts w:ascii="Arial" w:hAnsi="Arial" w:cs="Arial"/>
          <w:sz w:val="24"/>
          <w:szCs w:val="24"/>
          <w:lang w:val="en-ZA"/>
        </w:rPr>
        <w:t xml:space="preserve">Du Preez took decisions on behalf of the respondent without properly involving the other directors. Mr Smit represented the respondent in a lease agreement </w:t>
      </w:r>
      <w:r w:rsidR="003648E5" w:rsidRPr="002F67B9">
        <w:rPr>
          <w:rFonts w:ascii="Arial" w:hAnsi="Arial" w:cs="Arial"/>
          <w:sz w:val="24"/>
          <w:szCs w:val="24"/>
          <w:lang w:val="en-ZA"/>
        </w:rPr>
        <w:t xml:space="preserve">between the respondent and SSS </w:t>
      </w:r>
      <w:r w:rsidR="00CD2667" w:rsidRPr="002F67B9">
        <w:rPr>
          <w:rFonts w:ascii="Arial" w:hAnsi="Arial" w:cs="Arial"/>
          <w:sz w:val="24"/>
          <w:szCs w:val="24"/>
          <w:lang w:val="en-ZA"/>
        </w:rPr>
        <w:t>wherein Mrs</w:t>
      </w:r>
      <w:r w:rsidR="003648E5" w:rsidRPr="002F67B9">
        <w:rPr>
          <w:rFonts w:ascii="Arial" w:hAnsi="Arial" w:cs="Arial"/>
          <w:sz w:val="24"/>
          <w:szCs w:val="24"/>
          <w:lang w:val="en-ZA"/>
        </w:rPr>
        <w:t xml:space="preserve"> Smit represented SSS. The corporate personality of the respondent and the legal prescripts with regard thereto were completely ignored by the directors. It is therefore blindingly obvious that it would be just and equitable to liquidate the respondent. </w:t>
      </w:r>
    </w:p>
    <w:p w:rsidR="00546A1F" w:rsidRPr="002F67B9" w:rsidRDefault="00546A1F" w:rsidP="00520B5A">
      <w:pPr>
        <w:spacing w:after="0" w:line="360" w:lineRule="auto"/>
        <w:ind w:left="567" w:hanging="567"/>
        <w:jc w:val="both"/>
        <w:rPr>
          <w:rFonts w:ascii="Arial" w:hAnsi="Arial" w:cs="Arial"/>
          <w:sz w:val="24"/>
          <w:szCs w:val="24"/>
          <w:lang w:val="en-ZA"/>
        </w:rPr>
      </w:pPr>
    </w:p>
    <w:p w:rsidR="0067171F" w:rsidRPr="002F67B9" w:rsidRDefault="00546A1F" w:rsidP="00520B5A">
      <w:pPr>
        <w:spacing w:after="0" w:line="360" w:lineRule="auto"/>
        <w:ind w:left="567" w:hanging="567"/>
        <w:jc w:val="both"/>
        <w:rPr>
          <w:rFonts w:ascii="Arial" w:hAnsi="Arial" w:cs="Arial"/>
          <w:sz w:val="24"/>
          <w:szCs w:val="24"/>
          <w:lang w:val="en-ZA"/>
        </w:rPr>
      </w:pPr>
      <w:r w:rsidRPr="002F67B9">
        <w:rPr>
          <w:rFonts w:ascii="Arial" w:hAnsi="Arial" w:cs="Arial"/>
          <w:sz w:val="24"/>
          <w:szCs w:val="24"/>
          <w:lang w:val="en-ZA"/>
        </w:rPr>
        <w:t>[1</w:t>
      </w:r>
      <w:r w:rsidR="00EE4AC4">
        <w:rPr>
          <w:rFonts w:ascii="Arial" w:hAnsi="Arial" w:cs="Arial"/>
          <w:sz w:val="24"/>
          <w:szCs w:val="24"/>
          <w:lang w:val="en-ZA"/>
        </w:rPr>
        <w:t>6</w:t>
      </w:r>
      <w:r w:rsidRPr="002F67B9">
        <w:rPr>
          <w:rFonts w:ascii="Arial" w:hAnsi="Arial" w:cs="Arial"/>
          <w:sz w:val="24"/>
          <w:szCs w:val="24"/>
          <w:lang w:val="en-ZA"/>
        </w:rPr>
        <w:t>]</w:t>
      </w:r>
      <w:r w:rsidRPr="002F67B9">
        <w:rPr>
          <w:rFonts w:ascii="Arial" w:hAnsi="Arial" w:cs="Arial"/>
          <w:sz w:val="24"/>
          <w:szCs w:val="24"/>
          <w:lang w:val="en-ZA"/>
        </w:rPr>
        <w:tab/>
      </w:r>
      <w:r w:rsidR="00CD2658" w:rsidRPr="002F67B9">
        <w:rPr>
          <w:rFonts w:ascii="Arial" w:hAnsi="Arial" w:cs="Arial"/>
          <w:sz w:val="24"/>
          <w:szCs w:val="24"/>
          <w:lang w:val="en-ZA"/>
        </w:rPr>
        <w:t xml:space="preserve">The appeal ought to succeed. The applicants sought a provisional liquidation order in the court </w:t>
      </w:r>
      <w:r w:rsidR="00CD2658" w:rsidRPr="009F0659">
        <w:rPr>
          <w:rFonts w:ascii="Arial" w:hAnsi="Arial" w:cs="Arial"/>
          <w:i/>
          <w:sz w:val="24"/>
          <w:szCs w:val="24"/>
          <w:lang w:val="en-ZA"/>
        </w:rPr>
        <w:t>a quo</w:t>
      </w:r>
      <w:r w:rsidR="006B4FB6">
        <w:rPr>
          <w:rFonts w:ascii="Arial" w:hAnsi="Arial" w:cs="Arial"/>
          <w:sz w:val="24"/>
          <w:szCs w:val="24"/>
          <w:lang w:val="en-ZA"/>
        </w:rPr>
        <w:t xml:space="preserve"> and </w:t>
      </w:r>
      <w:r w:rsidR="00034FF5">
        <w:rPr>
          <w:rFonts w:ascii="Arial" w:hAnsi="Arial" w:cs="Arial"/>
          <w:sz w:val="24"/>
          <w:szCs w:val="24"/>
          <w:lang w:val="en-ZA"/>
        </w:rPr>
        <w:t xml:space="preserve">such </w:t>
      </w:r>
      <w:r w:rsidR="006B4FB6">
        <w:rPr>
          <w:rFonts w:ascii="Arial" w:hAnsi="Arial" w:cs="Arial"/>
          <w:sz w:val="24"/>
          <w:szCs w:val="24"/>
          <w:lang w:val="en-ZA"/>
        </w:rPr>
        <w:t>order should have been issued.</w:t>
      </w:r>
      <w:r w:rsidR="00CD2658" w:rsidRPr="002F67B9">
        <w:rPr>
          <w:rFonts w:ascii="Arial" w:hAnsi="Arial" w:cs="Arial"/>
          <w:sz w:val="24"/>
          <w:szCs w:val="24"/>
          <w:lang w:val="en-ZA"/>
        </w:rPr>
        <w:t xml:space="preserve"> </w:t>
      </w:r>
    </w:p>
    <w:p w:rsidR="00EE4AC4" w:rsidRDefault="00EE4AC4" w:rsidP="00520B5A">
      <w:pPr>
        <w:spacing w:after="0" w:line="360" w:lineRule="auto"/>
        <w:ind w:left="567" w:hanging="567"/>
        <w:jc w:val="both"/>
        <w:rPr>
          <w:rFonts w:ascii="Arial" w:hAnsi="Arial" w:cs="Arial"/>
          <w:sz w:val="24"/>
          <w:szCs w:val="24"/>
          <w:lang w:val="en-ZA"/>
        </w:rPr>
      </w:pPr>
    </w:p>
    <w:p w:rsidR="00CD2658" w:rsidRDefault="00EE4AC4" w:rsidP="00520B5A">
      <w:pPr>
        <w:spacing w:after="0" w:line="360" w:lineRule="auto"/>
        <w:ind w:left="567" w:hanging="567"/>
        <w:jc w:val="both"/>
        <w:rPr>
          <w:rFonts w:ascii="Arial" w:hAnsi="Arial" w:cs="Arial"/>
          <w:sz w:val="24"/>
          <w:szCs w:val="24"/>
          <w:lang w:val="en-ZA"/>
        </w:rPr>
      </w:pPr>
      <w:r>
        <w:rPr>
          <w:rFonts w:ascii="Arial" w:hAnsi="Arial" w:cs="Arial"/>
          <w:sz w:val="24"/>
          <w:szCs w:val="24"/>
          <w:lang w:val="en-ZA"/>
        </w:rPr>
        <w:t>[17]</w:t>
      </w:r>
      <w:r>
        <w:rPr>
          <w:rFonts w:ascii="Arial" w:hAnsi="Arial" w:cs="Arial"/>
          <w:sz w:val="24"/>
          <w:szCs w:val="24"/>
          <w:lang w:val="en-ZA"/>
        </w:rPr>
        <w:tab/>
      </w:r>
      <w:r w:rsidR="00CD2658" w:rsidRPr="002F67B9">
        <w:rPr>
          <w:rFonts w:ascii="Arial" w:hAnsi="Arial" w:cs="Arial"/>
          <w:sz w:val="24"/>
          <w:szCs w:val="24"/>
          <w:lang w:val="en-ZA"/>
        </w:rPr>
        <w:t>The following order is granted:</w:t>
      </w:r>
    </w:p>
    <w:p w:rsidR="00EE4AC4" w:rsidRPr="002F67B9" w:rsidRDefault="00EE4AC4" w:rsidP="00520B5A">
      <w:pPr>
        <w:spacing w:after="0" w:line="360" w:lineRule="auto"/>
        <w:ind w:left="567" w:hanging="567"/>
        <w:jc w:val="both"/>
        <w:rPr>
          <w:rFonts w:ascii="Arial" w:hAnsi="Arial" w:cs="Arial"/>
          <w:sz w:val="24"/>
          <w:szCs w:val="24"/>
          <w:lang w:val="en-ZA"/>
        </w:rPr>
      </w:pPr>
    </w:p>
    <w:p w:rsidR="00CD2658" w:rsidRPr="002F67B9" w:rsidRDefault="00EE4AC4" w:rsidP="00EE4AC4">
      <w:pPr>
        <w:spacing w:after="0" w:line="360" w:lineRule="auto"/>
        <w:ind w:left="1134" w:hanging="567"/>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CD2658" w:rsidRPr="002F67B9">
        <w:rPr>
          <w:rFonts w:ascii="Arial" w:hAnsi="Arial" w:cs="Arial"/>
          <w:sz w:val="24"/>
          <w:szCs w:val="24"/>
          <w:lang w:val="en-ZA"/>
        </w:rPr>
        <w:t>The appeal is upheld.</w:t>
      </w:r>
    </w:p>
    <w:p w:rsidR="00EE4AC4" w:rsidRDefault="00EE4AC4" w:rsidP="00EE4AC4">
      <w:pPr>
        <w:spacing w:after="0" w:line="360" w:lineRule="auto"/>
        <w:ind w:left="567"/>
        <w:jc w:val="both"/>
        <w:rPr>
          <w:rFonts w:ascii="Arial" w:hAnsi="Arial" w:cs="Arial"/>
          <w:sz w:val="24"/>
          <w:szCs w:val="24"/>
          <w:lang w:val="en-ZA"/>
        </w:rPr>
      </w:pPr>
    </w:p>
    <w:p w:rsidR="00CD2658" w:rsidRPr="002F67B9" w:rsidRDefault="00EE4AC4" w:rsidP="00EE4AC4">
      <w:pPr>
        <w:spacing w:after="0" w:line="360" w:lineRule="auto"/>
        <w:ind w:left="1134" w:hanging="567"/>
        <w:jc w:val="both"/>
        <w:rPr>
          <w:rFonts w:ascii="Arial" w:hAnsi="Arial" w:cs="Arial"/>
          <w:sz w:val="24"/>
          <w:szCs w:val="24"/>
          <w:lang w:val="en-ZA"/>
        </w:rPr>
      </w:pPr>
      <w:r>
        <w:rPr>
          <w:rFonts w:ascii="Arial" w:hAnsi="Arial" w:cs="Arial"/>
          <w:sz w:val="24"/>
          <w:szCs w:val="24"/>
          <w:lang w:val="en-ZA"/>
        </w:rPr>
        <w:lastRenderedPageBreak/>
        <w:t>2.</w:t>
      </w:r>
      <w:r>
        <w:rPr>
          <w:rFonts w:ascii="Arial" w:hAnsi="Arial" w:cs="Arial"/>
          <w:sz w:val="24"/>
          <w:szCs w:val="24"/>
          <w:lang w:val="en-ZA"/>
        </w:rPr>
        <w:tab/>
      </w:r>
      <w:r w:rsidR="00CD2658" w:rsidRPr="002F67B9">
        <w:rPr>
          <w:rFonts w:ascii="Arial" w:hAnsi="Arial" w:cs="Arial"/>
          <w:sz w:val="24"/>
          <w:szCs w:val="24"/>
          <w:lang w:val="en-ZA"/>
        </w:rPr>
        <w:t xml:space="preserve">The order of the court </w:t>
      </w:r>
      <w:r w:rsidR="00CD2658" w:rsidRPr="00EE4AC4">
        <w:rPr>
          <w:rFonts w:ascii="Arial" w:hAnsi="Arial" w:cs="Arial"/>
          <w:i/>
          <w:sz w:val="24"/>
          <w:szCs w:val="24"/>
          <w:lang w:val="en-ZA"/>
        </w:rPr>
        <w:t>a quo</w:t>
      </w:r>
      <w:r w:rsidR="00CD2658" w:rsidRPr="002F67B9">
        <w:rPr>
          <w:rFonts w:ascii="Arial" w:hAnsi="Arial" w:cs="Arial"/>
          <w:sz w:val="24"/>
          <w:szCs w:val="24"/>
          <w:lang w:val="en-ZA"/>
        </w:rPr>
        <w:t xml:space="preserve"> is set aside and replaced with the following:</w:t>
      </w:r>
    </w:p>
    <w:p w:rsidR="00EE4AC4" w:rsidRDefault="00EE4AC4" w:rsidP="00520B5A">
      <w:pPr>
        <w:spacing w:after="0" w:line="360" w:lineRule="auto"/>
        <w:ind w:left="1134" w:hanging="567"/>
        <w:jc w:val="both"/>
        <w:rPr>
          <w:rFonts w:ascii="Arial" w:hAnsi="Arial" w:cs="Arial"/>
          <w:sz w:val="24"/>
          <w:szCs w:val="24"/>
        </w:rPr>
      </w:pPr>
    </w:p>
    <w:p w:rsidR="002F67B9" w:rsidRPr="002F67B9" w:rsidRDefault="002F67B9" w:rsidP="00EE4AC4">
      <w:pPr>
        <w:spacing w:after="0" w:line="360" w:lineRule="auto"/>
        <w:ind w:left="1985" w:hanging="567"/>
        <w:jc w:val="both"/>
        <w:rPr>
          <w:rFonts w:ascii="Arial" w:hAnsi="Arial" w:cs="Arial"/>
          <w:sz w:val="24"/>
          <w:szCs w:val="24"/>
        </w:rPr>
      </w:pPr>
      <w:r w:rsidRPr="002F67B9">
        <w:rPr>
          <w:rFonts w:ascii="Arial" w:hAnsi="Arial" w:cs="Arial"/>
          <w:sz w:val="24"/>
          <w:szCs w:val="24"/>
        </w:rPr>
        <w:t>‘(a)</w:t>
      </w:r>
      <w:r w:rsidR="00520B5A">
        <w:rPr>
          <w:rFonts w:ascii="Arial" w:hAnsi="Arial" w:cs="Arial"/>
          <w:sz w:val="24"/>
          <w:szCs w:val="24"/>
        </w:rPr>
        <w:tab/>
      </w:r>
      <w:r w:rsidRPr="006B4FB6">
        <w:rPr>
          <w:rFonts w:ascii="Arial" w:hAnsi="Arial" w:cs="Arial"/>
          <w:sz w:val="24"/>
          <w:szCs w:val="24"/>
        </w:rPr>
        <w:t xml:space="preserve">The respondent, </w:t>
      </w:r>
      <w:proofErr w:type="spellStart"/>
      <w:r w:rsidR="005F1FC2" w:rsidRPr="006B4FB6">
        <w:rPr>
          <w:rFonts w:ascii="Arial" w:hAnsi="Arial" w:cs="Arial"/>
          <w:sz w:val="24"/>
          <w:szCs w:val="24"/>
        </w:rPr>
        <w:t>Kalro</w:t>
      </w:r>
      <w:proofErr w:type="spellEnd"/>
      <w:r w:rsidR="005F1FC2" w:rsidRPr="006B4FB6">
        <w:rPr>
          <w:rFonts w:ascii="Arial" w:hAnsi="Arial" w:cs="Arial"/>
          <w:sz w:val="24"/>
          <w:szCs w:val="24"/>
        </w:rPr>
        <w:t xml:space="preserve"> Framing (Pty) Ltd</w:t>
      </w:r>
      <w:r w:rsidRPr="006B4FB6">
        <w:rPr>
          <w:rFonts w:ascii="Arial" w:hAnsi="Arial" w:cs="Arial"/>
          <w:sz w:val="24"/>
          <w:szCs w:val="24"/>
        </w:rPr>
        <w:t xml:space="preserve">, is placed under a provisional order of winding-up in the hands of the Master of the </w:t>
      </w:r>
      <w:r w:rsidR="005F1FC2" w:rsidRPr="006B4FB6">
        <w:rPr>
          <w:rFonts w:ascii="Arial" w:hAnsi="Arial" w:cs="Arial"/>
          <w:sz w:val="24"/>
          <w:szCs w:val="24"/>
        </w:rPr>
        <w:t xml:space="preserve">Free State </w:t>
      </w:r>
      <w:r w:rsidRPr="006B4FB6">
        <w:rPr>
          <w:rFonts w:ascii="Arial" w:hAnsi="Arial" w:cs="Arial"/>
          <w:sz w:val="24"/>
          <w:szCs w:val="24"/>
        </w:rPr>
        <w:t xml:space="preserve">Division of the High Court, </w:t>
      </w:r>
      <w:r w:rsidR="005F1FC2" w:rsidRPr="006B4FB6">
        <w:rPr>
          <w:rFonts w:ascii="Arial" w:hAnsi="Arial" w:cs="Arial"/>
          <w:sz w:val="24"/>
          <w:szCs w:val="24"/>
        </w:rPr>
        <w:t>Bloemfontein</w:t>
      </w:r>
      <w:r w:rsidRPr="006B4FB6">
        <w:rPr>
          <w:rFonts w:ascii="Arial" w:hAnsi="Arial" w:cs="Arial"/>
          <w:sz w:val="24"/>
          <w:szCs w:val="24"/>
        </w:rPr>
        <w:t>.</w:t>
      </w:r>
      <w:r w:rsidRPr="002F67B9">
        <w:rPr>
          <w:rFonts w:ascii="Arial" w:hAnsi="Arial" w:cs="Arial"/>
          <w:sz w:val="24"/>
          <w:szCs w:val="24"/>
        </w:rPr>
        <w:t xml:space="preserve"> </w:t>
      </w:r>
    </w:p>
    <w:p w:rsidR="002F67B9" w:rsidRPr="002F67B9" w:rsidRDefault="002F67B9" w:rsidP="00EE4AC4">
      <w:pPr>
        <w:spacing w:after="0" w:line="360" w:lineRule="auto"/>
        <w:ind w:left="1985" w:hanging="567"/>
        <w:jc w:val="both"/>
        <w:rPr>
          <w:rFonts w:ascii="Arial" w:hAnsi="Arial" w:cs="Arial"/>
          <w:sz w:val="24"/>
          <w:szCs w:val="24"/>
        </w:rPr>
      </w:pPr>
      <w:r w:rsidRPr="002F67B9">
        <w:rPr>
          <w:rFonts w:ascii="Arial" w:hAnsi="Arial" w:cs="Arial"/>
          <w:sz w:val="24"/>
          <w:szCs w:val="24"/>
        </w:rPr>
        <w:t xml:space="preserve">(b) </w:t>
      </w:r>
      <w:r w:rsidR="00520B5A">
        <w:rPr>
          <w:rFonts w:ascii="Arial" w:hAnsi="Arial" w:cs="Arial"/>
          <w:sz w:val="24"/>
          <w:szCs w:val="24"/>
        </w:rPr>
        <w:tab/>
      </w:r>
      <w:r w:rsidRPr="002F67B9">
        <w:rPr>
          <w:rFonts w:ascii="Arial" w:hAnsi="Arial" w:cs="Arial"/>
          <w:sz w:val="24"/>
          <w:szCs w:val="24"/>
        </w:rPr>
        <w:t xml:space="preserve">A rule nisi is issued calling upon the respondent and all interested parties to show cause, if any, </w:t>
      </w:r>
      <w:r w:rsidR="00034FF5">
        <w:rPr>
          <w:rFonts w:ascii="Arial" w:hAnsi="Arial" w:cs="Arial"/>
          <w:sz w:val="24"/>
          <w:szCs w:val="24"/>
        </w:rPr>
        <w:t>on Thursday 02 March 2023,</w:t>
      </w:r>
      <w:r w:rsidRPr="002F67B9">
        <w:rPr>
          <w:rFonts w:ascii="Arial" w:hAnsi="Arial" w:cs="Arial"/>
          <w:sz w:val="24"/>
          <w:szCs w:val="24"/>
        </w:rPr>
        <w:t xml:space="preserve"> as to why: </w:t>
      </w:r>
    </w:p>
    <w:p w:rsidR="002F67B9" w:rsidRPr="002F67B9" w:rsidRDefault="002F67B9" w:rsidP="00EE4AC4">
      <w:pPr>
        <w:spacing w:after="0" w:line="360" w:lineRule="auto"/>
        <w:ind w:left="2552" w:hanging="567"/>
        <w:jc w:val="both"/>
        <w:rPr>
          <w:rFonts w:ascii="Arial" w:hAnsi="Arial" w:cs="Arial"/>
          <w:sz w:val="24"/>
          <w:szCs w:val="24"/>
        </w:rPr>
      </w:pPr>
      <w:r w:rsidRPr="002F67B9">
        <w:rPr>
          <w:rFonts w:ascii="Arial" w:hAnsi="Arial" w:cs="Arial"/>
          <w:sz w:val="24"/>
          <w:szCs w:val="24"/>
        </w:rPr>
        <w:t>(</w:t>
      </w:r>
      <w:proofErr w:type="spellStart"/>
      <w:r w:rsidRPr="002F67B9">
        <w:rPr>
          <w:rFonts w:ascii="Arial" w:hAnsi="Arial" w:cs="Arial"/>
          <w:sz w:val="24"/>
          <w:szCs w:val="24"/>
        </w:rPr>
        <w:t>i</w:t>
      </w:r>
      <w:proofErr w:type="spellEnd"/>
      <w:r w:rsidRPr="002F67B9">
        <w:rPr>
          <w:rFonts w:ascii="Arial" w:hAnsi="Arial" w:cs="Arial"/>
          <w:sz w:val="24"/>
          <w:szCs w:val="24"/>
        </w:rPr>
        <w:t xml:space="preserve">) </w:t>
      </w:r>
      <w:r w:rsidR="00520B5A">
        <w:rPr>
          <w:rFonts w:ascii="Arial" w:hAnsi="Arial" w:cs="Arial"/>
          <w:sz w:val="24"/>
          <w:szCs w:val="24"/>
        </w:rPr>
        <w:tab/>
      </w:r>
      <w:r w:rsidRPr="002F67B9">
        <w:rPr>
          <w:rFonts w:ascii="Arial" w:hAnsi="Arial" w:cs="Arial"/>
          <w:sz w:val="24"/>
          <w:szCs w:val="24"/>
        </w:rPr>
        <w:t xml:space="preserve">the respondent should not be placed under a final order of winding-up; and </w:t>
      </w:r>
    </w:p>
    <w:p w:rsidR="002F67B9" w:rsidRDefault="002F67B9" w:rsidP="00EE4AC4">
      <w:pPr>
        <w:spacing w:after="0" w:line="360" w:lineRule="auto"/>
        <w:ind w:left="2552" w:hanging="567"/>
        <w:jc w:val="both"/>
        <w:rPr>
          <w:rFonts w:ascii="Arial" w:hAnsi="Arial" w:cs="Arial"/>
          <w:sz w:val="24"/>
          <w:szCs w:val="24"/>
        </w:rPr>
      </w:pPr>
      <w:r w:rsidRPr="002F67B9">
        <w:rPr>
          <w:rFonts w:ascii="Arial" w:hAnsi="Arial" w:cs="Arial"/>
          <w:sz w:val="24"/>
          <w:szCs w:val="24"/>
        </w:rPr>
        <w:t xml:space="preserve">(ii) </w:t>
      </w:r>
      <w:r w:rsidR="00520B5A">
        <w:rPr>
          <w:rFonts w:ascii="Arial" w:hAnsi="Arial" w:cs="Arial"/>
          <w:sz w:val="24"/>
          <w:szCs w:val="24"/>
        </w:rPr>
        <w:tab/>
      </w:r>
      <w:r w:rsidRPr="002F67B9">
        <w:rPr>
          <w:rFonts w:ascii="Arial" w:hAnsi="Arial" w:cs="Arial"/>
          <w:sz w:val="24"/>
          <w:szCs w:val="24"/>
        </w:rPr>
        <w:t xml:space="preserve">the costs of this application should not be costs in the winding-up of the respondent. </w:t>
      </w:r>
    </w:p>
    <w:p w:rsidR="00EE4AC4" w:rsidRPr="002F67B9" w:rsidRDefault="00EE4AC4" w:rsidP="00EE4AC4">
      <w:pPr>
        <w:spacing w:after="0" w:line="360" w:lineRule="auto"/>
        <w:ind w:left="2552" w:hanging="567"/>
        <w:jc w:val="both"/>
        <w:rPr>
          <w:rFonts w:ascii="Arial" w:hAnsi="Arial" w:cs="Arial"/>
          <w:sz w:val="24"/>
          <w:szCs w:val="24"/>
        </w:rPr>
      </w:pPr>
    </w:p>
    <w:p w:rsidR="002F67B9" w:rsidRPr="002F67B9" w:rsidRDefault="002F67B9" w:rsidP="00EE4AC4">
      <w:pPr>
        <w:spacing w:after="0" w:line="360" w:lineRule="auto"/>
        <w:ind w:left="1985" w:hanging="567"/>
        <w:jc w:val="both"/>
        <w:rPr>
          <w:rFonts w:ascii="Arial" w:hAnsi="Arial" w:cs="Arial"/>
          <w:sz w:val="24"/>
          <w:szCs w:val="24"/>
        </w:rPr>
      </w:pPr>
      <w:r w:rsidRPr="002F67B9">
        <w:rPr>
          <w:rFonts w:ascii="Arial" w:hAnsi="Arial" w:cs="Arial"/>
          <w:sz w:val="24"/>
          <w:szCs w:val="24"/>
        </w:rPr>
        <w:t xml:space="preserve">(c) </w:t>
      </w:r>
      <w:r w:rsidR="00520B5A">
        <w:rPr>
          <w:rFonts w:ascii="Arial" w:hAnsi="Arial" w:cs="Arial"/>
          <w:sz w:val="24"/>
          <w:szCs w:val="24"/>
        </w:rPr>
        <w:tab/>
      </w:r>
      <w:r w:rsidRPr="002F67B9">
        <w:rPr>
          <w:rFonts w:ascii="Arial" w:hAnsi="Arial" w:cs="Arial"/>
          <w:sz w:val="24"/>
          <w:szCs w:val="24"/>
        </w:rPr>
        <w:t xml:space="preserve">Service of this order shall be effected: </w:t>
      </w:r>
    </w:p>
    <w:p w:rsidR="005F1FC2" w:rsidRDefault="002F67B9" w:rsidP="00EE4AC4">
      <w:pPr>
        <w:spacing w:after="0" w:line="360" w:lineRule="auto"/>
        <w:ind w:left="2552" w:hanging="567"/>
        <w:jc w:val="both"/>
        <w:rPr>
          <w:rFonts w:ascii="Arial" w:hAnsi="Arial" w:cs="Arial"/>
          <w:sz w:val="24"/>
          <w:szCs w:val="24"/>
        </w:rPr>
      </w:pPr>
      <w:r w:rsidRPr="002F67B9">
        <w:rPr>
          <w:rFonts w:ascii="Arial" w:hAnsi="Arial" w:cs="Arial"/>
          <w:sz w:val="24"/>
          <w:szCs w:val="24"/>
        </w:rPr>
        <w:t>(</w:t>
      </w:r>
      <w:proofErr w:type="spellStart"/>
      <w:r w:rsidRPr="002F67B9">
        <w:rPr>
          <w:rFonts w:ascii="Arial" w:hAnsi="Arial" w:cs="Arial"/>
          <w:sz w:val="24"/>
          <w:szCs w:val="24"/>
        </w:rPr>
        <w:t>i</w:t>
      </w:r>
      <w:proofErr w:type="spellEnd"/>
      <w:r w:rsidRPr="002F67B9">
        <w:rPr>
          <w:rFonts w:ascii="Arial" w:hAnsi="Arial" w:cs="Arial"/>
          <w:sz w:val="24"/>
          <w:szCs w:val="24"/>
        </w:rPr>
        <w:t xml:space="preserve">) </w:t>
      </w:r>
      <w:r w:rsidR="00520B5A">
        <w:rPr>
          <w:rFonts w:ascii="Arial" w:hAnsi="Arial" w:cs="Arial"/>
          <w:sz w:val="24"/>
          <w:szCs w:val="24"/>
        </w:rPr>
        <w:tab/>
      </w:r>
      <w:r w:rsidRPr="002F67B9">
        <w:rPr>
          <w:rFonts w:ascii="Arial" w:hAnsi="Arial" w:cs="Arial"/>
          <w:sz w:val="24"/>
          <w:szCs w:val="24"/>
        </w:rPr>
        <w:t xml:space="preserve">by the sheriff of the high court or his lawful deputy on the registered office of the respondent; </w:t>
      </w:r>
    </w:p>
    <w:p w:rsidR="002F67B9" w:rsidRPr="002F67B9" w:rsidRDefault="002F67B9" w:rsidP="00EE4AC4">
      <w:pPr>
        <w:spacing w:after="0" w:line="360" w:lineRule="auto"/>
        <w:ind w:left="2552" w:hanging="567"/>
        <w:jc w:val="both"/>
        <w:rPr>
          <w:rFonts w:ascii="Arial" w:hAnsi="Arial" w:cs="Arial"/>
          <w:sz w:val="24"/>
          <w:szCs w:val="24"/>
        </w:rPr>
      </w:pPr>
      <w:r w:rsidRPr="002F67B9">
        <w:rPr>
          <w:rFonts w:ascii="Arial" w:hAnsi="Arial" w:cs="Arial"/>
          <w:sz w:val="24"/>
          <w:szCs w:val="24"/>
        </w:rPr>
        <w:t>(ii)</w:t>
      </w:r>
      <w:r w:rsidR="005F1FC2">
        <w:rPr>
          <w:rFonts w:ascii="Arial" w:hAnsi="Arial" w:cs="Arial"/>
          <w:sz w:val="24"/>
          <w:szCs w:val="24"/>
        </w:rPr>
        <w:tab/>
      </w:r>
      <w:r w:rsidRPr="002F67B9">
        <w:rPr>
          <w:rFonts w:ascii="Arial" w:hAnsi="Arial" w:cs="Arial"/>
          <w:sz w:val="24"/>
          <w:szCs w:val="24"/>
        </w:rPr>
        <w:t xml:space="preserve">on the South African Revenue Services; </w:t>
      </w:r>
    </w:p>
    <w:p w:rsidR="002F67B9" w:rsidRPr="002F67B9" w:rsidRDefault="002F67B9" w:rsidP="00EE4AC4">
      <w:pPr>
        <w:spacing w:after="0" w:line="360" w:lineRule="auto"/>
        <w:ind w:left="2552" w:hanging="567"/>
        <w:jc w:val="both"/>
        <w:rPr>
          <w:rFonts w:ascii="Arial" w:hAnsi="Arial" w:cs="Arial"/>
          <w:sz w:val="24"/>
          <w:szCs w:val="24"/>
        </w:rPr>
      </w:pPr>
      <w:r w:rsidRPr="002F67B9">
        <w:rPr>
          <w:rFonts w:ascii="Arial" w:hAnsi="Arial" w:cs="Arial"/>
          <w:sz w:val="24"/>
          <w:szCs w:val="24"/>
        </w:rPr>
        <w:t xml:space="preserve">(iii) </w:t>
      </w:r>
      <w:r w:rsidR="00520B5A">
        <w:rPr>
          <w:rFonts w:ascii="Arial" w:hAnsi="Arial" w:cs="Arial"/>
          <w:sz w:val="24"/>
          <w:szCs w:val="24"/>
        </w:rPr>
        <w:tab/>
      </w:r>
      <w:r w:rsidRPr="002F67B9">
        <w:rPr>
          <w:rFonts w:ascii="Arial" w:hAnsi="Arial" w:cs="Arial"/>
          <w:sz w:val="24"/>
          <w:szCs w:val="24"/>
        </w:rPr>
        <w:t>by publica</w:t>
      </w:r>
      <w:r w:rsidR="006B4FB6">
        <w:rPr>
          <w:rFonts w:ascii="Arial" w:hAnsi="Arial" w:cs="Arial"/>
          <w:sz w:val="24"/>
          <w:szCs w:val="24"/>
        </w:rPr>
        <w:t>tion</w:t>
      </w:r>
      <w:r w:rsidRPr="002F67B9">
        <w:rPr>
          <w:rFonts w:ascii="Arial" w:hAnsi="Arial" w:cs="Arial"/>
          <w:sz w:val="24"/>
          <w:szCs w:val="24"/>
        </w:rPr>
        <w:t xml:space="preserve"> in the Government Gazette; </w:t>
      </w:r>
    </w:p>
    <w:p w:rsidR="002F67B9" w:rsidRPr="002F67B9" w:rsidRDefault="002F67B9" w:rsidP="00EE4AC4">
      <w:pPr>
        <w:spacing w:after="0" w:line="360" w:lineRule="auto"/>
        <w:ind w:left="2552" w:hanging="567"/>
        <w:jc w:val="both"/>
        <w:rPr>
          <w:rFonts w:ascii="Arial" w:hAnsi="Arial" w:cs="Arial"/>
          <w:sz w:val="24"/>
          <w:szCs w:val="24"/>
        </w:rPr>
      </w:pPr>
      <w:r w:rsidRPr="002F67B9">
        <w:rPr>
          <w:rFonts w:ascii="Arial" w:hAnsi="Arial" w:cs="Arial"/>
          <w:sz w:val="24"/>
          <w:szCs w:val="24"/>
        </w:rPr>
        <w:t xml:space="preserve">(iv) </w:t>
      </w:r>
      <w:r w:rsidR="00520B5A">
        <w:rPr>
          <w:rFonts w:ascii="Arial" w:hAnsi="Arial" w:cs="Arial"/>
          <w:sz w:val="24"/>
          <w:szCs w:val="24"/>
        </w:rPr>
        <w:tab/>
      </w:r>
      <w:r w:rsidRPr="006B4FB6">
        <w:rPr>
          <w:rFonts w:ascii="Arial" w:hAnsi="Arial" w:cs="Arial"/>
          <w:sz w:val="24"/>
          <w:szCs w:val="24"/>
        </w:rPr>
        <w:t>by registered post on all known creditors of the respondent with claims in excess of R25 000;</w:t>
      </w:r>
      <w:r w:rsidRPr="002F67B9">
        <w:rPr>
          <w:rFonts w:ascii="Arial" w:hAnsi="Arial" w:cs="Arial"/>
          <w:sz w:val="24"/>
          <w:szCs w:val="24"/>
        </w:rPr>
        <w:t xml:space="preserve"> </w:t>
      </w:r>
    </w:p>
    <w:p w:rsidR="002F67B9" w:rsidRPr="002F67B9" w:rsidRDefault="002F67B9" w:rsidP="00EE4AC4">
      <w:pPr>
        <w:spacing w:after="0" w:line="360" w:lineRule="auto"/>
        <w:ind w:left="2552" w:hanging="567"/>
        <w:jc w:val="both"/>
        <w:rPr>
          <w:rFonts w:ascii="Arial" w:hAnsi="Arial" w:cs="Arial"/>
          <w:sz w:val="24"/>
          <w:szCs w:val="24"/>
        </w:rPr>
      </w:pPr>
      <w:r w:rsidRPr="002F67B9">
        <w:rPr>
          <w:rFonts w:ascii="Arial" w:hAnsi="Arial" w:cs="Arial"/>
          <w:sz w:val="24"/>
          <w:szCs w:val="24"/>
        </w:rPr>
        <w:t xml:space="preserve">(v) </w:t>
      </w:r>
      <w:r w:rsidR="00520B5A">
        <w:rPr>
          <w:rFonts w:ascii="Arial" w:hAnsi="Arial" w:cs="Arial"/>
          <w:sz w:val="24"/>
          <w:szCs w:val="24"/>
        </w:rPr>
        <w:tab/>
      </w:r>
      <w:r w:rsidRPr="002F67B9">
        <w:rPr>
          <w:rFonts w:ascii="Arial" w:hAnsi="Arial" w:cs="Arial"/>
          <w:sz w:val="24"/>
          <w:szCs w:val="24"/>
        </w:rPr>
        <w:t xml:space="preserve">on the employees of the respondent in terms of s 346A(1)(b) of the Companies Act 61 of 1973; and </w:t>
      </w:r>
    </w:p>
    <w:p w:rsidR="002F67B9" w:rsidRDefault="002F67B9" w:rsidP="00EE4AC4">
      <w:pPr>
        <w:spacing w:after="0" w:line="360" w:lineRule="auto"/>
        <w:ind w:left="2552" w:hanging="567"/>
        <w:jc w:val="both"/>
        <w:rPr>
          <w:rFonts w:ascii="Arial" w:hAnsi="Arial" w:cs="Arial"/>
          <w:sz w:val="24"/>
          <w:szCs w:val="24"/>
        </w:rPr>
      </w:pPr>
      <w:r w:rsidRPr="006B4FB6">
        <w:rPr>
          <w:rFonts w:ascii="Arial" w:hAnsi="Arial" w:cs="Arial"/>
          <w:sz w:val="24"/>
          <w:szCs w:val="24"/>
        </w:rPr>
        <w:t xml:space="preserve">(vi) </w:t>
      </w:r>
      <w:r w:rsidR="00520B5A" w:rsidRPr="006B4FB6">
        <w:rPr>
          <w:rFonts w:ascii="Arial" w:hAnsi="Arial" w:cs="Arial"/>
          <w:sz w:val="24"/>
          <w:szCs w:val="24"/>
        </w:rPr>
        <w:tab/>
      </w:r>
      <w:r w:rsidRPr="006B4FB6">
        <w:rPr>
          <w:rFonts w:ascii="Arial" w:hAnsi="Arial" w:cs="Arial"/>
          <w:sz w:val="24"/>
          <w:szCs w:val="24"/>
        </w:rPr>
        <w:t>on any registered trade union</w:t>
      </w:r>
      <w:r w:rsidRPr="002F67B9">
        <w:rPr>
          <w:rFonts w:ascii="Arial" w:hAnsi="Arial" w:cs="Arial"/>
          <w:sz w:val="24"/>
          <w:szCs w:val="24"/>
        </w:rPr>
        <w:t xml:space="preserve"> that the employees of the respondent may belong to. </w:t>
      </w:r>
    </w:p>
    <w:p w:rsidR="00520B5A" w:rsidRPr="002F67B9" w:rsidRDefault="00520B5A" w:rsidP="00EE4AC4">
      <w:pPr>
        <w:spacing w:after="0" w:line="360" w:lineRule="auto"/>
        <w:ind w:left="1985" w:hanging="567"/>
        <w:jc w:val="both"/>
        <w:rPr>
          <w:rFonts w:ascii="Arial" w:hAnsi="Arial" w:cs="Arial"/>
          <w:sz w:val="24"/>
          <w:szCs w:val="24"/>
        </w:rPr>
      </w:pPr>
    </w:p>
    <w:p w:rsidR="00BD73B6" w:rsidRPr="002F67B9" w:rsidRDefault="002F67B9" w:rsidP="00EE4AC4">
      <w:pPr>
        <w:spacing w:after="0" w:line="360" w:lineRule="auto"/>
        <w:ind w:left="1985" w:hanging="567"/>
        <w:jc w:val="both"/>
        <w:rPr>
          <w:rFonts w:ascii="Arial" w:hAnsi="Arial" w:cs="Arial"/>
          <w:sz w:val="24"/>
          <w:szCs w:val="24"/>
          <w:lang w:val="en-ZA"/>
        </w:rPr>
      </w:pPr>
      <w:r w:rsidRPr="006B4FB6">
        <w:rPr>
          <w:rFonts w:ascii="Arial" w:hAnsi="Arial" w:cs="Arial"/>
          <w:sz w:val="24"/>
          <w:szCs w:val="24"/>
        </w:rPr>
        <w:t>(</w:t>
      </w:r>
      <w:r w:rsidR="00EE4AC4" w:rsidRPr="006B4FB6">
        <w:rPr>
          <w:rFonts w:ascii="Arial" w:hAnsi="Arial" w:cs="Arial"/>
          <w:sz w:val="24"/>
          <w:szCs w:val="24"/>
        </w:rPr>
        <w:t>d</w:t>
      </w:r>
      <w:r w:rsidRPr="006B4FB6">
        <w:rPr>
          <w:rFonts w:ascii="Arial" w:hAnsi="Arial" w:cs="Arial"/>
          <w:sz w:val="24"/>
          <w:szCs w:val="24"/>
        </w:rPr>
        <w:t>)</w:t>
      </w:r>
      <w:r w:rsidRPr="002F67B9">
        <w:rPr>
          <w:rFonts w:ascii="Arial" w:hAnsi="Arial" w:cs="Arial"/>
          <w:sz w:val="24"/>
          <w:szCs w:val="24"/>
        </w:rPr>
        <w:t xml:space="preserve"> </w:t>
      </w:r>
      <w:r w:rsidR="00EE4AC4">
        <w:rPr>
          <w:rFonts w:ascii="Arial" w:hAnsi="Arial" w:cs="Arial"/>
          <w:sz w:val="24"/>
          <w:szCs w:val="24"/>
        </w:rPr>
        <w:tab/>
      </w:r>
      <w:r w:rsidRPr="002F67B9">
        <w:rPr>
          <w:rFonts w:ascii="Arial" w:hAnsi="Arial" w:cs="Arial"/>
          <w:sz w:val="24"/>
          <w:szCs w:val="24"/>
        </w:rPr>
        <w:t>Costs to be costs in the winding-up.’</w:t>
      </w:r>
    </w:p>
    <w:p w:rsidR="00843D79" w:rsidRDefault="00843D79" w:rsidP="00843D79">
      <w:pPr>
        <w:spacing w:after="0" w:line="240" w:lineRule="auto"/>
        <w:rPr>
          <w:sz w:val="24"/>
          <w:szCs w:val="24"/>
        </w:rPr>
      </w:pPr>
    </w:p>
    <w:p w:rsidR="00843D79" w:rsidRDefault="00843D79" w:rsidP="00843D79">
      <w:pPr>
        <w:spacing w:after="0" w:line="240" w:lineRule="auto"/>
        <w:rPr>
          <w:sz w:val="24"/>
          <w:szCs w:val="24"/>
        </w:rPr>
      </w:pPr>
    </w:p>
    <w:p w:rsidR="00843D79" w:rsidRDefault="00843D79" w:rsidP="00843D79">
      <w:pPr>
        <w:spacing w:after="0" w:line="240" w:lineRule="auto"/>
        <w:rPr>
          <w:sz w:val="24"/>
          <w:szCs w:val="24"/>
        </w:rPr>
      </w:pPr>
    </w:p>
    <w:p w:rsidR="00034FF5" w:rsidRDefault="00034FF5" w:rsidP="00843D79">
      <w:pPr>
        <w:spacing w:after="0" w:line="240" w:lineRule="auto"/>
        <w:rPr>
          <w:sz w:val="24"/>
          <w:szCs w:val="24"/>
        </w:rPr>
      </w:pPr>
    </w:p>
    <w:p w:rsidR="005F1FC2" w:rsidRPr="00611A51" w:rsidRDefault="005F1FC2" w:rsidP="00843D79">
      <w:pPr>
        <w:spacing w:after="0" w:line="240" w:lineRule="auto"/>
        <w:rPr>
          <w:sz w:val="24"/>
          <w:szCs w:val="24"/>
        </w:rPr>
      </w:pPr>
    </w:p>
    <w:p w:rsidR="00843D79" w:rsidRDefault="00843D79" w:rsidP="00843D79">
      <w:pPr>
        <w:pStyle w:val="BodyA"/>
        <w:pBdr>
          <w:top w:val="none" w:sz="0" w:space="0" w:color="auto"/>
          <w:left w:val="none" w:sz="0" w:space="0" w:color="auto"/>
          <w:bottom w:val="none" w:sz="0" w:space="0" w:color="auto"/>
          <w:right w:val="none" w:sz="0" w:space="0" w:color="auto"/>
          <w:bar w:val="none" w:sz="0" w:color="auto"/>
        </w:pBdr>
        <w:jc w:val="right"/>
        <w:rPr>
          <w:rFonts w:ascii="Arial" w:hAnsi="Arial" w:cs="Arial"/>
          <w:sz w:val="24"/>
          <w:szCs w:val="24"/>
        </w:rPr>
      </w:pPr>
      <w:r>
        <w:rPr>
          <w:rFonts w:ascii="Arial" w:hAnsi="Arial"/>
          <w:sz w:val="24"/>
          <w:szCs w:val="24"/>
        </w:rPr>
        <w:t>___________________</w:t>
      </w:r>
    </w:p>
    <w:p w:rsidR="00843D79" w:rsidRDefault="00843D79" w:rsidP="00843D79">
      <w:pPr>
        <w:pStyle w:val="BodyAAA"/>
        <w:pBdr>
          <w:top w:val="none" w:sz="0" w:space="0" w:color="auto"/>
          <w:left w:val="none" w:sz="0" w:space="0" w:color="auto"/>
          <w:bottom w:val="none" w:sz="0" w:space="0" w:color="auto"/>
          <w:right w:val="none" w:sz="0" w:space="0" w:color="auto"/>
          <w:bar w:val="none" w:sz="0" w:color="auto"/>
        </w:pBdr>
        <w:ind w:left="709" w:hanging="709"/>
        <w:jc w:val="right"/>
        <w:rPr>
          <w:rFonts w:ascii="Arial" w:hAnsi="Arial" w:cs="Arial"/>
          <w:b/>
          <w:bCs/>
          <w:sz w:val="24"/>
          <w:szCs w:val="24"/>
        </w:rPr>
      </w:pPr>
      <w:r>
        <w:rPr>
          <w:rFonts w:ascii="Arial" w:hAnsi="Arial"/>
          <w:b/>
          <w:bCs/>
          <w:sz w:val="24"/>
          <w:szCs w:val="24"/>
        </w:rPr>
        <w:t>C.J. MUSI, JP</w:t>
      </w:r>
    </w:p>
    <w:p w:rsidR="00843D79" w:rsidRDefault="00843D79"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b/>
          <w:bCs/>
          <w:sz w:val="24"/>
          <w:szCs w:val="24"/>
        </w:rPr>
      </w:pPr>
    </w:p>
    <w:p w:rsidR="001749E6" w:rsidRDefault="001749E6"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b/>
          <w:bCs/>
          <w:sz w:val="24"/>
          <w:szCs w:val="24"/>
        </w:rPr>
      </w:pPr>
    </w:p>
    <w:p w:rsidR="001749E6" w:rsidRDefault="001749E6"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b/>
          <w:bCs/>
          <w:sz w:val="24"/>
          <w:szCs w:val="24"/>
        </w:rPr>
      </w:pPr>
    </w:p>
    <w:p w:rsidR="00843D79" w:rsidRPr="003F4BDB" w:rsidRDefault="00843D79"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bCs/>
          <w:sz w:val="24"/>
          <w:szCs w:val="24"/>
        </w:rPr>
      </w:pPr>
      <w:r w:rsidRPr="003F4BDB">
        <w:rPr>
          <w:rFonts w:ascii="Arial" w:hAnsi="Arial"/>
          <w:bCs/>
          <w:sz w:val="24"/>
          <w:szCs w:val="24"/>
        </w:rPr>
        <w:lastRenderedPageBreak/>
        <w:t>I concur.</w:t>
      </w:r>
    </w:p>
    <w:p w:rsidR="00CF569A" w:rsidRDefault="00CF569A" w:rsidP="00843D79">
      <w:pPr>
        <w:pStyle w:val="BodyA"/>
        <w:pBdr>
          <w:top w:val="none" w:sz="0" w:space="0" w:color="auto"/>
          <w:left w:val="none" w:sz="0" w:space="0" w:color="auto"/>
          <w:bottom w:val="none" w:sz="0" w:space="0" w:color="auto"/>
          <w:right w:val="none" w:sz="0" w:space="0" w:color="auto"/>
          <w:bar w:val="none" w:sz="0" w:color="auto"/>
        </w:pBdr>
        <w:jc w:val="right"/>
        <w:rPr>
          <w:rFonts w:ascii="Arial" w:hAnsi="Arial"/>
          <w:sz w:val="24"/>
          <w:szCs w:val="24"/>
        </w:rPr>
      </w:pPr>
    </w:p>
    <w:p w:rsidR="00CF569A" w:rsidRDefault="00CF569A" w:rsidP="00843D79">
      <w:pPr>
        <w:pStyle w:val="BodyA"/>
        <w:pBdr>
          <w:top w:val="none" w:sz="0" w:space="0" w:color="auto"/>
          <w:left w:val="none" w:sz="0" w:space="0" w:color="auto"/>
          <w:bottom w:val="none" w:sz="0" w:space="0" w:color="auto"/>
          <w:right w:val="none" w:sz="0" w:space="0" w:color="auto"/>
          <w:bar w:val="none" w:sz="0" w:color="auto"/>
        </w:pBdr>
        <w:jc w:val="right"/>
        <w:rPr>
          <w:rFonts w:ascii="Arial" w:hAnsi="Arial"/>
          <w:sz w:val="24"/>
          <w:szCs w:val="24"/>
        </w:rPr>
      </w:pPr>
    </w:p>
    <w:p w:rsidR="00843D79" w:rsidRDefault="00843D79" w:rsidP="00843D79">
      <w:pPr>
        <w:pStyle w:val="BodyA"/>
        <w:pBdr>
          <w:top w:val="none" w:sz="0" w:space="0" w:color="auto"/>
          <w:left w:val="none" w:sz="0" w:space="0" w:color="auto"/>
          <w:bottom w:val="none" w:sz="0" w:space="0" w:color="auto"/>
          <w:right w:val="none" w:sz="0" w:space="0" w:color="auto"/>
          <w:bar w:val="none" w:sz="0" w:color="auto"/>
        </w:pBdr>
        <w:jc w:val="right"/>
        <w:rPr>
          <w:rFonts w:ascii="Arial" w:hAnsi="Arial" w:cs="Arial"/>
          <w:sz w:val="24"/>
          <w:szCs w:val="24"/>
        </w:rPr>
      </w:pPr>
      <w:r>
        <w:rPr>
          <w:rFonts w:ascii="Arial" w:hAnsi="Arial"/>
          <w:sz w:val="24"/>
          <w:szCs w:val="24"/>
        </w:rPr>
        <w:t>___________________</w:t>
      </w:r>
    </w:p>
    <w:p w:rsidR="00843D79" w:rsidRDefault="00843D79" w:rsidP="00843D79">
      <w:pPr>
        <w:pStyle w:val="BodyAAA"/>
        <w:pBdr>
          <w:top w:val="none" w:sz="0" w:space="0" w:color="auto"/>
          <w:left w:val="none" w:sz="0" w:space="0" w:color="auto"/>
          <w:bottom w:val="none" w:sz="0" w:space="0" w:color="auto"/>
          <w:right w:val="none" w:sz="0" w:space="0" w:color="auto"/>
          <w:bar w:val="none" w:sz="0" w:color="auto"/>
        </w:pBdr>
        <w:ind w:left="709" w:hanging="709"/>
        <w:jc w:val="right"/>
        <w:rPr>
          <w:rFonts w:ascii="Arial" w:hAnsi="Arial" w:cs="Arial"/>
          <w:b/>
          <w:bCs/>
          <w:sz w:val="24"/>
          <w:szCs w:val="24"/>
        </w:rPr>
      </w:pPr>
      <w:r>
        <w:rPr>
          <w:rFonts w:ascii="Arial" w:hAnsi="Arial"/>
          <w:b/>
          <w:bCs/>
          <w:sz w:val="24"/>
          <w:szCs w:val="24"/>
        </w:rPr>
        <w:t>P.J. LOUBSER, J</w:t>
      </w:r>
    </w:p>
    <w:p w:rsidR="00843D79" w:rsidRDefault="00843D79"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bCs/>
          <w:sz w:val="24"/>
          <w:szCs w:val="24"/>
        </w:rPr>
      </w:pPr>
    </w:p>
    <w:p w:rsidR="00843D79" w:rsidRPr="003F4BDB" w:rsidRDefault="00843D79"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bCs/>
          <w:sz w:val="24"/>
          <w:szCs w:val="24"/>
        </w:rPr>
      </w:pPr>
      <w:r w:rsidRPr="003F4BDB">
        <w:rPr>
          <w:rFonts w:ascii="Arial" w:hAnsi="Arial"/>
          <w:bCs/>
          <w:sz w:val="24"/>
          <w:szCs w:val="24"/>
        </w:rPr>
        <w:t>I concur.</w:t>
      </w:r>
    </w:p>
    <w:p w:rsidR="00843D79" w:rsidRDefault="00843D79" w:rsidP="00843D79">
      <w:pPr>
        <w:pStyle w:val="BodyA"/>
        <w:pBdr>
          <w:top w:val="none" w:sz="0" w:space="0" w:color="auto"/>
          <w:left w:val="none" w:sz="0" w:space="0" w:color="auto"/>
          <w:bottom w:val="none" w:sz="0" w:space="0" w:color="auto"/>
          <w:right w:val="none" w:sz="0" w:space="0" w:color="auto"/>
          <w:bar w:val="none" w:sz="0" w:color="auto"/>
        </w:pBdr>
        <w:spacing w:line="360" w:lineRule="auto"/>
        <w:jc w:val="both"/>
      </w:pPr>
      <w:bookmarkStart w:id="0" w:name="_GoBack"/>
      <w:bookmarkEnd w:id="0"/>
    </w:p>
    <w:p w:rsidR="00843D79" w:rsidRDefault="00843D79" w:rsidP="00843D79">
      <w:pPr>
        <w:pStyle w:val="BodyA"/>
        <w:pBdr>
          <w:top w:val="none" w:sz="0" w:space="0" w:color="auto"/>
          <w:left w:val="none" w:sz="0" w:space="0" w:color="auto"/>
          <w:bottom w:val="none" w:sz="0" w:space="0" w:color="auto"/>
          <w:right w:val="none" w:sz="0" w:space="0" w:color="auto"/>
          <w:bar w:val="none" w:sz="0" w:color="auto"/>
        </w:pBdr>
        <w:jc w:val="right"/>
        <w:rPr>
          <w:rFonts w:ascii="Arial" w:hAnsi="Arial" w:cs="Arial"/>
          <w:sz w:val="24"/>
          <w:szCs w:val="24"/>
        </w:rPr>
      </w:pPr>
      <w:r>
        <w:rPr>
          <w:rFonts w:ascii="Arial" w:hAnsi="Arial"/>
          <w:sz w:val="24"/>
          <w:szCs w:val="24"/>
        </w:rPr>
        <w:t>___________________</w:t>
      </w:r>
    </w:p>
    <w:p w:rsidR="00843D79" w:rsidRPr="00166250" w:rsidRDefault="00843D79" w:rsidP="00843D79">
      <w:pPr>
        <w:jc w:val="right"/>
        <w:rPr>
          <w:rFonts w:ascii="Arial" w:hAnsi="Arial" w:cs="Arial"/>
          <w:b/>
          <w:bCs/>
          <w:sz w:val="24"/>
          <w:szCs w:val="24"/>
        </w:rPr>
      </w:pPr>
      <w:r w:rsidRPr="00166250">
        <w:rPr>
          <w:rFonts w:ascii="Arial" w:eastAsia="Arial Unicode MS" w:hAnsi="Arial" w:cs="Arial"/>
          <w:b/>
          <w:bCs/>
          <w:sz w:val="24"/>
          <w:szCs w:val="24"/>
        </w:rPr>
        <w:t>L. le R. POHL, AJ</w:t>
      </w:r>
    </w:p>
    <w:p w:rsidR="00CF569A" w:rsidRDefault="00CF569A"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b/>
          <w:bCs/>
          <w:sz w:val="24"/>
          <w:szCs w:val="24"/>
        </w:rPr>
      </w:pPr>
    </w:p>
    <w:p w:rsidR="00CF569A" w:rsidRDefault="00CF569A"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b/>
          <w:bCs/>
          <w:sz w:val="24"/>
          <w:szCs w:val="24"/>
        </w:rPr>
      </w:pPr>
    </w:p>
    <w:p w:rsidR="00CF569A" w:rsidRDefault="00CF569A"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b/>
          <w:bCs/>
          <w:sz w:val="24"/>
          <w:szCs w:val="24"/>
        </w:rPr>
      </w:pPr>
    </w:p>
    <w:p w:rsidR="00CF569A" w:rsidRDefault="00CF569A"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b/>
          <w:bCs/>
          <w:sz w:val="24"/>
          <w:szCs w:val="24"/>
        </w:rPr>
      </w:pPr>
    </w:p>
    <w:p w:rsidR="00843D79" w:rsidRPr="00BF23B0" w:rsidRDefault="00843D79"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bCs/>
          <w:sz w:val="24"/>
          <w:szCs w:val="24"/>
        </w:rPr>
      </w:pPr>
      <w:r w:rsidRPr="00BF23B0">
        <w:rPr>
          <w:rFonts w:ascii="Arial" w:hAnsi="Arial"/>
          <w:b/>
          <w:bCs/>
          <w:sz w:val="24"/>
          <w:szCs w:val="24"/>
        </w:rPr>
        <w:t>Appearances:</w:t>
      </w:r>
    </w:p>
    <w:p w:rsidR="00843D79" w:rsidRPr="00BF23B0" w:rsidRDefault="00843D79"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sidRPr="00BF23B0">
        <w:rPr>
          <w:rFonts w:ascii="Arial" w:hAnsi="Arial"/>
          <w:sz w:val="24"/>
          <w:szCs w:val="24"/>
        </w:rPr>
        <w:t>For the App</w:t>
      </w:r>
      <w:r>
        <w:rPr>
          <w:rFonts w:ascii="Arial" w:hAnsi="Arial"/>
          <w:sz w:val="24"/>
          <w:szCs w:val="24"/>
        </w:rPr>
        <w:t>ellant</w:t>
      </w:r>
      <w:r w:rsidRPr="00BF23B0">
        <w:rPr>
          <w:rFonts w:ascii="Arial" w:hAnsi="Arial"/>
          <w:sz w:val="24"/>
          <w:szCs w:val="24"/>
        </w:rPr>
        <w:t>s:</w:t>
      </w:r>
      <w:r w:rsidRPr="00BF23B0">
        <w:rPr>
          <w:rFonts w:ascii="Arial" w:hAnsi="Arial"/>
          <w:sz w:val="24"/>
          <w:szCs w:val="24"/>
        </w:rPr>
        <w:tab/>
      </w:r>
      <w:r w:rsidRPr="00BF23B0">
        <w:rPr>
          <w:rFonts w:ascii="Arial" w:hAnsi="Arial"/>
          <w:sz w:val="24"/>
          <w:szCs w:val="24"/>
        </w:rPr>
        <w:tab/>
      </w:r>
      <w:r>
        <w:rPr>
          <w:rFonts w:ascii="Arial" w:hAnsi="Arial"/>
          <w:sz w:val="24"/>
          <w:szCs w:val="24"/>
        </w:rPr>
        <w:t>Adv. P. Zietsman, SC</w:t>
      </w:r>
      <w:r w:rsidRPr="00BF23B0">
        <w:rPr>
          <w:rFonts w:ascii="Arial" w:hAnsi="Arial"/>
          <w:sz w:val="24"/>
          <w:szCs w:val="24"/>
        </w:rPr>
        <w:t xml:space="preserve"> </w:t>
      </w:r>
    </w:p>
    <w:p w:rsidR="00843D79" w:rsidRPr="00BF23B0" w:rsidRDefault="00843D79"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2172" w:firstLine="708"/>
        <w:jc w:val="both"/>
        <w:rPr>
          <w:rFonts w:ascii="Arial" w:hAnsi="Arial" w:cs="Arial"/>
          <w:sz w:val="24"/>
          <w:szCs w:val="24"/>
        </w:rPr>
      </w:pPr>
      <w:r w:rsidRPr="00BF23B0">
        <w:rPr>
          <w:rFonts w:ascii="Arial" w:hAnsi="Arial"/>
          <w:sz w:val="24"/>
          <w:szCs w:val="24"/>
        </w:rPr>
        <w:t xml:space="preserve">Instructed by </w:t>
      </w:r>
      <w:proofErr w:type="spellStart"/>
      <w:r>
        <w:rPr>
          <w:rFonts w:ascii="Arial" w:hAnsi="Arial"/>
          <w:sz w:val="24"/>
          <w:szCs w:val="24"/>
        </w:rPr>
        <w:t>Phatshoane</w:t>
      </w:r>
      <w:proofErr w:type="spellEnd"/>
      <w:r>
        <w:rPr>
          <w:rFonts w:ascii="Arial" w:hAnsi="Arial"/>
          <w:sz w:val="24"/>
          <w:szCs w:val="24"/>
        </w:rPr>
        <w:t xml:space="preserve"> </w:t>
      </w:r>
      <w:proofErr w:type="spellStart"/>
      <w:r>
        <w:rPr>
          <w:rFonts w:ascii="Arial" w:hAnsi="Arial"/>
          <w:sz w:val="24"/>
          <w:szCs w:val="24"/>
        </w:rPr>
        <w:t>Henney</w:t>
      </w:r>
      <w:proofErr w:type="spellEnd"/>
      <w:r>
        <w:rPr>
          <w:rFonts w:ascii="Arial" w:hAnsi="Arial"/>
          <w:sz w:val="24"/>
          <w:szCs w:val="24"/>
        </w:rPr>
        <w:t xml:space="preserve"> Inc</w:t>
      </w:r>
      <w:r w:rsidRPr="00BF23B0">
        <w:rPr>
          <w:rFonts w:ascii="Arial" w:hAnsi="Arial"/>
          <w:sz w:val="24"/>
          <w:szCs w:val="24"/>
        </w:rPr>
        <w:tab/>
      </w:r>
    </w:p>
    <w:p w:rsidR="00843D79" w:rsidRPr="00BF23B0" w:rsidRDefault="00843D79"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2172" w:firstLine="708"/>
        <w:jc w:val="both"/>
        <w:rPr>
          <w:rFonts w:ascii="Arial" w:hAnsi="Arial" w:cs="Arial"/>
          <w:sz w:val="24"/>
          <w:szCs w:val="24"/>
        </w:rPr>
      </w:pPr>
      <w:r w:rsidRPr="00BF23B0">
        <w:rPr>
          <w:rFonts w:ascii="Arial" w:hAnsi="Arial"/>
          <w:sz w:val="24"/>
          <w:szCs w:val="24"/>
        </w:rPr>
        <w:t>Bloemfontein</w:t>
      </w:r>
    </w:p>
    <w:p w:rsidR="00843D79" w:rsidRPr="00BF23B0" w:rsidRDefault="00843D79" w:rsidP="00843D79">
      <w:pPr>
        <w:pStyle w:val="BodyAA"/>
        <w:pBdr>
          <w:top w:val="none" w:sz="0" w:space="0" w:color="auto"/>
          <w:left w:val="none" w:sz="0" w:space="0" w:color="auto"/>
          <w:bottom w:val="none" w:sz="0" w:space="0" w:color="auto"/>
          <w:right w:val="none" w:sz="0" w:space="0" w:color="auto"/>
          <w:bar w:val="none" w:sz="0" w:color="auto"/>
        </w:pBdr>
      </w:pPr>
    </w:p>
    <w:p w:rsidR="00843D79" w:rsidRDefault="00843D79" w:rsidP="00843D79">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pPr>
      <w:r w:rsidRPr="00BF23B0">
        <w:rPr>
          <w:rFonts w:ascii="Arial" w:hAnsi="Arial"/>
          <w:sz w:val="24"/>
          <w:szCs w:val="24"/>
        </w:rPr>
        <w:t>For the Respondent:</w:t>
      </w:r>
      <w:r w:rsidRPr="00BF23B0">
        <w:rPr>
          <w:rFonts w:ascii="Arial" w:hAnsi="Arial"/>
          <w:sz w:val="24"/>
          <w:szCs w:val="24"/>
        </w:rPr>
        <w:tab/>
      </w:r>
      <w:r>
        <w:rPr>
          <w:rFonts w:ascii="Arial" w:hAnsi="Arial"/>
          <w:sz w:val="24"/>
          <w:szCs w:val="24"/>
        </w:rPr>
        <w:t>In person</w:t>
      </w:r>
    </w:p>
    <w:p w:rsidR="00843D79" w:rsidRPr="003600E8" w:rsidRDefault="00843D79" w:rsidP="00843D79">
      <w:pPr>
        <w:rPr>
          <w:sz w:val="28"/>
          <w:szCs w:val="28"/>
        </w:rPr>
      </w:pPr>
    </w:p>
    <w:p w:rsidR="004C0BA5" w:rsidRPr="002F67B9" w:rsidRDefault="004C0BA5" w:rsidP="00520B5A">
      <w:pPr>
        <w:spacing w:after="0" w:line="360" w:lineRule="auto"/>
        <w:ind w:left="567" w:hanging="567"/>
        <w:jc w:val="both"/>
        <w:rPr>
          <w:rFonts w:ascii="Arial" w:hAnsi="Arial" w:cs="Arial"/>
          <w:sz w:val="24"/>
          <w:szCs w:val="24"/>
          <w:lang w:val="en-ZA"/>
        </w:rPr>
      </w:pPr>
    </w:p>
    <w:sectPr w:rsidR="004C0BA5" w:rsidRPr="002F67B9" w:rsidSect="00546A1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D8" w:rsidRDefault="00FD65D8" w:rsidP="004C0BA5">
      <w:pPr>
        <w:spacing w:after="0" w:line="240" w:lineRule="auto"/>
      </w:pPr>
      <w:r>
        <w:separator/>
      </w:r>
    </w:p>
  </w:endnote>
  <w:endnote w:type="continuationSeparator" w:id="0">
    <w:p w:rsidR="00FD65D8" w:rsidRDefault="00FD65D8" w:rsidP="004C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D8" w:rsidRDefault="00FD65D8" w:rsidP="004C0BA5">
      <w:pPr>
        <w:spacing w:after="0" w:line="240" w:lineRule="auto"/>
      </w:pPr>
      <w:r>
        <w:separator/>
      </w:r>
    </w:p>
  </w:footnote>
  <w:footnote w:type="continuationSeparator" w:id="0">
    <w:p w:rsidR="00FD65D8" w:rsidRDefault="00FD65D8" w:rsidP="004C0BA5">
      <w:pPr>
        <w:spacing w:after="0" w:line="240" w:lineRule="auto"/>
      </w:pPr>
      <w:r>
        <w:continuationSeparator/>
      </w:r>
    </w:p>
  </w:footnote>
  <w:footnote w:id="1">
    <w:p w:rsidR="00EE4AC4" w:rsidRDefault="002F6714">
      <w:pPr>
        <w:pStyle w:val="FootnoteText"/>
      </w:pPr>
      <w:r>
        <w:rPr>
          <w:rStyle w:val="FootnoteReference"/>
        </w:rPr>
        <w:footnoteRef/>
      </w:r>
      <w:r w:rsidR="00EE4AC4">
        <w:t xml:space="preserve"> ‘(1) A company or body corporate shall be deemed to be unable to pay its debts if- </w:t>
      </w:r>
    </w:p>
    <w:p w:rsidR="00EE4AC4" w:rsidRDefault="00EE4AC4" w:rsidP="00EE4AC4">
      <w:pPr>
        <w:pStyle w:val="FootnoteText"/>
        <w:ind w:left="709" w:hanging="283"/>
        <w:jc w:val="both"/>
      </w:pPr>
      <w:r>
        <w:t>(a)</w:t>
      </w:r>
      <w:r>
        <w:tab/>
        <w:t xml:space="preserve">a creditor, by cession or otherwise, to whom the company is indebted in a sum not less than one hundred rand then due- </w:t>
      </w:r>
    </w:p>
    <w:p w:rsidR="00EE4AC4" w:rsidRDefault="00EE4AC4" w:rsidP="00EE4AC4">
      <w:pPr>
        <w:pStyle w:val="FootnoteText"/>
        <w:ind w:left="993" w:hanging="284"/>
        <w:jc w:val="both"/>
      </w:pPr>
      <w:r>
        <w:t>(</w:t>
      </w:r>
      <w:proofErr w:type="spellStart"/>
      <w:r>
        <w:t>i</w:t>
      </w:r>
      <w:proofErr w:type="spellEnd"/>
      <w:r>
        <w:t xml:space="preserve">) </w:t>
      </w:r>
      <w:r>
        <w:tab/>
        <w:t xml:space="preserve">has served on the company, by leaving the same at its registered office, a demand requiring the company to pay the sum so due; or </w:t>
      </w:r>
    </w:p>
    <w:p w:rsidR="002F6714" w:rsidRPr="002F6714" w:rsidRDefault="00936BFC" w:rsidP="00EE4AC4">
      <w:pPr>
        <w:pStyle w:val="FootnoteText"/>
        <w:ind w:left="993" w:hanging="284"/>
        <w:jc w:val="both"/>
        <w:rPr>
          <w:lang w:val="en-ZA"/>
        </w:rPr>
      </w:pPr>
      <w:r>
        <w:t xml:space="preserve">(ii) in the case of </w:t>
      </w:r>
      <w:proofErr w:type="spellStart"/>
      <w:r>
        <w:t>any</w:t>
      </w:r>
      <w:r w:rsidR="00EE4AC4">
        <w:t xml:space="preserve"> body</w:t>
      </w:r>
      <w:proofErr w:type="spellEnd"/>
      <w:r w:rsidR="00EE4AC4">
        <w:t xml:space="preserve"> corporate not incorporated under this Act, has served such demand by leaving it at its main office or delivering it to the secretary or some director, manager or principal officer of such body corporate or in such other manner as the Court may direct, and the company or body corporate has for three weeks thereafter neglected to pay the sum, or to secure or compound for it to the reasonable satisfaction of the creditor; or…’</w:t>
      </w:r>
    </w:p>
  </w:footnote>
  <w:footnote w:id="2">
    <w:p w:rsidR="0067171F" w:rsidRPr="0067171F" w:rsidRDefault="0067171F">
      <w:pPr>
        <w:pStyle w:val="FootnoteText"/>
        <w:rPr>
          <w:lang w:val="en-ZA"/>
        </w:rPr>
      </w:pPr>
      <w:r>
        <w:rPr>
          <w:rStyle w:val="FootnoteReference"/>
        </w:rPr>
        <w:footnoteRef/>
      </w:r>
      <w:r>
        <w:t xml:space="preserve"> </w:t>
      </w:r>
      <w:proofErr w:type="spellStart"/>
      <w:r>
        <w:rPr>
          <w:lang w:val="en-ZA"/>
        </w:rPr>
        <w:t>Badenhorst</w:t>
      </w:r>
      <w:proofErr w:type="spellEnd"/>
      <w:r>
        <w:rPr>
          <w:lang w:val="en-ZA"/>
        </w:rPr>
        <w:t xml:space="preserve"> v </w:t>
      </w:r>
      <w:proofErr w:type="spellStart"/>
      <w:r>
        <w:rPr>
          <w:lang w:val="en-ZA"/>
        </w:rPr>
        <w:t>Nothern</w:t>
      </w:r>
      <w:proofErr w:type="spellEnd"/>
      <w:r>
        <w:rPr>
          <w:lang w:val="en-ZA"/>
        </w:rPr>
        <w:t xml:space="preserve"> Construction Enterprises (Pty) Ltd 1956 (2) SA 346 (T) at 348B;</w:t>
      </w:r>
      <w:r w:rsidR="006B2C09">
        <w:rPr>
          <w:lang w:val="en-ZA"/>
        </w:rPr>
        <w:t xml:space="preserve"> </w:t>
      </w:r>
      <w:proofErr w:type="spellStart"/>
      <w:r w:rsidR="006B2C09">
        <w:rPr>
          <w:lang w:val="en-ZA"/>
        </w:rPr>
        <w:t>Kalil</w:t>
      </w:r>
      <w:proofErr w:type="spellEnd"/>
      <w:r w:rsidR="006B2C09">
        <w:rPr>
          <w:lang w:val="en-ZA"/>
        </w:rPr>
        <w:t xml:space="preserve"> v </w:t>
      </w:r>
      <w:proofErr w:type="spellStart"/>
      <w:r w:rsidR="006B2C09">
        <w:rPr>
          <w:lang w:val="en-ZA"/>
        </w:rPr>
        <w:t>Decotex</w:t>
      </w:r>
      <w:proofErr w:type="spellEnd"/>
      <w:r w:rsidR="006B2C09">
        <w:rPr>
          <w:lang w:val="en-ZA"/>
        </w:rPr>
        <w:t xml:space="preserve"> (Pty) Ltd 1988 (1) SA 943 (A) at 980B.</w:t>
      </w:r>
    </w:p>
  </w:footnote>
  <w:footnote w:id="3">
    <w:p w:rsidR="006B2C09" w:rsidRPr="006B2C09" w:rsidRDefault="006B2C09">
      <w:pPr>
        <w:pStyle w:val="FootnoteText"/>
        <w:rPr>
          <w:lang w:val="en-ZA"/>
        </w:rPr>
      </w:pPr>
      <w:r>
        <w:rPr>
          <w:rStyle w:val="FootnoteReference"/>
        </w:rPr>
        <w:footnoteRef/>
      </w:r>
      <w:r>
        <w:t xml:space="preserve"> </w:t>
      </w:r>
      <w:proofErr w:type="spellStart"/>
      <w:r>
        <w:t>Imobrite</w:t>
      </w:r>
      <w:proofErr w:type="spellEnd"/>
      <w:r>
        <w:t xml:space="preserve"> (P</w:t>
      </w:r>
      <w:r w:rsidR="00EE4AC4">
        <w:t>ty</w:t>
      </w:r>
      <w:r>
        <w:t>) L</w:t>
      </w:r>
      <w:r w:rsidR="00EE4AC4">
        <w:t>td</w:t>
      </w:r>
      <w:r>
        <w:t xml:space="preserve"> v DTL </w:t>
      </w:r>
      <w:proofErr w:type="spellStart"/>
      <w:r>
        <w:t>Boerdery</w:t>
      </w:r>
      <w:proofErr w:type="spellEnd"/>
      <w:r>
        <w:t xml:space="preserve"> CC (1007/20</w:t>
      </w:r>
      <w:r w:rsidR="00F33CA8">
        <w:t>20</w:t>
      </w:r>
      <w:r>
        <w:t xml:space="preserve"> [</w:t>
      </w:r>
      <w:r w:rsidR="00D72194">
        <w:t xml:space="preserve">2022] ZASCA 67 (13 May 2022) </w:t>
      </w:r>
      <w:r>
        <w:t>par</w:t>
      </w:r>
      <w:r w:rsidR="00BD7C52">
        <w:t>a</w:t>
      </w:r>
      <w:r>
        <w:t xml:space="preserve"> </w:t>
      </w:r>
      <w:r w:rsidR="009C0BA4">
        <w:t>14 and 15.</w:t>
      </w:r>
    </w:p>
  </w:footnote>
  <w:footnote w:id="4">
    <w:p w:rsidR="00BD7C52" w:rsidRPr="00BD7C52" w:rsidRDefault="00BD7C52">
      <w:pPr>
        <w:pStyle w:val="FootnoteText"/>
        <w:rPr>
          <w:lang w:val="en-ZA"/>
        </w:rPr>
      </w:pPr>
      <w:r>
        <w:rPr>
          <w:rStyle w:val="FootnoteReference"/>
        </w:rPr>
        <w:footnoteRef/>
      </w:r>
      <w:r>
        <w:t xml:space="preserve"> </w:t>
      </w:r>
      <w:proofErr w:type="spellStart"/>
      <w:r>
        <w:rPr>
          <w:lang w:val="en-ZA"/>
        </w:rPr>
        <w:t>Agri</w:t>
      </w:r>
      <w:proofErr w:type="spellEnd"/>
      <w:r>
        <w:rPr>
          <w:lang w:val="en-ZA"/>
        </w:rPr>
        <w:t xml:space="preserve"> Operations L</w:t>
      </w:r>
      <w:r w:rsidR="00F33CA8">
        <w:rPr>
          <w:lang w:val="en-ZA"/>
        </w:rPr>
        <w:t>td</w:t>
      </w:r>
      <w:r>
        <w:rPr>
          <w:lang w:val="en-ZA"/>
        </w:rPr>
        <w:t xml:space="preserve"> v </w:t>
      </w:r>
      <w:proofErr w:type="spellStart"/>
      <w:r>
        <w:rPr>
          <w:lang w:val="en-ZA"/>
        </w:rPr>
        <w:t>Hamba</w:t>
      </w:r>
      <w:proofErr w:type="spellEnd"/>
      <w:r>
        <w:rPr>
          <w:lang w:val="en-ZA"/>
        </w:rPr>
        <w:t xml:space="preserve"> Fleet (</w:t>
      </w:r>
      <w:r w:rsidR="00D72194">
        <w:rPr>
          <w:lang w:val="en-ZA"/>
        </w:rPr>
        <w:t>P</w:t>
      </w:r>
      <w:r w:rsidR="00EE4AC4">
        <w:rPr>
          <w:lang w:val="en-ZA"/>
        </w:rPr>
        <w:t>ty</w:t>
      </w:r>
      <w:r w:rsidR="00D72194">
        <w:rPr>
          <w:lang w:val="en-ZA"/>
        </w:rPr>
        <w:t>) L</w:t>
      </w:r>
      <w:r w:rsidR="00EE4AC4">
        <w:rPr>
          <w:lang w:val="en-ZA"/>
        </w:rPr>
        <w:t>td</w:t>
      </w:r>
      <w:r w:rsidR="00D72194">
        <w:rPr>
          <w:lang w:val="en-ZA"/>
        </w:rPr>
        <w:t xml:space="preserve"> 2022 (1) SA 91 (SCA)</w:t>
      </w:r>
      <w:r>
        <w:rPr>
          <w:lang w:val="en-ZA"/>
        </w:rPr>
        <w:t xml:space="preserve"> para 11.</w:t>
      </w:r>
    </w:p>
  </w:footnote>
  <w:footnote w:id="5">
    <w:p w:rsidR="00C64F9B" w:rsidRPr="00C64F9B" w:rsidRDefault="00C64F9B">
      <w:pPr>
        <w:pStyle w:val="FootnoteText"/>
        <w:rPr>
          <w:lang w:val="en-ZA"/>
        </w:rPr>
      </w:pPr>
      <w:r>
        <w:rPr>
          <w:rStyle w:val="FootnoteReference"/>
        </w:rPr>
        <w:footnoteRef/>
      </w:r>
      <w:r>
        <w:t xml:space="preserve"> </w:t>
      </w:r>
      <w:r>
        <w:rPr>
          <w:lang w:val="en-ZA"/>
        </w:rPr>
        <w:t>Ibid para 12.</w:t>
      </w:r>
    </w:p>
  </w:footnote>
  <w:footnote w:id="6">
    <w:p w:rsidR="00220C05" w:rsidRPr="00220C05" w:rsidRDefault="00220C05">
      <w:pPr>
        <w:pStyle w:val="FootnoteText"/>
        <w:rPr>
          <w:lang w:val="en-ZA"/>
        </w:rPr>
      </w:pPr>
      <w:r>
        <w:rPr>
          <w:rStyle w:val="FootnoteReference"/>
        </w:rPr>
        <w:footnoteRef/>
      </w:r>
      <w:r>
        <w:t xml:space="preserve"> </w:t>
      </w:r>
      <w:r>
        <w:rPr>
          <w:lang w:val="en-ZA"/>
        </w:rPr>
        <w:t xml:space="preserve">ABSA Bank LTD v </w:t>
      </w:r>
      <w:proofErr w:type="spellStart"/>
      <w:r>
        <w:rPr>
          <w:lang w:val="en-ZA"/>
        </w:rPr>
        <w:t>Rhebokskloof</w:t>
      </w:r>
      <w:proofErr w:type="spellEnd"/>
      <w:r>
        <w:rPr>
          <w:lang w:val="en-ZA"/>
        </w:rPr>
        <w:t xml:space="preserve"> (Pty) Ltd 1993 (4) SA 436 (C) at 44F.</w:t>
      </w:r>
    </w:p>
  </w:footnote>
  <w:footnote w:id="7">
    <w:p w:rsidR="00CE434F" w:rsidRPr="00CE434F" w:rsidRDefault="00CE434F">
      <w:pPr>
        <w:pStyle w:val="FootnoteText"/>
        <w:rPr>
          <w:lang w:val="en-ZA"/>
        </w:rPr>
      </w:pPr>
      <w:r>
        <w:rPr>
          <w:rStyle w:val="FootnoteReference"/>
        </w:rPr>
        <w:footnoteRef/>
      </w:r>
      <w:r>
        <w:t xml:space="preserve"> </w:t>
      </w:r>
      <w:proofErr w:type="spellStart"/>
      <w:r>
        <w:rPr>
          <w:lang w:val="en-ZA"/>
        </w:rPr>
        <w:t>Imobrit</w:t>
      </w:r>
      <w:r w:rsidR="00E23D3E">
        <w:rPr>
          <w:lang w:val="en-ZA"/>
        </w:rPr>
        <w:t>e</w:t>
      </w:r>
      <w:proofErr w:type="spellEnd"/>
      <w:r>
        <w:rPr>
          <w:lang w:val="en-ZA"/>
        </w:rPr>
        <w:t xml:space="preserve"> </w:t>
      </w:r>
      <w:r w:rsidRPr="00E23D3E">
        <w:rPr>
          <w:i/>
          <w:lang w:val="en-ZA"/>
        </w:rPr>
        <w:t>supra</w:t>
      </w:r>
      <w:r>
        <w:rPr>
          <w:lang w:val="en-ZA"/>
        </w:rPr>
        <w:t xml:space="preserve"> para 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97007"/>
      <w:docPartObj>
        <w:docPartGallery w:val="Page Numbers (Top of Page)"/>
        <w:docPartUnique/>
      </w:docPartObj>
    </w:sdtPr>
    <w:sdtEndPr>
      <w:rPr>
        <w:noProof/>
      </w:rPr>
    </w:sdtEndPr>
    <w:sdtContent>
      <w:p w:rsidR="00546A1F" w:rsidRDefault="00546A1F">
        <w:pPr>
          <w:pStyle w:val="Header"/>
          <w:jc w:val="right"/>
        </w:pPr>
        <w:r>
          <w:fldChar w:fldCharType="begin"/>
        </w:r>
        <w:r>
          <w:instrText xml:space="preserve"> PAGE   \* MERGEFORMAT </w:instrText>
        </w:r>
        <w:r>
          <w:fldChar w:fldCharType="separate"/>
        </w:r>
        <w:r w:rsidR="00166250">
          <w:rPr>
            <w:noProof/>
          </w:rPr>
          <w:t>6</w:t>
        </w:r>
        <w:r>
          <w:rPr>
            <w:noProof/>
          </w:rPr>
          <w:fldChar w:fldCharType="end"/>
        </w:r>
      </w:p>
    </w:sdtContent>
  </w:sdt>
  <w:p w:rsidR="00546A1F" w:rsidRDefault="00546A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A5"/>
    <w:rsid w:val="000068D1"/>
    <w:rsid w:val="00034FF5"/>
    <w:rsid w:val="00056783"/>
    <w:rsid w:val="00063466"/>
    <w:rsid w:val="0007621C"/>
    <w:rsid w:val="00076F32"/>
    <w:rsid w:val="00115EFE"/>
    <w:rsid w:val="00165FCF"/>
    <w:rsid w:val="00166250"/>
    <w:rsid w:val="001749E6"/>
    <w:rsid w:val="001C01F2"/>
    <w:rsid w:val="00220C05"/>
    <w:rsid w:val="002F6714"/>
    <w:rsid w:val="002F67B9"/>
    <w:rsid w:val="0031773C"/>
    <w:rsid w:val="003648E5"/>
    <w:rsid w:val="004020CF"/>
    <w:rsid w:val="00432828"/>
    <w:rsid w:val="0044158A"/>
    <w:rsid w:val="00473071"/>
    <w:rsid w:val="004C0BA5"/>
    <w:rsid w:val="00520B5A"/>
    <w:rsid w:val="00546A1F"/>
    <w:rsid w:val="005704C5"/>
    <w:rsid w:val="0058719A"/>
    <w:rsid w:val="005F1FC2"/>
    <w:rsid w:val="0067171F"/>
    <w:rsid w:val="00673757"/>
    <w:rsid w:val="006B2C09"/>
    <w:rsid w:val="006B2E5F"/>
    <w:rsid w:val="006B4FB6"/>
    <w:rsid w:val="007E35BE"/>
    <w:rsid w:val="007F3869"/>
    <w:rsid w:val="007F503D"/>
    <w:rsid w:val="00813970"/>
    <w:rsid w:val="00843D79"/>
    <w:rsid w:val="00843F11"/>
    <w:rsid w:val="00887E49"/>
    <w:rsid w:val="00896A37"/>
    <w:rsid w:val="00936BFC"/>
    <w:rsid w:val="00945FD5"/>
    <w:rsid w:val="00951136"/>
    <w:rsid w:val="009909D1"/>
    <w:rsid w:val="009C0BA4"/>
    <w:rsid w:val="009F0659"/>
    <w:rsid w:val="00A52A7B"/>
    <w:rsid w:val="00A726CB"/>
    <w:rsid w:val="00B35EBE"/>
    <w:rsid w:val="00B55A0B"/>
    <w:rsid w:val="00BA60B5"/>
    <w:rsid w:val="00BD73B6"/>
    <w:rsid w:val="00BD7C52"/>
    <w:rsid w:val="00BE68C3"/>
    <w:rsid w:val="00BF2256"/>
    <w:rsid w:val="00C64F9B"/>
    <w:rsid w:val="00C86920"/>
    <w:rsid w:val="00CD2658"/>
    <w:rsid w:val="00CD2667"/>
    <w:rsid w:val="00CE434F"/>
    <w:rsid w:val="00CE7BF0"/>
    <w:rsid w:val="00CF569A"/>
    <w:rsid w:val="00D56A46"/>
    <w:rsid w:val="00D72194"/>
    <w:rsid w:val="00DB4B84"/>
    <w:rsid w:val="00DF27F3"/>
    <w:rsid w:val="00E23D3E"/>
    <w:rsid w:val="00EE4AC4"/>
    <w:rsid w:val="00F173C1"/>
    <w:rsid w:val="00F33CA8"/>
    <w:rsid w:val="00F44B73"/>
    <w:rsid w:val="00F50189"/>
    <w:rsid w:val="00FD65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B3278-618C-42D6-A723-BADA4DA9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BA5"/>
    <w:rPr>
      <w:lang w:val="en-GB"/>
    </w:rPr>
  </w:style>
  <w:style w:type="paragraph" w:styleId="Footer">
    <w:name w:val="footer"/>
    <w:basedOn w:val="Normal"/>
    <w:link w:val="FooterChar"/>
    <w:uiPriority w:val="99"/>
    <w:unhideWhenUsed/>
    <w:rsid w:val="004C0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BA5"/>
    <w:rPr>
      <w:lang w:val="en-GB"/>
    </w:rPr>
  </w:style>
  <w:style w:type="paragraph" w:styleId="FootnoteText">
    <w:name w:val="footnote text"/>
    <w:basedOn w:val="Normal"/>
    <w:link w:val="FootnoteTextChar"/>
    <w:uiPriority w:val="99"/>
    <w:semiHidden/>
    <w:unhideWhenUsed/>
    <w:rsid w:val="002F6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714"/>
    <w:rPr>
      <w:sz w:val="20"/>
      <w:szCs w:val="20"/>
      <w:lang w:val="en-GB"/>
    </w:rPr>
  </w:style>
  <w:style w:type="character" w:styleId="FootnoteReference">
    <w:name w:val="footnote reference"/>
    <w:basedOn w:val="DefaultParagraphFont"/>
    <w:uiPriority w:val="99"/>
    <w:semiHidden/>
    <w:unhideWhenUsed/>
    <w:rsid w:val="002F6714"/>
    <w:rPr>
      <w:vertAlign w:val="superscript"/>
    </w:rPr>
  </w:style>
  <w:style w:type="paragraph" w:styleId="ListParagraph">
    <w:name w:val="List Paragraph"/>
    <w:basedOn w:val="Normal"/>
    <w:uiPriority w:val="1"/>
    <w:qFormat/>
    <w:rsid w:val="00546A1F"/>
    <w:pPr>
      <w:spacing w:after="0" w:line="240" w:lineRule="auto"/>
    </w:pPr>
    <w:rPr>
      <w:rFonts w:ascii="Times New Roman" w:eastAsia="Times New Roman" w:hAnsi="Times New Roman" w:cs="Times New Roman"/>
      <w:sz w:val="24"/>
      <w:szCs w:val="24"/>
      <w:lang w:val="en-ZA"/>
    </w:rPr>
  </w:style>
  <w:style w:type="paragraph" w:customStyle="1" w:styleId="BodyAA">
    <w:name w:val="Body A A"/>
    <w:uiPriority w:val="99"/>
    <w:rsid w:val="00546A1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US" w:eastAsia="en-ZA"/>
    </w:rPr>
  </w:style>
  <w:style w:type="paragraph" w:customStyle="1" w:styleId="BodyA">
    <w:name w:val="Body A"/>
    <w:uiPriority w:val="99"/>
    <w:rsid w:val="00843D7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u w:color="000000"/>
      <w:lang w:val="en-US" w:eastAsia="en-ZA"/>
    </w:rPr>
  </w:style>
  <w:style w:type="paragraph" w:customStyle="1" w:styleId="BodyAAA">
    <w:name w:val="Body A A A"/>
    <w:uiPriority w:val="99"/>
    <w:rsid w:val="00843D7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en-ZA"/>
    </w:rPr>
  </w:style>
  <w:style w:type="paragraph" w:styleId="BalloonText">
    <w:name w:val="Balloon Text"/>
    <w:basedOn w:val="Normal"/>
    <w:link w:val="BalloonTextChar"/>
    <w:uiPriority w:val="99"/>
    <w:semiHidden/>
    <w:unhideWhenUsed/>
    <w:rsid w:val="0016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5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533CA-C75F-48D0-811C-C71BDECD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Wilma Mostert</cp:lastModifiedBy>
  <cp:revision>6</cp:revision>
  <cp:lastPrinted>2023-01-20T09:09:00Z</cp:lastPrinted>
  <dcterms:created xsi:type="dcterms:W3CDTF">2023-01-20T08:47:00Z</dcterms:created>
  <dcterms:modified xsi:type="dcterms:W3CDTF">2023-01-20T09:25:00Z</dcterms:modified>
</cp:coreProperties>
</file>