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81218C" w:rsidRDefault="0081218C" w:rsidP="00EF11A8">
      <w:pPr>
        <w:ind w:left="144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 xml:space="preserve">: </w:t>
      </w:r>
      <w:r w:rsidR="00F005B5">
        <w:rPr>
          <w:rFonts w:ascii="Arial" w:hAnsi="Arial" w:cs="Arial"/>
          <w:b/>
        </w:rPr>
        <w:t>A</w:t>
      </w:r>
      <w:r w:rsidR="00625B14">
        <w:rPr>
          <w:rFonts w:ascii="Arial" w:hAnsi="Arial" w:cs="Arial"/>
          <w:b/>
        </w:rPr>
        <w:t>97</w:t>
      </w:r>
      <w:r w:rsidR="007F4300">
        <w:rPr>
          <w:rFonts w:ascii="Arial" w:hAnsi="Arial" w:cs="Arial"/>
          <w:b/>
        </w:rPr>
        <w:t>/</w:t>
      </w:r>
      <w:r w:rsidR="00781F07" w:rsidRPr="005D6CBF">
        <w:rPr>
          <w:rFonts w:ascii="Arial" w:hAnsi="Arial" w:cs="Arial"/>
          <w:b/>
        </w:rPr>
        <w:t>20</w:t>
      </w:r>
      <w:r w:rsidR="00F005B5">
        <w:rPr>
          <w:rFonts w:ascii="Arial" w:hAnsi="Arial" w:cs="Arial"/>
          <w:b/>
        </w:rPr>
        <w:t>2</w:t>
      </w:r>
      <w:r w:rsidR="00812B94">
        <w:rPr>
          <w:rFonts w:ascii="Arial" w:hAnsi="Arial" w:cs="Arial"/>
          <w:b/>
        </w:rPr>
        <w:t>3</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781F07" w:rsidRPr="005D6CBF" w:rsidRDefault="00781F07" w:rsidP="00F57B86">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81372D" w:rsidRDefault="00625B14" w:rsidP="00EF11A8">
      <w:pPr>
        <w:pBdr>
          <w:bottom w:val="single" w:sz="12" w:space="1" w:color="auto"/>
        </w:pBdr>
        <w:jc w:val="both"/>
        <w:rPr>
          <w:rFonts w:ascii="Arial" w:hAnsi="Arial" w:cs="Arial"/>
        </w:rPr>
      </w:pPr>
      <w:r>
        <w:rPr>
          <w:rFonts w:ascii="Arial" w:hAnsi="Arial" w:cs="Arial"/>
          <w:b/>
        </w:rPr>
        <w:t>ESKOM HOLDINGS SOC LT</w:t>
      </w:r>
      <w:r w:rsidR="00812B94">
        <w:rPr>
          <w:rFonts w:ascii="Arial" w:hAnsi="Arial" w:cs="Arial"/>
          <w:b/>
        </w:rPr>
        <w:t>D</w:t>
      </w:r>
      <w:r w:rsidR="00812B94">
        <w:rPr>
          <w:rFonts w:ascii="Arial" w:hAnsi="Arial" w:cs="Arial"/>
          <w:b/>
        </w:rPr>
        <w:tab/>
      </w:r>
      <w:r w:rsidR="00812B94">
        <w:rPr>
          <w:rFonts w:ascii="Arial" w:hAnsi="Arial" w:cs="Arial"/>
          <w:b/>
        </w:rPr>
        <w:tab/>
      </w:r>
      <w:r w:rsidR="00812B94">
        <w:rPr>
          <w:rFonts w:ascii="Arial" w:hAnsi="Arial" w:cs="Arial"/>
          <w:b/>
        </w:rPr>
        <w:tab/>
      </w:r>
      <w:r w:rsidR="0081372D">
        <w:rPr>
          <w:rFonts w:ascii="Arial" w:hAnsi="Arial" w:cs="Arial"/>
          <w:b/>
        </w:rPr>
        <w:t xml:space="preserve"> </w:t>
      </w:r>
      <w:r w:rsidR="004E243D">
        <w:rPr>
          <w:rFonts w:ascii="Arial" w:hAnsi="Arial" w:cs="Arial"/>
          <w:b/>
        </w:rPr>
        <w:tab/>
        <w:t xml:space="preserve">         </w:t>
      </w:r>
      <w:r w:rsidR="0046504C">
        <w:rPr>
          <w:rFonts w:ascii="Arial" w:hAnsi="Arial" w:cs="Arial"/>
          <w:b/>
        </w:rPr>
        <w:t xml:space="preserve">         </w:t>
      </w:r>
      <w:r w:rsidR="00F005B5">
        <w:rPr>
          <w:rFonts w:ascii="Arial" w:hAnsi="Arial" w:cs="Arial"/>
          <w:b/>
        </w:rPr>
        <w:tab/>
        <w:t xml:space="preserve">   </w:t>
      </w:r>
      <w:r w:rsidR="00E35CE2">
        <w:rPr>
          <w:rFonts w:ascii="Arial" w:hAnsi="Arial" w:cs="Arial"/>
          <w:b/>
        </w:rPr>
        <w:t xml:space="preserve">    </w:t>
      </w:r>
      <w:r w:rsidR="00812B94">
        <w:rPr>
          <w:rFonts w:ascii="Arial" w:hAnsi="Arial" w:cs="Arial"/>
          <w:b/>
        </w:rPr>
        <w:t xml:space="preserve">     </w:t>
      </w:r>
      <w:r w:rsidR="00E35CE2">
        <w:rPr>
          <w:rFonts w:ascii="Arial" w:hAnsi="Arial" w:cs="Arial"/>
        </w:rPr>
        <w:t>App</w:t>
      </w:r>
      <w:r w:rsidR="00812B94">
        <w:rPr>
          <w:rFonts w:ascii="Arial" w:hAnsi="Arial" w:cs="Arial"/>
        </w:rPr>
        <w:t>ellant</w:t>
      </w:r>
    </w:p>
    <w:p w:rsidR="0081372D" w:rsidRDefault="0081372D" w:rsidP="00EF11A8">
      <w:pPr>
        <w:pBdr>
          <w:bottom w:val="single" w:sz="12" w:space="1" w:color="auto"/>
        </w:pBdr>
        <w:jc w:val="both"/>
        <w:rPr>
          <w:rFonts w:ascii="Arial" w:hAnsi="Arial" w:cs="Arial"/>
        </w:rPr>
      </w:pPr>
    </w:p>
    <w:p w:rsidR="00F005B5" w:rsidRPr="00F005B5" w:rsidRDefault="00E35CE2" w:rsidP="00F005B5">
      <w:pPr>
        <w:pBdr>
          <w:bottom w:val="single" w:sz="12" w:space="1" w:color="auto"/>
        </w:pBdr>
        <w:jc w:val="both"/>
        <w:rPr>
          <w:rFonts w:ascii="Arial" w:hAnsi="Arial" w:cs="Arial"/>
        </w:rPr>
      </w:pPr>
      <w:r>
        <w:rPr>
          <w:rFonts w:ascii="Arial" w:hAnsi="Arial" w:cs="Arial"/>
        </w:rPr>
        <w:t xml:space="preserve">and </w:t>
      </w:r>
      <w:r w:rsidR="00F005B5">
        <w:rPr>
          <w:rFonts w:ascii="Arial" w:hAnsi="Arial" w:cs="Arial"/>
        </w:rPr>
        <w:tab/>
      </w:r>
      <w:r w:rsidR="00F005B5">
        <w:rPr>
          <w:rFonts w:ascii="Arial" w:hAnsi="Arial" w:cs="Arial"/>
        </w:rPr>
        <w:tab/>
      </w:r>
    </w:p>
    <w:p w:rsidR="004E243D" w:rsidRDefault="004E243D" w:rsidP="00EF11A8">
      <w:pPr>
        <w:pBdr>
          <w:bottom w:val="single" w:sz="12" w:space="1" w:color="auto"/>
        </w:pBdr>
        <w:jc w:val="both"/>
        <w:rPr>
          <w:rFonts w:ascii="Arial" w:hAnsi="Arial" w:cs="Arial"/>
          <w:b/>
        </w:rPr>
      </w:pPr>
    </w:p>
    <w:p w:rsidR="00625B14" w:rsidRDefault="00625B14" w:rsidP="00EF11A8">
      <w:pPr>
        <w:pBdr>
          <w:bottom w:val="single" w:sz="12" w:space="1" w:color="auto"/>
        </w:pBdr>
        <w:jc w:val="both"/>
        <w:rPr>
          <w:rFonts w:ascii="Arial" w:hAnsi="Arial" w:cs="Arial"/>
          <w:b/>
        </w:rPr>
      </w:pPr>
      <w:r>
        <w:rPr>
          <w:rFonts w:ascii="Arial" w:hAnsi="Arial" w:cs="Arial"/>
          <w:b/>
        </w:rPr>
        <w:t>LOUIS JOHANNES BOTHA</w:t>
      </w:r>
      <w:r w:rsidR="00812B94">
        <w:rPr>
          <w:rFonts w:ascii="Arial" w:hAnsi="Arial" w:cs="Arial"/>
          <w:b/>
        </w:rPr>
        <w:tab/>
      </w:r>
      <w:r w:rsidR="00812B94">
        <w:rPr>
          <w:rFonts w:ascii="Arial" w:hAnsi="Arial" w:cs="Arial"/>
          <w:b/>
        </w:rPr>
        <w:tab/>
      </w:r>
      <w:r w:rsidR="00E35CE2">
        <w:rPr>
          <w:rFonts w:ascii="Arial" w:hAnsi="Arial" w:cs="Arial"/>
          <w:b/>
        </w:rPr>
        <w:tab/>
      </w:r>
      <w:r w:rsidR="00E35CE2">
        <w:rPr>
          <w:rFonts w:ascii="Arial" w:hAnsi="Arial" w:cs="Arial"/>
          <w:b/>
        </w:rPr>
        <w:tab/>
      </w:r>
      <w:r w:rsidR="00E35CE2">
        <w:rPr>
          <w:rFonts w:ascii="Arial" w:hAnsi="Arial" w:cs="Arial"/>
          <w:b/>
        </w:rPr>
        <w:tab/>
      </w:r>
      <w:r w:rsidR="00E35CE2">
        <w:rPr>
          <w:rFonts w:ascii="Arial" w:hAnsi="Arial" w:cs="Arial"/>
          <w:b/>
        </w:rPr>
        <w:tab/>
        <w:t xml:space="preserve">   </w:t>
      </w:r>
      <w:r w:rsidRPr="00625B14">
        <w:rPr>
          <w:rFonts w:ascii="Arial" w:hAnsi="Arial" w:cs="Arial"/>
        </w:rPr>
        <w:t>1</w:t>
      </w:r>
      <w:r w:rsidRPr="00625B14">
        <w:rPr>
          <w:rFonts w:ascii="Arial" w:hAnsi="Arial" w:cs="Arial"/>
          <w:vertAlign w:val="superscript"/>
        </w:rPr>
        <w:t>st</w:t>
      </w:r>
      <w:r w:rsidRPr="00625B14">
        <w:rPr>
          <w:rFonts w:ascii="Arial" w:hAnsi="Arial" w:cs="Arial"/>
        </w:rPr>
        <w:t xml:space="preserve"> </w:t>
      </w:r>
      <w:r w:rsidR="00E35CE2">
        <w:rPr>
          <w:rFonts w:ascii="Arial" w:hAnsi="Arial" w:cs="Arial"/>
        </w:rPr>
        <w:t>Respondent</w:t>
      </w:r>
      <w:r w:rsidR="00E35CE2" w:rsidRPr="005D6CBF">
        <w:rPr>
          <w:rFonts w:ascii="Arial" w:hAnsi="Arial" w:cs="Arial"/>
          <w:b/>
        </w:rPr>
        <w:t xml:space="preserve"> </w:t>
      </w:r>
    </w:p>
    <w:p w:rsidR="00625B14" w:rsidRDefault="00625B14" w:rsidP="00EF11A8">
      <w:pPr>
        <w:pBdr>
          <w:bottom w:val="single" w:sz="12" w:space="1" w:color="auto"/>
        </w:pBdr>
        <w:jc w:val="both"/>
        <w:rPr>
          <w:rFonts w:ascii="Arial" w:hAnsi="Arial" w:cs="Arial"/>
          <w:b/>
        </w:rPr>
      </w:pPr>
    </w:p>
    <w:p w:rsidR="00625B14" w:rsidRDefault="00625B14" w:rsidP="00EF11A8">
      <w:pPr>
        <w:pBdr>
          <w:bottom w:val="single" w:sz="12" w:space="1" w:color="auto"/>
        </w:pBdr>
        <w:jc w:val="both"/>
        <w:rPr>
          <w:rFonts w:ascii="Arial" w:hAnsi="Arial" w:cs="Arial"/>
        </w:rPr>
      </w:pPr>
      <w:r>
        <w:rPr>
          <w:rFonts w:ascii="Arial" w:hAnsi="Arial" w:cs="Arial"/>
          <w:b/>
        </w:rPr>
        <w:t>HENDRIK FRANC</w:t>
      </w:r>
      <w:r w:rsidR="00794AD5">
        <w:rPr>
          <w:rFonts w:ascii="Arial" w:hAnsi="Arial" w:cs="Arial"/>
          <w:b/>
        </w:rPr>
        <w:t>OI</w:t>
      </w:r>
      <w:r>
        <w:rPr>
          <w:rFonts w:ascii="Arial" w:hAnsi="Arial" w:cs="Arial"/>
          <w:b/>
        </w:rPr>
        <w:t>S NAUDE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25B14">
        <w:rPr>
          <w:rFonts w:ascii="Arial" w:hAnsi="Arial" w:cs="Arial"/>
        </w:rPr>
        <w:t xml:space="preserve">  2</w:t>
      </w:r>
      <w:r w:rsidRPr="00625B14">
        <w:rPr>
          <w:rFonts w:ascii="Arial" w:hAnsi="Arial" w:cs="Arial"/>
          <w:vertAlign w:val="superscript"/>
        </w:rPr>
        <w:t>nd</w:t>
      </w:r>
      <w:r>
        <w:rPr>
          <w:rFonts w:ascii="Arial" w:hAnsi="Arial" w:cs="Arial"/>
          <w:b/>
        </w:rPr>
        <w:t xml:space="preserve"> </w:t>
      </w:r>
      <w:r>
        <w:rPr>
          <w:rFonts w:ascii="Arial" w:hAnsi="Arial" w:cs="Arial"/>
        </w:rPr>
        <w:t>Respondent</w:t>
      </w:r>
    </w:p>
    <w:p w:rsidR="00625B14" w:rsidRDefault="00625B14" w:rsidP="00EF11A8">
      <w:pPr>
        <w:pBdr>
          <w:bottom w:val="single" w:sz="12" w:space="1" w:color="auto"/>
        </w:pBdr>
        <w:jc w:val="both"/>
        <w:rPr>
          <w:rFonts w:ascii="Arial" w:hAnsi="Arial" w:cs="Arial"/>
        </w:rPr>
      </w:pPr>
    </w:p>
    <w:p w:rsidR="00625B14" w:rsidRDefault="00625B14" w:rsidP="00EF11A8">
      <w:pPr>
        <w:pBdr>
          <w:bottom w:val="single" w:sz="12" w:space="1" w:color="auto"/>
        </w:pBdr>
        <w:jc w:val="both"/>
        <w:rPr>
          <w:rFonts w:ascii="Arial" w:hAnsi="Arial" w:cs="Arial"/>
        </w:rPr>
      </w:pPr>
      <w:r>
        <w:rPr>
          <w:rFonts w:ascii="Arial" w:hAnsi="Arial" w:cs="Arial"/>
          <w:b/>
        </w:rPr>
        <w:t>WESDAN BOERDERY (PTY) LTD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625B14">
        <w:rPr>
          <w:rFonts w:ascii="Arial" w:hAnsi="Arial" w:cs="Arial"/>
        </w:rPr>
        <w:t>3</w:t>
      </w:r>
      <w:r w:rsidRPr="00625B14">
        <w:rPr>
          <w:rFonts w:ascii="Arial" w:hAnsi="Arial" w:cs="Arial"/>
          <w:vertAlign w:val="superscript"/>
        </w:rPr>
        <w:t>rd</w:t>
      </w:r>
      <w:r>
        <w:rPr>
          <w:rFonts w:ascii="Arial" w:hAnsi="Arial" w:cs="Arial"/>
          <w:b/>
        </w:rPr>
        <w:t xml:space="preserve"> </w:t>
      </w:r>
      <w:r>
        <w:rPr>
          <w:rFonts w:ascii="Arial" w:hAnsi="Arial" w:cs="Arial"/>
        </w:rPr>
        <w:t>Respondent</w:t>
      </w:r>
    </w:p>
    <w:p w:rsidR="00625B14" w:rsidRDefault="00625B14" w:rsidP="00EF11A8">
      <w:pPr>
        <w:pBdr>
          <w:bottom w:val="single" w:sz="12" w:space="1" w:color="auto"/>
        </w:pBdr>
        <w:jc w:val="both"/>
        <w:rPr>
          <w:rFonts w:ascii="Arial" w:hAnsi="Arial" w:cs="Arial"/>
        </w:rPr>
      </w:pPr>
    </w:p>
    <w:p w:rsidR="00625B14" w:rsidRDefault="00625B14" w:rsidP="00EF11A8">
      <w:pPr>
        <w:pBdr>
          <w:bottom w:val="single" w:sz="12" w:space="1" w:color="auto"/>
        </w:pBdr>
        <w:jc w:val="both"/>
        <w:rPr>
          <w:rFonts w:ascii="Arial" w:hAnsi="Arial" w:cs="Arial"/>
        </w:rPr>
      </w:pPr>
      <w:r>
        <w:rPr>
          <w:rFonts w:ascii="Arial" w:hAnsi="Arial" w:cs="Arial"/>
          <w:b/>
        </w:rPr>
        <w:t>GOUVELD BOERDERY (PTY) LTD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25B14">
        <w:rPr>
          <w:rFonts w:ascii="Arial" w:hAnsi="Arial" w:cs="Arial"/>
        </w:rPr>
        <w:t xml:space="preserve">  4</w:t>
      </w:r>
      <w:r w:rsidRPr="00625B14">
        <w:rPr>
          <w:rFonts w:ascii="Arial" w:hAnsi="Arial" w:cs="Arial"/>
          <w:vertAlign w:val="superscript"/>
        </w:rPr>
        <w:t>th</w:t>
      </w:r>
      <w:r>
        <w:rPr>
          <w:rFonts w:ascii="Arial" w:hAnsi="Arial" w:cs="Arial"/>
          <w:b/>
        </w:rPr>
        <w:t xml:space="preserve"> </w:t>
      </w:r>
      <w:r>
        <w:rPr>
          <w:rFonts w:ascii="Arial" w:hAnsi="Arial" w:cs="Arial"/>
        </w:rPr>
        <w:t>Respondent</w:t>
      </w:r>
    </w:p>
    <w:p w:rsidR="00625B14" w:rsidRDefault="00625B14" w:rsidP="00EF11A8">
      <w:pPr>
        <w:pBdr>
          <w:bottom w:val="single" w:sz="12" w:space="1" w:color="auto"/>
        </w:pBdr>
        <w:jc w:val="both"/>
        <w:rPr>
          <w:rFonts w:ascii="Arial" w:hAnsi="Arial" w:cs="Arial"/>
        </w:rPr>
      </w:pPr>
    </w:p>
    <w:p w:rsidR="00E35CE2" w:rsidRDefault="00625B14" w:rsidP="00EF11A8">
      <w:pPr>
        <w:pBdr>
          <w:bottom w:val="single" w:sz="12" w:space="1" w:color="auto"/>
        </w:pBdr>
        <w:jc w:val="both"/>
        <w:rPr>
          <w:rFonts w:ascii="Arial" w:hAnsi="Arial" w:cs="Arial"/>
          <w:b/>
        </w:rPr>
      </w:pPr>
      <w:r>
        <w:rPr>
          <w:rFonts w:ascii="Arial" w:hAnsi="Arial" w:cs="Arial"/>
          <w:b/>
        </w:rPr>
        <w:t>CHRISTOFFEL PETRUS SCHEEPERS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25B14">
        <w:rPr>
          <w:rFonts w:ascii="Arial" w:hAnsi="Arial" w:cs="Arial"/>
        </w:rPr>
        <w:t xml:space="preserve">  5</w:t>
      </w:r>
      <w:r w:rsidRPr="00625B14">
        <w:rPr>
          <w:rFonts w:ascii="Arial" w:hAnsi="Arial" w:cs="Arial"/>
          <w:vertAlign w:val="superscript"/>
        </w:rPr>
        <w:t>th</w:t>
      </w:r>
      <w:r>
        <w:rPr>
          <w:rFonts w:ascii="Arial" w:hAnsi="Arial" w:cs="Arial"/>
          <w:b/>
        </w:rPr>
        <w:t xml:space="preserve"> </w:t>
      </w:r>
      <w:r>
        <w:rPr>
          <w:rFonts w:ascii="Arial" w:hAnsi="Arial" w:cs="Arial"/>
        </w:rPr>
        <w:t>Respondent</w:t>
      </w:r>
      <w:r w:rsidR="00E35CE2" w:rsidRPr="005D6CBF">
        <w:rPr>
          <w:rFonts w:ascii="Arial" w:hAnsi="Arial" w:cs="Arial"/>
          <w:b/>
        </w:rPr>
        <w:t xml:space="preserve">                       </w:t>
      </w:r>
      <w:r w:rsidR="00E35CE2">
        <w:rPr>
          <w:rFonts w:ascii="Arial" w:hAnsi="Arial" w:cs="Arial"/>
          <w:b/>
        </w:rPr>
        <w:t xml:space="preserve">                                </w:t>
      </w:r>
    </w:p>
    <w:p w:rsidR="00E35CE2" w:rsidRPr="005D6CBF" w:rsidRDefault="00E35CE2"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D221EC" w:rsidRDefault="00812B94" w:rsidP="00812B94">
      <w:pPr>
        <w:contextualSpacing/>
        <w:jc w:val="both"/>
        <w:rPr>
          <w:rFonts w:ascii="Arial" w:hAnsi="Arial" w:cs="Arial"/>
        </w:rPr>
      </w:pPr>
      <w:r>
        <w:rPr>
          <w:rFonts w:ascii="Arial" w:hAnsi="Arial" w:cs="Arial"/>
          <w:b/>
          <w:u w:val="single"/>
        </w:rPr>
        <w:t>JUDGMENT BY</w:t>
      </w:r>
      <w:r w:rsidRPr="005D6CBF">
        <w:rPr>
          <w:rFonts w:ascii="Arial" w:hAnsi="Arial" w:cs="Arial"/>
          <w:b/>
        </w:rPr>
        <w:t xml:space="preserve">:                 </w:t>
      </w:r>
      <w:r w:rsidRPr="00F940D0">
        <w:rPr>
          <w:rFonts w:ascii="Arial" w:hAnsi="Arial" w:cs="Arial"/>
        </w:rPr>
        <w:t xml:space="preserve">MHLAMBI, J </w:t>
      </w:r>
    </w:p>
    <w:p w:rsidR="00E35CE2" w:rsidRPr="00E35CE2" w:rsidRDefault="00E35CE2" w:rsidP="00E35CE2">
      <w:pPr>
        <w:pBdr>
          <w:bottom w:val="single" w:sz="12" w:space="1" w:color="auto"/>
        </w:pBdr>
        <w:ind w:left="2880" w:hanging="2880"/>
        <w:contextualSpacing/>
        <w:jc w:val="center"/>
        <w:rPr>
          <w:rFonts w:ascii="Arial" w:hAnsi="Arial" w:cs="Arial"/>
        </w:rPr>
      </w:pPr>
    </w:p>
    <w:p w:rsidR="00D221EC" w:rsidRPr="005D6CBF" w:rsidRDefault="00D221EC" w:rsidP="00EF11A8">
      <w:pPr>
        <w:contextualSpacing/>
        <w:jc w:val="both"/>
        <w:rPr>
          <w:rFonts w:ascii="Arial" w:hAnsi="Arial" w:cs="Arial"/>
          <w:b/>
        </w:rPr>
      </w:pPr>
    </w:p>
    <w:p w:rsidR="00812B94" w:rsidRDefault="00812B94" w:rsidP="00812B94">
      <w:pPr>
        <w:contextualSpacing/>
        <w:jc w:val="both"/>
        <w:rPr>
          <w:rFonts w:ascii="Arial" w:hAnsi="Arial" w:cs="Arial"/>
        </w:rPr>
      </w:pPr>
      <w:r>
        <w:rPr>
          <w:rFonts w:ascii="Arial" w:hAnsi="Arial" w:cs="Arial"/>
          <w:b/>
          <w:u w:val="single"/>
        </w:rPr>
        <w:t>CORAM:</w:t>
      </w:r>
      <w:r>
        <w:rPr>
          <w:rFonts w:ascii="Arial" w:hAnsi="Arial" w:cs="Arial"/>
        </w:rPr>
        <w:tab/>
      </w:r>
      <w:r>
        <w:rPr>
          <w:rFonts w:ascii="Arial" w:hAnsi="Arial" w:cs="Arial"/>
        </w:rPr>
        <w:tab/>
      </w:r>
      <w:r>
        <w:rPr>
          <w:rFonts w:ascii="Arial" w:hAnsi="Arial" w:cs="Arial"/>
        </w:rPr>
        <w:tab/>
        <w:t xml:space="preserve">MHLAMBI, </w:t>
      </w:r>
      <w:r w:rsidR="00817CC5">
        <w:rPr>
          <w:rFonts w:ascii="Arial" w:hAnsi="Arial" w:cs="Arial"/>
        </w:rPr>
        <w:t>ADP</w:t>
      </w:r>
      <w:r>
        <w:rPr>
          <w:rFonts w:ascii="Arial" w:hAnsi="Arial" w:cs="Arial"/>
        </w:rPr>
        <w:t xml:space="preserve">J </w:t>
      </w:r>
      <w:r>
        <w:rPr>
          <w:rFonts w:ascii="Arial" w:hAnsi="Arial" w:cs="Arial"/>
          <w:i/>
        </w:rPr>
        <w:t xml:space="preserve">et </w:t>
      </w:r>
      <w:r w:rsidR="00C5534A">
        <w:rPr>
          <w:rFonts w:ascii="Arial" w:hAnsi="Arial" w:cs="Arial"/>
        </w:rPr>
        <w:t>D</w:t>
      </w:r>
      <w:r w:rsidR="00F57C69">
        <w:rPr>
          <w:rFonts w:ascii="Arial" w:hAnsi="Arial" w:cs="Arial"/>
        </w:rPr>
        <w:t>AFFUE, J et MGUDLWA, AJ</w:t>
      </w:r>
    </w:p>
    <w:p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3F410D" w:rsidRDefault="003F410D" w:rsidP="00EF11A8">
      <w:pPr>
        <w:contextualSpacing/>
        <w:jc w:val="both"/>
        <w:rPr>
          <w:rFonts w:ascii="Arial" w:hAnsi="Arial" w:cs="Arial"/>
          <w:b/>
          <w:u w:val="single"/>
        </w:rPr>
      </w:pPr>
    </w:p>
    <w:p w:rsidR="00812B94" w:rsidRPr="00F57C69" w:rsidRDefault="00812B94" w:rsidP="00EF11A8">
      <w:pPr>
        <w:contextualSpacing/>
        <w:jc w:val="both"/>
        <w:rPr>
          <w:rFonts w:ascii="Arial" w:hAnsi="Arial" w:cs="Arial"/>
        </w:rPr>
      </w:pPr>
      <w:r>
        <w:rPr>
          <w:rFonts w:ascii="Arial" w:hAnsi="Arial" w:cs="Arial"/>
          <w:b/>
          <w:u w:val="single"/>
        </w:rPr>
        <w:t>HEARD ON:</w:t>
      </w:r>
      <w:r w:rsidR="00F57C69" w:rsidRPr="00F57C69">
        <w:rPr>
          <w:rFonts w:ascii="Arial" w:hAnsi="Arial" w:cs="Arial"/>
        </w:rPr>
        <w:t xml:space="preserve">                 </w:t>
      </w:r>
      <w:r w:rsidR="00F57C69">
        <w:rPr>
          <w:rFonts w:ascii="Arial" w:hAnsi="Arial" w:cs="Arial"/>
        </w:rPr>
        <w:t xml:space="preserve">    </w:t>
      </w:r>
      <w:r w:rsidR="00CC3ACE">
        <w:rPr>
          <w:rFonts w:ascii="Arial" w:hAnsi="Arial" w:cs="Arial"/>
        </w:rPr>
        <w:t xml:space="preserve">  </w:t>
      </w:r>
      <w:r w:rsidR="00F57C69">
        <w:rPr>
          <w:rFonts w:ascii="Arial" w:hAnsi="Arial" w:cs="Arial"/>
        </w:rPr>
        <w:t>25 March 202</w:t>
      </w:r>
      <w:r w:rsidR="00817CC5">
        <w:rPr>
          <w:rFonts w:ascii="Arial" w:hAnsi="Arial" w:cs="Arial"/>
        </w:rPr>
        <w:t>4</w:t>
      </w:r>
    </w:p>
    <w:p w:rsidR="00F005B5" w:rsidRPr="00F005B5" w:rsidRDefault="00F005B5" w:rsidP="00EF11A8">
      <w:pPr>
        <w:contextualSpacing/>
        <w:jc w:val="both"/>
        <w:rPr>
          <w:rFonts w:ascii="Arial" w:hAnsi="Arial" w:cs="Arial"/>
          <w:b/>
        </w:rPr>
      </w:pPr>
      <w:r w:rsidRPr="00F005B5">
        <w:rPr>
          <w:rFonts w:ascii="Arial" w:hAnsi="Arial" w:cs="Arial"/>
          <w:b/>
        </w:rPr>
        <w:t>___________________________________________________________________</w:t>
      </w:r>
    </w:p>
    <w:p w:rsidR="00F005B5" w:rsidRPr="00F005B5" w:rsidRDefault="00F005B5" w:rsidP="00EF11A8">
      <w:pPr>
        <w:contextualSpacing/>
        <w:jc w:val="both"/>
        <w:rPr>
          <w:rFonts w:ascii="Arial" w:hAnsi="Arial" w:cs="Arial"/>
          <w:b/>
        </w:rPr>
      </w:pPr>
    </w:p>
    <w:p w:rsidR="007C348D" w:rsidRPr="00F57C69" w:rsidRDefault="00EF11A8" w:rsidP="00F87E7C">
      <w:pPr>
        <w:tabs>
          <w:tab w:val="left" w:pos="2880"/>
        </w:tabs>
        <w:ind w:left="1985" w:hanging="1985"/>
        <w:contextualSpacing/>
        <w:jc w:val="both"/>
        <w:rPr>
          <w:rFonts w:ascii="Arial" w:hAnsi="Arial" w:cs="Arial"/>
          <w:bCs/>
        </w:rPr>
      </w:pPr>
      <w:r w:rsidRPr="005D6CBF">
        <w:rPr>
          <w:rFonts w:ascii="Arial" w:hAnsi="Arial" w:cs="Arial"/>
          <w:b/>
          <w:u w:val="single"/>
        </w:rPr>
        <w:t>DELIVERED ON:</w:t>
      </w:r>
      <w:r w:rsidR="00F87E7C">
        <w:rPr>
          <w:rFonts w:ascii="Arial" w:hAnsi="Arial" w:cs="Arial"/>
          <w:b/>
        </w:rPr>
        <w:t xml:space="preserve">  </w:t>
      </w:r>
      <w:r w:rsidR="00F57C69">
        <w:rPr>
          <w:rFonts w:ascii="Arial" w:hAnsi="Arial" w:cs="Arial"/>
          <w:b/>
        </w:rPr>
        <w:t xml:space="preserve">            </w:t>
      </w:r>
      <w:r w:rsidR="00794AD5">
        <w:rPr>
          <w:rFonts w:ascii="Arial" w:hAnsi="Arial" w:cs="Arial"/>
        </w:rPr>
        <w:t>3 July</w:t>
      </w:r>
      <w:r w:rsidR="00F57C69">
        <w:rPr>
          <w:rFonts w:ascii="Arial" w:hAnsi="Arial" w:cs="Arial"/>
        </w:rPr>
        <w:t xml:space="preserve"> 2024</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473965" w:rsidRDefault="002A631E" w:rsidP="00BD0D6E">
      <w:pPr>
        <w:spacing w:before="240" w:after="240" w:line="360" w:lineRule="auto"/>
        <w:ind w:left="567" w:hanging="567"/>
        <w:jc w:val="both"/>
        <w:rPr>
          <w:rFonts w:ascii="Arial" w:hAnsi="Arial" w:cs="Arial"/>
        </w:rPr>
      </w:pPr>
      <w:r>
        <w:rPr>
          <w:rFonts w:ascii="Arial" w:hAnsi="Arial" w:cs="Arial"/>
        </w:rPr>
        <w:t>[1]</w:t>
      </w:r>
      <w:r w:rsidR="00157E06">
        <w:rPr>
          <w:rFonts w:ascii="Arial" w:hAnsi="Arial" w:cs="Arial"/>
        </w:rPr>
        <w:tab/>
      </w:r>
      <w:r w:rsidR="0001106B">
        <w:rPr>
          <w:rFonts w:ascii="Arial" w:hAnsi="Arial" w:cs="Arial"/>
        </w:rPr>
        <w:t xml:space="preserve">This is an application against the decision of the court </w:t>
      </w:r>
      <w:r w:rsidR="0001106B">
        <w:rPr>
          <w:rFonts w:ascii="Arial" w:hAnsi="Arial" w:cs="Arial"/>
          <w:i/>
        </w:rPr>
        <w:t xml:space="preserve">a quo </w:t>
      </w:r>
      <w:r w:rsidR="0001106B">
        <w:rPr>
          <w:rFonts w:ascii="Arial" w:hAnsi="Arial" w:cs="Arial"/>
        </w:rPr>
        <w:t>(Loubser,</w:t>
      </w:r>
      <w:r w:rsidR="0040066A">
        <w:rPr>
          <w:rFonts w:ascii="Arial" w:hAnsi="Arial" w:cs="Arial"/>
        </w:rPr>
        <w:t xml:space="preserve"> </w:t>
      </w:r>
      <w:r w:rsidR="0001106B">
        <w:rPr>
          <w:rFonts w:ascii="Arial" w:hAnsi="Arial" w:cs="Arial"/>
        </w:rPr>
        <w:t xml:space="preserve">J) in which the appellant’s special pleas were dismissed with costs. The crisp question for </w:t>
      </w:r>
      <w:r w:rsidR="00897F25">
        <w:rPr>
          <w:rFonts w:ascii="Arial" w:hAnsi="Arial" w:cs="Arial"/>
        </w:rPr>
        <w:t>determination</w:t>
      </w:r>
      <w:r w:rsidR="0001106B">
        <w:rPr>
          <w:rFonts w:ascii="Arial" w:hAnsi="Arial" w:cs="Arial"/>
        </w:rPr>
        <w:t xml:space="preserve"> was whether the appellant (Eskom) enjoyed the notice protection afforded by section 3 of the Institution of Legal Proceedings Against </w:t>
      </w:r>
      <w:r w:rsidR="0040066A">
        <w:rPr>
          <w:rFonts w:ascii="Arial" w:hAnsi="Arial" w:cs="Arial"/>
        </w:rPr>
        <w:t>Certain Organs</w:t>
      </w:r>
      <w:r w:rsidR="003F0875">
        <w:rPr>
          <w:rFonts w:ascii="Arial" w:hAnsi="Arial" w:cs="Arial"/>
        </w:rPr>
        <w:t xml:space="preserve"> of </w:t>
      </w:r>
      <w:r w:rsidR="0040066A">
        <w:rPr>
          <w:rFonts w:ascii="Arial" w:hAnsi="Arial" w:cs="Arial"/>
        </w:rPr>
        <w:t>State</w:t>
      </w:r>
      <w:r w:rsidR="003F0875">
        <w:rPr>
          <w:rFonts w:ascii="Arial" w:hAnsi="Arial" w:cs="Arial"/>
        </w:rPr>
        <w:t xml:space="preserve"> Ac</w:t>
      </w:r>
      <w:r w:rsidR="0001106B">
        <w:rPr>
          <w:rFonts w:ascii="Arial" w:hAnsi="Arial" w:cs="Arial"/>
        </w:rPr>
        <w:t>t (“the Act”).</w:t>
      </w:r>
      <w:r w:rsidR="0001106B">
        <w:rPr>
          <w:rStyle w:val="FootnoteReference"/>
          <w:rFonts w:ascii="Arial" w:hAnsi="Arial" w:cs="Arial"/>
        </w:rPr>
        <w:footnoteReference w:id="2"/>
      </w:r>
      <w:r w:rsidR="0001106B">
        <w:rPr>
          <w:rFonts w:ascii="Arial" w:hAnsi="Arial" w:cs="Arial"/>
        </w:rPr>
        <w:t xml:space="preserve"> Having considered certain legislation and authorities, the court </w:t>
      </w:r>
      <w:r w:rsidR="0001106B">
        <w:rPr>
          <w:rFonts w:ascii="Arial" w:hAnsi="Arial" w:cs="Arial"/>
          <w:i/>
        </w:rPr>
        <w:t>a quo</w:t>
      </w:r>
      <w:r w:rsidR="0040066A">
        <w:rPr>
          <w:rFonts w:ascii="Arial" w:hAnsi="Arial" w:cs="Arial"/>
          <w:i/>
        </w:rPr>
        <w:t xml:space="preserve"> </w:t>
      </w:r>
      <w:r w:rsidR="0001106B">
        <w:rPr>
          <w:rFonts w:ascii="Arial" w:hAnsi="Arial" w:cs="Arial"/>
        </w:rPr>
        <w:t>was not satisfied that the appellant qualified</w:t>
      </w:r>
      <w:r w:rsidR="0040066A">
        <w:rPr>
          <w:rFonts w:ascii="Arial" w:hAnsi="Arial" w:cs="Arial"/>
        </w:rPr>
        <w:t xml:space="preserve"> as an organ</w:t>
      </w:r>
      <w:r w:rsidR="00190C5D">
        <w:rPr>
          <w:rFonts w:ascii="Arial" w:hAnsi="Arial" w:cs="Arial"/>
        </w:rPr>
        <w:t xml:space="preserve"> of state</w:t>
      </w:r>
      <w:r w:rsidR="0040066A">
        <w:rPr>
          <w:rFonts w:ascii="Arial" w:hAnsi="Arial" w:cs="Arial"/>
        </w:rPr>
        <w:t xml:space="preserve"> as defined</w:t>
      </w:r>
      <w:r w:rsidR="00190C5D">
        <w:rPr>
          <w:rFonts w:ascii="Arial" w:hAnsi="Arial" w:cs="Arial"/>
        </w:rPr>
        <w:t xml:space="preserve"> in section 1(1)</w:t>
      </w:r>
      <w:r w:rsidR="0040066A">
        <w:rPr>
          <w:rFonts w:ascii="Arial" w:hAnsi="Arial" w:cs="Arial"/>
        </w:rPr>
        <w:t>(c)</w:t>
      </w:r>
      <w:r w:rsidR="00190C5D">
        <w:rPr>
          <w:rFonts w:ascii="Arial" w:hAnsi="Arial" w:cs="Arial"/>
        </w:rPr>
        <w:t xml:space="preserve"> of the Act</w:t>
      </w:r>
      <w:r w:rsidR="0040066A">
        <w:rPr>
          <w:rFonts w:ascii="Arial" w:hAnsi="Arial" w:cs="Arial"/>
        </w:rPr>
        <w:t>,</w:t>
      </w:r>
      <w:r w:rsidR="00190C5D">
        <w:rPr>
          <w:rFonts w:ascii="Arial" w:hAnsi="Arial" w:cs="Arial"/>
        </w:rPr>
        <w:t xml:space="preserve"> and </w:t>
      </w:r>
      <w:r w:rsidR="009B32B9">
        <w:rPr>
          <w:rFonts w:ascii="Arial" w:hAnsi="Arial" w:cs="Arial"/>
        </w:rPr>
        <w:t xml:space="preserve">concluded that </w:t>
      </w:r>
      <w:r w:rsidR="00190C5D">
        <w:rPr>
          <w:rFonts w:ascii="Arial" w:hAnsi="Arial" w:cs="Arial"/>
        </w:rPr>
        <w:t xml:space="preserve">the respondents were not required to give notice in terms of section 3 of that Act. </w:t>
      </w:r>
    </w:p>
    <w:p w:rsidR="00190C5D" w:rsidRDefault="00190C5D" w:rsidP="00BD0D6E">
      <w:pPr>
        <w:spacing w:before="240" w:after="240" w:line="360" w:lineRule="auto"/>
        <w:ind w:left="567" w:hanging="567"/>
        <w:jc w:val="both"/>
        <w:rPr>
          <w:rFonts w:ascii="Arial" w:hAnsi="Arial" w:cs="Arial"/>
        </w:rPr>
      </w:pPr>
      <w:r>
        <w:rPr>
          <w:rFonts w:ascii="Arial" w:hAnsi="Arial" w:cs="Arial"/>
        </w:rPr>
        <w:t>[2]</w:t>
      </w:r>
      <w:r>
        <w:rPr>
          <w:rFonts w:ascii="Arial" w:hAnsi="Arial" w:cs="Arial"/>
        </w:rPr>
        <w:tab/>
      </w:r>
      <w:r w:rsidR="00FF0375">
        <w:rPr>
          <w:rFonts w:ascii="Arial" w:hAnsi="Arial" w:cs="Arial"/>
        </w:rPr>
        <w:t>The court</w:t>
      </w:r>
      <w:r w:rsidR="00794AD5">
        <w:rPr>
          <w:rFonts w:ascii="Arial" w:hAnsi="Arial" w:cs="Arial"/>
        </w:rPr>
        <w:t xml:space="preserve"> </w:t>
      </w:r>
      <w:r w:rsidR="00794AD5" w:rsidRPr="00C93C17">
        <w:rPr>
          <w:rFonts w:ascii="Arial" w:hAnsi="Arial" w:cs="Arial"/>
          <w:i/>
        </w:rPr>
        <w:t>a quo</w:t>
      </w:r>
      <w:r w:rsidR="00794AD5">
        <w:rPr>
          <w:rFonts w:ascii="Arial" w:hAnsi="Arial" w:cs="Arial"/>
        </w:rPr>
        <w:t xml:space="preserve"> </w:t>
      </w:r>
      <w:r w:rsidR="00FF0375">
        <w:rPr>
          <w:rFonts w:ascii="Arial" w:hAnsi="Arial" w:cs="Arial"/>
        </w:rPr>
        <w:t>also</w:t>
      </w:r>
      <w:r>
        <w:rPr>
          <w:rFonts w:ascii="Arial" w:hAnsi="Arial" w:cs="Arial"/>
        </w:rPr>
        <w:t xml:space="preserve"> found that th</w:t>
      </w:r>
      <w:r w:rsidR="00FF0375">
        <w:rPr>
          <w:rFonts w:ascii="Arial" w:hAnsi="Arial" w:cs="Arial"/>
        </w:rPr>
        <w:t>e appellant was an organ of</w:t>
      </w:r>
      <w:r w:rsidR="00E958DD">
        <w:rPr>
          <w:rFonts w:ascii="Arial" w:hAnsi="Arial" w:cs="Arial"/>
        </w:rPr>
        <w:t xml:space="preserve"> </w:t>
      </w:r>
      <w:r>
        <w:rPr>
          <w:rFonts w:ascii="Arial" w:hAnsi="Arial" w:cs="Arial"/>
        </w:rPr>
        <w:t>state</w:t>
      </w:r>
      <w:r w:rsidR="00FF0375">
        <w:rPr>
          <w:rFonts w:ascii="Arial" w:hAnsi="Arial" w:cs="Arial"/>
        </w:rPr>
        <w:t xml:space="preserve"> in terms of the Constitution</w:t>
      </w:r>
      <w:r>
        <w:rPr>
          <w:rFonts w:ascii="Arial" w:hAnsi="Arial" w:cs="Arial"/>
        </w:rPr>
        <w:t xml:space="preserve"> as it was clear that the definition in</w:t>
      </w:r>
      <w:r w:rsidR="003F0875">
        <w:rPr>
          <w:rFonts w:ascii="Arial" w:hAnsi="Arial" w:cs="Arial"/>
        </w:rPr>
        <w:t xml:space="preserve"> the </w:t>
      </w:r>
      <w:r w:rsidR="00E958DD">
        <w:rPr>
          <w:rFonts w:ascii="Arial" w:hAnsi="Arial" w:cs="Arial"/>
        </w:rPr>
        <w:t>Constitution</w:t>
      </w:r>
      <w:r w:rsidR="003F0875">
        <w:rPr>
          <w:rFonts w:ascii="Arial" w:hAnsi="Arial" w:cs="Arial"/>
        </w:rPr>
        <w:t xml:space="preserve"> was wider than</w:t>
      </w:r>
      <w:r>
        <w:rPr>
          <w:rFonts w:ascii="Arial" w:hAnsi="Arial" w:cs="Arial"/>
        </w:rPr>
        <w:t xml:space="preserve"> the narrower definition in the Act. Section 1(1) of the Act defines an organ of state as:</w:t>
      </w:r>
    </w:p>
    <w:p w:rsidR="00190C5D" w:rsidRPr="00190C5D" w:rsidRDefault="00D01378" w:rsidP="00466224">
      <w:pPr>
        <w:spacing w:before="240" w:after="240" w:line="360" w:lineRule="auto"/>
        <w:ind w:left="993" w:hanging="426"/>
        <w:jc w:val="both"/>
        <w:rPr>
          <w:rFonts w:ascii="Arial" w:hAnsi="Arial" w:cs="Arial"/>
          <w:i/>
          <w:sz w:val="20"/>
          <w:szCs w:val="20"/>
          <w:lang w:val="en-ZA" w:eastAsia="en-ZA"/>
        </w:rPr>
      </w:pPr>
      <w:r w:rsidRPr="00D01378">
        <w:rPr>
          <w:rFonts w:ascii="Arial" w:hAnsi="Arial" w:cs="Arial"/>
          <w:i/>
          <w:sz w:val="20"/>
          <w:szCs w:val="20"/>
          <w:lang w:val="en-ZA" w:eastAsia="en-ZA"/>
        </w:rPr>
        <w:t>“</w:t>
      </w:r>
      <w:hyperlink r:id="rId10" w:tgtFrame="main" w:history="1">
        <w:r w:rsidR="00190C5D" w:rsidRPr="00D01378">
          <w:rPr>
            <w:rFonts w:ascii="Arial" w:hAnsi="Arial" w:cs="Arial"/>
            <w:i/>
            <w:sz w:val="20"/>
            <w:szCs w:val="20"/>
            <w:lang w:val="en-ZA" w:eastAsia="en-ZA"/>
          </w:rPr>
          <w:t>(1)</w:t>
        </w:r>
      </w:hyperlink>
      <w:r w:rsidR="00190C5D" w:rsidRPr="00D01378">
        <w:rPr>
          <w:rFonts w:ascii="Arial" w:hAnsi="Arial" w:cs="Arial"/>
          <w:i/>
          <w:sz w:val="20"/>
          <w:szCs w:val="20"/>
          <w:lang w:val="en-ZA" w:eastAsia="en-ZA"/>
        </w:rPr>
        <w:tab/>
      </w:r>
      <w:r w:rsidR="00466224">
        <w:rPr>
          <w:rFonts w:ascii="Arial" w:hAnsi="Arial" w:cs="Arial"/>
          <w:i/>
          <w:sz w:val="20"/>
          <w:szCs w:val="20"/>
          <w:lang w:val="en-ZA" w:eastAsia="en-ZA"/>
        </w:rPr>
        <w:t>…..</w:t>
      </w:r>
    </w:p>
    <w:p w:rsidR="00190C5D" w:rsidRPr="00190C5D" w:rsidRDefault="00190C5D" w:rsidP="00AA175C">
      <w:pPr>
        <w:spacing w:before="240" w:after="240" w:line="360" w:lineRule="auto"/>
        <w:ind w:left="1276" w:firstLine="142"/>
        <w:jc w:val="both"/>
        <w:rPr>
          <w:rFonts w:ascii="Arial" w:hAnsi="Arial" w:cs="Arial"/>
          <w:i/>
          <w:sz w:val="20"/>
          <w:szCs w:val="20"/>
          <w:lang w:val="en-ZA" w:eastAsia="en-ZA"/>
        </w:rPr>
      </w:pPr>
      <w:bookmarkStart w:id="0" w:name="LPTOC1.7"/>
      <w:bookmarkStart w:id="1" w:name="0-0-0-227597"/>
      <w:bookmarkEnd w:id="0"/>
      <w:bookmarkEnd w:id="1"/>
      <w:r w:rsidRPr="00190C5D">
        <w:rPr>
          <w:rFonts w:ascii="Arial" w:hAnsi="Arial" w:cs="Arial"/>
          <w:b/>
          <w:bCs/>
          <w:i/>
          <w:sz w:val="20"/>
          <w:szCs w:val="20"/>
          <w:lang w:val="en-ZA" w:eastAsia="en-ZA"/>
        </w:rPr>
        <w:t>'organ of state'</w:t>
      </w:r>
      <w:r w:rsidRPr="00190C5D">
        <w:rPr>
          <w:rFonts w:ascii="Arial" w:hAnsi="Arial" w:cs="Arial"/>
          <w:i/>
          <w:sz w:val="20"/>
          <w:szCs w:val="20"/>
          <w:lang w:val="en-ZA" w:eastAsia="en-ZA"/>
        </w:rPr>
        <w:t> means-</w:t>
      </w:r>
    </w:p>
    <w:p w:rsidR="00190C5D" w:rsidRPr="00190C5D" w:rsidRDefault="00190C5D" w:rsidP="00AA175C">
      <w:pPr>
        <w:spacing w:before="240" w:after="240" w:line="360" w:lineRule="auto"/>
        <w:ind w:left="1985" w:hanging="567"/>
        <w:jc w:val="both"/>
        <w:rPr>
          <w:rFonts w:ascii="Arial" w:hAnsi="Arial" w:cs="Arial"/>
          <w:i/>
          <w:sz w:val="20"/>
          <w:szCs w:val="20"/>
          <w:lang w:val="en-ZA" w:eastAsia="en-ZA"/>
        </w:rPr>
      </w:pPr>
      <w:r w:rsidRPr="00190C5D">
        <w:rPr>
          <w:rFonts w:ascii="Arial" w:hAnsi="Arial" w:cs="Arial"/>
          <w:i/>
          <w:sz w:val="20"/>
          <w:szCs w:val="20"/>
          <w:lang w:val="en-ZA" w:eastAsia="en-ZA"/>
        </w:rPr>
        <w:t> </w:t>
      </w:r>
      <w:bookmarkStart w:id="2" w:name="0-0-0-227599"/>
      <w:bookmarkEnd w:id="2"/>
      <w:r w:rsidRPr="00190C5D">
        <w:rPr>
          <w:rFonts w:ascii="Arial" w:hAnsi="Arial" w:cs="Arial"/>
          <w:i/>
          <w:iCs/>
          <w:sz w:val="20"/>
          <w:szCs w:val="20"/>
          <w:lang w:val="en-ZA" w:eastAsia="en-ZA"/>
        </w:rPr>
        <w:t>(a)</w:t>
      </w:r>
      <w:r w:rsidRPr="00190C5D">
        <w:rPr>
          <w:rFonts w:ascii="Arial" w:hAnsi="Arial" w:cs="Arial"/>
          <w:i/>
          <w:sz w:val="20"/>
          <w:szCs w:val="20"/>
          <w:lang w:val="en-ZA" w:eastAsia="en-ZA"/>
        </w:rPr>
        <w:t>   any national or provincial department;</w:t>
      </w:r>
    </w:p>
    <w:p w:rsidR="00190C5D" w:rsidRPr="00190C5D" w:rsidRDefault="00190C5D" w:rsidP="00AA175C">
      <w:pPr>
        <w:spacing w:before="240" w:after="240" w:line="360" w:lineRule="auto"/>
        <w:ind w:left="1985" w:hanging="567"/>
        <w:jc w:val="both"/>
        <w:rPr>
          <w:rFonts w:ascii="Arial" w:hAnsi="Arial" w:cs="Arial"/>
          <w:i/>
          <w:sz w:val="20"/>
          <w:szCs w:val="20"/>
          <w:lang w:val="en-ZA" w:eastAsia="en-ZA"/>
        </w:rPr>
      </w:pPr>
      <w:r w:rsidRPr="00190C5D">
        <w:rPr>
          <w:rFonts w:ascii="Arial" w:hAnsi="Arial" w:cs="Arial"/>
          <w:i/>
          <w:sz w:val="20"/>
          <w:szCs w:val="20"/>
          <w:lang w:val="en-ZA" w:eastAsia="en-ZA"/>
        </w:rPr>
        <w:t> </w:t>
      </w:r>
      <w:bookmarkStart w:id="3" w:name="0-0-0-227601"/>
      <w:bookmarkEnd w:id="3"/>
      <w:r w:rsidRPr="00190C5D">
        <w:rPr>
          <w:rFonts w:ascii="Arial" w:hAnsi="Arial" w:cs="Arial"/>
          <w:i/>
          <w:iCs/>
          <w:sz w:val="20"/>
          <w:szCs w:val="20"/>
          <w:lang w:val="en-ZA" w:eastAsia="en-ZA"/>
        </w:rPr>
        <w:t>(b)</w:t>
      </w:r>
      <w:r w:rsidRPr="00190C5D">
        <w:rPr>
          <w:rFonts w:ascii="Arial" w:hAnsi="Arial" w:cs="Arial"/>
          <w:i/>
          <w:sz w:val="20"/>
          <w:szCs w:val="20"/>
          <w:lang w:val="en-ZA" w:eastAsia="en-ZA"/>
        </w:rPr>
        <w:t>   a municipality contemplated in section 151 of the Constitution;</w:t>
      </w:r>
    </w:p>
    <w:p w:rsidR="00190C5D" w:rsidRPr="00190C5D" w:rsidRDefault="00190C5D" w:rsidP="00AA175C">
      <w:pPr>
        <w:spacing w:before="240" w:after="240" w:line="360" w:lineRule="auto"/>
        <w:ind w:left="1843" w:hanging="425"/>
        <w:jc w:val="both"/>
        <w:rPr>
          <w:rFonts w:ascii="Arial" w:hAnsi="Arial" w:cs="Arial"/>
          <w:i/>
          <w:sz w:val="20"/>
          <w:szCs w:val="20"/>
          <w:lang w:val="en-ZA" w:eastAsia="en-ZA"/>
        </w:rPr>
      </w:pPr>
      <w:r w:rsidRPr="00190C5D">
        <w:rPr>
          <w:rFonts w:ascii="Arial" w:hAnsi="Arial" w:cs="Arial"/>
          <w:i/>
          <w:sz w:val="20"/>
          <w:szCs w:val="20"/>
          <w:lang w:val="en-ZA" w:eastAsia="en-ZA"/>
        </w:rPr>
        <w:t> </w:t>
      </w:r>
      <w:bookmarkStart w:id="4" w:name="0-0-0-227603"/>
      <w:bookmarkEnd w:id="4"/>
      <w:r w:rsidRPr="00190C5D">
        <w:rPr>
          <w:rFonts w:ascii="Arial" w:hAnsi="Arial" w:cs="Arial"/>
          <w:i/>
          <w:iCs/>
          <w:sz w:val="20"/>
          <w:szCs w:val="20"/>
          <w:lang w:val="en-ZA" w:eastAsia="en-ZA"/>
        </w:rPr>
        <w:t>(c)</w:t>
      </w:r>
      <w:r w:rsidRPr="00190C5D">
        <w:rPr>
          <w:rFonts w:ascii="Arial" w:hAnsi="Arial" w:cs="Arial"/>
          <w:i/>
          <w:sz w:val="20"/>
          <w:szCs w:val="20"/>
          <w:lang w:val="en-ZA" w:eastAsia="en-ZA"/>
        </w:rPr>
        <w:t>   any functionary or institution exercising a power or performing a function in terms of the Constitution, or a provincial constitution referred to in section 142 of the Constitution;</w:t>
      </w:r>
    </w:p>
    <w:p w:rsidR="00190C5D" w:rsidRPr="00190C5D" w:rsidRDefault="00190C5D" w:rsidP="00AA175C">
      <w:pPr>
        <w:spacing w:before="240" w:after="240" w:line="360" w:lineRule="auto"/>
        <w:ind w:left="1843" w:hanging="425"/>
        <w:jc w:val="both"/>
        <w:rPr>
          <w:rFonts w:ascii="Arial" w:hAnsi="Arial" w:cs="Arial"/>
          <w:i/>
          <w:sz w:val="20"/>
          <w:szCs w:val="20"/>
          <w:lang w:val="en-ZA" w:eastAsia="en-ZA"/>
        </w:rPr>
      </w:pPr>
      <w:r w:rsidRPr="00190C5D">
        <w:rPr>
          <w:rFonts w:ascii="Arial" w:hAnsi="Arial" w:cs="Arial"/>
          <w:i/>
          <w:sz w:val="20"/>
          <w:szCs w:val="20"/>
          <w:lang w:val="en-ZA" w:eastAsia="en-ZA"/>
        </w:rPr>
        <w:t> </w:t>
      </w:r>
      <w:bookmarkStart w:id="5" w:name="0-0-0-227605"/>
      <w:bookmarkEnd w:id="5"/>
      <w:r w:rsidRPr="00190C5D">
        <w:rPr>
          <w:rFonts w:ascii="Arial" w:hAnsi="Arial" w:cs="Arial"/>
          <w:i/>
          <w:iCs/>
          <w:sz w:val="20"/>
          <w:szCs w:val="20"/>
          <w:lang w:val="en-ZA" w:eastAsia="en-ZA"/>
        </w:rPr>
        <w:t>(d)</w:t>
      </w:r>
      <w:r w:rsidRPr="00190C5D">
        <w:rPr>
          <w:rFonts w:ascii="Arial" w:hAnsi="Arial" w:cs="Arial"/>
          <w:i/>
          <w:sz w:val="20"/>
          <w:szCs w:val="20"/>
          <w:lang w:val="en-ZA" w:eastAsia="en-ZA"/>
        </w:rPr>
        <w:t>   the South African Maritime Safety Authority established by </w:t>
      </w:r>
      <w:hyperlink r:id="rId11" w:tgtFrame="main" w:history="1">
        <w:r w:rsidRPr="00D01378">
          <w:rPr>
            <w:rFonts w:ascii="Arial" w:hAnsi="Arial" w:cs="Arial"/>
            <w:i/>
            <w:sz w:val="20"/>
            <w:szCs w:val="20"/>
            <w:lang w:val="en-ZA" w:eastAsia="en-ZA"/>
          </w:rPr>
          <w:t>section 2</w:t>
        </w:r>
      </w:hyperlink>
      <w:r w:rsidRPr="00190C5D">
        <w:rPr>
          <w:rFonts w:ascii="Arial" w:hAnsi="Arial" w:cs="Arial"/>
          <w:i/>
          <w:sz w:val="20"/>
          <w:szCs w:val="20"/>
          <w:lang w:val="en-ZA" w:eastAsia="en-ZA"/>
        </w:rPr>
        <w:t> of the South African Maritime Safety Authority Act, 1998 (</w:t>
      </w:r>
      <w:hyperlink r:id="rId12" w:tgtFrame="main" w:history="1">
        <w:r w:rsidRPr="00D01378">
          <w:rPr>
            <w:rFonts w:ascii="Arial" w:hAnsi="Arial" w:cs="Arial"/>
            <w:i/>
            <w:sz w:val="20"/>
            <w:szCs w:val="20"/>
            <w:lang w:val="en-ZA" w:eastAsia="en-ZA"/>
          </w:rPr>
          <w:t>Act 5 of 1998</w:t>
        </w:r>
      </w:hyperlink>
      <w:r w:rsidRPr="00190C5D">
        <w:rPr>
          <w:rFonts w:ascii="Arial" w:hAnsi="Arial" w:cs="Arial"/>
          <w:i/>
          <w:sz w:val="20"/>
          <w:szCs w:val="20"/>
          <w:lang w:val="en-ZA" w:eastAsia="en-ZA"/>
        </w:rPr>
        <w:t>);</w:t>
      </w:r>
    </w:p>
    <w:p w:rsidR="00190C5D" w:rsidRPr="00190C5D" w:rsidRDefault="002673C0" w:rsidP="00AA175C">
      <w:pPr>
        <w:spacing w:before="240" w:after="240" w:line="360" w:lineRule="auto"/>
        <w:ind w:left="1843" w:hanging="425"/>
        <w:jc w:val="both"/>
        <w:rPr>
          <w:rFonts w:ascii="Arial" w:hAnsi="Arial" w:cs="Arial"/>
          <w:i/>
          <w:sz w:val="20"/>
          <w:szCs w:val="20"/>
          <w:lang w:val="en-ZA" w:eastAsia="en-ZA"/>
        </w:rPr>
      </w:pPr>
      <w:r>
        <w:rPr>
          <w:rFonts w:ascii="Arial" w:hAnsi="Arial" w:cs="Arial"/>
          <w:i/>
          <w:sz w:val="20"/>
          <w:szCs w:val="20"/>
          <w:lang w:val="en-ZA" w:eastAsia="en-ZA"/>
        </w:rPr>
        <w:t>.</w:t>
      </w:r>
      <w:r w:rsidR="00190C5D" w:rsidRPr="00190C5D">
        <w:rPr>
          <w:rFonts w:ascii="Arial" w:hAnsi="Arial" w:cs="Arial"/>
          <w:i/>
          <w:sz w:val="20"/>
          <w:szCs w:val="20"/>
          <w:lang w:val="en-ZA" w:eastAsia="en-ZA"/>
        </w:rPr>
        <w:t> </w:t>
      </w:r>
      <w:bookmarkStart w:id="6" w:name="0-0-0-227609"/>
      <w:bookmarkEnd w:id="6"/>
      <w:r w:rsidR="00190C5D" w:rsidRPr="00190C5D">
        <w:rPr>
          <w:rFonts w:ascii="Arial" w:hAnsi="Arial" w:cs="Arial"/>
          <w:i/>
          <w:iCs/>
          <w:sz w:val="20"/>
          <w:szCs w:val="20"/>
          <w:lang w:val="en-ZA" w:eastAsia="en-ZA"/>
        </w:rPr>
        <w:t>(e)</w:t>
      </w:r>
      <w:r w:rsidR="00190C5D" w:rsidRPr="00190C5D">
        <w:rPr>
          <w:rFonts w:ascii="Arial" w:hAnsi="Arial" w:cs="Arial"/>
          <w:i/>
          <w:sz w:val="20"/>
          <w:szCs w:val="20"/>
          <w:lang w:val="en-ZA" w:eastAsia="en-ZA"/>
        </w:rPr>
        <w:t>   The South African National Roads Agency Limited contemplated in </w:t>
      </w:r>
      <w:hyperlink r:id="rId13" w:tgtFrame="main" w:history="1">
        <w:r w:rsidR="00190C5D" w:rsidRPr="00D01378">
          <w:rPr>
            <w:rFonts w:ascii="Arial" w:hAnsi="Arial" w:cs="Arial"/>
            <w:i/>
            <w:sz w:val="20"/>
            <w:szCs w:val="20"/>
            <w:lang w:val="en-ZA" w:eastAsia="en-ZA"/>
          </w:rPr>
          <w:t>section 3</w:t>
        </w:r>
      </w:hyperlink>
      <w:r w:rsidR="00190C5D" w:rsidRPr="00190C5D">
        <w:rPr>
          <w:rFonts w:ascii="Arial" w:hAnsi="Arial" w:cs="Arial"/>
          <w:i/>
          <w:sz w:val="20"/>
          <w:szCs w:val="20"/>
          <w:lang w:val="en-ZA" w:eastAsia="en-ZA"/>
        </w:rPr>
        <w:t> of The South African National Roads Agency Limited and National Roads Act, 1998 (</w:t>
      </w:r>
      <w:hyperlink r:id="rId14" w:tgtFrame="main" w:history="1">
        <w:r w:rsidR="00190C5D" w:rsidRPr="00D01378">
          <w:rPr>
            <w:rFonts w:ascii="Arial" w:hAnsi="Arial" w:cs="Arial"/>
            <w:i/>
            <w:sz w:val="20"/>
            <w:szCs w:val="20"/>
            <w:lang w:val="en-ZA" w:eastAsia="en-ZA"/>
          </w:rPr>
          <w:t>Act 7 of 1998</w:t>
        </w:r>
      </w:hyperlink>
      <w:r w:rsidR="00190C5D" w:rsidRPr="00190C5D">
        <w:rPr>
          <w:rFonts w:ascii="Arial" w:hAnsi="Arial" w:cs="Arial"/>
          <w:i/>
          <w:sz w:val="20"/>
          <w:szCs w:val="20"/>
          <w:lang w:val="en-ZA" w:eastAsia="en-ZA"/>
        </w:rPr>
        <w:t>);</w:t>
      </w:r>
    </w:p>
    <w:p w:rsidR="00190C5D" w:rsidRPr="00190C5D" w:rsidRDefault="00190C5D" w:rsidP="00AA175C">
      <w:pPr>
        <w:spacing w:before="240" w:after="240" w:line="360" w:lineRule="auto"/>
        <w:ind w:left="1843" w:hanging="425"/>
        <w:jc w:val="both"/>
        <w:rPr>
          <w:rFonts w:ascii="Arial" w:hAnsi="Arial" w:cs="Arial"/>
          <w:i/>
          <w:sz w:val="20"/>
          <w:szCs w:val="20"/>
          <w:lang w:val="en-ZA" w:eastAsia="en-ZA"/>
        </w:rPr>
      </w:pPr>
      <w:r w:rsidRPr="00190C5D">
        <w:rPr>
          <w:rFonts w:ascii="Arial" w:hAnsi="Arial" w:cs="Arial"/>
          <w:i/>
          <w:sz w:val="20"/>
          <w:szCs w:val="20"/>
          <w:lang w:val="en-ZA" w:eastAsia="en-ZA"/>
        </w:rPr>
        <w:t> </w:t>
      </w:r>
      <w:bookmarkStart w:id="7" w:name="0-0-0-227615"/>
      <w:bookmarkEnd w:id="7"/>
      <w:r w:rsidRPr="00190C5D">
        <w:rPr>
          <w:rFonts w:ascii="Arial" w:hAnsi="Arial" w:cs="Arial"/>
          <w:i/>
          <w:iCs/>
          <w:sz w:val="20"/>
          <w:szCs w:val="20"/>
          <w:lang w:val="en-ZA" w:eastAsia="en-ZA"/>
        </w:rPr>
        <w:t>(f)</w:t>
      </w:r>
      <w:r w:rsidRPr="00190C5D">
        <w:rPr>
          <w:rFonts w:ascii="Arial" w:hAnsi="Arial" w:cs="Arial"/>
          <w:i/>
          <w:sz w:val="20"/>
          <w:szCs w:val="20"/>
          <w:lang w:val="en-ZA" w:eastAsia="en-ZA"/>
        </w:rPr>
        <w:t>   National Ports Authority Limited, contemplated in section 4 of the National Ports Act, 2005, and any entity deemed to be the National Ports Authority in terms of section 3 of that Act;</w:t>
      </w:r>
    </w:p>
    <w:p w:rsidR="00190C5D" w:rsidRDefault="00190C5D" w:rsidP="00AA175C">
      <w:pPr>
        <w:spacing w:before="240" w:after="240" w:line="360" w:lineRule="auto"/>
        <w:ind w:left="1985" w:hanging="567"/>
        <w:jc w:val="both"/>
        <w:rPr>
          <w:rFonts w:ascii="Arial" w:hAnsi="Arial" w:cs="Arial"/>
          <w:i/>
          <w:sz w:val="20"/>
          <w:szCs w:val="20"/>
          <w:lang w:val="en-ZA" w:eastAsia="en-ZA"/>
        </w:rPr>
      </w:pPr>
      <w:r w:rsidRPr="00190C5D">
        <w:rPr>
          <w:rFonts w:ascii="Arial" w:hAnsi="Arial" w:cs="Arial"/>
          <w:i/>
          <w:sz w:val="20"/>
          <w:szCs w:val="20"/>
          <w:lang w:val="en-ZA" w:eastAsia="en-ZA"/>
        </w:rPr>
        <w:t> </w:t>
      </w:r>
      <w:bookmarkStart w:id="8" w:name="0-0-0-227619"/>
      <w:bookmarkEnd w:id="8"/>
      <w:r w:rsidRPr="00190C5D">
        <w:rPr>
          <w:rFonts w:ascii="Arial" w:hAnsi="Arial" w:cs="Arial"/>
          <w:i/>
          <w:iCs/>
          <w:sz w:val="20"/>
          <w:szCs w:val="20"/>
          <w:lang w:val="en-ZA" w:eastAsia="en-ZA"/>
        </w:rPr>
        <w:t>(g)</w:t>
      </w:r>
      <w:r w:rsidRPr="00190C5D">
        <w:rPr>
          <w:rFonts w:ascii="Arial" w:hAnsi="Arial" w:cs="Arial"/>
          <w:i/>
          <w:sz w:val="20"/>
          <w:szCs w:val="20"/>
          <w:lang w:val="en-ZA" w:eastAsia="en-ZA"/>
        </w:rPr>
        <w:t>   any person for whose debt an organ of state contemplated in paragraphs </w:t>
      </w:r>
      <w:r w:rsidRPr="00190C5D">
        <w:rPr>
          <w:rFonts w:ascii="Arial" w:hAnsi="Arial" w:cs="Arial"/>
          <w:i/>
          <w:iCs/>
          <w:sz w:val="20"/>
          <w:szCs w:val="20"/>
          <w:lang w:val="en-ZA" w:eastAsia="en-ZA"/>
        </w:rPr>
        <w:t>(a)</w:t>
      </w:r>
      <w:r w:rsidRPr="00190C5D">
        <w:rPr>
          <w:rFonts w:ascii="Arial" w:hAnsi="Arial" w:cs="Arial"/>
          <w:i/>
          <w:sz w:val="20"/>
          <w:szCs w:val="20"/>
          <w:lang w:val="en-ZA" w:eastAsia="en-ZA"/>
        </w:rPr>
        <w:t> to </w:t>
      </w:r>
      <w:r w:rsidRPr="00190C5D">
        <w:rPr>
          <w:rFonts w:ascii="Arial" w:hAnsi="Arial" w:cs="Arial"/>
          <w:i/>
          <w:iCs/>
          <w:sz w:val="20"/>
          <w:szCs w:val="20"/>
          <w:lang w:val="en-ZA" w:eastAsia="en-ZA"/>
        </w:rPr>
        <w:t>(f)</w:t>
      </w:r>
      <w:r w:rsidRPr="00190C5D">
        <w:rPr>
          <w:rFonts w:ascii="Arial" w:hAnsi="Arial" w:cs="Arial"/>
          <w:i/>
          <w:sz w:val="20"/>
          <w:szCs w:val="20"/>
          <w:lang w:val="en-ZA" w:eastAsia="en-ZA"/>
        </w:rPr>
        <w:t> is liable;</w:t>
      </w:r>
      <w:r w:rsidR="00D01378" w:rsidRPr="00D01378">
        <w:rPr>
          <w:rFonts w:ascii="Arial" w:hAnsi="Arial" w:cs="Arial"/>
          <w:i/>
          <w:sz w:val="20"/>
          <w:szCs w:val="20"/>
          <w:lang w:val="en-ZA" w:eastAsia="en-ZA"/>
        </w:rPr>
        <w:t>”</w:t>
      </w:r>
    </w:p>
    <w:p w:rsidR="00D01378" w:rsidRDefault="00473965" w:rsidP="00BD0D6E">
      <w:pPr>
        <w:spacing w:before="240" w:after="240" w:line="360" w:lineRule="auto"/>
        <w:ind w:left="567" w:hanging="567"/>
        <w:jc w:val="both"/>
        <w:rPr>
          <w:rFonts w:ascii="Arial" w:hAnsi="Arial" w:cs="Arial"/>
        </w:rPr>
      </w:pPr>
      <w:r>
        <w:rPr>
          <w:rFonts w:ascii="Arial" w:hAnsi="Arial" w:cs="Arial"/>
        </w:rPr>
        <w:t>[</w:t>
      </w:r>
      <w:r w:rsidR="00D01378">
        <w:rPr>
          <w:rFonts w:ascii="Arial" w:hAnsi="Arial" w:cs="Arial"/>
        </w:rPr>
        <w:t>3</w:t>
      </w:r>
      <w:r>
        <w:rPr>
          <w:rFonts w:ascii="Arial" w:hAnsi="Arial" w:cs="Arial"/>
        </w:rPr>
        <w:t>]</w:t>
      </w:r>
      <w:r w:rsidR="00E3146A">
        <w:rPr>
          <w:rFonts w:ascii="Arial" w:hAnsi="Arial" w:cs="Arial"/>
        </w:rPr>
        <w:tab/>
        <w:t>Section 239</w:t>
      </w:r>
      <w:r w:rsidR="00D01378">
        <w:rPr>
          <w:rFonts w:ascii="Arial" w:hAnsi="Arial" w:cs="Arial"/>
        </w:rPr>
        <w:t xml:space="preserve"> of the Constitution</w:t>
      </w:r>
      <w:r w:rsidR="00E3146A">
        <w:rPr>
          <w:rStyle w:val="FootnoteReference"/>
          <w:rFonts w:ascii="Arial" w:hAnsi="Arial" w:cs="Arial"/>
        </w:rPr>
        <w:footnoteReference w:id="3"/>
      </w:r>
      <w:r w:rsidR="00066CA6">
        <w:rPr>
          <w:rFonts w:ascii="Arial" w:hAnsi="Arial" w:cs="Arial"/>
        </w:rPr>
        <w:t xml:space="preserve"> defines an organ of state as:</w:t>
      </w:r>
    </w:p>
    <w:p w:rsidR="00066CA6" w:rsidRPr="00676E79" w:rsidRDefault="00066CA6" w:rsidP="00BD0D6E">
      <w:pPr>
        <w:spacing w:before="240" w:after="240" w:line="360" w:lineRule="auto"/>
        <w:ind w:left="567" w:hanging="567"/>
        <w:jc w:val="both"/>
        <w:rPr>
          <w:rFonts w:ascii="Arial" w:hAnsi="Arial" w:cs="Arial"/>
          <w:i/>
          <w:sz w:val="20"/>
          <w:szCs w:val="20"/>
        </w:rPr>
      </w:pPr>
      <w:r>
        <w:rPr>
          <w:rFonts w:ascii="Arial" w:hAnsi="Arial" w:cs="Arial"/>
        </w:rPr>
        <w:t xml:space="preserve">         </w:t>
      </w:r>
      <w:r w:rsidRPr="00676E79">
        <w:rPr>
          <w:rFonts w:ascii="Arial" w:hAnsi="Arial" w:cs="Arial"/>
          <w:i/>
          <w:sz w:val="20"/>
          <w:szCs w:val="20"/>
        </w:rPr>
        <w:t xml:space="preserve">“(a) any </w:t>
      </w:r>
      <w:r w:rsidR="00794AD5">
        <w:rPr>
          <w:rFonts w:ascii="Arial" w:hAnsi="Arial" w:cs="Arial"/>
          <w:i/>
          <w:sz w:val="20"/>
          <w:szCs w:val="20"/>
        </w:rPr>
        <w:t>d</w:t>
      </w:r>
      <w:r w:rsidRPr="00676E79">
        <w:rPr>
          <w:rFonts w:ascii="Arial" w:hAnsi="Arial" w:cs="Arial"/>
          <w:i/>
          <w:sz w:val="20"/>
          <w:szCs w:val="20"/>
        </w:rPr>
        <w:t xml:space="preserve">epartment of </w:t>
      </w:r>
      <w:r w:rsidR="00794AD5">
        <w:rPr>
          <w:rFonts w:ascii="Arial" w:hAnsi="Arial" w:cs="Arial"/>
          <w:i/>
          <w:sz w:val="20"/>
          <w:szCs w:val="20"/>
        </w:rPr>
        <w:t>s</w:t>
      </w:r>
      <w:r w:rsidRPr="00676E79">
        <w:rPr>
          <w:rFonts w:ascii="Arial" w:hAnsi="Arial" w:cs="Arial"/>
          <w:i/>
          <w:sz w:val="20"/>
          <w:szCs w:val="20"/>
        </w:rPr>
        <w:t>tate or administration in the national, provincial or local sphere of government; or</w:t>
      </w:r>
    </w:p>
    <w:p w:rsidR="00D01378" w:rsidRPr="00D01378" w:rsidRDefault="00D01378" w:rsidP="00D01378">
      <w:pPr>
        <w:spacing w:before="240" w:after="240" w:line="360" w:lineRule="auto"/>
        <w:ind w:left="993" w:hanging="426"/>
        <w:jc w:val="both"/>
        <w:rPr>
          <w:rFonts w:ascii="Arial" w:hAnsi="Arial" w:cs="Arial"/>
          <w:i/>
          <w:sz w:val="20"/>
          <w:szCs w:val="20"/>
        </w:rPr>
      </w:pPr>
      <w:r w:rsidRPr="00D01378">
        <w:rPr>
          <w:rFonts w:ascii="Arial" w:hAnsi="Arial" w:cs="Arial"/>
          <w:i/>
          <w:sz w:val="20"/>
          <w:szCs w:val="20"/>
        </w:rPr>
        <w:t>(b)</w:t>
      </w:r>
      <w:r w:rsidRPr="00D01378">
        <w:rPr>
          <w:rFonts w:ascii="Arial" w:hAnsi="Arial" w:cs="Arial"/>
          <w:i/>
          <w:sz w:val="20"/>
          <w:szCs w:val="20"/>
        </w:rPr>
        <w:tab/>
        <w:t xml:space="preserve">any other functionary or institution— </w:t>
      </w:r>
    </w:p>
    <w:p w:rsidR="00D01378" w:rsidRPr="00D01378" w:rsidRDefault="00D01378" w:rsidP="00D01378">
      <w:pPr>
        <w:spacing w:before="240" w:after="240" w:line="360" w:lineRule="auto"/>
        <w:ind w:left="1418" w:hanging="425"/>
        <w:jc w:val="both"/>
        <w:rPr>
          <w:rFonts w:ascii="Arial" w:hAnsi="Arial" w:cs="Arial"/>
          <w:i/>
          <w:sz w:val="20"/>
          <w:szCs w:val="20"/>
        </w:rPr>
      </w:pPr>
      <w:r w:rsidRPr="00D01378">
        <w:rPr>
          <w:rFonts w:ascii="Arial" w:hAnsi="Arial" w:cs="Arial"/>
          <w:i/>
          <w:sz w:val="20"/>
          <w:szCs w:val="20"/>
        </w:rPr>
        <w:t xml:space="preserve">(i) </w:t>
      </w:r>
      <w:r w:rsidRPr="00D01378">
        <w:rPr>
          <w:rFonts w:ascii="Arial" w:hAnsi="Arial" w:cs="Arial"/>
          <w:i/>
          <w:sz w:val="20"/>
          <w:szCs w:val="20"/>
        </w:rPr>
        <w:tab/>
        <w:t xml:space="preserve">exercising a power or performing a function in terms of the Constitution or a provincial constitution; or </w:t>
      </w:r>
    </w:p>
    <w:p w:rsidR="00D01378" w:rsidRDefault="00D01378" w:rsidP="00D01378">
      <w:pPr>
        <w:spacing w:before="240" w:after="240" w:line="360" w:lineRule="auto"/>
        <w:ind w:left="1418" w:hanging="425"/>
        <w:jc w:val="both"/>
        <w:rPr>
          <w:rFonts w:ascii="Arial" w:hAnsi="Arial" w:cs="Arial"/>
          <w:i/>
          <w:sz w:val="20"/>
          <w:szCs w:val="20"/>
        </w:rPr>
      </w:pPr>
      <w:r w:rsidRPr="00D01378">
        <w:rPr>
          <w:rFonts w:ascii="Arial" w:hAnsi="Arial" w:cs="Arial"/>
          <w:i/>
          <w:sz w:val="20"/>
          <w:szCs w:val="20"/>
        </w:rPr>
        <w:t>(ii) exercising a public power or performing a public function in terms of any legislation, but does not include a court or a judicial officer;</w:t>
      </w:r>
      <w:r>
        <w:rPr>
          <w:rFonts w:ascii="Arial" w:hAnsi="Arial" w:cs="Arial"/>
          <w:i/>
          <w:sz w:val="20"/>
          <w:szCs w:val="20"/>
        </w:rPr>
        <w:t>”</w:t>
      </w:r>
    </w:p>
    <w:p w:rsidR="00F52930" w:rsidRDefault="00D01378" w:rsidP="00F52930">
      <w:pPr>
        <w:spacing w:before="240" w:after="240" w:line="360" w:lineRule="auto"/>
        <w:ind w:left="567" w:hanging="567"/>
        <w:jc w:val="both"/>
        <w:rPr>
          <w:rFonts w:ascii="Arial" w:hAnsi="Arial" w:cs="Arial"/>
        </w:rPr>
      </w:pPr>
      <w:r>
        <w:rPr>
          <w:rFonts w:ascii="Arial" w:hAnsi="Arial" w:cs="Arial"/>
        </w:rPr>
        <w:t>[</w:t>
      </w:r>
      <w:r w:rsidR="003E7928">
        <w:rPr>
          <w:rFonts w:ascii="Arial" w:hAnsi="Arial" w:cs="Arial"/>
        </w:rPr>
        <w:t>4]</w:t>
      </w:r>
      <w:r w:rsidR="003E7928">
        <w:rPr>
          <w:rFonts w:ascii="Arial" w:hAnsi="Arial" w:cs="Arial"/>
        </w:rPr>
        <w:tab/>
        <w:t xml:space="preserve">The appeal was noted against the whole of the judgment and orders granted in favour of the respondents on 15 February 2023 and </w:t>
      </w:r>
      <w:r w:rsidR="001714FB">
        <w:rPr>
          <w:rFonts w:ascii="Arial" w:hAnsi="Arial" w:cs="Arial"/>
        </w:rPr>
        <w:t xml:space="preserve">was </w:t>
      </w:r>
      <w:r w:rsidR="003E7928">
        <w:rPr>
          <w:rFonts w:ascii="Arial" w:hAnsi="Arial" w:cs="Arial"/>
        </w:rPr>
        <w:t>directed against the following findings of fact or law:</w:t>
      </w:r>
    </w:p>
    <w:p w:rsidR="00951956" w:rsidRDefault="00BC1DA7" w:rsidP="00F52930">
      <w:pPr>
        <w:spacing w:before="240" w:after="240" w:line="360" w:lineRule="auto"/>
        <w:ind w:left="993" w:hanging="426"/>
        <w:jc w:val="both"/>
        <w:rPr>
          <w:rFonts w:ascii="Arial" w:hAnsi="Arial" w:cs="Arial"/>
        </w:rPr>
      </w:pPr>
      <w:r>
        <w:rPr>
          <w:rFonts w:ascii="Arial" w:hAnsi="Arial" w:cs="Arial"/>
        </w:rPr>
        <w:t>1.</w:t>
      </w:r>
      <w:r>
        <w:rPr>
          <w:rFonts w:ascii="Arial" w:hAnsi="Arial" w:cs="Arial"/>
        </w:rPr>
        <w:tab/>
        <w:t>T</w:t>
      </w:r>
      <w:r w:rsidR="00F52930">
        <w:rPr>
          <w:rFonts w:ascii="Arial" w:hAnsi="Arial" w:cs="Arial"/>
        </w:rPr>
        <w:t xml:space="preserve">he finding </w:t>
      </w:r>
      <w:r>
        <w:rPr>
          <w:rFonts w:ascii="Arial" w:hAnsi="Arial" w:cs="Arial"/>
        </w:rPr>
        <w:t>that the appellant did not fall under those entities that had the benefit of a statutory notice provision before the coming</w:t>
      </w:r>
      <w:r w:rsidR="00794AD5">
        <w:rPr>
          <w:rFonts w:ascii="Arial" w:hAnsi="Arial" w:cs="Arial"/>
        </w:rPr>
        <w:t xml:space="preserve"> into operation</w:t>
      </w:r>
      <w:r>
        <w:rPr>
          <w:rFonts w:ascii="Arial" w:hAnsi="Arial" w:cs="Arial"/>
        </w:rPr>
        <w:t xml:space="preserve"> of</w:t>
      </w:r>
      <w:r w:rsidR="00F52930">
        <w:rPr>
          <w:rFonts w:ascii="Arial" w:hAnsi="Arial" w:cs="Arial"/>
        </w:rPr>
        <w:t xml:space="preserve"> the </w:t>
      </w:r>
      <w:r>
        <w:rPr>
          <w:rFonts w:ascii="Arial" w:hAnsi="Arial" w:cs="Arial"/>
        </w:rPr>
        <w:t>Act, leaving</w:t>
      </w:r>
      <w:r w:rsidR="00F52930">
        <w:rPr>
          <w:rFonts w:ascii="Arial" w:hAnsi="Arial" w:cs="Arial"/>
        </w:rPr>
        <w:t xml:space="preserve"> a strong impression that the Act was not designed to include Eskom as one of those </w:t>
      </w:r>
      <w:r>
        <w:rPr>
          <w:rFonts w:ascii="Arial" w:hAnsi="Arial" w:cs="Arial"/>
        </w:rPr>
        <w:t xml:space="preserve">certain </w:t>
      </w:r>
      <w:r w:rsidR="00F52930">
        <w:rPr>
          <w:rFonts w:ascii="Arial" w:hAnsi="Arial" w:cs="Arial"/>
        </w:rPr>
        <w:t>organs of State to w</w:t>
      </w:r>
      <w:r w:rsidR="00730C84">
        <w:rPr>
          <w:rFonts w:ascii="Arial" w:hAnsi="Arial" w:cs="Arial"/>
        </w:rPr>
        <w:t>hich</w:t>
      </w:r>
      <w:r>
        <w:rPr>
          <w:rFonts w:ascii="Arial" w:hAnsi="Arial" w:cs="Arial"/>
        </w:rPr>
        <w:t xml:space="preserve"> its provisions applied</w:t>
      </w:r>
      <w:r w:rsidR="001E7824">
        <w:rPr>
          <w:rFonts w:ascii="Arial" w:hAnsi="Arial" w:cs="Arial"/>
        </w:rPr>
        <w:t>.</w:t>
      </w:r>
    </w:p>
    <w:p w:rsidR="00951956" w:rsidRDefault="00F52930" w:rsidP="00F52930">
      <w:pPr>
        <w:spacing w:before="240" w:after="240" w:line="360" w:lineRule="auto"/>
        <w:ind w:left="993" w:hanging="426"/>
        <w:jc w:val="both"/>
        <w:rPr>
          <w:rFonts w:ascii="Arial" w:hAnsi="Arial" w:cs="Arial"/>
        </w:rPr>
      </w:pPr>
      <w:r>
        <w:rPr>
          <w:rFonts w:ascii="Arial" w:hAnsi="Arial" w:cs="Arial"/>
        </w:rPr>
        <w:t xml:space="preserve"> 2.</w:t>
      </w:r>
      <w:r>
        <w:rPr>
          <w:rFonts w:ascii="Arial" w:hAnsi="Arial" w:cs="Arial"/>
        </w:rPr>
        <w:tab/>
        <w:t>Paragraph</w:t>
      </w:r>
      <w:r w:rsidR="004C50C2">
        <w:rPr>
          <w:rFonts w:ascii="Arial" w:hAnsi="Arial" w:cs="Arial"/>
        </w:rPr>
        <w:t xml:space="preserve"> 1(1)</w:t>
      </w:r>
      <w:r>
        <w:rPr>
          <w:rFonts w:ascii="Arial" w:hAnsi="Arial" w:cs="Arial"/>
        </w:rPr>
        <w:t>(c) of the Act</w:t>
      </w:r>
      <w:r w:rsidR="004C50C2">
        <w:rPr>
          <w:rFonts w:ascii="Arial" w:hAnsi="Arial" w:cs="Arial"/>
        </w:rPr>
        <w:t xml:space="preserve">, which defines an organ of state, was the </w:t>
      </w:r>
      <w:r w:rsidR="00C46589">
        <w:rPr>
          <w:rFonts w:ascii="Arial" w:hAnsi="Arial" w:cs="Arial"/>
        </w:rPr>
        <w:t>only</w:t>
      </w:r>
      <w:r w:rsidR="004C50C2">
        <w:rPr>
          <w:rFonts w:ascii="Arial" w:hAnsi="Arial" w:cs="Arial"/>
        </w:rPr>
        <w:t xml:space="preserve"> definition that could</w:t>
      </w:r>
      <w:r>
        <w:rPr>
          <w:rFonts w:ascii="Arial" w:hAnsi="Arial" w:cs="Arial"/>
        </w:rPr>
        <w:t xml:space="preserve"> conceivably apply to </w:t>
      </w:r>
      <w:r w:rsidR="00E055CB">
        <w:rPr>
          <w:rFonts w:ascii="Arial" w:hAnsi="Arial" w:cs="Arial"/>
        </w:rPr>
        <w:t xml:space="preserve">the </w:t>
      </w:r>
      <w:r>
        <w:rPr>
          <w:rFonts w:ascii="Arial" w:hAnsi="Arial" w:cs="Arial"/>
        </w:rPr>
        <w:t>appellant</w:t>
      </w:r>
      <w:r w:rsidR="00951956">
        <w:rPr>
          <w:rFonts w:ascii="Arial" w:hAnsi="Arial" w:cs="Arial"/>
        </w:rPr>
        <w:t>.</w:t>
      </w:r>
    </w:p>
    <w:p w:rsidR="00C46589" w:rsidRDefault="00463F5F" w:rsidP="00F52930">
      <w:pPr>
        <w:spacing w:before="240" w:after="240" w:line="360" w:lineRule="auto"/>
        <w:ind w:left="993" w:hanging="426"/>
        <w:jc w:val="both"/>
        <w:rPr>
          <w:rFonts w:ascii="Arial" w:hAnsi="Arial" w:cs="Arial"/>
        </w:rPr>
      </w:pPr>
      <w:r>
        <w:rPr>
          <w:rFonts w:ascii="Arial" w:hAnsi="Arial" w:cs="Arial"/>
        </w:rPr>
        <w:t>3.</w:t>
      </w:r>
      <w:r>
        <w:rPr>
          <w:rFonts w:ascii="Arial" w:hAnsi="Arial" w:cs="Arial"/>
        </w:rPr>
        <w:tab/>
        <w:t>The appellant wa</w:t>
      </w:r>
      <w:r w:rsidR="00F52930">
        <w:rPr>
          <w:rFonts w:ascii="Arial" w:hAnsi="Arial" w:cs="Arial"/>
        </w:rPr>
        <w:t xml:space="preserve">s not </w:t>
      </w:r>
      <w:r w:rsidR="00864C40">
        <w:rPr>
          <w:rFonts w:ascii="Arial" w:hAnsi="Arial" w:cs="Arial"/>
        </w:rPr>
        <w:t>exerc</w:t>
      </w:r>
      <w:r w:rsidR="001E7824">
        <w:rPr>
          <w:rFonts w:ascii="Arial" w:hAnsi="Arial" w:cs="Arial"/>
        </w:rPr>
        <w:t>ising power</w:t>
      </w:r>
      <w:r>
        <w:rPr>
          <w:rFonts w:ascii="Arial" w:hAnsi="Arial" w:cs="Arial"/>
        </w:rPr>
        <w:t xml:space="preserve"> or</w:t>
      </w:r>
      <w:r w:rsidR="003C3EF4">
        <w:rPr>
          <w:rFonts w:ascii="Arial" w:hAnsi="Arial" w:cs="Arial"/>
        </w:rPr>
        <w:t xml:space="preserve"> perform</w:t>
      </w:r>
      <w:r>
        <w:rPr>
          <w:rFonts w:ascii="Arial" w:hAnsi="Arial" w:cs="Arial"/>
        </w:rPr>
        <w:t>ing</w:t>
      </w:r>
      <w:r w:rsidR="003C3EF4">
        <w:rPr>
          <w:rFonts w:ascii="Arial" w:hAnsi="Arial" w:cs="Arial"/>
        </w:rPr>
        <w:t xml:space="preserve"> a function in</w:t>
      </w:r>
      <w:r>
        <w:rPr>
          <w:rFonts w:ascii="Arial" w:hAnsi="Arial" w:cs="Arial"/>
        </w:rPr>
        <w:t xml:space="preserve"> </w:t>
      </w:r>
      <w:r w:rsidR="00794AD5">
        <w:rPr>
          <w:rFonts w:ascii="Arial" w:hAnsi="Arial" w:cs="Arial"/>
        </w:rPr>
        <w:t xml:space="preserve">terms of </w:t>
      </w:r>
      <w:r>
        <w:rPr>
          <w:rFonts w:ascii="Arial" w:hAnsi="Arial" w:cs="Arial"/>
        </w:rPr>
        <w:t>the</w:t>
      </w:r>
      <w:r w:rsidR="00C46589">
        <w:rPr>
          <w:rFonts w:ascii="Arial" w:hAnsi="Arial" w:cs="Arial"/>
        </w:rPr>
        <w:t xml:space="preserve"> Constitution but did</w:t>
      </w:r>
      <w:r w:rsidR="003466F7">
        <w:rPr>
          <w:rFonts w:ascii="Arial" w:hAnsi="Arial" w:cs="Arial"/>
        </w:rPr>
        <w:t xml:space="preserve"> so in terms of </w:t>
      </w:r>
      <w:r w:rsidR="00794AD5">
        <w:rPr>
          <w:rFonts w:ascii="Arial" w:hAnsi="Arial" w:cs="Arial"/>
        </w:rPr>
        <w:t xml:space="preserve">other </w:t>
      </w:r>
      <w:r w:rsidR="003466F7">
        <w:rPr>
          <w:rFonts w:ascii="Arial" w:hAnsi="Arial" w:cs="Arial"/>
        </w:rPr>
        <w:t>legislation</w:t>
      </w:r>
      <w:r w:rsidR="003C3EF4">
        <w:rPr>
          <w:rFonts w:ascii="Arial" w:hAnsi="Arial" w:cs="Arial"/>
        </w:rPr>
        <w:t xml:space="preserve">. </w:t>
      </w:r>
    </w:p>
    <w:p w:rsidR="00235D08" w:rsidRDefault="00C46589" w:rsidP="00F52930">
      <w:pPr>
        <w:spacing w:before="240" w:after="240" w:line="360" w:lineRule="auto"/>
        <w:ind w:left="993" w:hanging="426"/>
        <w:jc w:val="both"/>
        <w:rPr>
          <w:rFonts w:ascii="Arial" w:hAnsi="Arial" w:cs="Arial"/>
        </w:rPr>
      </w:pPr>
      <w:r>
        <w:rPr>
          <w:rFonts w:ascii="Arial" w:hAnsi="Arial" w:cs="Arial"/>
        </w:rPr>
        <w:t>4.</w:t>
      </w:r>
      <w:r>
        <w:rPr>
          <w:rFonts w:ascii="Arial" w:hAnsi="Arial" w:cs="Arial"/>
        </w:rPr>
        <w:tab/>
        <w:t>The a</w:t>
      </w:r>
      <w:r w:rsidR="007E0538">
        <w:rPr>
          <w:rFonts w:ascii="Arial" w:hAnsi="Arial" w:cs="Arial"/>
        </w:rPr>
        <w:t>ppellant did</w:t>
      </w:r>
      <w:r>
        <w:rPr>
          <w:rFonts w:ascii="Arial" w:hAnsi="Arial" w:cs="Arial"/>
        </w:rPr>
        <w:t xml:space="preserve"> not qualify as an </w:t>
      </w:r>
      <w:r w:rsidR="00D3094B">
        <w:rPr>
          <w:rFonts w:ascii="Arial" w:hAnsi="Arial" w:cs="Arial"/>
        </w:rPr>
        <w:t xml:space="preserve">organ </w:t>
      </w:r>
      <w:r>
        <w:rPr>
          <w:rFonts w:ascii="Arial" w:hAnsi="Arial" w:cs="Arial"/>
        </w:rPr>
        <w:t xml:space="preserve">of </w:t>
      </w:r>
      <w:r w:rsidR="00794AD5">
        <w:rPr>
          <w:rFonts w:ascii="Arial" w:hAnsi="Arial" w:cs="Arial"/>
        </w:rPr>
        <w:t>s</w:t>
      </w:r>
      <w:r>
        <w:rPr>
          <w:rFonts w:ascii="Arial" w:hAnsi="Arial" w:cs="Arial"/>
        </w:rPr>
        <w:t xml:space="preserve">tate </w:t>
      </w:r>
      <w:r w:rsidR="00D3094B">
        <w:rPr>
          <w:rFonts w:ascii="Arial" w:hAnsi="Arial" w:cs="Arial"/>
        </w:rPr>
        <w:t xml:space="preserve">in terms of paragraph </w:t>
      </w:r>
      <w:r>
        <w:rPr>
          <w:rFonts w:ascii="Arial" w:hAnsi="Arial" w:cs="Arial"/>
        </w:rPr>
        <w:t>1(1)</w:t>
      </w:r>
      <w:r w:rsidR="00D3094B">
        <w:rPr>
          <w:rFonts w:ascii="Arial" w:hAnsi="Arial" w:cs="Arial"/>
        </w:rPr>
        <w:t xml:space="preserve">(a) of the </w:t>
      </w:r>
      <w:r w:rsidR="00235D08">
        <w:rPr>
          <w:rFonts w:ascii="Arial" w:hAnsi="Arial" w:cs="Arial"/>
        </w:rPr>
        <w:t>Act.</w:t>
      </w:r>
      <w:r w:rsidR="00D3094B" w:rsidRPr="001E7824">
        <w:rPr>
          <w:rFonts w:ascii="Arial" w:hAnsi="Arial" w:cs="Arial"/>
          <w:highlight w:val="yellow"/>
        </w:rPr>
        <w:t xml:space="preserve"> </w:t>
      </w:r>
    </w:p>
    <w:p w:rsidR="00AC7D75" w:rsidRDefault="002A499D" w:rsidP="00F52930">
      <w:pPr>
        <w:spacing w:before="240" w:after="240" w:line="360" w:lineRule="auto"/>
        <w:ind w:left="993" w:hanging="426"/>
        <w:jc w:val="both"/>
        <w:rPr>
          <w:rFonts w:ascii="Arial" w:hAnsi="Arial" w:cs="Arial"/>
        </w:rPr>
      </w:pPr>
      <w:r>
        <w:rPr>
          <w:rFonts w:ascii="Arial" w:hAnsi="Arial" w:cs="Arial"/>
        </w:rPr>
        <w:t>5.</w:t>
      </w:r>
      <w:r>
        <w:rPr>
          <w:rFonts w:ascii="Arial" w:hAnsi="Arial" w:cs="Arial"/>
        </w:rPr>
        <w:tab/>
        <w:t>The judgment of this D</w:t>
      </w:r>
      <w:r w:rsidR="00AF6385" w:rsidRPr="001E7824">
        <w:rPr>
          <w:rFonts w:ascii="Arial" w:hAnsi="Arial" w:cs="Arial"/>
        </w:rPr>
        <w:t xml:space="preserve">ivision in </w:t>
      </w:r>
      <w:r w:rsidRPr="00C93C17">
        <w:rPr>
          <w:rFonts w:ascii="Arial" w:hAnsi="Arial" w:cs="Arial"/>
          <w:i/>
        </w:rPr>
        <w:t>Pegma</w:t>
      </w:r>
      <w:r w:rsidR="004724B8" w:rsidRPr="00C93C17">
        <w:rPr>
          <w:rFonts w:ascii="Arial" w:hAnsi="Arial" w:cs="Arial"/>
          <w:i/>
        </w:rPr>
        <w:t xml:space="preserve"> Thirteen</w:t>
      </w:r>
      <w:r w:rsidR="00AF6385" w:rsidRPr="00C93C17">
        <w:rPr>
          <w:rFonts w:ascii="Arial" w:hAnsi="Arial" w:cs="Arial"/>
          <w:i/>
        </w:rPr>
        <w:t xml:space="preserve"> Investments (Pty) Ltd v Free State Development Corporation</w:t>
      </w:r>
      <w:r w:rsidRPr="00C93C17">
        <w:rPr>
          <w:rStyle w:val="FootnoteReference"/>
          <w:rFonts w:ascii="Arial" w:hAnsi="Arial" w:cs="Arial"/>
          <w:i/>
        </w:rPr>
        <w:footnoteReference w:id="4"/>
      </w:r>
      <w:r w:rsidR="00162DF4">
        <w:rPr>
          <w:rFonts w:ascii="Arial" w:hAnsi="Arial" w:cs="Arial"/>
        </w:rPr>
        <w:t xml:space="preserve"> was</w:t>
      </w:r>
      <w:r w:rsidR="00AF6385" w:rsidRPr="001E7824">
        <w:rPr>
          <w:rFonts w:ascii="Arial" w:hAnsi="Arial" w:cs="Arial"/>
        </w:rPr>
        <w:t xml:space="preserve"> distinguishable from </w:t>
      </w:r>
      <w:r w:rsidR="00162DF4">
        <w:rPr>
          <w:rFonts w:ascii="Arial" w:hAnsi="Arial" w:cs="Arial"/>
        </w:rPr>
        <w:t>the present matter as there was</w:t>
      </w:r>
      <w:r w:rsidR="00AF6385" w:rsidRPr="001E7824">
        <w:rPr>
          <w:rFonts w:ascii="Arial" w:hAnsi="Arial" w:cs="Arial"/>
          <w:color w:val="FF0000"/>
        </w:rPr>
        <w:t xml:space="preserve"> </w:t>
      </w:r>
      <w:r w:rsidR="00AF6385" w:rsidRPr="001E7824">
        <w:rPr>
          <w:rFonts w:ascii="Arial" w:hAnsi="Arial" w:cs="Arial"/>
        </w:rPr>
        <w:t xml:space="preserve">no </w:t>
      </w:r>
      <w:r w:rsidR="00162DF4">
        <w:rPr>
          <w:rFonts w:ascii="Arial" w:hAnsi="Arial" w:cs="Arial"/>
        </w:rPr>
        <w:t>indication</w:t>
      </w:r>
      <w:r w:rsidR="00AF6385" w:rsidRPr="001E7824">
        <w:rPr>
          <w:rFonts w:ascii="Arial" w:hAnsi="Arial" w:cs="Arial"/>
        </w:rPr>
        <w:t xml:space="preserve"> </w:t>
      </w:r>
      <w:r w:rsidR="00162DF4">
        <w:rPr>
          <w:rFonts w:ascii="Arial" w:hAnsi="Arial" w:cs="Arial"/>
        </w:rPr>
        <w:t>that Eskom wa</w:t>
      </w:r>
      <w:r w:rsidR="00AC7D75" w:rsidRPr="001E7824">
        <w:rPr>
          <w:rFonts w:ascii="Arial" w:hAnsi="Arial" w:cs="Arial"/>
        </w:rPr>
        <w:t>s control</w:t>
      </w:r>
      <w:r w:rsidR="001E7824">
        <w:rPr>
          <w:rFonts w:ascii="Arial" w:hAnsi="Arial" w:cs="Arial"/>
        </w:rPr>
        <w:t>led</w:t>
      </w:r>
      <w:r w:rsidR="00AC7D75" w:rsidRPr="001E7824">
        <w:rPr>
          <w:rFonts w:ascii="Arial" w:hAnsi="Arial" w:cs="Arial"/>
        </w:rPr>
        <w:t xml:space="preserve"> by any Nation</w:t>
      </w:r>
      <w:r w:rsidR="00897F25">
        <w:rPr>
          <w:rFonts w:ascii="Arial" w:hAnsi="Arial" w:cs="Arial"/>
        </w:rPr>
        <w:t xml:space="preserve">al or Provincial Department and </w:t>
      </w:r>
      <w:r w:rsidR="00794AD5">
        <w:rPr>
          <w:rFonts w:ascii="Arial" w:hAnsi="Arial" w:cs="Arial"/>
        </w:rPr>
        <w:t xml:space="preserve">that </w:t>
      </w:r>
      <w:r w:rsidR="00897F25">
        <w:rPr>
          <w:rFonts w:ascii="Arial" w:hAnsi="Arial" w:cs="Arial"/>
        </w:rPr>
        <w:t>it was</w:t>
      </w:r>
      <w:r w:rsidR="00AC7D75" w:rsidRPr="001E7824">
        <w:rPr>
          <w:rFonts w:ascii="Arial" w:hAnsi="Arial" w:cs="Arial"/>
        </w:rPr>
        <w:t xml:space="preserve"> an</w:t>
      </w:r>
      <w:r w:rsidR="00A5424E">
        <w:rPr>
          <w:rFonts w:ascii="Arial" w:hAnsi="Arial" w:cs="Arial"/>
        </w:rPr>
        <w:t xml:space="preserve"> extension of such a department. It was</w:t>
      </w:r>
      <w:r w:rsidR="00AC7D75" w:rsidRPr="001E7824">
        <w:rPr>
          <w:rFonts w:ascii="Arial" w:hAnsi="Arial" w:cs="Arial"/>
        </w:rPr>
        <w:t xml:space="preserve"> but an independent entity created by legislation.</w:t>
      </w:r>
      <w:r w:rsidR="00AC7D75">
        <w:rPr>
          <w:rFonts w:ascii="Arial" w:hAnsi="Arial" w:cs="Arial"/>
        </w:rPr>
        <w:t xml:space="preserve"> </w:t>
      </w:r>
    </w:p>
    <w:p w:rsidR="00A33DF7" w:rsidRDefault="008615E7" w:rsidP="00CC3ACE">
      <w:pPr>
        <w:spacing w:before="240" w:after="240" w:line="360" w:lineRule="auto"/>
        <w:ind w:left="1134" w:hanging="567"/>
        <w:jc w:val="both"/>
        <w:rPr>
          <w:rFonts w:ascii="Arial" w:hAnsi="Arial" w:cs="Arial"/>
        </w:rPr>
      </w:pPr>
      <w:r>
        <w:rPr>
          <w:rFonts w:ascii="Arial" w:hAnsi="Arial" w:cs="Arial"/>
        </w:rPr>
        <w:t>6.</w:t>
      </w:r>
      <w:r w:rsidR="00BB68BF">
        <w:rPr>
          <w:rFonts w:ascii="Arial" w:hAnsi="Arial" w:cs="Arial"/>
        </w:rPr>
        <w:tab/>
        <w:t>The</w:t>
      </w:r>
      <w:r w:rsidR="004C3DE8">
        <w:rPr>
          <w:rFonts w:ascii="Arial" w:hAnsi="Arial" w:cs="Arial"/>
        </w:rPr>
        <w:t xml:space="preserve"> </w:t>
      </w:r>
      <w:r w:rsidR="0000224B">
        <w:rPr>
          <w:rFonts w:ascii="Arial" w:hAnsi="Arial" w:cs="Arial"/>
        </w:rPr>
        <w:t xml:space="preserve">further grounds of appeal were that </w:t>
      </w:r>
      <w:r w:rsidR="00E055CB">
        <w:rPr>
          <w:rFonts w:ascii="Arial" w:hAnsi="Arial" w:cs="Arial"/>
        </w:rPr>
        <w:t>the court</w:t>
      </w:r>
      <w:r w:rsidR="004C3DE8">
        <w:rPr>
          <w:rFonts w:ascii="Arial" w:hAnsi="Arial" w:cs="Arial"/>
        </w:rPr>
        <w:t xml:space="preserve"> </w:t>
      </w:r>
      <w:r w:rsidR="004C3DE8">
        <w:rPr>
          <w:rFonts w:ascii="Arial" w:hAnsi="Arial" w:cs="Arial"/>
          <w:i/>
        </w:rPr>
        <w:t xml:space="preserve">a quo </w:t>
      </w:r>
      <w:r w:rsidR="00BB68BF">
        <w:rPr>
          <w:rFonts w:ascii="Arial" w:hAnsi="Arial" w:cs="Arial"/>
        </w:rPr>
        <w:t>erred in not finding that</w:t>
      </w:r>
      <w:r w:rsidR="00A33DF7">
        <w:rPr>
          <w:rFonts w:ascii="Arial" w:hAnsi="Arial" w:cs="Arial"/>
        </w:rPr>
        <w:t>:</w:t>
      </w:r>
    </w:p>
    <w:p w:rsidR="004C3DE8" w:rsidRDefault="008615E7" w:rsidP="00CC3ACE">
      <w:pPr>
        <w:spacing w:before="240" w:after="240" w:line="360" w:lineRule="auto"/>
        <w:ind w:left="1560" w:hanging="426"/>
        <w:jc w:val="both"/>
        <w:rPr>
          <w:rFonts w:ascii="Arial" w:hAnsi="Arial" w:cs="Arial"/>
        </w:rPr>
      </w:pPr>
      <w:r>
        <w:rPr>
          <w:rFonts w:ascii="Arial" w:hAnsi="Arial" w:cs="Arial"/>
        </w:rPr>
        <w:t>6</w:t>
      </w:r>
      <w:r w:rsidR="00A33DF7">
        <w:rPr>
          <w:rFonts w:ascii="Arial" w:hAnsi="Arial" w:cs="Arial"/>
        </w:rPr>
        <w:t>.1</w:t>
      </w:r>
      <w:r w:rsidR="00BB68BF">
        <w:rPr>
          <w:rFonts w:ascii="Arial" w:hAnsi="Arial" w:cs="Arial"/>
        </w:rPr>
        <w:t xml:space="preserve"> </w:t>
      </w:r>
      <w:r w:rsidR="004C3DE8">
        <w:rPr>
          <w:rFonts w:ascii="Arial" w:hAnsi="Arial" w:cs="Arial"/>
        </w:rPr>
        <w:t>the appellant</w:t>
      </w:r>
      <w:r w:rsidR="00BB68BF">
        <w:rPr>
          <w:rFonts w:ascii="Arial" w:hAnsi="Arial" w:cs="Arial"/>
        </w:rPr>
        <w:t xml:space="preserve"> was an organ of </w:t>
      </w:r>
      <w:r w:rsidR="00794AD5">
        <w:rPr>
          <w:rFonts w:ascii="Arial" w:hAnsi="Arial" w:cs="Arial"/>
        </w:rPr>
        <w:t>s</w:t>
      </w:r>
      <w:r w:rsidR="00BB68BF">
        <w:rPr>
          <w:rFonts w:ascii="Arial" w:hAnsi="Arial" w:cs="Arial"/>
        </w:rPr>
        <w:t>tate</w:t>
      </w:r>
      <w:r w:rsidR="004C3DE8">
        <w:rPr>
          <w:rFonts w:ascii="Arial" w:hAnsi="Arial" w:cs="Arial"/>
        </w:rPr>
        <w:t xml:space="preserve"> in terms of pa</w:t>
      </w:r>
      <w:r w:rsidR="00BB68BF">
        <w:rPr>
          <w:rFonts w:ascii="Arial" w:hAnsi="Arial" w:cs="Arial"/>
        </w:rPr>
        <w:t>ragraph 1(1)(g) of the Act as the appellant’s</w:t>
      </w:r>
      <w:r w:rsidR="004C3DE8">
        <w:rPr>
          <w:rFonts w:ascii="Arial" w:hAnsi="Arial" w:cs="Arial"/>
        </w:rPr>
        <w:t xml:space="preserve"> entire share capital was held by the </w:t>
      </w:r>
      <w:r w:rsidR="00794AD5">
        <w:rPr>
          <w:rFonts w:ascii="Arial" w:hAnsi="Arial" w:cs="Arial"/>
        </w:rPr>
        <w:t>S</w:t>
      </w:r>
      <w:r w:rsidR="004C3DE8">
        <w:rPr>
          <w:rFonts w:ascii="Arial" w:hAnsi="Arial" w:cs="Arial"/>
        </w:rPr>
        <w:t>tate and the National Department of Public Enterprises</w:t>
      </w:r>
      <w:r w:rsidR="001611AD">
        <w:rPr>
          <w:rFonts w:ascii="Arial" w:hAnsi="Arial" w:cs="Arial"/>
        </w:rPr>
        <w:t>,</w:t>
      </w:r>
      <w:r w:rsidR="004C3DE8">
        <w:rPr>
          <w:rFonts w:ascii="Arial" w:hAnsi="Arial" w:cs="Arial"/>
        </w:rPr>
        <w:t xml:space="preserve"> alternatively</w:t>
      </w:r>
      <w:r w:rsidR="001611AD">
        <w:rPr>
          <w:rFonts w:ascii="Arial" w:hAnsi="Arial" w:cs="Arial"/>
        </w:rPr>
        <w:t>, the</w:t>
      </w:r>
      <w:r w:rsidR="007A60E9">
        <w:rPr>
          <w:rFonts w:ascii="Arial" w:hAnsi="Arial" w:cs="Arial"/>
        </w:rPr>
        <w:t xml:space="preserve"> National Treasury;</w:t>
      </w:r>
    </w:p>
    <w:p w:rsidR="004C3DE8" w:rsidRDefault="008615E7" w:rsidP="00CC3ACE">
      <w:pPr>
        <w:spacing w:before="240" w:after="240" w:line="360" w:lineRule="auto"/>
        <w:ind w:left="1560" w:hanging="426"/>
        <w:jc w:val="both"/>
        <w:rPr>
          <w:rFonts w:ascii="Arial" w:hAnsi="Arial" w:cs="Arial"/>
        </w:rPr>
      </w:pPr>
      <w:r>
        <w:rPr>
          <w:rFonts w:ascii="Arial" w:hAnsi="Arial" w:cs="Arial"/>
        </w:rPr>
        <w:t>6</w:t>
      </w:r>
      <w:r w:rsidR="00A33DF7">
        <w:rPr>
          <w:rFonts w:ascii="Arial" w:hAnsi="Arial" w:cs="Arial"/>
        </w:rPr>
        <w:t>.2</w:t>
      </w:r>
      <w:r w:rsidR="00625D4C">
        <w:rPr>
          <w:rFonts w:ascii="Arial" w:hAnsi="Arial" w:cs="Arial"/>
        </w:rPr>
        <w:t xml:space="preserve"> that the cases</w:t>
      </w:r>
      <w:r w:rsidR="004C3DE8">
        <w:rPr>
          <w:rFonts w:ascii="Arial" w:hAnsi="Arial" w:cs="Arial"/>
        </w:rPr>
        <w:t xml:space="preserve"> of </w:t>
      </w:r>
      <w:r w:rsidR="004C3DE8">
        <w:rPr>
          <w:rFonts w:ascii="Arial" w:hAnsi="Arial" w:cs="Arial"/>
          <w:i/>
        </w:rPr>
        <w:t>Haigh v Transnet Ltd</w:t>
      </w:r>
      <w:r w:rsidR="004C3DE8">
        <w:rPr>
          <w:rStyle w:val="FootnoteReference"/>
          <w:rFonts w:ascii="Arial" w:hAnsi="Arial" w:cs="Arial"/>
          <w:i/>
        </w:rPr>
        <w:footnoteReference w:id="5"/>
      </w:r>
      <w:r w:rsidR="004C3DE8">
        <w:rPr>
          <w:rFonts w:ascii="Arial" w:hAnsi="Arial" w:cs="Arial"/>
        </w:rPr>
        <w:t xml:space="preserve"> </w:t>
      </w:r>
      <w:r w:rsidR="00B631FC" w:rsidRPr="00625D4C">
        <w:rPr>
          <w:rFonts w:ascii="Arial" w:hAnsi="Arial" w:cs="Arial"/>
          <w:i/>
        </w:rPr>
        <w:t>and Nicor IT Consulting (Pty) Ltd v North West Housing Corporation</w:t>
      </w:r>
      <w:r w:rsidR="00B631FC">
        <w:rPr>
          <w:rStyle w:val="FootnoteReference"/>
          <w:rFonts w:ascii="Arial" w:hAnsi="Arial" w:cs="Arial"/>
        </w:rPr>
        <w:footnoteReference w:id="6"/>
      </w:r>
      <w:r w:rsidR="00625D4C">
        <w:rPr>
          <w:rFonts w:ascii="Arial" w:hAnsi="Arial" w:cs="Arial"/>
          <w:i/>
        </w:rPr>
        <w:t xml:space="preserve"> </w:t>
      </w:r>
      <w:r w:rsidR="00625D4C">
        <w:rPr>
          <w:rFonts w:ascii="Arial" w:hAnsi="Arial" w:cs="Arial"/>
        </w:rPr>
        <w:t>were</w:t>
      </w:r>
      <w:r w:rsidR="004C3DE8">
        <w:rPr>
          <w:rFonts w:ascii="Arial" w:hAnsi="Arial" w:cs="Arial"/>
        </w:rPr>
        <w:t xml:space="preserve"> distingu</w:t>
      </w:r>
      <w:r w:rsidR="007A60E9">
        <w:rPr>
          <w:rFonts w:ascii="Arial" w:hAnsi="Arial" w:cs="Arial"/>
        </w:rPr>
        <w:t>ishable from the present matter</w:t>
      </w:r>
      <w:r w:rsidR="002673C0">
        <w:rPr>
          <w:rFonts w:ascii="Arial" w:hAnsi="Arial" w:cs="Arial"/>
        </w:rPr>
        <w:t>.</w:t>
      </w:r>
      <w:r w:rsidR="004C3DE8">
        <w:rPr>
          <w:rFonts w:ascii="Arial" w:hAnsi="Arial" w:cs="Arial"/>
        </w:rPr>
        <w:t xml:space="preserve"> </w:t>
      </w:r>
    </w:p>
    <w:p w:rsidR="00BC3193" w:rsidRDefault="00CC3ACE" w:rsidP="00DA7705">
      <w:pPr>
        <w:spacing w:before="240" w:after="240" w:line="360" w:lineRule="auto"/>
        <w:jc w:val="both"/>
        <w:rPr>
          <w:rFonts w:ascii="Arial" w:hAnsi="Arial" w:cs="Arial"/>
        </w:rPr>
      </w:pPr>
      <w:r>
        <w:rPr>
          <w:rFonts w:ascii="Arial" w:hAnsi="Arial" w:cs="Arial"/>
        </w:rPr>
        <w:t>[5</w:t>
      </w:r>
      <w:r w:rsidR="00EA42E6">
        <w:rPr>
          <w:rFonts w:ascii="Arial" w:hAnsi="Arial" w:cs="Arial"/>
        </w:rPr>
        <w:t>]</w:t>
      </w:r>
      <w:r w:rsidR="005E18AC">
        <w:rPr>
          <w:rFonts w:ascii="Arial" w:hAnsi="Arial" w:cs="Arial"/>
        </w:rPr>
        <w:t xml:space="preserve"> The appellant</w:t>
      </w:r>
      <w:r w:rsidR="00BC3193">
        <w:rPr>
          <w:rFonts w:ascii="Arial" w:hAnsi="Arial" w:cs="Arial"/>
        </w:rPr>
        <w:t xml:space="preserve"> contended that:</w:t>
      </w:r>
    </w:p>
    <w:p w:rsidR="003B3BA0" w:rsidRPr="003B3BA0" w:rsidRDefault="00CC3ACE" w:rsidP="00CC3ACE">
      <w:pPr>
        <w:spacing w:before="240" w:after="240" w:line="360" w:lineRule="auto"/>
        <w:ind w:left="1134" w:hanging="708"/>
        <w:jc w:val="both"/>
        <w:rPr>
          <w:rFonts w:ascii="Arial" w:hAnsi="Arial" w:cs="Arial"/>
        </w:rPr>
      </w:pPr>
      <w:r>
        <w:rPr>
          <w:rFonts w:ascii="Arial" w:hAnsi="Arial" w:cs="Arial"/>
        </w:rPr>
        <w:t>5</w:t>
      </w:r>
      <w:r w:rsidR="00BC3193">
        <w:rPr>
          <w:rFonts w:ascii="Arial" w:hAnsi="Arial" w:cs="Arial"/>
        </w:rPr>
        <w:t xml:space="preserve">.1 </w:t>
      </w:r>
      <w:r>
        <w:rPr>
          <w:rFonts w:ascii="Arial" w:hAnsi="Arial" w:cs="Arial"/>
        </w:rPr>
        <w:tab/>
      </w:r>
      <w:r w:rsidR="00BC3193" w:rsidRPr="00BC3193">
        <w:rPr>
          <w:rFonts w:ascii="Arial" w:hAnsi="Arial" w:cs="Arial"/>
        </w:rPr>
        <w:t>the c</w:t>
      </w:r>
      <w:r w:rsidR="002657FD">
        <w:rPr>
          <w:rFonts w:ascii="Arial" w:hAnsi="Arial" w:cs="Arial"/>
        </w:rPr>
        <w:t>lear intention of the legislature</w:t>
      </w:r>
      <w:r w:rsidR="00BC3193" w:rsidRPr="00BC3193">
        <w:rPr>
          <w:rFonts w:ascii="Arial" w:hAnsi="Arial" w:cs="Arial"/>
        </w:rPr>
        <w:t xml:space="preserve"> in section (1) of the Act, was to</w:t>
      </w:r>
      <w:r w:rsidR="005E18AC">
        <w:rPr>
          <w:rFonts w:ascii="Arial" w:hAnsi="Arial" w:cs="Arial"/>
        </w:rPr>
        <w:t xml:space="preserve"> give a far wider meaning to the</w:t>
      </w:r>
      <w:r w:rsidR="00BC3193" w:rsidRPr="00BC3193">
        <w:rPr>
          <w:rFonts w:ascii="Arial" w:hAnsi="Arial" w:cs="Arial"/>
        </w:rPr>
        <w:t xml:space="preserve"> definition o</w:t>
      </w:r>
      <w:r w:rsidR="005E18AC">
        <w:rPr>
          <w:rFonts w:ascii="Arial" w:hAnsi="Arial" w:cs="Arial"/>
        </w:rPr>
        <w:t xml:space="preserve">f an organ of </w:t>
      </w:r>
      <w:r w:rsidR="00794AD5">
        <w:rPr>
          <w:rFonts w:ascii="Arial" w:hAnsi="Arial" w:cs="Arial"/>
        </w:rPr>
        <w:t>s</w:t>
      </w:r>
      <w:r w:rsidR="005E18AC">
        <w:rPr>
          <w:rFonts w:ascii="Arial" w:hAnsi="Arial" w:cs="Arial"/>
        </w:rPr>
        <w:t>tate</w:t>
      </w:r>
      <w:r w:rsidR="00BC3193" w:rsidRPr="00BC3193">
        <w:rPr>
          <w:rFonts w:ascii="Arial" w:hAnsi="Arial" w:cs="Arial"/>
        </w:rPr>
        <w:t xml:space="preserve"> and not </w:t>
      </w:r>
      <w:r w:rsidR="005E18AC">
        <w:rPr>
          <w:rFonts w:ascii="Arial" w:hAnsi="Arial" w:cs="Arial"/>
        </w:rPr>
        <w:t>limit</w:t>
      </w:r>
      <w:r w:rsidR="00BC3193" w:rsidRPr="00BC3193">
        <w:rPr>
          <w:rFonts w:ascii="Arial" w:hAnsi="Arial" w:cs="Arial"/>
        </w:rPr>
        <w:t xml:space="preserve"> </w:t>
      </w:r>
      <w:r w:rsidR="005E18AC">
        <w:rPr>
          <w:rFonts w:ascii="Arial" w:hAnsi="Arial" w:cs="Arial"/>
        </w:rPr>
        <w:t>its meaning to</w:t>
      </w:r>
      <w:r w:rsidR="00BC3193" w:rsidRPr="00BC3193">
        <w:rPr>
          <w:rFonts w:ascii="Arial" w:hAnsi="Arial" w:cs="Arial"/>
        </w:rPr>
        <w:t xml:space="preserve"> those enti</w:t>
      </w:r>
      <w:r w:rsidR="005E18AC">
        <w:rPr>
          <w:rFonts w:ascii="Arial" w:hAnsi="Arial" w:cs="Arial"/>
        </w:rPr>
        <w:t>ties referred to and</w:t>
      </w:r>
      <w:r w:rsidR="00BC3193" w:rsidRPr="00BC3193">
        <w:rPr>
          <w:rFonts w:ascii="Arial" w:hAnsi="Arial" w:cs="Arial"/>
        </w:rPr>
        <w:t xml:space="preserve"> mention</w:t>
      </w:r>
      <w:r w:rsidR="005E18AC">
        <w:rPr>
          <w:rFonts w:ascii="Arial" w:hAnsi="Arial" w:cs="Arial"/>
        </w:rPr>
        <w:t>ed</w:t>
      </w:r>
      <w:r w:rsidR="00BC3193" w:rsidRPr="00BC3193">
        <w:rPr>
          <w:rFonts w:ascii="Arial" w:hAnsi="Arial" w:cs="Arial"/>
        </w:rPr>
        <w:t xml:space="preserve"> in the Schedule of </w:t>
      </w:r>
      <w:r w:rsidR="002D1C56" w:rsidRPr="00BC3193">
        <w:rPr>
          <w:rFonts w:ascii="Arial" w:hAnsi="Arial" w:cs="Arial"/>
        </w:rPr>
        <w:t>Laws amended</w:t>
      </w:r>
      <w:r w:rsidR="00BC3193" w:rsidRPr="00BC3193">
        <w:rPr>
          <w:rFonts w:ascii="Arial" w:hAnsi="Arial" w:cs="Arial"/>
        </w:rPr>
        <w:t xml:space="preserve"> and repe</w:t>
      </w:r>
      <w:r w:rsidR="005E18AC">
        <w:rPr>
          <w:rFonts w:ascii="Arial" w:hAnsi="Arial" w:cs="Arial"/>
        </w:rPr>
        <w:t>aled by section 2(1) of the Act. Consequently,</w:t>
      </w:r>
      <w:r w:rsidR="003B3BA0" w:rsidRPr="003B3BA0">
        <w:rPr>
          <w:rFonts w:ascii="Arial" w:hAnsi="Arial" w:cs="Arial"/>
        </w:rPr>
        <w:t xml:space="preserve"> </w:t>
      </w:r>
      <w:r w:rsidR="005E18AC">
        <w:rPr>
          <w:rFonts w:ascii="Arial" w:hAnsi="Arial" w:cs="Arial"/>
        </w:rPr>
        <w:t>paragraphs (a), (c) and (g) of the Act applied</w:t>
      </w:r>
      <w:r w:rsidR="003B3BA0" w:rsidRPr="003B3BA0">
        <w:rPr>
          <w:rFonts w:ascii="Arial" w:hAnsi="Arial" w:cs="Arial"/>
        </w:rPr>
        <w:t xml:space="preserve"> to </w:t>
      </w:r>
      <w:r w:rsidR="005E18AC">
        <w:rPr>
          <w:rFonts w:ascii="Arial" w:hAnsi="Arial" w:cs="Arial"/>
        </w:rPr>
        <w:t xml:space="preserve">the </w:t>
      </w:r>
      <w:r w:rsidR="003B3BA0" w:rsidRPr="003B3BA0">
        <w:rPr>
          <w:rFonts w:ascii="Arial" w:hAnsi="Arial" w:cs="Arial"/>
        </w:rPr>
        <w:t>appellant</w:t>
      </w:r>
      <w:r w:rsidR="005E18AC">
        <w:rPr>
          <w:rFonts w:ascii="Arial" w:hAnsi="Arial" w:cs="Arial"/>
        </w:rPr>
        <w:t>;</w:t>
      </w:r>
      <w:r w:rsidR="003B3BA0" w:rsidRPr="003B3BA0">
        <w:rPr>
          <w:rFonts w:ascii="Arial" w:hAnsi="Arial" w:cs="Arial"/>
        </w:rPr>
        <w:t xml:space="preserve"> </w:t>
      </w:r>
    </w:p>
    <w:p w:rsidR="00D31698" w:rsidRPr="00736C99" w:rsidRDefault="00CC3ACE" w:rsidP="00CC3ACE">
      <w:pPr>
        <w:spacing w:before="240" w:after="240" w:line="360" w:lineRule="auto"/>
        <w:ind w:left="1134" w:hanging="708"/>
        <w:jc w:val="both"/>
        <w:rPr>
          <w:rFonts w:ascii="Arial" w:hAnsi="Arial" w:cs="Arial"/>
        </w:rPr>
      </w:pPr>
      <w:r>
        <w:rPr>
          <w:rFonts w:ascii="Arial" w:hAnsi="Arial" w:cs="Arial"/>
        </w:rPr>
        <w:t>5</w:t>
      </w:r>
      <w:r w:rsidR="00736C99">
        <w:rPr>
          <w:rFonts w:ascii="Arial" w:hAnsi="Arial" w:cs="Arial"/>
        </w:rPr>
        <w:t>.2</w:t>
      </w:r>
      <w:r>
        <w:rPr>
          <w:rFonts w:ascii="Arial" w:hAnsi="Arial" w:cs="Arial"/>
        </w:rPr>
        <w:tab/>
      </w:r>
      <w:r w:rsidR="00736C99">
        <w:rPr>
          <w:rFonts w:ascii="Arial" w:hAnsi="Arial" w:cs="Arial"/>
        </w:rPr>
        <w:t xml:space="preserve"> </w:t>
      </w:r>
      <w:r w:rsidR="00736C99" w:rsidRPr="00D31698">
        <w:rPr>
          <w:rFonts w:ascii="Arial" w:hAnsi="Arial" w:cs="Arial"/>
        </w:rPr>
        <w:t>the</w:t>
      </w:r>
      <w:r w:rsidR="00D31698" w:rsidRPr="00D31698">
        <w:rPr>
          <w:rFonts w:ascii="Arial" w:hAnsi="Arial" w:cs="Arial"/>
        </w:rPr>
        <w:t xml:space="preserve"> </w:t>
      </w:r>
      <w:r w:rsidR="00D31698" w:rsidRPr="00C93C17">
        <w:rPr>
          <w:rFonts w:ascii="Arial" w:hAnsi="Arial" w:cs="Arial"/>
        </w:rPr>
        <w:t>Eskom Conversion Act</w:t>
      </w:r>
      <w:r w:rsidR="00D31698" w:rsidRPr="00D31698">
        <w:rPr>
          <w:rFonts w:ascii="Arial" w:hAnsi="Arial" w:cs="Arial"/>
        </w:rPr>
        <w:t xml:space="preserve">, 13 of 2001 only deals with </w:t>
      </w:r>
      <w:r w:rsidR="00736C99">
        <w:rPr>
          <w:rFonts w:ascii="Arial" w:hAnsi="Arial" w:cs="Arial"/>
        </w:rPr>
        <w:t>converting the appellant into a public company with</w:t>
      </w:r>
      <w:r w:rsidR="00D31698" w:rsidRPr="00D31698">
        <w:rPr>
          <w:rFonts w:ascii="Arial" w:hAnsi="Arial" w:cs="Arial"/>
        </w:rPr>
        <w:t xml:space="preserve"> a share capital and </w:t>
      </w:r>
      <w:r w:rsidR="00736C99">
        <w:rPr>
          <w:rFonts w:ascii="Arial" w:hAnsi="Arial" w:cs="Arial"/>
        </w:rPr>
        <w:t>does</w:t>
      </w:r>
      <w:r w:rsidR="005E18AC">
        <w:rPr>
          <w:rFonts w:ascii="Arial" w:hAnsi="Arial" w:cs="Arial"/>
        </w:rPr>
        <w:t xml:space="preserve"> not define or set </w:t>
      </w:r>
      <w:r w:rsidR="00D31698" w:rsidRPr="00D31698">
        <w:rPr>
          <w:rFonts w:ascii="Arial" w:hAnsi="Arial" w:cs="Arial"/>
        </w:rPr>
        <w:t xml:space="preserve">out the </w:t>
      </w:r>
      <w:r w:rsidR="00736C99">
        <w:rPr>
          <w:rFonts w:ascii="Arial" w:hAnsi="Arial" w:cs="Arial"/>
        </w:rPr>
        <w:t>appellant's functions, powers, or operations. It</w:t>
      </w:r>
      <w:r w:rsidR="00D31698" w:rsidRPr="00D31698">
        <w:rPr>
          <w:rFonts w:ascii="Arial" w:hAnsi="Arial" w:cs="Arial"/>
        </w:rPr>
        <w:t xml:space="preserve"> </w:t>
      </w:r>
      <w:r w:rsidR="00736C99">
        <w:rPr>
          <w:rFonts w:ascii="Arial" w:hAnsi="Arial" w:cs="Arial"/>
        </w:rPr>
        <w:t>follows</w:t>
      </w:r>
      <w:r w:rsidR="00D31698" w:rsidRPr="00D31698">
        <w:rPr>
          <w:rFonts w:ascii="Arial" w:hAnsi="Arial" w:cs="Arial"/>
        </w:rPr>
        <w:t xml:space="preserve"> that the appellant is a functionary or institution exercising power or performing a function in terms of the Constitution of the Republic of South Africa, 1996</w:t>
      </w:r>
      <w:r w:rsidR="00736C99">
        <w:rPr>
          <w:rFonts w:ascii="Arial" w:hAnsi="Arial" w:cs="Arial"/>
        </w:rPr>
        <w:t>. It derives directly or</w:t>
      </w:r>
      <w:r w:rsidR="00D31698" w:rsidRPr="00D31698">
        <w:rPr>
          <w:rFonts w:ascii="Arial" w:hAnsi="Arial" w:cs="Arial"/>
        </w:rPr>
        <w:t xml:space="preserve"> indirectly, i</w:t>
      </w:r>
      <w:r w:rsidR="00736C99">
        <w:rPr>
          <w:rFonts w:ascii="Arial" w:hAnsi="Arial" w:cs="Arial"/>
        </w:rPr>
        <w:t>ts powers from the Constitution</w:t>
      </w:r>
      <w:r w:rsidR="00D31698" w:rsidRPr="00D31698">
        <w:rPr>
          <w:rFonts w:ascii="Arial" w:hAnsi="Arial" w:cs="Arial"/>
        </w:rPr>
        <w:t xml:space="preserve">. </w:t>
      </w:r>
      <w:r w:rsidR="00736C99">
        <w:rPr>
          <w:rFonts w:ascii="Arial" w:hAnsi="Arial" w:cs="Arial"/>
        </w:rPr>
        <w:t>The appellant relied on</w:t>
      </w:r>
      <w:r w:rsidR="00D31698" w:rsidRPr="00D31698">
        <w:rPr>
          <w:rFonts w:ascii="Arial" w:hAnsi="Arial" w:cs="Arial"/>
        </w:rPr>
        <w:t xml:space="preserve"> </w:t>
      </w:r>
      <w:r w:rsidR="00D31698" w:rsidRPr="00D31698">
        <w:rPr>
          <w:rFonts w:ascii="Arial" w:hAnsi="Arial" w:cs="Arial"/>
          <w:i/>
        </w:rPr>
        <w:t>Eskom Holdings SOC Ltd v Letsemeng Local Municipality and others</w:t>
      </w:r>
      <w:r w:rsidR="00D31698" w:rsidRPr="00D31698">
        <w:rPr>
          <w:rFonts w:ascii="Arial" w:hAnsi="Arial" w:cs="Arial"/>
          <w:i/>
          <w:vertAlign w:val="superscript"/>
        </w:rPr>
        <w:footnoteReference w:id="7"/>
      </w:r>
      <w:r w:rsidR="00736C99">
        <w:rPr>
          <w:rFonts w:ascii="Arial" w:hAnsi="Arial" w:cs="Arial"/>
          <w:i/>
        </w:rPr>
        <w:t xml:space="preserve"> </w:t>
      </w:r>
      <w:r w:rsidR="00736C99">
        <w:rPr>
          <w:rFonts w:ascii="Arial" w:hAnsi="Arial" w:cs="Arial"/>
        </w:rPr>
        <w:t>as authority</w:t>
      </w:r>
      <w:r w:rsidR="00D31698" w:rsidRPr="00D31698">
        <w:rPr>
          <w:rFonts w:ascii="Arial" w:hAnsi="Arial" w:cs="Arial"/>
        </w:rPr>
        <w:t xml:space="preserve"> that</w:t>
      </w:r>
      <w:r w:rsidR="00D31698" w:rsidRPr="00D31698">
        <w:rPr>
          <w:rFonts w:ascii="Arial" w:hAnsi="Arial" w:cs="Arial"/>
          <w:i/>
        </w:rPr>
        <w:t xml:space="preserve"> </w:t>
      </w:r>
      <w:r w:rsidR="00736C99">
        <w:rPr>
          <w:rFonts w:ascii="Arial" w:hAnsi="Arial" w:cs="Arial"/>
        </w:rPr>
        <w:t>Eskom wa</w:t>
      </w:r>
      <w:r w:rsidR="00D31698" w:rsidRPr="00736C99">
        <w:rPr>
          <w:rFonts w:ascii="Arial" w:hAnsi="Arial" w:cs="Arial"/>
        </w:rPr>
        <w:t xml:space="preserve">s an organ of </w:t>
      </w:r>
      <w:r w:rsidR="00794AD5">
        <w:rPr>
          <w:rFonts w:ascii="Arial" w:hAnsi="Arial" w:cs="Arial"/>
        </w:rPr>
        <w:t>s</w:t>
      </w:r>
      <w:r w:rsidR="00D31698" w:rsidRPr="00736C99">
        <w:rPr>
          <w:rFonts w:ascii="Arial" w:hAnsi="Arial" w:cs="Arial"/>
        </w:rPr>
        <w:t>tate in the Nat</w:t>
      </w:r>
      <w:r w:rsidR="00736C99">
        <w:rPr>
          <w:rFonts w:ascii="Arial" w:hAnsi="Arial" w:cs="Arial"/>
        </w:rPr>
        <w:t>ional sphere of government and wa</w:t>
      </w:r>
      <w:r w:rsidR="00D31698" w:rsidRPr="00736C99">
        <w:rPr>
          <w:rFonts w:ascii="Arial" w:hAnsi="Arial" w:cs="Arial"/>
        </w:rPr>
        <w:t>s bound by the Constitution, which contemplates the generation and transmission of electr</w:t>
      </w:r>
      <w:r w:rsidR="00736C99">
        <w:rPr>
          <w:rFonts w:ascii="Arial" w:hAnsi="Arial" w:cs="Arial"/>
        </w:rPr>
        <w:t>icity as a national competence</w:t>
      </w:r>
      <w:r w:rsidR="00D31698" w:rsidRPr="00736C99">
        <w:rPr>
          <w:rFonts w:ascii="Arial" w:hAnsi="Arial" w:cs="Arial"/>
        </w:rPr>
        <w:t>;</w:t>
      </w:r>
      <w:r w:rsidR="001F4FC2" w:rsidRPr="00736C99">
        <w:rPr>
          <w:rFonts w:ascii="Arial" w:hAnsi="Arial" w:cs="Arial"/>
        </w:rPr>
        <w:t xml:space="preserve"> </w:t>
      </w:r>
    </w:p>
    <w:p w:rsidR="001F4FC2" w:rsidRDefault="00CC3ACE" w:rsidP="00CC3ACE">
      <w:pPr>
        <w:spacing w:before="240" w:after="240" w:line="360" w:lineRule="auto"/>
        <w:ind w:left="1134" w:hanging="708"/>
        <w:jc w:val="both"/>
        <w:rPr>
          <w:rFonts w:ascii="Arial" w:hAnsi="Arial" w:cs="Arial"/>
        </w:rPr>
      </w:pPr>
      <w:r>
        <w:rPr>
          <w:rFonts w:ascii="Arial" w:hAnsi="Arial" w:cs="Arial"/>
        </w:rPr>
        <w:t>5</w:t>
      </w:r>
      <w:r w:rsidR="00DA7705">
        <w:rPr>
          <w:rFonts w:ascii="Arial" w:hAnsi="Arial" w:cs="Arial"/>
        </w:rPr>
        <w:t>.3</w:t>
      </w:r>
      <w:r w:rsidR="00267F46">
        <w:rPr>
          <w:rFonts w:ascii="Arial" w:hAnsi="Arial" w:cs="Arial"/>
        </w:rPr>
        <w:t xml:space="preserve"> </w:t>
      </w:r>
      <w:r>
        <w:rPr>
          <w:rFonts w:ascii="Arial" w:hAnsi="Arial" w:cs="Arial"/>
        </w:rPr>
        <w:tab/>
      </w:r>
      <w:r w:rsidR="00060FFA">
        <w:rPr>
          <w:rFonts w:ascii="Arial" w:hAnsi="Arial" w:cs="Arial"/>
        </w:rPr>
        <w:t>relying on</w:t>
      </w:r>
      <w:r w:rsidR="00060FFA" w:rsidRPr="00060FFA">
        <w:rPr>
          <w:rFonts w:ascii="Arial" w:hAnsi="Arial" w:cs="Arial"/>
          <w:i/>
        </w:rPr>
        <w:t xml:space="preserve"> Eskom</w:t>
      </w:r>
      <w:r w:rsidR="00060FFA">
        <w:rPr>
          <w:rStyle w:val="FootnoteReference"/>
          <w:rFonts w:ascii="Arial" w:hAnsi="Arial" w:cs="Arial"/>
          <w:i/>
        </w:rPr>
        <w:footnoteReference w:id="8"/>
      </w:r>
      <w:r w:rsidR="00267F46" w:rsidRPr="00267F46">
        <w:rPr>
          <w:rFonts w:ascii="Arial" w:hAnsi="Arial" w:cs="Arial"/>
        </w:rPr>
        <w:t xml:space="preserve"> </w:t>
      </w:r>
      <w:r w:rsidR="00060FFA">
        <w:rPr>
          <w:rFonts w:ascii="Arial" w:hAnsi="Arial" w:cs="Arial"/>
        </w:rPr>
        <w:t xml:space="preserve">and </w:t>
      </w:r>
      <w:r w:rsidR="00060FFA" w:rsidRPr="00060FFA">
        <w:rPr>
          <w:rFonts w:ascii="Arial" w:hAnsi="Arial" w:cs="Arial"/>
          <w:i/>
        </w:rPr>
        <w:t>Pegma</w:t>
      </w:r>
      <w:r w:rsidR="00060FFA">
        <w:rPr>
          <w:rStyle w:val="FootnoteReference"/>
          <w:rFonts w:ascii="Arial" w:hAnsi="Arial" w:cs="Arial"/>
          <w:i/>
        </w:rPr>
        <w:footnoteReference w:id="9"/>
      </w:r>
      <w:r w:rsidR="00060FFA">
        <w:rPr>
          <w:rFonts w:ascii="Arial" w:hAnsi="Arial" w:cs="Arial"/>
          <w:i/>
        </w:rPr>
        <w:t xml:space="preserve">, </w:t>
      </w:r>
      <w:r w:rsidR="00267F46" w:rsidRPr="00267F46">
        <w:rPr>
          <w:rFonts w:ascii="Arial" w:hAnsi="Arial" w:cs="Arial"/>
        </w:rPr>
        <w:t>the appellant contend</w:t>
      </w:r>
      <w:r w:rsidR="00060FFA">
        <w:rPr>
          <w:rFonts w:ascii="Arial" w:hAnsi="Arial" w:cs="Arial"/>
        </w:rPr>
        <w:t>ed that it was a National Department. Its reasoning was based on the finding in</w:t>
      </w:r>
      <w:r w:rsidR="00060FFA" w:rsidRPr="00060FFA">
        <w:rPr>
          <w:rFonts w:ascii="Arial" w:hAnsi="Arial" w:cs="Arial"/>
          <w:i/>
        </w:rPr>
        <w:t xml:space="preserve"> Pegma</w:t>
      </w:r>
      <w:r w:rsidR="00060FFA">
        <w:rPr>
          <w:rFonts w:ascii="Arial" w:hAnsi="Arial" w:cs="Arial"/>
        </w:rPr>
        <w:t xml:space="preserve"> that</w:t>
      </w:r>
      <w:r w:rsidR="001F4FC2" w:rsidRPr="001F4FC2">
        <w:rPr>
          <w:rFonts w:ascii="Arial" w:hAnsi="Arial" w:cs="Arial"/>
        </w:rPr>
        <w:t xml:space="preserve"> the Free</w:t>
      </w:r>
      <w:r w:rsidR="00060FFA">
        <w:rPr>
          <w:rFonts w:ascii="Arial" w:hAnsi="Arial" w:cs="Arial"/>
        </w:rPr>
        <w:t xml:space="preserve"> State Development Corporation</w:t>
      </w:r>
      <w:r w:rsidR="0090241C">
        <w:rPr>
          <w:rFonts w:ascii="Arial" w:hAnsi="Arial" w:cs="Arial"/>
        </w:rPr>
        <w:t xml:space="preserve"> (FDC)</w:t>
      </w:r>
      <w:r w:rsidR="00060FFA">
        <w:rPr>
          <w:rFonts w:ascii="Arial" w:hAnsi="Arial" w:cs="Arial"/>
        </w:rPr>
        <w:t xml:space="preserve"> wa</w:t>
      </w:r>
      <w:r w:rsidR="001F4FC2" w:rsidRPr="001F4FC2">
        <w:rPr>
          <w:rFonts w:ascii="Arial" w:hAnsi="Arial" w:cs="Arial"/>
        </w:rPr>
        <w:t>s an extension of the Provincial Department of Finance under whose control it effectively resort</w:t>
      </w:r>
      <w:r w:rsidR="00060FFA">
        <w:rPr>
          <w:rFonts w:ascii="Arial" w:hAnsi="Arial" w:cs="Arial"/>
        </w:rPr>
        <w:t>ed and</w:t>
      </w:r>
      <w:r w:rsidR="001F4FC2" w:rsidRPr="001F4FC2">
        <w:rPr>
          <w:rFonts w:ascii="Arial" w:hAnsi="Arial" w:cs="Arial"/>
        </w:rPr>
        <w:t xml:space="preserve"> which br</w:t>
      </w:r>
      <w:r w:rsidR="00060FFA">
        <w:rPr>
          <w:rFonts w:ascii="Arial" w:hAnsi="Arial" w:cs="Arial"/>
        </w:rPr>
        <w:t>ought</w:t>
      </w:r>
      <w:r w:rsidR="001F4FC2" w:rsidRPr="001F4FC2">
        <w:rPr>
          <w:rFonts w:ascii="Arial" w:hAnsi="Arial" w:cs="Arial"/>
        </w:rPr>
        <w:t xml:space="preserve"> it within the ambit of paragra</w:t>
      </w:r>
      <w:r w:rsidR="00060FFA">
        <w:rPr>
          <w:rFonts w:ascii="Arial" w:hAnsi="Arial" w:cs="Arial"/>
        </w:rPr>
        <w:t xml:space="preserve">ph (a) of the definition of an </w:t>
      </w:r>
      <w:r w:rsidR="001F4FC2" w:rsidRPr="001F4FC2">
        <w:rPr>
          <w:rFonts w:ascii="Arial" w:hAnsi="Arial" w:cs="Arial"/>
        </w:rPr>
        <w:t xml:space="preserve">organ of </w:t>
      </w:r>
      <w:r w:rsidR="00794AD5">
        <w:rPr>
          <w:rFonts w:ascii="Arial" w:hAnsi="Arial" w:cs="Arial"/>
        </w:rPr>
        <w:t>s</w:t>
      </w:r>
      <w:r w:rsidR="001F4FC2" w:rsidRPr="001F4FC2">
        <w:rPr>
          <w:rFonts w:ascii="Arial" w:hAnsi="Arial" w:cs="Arial"/>
        </w:rPr>
        <w:t>tate</w:t>
      </w:r>
      <w:r w:rsidR="00060FFA">
        <w:rPr>
          <w:rFonts w:ascii="Arial" w:hAnsi="Arial" w:cs="Arial"/>
        </w:rPr>
        <w:t xml:space="preserve"> in section 1(1) of the Act. Similarly, the appellant</w:t>
      </w:r>
      <w:r w:rsidR="004A447C">
        <w:rPr>
          <w:rFonts w:ascii="Arial" w:hAnsi="Arial" w:cs="Arial"/>
        </w:rPr>
        <w:t xml:space="preserve"> was exclusively and effectively controlled by the</w:t>
      </w:r>
      <w:r w:rsidR="001F4FC2" w:rsidRPr="001F4FC2">
        <w:rPr>
          <w:rFonts w:ascii="Arial" w:hAnsi="Arial" w:cs="Arial"/>
        </w:rPr>
        <w:t xml:space="preserve"> Minister of Public Enterprises</w:t>
      </w:r>
      <w:r w:rsidR="004A447C">
        <w:rPr>
          <w:rFonts w:ascii="Arial" w:hAnsi="Arial" w:cs="Arial"/>
        </w:rPr>
        <w:t xml:space="preserve"> </w:t>
      </w:r>
      <w:r w:rsidR="00CA0DA2">
        <w:rPr>
          <w:rFonts w:ascii="Arial" w:hAnsi="Arial" w:cs="Arial"/>
        </w:rPr>
        <w:t>by</w:t>
      </w:r>
      <w:r w:rsidR="001F4FC2" w:rsidRPr="001F4FC2">
        <w:rPr>
          <w:rFonts w:ascii="Arial" w:hAnsi="Arial" w:cs="Arial"/>
        </w:rPr>
        <w:t xml:space="preserve"> the provisions of the </w:t>
      </w:r>
      <w:r w:rsidR="001F4FC2" w:rsidRPr="003476B3">
        <w:rPr>
          <w:rFonts w:ascii="Arial" w:hAnsi="Arial" w:cs="Arial"/>
        </w:rPr>
        <w:t>Eskom Conversion Act,</w:t>
      </w:r>
      <w:r w:rsidR="001F4FC2" w:rsidRPr="001F4FC2">
        <w:rPr>
          <w:rFonts w:ascii="Arial" w:hAnsi="Arial" w:cs="Arial"/>
        </w:rPr>
        <w:t>13 of 2011</w:t>
      </w:r>
      <w:r w:rsidR="00794AD5">
        <w:rPr>
          <w:rFonts w:ascii="Arial" w:hAnsi="Arial" w:cs="Arial"/>
        </w:rPr>
        <w:t xml:space="preserve"> </w:t>
      </w:r>
      <w:r w:rsidR="002D1E7E">
        <w:rPr>
          <w:rFonts w:ascii="Arial" w:hAnsi="Arial" w:cs="Arial"/>
        </w:rPr>
        <w:t>and</w:t>
      </w:r>
      <w:r w:rsidR="001F4FC2" w:rsidRPr="001F4FC2">
        <w:rPr>
          <w:rFonts w:ascii="Arial" w:hAnsi="Arial" w:cs="Arial"/>
        </w:rPr>
        <w:t xml:space="preserve"> </w:t>
      </w:r>
      <w:r w:rsidR="00014062">
        <w:rPr>
          <w:rFonts w:ascii="Arial" w:hAnsi="Arial" w:cs="Arial"/>
        </w:rPr>
        <w:t>the Companies Act, 71 of 2008. The appellant should therefore be viewed as an organ of state within the ambit of section 1(1)(a) of the Act.</w:t>
      </w:r>
    </w:p>
    <w:p w:rsidR="003E55EC" w:rsidRDefault="00CC3ACE" w:rsidP="001F4FC2">
      <w:pPr>
        <w:spacing w:before="240" w:after="240" w:line="360" w:lineRule="auto"/>
        <w:ind w:left="567" w:hanging="567"/>
        <w:jc w:val="both"/>
        <w:rPr>
          <w:rFonts w:ascii="Arial" w:hAnsi="Arial" w:cs="Arial"/>
        </w:rPr>
      </w:pPr>
      <w:r>
        <w:rPr>
          <w:rFonts w:ascii="Arial" w:hAnsi="Arial" w:cs="Arial"/>
        </w:rPr>
        <w:t>[6</w:t>
      </w:r>
      <w:r w:rsidR="003E55EC">
        <w:rPr>
          <w:rFonts w:ascii="Arial" w:hAnsi="Arial" w:cs="Arial"/>
        </w:rPr>
        <w:t xml:space="preserve">] </w:t>
      </w:r>
      <w:r>
        <w:rPr>
          <w:rFonts w:ascii="Arial" w:hAnsi="Arial" w:cs="Arial"/>
        </w:rPr>
        <w:tab/>
      </w:r>
      <w:r w:rsidR="003E55EC">
        <w:rPr>
          <w:rFonts w:ascii="Arial" w:hAnsi="Arial" w:cs="Arial"/>
        </w:rPr>
        <w:t xml:space="preserve">The appellant contended in its heads of argument that it, just like the Free State Development Corporation in </w:t>
      </w:r>
      <w:r w:rsidR="003E55EC" w:rsidRPr="003E55EC">
        <w:rPr>
          <w:rFonts w:ascii="Arial" w:hAnsi="Arial" w:cs="Arial"/>
          <w:i/>
        </w:rPr>
        <w:t>Pegma</w:t>
      </w:r>
      <w:r w:rsidR="003E55EC">
        <w:rPr>
          <w:rFonts w:ascii="Arial" w:hAnsi="Arial" w:cs="Arial"/>
          <w:i/>
        </w:rPr>
        <w:t xml:space="preserve">, </w:t>
      </w:r>
      <w:r w:rsidR="003E55EC">
        <w:rPr>
          <w:rFonts w:ascii="Arial" w:hAnsi="Arial" w:cs="Arial"/>
        </w:rPr>
        <w:t>was an organ of state within the meaning of section</w:t>
      </w:r>
      <w:r w:rsidR="004201FD">
        <w:rPr>
          <w:rFonts w:ascii="Arial" w:hAnsi="Arial" w:cs="Arial"/>
        </w:rPr>
        <w:t xml:space="preserve"> 1(1)(a) and (c) of the Act as it had to </w:t>
      </w:r>
      <w:r w:rsidR="00CA0DA2">
        <w:rPr>
          <w:rFonts w:ascii="Arial" w:hAnsi="Arial" w:cs="Arial"/>
        </w:rPr>
        <w:t xml:space="preserve">fulfil </w:t>
      </w:r>
      <w:r w:rsidR="004201FD">
        <w:rPr>
          <w:rFonts w:ascii="Arial" w:hAnsi="Arial" w:cs="Arial"/>
        </w:rPr>
        <w:t xml:space="preserve">a task or a purpose of the </w:t>
      </w:r>
      <w:r w:rsidR="00794AD5">
        <w:rPr>
          <w:rFonts w:ascii="Arial" w:hAnsi="Arial" w:cs="Arial"/>
        </w:rPr>
        <w:t>C</w:t>
      </w:r>
      <w:r w:rsidR="004201FD">
        <w:rPr>
          <w:rFonts w:ascii="Arial" w:hAnsi="Arial" w:cs="Arial"/>
        </w:rPr>
        <w:t xml:space="preserve">onstitution, and such a task or function did not mean that it could only be performed by </w:t>
      </w:r>
      <w:r w:rsidR="00BB16E1">
        <w:rPr>
          <w:rFonts w:ascii="Arial" w:hAnsi="Arial" w:cs="Arial"/>
        </w:rPr>
        <w:t>an institution established in terms of the Constitution.</w:t>
      </w:r>
      <w:r w:rsidR="00BB16E1">
        <w:rPr>
          <w:rStyle w:val="FootnoteReference"/>
          <w:rFonts w:ascii="Arial" w:hAnsi="Arial" w:cs="Arial"/>
        </w:rPr>
        <w:footnoteReference w:id="10"/>
      </w:r>
      <w:r w:rsidR="006F0690">
        <w:rPr>
          <w:rFonts w:ascii="Arial" w:hAnsi="Arial" w:cs="Arial"/>
        </w:rPr>
        <w:t xml:space="preserve"> The court </w:t>
      </w:r>
      <w:r w:rsidR="006F0690" w:rsidRPr="006F0690">
        <w:rPr>
          <w:rFonts w:ascii="Arial" w:hAnsi="Arial" w:cs="Arial"/>
          <w:i/>
        </w:rPr>
        <w:t>a quo</w:t>
      </w:r>
      <w:r w:rsidR="003E55EC" w:rsidRPr="006F0690">
        <w:rPr>
          <w:rFonts w:ascii="Arial" w:hAnsi="Arial" w:cs="Arial"/>
          <w:i/>
        </w:rPr>
        <w:t xml:space="preserve"> </w:t>
      </w:r>
      <w:r w:rsidR="006F0690">
        <w:rPr>
          <w:rFonts w:ascii="Arial" w:hAnsi="Arial" w:cs="Arial"/>
        </w:rPr>
        <w:t xml:space="preserve">was bound by the doctrine of </w:t>
      </w:r>
      <w:r w:rsidR="006F0690" w:rsidRPr="006F0690">
        <w:rPr>
          <w:rFonts w:ascii="Arial" w:hAnsi="Arial" w:cs="Arial"/>
          <w:i/>
        </w:rPr>
        <w:t>stare decisis</w:t>
      </w:r>
      <w:r w:rsidR="00CA0DA2">
        <w:rPr>
          <w:rFonts w:ascii="Arial" w:hAnsi="Arial" w:cs="Arial"/>
          <w:i/>
        </w:rPr>
        <w:t xml:space="preserve"> </w:t>
      </w:r>
      <w:r w:rsidR="006F0690">
        <w:rPr>
          <w:rFonts w:ascii="Arial" w:hAnsi="Arial" w:cs="Arial"/>
        </w:rPr>
        <w:t xml:space="preserve">to follow the decision in </w:t>
      </w:r>
      <w:r w:rsidR="006F0690" w:rsidRPr="00C93C17">
        <w:rPr>
          <w:rFonts w:ascii="Arial" w:hAnsi="Arial" w:cs="Arial"/>
          <w:i/>
        </w:rPr>
        <w:t>Pegma</w:t>
      </w:r>
      <w:r w:rsidR="006F0690">
        <w:rPr>
          <w:rFonts w:ascii="Arial" w:hAnsi="Arial" w:cs="Arial"/>
        </w:rPr>
        <w:t xml:space="preserve"> on the interpretation of an organ of state as contained in the Act.</w:t>
      </w:r>
    </w:p>
    <w:p w:rsidR="00D32C80" w:rsidRDefault="00CC3ACE" w:rsidP="001F4FC2">
      <w:pPr>
        <w:spacing w:before="240" w:after="240" w:line="360" w:lineRule="auto"/>
        <w:ind w:left="567" w:hanging="567"/>
        <w:jc w:val="both"/>
        <w:rPr>
          <w:rFonts w:ascii="Arial" w:hAnsi="Arial" w:cs="Arial"/>
        </w:rPr>
      </w:pPr>
      <w:r>
        <w:rPr>
          <w:rFonts w:ascii="Arial" w:hAnsi="Arial" w:cs="Arial"/>
        </w:rPr>
        <w:t>[7</w:t>
      </w:r>
      <w:r w:rsidR="006F0690">
        <w:rPr>
          <w:rFonts w:ascii="Arial" w:hAnsi="Arial" w:cs="Arial"/>
        </w:rPr>
        <w:t xml:space="preserve">] </w:t>
      </w:r>
      <w:r>
        <w:rPr>
          <w:rFonts w:ascii="Arial" w:hAnsi="Arial" w:cs="Arial"/>
        </w:rPr>
        <w:tab/>
      </w:r>
      <w:r w:rsidR="006F0690">
        <w:rPr>
          <w:rFonts w:ascii="Arial" w:hAnsi="Arial" w:cs="Arial"/>
        </w:rPr>
        <w:t>It is clear from the notice of appeal and the submissions made that the appellant seeks, in the main, a broader interpretation of the definition of an organ of state as provided in the Act. But this cannot be</w:t>
      </w:r>
      <w:r w:rsidR="001020B1">
        <w:rPr>
          <w:rFonts w:ascii="Arial" w:hAnsi="Arial" w:cs="Arial"/>
        </w:rPr>
        <w:t>,</w:t>
      </w:r>
      <w:r w:rsidR="006F0690">
        <w:rPr>
          <w:rFonts w:ascii="Arial" w:hAnsi="Arial" w:cs="Arial"/>
        </w:rPr>
        <w:t xml:space="preserve"> as </w:t>
      </w:r>
      <w:r w:rsidR="00CA0DA2">
        <w:rPr>
          <w:rFonts w:ascii="Arial" w:hAnsi="Arial" w:cs="Arial"/>
        </w:rPr>
        <w:t>succinctly</w:t>
      </w:r>
      <w:r w:rsidR="006F0690">
        <w:rPr>
          <w:rFonts w:ascii="Arial" w:hAnsi="Arial" w:cs="Arial"/>
        </w:rPr>
        <w:t xml:space="preserve"> set out in the judgment of </w:t>
      </w:r>
      <w:r w:rsidR="00CA0DA2">
        <w:rPr>
          <w:rFonts w:ascii="Arial" w:hAnsi="Arial" w:cs="Arial"/>
        </w:rPr>
        <w:t>Loubser, J</w:t>
      </w:r>
      <w:r w:rsidR="0041757C">
        <w:rPr>
          <w:rFonts w:ascii="Arial" w:hAnsi="Arial" w:cs="Arial"/>
        </w:rPr>
        <w:t xml:space="preserve"> wherein it was</w:t>
      </w:r>
      <w:r w:rsidR="001020B1">
        <w:rPr>
          <w:rFonts w:ascii="Arial" w:hAnsi="Arial" w:cs="Arial"/>
        </w:rPr>
        <w:t xml:space="preserve"> stated that the appellant, E</w:t>
      </w:r>
      <w:r w:rsidR="00CB009A">
        <w:rPr>
          <w:rFonts w:ascii="Arial" w:hAnsi="Arial" w:cs="Arial"/>
        </w:rPr>
        <w:t>skom, was indeed an organ of</w:t>
      </w:r>
      <w:r w:rsidR="001020B1">
        <w:rPr>
          <w:rFonts w:ascii="Arial" w:hAnsi="Arial" w:cs="Arial"/>
        </w:rPr>
        <w:t xml:space="preserve"> state in terms of section 239(b)(ii) of the Constitution</w:t>
      </w:r>
      <w:r w:rsidR="000A340C">
        <w:rPr>
          <w:rFonts w:ascii="Arial" w:hAnsi="Arial" w:cs="Arial"/>
        </w:rPr>
        <w:t>. It</w:t>
      </w:r>
      <w:r w:rsidR="001020B1">
        <w:rPr>
          <w:rFonts w:ascii="Arial" w:hAnsi="Arial" w:cs="Arial"/>
        </w:rPr>
        <w:t xml:space="preserve"> </w:t>
      </w:r>
      <w:r w:rsidR="000A340C">
        <w:rPr>
          <w:rFonts w:ascii="Arial" w:hAnsi="Arial" w:cs="Arial"/>
        </w:rPr>
        <w:t xml:space="preserve">was exercising a public power and performing a public function “in terms of any legislation.” But it did not exercise its power or perform its functions in terms of the Constitution as stipulated in </w:t>
      </w:r>
      <w:r w:rsidR="00950363">
        <w:rPr>
          <w:rFonts w:ascii="Arial" w:hAnsi="Arial" w:cs="Arial"/>
        </w:rPr>
        <w:t>section 1(1)(c) of the Act</w:t>
      </w:r>
      <w:r w:rsidR="001020B1">
        <w:rPr>
          <w:rFonts w:ascii="Arial" w:hAnsi="Arial" w:cs="Arial"/>
        </w:rPr>
        <w:t>.</w:t>
      </w:r>
      <w:r w:rsidR="00D32C80">
        <w:rPr>
          <w:rFonts w:ascii="Arial" w:hAnsi="Arial" w:cs="Arial"/>
        </w:rPr>
        <w:t xml:space="preserve"> The words “in terms of any legislation” do not appear in the Act’s narrower definition.</w:t>
      </w:r>
      <w:r w:rsidR="00D32C80">
        <w:rPr>
          <w:rStyle w:val="FootnoteReference"/>
          <w:rFonts w:ascii="Arial" w:hAnsi="Arial" w:cs="Arial"/>
        </w:rPr>
        <w:footnoteReference w:id="11"/>
      </w:r>
    </w:p>
    <w:p w:rsidR="006F0690" w:rsidRDefault="00CC3ACE" w:rsidP="001F4FC2">
      <w:pPr>
        <w:spacing w:before="240" w:after="240" w:line="360" w:lineRule="auto"/>
        <w:ind w:left="567" w:hanging="567"/>
        <w:jc w:val="both"/>
        <w:rPr>
          <w:rFonts w:ascii="Arial" w:hAnsi="Arial" w:cs="Arial"/>
        </w:rPr>
      </w:pPr>
      <w:r>
        <w:rPr>
          <w:rFonts w:ascii="Arial" w:hAnsi="Arial" w:cs="Arial"/>
        </w:rPr>
        <w:t>[8</w:t>
      </w:r>
      <w:r w:rsidR="00D32C80">
        <w:rPr>
          <w:rFonts w:ascii="Arial" w:hAnsi="Arial" w:cs="Arial"/>
        </w:rPr>
        <w:t>]</w:t>
      </w:r>
      <w:r w:rsidR="001020B1">
        <w:rPr>
          <w:rFonts w:ascii="Arial" w:hAnsi="Arial" w:cs="Arial"/>
        </w:rPr>
        <w:t xml:space="preserve"> </w:t>
      </w:r>
      <w:r>
        <w:rPr>
          <w:rFonts w:ascii="Arial" w:hAnsi="Arial" w:cs="Arial"/>
        </w:rPr>
        <w:tab/>
      </w:r>
      <w:r w:rsidR="001020B1" w:rsidRPr="001020B1">
        <w:rPr>
          <w:rFonts w:ascii="Arial" w:hAnsi="Arial" w:cs="Arial"/>
          <w:i/>
        </w:rPr>
        <w:t>Pegma</w:t>
      </w:r>
      <w:r w:rsidR="001020B1">
        <w:rPr>
          <w:rFonts w:ascii="Arial" w:hAnsi="Arial" w:cs="Arial"/>
          <w:i/>
        </w:rPr>
        <w:t xml:space="preserve"> </w:t>
      </w:r>
      <w:r w:rsidR="001020B1">
        <w:rPr>
          <w:rFonts w:ascii="Arial" w:hAnsi="Arial" w:cs="Arial"/>
        </w:rPr>
        <w:t xml:space="preserve">failed to </w:t>
      </w:r>
      <w:r w:rsidR="00C71D8D">
        <w:rPr>
          <w:rFonts w:ascii="Arial" w:hAnsi="Arial" w:cs="Arial"/>
        </w:rPr>
        <w:t>distinguish</w:t>
      </w:r>
      <w:r w:rsidR="001020B1">
        <w:rPr>
          <w:rFonts w:ascii="Arial" w:hAnsi="Arial" w:cs="Arial"/>
        </w:rPr>
        <w:t xml:space="preserve"> between the concept of an organ of state generally, as defined in the </w:t>
      </w:r>
      <w:r w:rsidR="00780DB1">
        <w:rPr>
          <w:rFonts w:ascii="Arial" w:hAnsi="Arial" w:cs="Arial"/>
        </w:rPr>
        <w:t>Constitution</w:t>
      </w:r>
      <w:r w:rsidR="001020B1">
        <w:rPr>
          <w:rFonts w:ascii="Arial" w:hAnsi="Arial" w:cs="Arial"/>
        </w:rPr>
        <w:t>, and an organ of state</w:t>
      </w:r>
      <w:r w:rsidR="00780DB1">
        <w:rPr>
          <w:rFonts w:ascii="Arial" w:hAnsi="Arial" w:cs="Arial"/>
        </w:rPr>
        <w:t xml:space="preserve"> as d</w:t>
      </w:r>
      <w:r w:rsidR="00C71D8D">
        <w:rPr>
          <w:rFonts w:ascii="Arial" w:hAnsi="Arial" w:cs="Arial"/>
        </w:rPr>
        <w:t>efined in the Act. T</w:t>
      </w:r>
      <w:r w:rsidR="00780DB1">
        <w:rPr>
          <w:rFonts w:ascii="Arial" w:hAnsi="Arial" w:cs="Arial"/>
        </w:rPr>
        <w:t>he appellant</w:t>
      </w:r>
      <w:r w:rsidR="00C71D8D">
        <w:rPr>
          <w:rFonts w:ascii="Arial" w:hAnsi="Arial" w:cs="Arial"/>
        </w:rPr>
        <w:t>, though</w:t>
      </w:r>
      <w:r w:rsidR="00780DB1">
        <w:rPr>
          <w:rFonts w:ascii="Arial" w:hAnsi="Arial" w:cs="Arial"/>
        </w:rPr>
        <w:t xml:space="preserve"> obliged by the Constitution to provide electricity for the economic an</w:t>
      </w:r>
      <w:r w:rsidR="00C71D8D">
        <w:rPr>
          <w:rFonts w:ascii="Arial" w:hAnsi="Arial" w:cs="Arial"/>
        </w:rPr>
        <w:t xml:space="preserve">d social well-being of people, did not perform </w:t>
      </w:r>
      <w:r w:rsidR="004849B9">
        <w:rPr>
          <w:rFonts w:ascii="Arial" w:hAnsi="Arial" w:cs="Arial"/>
        </w:rPr>
        <w:t>these</w:t>
      </w:r>
      <w:r w:rsidR="00780DB1">
        <w:rPr>
          <w:rFonts w:ascii="Arial" w:hAnsi="Arial" w:cs="Arial"/>
        </w:rPr>
        <w:t xml:space="preserve"> functions in terms of the Constitution becaus</w:t>
      </w:r>
      <w:r w:rsidR="004849B9">
        <w:rPr>
          <w:rFonts w:ascii="Arial" w:hAnsi="Arial" w:cs="Arial"/>
        </w:rPr>
        <w:t>e the Constitution neither</w:t>
      </w:r>
      <w:r w:rsidR="00780DB1">
        <w:rPr>
          <w:rFonts w:ascii="Arial" w:hAnsi="Arial" w:cs="Arial"/>
        </w:rPr>
        <w:t xml:space="preserve"> refer</w:t>
      </w:r>
      <w:r w:rsidR="004849B9">
        <w:rPr>
          <w:rFonts w:ascii="Arial" w:hAnsi="Arial" w:cs="Arial"/>
        </w:rPr>
        <w:t xml:space="preserve">red to it </w:t>
      </w:r>
      <w:r w:rsidR="00780DB1">
        <w:rPr>
          <w:rFonts w:ascii="Arial" w:hAnsi="Arial" w:cs="Arial"/>
        </w:rPr>
        <w:t>no</w:t>
      </w:r>
      <w:r w:rsidR="004849B9">
        <w:rPr>
          <w:rFonts w:ascii="Arial" w:hAnsi="Arial" w:cs="Arial"/>
        </w:rPr>
        <w:t>r</w:t>
      </w:r>
      <w:r w:rsidR="00780DB1">
        <w:rPr>
          <w:rFonts w:ascii="Arial" w:hAnsi="Arial" w:cs="Arial"/>
        </w:rPr>
        <w:t xml:space="preserve"> provide</w:t>
      </w:r>
      <w:r w:rsidR="004849B9">
        <w:rPr>
          <w:rFonts w:ascii="Arial" w:hAnsi="Arial" w:cs="Arial"/>
        </w:rPr>
        <w:t>d</w:t>
      </w:r>
      <w:r w:rsidR="00780DB1">
        <w:rPr>
          <w:rFonts w:ascii="Arial" w:hAnsi="Arial" w:cs="Arial"/>
        </w:rPr>
        <w:t xml:space="preserve"> for its existence.</w:t>
      </w:r>
    </w:p>
    <w:p w:rsidR="00F86B8D" w:rsidRDefault="00CC3ACE" w:rsidP="001F4FC2">
      <w:pPr>
        <w:spacing w:before="240" w:after="240" w:line="360" w:lineRule="auto"/>
        <w:ind w:left="567" w:hanging="567"/>
        <w:jc w:val="both"/>
        <w:rPr>
          <w:rFonts w:ascii="Arial" w:hAnsi="Arial" w:cs="Arial"/>
        </w:rPr>
      </w:pPr>
      <w:r>
        <w:rPr>
          <w:rFonts w:ascii="Arial" w:hAnsi="Arial" w:cs="Arial"/>
        </w:rPr>
        <w:t>[9</w:t>
      </w:r>
      <w:r w:rsidR="00F86B8D">
        <w:rPr>
          <w:rFonts w:ascii="Arial" w:hAnsi="Arial" w:cs="Arial"/>
        </w:rPr>
        <w:t>]</w:t>
      </w:r>
      <w:r>
        <w:rPr>
          <w:rFonts w:ascii="Arial" w:hAnsi="Arial" w:cs="Arial"/>
        </w:rPr>
        <w:tab/>
      </w:r>
      <w:r w:rsidR="00FE78B0">
        <w:rPr>
          <w:rFonts w:ascii="Arial" w:hAnsi="Arial" w:cs="Arial"/>
        </w:rPr>
        <w:t>The court</w:t>
      </w:r>
      <w:r w:rsidR="00A82B54">
        <w:rPr>
          <w:rFonts w:ascii="Arial" w:hAnsi="Arial" w:cs="Arial"/>
        </w:rPr>
        <w:t xml:space="preserve"> </w:t>
      </w:r>
      <w:r w:rsidR="00A82B54" w:rsidRPr="00C93C17">
        <w:rPr>
          <w:rFonts w:ascii="Arial" w:hAnsi="Arial" w:cs="Arial"/>
          <w:i/>
        </w:rPr>
        <w:t>a quo</w:t>
      </w:r>
      <w:r w:rsidR="00A82B54">
        <w:rPr>
          <w:rFonts w:ascii="Arial" w:hAnsi="Arial" w:cs="Arial"/>
        </w:rPr>
        <w:t xml:space="preserve"> </w:t>
      </w:r>
      <w:r w:rsidR="00FE78B0">
        <w:rPr>
          <w:rFonts w:ascii="Arial" w:hAnsi="Arial" w:cs="Arial"/>
        </w:rPr>
        <w:t>correctly pointed out that the starting point was that the Act did not apply to all organs of state</w:t>
      </w:r>
      <w:r w:rsidR="00A82B54">
        <w:rPr>
          <w:rFonts w:ascii="Arial" w:hAnsi="Arial" w:cs="Arial"/>
        </w:rPr>
        <w:t>,</w:t>
      </w:r>
      <w:r w:rsidR="00FE78B0">
        <w:rPr>
          <w:rFonts w:ascii="Arial" w:hAnsi="Arial" w:cs="Arial"/>
        </w:rPr>
        <w:t xml:space="preserve"> but only to certain organs of state as aptly set out in the preamble of the Act. Citing </w:t>
      </w:r>
      <w:r w:rsidR="00FE78B0" w:rsidRPr="00FE78B0">
        <w:rPr>
          <w:rFonts w:ascii="Arial" w:hAnsi="Arial" w:cs="Arial"/>
          <w:i/>
        </w:rPr>
        <w:t>Madinda v Minister of Safety and Security</w:t>
      </w:r>
      <w:r w:rsidR="004C0DFE">
        <w:rPr>
          <w:rFonts w:ascii="Arial" w:hAnsi="Arial" w:cs="Arial"/>
          <w:i/>
        </w:rPr>
        <w:t>,</w:t>
      </w:r>
      <w:r w:rsidR="00FE78B0">
        <w:rPr>
          <w:rStyle w:val="FootnoteReference"/>
          <w:rFonts w:ascii="Arial" w:hAnsi="Arial" w:cs="Arial"/>
        </w:rPr>
        <w:footnoteReference w:id="12"/>
      </w:r>
      <w:r w:rsidR="00FE78B0">
        <w:rPr>
          <w:rFonts w:ascii="Arial" w:hAnsi="Arial" w:cs="Arial"/>
          <w:i/>
        </w:rPr>
        <w:t xml:space="preserve"> </w:t>
      </w:r>
      <w:r w:rsidR="004C0DFE">
        <w:rPr>
          <w:rFonts w:ascii="Arial" w:hAnsi="Arial" w:cs="Arial"/>
        </w:rPr>
        <w:t xml:space="preserve">the court </w:t>
      </w:r>
      <w:r w:rsidR="00A82B54" w:rsidRPr="00C93C17">
        <w:rPr>
          <w:rFonts w:ascii="Arial" w:hAnsi="Arial" w:cs="Arial"/>
          <w:i/>
        </w:rPr>
        <w:t>a quo</w:t>
      </w:r>
      <w:r w:rsidR="00A82B54">
        <w:rPr>
          <w:rFonts w:ascii="Arial" w:hAnsi="Arial" w:cs="Arial"/>
        </w:rPr>
        <w:t xml:space="preserve"> </w:t>
      </w:r>
      <w:r w:rsidR="004C0DFE">
        <w:rPr>
          <w:rFonts w:ascii="Arial" w:hAnsi="Arial" w:cs="Arial"/>
        </w:rPr>
        <w:t xml:space="preserve">stated that the purpose and the ambit of the Act </w:t>
      </w:r>
      <w:r w:rsidR="00224FBB">
        <w:rPr>
          <w:rFonts w:ascii="Arial" w:hAnsi="Arial" w:cs="Arial"/>
        </w:rPr>
        <w:t>were</w:t>
      </w:r>
      <w:r w:rsidR="004C0DFE">
        <w:rPr>
          <w:rFonts w:ascii="Arial" w:hAnsi="Arial" w:cs="Arial"/>
        </w:rPr>
        <w:t xml:space="preserve"> to serve as an omnibus </w:t>
      </w:r>
      <w:r w:rsidR="00B83ABF">
        <w:rPr>
          <w:rFonts w:ascii="Arial" w:hAnsi="Arial" w:cs="Arial"/>
        </w:rPr>
        <w:t>statute that</w:t>
      </w:r>
      <w:r w:rsidR="004C0DFE">
        <w:rPr>
          <w:rFonts w:ascii="Arial" w:hAnsi="Arial" w:cs="Arial"/>
        </w:rPr>
        <w:t xml:space="preserve"> was intended to regulate the prescription and harmonise the period of prescription of debts for which certain organs of state were liable. The Act brought together and rationalised under one statutory umbrella provisions previously scattered through many statutes.</w:t>
      </w:r>
      <w:r w:rsidR="00584517">
        <w:rPr>
          <w:rStyle w:val="FootnoteReference"/>
          <w:rFonts w:ascii="Arial" w:hAnsi="Arial" w:cs="Arial"/>
        </w:rPr>
        <w:footnoteReference w:id="13"/>
      </w:r>
      <w:r w:rsidR="00A82B54">
        <w:rPr>
          <w:rFonts w:ascii="Arial" w:hAnsi="Arial" w:cs="Arial"/>
        </w:rPr>
        <w:t xml:space="preserve"> </w:t>
      </w:r>
      <w:r w:rsidR="000753CD">
        <w:rPr>
          <w:rFonts w:ascii="Arial" w:hAnsi="Arial" w:cs="Arial"/>
        </w:rPr>
        <w:t xml:space="preserve">None of the statutory provisions and Acts referred to in the Schedule </w:t>
      </w:r>
      <w:r w:rsidR="000C12C6">
        <w:rPr>
          <w:rFonts w:ascii="Arial" w:hAnsi="Arial" w:cs="Arial"/>
        </w:rPr>
        <w:t>to the Act</w:t>
      </w:r>
      <w:r w:rsidR="00393954">
        <w:rPr>
          <w:rFonts w:ascii="Arial" w:hAnsi="Arial" w:cs="Arial"/>
        </w:rPr>
        <w:t xml:space="preserve"> (</w:t>
      </w:r>
      <w:r w:rsidR="000753CD">
        <w:rPr>
          <w:rFonts w:ascii="Arial" w:hAnsi="Arial" w:cs="Arial"/>
        </w:rPr>
        <w:t>of</w:t>
      </w:r>
      <w:r w:rsidR="00393954">
        <w:rPr>
          <w:rFonts w:ascii="Arial" w:hAnsi="Arial" w:cs="Arial"/>
        </w:rPr>
        <w:t xml:space="preserve"> the</w:t>
      </w:r>
      <w:r w:rsidR="000753CD">
        <w:rPr>
          <w:rFonts w:ascii="Arial" w:hAnsi="Arial" w:cs="Arial"/>
        </w:rPr>
        <w:t xml:space="preserve"> laws amended and repealed</w:t>
      </w:r>
      <w:r w:rsidR="00393954">
        <w:rPr>
          <w:rFonts w:ascii="Arial" w:hAnsi="Arial" w:cs="Arial"/>
        </w:rPr>
        <w:t>)</w:t>
      </w:r>
      <w:r w:rsidR="000C12C6">
        <w:rPr>
          <w:rFonts w:ascii="Arial" w:hAnsi="Arial" w:cs="Arial"/>
        </w:rPr>
        <w:t xml:space="preserve"> referred to the appellant.</w:t>
      </w:r>
      <w:r w:rsidR="009B3281">
        <w:rPr>
          <w:rFonts w:ascii="Arial" w:hAnsi="Arial" w:cs="Arial"/>
        </w:rPr>
        <w:t xml:space="preserve"> The appellant did not have the benefit of a statutory notice provision before the coming into being of the Act.</w:t>
      </w:r>
      <w:r w:rsidR="009B3281">
        <w:rPr>
          <w:rStyle w:val="FootnoteReference"/>
          <w:rFonts w:ascii="Arial" w:hAnsi="Arial" w:cs="Arial"/>
        </w:rPr>
        <w:footnoteReference w:id="14"/>
      </w:r>
    </w:p>
    <w:p w:rsidR="00DB343A" w:rsidRDefault="00A36185" w:rsidP="00825810">
      <w:pPr>
        <w:spacing w:before="240" w:after="240" w:line="360" w:lineRule="auto"/>
        <w:ind w:left="567" w:hanging="567"/>
        <w:jc w:val="both"/>
        <w:rPr>
          <w:rFonts w:ascii="Arial" w:hAnsi="Arial" w:cs="Arial"/>
        </w:rPr>
      </w:pPr>
      <w:r>
        <w:rPr>
          <w:rFonts w:ascii="Arial" w:hAnsi="Arial" w:cs="Arial"/>
        </w:rPr>
        <w:t>[1</w:t>
      </w:r>
      <w:r w:rsidR="00CC3ACE">
        <w:rPr>
          <w:rFonts w:ascii="Arial" w:hAnsi="Arial" w:cs="Arial"/>
        </w:rPr>
        <w:t>0</w:t>
      </w:r>
      <w:r w:rsidR="00393954">
        <w:rPr>
          <w:rFonts w:ascii="Arial" w:hAnsi="Arial" w:cs="Arial"/>
        </w:rPr>
        <w:t xml:space="preserve">] </w:t>
      </w:r>
      <w:r w:rsidR="00CC3ACE">
        <w:rPr>
          <w:rFonts w:ascii="Arial" w:hAnsi="Arial" w:cs="Arial"/>
        </w:rPr>
        <w:tab/>
      </w:r>
      <w:r w:rsidR="00393954">
        <w:rPr>
          <w:rFonts w:ascii="Arial" w:hAnsi="Arial" w:cs="Arial"/>
        </w:rPr>
        <w:t>The Act, as stated in its preamble, sought to harmonise and</w:t>
      </w:r>
      <w:r w:rsidR="00FC6891">
        <w:rPr>
          <w:rFonts w:ascii="Arial" w:hAnsi="Arial" w:cs="Arial"/>
        </w:rPr>
        <w:t xml:space="preserve"> create uniformity in</w:t>
      </w:r>
      <w:r w:rsidR="00393954">
        <w:rPr>
          <w:rFonts w:ascii="Arial" w:hAnsi="Arial" w:cs="Arial"/>
        </w:rPr>
        <w:t xml:space="preserve"> the provisions of existing laws which provided for different notice periods for the institution of legal proceedings against certain organs of state for the recovery of debt, by substituting those notice periods with a uniform notice period that</w:t>
      </w:r>
      <w:r w:rsidR="00FC6891">
        <w:rPr>
          <w:rFonts w:ascii="Arial" w:hAnsi="Arial" w:cs="Arial"/>
        </w:rPr>
        <w:t xml:space="preserve"> would apply when</w:t>
      </w:r>
      <w:r w:rsidR="00393954">
        <w:rPr>
          <w:rFonts w:ascii="Arial" w:hAnsi="Arial" w:cs="Arial"/>
        </w:rPr>
        <w:t xml:space="preserve"> legal proceedings</w:t>
      </w:r>
      <w:r w:rsidR="00FC6891">
        <w:rPr>
          <w:rFonts w:ascii="Arial" w:hAnsi="Arial" w:cs="Arial"/>
        </w:rPr>
        <w:t xml:space="preserve"> were instituted</w:t>
      </w:r>
      <w:r w:rsidR="00393954">
        <w:rPr>
          <w:rFonts w:ascii="Arial" w:hAnsi="Arial" w:cs="Arial"/>
        </w:rPr>
        <w:t xml:space="preserve"> against certain organs of state for the recovery of a debt.</w:t>
      </w:r>
      <w:r w:rsidR="008051AC">
        <w:rPr>
          <w:rFonts w:ascii="Arial" w:hAnsi="Arial" w:cs="Arial"/>
        </w:rPr>
        <w:t xml:space="preserve"> </w:t>
      </w:r>
      <w:r w:rsidR="00230EEE">
        <w:rPr>
          <w:rFonts w:ascii="Arial" w:hAnsi="Arial" w:cs="Arial"/>
        </w:rPr>
        <w:t>It is crystal clear that the Act was intended to apply only to those provisions of the existing laws that provided for different notice periods for litigation against certain organs of state, and not against all organs of state.</w:t>
      </w:r>
      <w:r w:rsidR="00A82B54">
        <w:rPr>
          <w:rFonts w:ascii="Arial" w:hAnsi="Arial" w:cs="Arial"/>
        </w:rPr>
        <w:t xml:space="preserve"> A few specific entities have been incorporated for notice protection in sections 1(1)(d), (e)</w:t>
      </w:r>
      <w:r w:rsidR="0086333B">
        <w:rPr>
          <w:rFonts w:ascii="Arial" w:hAnsi="Arial" w:cs="Arial"/>
        </w:rPr>
        <w:t xml:space="preserve"> and (f). The appellant</w:t>
      </w:r>
      <w:r w:rsidR="00A82B54">
        <w:rPr>
          <w:rFonts w:ascii="Arial" w:hAnsi="Arial" w:cs="Arial"/>
        </w:rPr>
        <w:t xml:space="preserve"> is not one of them. The Act was not designed t</w:t>
      </w:r>
      <w:r w:rsidR="008C46C7">
        <w:rPr>
          <w:rFonts w:ascii="Arial" w:hAnsi="Arial" w:cs="Arial"/>
        </w:rPr>
        <w:t>o afford the appellant</w:t>
      </w:r>
      <w:r w:rsidR="00A82B54">
        <w:rPr>
          <w:rFonts w:ascii="Arial" w:hAnsi="Arial" w:cs="Arial"/>
        </w:rPr>
        <w:t xml:space="preserve"> statutory notice protection which it never had before.</w:t>
      </w:r>
    </w:p>
    <w:p w:rsidR="00DB343A" w:rsidRPr="00DB343A" w:rsidRDefault="00A36185" w:rsidP="00817CC5">
      <w:pPr>
        <w:spacing w:before="240" w:after="240" w:line="360" w:lineRule="auto"/>
        <w:ind w:left="567" w:hanging="567"/>
        <w:jc w:val="both"/>
        <w:rPr>
          <w:rFonts w:ascii="Arial" w:hAnsi="Arial" w:cs="Arial"/>
          <w:b/>
          <w:bCs/>
          <w:lang w:val="en-ZA"/>
        </w:rPr>
      </w:pPr>
      <w:r>
        <w:rPr>
          <w:rFonts w:ascii="Arial" w:hAnsi="Arial" w:cs="Arial"/>
        </w:rPr>
        <w:t>[1</w:t>
      </w:r>
      <w:r w:rsidR="00CC3ACE">
        <w:rPr>
          <w:rFonts w:ascii="Arial" w:hAnsi="Arial" w:cs="Arial"/>
        </w:rPr>
        <w:t>1</w:t>
      </w:r>
      <w:r w:rsidR="00DB343A">
        <w:rPr>
          <w:rFonts w:ascii="Arial" w:hAnsi="Arial" w:cs="Arial"/>
        </w:rPr>
        <w:t xml:space="preserve">] </w:t>
      </w:r>
      <w:r w:rsidR="00CC3ACE">
        <w:rPr>
          <w:rFonts w:ascii="Arial" w:hAnsi="Arial" w:cs="Arial"/>
        </w:rPr>
        <w:tab/>
      </w:r>
      <w:r w:rsidR="00DB343A">
        <w:rPr>
          <w:rFonts w:ascii="Arial" w:hAnsi="Arial" w:cs="Arial"/>
        </w:rPr>
        <w:t xml:space="preserve">In </w:t>
      </w:r>
      <w:r w:rsidR="00CC3ACE" w:rsidRPr="00CC3ACE">
        <w:rPr>
          <w:rFonts w:ascii="Arial" w:hAnsi="Arial" w:cs="Arial"/>
          <w:i/>
        </w:rPr>
        <w:t>N</w:t>
      </w:r>
      <w:r w:rsidR="00CC3ACE" w:rsidRPr="00CC3ACE">
        <w:rPr>
          <w:rFonts w:ascii="Arial" w:hAnsi="Arial" w:cs="Arial"/>
          <w:i/>
          <w:lang w:val="en-ZA"/>
        </w:rPr>
        <w:t>atal J</w:t>
      </w:r>
      <w:r w:rsidR="00CC3ACE" w:rsidRPr="00CC3ACE">
        <w:rPr>
          <w:rFonts w:ascii="Arial" w:hAnsi="Arial" w:cs="Arial"/>
          <w:lang w:val="en-ZA"/>
        </w:rPr>
        <w:t>oint</w:t>
      </w:r>
      <w:r w:rsidR="00CC3ACE" w:rsidRPr="00CC3ACE">
        <w:rPr>
          <w:rFonts w:ascii="Arial" w:hAnsi="Arial" w:cs="Arial"/>
          <w:i/>
          <w:lang w:val="en-ZA"/>
        </w:rPr>
        <w:t xml:space="preserve"> Municipal </w:t>
      </w:r>
      <w:r w:rsidR="00A82B54">
        <w:rPr>
          <w:rFonts w:ascii="Arial" w:hAnsi="Arial" w:cs="Arial"/>
          <w:i/>
          <w:lang w:val="en-ZA"/>
        </w:rPr>
        <w:t>P</w:t>
      </w:r>
      <w:r w:rsidR="00CC3ACE" w:rsidRPr="00CC3ACE">
        <w:rPr>
          <w:rFonts w:ascii="Arial" w:hAnsi="Arial" w:cs="Arial"/>
          <w:i/>
          <w:lang w:val="en-ZA"/>
        </w:rPr>
        <w:t>ension Fund v Endumeni Municipality</w:t>
      </w:r>
      <w:r w:rsidR="00DB343A">
        <w:rPr>
          <w:rFonts w:ascii="Arial" w:hAnsi="Arial" w:cs="Arial"/>
          <w:i/>
          <w:sz w:val="20"/>
          <w:szCs w:val="20"/>
          <w:lang w:val="en-ZA"/>
        </w:rPr>
        <w:t>,</w:t>
      </w:r>
      <w:r w:rsidR="00DB343A">
        <w:rPr>
          <w:rStyle w:val="FootnoteReference"/>
          <w:rFonts w:ascii="Arial" w:hAnsi="Arial" w:cs="Arial"/>
          <w:i/>
          <w:sz w:val="20"/>
          <w:szCs w:val="20"/>
          <w:lang w:val="en-ZA"/>
        </w:rPr>
        <w:footnoteReference w:id="15"/>
      </w:r>
      <w:r w:rsidR="00DB343A">
        <w:rPr>
          <w:rFonts w:ascii="Arial" w:hAnsi="Arial" w:cs="Arial"/>
          <w:i/>
          <w:sz w:val="20"/>
          <w:szCs w:val="20"/>
          <w:lang w:val="en-ZA"/>
        </w:rPr>
        <w:t xml:space="preserve"> </w:t>
      </w:r>
      <w:r w:rsidR="00DB343A" w:rsidRPr="00DB343A">
        <w:rPr>
          <w:rFonts w:ascii="Arial" w:hAnsi="Arial" w:cs="Arial"/>
          <w:lang w:val="en-ZA"/>
        </w:rPr>
        <w:t>it was stated that</w:t>
      </w:r>
      <w:r w:rsidR="00DB343A">
        <w:rPr>
          <w:rFonts w:ascii="Arial" w:hAnsi="Arial" w:cs="Arial"/>
          <w:lang w:val="en-ZA"/>
        </w:rPr>
        <w:t>: “</w:t>
      </w:r>
      <w:r w:rsidR="00DB343A" w:rsidRPr="00C24DDA">
        <w:rPr>
          <w:rFonts w:ascii="Arial" w:hAnsi="Arial" w:cs="Arial"/>
          <w:i/>
          <w:lang w:val="en-ZA"/>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w:t>
      </w:r>
      <w:r w:rsidR="005F431C" w:rsidRPr="00C24DDA">
        <w:rPr>
          <w:rFonts w:ascii="Arial" w:hAnsi="Arial" w:cs="Arial"/>
          <w:i/>
          <w:lang w:val="en-ZA"/>
        </w:rPr>
        <w:t>nce. Whatever the nature of the</w:t>
      </w:r>
      <w:r w:rsidR="00DB343A" w:rsidRPr="00C24DDA">
        <w:rPr>
          <w:rFonts w:ascii="Arial" w:hAnsi="Arial" w:cs="Arial"/>
          <w:i/>
          <w:lang w:val="en-ZA"/>
        </w:rPr>
        <w:t xml:space="preserve"> document, consideration must be given to the language</w:t>
      </w:r>
      <w:r w:rsidR="005F431C" w:rsidRPr="00C24DDA">
        <w:rPr>
          <w:rFonts w:ascii="Arial" w:hAnsi="Arial" w:cs="Arial"/>
          <w:i/>
          <w:lang w:val="en-ZA"/>
        </w:rPr>
        <w:t xml:space="preserve"> </w:t>
      </w:r>
      <w:r w:rsidR="00DB343A" w:rsidRPr="00C24DDA">
        <w:rPr>
          <w:rFonts w:ascii="Arial" w:hAnsi="Arial" w:cs="Arial"/>
          <w:i/>
          <w:lang w:val="en-ZA"/>
        </w:rPr>
        <w:t xml:space="preserve">used in the light of the ordinary rules of grammar and syntax; the context in which the provision </w:t>
      </w:r>
      <w:r w:rsidR="005F431C" w:rsidRPr="00C24DDA">
        <w:rPr>
          <w:rFonts w:ascii="Arial" w:hAnsi="Arial" w:cs="Arial"/>
          <w:i/>
          <w:lang w:val="en-ZA"/>
        </w:rPr>
        <w:t>appears;</w:t>
      </w:r>
      <w:r w:rsidR="00DB343A" w:rsidRPr="00C24DDA">
        <w:rPr>
          <w:rFonts w:ascii="Arial" w:hAnsi="Arial" w:cs="Arial"/>
          <w:i/>
          <w:lang w:val="en-ZA"/>
        </w:rPr>
        <w:t xml:space="preserve"> the apparent purpose to which it is directed and</w:t>
      </w:r>
      <w:r w:rsidR="005F431C" w:rsidRPr="00C24DDA">
        <w:rPr>
          <w:rFonts w:ascii="Arial" w:hAnsi="Arial" w:cs="Arial"/>
          <w:i/>
          <w:lang w:val="en-ZA"/>
        </w:rPr>
        <w:t xml:space="preserve"> </w:t>
      </w:r>
      <w:r w:rsidR="00DB343A" w:rsidRPr="00C24DDA">
        <w:rPr>
          <w:rFonts w:ascii="Arial" w:hAnsi="Arial" w:cs="Arial"/>
          <w:i/>
          <w:lang w:val="en-ZA"/>
        </w:rPr>
        <w:t xml:space="preserve">the material known to those responsible for </w:t>
      </w:r>
      <w:r w:rsidR="005F431C" w:rsidRPr="00C24DDA">
        <w:rPr>
          <w:rFonts w:ascii="Arial" w:hAnsi="Arial" w:cs="Arial"/>
          <w:i/>
          <w:lang w:val="en-ZA"/>
        </w:rPr>
        <w:t>its production…</w:t>
      </w:r>
      <w:r w:rsidR="00DB343A" w:rsidRPr="00C24DDA">
        <w:rPr>
          <w:rFonts w:ascii="Arial" w:hAnsi="Arial" w:cs="Arial"/>
          <w:i/>
          <w:lang w:val="en-ZA"/>
        </w:rPr>
        <w:t>The process is objective, not subjective</w:t>
      </w:r>
      <w:r w:rsidR="005F431C" w:rsidRPr="00C24DDA">
        <w:rPr>
          <w:rFonts w:ascii="Arial" w:hAnsi="Arial" w:cs="Arial"/>
          <w:i/>
          <w:lang w:val="en-ZA"/>
        </w:rPr>
        <w:t>…</w:t>
      </w:r>
      <w:r w:rsidR="00DB343A" w:rsidRPr="00C24DDA">
        <w:rPr>
          <w:rFonts w:ascii="Arial" w:hAnsi="Arial" w:cs="Arial"/>
          <w:i/>
          <w:lang w:val="en-ZA"/>
        </w:rPr>
        <w:t xml:space="preserve"> Judges must be alert to, and guard </w:t>
      </w:r>
      <w:r w:rsidR="005F431C" w:rsidRPr="00C24DDA">
        <w:rPr>
          <w:rFonts w:ascii="Arial" w:hAnsi="Arial" w:cs="Arial"/>
          <w:i/>
          <w:lang w:val="en-ZA"/>
        </w:rPr>
        <w:t xml:space="preserve">against </w:t>
      </w:r>
      <w:r w:rsidR="00DB343A" w:rsidRPr="00C24DDA">
        <w:rPr>
          <w:rFonts w:ascii="Arial" w:hAnsi="Arial" w:cs="Arial"/>
          <w:i/>
          <w:lang w:val="en-ZA"/>
        </w:rPr>
        <w:t>the temptation to</w:t>
      </w:r>
      <w:r w:rsidR="005F431C" w:rsidRPr="00C24DDA">
        <w:rPr>
          <w:rFonts w:ascii="Arial" w:hAnsi="Arial" w:cs="Arial"/>
          <w:i/>
          <w:lang w:val="en-ZA"/>
        </w:rPr>
        <w:t xml:space="preserve"> </w:t>
      </w:r>
      <w:r w:rsidR="00DB343A" w:rsidRPr="00C24DDA">
        <w:rPr>
          <w:rFonts w:ascii="Arial" w:hAnsi="Arial" w:cs="Arial"/>
          <w:i/>
          <w:lang w:val="en-ZA"/>
        </w:rPr>
        <w:t xml:space="preserve">substitute what they regard as reasonable, sensible or </w:t>
      </w:r>
      <w:r w:rsidR="005F431C" w:rsidRPr="00C24DDA">
        <w:rPr>
          <w:rFonts w:ascii="Arial" w:hAnsi="Arial" w:cs="Arial"/>
          <w:i/>
          <w:lang w:val="en-ZA"/>
        </w:rPr>
        <w:t>businesslike</w:t>
      </w:r>
      <w:r w:rsidR="00DB343A" w:rsidRPr="00C24DDA">
        <w:rPr>
          <w:rFonts w:ascii="Arial" w:hAnsi="Arial" w:cs="Arial"/>
          <w:i/>
          <w:lang w:val="en-ZA"/>
        </w:rPr>
        <w:t xml:space="preserve"> for the words actually used. To do so in regard to a statute or statutory</w:t>
      </w:r>
      <w:r w:rsidR="005F431C" w:rsidRPr="00C24DDA">
        <w:rPr>
          <w:rFonts w:ascii="Arial" w:hAnsi="Arial" w:cs="Arial"/>
          <w:i/>
          <w:lang w:val="en-ZA"/>
        </w:rPr>
        <w:t xml:space="preserve"> instrument is to cross</w:t>
      </w:r>
      <w:r w:rsidR="00DB343A" w:rsidRPr="00C24DDA">
        <w:rPr>
          <w:rFonts w:ascii="Arial" w:hAnsi="Arial" w:cs="Arial"/>
          <w:i/>
          <w:lang w:val="en-ZA"/>
        </w:rPr>
        <w:t xml:space="preserve"> the divide between interpretation and legislation; in a contractual context it is to make a contract for the parties other</w:t>
      </w:r>
      <w:r w:rsidR="005F431C" w:rsidRPr="00C24DDA">
        <w:rPr>
          <w:rFonts w:ascii="Arial" w:hAnsi="Arial" w:cs="Arial"/>
          <w:i/>
          <w:lang w:val="en-ZA"/>
        </w:rPr>
        <w:t xml:space="preserve"> </w:t>
      </w:r>
      <w:r w:rsidR="00DB343A" w:rsidRPr="00C24DDA">
        <w:rPr>
          <w:rFonts w:ascii="Arial" w:hAnsi="Arial" w:cs="Arial"/>
          <w:i/>
          <w:lang w:val="en-ZA"/>
        </w:rPr>
        <w:t>than the one they in fact made. The 'inevitable point of departure is the language of the provision itself', read in context and having regard</w:t>
      </w:r>
      <w:r w:rsidR="005F431C" w:rsidRPr="00C24DDA">
        <w:rPr>
          <w:rFonts w:ascii="Arial" w:hAnsi="Arial" w:cs="Arial"/>
          <w:i/>
          <w:lang w:val="en-ZA"/>
        </w:rPr>
        <w:t xml:space="preserve"> </w:t>
      </w:r>
      <w:r w:rsidR="00DB343A" w:rsidRPr="00C24DDA">
        <w:rPr>
          <w:rFonts w:ascii="Arial" w:hAnsi="Arial" w:cs="Arial"/>
          <w:i/>
          <w:lang w:val="en-ZA"/>
        </w:rPr>
        <w:t>to the purpose of the provision and the background to th</w:t>
      </w:r>
      <w:r w:rsidR="005F431C" w:rsidRPr="00C24DDA">
        <w:rPr>
          <w:rFonts w:ascii="Arial" w:hAnsi="Arial" w:cs="Arial"/>
          <w:i/>
          <w:lang w:val="en-ZA"/>
        </w:rPr>
        <w:t>e preparation and production of</w:t>
      </w:r>
      <w:r w:rsidR="00DB343A" w:rsidRPr="00C24DDA">
        <w:rPr>
          <w:rFonts w:ascii="Arial" w:hAnsi="Arial" w:cs="Arial"/>
          <w:i/>
          <w:lang w:val="en-ZA"/>
        </w:rPr>
        <w:t xml:space="preserve"> the document.</w:t>
      </w:r>
      <w:r w:rsidR="005F431C" w:rsidRPr="00C24DDA">
        <w:rPr>
          <w:rFonts w:ascii="Arial" w:hAnsi="Arial" w:cs="Arial"/>
          <w:i/>
          <w:lang w:val="en-ZA"/>
        </w:rPr>
        <w:t>”</w:t>
      </w:r>
    </w:p>
    <w:p w:rsidR="00190FF3" w:rsidRDefault="00B14EA4" w:rsidP="00B028B4">
      <w:pPr>
        <w:spacing w:before="240" w:after="240" w:line="360" w:lineRule="auto"/>
        <w:ind w:left="567" w:hanging="567"/>
        <w:jc w:val="both"/>
        <w:rPr>
          <w:rFonts w:ascii="Arial" w:hAnsi="Arial" w:cs="Arial"/>
        </w:rPr>
      </w:pPr>
      <w:r>
        <w:rPr>
          <w:rFonts w:ascii="Arial" w:hAnsi="Arial" w:cs="Arial"/>
        </w:rPr>
        <w:t xml:space="preserve"> </w:t>
      </w:r>
      <w:r w:rsidR="00A36185">
        <w:rPr>
          <w:rFonts w:ascii="Arial" w:hAnsi="Arial" w:cs="Arial"/>
        </w:rPr>
        <w:t>[1</w:t>
      </w:r>
      <w:r w:rsidR="00CC3ACE">
        <w:rPr>
          <w:rFonts w:ascii="Arial" w:hAnsi="Arial" w:cs="Arial"/>
        </w:rPr>
        <w:t>2</w:t>
      </w:r>
      <w:r w:rsidR="00224FBB">
        <w:rPr>
          <w:rFonts w:ascii="Arial" w:hAnsi="Arial" w:cs="Arial"/>
        </w:rPr>
        <w:t xml:space="preserve">] </w:t>
      </w:r>
      <w:r w:rsidR="00CC3ACE">
        <w:rPr>
          <w:rFonts w:ascii="Arial" w:hAnsi="Arial" w:cs="Arial"/>
        </w:rPr>
        <w:tab/>
      </w:r>
      <w:r>
        <w:rPr>
          <w:rFonts w:ascii="Arial" w:hAnsi="Arial" w:cs="Arial"/>
        </w:rPr>
        <w:t>The court in</w:t>
      </w:r>
      <w:r w:rsidR="0076148C">
        <w:rPr>
          <w:rFonts w:ascii="Arial" w:hAnsi="Arial" w:cs="Arial"/>
        </w:rPr>
        <w:t xml:space="preserve"> </w:t>
      </w:r>
      <w:r w:rsidR="0076148C" w:rsidRPr="00B14EA4">
        <w:rPr>
          <w:rFonts w:ascii="Arial" w:hAnsi="Arial" w:cs="Arial"/>
          <w:i/>
        </w:rPr>
        <w:t>Pegma</w:t>
      </w:r>
      <w:r w:rsidR="00B65F48">
        <w:rPr>
          <w:rFonts w:ascii="Arial" w:hAnsi="Arial" w:cs="Arial"/>
          <w:i/>
        </w:rPr>
        <w:t xml:space="preserve">, </w:t>
      </w:r>
      <w:r w:rsidR="00B65F48">
        <w:rPr>
          <w:rFonts w:ascii="Arial" w:hAnsi="Arial" w:cs="Arial"/>
        </w:rPr>
        <w:t xml:space="preserve">influenced by </w:t>
      </w:r>
      <w:r w:rsidR="00B65F48" w:rsidRPr="00B015AB">
        <w:rPr>
          <w:rFonts w:ascii="Arial" w:hAnsi="Arial" w:cs="Arial"/>
          <w:i/>
        </w:rPr>
        <w:t>Mittal Steel South Africa LTD (Formerly Iscor LTD v Hlatshwayo</w:t>
      </w:r>
      <w:r w:rsidR="00B65F48" w:rsidRPr="00B015AB">
        <w:rPr>
          <w:rStyle w:val="FootnoteReference"/>
          <w:rFonts w:ascii="Arial" w:hAnsi="Arial" w:cs="Arial"/>
          <w:i/>
        </w:rPr>
        <w:footnoteReference w:id="16"/>
      </w:r>
      <w:r w:rsidR="0076148C" w:rsidRPr="00B015AB">
        <w:rPr>
          <w:rFonts w:ascii="Arial" w:hAnsi="Arial" w:cs="Arial"/>
          <w:i/>
        </w:rPr>
        <w:t xml:space="preserve"> </w:t>
      </w:r>
      <w:r w:rsidR="00B015AB">
        <w:rPr>
          <w:rFonts w:ascii="Arial" w:hAnsi="Arial" w:cs="Arial"/>
        </w:rPr>
        <w:t xml:space="preserve">was of the view that the FDC’s developmental activities crowned it with the profile of an entity performing a public function as it sought to achieve some collective benefit for the general public. </w:t>
      </w:r>
      <w:r w:rsidR="002A5FB0">
        <w:rPr>
          <w:rFonts w:ascii="Arial" w:hAnsi="Arial" w:cs="Arial"/>
        </w:rPr>
        <w:t>Conse</w:t>
      </w:r>
      <w:r w:rsidR="00A32F94">
        <w:rPr>
          <w:rFonts w:ascii="Arial" w:hAnsi="Arial" w:cs="Arial"/>
        </w:rPr>
        <w:t>quently, the court found that</w:t>
      </w:r>
      <w:r w:rsidR="00A32F94" w:rsidRPr="002673C0">
        <w:rPr>
          <w:rFonts w:ascii="Arial" w:hAnsi="Arial" w:cs="Arial"/>
          <w:i/>
        </w:rPr>
        <w:t>:</w:t>
      </w:r>
      <w:r w:rsidR="002673C0" w:rsidRPr="002673C0">
        <w:rPr>
          <w:rFonts w:ascii="Arial" w:hAnsi="Arial" w:cs="Arial"/>
          <w:i/>
        </w:rPr>
        <w:t xml:space="preserve">” </w:t>
      </w:r>
      <w:r w:rsidR="00A32F94" w:rsidRPr="002673C0">
        <w:rPr>
          <w:rFonts w:ascii="Arial" w:hAnsi="Arial" w:cs="Arial"/>
          <w:i/>
        </w:rPr>
        <w:t>By virtue of the obviously public functions the corporation performs for the general population of the province I am inclined to find that the defendant was indeed an institution as contemplated in the second segment, in other words, paragraph (c) of the definition.</w:t>
      </w:r>
      <w:r w:rsidR="00A32F94">
        <w:rPr>
          <w:rFonts w:ascii="Arial" w:hAnsi="Arial" w:cs="Arial"/>
        </w:rPr>
        <w:t>”</w:t>
      </w:r>
      <w:r w:rsidR="00A32F94">
        <w:rPr>
          <w:rStyle w:val="FootnoteReference"/>
          <w:rFonts w:ascii="Arial" w:hAnsi="Arial" w:cs="Arial"/>
        </w:rPr>
        <w:footnoteReference w:id="17"/>
      </w:r>
      <w:r w:rsidR="0076148C">
        <w:rPr>
          <w:rFonts w:ascii="Arial" w:hAnsi="Arial" w:cs="Arial"/>
        </w:rPr>
        <w:t xml:space="preserve"> </w:t>
      </w:r>
      <w:r w:rsidR="008E7077" w:rsidRPr="008E7077">
        <w:rPr>
          <w:rFonts w:ascii="Arial" w:hAnsi="Arial" w:cs="Arial"/>
          <w:i/>
        </w:rPr>
        <w:t>Mittal Steel</w:t>
      </w:r>
      <w:r w:rsidR="008E7077">
        <w:rPr>
          <w:rFonts w:ascii="Arial" w:hAnsi="Arial" w:cs="Arial"/>
          <w:i/>
        </w:rPr>
        <w:t>,</w:t>
      </w:r>
      <w:r w:rsidR="008E7077">
        <w:rPr>
          <w:rStyle w:val="FootnoteReference"/>
          <w:rFonts w:ascii="Arial" w:hAnsi="Arial" w:cs="Arial"/>
        </w:rPr>
        <w:footnoteReference w:id="18"/>
      </w:r>
      <w:r w:rsidR="008E7077">
        <w:rPr>
          <w:rFonts w:ascii="Arial" w:hAnsi="Arial" w:cs="Arial"/>
          <w:i/>
        </w:rPr>
        <w:t xml:space="preserve"> </w:t>
      </w:r>
      <w:r w:rsidR="008E7077">
        <w:rPr>
          <w:rFonts w:ascii="Arial" w:hAnsi="Arial" w:cs="Arial"/>
        </w:rPr>
        <w:t>however, was concerned with</w:t>
      </w:r>
      <w:r w:rsidR="00190FF3">
        <w:rPr>
          <w:rFonts w:ascii="Arial" w:hAnsi="Arial" w:cs="Arial"/>
        </w:rPr>
        <w:t xml:space="preserve"> a</w:t>
      </w:r>
      <w:r w:rsidR="008E7077" w:rsidRPr="008E7077">
        <w:rPr>
          <w:rFonts w:ascii="Arial" w:hAnsi="Arial" w:cs="Arial"/>
        </w:rPr>
        <w:t xml:space="preserve"> b</w:t>
      </w:r>
      <w:r w:rsidR="002673C0">
        <w:rPr>
          <w:rFonts w:ascii="Arial" w:hAnsi="Arial" w:cs="Arial"/>
        </w:rPr>
        <w:t>ody such as that described in subsection</w:t>
      </w:r>
      <w:r w:rsidR="008E7077" w:rsidRPr="008E7077">
        <w:rPr>
          <w:rFonts w:ascii="Arial" w:hAnsi="Arial" w:cs="Arial"/>
        </w:rPr>
        <w:t> </w:t>
      </w:r>
      <w:r w:rsidR="008E7077" w:rsidRPr="008E7077">
        <w:rPr>
          <w:rFonts w:ascii="Arial" w:hAnsi="Arial" w:cs="Arial"/>
          <w:i/>
          <w:iCs/>
        </w:rPr>
        <w:t>(b)</w:t>
      </w:r>
      <w:r w:rsidR="008E7077" w:rsidRPr="008E7077">
        <w:rPr>
          <w:rFonts w:ascii="Arial" w:hAnsi="Arial" w:cs="Arial"/>
        </w:rPr>
        <w:t>(ii) of the definition of 'public body' in s</w:t>
      </w:r>
      <w:r w:rsidR="002673C0">
        <w:rPr>
          <w:rFonts w:ascii="Arial" w:hAnsi="Arial" w:cs="Arial"/>
        </w:rPr>
        <w:t>ection</w:t>
      </w:r>
      <w:r w:rsidR="008E7077" w:rsidRPr="008E7077">
        <w:rPr>
          <w:rFonts w:ascii="Arial" w:hAnsi="Arial" w:cs="Arial"/>
        </w:rPr>
        <w:t xml:space="preserve"> 1 of PAIA, one 'exercising a public power or performing a public function in terms of any legislation', </w:t>
      </w:r>
      <w:r w:rsidR="00190FF3">
        <w:rPr>
          <w:rFonts w:ascii="Arial" w:hAnsi="Arial" w:cs="Arial"/>
        </w:rPr>
        <w:t>which had</w:t>
      </w:r>
      <w:r w:rsidR="008E7077" w:rsidRPr="008E7077">
        <w:rPr>
          <w:rFonts w:ascii="Arial" w:hAnsi="Arial" w:cs="Arial"/>
        </w:rPr>
        <w:t xml:space="preserve"> the attributes of a 'public body'</w:t>
      </w:r>
      <w:r w:rsidR="00190FF3">
        <w:rPr>
          <w:rFonts w:ascii="Arial" w:hAnsi="Arial" w:cs="Arial"/>
        </w:rPr>
        <w:t>. The</w:t>
      </w:r>
      <w:r w:rsidR="002673C0">
        <w:rPr>
          <w:rFonts w:ascii="Arial" w:hAnsi="Arial" w:cs="Arial"/>
        </w:rPr>
        <w:t xml:space="preserve"> words are the same as those used in section 239(b)(ii) of the Constitution. The </w:t>
      </w:r>
      <w:r w:rsidR="00190FF3">
        <w:rPr>
          <w:rFonts w:ascii="Arial" w:hAnsi="Arial" w:cs="Arial"/>
        </w:rPr>
        <w:t>court</w:t>
      </w:r>
      <w:r w:rsidR="002673C0">
        <w:rPr>
          <w:rFonts w:ascii="Arial" w:hAnsi="Arial" w:cs="Arial"/>
        </w:rPr>
        <w:t xml:space="preserve"> in</w:t>
      </w:r>
      <w:r w:rsidR="002673C0" w:rsidRPr="002673C0">
        <w:rPr>
          <w:rFonts w:ascii="Arial" w:hAnsi="Arial" w:cs="Arial"/>
        </w:rPr>
        <w:t xml:space="preserve"> </w:t>
      </w:r>
      <w:r w:rsidR="002673C0" w:rsidRPr="002673C0">
        <w:rPr>
          <w:rFonts w:ascii="Arial" w:hAnsi="Arial" w:cs="Arial"/>
          <w:i/>
        </w:rPr>
        <w:t>Pegma</w:t>
      </w:r>
      <w:r w:rsidR="00190FF3">
        <w:rPr>
          <w:rFonts w:ascii="Arial" w:hAnsi="Arial" w:cs="Arial"/>
        </w:rPr>
        <w:t xml:space="preserve"> applied the </w:t>
      </w:r>
      <w:r w:rsidR="00B41389">
        <w:rPr>
          <w:rFonts w:ascii="Arial" w:hAnsi="Arial" w:cs="Arial"/>
        </w:rPr>
        <w:t>standard in</w:t>
      </w:r>
      <w:r w:rsidR="00190FF3">
        <w:rPr>
          <w:rFonts w:ascii="Arial" w:hAnsi="Arial" w:cs="Arial"/>
        </w:rPr>
        <w:t xml:space="preserve"> section 239(b)(ii) of the </w:t>
      </w:r>
      <w:r w:rsidR="00415F54">
        <w:rPr>
          <w:rFonts w:ascii="Arial" w:hAnsi="Arial" w:cs="Arial"/>
        </w:rPr>
        <w:t>C</w:t>
      </w:r>
      <w:r w:rsidR="00190FF3">
        <w:rPr>
          <w:rFonts w:ascii="Arial" w:hAnsi="Arial" w:cs="Arial"/>
        </w:rPr>
        <w:t>onstitution to conclude that the FDC was an organ of state as defined in the Act.</w:t>
      </w:r>
    </w:p>
    <w:p w:rsidR="00DD1BB9" w:rsidRDefault="00597261" w:rsidP="00B028B4">
      <w:pPr>
        <w:spacing w:before="240" w:after="240" w:line="360" w:lineRule="auto"/>
        <w:ind w:left="567" w:hanging="567"/>
        <w:jc w:val="both"/>
        <w:rPr>
          <w:rFonts w:ascii="Arial" w:hAnsi="Arial" w:cs="Arial"/>
        </w:rPr>
      </w:pPr>
      <w:r>
        <w:rPr>
          <w:rFonts w:ascii="Arial" w:hAnsi="Arial" w:cs="Arial"/>
        </w:rPr>
        <w:t>[1</w:t>
      </w:r>
      <w:r w:rsidR="00CC3ACE">
        <w:rPr>
          <w:rFonts w:ascii="Arial" w:hAnsi="Arial" w:cs="Arial"/>
        </w:rPr>
        <w:t>3</w:t>
      </w:r>
      <w:r w:rsidR="00C919E6">
        <w:rPr>
          <w:rFonts w:ascii="Arial" w:hAnsi="Arial" w:cs="Arial"/>
        </w:rPr>
        <w:t xml:space="preserve">] </w:t>
      </w:r>
      <w:r w:rsidR="00CC3ACE">
        <w:rPr>
          <w:rFonts w:ascii="Arial" w:hAnsi="Arial" w:cs="Arial"/>
        </w:rPr>
        <w:tab/>
      </w:r>
      <w:r w:rsidR="00C919E6" w:rsidRPr="00C919E6">
        <w:rPr>
          <w:rFonts w:ascii="Arial" w:hAnsi="Arial" w:cs="Arial"/>
          <w:i/>
        </w:rPr>
        <w:t>Pegma</w:t>
      </w:r>
      <w:r w:rsidR="00190FF3">
        <w:rPr>
          <w:rFonts w:ascii="Arial" w:hAnsi="Arial" w:cs="Arial"/>
        </w:rPr>
        <w:t xml:space="preserve"> appreciated that the constitutional definition of organ of state was not the same as the statutory definition </w:t>
      </w:r>
      <w:r w:rsidR="00415F54">
        <w:rPr>
          <w:rFonts w:ascii="Arial" w:hAnsi="Arial" w:cs="Arial"/>
        </w:rPr>
        <w:t>contained in the Act</w:t>
      </w:r>
      <w:r w:rsidR="00190FF3">
        <w:rPr>
          <w:rFonts w:ascii="Arial" w:hAnsi="Arial" w:cs="Arial"/>
        </w:rPr>
        <w:t xml:space="preserve"> as the definition of the latter was more restrictive than the former. However, the court concluded</w:t>
      </w:r>
      <w:r w:rsidR="00DA7705">
        <w:rPr>
          <w:rFonts w:ascii="Arial" w:hAnsi="Arial" w:cs="Arial"/>
        </w:rPr>
        <w:t>,</w:t>
      </w:r>
      <w:r w:rsidR="00190FF3">
        <w:rPr>
          <w:rFonts w:ascii="Arial" w:hAnsi="Arial" w:cs="Arial"/>
        </w:rPr>
        <w:t xml:space="preserve"> </w:t>
      </w:r>
      <w:r w:rsidR="00190FF3" w:rsidRPr="00CC3ACE">
        <w:rPr>
          <w:rFonts w:ascii="Arial" w:hAnsi="Arial" w:cs="Arial"/>
          <w:sz w:val="20"/>
          <w:szCs w:val="20"/>
        </w:rPr>
        <w:t>“</w:t>
      </w:r>
      <w:r w:rsidR="00F53236" w:rsidRPr="00CC3ACE">
        <w:rPr>
          <w:rFonts w:ascii="Arial" w:hAnsi="Arial" w:cs="Arial"/>
          <w:i/>
          <w:sz w:val="20"/>
          <w:szCs w:val="20"/>
        </w:rPr>
        <w:t>that does not necessarily demonstrate that the lawmaker intended to restrict the constitutional provision.”</w:t>
      </w:r>
      <w:r w:rsidR="008E7077" w:rsidRPr="00F53236">
        <w:rPr>
          <w:rFonts w:ascii="Arial" w:hAnsi="Arial" w:cs="Arial"/>
          <w:i/>
        </w:rPr>
        <w:t> </w:t>
      </w:r>
      <w:r w:rsidR="00F53236">
        <w:rPr>
          <w:rFonts w:ascii="Arial" w:hAnsi="Arial" w:cs="Arial"/>
        </w:rPr>
        <w:t xml:space="preserve">Neither the Court in </w:t>
      </w:r>
      <w:r w:rsidR="00F53236" w:rsidRPr="00883FB2">
        <w:rPr>
          <w:rFonts w:ascii="Arial" w:hAnsi="Arial" w:cs="Arial"/>
          <w:i/>
        </w:rPr>
        <w:t>Pegma</w:t>
      </w:r>
      <w:r w:rsidR="00415F54">
        <w:rPr>
          <w:rFonts w:ascii="Arial" w:hAnsi="Arial" w:cs="Arial"/>
          <w:i/>
        </w:rPr>
        <w:t>,</w:t>
      </w:r>
      <w:r w:rsidR="00C919E6">
        <w:rPr>
          <w:rStyle w:val="FootnoteReference"/>
          <w:rFonts w:ascii="Arial" w:hAnsi="Arial" w:cs="Arial"/>
        </w:rPr>
        <w:footnoteReference w:id="19"/>
      </w:r>
      <w:r w:rsidR="00F53236">
        <w:rPr>
          <w:rFonts w:ascii="Arial" w:hAnsi="Arial" w:cs="Arial"/>
        </w:rPr>
        <w:t xml:space="preserve"> nor the appellant referred to</w:t>
      </w:r>
      <w:r w:rsidR="00EB4475">
        <w:rPr>
          <w:rFonts w:ascii="Arial" w:hAnsi="Arial" w:cs="Arial"/>
        </w:rPr>
        <w:t xml:space="preserve"> the principle set out in</w:t>
      </w:r>
      <w:r w:rsidR="00F53236">
        <w:rPr>
          <w:rFonts w:ascii="Arial" w:hAnsi="Arial" w:cs="Arial"/>
        </w:rPr>
        <w:t xml:space="preserve"> </w:t>
      </w:r>
      <w:r w:rsidR="00A36185">
        <w:rPr>
          <w:rFonts w:ascii="Arial" w:hAnsi="Arial" w:cs="Arial"/>
          <w:i/>
        </w:rPr>
        <w:t>Madinda</w:t>
      </w:r>
      <w:r w:rsidR="00F53236">
        <w:rPr>
          <w:rFonts w:ascii="Arial" w:hAnsi="Arial" w:cs="Arial"/>
        </w:rPr>
        <w:t>.</w:t>
      </w:r>
      <w:r w:rsidR="00F53236">
        <w:rPr>
          <w:rStyle w:val="FootnoteReference"/>
          <w:rFonts w:ascii="Arial" w:hAnsi="Arial" w:cs="Arial"/>
        </w:rPr>
        <w:footnoteReference w:id="20"/>
      </w:r>
    </w:p>
    <w:p w:rsidR="00F47F1C" w:rsidRDefault="00597261" w:rsidP="00B028B4">
      <w:pPr>
        <w:spacing w:before="240" w:after="240" w:line="360" w:lineRule="auto"/>
        <w:ind w:left="567" w:hanging="567"/>
        <w:jc w:val="both"/>
        <w:rPr>
          <w:rFonts w:ascii="Arial" w:hAnsi="Arial" w:cs="Arial"/>
        </w:rPr>
      </w:pPr>
      <w:r>
        <w:rPr>
          <w:rFonts w:ascii="Arial" w:hAnsi="Arial" w:cs="Arial"/>
        </w:rPr>
        <w:t>[1</w:t>
      </w:r>
      <w:r w:rsidR="00CC3ACE">
        <w:rPr>
          <w:rFonts w:ascii="Arial" w:hAnsi="Arial" w:cs="Arial"/>
        </w:rPr>
        <w:t>4</w:t>
      </w:r>
      <w:r w:rsidR="00DD1BB9">
        <w:rPr>
          <w:rFonts w:ascii="Arial" w:hAnsi="Arial" w:cs="Arial"/>
        </w:rPr>
        <w:t xml:space="preserve">] </w:t>
      </w:r>
      <w:r w:rsidR="00CC3ACE">
        <w:rPr>
          <w:rFonts w:ascii="Arial" w:hAnsi="Arial" w:cs="Arial"/>
        </w:rPr>
        <w:tab/>
      </w:r>
      <w:r w:rsidR="00DD1BB9">
        <w:rPr>
          <w:rFonts w:ascii="Arial" w:hAnsi="Arial" w:cs="Arial"/>
        </w:rPr>
        <w:t xml:space="preserve">In </w:t>
      </w:r>
      <w:r w:rsidR="00DD1BB9" w:rsidRPr="00DD1BB9">
        <w:rPr>
          <w:rFonts w:ascii="Arial" w:hAnsi="Arial" w:cs="Arial"/>
          <w:i/>
        </w:rPr>
        <w:t>Nicor</w:t>
      </w:r>
      <w:r w:rsidR="00DD1BB9">
        <w:rPr>
          <w:rFonts w:ascii="Arial" w:hAnsi="Arial" w:cs="Arial"/>
          <w:i/>
        </w:rPr>
        <w:t xml:space="preserve"> IT Consulting,</w:t>
      </w:r>
      <w:r w:rsidR="00DD1BB9">
        <w:rPr>
          <w:rStyle w:val="FootnoteReference"/>
          <w:rFonts w:ascii="Arial" w:hAnsi="Arial" w:cs="Arial"/>
          <w:i/>
        </w:rPr>
        <w:footnoteReference w:id="21"/>
      </w:r>
      <w:r w:rsidR="00DD1BB9">
        <w:rPr>
          <w:rFonts w:ascii="Arial" w:hAnsi="Arial" w:cs="Arial"/>
          <w:i/>
        </w:rPr>
        <w:t xml:space="preserve"> </w:t>
      </w:r>
      <w:r w:rsidR="00DD1BB9">
        <w:rPr>
          <w:rFonts w:ascii="Arial" w:hAnsi="Arial" w:cs="Arial"/>
        </w:rPr>
        <w:t>it was made clear that the Act was not intended to apply to all organs of state</w:t>
      </w:r>
      <w:r w:rsidR="005730E3">
        <w:rPr>
          <w:rFonts w:ascii="Arial" w:hAnsi="Arial" w:cs="Arial"/>
        </w:rPr>
        <w:t xml:space="preserve">. The court held that </w:t>
      </w:r>
      <w:r w:rsidR="00B72198">
        <w:rPr>
          <w:rFonts w:ascii="Arial" w:hAnsi="Arial" w:cs="Arial"/>
        </w:rPr>
        <w:t>the words “in terms of the Constitution” in section 1(1)(c) of the Act “connote that both the identity of the functionary or institution and the power or function that he, she or it exercises are identified in the Constitution itself.”</w:t>
      </w:r>
      <w:r w:rsidR="00977167">
        <w:rPr>
          <w:rStyle w:val="FootnoteReference"/>
          <w:rFonts w:ascii="Arial" w:hAnsi="Arial" w:cs="Arial"/>
        </w:rPr>
        <w:footnoteReference w:id="22"/>
      </w:r>
      <w:r w:rsidR="00E43CF7">
        <w:rPr>
          <w:rFonts w:ascii="Arial" w:hAnsi="Arial" w:cs="Arial"/>
        </w:rPr>
        <w:t xml:space="preserve"> Such power or function should arise from the Constitution itself.</w:t>
      </w:r>
      <w:r w:rsidR="00D04CDC">
        <w:rPr>
          <w:rFonts w:ascii="Arial" w:hAnsi="Arial" w:cs="Arial"/>
        </w:rPr>
        <w:t xml:space="preserve"> The defendant </w:t>
      </w:r>
      <w:r w:rsidR="00FC1108">
        <w:rPr>
          <w:rFonts w:ascii="Arial" w:hAnsi="Arial" w:cs="Arial"/>
        </w:rPr>
        <w:t xml:space="preserve">in that case </w:t>
      </w:r>
      <w:r w:rsidR="00D04CDC">
        <w:rPr>
          <w:rFonts w:ascii="Arial" w:hAnsi="Arial" w:cs="Arial"/>
        </w:rPr>
        <w:t xml:space="preserve">derived its powers and functions from </w:t>
      </w:r>
      <w:r w:rsidR="00C406FF">
        <w:rPr>
          <w:rFonts w:ascii="Arial" w:hAnsi="Arial" w:cs="Arial"/>
        </w:rPr>
        <w:t>its enabling Act, the North-West Housing Corporation Act</w:t>
      </w:r>
      <w:r w:rsidR="00F47F1C">
        <w:rPr>
          <w:rFonts w:ascii="Arial" w:hAnsi="Arial" w:cs="Arial"/>
        </w:rPr>
        <w:t>,</w:t>
      </w:r>
      <w:r w:rsidR="00C406FF">
        <w:rPr>
          <w:rFonts w:ascii="Arial" w:hAnsi="Arial" w:cs="Arial"/>
        </w:rPr>
        <w:t xml:space="preserve"> and not in terms of the Constitution. </w:t>
      </w:r>
      <w:r w:rsidR="00FC1108">
        <w:rPr>
          <w:rFonts w:ascii="Arial" w:hAnsi="Arial" w:cs="Arial"/>
        </w:rPr>
        <w:t>Consequently, the court held that the</w:t>
      </w:r>
      <w:r w:rsidR="00C406FF">
        <w:rPr>
          <w:rFonts w:ascii="Arial" w:hAnsi="Arial" w:cs="Arial"/>
        </w:rPr>
        <w:t xml:space="preserve"> defendant was not an organ of State as defined in the Act.</w:t>
      </w:r>
      <w:r w:rsidR="00FB7057">
        <w:rPr>
          <w:rStyle w:val="FootnoteReference"/>
          <w:rFonts w:ascii="Arial" w:hAnsi="Arial" w:cs="Arial"/>
        </w:rPr>
        <w:footnoteReference w:id="23"/>
      </w:r>
      <w:r w:rsidR="00FC1108">
        <w:rPr>
          <w:rFonts w:ascii="Arial" w:hAnsi="Arial" w:cs="Arial"/>
        </w:rPr>
        <w:t xml:space="preserve">  </w:t>
      </w:r>
      <w:r w:rsidR="0086333B">
        <w:rPr>
          <w:rFonts w:ascii="Arial" w:hAnsi="Arial" w:cs="Arial"/>
        </w:rPr>
        <w:t xml:space="preserve">This case is on all fours with the facts </w:t>
      </w:r>
      <w:r w:rsidR="0086333B" w:rsidRPr="00C93C17">
        <w:rPr>
          <w:rFonts w:ascii="Arial" w:hAnsi="Arial" w:cs="Arial"/>
          <w:i/>
        </w:rPr>
        <w:t>in casu.</w:t>
      </w:r>
    </w:p>
    <w:p w:rsidR="00A32F94" w:rsidRDefault="00597261" w:rsidP="00B028B4">
      <w:pPr>
        <w:spacing w:before="240" w:after="240" w:line="360" w:lineRule="auto"/>
        <w:ind w:left="567" w:hanging="567"/>
        <w:jc w:val="both"/>
        <w:rPr>
          <w:rFonts w:ascii="Arial" w:hAnsi="Arial" w:cs="Arial"/>
        </w:rPr>
      </w:pPr>
      <w:r>
        <w:rPr>
          <w:rFonts w:ascii="Arial" w:hAnsi="Arial" w:cs="Arial"/>
        </w:rPr>
        <w:t>[1</w:t>
      </w:r>
      <w:r w:rsidR="00CC3ACE">
        <w:rPr>
          <w:rFonts w:ascii="Arial" w:hAnsi="Arial" w:cs="Arial"/>
        </w:rPr>
        <w:t>5</w:t>
      </w:r>
      <w:r w:rsidR="00F47F1C">
        <w:rPr>
          <w:rFonts w:ascii="Arial" w:hAnsi="Arial" w:cs="Arial"/>
        </w:rPr>
        <w:t>]</w:t>
      </w:r>
      <w:r w:rsidR="00CC3ACE">
        <w:rPr>
          <w:rFonts w:ascii="Arial" w:hAnsi="Arial" w:cs="Arial"/>
        </w:rPr>
        <w:tab/>
      </w:r>
      <w:r w:rsidR="00530208">
        <w:rPr>
          <w:rFonts w:ascii="Arial" w:hAnsi="Arial" w:cs="Arial"/>
        </w:rPr>
        <w:t xml:space="preserve">Loubser J </w:t>
      </w:r>
      <w:r w:rsidR="005F67F7">
        <w:rPr>
          <w:rFonts w:ascii="Arial" w:hAnsi="Arial" w:cs="Arial"/>
        </w:rPr>
        <w:t>agreed</w:t>
      </w:r>
      <w:r w:rsidR="00530208">
        <w:rPr>
          <w:rFonts w:ascii="Arial" w:hAnsi="Arial" w:cs="Arial"/>
        </w:rPr>
        <w:t xml:space="preserve"> with the views held in </w:t>
      </w:r>
      <w:r w:rsidR="00E70D49" w:rsidRPr="00E70D49">
        <w:rPr>
          <w:rFonts w:ascii="Arial" w:hAnsi="Arial" w:cs="Arial"/>
          <w:i/>
        </w:rPr>
        <w:t>Haigh v Transnet</w:t>
      </w:r>
      <w:r w:rsidR="00E70D49">
        <w:rPr>
          <w:rFonts w:ascii="Arial" w:hAnsi="Arial" w:cs="Arial"/>
        </w:rPr>
        <w:t>,</w:t>
      </w:r>
      <w:r w:rsidR="00E70D49">
        <w:rPr>
          <w:rStyle w:val="FootnoteReference"/>
          <w:rFonts w:ascii="Arial" w:hAnsi="Arial" w:cs="Arial"/>
        </w:rPr>
        <w:footnoteReference w:id="24"/>
      </w:r>
      <w:r w:rsidR="00530208">
        <w:rPr>
          <w:rFonts w:ascii="Arial" w:hAnsi="Arial" w:cs="Arial"/>
        </w:rPr>
        <w:t xml:space="preserve"> that the Legislature, in enacting the definition of organ of state in the Act, clearly chose to l</w:t>
      </w:r>
      <w:r>
        <w:rPr>
          <w:rFonts w:ascii="Arial" w:hAnsi="Arial" w:cs="Arial"/>
        </w:rPr>
        <w:t>imit the group of functionaries</w:t>
      </w:r>
      <w:r w:rsidR="00530208">
        <w:rPr>
          <w:rFonts w:ascii="Arial" w:hAnsi="Arial" w:cs="Arial"/>
        </w:rPr>
        <w:t xml:space="preserve"> and institutions to which th</w:t>
      </w:r>
      <w:r w:rsidR="0086333B">
        <w:rPr>
          <w:rFonts w:ascii="Arial" w:hAnsi="Arial" w:cs="Arial"/>
        </w:rPr>
        <w:t>e</w:t>
      </w:r>
      <w:r w:rsidR="00530208">
        <w:rPr>
          <w:rFonts w:ascii="Arial" w:hAnsi="Arial" w:cs="Arial"/>
        </w:rPr>
        <w:t xml:space="preserve"> Act would apply, by not including those that performed their functions and exercised their powers other than </w:t>
      </w:r>
      <w:r w:rsidR="0086333B">
        <w:rPr>
          <w:rFonts w:ascii="Arial" w:hAnsi="Arial" w:cs="Arial"/>
        </w:rPr>
        <w:t xml:space="preserve">in terms of </w:t>
      </w:r>
      <w:r w:rsidR="00530208">
        <w:rPr>
          <w:rFonts w:ascii="Arial" w:hAnsi="Arial" w:cs="Arial"/>
        </w:rPr>
        <w:t>the Constitution or a provincial constitution.</w:t>
      </w:r>
      <w:r w:rsidR="005F67F7">
        <w:rPr>
          <w:rFonts w:ascii="Arial" w:hAnsi="Arial" w:cs="Arial"/>
        </w:rPr>
        <w:t xml:space="preserve"> The Act came into being long after the proclamation and commencement</w:t>
      </w:r>
      <w:r w:rsidR="000B37CE">
        <w:rPr>
          <w:rFonts w:ascii="Arial" w:hAnsi="Arial" w:cs="Arial"/>
        </w:rPr>
        <w:t xml:space="preserve"> of the Constitution. The legislature must be deemed aware of the wider definition of the term “organ of state” in the Constitution when it enacted the Act.</w:t>
      </w:r>
    </w:p>
    <w:p w:rsidR="000B08E8" w:rsidRPr="009D2F33" w:rsidRDefault="00CC3ACE" w:rsidP="00B028B4">
      <w:pPr>
        <w:spacing w:before="240" w:after="240" w:line="360" w:lineRule="auto"/>
        <w:ind w:left="567" w:hanging="567"/>
        <w:jc w:val="both"/>
        <w:rPr>
          <w:rFonts w:ascii="Arial" w:hAnsi="Arial" w:cs="Arial"/>
        </w:rPr>
      </w:pPr>
      <w:r>
        <w:rPr>
          <w:rFonts w:ascii="Arial" w:hAnsi="Arial" w:cs="Arial"/>
        </w:rPr>
        <w:t>[16</w:t>
      </w:r>
      <w:r w:rsidR="000B08E8">
        <w:rPr>
          <w:rFonts w:ascii="Arial" w:hAnsi="Arial" w:cs="Arial"/>
        </w:rPr>
        <w:t>] Both these decisions are in line with the</w:t>
      </w:r>
      <w:r w:rsidR="00597261">
        <w:rPr>
          <w:rFonts w:ascii="Arial" w:hAnsi="Arial" w:cs="Arial"/>
        </w:rPr>
        <w:t xml:space="preserve"> decision</w:t>
      </w:r>
      <w:r w:rsidR="0086333B">
        <w:rPr>
          <w:rFonts w:ascii="Arial" w:hAnsi="Arial" w:cs="Arial"/>
        </w:rPr>
        <w:t xml:space="preserve"> in</w:t>
      </w:r>
      <w:r w:rsidR="000B08E8" w:rsidRPr="00A277D9">
        <w:rPr>
          <w:rFonts w:ascii="Arial" w:hAnsi="Arial" w:cs="Arial"/>
          <w:i/>
        </w:rPr>
        <w:t xml:space="preserve"> </w:t>
      </w:r>
      <w:r w:rsidR="00484DD3">
        <w:rPr>
          <w:rFonts w:ascii="Arial" w:hAnsi="Arial" w:cs="Arial"/>
          <w:i/>
        </w:rPr>
        <w:t>Madinda</w:t>
      </w:r>
      <w:r w:rsidR="000B08E8">
        <w:rPr>
          <w:rFonts w:ascii="Arial" w:hAnsi="Arial" w:cs="Arial"/>
        </w:rPr>
        <w:t xml:space="preserve"> and are not distinguishable from the matter at hand. </w:t>
      </w:r>
      <w:r w:rsidR="00B622EF">
        <w:rPr>
          <w:rFonts w:ascii="Arial" w:hAnsi="Arial" w:cs="Arial"/>
        </w:rPr>
        <w:t xml:space="preserve">The appellant’s reliance on </w:t>
      </w:r>
      <w:r w:rsidR="00B622EF" w:rsidRPr="00B622EF">
        <w:rPr>
          <w:rFonts w:ascii="Arial" w:hAnsi="Arial" w:cs="Arial"/>
          <w:i/>
        </w:rPr>
        <w:t>Eskom Holdings</w:t>
      </w:r>
      <w:r w:rsidR="00B622EF">
        <w:rPr>
          <w:rStyle w:val="FootnoteReference"/>
          <w:rFonts w:ascii="Arial" w:hAnsi="Arial" w:cs="Arial"/>
          <w:i/>
        </w:rPr>
        <w:footnoteReference w:id="25"/>
      </w:r>
      <w:r w:rsidR="00B622EF">
        <w:rPr>
          <w:rFonts w:ascii="Arial" w:hAnsi="Arial" w:cs="Arial"/>
          <w:i/>
        </w:rPr>
        <w:t xml:space="preserve"> </w:t>
      </w:r>
      <w:r w:rsidR="00B622EF">
        <w:rPr>
          <w:rFonts w:ascii="Arial" w:hAnsi="Arial" w:cs="Arial"/>
        </w:rPr>
        <w:t>does not assist the appellant’s case</w:t>
      </w:r>
      <w:r w:rsidR="00595F2F">
        <w:rPr>
          <w:rFonts w:ascii="Arial" w:hAnsi="Arial" w:cs="Arial"/>
        </w:rPr>
        <w:t xml:space="preserve"> in any way</w:t>
      </w:r>
      <w:r w:rsidR="00DE0E3E">
        <w:rPr>
          <w:rFonts w:ascii="Arial" w:hAnsi="Arial" w:cs="Arial"/>
        </w:rPr>
        <w:t xml:space="preserve"> whatsoever</w:t>
      </w:r>
      <w:r w:rsidR="00595F2F">
        <w:rPr>
          <w:rFonts w:ascii="Arial" w:hAnsi="Arial" w:cs="Arial"/>
        </w:rPr>
        <w:t xml:space="preserve">. It was contended that the appellant is a national department based on the finding in </w:t>
      </w:r>
      <w:r w:rsidR="00595F2F" w:rsidRPr="00595F2F">
        <w:rPr>
          <w:rFonts w:ascii="Arial" w:hAnsi="Arial" w:cs="Arial"/>
          <w:i/>
        </w:rPr>
        <w:t>Eskom</w:t>
      </w:r>
      <w:r w:rsidR="00DE0E3E">
        <w:rPr>
          <w:rFonts w:ascii="Arial" w:hAnsi="Arial" w:cs="Arial"/>
          <w:i/>
        </w:rPr>
        <w:t xml:space="preserve"> </w:t>
      </w:r>
      <w:r w:rsidR="00DE0E3E" w:rsidRPr="00DE0E3E">
        <w:rPr>
          <w:rFonts w:ascii="Arial" w:hAnsi="Arial" w:cs="Arial"/>
          <w:i/>
        </w:rPr>
        <w:t>Holdings</w:t>
      </w:r>
      <w:r w:rsidR="00DE0E3E">
        <w:rPr>
          <w:rFonts w:ascii="Arial" w:hAnsi="Arial" w:cs="Arial"/>
        </w:rPr>
        <w:t>,</w:t>
      </w:r>
      <w:r w:rsidR="00595F2F">
        <w:rPr>
          <w:rFonts w:ascii="Arial" w:hAnsi="Arial" w:cs="Arial"/>
          <w:i/>
        </w:rPr>
        <w:t xml:space="preserve"> </w:t>
      </w:r>
      <w:r w:rsidR="00595F2F">
        <w:rPr>
          <w:rFonts w:ascii="Arial" w:hAnsi="Arial" w:cs="Arial"/>
        </w:rPr>
        <w:t>read with the finding in</w:t>
      </w:r>
      <w:r w:rsidR="00595F2F" w:rsidRPr="00595F2F">
        <w:rPr>
          <w:rFonts w:ascii="Arial" w:hAnsi="Arial" w:cs="Arial"/>
          <w:i/>
        </w:rPr>
        <w:t xml:space="preserve"> Pegma</w:t>
      </w:r>
      <w:r w:rsidR="00595F2F">
        <w:rPr>
          <w:rFonts w:ascii="Arial" w:hAnsi="Arial" w:cs="Arial"/>
        </w:rPr>
        <w:t xml:space="preserve"> that the FDC</w:t>
      </w:r>
      <w:r w:rsidR="003C295C">
        <w:rPr>
          <w:rFonts w:ascii="Arial" w:hAnsi="Arial" w:cs="Arial"/>
        </w:rPr>
        <w:t xml:space="preserve"> was an organ of state within the ambit of Section 1(1)(a) of the Act because it was an extension of the provincial Department of Finance under whose control it effectively resorted. It </w:t>
      </w:r>
      <w:r w:rsidR="0086333B">
        <w:rPr>
          <w:rFonts w:ascii="Arial" w:hAnsi="Arial" w:cs="Arial"/>
        </w:rPr>
        <w:t>i</w:t>
      </w:r>
      <w:r w:rsidR="003C295C">
        <w:rPr>
          <w:rFonts w:ascii="Arial" w:hAnsi="Arial" w:cs="Arial"/>
        </w:rPr>
        <w:t xml:space="preserve">s stated in the </w:t>
      </w:r>
      <w:r w:rsidR="003B137A">
        <w:rPr>
          <w:rFonts w:ascii="Arial" w:hAnsi="Arial" w:cs="Arial"/>
        </w:rPr>
        <w:t>court</w:t>
      </w:r>
      <w:r w:rsidR="0086333B">
        <w:rPr>
          <w:rFonts w:ascii="Arial" w:hAnsi="Arial" w:cs="Arial"/>
        </w:rPr>
        <w:t xml:space="preserve"> </w:t>
      </w:r>
      <w:r w:rsidR="0086333B" w:rsidRPr="00C93C17">
        <w:rPr>
          <w:rFonts w:ascii="Arial" w:hAnsi="Arial" w:cs="Arial"/>
          <w:i/>
        </w:rPr>
        <w:t>a quo</w:t>
      </w:r>
      <w:r w:rsidR="003B137A">
        <w:rPr>
          <w:rFonts w:ascii="Arial" w:hAnsi="Arial" w:cs="Arial"/>
        </w:rPr>
        <w:t>'s judgment</w:t>
      </w:r>
      <w:r w:rsidR="003C295C">
        <w:rPr>
          <w:rFonts w:ascii="Arial" w:hAnsi="Arial" w:cs="Arial"/>
        </w:rPr>
        <w:t xml:space="preserve"> that it was common cause between the parti</w:t>
      </w:r>
      <w:r w:rsidR="00DE0E3E">
        <w:rPr>
          <w:rFonts w:ascii="Arial" w:hAnsi="Arial" w:cs="Arial"/>
        </w:rPr>
        <w:t>es that Eskom is an organ of</w:t>
      </w:r>
      <w:r w:rsidR="003C295C">
        <w:rPr>
          <w:rFonts w:ascii="Arial" w:hAnsi="Arial" w:cs="Arial"/>
        </w:rPr>
        <w:t xml:space="preserve"> state.</w:t>
      </w:r>
      <w:r w:rsidR="009E5A78">
        <w:rPr>
          <w:rStyle w:val="FootnoteReference"/>
          <w:rFonts w:ascii="Arial" w:hAnsi="Arial" w:cs="Arial"/>
        </w:rPr>
        <w:footnoteReference w:id="26"/>
      </w:r>
      <w:r w:rsidR="003C295C">
        <w:rPr>
          <w:rFonts w:ascii="Arial" w:hAnsi="Arial" w:cs="Arial"/>
        </w:rPr>
        <w:t xml:space="preserve"> </w:t>
      </w:r>
      <w:r w:rsidR="00442201" w:rsidRPr="00442201">
        <w:rPr>
          <w:rFonts w:ascii="Arial" w:hAnsi="Arial" w:cs="Arial"/>
          <w:i/>
        </w:rPr>
        <w:t>Eskom</w:t>
      </w:r>
      <w:r w:rsidR="00442201">
        <w:rPr>
          <w:rFonts w:ascii="Arial" w:hAnsi="Arial" w:cs="Arial"/>
          <w:i/>
        </w:rPr>
        <w:t xml:space="preserve"> </w:t>
      </w:r>
      <w:r w:rsidR="00DE0E3E">
        <w:rPr>
          <w:rFonts w:ascii="Arial" w:hAnsi="Arial" w:cs="Arial"/>
          <w:i/>
        </w:rPr>
        <w:t xml:space="preserve">Holdings </w:t>
      </w:r>
      <w:r w:rsidR="00442201">
        <w:rPr>
          <w:rFonts w:ascii="Arial" w:hAnsi="Arial" w:cs="Arial"/>
        </w:rPr>
        <w:t>confirms that the appellant is an organ of state bearing constitutional duties, but</w:t>
      </w:r>
      <w:r w:rsidR="00DE0E3E">
        <w:rPr>
          <w:rFonts w:ascii="Arial" w:hAnsi="Arial" w:cs="Arial"/>
        </w:rPr>
        <w:t xml:space="preserve"> does not serve as</w:t>
      </w:r>
      <w:r w:rsidR="00442201">
        <w:rPr>
          <w:rFonts w:ascii="Arial" w:hAnsi="Arial" w:cs="Arial"/>
        </w:rPr>
        <w:t xml:space="preserve"> authority that the appellant is performing a function in terms of the Constitution.</w:t>
      </w:r>
      <w:r w:rsidR="009D2F33">
        <w:rPr>
          <w:rFonts w:ascii="Arial" w:hAnsi="Arial" w:cs="Arial"/>
        </w:rPr>
        <w:t xml:space="preserve"> Rampai J stated in</w:t>
      </w:r>
      <w:r w:rsidR="009D2F33" w:rsidRPr="009D2F33">
        <w:rPr>
          <w:rFonts w:ascii="Arial" w:hAnsi="Arial" w:cs="Arial"/>
          <w:i/>
        </w:rPr>
        <w:t xml:space="preserve"> Pegma</w:t>
      </w:r>
      <w:r w:rsidR="009D2F33">
        <w:rPr>
          <w:rFonts w:ascii="Arial" w:hAnsi="Arial" w:cs="Arial"/>
          <w:i/>
        </w:rPr>
        <w:t xml:space="preserve"> </w:t>
      </w:r>
      <w:r w:rsidR="009D2F33">
        <w:rPr>
          <w:rFonts w:ascii="Arial" w:hAnsi="Arial" w:cs="Arial"/>
        </w:rPr>
        <w:t>that what was required by section 1(1)(c) of the Act was that the function performed must be a function specified in the Act.</w:t>
      </w:r>
      <w:r w:rsidR="009D2F33">
        <w:rPr>
          <w:rStyle w:val="FootnoteReference"/>
          <w:rFonts w:ascii="Arial" w:hAnsi="Arial" w:cs="Arial"/>
        </w:rPr>
        <w:footnoteReference w:id="27"/>
      </w:r>
      <w:r w:rsidR="00143632">
        <w:rPr>
          <w:rFonts w:ascii="Arial" w:hAnsi="Arial" w:cs="Arial"/>
        </w:rPr>
        <w:t xml:space="preserve"> The Constitution does not refer to the appellant</w:t>
      </w:r>
      <w:r w:rsidR="003B137A">
        <w:rPr>
          <w:rFonts w:ascii="Arial" w:hAnsi="Arial" w:cs="Arial"/>
        </w:rPr>
        <w:t xml:space="preserve"> by name or</w:t>
      </w:r>
      <w:r w:rsidR="00143632">
        <w:rPr>
          <w:rFonts w:ascii="Arial" w:hAnsi="Arial" w:cs="Arial"/>
        </w:rPr>
        <w:t xml:space="preserve"> function.</w:t>
      </w:r>
    </w:p>
    <w:p w:rsidR="00442201" w:rsidRDefault="00CC3ACE" w:rsidP="00143632">
      <w:pPr>
        <w:spacing w:before="240" w:after="240" w:line="360" w:lineRule="auto"/>
        <w:ind w:left="567" w:hanging="567"/>
        <w:jc w:val="both"/>
        <w:rPr>
          <w:rFonts w:ascii="Arial" w:hAnsi="Arial" w:cs="Arial"/>
        </w:rPr>
      </w:pPr>
      <w:r>
        <w:rPr>
          <w:rFonts w:ascii="Arial" w:hAnsi="Arial" w:cs="Arial"/>
        </w:rPr>
        <w:t>[17</w:t>
      </w:r>
      <w:r w:rsidR="00442201">
        <w:rPr>
          <w:rFonts w:ascii="Arial" w:hAnsi="Arial" w:cs="Arial"/>
        </w:rPr>
        <w:t xml:space="preserve">] </w:t>
      </w:r>
      <w:r>
        <w:rPr>
          <w:rFonts w:ascii="Arial" w:hAnsi="Arial" w:cs="Arial"/>
        </w:rPr>
        <w:tab/>
      </w:r>
      <w:r w:rsidR="00774B7C">
        <w:rPr>
          <w:rFonts w:ascii="Arial" w:hAnsi="Arial" w:cs="Arial"/>
        </w:rPr>
        <w:t xml:space="preserve">The court </w:t>
      </w:r>
      <w:r w:rsidR="00774B7C" w:rsidRPr="00C93C17">
        <w:rPr>
          <w:rFonts w:ascii="Arial" w:hAnsi="Arial" w:cs="Arial"/>
          <w:i/>
        </w:rPr>
        <w:t>a quo</w:t>
      </w:r>
      <w:r w:rsidR="00774B7C">
        <w:rPr>
          <w:rFonts w:ascii="Arial" w:hAnsi="Arial" w:cs="Arial"/>
        </w:rPr>
        <w:t xml:space="preserve"> found</w:t>
      </w:r>
      <w:r w:rsidR="001C2F9E">
        <w:rPr>
          <w:rFonts w:ascii="Arial" w:hAnsi="Arial" w:cs="Arial"/>
        </w:rPr>
        <w:t>, and correctly so,</w:t>
      </w:r>
      <w:r w:rsidR="00774B7C">
        <w:rPr>
          <w:rFonts w:ascii="Arial" w:hAnsi="Arial" w:cs="Arial"/>
        </w:rPr>
        <w:t xml:space="preserve"> that the present case was distinguishable from</w:t>
      </w:r>
      <w:r w:rsidR="00774B7C" w:rsidRPr="00774B7C">
        <w:rPr>
          <w:rFonts w:ascii="Arial" w:hAnsi="Arial" w:cs="Arial"/>
          <w:i/>
        </w:rPr>
        <w:t xml:space="preserve"> Pegma</w:t>
      </w:r>
      <w:r w:rsidR="00774B7C">
        <w:rPr>
          <w:rFonts w:ascii="Arial" w:hAnsi="Arial" w:cs="Arial"/>
          <w:i/>
        </w:rPr>
        <w:t xml:space="preserve"> </w:t>
      </w:r>
      <w:r w:rsidR="00774B7C">
        <w:rPr>
          <w:rFonts w:ascii="Arial" w:hAnsi="Arial" w:cs="Arial"/>
        </w:rPr>
        <w:t xml:space="preserve">as there was </w:t>
      </w:r>
      <w:r w:rsidR="001C2F9E">
        <w:rPr>
          <w:rFonts w:ascii="Arial" w:hAnsi="Arial" w:cs="Arial"/>
        </w:rPr>
        <w:t>no indication</w:t>
      </w:r>
      <w:r w:rsidR="00774B7C">
        <w:rPr>
          <w:rFonts w:ascii="Arial" w:hAnsi="Arial" w:cs="Arial"/>
        </w:rPr>
        <w:t xml:space="preserve"> nor evidence at its disposal that the appellant was in the full control of a national or provincial department</w:t>
      </w:r>
      <w:r w:rsidR="00751804">
        <w:rPr>
          <w:rFonts w:ascii="Arial" w:hAnsi="Arial" w:cs="Arial"/>
        </w:rPr>
        <w:t xml:space="preserve"> and was an extension of such department</w:t>
      </w:r>
      <w:r w:rsidR="001C2F9E">
        <w:rPr>
          <w:rFonts w:ascii="Arial" w:hAnsi="Arial" w:cs="Arial"/>
        </w:rPr>
        <w:t xml:space="preserve">. </w:t>
      </w:r>
      <w:r w:rsidR="003B137A">
        <w:rPr>
          <w:rFonts w:ascii="Arial" w:hAnsi="Arial" w:cs="Arial"/>
        </w:rPr>
        <w:t>The</w:t>
      </w:r>
      <w:r w:rsidR="001C2F9E">
        <w:rPr>
          <w:rFonts w:ascii="Arial" w:hAnsi="Arial" w:cs="Arial"/>
        </w:rPr>
        <w:t xml:space="preserve"> appellant performs its functions in terms of the Eskom Conversion Act</w:t>
      </w:r>
      <w:r w:rsidR="00327F50">
        <w:rPr>
          <w:rStyle w:val="FootnoteReference"/>
          <w:rFonts w:ascii="Arial" w:hAnsi="Arial" w:cs="Arial"/>
        </w:rPr>
        <w:footnoteReference w:id="28"/>
      </w:r>
      <w:r w:rsidR="001C2F9E">
        <w:rPr>
          <w:rFonts w:ascii="Arial" w:hAnsi="Arial" w:cs="Arial"/>
        </w:rPr>
        <w:t xml:space="preserve"> and the Electricity Regulation Act.</w:t>
      </w:r>
      <w:r w:rsidR="00327F50">
        <w:rPr>
          <w:rStyle w:val="FootnoteReference"/>
          <w:rFonts w:ascii="Arial" w:hAnsi="Arial" w:cs="Arial"/>
        </w:rPr>
        <w:footnoteReference w:id="29"/>
      </w:r>
      <w:r w:rsidR="00A277D9">
        <w:rPr>
          <w:rFonts w:ascii="Arial" w:hAnsi="Arial" w:cs="Arial"/>
        </w:rPr>
        <w:t xml:space="preserve"> Section 1(1)(g) does not apply</w:t>
      </w:r>
      <w:r w:rsidR="00F64E1F">
        <w:rPr>
          <w:rFonts w:ascii="Arial" w:hAnsi="Arial" w:cs="Arial"/>
        </w:rPr>
        <w:t xml:space="preserve"> as, contrary to the appellant’s su</w:t>
      </w:r>
      <w:r w:rsidR="00597261">
        <w:rPr>
          <w:rFonts w:ascii="Arial" w:hAnsi="Arial" w:cs="Arial"/>
        </w:rPr>
        <w:t>bmissions, there is no indication that it does</w:t>
      </w:r>
      <w:r w:rsidR="00F64E1F">
        <w:rPr>
          <w:rFonts w:ascii="Arial" w:hAnsi="Arial" w:cs="Arial"/>
        </w:rPr>
        <w:t>.</w:t>
      </w:r>
    </w:p>
    <w:p w:rsidR="00E903C7" w:rsidRDefault="00E903C7" w:rsidP="00143632">
      <w:pPr>
        <w:spacing w:before="240" w:after="240" w:line="360" w:lineRule="auto"/>
        <w:ind w:left="567" w:hanging="567"/>
        <w:jc w:val="both"/>
        <w:rPr>
          <w:rFonts w:ascii="Arial" w:hAnsi="Arial" w:cs="Arial"/>
        </w:rPr>
      </w:pPr>
      <w:r>
        <w:rPr>
          <w:rFonts w:ascii="Arial" w:hAnsi="Arial" w:cs="Arial"/>
        </w:rPr>
        <w:t>[1</w:t>
      </w:r>
      <w:r w:rsidR="00CC3ACE">
        <w:rPr>
          <w:rFonts w:ascii="Arial" w:hAnsi="Arial" w:cs="Arial"/>
        </w:rPr>
        <w:t>8</w:t>
      </w:r>
      <w:r>
        <w:rPr>
          <w:rFonts w:ascii="Arial" w:hAnsi="Arial" w:cs="Arial"/>
        </w:rPr>
        <w:t xml:space="preserve">] </w:t>
      </w:r>
      <w:r w:rsidR="00CC3ACE">
        <w:rPr>
          <w:rFonts w:ascii="Arial" w:hAnsi="Arial" w:cs="Arial"/>
        </w:rPr>
        <w:tab/>
      </w:r>
      <w:r w:rsidR="00462124">
        <w:rPr>
          <w:rFonts w:ascii="Arial" w:hAnsi="Arial" w:cs="Arial"/>
        </w:rPr>
        <w:t xml:space="preserve">In the premises, the reasoning in </w:t>
      </w:r>
      <w:r w:rsidR="00462124" w:rsidRPr="00462124">
        <w:rPr>
          <w:rFonts w:ascii="Arial" w:hAnsi="Arial" w:cs="Arial"/>
          <w:i/>
        </w:rPr>
        <w:t>Pegma</w:t>
      </w:r>
      <w:r w:rsidR="00462124">
        <w:rPr>
          <w:rFonts w:ascii="Arial" w:hAnsi="Arial" w:cs="Arial"/>
          <w:i/>
        </w:rPr>
        <w:t xml:space="preserve"> </w:t>
      </w:r>
      <w:r w:rsidR="00462124">
        <w:rPr>
          <w:rFonts w:ascii="Arial" w:hAnsi="Arial" w:cs="Arial"/>
        </w:rPr>
        <w:t xml:space="preserve">was wrong in finding that the FDC was an organ of state within the </w:t>
      </w:r>
      <w:r w:rsidR="00F57C69">
        <w:rPr>
          <w:rFonts w:ascii="Arial" w:hAnsi="Arial" w:cs="Arial"/>
        </w:rPr>
        <w:t>Act's meaning and should not be</w:t>
      </w:r>
      <w:r w:rsidR="00462124">
        <w:rPr>
          <w:rFonts w:ascii="Arial" w:hAnsi="Arial" w:cs="Arial"/>
        </w:rPr>
        <w:t xml:space="preserve"> followed.</w:t>
      </w:r>
      <w:r w:rsidR="00135EA8">
        <w:rPr>
          <w:rFonts w:ascii="Arial" w:hAnsi="Arial" w:cs="Arial"/>
        </w:rPr>
        <w:t xml:space="preserve"> The appeal should therefore fail.</w:t>
      </w:r>
    </w:p>
    <w:p w:rsidR="00135EA8" w:rsidRDefault="00CC3ACE" w:rsidP="00143632">
      <w:pPr>
        <w:spacing w:before="240" w:after="240" w:line="360" w:lineRule="auto"/>
        <w:ind w:left="567" w:hanging="567"/>
        <w:jc w:val="both"/>
        <w:rPr>
          <w:rFonts w:ascii="Arial" w:hAnsi="Arial" w:cs="Arial"/>
        </w:rPr>
      </w:pPr>
      <w:r>
        <w:rPr>
          <w:rFonts w:ascii="Arial" w:hAnsi="Arial" w:cs="Arial"/>
        </w:rPr>
        <w:t>[19</w:t>
      </w:r>
      <w:r w:rsidR="00135EA8">
        <w:rPr>
          <w:rFonts w:ascii="Arial" w:hAnsi="Arial" w:cs="Arial"/>
        </w:rPr>
        <w:t xml:space="preserve">] </w:t>
      </w:r>
      <w:r>
        <w:rPr>
          <w:rFonts w:ascii="Arial" w:hAnsi="Arial" w:cs="Arial"/>
        </w:rPr>
        <w:tab/>
      </w:r>
      <w:r w:rsidR="00135EA8">
        <w:rPr>
          <w:rFonts w:ascii="Arial" w:hAnsi="Arial" w:cs="Arial"/>
        </w:rPr>
        <w:t>The costs should follow the event.</w:t>
      </w:r>
    </w:p>
    <w:p w:rsidR="00135EA8" w:rsidRDefault="00CC3ACE" w:rsidP="00143632">
      <w:pPr>
        <w:spacing w:before="240" w:after="240" w:line="360" w:lineRule="auto"/>
        <w:ind w:left="567" w:hanging="567"/>
        <w:jc w:val="both"/>
        <w:rPr>
          <w:rFonts w:ascii="Arial" w:hAnsi="Arial" w:cs="Arial"/>
        </w:rPr>
      </w:pPr>
      <w:r>
        <w:rPr>
          <w:rFonts w:ascii="Arial" w:hAnsi="Arial" w:cs="Arial"/>
        </w:rPr>
        <w:t>[20</w:t>
      </w:r>
      <w:r w:rsidR="003B137A">
        <w:rPr>
          <w:rFonts w:ascii="Arial" w:hAnsi="Arial" w:cs="Arial"/>
        </w:rPr>
        <w:t xml:space="preserve">] </w:t>
      </w:r>
      <w:r>
        <w:rPr>
          <w:rFonts w:ascii="Arial" w:hAnsi="Arial" w:cs="Arial"/>
        </w:rPr>
        <w:tab/>
      </w:r>
      <w:r w:rsidR="003B137A">
        <w:rPr>
          <w:rFonts w:ascii="Arial" w:hAnsi="Arial" w:cs="Arial"/>
        </w:rPr>
        <w:t>I therefore p</w:t>
      </w:r>
      <w:r w:rsidR="00135EA8">
        <w:rPr>
          <w:rFonts w:ascii="Arial" w:hAnsi="Arial" w:cs="Arial"/>
        </w:rPr>
        <w:t>ropose the following order:</w:t>
      </w:r>
    </w:p>
    <w:p w:rsidR="00CC3ACE" w:rsidRPr="00CC3ACE" w:rsidRDefault="00CC3ACE" w:rsidP="00143632">
      <w:pPr>
        <w:spacing w:before="240" w:after="240" w:line="360" w:lineRule="auto"/>
        <w:ind w:left="567" w:hanging="567"/>
        <w:jc w:val="both"/>
        <w:rPr>
          <w:rFonts w:ascii="Arial" w:hAnsi="Arial" w:cs="Arial"/>
          <w:b/>
          <w:u w:val="single"/>
        </w:rPr>
      </w:pPr>
      <w:r>
        <w:rPr>
          <w:rFonts w:ascii="Arial" w:hAnsi="Arial" w:cs="Arial"/>
          <w:b/>
          <w:u w:val="single"/>
        </w:rPr>
        <w:t>Order:</w:t>
      </w:r>
    </w:p>
    <w:p w:rsidR="001841E7" w:rsidRPr="00FE78B0" w:rsidRDefault="00135EA8" w:rsidP="00C31596">
      <w:pPr>
        <w:spacing w:before="240" w:after="240" w:line="360" w:lineRule="auto"/>
        <w:ind w:left="567" w:hanging="567"/>
        <w:jc w:val="both"/>
        <w:rPr>
          <w:rFonts w:ascii="Arial" w:hAnsi="Arial" w:cs="Arial"/>
        </w:rPr>
      </w:pPr>
      <w:r>
        <w:rPr>
          <w:rFonts w:ascii="Arial" w:hAnsi="Arial" w:cs="Arial"/>
        </w:rPr>
        <w:t xml:space="preserve">1. </w:t>
      </w:r>
      <w:r w:rsidR="00CC3ACE">
        <w:rPr>
          <w:rFonts w:ascii="Arial" w:hAnsi="Arial" w:cs="Arial"/>
        </w:rPr>
        <w:tab/>
      </w:r>
      <w:r>
        <w:rPr>
          <w:rFonts w:ascii="Arial" w:hAnsi="Arial" w:cs="Arial"/>
        </w:rPr>
        <w:t xml:space="preserve">The appeal is dismissed with costs, including the costs of the appellant’s </w:t>
      </w:r>
      <w:r w:rsidR="003B137A">
        <w:rPr>
          <w:rFonts w:ascii="Arial" w:hAnsi="Arial" w:cs="Arial"/>
        </w:rPr>
        <w:t>application for leave to appeal a</w:t>
      </w:r>
      <w:r>
        <w:rPr>
          <w:rFonts w:ascii="Arial" w:hAnsi="Arial" w:cs="Arial"/>
        </w:rPr>
        <w:t>nd the costs of the respondents’</w:t>
      </w:r>
      <w:r w:rsidR="003B137A">
        <w:rPr>
          <w:rFonts w:ascii="Arial" w:hAnsi="Arial" w:cs="Arial"/>
        </w:rPr>
        <w:t xml:space="preserve"> </w:t>
      </w:r>
      <w:r w:rsidR="00173A4B">
        <w:rPr>
          <w:rFonts w:ascii="Arial" w:hAnsi="Arial" w:cs="Arial"/>
        </w:rPr>
        <w:t>employment of senior counsel</w:t>
      </w:r>
      <w:r w:rsidR="003B137A">
        <w:rPr>
          <w:rFonts w:ascii="Arial" w:hAnsi="Arial" w:cs="Arial"/>
        </w:rPr>
        <w:t>.</w:t>
      </w:r>
      <w:r w:rsidR="00C31596">
        <w:rPr>
          <w:rFonts w:ascii="Arial" w:hAnsi="Arial" w:cs="Arial"/>
        </w:rPr>
        <w:t xml:space="preserve"> </w:t>
      </w:r>
    </w:p>
    <w:p w:rsidR="00CC3ACE" w:rsidRDefault="00CC3ACE" w:rsidP="0035047C">
      <w:pPr>
        <w:pStyle w:val="ListParagraph"/>
        <w:ind w:left="5761"/>
        <w:jc w:val="right"/>
        <w:rPr>
          <w:rFonts w:ascii="Arial" w:hAnsi="Arial" w:cs="Arial"/>
          <w:sz w:val="28"/>
          <w:szCs w:val="28"/>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F46992" w:rsidRDefault="00F46992" w:rsidP="0035047C">
      <w:pPr>
        <w:jc w:val="right"/>
        <w:rPr>
          <w:rFonts w:ascii="Arial" w:hAnsi="Arial" w:cs="Arial"/>
        </w:rPr>
      </w:pPr>
    </w:p>
    <w:p w:rsidR="00F46992" w:rsidRDefault="00F46992" w:rsidP="0035047C">
      <w:pPr>
        <w:jc w:val="right"/>
        <w:rPr>
          <w:rFonts w:ascii="Arial" w:hAnsi="Arial" w:cs="Arial"/>
        </w:rPr>
      </w:pPr>
    </w:p>
    <w:p w:rsidR="00F46992" w:rsidRDefault="00F46992" w:rsidP="00F46992">
      <w:pPr>
        <w:rPr>
          <w:rFonts w:ascii="Arial" w:hAnsi="Arial" w:cs="Arial"/>
          <w:i/>
        </w:rPr>
      </w:pPr>
      <w:r>
        <w:rPr>
          <w:rFonts w:ascii="Arial" w:hAnsi="Arial" w:cs="Arial"/>
          <w:i/>
        </w:rPr>
        <w:t xml:space="preserve">I concur, </w:t>
      </w:r>
    </w:p>
    <w:p w:rsidR="00F46992" w:rsidRDefault="00F46992" w:rsidP="00F46992">
      <w:pPr>
        <w:rPr>
          <w:rFonts w:ascii="Arial" w:hAnsi="Arial" w:cs="Arial"/>
          <w:i/>
        </w:rPr>
      </w:pPr>
    </w:p>
    <w:p w:rsidR="00F46992" w:rsidRDefault="00F46992" w:rsidP="00F46992">
      <w:pPr>
        <w:rPr>
          <w:rFonts w:ascii="Arial" w:hAnsi="Arial" w:cs="Arial"/>
          <w:i/>
        </w:rPr>
      </w:pPr>
    </w:p>
    <w:p w:rsidR="00F46992" w:rsidRDefault="00F46992" w:rsidP="00F46992">
      <w:pPr>
        <w:pStyle w:val="ListParagraph"/>
        <w:ind w:left="5761"/>
        <w:jc w:val="right"/>
        <w:rPr>
          <w:rFonts w:ascii="Arial" w:hAnsi="Arial" w:cs="Arial"/>
          <w:sz w:val="28"/>
          <w:szCs w:val="28"/>
        </w:rPr>
      </w:pPr>
      <w:r>
        <w:rPr>
          <w:rFonts w:ascii="Arial" w:hAnsi="Arial" w:cs="Arial"/>
          <w:sz w:val="28"/>
          <w:szCs w:val="28"/>
        </w:rPr>
        <w:t>_________________</w:t>
      </w:r>
    </w:p>
    <w:p w:rsidR="00F46992" w:rsidRPr="00F46992" w:rsidRDefault="00F46992" w:rsidP="00F46992">
      <w:pPr>
        <w:jc w:val="right"/>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C3ACE">
        <w:rPr>
          <w:rFonts w:ascii="Arial" w:hAnsi="Arial" w:cs="Arial"/>
          <w:b/>
        </w:rPr>
        <w:t>DAFFUE</w:t>
      </w:r>
      <w:r>
        <w:rPr>
          <w:rFonts w:ascii="Arial" w:hAnsi="Arial" w:cs="Arial"/>
          <w:b/>
          <w:bCs/>
        </w:rPr>
        <w:t>,</w:t>
      </w:r>
      <w:r w:rsidRPr="002B369A">
        <w:rPr>
          <w:rFonts w:ascii="Arial" w:hAnsi="Arial" w:cs="Arial"/>
          <w:b/>
          <w:bCs/>
        </w:rPr>
        <w:t xml:space="preserve"> J</w:t>
      </w:r>
    </w:p>
    <w:p w:rsidR="005835FE" w:rsidRPr="00C20DEE" w:rsidRDefault="005835FE" w:rsidP="005B271F">
      <w:pPr>
        <w:spacing w:line="360" w:lineRule="auto"/>
        <w:jc w:val="both"/>
        <w:rPr>
          <w:rFonts w:ascii="Arial" w:hAnsi="Arial" w:cs="Arial"/>
        </w:rPr>
      </w:pPr>
    </w:p>
    <w:p w:rsidR="00F46992" w:rsidRDefault="00F46992" w:rsidP="00E5549C">
      <w:pPr>
        <w:spacing w:line="360" w:lineRule="auto"/>
        <w:ind w:left="851" w:hanging="851"/>
        <w:rPr>
          <w:rFonts w:ascii="Arial" w:hAnsi="Arial" w:cs="Arial"/>
          <w:color w:val="000000" w:themeColor="text1"/>
        </w:rPr>
      </w:pPr>
    </w:p>
    <w:p w:rsidR="00F46992" w:rsidRPr="00C31596" w:rsidRDefault="00C31596" w:rsidP="00E5549C">
      <w:pPr>
        <w:spacing w:line="360" w:lineRule="auto"/>
        <w:ind w:left="851" w:hanging="851"/>
        <w:rPr>
          <w:rFonts w:ascii="Arial" w:hAnsi="Arial" w:cs="Arial"/>
          <w:i/>
          <w:color w:val="000000" w:themeColor="text1"/>
        </w:rPr>
      </w:pPr>
      <w:r w:rsidRPr="00C31596">
        <w:rPr>
          <w:rFonts w:ascii="Arial" w:hAnsi="Arial" w:cs="Arial"/>
          <w:i/>
          <w:color w:val="000000" w:themeColor="text1"/>
        </w:rPr>
        <w:t>I concur</w:t>
      </w:r>
    </w:p>
    <w:p w:rsidR="00CC3ACE" w:rsidRDefault="00CC3ACE" w:rsidP="00E5549C">
      <w:pPr>
        <w:spacing w:line="360" w:lineRule="auto"/>
        <w:ind w:left="851" w:hanging="851"/>
        <w:rPr>
          <w:rFonts w:ascii="Arial" w:hAnsi="Arial" w:cs="Arial"/>
          <w:b/>
          <w:color w:val="000000" w:themeColor="text1"/>
        </w:rPr>
      </w:pPr>
    </w:p>
    <w:p w:rsidR="00CC3ACE" w:rsidRDefault="00CC3ACE" w:rsidP="00CC3ACE">
      <w:pPr>
        <w:pStyle w:val="ListParagraph"/>
        <w:ind w:left="5761"/>
        <w:jc w:val="right"/>
        <w:rPr>
          <w:rFonts w:ascii="Arial" w:hAnsi="Arial" w:cs="Arial"/>
          <w:sz w:val="28"/>
          <w:szCs w:val="28"/>
        </w:rPr>
      </w:pPr>
      <w:r>
        <w:rPr>
          <w:rFonts w:ascii="Arial" w:hAnsi="Arial" w:cs="Arial"/>
          <w:sz w:val="28"/>
          <w:szCs w:val="28"/>
        </w:rPr>
        <w:t>_________________</w:t>
      </w:r>
    </w:p>
    <w:p w:rsidR="00CC3ACE" w:rsidRPr="002B369A" w:rsidRDefault="00CC3ACE" w:rsidP="00CC3ACE">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MGUDLWA</w:t>
      </w:r>
      <w:r>
        <w:rPr>
          <w:rFonts w:ascii="Arial" w:hAnsi="Arial" w:cs="Arial"/>
          <w:b/>
          <w:bCs/>
        </w:rPr>
        <w:t>,</w:t>
      </w:r>
      <w:r w:rsidRPr="002B369A">
        <w:rPr>
          <w:rFonts w:ascii="Arial" w:hAnsi="Arial" w:cs="Arial"/>
          <w:b/>
          <w:bCs/>
        </w:rPr>
        <w:t xml:space="preserve"> </w:t>
      </w:r>
      <w:r>
        <w:rPr>
          <w:rFonts w:ascii="Arial" w:hAnsi="Arial" w:cs="Arial"/>
          <w:b/>
          <w:bCs/>
        </w:rPr>
        <w:t>A</w:t>
      </w:r>
      <w:r w:rsidRPr="002B369A">
        <w:rPr>
          <w:rFonts w:ascii="Arial" w:hAnsi="Arial" w:cs="Arial"/>
          <w:b/>
          <w:bCs/>
        </w:rPr>
        <w:t>J</w:t>
      </w:r>
    </w:p>
    <w:p w:rsidR="00F46992" w:rsidRPr="009E00A1" w:rsidRDefault="00C31596" w:rsidP="00CC3ACE">
      <w:pPr>
        <w:spacing w:line="360" w:lineRule="auto"/>
        <w:ind w:left="851" w:hanging="851"/>
        <w:jc w:val="right"/>
        <w:rPr>
          <w:rFonts w:ascii="Arial" w:hAnsi="Arial" w:cs="Arial"/>
          <w:b/>
          <w:color w:val="000000" w:themeColor="text1"/>
          <w:u w:val="single"/>
        </w:rPr>
      </w:pPr>
      <w:r w:rsidRPr="009E00A1">
        <w:rPr>
          <w:rFonts w:ascii="Arial" w:hAnsi="Arial" w:cs="Arial"/>
          <w:b/>
          <w:color w:val="000000" w:themeColor="text1"/>
        </w:rPr>
        <w:t xml:space="preserve">                                                  </w:t>
      </w:r>
    </w:p>
    <w:p w:rsidR="00F46992" w:rsidRDefault="00F46992" w:rsidP="00E5549C">
      <w:pPr>
        <w:spacing w:line="360" w:lineRule="auto"/>
        <w:ind w:left="851" w:hanging="851"/>
        <w:rPr>
          <w:rFonts w:ascii="Arial" w:hAnsi="Arial" w:cs="Arial"/>
          <w:color w:val="000000" w:themeColor="text1"/>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B724C2">
        <w:rPr>
          <w:rFonts w:ascii="Arial" w:hAnsi="Arial" w:cs="Arial"/>
          <w:color w:val="000000" w:themeColor="text1"/>
        </w:rPr>
        <w:t>appellant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9A69BA">
        <w:rPr>
          <w:rFonts w:ascii="Arial" w:hAnsi="Arial" w:cs="Arial"/>
          <w:color w:val="000000" w:themeColor="text1"/>
        </w:rPr>
        <w:t>Adv.</w:t>
      </w:r>
      <w:r w:rsidR="00B724C2">
        <w:rPr>
          <w:rFonts w:ascii="Arial" w:hAnsi="Arial" w:cs="Arial"/>
          <w:color w:val="000000" w:themeColor="text1"/>
        </w:rPr>
        <w:t xml:space="preserve"> C Snyman</w:t>
      </w:r>
      <w:r w:rsidR="009A69BA">
        <w:rPr>
          <w:rFonts w:ascii="Arial" w:hAnsi="Arial" w:cs="Arial"/>
          <w:color w:val="000000" w:themeColor="text1"/>
        </w:rPr>
        <w:t xml:space="preserve"> </w:t>
      </w:r>
    </w:p>
    <w:p w:rsidR="00E5549C" w:rsidRDefault="005960F0"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B724C2">
        <w:rPr>
          <w:rFonts w:ascii="Arial" w:hAnsi="Arial" w:cs="Arial"/>
          <w:color w:val="000000" w:themeColor="text1"/>
        </w:rPr>
        <w:t>Phatsoane Henney</w:t>
      </w:r>
      <w:r w:rsidR="00F46992">
        <w:rPr>
          <w:rFonts w:ascii="Arial" w:hAnsi="Arial" w:cs="Arial"/>
          <w:color w:val="000000" w:themeColor="text1"/>
        </w:rPr>
        <w:t xml:space="preserve"> Attorneys </w:t>
      </w:r>
    </w:p>
    <w:p w:rsidR="00F46992"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F46992">
        <w:rPr>
          <w:rFonts w:ascii="Arial" w:hAnsi="Arial" w:cs="Arial"/>
          <w:color w:val="000000" w:themeColor="text1"/>
        </w:rPr>
        <w:t xml:space="preserve"> </w:t>
      </w:r>
      <w:r w:rsidR="00B724C2">
        <w:rPr>
          <w:rFonts w:ascii="Arial" w:hAnsi="Arial" w:cs="Arial"/>
          <w:color w:val="000000" w:themeColor="text1"/>
        </w:rPr>
        <w:t>35 Markgraaff</w:t>
      </w:r>
      <w:r w:rsidR="00F46992">
        <w:rPr>
          <w:rFonts w:ascii="Arial" w:hAnsi="Arial" w:cs="Arial"/>
          <w:color w:val="000000" w:themeColor="text1"/>
        </w:rPr>
        <w:t xml:space="preserve"> </w:t>
      </w:r>
      <w:r w:rsidR="009A69BA">
        <w:rPr>
          <w:rFonts w:ascii="Arial" w:hAnsi="Arial" w:cs="Arial"/>
          <w:color w:val="000000" w:themeColor="text1"/>
        </w:rPr>
        <w:t>Street</w:t>
      </w:r>
      <w:r w:rsidR="00F46992">
        <w:rPr>
          <w:rFonts w:ascii="Arial" w:hAnsi="Arial" w:cs="Arial"/>
          <w:color w:val="000000" w:themeColor="text1"/>
        </w:rPr>
        <w:tab/>
        <w:t xml:space="preserve">                               </w:t>
      </w:r>
    </w:p>
    <w:p w:rsidR="00C20DEE" w:rsidRPr="00C20DEE" w:rsidRDefault="00C20DEE"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F46992">
        <w:rPr>
          <w:rFonts w:ascii="Arial" w:hAnsi="Arial" w:cs="Arial"/>
          <w:color w:val="000000" w:themeColor="text1"/>
        </w:rPr>
        <w:t xml:space="preserve"> </w:t>
      </w:r>
      <w:r w:rsidR="00804DDE">
        <w:rPr>
          <w:rFonts w:ascii="Arial" w:hAnsi="Arial" w:cs="Arial"/>
          <w:color w:val="000000" w:themeColor="text1"/>
        </w:rPr>
        <w:t>W</w:t>
      </w:r>
      <w:r w:rsidR="009A69BA">
        <w:rPr>
          <w:rFonts w:ascii="Arial" w:hAnsi="Arial" w:cs="Arial"/>
          <w:color w:val="000000" w:themeColor="text1"/>
        </w:rPr>
        <w:t>estdene</w:t>
      </w:r>
      <w:r w:rsidR="005B56EE">
        <w:rPr>
          <w:rFonts w:ascii="Arial" w:hAnsi="Arial" w:cs="Arial"/>
          <w:color w:val="000000" w:themeColor="text1"/>
        </w:rPr>
        <w:t xml:space="preserve"> </w:t>
      </w:r>
      <w:r w:rsidRPr="00C20DEE">
        <w:rPr>
          <w:rFonts w:ascii="Arial" w:hAnsi="Arial" w:cs="Arial"/>
          <w:color w:val="000000" w:themeColor="text1"/>
        </w:rPr>
        <w:t xml:space="preserve"> </w:t>
      </w:r>
    </w:p>
    <w:p w:rsidR="00E5481E" w:rsidRPr="00C20DEE" w:rsidRDefault="00F24BE3" w:rsidP="009E06E4">
      <w:pPr>
        <w:tabs>
          <w:tab w:val="left" w:pos="2880"/>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ab/>
      </w:r>
      <w:r w:rsidRPr="00C20DEE">
        <w:rPr>
          <w:rFonts w:ascii="Arial" w:hAnsi="Arial" w:cs="Arial"/>
          <w:color w:val="000000" w:themeColor="text1"/>
        </w:rPr>
        <w:t>Bloemfontein</w:t>
      </w:r>
    </w:p>
    <w:p w:rsidR="00CC3ACE" w:rsidRPr="00C20DEE" w:rsidRDefault="00CC3AC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Adv</w:t>
      </w:r>
      <w:r w:rsidR="00B724C2">
        <w:rPr>
          <w:rFonts w:ascii="Arial" w:hAnsi="Arial" w:cs="Arial"/>
          <w:color w:val="000000" w:themeColor="text1"/>
        </w:rPr>
        <w:t>. JF Mullins</w:t>
      </w:r>
      <w:r w:rsidR="00F46992">
        <w:rPr>
          <w:rFonts w:ascii="Arial" w:hAnsi="Arial" w:cs="Arial"/>
          <w:color w:val="000000" w:themeColor="text1"/>
        </w:rPr>
        <w:t xml:space="preserve"> SC</w:t>
      </w:r>
      <w:r w:rsidR="00F46992">
        <w:rPr>
          <w:rFonts w:ascii="Arial" w:hAnsi="Arial" w:cs="Arial"/>
          <w:color w:val="000000" w:themeColor="text1"/>
        </w:rPr>
        <w:tab/>
      </w:r>
      <w:r w:rsidR="00F46992">
        <w:rPr>
          <w:rFonts w:ascii="Arial" w:hAnsi="Arial" w:cs="Arial"/>
          <w:color w:val="000000" w:themeColor="text1"/>
        </w:rPr>
        <w:tab/>
      </w:r>
      <w:r w:rsidR="00F46992">
        <w:rPr>
          <w:rFonts w:ascii="Arial" w:hAnsi="Arial" w:cs="Arial"/>
          <w:color w:val="000000" w:themeColor="text1"/>
        </w:rPr>
        <w:tab/>
      </w:r>
      <w:r w:rsidR="00F46992">
        <w:rPr>
          <w:rFonts w:ascii="Arial" w:hAnsi="Arial" w:cs="Arial"/>
          <w:color w:val="000000" w:themeColor="text1"/>
        </w:rPr>
        <w:tab/>
      </w:r>
      <w:r w:rsidR="005B56EE">
        <w:rPr>
          <w:rFonts w:ascii="Arial" w:hAnsi="Arial" w:cs="Arial"/>
          <w:color w:val="000000" w:themeColor="text1"/>
        </w:rPr>
        <w:t xml:space="preserve"> </w:t>
      </w:r>
    </w:p>
    <w:p w:rsidR="00D82B1F" w:rsidRDefault="005960F0" w:rsidP="002F71C5">
      <w:pPr>
        <w:spacing w:line="360" w:lineRule="auto"/>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r w:rsidR="00B724C2">
        <w:rPr>
          <w:rFonts w:ascii="Arial" w:hAnsi="Arial" w:cs="Arial"/>
          <w:color w:val="000000" w:themeColor="text1"/>
        </w:rPr>
        <w:t>Honey</w:t>
      </w:r>
      <w:r w:rsidR="00F46992">
        <w:rPr>
          <w:rFonts w:ascii="Arial" w:hAnsi="Arial" w:cs="Arial"/>
          <w:color w:val="000000" w:themeColor="text1"/>
        </w:rPr>
        <w:t xml:space="preserve"> Attorneys</w:t>
      </w:r>
    </w:p>
    <w:p w:rsidR="00B724C2" w:rsidRDefault="00B724C2" w:rsidP="002F71C5">
      <w:pPr>
        <w:spacing w:line="360" w:lineRule="auto"/>
        <w:rPr>
          <w:rFonts w:ascii="Arial" w:hAnsi="Arial" w:cs="Arial"/>
          <w:color w:val="000000" w:themeColor="text1"/>
        </w:rPr>
      </w:pPr>
      <w:r>
        <w:rPr>
          <w:rFonts w:ascii="Arial" w:hAnsi="Arial" w:cs="Arial"/>
          <w:color w:val="000000" w:themeColor="text1"/>
        </w:rPr>
        <w:t xml:space="preserve">                                             </w:t>
      </w:r>
      <w:r w:rsidR="00CC3ACE">
        <w:rPr>
          <w:rFonts w:ascii="Arial" w:hAnsi="Arial" w:cs="Arial"/>
          <w:color w:val="000000" w:themeColor="text1"/>
        </w:rPr>
        <w:t xml:space="preserve">  </w:t>
      </w:r>
      <w:r>
        <w:rPr>
          <w:rFonts w:ascii="Arial" w:hAnsi="Arial" w:cs="Arial"/>
          <w:color w:val="000000" w:themeColor="text1"/>
        </w:rPr>
        <w:t>Honey Chambers</w:t>
      </w:r>
    </w:p>
    <w:p w:rsidR="00B724C2" w:rsidRPr="00C20DEE" w:rsidRDefault="00B724C2" w:rsidP="002F71C5">
      <w:pPr>
        <w:spacing w:line="360" w:lineRule="auto"/>
        <w:rPr>
          <w:rFonts w:ascii="Arial" w:hAnsi="Arial" w:cs="Arial"/>
          <w:color w:val="000000" w:themeColor="text1"/>
        </w:rPr>
      </w:pPr>
      <w:r>
        <w:rPr>
          <w:rFonts w:ascii="Arial" w:hAnsi="Arial" w:cs="Arial"/>
          <w:color w:val="000000" w:themeColor="text1"/>
        </w:rPr>
        <w:t xml:space="preserve">                                             </w:t>
      </w:r>
      <w:r w:rsidR="00CC3ACE">
        <w:rPr>
          <w:rFonts w:ascii="Arial" w:hAnsi="Arial" w:cs="Arial"/>
          <w:color w:val="000000" w:themeColor="text1"/>
        </w:rPr>
        <w:t xml:space="preserve">  </w:t>
      </w:r>
      <w:r>
        <w:rPr>
          <w:rFonts w:ascii="Arial" w:hAnsi="Arial" w:cs="Arial"/>
          <w:color w:val="000000" w:themeColor="text1"/>
        </w:rPr>
        <w:t>Kenneth Kaunda Road</w:t>
      </w:r>
    </w:p>
    <w:p w:rsidR="00D82B1F" w:rsidRDefault="00F24BE3" w:rsidP="002F71C5">
      <w:pPr>
        <w:spacing w:line="360" w:lineRule="auto"/>
        <w:rPr>
          <w:rFonts w:ascii="Arial" w:hAnsi="Arial" w:cs="Arial"/>
          <w:color w:val="000000" w:themeColor="text1"/>
        </w:rPr>
      </w:pPr>
      <w:r w:rsidRPr="00C20DEE">
        <w:rPr>
          <w:rFonts w:ascii="Arial" w:hAnsi="Arial" w:cs="Arial"/>
          <w:color w:val="000000" w:themeColor="text1"/>
        </w:rPr>
        <w:t xml:space="preserve">                                           </w:t>
      </w:r>
      <w:r w:rsidR="006751B4">
        <w:rPr>
          <w:rFonts w:ascii="Arial" w:hAnsi="Arial" w:cs="Arial"/>
          <w:color w:val="000000" w:themeColor="text1"/>
        </w:rPr>
        <w:t xml:space="preserve">  </w:t>
      </w:r>
      <w:r w:rsidR="00CC3ACE">
        <w:rPr>
          <w:rFonts w:ascii="Arial" w:hAnsi="Arial" w:cs="Arial"/>
          <w:color w:val="000000" w:themeColor="text1"/>
        </w:rPr>
        <w:t xml:space="preserve">  </w:t>
      </w:r>
      <w:r w:rsidR="00B724C2">
        <w:rPr>
          <w:rFonts w:ascii="Arial" w:hAnsi="Arial" w:cs="Arial"/>
          <w:color w:val="000000" w:themeColor="text1"/>
        </w:rPr>
        <w:t>Bloemfontein</w:t>
      </w:r>
    </w:p>
    <w:sectPr w:rsidR="00D82B1F" w:rsidSect="00CA6CD3">
      <w:headerReference w:type="default" r:id="rId15"/>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70" w:rsidRDefault="00667A70" w:rsidP="00DA5395">
      <w:r>
        <w:separator/>
      </w:r>
    </w:p>
  </w:endnote>
  <w:endnote w:type="continuationSeparator" w:id="0">
    <w:p w:rsidR="00667A70" w:rsidRDefault="00667A70" w:rsidP="00DA5395">
      <w:r>
        <w:continuationSeparator/>
      </w:r>
    </w:p>
  </w:endnote>
  <w:endnote w:type="continuationNotice" w:id="1">
    <w:p w:rsidR="00667A70" w:rsidRDefault="00667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70" w:rsidRDefault="00667A70" w:rsidP="00DA5395">
      <w:r>
        <w:separator/>
      </w:r>
    </w:p>
  </w:footnote>
  <w:footnote w:type="continuationSeparator" w:id="0">
    <w:p w:rsidR="00667A70" w:rsidRDefault="00667A70" w:rsidP="00DA5395">
      <w:r>
        <w:continuationSeparator/>
      </w:r>
    </w:p>
  </w:footnote>
  <w:footnote w:type="continuationNotice" w:id="1">
    <w:p w:rsidR="00667A70" w:rsidRDefault="00667A70"/>
  </w:footnote>
  <w:footnote w:id="2">
    <w:p w:rsidR="00FC1108" w:rsidRPr="0001106B" w:rsidRDefault="00FC1108">
      <w:pPr>
        <w:pStyle w:val="FootnoteText"/>
        <w:rPr>
          <w:lang w:val="en-ZA"/>
        </w:rPr>
      </w:pPr>
      <w:r>
        <w:rPr>
          <w:rStyle w:val="FootnoteReference"/>
        </w:rPr>
        <w:footnoteRef/>
      </w:r>
      <w:r>
        <w:t xml:space="preserve"> </w:t>
      </w:r>
      <w:r>
        <w:rPr>
          <w:lang w:val="en-ZA"/>
        </w:rPr>
        <w:t>40 of 2002.</w:t>
      </w:r>
    </w:p>
  </w:footnote>
  <w:footnote w:id="3">
    <w:p w:rsidR="00FC1108" w:rsidRPr="00E3146A" w:rsidRDefault="00FC1108">
      <w:pPr>
        <w:pStyle w:val="FootnoteText"/>
        <w:rPr>
          <w:rFonts w:ascii="Arial" w:hAnsi="Arial" w:cs="Arial"/>
          <w:lang w:val="en-US"/>
        </w:rPr>
      </w:pPr>
      <w:r w:rsidRPr="00E3146A">
        <w:rPr>
          <w:rStyle w:val="FootnoteReference"/>
          <w:rFonts w:ascii="Arial" w:hAnsi="Arial" w:cs="Arial"/>
        </w:rPr>
        <w:footnoteRef/>
      </w:r>
      <w:r w:rsidRPr="00E3146A">
        <w:rPr>
          <w:rFonts w:ascii="Arial" w:hAnsi="Arial" w:cs="Arial"/>
        </w:rPr>
        <w:t xml:space="preserve"> </w:t>
      </w:r>
      <w:r w:rsidRPr="00E3146A">
        <w:rPr>
          <w:rFonts w:ascii="Arial" w:hAnsi="Arial" w:cs="Arial"/>
          <w:lang w:val="en-US"/>
        </w:rPr>
        <w:t>The Constitution of the Republic of South Africa Act 108 of 1996.</w:t>
      </w:r>
    </w:p>
  </w:footnote>
  <w:footnote w:id="4">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FB Case num</w:t>
      </w:r>
      <w:r>
        <w:rPr>
          <w:rFonts w:ascii="Arial" w:hAnsi="Arial" w:cs="Arial"/>
        </w:rPr>
        <w:t>ber 2681/2006 delivered on 18 Se</w:t>
      </w:r>
      <w:r w:rsidRPr="00F11B1F">
        <w:rPr>
          <w:rFonts w:ascii="Arial" w:hAnsi="Arial" w:cs="Arial"/>
        </w:rPr>
        <w:t>ptember</w:t>
      </w:r>
      <w:r>
        <w:rPr>
          <w:rFonts w:ascii="Arial" w:hAnsi="Arial" w:cs="Arial"/>
        </w:rPr>
        <w:t xml:space="preserve"> </w:t>
      </w:r>
      <w:r w:rsidRPr="00F11B1F">
        <w:rPr>
          <w:rFonts w:ascii="Arial" w:hAnsi="Arial" w:cs="Arial"/>
        </w:rPr>
        <w:t xml:space="preserve">2008. </w:t>
      </w:r>
    </w:p>
  </w:footnote>
  <w:footnote w:id="5">
    <w:p w:rsidR="00FC1108" w:rsidRPr="00F11B1F" w:rsidRDefault="00FC1108">
      <w:pPr>
        <w:pStyle w:val="FootnoteText"/>
        <w:rPr>
          <w:rFonts w:ascii="Arial" w:hAnsi="Arial" w:cs="Arial"/>
          <w:lang w:val="en-ZA"/>
        </w:rPr>
      </w:pPr>
      <w:r>
        <w:rPr>
          <w:rStyle w:val="FootnoteReference"/>
        </w:rPr>
        <w:footnoteRef/>
      </w:r>
      <w:r>
        <w:t xml:space="preserve"> </w:t>
      </w:r>
      <w:r w:rsidRPr="00F11B1F">
        <w:rPr>
          <w:rFonts w:ascii="Arial" w:hAnsi="Arial" w:cs="Arial"/>
          <w:lang w:val="en-ZA"/>
        </w:rPr>
        <w:t>2012 (1) SA 2623 (NCK)</w:t>
      </w:r>
    </w:p>
  </w:footnote>
  <w:footnote w:id="6">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2010 (3) SA 90 (NWM).</w:t>
      </w:r>
    </w:p>
  </w:footnote>
  <w:footnote w:id="7">
    <w:p w:rsidR="00FC1108" w:rsidRPr="00F11B1F" w:rsidRDefault="00FC1108" w:rsidP="00D31698">
      <w:pPr>
        <w:pStyle w:val="FootnoteText"/>
        <w:rPr>
          <w:rFonts w:ascii="Arial" w:hAnsi="Arial" w:cs="Arial"/>
          <w:lang w:val="en-ZA"/>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ZA"/>
        </w:rPr>
        <w:t xml:space="preserve">2022 JDR 0433 (SCA). </w:t>
      </w:r>
    </w:p>
  </w:footnote>
  <w:footnote w:id="8">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Supra.</w:t>
      </w:r>
    </w:p>
  </w:footnote>
  <w:footnote w:id="9">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Supra.</w:t>
      </w:r>
    </w:p>
  </w:footnote>
  <w:footnote w:id="10">
    <w:p w:rsidR="00FC1108" w:rsidRPr="00D32C80" w:rsidRDefault="00FC1108">
      <w:pPr>
        <w:pStyle w:val="FootnoteText"/>
        <w:rPr>
          <w:rFonts w:ascii="Arial" w:hAnsi="Arial" w:cs="Arial"/>
          <w:lang w:val="en-US"/>
        </w:rPr>
      </w:pPr>
      <w:r w:rsidRPr="00D32C80">
        <w:rPr>
          <w:rStyle w:val="FootnoteReference"/>
          <w:rFonts w:ascii="Arial" w:hAnsi="Arial" w:cs="Arial"/>
        </w:rPr>
        <w:footnoteRef/>
      </w:r>
      <w:r w:rsidRPr="00D32C80">
        <w:rPr>
          <w:rFonts w:ascii="Arial" w:hAnsi="Arial" w:cs="Arial"/>
        </w:rPr>
        <w:t xml:space="preserve"> </w:t>
      </w:r>
      <w:r w:rsidRPr="00D32C80">
        <w:rPr>
          <w:rFonts w:ascii="Arial" w:hAnsi="Arial" w:cs="Arial"/>
          <w:lang w:val="en-US"/>
        </w:rPr>
        <w:t>Para 20 of the appellant’s heads of argument.</w:t>
      </w:r>
    </w:p>
  </w:footnote>
  <w:footnote w:id="11">
    <w:p w:rsidR="00FC1108" w:rsidRPr="00D32C80" w:rsidRDefault="00FC1108">
      <w:pPr>
        <w:pStyle w:val="FootnoteText"/>
        <w:rPr>
          <w:rFonts w:ascii="Arial" w:hAnsi="Arial" w:cs="Arial"/>
          <w:lang w:val="en-US"/>
        </w:rPr>
      </w:pPr>
      <w:r w:rsidRPr="00D32C80">
        <w:rPr>
          <w:rStyle w:val="FootnoteReference"/>
          <w:rFonts w:ascii="Arial" w:hAnsi="Arial" w:cs="Arial"/>
        </w:rPr>
        <w:footnoteRef/>
      </w:r>
      <w:r w:rsidRPr="00D32C80">
        <w:rPr>
          <w:rFonts w:ascii="Arial" w:hAnsi="Arial" w:cs="Arial"/>
        </w:rPr>
        <w:t xml:space="preserve"> </w:t>
      </w:r>
      <w:r w:rsidRPr="00D32C80">
        <w:rPr>
          <w:rFonts w:ascii="Arial" w:hAnsi="Arial" w:cs="Arial"/>
          <w:lang w:val="en-US"/>
        </w:rPr>
        <w:t>Para</w:t>
      </w:r>
      <w:r>
        <w:rPr>
          <w:rFonts w:ascii="Arial" w:hAnsi="Arial" w:cs="Arial"/>
          <w:lang w:val="en-US"/>
        </w:rPr>
        <w:t>s 14 &amp;</w:t>
      </w:r>
      <w:r w:rsidRPr="00D32C80">
        <w:rPr>
          <w:rFonts w:ascii="Arial" w:hAnsi="Arial" w:cs="Arial"/>
          <w:lang w:val="en-US"/>
        </w:rPr>
        <w:t xml:space="preserve"> 15 of the judgment.</w:t>
      </w:r>
    </w:p>
  </w:footnote>
  <w:footnote w:id="12">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2008 (4) SA 312 (SCA).</w:t>
      </w:r>
    </w:p>
  </w:footnote>
  <w:footnote w:id="13">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C93C17">
        <w:rPr>
          <w:rFonts w:ascii="Arial" w:hAnsi="Arial" w:cs="Arial"/>
          <w:i/>
        </w:rPr>
        <w:t>Ibid</w:t>
      </w:r>
      <w:r>
        <w:rPr>
          <w:rFonts w:ascii="Arial" w:hAnsi="Arial" w:cs="Arial"/>
        </w:rPr>
        <w:t xml:space="preserve"> para 7, referred to in para 8</w:t>
      </w:r>
      <w:r w:rsidRPr="00F11B1F">
        <w:rPr>
          <w:rFonts w:ascii="Arial" w:hAnsi="Arial" w:cs="Arial"/>
          <w:lang w:val="en-US"/>
        </w:rPr>
        <w:t xml:space="preserve"> of the </w:t>
      </w:r>
      <w:r>
        <w:rPr>
          <w:rFonts w:ascii="Arial" w:hAnsi="Arial" w:cs="Arial"/>
          <w:lang w:val="en-US"/>
        </w:rPr>
        <w:t xml:space="preserve">court </w:t>
      </w:r>
      <w:r w:rsidRPr="00C93C17">
        <w:rPr>
          <w:rFonts w:ascii="Arial" w:hAnsi="Arial" w:cs="Arial"/>
          <w:i/>
          <w:lang w:val="en-US"/>
        </w:rPr>
        <w:t>a quo</w:t>
      </w:r>
      <w:r>
        <w:rPr>
          <w:rFonts w:ascii="Arial" w:hAnsi="Arial" w:cs="Arial"/>
          <w:lang w:val="en-US"/>
        </w:rPr>
        <w:t xml:space="preserve">’s </w:t>
      </w:r>
      <w:r w:rsidRPr="00F11B1F">
        <w:rPr>
          <w:rFonts w:ascii="Arial" w:hAnsi="Arial" w:cs="Arial"/>
          <w:lang w:val="en-US"/>
        </w:rPr>
        <w:t>judgment.</w:t>
      </w:r>
    </w:p>
  </w:footnote>
  <w:footnote w:id="14">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Para 9 of the</w:t>
      </w:r>
      <w:r>
        <w:rPr>
          <w:rFonts w:ascii="Arial" w:hAnsi="Arial" w:cs="Arial"/>
          <w:lang w:val="en-US"/>
        </w:rPr>
        <w:t xml:space="preserve"> court </w:t>
      </w:r>
      <w:r w:rsidRPr="00C93C17">
        <w:rPr>
          <w:rFonts w:ascii="Arial" w:hAnsi="Arial" w:cs="Arial"/>
          <w:i/>
          <w:lang w:val="en-US"/>
        </w:rPr>
        <w:t>a quo’</w:t>
      </w:r>
      <w:r>
        <w:rPr>
          <w:rFonts w:ascii="Arial" w:hAnsi="Arial" w:cs="Arial"/>
          <w:lang w:val="en-US"/>
        </w:rPr>
        <w:t>s</w:t>
      </w:r>
      <w:r w:rsidRPr="00F11B1F">
        <w:rPr>
          <w:rFonts w:ascii="Arial" w:hAnsi="Arial" w:cs="Arial"/>
          <w:lang w:val="en-US"/>
        </w:rPr>
        <w:t xml:space="preserve"> judgment.</w:t>
      </w:r>
    </w:p>
  </w:footnote>
  <w:footnote w:id="15">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2012 (4) SA 593 (SCA) at para 18.</w:t>
      </w:r>
    </w:p>
  </w:footnote>
  <w:footnote w:id="16">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2007(1) SA 66 (SCA).</w:t>
      </w:r>
    </w:p>
  </w:footnote>
  <w:footnote w:id="17">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Para 39 of the judgment.</w:t>
      </w:r>
    </w:p>
  </w:footnote>
  <w:footnote w:id="18">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Supra, para 10.</w:t>
      </w:r>
    </w:p>
  </w:footnote>
  <w:footnote w:id="19">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i/>
          <w:lang w:val="en-US"/>
        </w:rPr>
        <w:t>Pegma</w:t>
      </w:r>
      <w:r w:rsidR="00C93C17">
        <w:rPr>
          <w:rFonts w:ascii="Arial" w:hAnsi="Arial" w:cs="Arial"/>
          <w:lang w:val="en-US"/>
        </w:rPr>
        <w:t xml:space="preserve"> was decided after</w:t>
      </w:r>
      <w:r w:rsidRPr="00F11B1F">
        <w:rPr>
          <w:rFonts w:ascii="Arial" w:hAnsi="Arial" w:cs="Arial"/>
          <w:lang w:val="en-US"/>
        </w:rPr>
        <w:t xml:space="preserve"> </w:t>
      </w:r>
      <w:r w:rsidRPr="00F11B1F">
        <w:rPr>
          <w:rFonts w:ascii="Arial" w:hAnsi="Arial" w:cs="Arial"/>
          <w:i/>
          <w:lang w:val="en-US"/>
        </w:rPr>
        <w:t>Madinda</w:t>
      </w:r>
      <w:r w:rsidRPr="00F11B1F">
        <w:rPr>
          <w:rFonts w:ascii="Arial" w:hAnsi="Arial" w:cs="Arial"/>
          <w:lang w:val="en-US"/>
        </w:rPr>
        <w:t>.</w:t>
      </w:r>
    </w:p>
  </w:footnote>
  <w:footnote w:id="20">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Supra.</w:t>
      </w:r>
    </w:p>
  </w:footnote>
  <w:footnote w:id="21">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Supra.</w:t>
      </w:r>
    </w:p>
  </w:footnote>
  <w:footnote w:id="22">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Para</w:t>
      </w:r>
      <w:r w:rsidR="0086333B">
        <w:rPr>
          <w:rFonts w:ascii="Arial" w:hAnsi="Arial" w:cs="Arial"/>
          <w:lang w:val="en-US"/>
        </w:rPr>
        <w:t xml:space="preserve"> </w:t>
      </w:r>
      <w:r>
        <w:rPr>
          <w:rFonts w:ascii="Arial" w:hAnsi="Arial" w:cs="Arial"/>
          <w:lang w:val="en-US"/>
        </w:rPr>
        <w:t>14</w:t>
      </w:r>
      <w:r w:rsidRPr="00F11B1F">
        <w:rPr>
          <w:rFonts w:ascii="Arial" w:hAnsi="Arial" w:cs="Arial"/>
          <w:lang w:val="en-US"/>
        </w:rPr>
        <w:t xml:space="preserve"> of the judgment.</w:t>
      </w:r>
    </w:p>
  </w:footnote>
  <w:footnote w:id="23">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Para 14 of the judgment.</w:t>
      </w:r>
    </w:p>
  </w:footnote>
  <w:footnote w:id="24">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Supra, para 23.</w:t>
      </w:r>
    </w:p>
  </w:footnote>
  <w:footnote w:id="25">
    <w:p w:rsidR="00FC1108" w:rsidRPr="00F11B1F" w:rsidRDefault="00FC1108">
      <w:pPr>
        <w:pStyle w:val="FootnoteText"/>
        <w:rPr>
          <w:rFonts w:ascii="Arial" w:hAnsi="Arial" w:cs="Arial"/>
          <w:lang w:val="en-US"/>
        </w:rPr>
      </w:pPr>
      <w:r w:rsidRPr="00F11B1F">
        <w:rPr>
          <w:rStyle w:val="FootnoteReference"/>
          <w:rFonts w:ascii="Arial" w:hAnsi="Arial" w:cs="Arial"/>
        </w:rPr>
        <w:footnoteRef/>
      </w:r>
      <w:r w:rsidRPr="00F11B1F">
        <w:rPr>
          <w:rFonts w:ascii="Arial" w:hAnsi="Arial" w:cs="Arial"/>
        </w:rPr>
        <w:t xml:space="preserve"> </w:t>
      </w:r>
      <w:r w:rsidRPr="00F11B1F">
        <w:rPr>
          <w:rFonts w:ascii="Arial" w:hAnsi="Arial" w:cs="Arial"/>
          <w:lang w:val="en-US"/>
        </w:rPr>
        <w:t>Supra.</w:t>
      </w:r>
    </w:p>
  </w:footnote>
  <w:footnote w:id="26">
    <w:p w:rsidR="00FC1108" w:rsidRPr="009E5A78" w:rsidRDefault="00FC1108">
      <w:pPr>
        <w:pStyle w:val="FootnoteText"/>
        <w:rPr>
          <w:rFonts w:ascii="Arial" w:hAnsi="Arial" w:cs="Arial"/>
          <w:lang w:val="en-US"/>
        </w:rPr>
      </w:pPr>
      <w:r>
        <w:rPr>
          <w:rStyle w:val="FootnoteReference"/>
        </w:rPr>
        <w:footnoteRef/>
      </w:r>
      <w:r>
        <w:t xml:space="preserve"> </w:t>
      </w:r>
      <w:r w:rsidRPr="009E5A78">
        <w:rPr>
          <w:rFonts w:ascii="Arial" w:hAnsi="Arial" w:cs="Arial"/>
          <w:lang w:val="en-US"/>
        </w:rPr>
        <w:t>Para</w:t>
      </w:r>
      <w:r>
        <w:rPr>
          <w:rFonts w:ascii="Arial" w:hAnsi="Arial" w:cs="Arial"/>
          <w:lang w:val="en-US"/>
        </w:rPr>
        <w:t xml:space="preserve"> 3 of the judgment.</w:t>
      </w:r>
    </w:p>
  </w:footnote>
  <w:footnote w:id="27">
    <w:p w:rsidR="00FC1108" w:rsidRPr="009D2F33" w:rsidRDefault="00FC1108">
      <w:pPr>
        <w:pStyle w:val="FootnoteText"/>
        <w:rPr>
          <w:rFonts w:ascii="Arial" w:hAnsi="Arial" w:cs="Arial"/>
          <w:lang w:val="en-US"/>
        </w:rPr>
      </w:pPr>
      <w:r w:rsidRPr="009D2F33">
        <w:rPr>
          <w:rStyle w:val="FootnoteReference"/>
          <w:rFonts w:ascii="Arial" w:hAnsi="Arial" w:cs="Arial"/>
        </w:rPr>
        <w:footnoteRef/>
      </w:r>
      <w:r w:rsidRPr="009D2F33">
        <w:rPr>
          <w:rFonts w:ascii="Arial" w:hAnsi="Arial" w:cs="Arial"/>
        </w:rPr>
        <w:t xml:space="preserve"> </w:t>
      </w:r>
      <w:r w:rsidRPr="009D2F33">
        <w:rPr>
          <w:rFonts w:ascii="Arial" w:hAnsi="Arial" w:cs="Arial"/>
          <w:lang w:val="en-US"/>
        </w:rPr>
        <w:t>P</w:t>
      </w:r>
      <w:r>
        <w:rPr>
          <w:rFonts w:ascii="Arial" w:hAnsi="Arial" w:cs="Arial"/>
          <w:lang w:val="en-US"/>
        </w:rPr>
        <w:t>ara 28 of the judgment.</w:t>
      </w:r>
    </w:p>
  </w:footnote>
  <w:footnote w:id="28">
    <w:p w:rsidR="00FC1108" w:rsidRPr="00327F50" w:rsidRDefault="00FC1108">
      <w:pPr>
        <w:pStyle w:val="FootnoteText"/>
        <w:rPr>
          <w:rFonts w:ascii="Arial" w:hAnsi="Arial" w:cs="Arial"/>
          <w:lang w:val="en-US"/>
        </w:rPr>
      </w:pPr>
      <w:r>
        <w:rPr>
          <w:rStyle w:val="FootnoteReference"/>
        </w:rPr>
        <w:footnoteRef/>
      </w:r>
      <w:r>
        <w:t xml:space="preserve"> </w:t>
      </w:r>
      <w:r>
        <w:rPr>
          <w:rFonts w:ascii="Arial" w:hAnsi="Arial" w:cs="Arial"/>
          <w:lang w:val="en-US"/>
        </w:rPr>
        <w:t>13 of 2001.</w:t>
      </w:r>
    </w:p>
  </w:footnote>
  <w:footnote w:id="29">
    <w:p w:rsidR="00FC1108" w:rsidRPr="00327F50" w:rsidRDefault="00FC1108">
      <w:pPr>
        <w:pStyle w:val="FootnoteText"/>
        <w:rPr>
          <w:rFonts w:ascii="Arial" w:hAnsi="Arial" w:cs="Arial"/>
          <w:lang w:val="en-US"/>
        </w:rPr>
      </w:pPr>
      <w:r w:rsidRPr="00327F50">
        <w:rPr>
          <w:rStyle w:val="FootnoteReference"/>
          <w:rFonts w:ascii="Arial" w:hAnsi="Arial" w:cs="Arial"/>
        </w:rPr>
        <w:footnoteRef/>
      </w:r>
      <w:r w:rsidRPr="00327F50">
        <w:rPr>
          <w:rFonts w:ascii="Arial" w:hAnsi="Arial" w:cs="Arial"/>
        </w:rPr>
        <w:t xml:space="preserve"> </w:t>
      </w:r>
      <w:r w:rsidRPr="00327F50">
        <w:rPr>
          <w:rFonts w:ascii="Arial" w:hAnsi="Arial" w:cs="Arial"/>
          <w:lang w:val="en-US"/>
        </w:rPr>
        <w:t>4 of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08" w:rsidRDefault="00667A70">
    <w:pPr>
      <w:pStyle w:val="Header"/>
      <w:jc w:val="right"/>
    </w:pPr>
    <w:sdt>
      <w:sdtPr>
        <w:id w:val="1641074034"/>
        <w:docPartObj>
          <w:docPartGallery w:val="Page Numbers (Top of Page)"/>
          <w:docPartUnique/>
        </w:docPartObj>
      </w:sdtPr>
      <w:sdtEndPr>
        <w:rPr>
          <w:noProof/>
        </w:rPr>
      </w:sdtEndPr>
      <w:sdtContent>
        <w:r w:rsidR="00FC1108">
          <w:fldChar w:fldCharType="begin"/>
        </w:r>
        <w:r w:rsidR="00FC1108">
          <w:instrText xml:space="preserve"> PAGE   \* MERGEFORMAT </w:instrText>
        </w:r>
        <w:r w:rsidR="00FC1108">
          <w:fldChar w:fldCharType="separate"/>
        </w:r>
        <w:r w:rsidR="00705F6D">
          <w:rPr>
            <w:noProof/>
          </w:rPr>
          <w:t>3</w:t>
        </w:r>
        <w:r w:rsidR="00FC1108">
          <w:rPr>
            <w:noProof/>
          </w:rPr>
          <w:fldChar w:fldCharType="end"/>
        </w:r>
      </w:sdtContent>
    </w:sdt>
  </w:p>
  <w:p w:rsidR="00FC1108" w:rsidRDefault="00FC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976429"/>
    <w:multiLevelType w:val="multilevel"/>
    <w:tmpl w:val="D90ADAD8"/>
    <w:lvl w:ilvl="0">
      <w:start w:val="1"/>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605111"/>
    <w:multiLevelType w:val="multilevel"/>
    <w:tmpl w:val="870EA39A"/>
    <w:lvl w:ilvl="0">
      <w:start w:val="1"/>
      <w:numFmt w:val="decimal"/>
      <w:lvlText w:val="%1."/>
      <w:lvlJc w:val="left"/>
      <w:pPr>
        <w:ind w:left="720" w:hanging="360"/>
      </w:pPr>
      <w:rPr>
        <w:rFonts w:hint="default"/>
        <w:i w:val="0"/>
        <w:sz w:val="24"/>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5C62AB"/>
    <w:multiLevelType w:val="hybridMultilevel"/>
    <w:tmpl w:val="F506A8BC"/>
    <w:lvl w:ilvl="0" w:tplc="F46686BA">
      <w:start w:val="1"/>
      <w:numFmt w:val="lowerLetter"/>
      <w:lvlText w:val="%1)"/>
      <w:lvlJc w:val="left"/>
      <w:pPr>
        <w:ind w:left="1494" w:hanging="360"/>
      </w:pPr>
      <w:rPr>
        <w:rFonts w:hint="default"/>
        <w:i/>
        <w:sz w:val="2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4A7385"/>
    <w:multiLevelType w:val="multilevel"/>
    <w:tmpl w:val="F594CBB4"/>
    <w:lvl w:ilvl="0">
      <w:start w:val="1"/>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6C43482"/>
    <w:multiLevelType w:val="hybridMultilevel"/>
    <w:tmpl w:val="0CF468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50271C"/>
    <w:multiLevelType w:val="hybridMultilevel"/>
    <w:tmpl w:val="D884F380"/>
    <w:lvl w:ilvl="0" w:tplc="DE68C77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5" w15:restartNumberingAfterBreak="0">
    <w:nsid w:val="62EE1C90"/>
    <w:multiLevelType w:val="hybridMultilevel"/>
    <w:tmpl w:val="8E38600E"/>
    <w:lvl w:ilvl="0" w:tplc="FB6ACB08">
      <w:start w:val="1"/>
      <w:numFmt w:val="decimal"/>
      <w:lvlText w:val="%1."/>
      <w:lvlJc w:val="left"/>
      <w:pPr>
        <w:ind w:left="927" w:hanging="360"/>
      </w:pPr>
      <w:rPr>
        <w:rFonts w:hint="default"/>
        <w:sz w:val="2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68497FF3"/>
    <w:multiLevelType w:val="hybridMultilevel"/>
    <w:tmpl w:val="0CA44F12"/>
    <w:lvl w:ilvl="0" w:tplc="D49ACB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8"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1FA6252"/>
    <w:multiLevelType w:val="multilevel"/>
    <w:tmpl w:val="70E814A6"/>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7135DF2"/>
    <w:multiLevelType w:val="multilevel"/>
    <w:tmpl w:val="A5BEE01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8"/>
  </w:num>
  <w:num w:numId="3">
    <w:abstractNumId w:val="14"/>
  </w:num>
  <w:num w:numId="4">
    <w:abstractNumId w:val="0"/>
  </w:num>
  <w:num w:numId="5">
    <w:abstractNumId w:val="3"/>
  </w:num>
  <w:num w:numId="6">
    <w:abstractNumId w:val="19"/>
  </w:num>
  <w:num w:numId="7">
    <w:abstractNumId w:val="9"/>
  </w:num>
  <w:num w:numId="8">
    <w:abstractNumId w:val="17"/>
  </w:num>
  <w:num w:numId="9">
    <w:abstractNumId w:val="5"/>
  </w:num>
  <w:num w:numId="10">
    <w:abstractNumId w:val="6"/>
  </w:num>
  <w:num w:numId="11">
    <w:abstractNumId w:val="10"/>
  </w:num>
  <w:num w:numId="12">
    <w:abstractNumId w:val="7"/>
  </w:num>
  <w:num w:numId="13">
    <w:abstractNumId w:val="15"/>
  </w:num>
  <w:num w:numId="14">
    <w:abstractNumId w:val="16"/>
  </w:num>
  <w:num w:numId="15">
    <w:abstractNumId w:val="12"/>
  </w:num>
  <w:num w:numId="16">
    <w:abstractNumId w:val="20"/>
  </w:num>
  <w:num w:numId="17">
    <w:abstractNumId w:val="21"/>
  </w:num>
  <w:num w:numId="18">
    <w:abstractNumId w:val="13"/>
  </w:num>
  <w:num w:numId="19">
    <w:abstractNumId w:val="2"/>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sqgFAJ7CPREtAAAA"/>
  </w:docVars>
  <w:rsids>
    <w:rsidRoot w:val="007C348D"/>
    <w:rsid w:val="000009D7"/>
    <w:rsid w:val="00001E83"/>
    <w:rsid w:val="0000224B"/>
    <w:rsid w:val="000035FC"/>
    <w:rsid w:val="0000752B"/>
    <w:rsid w:val="00010380"/>
    <w:rsid w:val="0001106B"/>
    <w:rsid w:val="000111F4"/>
    <w:rsid w:val="00013A3F"/>
    <w:rsid w:val="00013D95"/>
    <w:rsid w:val="00014062"/>
    <w:rsid w:val="00015B97"/>
    <w:rsid w:val="00017C1A"/>
    <w:rsid w:val="0002217F"/>
    <w:rsid w:val="00023645"/>
    <w:rsid w:val="000237D5"/>
    <w:rsid w:val="000239A7"/>
    <w:rsid w:val="00024064"/>
    <w:rsid w:val="00024AE7"/>
    <w:rsid w:val="000312FA"/>
    <w:rsid w:val="00032C9A"/>
    <w:rsid w:val="000353DD"/>
    <w:rsid w:val="00036093"/>
    <w:rsid w:val="00037432"/>
    <w:rsid w:val="00041CD0"/>
    <w:rsid w:val="00045701"/>
    <w:rsid w:val="00045BE9"/>
    <w:rsid w:val="00047074"/>
    <w:rsid w:val="00056043"/>
    <w:rsid w:val="000562F2"/>
    <w:rsid w:val="00056E59"/>
    <w:rsid w:val="00056F05"/>
    <w:rsid w:val="00060FFA"/>
    <w:rsid w:val="00063844"/>
    <w:rsid w:val="00065F40"/>
    <w:rsid w:val="00066CA6"/>
    <w:rsid w:val="00067989"/>
    <w:rsid w:val="0007052E"/>
    <w:rsid w:val="000712B0"/>
    <w:rsid w:val="000715DF"/>
    <w:rsid w:val="00072E50"/>
    <w:rsid w:val="000730AD"/>
    <w:rsid w:val="000753CD"/>
    <w:rsid w:val="00075F25"/>
    <w:rsid w:val="000769AB"/>
    <w:rsid w:val="00076CB8"/>
    <w:rsid w:val="00077E52"/>
    <w:rsid w:val="00080924"/>
    <w:rsid w:val="00080ACE"/>
    <w:rsid w:val="0008223E"/>
    <w:rsid w:val="00082A3D"/>
    <w:rsid w:val="00083CED"/>
    <w:rsid w:val="00084A6E"/>
    <w:rsid w:val="00084B83"/>
    <w:rsid w:val="00084C51"/>
    <w:rsid w:val="00085FA9"/>
    <w:rsid w:val="00087E92"/>
    <w:rsid w:val="00091D75"/>
    <w:rsid w:val="00096171"/>
    <w:rsid w:val="000A016A"/>
    <w:rsid w:val="000A28BA"/>
    <w:rsid w:val="000A340C"/>
    <w:rsid w:val="000A4558"/>
    <w:rsid w:val="000A52BA"/>
    <w:rsid w:val="000A5B90"/>
    <w:rsid w:val="000A647C"/>
    <w:rsid w:val="000A6C76"/>
    <w:rsid w:val="000A7424"/>
    <w:rsid w:val="000B08E8"/>
    <w:rsid w:val="000B37CE"/>
    <w:rsid w:val="000B7255"/>
    <w:rsid w:val="000B7705"/>
    <w:rsid w:val="000C12C6"/>
    <w:rsid w:val="000C1CB7"/>
    <w:rsid w:val="000C66EC"/>
    <w:rsid w:val="000C72FC"/>
    <w:rsid w:val="000C747A"/>
    <w:rsid w:val="000C77F8"/>
    <w:rsid w:val="000C7CAF"/>
    <w:rsid w:val="000D68EE"/>
    <w:rsid w:val="000E1716"/>
    <w:rsid w:val="000E349E"/>
    <w:rsid w:val="000E5025"/>
    <w:rsid w:val="000E6715"/>
    <w:rsid w:val="000E7BB3"/>
    <w:rsid w:val="000E7C2E"/>
    <w:rsid w:val="000F0D5A"/>
    <w:rsid w:val="000F200E"/>
    <w:rsid w:val="000F2881"/>
    <w:rsid w:val="000F713E"/>
    <w:rsid w:val="00101B7F"/>
    <w:rsid w:val="00101FFF"/>
    <w:rsid w:val="001020B1"/>
    <w:rsid w:val="00102312"/>
    <w:rsid w:val="001030E7"/>
    <w:rsid w:val="0010369D"/>
    <w:rsid w:val="001036C0"/>
    <w:rsid w:val="0011267B"/>
    <w:rsid w:val="00114426"/>
    <w:rsid w:val="0011692D"/>
    <w:rsid w:val="00122559"/>
    <w:rsid w:val="00131CF1"/>
    <w:rsid w:val="0013226E"/>
    <w:rsid w:val="00133DE4"/>
    <w:rsid w:val="00134B44"/>
    <w:rsid w:val="00135EA8"/>
    <w:rsid w:val="00136A1F"/>
    <w:rsid w:val="00141DCC"/>
    <w:rsid w:val="00143632"/>
    <w:rsid w:val="00143AAA"/>
    <w:rsid w:val="00147796"/>
    <w:rsid w:val="001479EF"/>
    <w:rsid w:val="00150E63"/>
    <w:rsid w:val="00152BC4"/>
    <w:rsid w:val="00153BD2"/>
    <w:rsid w:val="00154239"/>
    <w:rsid w:val="001575AF"/>
    <w:rsid w:val="00157E06"/>
    <w:rsid w:val="001611AD"/>
    <w:rsid w:val="00162DF4"/>
    <w:rsid w:val="0016393F"/>
    <w:rsid w:val="00164380"/>
    <w:rsid w:val="00167A7E"/>
    <w:rsid w:val="001714FB"/>
    <w:rsid w:val="00173A4B"/>
    <w:rsid w:val="00173B27"/>
    <w:rsid w:val="00182D87"/>
    <w:rsid w:val="001841E7"/>
    <w:rsid w:val="001842DC"/>
    <w:rsid w:val="00187210"/>
    <w:rsid w:val="00187391"/>
    <w:rsid w:val="00190C5D"/>
    <w:rsid w:val="00190FF3"/>
    <w:rsid w:val="00196B60"/>
    <w:rsid w:val="001A0324"/>
    <w:rsid w:val="001A1404"/>
    <w:rsid w:val="001A261F"/>
    <w:rsid w:val="001B13B1"/>
    <w:rsid w:val="001B13BF"/>
    <w:rsid w:val="001B34F4"/>
    <w:rsid w:val="001B7DC9"/>
    <w:rsid w:val="001C2F9E"/>
    <w:rsid w:val="001C4123"/>
    <w:rsid w:val="001C6B3D"/>
    <w:rsid w:val="001C6D91"/>
    <w:rsid w:val="001D0A19"/>
    <w:rsid w:val="001D1236"/>
    <w:rsid w:val="001D15CD"/>
    <w:rsid w:val="001D54AE"/>
    <w:rsid w:val="001E251D"/>
    <w:rsid w:val="001E2FDC"/>
    <w:rsid w:val="001E4382"/>
    <w:rsid w:val="001E7824"/>
    <w:rsid w:val="001F06CE"/>
    <w:rsid w:val="001F4FC2"/>
    <w:rsid w:val="001F6CEC"/>
    <w:rsid w:val="001F70BD"/>
    <w:rsid w:val="00201579"/>
    <w:rsid w:val="0020396B"/>
    <w:rsid w:val="002060ED"/>
    <w:rsid w:val="002079A8"/>
    <w:rsid w:val="00212A94"/>
    <w:rsid w:val="00216A50"/>
    <w:rsid w:val="00217700"/>
    <w:rsid w:val="00224906"/>
    <w:rsid w:val="00224FBB"/>
    <w:rsid w:val="0022569D"/>
    <w:rsid w:val="002274E2"/>
    <w:rsid w:val="00230EEE"/>
    <w:rsid w:val="00234018"/>
    <w:rsid w:val="00235D08"/>
    <w:rsid w:val="002372E5"/>
    <w:rsid w:val="00240AC1"/>
    <w:rsid w:val="00240D77"/>
    <w:rsid w:val="00240E60"/>
    <w:rsid w:val="00241308"/>
    <w:rsid w:val="00241B81"/>
    <w:rsid w:val="002454E6"/>
    <w:rsid w:val="00247E34"/>
    <w:rsid w:val="00251520"/>
    <w:rsid w:val="00251A7C"/>
    <w:rsid w:val="00257537"/>
    <w:rsid w:val="00257803"/>
    <w:rsid w:val="00261FF7"/>
    <w:rsid w:val="002627AF"/>
    <w:rsid w:val="00262A05"/>
    <w:rsid w:val="0026310B"/>
    <w:rsid w:val="002657FD"/>
    <w:rsid w:val="002673C0"/>
    <w:rsid w:val="00267F46"/>
    <w:rsid w:val="002734F8"/>
    <w:rsid w:val="00274A57"/>
    <w:rsid w:val="00274F66"/>
    <w:rsid w:val="00277577"/>
    <w:rsid w:val="0027763B"/>
    <w:rsid w:val="00286EB0"/>
    <w:rsid w:val="00286F23"/>
    <w:rsid w:val="002875E5"/>
    <w:rsid w:val="0029022F"/>
    <w:rsid w:val="00291CB0"/>
    <w:rsid w:val="00293159"/>
    <w:rsid w:val="002938AA"/>
    <w:rsid w:val="00295F9C"/>
    <w:rsid w:val="00296BCB"/>
    <w:rsid w:val="002972C0"/>
    <w:rsid w:val="002A46BB"/>
    <w:rsid w:val="002A499D"/>
    <w:rsid w:val="002A5617"/>
    <w:rsid w:val="002A5FB0"/>
    <w:rsid w:val="002A60B8"/>
    <w:rsid w:val="002A61D2"/>
    <w:rsid w:val="002A62A7"/>
    <w:rsid w:val="002A631E"/>
    <w:rsid w:val="002A7CB0"/>
    <w:rsid w:val="002A7D4B"/>
    <w:rsid w:val="002B27AB"/>
    <w:rsid w:val="002B369A"/>
    <w:rsid w:val="002B48A4"/>
    <w:rsid w:val="002C0225"/>
    <w:rsid w:val="002C28F4"/>
    <w:rsid w:val="002C4ECE"/>
    <w:rsid w:val="002C5414"/>
    <w:rsid w:val="002D0C0F"/>
    <w:rsid w:val="002D1C56"/>
    <w:rsid w:val="002D1E7E"/>
    <w:rsid w:val="002D3664"/>
    <w:rsid w:val="002D5E30"/>
    <w:rsid w:val="002E15CB"/>
    <w:rsid w:val="002E2536"/>
    <w:rsid w:val="002E2E53"/>
    <w:rsid w:val="002E46F4"/>
    <w:rsid w:val="002F32AE"/>
    <w:rsid w:val="002F4685"/>
    <w:rsid w:val="002F71C5"/>
    <w:rsid w:val="002F7966"/>
    <w:rsid w:val="00302D2B"/>
    <w:rsid w:val="003036C9"/>
    <w:rsid w:val="0030603E"/>
    <w:rsid w:val="003065ED"/>
    <w:rsid w:val="00310B0A"/>
    <w:rsid w:val="00313061"/>
    <w:rsid w:val="00313D1F"/>
    <w:rsid w:val="00315B14"/>
    <w:rsid w:val="00316479"/>
    <w:rsid w:val="00316B54"/>
    <w:rsid w:val="00317078"/>
    <w:rsid w:val="00326787"/>
    <w:rsid w:val="00327340"/>
    <w:rsid w:val="00327F50"/>
    <w:rsid w:val="00331CAF"/>
    <w:rsid w:val="00332B7A"/>
    <w:rsid w:val="00343972"/>
    <w:rsid w:val="003448E3"/>
    <w:rsid w:val="003460C5"/>
    <w:rsid w:val="003466F7"/>
    <w:rsid w:val="003476B3"/>
    <w:rsid w:val="0035047C"/>
    <w:rsid w:val="00351967"/>
    <w:rsid w:val="00352BB3"/>
    <w:rsid w:val="0035668F"/>
    <w:rsid w:val="00356771"/>
    <w:rsid w:val="00356D48"/>
    <w:rsid w:val="00360090"/>
    <w:rsid w:val="00366E58"/>
    <w:rsid w:val="003704AE"/>
    <w:rsid w:val="00371A61"/>
    <w:rsid w:val="00372841"/>
    <w:rsid w:val="00372F71"/>
    <w:rsid w:val="003736B1"/>
    <w:rsid w:val="00374D35"/>
    <w:rsid w:val="00374D49"/>
    <w:rsid w:val="003778B7"/>
    <w:rsid w:val="003805E1"/>
    <w:rsid w:val="00381834"/>
    <w:rsid w:val="0038239E"/>
    <w:rsid w:val="00383432"/>
    <w:rsid w:val="00385141"/>
    <w:rsid w:val="003878BB"/>
    <w:rsid w:val="003931C2"/>
    <w:rsid w:val="00393954"/>
    <w:rsid w:val="00393BC0"/>
    <w:rsid w:val="003948BF"/>
    <w:rsid w:val="00396958"/>
    <w:rsid w:val="00397F46"/>
    <w:rsid w:val="003A43FD"/>
    <w:rsid w:val="003A6A92"/>
    <w:rsid w:val="003B05C0"/>
    <w:rsid w:val="003B137A"/>
    <w:rsid w:val="003B15D1"/>
    <w:rsid w:val="003B1CBE"/>
    <w:rsid w:val="003B3BA0"/>
    <w:rsid w:val="003B3C7C"/>
    <w:rsid w:val="003B4BB1"/>
    <w:rsid w:val="003C295C"/>
    <w:rsid w:val="003C3EF4"/>
    <w:rsid w:val="003C4317"/>
    <w:rsid w:val="003D200F"/>
    <w:rsid w:val="003D4E96"/>
    <w:rsid w:val="003D50C4"/>
    <w:rsid w:val="003E07F9"/>
    <w:rsid w:val="003E3876"/>
    <w:rsid w:val="003E55EC"/>
    <w:rsid w:val="003E7928"/>
    <w:rsid w:val="003E7E06"/>
    <w:rsid w:val="003E7FE1"/>
    <w:rsid w:val="003F0875"/>
    <w:rsid w:val="003F2617"/>
    <w:rsid w:val="003F2D1B"/>
    <w:rsid w:val="003F410D"/>
    <w:rsid w:val="003F49BA"/>
    <w:rsid w:val="003F67B9"/>
    <w:rsid w:val="0040066A"/>
    <w:rsid w:val="004032A9"/>
    <w:rsid w:val="004036F5"/>
    <w:rsid w:val="004041CC"/>
    <w:rsid w:val="00404459"/>
    <w:rsid w:val="00405587"/>
    <w:rsid w:val="00407B26"/>
    <w:rsid w:val="004133A9"/>
    <w:rsid w:val="00415848"/>
    <w:rsid w:val="004159A7"/>
    <w:rsid w:val="00415F54"/>
    <w:rsid w:val="00416341"/>
    <w:rsid w:val="0041714C"/>
    <w:rsid w:val="0041757C"/>
    <w:rsid w:val="00417889"/>
    <w:rsid w:val="004201FD"/>
    <w:rsid w:val="0042055E"/>
    <w:rsid w:val="004222D3"/>
    <w:rsid w:val="0042280C"/>
    <w:rsid w:val="00430CD6"/>
    <w:rsid w:val="0043612B"/>
    <w:rsid w:val="0043720B"/>
    <w:rsid w:val="00441D7B"/>
    <w:rsid w:val="004421FC"/>
    <w:rsid w:val="00442201"/>
    <w:rsid w:val="00446B54"/>
    <w:rsid w:val="0044778C"/>
    <w:rsid w:val="00447C28"/>
    <w:rsid w:val="004537CD"/>
    <w:rsid w:val="00457BF2"/>
    <w:rsid w:val="0046120C"/>
    <w:rsid w:val="00462124"/>
    <w:rsid w:val="00462396"/>
    <w:rsid w:val="00463F5F"/>
    <w:rsid w:val="0046504C"/>
    <w:rsid w:val="00466224"/>
    <w:rsid w:val="00467392"/>
    <w:rsid w:val="00470E1F"/>
    <w:rsid w:val="004724B8"/>
    <w:rsid w:val="00473965"/>
    <w:rsid w:val="004749DA"/>
    <w:rsid w:val="00482AAD"/>
    <w:rsid w:val="004849B9"/>
    <w:rsid w:val="00484DD3"/>
    <w:rsid w:val="00491045"/>
    <w:rsid w:val="004919CD"/>
    <w:rsid w:val="0049477D"/>
    <w:rsid w:val="004A20A8"/>
    <w:rsid w:val="004A2E58"/>
    <w:rsid w:val="004A3257"/>
    <w:rsid w:val="004A447C"/>
    <w:rsid w:val="004A56AE"/>
    <w:rsid w:val="004C0DFE"/>
    <w:rsid w:val="004C1229"/>
    <w:rsid w:val="004C20DC"/>
    <w:rsid w:val="004C368F"/>
    <w:rsid w:val="004C3DE8"/>
    <w:rsid w:val="004C50C2"/>
    <w:rsid w:val="004C54AA"/>
    <w:rsid w:val="004C77AF"/>
    <w:rsid w:val="004D63AD"/>
    <w:rsid w:val="004E0B29"/>
    <w:rsid w:val="004E2339"/>
    <w:rsid w:val="004E243D"/>
    <w:rsid w:val="004E3022"/>
    <w:rsid w:val="004E54EB"/>
    <w:rsid w:val="004E71AB"/>
    <w:rsid w:val="004F2723"/>
    <w:rsid w:val="004F3F06"/>
    <w:rsid w:val="004F5E70"/>
    <w:rsid w:val="004F793E"/>
    <w:rsid w:val="0050073B"/>
    <w:rsid w:val="005013E3"/>
    <w:rsid w:val="0050544E"/>
    <w:rsid w:val="005054CC"/>
    <w:rsid w:val="0051095E"/>
    <w:rsid w:val="00521E82"/>
    <w:rsid w:val="00530208"/>
    <w:rsid w:val="00533A9E"/>
    <w:rsid w:val="005361BE"/>
    <w:rsid w:val="0054066D"/>
    <w:rsid w:val="005435B3"/>
    <w:rsid w:val="005459C8"/>
    <w:rsid w:val="005466BF"/>
    <w:rsid w:val="00547BCC"/>
    <w:rsid w:val="00550652"/>
    <w:rsid w:val="00554B8B"/>
    <w:rsid w:val="00555E29"/>
    <w:rsid w:val="00557008"/>
    <w:rsid w:val="00561FF6"/>
    <w:rsid w:val="0056286B"/>
    <w:rsid w:val="0056474A"/>
    <w:rsid w:val="005730E3"/>
    <w:rsid w:val="00573E6A"/>
    <w:rsid w:val="005745A6"/>
    <w:rsid w:val="005835FE"/>
    <w:rsid w:val="00584517"/>
    <w:rsid w:val="00584EC5"/>
    <w:rsid w:val="005851C9"/>
    <w:rsid w:val="00585608"/>
    <w:rsid w:val="00586501"/>
    <w:rsid w:val="00591CD2"/>
    <w:rsid w:val="005920A2"/>
    <w:rsid w:val="0059404A"/>
    <w:rsid w:val="0059465D"/>
    <w:rsid w:val="00594EE7"/>
    <w:rsid w:val="00595F2F"/>
    <w:rsid w:val="005960F0"/>
    <w:rsid w:val="00597261"/>
    <w:rsid w:val="00597C87"/>
    <w:rsid w:val="00597EFA"/>
    <w:rsid w:val="005A09B6"/>
    <w:rsid w:val="005A443B"/>
    <w:rsid w:val="005A480A"/>
    <w:rsid w:val="005A6091"/>
    <w:rsid w:val="005A6D30"/>
    <w:rsid w:val="005A6F9D"/>
    <w:rsid w:val="005B1D73"/>
    <w:rsid w:val="005B2528"/>
    <w:rsid w:val="005B271F"/>
    <w:rsid w:val="005B56EE"/>
    <w:rsid w:val="005B5C14"/>
    <w:rsid w:val="005C5FA7"/>
    <w:rsid w:val="005D006C"/>
    <w:rsid w:val="005D0070"/>
    <w:rsid w:val="005D0D19"/>
    <w:rsid w:val="005D1104"/>
    <w:rsid w:val="005D6CBF"/>
    <w:rsid w:val="005E0068"/>
    <w:rsid w:val="005E0955"/>
    <w:rsid w:val="005E18AC"/>
    <w:rsid w:val="005E18AD"/>
    <w:rsid w:val="005E3597"/>
    <w:rsid w:val="005E3D1F"/>
    <w:rsid w:val="005E5822"/>
    <w:rsid w:val="005E5E90"/>
    <w:rsid w:val="005E61AB"/>
    <w:rsid w:val="005E692A"/>
    <w:rsid w:val="005F349B"/>
    <w:rsid w:val="005F431C"/>
    <w:rsid w:val="005F65D4"/>
    <w:rsid w:val="005F67F7"/>
    <w:rsid w:val="00601B1A"/>
    <w:rsid w:val="006057B5"/>
    <w:rsid w:val="00611A07"/>
    <w:rsid w:val="00613545"/>
    <w:rsid w:val="00617ACE"/>
    <w:rsid w:val="00620500"/>
    <w:rsid w:val="0062222E"/>
    <w:rsid w:val="006231E0"/>
    <w:rsid w:val="00623854"/>
    <w:rsid w:val="00625250"/>
    <w:rsid w:val="00625B14"/>
    <w:rsid w:val="00625D4C"/>
    <w:rsid w:val="00626E98"/>
    <w:rsid w:val="00626FFB"/>
    <w:rsid w:val="006278CC"/>
    <w:rsid w:val="006357EB"/>
    <w:rsid w:val="00637678"/>
    <w:rsid w:val="00637694"/>
    <w:rsid w:val="00640D44"/>
    <w:rsid w:val="00645452"/>
    <w:rsid w:val="0064795D"/>
    <w:rsid w:val="00653EEB"/>
    <w:rsid w:val="0065472D"/>
    <w:rsid w:val="00656276"/>
    <w:rsid w:val="0065643B"/>
    <w:rsid w:val="006614CC"/>
    <w:rsid w:val="00661B8F"/>
    <w:rsid w:val="00662E73"/>
    <w:rsid w:val="00663516"/>
    <w:rsid w:val="00666EAC"/>
    <w:rsid w:val="00667A70"/>
    <w:rsid w:val="00667E39"/>
    <w:rsid w:val="00671A61"/>
    <w:rsid w:val="0067316B"/>
    <w:rsid w:val="00673E9E"/>
    <w:rsid w:val="006751B4"/>
    <w:rsid w:val="00676E79"/>
    <w:rsid w:val="0067768F"/>
    <w:rsid w:val="006823FB"/>
    <w:rsid w:val="00682AD5"/>
    <w:rsid w:val="00683C8D"/>
    <w:rsid w:val="00684F83"/>
    <w:rsid w:val="00686BC3"/>
    <w:rsid w:val="006A035D"/>
    <w:rsid w:val="006A1F93"/>
    <w:rsid w:val="006A4076"/>
    <w:rsid w:val="006A47FB"/>
    <w:rsid w:val="006A6C28"/>
    <w:rsid w:val="006B44D4"/>
    <w:rsid w:val="006C0F71"/>
    <w:rsid w:val="006C1550"/>
    <w:rsid w:val="006C2A31"/>
    <w:rsid w:val="006C3953"/>
    <w:rsid w:val="006C443F"/>
    <w:rsid w:val="006C7746"/>
    <w:rsid w:val="006D055C"/>
    <w:rsid w:val="006D0CAB"/>
    <w:rsid w:val="006D3CD8"/>
    <w:rsid w:val="006D6CC4"/>
    <w:rsid w:val="006D6F69"/>
    <w:rsid w:val="006E0733"/>
    <w:rsid w:val="006E0CE0"/>
    <w:rsid w:val="006E3EF8"/>
    <w:rsid w:val="006E71F2"/>
    <w:rsid w:val="006F0690"/>
    <w:rsid w:val="006F368B"/>
    <w:rsid w:val="006F3811"/>
    <w:rsid w:val="006F48A0"/>
    <w:rsid w:val="007013A6"/>
    <w:rsid w:val="00702605"/>
    <w:rsid w:val="007033AB"/>
    <w:rsid w:val="00705F6D"/>
    <w:rsid w:val="00707BA7"/>
    <w:rsid w:val="0071086C"/>
    <w:rsid w:val="00713FEB"/>
    <w:rsid w:val="0071572C"/>
    <w:rsid w:val="00716CD0"/>
    <w:rsid w:val="00721246"/>
    <w:rsid w:val="00724EA2"/>
    <w:rsid w:val="0072655E"/>
    <w:rsid w:val="007270BC"/>
    <w:rsid w:val="00730C84"/>
    <w:rsid w:val="00731AE7"/>
    <w:rsid w:val="00732E4B"/>
    <w:rsid w:val="00733379"/>
    <w:rsid w:val="00733717"/>
    <w:rsid w:val="007356A2"/>
    <w:rsid w:val="00736C99"/>
    <w:rsid w:val="00737BAB"/>
    <w:rsid w:val="00740049"/>
    <w:rsid w:val="007413E8"/>
    <w:rsid w:val="0074371E"/>
    <w:rsid w:val="0074394F"/>
    <w:rsid w:val="00744550"/>
    <w:rsid w:val="00750200"/>
    <w:rsid w:val="007512F2"/>
    <w:rsid w:val="00751804"/>
    <w:rsid w:val="00751FB3"/>
    <w:rsid w:val="00752379"/>
    <w:rsid w:val="00754E32"/>
    <w:rsid w:val="0076148C"/>
    <w:rsid w:val="00761B54"/>
    <w:rsid w:val="00763C94"/>
    <w:rsid w:val="0077094C"/>
    <w:rsid w:val="00774B7C"/>
    <w:rsid w:val="00774C0A"/>
    <w:rsid w:val="00780DB1"/>
    <w:rsid w:val="00781F07"/>
    <w:rsid w:val="0078679D"/>
    <w:rsid w:val="00786C0C"/>
    <w:rsid w:val="0079284C"/>
    <w:rsid w:val="00794AD5"/>
    <w:rsid w:val="00797293"/>
    <w:rsid w:val="007A0ECC"/>
    <w:rsid w:val="007A178E"/>
    <w:rsid w:val="007A2DC1"/>
    <w:rsid w:val="007A60E9"/>
    <w:rsid w:val="007B294B"/>
    <w:rsid w:val="007B5208"/>
    <w:rsid w:val="007C0CAC"/>
    <w:rsid w:val="007C2356"/>
    <w:rsid w:val="007C348D"/>
    <w:rsid w:val="007C70B7"/>
    <w:rsid w:val="007C7112"/>
    <w:rsid w:val="007C7494"/>
    <w:rsid w:val="007C77B3"/>
    <w:rsid w:val="007D02FC"/>
    <w:rsid w:val="007D1CFA"/>
    <w:rsid w:val="007D4A7C"/>
    <w:rsid w:val="007D7E87"/>
    <w:rsid w:val="007D7EEE"/>
    <w:rsid w:val="007E0538"/>
    <w:rsid w:val="007E14F4"/>
    <w:rsid w:val="007E3399"/>
    <w:rsid w:val="007E38E2"/>
    <w:rsid w:val="007E61BB"/>
    <w:rsid w:val="007F2630"/>
    <w:rsid w:val="007F3533"/>
    <w:rsid w:val="007F4300"/>
    <w:rsid w:val="007F4A85"/>
    <w:rsid w:val="007F4F13"/>
    <w:rsid w:val="007F6B5A"/>
    <w:rsid w:val="00800164"/>
    <w:rsid w:val="00800C08"/>
    <w:rsid w:val="008014A3"/>
    <w:rsid w:val="00804DDE"/>
    <w:rsid w:val="008051AC"/>
    <w:rsid w:val="00810079"/>
    <w:rsid w:val="00812151"/>
    <w:rsid w:val="0081218C"/>
    <w:rsid w:val="00812630"/>
    <w:rsid w:val="00812B94"/>
    <w:rsid w:val="0081372D"/>
    <w:rsid w:val="00813D19"/>
    <w:rsid w:val="00815908"/>
    <w:rsid w:val="00816F15"/>
    <w:rsid w:val="00817CC5"/>
    <w:rsid w:val="00820441"/>
    <w:rsid w:val="008234CB"/>
    <w:rsid w:val="00824916"/>
    <w:rsid w:val="0082551A"/>
    <w:rsid w:val="00825810"/>
    <w:rsid w:val="008318BF"/>
    <w:rsid w:val="00831EAA"/>
    <w:rsid w:val="00832EED"/>
    <w:rsid w:val="00836CB3"/>
    <w:rsid w:val="00843543"/>
    <w:rsid w:val="0084509E"/>
    <w:rsid w:val="00845D99"/>
    <w:rsid w:val="00846AB7"/>
    <w:rsid w:val="008515D4"/>
    <w:rsid w:val="00852739"/>
    <w:rsid w:val="00852C7F"/>
    <w:rsid w:val="00854466"/>
    <w:rsid w:val="00854D9F"/>
    <w:rsid w:val="008577E5"/>
    <w:rsid w:val="008615E7"/>
    <w:rsid w:val="008632D0"/>
    <w:rsid w:val="008632EC"/>
    <w:rsid w:val="0086333B"/>
    <w:rsid w:val="00864C40"/>
    <w:rsid w:val="0086528A"/>
    <w:rsid w:val="0086557C"/>
    <w:rsid w:val="00866F53"/>
    <w:rsid w:val="00867AE3"/>
    <w:rsid w:val="00873B81"/>
    <w:rsid w:val="008742AF"/>
    <w:rsid w:val="00875304"/>
    <w:rsid w:val="0087534B"/>
    <w:rsid w:val="00875729"/>
    <w:rsid w:val="00876CD8"/>
    <w:rsid w:val="008803C0"/>
    <w:rsid w:val="00880BB3"/>
    <w:rsid w:val="00881EF3"/>
    <w:rsid w:val="008826B9"/>
    <w:rsid w:val="00882721"/>
    <w:rsid w:val="00883FB2"/>
    <w:rsid w:val="008856D0"/>
    <w:rsid w:val="00886572"/>
    <w:rsid w:val="00890F6F"/>
    <w:rsid w:val="00890FC6"/>
    <w:rsid w:val="00891F14"/>
    <w:rsid w:val="0089304C"/>
    <w:rsid w:val="008938CB"/>
    <w:rsid w:val="00894EEF"/>
    <w:rsid w:val="008957B5"/>
    <w:rsid w:val="00896792"/>
    <w:rsid w:val="00897F25"/>
    <w:rsid w:val="008A2C7F"/>
    <w:rsid w:val="008A4A0D"/>
    <w:rsid w:val="008A5D23"/>
    <w:rsid w:val="008B010A"/>
    <w:rsid w:val="008B03C5"/>
    <w:rsid w:val="008B0433"/>
    <w:rsid w:val="008B1A3F"/>
    <w:rsid w:val="008B68F7"/>
    <w:rsid w:val="008B6B38"/>
    <w:rsid w:val="008C0F83"/>
    <w:rsid w:val="008C3737"/>
    <w:rsid w:val="008C4509"/>
    <w:rsid w:val="008C46C7"/>
    <w:rsid w:val="008D09E3"/>
    <w:rsid w:val="008D11BE"/>
    <w:rsid w:val="008D65B7"/>
    <w:rsid w:val="008E2214"/>
    <w:rsid w:val="008E57BF"/>
    <w:rsid w:val="008E7077"/>
    <w:rsid w:val="008F1C47"/>
    <w:rsid w:val="008F568D"/>
    <w:rsid w:val="0090241C"/>
    <w:rsid w:val="00902522"/>
    <w:rsid w:val="00902E43"/>
    <w:rsid w:val="00903981"/>
    <w:rsid w:val="00905A58"/>
    <w:rsid w:val="00906761"/>
    <w:rsid w:val="009073B3"/>
    <w:rsid w:val="00910CA2"/>
    <w:rsid w:val="00912D23"/>
    <w:rsid w:val="00914772"/>
    <w:rsid w:val="00915B05"/>
    <w:rsid w:val="00920087"/>
    <w:rsid w:val="00921A7A"/>
    <w:rsid w:val="00931298"/>
    <w:rsid w:val="00933041"/>
    <w:rsid w:val="009346A8"/>
    <w:rsid w:val="00935CE2"/>
    <w:rsid w:val="00936CDA"/>
    <w:rsid w:val="00940F60"/>
    <w:rsid w:val="009418B5"/>
    <w:rsid w:val="00942E10"/>
    <w:rsid w:val="0094409C"/>
    <w:rsid w:val="0094642F"/>
    <w:rsid w:val="00947102"/>
    <w:rsid w:val="00947956"/>
    <w:rsid w:val="00947981"/>
    <w:rsid w:val="00950363"/>
    <w:rsid w:val="00951956"/>
    <w:rsid w:val="00951E22"/>
    <w:rsid w:val="0095267C"/>
    <w:rsid w:val="00952DC9"/>
    <w:rsid w:val="00954AA3"/>
    <w:rsid w:val="009561EF"/>
    <w:rsid w:val="00963238"/>
    <w:rsid w:val="009638BA"/>
    <w:rsid w:val="00965D91"/>
    <w:rsid w:val="009674B3"/>
    <w:rsid w:val="00973F18"/>
    <w:rsid w:val="0097450A"/>
    <w:rsid w:val="0097522B"/>
    <w:rsid w:val="0097545E"/>
    <w:rsid w:val="0097658B"/>
    <w:rsid w:val="00976C0D"/>
    <w:rsid w:val="00977167"/>
    <w:rsid w:val="00980EB4"/>
    <w:rsid w:val="00981B3F"/>
    <w:rsid w:val="00981C4E"/>
    <w:rsid w:val="009827EF"/>
    <w:rsid w:val="00982D01"/>
    <w:rsid w:val="00982D0A"/>
    <w:rsid w:val="0098467C"/>
    <w:rsid w:val="009866DB"/>
    <w:rsid w:val="00991A24"/>
    <w:rsid w:val="00991BA9"/>
    <w:rsid w:val="00994B47"/>
    <w:rsid w:val="00997379"/>
    <w:rsid w:val="00997718"/>
    <w:rsid w:val="009A44AB"/>
    <w:rsid w:val="009A4CAC"/>
    <w:rsid w:val="009A69BA"/>
    <w:rsid w:val="009B06CA"/>
    <w:rsid w:val="009B26F3"/>
    <w:rsid w:val="009B2E71"/>
    <w:rsid w:val="009B3281"/>
    <w:rsid w:val="009B32B9"/>
    <w:rsid w:val="009B3CCA"/>
    <w:rsid w:val="009B7C33"/>
    <w:rsid w:val="009C0EC9"/>
    <w:rsid w:val="009C0F11"/>
    <w:rsid w:val="009C219E"/>
    <w:rsid w:val="009C54C9"/>
    <w:rsid w:val="009C6212"/>
    <w:rsid w:val="009C6ADB"/>
    <w:rsid w:val="009D2F33"/>
    <w:rsid w:val="009E00A1"/>
    <w:rsid w:val="009E06E4"/>
    <w:rsid w:val="009E1BC0"/>
    <w:rsid w:val="009E2340"/>
    <w:rsid w:val="009E2C4D"/>
    <w:rsid w:val="009E40F8"/>
    <w:rsid w:val="009E469A"/>
    <w:rsid w:val="009E47FD"/>
    <w:rsid w:val="009E5A78"/>
    <w:rsid w:val="009F6077"/>
    <w:rsid w:val="00A00249"/>
    <w:rsid w:val="00A00820"/>
    <w:rsid w:val="00A00A52"/>
    <w:rsid w:val="00A01419"/>
    <w:rsid w:val="00A0200E"/>
    <w:rsid w:val="00A052C7"/>
    <w:rsid w:val="00A103A2"/>
    <w:rsid w:val="00A1097F"/>
    <w:rsid w:val="00A10ECE"/>
    <w:rsid w:val="00A11434"/>
    <w:rsid w:val="00A128AC"/>
    <w:rsid w:val="00A13C97"/>
    <w:rsid w:val="00A14BD7"/>
    <w:rsid w:val="00A154BF"/>
    <w:rsid w:val="00A171A6"/>
    <w:rsid w:val="00A211BE"/>
    <w:rsid w:val="00A2266C"/>
    <w:rsid w:val="00A23389"/>
    <w:rsid w:val="00A255B0"/>
    <w:rsid w:val="00A25C46"/>
    <w:rsid w:val="00A277D9"/>
    <w:rsid w:val="00A32F94"/>
    <w:rsid w:val="00A33228"/>
    <w:rsid w:val="00A33DF7"/>
    <w:rsid w:val="00A353EF"/>
    <w:rsid w:val="00A35B69"/>
    <w:rsid w:val="00A36185"/>
    <w:rsid w:val="00A411FF"/>
    <w:rsid w:val="00A46BA9"/>
    <w:rsid w:val="00A5283F"/>
    <w:rsid w:val="00A5424E"/>
    <w:rsid w:val="00A54960"/>
    <w:rsid w:val="00A556CC"/>
    <w:rsid w:val="00A57338"/>
    <w:rsid w:val="00A57626"/>
    <w:rsid w:val="00A577DA"/>
    <w:rsid w:val="00A61D5F"/>
    <w:rsid w:val="00A620FD"/>
    <w:rsid w:val="00A6464E"/>
    <w:rsid w:val="00A65646"/>
    <w:rsid w:val="00A67068"/>
    <w:rsid w:val="00A72EBC"/>
    <w:rsid w:val="00A74B52"/>
    <w:rsid w:val="00A74C9F"/>
    <w:rsid w:val="00A75D65"/>
    <w:rsid w:val="00A77939"/>
    <w:rsid w:val="00A80708"/>
    <w:rsid w:val="00A816FD"/>
    <w:rsid w:val="00A81C7A"/>
    <w:rsid w:val="00A82B54"/>
    <w:rsid w:val="00A8530D"/>
    <w:rsid w:val="00A8690C"/>
    <w:rsid w:val="00A90D5C"/>
    <w:rsid w:val="00A9657C"/>
    <w:rsid w:val="00A96D6D"/>
    <w:rsid w:val="00A9771A"/>
    <w:rsid w:val="00AA11ED"/>
    <w:rsid w:val="00AA175C"/>
    <w:rsid w:val="00AA22AB"/>
    <w:rsid w:val="00AA238A"/>
    <w:rsid w:val="00AA33FA"/>
    <w:rsid w:val="00AA415F"/>
    <w:rsid w:val="00AA602F"/>
    <w:rsid w:val="00AA79C2"/>
    <w:rsid w:val="00AB27EA"/>
    <w:rsid w:val="00AB5074"/>
    <w:rsid w:val="00AB78C6"/>
    <w:rsid w:val="00AC3902"/>
    <w:rsid w:val="00AC5040"/>
    <w:rsid w:val="00AC585D"/>
    <w:rsid w:val="00AC5AA4"/>
    <w:rsid w:val="00AC7D75"/>
    <w:rsid w:val="00AC7F04"/>
    <w:rsid w:val="00AD516D"/>
    <w:rsid w:val="00AD5191"/>
    <w:rsid w:val="00AD6579"/>
    <w:rsid w:val="00AD725F"/>
    <w:rsid w:val="00AE0369"/>
    <w:rsid w:val="00AE1391"/>
    <w:rsid w:val="00AE29A3"/>
    <w:rsid w:val="00AE31F1"/>
    <w:rsid w:val="00AE3AEB"/>
    <w:rsid w:val="00AE4F41"/>
    <w:rsid w:val="00AF174A"/>
    <w:rsid w:val="00AF1B87"/>
    <w:rsid w:val="00AF43A4"/>
    <w:rsid w:val="00AF514C"/>
    <w:rsid w:val="00AF594D"/>
    <w:rsid w:val="00AF61C4"/>
    <w:rsid w:val="00AF6385"/>
    <w:rsid w:val="00AF6B83"/>
    <w:rsid w:val="00B015AB"/>
    <w:rsid w:val="00B028B4"/>
    <w:rsid w:val="00B0296B"/>
    <w:rsid w:val="00B034F9"/>
    <w:rsid w:val="00B06CFE"/>
    <w:rsid w:val="00B072C7"/>
    <w:rsid w:val="00B11417"/>
    <w:rsid w:val="00B14EA4"/>
    <w:rsid w:val="00B160E3"/>
    <w:rsid w:val="00B20219"/>
    <w:rsid w:val="00B20C6E"/>
    <w:rsid w:val="00B225BE"/>
    <w:rsid w:val="00B23609"/>
    <w:rsid w:val="00B238A8"/>
    <w:rsid w:val="00B307E3"/>
    <w:rsid w:val="00B30B07"/>
    <w:rsid w:val="00B315B9"/>
    <w:rsid w:val="00B32C75"/>
    <w:rsid w:val="00B3326F"/>
    <w:rsid w:val="00B405D0"/>
    <w:rsid w:val="00B41389"/>
    <w:rsid w:val="00B4643E"/>
    <w:rsid w:val="00B465B1"/>
    <w:rsid w:val="00B50934"/>
    <w:rsid w:val="00B50972"/>
    <w:rsid w:val="00B50C73"/>
    <w:rsid w:val="00B514DA"/>
    <w:rsid w:val="00B53F94"/>
    <w:rsid w:val="00B60E9F"/>
    <w:rsid w:val="00B622EF"/>
    <w:rsid w:val="00B62857"/>
    <w:rsid w:val="00B63040"/>
    <w:rsid w:val="00B631FC"/>
    <w:rsid w:val="00B65F48"/>
    <w:rsid w:val="00B66419"/>
    <w:rsid w:val="00B7202C"/>
    <w:rsid w:val="00B72198"/>
    <w:rsid w:val="00B724C2"/>
    <w:rsid w:val="00B729D2"/>
    <w:rsid w:val="00B744DE"/>
    <w:rsid w:val="00B74A9D"/>
    <w:rsid w:val="00B77442"/>
    <w:rsid w:val="00B82986"/>
    <w:rsid w:val="00B83ABF"/>
    <w:rsid w:val="00B8694F"/>
    <w:rsid w:val="00B86B9B"/>
    <w:rsid w:val="00B87D77"/>
    <w:rsid w:val="00B9108C"/>
    <w:rsid w:val="00B926D3"/>
    <w:rsid w:val="00B95D54"/>
    <w:rsid w:val="00BA06F5"/>
    <w:rsid w:val="00BA16DE"/>
    <w:rsid w:val="00BA5424"/>
    <w:rsid w:val="00BA5977"/>
    <w:rsid w:val="00BA5A85"/>
    <w:rsid w:val="00BA7A5E"/>
    <w:rsid w:val="00BB16E1"/>
    <w:rsid w:val="00BB18DB"/>
    <w:rsid w:val="00BB1932"/>
    <w:rsid w:val="00BB3644"/>
    <w:rsid w:val="00BB47B4"/>
    <w:rsid w:val="00BB48A3"/>
    <w:rsid w:val="00BB5C69"/>
    <w:rsid w:val="00BB68BF"/>
    <w:rsid w:val="00BC07EE"/>
    <w:rsid w:val="00BC1DA7"/>
    <w:rsid w:val="00BC3193"/>
    <w:rsid w:val="00BC3C7C"/>
    <w:rsid w:val="00BC40A8"/>
    <w:rsid w:val="00BC6D21"/>
    <w:rsid w:val="00BC6F26"/>
    <w:rsid w:val="00BD0D6E"/>
    <w:rsid w:val="00BD1084"/>
    <w:rsid w:val="00BD6072"/>
    <w:rsid w:val="00BD667B"/>
    <w:rsid w:val="00BD6800"/>
    <w:rsid w:val="00BE036F"/>
    <w:rsid w:val="00BE08B7"/>
    <w:rsid w:val="00BE1A6F"/>
    <w:rsid w:val="00BE1B9D"/>
    <w:rsid w:val="00BE28A4"/>
    <w:rsid w:val="00BE2CEF"/>
    <w:rsid w:val="00BE4C43"/>
    <w:rsid w:val="00BE4C88"/>
    <w:rsid w:val="00BE61CC"/>
    <w:rsid w:val="00BF2C8F"/>
    <w:rsid w:val="00C00D79"/>
    <w:rsid w:val="00C018D6"/>
    <w:rsid w:val="00C01D44"/>
    <w:rsid w:val="00C02899"/>
    <w:rsid w:val="00C0453B"/>
    <w:rsid w:val="00C04E20"/>
    <w:rsid w:val="00C075A6"/>
    <w:rsid w:val="00C104C3"/>
    <w:rsid w:val="00C11E6E"/>
    <w:rsid w:val="00C12C90"/>
    <w:rsid w:val="00C140A6"/>
    <w:rsid w:val="00C14FD9"/>
    <w:rsid w:val="00C15163"/>
    <w:rsid w:val="00C15C47"/>
    <w:rsid w:val="00C16854"/>
    <w:rsid w:val="00C17082"/>
    <w:rsid w:val="00C20DEE"/>
    <w:rsid w:val="00C23DFC"/>
    <w:rsid w:val="00C24DDA"/>
    <w:rsid w:val="00C268C9"/>
    <w:rsid w:val="00C26DB3"/>
    <w:rsid w:val="00C2712C"/>
    <w:rsid w:val="00C31596"/>
    <w:rsid w:val="00C31C9E"/>
    <w:rsid w:val="00C3299F"/>
    <w:rsid w:val="00C33269"/>
    <w:rsid w:val="00C36503"/>
    <w:rsid w:val="00C406FF"/>
    <w:rsid w:val="00C41DF7"/>
    <w:rsid w:val="00C445BF"/>
    <w:rsid w:val="00C4637A"/>
    <w:rsid w:val="00C46589"/>
    <w:rsid w:val="00C50575"/>
    <w:rsid w:val="00C5125B"/>
    <w:rsid w:val="00C530E4"/>
    <w:rsid w:val="00C5534A"/>
    <w:rsid w:val="00C55A74"/>
    <w:rsid w:val="00C563B8"/>
    <w:rsid w:val="00C64994"/>
    <w:rsid w:val="00C6681F"/>
    <w:rsid w:val="00C718A1"/>
    <w:rsid w:val="00C71D8D"/>
    <w:rsid w:val="00C82332"/>
    <w:rsid w:val="00C8299A"/>
    <w:rsid w:val="00C909A0"/>
    <w:rsid w:val="00C919E6"/>
    <w:rsid w:val="00C93C17"/>
    <w:rsid w:val="00C945EA"/>
    <w:rsid w:val="00CA0DA2"/>
    <w:rsid w:val="00CA3518"/>
    <w:rsid w:val="00CA388F"/>
    <w:rsid w:val="00CA3A33"/>
    <w:rsid w:val="00CA59F8"/>
    <w:rsid w:val="00CA6CD3"/>
    <w:rsid w:val="00CB009A"/>
    <w:rsid w:val="00CB4212"/>
    <w:rsid w:val="00CB4D58"/>
    <w:rsid w:val="00CC10C4"/>
    <w:rsid w:val="00CC139A"/>
    <w:rsid w:val="00CC3ACE"/>
    <w:rsid w:val="00CD152C"/>
    <w:rsid w:val="00CD1750"/>
    <w:rsid w:val="00CD37C7"/>
    <w:rsid w:val="00CD509B"/>
    <w:rsid w:val="00CD5827"/>
    <w:rsid w:val="00CD630C"/>
    <w:rsid w:val="00CD6A8C"/>
    <w:rsid w:val="00CE04B1"/>
    <w:rsid w:val="00CE0B31"/>
    <w:rsid w:val="00CE39C4"/>
    <w:rsid w:val="00CE3C75"/>
    <w:rsid w:val="00CE7811"/>
    <w:rsid w:val="00CF3D71"/>
    <w:rsid w:val="00CF5AD2"/>
    <w:rsid w:val="00D01378"/>
    <w:rsid w:val="00D040DC"/>
    <w:rsid w:val="00D04CDC"/>
    <w:rsid w:val="00D066D6"/>
    <w:rsid w:val="00D07643"/>
    <w:rsid w:val="00D14489"/>
    <w:rsid w:val="00D151B9"/>
    <w:rsid w:val="00D15916"/>
    <w:rsid w:val="00D15D77"/>
    <w:rsid w:val="00D21ED6"/>
    <w:rsid w:val="00D221EC"/>
    <w:rsid w:val="00D233B3"/>
    <w:rsid w:val="00D26E04"/>
    <w:rsid w:val="00D272F4"/>
    <w:rsid w:val="00D305F5"/>
    <w:rsid w:val="00D307F8"/>
    <w:rsid w:val="00D3094B"/>
    <w:rsid w:val="00D31698"/>
    <w:rsid w:val="00D3172D"/>
    <w:rsid w:val="00D31E63"/>
    <w:rsid w:val="00D320F8"/>
    <w:rsid w:val="00D32C80"/>
    <w:rsid w:val="00D32F5B"/>
    <w:rsid w:val="00D37069"/>
    <w:rsid w:val="00D41D5B"/>
    <w:rsid w:val="00D427B2"/>
    <w:rsid w:val="00D47B42"/>
    <w:rsid w:val="00D55F80"/>
    <w:rsid w:val="00D623E3"/>
    <w:rsid w:val="00D63971"/>
    <w:rsid w:val="00D63F82"/>
    <w:rsid w:val="00D7041D"/>
    <w:rsid w:val="00D74600"/>
    <w:rsid w:val="00D75B83"/>
    <w:rsid w:val="00D77923"/>
    <w:rsid w:val="00D82B1F"/>
    <w:rsid w:val="00D84A09"/>
    <w:rsid w:val="00D918E8"/>
    <w:rsid w:val="00D9526F"/>
    <w:rsid w:val="00DA2ADF"/>
    <w:rsid w:val="00DA428F"/>
    <w:rsid w:val="00DA4C7E"/>
    <w:rsid w:val="00DA5395"/>
    <w:rsid w:val="00DA6C16"/>
    <w:rsid w:val="00DA7705"/>
    <w:rsid w:val="00DA7C86"/>
    <w:rsid w:val="00DB0400"/>
    <w:rsid w:val="00DB343A"/>
    <w:rsid w:val="00DB4713"/>
    <w:rsid w:val="00DB4F14"/>
    <w:rsid w:val="00DB5D24"/>
    <w:rsid w:val="00DB7619"/>
    <w:rsid w:val="00DC2B28"/>
    <w:rsid w:val="00DC5A12"/>
    <w:rsid w:val="00DC6873"/>
    <w:rsid w:val="00DC6A5A"/>
    <w:rsid w:val="00DD1BB9"/>
    <w:rsid w:val="00DD2BC5"/>
    <w:rsid w:val="00DD44C2"/>
    <w:rsid w:val="00DD4E97"/>
    <w:rsid w:val="00DE0E3E"/>
    <w:rsid w:val="00DE0ED3"/>
    <w:rsid w:val="00DE3FA7"/>
    <w:rsid w:val="00DE5AA8"/>
    <w:rsid w:val="00DF09A3"/>
    <w:rsid w:val="00DF15E9"/>
    <w:rsid w:val="00DF1605"/>
    <w:rsid w:val="00DF1A79"/>
    <w:rsid w:val="00DF20C2"/>
    <w:rsid w:val="00DF5055"/>
    <w:rsid w:val="00E011A2"/>
    <w:rsid w:val="00E03FBA"/>
    <w:rsid w:val="00E050C1"/>
    <w:rsid w:val="00E055CB"/>
    <w:rsid w:val="00E058D4"/>
    <w:rsid w:val="00E0713E"/>
    <w:rsid w:val="00E07B48"/>
    <w:rsid w:val="00E07E9A"/>
    <w:rsid w:val="00E1165D"/>
    <w:rsid w:val="00E12897"/>
    <w:rsid w:val="00E13F80"/>
    <w:rsid w:val="00E176D6"/>
    <w:rsid w:val="00E20CC4"/>
    <w:rsid w:val="00E23295"/>
    <w:rsid w:val="00E251A9"/>
    <w:rsid w:val="00E25A71"/>
    <w:rsid w:val="00E26B55"/>
    <w:rsid w:val="00E31301"/>
    <w:rsid w:val="00E3146A"/>
    <w:rsid w:val="00E31B13"/>
    <w:rsid w:val="00E321F0"/>
    <w:rsid w:val="00E35BBD"/>
    <w:rsid w:val="00E35CE2"/>
    <w:rsid w:val="00E37486"/>
    <w:rsid w:val="00E3784E"/>
    <w:rsid w:val="00E42996"/>
    <w:rsid w:val="00E437F5"/>
    <w:rsid w:val="00E43CF7"/>
    <w:rsid w:val="00E46434"/>
    <w:rsid w:val="00E465BB"/>
    <w:rsid w:val="00E4675B"/>
    <w:rsid w:val="00E47C4A"/>
    <w:rsid w:val="00E51053"/>
    <w:rsid w:val="00E51063"/>
    <w:rsid w:val="00E51FE8"/>
    <w:rsid w:val="00E5481E"/>
    <w:rsid w:val="00E552E6"/>
    <w:rsid w:val="00E5549C"/>
    <w:rsid w:val="00E62FBA"/>
    <w:rsid w:val="00E64F07"/>
    <w:rsid w:val="00E65069"/>
    <w:rsid w:val="00E6513F"/>
    <w:rsid w:val="00E660B0"/>
    <w:rsid w:val="00E661CA"/>
    <w:rsid w:val="00E70D49"/>
    <w:rsid w:val="00E71D96"/>
    <w:rsid w:val="00E72866"/>
    <w:rsid w:val="00E74E84"/>
    <w:rsid w:val="00E75816"/>
    <w:rsid w:val="00E7703B"/>
    <w:rsid w:val="00E7784A"/>
    <w:rsid w:val="00E903C7"/>
    <w:rsid w:val="00E9198F"/>
    <w:rsid w:val="00E92BC3"/>
    <w:rsid w:val="00E9554F"/>
    <w:rsid w:val="00E958DD"/>
    <w:rsid w:val="00E97B54"/>
    <w:rsid w:val="00EA0B20"/>
    <w:rsid w:val="00EA0BBA"/>
    <w:rsid w:val="00EA117F"/>
    <w:rsid w:val="00EA1EE4"/>
    <w:rsid w:val="00EA291E"/>
    <w:rsid w:val="00EA42E6"/>
    <w:rsid w:val="00EA5959"/>
    <w:rsid w:val="00EA598D"/>
    <w:rsid w:val="00EA5C86"/>
    <w:rsid w:val="00EA618C"/>
    <w:rsid w:val="00EA6982"/>
    <w:rsid w:val="00EA6A77"/>
    <w:rsid w:val="00EB1807"/>
    <w:rsid w:val="00EB3392"/>
    <w:rsid w:val="00EB4475"/>
    <w:rsid w:val="00EC2197"/>
    <w:rsid w:val="00EC40DB"/>
    <w:rsid w:val="00EC41C6"/>
    <w:rsid w:val="00EC5A17"/>
    <w:rsid w:val="00EC6C03"/>
    <w:rsid w:val="00ED5127"/>
    <w:rsid w:val="00ED5BEE"/>
    <w:rsid w:val="00ED653E"/>
    <w:rsid w:val="00EE2AD4"/>
    <w:rsid w:val="00EE476F"/>
    <w:rsid w:val="00EE4AE3"/>
    <w:rsid w:val="00EF11A8"/>
    <w:rsid w:val="00EF204E"/>
    <w:rsid w:val="00EF412E"/>
    <w:rsid w:val="00EF5325"/>
    <w:rsid w:val="00EF5A67"/>
    <w:rsid w:val="00EF7ECB"/>
    <w:rsid w:val="00F005B5"/>
    <w:rsid w:val="00F00701"/>
    <w:rsid w:val="00F0121C"/>
    <w:rsid w:val="00F0291B"/>
    <w:rsid w:val="00F03E1C"/>
    <w:rsid w:val="00F11B1F"/>
    <w:rsid w:val="00F141FE"/>
    <w:rsid w:val="00F14654"/>
    <w:rsid w:val="00F15380"/>
    <w:rsid w:val="00F154B3"/>
    <w:rsid w:val="00F15DB4"/>
    <w:rsid w:val="00F16639"/>
    <w:rsid w:val="00F17A66"/>
    <w:rsid w:val="00F23A49"/>
    <w:rsid w:val="00F23F8A"/>
    <w:rsid w:val="00F24BE3"/>
    <w:rsid w:val="00F24DCA"/>
    <w:rsid w:val="00F25845"/>
    <w:rsid w:val="00F2676D"/>
    <w:rsid w:val="00F278BD"/>
    <w:rsid w:val="00F27CC2"/>
    <w:rsid w:val="00F308D2"/>
    <w:rsid w:val="00F34933"/>
    <w:rsid w:val="00F3646C"/>
    <w:rsid w:val="00F36C5E"/>
    <w:rsid w:val="00F3703A"/>
    <w:rsid w:val="00F424AC"/>
    <w:rsid w:val="00F43B6E"/>
    <w:rsid w:val="00F445DD"/>
    <w:rsid w:val="00F45C1C"/>
    <w:rsid w:val="00F46992"/>
    <w:rsid w:val="00F479DC"/>
    <w:rsid w:val="00F47F1C"/>
    <w:rsid w:val="00F527A2"/>
    <w:rsid w:val="00F52930"/>
    <w:rsid w:val="00F53236"/>
    <w:rsid w:val="00F53D4E"/>
    <w:rsid w:val="00F57B86"/>
    <w:rsid w:val="00F57C69"/>
    <w:rsid w:val="00F614AA"/>
    <w:rsid w:val="00F615A3"/>
    <w:rsid w:val="00F62A42"/>
    <w:rsid w:val="00F6460D"/>
    <w:rsid w:val="00F64E1F"/>
    <w:rsid w:val="00F65A4B"/>
    <w:rsid w:val="00F66242"/>
    <w:rsid w:val="00F7034E"/>
    <w:rsid w:val="00F70604"/>
    <w:rsid w:val="00F7253E"/>
    <w:rsid w:val="00F72FA7"/>
    <w:rsid w:val="00F73747"/>
    <w:rsid w:val="00F74569"/>
    <w:rsid w:val="00F75C21"/>
    <w:rsid w:val="00F7611C"/>
    <w:rsid w:val="00F76873"/>
    <w:rsid w:val="00F80F0B"/>
    <w:rsid w:val="00F81A66"/>
    <w:rsid w:val="00F81C76"/>
    <w:rsid w:val="00F81E16"/>
    <w:rsid w:val="00F829BF"/>
    <w:rsid w:val="00F8627B"/>
    <w:rsid w:val="00F86B8D"/>
    <w:rsid w:val="00F87E7C"/>
    <w:rsid w:val="00F90B4F"/>
    <w:rsid w:val="00F934F6"/>
    <w:rsid w:val="00F940D0"/>
    <w:rsid w:val="00F96DA9"/>
    <w:rsid w:val="00F96F3C"/>
    <w:rsid w:val="00F96FB2"/>
    <w:rsid w:val="00F97D2D"/>
    <w:rsid w:val="00FA05B4"/>
    <w:rsid w:val="00FA2ED1"/>
    <w:rsid w:val="00FA70CA"/>
    <w:rsid w:val="00FA7405"/>
    <w:rsid w:val="00FA7912"/>
    <w:rsid w:val="00FB4682"/>
    <w:rsid w:val="00FB7057"/>
    <w:rsid w:val="00FB7BB4"/>
    <w:rsid w:val="00FC1108"/>
    <w:rsid w:val="00FC56D5"/>
    <w:rsid w:val="00FC634B"/>
    <w:rsid w:val="00FC6891"/>
    <w:rsid w:val="00FD19ED"/>
    <w:rsid w:val="00FD494F"/>
    <w:rsid w:val="00FD4DAD"/>
    <w:rsid w:val="00FD60B7"/>
    <w:rsid w:val="00FE0EE1"/>
    <w:rsid w:val="00FE2D2D"/>
    <w:rsid w:val="00FE4E83"/>
    <w:rsid w:val="00FE52F1"/>
    <w:rsid w:val="00FE6302"/>
    <w:rsid w:val="00FE692E"/>
    <w:rsid w:val="00FE78B0"/>
    <w:rsid w:val="00FF0375"/>
    <w:rsid w:val="00FF3F4C"/>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383">
      <w:bodyDiv w:val="1"/>
      <w:marLeft w:val="0"/>
      <w:marRight w:val="0"/>
      <w:marTop w:val="0"/>
      <w:marBottom w:val="0"/>
      <w:divBdr>
        <w:top w:val="none" w:sz="0" w:space="0" w:color="auto"/>
        <w:left w:val="none" w:sz="0" w:space="0" w:color="auto"/>
        <w:bottom w:val="none" w:sz="0" w:space="0" w:color="auto"/>
        <w:right w:val="none" w:sz="0" w:space="0" w:color="auto"/>
      </w:divBdr>
      <w:divsChild>
        <w:div w:id="1677264184">
          <w:marLeft w:val="284"/>
          <w:marRight w:val="0"/>
          <w:marTop w:val="80"/>
          <w:marBottom w:val="0"/>
          <w:divBdr>
            <w:top w:val="none" w:sz="0" w:space="0" w:color="auto"/>
            <w:left w:val="none" w:sz="0" w:space="0" w:color="auto"/>
            <w:bottom w:val="none" w:sz="0" w:space="0" w:color="auto"/>
            <w:right w:val="none" w:sz="0" w:space="0" w:color="auto"/>
          </w:divBdr>
        </w:div>
        <w:div w:id="956911233">
          <w:marLeft w:val="1134"/>
          <w:marRight w:val="0"/>
          <w:marTop w:val="60"/>
          <w:marBottom w:val="0"/>
          <w:divBdr>
            <w:top w:val="none" w:sz="0" w:space="0" w:color="auto"/>
            <w:left w:val="none" w:sz="0" w:space="0" w:color="auto"/>
            <w:bottom w:val="none" w:sz="0" w:space="0" w:color="auto"/>
            <w:right w:val="none" w:sz="0" w:space="0" w:color="auto"/>
          </w:divBdr>
        </w:div>
        <w:div w:id="1505587601">
          <w:marLeft w:val="1985"/>
          <w:marRight w:val="0"/>
          <w:marTop w:val="60"/>
          <w:marBottom w:val="0"/>
          <w:divBdr>
            <w:top w:val="none" w:sz="0" w:space="0" w:color="auto"/>
            <w:left w:val="none" w:sz="0" w:space="0" w:color="auto"/>
            <w:bottom w:val="none" w:sz="0" w:space="0" w:color="auto"/>
            <w:right w:val="none" w:sz="0" w:space="0" w:color="auto"/>
          </w:divBdr>
        </w:div>
        <w:div w:id="1626426755">
          <w:marLeft w:val="1985"/>
          <w:marRight w:val="0"/>
          <w:marTop w:val="60"/>
          <w:marBottom w:val="0"/>
          <w:divBdr>
            <w:top w:val="none" w:sz="0" w:space="0" w:color="auto"/>
            <w:left w:val="none" w:sz="0" w:space="0" w:color="auto"/>
            <w:bottom w:val="none" w:sz="0" w:space="0" w:color="auto"/>
            <w:right w:val="none" w:sz="0" w:space="0" w:color="auto"/>
          </w:divBdr>
        </w:div>
        <w:div w:id="666833111">
          <w:marLeft w:val="1134"/>
          <w:marRight w:val="0"/>
          <w:marTop w:val="60"/>
          <w:marBottom w:val="0"/>
          <w:divBdr>
            <w:top w:val="none" w:sz="0" w:space="0" w:color="auto"/>
            <w:left w:val="none" w:sz="0" w:space="0" w:color="auto"/>
            <w:bottom w:val="none" w:sz="0" w:space="0" w:color="auto"/>
            <w:right w:val="none" w:sz="0" w:space="0" w:color="auto"/>
          </w:divBdr>
        </w:div>
        <w:div w:id="43144341">
          <w:marLeft w:val="284"/>
          <w:marRight w:val="0"/>
          <w:marTop w:val="40"/>
          <w:marBottom w:val="0"/>
          <w:divBdr>
            <w:top w:val="none" w:sz="0" w:space="0" w:color="auto"/>
            <w:left w:val="none" w:sz="0" w:space="0" w:color="auto"/>
            <w:bottom w:val="none" w:sz="0" w:space="0" w:color="auto"/>
            <w:right w:val="none" w:sz="0" w:space="0" w:color="auto"/>
          </w:divBdr>
        </w:div>
      </w:divsChild>
    </w:div>
    <w:div w:id="626012865">
      <w:bodyDiv w:val="1"/>
      <w:marLeft w:val="0"/>
      <w:marRight w:val="0"/>
      <w:marTop w:val="0"/>
      <w:marBottom w:val="0"/>
      <w:divBdr>
        <w:top w:val="none" w:sz="0" w:space="0" w:color="auto"/>
        <w:left w:val="none" w:sz="0" w:space="0" w:color="auto"/>
        <w:bottom w:val="none" w:sz="0" w:space="0" w:color="auto"/>
        <w:right w:val="none" w:sz="0" w:space="0" w:color="auto"/>
      </w:divBdr>
      <w:divsChild>
        <w:div w:id="1492285592">
          <w:marLeft w:val="0"/>
          <w:marRight w:val="0"/>
          <w:marTop w:val="240"/>
          <w:marBottom w:val="0"/>
          <w:divBdr>
            <w:top w:val="none" w:sz="0" w:space="0" w:color="auto"/>
            <w:left w:val="none" w:sz="0" w:space="0" w:color="auto"/>
            <w:bottom w:val="none" w:sz="0" w:space="0" w:color="auto"/>
            <w:right w:val="none" w:sz="0" w:space="0" w:color="auto"/>
          </w:divBdr>
        </w:div>
        <w:div w:id="311720732">
          <w:marLeft w:val="0"/>
          <w:marRight w:val="0"/>
          <w:marTop w:val="120"/>
          <w:marBottom w:val="0"/>
          <w:divBdr>
            <w:top w:val="none" w:sz="0" w:space="0" w:color="auto"/>
            <w:left w:val="none" w:sz="0" w:space="0" w:color="auto"/>
            <w:bottom w:val="none" w:sz="0" w:space="0" w:color="auto"/>
            <w:right w:val="none" w:sz="0" w:space="0" w:color="auto"/>
          </w:divBdr>
        </w:div>
        <w:div w:id="375130769">
          <w:marLeft w:val="1134"/>
          <w:marRight w:val="0"/>
          <w:marTop w:val="60"/>
          <w:marBottom w:val="0"/>
          <w:divBdr>
            <w:top w:val="none" w:sz="0" w:space="0" w:color="auto"/>
            <w:left w:val="none" w:sz="0" w:space="0" w:color="auto"/>
            <w:bottom w:val="none" w:sz="0" w:space="0" w:color="auto"/>
            <w:right w:val="none" w:sz="0" w:space="0" w:color="auto"/>
          </w:divBdr>
        </w:div>
        <w:div w:id="2040356973">
          <w:marLeft w:val="1134"/>
          <w:marRight w:val="0"/>
          <w:marTop w:val="60"/>
          <w:marBottom w:val="0"/>
          <w:divBdr>
            <w:top w:val="none" w:sz="0" w:space="0" w:color="auto"/>
            <w:left w:val="none" w:sz="0" w:space="0" w:color="auto"/>
            <w:bottom w:val="none" w:sz="0" w:space="0" w:color="auto"/>
            <w:right w:val="none" w:sz="0" w:space="0" w:color="auto"/>
          </w:divBdr>
        </w:div>
        <w:div w:id="1534806816">
          <w:marLeft w:val="1985"/>
          <w:marRight w:val="0"/>
          <w:marTop w:val="60"/>
          <w:marBottom w:val="0"/>
          <w:divBdr>
            <w:top w:val="none" w:sz="0" w:space="0" w:color="auto"/>
            <w:left w:val="none" w:sz="0" w:space="0" w:color="auto"/>
            <w:bottom w:val="none" w:sz="0" w:space="0" w:color="auto"/>
            <w:right w:val="none" w:sz="0" w:space="0" w:color="auto"/>
          </w:divBdr>
        </w:div>
        <w:div w:id="896428255">
          <w:marLeft w:val="1985"/>
          <w:marRight w:val="0"/>
          <w:marTop w:val="60"/>
          <w:marBottom w:val="0"/>
          <w:divBdr>
            <w:top w:val="none" w:sz="0" w:space="0" w:color="auto"/>
            <w:left w:val="none" w:sz="0" w:space="0" w:color="auto"/>
            <w:bottom w:val="none" w:sz="0" w:space="0" w:color="auto"/>
            <w:right w:val="none" w:sz="0" w:space="0" w:color="auto"/>
          </w:divBdr>
        </w:div>
        <w:div w:id="1255090219">
          <w:marLeft w:val="0"/>
          <w:marRight w:val="0"/>
          <w:marTop w:val="120"/>
          <w:marBottom w:val="0"/>
          <w:divBdr>
            <w:top w:val="none" w:sz="0" w:space="0" w:color="auto"/>
            <w:left w:val="none" w:sz="0" w:space="0" w:color="auto"/>
            <w:bottom w:val="none" w:sz="0" w:space="0" w:color="auto"/>
            <w:right w:val="none" w:sz="0" w:space="0" w:color="auto"/>
          </w:divBdr>
        </w:div>
        <w:div w:id="2115206596">
          <w:marLeft w:val="1134"/>
          <w:marRight w:val="0"/>
          <w:marTop w:val="60"/>
          <w:marBottom w:val="0"/>
          <w:divBdr>
            <w:top w:val="none" w:sz="0" w:space="0" w:color="auto"/>
            <w:left w:val="none" w:sz="0" w:space="0" w:color="auto"/>
            <w:bottom w:val="none" w:sz="0" w:space="0" w:color="auto"/>
            <w:right w:val="none" w:sz="0" w:space="0" w:color="auto"/>
          </w:divBdr>
        </w:div>
        <w:div w:id="125708195">
          <w:marLeft w:val="1134"/>
          <w:marRight w:val="0"/>
          <w:marTop w:val="60"/>
          <w:marBottom w:val="0"/>
          <w:divBdr>
            <w:top w:val="none" w:sz="0" w:space="0" w:color="auto"/>
            <w:left w:val="none" w:sz="0" w:space="0" w:color="auto"/>
            <w:bottom w:val="none" w:sz="0" w:space="0" w:color="auto"/>
            <w:right w:val="none" w:sz="0" w:space="0" w:color="auto"/>
          </w:divBdr>
        </w:div>
        <w:div w:id="939416527">
          <w:marLeft w:val="1985"/>
          <w:marRight w:val="0"/>
          <w:marTop w:val="60"/>
          <w:marBottom w:val="0"/>
          <w:divBdr>
            <w:top w:val="none" w:sz="0" w:space="0" w:color="auto"/>
            <w:left w:val="none" w:sz="0" w:space="0" w:color="auto"/>
            <w:bottom w:val="none" w:sz="0" w:space="0" w:color="auto"/>
            <w:right w:val="none" w:sz="0" w:space="0" w:color="auto"/>
          </w:divBdr>
        </w:div>
        <w:div w:id="713697238">
          <w:marLeft w:val="1985"/>
          <w:marRight w:val="0"/>
          <w:marTop w:val="60"/>
          <w:marBottom w:val="0"/>
          <w:divBdr>
            <w:top w:val="none" w:sz="0" w:space="0" w:color="auto"/>
            <w:left w:val="none" w:sz="0" w:space="0" w:color="auto"/>
            <w:bottom w:val="none" w:sz="0" w:space="0" w:color="auto"/>
            <w:right w:val="none" w:sz="0" w:space="0" w:color="auto"/>
          </w:divBdr>
        </w:div>
        <w:div w:id="1311441934">
          <w:marLeft w:val="0"/>
          <w:marRight w:val="0"/>
          <w:marTop w:val="120"/>
          <w:marBottom w:val="0"/>
          <w:divBdr>
            <w:top w:val="none" w:sz="0" w:space="0" w:color="auto"/>
            <w:left w:val="none" w:sz="0" w:space="0" w:color="auto"/>
            <w:bottom w:val="none" w:sz="0" w:space="0" w:color="auto"/>
            <w:right w:val="none" w:sz="0" w:space="0" w:color="auto"/>
          </w:divBdr>
        </w:div>
        <w:div w:id="408503525">
          <w:marLeft w:val="1134"/>
          <w:marRight w:val="0"/>
          <w:marTop w:val="60"/>
          <w:marBottom w:val="0"/>
          <w:divBdr>
            <w:top w:val="none" w:sz="0" w:space="0" w:color="auto"/>
            <w:left w:val="none" w:sz="0" w:space="0" w:color="auto"/>
            <w:bottom w:val="none" w:sz="0" w:space="0" w:color="auto"/>
            <w:right w:val="none" w:sz="0" w:space="0" w:color="auto"/>
          </w:divBdr>
        </w:div>
        <w:div w:id="684552280">
          <w:marLeft w:val="1134"/>
          <w:marRight w:val="0"/>
          <w:marTop w:val="60"/>
          <w:marBottom w:val="0"/>
          <w:divBdr>
            <w:top w:val="none" w:sz="0" w:space="0" w:color="auto"/>
            <w:left w:val="none" w:sz="0" w:space="0" w:color="auto"/>
            <w:bottom w:val="none" w:sz="0" w:space="0" w:color="auto"/>
            <w:right w:val="none" w:sz="0" w:space="0" w:color="auto"/>
          </w:divBdr>
        </w:div>
        <w:div w:id="10029777">
          <w:marLeft w:val="0"/>
          <w:marRight w:val="0"/>
          <w:marTop w:val="120"/>
          <w:marBottom w:val="0"/>
          <w:divBdr>
            <w:top w:val="none" w:sz="0" w:space="0" w:color="auto"/>
            <w:left w:val="none" w:sz="0" w:space="0" w:color="auto"/>
            <w:bottom w:val="none" w:sz="0" w:space="0" w:color="auto"/>
            <w:right w:val="none" w:sz="0" w:space="0" w:color="auto"/>
          </w:divBdr>
        </w:div>
        <w:div w:id="37822525">
          <w:marLeft w:val="0"/>
          <w:marRight w:val="0"/>
          <w:marTop w:val="60"/>
          <w:marBottom w:val="0"/>
          <w:divBdr>
            <w:top w:val="none" w:sz="0" w:space="0" w:color="auto"/>
            <w:left w:val="none" w:sz="0" w:space="0" w:color="auto"/>
            <w:bottom w:val="none" w:sz="0" w:space="0" w:color="auto"/>
            <w:right w:val="none" w:sz="0" w:space="0" w:color="auto"/>
          </w:divBdr>
        </w:div>
        <w:div w:id="1751003146">
          <w:marLeft w:val="1134"/>
          <w:marRight w:val="0"/>
          <w:marTop w:val="60"/>
          <w:marBottom w:val="0"/>
          <w:divBdr>
            <w:top w:val="none" w:sz="0" w:space="0" w:color="auto"/>
            <w:left w:val="none" w:sz="0" w:space="0" w:color="auto"/>
            <w:bottom w:val="none" w:sz="0" w:space="0" w:color="auto"/>
            <w:right w:val="none" w:sz="0" w:space="0" w:color="auto"/>
          </w:divBdr>
        </w:div>
        <w:div w:id="140581850">
          <w:marLeft w:val="1134"/>
          <w:marRight w:val="0"/>
          <w:marTop w:val="60"/>
          <w:marBottom w:val="0"/>
          <w:divBdr>
            <w:top w:val="none" w:sz="0" w:space="0" w:color="auto"/>
            <w:left w:val="none" w:sz="0" w:space="0" w:color="auto"/>
            <w:bottom w:val="none" w:sz="0" w:space="0" w:color="auto"/>
            <w:right w:val="none" w:sz="0" w:space="0" w:color="auto"/>
          </w:divBdr>
        </w:div>
        <w:div w:id="115101726">
          <w:marLeft w:val="1134"/>
          <w:marRight w:val="0"/>
          <w:marTop w:val="60"/>
          <w:marBottom w:val="0"/>
          <w:divBdr>
            <w:top w:val="none" w:sz="0" w:space="0" w:color="auto"/>
            <w:left w:val="none" w:sz="0" w:space="0" w:color="auto"/>
            <w:bottom w:val="none" w:sz="0" w:space="0" w:color="auto"/>
            <w:right w:val="none" w:sz="0" w:space="0" w:color="auto"/>
          </w:divBdr>
        </w:div>
        <w:div w:id="637682546">
          <w:marLeft w:val="0"/>
          <w:marRight w:val="0"/>
          <w:marTop w:val="60"/>
          <w:marBottom w:val="0"/>
          <w:divBdr>
            <w:top w:val="none" w:sz="0" w:space="0" w:color="auto"/>
            <w:left w:val="none" w:sz="0" w:space="0" w:color="auto"/>
            <w:bottom w:val="none" w:sz="0" w:space="0" w:color="auto"/>
            <w:right w:val="none" w:sz="0" w:space="0" w:color="auto"/>
          </w:divBdr>
        </w:div>
        <w:div w:id="384064830">
          <w:marLeft w:val="0"/>
          <w:marRight w:val="0"/>
          <w:marTop w:val="240"/>
          <w:marBottom w:val="0"/>
          <w:divBdr>
            <w:top w:val="none" w:sz="0" w:space="0" w:color="auto"/>
            <w:left w:val="none" w:sz="0" w:space="0" w:color="auto"/>
            <w:bottom w:val="none" w:sz="0" w:space="0" w:color="auto"/>
            <w:right w:val="none" w:sz="0" w:space="0" w:color="auto"/>
          </w:divBdr>
        </w:div>
        <w:div w:id="872233781">
          <w:marLeft w:val="0"/>
          <w:marRight w:val="0"/>
          <w:marTop w:val="120"/>
          <w:marBottom w:val="0"/>
          <w:divBdr>
            <w:top w:val="none" w:sz="0" w:space="0" w:color="auto"/>
            <w:left w:val="none" w:sz="0" w:space="0" w:color="auto"/>
            <w:bottom w:val="none" w:sz="0" w:space="0" w:color="auto"/>
            <w:right w:val="none" w:sz="0" w:space="0" w:color="auto"/>
          </w:divBdr>
        </w:div>
        <w:div w:id="1832260096">
          <w:marLeft w:val="1134"/>
          <w:marRight w:val="0"/>
          <w:marTop w:val="60"/>
          <w:marBottom w:val="0"/>
          <w:divBdr>
            <w:top w:val="none" w:sz="0" w:space="0" w:color="auto"/>
            <w:left w:val="none" w:sz="0" w:space="0" w:color="auto"/>
            <w:bottom w:val="none" w:sz="0" w:space="0" w:color="auto"/>
            <w:right w:val="none" w:sz="0" w:space="0" w:color="auto"/>
          </w:divBdr>
        </w:div>
        <w:div w:id="598871356">
          <w:marLeft w:val="567"/>
          <w:marRight w:val="567"/>
          <w:marTop w:val="20"/>
          <w:marBottom w:val="20"/>
          <w:divBdr>
            <w:top w:val="none" w:sz="0" w:space="0" w:color="auto"/>
            <w:left w:val="none" w:sz="0" w:space="0" w:color="auto"/>
            <w:bottom w:val="none" w:sz="0" w:space="0" w:color="auto"/>
            <w:right w:val="none" w:sz="0" w:space="0" w:color="auto"/>
          </w:divBdr>
        </w:div>
        <w:div w:id="1135026941">
          <w:marLeft w:val="1134"/>
          <w:marRight w:val="0"/>
          <w:marTop w:val="60"/>
          <w:marBottom w:val="0"/>
          <w:divBdr>
            <w:top w:val="none" w:sz="0" w:space="0" w:color="auto"/>
            <w:left w:val="none" w:sz="0" w:space="0" w:color="auto"/>
            <w:bottom w:val="none" w:sz="0" w:space="0" w:color="auto"/>
            <w:right w:val="none" w:sz="0" w:space="0" w:color="auto"/>
          </w:divBdr>
        </w:div>
        <w:div w:id="1257321287">
          <w:marLeft w:val="1134"/>
          <w:marRight w:val="0"/>
          <w:marTop w:val="60"/>
          <w:marBottom w:val="0"/>
          <w:divBdr>
            <w:top w:val="none" w:sz="0" w:space="0" w:color="auto"/>
            <w:left w:val="none" w:sz="0" w:space="0" w:color="auto"/>
            <w:bottom w:val="none" w:sz="0" w:space="0" w:color="auto"/>
            <w:right w:val="none" w:sz="0" w:space="0" w:color="auto"/>
          </w:divBdr>
        </w:div>
        <w:div w:id="836269935">
          <w:marLeft w:val="1134"/>
          <w:marRight w:val="0"/>
          <w:marTop w:val="60"/>
          <w:marBottom w:val="0"/>
          <w:divBdr>
            <w:top w:val="none" w:sz="0" w:space="0" w:color="auto"/>
            <w:left w:val="none" w:sz="0" w:space="0" w:color="auto"/>
            <w:bottom w:val="none" w:sz="0" w:space="0" w:color="auto"/>
            <w:right w:val="none" w:sz="0" w:space="0" w:color="auto"/>
          </w:divBdr>
        </w:div>
        <w:div w:id="199127006">
          <w:marLeft w:val="1134"/>
          <w:marRight w:val="0"/>
          <w:marTop w:val="60"/>
          <w:marBottom w:val="0"/>
          <w:divBdr>
            <w:top w:val="none" w:sz="0" w:space="0" w:color="auto"/>
            <w:left w:val="none" w:sz="0" w:space="0" w:color="auto"/>
            <w:bottom w:val="none" w:sz="0" w:space="0" w:color="auto"/>
            <w:right w:val="none" w:sz="0" w:space="0" w:color="auto"/>
          </w:divBdr>
        </w:div>
        <w:div w:id="769551295">
          <w:marLeft w:val="1134"/>
          <w:marRight w:val="0"/>
          <w:marTop w:val="60"/>
          <w:marBottom w:val="0"/>
          <w:divBdr>
            <w:top w:val="none" w:sz="0" w:space="0" w:color="auto"/>
            <w:left w:val="none" w:sz="0" w:space="0" w:color="auto"/>
            <w:bottom w:val="none" w:sz="0" w:space="0" w:color="auto"/>
            <w:right w:val="none" w:sz="0" w:space="0" w:color="auto"/>
          </w:divBdr>
        </w:div>
        <w:div w:id="585964256">
          <w:marLeft w:val="0"/>
          <w:marRight w:val="0"/>
          <w:marTop w:val="120"/>
          <w:marBottom w:val="0"/>
          <w:divBdr>
            <w:top w:val="none" w:sz="0" w:space="0" w:color="auto"/>
            <w:left w:val="none" w:sz="0" w:space="0" w:color="auto"/>
            <w:bottom w:val="none" w:sz="0" w:space="0" w:color="auto"/>
            <w:right w:val="none" w:sz="0" w:space="0" w:color="auto"/>
          </w:divBdr>
        </w:div>
        <w:div w:id="46145329">
          <w:marLeft w:val="1134"/>
          <w:marRight w:val="0"/>
          <w:marTop w:val="60"/>
          <w:marBottom w:val="0"/>
          <w:divBdr>
            <w:top w:val="none" w:sz="0" w:space="0" w:color="auto"/>
            <w:left w:val="none" w:sz="0" w:space="0" w:color="auto"/>
            <w:bottom w:val="none" w:sz="0" w:space="0" w:color="auto"/>
            <w:right w:val="none" w:sz="0" w:space="0" w:color="auto"/>
          </w:divBdr>
        </w:div>
        <w:div w:id="1043142597">
          <w:marLeft w:val="1134"/>
          <w:marRight w:val="0"/>
          <w:marTop w:val="60"/>
          <w:marBottom w:val="0"/>
          <w:divBdr>
            <w:top w:val="none" w:sz="0" w:space="0" w:color="auto"/>
            <w:left w:val="none" w:sz="0" w:space="0" w:color="auto"/>
            <w:bottom w:val="none" w:sz="0" w:space="0" w:color="auto"/>
            <w:right w:val="none" w:sz="0" w:space="0" w:color="auto"/>
          </w:divBdr>
        </w:div>
        <w:div w:id="2038849030">
          <w:marLeft w:val="1985"/>
          <w:marRight w:val="0"/>
          <w:marTop w:val="60"/>
          <w:marBottom w:val="0"/>
          <w:divBdr>
            <w:top w:val="none" w:sz="0" w:space="0" w:color="auto"/>
            <w:left w:val="none" w:sz="0" w:space="0" w:color="auto"/>
            <w:bottom w:val="none" w:sz="0" w:space="0" w:color="auto"/>
            <w:right w:val="none" w:sz="0" w:space="0" w:color="auto"/>
          </w:divBdr>
        </w:div>
        <w:div w:id="605816283">
          <w:marLeft w:val="1985"/>
          <w:marRight w:val="0"/>
          <w:marTop w:val="60"/>
          <w:marBottom w:val="0"/>
          <w:divBdr>
            <w:top w:val="none" w:sz="0" w:space="0" w:color="auto"/>
            <w:left w:val="none" w:sz="0" w:space="0" w:color="auto"/>
            <w:bottom w:val="none" w:sz="0" w:space="0" w:color="auto"/>
            <w:right w:val="none" w:sz="0" w:space="0" w:color="auto"/>
          </w:divBdr>
        </w:div>
        <w:div w:id="734358521">
          <w:marLeft w:val="1985"/>
          <w:marRight w:val="0"/>
          <w:marTop w:val="60"/>
          <w:marBottom w:val="0"/>
          <w:divBdr>
            <w:top w:val="none" w:sz="0" w:space="0" w:color="auto"/>
            <w:left w:val="none" w:sz="0" w:space="0" w:color="auto"/>
            <w:bottom w:val="none" w:sz="0" w:space="0" w:color="auto"/>
            <w:right w:val="none" w:sz="0" w:space="0" w:color="auto"/>
          </w:divBdr>
        </w:div>
        <w:div w:id="1563979154">
          <w:marLeft w:val="1985"/>
          <w:marRight w:val="0"/>
          <w:marTop w:val="60"/>
          <w:marBottom w:val="0"/>
          <w:divBdr>
            <w:top w:val="none" w:sz="0" w:space="0" w:color="auto"/>
            <w:left w:val="none" w:sz="0" w:space="0" w:color="auto"/>
            <w:bottom w:val="none" w:sz="0" w:space="0" w:color="auto"/>
            <w:right w:val="none" w:sz="0" w:space="0" w:color="auto"/>
          </w:divBdr>
        </w:div>
      </w:divsChild>
    </w:div>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805244533">
      <w:bodyDiv w:val="1"/>
      <w:marLeft w:val="0"/>
      <w:marRight w:val="0"/>
      <w:marTop w:val="0"/>
      <w:marBottom w:val="0"/>
      <w:divBdr>
        <w:top w:val="none" w:sz="0" w:space="0" w:color="auto"/>
        <w:left w:val="none" w:sz="0" w:space="0" w:color="auto"/>
        <w:bottom w:val="none" w:sz="0" w:space="0" w:color="auto"/>
        <w:right w:val="none" w:sz="0" w:space="0" w:color="auto"/>
      </w:divBdr>
      <w:divsChild>
        <w:div w:id="1907764798">
          <w:marLeft w:val="0"/>
          <w:marRight w:val="0"/>
          <w:marTop w:val="120"/>
          <w:marBottom w:val="0"/>
          <w:divBdr>
            <w:top w:val="none" w:sz="0" w:space="0" w:color="auto"/>
            <w:left w:val="none" w:sz="0" w:space="0" w:color="auto"/>
            <w:bottom w:val="none" w:sz="0" w:space="0" w:color="auto"/>
            <w:right w:val="none" w:sz="0" w:space="0" w:color="auto"/>
          </w:divBdr>
        </w:div>
        <w:div w:id="332806303">
          <w:marLeft w:val="284"/>
          <w:marRight w:val="0"/>
          <w:marTop w:val="80"/>
          <w:marBottom w:val="0"/>
          <w:divBdr>
            <w:top w:val="none" w:sz="0" w:space="0" w:color="auto"/>
            <w:left w:val="none" w:sz="0" w:space="0" w:color="auto"/>
            <w:bottom w:val="none" w:sz="0" w:space="0" w:color="auto"/>
            <w:right w:val="none" w:sz="0" w:space="0" w:color="auto"/>
          </w:divBdr>
        </w:div>
        <w:div w:id="1286234705">
          <w:marLeft w:val="284"/>
          <w:marRight w:val="0"/>
          <w:marTop w:val="80"/>
          <w:marBottom w:val="0"/>
          <w:divBdr>
            <w:top w:val="none" w:sz="0" w:space="0" w:color="auto"/>
            <w:left w:val="none" w:sz="0" w:space="0" w:color="auto"/>
            <w:bottom w:val="none" w:sz="0" w:space="0" w:color="auto"/>
            <w:right w:val="none" w:sz="0" w:space="0" w:color="auto"/>
          </w:divBdr>
        </w:div>
        <w:div w:id="1866869912">
          <w:marLeft w:val="284"/>
          <w:marRight w:val="0"/>
          <w:marTop w:val="80"/>
          <w:marBottom w:val="0"/>
          <w:divBdr>
            <w:top w:val="none" w:sz="0" w:space="0" w:color="auto"/>
            <w:left w:val="none" w:sz="0" w:space="0" w:color="auto"/>
            <w:bottom w:val="none" w:sz="0" w:space="0" w:color="auto"/>
            <w:right w:val="none" w:sz="0" w:space="0" w:color="auto"/>
          </w:divBdr>
        </w:div>
        <w:div w:id="1758288579">
          <w:marLeft w:val="1134"/>
          <w:marRight w:val="0"/>
          <w:marTop w:val="60"/>
          <w:marBottom w:val="0"/>
          <w:divBdr>
            <w:top w:val="none" w:sz="0" w:space="0" w:color="auto"/>
            <w:left w:val="none" w:sz="0" w:space="0" w:color="auto"/>
            <w:bottom w:val="none" w:sz="0" w:space="0" w:color="auto"/>
            <w:right w:val="none" w:sz="0" w:space="0" w:color="auto"/>
          </w:divBdr>
        </w:div>
        <w:div w:id="410540228">
          <w:marLeft w:val="1985"/>
          <w:marRight w:val="0"/>
          <w:marTop w:val="60"/>
          <w:marBottom w:val="0"/>
          <w:divBdr>
            <w:top w:val="none" w:sz="0" w:space="0" w:color="auto"/>
            <w:left w:val="none" w:sz="0" w:space="0" w:color="auto"/>
            <w:bottom w:val="none" w:sz="0" w:space="0" w:color="auto"/>
            <w:right w:val="none" w:sz="0" w:space="0" w:color="auto"/>
          </w:divBdr>
        </w:div>
        <w:div w:id="1964269728">
          <w:marLeft w:val="1985"/>
          <w:marRight w:val="0"/>
          <w:marTop w:val="60"/>
          <w:marBottom w:val="0"/>
          <w:divBdr>
            <w:top w:val="none" w:sz="0" w:space="0" w:color="auto"/>
            <w:left w:val="none" w:sz="0" w:space="0" w:color="auto"/>
            <w:bottom w:val="none" w:sz="0" w:space="0" w:color="auto"/>
            <w:right w:val="none" w:sz="0" w:space="0" w:color="auto"/>
          </w:divBdr>
        </w:div>
        <w:div w:id="2030177281">
          <w:marLeft w:val="1134"/>
          <w:marRight w:val="0"/>
          <w:marTop w:val="60"/>
          <w:marBottom w:val="0"/>
          <w:divBdr>
            <w:top w:val="none" w:sz="0" w:space="0" w:color="auto"/>
            <w:left w:val="none" w:sz="0" w:space="0" w:color="auto"/>
            <w:bottom w:val="none" w:sz="0" w:space="0" w:color="auto"/>
            <w:right w:val="none" w:sz="0" w:space="0" w:color="auto"/>
          </w:divBdr>
        </w:div>
        <w:div w:id="34501957">
          <w:marLeft w:val="284"/>
          <w:marRight w:val="0"/>
          <w:marTop w:val="40"/>
          <w:marBottom w:val="0"/>
          <w:divBdr>
            <w:top w:val="none" w:sz="0" w:space="0" w:color="auto"/>
            <w:left w:val="none" w:sz="0" w:space="0" w:color="auto"/>
            <w:bottom w:val="none" w:sz="0" w:space="0" w:color="auto"/>
            <w:right w:val="none" w:sz="0" w:space="0" w:color="auto"/>
          </w:divBdr>
        </w:div>
        <w:div w:id="210582476">
          <w:marLeft w:val="284"/>
          <w:marRight w:val="0"/>
          <w:marTop w:val="80"/>
          <w:marBottom w:val="0"/>
          <w:divBdr>
            <w:top w:val="none" w:sz="0" w:space="0" w:color="auto"/>
            <w:left w:val="none" w:sz="0" w:space="0" w:color="auto"/>
            <w:bottom w:val="none" w:sz="0" w:space="0" w:color="auto"/>
            <w:right w:val="none" w:sz="0" w:space="0" w:color="auto"/>
          </w:divBdr>
        </w:div>
        <w:div w:id="729159637">
          <w:marLeft w:val="284"/>
          <w:marRight w:val="0"/>
          <w:marTop w:val="80"/>
          <w:marBottom w:val="0"/>
          <w:divBdr>
            <w:top w:val="none" w:sz="0" w:space="0" w:color="auto"/>
            <w:left w:val="none" w:sz="0" w:space="0" w:color="auto"/>
            <w:bottom w:val="none" w:sz="0" w:space="0" w:color="auto"/>
            <w:right w:val="none" w:sz="0" w:space="0" w:color="auto"/>
          </w:divBdr>
        </w:div>
        <w:div w:id="1572496203">
          <w:marLeft w:val="1134"/>
          <w:marRight w:val="0"/>
          <w:marTop w:val="60"/>
          <w:marBottom w:val="0"/>
          <w:divBdr>
            <w:top w:val="none" w:sz="0" w:space="0" w:color="auto"/>
            <w:left w:val="none" w:sz="0" w:space="0" w:color="auto"/>
            <w:bottom w:val="none" w:sz="0" w:space="0" w:color="auto"/>
            <w:right w:val="none" w:sz="0" w:space="0" w:color="auto"/>
          </w:divBdr>
        </w:div>
        <w:div w:id="1527593002">
          <w:marLeft w:val="1134"/>
          <w:marRight w:val="0"/>
          <w:marTop w:val="60"/>
          <w:marBottom w:val="0"/>
          <w:divBdr>
            <w:top w:val="none" w:sz="0" w:space="0" w:color="auto"/>
            <w:left w:val="none" w:sz="0" w:space="0" w:color="auto"/>
            <w:bottom w:val="none" w:sz="0" w:space="0" w:color="auto"/>
            <w:right w:val="none" w:sz="0" w:space="0" w:color="auto"/>
          </w:divBdr>
        </w:div>
        <w:div w:id="714350780">
          <w:marLeft w:val="284"/>
          <w:marRight w:val="0"/>
          <w:marTop w:val="80"/>
          <w:marBottom w:val="0"/>
          <w:divBdr>
            <w:top w:val="none" w:sz="0" w:space="0" w:color="auto"/>
            <w:left w:val="none" w:sz="0" w:space="0" w:color="auto"/>
            <w:bottom w:val="none" w:sz="0" w:space="0" w:color="auto"/>
            <w:right w:val="none" w:sz="0" w:space="0" w:color="auto"/>
          </w:divBdr>
        </w:div>
        <w:div w:id="1736470492">
          <w:marLeft w:val="284"/>
          <w:marRight w:val="0"/>
          <w:marTop w:val="80"/>
          <w:marBottom w:val="0"/>
          <w:divBdr>
            <w:top w:val="none" w:sz="0" w:space="0" w:color="auto"/>
            <w:left w:val="none" w:sz="0" w:space="0" w:color="auto"/>
            <w:bottom w:val="none" w:sz="0" w:space="0" w:color="auto"/>
            <w:right w:val="none" w:sz="0" w:space="0" w:color="auto"/>
          </w:divBdr>
        </w:div>
        <w:div w:id="49621418">
          <w:marLeft w:val="1134"/>
          <w:marRight w:val="0"/>
          <w:marTop w:val="60"/>
          <w:marBottom w:val="0"/>
          <w:divBdr>
            <w:top w:val="none" w:sz="0" w:space="0" w:color="auto"/>
            <w:left w:val="none" w:sz="0" w:space="0" w:color="auto"/>
            <w:bottom w:val="none" w:sz="0" w:space="0" w:color="auto"/>
            <w:right w:val="none" w:sz="0" w:space="0" w:color="auto"/>
          </w:divBdr>
        </w:div>
        <w:div w:id="70196742">
          <w:marLeft w:val="1134"/>
          <w:marRight w:val="0"/>
          <w:marTop w:val="60"/>
          <w:marBottom w:val="0"/>
          <w:divBdr>
            <w:top w:val="none" w:sz="0" w:space="0" w:color="auto"/>
            <w:left w:val="none" w:sz="0" w:space="0" w:color="auto"/>
            <w:bottom w:val="none" w:sz="0" w:space="0" w:color="auto"/>
            <w:right w:val="none" w:sz="0" w:space="0" w:color="auto"/>
          </w:divBdr>
        </w:div>
        <w:div w:id="1673146132">
          <w:marLeft w:val="1134"/>
          <w:marRight w:val="0"/>
          <w:marTop w:val="60"/>
          <w:marBottom w:val="0"/>
          <w:divBdr>
            <w:top w:val="none" w:sz="0" w:space="0" w:color="auto"/>
            <w:left w:val="none" w:sz="0" w:space="0" w:color="auto"/>
            <w:bottom w:val="none" w:sz="0" w:space="0" w:color="auto"/>
            <w:right w:val="none" w:sz="0" w:space="0" w:color="auto"/>
          </w:divBdr>
        </w:div>
        <w:div w:id="480773004">
          <w:marLeft w:val="1134"/>
          <w:marRight w:val="0"/>
          <w:marTop w:val="60"/>
          <w:marBottom w:val="0"/>
          <w:divBdr>
            <w:top w:val="none" w:sz="0" w:space="0" w:color="auto"/>
            <w:left w:val="none" w:sz="0" w:space="0" w:color="auto"/>
            <w:bottom w:val="none" w:sz="0" w:space="0" w:color="auto"/>
            <w:right w:val="none" w:sz="0" w:space="0" w:color="auto"/>
          </w:divBdr>
        </w:div>
        <w:div w:id="455568208">
          <w:marLeft w:val="1134"/>
          <w:marRight w:val="0"/>
          <w:marTop w:val="60"/>
          <w:marBottom w:val="0"/>
          <w:divBdr>
            <w:top w:val="none" w:sz="0" w:space="0" w:color="auto"/>
            <w:left w:val="none" w:sz="0" w:space="0" w:color="auto"/>
            <w:bottom w:val="none" w:sz="0" w:space="0" w:color="auto"/>
            <w:right w:val="none" w:sz="0" w:space="0" w:color="auto"/>
          </w:divBdr>
        </w:div>
        <w:div w:id="2087607710">
          <w:marLeft w:val="1134"/>
          <w:marRight w:val="0"/>
          <w:marTop w:val="60"/>
          <w:marBottom w:val="0"/>
          <w:divBdr>
            <w:top w:val="none" w:sz="0" w:space="0" w:color="auto"/>
            <w:left w:val="none" w:sz="0" w:space="0" w:color="auto"/>
            <w:bottom w:val="none" w:sz="0" w:space="0" w:color="auto"/>
            <w:right w:val="none" w:sz="0" w:space="0" w:color="auto"/>
          </w:divBdr>
        </w:div>
        <w:div w:id="708991372">
          <w:marLeft w:val="567"/>
          <w:marRight w:val="567"/>
          <w:marTop w:val="20"/>
          <w:marBottom w:val="20"/>
          <w:divBdr>
            <w:top w:val="none" w:sz="0" w:space="0" w:color="auto"/>
            <w:left w:val="none" w:sz="0" w:space="0" w:color="auto"/>
            <w:bottom w:val="none" w:sz="0" w:space="0" w:color="auto"/>
            <w:right w:val="none" w:sz="0" w:space="0" w:color="auto"/>
          </w:divBdr>
        </w:div>
        <w:div w:id="2091846507">
          <w:marLeft w:val="1134"/>
          <w:marRight w:val="0"/>
          <w:marTop w:val="60"/>
          <w:marBottom w:val="0"/>
          <w:divBdr>
            <w:top w:val="none" w:sz="0" w:space="0" w:color="auto"/>
            <w:left w:val="none" w:sz="0" w:space="0" w:color="auto"/>
            <w:bottom w:val="none" w:sz="0" w:space="0" w:color="auto"/>
            <w:right w:val="none" w:sz="0" w:space="0" w:color="auto"/>
          </w:divBdr>
        </w:div>
        <w:div w:id="527256401">
          <w:marLeft w:val="567"/>
          <w:marRight w:val="567"/>
          <w:marTop w:val="20"/>
          <w:marBottom w:val="20"/>
          <w:divBdr>
            <w:top w:val="none" w:sz="0" w:space="0" w:color="auto"/>
            <w:left w:val="none" w:sz="0" w:space="0" w:color="auto"/>
            <w:bottom w:val="none" w:sz="0" w:space="0" w:color="auto"/>
            <w:right w:val="none" w:sz="0" w:space="0" w:color="auto"/>
          </w:divBdr>
        </w:div>
        <w:div w:id="159589327">
          <w:marLeft w:val="284"/>
          <w:marRight w:val="0"/>
          <w:marTop w:val="80"/>
          <w:marBottom w:val="0"/>
          <w:divBdr>
            <w:top w:val="none" w:sz="0" w:space="0" w:color="auto"/>
            <w:left w:val="none" w:sz="0" w:space="0" w:color="auto"/>
            <w:bottom w:val="none" w:sz="0" w:space="0" w:color="auto"/>
            <w:right w:val="none" w:sz="0" w:space="0" w:color="auto"/>
          </w:divBdr>
        </w:div>
        <w:div w:id="1485665151">
          <w:marLeft w:val="1134"/>
          <w:marRight w:val="0"/>
          <w:marTop w:val="60"/>
          <w:marBottom w:val="0"/>
          <w:divBdr>
            <w:top w:val="none" w:sz="0" w:space="0" w:color="auto"/>
            <w:left w:val="none" w:sz="0" w:space="0" w:color="auto"/>
            <w:bottom w:val="none" w:sz="0" w:space="0" w:color="auto"/>
            <w:right w:val="none" w:sz="0" w:space="0" w:color="auto"/>
          </w:divBdr>
        </w:div>
        <w:div w:id="2110929534">
          <w:marLeft w:val="1134"/>
          <w:marRight w:val="0"/>
          <w:marTop w:val="60"/>
          <w:marBottom w:val="0"/>
          <w:divBdr>
            <w:top w:val="none" w:sz="0" w:space="0" w:color="auto"/>
            <w:left w:val="none" w:sz="0" w:space="0" w:color="auto"/>
            <w:bottom w:val="none" w:sz="0" w:space="0" w:color="auto"/>
            <w:right w:val="none" w:sz="0" w:space="0" w:color="auto"/>
          </w:divBdr>
        </w:div>
        <w:div w:id="386686095">
          <w:marLeft w:val="0"/>
          <w:marRight w:val="0"/>
          <w:marTop w:val="120"/>
          <w:marBottom w:val="0"/>
          <w:divBdr>
            <w:top w:val="none" w:sz="0" w:space="0" w:color="auto"/>
            <w:left w:val="none" w:sz="0" w:space="0" w:color="auto"/>
            <w:bottom w:val="none" w:sz="0" w:space="0" w:color="auto"/>
            <w:right w:val="none" w:sz="0" w:space="0" w:color="auto"/>
          </w:divBdr>
        </w:div>
        <w:div w:id="115493004">
          <w:marLeft w:val="1134"/>
          <w:marRight w:val="0"/>
          <w:marTop w:val="60"/>
          <w:marBottom w:val="0"/>
          <w:divBdr>
            <w:top w:val="none" w:sz="0" w:space="0" w:color="auto"/>
            <w:left w:val="none" w:sz="0" w:space="0" w:color="auto"/>
            <w:bottom w:val="none" w:sz="0" w:space="0" w:color="auto"/>
            <w:right w:val="none" w:sz="0" w:space="0" w:color="auto"/>
          </w:divBdr>
        </w:div>
        <w:div w:id="1362896348">
          <w:marLeft w:val="1134"/>
          <w:marRight w:val="0"/>
          <w:marTop w:val="60"/>
          <w:marBottom w:val="0"/>
          <w:divBdr>
            <w:top w:val="none" w:sz="0" w:space="0" w:color="auto"/>
            <w:left w:val="none" w:sz="0" w:space="0" w:color="auto"/>
            <w:bottom w:val="none" w:sz="0" w:space="0" w:color="auto"/>
            <w:right w:val="none" w:sz="0" w:space="0" w:color="auto"/>
          </w:divBdr>
        </w:div>
        <w:div w:id="1843277913">
          <w:marLeft w:val="0"/>
          <w:marRight w:val="0"/>
          <w:marTop w:val="120"/>
          <w:marBottom w:val="0"/>
          <w:divBdr>
            <w:top w:val="none" w:sz="0" w:space="0" w:color="auto"/>
            <w:left w:val="none" w:sz="0" w:space="0" w:color="auto"/>
            <w:bottom w:val="none" w:sz="0" w:space="0" w:color="auto"/>
            <w:right w:val="none" w:sz="0" w:space="0" w:color="auto"/>
          </w:divBdr>
        </w:div>
        <w:div w:id="1644503590">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122655366">
      <w:bodyDiv w:val="1"/>
      <w:marLeft w:val="0"/>
      <w:marRight w:val="0"/>
      <w:marTop w:val="0"/>
      <w:marBottom w:val="0"/>
      <w:divBdr>
        <w:top w:val="none" w:sz="0" w:space="0" w:color="auto"/>
        <w:left w:val="none" w:sz="0" w:space="0" w:color="auto"/>
        <w:bottom w:val="none" w:sz="0" w:space="0" w:color="auto"/>
        <w:right w:val="none" w:sz="0" w:space="0" w:color="auto"/>
      </w:divBdr>
      <w:divsChild>
        <w:div w:id="986596096">
          <w:marLeft w:val="0"/>
          <w:marRight w:val="0"/>
          <w:marTop w:val="120"/>
          <w:marBottom w:val="0"/>
          <w:divBdr>
            <w:top w:val="none" w:sz="0" w:space="0" w:color="auto"/>
            <w:left w:val="none" w:sz="0" w:space="0" w:color="auto"/>
            <w:bottom w:val="none" w:sz="0" w:space="0" w:color="auto"/>
            <w:right w:val="none" w:sz="0" w:space="0" w:color="auto"/>
          </w:divBdr>
        </w:div>
        <w:div w:id="1879976455">
          <w:marLeft w:val="284"/>
          <w:marRight w:val="0"/>
          <w:marTop w:val="80"/>
          <w:marBottom w:val="0"/>
          <w:divBdr>
            <w:top w:val="none" w:sz="0" w:space="0" w:color="auto"/>
            <w:left w:val="none" w:sz="0" w:space="0" w:color="auto"/>
            <w:bottom w:val="none" w:sz="0" w:space="0" w:color="auto"/>
            <w:right w:val="none" w:sz="0" w:space="0" w:color="auto"/>
          </w:divBdr>
        </w:div>
        <w:div w:id="1821076891">
          <w:marLeft w:val="284"/>
          <w:marRight w:val="0"/>
          <w:marTop w:val="80"/>
          <w:marBottom w:val="0"/>
          <w:divBdr>
            <w:top w:val="none" w:sz="0" w:space="0" w:color="auto"/>
            <w:left w:val="none" w:sz="0" w:space="0" w:color="auto"/>
            <w:bottom w:val="none" w:sz="0" w:space="0" w:color="auto"/>
            <w:right w:val="none" w:sz="0" w:space="0" w:color="auto"/>
          </w:divBdr>
        </w:div>
        <w:div w:id="195897336">
          <w:marLeft w:val="284"/>
          <w:marRight w:val="0"/>
          <w:marTop w:val="80"/>
          <w:marBottom w:val="0"/>
          <w:divBdr>
            <w:top w:val="none" w:sz="0" w:space="0" w:color="auto"/>
            <w:left w:val="none" w:sz="0" w:space="0" w:color="auto"/>
            <w:bottom w:val="none" w:sz="0" w:space="0" w:color="auto"/>
            <w:right w:val="none" w:sz="0" w:space="0" w:color="auto"/>
          </w:divBdr>
        </w:div>
        <w:div w:id="1579250231">
          <w:marLeft w:val="1134"/>
          <w:marRight w:val="0"/>
          <w:marTop w:val="60"/>
          <w:marBottom w:val="0"/>
          <w:divBdr>
            <w:top w:val="none" w:sz="0" w:space="0" w:color="auto"/>
            <w:left w:val="none" w:sz="0" w:space="0" w:color="auto"/>
            <w:bottom w:val="none" w:sz="0" w:space="0" w:color="auto"/>
            <w:right w:val="none" w:sz="0" w:space="0" w:color="auto"/>
          </w:divBdr>
        </w:div>
        <w:div w:id="1244219665">
          <w:marLeft w:val="1985"/>
          <w:marRight w:val="0"/>
          <w:marTop w:val="60"/>
          <w:marBottom w:val="0"/>
          <w:divBdr>
            <w:top w:val="none" w:sz="0" w:space="0" w:color="auto"/>
            <w:left w:val="none" w:sz="0" w:space="0" w:color="auto"/>
            <w:bottom w:val="none" w:sz="0" w:space="0" w:color="auto"/>
            <w:right w:val="none" w:sz="0" w:space="0" w:color="auto"/>
          </w:divBdr>
        </w:div>
        <w:div w:id="604464965">
          <w:marLeft w:val="1985"/>
          <w:marRight w:val="0"/>
          <w:marTop w:val="60"/>
          <w:marBottom w:val="0"/>
          <w:divBdr>
            <w:top w:val="none" w:sz="0" w:space="0" w:color="auto"/>
            <w:left w:val="none" w:sz="0" w:space="0" w:color="auto"/>
            <w:bottom w:val="none" w:sz="0" w:space="0" w:color="auto"/>
            <w:right w:val="none" w:sz="0" w:space="0" w:color="auto"/>
          </w:divBdr>
        </w:div>
        <w:div w:id="1650396982">
          <w:marLeft w:val="1134"/>
          <w:marRight w:val="0"/>
          <w:marTop w:val="60"/>
          <w:marBottom w:val="0"/>
          <w:divBdr>
            <w:top w:val="none" w:sz="0" w:space="0" w:color="auto"/>
            <w:left w:val="none" w:sz="0" w:space="0" w:color="auto"/>
            <w:bottom w:val="none" w:sz="0" w:space="0" w:color="auto"/>
            <w:right w:val="none" w:sz="0" w:space="0" w:color="auto"/>
          </w:divBdr>
        </w:div>
        <w:div w:id="110899614">
          <w:marLeft w:val="284"/>
          <w:marRight w:val="0"/>
          <w:marTop w:val="40"/>
          <w:marBottom w:val="0"/>
          <w:divBdr>
            <w:top w:val="none" w:sz="0" w:space="0" w:color="auto"/>
            <w:left w:val="none" w:sz="0" w:space="0" w:color="auto"/>
            <w:bottom w:val="none" w:sz="0" w:space="0" w:color="auto"/>
            <w:right w:val="none" w:sz="0" w:space="0" w:color="auto"/>
          </w:divBdr>
        </w:div>
        <w:div w:id="212742508">
          <w:marLeft w:val="284"/>
          <w:marRight w:val="0"/>
          <w:marTop w:val="80"/>
          <w:marBottom w:val="0"/>
          <w:divBdr>
            <w:top w:val="none" w:sz="0" w:space="0" w:color="auto"/>
            <w:left w:val="none" w:sz="0" w:space="0" w:color="auto"/>
            <w:bottom w:val="none" w:sz="0" w:space="0" w:color="auto"/>
            <w:right w:val="none" w:sz="0" w:space="0" w:color="auto"/>
          </w:divBdr>
        </w:div>
        <w:div w:id="123929767">
          <w:marLeft w:val="284"/>
          <w:marRight w:val="0"/>
          <w:marTop w:val="80"/>
          <w:marBottom w:val="0"/>
          <w:divBdr>
            <w:top w:val="none" w:sz="0" w:space="0" w:color="auto"/>
            <w:left w:val="none" w:sz="0" w:space="0" w:color="auto"/>
            <w:bottom w:val="none" w:sz="0" w:space="0" w:color="auto"/>
            <w:right w:val="none" w:sz="0" w:space="0" w:color="auto"/>
          </w:divBdr>
        </w:div>
        <w:div w:id="139275101">
          <w:marLeft w:val="1134"/>
          <w:marRight w:val="0"/>
          <w:marTop w:val="60"/>
          <w:marBottom w:val="0"/>
          <w:divBdr>
            <w:top w:val="none" w:sz="0" w:space="0" w:color="auto"/>
            <w:left w:val="none" w:sz="0" w:space="0" w:color="auto"/>
            <w:bottom w:val="none" w:sz="0" w:space="0" w:color="auto"/>
            <w:right w:val="none" w:sz="0" w:space="0" w:color="auto"/>
          </w:divBdr>
        </w:div>
        <w:div w:id="326591313">
          <w:marLeft w:val="1134"/>
          <w:marRight w:val="0"/>
          <w:marTop w:val="60"/>
          <w:marBottom w:val="0"/>
          <w:divBdr>
            <w:top w:val="none" w:sz="0" w:space="0" w:color="auto"/>
            <w:left w:val="none" w:sz="0" w:space="0" w:color="auto"/>
            <w:bottom w:val="none" w:sz="0" w:space="0" w:color="auto"/>
            <w:right w:val="none" w:sz="0" w:space="0" w:color="auto"/>
          </w:divBdr>
        </w:div>
        <w:div w:id="878860706">
          <w:marLeft w:val="284"/>
          <w:marRight w:val="0"/>
          <w:marTop w:val="80"/>
          <w:marBottom w:val="0"/>
          <w:divBdr>
            <w:top w:val="none" w:sz="0" w:space="0" w:color="auto"/>
            <w:left w:val="none" w:sz="0" w:space="0" w:color="auto"/>
            <w:bottom w:val="none" w:sz="0" w:space="0" w:color="auto"/>
            <w:right w:val="none" w:sz="0" w:space="0" w:color="auto"/>
          </w:divBdr>
        </w:div>
        <w:div w:id="813524016">
          <w:marLeft w:val="284"/>
          <w:marRight w:val="0"/>
          <w:marTop w:val="80"/>
          <w:marBottom w:val="0"/>
          <w:divBdr>
            <w:top w:val="none" w:sz="0" w:space="0" w:color="auto"/>
            <w:left w:val="none" w:sz="0" w:space="0" w:color="auto"/>
            <w:bottom w:val="none" w:sz="0" w:space="0" w:color="auto"/>
            <w:right w:val="none" w:sz="0" w:space="0" w:color="auto"/>
          </w:divBdr>
        </w:div>
        <w:div w:id="535237027">
          <w:marLeft w:val="1134"/>
          <w:marRight w:val="0"/>
          <w:marTop w:val="60"/>
          <w:marBottom w:val="0"/>
          <w:divBdr>
            <w:top w:val="none" w:sz="0" w:space="0" w:color="auto"/>
            <w:left w:val="none" w:sz="0" w:space="0" w:color="auto"/>
            <w:bottom w:val="none" w:sz="0" w:space="0" w:color="auto"/>
            <w:right w:val="none" w:sz="0" w:space="0" w:color="auto"/>
          </w:divBdr>
        </w:div>
        <w:div w:id="837160044">
          <w:marLeft w:val="1134"/>
          <w:marRight w:val="0"/>
          <w:marTop w:val="60"/>
          <w:marBottom w:val="0"/>
          <w:divBdr>
            <w:top w:val="none" w:sz="0" w:space="0" w:color="auto"/>
            <w:left w:val="none" w:sz="0" w:space="0" w:color="auto"/>
            <w:bottom w:val="none" w:sz="0" w:space="0" w:color="auto"/>
            <w:right w:val="none" w:sz="0" w:space="0" w:color="auto"/>
          </w:divBdr>
        </w:div>
        <w:div w:id="339546084">
          <w:marLeft w:val="1134"/>
          <w:marRight w:val="0"/>
          <w:marTop w:val="60"/>
          <w:marBottom w:val="0"/>
          <w:divBdr>
            <w:top w:val="none" w:sz="0" w:space="0" w:color="auto"/>
            <w:left w:val="none" w:sz="0" w:space="0" w:color="auto"/>
            <w:bottom w:val="none" w:sz="0" w:space="0" w:color="auto"/>
            <w:right w:val="none" w:sz="0" w:space="0" w:color="auto"/>
          </w:divBdr>
        </w:div>
        <w:div w:id="964388168">
          <w:marLeft w:val="1134"/>
          <w:marRight w:val="0"/>
          <w:marTop w:val="60"/>
          <w:marBottom w:val="0"/>
          <w:divBdr>
            <w:top w:val="none" w:sz="0" w:space="0" w:color="auto"/>
            <w:left w:val="none" w:sz="0" w:space="0" w:color="auto"/>
            <w:bottom w:val="none" w:sz="0" w:space="0" w:color="auto"/>
            <w:right w:val="none" w:sz="0" w:space="0" w:color="auto"/>
          </w:divBdr>
        </w:div>
        <w:div w:id="823204823">
          <w:marLeft w:val="1134"/>
          <w:marRight w:val="0"/>
          <w:marTop w:val="60"/>
          <w:marBottom w:val="0"/>
          <w:divBdr>
            <w:top w:val="none" w:sz="0" w:space="0" w:color="auto"/>
            <w:left w:val="none" w:sz="0" w:space="0" w:color="auto"/>
            <w:bottom w:val="none" w:sz="0" w:space="0" w:color="auto"/>
            <w:right w:val="none" w:sz="0" w:space="0" w:color="auto"/>
          </w:divBdr>
        </w:div>
        <w:div w:id="98061603">
          <w:marLeft w:val="1134"/>
          <w:marRight w:val="0"/>
          <w:marTop w:val="60"/>
          <w:marBottom w:val="0"/>
          <w:divBdr>
            <w:top w:val="none" w:sz="0" w:space="0" w:color="auto"/>
            <w:left w:val="none" w:sz="0" w:space="0" w:color="auto"/>
            <w:bottom w:val="none" w:sz="0" w:space="0" w:color="auto"/>
            <w:right w:val="none" w:sz="0" w:space="0" w:color="auto"/>
          </w:divBdr>
        </w:div>
        <w:div w:id="1153138256">
          <w:marLeft w:val="567"/>
          <w:marRight w:val="567"/>
          <w:marTop w:val="20"/>
          <w:marBottom w:val="20"/>
          <w:divBdr>
            <w:top w:val="none" w:sz="0" w:space="0" w:color="auto"/>
            <w:left w:val="none" w:sz="0" w:space="0" w:color="auto"/>
            <w:bottom w:val="none" w:sz="0" w:space="0" w:color="auto"/>
            <w:right w:val="none" w:sz="0" w:space="0" w:color="auto"/>
          </w:divBdr>
        </w:div>
        <w:div w:id="1662348237">
          <w:marLeft w:val="1134"/>
          <w:marRight w:val="0"/>
          <w:marTop w:val="6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418013765">
      <w:bodyDiv w:val="1"/>
      <w:marLeft w:val="0"/>
      <w:marRight w:val="0"/>
      <w:marTop w:val="0"/>
      <w:marBottom w:val="0"/>
      <w:divBdr>
        <w:top w:val="none" w:sz="0" w:space="0" w:color="auto"/>
        <w:left w:val="none" w:sz="0" w:space="0" w:color="auto"/>
        <w:bottom w:val="none" w:sz="0" w:space="0" w:color="auto"/>
        <w:right w:val="none" w:sz="0" w:space="0" w:color="auto"/>
      </w:divBdr>
      <w:divsChild>
        <w:div w:id="545459077">
          <w:marLeft w:val="0"/>
          <w:marRight w:val="0"/>
          <w:marTop w:val="240"/>
          <w:marBottom w:val="0"/>
          <w:divBdr>
            <w:top w:val="none" w:sz="0" w:space="0" w:color="auto"/>
            <w:left w:val="none" w:sz="0" w:space="0" w:color="auto"/>
            <w:bottom w:val="none" w:sz="0" w:space="0" w:color="auto"/>
            <w:right w:val="none" w:sz="0" w:space="0" w:color="auto"/>
          </w:divBdr>
        </w:div>
        <w:div w:id="1918901984">
          <w:marLeft w:val="0"/>
          <w:marRight w:val="0"/>
          <w:marTop w:val="120"/>
          <w:marBottom w:val="0"/>
          <w:divBdr>
            <w:top w:val="none" w:sz="0" w:space="0" w:color="auto"/>
            <w:left w:val="none" w:sz="0" w:space="0" w:color="auto"/>
            <w:bottom w:val="none" w:sz="0" w:space="0" w:color="auto"/>
            <w:right w:val="none" w:sz="0" w:space="0" w:color="auto"/>
          </w:divBdr>
        </w:div>
        <w:div w:id="64114318">
          <w:marLeft w:val="1134"/>
          <w:marRight w:val="0"/>
          <w:marTop w:val="60"/>
          <w:marBottom w:val="0"/>
          <w:divBdr>
            <w:top w:val="none" w:sz="0" w:space="0" w:color="auto"/>
            <w:left w:val="none" w:sz="0" w:space="0" w:color="auto"/>
            <w:bottom w:val="none" w:sz="0" w:space="0" w:color="auto"/>
            <w:right w:val="none" w:sz="0" w:space="0" w:color="auto"/>
          </w:divBdr>
        </w:div>
        <w:div w:id="1098212002">
          <w:marLeft w:val="1134"/>
          <w:marRight w:val="0"/>
          <w:marTop w:val="60"/>
          <w:marBottom w:val="0"/>
          <w:divBdr>
            <w:top w:val="none" w:sz="0" w:space="0" w:color="auto"/>
            <w:left w:val="none" w:sz="0" w:space="0" w:color="auto"/>
            <w:bottom w:val="none" w:sz="0" w:space="0" w:color="auto"/>
            <w:right w:val="none" w:sz="0" w:space="0" w:color="auto"/>
          </w:divBdr>
        </w:div>
        <w:div w:id="112869948">
          <w:marLeft w:val="1985"/>
          <w:marRight w:val="0"/>
          <w:marTop w:val="60"/>
          <w:marBottom w:val="0"/>
          <w:divBdr>
            <w:top w:val="none" w:sz="0" w:space="0" w:color="auto"/>
            <w:left w:val="none" w:sz="0" w:space="0" w:color="auto"/>
            <w:bottom w:val="none" w:sz="0" w:space="0" w:color="auto"/>
            <w:right w:val="none" w:sz="0" w:space="0" w:color="auto"/>
          </w:divBdr>
        </w:div>
        <w:div w:id="301732436">
          <w:marLeft w:val="1985"/>
          <w:marRight w:val="0"/>
          <w:marTop w:val="60"/>
          <w:marBottom w:val="0"/>
          <w:divBdr>
            <w:top w:val="none" w:sz="0" w:space="0" w:color="auto"/>
            <w:left w:val="none" w:sz="0" w:space="0" w:color="auto"/>
            <w:bottom w:val="none" w:sz="0" w:space="0" w:color="auto"/>
            <w:right w:val="none" w:sz="0" w:space="0" w:color="auto"/>
          </w:divBdr>
        </w:div>
        <w:div w:id="841700413">
          <w:marLeft w:val="0"/>
          <w:marRight w:val="0"/>
          <w:marTop w:val="120"/>
          <w:marBottom w:val="0"/>
          <w:divBdr>
            <w:top w:val="none" w:sz="0" w:space="0" w:color="auto"/>
            <w:left w:val="none" w:sz="0" w:space="0" w:color="auto"/>
            <w:bottom w:val="none" w:sz="0" w:space="0" w:color="auto"/>
            <w:right w:val="none" w:sz="0" w:space="0" w:color="auto"/>
          </w:divBdr>
        </w:div>
        <w:div w:id="984317839">
          <w:marLeft w:val="1134"/>
          <w:marRight w:val="0"/>
          <w:marTop w:val="60"/>
          <w:marBottom w:val="0"/>
          <w:divBdr>
            <w:top w:val="none" w:sz="0" w:space="0" w:color="auto"/>
            <w:left w:val="none" w:sz="0" w:space="0" w:color="auto"/>
            <w:bottom w:val="none" w:sz="0" w:space="0" w:color="auto"/>
            <w:right w:val="none" w:sz="0" w:space="0" w:color="auto"/>
          </w:divBdr>
        </w:div>
        <w:div w:id="1122770102">
          <w:marLeft w:val="1134"/>
          <w:marRight w:val="0"/>
          <w:marTop w:val="60"/>
          <w:marBottom w:val="0"/>
          <w:divBdr>
            <w:top w:val="none" w:sz="0" w:space="0" w:color="auto"/>
            <w:left w:val="none" w:sz="0" w:space="0" w:color="auto"/>
            <w:bottom w:val="none" w:sz="0" w:space="0" w:color="auto"/>
            <w:right w:val="none" w:sz="0" w:space="0" w:color="auto"/>
          </w:divBdr>
        </w:div>
        <w:div w:id="115607680">
          <w:marLeft w:val="1985"/>
          <w:marRight w:val="0"/>
          <w:marTop w:val="60"/>
          <w:marBottom w:val="0"/>
          <w:divBdr>
            <w:top w:val="none" w:sz="0" w:space="0" w:color="auto"/>
            <w:left w:val="none" w:sz="0" w:space="0" w:color="auto"/>
            <w:bottom w:val="none" w:sz="0" w:space="0" w:color="auto"/>
            <w:right w:val="none" w:sz="0" w:space="0" w:color="auto"/>
          </w:divBdr>
        </w:div>
        <w:div w:id="660472873">
          <w:marLeft w:val="1985"/>
          <w:marRight w:val="0"/>
          <w:marTop w:val="60"/>
          <w:marBottom w:val="0"/>
          <w:divBdr>
            <w:top w:val="none" w:sz="0" w:space="0" w:color="auto"/>
            <w:left w:val="none" w:sz="0" w:space="0" w:color="auto"/>
            <w:bottom w:val="none" w:sz="0" w:space="0" w:color="auto"/>
            <w:right w:val="none" w:sz="0" w:space="0" w:color="auto"/>
          </w:divBdr>
        </w:div>
        <w:div w:id="620379404">
          <w:marLeft w:val="0"/>
          <w:marRight w:val="0"/>
          <w:marTop w:val="120"/>
          <w:marBottom w:val="0"/>
          <w:divBdr>
            <w:top w:val="none" w:sz="0" w:space="0" w:color="auto"/>
            <w:left w:val="none" w:sz="0" w:space="0" w:color="auto"/>
            <w:bottom w:val="none" w:sz="0" w:space="0" w:color="auto"/>
            <w:right w:val="none" w:sz="0" w:space="0" w:color="auto"/>
          </w:divBdr>
        </w:div>
        <w:div w:id="570846729">
          <w:marLeft w:val="1134"/>
          <w:marRight w:val="0"/>
          <w:marTop w:val="60"/>
          <w:marBottom w:val="0"/>
          <w:divBdr>
            <w:top w:val="none" w:sz="0" w:space="0" w:color="auto"/>
            <w:left w:val="none" w:sz="0" w:space="0" w:color="auto"/>
            <w:bottom w:val="none" w:sz="0" w:space="0" w:color="auto"/>
            <w:right w:val="none" w:sz="0" w:space="0" w:color="auto"/>
          </w:divBdr>
        </w:div>
        <w:div w:id="1705791764">
          <w:marLeft w:val="1134"/>
          <w:marRight w:val="0"/>
          <w:marTop w:val="60"/>
          <w:marBottom w:val="0"/>
          <w:divBdr>
            <w:top w:val="none" w:sz="0" w:space="0" w:color="auto"/>
            <w:left w:val="none" w:sz="0" w:space="0" w:color="auto"/>
            <w:bottom w:val="none" w:sz="0" w:space="0" w:color="auto"/>
            <w:right w:val="none" w:sz="0" w:space="0" w:color="auto"/>
          </w:divBdr>
        </w:div>
        <w:div w:id="192504559">
          <w:marLeft w:val="0"/>
          <w:marRight w:val="0"/>
          <w:marTop w:val="120"/>
          <w:marBottom w:val="0"/>
          <w:divBdr>
            <w:top w:val="none" w:sz="0" w:space="0" w:color="auto"/>
            <w:left w:val="none" w:sz="0" w:space="0" w:color="auto"/>
            <w:bottom w:val="none" w:sz="0" w:space="0" w:color="auto"/>
            <w:right w:val="none" w:sz="0" w:space="0" w:color="auto"/>
          </w:divBdr>
        </w:div>
        <w:div w:id="438062827">
          <w:marLeft w:val="0"/>
          <w:marRight w:val="0"/>
          <w:marTop w:val="60"/>
          <w:marBottom w:val="0"/>
          <w:divBdr>
            <w:top w:val="none" w:sz="0" w:space="0" w:color="auto"/>
            <w:left w:val="none" w:sz="0" w:space="0" w:color="auto"/>
            <w:bottom w:val="none" w:sz="0" w:space="0" w:color="auto"/>
            <w:right w:val="none" w:sz="0" w:space="0" w:color="auto"/>
          </w:divBdr>
        </w:div>
        <w:div w:id="759185139">
          <w:marLeft w:val="1134"/>
          <w:marRight w:val="0"/>
          <w:marTop w:val="60"/>
          <w:marBottom w:val="0"/>
          <w:divBdr>
            <w:top w:val="none" w:sz="0" w:space="0" w:color="auto"/>
            <w:left w:val="none" w:sz="0" w:space="0" w:color="auto"/>
            <w:bottom w:val="none" w:sz="0" w:space="0" w:color="auto"/>
            <w:right w:val="none" w:sz="0" w:space="0" w:color="auto"/>
          </w:divBdr>
        </w:div>
        <w:div w:id="2069759345">
          <w:marLeft w:val="1134"/>
          <w:marRight w:val="0"/>
          <w:marTop w:val="60"/>
          <w:marBottom w:val="0"/>
          <w:divBdr>
            <w:top w:val="none" w:sz="0" w:space="0" w:color="auto"/>
            <w:left w:val="none" w:sz="0" w:space="0" w:color="auto"/>
            <w:bottom w:val="none" w:sz="0" w:space="0" w:color="auto"/>
            <w:right w:val="none" w:sz="0" w:space="0" w:color="auto"/>
          </w:divBdr>
        </w:div>
        <w:div w:id="1354110278">
          <w:marLeft w:val="1134"/>
          <w:marRight w:val="0"/>
          <w:marTop w:val="60"/>
          <w:marBottom w:val="0"/>
          <w:divBdr>
            <w:top w:val="none" w:sz="0" w:space="0" w:color="auto"/>
            <w:left w:val="none" w:sz="0" w:space="0" w:color="auto"/>
            <w:bottom w:val="none" w:sz="0" w:space="0" w:color="auto"/>
            <w:right w:val="none" w:sz="0" w:space="0" w:color="auto"/>
          </w:divBdr>
        </w:div>
        <w:div w:id="1051878867">
          <w:marLeft w:val="0"/>
          <w:marRight w:val="0"/>
          <w:marTop w:val="60"/>
          <w:marBottom w:val="0"/>
          <w:divBdr>
            <w:top w:val="none" w:sz="0" w:space="0" w:color="auto"/>
            <w:left w:val="none" w:sz="0" w:space="0" w:color="auto"/>
            <w:bottom w:val="none" w:sz="0" w:space="0" w:color="auto"/>
            <w:right w:val="none" w:sz="0" w:space="0" w:color="auto"/>
          </w:divBdr>
        </w:div>
        <w:div w:id="1838031521">
          <w:marLeft w:val="0"/>
          <w:marRight w:val="0"/>
          <w:marTop w:val="240"/>
          <w:marBottom w:val="0"/>
          <w:divBdr>
            <w:top w:val="none" w:sz="0" w:space="0" w:color="auto"/>
            <w:left w:val="none" w:sz="0" w:space="0" w:color="auto"/>
            <w:bottom w:val="none" w:sz="0" w:space="0" w:color="auto"/>
            <w:right w:val="none" w:sz="0" w:space="0" w:color="auto"/>
          </w:divBdr>
        </w:div>
        <w:div w:id="2111050422">
          <w:marLeft w:val="0"/>
          <w:marRight w:val="0"/>
          <w:marTop w:val="120"/>
          <w:marBottom w:val="0"/>
          <w:divBdr>
            <w:top w:val="none" w:sz="0" w:space="0" w:color="auto"/>
            <w:left w:val="none" w:sz="0" w:space="0" w:color="auto"/>
            <w:bottom w:val="none" w:sz="0" w:space="0" w:color="auto"/>
            <w:right w:val="none" w:sz="0" w:space="0" w:color="auto"/>
          </w:divBdr>
        </w:div>
        <w:div w:id="1856571046">
          <w:marLeft w:val="1134"/>
          <w:marRight w:val="0"/>
          <w:marTop w:val="60"/>
          <w:marBottom w:val="0"/>
          <w:divBdr>
            <w:top w:val="none" w:sz="0" w:space="0" w:color="auto"/>
            <w:left w:val="none" w:sz="0" w:space="0" w:color="auto"/>
            <w:bottom w:val="none" w:sz="0" w:space="0" w:color="auto"/>
            <w:right w:val="none" w:sz="0" w:space="0" w:color="auto"/>
          </w:divBdr>
        </w:div>
        <w:div w:id="394087772">
          <w:marLeft w:val="567"/>
          <w:marRight w:val="567"/>
          <w:marTop w:val="20"/>
          <w:marBottom w:val="20"/>
          <w:divBdr>
            <w:top w:val="none" w:sz="0" w:space="0" w:color="auto"/>
            <w:left w:val="none" w:sz="0" w:space="0" w:color="auto"/>
            <w:bottom w:val="none" w:sz="0" w:space="0" w:color="auto"/>
            <w:right w:val="none" w:sz="0" w:space="0" w:color="auto"/>
          </w:divBdr>
        </w:div>
        <w:div w:id="1606959093">
          <w:marLeft w:val="1134"/>
          <w:marRight w:val="0"/>
          <w:marTop w:val="60"/>
          <w:marBottom w:val="0"/>
          <w:divBdr>
            <w:top w:val="none" w:sz="0" w:space="0" w:color="auto"/>
            <w:left w:val="none" w:sz="0" w:space="0" w:color="auto"/>
            <w:bottom w:val="none" w:sz="0" w:space="0" w:color="auto"/>
            <w:right w:val="none" w:sz="0" w:space="0" w:color="auto"/>
          </w:divBdr>
        </w:div>
        <w:div w:id="1175682367">
          <w:marLeft w:val="1134"/>
          <w:marRight w:val="0"/>
          <w:marTop w:val="60"/>
          <w:marBottom w:val="0"/>
          <w:divBdr>
            <w:top w:val="none" w:sz="0" w:space="0" w:color="auto"/>
            <w:left w:val="none" w:sz="0" w:space="0" w:color="auto"/>
            <w:bottom w:val="none" w:sz="0" w:space="0" w:color="auto"/>
            <w:right w:val="none" w:sz="0" w:space="0" w:color="auto"/>
          </w:divBdr>
        </w:div>
        <w:div w:id="279847706">
          <w:marLeft w:val="1134"/>
          <w:marRight w:val="0"/>
          <w:marTop w:val="60"/>
          <w:marBottom w:val="0"/>
          <w:divBdr>
            <w:top w:val="none" w:sz="0" w:space="0" w:color="auto"/>
            <w:left w:val="none" w:sz="0" w:space="0" w:color="auto"/>
            <w:bottom w:val="none" w:sz="0" w:space="0" w:color="auto"/>
            <w:right w:val="none" w:sz="0" w:space="0" w:color="auto"/>
          </w:divBdr>
        </w:div>
        <w:div w:id="1051346948">
          <w:marLeft w:val="1134"/>
          <w:marRight w:val="0"/>
          <w:marTop w:val="60"/>
          <w:marBottom w:val="0"/>
          <w:divBdr>
            <w:top w:val="none" w:sz="0" w:space="0" w:color="auto"/>
            <w:left w:val="none" w:sz="0" w:space="0" w:color="auto"/>
            <w:bottom w:val="none" w:sz="0" w:space="0" w:color="auto"/>
            <w:right w:val="none" w:sz="0" w:space="0" w:color="auto"/>
          </w:divBdr>
        </w:div>
        <w:div w:id="1392659458">
          <w:marLeft w:val="1134"/>
          <w:marRight w:val="0"/>
          <w:marTop w:val="60"/>
          <w:marBottom w:val="0"/>
          <w:divBdr>
            <w:top w:val="none" w:sz="0" w:space="0" w:color="auto"/>
            <w:left w:val="none" w:sz="0" w:space="0" w:color="auto"/>
            <w:bottom w:val="none" w:sz="0" w:space="0" w:color="auto"/>
            <w:right w:val="none" w:sz="0" w:space="0" w:color="auto"/>
          </w:divBdr>
        </w:div>
        <w:div w:id="2132086216">
          <w:marLeft w:val="0"/>
          <w:marRight w:val="0"/>
          <w:marTop w:val="120"/>
          <w:marBottom w:val="0"/>
          <w:divBdr>
            <w:top w:val="none" w:sz="0" w:space="0" w:color="auto"/>
            <w:left w:val="none" w:sz="0" w:space="0" w:color="auto"/>
            <w:bottom w:val="none" w:sz="0" w:space="0" w:color="auto"/>
            <w:right w:val="none" w:sz="0" w:space="0" w:color="auto"/>
          </w:divBdr>
        </w:div>
        <w:div w:id="797843876">
          <w:marLeft w:val="1134"/>
          <w:marRight w:val="0"/>
          <w:marTop w:val="60"/>
          <w:marBottom w:val="0"/>
          <w:divBdr>
            <w:top w:val="none" w:sz="0" w:space="0" w:color="auto"/>
            <w:left w:val="none" w:sz="0" w:space="0" w:color="auto"/>
            <w:bottom w:val="none" w:sz="0" w:space="0" w:color="auto"/>
            <w:right w:val="none" w:sz="0" w:space="0" w:color="auto"/>
          </w:divBdr>
        </w:div>
        <w:div w:id="883908281">
          <w:marLeft w:val="1134"/>
          <w:marRight w:val="0"/>
          <w:marTop w:val="60"/>
          <w:marBottom w:val="0"/>
          <w:divBdr>
            <w:top w:val="none" w:sz="0" w:space="0" w:color="auto"/>
            <w:left w:val="none" w:sz="0" w:space="0" w:color="auto"/>
            <w:bottom w:val="none" w:sz="0" w:space="0" w:color="auto"/>
            <w:right w:val="none" w:sz="0" w:space="0" w:color="auto"/>
          </w:divBdr>
        </w:div>
        <w:div w:id="91361018">
          <w:marLeft w:val="1985"/>
          <w:marRight w:val="0"/>
          <w:marTop w:val="60"/>
          <w:marBottom w:val="0"/>
          <w:divBdr>
            <w:top w:val="none" w:sz="0" w:space="0" w:color="auto"/>
            <w:left w:val="none" w:sz="0" w:space="0" w:color="auto"/>
            <w:bottom w:val="none" w:sz="0" w:space="0" w:color="auto"/>
            <w:right w:val="none" w:sz="0" w:space="0" w:color="auto"/>
          </w:divBdr>
        </w:div>
        <w:div w:id="510873052">
          <w:marLeft w:val="1985"/>
          <w:marRight w:val="0"/>
          <w:marTop w:val="60"/>
          <w:marBottom w:val="0"/>
          <w:divBdr>
            <w:top w:val="none" w:sz="0" w:space="0" w:color="auto"/>
            <w:left w:val="none" w:sz="0" w:space="0" w:color="auto"/>
            <w:bottom w:val="none" w:sz="0" w:space="0" w:color="auto"/>
            <w:right w:val="none" w:sz="0" w:space="0" w:color="auto"/>
          </w:divBdr>
        </w:div>
        <w:div w:id="6099298">
          <w:marLeft w:val="1985"/>
          <w:marRight w:val="0"/>
          <w:marTop w:val="60"/>
          <w:marBottom w:val="0"/>
          <w:divBdr>
            <w:top w:val="none" w:sz="0" w:space="0" w:color="auto"/>
            <w:left w:val="none" w:sz="0" w:space="0" w:color="auto"/>
            <w:bottom w:val="none" w:sz="0" w:space="0" w:color="auto"/>
            <w:right w:val="none" w:sz="0" w:space="0" w:color="auto"/>
          </w:divBdr>
        </w:div>
        <w:div w:id="1670475322">
          <w:marLeft w:val="1985"/>
          <w:marRight w:val="0"/>
          <w:marTop w:val="60"/>
          <w:marBottom w:val="0"/>
          <w:divBdr>
            <w:top w:val="none" w:sz="0" w:space="0" w:color="auto"/>
            <w:left w:val="none" w:sz="0" w:space="0" w:color="auto"/>
            <w:bottom w:val="none" w:sz="0" w:space="0" w:color="auto"/>
            <w:right w:val="none" w:sz="0" w:space="0" w:color="auto"/>
          </w:divBdr>
        </w:div>
      </w:divsChild>
    </w:div>
    <w:div w:id="1462067633">
      <w:bodyDiv w:val="1"/>
      <w:marLeft w:val="0"/>
      <w:marRight w:val="0"/>
      <w:marTop w:val="0"/>
      <w:marBottom w:val="0"/>
      <w:divBdr>
        <w:top w:val="none" w:sz="0" w:space="0" w:color="auto"/>
        <w:left w:val="none" w:sz="0" w:space="0" w:color="auto"/>
        <w:bottom w:val="none" w:sz="0" w:space="0" w:color="auto"/>
        <w:right w:val="none" w:sz="0" w:space="0" w:color="auto"/>
      </w:divBdr>
      <w:divsChild>
        <w:div w:id="2029484458">
          <w:marLeft w:val="0"/>
          <w:marRight w:val="0"/>
          <w:marTop w:val="120"/>
          <w:marBottom w:val="0"/>
          <w:divBdr>
            <w:top w:val="none" w:sz="0" w:space="0" w:color="auto"/>
            <w:left w:val="none" w:sz="0" w:space="0" w:color="auto"/>
            <w:bottom w:val="none" w:sz="0" w:space="0" w:color="auto"/>
            <w:right w:val="none" w:sz="0" w:space="0" w:color="auto"/>
          </w:divBdr>
        </w:div>
        <w:div w:id="372968158">
          <w:marLeft w:val="0"/>
          <w:marRight w:val="0"/>
          <w:marTop w:val="120"/>
          <w:marBottom w:val="0"/>
          <w:divBdr>
            <w:top w:val="none" w:sz="0" w:space="0" w:color="auto"/>
            <w:left w:val="none" w:sz="0" w:space="0" w:color="auto"/>
            <w:bottom w:val="none" w:sz="0" w:space="0" w:color="auto"/>
            <w:right w:val="none" w:sz="0" w:space="0" w:color="auto"/>
          </w:divBdr>
        </w:div>
        <w:div w:id="2022195375">
          <w:marLeft w:val="567"/>
          <w:marRight w:val="0"/>
          <w:marTop w:val="60"/>
          <w:marBottom w:val="0"/>
          <w:divBdr>
            <w:top w:val="none" w:sz="0" w:space="0" w:color="auto"/>
            <w:left w:val="none" w:sz="0" w:space="0" w:color="auto"/>
            <w:bottom w:val="none" w:sz="0" w:space="0" w:color="auto"/>
            <w:right w:val="none" w:sz="0" w:space="0" w:color="auto"/>
          </w:divBdr>
        </w:div>
        <w:div w:id="126631171">
          <w:marLeft w:val="567"/>
          <w:marRight w:val="0"/>
          <w:marTop w:val="60"/>
          <w:marBottom w:val="0"/>
          <w:divBdr>
            <w:top w:val="none" w:sz="0" w:space="0" w:color="auto"/>
            <w:left w:val="none" w:sz="0" w:space="0" w:color="auto"/>
            <w:bottom w:val="none" w:sz="0" w:space="0" w:color="auto"/>
            <w:right w:val="none" w:sz="0" w:space="0" w:color="auto"/>
          </w:divBdr>
        </w:div>
        <w:div w:id="751894939">
          <w:marLeft w:val="0"/>
          <w:marRight w:val="0"/>
          <w:marTop w:val="240"/>
          <w:marBottom w:val="24"/>
          <w:divBdr>
            <w:top w:val="single" w:sz="8" w:space="2" w:color="808080"/>
            <w:left w:val="none" w:sz="0" w:space="0" w:color="auto"/>
            <w:bottom w:val="none" w:sz="0" w:space="0" w:color="auto"/>
            <w:right w:val="none" w:sz="0" w:space="0" w:color="auto"/>
          </w:divBdr>
        </w:div>
        <w:div w:id="722870154">
          <w:marLeft w:val="0"/>
          <w:marRight w:val="0"/>
          <w:marTop w:val="120"/>
          <w:marBottom w:val="0"/>
          <w:divBdr>
            <w:top w:val="none" w:sz="0" w:space="0" w:color="auto"/>
            <w:left w:val="none" w:sz="0" w:space="0" w:color="auto"/>
            <w:bottom w:val="none" w:sz="0" w:space="0" w:color="auto"/>
            <w:right w:val="none" w:sz="0" w:space="0" w:color="auto"/>
          </w:divBdr>
        </w:div>
        <w:div w:id="2042321588">
          <w:marLeft w:val="567"/>
          <w:marRight w:val="0"/>
          <w:marTop w:val="60"/>
          <w:marBottom w:val="0"/>
          <w:divBdr>
            <w:top w:val="none" w:sz="0" w:space="0" w:color="auto"/>
            <w:left w:val="none" w:sz="0" w:space="0" w:color="auto"/>
            <w:bottom w:val="none" w:sz="0" w:space="0" w:color="auto"/>
            <w:right w:val="none" w:sz="0" w:space="0" w:color="auto"/>
          </w:divBdr>
        </w:div>
      </w:divsChild>
    </w:div>
    <w:div w:id="1657107118">
      <w:bodyDiv w:val="1"/>
      <w:marLeft w:val="0"/>
      <w:marRight w:val="0"/>
      <w:marTop w:val="0"/>
      <w:marBottom w:val="0"/>
      <w:divBdr>
        <w:top w:val="none" w:sz="0" w:space="0" w:color="auto"/>
        <w:left w:val="none" w:sz="0" w:space="0" w:color="auto"/>
        <w:bottom w:val="none" w:sz="0" w:space="0" w:color="auto"/>
        <w:right w:val="none" w:sz="0" w:space="0" w:color="auto"/>
      </w:divBdr>
      <w:divsChild>
        <w:div w:id="284580602">
          <w:marLeft w:val="284"/>
          <w:marRight w:val="0"/>
          <w:marTop w:val="80"/>
          <w:marBottom w:val="0"/>
          <w:divBdr>
            <w:top w:val="none" w:sz="0" w:space="0" w:color="auto"/>
            <w:left w:val="none" w:sz="0" w:space="0" w:color="auto"/>
            <w:bottom w:val="none" w:sz="0" w:space="0" w:color="auto"/>
            <w:right w:val="none" w:sz="0" w:space="0" w:color="auto"/>
          </w:divBdr>
        </w:div>
        <w:div w:id="1553536676">
          <w:marLeft w:val="1134"/>
          <w:marRight w:val="0"/>
          <w:marTop w:val="60"/>
          <w:marBottom w:val="0"/>
          <w:divBdr>
            <w:top w:val="none" w:sz="0" w:space="0" w:color="auto"/>
            <w:left w:val="none" w:sz="0" w:space="0" w:color="auto"/>
            <w:bottom w:val="none" w:sz="0" w:space="0" w:color="auto"/>
            <w:right w:val="none" w:sz="0" w:space="0" w:color="auto"/>
          </w:divBdr>
        </w:div>
        <w:div w:id="287010593">
          <w:marLeft w:val="1985"/>
          <w:marRight w:val="0"/>
          <w:marTop w:val="60"/>
          <w:marBottom w:val="0"/>
          <w:divBdr>
            <w:top w:val="none" w:sz="0" w:space="0" w:color="auto"/>
            <w:left w:val="none" w:sz="0" w:space="0" w:color="auto"/>
            <w:bottom w:val="none" w:sz="0" w:space="0" w:color="auto"/>
            <w:right w:val="none" w:sz="0" w:space="0" w:color="auto"/>
          </w:divBdr>
        </w:div>
        <w:div w:id="1771464212">
          <w:marLeft w:val="1985"/>
          <w:marRight w:val="0"/>
          <w:marTop w:val="60"/>
          <w:marBottom w:val="0"/>
          <w:divBdr>
            <w:top w:val="none" w:sz="0" w:space="0" w:color="auto"/>
            <w:left w:val="none" w:sz="0" w:space="0" w:color="auto"/>
            <w:bottom w:val="none" w:sz="0" w:space="0" w:color="auto"/>
            <w:right w:val="none" w:sz="0" w:space="0" w:color="auto"/>
          </w:divBdr>
        </w:div>
        <w:div w:id="1044407482">
          <w:marLeft w:val="1134"/>
          <w:marRight w:val="0"/>
          <w:marTop w:val="60"/>
          <w:marBottom w:val="0"/>
          <w:divBdr>
            <w:top w:val="none" w:sz="0" w:space="0" w:color="auto"/>
            <w:left w:val="none" w:sz="0" w:space="0" w:color="auto"/>
            <w:bottom w:val="none" w:sz="0" w:space="0" w:color="auto"/>
            <w:right w:val="none" w:sz="0" w:space="0" w:color="auto"/>
          </w:divBdr>
        </w:div>
      </w:divsChild>
    </w:div>
    <w:div w:id="1674182782">
      <w:bodyDiv w:val="1"/>
      <w:marLeft w:val="0"/>
      <w:marRight w:val="0"/>
      <w:marTop w:val="0"/>
      <w:marBottom w:val="0"/>
      <w:divBdr>
        <w:top w:val="none" w:sz="0" w:space="0" w:color="auto"/>
        <w:left w:val="none" w:sz="0" w:space="0" w:color="auto"/>
        <w:bottom w:val="none" w:sz="0" w:space="0" w:color="auto"/>
        <w:right w:val="none" w:sz="0" w:space="0" w:color="auto"/>
      </w:divBdr>
      <w:divsChild>
        <w:div w:id="1457290964">
          <w:marLeft w:val="0"/>
          <w:marRight w:val="0"/>
          <w:marTop w:val="120"/>
          <w:marBottom w:val="0"/>
          <w:divBdr>
            <w:top w:val="none" w:sz="0" w:space="0" w:color="auto"/>
            <w:left w:val="none" w:sz="0" w:space="0" w:color="auto"/>
            <w:bottom w:val="none" w:sz="0" w:space="0" w:color="auto"/>
            <w:right w:val="none" w:sz="0" w:space="0" w:color="auto"/>
          </w:divBdr>
        </w:div>
        <w:div w:id="1226793018">
          <w:marLeft w:val="1985"/>
          <w:marRight w:val="0"/>
          <w:marTop w:val="60"/>
          <w:marBottom w:val="0"/>
          <w:divBdr>
            <w:top w:val="none" w:sz="0" w:space="0" w:color="auto"/>
            <w:left w:val="none" w:sz="0" w:space="0" w:color="auto"/>
            <w:bottom w:val="none" w:sz="0" w:space="0" w:color="auto"/>
            <w:right w:val="none" w:sz="0" w:space="0" w:color="auto"/>
          </w:divBdr>
        </w:div>
        <w:div w:id="1107196181">
          <w:marLeft w:val="1985"/>
          <w:marRight w:val="0"/>
          <w:marTop w:val="60"/>
          <w:marBottom w:val="0"/>
          <w:divBdr>
            <w:top w:val="none" w:sz="0" w:space="0" w:color="auto"/>
            <w:left w:val="none" w:sz="0" w:space="0" w:color="auto"/>
            <w:bottom w:val="none" w:sz="0" w:space="0" w:color="auto"/>
            <w:right w:val="none" w:sz="0" w:space="0" w:color="auto"/>
          </w:divBdr>
        </w:div>
        <w:div w:id="866068711">
          <w:marLeft w:val="1134"/>
          <w:marRight w:val="0"/>
          <w:marTop w:val="60"/>
          <w:marBottom w:val="0"/>
          <w:divBdr>
            <w:top w:val="none" w:sz="0" w:space="0" w:color="auto"/>
            <w:left w:val="none" w:sz="0" w:space="0" w:color="auto"/>
            <w:bottom w:val="none" w:sz="0" w:space="0" w:color="auto"/>
            <w:right w:val="none" w:sz="0" w:space="0" w:color="auto"/>
          </w:divBdr>
        </w:div>
        <w:div w:id="1115295080">
          <w:marLeft w:val="1134"/>
          <w:marRight w:val="0"/>
          <w:marTop w:val="6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7y1998s3%27%5d&amp;xhitlist_md=target-id=0-0-0-2276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5y1998%27%5d&amp;xhitlist_md=target-id=0-0-0-1825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5y1998s2%27%5d&amp;xhitlist_md=target-id=0-0-0-2276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1(1)%27%5d&amp;xhitlist_md=target-id=0-0-0-227571"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7y1998%27%5d&amp;xhitlist_md=target-id=0-0-0-227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5BBE-1ECA-4727-8754-F5451BF7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3210</Words>
  <Characters>15957</Characters>
  <Application>Microsoft Office Word</Application>
  <DocSecurity>0</DocSecurity>
  <Lines>339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Judge-Joseph Mhlambi</cp:lastModifiedBy>
  <cp:revision>5</cp:revision>
  <cp:lastPrinted>2024-06-22T10:40:00Z</cp:lastPrinted>
  <dcterms:created xsi:type="dcterms:W3CDTF">2024-07-03T06:10:00Z</dcterms:created>
  <dcterms:modified xsi:type="dcterms:W3CDTF">2024-07-03T06:11:00Z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