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89" w:rsidRDefault="00715F89" w:rsidP="000274C5">
      <w:pPr>
        <w:jc w:val="right"/>
        <w:rPr>
          <w:rFonts w:ascii="Arial" w:hAnsi="Arial" w:cs="Arial"/>
          <w:sz w:val="28"/>
          <w:szCs w:val="28"/>
        </w:rPr>
      </w:pPr>
    </w:p>
    <w:p w:rsidR="000274C5" w:rsidRDefault="000274C5" w:rsidP="000274C5">
      <w:pPr>
        <w:jc w:val="right"/>
        <w:rPr>
          <w:rFonts w:ascii="Arial" w:hAnsi="Arial" w:cs="Arial"/>
          <w:sz w:val="28"/>
          <w:szCs w:val="28"/>
        </w:rPr>
      </w:pPr>
      <w:r>
        <w:rPr>
          <w:noProof/>
          <w:lang w:eastAsia="en-ZA"/>
        </w:rPr>
        <w:drawing>
          <wp:anchor distT="0" distB="0" distL="0" distR="0" simplePos="0" relativeHeight="251659264" behindDoc="0" locked="0" layoutInCell="1" allowOverlap="1" wp14:anchorId="41F35C08" wp14:editId="301E7599">
            <wp:simplePos x="0" y="0"/>
            <wp:positionH relativeFrom="column">
              <wp:posOffset>2367280</wp:posOffset>
            </wp:positionH>
            <wp:positionV relativeFrom="page">
              <wp:posOffset>533400</wp:posOffset>
            </wp:positionV>
            <wp:extent cx="1371600" cy="1220400"/>
            <wp:effectExtent l="0" t="0" r="0" b="0"/>
            <wp:wrapNone/>
            <wp:docPr id="1" name="officeArt object" descr="cid:image003.png@01D32573.78E90440"/>
            <wp:cNvGraphicFramePr/>
            <a:graphic xmlns:a="http://schemas.openxmlformats.org/drawingml/2006/main">
              <a:graphicData uri="http://schemas.openxmlformats.org/drawingml/2006/picture">
                <pic:pic xmlns:pic="http://schemas.openxmlformats.org/drawingml/2006/picture">
                  <pic:nvPicPr>
                    <pic:cNvPr id="1073741825" name="cid:image003.png@01D32573.78E90440" descr="cid:image003.png@01D32573.78E90440"/>
                    <pic:cNvPicPr>
                      <a:picLocks noChangeAspect="1"/>
                    </pic:cNvPicPr>
                  </pic:nvPicPr>
                  <pic:blipFill>
                    <a:blip r:embed="rId8"/>
                    <a:stretch>
                      <a:fillRect/>
                    </a:stretch>
                  </pic:blipFill>
                  <pic:spPr>
                    <a:xfrm>
                      <a:off x="0" y="0"/>
                      <a:ext cx="1371600" cy="1220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0274C5" w:rsidRDefault="000274C5" w:rsidP="000274C5">
      <w:pPr>
        <w:pStyle w:val="Body"/>
        <w:spacing w:after="0" w:line="360" w:lineRule="auto"/>
        <w:jc w:val="center"/>
        <w:rPr>
          <w:rFonts w:ascii="Arial" w:hAnsi="Arial"/>
          <w:b/>
          <w:bCs/>
          <w:u w:val="single"/>
        </w:rPr>
      </w:pPr>
    </w:p>
    <w:p w:rsidR="000274C5" w:rsidRDefault="000274C5" w:rsidP="000274C5">
      <w:pPr>
        <w:pStyle w:val="Body"/>
        <w:spacing w:after="0" w:line="360" w:lineRule="auto"/>
        <w:jc w:val="center"/>
        <w:rPr>
          <w:rFonts w:ascii="Arial" w:hAnsi="Arial"/>
          <w:b/>
          <w:bCs/>
          <w:u w:val="single"/>
        </w:rPr>
      </w:pPr>
    </w:p>
    <w:p w:rsidR="000274C5" w:rsidRPr="00EE3B37" w:rsidRDefault="000274C5" w:rsidP="000274C5">
      <w:pPr>
        <w:pStyle w:val="Body"/>
        <w:spacing w:after="0" w:line="360" w:lineRule="auto"/>
        <w:jc w:val="center"/>
        <w:rPr>
          <w:rFonts w:ascii="Arial" w:hAnsi="Arial"/>
          <w:b/>
          <w:bCs/>
          <w:u w:val="single"/>
        </w:rPr>
      </w:pPr>
    </w:p>
    <w:p w:rsidR="000274C5" w:rsidRPr="00395DEF" w:rsidRDefault="000274C5" w:rsidP="000274C5">
      <w:pPr>
        <w:pStyle w:val="Body"/>
        <w:spacing w:after="0" w:line="480" w:lineRule="auto"/>
        <w:jc w:val="center"/>
        <w:rPr>
          <w:rFonts w:ascii="Arial" w:eastAsia="Arial" w:hAnsi="Arial" w:cs="Arial"/>
          <w:b/>
          <w:bCs/>
          <w:sz w:val="24"/>
          <w:szCs w:val="24"/>
          <w:u w:val="single"/>
        </w:rPr>
      </w:pPr>
      <w:r w:rsidRPr="00395DEF">
        <w:rPr>
          <w:rFonts w:ascii="Arial" w:hAnsi="Arial"/>
          <w:b/>
          <w:bCs/>
          <w:sz w:val="24"/>
          <w:szCs w:val="24"/>
          <w:u w:val="single"/>
          <w:lang w:val="de-DE"/>
        </w:rPr>
        <w:t>IN THE HIGH COURT OF SOUTH AFRICA</w:t>
      </w:r>
    </w:p>
    <w:p w:rsidR="000274C5" w:rsidRPr="002F6623" w:rsidRDefault="000274C5" w:rsidP="000274C5">
      <w:pPr>
        <w:pStyle w:val="Body"/>
        <w:spacing w:after="0" w:line="480" w:lineRule="auto"/>
        <w:jc w:val="center"/>
        <w:rPr>
          <w:rFonts w:ascii="Arial" w:hAnsi="Arial"/>
          <w:b/>
          <w:bCs/>
          <w:sz w:val="24"/>
          <w:szCs w:val="24"/>
          <w:u w:val="single"/>
          <w:lang w:val="en-US"/>
        </w:rPr>
      </w:pPr>
      <w:r w:rsidRPr="00395DEF">
        <w:rPr>
          <w:rFonts w:ascii="Arial" w:hAnsi="Arial"/>
          <w:b/>
          <w:bCs/>
          <w:sz w:val="24"/>
          <w:szCs w:val="24"/>
          <w:u w:val="single"/>
          <w:lang w:val="en-US"/>
        </w:rPr>
        <w:t>FREE STATE DIVISION, BLOEMFONTEIN</w:t>
      </w:r>
    </w:p>
    <w:tbl>
      <w:tblPr>
        <w:tblW w:w="3327"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27"/>
      </w:tblGrid>
      <w:tr w:rsidR="000274C5" w:rsidTr="00405776">
        <w:trPr>
          <w:trHeight w:val="545"/>
          <w:jc w:val="right"/>
        </w:trPr>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274C5" w:rsidRDefault="000274C5" w:rsidP="00405776">
            <w:pPr>
              <w:pStyle w:val="Body"/>
              <w:spacing w:after="0" w:line="240" w:lineRule="auto"/>
              <w:rPr>
                <w:rFonts w:ascii="Arial" w:eastAsia="Arial" w:hAnsi="Arial" w:cs="Arial"/>
                <w:b/>
                <w:bCs/>
                <w:sz w:val="16"/>
                <w:szCs w:val="16"/>
              </w:rPr>
            </w:pPr>
            <w:r>
              <w:rPr>
                <w:rFonts w:ascii="Arial" w:hAnsi="Arial"/>
                <w:b/>
                <w:bCs/>
                <w:sz w:val="16"/>
                <w:szCs w:val="16"/>
                <w:lang w:val="en-US"/>
              </w:rPr>
              <w:t>Reportable:                                    YES/NO</w:t>
            </w:r>
          </w:p>
          <w:p w:rsidR="000274C5" w:rsidRDefault="000274C5" w:rsidP="00405776">
            <w:pPr>
              <w:pStyle w:val="Body"/>
              <w:spacing w:after="0" w:line="240" w:lineRule="auto"/>
              <w:rPr>
                <w:rFonts w:ascii="Arial" w:eastAsia="Arial" w:hAnsi="Arial" w:cs="Arial"/>
                <w:b/>
                <w:bCs/>
                <w:sz w:val="16"/>
                <w:szCs w:val="16"/>
              </w:rPr>
            </w:pPr>
            <w:r>
              <w:rPr>
                <w:rFonts w:ascii="Arial" w:hAnsi="Arial"/>
                <w:b/>
                <w:bCs/>
                <w:sz w:val="16"/>
                <w:szCs w:val="16"/>
                <w:lang w:val="en-US"/>
              </w:rPr>
              <w:t>Of Interest to other Judges:         YES/NO</w:t>
            </w:r>
          </w:p>
          <w:p w:rsidR="000274C5" w:rsidRDefault="000274C5" w:rsidP="00405776">
            <w:pPr>
              <w:pStyle w:val="Body"/>
              <w:spacing w:after="0" w:line="240" w:lineRule="auto"/>
            </w:pPr>
            <w:r>
              <w:rPr>
                <w:rFonts w:ascii="Arial" w:hAnsi="Arial"/>
                <w:b/>
                <w:bCs/>
                <w:sz w:val="16"/>
                <w:szCs w:val="16"/>
                <w:lang w:val="en-US"/>
              </w:rPr>
              <w:t>Circulate to Magistrates:              YES/NO</w:t>
            </w:r>
          </w:p>
        </w:tc>
      </w:tr>
    </w:tbl>
    <w:p w:rsidR="000274C5" w:rsidRDefault="000274C5" w:rsidP="000274C5">
      <w:pPr>
        <w:pStyle w:val="Body"/>
        <w:spacing w:after="0" w:line="240" w:lineRule="auto"/>
        <w:jc w:val="right"/>
        <w:rPr>
          <w:rFonts w:ascii="Arial" w:hAnsi="Arial"/>
          <w:sz w:val="24"/>
          <w:szCs w:val="24"/>
        </w:rPr>
      </w:pPr>
    </w:p>
    <w:p w:rsidR="000274C5" w:rsidRDefault="000274C5" w:rsidP="000274C5">
      <w:pPr>
        <w:jc w:val="right"/>
        <w:rPr>
          <w:rFonts w:ascii="Arial" w:hAnsi="Arial" w:cs="Arial"/>
          <w:sz w:val="28"/>
          <w:szCs w:val="28"/>
        </w:rPr>
      </w:pPr>
      <w:r w:rsidRPr="00395DEF">
        <w:rPr>
          <w:rFonts w:ascii="Arial" w:hAnsi="Arial"/>
          <w:sz w:val="24"/>
          <w:szCs w:val="24"/>
        </w:rPr>
        <w:t xml:space="preserve"> </w:t>
      </w:r>
      <w:r w:rsidRPr="000274C5">
        <w:rPr>
          <w:rFonts w:ascii="Arial" w:hAnsi="Arial"/>
          <w:b/>
          <w:sz w:val="24"/>
          <w:szCs w:val="24"/>
        </w:rPr>
        <w:t xml:space="preserve">CASE No.: 3074 </w:t>
      </w:r>
      <w:r w:rsidRPr="000274C5">
        <w:rPr>
          <w:rFonts w:ascii="Arial" w:hAnsi="Arial" w:cs="Arial"/>
          <w:b/>
          <w:sz w:val="24"/>
          <w:szCs w:val="24"/>
        </w:rPr>
        <w:t>/</w:t>
      </w:r>
      <w:r w:rsidRPr="00EE3B37">
        <w:rPr>
          <w:rFonts w:ascii="Arial" w:hAnsi="Arial" w:cs="Arial"/>
          <w:b/>
          <w:sz w:val="24"/>
          <w:szCs w:val="24"/>
        </w:rPr>
        <w:t>20</w:t>
      </w:r>
      <w:r>
        <w:rPr>
          <w:rFonts w:ascii="Arial" w:hAnsi="Arial" w:cs="Arial"/>
          <w:b/>
          <w:sz w:val="24"/>
          <w:szCs w:val="24"/>
        </w:rPr>
        <w:t>16</w:t>
      </w:r>
    </w:p>
    <w:p w:rsidR="000274C5" w:rsidRPr="00395DEF" w:rsidRDefault="000274C5" w:rsidP="000274C5">
      <w:pPr>
        <w:pStyle w:val="Body"/>
        <w:spacing w:after="0" w:line="240" w:lineRule="auto"/>
        <w:jc w:val="right"/>
        <w:rPr>
          <w:rFonts w:ascii="Arial" w:eastAsia="Arial" w:hAnsi="Arial" w:cs="Arial"/>
          <w:sz w:val="24"/>
          <w:szCs w:val="24"/>
        </w:rPr>
      </w:pPr>
    </w:p>
    <w:p w:rsidR="000274C5" w:rsidRDefault="000274C5" w:rsidP="000274C5">
      <w:pPr>
        <w:pStyle w:val="Body"/>
        <w:tabs>
          <w:tab w:val="right" w:pos="8789"/>
        </w:tabs>
        <w:spacing w:after="0" w:line="240" w:lineRule="auto"/>
        <w:rPr>
          <w:rFonts w:ascii="Arial" w:hAnsi="Arial"/>
          <w:sz w:val="24"/>
          <w:szCs w:val="24"/>
          <w:lang w:val="en-US"/>
        </w:rPr>
      </w:pPr>
      <w:r w:rsidRPr="00395DEF">
        <w:rPr>
          <w:rFonts w:ascii="Arial" w:hAnsi="Arial"/>
          <w:sz w:val="24"/>
          <w:szCs w:val="24"/>
          <w:lang w:val="en-US"/>
        </w:rPr>
        <w:t xml:space="preserve">In the </w:t>
      </w:r>
      <w:r>
        <w:rPr>
          <w:rFonts w:ascii="Arial" w:hAnsi="Arial"/>
          <w:sz w:val="24"/>
          <w:szCs w:val="24"/>
          <w:lang w:val="en-US"/>
        </w:rPr>
        <w:t>matter</w:t>
      </w:r>
      <w:r w:rsidRPr="00395DEF">
        <w:rPr>
          <w:rFonts w:ascii="Arial" w:hAnsi="Arial"/>
          <w:sz w:val="24"/>
          <w:szCs w:val="24"/>
          <w:lang w:val="en-US"/>
        </w:rPr>
        <w:t xml:space="preserve"> between:</w:t>
      </w:r>
    </w:p>
    <w:p w:rsidR="000274C5" w:rsidRPr="00395DEF" w:rsidRDefault="000274C5" w:rsidP="000274C5">
      <w:pPr>
        <w:pStyle w:val="Body"/>
        <w:tabs>
          <w:tab w:val="right" w:pos="8789"/>
        </w:tabs>
        <w:spacing w:after="0" w:line="240" w:lineRule="auto"/>
        <w:rPr>
          <w:rFonts w:ascii="Arial" w:eastAsia="Arial" w:hAnsi="Arial" w:cs="Arial"/>
          <w:sz w:val="24"/>
          <w:szCs w:val="24"/>
        </w:rPr>
      </w:pPr>
    </w:p>
    <w:p w:rsidR="000274C5" w:rsidRPr="00395DEF" w:rsidRDefault="000274C5" w:rsidP="000274C5">
      <w:pPr>
        <w:pStyle w:val="Body"/>
        <w:tabs>
          <w:tab w:val="right" w:pos="8789"/>
        </w:tabs>
        <w:spacing w:after="0" w:line="240" w:lineRule="auto"/>
        <w:jc w:val="both"/>
        <w:rPr>
          <w:rFonts w:ascii="Arial" w:eastAsia="Arial" w:hAnsi="Arial" w:cs="Arial"/>
          <w:sz w:val="24"/>
          <w:szCs w:val="24"/>
        </w:rPr>
      </w:pPr>
    </w:p>
    <w:p w:rsidR="000274C5" w:rsidRDefault="000274C5" w:rsidP="000274C5">
      <w:pPr>
        <w:pStyle w:val="Body"/>
        <w:tabs>
          <w:tab w:val="right" w:pos="9781"/>
        </w:tabs>
        <w:spacing w:after="0"/>
        <w:rPr>
          <w:rFonts w:ascii="Arial" w:hAnsi="Arial" w:cs="Arial"/>
          <w:b/>
          <w:sz w:val="24"/>
          <w:szCs w:val="24"/>
        </w:rPr>
      </w:pPr>
      <w:r>
        <w:rPr>
          <w:rFonts w:ascii="Arial" w:hAnsi="Arial" w:cs="Arial"/>
          <w:b/>
          <w:sz w:val="24"/>
          <w:szCs w:val="24"/>
        </w:rPr>
        <w:t>TILANA ALIDA LOUW                                                                                                Plaintiff</w:t>
      </w:r>
    </w:p>
    <w:p w:rsidR="000274C5" w:rsidRPr="00395DEF" w:rsidRDefault="000274C5" w:rsidP="000274C5">
      <w:pPr>
        <w:pStyle w:val="Body"/>
        <w:tabs>
          <w:tab w:val="right" w:pos="9781"/>
        </w:tabs>
        <w:spacing w:after="0"/>
        <w:rPr>
          <w:rFonts w:ascii="Arial" w:eastAsia="Arial" w:hAnsi="Arial" w:cs="Arial"/>
          <w:bCs/>
          <w:sz w:val="24"/>
          <w:szCs w:val="24"/>
          <w:lang w:val="fr-FR"/>
        </w:rPr>
      </w:pPr>
      <w:r w:rsidRPr="00395DEF">
        <w:rPr>
          <w:rFonts w:ascii="Arial" w:eastAsia="Arial" w:hAnsi="Arial" w:cs="Arial"/>
          <w:b/>
          <w:sz w:val="24"/>
          <w:szCs w:val="24"/>
          <w:lang w:val="fr-FR"/>
        </w:rPr>
        <w:t xml:space="preserve">                   </w:t>
      </w:r>
      <w:r>
        <w:rPr>
          <w:rFonts w:ascii="Arial" w:eastAsia="Arial" w:hAnsi="Arial" w:cs="Arial"/>
          <w:b/>
          <w:sz w:val="24"/>
          <w:szCs w:val="24"/>
          <w:lang w:val="fr-FR"/>
        </w:rPr>
        <w:t xml:space="preserve">                                              </w:t>
      </w:r>
      <w:r w:rsidRPr="000A1B52">
        <w:rPr>
          <w:rFonts w:ascii="Arial" w:eastAsia="Arial" w:hAnsi="Arial" w:cs="Arial"/>
          <w:sz w:val="24"/>
          <w:szCs w:val="24"/>
          <w:lang w:val="fr-FR"/>
        </w:rPr>
        <w:t xml:space="preserve"> </w:t>
      </w:r>
      <w:r>
        <w:rPr>
          <w:rFonts w:ascii="Arial" w:eastAsia="Arial" w:hAnsi="Arial" w:cs="Arial"/>
          <w:b/>
          <w:sz w:val="24"/>
          <w:szCs w:val="24"/>
          <w:lang w:val="fr-FR"/>
        </w:rPr>
        <w:t xml:space="preserve"> </w:t>
      </w:r>
    </w:p>
    <w:p w:rsidR="000274C5" w:rsidRPr="00BD73B3" w:rsidRDefault="000274C5" w:rsidP="000274C5">
      <w:pPr>
        <w:pStyle w:val="Body"/>
        <w:tabs>
          <w:tab w:val="right" w:pos="9000"/>
        </w:tabs>
        <w:spacing w:after="0"/>
        <w:jc w:val="both"/>
        <w:rPr>
          <w:rFonts w:ascii="Arial" w:eastAsia="Arial" w:hAnsi="Arial" w:cs="Arial"/>
          <w:b/>
          <w:sz w:val="24"/>
          <w:szCs w:val="24"/>
          <w:lang w:val="fr-FR"/>
        </w:rPr>
      </w:pPr>
      <w:r w:rsidRPr="00395DEF">
        <w:rPr>
          <w:rFonts w:ascii="Arial" w:eastAsia="Arial" w:hAnsi="Arial" w:cs="Arial"/>
          <w:b/>
          <w:sz w:val="24"/>
          <w:szCs w:val="24"/>
          <w:lang w:val="fr-FR"/>
        </w:rPr>
        <w:t xml:space="preserve">                                                                                     </w:t>
      </w:r>
      <w:r w:rsidRPr="00395DEF">
        <w:rPr>
          <w:rFonts w:ascii="Arial" w:eastAsia="Arial" w:hAnsi="Arial" w:cs="Arial"/>
          <w:bCs/>
          <w:sz w:val="24"/>
          <w:szCs w:val="24"/>
          <w:lang w:val="fr-FR"/>
        </w:rPr>
        <w:t xml:space="preserve"> </w:t>
      </w:r>
    </w:p>
    <w:p w:rsidR="000274C5" w:rsidRPr="00395DEF" w:rsidRDefault="000274C5" w:rsidP="000274C5">
      <w:pPr>
        <w:pStyle w:val="Body"/>
        <w:tabs>
          <w:tab w:val="right" w:pos="8789"/>
          <w:tab w:val="right" w:pos="9000"/>
        </w:tabs>
        <w:spacing w:after="0" w:line="240" w:lineRule="auto"/>
        <w:jc w:val="both"/>
        <w:rPr>
          <w:rFonts w:ascii="Arial" w:hAnsi="Arial"/>
          <w:sz w:val="24"/>
          <w:szCs w:val="24"/>
        </w:rPr>
      </w:pPr>
      <w:r w:rsidRPr="00395DEF">
        <w:rPr>
          <w:rFonts w:ascii="Arial" w:hAnsi="Arial"/>
          <w:sz w:val="24"/>
          <w:szCs w:val="24"/>
        </w:rPr>
        <w:t>and</w:t>
      </w:r>
    </w:p>
    <w:p w:rsidR="000274C5" w:rsidRPr="00395DEF" w:rsidRDefault="000274C5" w:rsidP="000274C5">
      <w:pPr>
        <w:pStyle w:val="Body"/>
        <w:tabs>
          <w:tab w:val="right" w:pos="8789"/>
          <w:tab w:val="right" w:pos="9000"/>
        </w:tabs>
        <w:spacing w:after="0" w:line="240" w:lineRule="auto"/>
        <w:jc w:val="both"/>
        <w:rPr>
          <w:rFonts w:ascii="Arial" w:eastAsia="Arial" w:hAnsi="Arial" w:cs="Arial"/>
          <w:sz w:val="24"/>
          <w:szCs w:val="24"/>
        </w:rPr>
      </w:pPr>
    </w:p>
    <w:p w:rsidR="000274C5" w:rsidRPr="00395DEF" w:rsidRDefault="000274C5" w:rsidP="000274C5">
      <w:pPr>
        <w:pStyle w:val="Body"/>
        <w:tabs>
          <w:tab w:val="right" w:pos="8789"/>
          <w:tab w:val="right" w:pos="9000"/>
        </w:tabs>
        <w:spacing w:after="0" w:line="240" w:lineRule="auto"/>
        <w:jc w:val="both"/>
        <w:rPr>
          <w:rFonts w:ascii="Arial" w:eastAsia="Arial" w:hAnsi="Arial" w:cs="Arial"/>
          <w:sz w:val="24"/>
          <w:szCs w:val="24"/>
        </w:rPr>
      </w:pPr>
    </w:p>
    <w:p w:rsidR="000274C5" w:rsidRDefault="000274C5" w:rsidP="000274C5">
      <w:pPr>
        <w:pStyle w:val="Body"/>
        <w:tabs>
          <w:tab w:val="right" w:pos="9000"/>
        </w:tabs>
        <w:spacing w:after="0" w:line="240" w:lineRule="auto"/>
        <w:rPr>
          <w:rFonts w:ascii="Arial" w:hAnsi="Arial"/>
          <w:b/>
          <w:bCs/>
          <w:sz w:val="24"/>
          <w:szCs w:val="24"/>
          <w:lang w:val="de-DE"/>
        </w:rPr>
      </w:pPr>
      <w:r>
        <w:rPr>
          <w:rFonts w:ascii="Arial" w:hAnsi="Arial" w:cs="Arial"/>
          <w:b/>
          <w:sz w:val="24"/>
          <w:szCs w:val="24"/>
        </w:rPr>
        <w:t>JAN MATTHEUS CHRISTIAAN FOURIE N.O.                                              First Defendant</w:t>
      </w:r>
      <w:r>
        <w:rPr>
          <w:rFonts w:ascii="Arial" w:hAnsi="Arial"/>
          <w:b/>
          <w:sz w:val="24"/>
          <w:szCs w:val="24"/>
          <w:lang w:val="de-DE"/>
        </w:rPr>
        <w:t xml:space="preserve">               </w:t>
      </w:r>
      <w:r w:rsidRPr="00395DEF">
        <w:rPr>
          <w:rFonts w:ascii="Arial" w:hAnsi="Arial"/>
          <w:b/>
          <w:sz w:val="24"/>
          <w:szCs w:val="24"/>
          <w:lang w:val="de-DE"/>
        </w:rPr>
        <w:t xml:space="preserve">   </w:t>
      </w:r>
      <w:r w:rsidRPr="00395DEF">
        <w:rPr>
          <w:rFonts w:ascii="Arial" w:hAnsi="Arial"/>
          <w:bCs/>
          <w:sz w:val="24"/>
          <w:szCs w:val="24"/>
          <w:lang w:val="de-DE"/>
        </w:rPr>
        <w:t xml:space="preserve">                             </w:t>
      </w:r>
      <w:r>
        <w:rPr>
          <w:rFonts w:ascii="Arial" w:hAnsi="Arial"/>
          <w:bCs/>
          <w:sz w:val="24"/>
          <w:szCs w:val="24"/>
          <w:lang w:val="de-DE"/>
        </w:rPr>
        <w:t xml:space="preserve"> </w:t>
      </w:r>
      <w:r w:rsidRPr="00395DEF">
        <w:rPr>
          <w:rFonts w:ascii="Arial" w:hAnsi="Arial"/>
          <w:bCs/>
          <w:sz w:val="24"/>
          <w:szCs w:val="24"/>
          <w:lang w:val="de-DE"/>
        </w:rPr>
        <w:t xml:space="preserve">     </w:t>
      </w:r>
      <w:r>
        <w:rPr>
          <w:rFonts w:ascii="Arial" w:hAnsi="Arial"/>
          <w:bCs/>
          <w:sz w:val="24"/>
          <w:szCs w:val="24"/>
          <w:lang w:val="de-DE"/>
        </w:rPr>
        <w:tab/>
        <w:t xml:space="preserve">                        </w:t>
      </w:r>
    </w:p>
    <w:p w:rsidR="000274C5" w:rsidRDefault="000274C5" w:rsidP="000274C5">
      <w:pPr>
        <w:pStyle w:val="Body"/>
        <w:tabs>
          <w:tab w:val="right" w:pos="9000"/>
        </w:tabs>
        <w:spacing w:after="0" w:line="240" w:lineRule="auto"/>
        <w:rPr>
          <w:rFonts w:ascii="Arial" w:hAnsi="Arial"/>
          <w:bCs/>
          <w:sz w:val="24"/>
          <w:szCs w:val="24"/>
          <w:lang w:val="de-DE"/>
        </w:rPr>
      </w:pPr>
      <w:r>
        <w:rPr>
          <w:rFonts w:ascii="Arial" w:hAnsi="Arial"/>
          <w:b/>
          <w:bCs/>
          <w:sz w:val="24"/>
          <w:szCs w:val="24"/>
          <w:lang w:val="de-DE"/>
        </w:rPr>
        <w:t xml:space="preserve">NETCARE UNIVERSITAS HOSPITAL                                                   </w:t>
      </w:r>
      <w:r w:rsidR="00692F8F">
        <w:rPr>
          <w:rFonts w:ascii="Arial" w:hAnsi="Arial"/>
          <w:b/>
          <w:bCs/>
          <w:sz w:val="24"/>
          <w:szCs w:val="24"/>
          <w:lang w:val="de-DE"/>
        </w:rPr>
        <w:t xml:space="preserve"> </w:t>
      </w:r>
      <w:r>
        <w:rPr>
          <w:rFonts w:ascii="Arial" w:hAnsi="Arial"/>
          <w:b/>
          <w:bCs/>
          <w:sz w:val="24"/>
          <w:szCs w:val="24"/>
          <w:lang w:val="de-DE"/>
        </w:rPr>
        <w:t xml:space="preserve"> Second Defendant                           </w:t>
      </w:r>
    </w:p>
    <w:p w:rsidR="000274C5" w:rsidRPr="00BD73B3" w:rsidRDefault="000274C5" w:rsidP="000274C5">
      <w:pPr>
        <w:pStyle w:val="Body"/>
        <w:tabs>
          <w:tab w:val="right" w:pos="9781"/>
        </w:tabs>
        <w:spacing w:after="0" w:line="240" w:lineRule="auto"/>
        <w:rPr>
          <w:rFonts w:ascii="Arial" w:hAnsi="Arial"/>
          <w:bCs/>
          <w:sz w:val="24"/>
          <w:szCs w:val="24"/>
          <w:lang w:val="de-DE"/>
        </w:rPr>
      </w:pPr>
      <w:r w:rsidRPr="00395DEF">
        <w:rPr>
          <w:rFonts w:ascii="Arial" w:hAnsi="Arial"/>
          <w:b/>
          <w:bCs/>
          <w:sz w:val="24"/>
          <w:szCs w:val="24"/>
          <w:lang w:val="de-DE"/>
        </w:rPr>
        <w:t>___________________________________________________________________</w:t>
      </w:r>
      <w:r>
        <w:rPr>
          <w:rFonts w:ascii="Arial" w:hAnsi="Arial"/>
          <w:b/>
          <w:bCs/>
          <w:sz w:val="24"/>
          <w:szCs w:val="24"/>
          <w:lang w:val="de-DE"/>
        </w:rPr>
        <w:t>______</w:t>
      </w:r>
    </w:p>
    <w:p w:rsidR="000274C5" w:rsidRDefault="000274C5" w:rsidP="000274C5">
      <w:pPr>
        <w:pStyle w:val="Body"/>
        <w:tabs>
          <w:tab w:val="left" w:pos="3119"/>
        </w:tabs>
        <w:spacing w:after="0" w:line="240" w:lineRule="auto"/>
        <w:jc w:val="both"/>
        <w:rPr>
          <w:rFonts w:ascii="Arial" w:hAnsi="Arial"/>
          <w:b/>
          <w:bCs/>
          <w:sz w:val="24"/>
          <w:szCs w:val="24"/>
          <w:u w:val="single"/>
          <w:lang w:val="de-DE"/>
        </w:rPr>
      </w:pPr>
    </w:p>
    <w:p w:rsidR="000274C5" w:rsidRPr="00F84086" w:rsidRDefault="000274C5" w:rsidP="000274C5">
      <w:pPr>
        <w:pStyle w:val="Body"/>
        <w:tabs>
          <w:tab w:val="left" w:pos="3119"/>
        </w:tabs>
        <w:spacing w:after="0" w:line="240" w:lineRule="auto"/>
        <w:jc w:val="both"/>
        <w:rPr>
          <w:rFonts w:ascii="Arial" w:hAnsi="Arial"/>
          <w:b/>
          <w:bCs/>
          <w:sz w:val="24"/>
          <w:szCs w:val="24"/>
          <w:lang w:val="de-DE"/>
        </w:rPr>
      </w:pPr>
      <w:r w:rsidRPr="00202245">
        <w:rPr>
          <w:rFonts w:ascii="Arial" w:hAnsi="Arial"/>
          <w:b/>
          <w:bCs/>
          <w:sz w:val="24"/>
          <w:szCs w:val="24"/>
          <w:lang w:val="de-DE"/>
        </w:rPr>
        <w:t>Judgment by:</w:t>
      </w:r>
      <w:r w:rsidRPr="00F84086">
        <w:rPr>
          <w:rFonts w:ascii="Arial" w:hAnsi="Arial"/>
          <w:b/>
          <w:bCs/>
          <w:sz w:val="24"/>
          <w:szCs w:val="24"/>
          <w:lang w:val="de-DE"/>
        </w:rPr>
        <w:t xml:space="preserve">                </w:t>
      </w:r>
      <w:r w:rsidRPr="00404368">
        <w:rPr>
          <w:rFonts w:ascii="Arial" w:hAnsi="Arial"/>
          <w:bCs/>
          <w:sz w:val="24"/>
          <w:szCs w:val="24"/>
          <w:lang w:val="de-DE"/>
        </w:rPr>
        <w:t>VAN RHYN J</w:t>
      </w:r>
    </w:p>
    <w:p w:rsidR="000274C5" w:rsidRPr="00F06B40" w:rsidRDefault="000274C5" w:rsidP="000274C5">
      <w:pPr>
        <w:pStyle w:val="Body"/>
        <w:tabs>
          <w:tab w:val="right" w:pos="3119"/>
          <w:tab w:val="right" w:pos="9781"/>
        </w:tabs>
        <w:spacing w:after="0" w:line="240" w:lineRule="auto"/>
        <w:jc w:val="both"/>
        <w:rPr>
          <w:rFonts w:ascii="Arial" w:eastAsia="Arial" w:hAnsi="Arial" w:cs="Arial"/>
          <w:b/>
          <w:bCs/>
          <w:sz w:val="24"/>
          <w:szCs w:val="24"/>
          <w:u w:val="single"/>
        </w:rPr>
      </w:pPr>
      <w:r w:rsidRPr="00F84086">
        <w:rPr>
          <w:rFonts w:ascii="Arial" w:hAnsi="Arial"/>
          <w:b/>
          <w:bCs/>
          <w:sz w:val="24"/>
          <w:szCs w:val="24"/>
          <w:lang w:val="en-US"/>
        </w:rPr>
        <w:t>_</w:t>
      </w:r>
      <w:r>
        <w:rPr>
          <w:rFonts w:ascii="Arial" w:hAnsi="Arial"/>
          <w:b/>
          <w:bCs/>
          <w:sz w:val="24"/>
          <w:szCs w:val="24"/>
          <w:u w:val="single"/>
          <w:lang w:val="en-US"/>
        </w:rPr>
        <w:t>________________________________________________________________________</w:t>
      </w:r>
    </w:p>
    <w:p w:rsidR="000274C5" w:rsidRPr="00395DEF" w:rsidRDefault="000274C5" w:rsidP="000274C5">
      <w:pPr>
        <w:pStyle w:val="Body"/>
        <w:tabs>
          <w:tab w:val="right" w:pos="3119"/>
        </w:tabs>
        <w:spacing w:after="0" w:line="240" w:lineRule="auto"/>
        <w:ind w:left="720" w:hanging="720"/>
        <w:rPr>
          <w:rFonts w:ascii="Arial" w:eastAsia="Arial" w:hAnsi="Arial" w:cs="Arial"/>
          <w:b/>
          <w:bCs/>
          <w:sz w:val="24"/>
          <w:szCs w:val="24"/>
          <w:u w:val="single"/>
        </w:rPr>
      </w:pPr>
    </w:p>
    <w:p w:rsidR="000274C5" w:rsidRPr="00395DEF" w:rsidRDefault="000274C5" w:rsidP="000274C5">
      <w:pPr>
        <w:pStyle w:val="Body"/>
        <w:tabs>
          <w:tab w:val="right" w:pos="3119"/>
        </w:tabs>
        <w:spacing w:after="0" w:line="240" w:lineRule="auto"/>
        <w:ind w:left="720" w:hanging="720"/>
        <w:rPr>
          <w:rFonts w:ascii="Arial" w:eastAsia="Arial" w:hAnsi="Arial" w:cs="Arial"/>
          <w:sz w:val="24"/>
          <w:szCs w:val="24"/>
        </w:rPr>
      </w:pPr>
      <w:r>
        <w:rPr>
          <w:rFonts w:ascii="Arial" w:hAnsi="Arial"/>
          <w:b/>
          <w:bCs/>
          <w:sz w:val="24"/>
          <w:szCs w:val="24"/>
          <w:lang w:val="de-DE"/>
        </w:rPr>
        <w:t>Heard on</w:t>
      </w:r>
      <w:r w:rsidRPr="00202245">
        <w:rPr>
          <w:rFonts w:ascii="Arial" w:hAnsi="Arial"/>
          <w:b/>
          <w:bCs/>
          <w:sz w:val="24"/>
          <w:szCs w:val="24"/>
          <w:lang w:val="de-DE"/>
        </w:rPr>
        <w:t>:</w:t>
      </w:r>
      <w:r>
        <w:rPr>
          <w:rFonts w:ascii="Arial" w:eastAsia="Arial" w:hAnsi="Arial" w:cs="Arial"/>
          <w:sz w:val="24"/>
          <w:szCs w:val="24"/>
          <w:lang w:val="de-DE"/>
        </w:rPr>
        <w:t xml:space="preserve">                       6 JUNE 2024</w:t>
      </w:r>
    </w:p>
    <w:p w:rsidR="000274C5" w:rsidRPr="00395DEF" w:rsidRDefault="000274C5" w:rsidP="000274C5">
      <w:pPr>
        <w:pStyle w:val="Body"/>
        <w:tabs>
          <w:tab w:val="right" w:pos="3119"/>
        </w:tabs>
        <w:spacing w:after="0" w:line="240" w:lineRule="auto"/>
        <w:rPr>
          <w:rFonts w:ascii="Arial" w:eastAsia="Arial" w:hAnsi="Arial" w:cs="Arial"/>
          <w:b/>
          <w:bCs/>
          <w:sz w:val="24"/>
          <w:szCs w:val="24"/>
        </w:rPr>
      </w:pPr>
      <w:r w:rsidRPr="00395DEF">
        <w:rPr>
          <w:rFonts w:ascii="Arial" w:hAnsi="Arial"/>
          <w:b/>
          <w:bCs/>
          <w:sz w:val="24"/>
          <w:szCs w:val="24"/>
          <w:lang w:val="en-US"/>
        </w:rPr>
        <w:t>________________________________________________________</w:t>
      </w:r>
      <w:r>
        <w:rPr>
          <w:rFonts w:ascii="Arial" w:hAnsi="Arial"/>
          <w:b/>
          <w:bCs/>
          <w:sz w:val="24"/>
          <w:szCs w:val="24"/>
          <w:u w:val="single"/>
          <w:lang w:val="en-US"/>
        </w:rPr>
        <w:t>__________</w:t>
      </w:r>
      <w:r w:rsidRPr="00395DEF">
        <w:rPr>
          <w:rFonts w:ascii="Arial" w:hAnsi="Arial"/>
          <w:b/>
          <w:bCs/>
          <w:sz w:val="24"/>
          <w:szCs w:val="24"/>
          <w:lang w:val="en-US"/>
        </w:rPr>
        <w:t>_</w:t>
      </w:r>
      <w:r>
        <w:rPr>
          <w:rFonts w:ascii="Arial" w:hAnsi="Arial"/>
          <w:b/>
          <w:bCs/>
          <w:sz w:val="24"/>
          <w:szCs w:val="24"/>
          <w:lang w:val="en-US"/>
        </w:rPr>
        <w:t>______</w:t>
      </w:r>
    </w:p>
    <w:p w:rsidR="000274C5" w:rsidRPr="00395DEF" w:rsidRDefault="000274C5" w:rsidP="000274C5">
      <w:pPr>
        <w:pStyle w:val="Body"/>
        <w:tabs>
          <w:tab w:val="right" w:pos="3119"/>
        </w:tabs>
        <w:spacing w:after="0" w:line="240" w:lineRule="auto"/>
        <w:ind w:left="720" w:hanging="720"/>
        <w:rPr>
          <w:rFonts w:ascii="Arial" w:eastAsia="Arial" w:hAnsi="Arial" w:cs="Arial"/>
          <w:b/>
          <w:bCs/>
          <w:sz w:val="24"/>
          <w:szCs w:val="24"/>
          <w:u w:val="single"/>
        </w:rPr>
      </w:pPr>
    </w:p>
    <w:p w:rsidR="000274C5" w:rsidRDefault="000274C5" w:rsidP="000274C5">
      <w:pPr>
        <w:pStyle w:val="Body"/>
        <w:tabs>
          <w:tab w:val="right" w:pos="3119"/>
        </w:tabs>
        <w:spacing w:after="0" w:line="240" w:lineRule="auto"/>
        <w:jc w:val="both"/>
        <w:rPr>
          <w:rFonts w:ascii="Arial" w:hAnsi="Arial"/>
          <w:bCs/>
          <w:sz w:val="24"/>
          <w:szCs w:val="24"/>
          <w:lang w:val="de-DE"/>
        </w:rPr>
      </w:pPr>
      <w:r>
        <w:rPr>
          <w:rFonts w:ascii="Arial" w:hAnsi="Arial"/>
          <w:b/>
          <w:bCs/>
          <w:sz w:val="24"/>
          <w:szCs w:val="24"/>
          <w:lang w:val="de-DE"/>
        </w:rPr>
        <w:t>Delivered on:</w:t>
      </w:r>
      <w:r w:rsidRPr="00FE1FA7">
        <w:rPr>
          <w:rFonts w:ascii="Arial" w:hAnsi="Arial"/>
          <w:bCs/>
          <w:sz w:val="24"/>
          <w:szCs w:val="24"/>
          <w:lang w:val="de-DE"/>
        </w:rPr>
        <w:t xml:space="preserve">              </w:t>
      </w:r>
      <w:r>
        <w:rPr>
          <w:rFonts w:ascii="Arial" w:hAnsi="Arial"/>
          <w:bCs/>
          <w:sz w:val="24"/>
          <w:szCs w:val="24"/>
          <w:lang w:val="de-DE"/>
        </w:rPr>
        <w:tab/>
        <w:t xml:space="preserve"> </w:t>
      </w:r>
      <w:r w:rsidR="00302F56">
        <w:rPr>
          <w:rFonts w:ascii="Arial" w:hAnsi="Arial"/>
          <w:bCs/>
          <w:sz w:val="24"/>
          <w:szCs w:val="24"/>
          <w:lang w:val="de-DE"/>
        </w:rPr>
        <w:t xml:space="preserve"> </w:t>
      </w:r>
      <w:r>
        <w:rPr>
          <w:rFonts w:ascii="Arial" w:hAnsi="Arial"/>
          <w:bCs/>
          <w:sz w:val="24"/>
          <w:szCs w:val="24"/>
          <w:lang w:val="de-DE"/>
        </w:rPr>
        <w:t xml:space="preserve"> </w:t>
      </w:r>
      <w:r w:rsidR="00692F8F">
        <w:rPr>
          <w:rFonts w:ascii="Arial" w:hAnsi="Arial"/>
          <w:bCs/>
          <w:sz w:val="24"/>
          <w:szCs w:val="24"/>
          <w:lang w:val="de-DE"/>
        </w:rPr>
        <w:t>8</w:t>
      </w:r>
      <w:r>
        <w:rPr>
          <w:rFonts w:ascii="Arial" w:hAnsi="Arial"/>
          <w:bCs/>
          <w:sz w:val="24"/>
          <w:szCs w:val="24"/>
          <w:lang w:val="de-DE"/>
        </w:rPr>
        <w:t xml:space="preserve"> JULY 2024</w:t>
      </w:r>
    </w:p>
    <w:p w:rsidR="000274C5" w:rsidRPr="00FE1FA7" w:rsidRDefault="000274C5" w:rsidP="000274C5">
      <w:pPr>
        <w:pStyle w:val="Body"/>
        <w:tabs>
          <w:tab w:val="right" w:pos="3119"/>
        </w:tabs>
        <w:spacing w:after="0" w:line="240" w:lineRule="auto"/>
        <w:jc w:val="both"/>
        <w:rPr>
          <w:rFonts w:ascii="Arial" w:hAnsi="Arial"/>
          <w:b/>
          <w:bCs/>
          <w:sz w:val="24"/>
          <w:szCs w:val="24"/>
          <w:lang w:val="de-DE"/>
        </w:rPr>
      </w:pPr>
      <w:r>
        <w:rPr>
          <w:rFonts w:ascii="Arial" w:hAnsi="Arial"/>
          <w:b/>
          <w:bCs/>
          <w:sz w:val="24"/>
          <w:szCs w:val="24"/>
          <w:lang w:val="de-DE"/>
        </w:rPr>
        <w:t>_________________________________________________________________________</w:t>
      </w:r>
    </w:p>
    <w:p w:rsidR="000274C5" w:rsidRDefault="000274C5" w:rsidP="000274C5">
      <w:pPr>
        <w:spacing w:before="120" w:after="120" w:line="360" w:lineRule="auto"/>
        <w:ind w:left="709" w:hanging="709"/>
        <w:jc w:val="both"/>
        <w:rPr>
          <w:rFonts w:ascii="Arial" w:hAnsi="Arial" w:cs="Arial"/>
          <w:sz w:val="24"/>
          <w:szCs w:val="24"/>
        </w:rPr>
      </w:pPr>
    </w:p>
    <w:p w:rsidR="00B52D40" w:rsidRPr="00302F56" w:rsidRDefault="000274C5" w:rsidP="000274C5">
      <w:pPr>
        <w:spacing w:before="120" w:after="120" w:line="360" w:lineRule="auto"/>
        <w:ind w:left="709" w:hanging="709"/>
        <w:jc w:val="both"/>
        <w:rPr>
          <w:rFonts w:ascii="Arial" w:hAnsi="Arial" w:cs="Arial"/>
          <w:sz w:val="24"/>
          <w:szCs w:val="24"/>
        </w:rPr>
      </w:pPr>
      <w:r>
        <w:rPr>
          <w:rFonts w:ascii="Arial" w:hAnsi="Arial" w:cs="Arial"/>
          <w:sz w:val="24"/>
          <w:szCs w:val="24"/>
        </w:rPr>
        <w:t>[1]</w:t>
      </w:r>
      <w:r>
        <w:rPr>
          <w:rFonts w:ascii="Arial" w:hAnsi="Arial" w:cs="Arial"/>
          <w:sz w:val="24"/>
          <w:szCs w:val="24"/>
        </w:rPr>
        <w:tab/>
      </w:r>
      <w:r w:rsidR="00020B3B" w:rsidRPr="00302F56">
        <w:rPr>
          <w:rFonts w:ascii="Arial" w:hAnsi="Arial" w:cs="Arial"/>
          <w:sz w:val="24"/>
          <w:szCs w:val="24"/>
        </w:rPr>
        <w:t>The plaintiff, Tilana Alida Louw, a female employed as a theatre manager at a private hospital at Bloemfontein, instituted an action on 1 July 2016 against Dr S P Grobler,</w:t>
      </w:r>
      <w:r w:rsidR="00B52D40" w:rsidRPr="00302F56">
        <w:rPr>
          <w:rFonts w:ascii="Arial" w:hAnsi="Arial" w:cs="Arial"/>
          <w:sz w:val="24"/>
          <w:szCs w:val="24"/>
        </w:rPr>
        <w:t xml:space="preserve"> </w:t>
      </w:r>
      <w:r w:rsidR="00020B3B" w:rsidRPr="00302F56">
        <w:rPr>
          <w:rFonts w:ascii="Arial" w:hAnsi="Arial" w:cs="Arial"/>
          <w:sz w:val="24"/>
          <w:szCs w:val="24"/>
        </w:rPr>
        <w:t>cited as first defendant</w:t>
      </w:r>
      <w:r w:rsidR="00B52D40" w:rsidRPr="00302F56">
        <w:rPr>
          <w:rFonts w:ascii="Arial" w:hAnsi="Arial" w:cs="Arial"/>
          <w:sz w:val="24"/>
          <w:szCs w:val="24"/>
        </w:rPr>
        <w:t>,</w:t>
      </w:r>
      <w:r w:rsidR="00020B3B" w:rsidRPr="00302F56">
        <w:rPr>
          <w:rFonts w:ascii="Arial" w:hAnsi="Arial" w:cs="Arial"/>
          <w:sz w:val="24"/>
          <w:szCs w:val="24"/>
        </w:rPr>
        <w:t xml:space="preserve"> and Netcare Universitas Hospital</w:t>
      </w:r>
      <w:r w:rsidR="001E1470" w:rsidRPr="00302F56">
        <w:rPr>
          <w:rFonts w:ascii="Arial" w:hAnsi="Arial" w:cs="Arial"/>
          <w:sz w:val="24"/>
          <w:szCs w:val="24"/>
        </w:rPr>
        <w:t xml:space="preserve"> (“Netcare”)</w:t>
      </w:r>
      <w:r w:rsidR="00020B3B" w:rsidRPr="00302F56">
        <w:rPr>
          <w:rFonts w:ascii="Arial" w:hAnsi="Arial" w:cs="Arial"/>
          <w:sz w:val="24"/>
          <w:szCs w:val="24"/>
        </w:rPr>
        <w:t xml:space="preserve">, </w:t>
      </w:r>
      <w:r w:rsidR="00B52D40" w:rsidRPr="00302F56">
        <w:rPr>
          <w:rFonts w:ascii="Arial" w:hAnsi="Arial" w:cs="Arial"/>
          <w:sz w:val="24"/>
          <w:szCs w:val="24"/>
        </w:rPr>
        <w:t xml:space="preserve">the </w:t>
      </w:r>
      <w:r w:rsidR="00020B3B" w:rsidRPr="00302F56">
        <w:rPr>
          <w:rFonts w:ascii="Arial" w:hAnsi="Arial" w:cs="Arial"/>
          <w:sz w:val="24"/>
          <w:szCs w:val="24"/>
        </w:rPr>
        <w:t>second defendant</w:t>
      </w:r>
      <w:r w:rsidR="00B52D40" w:rsidRPr="00302F56">
        <w:rPr>
          <w:rFonts w:ascii="Arial" w:hAnsi="Arial" w:cs="Arial"/>
          <w:sz w:val="24"/>
          <w:szCs w:val="24"/>
        </w:rPr>
        <w:t>, for payment of damages under the</w:t>
      </w:r>
      <w:r w:rsidR="00B52D40" w:rsidRPr="00302F56">
        <w:rPr>
          <w:rFonts w:ascii="Arial" w:hAnsi="Arial" w:cs="Arial"/>
          <w:i/>
          <w:sz w:val="24"/>
          <w:szCs w:val="24"/>
        </w:rPr>
        <w:t xml:space="preserve"> actio iniuriarum</w:t>
      </w:r>
      <w:r w:rsidR="00B52D40" w:rsidRPr="00302F56">
        <w:rPr>
          <w:rFonts w:ascii="Arial" w:hAnsi="Arial" w:cs="Arial"/>
          <w:sz w:val="24"/>
          <w:szCs w:val="24"/>
        </w:rPr>
        <w:t>.</w:t>
      </w:r>
      <w:r w:rsidR="0080129B" w:rsidRPr="00302F56">
        <w:rPr>
          <w:rFonts w:ascii="Arial" w:hAnsi="Arial" w:cs="Arial"/>
          <w:sz w:val="24"/>
          <w:szCs w:val="24"/>
        </w:rPr>
        <w:t xml:space="preserve"> </w:t>
      </w:r>
      <w:r w:rsidR="00692F8F" w:rsidRPr="00302F56">
        <w:rPr>
          <w:rFonts w:ascii="Arial" w:hAnsi="Arial" w:cs="Arial"/>
          <w:sz w:val="24"/>
          <w:szCs w:val="24"/>
        </w:rPr>
        <w:t>Netcare</w:t>
      </w:r>
      <w:r w:rsidR="00E72712" w:rsidRPr="00302F56">
        <w:rPr>
          <w:rFonts w:ascii="Arial" w:hAnsi="Arial" w:cs="Arial"/>
          <w:sz w:val="24"/>
          <w:szCs w:val="24"/>
        </w:rPr>
        <w:t xml:space="preserve"> is situated at Universitas, Bloemfontein and is operated in terms of a public private partnership under </w:t>
      </w:r>
      <w:r w:rsidR="00E72712" w:rsidRPr="00302F56">
        <w:rPr>
          <w:rFonts w:ascii="Arial" w:hAnsi="Arial" w:cs="Arial"/>
          <w:sz w:val="24"/>
          <w:szCs w:val="24"/>
        </w:rPr>
        <w:lastRenderedPageBreak/>
        <w:t xml:space="preserve">the auspices of Netcare Ltd, a public company with its principal place of business situated at Sandton, Gauteng. </w:t>
      </w:r>
      <w:r w:rsidR="00B52D40" w:rsidRPr="00302F56">
        <w:rPr>
          <w:rFonts w:ascii="Arial" w:hAnsi="Arial" w:cs="Arial"/>
          <w:sz w:val="24"/>
          <w:szCs w:val="24"/>
        </w:rPr>
        <w:t xml:space="preserve"> Dr Grobler passed away and was substituted as a defendant by the executor of his deceased’s estate. </w:t>
      </w:r>
    </w:p>
    <w:p w:rsidR="00B52D40" w:rsidRPr="00302F56" w:rsidRDefault="00B52D40" w:rsidP="000274C5">
      <w:pPr>
        <w:spacing w:before="120" w:after="120" w:line="360" w:lineRule="auto"/>
        <w:ind w:left="709" w:hanging="709"/>
        <w:jc w:val="both"/>
        <w:rPr>
          <w:rFonts w:ascii="Arial" w:hAnsi="Arial" w:cs="Arial"/>
          <w:sz w:val="24"/>
          <w:szCs w:val="24"/>
        </w:rPr>
      </w:pPr>
      <w:r w:rsidRPr="00302F56">
        <w:rPr>
          <w:rFonts w:ascii="Arial" w:hAnsi="Arial" w:cs="Arial"/>
          <w:sz w:val="24"/>
          <w:szCs w:val="24"/>
        </w:rPr>
        <w:t>[2]</w:t>
      </w:r>
      <w:r w:rsidRPr="00302F56">
        <w:rPr>
          <w:rFonts w:ascii="Arial" w:hAnsi="Arial" w:cs="Arial"/>
          <w:sz w:val="24"/>
          <w:szCs w:val="24"/>
        </w:rPr>
        <w:tab/>
        <w:t xml:space="preserve">The action </w:t>
      </w:r>
      <w:r w:rsidR="001E1470" w:rsidRPr="00302F56">
        <w:rPr>
          <w:rFonts w:ascii="Arial" w:hAnsi="Arial" w:cs="Arial"/>
          <w:sz w:val="24"/>
          <w:szCs w:val="24"/>
        </w:rPr>
        <w:t>between the plaintiff and the estate of the late Dr Grobler</w:t>
      </w:r>
      <w:r w:rsidR="00692F8F" w:rsidRPr="00302F56">
        <w:rPr>
          <w:rFonts w:ascii="Arial" w:hAnsi="Arial" w:cs="Arial"/>
          <w:sz w:val="24"/>
          <w:szCs w:val="24"/>
        </w:rPr>
        <w:t xml:space="preserve"> (herein after referred to as “Dr Grobler”)</w:t>
      </w:r>
      <w:r w:rsidR="001E1470" w:rsidRPr="00302F56">
        <w:rPr>
          <w:rFonts w:ascii="Arial" w:hAnsi="Arial" w:cs="Arial"/>
          <w:sz w:val="24"/>
          <w:szCs w:val="24"/>
        </w:rPr>
        <w:t xml:space="preserve"> was settled in terms of a confidential settlement agreement. Netcare</w:t>
      </w:r>
      <w:r w:rsidR="00692F8F" w:rsidRPr="00302F56">
        <w:rPr>
          <w:rFonts w:ascii="Arial" w:hAnsi="Arial" w:cs="Arial"/>
          <w:sz w:val="24"/>
          <w:szCs w:val="24"/>
        </w:rPr>
        <w:t xml:space="preserve">, somehow, </w:t>
      </w:r>
      <w:r w:rsidR="001E1470" w:rsidRPr="00302F56">
        <w:rPr>
          <w:rFonts w:ascii="Arial" w:hAnsi="Arial" w:cs="Arial"/>
          <w:sz w:val="24"/>
          <w:szCs w:val="24"/>
        </w:rPr>
        <w:t xml:space="preserve">became aware of the terms of the confidential settlement agreement and pleaded details thereof in its amended plea. Subsequent to an order </w:t>
      </w:r>
      <w:r w:rsidR="00692F8F" w:rsidRPr="00302F56">
        <w:rPr>
          <w:rFonts w:ascii="Arial" w:hAnsi="Arial" w:cs="Arial"/>
          <w:sz w:val="24"/>
          <w:szCs w:val="24"/>
        </w:rPr>
        <w:t xml:space="preserve">issued </w:t>
      </w:r>
      <w:r w:rsidR="001E1470" w:rsidRPr="00302F56">
        <w:rPr>
          <w:rFonts w:ascii="Arial" w:hAnsi="Arial" w:cs="Arial"/>
          <w:sz w:val="24"/>
          <w:szCs w:val="24"/>
        </w:rPr>
        <w:t>by this court during 2021</w:t>
      </w:r>
      <w:r w:rsidR="00692F8F" w:rsidRPr="00302F56">
        <w:rPr>
          <w:rFonts w:ascii="Arial" w:hAnsi="Arial" w:cs="Arial"/>
          <w:sz w:val="24"/>
          <w:szCs w:val="24"/>
        </w:rPr>
        <w:t>,</w:t>
      </w:r>
      <w:r w:rsidR="001E1470" w:rsidRPr="00302F56">
        <w:rPr>
          <w:rFonts w:ascii="Arial" w:hAnsi="Arial" w:cs="Arial"/>
          <w:sz w:val="24"/>
          <w:szCs w:val="24"/>
        </w:rPr>
        <w:t xml:space="preserve"> Netcare had to comply with the plaintiff’s Rule 35(3) notice</w:t>
      </w:r>
      <w:r w:rsidR="00454487" w:rsidRPr="00302F56">
        <w:rPr>
          <w:rFonts w:ascii="Arial" w:hAnsi="Arial" w:cs="Arial"/>
          <w:sz w:val="24"/>
          <w:szCs w:val="24"/>
        </w:rPr>
        <w:t>,</w:t>
      </w:r>
      <w:r w:rsidR="001E1470" w:rsidRPr="00302F56">
        <w:rPr>
          <w:rFonts w:ascii="Arial" w:hAnsi="Arial" w:cs="Arial"/>
          <w:sz w:val="24"/>
          <w:szCs w:val="24"/>
        </w:rPr>
        <w:t xml:space="preserve"> and </w:t>
      </w:r>
      <w:r w:rsidR="00454487" w:rsidRPr="00302F56">
        <w:rPr>
          <w:rFonts w:ascii="Arial" w:hAnsi="Arial" w:cs="Arial"/>
          <w:sz w:val="24"/>
          <w:szCs w:val="24"/>
        </w:rPr>
        <w:t xml:space="preserve">after </w:t>
      </w:r>
      <w:r w:rsidR="001E1470" w:rsidRPr="00302F56">
        <w:rPr>
          <w:rFonts w:ascii="Arial" w:hAnsi="Arial" w:cs="Arial"/>
          <w:sz w:val="24"/>
          <w:szCs w:val="24"/>
        </w:rPr>
        <w:t xml:space="preserve">several amendments to her particulars of claim, the matter was certified trial ready and enrolled for hearing of evidence. </w:t>
      </w:r>
    </w:p>
    <w:p w:rsidR="00454487" w:rsidRPr="00302F56" w:rsidRDefault="001E1470" w:rsidP="000274C5">
      <w:pPr>
        <w:spacing w:before="120" w:after="120" w:line="360" w:lineRule="auto"/>
        <w:ind w:left="709" w:hanging="709"/>
        <w:jc w:val="both"/>
        <w:rPr>
          <w:rFonts w:ascii="Arial" w:hAnsi="Arial" w:cs="Arial"/>
          <w:sz w:val="24"/>
          <w:szCs w:val="24"/>
        </w:rPr>
      </w:pPr>
      <w:r w:rsidRPr="00302F56">
        <w:rPr>
          <w:rFonts w:ascii="Arial" w:hAnsi="Arial" w:cs="Arial"/>
          <w:sz w:val="24"/>
          <w:szCs w:val="24"/>
        </w:rPr>
        <w:t>[3]</w:t>
      </w:r>
      <w:r w:rsidRPr="00302F56">
        <w:rPr>
          <w:rFonts w:ascii="Arial" w:hAnsi="Arial" w:cs="Arial"/>
          <w:sz w:val="24"/>
          <w:szCs w:val="24"/>
        </w:rPr>
        <w:tab/>
      </w:r>
      <w:r w:rsidR="00454487" w:rsidRPr="00302F56">
        <w:rPr>
          <w:rFonts w:ascii="Arial" w:hAnsi="Arial" w:cs="Arial"/>
          <w:sz w:val="24"/>
          <w:szCs w:val="24"/>
        </w:rPr>
        <w:t xml:space="preserve">The background to this claim is as follows: </w:t>
      </w:r>
      <w:r w:rsidR="00946CF4" w:rsidRPr="00302F56">
        <w:rPr>
          <w:rFonts w:ascii="Arial" w:hAnsi="Arial" w:cs="Arial"/>
          <w:sz w:val="24"/>
          <w:szCs w:val="24"/>
        </w:rPr>
        <w:t>The plaintiff</w:t>
      </w:r>
      <w:r w:rsidR="006C73BA" w:rsidRPr="00302F56">
        <w:rPr>
          <w:rFonts w:ascii="Arial" w:hAnsi="Arial" w:cs="Arial"/>
          <w:sz w:val="24"/>
          <w:szCs w:val="24"/>
        </w:rPr>
        <w:t xml:space="preserve"> obtained a nursing diploma at the University of the Free State in 1984. The next year she completed a post basic diploma. After gaining experience as a scrub nurse since 1987, she</w:t>
      </w:r>
      <w:r w:rsidR="00946CF4" w:rsidRPr="00302F56">
        <w:rPr>
          <w:rFonts w:ascii="Arial" w:hAnsi="Arial" w:cs="Arial"/>
          <w:sz w:val="24"/>
          <w:szCs w:val="24"/>
        </w:rPr>
        <w:t xml:space="preserve"> commenced her employment with Netcare as a </w:t>
      </w:r>
      <w:r w:rsidR="006C73BA" w:rsidRPr="00302F56">
        <w:rPr>
          <w:rFonts w:ascii="Arial" w:hAnsi="Arial" w:cs="Arial"/>
          <w:sz w:val="24"/>
          <w:szCs w:val="24"/>
        </w:rPr>
        <w:t>Surgical T</w:t>
      </w:r>
      <w:r w:rsidR="00946CF4" w:rsidRPr="00302F56">
        <w:rPr>
          <w:rFonts w:ascii="Arial" w:hAnsi="Arial" w:cs="Arial"/>
          <w:sz w:val="24"/>
          <w:szCs w:val="24"/>
        </w:rPr>
        <w:t xml:space="preserve">heatre </w:t>
      </w:r>
      <w:r w:rsidR="006C73BA" w:rsidRPr="00302F56">
        <w:rPr>
          <w:rFonts w:ascii="Arial" w:hAnsi="Arial" w:cs="Arial"/>
          <w:sz w:val="24"/>
          <w:szCs w:val="24"/>
        </w:rPr>
        <w:t>M</w:t>
      </w:r>
      <w:r w:rsidR="00946CF4" w:rsidRPr="00302F56">
        <w:rPr>
          <w:rFonts w:ascii="Arial" w:hAnsi="Arial" w:cs="Arial"/>
          <w:sz w:val="24"/>
          <w:szCs w:val="24"/>
        </w:rPr>
        <w:t xml:space="preserve">anager, also referred to as a </w:t>
      </w:r>
      <w:r w:rsidR="0042754E" w:rsidRPr="00302F56">
        <w:rPr>
          <w:rFonts w:ascii="Arial" w:hAnsi="Arial" w:cs="Arial"/>
          <w:sz w:val="24"/>
          <w:szCs w:val="24"/>
        </w:rPr>
        <w:t>“</w:t>
      </w:r>
      <w:r w:rsidR="00946CF4" w:rsidRPr="00302F56">
        <w:rPr>
          <w:rFonts w:ascii="Arial" w:hAnsi="Arial" w:cs="Arial"/>
          <w:sz w:val="24"/>
          <w:szCs w:val="24"/>
        </w:rPr>
        <w:t>unit manager</w:t>
      </w:r>
      <w:r w:rsidR="0042754E" w:rsidRPr="00302F56">
        <w:rPr>
          <w:rFonts w:ascii="Arial" w:hAnsi="Arial" w:cs="Arial"/>
          <w:sz w:val="24"/>
          <w:szCs w:val="24"/>
        </w:rPr>
        <w:t>”</w:t>
      </w:r>
      <w:r w:rsidR="00946CF4" w:rsidRPr="00302F56">
        <w:rPr>
          <w:rFonts w:ascii="Arial" w:hAnsi="Arial" w:cs="Arial"/>
          <w:sz w:val="24"/>
          <w:szCs w:val="24"/>
        </w:rPr>
        <w:t xml:space="preserve"> from 1 April 2005. Her job description entailed that she was charged with overseeing and managing the operating theatres at the hospital </w:t>
      </w:r>
      <w:r w:rsidR="006C73BA" w:rsidRPr="00302F56">
        <w:rPr>
          <w:rFonts w:ascii="Arial" w:hAnsi="Arial" w:cs="Arial"/>
          <w:sz w:val="24"/>
          <w:szCs w:val="24"/>
        </w:rPr>
        <w:t xml:space="preserve">which also included managing the </w:t>
      </w:r>
      <w:r w:rsidR="00E72712" w:rsidRPr="00302F56">
        <w:rPr>
          <w:rFonts w:ascii="Arial" w:hAnsi="Arial" w:cs="Arial"/>
          <w:sz w:val="24"/>
          <w:szCs w:val="24"/>
        </w:rPr>
        <w:t xml:space="preserve">theatre </w:t>
      </w:r>
      <w:r w:rsidR="006C73BA" w:rsidRPr="00302F56">
        <w:rPr>
          <w:rFonts w:ascii="Arial" w:hAnsi="Arial" w:cs="Arial"/>
          <w:sz w:val="24"/>
          <w:szCs w:val="24"/>
        </w:rPr>
        <w:t>staff</w:t>
      </w:r>
      <w:r w:rsidR="00E72712" w:rsidRPr="00302F56">
        <w:rPr>
          <w:rFonts w:ascii="Arial" w:hAnsi="Arial" w:cs="Arial"/>
          <w:sz w:val="24"/>
          <w:szCs w:val="24"/>
        </w:rPr>
        <w:t xml:space="preserve"> and monitoring patient care in the theatres</w:t>
      </w:r>
      <w:r w:rsidR="006C73BA" w:rsidRPr="00302F56">
        <w:rPr>
          <w:rFonts w:ascii="Arial" w:hAnsi="Arial" w:cs="Arial"/>
          <w:sz w:val="24"/>
          <w:szCs w:val="24"/>
        </w:rPr>
        <w:t xml:space="preserve">. </w:t>
      </w:r>
    </w:p>
    <w:p w:rsidR="006C73BA" w:rsidRPr="00302F56" w:rsidRDefault="006C73BA" w:rsidP="000274C5">
      <w:pPr>
        <w:spacing w:before="120" w:after="120" w:line="360" w:lineRule="auto"/>
        <w:ind w:left="709" w:hanging="709"/>
        <w:jc w:val="both"/>
        <w:rPr>
          <w:rFonts w:ascii="Arial" w:hAnsi="Arial" w:cs="Arial"/>
          <w:sz w:val="24"/>
          <w:szCs w:val="24"/>
        </w:rPr>
      </w:pPr>
      <w:r w:rsidRPr="00302F56">
        <w:rPr>
          <w:rFonts w:ascii="Arial" w:hAnsi="Arial" w:cs="Arial"/>
          <w:sz w:val="24"/>
          <w:szCs w:val="24"/>
        </w:rPr>
        <w:t>[4]</w:t>
      </w:r>
      <w:r w:rsidRPr="00302F56">
        <w:rPr>
          <w:rFonts w:ascii="Arial" w:hAnsi="Arial" w:cs="Arial"/>
          <w:sz w:val="24"/>
          <w:szCs w:val="24"/>
        </w:rPr>
        <w:tab/>
      </w:r>
      <w:r w:rsidR="0080129B" w:rsidRPr="00302F56">
        <w:rPr>
          <w:rFonts w:ascii="Arial" w:hAnsi="Arial" w:cs="Arial"/>
          <w:sz w:val="24"/>
          <w:szCs w:val="24"/>
        </w:rPr>
        <w:t xml:space="preserve">When she </w:t>
      </w:r>
      <w:r w:rsidR="0042754E" w:rsidRPr="00302F56">
        <w:rPr>
          <w:rFonts w:ascii="Arial" w:hAnsi="Arial" w:cs="Arial"/>
          <w:sz w:val="24"/>
          <w:szCs w:val="24"/>
        </w:rPr>
        <w:t>commenced</w:t>
      </w:r>
      <w:r w:rsidR="0080129B" w:rsidRPr="00302F56">
        <w:rPr>
          <w:rFonts w:ascii="Arial" w:hAnsi="Arial" w:cs="Arial"/>
          <w:sz w:val="24"/>
          <w:szCs w:val="24"/>
        </w:rPr>
        <w:t xml:space="preserve"> with her task as theatre manager she was warned by the </w:t>
      </w:r>
      <w:r w:rsidR="00972563" w:rsidRPr="00302F56">
        <w:rPr>
          <w:rFonts w:ascii="Arial" w:hAnsi="Arial" w:cs="Arial"/>
          <w:sz w:val="24"/>
          <w:szCs w:val="24"/>
        </w:rPr>
        <w:t xml:space="preserve">then </w:t>
      </w:r>
      <w:r w:rsidR="0080129B" w:rsidRPr="00302F56">
        <w:rPr>
          <w:rFonts w:ascii="Arial" w:hAnsi="Arial" w:cs="Arial"/>
          <w:sz w:val="24"/>
          <w:szCs w:val="24"/>
        </w:rPr>
        <w:t>hospital manager, amongst others, that one of the surgeons, who conducted a private practice at Netcare and performed surgeries at the hospital’s surgical theatres, has a</w:t>
      </w:r>
      <w:r w:rsidR="00E72712" w:rsidRPr="00302F56">
        <w:rPr>
          <w:rFonts w:ascii="Arial" w:hAnsi="Arial" w:cs="Arial"/>
          <w:sz w:val="24"/>
          <w:szCs w:val="24"/>
        </w:rPr>
        <w:t>n</w:t>
      </w:r>
      <w:r w:rsidR="0080129B" w:rsidRPr="00302F56">
        <w:rPr>
          <w:rFonts w:ascii="Arial" w:hAnsi="Arial" w:cs="Arial"/>
          <w:sz w:val="24"/>
          <w:szCs w:val="24"/>
        </w:rPr>
        <w:t xml:space="preserve"> “aggressive type of personality”. The plaintiff soon </w:t>
      </w:r>
      <w:r w:rsidR="00972563" w:rsidRPr="00302F56">
        <w:rPr>
          <w:rFonts w:ascii="Arial" w:hAnsi="Arial" w:cs="Arial"/>
          <w:sz w:val="24"/>
          <w:szCs w:val="24"/>
        </w:rPr>
        <w:t>met with</w:t>
      </w:r>
      <w:r w:rsidR="0080129B" w:rsidRPr="00302F56">
        <w:rPr>
          <w:rFonts w:ascii="Arial" w:hAnsi="Arial" w:cs="Arial"/>
          <w:sz w:val="24"/>
          <w:szCs w:val="24"/>
        </w:rPr>
        <w:t xml:space="preserve"> Dr Grobler and his temper tantrums as did numerous other employees who worked with him in the surgical theatres. </w:t>
      </w:r>
    </w:p>
    <w:p w:rsidR="00431FC2" w:rsidRPr="00302F56" w:rsidRDefault="00E72712" w:rsidP="000274C5">
      <w:pPr>
        <w:spacing w:before="120" w:after="120" w:line="360" w:lineRule="auto"/>
        <w:ind w:left="709" w:hanging="709"/>
        <w:jc w:val="both"/>
        <w:rPr>
          <w:rFonts w:ascii="Arial" w:hAnsi="Arial" w:cs="Arial"/>
          <w:sz w:val="24"/>
          <w:szCs w:val="24"/>
        </w:rPr>
      </w:pPr>
      <w:r w:rsidRPr="00302F56">
        <w:rPr>
          <w:rFonts w:ascii="Arial" w:hAnsi="Arial" w:cs="Arial"/>
          <w:sz w:val="24"/>
          <w:szCs w:val="24"/>
        </w:rPr>
        <w:t>[5]</w:t>
      </w:r>
      <w:r w:rsidRPr="00302F56">
        <w:rPr>
          <w:rFonts w:ascii="Arial" w:hAnsi="Arial" w:cs="Arial"/>
          <w:sz w:val="24"/>
          <w:szCs w:val="24"/>
        </w:rPr>
        <w:tab/>
        <w:t>The plaintiff averred that Dr Grobler continually and with the intent to injure her</w:t>
      </w:r>
      <w:r w:rsidR="00972563" w:rsidRPr="00302F56">
        <w:rPr>
          <w:rFonts w:ascii="Arial" w:hAnsi="Arial" w:cs="Arial"/>
          <w:sz w:val="24"/>
          <w:szCs w:val="24"/>
        </w:rPr>
        <w:t>,</w:t>
      </w:r>
      <w:r w:rsidRPr="00302F56">
        <w:rPr>
          <w:rFonts w:ascii="Arial" w:hAnsi="Arial" w:cs="Arial"/>
          <w:sz w:val="24"/>
          <w:szCs w:val="24"/>
        </w:rPr>
        <w:t xml:space="preserve"> verbally abused </w:t>
      </w:r>
      <w:r w:rsidR="00405776" w:rsidRPr="00302F56">
        <w:rPr>
          <w:rFonts w:ascii="Arial" w:hAnsi="Arial" w:cs="Arial"/>
          <w:sz w:val="24"/>
          <w:szCs w:val="24"/>
        </w:rPr>
        <w:t xml:space="preserve">her during the period 1 April 2005 to </w:t>
      </w:r>
      <w:r w:rsidR="00972563" w:rsidRPr="00302F56">
        <w:rPr>
          <w:rFonts w:ascii="Arial" w:hAnsi="Arial" w:cs="Arial"/>
          <w:sz w:val="24"/>
          <w:szCs w:val="24"/>
        </w:rPr>
        <w:t>2016</w:t>
      </w:r>
      <w:r w:rsidR="00405776" w:rsidRPr="00302F56">
        <w:rPr>
          <w:rFonts w:ascii="Arial" w:hAnsi="Arial" w:cs="Arial"/>
          <w:sz w:val="24"/>
          <w:szCs w:val="24"/>
        </w:rPr>
        <w:t xml:space="preserve"> by hurling profanities, insults, blasphemous language and obscenities at her while in the presence of other operating theatre staff and even members of the public. Even though counsel appearing on behalf of the plaintiff, </w:t>
      </w:r>
      <w:r w:rsidR="00972563" w:rsidRPr="00302F56">
        <w:rPr>
          <w:rFonts w:ascii="Arial" w:hAnsi="Arial" w:cs="Arial"/>
          <w:sz w:val="24"/>
          <w:szCs w:val="24"/>
        </w:rPr>
        <w:t>Mr Steyn</w:t>
      </w:r>
      <w:r w:rsidR="00405776" w:rsidRPr="00302F56">
        <w:rPr>
          <w:rFonts w:ascii="Arial" w:hAnsi="Arial" w:cs="Arial"/>
          <w:sz w:val="24"/>
          <w:szCs w:val="24"/>
        </w:rPr>
        <w:t xml:space="preserve"> and counsel on behalf of Netcare, Mr Bezuidenhout, as well as the plaintiff during her testimony, </w:t>
      </w:r>
      <w:r w:rsidR="00431FC2" w:rsidRPr="00302F56">
        <w:rPr>
          <w:rFonts w:ascii="Arial" w:hAnsi="Arial" w:cs="Arial"/>
          <w:sz w:val="24"/>
          <w:szCs w:val="24"/>
        </w:rPr>
        <w:t xml:space="preserve">consciously </w:t>
      </w:r>
      <w:r w:rsidR="00405776" w:rsidRPr="00302F56">
        <w:rPr>
          <w:rFonts w:ascii="Arial" w:hAnsi="Arial" w:cs="Arial"/>
          <w:sz w:val="24"/>
          <w:szCs w:val="24"/>
        </w:rPr>
        <w:t>avoided reference to the particular words uttered by Dr Grobler during the trial, I am of t</w:t>
      </w:r>
      <w:r w:rsidR="00B66D06" w:rsidRPr="00302F56">
        <w:rPr>
          <w:rFonts w:ascii="Arial" w:hAnsi="Arial" w:cs="Arial"/>
          <w:sz w:val="24"/>
          <w:szCs w:val="24"/>
        </w:rPr>
        <w:t>he view that the</w:t>
      </w:r>
      <w:r w:rsidR="00431FC2" w:rsidRPr="00302F56">
        <w:rPr>
          <w:rFonts w:ascii="Arial" w:hAnsi="Arial" w:cs="Arial"/>
          <w:sz w:val="24"/>
          <w:szCs w:val="24"/>
        </w:rPr>
        <w:t xml:space="preserve"> nature of the case, extent and measure of the plaintiff’s claim against Netcare cannot be evaluated without having regard to the</w:t>
      </w:r>
      <w:r w:rsidR="00B66D06" w:rsidRPr="00302F56">
        <w:rPr>
          <w:rFonts w:ascii="Arial" w:hAnsi="Arial" w:cs="Arial"/>
          <w:sz w:val="24"/>
          <w:szCs w:val="24"/>
        </w:rPr>
        <w:t xml:space="preserve"> </w:t>
      </w:r>
      <w:r w:rsidR="00431FC2" w:rsidRPr="00302F56">
        <w:rPr>
          <w:rFonts w:ascii="Arial" w:hAnsi="Arial" w:cs="Arial"/>
          <w:sz w:val="24"/>
          <w:szCs w:val="24"/>
        </w:rPr>
        <w:t xml:space="preserve">profanities, insults and </w:t>
      </w:r>
      <w:r w:rsidR="00F8177E" w:rsidRPr="00302F56">
        <w:rPr>
          <w:rFonts w:ascii="Arial" w:hAnsi="Arial" w:cs="Arial"/>
          <w:sz w:val="24"/>
          <w:szCs w:val="24"/>
        </w:rPr>
        <w:t>obscenities</w:t>
      </w:r>
      <w:r w:rsidR="00431FC2" w:rsidRPr="00302F56">
        <w:rPr>
          <w:rFonts w:ascii="Arial" w:hAnsi="Arial" w:cs="Arial"/>
          <w:sz w:val="24"/>
          <w:szCs w:val="24"/>
        </w:rPr>
        <w:t xml:space="preserve"> </w:t>
      </w:r>
      <w:r w:rsidR="00222B11" w:rsidRPr="00302F56">
        <w:rPr>
          <w:rFonts w:ascii="Arial" w:hAnsi="Arial" w:cs="Arial"/>
          <w:sz w:val="24"/>
          <w:szCs w:val="24"/>
        </w:rPr>
        <w:t>articulated by</w:t>
      </w:r>
      <w:r w:rsidR="00F8177E" w:rsidRPr="00302F56">
        <w:rPr>
          <w:rFonts w:ascii="Arial" w:hAnsi="Arial" w:cs="Arial"/>
          <w:sz w:val="24"/>
          <w:szCs w:val="24"/>
        </w:rPr>
        <w:t xml:space="preserve"> Dr Grobler. </w:t>
      </w:r>
    </w:p>
    <w:p w:rsidR="00F8177E" w:rsidRPr="00302F56" w:rsidRDefault="00F8177E" w:rsidP="000274C5">
      <w:pPr>
        <w:spacing w:before="120" w:after="120" w:line="360" w:lineRule="auto"/>
        <w:ind w:left="709" w:hanging="709"/>
        <w:jc w:val="both"/>
        <w:rPr>
          <w:rFonts w:ascii="Arial" w:hAnsi="Arial" w:cs="Arial"/>
          <w:sz w:val="24"/>
          <w:szCs w:val="24"/>
        </w:rPr>
      </w:pPr>
      <w:r w:rsidRPr="00302F56">
        <w:rPr>
          <w:rFonts w:ascii="Arial" w:hAnsi="Arial" w:cs="Arial"/>
          <w:sz w:val="24"/>
          <w:szCs w:val="24"/>
        </w:rPr>
        <w:lastRenderedPageBreak/>
        <w:t>[6]</w:t>
      </w:r>
      <w:r w:rsidRPr="00302F56">
        <w:rPr>
          <w:rFonts w:ascii="Arial" w:hAnsi="Arial" w:cs="Arial"/>
          <w:sz w:val="24"/>
          <w:szCs w:val="24"/>
        </w:rPr>
        <w:tab/>
        <w:t>During 2018 the plaintiff amended her particulars of claim to include the specific profanities</w:t>
      </w:r>
      <w:r w:rsidR="00222B11" w:rsidRPr="00302F56">
        <w:rPr>
          <w:rFonts w:ascii="Arial" w:hAnsi="Arial" w:cs="Arial"/>
          <w:sz w:val="24"/>
          <w:szCs w:val="24"/>
        </w:rPr>
        <w:t xml:space="preserve"> and racial slurs.</w:t>
      </w:r>
      <w:r w:rsidRPr="00302F56">
        <w:rPr>
          <w:rFonts w:ascii="Arial" w:hAnsi="Arial" w:cs="Arial"/>
          <w:sz w:val="24"/>
          <w:szCs w:val="24"/>
        </w:rPr>
        <w:t xml:space="preserve"> The said profanities, insults and obscenities included, but were not limited to the following as pleaded in paragraph 7 of the particulars of claim:</w:t>
      </w:r>
    </w:p>
    <w:p w:rsidR="00F8177E" w:rsidRPr="00302F56" w:rsidRDefault="00F8177E" w:rsidP="004709F3">
      <w:pPr>
        <w:spacing w:before="120" w:after="120" w:line="276" w:lineRule="auto"/>
        <w:ind w:left="709" w:hanging="709"/>
        <w:jc w:val="both"/>
        <w:rPr>
          <w:rFonts w:ascii="Arial" w:hAnsi="Arial" w:cs="Arial"/>
          <w:sz w:val="20"/>
          <w:szCs w:val="20"/>
        </w:rPr>
      </w:pPr>
      <w:r w:rsidRPr="00302F56">
        <w:rPr>
          <w:rFonts w:ascii="Arial" w:hAnsi="Arial" w:cs="Arial"/>
          <w:sz w:val="24"/>
          <w:szCs w:val="24"/>
        </w:rPr>
        <w:tab/>
        <w:t>“</w:t>
      </w:r>
      <w:r w:rsidRPr="00302F56">
        <w:rPr>
          <w:rFonts w:ascii="Arial" w:hAnsi="Arial" w:cs="Arial"/>
          <w:sz w:val="20"/>
          <w:szCs w:val="20"/>
        </w:rPr>
        <w:t>7.1</w:t>
      </w:r>
      <w:r w:rsidRPr="00302F56">
        <w:rPr>
          <w:rFonts w:ascii="Arial" w:hAnsi="Arial" w:cs="Arial"/>
          <w:sz w:val="20"/>
          <w:szCs w:val="20"/>
        </w:rPr>
        <w:tab/>
        <w:t>calling the plaintiff a “poes”;</w:t>
      </w:r>
    </w:p>
    <w:p w:rsidR="00F8177E" w:rsidRPr="00302F56" w:rsidRDefault="00F8177E" w:rsidP="004709F3">
      <w:pPr>
        <w:spacing w:before="120" w:after="120" w:line="276" w:lineRule="auto"/>
        <w:ind w:left="709" w:hanging="709"/>
        <w:jc w:val="both"/>
        <w:rPr>
          <w:rFonts w:ascii="Arial" w:hAnsi="Arial" w:cs="Arial"/>
          <w:sz w:val="20"/>
          <w:szCs w:val="20"/>
        </w:rPr>
      </w:pPr>
      <w:r w:rsidRPr="00302F56">
        <w:rPr>
          <w:rFonts w:ascii="Arial" w:hAnsi="Arial" w:cs="Arial"/>
          <w:sz w:val="20"/>
          <w:szCs w:val="20"/>
        </w:rPr>
        <w:tab/>
        <w:t>7.2</w:t>
      </w:r>
      <w:r w:rsidRPr="00302F56">
        <w:rPr>
          <w:rFonts w:ascii="Arial" w:hAnsi="Arial" w:cs="Arial"/>
          <w:sz w:val="20"/>
          <w:szCs w:val="20"/>
        </w:rPr>
        <w:tab/>
        <w:t>Calling the plaintiff a “wit kaffirmeid”;</w:t>
      </w:r>
    </w:p>
    <w:p w:rsidR="00F8177E" w:rsidRPr="00302F56" w:rsidRDefault="00F8177E" w:rsidP="004709F3">
      <w:pPr>
        <w:spacing w:before="120" w:after="120" w:line="276" w:lineRule="auto"/>
        <w:ind w:left="709" w:hanging="709"/>
        <w:jc w:val="both"/>
        <w:rPr>
          <w:rFonts w:ascii="Arial" w:hAnsi="Arial" w:cs="Arial"/>
          <w:sz w:val="20"/>
          <w:szCs w:val="20"/>
        </w:rPr>
      </w:pPr>
      <w:r w:rsidRPr="00302F56">
        <w:rPr>
          <w:rFonts w:ascii="Arial" w:hAnsi="Arial" w:cs="Arial"/>
          <w:sz w:val="20"/>
          <w:szCs w:val="20"/>
        </w:rPr>
        <w:tab/>
        <w:t>7.3</w:t>
      </w:r>
      <w:r w:rsidRPr="00302F56">
        <w:rPr>
          <w:rFonts w:ascii="Arial" w:hAnsi="Arial" w:cs="Arial"/>
          <w:sz w:val="20"/>
          <w:szCs w:val="20"/>
        </w:rPr>
        <w:tab/>
        <w:t>Calling the plaintiff a “kont”;</w:t>
      </w:r>
    </w:p>
    <w:p w:rsidR="00F8177E" w:rsidRPr="00302F56" w:rsidRDefault="00F8177E" w:rsidP="004709F3">
      <w:pPr>
        <w:spacing w:before="120" w:after="120" w:line="276" w:lineRule="auto"/>
        <w:ind w:left="709" w:hanging="709"/>
        <w:jc w:val="both"/>
        <w:rPr>
          <w:rFonts w:ascii="Arial" w:hAnsi="Arial" w:cs="Arial"/>
          <w:sz w:val="20"/>
          <w:szCs w:val="20"/>
        </w:rPr>
      </w:pPr>
      <w:r w:rsidRPr="00302F56">
        <w:rPr>
          <w:rFonts w:ascii="Arial" w:hAnsi="Arial" w:cs="Arial"/>
          <w:sz w:val="20"/>
          <w:szCs w:val="20"/>
        </w:rPr>
        <w:tab/>
        <w:t>7.4</w:t>
      </w:r>
      <w:r w:rsidRPr="00302F56">
        <w:rPr>
          <w:rFonts w:ascii="Arial" w:hAnsi="Arial" w:cs="Arial"/>
          <w:sz w:val="20"/>
          <w:szCs w:val="20"/>
        </w:rPr>
        <w:tab/>
        <w:t>Calling the plaintiff a “fokken bitch”;</w:t>
      </w:r>
    </w:p>
    <w:p w:rsidR="00F8177E" w:rsidRPr="00302F56" w:rsidRDefault="00F8177E" w:rsidP="004709F3">
      <w:pPr>
        <w:spacing w:before="120" w:after="120" w:line="276" w:lineRule="auto"/>
        <w:ind w:left="709" w:hanging="709"/>
        <w:jc w:val="both"/>
        <w:rPr>
          <w:rFonts w:ascii="Arial" w:hAnsi="Arial" w:cs="Arial"/>
          <w:sz w:val="20"/>
          <w:szCs w:val="20"/>
        </w:rPr>
      </w:pPr>
      <w:r w:rsidRPr="00302F56">
        <w:rPr>
          <w:rFonts w:ascii="Arial" w:hAnsi="Arial" w:cs="Arial"/>
          <w:sz w:val="20"/>
          <w:szCs w:val="20"/>
        </w:rPr>
        <w:tab/>
        <w:t>7.5</w:t>
      </w:r>
      <w:r w:rsidRPr="00302F56">
        <w:rPr>
          <w:rFonts w:ascii="Arial" w:hAnsi="Arial" w:cs="Arial"/>
          <w:sz w:val="20"/>
          <w:szCs w:val="20"/>
        </w:rPr>
        <w:tab/>
        <w:t>Saying to the plaintiff that he wanted to give her a “poesklap”;</w:t>
      </w:r>
    </w:p>
    <w:p w:rsidR="00F8177E" w:rsidRPr="00302F56" w:rsidRDefault="00F8177E" w:rsidP="004709F3">
      <w:pPr>
        <w:spacing w:before="120" w:after="120" w:line="276" w:lineRule="auto"/>
        <w:ind w:left="709" w:hanging="709"/>
        <w:jc w:val="both"/>
        <w:rPr>
          <w:rFonts w:ascii="Arial" w:hAnsi="Arial" w:cs="Arial"/>
          <w:sz w:val="20"/>
          <w:szCs w:val="20"/>
        </w:rPr>
      </w:pPr>
      <w:r w:rsidRPr="00302F56">
        <w:rPr>
          <w:rFonts w:ascii="Arial" w:hAnsi="Arial" w:cs="Arial"/>
          <w:sz w:val="20"/>
          <w:szCs w:val="20"/>
        </w:rPr>
        <w:tab/>
        <w:t>7.6</w:t>
      </w:r>
      <w:r w:rsidRPr="00302F56">
        <w:rPr>
          <w:rFonts w:ascii="Arial" w:hAnsi="Arial" w:cs="Arial"/>
          <w:sz w:val="20"/>
          <w:szCs w:val="20"/>
        </w:rPr>
        <w:tab/>
        <w:t>Saying to the plaintiff that he wanted to “bliksem” her.</w:t>
      </w:r>
      <w:r w:rsidR="004709F3" w:rsidRPr="00302F56">
        <w:rPr>
          <w:rFonts w:ascii="Arial" w:hAnsi="Arial" w:cs="Arial"/>
          <w:sz w:val="20"/>
          <w:szCs w:val="20"/>
        </w:rPr>
        <w:t>”</w:t>
      </w:r>
    </w:p>
    <w:p w:rsidR="00F8177E" w:rsidRPr="00302F56" w:rsidRDefault="00F8177E" w:rsidP="000274C5">
      <w:pPr>
        <w:spacing w:before="120" w:after="120" w:line="360" w:lineRule="auto"/>
        <w:ind w:left="709" w:hanging="709"/>
        <w:jc w:val="both"/>
        <w:rPr>
          <w:rFonts w:ascii="Arial" w:hAnsi="Arial" w:cs="Arial"/>
          <w:sz w:val="24"/>
          <w:szCs w:val="24"/>
        </w:rPr>
      </w:pPr>
      <w:r w:rsidRPr="00302F56">
        <w:rPr>
          <w:rFonts w:ascii="Arial" w:hAnsi="Arial" w:cs="Arial"/>
          <w:sz w:val="24"/>
          <w:szCs w:val="24"/>
        </w:rPr>
        <w:t>[7]</w:t>
      </w:r>
      <w:r w:rsidR="006A6A58" w:rsidRPr="00302F56">
        <w:rPr>
          <w:rFonts w:ascii="Arial" w:hAnsi="Arial" w:cs="Arial"/>
          <w:sz w:val="24"/>
          <w:szCs w:val="24"/>
        </w:rPr>
        <w:tab/>
        <w:t xml:space="preserve">The claim against Netcare is that it failed to come to the assistance of the plaintiff, notwithstanding her numerous requests and </w:t>
      </w:r>
      <w:r w:rsidR="00222B11" w:rsidRPr="00302F56">
        <w:rPr>
          <w:rFonts w:ascii="Arial" w:hAnsi="Arial" w:cs="Arial"/>
          <w:sz w:val="24"/>
          <w:szCs w:val="24"/>
        </w:rPr>
        <w:t xml:space="preserve">lodgement of complaints. Netcare </w:t>
      </w:r>
      <w:r w:rsidR="006A6A58" w:rsidRPr="00302F56">
        <w:rPr>
          <w:rFonts w:ascii="Arial" w:hAnsi="Arial" w:cs="Arial"/>
          <w:sz w:val="24"/>
          <w:szCs w:val="24"/>
        </w:rPr>
        <w:t xml:space="preserve">failed to act against Dr Grobler, notwithstanding the fact that it was common knowledge that he treated the plaintiff and </w:t>
      </w:r>
      <w:r w:rsidR="00222B11" w:rsidRPr="00302F56">
        <w:rPr>
          <w:rFonts w:ascii="Arial" w:hAnsi="Arial" w:cs="Arial"/>
          <w:sz w:val="24"/>
          <w:szCs w:val="24"/>
        </w:rPr>
        <w:t xml:space="preserve">other </w:t>
      </w:r>
      <w:r w:rsidR="006A6A58" w:rsidRPr="00302F56">
        <w:rPr>
          <w:rFonts w:ascii="Arial" w:hAnsi="Arial" w:cs="Arial"/>
          <w:sz w:val="24"/>
          <w:szCs w:val="24"/>
        </w:rPr>
        <w:t xml:space="preserve">theatre staff in a similar way. </w:t>
      </w:r>
      <w:r w:rsidR="00673FA0" w:rsidRPr="00302F56">
        <w:rPr>
          <w:rFonts w:ascii="Arial" w:hAnsi="Arial" w:cs="Arial"/>
          <w:sz w:val="24"/>
          <w:szCs w:val="24"/>
        </w:rPr>
        <w:t>Netcare failed to deal with the allegations of verbal abuse seriously and expeditiously and permitted Dr Grobler wide latitude in his conduct towards the staff and in particular the plaintiff.  Netcare furthermore failed to create a working environment in which its employees were protected and not subjected to verbal abuse. The psychological wellbeing, mental tranquillity and dignity of Netcare’s employees, in particular that of the plaintiff, were not preserved and protected in that Netcare failed to take all or any reasonable steps in this regard.</w:t>
      </w:r>
    </w:p>
    <w:p w:rsidR="00673FA0" w:rsidRPr="00302F56" w:rsidRDefault="00673FA0" w:rsidP="000274C5">
      <w:pPr>
        <w:spacing w:before="120" w:after="120" w:line="360" w:lineRule="auto"/>
        <w:ind w:left="709" w:hanging="709"/>
        <w:jc w:val="both"/>
        <w:rPr>
          <w:rFonts w:ascii="Arial" w:hAnsi="Arial" w:cs="Arial"/>
          <w:sz w:val="24"/>
          <w:szCs w:val="24"/>
        </w:rPr>
      </w:pPr>
      <w:r w:rsidRPr="00302F56">
        <w:rPr>
          <w:rFonts w:ascii="Arial" w:hAnsi="Arial" w:cs="Arial"/>
          <w:sz w:val="24"/>
          <w:szCs w:val="24"/>
        </w:rPr>
        <w:t>[8]</w:t>
      </w:r>
      <w:r w:rsidRPr="00302F56">
        <w:rPr>
          <w:rFonts w:ascii="Arial" w:hAnsi="Arial" w:cs="Arial"/>
          <w:sz w:val="24"/>
          <w:szCs w:val="24"/>
        </w:rPr>
        <w:tab/>
        <w:t>It is therefore alleged that, by virtue of the foregoing, Netcare had</w:t>
      </w:r>
      <w:r w:rsidR="006563DB" w:rsidRPr="00302F56">
        <w:rPr>
          <w:rFonts w:ascii="Arial" w:hAnsi="Arial" w:cs="Arial"/>
          <w:sz w:val="24"/>
          <w:szCs w:val="24"/>
        </w:rPr>
        <w:t xml:space="preserve"> wrongfully</w:t>
      </w:r>
      <w:r w:rsidRPr="00302F56">
        <w:rPr>
          <w:rFonts w:ascii="Arial" w:hAnsi="Arial" w:cs="Arial"/>
          <w:sz w:val="24"/>
          <w:szCs w:val="24"/>
        </w:rPr>
        <w:t xml:space="preserve"> breached its legal duty owed to the plaintiff to create a work environment free from verbal abuse and intimidation and to take reasonable care </w:t>
      </w:r>
      <w:r w:rsidR="004709F3" w:rsidRPr="00302F56">
        <w:rPr>
          <w:rFonts w:ascii="Arial" w:hAnsi="Arial" w:cs="Arial"/>
          <w:sz w:val="24"/>
          <w:szCs w:val="24"/>
        </w:rPr>
        <w:t>o</w:t>
      </w:r>
      <w:r w:rsidRPr="00302F56">
        <w:rPr>
          <w:rFonts w:ascii="Arial" w:hAnsi="Arial" w:cs="Arial"/>
          <w:sz w:val="24"/>
          <w:szCs w:val="24"/>
        </w:rPr>
        <w:t>f the plaintiff’s safety which included a duty to protect her from psychological harm. As a result of Netcare’s failure to act</w:t>
      </w:r>
      <w:r w:rsidR="004709F3" w:rsidRPr="00302F56">
        <w:rPr>
          <w:rFonts w:ascii="Arial" w:hAnsi="Arial" w:cs="Arial"/>
          <w:sz w:val="24"/>
          <w:szCs w:val="24"/>
        </w:rPr>
        <w:t>,</w:t>
      </w:r>
      <w:r w:rsidRPr="00302F56">
        <w:rPr>
          <w:rFonts w:ascii="Arial" w:hAnsi="Arial" w:cs="Arial"/>
          <w:sz w:val="24"/>
          <w:szCs w:val="24"/>
        </w:rPr>
        <w:t xml:space="preserve"> </w:t>
      </w:r>
      <w:r w:rsidR="00727443" w:rsidRPr="00302F56">
        <w:rPr>
          <w:rFonts w:ascii="Arial" w:hAnsi="Arial" w:cs="Arial"/>
          <w:sz w:val="24"/>
          <w:szCs w:val="24"/>
        </w:rPr>
        <w:t>the plaintiff was humiliated and degraded, suffered shock, anguish, fear and anxiety. Her mental tranquillity and emotional integrity w</w:t>
      </w:r>
      <w:r w:rsidR="004709F3" w:rsidRPr="00302F56">
        <w:rPr>
          <w:rFonts w:ascii="Arial" w:hAnsi="Arial" w:cs="Arial"/>
          <w:sz w:val="24"/>
          <w:szCs w:val="24"/>
        </w:rPr>
        <w:t>ere</w:t>
      </w:r>
      <w:r w:rsidR="00727443" w:rsidRPr="00302F56">
        <w:rPr>
          <w:rFonts w:ascii="Arial" w:hAnsi="Arial" w:cs="Arial"/>
          <w:sz w:val="24"/>
          <w:szCs w:val="24"/>
        </w:rPr>
        <w:t xml:space="preserve"> disturbed and she suffered self-image disturbances.  The plaintiff suffered severe psychological and psychiatric trauma manifesting as post-traumatic stress syndrome and major depressive disorder for which she requires psychotherapy treatment.</w:t>
      </w:r>
    </w:p>
    <w:p w:rsidR="00727443" w:rsidRPr="00302F56" w:rsidRDefault="00727443" w:rsidP="000274C5">
      <w:pPr>
        <w:spacing w:before="120" w:after="120" w:line="360" w:lineRule="auto"/>
        <w:ind w:left="709" w:hanging="709"/>
        <w:jc w:val="both"/>
        <w:rPr>
          <w:rFonts w:ascii="Arial" w:hAnsi="Arial" w:cs="Arial"/>
          <w:sz w:val="24"/>
          <w:szCs w:val="24"/>
        </w:rPr>
      </w:pPr>
      <w:r w:rsidRPr="00302F56">
        <w:rPr>
          <w:rFonts w:ascii="Arial" w:hAnsi="Arial" w:cs="Arial"/>
          <w:sz w:val="24"/>
          <w:szCs w:val="24"/>
        </w:rPr>
        <w:t>[9]</w:t>
      </w:r>
      <w:r w:rsidRPr="00302F56">
        <w:rPr>
          <w:rFonts w:ascii="Arial" w:hAnsi="Arial" w:cs="Arial"/>
          <w:sz w:val="24"/>
          <w:szCs w:val="24"/>
        </w:rPr>
        <w:tab/>
        <w:t>On 6 October 2021 plaintiff again amended her particulars of claim by inserting the following paragraph:</w:t>
      </w:r>
    </w:p>
    <w:p w:rsidR="006563DB" w:rsidRPr="00302F56" w:rsidRDefault="006563DB" w:rsidP="000274C5">
      <w:pPr>
        <w:spacing w:before="120" w:after="120" w:line="360" w:lineRule="auto"/>
        <w:ind w:left="709" w:hanging="709"/>
        <w:jc w:val="both"/>
        <w:rPr>
          <w:rFonts w:ascii="Arial" w:hAnsi="Arial" w:cs="Arial"/>
          <w:sz w:val="20"/>
          <w:szCs w:val="20"/>
        </w:rPr>
      </w:pPr>
      <w:r w:rsidRPr="00302F56">
        <w:rPr>
          <w:rFonts w:ascii="Arial" w:hAnsi="Arial" w:cs="Arial"/>
          <w:sz w:val="24"/>
          <w:szCs w:val="24"/>
        </w:rPr>
        <w:tab/>
      </w:r>
      <w:r w:rsidRPr="00302F56">
        <w:rPr>
          <w:rFonts w:ascii="Arial" w:hAnsi="Arial" w:cs="Arial"/>
          <w:sz w:val="20"/>
          <w:szCs w:val="20"/>
        </w:rPr>
        <w:t>“17 In addition to the damages to which the plaintiff is entitled as aforesaid, the plaintiff is:</w:t>
      </w:r>
      <w:r w:rsidR="004709F3" w:rsidRPr="00302F56">
        <w:rPr>
          <w:rFonts w:ascii="Arial" w:hAnsi="Arial" w:cs="Arial"/>
          <w:sz w:val="20"/>
          <w:szCs w:val="20"/>
        </w:rPr>
        <w:t xml:space="preserve"> </w:t>
      </w:r>
      <w:r w:rsidRPr="00302F56">
        <w:rPr>
          <w:rFonts w:ascii="Arial" w:hAnsi="Arial" w:cs="Arial"/>
          <w:sz w:val="20"/>
          <w:szCs w:val="20"/>
        </w:rPr>
        <w:t>-</w:t>
      </w:r>
    </w:p>
    <w:p w:rsidR="006563DB" w:rsidRPr="00302F56" w:rsidRDefault="006563DB" w:rsidP="000274C5">
      <w:pPr>
        <w:spacing w:before="120" w:after="120" w:line="360" w:lineRule="auto"/>
        <w:ind w:left="709" w:hanging="709"/>
        <w:jc w:val="both"/>
        <w:rPr>
          <w:rFonts w:ascii="Arial" w:hAnsi="Arial" w:cs="Arial"/>
          <w:sz w:val="20"/>
          <w:szCs w:val="20"/>
        </w:rPr>
      </w:pPr>
      <w:r w:rsidRPr="00302F56">
        <w:rPr>
          <w:rFonts w:ascii="Arial" w:hAnsi="Arial" w:cs="Arial"/>
          <w:sz w:val="20"/>
          <w:szCs w:val="20"/>
        </w:rPr>
        <w:tab/>
        <w:t>17.1</w:t>
      </w:r>
      <w:r w:rsidRPr="00302F56">
        <w:rPr>
          <w:rFonts w:ascii="Arial" w:hAnsi="Arial" w:cs="Arial"/>
          <w:sz w:val="20"/>
          <w:szCs w:val="20"/>
        </w:rPr>
        <w:tab/>
        <w:t xml:space="preserve"> in pursuance of the actionable injuries committed by the first defendant as pleaded above; and</w:t>
      </w:r>
    </w:p>
    <w:p w:rsidR="006563DB" w:rsidRPr="00302F56" w:rsidRDefault="006563DB" w:rsidP="000274C5">
      <w:pPr>
        <w:spacing w:before="120" w:after="120" w:line="360" w:lineRule="auto"/>
        <w:ind w:left="709" w:hanging="709"/>
        <w:jc w:val="both"/>
        <w:rPr>
          <w:rFonts w:ascii="Arial" w:hAnsi="Arial" w:cs="Arial"/>
          <w:sz w:val="20"/>
          <w:szCs w:val="20"/>
        </w:rPr>
      </w:pPr>
      <w:r w:rsidRPr="00302F56">
        <w:rPr>
          <w:rFonts w:ascii="Arial" w:hAnsi="Arial" w:cs="Arial"/>
          <w:sz w:val="20"/>
          <w:szCs w:val="20"/>
        </w:rPr>
        <w:lastRenderedPageBreak/>
        <w:tab/>
        <w:t>17.2</w:t>
      </w:r>
      <w:r w:rsidRPr="00302F56">
        <w:rPr>
          <w:rFonts w:ascii="Arial" w:hAnsi="Arial" w:cs="Arial"/>
          <w:sz w:val="20"/>
          <w:szCs w:val="20"/>
        </w:rPr>
        <w:tab/>
        <w:t xml:space="preserve">in pursuance of the second defendant’s actionable failures which allowed the first defendant’s </w:t>
      </w:r>
      <w:r w:rsidR="004709F3" w:rsidRPr="00302F56">
        <w:rPr>
          <w:rFonts w:ascii="Arial" w:hAnsi="Arial" w:cs="Arial"/>
          <w:sz w:val="20"/>
          <w:szCs w:val="20"/>
        </w:rPr>
        <w:tab/>
      </w:r>
      <w:r w:rsidR="004709F3" w:rsidRPr="00302F56">
        <w:rPr>
          <w:rFonts w:ascii="Arial" w:hAnsi="Arial" w:cs="Arial"/>
          <w:sz w:val="20"/>
          <w:szCs w:val="20"/>
        </w:rPr>
        <w:tab/>
      </w:r>
      <w:r w:rsidRPr="00302F56">
        <w:rPr>
          <w:rFonts w:ascii="Arial" w:hAnsi="Arial" w:cs="Arial"/>
          <w:sz w:val="20"/>
          <w:szCs w:val="20"/>
        </w:rPr>
        <w:t>actionable injuries to continue to be committed as pleaded above;</w:t>
      </w:r>
    </w:p>
    <w:p w:rsidR="00DE6807" w:rsidRPr="00302F56" w:rsidRDefault="006563DB" w:rsidP="000274C5">
      <w:pPr>
        <w:spacing w:before="120" w:after="120" w:line="360" w:lineRule="auto"/>
        <w:ind w:left="709" w:hanging="709"/>
        <w:jc w:val="both"/>
        <w:rPr>
          <w:rFonts w:ascii="Arial" w:hAnsi="Arial" w:cs="Arial"/>
          <w:sz w:val="24"/>
          <w:szCs w:val="24"/>
        </w:rPr>
      </w:pPr>
      <w:r w:rsidRPr="00302F56">
        <w:rPr>
          <w:rFonts w:ascii="Arial" w:hAnsi="Arial" w:cs="Arial"/>
          <w:sz w:val="20"/>
          <w:szCs w:val="20"/>
        </w:rPr>
        <w:tab/>
      </w:r>
      <w:r w:rsidR="00DE6807" w:rsidRPr="00302F56">
        <w:rPr>
          <w:rFonts w:ascii="Arial" w:hAnsi="Arial" w:cs="Arial"/>
          <w:sz w:val="20"/>
          <w:szCs w:val="20"/>
        </w:rPr>
        <w:t>and in accordance with the judgment in Le Roux and Others v Dey and Others [2011] ZACC 4 at paragraphs 195 to 203, but especially at paragraph 203, entitled to an order for an apology from each of the first and second defendants in the form contained in prayer 3 below.</w:t>
      </w:r>
      <w:r w:rsidR="00DE6807" w:rsidRPr="00302F56">
        <w:rPr>
          <w:rFonts w:ascii="Arial" w:hAnsi="Arial" w:cs="Arial"/>
          <w:sz w:val="24"/>
          <w:szCs w:val="24"/>
        </w:rPr>
        <w:t>”</w:t>
      </w:r>
    </w:p>
    <w:p w:rsidR="006563DB" w:rsidRPr="00302F56" w:rsidRDefault="00DE6807" w:rsidP="000274C5">
      <w:pPr>
        <w:spacing w:before="120" w:after="120" w:line="360" w:lineRule="auto"/>
        <w:ind w:left="709" w:hanging="709"/>
        <w:jc w:val="both"/>
        <w:rPr>
          <w:rFonts w:ascii="Arial" w:hAnsi="Arial" w:cs="Arial"/>
          <w:sz w:val="24"/>
          <w:szCs w:val="24"/>
        </w:rPr>
      </w:pPr>
      <w:r w:rsidRPr="00302F56">
        <w:rPr>
          <w:rFonts w:ascii="Arial" w:hAnsi="Arial" w:cs="Arial"/>
          <w:sz w:val="24"/>
          <w:szCs w:val="24"/>
        </w:rPr>
        <w:t>[10]</w:t>
      </w:r>
      <w:r w:rsidRPr="00302F56">
        <w:rPr>
          <w:rFonts w:ascii="Arial" w:hAnsi="Arial" w:cs="Arial"/>
          <w:sz w:val="24"/>
          <w:szCs w:val="24"/>
        </w:rPr>
        <w:tab/>
        <w:t>In the prayers, the claim for payment of R627 000.00 with interest and costs furthermore included the following specific prayer:</w:t>
      </w:r>
    </w:p>
    <w:p w:rsidR="00DE6807" w:rsidRPr="00302F56" w:rsidRDefault="00DE6807" w:rsidP="000274C5">
      <w:pPr>
        <w:spacing w:before="120" w:after="120" w:line="360" w:lineRule="auto"/>
        <w:ind w:left="709" w:hanging="709"/>
        <w:jc w:val="both"/>
        <w:rPr>
          <w:rFonts w:ascii="Arial" w:hAnsi="Arial" w:cs="Arial"/>
          <w:sz w:val="20"/>
          <w:szCs w:val="20"/>
        </w:rPr>
      </w:pPr>
      <w:r w:rsidRPr="00302F56">
        <w:rPr>
          <w:rFonts w:ascii="Arial" w:hAnsi="Arial" w:cs="Arial"/>
          <w:sz w:val="24"/>
          <w:szCs w:val="24"/>
        </w:rPr>
        <w:tab/>
        <w:t>“</w:t>
      </w:r>
      <w:r w:rsidRPr="00302F56">
        <w:rPr>
          <w:rFonts w:ascii="Arial" w:hAnsi="Arial" w:cs="Arial"/>
          <w:sz w:val="20"/>
          <w:szCs w:val="20"/>
        </w:rPr>
        <w:t xml:space="preserve">3. The first and second defendants are each directed to publish a written apology in a conspicuous </w:t>
      </w:r>
      <w:r w:rsidR="00B763F5" w:rsidRPr="00302F56">
        <w:rPr>
          <w:rFonts w:ascii="Arial" w:hAnsi="Arial" w:cs="Arial"/>
          <w:sz w:val="20"/>
          <w:szCs w:val="20"/>
        </w:rPr>
        <w:t xml:space="preserve">  </w:t>
      </w:r>
      <w:r w:rsidR="00B763F5" w:rsidRPr="00302F56">
        <w:rPr>
          <w:rFonts w:ascii="Arial" w:hAnsi="Arial" w:cs="Arial"/>
          <w:sz w:val="20"/>
          <w:szCs w:val="20"/>
        </w:rPr>
        <w:tab/>
        <w:t xml:space="preserve">      </w:t>
      </w:r>
      <w:r w:rsidRPr="00302F56">
        <w:rPr>
          <w:rFonts w:ascii="Arial" w:hAnsi="Arial" w:cs="Arial"/>
          <w:sz w:val="20"/>
          <w:szCs w:val="20"/>
        </w:rPr>
        <w:t>manner in the Volksblad new</w:t>
      </w:r>
      <w:r w:rsidR="00B763F5" w:rsidRPr="00302F56">
        <w:rPr>
          <w:rFonts w:ascii="Arial" w:hAnsi="Arial" w:cs="Arial"/>
          <w:sz w:val="20"/>
          <w:szCs w:val="20"/>
        </w:rPr>
        <w:t>s</w:t>
      </w:r>
      <w:r w:rsidRPr="00302F56">
        <w:rPr>
          <w:rFonts w:ascii="Arial" w:hAnsi="Arial" w:cs="Arial"/>
          <w:sz w:val="20"/>
          <w:szCs w:val="20"/>
        </w:rPr>
        <w:t xml:space="preserve">paper the (sic) within 30 days from the date of the court’s order as </w:t>
      </w:r>
      <w:r w:rsidR="00B763F5" w:rsidRPr="00302F56">
        <w:rPr>
          <w:rFonts w:ascii="Arial" w:hAnsi="Arial" w:cs="Arial"/>
          <w:sz w:val="20"/>
          <w:szCs w:val="20"/>
        </w:rPr>
        <w:tab/>
        <w:t xml:space="preserve">      </w:t>
      </w:r>
      <w:r w:rsidRPr="00302F56">
        <w:rPr>
          <w:rFonts w:ascii="Arial" w:hAnsi="Arial" w:cs="Arial"/>
          <w:sz w:val="20"/>
          <w:szCs w:val="20"/>
        </w:rPr>
        <w:t>follows:-</w:t>
      </w:r>
    </w:p>
    <w:p w:rsidR="00DE6807" w:rsidRPr="00302F56" w:rsidRDefault="00DE6807" w:rsidP="000274C5">
      <w:pPr>
        <w:spacing w:before="120" w:after="120" w:line="360" w:lineRule="auto"/>
        <w:ind w:left="709" w:hanging="709"/>
        <w:jc w:val="both"/>
        <w:rPr>
          <w:rFonts w:ascii="Arial" w:hAnsi="Arial" w:cs="Arial"/>
          <w:sz w:val="20"/>
          <w:szCs w:val="20"/>
        </w:rPr>
      </w:pPr>
      <w:r w:rsidRPr="00302F56">
        <w:rPr>
          <w:rFonts w:ascii="Arial" w:hAnsi="Arial" w:cs="Arial"/>
          <w:sz w:val="20"/>
          <w:szCs w:val="20"/>
        </w:rPr>
        <w:tab/>
        <w:t>3.1</w:t>
      </w:r>
      <w:r w:rsidRPr="00302F56">
        <w:rPr>
          <w:rFonts w:ascii="Arial" w:hAnsi="Arial" w:cs="Arial"/>
          <w:sz w:val="20"/>
          <w:szCs w:val="20"/>
        </w:rPr>
        <w:tab/>
        <w:t xml:space="preserve">the first defendant is to apologise for his conduct as set out in paragraphs 5 to 7 of the particulars </w:t>
      </w:r>
      <w:r w:rsidR="00B763F5" w:rsidRPr="00302F56">
        <w:rPr>
          <w:rFonts w:ascii="Arial" w:hAnsi="Arial" w:cs="Arial"/>
          <w:sz w:val="20"/>
          <w:szCs w:val="20"/>
        </w:rPr>
        <w:tab/>
        <w:t xml:space="preserve">             </w:t>
      </w:r>
      <w:r w:rsidRPr="00302F56">
        <w:rPr>
          <w:rFonts w:ascii="Arial" w:hAnsi="Arial" w:cs="Arial"/>
          <w:sz w:val="20"/>
          <w:szCs w:val="20"/>
        </w:rPr>
        <w:t>of claim; and</w:t>
      </w:r>
    </w:p>
    <w:p w:rsidR="00C94F9D" w:rsidRPr="00302F56" w:rsidRDefault="00DE6807" w:rsidP="000274C5">
      <w:pPr>
        <w:spacing w:before="120" w:after="120" w:line="360" w:lineRule="auto"/>
        <w:ind w:left="709" w:hanging="709"/>
        <w:jc w:val="both"/>
        <w:rPr>
          <w:rFonts w:ascii="Arial" w:hAnsi="Arial" w:cs="Arial"/>
          <w:sz w:val="24"/>
          <w:szCs w:val="24"/>
        </w:rPr>
      </w:pPr>
      <w:r w:rsidRPr="00302F56">
        <w:rPr>
          <w:rFonts w:ascii="Arial" w:hAnsi="Arial" w:cs="Arial"/>
          <w:sz w:val="20"/>
          <w:szCs w:val="20"/>
        </w:rPr>
        <w:tab/>
        <w:t>3.2</w:t>
      </w:r>
      <w:r w:rsidRPr="00302F56">
        <w:rPr>
          <w:rFonts w:ascii="Arial" w:hAnsi="Arial" w:cs="Arial"/>
          <w:sz w:val="20"/>
          <w:szCs w:val="20"/>
        </w:rPr>
        <w:tab/>
        <w:t xml:space="preserve">the second defendant is to apologise for its conduct as set out in paragraphs12 to 13 to of the </w:t>
      </w:r>
      <w:r w:rsidR="00B763F5" w:rsidRPr="00302F56">
        <w:rPr>
          <w:rFonts w:ascii="Arial" w:hAnsi="Arial" w:cs="Arial"/>
          <w:sz w:val="20"/>
          <w:szCs w:val="20"/>
        </w:rPr>
        <w:tab/>
        <w:t xml:space="preserve">             </w:t>
      </w:r>
      <w:r w:rsidRPr="00302F56">
        <w:rPr>
          <w:rFonts w:ascii="Arial" w:hAnsi="Arial" w:cs="Arial"/>
          <w:sz w:val="20"/>
          <w:szCs w:val="20"/>
        </w:rPr>
        <w:t>particulars of claim</w:t>
      </w:r>
      <w:r w:rsidR="00C94F9D" w:rsidRPr="00302F56">
        <w:rPr>
          <w:rFonts w:ascii="Arial" w:hAnsi="Arial" w:cs="Arial"/>
          <w:sz w:val="20"/>
          <w:szCs w:val="20"/>
        </w:rPr>
        <w:t>.</w:t>
      </w:r>
      <w:r w:rsidRPr="00302F56">
        <w:rPr>
          <w:rFonts w:ascii="Arial" w:hAnsi="Arial" w:cs="Arial"/>
          <w:sz w:val="24"/>
          <w:szCs w:val="24"/>
        </w:rPr>
        <w:t>”</w:t>
      </w:r>
    </w:p>
    <w:p w:rsidR="00FF164B" w:rsidRPr="00302F56" w:rsidRDefault="00C94F9D" w:rsidP="000274C5">
      <w:pPr>
        <w:spacing w:before="120" w:after="120" w:line="360" w:lineRule="auto"/>
        <w:ind w:left="709" w:hanging="709"/>
        <w:jc w:val="both"/>
        <w:rPr>
          <w:rFonts w:ascii="Arial" w:hAnsi="Arial" w:cs="Arial"/>
          <w:sz w:val="24"/>
          <w:szCs w:val="24"/>
        </w:rPr>
      </w:pPr>
      <w:r w:rsidRPr="00302F56">
        <w:rPr>
          <w:rFonts w:ascii="Arial" w:hAnsi="Arial" w:cs="Arial"/>
          <w:sz w:val="24"/>
          <w:szCs w:val="24"/>
        </w:rPr>
        <w:t>[11]</w:t>
      </w:r>
      <w:r w:rsidRPr="00302F56">
        <w:rPr>
          <w:rFonts w:ascii="Arial" w:hAnsi="Arial" w:cs="Arial"/>
          <w:sz w:val="24"/>
          <w:szCs w:val="24"/>
        </w:rPr>
        <w:tab/>
        <w:t>As a result of the numerous amendments to the plaintiff’s particulars of claim, Netcare, over the years accordingly also amended their plea. Netcare pleaded that the plaintiff made complaints about alle</w:t>
      </w:r>
      <w:r w:rsidR="00FB3B5C" w:rsidRPr="00302F56">
        <w:rPr>
          <w:rFonts w:ascii="Arial" w:hAnsi="Arial" w:cs="Arial"/>
          <w:sz w:val="24"/>
          <w:szCs w:val="24"/>
        </w:rPr>
        <w:t>g</w:t>
      </w:r>
      <w:r w:rsidRPr="00302F56">
        <w:rPr>
          <w:rFonts w:ascii="Arial" w:hAnsi="Arial" w:cs="Arial"/>
          <w:sz w:val="24"/>
          <w:szCs w:val="24"/>
        </w:rPr>
        <w:t xml:space="preserve">ed insults and profanities </w:t>
      </w:r>
      <w:r w:rsidR="00FB3B5C" w:rsidRPr="00302F56">
        <w:rPr>
          <w:rFonts w:ascii="Arial" w:hAnsi="Arial" w:cs="Arial"/>
          <w:sz w:val="24"/>
          <w:szCs w:val="24"/>
        </w:rPr>
        <w:t xml:space="preserve">during 2005 and 2012. Netcare was however unable to locate any complaints to be consistent with what is alleged in paragraph 7 of the amended particulars of claim. Netcare acknowledged that the plaintiff acted on behalf of other staff members in making complaints regarding abusive language </w:t>
      </w:r>
      <w:r w:rsidR="00B763F5" w:rsidRPr="00302F56">
        <w:rPr>
          <w:rFonts w:ascii="Arial" w:hAnsi="Arial" w:cs="Arial"/>
          <w:sz w:val="24"/>
          <w:szCs w:val="24"/>
        </w:rPr>
        <w:t xml:space="preserve">by </w:t>
      </w:r>
      <w:r w:rsidR="00FB3B5C" w:rsidRPr="00302F56">
        <w:rPr>
          <w:rFonts w:ascii="Arial" w:hAnsi="Arial" w:cs="Arial"/>
          <w:sz w:val="24"/>
          <w:szCs w:val="24"/>
        </w:rPr>
        <w:t>Dr Grobler. Netcare accepted that when Dr Grobler insulted the plaintiff as pleaded, she felt humiliated and degraded.</w:t>
      </w:r>
      <w:r w:rsidR="00FF164B" w:rsidRPr="00302F56">
        <w:rPr>
          <w:rFonts w:ascii="Arial" w:hAnsi="Arial" w:cs="Arial"/>
          <w:sz w:val="24"/>
          <w:szCs w:val="24"/>
        </w:rPr>
        <w:t xml:space="preserve"> Netcare denies that the plaintiff suffered damages in the amount claimed or at all. </w:t>
      </w:r>
    </w:p>
    <w:p w:rsidR="009B4EA6" w:rsidRPr="00302F56" w:rsidRDefault="00FF164B" w:rsidP="000274C5">
      <w:pPr>
        <w:spacing w:before="120" w:after="120" w:line="360" w:lineRule="auto"/>
        <w:ind w:left="709" w:hanging="709"/>
        <w:jc w:val="both"/>
        <w:rPr>
          <w:rFonts w:ascii="Arial" w:hAnsi="Arial" w:cs="Arial"/>
          <w:sz w:val="24"/>
          <w:szCs w:val="24"/>
        </w:rPr>
      </w:pPr>
      <w:r w:rsidRPr="00302F56">
        <w:rPr>
          <w:rFonts w:ascii="Arial" w:hAnsi="Arial" w:cs="Arial"/>
          <w:sz w:val="24"/>
          <w:szCs w:val="24"/>
        </w:rPr>
        <w:t>[12]</w:t>
      </w:r>
      <w:r w:rsidRPr="00302F56">
        <w:rPr>
          <w:rFonts w:ascii="Arial" w:hAnsi="Arial" w:cs="Arial"/>
          <w:sz w:val="24"/>
          <w:szCs w:val="24"/>
        </w:rPr>
        <w:tab/>
        <w:t>Netcare denied that it breached its legal duty owed to the plaintiff</w:t>
      </w:r>
      <w:r w:rsidR="00FB3B5C" w:rsidRPr="00302F56">
        <w:rPr>
          <w:rFonts w:ascii="Arial" w:hAnsi="Arial" w:cs="Arial"/>
          <w:sz w:val="24"/>
          <w:szCs w:val="24"/>
        </w:rPr>
        <w:t xml:space="preserve"> </w:t>
      </w:r>
      <w:r w:rsidRPr="00302F56">
        <w:rPr>
          <w:rFonts w:ascii="Arial" w:hAnsi="Arial" w:cs="Arial"/>
          <w:sz w:val="24"/>
          <w:szCs w:val="24"/>
        </w:rPr>
        <w:t>and pleaded that when complaints or grievances were brought to the attention of Netcare</w:t>
      </w:r>
      <w:r w:rsidR="009B4EA6" w:rsidRPr="00302F56">
        <w:rPr>
          <w:rFonts w:ascii="Arial" w:hAnsi="Arial" w:cs="Arial"/>
          <w:sz w:val="24"/>
          <w:szCs w:val="24"/>
        </w:rPr>
        <w:t>,</w:t>
      </w:r>
      <w:r w:rsidRPr="00302F56">
        <w:rPr>
          <w:rFonts w:ascii="Arial" w:hAnsi="Arial" w:cs="Arial"/>
          <w:sz w:val="24"/>
          <w:szCs w:val="24"/>
        </w:rPr>
        <w:t xml:space="preserve"> steps were taken against Dr Grobler</w:t>
      </w:r>
      <w:r w:rsidR="009B4EA6" w:rsidRPr="00302F56">
        <w:rPr>
          <w:rFonts w:ascii="Arial" w:hAnsi="Arial" w:cs="Arial"/>
          <w:sz w:val="24"/>
          <w:szCs w:val="24"/>
        </w:rPr>
        <w:t xml:space="preserve"> which</w:t>
      </w:r>
      <w:r w:rsidR="00B763F5" w:rsidRPr="00302F56">
        <w:rPr>
          <w:rFonts w:ascii="Arial" w:hAnsi="Arial" w:cs="Arial"/>
          <w:sz w:val="24"/>
          <w:szCs w:val="24"/>
        </w:rPr>
        <w:t>,</w:t>
      </w:r>
      <w:r w:rsidR="009B4EA6" w:rsidRPr="00302F56">
        <w:rPr>
          <w:rFonts w:ascii="Arial" w:hAnsi="Arial" w:cs="Arial"/>
          <w:sz w:val="24"/>
          <w:szCs w:val="24"/>
        </w:rPr>
        <w:t xml:space="preserve"> </w:t>
      </w:r>
      <w:r w:rsidR="009B4EA6" w:rsidRPr="00302F56">
        <w:rPr>
          <w:rFonts w:ascii="Arial" w:hAnsi="Arial" w:cs="Arial"/>
          <w:i/>
          <w:sz w:val="24"/>
          <w:szCs w:val="24"/>
        </w:rPr>
        <w:t>inter alia</w:t>
      </w:r>
      <w:r w:rsidR="009B4EA6" w:rsidRPr="00302F56">
        <w:rPr>
          <w:rFonts w:ascii="Arial" w:hAnsi="Arial" w:cs="Arial"/>
          <w:sz w:val="24"/>
          <w:szCs w:val="24"/>
        </w:rPr>
        <w:t xml:space="preserve"> consisted of the following;</w:t>
      </w:r>
    </w:p>
    <w:p w:rsidR="009B4EA6" w:rsidRPr="00302F56" w:rsidRDefault="009B4EA6" w:rsidP="000274C5">
      <w:pPr>
        <w:spacing w:before="120" w:after="120" w:line="360" w:lineRule="auto"/>
        <w:ind w:left="709" w:hanging="709"/>
        <w:jc w:val="both"/>
        <w:rPr>
          <w:rFonts w:ascii="Arial" w:hAnsi="Arial" w:cs="Arial"/>
          <w:sz w:val="24"/>
          <w:szCs w:val="24"/>
        </w:rPr>
      </w:pPr>
      <w:r w:rsidRPr="00302F56">
        <w:rPr>
          <w:rFonts w:ascii="Arial" w:hAnsi="Arial" w:cs="Arial"/>
          <w:sz w:val="24"/>
          <w:szCs w:val="24"/>
        </w:rPr>
        <w:tab/>
        <w:t>12.1</w:t>
      </w:r>
      <w:r w:rsidRPr="00302F56">
        <w:rPr>
          <w:rFonts w:ascii="Arial" w:hAnsi="Arial" w:cs="Arial"/>
          <w:sz w:val="24"/>
          <w:szCs w:val="24"/>
        </w:rPr>
        <w:tab/>
      </w:r>
      <w:r w:rsidR="00FF164B" w:rsidRPr="00302F56">
        <w:rPr>
          <w:rFonts w:ascii="Arial" w:hAnsi="Arial" w:cs="Arial"/>
          <w:sz w:val="24"/>
          <w:szCs w:val="24"/>
        </w:rPr>
        <w:t>by instituting a grievances investigation</w:t>
      </w:r>
      <w:r w:rsidRPr="00302F56">
        <w:rPr>
          <w:rFonts w:ascii="Arial" w:hAnsi="Arial" w:cs="Arial"/>
          <w:sz w:val="24"/>
          <w:szCs w:val="24"/>
        </w:rPr>
        <w:t>;</w:t>
      </w:r>
    </w:p>
    <w:p w:rsidR="009B4EA6" w:rsidRPr="00302F56" w:rsidRDefault="009B4EA6" w:rsidP="000274C5">
      <w:pPr>
        <w:spacing w:before="120" w:after="120" w:line="360" w:lineRule="auto"/>
        <w:ind w:left="709" w:hanging="709"/>
        <w:jc w:val="both"/>
        <w:rPr>
          <w:rFonts w:ascii="Arial" w:hAnsi="Arial" w:cs="Arial"/>
          <w:sz w:val="24"/>
          <w:szCs w:val="24"/>
        </w:rPr>
      </w:pPr>
      <w:r w:rsidRPr="00302F56">
        <w:rPr>
          <w:rFonts w:ascii="Arial" w:hAnsi="Arial" w:cs="Arial"/>
          <w:sz w:val="24"/>
          <w:szCs w:val="24"/>
        </w:rPr>
        <w:tab/>
        <w:t>12.2</w:t>
      </w:r>
      <w:r w:rsidRPr="00302F56">
        <w:rPr>
          <w:rFonts w:ascii="Arial" w:hAnsi="Arial" w:cs="Arial"/>
          <w:sz w:val="24"/>
          <w:szCs w:val="24"/>
        </w:rPr>
        <w:tab/>
        <w:t xml:space="preserve"> by taking management steps;</w:t>
      </w:r>
    </w:p>
    <w:p w:rsidR="009B4EA6" w:rsidRPr="00302F56" w:rsidRDefault="009B4EA6" w:rsidP="000274C5">
      <w:pPr>
        <w:spacing w:before="120" w:after="120" w:line="360" w:lineRule="auto"/>
        <w:ind w:left="709" w:hanging="709"/>
        <w:jc w:val="both"/>
        <w:rPr>
          <w:rFonts w:ascii="Arial" w:hAnsi="Arial" w:cs="Arial"/>
          <w:sz w:val="24"/>
          <w:szCs w:val="24"/>
        </w:rPr>
      </w:pPr>
      <w:r w:rsidRPr="00302F56">
        <w:rPr>
          <w:rFonts w:ascii="Arial" w:hAnsi="Arial" w:cs="Arial"/>
          <w:sz w:val="24"/>
          <w:szCs w:val="24"/>
        </w:rPr>
        <w:tab/>
        <w:t>12.3</w:t>
      </w:r>
      <w:r w:rsidRPr="00302F56">
        <w:rPr>
          <w:rFonts w:ascii="Arial" w:hAnsi="Arial" w:cs="Arial"/>
          <w:sz w:val="24"/>
          <w:szCs w:val="24"/>
        </w:rPr>
        <w:tab/>
        <w:t>by convening meetings;</w:t>
      </w:r>
      <w:r w:rsidR="00B763F5" w:rsidRPr="00302F56">
        <w:rPr>
          <w:rFonts w:ascii="Arial" w:hAnsi="Arial" w:cs="Arial"/>
          <w:sz w:val="24"/>
          <w:szCs w:val="24"/>
        </w:rPr>
        <w:t xml:space="preserve"> and</w:t>
      </w:r>
    </w:p>
    <w:p w:rsidR="006563DB" w:rsidRPr="00302F56" w:rsidRDefault="009B4EA6" w:rsidP="000274C5">
      <w:pPr>
        <w:spacing w:before="120" w:after="120" w:line="360" w:lineRule="auto"/>
        <w:ind w:left="709" w:hanging="709"/>
        <w:jc w:val="both"/>
        <w:rPr>
          <w:rFonts w:ascii="Arial" w:hAnsi="Arial" w:cs="Arial"/>
          <w:sz w:val="24"/>
          <w:szCs w:val="24"/>
        </w:rPr>
      </w:pPr>
      <w:r w:rsidRPr="00302F56">
        <w:rPr>
          <w:rFonts w:ascii="Arial" w:hAnsi="Arial" w:cs="Arial"/>
          <w:sz w:val="24"/>
          <w:szCs w:val="24"/>
        </w:rPr>
        <w:tab/>
        <w:t>12.4</w:t>
      </w:r>
      <w:r w:rsidRPr="00302F56">
        <w:rPr>
          <w:rFonts w:ascii="Arial" w:hAnsi="Arial" w:cs="Arial"/>
          <w:sz w:val="24"/>
          <w:szCs w:val="24"/>
        </w:rPr>
        <w:tab/>
        <w:t>by taking action against Dr Grobler</w:t>
      </w:r>
      <w:r w:rsidR="00FF164B" w:rsidRPr="00302F56">
        <w:rPr>
          <w:rFonts w:ascii="Arial" w:hAnsi="Arial" w:cs="Arial"/>
          <w:sz w:val="24"/>
          <w:szCs w:val="24"/>
        </w:rPr>
        <w:t xml:space="preserve"> to apologise for his conduct</w:t>
      </w:r>
      <w:r w:rsidRPr="00302F56">
        <w:rPr>
          <w:rFonts w:ascii="Arial" w:hAnsi="Arial" w:cs="Arial"/>
          <w:sz w:val="24"/>
          <w:szCs w:val="24"/>
        </w:rPr>
        <w:t xml:space="preserve">. </w:t>
      </w:r>
    </w:p>
    <w:p w:rsidR="009B4EA6" w:rsidRPr="00302F56" w:rsidRDefault="009B4EA6" w:rsidP="000274C5">
      <w:pPr>
        <w:spacing w:before="120" w:after="120" w:line="360" w:lineRule="auto"/>
        <w:ind w:left="709" w:hanging="709"/>
        <w:jc w:val="both"/>
        <w:rPr>
          <w:rFonts w:ascii="Arial" w:hAnsi="Arial" w:cs="Arial"/>
          <w:sz w:val="24"/>
          <w:szCs w:val="24"/>
        </w:rPr>
      </w:pPr>
      <w:r w:rsidRPr="00302F56">
        <w:rPr>
          <w:rFonts w:ascii="Arial" w:hAnsi="Arial" w:cs="Arial"/>
          <w:sz w:val="24"/>
          <w:szCs w:val="24"/>
        </w:rPr>
        <w:t>[13]</w:t>
      </w:r>
      <w:r w:rsidRPr="00302F56">
        <w:rPr>
          <w:rFonts w:ascii="Arial" w:hAnsi="Arial" w:cs="Arial"/>
          <w:sz w:val="24"/>
          <w:szCs w:val="24"/>
        </w:rPr>
        <w:tab/>
        <w:t>The matter was enrolled to be heard on 5 to 7 and 9 February 2024 and from12 to</w:t>
      </w:r>
      <w:r w:rsidR="00CD0CB6" w:rsidRPr="00302F56">
        <w:rPr>
          <w:rFonts w:ascii="Arial" w:hAnsi="Arial" w:cs="Arial"/>
          <w:sz w:val="24"/>
          <w:szCs w:val="24"/>
        </w:rPr>
        <w:t xml:space="preserve"> 14 and 16 February 2024.  The plaintiff presented her testimony and was cross examined </w:t>
      </w:r>
      <w:r w:rsidR="00CD0CB6" w:rsidRPr="00302F56">
        <w:rPr>
          <w:rFonts w:ascii="Arial" w:hAnsi="Arial" w:cs="Arial"/>
          <w:sz w:val="24"/>
          <w:szCs w:val="24"/>
        </w:rPr>
        <w:lastRenderedPageBreak/>
        <w:t xml:space="preserve">over 3 days. Without concluding her cross-examination, the parties agreed to commence with the evidence in chief of </w:t>
      </w:r>
      <w:r w:rsidR="00811086" w:rsidRPr="00302F56">
        <w:rPr>
          <w:rFonts w:ascii="Arial" w:hAnsi="Arial" w:cs="Arial"/>
          <w:sz w:val="24"/>
          <w:szCs w:val="24"/>
        </w:rPr>
        <w:t xml:space="preserve">one of </w:t>
      </w:r>
      <w:r w:rsidR="00CD0CB6" w:rsidRPr="00302F56">
        <w:rPr>
          <w:rFonts w:ascii="Arial" w:hAnsi="Arial" w:cs="Arial"/>
          <w:sz w:val="24"/>
          <w:szCs w:val="24"/>
        </w:rPr>
        <w:t xml:space="preserve">her expert </w:t>
      </w:r>
      <w:r w:rsidR="00020EEA" w:rsidRPr="00302F56">
        <w:rPr>
          <w:rFonts w:ascii="Arial" w:hAnsi="Arial" w:cs="Arial"/>
          <w:sz w:val="24"/>
          <w:szCs w:val="24"/>
        </w:rPr>
        <w:t>witnesses</w:t>
      </w:r>
      <w:r w:rsidR="00CD0CB6" w:rsidRPr="00302F56">
        <w:rPr>
          <w:rFonts w:ascii="Arial" w:hAnsi="Arial" w:cs="Arial"/>
          <w:sz w:val="24"/>
          <w:szCs w:val="24"/>
        </w:rPr>
        <w:t xml:space="preserve">, Professor (emeritus) Halton Cheadle. Professor Cheadle’s cross-examination spanned one full day on 13 February 2024 and was not </w:t>
      </w:r>
      <w:r w:rsidR="007864E7" w:rsidRPr="00302F56">
        <w:rPr>
          <w:rFonts w:ascii="Arial" w:hAnsi="Arial" w:cs="Arial"/>
          <w:sz w:val="24"/>
          <w:szCs w:val="24"/>
        </w:rPr>
        <w:t>concluded</w:t>
      </w:r>
      <w:r w:rsidR="00CD0CB6" w:rsidRPr="00302F56">
        <w:rPr>
          <w:rFonts w:ascii="Arial" w:hAnsi="Arial" w:cs="Arial"/>
          <w:sz w:val="24"/>
          <w:szCs w:val="24"/>
        </w:rPr>
        <w:t xml:space="preserve">.  Both the cross-examination of the plaintiff and her expert witness stood over </w:t>
      </w:r>
      <w:r w:rsidR="007864E7" w:rsidRPr="00302F56">
        <w:rPr>
          <w:rFonts w:ascii="Arial" w:hAnsi="Arial" w:cs="Arial"/>
          <w:sz w:val="24"/>
          <w:szCs w:val="24"/>
        </w:rPr>
        <w:t>to proceed</w:t>
      </w:r>
      <w:r w:rsidR="00CD0CB6" w:rsidRPr="00302F56">
        <w:rPr>
          <w:rFonts w:ascii="Arial" w:hAnsi="Arial" w:cs="Arial"/>
          <w:sz w:val="24"/>
          <w:szCs w:val="24"/>
        </w:rPr>
        <w:t xml:space="preserve"> when the matter resumed on 3 June 2024. </w:t>
      </w:r>
      <w:r w:rsidR="00F5738D" w:rsidRPr="00302F56">
        <w:rPr>
          <w:rFonts w:ascii="Arial" w:hAnsi="Arial" w:cs="Arial"/>
          <w:sz w:val="24"/>
          <w:szCs w:val="24"/>
        </w:rPr>
        <w:t xml:space="preserve">On 3 June 2024 an open tender was made </w:t>
      </w:r>
      <w:r w:rsidR="007864E7" w:rsidRPr="00302F56">
        <w:rPr>
          <w:rFonts w:ascii="Arial" w:hAnsi="Arial" w:cs="Arial"/>
          <w:sz w:val="24"/>
          <w:szCs w:val="24"/>
        </w:rPr>
        <w:t>by Netcare</w:t>
      </w:r>
      <w:r w:rsidR="00443E00" w:rsidRPr="00302F56">
        <w:rPr>
          <w:rFonts w:ascii="Arial" w:hAnsi="Arial" w:cs="Arial"/>
          <w:sz w:val="24"/>
          <w:szCs w:val="24"/>
        </w:rPr>
        <w:t>.</w:t>
      </w:r>
      <w:r w:rsidR="007864E7" w:rsidRPr="00302F56">
        <w:rPr>
          <w:rFonts w:ascii="Arial" w:hAnsi="Arial" w:cs="Arial"/>
          <w:sz w:val="24"/>
          <w:szCs w:val="24"/>
        </w:rPr>
        <w:t xml:space="preserve"> </w:t>
      </w:r>
      <w:r w:rsidR="00F5738D" w:rsidRPr="00302F56">
        <w:rPr>
          <w:rFonts w:ascii="Arial" w:hAnsi="Arial" w:cs="Arial"/>
          <w:sz w:val="24"/>
          <w:szCs w:val="24"/>
        </w:rPr>
        <w:t xml:space="preserve"> </w:t>
      </w:r>
      <w:r w:rsidR="00CD0CB6" w:rsidRPr="00302F56">
        <w:rPr>
          <w:rFonts w:ascii="Arial" w:hAnsi="Arial" w:cs="Arial"/>
          <w:sz w:val="24"/>
          <w:szCs w:val="24"/>
        </w:rPr>
        <w:t xml:space="preserve"> </w:t>
      </w:r>
    </w:p>
    <w:p w:rsidR="00F5738D" w:rsidRPr="00302F56" w:rsidRDefault="00F5738D" w:rsidP="000274C5">
      <w:pPr>
        <w:spacing w:before="120" w:after="120" w:line="360" w:lineRule="auto"/>
        <w:ind w:left="709" w:hanging="709"/>
        <w:jc w:val="both"/>
        <w:rPr>
          <w:rFonts w:ascii="Arial" w:hAnsi="Arial" w:cs="Arial"/>
          <w:sz w:val="20"/>
          <w:szCs w:val="20"/>
        </w:rPr>
      </w:pPr>
      <w:r w:rsidRPr="00302F56">
        <w:rPr>
          <w:rFonts w:ascii="Arial" w:hAnsi="Arial" w:cs="Arial"/>
          <w:sz w:val="24"/>
          <w:szCs w:val="24"/>
        </w:rPr>
        <w:t>[14]</w:t>
      </w:r>
      <w:r w:rsidRPr="00302F56">
        <w:rPr>
          <w:rFonts w:ascii="Arial" w:hAnsi="Arial" w:cs="Arial"/>
          <w:sz w:val="24"/>
          <w:szCs w:val="24"/>
        </w:rPr>
        <w:tab/>
      </w:r>
      <w:r w:rsidR="00811086" w:rsidRPr="00302F56">
        <w:rPr>
          <w:rFonts w:ascii="Arial" w:hAnsi="Arial" w:cs="Arial"/>
          <w:sz w:val="24"/>
          <w:szCs w:val="24"/>
        </w:rPr>
        <w:t>The Notice of Unconditional Offer of Settlement dated 3 June 2024</w:t>
      </w:r>
      <w:r w:rsidR="00020EEA" w:rsidRPr="00302F56">
        <w:rPr>
          <w:rFonts w:ascii="Arial" w:hAnsi="Arial" w:cs="Arial"/>
          <w:sz w:val="24"/>
          <w:szCs w:val="24"/>
        </w:rPr>
        <w:t xml:space="preserve"> </w:t>
      </w:r>
      <w:r w:rsidR="00811086" w:rsidRPr="00302F56">
        <w:rPr>
          <w:rFonts w:ascii="Arial" w:hAnsi="Arial" w:cs="Arial"/>
          <w:sz w:val="24"/>
          <w:szCs w:val="24"/>
        </w:rPr>
        <w:t>provides as follows: “</w:t>
      </w:r>
      <w:r w:rsidR="00811086" w:rsidRPr="00302F56">
        <w:rPr>
          <w:rFonts w:ascii="Arial" w:hAnsi="Arial" w:cs="Arial"/>
          <w:sz w:val="20"/>
          <w:szCs w:val="20"/>
        </w:rPr>
        <w:t>…the Second Defendant by way of offer in full and final settlement of the Plaintiff’s entire claim as set out in Plaintiff’s prayers to its Summons, the Second Defendant, having duly furnished written authority hereto to its attorney of record herein, hereby:</w:t>
      </w:r>
    </w:p>
    <w:p w:rsidR="00811086" w:rsidRPr="00302F56" w:rsidRDefault="00811086" w:rsidP="000274C5">
      <w:pPr>
        <w:spacing w:before="120" w:after="120" w:line="360" w:lineRule="auto"/>
        <w:ind w:left="709" w:hanging="709"/>
        <w:jc w:val="both"/>
        <w:rPr>
          <w:rFonts w:ascii="Arial" w:hAnsi="Arial" w:cs="Arial"/>
          <w:sz w:val="20"/>
          <w:szCs w:val="20"/>
        </w:rPr>
      </w:pPr>
      <w:r w:rsidRPr="00302F56">
        <w:rPr>
          <w:rFonts w:ascii="Arial" w:hAnsi="Arial" w:cs="Arial"/>
          <w:sz w:val="20"/>
          <w:szCs w:val="20"/>
        </w:rPr>
        <w:tab/>
        <w:t>1. Instructed and caused the publication of the following statement in a conspicuous manner in the Volksblad newspaper:</w:t>
      </w:r>
    </w:p>
    <w:p w:rsidR="00727443" w:rsidRPr="00302F56" w:rsidRDefault="00811086" w:rsidP="000274C5">
      <w:pPr>
        <w:spacing w:before="120" w:after="120" w:line="360" w:lineRule="auto"/>
        <w:ind w:left="709" w:hanging="709"/>
        <w:jc w:val="both"/>
        <w:rPr>
          <w:rFonts w:ascii="Arial" w:hAnsi="Arial" w:cs="Arial"/>
          <w:sz w:val="20"/>
          <w:szCs w:val="20"/>
        </w:rPr>
      </w:pPr>
      <w:r w:rsidRPr="00302F56">
        <w:rPr>
          <w:rFonts w:ascii="Arial" w:hAnsi="Arial" w:cs="Arial"/>
          <w:sz w:val="20"/>
          <w:szCs w:val="20"/>
        </w:rPr>
        <w:tab/>
        <w:t>‘ 3 June 2024</w:t>
      </w:r>
      <w:r w:rsidR="00727443" w:rsidRPr="00302F56">
        <w:rPr>
          <w:rFonts w:ascii="Arial" w:hAnsi="Arial" w:cs="Arial"/>
          <w:sz w:val="20"/>
          <w:szCs w:val="20"/>
        </w:rPr>
        <w:tab/>
      </w:r>
    </w:p>
    <w:p w:rsidR="00811086" w:rsidRPr="00302F56" w:rsidRDefault="00811086" w:rsidP="000274C5">
      <w:pPr>
        <w:spacing w:before="120" w:after="120" w:line="360" w:lineRule="auto"/>
        <w:ind w:left="709" w:hanging="709"/>
        <w:jc w:val="both"/>
        <w:rPr>
          <w:rFonts w:ascii="Arial" w:hAnsi="Arial" w:cs="Arial"/>
          <w:sz w:val="20"/>
          <w:szCs w:val="20"/>
        </w:rPr>
      </w:pPr>
      <w:r w:rsidRPr="00302F56">
        <w:rPr>
          <w:rFonts w:ascii="Arial" w:hAnsi="Arial" w:cs="Arial"/>
          <w:sz w:val="20"/>
          <w:szCs w:val="20"/>
        </w:rPr>
        <w:tab/>
        <w:t>Dear Ms Louw</w:t>
      </w:r>
    </w:p>
    <w:p w:rsidR="00811086" w:rsidRPr="00302F56" w:rsidRDefault="005E40EC" w:rsidP="000274C5">
      <w:pPr>
        <w:spacing w:before="120" w:after="120" w:line="360" w:lineRule="auto"/>
        <w:ind w:left="709" w:hanging="709"/>
        <w:jc w:val="both"/>
        <w:rPr>
          <w:rFonts w:ascii="Arial" w:hAnsi="Arial" w:cs="Arial"/>
          <w:b/>
          <w:sz w:val="20"/>
          <w:szCs w:val="20"/>
        </w:rPr>
      </w:pPr>
      <w:r w:rsidRPr="00302F56">
        <w:rPr>
          <w:rFonts w:ascii="Arial" w:hAnsi="Arial" w:cs="Arial"/>
          <w:b/>
          <w:sz w:val="20"/>
          <w:szCs w:val="20"/>
        </w:rPr>
        <w:tab/>
      </w:r>
      <w:r w:rsidR="00811086" w:rsidRPr="00302F56">
        <w:rPr>
          <w:rFonts w:ascii="Arial" w:hAnsi="Arial" w:cs="Arial"/>
          <w:b/>
          <w:sz w:val="20"/>
          <w:szCs w:val="20"/>
        </w:rPr>
        <w:t>Subject: Letter of apology from Netcare</w:t>
      </w:r>
      <w:r w:rsidRPr="00302F56">
        <w:rPr>
          <w:rFonts w:ascii="Arial" w:hAnsi="Arial" w:cs="Arial"/>
          <w:b/>
          <w:sz w:val="20"/>
          <w:szCs w:val="20"/>
        </w:rPr>
        <w:t xml:space="preserve"> </w:t>
      </w:r>
    </w:p>
    <w:p w:rsidR="005E40EC" w:rsidRPr="00302F56" w:rsidRDefault="005E40EC" w:rsidP="000274C5">
      <w:pPr>
        <w:spacing w:before="120" w:after="120" w:line="360" w:lineRule="auto"/>
        <w:ind w:left="709" w:hanging="709"/>
        <w:jc w:val="both"/>
        <w:rPr>
          <w:rFonts w:ascii="Arial" w:hAnsi="Arial" w:cs="Arial"/>
          <w:sz w:val="20"/>
          <w:szCs w:val="20"/>
        </w:rPr>
      </w:pPr>
      <w:r w:rsidRPr="00302F56">
        <w:rPr>
          <w:rFonts w:ascii="Arial" w:hAnsi="Arial" w:cs="Arial"/>
          <w:b/>
          <w:sz w:val="20"/>
          <w:szCs w:val="20"/>
        </w:rPr>
        <w:tab/>
      </w:r>
      <w:r w:rsidRPr="00302F56">
        <w:rPr>
          <w:rFonts w:ascii="Arial" w:hAnsi="Arial" w:cs="Arial"/>
          <w:sz w:val="20"/>
          <w:szCs w:val="20"/>
        </w:rPr>
        <w:t>On behalf of Netcare, we wish to express our most sincere apologies for the many years of distress and anguish that you felt.  We acknowledge the events that unfolded and regret that it has taken this long to reach resolution.</w:t>
      </w:r>
    </w:p>
    <w:p w:rsidR="005E40EC" w:rsidRPr="00302F56" w:rsidRDefault="005E40EC" w:rsidP="000274C5">
      <w:pPr>
        <w:spacing w:before="120" w:after="120" w:line="360" w:lineRule="auto"/>
        <w:ind w:left="709" w:hanging="709"/>
        <w:jc w:val="both"/>
        <w:rPr>
          <w:rFonts w:ascii="Arial" w:hAnsi="Arial" w:cs="Arial"/>
          <w:sz w:val="20"/>
          <w:szCs w:val="20"/>
        </w:rPr>
      </w:pPr>
      <w:r w:rsidRPr="00302F56">
        <w:rPr>
          <w:rFonts w:ascii="Arial" w:hAnsi="Arial" w:cs="Arial"/>
          <w:sz w:val="20"/>
          <w:szCs w:val="20"/>
        </w:rPr>
        <w:tab/>
        <w:t>All Netcare staff members and associated healthcare workers should always feel that they are protected and supported by the company and its management and that their concerns and grievances are heard and acted upon.  This is endorsed by our company values, particularly those of Compassion and Dignity.</w:t>
      </w:r>
    </w:p>
    <w:p w:rsidR="005E40EC" w:rsidRPr="00302F56" w:rsidRDefault="005E40EC" w:rsidP="000274C5">
      <w:pPr>
        <w:spacing w:before="120" w:after="120" w:line="360" w:lineRule="auto"/>
        <w:ind w:left="709" w:hanging="709"/>
        <w:jc w:val="both"/>
        <w:rPr>
          <w:rFonts w:ascii="Arial" w:hAnsi="Arial" w:cs="Arial"/>
          <w:sz w:val="20"/>
          <w:szCs w:val="20"/>
        </w:rPr>
      </w:pPr>
      <w:r w:rsidRPr="00302F56">
        <w:rPr>
          <w:rFonts w:ascii="Arial" w:hAnsi="Arial" w:cs="Arial"/>
          <w:sz w:val="20"/>
          <w:szCs w:val="20"/>
        </w:rPr>
        <w:tab/>
        <w:t>The healthcare professionals who worked within our hospitals are tasked with the immense responsibility of safeguarding the lives and best interests of the patients in their care, often under considerable pressure.  However, this should not impact the respect and harmony of the work relationship required.</w:t>
      </w:r>
    </w:p>
    <w:p w:rsidR="005E40EC" w:rsidRPr="00302F56" w:rsidRDefault="005E40EC" w:rsidP="000274C5">
      <w:pPr>
        <w:spacing w:before="120" w:after="120" w:line="360" w:lineRule="auto"/>
        <w:ind w:left="709" w:hanging="709"/>
        <w:jc w:val="both"/>
        <w:rPr>
          <w:rFonts w:ascii="Arial" w:hAnsi="Arial" w:cs="Arial"/>
          <w:sz w:val="20"/>
          <w:szCs w:val="20"/>
        </w:rPr>
      </w:pPr>
      <w:r w:rsidRPr="00302F56">
        <w:rPr>
          <w:rFonts w:ascii="Arial" w:hAnsi="Arial" w:cs="Arial"/>
          <w:sz w:val="20"/>
          <w:szCs w:val="20"/>
        </w:rPr>
        <w:tab/>
        <w:t xml:space="preserve">Netcare will always endeavour to take all reasonable steps in providing our employees with a conducive work environment and must do so with the highest regard for patient safety. </w:t>
      </w:r>
    </w:p>
    <w:p w:rsidR="005E40EC" w:rsidRPr="00302F56" w:rsidRDefault="005E40EC" w:rsidP="000274C5">
      <w:pPr>
        <w:spacing w:before="120" w:after="120" w:line="360" w:lineRule="auto"/>
        <w:ind w:left="709" w:hanging="709"/>
        <w:jc w:val="both"/>
        <w:rPr>
          <w:rFonts w:ascii="Arial" w:hAnsi="Arial" w:cs="Arial"/>
          <w:sz w:val="20"/>
          <w:szCs w:val="20"/>
        </w:rPr>
      </w:pPr>
      <w:r w:rsidRPr="00302F56">
        <w:rPr>
          <w:rFonts w:ascii="Arial" w:hAnsi="Arial" w:cs="Arial"/>
          <w:sz w:val="20"/>
          <w:szCs w:val="20"/>
        </w:rPr>
        <w:tab/>
        <w:t>We apologise sincerely that you felt that Netcare did not sufficiently support you in the execution of your duties while being subjected to the disrespect and hurtful actions at the hands of an independent fellow healthc</w:t>
      </w:r>
      <w:r w:rsidR="00A14A11" w:rsidRPr="00302F56">
        <w:rPr>
          <w:rFonts w:ascii="Arial" w:hAnsi="Arial" w:cs="Arial"/>
          <w:sz w:val="20"/>
          <w:szCs w:val="20"/>
        </w:rPr>
        <w:t>are</w:t>
      </w:r>
      <w:r w:rsidRPr="00302F56">
        <w:rPr>
          <w:rFonts w:ascii="Arial" w:hAnsi="Arial" w:cs="Arial"/>
          <w:sz w:val="20"/>
          <w:szCs w:val="20"/>
        </w:rPr>
        <w:t xml:space="preserve"> practitioner</w:t>
      </w:r>
      <w:r w:rsidR="00A14A11" w:rsidRPr="00302F56">
        <w:rPr>
          <w:rFonts w:ascii="Arial" w:hAnsi="Arial" w:cs="Arial"/>
          <w:sz w:val="20"/>
          <w:szCs w:val="20"/>
        </w:rPr>
        <w:t>.</w:t>
      </w:r>
    </w:p>
    <w:p w:rsidR="00A14A11" w:rsidRPr="00302F56" w:rsidRDefault="00A14A11" w:rsidP="000274C5">
      <w:pPr>
        <w:spacing w:before="120" w:after="120" w:line="360" w:lineRule="auto"/>
        <w:ind w:left="709" w:hanging="709"/>
        <w:jc w:val="both"/>
        <w:rPr>
          <w:rFonts w:ascii="Arial" w:hAnsi="Arial" w:cs="Arial"/>
          <w:sz w:val="20"/>
          <w:szCs w:val="20"/>
        </w:rPr>
      </w:pPr>
      <w:r w:rsidRPr="00302F56">
        <w:rPr>
          <w:rFonts w:ascii="Arial" w:hAnsi="Arial" w:cs="Arial"/>
          <w:sz w:val="20"/>
          <w:szCs w:val="20"/>
        </w:rPr>
        <w:tab/>
        <w:t>We hope that you will be able to find peace and healing after these traumatic events.</w:t>
      </w:r>
    </w:p>
    <w:p w:rsidR="00A14A11" w:rsidRPr="00302F56" w:rsidRDefault="00A14A11" w:rsidP="000274C5">
      <w:pPr>
        <w:spacing w:before="120" w:after="120" w:line="360" w:lineRule="auto"/>
        <w:ind w:left="709" w:hanging="709"/>
        <w:jc w:val="both"/>
        <w:rPr>
          <w:rFonts w:ascii="Arial" w:hAnsi="Arial" w:cs="Arial"/>
          <w:sz w:val="20"/>
          <w:szCs w:val="20"/>
        </w:rPr>
      </w:pPr>
      <w:r w:rsidRPr="00302F56">
        <w:rPr>
          <w:rFonts w:ascii="Arial" w:hAnsi="Arial" w:cs="Arial"/>
          <w:sz w:val="20"/>
          <w:szCs w:val="20"/>
        </w:rPr>
        <w:tab/>
        <w:t>Yours sincerely,</w:t>
      </w:r>
    </w:p>
    <w:p w:rsidR="00A14A11" w:rsidRPr="00302F56" w:rsidRDefault="00A14A11" w:rsidP="000274C5">
      <w:pPr>
        <w:spacing w:before="120" w:after="120" w:line="360" w:lineRule="auto"/>
        <w:ind w:left="709" w:hanging="709"/>
        <w:jc w:val="both"/>
        <w:rPr>
          <w:rFonts w:ascii="Arial" w:hAnsi="Arial" w:cs="Arial"/>
          <w:sz w:val="20"/>
          <w:szCs w:val="20"/>
        </w:rPr>
      </w:pPr>
      <w:r w:rsidRPr="00302F56">
        <w:rPr>
          <w:rFonts w:ascii="Arial" w:hAnsi="Arial" w:cs="Arial"/>
          <w:sz w:val="20"/>
          <w:szCs w:val="20"/>
        </w:rPr>
        <w:tab/>
        <w:t>Dr Richard Friedland and Dr Erich Bock.’</w:t>
      </w:r>
    </w:p>
    <w:p w:rsidR="00A14A11" w:rsidRPr="00302F56" w:rsidRDefault="00A14A11" w:rsidP="000274C5">
      <w:pPr>
        <w:spacing w:before="120" w:after="120" w:line="360" w:lineRule="auto"/>
        <w:ind w:left="709" w:hanging="709"/>
        <w:jc w:val="both"/>
        <w:rPr>
          <w:rFonts w:ascii="Arial" w:hAnsi="Arial" w:cs="Arial"/>
          <w:sz w:val="20"/>
          <w:szCs w:val="20"/>
        </w:rPr>
      </w:pPr>
      <w:r w:rsidRPr="00302F56">
        <w:rPr>
          <w:rFonts w:ascii="Arial" w:hAnsi="Arial" w:cs="Arial"/>
          <w:sz w:val="24"/>
          <w:szCs w:val="24"/>
        </w:rPr>
        <w:tab/>
      </w:r>
      <w:r w:rsidRPr="00302F56">
        <w:rPr>
          <w:rFonts w:ascii="Arial" w:hAnsi="Arial" w:cs="Arial"/>
          <w:sz w:val="20"/>
          <w:szCs w:val="20"/>
        </w:rPr>
        <w:t xml:space="preserve">2.  Tenders to make payment in the sum of R300 000.00 (three hundred thousand rand) towards the </w:t>
      </w:r>
      <w:r w:rsidR="007864E7" w:rsidRPr="00302F56">
        <w:rPr>
          <w:rFonts w:ascii="Arial" w:hAnsi="Arial" w:cs="Arial"/>
          <w:sz w:val="20"/>
          <w:szCs w:val="20"/>
        </w:rPr>
        <w:tab/>
        <w:t xml:space="preserve">      </w:t>
      </w:r>
      <w:r w:rsidRPr="00302F56">
        <w:rPr>
          <w:rFonts w:ascii="Arial" w:hAnsi="Arial" w:cs="Arial"/>
          <w:sz w:val="20"/>
          <w:szCs w:val="20"/>
        </w:rPr>
        <w:t>plaintiff’s claim of damages and past and future medical expenses;</w:t>
      </w:r>
    </w:p>
    <w:p w:rsidR="00A14A11" w:rsidRPr="00302F56" w:rsidRDefault="00A14A11" w:rsidP="000274C5">
      <w:pPr>
        <w:spacing w:before="120" w:after="120" w:line="360" w:lineRule="auto"/>
        <w:ind w:left="709" w:hanging="709"/>
        <w:jc w:val="both"/>
        <w:rPr>
          <w:rFonts w:ascii="Arial" w:hAnsi="Arial" w:cs="Arial"/>
          <w:sz w:val="20"/>
          <w:szCs w:val="20"/>
        </w:rPr>
      </w:pPr>
      <w:r w:rsidRPr="00302F56">
        <w:rPr>
          <w:rFonts w:ascii="Arial" w:hAnsi="Arial" w:cs="Arial"/>
          <w:sz w:val="20"/>
          <w:szCs w:val="20"/>
        </w:rPr>
        <w:lastRenderedPageBreak/>
        <w:tab/>
        <w:t>3.  The Second Defendant also tenders to make payment of</w:t>
      </w:r>
      <w:r w:rsidR="007864E7" w:rsidRPr="00302F56">
        <w:rPr>
          <w:rFonts w:ascii="Arial" w:hAnsi="Arial" w:cs="Arial"/>
          <w:sz w:val="20"/>
          <w:szCs w:val="20"/>
        </w:rPr>
        <w:t>:</w:t>
      </w:r>
    </w:p>
    <w:p w:rsidR="00A14A11" w:rsidRPr="00302F56" w:rsidRDefault="00A14A11" w:rsidP="000274C5">
      <w:pPr>
        <w:spacing w:before="120" w:after="120" w:line="360" w:lineRule="auto"/>
        <w:ind w:left="709" w:hanging="709"/>
        <w:jc w:val="both"/>
        <w:rPr>
          <w:rFonts w:ascii="Arial" w:hAnsi="Arial" w:cs="Arial"/>
          <w:sz w:val="20"/>
          <w:szCs w:val="20"/>
        </w:rPr>
      </w:pPr>
      <w:r w:rsidRPr="00302F56">
        <w:rPr>
          <w:rFonts w:ascii="Arial" w:hAnsi="Arial" w:cs="Arial"/>
          <w:sz w:val="20"/>
          <w:szCs w:val="20"/>
        </w:rPr>
        <w:tab/>
        <w:t>3.1</w:t>
      </w:r>
      <w:r w:rsidRPr="00302F56">
        <w:rPr>
          <w:rFonts w:ascii="Arial" w:hAnsi="Arial" w:cs="Arial"/>
          <w:sz w:val="20"/>
          <w:szCs w:val="20"/>
        </w:rPr>
        <w:tab/>
        <w:t xml:space="preserve">50% of the plaintiff’s taxed or agreed costs, on a party and party scale, up to the </w:t>
      </w:r>
      <w:r w:rsidRPr="00302F56">
        <w:rPr>
          <w:rFonts w:ascii="Arial" w:hAnsi="Arial" w:cs="Arial"/>
          <w:sz w:val="20"/>
          <w:szCs w:val="20"/>
        </w:rPr>
        <w:tab/>
        <w:t xml:space="preserve">date of the </w:t>
      </w:r>
      <w:r w:rsidR="007864E7" w:rsidRPr="00302F56">
        <w:rPr>
          <w:rFonts w:ascii="Arial" w:hAnsi="Arial" w:cs="Arial"/>
          <w:sz w:val="20"/>
          <w:szCs w:val="20"/>
        </w:rPr>
        <w:tab/>
        <w:t xml:space="preserve">             </w:t>
      </w:r>
      <w:r w:rsidRPr="00302F56">
        <w:rPr>
          <w:rFonts w:ascii="Arial" w:hAnsi="Arial" w:cs="Arial"/>
          <w:sz w:val="20"/>
          <w:szCs w:val="20"/>
        </w:rPr>
        <w:t>settlement being reached between the plaintiff and first defendant; and</w:t>
      </w:r>
    </w:p>
    <w:p w:rsidR="00A14A11" w:rsidRPr="00302F56" w:rsidRDefault="00A14A11" w:rsidP="000274C5">
      <w:pPr>
        <w:spacing w:before="120" w:after="120" w:line="360" w:lineRule="auto"/>
        <w:ind w:left="709" w:hanging="709"/>
        <w:jc w:val="both"/>
        <w:rPr>
          <w:rFonts w:ascii="Arial" w:hAnsi="Arial" w:cs="Arial"/>
          <w:sz w:val="24"/>
          <w:szCs w:val="24"/>
        </w:rPr>
      </w:pPr>
      <w:r w:rsidRPr="00302F56">
        <w:rPr>
          <w:rFonts w:ascii="Arial" w:hAnsi="Arial" w:cs="Arial"/>
          <w:sz w:val="20"/>
          <w:szCs w:val="20"/>
        </w:rPr>
        <w:tab/>
        <w:t>3.2</w:t>
      </w:r>
      <w:r w:rsidRPr="00302F56">
        <w:rPr>
          <w:rFonts w:ascii="Arial" w:hAnsi="Arial" w:cs="Arial"/>
          <w:sz w:val="20"/>
          <w:szCs w:val="20"/>
        </w:rPr>
        <w:tab/>
        <w:t xml:space="preserve">the plaintiff’s taxed or agreed costs, on a party and party scale, incurred after the settlement </w:t>
      </w:r>
      <w:r w:rsidR="007864E7" w:rsidRPr="00302F56">
        <w:rPr>
          <w:rFonts w:ascii="Arial" w:hAnsi="Arial" w:cs="Arial"/>
          <w:sz w:val="20"/>
          <w:szCs w:val="20"/>
        </w:rPr>
        <w:tab/>
        <w:t xml:space="preserve">             </w:t>
      </w:r>
      <w:r w:rsidRPr="00302F56">
        <w:rPr>
          <w:rFonts w:ascii="Arial" w:hAnsi="Arial" w:cs="Arial"/>
          <w:sz w:val="20"/>
          <w:szCs w:val="20"/>
        </w:rPr>
        <w:t xml:space="preserve">being reached between the plaintiff and the first defendant, until </w:t>
      </w:r>
      <w:r w:rsidRPr="00302F56">
        <w:rPr>
          <w:rFonts w:ascii="Arial" w:hAnsi="Arial" w:cs="Arial"/>
          <w:sz w:val="20"/>
          <w:szCs w:val="20"/>
        </w:rPr>
        <w:tab/>
        <w:t>date of delivery of this offer.”</w:t>
      </w:r>
    </w:p>
    <w:p w:rsidR="00A14A11" w:rsidRPr="00302F56" w:rsidRDefault="00A14A11" w:rsidP="000274C5">
      <w:pPr>
        <w:spacing w:before="120" w:after="120" w:line="360" w:lineRule="auto"/>
        <w:ind w:left="709" w:hanging="709"/>
        <w:jc w:val="both"/>
        <w:rPr>
          <w:rFonts w:ascii="Arial" w:hAnsi="Arial" w:cs="Arial"/>
          <w:sz w:val="24"/>
          <w:szCs w:val="24"/>
        </w:rPr>
      </w:pPr>
      <w:r w:rsidRPr="00302F56">
        <w:rPr>
          <w:rFonts w:ascii="Arial" w:hAnsi="Arial" w:cs="Arial"/>
          <w:sz w:val="24"/>
          <w:szCs w:val="24"/>
        </w:rPr>
        <w:t>[15]</w:t>
      </w:r>
      <w:r w:rsidRPr="00302F56">
        <w:rPr>
          <w:rFonts w:ascii="Arial" w:hAnsi="Arial" w:cs="Arial"/>
          <w:sz w:val="24"/>
          <w:szCs w:val="24"/>
        </w:rPr>
        <w:tab/>
        <w:t>The plaintiff, feeling aggrieved by the wording of the apology and</w:t>
      </w:r>
      <w:r w:rsidR="00780F35" w:rsidRPr="00302F56">
        <w:rPr>
          <w:rFonts w:ascii="Arial" w:hAnsi="Arial" w:cs="Arial"/>
          <w:sz w:val="24"/>
          <w:szCs w:val="24"/>
        </w:rPr>
        <w:t xml:space="preserve"> the scale of costs tendered, did not accept the </w:t>
      </w:r>
      <w:r w:rsidR="00261DF5" w:rsidRPr="00302F56">
        <w:rPr>
          <w:rFonts w:ascii="Arial" w:hAnsi="Arial" w:cs="Arial"/>
          <w:sz w:val="24"/>
          <w:szCs w:val="24"/>
        </w:rPr>
        <w:t xml:space="preserve">formal, open and with prejudice </w:t>
      </w:r>
      <w:r w:rsidR="00780F35" w:rsidRPr="00302F56">
        <w:rPr>
          <w:rFonts w:ascii="Arial" w:hAnsi="Arial" w:cs="Arial"/>
          <w:sz w:val="24"/>
          <w:szCs w:val="24"/>
        </w:rPr>
        <w:t xml:space="preserve">tender by Netcare. </w:t>
      </w:r>
      <w:r w:rsidR="003F010F" w:rsidRPr="00302F56">
        <w:rPr>
          <w:rFonts w:ascii="Arial" w:hAnsi="Arial" w:cs="Arial"/>
          <w:sz w:val="24"/>
          <w:szCs w:val="24"/>
        </w:rPr>
        <w:t>More specifically, the plaintiff refuse</w:t>
      </w:r>
      <w:r w:rsidR="00C259EF" w:rsidRPr="00302F56">
        <w:rPr>
          <w:rFonts w:ascii="Arial" w:hAnsi="Arial" w:cs="Arial"/>
          <w:sz w:val="24"/>
          <w:szCs w:val="24"/>
        </w:rPr>
        <w:t>d</w:t>
      </w:r>
      <w:r w:rsidR="003F010F" w:rsidRPr="00302F56">
        <w:rPr>
          <w:rFonts w:ascii="Arial" w:hAnsi="Arial" w:cs="Arial"/>
          <w:sz w:val="24"/>
          <w:szCs w:val="24"/>
        </w:rPr>
        <w:t xml:space="preserve"> to accept the published apology and also seeks to pursue an order for punitive costs against Netcare</w:t>
      </w:r>
      <w:r w:rsidR="00C259EF" w:rsidRPr="00302F56">
        <w:rPr>
          <w:rFonts w:ascii="Arial" w:hAnsi="Arial" w:cs="Arial"/>
          <w:sz w:val="24"/>
          <w:szCs w:val="24"/>
        </w:rPr>
        <w:t>.</w:t>
      </w:r>
      <w:r w:rsidR="00780F35" w:rsidRPr="00302F56">
        <w:rPr>
          <w:rFonts w:ascii="Arial" w:hAnsi="Arial" w:cs="Arial"/>
          <w:sz w:val="24"/>
          <w:szCs w:val="24"/>
        </w:rPr>
        <w:t xml:space="preserve"> The plaintiff, however, accepted the quantum of damages, both the general damages and damages in respect of future medical expenses, and the costs incurred up to and including the settlement between the plaintiff and Dr Grobler.  </w:t>
      </w:r>
    </w:p>
    <w:p w:rsidR="00261DF5" w:rsidRPr="00302F56" w:rsidRDefault="00261DF5" w:rsidP="000274C5">
      <w:pPr>
        <w:spacing w:before="120" w:after="120" w:line="360" w:lineRule="auto"/>
        <w:ind w:left="709" w:hanging="709"/>
        <w:jc w:val="both"/>
        <w:rPr>
          <w:rFonts w:ascii="Arial" w:hAnsi="Arial" w:cs="Arial"/>
          <w:sz w:val="24"/>
          <w:szCs w:val="24"/>
        </w:rPr>
      </w:pPr>
      <w:r w:rsidRPr="00302F56">
        <w:rPr>
          <w:rFonts w:ascii="Arial" w:hAnsi="Arial" w:cs="Arial"/>
          <w:sz w:val="24"/>
          <w:szCs w:val="24"/>
        </w:rPr>
        <w:t>[16]</w:t>
      </w:r>
      <w:r w:rsidRPr="00302F56">
        <w:rPr>
          <w:rFonts w:ascii="Arial" w:hAnsi="Arial" w:cs="Arial"/>
          <w:sz w:val="24"/>
          <w:szCs w:val="24"/>
        </w:rPr>
        <w:tab/>
      </w:r>
      <w:r w:rsidR="00C259EF" w:rsidRPr="00302F56">
        <w:rPr>
          <w:rFonts w:ascii="Arial" w:hAnsi="Arial" w:cs="Arial"/>
          <w:sz w:val="24"/>
          <w:szCs w:val="24"/>
        </w:rPr>
        <w:t>After indicating in chambers that the open tender is not accepted, the plaintiff as well as Professor Cheadle w</w:t>
      </w:r>
      <w:r w:rsidR="00064D58" w:rsidRPr="00302F56">
        <w:rPr>
          <w:rFonts w:ascii="Arial" w:hAnsi="Arial" w:cs="Arial"/>
          <w:sz w:val="24"/>
          <w:szCs w:val="24"/>
        </w:rPr>
        <w:t>ere</w:t>
      </w:r>
      <w:r w:rsidR="00C259EF" w:rsidRPr="00302F56">
        <w:rPr>
          <w:rFonts w:ascii="Arial" w:hAnsi="Arial" w:cs="Arial"/>
          <w:sz w:val="24"/>
          <w:szCs w:val="24"/>
        </w:rPr>
        <w:t xml:space="preserve"> called to the witness stand but no further questions were posed to either of them in cross-examination.  During re-examination both witnesses re-affirmed their testimonies in chief. By agreement between the parties, the joint minutes of a pre-trial meeting held between Mr Chris Sampson (clinical psychologist) and Dr Stephen Walker (counselling psychologist) </w:t>
      </w:r>
      <w:r w:rsidR="00064D58" w:rsidRPr="00302F56">
        <w:rPr>
          <w:rFonts w:ascii="Arial" w:hAnsi="Arial" w:cs="Arial"/>
          <w:sz w:val="24"/>
          <w:szCs w:val="24"/>
        </w:rPr>
        <w:t xml:space="preserve">in respect of the plaintiff was submitted as evidence. </w:t>
      </w:r>
      <w:r w:rsidR="00443E00" w:rsidRPr="00302F56">
        <w:rPr>
          <w:rFonts w:ascii="Arial" w:hAnsi="Arial" w:cs="Arial"/>
          <w:sz w:val="24"/>
          <w:szCs w:val="24"/>
        </w:rPr>
        <w:t>Both t</w:t>
      </w:r>
      <w:r w:rsidR="00064D58" w:rsidRPr="00302F56">
        <w:rPr>
          <w:rFonts w:ascii="Arial" w:hAnsi="Arial" w:cs="Arial"/>
          <w:sz w:val="24"/>
          <w:szCs w:val="24"/>
        </w:rPr>
        <w:t xml:space="preserve">he plaintiff’s and Netcare’s cases were closed. The matter was postponed to the following day for argument. </w:t>
      </w:r>
    </w:p>
    <w:p w:rsidR="00064D58" w:rsidRPr="00302F56" w:rsidRDefault="00064D58" w:rsidP="000274C5">
      <w:pPr>
        <w:spacing w:before="120" w:after="120" w:line="360" w:lineRule="auto"/>
        <w:ind w:left="709" w:hanging="709"/>
        <w:jc w:val="both"/>
        <w:rPr>
          <w:rFonts w:ascii="Arial" w:hAnsi="Arial" w:cs="Arial"/>
          <w:sz w:val="24"/>
          <w:szCs w:val="24"/>
        </w:rPr>
      </w:pPr>
      <w:r w:rsidRPr="00302F56">
        <w:rPr>
          <w:rFonts w:ascii="Arial" w:hAnsi="Arial" w:cs="Arial"/>
          <w:sz w:val="24"/>
          <w:szCs w:val="24"/>
        </w:rPr>
        <w:t>[17]</w:t>
      </w:r>
      <w:r w:rsidRPr="00302F56">
        <w:rPr>
          <w:rFonts w:ascii="Arial" w:hAnsi="Arial" w:cs="Arial"/>
          <w:sz w:val="24"/>
          <w:szCs w:val="24"/>
        </w:rPr>
        <w:tab/>
      </w:r>
      <w:r w:rsidR="00972563" w:rsidRPr="00302F56">
        <w:rPr>
          <w:rFonts w:ascii="Arial" w:hAnsi="Arial" w:cs="Arial"/>
          <w:sz w:val="24"/>
          <w:szCs w:val="24"/>
        </w:rPr>
        <w:t>Mr Steyn</w:t>
      </w:r>
      <w:r w:rsidRPr="00302F56">
        <w:rPr>
          <w:rFonts w:ascii="Arial" w:hAnsi="Arial" w:cs="Arial"/>
          <w:sz w:val="24"/>
          <w:szCs w:val="24"/>
        </w:rPr>
        <w:t xml:space="preserve"> argued that the open tender brings to and end Netcare’s contesting of all but the apology relief sought by the plaintiff</w:t>
      </w:r>
      <w:r w:rsidR="00B84A7E" w:rsidRPr="00302F56">
        <w:rPr>
          <w:rFonts w:ascii="Arial" w:hAnsi="Arial" w:cs="Arial"/>
          <w:sz w:val="24"/>
          <w:szCs w:val="24"/>
        </w:rPr>
        <w:t xml:space="preserve">.  What remains for the court to decide is the following: </w:t>
      </w:r>
    </w:p>
    <w:p w:rsidR="00B84A7E" w:rsidRPr="00302F56" w:rsidRDefault="00B84A7E" w:rsidP="000274C5">
      <w:pPr>
        <w:spacing w:before="120" w:after="120" w:line="360" w:lineRule="auto"/>
        <w:ind w:left="709" w:hanging="709"/>
        <w:jc w:val="both"/>
        <w:rPr>
          <w:rFonts w:ascii="Arial" w:hAnsi="Arial" w:cs="Arial"/>
          <w:sz w:val="24"/>
          <w:szCs w:val="24"/>
        </w:rPr>
      </w:pPr>
      <w:r w:rsidRPr="00302F56">
        <w:rPr>
          <w:rFonts w:ascii="Arial" w:hAnsi="Arial" w:cs="Arial"/>
          <w:sz w:val="24"/>
          <w:szCs w:val="24"/>
        </w:rPr>
        <w:tab/>
        <w:t>17.1</w:t>
      </w:r>
      <w:r w:rsidRPr="00302F56">
        <w:rPr>
          <w:rFonts w:ascii="Arial" w:hAnsi="Arial" w:cs="Arial"/>
          <w:sz w:val="24"/>
          <w:szCs w:val="24"/>
        </w:rPr>
        <w:tab/>
        <w:t xml:space="preserve">Whether the plaintiff has made out a case for the relief relating to an apology; </w:t>
      </w:r>
      <w:r w:rsidRPr="00302F56">
        <w:rPr>
          <w:rFonts w:ascii="Arial" w:hAnsi="Arial" w:cs="Arial"/>
          <w:sz w:val="24"/>
          <w:szCs w:val="24"/>
        </w:rPr>
        <w:tab/>
      </w:r>
      <w:r w:rsidRPr="00302F56">
        <w:rPr>
          <w:rFonts w:ascii="Arial" w:hAnsi="Arial" w:cs="Arial"/>
          <w:sz w:val="24"/>
          <w:szCs w:val="24"/>
        </w:rPr>
        <w:tab/>
        <w:t>and</w:t>
      </w:r>
    </w:p>
    <w:p w:rsidR="00B84A7E" w:rsidRPr="00302F56" w:rsidRDefault="00B84A7E" w:rsidP="000274C5">
      <w:pPr>
        <w:spacing w:before="120" w:after="120" w:line="360" w:lineRule="auto"/>
        <w:ind w:left="709" w:hanging="709"/>
        <w:jc w:val="both"/>
        <w:rPr>
          <w:rFonts w:ascii="Arial" w:hAnsi="Arial" w:cs="Arial"/>
          <w:sz w:val="24"/>
          <w:szCs w:val="24"/>
        </w:rPr>
      </w:pPr>
      <w:r w:rsidRPr="00302F56">
        <w:rPr>
          <w:rFonts w:ascii="Arial" w:hAnsi="Arial" w:cs="Arial"/>
          <w:sz w:val="24"/>
          <w:szCs w:val="24"/>
        </w:rPr>
        <w:tab/>
        <w:t>17.2</w:t>
      </w:r>
      <w:r w:rsidRPr="00302F56">
        <w:rPr>
          <w:rFonts w:ascii="Arial" w:hAnsi="Arial" w:cs="Arial"/>
          <w:sz w:val="24"/>
          <w:szCs w:val="24"/>
        </w:rPr>
        <w:tab/>
        <w:t xml:space="preserve">the scale of costs to be awarded from the date of the settlement between the </w:t>
      </w:r>
      <w:r w:rsidRPr="00302F56">
        <w:rPr>
          <w:rFonts w:ascii="Arial" w:hAnsi="Arial" w:cs="Arial"/>
          <w:sz w:val="24"/>
          <w:szCs w:val="24"/>
        </w:rPr>
        <w:tab/>
      </w:r>
      <w:r w:rsidRPr="00302F56">
        <w:rPr>
          <w:rFonts w:ascii="Arial" w:hAnsi="Arial" w:cs="Arial"/>
          <w:sz w:val="24"/>
          <w:szCs w:val="24"/>
        </w:rPr>
        <w:tab/>
        <w:t>plaintiff and the first defendant.</w:t>
      </w:r>
    </w:p>
    <w:p w:rsidR="008F055F" w:rsidRPr="00302F56" w:rsidRDefault="00B84A7E" w:rsidP="000274C5">
      <w:pPr>
        <w:spacing w:before="120" w:after="120" w:line="360" w:lineRule="auto"/>
        <w:ind w:left="709" w:hanging="709"/>
        <w:jc w:val="both"/>
        <w:rPr>
          <w:rFonts w:ascii="Arial" w:hAnsi="Arial" w:cs="Arial"/>
          <w:sz w:val="24"/>
          <w:szCs w:val="24"/>
        </w:rPr>
      </w:pPr>
      <w:r w:rsidRPr="00302F56">
        <w:rPr>
          <w:rFonts w:ascii="Arial" w:hAnsi="Arial" w:cs="Arial"/>
          <w:sz w:val="24"/>
          <w:szCs w:val="24"/>
        </w:rPr>
        <w:t>[18]</w:t>
      </w:r>
      <w:r w:rsidRPr="00302F56">
        <w:rPr>
          <w:rFonts w:ascii="Arial" w:hAnsi="Arial" w:cs="Arial"/>
          <w:sz w:val="24"/>
          <w:szCs w:val="24"/>
        </w:rPr>
        <w:tab/>
      </w:r>
      <w:r w:rsidR="009316B8" w:rsidRPr="00302F56">
        <w:rPr>
          <w:rFonts w:ascii="Arial" w:hAnsi="Arial" w:cs="Arial"/>
          <w:sz w:val="24"/>
          <w:szCs w:val="24"/>
        </w:rPr>
        <w:tab/>
      </w:r>
      <w:r w:rsidR="009F1AE2" w:rsidRPr="00302F56">
        <w:rPr>
          <w:rFonts w:ascii="Arial" w:hAnsi="Arial" w:cs="Arial"/>
          <w:sz w:val="24"/>
          <w:szCs w:val="24"/>
        </w:rPr>
        <w:t xml:space="preserve">The </w:t>
      </w:r>
      <w:r w:rsidR="009F1AE2" w:rsidRPr="00302F56">
        <w:rPr>
          <w:rFonts w:ascii="Arial" w:hAnsi="Arial" w:cs="Arial"/>
          <w:i/>
          <w:sz w:val="24"/>
          <w:szCs w:val="24"/>
        </w:rPr>
        <w:t>actio iniuriarum</w:t>
      </w:r>
      <w:r w:rsidR="009F1AE2" w:rsidRPr="00302F56">
        <w:rPr>
          <w:rFonts w:ascii="Arial" w:hAnsi="Arial" w:cs="Arial"/>
          <w:sz w:val="24"/>
          <w:szCs w:val="24"/>
        </w:rPr>
        <w:t xml:space="preserve"> is available where an accountable defendant has wrongfully and intentionally (</w:t>
      </w:r>
      <w:r w:rsidR="009F1AE2" w:rsidRPr="00302F56">
        <w:rPr>
          <w:rFonts w:ascii="Arial" w:hAnsi="Arial" w:cs="Arial"/>
          <w:i/>
          <w:sz w:val="24"/>
          <w:szCs w:val="24"/>
        </w:rPr>
        <w:t>animo iniuriandi</w:t>
      </w:r>
      <w:r w:rsidR="009F1AE2" w:rsidRPr="00302F56">
        <w:rPr>
          <w:rFonts w:ascii="Arial" w:hAnsi="Arial" w:cs="Arial"/>
          <w:sz w:val="24"/>
          <w:szCs w:val="24"/>
        </w:rPr>
        <w:t>) injured the bodily integrity, dignity or reputation (</w:t>
      </w:r>
      <w:r w:rsidR="009F1AE2" w:rsidRPr="00302F56">
        <w:rPr>
          <w:rFonts w:ascii="Arial" w:hAnsi="Arial" w:cs="Arial"/>
          <w:i/>
          <w:sz w:val="24"/>
          <w:szCs w:val="24"/>
        </w:rPr>
        <w:t>corpus, dignitas</w:t>
      </w:r>
      <w:r w:rsidR="009F1AE2" w:rsidRPr="00302F56">
        <w:rPr>
          <w:rFonts w:ascii="Arial" w:hAnsi="Arial" w:cs="Arial"/>
          <w:sz w:val="24"/>
          <w:szCs w:val="24"/>
        </w:rPr>
        <w:t xml:space="preserve"> or</w:t>
      </w:r>
      <w:r w:rsidR="009F1AE2" w:rsidRPr="00302F56">
        <w:rPr>
          <w:rFonts w:ascii="Arial" w:hAnsi="Arial" w:cs="Arial"/>
          <w:i/>
          <w:sz w:val="24"/>
          <w:szCs w:val="24"/>
        </w:rPr>
        <w:t xml:space="preserve"> fama</w:t>
      </w:r>
      <w:r w:rsidR="009F1AE2" w:rsidRPr="00302F56">
        <w:rPr>
          <w:rFonts w:ascii="Arial" w:hAnsi="Arial" w:cs="Arial"/>
          <w:sz w:val="24"/>
          <w:szCs w:val="24"/>
        </w:rPr>
        <w:t>) of the plaintiff</w:t>
      </w:r>
      <w:r w:rsidR="009316B8" w:rsidRPr="00302F56">
        <w:rPr>
          <w:rFonts w:ascii="Arial" w:hAnsi="Arial" w:cs="Arial"/>
          <w:sz w:val="24"/>
          <w:szCs w:val="24"/>
        </w:rPr>
        <w:t>.</w:t>
      </w:r>
      <w:r w:rsidR="009F1AE2" w:rsidRPr="00302F56">
        <w:rPr>
          <w:rStyle w:val="FootnoteReference"/>
          <w:rFonts w:ascii="Arial" w:hAnsi="Arial" w:cs="Arial"/>
          <w:sz w:val="24"/>
          <w:szCs w:val="24"/>
        </w:rPr>
        <w:footnoteReference w:id="1"/>
      </w:r>
      <w:r w:rsidRPr="00302F56">
        <w:rPr>
          <w:rFonts w:ascii="Arial" w:hAnsi="Arial" w:cs="Arial"/>
          <w:sz w:val="20"/>
          <w:szCs w:val="20"/>
        </w:rPr>
        <w:tab/>
      </w:r>
      <w:r w:rsidR="00880B29" w:rsidRPr="00302F56">
        <w:rPr>
          <w:rFonts w:ascii="Arial" w:hAnsi="Arial" w:cs="Arial"/>
          <w:sz w:val="24"/>
          <w:szCs w:val="24"/>
        </w:rPr>
        <w:t xml:space="preserve">The </w:t>
      </w:r>
      <w:r w:rsidR="00302F56">
        <w:rPr>
          <w:rFonts w:ascii="Arial" w:hAnsi="Arial" w:cs="Arial"/>
          <w:i/>
          <w:sz w:val="24"/>
          <w:szCs w:val="24"/>
        </w:rPr>
        <w:t xml:space="preserve">action </w:t>
      </w:r>
      <w:r w:rsidR="00880B29" w:rsidRPr="00302F56">
        <w:rPr>
          <w:rFonts w:ascii="Arial" w:hAnsi="Arial" w:cs="Arial"/>
          <w:i/>
          <w:sz w:val="24"/>
          <w:szCs w:val="24"/>
        </w:rPr>
        <w:t xml:space="preserve">iniuriarum </w:t>
      </w:r>
      <w:r w:rsidR="00880B29" w:rsidRPr="00302F56">
        <w:rPr>
          <w:rFonts w:ascii="Arial" w:hAnsi="Arial" w:cs="Arial"/>
          <w:sz w:val="24"/>
          <w:szCs w:val="24"/>
        </w:rPr>
        <w:t xml:space="preserve">are utilised to claim </w:t>
      </w:r>
      <w:r w:rsidR="00880B29" w:rsidRPr="00302F56">
        <w:rPr>
          <w:rFonts w:ascii="Arial" w:hAnsi="Arial" w:cs="Arial"/>
          <w:sz w:val="24"/>
          <w:szCs w:val="24"/>
        </w:rPr>
        <w:lastRenderedPageBreak/>
        <w:t xml:space="preserve">compensation when dealing with multiple personality interest infringements. In </w:t>
      </w:r>
      <w:r w:rsidR="00880B29" w:rsidRPr="00302F56">
        <w:rPr>
          <w:rFonts w:ascii="Arial" w:hAnsi="Arial" w:cs="Arial"/>
          <w:b/>
          <w:sz w:val="24"/>
          <w:szCs w:val="24"/>
        </w:rPr>
        <w:t xml:space="preserve">Le Roux </w:t>
      </w:r>
      <w:r w:rsidR="00443E00" w:rsidRPr="00302F56">
        <w:rPr>
          <w:rFonts w:ascii="Arial" w:hAnsi="Arial" w:cs="Arial"/>
          <w:b/>
          <w:sz w:val="24"/>
          <w:szCs w:val="24"/>
        </w:rPr>
        <w:t xml:space="preserve">and Others </w:t>
      </w:r>
      <w:r w:rsidR="00880B29" w:rsidRPr="00302F56">
        <w:rPr>
          <w:rFonts w:ascii="Arial" w:hAnsi="Arial" w:cs="Arial"/>
          <w:b/>
          <w:sz w:val="24"/>
          <w:szCs w:val="24"/>
        </w:rPr>
        <w:t xml:space="preserve">v Dey </w:t>
      </w:r>
      <w:r w:rsidR="00020EEA" w:rsidRPr="00302F56">
        <w:rPr>
          <w:rFonts w:ascii="Arial" w:hAnsi="Arial" w:cs="Arial"/>
          <w:b/>
          <w:sz w:val="24"/>
          <w:szCs w:val="24"/>
        </w:rPr>
        <w:t>(Freedom of Expression Institute and Restorative Justice Centre as amici curiae)</w:t>
      </w:r>
      <w:r w:rsidR="00880B29" w:rsidRPr="00302F56">
        <w:rPr>
          <w:rFonts w:ascii="Arial" w:hAnsi="Arial" w:cs="Arial"/>
          <w:b/>
          <w:sz w:val="24"/>
          <w:szCs w:val="24"/>
        </w:rPr>
        <w:t xml:space="preserve"> </w:t>
      </w:r>
      <w:r w:rsidR="003B25A7" w:rsidRPr="00302F56">
        <w:rPr>
          <w:rFonts w:ascii="Arial" w:hAnsi="Arial" w:cs="Arial"/>
          <w:b/>
          <w:sz w:val="24"/>
          <w:szCs w:val="24"/>
        </w:rPr>
        <w:t xml:space="preserve"> </w:t>
      </w:r>
      <w:r w:rsidR="003B25A7" w:rsidRPr="00302F56">
        <w:rPr>
          <w:rFonts w:ascii="Arial" w:hAnsi="Arial" w:cs="Arial"/>
          <w:sz w:val="24"/>
          <w:szCs w:val="24"/>
        </w:rPr>
        <w:t xml:space="preserve">the majority as penned by Brand AJ, held that the same conduct cannot give rise to two actions under the </w:t>
      </w:r>
      <w:r w:rsidR="003B25A7" w:rsidRPr="00302F56">
        <w:rPr>
          <w:rFonts w:ascii="Arial" w:hAnsi="Arial" w:cs="Arial"/>
          <w:i/>
          <w:sz w:val="24"/>
          <w:szCs w:val="24"/>
        </w:rPr>
        <w:t xml:space="preserve">actio iniuriarum </w:t>
      </w:r>
      <w:r w:rsidR="003B25A7" w:rsidRPr="00302F56">
        <w:rPr>
          <w:rFonts w:ascii="Arial" w:hAnsi="Arial" w:cs="Arial"/>
          <w:sz w:val="24"/>
          <w:szCs w:val="24"/>
        </w:rPr>
        <w:t>and as the plaintiff’s defamation claim</w:t>
      </w:r>
      <w:r w:rsidR="007478D0" w:rsidRPr="00302F56">
        <w:rPr>
          <w:rFonts w:ascii="Arial" w:hAnsi="Arial" w:cs="Arial"/>
          <w:sz w:val="24"/>
          <w:szCs w:val="24"/>
        </w:rPr>
        <w:t xml:space="preserve"> in </w:t>
      </w:r>
      <w:r w:rsidR="007478D0" w:rsidRPr="00302F56">
        <w:rPr>
          <w:rFonts w:ascii="Arial" w:hAnsi="Arial" w:cs="Arial"/>
          <w:b/>
          <w:sz w:val="24"/>
          <w:szCs w:val="24"/>
        </w:rPr>
        <w:t>Roux v Dey</w:t>
      </w:r>
      <w:r w:rsidR="007478D0" w:rsidRPr="00302F56">
        <w:rPr>
          <w:rFonts w:ascii="Arial" w:hAnsi="Arial" w:cs="Arial"/>
          <w:sz w:val="24"/>
          <w:szCs w:val="24"/>
        </w:rPr>
        <w:t xml:space="preserve"> </w:t>
      </w:r>
      <w:r w:rsidR="003B25A7" w:rsidRPr="00302F56">
        <w:rPr>
          <w:rFonts w:ascii="Arial" w:hAnsi="Arial" w:cs="Arial"/>
          <w:sz w:val="24"/>
          <w:szCs w:val="24"/>
        </w:rPr>
        <w:t>succeeded, a claim for the wrongful and intentional impairment of the plaintiff’s dignity had to fail.</w:t>
      </w:r>
      <w:r w:rsidR="003B25A7" w:rsidRPr="00302F56">
        <w:rPr>
          <w:rStyle w:val="FootnoteReference"/>
          <w:rFonts w:ascii="Arial" w:hAnsi="Arial" w:cs="Arial"/>
          <w:sz w:val="24"/>
          <w:szCs w:val="24"/>
        </w:rPr>
        <w:footnoteReference w:id="2"/>
      </w:r>
      <w:r w:rsidR="003B25A7" w:rsidRPr="00302F56">
        <w:rPr>
          <w:rFonts w:ascii="Arial" w:hAnsi="Arial" w:cs="Arial"/>
          <w:sz w:val="24"/>
          <w:szCs w:val="24"/>
        </w:rPr>
        <w:t xml:space="preserve"> </w:t>
      </w:r>
      <w:r w:rsidR="00880B29" w:rsidRPr="00302F56">
        <w:rPr>
          <w:rFonts w:ascii="Arial" w:hAnsi="Arial" w:cs="Arial"/>
          <w:sz w:val="24"/>
          <w:szCs w:val="24"/>
        </w:rPr>
        <w:t xml:space="preserve"> </w:t>
      </w:r>
    </w:p>
    <w:p w:rsidR="00B84A7E" w:rsidRPr="00302F56" w:rsidRDefault="008F055F" w:rsidP="000274C5">
      <w:pPr>
        <w:spacing w:before="120" w:after="120" w:line="360" w:lineRule="auto"/>
        <w:ind w:left="709" w:hanging="709"/>
        <w:jc w:val="both"/>
        <w:rPr>
          <w:rFonts w:ascii="Arial" w:hAnsi="Arial" w:cs="Arial"/>
          <w:sz w:val="24"/>
          <w:szCs w:val="24"/>
        </w:rPr>
      </w:pPr>
      <w:r w:rsidRPr="00302F56">
        <w:rPr>
          <w:rFonts w:ascii="Arial" w:hAnsi="Arial" w:cs="Arial"/>
          <w:sz w:val="24"/>
          <w:szCs w:val="24"/>
        </w:rPr>
        <w:t>[19]</w:t>
      </w:r>
      <w:r w:rsidRPr="00302F56">
        <w:rPr>
          <w:rFonts w:ascii="Arial" w:hAnsi="Arial" w:cs="Arial"/>
          <w:sz w:val="24"/>
          <w:szCs w:val="24"/>
        </w:rPr>
        <w:tab/>
      </w:r>
      <w:r w:rsidR="00880B29" w:rsidRPr="00302F56">
        <w:rPr>
          <w:rFonts w:ascii="Arial" w:hAnsi="Arial" w:cs="Arial"/>
          <w:sz w:val="24"/>
          <w:szCs w:val="24"/>
        </w:rPr>
        <w:t xml:space="preserve">In the matter at hand the </w:t>
      </w:r>
      <w:r w:rsidR="003B25A7" w:rsidRPr="00302F56">
        <w:rPr>
          <w:rFonts w:ascii="Arial" w:hAnsi="Arial" w:cs="Arial"/>
          <w:sz w:val="24"/>
          <w:szCs w:val="24"/>
        </w:rPr>
        <w:t>plaintiff</w:t>
      </w:r>
      <w:r w:rsidR="00C1235E" w:rsidRPr="00302F56">
        <w:rPr>
          <w:rFonts w:ascii="Arial" w:hAnsi="Arial" w:cs="Arial"/>
          <w:sz w:val="24"/>
          <w:szCs w:val="24"/>
        </w:rPr>
        <w:t xml:space="preserve">’s claim against Dr Grobler was for damages for defamation as a consequence of the verbal abuse, hurling of profanities and insults </w:t>
      </w:r>
      <w:r w:rsidR="00F75152" w:rsidRPr="00302F56">
        <w:rPr>
          <w:rFonts w:ascii="Arial" w:hAnsi="Arial" w:cs="Arial"/>
          <w:sz w:val="24"/>
          <w:szCs w:val="24"/>
        </w:rPr>
        <w:t xml:space="preserve">at the plaintiff </w:t>
      </w:r>
      <w:r w:rsidR="00C1235E" w:rsidRPr="00302F56">
        <w:rPr>
          <w:rFonts w:ascii="Arial" w:hAnsi="Arial" w:cs="Arial"/>
          <w:sz w:val="24"/>
          <w:szCs w:val="24"/>
        </w:rPr>
        <w:t>during the period 2005 unti</w:t>
      </w:r>
      <w:r w:rsidR="00F75152" w:rsidRPr="00302F56">
        <w:rPr>
          <w:rFonts w:ascii="Arial" w:hAnsi="Arial" w:cs="Arial"/>
          <w:sz w:val="24"/>
          <w:szCs w:val="24"/>
        </w:rPr>
        <w:t>l</w:t>
      </w:r>
      <w:r w:rsidR="00C1235E" w:rsidRPr="00302F56">
        <w:rPr>
          <w:rFonts w:ascii="Arial" w:hAnsi="Arial" w:cs="Arial"/>
          <w:sz w:val="24"/>
          <w:szCs w:val="24"/>
        </w:rPr>
        <w:t xml:space="preserve"> 201</w:t>
      </w:r>
      <w:r w:rsidR="00443E00" w:rsidRPr="00302F56">
        <w:rPr>
          <w:rFonts w:ascii="Arial" w:hAnsi="Arial" w:cs="Arial"/>
          <w:sz w:val="24"/>
          <w:szCs w:val="24"/>
        </w:rPr>
        <w:t>6</w:t>
      </w:r>
      <w:r w:rsidR="00F75152" w:rsidRPr="00302F56">
        <w:rPr>
          <w:rFonts w:ascii="Arial" w:hAnsi="Arial" w:cs="Arial"/>
          <w:sz w:val="24"/>
          <w:szCs w:val="24"/>
        </w:rPr>
        <w:t>. The claim against Netcare is not based upon the same conduct by Dr Grobler, but</w:t>
      </w:r>
      <w:r w:rsidR="007478D0" w:rsidRPr="00302F56">
        <w:rPr>
          <w:rFonts w:ascii="Arial" w:hAnsi="Arial" w:cs="Arial"/>
          <w:sz w:val="24"/>
          <w:szCs w:val="24"/>
        </w:rPr>
        <w:t xml:space="preserve">, </w:t>
      </w:r>
      <w:r w:rsidR="007478D0" w:rsidRPr="00302F56">
        <w:rPr>
          <w:rFonts w:ascii="Arial" w:hAnsi="Arial" w:cs="Arial"/>
          <w:i/>
          <w:sz w:val="24"/>
          <w:szCs w:val="24"/>
        </w:rPr>
        <w:t>inter alia</w:t>
      </w:r>
      <w:r w:rsidR="007478D0" w:rsidRPr="00302F56">
        <w:rPr>
          <w:rFonts w:ascii="Arial" w:hAnsi="Arial" w:cs="Arial"/>
          <w:sz w:val="24"/>
          <w:szCs w:val="24"/>
        </w:rPr>
        <w:t>,</w:t>
      </w:r>
      <w:r w:rsidR="00F75152" w:rsidRPr="00302F56">
        <w:rPr>
          <w:rFonts w:ascii="Arial" w:hAnsi="Arial" w:cs="Arial"/>
          <w:sz w:val="24"/>
          <w:szCs w:val="24"/>
        </w:rPr>
        <w:t xml:space="preserve"> as a result of the failure of Netcare to deal with the </w:t>
      </w:r>
      <w:r w:rsidR="005B1DC7" w:rsidRPr="00302F56">
        <w:rPr>
          <w:rFonts w:ascii="Arial" w:hAnsi="Arial" w:cs="Arial"/>
          <w:sz w:val="24"/>
          <w:szCs w:val="24"/>
        </w:rPr>
        <w:t>complaints</w:t>
      </w:r>
      <w:r w:rsidR="00F75152" w:rsidRPr="00302F56">
        <w:rPr>
          <w:rFonts w:ascii="Arial" w:hAnsi="Arial" w:cs="Arial"/>
          <w:sz w:val="24"/>
          <w:szCs w:val="24"/>
        </w:rPr>
        <w:t xml:space="preserve"> of verbal abuse, the failure to create a working environment in which its employees w</w:t>
      </w:r>
      <w:r w:rsidR="005B1DC7" w:rsidRPr="00302F56">
        <w:rPr>
          <w:rFonts w:ascii="Arial" w:hAnsi="Arial" w:cs="Arial"/>
          <w:sz w:val="24"/>
          <w:szCs w:val="24"/>
        </w:rPr>
        <w:t>ere</w:t>
      </w:r>
      <w:r w:rsidR="00F75152" w:rsidRPr="00302F56">
        <w:rPr>
          <w:rFonts w:ascii="Arial" w:hAnsi="Arial" w:cs="Arial"/>
          <w:sz w:val="24"/>
          <w:szCs w:val="24"/>
        </w:rPr>
        <w:t xml:space="preserve"> not subjected to verbal abuse</w:t>
      </w:r>
      <w:r w:rsidR="007478D0" w:rsidRPr="00302F56">
        <w:rPr>
          <w:rFonts w:ascii="Arial" w:hAnsi="Arial" w:cs="Arial"/>
          <w:sz w:val="24"/>
          <w:szCs w:val="24"/>
        </w:rPr>
        <w:t xml:space="preserve">, </w:t>
      </w:r>
      <w:r w:rsidR="00F75152" w:rsidRPr="00302F56">
        <w:rPr>
          <w:rFonts w:ascii="Arial" w:hAnsi="Arial" w:cs="Arial"/>
          <w:sz w:val="24"/>
          <w:szCs w:val="24"/>
        </w:rPr>
        <w:t>humiliating and degrading conduct</w:t>
      </w:r>
      <w:r w:rsidR="005C6F29" w:rsidRPr="00302F56">
        <w:rPr>
          <w:rFonts w:ascii="Arial" w:hAnsi="Arial" w:cs="Arial"/>
          <w:sz w:val="24"/>
          <w:szCs w:val="24"/>
        </w:rPr>
        <w:t>.</w:t>
      </w:r>
      <w:r w:rsidR="00896C32" w:rsidRPr="00302F56">
        <w:rPr>
          <w:rFonts w:ascii="Arial" w:hAnsi="Arial" w:cs="Arial"/>
          <w:sz w:val="24"/>
          <w:szCs w:val="24"/>
        </w:rPr>
        <w:t xml:space="preserve"> </w:t>
      </w:r>
      <w:r w:rsidR="00972563" w:rsidRPr="00302F56">
        <w:rPr>
          <w:rFonts w:ascii="Arial" w:hAnsi="Arial" w:cs="Arial"/>
          <w:sz w:val="24"/>
          <w:szCs w:val="24"/>
        </w:rPr>
        <w:t>Mr Steyn</w:t>
      </w:r>
      <w:r w:rsidR="00896C32" w:rsidRPr="00302F56">
        <w:rPr>
          <w:rFonts w:ascii="Arial" w:hAnsi="Arial" w:cs="Arial"/>
          <w:sz w:val="24"/>
          <w:szCs w:val="24"/>
        </w:rPr>
        <w:t xml:space="preserve"> argued that Dr Grobler and Netcare are not joint wrongdoers. They each committed a separate and self-standing delict against the </w:t>
      </w:r>
      <w:r w:rsidR="00DF1654" w:rsidRPr="00302F56">
        <w:rPr>
          <w:rFonts w:ascii="Arial" w:hAnsi="Arial" w:cs="Arial"/>
          <w:sz w:val="24"/>
          <w:szCs w:val="24"/>
        </w:rPr>
        <w:t>plaintiff.</w:t>
      </w:r>
      <w:r w:rsidR="00F75152" w:rsidRPr="00302F56">
        <w:rPr>
          <w:rFonts w:ascii="Arial" w:hAnsi="Arial" w:cs="Arial"/>
          <w:sz w:val="24"/>
          <w:szCs w:val="24"/>
        </w:rPr>
        <w:t xml:space="preserve"> </w:t>
      </w:r>
      <w:r w:rsidR="00FB3D94" w:rsidRPr="00302F56">
        <w:rPr>
          <w:rFonts w:ascii="Arial" w:hAnsi="Arial" w:cs="Arial"/>
          <w:sz w:val="24"/>
          <w:szCs w:val="24"/>
        </w:rPr>
        <w:t xml:space="preserve">If infringements of more than one personality interests are proved to be present, </w:t>
      </w:r>
      <w:r w:rsidR="00896C32" w:rsidRPr="00302F56">
        <w:rPr>
          <w:rFonts w:ascii="Arial" w:hAnsi="Arial" w:cs="Arial"/>
          <w:sz w:val="24"/>
          <w:szCs w:val="24"/>
        </w:rPr>
        <w:t>it has to be considered as a factor when determining damages.</w:t>
      </w:r>
      <w:r w:rsidR="00896C32" w:rsidRPr="00302F56">
        <w:rPr>
          <w:rStyle w:val="FootnoteReference"/>
          <w:rFonts w:ascii="Arial" w:hAnsi="Arial" w:cs="Arial"/>
          <w:sz w:val="24"/>
          <w:szCs w:val="24"/>
        </w:rPr>
        <w:footnoteReference w:id="3"/>
      </w:r>
    </w:p>
    <w:p w:rsidR="000E3698" w:rsidRPr="00302F56" w:rsidRDefault="00F75152" w:rsidP="000274C5">
      <w:pPr>
        <w:spacing w:before="120" w:after="120" w:line="360" w:lineRule="auto"/>
        <w:ind w:left="709" w:hanging="709"/>
        <w:jc w:val="both"/>
        <w:rPr>
          <w:rFonts w:ascii="Arial" w:hAnsi="Arial" w:cs="Arial"/>
          <w:sz w:val="24"/>
          <w:szCs w:val="24"/>
        </w:rPr>
      </w:pPr>
      <w:r w:rsidRPr="00302F56">
        <w:rPr>
          <w:rFonts w:ascii="Arial" w:hAnsi="Arial" w:cs="Arial"/>
          <w:sz w:val="24"/>
          <w:szCs w:val="24"/>
        </w:rPr>
        <w:t>[20]</w:t>
      </w:r>
      <w:r w:rsidRPr="00302F56">
        <w:rPr>
          <w:rFonts w:ascii="Arial" w:hAnsi="Arial" w:cs="Arial"/>
          <w:sz w:val="24"/>
          <w:szCs w:val="24"/>
        </w:rPr>
        <w:tab/>
      </w:r>
      <w:r w:rsidR="007478D0" w:rsidRPr="00302F56">
        <w:rPr>
          <w:rFonts w:ascii="Arial" w:hAnsi="Arial" w:cs="Arial"/>
          <w:sz w:val="24"/>
          <w:szCs w:val="24"/>
        </w:rPr>
        <w:t xml:space="preserve">The right to dignity is recognised as an independent personality right within the concept of </w:t>
      </w:r>
      <w:r w:rsidR="007478D0" w:rsidRPr="00302F56">
        <w:rPr>
          <w:rFonts w:ascii="Arial" w:hAnsi="Arial" w:cs="Arial"/>
          <w:i/>
          <w:sz w:val="24"/>
          <w:szCs w:val="24"/>
        </w:rPr>
        <w:t>dignitas</w:t>
      </w:r>
      <w:r w:rsidR="007478D0" w:rsidRPr="00302F56">
        <w:rPr>
          <w:rFonts w:ascii="Arial" w:hAnsi="Arial" w:cs="Arial"/>
          <w:sz w:val="24"/>
          <w:szCs w:val="24"/>
        </w:rPr>
        <w:t>.</w:t>
      </w:r>
      <w:r w:rsidR="007478D0" w:rsidRPr="00302F56">
        <w:rPr>
          <w:rStyle w:val="FootnoteReference"/>
          <w:rFonts w:ascii="Arial" w:hAnsi="Arial" w:cs="Arial"/>
          <w:sz w:val="24"/>
          <w:szCs w:val="24"/>
        </w:rPr>
        <w:footnoteReference w:id="4"/>
      </w:r>
      <w:r w:rsidR="007478D0" w:rsidRPr="00302F56">
        <w:rPr>
          <w:rFonts w:ascii="Arial" w:hAnsi="Arial" w:cs="Arial"/>
          <w:sz w:val="24"/>
          <w:szCs w:val="24"/>
        </w:rPr>
        <w:t xml:space="preserve"> The right to human dignity is also recognised as a fundamental right in section 10 of the Constitution.</w:t>
      </w:r>
      <w:r w:rsidR="000E3698" w:rsidRPr="00302F56">
        <w:rPr>
          <w:rFonts w:ascii="Arial" w:hAnsi="Arial" w:cs="Arial"/>
          <w:sz w:val="24"/>
          <w:szCs w:val="24"/>
        </w:rPr>
        <w:t xml:space="preserve"> A person’s dignity embraces his or her subjective feelings of dignity or self-respect.  In </w:t>
      </w:r>
      <w:r w:rsidR="000E3698" w:rsidRPr="00302F56">
        <w:rPr>
          <w:rFonts w:ascii="Arial" w:hAnsi="Arial" w:cs="Arial"/>
          <w:b/>
          <w:sz w:val="24"/>
          <w:szCs w:val="24"/>
        </w:rPr>
        <w:t>Khumalo v Holomisa</w:t>
      </w:r>
      <w:r w:rsidR="000E3698" w:rsidRPr="00302F56">
        <w:rPr>
          <w:rStyle w:val="FootnoteReference"/>
          <w:rFonts w:ascii="Arial" w:hAnsi="Arial" w:cs="Arial"/>
          <w:sz w:val="24"/>
          <w:szCs w:val="24"/>
        </w:rPr>
        <w:footnoteReference w:id="5"/>
      </w:r>
      <w:r w:rsidR="000E3698" w:rsidRPr="00302F56">
        <w:rPr>
          <w:rFonts w:ascii="Arial" w:hAnsi="Arial" w:cs="Arial"/>
          <w:b/>
          <w:sz w:val="24"/>
          <w:szCs w:val="24"/>
        </w:rPr>
        <w:t xml:space="preserve"> </w:t>
      </w:r>
      <w:r w:rsidR="000E3698" w:rsidRPr="00302F56">
        <w:rPr>
          <w:rFonts w:ascii="Arial" w:hAnsi="Arial" w:cs="Arial"/>
          <w:sz w:val="24"/>
          <w:szCs w:val="24"/>
        </w:rPr>
        <w:t xml:space="preserve">the court held as follows regarding the different forms of </w:t>
      </w:r>
      <w:r w:rsidR="000E3698" w:rsidRPr="00302F56">
        <w:rPr>
          <w:rFonts w:ascii="Arial" w:hAnsi="Arial" w:cs="Arial"/>
          <w:i/>
          <w:sz w:val="24"/>
          <w:szCs w:val="24"/>
        </w:rPr>
        <w:t>iniuria</w:t>
      </w:r>
      <w:r w:rsidR="000E3698" w:rsidRPr="00302F56">
        <w:rPr>
          <w:rFonts w:ascii="Arial" w:hAnsi="Arial" w:cs="Arial"/>
          <w:sz w:val="24"/>
          <w:szCs w:val="24"/>
        </w:rPr>
        <w:t xml:space="preserve"> from the point of view of the impact of the Constitution:</w:t>
      </w:r>
    </w:p>
    <w:p w:rsidR="002A37AD" w:rsidRPr="00302F56" w:rsidRDefault="000E3698" w:rsidP="000274C5">
      <w:pPr>
        <w:spacing w:before="120" w:after="120" w:line="360" w:lineRule="auto"/>
        <w:ind w:left="709" w:hanging="709"/>
        <w:jc w:val="both"/>
        <w:rPr>
          <w:rFonts w:ascii="Arial" w:hAnsi="Arial" w:cs="Arial"/>
          <w:sz w:val="20"/>
          <w:szCs w:val="20"/>
        </w:rPr>
      </w:pPr>
      <w:r w:rsidRPr="00302F56">
        <w:rPr>
          <w:rFonts w:ascii="Arial" w:hAnsi="Arial" w:cs="Arial"/>
          <w:sz w:val="24"/>
          <w:szCs w:val="24"/>
        </w:rPr>
        <w:tab/>
        <w:t>“</w:t>
      </w:r>
      <w:r w:rsidRPr="00302F56">
        <w:rPr>
          <w:rFonts w:ascii="Arial" w:hAnsi="Arial" w:cs="Arial"/>
          <w:sz w:val="20"/>
          <w:szCs w:val="20"/>
        </w:rPr>
        <w:t xml:space="preserve">The value of human dignity in our Constitution </w:t>
      </w:r>
      <w:r w:rsidR="00D930A4" w:rsidRPr="00302F56">
        <w:rPr>
          <w:rFonts w:ascii="Arial" w:hAnsi="Arial" w:cs="Arial"/>
          <w:sz w:val="20"/>
          <w:szCs w:val="20"/>
        </w:rPr>
        <w:t>is not only concerned with an individual’s sense of self-worth, but constitutes an affirmation of the worth of human beings in our society.  It includes the intrinsic worth of human beings shared by all people as well as the individual reputation of each person built upon his or her own individual achievements.  The value of human dignity in our Constitution therefore values both the personal sense of self-worth as well as the public’s estimation of the worth or value of an individual.”</w:t>
      </w:r>
      <w:r w:rsidR="00D930A4" w:rsidRPr="00302F56">
        <w:rPr>
          <w:rStyle w:val="FootnoteReference"/>
          <w:rFonts w:ascii="Arial" w:hAnsi="Arial" w:cs="Arial"/>
          <w:sz w:val="20"/>
          <w:szCs w:val="20"/>
        </w:rPr>
        <w:footnoteReference w:id="6"/>
      </w:r>
    </w:p>
    <w:p w:rsidR="00D930A4" w:rsidRPr="00302F56" w:rsidRDefault="00FB3D94" w:rsidP="000274C5">
      <w:pPr>
        <w:spacing w:before="120" w:after="120" w:line="360" w:lineRule="auto"/>
        <w:ind w:left="709" w:hanging="709"/>
        <w:jc w:val="both"/>
        <w:rPr>
          <w:rFonts w:ascii="Arial" w:hAnsi="Arial" w:cs="Arial"/>
          <w:sz w:val="24"/>
          <w:szCs w:val="24"/>
        </w:rPr>
      </w:pPr>
      <w:r w:rsidRPr="00302F56">
        <w:rPr>
          <w:rFonts w:ascii="Arial" w:hAnsi="Arial" w:cs="Arial"/>
          <w:sz w:val="24"/>
          <w:szCs w:val="24"/>
        </w:rPr>
        <w:lastRenderedPageBreak/>
        <w:t>[21]</w:t>
      </w:r>
      <w:r w:rsidRPr="00302F56">
        <w:rPr>
          <w:rFonts w:ascii="Arial" w:hAnsi="Arial" w:cs="Arial"/>
          <w:sz w:val="24"/>
          <w:szCs w:val="24"/>
        </w:rPr>
        <w:tab/>
      </w:r>
      <w:r w:rsidR="00DF1654" w:rsidRPr="00302F56">
        <w:rPr>
          <w:rFonts w:ascii="Arial" w:hAnsi="Arial" w:cs="Arial"/>
          <w:sz w:val="24"/>
          <w:szCs w:val="24"/>
        </w:rPr>
        <w:t xml:space="preserve">On behalf of the plaintiff it </w:t>
      </w:r>
      <w:r w:rsidR="005C6F29" w:rsidRPr="00302F56">
        <w:rPr>
          <w:rFonts w:ascii="Arial" w:hAnsi="Arial" w:cs="Arial"/>
          <w:sz w:val="24"/>
          <w:szCs w:val="24"/>
        </w:rPr>
        <w:t>i</w:t>
      </w:r>
      <w:r w:rsidR="00DF1654" w:rsidRPr="00302F56">
        <w:rPr>
          <w:rFonts w:ascii="Arial" w:hAnsi="Arial" w:cs="Arial"/>
          <w:sz w:val="24"/>
          <w:szCs w:val="24"/>
        </w:rPr>
        <w:t xml:space="preserve">s contended that the claim for a published apology follows from the rekindling of such remedy by the Constitutional Court in </w:t>
      </w:r>
      <w:r w:rsidR="00DF1654" w:rsidRPr="00302F56">
        <w:rPr>
          <w:rFonts w:ascii="Arial" w:hAnsi="Arial" w:cs="Arial"/>
          <w:b/>
          <w:sz w:val="24"/>
          <w:szCs w:val="24"/>
        </w:rPr>
        <w:t>Le Roux v Dey</w:t>
      </w:r>
      <w:r w:rsidR="00DF1654" w:rsidRPr="00302F56">
        <w:rPr>
          <w:rFonts w:ascii="Arial" w:hAnsi="Arial" w:cs="Arial"/>
          <w:sz w:val="24"/>
          <w:szCs w:val="24"/>
        </w:rPr>
        <w:t xml:space="preserve">. </w:t>
      </w:r>
      <w:r w:rsidR="00BE347A" w:rsidRPr="00302F56">
        <w:rPr>
          <w:rFonts w:ascii="Arial" w:hAnsi="Arial" w:cs="Arial"/>
          <w:sz w:val="24"/>
          <w:szCs w:val="24"/>
        </w:rPr>
        <w:t xml:space="preserve">Netcare maintains that the publication of an apology is unjustified in the circumstances as the plaintiff’s case revolved exclusively on the injuries suffered by her self-esteem and self-worth (which reflects inwardly), and not her good name or reputation as perceived by the general public at large (or the reasonable observer). </w:t>
      </w:r>
      <w:r w:rsidR="00AC3756" w:rsidRPr="00302F56">
        <w:rPr>
          <w:rFonts w:ascii="Arial" w:hAnsi="Arial" w:cs="Arial"/>
          <w:sz w:val="24"/>
          <w:szCs w:val="24"/>
        </w:rPr>
        <w:t>Netcare contend</w:t>
      </w:r>
      <w:r w:rsidR="005C6F29" w:rsidRPr="00302F56">
        <w:rPr>
          <w:rFonts w:ascii="Arial" w:hAnsi="Arial" w:cs="Arial"/>
          <w:sz w:val="24"/>
          <w:szCs w:val="24"/>
        </w:rPr>
        <w:t>s</w:t>
      </w:r>
      <w:r w:rsidR="00AC3756" w:rsidRPr="00302F56">
        <w:rPr>
          <w:rFonts w:ascii="Arial" w:hAnsi="Arial" w:cs="Arial"/>
          <w:sz w:val="24"/>
          <w:szCs w:val="24"/>
        </w:rPr>
        <w:t xml:space="preserve"> that the guidance to be obtained in case law all pertain to an apology following upon a finding in defamation claims. Netcare did not publish any injurious actions or omissions and the plaintiff, on her own version, presented evidence regarding the profanities hurled at her personally by Dr Grobler. Therefore, the publication of an apology by Netcare is simply not borne out of the facts of this case. </w:t>
      </w:r>
    </w:p>
    <w:p w:rsidR="008F055F" w:rsidRPr="00302F56" w:rsidRDefault="00B36067" w:rsidP="008F055F">
      <w:pPr>
        <w:spacing w:line="360" w:lineRule="auto"/>
        <w:ind w:left="709" w:hanging="709"/>
        <w:jc w:val="both"/>
        <w:rPr>
          <w:rFonts w:ascii="Arial" w:hAnsi="Arial" w:cs="Arial"/>
          <w:sz w:val="24"/>
          <w:szCs w:val="24"/>
        </w:rPr>
      </w:pPr>
      <w:r w:rsidRPr="00302F56">
        <w:rPr>
          <w:rFonts w:ascii="Arial" w:hAnsi="Arial" w:cs="Arial"/>
          <w:sz w:val="24"/>
          <w:szCs w:val="24"/>
        </w:rPr>
        <w:t>[22]</w:t>
      </w:r>
      <w:r w:rsidRPr="00302F56">
        <w:rPr>
          <w:rFonts w:ascii="Arial" w:hAnsi="Arial" w:cs="Arial"/>
          <w:sz w:val="24"/>
          <w:szCs w:val="24"/>
        </w:rPr>
        <w:tab/>
      </w:r>
      <w:r w:rsidR="008F055F" w:rsidRPr="00302F56">
        <w:rPr>
          <w:rFonts w:ascii="Arial" w:hAnsi="Arial" w:cs="Arial"/>
          <w:sz w:val="24"/>
          <w:szCs w:val="24"/>
        </w:rPr>
        <w:tab/>
        <w:t>Plaintiff testified that she witnessed and experienced numerous incidents when Dr Grobler uttered the profanities stated in the particulars of claim, not only directed towards her b</w:t>
      </w:r>
      <w:r w:rsidR="005C6F29" w:rsidRPr="00302F56">
        <w:rPr>
          <w:rFonts w:ascii="Arial" w:hAnsi="Arial" w:cs="Arial"/>
          <w:sz w:val="24"/>
          <w:szCs w:val="24"/>
        </w:rPr>
        <w:t>ut</w:t>
      </w:r>
      <w:r w:rsidR="008F055F" w:rsidRPr="00302F56">
        <w:rPr>
          <w:rFonts w:ascii="Arial" w:hAnsi="Arial" w:cs="Arial"/>
          <w:sz w:val="24"/>
          <w:szCs w:val="24"/>
        </w:rPr>
        <w:t xml:space="preserve"> also </w:t>
      </w:r>
      <w:r w:rsidR="001B1D29" w:rsidRPr="00302F56">
        <w:rPr>
          <w:rFonts w:ascii="Arial" w:hAnsi="Arial" w:cs="Arial"/>
          <w:sz w:val="24"/>
          <w:szCs w:val="24"/>
        </w:rPr>
        <w:t>towards other</w:t>
      </w:r>
      <w:r w:rsidR="008F055F" w:rsidRPr="00302F56">
        <w:rPr>
          <w:rFonts w:ascii="Arial" w:hAnsi="Arial" w:cs="Arial"/>
          <w:sz w:val="24"/>
          <w:szCs w:val="24"/>
        </w:rPr>
        <w:t xml:space="preserve"> staff members</w:t>
      </w:r>
      <w:r w:rsidR="001B1D29" w:rsidRPr="00302F56">
        <w:rPr>
          <w:rFonts w:ascii="Arial" w:hAnsi="Arial" w:cs="Arial"/>
          <w:sz w:val="24"/>
          <w:szCs w:val="24"/>
        </w:rPr>
        <w:t>. T</w:t>
      </w:r>
      <w:r w:rsidR="008F055F" w:rsidRPr="00302F56">
        <w:rPr>
          <w:rFonts w:ascii="Arial" w:hAnsi="Arial" w:cs="Arial"/>
          <w:sz w:val="24"/>
          <w:szCs w:val="24"/>
        </w:rPr>
        <w:t>hereafter she handled the complaints submitted by the staff members regarding his conduct. She forwarded the complaints to her senior</w:t>
      </w:r>
      <w:r w:rsidR="001B1D29" w:rsidRPr="00302F56">
        <w:rPr>
          <w:rFonts w:ascii="Arial" w:hAnsi="Arial" w:cs="Arial"/>
          <w:sz w:val="24"/>
          <w:szCs w:val="24"/>
        </w:rPr>
        <w:t xml:space="preserve"> employee</w:t>
      </w:r>
      <w:r w:rsidR="008F055F" w:rsidRPr="00302F56">
        <w:rPr>
          <w:rFonts w:ascii="Arial" w:hAnsi="Arial" w:cs="Arial"/>
          <w:sz w:val="24"/>
          <w:szCs w:val="24"/>
        </w:rPr>
        <w:t xml:space="preserve">s at Netcare. According to the plaintiff, the complaints remained largely unanswered. The plaintiff explained that several of the scrub </w:t>
      </w:r>
      <w:r w:rsidR="001B1D29" w:rsidRPr="00302F56">
        <w:rPr>
          <w:rFonts w:ascii="Arial" w:hAnsi="Arial" w:cs="Arial"/>
          <w:sz w:val="24"/>
          <w:szCs w:val="24"/>
        </w:rPr>
        <w:t>nurses</w:t>
      </w:r>
      <w:r w:rsidR="008F055F" w:rsidRPr="00302F56">
        <w:rPr>
          <w:rFonts w:ascii="Arial" w:hAnsi="Arial" w:cs="Arial"/>
          <w:sz w:val="24"/>
          <w:szCs w:val="24"/>
        </w:rPr>
        <w:t xml:space="preserve"> refused to work with Dr Grobler where after she would step in and assist him during surgeries until the next scrub nurse was appointed and trained to take over the responsibility as scrub nurse.</w:t>
      </w:r>
    </w:p>
    <w:p w:rsidR="008F055F" w:rsidRPr="00302F56" w:rsidRDefault="008F055F" w:rsidP="008F055F">
      <w:pPr>
        <w:spacing w:line="360" w:lineRule="auto"/>
        <w:ind w:left="709" w:hanging="709"/>
        <w:jc w:val="both"/>
        <w:rPr>
          <w:rFonts w:ascii="Arial" w:hAnsi="Arial" w:cs="Arial"/>
          <w:sz w:val="24"/>
          <w:szCs w:val="24"/>
        </w:rPr>
      </w:pPr>
      <w:r w:rsidRPr="00302F56">
        <w:rPr>
          <w:rFonts w:ascii="Arial" w:hAnsi="Arial" w:cs="Arial"/>
          <w:sz w:val="24"/>
          <w:szCs w:val="24"/>
        </w:rPr>
        <w:t>[23]</w:t>
      </w:r>
      <w:r w:rsidRPr="00302F56">
        <w:rPr>
          <w:rFonts w:ascii="Arial" w:hAnsi="Arial" w:cs="Arial"/>
          <w:sz w:val="24"/>
          <w:szCs w:val="24"/>
        </w:rPr>
        <w:tab/>
        <w:t>The plaintiff testified that her sense of duty and pity for the patients, many of them</w:t>
      </w:r>
      <w:r w:rsidR="001B1D29" w:rsidRPr="00302F56">
        <w:rPr>
          <w:rFonts w:ascii="Arial" w:hAnsi="Arial" w:cs="Arial"/>
          <w:sz w:val="24"/>
          <w:szCs w:val="24"/>
        </w:rPr>
        <w:t xml:space="preserve"> being</w:t>
      </w:r>
      <w:r w:rsidRPr="00302F56">
        <w:rPr>
          <w:rFonts w:ascii="Arial" w:hAnsi="Arial" w:cs="Arial"/>
          <w:sz w:val="24"/>
          <w:szCs w:val="24"/>
        </w:rPr>
        <w:t xml:space="preserve"> cancer patients who were in dire need of urgent and timeous surgeries, caused her to bear the brunt and endure the constant abuse, defamatory remarks and insults by Dr Grobler. According to the plaintiff she was informed that she and the other personnel were not allowed to lay any complaints against a</w:t>
      </w:r>
      <w:r w:rsidR="0034077F" w:rsidRPr="00302F56">
        <w:rPr>
          <w:rFonts w:ascii="Arial" w:hAnsi="Arial" w:cs="Arial"/>
          <w:sz w:val="24"/>
          <w:szCs w:val="24"/>
        </w:rPr>
        <w:t xml:space="preserve"> medical</w:t>
      </w:r>
      <w:r w:rsidRPr="00302F56">
        <w:rPr>
          <w:rFonts w:ascii="Arial" w:hAnsi="Arial" w:cs="Arial"/>
          <w:sz w:val="24"/>
          <w:szCs w:val="24"/>
        </w:rPr>
        <w:t xml:space="preserve"> </w:t>
      </w:r>
      <w:r w:rsidR="0034077F" w:rsidRPr="00302F56">
        <w:rPr>
          <w:rFonts w:ascii="Arial" w:hAnsi="Arial" w:cs="Arial"/>
          <w:sz w:val="24"/>
          <w:szCs w:val="24"/>
        </w:rPr>
        <w:t>doctor</w:t>
      </w:r>
      <w:r w:rsidRPr="00302F56">
        <w:rPr>
          <w:rFonts w:ascii="Arial" w:hAnsi="Arial" w:cs="Arial"/>
          <w:sz w:val="24"/>
          <w:szCs w:val="24"/>
        </w:rPr>
        <w:t>. Her evidence was clear that she had been infor</w:t>
      </w:r>
      <w:r w:rsidR="0034077F" w:rsidRPr="00302F56">
        <w:rPr>
          <w:rFonts w:ascii="Arial" w:hAnsi="Arial" w:cs="Arial"/>
          <w:sz w:val="24"/>
          <w:szCs w:val="24"/>
        </w:rPr>
        <w:t xml:space="preserve">med on numerous occasions that </w:t>
      </w:r>
      <w:r w:rsidRPr="00302F56">
        <w:rPr>
          <w:rFonts w:ascii="Arial" w:hAnsi="Arial" w:cs="Arial"/>
          <w:sz w:val="24"/>
          <w:szCs w:val="24"/>
        </w:rPr>
        <w:t xml:space="preserve">Dr Grobler was a </w:t>
      </w:r>
      <w:r w:rsidR="0034077F" w:rsidRPr="00302F56">
        <w:rPr>
          <w:rFonts w:ascii="Arial" w:hAnsi="Arial" w:cs="Arial"/>
          <w:sz w:val="24"/>
          <w:szCs w:val="24"/>
        </w:rPr>
        <w:t>so-called “</w:t>
      </w:r>
      <w:r w:rsidRPr="00302F56">
        <w:rPr>
          <w:rFonts w:ascii="Arial" w:hAnsi="Arial" w:cs="Arial"/>
          <w:sz w:val="24"/>
          <w:szCs w:val="24"/>
        </w:rPr>
        <w:t>money spinner</w:t>
      </w:r>
      <w:r w:rsidR="0034077F" w:rsidRPr="00302F56">
        <w:rPr>
          <w:rFonts w:ascii="Arial" w:hAnsi="Arial" w:cs="Arial"/>
          <w:sz w:val="24"/>
          <w:szCs w:val="24"/>
        </w:rPr>
        <w:t>”</w:t>
      </w:r>
      <w:r w:rsidRPr="00302F56">
        <w:rPr>
          <w:rFonts w:ascii="Arial" w:hAnsi="Arial" w:cs="Arial"/>
          <w:sz w:val="24"/>
          <w:szCs w:val="24"/>
        </w:rPr>
        <w:t xml:space="preserve"> for Netcare. </w:t>
      </w:r>
    </w:p>
    <w:p w:rsidR="008F055F" w:rsidRPr="00302F56" w:rsidRDefault="008F055F" w:rsidP="008F055F">
      <w:pPr>
        <w:spacing w:line="360" w:lineRule="auto"/>
        <w:ind w:left="709" w:hanging="709"/>
        <w:jc w:val="both"/>
        <w:rPr>
          <w:rFonts w:ascii="Arial" w:hAnsi="Arial" w:cs="Arial"/>
          <w:sz w:val="24"/>
          <w:szCs w:val="24"/>
        </w:rPr>
      </w:pPr>
      <w:r w:rsidRPr="00302F56">
        <w:rPr>
          <w:rFonts w:ascii="Arial" w:hAnsi="Arial" w:cs="Arial"/>
          <w:sz w:val="24"/>
          <w:szCs w:val="24"/>
        </w:rPr>
        <w:t>[24]</w:t>
      </w:r>
      <w:r w:rsidRPr="00302F56">
        <w:rPr>
          <w:rFonts w:ascii="Arial" w:hAnsi="Arial" w:cs="Arial"/>
          <w:sz w:val="24"/>
          <w:szCs w:val="24"/>
        </w:rPr>
        <w:tab/>
        <w:t xml:space="preserve">During her testimony the plaintiff referred to the Grievance Procedure implemented by Netcare. The procedure consisted of an informal and formal procedure. The plaintiff, with reference to the Plaintiff’s Trial Bundle – Volume 2, explained how, over a period of approximately 10 years since 2005 </w:t>
      </w:r>
      <w:r w:rsidR="0034077F" w:rsidRPr="00302F56">
        <w:rPr>
          <w:rFonts w:ascii="Arial" w:hAnsi="Arial" w:cs="Arial"/>
          <w:sz w:val="24"/>
          <w:szCs w:val="24"/>
        </w:rPr>
        <w:t>many</w:t>
      </w:r>
      <w:r w:rsidRPr="00302F56">
        <w:rPr>
          <w:rFonts w:ascii="Arial" w:hAnsi="Arial" w:cs="Arial"/>
          <w:sz w:val="24"/>
          <w:szCs w:val="24"/>
        </w:rPr>
        <w:t xml:space="preserve"> complaints were lodged by submitting the </w:t>
      </w:r>
      <w:r w:rsidRPr="00302F56">
        <w:rPr>
          <w:rFonts w:ascii="Arial" w:hAnsi="Arial" w:cs="Arial"/>
          <w:sz w:val="24"/>
          <w:szCs w:val="24"/>
        </w:rPr>
        <w:lastRenderedPageBreak/>
        <w:t>prescribed “Incident Management Form” as well as letters and email</w:t>
      </w:r>
      <w:r w:rsidR="0034077F" w:rsidRPr="00302F56">
        <w:rPr>
          <w:rFonts w:ascii="Arial" w:hAnsi="Arial" w:cs="Arial"/>
          <w:sz w:val="24"/>
          <w:szCs w:val="24"/>
        </w:rPr>
        <w:t xml:space="preserve"> messages</w:t>
      </w:r>
      <w:r w:rsidRPr="00302F56">
        <w:rPr>
          <w:rFonts w:ascii="Arial" w:hAnsi="Arial" w:cs="Arial"/>
          <w:sz w:val="24"/>
          <w:szCs w:val="24"/>
        </w:rPr>
        <w:t xml:space="preserve"> containing serous complaints </w:t>
      </w:r>
      <w:r w:rsidR="0049526C" w:rsidRPr="00302F56">
        <w:rPr>
          <w:rFonts w:ascii="Arial" w:hAnsi="Arial" w:cs="Arial"/>
          <w:sz w:val="24"/>
          <w:szCs w:val="24"/>
        </w:rPr>
        <w:t>and incidents</w:t>
      </w:r>
      <w:r w:rsidRPr="00302F56">
        <w:rPr>
          <w:rFonts w:ascii="Arial" w:hAnsi="Arial" w:cs="Arial"/>
          <w:sz w:val="24"/>
          <w:szCs w:val="24"/>
        </w:rPr>
        <w:t xml:space="preserve"> pertaining to the </w:t>
      </w:r>
      <w:r w:rsidR="0034077F" w:rsidRPr="00302F56">
        <w:rPr>
          <w:rFonts w:ascii="Arial" w:hAnsi="Arial" w:cs="Arial"/>
          <w:sz w:val="24"/>
          <w:szCs w:val="24"/>
        </w:rPr>
        <w:t>conduct of Dr Grobler.</w:t>
      </w:r>
      <w:r w:rsidRPr="00302F56">
        <w:rPr>
          <w:rFonts w:ascii="Arial" w:hAnsi="Arial" w:cs="Arial"/>
          <w:sz w:val="24"/>
          <w:szCs w:val="24"/>
        </w:rPr>
        <w:t xml:space="preserve"> </w:t>
      </w:r>
    </w:p>
    <w:p w:rsidR="008F055F" w:rsidRPr="00302F56" w:rsidRDefault="008F055F" w:rsidP="008F055F">
      <w:pPr>
        <w:spacing w:line="360" w:lineRule="auto"/>
        <w:ind w:left="709" w:hanging="709"/>
        <w:jc w:val="both"/>
        <w:rPr>
          <w:rFonts w:ascii="Arial" w:hAnsi="Arial" w:cs="Arial"/>
          <w:sz w:val="24"/>
          <w:szCs w:val="24"/>
        </w:rPr>
      </w:pPr>
      <w:r w:rsidRPr="00302F56">
        <w:rPr>
          <w:rFonts w:ascii="Arial" w:hAnsi="Arial" w:cs="Arial"/>
          <w:sz w:val="24"/>
          <w:szCs w:val="24"/>
        </w:rPr>
        <w:t xml:space="preserve">[25] </w:t>
      </w:r>
      <w:r w:rsidRPr="00302F56">
        <w:rPr>
          <w:rFonts w:ascii="Arial" w:hAnsi="Arial" w:cs="Arial"/>
          <w:sz w:val="24"/>
          <w:szCs w:val="24"/>
        </w:rPr>
        <w:tab/>
        <w:t xml:space="preserve">The Plaintiff’s Trial bundle furthermore contained an email from a patient complaining that she received information that she had been physically and verbally attacked by Dr Grobler while under anaesthesia. During argument </w:t>
      </w:r>
      <w:r w:rsidR="00972563" w:rsidRPr="00302F56">
        <w:rPr>
          <w:rFonts w:ascii="Arial" w:hAnsi="Arial" w:cs="Arial"/>
          <w:sz w:val="24"/>
          <w:szCs w:val="24"/>
        </w:rPr>
        <w:t>Mr Steyn</w:t>
      </w:r>
      <w:r w:rsidRPr="00302F56">
        <w:rPr>
          <w:rFonts w:ascii="Arial" w:hAnsi="Arial" w:cs="Arial"/>
          <w:sz w:val="24"/>
          <w:szCs w:val="24"/>
        </w:rPr>
        <w:t xml:space="preserve"> reiterated, as he did at the commencement of the trial, that such evidence was presented not as proof of the truth thereof, but as proof that there were complaints lodged with Netcare, not only by the plaintiff in her personal capacity but also by assisting other staff members and in some instances by the public all pertaining to the vulgar language regularly uttered by Dr Grobler. </w:t>
      </w:r>
      <w:r w:rsidR="0034077F" w:rsidRPr="00302F56">
        <w:rPr>
          <w:rFonts w:ascii="Arial" w:hAnsi="Arial" w:cs="Arial"/>
          <w:sz w:val="24"/>
          <w:szCs w:val="24"/>
        </w:rPr>
        <w:t>After many years of service, t</w:t>
      </w:r>
      <w:r w:rsidR="00C27124" w:rsidRPr="00302F56">
        <w:rPr>
          <w:rFonts w:ascii="Arial" w:hAnsi="Arial" w:cs="Arial"/>
          <w:sz w:val="24"/>
          <w:szCs w:val="24"/>
        </w:rPr>
        <w:t xml:space="preserve">he plaintiff was suspended and thereafter dismissed. When the plaintiff referred the dismissal to the CCMA, Netcare relented and entered into a settlement agreement with her. </w:t>
      </w:r>
      <w:r w:rsidRPr="00302F56">
        <w:rPr>
          <w:rFonts w:ascii="Arial" w:hAnsi="Arial" w:cs="Arial"/>
          <w:sz w:val="24"/>
          <w:szCs w:val="24"/>
        </w:rPr>
        <w:t xml:space="preserve">The testimony by the plaintiff stands uncontested. </w:t>
      </w:r>
    </w:p>
    <w:p w:rsidR="008F055F" w:rsidRPr="00302F56" w:rsidRDefault="008F055F" w:rsidP="008F055F">
      <w:pPr>
        <w:spacing w:line="360" w:lineRule="auto"/>
        <w:ind w:left="709" w:hanging="709"/>
        <w:jc w:val="both"/>
        <w:rPr>
          <w:rFonts w:ascii="Arial" w:hAnsi="Arial" w:cs="Arial"/>
          <w:sz w:val="24"/>
          <w:szCs w:val="24"/>
        </w:rPr>
      </w:pPr>
      <w:r w:rsidRPr="00302F56">
        <w:rPr>
          <w:rFonts w:ascii="Arial" w:hAnsi="Arial" w:cs="Arial"/>
          <w:sz w:val="24"/>
          <w:szCs w:val="24"/>
        </w:rPr>
        <w:t>[26]</w:t>
      </w:r>
      <w:r w:rsidRPr="00302F56">
        <w:rPr>
          <w:rFonts w:ascii="Arial" w:hAnsi="Arial" w:cs="Arial"/>
          <w:sz w:val="24"/>
          <w:szCs w:val="24"/>
        </w:rPr>
        <w:tab/>
        <w:t xml:space="preserve"> The evidence presented by Professor Cheadle related to what a reasonable employer in the position of Netcare, faced with similar complaints and under similar conditions would have done, acting with the necessary care, skill and diligence, which would ordinarily be expected from a reasonable employer. He is a seasoned and highly qualified labour law expert. He has 52 </w:t>
      </w:r>
      <w:r w:rsidR="00B1350E" w:rsidRPr="00302F56">
        <w:rPr>
          <w:rFonts w:ascii="Arial" w:hAnsi="Arial" w:cs="Arial"/>
          <w:sz w:val="24"/>
          <w:szCs w:val="24"/>
        </w:rPr>
        <w:t>years’ experience</w:t>
      </w:r>
      <w:r w:rsidRPr="00302F56">
        <w:rPr>
          <w:rFonts w:ascii="Arial" w:hAnsi="Arial" w:cs="Arial"/>
          <w:sz w:val="24"/>
          <w:szCs w:val="24"/>
        </w:rPr>
        <w:t xml:space="preserve"> in labour relations matters. He, </w:t>
      </w:r>
      <w:r w:rsidRPr="00302F56">
        <w:rPr>
          <w:rFonts w:ascii="Arial" w:hAnsi="Arial" w:cs="Arial"/>
          <w:i/>
          <w:sz w:val="24"/>
          <w:szCs w:val="24"/>
        </w:rPr>
        <w:t>inter alia</w:t>
      </w:r>
      <w:r w:rsidRPr="00302F56">
        <w:rPr>
          <w:rFonts w:ascii="Arial" w:hAnsi="Arial" w:cs="Arial"/>
          <w:sz w:val="24"/>
          <w:szCs w:val="24"/>
        </w:rPr>
        <w:t xml:space="preserve"> practised as a</w:t>
      </w:r>
      <w:r w:rsidR="00B1350E" w:rsidRPr="00302F56">
        <w:rPr>
          <w:rFonts w:ascii="Arial" w:hAnsi="Arial" w:cs="Arial"/>
          <w:sz w:val="24"/>
          <w:szCs w:val="24"/>
        </w:rPr>
        <w:t xml:space="preserve"> so called</w:t>
      </w:r>
      <w:r w:rsidRPr="00302F56">
        <w:rPr>
          <w:rFonts w:ascii="Arial" w:hAnsi="Arial" w:cs="Arial"/>
          <w:sz w:val="24"/>
          <w:szCs w:val="24"/>
        </w:rPr>
        <w:t xml:space="preserve"> </w:t>
      </w:r>
      <w:r w:rsidR="00B1350E" w:rsidRPr="00302F56">
        <w:rPr>
          <w:rFonts w:ascii="Arial" w:hAnsi="Arial" w:cs="Arial"/>
          <w:sz w:val="24"/>
          <w:szCs w:val="24"/>
        </w:rPr>
        <w:t>“</w:t>
      </w:r>
      <w:r w:rsidRPr="00302F56">
        <w:rPr>
          <w:rFonts w:ascii="Arial" w:hAnsi="Arial" w:cs="Arial"/>
          <w:sz w:val="24"/>
          <w:szCs w:val="24"/>
        </w:rPr>
        <w:t>labour lawyer</w:t>
      </w:r>
      <w:r w:rsidR="00B1350E" w:rsidRPr="00302F56">
        <w:rPr>
          <w:rFonts w:ascii="Arial" w:hAnsi="Arial" w:cs="Arial"/>
          <w:sz w:val="24"/>
          <w:szCs w:val="24"/>
        </w:rPr>
        <w:t>”</w:t>
      </w:r>
      <w:r w:rsidRPr="00302F56">
        <w:rPr>
          <w:rFonts w:ascii="Arial" w:hAnsi="Arial" w:cs="Arial"/>
          <w:sz w:val="24"/>
          <w:szCs w:val="24"/>
        </w:rPr>
        <w:t>, representing both trade unions and employees and advising on employment policies and procedures. He later became a ministerial advisor to the Minister of Labour and acted as the convenor of the task team that drafted the Labour Relations Act.</w:t>
      </w:r>
      <w:r w:rsidRPr="00302F56">
        <w:rPr>
          <w:rStyle w:val="FootnoteReference"/>
          <w:rFonts w:ascii="Arial" w:hAnsi="Arial" w:cs="Arial"/>
          <w:sz w:val="24"/>
          <w:szCs w:val="24"/>
        </w:rPr>
        <w:footnoteReference w:id="7"/>
      </w:r>
      <w:r w:rsidRPr="00302F56">
        <w:rPr>
          <w:rFonts w:ascii="Arial" w:hAnsi="Arial" w:cs="Arial"/>
          <w:sz w:val="24"/>
          <w:szCs w:val="24"/>
        </w:rPr>
        <w:t xml:space="preserve"> He has subsequently provided advice and recommendations to the National Economic Development Labour Advisory Council (NEDLAC)  regarding labour legislation and codes of good conduct. </w:t>
      </w:r>
    </w:p>
    <w:p w:rsidR="008F055F" w:rsidRPr="00302F56" w:rsidRDefault="008F055F" w:rsidP="008F055F">
      <w:pPr>
        <w:spacing w:line="360" w:lineRule="auto"/>
        <w:ind w:left="709" w:hanging="709"/>
        <w:jc w:val="both"/>
        <w:rPr>
          <w:rFonts w:ascii="Arial" w:hAnsi="Arial" w:cs="Arial"/>
          <w:sz w:val="24"/>
          <w:szCs w:val="24"/>
        </w:rPr>
      </w:pPr>
      <w:r w:rsidRPr="00302F56">
        <w:rPr>
          <w:rFonts w:ascii="Arial" w:hAnsi="Arial" w:cs="Arial"/>
          <w:sz w:val="24"/>
          <w:szCs w:val="24"/>
        </w:rPr>
        <w:t>[27]</w:t>
      </w:r>
      <w:r w:rsidRPr="00302F56">
        <w:rPr>
          <w:rFonts w:ascii="Arial" w:hAnsi="Arial" w:cs="Arial"/>
          <w:sz w:val="24"/>
          <w:szCs w:val="24"/>
        </w:rPr>
        <w:tab/>
        <w:t>During his testimony in court he confirmed that he had regard to the body of evidence contained in the Plaintiff’s Trial Bundle and concluded in his expert report (as contained in the Expert Trial Bundle) that Netcare failed on various levels in the implementation of the precautionary measures which it had itself put in place. The precautionary measures that a reasonable employer in the circumstances of Netcare would institute include:</w:t>
      </w:r>
    </w:p>
    <w:p w:rsidR="008F055F" w:rsidRPr="00302F56" w:rsidRDefault="008F055F" w:rsidP="008F055F">
      <w:pPr>
        <w:spacing w:line="360" w:lineRule="auto"/>
        <w:ind w:left="709" w:hanging="709"/>
        <w:jc w:val="both"/>
        <w:rPr>
          <w:rFonts w:ascii="Arial" w:hAnsi="Arial" w:cs="Arial"/>
          <w:sz w:val="24"/>
          <w:szCs w:val="24"/>
        </w:rPr>
      </w:pPr>
      <w:r w:rsidRPr="00302F56">
        <w:rPr>
          <w:rFonts w:ascii="Arial" w:hAnsi="Arial" w:cs="Arial"/>
          <w:sz w:val="24"/>
          <w:szCs w:val="24"/>
        </w:rPr>
        <w:lastRenderedPageBreak/>
        <w:tab/>
        <w:t>27.1</w:t>
      </w:r>
      <w:r w:rsidRPr="00302F56">
        <w:rPr>
          <w:rFonts w:ascii="Arial" w:hAnsi="Arial" w:cs="Arial"/>
          <w:sz w:val="24"/>
          <w:szCs w:val="24"/>
        </w:rPr>
        <w:tab/>
        <w:t>the development of a policy on harassment and abuse;</w:t>
      </w:r>
    </w:p>
    <w:p w:rsidR="008F055F" w:rsidRPr="00302F56" w:rsidRDefault="008F055F" w:rsidP="008F055F">
      <w:pPr>
        <w:spacing w:line="360" w:lineRule="auto"/>
        <w:ind w:left="709" w:hanging="709"/>
        <w:jc w:val="both"/>
        <w:rPr>
          <w:rFonts w:ascii="Arial" w:hAnsi="Arial" w:cs="Arial"/>
          <w:sz w:val="24"/>
          <w:szCs w:val="24"/>
        </w:rPr>
      </w:pPr>
      <w:r w:rsidRPr="00302F56">
        <w:rPr>
          <w:rFonts w:ascii="Arial" w:hAnsi="Arial" w:cs="Arial"/>
          <w:sz w:val="24"/>
          <w:szCs w:val="24"/>
        </w:rPr>
        <w:tab/>
        <w:t>27.2</w:t>
      </w:r>
      <w:r w:rsidRPr="00302F56">
        <w:rPr>
          <w:rFonts w:ascii="Arial" w:hAnsi="Arial" w:cs="Arial"/>
          <w:sz w:val="24"/>
          <w:szCs w:val="24"/>
        </w:rPr>
        <w:tab/>
        <w:t>a grievance procedure to allow management to address those grievances;</w:t>
      </w:r>
    </w:p>
    <w:p w:rsidR="008F055F" w:rsidRPr="00302F56" w:rsidRDefault="008F055F" w:rsidP="008F055F">
      <w:pPr>
        <w:spacing w:line="360" w:lineRule="auto"/>
        <w:ind w:left="709" w:hanging="709"/>
        <w:jc w:val="both"/>
        <w:rPr>
          <w:rFonts w:ascii="Arial" w:hAnsi="Arial" w:cs="Arial"/>
          <w:sz w:val="24"/>
          <w:szCs w:val="24"/>
        </w:rPr>
      </w:pPr>
      <w:r w:rsidRPr="00302F56">
        <w:rPr>
          <w:rFonts w:ascii="Arial" w:hAnsi="Arial" w:cs="Arial"/>
          <w:sz w:val="24"/>
          <w:szCs w:val="24"/>
        </w:rPr>
        <w:tab/>
        <w:t>27.3</w:t>
      </w:r>
      <w:r w:rsidRPr="00302F56">
        <w:rPr>
          <w:rFonts w:ascii="Arial" w:hAnsi="Arial" w:cs="Arial"/>
          <w:sz w:val="24"/>
          <w:szCs w:val="24"/>
        </w:rPr>
        <w:tab/>
        <w:t xml:space="preserve">informing all who work or enter the premises of the policy and the consequences </w:t>
      </w:r>
      <w:r w:rsidRPr="00302F56">
        <w:rPr>
          <w:rFonts w:ascii="Arial" w:hAnsi="Arial" w:cs="Arial"/>
          <w:sz w:val="24"/>
          <w:szCs w:val="24"/>
        </w:rPr>
        <w:tab/>
      </w:r>
      <w:r w:rsidRPr="00302F56">
        <w:rPr>
          <w:rFonts w:ascii="Arial" w:hAnsi="Arial" w:cs="Arial"/>
          <w:sz w:val="24"/>
          <w:szCs w:val="24"/>
        </w:rPr>
        <w:tab/>
        <w:t>of contravening it;</w:t>
      </w:r>
    </w:p>
    <w:p w:rsidR="008F055F" w:rsidRPr="00302F56" w:rsidRDefault="008F055F" w:rsidP="008F055F">
      <w:pPr>
        <w:spacing w:line="360" w:lineRule="auto"/>
        <w:ind w:left="709" w:hanging="709"/>
        <w:jc w:val="both"/>
        <w:rPr>
          <w:rFonts w:ascii="Arial" w:hAnsi="Arial" w:cs="Arial"/>
          <w:sz w:val="24"/>
          <w:szCs w:val="24"/>
        </w:rPr>
      </w:pPr>
      <w:r w:rsidRPr="00302F56">
        <w:rPr>
          <w:rFonts w:ascii="Arial" w:hAnsi="Arial" w:cs="Arial"/>
          <w:sz w:val="24"/>
          <w:szCs w:val="24"/>
        </w:rPr>
        <w:tab/>
        <w:t>27.4</w:t>
      </w:r>
      <w:r w:rsidRPr="00302F56">
        <w:rPr>
          <w:rFonts w:ascii="Arial" w:hAnsi="Arial" w:cs="Arial"/>
          <w:sz w:val="24"/>
          <w:szCs w:val="24"/>
        </w:rPr>
        <w:tab/>
        <w:t xml:space="preserve">training supervisors and managers on the content of the policy and grievance </w:t>
      </w:r>
      <w:r w:rsidRPr="00302F56">
        <w:rPr>
          <w:rFonts w:ascii="Arial" w:hAnsi="Arial" w:cs="Arial"/>
          <w:sz w:val="24"/>
          <w:szCs w:val="24"/>
        </w:rPr>
        <w:tab/>
      </w:r>
      <w:r w:rsidRPr="00302F56">
        <w:rPr>
          <w:rFonts w:ascii="Arial" w:hAnsi="Arial" w:cs="Arial"/>
          <w:sz w:val="24"/>
          <w:szCs w:val="24"/>
        </w:rPr>
        <w:tab/>
        <w:t>procedure and how to handle grievances;</w:t>
      </w:r>
    </w:p>
    <w:p w:rsidR="008F055F" w:rsidRPr="00302F56" w:rsidRDefault="008F055F" w:rsidP="008F055F">
      <w:pPr>
        <w:spacing w:line="360" w:lineRule="auto"/>
        <w:ind w:left="709" w:hanging="709"/>
        <w:jc w:val="both"/>
        <w:rPr>
          <w:rFonts w:ascii="Arial" w:hAnsi="Arial" w:cs="Arial"/>
          <w:sz w:val="24"/>
          <w:szCs w:val="24"/>
        </w:rPr>
      </w:pPr>
      <w:r w:rsidRPr="00302F56">
        <w:rPr>
          <w:rFonts w:ascii="Arial" w:hAnsi="Arial" w:cs="Arial"/>
          <w:sz w:val="24"/>
          <w:szCs w:val="24"/>
        </w:rPr>
        <w:tab/>
        <w:t>27.5</w:t>
      </w:r>
      <w:r w:rsidRPr="00302F56">
        <w:rPr>
          <w:rFonts w:ascii="Arial" w:hAnsi="Arial" w:cs="Arial"/>
          <w:sz w:val="24"/>
          <w:szCs w:val="24"/>
        </w:rPr>
        <w:tab/>
        <w:t xml:space="preserve">Including the policy as a term and condition of employment in the contracts </w:t>
      </w:r>
      <w:r w:rsidRPr="00302F56">
        <w:rPr>
          <w:rFonts w:ascii="Arial" w:hAnsi="Arial" w:cs="Arial"/>
          <w:sz w:val="24"/>
          <w:szCs w:val="24"/>
        </w:rPr>
        <w:tab/>
      </w:r>
      <w:r w:rsidRPr="00302F56">
        <w:rPr>
          <w:rFonts w:ascii="Arial" w:hAnsi="Arial" w:cs="Arial"/>
          <w:sz w:val="24"/>
          <w:szCs w:val="24"/>
        </w:rPr>
        <w:tab/>
        <w:t xml:space="preserve">with medical practitioners who conduct their practices on the employer’s </w:t>
      </w:r>
      <w:r w:rsidRPr="00302F56">
        <w:rPr>
          <w:rFonts w:ascii="Arial" w:hAnsi="Arial" w:cs="Arial"/>
          <w:sz w:val="24"/>
          <w:szCs w:val="24"/>
        </w:rPr>
        <w:tab/>
      </w:r>
      <w:r w:rsidRPr="00302F56">
        <w:rPr>
          <w:rFonts w:ascii="Arial" w:hAnsi="Arial" w:cs="Arial"/>
          <w:sz w:val="24"/>
          <w:szCs w:val="24"/>
        </w:rPr>
        <w:tab/>
      </w:r>
      <w:r w:rsidRPr="00302F56">
        <w:rPr>
          <w:rFonts w:ascii="Arial" w:hAnsi="Arial" w:cs="Arial"/>
          <w:sz w:val="24"/>
          <w:szCs w:val="24"/>
        </w:rPr>
        <w:tab/>
        <w:t>premises;</w:t>
      </w:r>
    </w:p>
    <w:p w:rsidR="008F055F" w:rsidRPr="00302F56" w:rsidRDefault="008F055F" w:rsidP="008F055F">
      <w:pPr>
        <w:spacing w:line="360" w:lineRule="auto"/>
        <w:ind w:left="709" w:hanging="709"/>
        <w:jc w:val="both"/>
        <w:rPr>
          <w:rFonts w:ascii="Arial" w:hAnsi="Arial" w:cs="Arial"/>
          <w:sz w:val="24"/>
          <w:szCs w:val="24"/>
        </w:rPr>
      </w:pPr>
      <w:r w:rsidRPr="00302F56">
        <w:rPr>
          <w:rFonts w:ascii="Arial" w:hAnsi="Arial" w:cs="Arial"/>
          <w:sz w:val="24"/>
          <w:szCs w:val="24"/>
        </w:rPr>
        <w:tab/>
        <w:t>27.6</w:t>
      </w:r>
      <w:r w:rsidRPr="00302F56">
        <w:rPr>
          <w:rFonts w:ascii="Arial" w:hAnsi="Arial" w:cs="Arial"/>
          <w:sz w:val="24"/>
          <w:szCs w:val="24"/>
        </w:rPr>
        <w:tab/>
        <w:t>regular reports on implementation of the policy to senior management; and</w:t>
      </w:r>
    </w:p>
    <w:p w:rsidR="008F055F" w:rsidRPr="00302F56" w:rsidRDefault="008F055F" w:rsidP="008F055F">
      <w:pPr>
        <w:spacing w:line="360" w:lineRule="auto"/>
        <w:ind w:left="709" w:hanging="709"/>
        <w:jc w:val="both"/>
        <w:rPr>
          <w:rFonts w:ascii="Arial" w:hAnsi="Arial" w:cs="Arial"/>
          <w:sz w:val="24"/>
          <w:szCs w:val="24"/>
        </w:rPr>
      </w:pPr>
      <w:r w:rsidRPr="00302F56">
        <w:rPr>
          <w:rFonts w:ascii="Arial" w:hAnsi="Arial" w:cs="Arial"/>
          <w:sz w:val="24"/>
          <w:szCs w:val="24"/>
        </w:rPr>
        <w:tab/>
        <w:t>27.7</w:t>
      </w:r>
      <w:r w:rsidRPr="00302F56">
        <w:rPr>
          <w:rFonts w:ascii="Arial" w:hAnsi="Arial" w:cs="Arial"/>
          <w:sz w:val="24"/>
          <w:szCs w:val="24"/>
        </w:rPr>
        <w:tab/>
        <w:t xml:space="preserve">a regular monitoring of the implementation of </w:t>
      </w:r>
      <w:r w:rsidR="00B1350E" w:rsidRPr="00302F56">
        <w:rPr>
          <w:rFonts w:ascii="Arial" w:hAnsi="Arial" w:cs="Arial"/>
          <w:sz w:val="24"/>
          <w:szCs w:val="24"/>
        </w:rPr>
        <w:t>the policy by senior management</w:t>
      </w:r>
      <w:r w:rsidRPr="00302F56">
        <w:rPr>
          <w:rFonts w:ascii="Arial" w:hAnsi="Arial" w:cs="Arial"/>
          <w:sz w:val="24"/>
          <w:szCs w:val="24"/>
        </w:rPr>
        <w:tab/>
      </w:r>
      <w:r w:rsidRPr="00302F56">
        <w:rPr>
          <w:rFonts w:ascii="Arial" w:hAnsi="Arial" w:cs="Arial"/>
          <w:sz w:val="24"/>
          <w:szCs w:val="24"/>
        </w:rPr>
        <w:tab/>
        <w:t>based on those reports and a regular review of the policy.</w:t>
      </w:r>
      <w:r w:rsidR="00B1350E" w:rsidRPr="00302F56">
        <w:rPr>
          <w:rFonts w:ascii="Arial" w:hAnsi="Arial" w:cs="Arial"/>
          <w:sz w:val="24"/>
          <w:szCs w:val="24"/>
        </w:rPr>
        <w:t xml:space="preserve"> </w:t>
      </w:r>
      <w:r w:rsidRPr="00302F56">
        <w:rPr>
          <w:rFonts w:ascii="Arial" w:hAnsi="Arial" w:cs="Arial"/>
          <w:sz w:val="24"/>
          <w:szCs w:val="24"/>
        </w:rPr>
        <w:tab/>
        <w:t xml:space="preserve"> </w:t>
      </w:r>
    </w:p>
    <w:p w:rsidR="00425B94" w:rsidRPr="00302F56" w:rsidRDefault="008F055F" w:rsidP="008F055F">
      <w:pPr>
        <w:spacing w:line="360" w:lineRule="auto"/>
        <w:ind w:left="709" w:hanging="709"/>
        <w:jc w:val="both"/>
        <w:rPr>
          <w:rFonts w:ascii="Arial" w:hAnsi="Arial" w:cs="Arial"/>
          <w:sz w:val="24"/>
          <w:szCs w:val="24"/>
        </w:rPr>
      </w:pPr>
      <w:r w:rsidRPr="00302F56">
        <w:rPr>
          <w:rFonts w:ascii="Arial" w:hAnsi="Arial" w:cs="Arial"/>
          <w:sz w:val="24"/>
          <w:szCs w:val="24"/>
        </w:rPr>
        <w:t>[28]</w:t>
      </w:r>
      <w:r w:rsidRPr="00302F56">
        <w:rPr>
          <w:rFonts w:ascii="Arial" w:hAnsi="Arial" w:cs="Arial"/>
          <w:sz w:val="24"/>
          <w:szCs w:val="24"/>
        </w:rPr>
        <w:tab/>
      </w:r>
      <w:r w:rsidR="00C14433" w:rsidRPr="00302F56">
        <w:rPr>
          <w:rFonts w:ascii="Arial" w:hAnsi="Arial" w:cs="Arial"/>
          <w:sz w:val="24"/>
          <w:szCs w:val="24"/>
        </w:rPr>
        <w:tab/>
        <w:t xml:space="preserve">Most employers have introduced grievance procedures in terms of which employees are permitted to raise grievances concerning their treatment. Many grievance procedures include in their wide definitions of the grievance, conduct such as verbal abuse, insults and humiliation. </w:t>
      </w:r>
      <w:r w:rsidR="008A3693" w:rsidRPr="00302F56">
        <w:rPr>
          <w:rFonts w:ascii="Arial" w:hAnsi="Arial" w:cs="Arial"/>
          <w:sz w:val="24"/>
          <w:szCs w:val="24"/>
        </w:rPr>
        <w:t>Formal grievance procedures play an important human resource role namely: to provide employees with a formal channel to raise grievances without fear of victimization and secondly, it gives management the opportunity to address complaints and grievances. It furthermore provides an important source of information on the state of human relationships within the workplace and for senior management, who are not present at each different site of the workplace, the state of how human relationships are being managed.</w:t>
      </w:r>
    </w:p>
    <w:p w:rsidR="00C14433" w:rsidRPr="00302F56" w:rsidRDefault="008F055F" w:rsidP="008F055F">
      <w:pPr>
        <w:spacing w:line="360" w:lineRule="auto"/>
        <w:ind w:left="709" w:hanging="709"/>
        <w:jc w:val="both"/>
        <w:rPr>
          <w:rFonts w:ascii="Arial" w:hAnsi="Arial" w:cs="Arial"/>
          <w:sz w:val="24"/>
          <w:szCs w:val="24"/>
        </w:rPr>
      </w:pPr>
      <w:r w:rsidRPr="00302F56">
        <w:rPr>
          <w:rFonts w:ascii="Arial" w:hAnsi="Arial" w:cs="Arial"/>
          <w:sz w:val="24"/>
          <w:szCs w:val="24"/>
        </w:rPr>
        <w:t>[</w:t>
      </w:r>
      <w:r w:rsidR="008A3693" w:rsidRPr="00302F56">
        <w:rPr>
          <w:rFonts w:ascii="Arial" w:hAnsi="Arial" w:cs="Arial"/>
          <w:sz w:val="24"/>
          <w:szCs w:val="24"/>
        </w:rPr>
        <w:t>29</w:t>
      </w:r>
      <w:r w:rsidRPr="00302F56">
        <w:rPr>
          <w:rFonts w:ascii="Arial" w:hAnsi="Arial" w:cs="Arial"/>
          <w:sz w:val="24"/>
          <w:szCs w:val="24"/>
        </w:rPr>
        <w:t>]</w:t>
      </w:r>
      <w:r w:rsidRPr="00302F56">
        <w:rPr>
          <w:rFonts w:ascii="Arial" w:hAnsi="Arial" w:cs="Arial"/>
          <w:sz w:val="24"/>
          <w:szCs w:val="24"/>
        </w:rPr>
        <w:tab/>
      </w:r>
      <w:r w:rsidR="00425B94" w:rsidRPr="00302F56">
        <w:rPr>
          <w:rFonts w:ascii="Arial" w:hAnsi="Arial" w:cs="Arial"/>
          <w:sz w:val="24"/>
          <w:szCs w:val="24"/>
        </w:rPr>
        <w:t xml:space="preserve">Netcare introduced a standard policy for handling grievances which provided for grievances being lodged with the employee’s immediate line manager, or if the particular grievance involved the immediate line manager, the next senior level of management. The policy also envisages that executive and senior management are responsible to review the policy and that compliance is subject to an assessment process in line with Netcare risk and quality assurance processes. </w:t>
      </w:r>
    </w:p>
    <w:p w:rsidR="008A3693" w:rsidRPr="00302F56" w:rsidRDefault="008A3693" w:rsidP="008A3693">
      <w:pPr>
        <w:spacing w:line="360" w:lineRule="auto"/>
        <w:ind w:left="709" w:hanging="709"/>
        <w:jc w:val="both"/>
        <w:rPr>
          <w:rFonts w:ascii="Arial" w:hAnsi="Arial" w:cs="Arial"/>
          <w:sz w:val="24"/>
          <w:szCs w:val="24"/>
        </w:rPr>
      </w:pPr>
      <w:r w:rsidRPr="00302F56">
        <w:rPr>
          <w:rFonts w:ascii="Arial" w:hAnsi="Arial" w:cs="Arial"/>
          <w:sz w:val="24"/>
          <w:szCs w:val="24"/>
        </w:rPr>
        <w:t>[30]</w:t>
      </w:r>
      <w:r w:rsidRPr="00302F56">
        <w:rPr>
          <w:rFonts w:ascii="Arial" w:hAnsi="Arial" w:cs="Arial"/>
          <w:sz w:val="24"/>
          <w:szCs w:val="24"/>
        </w:rPr>
        <w:tab/>
        <w:t>Each of the numerous complaints submitted by the plaintiff or other employees, should at least trigger an investigation of one kind or another even if human resources</w:t>
      </w:r>
      <w:r w:rsidR="00B1350E" w:rsidRPr="00302F56">
        <w:rPr>
          <w:rFonts w:ascii="Arial" w:hAnsi="Arial" w:cs="Arial"/>
          <w:sz w:val="24"/>
          <w:szCs w:val="24"/>
        </w:rPr>
        <w:t>,</w:t>
      </w:r>
      <w:r w:rsidRPr="00302F56">
        <w:rPr>
          <w:rFonts w:ascii="Arial" w:hAnsi="Arial" w:cs="Arial"/>
          <w:sz w:val="24"/>
          <w:szCs w:val="24"/>
        </w:rPr>
        <w:t xml:space="preserve"> on an </w:t>
      </w:r>
      <w:r w:rsidRPr="00302F56">
        <w:rPr>
          <w:rFonts w:ascii="Arial" w:hAnsi="Arial" w:cs="Arial"/>
          <w:sz w:val="24"/>
          <w:szCs w:val="24"/>
        </w:rPr>
        <w:lastRenderedPageBreak/>
        <w:t>informal basis</w:t>
      </w:r>
      <w:r w:rsidR="00B1350E" w:rsidRPr="00302F56">
        <w:rPr>
          <w:rFonts w:ascii="Arial" w:hAnsi="Arial" w:cs="Arial"/>
          <w:sz w:val="24"/>
          <w:szCs w:val="24"/>
        </w:rPr>
        <w:t>,</w:t>
      </w:r>
      <w:r w:rsidRPr="00302F56">
        <w:rPr>
          <w:rFonts w:ascii="Arial" w:hAnsi="Arial" w:cs="Arial"/>
          <w:sz w:val="24"/>
          <w:szCs w:val="24"/>
        </w:rPr>
        <w:t xml:space="preserve"> </w:t>
      </w:r>
      <w:r w:rsidR="00B1350E" w:rsidRPr="00302F56">
        <w:rPr>
          <w:rFonts w:ascii="Arial" w:hAnsi="Arial" w:cs="Arial"/>
          <w:sz w:val="24"/>
          <w:szCs w:val="24"/>
        </w:rPr>
        <w:t xml:space="preserve">endeavour </w:t>
      </w:r>
      <w:r w:rsidRPr="00302F56">
        <w:rPr>
          <w:rFonts w:ascii="Arial" w:hAnsi="Arial" w:cs="Arial"/>
          <w:sz w:val="24"/>
          <w:szCs w:val="24"/>
        </w:rPr>
        <w:t xml:space="preserve">to resolve the issue where interpersonal conflict surfaces. This is of particular importance where people work in highly stressful situations (surgical theatre). Often interpersonal conflicts can be mediated and solved with an apology or reorganizing of the relationship but if the issue is more serious some action is required. Netcare, however, in most instances failed to act under these circumstances. </w:t>
      </w:r>
    </w:p>
    <w:p w:rsidR="008A3693" w:rsidRPr="00302F56" w:rsidRDefault="008A3693" w:rsidP="00425B94">
      <w:pPr>
        <w:spacing w:line="360" w:lineRule="auto"/>
        <w:ind w:left="709" w:hanging="709"/>
        <w:jc w:val="both"/>
        <w:rPr>
          <w:rFonts w:ascii="Arial" w:hAnsi="Arial" w:cs="Arial"/>
          <w:sz w:val="24"/>
          <w:szCs w:val="24"/>
        </w:rPr>
      </w:pPr>
      <w:r w:rsidRPr="00302F56">
        <w:rPr>
          <w:rFonts w:ascii="Arial" w:hAnsi="Arial" w:cs="Arial"/>
          <w:sz w:val="24"/>
          <w:szCs w:val="24"/>
        </w:rPr>
        <w:t>[31]</w:t>
      </w:r>
      <w:r w:rsidRPr="00302F56">
        <w:rPr>
          <w:rFonts w:ascii="Arial" w:hAnsi="Arial" w:cs="Arial"/>
          <w:sz w:val="24"/>
          <w:szCs w:val="24"/>
        </w:rPr>
        <w:tab/>
      </w:r>
      <w:r w:rsidR="00425B94" w:rsidRPr="00302F56">
        <w:rPr>
          <w:rFonts w:ascii="Arial" w:hAnsi="Arial" w:cs="Arial"/>
          <w:sz w:val="24"/>
          <w:szCs w:val="24"/>
        </w:rPr>
        <w:t>With reference to Netcare’s Admitting of Privileges Terms and Conditions relating to the conduct of private medical practitioners such as Dr Grobler, who conduct an independent medical practice at Netcares’ premises/hospitals, Professor Cheadle testified that admitting privileges may be revoked under certain conditions. At the discretion of Netcare’s General Manager or recommendation of Netcare’s Clinical Practice Committee admitting privileges may be revoked for any reason including,</w:t>
      </w:r>
      <w:r w:rsidR="00425B94" w:rsidRPr="00302F56">
        <w:rPr>
          <w:rFonts w:ascii="Arial" w:hAnsi="Arial" w:cs="Arial"/>
          <w:i/>
          <w:sz w:val="24"/>
          <w:szCs w:val="24"/>
        </w:rPr>
        <w:t xml:space="preserve"> inter alia,</w:t>
      </w:r>
      <w:r w:rsidR="00425B94" w:rsidRPr="00302F56">
        <w:rPr>
          <w:rFonts w:ascii="Arial" w:hAnsi="Arial" w:cs="Arial"/>
          <w:sz w:val="24"/>
          <w:szCs w:val="24"/>
        </w:rPr>
        <w:t xml:space="preserve"> ‘abusive behaviour or harassment’. Professor Cheadle explained that in large organisations such as Netcare, the implementation phase of risk management, is ensuring that the policy is implemented. </w:t>
      </w:r>
    </w:p>
    <w:p w:rsidR="00425B94" w:rsidRPr="00302F56" w:rsidRDefault="008A3693" w:rsidP="00425B94">
      <w:pPr>
        <w:spacing w:line="360" w:lineRule="auto"/>
        <w:ind w:left="709" w:hanging="709"/>
        <w:jc w:val="both"/>
        <w:rPr>
          <w:rFonts w:ascii="Arial" w:hAnsi="Arial" w:cs="Arial"/>
          <w:sz w:val="24"/>
          <w:szCs w:val="24"/>
        </w:rPr>
      </w:pPr>
      <w:r w:rsidRPr="00302F56">
        <w:rPr>
          <w:rFonts w:ascii="Arial" w:hAnsi="Arial" w:cs="Arial"/>
          <w:sz w:val="24"/>
          <w:szCs w:val="24"/>
        </w:rPr>
        <w:t>[32]</w:t>
      </w:r>
      <w:r w:rsidRPr="00302F56">
        <w:rPr>
          <w:rFonts w:ascii="Arial" w:hAnsi="Arial" w:cs="Arial"/>
          <w:sz w:val="24"/>
          <w:szCs w:val="24"/>
        </w:rPr>
        <w:tab/>
      </w:r>
      <w:r w:rsidR="00425B94" w:rsidRPr="00302F56">
        <w:rPr>
          <w:rFonts w:ascii="Arial" w:hAnsi="Arial" w:cs="Arial"/>
          <w:sz w:val="24"/>
          <w:szCs w:val="24"/>
        </w:rPr>
        <w:t>The reporting system has to be accurate and comprehensive in order that proper monitoring can take place. The second phase is to review the implementation of the policy to ascertain whether t</w:t>
      </w:r>
      <w:r w:rsidRPr="00302F56">
        <w:rPr>
          <w:rFonts w:ascii="Arial" w:hAnsi="Arial" w:cs="Arial"/>
          <w:sz w:val="24"/>
          <w:szCs w:val="24"/>
        </w:rPr>
        <w:t xml:space="preserve">he policy is indeed effective. </w:t>
      </w:r>
      <w:r w:rsidR="00425B94" w:rsidRPr="00302F56">
        <w:rPr>
          <w:rFonts w:ascii="Arial" w:hAnsi="Arial" w:cs="Arial"/>
          <w:sz w:val="24"/>
          <w:szCs w:val="24"/>
        </w:rPr>
        <w:t xml:space="preserve">Taking into consideration that a considerable number of incidents and complaints where received by Netcare starting in 2004 up to 2017 regarding the abusive behaviour and vulgar language used by Dr Grobler, Professor Cheadle testified that “… it just seems to me, cries out for a review at some stage”. Professor Cheadle opined that the failure to review the implementation of the policy by senior management under these circumstances would not be what a reasonable employer would do. </w:t>
      </w:r>
    </w:p>
    <w:p w:rsidR="00237BC6" w:rsidRPr="00302F56" w:rsidRDefault="00425B94" w:rsidP="00237BC6">
      <w:pPr>
        <w:spacing w:line="360" w:lineRule="auto"/>
        <w:ind w:left="709" w:hanging="709"/>
        <w:jc w:val="both"/>
        <w:rPr>
          <w:rFonts w:ascii="Arial" w:hAnsi="Arial" w:cs="Arial"/>
          <w:sz w:val="24"/>
          <w:szCs w:val="24"/>
        </w:rPr>
      </w:pPr>
      <w:r w:rsidRPr="00302F56">
        <w:rPr>
          <w:rFonts w:ascii="Arial" w:hAnsi="Arial" w:cs="Arial"/>
          <w:sz w:val="24"/>
          <w:szCs w:val="24"/>
        </w:rPr>
        <w:t>[3</w:t>
      </w:r>
      <w:r w:rsidR="008A3693" w:rsidRPr="00302F56">
        <w:rPr>
          <w:rFonts w:ascii="Arial" w:hAnsi="Arial" w:cs="Arial"/>
          <w:sz w:val="24"/>
          <w:szCs w:val="24"/>
        </w:rPr>
        <w:t>3</w:t>
      </w:r>
      <w:r w:rsidRPr="00302F56">
        <w:rPr>
          <w:rFonts w:ascii="Arial" w:hAnsi="Arial" w:cs="Arial"/>
          <w:sz w:val="24"/>
          <w:szCs w:val="24"/>
        </w:rPr>
        <w:t>]</w:t>
      </w:r>
      <w:r w:rsidR="008A3693" w:rsidRPr="00302F56">
        <w:rPr>
          <w:rFonts w:ascii="Arial" w:hAnsi="Arial" w:cs="Arial"/>
          <w:sz w:val="24"/>
          <w:szCs w:val="24"/>
        </w:rPr>
        <w:tab/>
        <w:t xml:space="preserve">The clause dealing with harassment, discrimination </w:t>
      </w:r>
      <w:r w:rsidR="00237BC6" w:rsidRPr="00302F56">
        <w:rPr>
          <w:rFonts w:ascii="Arial" w:hAnsi="Arial" w:cs="Arial"/>
          <w:sz w:val="24"/>
          <w:szCs w:val="24"/>
        </w:rPr>
        <w:t xml:space="preserve">and/or abuse of any nature which includes </w:t>
      </w:r>
      <w:r w:rsidR="008A3693" w:rsidRPr="00302F56">
        <w:rPr>
          <w:rFonts w:ascii="Arial" w:hAnsi="Arial" w:cs="Arial"/>
          <w:sz w:val="24"/>
          <w:szCs w:val="24"/>
        </w:rPr>
        <w:t>violence/bullying</w:t>
      </w:r>
      <w:r w:rsidR="00C9588E" w:rsidRPr="00302F56">
        <w:rPr>
          <w:rFonts w:ascii="Arial" w:hAnsi="Arial" w:cs="Arial"/>
          <w:sz w:val="24"/>
          <w:szCs w:val="24"/>
        </w:rPr>
        <w:t xml:space="preserve"> contained in</w:t>
      </w:r>
      <w:r w:rsidR="008A3693" w:rsidRPr="00302F56">
        <w:rPr>
          <w:rFonts w:ascii="Arial" w:hAnsi="Arial" w:cs="Arial"/>
          <w:sz w:val="24"/>
          <w:szCs w:val="24"/>
        </w:rPr>
        <w:t xml:space="preserve"> Netcare’s policy, provides that </w:t>
      </w:r>
      <w:r w:rsidR="00237BC6" w:rsidRPr="00302F56">
        <w:rPr>
          <w:rFonts w:ascii="Arial" w:hAnsi="Arial" w:cs="Arial"/>
          <w:sz w:val="24"/>
          <w:szCs w:val="24"/>
        </w:rPr>
        <w:t xml:space="preserve">such conduct is not acceptable, will not be permitted or condoned. The policy requires that all employees are fairly and equitably treated and that all reports of any type of harassment, discrimination or abuse </w:t>
      </w:r>
      <w:r w:rsidR="00C9588E" w:rsidRPr="00302F56">
        <w:rPr>
          <w:rFonts w:ascii="Arial" w:hAnsi="Arial" w:cs="Arial"/>
          <w:sz w:val="24"/>
          <w:szCs w:val="24"/>
        </w:rPr>
        <w:t>will be</w:t>
      </w:r>
      <w:r w:rsidR="00237BC6" w:rsidRPr="00302F56">
        <w:rPr>
          <w:rFonts w:ascii="Arial" w:hAnsi="Arial" w:cs="Arial"/>
          <w:sz w:val="24"/>
          <w:szCs w:val="24"/>
        </w:rPr>
        <w:t xml:space="preserve"> treated seriously and empathetically. </w:t>
      </w:r>
    </w:p>
    <w:p w:rsidR="008F055F" w:rsidRPr="00302F56" w:rsidRDefault="00237BC6" w:rsidP="00237BC6">
      <w:pPr>
        <w:spacing w:line="360" w:lineRule="auto"/>
        <w:ind w:left="709" w:hanging="709"/>
        <w:jc w:val="both"/>
        <w:rPr>
          <w:rFonts w:ascii="Arial" w:hAnsi="Arial" w:cs="Arial"/>
          <w:sz w:val="24"/>
          <w:szCs w:val="24"/>
        </w:rPr>
      </w:pPr>
      <w:r w:rsidRPr="00302F56">
        <w:rPr>
          <w:rFonts w:ascii="Arial" w:hAnsi="Arial" w:cs="Arial"/>
          <w:sz w:val="24"/>
          <w:szCs w:val="24"/>
        </w:rPr>
        <w:t>[34]</w:t>
      </w:r>
      <w:r w:rsidRPr="00302F56">
        <w:rPr>
          <w:rFonts w:ascii="Arial" w:hAnsi="Arial" w:cs="Arial"/>
          <w:sz w:val="24"/>
          <w:szCs w:val="24"/>
        </w:rPr>
        <w:tab/>
        <w:t xml:space="preserve">According to professor Cheadle, given the number and content of the grievances lodged against </w:t>
      </w:r>
      <w:r w:rsidR="00C9588E" w:rsidRPr="00302F56">
        <w:rPr>
          <w:rFonts w:ascii="Arial" w:hAnsi="Arial" w:cs="Arial"/>
          <w:sz w:val="24"/>
          <w:szCs w:val="24"/>
        </w:rPr>
        <w:t>D</w:t>
      </w:r>
      <w:r w:rsidRPr="00302F56">
        <w:rPr>
          <w:rFonts w:ascii="Arial" w:hAnsi="Arial" w:cs="Arial"/>
          <w:sz w:val="24"/>
          <w:szCs w:val="24"/>
        </w:rPr>
        <w:t>r Grobler and given Netcare’s zero-tolerance approach to harassment, a reason</w:t>
      </w:r>
      <w:r w:rsidR="000E65AC" w:rsidRPr="00302F56">
        <w:rPr>
          <w:rFonts w:ascii="Arial" w:hAnsi="Arial" w:cs="Arial"/>
          <w:sz w:val="24"/>
          <w:szCs w:val="24"/>
        </w:rPr>
        <w:t>a</w:t>
      </w:r>
      <w:r w:rsidRPr="00302F56">
        <w:rPr>
          <w:rFonts w:ascii="Arial" w:hAnsi="Arial" w:cs="Arial"/>
          <w:sz w:val="24"/>
          <w:szCs w:val="24"/>
        </w:rPr>
        <w:t>b</w:t>
      </w:r>
      <w:r w:rsidR="000E65AC" w:rsidRPr="00302F56">
        <w:rPr>
          <w:rFonts w:ascii="Arial" w:hAnsi="Arial" w:cs="Arial"/>
          <w:sz w:val="24"/>
          <w:szCs w:val="24"/>
        </w:rPr>
        <w:t>l</w:t>
      </w:r>
      <w:r w:rsidRPr="00302F56">
        <w:rPr>
          <w:rFonts w:ascii="Arial" w:hAnsi="Arial" w:cs="Arial"/>
          <w:sz w:val="24"/>
          <w:szCs w:val="24"/>
        </w:rPr>
        <w:t xml:space="preserve">e employer would have warned Dr Grobler about his </w:t>
      </w:r>
      <w:r w:rsidRPr="00302F56">
        <w:rPr>
          <w:rFonts w:ascii="Arial" w:hAnsi="Arial" w:cs="Arial"/>
          <w:sz w:val="24"/>
          <w:szCs w:val="24"/>
        </w:rPr>
        <w:lastRenderedPageBreak/>
        <w:t xml:space="preserve">behaviour after the first complaint and would have terminated its contract with him, at the very least, after the third incident. </w:t>
      </w:r>
      <w:r w:rsidR="000E65AC" w:rsidRPr="00302F56">
        <w:rPr>
          <w:rFonts w:ascii="Arial" w:hAnsi="Arial" w:cs="Arial"/>
          <w:sz w:val="24"/>
          <w:szCs w:val="24"/>
        </w:rPr>
        <w:t xml:space="preserve">He furthermore opined that it is evident from the alleged facts and the contents of the Plaintiff’s Trial Bundle, that the precautionary measures were not properly implemented nor were they properly monitored, reported to or acted upon by senior management – all of which a reasonable employer in the position of Netcare would have ensured. Put differently, Professor Cheadle opined that Netcare failed to comply with the standard of care expected of a reasonable employer in the position of Netcare. </w:t>
      </w:r>
      <w:r w:rsidRPr="00302F56">
        <w:rPr>
          <w:rFonts w:ascii="Arial" w:hAnsi="Arial" w:cs="Arial"/>
          <w:sz w:val="24"/>
          <w:szCs w:val="24"/>
        </w:rPr>
        <w:t xml:space="preserve"> </w:t>
      </w:r>
    </w:p>
    <w:p w:rsidR="000E65AC" w:rsidRPr="00302F56" w:rsidRDefault="000E65AC" w:rsidP="000E65AC">
      <w:pPr>
        <w:spacing w:line="360" w:lineRule="auto"/>
        <w:ind w:left="709" w:hanging="709"/>
        <w:jc w:val="both"/>
        <w:rPr>
          <w:rFonts w:ascii="Arial" w:hAnsi="Arial" w:cs="Arial"/>
          <w:sz w:val="24"/>
          <w:szCs w:val="24"/>
        </w:rPr>
      </w:pPr>
      <w:r w:rsidRPr="00302F56">
        <w:rPr>
          <w:rFonts w:ascii="Arial" w:hAnsi="Arial" w:cs="Arial"/>
          <w:sz w:val="24"/>
          <w:szCs w:val="24"/>
        </w:rPr>
        <w:t>[35]</w:t>
      </w:r>
      <w:r w:rsidRPr="00302F56">
        <w:rPr>
          <w:rFonts w:ascii="Arial" w:hAnsi="Arial" w:cs="Arial"/>
          <w:sz w:val="24"/>
          <w:szCs w:val="24"/>
        </w:rPr>
        <w:tab/>
      </w:r>
      <w:r w:rsidR="00722C42" w:rsidRPr="00302F56">
        <w:rPr>
          <w:rFonts w:ascii="Arial" w:hAnsi="Arial" w:cs="Arial"/>
          <w:sz w:val="24"/>
          <w:szCs w:val="24"/>
        </w:rPr>
        <w:t xml:space="preserve">The </w:t>
      </w:r>
      <w:r w:rsidR="008D33D7" w:rsidRPr="00302F56">
        <w:rPr>
          <w:rFonts w:ascii="Arial" w:hAnsi="Arial" w:cs="Arial"/>
          <w:sz w:val="24"/>
          <w:szCs w:val="24"/>
        </w:rPr>
        <w:t>disputed issue</w:t>
      </w:r>
      <w:r w:rsidR="00EE385F" w:rsidRPr="00302F56">
        <w:rPr>
          <w:rFonts w:ascii="Arial" w:hAnsi="Arial" w:cs="Arial"/>
          <w:sz w:val="24"/>
          <w:szCs w:val="24"/>
        </w:rPr>
        <w:t>, apart from the scale of costs issue,</w:t>
      </w:r>
      <w:r w:rsidR="008D33D7" w:rsidRPr="00302F56">
        <w:rPr>
          <w:rFonts w:ascii="Arial" w:hAnsi="Arial" w:cs="Arial"/>
          <w:sz w:val="24"/>
          <w:szCs w:val="24"/>
        </w:rPr>
        <w:t xml:space="preserve"> is</w:t>
      </w:r>
      <w:r w:rsidR="00722C42" w:rsidRPr="00302F56">
        <w:rPr>
          <w:rFonts w:ascii="Arial" w:hAnsi="Arial" w:cs="Arial"/>
          <w:sz w:val="24"/>
          <w:szCs w:val="24"/>
        </w:rPr>
        <w:t xml:space="preserve"> whether the plaintiff </w:t>
      </w:r>
      <w:r w:rsidR="008D33D7" w:rsidRPr="00302F56">
        <w:rPr>
          <w:rFonts w:ascii="Arial" w:hAnsi="Arial" w:cs="Arial"/>
          <w:sz w:val="24"/>
          <w:szCs w:val="24"/>
        </w:rPr>
        <w:t xml:space="preserve">is entitled to a public apology and payment of damages from Netcare where she had been defamed by Dr Grobler for a period of </w:t>
      </w:r>
      <w:r w:rsidR="00C9588E" w:rsidRPr="00302F56">
        <w:rPr>
          <w:rFonts w:ascii="Arial" w:hAnsi="Arial" w:cs="Arial"/>
          <w:sz w:val="24"/>
          <w:szCs w:val="24"/>
        </w:rPr>
        <w:t>a decade,</w:t>
      </w:r>
      <w:r w:rsidR="008D33D7" w:rsidRPr="00302F56">
        <w:rPr>
          <w:rFonts w:ascii="Arial" w:hAnsi="Arial" w:cs="Arial"/>
          <w:sz w:val="24"/>
          <w:szCs w:val="24"/>
        </w:rPr>
        <w:t xml:space="preserve"> during which period her employer</w:t>
      </w:r>
      <w:r w:rsidR="004B594F" w:rsidRPr="00302F56">
        <w:rPr>
          <w:rFonts w:ascii="Arial" w:hAnsi="Arial" w:cs="Arial"/>
          <w:sz w:val="24"/>
          <w:szCs w:val="24"/>
        </w:rPr>
        <w:t>, Netcare,</w:t>
      </w:r>
      <w:r w:rsidR="008D33D7" w:rsidRPr="00302F56">
        <w:rPr>
          <w:rFonts w:ascii="Arial" w:hAnsi="Arial" w:cs="Arial"/>
          <w:sz w:val="24"/>
          <w:szCs w:val="24"/>
        </w:rPr>
        <w:t xml:space="preserve"> failed to protect her, and if so the ambit of such an apology. </w:t>
      </w:r>
      <w:r w:rsidR="008C60B5" w:rsidRPr="00302F56">
        <w:rPr>
          <w:rFonts w:ascii="Arial" w:hAnsi="Arial" w:cs="Arial"/>
          <w:sz w:val="24"/>
          <w:szCs w:val="24"/>
        </w:rPr>
        <w:t xml:space="preserve"> </w:t>
      </w:r>
    </w:p>
    <w:p w:rsidR="00BE0512" w:rsidRPr="00302F56" w:rsidRDefault="000E65AC" w:rsidP="000E65AC">
      <w:pPr>
        <w:spacing w:line="360" w:lineRule="auto"/>
        <w:ind w:left="709" w:hanging="709"/>
        <w:jc w:val="both"/>
        <w:rPr>
          <w:rFonts w:ascii="Arial" w:hAnsi="Arial" w:cs="Arial"/>
          <w:sz w:val="24"/>
          <w:szCs w:val="24"/>
        </w:rPr>
      </w:pPr>
      <w:r w:rsidRPr="00302F56">
        <w:rPr>
          <w:rFonts w:ascii="Arial" w:hAnsi="Arial" w:cs="Arial"/>
          <w:sz w:val="24"/>
          <w:szCs w:val="24"/>
        </w:rPr>
        <w:t>[36]</w:t>
      </w:r>
      <w:r w:rsidRPr="00302F56">
        <w:rPr>
          <w:rFonts w:ascii="Arial" w:hAnsi="Arial" w:cs="Arial"/>
          <w:sz w:val="24"/>
          <w:szCs w:val="24"/>
        </w:rPr>
        <w:tab/>
      </w:r>
      <w:r w:rsidR="003F2B0C" w:rsidRPr="00302F56">
        <w:rPr>
          <w:rFonts w:ascii="Arial" w:hAnsi="Arial" w:cs="Arial"/>
          <w:sz w:val="24"/>
          <w:szCs w:val="24"/>
        </w:rPr>
        <w:t>In an article in Obiter</w:t>
      </w:r>
      <w:r w:rsidR="003F2B0C" w:rsidRPr="00302F56">
        <w:rPr>
          <w:rStyle w:val="FootnoteReference"/>
          <w:rFonts w:ascii="Arial" w:hAnsi="Arial" w:cs="Arial"/>
          <w:sz w:val="24"/>
          <w:szCs w:val="24"/>
        </w:rPr>
        <w:footnoteReference w:id="8"/>
      </w:r>
      <w:r w:rsidR="003F2B0C" w:rsidRPr="00302F56">
        <w:rPr>
          <w:rFonts w:ascii="Arial" w:hAnsi="Arial" w:cs="Arial"/>
          <w:sz w:val="24"/>
          <w:szCs w:val="24"/>
        </w:rPr>
        <w:t xml:space="preserve">, the Nelson Mandela University Law Journal, André Mukheibir, </w:t>
      </w:r>
      <w:r w:rsidR="00C9588E" w:rsidRPr="00302F56">
        <w:rPr>
          <w:rFonts w:ascii="Arial" w:hAnsi="Arial" w:cs="Arial"/>
          <w:sz w:val="24"/>
          <w:szCs w:val="24"/>
        </w:rPr>
        <w:t>(</w:t>
      </w:r>
      <w:r w:rsidR="003F2B0C" w:rsidRPr="00302F56">
        <w:rPr>
          <w:rFonts w:ascii="Arial" w:hAnsi="Arial" w:cs="Arial"/>
          <w:sz w:val="24"/>
          <w:szCs w:val="24"/>
        </w:rPr>
        <w:t>a professor at the Department of Private Law at the Nelson Mandela Metropolitan University</w:t>
      </w:r>
      <w:r w:rsidR="00C9588E" w:rsidRPr="00302F56">
        <w:rPr>
          <w:rFonts w:ascii="Arial" w:hAnsi="Arial" w:cs="Arial"/>
          <w:sz w:val="24"/>
          <w:szCs w:val="24"/>
        </w:rPr>
        <w:t>),</w:t>
      </w:r>
      <w:r w:rsidR="003F2B0C" w:rsidRPr="00302F56">
        <w:rPr>
          <w:rFonts w:ascii="Arial" w:hAnsi="Arial" w:cs="Arial"/>
          <w:sz w:val="24"/>
          <w:szCs w:val="24"/>
        </w:rPr>
        <w:t xml:space="preserve"> provided an insightful study pertaining to the origin of the </w:t>
      </w:r>
      <w:r w:rsidR="003F2B0C" w:rsidRPr="00302F56">
        <w:rPr>
          <w:rFonts w:ascii="Arial" w:hAnsi="Arial" w:cs="Arial"/>
          <w:i/>
          <w:sz w:val="24"/>
          <w:szCs w:val="24"/>
        </w:rPr>
        <w:t xml:space="preserve">amende honorable </w:t>
      </w:r>
      <w:r w:rsidR="003F2B0C" w:rsidRPr="00302F56">
        <w:rPr>
          <w:rFonts w:ascii="Arial" w:hAnsi="Arial" w:cs="Arial"/>
          <w:sz w:val="24"/>
          <w:szCs w:val="24"/>
        </w:rPr>
        <w:t xml:space="preserve">and the possible reincarnation or revival of this remedy. </w:t>
      </w:r>
      <w:r w:rsidR="00BE0512" w:rsidRPr="00302F56">
        <w:rPr>
          <w:rFonts w:ascii="Arial" w:hAnsi="Arial" w:cs="Arial"/>
          <w:sz w:val="24"/>
          <w:szCs w:val="24"/>
        </w:rPr>
        <w:t>She remarked as follows in:</w:t>
      </w:r>
      <w:r w:rsidR="004A1F11" w:rsidRPr="00302F56">
        <w:rPr>
          <w:rFonts w:ascii="Arial" w:hAnsi="Arial" w:cs="Arial"/>
          <w:sz w:val="24"/>
          <w:szCs w:val="24"/>
        </w:rPr>
        <w:t xml:space="preserve"> Reincarnation or </w:t>
      </w:r>
      <w:r w:rsidR="00BE0512" w:rsidRPr="00302F56">
        <w:rPr>
          <w:rFonts w:ascii="Arial" w:hAnsi="Arial" w:cs="Arial"/>
          <w:sz w:val="24"/>
          <w:szCs w:val="24"/>
        </w:rPr>
        <w:t>H</w:t>
      </w:r>
      <w:r w:rsidR="004A1F11" w:rsidRPr="00302F56">
        <w:rPr>
          <w:rFonts w:ascii="Arial" w:hAnsi="Arial" w:cs="Arial"/>
          <w:sz w:val="24"/>
          <w:szCs w:val="24"/>
        </w:rPr>
        <w:t xml:space="preserve">allucination? The revival (or not) of the </w:t>
      </w:r>
      <w:r w:rsidR="004A1F11" w:rsidRPr="00302F56">
        <w:rPr>
          <w:rFonts w:ascii="Arial" w:hAnsi="Arial" w:cs="Arial"/>
          <w:i/>
          <w:sz w:val="24"/>
          <w:szCs w:val="24"/>
        </w:rPr>
        <w:t>amende honorable</w:t>
      </w:r>
      <w:r w:rsidR="003F2B0C" w:rsidRPr="00302F56">
        <w:rPr>
          <w:rFonts w:ascii="Arial" w:hAnsi="Arial" w:cs="Arial"/>
          <w:sz w:val="24"/>
          <w:szCs w:val="24"/>
        </w:rPr>
        <w:t xml:space="preserve">: </w:t>
      </w:r>
    </w:p>
    <w:p w:rsidR="004E0088" w:rsidRPr="00302F56" w:rsidRDefault="00BE0512" w:rsidP="000E65AC">
      <w:pPr>
        <w:spacing w:line="360" w:lineRule="auto"/>
        <w:ind w:left="709" w:hanging="709"/>
        <w:jc w:val="both"/>
        <w:rPr>
          <w:rFonts w:ascii="Arial" w:hAnsi="Arial" w:cs="Arial"/>
          <w:i/>
          <w:sz w:val="20"/>
          <w:szCs w:val="20"/>
        </w:rPr>
      </w:pPr>
      <w:r w:rsidRPr="00302F56">
        <w:rPr>
          <w:rFonts w:ascii="Arial" w:hAnsi="Arial" w:cs="Arial"/>
          <w:sz w:val="24"/>
          <w:szCs w:val="24"/>
        </w:rPr>
        <w:tab/>
      </w:r>
      <w:r w:rsidR="004E0088" w:rsidRPr="00302F56">
        <w:rPr>
          <w:rFonts w:ascii="Arial" w:hAnsi="Arial" w:cs="Arial"/>
          <w:sz w:val="20"/>
          <w:szCs w:val="20"/>
        </w:rPr>
        <w:t>“</w:t>
      </w:r>
      <w:r w:rsidR="008C60B5" w:rsidRPr="00302F56">
        <w:rPr>
          <w:rFonts w:ascii="Arial" w:hAnsi="Arial" w:cs="Arial"/>
          <w:sz w:val="20"/>
          <w:szCs w:val="20"/>
        </w:rPr>
        <w:t xml:space="preserve">The </w:t>
      </w:r>
      <w:r w:rsidR="008C60B5" w:rsidRPr="00302F56">
        <w:rPr>
          <w:rFonts w:ascii="Arial" w:hAnsi="Arial" w:cs="Arial"/>
          <w:i/>
          <w:sz w:val="20"/>
          <w:szCs w:val="20"/>
        </w:rPr>
        <w:t>amende honorable</w:t>
      </w:r>
      <w:r w:rsidR="008C60B5" w:rsidRPr="00302F56">
        <w:rPr>
          <w:rFonts w:ascii="Arial" w:hAnsi="Arial" w:cs="Arial"/>
          <w:sz w:val="20"/>
          <w:szCs w:val="20"/>
        </w:rPr>
        <w:t xml:space="preserve"> </w:t>
      </w:r>
      <w:r w:rsidR="003F2B0C" w:rsidRPr="00302F56">
        <w:rPr>
          <w:rFonts w:ascii="Arial" w:hAnsi="Arial" w:cs="Arial"/>
          <w:sz w:val="20"/>
          <w:szCs w:val="20"/>
        </w:rPr>
        <w:t>had its origin in both Germanic and canon law</w:t>
      </w:r>
      <w:r w:rsidR="004E0088" w:rsidRPr="00302F56">
        <w:rPr>
          <w:rFonts w:ascii="Arial" w:hAnsi="Arial" w:cs="Arial"/>
          <w:sz w:val="20"/>
          <w:szCs w:val="20"/>
        </w:rPr>
        <w:t xml:space="preserve">. The action was actually a combination of three remedies. In terms of the </w:t>
      </w:r>
      <w:r w:rsidR="004E0088" w:rsidRPr="00302F56">
        <w:rPr>
          <w:rFonts w:ascii="Arial" w:hAnsi="Arial" w:cs="Arial"/>
          <w:i/>
          <w:sz w:val="20"/>
          <w:szCs w:val="20"/>
        </w:rPr>
        <w:t xml:space="preserve">declaratio honoris, </w:t>
      </w:r>
      <w:r w:rsidR="004E0088" w:rsidRPr="00302F56">
        <w:rPr>
          <w:rFonts w:ascii="Arial" w:hAnsi="Arial" w:cs="Arial"/>
          <w:sz w:val="20"/>
          <w:szCs w:val="20"/>
        </w:rPr>
        <w:t>which had its roots in Germanic customary law, the perpetrator</w:t>
      </w:r>
      <w:r w:rsidR="004E0088" w:rsidRPr="00302F56">
        <w:rPr>
          <w:rFonts w:ascii="Arial" w:hAnsi="Arial" w:cs="Arial"/>
          <w:i/>
          <w:sz w:val="20"/>
          <w:szCs w:val="20"/>
        </w:rPr>
        <w:t xml:space="preserve"> </w:t>
      </w:r>
      <w:r w:rsidR="004E0088" w:rsidRPr="00302F56">
        <w:rPr>
          <w:rFonts w:ascii="Arial" w:hAnsi="Arial" w:cs="Arial"/>
          <w:sz w:val="20"/>
          <w:szCs w:val="20"/>
        </w:rPr>
        <w:t xml:space="preserve">declared that he had made his declaration in the heat of the moment. The aggrieved party could then claim that the perpetrator </w:t>
      </w:r>
      <w:r w:rsidR="0049526C" w:rsidRPr="00302F56">
        <w:rPr>
          <w:rFonts w:ascii="Arial" w:hAnsi="Arial" w:cs="Arial"/>
          <w:sz w:val="20"/>
          <w:szCs w:val="20"/>
        </w:rPr>
        <w:t>retracts</w:t>
      </w:r>
      <w:r w:rsidR="004E0088" w:rsidRPr="00302F56">
        <w:rPr>
          <w:rFonts w:ascii="Arial" w:hAnsi="Arial" w:cs="Arial"/>
          <w:sz w:val="20"/>
          <w:szCs w:val="20"/>
        </w:rPr>
        <w:t xml:space="preserve"> his defamatory words and deny the truth thereof (with the so-called </w:t>
      </w:r>
      <w:r w:rsidR="004E0088" w:rsidRPr="00302F56">
        <w:rPr>
          <w:rFonts w:ascii="Arial" w:hAnsi="Arial" w:cs="Arial"/>
          <w:i/>
          <w:sz w:val="20"/>
          <w:szCs w:val="20"/>
        </w:rPr>
        <w:t xml:space="preserve">palinodia or recantio) </w:t>
      </w:r>
      <w:r w:rsidR="004E0088" w:rsidRPr="00302F56">
        <w:rPr>
          <w:rFonts w:ascii="Arial" w:hAnsi="Arial" w:cs="Arial"/>
          <w:sz w:val="20"/>
          <w:szCs w:val="20"/>
        </w:rPr>
        <w:t xml:space="preserve">and secondly claim an admission of guilt and an apology (with a </w:t>
      </w:r>
      <w:r w:rsidR="004E0088" w:rsidRPr="00302F56">
        <w:rPr>
          <w:rFonts w:ascii="Arial" w:hAnsi="Arial" w:cs="Arial"/>
          <w:i/>
          <w:sz w:val="20"/>
          <w:szCs w:val="20"/>
        </w:rPr>
        <w:t>deprecation).</w:t>
      </w:r>
      <w:r w:rsidR="004E0088" w:rsidRPr="00302F56">
        <w:rPr>
          <w:rFonts w:ascii="Arial" w:hAnsi="Arial" w:cs="Arial"/>
          <w:sz w:val="20"/>
          <w:szCs w:val="20"/>
        </w:rPr>
        <w:t xml:space="preserve"> The</w:t>
      </w:r>
      <w:r w:rsidR="004E0088" w:rsidRPr="00302F56">
        <w:rPr>
          <w:rFonts w:ascii="Arial" w:hAnsi="Arial" w:cs="Arial"/>
          <w:i/>
          <w:sz w:val="20"/>
          <w:szCs w:val="20"/>
        </w:rPr>
        <w:t xml:space="preserve"> amende honorable </w:t>
      </w:r>
      <w:r w:rsidR="004E0088" w:rsidRPr="00302F56">
        <w:rPr>
          <w:rFonts w:ascii="Arial" w:hAnsi="Arial" w:cs="Arial"/>
          <w:sz w:val="20"/>
          <w:szCs w:val="20"/>
        </w:rPr>
        <w:t>was generally regarded as compensatory. Voet, however, regarded a recantation as carryin</w:t>
      </w:r>
      <w:r w:rsidR="00C9588E" w:rsidRPr="00302F56">
        <w:rPr>
          <w:rFonts w:ascii="Arial" w:hAnsi="Arial" w:cs="Arial"/>
          <w:sz w:val="20"/>
          <w:szCs w:val="20"/>
        </w:rPr>
        <w:t>g</w:t>
      </w:r>
      <w:r w:rsidR="004E0088" w:rsidRPr="00302F56">
        <w:rPr>
          <w:rFonts w:ascii="Arial" w:hAnsi="Arial" w:cs="Arial"/>
          <w:sz w:val="20"/>
          <w:szCs w:val="20"/>
        </w:rPr>
        <w:t xml:space="preserve"> with it a great enough penalty, because the person who had to withdraw his defamatory words was </w:t>
      </w:r>
      <w:r w:rsidR="00C9588E" w:rsidRPr="00302F56">
        <w:rPr>
          <w:rFonts w:ascii="Arial" w:hAnsi="Arial" w:cs="Arial"/>
          <w:sz w:val="20"/>
          <w:szCs w:val="20"/>
        </w:rPr>
        <w:t>‘</w:t>
      </w:r>
      <w:r w:rsidR="004E0088" w:rsidRPr="00302F56">
        <w:rPr>
          <w:rFonts w:ascii="Arial" w:hAnsi="Arial" w:cs="Arial"/>
          <w:sz w:val="20"/>
          <w:szCs w:val="20"/>
        </w:rPr>
        <w:t>handed over to the words</w:t>
      </w:r>
      <w:r w:rsidR="004A1F11" w:rsidRPr="00302F56">
        <w:rPr>
          <w:rFonts w:ascii="Arial" w:hAnsi="Arial" w:cs="Arial"/>
          <w:sz w:val="20"/>
          <w:szCs w:val="20"/>
        </w:rPr>
        <w:t xml:space="preserve"> </w:t>
      </w:r>
      <w:r w:rsidR="004E0088" w:rsidRPr="00302F56">
        <w:rPr>
          <w:rFonts w:ascii="Arial" w:hAnsi="Arial" w:cs="Arial"/>
          <w:sz w:val="20"/>
          <w:szCs w:val="20"/>
        </w:rPr>
        <w:t>of peni</w:t>
      </w:r>
      <w:r w:rsidR="004A1F11" w:rsidRPr="00302F56">
        <w:rPr>
          <w:rFonts w:ascii="Arial" w:hAnsi="Arial" w:cs="Arial"/>
          <w:sz w:val="20"/>
          <w:szCs w:val="20"/>
        </w:rPr>
        <w:t>t</w:t>
      </w:r>
      <w:r w:rsidR="004E0088" w:rsidRPr="00302F56">
        <w:rPr>
          <w:rFonts w:ascii="Arial" w:hAnsi="Arial" w:cs="Arial"/>
          <w:sz w:val="20"/>
          <w:szCs w:val="20"/>
        </w:rPr>
        <w:t>ence</w:t>
      </w:r>
      <w:r w:rsidR="00C9588E" w:rsidRPr="00302F56">
        <w:rPr>
          <w:rFonts w:ascii="Arial" w:hAnsi="Arial" w:cs="Arial"/>
          <w:sz w:val="20"/>
          <w:szCs w:val="20"/>
        </w:rPr>
        <w:t>’</w:t>
      </w:r>
      <w:r w:rsidR="004A1F11" w:rsidRPr="00302F56">
        <w:rPr>
          <w:rFonts w:ascii="Arial" w:hAnsi="Arial" w:cs="Arial"/>
          <w:sz w:val="20"/>
          <w:szCs w:val="20"/>
        </w:rPr>
        <w:t>, but the action was still civil rather than criminal. The</w:t>
      </w:r>
      <w:r w:rsidR="004A1F11" w:rsidRPr="00302F56">
        <w:rPr>
          <w:rFonts w:ascii="Arial" w:hAnsi="Arial" w:cs="Arial"/>
          <w:i/>
          <w:sz w:val="20"/>
          <w:szCs w:val="20"/>
        </w:rPr>
        <w:t xml:space="preserve"> amende honorable </w:t>
      </w:r>
      <w:r w:rsidR="004A1F11" w:rsidRPr="00302F56">
        <w:rPr>
          <w:rFonts w:ascii="Arial" w:hAnsi="Arial" w:cs="Arial"/>
          <w:sz w:val="20"/>
          <w:szCs w:val="20"/>
        </w:rPr>
        <w:t>was generally accepted to have fallen into disuse, while the</w:t>
      </w:r>
      <w:r w:rsidR="004A1F11" w:rsidRPr="00302F56">
        <w:rPr>
          <w:rFonts w:ascii="Arial" w:hAnsi="Arial" w:cs="Arial"/>
          <w:i/>
          <w:sz w:val="20"/>
          <w:szCs w:val="20"/>
        </w:rPr>
        <w:t xml:space="preserve"> amende profitable </w:t>
      </w:r>
      <w:r w:rsidR="004A1F11" w:rsidRPr="00302F56">
        <w:rPr>
          <w:rFonts w:ascii="Arial" w:hAnsi="Arial" w:cs="Arial"/>
          <w:sz w:val="20"/>
          <w:szCs w:val="20"/>
        </w:rPr>
        <w:t>again became known as the</w:t>
      </w:r>
      <w:r w:rsidR="004A1F11" w:rsidRPr="00302F56">
        <w:rPr>
          <w:rFonts w:ascii="Arial" w:hAnsi="Arial" w:cs="Arial"/>
          <w:i/>
          <w:sz w:val="20"/>
          <w:szCs w:val="20"/>
        </w:rPr>
        <w:t xml:space="preserve"> </w:t>
      </w:r>
      <w:proofErr w:type="spellStart"/>
      <w:r w:rsidR="004A1F11" w:rsidRPr="00302F56">
        <w:rPr>
          <w:rFonts w:ascii="Arial" w:hAnsi="Arial" w:cs="Arial"/>
          <w:i/>
          <w:sz w:val="20"/>
          <w:szCs w:val="20"/>
        </w:rPr>
        <w:t>actio</w:t>
      </w:r>
      <w:proofErr w:type="spellEnd"/>
      <w:r w:rsidR="004A1F11" w:rsidRPr="00302F56">
        <w:rPr>
          <w:rFonts w:ascii="Arial" w:hAnsi="Arial" w:cs="Arial"/>
          <w:i/>
          <w:sz w:val="20"/>
          <w:szCs w:val="20"/>
        </w:rPr>
        <w:t xml:space="preserve"> </w:t>
      </w:r>
      <w:proofErr w:type="spellStart"/>
      <w:r w:rsidR="0049526C" w:rsidRPr="00302F56">
        <w:rPr>
          <w:rFonts w:ascii="Arial" w:hAnsi="Arial" w:cs="Arial"/>
          <w:i/>
          <w:sz w:val="20"/>
          <w:szCs w:val="20"/>
        </w:rPr>
        <w:t>iniuriarum</w:t>
      </w:r>
      <w:proofErr w:type="spellEnd"/>
      <w:r w:rsidR="0049526C" w:rsidRPr="00302F56">
        <w:rPr>
          <w:rFonts w:ascii="Arial" w:hAnsi="Arial" w:cs="Arial"/>
          <w:i/>
          <w:sz w:val="20"/>
          <w:szCs w:val="20"/>
        </w:rPr>
        <w:t>”</w:t>
      </w:r>
      <w:r w:rsidRPr="00302F56">
        <w:rPr>
          <w:rFonts w:ascii="Arial" w:hAnsi="Arial" w:cs="Arial"/>
          <w:i/>
          <w:sz w:val="20"/>
          <w:szCs w:val="20"/>
        </w:rPr>
        <w:t xml:space="preserve"> </w:t>
      </w:r>
      <w:r w:rsidR="0049526C" w:rsidRPr="00302F56">
        <w:rPr>
          <w:rFonts w:ascii="Arial" w:hAnsi="Arial" w:cs="Arial"/>
          <w:i/>
          <w:sz w:val="20"/>
          <w:szCs w:val="20"/>
        </w:rPr>
        <w:t>(</w:t>
      </w:r>
      <w:r w:rsidR="0049526C" w:rsidRPr="00302F56">
        <w:rPr>
          <w:rFonts w:ascii="Arial" w:hAnsi="Arial" w:cs="Arial"/>
          <w:sz w:val="20"/>
          <w:szCs w:val="20"/>
        </w:rPr>
        <w:t>references</w:t>
      </w:r>
      <w:r w:rsidRPr="00302F56">
        <w:rPr>
          <w:rFonts w:ascii="Arial" w:hAnsi="Arial" w:cs="Arial"/>
          <w:sz w:val="20"/>
          <w:szCs w:val="20"/>
        </w:rPr>
        <w:t xml:space="preserve"> omitted</w:t>
      </w:r>
      <w:r w:rsidRPr="00302F56">
        <w:rPr>
          <w:rFonts w:ascii="Arial" w:hAnsi="Arial" w:cs="Arial"/>
          <w:i/>
          <w:sz w:val="20"/>
          <w:szCs w:val="20"/>
        </w:rPr>
        <w:t>)</w:t>
      </w:r>
    </w:p>
    <w:p w:rsidR="008D33D7" w:rsidRPr="00302F56" w:rsidRDefault="00BE0512" w:rsidP="000E65AC">
      <w:pPr>
        <w:spacing w:line="360" w:lineRule="auto"/>
        <w:ind w:left="709" w:hanging="709"/>
        <w:jc w:val="both"/>
        <w:rPr>
          <w:rFonts w:ascii="Arial" w:hAnsi="Arial" w:cs="Arial"/>
          <w:sz w:val="24"/>
          <w:szCs w:val="24"/>
        </w:rPr>
      </w:pPr>
      <w:r w:rsidRPr="00302F56">
        <w:rPr>
          <w:rFonts w:ascii="Arial" w:hAnsi="Arial" w:cs="Arial"/>
          <w:sz w:val="24"/>
          <w:szCs w:val="24"/>
        </w:rPr>
        <w:t>[37]</w:t>
      </w:r>
      <w:r w:rsidRPr="00302F56">
        <w:rPr>
          <w:rFonts w:ascii="Arial" w:hAnsi="Arial" w:cs="Arial"/>
          <w:sz w:val="24"/>
          <w:szCs w:val="24"/>
        </w:rPr>
        <w:tab/>
        <w:t xml:space="preserve">According to Mukheibir the </w:t>
      </w:r>
      <w:r w:rsidRPr="00302F56">
        <w:rPr>
          <w:rFonts w:ascii="Arial" w:hAnsi="Arial" w:cs="Arial"/>
          <w:i/>
          <w:sz w:val="24"/>
          <w:szCs w:val="24"/>
        </w:rPr>
        <w:t>amende honorable</w:t>
      </w:r>
      <w:r w:rsidRPr="00302F56">
        <w:rPr>
          <w:rFonts w:ascii="Arial" w:hAnsi="Arial" w:cs="Arial"/>
          <w:sz w:val="24"/>
          <w:szCs w:val="24"/>
        </w:rPr>
        <w:t xml:space="preserve"> had been relegated to single paragraphs in textbooks for more than a century “…</w:t>
      </w:r>
      <w:r w:rsidRPr="00302F56">
        <w:rPr>
          <w:rFonts w:ascii="Arial" w:hAnsi="Arial" w:cs="Arial"/>
          <w:sz w:val="20"/>
          <w:szCs w:val="20"/>
        </w:rPr>
        <w:t>until it took nothing less than two very modern day South African phenomena such as black empowerment and the controversial arms deal to recall this very aged European remedy.</w:t>
      </w:r>
      <w:r w:rsidR="008964AA" w:rsidRPr="00302F56">
        <w:rPr>
          <w:rFonts w:ascii="Arial" w:hAnsi="Arial" w:cs="Arial"/>
          <w:sz w:val="20"/>
          <w:szCs w:val="20"/>
        </w:rPr>
        <w:t xml:space="preserve"> </w:t>
      </w:r>
      <w:r w:rsidRPr="00302F56">
        <w:rPr>
          <w:rFonts w:ascii="Arial" w:hAnsi="Arial" w:cs="Arial"/>
          <w:sz w:val="20"/>
          <w:szCs w:val="20"/>
        </w:rPr>
        <w:t xml:space="preserve">The irony should not be lost on us” </w:t>
      </w:r>
      <w:r w:rsidR="008C60B5" w:rsidRPr="00302F56">
        <w:rPr>
          <w:rFonts w:ascii="Arial" w:hAnsi="Arial" w:cs="Arial"/>
          <w:sz w:val="20"/>
          <w:szCs w:val="20"/>
        </w:rPr>
        <w:t xml:space="preserve"> </w:t>
      </w:r>
      <w:r w:rsidR="008C60B5" w:rsidRPr="00302F56">
        <w:rPr>
          <w:rFonts w:ascii="Arial" w:hAnsi="Arial" w:cs="Arial"/>
          <w:sz w:val="24"/>
          <w:szCs w:val="24"/>
        </w:rPr>
        <w:t xml:space="preserve">In </w:t>
      </w:r>
      <w:r w:rsidR="008C60B5" w:rsidRPr="00302F56">
        <w:rPr>
          <w:rFonts w:ascii="Arial" w:hAnsi="Arial" w:cs="Arial"/>
          <w:b/>
          <w:sz w:val="24"/>
          <w:szCs w:val="24"/>
        </w:rPr>
        <w:t xml:space="preserve">Mineworkers </w:t>
      </w:r>
      <w:r w:rsidR="008C60B5" w:rsidRPr="00302F56">
        <w:rPr>
          <w:rFonts w:ascii="Arial" w:hAnsi="Arial" w:cs="Arial"/>
          <w:b/>
          <w:sz w:val="24"/>
          <w:szCs w:val="24"/>
        </w:rPr>
        <w:lastRenderedPageBreak/>
        <w:t>Investment Company (Pty) Limited v Modibane</w:t>
      </w:r>
      <w:r w:rsidR="008C60B5" w:rsidRPr="00302F56">
        <w:rPr>
          <w:rStyle w:val="FootnoteReference"/>
          <w:rFonts w:ascii="Arial" w:hAnsi="Arial" w:cs="Arial"/>
          <w:sz w:val="24"/>
          <w:szCs w:val="24"/>
        </w:rPr>
        <w:footnoteReference w:id="9"/>
      </w:r>
      <w:r w:rsidR="008C60B5" w:rsidRPr="00302F56">
        <w:rPr>
          <w:rFonts w:ascii="Arial" w:hAnsi="Arial" w:cs="Arial"/>
          <w:sz w:val="24"/>
          <w:szCs w:val="24"/>
        </w:rPr>
        <w:t xml:space="preserve">  Willis J investigated the origins of the </w:t>
      </w:r>
      <w:r w:rsidR="008C60B5" w:rsidRPr="00302F56">
        <w:rPr>
          <w:rFonts w:ascii="Arial" w:hAnsi="Arial" w:cs="Arial"/>
          <w:i/>
          <w:sz w:val="24"/>
          <w:szCs w:val="24"/>
        </w:rPr>
        <w:t>amende honorable</w:t>
      </w:r>
      <w:r w:rsidR="008C60B5" w:rsidRPr="00302F56">
        <w:rPr>
          <w:rFonts w:ascii="Arial" w:hAnsi="Arial" w:cs="Arial"/>
          <w:sz w:val="24"/>
          <w:szCs w:val="24"/>
        </w:rPr>
        <w:t xml:space="preserve"> and explained as follows:</w:t>
      </w:r>
    </w:p>
    <w:p w:rsidR="008D33D7" w:rsidRPr="00302F56" w:rsidRDefault="008D33D7" w:rsidP="00F41794">
      <w:pPr>
        <w:pStyle w:val="BodyText"/>
        <w:spacing w:line="360" w:lineRule="auto"/>
        <w:jc w:val="both"/>
        <w:rPr>
          <w:rFonts w:ascii="Arial" w:eastAsiaTheme="minorEastAsia" w:hAnsi="Arial" w:cs="Arial"/>
          <w:sz w:val="20"/>
          <w:lang w:val="en-ZA" w:eastAsia="en-ZA"/>
        </w:rPr>
      </w:pPr>
      <w:r w:rsidRPr="00302F56">
        <w:rPr>
          <w:rFonts w:ascii="Arial" w:hAnsi="Arial" w:cs="Arial"/>
          <w:sz w:val="24"/>
          <w:szCs w:val="24"/>
          <w:lang w:val="en-ZA"/>
        </w:rPr>
        <w:tab/>
      </w:r>
      <w:r w:rsidR="008C60B5" w:rsidRPr="00302F56">
        <w:rPr>
          <w:rFonts w:ascii="Arial" w:hAnsi="Arial" w:cs="Arial"/>
          <w:sz w:val="20"/>
          <w:lang w:val="en-ZA"/>
        </w:rPr>
        <w:t>“</w:t>
      </w:r>
      <w:r w:rsidRPr="00302F56">
        <w:rPr>
          <w:rFonts w:ascii="Arial" w:eastAsiaTheme="minorEastAsia" w:hAnsi="Arial" w:cs="Arial"/>
          <w:sz w:val="20"/>
          <w:lang w:val="en-ZA" w:eastAsia="en-ZA"/>
        </w:rPr>
        <w:t xml:space="preserve">[18]  Melius De Villiers in </w:t>
      </w:r>
      <w:r w:rsidRPr="00302F56">
        <w:rPr>
          <w:rFonts w:ascii="Arial" w:eastAsiaTheme="minorEastAsia" w:hAnsi="Arial" w:cs="Arial"/>
          <w:i/>
          <w:sz w:val="20"/>
          <w:u w:val="single"/>
          <w:lang w:val="en-ZA" w:eastAsia="en-ZA"/>
        </w:rPr>
        <w:t>The Roman and Roman-Dutch Law of Injuries</w:t>
      </w:r>
      <w:r w:rsidRPr="00302F56">
        <w:rPr>
          <w:rFonts w:ascii="Arial" w:eastAsiaTheme="minorEastAsia" w:hAnsi="Arial" w:cs="Arial"/>
          <w:sz w:val="20"/>
          <w:lang w:val="en-ZA" w:eastAsia="en-ZA"/>
        </w:rPr>
        <w:t xml:space="preserve"> says at p 177:</w:t>
      </w:r>
    </w:p>
    <w:p w:rsidR="008D33D7" w:rsidRPr="00302F56" w:rsidRDefault="00F41794" w:rsidP="00F41794">
      <w:pPr>
        <w:pStyle w:val="BodyText"/>
        <w:spacing w:line="360" w:lineRule="auto"/>
        <w:ind w:left="709" w:hanging="709"/>
        <w:jc w:val="both"/>
        <w:rPr>
          <w:rFonts w:ascii="Arial" w:hAnsi="Arial" w:cs="Arial"/>
          <w:snapToGrid w:val="0"/>
          <w:sz w:val="20"/>
          <w:lang w:val="en-ZA"/>
        </w:rPr>
      </w:pPr>
      <w:r w:rsidRPr="00302F56">
        <w:rPr>
          <w:rFonts w:ascii="Arial" w:hAnsi="Arial" w:cs="Arial"/>
          <w:snapToGrid w:val="0"/>
          <w:sz w:val="20"/>
          <w:lang w:val="en-ZA"/>
        </w:rPr>
        <w:tab/>
      </w:r>
      <w:r w:rsidR="00C9588E" w:rsidRPr="00302F56">
        <w:rPr>
          <w:rFonts w:ascii="Arial" w:hAnsi="Arial" w:cs="Arial"/>
          <w:snapToGrid w:val="0"/>
          <w:sz w:val="20"/>
          <w:lang w:val="en-ZA"/>
        </w:rPr>
        <w:t>‘</w:t>
      </w:r>
      <w:r w:rsidR="008D33D7" w:rsidRPr="00302F56">
        <w:rPr>
          <w:rFonts w:ascii="Arial" w:hAnsi="Arial" w:cs="Arial"/>
          <w:i/>
          <w:snapToGrid w:val="0"/>
          <w:sz w:val="20"/>
          <w:lang w:val="en-ZA"/>
        </w:rPr>
        <w:t xml:space="preserve">In the systems of jurisprudence founded upon Roman Law a legal remedy has been introduced which was entirely unknown to the Romans, known as the </w:t>
      </w:r>
      <w:r w:rsidR="008D33D7" w:rsidRPr="00302F56">
        <w:rPr>
          <w:rFonts w:ascii="Arial" w:hAnsi="Arial" w:cs="Arial"/>
          <w:i/>
          <w:snapToGrid w:val="0"/>
          <w:sz w:val="20"/>
          <w:u w:val="single"/>
          <w:lang w:val="en-ZA"/>
        </w:rPr>
        <w:t>amende honorable.</w:t>
      </w:r>
    </w:p>
    <w:p w:rsidR="008D33D7" w:rsidRPr="00302F56" w:rsidRDefault="00F41794" w:rsidP="00F41794">
      <w:pPr>
        <w:pStyle w:val="BodyText"/>
        <w:spacing w:line="360" w:lineRule="auto"/>
        <w:ind w:left="709" w:hanging="709"/>
        <w:jc w:val="both"/>
        <w:rPr>
          <w:rFonts w:ascii="Arial" w:hAnsi="Arial" w:cs="Arial"/>
          <w:b/>
          <w:bCs/>
          <w:i/>
          <w:iCs/>
          <w:snapToGrid w:val="0"/>
          <w:sz w:val="20"/>
          <w:lang w:val="en-ZA"/>
        </w:rPr>
      </w:pPr>
      <w:r w:rsidRPr="00302F56">
        <w:rPr>
          <w:rFonts w:ascii="Arial" w:hAnsi="Arial" w:cs="Arial"/>
          <w:b/>
          <w:bCs/>
          <w:i/>
          <w:iCs/>
          <w:snapToGrid w:val="0"/>
          <w:sz w:val="20"/>
          <w:lang w:val="en-ZA"/>
        </w:rPr>
        <w:tab/>
      </w:r>
      <w:r w:rsidR="008D33D7" w:rsidRPr="00302F56">
        <w:rPr>
          <w:rFonts w:ascii="Arial" w:hAnsi="Arial" w:cs="Arial"/>
          <w:b/>
          <w:bCs/>
          <w:i/>
          <w:iCs/>
          <w:snapToGrid w:val="0"/>
          <w:sz w:val="20"/>
          <w:lang w:val="en-ZA"/>
        </w:rPr>
        <w:t xml:space="preserve"> …</w:t>
      </w:r>
    </w:p>
    <w:p w:rsidR="008D33D7" w:rsidRPr="00302F56" w:rsidRDefault="00F41794" w:rsidP="00F41794">
      <w:pPr>
        <w:pStyle w:val="BodyText"/>
        <w:spacing w:line="360" w:lineRule="auto"/>
        <w:ind w:left="709" w:hanging="709"/>
        <w:jc w:val="both"/>
        <w:rPr>
          <w:rFonts w:ascii="Arial" w:eastAsiaTheme="minorEastAsia" w:hAnsi="Arial" w:cs="Arial"/>
          <w:sz w:val="20"/>
          <w:lang w:val="en-ZA" w:eastAsia="en-ZA"/>
        </w:rPr>
      </w:pPr>
      <w:r w:rsidRPr="00302F56">
        <w:rPr>
          <w:rFonts w:ascii="Arial" w:eastAsiaTheme="minorEastAsia" w:hAnsi="Arial" w:cs="Arial"/>
          <w:i/>
          <w:sz w:val="20"/>
          <w:lang w:val="en-ZA" w:eastAsia="en-ZA"/>
        </w:rPr>
        <w:tab/>
      </w:r>
      <w:r w:rsidR="008D33D7" w:rsidRPr="00302F56">
        <w:rPr>
          <w:rFonts w:ascii="Arial" w:eastAsiaTheme="minorEastAsia" w:hAnsi="Arial" w:cs="Arial"/>
          <w:i/>
          <w:sz w:val="20"/>
          <w:lang w:val="en-ZA" w:eastAsia="en-ZA"/>
        </w:rPr>
        <w:t xml:space="preserve">This remedy took two forms. In the first place, there is the </w:t>
      </w:r>
      <w:r w:rsidR="008D33D7" w:rsidRPr="00302F56">
        <w:rPr>
          <w:rFonts w:ascii="Arial" w:eastAsiaTheme="minorEastAsia" w:hAnsi="Arial" w:cs="Arial"/>
          <w:i/>
          <w:sz w:val="20"/>
          <w:u w:val="single"/>
          <w:lang w:val="en-ZA" w:eastAsia="en-ZA"/>
        </w:rPr>
        <w:t>palinodia,</w:t>
      </w:r>
      <w:r w:rsidR="008D33D7" w:rsidRPr="00302F56">
        <w:rPr>
          <w:rFonts w:ascii="Arial" w:eastAsiaTheme="minorEastAsia" w:hAnsi="Arial" w:cs="Arial"/>
          <w:i/>
          <w:sz w:val="20"/>
          <w:lang w:val="en-ZA" w:eastAsia="en-ZA"/>
        </w:rPr>
        <w:t xml:space="preserve"> </w:t>
      </w:r>
      <w:r w:rsidR="008D33D7" w:rsidRPr="00302F56">
        <w:rPr>
          <w:rFonts w:ascii="Arial" w:eastAsiaTheme="minorEastAsia" w:hAnsi="Arial" w:cs="Arial"/>
          <w:i/>
          <w:sz w:val="20"/>
          <w:u w:val="single"/>
          <w:lang w:val="en-ZA" w:eastAsia="en-ZA"/>
        </w:rPr>
        <w:t>recantatio</w:t>
      </w:r>
      <w:r w:rsidR="008D33D7" w:rsidRPr="00302F56">
        <w:rPr>
          <w:rFonts w:ascii="Arial" w:eastAsiaTheme="minorEastAsia" w:hAnsi="Arial" w:cs="Arial"/>
          <w:i/>
          <w:sz w:val="20"/>
          <w:lang w:val="en-ZA" w:eastAsia="en-ZA"/>
        </w:rPr>
        <w:t xml:space="preserve"> or </w:t>
      </w:r>
      <w:r w:rsidR="008D33D7" w:rsidRPr="00302F56">
        <w:rPr>
          <w:rFonts w:ascii="Arial" w:eastAsiaTheme="minorEastAsia" w:hAnsi="Arial" w:cs="Arial"/>
          <w:i/>
          <w:sz w:val="20"/>
          <w:u w:val="single"/>
          <w:lang w:val="en-ZA" w:eastAsia="en-ZA"/>
        </w:rPr>
        <w:t>retractio</w:t>
      </w:r>
      <w:r w:rsidR="008D33D7" w:rsidRPr="00302F56">
        <w:rPr>
          <w:rFonts w:ascii="Arial" w:eastAsiaTheme="minorEastAsia" w:hAnsi="Arial" w:cs="Arial"/>
          <w:i/>
          <w:sz w:val="20"/>
          <w:lang w:val="en-ZA" w:eastAsia="en-ZA"/>
        </w:rPr>
        <w:t xml:space="preserve">, that is, a declaration by the person who uttered or published the defamatory words or expressions concerning another, to the effect that he withdraws such words or expressions as being untrue; and it is applied when such words or expressions are in fact untrue. In the second place there is the </w:t>
      </w:r>
      <w:r w:rsidR="008D33D7" w:rsidRPr="00302F56">
        <w:rPr>
          <w:rFonts w:ascii="Arial" w:eastAsiaTheme="minorEastAsia" w:hAnsi="Arial" w:cs="Arial"/>
          <w:i/>
          <w:sz w:val="20"/>
          <w:u w:val="single"/>
          <w:lang w:val="en-ZA" w:eastAsia="en-ZA"/>
        </w:rPr>
        <w:t>deprecatio</w:t>
      </w:r>
      <w:r w:rsidR="008D33D7" w:rsidRPr="00302F56">
        <w:rPr>
          <w:rFonts w:ascii="Arial" w:eastAsiaTheme="minorEastAsia" w:hAnsi="Arial" w:cs="Arial"/>
          <w:i/>
          <w:sz w:val="20"/>
          <w:lang w:val="en-ZA" w:eastAsia="en-ZA"/>
        </w:rPr>
        <w:t xml:space="preserve"> or apology, which is an acknowledgement by the person who uttered or published concerning another anything which if untrue would be defamatory, or who committed a real injury, that he has done wrong and a prayer that he may be forgiven</w:t>
      </w:r>
      <w:r w:rsidR="00C9588E" w:rsidRPr="00302F56">
        <w:rPr>
          <w:rFonts w:ascii="Arial" w:eastAsiaTheme="minorEastAsia" w:hAnsi="Arial" w:cs="Arial"/>
          <w:i/>
          <w:sz w:val="20"/>
          <w:lang w:val="en-ZA" w:eastAsia="en-ZA"/>
        </w:rPr>
        <w:t>’</w:t>
      </w:r>
      <w:r w:rsidR="008D33D7" w:rsidRPr="00302F56">
        <w:rPr>
          <w:rFonts w:ascii="Arial" w:eastAsiaTheme="minorEastAsia" w:hAnsi="Arial" w:cs="Arial"/>
          <w:i/>
          <w:sz w:val="20"/>
          <w:lang w:val="en-ZA" w:eastAsia="en-ZA"/>
        </w:rPr>
        <w:t>.</w:t>
      </w:r>
      <w:r w:rsidR="008D33D7" w:rsidRPr="00302F56">
        <w:rPr>
          <w:rFonts w:ascii="Arial" w:eastAsiaTheme="minorEastAsia" w:hAnsi="Arial" w:cs="Arial"/>
          <w:sz w:val="20"/>
          <w:lang w:val="en-ZA" w:eastAsia="en-ZA"/>
        </w:rPr>
        <w:t>”</w:t>
      </w:r>
    </w:p>
    <w:p w:rsidR="00F41794" w:rsidRPr="00302F56" w:rsidRDefault="00F41794" w:rsidP="00F41794">
      <w:pPr>
        <w:pStyle w:val="BodyText"/>
        <w:spacing w:line="360" w:lineRule="auto"/>
        <w:ind w:left="709" w:hanging="709"/>
        <w:jc w:val="both"/>
        <w:rPr>
          <w:rFonts w:ascii="Arial" w:eastAsiaTheme="minorEastAsia" w:hAnsi="Arial" w:cs="Arial"/>
          <w:sz w:val="20"/>
          <w:lang w:val="en-ZA" w:eastAsia="en-ZA"/>
        </w:rPr>
      </w:pPr>
    </w:p>
    <w:p w:rsidR="00C53CD8" w:rsidRPr="00302F56" w:rsidRDefault="00F41794" w:rsidP="0065386E">
      <w:pPr>
        <w:spacing w:line="360" w:lineRule="auto"/>
        <w:ind w:left="709" w:hanging="709"/>
        <w:jc w:val="both"/>
        <w:rPr>
          <w:rFonts w:ascii="Arial" w:hAnsi="Arial" w:cs="Arial"/>
          <w:color w:val="000000"/>
          <w:sz w:val="24"/>
          <w:szCs w:val="24"/>
        </w:rPr>
      </w:pPr>
      <w:r w:rsidRPr="00302F56">
        <w:rPr>
          <w:rFonts w:ascii="Arial" w:hAnsi="Arial" w:cs="Arial"/>
          <w:sz w:val="24"/>
          <w:szCs w:val="24"/>
        </w:rPr>
        <w:t>[3</w:t>
      </w:r>
      <w:r w:rsidR="00C53CD8" w:rsidRPr="00302F56">
        <w:rPr>
          <w:rFonts w:ascii="Arial" w:hAnsi="Arial" w:cs="Arial"/>
          <w:sz w:val="24"/>
          <w:szCs w:val="24"/>
        </w:rPr>
        <w:t>8</w:t>
      </w:r>
      <w:r w:rsidRPr="00302F56">
        <w:rPr>
          <w:rFonts w:ascii="Arial" w:hAnsi="Arial" w:cs="Arial"/>
          <w:sz w:val="24"/>
          <w:szCs w:val="24"/>
        </w:rPr>
        <w:t>]</w:t>
      </w:r>
      <w:r w:rsidRPr="00302F56">
        <w:rPr>
          <w:rFonts w:ascii="Arial" w:hAnsi="Arial" w:cs="Arial"/>
          <w:sz w:val="24"/>
          <w:szCs w:val="24"/>
        </w:rPr>
        <w:tab/>
        <w:t>Willis J concluded as follows: “</w:t>
      </w:r>
      <w:r w:rsidRPr="00302F56">
        <w:rPr>
          <w:rFonts w:ascii="Arial" w:hAnsi="Arial" w:cs="Arial"/>
          <w:color w:val="000000"/>
          <w:sz w:val="20"/>
          <w:szCs w:val="20"/>
        </w:rPr>
        <w:t xml:space="preserve">The </w:t>
      </w:r>
      <w:r w:rsidRPr="00302F56">
        <w:rPr>
          <w:rFonts w:ascii="Arial" w:hAnsi="Arial" w:cs="Arial"/>
          <w:i/>
          <w:color w:val="000000"/>
          <w:sz w:val="20"/>
          <w:szCs w:val="20"/>
        </w:rPr>
        <w:t xml:space="preserve">amende honorable </w:t>
      </w:r>
      <w:r w:rsidRPr="00302F56">
        <w:rPr>
          <w:rFonts w:ascii="Arial" w:hAnsi="Arial" w:cs="Arial"/>
          <w:color w:val="000000"/>
          <w:sz w:val="20"/>
          <w:szCs w:val="20"/>
        </w:rPr>
        <w:t xml:space="preserve">was not abrogated by disuse. Rather, it </w:t>
      </w:r>
      <w:r w:rsidR="003823A8" w:rsidRPr="00302F56">
        <w:rPr>
          <w:rFonts w:ascii="Arial" w:hAnsi="Arial" w:cs="Arial"/>
          <w:color w:val="000000"/>
          <w:sz w:val="20"/>
          <w:szCs w:val="20"/>
        </w:rPr>
        <w:tab/>
      </w:r>
      <w:r w:rsidRPr="00302F56">
        <w:rPr>
          <w:rFonts w:ascii="Arial" w:hAnsi="Arial" w:cs="Arial"/>
          <w:color w:val="000000"/>
          <w:sz w:val="20"/>
          <w:szCs w:val="20"/>
        </w:rPr>
        <w:t xml:space="preserve">was forgotten: a little treasure lost in a nook of our legal attic. I accordingly come to the conclusion that </w:t>
      </w:r>
      <w:r w:rsidR="003823A8" w:rsidRPr="00302F56">
        <w:rPr>
          <w:rFonts w:ascii="Arial" w:hAnsi="Arial" w:cs="Arial"/>
          <w:color w:val="000000"/>
          <w:sz w:val="20"/>
          <w:szCs w:val="20"/>
        </w:rPr>
        <w:tab/>
      </w:r>
      <w:r w:rsidRPr="00302F56">
        <w:rPr>
          <w:rFonts w:ascii="Arial" w:hAnsi="Arial" w:cs="Arial"/>
          <w:color w:val="000000"/>
          <w:sz w:val="20"/>
          <w:szCs w:val="20"/>
        </w:rPr>
        <w:t xml:space="preserve">the remedy of the </w:t>
      </w:r>
      <w:r w:rsidRPr="00302F56">
        <w:rPr>
          <w:rFonts w:ascii="Arial" w:hAnsi="Arial" w:cs="Arial"/>
          <w:i/>
          <w:color w:val="000000"/>
          <w:sz w:val="20"/>
          <w:szCs w:val="20"/>
        </w:rPr>
        <w:t xml:space="preserve">amende honorable </w:t>
      </w:r>
      <w:r w:rsidRPr="00302F56">
        <w:rPr>
          <w:rFonts w:ascii="Arial" w:hAnsi="Arial" w:cs="Arial"/>
          <w:color w:val="000000"/>
          <w:sz w:val="20"/>
          <w:szCs w:val="20"/>
        </w:rPr>
        <w:t>remains part of our law”.</w:t>
      </w:r>
      <w:r w:rsidRPr="00302F56">
        <w:rPr>
          <w:rStyle w:val="FootnoteReference"/>
          <w:rFonts w:ascii="Arial" w:hAnsi="Arial" w:cs="Arial"/>
          <w:color w:val="000000"/>
          <w:sz w:val="20"/>
          <w:szCs w:val="20"/>
        </w:rPr>
        <w:footnoteReference w:id="10"/>
      </w:r>
      <w:r w:rsidR="003823A8" w:rsidRPr="00302F56">
        <w:rPr>
          <w:rFonts w:ascii="Arial" w:hAnsi="Arial" w:cs="Arial"/>
          <w:color w:val="000000"/>
          <w:sz w:val="20"/>
          <w:szCs w:val="20"/>
        </w:rPr>
        <w:t xml:space="preserve"> </w:t>
      </w:r>
      <w:r w:rsidR="003823A8" w:rsidRPr="00302F56">
        <w:rPr>
          <w:rFonts w:ascii="Arial" w:hAnsi="Arial" w:cs="Arial"/>
          <w:color w:val="000000"/>
          <w:sz w:val="24"/>
          <w:szCs w:val="24"/>
        </w:rPr>
        <w:t xml:space="preserve"> </w:t>
      </w:r>
      <w:r w:rsidR="00C53CD8" w:rsidRPr="00302F56">
        <w:rPr>
          <w:rFonts w:ascii="Arial" w:hAnsi="Arial" w:cs="Arial"/>
          <w:color w:val="000000"/>
          <w:sz w:val="24"/>
          <w:szCs w:val="24"/>
        </w:rPr>
        <w:t xml:space="preserve">The plaintiff in </w:t>
      </w:r>
      <w:r w:rsidR="00C53CD8" w:rsidRPr="00302F56">
        <w:rPr>
          <w:rFonts w:ascii="Arial" w:hAnsi="Arial" w:cs="Arial"/>
          <w:b/>
          <w:color w:val="000000"/>
          <w:sz w:val="24"/>
          <w:szCs w:val="24"/>
        </w:rPr>
        <w:t>Mineworkers Investments Company v Modibane</w:t>
      </w:r>
      <w:r w:rsidR="00C53CD8" w:rsidRPr="00302F56">
        <w:rPr>
          <w:rFonts w:ascii="Arial" w:hAnsi="Arial" w:cs="Arial"/>
          <w:color w:val="000000"/>
          <w:sz w:val="24"/>
          <w:szCs w:val="24"/>
        </w:rPr>
        <w:t xml:space="preserve"> instituted two defamation actions against the defendant consisting of three claims, one was based on a letter by the defendant, the second upon a telephone conversation between the defendant and a manager and the </w:t>
      </w:r>
      <w:r w:rsidR="00C7542B" w:rsidRPr="00302F56">
        <w:rPr>
          <w:rFonts w:ascii="Arial" w:hAnsi="Arial" w:cs="Arial"/>
          <w:color w:val="000000"/>
          <w:sz w:val="24"/>
          <w:szCs w:val="24"/>
        </w:rPr>
        <w:t>t</w:t>
      </w:r>
      <w:r w:rsidR="00C53CD8" w:rsidRPr="00302F56">
        <w:rPr>
          <w:rFonts w:ascii="Arial" w:hAnsi="Arial" w:cs="Arial"/>
          <w:color w:val="000000"/>
          <w:sz w:val="24"/>
          <w:szCs w:val="24"/>
        </w:rPr>
        <w:t xml:space="preserve">hird claim arose from statements made by the defendant to a journalist.  </w:t>
      </w:r>
    </w:p>
    <w:p w:rsidR="005662E3" w:rsidRPr="00302F56" w:rsidRDefault="00C53CD8" w:rsidP="0065386E">
      <w:pPr>
        <w:spacing w:line="360" w:lineRule="auto"/>
        <w:ind w:left="709" w:hanging="709"/>
        <w:jc w:val="both"/>
        <w:rPr>
          <w:rFonts w:ascii="Arial" w:hAnsi="Arial" w:cs="Arial"/>
          <w:sz w:val="24"/>
          <w:szCs w:val="24"/>
        </w:rPr>
      </w:pPr>
      <w:r w:rsidRPr="00302F56">
        <w:rPr>
          <w:rFonts w:ascii="Arial" w:hAnsi="Arial" w:cs="Arial"/>
          <w:color w:val="000000"/>
          <w:sz w:val="24"/>
          <w:szCs w:val="24"/>
        </w:rPr>
        <w:t>[39]</w:t>
      </w:r>
      <w:r w:rsidRPr="00302F56">
        <w:rPr>
          <w:rFonts w:ascii="Arial" w:hAnsi="Arial" w:cs="Arial"/>
          <w:color w:val="000000"/>
          <w:sz w:val="24"/>
          <w:szCs w:val="24"/>
        </w:rPr>
        <w:tab/>
      </w:r>
      <w:r w:rsidR="00C7542B" w:rsidRPr="00302F56">
        <w:rPr>
          <w:rFonts w:ascii="Arial" w:hAnsi="Arial" w:cs="Arial"/>
          <w:sz w:val="24"/>
          <w:szCs w:val="24"/>
        </w:rPr>
        <w:t xml:space="preserve">In </w:t>
      </w:r>
      <w:r w:rsidR="00C7542B" w:rsidRPr="00302F56">
        <w:rPr>
          <w:rFonts w:ascii="Arial" w:hAnsi="Arial" w:cs="Arial"/>
          <w:b/>
          <w:sz w:val="24"/>
          <w:szCs w:val="24"/>
        </w:rPr>
        <w:t>Young v Shaikh</w:t>
      </w:r>
      <w:r w:rsidR="00C7542B" w:rsidRPr="00302F56">
        <w:rPr>
          <w:rStyle w:val="FootnoteReference"/>
          <w:rFonts w:ascii="Arial" w:hAnsi="Arial" w:cs="Arial"/>
          <w:sz w:val="24"/>
          <w:szCs w:val="24"/>
        </w:rPr>
        <w:footnoteReference w:id="11"/>
      </w:r>
      <w:r w:rsidR="00C7542B" w:rsidRPr="00302F56">
        <w:rPr>
          <w:rFonts w:ascii="Arial" w:hAnsi="Arial" w:cs="Arial"/>
          <w:b/>
          <w:sz w:val="24"/>
          <w:szCs w:val="24"/>
        </w:rPr>
        <w:t xml:space="preserve"> </w:t>
      </w:r>
      <w:r w:rsidR="00C7542B" w:rsidRPr="00302F56">
        <w:rPr>
          <w:rFonts w:ascii="Arial" w:hAnsi="Arial" w:cs="Arial"/>
          <w:sz w:val="24"/>
          <w:szCs w:val="24"/>
        </w:rPr>
        <w:t>the plaintiff</w:t>
      </w:r>
      <w:r w:rsidR="00C7542B" w:rsidRPr="00302F56">
        <w:rPr>
          <w:rFonts w:ascii="Arial" w:hAnsi="Arial" w:cs="Arial"/>
          <w:b/>
          <w:sz w:val="24"/>
          <w:szCs w:val="24"/>
        </w:rPr>
        <w:t xml:space="preserve">, </w:t>
      </w:r>
      <w:r w:rsidR="00C7542B" w:rsidRPr="00302F56">
        <w:rPr>
          <w:rFonts w:ascii="Arial" w:hAnsi="Arial" w:cs="Arial"/>
          <w:sz w:val="24"/>
          <w:szCs w:val="24"/>
        </w:rPr>
        <w:t>an electronic engineer with a long association with the arms industry who’s company was not awarded a government contract, alleged a conflict of interest in the part of the Shaikh brothers regarding the contract being awarded to a French company having regard to the fact that the one brother had corporate relations with the French company. During a news programme o</w:t>
      </w:r>
      <w:r w:rsidR="00630CFA" w:rsidRPr="00302F56">
        <w:rPr>
          <w:rFonts w:ascii="Arial" w:hAnsi="Arial" w:cs="Arial"/>
          <w:sz w:val="24"/>
          <w:szCs w:val="24"/>
        </w:rPr>
        <w:t>n</w:t>
      </w:r>
      <w:r w:rsidR="00C7542B" w:rsidRPr="00302F56">
        <w:rPr>
          <w:rFonts w:ascii="Arial" w:hAnsi="Arial" w:cs="Arial"/>
          <w:sz w:val="24"/>
          <w:szCs w:val="24"/>
        </w:rPr>
        <w:t xml:space="preserve"> eTV the defendant accused the plaintiff of having embarked upon a campaign of </w:t>
      </w:r>
      <w:r w:rsidR="00630CFA" w:rsidRPr="00302F56">
        <w:rPr>
          <w:rFonts w:ascii="Arial" w:hAnsi="Arial" w:cs="Arial"/>
          <w:sz w:val="24"/>
          <w:szCs w:val="24"/>
        </w:rPr>
        <w:t>corruption</w:t>
      </w:r>
      <w:r w:rsidR="00C7542B" w:rsidRPr="00302F56">
        <w:rPr>
          <w:rFonts w:ascii="Arial" w:hAnsi="Arial" w:cs="Arial"/>
          <w:sz w:val="24"/>
          <w:szCs w:val="24"/>
        </w:rPr>
        <w:t xml:space="preserve"> and slander by using the media</w:t>
      </w:r>
      <w:r w:rsidR="005662E3" w:rsidRPr="00302F56">
        <w:rPr>
          <w:rFonts w:ascii="Arial" w:hAnsi="Arial" w:cs="Arial"/>
          <w:sz w:val="24"/>
          <w:szCs w:val="24"/>
        </w:rPr>
        <w:t xml:space="preserve">.  The plaintiff instituted an action for damages and the court, because of the grave nature of the defendant’s defamation, did not regard an apology as adequate and serving the interests of justice. </w:t>
      </w:r>
      <w:r w:rsidR="00C7542B" w:rsidRPr="00302F56">
        <w:rPr>
          <w:rFonts w:ascii="Arial" w:hAnsi="Arial" w:cs="Arial"/>
          <w:sz w:val="24"/>
          <w:szCs w:val="24"/>
        </w:rPr>
        <w:t xml:space="preserve"> </w:t>
      </w:r>
    </w:p>
    <w:p w:rsidR="0065386E" w:rsidRPr="00302F56" w:rsidRDefault="005662E3" w:rsidP="0065386E">
      <w:pPr>
        <w:spacing w:line="360" w:lineRule="auto"/>
        <w:ind w:left="709" w:hanging="709"/>
        <w:jc w:val="both"/>
        <w:rPr>
          <w:rFonts w:ascii="Arial" w:hAnsi="Arial" w:cs="Arial"/>
          <w:color w:val="000000"/>
          <w:sz w:val="24"/>
          <w:szCs w:val="24"/>
        </w:rPr>
      </w:pPr>
      <w:r w:rsidRPr="00302F56">
        <w:rPr>
          <w:rFonts w:ascii="Arial" w:hAnsi="Arial" w:cs="Arial"/>
          <w:sz w:val="24"/>
          <w:szCs w:val="24"/>
        </w:rPr>
        <w:lastRenderedPageBreak/>
        <w:t>[40]</w:t>
      </w:r>
      <w:r w:rsidRPr="00302F56">
        <w:rPr>
          <w:rFonts w:ascii="Arial" w:hAnsi="Arial" w:cs="Arial"/>
          <w:sz w:val="24"/>
          <w:szCs w:val="24"/>
        </w:rPr>
        <w:tab/>
      </w:r>
      <w:r w:rsidR="00C7542B" w:rsidRPr="00302F56">
        <w:rPr>
          <w:rFonts w:ascii="Arial" w:hAnsi="Arial" w:cs="Arial"/>
          <w:color w:val="000000"/>
          <w:sz w:val="24"/>
          <w:szCs w:val="24"/>
        </w:rPr>
        <w:t xml:space="preserve"> </w:t>
      </w:r>
      <w:r w:rsidR="003823A8" w:rsidRPr="00302F56">
        <w:rPr>
          <w:rFonts w:ascii="Arial" w:hAnsi="Arial" w:cs="Arial"/>
          <w:color w:val="000000"/>
          <w:sz w:val="24"/>
          <w:szCs w:val="24"/>
        </w:rPr>
        <w:t>The remedy</w:t>
      </w:r>
      <w:r w:rsidR="00630CFA" w:rsidRPr="00302F56">
        <w:rPr>
          <w:rFonts w:ascii="Arial" w:hAnsi="Arial" w:cs="Arial"/>
          <w:color w:val="000000"/>
          <w:sz w:val="24"/>
          <w:szCs w:val="24"/>
        </w:rPr>
        <w:t>, an apology,</w:t>
      </w:r>
      <w:r w:rsidR="003823A8" w:rsidRPr="00302F56">
        <w:rPr>
          <w:rFonts w:ascii="Arial" w:hAnsi="Arial" w:cs="Arial"/>
          <w:color w:val="000000"/>
          <w:sz w:val="24"/>
          <w:szCs w:val="24"/>
        </w:rPr>
        <w:t xml:space="preserve"> was also mentioned </w:t>
      </w:r>
      <w:r w:rsidR="003823A8" w:rsidRPr="00302F56">
        <w:rPr>
          <w:rFonts w:ascii="Arial" w:hAnsi="Arial" w:cs="Arial"/>
          <w:color w:val="000000"/>
          <w:sz w:val="24"/>
          <w:szCs w:val="24"/>
        </w:rPr>
        <w:tab/>
        <w:t xml:space="preserve">again in </w:t>
      </w:r>
      <w:r w:rsidR="003823A8" w:rsidRPr="00302F56">
        <w:rPr>
          <w:rFonts w:ascii="Arial" w:hAnsi="Arial" w:cs="Arial"/>
          <w:b/>
          <w:color w:val="000000"/>
          <w:sz w:val="24"/>
          <w:szCs w:val="24"/>
        </w:rPr>
        <w:t>Mthembi-Mahanyelle v Mail and Guardian Ltd</w:t>
      </w:r>
      <w:r w:rsidR="003823A8" w:rsidRPr="00302F56">
        <w:rPr>
          <w:rStyle w:val="FootnoteReference"/>
          <w:rFonts w:ascii="Arial" w:hAnsi="Arial" w:cs="Arial"/>
          <w:color w:val="000000"/>
          <w:sz w:val="24"/>
          <w:szCs w:val="24"/>
        </w:rPr>
        <w:footnoteReference w:id="12"/>
      </w:r>
      <w:r w:rsidR="003823A8" w:rsidRPr="00302F56">
        <w:rPr>
          <w:rFonts w:ascii="Arial" w:hAnsi="Arial" w:cs="Arial"/>
          <w:color w:val="000000"/>
          <w:sz w:val="24"/>
          <w:szCs w:val="24"/>
        </w:rPr>
        <w:t xml:space="preserve"> </w:t>
      </w:r>
      <w:r w:rsidR="0065386E" w:rsidRPr="00302F56">
        <w:rPr>
          <w:rFonts w:ascii="Arial" w:hAnsi="Arial" w:cs="Arial"/>
          <w:color w:val="000000"/>
          <w:sz w:val="24"/>
          <w:szCs w:val="24"/>
        </w:rPr>
        <w:t xml:space="preserve">where the court found that the publication of the defamatory article was not unlawful because it was justifiable in all the circumstances of the matter with the result that it was not necessary to consider the arguments regarding the </w:t>
      </w:r>
      <w:r w:rsidR="0065386E" w:rsidRPr="00302F56">
        <w:rPr>
          <w:rFonts w:ascii="Arial" w:hAnsi="Arial" w:cs="Arial"/>
          <w:i/>
          <w:color w:val="000000"/>
          <w:sz w:val="24"/>
          <w:szCs w:val="24"/>
        </w:rPr>
        <w:t>amende honorable</w:t>
      </w:r>
      <w:r w:rsidR="0065386E" w:rsidRPr="00302F56">
        <w:rPr>
          <w:rFonts w:ascii="Arial" w:hAnsi="Arial" w:cs="Arial"/>
          <w:color w:val="000000"/>
          <w:sz w:val="24"/>
          <w:szCs w:val="24"/>
        </w:rPr>
        <w:t xml:space="preserve"> or an apology to the plaintiff to set the facts straight</w:t>
      </w:r>
      <w:r w:rsidR="0065386E" w:rsidRPr="00302F56">
        <w:rPr>
          <w:rStyle w:val="FootnoteReference"/>
          <w:rFonts w:ascii="Arial" w:hAnsi="Arial" w:cs="Arial"/>
          <w:color w:val="000000"/>
          <w:sz w:val="24"/>
          <w:szCs w:val="24"/>
        </w:rPr>
        <w:footnoteReference w:id="13"/>
      </w:r>
      <w:r w:rsidR="0065386E" w:rsidRPr="00302F56">
        <w:rPr>
          <w:rFonts w:ascii="Arial" w:hAnsi="Arial" w:cs="Arial"/>
          <w:color w:val="000000"/>
          <w:sz w:val="24"/>
          <w:szCs w:val="24"/>
        </w:rPr>
        <w:t xml:space="preserve">. </w:t>
      </w:r>
    </w:p>
    <w:p w:rsidR="00B607ED" w:rsidRPr="00302F56" w:rsidRDefault="0065386E" w:rsidP="0065386E">
      <w:pPr>
        <w:spacing w:line="360" w:lineRule="auto"/>
        <w:ind w:left="709" w:hanging="709"/>
        <w:jc w:val="both"/>
        <w:rPr>
          <w:rFonts w:ascii="Arial" w:hAnsi="Arial" w:cs="Arial"/>
          <w:sz w:val="24"/>
          <w:szCs w:val="24"/>
        </w:rPr>
      </w:pPr>
      <w:r w:rsidRPr="00302F56">
        <w:rPr>
          <w:rFonts w:ascii="Arial" w:hAnsi="Arial" w:cs="Arial"/>
          <w:sz w:val="24"/>
          <w:szCs w:val="24"/>
        </w:rPr>
        <w:t>[</w:t>
      </w:r>
      <w:r w:rsidR="00C53CD8" w:rsidRPr="00302F56">
        <w:rPr>
          <w:rFonts w:ascii="Arial" w:hAnsi="Arial" w:cs="Arial"/>
          <w:sz w:val="24"/>
          <w:szCs w:val="24"/>
        </w:rPr>
        <w:t>4</w:t>
      </w:r>
      <w:r w:rsidR="005662E3" w:rsidRPr="00302F56">
        <w:rPr>
          <w:rFonts w:ascii="Arial" w:hAnsi="Arial" w:cs="Arial"/>
          <w:sz w:val="24"/>
          <w:szCs w:val="24"/>
        </w:rPr>
        <w:t>1</w:t>
      </w:r>
      <w:r w:rsidRPr="00302F56">
        <w:rPr>
          <w:rFonts w:ascii="Arial" w:hAnsi="Arial" w:cs="Arial"/>
          <w:sz w:val="24"/>
          <w:szCs w:val="24"/>
        </w:rPr>
        <w:t>]</w:t>
      </w:r>
      <w:r w:rsidRPr="00302F56">
        <w:rPr>
          <w:rFonts w:ascii="Arial" w:hAnsi="Arial" w:cs="Arial"/>
          <w:sz w:val="24"/>
          <w:szCs w:val="24"/>
        </w:rPr>
        <w:tab/>
        <w:t>In</w:t>
      </w:r>
      <w:r w:rsidR="003823A8" w:rsidRPr="00302F56">
        <w:rPr>
          <w:rFonts w:ascii="Arial" w:hAnsi="Arial" w:cs="Arial"/>
          <w:sz w:val="24"/>
          <w:szCs w:val="24"/>
        </w:rPr>
        <w:t xml:space="preserve"> </w:t>
      </w:r>
      <w:r w:rsidR="003823A8" w:rsidRPr="00302F56">
        <w:rPr>
          <w:rFonts w:ascii="Arial" w:hAnsi="Arial" w:cs="Arial"/>
          <w:b/>
          <w:sz w:val="24"/>
          <w:szCs w:val="24"/>
        </w:rPr>
        <w:t>NM v Smith</w:t>
      </w:r>
      <w:r w:rsidR="003823A8" w:rsidRPr="00302F56">
        <w:rPr>
          <w:rStyle w:val="FootnoteReference"/>
          <w:rFonts w:ascii="Arial" w:hAnsi="Arial" w:cs="Arial"/>
          <w:b/>
          <w:sz w:val="24"/>
          <w:szCs w:val="24"/>
        </w:rPr>
        <w:footnoteReference w:id="14"/>
      </w:r>
      <w:r w:rsidR="003823A8" w:rsidRPr="00302F56">
        <w:rPr>
          <w:rFonts w:ascii="Arial" w:hAnsi="Arial" w:cs="Arial"/>
          <w:b/>
          <w:sz w:val="24"/>
          <w:szCs w:val="24"/>
        </w:rPr>
        <w:t xml:space="preserve"> </w:t>
      </w:r>
      <w:r w:rsidRPr="00302F56">
        <w:rPr>
          <w:rFonts w:ascii="Arial" w:hAnsi="Arial" w:cs="Arial"/>
          <w:sz w:val="24"/>
          <w:szCs w:val="24"/>
        </w:rPr>
        <w:t xml:space="preserve"> the </w:t>
      </w:r>
      <w:r w:rsidRPr="00302F56">
        <w:rPr>
          <w:rFonts w:ascii="Arial" w:hAnsi="Arial" w:cs="Arial"/>
          <w:i/>
          <w:sz w:val="24"/>
          <w:szCs w:val="24"/>
        </w:rPr>
        <w:t>amende honorable</w:t>
      </w:r>
      <w:r w:rsidRPr="00302F56">
        <w:rPr>
          <w:rFonts w:ascii="Arial" w:hAnsi="Arial" w:cs="Arial"/>
          <w:sz w:val="24"/>
          <w:szCs w:val="24"/>
        </w:rPr>
        <w:t xml:space="preserve"> came under discussion in matters concerning media freedom and the law of privacy. In </w:t>
      </w:r>
      <w:r w:rsidRPr="00302F56">
        <w:rPr>
          <w:rFonts w:ascii="Arial" w:hAnsi="Arial" w:cs="Arial"/>
          <w:b/>
          <w:sz w:val="24"/>
          <w:szCs w:val="24"/>
        </w:rPr>
        <w:t>Van Greunen and Another v Govern</w:t>
      </w:r>
      <w:r w:rsidRPr="00302F56">
        <w:rPr>
          <w:rStyle w:val="FootnoteReference"/>
          <w:rFonts w:ascii="Arial" w:hAnsi="Arial" w:cs="Arial"/>
          <w:b/>
          <w:sz w:val="24"/>
          <w:szCs w:val="24"/>
        </w:rPr>
        <w:footnoteReference w:id="15"/>
      </w:r>
      <w:r w:rsidRPr="00302F56">
        <w:rPr>
          <w:rFonts w:ascii="Arial" w:hAnsi="Arial" w:cs="Arial"/>
          <w:b/>
          <w:sz w:val="24"/>
          <w:szCs w:val="24"/>
        </w:rPr>
        <w:t xml:space="preserve"> </w:t>
      </w:r>
      <w:r w:rsidR="007E2B5D" w:rsidRPr="00302F56">
        <w:rPr>
          <w:rFonts w:ascii="Arial" w:hAnsi="Arial" w:cs="Arial"/>
          <w:sz w:val="24"/>
          <w:szCs w:val="24"/>
        </w:rPr>
        <w:t xml:space="preserve">an attorney sought an interdict against a disgruntled debtor, the respondent, and an order restraining the respondent from publishing any defamatory statements regarding and concerning the applicant. The applicant furthermore sought an order that the respondent publish an unequivocal and written apology in several newspapers circulating in the area where the applicant practised as an attorney. The court, with reference to </w:t>
      </w:r>
      <w:r w:rsidR="007E2B5D" w:rsidRPr="00302F56">
        <w:rPr>
          <w:rFonts w:ascii="Arial" w:hAnsi="Arial" w:cs="Arial"/>
          <w:b/>
          <w:sz w:val="24"/>
          <w:szCs w:val="24"/>
        </w:rPr>
        <w:t>Tau v Mashaba and Others</w:t>
      </w:r>
      <w:r w:rsidR="007E2B5D" w:rsidRPr="00302F56">
        <w:rPr>
          <w:rStyle w:val="FootnoteReference"/>
          <w:rFonts w:ascii="Arial" w:hAnsi="Arial" w:cs="Arial"/>
          <w:b/>
          <w:sz w:val="24"/>
          <w:szCs w:val="24"/>
        </w:rPr>
        <w:footnoteReference w:id="16"/>
      </w:r>
      <w:r w:rsidR="007E2B5D" w:rsidRPr="00302F56">
        <w:rPr>
          <w:rFonts w:ascii="Arial" w:hAnsi="Arial" w:cs="Arial"/>
          <w:sz w:val="24"/>
          <w:szCs w:val="24"/>
        </w:rPr>
        <w:t xml:space="preserve"> declined to grant the order for the publication of an apology on application and granted the interdict sought by the applicant. The reason for such an order being that an applicant is not entitled to damages in the form of an apology on application. </w:t>
      </w:r>
    </w:p>
    <w:p w:rsidR="005662E3" w:rsidRPr="00302F56" w:rsidRDefault="007E2B5D" w:rsidP="0065386E">
      <w:pPr>
        <w:spacing w:line="360" w:lineRule="auto"/>
        <w:ind w:left="709" w:hanging="709"/>
        <w:jc w:val="both"/>
        <w:rPr>
          <w:rFonts w:ascii="Arial" w:hAnsi="Arial" w:cs="Arial"/>
          <w:sz w:val="24"/>
          <w:szCs w:val="24"/>
        </w:rPr>
      </w:pPr>
      <w:r w:rsidRPr="00302F56">
        <w:rPr>
          <w:rFonts w:ascii="Arial" w:hAnsi="Arial" w:cs="Arial"/>
          <w:sz w:val="24"/>
          <w:szCs w:val="24"/>
        </w:rPr>
        <w:t xml:space="preserve"> </w:t>
      </w:r>
      <w:r w:rsidR="003823A8" w:rsidRPr="00302F56">
        <w:rPr>
          <w:rFonts w:ascii="Arial" w:hAnsi="Arial" w:cs="Arial"/>
          <w:sz w:val="24"/>
          <w:szCs w:val="24"/>
        </w:rPr>
        <w:t>[</w:t>
      </w:r>
      <w:r w:rsidR="005662E3" w:rsidRPr="00302F56">
        <w:rPr>
          <w:rFonts w:ascii="Arial" w:hAnsi="Arial" w:cs="Arial"/>
          <w:sz w:val="24"/>
          <w:szCs w:val="24"/>
        </w:rPr>
        <w:t>4</w:t>
      </w:r>
      <w:r w:rsidR="003823A8" w:rsidRPr="00302F56">
        <w:rPr>
          <w:rFonts w:ascii="Arial" w:hAnsi="Arial" w:cs="Arial"/>
          <w:sz w:val="24"/>
          <w:szCs w:val="24"/>
        </w:rPr>
        <w:t>2]</w:t>
      </w:r>
      <w:r w:rsidR="003823A8" w:rsidRPr="00302F56">
        <w:rPr>
          <w:rFonts w:ascii="Arial" w:hAnsi="Arial" w:cs="Arial"/>
          <w:sz w:val="24"/>
          <w:szCs w:val="24"/>
        </w:rPr>
        <w:tab/>
        <w:t xml:space="preserve">In </w:t>
      </w:r>
      <w:r w:rsidR="003823A8" w:rsidRPr="00302F56">
        <w:rPr>
          <w:rFonts w:ascii="Arial" w:hAnsi="Arial" w:cs="Arial"/>
          <w:b/>
          <w:sz w:val="24"/>
          <w:szCs w:val="24"/>
        </w:rPr>
        <w:t>Dikoko v Mokhatla</w:t>
      </w:r>
      <w:r w:rsidR="004B594F" w:rsidRPr="00302F56">
        <w:rPr>
          <w:rStyle w:val="FootnoteReference"/>
          <w:rFonts w:ascii="Arial" w:hAnsi="Arial" w:cs="Arial"/>
          <w:b/>
          <w:sz w:val="24"/>
          <w:szCs w:val="24"/>
        </w:rPr>
        <w:footnoteReference w:id="17"/>
      </w:r>
      <w:r w:rsidR="000F1FF7" w:rsidRPr="00302F56">
        <w:rPr>
          <w:rFonts w:ascii="Arial" w:hAnsi="Arial" w:cs="Arial"/>
          <w:sz w:val="24"/>
          <w:szCs w:val="24"/>
        </w:rPr>
        <w:t xml:space="preserve"> the facts were as follows: The plaintiff was the chief executive </w:t>
      </w:r>
      <w:r w:rsidR="000F1FF7" w:rsidRPr="00302F56">
        <w:rPr>
          <w:rFonts w:ascii="Arial" w:hAnsi="Arial" w:cs="Arial"/>
          <w:sz w:val="24"/>
          <w:szCs w:val="24"/>
        </w:rPr>
        <w:tab/>
        <w:t xml:space="preserve">officer of a district municipality. The defendant was the executive mayor of the same municipality. The Provincial Auditor General questioned the overdue indebtedness of the defendant who had accumulated a long overdue excess in respect of an excessive cell phone allowance. The Provincial Auditor </w:t>
      </w:r>
      <w:r w:rsidR="005905B8" w:rsidRPr="00302F56">
        <w:rPr>
          <w:rFonts w:ascii="Arial" w:hAnsi="Arial" w:cs="Arial"/>
          <w:sz w:val="24"/>
          <w:szCs w:val="24"/>
        </w:rPr>
        <w:t>G</w:t>
      </w:r>
      <w:r w:rsidR="000F1FF7" w:rsidRPr="00302F56">
        <w:rPr>
          <w:rFonts w:ascii="Arial" w:hAnsi="Arial" w:cs="Arial"/>
          <w:sz w:val="24"/>
          <w:szCs w:val="24"/>
        </w:rPr>
        <w:t xml:space="preserve">eneral was not satisfied </w:t>
      </w:r>
      <w:r w:rsidR="005905B8" w:rsidRPr="00302F56">
        <w:rPr>
          <w:rFonts w:ascii="Arial" w:hAnsi="Arial" w:cs="Arial"/>
          <w:sz w:val="24"/>
          <w:szCs w:val="24"/>
        </w:rPr>
        <w:t xml:space="preserve">with the agreement between the defendant and the district municipality’s council to write off the debt in respect to the </w:t>
      </w:r>
      <w:r w:rsidR="00B607ED" w:rsidRPr="00302F56">
        <w:rPr>
          <w:rFonts w:ascii="Arial" w:hAnsi="Arial" w:cs="Arial"/>
          <w:sz w:val="24"/>
          <w:szCs w:val="24"/>
        </w:rPr>
        <w:t xml:space="preserve">defendant’s </w:t>
      </w:r>
      <w:r w:rsidR="005905B8" w:rsidRPr="00302F56">
        <w:rPr>
          <w:rFonts w:ascii="Arial" w:hAnsi="Arial" w:cs="Arial"/>
          <w:sz w:val="24"/>
          <w:szCs w:val="24"/>
        </w:rPr>
        <w:t xml:space="preserve">cell phone account. </w:t>
      </w:r>
    </w:p>
    <w:p w:rsidR="008E3035" w:rsidRPr="00302F56" w:rsidRDefault="005662E3" w:rsidP="0065386E">
      <w:pPr>
        <w:spacing w:line="360" w:lineRule="auto"/>
        <w:ind w:left="709" w:hanging="709"/>
        <w:jc w:val="both"/>
        <w:rPr>
          <w:rFonts w:ascii="Arial" w:hAnsi="Arial" w:cs="Arial"/>
          <w:sz w:val="24"/>
          <w:szCs w:val="24"/>
        </w:rPr>
      </w:pPr>
      <w:r w:rsidRPr="00302F56">
        <w:rPr>
          <w:rFonts w:ascii="Arial" w:hAnsi="Arial" w:cs="Arial"/>
          <w:sz w:val="24"/>
          <w:szCs w:val="24"/>
        </w:rPr>
        <w:t>[43]</w:t>
      </w:r>
      <w:r w:rsidRPr="00302F56">
        <w:rPr>
          <w:rFonts w:ascii="Arial" w:hAnsi="Arial" w:cs="Arial"/>
          <w:sz w:val="24"/>
          <w:szCs w:val="24"/>
        </w:rPr>
        <w:tab/>
      </w:r>
      <w:r w:rsidR="005905B8" w:rsidRPr="00302F56">
        <w:rPr>
          <w:rFonts w:ascii="Arial" w:hAnsi="Arial" w:cs="Arial"/>
          <w:sz w:val="24"/>
          <w:szCs w:val="24"/>
        </w:rPr>
        <w:t>The defendant was summoned to appear before the North West Provinci</w:t>
      </w:r>
      <w:r w:rsidR="002C073C" w:rsidRPr="00302F56">
        <w:rPr>
          <w:rFonts w:ascii="Arial" w:hAnsi="Arial" w:cs="Arial"/>
          <w:sz w:val="24"/>
          <w:szCs w:val="24"/>
        </w:rPr>
        <w:t>a</w:t>
      </w:r>
      <w:r w:rsidR="005905B8" w:rsidRPr="00302F56">
        <w:rPr>
          <w:rFonts w:ascii="Arial" w:hAnsi="Arial" w:cs="Arial"/>
          <w:sz w:val="24"/>
          <w:szCs w:val="24"/>
        </w:rPr>
        <w:t>l Public Accounts Standing committee to explain his indebtedness</w:t>
      </w:r>
      <w:r w:rsidR="00630CFA" w:rsidRPr="00302F56">
        <w:rPr>
          <w:rFonts w:ascii="Arial" w:hAnsi="Arial" w:cs="Arial"/>
          <w:sz w:val="24"/>
          <w:szCs w:val="24"/>
        </w:rPr>
        <w:t>. D</w:t>
      </w:r>
      <w:r w:rsidR="002C073C" w:rsidRPr="00302F56">
        <w:rPr>
          <w:rFonts w:ascii="Arial" w:hAnsi="Arial" w:cs="Arial"/>
          <w:sz w:val="24"/>
          <w:szCs w:val="24"/>
        </w:rPr>
        <w:t xml:space="preserve">uring his appearance he made defamatory remarks about the plaintiff. The plaintiff sued him for damages. The high court awarded damages against the defendant. </w:t>
      </w:r>
      <w:r w:rsidR="00630CFA" w:rsidRPr="00302F56">
        <w:rPr>
          <w:rFonts w:ascii="Arial" w:hAnsi="Arial" w:cs="Arial"/>
          <w:sz w:val="24"/>
          <w:szCs w:val="24"/>
        </w:rPr>
        <w:t>The defendant</w:t>
      </w:r>
      <w:r w:rsidR="002C073C" w:rsidRPr="00302F56">
        <w:rPr>
          <w:rFonts w:ascii="Arial" w:hAnsi="Arial" w:cs="Arial"/>
          <w:sz w:val="24"/>
          <w:szCs w:val="24"/>
        </w:rPr>
        <w:t xml:space="preserve"> was unsuccessful at the Supreme Court of Appeal where after he applied for leave to appeal to the </w:t>
      </w:r>
      <w:r w:rsidR="002C073C" w:rsidRPr="00302F56">
        <w:rPr>
          <w:rFonts w:ascii="Arial" w:hAnsi="Arial" w:cs="Arial"/>
          <w:sz w:val="24"/>
          <w:szCs w:val="24"/>
        </w:rPr>
        <w:lastRenderedPageBreak/>
        <w:t xml:space="preserve">Constitutional Court. The Constitutional Court granted the application for leave to appeal but eventually dismissed </w:t>
      </w:r>
      <w:r w:rsidR="008E3035" w:rsidRPr="00302F56">
        <w:rPr>
          <w:rFonts w:ascii="Arial" w:hAnsi="Arial" w:cs="Arial"/>
          <w:sz w:val="24"/>
          <w:szCs w:val="24"/>
        </w:rPr>
        <w:t>the</w:t>
      </w:r>
      <w:r w:rsidR="002C073C" w:rsidRPr="00302F56">
        <w:rPr>
          <w:rFonts w:ascii="Arial" w:hAnsi="Arial" w:cs="Arial"/>
          <w:sz w:val="24"/>
          <w:szCs w:val="24"/>
        </w:rPr>
        <w:t xml:space="preserve"> appeal</w:t>
      </w:r>
      <w:r w:rsidR="008E3035" w:rsidRPr="00302F56">
        <w:rPr>
          <w:rFonts w:ascii="Arial" w:hAnsi="Arial" w:cs="Arial"/>
          <w:sz w:val="24"/>
          <w:szCs w:val="24"/>
        </w:rPr>
        <w:t>.</w:t>
      </w:r>
    </w:p>
    <w:p w:rsidR="000F1FF7" w:rsidRPr="00302F56" w:rsidRDefault="008E3035" w:rsidP="000F1FF7">
      <w:pPr>
        <w:spacing w:line="360" w:lineRule="auto"/>
        <w:ind w:left="709" w:hanging="709"/>
        <w:jc w:val="both"/>
        <w:rPr>
          <w:rFonts w:ascii="Arial" w:hAnsi="Arial" w:cs="Arial"/>
          <w:sz w:val="24"/>
          <w:szCs w:val="24"/>
        </w:rPr>
      </w:pPr>
      <w:r w:rsidRPr="00302F56">
        <w:rPr>
          <w:rFonts w:ascii="Arial" w:hAnsi="Arial" w:cs="Arial"/>
          <w:sz w:val="24"/>
          <w:szCs w:val="24"/>
        </w:rPr>
        <w:t>[</w:t>
      </w:r>
      <w:r w:rsidR="005662E3" w:rsidRPr="00302F56">
        <w:rPr>
          <w:rFonts w:ascii="Arial" w:hAnsi="Arial" w:cs="Arial"/>
          <w:sz w:val="24"/>
          <w:szCs w:val="24"/>
        </w:rPr>
        <w:t>44</w:t>
      </w:r>
      <w:r w:rsidRPr="00302F56">
        <w:rPr>
          <w:rFonts w:ascii="Arial" w:hAnsi="Arial" w:cs="Arial"/>
          <w:sz w:val="24"/>
          <w:szCs w:val="24"/>
        </w:rPr>
        <w:t>]</w:t>
      </w:r>
      <w:r w:rsidRPr="00302F56">
        <w:rPr>
          <w:rFonts w:ascii="Arial" w:hAnsi="Arial" w:cs="Arial"/>
          <w:sz w:val="24"/>
          <w:szCs w:val="24"/>
        </w:rPr>
        <w:tab/>
        <w:t xml:space="preserve">Both Mokgoro J and Sachs J recognised the fact that the </w:t>
      </w:r>
      <w:proofErr w:type="spellStart"/>
      <w:r w:rsidRPr="00302F56">
        <w:rPr>
          <w:rFonts w:ascii="Arial" w:hAnsi="Arial" w:cs="Arial"/>
          <w:i/>
          <w:sz w:val="24"/>
          <w:szCs w:val="24"/>
        </w:rPr>
        <w:t>actio</w:t>
      </w:r>
      <w:proofErr w:type="spellEnd"/>
      <w:r w:rsidRPr="00302F56">
        <w:rPr>
          <w:rFonts w:ascii="Arial" w:hAnsi="Arial" w:cs="Arial"/>
          <w:i/>
          <w:sz w:val="24"/>
          <w:szCs w:val="24"/>
        </w:rPr>
        <w:t xml:space="preserve"> </w:t>
      </w:r>
      <w:proofErr w:type="spellStart"/>
      <w:r w:rsidRPr="00302F56">
        <w:rPr>
          <w:rFonts w:ascii="Arial" w:hAnsi="Arial" w:cs="Arial"/>
          <w:i/>
          <w:sz w:val="24"/>
          <w:szCs w:val="24"/>
        </w:rPr>
        <w:t>iniuriarum</w:t>
      </w:r>
      <w:proofErr w:type="spellEnd"/>
      <w:r w:rsidRPr="00302F56">
        <w:rPr>
          <w:rFonts w:ascii="Arial" w:hAnsi="Arial" w:cs="Arial"/>
          <w:sz w:val="24"/>
          <w:szCs w:val="24"/>
        </w:rPr>
        <w:t xml:space="preserve"> was not entirely satisfactory in solving the damage caused by the defamatory remark by the defendant. It was held that the </w:t>
      </w:r>
      <w:r w:rsidRPr="00302F56">
        <w:rPr>
          <w:rFonts w:ascii="Arial" w:hAnsi="Arial" w:cs="Arial"/>
          <w:i/>
          <w:sz w:val="24"/>
          <w:szCs w:val="24"/>
        </w:rPr>
        <w:t>amende honorable</w:t>
      </w:r>
      <w:r w:rsidRPr="00302F56">
        <w:rPr>
          <w:rFonts w:ascii="Arial" w:hAnsi="Arial" w:cs="Arial"/>
          <w:sz w:val="24"/>
          <w:szCs w:val="24"/>
        </w:rPr>
        <w:t xml:space="preserve"> was better suited in allowing opportunity for reconciliation between the parties and the </w:t>
      </w:r>
      <w:r w:rsidRPr="00302F56">
        <w:rPr>
          <w:rFonts w:ascii="Arial" w:hAnsi="Arial" w:cs="Arial"/>
          <w:i/>
          <w:sz w:val="24"/>
          <w:szCs w:val="24"/>
        </w:rPr>
        <w:t>actio iniuriarum</w:t>
      </w:r>
      <w:r w:rsidR="00B73F68" w:rsidRPr="00302F56">
        <w:rPr>
          <w:rFonts w:ascii="Arial" w:hAnsi="Arial" w:cs="Arial"/>
          <w:i/>
          <w:sz w:val="24"/>
          <w:szCs w:val="24"/>
        </w:rPr>
        <w:t>,</w:t>
      </w:r>
      <w:r w:rsidRPr="00302F56">
        <w:rPr>
          <w:rFonts w:ascii="Arial" w:hAnsi="Arial" w:cs="Arial"/>
          <w:i/>
          <w:sz w:val="24"/>
          <w:szCs w:val="24"/>
        </w:rPr>
        <w:t xml:space="preserve"> </w:t>
      </w:r>
      <w:r w:rsidRPr="00302F56">
        <w:rPr>
          <w:rFonts w:ascii="Arial" w:hAnsi="Arial" w:cs="Arial"/>
          <w:sz w:val="24"/>
          <w:szCs w:val="24"/>
        </w:rPr>
        <w:t>with its focus on monetary considerations</w:t>
      </w:r>
      <w:r w:rsidR="00B73F68" w:rsidRPr="00302F56">
        <w:rPr>
          <w:rFonts w:ascii="Arial" w:hAnsi="Arial" w:cs="Arial"/>
          <w:sz w:val="24"/>
          <w:szCs w:val="24"/>
        </w:rPr>
        <w:t>,</w:t>
      </w:r>
      <w:r w:rsidRPr="00302F56">
        <w:rPr>
          <w:rFonts w:ascii="Arial" w:hAnsi="Arial" w:cs="Arial"/>
          <w:sz w:val="24"/>
          <w:szCs w:val="24"/>
        </w:rPr>
        <w:t xml:space="preserve"> could neither repair the plaintiff’s dignity nor effect reparation between the parties. </w:t>
      </w:r>
      <w:r w:rsidR="00B73F68" w:rsidRPr="00302F56">
        <w:rPr>
          <w:rFonts w:ascii="Arial" w:hAnsi="Arial" w:cs="Arial"/>
          <w:sz w:val="24"/>
          <w:szCs w:val="24"/>
        </w:rPr>
        <w:t xml:space="preserve"> </w:t>
      </w:r>
      <w:r w:rsidR="00630CFA" w:rsidRPr="00302F56">
        <w:rPr>
          <w:rFonts w:ascii="Arial" w:hAnsi="Arial" w:cs="Arial"/>
          <w:sz w:val="24"/>
          <w:szCs w:val="24"/>
        </w:rPr>
        <w:t>T</w:t>
      </w:r>
      <w:r w:rsidR="00B73F68" w:rsidRPr="00302F56">
        <w:rPr>
          <w:rFonts w:ascii="Arial" w:hAnsi="Arial" w:cs="Arial"/>
          <w:sz w:val="24"/>
          <w:szCs w:val="24"/>
        </w:rPr>
        <w:t xml:space="preserve">he Constitutional Court held as follows: </w:t>
      </w:r>
    </w:p>
    <w:p w:rsidR="00B73F68" w:rsidRPr="00302F56" w:rsidRDefault="00B73F68" w:rsidP="000F1FF7">
      <w:pPr>
        <w:spacing w:line="360" w:lineRule="auto"/>
        <w:ind w:left="709" w:hanging="709"/>
        <w:jc w:val="both"/>
        <w:rPr>
          <w:rFonts w:ascii="Arial" w:hAnsi="Arial" w:cs="Arial"/>
          <w:sz w:val="20"/>
          <w:szCs w:val="20"/>
        </w:rPr>
      </w:pPr>
      <w:r w:rsidRPr="00302F56">
        <w:rPr>
          <w:rFonts w:ascii="Arial" w:hAnsi="Arial" w:cs="Arial"/>
          <w:sz w:val="24"/>
          <w:szCs w:val="24"/>
        </w:rPr>
        <w:tab/>
        <w:t>“</w:t>
      </w:r>
      <w:r w:rsidRPr="00302F56">
        <w:rPr>
          <w:rFonts w:ascii="Arial" w:hAnsi="Arial" w:cs="Arial"/>
          <w:sz w:val="20"/>
          <w:szCs w:val="20"/>
        </w:rPr>
        <w:t>The notion that the value of a person’s reputation has to be expressed in rands in fact carries the risk of undermining the very thing the law is seeking to vindicate, namely the intangible, socially- constructed and intensely meaningful good name of the injured person.  The specific nature of the injury at issue requires a sensitive judicial response that goes beyond the ordinary alertness that courts should be expected to display to encourage settlement between litigants.  As the law is currently applied, defamation proceedings tend to unfold in a way that exacerbates the ruptured relationship between the parties, driving them further apart rather than bringing them closer together.</w:t>
      </w:r>
      <w:r w:rsidR="00366300" w:rsidRPr="00302F56">
        <w:rPr>
          <w:rFonts w:ascii="Arial" w:hAnsi="Arial" w:cs="Arial"/>
          <w:sz w:val="20"/>
          <w:szCs w:val="20"/>
        </w:rPr>
        <w:t xml:space="preserve">  For the one to win, the other must lose, the scorecard being measured in a surplus of rands for the victor.”</w:t>
      </w:r>
      <w:r w:rsidR="00366300" w:rsidRPr="00302F56">
        <w:rPr>
          <w:rStyle w:val="FootnoteReference"/>
          <w:rFonts w:ascii="Arial" w:hAnsi="Arial" w:cs="Arial"/>
          <w:sz w:val="20"/>
          <w:szCs w:val="20"/>
        </w:rPr>
        <w:footnoteReference w:id="18"/>
      </w:r>
    </w:p>
    <w:p w:rsidR="00683398" w:rsidRPr="00302F56" w:rsidRDefault="00B607ED" w:rsidP="000F1FF7">
      <w:pPr>
        <w:spacing w:line="360" w:lineRule="auto"/>
        <w:ind w:left="709" w:hanging="709"/>
        <w:jc w:val="both"/>
        <w:rPr>
          <w:rFonts w:ascii="Arial" w:hAnsi="Arial" w:cs="Arial"/>
          <w:sz w:val="24"/>
          <w:szCs w:val="24"/>
        </w:rPr>
      </w:pPr>
      <w:r w:rsidRPr="00302F56">
        <w:rPr>
          <w:rFonts w:ascii="Arial" w:hAnsi="Arial" w:cs="Arial"/>
          <w:sz w:val="24"/>
          <w:szCs w:val="24"/>
        </w:rPr>
        <w:t>[</w:t>
      </w:r>
      <w:r w:rsidR="005662E3" w:rsidRPr="00302F56">
        <w:rPr>
          <w:rFonts w:ascii="Arial" w:hAnsi="Arial" w:cs="Arial"/>
          <w:sz w:val="24"/>
          <w:szCs w:val="24"/>
        </w:rPr>
        <w:t>45</w:t>
      </w:r>
      <w:r w:rsidR="00EC716B" w:rsidRPr="00302F56">
        <w:rPr>
          <w:rFonts w:ascii="Arial" w:hAnsi="Arial" w:cs="Arial"/>
          <w:sz w:val="24"/>
          <w:szCs w:val="24"/>
        </w:rPr>
        <w:t>]</w:t>
      </w:r>
      <w:r w:rsidR="00EC716B" w:rsidRPr="00302F56">
        <w:rPr>
          <w:rFonts w:ascii="Arial" w:hAnsi="Arial" w:cs="Arial"/>
          <w:sz w:val="24"/>
          <w:szCs w:val="24"/>
        </w:rPr>
        <w:tab/>
      </w:r>
      <w:r w:rsidRPr="00302F56">
        <w:rPr>
          <w:rFonts w:ascii="Arial" w:hAnsi="Arial" w:cs="Arial"/>
          <w:sz w:val="24"/>
          <w:szCs w:val="24"/>
        </w:rPr>
        <w:t xml:space="preserve">The cause of action </w:t>
      </w:r>
      <w:r w:rsidR="00EC716B" w:rsidRPr="00302F56">
        <w:rPr>
          <w:rFonts w:ascii="Arial" w:hAnsi="Arial" w:cs="Arial"/>
          <w:sz w:val="24"/>
          <w:szCs w:val="24"/>
        </w:rPr>
        <w:t xml:space="preserve">against Netcare </w:t>
      </w:r>
      <w:r w:rsidR="008432E4" w:rsidRPr="00302F56">
        <w:rPr>
          <w:rFonts w:ascii="Arial" w:hAnsi="Arial" w:cs="Arial"/>
          <w:sz w:val="24"/>
          <w:szCs w:val="24"/>
        </w:rPr>
        <w:t>is the</w:t>
      </w:r>
      <w:r w:rsidR="008432E4" w:rsidRPr="00302F56">
        <w:rPr>
          <w:rFonts w:ascii="Arial" w:hAnsi="Arial" w:cs="Arial"/>
          <w:i/>
          <w:sz w:val="24"/>
          <w:szCs w:val="24"/>
        </w:rPr>
        <w:t xml:space="preserve"> actio iniuriarum </w:t>
      </w:r>
      <w:r w:rsidR="008432E4" w:rsidRPr="00302F56">
        <w:rPr>
          <w:rFonts w:ascii="Arial" w:hAnsi="Arial" w:cs="Arial"/>
          <w:sz w:val="24"/>
          <w:szCs w:val="24"/>
        </w:rPr>
        <w:t xml:space="preserve">which grants relief for an impairment of the person, dignity or reputation of the plaintiff, which impairment is committed wrongfully and </w:t>
      </w:r>
      <w:r w:rsidR="008432E4" w:rsidRPr="00302F56">
        <w:rPr>
          <w:rFonts w:ascii="Arial" w:hAnsi="Arial" w:cs="Arial"/>
          <w:i/>
          <w:sz w:val="24"/>
          <w:szCs w:val="24"/>
        </w:rPr>
        <w:t>animo iniuriandi</w:t>
      </w:r>
      <w:r w:rsidR="008432E4" w:rsidRPr="00302F56">
        <w:rPr>
          <w:rFonts w:ascii="Arial" w:hAnsi="Arial" w:cs="Arial"/>
          <w:sz w:val="24"/>
          <w:szCs w:val="24"/>
        </w:rPr>
        <w:t xml:space="preserve"> (intentionally).</w:t>
      </w:r>
      <w:r w:rsidR="00454603" w:rsidRPr="00302F56">
        <w:rPr>
          <w:rFonts w:ascii="Arial" w:hAnsi="Arial" w:cs="Arial"/>
          <w:sz w:val="24"/>
          <w:szCs w:val="24"/>
        </w:rPr>
        <w:t xml:space="preserve"> </w:t>
      </w:r>
      <w:r w:rsidR="000E2F96" w:rsidRPr="00302F56">
        <w:rPr>
          <w:rFonts w:ascii="Arial" w:hAnsi="Arial" w:cs="Arial"/>
          <w:sz w:val="24"/>
          <w:szCs w:val="24"/>
        </w:rPr>
        <w:t xml:space="preserve">The claim against Netcare relates to its failure to come to </w:t>
      </w:r>
      <w:r w:rsidR="00630CFA" w:rsidRPr="00302F56">
        <w:rPr>
          <w:rFonts w:ascii="Arial" w:hAnsi="Arial" w:cs="Arial"/>
          <w:sz w:val="24"/>
          <w:szCs w:val="24"/>
        </w:rPr>
        <w:t>the plaintiff’s</w:t>
      </w:r>
      <w:r w:rsidR="000E2F96" w:rsidRPr="00302F56">
        <w:rPr>
          <w:rFonts w:ascii="Arial" w:hAnsi="Arial" w:cs="Arial"/>
          <w:sz w:val="24"/>
          <w:szCs w:val="24"/>
        </w:rPr>
        <w:t xml:space="preserve"> assistance and failure to deal with the allegations of verbal abuse</w:t>
      </w:r>
      <w:r w:rsidR="00454603" w:rsidRPr="00302F56">
        <w:rPr>
          <w:rFonts w:ascii="Arial" w:hAnsi="Arial" w:cs="Arial"/>
          <w:sz w:val="24"/>
          <w:szCs w:val="24"/>
        </w:rPr>
        <w:t xml:space="preserve"> and bullying</w:t>
      </w:r>
      <w:r w:rsidR="000E2F96" w:rsidRPr="00302F56">
        <w:rPr>
          <w:rFonts w:ascii="Arial" w:hAnsi="Arial" w:cs="Arial"/>
          <w:sz w:val="24"/>
          <w:szCs w:val="24"/>
        </w:rPr>
        <w:t xml:space="preserve">. Notwithstanding </w:t>
      </w:r>
      <w:r w:rsidR="00EC716B" w:rsidRPr="00302F56">
        <w:rPr>
          <w:rFonts w:ascii="Arial" w:hAnsi="Arial" w:cs="Arial"/>
          <w:sz w:val="24"/>
          <w:szCs w:val="24"/>
        </w:rPr>
        <w:t>Netcare’s</w:t>
      </w:r>
      <w:r w:rsidR="000E2F96" w:rsidRPr="00302F56">
        <w:rPr>
          <w:rFonts w:ascii="Arial" w:hAnsi="Arial" w:cs="Arial"/>
          <w:sz w:val="24"/>
          <w:szCs w:val="24"/>
        </w:rPr>
        <w:t xml:space="preserve"> policy regarding bullying and harassment</w:t>
      </w:r>
      <w:r w:rsidR="00EC716B" w:rsidRPr="00302F56">
        <w:rPr>
          <w:rFonts w:ascii="Arial" w:hAnsi="Arial" w:cs="Arial"/>
          <w:sz w:val="24"/>
          <w:szCs w:val="24"/>
        </w:rPr>
        <w:t xml:space="preserve">, explained by </w:t>
      </w:r>
      <w:r w:rsidR="000E2F96" w:rsidRPr="00302F56">
        <w:rPr>
          <w:rFonts w:ascii="Arial" w:hAnsi="Arial" w:cs="Arial"/>
          <w:sz w:val="24"/>
          <w:szCs w:val="24"/>
        </w:rPr>
        <w:t xml:space="preserve">Professor </w:t>
      </w:r>
      <w:r w:rsidR="0049526C" w:rsidRPr="00302F56">
        <w:rPr>
          <w:rFonts w:ascii="Arial" w:hAnsi="Arial" w:cs="Arial"/>
          <w:sz w:val="24"/>
          <w:szCs w:val="24"/>
        </w:rPr>
        <w:t xml:space="preserve">Cheadle, </w:t>
      </w:r>
      <w:proofErr w:type="spellStart"/>
      <w:r w:rsidR="0049526C" w:rsidRPr="00302F56">
        <w:rPr>
          <w:rFonts w:ascii="Arial" w:hAnsi="Arial" w:cs="Arial"/>
          <w:sz w:val="24"/>
          <w:szCs w:val="24"/>
        </w:rPr>
        <w:t>Netcare</w:t>
      </w:r>
      <w:proofErr w:type="spellEnd"/>
      <w:r w:rsidR="00EC716B" w:rsidRPr="00302F56">
        <w:rPr>
          <w:rFonts w:ascii="Arial" w:hAnsi="Arial" w:cs="Arial"/>
          <w:sz w:val="24"/>
          <w:szCs w:val="24"/>
        </w:rPr>
        <w:t xml:space="preserve"> deliberately turned a blind ey</w:t>
      </w:r>
      <w:r w:rsidR="00683398" w:rsidRPr="00302F56">
        <w:rPr>
          <w:rFonts w:ascii="Arial" w:hAnsi="Arial" w:cs="Arial"/>
          <w:sz w:val="24"/>
          <w:szCs w:val="24"/>
        </w:rPr>
        <w:t>e</w:t>
      </w:r>
      <w:r w:rsidR="00EC716B" w:rsidRPr="00302F56">
        <w:rPr>
          <w:rFonts w:ascii="Arial" w:hAnsi="Arial" w:cs="Arial"/>
          <w:sz w:val="24"/>
          <w:szCs w:val="24"/>
        </w:rPr>
        <w:t xml:space="preserve"> to the complaints submitted by the plaintiff and implored her to assist Dr Grobler as a scrub nurse when none of the other scrub nurses were prepared to go into the surgical </w:t>
      </w:r>
      <w:r w:rsidR="00683398" w:rsidRPr="00302F56">
        <w:rPr>
          <w:rFonts w:ascii="Arial" w:hAnsi="Arial" w:cs="Arial"/>
          <w:sz w:val="24"/>
          <w:szCs w:val="24"/>
        </w:rPr>
        <w:t>theatre with him.</w:t>
      </w:r>
      <w:r w:rsidR="000E2F96" w:rsidRPr="00302F56">
        <w:rPr>
          <w:rFonts w:ascii="Arial" w:hAnsi="Arial" w:cs="Arial"/>
          <w:sz w:val="24"/>
          <w:szCs w:val="24"/>
        </w:rPr>
        <w:t xml:space="preserve"> </w:t>
      </w:r>
      <w:r w:rsidR="008432E4" w:rsidRPr="00302F56">
        <w:rPr>
          <w:rFonts w:ascii="Arial" w:hAnsi="Arial" w:cs="Arial"/>
          <w:sz w:val="24"/>
          <w:szCs w:val="24"/>
        </w:rPr>
        <w:t xml:space="preserve"> </w:t>
      </w:r>
      <w:r w:rsidR="00972563" w:rsidRPr="00302F56">
        <w:rPr>
          <w:rFonts w:ascii="Arial" w:hAnsi="Arial" w:cs="Arial"/>
          <w:sz w:val="24"/>
          <w:szCs w:val="24"/>
        </w:rPr>
        <w:t>Mr Steyn</w:t>
      </w:r>
      <w:r w:rsidR="008432E4" w:rsidRPr="00302F56">
        <w:rPr>
          <w:rFonts w:ascii="Arial" w:hAnsi="Arial" w:cs="Arial"/>
          <w:sz w:val="24"/>
          <w:szCs w:val="24"/>
        </w:rPr>
        <w:t xml:space="preserve"> argued that the plaintiff alleged and proved impairment of the relevant aspect of personality relied on during her testimony in court.</w:t>
      </w:r>
      <w:r w:rsidR="00683398" w:rsidRPr="00302F56">
        <w:rPr>
          <w:rFonts w:ascii="Arial" w:hAnsi="Arial" w:cs="Arial"/>
          <w:sz w:val="24"/>
          <w:szCs w:val="24"/>
        </w:rPr>
        <w:t xml:space="preserve"> </w:t>
      </w:r>
    </w:p>
    <w:p w:rsidR="00683398" w:rsidRPr="00302F56" w:rsidRDefault="00683398" w:rsidP="000F1FF7">
      <w:pPr>
        <w:spacing w:line="360" w:lineRule="auto"/>
        <w:ind w:left="709" w:hanging="709"/>
        <w:jc w:val="both"/>
        <w:rPr>
          <w:rFonts w:ascii="Arial" w:hAnsi="Arial" w:cs="Arial"/>
          <w:sz w:val="24"/>
          <w:szCs w:val="24"/>
        </w:rPr>
      </w:pPr>
      <w:r w:rsidRPr="00302F56">
        <w:rPr>
          <w:rFonts w:ascii="Arial" w:hAnsi="Arial" w:cs="Arial"/>
          <w:sz w:val="24"/>
          <w:szCs w:val="24"/>
        </w:rPr>
        <w:t>[4</w:t>
      </w:r>
      <w:r w:rsidR="00454603" w:rsidRPr="00302F56">
        <w:rPr>
          <w:rFonts w:ascii="Arial" w:hAnsi="Arial" w:cs="Arial"/>
          <w:sz w:val="24"/>
          <w:szCs w:val="24"/>
        </w:rPr>
        <w:t>6</w:t>
      </w:r>
      <w:r w:rsidRPr="00302F56">
        <w:rPr>
          <w:rFonts w:ascii="Arial" w:hAnsi="Arial" w:cs="Arial"/>
          <w:sz w:val="24"/>
          <w:szCs w:val="24"/>
        </w:rPr>
        <w:t xml:space="preserve">]  </w:t>
      </w:r>
      <w:r w:rsidR="00E769D5" w:rsidRPr="00302F56">
        <w:rPr>
          <w:rFonts w:ascii="Arial" w:hAnsi="Arial" w:cs="Arial"/>
          <w:sz w:val="24"/>
          <w:szCs w:val="24"/>
        </w:rPr>
        <w:tab/>
      </w:r>
      <w:r w:rsidRPr="00302F56">
        <w:rPr>
          <w:rFonts w:ascii="Arial" w:hAnsi="Arial" w:cs="Arial"/>
          <w:sz w:val="24"/>
          <w:szCs w:val="24"/>
        </w:rPr>
        <w:t xml:space="preserve">With reference to the test for finding intention as per </w:t>
      </w:r>
      <w:r w:rsidRPr="00302F56">
        <w:rPr>
          <w:rFonts w:ascii="Arial" w:hAnsi="Arial" w:cs="Arial"/>
          <w:b/>
          <w:sz w:val="24"/>
          <w:szCs w:val="24"/>
        </w:rPr>
        <w:t>Crots v Pretorius</w:t>
      </w:r>
      <w:r w:rsidRPr="00302F56">
        <w:rPr>
          <w:rStyle w:val="FootnoteReference"/>
          <w:rFonts w:ascii="Arial" w:hAnsi="Arial" w:cs="Arial"/>
          <w:sz w:val="24"/>
          <w:szCs w:val="24"/>
        </w:rPr>
        <w:footnoteReference w:id="19"/>
      </w:r>
      <w:r w:rsidRPr="00302F56">
        <w:rPr>
          <w:rFonts w:ascii="Arial" w:hAnsi="Arial" w:cs="Arial"/>
          <w:b/>
          <w:sz w:val="24"/>
          <w:szCs w:val="24"/>
        </w:rPr>
        <w:t xml:space="preserve"> </w:t>
      </w:r>
      <w:r w:rsidRPr="00302F56">
        <w:rPr>
          <w:rFonts w:ascii="Arial" w:hAnsi="Arial" w:cs="Arial"/>
          <w:sz w:val="24"/>
          <w:szCs w:val="24"/>
        </w:rPr>
        <w:t xml:space="preserve">and </w:t>
      </w:r>
      <w:r w:rsidR="00536233" w:rsidRPr="00302F56">
        <w:rPr>
          <w:rFonts w:ascii="Arial" w:hAnsi="Arial" w:cs="Arial"/>
          <w:b/>
          <w:sz w:val="24"/>
          <w:szCs w:val="24"/>
        </w:rPr>
        <w:t xml:space="preserve">Le Roux v </w:t>
      </w:r>
      <w:proofErr w:type="spellStart"/>
      <w:r w:rsidR="00536233" w:rsidRPr="00302F56">
        <w:rPr>
          <w:rFonts w:ascii="Arial" w:hAnsi="Arial" w:cs="Arial"/>
          <w:b/>
          <w:sz w:val="24"/>
          <w:szCs w:val="24"/>
        </w:rPr>
        <w:t>Dey</w:t>
      </w:r>
      <w:proofErr w:type="spellEnd"/>
      <w:r w:rsidR="00536233" w:rsidRPr="00302F56">
        <w:rPr>
          <w:rStyle w:val="FootnoteReference"/>
          <w:rFonts w:ascii="Arial" w:hAnsi="Arial" w:cs="Arial"/>
          <w:sz w:val="24"/>
          <w:szCs w:val="24"/>
        </w:rPr>
        <w:footnoteReference w:id="20"/>
      </w:r>
      <w:r w:rsidR="00CE1286">
        <w:rPr>
          <w:rFonts w:ascii="Arial" w:hAnsi="Arial" w:cs="Arial"/>
          <w:b/>
          <w:sz w:val="24"/>
          <w:szCs w:val="24"/>
        </w:rPr>
        <w:t xml:space="preserve"> </w:t>
      </w:r>
      <w:r w:rsidR="00972563" w:rsidRPr="00302F56">
        <w:rPr>
          <w:rFonts w:ascii="Arial" w:hAnsi="Arial" w:cs="Arial"/>
          <w:sz w:val="24"/>
          <w:szCs w:val="24"/>
        </w:rPr>
        <w:t>Mr Steyn</w:t>
      </w:r>
      <w:r w:rsidRPr="00302F56">
        <w:rPr>
          <w:rFonts w:ascii="Arial" w:hAnsi="Arial" w:cs="Arial"/>
          <w:b/>
          <w:sz w:val="24"/>
          <w:szCs w:val="24"/>
        </w:rPr>
        <w:t xml:space="preserve"> </w:t>
      </w:r>
      <w:r w:rsidRPr="00302F56">
        <w:rPr>
          <w:rFonts w:ascii="Arial" w:hAnsi="Arial" w:cs="Arial"/>
          <w:sz w:val="24"/>
          <w:szCs w:val="24"/>
        </w:rPr>
        <w:t>contended that</w:t>
      </w:r>
      <w:r w:rsidRPr="00302F56">
        <w:rPr>
          <w:rFonts w:ascii="Arial" w:hAnsi="Arial" w:cs="Arial"/>
          <w:b/>
          <w:sz w:val="24"/>
          <w:szCs w:val="24"/>
        </w:rPr>
        <w:t xml:space="preserve"> </w:t>
      </w:r>
      <w:r w:rsidRPr="00302F56">
        <w:rPr>
          <w:rFonts w:ascii="Arial" w:hAnsi="Arial" w:cs="Arial"/>
          <w:sz w:val="24"/>
          <w:szCs w:val="24"/>
        </w:rPr>
        <w:t xml:space="preserve"> </w:t>
      </w:r>
      <w:r w:rsidR="004034F7" w:rsidRPr="00302F56">
        <w:rPr>
          <w:rFonts w:ascii="Arial" w:hAnsi="Arial" w:cs="Arial"/>
          <w:sz w:val="24"/>
          <w:szCs w:val="24"/>
        </w:rPr>
        <w:t>N</w:t>
      </w:r>
      <w:r w:rsidR="00536233" w:rsidRPr="00302F56">
        <w:rPr>
          <w:rFonts w:ascii="Arial" w:hAnsi="Arial" w:cs="Arial"/>
          <w:sz w:val="24"/>
          <w:szCs w:val="24"/>
        </w:rPr>
        <w:t xml:space="preserve">etcare acted intentionally (in the form of </w:t>
      </w:r>
      <w:r w:rsidR="00536233" w:rsidRPr="00302F56">
        <w:rPr>
          <w:rFonts w:ascii="Arial" w:hAnsi="Arial" w:cs="Arial"/>
          <w:i/>
          <w:sz w:val="24"/>
          <w:szCs w:val="24"/>
        </w:rPr>
        <w:t>dolus eventualis</w:t>
      </w:r>
      <w:r w:rsidR="00536233" w:rsidRPr="00302F56">
        <w:rPr>
          <w:rFonts w:ascii="Arial" w:hAnsi="Arial" w:cs="Arial"/>
          <w:sz w:val="24"/>
          <w:szCs w:val="24"/>
        </w:rPr>
        <w:t xml:space="preserve">) in not enforcing steps to protect its employees in general and the plaintiff </w:t>
      </w:r>
      <w:r w:rsidR="00536233" w:rsidRPr="00302F56">
        <w:rPr>
          <w:rFonts w:ascii="Arial" w:hAnsi="Arial" w:cs="Arial"/>
          <w:sz w:val="24"/>
          <w:szCs w:val="24"/>
        </w:rPr>
        <w:lastRenderedPageBreak/>
        <w:t>in particular</w:t>
      </w:r>
      <w:r w:rsidR="004034F7" w:rsidRPr="00302F56">
        <w:rPr>
          <w:rFonts w:ascii="Arial" w:hAnsi="Arial" w:cs="Arial"/>
          <w:sz w:val="24"/>
          <w:szCs w:val="24"/>
        </w:rPr>
        <w:t xml:space="preserve">. In the absence of rebutting evidence, the prima facie evidence became conclusive evidence. </w:t>
      </w:r>
    </w:p>
    <w:p w:rsidR="004034F7" w:rsidRPr="00302F56" w:rsidRDefault="004034F7" w:rsidP="000F1FF7">
      <w:pPr>
        <w:spacing w:line="360" w:lineRule="auto"/>
        <w:ind w:left="709" w:hanging="709"/>
        <w:jc w:val="both"/>
        <w:rPr>
          <w:rFonts w:ascii="Arial" w:hAnsi="Arial" w:cs="Arial"/>
          <w:sz w:val="24"/>
          <w:szCs w:val="24"/>
        </w:rPr>
      </w:pPr>
      <w:r w:rsidRPr="00302F56">
        <w:rPr>
          <w:rFonts w:ascii="Arial" w:hAnsi="Arial" w:cs="Arial"/>
          <w:sz w:val="24"/>
          <w:szCs w:val="24"/>
        </w:rPr>
        <w:t>[4</w:t>
      </w:r>
      <w:r w:rsidR="00454603" w:rsidRPr="00302F56">
        <w:rPr>
          <w:rFonts w:ascii="Arial" w:hAnsi="Arial" w:cs="Arial"/>
          <w:sz w:val="24"/>
          <w:szCs w:val="24"/>
        </w:rPr>
        <w:t>7</w:t>
      </w:r>
      <w:r w:rsidRPr="00302F56">
        <w:rPr>
          <w:rFonts w:ascii="Arial" w:hAnsi="Arial" w:cs="Arial"/>
          <w:sz w:val="24"/>
          <w:szCs w:val="24"/>
        </w:rPr>
        <w:t>]</w:t>
      </w:r>
      <w:r w:rsidRPr="00302F56">
        <w:rPr>
          <w:rFonts w:ascii="Arial" w:hAnsi="Arial" w:cs="Arial"/>
          <w:sz w:val="24"/>
          <w:szCs w:val="24"/>
        </w:rPr>
        <w:tab/>
        <w:t xml:space="preserve"> With reference to paragraphs 195 to 203 of </w:t>
      </w:r>
      <w:r w:rsidRPr="00302F56">
        <w:rPr>
          <w:rFonts w:ascii="Arial" w:hAnsi="Arial" w:cs="Arial"/>
          <w:b/>
          <w:sz w:val="24"/>
          <w:szCs w:val="24"/>
        </w:rPr>
        <w:t>Le Roux v Dey</w:t>
      </w:r>
      <w:r w:rsidRPr="00302F56">
        <w:rPr>
          <w:rFonts w:ascii="Arial" w:hAnsi="Arial" w:cs="Arial"/>
          <w:sz w:val="24"/>
          <w:szCs w:val="24"/>
        </w:rPr>
        <w:t xml:space="preserve">, </w:t>
      </w:r>
      <w:r w:rsidR="00972563" w:rsidRPr="00302F56">
        <w:rPr>
          <w:rFonts w:ascii="Arial" w:hAnsi="Arial" w:cs="Arial"/>
          <w:sz w:val="24"/>
          <w:szCs w:val="24"/>
        </w:rPr>
        <w:t>Mr Steyn</w:t>
      </w:r>
      <w:r w:rsidRPr="00302F56">
        <w:rPr>
          <w:rFonts w:ascii="Arial" w:hAnsi="Arial" w:cs="Arial"/>
          <w:sz w:val="24"/>
          <w:szCs w:val="24"/>
        </w:rPr>
        <w:t xml:space="preserve"> argued that even though the </w:t>
      </w:r>
      <w:r w:rsidR="009E58C3" w:rsidRPr="00302F56">
        <w:rPr>
          <w:rFonts w:ascii="Arial" w:hAnsi="Arial" w:cs="Arial"/>
          <w:sz w:val="24"/>
          <w:szCs w:val="24"/>
        </w:rPr>
        <w:t>C</w:t>
      </w:r>
      <w:r w:rsidRPr="00302F56">
        <w:rPr>
          <w:rFonts w:ascii="Arial" w:hAnsi="Arial" w:cs="Arial"/>
          <w:sz w:val="24"/>
          <w:szCs w:val="24"/>
        </w:rPr>
        <w:t xml:space="preserve">onstitutional </w:t>
      </w:r>
      <w:r w:rsidR="009E58C3" w:rsidRPr="00302F56">
        <w:rPr>
          <w:rFonts w:ascii="Arial" w:hAnsi="Arial" w:cs="Arial"/>
          <w:sz w:val="24"/>
          <w:szCs w:val="24"/>
        </w:rPr>
        <w:t>C</w:t>
      </w:r>
      <w:r w:rsidRPr="00302F56">
        <w:rPr>
          <w:rFonts w:ascii="Arial" w:hAnsi="Arial" w:cs="Arial"/>
          <w:sz w:val="24"/>
          <w:szCs w:val="24"/>
        </w:rPr>
        <w:t>ourt did not propose a reinst</w:t>
      </w:r>
      <w:r w:rsidR="009E58C3" w:rsidRPr="00302F56">
        <w:rPr>
          <w:rFonts w:ascii="Arial" w:hAnsi="Arial" w:cs="Arial"/>
          <w:sz w:val="24"/>
          <w:szCs w:val="24"/>
        </w:rPr>
        <w:t>a</w:t>
      </w:r>
      <w:r w:rsidRPr="00302F56">
        <w:rPr>
          <w:rFonts w:ascii="Arial" w:hAnsi="Arial" w:cs="Arial"/>
          <w:sz w:val="24"/>
          <w:szCs w:val="24"/>
        </w:rPr>
        <w:t>t</w:t>
      </w:r>
      <w:r w:rsidR="009E58C3" w:rsidRPr="00302F56">
        <w:rPr>
          <w:rFonts w:ascii="Arial" w:hAnsi="Arial" w:cs="Arial"/>
          <w:sz w:val="24"/>
          <w:szCs w:val="24"/>
        </w:rPr>
        <w:t>e</w:t>
      </w:r>
      <w:r w:rsidRPr="00302F56">
        <w:rPr>
          <w:rFonts w:ascii="Arial" w:hAnsi="Arial" w:cs="Arial"/>
          <w:sz w:val="24"/>
          <w:szCs w:val="24"/>
        </w:rPr>
        <w:t xml:space="preserve">ment of the </w:t>
      </w:r>
      <w:r w:rsidR="009E58C3" w:rsidRPr="00302F56">
        <w:rPr>
          <w:rFonts w:ascii="Arial" w:hAnsi="Arial" w:cs="Arial"/>
          <w:i/>
          <w:sz w:val="24"/>
          <w:szCs w:val="24"/>
        </w:rPr>
        <w:t>a</w:t>
      </w:r>
      <w:r w:rsidRPr="00302F56">
        <w:rPr>
          <w:rFonts w:ascii="Arial" w:hAnsi="Arial" w:cs="Arial"/>
          <w:i/>
          <w:sz w:val="24"/>
          <w:szCs w:val="24"/>
        </w:rPr>
        <w:t>mende honorable</w:t>
      </w:r>
      <w:r w:rsidR="009E58C3" w:rsidRPr="00302F56">
        <w:rPr>
          <w:rFonts w:ascii="Arial" w:hAnsi="Arial" w:cs="Arial"/>
          <w:i/>
          <w:sz w:val="24"/>
          <w:szCs w:val="24"/>
        </w:rPr>
        <w:t>,</w:t>
      </w:r>
      <w:r w:rsidR="009E58C3" w:rsidRPr="00302F56">
        <w:rPr>
          <w:rFonts w:ascii="Arial" w:hAnsi="Arial" w:cs="Arial"/>
          <w:sz w:val="24"/>
          <w:szCs w:val="24"/>
        </w:rPr>
        <w:t xml:space="preserve"> the order that was suggested should be made “…flows from  a general principled justification for it”.</w:t>
      </w:r>
      <w:r w:rsidR="009E58C3" w:rsidRPr="00302F56">
        <w:rPr>
          <w:rStyle w:val="FootnoteReference"/>
          <w:rFonts w:ascii="Arial" w:hAnsi="Arial" w:cs="Arial"/>
          <w:sz w:val="24"/>
          <w:szCs w:val="24"/>
        </w:rPr>
        <w:footnoteReference w:id="21"/>
      </w:r>
      <w:r w:rsidR="009E58C3" w:rsidRPr="00302F56">
        <w:rPr>
          <w:rFonts w:ascii="Arial" w:hAnsi="Arial" w:cs="Arial"/>
          <w:sz w:val="24"/>
          <w:szCs w:val="24"/>
        </w:rPr>
        <w:t xml:space="preserve"> Therefore the Constitutional Court re-introduced the concept of a court enforced apology for actions based on the  </w:t>
      </w:r>
      <w:r w:rsidR="009E58C3" w:rsidRPr="00302F56">
        <w:rPr>
          <w:rFonts w:ascii="Arial" w:hAnsi="Arial" w:cs="Arial"/>
          <w:i/>
          <w:sz w:val="24"/>
          <w:szCs w:val="24"/>
        </w:rPr>
        <w:t>actio in</w:t>
      </w:r>
      <w:r w:rsidR="003A68CB" w:rsidRPr="00302F56">
        <w:rPr>
          <w:rFonts w:ascii="Arial" w:hAnsi="Arial" w:cs="Arial"/>
          <w:i/>
          <w:sz w:val="24"/>
          <w:szCs w:val="24"/>
        </w:rPr>
        <w:t>iuriarum</w:t>
      </w:r>
      <w:r w:rsidR="003A68CB" w:rsidRPr="00302F56">
        <w:rPr>
          <w:rFonts w:ascii="Arial" w:hAnsi="Arial" w:cs="Arial"/>
          <w:sz w:val="24"/>
          <w:szCs w:val="24"/>
        </w:rPr>
        <w:t xml:space="preserve"> as a damages measure. On behalf of the plaintiff it was argued that to find that this case against </w:t>
      </w:r>
      <w:r w:rsidR="00C71169" w:rsidRPr="00302F56">
        <w:rPr>
          <w:rFonts w:ascii="Arial" w:hAnsi="Arial" w:cs="Arial"/>
          <w:sz w:val="24"/>
          <w:szCs w:val="24"/>
        </w:rPr>
        <w:t>N</w:t>
      </w:r>
      <w:r w:rsidR="003A68CB" w:rsidRPr="00302F56">
        <w:rPr>
          <w:rFonts w:ascii="Arial" w:hAnsi="Arial" w:cs="Arial"/>
          <w:sz w:val="24"/>
          <w:szCs w:val="24"/>
        </w:rPr>
        <w:t xml:space="preserve">etcare does not justify an apology order because it is not a defamation case, misses the point because defamation is a species of </w:t>
      </w:r>
      <w:r w:rsidR="003A68CB" w:rsidRPr="00302F56">
        <w:rPr>
          <w:rFonts w:ascii="Arial" w:hAnsi="Arial" w:cs="Arial"/>
          <w:i/>
          <w:sz w:val="24"/>
          <w:szCs w:val="24"/>
        </w:rPr>
        <w:t>iniuria</w:t>
      </w:r>
      <w:r w:rsidR="003A68CB" w:rsidRPr="00302F56">
        <w:rPr>
          <w:rFonts w:ascii="Arial" w:hAnsi="Arial" w:cs="Arial"/>
          <w:sz w:val="24"/>
          <w:szCs w:val="24"/>
        </w:rPr>
        <w:t>. In the heads of argument by Mr Steyn it is contended that:</w:t>
      </w:r>
      <w:r w:rsidR="00F23914" w:rsidRPr="00302F56">
        <w:rPr>
          <w:rFonts w:ascii="Arial" w:hAnsi="Arial" w:cs="Arial"/>
          <w:sz w:val="24"/>
          <w:szCs w:val="24"/>
        </w:rPr>
        <w:t xml:space="preserve"> </w:t>
      </w:r>
      <w:r w:rsidR="003A68CB" w:rsidRPr="00302F56">
        <w:rPr>
          <w:rFonts w:ascii="Arial" w:hAnsi="Arial" w:cs="Arial"/>
          <w:sz w:val="24"/>
          <w:szCs w:val="24"/>
        </w:rPr>
        <w:t xml:space="preserve">“The plaintiff was humiliated and degraded, accordingly she demands, and it is only right that she be apologised to in public”. </w:t>
      </w:r>
    </w:p>
    <w:p w:rsidR="003A68CB" w:rsidRPr="00302F56" w:rsidRDefault="003A68CB" w:rsidP="000F1FF7">
      <w:pPr>
        <w:spacing w:line="360" w:lineRule="auto"/>
        <w:ind w:left="709" w:hanging="709"/>
        <w:jc w:val="both"/>
        <w:rPr>
          <w:rFonts w:ascii="Arial" w:hAnsi="Arial" w:cs="Arial"/>
          <w:sz w:val="24"/>
          <w:szCs w:val="24"/>
        </w:rPr>
      </w:pPr>
      <w:r w:rsidRPr="00302F56">
        <w:rPr>
          <w:rFonts w:ascii="Arial" w:hAnsi="Arial" w:cs="Arial"/>
          <w:sz w:val="24"/>
          <w:szCs w:val="24"/>
        </w:rPr>
        <w:t>[4</w:t>
      </w:r>
      <w:r w:rsidR="00454603" w:rsidRPr="00302F56">
        <w:rPr>
          <w:rFonts w:ascii="Arial" w:hAnsi="Arial" w:cs="Arial"/>
          <w:sz w:val="24"/>
          <w:szCs w:val="24"/>
        </w:rPr>
        <w:t>8</w:t>
      </w:r>
      <w:r w:rsidRPr="00302F56">
        <w:rPr>
          <w:rFonts w:ascii="Arial" w:hAnsi="Arial" w:cs="Arial"/>
          <w:sz w:val="24"/>
          <w:szCs w:val="24"/>
        </w:rPr>
        <w:t>]</w:t>
      </w:r>
      <w:r w:rsidRPr="00302F56">
        <w:rPr>
          <w:rFonts w:ascii="Arial" w:hAnsi="Arial" w:cs="Arial"/>
          <w:sz w:val="24"/>
          <w:szCs w:val="24"/>
        </w:rPr>
        <w:tab/>
      </w:r>
      <w:r w:rsidR="00F23914" w:rsidRPr="00302F56">
        <w:rPr>
          <w:rFonts w:ascii="Arial" w:hAnsi="Arial" w:cs="Arial"/>
          <w:sz w:val="24"/>
          <w:szCs w:val="24"/>
        </w:rPr>
        <w:t>The plaintiff’s wish and claim for an apology from Dr Grobler, prior to his death</w:t>
      </w:r>
      <w:r w:rsidR="003A5B30" w:rsidRPr="00302F56">
        <w:rPr>
          <w:rFonts w:ascii="Arial" w:hAnsi="Arial" w:cs="Arial"/>
          <w:sz w:val="24"/>
          <w:szCs w:val="24"/>
        </w:rPr>
        <w:t>, would have included a recantation or a formal withdrawal of the defamatory words and remarks to repair her injured honour and the acknowledgement by him that he had done wrong. Having regard to the evidence</w:t>
      </w:r>
      <w:r w:rsidR="00C71169" w:rsidRPr="00302F56">
        <w:rPr>
          <w:rFonts w:ascii="Arial" w:hAnsi="Arial" w:cs="Arial"/>
          <w:sz w:val="24"/>
          <w:szCs w:val="24"/>
        </w:rPr>
        <w:t xml:space="preserve"> and the legal principles referred to in the case law</w:t>
      </w:r>
      <w:r w:rsidR="003A5B30" w:rsidRPr="00302F56">
        <w:rPr>
          <w:rFonts w:ascii="Arial" w:hAnsi="Arial" w:cs="Arial"/>
          <w:sz w:val="24"/>
          <w:szCs w:val="24"/>
        </w:rPr>
        <w:t xml:space="preserve">, this would have been justified. </w:t>
      </w:r>
    </w:p>
    <w:p w:rsidR="003A5B30" w:rsidRPr="00302F56" w:rsidRDefault="003A5B30" w:rsidP="003A5B30">
      <w:pPr>
        <w:spacing w:line="360" w:lineRule="auto"/>
        <w:ind w:left="709" w:hanging="709"/>
        <w:jc w:val="both"/>
        <w:rPr>
          <w:rFonts w:ascii="Arial" w:hAnsi="Arial" w:cs="Arial"/>
          <w:sz w:val="24"/>
          <w:szCs w:val="24"/>
        </w:rPr>
      </w:pPr>
      <w:r w:rsidRPr="00302F56">
        <w:rPr>
          <w:rFonts w:ascii="Arial" w:hAnsi="Arial" w:cs="Arial"/>
          <w:sz w:val="24"/>
          <w:szCs w:val="24"/>
        </w:rPr>
        <w:t>[</w:t>
      </w:r>
      <w:r w:rsidR="00454603" w:rsidRPr="00302F56">
        <w:rPr>
          <w:rFonts w:ascii="Arial" w:hAnsi="Arial" w:cs="Arial"/>
          <w:sz w:val="24"/>
          <w:szCs w:val="24"/>
        </w:rPr>
        <w:t>49</w:t>
      </w:r>
      <w:r w:rsidRPr="00302F56">
        <w:rPr>
          <w:rFonts w:ascii="Arial" w:hAnsi="Arial" w:cs="Arial"/>
          <w:sz w:val="24"/>
          <w:szCs w:val="24"/>
        </w:rPr>
        <w:t>]</w:t>
      </w:r>
      <w:r w:rsidRPr="00302F56">
        <w:rPr>
          <w:rFonts w:ascii="Arial" w:hAnsi="Arial" w:cs="Arial"/>
          <w:sz w:val="24"/>
          <w:szCs w:val="24"/>
        </w:rPr>
        <w:tab/>
        <w:t>I</w:t>
      </w:r>
      <w:r w:rsidR="008F055F" w:rsidRPr="00302F56">
        <w:rPr>
          <w:rFonts w:ascii="Arial" w:hAnsi="Arial" w:cs="Arial"/>
          <w:sz w:val="24"/>
          <w:szCs w:val="24"/>
        </w:rPr>
        <w:t xml:space="preserve">n Chapter 1 of </w:t>
      </w:r>
      <w:r w:rsidR="008F055F" w:rsidRPr="00302F56">
        <w:rPr>
          <w:rFonts w:ascii="Arial" w:hAnsi="Arial" w:cs="Arial"/>
          <w:b/>
          <w:sz w:val="24"/>
          <w:szCs w:val="24"/>
        </w:rPr>
        <w:t>Wille’s Principles of South African Law</w:t>
      </w:r>
      <w:r w:rsidR="008F055F" w:rsidRPr="00302F56">
        <w:rPr>
          <w:rStyle w:val="FootnoteReference"/>
          <w:rFonts w:ascii="Arial" w:hAnsi="Arial" w:cs="Arial"/>
          <w:sz w:val="24"/>
          <w:szCs w:val="24"/>
        </w:rPr>
        <w:footnoteReference w:id="22"/>
      </w:r>
      <w:r w:rsidR="008F055F" w:rsidRPr="00302F56">
        <w:rPr>
          <w:rFonts w:ascii="Arial" w:hAnsi="Arial" w:cs="Arial"/>
          <w:sz w:val="24"/>
          <w:szCs w:val="24"/>
        </w:rPr>
        <w:t xml:space="preserve"> the core characteristics of law, its distinctiveness as a mode of social organization are defined as: “</w:t>
      </w:r>
      <w:r w:rsidR="008F055F" w:rsidRPr="00302F56">
        <w:rPr>
          <w:rFonts w:ascii="Arial" w:hAnsi="Arial" w:cs="Arial"/>
          <w:sz w:val="20"/>
          <w:szCs w:val="20"/>
        </w:rPr>
        <w:t xml:space="preserve">Law  serves diverse functions in society, but it’s hallmark is the stipulation of rights and duties, which, if uncertain or not complied with, are determined in court and, if necessary, enforced on the authority of court orders.  In doing so, law provide such reasons for acting (or refraining from acting) in prescribed ways and holds people responsible, to each other as well as to society at large, when they fail to comply with such reasons.”  </w:t>
      </w:r>
      <w:r w:rsidR="008F055F" w:rsidRPr="00302F56">
        <w:rPr>
          <w:rFonts w:ascii="Arial" w:hAnsi="Arial" w:cs="Arial"/>
          <w:sz w:val="24"/>
          <w:szCs w:val="24"/>
        </w:rPr>
        <w:t>The concept of justice is concerned with “giving persons their due”.</w:t>
      </w:r>
      <w:r w:rsidR="008F055F" w:rsidRPr="00302F56">
        <w:rPr>
          <w:rStyle w:val="FootnoteReference"/>
          <w:rFonts w:ascii="Arial" w:hAnsi="Arial" w:cs="Arial"/>
          <w:sz w:val="24"/>
          <w:szCs w:val="24"/>
        </w:rPr>
        <w:footnoteReference w:id="23"/>
      </w:r>
      <w:r w:rsidR="008F055F" w:rsidRPr="00302F56">
        <w:rPr>
          <w:rFonts w:ascii="Arial" w:hAnsi="Arial" w:cs="Arial"/>
          <w:sz w:val="24"/>
          <w:szCs w:val="24"/>
        </w:rPr>
        <w:t xml:space="preserve"> </w:t>
      </w:r>
      <w:r w:rsidRPr="00302F56">
        <w:rPr>
          <w:rFonts w:ascii="Arial" w:hAnsi="Arial" w:cs="Arial"/>
          <w:sz w:val="24"/>
          <w:szCs w:val="24"/>
        </w:rPr>
        <w:t xml:space="preserve"> </w:t>
      </w:r>
    </w:p>
    <w:p w:rsidR="00E769D5" w:rsidRPr="00302F56" w:rsidRDefault="003A5B30" w:rsidP="003A5B30">
      <w:pPr>
        <w:spacing w:line="360" w:lineRule="auto"/>
        <w:ind w:left="709" w:hanging="709"/>
        <w:jc w:val="both"/>
        <w:rPr>
          <w:rFonts w:ascii="Arial" w:hAnsi="Arial" w:cs="Arial"/>
          <w:sz w:val="24"/>
          <w:szCs w:val="24"/>
        </w:rPr>
      </w:pPr>
      <w:r w:rsidRPr="00302F56">
        <w:rPr>
          <w:rFonts w:ascii="Arial" w:hAnsi="Arial" w:cs="Arial"/>
          <w:sz w:val="24"/>
          <w:szCs w:val="24"/>
        </w:rPr>
        <w:t>[5</w:t>
      </w:r>
      <w:r w:rsidR="00E36153" w:rsidRPr="00302F56">
        <w:rPr>
          <w:rFonts w:ascii="Arial" w:hAnsi="Arial" w:cs="Arial"/>
          <w:sz w:val="24"/>
          <w:szCs w:val="24"/>
        </w:rPr>
        <w:t>0</w:t>
      </w:r>
      <w:r w:rsidRPr="00302F56">
        <w:rPr>
          <w:rFonts w:ascii="Arial" w:hAnsi="Arial" w:cs="Arial"/>
          <w:sz w:val="24"/>
          <w:szCs w:val="24"/>
        </w:rPr>
        <w:t>]</w:t>
      </w:r>
      <w:r w:rsidRPr="00302F56">
        <w:rPr>
          <w:rFonts w:ascii="Arial" w:hAnsi="Arial" w:cs="Arial"/>
          <w:sz w:val="24"/>
          <w:szCs w:val="24"/>
        </w:rPr>
        <w:tab/>
        <w:t xml:space="preserve">The </w:t>
      </w:r>
      <w:r w:rsidRPr="00302F56">
        <w:rPr>
          <w:rFonts w:ascii="Arial" w:hAnsi="Arial" w:cs="Arial"/>
          <w:i/>
          <w:sz w:val="24"/>
          <w:szCs w:val="24"/>
        </w:rPr>
        <w:t>amende honorable</w:t>
      </w:r>
      <w:r w:rsidRPr="00302F56">
        <w:rPr>
          <w:rFonts w:ascii="Arial" w:hAnsi="Arial" w:cs="Arial"/>
          <w:sz w:val="24"/>
          <w:szCs w:val="24"/>
        </w:rPr>
        <w:t xml:space="preserve">  </w:t>
      </w:r>
      <w:r w:rsidR="00E769D5" w:rsidRPr="00302F56">
        <w:rPr>
          <w:rFonts w:ascii="Arial" w:hAnsi="Arial" w:cs="Arial"/>
          <w:sz w:val="24"/>
          <w:szCs w:val="24"/>
        </w:rPr>
        <w:t>can be</w:t>
      </w:r>
      <w:r w:rsidRPr="00302F56">
        <w:rPr>
          <w:rFonts w:ascii="Arial" w:hAnsi="Arial" w:cs="Arial"/>
          <w:sz w:val="24"/>
          <w:szCs w:val="24"/>
        </w:rPr>
        <w:t xml:space="preserve"> traced back to medieval canon law with its basis</w:t>
      </w:r>
      <w:r w:rsidR="00E36153" w:rsidRPr="00302F56">
        <w:rPr>
          <w:rFonts w:ascii="Arial" w:hAnsi="Arial" w:cs="Arial"/>
          <w:sz w:val="24"/>
          <w:szCs w:val="24"/>
        </w:rPr>
        <w:t xml:space="preserve"> as</w:t>
      </w:r>
      <w:r w:rsidRPr="00302F56">
        <w:rPr>
          <w:rFonts w:ascii="Arial" w:hAnsi="Arial" w:cs="Arial"/>
          <w:sz w:val="24"/>
          <w:szCs w:val="24"/>
        </w:rPr>
        <w:t xml:space="preserve"> Christian forgiveness.</w:t>
      </w:r>
      <w:r w:rsidRPr="00302F56">
        <w:rPr>
          <w:rStyle w:val="FootnoteReference"/>
          <w:rFonts w:ascii="Arial" w:hAnsi="Arial" w:cs="Arial"/>
          <w:sz w:val="24"/>
          <w:szCs w:val="24"/>
        </w:rPr>
        <w:footnoteReference w:id="24"/>
      </w:r>
      <w:r w:rsidRPr="00302F56">
        <w:rPr>
          <w:rFonts w:ascii="Arial" w:hAnsi="Arial" w:cs="Arial"/>
          <w:sz w:val="24"/>
          <w:szCs w:val="24"/>
        </w:rPr>
        <w:t xml:space="preserve">  The remedy was applicable in slandering</w:t>
      </w:r>
      <w:r w:rsidR="00E769D5" w:rsidRPr="00302F56">
        <w:rPr>
          <w:rFonts w:ascii="Arial" w:hAnsi="Arial" w:cs="Arial"/>
          <w:sz w:val="24"/>
          <w:szCs w:val="24"/>
        </w:rPr>
        <w:t xml:space="preserve"> or defamation</w:t>
      </w:r>
      <w:r w:rsidRPr="00302F56">
        <w:rPr>
          <w:rFonts w:ascii="Arial" w:hAnsi="Arial" w:cs="Arial"/>
          <w:sz w:val="24"/>
          <w:szCs w:val="24"/>
        </w:rPr>
        <w:t xml:space="preserve"> cases</w:t>
      </w:r>
      <w:r w:rsidR="00E769D5" w:rsidRPr="00302F56">
        <w:rPr>
          <w:rFonts w:ascii="Arial" w:hAnsi="Arial" w:cs="Arial"/>
          <w:sz w:val="24"/>
          <w:szCs w:val="24"/>
        </w:rPr>
        <w:t xml:space="preserve">. </w:t>
      </w:r>
      <w:r w:rsidR="002F2175" w:rsidRPr="00302F56">
        <w:rPr>
          <w:rFonts w:ascii="Arial" w:hAnsi="Arial" w:cs="Arial"/>
          <w:sz w:val="24"/>
          <w:szCs w:val="24"/>
        </w:rPr>
        <w:t xml:space="preserve">An apology as always </w:t>
      </w:r>
      <w:r w:rsidR="00F97416" w:rsidRPr="00302F56">
        <w:rPr>
          <w:rFonts w:ascii="Arial" w:hAnsi="Arial" w:cs="Arial"/>
          <w:sz w:val="24"/>
          <w:szCs w:val="24"/>
        </w:rPr>
        <w:t xml:space="preserve">weighed heavily in determining the quantum of damages in defamation cases. </w:t>
      </w:r>
      <w:r w:rsidR="00E769D5" w:rsidRPr="00302F56">
        <w:rPr>
          <w:rFonts w:ascii="Arial" w:hAnsi="Arial" w:cs="Arial"/>
          <w:sz w:val="24"/>
          <w:szCs w:val="24"/>
        </w:rPr>
        <w:t xml:space="preserve">The </w:t>
      </w:r>
      <w:r w:rsidR="00E769D5" w:rsidRPr="00302F56">
        <w:rPr>
          <w:rFonts w:ascii="Arial" w:hAnsi="Arial" w:cs="Arial"/>
          <w:i/>
          <w:sz w:val="24"/>
          <w:szCs w:val="24"/>
        </w:rPr>
        <w:t>amende honorable</w:t>
      </w:r>
      <w:r w:rsidR="00E769D5" w:rsidRPr="00302F56">
        <w:rPr>
          <w:rFonts w:ascii="Arial" w:hAnsi="Arial" w:cs="Arial"/>
          <w:sz w:val="24"/>
          <w:szCs w:val="24"/>
        </w:rPr>
        <w:t xml:space="preserve"> was not</w:t>
      </w:r>
      <w:r w:rsidRPr="00302F56">
        <w:rPr>
          <w:rFonts w:ascii="Arial" w:hAnsi="Arial" w:cs="Arial"/>
          <w:sz w:val="24"/>
          <w:szCs w:val="24"/>
        </w:rPr>
        <w:t xml:space="preserve"> </w:t>
      </w:r>
      <w:r w:rsidR="00E769D5" w:rsidRPr="00302F56">
        <w:rPr>
          <w:rFonts w:ascii="Arial" w:hAnsi="Arial" w:cs="Arial"/>
          <w:sz w:val="24"/>
          <w:szCs w:val="24"/>
        </w:rPr>
        <w:t xml:space="preserve">a </w:t>
      </w:r>
      <w:r w:rsidR="00E36153" w:rsidRPr="00302F56">
        <w:rPr>
          <w:rFonts w:ascii="Arial" w:hAnsi="Arial" w:cs="Arial"/>
          <w:sz w:val="24"/>
          <w:szCs w:val="24"/>
        </w:rPr>
        <w:t>remedy</w:t>
      </w:r>
      <w:r w:rsidR="00E769D5" w:rsidRPr="00302F56">
        <w:rPr>
          <w:rFonts w:ascii="Arial" w:hAnsi="Arial" w:cs="Arial"/>
          <w:sz w:val="24"/>
          <w:szCs w:val="24"/>
        </w:rPr>
        <w:t xml:space="preserve"> in matters pertaining to the infringement of a persons’ dignity by insulting words, belittling or contemptuous </w:t>
      </w:r>
      <w:r w:rsidR="00E769D5" w:rsidRPr="00302F56">
        <w:rPr>
          <w:rFonts w:ascii="Arial" w:hAnsi="Arial" w:cs="Arial"/>
          <w:sz w:val="24"/>
          <w:szCs w:val="24"/>
        </w:rPr>
        <w:lastRenderedPageBreak/>
        <w:t xml:space="preserve">behaviour. </w:t>
      </w:r>
      <w:r w:rsidR="004D7637" w:rsidRPr="00302F56">
        <w:rPr>
          <w:rFonts w:ascii="Arial" w:hAnsi="Arial" w:cs="Arial"/>
          <w:sz w:val="24"/>
          <w:szCs w:val="24"/>
        </w:rPr>
        <w:t>The specific nature of the injury, being “</w:t>
      </w:r>
      <w:r w:rsidR="004D7637" w:rsidRPr="00CE1286">
        <w:rPr>
          <w:rFonts w:ascii="Arial" w:hAnsi="Arial" w:cs="Arial"/>
          <w:sz w:val="24"/>
          <w:szCs w:val="24"/>
        </w:rPr>
        <w:t>the intangible, socially-connected and intensely meaningful good name of the injured person</w:t>
      </w:r>
      <w:r w:rsidR="004D7637" w:rsidRPr="00302F56">
        <w:rPr>
          <w:rFonts w:ascii="Arial" w:hAnsi="Arial" w:cs="Arial"/>
          <w:sz w:val="24"/>
          <w:szCs w:val="24"/>
        </w:rPr>
        <w:t>”</w:t>
      </w:r>
      <w:r w:rsidR="004D7637" w:rsidRPr="00302F56">
        <w:rPr>
          <w:rStyle w:val="FootnoteReference"/>
          <w:rFonts w:ascii="Arial" w:hAnsi="Arial" w:cs="Arial"/>
          <w:sz w:val="24"/>
          <w:szCs w:val="24"/>
        </w:rPr>
        <w:footnoteReference w:id="25"/>
      </w:r>
      <w:r w:rsidR="004D7637" w:rsidRPr="00302F56">
        <w:rPr>
          <w:rFonts w:ascii="Arial" w:hAnsi="Arial" w:cs="Arial"/>
          <w:sz w:val="24"/>
          <w:szCs w:val="24"/>
        </w:rPr>
        <w:t xml:space="preserve"> in defamation matters, justified not only an award </w:t>
      </w:r>
      <w:r w:rsidR="002F2175" w:rsidRPr="00302F56">
        <w:rPr>
          <w:rFonts w:ascii="Arial" w:hAnsi="Arial" w:cs="Arial"/>
          <w:sz w:val="24"/>
          <w:szCs w:val="24"/>
        </w:rPr>
        <w:t xml:space="preserve">or the provision of </w:t>
      </w:r>
      <w:r w:rsidR="002F2175" w:rsidRPr="00302F56">
        <w:rPr>
          <w:rFonts w:ascii="Arial" w:hAnsi="Arial" w:cs="Arial"/>
          <w:i/>
          <w:sz w:val="24"/>
          <w:szCs w:val="24"/>
        </w:rPr>
        <w:t>solatium</w:t>
      </w:r>
      <w:r w:rsidR="002F2175" w:rsidRPr="00302F56">
        <w:rPr>
          <w:rFonts w:ascii="Arial" w:hAnsi="Arial" w:cs="Arial"/>
          <w:sz w:val="24"/>
          <w:szCs w:val="24"/>
        </w:rPr>
        <w:t xml:space="preserve"> </w:t>
      </w:r>
      <w:r w:rsidR="004D7637" w:rsidRPr="00302F56">
        <w:rPr>
          <w:rFonts w:ascii="Arial" w:hAnsi="Arial" w:cs="Arial"/>
          <w:sz w:val="24"/>
          <w:szCs w:val="24"/>
        </w:rPr>
        <w:t xml:space="preserve">for (sentimental) </w:t>
      </w:r>
      <w:r w:rsidR="002E1919" w:rsidRPr="00302F56">
        <w:rPr>
          <w:rFonts w:ascii="Arial" w:hAnsi="Arial" w:cs="Arial"/>
          <w:sz w:val="24"/>
          <w:szCs w:val="24"/>
        </w:rPr>
        <w:t xml:space="preserve">damages, but an apology by the defendant for defamatory remarks </w:t>
      </w:r>
      <w:r w:rsidR="00E36153" w:rsidRPr="00302F56">
        <w:rPr>
          <w:rFonts w:ascii="Arial" w:hAnsi="Arial" w:cs="Arial"/>
          <w:sz w:val="24"/>
          <w:szCs w:val="24"/>
        </w:rPr>
        <w:t xml:space="preserve">which </w:t>
      </w:r>
      <w:r w:rsidR="002E1919" w:rsidRPr="00302F56">
        <w:rPr>
          <w:rFonts w:ascii="Arial" w:hAnsi="Arial" w:cs="Arial"/>
          <w:sz w:val="24"/>
          <w:szCs w:val="24"/>
        </w:rPr>
        <w:t xml:space="preserve">could do more to restore the plaintiff’s dignity than a monetary award. </w:t>
      </w:r>
    </w:p>
    <w:p w:rsidR="00E769D5" w:rsidRPr="00302F56" w:rsidRDefault="00E769D5" w:rsidP="003A5B30">
      <w:pPr>
        <w:spacing w:line="360" w:lineRule="auto"/>
        <w:ind w:left="709" w:hanging="709"/>
        <w:jc w:val="both"/>
        <w:rPr>
          <w:rFonts w:ascii="Arial" w:hAnsi="Arial" w:cs="Arial"/>
          <w:sz w:val="24"/>
          <w:szCs w:val="24"/>
        </w:rPr>
      </w:pPr>
      <w:r w:rsidRPr="00302F56">
        <w:rPr>
          <w:rFonts w:ascii="Arial" w:hAnsi="Arial" w:cs="Arial"/>
          <w:sz w:val="24"/>
          <w:szCs w:val="24"/>
        </w:rPr>
        <w:t>[5</w:t>
      </w:r>
      <w:r w:rsidR="00E36153" w:rsidRPr="00302F56">
        <w:rPr>
          <w:rFonts w:ascii="Arial" w:hAnsi="Arial" w:cs="Arial"/>
          <w:sz w:val="24"/>
          <w:szCs w:val="24"/>
        </w:rPr>
        <w:t>1</w:t>
      </w:r>
      <w:r w:rsidRPr="00302F56">
        <w:rPr>
          <w:rFonts w:ascii="Arial" w:hAnsi="Arial" w:cs="Arial"/>
          <w:sz w:val="24"/>
          <w:szCs w:val="24"/>
        </w:rPr>
        <w:t>]</w:t>
      </w:r>
      <w:r w:rsidR="002E1919" w:rsidRPr="00302F56">
        <w:rPr>
          <w:rFonts w:ascii="Arial" w:hAnsi="Arial" w:cs="Arial"/>
          <w:sz w:val="24"/>
          <w:szCs w:val="24"/>
        </w:rPr>
        <w:tab/>
        <w:t xml:space="preserve">The </w:t>
      </w:r>
      <w:r w:rsidR="002E1919" w:rsidRPr="00302F56">
        <w:rPr>
          <w:rFonts w:ascii="Arial" w:hAnsi="Arial" w:cs="Arial"/>
          <w:i/>
          <w:sz w:val="24"/>
          <w:szCs w:val="24"/>
        </w:rPr>
        <w:t>actio iniuriarum</w:t>
      </w:r>
      <w:r w:rsidR="002E1919" w:rsidRPr="00302F56">
        <w:rPr>
          <w:rFonts w:ascii="Arial" w:hAnsi="Arial" w:cs="Arial"/>
          <w:sz w:val="24"/>
          <w:szCs w:val="24"/>
        </w:rPr>
        <w:t>, the remedy for defamation also places strain on the right to freedom of expression, because potential defendants could be intimidated by large damages awards from exercising this right.</w:t>
      </w:r>
      <w:r w:rsidR="002E1919" w:rsidRPr="00302F56">
        <w:rPr>
          <w:rStyle w:val="FootnoteReference"/>
          <w:rFonts w:ascii="Arial" w:hAnsi="Arial" w:cs="Arial"/>
          <w:sz w:val="24"/>
          <w:szCs w:val="24"/>
        </w:rPr>
        <w:footnoteReference w:id="26"/>
      </w:r>
      <w:r w:rsidR="00EE57D1" w:rsidRPr="00302F56">
        <w:rPr>
          <w:rFonts w:ascii="Arial" w:hAnsi="Arial" w:cs="Arial"/>
          <w:sz w:val="24"/>
          <w:szCs w:val="24"/>
        </w:rPr>
        <w:t xml:space="preserve"> </w:t>
      </w:r>
      <w:r w:rsidR="002E1919" w:rsidRPr="00302F56">
        <w:rPr>
          <w:rFonts w:ascii="Arial" w:hAnsi="Arial" w:cs="Arial"/>
          <w:sz w:val="24"/>
          <w:szCs w:val="24"/>
        </w:rPr>
        <w:t>As is evident from the case law referred to</w:t>
      </w:r>
      <w:r w:rsidR="00F25CAC" w:rsidRPr="00302F56">
        <w:rPr>
          <w:rFonts w:ascii="Arial" w:hAnsi="Arial" w:cs="Arial"/>
          <w:sz w:val="24"/>
          <w:szCs w:val="24"/>
        </w:rPr>
        <w:t>,</w:t>
      </w:r>
      <w:r w:rsidR="00EE57D1" w:rsidRPr="00302F56">
        <w:rPr>
          <w:rFonts w:ascii="Arial" w:hAnsi="Arial" w:cs="Arial"/>
          <w:sz w:val="24"/>
          <w:szCs w:val="24"/>
        </w:rPr>
        <w:t xml:space="preserve"> the </w:t>
      </w:r>
      <w:r w:rsidR="00EE57D1" w:rsidRPr="00302F56">
        <w:rPr>
          <w:rFonts w:ascii="Arial" w:hAnsi="Arial" w:cs="Arial"/>
          <w:i/>
          <w:sz w:val="24"/>
          <w:szCs w:val="24"/>
        </w:rPr>
        <w:t>amende honorable</w:t>
      </w:r>
      <w:r w:rsidR="00EE57D1" w:rsidRPr="00302F56">
        <w:rPr>
          <w:rFonts w:ascii="Arial" w:hAnsi="Arial" w:cs="Arial"/>
          <w:sz w:val="24"/>
          <w:szCs w:val="24"/>
        </w:rPr>
        <w:t xml:space="preserve"> has been </w:t>
      </w:r>
      <w:r w:rsidR="00F25CAC" w:rsidRPr="00302F56">
        <w:rPr>
          <w:rFonts w:ascii="Arial" w:hAnsi="Arial" w:cs="Arial"/>
          <w:sz w:val="24"/>
          <w:szCs w:val="24"/>
        </w:rPr>
        <w:t xml:space="preserve">applied </w:t>
      </w:r>
      <w:r w:rsidR="00EE57D1" w:rsidRPr="00302F56">
        <w:rPr>
          <w:rFonts w:ascii="Arial" w:hAnsi="Arial" w:cs="Arial"/>
          <w:sz w:val="24"/>
          <w:szCs w:val="24"/>
        </w:rPr>
        <w:t xml:space="preserve">in matters to give to the defendant an opportunity to make an appropriate public apology in lieu of paying damages and that the victim of defamation have his or her damaged reputation restored by the remedy of a public apology. </w:t>
      </w:r>
    </w:p>
    <w:p w:rsidR="00517D89" w:rsidRPr="00302F56" w:rsidRDefault="00E769D5" w:rsidP="00E769D5">
      <w:pPr>
        <w:spacing w:line="360" w:lineRule="auto"/>
        <w:ind w:left="567" w:hanging="567"/>
        <w:jc w:val="both"/>
        <w:rPr>
          <w:rFonts w:ascii="Arial" w:hAnsi="Arial" w:cs="Arial"/>
          <w:sz w:val="24"/>
          <w:szCs w:val="24"/>
        </w:rPr>
      </w:pPr>
      <w:r w:rsidRPr="00302F56">
        <w:rPr>
          <w:rFonts w:ascii="Arial" w:hAnsi="Arial" w:cs="Arial"/>
          <w:sz w:val="24"/>
          <w:szCs w:val="24"/>
        </w:rPr>
        <w:t>[5</w:t>
      </w:r>
      <w:r w:rsidR="00F25CAC" w:rsidRPr="00302F56">
        <w:rPr>
          <w:rFonts w:ascii="Arial" w:hAnsi="Arial" w:cs="Arial"/>
          <w:sz w:val="24"/>
          <w:szCs w:val="24"/>
        </w:rPr>
        <w:t>2</w:t>
      </w:r>
      <w:r w:rsidRPr="00302F56">
        <w:rPr>
          <w:rFonts w:ascii="Arial" w:hAnsi="Arial" w:cs="Arial"/>
          <w:sz w:val="24"/>
          <w:szCs w:val="24"/>
        </w:rPr>
        <w:t>]</w:t>
      </w:r>
      <w:r w:rsidR="0078681F" w:rsidRPr="00302F56">
        <w:rPr>
          <w:rFonts w:ascii="Arial" w:hAnsi="Arial" w:cs="Arial"/>
          <w:sz w:val="24"/>
          <w:szCs w:val="24"/>
        </w:rPr>
        <w:tab/>
      </w:r>
      <w:r w:rsidR="00B647AC" w:rsidRPr="00302F56">
        <w:rPr>
          <w:rFonts w:ascii="Arial" w:hAnsi="Arial" w:cs="Arial"/>
          <w:sz w:val="24"/>
          <w:szCs w:val="24"/>
        </w:rPr>
        <w:t>Having regard to the fact that the</w:t>
      </w:r>
      <w:r w:rsidR="00B647AC" w:rsidRPr="00302F56">
        <w:rPr>
          <w:rFonts w:ascii="Arial" w:hAnsi="Arial" w:cs="Arial"/>
          <w:i/>
          <w:sz w:val="24"/>
          <w:szCs w:val="24"/>
        </w:rPr>
        <w:t xml:space="preserve"> actio iniuriarum</w:t>
      </w:r>
      <w:r w:rsidR="00B647AC" w:rsidRPr="00302F56">
        <w:rPr>
          <w:rFonts w:ascii="Arial" w:hAnsi="Arial" w:cs="Arial"/>
          <w:sz w:val="24"/>
          <w:szCs w:val="24"/>
        </w:rPr>
        <w:t>, in our common law has separated the causes of action for claims for injuries to reputation (fama) and dignitas and taking into consideration that our Constitution also provide a framework for the protection of personality rights, there is no sharp line that can be drawn between these injur</w:t>
      </w:r>
      <w:r w:rsidR="00001684" w:rsidRPr="00302F56">
        <w:rPr>
          <w:rFonts w:ascii="Arial" w:hAnsi="Arial" w:cs="Arial"/>
          <w:sz w:val="24"/>
          <w:szCs w:val="24"/>
        </w:rPr>
        <w:t>i</w:t>
      </w:r>
      <w:r w:rsidR="00B647AC" w:rsidRPr="00302F56">
        <w:rPr>
          <w:rFonts w:ascii="Arial" w:hAnsi="Arial" w:cs="Arial"/>
          <w:sz w:val="24"/>
          <w:szCs w:val="24"/>
        </w:rPr>
        <w:t>es to personality rights</w:t>
      </w:r>
      <w:r w:rsidR="00001684" w:rsidRPr="00302F56">
        <w:rPr>
          <w:rFonts w:ascii="Arial" w:hAnsi="Arial" w:cs="Arial"/>
          <w:sz w:val="24"/>
          <w:szCs w:val="24"/>
        </w:rPr>
        <w:t xml:space="preserve"> as they often overlap in the typical wrongs which form the object of the </w:t>
      </w:r>
      <w:r w:rsidR="00001684" w:rsidRPr="00302F56">
        <w:rPr>
          <w:rFonts w:ascii="Arial" w:hAnsi="Arial" w:cs="Arial"/>
          <w:i/>
          <w:sz w:val="24"/>
          <w:szCs w:val="24"/>
        </w:rPr>
        <w:t>actio iniuriarum</w:t>
      </w:r>
      <w:r w:rsidR="00001684" w:rsidRPr="00302F56">
        <w:rPr>
          <w:rFonts w:ascii="Arial" w:hAnsi="Arial" w:cs="Arial"/>
          <w:sz w:val="24"/>
          <w:szCs w:val="24"/>
        </w:rPr>
        <w:t>.</w:t>
      </w:r>
      <w:r w:rsidR="00001684" w:rsidRPr="00302F56">
        <w:rPr>
          <w:rStyle w:val="FootnoteReference"/>
          <w:rFonts w:ascii="Arial" w:hAnsi="Arial" w:cs="Arial"/>
          <w:sz w:val="24"/>
          <w:szCs w:val="24"/>
        </w:rPr>
        <w:footnoteReference w:id="27"/>
      </w:r>
      <w:r w:rsidR="00001684" w:rsidRPr="00302F56">
        <w:rPr>
          <w:rFonts w:ascii="Arial" w:hAnsi="Arial" w:cs="Arial"/>
          <w:sz w:val="24"/>
          <w:szCs w:val="24"/>
        </w:rPr>
        <w:t xml:space="preserve"> Although different manifestations of </w:t>
      </w:r>
      <w:r w:rsidR="00001684" w:rsidRPr="00302F56">
        <w:rPr>
          <w:rFonts w:ascii="Arial" w:hAnsi="Arial" w:cs="Arial"/>
          <w:i/>
          <w:sz w:val="24"/>
          <w:szCs w:val="24"/>
        </w:rPr>
        <w:t>iniuria</w:t>
      </w:r>
      <w:r w:rsidR="00001684" w:rsidRPr="00302F56">
        <w:rPr>
          <w:rFonts w:ascii="Arial" w:hAnsi="Arial" w:cs="Arial"/>
          <w:sz w:val="24"/>
          <w:szCs w:val="24"/>
        </w:rPr>
        <w:t xml:space="preserve"> </w:t>
      </w:r>
      <w:r w:rsidR="00F25CAC" w:rsidRPr="00302F56">
        <w:rPr>
          <w:rFonts w:ascii="Arial" w:hAnsi="Arial" w:cs="Arial"/>
          <w:sz w:val="24"/>
          <w:szCs w:val="24"/>
        </w:rPr>
        <w:t xml:space="preserve">has over time been applied, some of which has become obsolete, </w:t>
      </w:r>
      <w:r w:rsidR="00001684" w:rsidRPr="00302F56">
        <w:rPr>
          <w:rFonts w:ascii="Arial" w:hAnsi="Arial" w:cs="Arial"/>
          <w:sz w:val="24"/>
          <w:szCs w:val="24"/>
        </w:rPr>
        <w:t xml:space="preserve"> and the application of the </w:t>
      </w:r>
      <w:r w:rsidR="00001684" w:rsidRPr="00302F56">
        <w:rPr>
          <w:rFonts w:ascii="Arial" w:hAnsi="Arial" w:cs="Arial"/>
          <w:i/>
          <w:sz w:val="24"/>
          <w:szCs w:val="24"/>
        </w:rPr>
        <w:t>actio iniuriarum</w:t>
      </w:r>
      <w:r w:rsidR="00001684" w:rsidRPr="00302F56">
        <w:rPr>
          <w:rFonts w:ascii="Arial" w:hAnsi="Arial" w:cs="Arial"/>
          <w:sz w:val="24"/>
          <w:szCs w:val="24"/>
        </w:rPr>
        <w:t xml:space="preserve"> has adapted in accordance with </w:t>
      </w:r>
      <w:r w:rsidR="00F25CAC" w:rsidRPr="00302F56">
        <w:rPr>
          <w:rFonts w:ascii="Arial" w:hAnsi="Arial" w:cs="Arial"/>
          <w:sz w:val="24"/>
          <w:szCs w:val="24"/>
        </w:rPr>
        <w:t xml:space="preserve">the </w:t>
      </w:r>
      <w:r w:rsidR="00001684" w:rsidRPr="00302F56">
        <w:rPr>
          <w:rFonts w:ascii="Arial" w:hAnsi="Arial" w:cs="Arial"/>
          <w:sz w:val="24"/>
          <w:szCs w:val="24"/>
        </w:rPr>
        <w:t>changing of human  and soci</w:t>
      </w:r>
      <w:r w:rsidR="00F25CAC" w:rsidRPr="00302F56">
        <w:rPr>
          <w:rFonts w:ascii="Arial" w:hAnsi="Arial" w:cs="Arial"/>
          <w:sz w:val="24"/>
          <w:szCs w:val="24"/>
        </w:rPr>
        <w:t>al</w:t>
      </w:r>
      <w:r w:rsidR="00001684" w:rsidRPr="00302F56">
        <w:rPr>
          <w:rFonts w:ascii="Arial" w:hAnsi="Arial" w:cs="Arial"/>
          <w:sz w:val="24"/>
          <w:szCs w:val="24"/>
        </w:rPr>
        <w:t xml:space="preserve"> values, I am not convinced that, taking into consideration the facts of the matter at hand,  the plaintiff has made out a case for the expansion of the remedy under the </w:t>
      </w:r>
      <w:r w:rsidR="00001684" w:rsidRPr="00302F56">
        <w:rPr>
          <w:rFonts w:ascii="Arial" w:hAnsi="Arial" w:cs="Arial"/>
          <w:i/>
          <w:sz w:val="24"/>
          <w:szCs w:val="24"/>
        </w:rPr>
        <w:t>actio iniuriarum</w:t>
      </w:r>
      <w:r w:rsidR="00001684" w:rsidRPr="00302F56">
        <w:rPr>
          <w:rFonts w:ascii="Arial" w:hAnsi="Arial" w:cs="Arial"/>
          <w:sz w:val="24"/>
          <w:szCs w:val="24"/>
        </w:rPr>
        <w:t xml:space="preserve"> </w:t>
      </w:r>
      <w:r w:rsidR="008C5226" w:rsidRPr="00302F56">
        <w:rPr>
          <w:rFonts w:ascii="Arial" w:hAnsi="Arial" w:cs="Arial"/>
          <w:sz w:val="24"/>
          <w:szCs w:val="24"/>
        </w:rPr>
        <w:t xml:space="preserve"> in matters </w:t>
      </w:r>
      <w:r w:rsidR="00001684" w:rsidRPr="00302F56">
        <w:rPr>
          <w:rFonts w:ascii="Arial" w:hAnsi="Arial" w:cs="Arial"/>
          <w:sz w:val="24"/>
          <w:szCs w:val="24"/>
        </w:rPr>
        <w:t xml:space="preserve">not related to defamation, to include a published apology. </w:t>
      </w:r>
    </w:p>
    <w:p w:rsidR="00B647AC" w:rsidRPr="00302F56" w:rsidRDefault="00517D89" w:rsidP="00E769D5">
      <w:pPr>
        <w:spacing w:line="360" w:lineRule="auto"/>
        <w:ind w:left="567" w:hanging="567"/>
        <w:jc w:val="both"/>
        <w:rPr>
          <w:rFonts w:ascii="Arial" w:hAnsi="Arial" w:cs="Arial"/>
          <w:sz w:val="24"/>
          <w:szCs w:val="24"/>
        </w:rPr>
      </w:pPr>
      <w:r w:rsidRPr="00302F56">
        <w:rPr>
          <w:rFonts w:ascii="Arial" w:hAnsi="Arial" w:cs="Arial"/>
          <w:sz w:val="24"/>
          <w:szCs w:val="24"/>
        </w:rPr>
        <w:t>[5</w:t>
      </w:r>
      <w:r w:rsidR="008C5226" w:rsidRPr="00302F56">
        <w:rPr>
          <w:rFonts w:ascii="Arial" w:hAnsi="Arial" w:cs="Arial"/>
          <w:sz w:val="24"/>
          <w:szCs w:val="24"/>
        </w:rPr>
        <w:t>3</w:t>
      </w:r>
      <w:r w:rsidRPr="00302F56">
        <w:rPr>
          <w:rFonts w:ascii="Arial" w:hAnsi="Arial" w:cs="Arial"/>
          <w:sz w:val="24"/>
          <w:szCs w:val="24"/>
        </w:rPr>
        <w:t>]</w:t>
      </w:r>
      <w:r w:rsidRPr="00302F56">
        <w:rPr>
          <w:rFonts w:ascii="Arial" w:hAnsi="Arial" w:cs="Arial"/>
          <w:sz w:val="24"/>
          <w:szCs w:val="24"/>
        </w:rPr>
        <w:tab/>
        <w:t xml:space="preserve">Such an extension of the </w:t>
      </w:r>
      <w:r w:rsidRPr="00302F56">
        <w:rPr>
          <w:rFonts w:ascii="Arial" w:hAnsi="Arial" w:cs="Arial"/>
          <w:i/>
          <w:sz w:val="24"/>
          <w:szCs w:val="24"/>
        </w:rPr>
        <w:t>amende honorable</w:t>
      </w:r>
      <w:r w:rsidRPr="00302F56">
        <w:rPr>
          <w:rFonts w:ascii="Arial" w:hAnsi="Arial" w:cs="Arial"/>
          <w:sz w:val="24"/>
          <w:szCs w:val="24"/>
        </w:rPr>
        <w:t xml:space="preserve"> </w:t>
      </w:r>
      <w:r w:rsidR="0078681F" w:rsidRPr="00302F56">
        <w:rPr>
          <w:rFonts w:ascii="Arial" w:hAnsi="Arial" w:cs="Arial"/>
          <w:sz w:val="24"/>
          <w:szCs w:val="24"/>
        </w:rPr>
        <w:t>would inevitably have the result that plaintiffs in matters such as malicious and wrongful legal proceedings and arrest, insult, invading of privacy and wrongful assault w</w:t>
      </w:r>
      <w:r w:rsidRPr="00302F56">
        <w:rPr>
          <w:rFonts w:ascii="Arial" w:hAnsi="Arial" w:cs="Arial"/>
          <w:sz w:val="24"/>
          <w:szCs w:val="24"/>
        </w:rPr>
        <w:t xml:space="preserve">ill </w:t>
      </w:r>
      <w:r w:rsidR="0078681F" w:rsidRPr="00302F56">
        <w:rPr>
          <w:rFonts w:ascii="Arial" w:hAnsi="Arial" w:cs="Arial"/>
          <w:sz w:val="24"/>
          <w:szCs w:val="24"/>
        </w:rPr>
        <w:t xml:space="preserve">have </w:t>
      </w:r>
      <w:r w:rsidRPr="00302F56">
        <w:rPr>
          <w:rFonts w:ascii="Arial" w:hAnsi="Arial" w:cs="Arial"/>
          <w:sz w:val="24"/>
          <w:szCs w:val="24"/>
        </w:rPr>
        <w:t xml:space="preserve">recourse to a published apology by for example, the Minister of Police or the National Prosecuting Authority. Clearly this was never intended by the reintroduction or revival of the </w:t>
      </w:r>
      <w:r w:rsidRPr="00302F56">
        <w:rPr>
          <w:rFonts w:ascii="Arial" w:hAnsi="Arial" w:cs="Arial"/>
          <w:i/>
          <w:sz w:val="24"/>
          <w:szCs w:val="24"/>
        </w:rPr>
        <w:t>amende honourable.</w:t>
      </w:r>
      <w:r w:rsidRPr="00302F56">
        <w:rPr>
          <w:rFonts w:ascii="Arial" w:hAnsi="Arial" w:cs="Arial"/>
          <w:sz w:val="24"/>
          <w:szCs w:val="24"/>
        </w:rPr>
        <w:t xml:space="preserve"> </w:t>
      </w:r>
      <w:r w:rsidR="0078681F" w:rsidRPr="00302F56">
        <w:rPr>
          <w:rFonts w:ascii="Arial" w:hAnsi="Arial" w:cs="Arial"/>
          <w:sz w:val="24"/>
          <w:szCs w:val="24"/>
        </w:rPr>
        <w:t xml:space="preserve"> </w:t>
      </w:r>
    </w:p>
    <w:p w:rsidR="00A403EB" w:rsidRPr="00302F56" w:rsidRDefault="00517D89" w:rsidP="00E769D5">
      <w:pPr>
        <w:spacing w:line="360" w:lineRule="auto"/>
        <w:ind w:left="567" w:hanging="567"/>
        <w:jc w:val="both"/>
        <w:rPr>
          <w:rFonts w:ascii="Arial" w:hAnsi="Arial" w:cs="Arial"/>
          <w:sz w:val="24"/>
          <w:szCs w:val="24"/>
        </w:rPr>
      </w:pPr>
      <w:r w:rsidRPr="00302F56">
        <w:rPr>
          <w:rFonts w:ascii="Arial" w:hAnsi="Arial" w:cs="Arial"/>
          <w:sz w:val="24"/>
          <w:szCs w:val="24"/>
        </w:rPr>
        <w:lastRenderedPageBreak/>
        <w:t>[5</w:t>
      </w:r>
      <w:r w:rsidR="008C5226" w:rsidRPr="00302F56">
        <w:rPr>
          <w:rFonts w:ascii="Arial" w:hAnsi="Arial" w:cs="Arial"/>
          <w:sz w:val="24"/>
          <w:szCs w:val="24"/>
        </w:rPr>
        <w:t>4</w:t>
      </w:r>
      <w:r w:rsidRPr="00302F56">
        <w:rPr>
          <w:rFonts w:ascii="Arial" w:hAnsi="Arial" w:cs="Arial"/>
          <w:sz w:val="24"/>
          <w:szCs w:val="24"/>
        </w:rPr>
        <w:t>]</w:t>
      </w:r>
      <w:r w:rsidRPr="00302F56">
        <w:rPr>
          <w:rFonts w:ascii="Arial" w:hAnsi="Arial" w:cs="Arial"/>
          <w:sz w:val="24"/>
          <w:szCs w:val="24"/>
        </w:rPr>
        <w:tab/>
      </w:r>
      <w:r w:rsidR="00A403EB" w:rsidRPr="00302F56">
        <w:rPr>
          <w:rFonts w:ascii="Arial" w:hAnsi="Arial" w:cs="Arial"/>
          <w:sz w:val="24"/>
          <w:szCs w:val="24"/>
        </w:rPr>
        <w:t xml:space="preserve">The plaintiff accepted the amount tendered by Netcare as to the quantum of damages, both general damages and the damages in respect of future medical expenses. </w:t>
      </w:r>
      <w:r w:rsidR="003D77B9" w:rsidRPr="00302F56">
        <w:rPr>
          <w:rFonts w:ascii="Arial" w:hAnsi="Arial" w:cs="Arial"/>
          <w:sz w:val="24"/>
          <w:szCs w:val="24"/>
        </w:rPr>
        <w:t>Mr Bezuidenhout, with reference to previous and similar findings on the quantification of damages, argued that the amount tendered and accepted by the plaintiff, namely R3</w:t>
      </w:r>
      <w:r w:rsidR="008C5226" w:rsidRPr="00302F56">
        <w:rPr>
          <w:rFonts w:ascii="Arial" w:hAnsi="Arial" w:cs="Arial"/>
          <w:sz w:val="24"/>
          <w:szCs w:val="24"/>
        </w:rPr>
        <w:t>00</w:t>
      </w:r>
      <w:r w:rsidR="003D77B9" w:rsidRPr="00302F56">
        <w:rPr>
          <w:rFonts w:ascii="Arial" w:hAnsi="Arial" w:cs="Arial"/>
          <w:sz w:val="24"/>
          <w:szCs w:val="24"/>
        </w:rPr>
        <w:t> 000.00 emphasise that despite publication of an apology by Netcare, the plaintiff’s vindication of her rights far exceeds that which she would normally have been entitled</w:t>
      </w:r>
      <w:r w:rsidR="002E4389" w:rsidRPr="00302F56">
        <w:rPr>
          <w:rFonts w:ascii="Arial" w:hAnsi="Arial" w:cs="Arial"/>
          <w:sz w:val="24"/>
          <w:szCs w:val="24"/>
        </w:rPr>
        <w:t xml:space="preserve"> to</w:t>
      </w:r>
      <w:r w:rsidR="003D77B9" w:rsidRPr="00302F56">
        <w:rPr>
          <w:rFonts w:ascii="Arial" w:hAnsi="Arial" w:cs="Arial"/>
          <w:sz w:val="24"/>
          <w:szCs w:val="24"/>
        </w:rPr>
        <w:t xml:space="preserve">. </w:t>
      </w:r>
    </w:p>
    <w:p w:rsidR="00517D89" w:rsidRPr="00302F56" w:rsidRDefault="003D77B9" w:rsidP="00E769D5">
      <w:pPr>
        <w:spacing w:line="360" w:lineRule="auto"/>
        <w:ind w:left="567" w:hanging="567"/>
        <w:jc w:val="both"/>
        <w:rPr>
          <w:rFonts w:ascii="Arial" w:hAnsi="Arial" w:cs="Arial"/>
          <w:color w:val="000000"/>
          <w:sz w:val="24"/>
          <w:szCs w:val="24"/>
        </w:rPr>
      </w:pPr>
      <w:r w:rsidRPr="00302F56">
        <w:rPr>
          <w:rFonts w:ascii="Arial" w:hAnsi="Arial" w:cs="Arial"/>
          <w:sz w:val="24"/>
          <w:szCs w:val="24"/>
        </w:rPr>
        <w:t>[5</w:t>
      </w:r>
      <w:r w:rsidR="00715F89">
        <w:rPr>
          <w:rFonts w:ascii="Arial" w:hAnsi="Arial" w:cs="Arial"/>
          <w:sz w:val="24"/>
          <w:szCs w:val="24"/>
        </w:rPr>
        <w:t>5</w:t>
      </w:r>
      <w:r w:rsidRPr="00302F56">
        <w:rPr>
          <w:rFonts w:ascii="Arial" w:hAnsi="Arial" w:cs="Arial"/>
          <w:sz w:val="24"/>
          <w:szCs w:val="24"/>
        </w:rPr>
        <w:t>]</w:t>
      </w:r>
      <w:r w:rsidRPr="00302F56">
        <w:rPr>
          <w:rFonts w:ascii="Arial" w:hAnsi="Arial" w:cs="Arial"/>
          <w:sz w:val="24"/>
          <w:szCs w:val="24"/>
        </w:rPr>
        <w:tab/>
      </w:r>
      <w:r w:rsidR="00E769D5" w:rsidRPr="00302F56">
        <w:rPr>
          <w:rFonts w:ascii="Arial" w:hAnsi="Arial" w:cs="Arial"/>
          <w:sz w:val="24"/>
          <w:szCs w:val="24"/>
        </w:rPr>
        <w:t>As to costs, the plaintiff seeks an order for costs on the attorney and own client scale</w:t>
      </w:r>
      <w:r w:rsidR="002C467B" w:rsidRPr="00302F56">
        <w:rPr>
          <w:rFonts w:ascii="Arial" w:hAnsi="Arial" w:cs="Arial"/>
          <w:sz w:val="24"/>
          <w:szCs w:val="24"/>
        </w:rPr>
        <w:t>,</w:t>
      </w:r>
      <w:r w:rsidR="00E769D5" w:rsidRPr="00302F56">
        <w:rPr>
          <w:rFonts w:ascii="Arial" w:hAnsi="Arial" w:cs="Arial"/>
          <w:sz w:val="24"/>
          <w:szCs w:val="24"/>
        </w:rPr>
        <w:t xml:space="preserve"> alternatively</w:t>
      </w:r>
      <w:r w:rsidR="002E4389" w:rsidRPr="00302F56">
        <w:rPr>
          <w:rFonts w:ascii="Arial" w:hAnsi="Arial" w:cs="Arial"/>
          <w:sz w:val="24"/>
          <w:szCs w:val="24"/>
        </w:rPr>
        <w:t>,</w:t>
      </w:r>
      <w:r w:rsidR="00E769D5" w:rsidRPr="00302F56">
        <w:rPr>
          <w:rFonts w:ascii="Arial" w:hAnsi="Arial" w:cs="Arial"/>
          <w:sz w:val="24"/>
          <w:szCs w:val="24"/>
        </w:rPr>
        <w:t xml:space="preserve"> on the attorney and client scale. </w:t>
      </w:r>
      <w:r w:rsidR="00E769D5" w:rsidRPr="00302F56">
        <w:rPr>
          <w:rFonts w:ascii="Arial" w:hAnsi="Arial" w:cs="Arial"/>
          <w:color w:val="000000"/>
          <w:sz w:val="24"/>
          <w:szCs w:val="24"/>
        </w:rPr>
        <w:t>The purpose of an award of costs to a successful litigant is to indemnify him for the expense to which he has been put through having been unjustly compelled to initiate or defend litigation, as the case may be</w:t>
      </w:r>
      <w:r w:rsidR="00E769D5" w:rsidRPr="00302F56">
        <w:rPr>
          <w:rStyle w:val="FootnoteReference"/>
          <w:rFonts w:ascii="Arial" w:hAnsi="Arial"/>
          <w:color w:val="000000"/>
          <w:sz w:val="24"/>
          <w:szCs w:val="24"/>
        </w:rPr>
        <w:footnoteReference w:id="28"/>
      </w:r>
      <w:r w:rsidR="00E769D5" w:rsidRPr="00302F56">
        <w:rPr>
          <w:rFonts w:ascii="Arial" w:hAnsi="Arial" w:cs="Arial"/>
          <w:color w:val="000000"/>
          <w:sz w:val="24"/>
          <w:szCs w:val="24"/>
        </w:rPr>
        <w:t>. The ordinary practice is, of course, that costs follow the event but this principle is subject to the general rule that costs, unless expressly otherwise enacted, are in the discretion of the court</w:t>
      </w:r>
      <w:r w:rsidR="00E769D5" w:rsidRPr="00302F56">
        <w:rPr>
          <w:rStyle w:val="FootnoteReference"/>
          <w:rFonts w:ascii="Arial" w:hAnsi="Arial"/>
          <w:color w:val="000000"/>
          <w:sz w:val="24"/>
          <w:szCs w:val="24"/>
        </w:rPr>
        <w:footnoteReference w:id="29"/>
      </w:r>
      <w:r w:rsidR="00E769D5" w:rsidRPr="00302F56">
        <w:rPr>
          <w:rFonts w:ascii="Arial" w:hAnsi="Arial" w:cs="Arial"/>
          <w:color w:val="000000"/>
          <w:sz w:val="24"/>
          <w:szCs w:val="24"/>
        </w:rPr>
        <w:t xml:space="preserve">. </w:t>
      </w:r>
    </w:p>
    <w:p w:rsidR="00E769D5" w:rsidRPr="00302F56" w:rsidRDefault="00517D89" w:rsidP="002E4389">
      <w:pPr>
        <w:spacing w:line="360" w:lineRule="auto"/>
        <w:ind w:left="567" w:hanging="567"/>
        <w:jc w:val="both"/>
        <w:rPr>
          <w:rFonts w:ascii="Arial" w:hAnsi="Arial" w:cs="Arial"/>
          <w:color w:val="000000"/>
          <w:sz w:val="24"/>
          <w:szCs w:val="24"/>
        </w:rPr>
      </w:pPr>
      <w:r w:rsidRPr="00302F56">
        <w:rPr>
          <w:rFonts w:ascii="Arial" w:hAnsi="Arial" w:cs="Arial"/>
          <w:color w:val="000000"/>
          <w:sz w:val="24"/>
          <w:szCs w:val="24"/>
        </w:rPr>
        <w:t>[5</w:t>
      </w:r>
      <w:r w:rsidR="00715F89">
        <w:rPr>
          <w:rFonts w:ascii="Arial" w:hAnsi="Arial" w:cs="Arial"/>
          <w:color w:val="000000"/>
          <w:sz w:val="24"/>
          <w:szCs w:val="24"/>
        </w:rPr>
        <w:t>6</w:t>
      </w:r>
      <w:r w:rsidRPr="00302F56">
        <w:rPr>
          <w:rFonts w:ascii="Arial" w:hAnsi="Arial" w:cs="Arial"/>
          <w:color w:val="000000"/>
          <w:sz w:val="24"/>
          <w:szCs w:val="24"/>
        </w:rPr>
        <w:t>]</w:t>
      </w:r>
      <w:r w:rsidRPr="00302F56">
        <w:rPr>
          <w:rFonts w:ascii="Arial" w:hAnsi="Arial" w:cs="Arial"/>
          <w:color w:val="000000"/>
          <w:sz w:val="24"/>
          <w:szCs w:val="24"/>
        </w:rPr>
        <w:tab/>
      </w:r>
      <w:r w:rsidR="002C467B" w:rsidRPr="00302F56">
        <w:rPr>
          <w:rFonts w:ascii="Arial" w:hAnsi="Arial" w:cs="Arial"/>
          <w:color w:val="000000"/>
          <w:sz w:val="24"/>
          <w:szCs w:val="24"/>
        </w:rPr>
        <w:t xml:space="preserve">A court is entitled to award punitive costs against a party as a sign of the court’s displeasure with such party’s conduct. I agree with the argument on behalf of the plaintiff that Netcare evidently allowed its employees to be abused by Dr Grobler for its own financial interests. </w:t>
      </w:r>
      <w:r w:rsidR="001C6352" w:rsidRPr="00302F56">
        <w:rPr>
          <w:rFonts w:ascii="Arial" w:hAnsi="Arial" w:cs="Arial"/>
          <w:color w:val="000000"/>
          <w:sz w:val="24"/>
          <w:szCs w:val="24"/>
        </w:rPr>
        <w:t xml:space="preserve">Furthermore, Netcare was acquainted with Dr Grobler’s disgusting behaviour even prior to the appointment of the plaintiff as the unit manager. </w:t>
      </w:r>
    </w:p>
    <w:p w:rsidR="001C6352" w:rsidRPr="00302F56" w:rsidRDefault="001C6352" w:rsidP="002C467B">
      <w:pPr>
        <w:spacing w:line="360" w:lineRule="auto"/>
        <w:ind w:left="709" w:hanging="709"/>
        <w:jc w:val="both"/>
        <w:rPr>
          <w:rFonts w:ascii="Arial" w:hAnsi="Arial" w:cs="Arial"/>
          <w:color w:val="000000"/>
          <w:sz w:val="24"/>
          <w:szCs w:val="24"/>
        </w:rPr>
      </w:pPr>
      <w:r w:rsidRPr="00302F56">
        <w:rPr>
          <w:rFonts w:ascii="Arial" w:hAnsi="Arial" w:cs="Arial"/>
          <w:color w:val="000000"/>
          <w:sz w:val="24"/>
          <w:szCs w:val="24"/>
        </w:rPr>
        <w:t>[5</w:t>
      </w:r>
      <w:r w:rsidR="00715F89">
        <w:rPr>
          <w:rFonts w:ascii="Arial" w:hAnsi="Arial" w:cs="Arial"/>
          <w:color w:val="000000"/>
          <w:sz w:val="24"/>
          <w:szCs w:val="24"/>
        </w:rPr>
        <w:t>7</w:t>
      </w:r>
      <w:r w:rsidRPr="00302F56">
        <w:rPr>
          <w:rFonts w:ascii="Arial" w:hAnsi="Arial" w:cs="Arial"/>
          <w:color w:val="000000"/>
          <w:sz w:val="24"/>
          <w:szCs w:val="24"/>
        </w:rPr>
        <w:t>]</w:t>
      </w:r>
      <w:r w:rsidRPr="00302F56">
        <w:rPr>
          <w:rFonts w:ascii="Arial" w:hAnsi="Arial" w:cs="Arial"/>
          <w:color w:val="000000"/>
          <w:sz w:val="24"/>
          <w:szCs w:val="24"/>
        </w:rPr>
        <w:tab/>
      </w:r>
      <w:r w:rsidR="008B441D" w:rsidRPr="00302F56">
        <w:rPr>
          <w:rFonts w:ascii="Arial" w:hAnsi="Arial" w:cs="Arial"/>
          <w:color w:val="000000"/>
          <w:sz w:val="24"/>
          <w:szCs w:val="24"/>
        </w:rPr>
        <w:t xml:space="preserve">Mr </w:t>
      </w:r>
      <w:proofErr w:type="spellStart"/>
      <w:r w:rsidR="008B441D" w:rsidRPr="00302F56">
        <w:rPr>
          <w:rFonts w:ascii="Arial" w:hAnsi="Arial" w:cs="Arial"/>
          <w:color w:val="000000"/>
          <w:sz w:val="24"/>
          <w:szCs w:val="24"/>
        </w:rPr>
        <w:t>Bezuidenhout</w:t>
      </w:r>
      <w:proofErr w:type="spellEnd"/>
      <w:r w:rsidR="008B441D" w:rsidRPr="00302F56">
        <w:rPr>
          <w:rFonts w:ascii="Arial" w:hAnsi="Arial" w:cs="Arial"/>
          <w:color w:val="000000"/>
          <w:sz w:val="24"/>
          <w:szCs w:val="24"/>
        </w:rPr>
        <w:t xml:space="preserve"> argued that Netcare not only delivered a formal tender for a personal apology, but also made numerous further tenders to the plaintiff, all of which were simply rebuffed with a response of seeking a complete capitulation by Netcare. On 31 January 20</w:t>
      </w:r>
      <w:r w:rsidR="002E4389" w:rsidRPr="00302F56">
        <w:rPr>
          <w:rFonts w:ascii="Arial" w:hAnsi="Arial" w:cs="Arial"/>
          <w:color w:val="000000"/>
          <w:sz w:val="24"/>
          <w:szCs w:val="24"/>
        </w:rPr>
        <w:t>2</w:t>
      </w:r>
      <w:r w:rsidR="008B441D" w:rsidRPr="00302F56">
        <w:rPr>
          <w:rFonts w:ascii="Arial" w:hAnsi="Arial" w:cs="Arial"/>
          <w:color w:val="000000"/>
          <w:sz w:val="24"/>
          <w:szCs w:val="24"/>
        </w:rPr>
        <w:t xml:space="preserve">4, before the commencement of the trial, Netcare formally tendered an apology to the plaintiff. This tender was made in accordance with Rule 34(1) &amp; (5) and expressly contained the reservation that Netcare shall disclose this offer to the court at the appropriate time and if indicated, after judgment for purposes of consideration or reconsideration of any costs order made or to be made. </w:t>
      </w:r>
      <w:r w:rsidR="00171B99">
        <w:rPr>
          <w:rFonts w:ascii="Arial" w:hAnsi="Arial" w:cs="Arial"/>
          <w:color w:val="000000"/>
          <w:sz w:val="24"/>
          <w:szCs w:val="24"/>
        </w:rPr>
        <w:t xml:space="preserve">Mr Bezuidenhout, however revealed the tender made during January 2024 during his arguments pertaining to costs. </w:t>
      </w:r>
    </w:p>
    <w:p w:rsidR="008B441D" w:rsidRPr="00302F56" w:rsidRDefault="008B441D" w:rsidP="002C467B">
      <w:pPr>
        <w:spacing w:line="360" w:lineRule="auto"/>
        <w:ind w:left="709" w:hanging="709"/>
        <w:jc w:val="both"/>
        <w:rPr>
          <w:rFonts w:ascii="Arial" w:hAnsi="Arial" w:cs="Arial"/>
          <w:color w:val="000000"/>
          <w:sz w:val="24"/>
          <w:szCs w:val="24"/>
        </w:rPr>
      </w:pPr>
      <w:r w:rsidRPr="00302F56">
        <w:rPr>
          <w:rFonts w:ascii="Arial" w:hAnsi="Arial" w:cs="Arial"/>
          <w:color w:val="000000"/>
          <w:sz w:val="24"/>
          <w:szCs w:val="24"/>
        </w:rPr>
        <w:lastRenderedPageBreak/>
        <w:t>[</w:t>
      </w:r>
      <w:r w:rsidR="00715F89">
        <w:rPr>
          <w:rFonts w:ascii="Arial" w:hAnsi="Arial" w:cs="Arial"/>
          <w:color w:val="000000"/>
          <w:sz w:val="24"/>
          <w:szCs w:val="24"/>
        </w:rPr>
        <w:t>58</w:t>
      </w:r>
      <w:r w:rsidRPr="00302F56">
        <w:rPr>
          <w:rFonts w:ascii="Arial" w:hAnsi="Arial" w:cs="Arial"/>
          <w:color w:val="000000"/>
          <w:sz w:val="24"/>
          <w:szCs w:val="24"/>
        </w:rPr>
        <w:t>]</w:t>
      </w:r>
      <w:r w:rsidRPr="00302F56">
        <w:rPr>
          <w:rFonts w:ascii="Arial" w:hAnsi="Arial" w:cs="Arial"/>
          <w:color w:val="000000"/>
          <w:sz w:val="24"/>
          <w:szCs w:val="24"/>
        </w:rPr>
        <w:tab/>
        <w:t xml:space="preserve">The content of the apology has been </w:t>
      </w:r>
      <w:r w:rsidR="00A403EB" w:rsidRPr="00302F56">
        <w:rPr>
          <w:rFonts w:ascii="Arial" w:hAnsi="Arial" w:cs="Arial"/>
          <w:color w:val="000000"/>
          <w:sz w:val="24"/>
          <w:szCs w:val="24"/>
        </w:rPr>
        <w:t>included in the heads of argument submitted on behalf of Netcare. The plaintiff rejected th</w:t>
      </w:r>
      <w:r w:rsidR="002E4389" w:rsidRPr="00302F56">
        <w:rPr>
          <w:rFonts w:ascii="Arial" w:hAnsi="Arial" w:cs="Arial"/>
          <w:color w:val="000000"/>
          <w:sz w:val="24"/>
          <w:szCs w:val="24"/>
        </w:rPr>
        <w:t>is</w:t>
      </w:r>
      <w:r w:rsidR="00A403EB" w:rsidRPr="00302F56">
        <w:rPr>
          <w:rFonts w:ascii="Arial" w:hAnsi="Arial" w:cs="Arial"/>
          <w:color w:val="000000"/>
          <w:sz w:val="24"/>
          <w:szCs w:val="24"/>
        </w:rPr>
        <w:t xml:space="preserve"> tender and insisted that an apology be published. In terms of Rule 34(12) and after a court has given judgment on the question of costs in ignorance of the offer or tender, the question of costs shall be considered afresh in the light of the offer or tender, provided that nothing provided in the subrule shall affect the court’s discretion as to an award of costs. </w:t>
      </w:r>
    </w:p>
    <w:p w:rsidR="00A403EB" w:rsidRPr="00302F56" w:rsidRDefault="00A403EB" w:rsidP="002C467B">
      <w:pPr>
        <w:spacing w:line="360" w:lineRule="auto"/>
        <w:ind w:left="709" w:hanging="709"/>
        <w:jc w:val="both"/>
        <w:rPr>
          <w:rFonts w:ascii="Arial" w:hAnsi="Arial" w:cs="Arial"/>
          <w:color w:val="000000"/>
          <w:sz w:val="24"/>
          <w:szCs w:val="24"/>
        </w:rPr>
      </w:pPr>
      <w:r w:rsidRPr="00302F56">
        <w:rPr>
          <w:rFonts w:ascii="Arial" w:hAnsi="Arial" w:cs="Arial"/>
          <w:color w:val="000000"/>
          <w:sz w:val="24"/>
          <w:szCs w:val="24"/>
        </w:rPr>
        <w:t>[</w:t>
      </w:r>
      <w:r w:rsidR="00715F89">
        <w:rPr>
          <w:rFonts w:ascii="Arial" w:hAnsi="Arial" w:cs="Arial"/>
          <w:color w:val="000000"/>
          <w:sz w:val="24"/>
          <w:szCs w:val="24"/>
        </w:rPr>
        <w:t>59</w:t>
      </w:r>
      <w:r w:rsidRPr="00302F56">
        <w:rPr>
          <w:rFonts w:ascii="Arial" w:hAnsi="Arial" w:cs="Arial"/>
          <w:color w:val="000000"/>
          <w:sz w:val="24"/>
          <w:szCs w:val="24"/>
        </w:rPr>
        <w:t>]</w:t>
      </w:r>
      <w:r w:rsidR="003D77B9" w:rsidRPr="00302F56">
        <w:rPr>
          <w:rFonts w:ascii="Arial" w:hAnsi="Arial" w:cs="Arial"/>
          <w:color w:val="000000"/>
          <w:sz w:val="24"/>
          <w:szCs w:val="24"/>
        </w:rPr>
        <w:tab/>
        <w:t xml:space="preserve"> </w:t>
      </w:r>
      <w:proofErr w:type="spellStart"/>
      <w:r w:rsidR="003D77B9" w:rsidRPr="00302F56">
        <w:rPr>
          <w:rFonts w:ascii="Arial" w:hAnsi="Arial" w:cs="Arial"/>
          <w:color w:val="000000"/>
          <w:sz w:val="24"/>
          <w:szCs w:val="24"/>
        </w:rPr>
        <w:t>Netcare’s</w:t>
      </w:r>
      <w:proofErr w:type="spellEnd"/>
      <w:r w:rsidR="003D77B9" w:rsidRPr="00302F56">
        <w:rPr>
          <w:rFonts w:ascii="Arial" w:hAnsi="Arial" w:cs="Arial"/>
          <w:color w:val="000000"/>
          <w:sz w:val="24"/>
          <w:szCs w:val="24"/>
        </w:rPr>
        <w:t xml:space="preserve"> contention in respect of costs is thus: the plaintiff’s request for punitive costs is not borne out of the facts of the case but is premised upon a punitive intent pursued by her against Netcare. In this regard </w:t>
      </w:r>
      <w:r w:rsidR="0071186E" w:rsidRPr="00302F56">
        <w:rPr>
          <w:rFonts w:ascii="Arial" w:hAnsi="Arial" w:cs="Arial"/>
          <w:color w:val="000000"/>
          <w:sz w:val="24"/>
          <w:szCs w:val="24"/>
        </w:rPr>
        <w:t>a</w:t>
      </w:r>
      <w:r w:rsidR="003D77B9" w:rsidRPr="00302F56">
        <w:rPr>
          <w:rFonts w:ascii="Arial" w:hAnsi="Arial" w:cs="Arial"/>
          <w:color w:val="000000"/>
          <w:sz w:val="24"/>
          <w:szCs w:val="24"/>
        </w:rPr>
        <w:t>ttorney and client costs do not qualify as delictual damages and therefore not a form of compensation for damages suffered. Furthermore</w:t>
      </w:r>
      <w:r w:rsidR="00440384" w:rsidRPr="00302F56">
        <w:rPr>
          <w:rFonts w:ascii="Arial" w:hAnsi="Arial" w:cs="Arial"/>
          <w:color w:val="000000"/>
          <w:sz w:val="24"/>
          <w:szCs w:val="24"/>
        </w:rPr>
        <w:t>,</w:t>
      </w:r>
      <w:r w:rsidR="003D77B9" w:rsidRPr="00302F56">
        <w:rPr>
          <w:rFonts w:ascii="Arial" w:hAnsi="Arial" w:cs="Arial"/>
          <w:color w:val="000000"/>
          <w:sz w:val="24"/>
          <w:szCs w:val="24"/>
        </w:rPr>
        <w:t xml:space="preserve"> the award of a punitive costs order is exceptional</w:t>
      </w:r>
      <w:r w:rsidR="002E4389" w:rsidRPr="00302F56">
        <w:rPr>
          <w:rFonts w:ascii="Arial" w:hAnsi="Arial" w:cs="Arial"/>
          <w:color w:val="000000"/>
          <w:sz w:val="24"/>
          <w:szCs w:val="24"/>
        </w:rPr>
        <w:t>.</w:t>
      </w:r>
      <w:r w:rsidR="003D77B9" w:rsidRPr="00302F56">
        <w:rPr>
          <w:rFonts w:ascii="Arial" w:hAnsi="Arial" w:cs="Arial"/>
          <w:color w:val="000000"/>
          <w:sz w:val="24"/>
          <w:szCs w:val="24"/>
        </w:rPr>
        <w:t xml:space="preserve"> </w:t>
      </w:r>
    </w:p>
    <w:p w:rsidR="00440384" w:rsidRPr="00302F56" w:rsidRDefault="00440384" w:rsidP="002C467B">
      <w:pPr>
        <w:spacing w:line="360" w:lineRule="auto"/>
        <w:ind w:left="709" w:hanging="709"/>
        <w:jc w:val="both"/>
        <w:rPr>
          <w:rFonts w:ascii="Arial" w:hAnsi="Arial" w:cs="Arial"/>
          <w:color w:val="000000"/>
          <w:sz w:val="24"/>
          <w:szCs w:val="24"/>
        </w:rPr>
      </w:pPr>
      <w:r w:rsidRPr="00302F56">
        <w:rPr>
          <w:rFonts w:ascii="Arial" w:hAnsi="Arial" w:cs="Arial"/>
          <w:color w:val="000000"/>
          <w:sz w:val="24"/>
          <w:szCs w:val="24"/>
        </w:rPr>
        <w:t>[6</w:t>
      </w:r>
      <w:r w:rsidR="00715F89">
        <w:rPr>
          <w:rFonts w:ascii="Arial" w:hAnsi="Arial" w:cs="Arial"/>
          <w:color w:val="000000"/>
          <w:sz w:val="24"/>
          <w:szCs w:val="24"/>
        </w:rPr>
        <w:t>0</w:t>
      </w:r>
      <w:r w:rsidRPr="00302F56">
        <w:rPr>
          <w:rFonts w:ascii="Arial" w:hAnsi="Arial" w:cs="Arial"/>
          <w:color w:val="000000"/>
          <w:sz w:val="24"/>
          <w:szCs w:val="24"/>
        </w:rPr>
        <w:t>]</w:t>
      </w:r>
      <w:r w:rsidRPr="00302F56">
        <w:rPr>
          <w:rFonts w:ascii="Arial" w:hAnsi="Arial" w:cs="Arial"/>
          <w:color w:val="000000"/>
          <w:sz w:val="24"/>
          <w:szCs w:val="24"/>
        </w:rPr>
        <w:tab/>
        <w:t>On behalf of Netcare it is therefore argued that the costs incurred for argument on the 4</w:t>
      </w:r>
      <w:r w:rsidRPr="00302F56">
        <w:rPr>
          <w:rFonts w:ascii="Arial" w:hAnsi="Arial" w:cs="Arial"/>
          <w:color w:val="000000"/>
          <w:sz w:val="24"/>
          <w:szCs w:val="24"/>
          <w:vertAlign w:val="superscript"/>
        </w:rPr>
        <w:t>th</w:t>
      </w:r>
      <w:r w:rsidRPr="00302F56">
        <w:rPr>
          <w:rFonts w:ascii="Arial" w:hAnsi="Arial" w:cs="Arial"/>
          <w:color w:val="000000"/>
          <w:sz w:val="24"/>
          <w:szCs w:val="24"/>
        </w:rPr>
        <w:t xml:space="preserve"> of June 2024 occasioned by the plaintiff’s refusal to accept the published apology as well as costs tendered, be paid by the plaintiff on a party and party scale. </w:t>
      </w:r>
    </w:p>
    <w:p w:rsidR="00440384" w:rsidRPr="00302F56" w:rsidRDefault="00440384" w:rsidP="002C467B">
      <w:pPr>
        <w:spacing w:line="360" w:lineRule="auto"/>
        <w:ind w:left="709" w:hanging="709"/>
        <w:jc w:val="both"/>
        <w:rPr>
          <w:rFonts w:ascii="Arial" w:hAnsi="Arial" w:cs="Arial"/>
          <w:color w:val="000000"/>
          <w:sz w:val="24"/>
          <w:szCs w:val="24"/>
        </w:rPr>
      </w:pPr>
      <w:r w:rsidRPr="00302F56">
        <w:rPr>
          <w:rFonts w:ascii="Arial" w:hAnsi="Arial" w:cs="Arial"/>
          <w:color w:val="000000"/>
          <w:sz w:val="24"/>
          <w:szCs w:val="24"/>
        </w:rPr>
        <w:t>[6</w:t>
      </w:r>
      <w:r w:rsidR="00715F89">
        <w:rPr>
          <w:rFonts w:ascii="Arial" w:hAnsi="Arial" w:cs="Arial"/>
          <w:color w:val="000000"/>
          <w:sz w:val="24"/>
          <w:szCs w:val="24"/>
        </w:rPr>
        <w:t>1</w:t>
      </w:r>
      <w:r w:rsidRPr="00302F56">
        <w:rPr>
          <w:rFonts w:ascii="Arial" w:hAnsi="Arial" w:cs="Arial"/>
          <w:color w:val="000000"/>
          <w:sz w:val="24"/>
          <w:szCs w:val="24"/>
        </w:rPr>
        <w:t>]</w:t>
      </w:r>
      <w:r w:rsidRPr="00302F56">
        <w:rPr>
          <w:rFonts w:ascii="Arial" w:hAnsi="Arial" w:cs="Arial"/>
          <w:color w:val="000000"/>
          <w:sz w:val="24"/>
          <w:szCs w:val="24"/>
        </w:rPr>
        <w:tab/>
        <w:t xml:space="preserve">I am of the view that, having regard to the fact that the plaintiff submitted numerous complaints, </w:t>
      </w:r>
      <w:r w:rsidR="001D2045">
        <w:rPr>
          <w:rFonts w:ascii="Arial" w:hAnsi="Arial" w:cs="Arial"/>
          <w:color w:val="000000"/>
          <w:sz w:val="24"/>
          <w:szCs w:val="24"/>
        </w:rPr>
        <w:t xml:space="preserve">without any appropriate response from </w:t>
      </w:r>
      <w:proofErr w:type="spellStart"/>
      <w:r w:rsidR="001D2045">
        <w:rPr>
          <w:rFonts w:ascii="Arial" w:hAnsi="Arial" w:cs="Arial"/>
          <w:color w:val="000000"/>
          <w:sz w:val="24"/>
          <w:szCs w:val="24"/>
        </w:rPr>
        <w:t>Netcare</w:t>
      </w:r>
      <w:proofErr w:type="spellEnd"/>
      <w:r w:rsidR="001D2045">
        <w:rPr>
          <w:rFonts w:ascii="Arial" w:hAnsi="Arial" w:cs="Arial"/>
          <w:color w:val="000000"/>
          <w:sz w:val="24"/>
          <w:szCs w:val="24"/>
        </w:rPr>
        <w:t>,</w:t>
      </w:r>
      <w:r w:rsidR="00715F89">
        <w:rPr>
          <w:rFonts w:ascii="Arial" w:hAnsi="Arial" w:cs="Arial"/>
          <w:color w:val="000000"/>
          <w:sz w:val="24"/>
          <w:szCs w:val="24"/>
        </w:rPr>
        <w:t xml:space="preserve"> she is </w:t>
      </w:r>
      <w:r w:rsidR="00715F89" w:rsidRPr="00302F56">
        <w:rPr>
          <w:rFonts w:ascii="Arial" w:hAnsi="Arial" w:cs="Arial"/>
          <w:color w:val="000000"/>
          <w:sz w:val="24"/>
          <w:szCs w:val="24"/>
        </w:rPr>
        <w:t xml:space="preserve">entitled to a punitive cost order against </w:t>
      </w:r>
      <w:proofErr w:type="spellStart"/>
      <w:r w:rsidR="00715F89" w:rsidRPr="00302F56">
        <w:rPr>
          <w:rFonts w:ascii="Arial" w:hAnsi="Arial" w:cs="Arial"/>
          <w:color w:val="000000"/>
          <w:sz w:val="24"/>
          <w:szCs w:val="24"/>
        </w:rPr>
        <w:t>Netcare</w:t>
      </w:r>
      <w:proofErr w:type="spellEnd"/>
      <w:r w:rsidR="00715F89" w:rsidRPr="00302F56">
        <w:rPr>
          <w:rFonts w:ascii="Arial" w:hAnsi="Arial" w:cs="Arial"/>
          <w:color w:val="000000"/>
          <w:sz w:val="24"/>
          <w:szCs w:val="24"/>
        </w:rPr>
        <w:t>.</w:t>
      </w:r>
      <w:r w:rsidR="00715F89">
        <w:rPr>
          <w:rFonts w:ascii="Arial" w:hAnsi="Arial" w:cs="Arial"/>
          <w:color w:val="000000"/>
          <w:sz w:val="24"/>
          <w:szCs w:val="24"/>
        </w:rPr>
        <w:t xml:space="preserve"> The situation continued </w:t>
      </w:r>
      <w:r w:rsidR="0071186E" w:rsidRPr="00302F56">
        <w:rPr>
          <w:rFonts w:ascii="Arial" w:hAnsi="Arial" w:cs="Arial"/>
          <w:color w:val="000000"/>
          <w:sz w:val="24"/>
          <w:szCs w:val="24"/>
        </w:rPr>
        <w:t>for a period spanning a decade</w:t>
      </w:r>
      <w:r w:rsidR="001D2045">
        <w:rPr>
          <w:rFonts w:ascii="Arial" w:hAnsi="Arial" w:cs="Arial"/>
          <w:color w:val="000000"/>
          <w:sz w:val="24"/>
          <w:szCs w:val="24"/>
        </w:rPr>
        <w:t>.</w:t>
      </w:r>
      <w:r w:rsidR="00715F89">
        <w:rPr>
          <w:rFonts w:ascii="Arial" w:hAnsi="Arial" w:cs="Arial"/>
          <w:color w:val="000000"/>
          <w:sz w:val="24"/>
          <w:szCs w:val="24"/>
        </w:rPr>
        <w:t xml:space="preserve"> Thereafter she had to commence with</w:t>
      </w:r>
      <w:r w:rsidR="0071186E" w:rsidRPr="00302F56">
        <w:rPr>
          <w:rFonts w:ascii="Arial" w:hAnsi="Arial" w:cs="Arial"/>
          <w:color w:val="000000"/>
          <w:sz w:val="24"/>
          <w:szCs w:val="24"/>
        </w:rPr>
        <w:t xml:space="preserve"> litigat</w:t>
      </w:r>
      <w:r w:rsidR="00715F89">
        <w:rPr>
          <w:rFonts w:ascii="Arial" w:hAnsi="Arial" w:cs="Arial"/>
          <w:color w:val="000000"/>
          <w:sz w:val="24"/>
          <w:szCs w:val="24"/>
        </w:rPr>
        <w:t>ion</w:t>
      </w:r>
      <w:r w:rsidR="0071186E" w:rsidRPr="00302F56">
        <w:rPr>
          <w:rFonts w:ascii="Arial" w:hAnsi="Arial" w:cs="Arial"/>
          <w:color w:val="000000"/>
          <w:sz w:val="24"/>
          <w:szCs w:val="24"/>
        </w:rPr>
        <w:t xml:space="preserve"> against</w:t>
      </w:r>
      <w:r w:rsidR="00715F89">
        <w:rPr>
          <w:rFonts w:ascii="Arial" w:hAnsi="Arial" w:cs="Arial"/>
          <w:color w:val="000000"/>
          <w:sz w:val="24"/>
          <w:szCs w:val="24"/>
        </w:rPr>
        <w:t xml:space="preserve"> Dr </w:t>
      </w:r>
      <w:proofErr w:type="spellStart"/>
      <w:r w:rsidR="00715F89">
        <w:rPr>
          <w:rFonts w:ascii="Arial" w:hAnsi="Arial" w:cs="Arial"/>
          <w:color w:val="000000"/>
          <w:sz w:val="24"/>
          <w:szCs w:val="24"/>
        </w:rPr>
        <w:t>Grobler</w:t>
      </w:r>
      <w:proofErr w:type="spellEnd"/>
      <w:r w:rsidR="00715F89">
        <w:rPr>
          <w:rFonts w:ascii="Arial" w:hAnsi="Arial" w:cs="Arial"/>
          <w:color w:val="000000"/>
          <w:sz w:val="24"/>
          <w:szCs w:val="24"/>
        </w:rPr>
        <w:t xml:space="preserve"> and</w:t>
      </w:r>
      <w:r w:rsidR="0071186E" w:rsidRPr="00302F56">
        <w:rPr>
          <w:rFonts w:ascii="Arial" w:hAnsi="Arial" w:cs="Arial"/>
          <w:color w:val="000000"/>
          <w:sz w:val="24"/>
          <w:szCs w:val="24"/>
        </w:rPr>
        <w:t xml:space="preserve"> </w:t>
      </w:r>
      <w:proofErr w:type="spellStart"/>
      <w:r w:rsidR="0071186E" w:rsidRPr="00302F56">
        <w:rPr>
          <w:rFonts w:ascii="Arial" w:hAnsi="Arial" w:cs="Arial"/>
          <w:color w:val="000000"/>
          <w:sz w:val="24"/>
          <w:szCs w:val="24"/>
        </w:rPr>
        <w:t>Netcare</w:t>
      </w:r>
      <w:proofErr w:type="spellEnd"/>
      <w:r w:rsidR="0071186E" w:rsidRPr="00302F56">
        <w:rPr>
          <w:rFonts w:ascii="Arial" w:hAnsi="Arial" w:cs="Arial"/>
          <w:color w:val="000000"/>
          <w:sz w:val="24"/>
          <w:szCs w:val="24"/>
        </w:rPr>
        <w:t xml:space="preserve"> for almost 8 years, </w:t>
      </w:r>
      <w:r w:rsidR="00715F89">
        <w:rPr>
          <w:rFonts w:ascii="Arial" w:hAnsi="Arial" w:cs="Arial"/>
          <w:color w:val="000000"/>
          <w:sz w:val="24"/>
          <w:szCs w:val="24"/>
        </w:rPr>
        <w:t>which litigation included interlocutory applications and an exception.</w:t>
      </w:r>
      <w:r w:rsidR="0071186E" w:rsidRPr="00302F56">
        <w:rPr>
          <w:rFonts w:ascii="Arial" w:hAnsi="Arial" w:cs="Arial"/>
          <w:color w:val="000000"/>
          <w:sz w:val="24"/>
          <w:szCs w:val="24"/>
        </w:rPr>
        <w:t xml:space="preserve"> </w:t>
      </w:r>
      <w:r w:rsidR="001D2045">
        <w:rPr>
          <w:rFonts w:ascii="Arial" w:hAnsi="Arial" w:cs="Arial"/>
          <w:color w:val="000000"/>
          <w:sz w:val="24"/>
          <w:szCs w:val="24"/>
        </w:rPr>
        <w:t xml:space="preserve">Only after presenting evidence for 7 days, did </w:t>
      </w:r>
      <w:proofErr w:type="spellStart"/>
      <w:r w:rsidR="001D2045">
        <w:rPr>
          <w:rFonts w:ascii="Arial" w:hAnsi="Arial" w:cs="Arial"/>
          <w:color w:val="000000"/>
          <w:sz w:val="24"/>
          <w:szCs w:val="24"/>
        </w:rPr>
        <w:t>Netcare</w:t>
      </w:r>
      <w:proofErr w:type="spellEnd"/>
      <w:r w:rsidR="001D2045">
        <w:rPr>
          <w:rFonts w:ascii="Arial" w:hAnsi="Arial" w:cs="Arial"/>
          <w:color w:val="000000"/>
          <w:sz w:val="24"/>
          <w:szCs w:val="24"/>
        </w:rPr>
        <w:t xml:space="preserve"> present an open tender which included not only payment of damages but also an apology which resulted in all but the apology and a portion of the costs to become settled. </w:t>
      </w:r>
    </w:p>
    <w:p w:rsidR="0071186E" w:rsidRPr="00302F56" w:rsidRDefault="0071186E" w:rsidP="002C467B">
      <w:pPr>
        <w:spacing w:line="360" w:lineRule="auto"/>
        <w:ind w:left="709" w:hanging="709"/>
        <w:jc w:val="both"/>
        <w:rPr>
          <w:rFonts w:ascii="Arial" w:hAnsi="Arial" w:cs="Arial"/>
          <w:color w:val="000000"/>
          <w:sz w:val="24"/>
          <w:szCs w:val="24"/>
        </w:rPr>
      </w:pPr>
      <w:r w:rsidRPr="00302F56">
        <w:rPr>
          <w:rFonts w:ascii="Arial" w:hAnsi="Arial" w:cs="Arial"/>
          <w:color w:val="000000"/>
          <w:sz w:val="24"/>
          <w:szCs w:val="24"/>
        </w:rPr>
        <w:t>[6</w:t>
      </w:r>
      <w:r w:rsidR="008F43DE">
        <w:rPr>
          <w:rFonts w:ascii="Arial" w:hAnsi="Arial" w:cs="Arial"/>
          <w:color w:val="000000"/>
          <w:sz w:val="24"/>
          <w:szCs w:val="24"/>
        </w:rPr>
        <w:t>2</w:t>
      </w:r>
      <w:r w:rsidRPr="00302F56">
        <w:rPr>
          <w:rFonts w:ascii="Arial" w:hAnsi="Arial" w:cs="Arial"/>
          <w:color w:val="000000"/>
          <w:sz w:val="24"/>
          <w:szCs w:val="24"/>
        </w:rPr>
        <w:t xml:space="preserve">] </w:t>
      </w:r>
      <w:r w:rsidR="00A57C57" w:rsidRPr="00302F56">
        <w:rPr>
          <w:rFonts w:ascii="Arial" w:hAnsi="Arial" w:cs="Arial"/>
          <w:color w:val="000000"/>
          <w:sz w:val="24"/>
          <w:szCs w:val="24"/>
        </w:rPr>
        <w:tab/>
      </w:r>
      <w:r w:rsidRPr="00302F56">
        <w:rPr>
          <w:rFonts w:ascii="Arial" w:hAnsi="Arial" w:cs="Arial"/>
          <w:color w:val="000000"/>
          <w:sz w:val="24"/>
          <w:szCs w:val="24"/>
        </w:rPr>
        <w:t xml:space="preserve">The tender puts an end to the quantum of damages. This was accepted by the Plaintiff on 3 June 2024, the day on which the tender was made. Netcare has </w:t>
      </w:r>
      <w:r w:rsidR="00A57C57" w:rsidRPr="00302F56">
        <w:rPr>
          <w:rFonts w:ascii="Arial" w:hAnsi="Arial" w:cs="Arial"/>
          <w:color w:val="000000"/>
          <w:sz w:val="24"/>
          <w:szCs w:val="24"/>
        </w:rPr>
        <w:t>published an apology in accordance with the tender in the Volksbald, from what I was informed during argument</w:t>
      </w:r>
      <w:r w:rsidR="00504E6E" w:rsidRPr="00302F56">
        <w:rPr>
          <w:rFonts w:ascii="Arial" w:hAnsi="Arial" w:cs="Arial"/>
          <w:color w:val="000000"/>
          <w:sz w:val="24"/>
          <w:szCs w:val="24"/>
        </w:rPr>
        <w:t>,</w:t>
      </w:r>
      <w:r w:rsidR="00A57C57" w:rsidRPr="00302F56">
        <w:rPr>
          <w:rFonts w:ascii="Arial" w:hAnsi="Arial" w:cs="Arial"/>
          <w:color w:val="000000"/>
          <w:sz w:val="24"/>
          <w:szCs w:val="24"/>
        </w:rPr>
        <w:t xml:space="preserve"> such publication to be effected most probably on the 5</w:t>
      </w:r>
      <w:r w:rsidR="00A57C57" w:rsidRPr="00302F56">
        <w:rPr>
          <w:rFonts w:ascii="Arial" w:hAnsi="Arial" w:cs="Arial"/>
          <w:color w:val="000000"/>
          <w:sz w:val="24"/>
          <w:szCs w:val="24"/>
          <w:vertAlign w:val="superscript"/>
        </w:rPr>
        <w:t>th</w:t>
      </w:r>
      <w:r w:rsidR="00A57C57" w:rsidRPr="00302F56">
        <w:rPr>
          <w:rFonts w:ascii="Arial" w:hAnsi="Arial" w:cs="Arial"/>
          <w:color w:val="000000"/>
          <w:sz w:val="24"/>
          <w:szCs w:val="24"/>
        </w:rPr>
        <w:t xml:space="preserve"> of June 2024. Even</w:t>
      </w:r>
      <w:r w:rsidR="00504E6E" w:rsidRPr="00302F56">
        <w:rPr>
          <w:rFonts w:ascii="Arial" w:hAnsi="Arial" w:cs="Arial"/>
          <w:color w:val="000000"/>
          <w:sz w:val="24"/>
          <w:szCs w:val="24"/>
        </w:rPr>
        <w:t xml:space="preserve"> </w:t>
      </w:r>
      <w:r w:rsidR="00A57C57" w:rsidRPr="00302F56">
        <w:rPr>
          <w:rFonts w:ascii="Arial" w:hAnsi="Arial" w:cs="Arial"/>
          <w:color w:val="000000"/>
          <w:sz w:val="24"/>
          <w:szCs w:val="24"/>
        </w:rPr>
        <w:t xml:space="preserve">though I am of the view that the relief sought in respect of a published apology is not a competent remedy for the specific species of personality infringement in the matter at hand, the plaintiff has evidently been victorious. </w:t>
      </w:r>
    </w:p>
    <w:p w:rsidR="00C82CEE" w:rsidRPr="00302F56" w:rsidRDefault="00E5055B" w:rsidP="002C467B">
      <w:pPr>
        <w:spacing w:line="360" w:lineRule="auto"/>
        <w:ind w:left="709" w:hanging="709"/>
        <w:jc w:val="both"/>
        <w:rPr>
          <w:rFonts w:ascii="Arial" w:hAnsi="Arial" w:cs="Arial"/>
          <w:color w:val="000000"/>
          <w:sz w:val="24"/>
          <w:szCs w:val="24"/>
        </w:rPr>
      </w:pPr>
      <w:r w:rsidRPr="00302F56">
        <w:rPr>
          <w:rFonts w:ascii="Arial" w:hAnsi="Arial" w:cs="Arial"/>
          <w:color w:val="000000"/>
          <w:sz w:val="24"/>
          <w:szCs w:val="24"/>
        </w:rPr>
        <w:t>[6</w:t>
      </w:r>
      <w:r w:rsidR="008F43DE">
        <w:rPr>
          <w:rFonts w:ascii="Arial" w:hAnsi="Arial" w:cs="Arial"/>
          <w:color w:val="000000"/>
          <w:sz w:val="24"/>
          <w:szCs w:val="24"/>
        </w:rPr>
        <w:t>3</w:t>
      </w:r>
      <w:r w:rsidRPr="00302F56">
        <w:rPr>
          <w:rFonts w:ascii="Arial" w:hAnsi="Arial" w:cs="Arial"/>
          <w:color w:val="000000"/>
          <w:sz w:val="24"/>
          <w:szCs w:val="24"/>
        </w:rPr>
        <w:t xml:space="preserve">] </w:t>
      </w:r>
      <w:r w:rsidRPr="00302F56">
        <w:rPr>
          <w:rFonts w:ascii="Arial" w:hAnsi="Arial" w:cs="Arial"/>
          <w:color w:val="000000"/>
          <w:sz w:val="24"/>
          <w:szCs w:val="24"/>
        </w:rPr>
        <w:tab/>
        <w:t xml:space="preserve">The only issue is therefore the scale of costs to be awarded from the date of the settlement between the plaintiff and the claim against the first defendant, to be awarded against Netcare. I take into consideration that the apology that Netcare made in their </w:t>
      </w:r>
      <w:r w:rsidRPr="00302F56">
        <w:rPr>
          <w:rFonts w:ascii="Arial" w:hAnsi="Arial" w:cs="Arial"/>
          <w:color w:val="000000"/>
          <w:sz w:val="24"/>
          <w:szCs w:val="24"/>
        </w:rPr>
        <w:lastRenderedPageBreak/>
        <w:t xml:space="preserve">tender was not accepted by the plaintiff on the basis that the exact words did not comply to her understanding of a statement of regret for having done wrong or the hurt caused by </w:t>
      </w:r>
      <w:proofErr w:type="spellStart"/>
      <w:r w:rsidR="00C82CEE" w:rsidRPr="00302F56">
        <w:rPr>
          <w:rFonts w:ascii="Arial" w:hAnsi="Arial" w:cs="Arial"/>
          <w:color w:val="000000"/>
          <w:sz w:val="24"/>
          <w:szCs w:val="24"/>
        </w:rPr>
        <w:t>N</w:t>
      </w:r>
      <w:r w:rsidRPr="00302F56">
        <w:rPr>
          <w:rFonts w:ascii="Arial" w:hAnsi="Arial" w:cs="Arial"/>
          <w:color w:val="000000"/>
          <w:sz w:val="24"/>
          <w:szCs w:val="24"/>
        </w:rPr>
        <w:t>etcare’s</w:t>
      </w:r>
      <w:proofErr w:type="spellEnd"/>
      <w:r w:rsidRPr="00302F56">
        <w:rPr>
          <w:rFonts w:ascii="Arial" w:hAnsi="Arial" w:cs="Arial"/>
          <w:color w:val="000000"/>
          <w:sz w:val="24"/>
          <w:szCs w:val="24"/>
        </w:rPr>
        <w:t xml:space="preserve"> failure to act</w:t>
      </w:r>
      <w:r w:rsidR="00C82CEE" w:rsidRPr="00302F56">
        <w:rPr>
          <w:rFonts w:ascii="Arial" w:hAnsi="Arial" w:cs="Arial"/>
          <w:color w:val="000000"/>
          <w:sz w:val="24"/>
          <w:szCs w:val="24"/>
        </w:rPr>
        <w:t xml:space="preserve">. I agree with the plaintiff’s perception that the expression: </w:t>
      </w:r>
    </w:p>
    <w:p w:rsidR="00E5055B" w:rsidRPr="00302F56" w:rsidRDefault="00C82CEE" w:rsidP="002C467B">
      <w:pPr>
        <w:spacing w:line="360" w:lineRule="auto"/>
        <w:ind w:left="709" w:hanging="709"/>
        <w:jc w:val="both"/>
        <w:rPr>
          <w:rFonts w:ascii="Arial" w:hAnsi="Arial" w:cs="Arial"/>
          <w:color w:val="000000"/>
          <w:sz w:val="24"/>
          <w:szCs w:val="24"/>
        </w:rPr>
      </w:pPr>
      <w:r w:rsidRPr="00302F56">
        <w:rPr>
          <w:rFonts w:ascii="Arial" w:hAnsi="Arial" w:cs="Arial"/>
          <w:color w:val="000000"/>
          <w:sz w:val="24"/>
          <w:szCs w:val="24"/>
        </w:rPr>
        <w:tab/>
        <w:t xml:space="preserve">“We apologise sincerely </w:t>
      </w:r>
      <w:r w:rsidRPr="00302F56">
        <w:rPr>
          <w:rFonts w:ascii="Arial" w:hAnsi="Arial" w:cs="Arial"/>
          <w:color w:val="000000"/>
          <w:sz w:val="24"/>
          <w:szCs w:val="24"/>
          <w:u w:val="single"/>
        </w:rPr>
        <w:t xml:space="preserve">that you felt that </w:t>
      </w:r>
      <w:proofErr w:type="spellStart"/>
      <w:r w:rsidRPr="00302F56">
        <w:rPr>
          <w:rFonts w:ascii="Arial" w:hAnsi="Arial" w:cs="Arial"/>
          <w:color w:val="000000"/>
          <w:sz w:val="24"/>
          <w:szCs w:val="24"/>
          <w:u w:val="single"/>
        </w:rPr>
        <w:t>Netcare</w:t>
      </w:r>
      <w:proofErr w:type="spellEnd"/>
      <w:r w:rsidRPr="00302F56">
        <w:rPr>
          <w:rFonts w:ascii="Arial" w:hAnsi="Arial" w:cs="Arial"/>
          <w:color w:val="000000"/>
          <w:sz w:val="24"/>
          <w:szCs w:val="24"/>
          <w:u w:val="single"/>
        </w:rPr>
        <w:t xml:space="preserve"> did not sufficiently support you i</w:t>
      </w:r>
      <w:r w:rsidRPr="00302F56">
        <w:rPr>
          <w:rFonts w:ascii="Arial" w:hAnsi="Arial" w:cs="Arial"/>
          <w:color w:val="000000"/>
          <w:sz w:val="24"/>
          <w:szCs w:val="24"/>
        </w:rPr>
        <w:t>n the execution of your duties while being subjected to the disrespect and hurtful actions at the hands of an independent fellow healthcare practitioner”</w:t>
      </w:r>
      <w:r w:rsidR="00504E6E" w:rsidRPr="00302F56">
        <w:rPr>
          <w:rFonts w:ascii="Arial" w:hAnsi="Arial" w:cs="Arial"/>
          <w:color w:val="000000"/>
          <w:sz w:val="24"/>
          <w:szCs w:val="24"/>
        </w:rPr>
        <w:t>,</w:t>
      </w:r>
      <w:r w:rsidRPr="00302F56">
        <w:rPr>
          <w:rFonts w:ascii="Arial" w:hAnsi="Arial" w:cs="Arial"/>
          <w:color w:val="000000"/>
          <w:sz w:val="24"/>
          <w:szCs w:val="24"/>
        </w:rPr>
        <w:t xml:space="preserve"> do not</w:t>
      </w:r>
      <w:r w:rsidR="003A4BF9" w:rsidRPr="00302F56">
        <w:rPr>
          <w:rFonts w:ascii="Arial" w:hAnsi="Arial" w:cs="Arial"/>
          <w:color w:val="000000"/>
          <w:sz w:val="24"/>
          <w:szCs w:val="24"/>
        </w:rPr>
        <w:t>, in its plain and ordinary meaning</w:t>
      </w:r>
      <w:r w:rsidR="00504E6E" w:rsidRPr="00302F56">
        <w:rPr>
          <w:rFonts w:ascii="Arial" w:hAnsi="Arial" w:cs="Arial"/>
          <w:color w:val="000000"/>
          <w:sz w:val="24"/>
          <w:szCs w:val="24"/>
        </w:rPr>
        <w:t>,</w:t>
      </w:r>
      <w:r w:rsidR="003A4BF9" w:rsidRPr="00302F56">
        <w:rPr>
          <w:rFonts w:ascii="Arial" w:hAnsi="Arial" w:cs="Arial"/>
          <w:color w:val="000000"/>
          <w:sz w:val="24"/>
          <w:szCs w:val="24"/>
        </w:rPr>
        <w:t xml:space="preserve"> convey a </w:t>
      </w:r>
      <w:r w:rsidR="00504E6E" w:rsidRPr="00302F56">
        <w:rPr>
          <w:rFonts w:ascii="Arial" w:hAnsi="Arial" w:cs="Arial"/>
          <w:color w:val="000000"/>
          <w:sz w:val="24"/>
          <w:szCs w:val="24"/>
        </w:rPr>
        <w:t xml:space="preserve">sincere regret and remorseful apology. What is actually conveyed by this particular sentence is that </w:t>
      </w:r>
      <w:proofErr w:type="spellStart"/>
      <w:r w:rsidR="00504E6E" w:rsidRPr="00302F56">
        <w:rPr>
          <w:rFonts w:ascii="Arial" w:hAnsi="Arial" w:cs="Arial"/>
          <w:color w:val="000000"/>
          <w:sz w:val="24"/>
          <w:szCs w:val="24"/>
        </w:rPr>
        <w:t>Netcare</w:t>
      </w:r>
      <w:proofErr w:type="spellEnd"/>
      <w:r w:rsidR="00504E6E" w:rsidRPr="00302F56">
        <w:rPr>
          <w:rFonts w:ascii="Arial" w:hAnsi="Arial" w:cs="Arial"/>
          <w:color w:val="000000"/>
          <w:sz w:val="24"/>
          <w:szCs w:val="24"/>
        </w:rPr>
        <w:t xml:space="preserve"> is sorry to learn about the way the applicant perceived and felt about their inaction and failure to support her during in the execution of her work. It would have been different if the apology read as follows: </w:t>
      </w:r>
      <w:r w:rsidR="008D634F" w:rsidRPr="00302F56">
        <w:rPr>
          <w:rFonts w:ascii="Arial" w:hAnsi="Arial" w:cs="Arial"/>
          <w:color w:val="000000"/>
          <w:sz w:val="24"/>
          <w:szCs w:val="24"/>
        </w:rPr>
        <w:t>“W</w:t>
      </w:r>
      <w:r w:rsidR="00504E6E" w:rsidRPr="00302F56">
        <w:rPr>
          <w:rFonts w:ascii="Arial" w:hAnsi="Arial" w:cs="Arial"/>
          <w:color w:val="000000"/>
          <w:sz w:val="24"/>
          <w:szCs w:val="24"/>
        </w:rPr>
        <w:t xml:space="preserve">e apologise sincerely that </w:t>
      </w:r>
      <w:proofErr w:type="spellStart"/>
      <w:r w:rsidR="008D634F" w:rsidRPr="00302F56">
        <w:rPr>
          <w:rFonts w:ascii="Arial" w:hAnsi="Arial" w:cs="Arial"/>
          <w:color w:val="000000"/>
          <w:sz w:val="24"/>
          <w:szCs w:val="24"/>
        </w:rPr>
        <w:t>N</w:t>
      </w:r>
      <w:r w:rsidR="00504E6E" w:rsidRPr="00302F56">
        <w:rPr>
          <w:rFonts w:ascii="Arial" w:hAnsi="Arial" w:cs="Arial"/>
          <w:color w:val="000000"/>
          <w:sz w:val="24"/>
          <w:szCs w:val="24"/>
        </w:rPr>
        <w:t>etcare</w:t>
      </w:r>
      <w:proofErr w:type="spellEnd"/>
      <w:r w:rsidR="00504E6E" w:rsidRPr="00302F56">
        <w:rPr>
          <w:rFonts w:ascii="Arial" w:hAnsi="Arial" w:cs="Arial"/>
          <w:color w:val="000000"/>
          <w:sz w:val="24"/>
          <w:szCs w:val="24"/>
        </w:rPr>
        <w:t xml:space="preserve"> did not sufficiently support you in the execution of your duties</w:t>
      </w:r>
      <w:r w:rsidR="008D634F" w:rsidRPr="00302F56">
        <w:rPr>
          <w:rFonts w:ascii="Arial" w:hAnsi="Arial" w:cs="Arial"/>
          <w:color w:val="000000"/>
          <w:sz w:val="24"/>
          <w:szCs w:val="24"/>
        </w:rPr>
        <w:t>…”</w:t>
      </w:r>
      <w:r w:rsidR="00504E6E" w:rsidRPr="00302F56">
        <w:rPr>
          <w:rFonts w:ascii="Arial" w:hAnsi="Arial" w:cs="Arial"/>
          <w:color w:val="000000"/>
          <w:sz w:val="24"/>
          <w:szCs w:val="24"/>
        </w:rPr>
        <w:t xml:space="preserve">. </w:t>
      </w:r>
      <w:r w:rsidR="00302F56" w:rsidRPr="00302F56">
        <w:rPr>
          <w:rFonts w:ascii="Arial" w:hAnsi="Arial" w:cs="Arial"/>
          <w:color w:val="000000"/>
          <w:sz w:val="24"/>
          <w:szCs w:val="24"/>
        </w:rPr>
        <w:t xml:space="preserve"> (My underlining)</w:t>
      </w:r>
    </w:p>
    <w:p w:rsidR="0051725F" w:rsidRPr="00302F56" w:rsidRDefault="008D634F" w:rsidP="008D634F">
      <w:pPr>
        <w:spacing w:line="360" w:lineRule="auto"/>
        <w:ind w:left="709" w:hanging="709"/>
        <w:jc w:val="both"/>
        <w:rPr>
          <w:sz w:val="24"/>
          <w:szCs w:val="24"/>
        </w:rPr>
      </w:pPr>
      <w:r w:rsidRPr="00302F56">
        <w:rPr>
          <w:rFonts w:ascii="Arial" w:hAnsi="Arial" w:cs="Arial"/>
          <w:color w:val="000000"/>
          <w:sz w:val="24"/>
          <w:szCs w:val="24"/>
        </w:rPr>
        <w:t>[</w:t>
      </w:r>
      <w:r w:rsidR="008F43DE">
        <w:rPr>
          <w:rFonts w:ascii="Arial" w:hAnsi="Arial" w:cs="Arial"/>
          <w:color w:val="000000"/>
          <w:sz w:val="24"/>
          <w:szCs w:val="24"/>
        </w:rPr>
        <w:t>64</w:t>
      </w:r>
      <w:r w:rsidRPr="00302F56">
        <w:rPr>
          <w:rFonts w:ascii="Arial" w:hAnsi="Arial" w:cs="Arial"/>
          <w:color w:val="000000"/>
          <w:sz w:val="24"/>
          <w:szCs w:val="24"/>
        </w:rPr>
        <w:t>]</w:t>
      </w:r>
      <w:r w:rsidRPr="00302F56">
        <w:rPr>
          <w:rFonts w:ascii="Arial" w:hAnsi="Arial" w:cs="Arial"/>
          <w:color w:val="000000"/>
          <w:sz w:val="24"/>
          <w:szCs w:val="24"/>
        </w:rPr>
        <w:tab/>
        <w:t xml:space="preserve">An offer </w:t>
      </w:r>
      <w:r w:rsidRPr="00302F56">
        <w:rPr>
          <w:rStyle w:val="JUGMENTNUMBEREDCharCharCharCharChar"/>
          <w:rFonts w:ascii="Arial" w:eastAsiaTheme="minorHAnsi" w:hAnsi="Arial" w:cs="Arial"/>
          <w:color w:val="000000"/>
          <w:sz w:val="24"/>
          <w:szCs w:val="24"/>
        </w:rPr>
        <w:t>of settlement must be made timeously and should be responded to promptly as it is usually made with a view of curtailing the possible escalation of costs.</w:t>
      </w:r>
      <w:r w:rsidRPr="00302F56">
        <w:rPr>
          <w:color w:val="000000"/>
        </w:rPr>
        <w:t xml:space="preserve"> </w:t>
      </w:r>
      <w:r w:rsidRPr="00302F56">
        <w:rPr>
          <w:rFonts w:ascii="Arial" w:hAnsi="Arial" w:cs="Arial"/>
          <w:color w:val="000000"/>
          <w:sz w:val="24"/>
          <w:szCs w:val="24"/>
        </w:rPr>
        <w:t>The defendant should not decide only on the morning of the trial to make an offer and so hope to avoid liability for costs.</w:t>
      </w:r>
      <w:r w:rsidRPr="00302F56">
        <w:rPr>
          <w:rStyle w:val="FootnoteReference"/>
          <w:rFonts w:ascii="Arial" w:hAnsi="Arial" w:cs="Arial"/>
          <w:sz w:val="24"/>
          <w:szCs w:val="24"/>
        </w:rPr>
        <w:footnoteReference w:id="30"/>
      </w:r>
      <w:r w:rsidRPr="00302F56">
        <w:rPr>
          <w:rFonts w:ascii="Arial" w:hAnsi="Arial" w:cs="Arial"/>
          <w:color w:val="000000"/>
          <w:sz w:val="24"/>
          <w:szCs w:val="24"/>
        </w:rPr>
        <w:t xml:space="preserve"> </w:t>
      </w:r>
      <w:r w:rsidR="0051725F" w:rsidRPr="00302F56">
        <w:rPr>
          <w:rFonts w:ascii="Arial"/>
          <w:sz w:val="24"/>
          <w:szCs w:val="24"/>
        </w:rPr>
        <w:t xml:space="preserve">Accordingly, I am satisfied that in this particular case </w:t>
      </w:r>
      <w:r w:rsidR="00302F56" w:rsidRPr="00302F56">
        <w:rPr>
          <w:rFonts w:ascii="Arial"/>
          <w:sz w:val="24"/>
          <w:szCs w:val="24"/>
        </w:rPr>
        <w:t xml:space="preserve"> </w:t>
      </w:r>
      <w:r w:rsidR="0051725F" w:rsidRPr="00302F56">
        <w:rPr>
          <w:rFonts w:ascii="Arial"/>
          <w:sz w:val="24"/>
          <w:szCs w:val="24"/>
        </w:rPr>
        <w:t xml:space="preserve">a judicial exercise of a discretion requires me </w:t>
      </w:r>
      <w:r w:rsidRPr="00302F56">
        <w:rPr>
          <w:rFonts w:ascii="Arial"/>
          <w:sz w:val="24"/>
          <w:szCs w:val="24"/>
        </w:rPr>
        <w:t xml:space="preserve">to </w:t>
      </w:r>
      <w:r w:rsidR="00C27124" w:rsidRPr="00302F56">
        <w:rPr>
          <w:rFonts w:ascii="Arial"/>
          <w:sz w:val="24"/>
          <w:szCs w:val="24"/>
        </w:rPr>
        <w:t>not only declare the plaintiff</w:t>
      </w:r>
      <w:r w:rsidR="00C27124" w:rsidRPr="00302F56">
        <w:rPr>
          <w:rFonts w:ascii="Arial"/>
          <w:sz w:val="24"/>
          <w:szCs w:val="24"/>
        </w:rPr>
        <w:t>’</w:t>
      </w:r>
      <w:r w:rsidR="00C27124" w:rsidRPr="00302F56">
        <w:rPr>
          <w:rFonts w:ascii="Arial"/>
          <w:sz w:val="24"/>
          <w:szCs w:val="24"/>
        </w:rPr>
        <w:t xml:space="preserve">s two expert witnesses as necessary witnesses for purposes of taxation but to make an order that </w:t>
      </w:r>
      <w:proofErr w:type="spellStart"/>
      <w:r w:rsidR="001951FC" w:rsidRPr="00302F56">
        <w:rPr>
          <w:rFonts w:ascii="Arial"/>
          <w:sz w:val="24"/>
          <w:szCs w:val="24"/>
        </w:rPr>
        <w:t>N</w:t>
      </w:r>
      <w:r w:rsidR="00C27124" w:rsidRPr="00302F56">
        <w:rPr>
          <w:rFonts w:ascii="Arial"/>
          <w:sz w:val="24"/>
          <w:szCs w:val="24"/>
        </w:rPr>
        <w:t>etcare</w:t>
      </w:r>
      <w:proofErr w:type="spellEnd"/>
      <w:r w:rsidR="00C27124" w:rsidRPr="00302F56">
        <w:rPr>
          <w:rFonts w:ascii="Arial"/>
          <w:sz w:val="24"/>
          <w:szCs w:val="24"/>
        </w:rPr>
        <w:t xml:space="preserve"> pay the plaintiff</w:t>
      </w:r>
      <w:r w:rsidR="00C27124" w:rsidRPr="00302F56">
        <w:rPr>
          <w:rFonts w:ascii="Arial"/>
          <w:sz w:val="24"/>
          <w:szCs w:val="24"/>
        </w:rPr>
        <w:t>’</w:t>
      </w:r>
      <w:r w:rsidR="00C27124" w:rsidRPr="00302F56">
        <w:rPr>
          <w:rFonts w:ascii="Arial"/>
          <w:sz w:val="24"/>
          <w:szCs w:val="24"/>
        </w:rPr>
        <w:t>s costs on an attorney and clients scale</w:t>
      </w:r>
      <w:r w:rsidR="00302F56" w:rsidRPr="00302F56">
        <w:rPr>
          <w:rFonts w:ascii="Arial"/>
          <w:sz w:val="24"/>
          <w:szCs w:val="24"/>
        </w:rPr>
        <w:t>.</w:t>
      </w:r>
      <w:r w:rsidR="008F43DE">
        <w:rPr>
          <w:rFonts w:ascii="Arial"/>
          <w:sz w:val="24"/>
          <w:szCs w:val="24"/>
        </w:rPr>
        <w:t xml:space="preserve"> I am not convinced that, having regard that no order is made in respect of the apology as sought by the Plaintiff, that costs on an attorney and own client scale is appropriate in this matter. </w:t>
      </w:r>
    </w:p>
    <w:p w:rsidR="0051725F" w:rsidRPr="00302F56" w:rsidRDefault="00C27124" w:rsidP="0051725F">
      <w:pPr>
        <w:rPr>
          <w:rFonts w:ascii="Arial"/>
          <w:sz w:val="24"/>
          <w:szCs w:val="24"/>
        </w:rPr>
      </w:pPr>
      <w:r w:rsidRPr="00302F56">
        <w:rPr>
          <w:rFonts w:ascii="Arial"/>
          <w:sz w:val="24"/>
          <w:szCs w:val="24"/>
        </w:rPr>
        <w:t>[</w:t>
      </w:r>
      <w:r w:rsidR="008F43DE">
        <w:rPr>
          <w:rFonts w:ascii="Arial"/>
          <w:sz w:val="24"/>
          <w:szCs w:val="24"/>
        </w:rPr>
        <w:t>6</w:t>
      </w:r>
      <w:r w:rsidRPr="00302F56">
        <w:rPr>
          <w:rFonts w:ascii="Arial"/>
          <w:sz w:val="24"/>
          <w:szCs w:val="24"/>
        </w:rPr>
        <w:t>5]</w:t>
      </w:r>
      <w:r w:rsidRPr="00302F56">
        <w:rPr>
          <w:rFonts w:ascii="Arial"/>
          <w:sz w:val="24"/>
          <w:szCs w:val="24"/>
        </w:rPr>
        <w:tab/>
      </w:r>
      <w:r w:rsidR="0051725F" w:rsidRPr="00302F56">
        <w:rPr>
          <w:rFonts w:ascii="Arial"/>
          <w:sz w:val="24"/>
          <w:szCs w:val="24"/>
        </w:rPr>
        <w:t>The following order is made:</w:t>
      </w:r>
    </w:p>
    <w:p w:rsidR="00C27124" w:rsidRPr="00302F56" w:rsidRDefault="00C27124" w:rsidP="00C27124">
      <w:pPr>
        <w:spacing w:line="360" w:lineRule="auto"/>
        <w:jc w:val="both"/>
        <w:rPr>
          <w:rFonts w:ascii="Arial" w:hAnsi="Arial" w:cs="Arial"/>
          <w:sz w:val="24"/>
          <w:szCs w:val="24"/>
        </w:rPr>
      </w:pPr>
      <w:r w:rsidRPr="00302F56">
        <w:rPr>
          <w:rFonts w:ascii="Arial"/>
          <w:sz w:val="24"/>
          <w:szCs w:val="24"/>
        </w:rPr>
        <w:tab/>
      </w:r>
      <w:r w:rsidRPr="00302F56">
        <w:rPr>
          <w:rFonts w:ascii="Arial" w:hAnsi="Arial" w:cs="Arial"/>
          <w:sz w:val="24"/>
          <w:szCs w:val="24"/>
        </w:rPr>
        <w:t>1.</w:t>
      </w:r>
      <w:r w:rsidRPr="00302F56">
        <w:rPr>
          <w:rFonts w:ascii="Arial" w:hAnsi="Arial" w:cs="Arial"/>
          <w:sz w:val="24"/>
          <w:szCs w:val="24"/>
        </w:rPr>
        <w:tab/>
        <w:t xml:space="preserve">The second defendant shall pay to the plaintiff the sum of R300 000.00 (three </w:t>
      </w:r>
      <w:r w:rsidRPr="00302F56">
        <w:rPr>
          <w:rFonts w:ascii="Arial" w:hAnsi="Arial" w:cs="Arial"/>
          <w:sz w:val="24"/>
          <w:szCs w:val="24"/>
        </w:rPr>
        <w:tab/>
      </w:r>
      <w:r w:rsidRPr="00302F56">
        <w:rPr>
          <w:rFonts w:ascii="Arial" w:hAnsi="Arial" w:cs="Arial"/>
          <w:sz w:val="24"/>
          <w:szCs w:val="24"/>
        </w:rPr>
        <w:tab/>
        <w:t xml:space="preserve">hundred thousand rand) towards the plaintiff’s claim for damages and past and </w:t>
      </w:r>
      <w:r w:rsidRPr="00302F56">
        <w:rPr>
          <w:rFonts w:ascii="Arial" w:hAnsi="Arial" w:cs="Arial"/>
          <w:sz w:val="24"/>
          <w:szCs w:val="24"/>
        </w:rPr>
        <w:tab/>
      </w:r>
      <w:r w:rsidRPr="00302F56">
        <w:rPr>
          <w:rFonts w:ascii="Arial" w:hAnsi="Arial" w:cs="Arial"/>
          <w:sz w:val="24"/>
          <w:szCs w:val="24"/>
        </w:rPr>
        <w:tab/>
        <w:t xml:space="preserve">future </w:t>
      </w:r>
      <w:r w:rsidRPr="00302F56">
        <w:rPr>
          <w:rFonts w:ascii="Arial" w:hAnsi="Arial" w:cs="Arial"/>
          <w:sz w:val="24"/>
          <w:szCs w:val="24"/>
        </w:rPr>
        <w:tab/>
        <w:t>medical expenses.</w:t>
      </w:r>
    </w:p>
    <w:p w:rsidR="00C27124" w:rsidRPr="00302F56" w:rsidRDefault="00C27124" w:rsidP="00C27124">
      <w:pPr>
        <w:spacing w:line="360" w:lineRule="auto"/>
        <w:jc w:val="both"/>
        <w:rPr>
          <w:rFonts w:ascii="Arial" w:hAnsi="Arial" w:cs="Arial"/>
          <w:sz w:val="24"/>
          <w:szCs w:val="24"/>
        </w:rPr>
      </w:pPr>
      <w:r w:rsidRPr="00302F56">
        <w:rPr>
          <w:rFonts w:ascii="Arial" w:hAnsi="Arial" w:cs="Arial"/>
          <w:sz w:val="24"/>
          <w:szCs w:val="24"/>
        </w:rPr>
        <w:tab/>
        <w:t xml:space="preserve">2. </w:t>
      </w:r>
      <w:r w:rsidR="005565D2" w:rsidRPr="00302F56">
        <w:rPr>
          <w:rFonts w:ascii="Arial" w:hAnsi="Arial" w:cs="Arial"/>
          <w:sz w:val="24"/>
          <w:szCs w:val="24"/>
        </w:rPr>
        <w:tab/>
        <w:t xml:space="preserve">The second defendant shall pay 50% of the plaintiff’s taxed or agreed costs, on </w:t>
      </w:r>
      <w:r w:rsidR="005565D2" w:rsidRPr="00302F56">
        <w:rPr>
          <w:rFonts w:ascii="Arial" w:hAnsi="Arial" w:cs="Arial"/>
          <w:sz w:val="24"/>
          <w:szCs w:val="24"/>
        </w:rPr>
        <w:tab/>
      </w:r>
      <w:r w:rsidR="005565D2" w:rsidRPr="00302F56">
        <w:rPr>
          <w:rFonts w:ascii="Arial" w:hAnsi="Arial" w:cs="Arial"/>
          <w:sz w:val="24"/>
          <w:szCs w:val="24"/>
        </w:rPr>
        <w:tab/>
        <w:t xml:space="preserve">a party and party scale, up to date of the settlement being reached between </w:t>
      </w:r>
      <w:r w:rsidR="005565D2" w:rsidRPr="00302F56">
        <w:rPr>
          <w:rFonts w:ascii="Arial" w:hAnsi="Arial" w:cs="Arial"/>
          <w:sz w:val="24"/>
          <w:szCs w:val="24"/>
        </w:rPr>
        <w:tab/>
      </w:r>
      <w:r w:rsidR="005565D2" w:rsidRPr="00302F56">
        <w:rPr>
          <w:rFonts w:ascii="Arial" w:hAnsi="Arial" w:cs="Arial"/>
          <w:sz w:val="24"/>
          <w:szCs w:val="24"/>
        </w:rPr>
        <w:tab/>
        <w:t xml:space="preserve">the plaintiff and first defendant. </w:t>
      </w:r>
      <w:r w:rsidRPr="00302F56">
        <w:rPr>
          <w:rFonts w:ascii="Arial" w:hAnsi="Arial" w:cs="Arial"/>
          <w:sz w:val="24"/>
          <w:szCs w:val="24"/>
        </w:rPr>
        <w:t xml:space="preserve"> </w:t>
      </w:r>
    </w:p>
    <w:p w:rsidR="005565D2" w:rsidRPr="00302F56" w:rsidRDefault="005565D2" w:rsidP="00C27124">
      <w:pPr>
        <w:spacing w:line="360" w:lineRule="auto"/>
        <w:jc w:val="both"/>
        <w:rPr>
          <w:rFonts w:ascii="Arial" w:hAnsi="Arial" w:cs="Arial"/>
          <w:sz w:val="24"/>
          <w:szCs w:val="24"/>
        </w:rPr>
      </w:pPr>
      <w:r w:rsidRPr="00302F56">
        <w:rPr>
          <w:rFonts w:ascii="Arial" w:hAnsi="Arial" w:cs="Arial"/>
          <w:sz w:val="24"/>
          <w:szCs w:val="24"/>
        </w:rPr>
        <w:lastRenderedPageBreak/>
        <w:tab/>
        <w:t xml:space="preserve">3. </w:t>
      </w:r>
      <w:r w:rsidRPr="00302F56">
        <w:rPr>
          <w:rFonts w:ascii="Arial" w:hAnsi="Arial" w:cs="Arial"/>
          <w:sz w:val="24"/>
          <w:szCs w:val="24"/>
        </w:rPr>
        <w:tab/>
        <w:t xml:space="preserve">The second defendant shall pay to the plaintiff the taxed or agreed costs on an </w:t>
      </w:r>
      <w:r w:rsidRPr="00302F56">
        <w:rPr>
          <w:rFonts w:ascii="Arial" w:hAnsi="Arial" w:cs="Arial"/>
          <w:sz w:val="24"/>
          <w:szCs w:val="24"/>
        </w:rPr>
        <w:tab/>
      </w:r>
      <w:r w:rsidRPr="00302F56">
        <w:rPr>
          <w:rFonts w:ascii="Arial" w:hAnsi="Arial" w:cs="Arial"/>
          <w:sz w:val="24"/>
          <w:szCs w:val="24"/>
        </w:rPr>
        <w:tab/>
        <w:t xml:space="preserve">attorney and client scale incurred after the settlement being reached between </w:t>
      </w:r>
      <w:r w:rsidRPr="00302F56">
        <w:rPr>
          <w:rFonts w:ascii="Arial" w:hAnsi="Arial" w:cs="Arial"/>
          <w:sz w:val="24"/>
          <w:szCs w:val="24"/>
        </w:rPr>
        <w:tab/>
      </w:r>
      <w:r w:rsidRPr="00302F56">
        <w:rPr>
          <w:rFonts w:ascii="Arial" w:hAnsi="Arial" w:cs="Arial"/>
          <w:sz w:val="24"/>
          <w:szCs w:val="24"/>
        </w:rPr>
        <w:tab/>
        <w:t xml:space="preserve">the plaintiff and the first defendant, until and including the arguments heard on </w:t>
      </w:r>
      <w:r w:rsidRPr="00302F56">
        <w:rPr>
          <w:rFonts w:ascii="Arial" w:hAnsi="Arial" w:cs="Arial"/>
          <w:sz w:val="24"/>
          <w:szCs w:val="24"/>
        </w:rPr>
        <w:tab/>
      </w:r>
      <w:r w:rsidRPr="00302F56">
        <w:rPr>
          <w:rFonts w:ascii="Arial" w:hAnsi="Arial" w:cs="Arial"/>
          <w:sz w:val="24"/>
          <w:szCs w:val="24"/>
        </w:rPr>
        <w:tab/>
        <w:t>4 June 2024.</w:t>
      </w:r>
    </w:p>
    <w:p w:rsidR="001951FC" w:rsidRPr="00302F56" w:rsidRDefault="001951FC" w:rsidP="00C27124">
      <w:pPr>
        <w:spacing w:line="360" w:lineRule="auto"/>
        <w:jc w:val="both"/>
        <w:rPr>
          <w:rFonts w:ascii="Arial" w:hAnsi="Arial" w:cs="Arial"/>
          <w:sz w:val="24"/>
          <w:szCs w:val="24"/>
        </w:rPr>
      </w:pPr>
      <w:r w:rsidRPr="00302F56">
        <w:rPr>
          <w:rFonts w:ascii="Arial" w:hAnsi="Arial" w:cs="Arial"/>
          <w:sz w:val="24"/>
          <w:szCs w:val="24"/>
        </w:rPr>
        <w:tab/>
        <w:t>4.</w:t>
      </w:r>
      <w:r w:rsidRPr="00302F56">
        <w:rPr>
          <w:rFonts w:ascii="Arial" w:hAnsi="Arial" w:cs="Arial"/>
          <w:sz w:val="24"/>
          <w:szCs w:val="24"/>
        </w:rPr>
        <w:tab/>
        <w:t xml:space="preserve">The expert witnesses, </w:t>
      </w:r>
      <w:r w:rsidR="00600FD5" w:rsidRPr="00302F56">
        <w:rPr>
          <w:rFonts w:ascii="Arial" w:hAnsi="Arial" w:cs="Arial"/>
          <w:sz w:val="24"/>
          <w:szCs w:val="24"/>
        </w:rPr>
        <w:t xml:space="preserve">Dr Stephen Walker and </w:t>
      </w:r>
      <w:r w:rsidR="00302F56" w:rsidRPr="00302F56">
        <w:rPr>
          <w:rFonts w:ascii="Arial" w:hAnsi="Arial" w:cs="Arial"/>
          <w:sz w:val="24"/>
          <w:szCs w:val="24"/>
        </w:rPr>
        <w:t>Professor</w:t>
      </w:r>
      <w:r w:rsidR="00600FD5" w:rsidRPr="00302F56">
        <w:rPr>
          <w:rFonts w:ascii="Arial" w:hAnsi="Arial" w:cs="Arial"/>
          <w:sz w:val="24"/>
          <w:szCs w:val="24"/>
        </w:rPr>
        <w:t xml:space="preserve"> </w:t>
      </w:r>
      <w:proofErr w:type="spellStart"/>
      <w:r w:rsidR="00600FD5" w:rsidRPr="00302F56">
        <w:rPr>
          <w:rFonts w:ascii="Arial" w:hAnsi="Arial" w:cs="Arial"/>
          <w:sz w:val="24"/>
          <w:szCs w:val="24"/>
        </w:rPr>
        <w:t>Halton</w:t>
      </w:r>
      <w:proofErr w:type="spellEnd"/>
      <w:r w:rsidR="00600FD5" w:rsidRPr="00302F56">
        <w:rPr>
          <w:rFonts w:ascii="Arial" w:hAnsi="Arial" w:cs="Arial"/>
          <w:sz w:val="24"/>
          <w:szCs w:val="24"/>
        </w:rPr>
        <w:t xml:space="preserve"> Cheadle are </w:t>
      </w:r>
      <w:r w:rsidR="00600FD5" w:rsidRPr="00302F56">
        <w:rPr>
          <w:rFonts w:ascii="Arial" w:hAnsi="Arial" w:cs="Arial"/>
          <w:sz w:val="24"/>
          <w:szCs w:val="24"/>
        </w:rPr>
        <w:tab/>
      </w:r>
      <w:r w:rsidR="00600FD5" w:rsidRPr="00302F56">
        <w:rPr>
          <w:rFonts w:ascii="Arial" w:hAnsi="Arial" w:cs="Arial"/>
          <w:sz w:val="24"/>
          <w:szCs w:val="24"/>
        </w:rPr>
        <w:tab/>
        <w:t>declared necessary witnesses for purposes of taxation.</w:t>
      </w:r>
    </w:p>
    <w:p w:rsidR="00C27124" w:rsidRPr="00302F56" w:rsidRDefault="00C27124" w:rsidP="000274C5">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eastAsia="en-ZA"/>
        </w:rPr>
      </w:pPr>
    </w:p>
    <w:p w:rsidR="00C27124" w:rsidRPr="00302F56" w:rsidRDefault="00C27124" w:rsidP="000274C5">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eastAsia="en-ZA"/>
        </w:rPr>
      </w:pPr>
    </w:p>
    <w:p w:rsidR="00C27124" w:rsidRPr="00302F56" w:rsidRDefault="00C27124" w:rsidP="000274C5">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eastAsia="en-ZA"/>
        </w:rPr>
      </w:pPr>
    </w:p>
    <w:p w:rsidR="00C27124" w:rsidRPr="00302F56" w:rsidRDefault="00C27124" w:rsidP="000274C5">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eastAsia="en-ZA"/>
        </w:rPr>
      </w:pPr>
    </w:p>
    <w:p w:rsidR="00C27124" w:rsidRPr="00302F56" w:rsidRDefault="00C27124" w:rsidP="000274C5">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eastAsia="en-ZA"/>
        </w:rPr>
      </w:pPr>
    </w:p>
    <w:p w:rsidR="000274C5" w:rsidRPr="00302F56" w:rsidRDefault="000274C5" w:rsidP="000274C5">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eastAsia="en-ZA"/>
        </w:rPr>
      </w:pPr>
      <w:r w:rsidRPr="00302F56">
        <w:rPr>
          <w:rFonts w:ascii="Arial" w:eastAsiaTheme="minorEastAsia" w:hAnsi="Arial" w:cs="Arial"/>
          <w:color w:val="000000" w:themeColor="text1"/>
          <w:sz w:val="24"/>
          <w:szCs w:val="24"/>
          <w:lang w:eastAsia="en-ZA"/>
        </w:rPr>
        <w:t>______________________</w:t>
      </w:r>
    </w:p>
    <w:p w:rsidR="000274C5" w:rsidRDefault="000274C5" w:rsidP="000274C5">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 xml:space="preserve">I VAN RHYN </w:t>
      </w:r>
    </w:p>
    <w:p w:rsidR="000274C5" w:rsidRDefault="000274C5" w:rsidP="000274C5">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JUDGE OF THE HIGH COURT,</w:t>
      </w:r>
    </w:p>
    <w:p w:rsidR="000274C5" w:rsidRDefault="000274C5" w:rsidP="000274C5">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 xml:space="preserve"> FREE STATE DIVISION, BLOEMFONTEIN</w:t>
      </w:r>
    </w:p>
    <w:p w:rsidR="000274C5" w:rsidRDefault="000274C5" w:rsidP="000274C5">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eastAsia="en-ZA"/>
        </w:rPr>
      </w:pPr>
    </w:p>
    <w:p w:rsidR="000274C5" w:rsidRDefault="000274C5" w:rsidP="000274C5">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eastAsia="en-ZA"/>
        </w:rPr>
      </w:pPr>
    </w:p>
    <w:p w:rsidR="000274C5" w:rsidRDefault="000274C5" w:rsidP="000274C5">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eastAsia="en-ZA"/>
        </w:rPr>
      </w:pPr>
    </w:p>
    <w:p w:rsidR="000274C5" w:rsidRDefault="000274C5" w:rsidP="000274C5">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eastAsia="en-ZA"/>
        </w:rPr>
      </w:pPr>
    </w:p>
    <w:p w:rsidR="000274C5" w:rsidRDefault="000274C5" w:rsidP="00600FD5">
      <w:pPr>
        <w:widowControl w:val="0"/>
        <w:kinsoku w:val="0"/>
        <w:overflowPunct w:val="0"/>
        <w:autoSpaceDE w:val="0"/>
        <w:autoSpaceDN w:val="0"/>
        <w:adjustRightInd w:val="0"/>
        <w:spacing w:after="0" w:line="360" w:lineRule="auto"/>
        <w:rPr>
          <w:rFonts w:ascii="Arial" w:hAnsi="Arial" w:cs="Arial"/>
          <w:sz w:val="24"/>
          <w:szCs w:val="24"/>
        </w:rPr>
      </w:pPr>
      <w:r>
        <w:rPr>
          <w:rFonts w:ascii="Arial" w:hAnsi="Arial" w:cs="Arial"/>
          <w:sz w:val="24"/>
          <w:szCs w:val="24"/>
        </w:rPr>
        <w:t>O</w:t>
      </w:r>
      <w:r w:rsidRPr="00FA4806">
        <w:rPr>
          <w:rFonts w:ascii="Arial" w:hAnsi="Arial" w:cs="Arial"/>
          <w:sz w:val="24"/>
          <w:szCs w:val="24"/>
        </w:rPr>
        <w:t xml:space="preserve">n behalf of the </w:t>
      </w:r>
      <w:proofErr w:type="spellStart"/>
      <w:r w:rsidR="00600FD5">
        <w:rPr>
          <w:rFonts w:ascii="Arial" w:hAnsi="Arial" w:cs="Arial"/>
          <w:sz w:val="24"/>
          <w:szCs w:val="24"/>
        </w:rPr>
        <w:t>Plaintif</w:t>
      </w:r>
      <w:proofErr w:type="spellEnd"/>
      <w:r w:rsidRPr="00FA4806">
        <w:rPr>
          <w:rFonts w:ascii="Arial" w:hAnsi="Arial" w:cs="Arial"/>
          <w:sz w:val="24"/>
          <w:szCs w:val="24"/>
        </w:rPr>
        <w:t>:</w:t>
      </w:r>
      <w:r w:rsidRPr="00FA4806">
        <w:rPr>
          <w:rFonts w:ascii="Arial" w:hAnsi="Arial" w:cs="Arial"/>
          <w:b/>
          <w:sz w:val="24"/>
          <w:szCs w:val="24"/>
        </w:rPr>
        <w:t xml:space="preserve">                           </w:t>
      </w:r>
      <w:r>
        <w:rPr>
          <w:rFonts w:ascii="Arial" w:hAnsi="Arial" w:cs="Arial"/>
          <w:b/>
          <w:sz w:val="24"/>
          <w:szCs w:val="24"/>
        </w:rPr>
        <w:t xml:space="preserve">                            </w:t>
      </w:r>
      <w:r w:rsidRPr="00FA4806">
        <w:rPr>
          <w:rFonts w:ascii="Arial" w:hAnsi="Arial" w:cs="Arial"/>
          <w:b/>
          <w:sz w:val="24"/>
          <w:szCs w:val="24"/>
        </w:rPr>
        <w:t xml:space="preserve">    </w:t>
      </w:r>
      <w:r>
        <w:rPr>
          <w:rFonts w:ascii="Arial" w:hAnsi="Arial" w:cs="Arial"/>
          <w:b/>
          <w:sz w:val="24"/>
          <w:szCs w:val="24"/>
        </w:rPr>
        <w:t xml:space="preserve">         </w:t>
      </w:r>
      <w:r w:rsidR="00600FD5">
        <w:rPr>
          <w:rFonts w:ascii="Arial" w:hAnsi="Arial" w:cs="Arial"/>
          <w:b/>
          <w:sz w:val="24"/>
          <w:szCs w:val="24"/>
        </w:rPr>
        <w:t xml:space="preserve">      </w:t>
      </w:r>
      <w:r w:rsidR="008F43DE">
        <w:rPr>
          <w:rFonts w:ascii="Arial" w:hAnsi="Arial" w:cs="Arial"/>
          <w:b/>
          <w:sz w:val="24"/>
          <w:szCs w:val="24"/>
        </w:rPr>
        <w:t xml:space="preserve">    </w:t>
      </w:r>
      <w:r w:rsidRPr="00FA4806">
        <w:rPr>
          <w:rFonts w:ascii="Arial" w:hAnsi="Arial" w:cs="Arial"/>
          <w:b/>
          <w:sz w:val="24"/>
          <w:szCs w:val="24"/>
        </w:rPr>
        <w:t xml:space="preserve"> ADV. </w:t>
      </w:r>
      <w:r w:rsidR="00600FD5">
        <w:rPr>
          <w:rFonts w:ascii="Arial" w:hAnsi="Arial" w:cs="Arial"/>
          <w:b/>
          <w:sz w:val="24"/>
          <w:szCs w:val="24"/>
        </w:rPr>
        <w:t xml:space="preserve">J W STEYN </w:t>
      </w:r>
      <w:r w:rsidRPr="007C1FA0">
        <w:rPr>
          <w:rFonts w:ascii="Arial" w:hAnsi="Arial" w:cs="Arial"/>
          <w:sz w:val="24"/>
          <w:szCs w:val="24"/>
        </w:rPr>
        <w:t>I</w:t>
      </w:r>
      <w:r w:rsidRPr="00FA4806">
        <w:rPr>
          <w:rFonts w:ascii="Arial" w:hAnsi="Arial" w:cs="Arial"/>
          <w:sz w:val="24"/>
          <w:szCs w:val="24"/>
        </w:rPr>
        <w:t xml:space="preserve">nstructed by:                               </w:t>
      </w:r>
      <w:r w:rsidRPr="00FA4806">
        <w:rPr>
          <w:rFonts w:ascii="Arial" w:hAnsi="Arial" w:cs="Arial"/>
          <w:sz w:val="24"/>
          <w:szCs w:val="24"/>
        </w:rPr>
        <w:tab/>
      </w:r>
      <w:r w:rsidRPr="00FA4806">
        <w:rPr>
          <w:rFonts w:ascii="Arial" w:hAnsi="Arial" w:cs="Arial"/>
          <w:sz w:val="24"/>
          <w:szCs w:val="24"/>
        </w:rPr>
        <w:tab/>
        <w:t xml:space="preserve"> </w:t>
      </w:r>
      <w:bookmarkStart w:id="0" w:name="_GoBack"/>
      <w:bookmarkEnd w:id="0"/>
      <w:r w:rsidRPr="00FA4806">
        <w:rPr>
          <w:rFonts w:ascii="Arial" w:hAnsi="Arial" w:cs="Arial"/>
          <w:sz w:val="24"/>
          <w:szCs w:val="24"/>
        </w:rPr>
        <w:t xml:space="preserve">                  </w:t>
      </w:r>
      <w:r>
        <w:rPr>
          <w:rFonts w:ascii="Arial" w:hAnsi="Arial" w:cs="Arial"/>
          <w:sz w:val="24"/>
          <w:szCs w:val="24"/>
        </w:rPr>
        <w:t xml:space="preserve">   </w:t>
      </w:r>
      <w:r w:rsidRPr="00FA4806">
        <w:rPr>
          <w:rFonts w:ascii="Arial" w:hAnsi="Arial" w:cs="Arial"/>
          <w:sz w:val="24"/>
          <w:szCs w:val="24"/>
        </w:rPr>
        <w:t xml:space="preserve"> </w:t>
      </w:r>
      <w:r>
        <w:rPr>
          <w:rFonts w:ascii="Arial" w:hAnsi="Arial" w:cs="Arial"/>
          <w:sz w:val="24"/>
          <w:szCs w:val="24"/>
        </w:rPr>
        <w:t xml:space="preserve">       </w:t>
      </w:r>
      <w:r w:rsidRPr="00FA4806">
        <w:rPr>
          <w:rFonts w:ascii="Arial" w:hAnsi="Arial" w:cs="Arial"/>
          <w:sz w:val="24"/>
          <w:szCs w:val="24"/>
        </w:rPr>
        <w:t xml:space="preserve"> </w:t>
      </w:r>
      <w:r w:rsidR="00600FD5">
        <w:rPr>
          <w:rFonts w:ascii="Arial" w:hAnsi="Arial" w:cs="Arial"/>
          <w:sz w:val="24"/>
          <w:szCs w:val="24"/>
        </w:rPr>
        <w:t xml:space="preserve">   </w:t>
      </w:r>
      <w:r w:rsidR="008F43DE">
        <w:rPr>
          <w:rFonts w:ascii="Arial" w:hAnsi="Arial" w:cs="Arial"/>
          <w:sz w:val="24"/>
          <w:szCs w:val="24"/>
        </w:rPr>
        <w:t xml:space="preserve"> </w:t>
      </w:r>
      <w:r>
        <w:rPr>
          <w:rFonts w:ascii="Arial" w:hAnsi="Arial" w:cs="Arial"/>
          <w:sz w:val="24"/>
          <w:szCs w:val="24"/>
        </w:rPr>
        <w:t xml:space="preserve">  </w:t>
      </w:r>
      <w:r w:rsidRPr="00FA4806">
        <w:rPr>
          <w:rFonts w:ascii="Arial" w:hAnsi="Arial" w:cs="Arial"/>
          <w:sz w:val="24"/>
          <w:szCs w:val="24"/>
        </w:rPr>
        <w:t xml:space="preserve"> </w:t>
      </w:r>
      <w:r w:rsidR="00600FD5">
        <w:rPr>
          <w:rFonts w:ascii="Arial" w:hAnsi="Arial" w:cs="Arial"/>
          <w:sz w:val="24"/>
          <w:szCs w:val="24"/>
        </w:rPr>
        <w:t>KRAMER WEIHMANN INC</w:t>
      </w:r>
      <w:r>
        <w:rPr>
          <w:rFonts w:ascii="Arial" w:hAnsi="Arial" w:cs="Arial"/>
          <w:sz w:val="24"/>
          <w:szCs w:val="24"/>
        </w:rPr>
        <w:t xml:space="preserve">         </w:t>
      </w:r>
    </w:p>
    <w:p w:rsidR="00600FD5" w:rsidRDefault="000274C5" w:rsidP="00600FD5">
      <w:pPr>
        <w:widowControl w:val="0"/>
        <w:kinsoku w:val="0"/>
        <w:overflowPunct w:val="0"/>
        <w:autoSpaceDE w:val="0"/>
        <w:autoSpaceDN w:val="0"/>
        <w:adjustRightInd w:val="0"/>
        <w:spacing w:after="0" w:line="276" w:lineRule="auto"/>
        <w:jc w:val="right"/>
        <w:rPr>
          <w:rFonts w:ascii="Arial" w:hAnsi="Arial" w:cs="Arial"/>
          <w:sz w:val="24"/>
          <w:szCs w:val="24"/>
        </w:rPr>
      </w:pPr>
      <w:r>
        <w:rPr>
          <w:rFonts w:ascii="Arial" w:hAnsi="Arial" w:cs="Arial"/>
          <w:sz w:val="24"/>
          <w:szCs w:val="24"/>
        </w:rPr>
        <w:t xml:space="preserve">                                                                                                   </w:t>
      </w:r>
      <w:r w:rsidR="00600FD5">
        <w:rPr>
          <w:rFonts w:ascii="Arial" w:hAnsi="Arial" w:cs="Arial"/>
          <w:sz w:val="24"/>
          <w:szCs w:val="24"/>
        </w:rPr>
        <w:t xml:space="preserve">        </w:t>
      </w:r>
      <w:r>
        <w:rPr>
          <w:rFonts w:ascii="Arial" w:hAnsi="Arial" w:cs="Arial"/>
          <w:sz w:val="24"/>
          <w:szCs w:val="24"/>
        </w:rPr>
        <w:tab/>
        <w:t>BLOEMFONTEIN</w:t>
      </w:r>
    </w:p>
    <w:p w:rsidR="000274C5" w:rsidRPr="00FA4806" w:rsidRDefault="000274C5" w:rsidP="00600FD5">
      <w:pPr>
        <w:widowControl w:val="0"/>
        <w:kinsoku w:val="0"/>
        <w:overflowPunct w:val="0"/>
        <w:autoSpaceDE w:val="0"/>
        <w:autoSpaceDN w:val="0"/>
        <w:adjustRightInd w:val="0"/>
        <w:spacing w:after="0" w:line="276" w:lineRule="auto"/>
        <w:jc w:val="both"/>
        <w:rPr>
          <w:rFonts w:ascii="Arial" w:hAnsi="Arial" w:cs="Arial"/>
          <w:sz w:val="24"/>
          <w:szCs w:val="24"/>
        </w:rPr>
      </w:pPr>
      <w:r w:rsidRPr="00FA4806">
        <w:rPr>
          <w:rFonts w:ascii="Arial" w:hAnsi="Arial" w:cs="Arial"/>
          <w:sz w:val="24"/>
          <w:szCs w:val="24"/>
        </w:rPr>
        <w:t xml:space="preserve"> </w:t>
      </w:r>
    </w:p>
    <w:p w:rsidR="000274C5" w:rsidRPr="00FA4806" w:rsidRDefault="000274C5" w:rsidP="000274C5">
      <w:pPr>
        <w:spacing w:line="240" w:lineRule="auto"/>
        <w:jc w:val="both"/>
        <w:rPr>
          <w:rFonts w:ascii="Arial" w:hAnsi="Arial" w:cs="Arial"/>
          <w:sz w:val="24"/>
          <w:szCs w:val="24"/>
        </w:rPr>
      </w:pPr>
      <w:r w:rsidRPr="00FA4806">
        <w:rPr>
          <w:rFonts w:ascii="Arial" w:hAnsi="Arial" w:cs="Arial"/>
          <w:sz w:val="24"/>
          <w:szCs w:val="24"/>
        </w:rPr>
        <w:t xml:space="preserve">On behalf of the Respondent:                                    </w:t>
      </w:r>
      <w:r w:rsidR="00600FD5">
        <w:rPr>
          <w:rFonts w:ascii="Arial" w:hAnsi="Arial" w:cs="Arial"/>
          <w:sz w:val="24"/>
          <w:szCs w:val="24"/>
        </w:rPr>
        <w:t xml:space="preserve">            </w:t>
      </w:r>
      <w:r>
        <w:rPr>
          <w:rFonts w:ascii="Arial" w:hAnsi="Arial" w:cs="Arial"/>
          <w:sz w:val="24"/>
          <w:szCs w:val="24"/>
        </w:rPr>
        <w:t xml:space="preserve">             </w:t>
      </w:r>
      <w:r w:rsidRPr="00FA4806">
        <w:rPr>
          <w:rFonts w:ascii="Arial" w:hAnsi="Arial" w:cs="Arial"/>
          <w:sz w:val="24"/>
          <w:szCs w:val="24"/>
        </w:rPr>
        <w:t xml:space="preserve">  </w:t>
      </w:r>
      <w:r w:rsidRPr="00FA4806">
        <w:rPr>
          <w:rFonts w:ascii="Arial" w:hAnsi="Arial" w:cs="Arial"/>
          <w:b/>
          <w:sz w:val="24"/>
          <w:szCs w:val="24"/>
        </w:rPr>
        <w:t>ADV.</w:t>
      </w:r>
      <w:r>
        <w:rPr>
          <w:rFonts w:ascii="Arial" w:hAnsi="Arial" w:cs="Arial"/>
          <w:b/>
          <w:sz w:val="24"/>
          <w:szCs w:val="24"/>
        </w:rPr>
        <w:t xml:space="preserve"> </w:t>
      </w:r>
      <w:r w:rsidR="00600FD5">
        <w:rPr>
          <w:rFonts w:ascii="Arial" w:hAnsi="Arial" w:cs="Arial"/>
          <w:b/>
          <w:sz w:val="24"/>
          <w:szCs w:val="24"/>
        </w:rPr>
        <w:t xml:space="preserve">W J BEZUIDENHOUT </w:t>
      </w:r>
      <w:r>
        <w:rPr>
          <w:rFonts w:ascii="Arial" w:hAnsi="Arial" w:cs="Arial"/>
          <w:b/>
          <w:sz w:val="24"/>
          <w:szCs w:val="24"/>
        </w:rPr>
        <w:t xml:space="preserve"> </w:t>
      </w:r>
    </w:p>
    <w:p w:rsidR="000274C5" w:rsidRPr="00FA4806" w:rsidRDefault="000274C5" w:rsidP="008F43DE">
      <w:pPr>
        <w:keepNext/>
        <w:spacing w:after="0" w:line="360" w:lineRule="auto"/>
        <w:outlineLvl w:val="6"/>
        <w:rPr>
          <w:rFonts w:ascii="Arial" w:hAnsi="Arial" w:cs="Arial"/>
          <w:sz w:val="24"/>
          <w:szCs w:val="24"/>
        </w:rPr>
      </w:pPr>
      <w:r w:rsidRPr="00FA4806">
        <w:rPr>
          <w:rFonts w:ascii="Arial" w:hAnsi="Arial" w:cs="Arial"/>
          <w:sz w:val="24"/>
          <w:szCs w:val="24"/>
        </w:rPr>
        <w:t xml:space="preserve">Instructed by:                                                                           </w:t>
      </w:r>
      <w:r>
        <w:rPr>
          <w:rFonts w:ascii="Arial" w:hAnsi="Arial" w:cs="Arial"/>
          <w:sz w:val="24"/>
          <w:szCs w:val="24"/>
        </w:rPr>
        <w:t xml:space="preserve"> </w:t>
      </w:r>
      <w:r w:rsidR="00600FD5">
        <w:rPr>
          <w:rFonts w:ascii="Arial" w:hAnsi="Arial" w:cs="Arial"/>
          <w:sz w:val="24"/>
          <w:szCs w:val="24"/>
        </w:rPr>
        <w:t xml:space="preserve">        </w:t>
      </w:r>
      <w:r w:rsidRPr="00FA4806">
        <w:rPr>
          <w:rFonts w:ascii="Arial" w:hAnsi="Arial" w:cs="Arial"/>
          <w:sz w:val="24"/>
          <w:szCs w:val="24"/>
        </w:rPr>
        <w:t xml:space="preserve"> </w:t>
      </w:r>
      <w:r w:rsidR="00600FD5">
        <w:rPr>
          <w:rFonts w:ascii="Arial" w:hAnsi="Arial" w:cs="Arial"/>
          <w:sz w:val="24"/>
          <w:szCs w:val="24"/>
        </w:rPr>
        <w:t>WESSELS &amp; SMITH INC</w:t>
      </w:r>
      <w:r>
        <w:rPr>
          <w:rFonts w:ascii="Arial" w:hAnsi="Arial" w:cs="Arial"/>
          <w:sz w:val="24"/>
          <w:szCs w:val="24"/>
        </w:rPr>
        <w:t xml:space="preserve"> </w:t>
      </w:r>
    </w:p>
    <w:p w:rsidR="000274C5" w:rsidRPr="00FA4806" w:rsidRDefault="000274C5" w:rsidP="008F43DE">
      <w:pPr>
        <w:spacing w:after="0" w:line="360" w:lineRule="auto"/>
        <w:jc w:val="right"/>
        <w:rPr>
          <w:rFonts w:ascii="Arial" w:hAnsi="Arial" w:cs="Arial"/>
          <w:sz w:val="24"/>
          <w:szCs w:val="24"/>
        </w:rPr>
      </w:pPr>
      <w:r>
        <w:rPr>
          <w:rFonts w:ascii="Arial" w:hAnsi="Arial" w:cs="Arial"/>
          <w:sz w:val="24"/>
          <w:szCs w:val="24"/>
        </w:rPr>
        <w:t>BLOEMFONTEIN</w:t>
      </w:r>
    </w:p>
    <w:p w:rsidR="000274C5" w:rsidRDefault="000274C5" w:rsidP="008F43DE">
      <w:pPr>
        <w:spacing w:line="360" w:lineRule="auto"/>
      </w:pPr>
    </w:p>
    <w:p w:rsidR="00405776" w:rsidRDefault="00405776"/>
    <w:sectPr w:rsidR="00405776" w:rsidSect="00F73C8C">
      <w:headerReference w:type="default" r:id="rId9"/>
      <w:type w:val="continuous"/>
      <w:pgSz w:w="12290" w:h="16840"/>
      <w:pgMar w:top="1440" w:right="1247" w:bottom="1440" w:left="1247" w:header="692" w:footer="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1A5" w:rsidRDefault="009471A5" w:rsidP="0062464E">
      <w:pPr>
        <w:spacing w:after="0" w:line="240" w:lineRule="auto"/>
      </w:pPr>
      <w:r>
        <w:separator/>
      </w:r>
    </w:p>
  </w:endnote>
  <w:endnote w:type="continuationSeparator" w:id="0">
    <w:p w:rsidR="009471A5" w:rsidRDefault="009471A5" w:rsidP="0062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1A5" w:rsidRDefault="009471A5" w:rsidP="0062464E">
      <w:pPr>
        <w:spacing w:after="0" w:line="240" w:lineRule="auto"/>
      </w:pPr>
      <w:r>
        <w:separator/>
      </w:r>
    </w:p>
  </w:footnote>
  <w:footnote w:type="continuationSeparator" w:id="0">
    <w:p w:rsidR="009471A5" w:rsidRDefault="009471A5" w:rsidP="0062464E">
      <w:pPr>
        <w:spacing w:after="0" w:line="240" w:lineRule="auto"/>
      </w:pPr>
      <w:r>
        <w:continuationSeparator/>
      </w:r>
    </w:p>
  </w:footnote>
  <w:footnote w:id="1">
    <w:p w:rsidR="00B763F5" w:rsidRDefault="00B763F5">
      <w:pPr>
        <w:pStyle w:val="FootnoteText"/>
      </w:pPr>
      <w:r>
        <w:rPr>
          <w:rStyle w:val="FootnoteReference"/>
        </w:rPr>
        <w:footnoteRef/>
      </w:r>
      <w:r>
        <w:t xml:space="preserve"> Le Roux and Others v </w:t>
      </w:r>
      <w:proofErr w:type="spellStart"/>
      <w:r>
        <w:t>Dey</w:t>
      </w:r>
      <w:proofErr w:type="spellEnd"/>
      <w:r>
        <w:t xml:space="preserve"> 2011 (3)</w:t>
      </w:r>
      <w:r w:rsidR="00443E00">
        <w:t xml:space="preserve"> </w:t>
      </w:r>
      <w:r>
        <w:t xml:space="preserve">SA 274 (CC) at [141]. </w:t>
      </w:r>
    </w:p>
  </w:footnote>
  <w:footnote w:id="2">
    <w:p w:rsidR="00B763F5" w:rsidRPr="005C6F29" w:rsidRDefault="00B763F5">
      <w:pPr>
        <w:pStyle w:val="FootnoteText"/>
        <w:rPr>
          <w:rFonts w:ascii="Arial" w:hAnsi="Arial" w:cs="Arial"/>
        </w:rPr>
      </w:pPr>
      <w:r>
        <w:rPr>
          <w:rStyle w:val="FootnoteReference"/>
        </w:rPr>
        <w:footnoteRef/>
      </w:r>
      <w:r w:rsidRPr="005C6F29">
        <w:rPr>
          <w:rFonts w:ascii="Arial" w:hAnsi="Arial" w:cs="Arial"/>
        </w:rPr>
        <w:t xml:space="preserve"> Le </w:t>
      </w:r>
      <w:r w:rsidR="00443E00" w:rsidRPr="005C6F29">
        <w:rPr>
          <w:rFonts w:ascii="Arial" w:hAnsi="Arial" w:cs="Arial"/>
        </w:rPr>
        <w:t>R</w:t>
      </w:r>
      <w:r w:rsidRPr="005C6F29">
        <w:rPr>
          <w:rFonts w:ascii="Arial" w:hAnsi="Arial" w:cs="Arial"/>
        </w:rPr>
        <w:t xml:space="preserve">oux v </w:t>
      </w:r>
      <w:proofErr w:type="spellStart"/>
      <w:r w:rsidRPr="005C6F29">
        <w:rPr>
          <w:rFonts w:ascii="Arial" w:hAnsi="Arial" w:cs="Arial"/>
        </w:rPr>
        <w:t>Dey</w:t>
      </w:r>
      <w:proofErr w:type="spellEnd"/>
      <w:r w:rsidRPr="005C6F29">
        <w:rPr>
          <w:rFonts w:ascii="Arial" w:hAnsi="Arial" w:cs="Arial"/>
        </w:rPr>
        <w:t xml:space="preserve"> (supra) at [139]. </w:t>
      </w:r>
    </w:p>
  </w:footnote>
  <w:footnote w:id="3">
    <w:p w:rsidR="00B763F5" w:rsidRPr="005C6F29" w:rsidRDefault="00B763F5">
      <w:pPr>
        <w:pStyle w:val="FootnoteText"/>
        <w:rPr>
          <w:rFonts w:ascii="Arial" w:hAnsi="Arial" w:cs="Arial"/>
        </w:rPr>
      </w:pPr>
      <w:r w:rsidRPr="005C6F29">
        <w:rPr>
          <w:rStyle w:val="FootnoteReference"/>
          <w:rFonts w:ascii="Arial" w:hAnsi="Arial" w:cs="Arial"/>
        </w:rPr>
        <w:footnoteRef/>
      </w:r>
      <w:r w:rsidRPr="005C6F29">
        <w:rPr>
          <w:rFonts w:ascii="Arial" w:hAnsi="Arial" w:cs="Arial"/>
        </w:rPr>
        <w:t xml:space="preserve"> NM v Smith 2007 (5) SA 250 (CC) paragraphs 71 to 82. </w:t>
      </w:r>
    </w:p>
  </w:footnote>
  <w:footnote w:id="4">
    <w:p w:rsidR="00B763F5" w:rsidRPr="005C6F29" w:rsidRDefault="00B763F5">
      <w:pPr>
        <w:pStyle w:val="FootnoteText"/>
        <w:rPr>
          <w:rFonts w:ascii="Arial" w:hAnsi="Arial" w:cs="Arial"/>
        </w:rPr>
      </w:pPr>
      <w:r w:rsidRPr="005C6F29">
        <w:rPr>
          <w:rStyle w:val="FootnoteReference"/>
          <w:rFonts w:ascii="Arial" w:hAnsi="Arial" w:cs="Arial"/>
        </w:rPr>
        <w:footnoteRef/>
      </w:r>
      <w:r w:rsidRPr="005C6F29">
        <w:rPr>
          <w:rFonts w:ascii="Arial" w:hAnsi="Arial" w:cs="Arial"/>
        </w:rPr>
        <w:t xml:space="preserve"> Jackson v NICRO 1976 (3) SA 1 (A).</w:t>
      </w:r>
    </w:p>
  </w:footnote>
  <w:footnote w:id="5">
    <w:p w:rsidR="00B763F5" w:rsidRPr="005C6F29" w:rsidRDefault="00B763F5">
      <w:pPr>
        <w:pStyle w:val="FootnoteText"/>
        <w:rPr>
          <w:rFonts w:ascii="Arial" w:hAnsi="Arial" w:cs="Arial"/>
        </w:rPr>
      </w:pPr>
      <w:r w:rsidRPr="005C6F29">
        <w:rPr>
          <w:rStyle w:val="FootnoteReference"/>
          <w:rFonts w:ascii="Arial" w:hAnsi="Arial" w:cs="Arial"/>
        </w:rPr>
        <w:footnoteRef/>
      </w:r>
      <w:r w:rsidRPr="005C6F29">
        <w:rPr>
          <w:rFonts w:ascii="Arial" w:hAnsi="Arial" w:cs="Arial"/>
        </w:rPr>
        <w:t xml:space="preserve"> 2002 (5) SA 401 (CC).</w:t>
      </w:r>
    </w:p>
  </w:footnote>
  <w:footnote w:id="6">
    <w:p w:rsidR="00B763F5" w:rsidRDefault="00B763F5">
      <w:pPr>
        <w:pStyle w:val="FootnoteText"/>
      </w:pPr>
      <w:r w:rsidRPr="005C6F29">
        <w:rPr>
          <w:rStyle w:val="FootnoteReference"/>
          <w:rFonts w:ascii="Arial" w:hAnsi="Arial" w:cs="Arial"/>
        </w:rPr>
        <w:footnoteRef/>
      </w:r>
      <w:r w:rsidRPr="005C6F29">
        <w:rPr>
          <w:rFonts w:ascii="Arial" w:hAnsi="Arial" w:cs="Arial"/>
        </w:rPr>
        <w:t xml:space="preserve"> </w:t>
      </w:r>
      <w:proofErr w:type="spellStart"/>
      <w:r w:rsidRPr="005C6F29">
        <w:rPr>
          <w:rFonts w:ascii="Arial" w:hAnsi="Arial" w:cs="Arial"/>
        </w:rPr>
        <w:t>Khumalo</w:t>
      </w:r>
      <w:proofErr w:type="spellEnd"/>
      <w:r w:rsidRPr="005C6F29">
        <w:rPr>
          <w:rFonts w:ascii="Arial" w:hAnsi="Arial" w:cs="Arial"/>
        </w:rPr>
        <w:t xml:space="preserve"> v </w:t>
      </w:r>
      <w:proofErr w:type="spellStart"/>
      <w:r w:rsidRPr="005C6F29">
        <w:rPr>
          <w:rFonts w:ascii="Arial" w:hAnsi="Arial" w:cs="Arial"/>
        </w:rPr>
        <w:t>Holomisa</w:t>
      </w:r>
      <w:proofErr w:type="spellEnd"/>
      <w:r w:rsidR="00171B99">
        <w:rPr>
          <w:rFonts w:ascii="Arial" w:hAnsi="Arial" w:cs="Arial"/>
        </w:rPr>
        <w:t xml:space="preserve"> (supra)</w:t>
      </w:r>
      <w:r w:rsidRPr="005C6F29">
        <w:rPr>
          <w:rFonts w:ascii="Arial" w:hAnsi="Arial" w:cs="Arial"/>
        </w:rPr>
        <w:t xml:space="preserve"> at paragraph 27. (footnotes omitted).</w:t>
      </w:r>
    </w:p>
  </w:footnote>
  <w:footnote w:id="7">
    <w:p w:rsidR="00B763F5" w:rsidRDefault="00B763F5" w:rsidP="008F055F">
      <w:pPr>
        <w:pStyle w:val="FootnoteText"/>
      </w:pPr>
      <w:r>
        <w:rPr>
          <w:rStyle w:val="FootnoteReference"/>
        </w:rPr>
        <w:footnoteRef/>
      </w:r>
      <w:r>
        <w:t xml:space="preserve"> Act 66 of 1995. </w:t>
      </w:r>
    </w:p>
  </w:footnote>
  <w:footnote w:id="8">
    <w:p w:rsidR="00B763F5" w:rsidRDefault="00B763F5">
      <w:pPr>
        <w:pStyle w:val="FootnoteText"/>
      </w:pPr>
      <w:r>
        <w:rPr>
          <w:rStyle w:val="FootnoteReference"/>
        </w:rPr>
        <w:footnoteRef/>
      </w:r>
      <w:r>
        <w:t xml:space="preserve"> Andr</w:t>
      </w:r>
      <w:r>
        <w:rPr>
          <w:rFonts w:cstheme="minorHAnsi"/>
        </w:rPr>
        <w:t>é</w:t>
      </w:r>
      <w:r>
        <w:t xml:space="preserve"> </w:t>
      </w:r>
      <w:proofErr w:type="spellStart"/>
      <w:r>
        <w:t>Mukheibir</w:t>
      </w:r>
      <w:proofErr w:type="spellEnd"/>
      <w:r>
        <w:t xml:space="preserve"> (2022) Obiter, 25(2); https//doi.org/10.17159/</w:t>
      </w:r>
      <w:proofErr w:type="gramStart"/>
      <w:r>
        <w:t>obiter.v</w:t>
      </w:r>
      <w:proofErr w:type="gramEnd"/>
      <w:r>
        <w:t>25i2.14.865.</w:t>
      </w:r>
    </w:p>
  </w:footnote>
  <w:footnote w:id="9">
    <w:p w:rsidR="00B763F5" w:rsidRDefault="00B763F5" w:rsidP="008C60B5">
      <w:pPr>
        <w:pStyle w:val="FootnoteText"/>
      </w:pPr>
      <w:r>
        <w:rPr>
          <w:rStyle w:val="FootnoteReference"/>
        </w:rPr>
        <w:footnoteRef/>
      </w:r>
      <w:r>
        <w:t xml:space="preserve"> 2002 (6) SA 512 (W).</w:t>
      </w:r>
    </w:p>
  </w:footnote>
  <w:footnote w:id="10">
    <w:p w:rsidR="00B763F5" w:rsidRDefault="00B763F5">
      <w:pPr>
        <w:pStyle w:val="FootnoteText"/>
      </w:pPr>
      <w:r>
        <w:rPr>
          <w:rStyle w:val="FootnoteReference"/>
        </w:rPr>
        <w:footnoteRef/>
      </w:r>
      <w:r>
        <w:t xml:space="preserve"> Mineworkers Investments (supra) at page 23 -24. </w:t>
      </w:r>
    </w:p>
  </w:footnote>
  <w:footnote w:id="11">
    <w:p w:rsidR="00B763F5" w:rsidRDefault="00B763F5">
      <w:pPr>
        <w:pStyle w:val="FootnoteText"/>
      </w:pPr>
      <w:r>
        <w:rPr>
          <w:rStyle w:val="FootnoteReference"/>
        </w:rPr>
        <w:footnoteRef/>
      </w:r>
      <w:r>
        <w:t xml:space="preserve"> 2004 (3) SA 46 (C).</w:t>
      </w:r>
    </w:p>
  </w:footnote>
  <w:footnote w:id="12">
    <w:p w:rsidR="00B763F5" w:rsidRPr="00630CFA" w:rsidRDefault="00B763F5">
      <w:pPr>
        <w:pStyle w:val="FootnoteText"/>
        <w:rPr>
          <w:rFonts w:ascii="Arial" w:hAnsi="Arial" w:cs="Arial"/>
        </w:rPr>
      </w:pPr>
      <w:r w:rsidRPr="00630CFA">
        <w:rPr>
          <w:rStyle w:val="FootnoteReference"/>
          <w:rFonts w:ascii="Arial" w:hAnsi="Arial" w:cs="Arial"/>
        </w:rPr>
        <w:footnoteRef/>
      </w:r>
      <w:r w:rsidRPr="00630CFA">
        <w:rPr>
          <w:rFonts w:ascii="Arial" w:hAnsi="Arial" w:cs="Arial"/>
        </w:rPr>
        <w:t xml:space="preserve"> 2004 (6) SA 329 (SCA)</w:t>
      </w:r>
      <w:r w:rsidR="00CE1286">
        <w:rPr>
          <w:rFonts w:ascii="Arial" w:hAnsi="Arial" w:cs="Arial"/>
        </w:rPr>
        <w:t>.</w:t>
      </w:r>
      <w:r w:rsidRPr="00630CFA">
        <w:rPr>
          <w:rFonts w:ascii="Arial" w:hAnsi="Arial" w:cs="Arial"/>
        </w:rPr>
        <w:t xml:space="preserve"> </w:t>
      </w:r>
    </w:p>
  </w:footnote>
  <w:footnote w:id="13">
    <w:p w:rsidR="00B763F5" w:rsidRPr="00630CFA" w:rsidRDefault="00B763F5">
      <w:pPr>
        <w:pStyle w:val="FootnoteText"/>
        <w:rPr>
          <w:rFonts w:ascii="Arial" w:hAnsi="Arial" w:cs="Arial"/>
        </w:rPr>
      </w:pPr>
      <w:r w:rsidRPr="00630CFA">
        <w:rPr>
          <w:rStyle w:val="FootnoteReference"/>
          <w:rFonts w:ascii="Arial" w:hAnsi="Arial" w:cs="Arial"/>
        </w:rPr>
        <w:footnoteRef/>
      </w:r>
      <w:r w:rsidRPr="00630CFA">
        <w:rPr>
          <w:rFonts w:ascii="Arial" w:hAnsi="Arial" w:cs="Arial"/>
        </w:rPr>
        <w:t xml:space="preserve"> </w:t>
      </w:r>
      <w:proofErr w:type="spellStart"/>
      <w:r w:rsidRPr="00630CFA">
        <w:rPr>
          <w:rFonts w:ascii="Arial" w:hAnsi="Arial" w:cs="Arial"/>
        </w:rPr>
        <w:t>Mthembi-Mahanyelle</w:t>
      </w:r>
      <w:proofErr w:type="spellEnd"/>
      <w:r w:rsidRPr="00630CFA">
        <w:rPr>
          <w:rFonts w:ascii="Arial" w:hAnsi="Arial" w:cs="Arial"/>
        </w:rPr>
        <w:t xml:space="preserve"> v Mail and Guardian (supra) at [75]</w:t>
      </w:r>
      <w:proofErr w:type="gramStart"/>
      <w:r w:rsidRPr="00630CFA">
        <w:rPr>
          <w:rFonts w:ascii="Arial" w:hAnsi="Arial" w:cs="Arial"/>
        </w:rPr>
        <w:t>-[</w:t>
      </w:r>
      <w:proofErr w:type="gramEnd"/>
      <w:r w:rsidRPr="00630CFA">
        <w:rPr>
          <w:rFonts w:ascii="Arial" w:hAnsi="Arial" w:cs="Arial"/>
        </w:rPr>
        <w:t>76].</w:t>
      </w:r>
    </w:p>
  </w:footnote>
  <w:footnote w:id="14">
    <w:p w:rsidR="00B763F5" w:rsidRPr="00630CFA" w:rsidRDefault="00B763F5">
      <w:pPr>
        <w:pStyle w:val="FootnoteText"/>
        <w:rPr>
          <w:rFonts w:ascii="Arial" w:hAnsi="Arial" w:cs="Arial"/>
        </w:rPr>
      </w:pPr>
      <w:r w:rsidRPr="00630CFA">
        <w:rPr>
          <w:rStyle w:val="FootnoteReference"/>
          <w:rFonts w:ascii="Arial" w:hAnsi="Arial" w:cs="Arial"/>
        </w:rPr>
        <w:footnoteRef/>
      </w:r>
      <w:r w:rsidRPr="00630CFA">
        <w:rPr>
          <w:rFonts w:ascii="Arial" w:hAnsi="Arial" w:cs="Arial"/>
        </w:rPr>
        <w:t xml:space="preserve"> [2005] 3 All SA 457 (W)</w:t>
      </w:r>
      <w:r w:rsidR="00CE1286">
        <w:rPr>
          <w:rFonts w:ascii="Arial" w:hAnsi="Arial" w:cs="Arial"/>
        </w:rPr>
        <w:t>.</w:t>
      </w:r>
      <w:r w:rsidRPr="00630CFA">
        <w:rPr>
          <w:rFonts w:ascii="Arial" w:hAnsi="Arial" w:cs="Arial"/>
        </w:rPr>
        <w:t xml:space="preserve"> </w:t>
      </w:r>
    </w:p>
  </w:footnote>
  <w:footnote w:id="15">
    <w:p w:rsidR="00B763F5" w:rsidRPr="00630CFA" w:rsidRDefault="00B763F5">
      <w:pPr>
        <w:pStyle w:val="FootnoteText"/>
        <w:rPr>
          <w:rFonts w:ascii="Arial" w:hAnsi="Arial" w:cs="Arial"/>
        </w:rPr>
      </w:pPr>
      <w:r w:rsidRPr="00630CFA">
        <w:rPr>
          <w:rStyle w:val="FootnoteReference"/>
          <w:rFonts w:ascii="Arial" w:hAnsi="Arial" w:cs="Arial"/>
        </w:rPr>
        <w:footnoteRef/>
      </w:r>
      <w:r w:rsidRPr="00630CFA">
        <w:rPr>
          <w:rFonts w:ascii="Arial" w:hAnsi="Arial" w:cs="Arial"/>
        </w:rPr>
        <w:t xml:space="preserve"> (5395/2022) [2023] ZAFSHC 104 (6 April 2023)</w:t>
      </w:r>
      <w:r w:rsidR="00CE1286">
        <w:rPr>
          <w:rFonts w:ascii="Arial" w:hAnsi="Arial" w:cs="Arial"/>
        </w:rPr>
        <w:t>.</w:t>
      </w:r>
    </w:p>
  </w:footnote>
  <w:footnote w:id="16">
    <w:p w:rsidR="00B763F5" w:rsidRPr="00630CFA" w:rsidRDefault="00B763F5">
      <w:pPr>
        <w:pStyle w:val="FootnoteText"/>
        <w:rPr>
          <w:rFonts w:ascii="Arial" w:hAnsi="Arial" w:cs="Arial"/>
        </w:rPr>
      </w:pPr>
      <w:r w:rsidRPr="00630CFA">
        <w:rPr>
          <w:rStyle w:val="FootnoteReference"/>
          <w:rFonts w:ascii="Arial" w:hAnsi="Arial" w:cs="Arial"/>
        </w:rPr>
        <w:footnoteRef/>
      </w:r>
      <w:r w:rsidRPr="00630CFA">
        <w:rPr>
          <w:rFonts w:ascii="Arial" w:hAnsi="Arial" w:cs="Arial"/>
        </w:rPr>
        <w:t xml:space="preserve"> 2020 (5) SA 135 (SCA) at [20] and [28].</w:t>
      </w:r>
    </w:p>
  </w:footnote>
  <w:footnote w:id="17">
    <w:p w:rsidR="00B763F5" w:rsidRPr="00630CFA" w:rsidRDefault="00B763F5">
      <w:pPr>
        <w:pStyle w:val="FootnoteText"/>
        <w:rPr>
          <w:rFonts w:ascii="Arial" w:hAnsi="Arial" w:cs="Arial"/>
        </w:rPr>
      </w:pPr>
      <w:r w:rsidRPr="00630CFA">
        <w:rPr>
          <w:rStyle w:val="FootnoteReference"/>
          <w:rFonts w:ascii="Arial" w:hAnsi="Arial" w:cs="Arial"/>
        </w:rPr>
        <w:footnoteRef/>
      </w:r>
      <w:r w:rsidRPr="00630CFA">
        <w:rPr>
          <w:rFonts w:ascii="Arial" w:hAnsi="Arial" w:cs="Arial"/>
        </w:rPr>
        <w:t xml:space="preserve"> 2006 (6) SA 235 (CC)</w:t>
      </w:r>
      <w:r w:rsidR="00630CFA">
        <w:rPr>
          <w:rFonts w:ascii="Arial" w:hAnsi="Arial" w:cs="Arial"/>
        </w:rPr>
        <w:t>.</w:t>
      </w:r>
    </w:p>
  </w:footnote>
  <w:footnote w:id="18">
    <w:p w:rsidR="00B763F5" w:rsidRPr="00630CFA" w:rsidRDefault="00B763F5">
      <w:pPr>
        <w:pStyle w:val="FootnoteText"/>
        <w:rPr>
          <w:rFonts w:ascii="Arial" w:hAnsi="Arial" w:cs="Arial"/>
        </w:rPr>
      </w:pPr>
      <w:r w:rsidRPr="00630CFA">
        <w:rPr>
          <w:rStyle w:val="FootnoteReference"/>
          <w:rFonts w:ascii="Arial" w:hAnsi="Arial" w:cs="Arial"/>
        </w:rPr>
        <w:footnoteRef/>
      </w:r>
      <w:r w:rsidRPr="00630CFA">
        <w:rPr>
          <w:rFonts w:ascii="Arial" w:hAnsi="Arial" w:cs="Arial"/>
        </w:rPr>
        <w:t xml:space="preserve"> At paragraph 111.</w:t>
      </w:r>
    </w:p>
  </w:footnote>
  <w:footnote w:id="19">
    <w:p w:rsidR="00B763F5" w:rsidRPr="00630CFA" w:rsidRDefault="00B763F5">
      <w:pPr>
        <w:pStyle w:val="FootnoteText"/>
        <w:rPr>
          <w:rFonts w:ascii="Arial" w:hAnsi="Arial" w:cs="Arial"/>
        </w:rPr>
      </w:pPr>
      <w:r w:rsidRPr="00630CFA">
        <w:rPr>
          <w:rStyle w:val="FootnoteReference"/>
          <w:rFonts w:ascii="Arial" w:hAnsi="Arial" w:cs="Arial"/>
        </w:rPr>
        <w:footnoteRef/>
      </w:r>
      <w:r w:rsidRPr="00630CFA">
        <w:rPr>
          <w:rFonts w:ascii="Arial" w:hAnsi="Arial" w:cs="Arial"/>
        </w:rPr>
        <w:t xml:space="preserve"> 2010 (6</w:t>
      </w:r>
      <w:r w:rsidR="00CE1286">
        <w:rPr>
          <w:rFonts w:ascii="Arial" w:hAnsi="Arial" w:cs="Arial"/>
        </w:rPr>
        <w:t>)</w:t>
      </w:r>
      <w:r w:rsidRPr="00630CFA">
        <w:rPr>
          <w:rFonts w:ascii="Arial" w:hAnsi="Arial" w:cs="Arial"/>
        </w:rPr>
        <w:t xml:space="preserve"> SA 512 (SCA) at [11].</w:t>
      </w:r>
    </w:p>
  </w:footnote>
  <w:footnote w:id="20">
    <w:p w:rsidR="00B763F5" w:rsidRPr="00630CFA" w:rsidRDefault="00B763F5">
      <w:pPr>
        <w:pStyle w:val="FootnoteText"/>
        <w:rPr>
          <w:rFonts w:ascii="Arial" w:hAnsi="Arial" w:cs="Arial"/>
        </w:rPr>
      </w:pPr>
      <w:r w:rsidRPr="00630CFA">
        <w:rPr>
          <w:rStyle w:val="FootnoteReference"/>
          <w:rFonts w:ascii="Arial" w:hAnsi="Arial" w:cs="Arial"/>
        </w:rPr>
        <w:footnoteRef/>
      </w:r>
      <w:r w:rsidRPr="00630CFA">
        <w:rPr>
          <w:rFonts w:ascii="Arial" w:hAnsi="Arial" w:cs="Arial"/>
        </w:rPr>
        <w:t xml:space="preserve">  At paragraph 129.</w:t>
      </w:r>
    </w:p>
  </w:footnote>
  <w:footnote w:id="21">
    <w:p w:rsidR="00B763F5" w:rsidRPr="00630CFA" w:rsidRDefault="00B763F5">
      <w:pPr>
        <w:pStyle w:val="FootnoteText"/>
        <w:rPr>
          <w:rFonts w:ascii="Arial" w:hAnsi="Arial" w:cs="Arial"/>
        </w:rPr>
      </w:pPr>
      <w:r w:rsidRPr="00630CFA">
        <w:rPr>
          <w:rStyle w:val="FootnoteReference"/>
          <w:rFonts w:ascii="Arial" w:hAnsi="Arial" w:cs="Arial"/>
        </w:rPr>
        <w:footnoteRef/>
      </w:r>
      <w:r w:rsidRPr="00630CFA">
        <w:rPr>
          <w:rFonts w:ascii="Arial" w:hAnsi="Arial" w:cs="Arial"/>
        </w:rPr>
        <w:t xml:space="preserve"> At [202].</w:t>
      </w:r>
    </w:p>
  </w:footnote>
  <w:footnote w:id="22">
    <w:p w:rsidR="00B763F5" w:rsidRPr="00630CFA" w:rsidRDefault="00B763F5" w:rsidP="008F055F">
      <w:pPr>
        <w:pStyle w:val="FootnoteText"/>
        <w:rPr>
          <w:rFonts w:ascii="Arial" w:hAnsi="Arial" w:cs="Arial"/>
        </w:rPr>
      </w:pPr>
      <w:r w:rsidRPr="00630CFA">
        <w:rPr>
          <w:rStyle w:val="FootnoteReference"/>
          <w:rFonts w:ascii="Arial" w:hAnsi="Arial" w:cs="Arial"/>
        </w:rPr>
        <w:footnoteRef/>
      </w:r>
      <w:r w:rsidRPr="00630CFA">
        <w:rPr>
          <w:rFonts w:ascii="Arial" w:hAnsi="Arial" w:cs="Arial"/>
        </w:rPr>
        <w:t xml:space="preserve"> </w:t>
      </w:r>
      <w:proofErr w:type="spellStart"/>
      <w:proofErr w:type="gramStart"/>
      <w:r w:rsidRPr="00630CFA">
        <w:rPr>
          <w:rFonts w:ascii="Arial" w:hAnsi="Arial" w:cs="Arial"/>
        </w:rPr>
        <w:t>Juta</w:t>
      </w:r>
      <w:proofErr w:type="spellEnd"/>
      <w:r w:rsidRPr="00630CFA">
        <w:rPr>
          <w:rFonts w:ascii="Arial" w:hAnsi="Arial" w:cs="Arial"/>
        </w:rPr>
        <w:t xml:space="preserve">  (</w:t>
      </w:r>
      <w:proofErr w:type="gramEnd"/>
      <w:r w:rsidRPr="00630CFA">
        <w:rPr>
          <w:rFonts w:ascii="Arial" w:hAnsi="Arial" w:cs="Arial"/>
        </w:rPr>
        <w:t>Ninth Edition), 2007  at p3.</w:t>
      </w:r>
    </w:p>
  </w:footnote>
  <w:footnote w:id="23">
    <w:p w:rsidR="00B763F5" w:rsidRPr="00630CFA" w:rsidRDefault="00B763F5" w:rsidP="008F055F">
      <w:pPr>
        <w:pStyle w:val="FootnoteText"/>
        <w:rPr>
          <w:rFonts w:ascii="Arial" w:hAnsi="Arial" w:cs="Arial"/>
        </w:rPr>
      </w:pPr>
      <w:r w:rsidRPr="00630CFA">
        <w:rPr>
          <w:rStyle w:val="FootnoteReference"/>
          <w:rFonts w:ascii="Arial" w:hAnsi="Arial" w:cs="Arial"/>
        </w:rPr>
        <w:footnoteRef/>
      </w:r>
      <w:r w:rsidRPr="00630CFA">
        <w:rPr>
          <w:rFonts w:ascii="Arial" w:hAnsi="Arial" w:cs="Arial"/>
        </w:rPr>
        <w:t xml:space="preserve"> </w:t>
      </w:r>
      <w:proofErr w:type="spellStart"/>
      <w:r w:rsidRPr="00630CFA">
        <w:rPr>
          <w:rFonts w:ascii="Arial" w:hAnsi="Arial" w:cs="Arial"/>
        </w:rPr>
        <w:t>Wille</w:t>
      </w:r>
      <w:proofErr w:type="spellEnd"/>
      <w:r w:rsidRPr="00630CFA">
        <w:rPr>
          <w:rFonts w:ascii="Arial" w:hAnsi="Arial" w:cs="Arial"/>
        </w:rPr>
        <w:t xml:space="preserve"> (supra) at p 15. </w:t>
      </w:r>
    </w:p>
  </w:footnote>
  <w:footnote w:id="24">
    <w:p w:rsidR="00B763F5" w:rsidRPr="00630CFA" w:rsidRDefault="00B763F5">
      <w:pPr>
        <w:pStyle w:val="FootnoteText"/>
        <w:rPr>
          <w:rFonts w:ascii="Arial" w:hAnsi="Arial" w:cs="Arial"/>
        </w:rPr>
      </w:pPr>
      <w:r w:rsidRPr="00630CFA">
        <w:rPr>
          <w:rStyle w:val="FootnoteReference"/>
          <w:rFonts w:ascii="Arial" w:hAnsi="Arial" w:cs="Arial"/>
        </w:rPr>
        <w:footnoteRef/>
      </w:r>
      <w:r w:rsidRPr="00630CFA">
        <w:rPr>
          <w:rFonts w:ascii="Arial" w:hAnsi="Arial" w:cs="Arial"/>
        </w:rPr>
        <w:t xml:space="preserve"> Zimmerman</w:t>
      </w:r>
      <w:r w:rsidR="00CE1286">
        <w:rPr>
          <w:rFonts w:ascii="Arial" w:hAnsi="Arial" w:cs="Arial"/>
        </w:rPr>
        <w:t>;</w:t>
      </w:r>
      <w:r w:rsidRPr="00630CFA">
        <w:rPr>
          <w:rFonts w:ascii="Arial" w:hAnsi="Arial" w:cs="Arial"/>
        </w:rPr>
        <w:t xml:space="preserve"> The Law of Obligations –Roman Foundations of the Civilian Tradition (1990) at 1072.  </w:t>
      </w:r>
    </w:p>
  </w:footnote>
  <w:footnote w:id="25">
    <w:p w:rsidR="00B763F5" w:rsidRPr="00630CFA" w:rsidRDefault="00B763F5">
      <w:pPr>
        <w:pStyle w:val="FootnoteText"/>
        <w:rPr>
          <w:rFonts w:ascii="Arial" w:hAnsi="Arial" w:cs="Arial"/>
        </w:rPr>
      </w:pPr>
      <w:r w:rsidRPr="00630CFA">
        <w:rPr>
          <w:rStyle w:val="FootnoteReference"/>
          <w:rFonts w:ascii="Arial" w:hAnsi="Arial" w:cs="Arial"/>
        </w:rPr>
        <w:footnoteRef/>
      </w:r>
      <w:r w:rsidRPr="00630CFA">
        <w:rPr>
          <w:rFonts w:ascii="Arial" w:hAnsi="Arial" w:cs="Arial"/>
        </w:rPr>
        <w:t xml:space="preserve"> </w:t>
      </w:r>
      <w:proofErr w:type="spellStart"/>
      <w:r w:rsidRPr="00630CFA">
        <w:rPr>
          <w:rFonts w:ascii="Arial" w:hAnsi="Arial" w:cs="Arial"/>
        </w:rPr>
        <w:t>Dikoko</w:t>
      </w:r>
      <w:proofErr w:type="spellEnd"/>
      <w:r w:rsidRPr="00630CFA">
        <w:rPr>
          <w:rFonts w:ascii="Arial" w:hAnsi="Arial" w:cs="Arial"/>
        </w:rPr>
        <w:t xml:space="preserve"> v </w:t>
      </w:r>
      <w:proofErr w:type="spellStart"/>
      <w:r w:rsidRPr="00630CFA">
        <w:rPr>
          <w:rFonts w:ascii="Arial" w:hAnsi="Arial" w:cs="Arial"/>
        </w:rPr>
        <w:t>Mokhatla</w:t>
      </w:r>
      <w:proofErr w:type="spellEnd"/>
      <w:r w:rsidRPr="00630CFA">
        <w:rPr>
          <w:rFonts w:ascii="Arial" w:hAnsi="Arial" w:cs="Arial"/>
        </w:rPr>
        <w:t xml:space="preserve"> at par 111</w:t>
      </w:r>
      <w:r w:rsidR="008C5226">
        <w:rPr>
          <w:rFonts w:ascii="Arial" w:hAnsi="Arial" w:cs="Arial"/>
        </w:rPr>
        <w:t>.</w:t>
      </w:r>
    </w:p>
  </w:footnote>
  <w:footnote w:id="26">
    <w:p w:rsidR="00CE1286" w:rsidRDefault="00B763F5">
      <w:pPr>
        <w:pStyle w:val="FootnoteText"/>
        <w:rPr>
          <w:rFonts w:ascii="Arial" w:hAnsi="Arial" w:cs="Arial"/>
        </w:rPr>
      </w:pPr>
      <w:r w:rsidRPr="00630CFA">
        <w:rPr>
          <w:rStyle w:val="FootnoteReference"/>
          <w:rFonts w:ascii="Arial" w:hAnsi="Arial" w:cs="Arial"/>
        </w:rPr>
        <w:footnoteRef/>
      </w:r>
      <w:r w:rsidRPr="00630CFA">
        <w:rPr>
          <w:rFonts w:ascii="Arial" w:hAnsi="Arial" w:cs="Arial"/>
        </w:rPr>
        <w:t xml:space="preserve"> National Media Ltd v </w:t>
      </w:r>
      <w:proofErr w:type="spellStart"/>
      <w:r w:rsidRPr="00630CFA">
        <w:rPr>
          <w:rFonts w:ascii="Arial" w:hAnsi="Arial" w:cs="Arial"/>
        </w:rPr>
        <w:t>Bogoshi</w:t>
      </w:r>
      <w:proofErr w:type="spellEnd"/>
      <w:r w:rsidRPr="00630CFA">
        <w:rPr>
          <w:rFonts w:ascii="Arial" w:hAnsi="Arial" w:cs="Arial"/>
        </w:rPr>
        <w:t xml:space="preserve"> 1998 (4) SA 1196 (SCA); Mineworkers Investments Co (Pty) Ltd v </w:t>
      </w:r>
      <w:proofErr w:type="spellStart"/>
      <w:r w:rsidRPr="00630CFA">
        <w:rPr>
          <w:rFonts w:ascii="Arial" w:hAnsi="Arial" w:cs="Arial"/>
        </w:rPr>
        <w:t>Modibane</w:t>
      </w:r>
      <w:proofErr w:type="spellEnd"/>
      <w:r w:rsidRPr="00630CFA">
        <w:rPr>
          <w:rFonts w:ascii="Arial" w:hAnsi="Arial" w:cs="Arial"/>
        </w:rPr>
        <w:t xml:space="preserve"> </w:t>
      </w:r>
      <w:r w:rsidR="00CE1286">
        <w:rPr>
          <w:rFonts w:ascii="Arial" w:hAnsi="Arial" w:cs="Arial"/>
        </w:rPr>
        <w:t xml:space="preserve">     </w:t>
      </w:r>
    </w:p>
    <w:p w:rsidR="00B763F5" w:rsidRPr="00630CFA" w:rsidRDefault="00CE1286">
      <w:pPr>
        <w:pStyle w:val="FootnoteText"/>
        <w:rPr>
          <w:rFonts w:ascii="Arial" w:hAnsi="Arial" w:cs="Arial"/>
        </w:rPr>
      </w:pPr>
      <w:r>
        <w:rPr>
          <w:rFonts w:ascii="Arial" w:hAnsi="Arial" w:cs="Arial"/>
        </w:rPr>
        <w:t xml:space="preserve">    </w:t>
      </w:r>
      <w:r w:rsidR="00B763F5" w:rsidRPr="00630CFA">
        <w:rPr>
          <w:rFonts w:ascii="Arial" w:hAnsi="Arial" w:cs="Arial"/>
        </w:rPr>
        <w:t>2002 (6) SA 512 (W).</w:t>
      </w:r>
    </w:p>
  </w:footnote>
  <w:footnote w:id="27">
    <w:p w:rsidR="00B763F5" w:rsidRPr="00630CFA" w:rsidRDefault="00B763F5">
      <w:pPr>
        <w:pStyle w:val="FootnoteText"/>
        <w:rPr>
          <w:rFonts w:ascii="Arial" w:hAnsi="Arial" w:cs="Arial"/>
        </w:rPr>
      </w:pPr>
      <w:r w:rsidRPr="00630CFA">
        <w:rPr>
          <w:rStyle w:val="FootnoteReference"/>
          <w:rFonts w:ascii="Arial" w:hAnsi="Arial" w:cs="Arial"/>
        </w:rPr>
        <w:footnoteRef/>
      </w:r>
      <w:r w:rsidRPr="00630CFA">
        <w:rPr>
          <w:rFonts w:ascii="Arial" w:hAnsi="Arial" w:cs="Arial"/>
        </w:rPr>
        <w:t xml:space="preserve"> </w:t>
      </w:r>
      <w:proofErr w:type="spellStart"/>
      <w:r w:rsidRPr="00630CFA">
        <w:rPr>
          <w:rFonts w:ascii="Arial" w:hAnsi="Arial" w:cs="Arial"/>
        </w:rPr>
        <w:t>Wille’s</w:t>
      </w:r>
      <w:proofErr w:type="spellEnd"/>
      <w:r w:rsidRPr="00630CFA">
        <w:rPr>
          <w:rFonts w:ascii="Arial" w:hAnsi="Arial" w:cs="Arial"/>
        </w:rPr>
        <w:t xml:space="preserve"> </w:t>
      </w:r>
      <w:proofErr w:type="spellStart"/>
      <w:r w:rsidRPr="00630CFA">
        <w:rPr>
          <w:rFonts w:ascii="Arial" w:hAnsi="Arial" w:cs="Arial"/>
        </w:rPr>
        <w:t>Prinicples</w:t>
      </w:r>
      <w:proofErr w:type="spellEnd"/>
      <w:r w:rsidRPr="00630CFA">
        <w:rPr>
          <w:rFonts w:ascii="Arial" w:hAnsi="Arial" w:cs="Arial"/>
        </w:rPr>
        <w:t xml:space="preserve"> of South African Law p 1166</w:t>
      </w:r>
      <w:r w:rsidR="008C5226">
        <w:rPr>
          <w:rFonts w:ascii="Arial" w:hAnsi="Arial" w:cs="Arial"/>
        </w:rPr>
        <w:t>.</w:t>
      </w:r>
    </w:p>
  </w:footnote>
  <w:footnote w:id="28">
    <w:p w:rsidR="00B763F5" w:rsidRPr="00630CFA" w:rsidRDefault="00B763F5" w:rsidP="00E769D5">
      <w:pPr>
        <w:pStyle w:val="FootnoteText"/>
        <w:rPr>
          <w:rFonts w:ascii="Arial" w:hAnsi="Arial" w:cs="Arial"/>
        </w:rPr>
      </w:pPr>
      <w:r w:rsidRPr="00630CFA">
        <w:rPr>
          <w:rStyle w:val="FootnoteReference"/>
          <w:rFonts w:ascii="Arial" w:hAnsi="Arial" w:cs="Arial"/>
        </w:rPr>
        <w:footnoteRef/>
      </w:r>
      <w:r w:rsidRPr="00630CFA">
        <w:rPr>
          <w:rFonts w:ascii="Arial" w:hAnsi="Arial" w:cs="Arial"/>
        </w:rPr>
        <w:t xml:space="preserve"> Erasmus v </w:t>
      </w:r>
      <w:proofErr w:type="spellStart"/>
      <w:r w:rsidRPr="00630CFA">
        <w:rPr>
          <w:rFonts w:ascii="Arial" w:hAnsi="Arial" w:cs="Arial"/>
        </w:rPr>
        <w:t>Grunow</w:t>
      </w:r>
      <w:proofErr w:type="spellEnd"/>
      <w:r w:rsidRPr="00630CFA">
        <w:rPr>
          <w:rFonts w:ascii="Arial" w:hAnsi="Arial" w:cs="Arial"/>
        </w:rPr>
        <w:t xml:space="preserve"> 1980 (2) SA 793 (O) at 798 B-C. </w:t>
      </w:r>
    </w:p>
  </w:footnote>
  <w:footnote w:id="29">
    <w:p w:rsidR="00B763F5" w:rsidRPr="00630CFA" w:rsidRDefault="00B763F5" w:rsidP="00E769D5">
      <w:pPr>
        <w:pStyle w:val="FootnoteText"/>
        <w:rPr>
          <w:rFonts w:ascii="Arial" w:hAnsi="Arial" w:cs="Arial"/>
        </w:rPr>
      </w:pPr>
      <w:r w:rsidRPr="00630CFA">
        <w:rPr>
          <w:rStyle w:val="FootnoteReference"/>
          <w:rFonts w:ascii="Arial" w:hAnsi="Arial" w:cs="Arial"/>
        </w:rPr>
        <w:footnoteRef/>
      </w:r>
      <w:r w:rsidRPr="00630CFA">
        <w:rPr>
          <w:rFonts w:ascii="Arial" w:hAnsi="Arial" w:cs="Arial"/>
        </w:rPr>
        <w:t xml:space="preserve"> </w:t>
      </w:r>
      <w:r w:rsidRPr="00630CFA">
        <w:rPr>
          <w:rFonts w:ascii="Arial" w:eastAsiaTheme="minorEastAsia" w:hAnsi="Arial" w:cs="Arial"/>
          <w:color w:val="333333"/>
          <w:lang w:eastAsia="en-ZA"/>
        </w:rPr>
        <w:t>Union Government v Heiberg 1919 AD 477 at 484.</w:t>
      </w:r>
    </w:p>
  </w:footnote>
  <w:footnote w:id="30">
    <w:p w:rsidR="00B763F5" w:rsidRDefault="00B763F5" w:rsidP="008D634F">
      <w:pPr>
        <w:pStyle w:val="FootnoteText"/>
        <w:spacing w:after="120"/>
      </w:pPr>
      <w:r w:rsidRPr="00630CFA">
        <w:rPr>
          <w:rStyle w:val="FootnoteReference"/>
          <w:rFonts w:ascii="Arial" w:hAnsi="Arial" w:cs="Arial"/>
        </w:rPr>
        <w:footnoteRef/>
      </w:r>
      <w:r w:rsidRPr="00630CFA">
        <w:rPr>
          <w:rFonts w:ascii="Arial" w:hAnsi="Arial" w:cs="Arial"/>
        </w:rPr>
        <w:t xml:space="preserve">  See Omega Africa Plastics (Pty) Ltd v </w:t>
      </w:r>
      <w:proofErr w:type="spellStart"/>
      <w:r w:rsidRPr="00630CFA">
        <w:rPr>
          <w:rFonts w:ascii="Arial" w:hAnsi="Arial" w:cs="Arial"/>
        </w:rPr>
        <w:t>Swisstool</w:t>
      </w:r>
      <w:proofErr w:type="spellEnd"/>
      <w:r w:rsidRPr="00630CFA">
        <w:rPr>
          <w:rFonts w:ascii="Arial" w:hAnsi="Arial" w:cs="Arial"/>
        </w:rPr>
        <w:t xml:space="preserve"> Manufacturing Co (Pty) Ltd 1978 (4) SA 675 (A) at 678H.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642698"/>
      <w:docPartObj>
        <w:docPartGallery w:val="Page Numbers (Top of Page)"/>
        <w:docPartUnique/>
      </w:docPartObj>
    </w:sdtPr>
    <w:sdtEndPr>
      <w:rPr>
        <w:noProof/>
      </w:rPr>
    </w:sdtEndPr>
    <w:sdtContent>
      <w:p w:rsidR="00B763F5" w:rsidRDefault="00B763F5">
        <w:pPr>
          <w:pStyle w:val="Header"/>
          <w:jc w:val="right"/>
        </w:pPr>
        <w:r>
          <w:fldChar w:fldCharType="begin"/>
        </w:r>
        <w:r>
          <w:instrText xml:space="preserve"> PAGE   \* MERGEFORMAT </w:instrText>
        </w:r>
        <w:r>
          <w:fldChar w:fldCharType="separate"/>
        </w:r>
        <w:r w:rsidR="00307990">
          <w:rPr>
            <w:noProof/>
          </w:rPr>
          <w:t>21</w:t>
        </w:r>
        <w:r>
          <w:rPr>
            <w:noProof/>
          </w:rPr>
          <w:fldChar w:fldCharType="end"/>
        </w:r>
      </w:p>
    </w:sdtContent>
  </w:sdt>
  <w:p w:rsidR="00B763F5" w:rsidRDefault="00B763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4"/>
    <w:lvl w:ilvl="0">
      <w:start w:val="1"/>
      <w:numFmt w:val="decimal"/>
      <w:lvlText w:val="%1]"/>
      <w:lvlJc w:val="left"/>
      <w:pPr>
        <w:ind w:left="540"/>
      </w:pPr>
      <w:rPr>
        <w:color w:val="000000"/>
        <w:sz w:val="26"/>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0000002"/>
    <w:multiLevelType w:val="multilevel"/>
    <w:tmpl w:val="00000002"/>
    <w:name w:val="WW8Num2"/>
    <w:lvl w:ilvl="0">
      <w:start w:val="3"/>
      <w:numFmt w:val="decimal"/>
      <w:lvlText w:val="%1"/>
      <w:lvlJc w:val="left"/>
      <w:pPr>
        <w:ind w:left="360" w:hanging="360"/>
      </w:pPr>
      <w:rPr>
        <w:color w:val="000000"/>
        <w:sz w:val="26"/>
      </w:rPr>
    </w:lvl>
    <w:lvl w:ilvl="1">
      <w:start w:val="1"/>
      <w:numFmt w:val="decimal"/>
      <w:lvlText w:val="%1.%2"/>
      <w:lvlJc w:val="left"/>
      <w:pPr>
        <w:ind w:left="12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5EB229D7"/>
    <w:multiLevelType w:val="multilevel"/>
    <w:tmpl w:val="A25C2BA8"/>
    <w:lvl w:ilvl="0">
      <w:start w:val="1"/>
      <w:numFmt w:val="decimal"/>
      <w:lvlText w:val="[%1]"/>
      <w:lvlJc w:val="left"/>
      <w:pPr>
        <w:ind w:left="1040" w:firstLine="680"/>
      </w:pPr>
      <w:rPr>
        <w:rFonts w:ascii="Times New Roman" w:eastAsia="Times New Roman" w:hAnsi="Times New Roman" w:cs="Times New Roman"/>
        <w:i w:val="0"/>
        <w:smallCaps w:val="0"/>
        <w:strike w:val="0"/>
        <w:sz w:val="26"/>
        <w:vertAlign w:val="baseline"/>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D9"/>
    <w:rsid w:val="00001684"/>
    <w:rsid w:val="000058A8"/>
    <w:rsid w:val="00020B3B"/>
    <w:rsid w:val="00020EEA"/>
    <w:rsid w:val="000274C5"/>
    <w:rsid w:val="00057C17"/>
    <w:rsid w:val="00064D58"/>
    <w:rsid w:val="000815C6"/>
    <w:rsid w:val="000C2C6E"/>
    <w:rsid w:val="000E2F96"/>
    <w:rsid w:val="000E3698"/>
    <w:rsid w:val="000E65AC"/>
    <w:rsid w:val="000F1FF7"/>
    <w:rsid w:val="00171B99"/>
    <w:rsid w:val="00172DA1"/>
    <w:rsid w:val="001951FC"/>
    <w:rsid w:val="001B1D29"/>
    <w:rsid w:val="001B2949"/>
    <w:rsid w:val="001C6352"/>
    <w:rsid w:val="001D2045"/>
    <w:rsid w:val="001E1470"/>
    <w:rsid w:val="001E4C8E"/>
    <w:rsid w:val="00222B11"/>
    <w:rsid w:val="00231C1A"/>
    <w:rsid w:val="00237BC6"/>
    <w:rsid w:val="00261DF5"/>
    <w:rsid w:val="002A37AD"/>
    <w:rsid w:val="002C073C"/>
    <w:rsid w:val="002C467B"/>
    <w:rsid w:val="002E1919"/>
    <w:rsid w:val="002E4389"/>
    <w:rsid w:val="002F2175"/>
    <w:rsid w:val="00302F56"/>
    <w:rsid w:val="00307990"/>
    <w:rsid w:val="00312954"/>
    <w:rsid w:val="0034077F"/>
    <w:rsid w:val="0035330E"/>
    <w:rsid w:val="00366300"/>
    <w:rsid w:val="003823A8"/>
    <w:rsid w:val="003A1C0C"/>
    <w:rsid w:val="003A4BF9"/>
    <w:rsid w:val="003A5B30"/>
    <w:rsid w:val="003A68CB"/>
    <w:rsid w:val="003B25A7"/>
    <w:rsid w:val="003C26AD"/>
    <w:rsid w:val="003D145B"/>
    <w:rsid w:val="003D77B9"/>
    <w:rsid w:val="003F010F"/>
    <w:rsid w:val="003F2B0C"/>
    <w:rsid w:val="004034F7"/>
    <w:rsid w:val="00405776"/>
    <w:rsid w:val="00425B94"/>
    <w:rsid w:val="0042754E"/>
    <w:rsid w:val="00431FC2"/>
    <w:rsid w:val="00440384"/>
    <w:rsid w:val="00443E00"/>
    <w:rsid w:val="00454487"/>
    <w:rsid w:val="00454603"/>
    <w:rsid w:val="0046666F"/>
    <w:rsid w:val="004709F3"/>
    <w:rsid w:val="0049526C"/>
    <w:rsid w:val="004A1F11"/>
    <w:rsid w:val="004B594F"/>
    <w:rsid w:val="004D7637"/>
    <w:rsid w:val="004E0088"/>
    <w:rsid w:val="00504E6E"/>
    <w:rsid w:val="0051725F"/>
    <w:rsid w:val="00517D89"/>
    <w:rsid w:val="00536233"/>
    <w:rsid w:val="005565D2"/>
    <w:rsid w:val="005662E3"/>
    <w:rsid w:val="005905B8"/>
    <w:rsid w:val="005B1DC7"/>
    <w:rsid w:val="005C6F29"/>
    <w:rsid w:val="005E40EC"/>
    <w:rsid w:val="00600FD5"/>
    <w:rsid w:val="0062464E"/>
    <w:rsid w:val="00630CFA"/>
    <w:rsid w:val="0065386E"/>
    <w:rsid w:val="006563DB"/>
    <w:rsid w:val="00673FA0"/>
    <w:rsid w:val="00683398"/>
    <w:rsid w:val="00692F8F"/>
    <w:rsid w:val="006A11A7"/>
    <w:rsid w:val="006A6A58"/>
    <w:rsid w:val="006A7935"/>
    <w:rsid w:val="006C73BA"/>
    <w:rsid w:val="006F7D4E"/>
    <w:rsid w:val="0071186E"/>
    <w:rsid w:val="00715F89"/>
    <w:rsid w:val="007215F1"/>
    <w:rsid w:val="00722C42"/>
    <w:rsid w:val="00727443"/>
    <w:rsid w:val="00747684"/>
    <w:rsid w:val="007478D0"/>
    <w:rsid w:val="00780F35"/>
    <w:rsid w:val="007864E7"/>
    <w:rsid w:val="0078681F"/>
    <w:rsid w:val="007E2B5D"/>
    <w:rsid w:val="0080129B"/>
    <w:rsid w:val="00811086"/>
    <w:rsid w:val="008432E4"/>
    <w:rsid w:val="008448BE"/>
    <w:rsid w:val="00845B98"/>
    <w:rsid w:val="00870462"/>
    <w:rsid w:val="00880B29"/>
    <w:rsid w:val="008857DE"/>
    <w:rsid w:val="008964AA"/>
    <w:rsid w:val="00896C32"/>
    <w:rsid w:val="008A3693"/>
    <w:rsid w:val="008B441D"/>
    <w:rsid w:val="008C5226"/>
    <w:rsid w:val="008C60B5"/>
    <w:rsid w:val="008D33D7"/>
    <w:rsid w:val="008D3A8F"/>
    <w:rsid w:val="008D634F"/>
    <w:rsid w:val="008E3035"/>
    <w:rsid w:val="008F055F"/>
    <w:rsid w:val="008F43DE"/>
    <w:rsid w:val="0091363F"/>
    <w:rsid w:val="009256D9"/>
    <w:rsid w:val="009316B8"/>
    <w:rsid w:val="00946CF4"/>
    <w:rsid w:val="009471A5"/>
    <w:rsid w:val="00972563"/>
    <w:rsid w:val="009A4C20"/>
    <w:rsid w:val="009B4EA6"/>
    <w:rsid w:val="009E58C3"/>
    <w:rsid w:val="009F1AE2"/>
    <w:rsid w:val="009F4F42"/>
    <w:rsid w:val="00A13751"/>
    <w:rsid w:val="00A14A11"/>
    <w:rsid w:val="00A24A80"/>
    <w:rsid w:val="00A403EB"/>
    <w:rsid w:val="00A57C57"/>
    <w:rsid w:val="00A86FEC"/>
    <w:rsid w:val="00AA6FA1"/>
    <w:rsid w:val="00AC3756"/>
    <w:rsid w:val="00AC657D"/>
    <w:rsid w:val="00AD69B0"/>
    <w:rsid w:val="00AF37A8"/>
    <w:rsid w:val="00B1350E"/>
    <w:rsid w:val="00B36067"/>
    <w:rsid w:val="00B52D40"/>
    <w:rsid w:val="00B607ED"/>
    <w:rsid w:val="00B647AC"/>
    <w:rsid w:val="00B66D06"/>
    <w:rsid w:val="00B73F68"/>
    <w:rsid w:val="00B763F5"/>
    <w:rsid w:val="00B84A7E"/>
    <w:rsid w:val="00BA1AE7"/>
    <w:rsid w:val="00BB2F85"/>
    <w:rsid w:val="00BE0512"/>
    <w:rsid w:val="00BE347A"/>
    <w:rsid w:val="00BF6AB8"/>
    <w:rsid w:val="00C05502"/>
    <w:rsid w:val="00C05FCF"/>
    <w:rsid w:val="00C1235E"/>
    <w:rsid w:val="00C14433"/>
    <w:rsid w:val="00C259EF"/>
    <w:rsid w:val="00C27124"/>
    <w:rsid w:val="00C53CD8"/>
    <w:rsid w:val="00C71169"/>
    <w:rsid w:val="00C722D4"/>
    <w:rsid w:val="00C7542B"/>
    <w:rsid w:val="00C82CEE"/>
    <w:rsid w:val="00C94F9D"/>
    <w:rsid w:val="00C9588E"/>
    <w:rsid w:val="00C9742E"/>
    <w:rsid w:val="00CA67CE"/>
    <w:rsid w:val="00CD0CB6"/>
    <w:rsid w:val="00CE1286"/>
    <w:rsid w:val="00CF1D34"/>
    <w:rsid w:val="00D14F04"/>
    <w:rsid w:val="00D81977"/>
    <w:rsid w:val="00D930A4"/>
    <w:rsid w:val="00DE6807"/>
    <w:rsid w:val="00DF1654"/>
    <w:rsid w:val="00E33EA5"/>
    <w:rsid w:val="00E36153"/>
    <w:rsid w:val="00E5055B"/>
    <w:rsid w:val="00E72712"/>
    <w:rsid w:val="00E769D5"/>
    <w:rsid w:val="00E92DD1"/>
    <w:rsid w:val="00EC716B"/>
    <w:rsid w:val="00EE385F"/>
    <w:rsid w:val="00EE57D1"/>
    <w:rsid w:val="00F01E0E"/>
    <w:rsid w:val="00F1429F"/>
    <w:rsid w:val="00F23914"/>
    <w:rsid w:val="00F25CAC"/>
    <w:rsid w:val="00F41794"/>
    <w:rsid w:val="00F53BCE"/>
    <w:rsid w:val="00F5738D"/>
    <w:rsid w:val="00F73C8C"/>
    <w:rsid w:val="00F75152"/>
    <w:rsid w:val="00F8177E"/>
    <w:rsid w:val="00F858C1"/>
    <w:rsid w:val="00F97416"/>
    <w:rsid w:val="00FB3B5C"/>
    <w:rsid w:val="00FB3D94"/>
    <w:rsid w:val="00FD6CE6"/>
    <w:rsid w:val="00FF16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AA8B"/>
  <w15:chartTrackingRefBased/>
  <w15:docId w15:val="{1727B266-BD7E-439A-B128-9C281246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274C5"/>
    <w:pPr>
      <w:pBdr>
        <w:top w:val="nil"/>
        <w:left w:val="nil"/>
        <w:bottom w:val="nil"/>
        <w:right w:val="nil"/>
        <w:between w:val="nil"/>
        <w:bar w:val="nil"/>
      </w:pBdr>
      <w:spacing w:after="200" w:line="276" w:lineRule="auto"/>
    </w:pPr>
    <w:rPr>
      <w:rFonts w:ascii="Calibri" w:eastAsia="Calibri" w:hAnsi="Calibri" w:cs="Calibri"/>
      <w:color w:val="000000"/>
      <w:u w:color="000000"/>
      <w:bdr w:val="nil"/>
      <w:lang w:val="af-ZA" w:eastAsia="af-ZA"/>
    </w:rPr>
  </w:style>
  <w:style w:type="paragraph" w:customStyle="1" w:styleId="JUDGMENTCONTINUED">
    <w:name w:val="JUDGMENT CONTINUED"/>
    <w:basedOn w:val="Normal"/>
    <w:next w:val="Normal"/>
    <w:uiPriority w:val="99"/>
    <w:qFormat/>
    <w:rsid w:val="0062464E"/>
    <w:pPr>
      <w:spacing w:after="0" w:line="360" w:lineRule="auto"/>
      <w:jc w:val="both"/>
    </w:pPr>
    <w:rPr>
      <w:rFonts w:ascii="Times New Roman" w:eastAsia="Times New Roman" w:hAnsi="Times New Roman" w:cs="Times New Roman"/>
      <w:sz w:val="26"/>
    </w:rPr>
  </w:style>
  <w:style w:type="paragraph" w:customStyle="1" w:styleId="QUOTATION">
    <w:name w:val="QUOTATION"/>
    <w:basedOn w:val="Normal"/>
    <w:next w:val="JUDGMENTCONTINUED"/>
    <w:qFormat/>
    <w:rsid w:val="0062464E"/>
    <w:pPr>
      <w:spacing w:after="0" w:line="360" w:lineRule="auto"/>
      <w:ind w:left="720" w:right="720"/>
      <w:jc w:val="both"/>
    </w:pPr>
    <w:rPr>
      <w:rFonts w:ascii="Times New Roman" w:eastAsia="Times New Roman" w:hAnsi="Times New Roman" w:cs="Times New Roman"/>
    </w:rPr>
  </w:style>
  <w:style w:type="paragraph" w:customStyle="1" w:styleId="FootnoteText1">
    <w:name w:val="Footnote Text1"/>
    <w:basedOn w:val="Normal"/>
    <w:qFormat/>
    <w:rsid w:val="0062464E"/>
    <w:pPr>
      <w:spacing w:after="120" w:line="240" w:lineRule="auto"/>
      <w:jc w:val="both"/>
    </w:pPr>
    <w:rPr>
      <w:rFonts w:ascii="Times New Roman" w:eastAsia="Times New Roman" w:hAnsi="Times New Roman" w:cs="Times New Roman"/>
      <w:sz w:val="20"/>
    </w:rPr>
  </w:style>
  <w:style w:type="paragraph" w:styleId="Header">
    <w:name w:val="header"/>
    <w:basedOn w:val="Normal"/>
    <w:link w:val="HeaderChar"/>
    <w:uiPriority w:val="99"/>
    <w:unhideWhenUsed/>
    <w:rsid w:val="00946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CF4"/>
  </w:style>
  <w:style w:type="paragraph" w:styleId="Footer">
    <w:name w:val="footer"/>
    <w:basedOn w:val="Normal"/>
    <w:link w:val="FooterChar"/>
    <w:uiPriority w:val="99"/>
    <w:unhideWhenUsed/>
    <w:rsid w:val="00946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CF4"/>
  </w:style>
  <w:style w:type="paragraph" w:styleId="FootnoteText">
    <w:name w:val="footnote text"/>
    <w:basedOn w:val="Normal"/>
    <w:link w:val="FootnoteTextChar"/>
    <w:uiPriority w:val="99"/>
    <w:unhideWhenUsed/>
    <w:rsid w:val="00B84A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4A7E"/>
    <w:rPr>
      <w:sz w:val="20"/>
      <w:szCs w:val="20"/>
    </w:rPr>
  </w:style>
  <w:style w:type="character" w:styleId="FootnoteReference">
    <w:name w:val="footnote reference"/>
    <w:basedOn w:val="DefaultParagraphFont"/>
    <w:uiPriority w:val="99"/>
    <w:semiHidden/>
    <w:unhideWhenUsed/>
    <w:rsid w:val="00B84A7E"/>
    <w:rPr>
      <w:vertAlign w:val="superscript"/>
    </w:rPr>
  </w:style>
  <w:style w:type="paragraph" w:styleId="BodyText">
    <w:name w:val="Body Text"/>
    <w:basedOn w:val="Normal"/>
    <w:link w:val="BodyTextChar"/>
    <w:uiPriority w:val="99"/>
    <w:rsid w:val="008D33D7"/>
    <w:pPr>
      <w:widowControl w:val="0"/>
      <w:autoSpaceDE w:val="0"/>
      <w:autoSpaceDN w:val="0"/>
      <w:adjustRightInd w:val="0"/>
      <w:spacing w:after="0" w:line="240" w:lineRule="auto"/>
    </w:pPr>
    <w:rPr>
      <w:rFonts w:ascii="Times New Roman" w:eastAsia="Times New Roman" w:hAnsi="Times New Roman" w:cs="Times New Roman"/>
      <w:sz w:val="28"/>
      <w:szCs w:val="20"/>
      <w:lang w:val="en-AU"/>
    </w:rPr>
  </w:style>
  <w:style w:type="character" w:customStyle="1" w:styleId="BodyTextChar">
    <w:name w:val="Body Text Char"/>
    <w:basedOn w:val="DefaultParagraphFont"/>
    <w:link w:val="BodyText"/>
    <w:uiPriority w:val="99"/>
    <w:rsid w:val="008D33D7"/>
    <w:rPr>
      <w:rFonts w:ascii="Times New Roman" w:eastAsia="Times New Roman" w:hAnsi="Times New Roman" w:cs="Times New Roman"/>
      <w:sz w:val="28"/>
      <w:szCs w:val="20"/>
      <w:lang w:val="en-AU"/>
    </w:rPr>
  </w:style>
  <w:style w:type="character" w:customStyle="1" w:styleId="JUGMENTNUMBEREDCharCharCharCharChar">
    <w:name w:val="JUGMENT NUMBERED Char Char Char Char Char"/>
    <w:basedOn w:val="DefaultParagraphFont"/>
    <w:uiPriority w:val="99"/>
    <w:rsid w:val="003A4BF9"/>
    <w:rPr>
      <w:rFonts w:eastAsia="Times New Roman"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7D777-D278-4E79-8FE4-ABD033C5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1</Pages>
  <Words>7316</Words>
  <Characters>41707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2024-07-08T07:15:00Z</cp:lastPrinted>
  <dcterms:created xsi:type="dcterms:W3CDTF">2024-07-03T18:27:00Z</dcterms:created>
  <dcterms:modified xsi:type="dcterms:W3CDTF">2024-07-08T07:27:00Z</dcterms:modified>
</cp:coreProperties>
</file>