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1904" w14:textId="77777777" w:rsidR="004E09BB" w:rsidRPr="004E09BB" w:rsidRDefault="004E09BB" w:rsidP="004E09BB">
      <w:pPr>
        <w:jc w:val="center"/>
        <w:rPr>
          <w:kern w:val="0"/>
          <w:szCs w:val="24"/>
          <w:lang w:val="en-ZA"/>
          <w14:ligatures w14:val="none"/>
        </w:rPr>
      </w:pPr>
      <w:bookmarkStart w:id="0" w:name="_GoBack"/>
      <w:bookmarkEnd w:id="0"/>
      <w:r w:rsidRPr="004E09BB">
        <w:rPr>
          <w:noProof/>
          <w:kern w:val="0"/>
          <w:lang w:val="en-ZA" w:eastAsia="en-ZA"/>
          <w14:ligatures w14:val="none"/>
        </w:rPr>
        <w:drawing>
          <wp:anchor distT="0" distB="0" distL="114300" distR="114300" simplePos="0" relativeHeight="251659264" behindDoc="1" locked="0" layoutInCell="1" allowOverlap="1" wp14:anchorId="763646DD" wp14:editId="1B4982E6">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14:paraId="3FE48BAA" w14:textId="77777777" w:rsidR="004E09BB" w:rsidRPr="004E09BB" w:rsidRDefault="004E09BB" w:rsidP="004E09BB">
      <w:pPr>
        <w:keepNext/>
        <w:spacing w:after="0" w:line="240" w:lineRule="auto"/>
        <w:outlineLvl w:val="0"/>
        <w:rPr>
          <w:rFonts w:ascii="Times New Roman" w:eastAsia="Times New Roman" w:hAnsi="Times New Roman" w:cs="Times New Roman"/>
          <w:kern w:val="0"/>
          <w:sz w:val="24"/>
          <w:szCs w:val="24"/>
          <w:u w:val="single"/>
          <w:lang w:val="en-AU"/>
          <w14:ligatures w14:val="none"/>
        </w:rPr>
      </w:pPr>
    </w:p>
    <w:p w14:paraId="3DCED119" w14:textId="77777777" w:rsidR="004E09BB" w:rsidRPr="004E09BB" w:rsidRDefault="004E09BB" w:rsidP="004E09BB">
      <w:pPr>
        <w:keepNext/>
        <w:spacing w:after="0" w:line="240" w:lineRule="auto"/>
        <w:outlineLvl w:val="0"/>
        <w:rPr>
          <w:rFonts w:ascii="Times New Roman" w:eastAsia="Times New Roman" w:hAnsi="Times New Roman" w:cs="Times New Roman"/>
          <w:kern w:val="0"/>
          <w:sz w:val="24"/>
          <w:szCs w:val="24"/>
          <w:u w:val="single"/>
          <w:lang w:val="en-AU"/>
          <w14:ligatures w14:val="none"/>
        </w:rPr>
      </w:pPr>
    </w:p>
    <w:p w14:paraId="42388BD7" w14:textId="77777777" w:rsidR="004E09BB" w:rsidRPr="004E09BB" w:rsidRDefault="004E09BB" w:rsidP="004E09BB">
      <w:pPr>
        <w:keepNext/>
        <w:spacing w:after="0" w:line="240" w:lineRule="auto"/>
        <w:outlineLvl w:val="0"/>
        <w:rPr>
          <w:rFonts w:ascii="Times New Roman" w:eastAsia="Times New Roman" w:hAnsi="Times New Roman" w:cs="Times New Roman"/>
          <w:kern w:val="0"/>
          <w:sz w:val="24"/>
          <w:szCs w:val="24"/>
          <w:u w:val="single"/>
          <w:lang w:val="en-AU"/>
          <w14:ligatures w14:val="none"/>
        </w:rPr>
      </w:pPr>
    </w:p>
    <w:p w14:paraId="0E599631" w14:textId="77777777" w:rsidR="004E09BB" w:rsidRPr="004E09BB" w:rsidRDefault="004E09BB" w:rsidP="004E09BB">
      <w:pPr>
        <w:spacing w:line="360" w:lineRule="auto"/>
        <w:jc w:val="center"/>
        <w:rPr>
          <w:rFonts w:ascii="Arial" w:hAnsi="Arial" w:cs="Arial"/>
          <w:b/>
          <w:kern w:val="0"/>
          <w:sz w:val="28"/>
          <w:szCs w:val="28"/>
          <w:u w:val="single"/>
          <w:lang w:val="en-ZA"/>
          <w14:ligatures w14:val="none"/>
        </w:rPr>
      </w:pPr>
    </w:p>
    <w:p w14:paraId="1DE39C89" w14:textId="77777777" w:rsidR="004E09BB" w:rsidRPr="004E09BB" w:rsidRDefault="004E09BB" w:rsidP="004E09BB">
      <w:pPr>
        <w:spacing w:line="360" w:lineRule="auto"/>
        <w:jc w:val="center"/>
        <w:rPr>
          <w:rFonts w:ascii="Arial" w:hAnsi="Arial" w:cs="Arial"/>
          <w:b/>
          <w:kern w:val="0"/>
          <w:sz w:val="24"/>
          <w:szCs w:val="24"/>
          <w:u w:val="single"/>
          <w:lang w:val="en-ZA"/>
          <w14:ligatures w14:val="none"/>
        </w:rPr>
      </w:pPr>
      <w:r w:rsidRPr="004E09BB">
        <w:rPr>
          <w:rFonts w:ascii="Arial" w:hAnsi="Arial" w:cs="Arial"/>
          <w:b/>
          <w:kern w:val="0"/>
          <w:sz w:val="24"/>
          <w:szCs w:val="24"/>
          <w:u w:val="single"/>
          <w:lang w:val="en-ZA"/>
          <w14:ligatures w14:val="none"/>
        </w:rPr>
        <w:t>IN THE HIGH COURT OF SOUTH AFRICA,</w:t>
      </w:r>
    </w:p>
    <w:p w14:paraId="3FF8F93A" w14:textId="77777777" w:rsidR="004E09BB" w:rsidRPr="004E09BB" w:rsidRDefault="004E09BB" w:rsidP="004E09BB">
      <w:pPr>
        <w:spacing w:line="360" w:lineRule="auto"/>
        <w:jc w:val="center"/>
        <w:rPr>
          <w:rFonts w:ascii="Arial" w:hAnsi="Arial" w:cs="Arial"/>
          <w:b/>
          <w:kern w:val="0"/>
          <w:sz w:val="24"/>
          <w:szCs w:val="24"/>
          <w:u w:val="single"/>
          <w:lang w:val="en-ZA"/>
          <w14:ligatures w14:val="none"/>
        </w:rPr>
      </w:pPr>
      <w:r w:rsidRPr="004E09BB">
        <w:rPr>
          <w:rFonts w:ascii="Arial" w:hAnsi="Arial" w:cs="Arial"/>
          <w:b/>
          <w:kern w:val="0"/>
          <w:sz w:val="24"/>
          <w:szCs w:val="24"/>
          <w:u w:val="single"/>
          <w:lang w:val="en-ZA"/>
          <w14:ligatures w14:val="none"/>
        </w:rPr>
        <w:t>FREE STATE DIVISION, BLOEMFONTEIN</w:t>
      </w:r>
    </w:p>
    <w:tbl>
      <w:tblPr>
        <w:tblStyle w:val="TableGrid"/>
        <w:tblW w:w="0" w:type="auto"/>
        <w:tblInd w:w="5353" w:type="dxa"/>
        <w:tblLook w:val="04A0" w:firstRow="1" w:lastRow="0" w:firstColumn="1" w:lastColumn="0" w:noHBand="0" w:noVBand="1"/>
      </w:tblPr>
      <w:tblGrid>
        <w:gridCol w:w="3066"/>
      </w:tblGrid>
      <w:tr w:rsidR="004E09BB" w:rsidRPr="004E09BB" w14:paraId="25BD5AB1" w14:textId="77777777" w:rsidTr="00E8783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E0E85" w14:textId="77777777" w:rsidR="004E09BB" w:rsidRPr="004E09BB" w:rsidRDefault="004E09BB" w:rsidP="00076BFB">
            <w:pPr>
              <w:rPr>
                <w:rFonts w:ascii="Arial" w:eastAsia="Times New Roman" w:hAnsi="Arial" w:cs="Arial"/>
                <w:b/>
                <w:sz w:val="16"/>
                <w:szCs w:val="16"/>
                <w:lang w:eastAsia="en-GB"/>
              </w:rPr>
            </w:pPr>
            <w:r w:rsidRPr="004E09BB">
              <w:rPr>
                <w:rFonts w:ascii="Arial" w:eastAsia="Times New Roman" w:hAnsi="Arial" w:cs="Arial"/>
                <w:b/>
                <w:sz w:val="16"/>
                <w:szCs w:val="16"/>
              </w:rPr>
              <w:t>Reportable:                              NO</w:t>
            </w:r>
          </w:p>
          <w:p w14:paraId="77FFE618" w14:textId="77777777" w:rsidR="004E09BB" w:rsidRPr="004E09BB" w:rsidRDefault="004E09BB" w:rsidP="00076BFB">
            <w:pPr>
              <w:rPr>
                <w:rFonts w:ascii="Arial" w:eastAsia="Times New Roman" w:hAnsi="Arial" w:cs="Arial"/>
                <w:b/>
                <w:sz w:val="16"/>
                <w:szCs w:val="16"/>
              </w:rPr>
            </w:pPr>
            <w:r w:rsidRPr="004E09BB">
              <w:rPr>
                <w:rFonts w:ascii="Arial" w:eastAsia="Times New Roman" w:hAnsi="Arial" w:cs="Arial"/>
                <w:b/>
                <w:sz w:val="16"/>
                <w:szCs w:val="16"/>
              </w:rPr>
              <w:t>Of Interest to other Judges:   NO</w:t>
            </w:r>
          </w:p>
          <w:p w14:paraId="2F2B287F" w14:textId="77777777" w:rsidR="004E09BB" w:rsidRPr="004E09BB" w:rsidRDefault="004E09BB" w:rsidP="00076BFB">
            <w:pPr>
              <w:rPr>
                <w:rFonts w:ascii="Arial" w:eastAsia="Times New Roman" w:hAnsi="Arial" w:cs="Arial"/>
                <w:b/>
                <w:sz w:val="24"/>
                <w:szCs w:val="24"/>
                <w:u w:val="single"/>
                <w:lang w:eastAsia="en-GB"/>
              </w:rPr>
            </w:pPr>
            <w:r w:rsidRPr="004E09BB">
              <w:rPr>
                <w:rFonts w:ascii="Arial" w:eastAsia="Times New Roman" w:hAnsi="Arial" w:cs="Arial"/>
                <w:b/>
                <w:sz w:val="16"/>
                <w:szCs w:val="16"/>
              </w:rPr>
              <w:t>Circulate to Magistrates:        NO</w:t>
            </w:r>
          </w:p>
        </w:tc>
      </w:tr>
    </w:tbl>
    <w:p w14:paraId="6C4D07DF" w14:textId="331A4F42" w:rsidR="004E09BB" w:rsidRPr="004E09BB" w:rsidRDefault="004E09BB" w:rsidP="004E09BB">
      <w:pPr>
        <w:spacing w:line="360" w:lineRule="auto"/>
        <w:jc w:val="right"/>
        <w:rPr>
          <w:rFonts w:ascii="Arial" w:hAnsi="Arial" w:cs="Arial"/>
          <w:kern w:val="0"/>
          <w:sz w:val="24"/>
          <w:szCs w:val="24"/>
          <w:lang w:val="en-ZA"/>
          <w14:ligatures w14:val="none"/>
        </w:rPr>
      </w:pP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Pr>
          <w:rFonts w:ascii="Arial" w:hAnsi="Arial" w:cs="Arial"/>
          <w:b/>
          <w:kern w:val="0"/>
          <w:sz w:val="24"/>
          <w:szCs w:val="24"/>
          <w:lang w:val="en-ZA"/>
          <w14:ligatures w14:val="none"/>
        </w:rPr>
        <w:tab/>
      </w:r>
      <w:r w:rsidRPr="004E09BB">
        <w:rPr>
          <w:rFonts w:ascii="Arial" w:hAnsi="Arial" w:cs="Arial"/>
          <w:kern w:val="0"/>
          <w:sz w:val="24"/>
          <w:szCs w:val="24"/>
          <w:lang w:val="en-ZA"/>
          <w14:ligatures w14:val="none"/>
        </w:rPr>
        <w:t xml:space="preserve">Case number: </w:t>
      </w:r>
      <w:r>
        <w:rPr>
          <w:rFonts w:ascii="Arial" w:hAnsi="Arial" w:cs="Arial"/>
          <w:kern w:val="0"/>
          <w:sz w:val="24"/>
          <w:szCs w:val="24"/>
          <w:lang w:val="en-ZA"/>
          <w14:ligatures w14:val="none"/>
        </w:rPr>
        <w:t>3019/2023</w:t>
      </w:r>
    </w:p>
    <w:p w14:paraId="6233F277" w14:textId="77777777" w:rsidR="004E09BB" w:rsidRPr="004E09BB" w:rsidRDefault="004E09BB" w:rsidP="004E09BB">
      <w:pPr>
        <w:spacing w:after="0" w:line="360" w:lineRule="auto"/>
        <w:jc w:val="both"/>
        <w:rPr>
          <w:rFonts w:ascii="Arial" w:hAnsi="Arial" w:cs="Arial"/>
          <w:kern w:val="0"/>
          <w:sz w:val="24"/>
          <w:szCs w:val="24"/>
          <w:lang w:val="en-ZA"/>
          <w14:ligatures w14:val="none"/>
        </w:rPr>
      </w:pPr>
      <w:r w:rsidRPr="004E09BB">
        <w:rPr>
          <w:rFonts w:ascii="Arial" w:hAnsi="Arial" w:cs="Arial"/>
          <w:kern w:val="0"/>
          <w:sz w:val="24"/>
          <w:szCs w:val="24"/>
          <w:lang w:val="en-ZA"/>
          <w14:ligatures w14:val="none"/>
        </w:rPr>
        <w:t xml:space="preserve">In the matter between: </w:t>
      </w:r>
    </w:p>
    <w:p w14:paraId="7DE9B431" w14:textId="77777777" w:rsidR="004E09BB" w:rsidRPr="004E09BB" w:rsidRDefault="004E09BB" w:rsidP="004E09BB">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b/>
          <w:kern w:val="0"/>
          <w:sz w:val="24"/>
          <w:szCs w:val="24"/>
          <w:u w:val="single"/>
          <w:lang w:val="en-ZA"/>
          <w14:ligatures w14:val="none"/>
        </w:rPr>
      </w:pPr>
    </w:p>
    <w:p w14:paraId="09B2AA66" w14:textId="08589AE7" w:rsidR="004E09BB" w:rsidRDefault="004E09BB" w:rsidP="00076BFB">
      <w:pPr>
        <w:spacing w:after="0" w:line="360" w:lineRule="auto"/>
        <w:rPr>
          <w:rFonts w:ascii="Arial" w:eastAsia="Times New Roman" w:hAnsi="Arial" w:cs="Arial"/>
          <w:kern w:val="0"/>
          <w:sz w:val="24"/>
          <w:szCs w:val="24"/>
          <w14:ligatures w14:val="none"/>
        </w:rPr>
      </w:pPr>
      <w:r>
        <w:rPr>
          <w:rFonts w:ascii="Arial" w:eastAsia="Times New Roman" w:hAnsi="Arial" w:cs="Arial"/>
          <w:b/>
          <w:kern w:val="0"/>
          <w:sz w:val="24"/>
          <w:szCs w:val="24"/>
          <w14:ligatures w14:val="none"/>
        </w:rPr>
        <w:t>LAMROO (PTY) LTD</w:t>
      </w:r>
      <w:r>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Pr>
          <w:rFonts w:ascii="Arial" w:eastAsia="Times New Roman" w:hAnsi="Arial" w:cs="Arial"/>
          <w:b/>
          <w:kern w:val="0"/>
          <w:sz w:val="24"/>
          <w:szCs w:val="24"/>
          <w14:ligatures w14:val="none"/>
        </w:rPr>
        <w:tab/>
      </w:r>
      <w:r w:rsidRPr="004E09BB">
        <w:rPr>
          <w:rFonts w:ascii="Arial" w:eastAsia="Times New Roman" w:hAnsi="Arial" w:cs="Arial"/>
          <w:kern w:val="0"/>
          <w:sz w:val="24"/>
          <w:szCs w:val="24"/>
          <w14:ligatures w14:val="none"/>
        </w:rPr>
        <w:t>1</w:t>
      </w:r>
      <w:r w:rsidRPr="004E09BB">
        <w:rPr>
          <w:rFonts w:ascii="Arial" w:eastAsia="Times New Roman" w:hAnsi="Arial" w:cs="Arial"/>
          <w:kern w:val="0"/>
          <w:sz w:val="24"/>
          <w:szCs w:val="24"/>
          <w:vertAlign w:val="superscript"/>
          <w14:ligatures w14:val="none"/>
        </w:rPr>
        <w:t>st</w:t>
      </w:r>
      <w:r w:rsidRPr="004E09BB">
        <w:rPr>
          <w:rFonts w:ascii="Arial" w:eastAsia="Times New Roman" w:hAnsi="Arial" w:cs="Arial"/>
          <w:kern w:val="0"/>
          <w:sz w:val="24"/>
          <w:szCs w:val="24"/>
          <w14:ligatures w14:val="none"/>
        </w:rPr>
        <w:t xml:space="preserve"> Applicant</w:t>
      </w:r>
    </w:p>
    <w:p w14:paraId="4A3B4797" w14:textId="635CDA48" w:rsidR="004E09BB" w:rsidRDefault="004E09BB" w:rsidP="00076BFB">
      <w:pPr>
        <w:spacing w:after="0" w:line="360" w:lineRule="auto"/>
        <w:rPr>
          <w:rFonts w:ascii="Arial" w:eastAsia="Times New Roman" w:hAnsi="Arial" w:cs="Arial"/>
          <w:kern w:val="0"/>
          <w:sz w:val="24"/>
          <w:szCs w:val="24"/>
          <w14:ligatures w14:val="none"/>
        </w:rPr>
      </w:pPr>
      <w:r w:rsidRPr="004E09BB">
        <w:rPr>
          <w:rFonts w:ascii="Arial" w:eastAsia="Times New Roman" w:hAnsi="Arial" w:cs="Arial"/>
          <w:b/>
          <w:kern w:val="0"/>
          <w:sz w:val="24"/>
          <w:szCs w:val="24"/>
          <w14:ligatures w14:val="none"/>
        </w:rPr>
        <w:t>ELRICH RUWAYNE SMITH N.O.</w:t>
      </w:r>
      <w:r w:rsidRPr="004E09BB">
        <w:rPr>
          <w:rFonts w:ascii="Arial" w:eastAsia="Times New Roman" w:hAnsi="Arial" w:cs="Arial"/>
          <w:b/>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t>2</w:t>
      </w:r>
      <w:r>
        <w:rPr>
          <w:rFonts w:ascii="Arial" w:eastAsia="Times New Roman" w:hAnsi="Arial" w:cs="Arial"/>
          <w:kern w:val="0"/>
          <w:sz w:val="24"/>
          <w:szCs w:val="24"/>
          <w:vertAlign w:val="superscript"/>
          <w14:ligatures w14:val="none"/>
        </w:rPr>
        <w:t xml:space="preserve">nd </w:t>
      </w:r>
      <w:r>
        <w:rPr>
          <w:rFonts w:ascii="Arial" w:eastAsia="Times New Roman" w:hAnsi="Arial" w:cs="Arial"/>
          <w:kern w:val="0"/>
          <w:sz w:val="24"/>
          <w:szCs w:val="24"/>
          <w14:ligatures w14:val="none"/>
        </w:rPr>
        <w:t>Applicant</w:t>
      </w:r>
    </w:p>
    <w:p w14:paraId="60FD4335" w14:textId="3CB41380" w:rsidR="004E09BB" w:rsidRPr="004E09BB" w:rsidRDefault="004E09BB" w:rsidP="00076BFB">
      <w:pPr>
        <w:spacing w:after="0" w:line="360" w:lineRule="auto"/>
        <w:rPr>
          <w:rFonts w:ascii="Arial" w:eastAsia="Times New Roman" w:hAnsi="Arial" w:cs="Arial"/>
          <w:kern w:val="0"/>
          <w:sz w:val="24"/>
          <w:szCs w:val="24"/>
          <w14:ligatures w14:val="none"/>
        </w:rPr>
      </w:pPr>
      <w:r w:rsidRPr="004E09BB">
        <w:rPr>
          <w:rFonts w:ascii="Arial" w:eastAsia="Times New Roman" w:hAnsi="Arial" w:cs="Arial"/>
          <w:b/>
          <w:kern w:val="0"/>
          <w:sz w:val="24"/>
          <w:szCs w:val="24"/>
          <w14:ligatures w14:val="none"/>
        </w:rPr>
        <w:t>ELNA ELSA POHL N.O.</w:t>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t>3</w:t>
      </w:r>
      <w:r w:rsidRPr="004E09BB">
        <w:rPr>
          <w:rFonts w:ascii="Arial" w:eastAsia="Times New Roman" w:hAnsi="Arial" w:cs="Arial"/>
          <w:kern w:val="0"/>
          <w:sz w:val="24"/>
          <w:szCs w:val="24"/>
          <w:vertAlign w:val="superscript"/>
          <w14:ligatures w14:val="none"/>
        </w:rPr>
        <w:t>rd</w:t>
      </w:r>
      <w:r>
        <w:rPr>
          <w:rFonts w:ascii="Arial" w:eastAsia="Times New Roman" w:hAnsi="Arial" w:cs="Arial"/>
          <w:kern w:val="0"/>
          <w:sz w:val="24"/>
          <w:szCs w:val="24"/>
          <w14:ligatures w14:val="none"/>
        </w:rPr>
        <w:t xml:space="preserve"> Applicant</w:t>
      </w:r>
    </w:p>
    <w:p w14:paraId="263FC26E" w14:textId="77777777" w:rsidR="004E09BB" w:rsidRPr="004E09BB" w:rsidRDefault="004E09BB" w:rsidP="00076BFB">
      <w:pPr>
        <w:spacing w:after="0" w:line="360" w:lineRule="auto"/>
        <w:rPr>
          <w:rFonts w:ascii="Arial" w:eastAsia="Times New Roman" w:hAnsi="Arial" w:cs="Arial"/>
          <w:kern w:val="0"/>
          <w:sz w:val="24"/>
          <w:szCs w:val="24"/>
          <w14:ligatures w14:val="none"/>
        </w:rPr>
      </w:pPr>
    </w:p>
    <w:p w14:paraId="7712B25A" w14:textId="77777777" w:rsidR="004E09BB" w:rsidRPr="004E09BB" w:rsidRDefault="004E09BB" w:rsidP="00076BFB">
      <w:pPr>
        <w:spacing w:after="0" w:line="360" w:lineRule="auto"/>
        <w:rPr>
          <w:rFonts w:ascii="Arial" w:eastAsia="Times New Roman" w:hAnsi="Arial" w:cs="Arial"/>
          <w:kern w:val="0"/>
          <w:sz w:val="24"/>
          <w:szCs w:val="24"/>
          <w14:ligatures w14:val="none"/>
        </w:rPr>
      </w:pPr>
      <w:r w:rsidRPr="004E09BB">
        <w:rPr>
          <w:rFonts w:ascii="Arial" w:eastAsia="Times New Roman" w:hAnsi="Arial" w:cs="Arial"/>
          <w:kern w:val="0"/>
          <w:sz w:val="24"/>
          <w:szCs w:val="24"/>
          <w14:ligatures w14:val="none"/>
        </w:rPr>
        <w:t xml:space="preserve">and </w:t>
      </w:r>
    </w:p>
    <w:p w14:paraId="23510FF9" w14:textId="77777777" w:rsidR="004E09BB" w:rsidRPr="004E09BB" w:rsidRDefault="004E09BB" w:rsidP="00076BFB">
      <w:pPr>
        <w:spacing w:after="0" w:line="360" w:lineRule="auto"/>
        <w:rPr>
          <w:rFonts w:ascii="Arial" w:eastAsia="Times New Roman" w:hAnsi="Arial" w:cs="Arial"/>
          <w:kern w:val="0"/>
          <w:sz w:val="24"/>
          <w:szCs w:val="24"/>
          <w14:ligatures w14:val="none"/>
        </w:rPr>
      </w:pPr>
    </w:p>
    <w:p w14:paraId="77DE7EDF" w14:textId="48AA3367" w:rsidR="004E09BB" w:rsidRDefault="004E09BB" w:rsidP="00076BFB">
      <w:pPr>
        <w:spacing w:after="0" w:line="360" w:lineRule="auto"/>
        <w:rPr>
          <w:rFonts w:ascii="Arial" w:eastAsia="Times New Roman" w:hAnsi="Arial" w:cs="Arial"/>
          <w:kern w:val="0"/>
          <w:sz w:val="24"/>
          <w:szCs w:val="24"/>
          <w14:ligatures w14:val="none"/>
        </w:rPr>
      </w:pPr>
      <w:r>
        <w:rPr>
          <w:rFonts w:ascii="Arial" w:eastAsia="Times New Roman" w:hAnsi="Arial" w:cs="Arial"/>
          <w:b/>
          <w:kern w:val="0"/>
          <w:sz w:val="24"/>
          <w:szCs w:val="24"/>
          <w14:ligatures w14:val="none"/>
        </w:rPr>
        <w:t>PETRUS ANDREAS THERON</w:t>
      </w:r>
      <w:r>
        <w:rPr>
          <w:rFonts w:ascii="Arial" w:eastAsia="Times New Roman" w:hAnsi="Arial" w:cs="Arial"/>
          <w:b/>
          <w:kern w:val="0"/>
          <w:sz w:val="24"/>
          <w:szCs w:val="24"/>
          <w14:ligatures w14:val="none"/>
        </w:rPr>
        <w:tab/>
      </w:r>
      <w:r>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b/>
          <w:kern w:val="0"/>
          <w:sz w:val="24"/>
          <w:szCs w:val="24"/>
          <w14:ligatures w14:val="none"/>
        </w:rPr>
        <w:tab/>
      </w:r>
      <w:r w:rsidRPr="004E09BB">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1</w:t>
      </w:r>
      <w:r w:rsidRPr="004E09BB">
        <w:rPr>
          <w:rFonts w:ascii="Arial" w:eastAsia="Times New Roman" w:hAnsi="Arial" w:cs="Arial"/>
          <w:kern w:val="0"/>
          <w:sz w:val="24"/>
          <w:szCs w:val="24"/>
          <w:vertAlign w:val="superscript"/>
          <w14:ligatures w14:val="none"/>
        </w:rPr>
        <w:t>st</w:t>
      </w:r>
      <w:r>
        <w:rPr>
          <w:rFonts w:ascii="Arial" w:eastAsia="Times New Roman" w:hAnsi="Arial" w:cs="Arial"/>
          <w:kern w:val="0"/>
          <w:sz w:val="24"/>
          <w:szCs w:val="24"/>
          <w14:ligatures w14:val="none"/>
        </w:rPr>
        <w:t xml:space="preserve"> Respondent</w:t>
      </w:r>
    </w:p>
    <w:p w14:paraId="4482DFFE" w14:textId="20908C95" w:rsidR="004E09BB" w:rsidRDefault="004E09BB" w:rsidP="00076BFB">
      <w:pPr>
        <w:spacing w:after="0" w:line="360" w:lineRule="auto"/>
        <w:rPr>
          <w:rFonts w:ascii="Arial" w:eastAsia="Times New Roman" w:hAnsi="Arial" w:cs="Arial"/>
          <w:kern w:val="0"/>
          <w:sz w:val="24"/>
          <w:szCs w:val="24"/>
          <w14:ligatures w14:val="none"/>
        </w:rPr>
      </w:pPr>
      <w:r w:rsidRPr="00076BFB">
        <w:rPr>
          <w:rFonts w:ascii="Arial" w:eastAsia="Times New Roman" w:hAnsi="Arial" w:cs="Arial"/>
          <w:b/>
          <w:kern w:val="0"/>
          <w:sz w:val="24"/>
          <w:szCs w:val="24"/>
          <w14:ligatures w14:val="none"/>
        </w:rPr>
        <w:t>ESMé THERON</w:t>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t>2</w:t>
      </w:r>
      <w:r>
        <w:rPr>
          <w:rFonts w:ascii="Arial" w:eastAsia="Times New Roman" w:hAnsi="Arial" w:cs="Arial"/>
          <w:kern w:val="0"/>
          <w:sz w:val="24"/>
          <w:szCs w:val="24"/>
          <w:vertAlign w:val="superscript"/>
          <w14:ligatures w14:val="none"/>
        </w:rPr>
        <w:t xml:space="preserve">nd </w:t>
      </w:r>
      <w:r>
        <w:rPr>
          <w:rFonts w:ascii="Arial" w:eastAsia="Times New Roman" w:hAnsi="Arial" w:cs="Arial"/>
          <w:kern w:val="0"/>
          <w:sz w:val="24"/>
          <w:szCs w:val="24"/>
          <w14:ligatures w14:val="none"/>
        </w:rPr>
        <w:t>Respondent</w:t>
      </w:r>
    </w:p>
    <w:p w14:paraId="646DE759" w14:textId="57C6CCC2" w:rsidR="004E09BB" w:rsidRPr="00076BFB" w:rsidRDefault="004E09BB" w:rsidP="00076BFB">
      <w:pPr>
        <w:spacing w:after="0" w:line="360" w:lineRule="auto"/>
        <w:rPr>
          <w:rFonts w:ascii="Arial" w:eastAsia="Times New Roman" w:hAnsi="Arial" w:cs="Arial"/>
          <w:b/>
          <w:kern w:val="0"/>
          <w:sz w:val="24"/>
          <w:szCs w:val="24"/>
          <w14:ligatures w14:val="none"/>
        </w:rPr>
      </w:pPr>
      <w:r w:rsidRPr="00076BFB">
        <w:rPr>
          <w:rFonts w:ascii="Arial" w:eastAsia="Times New Roman" w:hAnsi="Arial" w:cs="Arial"/>
          <w:b/>
          <w:kern w:val="0"/>
          <w:sz w:val="24"/>
          <w:szCs w:val="24"/>
          <w14:ligatures w14:val="none"/>
        </w:rPr>
        <w:t xml:space="preserve">ANY OTHER UNLAWFUL OCCUPIERS OF THE </w:t>
      </w:r>
    </w:p>
    <w:p w14:paraId="1FDD6F6D" w14:textId="77777777" w:rsidR="00076BFB" w:rsidRPr="00076BFB" w:rsidRDefault="004E09BB" w:rsidP="00076BFB">
      <w:pPr>
        <w:spacing w:after="0" w:line="360" w:lineRule="auto"/>
        <w:rPr>
          <w:rFonts w:ascii="Arial" w:eastAsia="Times New Roman" w:hAnsi="Arial" w:cs="Arial"/>
          <w:b/>
          <w:kern w:val="0"/>
          <w:sz w:val="24"/>
          <w:szCs w:val="24"/>
          <w14:ligatures w14:val="none"/>
        </w:rPr>
      </w:pPr>
      <w:r w:rsidRPr="00076BFB">
        <w:rPr>
          <w:rFonts w:ascii="Arial" w:eastAsia="Times New Roman" w:hAnsi="Arial" w:cs="Arial"/>
          <w:b/>
          <w:kern w:val="0"/>
          <w:sz w:val="24"/>
          <w:szCs w:val="24"/>
          <w14:ligatures w14:val="none"/>
        </w:rPr>
        <w:t xml:space="preserve">FARMS KLIP PAN, HERTZOG, WATERPAN AND </w:t>
      </w:r>
    </w:p>
    <w:p w14:paraId="00AA1834" w14:textId="4021051D" w:rsidR="004E09BB" w:rsidRPr="00076BFB" w:rsidRDefault="004E09BB" w:rsidP="00076BFB">
      <w:pPr>
        <w:spacing w:after="0" w:line="360" w:lineRule="auto"/>
        <w:rPr>
          <w:rFonts w:ascii="Arial" w:eastAsia="Times New Roman" w:hAnsi="Arial" w:cs="Arial"/>
          <w:b/>
          <w:kern w:val="0"/>
          <w:sz w:val="24"/>
          <w:szCs w:val="24"/>
          <w14:ligatures w14:val="none"/>
        </w:rPr>
      </w:pPr>
      <w:r w:rsidRPr="00076BFB">
        <w:rPr>
          <w:rFonts w:ascii="Arial" w:eastAsia="Times New Roman" w:hAnsi="Arial" w:cs="Arial"/>
          <w:b/>
          <w:kern w:val="0"/>
          <w:sz w:val="24"/>
          <w:szCs w:val="24"/>
          <w14:ligatures w14:val="none"/>
        </w:rPr>
        <w:t>UITKOMST,</w:t>
      </w:r>
      <w:r w:rsidR="00076BFB" w:rsidRPr="00076BFB">
        <w:rPr>
          <w:rFonts w:ascii="Arial" w:eastAsia="Times New Roman" w:hAnsi="Arial" w:cs="Arial"/>
          <w:b/>
          <w:kern w:val="0"/>
          <w:sz w:val="24"/>
          <w:szCs w:val="24"/>
          <w14:ligatures w14:val="none"/>
        </w:rPr>
        <w:t xml:space="preserve"> DISTRICT BUILTFONTEIN, FREE STATE</w:t>
      </w:r>
    </w:p>
    <w:p w14:paraId="4DCDFA15" w14:textId="4844EC7E" w:rsidR="00076BFB" w:rsidRDefault="00076BFB" w:rsidP="00076BFB">
      <w:pPr>
        <w:spacing w:after="0" w:line="360" w:lineRule="auto"/>
        <w:rPr>
          <w:rFonts w:ascii="Arial" w:eastAsia="Times New Roman" w:hAnsi="Arial" w:cs="Arial"/>
          <w:kern w:val="0"/>
          <w:sz w:val="24"/>
          <w:szCs w:val="24"/>
          <w14:ligatures w14:val="none"/>
        </w:rPr>
      </w:pPr>
      <w:r w:rsidRPr="00076BFB">
        <w:rPr>
          <w:rFonts w:ascii="Arial" w:eastAsia="Times New Roman" w:hAnsi="Arial" w:cs="Arial"/>
          <w:b/>
          <w:kern w:val="0"/>
          <w:sz w:val="24"/>
          <w:szCs w:val="24"/>
          <w14:ligatures w14:val="none"/>
        </w:rPr>
        <w:t>PROVINCE</w:t>
      </w:r>
      <w:r w:rsidRPr="00076BFB">
        <w:rPr>
          <w:rFonts w:ascii="Arial" w:eastAsia="Times New Roman" w:hAnsi="Arial" w:cs="Arial"/>
          <w:b/>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t>3</w:t>
      </w:r>
      <w:r w:rsidRPr="00076BFB">
        <w:rPr>
          <w:rFonts w:ascii="Arial" w:eastAsia="Times New Roman" w:hAnsi="Arial" w:cs="Arial"/>
          <w:kern w:val="0"/>
          <w:sz w:val="24"/>
          <w:szCs w:val="24"/>
          <w:vertAlign w:val="superscript"/>
          <w14:ligatures w14:val="none"/>
        </w:rPr>
        <w:t>rd</w:t>
      </w:r>
      <w:r>
        <w:rPr>
          <w:rFonts w:ascii="Arial" w:eastAsia="Times New Roman" w:hAnsi="Arial" w:cs="Arial"/>
          <w:kern w:val="0"/>
          <w:sz w:val="24"/>
          <w:szCs w:val="24"/>
          <w14:ligatures w14:val="none"/>
        </w:rPr>
        <w:t xml:space="preserve"> Respondent</w:t>
      </w:r>
    </w:p>
    <w:p w14:paraId="17317BBD" w14:textId="03632985" w:rsidR="00076BFB" w:rsidRPr="004E09BB" w:rsidRDefault="00076BFB" w:rsidP="00076BFB">
      <w:pPr>
        <w:spacing w:after="0" w:line="360" w:lineRule="auto"/>
        <w:rPr>
          <w:rFonts w:ascii="Arial" w:eastAsia="Times New Roman" w:hAnsi="Arial" w:cs="Arial"/>
          <w:kern w:val="0"/>
          <w:sz w:val="24"/>
          <w:szCs w:val="24"/>
          <w14:ligatures w14:val="none"/>
        </w:rPr>
      </w:pPr>
      <w:r w:rsidRPr="00076BFB">
        <w:rPr>
          <w:rFonts w:ascii="Arial" w:eastAsia="Times New Roman" w:hAnsi="Arial" w:cs="Arial"/>
          <w:b/>
          <w:kern w:val="0"/>
          <w:sz w:val="24"/>
          <w:szCs w:val="24"/>
          <w14:ligatures w14:val="none"/>
        </w:rPr>
        <w:t>TSWELOPELE LOCAL MUNICIPALITY</w:t>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t>4</w:t>
      </w:r>
      <w:r>
        <w:rPr>
          <w:rFonts w:ascii="Arial" w:eastAsia="Times New Roman" w:hAnsi="Arial" w:cs="Arial"/>
          <w:kern w:val="0"/>
          <w:sz w:val="24"/>
          <w:szCs w:val="24"/>
          <w:vertAlign w:val="superscript"/>
          <w14:ligatures w14:val="none"/>
        </w:rPr>
        <w:t xml:space="preserve">th </w:t>
      </w:r>
      <w:r>
        <w:rPr>
          <w:rFonts w:ascii="Arial" w:eastAsia="Times New Roman" w:hAnsi="Arial" w:cs="Arial"/>
          <w:kern w:val="0"/>
          <w:sz w:val="24"/>
          <w:szCs w:val="24"/>
          <w14:ligatures w14:val="none"/>
        </w:rPr>
        <w:t>Respondent</w:t>
      </w:r>
    </w:p>
    <w:p w14:paraId="2DB632CA" w14:textId="77777777" w:rsidR="004E09BB" w:rsidRPr="004E09BB" w:rsidRDefault="004E09BB" w:rsidP="004E09BB">
      <w:pPr>
        <w:spacing w:after="0" w:line="276" w:lineRule="auto"/>
        <w:rPr>
          <w:rFonts w:ascii="Arial" w:hAnsi="Arial" w:cs="Arial"/>
          <w:kern w:val="0"/>
          <w:sz w:val="24"/>
          <w:szCs w:val="24"/>
          <w:lang w:val="en-ZA"/>
          <w14:ligatures w14:val="none"/>
        </w:rPr>
      </w:pPr>
    </w:p>
    <w:p w14:paraId="41C739F0" w14:textId="77777777" w:rsidR="004E09BB" w:rsidRPr="004E09BB" w:rsidRDefault="004E09BB" w:rsidP="004E09BB">
      <w:pPr>
        <w:spacing w:after="0" w:line="240" w:lineRule="auto"/>
        <w:contextualSpacing/>
        <w:jc w:val="both"/>
        <w:rPr>
          <w:rFonts w:ascii="Arial" w:eastAsia="Times New Roman" w:hAnsi="Arial" w:cs="Arial"/>
          <w:b/>
          <w:kern w:val="0"/>
          <w:sz w:val="24"/>
          <w:szCs w:val="24"/>
          <w:u w:val="single"/>
          <w:lang w:val="en-GB" w:eastAsia="en-GB"/>
          <w14:ligatures w14:val="none"/>
        </w:rPr>
      </w:pPr>
    </w:p>
    <w:p w14:paraId="13067BC4" w14:textId="77777777" w:rsidR="004E09BB" w:rsidRPr="004E09BB" w:rsidRDefault="004E09BB" w:rsidP="004E09BB">
      <w:pPr>
        <w:pBdr>
          <w:top w:val="single" w:sz="12" w:space="1" w:color="auto"/>
          <w:bottom w:val="single" w:sz="12" w:space="1" w:color="auto"/>
        </w:pBdr>
        <w:spacing w:after="0" w:line="240" w:lineRule="auto"/>
        <w:ind w:left="2835" w:hanging="2835"/>
        <w:contextualSpacing/>
        <w:jc w:val="both"/>
        <w:rPr>
          <w:rFonts w:ascii="Arial" w:eastAsia="Times New Roman" w:hAnsi="Arial" w:cs="Arial"/>
          <w:kern w:val="0"/>
          <w:sz w:val="24"/>
          <w:szCs w:val="24"/>
          <w:u w:val="single"/>
          <w:lang w:val="en-GB" w:eastAsia="en-GB"/>
          <w14:ligatures w14:val="none"/>
        </w:rPr>
      </w:pPr>
    </w:p>
    <w:p w14:paraId="7AC6BDEE" w14:textId="51CFDE94" w:rsidR="004E09BB" w:rsidRPr="004E09BB" w:rsidRDefault="004E09BB" w:rsidP="004E09BB">
      <w:pPr>
        <w:pBdr>
          <w:top w:val="single" w:sz="12" w:space="1" w:color="auto"/>
          <w:bottom w:val="single" w:sz="12" w:space="1" w:color="auto"/>
        </w:pBdr>
        <w:spacing w:after="0" w:line="240" w:lineRule="auto"/>
        <w:ind w:left="2835" w:hanging="2835"/>
        <w:contextualSpacing/>
        <w:jc w:val="both"/>
        <w:rPr>
          <w:rFonts w:ascii="Arial" w:eastAsia="Times New Roman" w:hAnsi="Arial" w:cs="Arial"/>
          <w:kern w:val="0"/>
          <w:sz w:val="24"/>
          <w:szCs w:val="24"/>
          <w:lang w:val="en-GB" w:eastAsia="en-GB"/>
          <w14:ligatures w14:val="none"/>
        </w:rPr>
      </w:pPr>
      <w:r w:rsidRPr="004E09BB">
        <w:rPr>
          <w:rFonts w:ascii="Arial" w:eastAsia="Times New Roman" w:hAnsi="Arial" w:cs="Arial"/>
          <w:kern w:val="0"/>
          <w:sz w:val="24"/>
          <w:szCs w:val="24"/>
          <w:u w:val="single"/>
          <w:lang w:val="en-GB" w:eastAsia="en-GB"/>
          <w14:ligatures w14:val="none"/>
        </w:rPr>
        <w:t>HEARD ON</w:t>
      </w:r>
      <w:r w:rsidRPr="004E09BB">
        <w:rPr>
          <w:rFonts w:ascii="Arial" w:eastAsia="Times New Roman" w:hAnsi="Arial" w:cs="Arial"/>
          <w:kern w:val="0"/>
          <w:sz w:val="24"/>
          <w:szCs w:val="24"/>
          <w:lang w:val="en-GB" w:eastAsia="en-GB"/>
          <w14:ligatures w14:val="none"/>
        </w:rPr>
        <w:t xml:space="preserve">:                </w:t>
      </w:r>
      <w:r w:rsidRPr="004E09BB">
        <w:rPr>
          <w:rFonts w:ascii="Arial" w:eastAsia="Times New Roman" w:hAnsi="Arial" w:cs="Arial"/>
          <w:kern w:val="0"/>
          <w:sz w:val="24"/>
          <w:szCs w:val="24"/>
          <w:lang w:val="en-GB" w:eastAsia="en-GB"/>
          <w14:ligatures w14:val="none"/>
        </w:rPr>
        <w:tab/>
        <w:t xml:space="preserve"> </w:t>
      </w:r>
      <w:r w:rsidR="00076BFB">
        <w:rPr>
          <w:rFonts w:ascii="Arial" w:eastAsia="Times New Roman" w:hAnsi="Arial" w:cs="Arial"/>
          <w:kern w:val="0"/>
          <w:sz w:val="24"/>
          <w:szCs w:val="24"/>
          <w:lang w:val="en-GB" w:eastAsia="en-GB"/>
          <w14:ligatures w14:val="none"/>
        </w:rPr>
        <w:t>05 October 2023</w:t>
      </w:r>
      <w:r w:rsidRPr="004E09BB">
        <w:rPr>
          <w:rFonts w:ascii="Arial" w:eastAsia="Times New Roman" w:hAnsi="Arial" w:cs="Arial"/>
          <w:kern w:val="0"/>
          <w:sz w:val="24"/>
          <w:szCs w:val="24"/>
          <w:lang w:val="en-GB" w:eastAsia="en-GB"/>
          <w14:ligatures w14:val="none"/>
        </w:rPr>
        <w:t xml:space="preserve">  </w:t>
      </w:r>
    </w:p>
    <w:p w14:paraId="3571485A" w14:textId="77777777" w:rsidR="004E09BB" w:rsidRPr="004E09BB" w:rsidRDefault="004E09BB" w:rsidP="004E09BB">
      <w:pPr>
        <w:pBdr>
          <w:top w:val="single" w:sz="12" w:space="1" w:color="auto"/>
          <w:bottom w:val="single" w:sz="12" w:space="1" w:color="auto"/>
        </w:pBdr>
        <w:spacing w:after="0" w:line="240" w:lineRule="auto"/>
        <w:ind w:left="2835" w:hanging="2835"/>
        <w:contextualSpacing/>
        <w:jc w:val="both"/>
        <w:rPr>
          <w:rFonts w:ascii="Arial" w:eastAsia="Times New Roman" w:hAnsi="Arial" w:cs="Arial"/>
          <w:kern w:val="0"/>
          <w:sz w:val="24"/>
          <w:szCs w:val="24"/>
          <w:lang w:val="en-GB" w:eastAsia="en-GB"/>
          <w14:ligatures w14:val="none"/>
        </w:rPr>
      </w:pP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p>
    <w:p w14:paraId="55F165F5" w14:textId="77777777" w:rsidR="004E09BB" w:rsidRPr="004E09BB" w:rsidRDefault="004E09BB" w:rsidP="004E09BB">
      <w:pPr>
        <w:spacing w:after="0" w:line="240" w:lineRule="auto"/>
        <w:ind w:left="2835" w:hanging="2835"/>
        <w:contextualSpacing/>
        <w:jc w:val="both"/>
        <w:rPr>
          <w:rFonts w:ascii="Arial" w:eastAsia="Times New Roman" w:hAnsi="Arial" w:cs="Arial"/>
          <w:kern w:val="0"/>
          <w:sz w:val="24"/>
          <w:szCs w:val="24"/>
          <w:lang w:val="en-GB" w:eastAsia="en-GB"/>
          <w14:ligatures w14:val="none"/>
        </w:rPr>
      </w:pPr>
    </w:p>
    <w:p w14:paraId="28E149DD" w14:textId="77777777" w:rsidR="004E09BB" w:rsidRPr="004E09BB" w:rsidRDefault="004E09BB" w:rsidP="004E09BB">
      <w:pPr>
        <w:spacing w:after="0" w:line="240" w:lineRule="auto"/>
        <w:contextualSpacing/>
        <w:jc w:val="both"/>
        <w:rPr>
          <w:rFonts w:ascii="Arial" w:eastAsia="Times New Roman" w:hAnsi="Arial" w:cs="Arial"/>
          <w:kern w:val="0"/>
          <w:sz w:val="24"/>
          <w:szCs w:val="24"/>
          <w:u w:val="single"/>
          <w:lang w:val="en-GB" w:eastAsia="en-GB"/>
          <w14:ligatures w14:val="none"/>
        </w:rPr>
      </w:pPr>
      <w:r w:rsidRPr="004E09BB">
        <w:rPr>
          <w:rFonts w:ascii="Arial" w:eastAsia="Times New Roman" w:hAnsi="Arial" w:cs="Arial"/>
          <w:kern w:val="0"/>
          <w:sz w:val="24"/>
          <w:szCs w:val="24"/>
          <w:u w:val="single"/>
          <w:lang w:val="en-GB" w:eastAsia="en-GB"/>
          <w14:ligatures w14:val="none"/>
        </w:rPr>
        <w:t>BEFORE:</w:t>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t>Chesiwe, J</w:t>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p>
    <w:p w14:paraId="65DB5F4D" w14:textId="77777777" w:rsidR="004E09BB" w:rsidRPr="004E09BB" w:rsidRDefault="004E09BB" w:rsidP="00076BFB">
      <w:pPr>
        <w:pBdr>
          <w:bottom w:val="single" w:sz="12" w:space="1" w:color="auto"/>
        </w:pBdr>
        <w:spacing w:after="0" w:line="240" w:lineRule="auto"/>
        <w:contextualSpacing/>
        <w:jc w:val="both"/>
        <w:rPr>
          <w:rFonts w:ascii="Arial" w:eastAsia="Times New Roman" w:hAnsi="Arial" w:cs="Arial"/>
          <w:kern w:val="0"/>
          <w:sz w:val="24"/>
          <w:szCs w:val="24"/>
          <w:lang w:val="en-GB" w:eastAsia="en-GB"/>
          <w14:ligatures w14:val="none"/>
        </w:rPr>
      </w:pPr>
    </w:p>
    <w:p w14:paraId="2BE3F9C5" w14:textId="77777777" w:rsidR="004E09BB" w:rsidRPr="004E09BB" w:rsidRDefault="004E09BB" w:rsidP="004E09BB">
      <w:pPr>
        <w:spacing w:after="0" w:line="240" w:lineRule="auto"/>
        <w:contextualSpacing/>
        <w:jc w:val="both"/>
        <w:rPr>
          <w:rFonts w:ascii="Arial" w:eastAsia="Times New Roman" w:hAnsi="Arial" w:cs="Arial"/>
          <w:kern w:val="0"/>
          <w:sz w:val="24"/>
          <w:szCs w:val="24"/>
          <w:lang w:val="en-GB" w:eastAsia="en-GB"/>
          <w14:ligatures w14:val="none"/>
        </w:rPr>
      </w:pPr>
      <w:r w:rsidRPr="004E09BB">
        <w:rPr>
          <w:rFonts w:ascii="Arial" w:eastAsia="Times New Roman" w:hAnsi="Arial" w:cs="Arial"/>
          <w:kern w:val="0"/>
          <w:sz w:val="24"/>
          <w:szCs w:val="24"/>
          <w:lang w:val="en-GB" w:eastAsia="en-GB"/>
          <w14:ligatures w14:val="none"/>
        </w:rPr>
        <w:lastRenderedPageBreak/>
        <w:tab/>
      </w:r>
      <w:r w:rsidRPr="004E09BB">
        <w:rPr>
          <w:rFonts w:ascii="Arial" w:eastAsia="Times New Roman" w:hAnsi="Arial" w:cs="Arial"/>
          <w:kern w:val="0"/>
          <w:sz w:val="24"/>
          <w:szCs w:val="24"/>
          <w:lang w:val="en-GB" w:eastAsia="en-GB"/>
          <w14:ligatures w14:val="none"/>
        </w:rPr>
        <w:tab/>
      </w:r>
    </w:p>
    <w:p w14:paraId="63F1CA83" w14:textId="2CB63522" w:rsidR="004E09BB" w:rsidRPr="004E09BB" w:rsidRDefault="004E09BB" w:rsidP="004E09BB">
      <w:pPr>
        <w:tabs>
          <w:tab w:val="left" w:pos="2940"/>
        </w:tabs>
        <w:spacing w:after="0" w:line="240" w:lineRule="auto"/>
        <w:ind w:left="2880" w:hanging="2880"/>
        <w:contextualSpacing/>
        <w:jc w:val="both"/>
        <w:rPr>
          <w:rFonts w:ascii="Arial" w:eastAsia="Times New Roman" w:hAnsi="Arial" w:cs="Arial"/>
          <w:kern w:val="0"/>
          <w:sz w:val="24"/>
          <w:szCs w:val="24"/>
          <w:lang w:val="en-GB" w:eastAsia="en-GB"/>
          <w14:ligatures w14:val="none"/>
        </w:rPr>
      </w:pPr>
      <w:r w:rsidRPr="004E09BB">
        <w:rPr>
          <w:rFonts w:ascii="Arial" w:eastAsia="Times New Roman" w:hAnsi="Arial" w:cs="Arial"/>
          <w:kern w:val="0"/>
          <w:sz w:val="24"/>
          <w:szCs w:val="24"/>
          <w:u w:val="single"/>
          <w:lang w:val="en-GB" w:eastAsia="en-GB"/>
          <w14:ligatures w14:val="none"/>
        </w:rPr>
        <w:t>DELIVERED ON:</w:t>
      </w:r>
      <w:r w:rsidRPr="004E09BB">
        <w:rPr>
          <w:rFonts w:ascii="Arial" w:eastAsia="Times New Roman" w:hAnsi="Arial" w:cs="Arial"/>
          <w:kern w:val="0"/>
          <w:sz w:val="24"/>
          <w:szCs w:val="24"/>
          <w:lang w:val="en-GB" w:eastAsia="en-GB"/>
          <w14:ligatures w14:val="none"/>
        </w:rPr>
        <w:t xml:space="preserve">         </w:t>
      </w:r>
      <w:r w:rsidRPr="004E09BB">
        <w:rPr>
          <w:rFonts w:ascii="Arial" w:eastAsia="Times New Roman" w:hAnsi="Arial" w:cs="Arial"/>
          <w:kern w:val="0"/>
          <w:sz w:val="24"/>
          <w:szCs w:val="24"/>
          <w:lang w:val="en-GB" w:eastAsia="en-GB"/>
          <w14:ligatures w14:val="none"/>
        </w:rPr>
        <w:tab/>
        <w:t>This judgment was</w:t>
      </w:r>
      <w:r w:rsidR="00BA693E">
        <w:rPr>
          <w:rFonts w:ascii="Arial" w:eastAsia="Times New Roman" w:hAnsi="Arial" w:cs="Arial"/>
          <w:kern w:val="0"/>
          <w:sz w:val="24"/>
          <w:szCs w:val="24"/>
          <w:lang w:val="en-GB" w:eastAsia="en-GB"/>
          <w14:ligatures w14:val="none"/>
        </w:rPr>
        <w:t xml:space="preserve"> handed down in open court and</w:t>
      </w:r>
      <w:r w:rsidRPr="004E09BB">
        <w:rPr>
          <w:rFonts w:ascii="Arial" w:eastAsia="Times New Roman" w:hAnsi="Arial" w:cs="Arial"/>
          <w:kern w:val="0"/>
          <w:sz w:val="24"/>
          <w:szCs w:val="24"/>
          <w:lang w:val="en-GB" w:eastAsia="en-GB"/>
          <w14:ligatures w14:val="none"/>
        </w:rPr>
        <w:t xml:space="preserve"> given</w:t>
      </w:r>
      <w:r w:rsidR="00BA693E">
        <w:rPr>
          <w:rFonts w:ascii="Arial" w:eastAsia="Times New Roman" w:hAnsi="Arial" w:cs="Arial"/>
          <w:kern w:val="0"/>
          <w:sz w:val="24"/>
          <w:szCs w:val="24"/>
          <w:lang w:val="en-GB" w:eastAsia="en-GB"/>
          <w14:ligatures w14:val="none"/>
        </w:rPr>
        <w:t xml:space="preserve"> out</w:t>
      </w:r>
      <w:r w:rsidRPr="004E09BB">
        <w:rPr>
          <w:rFonts w:ascii="Arial" w:eastAsia="Times New Roman" w:hAnsi="Arial" w:cs="Arial"/>
          <w:kern w:val="0"/>
          <w:sz w:val="24"/>
          <w:szCs w:val="24"/>
          <w:lang w:val="en-GB" w:eastAsia="en-GB"/>
          <w14:ligatures w14:val="none"/>
        </w:rPr>
        <w:t xml:space="preserve"> electronically by circulation to the parties’ representatives by email. The date and time for</w:t>
      </w:r>
      <w:r w:rsidR="00E37EFC">
        <w:rPr>
          <w:rFonts w:ascii="Arial" w:eastAsia="Times New Roman" w:hAnsi="Arial" w:cs="Arial"/>
          <w:kern w:val="0"/>
          <w:sz w:val="24"/>
          <w:szCs w:val="24"/>
          <w:lang w:val="en-GB" w:eastAsia="en-GB"/>
          <w14:ligatures w14:val="none"/>
        </w:rPr>
        <w:t xml:space="preserve"> hand-down is deemed to be at 16</w:t>
      </w:r>
      <w:r w:rsidRPr="004E09BB">
        <w:rPr>
          <w:rFonts w:ascii="Arial" w:eastAsia="Times New Roman" w:hAnsi="Arial" w:cs="Arial"/>
          <w:kern w:val="0"/>
          <w:sz w:val="24"/>
          <w:szCs w:val="24"/>
          <w:lang w:val="en-GB" w:eastAsia="en-GB"/>
          <w14:ligatures w14:val="none"/>
        </w:rPr>
        <w:t xml:space="preserve">h00 on </w:t>
      </w:r>
      <w:r w:rsidR="00E37EFC">
        <w:rPr>
          <w:rFonts w:ascii="Arial" w:eastAsia="Times New Roman" w:hAnsi="Arial" w:cs="Arial"/>
          <w:kern w:val="0"/>
          <w:sz w:val="24"/>
          <w:szCs w:val="24"/>
          <w:lang w:val="en-GB" w:eastAsia="en-GB"/>
          <w14:ligatures w14:val="none"/>
        </w:rPr>
        <w:t>08 Febr</w:t>
      </w:r>
      <w:r w:rsidR="00076BFB">
        <w:rPr>
          <w:rFonts w:ascii="Arial" w:eastAsia="Times New Roman" w:hAnsi="Arial" w:cs="Arial"/>
          <w:kern w:val="0"/>
          <w:sz w:val="24"/>
          <w:szCs w:val="24"/>
          <w:lang w:val="en-GB" w:eastAsia="en-GB"/>
          <w14:ligatures w14:val="none"/>
        </w:rPr>
        <w:t>uary 2024</w:t>
      </w:r>
      <w:r w:rsidRPr="004E09BB">
        <w:rPr>
          <w:rFonts w:ascii="Arial" w:eastAsia="Times New Roman" w:hAnsi="Arial" w:cs="Arial"/>
          <w:kern w:val="0"/>
          <w:sz w:val="24"/>
          <w:szCs w:val="24"/>
          <w:lang w:val="en-GB" w:eastAsia="en-GB"/>
          <w14:ligatures w14:val="none"/>
        </w:rPr>
        <w:t xml:space="preserve">. </w:t>
      </w:r>
    </w:p>
    <w:p w14:paraId="4DF2FC86" w14:textId="77777777" w:rsidR="004E09BB" w:rsidRPr="004E09BB" w:rsidRDefault="004E09BB" w:rsidP="004E09BB">
      <w:pPr>
        <w:pBdr>
          <w:bottom w:val="single" w:sz="12" w:space="1" w:color="auto"/>
        </w:pBdr>
        <w:tabs>
          <w:tab w:val="left" w:pos="2940"/>
        </w:tabs>
        <w:spacing w:after="0" w:line="240" w:lineRule="auto"/>
        <w:contextualSpacing/>
        <w:jc w:val="both"/>
        <w:rPr>
          <w:rFonts w:ascii="Arial" w:eastAsia="Times New Roman" w:hAnsi="Arial" w:cs="Arial"/>
          <w:kern w:val="0"/>
          <w:sz w:val="24"/>
          <w:szCs w:val="24"/>
          <w:u w:val="single"/>
          <w:lang w:val="en-GB" w:eastAsia="en-GB"/>
          <w14:ligatures w14:val="none"/>
        </w:rPr>
      </w:pPr>
      <w:r w:rsidRPr="004E09BB">
        <w:rPr>
          <w:rFonts w:ascii="Arial" w:eastAsia="Times New Roman" w:hAnsi="Arial" w:cs="Arial"/>
          <w:kern w:val="0"/>
          <w:sz w:val="24"/>
          <w:szCs w:val="24"/>
          <w:lang w:val="en-GB" w:eastAsia="en-GB"/>
          <w14:ligatures w14:val="none"/>
        </w:rPr>
        <w:t xml:space="preserve"> </w:t>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r w:rsidRPr="004E09BB">
        <w:rPr>
          <w:rFonts w:ascii="Arial" w:eastAsia="Times New Roman" w:hAnsi="Arial" w:cs="Arial"/>
          <w:kern w:val="0"/>
          <w:sz w:val="24"/>
          <w:szCs w:val="24"/>
          <w:lang w:val="en-GB" w:eastAsia="en-GB"/>
          <w14:ligatures w14:val="none"/>
        </w:rPr>
        <w:tab/>
      </w:r>
    </w:p>
    <w:p w14:paraId="7DCE80F6" w14:textId="77777777" w:rsidR="004E09BB" w:rsidRPr="004E09BB" w:rsidRDefault="004E09BB" w:rsidP="004E09BB">
      <w:pPr>
        <w:spacing w:after="0" w:line="276" w:lineRule="auto"/>
        <w:rPr>
          <w:rFonts w:ascii="Arial" w:hAnsi="Arial" w:cs="Arial"/>
          <w:b/>
          <w:kern w:val="0"/>
          <w:sz w:val="24"/>
          <w:szCs w:val="24"/>
          <w:lang w:val="en-ZA"/>
          <w14:ligatures w14:val="none"/>
        </w:rPr>
      </w:pPr>
      <w:r w:rsidRPr="004E09BB">
        <w:rPr>
          <w:rFonts w:ascii="Arial" w:hAnsi="Arial" w:cs="Arial"/>
          <w:kern w:val="0"/>
          <w:sz w:val="24"/>
          <w:szCs w:val="24"/>
          <w:lang w:val="en-ZA"/>
          <w14:ligatures w14:val="none"/>
        </w:rPr>
        <w:tab/>
      </w:r>
      <w:r w:rsidRPr="004E09BB">
        <w:rPr>
          <w:rFonts w:ascii="Arial" w:hAnsi="Arial" w:cs="Arial"/>
          <w:b/>
          <w:kern w:val="0"/>
          <w:sz w:val="24"/>
          <w:szCs w:val="24"/>
          <w:lang w:val="en-ZA"/>
          <w14:ligatures w14:val="none"/>
        </w:rPr>
        <w:tab/>
      </w:r>
      <w:r w:rsidRPr="004E09BB">
        <w:rPr>
          <w:rFonts w:ascii="Arial" w:hAnsi="Arial" w:cs="Arial"/>
          <w:b/>
          <w:kern w:val="0"/>
          <w:sz w:val="24"/>
          <w:szCs w:val="24"/>
          <w:lang w:val="en-ZA"/>
          <w14:ligatures w14:val="none"/>
        </w:rPr>
        <w:tab/>
      </w:r>
    </w:p>
    <w:p w14:paraId="3365CA19" w14:textId="77777777" w:rsidR="004E09BB" w:rsidRDefault="004E09BB" w:rsidP="000B5BAF">
      <w:pPr>
        <w:spacing w:after="240" w:line="360" w:lineRule="auto"/>
        <w:jc w:val="both"/>
        <w:rPr>
          <w:rFonts w:ascii="Arial" w:hAnsi="Arial" w:cs="Arial"/>
          <w:sz w:val="24"/>
          <w:szCs w:val="24"/>
        </w:rPr>
      </w:pPr>
    </w:p>
    <w:p w14:paraId="36640175" w14:textId="50F23A00" w:rsidR="000B5BA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B5BAF" w:rsidRPr="00AA7F42">
        <w:rPr>
          <w:rFonts w:ascii="Arial" w:hAnsi="Arial" w:cs="Arial"/>
          <w:sz w:val="24"/>
          <w:szCs w:val="24"/>
        </w:rPr>
        <w:t>This is an application in which the Applicants seek an order against the First, Second and Third Respond</w:t>
      </w:r>
      <w:r w:rsidR="00076BFB" w:rsidRPr="00AA7F42">
        <w:rPr>
          <w:rFonts w:ascii="Arial" w:hAnsi="Arial" w:cs="Arial"/>
          <w:sz w:val="24"/>
          <w:szCs w:val="24"/>
        </w:rPr>
        <w:t>ent</w:t>
      </w:r>
      <w:r w:rsidR="00D87E94" w:rsidRPr="00AA7F42">
        <w:rPr>
          <w:rFonts w:ascii="Arial" w:hAnsi="Arial" w:cs="Arial"/>
          <w:sz w:val="24"/>
          <w:szCs w:val="24"/>
        </w:rPr>
        <w:t>s</w:t>
      </w:r>
      <w:r w:rsidR="00076BFB" w:rsidRPr="00AA7F42">
        <w:rPr>
          <w:rFonts w:ascii="Arial" w:hAnsi="Arial" w:cs="Arial"/>
          <w:sz w:val="24"/>
          <w:szCs w:val="24"/>
        </w:rPr>
        <w:t xml:space="preserve"> to vacate the farms within</w:t>
      </w:r>
      <w:r w:rsidR="000B5BAF" w:rsidRPr="00AA7F42">
        <w:rPr>
          <w:rFonts w:ascii="Arial" w:hAnsi="Arial" w:cs="Arial"/>
          <w:sz w:val="24"/>
          <w:szCs w:val="24"/>
        </w:rPr>
        <w:t xml:space="preserve"> 20 day</w:t>
      </w:r>
      <w:r w:rsidR="00076BFB" w:rsidRPr="00AA7F42">
        <w:rPr>
          <w:rFonts w:ascii="Arial" w:hAnsi="Arial" w:cs="Arial"/>
          <w:sz w:val="24"/>
          <w:szCs w:val="24"/>
        </w:rPr>
        <w:t>s</w:t>
      </w:r>
      <w:r w:rsidR="000B5BAF" w:rsidRPr="00AA7F42">
        <w:rPr>
          <w:rFonts w:ascii="Arial" w:hAnsi="Arial" w:cs="Arial"/>
          <w:sz w:val="24"/>
          <w:szCs w:val="24"/>
        </w:rPr>
        <w:t xml:space="preserve"> period.</w:t>
      </w:r>
    </w:p>
    <w:p w14:paraId="65E572A5" w14:textId="64C2BEC2" w:rsidR="000B5BA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B5BAF" w:rsidRPr="00AA7F42">
        <w:rPr>
          <w:rFonts w:ascii="Arial" w:hAnsi="Arial" w:cs="Arial"/>
          <w:sz w:val="24"/>
          <w:szCs w:val="24"/>
        </w:rPr>
        <w:t>Part A of the Notice of Motion was granted on 22 June 2023. The parties are before Court for Part B and the matter is opposed by the First, Second and Third Respondents.</w:t>
      </w:r>
    </w:p>
    <w:p w14:paraId="2079C426" w14:textId="25097E41" w:rsidR="000B5BA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B5BAF" w:rsidRPr="00AA7F42">
        <w:rPr>
          <w:rFonts w:ascii="Arial" w:hAnsi="Arial" w:cs="Arial"/>
          <w:sz w:val="24"/>
          <w:szCs w:val="24"/>
        </w:rPr>
        <w:t>The relief sought in Part B is set out in detail in the Notice of Motion (Application for Eviction).</w:t>
      </w:r>
    </w:p>
    <w:p w14:paraId="200ACD50" w14:textId="50C8726F" w:rsidR="000B5BA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B5BAF" w:rsidRPr="00AA7F42">
        <w:rPr>
          <w:rFonts w:ascii="Arial" w:hAnsi="Arial" w:cs="Arial"/>
          <w:sz w:val="24"/>
          <w:szCs w:val="24"/>
        </w:rPr>
        <w:t>The matter came before me for arguments on 5 October 2023 and I reserved judgment.</w:t>
      </w:r>
    </w:p>
    <w:p w14:paraId="0CAAC8CF" w14:textId="0E5F63E5" w:rsidR="000B5BA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0B5BAF" w:rsidRPr="00AA7F42">
        <w:rPr>
          <w:rFonts w:ascii="Arial" w:hAnsi="Arial" w:cs="Arial"/>
          <w:sz w:val="24"/>
          <w:szCs w:val="24"/>
        </w:rPr>
        <w:t>The dispute involves four farm lands, namely:</w:t>
      </w:r>
    </w:p>
    <w:p w14:paraId="4C1E1DAC" w14:textId="7B4AAA5B" w:rsidR="000B5BAF" w:rsidRPr="00AA7F42" w:rsidRDefault="00AA7F42" w:rsidP="00AA7F42">
      <w:pPr>
        <w:spacing w:after="240"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B5BAF" w:rsidRPr="00AA7F42">
        <w:rPr>
          <w:rFonts w:ascii="Arial" w:hAnsi="Arial" w:cs="Arial"/>
          <w:sz w:val="24"/>
          <w:szCs w:val="24"/>
        </w:rPr>
        <w:t>Po</w:t>
      </w:r>
      <w:r w:rsidR="00357657" w:rsidRPr="00AA7F42">
        <w:rPr>
          <w:rFonts w:ascii="Arial" w:hAnsi="Arial" w:cs="Arial"/>
          <w:sz w:val="24"/>
          <w:szCs w:val="24"/>
        </w:rPr>
        <w:t>rtion 1 (Hou Moed) of the farm W</w:t>
      </w:r>
      <w:r w:rsidR="000B5BAF" w:rsidRPr="00AA7F42">
        <w:rPr>
          <w:rFonts w:ascii="Arial" w:hAnsi="Arial" w:cs="Arial"/>
          <w:sz w:val="24"/>
          <w:szCs w:val="24"/>
        </w:rPr>
        <w:t>aterpan 376, registration division Bultfontein, Free State Province;</w:t>
      </w:r>
    </w:p>
    <w:p w14:paraId="4353F840" w14:textId="4BF7BE87" w:rsidR="000B5BAF" w:rsidRPr="00AA7F42" w:rsidRDefault="00AA7F42" w:rsidP="00AA7F42">
      <w:pPr>
        <w:spacing w:after="240" w:line="36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74CD7" w:rsidRPr="00AA7F42">
        <w:rPr>
          <w:rFonts w:ascii="Arial" w:hAnsi="Arial" w:cs="Arial"/>
          <w:sz w:val="24"/>
          <w:szCs w:val="24"/>
        </w:rPr>
        <w:t>The farm, Hertzog 44 registration division Bultfontein Free State Province;</w:t>
      </w:r>
    </w:p>
    <w:p w14:paraId="5B0EEF94" w14:textId="25B13B7D" w:rsidR="00A74CD7" w:rsidRPr="00AA7F42" w:rsidRDefault="00AA7F42" w:rsidP="00AA7F42">
      <w:pPr>
        <w:spacing w:after="240" w:line="36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A74CD7" w:rsidRPr="00AA7F42">
        <w:rPr>
          <w:rFonts w:ascii="Arial" w:hAnsi="Arial" w:cs="Arial"/>
          <w:sz w:val="24"/>
          <w:szCs w:val="24"/>
        </w:rPr>
        <w:t>Farm Klip Pan 247, registration division Bultfontein Free State Province;</w:t>
      </w:r>
    </w:p>
    <w:p w14:paraId="6AD61F2B" w14:textId="0109A320" w:rsidR="00A74CD7" w:rsidRPr="00AA7F42" w:rsidRDefault="00AA7F42" w:rsidP="00AA7F42">
      <w:pPr>
        <w:spacing w:after="240" w:line="36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357657" w:rsidRPr="00AA7F42">
        <w:rPr>
          <w:rFonts w:ascii="Arial" w:hAnsi="Arial" w:cs="Arial"/>
          <w:sz w:val="24"/>
          <w:szCs w:val="24"/>
        </w:rPr>
        <w:t>Portion 2 (Mari</w:t>
      </w:r>
      <w:r w:rsidR="00A74CD7" w:rsidRPr="00AA7F42">
        <w:rPr>
          <w:rFonts w:ascii="Arial" w:hAnsi="Arial" w:cs="Arial"/>
          <w:sz w:val="24"/>
          <w:szCs w:val="24"/>
        </w:rPr>
        <w:t>asrust) of the farm Uitkoms</w:t>
      </w:r>
      <w:r w:rsidR="00357657" w:rsidRPr="00AA7F42">
        <w:rPr>
          <w:rFonts w:ascii="Arial" w:hAnsi="Arial" w:cs="Arial"/>
          <w:sz w:val="24"/>
          <w:szCs w:val="24"/>
        </w:rPr>
        <w:t>t</w:t>
      </w:r>
      <w:r w:rsidR="00A74CD7" w:rsidRPr="00AA7F42">
        <w:rPr>
          <w:rFonts w:ascii="Arial" w:hAnsi="Arial" w:cs="Arial"/>
          <w:sz w:val="24"/>
          <w:szCs w:val="24"/>
        </w:rPr>
        <w:t xml:space="preserve"> l13, registration Division Thuinessen, Free State Province.</w:t>
      </w:r>
    </w:p>
    <w:p w14:paraId="62485D70" w14:textId="1757A6E0" w:rsidR="00A74CD7"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D87E94" w:rsidRPr="00AA7F42">
        <w:rPr>
          <w:rFonts w:ascii="Arial" w:hAnsi="Arial" w:cs="Arial"/>
          <w:sz w:val="24"/>
          <w:szCs w:val="24"/>
        </w:rPr>
        <w:t>For purposes of this judgment, the properties referred to</w:t>
      </w:r>
      <w:r w:rsidR="00A74CD7" w:rsidRPr="00AA7F42">
        <w:rPr>
          <w:rFonts w:ascii="Arial" w:hAnsi="Arial" w:cs="Arial"/>
          <w:sz w:val="24"/>
          <w:szCs w:val="24"/>
        </w:rPr>
        <w:t xml:space="preserve"> above, will hereafter be referred to as “the farms”.</w:t>
      </w:r>
    </w:p>
    <w:p w14:paraId="048FF6BA" w14:textId="77777777" w:rsidR="00D87E94" w:rsidRDefault="00D87E94" w:rsidP="00D87E94">
      <w:pPr>
        <w:pStyle w:val="ListParagraph"/>
        <w:spacing w:after="240" w:line="360" w:lineRule="auto"/>
        <w:contextualSpacing w:val="0"/>
        <w:jc w:val="both"/>
        <w:rPr>
          <w:rFonts w:ascii="Arial" w:hAnsi="Arial" w:cs="Arial"/>
          <w:sz w:val="24"/>
          <w:szCs w:val="24"/>
        </w:rPr>
      </w:pPr>
    </w:p>
    <w:p w14:paraId="0AD74637" w14:textId="0BBB044F" w:rsidR="00A74CD7" w:rsidRPr="0064783B" w:rsidRDefault="0064783B" w:rsidP="00946014">
      <w:pPr>
        <w:spacing w:after="240" w:line="360" w:lineRule="auto"/>
        <w:jc w:val="both"/>
        <w:rPr>
          <w:rFonts w:ascii="Arial" w:hAnsi="Arial" w:cs="Arial"/>
          <w:sz w:val="24"/>
          <w:szCs w:val="24"/>
        </w:rPr>
      </w:pPr>
      <w:r w:rsidRPr="0064783B">
        <w:rPr>
          <w:rFonts w:ascii="Arial" w:hAnsi="Arial" w:cs="Arial"/>
          <w:sz w:val="24"/>
          <w:szCs w:val="24"/>
        </w:rPr>
        <w:lastRenderedPageBreak/>
        <w:t>BACKGROUND</w:t>
      </w:r>
    </w:p>
    <w:p w14:paraId="4A39481D" w14:textId="5030E892" w:rsidR="00A74CD7"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A74CD7" w:rsidRPr="00AA7F42">
        <w:rPr>
          <w:rFonts w:ascii="Arial" w:hAnsi="Arial" w:cs="Arial"/>
          <w:sz w:val="24"/>
          <w:szCs w:val="24"/>
        </w:rPr>
        <w:t>The farms were previously owned by Phi</w:t>
      </w:r>
      <w:r w:rsidR="00AA0ABB" w:rsidRPr="00AA7F42">
        <w:rPr>
          <w:rFonts w:ascii="Arial" w:hAnsi="Arial" w:cs="Arial"/>
          <w:sz w:val="24"/>
          <w:szCs w:val="24"/>
        </w:rPr>
        <w:t>l</w:t>
      </w:r>
      <w:r w:rsidR="00A74CD7" w:rsidRPr="00AA7F42">
        <w:rPr>
          <w:rFonts w:ascii="Arial" w:hAnsi="Arial" w:cs="Arial"/>
          <w:sz w:val="24"/>
          <w:szCs w:val="24"/>
        </w:rPr>
        <w:t>lipus</w:t>
      </w:r>
      <w:r w:rsidR="00D87E94" w:rsidRPr="00AA7F42">
        <w:rPr>
          <w:rFonts w:ascii="Arial" w:hAnsi="Arial" w:cs="Arial"/>
          <w:sz w:val="24"/>
          <w:szCs w:val="24"/>
        </w:rPr>
        <w:t xml:space="preserve"> Abraham D</w:t>
      </w:r>
      <w:r w:rsidR="00AA0ABB" w:rsidRPr="00AA7F42">
        <w:rPr>
          <w:rFonts w:ascii="Arial" w:hAnsi="Arial" w:cs="Arial"/>
          <w:sz w:val="24"/>
          <w:szCs w:val="24"/>
        </w:rPr>
        <w:t>e Bru</w:t>
      </w:r>
      <w:r w:rsidR="00D87E94" w:rsidRPr="00AA7F42">
        <w:rPr>
          <w:rFonts w:ascii="Arial" w:hAnsi="Arial" w:cs="Arial"/>
          <w:sz w:val="24"/>
          <w:szCs w:val="24"/>
        </w:rPr>
        <w:t>yn. The said Phillipus Abraham D</w:t>
      </w:r>
      <w:r w:rsidR="00AA0ABB" w:rsidRPr="00AA7F42">
        <w:rPr>
          <w:rFonts w:ascii="Arial" w:hAnsi="Arial" w:cs="Arial"/>
          <w:sz w:val="24"/>
          <w:szCs w:val="24"/>
        </w:rPr>
        <w:t>e Bruyn was sequestrated and the Second and Third Applicants were appointed as the truste</w:t>
      </w:r>
      <w:r w:rsidR="00E24C28" w:rsidRPr="00AA7F42">
        <w:rPr>
          <w:rFonts w:ascii="Arial" w:hAnsi="Arial" w:cs="Arial"/>
          <w:sz w:val="24"/>
          <w:szCs w:val="24"/>
        </w:rPr>
        <w:t>es of the insolvent estate.</w:t>
      </w:r>
    </w:p>
    <w:p w14:paraId="5CAA6561" w14:textId="51052B92" w:rsidR="00E24C28" w:rsidRPr="00AA7F42" w:rsidRDefault="00AA7F42" w:rsidP="00AA7F42">
      <w:pPr>
        <w:spacing w:after="240" w:line="360" w:lineRule="auto"/>
        <w:ind w:left="72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r w:rsidR="00E24C28" w:rsidRPr="00AA7F42">
        <w:rPr>
          <w:rFonts w:ascii="Arial" w:hAnsi="Arial" w:cs="Arial"/>
          <w:sz w:val="24"/>
          <w:szCs w:val="24"/>
        </w:rPr>
        <w:t>The Second and Third Applicants in terms of the Insolvency Act, had the duty to collect the assets in the insolvent estate and distribute the proceeds among the creditors, in order of preference as set out in the Insolvency Act</w:t>
      </w:r>
      <w:r w:rsidR="00D87E94" w:rsidRPr="00AA7F42">
        <w:rPr>
          <w:rFonts w:ascii="Arial" w:hAnsi="Arial" w:cs="Arial"/>
          <w:sz w:val="24"/>
          <w:szCs w:val="24"/>
        </w:rPr>
        <w:t xml:space="preserve"> 24 of 1936</w:t>
      </w:r>
      <w:r w:rsidR="00E24C28" w:rsidRPr="00AA7F42">
        <w:rPr>
          <w:rFonts w:ascii="Arial" w:hAnsi="Arial" w:cs="Arial"/>
          <w:sz w:val="24"/>
          <w:szCs w:val="24"/>
        </w:rPr>
        <w:t>.</w:t>
      </w:r>
    </w:p>
    <w:p w14:paraId="00A72FC4" w14:textId="79C5B63F" w:rsidR="00E24C2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4C28" w:rsidRPr="00AA7F42">
        <w:rPr>
          <w:rFonts w:ascii="Arial" w:hAnsi="Arial" w:cs="Arial"/>
          <w:sz w:val="24"/>
          <w:szCs w:val="24"/>
        </w:rPr>
        <w:t>The Second and Third Applicant put the farms up for auction on 8 March 2022. The farms were put up for auction subject to a lease agreement. The bid i</w:t>
      </w:r>
      <w:r w:rsidR="0085618C" w:rsidRPr="00AA7F42">
        <w:rPr>
          <w:rFonts w:ascii="Arial" w:hAnsi="Arial" w:cs="Arial"/>
          <w:sz w:val="24"/>
          <w:szCs w:val="24"/>
        </w:rPr>
        <w:t>n respect of the farms was too little</w:t>
      </w:r>
      <w:r w:rsidR="00E24C28" w:rsidRPr="00AA7F42">
        <w:rPr>
          <w:rFonts w:ascii="Arial" w:hAnsi="Arial" w:cs="Arial"/>
          <w:sz w:val="24"/>
          <w:szCs w:val="24"/>
        </w:rPr>
        <w:t xml:space="preserve"> and the farms were put up for auction on the same day without a lease agreement.</w:t>
      </w:r>
    </w:p>
    <w:p w14:paraId="20EF7AC8" w14:textId="101F7C05" w:rsidR="00E24C2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24C28" w:rsidRPr="00AA7F42">
        <w:rPr>
          <w:rFonts w:ascii="Arial" w:hAnsi="Arial" w:cs="Arial"/>
          <w:sz w:val="24"/>
          <w:szCs w:val="24"/>
        </w:rPr>
        <w:t>On 18 March 2022, the deponent</w:t>
      </w:r>
      <w:r w:rsidR="0085618C" w:rsidRPr="00AA7F42">
        <w:rPr>
          <w:rFonts w:ascii="Arial" w:hAnsi="Arial" w:cs="Arial"/>
          <w:sz w:val="24"/>
          <w:szCs w:val="24"/>
        </w:rPr>
        <w:t xml:space="preserve"> of the founding affidavit,</w:t>
      </w:r>
      <w:r w:rsidR="00E24C28" w:rsidRPr="00AA7F42">
        <w:rPr>
          <w:rFonts w:ascii="Arial" w:hAnsi="Arial" w:cs="Arial"/>
          <w:sz w:val="24"/>
          <w:szCs w:val="24"/>
        </w:rPr>
        <w:t xml:space="preserve"> on behalf of the </w:t>
      </w:r>
      <w:r w:rsidR="00D71570" w:rsidRPr="00AA7F42">
        <w:rPr>
          <w:rFonts w:ascii="Arial" w:hAnsi="Arial" w:cs="Arial"/>
          <w:sz w:val="24"/>
          <w:szCs w:val="24"/>
        </w:rPr>
        <w:t>First Applicant</w:t>
      </w:r>
      <w:r w:rsidR="00E24C28" w:rsidRPr="00AA7F42">
        <w:rPr>
          <w:rFonts w:ascii="Arial" w:hAnsi="Arial" w:cs="Arial"/>
          <w:sz w:val="24"/>
          <w:szCs w:val="24"/>
        </w:rPr>
        <w:t xml:space="preserve"> signed an offer to purchase for an amount of R10 255 000,00</w:t>
      </w:r>
      <w:r w:rsidR="0085618C" w:rsidRPr="00AA7F42">
        <w:rPr>
          <w:rFonts w:ascii="Arial" w:hAnsi="Arial" w:cs="Arial"/>
          <w:sz w:val="24"/>
          <w:szCs w:val="24"/>
        </w:rPr>
        <w:t xml:space="preserve"> plus VAT</w:t>
      </w:r>
      <w:r w:rsidR="00E24C28" w:rsidRPr="00AA7F42">
        <w:rPr>
          <w:rFonts w:ascii="Arial" w:hAnsi="Arial" w:cs="Arial"/>
          <w:sz w:val="24"/>
          <w:szCs w:val="24"/>
        </w:rPr>
        <w:t>. The offer to purchase was accepted by the Second and Third Applicants on 23 March 2022.</w:t>
      </w:r>
    </w:p>
    <w:p w14:paraId="24D5C6B8" w14:textId="54D919CB" w:rsidR="00E24C2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24C28" w:rsidRPr="00AA7F42">
        <w:rPr>
          <w:rFonts w:ascii="Arial" w:hAnsi="Arial" w:cs="Arial"/>
          <w:sz w:val="24"/>
          <w:szCs w:val="24"/>
        </w:rPr>
        <w:t>At the time of the auction, an offer to purchase was concluded. The First, Second and Third Respondents were occupying the farm. The Applicants concluded that after the registration of transfer into the</w:t>
      </w:r>
      <w:r w:rsidR="0085618C" w:rsidRPr="00AA7F42">
        <w:rPr>
          <w:rFonts w:ascii="Arial" w:hAnsi="Arial" w:cs="Arial"/>
          <w:sz w:val="24"/>
          <w:szCs w:val="24"/>
        </w:rPr>
        <w:t xml:space="preserve"> names of the </w:t>
      </w:r>
      <w:r w:rsidR="00D71570" w:rsidRPr="00AA7F42">
        <w:rPr>
          <w:rFonts w:ascii="Arial" w:hAnsi="Arial" w:cs="Arial"/>
          <w:sz w:val="24"/>
          <w:szCs w:val="24"/>
        </w:rPr>
        <w:t>First Applicant</w:t>
      </w:r>
      <w:r w:rsidR="0085618C" w:rsidRPr="00AA7F42">
        <w:rPr>
          <w:rFonts w:ascii="Arial" w:hAnsi="Arial" w:cs="Arial"/>
          <w:sz w:val="24"/>
          <w:szCs w:val="24"/>
        </w:rPr>
        <w:t>, t</w:t>
      </w:r>
      <w:r w:rsidR="00E24C28" w:rsidRPr="00AA7F42">
        <w:rPr>
          <w:rFonts w:ascii="Arial" w:hAnsi="Arial" w:cs="Arial"/>
          <w:sz w:val="24"/>
          <w:szCs w:val="24"/>
        </w:rPr>
        <w:t xml:space="preserve">he </w:t>
      </w:r>
      <w:r w:rsidR="00D71570" w:rsidRPr="00AA7F42">
        <w:rPr>
          <w:rFonts w:ascii="Arial" w:hAnsi="Arial" w:cs="Arial"/>
          <w:sz w:val="24"/>
          <w:szCs w:val="24"/>
        </w:rPr>
        <w:t>First Applicant</w:t>
      </w:r>
      <w:r w:rsidR="00E24C28" w:rsidRPr="00AA7F42">
        <w:rPr>
          <w:rFonts w:ascii="Arial" w:hAnsi="Arial" w:cs="Arial"/>
          <w:sz w:val="24"/>
          <w:szCs w:val="24"/>
        </w:rPr>
        <w:t xml:space="preserve"> would take up occupation of the farms on date</w:t>
      </w:r>
      <w:r w:rsidR="00A17826" w:rsidRPr="00AA7F42">
        <w:rPr>
          <w:rFonts w:ascii="Arial" w:hAnsi="Arial" w:cs="Arial"/>
          <w:sz w:val="24"/>
          <w:szCs w:val="24"/>
        </w:rPr>
        <w:t xml:space="preserve"> of registration and the </w:t>
      </w:r>
      <w:r w:rsidR="0085618C" w:rsidRPr="00AA7F42">
        <w:rPr>
          <w:rFonts w:ascii="Arial" w:hAnsi="Arial" w:cs="Arial"/>
          <w:sz w:val="24"/>
          <w:szCs w:val="24"/>
        </w:rPr>
        <w:t xml:space="preserve">First to Third </w:t>
      </w:r>
      <w:r w:rsidR="00A17826" w:rsidRPr="00AA7F42">
        <w:rPr>
          <w:rFonts w:ascii="Arial" w:hAnsi="Arial" w:cs="Arial"/>
          <w:sz w:val="24"/>
          <w:szCs w:val="24"/>
        </w:rPr>
        <w:t>Respon</w:t>
      </w:r>
      <w:r w:rsidR="0085618C" w:rsidRPr="00AA7F42">
        <w:rPr>
          <w:rFonts w:ascii="Arial" w:hAnsi="Arial" w:cs="Arial"/>
          <w:sz w:val="24"/>
          <w:szCs w:val="24"/>
        </w:rPr>
        <w:t>d</w:t>
      </w:r>
      <w:r w:rsidR="00A17826" w:rsidRPr="00AA7F42">
        <w:rPr>
          <w:rFonts w:ascii="Arial" w:hAnsi="Arial" w:cs="Arial"/>
          <w:sz w:val="24"/>
          <w:szCs w:val="24"/>
        </w:rPr>
        <w:t>ent</w:t>
      </w:r>
      <w:r w:rsidR="0085618C" w:rsidRPr="00AA7F42">
        <w:rPr>
          <w:rFonts w:ascii="Arial" w:hAnsi="Arial" w:cs="Arial"/>
          <w:sz w:val="24"/>
          <w:szCs w:val="24"/>
        </w:rPr>
        <w:t>s</w:t>
      </w:r>
      <w:r w:rsidR="00A17826" w:rsidRPr="00AA7F42">
        <w:rPr>
          <w:rFonts w:ascii="Arial" w:hAnsi="Arial" w:cs="Arial"/>
          <w:sz w:val="24"/>
          <w:szCs w:val="24"/>
        </w:rPr>
        <w:t xml:space="preserve"> would vacate the farms.</w:t>
      </w:r>
    </w:p>
    <w:p w14:paraId="38EC977D" w14:textId="1EC0AE81" w:rsidR="00A1782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17826" w:rsidRPr="00AA7F42">
        <w:rPr>
          <w:rFonts w:ascii="Arial" w:hAnsi="Arial" w:cs="Arial"/>
          <w:sz w:val="24"/>
          <w:szCs w:val="24"/>
        </w:rPr>
        <w:t xml:space="preserve">On 5 April 2022, the </w:t>
      </w:r>
      <w:r w:rsidR="00D71570" w:rsidRPr="00AA7F42">
        <w:rPr>
          <w:rFonts w:ascii="Arial" w:hAnsi="Arial" w:cs="Arial"/>
          <w:sz w:val="24"/>
          <w:szCs w:val="24"/>
        </w:rPr>
        <w:t>First Applicant</w:t>
      </w:r>
      <w:r w:rsidR="003D60AB" w:rsidRPr="00AA7F42">
        <w:rPr>
          <w:rFonts w:ascii="Arial" w:hAnsi="Arial" w:cs="Arial"/>
          <w:sz w:val="24"/>
          <w:szCs w:val="24"/>
        </w:rPr>
        <w:t>’</w:t>
      </w:r>
      <w:r w:rsidR="00A17826" w:rsidRPr="00AA7F42">
        <w:rPr>
          <w:rFonts w:ascii="Arial" w:hAnsi="Arial" w:cs="Arial"/>
          <w:sz w:val="24"/>
          <w:szCs w:val="24"/>
        </w:rPr>
        <w:t>s attorney</w:t>
      </w:r>
      <w:r w:rsidR="0085618C" w:rsidRPr="00AA7F42">
        <w:rPr>
          <w:rFonts w:ascii="Arial" w:hAnsi="Arial" w:cs="Arial"/>
          <w:sz w:val="24"/>
          <w:szCs w:val="24"/>
        </w:rPr>
        <w:t>s</w:t>
      </w:r>
      <w:r w:rsidR="00A17826" w:rsidRPr="00AA7F42">
        <w:rPr>
          <w:rFonts w:ascii="Arial" w:hAnsi="Arial" w:cs="Arial"/>
          <w:sz w:val="24"/>
          <w:szCs w:val="24"/>
        </w:rPr>
        <w:t xml:space="preserve"> of record served a letter on </w:t>
      </w:r>
      <w:r w:rsidR="00D71570" w:rsidRPr="00AA7F42">
        <w:rPr>
          <w:rFonts w:ascii="Arial" w:hAnsi="Arial" w:cs="Arial"/>
          <w:sz w:val="24"/>
          <w:szCs w:val="24"/>
        </w:rPr>
        <w:t>First Respondent</w:t>
      </w:r>
      <w:r w:rsidR="00A17826" w:rsidRPr="00AA7F42">
        <w:rPr>
          <w:rFonts w:ascii="Arial" w:hAnsi="Arial" w:cs="Arial"/>
          <w:sz w:val="24"/>
          <w:szCs w:val="24"/>
        </w:rPr>
        <w:t xml:space="preserve"> that he was in unlawful occupation of the farm and was required to vacate within </w:t>
      </w:r>
      <w:r w:rsidR="0085618C" w:rsidRPr="00AA7F42">
        <w:rPr>
          <w:rFonts w:ascii="Arial" w:hAnsi="Arial" w:cs="Arial"/>
          <w:sz w:val="24"/>
          <w:szCs w:val="24"/>
        </w:rPr>
        <w:t>14 days from date of the letter</w:t>
      </w:r>
      <w:r w:rsidR="00DD2398" w:rsidRPr="00AA7F42">
        <w:rPr>
          <w:rFonts w:ascii="Arial" w:hAnsi="Arial" w:cs="Arial"/>
          <w:sz w:val="24"/>
          <w:szCs w:val="24"/>
        </w:rPr>
        <w:t>.</w:t>
      </w:r>
      <w:r w:rsidR="0085618C">
        <w:rPr>
          <w:rStyle w:val="FootnoteReference"/>
          <w:rFonts w:ascii="Arial" w:hAnsi="Arial" w:cs="Arial"/>
          <w:sz w:val="24"/>
          <w:szCs w:val="24"/>
        </w:rPr>
        <w:footnoteReference w:id="1"/>
      </w:r>
      <w:r w:rsidR="00DD2398" w:rsidRPr="00AA7F42">
        <w:rPr>
          <w:rFonts w:ascii="Arial" w:hAnsi="Arial" w:cs="Arial"/>
          <w:sz w:val="24"/>
          <w:szCs w:val="24"/>
        </w:rPr>
        <w:t xml:space="preserve"> </w:t>
      </w:r>
      <w:r w:rsidR="00A17826" w:rsidRPr="00AA7F42">
        <w:rPr>
          <w:rFonts w:ascii="Arial" w:hAnsi="Arial" w:cs="Arial"/>
          <w:sz w:val="24"/>
          <w:szCs w:val="24"/>
        </w:rPr>
        <w:t xml:space="preserve"> Despite the aforesaid letters, the First, Second and Third Respondent failed and/or refused to vacate the farms.</w:t>
      </w:r>
    </w:p>
    <w:p w14:paraId="05BB13A1" w14:textId="5F1FEF61" w:rsidR="00A1782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17826" w:rsidRPr="00AA7F42">
        <w:rPr>
          <w:rFonts w:ascii="Arial" w:hAnsi="Arial" w:cs="Arial"/>
          <w:sz w:val="24"/>
          <w:szCs w:val="24"/>
        </w:rPr>
        <w:t>On 17 April 2023, the deponent</w:t>
      </w:r>
      <w:r w:rsidR="005D2943" w:rsidRPr="00AA7F42">
        <w:rPr>
          <w:rFonts w:ascii="Arial" w:hAnsi="Arial" w:cs="Arial"/>
          <w:sz w:val="24"/>
          <w:szCs w:val="24"/>
        </w:rPr>
        <w:t xml:space="preserve"> of the founding affidavit,</w:t>
      </w:r>
      <w:r w:rsidR="00A17826" w:rsidRPr="00AA7F42">
        <w:rPr>
          <w:rFonts w:ascii="Arial" w:hAnsi="Arial" w:cs="Arial"/>
          <w:sz w:val="24"/>
          <w:szCs w:val="24"/>
        </w:rPr>
        <w:t xml:space="preserve"> personally contacted the </w:t>
      </w:r>
      <w:r w:rsidR="00D71570" w:rsidRPr="00AA7F42">
        <w:rPr>
          <w:rFonts w:ascii="Arial" w:hAnsi="Arial" w:cs="Arial"/>
          <w:sz w:val="24"/>
          <w:szCs w:val="24"/>
        </w:rPr>
        <w:t>First Respondent</w:t>
      </w:r>
      <w:r w:rsidR="00A17826" w:rsidRPr="00AA7F42">
        <w:rPr>
          <w:rFonts w:ascii="Arial" w:hAnsi="Arial" w:cs="Arial"/>
          <w:sz w:val="24"/>
          <w:szCs w:val="24"/>
        </w:rPr>
        <w:t xml:space="preserve"> telephonically to enquire when he would vacate the farms. </w:t>
      </w:r>
      <w:r w:rsidR="00A17826" w:rsidRPr="00AA7F42">
        <w:rPr>
          <w:rFonts w:ascii="Arial" w:hAnsi="Arial" w:cs="Arial"/>
          <w:sz w:val="24"/>
          <w:szCs w:val="24"/>
        </w:rPr>
        <w:lastRenderedPageBreak/>
        <w:t xml:space="preserve">According to the deponent, the </w:t>
      </w:r>
      <w:r w:rsidR="00D71570" w:rsidRPr="00AA7F42">
        <w:rPr>
          <w:rFonts w:ascii="Arial" w:hAnsi="Arial" w:cs="Arial"/>
          <w:sz w:val="24"/>
          <w:szCs w:val="24"/>
        </w:rPr>
        <w:t>First Respondent</w:t>
      </w:r>
      <w:r w:rsidR="00A17826" w:rsidRPr="00AA7F42">
        <w:rPr>
          <w:rFonts w:ascii="Arial" w:hAnsi="Arial" w:cs="Arial"/>
          <w:sz w:val="24"/>
          <w:szCs w:val="24"/>
        </w:rPr>
        <w:t xml:space="preserve"> gave an undertaking to vacate t</w:t>
      </w:r>
      <w:r w:rsidR="004E40BC" w:rsidRPr="00AA7F42">
        <w:rPr>
          <w:rFonts w:ascii="Arial" w:hAnsi="Arial" w:cs="Arial"/>
          <w:sz w:val="24"/>
          <w:szCs w:val="24"/>
        </w:rPr>
        <w:t>he farms on condition that the r</w:t>
      </w:r>
      <w:r w:rsidR="00A17826" w:rsidRPr="00AA7F42">
        <w:rPr>
          <w:rFonts w:ascii="Arial" w:hAnsi="Arial" w:cs="Arial"/>
          <w:sz w:val="24"/>
          <w:szCs w:val="24"/>
        </w:rPr>
        <w:t>ouwkoo</w:t>
      </w:r>
      <w:r w:rsidR="004E40BC" w:rsidRPr="00AA7F42">
        <w:rPr>
          <w:rFonts w:ascii="Arial" w:hAnsi="Arial" w:cs="Arial"/>
          <w:sz w:val="24"/>
          <w:szCs w:val="24"/>
        </w:rPr>
        <w:t>p</w:t>
      </w:r>
      <w:r w:rsidR="00A17826" w:rsidRPr="00AA7F42">
        <w:rPr>
          <w:rFonts w:ascii="Arial" w:hAnsi="Arial" w:cs="Arial"/>
          <w:sz w:val="24"/>
          <w:szCs w:val="24"/>
        </w:rPr>
        <w:t xml:space="preserve"> amount is </w:t>
      </w:r>
      <w:r w:rsidR="004E40BC" w:rsidRPr="00AA7F42">
        <w:rPr>
          <w:rFonts w:ascii="Arial" w:hAnsi="Arial" w:cs="Arial"/>
          <w:sz w:val="24"/>
          <w:szCs w:val="24"/>
        </w:rPr>
        <w:t>re</w:t>
      </w:r>
      <w:r w:rsidR="00A17826" w:rsidRPr="00AA7F42">
        <w:rPr>
          <w:rFonts w:ascii="Arial" w:hAnsi="Arial" w:cs="Arial"/>
          <w:sz w:val="24"/>
          <w:szCs w:val="24"/>
        </w:rPr>
        <w:t>paid.</w:t>
      </w:r>
    </w:p>
    <w:p w14:paraId="56BE096A" w14:textId="05CC6DC2" w:rsidR="00A1782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17826" w:rsidRPr="00AA7F42">
        <w:rPr>
          <w:rFonts w:ascii="Arial" w:hAnsi="Arial" w:cs="Arial"/>
          <w:sz w:val="24"/>
          <w:szCs w:val="24"/>
        </w:rPr>
        <w:t>The issue for determination</w:t>
      </w:r>
      <w:r w:rsidR="004E40BC" w:rsidRPr="00AA7F42">
        <w:rPr>
          <w:rFonts w:ascii="Arial" w:hAnsi="Arial" w:cs="Arial"/>
          <w:sz w:val="24"/>
          <w:szCs w:val="24"/>
        </w:rPr>
        <w:t xml:space="preserve"> is whether the First to </w:t>
      </w:r>
      <w:r w:rsidR="004E40BC" w:rsidRPr="00AA7F42">
        <w:rPr>
          <w:rFonts w:ascii="Arial" w:hAnsi="Arial" w:cs="Arial"/>
          <w:color w:val="000000" w:themeColor="text1"/>
          <w:sz w:val="24"/>
          <w:szCs w:val="24"/>
        </w:rPr>
        <w:t>Third</w:t>
      </w:r>
      <w:r w:rsidR="00A17826" w:rsidRPr="00AA7F42">
        <w:rPr>
          <w:rFonts w:ascii="Arial" w:hAnsi="Arial" w:cs="Arial"/>
          <w:sz w:val="24"/>
          <w:szCs w:val="24"/>
        </w:rPr>
        <w:t xml:space="preserve"> Respondents are in unlawful occupation of the farms in light of a lease agreement</w:t>
      </w:r>
      <w:r w:rsidR="004E40BC" w:rsidRPr="00AA7F42">
        <w:rPr>
          <w:rFonts w:ascii="Arial" w:hAnsi="Arial" w:cs="Arial"/>
          <w:sz w:val="24"/>
          <w:szCs w:val="24"/>
        </w:rPr>
        <w:t>,</w:t>
      </w:r>
      <w:r w:rsidR="00A17826" w:rsidRPr="00AA7F42">
        <w:rPr>
          <w:rFonts w:ascii="Arial" w:hAnsi="Arial" w:cs="Arial"/>
          <w:sz w:val="24"/>
          <w:szCs w:val="24"/>
        </w:rPr>
        <w:t xml:space="preserve"> that the First and Second Respondents allege has no</w:t>
      </w:r>
      <w:r w:rsidR="004E40BC" w:rsidRPr="00AA7F42">
        <w:rPr>
          <w:rFonts w:ascii="Arial" w:hAnsi="Arial" w:cs="Arial"/>
          <w:sz w:val="24"/>
          <w:szCs w:val="24"/>
        </w:rPr>
        <w:t>t been cancelled;</w:t>
      </w:r>
      <w:r w:rsidR="00A17826" w:rsidRPr="00AA7F42">
        <w:rPr>
          <w:rFonts w:ascii="Arial" w:hAnsi="Arial" w:cs="Arial"/>
          <w:sz w:val="24"/>
          <w:szCs w:val="24"/>
        </w:rPr>
        <w:t xml:space="preserve"> whether the farms were sold without a lease agreement and whether the bid for selling the farms was higher than the outstanding mortgage value.</w:t>
      </w:r>
    </w:p>
    <w:p w14:paraId="370100C1" w14:textId="6B69F51A" w:rsidR="00A1782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17826" w:rsidRPr="00AA7F42">
        <w:rPr>
          <w:rFonts w:ascii="Arial" w:hAnsi="Arial" w:cs="Arial"/>
          <w:sz w:val="24"/>
          <w:szCs w:val="24"/>
        </w:rPr>
        <w:t xml:space="preserve">Counsel on behalf of the </w:t>
      </w:r>
      <w:r w:rsidR="00D71570" w:rsidRPr="00AA7F42">
        <w:rPr>
          <w:rFonts w:ascii="Arial" w:hAnsi="Arial" w:cs="Arial"/>
          <w:sz w:val="24"/>
          <w:szCs w:val="24"/>
        </w:rPr>
        <w:t>First Applicant</w:t>
      </w:r>
      <w:r w:rsidR="00A17826" w:rsidRPr="00AA7F42">
        <w:rPr>
          <w:rFonts w:ascii="Arial" w:hAnsi="Arial" w:cs="Arial"/>
          <w:sz w:val="24"/>
          <w:szCs w:val="24"/>
        </w:rPr>
        <w:t xml:space="preserve">, Adv. </w:t>
      </w:r>
      <w:r w:rsidR="004E40BC" w:rsidRPr="00AA7F42">
        <w:rPr>
          <w:rFonts w:ascii="Arial" w:hAnsi="Arial" w:cs="Arial"/>
          <w:sz w:val="24"/>
          <w:szCs w:val="24"/>
        </w:rPr>
        <w:t>Els, submitted in oral arguments</w:t>
      </w:r>
      <w:r w:rsidR="00A17826" w:rsidRPr="00AA7F42">
        <w:rPr>
          <w:rFonts w:ascii="Arial" w:hAnsi="Arial" w:cs="Arial"/>
          <w:sz w:val="24"/>
          <w:szCs w:val="24"/>
        </w:rPr>
        <w:t xml:space="preserve"> as well as written arguments that it is not in dispute that the </w:t>
      </w:r>
      <w:r w:rsidR="00D71570" w:rsidRPr="00AA7F42">
        <w:rPr>
          <w:rFonts w:ascii="Arial" w:hAnsi="Arial" w:cs="Arial"/>
          <w:sz w:val="24"/>
          <w:szCs w:val="24"/>
        </w:rPr>
        <w:t>First Applicant</w:t>
      </w:r>
      <w:r w:rsidR="00A17826" w:rsidRPr="00AA7F42">
        <w:rPr>
          <w:rFonts w:ascii="Arial" w:hAnsi="Arial" w:cs="Arial"/>
          <w:sz w:val="24"/>
          <w:szCs w:val="24"/>
        </w:rPr>
        <w:t xml:space="preserve"> is the registered owner of the farms and has the necessary </w:t>
      </w:r>
      <w:r w:rsidR="00A17826" w:rsidRPr="00AA7F42">
        <w:rPr>
          <w:rFonts w:ascii="Arial" w:hAnsi="Arial" w:cs="Arial"/>
          <w:i/>
          <w:sz w:val="24"/>
          <w:szCs w:val="24"/>
        </w:rPr>
        <w:t>locus standi</w:t>
      </w:r>
      <w:r w:rsidR="004E40BC" w:rsidRPr="00AA7F42">
        <w:rPr>
          <w:rFonts w:ascii="Arial" w:hAnsi="Arial" w:cs="Arial"/>
          <w:sz w:val="24"/>
          <w:szCs w:val="24"/>
        </w:rPr>
        <w:t xml:space="preserve"> to institute the application; that the First to Third</w:t>
      </w:r>
      <w:r w:rsidR="00A17826" w:rsidRPr="00AA7F42">
        <w:rPr>
          <w:rFonts w:ascii="Arial" w:hAnsi="Arial" w:cs="Arial"/>
          <w:sz w:val="24"/>
          <w:szCs w:val="24"/>
        </w:rPr>
        <w:t xml:space="preserve"> Respondents are in unlawful occupation and that </w:t>
      </w:r>
      <w:r w:rsidR="004E40BC" w:rsidRPr="00AA7F42">
        <w:rPr>
          <w:rFonts w:ascii="Arial" w:hAnsi="Arial" w:cs="Arial"/>
          <w:sz w:val="24"/>
          <w:szCs w:val="24"/>
        </w:rPr>
        <w:t>t</w:t>
      </w:r>
      <w:r w:rsidR="00A17826" w:rsidRPr="00AA7F42">
        <w:rPr>
          <w:rFonts w:ascii="Arial" w:hAnsi="Arial" w:cs="Arial"/>
          <w:sz w:val="24"/>
          <w:szCs w:val="24"/>
        </w:rPr>
        <w:t>he Respondents’ defense of a long term</w:t>
      </w:r>
      <w:r w:rsidR="008255F6" w:rsidRPr="00AA7F42">
        <w:rPr>
          <w:rFonts w:ascii="Arial" w:hAnsi="Arial" w:cs="Arial"/>
          <w:sz w:val="24"/>
          <w:szCs w:val="24"/>
        </w:rPr>
        <w:t xml:space="preserve"> lease agreement is not a valid ground as the mortgage bond registered over the property b</w:t>
      </w:r>
      <w:r w:rsidR="004E40BC" w:rsidRPr="00AA7F42">
        <w:rPr>
          <w:rFonts w:ascii="Arial" w:hAnsi="Arial" w:cs="Arial"/>
          <w:sz w:val="24"/>
          <w:szCs w:val="24"/>
        </w:rPr>
        <w:t>r</w:t>
      </w:r>
      <w:r w:rsidR="008255F6" w:rsidRPr="00AA7F42">
        <w:rPr>
          <w:rFonts w:ascii="Arial" w:hAnsi="Arial" w:cs="Arial"/>
          <w:sz w:val="24"/>
          <w:szCs w:val="24"/>
        </w:rPr>
        <w:t>ought t</w:t>
      </w:r>
      <w:r w:rsidR="004E40BC" w:rsidRPr="00AA7F42">
        <w:rPr>
          <w:rFonts w:ascii="Arial" w:hAnsi="Arial" w:cs="Arial"/>
          <w:sz w:val="24"/>
          <w:szCs w:val="24"/>
        </w:rPr>
        <w:t>he lease agreement to an end. It was</w:t>
      </w:r>
      <w:r w:rsidR="00946014" w:rsidRPr="00AA7F42">
        <w:rPr>
          <w:rFonts w:ascii="Arial" w:hAnsi="Arial" w:cs="Arial"/>
          <w:sz w:val="24"/>
          <w:szCs w:val="24"/>
        </w:rPr>
        <w:t xml:space="preserve"> further submitted that there are</w:t>
      </w:r>
      <w:r w:rsidR="008255F6" w:rsidRPr="00AA7F42">
        <w:rPr>
          <w:rFonts w:ascii="Arial" w:hAnsi="Arial" w:cs="Arial"/>
          <w:sz w:val="24"/>
          <w:szCs w:val="24"/>
        </w:rPr>
        <w:t xml:space="preserve"> currently workers on the farms, but the workers will remain until the necessary legal steps will</w:t>
      </w:r>
      <w:r w:rsidR="004E40BC" w:rsidRPr="00AA7F42">
        <w:rPr>
          <w:rFonts w:ascii="Arial" w:hAnsi="Arial" w:cs="Arial"/>
          <w:sz w:val="24"/>
          <w:szCs w:val="24"/>
        </w:rPr>
        <w:t xml:space="preserve"> be taken against the workers. Further t</w:t>
      </w:r>
      <w:r w:rsidR="008255F6" w:rsidRPr="00AA7F42">
        <w:rPr>
          <w:rFonts w:ascii="Arial" w:hAnsi="Arial" w:cs="Arial"/>
          <w:sz w:val="24"/>
          <w:szCs w:val="24"/>
        </w:rPr>
        <w:t>hat the eviction is only applicable to the First and Second Respondents.</w:t>
      </w:r>
    </w:p>
    <w:p w14:paraId="19A99722" w14:textId="230C531A" w:rsidR="008255F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255F6" w:rsidRPr="00AA7F42">
        <w:rPr>
          <w:rFonts w:ascii="Arial" w:hAnsi="Arial" w:cs="Arial"/>
          <w:sz w:val="24"/>
          <w:szCs w:val="24"/>
        </w:rPr>
        <w:t>Counsel on behalf of the First, Seco</w:t>
      </w:r>
      <w:r w:rsidR="00D43945" w:rsidRPr="00AA7F42">
        <w:rPr>
          <w:rFonts w:ascii="Arial" w:hAnsi="Arial" w:cs="Arial"/>
          <w:sz w:val="24"/>
          <w:szCs w:val="24"/>
        </w:rPr>
        <w:t>nd and Third Respondents, Adv. v</w:t>
      </w:r>
      <w:r w:rsidR="008255F6" w:rsidRPr="00AA7F42">
        <w:rPr>
          <w:rFonts w:ascii="Arial" w:hAnsi="Arial" w:cs="Arial"/>
          <w:sz w:val="24"/>
          <w:szCs w:val="24"/>
        </w:rPr>
        <w:t>an Staden, submitted i</w:t>
      </w:r>
      <w:r w:rsidR="004E40BC" w:rsidRPr="00AA7F42">
        <w:rPr>
          <w:rFonts w:ascii="Arial" w:hAnsi="Arial" w:cs="Arial"/>
          <w:sz w:val="24"/>
          <w:szCs w:val="24"/>
        </w:rPr>
        <w:t xml:space="preserve">n both oral and written </w:t>
      </w:r>
      <w:r w:rsidR="008255F6" w:rsidRPr="00AA7F42">
        <w:rPr>
          <w:rFonts w:ascii="Arial" w:hAnsi="Arial" w:cs="Arial"/>
          <w:sz w:val="24"/>
          <w:szCs w:val="24"/>
        </w:rPr>
        <w:t>argument</w:t>
      </w:r>
      <w:r w:rsidR="004E40BC" w:rsidRPr="00AA7F42">
        <w:rPr>
          <w:rFonts w:ascii="Arial" w:hAnsi="Arial" w:cs="Arial"/>
          <w:sz w:val="24"/>
          <w:szCs w:val="24"/>
        </w:rPr>
        <w:t>s</w:t>
      </w:r>
      <w:r w:rsidR="008255F6" w:rsidRPr="00AA7F42">
        <w:rPr>
          <w:rFonts w:ascii="Arial" w:hAnsi="Arial" w:cs="Arial"/>
          <w:sz w:val="24"/>
          <w:szCs w:val="24"/>
        </w:rPr>
        <w:t xml:space="preserve"> that the Respondents have a real right to stay on the farms as the First and Second Respondents have a lease agreemen</w:t>
      </w:r>
      <w:r w:rsidR="004E40BC" w:rsidRPr="00AA7F42">
        <w:rPr>
          <w:rFonts w:ascii="Arial" w:hAnsi="Arial" w:cs="Arial"/>
          <w:sz w:val="24"/>
          <w:szCs w:val="24"/>
        </w:rPr>
        <w:t>t with the previous owner, Mr. D</w:t>
      </w:r>
      <w:r w:rsidR="008255F6" w:rsidRPr="00AA7F42">
        <w:rPr>
          <w:rFonts w:ascii="Arial" w:hAnsi="Arial" w:cs="Arial"/>
          <w:sz w:val="24"/>
          <w:szCs w:val="24"/>
        </w:rPr>
        <w:t>e Bruyn, who was sequestrated. Counsel submitted that the Respondents made an offer to buy the farms, but their offer was rejecte</w:t>
      </w:r>
      <w:r w:rsidR="004E40BC" w:rsidRPr="00AA7F42">
        <w:rPr>
          <w:rFonts w:ascii="Arial" w:hAnsi="Arial" w:cs="Arial"/>
          <w:sz w:val="24"/>
          <w:szCs w:val="24"/>
        </w:rPr>
        <w:t>d by the Applicants as t</w:t>
      </w:r>
      <w:r w:rsidR="008255F6" w:rsidRPr="00AA7F42">
        <w:rPr>
          <w:rFonts w:ascii="Arial" w:hAnsi="Arial" w:cs="Arial"/>
          <w:sz w:val="24"/>
          <w:szCs w:val="24"/>
        </w:rPr>
        <w:t xml:space="preserve">he amount offered by the Respondents was </w:t>
      </w:r>
      <w:r w:rsidR="004E40BC" w:rsidRPr="00AA7F42">
        <w:rPr>
          <w:rFonts w:ascii="Arial" w:hAnsi="Arial" w:cs="Arial"/>
          <w:sz w:val="24"/>
          <w:szCs w:val="24"/>
        </w:rPr>
        <w:t>lesser than the mortgage bond. It was further submitted by Counsel t</w:t>
      </w:r>
      <w:r w:rsidR="008255F6" w:rsidRPr="00AA7F42">
        <w:rPr>
          <w:rFonts w:ascii="Arial" w:hAnsi="Arial" w:cs="Arial"/>
          <w:sz w:val="24"/>
          <w:szCs w:val="24"/>
        </w:rPr>
        <w:t>hat the farms were sold without the lease agreement even though the lease contract was not cancelled. Counsel further submitted that Applicants did not comply with Rule 41 A that parties are to mediate their dispute and</w:t>
      </w:r>
      <w:r w:rsidR="004E40BC" w:rsidRPr="00AA7F42">
        <w:rPr>
          <w:rFonts w:ascii="Arial" w:hAnsi="Arial" w:cs="Arial"/>
          <w:sz w:val="24"/>
          <w:szCs w:val="24"/>
        </w:rPr>
        <w:t xml:space="preserve"> that</w:t>
      </w:r>
      <w:r w:rsidR="008255F6" w:rsidRPr="00AA7F42">
        <w:rPr>
          <w:rFonts w:ascii="Arial" w:hAnsi="Arial" w:cs="Arial"/>
          <w:sz w:val="24"/>
          <w:szCs w:val="24"/>
        </w:rPr>
        <w:t xml:space="preserve"> the</w:t>
      </w:r>
      <w:r w:rsidR="004E40BC" w:rsidRPr="00AA7F42">
        <w:rPr>
          <w:rFonts w:ascii="Arial" w:hAnsi="Arial" w:cs="Arial"/>
          <w:sz w:val="24"/>
          <w:szCs w:val="24"/>
        </w:rPr>
        <w:t>re are four farms</w:t>
      </w:r>
      <w:r w:rsidR="008255F6" w:rsidRPr="00AA7F42">
        <w:rPr>
          <w:rFonts w:ascii="Arial" w:hAnsi="Arial" w:cs="Arial"/>
          <w:sz w:val="24"/>
          <w:szCs w:val="24"/>
        </w:rPr>
        <w:t>,</w:t>
      </w:r>
      <w:r w:rsidR="004E40BC" w:rsidRPr="00AA7F42">
        <w:rPr>
          <w:rFonts w:ascii="Arial" w:hAnsi="Arial" w:cs="Arial"/>
          <w:sz w:val="24"/>
          <w:szCs w:val="24"/>
        </w:rPr>
        <w:t xml:space="preserve"> of which</w:t>
      </w:r>
      <w:r w:rsidR="008255F6" w:rsidRPr="00AA7F42">
        <w:rPr>
          <w:rFonts w:ascii="Arial" w:hAnsi="Arial" w:cs="Arial"/>
          <w:sz w:val="24"/>
          <w:szCs w:val="24"/>
        </w:rPr>
        <w:t xml:space="preserve"> the Respondents only reside on </w:t>
      </w:r>
      <w:r w:rsidR="004E40BC" w:rsidRPr="00AA7F42">
        <w:rPr>
          <w:rFonts w:ascii="Arial" w:hAnsi="Arial" w:cs="Arial"/>
          <w:sz w:val="24"/>
          <w:szCs w:val="24"/>
        </w:rPr>
        <w:t>one of these (</w:t>
      </w:r>
      <w:r w:rsidR="008255F6" w:rsidRPr="00AA7F42">
        <w:rPr>
          <w:rFonts w:ascii="Arial" w:hAnsi="Arial" w:cs="Arial"/>
          <w:sz w:val="24"/>
          <w:szCs w:val="24"/>
        </w:rPr>
        <w:t>Hertzog</w:t>
      </w:r>
      <w:r w:rsidR="004E40BC" w:rsidRPr="00AA7F42">
        <w:rPr>
          <w:rFonts w:ascii="Arial" w:hAnsi="Arial" w:cs="Arial"/>
          <w:sz w:val="24"/>
          <w:szCs w:val="24"/>
        </w:rPr>
        <w:t>)</w:t>
      </w:r>
      <w:r w:rsidR="008255F6" w:rsidRPr="00AA7F42">
        <w:rPr>
          <w:rFonts w:ascii="Arial" w:hAnsi="Arial" w:cs="Arial"/>
          <w:sz w:val="24"/>
          <w:szCs w:val="24"/>
        </w:rPr>
        <w:t xml:space="preserve"> and should </w:t>
      </w:r>
      <w:r w:rsidR="004E40BC" w:rsidRPr="00AA7F42">
        <w:rPr>
          <w:rFonts w:ascii="Arial" w:hAnsi="Arial" w:cs="Arial"/>
          <w:sz w:val="24"/>
          <w:szCs w:val="24"/>
        </w:rPr>
        <w:t>therefore be allowed to occupy</w:t>
      </w:r>
      <w:r w:rsidR="008255F6" w:rsidRPr="00AA7F42">
        <w:rPr>
          <w:rFonts w:ascii="Arial" w:hAnsi="Arial" w:cs="Arial"/>
          <w:sz w:val="24"/>
          <w:szCs w:val="24"/>
        </w:rPr>
        <w:t xml:space="preserve"> until the lease contract runs out.</w:t>
      </w:r>
    </w:p>
    <w:p w14:paraId="23519BEC" w14:textId="1F989DBC" w:rsidR="008255F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0E524C" w:rsidRPr="00AA7F42">
        <w:rPr>
          <w:rFonts w:ascii="Arial" w:hAnsi="Arial" w:cs="Arial"/>
          <w:sz w:val="24"/>
          <w:szCs w:val="24"/>
        </w:rPr>
        <w:t xml:space="preserve">The </w:t>
      </w:r>
      <w:r w:rsidR="00D71570" w:rsidRPr="00AA7F42">
        <w:rPr>
          <w:rFonts w:ascii="Arial" w:hAnsi="Arial" w:cs="Arial"/>
          <w:sz w:val="24"/>
          <w:szCs w:val="24"/>
        </w:rPr>
        <w:t>First Respondent</w:t>
      </w:r>
      <w:r w:rsidR="000E524C" w:rsidRPr="00AA7F42">
        <w:rPr>
          <w:rFonts w:ascii="Arial" w:hAnsi="Arial" w:cs="Arial"/>
          <w:sz w:val="24"/>
          <w:szCs w:val="24"/>
        </w:rPr>
        <w:t xml:space="preserve"> filed a supplementary affidavit to his opposing af</w:t>
      </w:r>
      <w:r w:rsidR="0023157C" w:rsidRPr="00AA7F42">
        <w:rPr>
          <w:rFonts w:ascii="Arial" w:hAnsi="Arial" w:cs="Arial"/>
          <w:sz w:val="24"/>
          <w:szCs w:val="24"/>
        </w:rPr>
        <w:t>fidavit without leave from the C</w:t>
      </w:r>
      <w:r w:rsidR="000E524C" w:rsidRPr="00AA7F42">
        <w:rPr>
          <w:rFonts w:ascii="Arial" w:hAnsi="Arial" w:cs="Arial"/>
          <w:sz w:val="24"/>
          <w:szCs w:val="24"/>
        </w:rPr>
        <w:t xml:space="preserve">ourt. The deponents to the founding affidavit also filed a replying affidavit to the supplementary affidavit. Counsel for the Applicant submitted that the Court ought to </w:t>
      </w:r>
      <w:r w:rsidR="000E524C" w:rsidRPr="00AA7F42">
        <w:rPr>
          <w:rFonts w:ascii="Arial" w:hAnsi="Arial" w:cs="Arial"/>
          <w:i/>
          <w:sz w:val="24"/>
          <w:szCs w:val="24"/>
        </w:rPr>
        <w:t>pro-non scripto</w:t>
      </w:r>
      <w:r w:rsidR="00D9442D" w:rsidRPr="00AA7F42">
        <w:rPr>
          <w:rFonts w:ascii="Arial" w:hAnsi="Arial" w:cs="Arial"/>
          <w:sz w:val="24"/>
          <w:szCs w:val="24"/>
        </w:rPr>
        <w:t xml:space="preserve"> and should not disregard</w:t>
      </w:r>
      <w:r w:rsidR="000E524C" w:rsidRPr="00AA7F42">
        <w:rPr>
          <w:rFonts w:ascii="Arial" w:hAnsi="Arial" w:cs="Arial"/>
          <w:sz w:val="24"/>
          <w:szCs w:val="24"/>
        </w:rPr>
        <w:t xml:space="preserve"> the supplementary opposing affidavit and if the Court allows it, so should the replying to the supplementary affidavit of the Applicant be accepted.</w:t>
      </w:r>
      <w:r w:rsidR="008255F6" w:rsidRPr="00AA7F42">
        <w:rPr>
          <w:rFonts w:ascii="Arial" w:hAnsi="Arial" w:cs="Arial"/>
          <w:sz w:val="24"/>
          <w:szCs w:val="24"/>
        </w:rPr>
        <w:t xml:space="preserve">  </w:t>
      </w:r>
    </w:p>
    <w:p w14:paraId="178AEB38" w14:textId="59A8C93C" w:rsidR="00D9442D" w:rsidRDefault="00D9442D" w:rsidP="00946014">
      <w:pPr>
        <w:pStyle w:val="ListParagraph"/>
        <w:spacing w:after="240" w:line="360" w:lineRule="auto"/>
        <w:contextualSpacing w:val="0"/>
        <w:jc w:val="both"/>
        <w:rPr>
          <w:rFonts w:ascii="Arial" w:hAnsi="Arial" w:cs="Arial"/>
          <w:sz w:val="24"/>
          <w:szCs w:val="24"/>
        </w:rPr>
      </w:pPr>
      <w:r>
        <w:rPr>
          <w:rFonts w:ascii="Arial" w:hAnsi="Arial" w:cs="Arial"/>
          <w:sz w:val="24"/>
          <w:szCs w:val="24"/>
        </w:rPr>
        <w:t>Counsel for the Respondent submitted that the supplementary affidavit to the opposing affidavit be admitted as the supplementary affidavit was meant to clear issues that were not canvassed in the opposing affidavit.</w:t>
      </w:r>
    </w:p>
    <w:p w14:paraId="2B30B0A3" w14:textId="72C2BFDA" w:rsidR="00D9442D"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9442D" w:rsidRPr="00AA7F42">
        <w:rPr>
          <w:rFonts w:ascii="Arial" w:hAnsi="Arial" w:cs="Arial"/>
          <w:sz w:val="24"/>
          <w:szCs w:val="24"/>
        </w:rPr>
        <w:t>A party seeking to introduce further affidavits in motion proceedings is seeking indulgence from the Court. It is trite that motion proceedings only allow founding affidavit</w:t>
      </w:r>
      <w:r w:rsidR="000B4F3C" w:rsidRPr="00AA7F42">
        <w:rPr>
          <w:rFonts w:ascii="Arial" w:hAnsi="Arial" w:cs="Arial"/>
          <w:sz w:val="24"/>
          <w:szCs w:val="24"/>
        </w:rPr>
        <w:t>,</w:t>
      </w:r>
      <w:r w:rsidR="00D9442D" w:rsidRPr="00AA7F42">
        <w:rPr>
          <w:rFonts w:ascii="Arial" w:hAnsi="Arial" w:cs="Arial"/>
          <w:sz w:val="24"/>
          <w:szCs w:val="24"/>
        </w:rPr>
        <w:t xml:space="preserve"> opposing affidavit and replying affidavit.</w:t>
      </w:r>
    </w:p>
    <w:p w14:paraId="6C08CA10" w14:textId="247DE6F8" w:rsidR="00D9442D"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B4F3C" w:rsidRPr="00AA7F42">
        <w:rPr>
          <w:rFonts w:ascii="Arial" w:hAnsi="Arial" w:cs="Arial"/>
          <w:sz w:val="24"/>
          <w:szCs w:val="24"/>
        </w:rPr>
        <w:t>Rule 6(5)(</w:t>
      </w:r>
      <w:r w:rsidR="00D9442D" w:rsidRPr="00AA7F42">
        <w:rPr>
          <w:rFonts w:ascii="Arial" w:hAnsi="Arial" w:cs="Arial"/>
          <w:sz w:val="24"/>
          <w:szCs w:val="24"/>
        </w:rPr>
        <w:t>e</w:t>
      </w:r>
      <w:r w:rsidR="000B4F3C" w:rsidRPr="00AA7F42">
        <w:rPr>
          <w:rFonts w:ascii="Arial" w:hAnsi="Arial" w:cs="Arial"/>
          <w:sz w:val="24"/>
          <w:szCs w:val="24"/>
        </w:rPr>
        <w:t>)</w:t>
      </w:r>
      <w:r w:rsidR="00D9442D" w:rsidRPr="00AA7F42">
        <w:rPr>
          <w:rFonts w:ascii="Arial" w:hAnsi="Arial" w:cs="Arial"/>
          <w:sz w:val="24"/>
          <w:szCs w:val="24"/>
        </w:rPr>
        <w:t xml:space="preserve"> </w:t>
      </w:r>
      <w:r w:rsidR="000B4F3C" w:rsidRPr="00AA7F42">
        <w:rPr>
          <w:rFonts w:ascii="Arial" w:hAnsi="Arial" w:cs="Arial"/>
          <w:sz w:val="24"/>
          <w:szCs w:val="24"/>
        </w:rPr>
        <w:t xml:space="preserve">of the Uniform Rules of Court </w:t>
      </w:r>
      <w:r w:rsidR="00D9442D" w:rsidRPr="00AA7F42">
        <w:rPr>
          <w:rFonts w:ascii="Arial" w:hAnsi="Arial" w:cs="Arial"/>
          <w:sz w:val="24"/>
          <w:szCs w:val="24"/>
        </w:rPr>
        <w:t>clearly states that the Court has a discretion whether to allow further affidavit</w:t>
      </w:r>
      <w:r w:rsidR="000B4F3C" w:rsidRPr="00AA7F42">
        <w:rPr>
          <w:rFonts w:ascii="Arial" w:hAnsi="Arial" w:cs="Arial"/>
          <w:sz w:val="24"/>
          <w:szCs w:val="24"/>
        </w:rPr>
        <w:t>s</w:t>
      </w:r>
      <w:r w:rsidR="00D9442D" w:rsidRPr="00AA7F42">
        <w:rPr>
          <w:rFonts w:ascii="Arial" w:hAnsi="Arial" w:cs="Arial"/>
          <w:sz w:val="24"/>
          <w:szCs w:val="24"/>
        </w:rPr>
        <w:t xml:space="preserve"> or not. The Court could only exercise its discretion only when an application to file further affidavits had been launched.</w:t>
      </w:r>
    </w:p>
    <w:p w14:paraId="33EF5B23" w14:textId="61C0B077" w:rsidR="00D9442D" w:rsidRDefault="00D9442D" w:rsidP="00946014">
      <w:pPr>
        <w:pStyle w:val="ListParagraph"/>
        <w:spacing w:after="240" w:line="360" w:lineRule="auto"/>
        <w:contextualSpacing w:val="0"/>
        <w:jc w:val="both"/>
        <w:rPr>
          <w:rFonts w:ascii="Arial" w:hAnsi="Arial" w:cs="Arial"/>
          <w:sz w:val="24"/>
          <w:szCs w:val="24"/>
        </w:rPr>
      </w:pPr>
      <w:r>
        <w:rPr>
          <w:rFonts w:ascii="Arial" w:hAnsi="Arial" w:cs="Arial"/>
          <w:sz w:val="24"/>
          <w:szCs w:val="24"/>
        </w:rPr>
        <w:t xml:space="preserve">In </w:t>
      </w:r>
      <w:r w:rsidRPr="00B57B6F">
        <w:rPr>
          <w:rFonts w:ascii="Arial" w:hAnsi="Arial" w:cs="Arial"/>
          <w:b/>
          <w:sz w:val="24"/>
          <w:szCs w:val="24"/>
        </w:rPr>
        <w:t>Ndlebe v Budget Insurance Limited</w:t>
      </w:r>
      <w:r w:rsidR="00B57B6F">
        <w:rPr>
          <w:rFonts w:ascii="Arial" w:hAnsi="Arial" w:cs="Arial"/>
          <w:sz w:val="24"/>
          <w:szCs w:val="24"/>
        </w:rPr>
        <w:t xml:space="preserve"> </w:t>
      </w:r>
      <w:r w:rsidR="00B57B6F">
        <w:rPr>
          <w:rStyle w:val="FootnoteReference"/>
          <w:rFonts w:ascii="Arial" w:hAnsi="Arial" w:cs="Arial"/>
          <w:sz w:val="24"/>
          <w:szCs w:val="24"/>
        </w:rPr>
        <w:footnoteReference w:id="2"/>
      </w:r>
      <w:r>
        <w:rPr>
          <w:rFonts w:ascii="Arial" w:hAnsi="Arial" w:cs="Arial"/>
          <w:sz w:val="24"/>
          <w:szCs w:val="24"/>
        </w:rPr>
        <w:t>, it was held that:</w:t>
      </w:r>
    </w:p>
    <w:p w14:paraId="72CA058D" w14:textId="72F1E855" w:rsidR="00D9442D" w:rsidRPr="004E09BB" w:rsidRDefault="00D9442D" w:rsidP="004E09BB">
      <w:pPr>
        <w:pStyle w:val="ListParagraph"/>
        <w:spacing w:after="240" w:line="360" w:lineRule="auto"/>
        <w:ind w:left="1440"/>
        <w:contextualSpacing w:val="0"/>
        <w:jc w:val="both"/>
        <w:rPr>
          <w:rFonts w:ascii="Arial" w:hAnsi="Arial" w:cs="Arial"/>
        </w:rPr>
      </w:pPr>
      <w:r w:rsidRPr="004E09BB">
        <w:rPr>
          <w:rFonts w:ascii="Arial" w:hAnsi="Arial" w:cs="Arial"/>
        </w:rPr>
        <w:t>“It is upon the litigant who seeks to file further affidavits to provide an e</w:t>
      </w:r>
      <w:r w:rsidR="00542BC3">
        <w:rPr>
          <w:rFonts w:ascii="Arial" w:hAnsi="Arial" w:cs="Arial"/>
        </w:rPr>
        <w:t>xplanation to the</w:t>
      </w:r>
      <w:r w:rsidRPr="004E09BB">
        <w:rPr>
          <w:rFonts w:ascii="Arial" w:hAnsi="Arial" w:cs="Arial"/>
        </w:rPr>
        <w:t xml:space="preserve"> satisfaction of the C</w:t>
      </w:r>
      <w:r w:rsidR="00542BC3">
        <w:rPr>
          <w:rFonts w:ascii="Arial" w:hAnsi="Arial" w:cs="Arial"/>
        </w:rPr>
        <w:t>o</w:t>
      </w:r>
      <w:r w:rsidRPr="004E09BB">
        <w:rPr>
          <w:rFonts w:ascii="Arial" w:hAnsi="Arial" w:cs="Arial"/>
        </w:rPr>
        <w:t>urt that it was not malicious in its endeavor to file further affidavit and that the other party will not be prejudiced thereby.”</w:t>
      </w:r>
    </w:p>
    <w:p w14:paraId="42AA43E3" w14:textId="3EC648CA" w:rsidR="009B0B41"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B0B41" w:rsidRPr="00AA7F42">
        <w:rPr>
          <w:rFonts w:ascii="Arial" w:hAnsi="Arial" w:cs="Arial"/>
          <w:sz w:val="24"/>
          <w:szCs w:val="24"/>
        </w:rPr>
        <w:t xml:space="preserve">In my view, the </w:t>
      </w:r>
      <w:r w:rsidR="00D71570" w:rsidRPr="00AA7F42">
        <w:rPr>
          <w:rFonts w:ascii="Arial" w:hAnsi="Arial" w:cs="Arial"/>
          <w:sz w:val="24"/>
          <w:szCs w:val="24"/>
        </w:rPr>
        <w:t>First Respondent</w:t>
      </w:r>
      <w:r w:rsidR="009B0B41" w:rsidRPr="00AA7F42">
        <w:rPr>
          <w:rFonts w:ascii="Arial" w:hAnsi="Arial" w:cs="Arial"/>
          <w:sz w:val="24"/>
          <w:szCs w:val="24"/>
        </w:rPr>
        <w:t xml:space="preserve"> gave a clear explanation that </w:t>
      </w:r>
      <w:r w:rsidR="00951858" w:rsidRPr="00AA7F42">
        <w:rPr>
          <w:rFonts w:ascii="Arial" w:hAnsi="Arial" w:cs="Arial"/>
          <w:sz w:val="24"/>
          <w:szCs w:val="24"/>
        </w:rPr>
        <w:t xml:space="preserve">the </w:t>
      </w:r>
      <w:r w:rsidR="009B0B41" w:rsidRPr="00AA7F42">
        <w:rPr>
          <w:rFonts w:ascii="Arial" w:hAnsi="Arial" w:cs="Arial"/>
          <w:sz w:val="24"/>
          <w:szCs w:val="24"/>
        </w:rPr>
        <w:t xml:space="preserve">supplementary opposing affidavit was to clear issues </w:t>
      </w:r>
      <w:r w:rsidR="00B32769" w:rsidRPr="00AA7F42">
        <w:rPr>
          <w:rFonts w:ascii="Arial" w:hAnsi="Arial" w:cs="Arial"/>
          <w:sz w:val="24"/>
          <w:szCs w:val="24"/>
        </w:rPr>
        <w:t xml:space="preserve">and </w:t>
      </w:r>
      <w:r w:rsidR="009B0B41" w:rsidRPr="00AA7F42">
        <w:rPr>
          <w:rFonts w:ascii="Arial" w:hAnsi="Arial" w:cs="Arial"/>
          <w:sz w:val="24"/>
          <w:szCs w:val="24"/>
        </w:rPr>
        <w:t>the Applicant has already filed its replying affidavit. It would</w:t>
      </w:r>
      <w:r w:rsidR="00951858" w:rsidRPr="00AA7F42">
        <w:rPr>
          <w:rFonts w:ascii="Arial" w:hAnsi="Arial" w:cs="Arial"/>
          <w:sz w:val="24"/>
          <w:szCs w:val="24"/>
        </w:rPr>
        <w:t xml:space="preserve"> </w:t>
      </w:r>
      <w:r w:rsidR="00B32769" w:rsidRPr="00AA7F42">
        <w:rPr>
          <w:rFonts w:ascii="Arial" w:hAnsi="Arial" w:cs="Arial"/>
          <w:sz w:val="24"/>
          <w:szCs w:val="24"/>
        </w:rPr>
        <w:t xml:space="preserve">thus </w:t>
      </w:r>
      <w:r w:rsidR="00951858" w:rsidRPr="00AA7F42">
        <w:rPr>
          <w:rFonts w:ascii="Arial" w:hAnsi="Arial" w:cs="Arial"/>
          <w:sz w:val="24"/>
          <w:szCs w:val="24"/>
        </w:rPr>
        <w:t>be fair to both parties and as</w:t>
      </w:r>
      <w:r w:rsidR="00946014" w:rsidRPr="00AA7F42">
        <w:rPr>
          <w:rFonts w:ascii="Arial" w:hAnsi="Arial" w:cs="Arial"/>
          <w:sz w:val="24"/>
          <w:szCs w:val="24"/>
        </w:rPr>
        <w:t xml:space="preserve"> </w:t>
      </w:r>
      <w:r w:rsidR="009B0B41" w:rsidRPr="00AA7F42">
        <w:rPr>
          <w:rFonts w:ascii="Arial" w:hAnsi="Arial" w:cs="Arial"/>
          <w:sz w:val="24"/>
          <w:szCs w:val="24"/>
        </w:rPr>
        <w:t>the matter involves an eviction of the Respondents</w:t>
      </w:r>
      <w:r w:rsidR="00B32769" w:rsidRPr="00AA7F42">
        <w:rPr>
          <w:rFonts w:ascii="Arial" w:hAnsi="Arial" w:cs="Arial"/>
          <w:sz w:val="24"/>
          <w:szCs w:val="24"/>
        </w:rPr>
        <w:t xml:space="preserve"> that the court</w:t>
      </w:r>
      <w:r w:rsidR="00574262" w:rsidRPr="00AA7F42">
        <w:rPr>
          <w:rFonts w:ascii="Arial" w:hAnsi="Arial" w:cs="Arial"/>
          <w:sz w:val="24"/>
          <w:szCs w:val="24"/>
        </w:rPr>
        <w:t xml:space="preserve"> allow both sets of affidavits</w:t>
      </w:r>
      <w:r w:rsidR="009B0B41" w:rsidRPr="00AA7F42">
        <w:rPr>
          <w:rFonts w:ascii="Arial" w:hAnsi="Arial" w:cs="Arial"/>
          <w:sz w:val="24"/>
          <w:szCs w:val="24"/>
        </w:rPr>
        <w:t xml:space="preserve">. It would therefore be in the interests of justice that both supplementary affidavits are admitted as not to prejudice </w:t>
      </w:r>
      <w:r w:rsidR="00951858" w:rsidRPr="00AA7F42">
        <w:rPr>
          <w:rFonts w:ascii="Arial" w:hAnsi="Arial" w:cs="Arial"/>
          <w:sz w:val="24"/>
          <w:szCs w:val="24"/>
        </w:rPr>
        <w:t>either party</w:t>
      </w:r>
      <w:r w:rsidR="009B0B41" w:rsidRPr="00AA7F42">
        <w:rPr>
          <w:rFonts w:ascii="Arial" w:hAnsi="Arial" w:cs="Arial"/>
          <w:sz w:val="24"/>
          <w:szCs w:val="24"/>
        </w:rPr>
        <w:t>.</w:t>
      </w:r>
    </w:p>
    <w:p w14:paraId="6BD3F237" w14:textId="74029B18" w:rsidR="009B0B41"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946014" w:rsidRPr="00AA7F42">
        <w:rPr>
          <w:rFonts w:ascii="Arial" w:hAnsi="Arial" w:cs="Arial"/>
          <w:sz w:val="24"/>
          <w:szCs w:val="24"/>
        </w:rPr>
        <w:t>Now turning to the eviction application, t</w:t>
      </w:r>
      <w:r w:rsidR="00E26972" w:rsidRPr="00AA7F42">
        <w:rPr>
          <w:rFonts w:ascii="Arial" w:hAnsi="Arial" w:cs="Arial"/>
          <w:sz w:val="24"/>
          <w:szCs w:val="24"/>
        </w:rPr>
        <w:t xml:space="preserve">he </w:t>
      </w:r>
      <w:r w:rsidR="00D71570" w:rsidRPr="00AA7F42">
        <w:rPr>
          <w:rFonts w:ascii="Arial" w:hAnsi="Arial" w:cs="Arial"/>
          <w:sz w:val="24"/>
          <w:szCs w:val="24"/>
        </w:rPr>
        <w:t>First Applicant</w:t>
      </w:r>
      <w:r w:rsidR="00E26972" w:rsidRPr="00AA7F42">
        <w:rPr>
          <w:rFonts w:ascii="Arial" w:hAnsi="Arial" w:cs="Arial"/>
          <w:sz w:val="24"/>
          <w:szCs w:val="24"/>
        </w:rPr>
        <w:t>’s contention in the founding affidavit is that he bought the farms at an auction on 8 March 2022. The farms were put up for auction subject to a lease agreement. The bid for the farms was too little and the farms were put up for auction without the lease agreement. On 18 March 2022, the Applicants signed an offer to purchase the farms for an amount of R10 255 000, 00. The offer was accepted and subsequent</w:t>
      </w:r>
      <w:r w:rsidR="00A74CB8" w:rsidRPr="00AA7F42">
        <w:rPr>
          <w:rFonts w:ascii="Arial" w:hAnsi="Arial" w:cs="Arial"/>
          <w:sz w:val="24"/>
          <w:szCs w:val="24"/>
        </w:rPr>
        <w:t>,</w:t>
      </w:r>
      <w:r w:rsidR="00E26972" w:rsidRPr="00AA7F42">
        <w:rPr>
          <w:rFonts w:ascii="Arial" w:hAnsi="Arial" w:cs="Arial"/>
          <w:sz w:val="24"/>
          <w:szCs w:val="24"/>
        </w:rPr>
        <w:t xml:space="preserve"> the farms were transferred to the name of </w:t>
      </w:r>
      <w:r w:rsidR="00E26972" w:rsidRPr="00AA7F42">
        <w:rPr>
          <w:rFonts w:ascii="Arial" w:hAnsi="Arial" w:cs="Arial"/>
          <w:color w:val="000000" w:themeColor="text1"/>
          <w:sz w:val="24"/>
          <w:szCs w:val="24"/>
        </w:rPr>
        <w:t xml:space="preserve">the </w:t>
      </w:r>
      <w:r w:rsidR="00D71570" w:rsidRPr="00AA7F42">
        <w:rPr>
          <w:rFonts w:ascii="Arial" w:hAnsi="Arial" w:cs="Arial"/>
          <w:color w:val="000000" w:themeColor="text1"/>
          <w:sz w:val="24"/>
          <w:szCs w:val="24"/>
        </w:rPr>
        <w:t>First Applicant</w:t>
      </w:r>
      <w:r w:rsidR="00E26972" w:rsidRPr="00AA7F42">
        <w:rPr>
          <w:rFonts w:ascii="Arial" w:hAnsi="Arial" w:cs="Arial"/>
          <w:sz w:val="24"/>
          <w:szCs w:val="24"/>
        </w:rPr>
        <w:t>.</w:t>
      </w:r>
    </w:p>
    <w:p w14:paraId="4B1C52A0" w14:textId="77777777" w:rsidR="0064783B" w:rsidRDefault="0064783B" w:rsidP="00946014">
      <w:pPr>
        <w:spacing w:after="240" w:line="360" w:lineRule="auto"/>
        <w:jc w:val="both"/>
        <w:rPr>
          <w:rFonts w:ascii="Arial" w:hAnsi="Arial" w:cs="Arial"/>
          <w:b/>
          <w:sz w:val="24"/>
          <w:szCs w:val="24"/>
          <w:u w:val="single"/>
        </w:rPr>
      </w:pPr>
    </w:p>
    <w:p w14:paraId="7426EA8A" w14:textId="69F0849C" w:rsidR="00E26972" w:rsidRPr="0064783B" w:rsidRDefault="0064783B" w:rsidP="00946014">
      <w:pPr>
        <w:spacing w:after="240" w:line="360" w:lineRule="auto"/>
        <w:jc w:val="both"/>
        <w:rPr>
          <w:rFonts w:ascii="Arial" w:hAnsi="Arial" w:cs="Arial"/>
          <w:sz w:val="24"/>
          <w:szCs w:val="24"/>
        </w:rPr>
      </w:pPr>
      <w:r w:rsidRPr="0064783B">
        <w:rPr>
          <w:rFonts w:ascii="Arial" w:hAnsi="Arial" w:cs="Arial"/>
          <w:sz w:val="24"/>
          <w:szCs w:val="24"/>
        </w:rPr>
        <w:t>HUUR GAAT VOOR KOOP</w:t>
      </w:r>
    </w:p>
    <w:p w14:paraId="5880BCDA" w14:textId="0B52AC63" w:rsidR="00E26972"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26972" w:rsidRPr="00AA7F42">
        <w:rPr>
          <w:rFonts w:ascii="Arial" w:hAnsi="Arial" w:cs="Arial"/>
          <w:sz w:val="24"/>
          <w:szCs w:val="24"/>
        </w:rPr>
        <w:t xml:space="preserve">The First and Second Respondents contend that by virtue of the Roman Dutch Law principle of “huur gaat voor koop” that the </w:t>
      </w:r>
      <w:r w:rsidR="00D71570" w:rsidRPr="00AA7F42">
        <w:rPr>
          <w:rFonts w:ascii="Arial" w:hAnsi="Arial" w:cs="Arial"/>
          <w:sz w:val="24"/>
          <w:szCs w:val="24"/>
        </w:rPr>
        <w:t>First Applicant</w:t>
      </w:r>
      <w:r w:rsidR="00E26972" w:rsidRPr="00AA7F42">
        <w:rPr>
          <w:rFonts w:ascii="Arial" w:hAnsi="Arial" w:cs="Arial"/>
          <w:sz w:val="24"/>
          <w:szCs w:val="24"/>
        </w:rPr>
        <w:t xml:space="preserve"> is bound by the long lease agreement be</w:t>
      </w:r>
      <w:r w:rsidR="00367829" w:rsidRPr="00AA7F42">
        <w:rPr>
          <w:rFonts w:ascii="Arial" w:hAnsi="Arial" w:cs="Arial"/>
          <w:sz w:val="24"/>
          <w:szCs w:val="24"/>
        </w:rPr>
        <w:t>tween the predecessor Phillipus Abraham D</w:t>
      </w:r>
      <w:r w:rsidR="00E26972" w:rsidRPr="00AA7F42">
        <w:rPr>
          <w:rFonts w:ascii="Arial" w:hAnsi="Arial" w:cs="Arial"/>
          <w:sz w:val="24"/>
          <w:szCs w:val="24"/>
        </w:rPr>
        <w:t>e Bruyn and the Respondents.</w:t>
      </w:r>
    </w:p>
    <w:p w14:paraId="66A2BE5E" w14:textId="0177C5EB" w:rsidR="00E26972"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26972" w:rsidRPr="00AA7F42">
        <w:rPr>
          <w:rFonts w:ascii="Arial" w:hAnsi="Arial" w:cs="Arial"/>
          <w:sz w:val="24"/>
          <w:szCs w:val="24"/>
        </w:rPr>
        <w:t>The Principle of “huur gaat voor koop” dictates that regardless of whether a lease agreement in respect of prop</w:t>
      </w:r>
      <w:r w:rsidR="00367829" w:rsidRPr="00AA7F42">
        <w:rPr>
          <w:rFonts w:ascii="Arial" w:hAnsi="Arial" w:cs="Arial"/>
          <w:sz w:val="24"/>
          <w:szCs w:val="24"/>
        </w:rPr>
        <w:t xml:space="preserve">erty which is sold in terms of </w:t>
      </w:r>
      <w:r w:rsidR="00E26972" w:rsidRPr="00AA7F42">
        <w:rPr>
          <w:rFonts w:ascii="Arial" w:hAnsi="Arial" w:cs="Arial"/>
          <w:sz w:val="24"/>
          <w:szCs w:val="24"/>
        </w:rPr>
        <w:t>a written or tacit agreement, the lease agreement supersede the sale of the property.</w:t>
      </w:r>
      <w:r w:rsidR="00FC49A5" w:rsidRPr="00AA7F42">
        <w:rPr>
          <w:rFonts w:ascii="Arial" w:hAnsi="Arial" w:cs="Arial"/>
          <w:sz w:val="24"/>
          <w:szCs w:val="24"/>
        </w:rPr>
        <w:t xml:space="preserve"> This simply means the new owner of the property is not entitled to cancel the agreement based solely on the new ownership.</w:t>
      </w:r>
    </w:p>
    <w:p w14:paraId="53DEB311" w14:textId="21D630C6" w:rsidR="00FC49A5"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C49A5" w:rsidRPr="00AA7F42">
        <w:rPr>
          <w:rFonts w:ascii="Arial" w:hAnsi="Arial" w:cs="Arial"/>
          <w:sz w:val="24"/>
          <w:szCs w:val="24"/>
        </w:rPr>
        <w:t>The new owner will be bound by the materia</w:t>
      </w:r>
      <w:r w:rsidR="00367829" w:rsidRPr="00AA7F42">
        <w:rPr>
          <w:rFonts w:ascii="Arial" w:hAnsi="Arial" w:cs="Arial"/>
          <w:sz w:val="24"/>
          <w:szCs w:val="24"/>
        </w:rPr>
        <w:t>l terms of the lease agreement. T</w:t>
      </w:r>
      <w:r w:rsidR="00FC49A5" w:rsidRPr="00AA7F42">
        <w:rPr>
          <w:rFonts w:ascii="Arial" w:hAnsi="Arial" w:cs="Arial"/>
          <w:sz w:val="24"/>
          <w:szCs w:val="24"/>
        </w:rPr>
        <w:t xml:space="preserve">his principle is applied </w:t>
      </w:r>
      <w:r w:rsidR="00FC49A5" w:rsidRPr="00AA7F42">
        <w:rPr>
          <w:rFonts w:ascii="Arial" w:hAnsi="Arial" w:cs="Arial"/>
          <w:i/>
          <w:sz w:val="24"/>
          <w:szCs w:val="24"/>
        </w:rPr>
        <w:t>ex lege</w:t>
      </w:r>
      <w:r w:rsidR="00FC49A5" w:rsidRPr="00AA7F42">
        <w:rPr>
          <w:rFonts w:ascii="Arial" w:hAnsi="Arial" w:cs="Arial"/>
          <w:sz w:val="24"/>
          <w:szCs w:val="24"/>
        </w:rPr>
        <w:t xml:space="preserve"> and it is for this reason the purchas</w:t>
      </w:r>
      <w:r w:rsidR="00E37EFC" w:rsidRPr="00AA7F42">
        <w:rPr>
          <w:rFonts w:ascii="Arial" w:hAnsi="Arial" w:cs="Arial"/>
          <w:sz w:val="24"/>
          <w:szCs w:val="24"/>
        </w:rPr>
        <w:t>e</w:t>
      </w:r>
      <w:r w:rsidR="005924E6" w:rsidRPr="00AA7F42">
        <w:rPr>
          <w:rFonts w:ascii="Arial" w:hAnsi="Arial" w:cs="Arial"/>
          <w:sz w:val="24"/>
          <w:szCs w:val="24"/>
        </w:rPr>
        <w:t>r</w:t>
      </w:r>
      <w:r w:rsidR="00FC49A5" w:rsidRPr="00AA7F42">
        <w:rPr>
          <w:rFonts w:ascii="Arial" w:hAnsi="Arial" w:cs="Arial"/>
          <w:sz w:val="24"/>
          <w:szCs w:val="24"/>
        </w:rPr>
        <w:t xml:space="preserve"> will step into the sh</w:t>
      </w:r>
      <w:r w:rsidR="00367829" w:rsidRPr="00AA7F42">
        <w:rPr>
          <w:rFonts w:ascii="Arial" w:hAnsi="Arial" w:cs="Arial"/>
          <w:sz w:val="24"/>
          <w:szCs w:val="24"/>
        </w:rPr>
        <w:t>oes of the landlord.</w:t>
      </w:r>
      <w:r w:rsidR="00367829">
        <w:rPr>
          <w:rStyle w:val="FootnoteReference"/>
          <w:rFonts w:ascii="Arial" w:hAnsi="Arial" w:cs="Arial"/>
          <w:sz w:val="24"/>
          <w:szCs w:val="24"/>
        </w:rPr>
        <w:footnoteReference w:id="3"/>
      </w:r>
      <w:r w:rsidR="00F1010E" w:rsidRPr="00AA7F42">
        <w:rPr>
          <w:rFonts w:ascii="Arial" w:hAnsi="Arial" w:cs="Arial"/>
          <w:sz w:val="24"/>
          <w:szCs w:val="24"/>
        </w:rPr>
        <w:t xml:space="preserve"> </w:t>
      </w:r>
      <w:r w:rsidR="005924E6" w:rsidRPr="00AA7F42">
        <w:rPr>
          <w:rFonts w:ascii="Arial" w:hAnsi="Arial" w:cs="Arial"/>
          <w:sz w:val="24"/>
          <w:szCs w:val="24"/>
        </w:rPr>
        <w:t xml:space="preserve"> </w:t>
      </w:r>
      <w:r w:rsidR="00F1010E" w:rsidRPr="00AA7F42">
        <w:rPr>
          <w:rFonts w:ascii="Arial" w:hAnsi="Arial" w:cs="Arial"/>
          <w:sz w:val="24"/>
          <w:szCs w:val="24"/>
        </w:rPr>
        <w:t xml:space="preserve">The </w:t>
      </w:r>
      <w:r w:rsidR="00F1010E" w:rsidRPr="00AA7F42">
        <w:rPr>
          <w:rFonts w:ascii="Arial" w:hAnsi="Arial" w:cs="Arial"/>
          <w:b/>
          <w:sz w:val="24"/>
          <w:szCs w:val="24"/>
        </w:rPr>
        <w:t>Rental Housing Act 50 of 1999</w:t>
      </w:r>
      <w:r w:rsidR="00F5314C" w:rsidRPr="00AA7F42">
        <w:rPr>
          <w:rFonts w:ascii="Arial" w:hAnsi="Arial" w:cs="Arial"/>
          <w:sz w:val="24"/>
          <w:szCs w:val="24"/>
        </w:rPr>
        <w:t xml:space="preserve"> section</w:t>
      </w:r>
      <w:r w:rsidR="005924E6" w:rsidRPr="00AA7F42">
        <w:rPr>
          <w:rFonts w:ascii="Arial" w:hAnsi="Arial" w:cs="Arial"/>
          <w:sz w:val="24"/>
          <w:szCs w:val="24"/>
        </w:rPr>
        <w:t>,</w:t>
      </w:r>
      <w:r w:rsidR="00F5314C">
        <w:rPr>
          <w:rStyle w:val="FootnoteReference"/>
          <w:rFonts w:ascii="Arial" w:hAnsi="Arial" w:cs="Arial"/>
          <w:sz w:val="24"/>
          <w:szCs w:val="24"/>
        </w:rPr>
        <w:footnoteReference w:id="4"/>
      </w:r>
      <w:r w:rsidR="005924E6" w:rsidRPr="00AA7F42">
        <w:rPr>
          <w:rFonts w:ascii="Arial" w:hAnsi="Arial" w:cs="Arial"/>
          <w:sz w:val="24"/>
          <w:szCs w:val="24"/>
        </w:rPr>
        <w:t xml:space="preserve"> </w:t>
      </w:r>
      <w:r w:rsidR="00F5314C" w:rsidRPr="00AA7F42">
        <w:rPr>
          <w:rFonts w:ascii="Arial" w:hAnsi="Arial" w:cs="Arial"/>
          <w:sz w:val="24"/>
          <w:szCs w:val="24"/>
        </w:rPr>
        <w:t xml:space="preserve"> </w:t>
      </w:r>
      <w:r w:rsidR="00F1010E" w:rsidRPr="00AA7F42">
        <w:rPr>
          <w:rFonts w:ascii="Arial" w:hAnsi="Arial" w:cs="Arial"/>
          <w:sz w:val="24"/>
          <w:szCs w:val="24"/>
        </w:rPr>
        <w:t>provides that the landlord is entitled to cancel the lease agreement on condition that the leased agreement specify cancellation and also if the cancellation constitute unfair practices.</w:t>
      </w:r>
    </w:p>
    <w:p w14:paraId="33FE112A" w14:textId="3C5B4EB0" w:rsidR="00F1010E"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F1010E" w:rsidRPr="00AA7F42">
        <w:rPr>
          <w:rFonts w:ascii="Arial" w:hAnsi="Arial" w:cs="Arial"/>
          <w:sz w:val="24"/>
          <w:szCs w:val="24"/>
        </w:rPr>
        <w:t xml:space="preserve">In </w:t>
      </w:r>
      <w:r w:rsidR="00F1010E" w:rsidRPr="00AA7F42">
        <w:rPr>
          <w:rFonts w:ascii="Arial" w:hAnsi="Arial" w:cs="Arial"/>
          <w:b/>
          <w:sz w:val="24"/>
          <w:szCs w:val="24"/>
        </w:rPr>
        <w:t>Pizani and Another v First Consolidated Holdings (Pty) Ltd</w:t>
      </w:r>
      <w:r w:rsidR="0083081C" w:rsidRPr="00AA7F42">
        <w:rPr>
          <w:rFonts w:ascii="Arial" w:hAnsi="Arial" w:cs="Arial"/>
          <w:sz w:val="24"/>
          <w:szCs w:val="24"/>
        </w:rPr>
        <w:t xml:space="preserve"> </w:t>
      </w:r>
      <w:r w:rsidR="0083081C">
        <w:rPr>
          <w:rStyle w:val="FootnoteReference"/>
          <w:rFonts w:ascii="Arial" w:hAnsi="Arial" w:cs="Arial"/>
          <w:sz w:val="24"/>
          <w:szCs w:val="24"/>
        </w:rPr>
        <w:footnoteReference w:id="5"/>
      </w:r>
      <w:r w:rsidR="00F1010E" w:rsidRPr="00AA7F42">
        <w:rPr>
          <w:rFonts w:ascii="Arial" w:hAnsi="Arial" w:cs="Arial"/>
          <w:sz w:val="24"/>
          <w:szCs w:val="24"/>
        </w:rPr>
        <w:t>, the Court held that:</w:t>
      </w:r>
    </w:p>
    <w:p w14:paraId="6049AE55" w14:textId="7FFD8603" w:rsidR="00F1010E" w:rsidRPr="004E09BB" w:rsidRDefault="00F1010E" w:rsidP="004E09BB">
      <w:pPr>
        <w:pStyle w:val="ListParagraph"/>
        <w:spacing w:after="240" w:line="360" w:lineRule="auto"/>
        <w:ind w:left="1440"/>
        <w:contextualSpacing w:val="0"/>
        <w:jc w:val="both"/>
        <w:rPr>
          <w:rFonts w:ascii="Arial" w:hAnsi="Arial" w:cs="Arial"/>
        </w:rPr>
      </w:pPr>
      <w:r w:rsidRPr="004E09BB">
        <w:rPr>
          <w:rFonts w:ascii="Arial" w:hAnsi="Arial" w:cs="Arial"/>
        </w:rPr>
        <w:t>“Appellant had by operation of law stepped into the shoes of the lessor and that upon transfer the relationship continued between the appellant and the l</w:t>
      </w:r>
      <w:r w:rsidR="0083081C">
        <w:rPr>
          <w:rFonts w:ascii="Arial" w:hAnsi="Arial" w:cs="Arial"/>
        </w:rPr>
        <w:t xml:space="preserve">essee without the necessity of </w:t>
      </w:r>
      <w:r w:rsidRPr="004E09BB">
        <w:rPr>
          <w:rFonts w:ascii="Arial" w:hAnsi="Arial" w:cs="Arial"/>
        </w:rPr>
        <w:t>a formal cession of rights.”</w:t>
      </w:r>
    </w:p>
    <w:p w14:paraId="48ECB726" w14:textId="73289A8C" w:rsidR="00E84AF1"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84AF1" w:rsidRPr="00AA7F42">
        <w:rPr>
          <w:rFonts w:ascii="Arial" w:hAnsi="Arial" w:cs="Arial"/>
          <w:sz w:val="24"/>
          <w:szCs w:val="24"/>
        </w:rPr>
        <w:t>If a leased property is leased subject to a prior real right such as a mortgage bond registered before the lease was concluded</w:t>
      </w:r>
      <w:r w:rsidR="00946014" w:rsidRPr="00AA7F42">
        <w:rPr>
          <w:rFonts w:ascii="Arial" w:hAnsi="Arial" w:cs="Arial"/>
          <w:sz w:val="24"/>
          <w:szCs w:val="24"/>
        </w:rPr>
        <w:t>,</w:t>
      </w:r>
      <w:r w:rsidR="00E95EE6" w:rsidRPr="00AA7F42">
        <w:rPr>
          <w:rFonts w:ascii="Arial" w:hAnsi="Arial" w:cs="Arial"/>
          <w:sz w:val="24"/>
          <w:szCs w:val="24"/>
        </w:rPr>
        <w:t xml:space="preserve"> then such right may trump the “huur gaat voor koop” rule.</w:t>
      </w:r>
    </w:p>
    <w:p w14:paraId="49241895" w14:textId="6E7D892C" w:rsidR="00E95EE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95EE6" w:rsidRPr="00AA7F42">
        <w:rPr>
          <w:rFonts w:ascii="Arial" w:hAnsi="Arial" w:cs="Arial"/>
          <w:sz w:val="24"/>
          <w:szCs w:val="24"/>
        </w:rPr>
        <w:t>This is in circumstances where the property is put up for auction in the execution process subject to the lease, but if the highest bid is not enough to cover the outstanding debt owed to the bank, the bank may insist that the property be auctioned free</w:t>
      </w:r>
      <w:r w:rsidR="001E5460" w:rsidRPr="00AA7F42">
        <w:rPr>
          <w:rFonts w:ascii="Arial" w:hAnsi="Arial" w:cs="Arial"/>
          <w:sz w:val="24"/>
          <w:szCs w:val="24"/>
        </w:rPr>
        <w:t xml:space="preserve"> of </w:t>
      </w:r>
      <w:r w:rsidR="00E95EE6" w:rsidRPr="00AA7F42">
        <w:rPr>
          <w:rFonts w:ascii="Arial" w:hAnsi="Arial" w:cs="Arial"/>
          <w:sz w:val="24"/>
          <w:szCs w:val="24"/>
        </w:rPr>
        <w:t>the lease.</w:t>
      </w:r>
    </w:p>
    <w:p w14:paraId="5713A079" w14:textId="6287423B" w:rsidR="00E95EE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95EE6" w:rsidRPr="00AA7F42">
        <w:rPr>
          <w:rFonts w:ascii="Arial" w:hAnsi="Arial" w:cs="Arial"/>
          <w:sz w:val="24"/>
          <w:szCs w:val="24"/>
        </w:rPr>
        <w:t xml:space="preserve">The </w:t>
      </w:r>
      <w:r w:rsidR="00D71570" w:rsidRPr="00AA7F42">
        <w:rPr>
          <w:rFonts w:ascii="Arial" w:hAnsi="Arial" w:cs="Arial"/>
          <w:sz w:val="24"/>
          <w:szCs w:val="24"/>
        </w:rPr>
        <w:t>First Applicant</w:t>
      </w:r>
      <w:r w:rsidR="00E95EE6" w:rsidRPr="00AA7F42">
        <w:rPr>
          <w:rFonts w:ascii="Arial" w:hAnsi="Arial" w:cs="Arial"/>
          <w:sz w:val="24"/>
          <w:szCs w:val="24"/>
        </w:rPr>
        <w:t xml:space="preserve"> stated in the founding affidavit that:</w:t>
      </w:r>
    </w:p>
    <w:p w14:paraId="5AB551DA" w14:textId="79672BF0" w:rsidR="00E95EE6" w:rsidRPr="00652013" w:rsidRDefault="00E95EE6" w:rsidP="004E09BB">
      <w:pPr>
        <w:pStyle w:val="ListParagraph"/>
        <w:spacing w:after="240" w:line="360" w:lineRule="auto"/>
        <w:ind w:left="1440"/>
        <w:contextualSpacing w:val="0"/>
        <w:jc w:val="both"/>
        <w:rPr>
          <w:rFonts w:ascii="Arial" w:hAnsi="Arial" w:cs="Arial"/>
          <w:sz w:val="24"/>
          <w:szCs w:val="24"/>
        </w:rPr>
      </w:pPr>
      <w:r w:rsidRPr="00652013">
        <w:rPr>
          <w:rFonts w:ascii="Arial" w:hAnsi="Arial" w:cs="Arial"/>
        </w:rPr>
        <w:t>“If however the property encumbered by a pre-existing real right, in other words, if a mortgage bond was registered over the property before the lease agreement was entered into the property, must still be sold subject to the lease agreement, but if the proceeds of such sale are insufficient to repay the mortgage’s claim against the insolvent estate, the lease agreement shall automatically terminate and the property is sold without the lease agreement being applicable thereto i.e. free from the lease.”</w:t>
      </w:r>
      <w:r w:rsidRPr="00652013">
        <w:rPr>
          <w:rFonts w:ascii="Arial" w:hAnsi="Arial" w:cs="Arial"/>
          <w:sz w:val="24"/>
          <w:szCs w:val="24"/>
        </w:rPr>
        <w:t xml:space="preserve"> (See para 15 of the offer to purchase)</w:t>
      </w:r>
    </w:p>
    <w:p w14:paraId="51D97174" w14:textId="3E9BB743" w:rsidR="00E95EE6"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E95EE6" w:rsidRPr="00AA7F42">
        <w:rPr>
          <w:rFonts w:ascii="Arial" w:hAnsi="Arial" w:cs="Arial"/>
          <w:sz w:val="24"/>
          <w:szCs w:val="24"/>
        </w:rPr>
        <w:t xml:space="preserve">The </w:t>
      </w:r>
      <w:r w:rsidR="00D71570" w:rsidRPr="00AA7F42">
        <w:rPr>
          <w:rFonts w:ascii="Arial" w:hAnsi="Arial" w:cs="Arial"/>
          <w:sz w:val="24"/>
          <w:szCs w:val="24"/>
        </w:rPr>
        <w:t>First Respondent</w:t>
      </w:r>
      <w:r w:rsidR="00E95EE6" w:rsidRPr="00AA7F42">
        <w:rPr>
          <w:rFonts w:ascii="Arial" w:hAnsi="Arial" w:cs="Arial"/>
          <w:sz w:val="24"/>
          <w:szCs w:val="24"/>
        </w:rPr>
        <w:t xml:space="preserve"> contention in the supplementary opposing affidavit</w:t>
      </w:r>
      <w:r w:rsidR="00E82B83" w:rsidRPr="00AA7F42">
        <w:rPr>
          <w:rFonts w:ascii="Arial" w:hAnsi="Arial" w:cs="Arial"/>
          <w:sz w:val="24"/>
          <w:szCs w:val="24"/>
        </w:rPr>
        <w:t xml:space="preserve"> that the farm</w:t>
      </w:r>
      <w:r w:rsidR="00946014" w:rsidRPr="00AA7F42">
        <w:rPr>
          <w:rFonts w:ascii="Arial" w:hAnsi="Arial" w:cs="Arial"/>
          <w:sz w:val="24"/>
          <w:szCs w:val="24"/>
        </w:rPr>
        <w:t>s</w:t>
      </w:r>
      <w:r w:rsidR="00E82B83" w:rsidRPr="00AA7F42">
        <w:rPr>
          <w:rFonts w:ascii="Arial" w:hAnsi="Arial" w:cs="Arial"/>
          <w:sz w:val="24"/>
          <w:szCs w:val="24"/>
        </w:rPr>
        <w:t xml:space="preserve"> </w:t>
      </w:r>
      <w:r w:rsidR="002442E8" w:rsidRPr="00AA7F42">
        <w:rPr>
          <w:rFonts w:ascii="Arial" w:hAnsi="Arial" w:cs="Arial"/>
          <w:sz w:val="24"/>
          <w:szCs w:val="24"/>
        </w:rPr>
        <w:t>were not to sold in terms of 2 c</w:t>
      </w:r>
      <w:r w:rsidR="00E82B83" w:rsidRPr="00AA7F42">
        <w:rPr>
          <w:rFonts w:ascii="Arial" w:hAnsi="Arial" w:cs="Arial"/>
          <w:sz w:val="24"/>
          <w:szCs w:val="24"/>
        </w:rPr>
        <w:t>ourt orders dated 19 February 2021 and 19 April 2021, due to the legally binding lease agreement including the defen</w:t>
      </w:r>
      <w:r w:rsidR="002442E8" w:rsidRPr="00AA7F42">
        <w:rPr>
          <w:rFonts w:ascii="Arial" w:hAnsi="Arial" w:cs="Arial"/>
          <w:sz w:val="24"/>
          <w:szCs w:val="24"/>
        </w:rPr>
        <w:t>se of “huur gaat voor koop” is</w:t>
      </w:r>
      <w:r w:rsidR="00E82B83" w:rsidRPr="00AA7F42">
        <w:rPr>
          <w:rFonts w:ascii="Arial" w:hAnsi="Arial" w:cs="Arial"/>
          <w:sz w:val="24"/>
          <w:szCs w:val="24"/>
        </w:rPr>
        <w:t xml:space="preserve"> misconstrue</w:t>
      </w:r>
      <w:r w:rsidR="002442E8" w:rsidRPr="00AA7F42">
        <w:rPr>
          <w:rFonts w:ascii="Arial" w:hAnsi="Arial" w:cs="Arial"/>
          <w:sz w:val="24"/>
          <w:szCs w:val="24"/>
        </w:rPr>
        <w:t>d</w:t>
      </w:r>
      <w:r w:rsidR="00E82B83" w:rsidRPr="00AA7F42">
        <w:rPr>
          <w:rFonts w:ascii="Arial" w:hAnsi="Arial" w:cs="Arial"/>
          <w:sz w:val="24"/>
          <w:szCs w:val="24"/>
        </w:rPr>
        <w:t xml:space="preserve"> as the </w:t>
      </w:r>
      <w:r w:rsidR="00D71570" w:rsidRPr="00AA7F42">
        <w:rPr>
          <w:rFonts w:ascii="Arial" w:hAnsi="Arial" w:cs="Arial"/>
          <w:sz w:val="24"/>
          <w:szCs w:val="24"/>
        </w:rPr>
        <w:t>First Respondent</w:t>
      </w:r>
      <w:r w:rsidR="00E82B83" w:rsidRPr="00AA7F42">
        <w:rPr>
          <w:rFonts w:ascii="Arial" w:hAnsi="Arial" w:cs="Arial"/>
          <w:sz w:val="24"/>
          <w:szCs w:val="24"/>
        </w:rPr>
        <w:t xml:space="preserve"> understood that the property will only be sold subject to the lease agreement if the proceeds of the sale are sufficient to repay the mortgage claim. The farms were put up for auction </w:t>
      </w:r>
      <w:r w:rsidR="00E82B83" w:rsidRPr="00AA7F42">
        <w:rPr>
          <w:rFonts w:ascii="Arial" w:hAnsi="Arial" w:cs="Arial"/>
          <w:sz w:val="24"/>
          <w:szCs w:val="24"/>
        </w:rPr>
        <w:lastRenderedPageBreak/>
        <w:t>subject to the lease agreement, but were not sold for an amount sufficient to repay the amount due to Suidwes and were thus auctioned without the lease agreement.</w:t>
      </w:r>
    </w:p>
    <w:p w14:paraId="13A29A13" w14:textId="5ADE202E" w:rsidR="00E82B83"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82B83" w:rsidRPr="00AA7F42">
        <w:rPr>
          <w:rFonts w:ascii="Arial" w:hAnsi="Arial" w:cs="Arial"/>
          <w:sz w:val="24"/>
          <w:szCs w:val="24"/>
        </w:rPr>
        <w:t>The issue of the lease agreement was addressed by the Master of the High Court in a correspondence dated 8 February 2021</w:t>
      </w:r>
      <w:r w:rsidR="00FD400D" w:rsidRPr="00AA7F42">
        <w:rPr>
          <w:rFonts w:ascii="Arial" w:hAnsi="Arial" w:cs="Arial"/>
          <w:sz w:val="24"/>
          <w:szCs w:val="24"/>
        </w:rPr>
        <w:t>,</w:t>
      </w:r>
      <w:r w:rsidR="007171F2">
        <w:rPr>
          <w:rStyle w:val="FootnoteReference"/>
          <w:rFonts w:ascii="Arial" w:hAnsi="Arial" w:cs="Arial"/>
          <w:sz w:val="24"/>
          <w:szCs w:val="24"/>
        </w:rPr>
        <w:footnoteReference w:id="6"/>
      </w:r>
      <w:r w:rsidR="00E82B83" w:rsidRPr="00AA7F42">
        <w:rPr>
          <w:rFonts w:ascii="Arial" w:hAnsi="Arial" w:cs="Arial"/>
          <w:sz w:val="24"/>
          <w:szCs w:val="24"/>
        </w:rPr>
        <w:t xml:space="preserve"> that:</w:t>
      </w:r>
    </w:p>
    <w:p w14:paraId="728F07AF" w14:textId="6EAF7C55" w:rsidR="00E82B83" w:rsidRPr="004E09BB" w:rsidRDefault="00E82B83" w:rsidP="004E09BB">
      <w:pPr>
        <w:pStyle w:val="ListParagraph"/>
        <w:spacing w:after="240" w:line="360" w:lineRule="auto"/>
        <w:ind w:left="1440"/>
        <w:contextualSpacing w:val="0"/>
        <w:jc w:val="both"/>
        <w:rPr>
          <w:rFonts w:ascii="Arial" w:hAnsi="Arial" w:cs="Arial"/>
        </w:rPr>
      </w:pPr>
      <w:r w:rsidRPr="004E09BB">
        <w:rPr>
          <w:rFonts w:ascii="Arial" w:hAnsi="Arial" w:cs="Arial"/>
        </w:rPr>
        <w:t>“Toestemming word in terme van artikel 18(3) saamgelees met artikel 80(</w:t>
      </w:r>
      <w:r w:rsidR="007171F2">
        <w:rPr>
          <w:rFonts w:ascii="Arial" w:hAnsi="Arial" w:cs="Arial"/>
        </w:rPr>
        <w:t>bis</w:t>
      </w:r>
      <w:r w:rsidRPr="004E09BB">
        <w:rPr>
          <w:rFonts w:ascii="Arial" w:hAnsi="Arial" w:cs="Arial"/>
        </w:rPr>
        <w:t>) van die Insolvens</w:t>
      </w:r>
      <w:r w:rsidR="007171F2">
        <w:rPr>
          <w:rFonts w:ascii="Arial" w:hAnsi="Arial" w:cs="Arial"/>
        </w:rPr>
        <w:t>i</w:t>
      </w:r>
      <w:r w:rsidRPr="004E09BB">
        <w:rPr>
          <w:rFonts w:ascii="Arial" w:hAnsi="Arial" w:cs="Arial"/>
        </w:rPr>
        <w:t>ewet</w:t>
      </w:r>
      <w:r w:rsidR="007171F2">
        <w:rPr>
          <w:rFonts w:ascii="Arial" w:hAnsi="Arial" w:cs="Arial"/>
        </w:rPr>
        <w:t>,</w:t>
      </w:r>
      <w:r w:rsidRPr="004E09BB">
        <w:rPr>
          <w:rFonts w:ascii="Arial" w:hAnsi="Arial" w:cs="Arial"/>
        </w:rPr>
        <w:t xml:space="preserve"> wet 24 van 1936, soos gewysig verleeen</w:t>
      </w:r>
      <w:r w:rsidR="007171F2">
        <w:rPr>
          <w:rFonts w:ascii="Arial" w:hAnsi="Arial" w:cs="Arial"/>
        </w:rPr>
        <w:t>,</w:t>
      </w:r>
      <w:r w:rsidRPr="004E09BB">
        <w:rPr>
          <w:rFonts w:ascii="Arial" w:hAnsi="Arial" w:cs="Arial"/>
        </w:rPr>
        <w:t xml:space="preserve"> dat die volgende bates voor die </w:t>
      </w:r>
      <w:r w:rsidR="007171F2">
        <w:rPr>
          <w:rFonts w:ascii="Arial" w:hAnsi="Arial" w:cs="Arial"/>
        </w:rPr>
        <w:t>plaasvind van die tweede vergade</w:t>
      </w:r>
      <w:r w:rsidRPr="004E09BB">
        <w:rPr>
          <w:rFonts w:ascii="Arial" w:hAnsi="Arial" w:cs="Arial"/>
        </w:rPr>
        <w:t xml:space="preserve">ring </w:t>
      </w:r>
      <w:r w:rsidR="007171F2">
        <w:rPr>
          <w:rFonts w:ascii="Arial" w:hAnsi="Arial" w:cs="Arial"/>
        </w:rPr>
        <w:t>per publieke vei</w:t>
      </w:r>
      <w:r w:rsidR="00166658" w:rsidRPr="004E09BB">
        <w:rPr>
          <w:rFonts w:ascii="Arial" w:hAnsi="Arial" w:cs="Arial"/>
        </w:rPr>
        <w:t>ling</w:t>
      </w:r>
      <w:r w:rsidR="007171F2">
        <w:rPr>
          <w:rFonts w:ascii="Arial" w:hAnsi="Arial" w:cs="Arial"/>
        </w:rPr>
        <w:t xml:space="preserve"> verkoop kan word: … onderworpe aan die voorwaarde dat sou iemand ŉ voorkeurreg of die bates het daardie person ook toestemming verleen het tot die verkoping van die bates</w:t>
      </w:r>
      <w:r w:rsidR="00166658" w:rsidRPr="004E09BB">
        <w:rPr>
          <w:rFonts w:ascii="Arial" w:hAnsi="Arial" w:cs="Arial"/>
        </w:rPr>
        <w:t>.”</w:t>
      </w:r>
    </w:p>
    <w:p w14:paraId="239DC677" w14:textId="67B77B40" w:rsidR="0016665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66658" w:rsidRPr="00AA7F42">
        <w:rPr>
          <w:rFonts w:ascii="Arial" w:hAnsi="Arial" w:cs="Arial"/>
          <w:sz w:val="24"/>
          <w:szCs w:val="24"/>
        </w:rPr>
        <w:t xml:space="preserve">The </w:t>
      </w:r>
      <w:r w:rsidR="00D71570" w:rsidRPr="00AA7F42">
        <w:rPr>
          <w:rFonts w:ascii="Arial" w:hAnsi="Arial" w:cs="Arial"/>
          <w:sz w:val="24"/>
          <w:szCs w:val="24"/>
        </w:rPr>
        <w:t>First Respondent</w:t>
      </w:r>
      <w:r w:rsidR="00166658" w:rsidRPr="00AA7F42">
        <w:rPr>
          <w:rFonts w:ascii="Arial" w:hAnsi="Arial" w:cs="Arial"/>
          <w:sz w:val="24"/>
          <w:szCs w:val="24"/>
        </w:rPr>
        <w:t xml:space="preserve"> may have a real right to occupy the farms in terms the lease agr</w:t>
      </w:r>
      <w:r w:rsidR="001114D4" w:rsidRPr="00AA7F42">
        <w:rPr>
          <w:rFonts w:ascii="Arial" w:hAnsi="Arial" w:cs="Arial"/>
          <w:sz w:val="24"/>
          <w:szCs w:val="24"/>
        </w:rPr>
        <w:t xml:space="preserve">eement. However, the </w:t>
      </w:r>
      <w:r w:rsidR="00D71570" w:rsidRPr="00AA7F42">
        <w:rPr>
          <w:rFonts w:ascii="Arial" w:hAnsi="Arial" w:cs="Arial"/>
          <w:sz w:val="24"/>
          <w:szCs w:val="24"/>
        </w:rPr>
        <w:t>First Respondent</w:t>
      </w:r>
      <w:r w:rsidR="001114D4" w:rsidRPr="00AA7F42">
        <w:rPr>
          <w:rFonts w:ascii="Arial" w:hAnsi="Arial" w:cs="Arial"/>
          <w:sz w:val="24"/>
          <w:szCs w:val="24"/>
        </w:rPr>
        <w:t>’s</w:t>
      </w:r>
      <w:r w:rsidR="00166658" w:rsidRPr="00AA7F42">
        <w:rPr>
          <w:rFonts w:ascii="Arial" w:hAnsi="Arial" w:cs="Arial"/>
          <w:sz w:val="24"/>
          <w:szCs w:val="24"/>
        </w:rPr>
        <w:t xml:space="preserve"> offer to buy the farms was rejected as the amount was insufficient. </w:t>
      </w:r>
      <w:r w:rsidR="00FD400D" w:rsidRPr="00AA7F42">
        <w:rPr>
          <w:rFonts w:ascii="Arial" w:hAnsi="Arial" w:cs="Arial"/>
          <w:sz w:val="24"/>
          <w:szCs w:val="24"/>
        </w:rPr>
        <w:t>Thus,</w:t>
      </w:r>
      <w:r w:rsidR="00166658" w:rsidRPr="00AA7F42">
        <w:rPr>
          <w:rFonts w:ascii="Arial" w:hAnsi="Arial" w:cs="Arial"/>
          <w:sz w:val="24"/>
          <w:szCs w:val="24"/>
        </w:rPr>
        <w:t xml:space="preserve"> the </w:t>
      </w:r>
      <w:r w:rsidR="00D71570" w:rsidRPr="00AA7F42">
        <w:rPr>
          <w:rFonts w:ascii="Arial" w:hAnsi="Arial" w:cs="Arial"/>
          <w:sz w:val="24"/>
          <w:szCs w:val="24"/>
        </w:rPr>
        <w:t>First Applicant</w:t>
      </w:r>
      <w:r w:rsidR="00166658" w:rsidRPr="00AA7F42">
        <w:rPr>
          <w:rFonts w:ascii="Arial" w:hAnsi="Arial" w:cs="Arial"/>
          <w:sz w:val="24"/>
          <w:szCs w:val="24"/>
        </w:rPr>
        <w:t xml:space="preserve"> as the new owner has the real right to be enforced against the Respondents to</w:t>
      </w:r>
      <w:r w:rsidR="001114D4" w:rsidRPr="00AA7F42">
        <w:rPr>
          <w:rFonts w:ascii="Arial" w:hAnsi="Arial" w:cs="Arial"/>
          <w:sz w:val="24"/>
          <w:szCs w:val="24"/>
        </w:rPr>
        <w:t xml:space="preserve"> claim or repossess the properties that were leased. </w:t>
      </w:r>
      <w:r w:rsidR="00D92EAE" w:rsidRPr="00AA7F42">
        <w:rPr>
          <w:rFonts w:ascii="Arial" w:hAnsi="Arial" w:cs="Arial"/>
          <w:sz w:val="24"/>
          <w:szCs w:val="24"/>
        </w:rPr>
        <w:t>So,</w:t>
      </w:r>
      <w:r w:rsidR="00166658" w:rsidRPr="00AA7F42">
        <w:rPr>
          <w:rFonts w:ascii="Arial" w:hAnsi="Arial" w:cs="Arial"/>
          <w:sz w:val="24"/>
          <w:szCs w:val="24"/>
        </w:rPr>
        <w:t xml:space="preserve"> the Respondents</w:t>
      </w:r>
      <w:r w:rsidR="001114D4" w:rsidRPr="00AA7F42">
        <w:rPr>
          <w:rFonts w:ascii="Arial" w:hAnsi="Arial" w:cs="Arial"/>
          <w:sz w:val="24"/>
          <w:szCs w:val="24"/>
        </w:rPr>
        <w:t>’</w:t>
      </w:r>
      <w:r w:rsidR="00166658" w:rsidRPr="00AA7F42">
        <w:rPr>
          <w:rFonts w:ascii="Arial" w:hAnsi="Arial" w:cs="Arial"/>
          <w:sz w:val="24"/>
          <w:szCs w:val="24"/>
        </w:rPr>
        <w:t xml:space="preserve"> rights to occupy the farm</w:t>
      </w:r>
      <w:r w:rsidR="001114D4" w:rsidRPr="00AA7F42">
        <w:rPr>
          <w:rFonts w:ascii="Arial" w:hAnsi="Arial" w:cs="Arial"/>
          <w:sz w:val="24"/>
          <w:szCs w:val="24"/>
        </w:rPr>
        <w:t>s</w:t>
      </w:r>
      <w:r w:rsidR="00166658" w:rsidRPr="00AA7F42">
        <w:rPr>
          <w:rFonts w:ascii="Arial" w:hAnsi="Arial" w:cs="Arial"/>
          <w:sz w:val="24"/>
          <w:szCs w:val="24"/>
        </w:rPr>
        <w:t xml:space="preserve"> in terms of the lease </w:t>
      </w:r>
      <w:r w:rsidR="001114D4" w:rsidRPr="00AA7F42">
        <w:rPr>
          <w:rFonts w:ascii="Arial" w:hAnsi="Arial" w:cs="Arial"/>
          <w:sz w:val="24"/>
          <w:szCs w:val="24"/>
        </w:rPr>
        <w:t xml:space="preserve">is </w:t>
      </w:r>
      <w:r w:rsidR="006E3B44" w:rsidRPr="00AA7F42">
        <w:rPr>
          <w:rFonts w:ascii="Arial" w:hAnsi="Arial" w:cs="Arial"/>
          <w:sz w:val="24"/>
          <w:szCs w:val="24"/>
        </w:rPr>
        <w:t>not an absolute right.</w:t>
      </w:r>
      <w:r w:rsidR="006E3B44">
        <w:rPr>
          <w:rStyle w:val="FootnoteReference"/>
          <w:rFonts w:ascii="Arial" w:hAnsi="Arial" w:cs="Arial"/>
          <w:sz w:val="24"/>
          <w:szCs w:val="24"/>
        </w:rPr>
        <w:footnoteReference w:id="7"/>
      </w:r>
    </w:p>
    <w:p w14:paraId="5BC6AB03" w14:textId="0EF4FAF6" w:rsidR="0016665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66658" w:rsidRPr="00AA7F42">
        <w:rPr>
          <w:rFonts w:ascii="Arial" w:hAnsi="Arial" w:cs="Arial"/>
          <w:sz w:val="24"/>
          <w:szCs w:val="24"/>
        </w:rPr>
        <w:t xml:space="preserve">In </w:t>
      </w:r>
      <w:r w:rsidR="00166658" w:rsidRPr="00AA7F42">
        <w:rPr>
          <w:rFonts w:ascii="Arial" w:hAnsi="Arial" w:cs="Arial"/>
          <w:b/>
          <w:sz w:val="24"/>
          <w:szCs w:val="24"/>
        </w:rPr>
        <w:t>United Building Society Ltd and Another N.O v Du Plessis</w:t>
      </w:r>
      <w:r w:rsidR="00D92EAE" w:rsidRPr="00AA7F42">
        <w:rPr>
          <w:rFonts w:ascii="Arial" w:hAnsi="Arial" w:cs="Arial"/>
          <w:b/>
          <w:sz w:val="24"/>
          <w:szCs w:val="24"/>
        </w:rPr>
        <w:t>,</w:t>
      </w:r>
      <w:r w:rsidR="004D2051">
        <w:rPr>
          <w:rStyle w:val="FootnoteReference"/>
          <w:rFonts w:ascii="Arial" w:hAnsi="Arial" w:cs="Arial"/>
          <w:sz w:val="24"/>
          <w:szCs w:val="24"/>
        </w:rPr>
        <w:footnoteReference w:id="8"/>
      </w:r>
      <w:r w:rsidR="00D92EAE" w:rsidRPr="00AA7F42">
        <w:rPr>
          <w:rFonts w:ascii="Arial" w:hAnsi="Arial" w:cs="Arial"/>
          <w:b/>
          <w:sz w:val="24"/>
          <w:szCs w:val="24"/>
        </w:rPr>
        <w:t xml:space="preserve"> </w:t>
      </w:r>
      <w:r w:rsidR="00166658" w:rsidRPr="00AA7F42">
        <w:rPr>
          <w:rFonts w:ascii="Arial" w:hAnsi="Arial" w:cs="Arial"/>
          <w:sz w:val="24"/>
          <w:szCs w:val="24"/>
        </w:rPr>
        <w:t xml:space="preserve"> the following was said:</w:t>
      </w:r>
    </w:p>
    <w:p w14:paraId="2916C0D9" w14:textId="2C09BC6D" w:rsidR="00166658" w:rsidRPr="004E09BB" w:rsidRDefault="004D2051" w:rsidP="004E09BB">
      <w:pPr>
        <w:pStyle w:val="ListParagraph"/>
        <w:spacing w:after="240" w:line="360" w:lineRule="auto"/>
        <w:ind w:left="1440"/>
        <w:contextualSpacing w:val="0"/>
        <w:jc w:val="both"/>
        <w:rPr>
          <w:rFonts w:ascii="Arial" w:hAnsi="Arial" w:cs="Arial"/>
          <w:u w:val="single"/>
        </w:rPr>
      </w:pPr>
      <w:r>
        <w:rPr>
          <w:rFonts w:ascii="Arial" w:hAnsi="Arial" w:cs="Arial"/>
        </w:rPr>
        <w:t>“…</w:t>
      </w:r>
      <w:r w:rsidR="0082169C" w:rsidRPr="0082169C">
        <w:rPr>
          <w:rFonts w:ascii="Arial" w:hAnsi="Arial" w:cs="Arial"/>
        </w:rPr>
        <w:t>should the property be put up for sale, either in execution or by the trustee in insolvency, the question is whether the highest bid or offer would suffice to cover the amount of the mortgage bond or not. If the price does cover the amount of the mortgage debt, then the property will be sold subje</w:t>
      </w:r>
      <w:r w:rsidR="0082169C">
        <w:rPr>
          <w:rFonts w:ascii="Arial" w:hAnsi="Arial" w:cs="Arial"/>
        </w:rPr>
        <w:t xml:space="preserve">ct to the lease, </w:t>
      </w:r>
      <w:r w:rsidR="0082169C" w:rsidRPr="0082169C">
        <w:rPr>
          <w:rFonts w:ascii="Arial" w:hAnsi="Arial" w:cs="Arial"/>
          <w:u w:val="single"/>
        </w:rPr>
        <w:t>but if that price does not suffice to cover the mortgage debt, then the property will be sold free of the lease, the lease thereby coming to an end</w:t>
      </w:r>
      <w:r w:rsidR="0082169C" w:rsidRPr="0082169C">
        <w:rPr>
          <w:rFonts w:ascii="Arial" w:hAnsi="Arial" w:cs="Arial"/>
        </w:rPr>
        <w:t>.</w:t>
      </w:r>
      <w:r w:rsidR="0082169C">
        <w:rPr>
          <w:rFonts w:ascii="Arial" w:hAnsi="Arial" w:cs="Arial"/>
        </w:rPr>
        <w:t>”</w:t>
      </w:r>
    </w:p>
    <w:p w14:paraId="553C2208" w14:textId="66EA3DE1" w:rsidR="002F5BCC"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2F5BCC" w:rsidRPr="00AA7F42">
        <w:rPr>
          <w:rFonts w:ascii="Arial" w:hAnsi="Arial" w:cs="Arial"/>
          <w:sz w:val="24"/>
          <w:szCs w:val="24"/>
        </w:rPr>
        <w:t>In this instance, the Respondents’ offer was rejected as it did not cover the mortgage debt. Thus, the farms were sold free of a lease agreement.</w:t>
      </w:r>
    </w:p>
    <w:p w14:paraId="44F294D4" w14:textId="538B3FD9" w:rsidR="002F5BCC" w:rsidRDefault="002F5BCC" w:rsidP="004E09BB">
      <w:pPr>
        <w:pStyle w:val="ListParagraph"/>
        <w:spacing w:after="240" w:line="360" w:lineRule="auto"/>
        <w:contextualSpacing w:val="0"/>
        <w:jc w:val="both"/>
        <w:rPr>
          <w:rFonts w:ascii="Arial" w:hAnsi="Arial" w:cs="Arial"/>
          <w:sz w:val="24"/>
          <w:szCs w:val="24"/>
        </w:rPr>
      </w:pPr>
      <w:r>
        <w:rPr>
          <w:rFonts w:ascii="Arial" w:hAnsi="Arial" w:cs="Arial"/>
          <w:sz w:val="24"/>
          <w:szCs w:val="24"/>
        </w:rPr>
        <w:t xml:space="preserve">The defense as raised by the </w:t>
      </w:r>
      <w:r w:rsidR="00D71570">
        <w:rPr>
          <w:rFonts w:ascii="Arial" w:hAnsi="Arial" w:cs="Arial"/>
          <w:sz w:val="24"/>
          <w:szCs w:val="24"/>
        </w:rPr>
        <w:t>First Respondent</w:t>
      </w:r>
      <w:r>
        <w:rPr>
          <w:rFonts w:ascii="Arial" w:hAnsi="Arial" w:cs="Arial"/>
          <w:sz w:val="24"/>
          <w:szCs w:val="24"/>
        </w:rPr>
        <w:t xml:space="preserve"> of “huur gaat voor koop” can therefore not stand and the Respondents are therefore in unlawful occupation and ought to vacate the farms.</w:t>
      </w:r>
    </w:p>
    <w:p w14:paraId="62446CD2" w14:textId="5286ABB8" w:rsidR="002F5BCC"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F5BCC" w:rsidRPr="00AA7F42">
        <w:rPr>
          <w:rFonts w:ascii="Arial" w:hAnsi="Arial" w:cs="Arial"/>
          <w:sz w:val="24"/>
          <w:szCs w:val="24"/>
        </w:rPr>
        <w:t>It is further noted, the court order of 19 April 2021 which ordered as follows:</w:t>
      </w:r>
    </w:p>
    <w:p w14:paraId="07D4EF49" w14:textId="2CB6C60C" w:rsidR="002F5BCC" w:rsidRPr="004E09BB" w:rsidRDefault="002F5BCC" w:rsidP="004E09BB">
      <w:pPr>
        <w:pStyle w:val="ListParagraph"/>
        <w:spacing w:after="240" w:line="360" w:lineRule="auto"/>
        <w:ind w:left="1440"/>
        <w:contextualSpacing w:val="0"/>
        <w:jc w:val="both"/>
        <w:rPr>
          <w:rFonts w:ascii="Arial" w:hAnsi="Arial" w:cs="Arial"/>
        </w:rPr>
      </w:pPr>
      <w:r w:rsidRPr="004E09BB">
        <w:rPr>
          <w:rFonts w:ascii="Arial" w:hAnsi="Arial" w:cs="Arial"/>
        </w:rPr>
        <w:t>“4. The relief granted in terms of paragraph 2</w:t>
      </w:r>
      <w:r w:rsidR="00D81855">
        <w:rPr>
          <w:rFonts w:ascii="Arial" w:hAnsi="Arial" w:cs="Arial"/>
        </w:rPr>
        <w:t>,</w:t>
      </w:r>
      <w:r w:rsidRPr="004E09BB">
        <w:rPr>
          <w:rFonts w:ascii="Arial" w:hAnsi="Arial" w:cs="Arial"/>
        </w:rPr>
        <w:t xml:space="preserve"> shall automatically lapse in the event the creditors in the insolve</w:t>
      </w:r>
      <w:r w:rsidR="00D81855">
        <w:rPr>
          <w:rFonts w:ascii="Arial" w:hAnsi="Arial" w:cs="Arial"/>
        </w:rPr>
        <w:t>nt estate of Phillipus Abraham D</w:t>
      </w:r>
      <w:r w:rsidRPr="004E09BB">
        <w:rPr>
          <w:rFonts w:ascii="Arial" w:hAnsi="Arial" w:cs="Arial"/>
        </w:rPr>
        <w:t xml:space="preserve">e Bruyn, which estate is registered with the Master of the High Court under estate reference B35/2020, resolved at the second meeting of creditors that </w:t>
      </w:r>
      <w:r w:rsidR="00D81855">
        <w:rPr>
          <w:rFonts w:ascii="Arial" w:hAnsi="Arial" w:cs="Arial"/>
        </w:rPr>
        <w:t>t</w:t>
      </w:r>
      <w:r w:rsidRPr="004E09BB">
        <w:rPr>
          <w:rFonts w:ascii="Arial" w:hAnsi="Arial" w:cs="Arial"/>
        </w:rPr>
        <w:t>he farms listed in paragraph 2.1 to 2.4 are to be sold.”</w:t>
      </w:r>
    </w:p>
    <w:p w14:paraId="1711FD04" w14:textId="4E2836F2" w:rsidR="001A72F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F5BCC" w:rsidRPr="00AA7F42">
        <w:rPr>
          <w:rFonts w:ascii="Arial" w:hAnsi="Arial" w:cs="Arial"/>
          <w:sz w:val="24"/>
          <w:szCs w:val="24"/>
        </w:rPr>
        <w:t>The trustees being the Second and Third Applicants filed confirmatory affidavits, confirming the contents of the founding affidavit of the Applicant specifically with reference to para 11.4 to 11.5 which details the duties and responsibilities of the trustees and furthermore the mortgagee had insisted</w:t>
      </w:r>
      <w:r w:rsidR="001A72F8" w:rsidRPr="00AA7F42">
        <w:rPr>
          <w:rFonts w:ascii="Arial" w:hAnsi="Arial" w:cs="Arial"/>
          <w:sz w:val="24"/>
          <w:szCs w:val="24"/>
        </w:rPr>
        <w:t xml:space="preserve"> the farms be sold free from the lease agreement (Landbank). The bank may insist that the property be auctioned free from the lease, and it</w:t>
      </w:r>
      <w:r w:rsidR="00E37EFC" w:rsidRPr="00AA7F42">
        <w:rPr>
          <w:rFonts w:ascii="Arial" w:hAnsi="Arial" w:cs="Arial"/>
          <w:sz w:val="24"/>
          <w:szCs w:val="24"/>
        </w:rPr>
        <w:t>’</w:t>
      </w:r>
      <w:r w:rsidR="001A72F8" w:rsidRPr="00AA7F42">
        <w:rPr>
          <w:rFonts w:ascii="Arial" w:hAnsi="Arial" w:cs="Arial"/>
          <w:sz w:val="24"/>
          <w:szCs w:val="24"/>
        </w:rPr>
        <w:t>s at the bank’s discretion as in this instance, Landbank insisted that farms be sold without lease agreement (See replying affidavit para 10.6).</w:t>
      </w:r>
    </w:p>
    <w:p w14:paraId="62C32AF6" w14:textId="08982225" w:rsidR="001A72F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A72F8" w:rsidRPr="00AA7F42">
        <w:rPr>
          <w:rFonts w:ascii="Arial" w:hAnsi="Arial" w:cs="Arial"/>
          <w:sz w:val="24"/>
          <w:szCs w:val="24"/>
        </w:rPr>
        <w:t xml:space="preserve">Therefore, the </w:t>
      </w:r>
      <w:r w:rsidR="00D71570" w:rsidRPr="00AA7F42">
        <w:rPr>
          <w:rFonts w:ascii="Arial" w:hAnsi="Arial" w:cs="Arial"/>
          <w:sz w:val="24"/>
          <w:szCs w:val="24"/>
        </w:rPr>
        <w:t>First Applicant</w:t>
      </w:r>
      <w:r w:rsidR="001A72F8" w:rsidRPr="00AA7F42">
        <w:rPr>
          <w:rFonts w:ascii="Arial" w:hAnsi="Arial" w:cs="Arial"/>
          <w:sz w:val="24"/>
          <w:szCs w:val="24"/>
        </w:rPr>
        <w:t xml:space="preserve"> is entitled to repossess the properties that were paid for and transferred and registered in its name. The sale of the farms therefore terminated the lease agreement.</w:t>
      </w:r>
    </w:p>
    <w:p w14:paraId="03A4A122" w14:textId="11C8342E" w:rsidR="001A72F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1A72F8" w:rsidRPr="00AA7F42">
        <w:rPr>
          <w:rFonts w:ascii="Arial" w:hAnsi="Arial" w:cs="Arial"/>
          <w:sz w:val="24"/>
          <w:szCs w:val="24"/>
        </w:rPr>
        <w:t>The Respondent</w:t>
      </w:r>
      <w:r w:rsidR="00776417" w:rsidRPr="00AA7F42">
        <w:rPr>
          <w:rFonts w:ascii="Arial" w:hAnsi="Arial" w:cs="Arial"/>
          <w:sz w:val="24"/>
          <w:szCs w:val="24"/>
        </w:rPr>
        <w:t>s’</w:t>
      </w:r>
      <w:r w:rsidR="001A72F8" w:rsidRPr="00AA7F42">
        <w:rPr>
          <w:rFonts w:ascii="Arial" w:hAnsi="Arial" w:cs="Arial"/>
          <w:sz w:val="24"/>
          <w:szCs w:val="24"/>
        </w:rPr>
        <w:t xml:space="preserve"> contention that the court ordered that Hertzog farm cannot be sold on auction as prayer 4 of the court order of 19 April 2021 is clear on the sale transaction of the farm Hertzog was an interim interdict and would lapse after the creditor in the insolvent estate had their second meeting.</w:t>
      </w:r>
    </w:p>
    <w:p w14:paraId="0D79AEBF" w14:textId="38DDE7F7" w:rsidR="001A72F8"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1A72F8" w:rsidRPr="00AA7F42">
        <w:rPr>
          <w:rFonts w:ascii="Arial" w:hAnsi="Arial" w:cs="Arial"/>
          <w:sz w:val="24"/>
          <w:szCs w:val="24"/>
        </w:rPr>
        <w:t xml:space="preserve">The Respondents raised </w:t>
      </w:r>
      <w:r w:rsidR="00776417" w:rsidRPr="00AA7F42">
        <w:rPr>
          <w:rFonts w:ascii="Arial" w:hAnsi="Arial" w:cs="Arial"/>
          <w:sz w:val="24"/>
          <w:szCs w:val="24"/>
        </w:rPr>
        <w:t xml:space="preserve">an </w:t>
      </w:r>
      <w:r w:rsidR="001A72F8" w:rsidRPr="00AA7F42">
        <w:rPr>
          <w:rFonts w:ascii="Arial" w:hAnsi="Arial" w:cs="Arial"/>
          <w:sz w:val="24"/>
          <w:szCs w:val="24"/>
        </w:rPr>
        <w:t xml:space="preserve">issue that the </w:t>
      </w:r>
      <w:r w:rsidR="00D71570" w:rsidRPr="00AA7F42">
        <w:rPr>
          <w:rFonts w:ascii="Arial" w:hAnsi="Arial" w:cs="Arial"/>
          <w:sz w:val="24"/>
          <w:szCs w:val="24"/>
        </w:rPr>
        <w:t>First Applicant</w:t>
      </w:r>
      <w:r w:rsidR="00EA6148" w:rsidRPr="00AA7F42">
        <w:rPr>
          <w:rFonts w:ascii="Arial" w:hAnsi="Arial" w:cs="Arial"/>
          <w:sz w:val="24"/>
          <w:szCs w:val="24"/>
        </w:rPr>
        <w:t xml:space="preserve"> failed to comply with R</w:t>
      </w:r>
      <w:r w:rsidR="001A72F8" w:rsidRPr="00AA7F42">
        <w:rPr>
          <w:rFonts w:ascii="Arial" w:hAnsi="Arial" w:cs="Arial"/>
          <w:sz w:val="24"/>
          <w:szCs w:val="24"/>
        </w:rPr>
        <w:t>ule 41A</w:t>
      </w:r>
      <w:r w:rsidR="00EA6148" w:rsidRPr="00AA7F42">
        <w:rPr>
          <w:rFonts w:ascii="Arial" w:hAnsi="Arial" w:cs="Arial"/>
          <w:sz w:val="24"/>
          <w:szCs w:val="24"/>
        </w:rPr>
        <w:t xml:space="preserve"> </w:t>
      </w:r>
      <w:r w:rsidR="00992F82" w:rsidRPr="00AA7F42">
        <w:rPr>
          <w:rFonts w:ascii="Arial" w:hAnsi="Arial" w:cs="Arial"/>
          <w:sz w:val="24"/>
          <w:szCs w:val="24"/>
        </w:rPr>
        <w:t>,</w:t>
      </w:r>
      <w:r w:rsidR="00EA6148">
        <w:rPr>
          <w:rStyle w:val="FootnoteReference"/>
          <w:rFonts w:ascii="Arial" w:hAnsi="Arial" w:cs="Arial"/>
          <w:sz w:val="24"/>
          <w:szCs w:val="24"/>
        </w:rPr>
        <w:footnoteReference w:id="9"/>
      </w:r>
      <w:r w:rsidR="00992F82" w:rsidRPr="00AA7F42">
        <w:rPr>
          <w:rFonts w:ascii="Arial" w:hAnsi="Arial" w:cs="Arial"/>
          <w:sz w:val="24"/>
          <w:szCs w:val="24"/>
        </w:rPr>
        <w:t xml:space="preserve"> </w:t>
      </w:r>
      <w:r w:rsidR="001A72F8" w:rsidRPr="00AA7F42">
        <w:rPr>
          <w:rFonts w:ascii="Arial" w:hAnsi="Arial" w:cs="Arial"/>
          <w:sz w:val="24"/>
          <w:szCs w:val="24"/>
        </w:rPr>
        <w:t xml:space="preserve"> which provides that parties are to prepare for mediation prior to approaching court.</w:t>
      </w:r>
      <w:r w:rsidR="00EA6148" w:rsidRPr="00AA7F42">
        <w:rPr>
          <w:rFonts w:ascii="Arial" w:hAnsi="Arial" w:cs="Arial"/>
          <w:sz w:val="24"/>
          <w:szCs w:val="24"/>
        </w:rPr>
        <w:t xml:space="preserve"> Sub-</w:t>
      </w:r>
      <w:r w:rsidR="00AB7857" w:rsidRPr="00AA7F42">
        <w:rPr>
          <w:rFonts w:ascii="Arial" w:hAnsi="Arial" w:cs="Arial"/>
          <w:sz w:val="24"/>
          <w:szCs w:val="24"/>
        </w:rPr>
        <w:t xml:space="preserve">rule (2) (a) requires the Applicant to serve a notice in terms of Rule 41A </w:t>
      </w:r>
      <w:r w:rsidR="0092051F" w:rsidRPr="00AA7F42">
        <w:rPr>
          <w:rFonts w:ascii="Arial" w:hAnsi="Arial" w:cs="Arial"/>
          <w:sz w:val="24"/>
          <w:szCs w:val="24"/>
        </w:rPr>
        <w:t xml:space="preserve">whether applicant agrees or </w:t>
      </w:r>
      <w:r w:rsidR="00AB7857" w:rsidRPr="00AA7F42">
        <w:rPr>
          <w:rFonts w:ascii="Arial" w:hAnsi="Arial" w:cs="Arial"/>
          <w:sz w:val="24"/>
          <w:szCs w:val="24"/>
        </w:rPr>
        <w:t xml:space="preserve">opposes </w:t>
      </w:r>
      <w:r w:rsidR="0092051F" w:rsidRPr="00AA7F42">
        <w:rPr>
          <w:rFonts w:ascii="Arial" w:hAnsi="Arial" w:cs="Arial"/>
          <w:sz w:val="24"/>
          <w:szCs w:val="24"/>
        </w:rPr>
        <w:t>to mediation and similarly the r</w:t>
      </w:r>
      <w:r w:rsidR="00AB7857" w:rsidRPr="00AA7F42">
        <w:rPr>
          <w:rFonts w:ascii="Arial" w:hAnsi="Arial" w:cs="Arial"/>
          <w:sz w:val="24"/>
          <w:szCs w:val="24"/>
        </w:rPr>
        <w:t>espondent is to file a notice s</w:t>
      </w:r>
      <w:r w:rsidR="0092051F" w:rsidRPr="00AA7F42">
        <w:rPr>
          <w:rFonts w:ascii="Arial" w:hAnsi="Arial" w:cs="Arial"/>
          <w:sz w:val="24"/>
          <w:szCs w:val="24"/>
        </w:rPr>
        <w:t xml:space="preserve">tating whether he is agreeing or </w:t>
      </w:r>
      <w:r w:rsidR="00AB7857" w:rsidRPr="00AA7F42">
        <w:rPr>
          <w:rFonts w:ascii="Arial" w:hAnsi="Arial" w:cs="Arial"/>
          <w:sz w:val="24"/>
          <w:szCs w:val="24"/>
        </w:rPr>
        <w:t>opposing that the matter be referred to mediation.</w:t>
      </w:r>
    </w:p>
    <w:p w14:paraId="67DD7C3D" w14:textId="773BA168" w:rsidR="00AB7857"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B7857" w:rsidRPr="00AA7F42">
        <w:rPr>
          <w:rFonts w:ascii="Arial" w:hAnsi="Arial" w:cs="Arial"/>
          <w:sz w:val="24"/>
          <w:szCs w:val="24"/>
        </w:rPr>
        <w:t xml:space="preserve">Counsel for the </w:t>
      </w:r>
      <w:r w:rsidR="00D71570" w:rsidRPr="00AA7F42">
        <w:rPr>
          <w:rFonts w:ascii="Arial" w:hAnsi="Arial" w:cs="Arial"/>
          <w:sz w:val="24"/>
          <w:szCs w:val="24"/>
        </w:rPr>
        <w:t>First Applicant</w:t>
      </w:r>
      <w:r w:rsidR="00AB7857" w:rsidRPr="00AA7F42">
        <w:rPr>
          <w:rFonts w:ascii="Arial" w:hAnsi="Arial" w:cs="Arial"/>
          <w:sz w:val="24"/>
          <w:szCs w:val="24"/>
        </w:rPr>
        <w:t xml:space="preserve"> submitted in oral argument that non-compliance with Rule 41A does not negate the </w:t>
      </w:r>
      <w:r w:rsidR="00D71570" w:rsidRPr="00AA7F42">
        <w:rPr>
          <w:rFonts w:ascii="Arial" w:hAnsi="Arial" w:cs="Arial"/>
          <w:sz w:val="24"/>
          <w:szCs w:val="24"/>
        </w:rPr>
        <w:t>First Applicant</w:t>
      </w:r>
      <w:r w:rsidR="00AB7857" w:rsidRPr="00AA7F42">
        <w:rPr>
          <w:rFonts w:ascii="Arial" w:hAnsi="Arial" w:cs="Arial"/>
          <w:sz w:val="24"/>
          <w:szCs w:val="24"/>
        </w:rPr>
        <w:t>’s matter and that the Respondents did not file Rule 31A.</w:t>
      </w:r>
      <w:r w:rsidR="00992F82" w:rsidRPr="00AA7F42">
        <w:rPr>
          <w:rFonts w:ascii="Arial" w:hAnsi="Arial" w:cs="Arial"/>
          <w:sz w:val="24"/>
          <w:szCs w:val="24"/>
        </w:rPr>
        <w:t xml:space="preserve">  I am inclined to agree with Counsel for th</w:t>
      </w:r>
      <w:r w:rsidR="00D71570" w:rsidRPr="00AA7F42">
        <w:rPr>
          <w:rFonts w:ascii="Arial" w:hAnsi="Arial" w:cs="Arial"/>
          <w:sz w:val="24"/>
          <w:szCs w:val="24"/>
        </w:rPr>
        <w:t>e</w:t>
      </w:r>
      <w:r w:rsidR="00992F82" w:rsidRPr="00AA7F42">
        <w:rPr>
          <w:rFonts w:ascii="Arial" w:hAnsi="Arial" w:cs="Arial"/>
          <w:sz w:val="24"/>
          <w:szCs w:val="24"/>
        </w:rPr>
        <w:t xml:space="preserve"> </w:t>
      </w:r>
      <w:r w:rsidR="00D71570" w:rsidRPr="00AA7F42">
        <w:rPr>
          <w:rFonts w:ascii="Arial" w:hAnsi="Arial" w:cs="Arial"/>
          <w:sz w:val="24"/>
          <w:szCs w:val="24"/>
        </w:rPr>
        <w:t>First Applicant</w:t>
      </w:r>
      <w:r w:rsidR="00992F82" w:rsidRPr="00AA7F42">
        <w:rPr>
          <w:rFonts w:ascii="Arial" w:hAnsi="Arial" w:cs="Arial"/>
          <w:sz w:val="24"/>
          <w:szCs w:val="24"/>
        </w:rPr>
        <w:t xml:space="preserve"> that the </w:t>
      </w:r>
      <w:r w:rsidR="00D42A1E" w:rsidRPr="00AA7F42">
        <w:rPr>
          <w:rFonts w:ascii="Arial" w:hAnsi="Arial" w:cs="Arial"/>
          <w:sz w:val="24"/>
          <w:szCs w:val="24"/>
        </w:rPr>
        <w:t>R</w:t>
      </w:r>
      <w:r w:rsidR="00992F82" w:rsidRPr="00AA7F42">
        <w:rPr>
          <w:rFonts w:ascii="Arial" w:hAnsi="Arial" w:cs="Arial"/>
          <w:sz w:val="24"/>
          <w:szCs w:val="24"/>
        </w:rPr>
        <w:t xml:space="preserve">espondents also </w:t>
      </w:r>
      <w:r w:rsidR="00D42A1E" w:rsidRPr="00AA7F42">
        <w:rPr>
          <w:rFonts w:ascii="Arial" w:hAnsi="Arial" w:cs="Arial"/>
          <w:sz w:val="24"/>
          <w:szCs w:val="24"/>
        </w:rPr>
        <w:t>failed</w:t>
      </w:r>
      <w:r w:rsidR="00992F82" w:rsidRPr="00AA7F42">
        <w:rPr>
          <w:rFonts w:ascii="Arial" w:hAnsi="Arial" w:cs="Arial"/>
          <w:sz w:val="24"/>
          <w:szCs w:val="24"/>
        </w:rPr>
        <w:t xml:space="preserve"> to file a 3</w:t>
      </w:r>
      <w:r w:rsidR="00D71570" w:rsidRPr="00AA7F42">
        <w:rPr>
          <w:rFonts w:ascii="Arial" w:hAnsi="Arial" w:cs="Arial"/>
          <w:sz w:val="24"/>
          <w:szCs w:val="24"/>
        </w:rPr>
        <w:t>1</w:t>
      </w:r>
      <w:r w:rsidR="00992F82" w:rsidRPr="00AA7F42">
        <w:rPr>
          <w:rFonts w:ascii="Arial" w:hAnsi="Arial" w:cs="Arial"/>
          <w:sz w:val="24"/>
          <w:szCs w:val="24"/>
        </w:rPr>
        <w:t>A n</w:t>
      </w:r>
      <w:r w:rsidR="00D42A1E" w:rsidRPr="00AA7F42">
        <w:rPr>
          <w:rFonts w:ascii="Arial" w:hAnsi="Arial" w:cs="Arial"/>
          <w:sz w:val="24"/>
          <w:szCs w:val="24"/>
        </w:rPr>
        <w:t>otice</w:t>
      </w:r>
    </w:p>
    <w:p w14:paraId="787C39BA" w14:textId="13C0D80F" w:rsidR="00AB7857"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AB7857" w:rsidRPr="00AA7F42">
        <w:rPr>
          <w:rFonts w:ascii="Arial" w:hAnsi="Arial" w:cs="Arial"/>
          <w:sz w:val="24"/>
          <w:szCs w:val="24"/>
        </w:rPr>
        <w:t xml:space="preserve">Counsel for the First and Second Respondent submitted that the parties are compelled to mediate their dispute and made reference to </w:t>
      </w:r>
      <w:r w:rsidR="0092051F" w:rsidRPr="00AA7F42">
        <w:rPr>
          <w:rFonts w:ascii="Arial" w:hAnsi="Arial" w:cs="Arial"/>
          <w:b/>
          <w:sz w:val="24"/>
          <w:szCs w:val="24"/>
        </w:rPr>
        <w:t>Koetsioe and Others</w:t>
      </w:r>
      <w:r w:rsidR="00AB7857" w:rsidRPr="00AA7F42">
        <w:rPr>
          <w:rFonts w:ascii="Arial" w:hAnsi="Arial" w:cs="Arial"/>
          <w:b/>
          <w:sz w:val="24"/>
          <w:szCs w:val="24"/>
        </w:rPr>
        <w:t xml:space="preserve"> v Minister of</w:t>
      </w:r>
      <w:r w:rsidR="0092051F" w:rsidRPr="00AA7F42">
        <w:rPr>
          <w:rFonts w:ascii="Arial" w:hAnsi="Arial" w:cs="Arial"/>
          <w:b/>
          <w:sz w:val="24"/>
          <w:szCs w:val="24"/>
        </w:rPr>
        <w:t xml:space="preserve"> Defense and Military Veterans and</w:t>
      </w:r>
      <w:r w:rsidR="00AB7857" w:rsidRPr="00AA7F42">
        <w:rPr>
          <w:rFonts w:ascii="Arial" w:hAnsi="Arial" w:cs="Arial"/>
          <w:b/>
          <w:sz w:val="24"/>
          <w:szCs w:val="24"/>
        </w:rPr>
        <w:t xml:space="preserve"> Others</w:t>
      </w:r>
      <w:r w:rsidR="0092051F" w:rsidRPr="00AA7F42">
        <w:rPr>
          <w:rFonts w:ascii="Arial" w:hAnsi="Arial" w:cs="Arial"/>
          <w:sz w:val="24"/>
          <w:szCs w:val="24"/>
        </w:rPr>
        <w:t xml:space="preserve"> </w:t>
      </w:r>
      <w:r w:rsidR="0092051F">
        <w:rPr>
          <w:rStyle w:val="FootnoteReference"/>
          <w:rFonts w:ascii="Arial" w:hAnsi="Arial" w:cs="Arial"/>
          <w:sz w:val="24"/>
          <w:szCs w:val="24"/>
        </w:rPr>
        <w:footnoteReference w:id="10"/>
      </w:r>
      <w:r w:rsidR="00AB7857" w:rsidRPr="00AA7F42">
        <w:rPr>
          <w:rFonts w:ascii="Arial" w:hAnsi="Arial" w:cs="Arial"/>
          <w:sz w:val="24"/>
          <w:szCs w:val="24"/>
        </w:rPr>
        <w:t>.</w:t>
      </w:r>
    </w:p>
    <w:p w14:paraId="244C8E31" w14:textId="6EE4F96D" w:rsidR="00AB7857"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B7857" w:rsidRPr="00AA7F42">
        <w:rPr>
          <w:rFonts w:ascii="Arial" w:hAnsi="Arial" w:cs="Arial"/>
          <w:sz w:val="24"/>
          <w:szCs w:val="24"/>
        </w:rPr>
        <w:t xml:space="preserve">In </w:t>
      </w:r>
      <w:r w:rsidR="00AB7857" w:rsidRPr="00AA7F42">
        <w:rPr>
          <w:rFonts w:ascii="Arial" w:hAnsi="Arial" w:cs="Arial"/>
          <w:b/>
          <w:sz w:val="24"/>
          <w:szCs w:val="24"/>
        </w:rPr>
        <w:t>Kalagadi Manganese (Pty) Ltd v Industrial Development Corperation of South Africa Ltd</w:t>
      </w:r>
      <w:r w:rsidR="00AB7857" w:rsidRPr="00AA7F42">
        <w:rPr>
          <w:rFonts w:ascii="Arial" w:hAnsi="Arial" w:cs="Arial"/>
          <w:sz w:val="24"/>
          <w:szCs w:val="24"/>
        </w:rPr>
        <w:t xml:space="preserve"> </w:t>
      </w:r>
      <w:r w:rsidR="0092051F" w:rsidRPr="00AA7F42">
        <w:rPr>
          <w:rFonts w:ascii="Arial" w:hAnsi="Arial" w:cs="Arial"/>
          <w:b/>
          <w:sz w:val="24"/>
          <w:szCs w:val="24"/>
        </w:rPr>
        <w:t>and Others</w:t>
      </w:r>
      <w:r w:rsidR="0092051F" w:rsidRPr="00AA7F42">
        <w:rPr>
          <w:rFonts w:ascii="Arial" w:hAnsi="Arial" w:cs="Arial"/>
          <w:sz w:val="24"/>
          <w:szCs w:val="24"/>
        </w:rPr>
        <w:t xml:space="preserve"> </w:t>
      </w:r>
      <w:r w:rsidR="0092051F">
        <w:rPr>
          <w:rStyle w:val="FootnoteReference"/>
          <w:rFonts w:ascii="Arial" w:hAnsi="Arial" w:cs="Arial"/>
          <w:sz w:val="24"/>
          <w:szCs w:val="24"/>
        </w:rPr>
        <w:footnoteReference w:id="11"/>
      </w:r>
      <w:r w:rsidR="00AB7857" w:rsidRPr="00AA7F42">
        <w:rPr>
          <w:rFonts w:ascii="Arial" w:hAnsi="Arial" w:cs="Arial"/>
          <w:sz w:val="24"/>
          <w:szCs w:val="24"/>
        </w:rPr>
        <w:t>, the Court defined the mediation in terms of Rule 41A as a voluntary non-binding prescriptive dispute resolution.</w:t>
      </w:r>
    </w:p>
    <w:p w14:paraId="1259CB82" w14:textId="61E1E7CB" w:rsidR="00AB7857"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880FFF" w:rsidRPr="00AA7F42">
        <w:rPr>
          <w:rFonts w:ascii="Arial" w:hAnsi="Arial" w:cs="Arial"/>
          <w:sz w:val="24"/>
          <w:szCs w:val="24"/>
        </w:rPr>
        <w:t>Given that Rule 41</w:t>
      </w:r>
      <w:r w:rsidR="00E37EFC" w:rsidRPr="00AA7F42">
        <w:rPr>
          <w:rFonts w:ascii="Arial" w:hAnsi="Arial" w:cs="Arial"/>
          <w:sz w:val="24"/>
          <w:szCs w:val="24"/>
        </w:rPr>
        <w:t>(</w:t>
      </w:r>
      <w:r w:rsidR="00880FFF" w:rsidRPr="00AA7F42">
        <w:rPr>
          <w:rFonts w:ascii="Arial" w:hAnsi="Arial" w:cs="Arial"/>
          <w:sz w:val="24"/>
          <w:szCs w:val="24"/>
        </w:rPr>
        <w:t>A</w:t>
      </w:r>
      <w:r w:rsidR="00E37EFC" w:rsidRPr="00AA7F42">
        <w:rPr>
          <w:rFonts w:ascii="Arial" w:hAnsi="Arial" w:cs="Arial"/>
          <w:sz w:val="24"/>
          <w:szCs w:val="24"/>
        </w:rPr>
        <w:t>)</w:t>
      </w:r>
      <w:r w:rsidR="00880FFF" w:rsidRPr="00AA7F42">
        <w:rPr>
          <w:rFonts w:ascii="Arial" w:hAnsi="Arial" w:cs="Arial"/>
          <w:sz w:val="24"/>
          <w:szCs w:val="24"/>
        </w:rPr>
        <w:t xml:space="preserve"> mediation must be voluntary to be effective</w:t>
      </w:r>
      <w:r w:rsidR="00D71570" w:rsidRPr="00AA7F42">
        <w:rPr>
          <w:rFonts w:ascii="Arial" w:hAnsi="Arial" w:cs="Arial"/>
          <w:sz w:val="24"/>
          <w:szCs w:val="24"/>
        </w:rPr>
        <w:t xml:space="preserve"> and to assist in resolving disputes speedily</w:t>
      </w:r>
      <w:r w:rsidR="00880FFF" w:rsidRPr="00AA7F42">
        <w:rPr>
          <w:rFonts w:ascii="Arial" w:hAnsi="Arial" w:cs="Arial"/>
          <w:sz w:val="24"/>
          <w:szCs w:val="24"/>
        </w:rPr>
        <w:t xml:space="preserve">. </w:t>
      </w:r>
      <w:r w:rsidR="00D71570" w:rsidRPr="00AA7F42">
        <w:rPr>
          <w:rFonts w:ascii="Arial" w:hAnsi="Arial" w:cs="Arial"/>
          <w:sz w:val="24"/>
          <w:szCs w:val="24"/>
        </w:rPr>
        <w:t xml:space="preserve"> However, </w:t>
      </w:r>
      <w:r w:rsidR="00880FFF" w:rsidRPr="00AA7F42">
        <w:rPr>
          <w:rFonts w:ascii="Arial" w:hAnsi="Arial" w:cs="Arial"/>
          <w:sz w:val="24"/>
          <w:szCs w:val="24"/>
        </w:rPr>
        <w:t>Rule 41 A does not change the nature of mediation nor force an unwilling party to participate. It is obligatory in the sense that parties are to consider mediation. The purpo</w:t>
      </w:r>
      <w:r w:rsidR="0092051F" w:rsidRPr="00AA7F42">
        <w:rPr>
          <w:rFonts w:ascii="Arial" w:hAnsi="Arial" w:cs="Arial"/>
          <w:sz w:val="24"/>
          <w:szCs w:val="24"/>
        </w:rPr>
        <w:t>se of Rule 41A</w:t>
      </w:r>
      <w:r w:rsidR="00880FFF" w:rsidRPr="00AA7F42">
        <w:rPr>
          <w:rFonts w:ascii="Arial" w:hAnsi="Arial" w:cs="Arial"/>
          <w:sz w:val="24"/>
          <w:szCs w:val="24"/>
        </w:rPr>
        <w:t xml:space="preserve"> is to </w:t>
      </w:r>
      <w:r w:rsidR="00880FFF" w:rsidRPr="00AA7F42">
        <w:rPr>
          <w:rFonts w:ascii="Arial" w:hAnsi="Arial" w:cs="Arial"/>
          <w:i/>
          <w:sz w:val="24"/>
          <w:szCs w:val="24"/>
        </w:rPr>
        <w:t>expedito</w:t>
      </w:r>
      <w:r w:rsidR="00880FFF" w:rsidRPr="00AA7F42">
        <w:rPr>
          <w:rFonts w:ascii="Arial" w:hAnsi="Arial" w:cs="Arial"/>
          <w:sz w:val="24"/>
          <w:szCs w:val="24"/>
        </w:rPr>
        <w:t xml:space="preserve"> resolution in a dispute and to alleviate the co</w:t>
      </w:r>
      <w:r w:rsidR="005271AF" w:rsidRPr="00AA7F42">
        <w:rPr>
          <w:rFonts w:ascii="Arial" w:hAnsi="Arial" w:cs="Arial"/>
          <w:sz w:val="24"/>
          <w:szCs w:val="24"/>
        </w:rPr>
        <w:t>urts’ case load and i</w:t>
      </w:r>
      <w:r w:rsidR="00880FFF" w:rsidRPr="00AA7F42">
        <w:rPr>
          <w:rFonts w:ascii="Arial" w:hAnsi="Arial" w:cs="Arial"/>
          <w:sz w:val="24"/>
          <w:szCs w:val="24"/>
        </w:rPr>
        <w:t>s beneficial to parties. However, it does not compel or force the parties to attend mediation. An unwilling party to a mediation process would render the process useless.</w:t>
      </w:r>
    </w:p>
    <w:p w14:paraId="3897D58D" w14:textId="66DBE7FB" w:rsidR="00880FF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80FFF" w:rsidRPr="00AA7F42">
        <w:rPr>
          <w:rFonts w:ascii="Arial" w:hAnsi="Arial" w:cs="Arial"/>
          <w:sz w:val="24"/>
          <w:szCs w:val="24"/>
        </w:rPr>
        <w:t>Therefore, the Applicants unwillingness to mediate, does not take away the right to approach court to litigate the matter. The Respondent</w:t>
      </w:r>
      <w:r w:rsidR="005271AF" w:rsidRPr="00AA7F42">
        <w:rPr>
          <w:rFonts w:ascii="Arial" w:hAnsi="Arial" w:cs="Arial"/>
          <w:sz w:val="24"/>
          <w:szCs w:val="24"/>
        </w:rPr>
        <w:t>s</w:t>
      </w:r>
      <w:r w:rsidR="00880FFF" w:rsidRPr="00AA7F42">
        <w:rPr>
          <w:rFonts w:ascii="Arial" w:hAnsi="Arial" w:cs="Arial"/>
          <w:sz w:val="24"/>
          <w:szCs w:val="24"/>
        </w:rPr>
        <w:t xml:space="preserve"> in raising non-</w:t>
      </w:r>
      <w:r w:rsidR="00880FFF" w:rsidRPr="00AA7F42">
        <w:rPr>
          <w:rFonts w:ascii="Arial" w:hAnsi="Arial" w:cs="Arial"/>
          <w:sz w:val="24"/>
          <w:szCs w:val="24"/>
        </w:rPr>
        <w:lastRenderedPageBreak/>
        <w:t>compliance with rule</w:t>
      </w:r>
      <w:r w:rsidR="005271AF" w:rsidRPr="00AA7F42">
        <w:rPr>
          <w:rFonts w:ascii="Arial" w:hAnsi="Arial" w:cs="Arial"/>
          <w:sz w:val="24"/>
          <w:szCs w:val="24"/>
        </w:rPr>
        <w:t xml:space="preserve"> 41A, should have also filed a R</w:t>
      </w:r>
      <w:r w:rsidR="00880FFF" w:rsidRPr="00AA7F42">
        <w:rPr>
          <w:rFonts w:ascii="Arial" w:hAnsi="Arial" w:cs="Arial"/>
          <w:sz w:val="24"/>
          <w:szCs w:val="24"/>
        </w:rPr>
        <w:t>ule 30 notice, but failed to do so. Furthermore, in terms o</w:t>
      </w:r>
      <w:r w:rsidR="005271AF" w:rsidRPr="00AA7F42">
        <w:rPr>
          <w:rFonts w:ascii="Arial" w:hAnsi="Arial" w:cs="Arial"/>
          <w:sz w:val="24"/>
          <w:szCs w:val="24"/>
        </w:rPr>
        <w:t>f Rule 41A (3)(b), a Judge, or a Case Management Judge</w:t>
      </w:r>
      <w:r w:rsidR="00880FFF" w:rsidRPr="00AA7F42">
        <w:rPr>
          <w:rFonts w:ascii="Arial" w:hAnsi="Arial" w:cs="Arial"/>
          <w:sz w:val="24"/>
          <w:szCs w:val="24"/>
        </w:rPr>
        <w:t xml:space="preserve"> cannot force the parties to mediate, but may direct the parties to consider mediation at any given point before the judgment, however mediation cannot be imposed or forced unto the litigants. </w:t>
      </w:r>
    </w:p>
    <w:p w14:paraId="71637221" w14:textId="2921D0BE" w:rsidR="00880FFF"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80FFF" w:rsidRPr="00AA7F42">
        <w:rPr>
          <w:rFonts w:ascii="Arial" w:hAnsi="Arial" w:cs="Arial"/>
          <w:sz w:val="24"/>
          <w:szCs w:val="24"/>
        </w:rPr>
        <w:t xml:space="preserve">In </w:t>
      </w:r>
      <w:r w:rsidR="005271AF" w:rsidRPr="00AA7F42">
        <w:rPr>
          <w:rFonts w:ascii="Arial" w:hAnsi="Arial" w:cs="Arial"/>
          <w:b/>
          <w:sz w:val="24"/>
          <w:szCs w:val="24"/>
        </w:rPr>
        <w:t>Nomandela and Another v Nyandeni Local Municipality and Others</w:t>
      </w:r>
      <w:r w:rsidR="00D71570" w:rsidRPr="00AA7F42">
        <w:rPr>
          <w:rFonts w:ascii="Arial" w:hAnsi="Arial" w:cs="Arial"/>
          <w:b/>
          <w:sz w:val="24"/>
          <w:szCs w:val="24"/>
        </w:rPr>
        <w:t>,</w:t>
      </w:r>
      <w:r w:rsidR="005271AF">
        <w:rPr>
          <w:rStyle w:val="FootnoteReference"/>
          <w:rFonts w:ascii="Arial" w:hAnsi="Arial" w:cs="Arial"/>
          <w:sz w:val="24"/>
          <w:szCs w:val="24"/>
        </w:rPr>
        <w:footnoteReference w:id="12"/>
      </w:r>
      <w:r w:rsidR="00D71570" w:rsidRPr="00AA7F42">
        <w:rPr>
          <w:rFonts w:ascii="Arial" w:hAnsi="Arial" w:cs="Arial"/>
          <w:b/>
          <w:sz w:val="24"/>
          <w:szCs w:val="24"/>
        </w:rPr>
        <w:t xml:space="preserve"> </w:t>
      </w:r>
      <w:r w:rsidR="005271AF" w:rsidRPr="00AA7F42">
        <w:rPr>
          <w:rFonts w:ascii="Arial" w:hAnsi="Arial" w:cs="Arial"/>
          <w:sz w:val="24"/>
          <w:szCs w:val="24"/>
        </w:rPr>
        <w:t xml:space="preserve"> the C</w:t>
      </w:r>
      <w:r w:rsidR="00880FFF" w:rsidRPr="00AA7F42">
        <w:rPr>
          <w:rFonts w:ascii="Arial" w:hAnsi="Arial" w:cs="Arial"/>
          <w:sz w:val="24"/>
          <w:szCs w:val="24"/>
        </w:rPr>
        <w:t xml:space="preserve">ourt held that the applicant’s failure to comply with Rule 41A did not justify striking </w:t>
      </w:r>
      <w:r w:rsidR="00D6753C" w:rsidRPr="00AA7F42">
        <w:rPr>
          <w:rFonts w:ascii="Arial" w:hAnsi="Arial" w:cs="Arial"/>
          <w:sz w:val="24"/>
          <w:szCs w:val="24"/>
        </w:rPr>
        <w:t>off the matter from the roll and proceeded with the matter.</w:t>
      </w:r>
    </w:p>
    <w:p w14:paraId="175AB907" w14:textId="04A1F609" w:rsidR="00D6753C"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D6753C" w:rsidRPr="00AA7F42">
        <w:rPr>
          <w:rFonts w:ascii="Arial" w:hAnsi="Arial" w:cs="Arial"/>
          <w:sz w:val="24"/>
          <w:szCs w:val="24"/>
        </w:rPr>
        <w:t>As mediation is a voluntary process, this Court would not have imposed it on the parties and further that there was no reason</w:t>
      </w:r>
      <w:r w:rsidR="00E37EFC" w:rsidRPr="00AA7F42">
        <w:rPr>
          <w:rFonts w:ascii="Arial" w:hAnsi="Arial" w:cs="Arial"/>
          <w:sz w:val="24"/>
          <w:szCs w:val="24"/>
        </w:rPr>
        <w:t xml:space="preserve"> for this court to dismissed</w:t>
      </w:r>
      <w:r w:rsidR="00D6753C" w:rsidRPr="00AA7F42">
        <w:rPr>
          <w:rFonts w:ascii="Arial" w:hAnsi="Arial" w:cs="Arial"/>
          <w:sz w:val="24"/>
          <w:szCs w:val="24"/>
        </w:rPr>
        <w:t xml:space="preserve"> the matter based on non-compliance with Rule 41A.</w:t>
      </w:r>
    </w:p>
    <w:p w14:paraId="0B4DEBE7" w14:textId="77777777" w:rsidR="00D43945" w:rsidRDefault="00D43945" w:rsidP="00D43945">
      <w:pPr>
        <w:pStyle w:val="ListParagraph"/>
        <w:spacing w:after="240" w:line="360" w:lineRule="auto"/>
        <w:contextualSpacing w:val="0"/>
        <w:jc w:val="both"/>
        <w:rPr>
          <w:rFonts w:ascii="Arial" w:hAnsi="Arial" w:cs="Arial"/>
          <w:sz w:val="24"/>
          <w:szCs w:val="24"/>
        </w:rPr>
      </w:pPr>
    </w:p>
    <w:p w14:paraId="0BEFCCA5" w14:textId="34AD2F68" w:rsidR="00D6753C" w:rsidRPr="005271AF" w:rsidRDefault="005271AF" w:rsidP="004E09BB">
      <w:pPr>
        <w:spacing w:after="240" w:line="360" w:lineRule="auto"/>
        <w:jc w:val="both"/>
        <w:rPr>
          <w:rFonts w:ascii="Arial" w:hAnsi="Arial" w:cs="Arial"/>
          <w:sz w:val="24"/>
          <w:szCs w:val="24"/>
        </w:rPr>
      </w:pPr>
      <w:r w:rsidRPr="005271AF">
        <w:rPr>
          <w:rFonts w:ascii="Arial" w:hAnsi="Arial" w:cs="Arial"/>
          <w:sz w:val="24"/>
          <w:szCs w:val="24"/>
        </w:rPr>
        <w:t>COSTS</w:t>
      </w:r>
    </w:p>
    <w:p w14:paraId="0B014030" w14:textId="2EF84501" w:rsidR="00D6753C"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D6753C" w:rsidRPr="00AA7F42">
        <w:rPr>
          <w:rFonts w:ascii="Arial" w:hAnsi="Arial" w:cs="Arial"/>
          <w:sz w:val="24"/>
          <w:szCs w:val="24"/>
        </w:rPr>
        <w:t xml:space="preserve">The general rule is that costs follow the even. The </w:t>
      </w:r>
      <w:r w:rsidR="00D71570" w:rsidRPr="00AA7F42">
        <w:rPr>
          <w:rFonts w:ascii="Arial" w:hAnsi="Arial" w:cs="Arial"/>
          <w:sz w:val="24"/>
          <w:szCs w:val="24"/>
        </w:rPr>
        <w:t>First Applicant</w:t>
      </w:r>
      <w:r w:rsidR="00D6753C" w:rsidRPr="00AA7F42">
        <w:rPr>
          <w:rFonts w:ascii="Arial" w:hAnsi="Arial" w:cs="Arial"/>
          <w:sz w:val="24"/>
          <w:szCs w:val="24"/>
        </w:rPr>
        <w:t xml:space="preserve"> prayed for punitive costs on an attorney and client scale and the First and the Second Respondent prayed for the application to be dismissed with costs.</w:t>
      </w:r>
    </w:p>
    <w:p w14:paraId="2B6D6984" w14:textId="5A01E05A" w:rsidR="00D6753C"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D6753C" w:rsidRPr="00AA7F42">
        <w:rPr>
          <w:rFonts w:ascii="Arial" w:hAnsi="Arial" w:cs="Arial"/>
          <w:sz w:val="24"/>
          <w:szCs w:val="24"/>
        </w:rPr>
        <w:t xml:space="preserve">Referring back to the mediation issue, had the Applicants complied with Rule 41A notice, the litigation costs would have been lesser as the lack of mediation would have saved the parties unnecessary legally costs. That is, the costs of the application might have been avoided had the parties gone for mediation. In my view there is no case made out for punitive costs against the First and Second Respondent. And indeed, had the parties attended mediation, litigation costs would not be exuberant. </w:t>
      </w:r>
      <w:r w:rsidR="00B445B0" w:rsidRPr="00AA7F42">
        <w:rPr>
          <w:rFonts w:ascii="Arial" w:hAnsi="Arial" w:cs="Arial"/>
          <w:sz w:val="24"/>
          <w:szCs w:val="24"/>
        </w:rPr>
        <w:t>Thus, costs should be that each party pay its own costs.</w:t>
      </w:r>
    </w:p>
    <w:p w14:paraId="7B4194B3" w14:textId="77777777" w:rsidR="005271AF" w:rsidRDefault="005271AF" w:rsidP="005271AF">
      <w:pPr>
        <w:pStyle w:val="ListParagraph"/>
        <w:spacing w:after="240" w:line="360" w:lineRule="auto"/>
        <w:contextualSpacing w:val="0"/>
        <w:jc w:val="both"/>
        <w:rPr>
          <w:rFonts w:ascii="Arial" w:hAnsi="Arial" w:cs="Arial"/>
          <w:sz w:val="24"/>
          <w:szCs w:val="24"/>
        </w:rPr>
      </w:pPr>
    </w:p>
    <w:p w14:paraId="6226C62B" w14:textId="2EB2D6FE" w:rsidR="00B445B0" w:rsidRPr="005271AF" w:rsidRDefault="005271AF" w:rsidP="004E09BB">
      <w:pPr>
        <w:spacing w:after="240" w:line="360" w:lineRule="auto"/>
        <w:jc w:val="both"/>
        <w:rPr>
          <w:rFonts w:ascii="Arial" w:hAnsi="Arial" w:cs="Arial"/>
          <w:sz w:val="24"/>
          <w:szCs w:val="24"/>
        </w:rPr>
      </w:pPr>
      <w:r w:rsidRPr="005271AF">
        <w:rPr>
          <w:rFonts w:ascii="Arial" w:hAnsi="Arial" w:cs="Arial"/>
          <w:sz w:val="24"/>
          <w:szCs w:val="24"/>
        </w:rPr>
        <w:lastRenderedPageBreak/>
        <w:t>ORDER</w:t>
      </w:r>
    </w:p>
    <w:p w14:paraId="617853C0" w14:textId="47F01B90" w:rsidR="00B445B0" w:rsidRPr="00AA7F42" w:rsidRDefault="00AA7F42" w:rsidP="00AA7F42">
      <w:pPr>
        <w:spacing w:after="240"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076BFB" w:rsidRPr="00AA7F42">
        <w:rPr>
          <w:rFonts w:ascii="Arial" w:hAnsi="Arial" w:cs="Arial"/>
          <w:sz w:val="24"/>
          <w:szCs w:val="24"/>
        </w:rPr>
        <w:t>Accordingly, the following is ordered:</w:t>
      </w:r>
    </w:p>
    <w:p w14:paraId="1E2D019B" w14:textId="77E6DF4D" w:rsidR="00076BFB" w:rsidRPr="00AA7F42" w:rsidRDefault="00AA7F42" w:rsidP="00AA7F42">
      <w:pPr>
        <w:spacing w:after="240" w:line="360" w:lineRule="auto"/>
        <w:ind w:left="14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76BFB" w:rsidRPr="00AA7F42">
        <w:rPr>
          <w:rFonts w:ascii="Arial" w:hAnsi="Arial" w:cs="Arial"/>
          <w:sz w:val="24"/>
          <w:szCs w:val="24"/>
        </w:rPr>
        <w:t>The First to Third Respondents are declared unlawful occupiers of the properties knows as:</w:t>
      </w:r>
    </w:p>
    <w:p w14:paraId="6E2449C3" w14:textId="2B22E29D" w:rsidR="00076BFB" w:rsidRPr="00AA7F42" w:rsidRDefault="00AA7F42" w:rsidP="00AA7F42">
      <w:pPr>
        <w:spacing w:after="240" w:line="360" w:lineRule="auto"/>
        <w:ind w:left="216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76BFB" w:rsidRPr="00AA7F42">
        <w:rPr>
          <w:rFonts w:ascii="Arial" w:hAnsi="Arial" w:cs="Arial"/>
          <w:sz w:val="24"/>
          <w:szCs w:val="24"/>
        </w:rPr>
        <w:t>Portion 1 (Hou Moed) of the farm Waterpan 376, registration division Bultfontein, Free State Province;</w:t>
      </w:r>
    </w:p>
    <w:p w14:paraId="44F145F5" w14:textId="081E4A3D" w:rsidR="00076BFB" w:rsidRPr="00AA7F42" w:rsidRDefault="00AA7F42" w:rsidP="00AA7F42">
      <w:pPr>
        <w:spacing w:after="240" w:line="360" w:lineRule="auto"/>
        <w:ind w:left="216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76BFB" w:rsidRPr="00AA7F42">
        <w:rPr>
          <w:rFonts w:ascii="Arial" w:hAnsi="Arial" w:cs="Arial"/>
          <w:sz w:val="24"/>
          <w:szCs w:val="24"/>
        </w:rPr>
        <w:t>The farm Hertzog 44, registration division Bultfontein, Free State Province;</w:t>
      </w:r>
    </w:p>
    <w:p w14:paraId="3E388045" w14:textId="4EBDEF5A" w:rsidR="00076BFB" w:rsidRPr="00AA7F42" w:rsidRDefault="00AA7F42" w:rsidP="00AA7F42">
      <w:pPr>
        <w:spacing w:after="240" w:line="360" w:lineRule="auto"/>
        <w:ind w:left="216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76BFB" w:rsidRPr="00AA7F42">
        <w:rPr>
          <w:rFonts w:ascii="Arial" w:hAnsi="Arial" w:cs="Arial"/>
          <w:sz w:val="24"/>
          <w:szCs w:val="24"/>
        </w:rPr>
        <w:t>Remaining extent of the farm Klip Pan 247, registration division Bultfontein, Free State Province;</w:t>
      </w:r>
    </w:p>
    <w:p w14:paraId="65774A2B" w14:textId="6C334230" w:rsidR="00076BFB" w:rsidRPr="00AA7F42" w:rsidRDefault="00AA7F42" w:rsidP="00AA7F42">
      <w:pPr>
        <w:spacing w:after="240" w:line="360" w:lineRule="auto"/>
        <w:ind w:left="216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76BFB" w:rsidRPr="00AA7F42">
        <w:rPr>
          <w:rFonts w:ascii="Arial" w:hAnsi="Arial" w:cs="Arial"/>
          <w:sz w:val="24"/>
          <w:szCs w:val="24"/>
        </w:rPr>
        <w:t>Portion 2 (Mariasrust</w:t>
      </w:r>
      <w:r w:rsidR="00130031" w:rsidRPr="00AA7F42">
        <w:rPr>
          <w:rFonts w:ascii="Arial" w:hAnsi="Arial" w:cs="Arial"/>
          <w:sz w:val="24"/>
          <w:szCs w:val="24"/>
        </w:rPr>
        <w:t>) of the farm Uitkomst 13, registration division Theunissen, Free State Province.</w:t>
      </w:r>
    </w:p>
    <w:p w14:paraId="36B44432" w14:textId="5012674E" w:rsidR="00130031" w:rsidRPr="00AA7F42" w:rsidRDefault="00AA7F42" w:rsidP="00AA7F42">
      <w:pPr>
        <w:spacing w:after="240" w:line="360" w:lineRule="auto"/>
        <w:ind w:left="144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30031" w:rsidRPr="00AA7F42">
        <w:rPr>
          <w:rFonts w:ascii="Arial" w:hAnsi="Arial" w:cs="Arial"/>
          <w:sz w:val="24"/>
          <w:szCs w:val="24"/>
        </w:rPr>
        <w:t>The First to Third Respondents are to vacate the following properties within 60 days from date of service of this order:</w:t>
      </w:r>
    </w:p>
    <w:p w14:paraId="1602F50C" w14:textId="258F2BEF" w:rsidR="00130031" w:rsidRPr="00AA7F42" w:rsidRDefault="00AA7F42" w:rsidP="00AA7F42">
      <w:pPr>
        <w:spacing w:after="240" w:line="360" w:lineRule="auto"/>
        <w:ind w:left="216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30031" w:rsidRPr="00AA7F42">
        <w:rPr>
          <w:rFonts w:ascii="Arial" w:hAnsi="Arial" w:cs="Arial"/>
          <w:sz w:val="24"/>
          <w:szCs w:val="24"/>
        </w:rPr>
        <w:t>Portion 1 (Hou Moed) of the farm Waterpan 376, registration division Bultfontein, Free State Province;</w:t>
      </w:r>
      <w:r w:rsidR="00130031" w:rsidRPr="00AA7F42">
        <w:rPr>
          <w:rFonts w:ascii="Arial" w:hAnsi="Arial" w:cs="Arial"/>
          <w:sz w:val="24"/>
          <w:szCs w:val="24"/>
        </w:rPr>
        <w:tab/>
      </w:r>
    </w:p>
    <w:p w14:paraId="62F37C0F" w14:textId="148F635C" w:rsidR="00130031" w:rsidRPr="00AA7F42" w:rsidRDefault="00AA7F42" w:rsidP="00AA7F42">
      <w:pPr>
        <w:spacing w:after="240" w:line="360" w:lineRule="auto"/>
        <w:ind w:left="2160" w:hanging="720"/>
        <w:rPr>
          <w:rFonts w:ascii="Arial" w:hAnsi="Arial" w:cs="Arial"/>
          <w:sz w:val="24"/>
          <w:szCs w:val="24"/>
        </w:rPr>
      </w:pPr>
      <w:r w:rsidRPr="00130031">
        <w:rPr>
          <w:rFonts w:ascii="Arial" w:hAnsi="Arial" w:cs="Arial"/>
          <w:sz w:val="24"/>
          <w:szCs w:val="24"/>
        </w:rPr>
        <w:t>2.2</w:t>
      </w:r>
      <w:r w:rsidRPr="00130031">
        <w:rPr>
          <w:rFonts w:ascii="Arial" w:hAnsi="Arial" w:cs="Arial"/>
          <w:sz w:val="24"/>
          <w:szCs w:val="24"/>
        </w:rPr>
        <w:tab/>
      </w:r>
      <w:r w:rsidR="00130031" w:rsidRPr="00AA7F42">
        <w:rPr>
          <w:rFonts w:ascii="Arial" w:hAnsi="Arial" w:cs="Arial"/>
          <w:sz w:val="24"/>
          <w:szCs w:val="24"/>
        </w:rPr>
        <w:t>The farm Hertzog 44, registration division Bultfontein, Free State Province;</w:t>
      </w:r>
    </w:p>
    <w:p w14:paraId="01B9829E" w14:textId="27DD0837" w:rsidR="00130031" w:rsidRPr="00AA7F42" w:rsidRDefault="00AA7F42" w:rsidP="00AA7F42">
      <w:pPr>
        <w:spacing w:after="240" w:line="360" w:lineRule="auto"/>
        <w:ind w:left="2160" w:hanging="720"/>
        <w:rPr>
          <w:rFonts w:ascii="Arial" w:hAnsi="Arial" w:cs="Arial"/>
          <w:sz w:val="24"/>
          <w:szCs w:val="24"/>
        </w:rPr>
      </w:pPr>
      <w:r w:rsidRPr="00130031">
        <w:rPr>
          <w:rFonts w:ascii="Arial" w:hAnsi="Arial" w:cs="Arial"/>
          <w:sz w:val="24"/>
          <w:szCs w:val="24"/>
        </w:rPr>
        <w:t>2.3</w:t>
      </w:r>
      <w:r w:rsidRPr="00130031">
        <w:rPr>
          <w:rFonts w:ascii="Arial" w:hAnsi="Arial" w:cs="Arial"/>
          <w:sz w:val="24"/>
          <w:szCs w:val="24"/>
        </w:rPr>
        <w:tab/>
      </w:r>
      <w:r w:rsidR="00130031" w:rsidRPr="00AA7F42">
        <w:rPr>
          <w:rFonts w:ascii="Arial" w:hAnsi="Arial" w:cs="Arial"/>
          <w:sz w:val="24"/>
          <w:szCs w:val="24"/>
        </w:rPr>
        <w:t>Remaining extent of the farm Klip Pan 247, registration division Bultfontein, Free State Province;</w:t>
      </w:r>
    </w:p>
    <w:p w14:paraId="007FE315" w14:textId="53C5E7D9" w:rsidR="00130031" w:rsidRPr="00AA7F42" w:rsidRDefault="00AA7F42" w:rsidP="00AA7F42">
      <w:pPr>
        <w:spacing w:after="240" w:line="360" w:lineRule="auto"/>
        <w:ind w:left="2160" w:hanging="720"/>
        <w:rPr>
          <w:rFonts w:ascii="Arial" w:hAnsi="Arial" w:cs="Arial"/>
          <w:sz w:val="24"/>
          <w:szCs w:val="24"/>
        </w:rPr>
      </w:pPr>
      <w:r>
        <w:rPr>
          <w:rFonts w:ascii="Arial" w:hAnsi="Arial" w:cs="Arial"/>
          <w:sz w:val="24"/>
          <w:szCs w:val="24"/>
        </w:rPr>
        <w:t>2.4</w:t>
      </w:r>
      <w:r>
        <w:rPr>
          <w:rFonts w:ascii="Arial" w:hAnsi="Arial" w:cs="Arial"/>
          <w:sz w:val="24"/>
          <w:szCs w:val="24"/>
        </w:rPr>
        <w:tab/>
      </w:r>
      <w:r w:rsidR="00130031" w:rsidRPr="00AA7F42">
        <w:rPr>
          <w:rFonts w:ascii="Arial" w:hAnsi="Arial" w:cs="Arial"/>
          <w:sz w:val="24"/>
          <w:szCs w:val="24"/>
        </w:rPr>
        <w:t>Portion 2 (Mariasrust) of the farm Uitkomst 13, registration division Theunissen, Free State Province.</w:t>
      </w:r>
    </w:p>
    <w:p w14:paraId="23561C19" w14:textId="3A12DEF5" w:rsidR="00130031" w:rsidRPr="00AA7F42" w:rsidRDefault="00AA7F42" w:rsidP="00AA7F42">
      <w:pPr>
        <w:spacing w:after="240" w:line="360" w:lineRule="auto"/>
        <w:ind w:left="1434" w:hanging="357"/>
        <w:rPr>
          <w:rFonts w:ascii="Arial" w:hAnsi="Arial" w:cs="Arial"/>
          <w:sz w:val="24"/>
          <w:szCs w:val="24"/>
        </w:rPr>
      </w:pPr>
      <w:r>
        <w:rPr>
          <w:rFonts w:ascii="Arial" w:hAnsi="Arial" w:cs="Arial"/>
          <w:sz w:val="24"/>
          <w:szCs w:val="24"/>
        </w:rPr>
        <w:t>3.</w:t>
      </w:r>
      <w:r>
        <w:rPr>
          <w:rFonts w:ascii="Arial" w:hAnsi="Arial" w:cs="Arial"/>
          <w:sz w:val="24"/>
          <w:szCs w:val="24"/>
        </w:rPr>
        <w:tab/>
      </w:r>
      <w:r w:rsidR="00130031" w:rsidRPr="00AA7F42">
        <w:rPr>
          <w:rFonts w:ascii="Arial" w:hAnsi="Arial" w:cs="Arial"/>
          <w:sz w:val="24"/>
          <w:szCs w:val="24"/>
        </w:rPr>
        <w:t xml:space="preserve">The sheriff of the Honourable Court is authorized and directed to evict the First to Third Respondents from the properties described in paragraph 2 </w:t>
      </w:r>
      <w:r w:rsidR="00130031" w:rsidRPr="00AA7F42">
        <w:rPr>
          <w:rFonts w:ascii="Arial" w:hAnsi="Arial" w:cs="Arial"/>
          <w:sz w:val="24"/>
          <w:szCs w:val="24"/>
        </w:rPr>
        <w:lastRenderedPageBreak/>
        <w:t>above in the event of the First to Third Respondents failing to comply with paragraph 2 above.</w:t>
      </w:r>
    </w:p>
    <w:p w14:paraId="3D959FC6" w14:textId="4E1A36DD" w:rsidR="00130031" w:rsidRPr="00AA7F42" w:rsidRDefault="00AA7F42" w:rsidP="00AA7F42">
      <w:pPr>
        <w:spacing w:after="240" w:line="360" w:lineRule="auto"/>
        <w:ind w:left="1434" w:hanging="357"/>
        <w:rPr>
          <w:rFonts w:ascii="Arial" w:hAnsi="Arial" w:cs="Arial"/>
          <w:sz w:val="24"/>
          <w:szCs w:val="24"/>
        </w:rPr>
      </w:pPr>
      <w:r>
        <w:rPr>
          <w:rFonts w:ascii="Arial" w:hAnsi="Arial" w:cs="Arial"/>
          <w:sz w:val="24"/>
          <w:szCs w:val="24"/>
        </w:rPr>
        <w:t>4.</w:t>
      </w:r>
      <w:r>
        <w:rPr>
          <w:rFonts w:ascii="Arial" w:hAnsi="Arial" w:cs="Arial"/>
          <w:sz w:val="24"/>
          <w:szCs w:val="24"/>
        </w:rPr>
        <w:tab/>
      </w:r>
      <w:r w:rsidR="00130031" w:rsidRPr="00AA7F42">
        <w:rPr>
          <w:rFonts w:ascii="Arial" w:hAnsi="Arial" w:cs="Arial"/>
          <w:sz w:val="24"/>
          <w:szCs w:val="24"/>
        </w:rPr>
        <w:t>The sheriff of the Honourable Court is authorized to obtain the aid of the South African Police Service in the event of him/her not being able to evict the First to Third Respondents from the properties mentioned in paragraph 2 above.</w:t>
      </w:r>
    </w:p>
    <w:p w14:paraId="3F8AF380" w14:textId="69CF618A" w:rsidR="00130031" w:rsidRPr="00AA7F42" w:rsidRDefault="00AA7F42" w:rsidP="00AA7F42">
      <w:pPr>
        <w:spacing w:after="240" w:line="360" w:lineRule="auto"/>
        <w:ind w:left="1434" w:hanging="357"/>
        <w:rPr>
          <w:rFonts w:ascii="Arial" w:hAnsi="Arial" w:cs="Arial"/>
          <w:sz w:val="24"/>
          <w:szCs w:val="24"/>
        </w:rPr>
      </w:pPr>
      <w:r>
        <w:rPr>
          <w:rFonts w:ascii="Arial" w:hAnsi="Arial" w:cs="Arial"/>
          <w:sz w:val="24"/>
          <w:szCs w:val="24"/>
        </w:rPr>
        <w:t>5.</w:t>
      </w:r>
      <w:r>
        <w:rPr>
          <w:rFonts w:ascii="Arial" w:hAnsi="Arial" w:cs="Arial"/>
          <w:sz w:val="24"/>
          <w:szCs w:val="24"/>
        </w:rPr>
        <w:tab/>
      </w:r>
      <w:r w:rsidR="00130031" w:rsidRPr="00AA7F42">
        <w:rPr>
          <w:rFonts w:ascii="Arial" w:hAnsi="Arial" w:cs="Arial"/>
          <w:sz w:val="24"/>
          <w:szCs w:val="24"/>
        </w:rPr>
        <w:t>The First to Third Respondents are directed to remove their movable property and personal belongings from the properties in paragraph 2 above within 60 days from the date of service of this order.</w:t>
      </w:r>
    </w:p>
    <w:p w14:paraId="4924167D" w14:textId="54A4CD5B" w:rsidR="00130031" w:rsidRPr="00AA7F42" w:rsidRDefault="00AA7F42" w:rsidP="00AA7F42">
      <w:pPr>
        <w:spacing w:after="240" w:line="360" w:lineRule="auto"/>
        <w:ind w:left="1434" w:hanging="357"/>
        <w:rPr>
          <w:rFonts w:ascii="Arial" w:hAnsi="Arial" w:cs="Arial"/>
          <w:sz w:val="24"/>
          <w:szCs w:val="24"/>
        </w:rPr>
      </w:pPr>
      <w:r w:rsidRPr="00130031">
        <w:rPr>
          <w:rFonts w:ascii="Arial" w:hAnsi="Arial" w:cs="Arial"/>
          <w:sz w:val="24"/>
          <w:szCs w:val="24"/>
        </w:rPr>
        <w:t>6.</w:t>
      </w:r>
      <w:r w:rsidRPr="00130031">
        <w:rPr>
          <w:rFonts w:ascii="Arial" w:hAnsi="Arial" w:cs="Arial"/>
          <w:sz w:val="24"/>
          <w:szCs w:val="24"/>
        </w:rPr>
        <w:tab/>
      </w:r>
      <w:r w:rsidR="00E37EFC" w:rsidRPr="00AA7F42">
        <w:rPr>
          <w:rFonts w:ascii="Arial" w:hAnsi="Arial" w:cs="Arial"/>
          <w:sz w:val="24"/>
          <w:szCs w:val="24"/>
        </w:rPr>
        <w:t>Costs on a party and party scale</w:t>
      </w:r>
      <w:r w:rsidR="00357657" w:rsidRPr="00AA7F42">
        <w:rPr>
          <w:rFonts w:ascii="Arial" w:hAnsi="Arial" w:cs="Arial"/>
          <w:sz w:val="24"/>
          <w:szCs w:val="24"/>
        </w:rPr>
        <w:t>.</w:t>
      </w:r>
      <w:r w:rsidR="00130031" w:rsidRPr="00AA7F42">
        <w:rPr>
          <w:rFonts w:ascii="Arial" w:hAnsi="Arial" w:cs="Arial"/>
          <w:sz w:val="24"/>
          <w:szCs w:val="24"/>
        </w:rPr>
        <w:t xml:space="preserve"> </w:t>
      </w:r>
    </w:p>
    <w:p w14:paraId="04312B1B" w14:textId="10D14163" w:rsidR="00130031" w:rsidRDefault="00130031" w:rsidP="00130031">
      <w:pPr>
        <w:spacing w:after="240" w:line="360" w:lineRule="auto"/>
        <w:jc w:val="both"/>
        <w:rPr>
          <w:rFonts w:ascii="Arial" w:hAnsi="Arial" w:cs="Arial"/>
          <w:sz w:val="24"/>
          <w:szCs w:val="24"/>
        </w:rPr>
      </w:pPr>
    </w:p>
    <w:p w14:paraId="46C61C66" w14:textId="7BA64BEC" w:rsidR="00D43945" w:rsidRDefault="00D43945" w:rsidP="00130031">
      <w:pPr>
        <w:spacing w:after="240" w:line="360" w:lineRule="auto"/>
        <w:jc w:val="both"/>
        <w:rPr>
          <w:rFonts w:ascii="Arial" w:hAnsi="Arial" w:cs="Arial"/>
          <w:sz w:val="24"/>
          <w:szCs w:val="24"/>
        </w:rPr>
      </w:pPr>
    </w:p>
    <w:p w14:paraId="35BBA76D" w14:textId="044BC3BE" w:rsidR="00D43945" w:rsidRDefault="00D43945" w:rsidP="00D43945">
      <w:pPr>
        <w:spacing w:after="240" w:line="360" w:lineRule="auto"/>
        <w:ind w:left="7200"/>
        <w:jc w:val="both"/>
        <w:rPr>
          <w:rFonts w:ascii="Arial" w:hAnsi="Arial" w:cs="Arial"/>
          <w:sz w:val="24"/>
          <w:szCs w:val="24"/>
        </w:rPr>
      </w:pPr>
      <w:r>
        <w:rPr>
          <w:rFonts w:ascii="Arial" w:hAnsi="Arial" w:cs="Arial"/>
          <w:sz w:val="24"/>
          <w:szCs w:val="24"/>
        </w:rPr>
        <w:t>________________</w:t>
      </w:r>
    </w:p>
    <w:p w14:paraId="69A10A51" w14:textId="1C4C1CEB" w:rsidR="00D43945" w:rsidRDefault="00D43945" w:rsidP="00D43945">
      <w:pPr>
        <w:spacing w:after="240" w:line="360" w:lineRule="auto"/>
        <w:ind w:left="7200"/>
        <w:jc w:val="both"/>
        <w:rPr>
          <w:rFonts w:ascii="Arial" w:hAnsi="Arial" w:cs="Arial"/>
          <w:sz w:val="24"/>
          <w:szCs w:val="24"/>
        </w:rPr>
      </w:pPr>
      <w:r>
        <w:rPr>
          <w:rFonts w:ascii="Arial" w:hAnsi="Arial" w:cs="Arial"/>
          <w:sz w:val="24"/>
          <w:szCs w:val="24"/>
        </w:rPr>
        <w:t>Chesiwe, J</w:t>
      </w:r>
    </w:p>
    <w:p w14:paraId="550BF461" w14:textId="5C2CD90F" w:rsidR="00D43945" w:rsidRDefault="00D43945" w:rsidP="00D43945">
      <w:pPr>
        <w:spacing w:after="240" w:line="360" w:lineRule="auto"/>
        <w:jc w:val="both"/>
        <w:rPr>
          <w:rFonts w:ascii="Arial" w:hAnsi="Arial" w:cs="Arial"/>
          <w:sz w:val="24"/>
          <w:szCs w:val="24"/>
        </w:rPr>
      </w:pPr>
    </w:p>
    <w:p w14:paraId="18426841" w14:textId="75E04F81" w:rsidR="00D43945" w:rsidRDefault="00D43945" w:rsidP="00EF4F0F">
      <w:pPr>
        <w:spacing w:after="0" w:line="360" w:lineRule="auto"/>
        <w:jc w:val="both"/>
        <w:rPr>
          <w:rFonts w:ascii="Arial" w:hAnsi="Arial" w:cs="Arial"/>
          <w:sz w:val="24"/>
          <w:szCs w:val="24"/>
        </w:rPr>
      </w:pPr>
      <w:r w:rsidRPr="00D43945">
        <w:rPr>
          <w:rFonts w:ascii="Arial" w:hAnsi="Arial" w:cs="Arial"/>
          <w:sz w:val="24"/>
          <w:szCs w:val="24"/>
        </w:rPr>
        <w:t>On behalf of the Applicant</w:t>
      </w:r>
      <w:r w:rsidR="00EF4F0F">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t>Adv J. Els</w:t>
      </w:r>
    </w:p>
    <w:p w14:paraId="0D6599AB" w14:textId="65BC1C78" w:rsidR="00D43945" w:rsidRDefault="00D43945" w:rsidP="00EF4F0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4F0F">
        <w:rPr>
          <w:rFonts w:ascii="Arial" w:hAnsi="Arial" w:cs="Arial"/>
          <w:sz w:val="24"/>
          <w:szCs w:val="24"/>
        </w:rPr>
        <w:t>P</w:t>
      </w:r>
      <w:r w:rsidR="00347C07">
        <w:rPr>
          <w:rFonts w:ascii="Arial" w:hAnsi="Arial" w:cs="Arial"/>
          <w:sz w:val="24"/>
          <w:szCs w:val="24"/>
        </w:rPr>
        <w:t>hatso</w:t>
      </w:r>
      <w:r w:rsidR="00EF4F0F">
        <w:rPr>
          <w:rFonts w:ascii="Arial" w:hAnsi="Arial" w:cs="Arial"/>
          <w:sz w:val="24"/>
          <w:szCs w:val="24"/>
        </w:rPr>
        <w:t>ane Henn</w:t>
      </w:r>
      <w:r w:rsidR="00347C07">
        <w:rPr>
          <w:rFonts w:ascii="Arial" w:hAnsi="Arial" w:cs="Arial"/>
          <w:sz w:val="24"/>
          <w:szCs w:val="24"/>
        </w:rPr>
        <w:t>e</w:t>
      </w:r>
      <w:r w:rsidR="00EF4F0F">
        <w:rPr>
          <w:rFonts w:ascii="Arial" w:hAnsi="Arial" w:cs="Arial"/>
          <w:sz w:val="24"/>
          <w:szCs w:val="24"/>
        </w:rPr>
        <w:t>y Inc.</w:t>
      </w:r>
    </w:p>
    <w:p w14:paraId="3D579980" w14:textId="024384C3" w:rsidR="00EF4F0F" w:rsidRDefault="00EF4F0F" w:rsidP="00EF4F0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BLOMFONTEIN</w:t>
      </w:r>
    </w:p>
    <w:p w14:paraId="7348E5EF" w14:textId="284AF56A" w:rsidR="00EF4F0F" w:rsidRDefault="00EF4F0F" w:rsidP="00EF4F0F">
      <w:pPr>
        <w:spacing w:after="0" w:line="360" w:lineRule="auto"/>
        <w:jc w:val="both"/>
        <w:rPr>
          <w:rFonts w:ascii="Arial" w:hAnsi="Arial" w:cs="Arial"/>
          <w:sz w:val="24"/>
          <w:szCs w:val="24"/>
        </w:rPr>
      </w:pPr>
    </w:p>
    <w:p w14:paraId="5EB5B9C0" w14:textId="0DBA0A79" w:rsidR="00EF4F0F" w:rsidRDefault="00EF4F0F" w:rsidP="00EF4F0F">
      <w:pPr>
        <w:spacing w:after="0" w:line="360" w:lineRule="auto"/>
        <w:jc w:val="both"/>
        <w:rPr>
          <w:rFonts w:ascii="Arial" w:hAnsi="Arial" w:cs="Arial"/>
          <w:sz w:val="24"/>
          <w:szCs w:val="24"/>
        </w:rPr>
      </w:pPr>
    </w:p>
    <w:p w14:paraId="35306BF8" w14:textId="77777777" w:rsidR="00EF4F0F" w:rsidRDefault="00EF4F0F" w:rsidP="00EF4F0F">
      <w:pPr>
        <w:spacing w:after="0" w:line="360" w:lineRule="auto"/>
        <w:jc w:val="both"/>
        <w:rPr>
          <w:rFonts w:ascii="Arial" w:hAnsi="Arial" w:cs="Arial"/>
          <w:sz w:val="24"/>
          <w:szCs w:val="24"/>
        </w:rPr>
      </w:pPr>
    </w:p>
    <w:p w14:paraId="39DFD16A" w14:textId="77777777" w:rsidR="00EF4F0F" w:rsidRDefault="00EF4F0F" w:rsidP="00EF4F0F">
      <w:pPr>
        <w:spacing w:after="0" w:line="360" w:lineRule="auto"/>
        <w:contextualSpacing/>
        <w:jc w:val="both"/>
        <w:rPr>
          <w:rFonts w:ascii="Arial" w:hAnsi="Arial" w:cs="Arial"/>
          <w:sz w:val="24"/>
          <w:szCs w:val="24"/>
        </w:rPr>
      </w:pPr>
    </w:p>
    <w:p w14:paraId="3F900B49" w14:textId="5D4DDE11" w:rsidR="00D43945" w:rsidRDefault="00EF4F0F" w:rsidP="00EF4F0F">
      <w:pPr>
        <w:spacing w:after="240" w:line="360" w:lineRule="auto"/>
        <w:contextualSpacing/>
        <w:jc w:val="both"/>
        <w:rPr>
          <w:rFonts w:ascii="Arial" w:hAnsi="Arial" w:cs="Arial"/>
          <w:sz w:val="24"/>
          <w:szCs w:val="24"/>
        </w:rPr>
      </w:pPr>
      <w:r>
        <w:rPr>
          <w:rFonts w:ascii="Arial" w:hAnsi="Arial" w:cs="Arial"/>
          <w:sz w:val="24"/>
          <w:szCs w:val="24"/>
        </w:rPr>
        <w:t>On behalf of the Respondents:</w:t>
      </w:r>
      <w:r>
        <w:rPr>
          <w:rFonts w:ascii="Arial" w:hAnsi="Arial" w:cs="Arial"/>
          <w:sz w:val="24"/>
          <w:szCs w:val="24"/>
        </w:rPr>
        <w:tab/>
      </w:r>
      <w:r>
        <w:rPr>
          <w:rFonts w:ascii="Arial" w:hAnsi="Arial" w:cs="Arial"/>
          <w:sz w:val="24"/>
          <w:szCs w:val="24"/>
        </w:rPr>
        <w:tab/>
      </w:r>
      <w:r w:rsidR="00D43945" w:rsidRPr="00D43945">
        <w:rPr>
          <w:rFonts w:ascii="Arial" w:hAnsi="Arial" w:cs="Arial"/>
          <w:sz w:val="24"/>
          <w:szCs w:val="24"/>
        </w:rPr>
        <w:t>Adv. van Staden</w:t>
      </w:r>
    </w:p>
    <w:p w14:paraId="4F2DDCA0" w14:textId="1911A0EF" w:rsidR="00EF4F0F" w:rsidRPr="00EF4F0F" w:rsidRDefault="00EF4F0F" w:rsidP="00EF4F0F">
      <w:pPr>
        <w:spacing w:after="240" w:line="360" w:lineRule="auto"/>
        <w:contextualSpacing/>
        <w:jc w:val="both"/>
        <w:rPr>
          <w:rFonts w:ascii="Arial" w:hAnsi="Arial" w:cs="Arial"/>
          <w:sz w:val="24"/>
          <w:szCs w:val="24"/>
        </w:rPr>
      </w:pPr>
      <w:r w:rsidRPr="00EF4F0F">
        <w:rPr>
          <w:rFonts w:ascii="Arial" w:hAnsi="Arial" w:cs="Arial"/>
          <w:sz w:val="24"/>
          <w:szCs w:val="24"/>
        </w:rPr>
        <w:t>Instructed by:</w:t>
      </w:r>
      <w:r w:rsidRPr="00EF4F0F">
        <w:rPr>
          <w:rFonts w:ascii="Arial" w:hAnsi="Arial" w:cs="Arial"/>
          <w:sz w:val="24"/>
          <w:szCs w:val="24"/>
        </w:rPr>
        <w:tab/>
      </w:r>
      <w:r w:rsidRPr="00EF4F0F">
        <w:rPr>
          <w:rFonts w:ascii="Arial" w:hAnsi="Arial" w:cs="Arial"/>
          <w:sz w:val="24"/>
          <w:szCs w:val="24"/>
        </w:rPr>
        <w:tab/>
      </w:r>
      <w:r w:rsidRPr="00EF4F0F">
        <w:rPr>
          <w:rFonts w:ascii="Arial" w:hAnsi="Arial" w:cs="Arial"/>
          <w:sz w:val="24"/>
          <w:szCs w:val="24"/>
        </w:rPr>
        <w:tab/>
      </w:r>
      <w:r w:rsidRPr="00EF4F0F">
        <w:rPr>
          <w:rFonts w:ascii="Arial" w:hAnsi="Arial" w:cs="Arial"/>
          <w:sz w:val="24"/>
          <w:szCs w:val="24"/>
        </w:rPr>
        <w:tab/>
      </w:r>
      <w:r>
        <w:rPr>
          <w:rFonts w:ascii="Arial" w:hAnsi="Arial" w:cs="Arial"/>
          <w:sz w:val="24"/>
          <w:szCs w:val="24"/>
        </w:rPr>
        <w:t>Van Schalkwyk &amp; Partners</w:t>
      </w:r>
    </w:p>
    <w:p w14:paraId="0F4D2C50" w14:textId="2D75CA88" w:rsidR="00EF4F0F" w:rsidRDefault="00EF4F0F" w:rsidP="00EF4F0F">
      <w:pPr>
        <w:spacing w:after="240" w:line="360" w:lineRule="auto"/>
        <w:contextualSpacing/>
        <w:jc w:val="both"/>
        <w:rPr>
          <w:rFonts w:ascii="Arial" w:hAnsi="Arial" w:cs="Arial"/>
          <w:sz w:val="24"/>
          <w:szCs w:val="24"/>
        </w:rPr>
      </w:pPr>
      <w:r w:rsidRPr="00EF4F0F">
        <w:rPr>
          <w:rFonts w:ascii="Arial" w:hAnsi="Arial" w:cs="Arial"/>
          <w:sz w:val="24"/>
          <w:szCs w:val="24"/>
        </w:rPr>
        <w:tab/>
      </w:r>
      <w:r w:rsidRPr="00EF4F0F">
        <w:rPr>
          <w:rFonts w:ascii="Arial" w:hAnsi="Arial" w:cs="Arial"/>
          <w:sz w:val="24"/>
          <w:szCs w:val="24"/>
        </w:rPr>
        <w:tab/>
      </w:r>
      <w:r w:rsidRPr="00EF4F0F">
        <w:rPr>
          <w:rFonts w:ascii="Arial" w:hAnsi="Arial" w:cs="Arial"/>
          <w:sz w:val="24"/>
          <w:szCs w:val="24"/>
        </w:rPr>
        <w:tab/>
      </w:r>
      <w:r w:rsidRPr="00EF4F0F">
        <w:rPr>
          <w:rFonts w:ascii="Arial" w:hAnsi="Arial" w:cs="Arial"/>
          <w:sz w:val="24"/>
          <w:szCs w:val="24"/>
        </w:rPr>
        <w:tab/>
      </w:r>
      <w:r w:rsidRPr="00EF4F0F">
        <w:rPr>
          <w:rFonts w:ascii="Arial" w:hAnsi="Arial" w:cs="Arial"/>
          <w:sz w:val="24"/>
          <w:szCs w:val="24"/>
        </w:rPr>
        <w:tab/>
      </w:r>
      <w:r w:rsidRPr="00EF4F0F">
        <w:rPr>
          <w:rFonts w:ascii="Arial" w:hAnsi="Arial" w:cs="Arial"/>
          <w:sz w:val="24"/>
          <w:szCs w:val="24"/>
        </w:rPr>
        <w:tab/>
        <w:t>BLOMFONTEIN</w:t>
      </w:r>
    </w:p>
    <w:p w14:paraId="12894B20" w14:textId="77777777" w:rsidR="00D43945" w:rsidRPr="00130031" w:rsidRDefault="00D43945" w:rsidP="00D43945">
      <w:pPr>
        <w:spacing w:after="240" w:line="360" w:lineRule="auto"/>
        <w:jc w:val="both"/>
        <w:rPr>
          <w:rFonts w:ascii="Arial" w:hAnsi="Arial" w:cs="Arial"/>
          <w:sz w:val="24"/>
          <w:szCs w:val="24"/>
        </w:rPr>
      </w:pPr>
    </w:p>
    <w:sectPr w:rsidR="00D43945" w:rsidRPr="00130031" w:rsidSect="0035765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CF9D" w14:textId="77777777" w:rsidR="00267BC5" w:rsidRDefault="00267BC5" w:rsidP="00357657">
      <w:pPr>
        <w:spacing w:after="0" w:line="240" w:lineRule="auto"/>
      </w:pPr>
      <w:r>
        <w:separator/>
      </w:r>
    </w:p>
  </w:endnote>
  <w:endnote w:type="continuationSeparator" w:id="0">
    <w:p w14:paraId="1EBBBDA2" w14:textId="77777777" w:rsidR="00267BC5" w:rsidRDefault="00267BC5" w:rsidP="0035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08DA" w14:textId="77777777" w:rsidR="00267BC5" w:rsidRDefault="00267BC5" w:rsidP="00357657">
      <w:pPr>
        <w:spacing w:after="0" w:line="240" w:lineRule="auto"/>
      </w:pPr>
      <w:r>
        <w:separator/>
      </w:r>
    </w:p>
  </w:footnote>
  <w:footnote w:type="continuationSeparator" w:id="0">
    <w:p w14:paraId="353C7A42" w14:textId="77777777" w:rsidR="00267BC5" w:rsidRDefault="00267BC5" w:rsidP="00357657">
      <w:pPr>
        <w:spacing w:after="0" w:line="240" w:lineRule="auto"/>
      </w:pPr>
      <w:r>
        <w:continuationSeparator/>
      </w:r>
    </w:p>
  </w:footnote>
  <w:footnote w:id="1">
    <w:p w14:paraId="466C230D" w14:textId="57C7C573" w:rsidR="0085618C" w:rsidRPr="0085618C" w:rsidRDefault="0085618C">
      <w:pPr>
        <w:pStyle w:val="FootnoteText"/>
        <w:rPr>
          <w:lang w:val="en-GB"/>
        </w:rPr>
      </w:pPr>
      <w:r>
        <w:rPr>
          <w:rStyle w:val="FootnoteReference"/>
        </w:rPr>
        <w:footnoteRef/>
      </w:r>
      <w:r>
        <w:t xml:space="preserve"> </w:t>
      </w:r>
      <w:r w:rsidRPr="0085618C">
        <w:t>(Annexure FA 8.1 FA 8.2</w:t>
      </w:r>
      <w:r>
        <w:t>)</w:t>
      </w:r>
    </w:p>
  </w:footnote>
  <w:footnote w:id="2">
    <w:p w14:paraId="383EA91C" w14:textId="00C00DD5" w:rsidR="00B57B6F" w:rsidRPr="00B57B6F" w:rsidRDefault="00B57B6F">
      <w:pPr>
        <w:pStyle w:val="FootnoteText"/>
        <w:rPr>
          <w:lang w:val="en-GB"/>
        </w:rPr>
      </w:pPr>
      <w:r>
        <w:rPr>
          <w:rStyle w:val="FootnoteReference"/>
        </w:rPr>
        <w:footnoteRef/>
      </w:r>
      <w:r>
        <w:t xml:space="preserve"> </w:t>
      </w:r>
      <w:r w:rsidRPr="00B57B6F">
        <w:t>(7457/2017) [2019] ZAGPJHC 320 (22 February 2019)</w:t>
      </w:r>
      <w:r>
        <w:t xml:space="preserve"> at para [7]</w:t>
      </w:r>
    </w:p>
  </w:footnote>
  <w:footnote w:id="3">
    <w:p w14:paraId="19E4A09F" w14:textId="7458E74F" w:rsidR="00367829" w:rsidRPr="00367829" w:rsidRDefault="00367829">
      <w:pPr>
        <w:pStyle w:val="FootnoteText"/>
        <w:rPr>
          <w:lang w:val="en-GB"/>
        </w:rPr>
      </w:pPr>
      <w:r>
        <w:rPr>
          <w:rStyle w:val="FootnoteReference"/>
        </w:rPr>
        <w:footnoteRef/>
      </w:r>
      <w:r w:rsidRPr="00367829">
        <w:t xml:space="preserve">(See Mignoel Properties </w:t>
      </w:r>
      <w:r>
        <w:t>(</w:t>
      </w:r>
      <w:r w:rsidRPr="00367829">
        <w:t>Pty</w:t>
      </w:r>
      <w:r>
        <w:t>) Ltd v Kneebone 219/88</w:t>
      </w:r>
      <w:r w:rsidRPr="00367829">
        <w:t>[1989] ZASCA 110 (22 September 1989)</w:t>
      </w:r>
      <w:r>
        <w:t xml:space="preserve"> </w:t>
      </w:r>
    </w:p>
  </w:footnote>
  <w:footnote w:id="4">
    <w:p w14:paraId="07CC7EDB" w14:textId="0F335AFA" w:rsidR="00F5314C" w:rsidRPr="00F5314C" w:rsidRDefault="00F5314C">
      <w:pPr>
        <w:pStyle w:val="FootnoteText"/>
        <w:rPr>
          <w:lang w:val="en-GB"/>
        </w:rPr>
      </w:pPr>
      <w:r>
        <w:rPr>
          <w:rStyle w:val="FootnoteReference"/>
        </w:rPr>
        <w:footnoteRef/>
      </w:r>
      <w:r>
        <w:t xml:space="preserve"> S</w:t>
      </w:r>
      <w:r w:rsidRPr="00F5314C">
        <w:t>ection 4(5)(c)</w:t>
      </w:r>
    </w:p>
  </w:footnote>
  <w:footnote w:id="5">
    <w:p w14:paraId="39A6CB4F" w14:textId="11D1FBD3" w:rsidR="0083081C" w:rsidRPr="0083081C" w:rsidRDefault="0083081C">
      <w:pPr>
        <w:pStyle w:val="FootnoteText"/>
        <w:rPr>
          <w:lang w:val="en-GB"/>
        </w:rPr>
      </w:pPr>
      <w:r>
        <w:rPr>
          <w:rStyle w:val="FootnoteReference"/>
        </w:rPr>
        <w:footnoteRef/>
      </w:r>
      <w:r>
        <w:t xml:space="preserve"> </w:t>
      </w:r>
      <w:r w:rsidRPr="0083081C">
        <w:t>1979 (1) SA 69 (A)</w:t>
      </w:r>
    </w:p>
  </w:footnote>
  <w:footnote w:id="6">
    <w:p w14:paraId="30D6C3B1" w14:textId="1E02AE6F" w:rsidR="007171F2" w:rsidRPr="007171F2" w:rsidRDefault="007171F2">
      <w:pPr>
        <w:pStyle w:val="FootnoteText"/>
        <w:rPr>
          <w:lang w:val="en-GB"/>
        </w:rPr>
      </w:pPr>
      <w:r>
        <w:rPr>
          <w:rStyle w:val="FootnoteReference"/>
        </w:rPr>
        <w:footnoteRef/>
      </w:r>
      <w:r>
        <w:t xml:space="preserve"> </w:t>
      </w:r>
      <w:r w:rsidR="00D71570">
        <w:rPr>
          <w:lang w:val="en-GB"/>
        </w:rPr>
        <w:t>First Respondent</w:t>
      </w:r>
      <w:r>
        <w:rPr>
          <w:lang w:val="en-GB"/>
        </w:rPr>
        <w:t>’s supplementary opposing affidavit</w:t>
      </w:r>
    </w:p>
  </w:footnote>
  <w:footnote w:id="7">
    <w:p w14:paraId="3CB9F5F8" w14:textId="77758B47" w:rsidR="006E3B44" w:rsidRPr="006E3B44" w:rsidRDefault="006E3B44">
      <w:pPr>
        <w:pStyle w:val="FootnoteText"/>
        <w:rPr>
          <w:lang w:val="en-GB"/>
        </w:rPr>
      </w:pPr>
      <w:r>
        <w:rPr>
          <w:rStyle w:val="FootnoteReference"/>
        </w:rPr>
        <w:footnoteRef/>
      </w:r>
      <w:r>
        <w:t xml:space="preserve"> </w:t>
      </w:r>
      <w:r w:rsidRPr="006E3B44">
        <w:t xml:space="preserve">(See Maphango and Another v Aengus Lifestyle Properties (Pty) Ltd 2011 (5) SA 19 SCA at para </w:t>
      </w:r>
      <w:r>
        <w:t>[</w:t>
      </w:r>
      <w:r w:rsidRPr="006E3B44">
        <w:t>21</w:t>
      </w:r>
      <w:r>
        <w:t>]</w:t>
      </w:r>
      <w:r w:rsidRPr="006E3B44">
        <w:t>)</w:t>
      </w:r>
    </w:p>
  </w:footnote>
  <w:footnote w:id="8">
    <w:p w14:paraId="14716213" w14:textId="7CA78BDF" w:rsidR="004D2051" w:rsidRPr="004D2051" w:rsidRDefault="004D2051">
      <w:pPr>
        <w:pStyle w:val="FootnoteText"/>
        <w:rPr>
          <w:lang w:val="en-GB"/>
        </w:rPr>
      </w:pPr>
      <w:r>
        <w:rPr>
          <w:rStyle w:val="FootnoteReference"/>
        </w:rPr>
        <w:footnoteRef/>
      </w:r>
      <w:r>
        <w:t xml:space="preserve"> </w:t>
      </w:r>
      <w:r w:rsidRPr="004D2051">
        <w:t>1990 (3) SA 75 (W) at 80 E</w:t>
      </w:r>
    </w:p>
  </w:footnote>
  <w:footnote w:id="9">
    <w:p w14:paraId="59DBA649" w14:textId="48F04709" w:rsidR="00EA6148" w:rsidRPr="00EA6148" w:rsidRDefault="00EA6148">
      <w:pPr>
        <w:pStyle w:val="FootnoteText"/>
        <w:rPr>
          <w:lang w:val="en-GB"/>
        </w:rPr>
      </w:pPr>
      <w:r>
        <w:rPr>
          <w:rStyle w:val="FootnoteReference"/>
        </w:rPr>
        <w:footnoteRef/>
      </w:r>
      <w:r>
        <w:t xml:space="preserve"> Erasmus Superior Court Practice</w:t>
      </w:r>
    </w:p>
  </w:footnote>
  <w:footnote w:id="10">
    <w:p w14:paraId="51A2D617" w14:textId="0CF913D3" w:rsidR="0092051F" w:rsidRPr="0092051F" w:rsidRDefault="0092051F">
      <w:pPr>
        <w:pStyle w:val="FootnoteText"/>
        <w:rPr>
          <w:lang w:val="en-GB"/>
        </w:rPr>
      </w:pPr>
      <w:r>
        <w:rPr>
          <w:rStyle w:val="FootnoteReference"/>
        </w:rPr>
        <w:footnoteRef/>
      </w:r>
      <w:r>
        <w:t xml:space="preserve"> </w:t>
      </w:r>
      <w:r w:rsidRPr="0092051F">
        <w:t>(12096/2021) [2021] ZAGPPHC 203 (6 April 2021)</w:t>
      </w:r>
    </w:p>
  </w:footnote>
  <w:footnote w:id="11">
    <w:p w14:paraId="358C188C" w14:textId="0662C443" w:rsidR="0092051F" w:rsidRPr="0092051F" w:rsidRDefault="0092051F">
      <w:pPr>
        <w:pStyle w:val="FootnoteText"/>
        <w:rPr>
          <w:lang w:val="en-GB"/>
        </w:rPr>
      </w:pPr>
      <w:r>
        <w:rPr>
          <w:rStyle w:val="FootnoteReference"/>
        </w:rPr>
        <w:footnoteRef/>
      </w:r>
      <w:r>
        <w:t xml:space="preserve"> </w:t>
      </w:r>
      <w:r w:rsidRPr="0092051F">
        <w:t>(2020/12468) [2021] ZAGPJHC 127 (22 July 2021)</w:t>
      </w:r>
    </w:p>
  </w:footnote>
  <w:footnote w:id="12">
    <w:p w14:paraId="1F46B70B" w14:textId="517E2F44" w:rsidR="005271AF" w:rsidRPr="005271AF" w:rsidRDefault="005271AF">
      <w:pPr>
        <w:pStyle w:val="FootnoteText"/>
        <w:rPr>
          <w:lang w:val="en-GB"/>
        </w:rPr>
      </w:pPr>
      <w:r>
        <w:rPr>
          <w:rStyle w:val="FootnoteReference"/>
        </w:rPr>
        <w:footnoteRef/>
      </w:r>
      <w:r>
        <w:t xml:space="preserve"> </w:t>
      </w:r>
      <w:r w:rsidRPr="005271AF">
        <w:t>2021 (5) SA 619 (ECM)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83141"/>
      <w:docPartObj>
        <w:docPartGallery w:val="Page Numbers (Top of Page)"/>
        <w:docPartUnique/>
      </w:docPartObj>
    </w:sdtPr>
    <w:sdtEndPr>
      <w:rPr>
        <w:noProof/>
      </w:rPr>
    </w:sdtEndPr>
    <w:sdtContent>
      <w:p w14:paraId="7EB5DDA6" w14:textId="07C3E030" w:rsidR="00357657" w:rsidRDefault="00357657">
        <w:pPr>
          <w:pStyle w:val="Header"/>
          <w:jc w:val="right"/>
        </w:pPr>
        <w:r>
          <w:fldChar w:fldCharType="begin"/>
        </w:r>
        <w:r>
          <w:instrText xml:space="preserve"> PAGE   \* MERGEFORMAT </w:instrText>
        </w:r>
        <w:r>
          <w:fldChar w:fldCharType="separate"/>
        </w:r>
        <w:r w:rsidR="00AA7F42">
          <w:rPr>
            <w:noProof/>
          </w:rPr>
          <w:t>13</w:t>
        </w:r>
        <w:r>
          <w:rPr>
            <w:noProof/>
          </w:rPr>
          <w:fldChar w:fldCharType="end"/>
        </w:r>
      </w:p>
    </w:sdtContent>
  </w:sdt>
  <w:p w14:paraId="6E7EAF6C" w14:textId="77777777" w:rsidR="00357657" w:rsidRDefault="003576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168"/>
    <w:multiLevelType w:val="multilevel"/>
    <w:tmpl w:val="8C1C85F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7BA0D4A"/>
    <w:multiLevelType w:val="hybridMultilevel"/>
    <w:tmpl w:val="E9D2E1F2"/>
    <w:lvl w:ilvl="0" w:tplc="D69A8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723F5"/>
    <w:multiLevelType w:val="hybridMultilevel"/>
    <w:tmpl w:val="42C299C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AF"/>
    <w:rsid w:val="00075175"/>
    <w:rsid w:val="00076BFB"/>
    <w:rsid w:val="000B4F3C"/>
    <w:rsid w:val="000B5BAF"/>
    <w:rsid w:val="000E524C"/>
    <w:rsid w:val="001114D4"/>
    <w:rsid w:val="00130031"/>
    <w:rsid w:val="00131093"/>
    <w:rsid w:val="00166658"/>
    <w:rsid w:val="001A72F8"/>
    <w:rsid w:val="001E5460"/>
    <w:rsid w:val="0023157C"/>
    <w:rsid w:val="002442E8"/>
    <w:rsid w:val="00267BC5"/>
    <w:rsid w:val="002F5BCC"/>
    <w:rsid w:val="003200FF"/>
    <w:rsid w:val="00347C07"/>
    <w:rsid w:val="00357657"/>
    <w:rsid w:val="00362635"/>
    <w:rsid w:val="00367829"/>
    <w:rsid w:val="003D60AB"/>
    <w:rsid w:val="00426EFD"/>
    <w:rsid w:val="004C2027"/>
    <w:rsid w:val="004D2051"/>
    <w:rsid w:val="004E09BB"/>
    <w:rsid w:val="004E40BC"/>
    <w:rsid w:val="00504FAF"/>
    <w:rsid w:val="005271AF"/>
    <w:rsid w:val="00542BC3"/>
    <w:rsid w:val="00574262"/>
    <w:rsid w:val="005862D9"/>
    <w:rsid w:val="005924E6"/>
    <w:rsid w:val="005D2943"/>
    <w:rsid w:val="0064783B"/>
    <w:rsid w:val="00652013"/>
    <w:rsid w:val="0069159C"/>
    <w:rsid w:val="006B21B5"/>
    <w:rsid w:val="006B7852"/>
    <w:rsid w:val="006D077E"/>
    <w:rsid w:val="006E3B44"/>
    <w:rsid w:val="007171F2"/>
    <w:rsid w:val="00776417"/>
    <w:rsid w:val="0082169C"/>
    <w:rsid w:val="008255F6"/>
    <w:rsid w:val="0083081C"/>
    <w:rsid w:val="0085618C"/>
    <w:rsid w:val="00880FFF"/>
    <w:rsid w:val="0092051F"/>
    <w:rsid w:val="00946014"/>
    <w:rsid w:val="00951858"/>
    <w:rsid w:val="00992F82"/>
    <w:rsid w:val="009A015D"/>
    <w:rsid w:val="009B0B41"/>
    <w:rsid w:val="00A17826"/>
    <w:rsid w:val="00A74CB8"/>
    <w:rsid w:val="00A74CD7"/>
    <w:rsid w:val="00AA0ABB"/>
    <w:rsid w:val="00AA7F42"/>
    <w:rsid w:val="00AB7857"/>
    <w:rsid w:val="00AE3091"/>
    <w:rsid w:val="00B32769"/>
    <w:rsid w:val="00B445B0"/>
    <w:rsid w:val="00B57B6F"/>
    <w:rsid w:val="00BA0357"/>
    <w:rsid w:val="00BA693E"/>
    <w:rsid w:val="00CE1C6F"/>
    <w:rsid w:val="00D42A1E"/>
    <w:rsid w:val="00D43945"/>
    <w:rsid w:val="00D6753C"/>
    <w:rsid w:val="00D71570"/>
    <w:rsid w:val="00D81855"/>
    <w:rsid w:val="00D87E94"/>
    <w:rsid w:val="00D92EAE"/>
    <w:rsid w:val="00D9442D"/>
    <w:rsid w:val="00DB60F1"/>
    <w:rsid w:val="00DD2398"/>
    <w:rsid w:val="00E24C28"/>
    <w:rsid w:val="00E26972"/>
    <w:rsid w:val="00E37EFC"/>
    <w:rsid w:val="00E82B83"/>
    <w:rsid w:val="00E84AF1"/>
    <w:rsid w:val="00E92B08"/>
    <w:rsid w:val="00E95EE6"/>
    <w:rsid w:val="00EA6148"/>
    <w:rsid w:val="00EE01D5"/>
    <w:rsid w:val="00EF4F0F"/>
    <w:rsid w:val="00F1010E"/>
    <w:rsid w:val="00F5314C"/>
    <w:rsid w:val="00FC49A5"/>
    <w:rsid w:val="00F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A3EA"/>
  <w15:chartTrackingRefBased/>
  <w15:docId w15:val="{F88B82BE-81BB-48D3-B234-C9B91554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AF"/>
    <w:pPr>
      <w:ind w:left="720"/>
      <w:contextualSpacing/>
    </w:pPr>
  </w:style>
  <w:style w:type="table" w:styleId="TableGrid">
    <w:name w:val="Table Grid"/>
    <w:basedOn w:val="TableNormal"/>
    <w:uiPriority w:val="59"/>
    <w:rsid w:val="004E09BB"/>
    <w:pPr>
      <w:spacing w:after="0" w:line="240" w:lineRule="auto"/>
    </w:pPr>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57"/>
  </w:style>
  <w:style w:type="paragraph" w:styleId="Footer">
    <w:name w:val="footer"/>
    <w:basedOn w:val="Normal"/>
    <w:link w:val="FooterChar"/>
    <w:uiPriority w:val="99"/>
    <w:unhideWhenUsed/>
    <w:rsid w:val="00357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657"/>
  </w:style>
  <w:style w:type="paragraph" w:styleId="FootnoteText">
    <w:name w:val="footnote text"/>
    <w:basedOn w:val="Normal"/>
    <w:link w:val="FootnoteTextChar"/>
    <w:uiPriority w:val="99"/>
    <w:semiHidden/>
    <w:unhideWhenUsed/>
    <w:rsid w:val="00856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18C"/>
    <w:rPr>
      <w:sz w:val="20"/>
      <w:szCs w:val="20"/>
    </w:rPr>
  </w:style>
  <w:style w:type="character" w:styleId="FootnoteReference">
    <w:name w:val="footnote reference"/>
    <w:basedOn w:val="DefaultParagraphFont"/>
    <w:uiPriority w:val="99"/>
    <w:semiHidden/>
    <w:unhideWhenUsed/>
    <w:rsid w:val="0085618C"/>
    <w:rPr>
      <w:vertAlign w:val="superscript"/>
    </w:rPr>
  </w:style>
  <w:style w:type="paragraph" w:styleId="BalloonText">
    <w:name w:val="Balloon Text"/>
    <w:basedOn w:val="Normal"/>
    <w:link w:val="BalloonTextChar"/>
    <w:uiPriority w:val="99"/>
    <w:semiHidden/>
    <w:unhideWhenUsed/>
    <w:rsid w:val="0007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8290-6CEB-4886-A7AA-CAF34C5C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Reaobaka Kalaote</dc:creator>
  <cp:keywords/>
  <dc:description/>
  <cp:lastModifiedBy>Mary Bruce</cp:lastModifiedBy>
  <cp:revision>3</cp:revision>
  <cp:lastPrinted>2024-02-08T13:13:00Z</cp:lastPrinted>
  <dcterms:created xsi:type="dcterms:W3CDTF">2024-02-09T06:37:00Z</dcterms:created>
  <dcterms:modified xsi:type="dcterms:W3CDTF">2024-02-09T12:46:00Z</dcterms:modified>
</cp:coreProperties>
</file>