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BC" w:rsidRPr="005349E6" w:rsidRDefault="00DA139D" w:rsidP="00861F20">
      <w:pPr>
        <w:spacing w:line="360" w:lineRule="auto"/>
        <w:rPr>
          <w:b/>
          <w:bCs/>
          <w:sz w:val="32"/>
          <w:szCs w:val="32"/>
        </w:rPr>
      </w:pPr>
      <w:r>
        <w:rPr>
          <w:noProof/>
          <w:lang w:val="en-ZA" w:eastAsia="en-ZA"/>
        </w:rPr>
        <w:drawing>
          <wp:anchor distT="0" distB="0" distL="114300" distR="114300" simplePos="0" relativeHeight="251658240" behindDoc="0" locked="0" layoutInCell="1" allowOverlap="1">
            <wp:simplePos x="0" y="0"/>
            <wp:positionH relativeFrom="margin">
              <wp:posOffset>1960880</wp:posOffset>
            </wp:positionH>
            <wp:positionV relativeFrom="margin">
              <wp:posOffset>-425450</wp:posOffset>
            </wp:positionV>
            <wp:extent cx="1352550" cy="12915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178">
        <w:t xml:space="preserve"> </w:t>
      </w:r>
      <w:r w:rsidR="00944ABC" w:rsidRPr="005349E6">
        <w:tab/>
      </w:r>
      <w:r w:rsidR="00944ABC" w:rsidRPr="005349E6">
        <w:tab/>
      </w:r>
      <w:r w:rsidR="00944ABC" w:rsidRPr="005349E6">
        <w:tab/>
      </w:r>
    </w:p>
    <w:p w:rsidR="00944ABC" w:rsidRPr="005349E6" w:rsidRDefault="0029765F" w:rsidP="0029765F">
      <w:pPr>
        <w:tabs>
          <w:tab w:val="left" w:pos="3420"/>
        </w:tabs>
        <w:spacing w:line="360" w:lineRule="auto"/>
        <w:rPr>
          <w:b/>
          <w:bCs/>
          <w:sz w:val="32"/>
          <w:szCs w:val="32"/>
        </w:rPr>
      </w:pPr>
      <w:r>
        <w:rPr>
          <w:b/>
          <w:bCs/>
          <w:sz w:val="32"/>
          <w:szCs w:val="32"/>
        </w:rPr>
        <w:tab/>
      </w:r>
    </w:p>
    <w:p w:rsidR="00A2163B" w:rsidRDefault="00944ABC" w:rsidP="00A2163B">
      <w:pPr>
        <w:rPr>
          <w:sz w:val="40"/>
          <w:szCs w:val="40"/>
        </w:rPr>
      </w:pPr>
      <w:r w:rsidRPr="00373426">
        <w:rPr>
          <w:sz w:val="40"/>
          <w:szCs w:val="40"/>
        </w:rPr>
        <w:tab/>
      </w:r>
    </w:p>
    <w:p w:rsidR="00A2163B" w:rsidRDefault="00A2163B" w:rsidP="00A2163B">
      <w:pPr>
        <w:rPr>
          <w:color w:val="FF0000"/>
          <w:sz w:val="24"/>
          <w:szCs w:val="24"/>
          <w:u w:val="single"/>
          <w:lang w:val="en-ZA" w:eastAsia="en-ZA"/>
        </w:rPr>
      </w:pPr>
      <w:r>
        <w:rPr>
          <w:rFonts w:ascii="Arial" w:hAnsi="Arial" w:cs="Arial"/>
          <w:color w:val="FF0000"/>
        </w:rPr>
        <w:t>Editorial note: Certain information has been redacted from this judgment in compliance with the law.</w:t>
      </w:r>
    </w:p>
    <w:p w:rsidR="00944ABC" w:rsidRPr="00373426" w:rsidRDefault="00944ABC" w:rsidP="00861F20">
      <w:pPr>
        <w:spacing w:line="360" w:lineRule="auto"/>
        <w:jc w:val="center"/>
        <w:rPr>
          <w:rFonts w:ascii="Arial" w:hAnsi="Arial" w:cs="Arial"/>
          <w:b/>
          <w:bCs/>
          <w:szCs w:val="40"/>
        </w:rPr>
      </w:pPr>
    </w:p>
    <w:p w:rsidR="0029765F" w:rsidRPr="0029765F" w:rsidRDefault="0029765F" w:rsidP="0029765F">
      <w:pPr>
        <w:spacing w:line="240" w:lineRule="auto"/>
        <w:jc w:val="center"/>
        <w:rPr>
          <w:b/>
          <w:lang w:val="en-ZA"/>
        </w:rPr>
      </w:pPr>
      <w:r w:rsidRPr="0029765F">
        <w:rPr>
          <w:b/>
          <w:lang w:val="en-ZA"/>
        </w:rPr>
        <w:t xml:space="preserve">IN THE HIGH COURT OF SOUTH AFRICA </w:t>
      </w:r>
    </w:p>
    <w:p w:rsidR="0029765F" w:rsidRDefault="0029765F" w:rsidP="00361E15">
      <w:pPr>
        <w:spacing w:line="240" w:lineRule="auto"/>
        <w:jc w:val="center"/>
      </w:pPr>
      <w:r w:rsidRPr="0029765F">
        <w:rPr>
          <w:b/>
          <w:lang w:val="en-ZA"/>
        </w:rPr>
        <w:t>FREE STATE DIVISION, BLOEMFONTEIN</w:t>
      </w:r>
      <w:r w:rsidR="00944ABC" w:rsidRPr="00373426">
        <w:t xml:space="preserve">      </w:t>
      </w:r>
    </w:p>
    <w:p w:rsidR="00944ABC" w:rsidRPr="00373426" w:rsidRDefault="004B57EB" w:rsidP="004B57EB">
      <w:pPr>
        <w:spacing w:line="360" w:lineRule="auto"/>
        <w:ind w:right="26"/>
        <w:jc w:val="right"/>
      </w:pPr>
      <w:r>
        <w:t xml:space="preserve">    </w:t>
      </w:r>
    </w:p>
    <w:tbl>
      <w:tblPr>
        <w:tblW w:w="2610"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tblGrid>
      <w:tr w:rsidR="00BB2FB4" w:rsidRPr="001A3E69" w:rsidTr="004B57EB">
        <w:trPr>
          <w:trHeight w:val="214"/>
        </w:trPr>
        <w:tc>
          <w:tcPr>
            <w:tcW w:w="2610" w:type="dxa"/>
            <w:shd w:val="clear" w:color="auto" w:fill="FFFFFF"/>
          </w:tcPr>
          <w:p w:rsidR="00BB2FB4" w:rsidRPr="00E33F02" w:rsidRDefault="002666BC" w:rsidP="002666BC">
            <w:pPr>
              <w:spacing w:line="240" w:lineRule="auto"/>
              <w:rPr>
                <w:rFonts w:ascii="Arial" w:hAnsi="Arial" w:cs="Arial"/>
                <w:b/>
                <w:sz w:val="16"/>
                <w:szCs w:val="16"/>
                <w:u w:val="single"/>
              </w:rPr>
            </w:pPr>
            <w:r>
              <w:rPr>
                <w:rFonts w:ascii="Arial" w:hAnsi="Arial" w:cs="Arial"/>
                <w:b/>
                <w:sz w:val="16"/>
                <w:szCs w:val="16"/>
              </w:rPr>
              <w:t>R</w:t>
            </w:r>
            <w:r w:rsidR="00BB2FB4" w:rsidRPr="00E33F02">
              <w:rPr>
                <w:rFonts w:ascii="Arial" w:hAnsi="Arial" w:cs="Arial"/>
                <w:b/>
                <w:sz w:val="16"/>
                <w:szCs w:val="16"/>
              </w:rPr>
              <w:t xml:space="preserve">eportable: </w:t>
            </w:r>
            <w:r w:rsidR="004B57EB">
              <w:rPr>
                <w:rFonts w:ascii="Arial" w:hAnsi="Arial" w:cs="Arial"/>
                <w:b/>
                <w:sz w:val="16"/>
                <w:szCs w:val="16"/>
              </w:rPr>
              <w:t xml:space="preserve">                </w:t>
            </w:r>
            <w:r w:rsidR="00BB2FB4" w:rsidRPr="00E33F02">
              <w:rPr>
                <w:rFonts w:ascii="Arial" w:hAnsi="Arial" w:cs="Arial"/>
                <w:b/>
                <w:sz w:val="16"/>
                <w:szCs w:val="16"/>
              </w:rPr>
              <w:t xml:space="preserve"> </w:t>
            </w:r>
            <w:r w:rsidR="00DA77BF">
              <w:rPr>
                <w:rFonts w:ascii="Arial" w:hAnsi="Arial" w:cs="Arial"/>
                <w:b/>
                <w:sz w:val="16"/>
                <w:szCs w:val="16"/>
              </w:rPr>
              <w:t xml:space="preserve">  </w:t>
            </w:r>
            <w:r w:rsidR="00BB2FB4" w:rsidRPr="00E33F02">
              <w:rPr>
                <w:rFonts w:ascii="Arial" w:hAnsi="Arial" w:cs="Arial"/>
                <w:b/>
                <w:sz w:val="16"/>
                <w:szCs w:val="16"/>
              </w:rPr>
              <w:t>NO/YES</w:t>
            </w:r>
          </w:p>
        </w:tc>
      </w:tr>
    </w:tbl>
    <w:p w:rsidR="002B1980" w:rsidRDefault="002B1980" w:rsidP="00D87332">
      <w:pPr>
        <w:pStyle w:val="FootnoteText"/>
        <w:spacing w:line="360" w:lineRule="auto"/>
        <w:jc w:val="right"/>
        <w:rPr>
          <w:b/>
          <w:bCs/>
          <w:sz w:val="28"/>
        </w:rPr>
      </w:pPr>
    </w:p>
    <w:p w:rsidR="00361E15" w:rsidRDefault="00361E15" w:rsidP="00D87332">
      <w:pPr>
        <w:pStyle w:val="FootnoteText"/>
        <w:spacing w:line="360" w:lineRule="auto"/>
        <w:jc w:val="right"/>
      </w:pPr>
      <w:r w:rsidRPr="004B57EB">
        <w:rPr>
          <w:b/>
          <w:bCs/>
          <w:sz w:val="28"/>
        </w:rPr>
        <w:t>CASE NO.</w:t>
      </w:r>
      <w:r w:rsidR="007C646C">
        <w:rPr>
          <w:b/>
          <w:bCs/>
          <w:sz w:val="28"/>
        </w:rPr>
        <w:t>:</w:t>
      </w:r>
      <w:r w:rsidRPr="004B57EB">
        <w:rPr>
          <w:b/>
          <w:bCs/>
          <w:sz w:val="28"/>
        </w:rPr>
        <w:t xml:space="preserve"> 454</w:t>
      </w:r>
      <w:r w:rsidR="008F05D2">
        <w:rPr>
          <w:b/>
          <w:bCs/>
          <w:sz w:val="28"/>
        </w:rPr>
        <w:t>2</w:t>
      </w:r>
      <w:r w:rsidRPr="004B57EB">
        <w:rPr>
          <w:b/>
          <w:bCs/>
          <w:sz w:val="28"/>
        </w:rPr>
        <w:t>/2023</w:t>
      </w:r>
    </w:p>
    <w:p w:rsidR="00944ABC" w:rsidRPr="00373426" w:rsidRDefault="00944ABC" w:rsidP="00861F20">
      <w:pPr>
        <w:spacing w:line="360" w:lineRule="auto"/>
      </w:pPr>
      <w:bookmarkStart w:id="0" w:name="_Hlk157153126"/>
      <w:r w:rsidRPr="00361E15">
        <w:rPr>
          <w:i/>
          <w:iCs/>
          <w:u w:val="single"/>
        </w:rPr>
        <w:t xml:space="preserve">In the </w:t>
      </w:r>
      <w:r w:rsidR="00361E15" w:rsidRPr="00361E15">
        <w:rPr>
          <w:i/>
          <w:iCs/>
          <w:u w:val="single"/>
        </w:rPr>
        <w:t>application</w:t>
      </w:r>
      <w:r w:rsidRPr="00361E15">
        <w:rPr>
          <w:i/>
          <w:iCs/>
          <w:u w:val="single"/>
        </w:rPr>
        <w:t xml:space="preserve"> between</w:t>
      </w:r>
      <w:r w:rsidRPr="00373426">
        <w:t>:</w:t>
      </w:r>
    </w:p>
    <w:bookmarkEnd w:id="0"/>
    <w:p w:rsidR="004B57EB" w:rsidRPr="004B57EB" w:rsidRDefault="004B57EB" w:rsidP="00A716F6">
      <w:pPr>
        <w:pStyle w:val="FootnoteText"/>
        <w:spacing w:line="360" w:lineRule="auto"/>
        <w:rPr>
          <w:sz w:val="28"/>
        </w:rPr>
      </w:pPr>
      <w:r w:rsidRPr="004B57EB">
        <w:rPr>
          <w:b/>
          <w:bCs/>
          <w:sz w:val="28"/>
        </w:rPr>
        <w:t xml:space="preserve">JOHANNES JACOBUS WOLHUTER N.O. </w:t>
      </w:r>
      <w:r>
        <w:rPr>
          <w:b/>
          <w:bCs/>
          <w:sz w:val="28"/>
        </w:rPr>
        <w:tab/>
        <w:t xml:space="preserve">          </w:t>
      </w:r>
      <w:r w:rsidRPr="004B57EB">
        <w:rPr>
          <w:sz w:val="28"/>
        </w:rPr>
        <w:t>First Applicant</w:t>
      </w:r>
      <w:r w:rsidR="00423327">
        <w:rPr>
          <w:rStyle w:val="FootnoteReference"/>
          <w:sz w:val="28"/>
        </w:rPr>
        <w:footnoteReference w:id="1"/>
      </w:r>
    </w:p>
    <w:p w:rsidR="004B57EB" w:rsidRPr="004B57EB" w:rsidRDefault="004B57EB" w:rsidP="00A716F6">
      <w:pPr>
        <w:pStyle w:val="FootnoteText"/>
        <w:spacing w:line="360" w:lineRule="auto"/>
        <w:rPr>
          <w:b/>
          <w:bCs/>
          <w:sz w:val="28"/>
        </w:rPr>
      </w:pPr>
      <w:r w:rsidRPr="004B57EB">
        <w:rPr>
          <w:b/>
          <w:bCs/>
          <w:sz w:val="28"/>
        </w:rPr>
        <w:t>FANTI BEKKER HATTINGH N.O.</w:t>
      </w:r>
      <w:r>
        <w:rPr>
          <w:b/>
          <w:bCs/>
          <w:sz w:val="28"/>
        </w:rPr>
        <w:t xml:space="preserve">                           </w:t>
      </w:r>
      <w:r w:rsidRPr="004B57EB">
        <w:rPr>
          <w:sz w:val="28"/>
        </w:rPr>
        <w:t>Second Applicant</w:t>
      </w:r>
    </w:p>
    <w:p w:rsidR="004B57EB" w:rsidRPr="004B57EB" w:rsidRDefault="004B57EB" w:rsidP="00A716F6">
      <w:pPr>
        <w:pStyle w:val="FootnoteText"/>
        <w:rPr>
          <w:b/>
          <w:bCs/>
          <w:sz w:val="28"/>
        </w:rPr>
      </w:pPr>
      <w:r w:rsidRPr="004B57EB">
        <w:rPr>
          <w:b/>
          <w:bCs/>
          <w:sz w:val="28"/>
        </w:rPr>
        <w:t xml:space="preserve">STEPHEN </w:t>
      </w:r>
      <w:proofErr w:type="spellStart"/>
      <w:r w:rsidRPr="004B57EB">
        <w:rPr>
          <w:b/>
          <w:bCs/>
          <w:sz w:val="28"/>
        </w:rPr>
        <w:t>FOUCHEé</w:t>
      </w:r>
      <w:proofErr w:type="spellEnd"/>
      <w:r w:rsidRPr="004B57EB">
        <w:rPr>
          <w:b/>
          <w:bCs/>
          <w:sz w:val="28"/>
        </w:rPr>
        <w:t xml:space="preserve"> N.O.</w:t>
      </w:r>
      <w:r>
        <w:rPr>
          <w:b/>
          <w:bCs/>
          <w:sz w:val="28"/>
        </w:rPr>
        <w:t xml:space="preserve">                                             </w:t>
      </w:r>
      <w:r w:rsidRPr="004B57EB">
        <w:rPr>
          <w:sz w:val="28"/>
        </w:rPr>
        <w:t>Third Applicant</w:t>
      </w:r>
    </w:p>
    <w:p w:rsidR="005C6B1E" w:rsidRDefault="004B57EB" w:rsidP="00A716F6">
      <w:pPr>
        <w:pStyle w:val="FootnoteText"/>
        <w:rPr>
          <w:szCs w:val="20"/>
        </w:rPr>
      </w:pPr>
      <w:bookmarkStart w:id="1" w:name="_Hlk157151907"/>
      <w:r w:rsidRPr="00361E15">
        <w:rPr>
          <w:szCs w:val="20"/>
        </w:rPr>
        <w:t xml:space="preserve">[In their capacities as </w:t>
      </w:r>
      <w:r w:rsidR="00F15AA8">
        <w:rPr>
          <w:szCs w:val="20"/>
        </w:rPr>
        <w:t>j</w:t>
      </w:r>
      <w:r w:rsidRPr="00361E15">
        <w:rPr>
          <w:szCs w:val="20"/>
        </w:rPr>
        <w:t xml:space="preserve">oint </w:t>
      </w:r>
      <w:r w:rsidR="00F15AA8">
        <w:rPr>
          <w:szCs w:val="20"/>
        </w:rPr>
        <w:t>t</w:t>
      </w:r>
      <w:r w:rsidRPr="00361E15">
        <w:rPr>
          <w:szCs w:val="20"/>
        </w:rPr>
        <w:t>rustees of the</w:t>
      </w:r>
      <w:r w:rsidR="00361E15">
        <w:rPr>
          <w:szCs w:val="20"/>
        </w:rPr>
        <w:t xml:space="preserve"> </w:t>
      </w:r>
      <w:r w:rsidRPr="00361E15">
        <w:rPr>
          <w:szCs w:val="20"/>
        </w:rPr>
        <w:t>QWAHA TRUST</w:t>
      </w:r>
      <w:r w:rsidR="00F15AA8">
        <w:rPr>
          <w:szCs w:val="20"/>
        </w:rPr>
        <w:t>.</w:t>
      </w:r>
    </w:p>
    <w:p w:rsidR="004B57EB" w:rsidRDefault="005C6B1E" w:rsidP="00A716F6">
      <w:pPr>
        <w:pStyle w:val="FootnoteText"/>
        <w:rPr>
          <w:szCs w:val="20"/>
        </w:rPr>
      </w:pPr>
      <w:r>
        <w:rPr>
          <w:szCs w:val="20"/>
        </w:rPr>
        <w:t>Master’s</w:t>
      </w:r>
      <w:r w:rsidR="00D87332">
        <w:rPr>
          <w:szCs w:val="20"/>
        </w:rPr>
        <w:t xml:space="preserve"> reference number</w:t>
      </w:r>
      <w:r>
        <w:rPr>
          <w:szCs w:val="20"/>
        </w:rPr>
        <w:t>: IT1339/2005</w:t>
      </w:r>
      <w:r w:rsidR="004B57EB" w:rsidRPr="00361E15">
        <w:rPr>
          <w:szCs w:val="20"/>
        </w:rPr>
        <w:t>]</w:t>
      </w:r>
    </w:p>
    <w:p w:rsidR="007F4A5F" w:rsidRDefault="007F4A5F" w:rsidP="004B57EB">
      <w:pPr>
        <w:pStyle w:val="FootnoteText"/>
        <w:spacing w:line="360" w:lineRule="auto"/>
        <w:rPr>
          <w:sz w:val="28"/>
        </w:rPr>
      </w:pPr>
    </w:p>
    <w:bookmarkEnd w:id="1"/>
    <w:p w:rsidR="004B57EB" w:rsidRPr="007F4A5F" w:rsidRDefault="00361E15" w:rsidP="004B57EB">
      <w:pPr>
        <w:pStyle w:val="FootnoteText"/>
        <w:spacing w:line="360" w:lineRule="auto"/>
        <w:rPr>
          <w:sz w:val="28"/>
        </w:rPr>
      </w:pPr>
      <w:r w:rsidRPr="007F4A5F">
        <w:rPr>
          <w:sz w:val="28"/>
        </w:rPr>
        <w:t>a</w:t>
      </w:r>
      <w:r w:rsidR="004B57EB" w:rsidRPr="007F4A5F">
        <w:rPr>
          <w:sz w:val="28"/>
        </w:rPr>
        <w:t>nd</w:t>
      </w:r>
    </w:p>
    <w:p w:rsidR="00361E15" w:rsidRPr="004B57EB" w:rsidRDefault="00361E15" w:rsidP="00F319AB">
      <w:pPr>
        <w:pStyle w:val="FootnoteText"/>
        <w:spacing w:line="360" w:lineRule="auto"/>
        <w:rPr>
          <w:b/>
          <w:bCs/>
          <w:sz w:val="28"/>
        </w:rPr>
      </w:pPr>
    </w:p>
    <w:p w:rsidR="004B57EB" w:rsidRPr="00361E15" w:rsidRDefault="004B57EB" w:rsidP="009938CE">
      <w:pPr>
        <w:pStyle w:val="FootnoteText"/>
        <w:jc w:val="left"/>
        <w:rPr>
          <w:b/>
          <w:bCs/>
          <w:sz w:val="28"/>
        </w:rPr>
      </w:pPr>
      <w:r w:rsidRPr="004B57EB">
        <w:rPr>
          <w:b/>
          <w:bCs/>
          <w:sz w:val="28"/>
        </w:rPr>
        <w:t xml:space="preserve">MTETWA INVESTMENTS (PTY) </w:t>
      </w:r>
      <w:r w:rsidR="002F6AD1">
        <w:rPr>
          <w:b/>
          <w:bCs/>
          <w:sz w:val="28"/>
        </w:rPr>
        <w:t xml:space="preserve">LTD </w:t>
      </w:r>
      <w:r w:rsidR="00361E15">
        <w:rPr>
          <w:b/>
          <w:bCs/>
          <w:sz w:val="28"/>
        </w:rPr>
        <w:t xml:space="preserve">                          </w:t>
      </w:r>
      <w:r w:rsidRPr="004B57EB">
        <w:rPr>
          <w:b/>
          <w:bCs/>
          <w:sz w:val="28"/>
        </w:rPr>
        <w:t xml:space="preserve"> </w:t>
      </w:r>
      <w:r w:rsidR="00361E15" w:rsidRPr="00361E15">
        <w:rPr>
          <w:sz w:val="28"/>
        </w:rPr>
        <w:t>Respondent</w:t>
      </w:r>
      <w:r w:rsidR="00423327">
        <w:rPr>
          <w:rStyle w:val="FootnoteReference"/>
          <w:sz w:val="28"/>
        </w:rPr>
        <w:footnoteReference w:id="2"/>
      </w:r>
    </w:p>
    <w:p w:rsidR="00361E15" w:rsidRDefault="00D87332" w:rsidP="004B57EB">
      <w:pPr>
        <w:pStyle w:val="FootnoteText"/>
        <w:spacing w:line="360" w:lineRule="auto"/>
        <w:rPr>
          <w:szCs w:val="20"/>
        </w:rPr>
      </w:pPr>
      <w:r w:rsidRPr="00D87332">
        <w:rPr>
          <w:szCs w:val="20"/>
        </w:rPr>
        <w:t xml:space="preserve">[Registration number: </w:t>
      </w:r>
      <w:r>
        <w:rPr>
          <w:szCs w:val="20"/>
        </w:rPr>
        <w:t>2014/253458/07]</w:t>
      </w:r>
    </w:p>
    <w:p w:rsidR="007F4A5F" w:rsidRDefault="007F4A5F" w:rsidP="007F4A5F">
      <w:pPr>
        <w:pStyle w:val="FootnoteText"/>
        <w:spacing w:line="480" w:lineRule="auto"/>
        <w:jc w:val="center"/>
        <w:rPr>
          <w:b/>
          <w:bCs/>
          <w:sz w:val="28"/>
        </w:rPr>
      </w:pPr>
      <w:bookmarkStart w:id="2" w:name="_Hlk157151034"/>
    </w:p>
    <w:p w:rsidR="00D87332" w:rsidRDefault="007F4A5F" w:rsidP="00700A8C">
      <w:pPr>
        <w:pStyle w:val="FootnoteText"/>
        <w:spacing w:line="360" w:lineRule="auto"/>
        <w:jc w:val="center"/>
        <w:rPr>
          <w:b/>
          <w:bCs/>
          <w:sz w:val="28"/>
        </w:rPr>
      </w:pPr>
      <w:r>
        <w:rPr>
          <w:b/>
          <w:bCs/>
          <w:sz w:val="28"/>
        </w:rPr>
        <w:t>AND</w:t>
      </w:r>
    </w:p>
    <w:p w:rsidR="007F4A5F" w:rsidRDefault="007F4A5F" w:rsidP="007F4A5F">
      <w:pPr>
        <w:pStyle w:val="FootnoteText"/>
        <w:spacing w:line="480" w:lineRule="auto"/>
        <w:jc w:val="right"/>
        <w:rPr>
          <w:b/>
          <w:bCs/>
          <w:sz w:val="28"/>
        </w:rPr>
      </w:pPr>
    </w:p>
    <w:p w:rsidR="004B57EB" w:rsidRPr="00361E15" w:rsidRDefault="004B57EB" w:rsidP="007F4A5F">
      <w:pPr>
        <w:pStyle w:val="FootnoteText"/>
        <w:spacing w:line="360" w:lineRule="auto"/>
        <w:jc w:val="right"/>
        <w:rPr>
          <w:i/>
          <w:iCs/>
          <w:sz w:val="28"/>
          <w:u w:val="single"/>
        </w:rPr>
      </w:pPr>
      <w:r w:rsidRPr="004B57EB">
        <w:rPr>
          <w:b/>
          <w:bCs/>
          <w:sz w:val="28"/>
        </w:rPr>
        <w:t>CASE NO.</w:t>
      </w:r>
      <w:r w:rsidR="007C646C">
        <w:rPr>
          <w:b/>
          <w:bCs/>
          <w:sz w:val="28"/>
        </w:rPr>
        <w:t>:</w:t>
      </w:r>
      <w:r w:rsidRPr="004B57EB">
        <w:rPr>
          <w:b/>
          <w:bCs/>
          <w:sz w:val="28"/>
        </w:rPr>
        <w:t xml:space="preserve"> 4543/2023</w:t>
      </w:r>
      <w:bookmarkEnd w:id="2"/>
    </w:p>
    <w:p w:rsidR="009C30E9" w:rsidRPr="00373426" w:rsidRDefault="009C30E9" w:rsidP="009C30E9">
      <w:pPr>
        <w:spacing w:line="360" w:lineRule="auto"/>
      </w:pPr>
      <w:r w:rsidRPr="00361E15">
        <w:rPr>
          <w:i/>
          <w:iCs/>
          <w:u w:val="single"/>
        </w:rPr>
        <w:lastRenderedPageBreak/>
        <w:t>In the application between</w:t>
      </w:r>
      <w:r w:rsidRPr="00373426">
        <w:t>:</w:t>
      </w:r>
    </w:p>
    <w:p w:rsidR="004B57EB" w:rsidRPr="00361E15" w:rsidRDefault="004B57EB" w:rsidP="00A716F6">
      <w:pPr>
        <w:pStyle w:val="FootnoteText"/>
        <w:spacing w:line="360" w:lineRule="auto"/>
        <w:rPr>
          <w:b/>
          <w:bCs/>
          <w:sz w:val="28"/>
        </w:rPr>
      </w:pPr>
      <w:r w:rsidRPr="004B57EB">
        <w:rPr>
          <w:b/>
          <w:bCs/>
          <w:sz w:val="28"/>
        </w:rPr>
        <w:t>JOHANNES JACOBUS WOLHUTER N.O.</w:t>
      </w:r>
      <w:r w:rsidR="00361E15">
        <w:rPr>
          <w:b/>
          <w:bCs/>
          <w:sz w:val="28"/>
        </w:rPr>
        <w:t xml:space="preserve">                   </w:t>
      </w:r>
      <w:r w:rsidR="00361E15" w:rsidRPr="00361E15">
        <w:rPr>
          <w:sz w:val="28"/>
        </w:rPr>
        <w:t>First Applicant</w:t>
      </w:r>
    </w:p>
    <w:p w:rsidR="004B57EB" w:rsidRPr="00361E15" w:rsidRDefault="004B57EB" w:rsidP="00A716F6">
      <w:pPr>
        <w:pStyle w:val="FootnoteText"/>
        <w:spacing w:line="360" w:lineRule="auto"/>
        <w:rPr>
          <w:b/>
          <w:bCs/>
          <w:sz w:val="28"/>
        </w:rPr>
      </w:pPr>
      <w:r w:rsidRPr="004B57EB">
        <w:rPr>
          <w:b/>
          <w:bCs/>
          <w:sz w:val="28"/>
        </w:rPr>
        <w:t>FANTI BEKKER HATTINGH N.O.</w:t>
      </w:r>
      <w:r w:rsidR="00361E15">
        <w:rPr>
          <w:b/>
          <w:bCs/>
          <w:sz w:val="28"/>
        </w:rPr>
        <w:t xml:space="preserve">                           </w:t>
      </w:r>
      <w:r w:rsidR="00361E15" w:rsidRPr="00361E15">
        <w:rPr>
          <w:sz w:val="28"/>
        </w:rPr>
        <w:t>Second Applicant</w:t>
      </w:r>
    </w:p>
    <w:p w:rsidR="004B57EB" w:rsidRPr="00361E15" w:rsidRDefault="004B57EB" w:rsidP="00A716F6">
      <w:pPr>
        <w:pStyle w:val="FootnoteText"/>
        <w:rPr>
          <w:b/>
          <w:bCs/>
          <w:sz w:val="28"/>
        </w:rPr>
      </w:pPr>
      <w:r w:rsidRPr="004B57EB">
        <w:rPr>
          <w:b/>
          <w:bCs/>
          <w:sz w:val="28"/>
        </w:rPr>
        <w:t xml:space="preserve">STEPHEN </w:t>
      </w:r>
      <w:proofErr w:type="spellStart"/>
      <w:r w:rsidRPr="004B57EB">
        <w:rPr>
          <w:b/>
          <w:bCs/>
          <w:sz w:val="28"/>
        </w:rPr>
        <w:t>FOUCHEé</w:t>
      </w:r>
      <w:proofErr w:type="spellEnd"/>
      <w:r w:rsidRPr="004B57EB">
        <w:rPr>
          <w:b/>
          <w:bCs/>
          <w:sz w:val="28"/>
        </w:rPr>
        <w:t xml:space="preserve"> N.O. </w:t>
      </w:r>
      <w:r w:rsidR="00361E15">
        <w:rPr>
          <w:b/>
          <w:bCs/>
          <w:sz w:val="28"/>
        </w:rPr>
        <w:t xml:space="preserve">                                            </w:t>
      </w:r>
      <w:r w:rsidR="00361E15" w:rsidRPr="00361E15">
        <w:rPr>
          <w:sz w:val="28"/>
        </w:rPr>
        <w:t>Third Applicant</w:t>
      </w:r>
    </w:p>
    <w:p w:rsidR="005C6B1E" w:rsidRDefault="005C6B1E" w:rsidP="009938CE">
      <w:pPr>
        <w:pStyle w:val="FootnoteText"/>
        <w:rPr>
          <w:szCs w:val="20"/>
        </w:rPr>
      </w:pPr>
      <w:r w:rsidRPr="00361E15">
        <w:rPr>
          <w:szCs w:val="20"/>
        </w:rPr>
        <w:t xml:space="preserve">[In their capacities as </w:t>
      </w:r>
      <w:r w:rsidR="00F15AA8">
        <w:rPr>
          <w:szCs w:val="20"/>
        </w:rPr>
        <w:t>j</w:t>
      </w:r>
      <w:r w:rsidRPr="00361E15">
        <w:rPr>
          <w:szCs w:val="20"/>
        </w:rPr>
        <w:t xml:space="preserve">oint </w:t>
      </w:r>
      <w:r w:rsidR="00F15AA8">
        <w:rPr>
          <w:szCs w:val="20"/>
        </w:rPr>
        <w:t>t</w:t>
      </w:r>
      <w:r w:rsidRPr="00361E15">
        <w:rPr>
          <w:szCs w:val="20"/>
        </w:rPr>
        <w:t>rustees of the</w:t>
      </w:r>
      <w:r>
        <w:rPr>
          <w:szCs w:val="20"/>
        </w:rPr>
        <w:t xml:space="preserve"> </w:t>
      </w:r>
      <w:r w:rsidRPr="00361E15">
        <w:rPr>
          <w:szCs w:val="20"/>
        </w:rPr>
        <w:t>QWAHA TRUST</w:t>
      </w:r>
      <w:r w:rsidR="001D4E4A">
        <w:rPr>
          <w:szCs w:val="20"/>
        </w:rPr>
        <w:t>.</w:t>
      </w:r>
    </w:p>
    <w:p w:rsidR="005C6B1E" w:rsidRDefault="005C6B1E" w:rsidP="009938CE">
      <w:pPr>
        <w:pStyle w:val="FootnoteText"/>
        <w:rPr>
          <w:sz w:val="28"/>
        </w:rPr>
      </w:pPr>
      <w:r>
        <w:rPr>
          <w:szCs w:val="20"/>
        </w:rPr>
        <w:t xml:space="preserve">Master’s </w:t>
      </w:r>
      <w:r w:rsidR="00D87332">
        <w:rPr>
          <w:szCs w:val="20"/>
        </w:rPr>
        <w:t>reference number</w:t>
      </w:r>
      <w:r>
        <w:rPr>
          <w:szCs w:val="20"/>
        </w:rPr>
        <w:t>: IT1339/2005</w:t>
      </w:r>
      <w:r w:rsidRPr="00361E15">
        <w:rPr>
          <w:szCs w:val="20"/>
        </w:rPr>
        <w:t>]</w:t>
      </w:r>
    </w:p>
    <w:p w:rsidR="00E55488" w:rsidRPr="007F4A5F" w:rsidRDefault="007F4A5F" w:rsidP="00E55488">
      <w:pPr>
        <w:pStyle w:val="FootnoteText"/>
        <w:spacing w:line="360" w:lineRule="auto"/>
        <w:rPr>
          <w:sz w:val="28"/>
        </w:rPr>
      </w:pPr>
      <w:r w:rsidRPr="007F4A5F">
        <w:rPr>
          <w:sz w:val="28"/>
        </w:rPr>
        <w:t>a</w:t>
      </w:r>
      <w:r w:rsidR="004B57EB" w:rsidRPr="007F4A5F">
        <w:rPr>
          <w:sz w:val="28"/>
        </w:rPr>
        <w:t>nd</w:t>
      </w:r>
    </w:p>
    <w:p w:rsidR="00E55488" w:rsidRDefault="00E55488" w:rsidP="00E55488">
      <w:pPr>
        <w:pStyle w:val="FootnoteText"/>
        <w:spacing w:line="360" w:lineRule="auto"/>
        <w:rPr>
          <w:b/>
          <w:bCs/>
          <w:sz w:val="28"/>
        </w:rPr>
      </w:pPr>
    </w:p>
    <w:p w:rsidR="00361E15" w:rsidRDefault="004B57EB" w:rsidP="009938CE">
      <w:pPr>
        <w:pStyle w:val="FootnoteText"/>
        <w:rPr>
          <w:sz w:val="28"/>
        </w:rPr>
      </w:pPr>
      <w:r w:rsidRPr="004B57EB">
        <w:rPr>
          <w:b/>
          <w:bCs/>
          <w:sz w:val="28"/>
        </w:rPr>
        <w:t>ALFRED ZAKADE MTETWA</w:t>
      </w:r>
      <w:r w:rsidR="00361E15">
        <w:rPr>
          <w:b/>
          <w:bCs/>
          <w:sz w:val="28"/>
        </w:rPr>
        <w:t xml:space="preserve">                                   </w:t>
      </w:r>
      <w:r w:rsidR="00361E15" w:rsidRPr="00361E15">
        <w:rPr>
          <w:sz w:val="28"/>
        </w:rPr>
        <w:t>First Respondent</w:t>
      </w:r>
      <w:r w:rsidR="00DA3EAA">
        <w:rPr>
          <w:rStyle w:val="FootnoteReference"/>
          <w:sz w:val="28"/>
        </w:rPr>
        <w:footnoteReference w:id="3"/>
      </w:r>
    </w:p>
    <w:p w:rsidR="009938CE" w:rsidRPr="00361E15" w:rsidRDefault="004B57EB" w:rsidP="00A716F6">
      <w:pPr>
        <w:pStyle w:val="FootnoteText"/>
        <w:spacing w:line="360" w:lineRule="auto"/>
        <w:rPr>
          <w:sz w:val="28"/>
        </w:rPr>
      </w:pPr>
      <w:r w:rsidRPr="00361E15">
        <w:rPr>
          <w:szCs w:val="20"/>
        </w:rPr>
        <w:t xml:space="preserve">[Identity number: </w:t>
      </w:r>
      <w:r w:rsidR="00EB03B3">
        <w:rPr>
          <w:szCs w:val="20"/>
        </w:rPr>
        <w:t>[…]</w:t>
      </w:r>
      <w:r w:rsidRPr="00361E15">
        <w:rPr>
          <w:szCs w:val="20"/>
        </w:rPr>
        <w:t>]</w:t>
      </w:r>
    </w:p>
    <w:p w:rsidR="004B57EB" w:rsidRPr="00361E15" w:rsidRDefault="004B57EB" w:rsidP="00361E15">
      <w:pPr>
        <w:pStyle w:val="FootnoteText"/>
        <w:rPr>
          <w:b/>
          <w:bCs/>
          <w:sz w:val="28"/>
        </w:rPr>
      </w:pPr>
      <w:bookmarkStart w:id="3" w:name="_Hlk162339945"/>
      <w:r w:rsidRPr="004B57EB">
        <w:rPr>
          <w:b/>
          <w:bCs/>
          <w:sz w:val="28"/>
        </w:rPr>
        <w:t>ZINVONOX</w:t>
      </w:r>
      <w:bookmarkEnd w:id="3"/>
      <w:r w:rsidRPr="004B57EB">
        <w:rPr>
          <w:b/>
          <w:bCs/>
          <w:sz w:val="28"/>
        </w:rPr>
        <w:t xml:space="preserve"> (PTY) LTD</w:t>
      </w:r>
      <w:r w:rsidR="00361E15">
        <w:rPr>
          <w:b/>
          <w:bCs/>
          <w:sz w:val="28"/>
        </w:rPr>
        <w:t xml:space="preserve">                                          </w:t>
      </w:r>
      <w:r w:rsidR="00361E15" w:rsidRPr="00361E15">
        <w:rPr>
          <w:sz w:val="28"/>
        </w:rPr>
        <w:t>Second Respondent</w:t>
      </w:r>
      <w:r w:rsidR="00DA3EAA">
        <w:rPr>
          <w:rStyle w:val="FootnoteReference"/>
          <w:sz w:val="28"/>
        </w:rPr>
        <w:footnoteReference w:id="4"/>
      </w:r>
    </w:p>
    <w:p w:rsidR="004B57EB" w:rsidRPr="00361E15" w:rsidRDefault="004B57EB" w:rsidP="00361E15">
      <w:pPr>
        <w:pStyle w:val="FootnoteText"/>
        <w:spacing w:line="360" w:lineRule="auto"/>
        <w:rPr>
          <w:sz w:val="28"/>
        </w:rPr>
      </w:pPr>
      <w:r w:rsidRPr="00361E15">
        <w:rPr>
          <w:szCs w:val="20"/>
        </w:rPr>
        <w:t>[Registration number: 2018/329246/07]</w:t>
      </w:r>
    </w:p>
    <w:p w:rsidR="004B57EB" w:rsidRPr="00361E15" w:rsidRDefault="004B57EB" w:rsidP="00361E15">
      <w:pPr>
        <w:pStyle w:val="FootnoteText"/>
        <w:rPr>
          <w:b/>
          <w:bCs/>
          <w:sz w:val="28"/>
        </w:rPr>
      </w:pPr>
      <w:r w:rsidRPr="004B57EB">
        <w:rPr>
          <w:b/>
          <w:bCs/>
          <w:sz w:val="28"/>
        </w:rPr>
        <w:t>JOHANNES STEPHANUS OLIVIE</w:t>
      </w:r>
      <w:r w:rsidR="00A0525A">
        <w:rPr>
          <w:b/>
          <w:bCs/>
          <w:sz w:val="28"/>
        </w:rPr>
        <w:t>R</w:t>
      </w:r>
      <w:r w:rsidR="00361E15">
        <w:rPr>
          <w:b/>
          <w:bCs/>
          <w:sz w:val="28"/>
        </w:rPr>
        <w:t xml:space="preserve">                       </w:t>
      </w:r>
      <w:r w:rsidR="00361E15" w:rsidRPr="00361E15">
        <w:rPr>
          <w:sz w:val="28"/>
        </w:rPr>
        <w:t>Third Respondent</w:t>
      </w:r>
    </w:p>
    <w:p w:rsidR="0029765F" w:rsidRPr="004B57EB" w:rsidRDefault="004B57EB" w:rsidP="00704AFB">
      <w:pPr>
        <w:pStyle w:val="FootnoteText"/>
        <w:spacing w:line="360" w:lineRule="auto"/>
        <w:rPr>
          <w:b/>
          <w:bCs/>
          <w:sz w:val="28"/>
        </w:rPr>
      </w:pPr>
      <w:r w:rsidRPr="00361E15">
        <w:rPr>
          <w:szCs w:val="20"/>
        </w:rPr>
        <w:t>[</w:t>
      </w:r>
      <w:r w:rsidR="005C6B1E">
        <w:rPr>
          <w:szCs w:val="20"/>
        </w:rPr>
        <w:t>I</w:t>
      </w:r>
      <w:r w:rsidR="005C6B1E" w:rsidRPr="00361E15">
        <w:rPr>
          <w:szCs w:val="20"/>
        </w:rPr>
        <w:t>dentity</w:t>
      </w:r>
      <w:r w:rsidRPr="00361E15">
        <w:rPr>
          <w:szCs w:val="20"/>
        </w:rPr>
        <w:t xml:space="preserve"> number: </w:t>
      </w:r>
      <w:r w:rsidR="00EB03B3">
        <w:rPr>
          <w:szCs w:val="20"/>
        </w:rPr>
        <w:t>[…]</w:t>
      </w:r>
      <w:bookmarkStart w:id="4" w:name="_GoBack"/>
      <w:bookmarkEnd w:id="4"/>
      <w:r w:rsidRPr="00361E15">
        <w:rPr>
          <w:szCs w:val="20"/>
        </w:rPr>
        <w:t>]</w:t>
      </w:r>
    </w:p>
    <w:p w:rsidR="0029765F" w:rsidRDefault="00D02024" w:rsidP="00861F20">
      <w:pPr>
        <w:spacing w:line="360" w:lineRule="auto"/>
        <w:ind w:left="1440" w:hanging="1440"/>
        <w:rPr>
          <w:b/>
          <w:bCs/>
        </w:rPr>
      </w:pPr>
      <w:r>
        <w:rPr>
          <w:b/>
          <w:bCs/>
        </w:rPr>
        <w:t>___________________________________________________________</w:t>
      </w:r>
    </w:p>
    <w:p w:rsidR="0029765F" w:rsidRDefault="0029765F" w:rsidP="00861F20">
      <w:pPr>
        <w:spacing w:line="360" w:lineRule="auto"/>
        <w:ind w:left="1440" w:hanging="1440"/>
        <w:rPr>
          <w:b/>
          <w:bCs/>
        </w:rPr>
      </w:pPr>
    </w:p>
    <w:p w:rsidR="00944ABC" w:rsidRPr="00373426" w:rsidRDefault="00944ABC" w:rsidP="00861F20">
      <w:pPr>
        <w:spacing w:line="360" w:lineRule="auto"/>
        <w:ind w:left="1440" w:hanging="1440"/>
        <w:rPr>
          <w:b/>
          <w:bCs/>
          <w:i/>
          <w:iCs/>
        </w:rPr>
      </w:pPr>
      <w:r w:rsidRPr="00373426">
        <w:rPr>
          <w:b/>
          <w:bCs/>
        </w:rPr>
        <w:t>Coram:</w:t>
      </w:r>
      <w:r w:rsidR="008E79D5" w:rsidRPr="00373426">
        <w:tab/>
      </w:r>
      <w:r w:rsidR="007C646C">
        <w:t xml:space="preserve">M </w:t>
      </w:r>
      <w:proofErr w:type="spellStart"/>
      <w:r w:rsidR="007C646C">
        <w:t>Opperman</w:t>
      </w:r>
      <w:proofErr w:type="spellEnd"/>
      <w:r w:rsidR="007C646C">
        <w:t xml:space="preserve"> </w:t>
      </w:r>
      <w:r w:rsidR="00704AFB">
        <w:t>J</w:t>
      </w:r>
    </w:p>
    <w:p w:rsidR="00944ABC" w:rsidRPr="00373426" w:rsidRDefault="00944ABC" w:rsidP="00861F20">
      <w:pPr>
        <w:spacing w:line="360" w:lineRule="auto"/>
        <w:rPr>
          <w:b/>
          <w:bCs/>
        </w:rPr>
      </w:pPr>
      <w:r w:rsidRPr="00373426">
        <w:rPr>
          <w:b/>
          <w:bCs/>
        </w:rPr>
        <w:t>Heard</w:t>
      </w:r>
      <w:r w:rsidRPr="00373426">
        <w:t>:</w:t>
      </w:r>
      <w:r w:rsidRPr="00373426">
        <w:tab/>
      </w:r>
      <w:r w:rsidR="007C646C">
        <w:t>25 January 2024</w:t>
      </w:r>
      <w:r w:rsidR="007C646C" w:rsidRPr="00373426">
        <w:t xml:space="preserve"> </w:t>
      </w:r>
    </w:p>
    <w:p w:rsidR="00E75F8E" w:rsidRDefault="00E75F8E" w:rsidP="00E75F8E">
      <w:pPr>
        <w:spacing w:line="360" w:lineRule="auto"/>
        <w:ind w:left="1440" w:hanging="1440"/>
      </w:pPr>
      <w:r w:rsidRPr="00E75F8E">
        <w:rPr>
          <w:b/>
          <w:bCs/>
        </w:rPr>
        <w:t>Delivered:</w:t>
      </w:r>
      <w:r>
        <w:t xml:space="preserve"> </w:t>
      </w:r>
      <w:r>
        <w:tab/>
      </w:r>
      <w:r w:rsidR="00A9072C">
        <w:t>4</w:t>
      </w:r>
      <w:r w:rsidR="007C646C">
        <w:t xml:space="preserve"> April </w:t>
      </w:r>
      <w:r w:rsidR="009C30E9">
        <w:t>2024</w:t>
      </w:r>
      <w:r>
        <w:t xml:space="preserve">. This judgment was handed down in court and electronically by circulation to the parties’ legal representatives </w:t>
      </w:r>
      <w:r w:rsidRPr="00373F27">
        <w:rPr>
          <w:i/>
          <w:iCs/>
        </w:rPr>
        <w:t>via</w:t>
      </w:r>
      <w:r>
        <w:t xml:space="preserve"> email and release to SAFLII on </w:t>
      </w:r>
      <w:r w:rsidR="00A9072C">
        <w:t>4</w:t>
      </w:r>
      <w:r w:rsidR="000B690C">
        <w:t xml:space="preserve"> April</w:t>
      </w:r>
      <w:r>
        <w:t xml:space="preserve"> 2024. The date and time of hand-down is deemed to be 15h00 on </w:t>
      </w:r>
      <w:r w:rsidR="00A9072C">
        <w:t>4</w:t>
      </w:r>
      <w:r w:rsidR="000B690C">
        <w:t xml:space="preserve"> April</w:t>
      </w:r>
      <w:r>
        <w:t xml:space="preserve"> 2024</w:t>
      </w:r>
    </w:p>
    <w:p w:rsidR="002666BC" w:rsidRDefault="00E75F8E" w:rsidP="00E75F8E">
      <w:pPr>
        <w:spacing w:line="360" w:lineRule="auto"/>
        <w:ind w:left="1440" w:hanging="1440"/>
      </w:pPr>
      <w:r w:rsidRPr="00E75F8E">
        <w:rPr>
          <w:b/>
          <w:bCs/>
        </w:rPr>
        <w:t>Summary:</w:t>
      </w:r>
      <w:r>
        <w:t xml:space="preserve"> </w:t>
      </w:r>
      <w:r>
        <w:tab/>
      </w:r>
      <w:r w:rsidR="000B7D90" w:rsidRPr="00F36CE2">
        <w:rPr>
          <w:i/>
          <w:iCs/>
        </w:rPr>
        <w:t xml:space="preserve">In </w:t>
      </w:r>
      <w:proofErr w:type="spellStart"/>
      <w:r w:rsidR="000B7D90" w:rsidRPr="00F36CE2">
        <w:rPr>
          <w:i/>
          <w:iCs/>
        </w:rPr>
        <w:t>limine</w:t>
      </w:r>
      <w:proofErr w:type="spellEnd"/>
      <w:r w:rsidR="000B7D90">
        <w:t xml:space="preserve"> – </w:t>
      </w:r>
      <w:r w:rsidR="00F36CE2">
        <w:t>r</w:t>
      </w:r>
      <w:r w:rsidR="007C646C">
        <w:t>eplying</w:t>
      </w:r>
      <w:r w:rsidR="000B7D90">
        <w:t xml:space="preserve"> </w:t>
      </w:r>
      <w:proofErr w:type="gramStart"/>
      <w:r w:rsidR="007C646C">
        <w:t>affidavit</w:t>
      </w:r>
      <w:r w:rsidR="003421EA">
        <w:t>s</w:t>
      </w:r>
      <w:r>
        <w:t xml:space="preserve"> </w:t>
      </w:r>
      <w:r w:rsidR="000B7D90">
        <w:t xml:space="preserve"> </w:t>
      </w:r>
      <w:r>
        <w:t>–</w:t>
      </w:r>
      <w:proofErr w:type="gramEnd"/>
      <w:r>
        <w:t xml:space="preserve"> </w:t>
      </w:r>
      <w:r w:rsidR="007C646C">
        <w:t>condonation for late filing</w:t>
      </w:r>
      <w:r>
        <w:t xml:space="preserve"> – </w:t>
      </w:r>
      <w:r w:rsidR="007C646C">
        <w:t>new case in reply</w:t>
      </w:r>
    </w:p>
    <w:p w:rsidR="00944ABC" w:rsidRPr="00373426" w:rsidRDefault="002666BC" w:rsidP="002666BC">
      <w:pPr>
        <w:spacing w:line="360" w:lineRule="auto"/>
        <w:ind w:left="1440" w:hanging="1440"/>
      </w:pPr>
      <w:r>
        <w:br w:type="page"/>
      </w:r>
      <w:r w:rsidR="00DA139D">
        <w:rPr>
          <w:noProof/>
          <w:lang w:val="en-ZA" w:eastAsia="en-ZA"/>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0" cy="0"/>
                <wp:effectExtent l="9525" t="10160" r="952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1C81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"/>
            </w:pict>
          </mc:Fallback>
        </mc:AlternateContent>
      </w:r>
      <w:r w:rsidR="0029765F">
        <w:t>___________________________________________________________</w:t>
      </w:r>
    </w:p>
    <w:p w:rsidR="0029765F" w:rsidRDefault="0029765F" w:rsidP="0029765F">
      <w:pPr>
        <w:pStyle w:val="Heading3"/>
        <w:spacing w:line="240" w:lineRule="auto"/>
        <w:rPr>
          <w:sz w:val="28"/>
          <w:szCs w:val="28"/>
          <w:lang w:val="en-GB"/>
        </w:rPr>
      </w:pPr>
    </w:p>
    <w:p w:rsidR="00944ABC" w:rsidRDefault="00944ABC" w:rsidP="00861F20">
      <w:pPr>
        <w:pStyle w:val="Heading3"/>
        <w:spacing w:line="360" w:lineRule="auto"/>
        <w:rPr>
          <w:sz w:val="28"/>
          <w:szCs w:val="28"/>
          <w:lang w:val="en-GB"/>
        </w:rPr>
      </w:pPr>
      <w:r w:rsidRPr="00373426">
        <w:rPr>
          <w:sz w:val="28"/>
          <w:szCs w:val="28"/>
          <w:lang w:val="en-GB"/>
        </w:rPr>
        <w:t>ORDER</w:t>
      </w:r>
    </w:p>
    <w:p w:rsidR="0029765F" w:rsidRPr="0029765F" w:rsidRDefault="0029765F" w:rsidP="0029765F">
      <w:r>
        <w:t>___________________________________________________________</w:t>
      </w:r>
    </w:p>
    <w:p w:rsidR="008F05D2" w:rsidRDefault="00DA139D" w:rsidP="00DA139D">
      <w:pPr>
        <w:spacing w:line="360" w:lineRule="auto"/>
        <w:ind w:left="720" w:hanging="720"/>
      </w:pPr>
      <w:r>
        <w:t>1.</w:t>
      </w:r>
      <w:r>
        <w:tab/>
      </w:r>
      <w:r w:rsidR="008F05D2">
        <w:t>The applications for the condonation of the late filing of the replying affidavits in both cases with number</w:t>
      </w:r>
      <w:r w:rsidR="0055068C">
        <w:t>s</w:t>
      </w:r>
      <w:r w:rsidR="008F05D2">
        <w:t xml:space="preserve"> 4542/2023 and 4543/</w:t>
      </w:r>
      <w:r w:rsidR="004A440B">
        <w:t>2</w:t>
      </w:r>
      <w:r w:rsidR="008F05D2">
        <w:t>023 are denied with costs.</w:t>
      </w:r>
    </w:p>
    <w:p w:rsidR="008F05D2" w:rsidRDefault="00DA139D" w:rsidP="00DA139D">
      <w:pPr>
        <w:spacing w:line="360" w:lineRule="auto"/>
        <w:ind w:left="720" w:hanging="720"/>
      </w:pPr>
      <w:r>
        <w:t>2.</w:t>
      </w:r>
      <w:r>
        <w:tab/>
      </w:r>
      <w:r w:rsidR="008F05D2">
        <w:t>The applicants are granted leave in both cases to set the matter</w:t>
      </w:r>
      <w:r w:rsidR="001020DC">
        <w:t>s</w:t>
      </w:r>
      <w:r w:rsidR="008F05D2">
        <w:t xml:space="preserve"> down for hearing of the merits</w:t>
      </w:r>
      <w:r w:rsidR="00EA66A8">
        <w:t xml:space="preserve"> in the main applications</w:t>
      </w:r>
      <w:r w:rsidR="008F05D2">
        <w:t>.</w:t>
      </w:r>
    </w:p>
    <w:p w:rsidR="00944ABC" w:rsidRPr="00373426" w:rsidRDefault="0029765F" w:rsidP="00861F20">
      <w:pPr>
        <w:spacing w:line="360" w:lineRule="auto"/>
        <w:rPr>
          <w:bCs/>
        </w:rPr>
      </w:pPr>
      <w:r>
        <w:rPr>
          <w:bCs/>
        </w:rPr>
        <w:t>__________________________________________________________</w:t>
      </w:r>
    </w:p>
    <w:p w:rsidR="0029765F" w:rsidRDefault="0029765F" w:rsidP="0029765F">
      <w:pPr>
        <w:pStyle w:val="Heading1"/>
        <w:spacing w:line="240" w:lineRule="auto"/>
        <w:rPr>
          <w:szCs w:val="32"/>
          <w:lang w:val="en-GB"/>
        </w:rPr>
      </w:pPr>
    </w:p>
    <w:p w:rsidR="00944ABC" w:rsidRDefault="00944ABC" w:rsidP="00861F20">
      <w:pPr>
        <w:pStyle w:val="Heading1"/>
        <w:spacing w:line="360" w:lineRule="auto"/>
        <w:rPr>
          <w:szCs w:val="32"/>
          <w:lang w:val="en-GB"/>
        </w:rPr>
      </w:pPr>
      <w:r w:rsidRPr="00373426">
        <w:rPr>
          <w:szCs w:val="32"/>
          <w:lang w:val="en-GB"/>
        </w:rPr>
        <w:t>JUDGMENT</w:t>
      </w:r>
    </w:p>
    <w:p w:rsidR="0029765F" w:rsidRPr="0029765F" w:rsidRDefault="0029765F" w:rsidP="0029765F">
      <w:pPr>
        <w:spacing w:line="240" w:lineRule="auto"/>
      </w:pPr>
      <w:r>
        <w:t>___________________________________________________________</w:t>
      </w:r>
    </w:p>
    <w:p w:rsidR="00944ABC" w:rsidRPr="00373426" w:rsidRDefault="00944ABC" w:rsidP="00861F20">
      <w:pPr>
        <w:spacing w:line="360" w:lineRule="auto"/>
      </w:pPr>
    </w:p>
    <w:p w:rsidR="00F121FE" w:rsidRPr="00F121FE" w:rsidRDefault="00E75F8E" w:rsidP="00F121FE">
      <w:pPr>
        <w:spacing w:line="360" w:lineRule="auto"/>
        <w:rPr>
          <w:b/>
        </w:rPr>
      </w:pPr>
      <w:proofErr w:type="spellStart"/>
      <w:r>
        <w:rPr>
          <w:b/>
        </w:rPr>
        <w:t>Opperman</w:t>
      </w:r>
      <w:proofErr w:type="spellEnd"/>
      <w:r>
        <w:rPr>
          <w:b/>
        </w:rPr>
        <w:t xml:space="preserve"> J</w:t>
      </w:r>
    </w:p>
    <w:p w:rsidR="00E32D57" w:rsidRDefault="00DA139D" w:rsidP="00DA139D">
      <w:pPr>
        <w:spacing w:line="360" w:lineRule="auto"/>
        <w:ind w:left="720" w:hanging="720"/>
      </w:pPr>
      <w:r>
        <w:t>[1]</w:t>
      </w:r>
      <w:r>
        <w:tab/>
      </w:r>
      <w:r w:rsidR="00E32D57" w:rsidRPr="00E32D57">
        <w:t xml:space="preserve">The rules </w:t>
      </w:r>
      <w:r w:rsidR="00E32D57">
        <w:t>in litigation “</w:t>
      </w:r>
      <w:r w:rsidR="00E32D57" w:rsidRPr="00E32D57">
        <w:t>act as anchors in the tides of injustice, to keep the principles of law afloat.</w:t>
      </w:r>
      <w:r w:rsidR="00E32D57">
        <w:t>”</w:t>
      </w:r>
      <w:r w:rsidR="00E32D57">
        <w:rPr>
          <w:rStyle w:val="FootnoteReference"/>
        </w:rPr>
        <w:footnoteReference w:id="5"/>
      </w:r>
      <w:r w:rsidR="0052316A">
        <w:t xml:space="preserve"> More real is that court orders must be complied with. </w:t>
      </w:r>
      <w:r w:rsidR="002D1AA6">
        <w:t xml:space="preserve">The judicial authority in our democracy </w:t>
      </w:r>
      <w:r w:rsidR="00A34745">
        <w:t>that is vested in the c</w:t>
      </w:r>
      <w:r w:rsidR="0010032B">
        <w:t>ourts</w:t>
      </w:r>
      <w:r w:rsidR="00A34745">
        <w:t>,</w:t>
      </w:r>
      <w:r w:rsidR="0010032B">
        <w:t xml:space="preserve"> may not be</w:t>
      </w:r>
      <w:r w:rsidR="002D1AA6">
        <w:t>come</w:t>
      </w:r>
      <w:r w:rsidR="0010032B">
        <w:t xml:space="preserve"> </w:t>
      </w:r>
      <w:r w:rsidR="0010032B" w:rsidRPr="0010032B">
        <w:t>ineffect</w:t>
      </w:r>
      <w:r w:rsidR="000E42EE">
        <w:t>ive</w:t>
      </w:r>
      <w:r w:rsidR="0010032B" w:rsidRPr="0010032B">
        <w:t>.</w:t>
      </w:r>
    </w:p>
    <w:p w:rsidR="00E32D57" w:rsidRDefault="00E32D57" w:rsidP="002B1980">
      <w:pPr>
        <w:ind w:left="720"/>
      </w:pPr>
    </w:p>
    <w:p w:rsidR="00104A33" w:rsidRDefault="00DA139D" w:rsidP="00DA139D">
      <w:pPr>
        <w:spacing w:line="360" w:lineRule="auto"/>
        <w:ind w:left="720" w:hanging="720"/>
      </w:pPr>
      <w:r>
        <w:t>[2]</w:t>
      </w:r>
      <w:r>
        <w:tab/>
      </w:r>
      <w:r w:rsidR="00F121FE">
        <w:t>The consternation, conflict and costs that non-compliance with court orders and the rules of court have caused in civil litigation have become a menace in the administration of justice. It affects justice and pollutes the sanctimony of the Rule of Law.</w:t>
      </w:r>
      <w:r w:rsidR="003855BD">
        <w:t xml:space="preserve"> </w:t>
      </w:r>
    </w:p>
    <w:p w:rsidR="00104A33" w:rsidRDefault="00104A33" w:rsidP="00104A33">
      <w:pPr>
        <w:pStyle w:val="ListParagraph"/>
      </w:pPr>
    </w:p>
    <w:p w:rsidR="00442A55" w:rsidRDefault="00DA139D" w:rsidP="00DA139D">
      <w:pPr>
        <w:spacing w:line="360" w:lineRule="auto"/>
        <w:ind w:left="720" w:hanging="720"/>
      </w:pPr>
      <w:r>
        <w:lastRenderedPageBreak/>
        <w:t>[3]</w:t>
      </w:r>
      <w:r>
        <w:tab/>
      </w:r>
      <w:r w:rsidR="00E50727">
        <w:t>The ease with which court orders are ignored by litigants and counsel alike</w:t>
      </w:r>
      <w:r w:rsidR="00940899">
        <w:t>,</w:t>
      </w:r>
      <w:r w:rsidR="00E50727">
        <w:t xml:space="preserve"> and the Uniform Rules of Court just disregarded</w:t>
      </w:r>
      <w:r w:rsidR="00940899">
        <w:t>,</w:t>
      </w:r>
      <w:r w:rsidR="00E50727">
        <w:t xml:space="preserve"> is </w:t>
      </w:r>
      <w:r w:rsidR="005B4C99">
        <w:t>astounding</w:t>
      </w:r>
      <w:r w:rsidR="00E50727">
        <w:t xml:space="preserve">. </w:t>
      </w:r>
      <w:r w:rsidR="00A962A6">
        <w:t xml:space="preserve">In the </w:t>
      </w:r>
      <w:r w:rsidR="00F05448">
        <w:t>meanwhile,</w:t>
      </w:r>
      <w:r w:rsidR="00A962A6">
        <w:t xml:space="preserve"> the justice system battle</w:t>
      </w:r>
      <w:r w:rsidR="00EA3FE0">
        <w:t>s</w:t>
      </w:r>
      <w:r w:rsidR="00A962A6">
        <w:t xml:space="preserve"> to maintain veracity because t</w:t>
      </w:r>
      <w:r w:rsidR="00442A55">
        <w:t>he</w:t>
      </w:r>
      <w:r w:rsidR="00E50727">
        <w:t xml:space="preserve"> </w:t>
      </w:r>
      <w:r w:rsidR="00442A55">
        <w:t xml:space="preserve">layperson cannot fathom the delays and the astronomical costs that makes access to justice unreachable. </w:t>
      </w:r>
      <w:r w:rsidR="00104A33">
        <w:t xml:space="preserve">The Constitutional Court remarked </w:t>
      </w:r>
      <w:r w:rsidR="00506A49">
        <w:t xml:space="preserve">in </w:t>
      </w:r>
      <w:proofErr w:type="spellStart"/>
      <w:r w:rsidR="00506A49" w:rsidRPr="00506A49">
        <w:rPr>
          <w:i/>
          <w:iCs/>
        </w:rPr>
        <w:t>Grootboom</w:t>
      </w:r>
      <w:proofErr w:type="spellEnd"/>
      <w:r w:rsidR="00506A49" w:rsidRPr="00506A49">
        <w:rPr>
          <w:i/>
          <w:iCs/>
        </w:rPr>
        <w:t xml:space="preserve"> v National Prosecuting Authority and Another</w:t>
      </w:r>
      <w:r w:rsidR="00506A49" w:rsidRPr="00506A49">
        <w:t xml:space="preserve"> (C696/08) [2009] ZALCCT 15 (18 December 2009)</w:t>
      </w:r>
      <w:r w:rsidR="00506A49">
        <w:t xml:space="preserve"> </w:t>
      </w:r>
      <w:r w:rsidR="00104A33">
        <w:t>that:</w:t>
      </w:r>
    </w:p>
    <w:p w:rsidR="00442A55" w:rsidRDefault="00104A33" w:rsidP="00104A33">
      <w:pPr>
        <w:pStyle w:val="ListParagraph"/>
        <w:spacing w:line="360" w:lineRule="auto"/>
        <w:ind w:left="1440" w:hanging="720"/>
        <w:rPr>
          <w:sz w:val="24"/>
          <w:szCs w:val="24"/>
        </w:rPr>
      </w:pPr>
      <w:r w:rsidRPr="00104A33">
        <w:rPr>
          <w:sz w:val="24"/>
          <w:szCs w:val="24"/>
        </w:rPr>
        <w:t>[21]</w:t>
      </w:r>
      <w:r w:rsidRPr="00104A33">
        <w:rPr>
          <w:sz w:val="24"/>
          <w:szCs w:val="24"/>
        </w:rPr>
        <w:tab/>
        <w:t>The failure by parties to comply with the rules of court or directions is not of recent origin.</w:t>
      </w:r>
      <w:r w:rsidR="00506A49">
        <w:rPr>
          <w:sz w:val="24"/>
          <w:szCs w:val="24"/>
        </w:rPr>
        <w:t xml:space="preserve"> </w:t>
      </w:r>
      <w:r w:rsidRPr="00104A33">
        <w:rPr>
          <w:sz w:val="24"/>
          <w:szCs w:val="24"/>
        </w:rPr>
        <w:t>Non-compliance has bedevilled our courts at various levels for a long time.  Even this Court has not been spared the irritation and inconvenience flowing from a failure by parties to abide by the Rules of this Court.</w:t>
      </w:r>
    </w:p>
    <w:p w:rsidR="00104A33" w:rsidRPr="00104A33" w:rsidRDefault="00104A33" w:rsidP="00104A33">
      <w:pPr>
        <w:pStyle w:val="ListParagraph"/>
        <w:ind w:left="1440" w:hanging="720"/>
      </w:pPr>
    </w:p>
    <w:p w:rsidR="0058661E" w:rsidRDefault="00DA139D" w:rsidP="00DA139D">
      <w:pPr>
        <w:spacing w:line="360" w:lineRule="auto"/>
        <w:ind w:left="720" w:hanging="720"/>
      </w:pPr>
      <w:r>
        <w:t>[4]</w:t>
      </w:r>
      <w:r>
        <w:tab/>
      </w:r>
      <w:r w:rsidR="0058661E">
        <w:t>Courts have regarded this scourge of non-compliance with such disdain that the following was ruled</w:t>
      </w:r>
      <w:r w:rsidR="0058661E" w:rsidRPr="00000003">
        <w:t xml:space="preserve"> </w:t>
      </w:r>
      <w:r w:rsidR="0058661E">
        <w:t xml:space="preserve">in </w:t>
      </w:r>
      <w:proofErr w:type="spellStart"/>
      <w:r w:rsidR="0058661E" w:rsidRPr="00104A33">
        <w:rPr>
          <w:i/>
          <w:iCs/>
        </w:rPr>
        <w:t>Collett</w:t>
      </w:r>
      <w:proofErr w:type="spellEnd"/>
      <w:r w:rsidR="0058661E" w:rsidRPr="00104A33">
        <w:rPr>
          <w:i/>
          <w:iCs/>
        </w:rPr>
        <w:t xml:space="preserve"> v Commission for Conciliation, Mediation and Arbitration </w:t>
      </w:r>
      <w:r w:rsidR="0058661E" w:rsidRPr="00104A33">
        <w:t>(2014) 6 BLLR 523 (LAC)</w:t>
      </w:r>
      <w:r w:rsidR="0058661E">
        <w:t xml:space="preserve"> in a unanimous judgment of the Labour Appeal Court, wherein </w:t>
      </w:r>
      <w:proofErr w:type="spellStart"/>
      <w:r w:rsidR="0058661E">
        <w:t>Musi</w:t>
      </w:r>
      <w:proofErr w:type="spellEnd"/>
      <w:r w:rsidR="0058661E">
        <w:t xml:space="preserve"> AJA held as follows:</w:t>
      </w:r>
    </w:p>
    <w:p w:rsidR="00EA3FE0" w:rsidRPr="00EA3FE0" w:rsidRDefault="00EA3FE0" w:rsidP="00EA3FE0">
      <w:pPr>
        <w:spacing w:line="360" w:lineRule="auto"/>
        <w:ind w:left="1530" w:hanging="810"/>
        <w:rPr>
          <w:sz w:val="24"/>
          <w:szCs w:val="24"/>
        </w:rPr>
      </w:pPr>
      <w:r w:rsidRPr="00EA3FE0">
        <w:rPr>
          <w:sz w:val="24"/>
          <w:szCs w:val="24"/>
        </w:rPr>
        <w:t xml:space="preserve">[38] </w:t>
      </w:r>
      <w:r>
        <w:rPr>
          <w:sz w:val="24"/>
          <w:szCs w:val="24"/>
        </w:rPr>
        <w:tab/>
      </w:r>
      <w:r w:rsidRPr="00EA3FE0">
        <w:rPr>
          <w:sz w:val="24"/>
          <w:szCs w:val="24"/>
        </w:rPr>
        <w:t xml:space="preserve">There are overwhelming precedents in this Court, the Supreme Court of Appeal and the Constitutional Court for the proposition that where there is a flagrant or gross failure to comply with the rules of court condonation may be refused without considering the prospects of success. In </w:t>
      </w:r>
      <w:r w:rsidRPr="00267F43">
        <w:rPr>
          <w:i/>
          <w:iCs/>
          <w:sz w:val="24"/>
          <w:szCs w:val="24"/>
        </w:rPr>
        <w:t xml:space="preserve">NUM v Council for Mineral </w:t>
      </w:r>
      <w:r w:rsidR="00267F43" w:rsidRPr="00267F43">
        <w:rPr>
          <w:i/>
          <w:iCs/>
          <w:sz w:val="24"/>
          <w:szCs w:val="24"/>
        </w:rPr>
        <w:t>Technology,</w:t>
      </w:r>
      <w:r w:rsidRPr="00EA3FE0">
        <w:rPr>
          <w:sz w:val="24"/>
          <w:szCs w:val="24"/>
        </w:rPr>
        <w:t xml:space="preserve"> it was pointed out that in considering whether good cause has been shown the well-known approach adopted in </w:t>
      </w:r>
      <w:proofErr w:type="spellStart"/>
      <w:r w:rsidRPr="00883AC5">
        <w:rPr>
          <w:i/>
          <w:iCs/>
          <w:sz w:val="24"/>
          <w:szCs w:val="24"/>
        </w:rPr>
        <w:t>Melane</w:t>
      </w:r>
      <w:proofErr w:type="spellEnd"/>
      <w:r w:rsidRPr="00883AC5">
        <w:rPr>
          <w:i/>
          <w:iCs/>
          <w:sz w:val="24"/>
          <w:szCs w:val="24"/>
        </w:rPr>
        <w:t xml:space="preserve"> v </w:t>
      </w:r>
      <w:proofErr w:type="spellStart"/>
      <w:r w:rsidRPr="00883AC5">
        <w:rPr>
          <w:i/>
          <w:iCs/>
          <w:sz w:val="24"/>
          <w:szCs w:val="24"/>
        </w:rPr>
        <w:t>Santam</w:t>
      </w:r>
      <w:proofErr w:type="spellEnd"/>
      <w:r w:rsidRPr="00883AC5">
        <w:rPr>
          <w:i/>
          <w:iCs/>
          <w:sz w:val="24"/>
          <w:szCs w:val="24"/>
        </w:rPr>
        <w:t xml:space="preserve"> Insurance Co Ltd</w:t>
      </w:r>
      <w:r w:rsidRPr="00EA3FE0">
        <w:rPr>
          <w:sz w:val="24"/>
          <w:szCs w:val="24"/>
        </w:rPr>
        <w:t xml:space="preserve"> 1962</w:t>
      </w:r>
      <w:r w:rsidR="00D00F76">
        <w:rPr>
          <w:sz w:val="24"/>
          <w:szCs w:val="24"/>
        </w:rPr>
        <w:t xml:space="preserve"> </w:t>
      </w:r>
      <w:r w:rsidRPr="00EA3FE0">
        <w:rPr>
          <w:sz w:val="24"/>
          <w:szCs w:val="24"/>
        </w:rPr>
        <w:t>(4) SA 53</w:t>
      </w:r>
      <w:r w:rsidR="00883AC5">
        <w:rPr>
          <w:sz w:val="24"/>
          <w:szCs w:val="24"/>
        </w:rPr>
        <w:t xml:space="preserve">1 </w:t>
      </w:r>
      <w:r w:rsidRPr="00EA3FE0">
        <w:rPr>
          <w:sz w:val="24"/>
          <w:szCs w:val="24"/>
        </w:rPr>
        <w:t>(A) at 532(C-D) should be followed but:</w:t>
      </w:r>
    </w:p>
    <w:p w:rsidR="00EA3FE0" w:rsidRPr="00EA3FE0" w:rsidRDefault="00EA3FE0" w:rsidP="00EA3FE0">
      <w:pPr>
        <w:spacing w:line="360" w:lineRule="auto"/>
        <w:ind w:left="1530" w:hanging="810"/>
        <w:rPr>
          <w:sz w:val="24"/>
          <w:szCs w:val="24"/>
        </w:rPr>
      </w:pPr>
    </w:p>
    <w:p w:rsidR="00EA3FE0" w:rsidRPr="00EA3FE0" w:rsidRDefault="00EA3FE0" w:rsidP="00EA3FE0">
      <w:pPr>
        <w:spacing w:line="360" w:lineRule="auto"/>
        <w:ind w:left="1530" w:hanging="810"/>
        <w:rPr>
          <w:sz w:val="24"/>
          <w:szCs w:val="24"/>
        </w:rPr>
      </w:pPr>
    </w:p>
    <w:p w:rsidR="00EA3FE0" w:rsidRPr="00EA3FE0" w:rsidRDefault="00EA3FE0" w:rsidP="00EA3FE0">
      <w:pPr>
        <w:spacing w:line="360" w:lineRule="auto"/>
        <w:ind w:left="1530" w:hanging="90"/>
        <w:rPr>
          <w:sz w:val="24"/>
          <w:szCs w:val="24"/>
        </w:rPr>
      </w:pPr>
      <w:r w:rsidRPr="00EA3FE0">
        <w:rPr>
          <w:sz w:val="24"/>
          <w:szCs w:val="24"/>
        </w:rPr>
        <w:lastRenderedPageBreak/>
        <w:t xml:space="preserve">‘(T)here is a further principle which is applied and that is that without a reasonable and acceptable explanation for the delay, the prospects of success are immaterial, and without good prospects of success, no matter how good the explanation for the delay, an application for condonation should be refused.’ </w:t>
      </w:r>
    </w:p>
    <w:p w:rsidR="0058661E" w:rsidRDefault="00EA3FE0" w:rsidP="00EA3FE0">
      <w:pPr>
        <w:spacing w:line="360" w:lineRule="auto"/>
        <w:ind w:left="1530" w:hanging="810"/>
        <w:rPr>
          <w:sz w:val="24"/>
          <w:szCs w:val="24"/>
        </w:rPr>
      </w:pPr>
      <w:r w:rsidRPr="00EA3FE0">
        <w:rPr>
          <w:sz w:val="24"/>
          <w:szCs w:val="24"/>
        </w:rPr>
        <w:t xml:space="preserve">[39] </w:t>
      </w:r>
      <w:r>
        <w:rPr>
          <w:sz w:val="24"/>
          <w:szCs w:val="24"/>
        </w:rPr>
        <w:tab/>
      </w:r>
      <w:r w:rsidRPr="00EA3FE0">
        <w:rPr>
          <w:sz w:val="24"/>
          <w:szCs w:val="24"/>
        </w:rPr>
        <w:t xml:space="preserve">The submission that the court </w:t>
      </w:r>
      <w:r w:rsidRPr="00883AC5">
        <w:rPr>
          <w:i/>
          <w:iCs/>
          <w:sz w:val="24"/>
          <w:szCs w:val="24"/>
        </w:rPr>
        <w:t>a quo</w:t>
      </w:r>
      <w:r w:rsidRPr="00EA3FE0">
        <w:rPr>
          <w:sz w:val="24"/>
          <w:szCs w:val="24"/>
        </w:rPr>
        <w:t xml:space="preserve"> had to consider the prospects of success irrespective of the unsatisfactory and unacceptable explanation for the gross and flagrant disregard of the rules is without merit.</w:t>
      </w:r>
    </w:p>
    <w:p w:rsidR="00EA3FE0" w:rsidRPr="00EA3FE0" w:rsidRDefault="00EA3FE0" w:rsidP="00EA3FE0">
      <w:pPr>
        <w:ind w:left="1530" w:hanging="810"/>
        <w:rPr>
          <w:lang w:val="en-US"/>
        </w:rPr>
      </w:pPr>
    </w:p>
    <w:p w:rsidR="00D755BE" w:rsidRDefault="00DA139D" w:rsidP="00DA139D">
      <w:pPr>
        <w:spacing w:line="360" w:lineRule="auto"/>
        <w:ind w:left="720" w:hanging="720"/>
      </w:pPr>
      <w:r>
        <w:t>[5]</w:t>
      </w:r>
      <w:r>
        <w:tab/>
      </w:r>
      <w:r w:rsidR="002427FD">
        <w:t xml:space="preserve">It is common cause </w:t>
      </w:r>
      <w:r w:rsidR="00292505">
        <w:t xml:space="preserve">in </w:t>
      </w:r>
      <w:proofErr w:type="spellStart"/>
      <w:r w:rsidR="00292505" w:rsidRPr="00292505">
        <w:rPr>
          <w:i/>
          <w:iCs/>
        </w:rPr>
        <w:t>casu</w:t>
      </w:r>
      <w:proofErr w:type="spellEnd"/>
      <w:r w:rsidR="00292505">
        <w:t xml:space="preserve"> </w:t>
      </w:r>
      <w:r w:rsidR="002427FD">
        <w:t xml:space="preserve">that the applicants </w:t>
      </w:r>
      <w:r w:rsidR="00AB1521">
        <w:t>did not comply with</w:t>
      </w:r>
      <w:r w:rsidR="002427FD">
        <w:t xml:space="preserve"> a court order</w:t>
      </w:r>
      <w:r w:rsidR="009C749F">
        <w:t xml:space="preserve"> of this court</w:t>
      </w:r>
      <w:r w:rsidR="009C713A">
        <w:t xml:space="preserve"> pertaining to the filing of the replying affidavits</w:t>
      </w:r>
      <w:r w:rsidR="002427FD">
        <w:t xml:space="preserve">. </w:t>
      </w:r>
      <w:r w:rsidR="00D755BE">
        <w:t>This judgment</w:t>
      </w:r>
      <w:r w:rsidR="00D73F62">
        <w:t>,</w:t>
      </w:r>
      <w:r w:rsidR="00D755BE">
        <w:t xml:space="preserve"> </w:t>
      </w:r>
      <w:r w:rsidR="00003591">
        <w:t>as result</w:t>
      </w:r>
      <w:r w:rsidR="00D73F62">
        <w:t>,</w:t>
      </w:r>
      <w:r w:rsidR="00003591">
        <w:t xml:space="preserve"> </w:t>
      </w:r>
      <w:r w:rsidR="00D755BE">
        <w:t xml:space="preserve">turns on the admissibility of the replying affidavits by the applicants on the late filing </w:t>
      </w:r>
      <w:r w:rsidR="00AD3BCA">
        <w:t xml:space="preserve">thereof </w:t>
      </w:r>
      <w:r w:rsidR="00D755BE">
        <w:t>and</w:t>
      </w:r>
      <w:r w:rsidR="00443A07">
        <w:t xml:space="preserve"> in addition,</w:t>
      </w:r>
      <w:r w:rsidR="00D755BE">
        <w:t xml:space="preserve"> the evidence contained therein </w:t>
      </w:r>
      <w:r w:rsidR="00443A07">
        <w:t xml:space="preserve">is </w:t>
      </w:r>
      <w:r w:rsidR="00D755BE">
        <w:t>alleged to be of the nature of a “new case in reply”.</w:t>
      </w:r>
      <w:r w:rsidR="00D755BE">
        <w:rPr>
          <w:rStyle w:val="FootnoteReference"/>
        </w:rPr>
        <w:footnoteReference w:id="6"/>
      </w:r>
      <w:r w:rsidR="00D755BE">
        <w:t xml:space="preserve"> </w:t>
      </w:r>
    </w:p>
    <w:p w:rsidR="002427FD" w:rsidRDefault="002427FD" w:rsidP="002427FD">
      <w:pPr>
        <w:ind w:left="720"/>
      </w:pPr>
    </w:p>
    <w:p w:rsidR="00D755BE" w:rsidRDefault="00DA139D" w:rsidP="00DA139D">
      <w:pPr>
        <w:spacing w:line="360" w:lineRule="auto"/>
        <w:ind w:left="720" w:hanging="720"/>
      </w:pPr>
      <w:r>
        <w:t>[6]</w:t>
      </w:r>
      <w:r>
        <w:tab/>
      </w:r>
      <w:r w:rsidR="00D755BE">
        <w:t xml:space="preserve">The main applications are based on a liquidation application and a judgment application. </w:t>
      </w:r>
    </w:p>
    <w:p w:rsidR="002B0877" w:rsidRDefault="002B0877" w:rsidP="00506A49"/>
    <w:p w:rsidR="00D755BE" w:rsidRDefault="00DA139D" w:rsidP="00DA139D">
      <w:pPr>
        <w:spacing w:line="360" w:lineRule="auto"/>
        <w:ind w:left="720" w:hanging="720"/>
      </w:pPr>
      <w:r>
        <w:t>[7]</w:t>
      </w:r>
      <w:r>
        <w:tab/>
      </w:r>
      <w:r w:rsidR="00D755BE">
        <w:t xml:space="preserve">The case appeared on the </w:t>
      </w:r>
      <w:proofErr w:type="spellStart"/>
      <w:r w:rsidR="00D755BE">
        <w:t>roll</w:t>
      </w:r>
      <w:proofErr w:type="spellEnd"/>
      <w:r w:rsidR="00D755BE">
        <w:t xml:space="preserve"> of this court for the first time in the unopposed motion court on 21 September 2023. It became opposed and the following order followed:</w:t>
      </w:r>
    </w:p>
    <w:p w:rsidR="00D755BE" w:rsidRPr="00EE79C5" w:rsidRDefault="00D755BE" w:rsidP="00D755BE">
      <w:pPr>
        <w:spacing w:line="360" w:lineRule="auto"/>
        <w:ind w:left="720"/>
        <w:rPr>
          <w:sz w:val="24"/>
          <w:szCs w:val="24"/>
        </w:rPr>
      </w:pPr>
      <w:r w:rsidRPr="00EE79C5">
        <w:rPr>
          <w:sz w:val="24"/>
          <w:szCs w:val="24"/>
        </w:rPr>
        <w:t>IT IS ORDERED THAT: (By agreement between all parties)</w:t>
      </w:r>
    </w:p>
    <w:p w:rsidR="00D755BE" w:rsidRPr="00EE79C5" w:rsidRDefault="00D755BE" w:rsidP="00D755BE">
      <w:pPr>
        <w:spacing w:line="360" w:lineRule="auto"/>
        <w:ind w:left="1440" w:hanging="720"/>
        <w:rPr>
          <w:sz w:val="24"/>
          <w:szCs w:val="24"/>
        </w:rPr>
      </w:pPr>
      <w:r w:rsidRPr="00EE79C5">
        <w:rPr>
          <w:sz w:val="24"/>
          <w:szCs w:val="24"/>
        </w:rPr>
        <w:t xml:space="preserve">1. </w:t>
      </w:r>
      <w:r w:rsidRPr="00EE79C5">
        <w:rPr>
          <w:sz w:val="24"/>
          <w:szCs w:val="24"/>
        </w:rPr>
        <w:tab/>
        <w:t>The Application is postponed to the Opposed Motion Roll of the 16th of November 2023.</w:t>
      </w:r>
    </w:p>
    <w:p w:rsidR="00D755BE" w:rsidRPr="00EE79C5" w:rsidRDefault="00D755BE" w:rsidP="00D755BE">
      <w:pPr>
        <w:spacing w:line="360" w:lineRule="auto"/>
        <w:ind w:left="1440" w:hanging="720"/>
        <w:rPr>
          <w:sz w:val="24"/>
          <w:szCs w:val="24"/>
        </w:rPr>
      </w:pPr>
      <w:r w:rsidRPr="00EE79C5">
        <w:rPr>
          <w:sz w:val="24"/>
          <w:szCs w:val="24"/>
        </w:rPr>
        <w:t xml:space="preserve">2. </w:t>
      </w:r>
      <w:r w:rsidRPr="00EE79C5">
        <w:rPr>
          <w:sz w:val="24"/>
          <w:szCs w:val="24"/>
        </w:rPr>
        <w:tab/>
        <w:t>With regards to the 1st Respondent:</w:t>
      </w:r>
    </w:p>
    <w:p w:rsidR="00D755BE" w:rsidRPr="00EE79C5" w:rsidRDefault="00D755BE" w:rsidP="00D755BE">
      <w:pPr>
        <w:spacing w:line="360" w:lineRule="auto"/>
        <w:ind w:left="2160" w:hanging="720"/>
        <w:rPr>
          <w:sz w:val="24"/>
          <w:szCs w:val="24"/>
        </w:rPr>
      </w:pPr>
      <w:r w:rsidRPr="00EE79C5">
        <w:rPr>
          <w:sz w:val="24"/>
          <w:szCs w:val="24"/>
        </w:rPr>
        <w:lastRenderedPageBreak/>
        <w:t xml:space="preserve">2.1 </w:t>
      </w:r>
      <w:r w:rsidRPr="00EE79C5">
        <w:rPr>
          <w:sz w:val="24"/>
          <w:szCs w:val="24"/>
        </w:rPr>
        <w:tab/>
        <w:t>The 1st Respondent to file their Opposing Affidavit on or before the 13th of October 2023.</w:t>
      </w:r>
    </w:p>
    <w:p w:rsidR="00D755BE" w:rsidRPr="0061452E" w:rsidRDefault="00D755BE" w:rsidP="00D755BE">
      <w:pPr>
        <w:spacing w:line="360" w:lineRule="auto"/>
        <w:ind w:left="2160" w:hanging="720"/>
        <w:rPr>
          <w:sz w:val="24"/>
          <w:szCs w:val="24"/>
        </w:rPr>
      </w:pPr>
      <w:r w:rsidRPr="00EE79C5">
        <w:rPr>
          <w:sz w:val="24"/>
          <w:szCs w:val="24"/>
        </w:rPr>
        <w:t xml:space="preserve">2.2 </w:t>
      </w:r>
      <w:r w:rsidRPr="00EE79C5">
        <w:rPr>
          <w:sz w:val="24"/>
          <w:szCs w:val="24"/>
        </w:rPr>
        <w:tab/>
      </w:r>
      <w:r w:rsidRPr="0061452E">
        <w:rPr>
          <w:sz w:val="24"/>
          <w:szCs w:val="24"/>
          <w:u w:val="single"/>
        </w:rPr>
        <w:t>The Applicants to file their Replying Affidavit on or before the 27th of October 2023.</w:t>
      </w:r>
      <w:r w:rsidR="0061452E">
        <w:rPr>
          <w:sz w:val="24"/>
          <w:szCs w:val="24"/>
        </w:rPr>
        <w:t xml:space="preserve"> (Accentuation added)</w:t>
      </w:r>
    </w:p>
    <w:p w:rsidR="00D755BE" w:rsidRPr="00EE79C5" w:rsidRDefault="00D755BE" w:rsidP="00D755BE">
      <w:pPr>
        <w:spacing w:line="360" w:lineRule="auto"/>
        <w:ind w:left="1440" w:hanging="720"/>
        <w:rPr>
          <w:sz w:val="24"/>
          <w:szCs w:val="24"/>
        </w:rPr>
      </w:pPr>
      <w:r w:rsidRPr="00EE79C5">
        <w:rPr>
          <w:sz w:val="24"/>
          <w:szCs w:val="24"/>
        </w:rPr>
        <w:t xml:space="preserve">3. </w:t>
      </w:r>
      <w:r w:rsidRPr="00EE79C5">
        <w:rPr>
          <w:sz w:val="24"/>
          <w:szCs w:val="24"/>
        </w:rPr>
        <w:tab/>
        <w:t>With regards to the 2nd and 3rd Respondent:</w:t>
      </w:r>
    </w:p>
    <w:p w:rsidR="00D755BE" w:rsidRPr="00EE79C5" w:rsidRDefault="00D755BE" w:rsidP="00D755BE">
      <w:pPr>
        <w:spacing w:line="360" w:lineRule="auto"/>
        <w:ind w:left="2160" w:hanging="720"/>
        <w:rPr>
          <w:sz w:val="24"/>
          <w:szCs w:val="24"/>
        </w:rPr>
      </w:pPr>
      <w:r w:rsidRPr="00EE79C5">
        <w:rPr>
          <w:sz w:val="24"/>
          <w:szCs w:val="24"/>
        </w:rPr>
        <w:t xml:space="preserve">3.1 </w:t>
      </w:r>
      <w:r w:rsidRPr="00EE79C5">
        <w:rPr>
          <w:sz w:val="24"/>
          <w:szCs w:val="24"/>
        </w:rPr>
        <w:tab/>
        <w:t>The 2nd and 3rd Respondents to file their Opposing Affidavits on or before the 13th of October 2023.</w:t>
      </w:r>
    </w:p>
    <w:p w:rsidR="00D755BE" w:rsidRPr="0061452E" w:rsidRDefault="00D755BE" w:rsidP="00D755BE">
      <w:pPr>
        <w:spacing w:line="360" w:lineRule="auto"/>
        <w:ind w:left="2160" w:hanging="720"/>
        <w:rPr>
          <w:sz w:val="24"/>
          <w:szCs w:val="24"/>
        </w:rPr>
      </w:pPr>
      <w:r w:rsidRPr="00EE79C5">
        <w:rPr>
          <w:sz w:val="24"/>
          <w:szCs w:val="24"/>
        </w:rPr>
        <w:t xml:space="preserve">3.2 </w:t>
      </w:r>
      <w:r w:rsidRPr="00EE79C5">
        <w:rPr>
          <w:sz w:val="24"/>
          <w:szCs w:val="24"/>
        </w:rPr>
        <w:tab/>
      </w:r>
      <w:r w:rsidRPr="0061452E">
        <w:rPr>
          <w:sz w:val="24"/>
          <w:szCs w:val="24"/>
          <w:u w:val="single"/>
        </w:rPr>
        <w:t>The Applicants to file their Replying Affidavit on or before the 27th of October 2023.</w:t>
      </w:r>
      <w:r w:rsidR="0061452E">
        <w:rPr>
          <w:sz w:val="24"/>
          <w:szCs w:val="24"/>
        </w:rPr>
        <w:t xml:space="preserve"> (Accentuation added)</w:t>
      </w:r>
    </w:p>
    <w:p w:rsidR="00D755BE" w:rsidRPr="00EE79C5" w:rsidRDefault="00D755BE" w:rsidP="00D755BE">
      <w:pPr>
        <w:spacing w:line="360" w:lineRule="auto"/>
        <w:ind w:left="1440" w:hanging="720"/>
        <w:rPr>
          <w:sz w:val="24"/>
          <w:szCs w:val="24"/>
        </w:rPr>
      </w:pPr>
      <w:r w:rsidRPr="00EE79C5">
        <w:rPr>
          <w:sz w:val="24"/>
          <w:szCs w:val="24"/>
        </w:rPr>
        <w:t xml:space="preserve">4. </w:t>
      </w:r>
      <w:r w:rsidRPr="00EE79C5">
        <w:rPr>
          <w:sz w:val="24"/>
          <w:szCs w:val="24"/>
        </w:rPr>
        <w:tab/>
        <w:t>Costs to be costs in the Suit.</w:t>
      </w:r>
    </w:p>
    <w:p w:rsidR="00D755BE" w:rsidRPr="00EE79C5" w:rsidRDefault="00D755BE" w:rsidP="00D755BE">
      <w:pPr>
        <w:ind w:left="1440" w:hanging="720"/>
      </w:pPr>
    </w:p>
    <w:p w:rsidR="00D755BE" w:rsidRDefault="00DA139D" w:rsidP="00DA139D">
      <w:pPr>
        <w:spacing w:line="360" w:lineRule="auto"/>
        <w:ind w:left="720" w:hanging="720"/>
      </w:pPr>
      <w:r>
        <w:t>[8]</w:t>
      </w:r>
      <w:r>
        <w:tab/>
      </w:r>
      <w:r w:rsidR="00D755BE">
        <w:t xml:space="preserve">The court order was complied with but for the applicants that </w:t>
      </w:r>
      <w:r w:rsidR="00242E15">
        <w:t xml:space="preserve">simply </w:t>
      </w:r>
      <w:r w:rsidR="00D755BE">
        <w:t>did not file their replying affidavits on the 27</w:t>
      </w:r>
      <w:r w:rsidR="00D755BE" w:rsidRPr="00F71966">
        <w:rPr>
          <w:vertAlign w:val="superscript"/>
        </w:rPr>
        <w:t>th</w:t>
      </w:r>
      <w:r w:rsidR="00D755BE">
        <w:t xml:space="preserve"> of October 2023</w:t>
      </w:r>
      <w:r w:rsidR="001A13E5">
        <w:t>.</w:t>
      </w:r>
      <w:r w:rsidR="00D755BE">
        <w:t xml:space="preserve"> The matter was postponed to 25 January 2024 by agreement between the parties on 16 November 2023. </w:t>
      </w:r>
      <w:r w:rsidR="00A962A6">
        <w:t>The case could have been finalised on 16 November 2023.</w:t>
      </w:r>
    </w:p>
    <w:p w:rsidR="00D755BE" w:rsidRDefault="00D755BE" w:rsidP="00D755BE">
      <w:pPr>
        <w:ind w:left="720"/>
      </w:pPr>
    </w:p>
    <w:p w:rsidR="00D755BE" w:rsidRDefault="00DA139D" w:rsidP="00DA139D">
      <w:pPr>
        <w:spacing w:line="360" w:lineRule="auto"/>
        <w:ind w:left="720" w:hanging="720"/>
      </w:pPr>
      <w:r>
        <w:t>[9]</w:t>
      </w:r>
      <w:r>
        <w:tab/>
      </w:r>
      <w:r w:rsidR="00D755BE">
        <w:t xml:space="preserve">On 6 December 2023 the applicants served and filed their replying affidavit in respect of the liquidation application. In addition, the applicants also served and filed their replying affidavit in respect of the answering affidavit of Mr. </w:t>
      </w:r>
      <w:proofErr w:type="spellStart"/>
      <w:r w:rsidR="00D755BE">
        <w:t>Mtetwa</w:t>
      </w:r>
      <w:proofErr w:type="spellEnd"/>
      <w:r w:rsidR="00D755BE">
        <w:t xml:space="preserve"> in the judgment application as well as their replying affidavit to the answering affidavit of </w:t>
      </w:r>
      <w:proofErr w:type="spellStart"/>
      <w:r w:rsidR="00D755BE">
        <w:t>Zinvonox</w:t>
      </w:r>
      <w:proofErr w:type="spellEnd"/>
      <w:r w:rsidR="00D755BE">
        <w:t xml:space="preserve"> and Mr. Olivier in the judgment application</w:t>
      </w:r>
      <w:r w:rsidR="00A54533">
        <w:t xml:space="preserve"> on 6 December 2023</w:t>
      </w:r>
      <w:r w:rsidR="00D755BE">
        <w:t xml:space="preserve">. </w:t>
      </w:r>
    </w:p>
    <w:p w:rsidR="00D755BE" w:rsidRDefault="00D755BE" w:rsidP="00D755BE">
      <w:pPr>
        <w:pStyle w:val="ListParagraph"/>
      </w:pPr>
    </w:p>
    <w:p w:rsidR="00D755BE" w:rsidRDefault="00DA139D" w:rsidP="00DA139D">
      <w:pPr>
        <w:spacing w:line="360" w:lineRule="auto"/>
        <w:ind w:left="720" w:hanging="720"/>
      </w:pPr>
      <w:r>
        <w:t>[10]</w:t>
      </w:r>
      <w:r>
        <w:tab/>
      </w:r>
      <w:r w:rsidR="00D755BE">
        <w:t xml:space="preserve">Each replying affidavit also seek condonation for the late filing thereof. </w:t>
      </w:r>
    </w:p>
    <w:p w:rsidR="00D755BE" w:rsidRDefault="00D755BE" w:rsidP="00D755BE"/>
    <w:p w:rsidR="00D755BE" w:rsidRDefault="00DA139D" w:rsidP="00DA139D">
      <w:pPr>
        <w:spacing w:line="360" w:lineRule="auto"/>
        <w:ind w:left="720" w:hanging="720"/>
      </w:pPr>
      <w:r>
        <w:lastRenderedPageBreak/>
        <w:t>[11]</w:t>
      </w:r>
      <w:r>
        <w:tab/>
      </w:r>
      <w:r w:rsidR="00D755BE">
        <w:t xml:space="preserve">The condonation applications are opposed by the </w:t>
      </w:r>
      <w:r w:rsidR="0034197C">
        <w:t>c</w:t>
      </w:r>
      <w:r w:rsidR="00D755BE">
        <w:t xml:space="preserve">ompany and Mr. </w:t>
      </w:r>
      <w:proofErr w:type="spellStart"/>
      <w:r w:rsidR="00D755BE">
        <w:t>Mtetwa</w:t>
      </w:r>
      <w:proofErr w:type="spellEnd"/>
      <w:r w:rsidR="00D755BE">
        <w:t xml:space="preserve">. It is also the case </w:t>
      </w:r>
      <w:r w:rsidR="003421EA">
        <w:t>for</w:t>
      </w:r>
      <w:r w:rsidR="00D755BE">
        <w:t xml:space="preserve"> all the respondents that the replying papers that are </w:t>
      </w:r>
      <w:r w:rsidR="0062171D">
        <w:t>“</w:t>
      </w:r>
      <w:r w:rsidR="00D755BE">
        <w:t>in excess of 400 pages”</w:t>
      </w:r>
      <w:r w:rsidR="000A18C8">
        <w:rPr>
          <w:rStyle w:val="FootnoteReference"/>
        </w:rPr>
        <w:footnoteReference w:id="7"/>
      </w:r>
      <w:r w:rsidR="006F0D53">
        <w:t xml:space="preserve"> make out </w:t>
      </w:r>
      <w:r w:rsidR="00173DBD">
        <w:t>a</w:t>
      </w:r>
      <w:r w:rsidR="006F0D53">
        <w:t xml:space="preserve"> </w:t>
      </w:r>
      <w:r w:rsidR="00737DF1">
        <w:t xml:space="preserve">new </w:t>
      </w:r>
      <w:r w:rsidR="006F0D53">
        <w:t>case in reply</w:t>
      </w:r>
      <w:r w:rsidR="00D755BE">
        <w:t>:</w:t>
      </w:r>
    </w:p>
    <w:p w:rsidR="006F0D53" w:rsidRPr="006F0D53" w:rsidRDefault="006F0D53" w:rsidP="006F0D53">
      <w:pPr>
        <w:pStyle w:val="ListParagraph"/>
        <w:spacing w:line="360" w:lineRule="auto"/>
        <w:ind w:left="1440" w:hanging="720"/>
        <w:rPr>
          <w:sz w:val="24"/>
          <w:szCs w:val="24"/>
        </w:rPr>
      </w:pPr>
      <w:r w:rsidRPr="006F0D53">
        <w:rPr>
          <w:sz w:val="24"/>
          <w:szCs w:val="24"/>
        </w:rPr>
        <w:t xml:space="preserve">2.2 </w:t>
      </w:r>
      <w:r>
        <w:rPr>
          <w:sz w:val="24"/>
          <w:szCs w:val="24"/>
        </w:rPr>
        <w:tab/>
      </w:r>
      <w:r w:rsidRPr="006F0D53">
        <w:rPr>
          <w:sz w:val="24"/>
          <w:szCs w:val="24"/>
        </w:rPr>
        <w:t xml:space="preserve">In </w:t>
      </w:r>
      <w:proofErr w:type="spellStart"/>
      <w:r w:rsidRPr="00B86925">
        <w:rPr>
          <w:i/>
          <w:iCs/>
          <w:sz w:val="24"/>
          <w:szCs w:val="24"/>
        </w:rPr>
        <w:t>casu</w:t>
      </w:r>
      <w:proofErr w:type="spellEnd"/>
      <w:r w:rsidRPr="006F0D53">
        <w:rPr>
          <w:sz w:val="24"/>
          <w:szCs w:val="24"/>
        </w:rPr>
        <w:t xml:space="preserve"> the application for condonation is opposed.</w:t>
      </w:r>
    </w:p>
    <w:p w:rsidR="006F0D53" w:rsidRPr="006F0D53" w:rsidRDefault="006F0D53" w:rsidP="006F0D53">
      <w:pPr>
        <w:pStyle w:val="ListParagraph"/>
        <w:spacing w:line="360" w:lineRule="auto"/>
        <w:ind w:left="1440" w:hanging="720"/>
        <w:rPr>
          <w:sz w:val="24"/>
          <w:szCs w:val="24"/>
        </w:rPr>
      </w:pPr>
      <w:r w:rsidRPr="006F0D53">
        <w:rPr>
          <w:sz w:val="24"/>
          <w:szCs w:val="24"/>
        </w:rPr>
        <w:t xml:space="preserve">2.3 </w:t>
      </w:r>
      <w:r>
        <w:rPr>
          <w:sz w:val="24"/>
          <w:szCs w:val="24"/>
        </w:rPr>
        <w:tab/>
      </w:r>
      <w:r w:rsidRPr="006F0D53">
        <w:rPr>
          <w:sz w:val="24"/>
          <w:szCs w:val="24"/>
        </w:rPr>
        <w:t>It is clear from the replying affidavit that the Applicants intends to make out its case in reply. It didn't do so in the founding papers.</w:t>
      </w:r>
    </w:p>
    <w:p w:rsidR="006F0D53" w:rsidRPr="0055068C" w:rsidRDefault="00DA139D" w:rsidP="00DA139D">
      <w:pPr>
        <w:pStyle w:val="ListParagraph"/>
        <w:spacing w:line="360" w:lineRule="auto"/>
        <w:ind w:left="1440" w:hanging="720"/>
        <w:rPr>
          <w:sz w:val="24"/>
          <w:szCs w:val="24"/>
        </w:rPr>
      </w:pPr>
      <w:r w:rsidRPr="0055068C">
        <w:rPr>
          <w:sz w:val="24"/>
          <w:szCs w:val="24"/>
        </w:rPr>
        <w:t>2.4</w:t>
      </w:r>
      <w:r w:rsidRPr="0055068C">
        <w:rPr>
          <w:sz w:val="24"/>
          <w:szCs w:val="24"/>
        </w:rPr>
        <w:tab/>
      </w:r>
      <w:r w:rsidR="006F0D53" w:rsidRPr="0055068C">
        <w:rPr>
          <w:sz w:val="24"/>
          <w:szCs w:val="24"/>
        </w:rPr>
        <w:t>The Respondents obviously did not have the opportunity of answering any of these allegations as it is for the first time raised in reply.</w:t>
      </w:r>
      <w:r w:rsidR="006F0D53" w:rsidRPr="0055068C">
        <w:rPr>
          <w:sz w:val="24"/>
          <w:szCs w:val="24"/>
        </w:rPr>
        <w:t> </w:t>
      </w:r>
      <w:r w:rsidR="006F0D53" w:rsidRPr="0055068C">
        <w:rPr>
          <w:sz w:val="24"/>
          <w:szCs w:val="24"/>
        </w:rPr>
        <w:t xml:space="preserve"> </w:t>
      </w:r>
    </w:p>
    <w:p w:rsidR="006F0D53" w:rsidRPr="0055068C" w:rsidRDefault="00DA139D" w:rsidP="00DA139D">
      <w:pPr>
        <w:pStyle w:val="ListParagraph"/>
        <w:spacing w:line="360" w:lineRule="auto"/>
        <w:ind w:left="1440" w:hanging="720"/>
        <w:rPr>
          <w:sz w:val="24"/>
          <w:szCs w:val="24"/>
        </w:rPr>
      </w:pPr>
      <w:r w:rsidRPr="0055068C">
        <w:rPr>
          <w:sz w:val="24"/>
          <w:szCs w:val="24"/>
        </w:rPr>
        <w:t>2.5</w:t>
      </w:r>
      <w:r w:rsidRPr="0055068C">
        <w:rPr>
          <w:sz w:val="24"/>
          <w:szCs w:val="24"/>
        </w:rPr>
        <w:tab/>
      </w:r>
      <w:r w:rsidR="006F0D53" w:rsidRPr="0055068C">
        <w:rPr>
          <w:sz w:val="24"/>
          <w:szCs w:val="24"/>
        </w:rPr>
        <w:t>The Applicants should have made out its proper case in its founding papers to enable the Respondents to answer thereto.</w:t>
      </w:r>
    </w:p>
    <w:p w:rsidR="006F0D53" w:rsidRPr="006F0D53" w:rsidRDefault="006F0D53" w:rsidP="006F0D53">
      <w:pPr>
        <w:pStyle w:val="ListParagraph"/>
        <w:spacing w:line="360" w:lineRule="auto"/>
        <w:ind w:left="1440" w:hanging="720"/>
        <w:rPr>
          <w:sz w:val="24"/>
          <w:szCs w:val="24"/>
        </w:rPr>
      </w:pPr>
      <w:r w:rsidRPr="006F0D53">
        <w:rPr>
          <w:sz w:val="24"/>
          <w:szCs w:val="24"/>
        </w:rPr>
        <w:t xml:space="preserve">2.6 </w:t>
      </w:r>
      <w:r>
        <w:rPr>
          <w:sz w:val="24"/>
          <w:szCs w:val="24"/>
        </w:rPr>
        <w:tab/>
      </w:r>
      <w:r w:rsidRPr="006F0D53">
        <w:rPr>
          <w:sz w:val="24"/>
          <w:szCs w:val="24"/>
        </w:rPr>
        <w:t>It is trite that it is expected of an applicant to stand or fall by its founding papers.</w:t>
      </w:r>
    </w:p>
    <w:p w:rsidR="00D755BE" w:rsidRPr="00B86925" w:rsidRDefault="006F0D53" w:rsidP="006F0D53">
      <w:pPr>
        <w:pStyle w:val="ListParagraph"/>
        <w:spacing w:line="360" w:lineRule="auto"/>
        <w:ind w:left="1440" w:hanging="720"/>
      </w:pPr>
      <w:r w:rsidRPr="006F0D53">
        <w:rPr>
          <w:sz w:val="24"/>
          <w:szCs w:val="24"/>
        </w:rPr>
        <w:t xml:space="preserve">2.7 </w:t>
      </w:r>
      <w:r>
        <w:rPr>
          <w:sz w:val="24"/>
          <w:szCs w:val="24"/>
        </w:rPr>
        <w:tab/>
      </w:r>
      <w:r w:rsidRPr="00B86925">
        <w:rPr>
          <w:sz w:val="24"/>
          <w:szCs w:val="24"/>
          <w:u w:val="single"/>
        </w:rPr>
        <w:t>The Applicants, on realizing that they had to put new facts before Court,</w:t>
      </w:r>
      <w:r w:rsidR="00B86925" w:rsidRPr="00B86925">
        <w:rPr>
          <w:sz w:val="24"/>
          <w:szCs w:val="24"/>
          <w:u w:val="single"/>
        </w:rPr>
        <w:t xml:space="preserve"> </w:t>
      </w:r>
      <w:r w:rsidRPr="00B86925">
        <w:rPr>
          <w:sz w:val="24"/>
          <w:szCs w:val="24"/>
          <w:u w:val="single"/>
        </w:rPr>
        <w:t>could easily have withdrawn its applications and issued new applications properly motivated to allow the Respondents to answer thereto. It preferred not to do so, but rather make out its case in the replying papers and then request the Trial Court to grant condonation averring that there is no prejudice for the Respondents. The prejudice is clear, with respect in my submission for all to see</w:t>
      </w:r>
      <w:r w:rsidRPr="00B86925">
        <w:rPr>
          <w:sz w:val="24"/>
          <w:szCs w:val="24"/>
        </w:rPr>
        <w:t>.</w:t>
      </w:r>
      <w:r w:rsidR="00D755BE" w:rsidRPr="00B86925">
        <w:rPr>
          <w:rStyle w:val="FootnoteReference"/>
          <w:sz w:val="24"/>
          <w:szCs w:val="24"/>
        </w:rPr>
        <w:footnoteReference w:id="8"/>
      </w:r>
      <w:r w:rsidR="00B86925" w:rsidRPr="00B86925">
        <w:rPr>
          <w:sz w:val="24"/>
          <w:szCs w:val="24"/>
        </w:rPr>
        <w:t xml:space="preserve"> (Accentuation added)</w:t>
      </w:r>
    </w:p>
    <w:p w:rsidR="00D755BE" w:rsidRPr="00387CFA" w:rsidRDefault="00D755BE" w:rsidP="00D755BE">
      <w:pPr>
        <w:pStyle w:val="ListParagraph"/>
        <w:spacing w:line="360" w:lineRule="auto"/>
        <w:ind w:left="1440" w:hanging="720"/>
      </w:pPr>
      <w:r>
        <w:t>and</w:t>
      </w:r>
    </w:p>
    <w:p w:rsidR="00D755BE" w:rsidRDefault="00D755BE" w:rsidP="00D755BE">
      <w:pPr>
        <w:pStyle w:val="ListParagraph"/>
        <w:spacing w:line="360" w:lineRule="auto"/>
        <w:ind w:left="1440" w:hanging="720"/>
        <w:rPr>
          <w:sz w:val="24"/>
          <w:szCs w:val="24"/>
        </w:rPr>
      </w:pPr>
      <w:r w:rsidRPr="00387CFA">
        <w:rPr>
          <w:sz w:val="24"/>
          <w:szCs w:val="24"/>
        </w:rPr>
        <w:t>2.1</w:t>
      </w:r>
      <w:r w:rsidRPr="00387CFA">
        <w:rPr>
          <w:sz w:val="24"/>
          <w:szCs w:val="24"/>
        </w:rPr>
        <w:tab/>
        <w:t xml:space="preserve">The Applicants </w:t>
      </w:r>
      <w:r w:rsidR="00491EB1">
        <w:rPr>
          <w:sz w:val="24"/>
          <w:szCs w:val="24"/>
        </w:rPr>
        <w:t xml:space="preserve">that </w:t>
      </w:r>
      <w:r w:rsidRPr="00387CFA">
        <w:rPr>
          <w:sz w:val="24"/>
          <w:szCs w:val="24"/>
        </w:rPr>
        <w:t xml:space="preserve">filed a replying affidavit set out new facts, such facts are not contained within the founding affidavit. I submit that the Second and Third Respondent are precluded and prejudiced from answering </w:t>
      </w:r>
      <w:r>
        <w:rPr>
          <w:sz w:val="24"/>
          <w:szCs w:val="24"/>
        </w:rPr>
        <w:t xml:space="preserve">and </w:t>
      </w:r>
      <w:r>
        <w:rPr>
          <w:sz w:val="24"/>
          <w:szCs w:val="24"/>
        </w:rPr>
        <w:lastRenderedPageBreak/>
        <w:t>challenging the validity of such allegations as it is not included and stated with in the founding affidavit.</w:t>
      </w:r>
      <w:r>
        <w:rPr>
          <w:rStyle w:val="FootnoteReference"/>
          <w:sz w:val="24"/>
          <w:szCs w:val="24"/>
        </w:rPr>
        <w:footnoteReference w:id="9"/>
      </w:r>
    </w:p>
    <w:p w:rsidR="003421EA" w:rsidRDefault="003421EA" w:rsidP="003421EA">
      <w:pPr>
        <w:pStyle w:val="ListParagraph"/>
        <w:ind w:left="1440" w:hanging="720"/>
        <w:rPr>
          <w:sz w:val="24"/>
          <w:szCs w:val="24"/>
        </w:rPr>
      </w:pPr>
    </w:p>
    <w:p w:rsidR="00D755BE" w:rsidRDefault="00DA139D" w:rsidP="00DA139D">
      <w:pPr>
        <w:spacing w:line="360" w:lineRule="auto"/>
        <w:ind w:left="720" w:hanging="720"/>
      </w:pPr>
      <w:r>
        <w:t>[12]</w:t>
      </w:r>
      <w:r>
        <w:tab/>
      </w:r>
      <w:r w:rsidR="00D755BE">
        <w:t xml:space="preserve">As the hearing </w:t>
      </w:r>
      <w:r w:rsidR="006A7C7A">
        <w:t>evolved</w:t>
      </w:r>
      <w:r w:rsidR="00D755BE">
        <w:t xml:space="preserve"> on the 25</w:t>
      </w:r>
      <w:r w:rsidR="00D755BE" w:rsidRPr="00DF176F">
        <w:rPr>
          <w:vertAlign w:val="superscript"/>
        </w:rPr>
        <w:t>th</w:t>
      </w:r>
      <w:r w:rsidR="00D755BE">
        <w:t xml:space="preserve"> of January 2024 the parties agreed that the issue of the replying affidavits must be disposed of and adjudicated upon before the merits</w:t>
      </w:r>
      <w:r w:rsidR="00491EB1">
        <w:t xml:space="preserve"> in the main applications</w:t>
      </w:r>
      <w:r w:rsidR="00D755BE">
        <w:t xml:space="preserve"> can be argued. There was consensus on the fact that notwithstanding the ruling on the replying affidavit</w:t>
      </w:r>
      <w:r w:rsidR="004342A5">
        <w:t>s</w:t>
      </w:r>
      <w:r w:rsidR="00D755BE">
        <w:t>, the matter</w:t>
      </w:r>
      <w:r w:rsidR="0051151E">
        <w:t>s</w:t>
      </w:r>
      <w:r w:rsidR="00D755BE">
        <w:t xml:space="preserve"> will still be heard on the merits at a later stage. The court did order </w:t>
      </w:r>
      <w:r w:rsidR="00DB738B">
        <w:t>as such</w:t>
      </w:r>
      <w:r w:rsidR="00D755BE">
        <w:t xml:space="preserve"> before the </w:t>
      </w:r>
      <w:r w:rsidR="0051151E">
        <w:t>proceedings</w:t>
      </w:r>
      <w:r w:rsidR="00D755BE">
        <w:t xml:space="preserve"> stood down for judgment. </w:t>
      </w:r>
    </w:p>
    <w:p w:rsidR="00A30473" w:rsidRDefault="00A30473" w:rsidP="00A30473">
      <w:pPr>
        <w:ind w:left="720"/>
      </w:pPr>
    </w:p>
    <w:p w:rsidR="00D003D6" w:rsidRDefault="00DA139D" w:rsidP="00DA139D">
      <w:pPr>
        <w:spacing w:line="360" w:lineRule="auto"/>
        <w:ind w:left="720" w:hanging="720"/>
      </w:pPr>
      <w:r>
        <w:t>[13]</w:t>
      </w:r>
      <w:r>
        <w:tab/>
      </w:r>
      <w:r w:rsidR="00D003D6">
        <w:t xml:space="preserve">The </w:t>
      </w:r>
      <w:r w:rsidR="00CF7BC0">
        <w:t>dictum by</w:t>
      </w:r>
      <w:r w:rsidR="00D003D6">
        <w:t xml:space="preserve"> </w:t>
      </w:r>
      <w:proofErr w:type="spellStart"/>
      <w:r w:rsidR="00D003D6" w:rsidRPr="003855BD">
        <w:t>Rampai</w:t>
      </w:r>
      <w:proofErr w:type="spellEnd"/>
      <w:r w:rsidR="00D003D6" w:rsidRPr="003855BD">
        <w:t xml:space="preserve"> J in the case of </w:t>
      </w:r>
      <w:proofErr w:type="spellStart"/>
      <w:r w:rsidR="00D003D6" w:rsidRPr="003855BD">
        <w:rPr>
          <w:i/>
          <w:iCs/>
        </w:rPr>
        <w:t>Louw</w:t>
      </w:r>
      <w:proofErr w:type="spellEnd"/>
      <w:r w:rsidR="00D003D6" w:rsidRPr="003855BD">
        <w:rPr>
          <w:i/>
          <w:iCs/>
        </w:rPr>
        <w:t xml:space="preserve"> v </w:t>
      </w:r>
      <w:proofErr w:type="spellStart"/>
      <w:r w:rsidR="00D003D6" w:rsidRPr="003855BD">
        <w:rPr>
          <w:i/>
          <w:iCs/>
        </w:rPr>
        <w:t>Grobler</w:t>
      </w:r>
      <w:proofErr w:type="spellEnd"/>
      <w:r w:rsidR="00D003D6" w:rsidRPr="003855BD">
        <w:rPr>
          <w:i/>
          <w:iCs/>
        </w:rPr>
        <w:t xml:space="preserve"> and Another</w:t>
      </w:r>
      <w:r w:rsidR="00D003D6" w:rsidRPr="003855BD">
        <w:t xml:space="preserve"> (3074/2016) [2016] ZAFSHC 206 (15 December 2016)</w:t>
      </w:r>
      <w:r w:rsidR="00F01CB3">
        <w:t xml:space="preserve"> </w:t>
      </w:r>
      <w:r w:rsidR="00100FCA">
        <w:t xml:space="preserve">is the </w:t>
      </w:r>
      <w:r w:rsidR="00A55FD1">
        <w:t>universal</w:t>
      </w:r>
      <w:r w:rsidR="00D003D6">
        <w:t xml:space="preserve"> compass in cases </w:t>
      </w:r>
      <w:r w:rsidR="00CF7BC0">
        <w:t>in which</w:t>
      </w:r>
      <w:r w:rsidR="00D003D6">
        <w:t xml:space="preserve"> </w:t>
      </w:r>
      <w:r w:rsidR="00E50727">
        <w:t xml:space="preserve">court orders, </w:t>
      </w:r>
      <w:r w:rsidR="00D003D6">
        <w:t>rules and process are abused</w:t>
      </w:r>
      <w:r w:rsidR="0034049B">
        <w:t>, manipulated and not observed</w:t>
      </w:r>
      <w:r w:rsidR="00D003D6">
        <w:t>.</w:t>
      </w:r>
    </w:p>
    <w:p w:rsidR="00D528D0" w:rsidRDefault="00B05287" w:rsidP="00B05287">
      <w:pPr>
        <w:pStyle w:val="ListParagraph"/>
        <w:spacing w:line="360" w:lineRule="auto"/>
        <w:ind w:left="1440" w:hanging="720"/>
        <w:rPr>
          <w:sz w:val="24"/>
          <w:szCs w:val="24"/>
        </w:rPr>
      </w:pPr>
      <w:r w:rsidRPr="00B05287">
        <w:rPr>
          <w:sz w:val="24"/>
          <w:szCs w:val="24"/>
        </w:rPr>
        <w:t xml:space="preserve">[18] </w:t>
      </w:r>
      <w:r>
        <w:rPr>
          <w:sz w:val="24"/>
          <w:szCs w:val="24"/>
        </w:rPr>
        <w:tab/>
      </w:r>
      <w:r w:rsidRPr="00B05287">
        <w:rPr>
          <w:sz w:val="24"/>
          <w:szCs w:val="24"/>
        </w:rPr>
        <w:t xml:space="preserve">The purpose of the uniform court rules is to regulate the litigation process, procedures and the exchange of pleadings.  The entire process of litigation has to be driven according to the rules.  The rules set the parameters within </w:t>
      </w:r>
      <w:r w:rsidR="006B7BA3">
        <w:rPr>
          <w:sz w:val="24"/>
          <w:szCs w:val="24"/>
        </w:rPr>
        <w:t xml:space="preserve">(sic) </w:t>
      </w:r>
      <w:r w:rsidRPr="00B05287">
        <w:rPr>
          <w:sz w:val="24"/>
          <w:szCs w:val="24"/>
        </w:rPr>
        <w:t>the course of litigation has to proceed.  The rules of engagement, must, therefore, be obeyed by the litigants.  However, dogmatically rigid adherence to the uniform court rules is as distasteful as their flagrant disregard or violation.  Dogmatic adherence, just like flagrant violation, defeats the purpose for which the court rules were made.  The prime purpose of the court rules is to oil the wheels of justice in order to expedite the resolution of disputes.  Quibbling about trivial deviations from the court rules retards instead of enhancing the civil justice system.  The court rules are not an end in themselves.</w:t>
      </w:r>
    </w:p>
    <w:p w:rsidR="00A87F3D" w:rsidRDefault="00DA139D" w:rsidP="00DA139D">
      <w:pPr>
        <w:spacing w:line="360" w:lineRule="auto"/>
        <w:ind w:left="720" w:hanging="720"/>
      </w:pPr>
      <w:r>
        <w:lastRenderedPageBreak/>
        <w:t>[14]</w:t>
      </w:r>
      <w:r>
        <w:tab/>
      </w:r>
      <w:r w:rsidR="00A87F3D">
        <w:t>The law on condonation in more detail is that:</w:t>
      </w:r>
    </w:p>
    <w:p w:rsidR="00A87F3D" w:rsidRDefault="00A87F3D" w:rsidP="00A87F3D">
      <w:pPr>
        <w:spacing w:line="360" w:lineRule="auto"/>
        <w:ind w:left="720"/>
      </w:pPr>
      <w:r>
        <w:t xml:space="preserve">Rule 27(3): “The court may, on good cause shown, condone any non-compliance with these rules.” The discretion is now wide but condonation is not merely there for the asking. </w:t>
      </w:r>
      <w:r w:rsidR="00D1115D">
        <w:t>At first</w:t>
      </w:r>
      <w:r>
        <w:t xml:space="preserve">, the rule permitted condonation under exceptional circumstances. </w:t>
      </w:r>
      <w:r w:rsidR="000D6298">
        <w:t xml:space="preserve">Section 34 of the Constitution of the </w:t>
      </w:r>
      <w:r w:rsidR="008565F1">
        <w:t>R</w:t>
      </w:r>
      <w:r w:rsidR="000D6298">
        <w:t xml:space="preserve">epublic of South Africa, 1996 is a right that must be regarded with the utmost respect. </w:t>
      </w:r>
      <w:r>
        <w:t>The judicial discretion that prevails demands fairness to both sides. Principles and factors have evolved over the years in case law and in the ethos of the Constitution. Each case stands on its own merits. It is the mosaic of factors that must be weighed judicially; the correct weight must be applied to the relevant proven fact that caused the disobedience. The legal intensity of a fact or factor will vary according to the interest to be served and the fall</w:t>
      </w:r>
      <w:r w:rsidR="0068470E">
        <w:t xml:space="preserve"> </w:t>
      </w:r>
      <w:r>
        <w:t xml:space="preserve">out of improper litigation. </w:t>
      </w:r>
    </w:p>
    <w:p w:rsidR="00A87F3D" w:rsidRDefault="00A87F3D" w:rsidP="002B1980">
      <w:pPr>
        <w:ind w:left="720"/>
      </w:pPr>
    </w:p>
    <w:p w:rsidR="00A87F3D" w:rsidRDefault="00DA139D" w:rsidP="00DA139D">
      <w:pPr>
        <w:spacing w:line="360" w:lineRule="auto"/>
        <w:ind w:left="720" w:hanging="720"/>
      </w:pPr>
      <w:r>
        <w:t>[15]</w:t>
      </w:r>
      <w:r>
        <w:tab/>
      </w:r>
      <w:r w:rsidR="00A87F3D">
        <w:t xml:space="preserve">A piecemeal approach will not </w:t>
      </w:r>
      <w:r w:rsidR="002747CC">
        <w:t>suffice</w:t>
      </w:r>
      <w:r w:rsidR="00A87F3D">
        <w:t xml:space="preserve">. In </w:t>
      </w:r>
      <w:proofErr w:type="spellStart"/>
      <w:r w:rsidR="00A87F3D" w:rsidRPr="00015881">
        <w:rPr>
          <w:i/>
          <w:iCs/>
        </w:rPr>
        <w:t>Melane</w:t>
      </w:r>
      <w:proofErr w:type="spellEnd"/>
      <w:r w:rsidR="00A87F3D" w:rsidRPr="00015881">
        <w:rPr>
          <w:i/>
          <w:iCs/>
        </w:rPr>
        <w:t xml:space="preserve"> v </w:t>
      </w:r>
      <w:proofErr w:type="spellStart"/>
      <w:r w:rsidR="00A87F3D" w:rsidRPr="00015881">
        <w:rPr>
          <w:i/>
          <w:iCs/>
        </w:rPr>
        <w:t>Santam</w:t>
      </w:r>
      <w:proofErr w:type="spellEnd"/>
      <w:r w:rsidR="00A87F3D" w:rsidRPr="00015881">
        <w:rPr>
          <w:i/>
          <w:iCs/>
        </w:rPr>
        <w:t xml:space="preserve"> Insurance Co Ltd </w:t>
      </w:r>
      <w:r w:rsidR="00A87F3D" w:rsidRPr="00015881">
        <w:t>1962 (4) SA 531 (A)</w:t>
      </w:r>
      <w:r w:rsidR="00A87F3D">
        <w:t xml:space="preserve"> </w:t>
      </w:r>
      <w:r w:rsidR="006B333B" w:rsidRPr="006B333B">
        <w:t xml:space="preserve">at 532 C </w:t>
      </w:r>
      <w:r w:rsidR="006B333B">
        <w:t xml:space="preserve">to </w:t>
      </w:r>
      <w:r w:rsidR="006B333B" w:rsidRPr="006B333B">
        <w:t>F</w:t>
      </w:r>
      <w:r w:rsidR="006B333B">
        <w:t xml:space="preserve"> </w:t>
      </w:r>
      <w:r w:rsidR="00A87F3D">
        <w:t xml:space="preserve">it was held that: </w:t>
      </w:r>
    </w:p>
    <w:p w:rsidR="00A87F3D" w:rsidRDefault="00B32874" w:rsidP="00A87F3D">
      <w:pPr>
        <w:spacing w:line="360" w:lineRule="auto"/>
        <w:ind w:left="720"/>
        <w:rPr>
          <w:sz w:val="24"/>
          <w:szCs w:val="24"/>
        </w:rPr>
      </w:pPr>
      <w:r>
        <w:rPr>
          <w:sz w:val="24"/>
          <w:szCs w:val="24"/>
        </w:rPr>
        <w:t>…</w:t>
      </w:r>
      <w:r w:rsidR="00A87F3D" w:rsidRPr="005761E6">
        <w:rPr>
          <w:sz w:val="24"/>
          <w:szCs w:val="24"/>
        </w:rPr>
        <w:t xml:space="preserve">Ordinarily these facts are interrelated, they are not individually decisive, for that would be a piecemeal approach incompatible with a true </w:t>
      </w:r>
      <w:proofErr w:type="gramStart"/>
      <w:r w:rsidR="00A87F3D" w:rsidRPr="005761E6">
        <w:rPr>
          <w:sz w:val="24"/>
          <w:szCs w:val="24"/>
        </w:rPr>
        <w:t>discretion,</w:t>
      </w:r>
      <w:r>
        <w:rPr>
          <w:sz w:val="24"/>
          <w:szCs w:val="24"/>
        </w:rPr>
        <w:t>…</w:t>
      </w:r>
      <w:proofErr w:type="gramEnd"/>
      <w:r w:rsidR="00A87F3D" w:rsidRPr="005761E6">
        <w:rPr>
          <w:sz w:val="24"/>
          <w:szCs w:val="24"/>
        </w:rPr>
        <w:t xml:space="preserve"> What is needed is an objective conspectus</w:t>
      </w:r>
      <w:r w:rsidR="00921B64">
        <w:rPr>
          <w:sz w:val="24"/>
          <w:szCs w:val="24"/>
        </w:rPr>
        <w:t>..</w:t>
      </w:r>
      <w:r w:rsidR="00A87F3D" w:rsidRPr="005761E6">
        <w:rPr>
          <w:sz w:val="24"/>
          <w:szCs w:val="24"/>
        </w:rPr>
        <w:t>.</w:t>
      </w:r>
    </w:p>
    <w:p w:rsidR="00A87F3D" w:rsidRPr="00485F36" w:rsidRDefault="00A87F3D" w:rsidP="00A87F3D">
      <w:pPr>
        <w:spacing w:line="360" w:lineRule="auto"/>
        <w:ind w:left="720"/>
      </w:pPr>
    </w:p>
    <w:p w:rsidR="00A87F3D" w:rsidRDefault="00DA139D" w:rsidP="00DA139D">
      <w:pPr>
        <w:spacing w:line="360" w:lineRule="auto"/>
        <w:ind w:left="720" w:hanging="720"/>
      </w:pPr>
      <w:r>
        <w:t>[16]</w:t>
      </w:r>
      <w:r>
        <w:tab/>
      </w:r>
      <w:r w:rsidR="00A87F3D">
        <w:t xml:space="preserve">The Constitutional Court decreed in </w:t>
      </w:r>
      <w:proofErr w:type="spellStart"/>
      <w:r w:rsidR="00A87F3D" w:rsidRPr="00506A49">
        <w:rPr>
          <w:i/>
          <w:iCs/>
        </w:rPr>
        <w:t>Grootboom</w:t>
      </w:r>
      <w:proofErr w:type="spellEnd"/>
      <w:r w:rsidR="00A87F3D" w:rsidRPr="00506A49">
        <w:rPr>
          <w:i/>
          <w:iCs/>
        </w:rPr>
        <w:t xml:space="preserve"> v National Prosecuting Authority and Another</w:t>
      </w:r>
      <w:r w:rsidR="00A87F3D" w:rsidRPr="00506A49">
        <w:t xml:space="preserve"> (C696/08) [2009] ZALCCT 15 (18 December 2009)</w:t>
      </w:r>
      <w:r w:rsidR="00A87F3D">
        <w:t xml:space="preserve"> that:</w:t>
      </w:r>
    </w:p>
    <w:p w:rsidR="00A87F3D" w:rsidRPr="00A87F3D" w:rsidRDefault="00A87F3D" w:rsidP="00A87F3D">
      <w:pPr>
        <w:spacing w:line="360" w:lineRule="auto"/>
        <w:ind w:left="1440" w:hanging="720"/>
        <w:rPr>
          <w:sz w:val="24"/>
          <w:szCs w:val="24"/>
        </w:rPr>
      </w:pPr>
      <w:r w:rsidRPr="00A87F3D">
        <w:rPr>
          <w:sz w:val="24"/>
          <w:szCs w:val="24"/>
        </w:rPr>
        <w:t>[51]</w:t>
      </w:r>
      <w:r w:rsidRPr="00A87F3D">
        <w:rPr>
          <w:sz w:val="24"/>
          <w:szCs w:val="24"/>
        </w:rPr>
        <w:tab/>
        <w:t xml:space="preserve">In this Court the test for determining whether condonation should be granted or refused is the interests of justice.  If it is in the interests of justice that condonation be granted, it will be granted.  If it is not in the </w:t>
      </w:r>
      <w:r w:rsidRPr="00A87F3D">
        <w:rPr>
          <w:sz w:val="24"/>
          <w:szCs w:val="24"/>
        </w:rPr>
        <w:lastRenderedPageBreak/>
        <w:t>interests of justice to do so, it will not be granted.  The factors that are taken into account in that inquiry include:</w:t>
      </w:r>
    </w:p>
    <w:p w:rsidR="00A87F3D" w:rsidRPr="00A87F3D" w:rsidRDefault="00A87F3D" w:rsidP="00A87F3D">
      <w:pPr>
        <w:spacing w:line="360" w:lineRule="auto"/>
        <w:ind w:left="2160" w:hanging="720"/>
        <w:rPr>
          <w:sz w:val="24"/>
          <w:szCs w:val="24"/>
        </w:rPr>
      </w:pPr>
      <w:r w:rsidRPr="00A87F3D">
        <w:rPr>
          <w:sz w:val="24"/>
          <w:szCs w:val="24"/>
        </w:rPr>
        <w:t>(a)</w:t>
      </w:r>
      <w:r w:rsidRPr="00A87F3D">
        <w:rPr>
          <w:sz w:val="24"/>
          <w:szCs w:val="24"/>
        </w:rPr>
        <w:tab/>
        <w:t>the length of the delay;</w:t>
      </w:r>
    </w:p>
    <w:p w:rsidR="00A87F3D" w:rsidRPr="00A87F3D" w:rsidRDefault="00A87F3D" w:rsidP="00A87F3D">
      <w:pPr>
        <w:spacing w:line="360" w:lineRule="auto"/>
        <w:ind w:left="2160" w:hanging="720"/>
        <w:rPr>
          <w:sz w:val="24"/>
          <w:szCs w:val="24"/>
        </w:rPr>
      </w:pPr>
      <w:r w:rsidRPr="00A87F3D">
        <w:rPr>
          <w:sz w:val="24"/>
          <w:szCs w:val="24"/>
        </w:rPr>
        <w:t>(b)</w:t>
      </w:r>
      <w:r w:rsidRPr="00A87F3D">
        <w:rPr>
          <w:sz w:val="24"/>
          <w:szCs w:val="24"/>
        </w:rPr>
        <w:tab/>
        <w:t>the explanation for, or cause for, the delay;</w:t>
      </w:r>
    </w:p>
    <w:p w:rsidR="00A87F3D" w:rsidRPr="00A87F3D" w:rsidRDefault="00A87F3D" w:rsidP="00A87F3D">
      <w:pPr>
        <w:spacing w:line="360" w:lineRule="auto"/>
        <w:ind w:left="2160" w:hanging="720"/>
        <w:rPr>
          <w:sz w:val="24"/>
          <w:szCs w:val="24"/>
        </w:rPr>
      </w:pPr>
      <w:r w:rsidRPr="00A87F3D">
        <w:rPr>
          <w:sz w:val="24"/>
          <w:szCs w:val="24"/>
        </w:rPr>
        <w:t>(c)</w:t>
      </w:r>
      <w:r w:rsidRPr="00A87F3D">
        <w:rPr>
          <w:sz w:val="24"/>
          <w:szCs w:val="24"/>
        </w:rPr>
        <w:tab/>
        <w:t>the prospects of success for the party seeking condonation;</w:t>
      </w:r>
    </w:p>
    <w:p w:rsidR="00A87F3D" w:rsidRPr="00A87F3D" w:rsidRDefault="00A87F3D" w:rsidP="00A87F3D">
      <w:pPr>
        <w:spacing w:line="360" w:lineRule="auto"/>
        <w:ind w:left="2160" w:hanging="720"/>
        <w:rPr>
          <w:sz w:val="24"/>
          <w:szCs w:val="24"/>
        </w:rPr>
      </w:pPr>
      <w:r w:rsidRPr="00A87F3D">
        <w:rPr>
          <w:sz w:val="24"/>
          <w:szCs w:val="24"/>
        </w:rPr>
        <w:t>(d)</w:t>
      </w:r>
      <w:r w:rsidRPr="00A87F3D">
        <w:rPr>
          <w:sz w:val="24"/>
          <w:szCs w:val="24"/>
        </w:rPr>
        <w:tab/>
        <w:t>the importance of the issue(s) that the matter raises;</w:t>
      </w:r>
    </w:p>
    <w:p w:rsidR="00A87F3D" w:rsidRPr="00A87F3D" w:rsidRDefault="00A87F3D" w:rsidP="00A87F3D">
      <w:pPr>
        <w:spacing w:line="360" w:lineRule="auto"/>
        <w:ind w:left="2160" w:hanging="720"/>
        <w:rPr>
          <w:sz w:val="24"/>
          <w:szCs w:val="24"/>
        </w:rPr>
      </w:pPr>
      <w:r w:rsidRPr="00A87F3D">
        <w:rPr>
          <w:sz w:val="24"/>
          <w:szCs w:val="24"/>
        </w:rPr>
        <w:t>(e)</w:t>
      </w:r>
      <w:r w:rsidRPr="00A87F3D">
        <w:rPr>
          <w:sz w:val="24"/>
          <w:szCs w:val="24"/>
        </w:rPr>
        <w:tab/>
        <w:t>the prejudice to the other party or parties; and</w:t>
      </w:r>
    </w:p>
    <w:p w:rsidR="00A87F3D" w:rsidRDefault="00A87F3D" w:rsidP="00A87F3D">
      <w:pPr>
        <w:spacing w:line="360" w:lineRule="auto"/>
        <w:ind w:left="2160" w:hanging="720"/>
        <w:rPr>
          <w:sz w:val="24"/>
          <w:szCs w:val="24"/>
        </w:rPr>
      </w:pPr>
      <w:r w:rsidRPr="00A87F3D">
        <w:rPr>
          <w:sz w:val="24"/>
          <w:szCs w:val="24"/>
        </w:rPr>
        <w:t>(f)</w:t>
      </w:r>
      <w:r w:rsidRPr="00A87F3D">
        <w:rPr>
          <w:sz w:val="24"/>
          <w:szCs w:val="24"/>
        </w:rPr>
        <w:tab/>
        <w:t>the effect of the delay on the administration of justice.</w:t>
      </w:r>
    </w:p>
    <w:p w:rsidR="00201F87" w:rsidRPr="00A87F3D" w:rsidRDefault="00201F87" w:rsidP="00201F87">
      <w:pPr>
        <w:ind w:left="2160" w:hanging="720"/>
        <w:rPr>
          <w:sz w:val="24"/>
          <w:szCs w:val="24"/>
        </w:rPr>
      </w:pPr>
    </w:p>
    <w:p w:rsidR="00A87F3D" w:rsidRDefault="00DA139D" w:rsidP="00DA139D">
      <w:pPr>
        <w:spacing w:line="360" w:lineRule="auto"/>
        <w:ind w:left="720" w:hanging="720"/>
      </w:pPr>
      <w:r>
        <w:t>[17]</w:t>
      </w:r>
      <w:r>
        <w:tab/>
      </w:r>
      <w:r w:rsidR="00A87F3D">
        <w:t xml:space="preserve">Prejudice and </w:t>
      </w:r>
      <w:r w:rsidR="002F077B">
        <w:t xml:space="preserve">the </w:t>
      </w:r>
      <w:r w:rsidR="00A87F3D">
        <w:t>interest of justice are vital. In this case the replying affidavits were not only late and in non-compliance with a court order</w:t>
      </w:r>
      <w:r w:rsidR="00A804F7">
        <w:t>,</w:t>
      </w:r>
      <w:r w:rsidR="00A87F3D">
        <w:t xml:space="preserve"> </w:t>
      </w:r>
      <w:r w:rsidR="00443BBE">
        <w:t>but it was also</w:t>
      </w:r>
      <w:r w:rsidR="00A87F3D">
        <w:t xml:space="preserve"> inundated with new facts and documents that were available when the founding affidavits were compiled and submitted. The respondents were prohibited from defending themselves against the new evidence by the Uniform Rules of Court</w:t>
      </w:r>
      <w:r w:rsidR="00BB3B8E">
        <w:t>. They would</w:t>
      </w:r>
      <w:r w:rsidR="00A87F3D">
        <w:t xml:space="preserve"> have had to embark on expensive litigation</w:t>
      </w:r>
      <w:r w:rsidR="00BB3B8E">
        <w:t>, for instance rule 30/30A and rule 6(5)(e)</w:t>
      </w:r>
      <w:r w:rsidR="00EB0B96">
        <w:t xml:space="preserve"> applications,</w:t>
      </w:r>
      <w:r w:rsidR="00A87F3D">
        <w:t xml:space="preserve"> to curtail the effect of the replying affidavits on their client’s case(s). </w:t>
      </w:r>
    </w:p>
    <w:p w:rsidR="00A87F3D" w:rsidRDefault="00A87F3D" w:rsidP="002B1980">
      <w:pPr>
        <w:ind w:left="720"/>
      </w:pPr>
    </w:p>
    <w:p w:rsidR="00191B6B" w:rsidRDefault="00DA139D" w:rsidP="00DA139D">
      <w:pPr>
        <w:spacing w:line="360" w:lineRule="auto"/>
        <w:ind w:left="720" w:hanging="720"/>
      </w:pPr>
      <w:r>
        <w:t>[18]</w:t>
      </w:r>
      <w:r>
        <w:tab/>
      </w:r>
      <w:r w:rsidR="00DD7400">
        <w:t>T</w:t>
      </w:r>
      <w:r w:rsidR="0034049B">
        <w:t>he explanation by</w:t>
      </w:r>
      <w:r w:rsidR="00752027">
        <w:t xml:space="preserve"> the applicants</w:t>
      </w:r>
      <w:r w:rsidR="00DD7400">
        <w:t xml:space="preserve"> for the</w:t>
      </w:r>
      <w:r w:rsidR="00752027">
        <w:t xml:space="preserve"> </w:t>
      </w:r>
      <w:r w:rsidR="00DD7400">
        <w:t>“</w:t>
      </w:r>
      <w:r w:rsidR="00752027">
        <w:t>delay and/or lateness</w:t>
      </w:r>
      <w:r w:rsidR="00DD7400">
        <w:t>”</w:t>
      </w:r>
      <w:r w:rsidR="00DD7400">
        <w:rPr>
          <w:rStyle w:val="FootnoteReference"/>
        </w:rPr>
        <w:footnoteReference w:id="10"/>
      </w:r>
      <w:r w:rsidR="00752027">
        <w:t xml:space="preserve"> </w:t>
      </w:r>
      <w:r w:rsidR="00DD7400">
        <w:t>is that</w:t>
      </w:r>
      <w:r w:rsidR="00752027">
        <w:t xml:space="preserve"> </w:t>
      </w:r>
      <w:r w:rsidR="00DD7400">
        <w:t>it was</w:t>
      </w:r>
      <w:r w:rsidR="00752027">
        <w:t xml:space="preserve"> occasioned</w:t>
      </w:r>
      <w:r w:rsidR="00191B6B">
        <w:t xml:space="preserve"> by</w:t>
      </w:r>
      <w:r w:rsidR="00DD7400">
        <w:t>:</w:t>
      </w:r>
    </w:p>
    <w:p w:rsidR="00191B6B" w:rsidRDefault="00191B6B" w:rsidP="0076460A">
      <w:pPr>
        <w:pStyle w:val="ListParagraph"/>
        <w:spacing w:line="360" w:lineRule="auto"/>
        <w:ind w:left="1440" w:hanging="720"/>
      </w:pPr>
      <w:r w:rsidRPr="00191B6B">
        <w:rPr>
          <w:sz w:val="24"/>
          <w:szCs w:val="24"/>
        </w:rPr>
        <w:t xml:space="preserve">13.2. </w:t>
      </w:r>
      <w:r w:rsidR="0076460A">
        <w:rPr>
          <w:sz w:val="24"/>
          <w:szCs w:val="24"/>
        </w:rPr>
        <w:tab/>
      </w:r>
      <w:r w:rsidRPr="00191B6B">
        <w:rPr>
          <w:sz w:val="24"/>
          <w:szCs w:val="24"/>
        </w:rPr>
        <w:t>the proximate/direct cause of the lateness stems from the applicant’s deponent being abroad, counsel having to inspect and salvage any potential storm damage, settlement negotiations and obtaining the magnitude of annexures attached to the Replying Affidavits and then having to peruse same and articulate the content thereof in the Replying Affidavits and which obviously took time.</w:t>
      </w:r>
      <w:r>
        <w:t xml:space="preserve"> </w:t>
      </w:r>
    </w:p>
    <w:p w:rsidR="00571357" w:rsidRDefault="00DA139D" w:rsidP="00DA139D">
      <w:pPr>
        <w:spacing w:line="360" w:lineRule="auto"/>
        <w:ind w:left="720" w:hanging="720"/>
      </w:pPr>
      <w:r>
        <w:lastRenderedPageBreak/>
        <w:t>[19]</w:t>
      </w:r>
      <w:r>
        <w:tab/>
      </w:r>
      <w:r w:rsidR="00863E8F">
        <w:t>It was not explained</w:t>
      </w:r>
      <w:r w:rsidR="00191B6B">
        <w:t xml:space="preserve"> why the “applicant’s deponent” was overseas and why it was not possible to consult</w:t>
      </w:r>
      <w:r w:rsidR="00965D4F">
        <w:t xml:space="preserve"> in the year 2023,</w:t>
      </w:r>
      <w:r w:rsidR="00191B6B">
        <w:t xml:space="preserve"> </w:t>
      </w:r>
      <w:r w:rsidR="00CC7880" w:rsidRPr="003F36E4">
        <w:rPr>
          <w:i/>
          <w:iCs/>
        </w:rPr>
        <w:t>via</w:t>
      </w:r>
      <w:r w:rsidR="00CC7880">
        <w:t xml:space="preserve"> electronic media</w:t>
      </w:r>
      <w:r w:rsidR="0075148C">
        <w:t xml:space="preserve"> or platform</w:t>
      </w:r>
      <w:r w:rsidR="00191B6B">
        <w:t xml:space="preserve">. </w:t>
      </w:r>
      <w:r w:rsidR="00162683">
        <w:t xml:space="preserve">I agree with the sentiments in </w:t>
      </w:r>
      <w:r w:rsidR="00162683" w:rsidRPr="00162683">
        <w:rPr>
          <w:i/>
          <w:iCs/>
        </w:rPr>
        <w:t xml:space="preserve">Nzima v </w:t>
      </w:r>
      <w:proofErr w:type="spellStart"/>
      <w:r w:rsidR="00162683" w:rsidRPr="00162683">
        <w:rPr>
          <w:i/>
          <w:iCs/>
        </w:rPr>
        <w:t>Tourvest</w:t>
      </w:r>
      <w:proofErr w:type="spellEnd"/>
      <w:r w:rsidR="00162683" w:rsidRPr="00162683">
        <w:rPr>
          <w:i/>
          <w:iCs/>
        </w:rPr>
        <w:t xml:space="preserve"> Accommodation and Activities, a division of </w:t>
      </w:r>
      <w:proofErr w:type="spellStart"/>
      <w:r w:rsidR="00162683" w:rsidRPr="00162683">
        <w:rPr>
          <w:i/>
          <w:iCs/>
        </w:rPr>
        <w:t>Tourvest</w:t>
      </w:r>
      <w:proofErr w:type="spellEnd"/>
      <w:r w:rsidR="00162683" w:rsidRPr="00162683">
        <w:rPr>
          <w:i/>
          <w:iCs/>
        </w:rPr>
        <w:t xml:space="preserve"> Holdings (Pty) Ltd</w:t>
      </w:r>
      <w:r w:rsidR="00162683" w:rsidRPr="00162683">
        <w:t xml:space="preserve"> (JS562/20) [2021] ZALCJHB 337 (5 October 2021)</w:t>
      </w:r>
      <w:r w:rsidR="00162683">
        <w:t>:</w:t>
      </w:r>
    </w:p>
    <w:p w:rsidR="00162683" w:rsidRPr="00162683" w:rsidRDefault="00162683" w:rsidP="00162683">
      <w:pPr>
        <w:spacing w:line="360" w:lineRule="auto"/>
        <w:ind w:left="1440" w:hanging="720"/>
        <w:rPr>
          <w:sz w:val="24"/>
          <w:szCs w:val="24"/>
        </w:rPr>
      </w:pPr>
      <w:r w:rsidRPr="00162683">
        <w:rPr>
          <w:sz w:val="24"/>
          <w:szCs w:val="24"/>
        </w:rPr>
        <w:t xml:space="preserve">[25]   </w:t>
      </w:r>
      <w:r>
        <w:rPr>
          <w:sz w:val="24"/>
          <w:szCs w:val="24"/>
        </w:rPr>
        <w:tab/>
      </w:r>
      <w:r w:rsidRPr="00162683">
        <w:rPr>
          <w:sz w:val="24"/>
          <w:szCs w:val="24"/>
        </w:rPr>
        <w:t xml:space="preserve">Having explained the challenges encountered as a result of the lockdown and the financial constraints, the Applicant failed to explain why he and his attorneys of record could not implement other means of communication, such as telephone consultation </w:t>
      </w:r>
      <w:proofErr w:type="spellStart"/>
      <w:r w:rsidRPr="00162683">
        <w:rPr>
          <w:sz w:val="24"/>
          <w:szCs w:val="24"/>
        </w:rPr>
        <w:t>etc</w:t>
      </w:r>
      <w:proofErr w:type="spellEnd"/>
      <w:r w:rsidRPr="00162683">
        <w:rPr>
          <w:sz w:val="24"/>
          <w:szCs w:val="24"/>
        </w:rPr>
        <w:t xml:space="preserve"> in order to avoid delaying drafting the statement of claim. It was never the Applicant’s argument that he was unaware of the date on which the statement of claim ought to be filed.</w:t>
      </w:r>
    </w:p>
    <w:p w:rsidR="00571357" w:rsidRDefault="00571357" w:rsidP="0050648E">
      <w:pPr>
        <w:ind w:left="720"/>
      </w:pPr>
    </w:p>
    <w:p w:rsidR="00965D4F" w:rsidRDefault="00DA139D" w:rsidP="00DA139D">
      <w:pPr>
        <w:spacing w:line="360" w:lineRule="auto"/>
        <w:ind w:left="720" w:hanging="720"/>
      </w:pPr>
      <w:r>
        <w:t>[20]</w:t>
      </w:r>
      <w:r>
        <w:tab/>
      </w:r>
      <w:r w:rsidR="00571357">
        <w:t>The</w:t>
      </w:r>
      <w:r w:rsidR="0096756A">
        <w:t>re</w:t>
      </w:r>
      <w:r w:rsidR="00571357">
        <w:t xml:space="preserve"> is </w:t>
      </w:r>
      <w:r w:rsidR="00191B6B">
        <w:t xml:space="preserve">not </w:t>
      </w:r>
      <w:r w:rsidR="00571357">
        <w:t xml:space="preserve">any </w:t>
      </w:r>
      <w:r w:rsidR="0096756A">
        <w:t>explanation</w:t>
      </w:r>
      <w:r w:rsidR="00191B6B">
        <w:t xml:space="preserve"> </w:t>
      </w:r>
      <w:r w:rsidR="00965D4F">
        <w:t xml:space="preserve">when the </w:t>
      </w:r>
      <w:r w:rsidR="00191B6B">
        <w:t>trip overseas</w:t>
      </w:r>
      <w:r w:rsidR="00965D4F">
        <w:t xml:space="preserve"> started, if it</w:t>
      </w:r>
      <w:r w:rsidR="00191B6B">
        <w:t xml:space="preserve"> was for holiday, mere business or urgent unpreventable issues. The </w:t>
      </w:r>
      <w:r w:rsidR="00965D4F">
        <w:t xml:space="preserve">implication is that the </w:t>
      </w:r>
      <w:r w:rsidR="00191B6B">
        <w:t>court order</w:t>
      </w:r>
      <w:r w:rsidR="00571357">
        <w:t>, the court and other litigants</w:t>
      </w:r>
      <w:r w:rsidR="00191B6B">
        <w:t xml:space="preserve"> must </w:t>
      </w:r>
      <w:r w:rsidR="0096756A">
        <w:t xml:space="preserve">merely </w:t>
      </w:r>
      <w:r w:rsidR="00191B6B">
        <w:t xml:space="preserve">go onto the back burner because </w:t>
      </w:r>
      <w:r w:rsidR="00A30473">
        <w:t xml:space="preserve">of the vague statement </w:t>
      </w:r>
      <w:r w:rsidR="00F837A9">
        <w:t xml:space="preserve">that </w:t>
      </w:r>
      <w:r w:rsidR="00191B6B">
        <w:t xml:space="preserve">one person went overseas. </w:t>
      </w:r>
    </w:p>
    <w:p w:rsidR="0050648E" w:rsidRDefault="0050648E" w:rsidP="0050648E"/>
    <w:p w:rsidR="00191B6B" w:rsidRDefault="00DA139D" w:rsidP="00DA139D">
      <w:pPr>
        <w:spacing w:line="360" w:lineRule="auto"/>
        <w:ind w:left="720" w:hanging="720"/>
      </w:pPr>
      <w:r>
        <w:t>[21]</w:t>
      </w:r>
      <w:r>
        <w:tab/>
      </w:r>
      <w:r w:rsidR="008B513B">
        <w:t>The</w:t>
      </w:r>
      <w:r w:rsidR="006E275B">
        <w:t xml:space="preserve"> applicants</w:t>
      </w:r>
      <w:r w:rsidR="008B513B">
        <w:t xml:space="preserve"> started their litigation in August 2023. </w:t>
      </w:r>
      <w:r w:rsidR="00965D4F">
        <w:t>The order was on 21 September 2023 and the applicant</w:t>
      </w:r>
      <w:r w:rsidR="0096756A">
        <w:t>s</w:t>
      </w:r>
      <w:r w:rsidR="00965D4F">
        <w:t xml:space="preserve"> had to realise then that the </w:t>
      </w:r>
      <w:r w:rsidR="0096756A">
        <w:t xml:space="preserve">drafting of the </w:t>
      </w:r>
      <w:r w:rsidR="00965D4F">
        <w:t>replying affidavit</w:t>
      </w:r>
      <w:r w:rsidR="00BD4A0F">
        <w:t>s</w:t>
      </w:r>
      <w:r w:rsidR="0096756A">
        <w:t xml:space="preserve"> was lurking; the </w:t>
      </w:r>
      <w:r w:rsidR="0061326D">
        <w:t xml:space="preserve">answering </w:t>
      </w:r>
      <w:r w:rsidR="0096756A">
        <w:t>affidavits were filed on 13 October 2023.</w:t>
      </w:r>
      <w:r w:rsidR="00965D4F">
        <w:t xml:space="preserve"> </w:t>
      </w:r>
      <w:r w:rsidR="0096756A">
        <w:t>The applicant</w:t>
      </w:r>
      <w:r w:rsidR="00695D0A">
        <w:t>s</w:t>
      </w:r>
      <w:r w:rsidR="0096756A">
        <w:t xml:space="preserve"> had to realise that the presence of their deponent was crucial. </w:t>
      </w:r>
      <w:r w:rsidR="00405743">
        <w:t>In the least they had to open</w:t>
      </w:r>
      <w:r w:rsidR="0050648E">
        <w:t xml:space="preserve"> and keep open</w:t>
      </w:r>
      <w:r w:rsidR="00405743">
        <w:t xml:space="preserve"> the </w:t>
      </w:r>
      <w:r w:rsidR="0050648E">
        <w:t>channels</w:t>
      </w:r>
      <w:r w:rsidR="00405743">
        <w:t xml:space="preserve"> to communication for consultations.</w:t>
      </w:r>
    </w:p>
    <w:p w:rsidR="00E15232" w:rsidRDefault="00DA139D" w:rsidP="00DA139D">
      <w:pPr>
        <w:spacing w:line="360" w:lineRule="auto"/>
        <w:ind w:left="720" w:hanging="720"/>
      </w:pPr>
      <w:r>
        <w:t>[22]</w:t>
      </w:r>
      <w:r>
        <w:tab/>
      </w:r>
      <w:r w:rsidR="00271F4B">
        <w:t xml:space="preserve">The </w:t>
      </w:r>
      <w:r w:rsidR="0050648E">
        <w:t>locating</w:t>
      </w:r>
      <w:r w:rsidR="00271F4B">
        <w:t xml:space="preserve"> of documents that allegedly already existed before the litigation </w:t>
      </w:r>
      <w:r w:rsidR="00695D0A">
        <w:t xml:space="preserve">was initiated </w:t>
      </w:r>
      <w:r w:rsidR="00271F4B">
        <w:t xml:space="preserve">cannot be a valid explanation for the delay. </w:t>
      </w:r>
      <w:r w:rsidR="00A31FE8">
        <w:lastRenderedPageBreak/>
        <w:t>Apparently,</w:t>
      </w:r>
      <w:r w:rsidR="00271F4B">
        <w:t xml:space="preserve"> it should have formed part of the founding a</w:t>
      </w:r>
      <w:r w:rsidR="00A31FE8">
        <w:t>ffidavits</w:t>
      </w:r>
      <w:r w:rsidR="00271F4B">
        <w:t>.</w:t>
      </w:r>
      <w:r w:rsidR="00E85D67">
        <w:rPr>
          <w:rStyle w:val="FootnoteReference"/>
        </w:rPr>
        <w:footnoteReference w:id="11"/>
      </w:r>
      <w:r w:rsidR="00A31FE8">
        <w:t xml:space="preserve"> </w:t>
      </w:r>
      <w:r w:rsidR="00E85D67">
        <w:t>It is unclear why the availability of the documents was reliant on the presence of the deponent in South Africa.</w:t>
      </w:r>
      <w:r w:rsidR="00A31FE8">
        <w:t xml:space="preserve"> </w:t>
      </w:r>
    </w:p>
    <w:p w:rsidR="0050648E" w:rsidRDefault="0050648E" w:rsidP="0050648E">
      <w:pPr>
        <w:ind w:left="720"/>
      </w:pPr>
    </w:p>
    <w:p w:rsidR="00E15232" w:rsidRDefault="00DA139D" w:rsidP="00DA139D">
      <w:pPr>
        <w:spacing w:line="360" w:lineRule="auto"/>
        <w:ind w:left="720" w:hanging="720"/>
      </w:pPr>
      <w:r>
        <w:t>[23]</w:t>
      </w:r>
      <w:r>
        <w:tab/>
      </w:r>
      <w:r w:rsidR="00F263AF">
        <w:t>The busy schedule of counsel cannot be a</w:t>
      </w:r>
      <w:r w:rsidR="004F6015">
        <w:t>n</w:t>
      </w:r>
      <w:r w:rsidR="00F263AF">
        <w:t xml:space="preserve"> explanation for the delay and the neglect. The fact </w:t>
      </w:r>
      <w:r w:rsidR="00C64484">
        <w:t>that</w:t>
      </w:r>
      <w:r w:rsidR="00F263AF">
        <w:t xml:space="preserve"> counsel had to </w:t>
      </w:r>
      <w:r w:rsidR="0050648E">
        <w:t>check on</w:t>
      </w:r>
      <w:r w:rsidR="00F263AF">
        <w:t xml:space="preserve"> his property in the Western Cape </w:t>
      </w:r>
      <w:r w:rsidR="00C64484">
        <w:t xml:space="preserve">for flood damage </w:t>
      </w:r>
      <w:r w:rsidR="00F263AF">
        <w:t xml:space="preserve">is beyond understanding as a reason for non-compliance with a court order. </w:t>
      </w:r>
      <w:r w:rsidR="003C0FA4">
        <w:t xml:space="preserve">The period that counsel was absent was not stipulated and again; it could not have suspended the drafting of the replying affidavits in the light of what was said above. </w:t>
      </w:r>
      <w:r w:rsidR="00E15232">
        <w:t>The law is clear</w:t>
      </w:r>
      <w:r w:rsidR="00271F4B">
        <w:t xml:space="preserve"> </w:t>
      </w:r>
      <w:r w:rsidR="00E15232">
        <w:t xml:space="preserve">on this. </w:t>
      </w:r>
      <w:r w:rsidR="003C0FA4">
        <w:t>Again</w:t>
      </w:r>
      <w:r w:rsidR="00B45AE5">
        <w:t>,</w:t>
      </w:r>
      <w:r w:rsidR="003C0FA4">
        <w:t xml:space="preserve"> </w:t>
      </w:r>
      <w:r w:rsidR="003C0FA4" w:rsidRPr="00162683">
        <w:rPr>
          <w:i/>
          <w:iCs/>
        </w:rPr>
        <w:t xml:space="preserve">Nzima v </w:t>
      </w:r>
      <w:proofErr w:type="spellStart"/>
      <w:r w:rsidR="003C0FA4" w:rsidRPr="00162683">
        <w:rPr>
          <w:i/>
          <w:iCs/>
        </w:rPr>
        <w:t>Tourvest</w:t>
      </w:r>
      <w:proofErr w:type="spellEnd"/>
      <w:r w:rsidR="003C0FA4" w:rsidRPr="00162683">
        <w:rPr>
          <w:i/>
          <w:iCs/>
        </w:rPr>
        <w:t xml:space="preserve"> Accommodation and Activities, a division of </w:t>
      </w:r>
      <w:proofErr w:type="spellStart"/>
      <w:r w:rsidR="003C0FA4" w:rsidRPr="00162683">
        <w:rPr>
          <w:i/>
          <w:iCs/>
        </w:rPr>
        <w:t>Tourvest</w:t>
      </w:r>
      <w:proofErr w:type="spellEnd"/>
      <w:r w:rsidR="003C0FA4" w:rsidRPr="00162683">
        <w:rPr>
          <w:i/>
          <w:iCs/>
        </w:rPr>
        <w:t xml:space="preserve"> Holdings (Pty) Ltd</w:t>
      </w:r>
      <w:r w:rsidR="003C0FA4" w:rsidRPr="00162683">
        <w:t xml:space="preserve"> (JS562/20) [2021] ZALCJHB 337 (5 October 2021)</w:t>
      </w:r>
      <w:r w:rsidR="00695D0A">
        <w:t xml:space="preserve"> that ruled that</w:t>
      </w:r>
      <w:r w:rsidR="00E84739">
        <w:t xml:space="preserve"> </w:t>
      </w:r>
      <w:r w:rsidR="003C0FA4">
        <w:t>the c</w:t>
      </w:r>
      <w:r w:rsidR="00E15232">
        <w:t xml:space="preserve">ourts have disapproved of busy schedules of representatives as a valid explanation for the delay in complying with the rules of this </w:t>
      </w:r>
      <w:r w:rsidR="007168D9">
        <w:t>c</w:t>
      </w:r>
      <w:r w:rsidR="00E15232">
        <w:t>ourt.</w:t>
      </w:r>
    </w:p>
    <w:p w:rsidR="003C0FA4" w:rsidRPr="003C0FA4" w:rsidRDefault="003C0FA4" w:rsidP="003C0FA4">
      <w:pPr>
        <w:pStyle w:val="ListParagraph"/>
        <w:spacing w:line="360" w:lineRule="auto"/>
        <w:ind w:left="1440" w:hanging="720"/>
        <w:rPr>
          <w:sz w:val="24"/>
          <w:szCs w:val="24"/>
        </w:rPr>
      </w:pPr>
      <w:r w:rsidRPr="003C0FA4">
        <w:rPr>
          <w:sz w:val="24"/>
          <w:szCs w:val="24"/>
        </w:rPr>
        <w:t xml:space="preserve">[34]   </w:t>
      </w:r>
      <w:r>
        <w:rPr>
          <w:sz w:val="24"/>
          <w:szCs w:val="24"/>
        </w:rPr>
        <w:tab/>
      </w:r>
      <w:r w:rsidRPr="003C0FA4">
        <w:rPr>
          <w:sz w:val="24"/>
          <w:szCs w:val="24"/>
        </w:rPr>
        <w:t xml:space="preserve">In </w:t>
      </w:r>
      <w:r w:rsidRPr="003C0FA4">
        <w:rPr>
          <w:i/>
          <w:iCs/>
          <w:sz w:val="24"/>
          <w:szCs w:val="24"/>
        </w:rPr>
        <w:t xml:space="preserve">Petro </w:t>
      </w:r>
      <w:proofErr w:type="spellStart"/>
      <w:r w:rsidRPr="003C0FA4">
        <w:rPr>
          <w:i/>
          <w:iCs/>
          <w:sz w:val="24"/>
          <w:szCs w:val="24"/>
        </w:rPr>
        <w:t>Chem</w:t>
      </w:r>
      <w:proofErr w:type="spellEnd"/>
      <w:r w:rsidRPr="003C0FA4">
        <w:rPr>
          <w:i/>
          <w:iCs/>
          <w:sz w:val="24"/>
          <w:szCs w:val="24"/>
        </w:rPr>
        <w:t xml:space="preserve"> Technical Service (Pty) Ltd v Motor Industry Bargaining Council Dispute Resolution Centre and Others</w:t>
      </w:r>
      <w:r w:rsidRPr="003C0FA4">
        <w:rPr>
          <w:rStyle w:val="FootnoteReference"/>
          <w:sz w:val="24"/>
          <w:szCs w:val="24"/>
        </w:rPr>
        <w:footnoteReference w:id="12"/>
      </w:r>
      <w:r w:rsidRPr="003C0FA4">
        <w:rPr>
          <w:sz w:val="24"/>
          <w:szCs w:val="24"/>
        </w:rPr>
        <w:t xml:space="preserve"> the Court made reference to the following authorities and said:</w:t>
      </w:r>
    </w:p>
    <w:p w:rsidR="0050648E" w:rsidRDefault="003C0FA4" w:rsidP="003C0FA4">
      <w:pPr>
        <w:pStyle w:val="ListParagraph"/>
        <w:spacing w:line="360" w:lineRule="auto"/>
        <w:ind w:left="1440"/>
        <w:rPr>
          <w:sz w:val="24"/>
          <w:szCs w:val="24"/>
        </w:rPr>
      </w:pPr>
      <w:r w:rsidRPr="003C0FA4">
        <w:rPr>
          <w:sz w:val="24"/>
          <w:szCs w:val="24"/>
        </w:rPr>
        <w:t xml:space="preserve">“The Court in </w:t>
      </w:r>
      <w:proofErr w:type="spellStart"/>
      <w:r w:rsidRPr="003C0FA4">
        <w:rPr>
          <w:i/>
          <w:iCs/>
          <w:sz w:val="24"/>
          <w:szCs w:val="24"/>
        </w:rPr>
        <w:t>Allround</w:t>
      </w:r>
      <w:proofErr w:type="spellEnd"/>
      <w:r w:rsidRPr="003C0FA4">
        <w:rPr>
          <w:i/>
          <w:iCs/>
          <w:sz w:val="24"/>
          <w:szCs w:val="24"/>
        </w:rPr>
        <w:t xml:space="preserve"> Tooling v NUMSA</w:t>
      </w:r>
      <w:r w:rsidRPr="003C0FA4">
        <w:rPr>
          <w:sz w:val="24"/>
          <w:szCs w:val="24"/>
        </w:rPr>
        <w:t xml:space="preserve"> </w:t>
      </w:r>
      <w:r w:rsidRPr="003C0FA4">
        <w:rPr>
          <w:i/>
          <w:iCs/>
          <w:sz w:val="24"/>
          <w:szCs w:val="24"/>
        </w:rPr>
        <w:t>and another</w:t>
      </w:r>
      <w:r w:rsidRPr="003C0FA4">
        <w:rPr>
          <w:sz w:val="24"/>
          <w:szCs w:val="24"/>
        </w:rPr>
        <w:t xml:space="preserve"> held that a practitioner's busy schedule is not an acceptable explanation for delay in observing time limits. This approach was followed in </w:t>
      </w:r>
      <w:r w:rsidRPr="003C0FA4">
        <w:rPr>
          <w:i/>
          <w:iCs/>
          <w:sz w:val="24"/>
          <w:szCs w:val="24"/>
        </w:rPr>
        <w:t xml:space="preserve">Minister of Social Development v </w:t>
      </w:r>
      <w:proofErr w:type="spellStart"/>
      <w:r w:rsidRPr="003C0FA4">
        <w:rPr>
          <w:i/>
          <w:iCs/>
          <w:sz w:val="24"/>
          <w:szCs w:val="24"/>
        </w:rPr>
        <w:t>Veldhuizen</w:t>
      </w:r>
      <w:proofErr w:type="spellEnd"/>
      <w:r w:rsidRPr="003C0FA4">
        <w:rPr>
          <w:sz w:val="24"/>
          <w:szCs w:val="24"/>
        </w:rPr>
        <w:t>. For this reason, the fact that the Applicant's representatives were busy with the other applications brought forward, is insufficient.”</w:t>
      </w:r>
    </w:p>
    <w:p w:rsidR="00271F4B" w:rsidRDefault="00DA139D" w:rsidP="00DA139D">
      <w:pPr>
        <w:spacing w:line="360" w:lineRule="auto"/>
        <w:ind w:left="720" w:hanging="720"/>
      </w:pPr>
      <w:r>
        <w:t>[24]</w:t>
      </w:r>
      <w:r>
        <w:tab/>
      </w:r>
      <w:r w:rsidR="001E4739">
        <w:t>Settlement negotiations may not justify non-compliance with a court order. It is a process concurrent and parallel to existing litigation</w:t>
      </w:r>
      <w:r w:rsidR="006E2F39">
        <w:t>;</w:t>
      </w:r>
      <w:r w:rsidR="001E4739">
        <w:t xml:space="preserve"> </w:t>
      </w:r>
      <w:r w:rsidR="001E4739">
        <w:lastRenderedPageBreak/>
        <w:t xml:space="preserve">not </w:t>
      </w:r>
      <w:r w:rsidR="006E2F39">
        <w:t>a process that should</w:t>
      </w:r>
      <w:r w:rsidR="001E4739">
        <w:t xml:space="preserve"> </w:t>
      </w:r>
      <w:r w:rsidR="00D3116D">
        <w:t>obstruct</w:t>
      </w:r>
      <w:r w:rsidR="001E4739">
        <w:t xml:space="preserve"> litigation. If the settlement negotiations were of such a serious nature the parties should have come to court and requested indulgence for that purpose; they may not </w:t>
      </w:r>
      <w:proofErr w:type="spellStart"/>
      <w:r w:rsidR="001E4739">
        <w:t>galivant</w:t>
      </w:r>
      <w:proofErr w:type="spellEnd"/>
      <w:r w:rsidR="001E4739">
        <w:t xml:space="preserve"> on their own processes and ignore the court. </w:t>
      </w:r>
    </w:p>
    <w:p w:rsidR="0050648E" w:rsidRDefault="0050648E" w:rsidP="0050648E">
      <w:pPr>
        <w:ind w:left="720"/>
      </w:pPr>
    </w:p>
    <w:p w:rsidR="00191B6B" w:rsidRDefault="00DA139D" w:rsidP="00DA139D">
      <w:pPr>
        <w:spacing w:line="360" w:lineRule="auto"/>
        <w:ind w:left="720" w:hanging="720"/>
      </w:pPr>
      <w:r>
        <w:t>[25]</w:t>
      </w:r>
      <w:r>
        <w:tab/>
      </w:r>
      <w:r w:rsidR="0050648E">
        <w:t>The applicants maintain that the replying affidavits were only 21 days late</w:t>
      </w:r>
      <w:r w:rsidR="0050648E" w:rsidRPr="0050648E">
        <w:t xml:space="preserve"> </w:t>
      </w:r>
      <w:r w:rsidR="0050648E">
        <w:t xml:space="preserve">and also constitute circumstances beyond their control. This is not correct. </w:t>
      </w:r>
      <w:r w:rsidR="00191B6B">
        <w:t>The lateness of the replying affidavits started to run on 28 October 2023</w:t>
      </w:r>
      <w:r w:rsidR="0050648E">
        <w:t xml:space="preserve"> and ended on 6 December 2023. All the circumstances were well within the control of the applicants, their attorneys and counsel. </w:t>
      </w:r>
    </w:p>
    <w:p w:rsidR="0050648E" w:rsidRDefault="0050648E" w:rsidP="0050648E">
      <w:pPr>
        <w:ind w:left="720"/>
      </w:pPr>
    </w:p>
    <w:p w:rsidR="009E0186" w:rsidRDefault="00DA139D" w:rsidP="00DA139D">
      <w:pPr>
        <w:spacing w:line="360" w:lineRule="auto"/>
        <w:ind w:left="720" w:hanging="720"/>
      </w:pPr>
      <w:r>
        <w:t>[26]</w:t>
      </w:r>
      <w:r>
        <w:tab/>
      </w:r>
      <w:r w:rsidR="009E0186">
        <w:t>The applicants rely on the nature of the relief sought as a basis for the condonation of their conduct; they want to protect the consortium of creditors but their actions indicate differently. They delay</w:t>
      </w:r>
      <w:r w:rsidR="00FD2BB1">
        <w:t>ed</w:t>
      </w:r>
      <w:r w:rsidR="009E0186">
        <w:t xml:space="preserve"> rather than expedite</w:t>
      </w:r>
      <w:r w:rsidR="00FD2BB1">
        <w:t>d</w:t>
      </w:r>
      <w:r w:rsidR="009E0186">
        <w:t xml:space="preserve">. </w:t>
      </w:r>
    </w:p>
    <w:p w:rsidR="009E0186" w:rsidRDefault="009E0186" w:rsidP="00C0219A">
      <w:pPr>
        <w:ind w:left="720"/>
      </w:pPr>
    </w:p>
    <w:p w:rsidR="009E0186" w:rsidRDefault="00DA139D" w:rsidP="00DA139D">
      <w:pPr>
        <w:spacing w:line="360" w:lineRule="auto"/>
        <w:ind w:left="720" w:hanging="720"/>
      </w:pPr>
      <w:r>
        <w:t>[27]</w:t>
      </w:r>
      <w:r>
        <w:tab/>
      </w:r>
      <w:r w:rsidR="009E0186">
        <w:t xml:space="preserve">The applicants </w:t>
      </w:r>
      <w:r w:rsidR="00477C25">
        <w:t>suggested</w:t>
      </w:r>
      <w:r w:rsidR="009E0186">
        <w:t xml:space="preserve"> that “</w:t>
      </w:r>
      <w:r w:rsidR="00752027">
        <w:t>the lateness and/or delay had no effect on the administration of justice</w:t>
      </w:r>
      <w:r w:rsidR="009E0186">
        <w:t xml:space="preserve"> </w:t>
      </w:r>
      <w:r w:rsidR="00752027">
        <w:t>and it is difficult to fathom what such purported effect could be.</w:t>
      </w:r>
      <w:r w:rsidR="009E0186">
        <w:t>”</w:t>
      </w:r>
      <w:r w:rsidR="00664D36">
        <w:rPr>
          <w:rStyle w:val="FootnoteReference"/>
        </w:rPr>
        <w:footnoteReference w:id="13"/>
      </w:r>
      <w:r w:rsidR="00752027">
        <w:t xml:space="preserve"> </w:t>
      </w:r>
      <w:r w:rsidR="009E0186">
        <w:t>The respondents complain, and rightfully so, of severe prejudice due to the late filing of the replying affidavit</w:t>
      </w:r>
      <w:r w:rsidR="003E3B2D">
        <w:t>s</w:t>
      </w:r>
      <w:r w:rsidR="009E0186">
        <w:t xml:space="preserve"> and the conten</w:t>
      </w:r>
      <w:r w:rsidR="00664D36">
        <w:t>ts</w:t>
      </w:r>
      <w:r w:rsidR="009E0186">
        <w:t>. They did not have a fair opportunity to reply and answer to the new facts in the replying affidavit</w:t>
      </w:r>
      <w:r w:rsidR="0041320F">
        <w:t>s</w:t>
      </w:r>
      <w:r w:rsidR="009E0186">
        <w:t xml:space="preserve">. A further prejudice is that they would have had to go into </w:t>
      </w:r>
      <w:r w:rsidR="009E0186">
        <w:lastRenderedPageBreak/>
        <w:t>further litigation</w:t>
      </w:r>
      <w:r w:rsidR="00D37E40">
        <w:t xml:space="preserve"> to remedy and answer to the illegal conduct of the applicants</w:t>
      </w:r>
      <w:r w:rsidR="00EA09F1">
        <w:t xml:space="preserve">. </w:t>
      </w:r>
      <w:r w:rsidR="009E0186">
        <w:t xml:space="preserve">This will result in delays and costs. </w:t>
      </w:r>
    </w:p>
    <w:p w:rsidR="00EA09F1" w:rsidRDefault="00EA09F1" w:rsidP="00EA09F1">
      <w:pPr>
        <w:pStyle w:val="ListParagraph"/>
      </w:pPr>
    </w:p>
    <w:p w:rsidR="009E0186" w:rsidRDefault="00DA139D" w:rsidP="00DA139D">
      <w:pPr>
        <w:spacing w:line="360" w:lineRule="auto"/>
        <w:ind w:left="720" w:hanging="720"/>
      </w:pPr>
      <w:r>
        <w:t>[28]</w:t>
      </w:r>
      <w:r>
        <w:tab/>
      </w:r>
      <w:r w:rsidR="009E0186">
        <w:t xml:space="preserve">The mere compiling and submission of the answering affidavits to the condonation applications that formed part of the replying affidavits, would have added to costs and time. </w:t>
      </w:r>
      <w:r w:rsidR="004944D5">
        <w:t xml:space="preserve">It would not have resolved the issue of the new facts in reply. </w:t>
      </w:r>
      <w:r w:rsidR="009E0186">
        <w:t xml:space="preserve">The respondents did not file answering affidavits to the condonation applications and took issue with the manner in which the applicants litigate in their heads of argument. </w:t>
      </w:r>
    </w:p>
    <w:p w:rsidR="008B7FB5" w:rsidRDefault="008B7FB5" w:rsidP="008B7FB5"/>
    <w:p w:rsidR="004C5D83" w:rsidRDefault="00DA139D" w:rsidP="00DA139D">
      <w:pPr>
        <w:spacing w:line="360" w:lineRule="auto"/>
        <w:ind w:left="720" w:hanging="720"/>
      </w:pPr>
      <w:r>
        <w:t>[29]</w:t>
      </w:r>
      <w:r>
        <w:tab/>
      </w:r>
      <w:r w:rsidR="004C5D83">
        <w:t>The matter was due to proceed on 16 November 2023 and a court day was allocated</w:t>
      </w:r>
      <w:r w:rsidR="00746FF1">
        <w:t>.</w:t>
      </w:r>
      <w:r w:rsidR="004C5D83">
        <w:t xml:space="preserve"> </w:t>
      </w:r>
      <w:r w:rsidR="00746FF1">
        <w:t>O</w:t>
      </w:r>
      <w:r w:rsidR="004C5D83">
        <w:t>nly on 13 November 2023 was the Registrar informed that the matter was to be postponed; other cases could have been accommodated on the court roll.</w:t>
      </w:r>
      <w:r w:rsidR="00AD7AF0">
        <w:t xml:space="preserve"> </w:t>
      </w:r>
      <w:r w:rsidR="00443BBE">
        <w:t xml:space="preserve">A court day was wasted. </w:t>
      </w:r>
      <w:r w:rsidR="00AD7AF0">
        <w:t xml:space="preserve">This affects the </w:t>
      </w:r>
      <w:r w:rsidR="0096041A">
        <w:t xml:space="preserve">administration </w:t>
      </w:r>
      <w:r w:rsidR="00AD7AF0">
        <w:t>of justice.</w:t>
      </w:r>
      <w:r w:rsidR="00B275C0">
        <w:t xml:space="preserve"> By that time the presiding judge had already started with the preparation of the case.</w:t>
      </w:r>
    </w:p>
    <w:p w:rsidR="0041320F" w:rsidRDefault="0041320F" w:rsidP="0041320F">
      <w:pPr>
        <w:pStyle w:val="ListParagraph"/>
      </w:pPr>
    </w:p>
    <w:p w:rsidR="00752027" w:rsidRDefault="00DA139D" w:rsidP="00DA139D">
      <w:pPr>
        <w:spacing w:line="360" w:lineRule="auto"/>
        <w:ind w:left="720" w:hanging="720"/>
      </w:pPr>
      <w:r>
        <w:t>[30]</w:t>
      </w:r>
      <w:r>
        <w:tab/>
      </w:r>
      <w:r w:rsidR="009E0186">
        <w:t xml:space="preserve">The applicants maintain that the </w:t>
      </w:r>
      <w:r w:rsidR="00752027">
        <w:t xml:space="preserve">circumstances </w:t>
      </w:r>
      <w:r w:rsidR="009E0186">
        <w:t>were</w:t>
      </w:r>
      <w:r w:rsidR="00752027">
        <w:t xml:space="preserve"> </w:t>
      </w:r>
      <w:r w:rsidR="009E0186">
        <w:t>“</w:t>
      </w:r>
      <w:r w:rsidR="00752027">
        <w:t>clearly beyond the control of the applicants and their legal representatives and therefore they could not have acted in a manner that can be regarded as reckless and/or intentional</w:t>
      </w:r>
      <w:r w:rsidR="009E0186">
        <w:t>”.</w:t>
      </w:r>
      <w:r w:rsidR="00FC19EA">
        <w:rPr>
          <w:rStyle w:val="FootnoteReference"/>
        </w:rPr>
        <w:footnoteReference w:id="14"/>
      </w:r>
      <w:r w:rsidR="009E0186">
        <w:t xml:space="preserve"> There is not detailed evidence of this but mere swiping statements of a person being overseas, documents that had to be traced and processed and an otherwise engaged counsel. </w:t>
      </w:r>
    </w:p>
    <w:p w:rsidR="009E0186" w:rsidRDefault="009E0186" w:rsidP="009E0186">
      <w:pPr>
        <w:pStyle w:val="ListParagraph"/>
      </w:pPr>
    </w:p>
    <w:p w:rsidR="007B6CCD" w:rsidRDefault="00DA139D" w:rsidP="00DA139D">
      <w:pPr>
        <w:spacing w:line="360" w:lineRule="auto"/>
        <w:ind w:left="720" w:hanging="720"/>
      </w:pPr>
      <w:r>
        <w:t>[31]</w:t>
      </w:r>
      <w:r>
        <w:tab/>
      </w:r>
      <w:r w:rsidR="009E0186">
        <w:t xml:space="preserve">The attack on the other parties in the litigation </w:t>
      </w:r>
      <w:r w:rsidR="00015881">
        <w:t xml:space="preserve">on the basis </w:t>
      </w:r>
      <w:r w:rsidR="009E0186">
        <w:t xml:space="preserve">that they were not available </w:t>
      </w:r>
      <w:r w:rsidR="007B6CCD">
        <w:t xml:space="preserve">on certain dates and intentionally endeavours to exclude crucial information is unfounded and is </w:t>
      </w:r>
      <w:r w:rsidR="00424222">
        <w:t>bizarre</w:t>
      </w:r>
      <w:r w:rsidR="007B6CCD">
        <w:t>:</w:t>
      </w:r>
    </w:p>
    <w:p w:rsidR="007B6CCD" w:rsidRPr="007B6CCD" w:rsidRDefault="007B6CCD" w:rsidP="00DC0770">
      <w:pPr>
        <w:spacing w:line="360" w:lineRule="auto"/>
        <w:ind w:left="1440" w:hanging="720"/>
        <w:rPr>
          <w:sz w:val="24"/>
          <w:szCs w:val="24"/>
        </w:rPr>
      </w:pPr>
      <w:r w:rsidRPr="007B6CCD">
        <w:rPr>
          <w:sz w:val="24"/>
          <w:szCs w:val="24"/>
        </w:rPr>
        <w:t xml:space="preserve">13.7. </w:t>
      </w:r>
      <w:r w:rsidR="00DC0770">
        <w:rPr>
          <w:sz w:val="24"/>
          <w:szCs w:val="24"/>
        </w:rPr>
        <w:tab/>
      </w:r>
      <w:r w:rsidRPr="007B6CCD">
        <w:rPr>
          <w:sz w:val="24"/>
          <w:szCs w:val="24"/>
        </w:rPr>
        <w:t xml:space="preserve">the condonation applications are made </w:t>
      </w:r>
      <w:r w:rsidRPr="007B6CCD">
        <w:rPr>
          <w:i/>
          <w:iCs/>
          <w:sz w:val="24"/>
          <w:szCs w:val="24"/>
        </w:rPr>
        <w:t>bona fide</w:t>
      </w:r>
      <w:r w:rsidRPr="007B6CCD">
        <w:rPr>
          <w:sz w:val="24"/>
          <w:szCs w:val="24"/>
        </w:rPr>
        <w:t xml:space="preserve"> and not with the object of delaying the hearing of the matters. </w:t>
      </w:r>
      <w:proofErr w:type="spellStart"/>
      <w:r w:rsidRPr="007B6CCD">
        <w:rPr>
          <w:sz w:val="24"/>
          <w:szCs w:val="24"/>
        </w:rPr>
        <w:t>Afterall</w:t>
      </w:r>
      <w:proofErr w:type="spellEnd"/>
      <w:r w:rsidRPr="007B6CCD">
        <w:rPr>
          <w:sz w:val="24"/>
          <w:szCs w:val="24"/>
        </w:rPr>
        <w:t xml:space="preserve">, it is vividly clear that </w:t>
      </w:r>
      <w:proofErr w:type="spellStart"/>
      <w:r w:rsidRPr="007B6CCD">
        <w:rPr>
          <w:sz w:val="24"/>
          <w:szCs w:val="24"/>
        </w:rPr>
        <w:t>Noordman</w:t>
      </w:r>
      <w:proofErr w:type="spellEnd"/>
      <w:r w:rsidRPr="007B6CCD">
        <w:rPr>
          <w:sz w:val="24"/>
          <w:szCs w:val="24"/>
        </w:rPr>
        <w:t xml:space="preserve"> endeavoured to arrange dates for hearing both matters on 30</w:t>
      </w:r>
      <w:r>
        <w:rPr>
          <w:sz w:val="24"/>
          <w:szCs w:val="24"/>
        </w:rPr>
        <w:t xml:space="preserve"> </w:t>
      </w:r>
      <w:r w:rsidRPr="007B6CCD">
        <w:rPr>
          <w:sz w:val="24"/>
          <w:szCs w:val="24"/>
        </w:rPr>
        <w:t xml:space="preserve">November 2023 and 7 December 2023. These dates did not suit either </w:t>
      </w:r>
      <w:proofErr w:type="spellStart"/>
      <w:r w:rsidRPr="007B6CCD">
        <w:rPr>
          <w:sz w:val="24"/>
          <w:szCs w:val="24"/>
        </w:rPr>
        <w:t>Lovius</w:t>
      </w:r>
      <w:proofErr w:type="spellEnd"/>
      <w:r w:rsidRPr="007B6CCD">
        <w:rPr>
          <w:sz w:val="24"/>
          <w:szCs w:val="24"/>
        </w:rPr>
        <w:t xml:space="preserve"> or SH as a result of which it was ultimately agreed that both matters be heard on 25 January 2024; and </w:t>
      </w:r>
    </w:p>
    <w:p w:rsidR="007B6CCD" w:rsidRPr="007B6CCD" w:rsidRDefault="007B6CCD" w:rsidP="00DC0770">
      <w:pPr>
        <w:spacing w:line="360" w:lineRule="auto"/>
        <w:ind w:left="1440" w:hanging="720"/>
        <w:rPr>
          <w:sz w:val="24"/>
          <w:szCs w:val="24"/>
        </w:rPr>
      </w:pPr>
      <w:r w:rsidRPr="007B6CCD">
        <w:rPr>
          <w:sz w:val="24"/>
          <w:szCs w:val="24"/>
        </w:rPr>
        <w:t xml:space="preserve">13.8 </w:t>
      </w:r>
      <w:r w:rsidR="00DC0770">
        <w:rPr>
          <w:sz w:val="24"/>
          <w:szCs w:val="24"/>
        </w:rPr>
        <w:tab/>
      </w:r>
      <w:r w:rsidRPr="007B6CCD">
        <w:rPr>
          <w:sz w:val="24"/>
          <w:szCs w:val="24"/>
        </w:rPr>
        <w:t>an objection to condonation is an objection to exclude evidence and conclusions in support of the relief claimed by the applicants in both applications. Such object and purpose constitutes</w:t>
      </w:r>
      <w:r w:rsidR="0050648E">
        <w:rPr>
          <w:sz w:val="24"/>
          <w:szCs w:val="24"/>
        </w:rPr>
        <w:t xml:space="preserve"> </w:t>
      </w:r>
      <w:r>
        <w:rPr>
          <w:sz w:val="24"/>
          <w:szCs w:val="24"/>
        </w:rPr>
        <w:t>(sic)</w:t>
      </w:r>
      <w:r w:rsidRPr="007B6CCD">
        <w:rPr>
          <w:sz w:val="24"/>
          <w:szCs w:val="24"/>
        </w:rPr>
        <w:t xml:space="preserve"> an abuse as it attempts to utilize strict compliance with the timeframes provided by the Court order of 21 September 2023 to exclude valuable and material evidence and thereby utilizing the said Court order for a purpose extraneous to the pursuit of the truth.</w:t>
      </w:r>
      <w:r w:rsidR="00015881">
        <w:rPr>
          <w:rStyle w:val="FootnoteReference"/>
          <w:sz w:val="24"/>
          <w:szCs w:val="24"/>
        </w:rPr>
        <w:footnoteReference w:id="15"/>
      </w:r>
    </w:p>
    <w:p w:rsidR="00752027" w:rsidRDefault="007B6CCD" w:rsidP="007B6CCD">
      <w:pPr>
        <w:pStyle w:val="ListParagraph"/>
        <w:spacing w:line="360" w:lineRule="auto"/>
      </w:pPr>
      <w:r>
        <w:t>The replying affidavits were only filed on 6 December 2023; due process would have failed and is the statement nonsensical</w:t>
      </w:r>
      <w:r w:rsidR="007168D9">
        <w:t xml:space="preserve"> if the matter</w:t>
      </w:r>
      <w:r w:rsidR="001618BB">
        <w:t>s</w:t>
      </w:r>
      <w:r w:rsidR="007168D9">
        <w:t xml:space="preserve"> w</w:t>
      </w:r>
      <w:r w:rsidR="001618BB">
        <w:t>ere</w:t>
      </w:r>
      <w:r w:rsidR="007168D9">
        <w:t xml:space="preserve"> set down on 30 November 2023 or 7 December 2023.</w:t>
      </w:r>
      <w:r w:rsidR="00015881">
        <w:t xml:space="preserve"> The court roll could not accommodate the dates because of other matters already set down for hearing. </w:t>
      </w:r>
      <w:r w:rsidR="00D37E40">
        <w:t xml:space="preserve">The prejudice to the other litigants is clear and they have a right to object to the manner </w:t>
      </w:r>
      <w:r w:rsidR="00E23AA5">
        <w:t xml:space="preserve">in </w:t>
      </w:r>
      <w:r w:rsidR="00E42B6F">
        <w:t>which</w:t>
      </w:r>
      <w:r w:rsidR="00D37E40">
        <w:t xml:space="preserve"> the applicants litigated. </w:t>
      </w:r>
      <w:r w:rsidR="00E42B6F">
        <w:t>As said above; section 34 of the Constitution is a right not to be abused.</w:t>
      </w:r>
      <w:r w:rsidR="00E23AA5">
        <w:t xml:space="preserve"> The respondents must be granted an opportunity to state their cases.</w:t>
      </w:r>
    </w:p>
    <w:p w:rsidR="00E23AA5" w:rsidRDefault="00E23AA5" w:rsidP="00E23AA5">
      <w:pPr>
        <w:pStyle w:val="ListParagraph"/>
      </w:pPr>
    </w:p>
    <w:p w:rsidR="009F136A" w:rsidRDefault="00DA139D" w:rsidP="00DA139D">
      <w:pPr>
        <w:spacing w:line="360" w:lineRule="auto"/>
        <w:ind w:left="720" w:hanging="720"/>
      </w:pPr>
      <w:r>
        <w:lastRenderedPageBreak/>
        <w:t>[32]</w:t>
      </w:r>
      <w:r>
        <w:tab/>
      </w:r>
      <w:r w:rsidR="00A87F3D">
        <w:t>Condonation may not be granted. The refusal to grant condonation for the late filing of the replying affidavits is fortified by the content</w:t>
      </w:r>
      <w:r w:rsidR="00FC19EA">
        <w:t>s</w:t>
      </w:r>
      <w:r w:rsidR="00A87F3D">
        <w:t xml:space="preserve"> of the affidavits that are procedurally questionable and severely </w:t>
      </w:r>
      <w:r w:rsidR="00AC109D">
        <w:t>prejudicial to all the respondents and the administration of justice. It is yet another act of non-compliance with the law</w:t>
      </w:r>
      <w:r w:rsidR="00A87F3D">
        <w:t xml:space="preserve">.  </w:t>
      </w:r>
      <w:r w:rsidR="009F136A">
        <w:t xml:space="preserve">Counsel for </w:t>
      </w:r>
      <w:proofErr w:type="spellStart"/>
      <w:r w:rsidR="001618BB">
        <w:rPr>
          <w:lang w:val="en-US"/>
        </w:rPr>
        <w:t>Zinvonox</w:t>
      </w:r>
      <w:proofErr w:type="spellEnd"/>
      <w:r w:rsidR="001618BB">
        <w:t xml:space="preserve"> and Mr Olivier </w:t>
      </w:r>
      <w:r w:rsidR="009F136A">
        <w:t>is correct in their submissions that new facts were drawn in during reply:</w:t>
      </w:r>
    </w:p>
    <w:p w:rsidR="009F136A" w:rsidRPr="009F136A" w:rsidRDefault="009F136A" w:rsidP="009F136A">
      <w:pPr>
        <w:spacing w:line="360" w:lineRule="auto"/>
        <w:ind w:left="1440" w:hanging="720"/>
        <w:rPr>
          <w:sz w:val="24"/>
          <w:szCs w:val="24"/>
        </w:rPr>
      </w:pPr>
      <w:r w:rsidRPr="009F136A">
        <w:rPr>
          <w:sz w:val="24"/>
          <w:szCs w:val="24"/>
        </w:rPr>
        <w:t xml:space="preserve">2.5. </w:t>
      </w:r>
      <w:r>
        <w:rPr>
          <w:sz w:val="24"/>
          <w:szCs w:val="24"/>
        </w:rPr>
        <w:tab/>
      </w:r>
      <w:r w:rsidRPr="009F136A">
        <w:rPr>
          <w:sz w:val="24"/>
          <w:szCs w:val="24"/>
        </w:rPr>
        <w:t>The applicant builds their case step by step within the replying affidavit,</w:t>
      </w:r>
      <w:r w:rsidR="00B949D1">
        <w:rPr>
          <w:sz w:val="24"/>
          <w:szCs w:val="24"/>
        </w:rPr>
        <w:t xml:space="preserve"> </w:t>
      </w:r>
      <w:r w:rsidRPr="009F136A">
        <w:rPr>
          <w:sz w:val="24"/>
          <w:szCs w:val="24"/>
        </w:rPr>
        <w:t>new information, of which the applicant had prior knowledge, are only submitted in their replying affidavit, such conduct is frowned upon as an abuse of the process and is prejudicial to any respondent.</w:t>
      </w:r>
    </w:p>
    <w:p w:rsidR="009F136A" w:rsidRPr="009F136A" w:rsidRDefault="009F136A" w:rsidP="009F136A">
      <w:pPr>
        <w:spacing w:line="360" w:lineRule="auto"/>
        <w:ind w:left="1440" w:hanging="720"/>
        <w:rPr>
          <w:sz w:val="24"/>
          <w:szCs w:val="24"/>
        </w:rPr>
      </w:pPr>
      <w:r w:rsidRPr="009F136A">
        <w:rPr>
          <w:sz w:val="24"/>
          <w:szCs w:val="24"/>
        </w:rPr>
        <w:t>2.6.</w:t>
      </w:r>
      <w:r w:rsidR="00015881">
        <w:rPr>
          <w:sz w:val="24"/>
          <w:szCs w:val="24"/>
        </w:rPr>
        <w:tab/>
      </w:r>
      <w:r w:rsidRPr="009F136A">
        <w:rPr>
          <w:sz w:val="24"/>
          <w:szCs w:val="24"/>
        </w:rPr>
        <w:t>The second</w:t>
      </w:r>
      <w:r w:rsidR="003701D9">
        <w:rPr>
          <w:sz w:val="24"/>
          <w:szCs w:val="24"/>
        </w:rPr>
        <w:t xml:space="preserve"> (sic)</w:t>
      </w:r>
      <w:r w:rsidRPr="009F136A">
        <w:rPr>
          <w:sz w:val="24"/>
          <w:szCs w:val="24"/>
        </w:rPr>
        <w:t xml:space="preserve"> and Third Respondent are unable to respond and challenge the allegations contained within the replying affidavit. </w:t>
      </w:r>
      <w:r w:rsidR="00583FB2" w:rsidRPr="009F136A">
        <w:rPr>
          <w:sz w:val="24"/>
          <w:szCs w:val="24"/>
        </w:rPr>
        <w:t>Therefore,</w:t>
      </w:r>
      <w:r w:rsidRPr="009F136A">
        <w:rPr>
          <w:sz w:val="24"/>
          <w:szCs w:val="24"/>
        </w:rPr>
        <w:t xml:space="preserve"> the replying affidavit should be dismissed and excluded from this application.</w:t>
      </w:r>
    </w:p>
    <w:p w:rsidR="009F136A" w:rsidRPr="009F136A" w:rsidRDefault="009F136A" w:rsidP="009F136A">
      <w:pPr>
        <w:spacing w:line="360" w:lineRule="auto"/>
        <w:ind w:left="1440" w:hanging="720"/>
        <w:rPr>
          <w:sz w:val="24"/>
          <w:szCs w:val="24"/>
        </w:rPr>
      </w:pPr>
      <w:r w:rsidRPr="009F136A">
        <w:rPr>
          <w:sz w:val="24"/>
          <w:szCs w:val="24"/>
        </w:rPr>
        <w:t xml:space="preserve">2.7. </w:t>
      </w:r>
      <w:r>
        <w:rPr>
          <w:sz w:val="24"/>
          <w:szCs w:val="24"/>
        </w:rPr>
        <w:tab/>
      </w:r>
      <w:r w:rsidRPr="009F136A">
        <w:rPr>
          <w:sz w:val="24"/>
          <w:szCs w:val="24"/>
        </w:rPr>
        <w:t>The applicants replying affidavit sets a new case in respect of the following:</w:t>
      </w:r>
    </w:p>
    <w:p w:rsidR="009F136A" w:rsidRPr="009F136A" w:rsidRDefault="009F136A" w:rsidP="009F136A">
      <w:pPr>
        <w:spacing w:line="360" w:lineRule="auto"/>
        <w:ind w:left="2160" w:hanging="720"/>
        <w:rPr>
          <w:sz w:val="24"/>
          <w:szCs w:val="24"/>
        </w:rPr>
      </w:pPr>
      <w:r w:rsidRPr="009F136A">
        <w:rPr>
          <w:sz w:val="24"/>
          <w:szCs w:val="24"/>
        </w:rPr>
        <w:t>2.7.1. The Tender bid with number E251091/2020 upon which the Applicant relies in its cause of action is only mentioned in the replying affidavit. The Second and Third Respondent are prejudice as stated in paragraph 2.6.</w:t>
      </w:r>
    </w:p>
    <w:p w:rsidR="009F136A" w:rsidRPr="009F136A" w:rsidRDefault="009F136A" w:rsidP="009F136A">
      <w:pPr>
        <w:spacing w:line="360" w:lineRule="auto"/>
        <w:ind w:left="2160" w:hanging="720"/>
        <w:rPr>
          <w:sz w:val="24"/>
          <w:szCs w:val="24"/>
        </w:rPr>
      </w:pPr>
      <w:r w:rsidRPr="009F136A">
        <w:rPr>
          <w:sz w:val="24"/>
          <w:szCs w:val="24"/>
        </w:rPr>
        <w:t xml:space="preserve">2.7.2. </w:t>
      </w:r>
      <w:r w:rsidR="00091E77">
        <w:rPr>
          <w:sz w:val="24"/>
          <w:szCs w:val="24"/>
        </w:rPr>
        <w:t xml:space="preserve"> </w:t>
      </w:r>
      <w:r w:rsidRPr="009F136A">
        <w:rPr>
          <w:sz w:val="24"/>
          <w:szCs w:val="24"/>
        </w:rPr>
        <w:t xml:space="preserve">The applicant submits a new case for certain monies advanced to </w:t>
      </w:r>
      <w:proofErr w:type="spellStart"/>
      <w:r w:rsidRPr="009F136A">
        <w:rPr>
          <w:sz w:val="24"/>
          <w:szCs w:val="24"/>
        </w:rPr>
        <w:t>Mtetwa</w:t>
      </w:r>
      <w:proofErr w:type="spellEnd"/>
      <w:r w:rsidRPr="009F136A">
        <w:rPr>
          <w:sz w:val="24"/>
          <w:szCs w:val="24"/>
        </w:rPr>
        <w:t xml:space="preserve"> based on the tender, which should be dealt with the applicable and relevant parties.</w:t>
      </w:r>
    </w:p>
    <w:p w:rsidR="009F136A" w:rsidRPr="009F136A" w:rsidRDefault="009F136A" w:rsidP="009F136A">
      <w:pPr>
        <w:spacing w:line="360" w:lineRule="auto"/>
        <w:ind w:left="2160" w:hanging="720"/>
        <w:rPr>
          <w:sz w:val="24"/>
          <w:szCs w:val="24"/>
        </w:rPr>
      </w:pPr>
      <w:r w:rsidRPr="009F136A">
        <w:rPr>
          <w:sz w:val="24"/>
          <w:szCs w:val="24"/>
        </w:rPr>
        <w:t xml:space="preserve">2.7.3. </w:t>
      </w:r>
      <w:r w:rsidR="00091E77">
        <w:rPr>
          <w:sz w:val="24"/>
          <w:szCs w:val="24"/>
        </w:rPr>
        <w:t xml:space="preserve"> </w:t>
      </w:r>
      <w:r w:rsidRPr="009F136A">
        <w:rPr>
          <w:sz w:val="24"/>
          <w:szCs w:val="24"/>
        </w:rPr>
        <w:t>The applicant failed to disclose relevant information in founding with regards to prior undertakings between the Attorney and First Respondent, such information should have been included in the founding, for the Second and Third Respondents to answer to such allegations and submissions.</w:t>
      </w:r>
    </w:p>
    <w:p w:rsidR="009F136A" w:rsidRPr="009F136A" w:rsidRDefault="009F136A" w:rsidP="009F136A">
      <w:pPr>
        <w:spacing w:line="360" w:lineRule="auto"/>
        <w:ind w:left="2160" w:hanging="720"/>
        <w:rPr>
          <w:sz w:val="24"/>
          <w:szCs w:val="24"/>
        </w:rPr>
      </w:pPr>
      <w:r w:rsidRPr="009F136A">
        <w:rPr>
          <w:sz w:val="24"/>
          <w:szCs w:val="24"/>
        </w:rPr>
        <w:t xml:space="preserve">2.7.4. </w:t>
      </w:r>
      <w:r w:rsidR="00091E77">
        <w:rPr>
          <w:sz w:val="24"/>
          <w:szCs w:val="24"/>
        </w:rPr>
        <w:t xml:space="preserve"> </w:t>
      </w:r>
      <w:r w:rsidRPr="009F136A">
        <w:rPr>
          <w:sz w:val="24"/>
          <w:szCs w:val="24"/>
        </w:rPr>
        <w:t xml:space="preserve">The applicant introduces a credit facility agreement, which is not mentioned within the founding affidavit. Such agreement is </w:t>
      </w:r>
      <w:r w:rsidRPr="009F136A">
        <w:rPr>
          <w:sz w:val="24"/>
          <w:szCs w:val="24"/>
        </w:rPr>
        <w:lastRenderedPageBreak/>
        <w:t>stated to be the basis of the unsigned Acknowledgement of debt</w:t>
      </w:r>
      <w:r w:rsidR="006665FE">
        <w:rPr>
          <w:sz w:val="24"/>
          <w:szCs w:val="24"/>
        </w:rPr>
        <w:t xml:space="preserve"> (sic)</w:t>
      </w:r>
      <w:r w:rsidRPr="009F136A">
        <w:rPr>
          <w:sz w:val="24"/>
          <w:szCs w:val="24"/>
        </w:rPr>
        <w:t>. The Second and Third Respondent are unable to address this allegation, as the Applicant precluded such information from its founding.</w:t>
      </w:r>
    </w:p>
    <w:p w:rsidR="009F136A" w:rsidRPr="009F136A" w:rsidRDefault="009F136A" w:rsidP="009F136A">
      <w:pPr>
        <w:spacing w:line="360" w:lineRule="auto"/>
        <w:ind w:left="2160" w:hanging="720"/>
        <w:rPr>
          <w:sz w:val="24"/>
          <w:szCs w:val="24"/>
        </w:rPr>
      </w:pPr>
      <w:r w:rsidRPr="009F136A">
        <w:rPr>
          <w:sz w:val="24"/>
          <w:szCs w:val="24"/>
        </w:rPr>
        <w:t xml:space="preserve">2.7.5. </w:t>
      </w:r>
      <w:r w:rsidR="00091E77">
        <w:rPr>
          <w:sz w:val="24"/>
          <w:szCs w:val="24"/>
        </w:rPr>
        <w:t xml:space="preserve"> </w:t>
      </w:r>
      <w:r w:rsidRPr="009F136A">
        <w:rPr>
          <w:sz w:val="24"/>
          <w:szCs w:val="24"/>
        </w:rPr>
        <w:t xml:space="preserve">The Applicants replying affidavit contains personal information provided by the Third Respondent to their legal representative as a prospective client, to assist with a matter on the Third Respondents behalf prior to </w:t>
      </w:r>
      <w:proofErr w:type="gramStart"/>
      <w:r w:rsidRPr="009F136A">
        <w:rPr>
          <w:sz w:val="24"/>
          <w:szCs w:val="24"/>
        </w:rPr>
        <w:t>this litigation proceedings</w:t>
      </w:r>
      <w:proofErr w:type="gramEnd"/>
      <w:r w:rsidRPr="009F136A">
        <w:rPr>
          <w:sz w:val="24"/>
          <w:szCs w:val="24"/>
        </w:rPr>
        <w:t xml:space="preserve">. These </w:t>
      </w:r>
      <w:proofErr w:type="gramStart"/>
      <w:r w:rsidRPr="009F136A">
        <w:rPr>
          <w:sz w:val="24"/>
          <w:szCs w:val="24"/>
        </w:rPr>
        <w:t>persons</w:t>
      </w:r>
      <w:proofErr w:type="gramEnd"/>
      <w:r w:rsidRPr="009F136A">
        <w:rPr>
          <w:sz w:val="24"/>
          <w:szCs w:val="24"/>
        </w:rPr>
        <w:t xml:space="preserve"> names are included in the replying affidavit, they are not a party to this litigation and such publication contravenes the Protection of Personal Information Act.</w:t>
      </w:r>
    </w:p>
    <w:p w:rsidR="009F136A" w:rsidRPr="009F136A" w:rsidRDefault="009F136A" w:rsidP="009F136A">
      <w:pPr>
        <w:spacing w:line="360" w:lineRule="auto"/>
        <w:ind w:left="2160" w:hanging="720"/>
        <w:rPr>
          <w:sz w:val="24"/>
          <w:szCs w:val="24"/>
        </w:rPr>
      </w:pPr>
      <w:r w:rsidRPr="009F136A">
        <w:rPr>
          <w:sz w:val="24"/>
          <w:szCs w:val="24"/>
        </w:rPr>
        <w:t xml:space="preserve">2.7.6. </w:t>
      </w:r>
      <w:r w:rsidR="00091E77">
        <w:rPr>
          <w:sz w:val="24"/>
          <w:szCs w:val="24"/>
        </w:rPr>
        <w:t xml:space="preserve"> </w:t>
      </w:r>
      <w:r w:rsidRPr="009F136A">
        <w:rPr>
          <w:sz w:val="24"/>
          <w:szCs w:val="24"/>
        </w:rPr>
        <w:t>The applicant attached a list of other agreements of which the Second and Third Respondent have no prior knowledge, such agreements are only attached to the reply and not set forth in founding affidavit. Therefore, it is submitted that the Second and Third Respondent is once again unable to answer</w:t>
      </w:r>
      <w:r w:rsidR="001618BB">
        <w:rPr>
          <w:sz w:val="24"/>
          <w:szCs w:val="24"/>
        </w:rPr>
        <w:t xml:space="preserve"> (sic)</w:t>
      </w:r>
      <w:r w:rsidRPr="009F136A">
        <w:rPr>
          <w:sz w:val="24"/>
          <w:szCs w:val="24"/>
        </w:rPr>
        <w:t xml:space="preserve"> these allegations, failure to answer is prejudice</w:t>
      </w:r>
      <w:r w:rsidR="00D57274">
        <w:rPr>
          <w:sz w:val="24"/>
          <w:szCs w:val="24"/>
        </w:rPr>
        <w:t xml:space="preserve"> </w:t>
      </w:r>
      <w:r w:rsidR="00C52D78">
        <w:rPr>
          <w:sz w:val="24"/>
          <w:szCs w:val="24"/>
        </w:rPr>
        <w:t>(sic)</w:t>
      </w:r>
      <w:r w:rsidRPr="009F136A">
        <w:rPr>
          <w:sz w:val="24"/>
          <w:szCs w:val="24"/>
        </w:rPr>
        <w:t xml:space="preserve"> the second and third Respondent. The applicants fail to prove that these agreements are previously discussed with the second and third Respondents, no submission is found in the affidavit.</w:t>
      </w:r>
    </w:p>
    <w:p w:rsidR="009F136A" w:rsidRPr="009F136A" w:rsidRDefault="00A26833" w:rsidP="00A26833">
      <w:pPr>
        <w:spacing w:line="360" w:lineRule="auto"/>
        <w:ind w:left="2160" w:hanging="720"/>
        <w:rPr>
          <w:sz w:val="24"/>
          <w:szCs w:val="24"/>
        </w:rPr>
      </w:pPr>
      <w:r>
        <w:rPr>
          <w:sz w:val="24"/>
          <w:szCs w:val="24"/>
        </w:rPr>
        <w:t>2.</w:t>
      </w:r>
      <w:r w:rsidR="009F136A" w:rsidRPr="009F136A">
        <w:rPr>
          <w:sz w:val="24"/>
          <w:szCs w:val="24"/>
        </w:rPr>
        <w:t xml:space="preserve">7.7. </w:t>
      </w:r>
      <w:r w:rsidR="00091E77">
        <w:rPr>
          <w:sz w:val="24"/>
          <w:szCs w:val="24"/>
        </w:rPr>
        <w:t xml:space="preserve"> </w:t>
      </w:r>
      <w:r w:rsidR="009F136A" w:rsidRPr="009F136A">
        <w:rPr>
          <w:sz w:val="24"/>
          <w:szCs w:val="24"/>
        </w:rPr>
        <w:t xml:space="preserve">The applicants rely on an acknowledgement of </w:t>
      </w:r>
      <w:r w:rsidR="00F05448" w:rsidRPr="009F136A">
        <w:rPr>
          <w:sz w:val="24"/>
          <w:szCs w:val="24"/>
        </w:rPr>
        <w:t>debt;</w:t>
      </w:r>
      <w:r w:rsidR="009F136A" w:rsidRPr="009F136A">
        <w:rPr>
          <w:sz w:val="24"/>
          <w:szCs w:val="24"/>
        </w:rPr>
        <w:t xml:space="preserve"> </w:t>
      </w:r>
      <w:r w:rsidR="00F05448" w:rsidRPr="009F136A">
        <w:rPr>
          <w:sz w:val="24"/>
          <w:szCs w:val="24"/>
        </w:rPr>
        <w:t>however,</w:t>
      </w:r>
      <w:r w:rsidR="009F136A" w:rsidRPr="009F136A">
        <w:rPr>
          <w:sz w:val="24"/>
          <w:szCs w:val="24"/>
        </w:rPr>
        <w:t xml:space="preserve"> the contract is not allowed to be shared with the Second and Third Respondents, of which judgement is sought. It is submitted that the applicant has contractual remedies available to redress their liability, they could notify the Respondents of their cancellation and could have sold the drill to mitigate their damages, if the applicants believe their agreement is valid.</w:t>
      </w:r>
    </w:p>
    <w:p w:rsidR="009F136A" w:rsidRDefault="009F136A" w:rsidP="00A26833">
      <w:pPr>
        <w:spacing w:line="360" w:lineRule="auto"/>
        <w:ind w:left="2160" w:hanging="720"/>
        <w:rPr>
          <w:sz w:val="24"/>
          <w:szCs w:val="24"/>
        </w:rPr>
      </w:pPr>
      <w:r w:rsidRPr="009F136A">
        <w:rPr>
          <w:sz w:val="24"/>
          <w:szCs w:val="24"/>
        </w:rPr>
        <w:t xml:space="preserve">2.7.8. </w:t>
      </w:r>
      <w:r w:rsidR="00091E77">
        <w:rPr>
          <w:sz w:val="24"/>
          <w:szCs w:val="24"/>
        </w:rPr>
        <w:t xml:space="preserve"> </w:t>
      </w:r>
      <w:r w:rsidRPr="009F136A">
        <w:rPr>
          <w:sz w:val="24"/>
          <w:szCs w:val="24"/>
        </w:rPr>
        <w:t>The applicant</w:t>
      </w:r>
      <w:r w:rsidR="00BF47D2">
        <w:rPr>
          <w:sz w:val="24"/>
          <w:szCs w:val="24"/>
        </w:rPr>
        <w:t xml:space="preserve"> (sic)</w:t>
      </w:r>
      <w:r w:rsidRPr="009F136A">
        <w:rPr>
          <w:sz w:val="24"/>
          <w:szCs w:val="24"/>
        </w:rPr>
        <w:t xml:space="preserve"> relies on unsigned agreements.</w:t>
      </w:r>
    </w:p>
    <w:p w:rsidR="00A26833" w:rsidRPr="00A26833" w:rsidRDefault="00A26833" w:rsidP="00A26833">
      <w:pPr>
        <w:ind w:left="2160" w:hanging="720"/>
      </w:pPr>
    </w:p>
    <w:p w:rsidR="009D2439" w:rsidRPr="009D2439" w:rsidRDefault="00DA139D" w:rsidP="00DA139D">
      <w:pPr>
        <w:spacing w:line="360" w:lineRule="auto"/>
        <w:ind w:left="720" w:hanging="720"/>
      </w:pPr>
      <w:r w:rsidRPr="009D2439">
        <w:lastRenderedPageBreak/>
        <w:t>[33]</w:t>
      </w:r>
      <w:r w:rsidRPr="009D2439">
        <w:tab/>
      </w:r>
      <w:r w:rsidR="009D2439" w:rsidRPr="009D2439">
        <w:t>Harms</w:t>
      </w:r>
      <w:r w:rsidR="009D2439">
        <w:rPr>
          <w:rStyle w:val="FootnoteReference"/>
        </w:rPr>
        <w:footnoteReference w:id="16"/>
      </w:r>
      <w:r w:rsidR="009D2439" w:rsidRPr="009D2439">
        <w:t xml:space="preserve"> with extensive reference to case law came to the following conclusion with which I align myself: </w:t>
      </w:r>
    </w:p>
    <w:p w:rsidR="009D2439" w:rsidRDefault="009D2439" w:rsidP="009D2439">
      <w:pPr>
        <w:spacing w:line="360" w:lineRule="auto"/>
        <w:ind w:left="720"/>
        <w:rPr>
          <w:sz w:val="24"/>
          <w:szCs w:val="24"/>
        </w:rPr>
      </w:pPr>
      <w:r w:rsidRPr="009D2439">
        <w:rPr>
          <w:sz w:val="24"/>
          <w:szCs w:val="24"/>
        </w:rPr>
        <w:t xml:space="preserve">It has been mentioned that normally an applicant must stand or fall by his founding affidavit. It follows from this that an applicant will not be permitted to introduce new matter in reply except within a very narrow ambit, and the court may ignore or strike out matter in the replying affidavit that should have been contained in the founding affidavit. The present tendency seems to permit greater flexibility, at least in the absence of prejudice. Unless there is an objection to such new matter, the court will not </w:t>
      </w:r>
      <w:proofErr w:type="spellStart"/>
      <w:r w:rsidRPr="009D2439">
        <w:rPr>
          <w:i/>
          <w:iCs/>
          <w:sz w:val="24"/>
          <w:szCs w:val="24"/>
        </w:rPr>
        <w:t>mero</w:t>
      </w:r>
      <w:proofErr w:type="spellEnd"/>
      <w:r w:rsidRPr="009D2439">
        <w:rPr>
          <w:i/>
          <w:iCs/>
          <w:sz w:val="24"/>
          <w:szCs w:val="24"/>
        </w:rPr>
        <w:t xml:space="preserve"> </w:t>
      </w:r>
      <w:proofErr w:type="spellStart"/>
      <w:r w:rsidRPr="009D2439">
        <w:rPr>
          <w:i/>
          <w:iCs/>
          <w:sz w:val="24"/>
          <w:szCs w:val="24"/>
        </w:rPr>
        <w:t>motu</w:t>
      </w:r>
      <w:proofErr w:type="spellEnd"/>
      <w:r w:rsidRPr="009D2439">
        <w:rPr>
          <w:sz w:val="24"/>
          <w:szCs w:val="24"/>
        </w:rPr>
        <w:t xml:space="preserve"> disregard it or strike it out. An important consideration is whether the applicant was in possession of the “new” facts when the founding affidavit was prepared or whether the answer broadened the issues</w:t>
      </w:r>
      <w:r>
        <w:rPr>
          <w:sz w:val="24"/>
          <w:szCs w:val="24"/>
        </w:rPr>
        <w:t>…</w:t>
      </w:r>
    </w:p>
    <w:p w:rsidR="009D2439" w:rsidRDefault="009D2439" w:rsidP="009D2439">
      <w:pPr>
        <w:spacing w:line="360" w:lineRule="auto"/>
        <w:ind w:left="720"/>
        <w:rPr>
          <w:sz w:val="24"/>
          <w:szCs w:val="24"/>
        </w:rPr>
      </w:pPr>
      <w:r>
        <w:rPr>
          <w:sz w:val="24"/>
          <w:szCs w:val="24"/>
        </w:rPr>
        <w:t>…</w:t>
      </w:r>
      <w:r w:rsidRPr="009D2439">
        <w:rPr>
          <w:sz w:val="24"/>
          <w:szCs w:val="24"/>
        </w:rPr>
        <w:t>Main arguments in support of the relief sought should be advanced in the founding affidavit and not in the replying affidavit</w:t>
      </w:r>
      <w:r w:rsidR="00CB7FEE">
        <w:rPr>
          <w:sz w:val="24"/>
          <w:szCs w:val="24"/>
        </w:rPr>
        <w:t>…</w:t>
      </w:r>
    </w:p>
    <w:p w:rsidR="006F0E17" w:rsidRDefault="006F0E17" w:rsidP="00AC109D">
      <w:pPr>
        <w:ind w:left="720"/>
      </w:pPr>
    </w:p>
    <w:p w:rsidR="002666BC" w:rsidRPr="002666BC" w:rsidRDefault="00DA139D" w:rsidP="00DA139D">
      <w:pPr>
        <w:spacing w:line="360" w:lineRule="auto"/>
        <w:ind w:left="720" w:hanging="720"/>
        <w:rPr>
          <w:b/>
          <w:bCs/>
        </w:rPr>
      </w:pPr>
      <w:r w:rsidRPr="002666BC">
        <w:t>[34]</w:t>
      </w:r>
      <w:r w:rsidRPr="002666BC">
        <w:tab/>
      </w:r>
      <w:r w:rsidR="00AC109D">
        <w:t xml:space="preserve">Costs must follow the cause. The applicants will have to pay the costs incurred and pertaining to the application on 25 </w:t>
      </w:r>
      <w:proofErr w:type="gramStart"/>
      <w:r w:rsidR="00AC109D">
        <w:t>January  2024</w:t>
      </w:r>
      <w:proofErr w:type="gramEnd"/>
      <w:r w:rsidR="00AC109D">
        <w:t>.</w:t>
      </w:r>
    </w:p>
    <w:p w:rsidR="00683291" w:rsidRPr="002666BC" w:rsidRDefault="002666BC" w:rsidP="002666BC">
      <w:pPr>
        <w:rPr>
          <w:b/>
          <w:bCs/>
        </w:rPr>
      </w:pPr>
      <w:r>
        <w:rPr>
          <w:b/>
          <w:bCs/>
        </w:rPr>
        <w:br w:type="page"/>
      </w:r>
      <w:r>
        <w:rPr>
          <w:b/>
          <w:bCs/>
        </w:rPr>
        <w:lastRenderedPageBreak/>
        <w:t>[35]</w:t>
      </w:r>
      <w:r>
        <w:rPr>
          <w:b/>
          <w:bCs/>
        </w:rPr>
        <w:tab/>
      </w:r>
      <w:r w:rsidR="00683291" w:rsidRPr="002666BC">
        <w:rPr>
          <w:b/>
          <w:bCs/>
        </w:rPr>
        <w:t>ORDER</w:t>
      </w:r>
    </w:p>
    <w:p w:rsidR="00A74350" w:rsidRDefault="00DA139D" w:rsidP="00DA139D">
      <w:pPr>
        <w:spacing w:line="360" w:lineRule="auto"/>
        <w:ind w:left="1440" w:hanging="720"/>
      </w:pPr>
      <w:r>
        <w:t>1.</w:t>
      </w:r>
      <w:r>
        <w:tab/>
      </w:r>
      <w:r w:rsidR="00683291">
        <w:t>The applications for the condonation of the late filing of the replying affidavits in both cases with number</w:t>
      </w:r>
      <w:r w:rsidR="00592103">
        <w:t>s</w:t>
      </w:r>
      <w:r w:rsidR="00683291">
        <w:t xml:space="preserve"> 4542/2023 and 4543/</w:t>
      </w:r>
      <w:r w:rsidR="00091E77">
        <w:t>2</w:t>
      </w:r>
      <w:r w:rsidR="00683291">
        <w:t>023 are denied with costs.</w:t>
      </w:r>
    </w:p>
    <w:p w:rsidR="00683291" w:rsidRDefault="00DA139D" w:rsidP="00DA139D">
      <w:pPr>
        <w:spacing w:line="360" w:lineRule="auto"/>
        <w:ind w:left="1440" w:hanging="720"/>
      </w:pPr>
      <w:r>
        <w:t>2.</w:t>
      </w:r>
      <w:r>
        <w:tab/>
      </w:r>
      <w:r w:rsidR="00683291">
        <w:t>The applicants are granted leave in both cases to set the matter down for hearing of the merits</w:t>
      </w:r>
      <w:r w:rsidR="00A74350">
        <w:t xml:space="preserve"> in the main applications</w:t>
      </w:r>
      <w:r w:rsidR="00683291">
        <w:t>.</w:t>
      </w:r>
    </w:p>
    <w:p w:rsidR="00683291" w:rsidRDefault="00683291" w:rsidP="002B1980">
      <w:pPr>
        <w:ind w:left="1080"/>
      </w:pPr>
    </w:p>
    <w:p w:rsidR="00683291" w:rsidRDefault="00683291" w:rsidP="00683291">
      <w:pPr>
        <w:spacing w:line="360" w:lineRule="auto"/>
        <w:ind w:left="1080"/>
      </w:pPr>
    </w:p>
    <w:p w:rsidR="00470365" w:rsidRPr="00373426" w:rsidRDefault="00470365" w:rsidP="00861F20">
      <w:pPr>
        <w:spacing w:line="360" w:lineRule="auto"/>
        <w:jc w:val="right"/>
      </w:pPr>
      <w:r w:rsidRPr="00373426">
        <w:t>________________</w:t>
      </w:r>
    </w:p>
    <w:p w:rsidR="00470365" w:rsidRPr="002B1980" w:rsidRDefault="007C646C" w:rsidP="00861F20">
      <w:pPr>
        <w:spacing w:line="360" w:lineRule="auto"/>
        <w:jc w:val="right"/>
        <w:rPr>
          <w:b/>
          <w:bCs/>
        </w:rPr>
      </w:pPr>
      <w:r w:rsidRPr="002B1980">
        <w:rPr>
          <w:b/>
          <w:bCs/>
        </w:rPr>
        <w:t>M OPPERMAN J</w:t>
      </w:r>
    </w:p>
    <w:p w:rsidR="002B1980" w:rsidRDefault="002B1980" w:rsidP="002B1980">
      <w:pPr>
        <w:rPr>
          <w:u w:val="single"/>
        </w:rPr>
      </w:pPr>
    </w:p>
    <w:p w:rsidR="00791380" w:rsidRPr="00F05448" w:rsidRDefault="00791380" w:rsidP="00861F20">
      <w:pPr>
        <w:spacing w:line="360" w:lineRule="auto"/>
        <w:rPr>
          <w:b/>
          <w:bCs/>
          <w:u w:val="single"/>
        </w:rPr>
      </w:pPr>
      <w:r w:rsidRPr="00F05448">
        <w:rPr>
          <w:b/>
          <w:bCs/>
          <w:u w:val="single"/>
        </w:rPr>
        <w:t>Appearances</w:t>
      </w:r>
    </w:p>
    <w:p w:rsidR="00791380" w:rsidRPr="00373426" w:rsidRDefault="00791380" w:rsidP="00861F20">
      <w:pPr>
        <w:spacing w:line="360" w:lineRule="auto"/>
      </w:pPr>
      <w:r w:rsidRPr="00373426">
        <w:t xml:space="preserve">For </w:t>
      </w:r>
      <w:r w:rsidR="007C646C">
        <w:t>applicant</w:t>
      </w:r>
      <w:r w:rsidR="00E34910">
        <w:t>s</w:t>
      </w:r>
      <w:r w:rsidR="00B232CF">
        <w:t xml:space="preserve"> (</w:t>
      </w:r>
      <w:r w:rsidR="00373F27">
        <w:t xml:space="preserve">J.J </w:t>
      </w:r>
      <w:proofErr w:type="spellStart"/>
      <w:r w:rsidR="00373F27">
        <w:t>Wolhuter</w:t>
      </w:r>
      <w:proofErr w:type="spellEnd"/>
      <w:r w:rsidR="00373F27">
        <w:t xml:space="preserve"> N.O. and others</w:t>
      </w:r>
      <w:r w:rsidR="00B232CF">
        <w:t>)</w:t>
      </w:r>
      <w:r w:rsidRPr="00373426">
        <w:t>:</w:t>
      </w:r>
      <w:r w:rsidRPr="00373426">
        <w:tab/>
      </w:r>
      <w:r w:rsidR="00E25F48">
        <w:t xml:space="preserve">                 L </w:t>
      </w:r>
      <w:proofErr w:type="spellStart"/>
      <w:r w:rsidR="00E25F48">
        <w:t>Meintjes</w:t>
      </w:r>
      <w:proofErr w:type="spellEnd"/>
      <w:r w:rsidR="00F20355" w:rsidRPr="00373426">
        <w:t xml:space="preserve"> </w:t>
      </w:r>
    </w:p>
    <w:p w:rsidR="00791380" w:rsidRDefault="00791380" w:rsidP="00E25F48">
      <w:pPr>
        <w:spacing w:line="360" w:lineRule="auto"/>
        <w:rPr>
          <w:bCs/>
        </w:rPr>
      </w:pPr>
      <w:r w:rsidRPr="00373426">
        <w:rPr>
          <w:bCs/>
        </w:rPr>
        <w:t xml:space="preserve">Instructed by: </w:t>
      </w:r>
      <w:r w:rsidR="00F20355" w:rsidRPr="00373426">
        <w:rPr>
          <w:bCs/>
        </w:rPr>
        <w:tab/>
      </w:r>
      <w:r w:rsidR="00E25F48">
        <w:rPr>
          <w:bCs/>
        </w:rPr>
        <w:t xml:space="preserve">                                             </w:t>
      </w:r>
      <w:proofErr w:type="spellStart"/>
      <w:r w:rsidR="00E25F48">
        <w:rPr>
          <w:bCs/>
        </w:rPr>
        <w:t>Noordmans</w:t>
      </w:r>
      <w:proofErr w:type="spellEnd"/>
      <w:r w:rsidR="00E25F48">
        <w:rPr>
          <w:bCs/>
        </w:rPr>
        <w:t xml:space="preserve"> </w:t>
      </w:r>
      <w:r w:rsidR="00F05448">
        <w:rPr>
          <w:bCs/>
        </w:rPr>
        <w:t xml:space="preserve">Attorneys </w:t>
      </w:r>
      <w:r w:rsidR="00E25F48">
        <w:rPr>
          <w:bCs/>
        </w:rPr>
        <w:t xml:space="preserve">Inc. </w:t>
      </w:r>
    </w:p>
    <w:p w:rsidR="00E25F48" w:rsidRDefault="00E25F48" w:rsidP="00E25F48">
      <w:pPr>
        <w:spacing w:line="360" w:lineRule="auto"/>
        <w:rPr>
          <w:bCs/>
        </w:rPr>
      </w:pPr>
      <w:r>
        <w:rPr>
          <w:bCs/>
        </w:rPr>
        <w:tab/>
      </w:r>
      <w:r>
        <w:rPr>
          <w:bCs/>
        </w:rPr>
        <w:tab/>
      </w:r>
      <w:r>
        <w:rPr>
          <w:bCs/>
        </w:rPr>
        <w:tab/>
        <w:t xml:space="preserve">                                                                 Bloemfontein</w:t>
      </w:r>
    </w:p>
    <w:p w:rsidR="00217F21" w:rsidRDefault="00E34910" w:rsidP="00A74350">
      <w:pPr>
        <w:spacing w:line="360" w:lineRule="auto"/>
        <w:jc w:val="right"/>
      </w:pPr>
      <w:r>
        <w:rPr>
          <w:bCs/>
        </w:rPr>
        <w:t>Cases no.: 4542/2023 &amp; 4543/2023</w:t>
      </w:r>
    </w:p>
    <w:p w:rsidR="00E34910" w:rsidRDefault="00791380" w:rsidP="00E34910">
      <w:pPr>
        <w:spacing w:line="360" w:lineRule="auto"/>
        <w:jc w:val="left"/>
      </w:pPr>
      <w:r w:rsidRPr="00373426">
        <w:t xml:space="preserve">For </w:t>
      </w:r>
      <w:r w:rsidR="00E25F48">
        <w:t xml:space="preserve">first </w:t>
      </w:r>
      <w:r w:rsidRPr="00373426">
        <w:t>respondent</w:t>
      </w:r>
      <w:r w:rsidR="00E34910">
        <w:t xml:space="preserve">s </w:t>
      </w:r>
    </w:p>
    <w:p w:rsidR="00791380" w:rsidRPr="00373426" w:rsidRDefault="00B232CF" w:rsidP="00E34910">
      <w:pPr>
        <w:spacing w:line="360" w:lineRule="auto"/>
        <w:jc w:val="left"/>
      </w:pPr>
      <w:r>
        <w:t>(</w:t>
      </w:r>
      <w:proofErr w:type="spellStart"/>
      <w:r w:rsidR="00E34910" w:rsidRPr="00E34910">
        <w:t>Mtetwa</w:t>
      </w:r>
      <w:proofErr w:type="spellEnd"/>
      <w:r w:rsidR="00E34910" w:rsidRPr="00E34910">
        <w:t xml:space="preserve"> Investments (Pty)</w:t>
      </w:r>
      <w:r w:rsidR="00E34910">
        <w:t xml:space="preserve"> Ltd &amp; </w:t>
      </w:r>
      <w:r w:rsidR="00E34910" w:rsidRPr="00E34910">
        <w:t xml:space="preserve">Alfred </w:t>
      </w:r>
      <w:proofErr w:type="spellStart"/>
      <w:r w:rsidR="00E34910" w:rsidRPr="00E34910">
        <w:t>Zakade</w:t>
      </w:r>
      <w:proofErr w:type="spellEnd"/>
      <w:r w:rsidR="00E34910" w:rsidRPr="00E34910">
        <w:t xml:space="preserve"> </w:t>
      </w:r>
      <w:proofErr w:type="spellStart"/>
      <w:r w:rsidR="00E34910" w:rsidRPr="00E34910">
        <w:t>Mtetwa</w:t>
      </w:r>
      <w:proofErr w:type="spellEnd"/>
      <w:r>
        <w:t>)</w:t>
      </w:r>
      <w:r w:rsidR="00E34910">
        <w:t xml:space="preserve">:    </w:t>
      </w:r>
      <w:r w:rsidR="00E25F48">
        <w:t xml:space="preserve">S.J. </w:t>
      </w:r>
      <w:proofErr w:type="spellStart"/>
      <w:r w:rsidR="00E25F48">
        <w:t>Reinders</w:t>
      </w:r>
      <w:proofErr w:type="spellEnd"/>
      <w:r w:rsidR="00791380" w:rsidRPr="00373426">
        <w:t xml:space="preserve"> </w:t>
      </w:r>
    </w:p>
    <w:p w:rsidR="00791380" w:rsidRPr="00373426" w:rsidRDefault="00791380" w:rsidP="00861F20">
      <w:pPr>
        <w:spacing w:line="360" w:lineRule="auto"/>
        <w:rPr>
          <w:bCs/>
        </w:rPr>
      </w:pPr>
      <w:r w:rsidRPr="00373426">
        <w:rPr>
          <w:bCs/>
        </w:rPr>
        <w:t>Instructed by:</w:t>
      </w:r>
      <w:r w:rsidR="00F20355" w:rsidRPr="00373426">
        <w:rPr>
          <w:bCs/>
        </w:rPr>
        <w:tab/>
      </w:r>
      <w:r w:rsidR="00E25F48">
        <w:rPr>
          <w:bCs/>
        </w:rPr>
        <w:t xml:space="preserve">                                                 </w:t>
      </w:r>
      <w:proofErr w:type="spellStart"/>
      <w:r w:rsidR="00E25F48">
        <w:rPr>
          <w:bCs/>
        </w:rPr>
        <w:t>Lovius</w:t>
      </w:r>
      <w:proofErr w:type="spellEnd"/>
      <w:r w:rsidR="00E25F48">
        <w:rPr>
          <w:bCs/>
        </w:rPr>
        <w:t xml:space="preserve"> Block Attorneys</w:t>
      </w:r>
    </w:p>
    <w:p w:rsidR="00791380" w:rsidRDefault="00E25F48" w:rsidP="00861F20">
      <w:pPr>
        <w:spacing w:line="360" w:lineRule="auto"/>
        <w:ind w:left="459" w:firstLine="1701"/>
        <w:rPr>
          <w:bCs/>
        </w:rPr>
      </w:pPr>
      <w:r>
        <w:rPr>
          <w:bCs/>
        </w:rPr>
        <w:t xml:space="preserve">                                                                 </w:t>
      </w:r>
      <w:r w:rsidR="00791380" w:rsidRPr="00373426">
        <w:rPr>
          <w:bCs/>
        </w:rPr>
        <w:t>Bloemfontein</w:t>
      </w:r>
    </w:p>
    <w:p w:rsidR="00217F21" w:rsidRDefault="00E34910" w:rsidP="00217F21">
      <w:pPr>
        <w:spacing w:line="360" w:lineRule="auto"/>
        <w:jc w:val="right"/>
        <w:rPr>
          <w:bCs/>
        </w:rPr>
      </w:pPr>
      <w:r>
        <w:rPr>
          <w:bCs/>
        </w:rPr>
        <w:t>Cases no.: 4542/2023 &amp; 4543/2023</w:t>
      </w:r>
    </w:p>
    <w:p w:rsidR="00E25F48" w:rsidRDefault="00E25F48" w:rsidP="00E25F48">
      <w:pPr>
        <w:spacing w:line="360" w:lineRule="auto"/>
        <w:rPr>
          <w:bCs/>
        </w:rPr>
      </w:pPr>
      <w:r>
        <w:rPr>
          <w:bCs/>
        </w:rPr>
        <w:t xml:space="preserve">For second and third respondents                                                  </w:t>
      </w:r>
    </w:p>
    <w:p w:rsidR="00F05448" w:rsidRDefault="00B232CF" w:rsidP="00F05448">
      <w:pPr>
        <w:spacing w:line="360" w:lineRule="auto"/>
        <w:rPr>
          <w:bCs/>
        </w:rPr>
      </w:pPr>
      <w:r>
        <w:rPr>
          <w:bCs/>
        </w:rPr>
        <w:t>(</w:t>
      </w:r>
      <w:proofErr w:type="spellStart"/>
      <w:r w:rsidR="00F05448" w:rsidRPr="00F05448">
        <w:rPr>
          <w:bCs/>
        </w:rPr>
        <w:t>Zinvonox</w:t>
      </w:r>
      <w:proofErr w:type="spellEnd"/>
      <w:r w:rsidR="00F05448" w:rsidRPr="00F05448">
        <w:rPr>
          <w:bCs/>
        </w:rPr>
        <w:t xml:space="preserve"> (Pty) Ltd </w:t>
      </w:r>
      <w:r w:rsidR="00F05448">
        <w:rPr>
          <w:bCs/>
        </w:rPr>
        <w:t xml:space="preserve">&amp; </w:t>
      </w:r>
      <w:r w:rsidR="00F05448" w:rsidRPr="00F05448">
        <w:rPr>
          <w:bCs/>
        </w:rPr>
        <w:t>Johannes Stephanus Olivier</w:t>
      </w:r>
      <w:r>
        <w:rPr>
          <w:bCs/>
        </w:rPr>
        <w:t>)</w:t>
      </w:r>
      <w:r w:rsidR="00F05448">
        <w:rPr>
          <w:bCs/>
        </w:rPr>
        <w:t>:                    A Smith</w:t>
      </w:r>
    </w:p>
    <w:p w:rsidR="00E25F48" w:rsidRDefault="00F05448" w:rsidP="00F05448">
      <w:pPr>
        <w:spacing w:line="360" w:lineRule="auto"/>
        <w:jc w:val="left"/>
        <w:rPr>
          <w:bCs/>
        </w:rPr>
      </w:pPr>
      <w:r>
        <w:rPr>
          <w:bCs/>
        </w:rPr>
        <w:t>Instructed by:</w:t>
      </w:r>
      <w:r>
        <w:rPr>
          <w:bCs/>
        </w:rPr>
        <w:tab/>
      </w:r>
      <w:r>
        <w:rPr>
          <w:bCs/>
        </w:rPr>
        <w:tab/>
      </w:r>
      <w:r>
        <w:rPr>
          <w:bCs/>
        </w:rPr>
        <w:tab/>
      </w:r>
      <w:r>
        <w:rPr>
          <w:bCs/>
        </w:rPr>
        <w:tab/>
        <w:t xml:space="preserve">     </w:t>
      </w:r>
      <w:proofErr w:type="spellStart"/>
      <w:r w:rsidR="00E25F48">
        <w:rPr>
          <w:bCs/>
        </w:rPr>
        <w:t>Shardelow</w:t>
      </w:r>
      <w:proofErr w:type="spellEnd"/>
      <w:r w:rsidR="00E25F48">
        <w:rPr>
          <w:bCs/>
        </w:rPr>
        <w:t xml:space="preserve"> Smith Attorneys Inc.</w:t>
      </w:r>
    </w:p>
    <w:p w:rsidR="00E25F48" w:rsidRDefault="00E25F48" w:rsidP="00E25F48">
      <w:pPr>
        <w:spacing w:line="360" w:lineRule="auto"/>
        <w:jc w:val="right"/>
        <w:rPr>
          <w:bCs/>
        </w:rPr>
      </w:pPr>
      <w:r>
        <w:rPr>
          <w:bCs/>
        </w:rPr>
        <w:t xml:space="preserve">Bloemfontein </w:t>
      </w:r>
    </w:p>
    <w:p w:rsidR="00317F90" w:rsidRDefault="008F05D2" w:rsidP="002B1980">
      <w:pPr>
        <w:spacing w:line="360" w:lineRule="auto"/>
        <w:jc w:val="right"/>
      </w:pPr>
      <w:r>
        <w:rPr>
          <w:bCs/>
        </w:rPr>
        <w:t>Case no.: 4543/2023</w:t>
      </w:r>
    </w:p>
    <w:sectPr w:rsidR="00317F90" w:rsidSect="004B0B5A">
      <w:headerReference w:type="even" r:id="rId9"/>
      <w:headerReference w:type="default" r:id="rId10"/>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041" w:rsidRDefault="00BC1041">
      <w:r>
        <w:separator/>
      </w:r>
    </w:p>
  </w:endnote>
  <w:endnote w:type="continuationSeparator" w:id="0">
    <w:p w:rsidR="00BC1041" w:rsidRDefault="00BC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Display">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041" w:rsidRDefault="00BC1041" w:rsidP="00530B80">
      <w:pPr>
        <w:spacing w:line="240" w:lineRule="auto"/>
      </w:pPr>
      <w:r>
        <w:separator/>
      </w:r>
    </w:p>
  </w:footnote>
  <w:footnote w:type="continuationSeparator" w:id="0">
    <w:p w:rsidR="00BC1041" w:rsidRDefault="00BC1041">
      <w:r>
        <w:continuationSeparator/>
      </w:r>
    </w:p>
  </w:footnote>
  <w:footnote w:id="1">
    <w:p w:rsidR="00000000" w:rsidRDefault="00423327">
      <w:pPr>
        <w:pStyle w:val="FootnoteText"/>
      </w:pPr>
      <w:r>
        <w:rPr>
          <w:rStyle w:val="FootnoteReference"/>
        </w:rPr>
        <w:footnoteRef/>
      </w:r>
      <w:r>
        <w:rPr>
          <w:lang w:val="en-US"/>
        </w:rPr>
        <w:t xml:space="preserve">All applicants </w:t>
      </w:r>
      <w:r w:rsidR="00E55488">
        <w:rPr>
          <w:lang w:val="en-US"/>
        </w:rPr>
        <w:t xml:space="preserve">in cases 4542/2023 &amp; 4543/2023 </w:t>
      </w:r>
      <w:r>
        <w:rPr>
          <w:lang w:val="en-US"/>
        </w:rPr>
        <w:t xml:space="preserve">represented by Advocate L </w:t>
      </w:r>
      <w:proofErr w:type="spellStart"/>
      <w:r>
        <w:rPr>
          <w:lang w:val="en-US"/>
        </w:rPr>
        <w:t>Meintjes</w:t>
      </w:r>
      <w:proofErr w:type="spellEnd"/>
      <w:r>
        <w:rPr>
          <w:lang w:val="en-US"/>
        </w:rPr>
        <w:t>.</w:t>
      </w:r>
      <w:r w:rsidR="00E91F29">
        <w:rPr>
          <w:lang w:val="en-US"/>
        </w:rPr>
        <w:t xml:space="preserve"> Hereafter referred to as “the applicants</w:t>
      </w:r>
      <w:r w:rsidR="00C75F96">
        <w:rPr>
          <w:lang w:val="en-US"/>
        </w:rPr>
        <w:t>”</w:t>
      </w:r>
      <w:r w:rsidR="003524B9">
        <w:rPr>
          <w:lang w:val="en-US"/>
        </w:rPr>
        <w:t>.</w:t>
      </w:r>
    </w:p>
  </w:footnote>
  <w:footnote w:id="2">
    <w:p w:rsidR="00000000" w:rsidRDefault="00423327">
      <w:pPr>
        <w:pStyle w:val="FootnoteText"/>
      </w:pPr>
      <w:r>
        <w:rPr>
          <w:rStyle w:val="FootnoteReference"/>
        </w:rPr>
        <w:footnoteRef/>
      </w:r>
      <w:r>
        <w:t xml:space="preserve"> </w:t>
      </w:r>
      <w:r w:rsidR="002E039C">
        <w:t xml:space="preserve">“The </w:t>
      </w:r>
      <w:r w:rsidR="00E91F29">
        <w:t>c</w:t>
      </w:r>
      <w:r w:rsidR="002E039C">
        <w:t xml:space="preserve">ompany”. </w:t>
      </w:r>
      <w:r>
        <w:rPr>
          <w:lang w:val="en-US"/>
        </w:rPr>
        <w:t xml:space="preserve">Represented by Advocate S </w:t>
      </w:r>
      <w:proofErr w:type="spellStart"/>
      <w:r>
        <w:rPr>
          <w:lang w:val="en-US"/>
        </w:rPr>
        <w:t>Reinders</w:t>
      </w:r>
      <w:proofErr w:type="spellEnd"/>
      <w:r w:rsidR="002E039C">
        <w:rPr>
          <w:lang w:val="en-US"/>
        </w:rPr>
        <w:t>.</w:t>
      </w:r>
    </w:p>
  </w:footnote>
  <w:footnote w:id="3">
    <w:p w:rsidR="00000000" w:rsidRDefault="00DA3EAA">
      <w:pPr>
        <w:pStyle w:val="FootnoteText"/>
      </w:pPr>
      <w:r>
        <w:rPr>
          <w:rStyle w:val="FootnoteReference"/>
        </w:rPr>
        <w:footnoteRef/>
      </w:r>
      <w:r>
        <w:t xml:space="preserve"> Referred to as “Mr. </w:t>
      </w:r>
      <w:proofErr w:type="spellStart"/>
      <w:r>
        <w:t>Mtetwa</w:t>
      </w:r>
      <w:proofErr w:type="spellEnd"/>
      <w:r>
        <w:t>”.</w:t>
      </w:r>
      <w:r w:rsidR="00A0525A">
        <w:t xml:space="preserve"> Represented by Advocate S </w:t>
      </w:r>
      <w:proofErr w:type="spellStart"/>
      <w:r w:rsidR="00A0525A">
        <w:t>Reinders</w:t>
      </w:r>
      <w:proofErr w:type="spellEnd"/>
      <w:r w:rsidR="00A0525A">
        <w:t>.</w:t>
      </w:r>
    </w:p>
  </w:footnote>
  <w:footnote w:id="4">
    <w:p w:rsidR="00000000" w:rsidRDefault="00DA3EAA">
      <w:pPr>
        <w:pStyle w:val="FootnoteText"/>
      </w:pPr>
      <w:r>
        <w:rPr>
          <w:rStyle w:val="FootnoteReference"/>
        </w:rPr>
        <w:footnoteRef/>
      </w:r>
      <w:r>
        <w:t xml:space="preserve"> Second and third respondents represented by </w:t>
      </w:r>
      <w:r w:rsidR="00A0525A">
        <w:t>Ms. A</w:t>
      </w:r>
      <w:r>
        <w:t xml:space="preserve"> Smith.</w:t>
      </w:r>
      <w:r w:rsidR="00A0525A">
        <w:t xml:space="preserve"> Referred to as “</w:t>
      </w:r>
      <w:proofErr w:type="spellStart"/>
      <w:r w:rsidR="00A0525A" w:rsidRPr="00A0525A">
        <w:t>Zinvonox</w:t>
      </w:r>
      <w:proofErr w:type="spellEnd"/>
      <w:r w:rsidR="00A0525A">
        <w:t>” &amp; “Mr Olivier”</w:t>
      </w:r>
      <w:r w:rsidR="00A0525A" w:rsidRPr="00A0525A">
        <w:t>.</w:t>
      </w:r>
    </w:p>
  </w:footnote>
  <w:footnote w:id="5">
    <w:p w:rsidR="00000000" w:rsidRDefault="00E32D57" w:rsidP="003524B9">
      <w:pPr>
        <w:pStyle w:val="FootnoteText"/>
        <w:ind w:left="180" w:hanging="180"/>
      </w:pPr>
      <w:r>
        <w:rPr>
          <w:rStyle w:val="FootnoteReference"/>
        </w:rPr>
        <w:footnoteRef/>
      </w:r>
      <w:r w:rsidRPr="00E32D57">
        <w:rPr>
          <w:lang w:val="en-US"/>
        </w:rPr>
        <w:t xml:space="preserve"> </w:t>
      </w:r>
      <w:r w:rsidRPr="00E32D57">
        <w:rPr>
          <w:lang w:val="en-US"/>
        </w:rPr>
        <w:tab/>
      </w:r>
      <w:hyperlink r:id="rId1" w:history="1">
        <w:r w:rsidRPr="00E32D57">
          <w:rPr>
            <w:rStyle w:val="Hyperlink"/>
            <w:lang w:val="en-US"/>
          </w:rPr>
          <w:t>https://www.cliffedekkerhofmeyr.com/news/publications/2023/Practice/Dispute/dispute-resolution-alert-31-january-2023-some-rules-are-meant-to-be-broken-but-at-what-cost-in-a-court-of-law.html</w:t>
        </w:r>
      </w:hyperlink>
      <w:r w:rsidRPr="00E32D57">
        <w:rPr>
          <w:lang w:val="en-US"/>
        </w:rPr>
        <w:t xml:space="preserve"> a</w:t>
      </w:r>
      <w:r w:rsidR="0060248D">
        <w:rPr>
          <w:lang w:val="en-US"/>
        </w:rPr>
        <w:t>cc</w:t>
      </w:r>
      <w:r w:rsidRPr="00E32D57">
        <w:rPr>
          <w:lang w:val="en-US"/>
        </w:rPr>
        <w:t>essed on</w:t>
      </w:r>
      <w:r>
        <w:rPr>
          <w:lang w:val="en-US"/>
        </w:rPr>
        <w:t xml:space="preserve"> 27 March 2024.</w:t>
      </w:r>
    </w:p>
  </w:footnote>
  <w:footnote w:id="6">
    <w:p w:rsidR="00000000" w:rsidRDefault="00D755BE" w:rsidP="00D755BE">
      <w:pPr>
        <w:pStyle w:val="FootnoteText"/>
      </w:pPr>
      <w:r>
        <w:rPr>
          <w:rStyle w:val="FootnoteReference"/>
        </w:rPr>
        <w:footnoteRef/>
      </w:r>
      <w:r>
        <w:t xml:space="preserve"> </w:t>
      </w:r>
      <w:r w:rsidR="0061326D">
        <w:t>See discussion hereunder.</w:t>
      </w:r>
    </w:p>
  </w:footnote>
  <w:footnote w:id="7">
    <w:p w:rsidR="00000000" w:rsidRDefault="000A18C8" w:rsidP="0051151E">
      <w:pPr>
        <w:pStyle w:val="FootnoteText"/>
      </w:pPr>
      <w:r>
        <w:rPr>
          <w:rStyle w:val="FootnoteReference"/>
        </w:rPr>
        <w:footnoteRef/>
      </w:r>
      <w:r>
        <w:t xml:space="preserve"> Heads of argument for the applicants dated 17 January 2024 at page 32: “It is also evidently clear that </w:t>
      </w:r>
      <w:r w:rsidRPr="005563EA">
        <w:rPr>
          <w:u w:val="single"/>
        </w:rPr>
        <w:t>each Replying Affidavit (together with annexures) consists of approximately 411 pages</w:t>
      </w:r>
      <w:r>
        <w:t xml:space="preserve"> and that each Replying Affidavit (excluding annexures) had to be tailored in answer to the respective Answering Affidavit.”</w:t>
      </w:r>
      <w:r w:rsidR="00436178">
        <w:t xml:space="preserve"> (Accentuation added)</w:t>
      </w:r>
    </w:p>
  </w:footnote>
  <w:footnote w:id="8">
    <w:p w:rsidR="00000000" w:rsidRDefault="00D755BE" w:rsidP="00D755BE">
      <w:pPr>
        <w:pStyle w:val="FootnoteText"/>
      </w:pPr>
      <w:r>
        <w:rPr>
          <w:rStyle w:val="FootnoteReference"/>
        </w:rPr>
        <w:footnoteRef/>
      </w:r>
      <w:r w:rsidR="0060248D">
        <w:t xml:space="preserve"> </w:t>
      </w:r>
      <w:r>
        <w:rPr>
          <w:lang w:val="en-US"/>
        </w:rPr>
        <w:t>Heads of argument for the respondent</w:t>
      </w:r>
      <w:r w:rsidR="0060248D">
        <w:rPr>
          <w:lang w:val="en-US"/>
        </w:rPr>
        <w:t>s</w:t>
      </w:r>
      <w:r>
        <w:rPr>
          <w:lang w:val="en-US"/>
        </w:rPr>
        <w:t xml:space="preserve">; </w:t>
      </w:r>
      <w:proofErr w:type="spellStart"/>
      <w:r>
        <w:rPr>
          <w:lang w:val="en-US"/>
        </w:rPr>
        <w:t>Mtetwa</w:t>
      </w:r>
      <w:proofErr w:type="spellEnd"/>
      <w:r>
        <w:rPr>
          <w:lang w:val="en-US"/>
        </w:rPr>
        <w:t xml:space="preserve"> Investments (Pty) Ltd</w:t>
      </w:r>
      <w:r w:rsidR="00171921">
        <w:rPr>
          <w:lang w:val="en-US"/>
        </w:rPr>
        <w:t xml:space="preserve"> (the company)</w:t>
      </w:r>
      <w:r w:rsidR="0060248D">
        <w:rPr>
          <w:lang w:val="en-US"/>
        </w:rPr>
        <w:t xml:space="preserve"> and A.Z. </w:t>
      </w:r>
      <w:proofErr w:type="spellStart"/>
      <w:r w:rsidR="0060248D">
        <w:rPr>
          <w:lang w:val="en-US"/>
        </w:rPr>
        <w:t>Mtetwa</w:t>
      </w:r>
      <w:proofErr w:type="spellEnd"/>
      <w:r w:rsidR="0060248D">
        <w:rPr>
          <w:lang w:val="en-US"/>
        </w:rPr>
        <w:t xml:space="preserve"> (Mr. </w:t>
      </w:r>
      <w:proofErr w:type="spellStart"/>
      <w:r w:rsidR="0060248D">
        <w:rPr>
          <w:lang w:val="en-US"/>
        </w:rPr>
        <w:t>Mtetwa</w:t>
      </w:r>
      <w:proofErr w:type="spellEnd"/>
      <w:r w:rsidR="0060248D">
        <w:rPr>
          <w:lang w:val="en-US"/>
        </w:rPr>
        <w:t>)</w:t>
      </w:r>
      <w:r>
        <w:rPr>
          <w:lang w:val="en-US"/>
        </w:rPr>
        <w:t xml:space="preserve">, filed 19 January 2024. </w:t>
      </w:r>
    </w:p>
  </w:footnote>
  <w:footnote w:id="9">
    <w:p w:rsidR="00000000" w:rsidRDefault="00D755BE" w:rsidP="00D755BE">
      <w:pPr>
        <w:pStyle w:val="FootnoteText"/>
      </w:pPr>
      <w:r>
        <w:rPr>
          <w:rStyle w:val="FootnoteReference"/>
        </w:rPr>
        <w:footnoteRef/>
      </w:r>
      <w:r>
        <w:t xml:space="preserve"> </w:t>
      </w:r>
      <w:r>
        <w:rPr>
          <w:lang w:val="en-US"/>
        </w:rPr>
        <w:t>Head</w:t>
      </w:r>
      <w:r w:rsidR="0060248D">
        <w:rPr>
          <w:lang w:val="en-US"/>
        </w:rPr>
        <w:t>s</w:t>
      </w:r>
      <w:r>
        <w:rPr>
          <w:lang w:val="en-US"/>
        </w:rPr>
        <w:t xml:space="preserve"> of argument for the second and third respondents; </w:t>
      </w:r>
      <w:proofErr w:type="spellStart"/>
      <w:r>
        <w:rPr>
          <w:lang w:val="en-US"/>
        </w:rPr>
        <w:t>Zinvonox</w:t>
      </w:r>
      <w:proofErr w:type="spellEnd"/>
      <w:r>
        <w:rPr>
          <w:lang w:val="en-US"/>
        </w:rPr>
        <w:t xml:space="preserve"> (Pty) Ltd</w:t>
      </w:r>
      <w:r w:rsidR="00171921">
        <w:rPr>
          <w:lang w:val="en-US"/>
        </w:rPr>
        <w:t xml:space="preserve"> (</w:t>
      </w:r>
      <w:proofErr w:type="spellStart"/>
      <w:r w:rsidR="00171921">
        <w:rPr>
          <w:lang w:val="en-US"/>
        </w:rPr>
        <w:t>Zinvonox</w:t>
      </w:r>
      <w:proofErr w:type="spellEnd"/>
      <w:r w:rsidR="00171921">
        <w:rPr>
          <w:lang w:val="en-US"/>
        </w:rPr>
        <w:t>)</w:t>
      </w:r>
      <w:r>
        <w:rPr>
          <w:lang w:val="en-US"/>
        </w:rPr>
        <w:t xml:space="preserve"> &amp; JS Olivier</w:t>
      </w:r>
      <w:r w:rsidR="00171921">
        <w:rPr>
          <w:lang w:val="en-US"/>
        </w:rPr>
        <w:t xml:space="preserve"> (Mr. Olivier)</w:t>
      </w:r>
      <w:r>
        <w:rPr>
          <w:lang w:val="en-US"/>
        </w:rPr>
        <w:t>, filed 19 January 2024.</w:t>
      </w:r>
    </w:p>
  </w:footnote>
  <w:footnote w:id="10">
    <w:p w:rsidR="00000000" w:rsidRDefault="00DD7400">
      <w:pPr>
        <w:pStyle w:val="FootnoteText"/>
      </w:pPr>
      <w:r>
        <w:rPr>
          <w:rStyle w:val="FootnoteReference"/>
        </w:rPr>
        <w:footnoteRef/>
      </w:r>
      <w:r>
        <w:t xml:space="preserve"> </w:t>
      </w:r>
      <w:bookmarkStart w:id="5" w:name="_Hlk163024735"/>
      <w:bookmarkStart w:id="6" w:name="_Hlk163027790"/>
      <w:r w:rsidR="00F36B39">
        <w:t>Heads of argument for the applicants dated 17 January 2024 at page</w:t>
      </w:r>
      <w:r w:rsidR="0060248D">
        <w:t>s</w:t>
      </w:r>
      <w:r w:rsidR="00F36B39">
        <w:t xml:space="preserve"> 32 &amp; 33</w:t>
      </w:r>
      <w:bookmarkEnd w:id="5"/>
      <w:r w:rsidR="00F36B39">
        <w:t>.</w:t>
      </w:r>
      <w:bookmarkEnd w:id="6"/>
    </w:p>
  </w:footnote>
  <w:footnote w:id="11">
    <w:p w:rsidR="00000000" w:rsidRDefault="00E85D67">
      <w:pPr>
        <w:pStyle w:val="FootnoteText"/>
      </w:pPr>
      <w:r>
        <w:rPr>
          <w:rStyle w:val="FootnoteReference"/>
        </w:rPr>
        <w:footnoteRef/>
      </w:r>
      <w:r>
        <w:t xml:space="preserve"> </w:t>
      </w:r>
      <w:r w:rsidR="0095096F">
        <w:t>See the discussion hereunder.</w:t>
      </w:r>
    </w:p>
  </w:footnote>
  <w:footnote w:id="12">
    <w:p w:rsidR="00000000" w:rsidRDefault="003C0FA4">
      <w:pPr>
        <w:pStyle w:val="FootnoteText"/>
      </w:pPr>
      <w:r>
        <w:rPr>
          <w:rStyle w:val="FootnoteReference"/>
        </w:rPr>
        <w:footnoteRef/>
      </w:r>
      <w:r>
        <w:t xml:space="preserve"> </w:t>
      </w:r>
      <w:r w:rsidRPr="003C0FA4">
        <w:t>(2020) 41 ILJ 1216 (LC).</w:t>
      </w:r>
    </w:p>
  </w:footnote>
  <w:footnote w:id="13">
    <w:p w:rsidR="00000000" w:rsidRDefault="00664D36">
      <w:pPr>
        <w:pStyle w:val="FootnoteText"/>
      </w:pPr>
      <w:r>
        <w:rPr>
          <w:rStyle w:val="FootnoteReference"/>
        </w:rPr>
        <w:footnoteRef/>
      </w:r>
      <w:r>
        <w:t xml:space="preserve"> </w:t>
      </w:r>
      <w:r w:rsidR="00BD4A0F">
        <w:t>Heads of argument for the applicants dated 17 January 2024 at paragraph 13.4 on page 33.</w:t>
      </w:r>
    </w:p>
  </w:footnote>
  <w:footnote w:id="14">
    <w:p w:rsidR="00000000" w:rsidRDefault="00FC19EA">
      <w:pPr>
        <w:pStyle w:val="FootnoteText"/>
      </w:pPr>
      <w:r>
        <w:rPr>
          <w:rStyle w:val="FootnoteReference"/>
        </w:rPr>
        <w:footnoteRef/>
      </w:r>
      <w:r>
        <w:t xml:space="preserve"> </w:t>
      </w:r>
      <w:r w:rsidR="006C48AD">
        <w:t>Heads of argument for the applicants dated 17 January 2024 at paragraph 13.6 on page 34.</w:t>
      </w:r>
    </w:p>
  </w:footnote>
  <w:footnote w:id="15">
    <w:p w:rsidR="00000000" w:rsidRDefault="00015881">
      <w:pPr>
        <w:pStyle w:val="FootnoteText"/>
      </w:pPr>
      <w:r>
        <w:rPr>
          <w:rStyle w:val="FootnoteReference"/>
        </w:rPr>
        <w:footnoteRef/>
      </w:r>
      <w:r>
        <w:t xml:space="preserve"> Heads of argument for the applicants dated 17 January 2024 on pages 33 &amp; 34.</w:t>
      </w:r>
    </w:p>
  </w:footnote>
  <w:footnote w:id="16">
    <w:p w:rsidR="00000000" w:rsidRDefault="009D2439" w:rsidP="009D2439">
      <w:pPr>
        <w:pStyle w:val="FootnoteText"/>
      </w:pPr>
      <w:r>
        <w:rPr>
          <w:rStyle w:val="FootnoteReference"/>
        </w:rPr>
        <w:footnoteRef/>
      </w:r>
      <w:r>
        <w:t xml:space="preserve"> Civil Procedure, </w:t>
      </w:r>
      <w:r w:rsidRPr="009D2439">
        <w:rPr>
          <w:i/>
          <w:iCs/>
        </w:rPr>
        <w:t>Civil Procedure in the Superior Courts</w:t>
      </w:r>
      <w:r>
        <w:t>, Part B High Court, UNIFORM RULE 6 APPLICATIONS, Reply and Thereafter</w:t>
      </w:r>
      <w:r w:rsidR="00A87F3D">
        <w:t xml:space="preserve"> at </w:t>
      </w:r>
      <w:r w:rsidR="00A87F3D" w:rsidRPr="00A87F3D">
        <w:rPr>
          <w:color w:val="000000"/>
          <w:szCs w:val="20"/>
          <w:shd w:val="clear" w:color="auto" w:fill="FFFFFF"/>
        </w:rPr>
        <w:t>B6.37</w:t>
      </w:r>
      <w:r>
        <w:t>. Last Updated: November 2023 - SI 78.</w:t>
      </w:r>
      <w:r w:rsidR="00A87F3D">
        <w:t xml:space="preserve"> </w:t>
      </w:r>
      <w:hyperlink r:id="rId2" w:history="1">
        <w:r w:rsidR="00A87F3D" w:rsidRPr="00D96402">
          <w:rPr>
            <w:rStyle w:val="Hyperlink"/>
          </w:rPr>
          <w:t>https://www.mylexisnexis.co.za/Index.aspx</w:t>
        </w:r>
      </w:hyperlink>
      <w:r w:rsidR="00A87F3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F4" w:rsidRDefault="00E52C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CF4" w:rsidRDefault="00E52CF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AB" w:rsidRDefault="00F319AB">
    <w:pPr>
      <w:pStyle w:val="Header"/>
      <w:jc w:val="right"/>
    </w:pPr>
    <w:r>
      <w:fldChar w:fldCharType="begin"/>
    </w:r>
    <w:r>
      <w:instrText xml:space="preserve"> PAGE   \* MERGEFORMAT </w:instrText>
    </w:r>
    <w:r>
      <w:fldChar w:fldCharType="separate"/>
    </w:r>
    <w:r w:rsidR="00EB03B3">
      <w:rPr>
        <w:noProof/>
      </w:rPr>
      <w:t>19</w:t>
    </w:r>
    <w:r>
      <w:fldChar w:fldCharType="end"/>
    </w:r>
  </w:p>
  <w:p w:rsidR="00E52CF4" w:rsidRDefault="00E52CF4">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A34"/>
    <w:multiLevelType w:val="hybridMultilevel"/>
    <w:tmpl w:val="152481C4"/>
    <w:lvl w:ilvl="0" w:tplc="E5E2CF9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9FE7929"/>
    <w:multiLevelType w:val="hybridMultilevel"/>
    <w:tmpl w:val="0102FE1C"/>
    <w:lvl w:ilvl="0" w:tplc="4A448992">
      <w:start w:val="1"/>
      <w:numFmt w:val="decimal"/>
      <w:lvlText w:val="[%1]"/>
      <w:lvlJc w:val="left"/>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273763"/>
    <w:multiLevelType w:val="hybridMultilevel"/>
    <w:tmpl w:val="F6CEC2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17600C"/>
    <w:multiLevelType w:val="hybridMultilevel"/>
    <w:tmpl w:val="CC101DEC"/>
    <w:lvl w:ilvl="0" w:tplc="E020BFAE">
      <w:start w:val="1"/>
      <w:numFmt w:val="decimal"/>
      <w:lvlText w:val="[%1]"/>
      <w:lvlJc w:val="left"/>
      <w:pPr>
        <w:ind w:left="67" w:firstLine="67"/>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2F72EE"/>
    <w:multiLevelType w:val="multilevel"/>
    <w:tmpl w:val="2A905E46"/>
    <w:lvl w:ilvl="0">
      <w:start w:val="1"/>
      <w:numFmt w:val="decimal"/>
      <w:lvlText w:val="%1."/>
      <w:lvlJc w:val="left"/>
      <w:pPr>
        <w:ind w:left="1080" w:hanging="360"/>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15:restartNumberingAfterBreak="0">
    <w:nsid w:val="4EB94A3A"/>
    <w:multiLevelType w:val="hybridMultilevel"/>
    <w:tmpl w:val="7CD45008"/>
    <w:lvl w:ilvl="0" w:tplc="D9902C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3F17236"/>
    <w:multiLevelType w:val="hybridMultilevel"/>
    <w:tmpl w:val="EEFCD95C"/>
    <w:lvl w:ilvl="0" w:tplc="2E70CCD0">
      <w:start w:val="1"/>
      <w:numFmt w:val="lowerLetter"/>
      <w:lvlText w:val="(%1)"/>
      <w:lvlJc w:val="left"/>
      <w:pPr>
        <w:ind w:left="750" w:hanging="390"/>
      </w:pPr>
      <w:rPr>
        <w:rFonts w:cs="Times New Roman" w:hint="default"/>
        <w: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15:restartNumberingAfterBreak="0">
    <w:nsid w:val="65164013"/>
    <w:multiLevelType w:val="hybridMultilevel"/>
    <w:tmpl w:val="E396A3E8"/>
    <w:lvl w:ilvl="0" w:tplc="4A448992">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6FDE5771"/>
    <w:multiLevelType w:val="hybridMultilevel"/>
    <w:tmpl w:val="6D001DB0"/>
    <w:lvl w:ilvl="0" w:tplc="594669A6">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6EF6FB0"/>
    <w:multiLevelType w:val="hybridMultilevel"/>
    <w:tmpl w:val="522A73BC"/>
    <w:lvl w:ilvl="0" w:tplc="D50E2D8C">
      <w:start w:val="1"/>
      <w:numFmt w:val="bullet"/>
      <w:lvlText w:val=""/>
      <w:lvlJc w:val="left"/>
      <w:pPr>
        <w:ind w:left="1440" w:hanging="360"/>
      </w:pPr>
      <w:rPr>
        <w:rFonts w:ascii="Symbol" w:hAnsi="Symbol" w:hint="default"/>
      </w:rPr>
    </w:lvl>
    <w:lvl w:ilvl="1" w:tplc="AB8A7A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5"/>
  </w:num>
  <w:num w:numId="7">
    <w:abstractNumId w:val="9"/>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80"/>
    <w:rsid w:val="00000003"/>
    <w:rsid w:val="0000046F"/>
    <w:rsid w:val="00002055"/>
    <w:rsid w:val="00003591"/>
    <w:rsid w:val="00003C16"/>
    <w:rsid w:val="00005DE9"/>
    <w:rsid w:val="000079A1"/>
    <w:rsid w:val="00014552"/>
    <w:rsid w:val="00015881"/>
    <w:rsid w:val="000337E4"/>
    <w:rsid w:val="00040889"/>
    <w:rsid w:val="0004128B"/>
    <w:rsid w:val="00047DEB"/>
    <w:rsid w:val="00057ABA"/>
    <w:rsid w:val="00060EB7"/>
    <w:rsid w:val="0006798C"/>
    <w:rsid w:val="000742A2"/>
    <w:rsid w:val="00080E19"/>
    <w:rsid w:val="00091E77"/>
    <w:rsid w:val="000A18C8"/>
    <w:rsid w:val="000B690C"/>
    <w:rsid w:val="000B7D90"/>
    <w:rsid w:val="000D3502"/>
    <w:rsid w:val="000D6298"/>
    <w:rsid w:val="000E42EE"/>
    <w:rsid w:val="000F07CB"/>
    <w:rsid w:val="000F1E52"/>
    <w:rsid w:val="0010032B"/>
    <w:rsid w:val="00100FCA"/>
    <w:rsid w:val="001020DC"/>
    <w:rsid w:val="00104A33"/>
    <w:rsid w:val="001131E1"/>
    <w:rsid w:val="00144095"/>
    <w:rsid w:val="00157021"/>
    <w:rsid w:val="001618BB"/>
    <w:rsid w:val="00162683"/>
    <w:rsid w:val="00170624"/>
    <w:rsid w:val="00171921"/>
    <w:rsid w:val="00173DBD"/>
    <w:rsid w:val="00187D9D"/>
    <w:rsid w:val="00191B6B"/>
    <w:rsid w:val="001A13E5"/>
    <w:rsid w:val="001A3E69"/>
    <w:rsid w:val="001D4E4A"/>
    <w:rsid w:val="001E4733"/>
    <w:rsid w:val="001E4739"/>
    <w:rsid w:val="002014C8"/>
    <w:rsid w:val="00201F87"/>
    <w:rsid w:val="00217F21"/>
    <w:rsid w:val="002211C8"/>
    <w:rsid w:val="0022298F"/>
    <w:rsid w:val="00227A7E"/>
    <w:rsid w:val="002358F4"/>
    <w:rsid w:val="002427FD"/>
    <w:rsid w:val="00242E15"/>
    <w:rsid w:val="00244E71"/>
    <w:rsid w:val="00255AC1"/>
    <w:rsid w:val="002666BC"/>
    <w:rsid w:val="002678CA"/>
    <w:rsid w:val="00267F43"/>
    <w:rsid w:val="00271F4B"/>
    <w:rsid w:val="002747CC"/>
    <w:rsid w:val="0027547A"/>
    <w:rsid w:val="00282343"/>
    <w:rsid w:val="002829E1"/>
    <w:rsid w:val="0028420A"/>
    <w:rsid w:val="0029081C"/>
    <w:rsid w:val="00292505"/>
    <w:rsid w:val="00295C1F"/>
    <w:rsid w:val="002974A2"/>
    <w:rsid w:val="0029765F"/>
    <w:rsid w:val="002A1E98"/>
    <w:rsid w:val="002B0877"/>
    <w:rsid w:val="002B1980"/>
    <w:rsid w:val="002B749E"/>
    <w:rsid w:val="002C0CF5"/>
    <w:rsid w:val="002C2079"/>
    <w:rsid w:val="002D1AA6"/>
    <w:rsid w:val="002D24B9"/>
    <w:rsid w:val="002E039C"/>
    <w:rsid w:val="002F077B"/>
    <w:rsid w:val="002F4A14"/>
    <w:rsid w:val="002F6AD1"/>
    <w:rsid w:val="00310118"/>
    <w:rsid w:val="00317F90"/>
    <w:rsid w:val="0032115B"/>
    <w:rsid w:val="00322EDD"/>
    <w:rsid w:val="003334CC"/>
    <w:rsid w:val="00335C9C"/>
    <w:rsid w:val="0034049B"/>
    <w:rsid w:val="0034197C"/>
    <w:rsid w:val="003421EA"/>
    <w:rsid w:val="00343826"/>
    <w:rsid w:val="003524B9"/>
    <w:rsid w:val="00354A95"/>
    <w:rsid w:val="00360B86"/>
    <w:rsid w:val="00361E15"/>
    <w:rsid w:val="003701D9"/>
    <w:rsid w:val="00373426"/>
    <w:rsid w:val="00373F27"/>
    <w:rsid w:val="00374E7D"/>
    <w:rsid w:val="00375EF4"/>
    <w:rsid w:val="003805E7"/>
    <w:rsid w:val="003855BD"/>
    <w:rsid w:val="003860DB"/>
    <w:rsid w:val="00387AD1"/>
    <w:rsid w:val="00387CFA"/>
    <w:rsid w:val="003970FF"/>
    <w:rsid w:val="00397D8F"/>
    <w:rsid w:val="003A15A9"/>
    <w:rsid w:val="003A2E70"/>
    <w:rsid w:val="003B3FF0"/>
    <w:rsid w:val="003C0FA4"/>
    <w:rsid w:val="003C5993"/>
    <w:rsid w:val="003D3C7B"/>
    <w:rsid w:val="003D650E"/>
    <w:rsid w:val="003E3B2D"/>
    <w:rsid w:val="003E7873"/>
    <w:rsid w:val="003F27B3"/>
    <w:rsid w:val="003F34DD"/>
    <w:rsid w:val="003F36E4"/>
    <w:rsid w:val="003F6614"/>
    <w:rsid w:val="00405743"/>
    <w:rsid w:val="00411A29"/>
    <w:rsid w:val="00411F6B"/>
    <w:rsid w:val="0041320F"/>
    <w:rsid w:val="00423327"/>
    <w:rsid w:val="00424222"/>
    <w:rsid w:val="004342A5"/>
    <w:rsid w:val="004355AE"/>
    <w:rsid w:val="00436178"/>
    <w:rsid w:val="00442A55"/>
    <w:rsid w:val="00443A07"/>
    <w:rsid w:val="00443BBE"/>
    <w:rsid w:val="0044417F"/>
    <w:rsid w:val="00445BCA"/>
    <w:rsid w:val="0046353E"/>
    <w:rsid w:val="00464349"/>
    <w:rsid w:val="00465882"/>
    <w:rsid w:val="00470365"/>
    <w:rsid w:val="00475AC5"/>
    <w:rsid w:val="00477A5A"/>
    <w:rsid w:val="00477C25"/>
    <w:rsid w:val="00480D73"/>
    <w:rsid w:val="00485F36"/>
    <w:rsid w:val="00491EB1"/>
    <w:rsid w:val="004944D5"/>
    <w:rsid w:val="004A1818"/>
    <w:rsid w:val="004A440B"/>
    <w:rsid w:val="004B03D4"/>
    <w:rsid w:val="004B0B5A"/>
    <w:rsid w:val="004B4804"/>
    <w:rsid w:val="004B57EB"/>
    <w:rsid w:val="004C5D83"/>
    <w:rsid w:val="004C6918"/>
    <w:rsid w:val="004C7456"/>
    <w:rsid w:val="004D02AF"/>
    <w:rsid w:val="004E3913"/>
    <w:rsid w:val="004F1A8E"/>
    <w:rsid w:val="004F6015"/>
    <w:rsid w:val="00500005"/>
    <w:rsid w:val="005032E2"/>
    <w:rsid w:val="0050648E"/>
    <w:rsid w:val="00506A49"/>
    <w:rsid w:val="0051151E"/>
    <w:rsid w:val="005150D8"/>
    <w:rsid w:val="0052316A"/>
    <w:rsid w:val="0052542A"/>
    <w:rsid w:val="00530B80"/>
    <w:rsid w:val="005349E6"/>
    <w:rsid w:val="0053589F"/>
    <w:rsid w:val="00537394"/>
    <w:rsid w:val="00542D35"/>
    <w:rsid w:val="00543C10"/>
    <w:rsid w:val="005442D4"/>
    <w:rsid w:val="0055068C"/>
    <w:rsid w:val="005563EA"/>
    <w:rsid w:val="00571357"/>
    <w:rsid w:val="005761E6"/>
    <w:rsid w:val="00583FB2"/>
    <w:rsid w:val="0058661E"/>
    <w:rsid w:val="00587FC0"/>
    <w:rsid w:val="00591244"/>
    <w:rsid w:val="00592103"/>
    <w:rsid w:val="005A7CDC"/>
    <w:rsid w:val="005B4C99"/>
    <w:rsid w:val="005C677E"/>
    <w:rsid w:val="005C6B1E"/>
    <w:rsid w:val="005E7ADA"/>
    <w:rsid w:val="005F712A"/>
    <w:rsid w:val="005F7DD1"/>
    <w:rsid w:val="0060248D"/>
    <w:rsid w:val="0061326D"/>
    <w:rsid w:val="0061452E"/>
    <w:rsid w:val="0062171D"/>
    <w:rsid w:val="006249BE"/>
    <w:rsid w:val="006259CF"/>
    <w:rsid w:val="00651634"/>
    <w:rsid w:val="006626DC"/>
    <w:rsid w:val="0066485B"/>
    <w:rsid w:val="00664D36"/>
    <w:rsid w:val="006665FE"/>
    <w:rsid w:val="00683291"/>
    <w:rsid w:val="0068470E"/>
    <w:rsid w:val="00695D0A"/>
    <w:rsid w:val="006A7C7A"/>
    <w:rsid w:val="006B333B"/>
    <w:rsid w:val="006B5559"/>
    <w:rsid w:val="006B7BA3"/>
    <w:rsid w:val="006C48AD"/>
    <w:rsid w:val="006D32CE"/>
    <w:rsid w:val="006E275B"/>
    <w:rsid w:val="006E2F39"/>
    <w:rsid w:val="006F0D53"/>
    <w:rsid w:val="006F0E17"/>
    <w:rsid w:val="007007A2"/>
    <w:rsid w:val="00700A8C"/>
    <w:rsid w:val="007015DA"/>
    <w:rsid w:val="00704AFB"/>
    <w:rsid w:val="00705DAF"/>
    <w:rsid w:val="007168D9"/>
    <w:rsid w:val="007231E6"/>
    <w:rsid w:val="00734428"/>
    <w:rsid w:val="007350BA"/>
    <w:rsid w:val="00737CA0"/>
    <w:rsid w:val="00737DF1"/>
    <w:rsid w:val="00746FF1"/>
    <w:rsid w:val="0075148C"/>
    <w:rsid w:val="00752027"/>
    <w:rsid w:val="0076460A"/>
    <w:rsid w:val="00791380"/>
    <w:rsid w:val="007B6CCD"/>
    <w:rsid w:val="007C4FB1"/>
    <w:rsid w:val="007C646C"/>
    <w:rsid w:val="007D42B1"/>
    <w:rsid w:val="007D6715"/>
    <w:rsid w:val="007D6C2B"/>
    <w:rsid w:val="007E2ACE"/>
    <w:rsid w:val="007F2F70"/>
    <w:rsid w:val="007F4A5F"/>
    <w:rsid w:val="00816DCD"/>
    <w:rsid w:val="008251D1"/>
    <w:rsid w:val="00830BCC"/>
    <w:rsid w:val="00851E04"/>
    <w:rsid w:val="008536CB"/>
    <w:rsid w:val="00854EC0"/>
    <w:rsid w:val="008565F1"/>
    <w:rsid w:val="008617A3"/>
    <w:rsid w:val="00861F20"/>
    <w:rsid w:val="00863E8F"/>
    <w:rsid w:val="008710C4"/>
    <w:rsid w:val="008712D5"/>
    <w:rsid w:val="00876190"/>
    <w:rsid w:val="00882083"/>
    <w:rsid w:val="00883AC5"/>
    <w:rsid w:val="008B513B"/>
    <w:rsid w:val="008B7FB5"/>
    <w:rsid w:val="008C0A5B"/>
    <w:rsid w:val="008C1271"/>
    <w:rsid w:val="008E79D5"/>
    <w:rsid w:val="008F05D2"/>
    <w:rsid w:val="008F2D95"/>
    <w:rsid w:val="008F57A1"/>
    <w:rsid w:val="00906CBF"/>
    <w:rsid w:val="00921B64"/>
    <w:rsid w:val="009223E4"/>
    <w:rsid w:val="00940899"/>
    <w:rsid w:val="00944ABC"/>
    <w:rsid w:val="0095096F"/>
    <w:rsid w:val="0096041A"/>
    <w:rsid w:val="00963586"/>
    <w:rsid w:val="00964154"/>
    <w:rsid w:val="00965D4F"/>
    <w:rsid w:val="0096756A"/>
    <w:rsid w:val="0097663D"/>
    <w:rsid w:val="00976669"/>
    <w:rsid w:val="009835A0"/>
    <w:rsid w:val="009938CE"/>
    <w:rsid w:val="00995EDA"/>
    <w:rsid w:val="009A19A4"/>
    <w:rsid w:val="009B02B6"/>
    <w:rsid w:val="009C30E9"/>
    <w:rsid w:val="009C4244"/>
    <w:rsid w:val="009C713A"/>
    <w:rsid w:val="009C749F"/>
    <w:rsid w:val="009D2439"/>
    <w:rsid w:val="009E0186"/>
    <w:rsid w:val="009E4CF0"/>
    <w:rsid w:val="009E69ED"/>
    <w:rsid w:val="009F0F2C"/>
    <w:rsid w:val="009F136A"/>
    <w:rsid w:val="009F503D"/>
    <w:rsid w:val="009F7770"/>
    <w:rsid w:val="00A0371E"/>
    <w:rsid w:val="00A0525A"/>
    <w:rsid w:val="00A05CEF"/>
    <w:rsid w:val="00A16FA7"/>
    <w:rsid w:val="00A2163B"/>
    <w:rsid w:val="00A26833"/>
    <w:rsid w:val="00A30473"/>
    <w:rsid w:val="00A31FE8"/>
    <w:rsid w:val="00A34745"/>
    <w:rsid w:val="00A4672F"/>
    <w:rsid w:val="00A541B9"/>
    <w:rsid w:val="00A54533"/>
    <w:rsid w:val="00A55FD1"/>
    <w:rsid w:val="00A60129"/>
    <w:rsid w:val="00A716F6"/>
    <w:rsid w:val="00A74350"/>
    <w:rsid w:val="00A804F7"/>
    <w:rsid w:val="00A87F3D"/>
    <w:rsid w:val="00A9072C"/>
    <w:rsid w:val="00A962A6"/>
    <w:rsid w:val="00A974A7"/>
    <w:rsid w:val="00AA4457"/>
    <w:rsid w:val="00AB1521"/>
    <w:rsid w:val="00AB5DA1"/>
    <w:rsid w:val="00AC109D"/>
    <w:rsid w:val="00AD1AFF"/>
    <w:rsid w:val="00AD3BCA"/>
    <w:rsid w:val="00AD7AF0"/>
    <w:rsid w:val="00AE0DC9"/>
    <w:rsid w:val="00AE4079"/>
    <w:rsid w:val="00AF14AE"/>
    <w:rsid w:val="00B036AD"/>
    <w:rsid w:val="00B05287"/>
    <w:rsid w:val="00B21EE4"/>
    <w:rsid w:val="00B232CF"/>
    <w:rsid w:val="00B2596F"/>
    <w:rsid w:val="00B275C0"/>
    <w:rsid w:val="00B31FA3"/>
    <w:rsid w:val="00B32874"/>
    <w:rsid w:val="00B45AE5"/>
    <w:rsid w:val="00B46828"/>
    <w:rsid w:val="00B66972"/>
    <w:rsid w:val="00B70FED"/>
    <w:rsid w:val="00B77653"/>
    <w:rsid w:val="00B86925"/>
    <w:rsid w:val="00B924A8"/>
    <w:rsid w:val="00B93C26"/>
    <w:rsid w:val="00B93E94"/>
    <w:rsid w:val="00B949D1"/>
    <w:rsid w:val="00BA328C"/>
    <w:rsid w:val="00BA59BC"/>
    <w:rsid w:val="00BB2FB4"/>
    <w:rsid w:val="00BB3B8E"/>
    <w:rsid w:val="00BB60BA"/>
    <w:rsid w:val="00BC1041"/>
    <w:rsid w:val="00BD0199"/>
    <w:rsid w:val="00BD4A0F"/>
    <w:rsid w:val="00BF47D2"/>
    <w:rsid w:val="00BF6C4B"/>
    <w:rsid w:val="00C0219A"/>
    <w:rsid w:val="00C1010D"/>
    <w:rsid w:val="00C22116"/>
    <w:rsid w:val="00C2491B"/>
    <w:rsid w:val="00C3109B"/>
    <w:rsid w:val="00C52D78"/>
    <w:rsid w:val="00C64484"/>
    <w:rsid w:val="00C71D79"/>
    <w:rsid w:val="00C75774"/>
    <w:rsid w:val="00C75F96"/>
    <w:rsid w:val="00C801D1"/>
    <w:rsid w:val="00C9272B"/>
    <w:rsid w:val="00C97D9F"/>
    <w:rsid w:val="00CA1DDC"/>
    <w:rsid w:val="00CB024F"/>
    <w:rsid w:val="00CB10F0"/>
    <w:rsid w:val="00CB6B04"/>
    <w:rsid w:val="00CB75E0"/>
    <w:rsid w:val="00CB7FEE"/>
    <w:rsid w:val="00CC37E1"/>
    <w:rsid w:val="00CC7880"/>
    <w:rsid w:val="00CD5FD2"/>
    <w:rsid w:val="00CF7BC0"/>
    <w:rsid w:val="00D003D6"/>
    <w:rsid w:val="00D00F76"/>
    <w:rsid w:val="00D02024"/>
    <w:rsid w:val="00D079AA"/>
    <w:rsid w:val="00D1115D"/>
    <w:rsid w:val="00D12FA9"/>
    <w:rsid w:val="00D1576F"/>
    <w:rsid w:val="00D17DEF"/>
    <w:rsid w:val="00D23114"/>
    <w:rsid w:val="00D3116D"/>
    <w:rsid w:val="00D37E40"/>
    <w:rsid w:val="00D528D0"/>
    <w:rsid w:val="00D55CE3"/>
    <w:rsid w:val="00D57274"/>
    <w:rsid w:val="00D62F0F"/>
    <w:rsid w:val="00D66C45"/>
    <w:rsid w:val="00D73F62"/>
    <w:rsid w:val="00D755BE"/>
    <w:rsid w:val="00D87332"/>
    <w:rsid w:val="00D96402"/>
    <w:rsid w:val="00DA139D"/>
    <w:rsid w:val="00DA3EAA"/>
    <w:rsid w:val="00DA77BF"/>
    <w:rsid w:val="00DB5054"/>
    <w:rsid w:val="00DB738B"/>
    <w:rsid w:val="00DC0770"/>
    <w:rsid w:val="00DC2A0B"/>
    <w:rsid w:val="00DC5176"/>
    <w:rsid w:val="00DD7400"/>
    <w:rsid w:val="00DE2B0A"/>
    <w:rsid w:val="00DE3478"/>
    <w:rsid w:val="00DE7B68"/>
    <w:rsid w:val="00DF176F"/>
    <w:rsid w:val="00DF7355"/>
    <w:rsid w:val="00E03E6A"/>
    <w:rsid w:val="00E045CB"/>
    <w:rsid w:val="00E13142"/>
    <w:rsid w:val="00E15232"/>
    <w:rsid w:val="00E2081E"/>
    <w:rsid w:val="00E23AA5"/>
    <w:rsid w:val="00E25F48"/>
    <w:rsid w:val="00E324A4"/>
    <w:rsid w:val="00E32D57"/>
    <w:rsid w:val="00E33F02"/>
    <w:rsid w:val="00E34910"/>
    <w:rsid w:val="00E42B6F"/>
    <w:rsid w:val="00E50727"/>
    <w:rsid w:val="00E52CF4"/>
    <w:rsid w:val="00E53C59"/>
    <w:rsid w:val="00E55488"/>
    <w:rsid w:val="00E62466"/>
    <w:rsid w:val="00E633FF"/>
    <w:rsid w:val="00E72E23"/>
    <w:rsid w:val="00E75F8E"/>
    <w:rsid w:val="00E84739"/>
    <w:rsid w:val="00E85D67"/>
    <w:rsid w:val="00E91F29"/>
    <w:rsid w:val="00E93D25"/>
    <w:rsid w:val="00EA09F1"/>
    <w:rsid w:val="00EA3FE0"/>
    <w:rsid w:val="00EA66A8"/>
    <w:rsid w:val="00EB03B3"/>
    <w:rsid w:val="00EB0B96"/>
    <w:rsid w:val="00EB0C72"/>
    <w:rsid w:val="00EB691A"/>
    <w:rsid w:val="00EB69E9"/>
    <w:rsid w:val="00EC74A2"/>
    <w:rsid w:val="00ED662F"/>
    <w:rsid w:val="00EE0C58"/>
    <w:rsid w:val="00EE79C5"/>
    <w:rsid w:val="00F01276"/>
    <w:rsid w:val="00F01CB3"/>
    <w:rsid w:val="00F032D7"/>
    <w:rsid w:val="00F04AB2"/>
    <w:rsid w:val="00F05448"/>
    <w:rsid w:val="00F05911"/>
    <w:rsid w:val="00F10E5F"/>
    <w:rsid w:val="00F121FE"/>
    <w:rsid w:val="00F15AA8"/>
    <w:rsid w:val="00F20355"/>
    <w:rsid w:val="00F20786"/>
    <w:rsid w:val="00F21F5C"/>
    <w:rsid w:val="00F22730"/>
    <w:rsid w:val="00F263AF"/>
    <w:rsid w:val="00F319AB"/>
    <w:rsid w:val="00F36B39"/>
    <w:rsid w:val="00F36CE2"/>
    <w:rsid w:val="00F539F9"/>
    <w:rsid w:val="00F54820"/>
    <w:rsid w:val="00F612EA"/>
    <w:rsid w:val="00F6237E"/>
    <w:rsid w:val="00F71966"/>
    <w:rsid w:val="00F837A9"/>
    <w:rsid w:val="00F859D2"/>
    <w:rsid w:val="00F95E13"/>
    <w:rsid w:val="00FA1ED5"/>
    <w:rsid w:val="00FA2F92"/>
    <w:rsid w:val="00FA51B5"/>
    <w:rsid w:val="00FA5292"/>
    <w:rsid w:val="00FC19EA"/>
    <w:rsid w:val="00FC761F"/>
    <w:rsid w:val="00FD0969"/>
    <w:rsid w:val="00FD2BB1"/>
    <w:rsid w:val="00FD6D02"/>
    <w:rsid w:val="00FE6A50"/>
    <w:rsid w:val="00FF15CD"/>
    <w:rsid w:val="00FF69A7"/>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1ECE8"/>
  <w14:defaultImageDpi w14:val="0"/>
  <w15:docId w15:val="{B9A541E6-D0C5-4769-B20E-D32C9481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DAF"/>
    <w:pPr>
      <w:spacing w:line="480" w:lineRule="auto"/>
      <w:jc w:val="both"/>
    </w:pPr>
    <w:rPr>
      <w:sz w:val="28"/>
      <w:szCs w:val="28"/>
      <w:lang w:val="en-GB" w:eastAsia="en-US"/>
    </w:rPr>
  </w:style>
  <w:style w:type="paragraph" w:styleId="Heading1">
    <w:name w:val="heading 1"/>
    <w:basedOn w:val="Normal"/>
    <w:next w:val="Normal"/>
    <w:link w:val="Heading1Char"/>
    <w:uiPriority w:val="9"/>
    <w:qFormat/>
    <w:pPr>
      <w:keepNext/>
      <w:jc w:val="center"/>
      <w:outlineLvl w:val="0"/>
    </w:pPr>
    <w:rPr>
      <w:b/>
      <w:bCs/>
      <w:lang w:val="en-ZA"/>
    </w:rPr>
  </w:style>
  <w:style w:type="paragraph" w:styleId="Heading2">
    <w:name w:val="heading 2"/>
    <w:basedOn w:val="Normal"/>
    <w:next w:val="Normal"/>
    <w:link w:val="Heading2Char"/>
    <w:uiPriority w:val="9"/>
    <w:semiHidden/>
    <w:unhideWhenUsed/>
    <w:qFormat/>
    <w:rsid w:val="007231E6"/>
    <w:pPr>
      <w:keepNext/>
      <w:spacing w:before="240" w:after="60"/>
      <w:outlineLvl w:val="1"/>
    </w:pPr>
    <w:rPr>
      <w:rFonts w:ascii="Aptos Display" w:hAnsi="Aptos Display"/>
      <w:b/>
      <w:bCs/>
      <w:i/>
      <w:iCs/>
    </w:rPr>
  </w:style>
  <w:style w:type="paragraph" w:styleId="Heading3">
    <w:name w:val="heading 3"/>
    <w:basedOn w:val="Normal"/>
    <w:next w:val="Normal"/>
    <w:link w:val="Heading3Char"/>
    <w:uiPriority w:val="9"/>
    <w:qFormat/>
    <w:pPr>
      <w:keepNext/>
      <w:jc w:val="center"/>
      <w:outlineLvl w:val="2"/>
    </w:pPr>
    <w:rPr>
      <w:b/>
      <w:bCs/>
      <w:sz w:val="32"/>
      <w:szCs w:val="32"/>
      <w:lang w:val="en-ZA"/>
    </w:rPr>
  </w:style>
  <w:style w:type="paragraph" w:styleId="Heading4">
    <w:name w:val="heading 4"/>
    <w:basedOn w:val="Normal"/>
    <w:next w:val="Normal"/>
    <w:link w:val="Heading4Char"/>
    <w:uiPriority w:val="9"/>
    <w:qFormat/>
    <w:pPr>
      <w:keepNext/>
      <w:autoSpaceDE w:val="0"/>
      <w:autoSpaceDN w:val="0"/>
      <w:adjustRightInd w:val="0"/>
      <w:outlineLvl w:val="3"/>
    </w:pPr>
    <w:rPr>
      <w:szCs w:val="18"/>
      <w:u w:val="single"/>
      <w:lang w:val="en-US"/>
    </w:rPr>
  </w:style>
  <w:style w:type="paragraph" w:styleId="Heading6">
    <w:name w:val="heading 6"/>
    <w:basedOn w:val="Normal"/>
    <w:next w:val="Normal"/>
    <w:link w:val="Heading6Char"/>
    <w:uiPriority w:val="9"/>
    <w:qFormat/>
    <w:pPr>
      <w:keepNext/>
      <w:jc w:val="right"/>
      <w:outlineLvl w:val="5"/>
    </w:pPr>
    <w:rPr>
      <w:lang w:val="en-ZA"/>
    </w:rPr>
  </w:style>
  <w:style w:type="paragraph" w:styleId="Heading7">
    <w:name w:val="heading 7"/>
    <w:basedOn w:val="Normal"/>
    <w:next w:val="Normal"/>
    <w:link w:val="Heading7Char"/>
    <w:uiPriority w:val="9"/>
    <w:qFormat/>
    <w:pPr>
      <w:keepNext/>
      <w:spacing w:line="360" w:lineRule="auto"/>
      <w:outlineLvl w:val="6"/>
    </w:pPr>
    <w:rPr>
      <w:bCs/>
      <w:lang w:val="en-Z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locked/>
    <w:rsid w:val="007231E6"/>
    <w:rPr>
      <w:rFonts w:ascii="Aptos Display" w:hAnsi="Aptos Display"/>
      <w:b/>
      <w:i/>
      <w:sz w:val="28"/>
      <w:lang w:val="en-GB" w:eastAsia="x-non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eastAsia="en-US"/>
    </w:rPr>
  </w:style>
  <w:style w:type="paragraph" w:styleId="BodyText3">
    <w:name w:val="Body Text 3"/>
    <w:basedOn w:val="Normal"/>
    <w:link w:val="BodyText3Char"/>
    <w:uiPriority w:val="99"/>
    <w:semiHidden/>
    <w:rPr>
      <w:lang w:val="en-ZA"/>
    </w:rPr>
  </w:style>
  <w:style w:type="character" w:customStyle="1" w:styleId="BodyText3Char">
    <w:name w:val="Body Text 3 Char"/>
    <w:basedOn w:val="DefaultParagraphFont"/>
    <w:link w:val="BodyText3"/>
    <w:uiPriority w:val="99"/>
    <w:semiHidden/>
    <w:rPr>
      <w:sz w:val="16"/>
      <w:szCs w:val="16"/>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060EB7"/>
    <w:rPr>
      <w:sz w:val="28"/>
      <w:lang w:val="en-GB" w:eastAsia="x-none"/>
    </w:rPr>
  </w:style>
  <w:style w:type="character" w:styleId="PageNumber">
    <w:name w:val="page number"/>
    <w:basedOn w:val="DefaultParagraphFont"/>
    <w:uiPriority w:val="99"/>
    <w:semiHidden/>
    <w:rPr>
      <w:rFonts w:cs="Times New Roman"/>
    </w:rPr>
  </w:style>
  <w:style w:type="paragraph" w:styleId="BodyTextIndent">
    <w:name w:val="Body Text Indent"/>
    <w:basedOn w:val="Normal"/>
    <w:link w:val="BodyTextIndentChar"/>
    <w:uiPriority w:val="99"/>
    <w:semiHidden/>
    <w:pPr>
      <w:tabs>
        <w:tab w:val="left" w:pos="0"/>
        <w:tab w:val="left" w:pos="1440"/>
        <w:tab w:val="left" w:pos="1530"/>
      </w:tabs>
      <w:spacing w:after="200" w:line="360" w:lineRule="auto"/>
    </w:pPr>
  </w:style>
  <w:style w:type="character" w:customStyle="1" w:styleId="BodyTextIndentChar">
    <w:name w:val="Body Text Indent Char"/>
    <w:basedOn w:val="DefaultParagraphFont"/>
    <w:link w:val="BodyTextIndent"/>
    <w:uiPriority w:val="99"/>
    <w:semiHidden/>
    <w:rPr>
      <w:sz w:val="28"/>
      <w:szCs w:val="28"/>
      <w:lang w:val="en-GB" w:eastAsia="en-US"/>
    </w:rPr>
  </w:style>
  <w:style w:type="paragraph" w:styleId="FootnoteText">
    <w:name w:val="footnote text"/>
    <w:basedOn w:val="Normal"/>
    <w:link w:val="FootnoteTextChar"/>
    <w:uiPriority w:val="99"/>
    <w:unhideWhenUsed/>
    <w:rsid w:val="00705DAF"/>
    <w:pPr>
      <w:spacing w:line="240" w:lineRule="auto"/>
    </w:pPr>
    <w:rPr>
      <w:sz w:val="20"/>
    </w:rPr>
  </w:style>
  <w:style w:type="character" w:customStyle="1" w:styleId="FootnoteTextChar">
    <w:name w:val="Footnote Text Char"/>
    <w:basedOn w:val="DefaultParagraphFont"/>
    <w:link w:val="FootnoteText"/>
    <w:uiPriority w:val="99"/>
    <w:locked/>
    <w:rsid w:val="00705DAF"/>
    <w:rPr>
      <w:sz w:val="28"/>
      <w:lang w:val="en-GB" w:eastAsia="x-none"/>
    </w:rPr>
  </w:style>
  <w:style w:type="character" w:styleId="FootnoteReference">
    <w:name w:val="footnote reference"/>
    <w:basedOn w:val="DefaultParagraphFont"/>
    <w:uiPriority w:val="99"/>
    <w:unhideWhenUsed/>
    <w:rsid w:val="00543C10"/>
    <w:rPr>
      <w:vertAlign w:val="superscript"/>
    </w:rPr>
  </w:style>
  <w:style w:type="paragraph" w:styleId="NormalIndent">
    <w:name w:val="Normal Indent"/>
    <w:basedOn w:val="Normal"/>
    <w:uiPriority w:val="99"/>
    <w:semiHidden/>
    <w:unhideWhenUsed/>
    <w:rsid w:val="008E79D5"/>
    <w:pPr>
      <w:ind w:left="720"/>
    </w:pPr>
  </w:style>
  <w:style w:type="character" w:customStyle="1" w:styleId="mc">
    <w:name w:val="mc"/>
    <w:rsid w:val="00445BCA"/>
  </w:style>
  <w:style w:type="character" w:styleId="Hyperlink">
    <w:name w:val="Hyperlink"/>
    <w:basedOn w:val="DefaultParagraphFont"/>
    <w:uiPriority w:val="99"/>
    <w:unhideWhenUsed/>
    <w:rsid w:val="00E72E23"/>
    <w:rPr>
      <w:color w:val="0000FF"/>
      <w:u w:val="single"/>
    </w:rPr>
  </w:style>
  <w:style w:type="table" w:styleId="TableGrid">
    <w:name w:val="Table Grid"/>
    <w:basedOn w:val="TableNormal"/>
    <w:uiPriority w:val="59"/>
    <w:rsid w:val="00BB2FB4"/>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C646C"/>
    <w:pPr>
      <w:tabs>
        <w:tab w:val="center" w:pos="4680"/>
        <w:tab w:val="right" w:pos="9360"/>
      </w:tabs>
    </w:pPr>
  </w:style>
  <w:style w:type="character" w:customStyle="1" w:styleId="FooterChar">
    <w:name w:val="Footer Char"/>
    <w:basedOn w:val="DefaultParagraphFont"/>
    <w:link w:val="Footer"/>
    <w:uiPriority w:val="99"/>
    <w:locked/>
    <w:rsid w:val="007C646C"/>
    <w:rPr>
      <w:sz w:val="28"/>
      <w:lang w:val="en-GB" w:eastAsia="x-none"/>
    </w:rPr>
  </w:style>
  <w:style w:type="paragraph" w:styleId="ListParagraph">
    <w:name w:val="List Paragraph"/>
    <w:basedOn w:val="Normal"/>
    <w:uiPriority w:val="72"/>
    <w:qFormat/>
    <w:rsid w:val="007E2ACE"/>
    <w:pPr>
      <w:ind w:left="720"/>
    </w:pPr>
  </w:style>
  <w:style w:type="character" w:customStyle="1" w:styleId="UnresolvedMention">
    <w:name w:val="Unresolved Mention"/>
    <w:uiPriority w:val="99"/>
    <w:semiHidden/>
    <w:unhideWhenUsed/>
    <w:rsid w:val="00E3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88162">
      <w:bodyDiv w:val="1"/>
      <w:marLeft w:val="0"/>
      <w:marRight w:val="0"/>
      <w:marTop w:val="0"/>
      <w:marBottom w:val="0"/>
      <w:divBdr>
        <w:top w:val="none" w:sz="0" w:space="0" w:color="auto"/>
        <w:left w:val="none" w:sz="0" w:space="0" w:color="auto"/>
        <w:bottom w:val="none" w:sz="0" w:space="0" w:color="auto"/>
        <w:right w:val="none" w:sz="0" w:space="0" w:color="auto"/>
      </w:divBdr>
    </w:div>
    <w:div w:id="1452623969">
      <w:marLeft w:val="0"/>
      <w:marRight w:val="0"/>
      <w:marTop w:val="0"/>
      <w:marBottom w:val="0"/>
      <w:divBdr>
        <w:top w:val="none" w:sz="0" w:space="0" w:color="auto"/>
        <w:left w:val="none" w:sz="0" w:space="0" w:color="auto"/>
        <w:bottom w:val="none" w:sz="0" w:space="0" w:color="auto"/>
        <w:right w:val="none" w:sz="0" w:space="0" w:color="auto"/>
      </w:divBdr>
      <w:divsChild>
        <w:div w:id="1452623970">
          <w:marLeft w:val="567"/>
          <w:marRight w:val="0"/>
          <w:marTop w:val="120"/>
          <w:marBottom w:val="0"/>
          <w:divBdr>
            <w:top w:val="none" w:sz="0" w:space="0" w:color="auto"/>
            <w:left w:val="none" w:sz="0" w:space="0" w:color="auto"/>
            <w:bottom w:val="none" w:sz="0" w:space="0" w:color="auto"/>
            <w:right w:val="none" w:sz="0" w:space="0" w:color="auto"/>
          </w:divBdr>
        </w:div>
        <w:div w:id="1452623972">
          <w:marLeft w:val="0"/>
          <w:marRight w:val="0"/>
          <w:marTop w:val="120"/>
          <w:marBottom w:val="0"/>
          <w:divBdr>
            <w:top w:val="none" w:sz="0" w:space="0" w:color="auto"/>
            <w:left w:val="none" w:sz="0" w:space="0" w:color="auto"/>
            <w:bottom w:val="none" w:sz="0" w:space="0" w:color="auto"/>
            <w:right w:val="none" w:sz="0" w:space="0" w:color="auto"/>
          </w:divBdr>
        </w:div>
        <w:div w:id="1452623974">
          <w:marLeft w:val="567"/>
          <w:marRight w:val="0"/>
          <w:marTop w:val="120"/>
          <w:marBottom w:val="0"/>
          <w:divBdr>
            <w:top w:val="none" w:sz="0" w:space="0" w:color="auto"/>
            <w:left w:val="none" w:sz="0" w:space="0" w:color="auto"/>
            <w:bottom w:val="none" w:sz="0" w:space="0" w:color="auto"/>
            <w:right w:val="none" w:sz="0" w:space="0" w:color="auto"/>
          </w:divBdr>
        </w:div>
        <w:div w:id="1452623975">
          <w:marLeft w:val="567"/>
          <w:marRight w:val="0"/>
          <w:marTop w:val="120"/>
          <w:marBottom w:val="0"/>
          <w:divBdr>
            <w:top w:val="none" w:sz="0" w:space="0" w:color="auto"/>
            <w:left w:val="none" w:sz="0" w:space="0" w:color="auto"/>
            <w:bottom w:val="none" w:sz="0" w:space="0" w:color="auto"/>
            <w:right w:val="none" w:sz="0" w:space="0" w:color="auto"/>
          </w:divBdr>
        </w:div>
      </w:divsChild>
    </w:div>
    <w:div w:id="1452623971">
      <w:marLeft w:val="0"/>
      <w:marRight w:val="0"/>
      <w:marTop w:val="0"/>
      <w:marBottom w:val="0"/>
      <w:divBdr>
        <w:top w:val="none" w:sz="0" w:space="0" w:color="auto"/>
        <w:left w:val="none" w:sz="0" w:space="0" w:color="auto"/>
        <w:bottom w:val="none" w:sz="0" w:space="0" w:color="auto"/>
        <w:right w:val="none" w:sz="0" w:space="0" w:color="auto"/>
      </w:divBdr>
    </w:div>
    <w:div w:id="1452623973">
      <w:marLeft w:val="0"/>
      <w:marRight w:val="0"/>
      <w:marTop w:val="0"/>
      <w:marBottom w:val="0"/>
      <w:divBdr>
        <w:top w:val="none" w:sz="0" w:space="0" w:color="auto"/>
        <w:left w:val="none" w:sz="0" w:space="0" w:color="auto"/>
        <w:bottom w:val="none" w:sz="0" w:space="0" w:color="auto"/>
        <w:right w:val="none" w:sz="0" w:space="0" w:color="auto"/>
      </w:divBdr>
    </w:div>
    <w:div w:id="1452623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ylexisnexis.co.za/Index.aspx" TargetMode="External"/><Relationship Id="rId1" Type="http://schemas.openxmlformats.org/officeDocument/2006/relationships/hyperlink" Target="https://www.cliffedekkerhofmeyr.com/news/publications/2023/Practice/Dispute/dispute-resolution-alert-31-january-2023-some-rules-are-meant-to-be-broken-but-at-what-cost-in-a-court-of-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88190-337E-4C00-9CDD-0D5AE107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4018</Words>
  <Characters>22905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Mary Bruce</cp:lastModifiedBy>
  <cp:revision>4</cp:revision>
  <cp:lastPrinted>2024-04-04T09:29:00Z</cp:lastPrinted>
  <dcterms:created xsi:type="dcterms:W3CDTF">2024-04-08T12:13:00Z</dcterms:created>
  <dcterms:modified xsi:type="dcterms:W3CDTF">2024-04-08T12:17:00Z</dcterms:modified>
</cp:coreProperties>
</file>