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04" w:rsidRPr="00295285" w:rsidRDefault="00F310D9" w:rsidP="00295285">
      <w:pPr>
        <w:spacing w:after="0" w:line="240" w:lineRule="auto"/>
        <w:jc w:val="center"/>
        <w:rPr>
          <w:rFonts w:ascii="Arial" w:hAnsi="Arial" w:cs="Arial"/>
          <w:sz w:val="24"/>
          <w:szCs w:val="24"/>
        </w:rPr>
      </w:pPr>
      <w:bookmarkStart w:id="0" w:name="_GoBack"/>
      <w:bookmarkEnd w:id="0"/>
      <w:r w:rsidRPr="00295285">
        <w:rPr>
          <w:rFonts w:ascii="Arial" w:eastAsia="Times New Roman" w:hAnsi="Arial" w:cs="Arial"/>
          <w:noProof/>
          <w:sz w:val="24"/>
          <w:szCs w:val="24"/>
          <w:lang w:eastAsia="en-ZA"/>
        </w:rPr>
        <w:drawing>
          <wp:anchor distT="0" distB="0" distL="114300" distR="114300" simplePos="0" relativeHeight="251658240" behindDoc="1" locked="0" layoutInCell="1" allowOverlap="1" wp14:anchorId="7B741CF1" wp14:editId="30874CC0">
            <wp:simplePos x="0" y="0"/>
            <wp:positionH relativeFrom="column">
              <wp:posOffset>2148840</wp:posOffset>
            </wp:positionH>
            <wp:positionV relativeFrom="paragraph">
              <wp:posOffset>-689861</wp:posOffset>
            </wp:positionV>
            <wp:extent cx="1436370" cy="1436370"/>
            <wp:effectExtent l="0" t="0" r="0" b="0"/>
            <wp:wrapNone/>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285" w:rsidRDefault="00295285" w:rsidP="00295285">
      <w:pPr>
        <w:pStyle w:val="ListParagraph"/>
        <w:spacing w:after="0" w:line="240" w:lineRule="auto"/>
        <w:ind w:left="1440" w:firstLine="720"/>
        <w:jc w:val="both"/>
        <w:rPr>
          <w:rFonts w:ascii="Arial" w:hAnsi="Arial" w:cs="Arial"/>
          <w:b/>
          <w:sz w:val="24"/>
          <w:szCs w:val="24"/>
          <w:u w:val="single"/>
        </w:rPr>
      </w:pPr>
    </w:p>
    <w:p w:rsidR="00295285" w:rsidRDefault="00295285" w:rsidP="00295285">
      <w:pPr>
        <w:pStyle w:val="ListParagraph"/>
        <w:spacing w:after="0" w:line="240" w:lineRule="auto"/>
        <w:ind w:left="1440" w:firstLine="720"/>
        <w:jc w:val="both"/>
        <w:rPr>
          <w:rFonts w:ascii="Arial" w:hAnsi="Arial" w:cs="Arial"/>
          <w:b/>
          <w:sz w:val="24"/>
          <w:szCs w:val="24"/>
          <w:u w:val="single"/>
        </w:rPr>
      </w:pPr>
    </w:p>
    <w:p w:rsidR="00295285" w:rsidRDefault="00295285" w:rsidP="00295285">
      <w:pPr>
        <w:pStyle w:val="ListParagraph"/>
        <w:spacing w:after="0" w:line="240" w:lineRule="auto"/>
        <w:ind w:left="1440" w:firstLine="720"/>
        <w:jc w:val="both"/>
        <w:rPr>
          <w:rFonts w:ascii="Arial" w:hAnsi="Arial" w:cs="Arial"/>
          <w:b/>
          <w:sz w:val="24"/>
          <w:szCs w:val="24"/>
          <w:u w:val="single"/>
        </w:rPr>
      </w:pPr>
    </w:p>
    <w:p w:rsidR="00295285" w:rsidRDefault="00295285" w:rsidP="00295285">
      <w:pPr>
        <w:pStyle w:val="ListParagraph"/>
        <w:spacing w:after="0" w:line="240" w:lineRule="auto"/>
        <w:ind w:left="1440" w:firstLine="720"/>
        <w:jc w:val="both"/>
        <w:rPr>
          <w:rFonts w:ascii="Arial" w:hAnsi="Arial" w:cs="Arial"/>
          <w:b/>
          <w:sz w:val="24"/>
          <w:szCs w:val="24"/>
          <w:u w:val="single"/>
        </w:rPr>
      </w:pPr>
    </w:p>
    <w:p w:rsidR="00E22E04" w:rsidRPr="00295285" w:rsidRDefault="00E22E04" w:rsidP="00295285">
      <w:pPr>
        <w:pStyle w:val="ListParagraph"/>
        <w:spacing w:after="0" w:line="240" w:lineRule="auto"/>
        <w:ind w:left="1440" w:firstLine="720"/>
        <w:jc w:val="both"/>
        <w:rPr>
          <w:rFonts w:ascii="Arial" w:hAnsi="Arial" w:cs="Arial"/>
          <w:b/>
          <w:sz w:val="24"/>
          <w:szCs w:val="24"/>
          <w:u w:val="single"/>
        </w:rPr>
      </w:pPr>
      <w:r w:rsidRPr="00295285">
        <w:rPr>
          <w:rFonts w:ascii="Arial" w:hAnsi="Arial" w:cs="Arial"/>
          <w:b/>
          <w:sz w:val="24"/>
          <w:szCs w:val="24"/>
          <w:u w:val="single"/>
        </w:rPr>
        <w:t xml:space="preserve">IN THE </w:t>
      </w:r>
      <w:r w:rsidR="00C331D9" w:rsidRPr="00295285">
        <w:rPr>
          <w:rFonts w:ascii="Arial" w:hAnsi="Arial" w:cs="Arial"/>
          <w:b/>
          <w:sz w:val="24"/>
          <w:szCs w:val="24"/>
          <w:u w:val="single"/>
        </w:rPr>
        <w:t>HIGH COURT OF SOUTH AFRICA</w:t>
      </w:r>
    </w:p>
    <w:p w:rsidR="00B47F52" w:rsidRPr="00C502E3" w:rsidRDefault="00C331D9" w:rsidP="00B47F52">
      <w:pPr>
        <w:autoSpaceDE w:val="0"/>
        <w:autoSpaceDN w:val="0"/>
        <w:adjustRightInd w:val="0"/>
        <w:spacing w:before="100" w:line="480" w:lineRule="auto"/>
        <w:jc w:val="center"/>
        <w:rPr>
          <w:rFonts w:ascii="Times New Roman" w:hAnsi="Times New Roman" w:cs="Times New Roman"/>
          <w:b/>
          <w:bCs/>
          <w:sz w:val="24"/>
          <w:szCs w:val="24"/>
          <w:u w:val="single"/>
        </w:rPr>
      </w:pPr>
      <w:r w:rsidRPr="00295285">
        <w:rPr>
          <w:rFonts w:ascii="Arial" w:hAnsi="Arial" w:cs="Arial"/>
          <w:b/>
          <w:sz w:val="24"/>
          <w:szCs w:val="24"/>
          <w:u w:val="single"/>
        </w:rPr>
        <w:t>FREE STATE DIVISION, BLOEMFONTEIN</w:t>
      </w:r>
      <w:r w:rsidR="00B47F52" w:rsidRPr="00B47F52">
        <w:rPr>
          <w:rFonts w:ascii="Times New Roman" w:hAnsi="Times New Roman" w:cs="Times New Roman"/>
          <w:b/>
          <w:bCs/>
          <w:sz w:val="24"/>
          <w:szCs w:val="24"/>
          <w:u w:val="single"/>
        </w:rPr>
        <w:t xml:space="preserve"> </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B47F52" w:rsidRPr="00C502E3" w:rsidTr="008470FB">
        <w:trPr>
          <w:trHeight w:val="702"/>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B47F52" w:rsidRPr="00B47F52" w:rsidRDefault="00B47F52" w:rsidP="008470FB">
            <w:pPr>
              <w:pStyle w:val="BodyAA"/>
              <w:autoSpaceDE w:val="0"/>
              <w:autoSpaceDN w:val="0"/>
              <w:spacing w:before="60" w:after="0" w:line="240" w:lineRule="auto"/>
              <w:rPr>
                <w:rFonts w:ascii="Arial" w:hAnsi="Arial" w:cs="Arial"/>
                <w:b/>
                <w:bCs/>
                <w:sz w:val="16"/>
                <w:szCs w:val="16"/>
                <w:lang w:val="en-ZA"/>
              </w:rPr>
            </w:pPr>
            <w:r w:rsidRPr="00B47F52">
              <w:rPr>
                <w:rFonts w:ascii="Arial" w:hAnsi="Arial" w:cs="Arial"/>
                <w:b/>
                <w:bCs/>
                <w:sz w:val="16"/>
                <w:szCs w:val="16"/>
                <w:lang w:val="en-ZA"/>
              </w:rPr>
              <w:t xml:space="preserve">Reportable:                              </w:t>
            </w:r>
          </w:p>
          <w:p w:rsidR="00B47F52" w:rsidRPr="00B47F52" w:rsidRDefault="00B47F52" w:rsidP="008470FB">
            <w:pPr>
              <w:pStyle w:val="BodyAA"/>
              <w:autoSpaceDE w:val="0"/>
              <w:autoSpaceDN w:val="0"/>
              <w:spacing w:after="0" w:line="240" w:lineRule="auto"/>
              <w:rPr>
                <w:rFonts w:ascii="Arial" w:hAnsi="Arial" w:cs="Arial"/>
                <w:b/>
                <w:bCs/>
                <w:sz w:val="16"/>
                <w:szCs w:val="16"/>
                <w:lang w:val="en-ZA"/>
              </w:rPr>
            </w:pPr>
            <w:r w:rsidRPr="00B47F52">
              <w:rPr>
                <w:rFonts w:ascii="Arial" w:hAnsi="Arial" w:cs="Arial"/>
                <w:b/>
                <w:bCs/>
                <w:sz w:val="16"/>
                <w:szCs w:val="16"/>
                <w:lang w:val="en-ZA"/>
              </w:rPr>
              <w:t xml:space="preserve">Of Interest to other Judges:   </w:t>
            </w:r>
          </w:p>
          <w:p w:rsidR="00B47F52" w:rsidRPr="00B47F52" w:rsidRDefault="00B47F52" w:rsidP="008470FB">
            <w:pPr>
              <w:pStyle w:val="BodyAA"/>
              <w:autoSpaceDE w:val="0"/>
              <w:autoSpaceDN w:val="0"/>
              <w:spacing w:after="0" w:line="240" w:lineRule="auto"/>
              <w:rPr>
                <w:rFonts w:ascii="Arial" w:hAnsi="Arial" w:cs="Arial"/>
                <w:lang w:val="en-ZA"/>
              </w:rPr>
            </w:pPr>
            <w:r w:rsidRPr="00B47F52">
              <w:rPr>
                <w:rFonts w:ascii="Arial" w:hAnsi="Arial" w:cs="Arial"/>
                <w:b/>
                <w:bCs/>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B47F52" w:rsidRPr="00B47F52" w:rsidRDefault="00B47F52" w:rsidP="008470FB">
            <w:pPr>
              <w:pStyle w:val="BodyAA"/>
              <w:autoSpaceDE w:val="0"/>
              <w:autoSpaceDN w:val="0"/>
              <w:spacing w:before="60" w:after="0" w:line="240" w:lineRule="auto"/>
              <w:rPr>
                <w:rFonts w:ascii="Arial" w:hAnsi="Arial" w:cs="Arial"/>
                <w:b/>
                <w:bCs/>
                <w:sz w:val="16"/>
                <w:szCs w:val="16"/>
                <w:lang w:val="en-ZA"/>
              </w:rPr>
            </w:pPr>
            <w:r w:rsidRPr="00B47F52">
              <w:rPr>
                <w:rFonts w:ascii="Arial" w:hAnsi="Arial" w:cs="Arial"/>
                <w:b/>
                <w:bCs/>
                <w:sz w:val="16"/>
                <w:szCs w:val="16"/>
                <w:lang w:val="en-ZA"/>
              </w:rPr>
              <w:t xml:space="preserve">YES/NO </w:t>
            </w:r>
          </w:p>
          <w:p w:rsidR="00B47F52" w:rsidRPr="00B47F52" w:rsidRDefault="00B47F52" w:rsidP="008470FB">
            <w:pPr>
              <w:pStyle w:val="BodyAA"/>
              <w:autoSpaceDE w:val="0"/>
              <w:autoSpaceDN w:val="0"/>
              <w:spacing w:after="0" w:line="240" w:lineRule="auto"/>
              <w:rPr>
                <w:rFonts w:ascii="Arial" w:hAnsi="Arial" w:cs="Arial"/>
                <w:b/>
                <w:bCs/>
                <w:sz w:val="16"/>
                <w:szCs w:val="16"/>
                <w:lang w:val="en-ZA"/>
              </w:rPr>
            </w:pPr>
            <w:r w:rsidRPr="00B47F52">
              <w:rPr>
                <w:rFonts w:ascii="Arial" w:hAnsi="Arial" w:cs="Arial"/>
                <w:b/>
                <w:bCs/>
                <w:sz w:val="16"/>
                <w:szCs w:val="16"/>
                <w:lang w:val="en-ZA"/>
              </w:rPr>
              <w:t xml:space="preserve">YES/NO </w:t>
            </w:r>
          </w:p>
          <w:p w:rsidR="00B47F52" w:rsidRPr="00B47F52" w:rsidRDefault="00B47F52" w:rsidP="008470FB">
            <w:pPr>
              <w:pStyle w:val="BodyAA"/>
              <w:autoSpaceDE w:val="0"/>
              <w:autoSpaceDN w:val="0"/>
              <w:spacing w:after="0" w:line="240" w:lineRule="auto"/>
              <w:rPr>
                <w:rFonts w:ascii="Arial" w:hAnsi="Arial" w:cs="Arial"/>
                <w:lang w:val="en-ZA"/>
              </w:rPr>
            </w:pPr>
            <w:r w:rsidRPr="00B47F52">
              <w:rPr>
                <w:rFonts w:ascii="Arial" w:hAnsi="Arial" w:cs="Arial"/>
                <w:b/>
                <w:bCs/>
                <w:sz w:val="16"/>
                <w:szCs w:val="16"/>
                <w:lang w:val="en-ZA"/>
              </w:rPr>
              <w:t>YES/NO</w:t>
            </w:r>
          </w:p>
        </w:tc>
      </w:tr>
    </w:tbl>
    <w:p w:rsidR="00B47F52" w:rsidRDefault="00B47F52" w:rsidP="00295285">
      <w:pPr>
        <w:pStyle w:val="ListParagraph"/>
        <w:spacing w:after="0" w:line="240" w:lineRule="auto"/>
        <w:ind w:left="5760" w:firstLine="720"/>
        <w:jc w:val="both"/>
        <w:rPr>
          <w:rFonts w:ascii="Arial" w:hAnsi="Arial" w:cs="Arial"/>
          <w:sz w:val="24"/>
          <w:szCs w:val="24"/>
        </w:rPr>
      </w:pPr>
    </w:p>
    <w:p w:rsidR="00C331D9" w:rsidRPr="00B47F52" w:rsidRDefault="00B47F52" w:rsidP="00295285">
      <w:pPr>
        <w:pStyle w:val="ListParagraph"/>
        <w:spacing w:after="0" w:line="240" w:lineRule="auto"/>
        <w:ind w:left="5760" w:firstLine="720"/>
        <w:jc w:val="both"/>
        <w:rPr>
          <w:rFonts w:ascii="Arial" w:hAnsi="Arial" w:cs="Arial"/>
          <w:sz w:val="24"/>
          <w:szCs w:val="24"/>
        </w:rPr>
      </w:pPr>
      <w:r>
        <w:rPr>
          <w:rFonts w:ascii="Arial" w:hAnsi="Arial" w:cs="Arial"/>
          <w:sz w:val="24"/>
          <w:szCs w:val="24"/>
        </w:rPr>
        <w:t xml:space="preserve">    </w:t>
      </w:r>
      <w:r w:rsidR="00102400" w:rsidRPr="00B47F52">
        <w:rPr>
          <w:rFonts w:ascii="Arial" w:hAnsi="Arial" w:cs="Arial"/>
          <w:sz w:val="24"/>
          <w:szCs w:val="24"/>
        </w:rPr>
        <w:t>Case No</w:t>
      </w:r>
      <w:r w:rsidR="002726E2" w:rsidRPr="00B47F52">
        <w:rPr>
          <w:rFonts w:ascii="Arial" w:hAnsi="Arial" w:cs="Arial"/>
          <w:sz w:val="24"/>
          <w:szCs w:val="24"/>
        </w:rPr>
        <w:t>:</w:t>
      </w:r>
      <w:r w:rsidR="00487706">
        <w:rPr>
          <w:rFonts w:ascii="Arial" w:hAnsi="Arial" w:cs="Arial"/>
          <w:sz w:val="24"/>
          <w:szCs w:val="24"/>
        </w:rPr>
        <w:t xml:space="preserve">  </w:t>
      </w:r>
      <w:r w:rsidR="00487706" w:rsidRPr="00C903EC">
        <w:rPr>
          <w:rFonts w:ascii="Arial" w:hAnsi="Arial" w:cs="Arial"/>
          <w:b/>
          <w:sz w:val="24"/>
          <w:szCs w:val="24"/>
        </w:rPr>
        <w:t>309/2024</w:t>
      </w:r>
    </w:p>
    <w:p w:rsidR="00F310D9" w:rsidRPr="00B47F52" w:rsidRDefault="00295285" w:rsidP="00295285">
      <w:pPr>
        <w:spacing w:after="0" w:line="240" w:lineRule="auto"/>
        <w:jc w:val="both"/>
        <w:rPr>
          <w:rFonts w:ascii="Arial" w:hAnsi="Arial" w:cs="Arial"/>
          <w:sz w:val="24"/>
          <w:szCs w:val="24"/>
        </w:rPr>
      </w:pPr>
      <w:r w:rsidRPr="00B47F52">
        <w:rPr>
          <w:rFonts w:ascii="Arial" w:hAnsi="Arial" w:cs="Arial"/>
          <w:sz w:val="24"/>
          <w:szCs w:val="24"/>
          <w:u w:val="single"/>
        </w:rPr>
        <w:t>In the matter between</w:t>
      </w:r>
      <w:r w:rsidR="00F310D9" w:rsidRPr="00B47F52">
        <w:rPr>
          <w:rFonts w:ascii="Arial" w:hAnsi="Arial" w:cs="Arial"/>
          <w:sz w:val="24"/>
          <w:szCs w:val="24"/>
        </w:rPr>
        <w:t>:</w:t>
      </w:r>
    </w:p>
    <w:p w:rsidR="009E08BB" w:rsidRPr="00295285" w:rsidRDefault="009E08BB" w:rsidP="00295285">
      <w:pPr>
        <w:spacing w:after="0" w:line="240" w:lineRule="auto"/>
        <w:jc w:val="both"/>
        <w:rPr>
          <w:rFonts w:ascii="Arial" w:hAnsi="Arial" w:cs="Arial"/>
          <w:b/>
          <w:sz w:val="24"/>
          <w:szCs w:val="24"/>
        </w:rPr>
      </w:pPr>
    </w:p>
    <w:p w:rsidR="005F28D1" w:rsidRPr="0007156A" w:rsidRDefault="00487706" w:rsidP="0007156A">
      <w:pPr>
        <w:tabs>
          <w:tab w:val="right" w:pos="8931"/>
        </w:tabs>
        <w:spacing w:after="0" w:line="240" w:lineRule="auto"/>
        <w:jc w:val="both"/>
        <w:rPr>
          <w:rFonts w:ascii="Arial" w:hAnsi="Arial" w:cs="Arial"/>
          <w:sz w:val="24"/>
          <w:szCs w:val="24"/>
        </w:rPr>
      </w:pPr>
      <w:r>
        <w:rPr>
          <w:rFonts w:ascii="Arial" w:hAnsi="Arial" w:cs="Arial"/>
          <w:b/>
          <w:sz w:val="24"/>
          <w:szCs w:val="24"/>
        </w:rPr>
        <w:t>PAUL DE LANGE</w:t>
      </w:r>
      <w:r w:rsidR="005F28D1">
        <w:rPr>
          <w:rFonts w:ascii="Arial" w:hAnsi="Arial" w:cs="Arial"/>
          <w:b/>
          <w:sz w:val="24"/>
          <w:szCs w:val="24"/>
        </w:rPr>
        <w:tab/>
      </w:r>
      <w:r w:rsidR="00D80C6D" w:rsidRPr="0007156A">
        <w:rPr>
          <w:rFonts w:ascii="Arial" w:hAnsi="Arial" w:cs="Arial"/>
          <w:sz w:val="24"/>
          <w:szCs w:val="24"/>
        </w:rPr>
        <w:t>First applicant</w:t>
      </w:r>
    </w:p>
    <w:p w:rsidR="00E800E8" w:rsidRDefault="00E800E8" w:rsidP="0007156A">
      <w:pPr>
        <w:tabs>
          <w:tab w:val="right" w:pos="8931"/>
        </w:tabs>
        <w:spacing w:after="0" w:line="240" w:lineRule="auto"/>
        <w:jc w:val="both"/>
        <w:rPr>
          <w:rFonts w:ascii="Arial" w:hAnsi="Arial" w:cs="Arial"/>
          <w:b/>
          <w:sz w:val="24"/>
          <w:szCs w:val="24"/>
        </w:rPr>
      </w:pPr>
    </w:p>
    <w:p w:rsidR="00E800E8" w:rsidRPr="0007156A" w:rsidRDefault="00E800E8" w:rsidP="0007156A">
      <w:pPr>
        <w:tabs>
          <w:tab w:val="right" w:pos="8931"/>
        </w:tabs>
        <w:spacing w:after="0" w:line="240" w:lineRule="auto"/>
        <w:jc w:val="both"/>
        <w:rPr>
          <w:rFonts w:ascii="Arial" w:hAnsi="Arial" w:cs="Arial"/>
          <w:sz w:val="24"/>
          <w:szCs w:val="24"/>
        </w:rPr>
      </w:pPr>
      <w:r>
        <w:rPr>
          <w:rFonts w:ascii="Arial" w:hAnsi="Arial" w:cs="Arial"/>
          <w:b/>
          <w:sz w:val="24"/>
          <w:szCs w:val="24"/>
        </w:rPr>
        <w:t>SHARON A</w:t>
      </w:r>
      <w:r w:rsidR="00D80C6D">
        <w:rPr>
          <w:rFonts w:ascii="Arial" w:hAnsi="Arial" w:cs="Arial"/>
          <w:b/>
          <w:sz w:val="24"/>
          <w:szCs w:val="24"/>
        </w:rPr>
        <w:t>NN DE LANGE</w:t>
      </w:r>
      <w:r w:rsidR="00D80C6D">
        <w:rPr>
          <w:rFonts w:ascii="Arial" w:hAnsi="Arial" w:cs="Arial"/>
          <w:b/>
          <w:sz w:val="24"/>
          <w:szCs w:val="24"/>
        </w:rPr>
        <w:tab/>
      </w:r>
      <w:r w:rsidR="00D80C6D" w:rsidRPr="0007156A">
        <w:rPr>
          <w:rFonts w:ascii="Arial" w:hAnsi="Arial" w:cs="Arial"/>
          <w:sz w:val="24"/>
          <w:szCs w:val="24"/>
        </w:rPr>
        <w:t>Second applicant</w:t>
      </w:r>
    </w:p>
    <w:p w:rsidR="00E800E8" w:rsidRDefault="00E800E8" w:rsidP="0007156A">
      <w:pPr>
        <w:tabs>
          <w:tab w:val="right" w:pos="8931"/>
        </w:tabs>
        <w:spacing w:after="0" w:line="240" w:lineRule="auto"/>
        <w:jc w:val="both"/>
        <w:rPr>
          <w:rFonts w:ascii="Arial" w:hAnsi="Arial" w:cs="Arial"/>
          <w:b/>
          <w:sz w:val="24"/>
          <w:szCs w:val="24"/>
        </w:rPr>
      </w:pPr>
    </w:p>
    <w:p w:rsidR="00E800E8" w:rsidRDefault="00E800E8" w:rsidP="0007156A">
      <w:pPr>
        <w:tabs>
          <w:tab w:val="right" w:pos="8931"/>
        </w:tabs>
        <w:spacing w:after="0" w:line="240" w:lineRule="auto"/>
        <w:jc w:val="both"/>
        <w:rPr>
          <w:rFonts w:ascii="Arial" w:hAnsi="Arial" w:cs="Arial"/>
          <w:b/>
          <w:sz w:val="24"/>
          <w:szCs w:val="24"/>
        </w:rPr>
      </w:pPr>
      <w:r>
        <w:rPr>
          <w:rFonts w:ascii="Arial" w:hAnsi="Arial" w:cs="Arial"/>
          <w:b/>
          <w:sz w:val="24"/>
          <w:szCs w:val="24"/>
        </w:rPr>
        <w:t>ROUX B</w:t>
      </w:r>
      <w:r w:rsidR="007A1AAD">
        <w:rPr>
          <w:rFonts w:ascii="Arial" w:hAnsi="Arial" w:cs="Arial"/>
          <w:b/>
          <w:sz w:val="24"/>
          <w:szCs w:val="24"/>
        </w:rPr>
        <w:t>A</w:t>
      </w:r>
      <w:r w:rsidR="00D80C6D">
        <w:rPr>
          <w:rFonts w:ascii="Arial" w:hAnsi="Arial" w:cs="Arial"/>
          <w:b/>
          <w:sz w:val="24"/>
          <w:szCs w:val="24"/>
        </w:rPr>
        <w:t>RRY CLOETE</w:t>
      </w:r>
      <w:r w:rsidR="00D80C6D">
        <w:rPr>
          <w:rFonts w:ascii="Arial" w:hAnsi="Arial" w:cs="Arial"/>
          <w:b/>
          <w:sz w:val="24"/>
          <w:szCs w:val="24"/>
        </w:rPr>
        <w:tab/>
      </w:r>
      <w:r w:rsidR="00D80C6D" w:rsidRPr="0007156A">
        <w:rPr>
          <w:rFonts w:ascii="Arial" w:hAnsi="Arial" w:cs="Arial"/>
          <w:sz w:val="24"/>
          <w:szCs w:val="24"/>
        </w:rPr>
        <w:t>Third applicant</w:t>
      </w:r>
    </w:p>
    <w:p w:rsidR="00E800E8" w:rsidRDefault="00E800E8" w:rsidP="0007156A">
      <w:pPr>
        <w:tabs>
          <w:tab w:val="right" w:pos="8931"/>
        </w:tabs>
        <w:spacing w:after="0" w:line="240" w:lineRule="auto"/>
        <w:jc w:val="both"/>
        <w:rPr>
          <w:rFonts w:ascii="Arial" w:hAnsi="Arial" w:cs="Arial"/>
          <w:sz w:val="24"/>
          <w:szCs w:val="24"/>
        </w:rPr>
      </w:pPr>
    </w:p>
    <w:p w:rsidR="00E800E8" w:rsidRDefault="0007156A" w:rsidP="0007156A">
      <w:pPr>
        <w:tabs>
          <w:tab w:val="right" w:pos="8931"/>
        </w:tabs>
        <w:spacing w:after="0" w:line="240" w:lineRule="auto"/>
        <w:jc w:val="both"/>
        <w:rPr>
          <w:rFonts w:ascii="Arial" w:hAnsi="Arial" w:cs="Arial"/>
          <w:sz w:val="24"/>
          <w:szCs w:val="24"/>
        </w:rPr>
      </w:pPr>
      <w:r w:rsidRPr="00B47F52">
        <w:rPr>
          <w:rFonts w:ascii="Arial" w:hAnsi="Arial" w:cs="Arial"/>
          <w:sz w:val="24"/>
          <w:szCs w:val="24"/>
        </w:rPr>
        <w:t>and</w:t>
      </w:r>
    </w:p>
    <w:p w:rsidR="00956829" w:rsidRPr="00E800E8" w:rsidRDefault="00956829" w:rsidP="0007156A">
      <w:pPr>
        <w:tabs>
          <w:tab w:val="right" w:pos="8931"/>
        </w:tabs>
        <w:spacing w:after="0" w:line="240" w:lineRule="auto"/>
        <w:jc w:val="both"/>
        <w:rPr>
          <w:rFonts w:ascii="Arial" w:hAnsi="Arial" w:cs="Arial"/>
          <w:sz w:val="24"/>
          <w:szCs w:val="24"/>
        </w:rPr>
      </w:pPr>
    </w:p>
    <w:p w:rsidR="00295285" w:rsidRPr="00B47F52" w:rsidRDefault="00E800E8" w:rsidP="0007156A">
      <w:pPr>
        <w:tabs>
          <w:tab w:val="right" w:pos="8931"/>
        </w:tabs>
        <w:spacing w:after="0" w:line="240" w:lineRule="auto"/>
        <w:jc w:val="both"/>
        <w:rPr>
          <w:rFonts w:ascii="Arial" w:hAnsi="Arial" w:cs="Arial"/>
          <w:sz w:val="24"/>
          <w:szCs w:val="24"/>
        </w:rPr>
      </w:pPr>
      <w:r>
        <w:rPr>
          <w:rFonts w:ascii="Arial" w:hAnsi="Arial" w:cs="Arial"/>
          <w:b/>
          <w:sz w:val="24"/>
          <w:szCs w:val="24"/>
        </w:rPr>
        <w:t>THE SOUTH AFRICAN LEGAL PRACTICE COUNCIL</w:t>
      </w:r>
      <w:r>
        <w:rPr>
          <w:rFonts w:ascii="Arial" w:hAnsi="Arial" w:cs="Arial"/>
          <w:b/>
          <w:sz w:val="24"/>
          <w:szCs w:val="24"/>
        </w:rPr>
        <w:tab/>
      </w:r>
      <w:r w:rsidR="000E3D93">
        <w:rPr>
          <w:rFonts w:ascii="Arial" w:hAnsi="Arial" w:cs="Arial"/>
          <w:b/>
          <w:sz w:val="24"/>
          <w:szCs w:val="24"/>
        </w:rPr>
        <w:t xml:space="preserve"> </w:t>
      </w:r>
      <w:r w:rsidR="00D80C6D" w:rsidRPr="0007156A">
        <w:rPr>
          <w:rFonts w:ascii="Arial" w:hAnsi="Arial" w:cs="Arial"/>
          <w:sz w:val="24"/>
          <w:szCs w:val="24"/>
        </w:rPr>
        <w:t>Respondent</w:t>
      </w:r>
    </w:p>
    <w:p w:rsidR="00295285" w:rsidRDefault="00295285" w:rsidP="00295285">
      <w:pPr>
        <w:pBdr>
          <w:bottom w:val="single" w:sz="6" w:space="1" w:color="auto"/>
        </w:pBdr>
        <w:spacing w:after="0" w:line="240" w:lineRule="auto"/>
        <w:jc w:val="both"/>
        <w:rPr>
          <w:rFonts w:ascii="Arial" w:hAnsi="Arial" w:cs="Arial"/>
          <w:sz w:val="24"/>
          <w:szCs w:val="24"/>
        </w:rPr>
      </w:pPr>
    </w:p>
    <w:p w:rsidR="004A08CD" w:rsidRDefault="004A08CD" w:rsidP="00295285">
      <w:pPr>
        <w:spacing w:after="0" w:line="240" w:lineRule="auto"/>
        <w:jc w:val="both"/>
        <w:rPr>
          <w:rFonts w:ascii="Arial" w:hAnsi="Arial" w:cs="Arial"/>
          <w:sz w:val="24"/>
          <w:szCs w:val="24"/>
        </w:rPr>
      </w:pPr>
    </w:p>
    <w:p w:rsidR="00295285" w:rsidRPr="006A7BC9" w:rsidRDefault="00295285" w:rsidP="00295285">
      <w:pPr>
        <w:spacing w:after="0" w:line="240" w:lineRule="auto"/>
        <w:jc w:val="both"/>
        <w:rPr>
          <w:rFonts w:ascii="Arial" w:hAnsi="Arial" w:cs="Arial"/>
          <w:sz w:val="24"/>
          <w:szCs w:val="24"/>
        </w:rPr>
      </w:pPr>
      <w:r w:rsidRPr="00B47F52">
        <w:rPr>
          <w:rFonts w:ascii="Arial" w:hAnsi="Arial" w:cs="Arial"/>
          <w:b/>
          <w:sz w:val="24"/>
          <w:szCs w:val="24"/>
          <w:u w:val="single"/>
        </w:rPr>
        <w:t>CORAM</w:t>
      </w:r>
      <w:r w:rsidR="00D80C6D">
        <w:rPr>
          <w:rFonts w:ascii="Arial" w:hAnsi="Arial" w:cs="Arial"/>
          <w:b/>
          <w:sz w:val="24"/>
          <w:szCs w:val="24"/>
        </w:rPr>
        <w:t xml:space="preserve">: </w:t>
      </w:r>
      <w:r w:rsidR="007C4AF6">
        <w:rPr>
          <w:rFonts w:ascii="Arial" w:hAnsi="Arial" w:cs="Arial"/>
          <w:b/>
          <w:sz w:val="24"/>
          <w:szCs w:val="24"/>
        </w:rPr>
        <w:tab/>
      </w:r>
      <w:r w:rsidR="007C4AF6">
        <w:rPr>
          <w:rFonts w:ascii="Arial" w:hAnsi="Arial" w:cs="Arial"/>
          <w:b/>
          <w:sz w:val="24"/>
          <w:szCs w:val="24"/>
        </w:rPr>
        <w:tab/>
      </w:r>
      <w:r w:rsidR="007C4AF6">
        <w:rPr>
          <w:rFonts w:ascii="Arial" w:hAnsi="Arial" w:cs="Arial"/>
          <w:b/>
          <w:sz w:val="24"/>
          <w:szCs w:val="24"/>
        </w:rPr>
        <w:tab/>
      </w:r>
      <w:r w:rsidR="00E800E8" w:rsidRPr="00C041A4">
        <w:rPr>
          <w:rFonts w:ascii="Arial" w:hAnsi="Arial" w:cs="Arial"/>
          <w:sz w:val="24"/>
          <w:szCs w:val="24"/>
        </w:rPr>
        <w:t>MGUDLWA</w:t>
      </w:r>
      <w:r w:rsidR="00B47F52" w:rsidRPr="00C041A4">
        <w:rPr>
          <w:rFonts w:ascii="Arial" w:hAnsi="Arial" w:cs="Arial"/>
          <w:sz w:val="24"/>
          <w:szCs w:val="24"/>
        </w:rPr>
        <w:t>,</w:t>
      </w:r>
      <w:r w:rsidRPr="00C041A4">
        <w:rPr>
          <w:rFonts w:ascii="Arial" w:hAnsi="Arial" w:cs="Arial"/>
          <w:sz w:val="24"/>
          <w:szCs w:val="24"/>
        </w:rPr>
        <w:t xml:space="preserve"> AJ</w:t>
      </w:r>
    </w:p>
    <w:p w:rsidR="00737B8F" w:rsidRPr="00295285" w:rsidRDefault="00956829" w:rsidP="00295285">
      <w:pPr>
        <w:spacing w:after="0" w:line="240" w:lineRule="auto"/>
        <w:jc w:val="both"/>
        <w:rPr>
          <w:rFonts w:ascii="Arial" w:hAnsi="Arial" w:cs="Arial"/>
          <w:sz w:val="24"/>
          <w:szCs w:val="24"/>
        </w:rPr>
      </w:pPr>
      <w:r w:rsidRPr="006A7BC9">
        <w:rPr>
          <w:rFonts w:ascii="Arial" w:hAnsi="Arial" w:cs="Arial"/>
          <w:sz w:val="24"/>
          <w:szCs w:val="24"/>
        </w:rPr>
        <w:t>______________________</w:t>
      </w:r>
      <w:r w:rsidRPr="00295285">
        <w:rPr>
          <w:rFonts w:ascii="Arial" w:hAnsi="Arial" w:cs="Arial"/>
          <w:sz w:val="24"/>
          <w:szCs w:val="24"/>
        </w:rPr>
        <w:t>_____________________________________________</w:t>
      </w:r>
    </w:p>
    <w:p w:rsidR="00295285" w:rsidRDefault="00295285" w:rsidP="00295285">
      <w:pPr>
        <w:spacing w:after="0" w:line="240" w:lineRule="auto"/>
        <w:rPr>
          <w:rFonts w:ascii="Arial" w:hAnsi="Arial" w:cs="Arial"/>
          <w:b/>
          <w:sz w:val="24"/>
          <w:szCs w:val="24"/>
        </w:rPr>
      </w:pPr>
    </w:p>
    <w:p w:rsidR="00956829" w:rsidRPr="00295285" w:rsidRDefault="00295285" w:rsidP="00295285">
      <w:pPr>
        <w:spacing w:after="0" w:line="240" w:lineRule="auto"/>
        <w:rPr>
          <w:rFonts w:ascii="Arial" w:hAnsi="Arial" w:cs="Arial"/>
          <w:sz w:val="24"/>
          <w:szCs w:val="24"/>
        </w:rPr>
      </w:pPr>
      <w:r w:rsidRPr="00B47F52">
        <w:rPr>
          <w:rFonts w:ascii="Arial" w:hAnsi="Arial" w:cs="Arial"/>
          <w:b/>
          <w:sz w:val="24"/>
          <w:szCs w:val="24"/>
          <w:u w:val="single"/>
        </w:rPr>
        <w:t>HEARD ON</w:t>
      </w:r>
      <w:r w:rsidR="00956829" w:rsidRPr="00295285">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7C4AF6">
        <w:rPr>
          <w:rFonts w:ascii="Arial" w:hAnsi="Arial" w:cs="Arial"/>
          <w:b/>
          <w:sz w:val="24"/>
          <w:szCs w:val="24"/>
        </w:rPr>
        <w:tab/>
      </w:r>
      <w:r w:rsidR="00551803" w:rsidRPr="00C041A4">
        <w:rPr>
          <w:rFonts w:ascii="Arial" w:hAnsi="Arial" w:cs="Arial"/>
          <w:sz w:val="24"/>
          <w:szCs w:val="24"/>
        </w:rPr>
        <w:t>8 FEBRUARY 2024</w:t>
      </w:r>
    </w:p>
    <w:p w:rsidR="00295285" w:rsidRDefault="00295285" w:rsidP="00295285">
      <w:pPr>
        <w:pBdr>
          <w:bottom w:val="single" w:sz="6" w:space="1" w:color="auto"/>
        </w:pBdr>
        <w:spacing w:after="0" w:line="240" w:lineRule="auto"/>
        <w:rPr>
          <w:rFonts w:ascii="Arial" w:hAnsi="Arial" w:cs="Arial"/>
          <w:b/>
          <w:sz w:val="24"/>
          <w:szCs w:val="24"/>
        </w:rPr>
      </w:pPr>
    </w:p>
    <w:p w:rsidR="00E800E8" w:rsidRDefault="00E800E8" w:rsidP="00295285">
      <w:pPr>
        <w:spacing w:after="0" w:line="240" w:lineRule="auto"/>
        <w:jc w:val="both"/>
        <w:rPr>
          <w:rFonts w:ascii="Arial" w:hAnsi="Arial" w:cs="Arial"/>
          <w:b/>
          <w:sz w:val="24"/>
          <w:szCs w:val="24"/>
        </w:rPr>
      </w:pPr>
    </w:p>
    <w:p w:rsidR="00295285" w:rsidRPr="00295285" w:rsidRDefault="00E800E8" w:rsidP="00295285">
      <w:pPr>
        <w:spacing w:after="0" w:line="240" w:lineRule="auto"/>
        <w:jc w:val="both"/>
        <w:rPr>
          <w:rFonts w:ascii="Arial" w:hAnsi="Arial" w:cs="Arial"/>
          <w:sz w:val="24"/>
          <w:szCs w:val="24"/>
        </w:rPr>
      </w:pPr>
      <w:r>
        <w:rPr>
          <w:rFonts w:ascii="Arial" w:hAnsi="Arial" w:cs="Arial"/>
          <w:b/>
          <w:sz w:val="24"/>
          <w:szCs w:val="24"/>
        </w:rPr>
        <w:t>DELIVERED ON:</w:t>
      </w:r>
      <w:r>
        <w:rPr>
          <w:rFonts w:ascii="Arial" w:hAnsi="Arial" w:cs="Arial"/>
          <w:b/>
          <w:sz w:val="24"/>
          <w:szCs w:val="24"/>
        </w:rPr>
        <w:tab/>
      </w:r>
      <w:r>
        <w:rPr>
          <w:rFonts w:ascii="Arial" w:hAnsi="Arial" w:cs="Arial"/>
          <w:b/>
          <w:sz w:val="24"/>
          <w:szCs w:val="24"/>
        </w:rPr>
        <w:tab/>
      </w:r>
      <w:r w:rsidR="00551803" w:rsidRPr="00C041A4">
        <w:rPr>
          <w:rFonts w:ascii="Arial" w:hAnsi="Arial" w:cs="Arial"/>
          <w:sz w:val="24"/>
          <w:szCs w:val="24"/>
        </w:rPr>
        <w:t>27 MARCH 2024</w:t>
      </w:r>
    </w:p>
    <w:p w:rsidR="00956829" w:rsidRPr="00295285" w:rsidRDefault="00956829" w:rsidP="00295285">
      <w:pPr>
        <w:spacing w:after="0" w:line="240" w:lineRule="auto"/>
        <w:jc w:val="both"/>
        <w:rPr>
          <w:rFonts w:ascii="Arial" w:hAnsi="Arial" w:cs="Arial"/>
          <w:sz w:val="24"/>
          <w:szCs w:val="24"/>
        </w:rPr>
      </w:pPr>
      <w:r w:rsidRPr="00295285">
        <w:rPr>
          <w:rFonts w:ascii="Arial" w:hAnsi="Arial" w:cs="Arial"/>
          <w:sz w:val="24"/>
          <w:szCs w:val="24"/>
        </w:rPr>
        <w:t>___________________________________________________________________</w:t>
      </w:r>
    </w:p>
    <w:p w:rsidR="00D10F4C" w:rsidRDefault="00D10F4C" w:rsidP="004A08CD">
      <w:pPr>
        <w:spacing w:after="0" w:line="360" w:lineRule="auto"/>
        <w:jc w:val="both"/>
        <w:rPr>
          <w:rFonts w:ascii="Arial" w:hAnsi="Arial" w:cs="Arial"/>
          <w:b/>
          <w:sz w:val="24"/>
          <w:szCs w:val="24"/>
          <w:u w:val="single"/>
        </w:rPr>
      </w:pPr>
    </w:p>
    <w:p w:rsidR="00AF31B6" w:rsidRPr="007C4AF6" w:rsidRDefault="00AF31B6" w:rsidP="007C4AF6">
      <w:pPr>
        <w:spacing w:after="0" w:line="360" w:lineRule="auto"/>
        <w:jc w:val="both"/>
        <w:rPr>
          <w:rFonts w:ascii="Arial" w:hAnsi="Arial" w:cs="Arial"/>
          <w:b/>
          <w:sz w:val="24"/>
          <w:szCs w:val="24"/>
          <w:u w:val="single"/>
        </w:rPr>
      </w:pPr>
      <w:r w:rsidRPr="007C4AF6">
        <w:rPr>
          <w:rFonts w:ascii="Arial" w:hAnsi="Arial" w:cs="Arial"/>
          <w:b/>
          <w:sz w:val="24"/>
          <w:szCs w:val="24"/>
          <w:u w:val="single"/>
        </w:rPr>
        <w:t>FACTUAL BACKGROUND</w:t>
      </w:r>
    </w:p>
    <w:p w:rsidR="00286811" w:rsidRPr="007C4AF6" w:rsidRDefault="00286811" w:rsidP="007C4AF6">
      <w:pPr>
        <w:spacing w:after="0" w:line="360" w:lineRule="auto"/>
        <w:jc w:val="both"/>
        <w:rPr>
          <w:rFonts w:ascii="Arial" w:hAnsi="Arial" w:cs="Arial"/>
          <w:b/>
          <w:i/>
          <w:sz w:val="24"/>
          <w:szCs w:val="24"/>
          <w:u w:val="single"/>
        </w:rPr>
      </w:pPr>
    </w:p>
    <w:p w:rsidR="0051572D" w:rsidRPr="007C4AF6" w:rsidRDefault="001308F8" w:rsidP="007C4AF6">
      <w:pPr>
        <w:tabs>
          <w:tab w:val="left" w:pos="6645"/>
        </w:tabs>
        <w:spacing w:after="0" w:line="360" w:lineRule="auto"/>
        <w:ind w:left="567" w:hanging="567"/>
        <w:jc w:val="both"/>
        <w:rPr>
          <w:rFonts w:ascii="Arial" w:hAnsi="Arial" w:cs="Arial"/>
          <w:sz w:val="24"/>
          <w:szCs w:val="24"/>
          <w:lang w:val="en-US"/>
        </w:rPr>
      </w:pPr>
      <w:r w:rsidRPr="007C4AF6">
        <w:rPr>
          <w:rFonts w:ascii="Arial" w:hAnsi="Arial" w:cs="Arial"/>
          <w:sz w:val="24"/>
          <w:szCs w:val="24"/>
          <w:lang w:val="en-US"/>
        </w:rPr>
        <w:t>[1]</w:t>
      </w:r>
      <w:r w:rsidRPr="007C4AF6">
        <w:rPr>
          <w:rFonts w:ascii="Arial" w:hAnsi="Arial" w:cs="Arial"/>
          <w:sz w:val="24"/>
          <w:szCs w:val="24"/>
          <w:lang w:val="en-US"/>
        </w:rPr>
        <w:tab/>
      </w:r>
      <w:r w:rsidR="0051572D" w:rsidRPr="007C4AF6">
        <w:rPr>
          <w:rFonts w:ascii="Arial" w:hAnsi="Arial" w:cs="Arial"/>
          <w:sz w:val="24"/>
          <w:szCs w:val="24"/>
          <w:lang w:val="en-US"/>
        </w:rPr>
        <w:t xml:space="preserve">This is an </w:t>
      </w:r>
      <w:r w:rsidR="00476B13" w:rsidRPr="007C4AF6">
        <w:rPr>
          <w:rFonts w:ascii="Arial" w:hAnsi="Arial" w:cs="Arial"/>
          <w:sz w:val="24"/>
          <w:szCs w:val="24"/>
          <w:lang w:val="en-US"/>
        </w:rPr>
        <w:t>urgent application wherein the a</w:t>
      </w:r>
      <w:r w:rsidR="0051572D" w:rsidRPr="007C4AF6">
        <w:rPr>
          <w:rFonts w:ascii="Arial" w:hAnsi="Arial" w:cs="Arial"/>
          <w:sz w:val="24"/>
          <w:szCs w:val="24"/>
          <w:lang w:val="en-US"/>
        </w:rPr>
        <w:t>pplicants seek an order to compel</w:t>
      </w:r>
      <w:r w:rsidR="00E86397" w:rsidRPr="007C4AF6">
        <w:rPr>
          <w:rFonts w:ascii="Arial" w:hAnsi="Arial" w:cs="Arial"/>
          <w:sz w:val="24"/>
          <w:szCs w:val="24"/>
          <w:lang w:val="en-US"/>
        </w:rPr>
        <w:t xml:space="preserve"> </w:t>
      </w:r>
      <w:r w:rsidR="0051572D" w:rsidRPr="007C4AF6">
        <w:rPr>
          <w:rFonts w:ascii="Arial" w:hAnsi="Arial" w:cs="Arial"/>
          <w:i/>
          <w:sz w:val="24"/>
          <w:szCs w:val="24"/>
          <w:lang w:val="en-US"/>
        </w:rPr>
        <w:t>(Mandamus)</w:t>
      </w:r>
      <w:r w:rsidR="0051572D" w:rsidRPr="007C4AF6">
        <w:rPr>
          <w:rFonts w:ascii="Arial" w:hAnsi="Arial" w:cs="Arial"/>
          <w:sz w:val="24"/>
          <w:szCs w:val="24"/>
          <w:lang w:val="en-US"/>
        </w:rPr>
        <w:t xml:space="preserve"> the respondent to issue them with fidelity fund certificate</w:t>
      </w:r>
      <w:r w:rsidR="0049476C" w:rsidRPr="007C4AF6">
        <w:rPr>
          <w:rFonts w:ascii="Arial" w:hAnsi="Arial" w:cs="Arial"/>
          <w:sz w:val="24"/>
          <w:szCs w:val="24"/>
          <w:lang w:val="en-US"/>
        </w:rPr>
        <w:t>s</w:t>
      </w:r>
      <w:r w:rsidR="0051572D" w:rsidRPr="007C4AF6">
        <w:rPr>
          <w:rFonts w:ascii="Arial" w:hAnsi="Arial" w:cs="Arial"/>
          <w:sz w:val="24"/>
          <w:szCs w:val="24"/>
          <w:lang w:val="en-US"/>
        </w:rPr>
        <w:t xml:space="preserve"> for the</w:t>
      </w:r>
      <w:r w:rsidR="0051572D" w:rsidRPr="007C4AF6">
        <w:rPr>
          <w:rFonts w:ascii="Arial" w:hAnsi="Arial" w:cs="Arial"/>
          <w:i/>
          <w:sz w:val="24"/>
          <w:szCs w:val="24"/>
          <w:lang w:val="en-US"/>
        </w:rPr>
        <w:t xml:space="preserve"> </w:t>
      </w:r>
      <w:r w:rsidR="0051572D" w:rsidRPr="007C4AF6">
        <w:rPr>
          <w:rFonts w:ascii="Arial" w:hAnsi="Arial" w:cs="Arial"/>
          <w:sz w:val="24"/>
          <w:szCs w:val="24"/>
          <w:lang w:val="en-US"/>
        </w:rPr>
        <w:t>period 1 Janua</w:t>
      </w:r>
      <w:r w:rsidR="0049476C" w:rsidRPr="007C4AF6">
        <w:rPr>
          <w:rFonts w:ascii="Arial" w:hAnsi="Arial" w:cs="Arial"/>
          <w:sz w:val="24"/>
          <w:szCs w:val="24"/>
          <w:lang w:val="en-US"/>
        </w:rPr>
        <w:t>ry 2023 to 31 December 2023 and</w:t>
      </w:r>
      <w:r w:rsidR="0051572D" w:rsidRPr="007C4AF6">
        <w:rPr>
          <w:rFonts w:ascii="Arial" w:hAnsi="Arial" w:cs="Arial"/>
          <w:sz w:val="24"/>
          <w:szCs w:val="24"/>
          <w:lang w:val="en-US"/>
        </w:rPr>
        <w:t xml:space="preserve"> 1 January</w:t>
      </w:r>
      <w:r w:rsidR="00476B13" w:rsidRPr="007C4AF6">
        <w:rPr>
          <w:rFonts w:ascii="Arial" w:hAnsi="Arial" w:cs="Arial"/>
          <w:sz w:val="24"/>
          <w:szCs w:val="24"/>
          <w:lang w:val="en-US"/>
        </w:rPr>
        <w:t xml:space="preserve"> 2024 to 31 December 2024. The a</w:t>
      </w:r>
      <w:r w:rsidR="0051572D" w:rsidRPr="007C4AF6">
        <w:rPr>
          <w:rFonts w:ascii="Arial" w:hAnsi="Arial" w:cs="Arial"/>
          <w:sz w:val="24"/>
          <w:szCs w:val="24"/>
          <w:lang w:val="en-US"/>
        </w:rPr>
        <w:t xml:space="preserve">pplicants </w:t>
      </w:r>
      <w:r w:rsidR="002C5011">
        <w:rPr>
          <w:rFonts w:ascii="Arial" w:hAnsi="Arial" w:cs="Arial"/>
          <w:sz w:val="24"/>
          <w:szCs w:val="24"/>
          <w:lang w:val="en-US"/>
        </w:rPr>
        <w:t>impugn the decision of the South African Legal Practice Council (the LPC)</w:t>
      </w:r>
      <w:r w:rsidR="0051572D" w:rsidRPr="007C4AF6">
        <w:rPr>
          <w:rFonts w:ascii="Arial" w:hAnsi="Arial" w:cs="Arial"/>
          <w:sz w:val="24"/>
          <w:szCs w:val="24"/>
          <w:lang w:val="en-US"/>
        </w:rPr>
        <w:t xml:space="preserve"> refusal to issue them with the Fidelity Fund certificate after having</w:t>
      </w:r>
      <w:r w:rsidR="00E86397" w:rsidRPr="007C4AF6">
        <w:rPr>
          <w:rFonts w:ascii="Arial" w:hAnsi="Arial" w:cs="Arial"/>
          <w:sz w:val="24"/>
          <w:szCs w:val="24"/>
          <w:lang w:val="en-US"/>
        </w:rPr>
        <w:t xml:space="preserve"> purportedly</w:t>
      </w:r>
      <w:r w:rsidR="0051572D" w:rsidRPr="007C4AF6">
        <w:rPr>
          <w:rFonts w:ascii="Arial" w:hAnsi="Arial" w:cs="Arial"/>
          <w:sz w:val="24"/>
          <w:szCs w:val="24"/>
          <w:lang w:val="en-US"/>
        </w:rPr>
        <w:t xml:space="preserve"> complied with chapter 7 of the Legal Practice Act</w:t>
      </w:r>
      <w:r w:rsidR="00E86397" w:rsidRPr="007C4AF6">
        <w:rPr>
          <w:rFonts w:ascii="Arial" w:hAnsi="Arial" w:cs="Arial"/>
          <w:sz w:val="24"/>
          <w:szCs w:val="24"/>
          <w:lang w:val="en-US"/>
        </w:rPr>
        <w:t xml:space="preserve">,28 of </w:t>
      </w:r>
      <w:r w:rsidR="00E86397" w:rsidRPr="007C4AF6">
        <w:rPr>
          <w:rFonts w:ascii="Arial" w:hAnsi="Arial" w:cs="Arial"/>
          <w:sz w:val="24"/>
          <w:szCs w:val="24"/>
          <w:lang w:val="en-US"/>
        </w:rPr>
        <w:lastRenderedPageBreak/>
        <w:t>2014 (the Act)</w:t>
      </w:r>
      <w:r w:rsidR="0051572D" w:rsidRPr="007C4AF6">
        <w:rPr>
          <w:rFonts w:ascii="Arial" w:hAnsi="Arial" w:cs="Arial"/>
          <w:sz w:val="24"/>
          <w:szCs w:val="24"/>
          <w:lang w:val="en-US"/>
        </w:rPr>
        <w:t xml:space="preserve"> and request </w:t>
      </w:r>
      <w:r w:rsidR="005268E4" w:rsidRPr="007C4AF6">
        <w:rPr>
          <w:rFonts w:ascii="Arial" w:hAnsi="Arial" w:cs="Arial"/>
          <w:sz w:val="24"/>
          <w:szCs w:val="24"/>
          <w:lang w:val="en-US"/>
        </w:rPr>
        <w:t>the</w:t>
      </w:r>
      <w:r w:rsidR="00E86397" w:rsidRPr="007C4AF6">
        <w:rPr>
          <w:rFonts w:ascii="Arial" w:hAnsi="Arial" w:cs="Arial"/>
          <w:sz w:val="24"/>
          <w:szCs w:val="24"/>
          <w:lang w:val="en-US"/>
        </w:rPr>
        <w:t xml:space="preserve"> </w:t>
      </w:r>
      <w:r w:rsidR="0051572D" w:rsidRPr="007C4AF6">
        <w:rPr>
          <w:rFonts w:ascii="Arial" w:hAnsi="Arial" w:cs="Arial"/>
          <w:sz w:val="24"/>
          <w:szCs w:val="24"/>
          <w:lang w:val="en-US"/>
        </w:rPr>
        <w:t>court to review this administrative action by way of indirect review.</w:t>
      </w:r>
    </w:p>
    <w:p w:rsidR="0007156A" w:rsidRPr="007C4AF6" w:rsidRDefault="0007156A" w:rsidP="007C4AF6">
      <w:pPr>
        <w:tabs>
          <w:tab w:val="left" w:pos="6645"/>
        </w:tabs>
        <w:spacing w:after="0" w:line="360" w:lineRule="auto"/>
        <w:ind w:left="567" w:hanging="567"/>
        <w:jc w:val="both"/>
        <w:rPr>
          <w:rFonts w:ascii="Arial" w:hAnsi="Arial" w:cs="Arial"/>
          <w:sz w:val="24"/>
          <w:szCs w:val="24"/>
          <w:lang w:val="en-US"/>
        </w:rPr>
      </w:pPr>
    </w:p>
    <w:p w:rsidR="00E20F0D" w:rsidRPr="007C4AF6" w:rsidRDefault="0051572D" w:rsidP="007C4AF6">
      <w:pPr>
        <w:tabs>
          <w:tab w:val="left" w:pos="426"/>
        </w:tabs>
        <w:spacing w:after="0" w:line="360" w:lineRule="auto"/>
        <w:ind w:left="709" w:hanging="709"/>
        <w:jc w:val="both"/>
        <w:rPr>
          <w:rFonts w:ascii="Arial" w:hAnsi="Arial" w:cs="Arial"/>
          <w:sz w:val="24"/>
          <w:szCs w:val="24"/>
          <w:lang w:val="en-US"/>
        </w:rPr>
      </w:pPr>
      <w:r w:rsidRPr="007C4AF6">
        <w:rPr>
          <w:rFonts w:ascii="Arial" w:hAnsi="Arial" w:cs="Arial"/>
          <w:sz w:val="24"/>
          <w:szCs w:val="24"/>
          <w:lang w:val="en-US"/>
        </w:rPr>
        <w:t>[2]</w:t>
      </w:r>
      <w:r w:rsidR="004A08CD" w:rsidRPr="007C4AF6">
        <w:rPr>
          <w:rFonts w:ascii="Arial" w:hAnsi="Arial" w:cs="Arial"/>
          <w:sz w:val="24"/>
          <w:szCs w:val="24"/>
          <w:lang w:val="en-US"/>
        </w:rPr>
        <w:tab/>
      </w:r>
      <w:r w:rsidR="004A08CD" w:rsidRPr="007C4AF6">
        <w:rPr>
          <w:rFonts w:ascii="Arial" w:hAnsi="Arial" w:cs="Arial"/>
          <w:sz w:val="24"/>
          <w:szCs w:val="24"/>
          <w:lang w:val="en-US"/>
        </w:rPr>
        <w:tab/>
      </w:r>
      <w:r w:rsidR="00E20F0D" w:rsidRPr="007C4AF6">
        <w:rPr>
          <w:rFonts w:ascii="Arial" w:hAnsi="Arial" w:cs="Arial"/>
          <w:sz w:val="24"/>
          <w:szCs w:val="24"/>
          <w:lang w:val="en-US"/>
        </w:rPr>
        <w:t>The respondent</w:t>
      </w:r>
      <w:r w:rsidR="00675EC8" w:rsidRPr="007C4AF6">
        <w:rPr>
          <w:rFonts w:ascii="Arial" w:hAnsi="Arial" w:cs="Arial"/>
          <w:sz w:val="24"/>
          <w:szCs w:val="24"/>
          <w:lang w:val="en-US"/>
        </w:rPr>
        <w:t xml:space="preserve"> opposes the application on two grounds. Fir</w:t>
      </w:r>
      <w:r w:rsidR="002C5011">
        <w:rPr>
          <w:rFonts w:ascii="Arial" w:hAnsi="Arial" w:cs="Arial"/>
          <w:sz w:val="24"/>
          <w:szCs w:val="24"/>
          <w:lang w:val="en-US"/>
        </w:rPr>
        <w:t>stly, it raises the defence of l</w:t>
      </w:r>
      <w:r w:rsidR="00675EC8" w:rsidRPr="007C4AF6">
        <w:rPr>
          <w:rFonts w:ascii="Arial" w:hAnsi="Arial" w:cs="Arial"/>
          <w:sz w:val="24"/>
          <w:szCs w:val="24"/>
          <w:lang w:val="en-US"/>
        </w:rPr>
        <w:t xml:space="preserve">is pendens; secondly, it contends that the refusal to issue a Fidelity Fund Certificate by the respondent amounts to an administrative action and consequently, the applicants ought to have instituted a review application in terms of Uniform Rule 53. </w:t>
      </w:r>
    </w:p>
    <w:p w:rsidR="0007156A" w:rsidRPr="007C4AF6" w:rsidRDefault="0007156A" w:rsidP="007C4AF6">
      <w:pPr>
        <w:tabs>
          <w:tab w:val="left" w:pos="426"/>
        </w:tabs>
        <w:spacing w:after="0" w:line="360" w:lineRule="auto"/>
        <w:ind w:left="709" w:hanging="709"/>
        <w:jc w:val="both"/>
        <w:rPr>
          <w:rFonts w:ascii="Arial" w:hAnsi="Arial" w:cs="Arial"/>
          <w:sz w:val="24"/>
          <w:szCs w:val="24"/>
          <w:lang w:val="en-US"/>
        </w:rPr>
      </w:pPr>
    </w:p>
    <w:p w:rsidR="00675EC8" w:rsidRPr="007C4AF6" w:rsidRDefault="00675EC8" w:rsidP="007C4AF6">
      <w:pPr>
        <w:tabs>
          <w:tab w:val="left" w:pos="426"/>
        </w:tabs>
        <w:spacing w:after="0" w:line="360" w:lineRule="auto"/>
        <w:ind w:left="709" w:hanging="709"/>
        <w:jc w:val="both"/>
        <w:rPr>
          <w:rFonts w:ascii="Arial" w:hAnsi="Arial" w:cs="Arial"/>
          <w:b/>
          <w:sz w:val="24"/>
          <w:szCs w:val="24"/>
          <w:u w:val="single"/>
          <w:lang w:val="en-US"/>
        </w:rPr>
      </w:pPr>
      <w:r w:rsidRPr="007C4AF6">
        <w:rPr>
          <w:rFonts w:ascii="Arial" w:hAnsi="Arial" w:cs="Arial"/>
          <w:b/>
          <w:sz w:val="24"/>
          <w:szCs w:val="24"/>
          <w:u w:val="single"/>
          <w:lang w:val="en-US"/>
        </w:rPr>
        <w:t>THE PARTIES</w:t>
      </w:r>
    </w:p>
    <w:p w:rsidR="0007156A" w:rsidRPr="007C4AF6" w:rsidRDefault="0007156A" w:rsidP="007C4AF6">
      <w:pPr>
        <w:tabs>
          <w:tab w:val="left" w:pos="426"/>
        </w:tabs>
        <w:spacing w:after="0" w:line="360" w:lineRule="auto"/>
        <w:ind w:left="709" w:hanging="709"/>
        <w:jc w:val="both"/>
        <w:rPr>
          <w:rFonts w:ascii="Arial" w:hAnsi="Arial" w:cs="Arial"/>
          <w:b/>
          <w:sz w:val="24"/>
          <w:szCs w:val="24"/>
          <w:lang w:val="en-US"/>
        </w:rPr>
      </w:pPr>
    </w:p>
    <w:p w:rsidR="0051572D" w:rsidRPr="007C4AF6" w:rsidRDefault="0051572D" w:rsidP="007C4AF6">
      <w:pPr>
        <w:spacing w:after="0" w:line="360" w:lineRule="auto"/>
        <w:ind w:left="709" w:hanging="709"/>
        <w:jc w:val="both"/>
        <w:rPr>
          <w:rFonts w:ascii="Arial" w:hAnsi="Arial" w:cs="Arial"/>
          <w:sz w:val="24"/>
          <w:szCs w:val="24"/>
          <w:lang w:val="en-US"/>
        </w:rPr>
      </w:pPr>
      <w:r w:rsidRPr="007C4AF6">
        <w:rPr>
          <w:rFonts w:ascii="Arial" w:hAnsi="Arial" w:cs="Arial"/>
          <w:sz w:val="24"/>
          <w:szCs w:val="24"/>
          <w:lang w:val="en-US"/>
        </w:rPr>
        <w:t>[3</w:t>
      </w:r>
      <w:r w:rsidR="0053713E" w:rsidRPr="007C4AF6">
        <w:rPr>
          <w:rFonts w:ascii="Arial" w:hAnsi="Arial" w:cs="Arial"/>
          <w:sz w:val="24"/>
          <w:szCs w:val="24"/>
          <w:lang w:val="en-US"/>
        </w:rPr>
        <w:t>]</w:t>
      </w:r>
      <w:r w:rsidR="0053713E" w:rsidRPr="007C4AF6">
        <w:rPr>
          <w:rFonts w:ascii="Arial" w:hAnsi="Arial" w:cs="Arial"/>
          <w:sz w:val="24"/>
          <w:szCs w:val="24"/>
          <w:lang w:val="en-US"/>
        </w:rPr>
        <w:tab/>
      </w:r>
      <w:r w:rsidRPr="007C4AF6">
        <w:rPr>
          <w:rFonts w:ascii="Arial" w:hAnsi="Arial" w:cs="Arial"/>
          <w:sz w:val="24"/>
          <w:szCs w:val="24"/>
          <w:lang w:val="en-US"/>
        </w:rPr>
        <w:t>The three applicants</w:t>
      </w:r>
      <w:r w:rsidR="00675EC8" w:rsidRPr="007C4AF6">
        <w:rPr>
          <w:rFonts w:ascii="Arial" w:hAnsi="Arial" w:cs="Arial"/>
          <w:sz w:val="24"/>
          <w:szCs w:val="24"/>
          <w:lang w:val="en-US"/>
        </w:rPr>
        <w:t>,</w:t>
      </w:r>
      <w:r w:rsidRPr="007C4AF6">
        <w:rPr>
          <w:rFonts w:ascii="Arial" w:hAnsi="Arial" w:cs="Arial"/>
          <w:sz w:val="24"/>
          <w:szCs w:val="24"/>
          <w:lang w:val="en-US"/>
        </w:rPr>
        <w:t xml:space="preserve"> Paul De Lange (First a</w:t>
      </w:r>
      <w:r w:rsidR="000F6821" w:rsidRPr="007C4AF6">
        <w:rPr>
          <w:rFonts w:ascii="Arial" w:hAnsi="Arial" w:cs="Arial"/>
          <w:sz w:val="24"/>
          <w:szCs w:val="24"/>
          <w:lang w:val="en-US"/>
        </w:rPr>
        <w:t>pplicant), Sharon Ann De</w:t>
      </w:r>
      <w:r w:rsidRPr="007C4AF6">
        <w:rPr>
          <w:rFonts w:ascii="Arial" w:hAnsi="Arial" w:cs="Arial"/>
          <w:sz w:val="24"/>
          <w:szCs w:val="24"/>
          <w:lang w:val="en-US"/>
        </w:rPr>
        <w:t xml:space="preserve"> </w:t>
      </w:r>
      <w:r w:rsidR="0053713E" w:rsidRPr="007C4AF6">
        <w:rPr>
          <w:rFonts w:ascii="Arial" w:hAnsi="Arial" w:cs="Arial"/>
          <w:sz w:val="24"/>
          <w:szCs w:val="24"/>
          <w:lang w:val="en-US"/>
        </w:rPr>
        <w:t xml:space="preserve">Lange </w:t>
      </w:r>
      <w:r w:rsidR="0053713E" w:rsidRPr="007C4AF6">
        <w:rPr>
          <w:rFonts w:ascii="Arial" w:hAnsi="Arial" w:cs="Arial"/>
          <w:sz w:val="24"/>
          <w:szCs w:val="24"/>
          <w:lang w:val="en-US"/>
        </w:rPr>
        <w:tab/>
      </w:r>
      <w:r w:rsidRPr="007C4AF6">
        <w:rPr>
          <w:rFonts w:ascii="Arial" w:hAnsi="Arial" w:cs="Arial"/>
          <w:sz w:val="24"/>
          <w:szCs w:val="24"/>
          <w:lang w:val="en-US"/>
        </w:rPr>
        <w:t>Second Applicant) and Roux Barry Cloete</w:t>
      </w:r>
      <w:r w:rsidR="0098526B" w:rsidRPr="007C4AF6">
        <w:rPr>
          <w:rFonts w:ascii="Arial" w:hAnsi="Arial" w:cs="Arial"/>
          <w:sz w:val="24"/>
          <w:szCs w:val="24"/>
          <w:lang w:val="en-US"/>
        </w:rPr>
        <w:t xml:space="preserve"> (Second </w:t>
      </w:r>
      <w:r w:rsidR="00675EC8" w:rsidRPr="007C4AF6">
        <w:rPr>
          <w:rFonts w:ascii="Arial" w:hAnsi="Arial" w:cs="Arial"/>
          <w:sz w:val="24"/>
          <w:szCs w:val="24"/>
          <w:lang w:val="en-US"/>
        </w:rPr>
        <w:t>Applicant)</w:t>
      </w:r>
      <w:r w:rsidRPr="007C4AF6">
        <w:rPr>
          <w:rFonts w:ascii="Arial" w:hAnsi="Arial" w:cs="Arial"/>
          <w:sz w:val="24"/>
          <w:szCs w:val="24"/>
          <w:lang w:val="en-US"/>
        </w:rPr>
        <w:t xml:space="preserve"> are practicing attorneys</w:t>
      </w:r>
      <w:r w:rsidR="0053713E" w:rsidRPr="007C4AF6">
        <w:rPr>
          <w:rFonts w:ascii="Arial" w:hAnsi="Arial" w:cs="Arial"/>
          <w:sz w:val="24"/>
          <w:szCs w:val="24"/>
          <w:lang w:val="en-US"/>
        </w:rPr>
        <w:t xml:space="preserve"> duly</w:t>
      </w:r>
      <w:r w:rsidR="00675EC8" w:rsidRPr="007C4AF6">
        <w:rPr>
          <w:rFonts w:ascii="Arial" w:hAnsi="Arial" w:cs="Arial"/>
          <w:sz w:val="24"/>
          <w:szCs w:val="24"/>
          <w:lang w:val="en-US"/>
        </w:rPr>
        <w:t xml:space="preserve"> </w:t>
      </w:r>
      <w:r w:rsidRPr="007C4AF6">
        <w:rPr>
          <w:rFonts w:ascii="Arial" w:hAnsi="Arial" w:cs="Arial"/>
          <w:sz w:val="24"/>
          <w:szCs w:val="24"/>
          <w:lang w:val="en-US"/>
        </w:rPr>
        <w:t>admitted by the High Court.</w:t>
      </w:r>
    </w:p>
    <w:p w:rsidR="0007156A" w:rsidRPr="007C4AF6" w:rsidRDefault="0007156A" w:rsidP="007C4AF6">
      <w:pPr>
        <w:spacing w:after="0" w:line="360" w:lineRule="auto"/>
        <w:ind w:left="709" w:hanging="709"/>
        <w:jc w:val="both"/>
        <w:rPr>
          <w:rFonts w:ascii="Arial" w:hAnsi="Arial" w:cs="Arial"/>
          <w:sz w:val="24"/>
          <w:szCs w:val="24"/>
          <w:lang w:val="en-US"/>
        </w:rPr>
      </w:pPr>
    </w:p>
    <w:p w:rsidR="0051572D" w:rsidRPr="007C4AF6" w:rsidRDefault="0053713E"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[4]</w:t>
      </w:r>
      <w:r w:rsidRPr="007C4AF6">
        <w:rPr>
          <w:rFonts w:ascii="Arial" w:hAnsi="Arial" w:cs="Arial"/>
          <w:sz w:val="24"/>
          <w:szCs w:val="24"/>
          <w:lang w:val="en-US"/>
        </w:rPr>
        <w:tab/>
      </w:r>
      <w:r w:rsidR="0051572D" w:rsidRPr="007C4AF6">
        <w:rPr>
          <w:rFonts w:ascii="Arial" w:hAnsi="Arial" w:cs="Arial"/>
          <w:sz w:val="24"/>
          <w:szCs w:val="24"/>
          <w:lang w:val="en-US"/>
        </w:rPr>
        <w:t xml:space="preserve">The </w:t>
      </w:r>
      <w:r w:rsidR="00476B13" w:rsidRPr="007C4AF6">
        <w:rPr>
          <w:rFonts w:ascii="Arial" w:hAnsi="Arial" w:cs="Arial"/>
          <w:sz w:val="24"/>
          <w:szCs w:val="24"/>
          <w:lang w:val="en-US"/>
        </w:rPr>
        <w:t>r</w:t>
      </w:r>
      <w:r w:rsidR="0051572D" w:rsidRPr="007C4AF6">
        <w:rPr>
          <w:rFonts w:ascii="Arial" w:hAnsi="Arial" w:cs="Arial"/>
          <w:sz w:val="24"/>
          <w:szCs w:val="24"/>
          <w:lang w:val="en-US"/>
        </w:rPr>
        <w:t>espondent is the South African Legal Practice Council (</w:t>
      </w:r>
      <w:r w:rsidR="00E0486E" w:rsidRPr="007C4AF6">
        <w:rPr>
          <w:rFonts w:ascii="Arial" w:hAnsi="Arial" w:cs="Arial"/>
          <w:sz w:val="24"/>
          <w:szCs w:val="24"/>
          <w:lang w:val="en-US"/>
        </w:rPr>
        <w:t xml:space="preserve">the </w:t>
      </w:r>
      <w:r w:rsidR="0051572D" w:rsidRPr="007C4AF6">
        <w:rPr>
          <w:rFonts w:ascii="Arial" w:hAnsi="Arial" w:cs="Arial"/>
          <w:sz w:val="24"/>
          <w:szCs w:val="24"/>
          <w:lang w:val="en-US"/>
        </w:rPr>
        <w:t>LPC)</w:t>
      </w:r>
      <w:r w:rsidRPr="007C4AF6">
        <w:rPr>
          <w:rFonts w:ascii="Arial" w:hAnsi="Arial" w:cs="Arial"/>
          <w:sz w:val="24"/>
          <w:szCs w:val="24"/>
          <w:lang w:val="en-US"/>
        </w:rPr>
        <w:t xml:space="preserve">, duly </w:t>
      </w:r>
      <w:r w:rsidR="0051572D" w:rsidRPr="007C4AF6">
        <w:rPr>
          <w:rFonts w:ascii="Arial" w:hAnsi="Arial" w:cs="Arial"/>
          <w:sz w:val="24"/>
          <w:szCs w:val="24"/>
          <w:lang w:val="en-US"/>
        </w:rPr>
        <w:t>established as a Body Corporate with full capacity in terms of section 4 of the Legal Practice Act (the Act</w:t>
      </w:r>
      <w:r w:rsidR="0049476C" w:rsidRPr="007C4AF6">
        <w:rPr>
          <w:rFonts w:ascii="Arial" w:hAnsi="Arial" w:cs="Arial"/>
          <w:sz w:val="24"/>
          <w:szCs w:val="24"/>
          <w:lang w:val="en-US"/>
        </w:rPr>
        <w:t>)</w:t>
      </w:r>
      <w:r w:rsidR="0051572D" w:rsidRPr="007C4AF6">
        <w:rPr>
          <w:rFonts w:ascii="Arial" w:hAnsi="Arial" w:cs="Arial"/>
          <w:sz w:val="24"/>
          <w:szCs w:val="24"/>
          <w:lang w:val="en-US"/>
        </w:rPr>
        <w:t xml:space="preserve"> with the offices in t</w:t>
      </w:r>
      <w:r w:rsidR="00C903EC" w:rsidRPr="007C4AF6">
        <w:rPr>
          <w:rFonts w:ascii="Arial" w:hAnsi="Arial" w:cs="Arial"/>
          <w:sz w:val="24"/>
          <w:szCs w:val="24"/>
          <w:lang w:val="en-US"/>
        </w:rPr>
        <w:t>he jurisdiction of this court.</w:t>
      </w:r>
    </w:p>
    <w:p w:rsidR="0051572D" w:rsidRPr="007C4AF6" w:rsidRDefault="0051572D" w:rsidP="007C4AF6">
      <w:pPr>
        <w:spacing w:after="0" w:line="360" w:lineRule="auto"/>
        <w:jc w:val="both"/>
        <w:rPr>
          <w:rFonts w:ascii="Arial" w:hAnsi="Arial" w:cs="Arial"/>
          <w:sz w:val="24"/>
          <w:szCs w:val="24"/>
          <w:lang w:val="en-US"/>
        </w:rPr>
      </w:pPr>
    </w:p>
    <w:p w:rsidR="0051572D" w:rsidRPr="007C4AF6" w:rsidRDefault="0051572D" w:rsidP="007C4AF6">
      <w:pPr>
        <w:spacing w:after="0" w:line="360" w:lineRule="auto"/>
        <w:jc w:val="both"/>
        <w:rPr>
          <w:rFonts w:ascii="Arial" w:hAnsi="Arial" w:cs="Arial"/>
          <w:b/>
          <w:sz w:val="24"/>
          <w:szCs w:val="24"/>
          <w:u w:val="single"/>
          <w:lang w:val="en-US"/>
        </w:rPr>
      </w:pPr>
      <w:r w:rsidRPr="007C4AF6">
        <w:rPr>
          <w:rFonts w:ascii="Arial" w:hAnsi="Arial" w:cs="Arial"/>
          <w:b/>
          <w:sz w:val="24"/>
          <w:szCs w:val="24"/>
          <w:u w:val="single"/>
          <w:lang w:val="en-US"/>
        </w:rPr>
        <w:t>FACTUAL</w:t>
      </w:r>
      <w:r w:rsidRPr="007C4AF6">
        <w:rPr>
          <w:rFonts w:ascii="Arial" w:hAnsi="Arial" w:cs="Arial"/>
          <w:sz w:val="24"/>
          <w:szCs w:val="24"/>
          <w:u w:val="single"/>
          <w:lang w:val="en-US"/>
        </w:rPr>
        <w:t xml:space="preserve"> </w:t>
      </w:r>
      <w:r w:rsidRPr="007C4AF6">
        <w:rPr>
          <w:rFonts w:ascii="Arial" w:hAnsi="Arial" w:cs="Arial"/>
          <w:b/>
          <w:sz w:val="24"/>
          <w:szCs w:val="24"/>
          <w:u w:val="single"/>
          <w:lang w:val="en-US"/>
        </w:rPr>
        <w:t>BACKROUND</w:t>
      </w:r>
    </w:p>
    <w:p w:rsidR="0007156A" w:rsidRPr="007C4AF6" w:rsidRDefault="0007156A" w:rsidP="007C4AF6">
      <w:pPr>
        <w:spacing w:after="0" w:line="360" w:lineRule="auto"/>
        <w:jc w:val="both"/>
        <w:rPr>
          <w:rFonts w:ascii="Arial" w:hAnsi="Arial" w:cs="Arial"/>
          <w:b/>
          <w:sz w:val="24"/>
          <w:szCs w:val="24"/>
          <w:lang w:val="en-US"/>
        </w:rPr>
      </w:pPr>
    </w:p>
    <w:p w:rsidR="0051572D" w:rsidRPr="007C4AF6" w:rsidRDefault="0051572D"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[5</w:t>
      </w:r>
      <w:r w:rsidR="0053713E" w:rsidRPr="007C4AF6">
        <w:rPr>
          <w:rFonts w:ascii="Arial" w:hAnsi="Arial" w:cs="Arial"/>
          <w:sz w:val="24"/>
          <w:szCs w:val="24"/>
          <w:lang w:val="en-US"/>
        </w:rPr>
        <w:t>]</w:t>
      </w:r>
      <w:r w:rsidR="0053713E" w:rsidRPr="007C4AF6">
        <w:rPr>
          <w:rFonts w:ascii="Arial" w:hAnsi="Arial" w:cs="Arial"/>
          <w:sz w:val="24"/>
          <w:szCs w:val="24"/>
          <w:lang w:val="en-US"/>
        </w:rPr>
        <w:tab/>
      </w:r>
      <w:r w:rsidRPr="007C4AF6">
        <w:rPr>
          <w:rFonts w:ascii="Arial" w:hAnsi="Arial" w:cs="Arial"/>
          <w:sz w:val="24"/>
          <w:szCs w:val="24"/>
          <w:lang w:val="en-US"/>
        </w:rPr>
        <w:t>The</w:t>
      </w:r>
      <w:r w:rsidR="0049476C" w:rsidRPr="007C4AF6">
        <w:rPr>
          <w:rFonts w:ascii="Arial" w:hAnsi="Arial" w:cs="Arial"/>
          <w:sz w:val="24"/>
          <w:szCs w:val="24"/>
          <w:lang w:val="en-US"/>
        </w:rPr>
        <w:t xml:space="preserve"> first and second applicants have</w:t>
      </w:r>
      <w:r w:rsidRPr="007C4AF6">
        <w:rPr>
          <w:rFonts w:ascii="Arial" w:hAnsi="Arial" w:cs="Arial"/>
          <w:sz w:val="24"/>
          <w:szCs w:val="24"/>
          <w:lang w:val="en-US"/>
        </w:rPr>
        <w:t xml:space="preserve"> been practicing as attorneys in various</w:t>
      </w:r>
      <w:r w:rsidR="00675EC8" w:rsidRPr="007C4AF6">
        <w:rPr>
          <w:rFonts w:ascii="Arial" w:hAnsi="Arial" w:cs="Arial"/>
          <w:sz w:val="24"/>
          <w:szCs w:val="24"/>
          <w:lang w:val="en-US"/>
        </w:rPr>
        <w:t xml:space="preserve"> legal</w:t>
      </w:r>
      <w:r w:rsidRPr="007C4AF6">
        <w:rPr>
          <w:rFonts w:ascii="Arial" w:hAnsi="Arial" w:cs="Arial"/>
          <w:sz w:val="24"/>
          <w:szCs w:val="24"/>
          <w:lang w:val="en-US"/>
        </w:rPr>
        <w:t xml:space="preserve"> firms</w:t>
      </w:r>
      <w:r w:rsidR="0049476C" w:rsidRPr="007C4AF6">
        <w:rPr>
          <w:rFonts w:ascii="Arial" w:hAnsi="Arial" w:cs="Arial"/>
          <w:sz w:val="24"/>
          <w:szCs w:val="24"/>
          <w:lang w:val="en-US"/>
        </w:rPr>
        <w:t xml:space="preserve">, however later became partners </w:t>
      </w:r>
      <w:r w:rsidR="00145F47" w:rsidRPr="007C4AF6">
        <w:rPr>
          <w:rFonts w:ascii="Arial" w:hAnsi="Arial" w:cs="Arial"/>
          <w:sz w:val="24"/>
          <w:szCs w:val="24"/>
          <w:lang w:val="en-US"/>
        </w:rPr>
        <w:t>at</w:t>
      </w:r>
      <w:r w:rsidRPr="007C4AF6">
        <w:rPr>
          <w:rFonts w:ascii="Arial" w:hAnsi="Arial" w:cs="Arial"/>
          <w:sz w:val="24"/>
          <w:szCs w:val="24"/>
          <w:lang w:val="en-US"/>
        </w:rPr>
        <w:t xml:space="preserve"> De Lange Attorneys in Bloemfontein.</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51572D"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[6</w:t>
      </w:r>
      <w:r w:rsidR="0053713E" w:rsidRPr="007C4AF6">
        <w:rPr>
          <w:rFonts w:ascii="Arial" w:hAnsi="Arial" w:cs="Arial"/>
          <w:sz w:val="24"/>
          <w:szCs w:val="24"/>
          <w:lang w:val="en-US"/>
        </w:rPr>
        <w:t>]</w:t>
      </w:r>
      <w:r w:rsidR="0053713E" w:rsidRPr="007C4AF6">
        <w:rPr>
          <w:rFonts w:ascii="Arial" w:hAnsi="Arial" w:cs="Arial"/>
          <w:sz w:val="24"/>
          <w:szCs w:val="24"/>
          <w:lang w:val="en-US"/>
        </w:rPr>
        <w:tab/>
      </w:r>
      <w:r w:rsidRPr="007C4AF6">
        <w:rPr>
          <w:rFonts w:ascii="Arial" w:hAnsi="Arial" w:cs="Arial"/>
          <w:sz w:val="24"/>
          <w:szCs w:val="24"/>
          <w:lang w:val="en-US"/>
        </w:rPr>
        <w:t>G</w:t>
      </w:r>
      <w:r w:rsidR="00476B13" w:rsidRPr="007C4AF6">
        <w:rPr>
          <w:rFonts w:ascii="Arial" w:hAnsi="Arial" w:cs="Arial"/>
          <w:sz w:val="24"/>
          <w:szCs w:val="24"/>
          <w:lang w:val="en-US"/>
        </w:rPr>
        <w:t>leaned from the founding affidavit of the first applicant</w:t>
      </w:r>
      <w:r w:rsidRPr="007C4AF6">
        <w:rPr>
          <w:rFonts w:ascii="Arial" w:hAnsi="Arial" w:cs="Arial"/>
          <w:sz w:val="24"/>
          <w:szCs w:val="24"/>
          <w:lang w:val="en-US"/>
        </w:rPr>
        <w:t>, after some negotiations between</w:t>
      </w:r>
      <w:r w:rsidR="002C5011">
        <w:rPr>
          <w:rFonts w:ascii="Arial" w:hAnsi="Arial" w:cs="Arial"/>
          <w:sz w:val="24"/>
          <w:szCs w:val="24"/>
          <w:lang w:val="en-US"/>
        </w:rPr>
        <w:t xml:space="preserve"> the first and second applicants</w:t>
      </w:r>
      <w:r w:rsidRPr="007C4AF6">
        <w:rPr>
          <w:rFonts w:ascii="Arial" w:hAnsi="Arial" w:cs="Arial"/>
          <w:sz w:val="24"/>
          <w:szCs w:val="24"/>
          <w:lang w:val="en-US"/>
        </w:rPr>
        <w:t xml:space="preserve"> together with Mr</w:t>
      </w:r>
      <w:r w:rsidR="008F2362" w:rsidRPr="007C4AF6">
        <w:rPr>
          <w:rFonts w:ascii="Arial" w:hAnsi="Arial" w:cs="Arial"/>
          <w:sz w:val="24"/>
          <w:szCs w:val="24"/>
          <w:lang w:val="en-US"/>
        </w:rPr>
        <w:t>.</w:t>
      </w:r>
      <w:r w:rsidRPr="007C4AF6">
        <w:rPr>
          <w:rFonts w:ascii="Arial" w:hAnsi="Arial" w:cs="Arial"/>
          <w:sz w:val="24"/>
          <w:szCs w:val="24"/>
          <w:lang w:val="en-US"/>
        </w:rPr>
        <w:t xml:space="preserve"> Cloet</w:t>
      </w:r>
      <w:r w:rsidR="0049476C" w:rsidRPr="007C4AF6">
        <w:rPr>
          <w:rFonts w:ascii="Arial" w:hAnsi="Arial" w:cs="Arial"/>
          <w:sz w:val="24"/>
          <w:szCs w:val="24"/>
          <w:lang w:val="en-US"/>
        </w:rPr>
        <w:t>e (Director of Matsepe</w:t>
      </w:r>
      <w:r w:rsidR="00106ABC">
        <w:rPr>
          <w:rFonts w:ascii="Arial" w:hAnsi="Arial" w:cs="Arial"/>
          <w:sz w:val="24"/>
          <w:szCs w:val="24"/>
          <w:lang w:val="en-US"/>
        </w:rPr>
        <w:t>s</w:t>
      </w:r>
      <w:r w:rsidR="0049476C" w:rsidRPr="007C4AF6">
        <w:rPr>
          <w:rFonts w:ascii="Arial" w:hAnsi="Arial" w:cs="Arial"/>
          <w:sz w:val="24"/>
          <w:szCs w:val="24"/>
          <w:lang w:val="en-US"/>
        </w:rPr>
        <w:t xml:space="preserve"> Inc</w:t>
      </w:r>
      <w:r w:rsidR="002C5011">
        <w:rPr>
          <w:rFonts w:ascii="Arial" w:hAnsi="Arial" w:cs="Arial"/>
          <w:sz w:val="24"/>
          <w:szCs w:val="24"/>
          <w:lang w:val="en-US"/>
        </w:rPr>
        <w:t>.</w:t>
      </w:r>
      <w:r w:rsidRPr="007C4AF6">
        <w:rPr>
          <w:rFonts w:ascii="Arial" w:hAnsi="Arial" w:cs="Arial"/>
          <w:sz w:val="24"/>
          <w:szCs w:val="24"/>
          <w:lang w:val="en-US"/>
        </w:rPr>
        <w:t xml:space="preserve">), an agreement was reached in terms of which De Lange Attorneys would </w:t>
      </w:r>
      <w:r w:rsidR="00476B13" w:rsidRPr="007C4AF6">
        <w:rPr>
          <w:rFonts w:ascii="Arial" w:hAnsi="Arial" w:cs="Arial"/>
          <w:sz w:val="24"/>
          <w:szCs w:val="24"/>
          <w:lang w:val="en-US"/>
        </w:rPr>
        <w:t>merge with Matsepe Inc.</w:t>
      </w:r>
      <w:r w:rsidRPr="007C4AF6">
        <w:rPr>
          <w:rFonts w:ascii="Arial" w:hAnsi="Arial" w:cs="Arial"/>
          <w:sz w:val="24"/>
          <w:szCs w:val="24"/>
          <w:lang w:val="en-US"/>
        </w:rPr>
        <w:t xml:space="preserve"> with effect from 1 March 2021.</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53713E"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[7]</w:t>
      </w:r>
      <w:r w:rsidRPr="007C4AF6">
        <w:rPr>
          <w:rFonts w:ascii="Arial" w:hAnsi="Arial" w:cs="Arial"/>
          <w:sz w:val="24"/>
          <w:szCs w:val="24"/>
          <w:lang w:val="en-US"/>
        </w:rPr>
        <w:tab/>
      </w:r>
      <w:r w:rsidR="0051572D" w:rsidRPr="007C4AF6">
        <w:rPr>
          <w:rFonts w:ascii="Arial" w:hAnsi="Arial" w:cs="Arial"/>
          <w:sz w:val="24"/>
          <w:szCs w:val="24"/>
          <w:lang w:val="en-US"/>
        </w:rPr>
        <w:t>After the merger in 2021, there was a commixture between the trust accounts of De Lange</w:t>
      </w:r>
      <w:r w:rsidR="008649F4" w:rsidRPr="007C4AF6">
        <w:rPr>
          <w:rFonts w:ascii="Arial" w:hAnsi="Arial" w:cs="Arial"/>
          <w:sz w:val="24"/>
          <w:szCs w:val="24"/>
          <w:lang w:val="en-US"/>
        </w:rPr>
        <w:t xml:space="preserve"> Attorneys</w:t>
      </w:r>
      <w:r w:rsidR="002C5011">
        <w:rPr>
          <w:rFonts w:ascii="Arial" w:hAnsi="Arial" w:cs="Arial"/>
          <w:sz w:val="24"/>
          <w:szCs w:val="24"/>
          <w:lang w:val="en-US"/>
        </w:rPr>
        <w:t xml:space="preserve"> and Matsepe</w:t>
      </w:r>
      <w:r w:rsidR="00106ABC">
        <w:rPr>
          <w:rFonts w:ascii="Arial" w:hAnsi="Arial" w:cs="Arial"/>
          <w:sz w:val="24"/>
          <w:szCs w:val="24"/>
          <w:lang w:val="en-US"/>
        </w:rPr>
        <w:t>s</w:t>
      </w:r>
      <w:r w:rsidR="0051572D" w:rsidRPr="007C4AF6">
        <w:rPr>
          <w:rFonts w:ascii="Arial" w:hAnsi="Arial" w:cs="Arial"/>
          <w:sz w:val="24"/>
          <w:szCs w:val="24"/>
          <w:lang w:val="en-US"/>
        </w:rPr>
        <w:t xml:space="preserve"> </w:t>
      </w:r>
      <w:r w:rsidR="008649F4" w:rsidRPr="007C4AF6">
        <w:rPr>
          <w:rFonts w:ascii="Arial" w:hAnsi="Arial" w:cs="Arial"/>
          <w:sz w:val="24"/>
          <w:szCs w:val="24"/>
          <w:lang w:val="en-US"/>
        </w:rPr>
        <w:t>Inc</w:t>
      </w:r>
      <w:r w:rsidR="0049476C" w:rsidRPr="007C4AF6">
        <w:rPr>
          <w:rFonts w:ascii="Arial" w:hAnsi="Arial" w:cs="Arial"/>
          <w:sz w:val="24"/>
          <w:szCs w:val="24"/>
          <w:lang w:val="en-US"/>
        </w:rPr>
        <w:t xml:space="preserve">. </w:t>
      </w:r>
      <w:r w:rsidR="0051572D" w:rsidRPr="007C4AF6">
        <w:rPr>
          <w:rFonts w:ascii="Arial" w:hAnsi="Arial" w:cs="Arial"/>
          <w:sz w:val="24"/>
          <w:szCs w:val="24"/>
          <w:lang w:val="en-US"/>
        </w:rPr>
        <w:t>Newtons Auditors were instructed b</w:t>
      </w:r>
      <w:r w:rsidR="008649F4" w:rsidRPr="007C4AF6">
        <w:rPr>
          <w:rFonts w:ascii="Arial" w:hAnsi="Arial" w:cs="Arial"/>
          <w:sz w:val="24"/>
          <w:szCs w:val="24"/>
          <w:lang w:val="en-US"/>
        </w:rPr>
        <w:t xml:space="preserve">y the applicants to conduct </w:t>
      </w:r>
      <w:r w:rsidR="0051572D" w:rsidRPr="007C4AF6">
        <w:rPr>
          <w:rFonts w:ascii="Arial" w:hAnsi="Arial" w:cs="Arial"/>
          <w:sz w:val="24"/>
          <w:szCs w:val="24"/>
          <w:lang w:val="en-US"/>
        </w:rPr>
        <w:t xml:space="preserve">auditing of their respective trust accounts. Through the </w:t>
      </w:r>
      <w:r w:rsidR="000F6821" w:rsidRPr="007C4AF6">
        <w:rPr>
          <w:rFonts w:ascii="Arial" w:hAnsi="Arial" w:cs="Arial"/>
          <w:sz w:val="24"/>
          <w:szCs w:val="24"/>
          <w:lang w:val="en-US"/>
        </w:rPr>
        <w:t>auditor’s</w:t>
      </w:r>
      <w:r w:rsidR="0051572D" w:rsidRPr="007C4AF6">
        <w:rPr>
          <w:rFonts w:ascii="Arial" w:hAnsi="Arial" w:cs="Arial"/>
          <w:sz w:val="24"/>
          <w:szCs w:val="24"/>
          <w:lang w:val="en-US"/>
        </w:rPr>
        <w:t xml:space="preserve"> representative they were informed in March 2023 that a wrong </w:t>
      </w:r>
      <w:r w:rsidR="0051572D" w:rsidRPr="007C4AF6">
        <w:rPr>
          <w:rFonts w:ascii="Arial" w:hAnsi="Arial" w:cs="Arial"/>
          <w:sz w:val="24"/>
          <w:szCs w:val="24"/>
          <w:lang w:val="en-US"/>
        </w:rPr>
        <w:lastRenderedPageBreak/>
        <w:t>process was foll</w:t>
      </w:r>
      <w:r w:rsidR="000F6821" w:rsidRPr="007C4AF6">
        <w:rPr>
          <w:rFonts w:ascii="Arial" w:hAnsi="Arial" w:cs="Arial"/>
          <w:sz w:val="24"/>
          <w:szCs w:val="24"/>
          <w:lang w:val="en-US"/>
        </w:rPr>
        <w:t>owed</w:t>
      </w:r>
      <w:r w:rsidR="0051572D" w:rsidRPr="007C4AF6">
        <w:rPr>
          <w:rFonts w:ascii="Arial" w:hAnsi="Arial" w:cs="Arial"/>
          <w:sz w:val="24"/>
          <w:szCs w:val="24"/>
          <w:lang w:val="en-US"/>
        </w:rPr>
        <w:t xml:space="preserve"> as a result of which the Newtons auditors sought guidance from the LPC. The meeting between Newtons and LPC took place in May 2023. They were subsequently advised by the LPC to redo all transactions dating from 1 March 2021 until the end of February 2023, in order to split transactions </w:t>
      </w:r>
      <w:r w:rsidR="0049476C" w:rsidRPr="007C4AF6">
        <w:rPr>
          <w:rFonts w:ascii="Arial" w:hAnsi="Arial" w:cs="Arial"/>
          <w:sz w:val="24"/>
          <w:szCs w:val="24"/>
          <w:lang w:val="en-US"/>
        </w:rPr>
        <w:t>of</w:t>
      </w:r>
      <w:r w:rsidR="0051572D" w:rsidRPr="007C4AF6">
        <w:rPr>
          <w:rFonts w:ascii="Arial" w:hAnsi="Arial" w:cs="Arial"/>
          <w:sz w:val="24"/>
          <w:szCs w:val="24"/>
          <w:lang w:val="en-US"/>
        </w:rPr>
        <w:t xml:space="preserve"> De Lange Attorneys from</w:t>
      </w:r>
      <w:r w:rsidR="00E0486E" w:rsidRPr="007C4AF6">
        <w:rPr>
          <w:rFonts w:ascii="Arial" w:hAnsi="Arial" w:cs="Arial"/>
          <w:sz w:val="24"/>
          <w:szCs w:val="24"/>
          <w:lang w:val="en-US"/>
        </w:rPr>
        <w:t xml:space="preserve"> those of</w:t>
      </w:r>
      <w:r w:rsidR="0051572D" w:rsidRPr="007C4AF6">
        <w:rPr>
          <w:rFonts w:ascii="Arial" w:hAnsi="Arial" w:cs="Arial"/>
          <w:sz w:val="24"/>
          <w:szCs w:val="24"/>
          <w:lang w:val="en-US"/>
        </w:rPr>
        <w:t xml:space="preserve"> Matsepe </w:t>
      </w:r>
      <w:r w:rsidR="0049476C" w:rsidRPr="007C4AF6">
        <w:rPr>
          <w:rFonts w:ascii="Arial" w:hAnsi="Arial" w:cs="Arial"/>
          <w:sz w:val="24"/>
          <w:szCs w:val="24"/>
          <w:lang w:val="en-US"/>
        </w:rPr>
        <w:t>Inc</w:t>
      </w:r>
      <w:r w:rsidR="0051572D" w:rsidRPr="007C4AF6">
        <w:rPr>
          <w:rFonts w:ascii="Arial" w:hAnsi="Arial" w:cs="Arial"/>
          <w:sz w:val="24"/>
          <w:szCs w:val="24"/>
          <w:lang w:val="en-US"/>
        </w:rPr>
        <w:t xml:space="preserve">. </w:t>
      </w:r>
      <w:r w:rsidR="008649F4" w:rsidRPr="007C4AF6">
        <w:rPr>
          <w:rFonts w:ascii="Arial" w:hAnsi="Arial" w:cs="Arial"/>
          <w:sz w:val="24"/>
          <w:szCs w:val="24"/>
          <w:lang w:val="en-US"/>
        </w:rPr>
        <w:t>S</w:t>
      </w:r>
      <w:r w:rsidR="0051572D" w:rsidRPr="007C4AF6">
        <w:rPr>
          <w:rFonts w:ascii="Arial" w:hAnsi="Arial" w:cs="Arial"/>
          <w:sz w:val="24"/>
          <w:szCs w:val="24"/>
          <w:lang w:val="en-US"/>
        </w:rPr>
        <w:t>u</w:t>
      </w:r>
      <w:r w:rsidR="005268E4" w:rsidRPr="007C4AF6">
        <w:rPr>
          <w:rFonts w:ascii="Arial" w:hAnsi="Arial" w:cs="Arial"/>
          <w:sz w:val="24"/>
          <w:szCs w:val="24"/>
          <w:lang w:val="en-US"/>
        </w:rPr>
        <w:t>bsequent to a meeting with</w:t>
      </w:r>
      <w:r w:rsidR="002C5011">
        <w:rPr>
          <w:rFonts w:ascii="Arial" w:hAnsi="Arial" w:cs="Arial"/>
          <w:sz w:val="24"/>
          <w:szCs w:val="24"/>
          <w:lang w:val="en-US"/>
        </w:rPr>
        <w:t xml:space="preserve"> the</w:t>
      </w:r>
      <w:r w:rsidR="005268E4" w:rsidRPr="007C4AF6">
        <w:rPr>
          <w:rFonts w:ascii="Arial" w:hAnsi="Arial" w:cs="Arial"/>
          <w:sz w:val="24"/>
          <w:szCs w:val="24"/>
          <w:lang w:val="en-US"/>
        </w:rPr>
        <w:t xml:space="preserve"> LPC, </w:t>
      </w:r>
      <w:r w:rsidR="0051572D" w:rsidRPr="007C4AF6">
        <w:rPr>
          <w:rFonts w:ascii="Arial" w:hAnsi="Arial" w:cs="Arial"/>
          <w:sz w:val="24"/>
          <w:szCs w:val="24"/>
          <w:lang w:val="en-US"/>
        </w:rPr>
        <w:t xml:space="preserve">Newtons auditors required that all transactions of the erstwhile De </w:t>
      </w:r>
      <w:r w:rsidR="00E0486E" w:rsidRPr="007C4AF6">
        <w:rPr>
          <w:rFonts w:ascii="Arial" w:hAnsi="Arial" w:cs="Arial"/>
          <w:sz w:val="24"/>
          <w:szCs w:val="24"/>
          <w:lang w:val="en-US"/>
        </w:rPr>
        <w:t>L</w:t>
      </w:r>
      <w:r w:rsidR="0051572D" w:rsidRPr="007C4AF6">
        <w:rPr>
          <w:rFonts w:ascii="Arial" w:hAnsi="Arial" w:cs="Arial"/>
          <w:sz w:val="24"/>
          <w:szCs w:val="24"/>
          <w:lang w:val="en-US"/>
        </w:rPr>
        <w:t>ange Attorneys be separated entirely from the transactions of M</w:t>
      </w:r>
      <w:r w:rsidR="00E0486E" w:rsidRPr="007C4AF6">
        <w:rPr>
          <w:rFonts w:ascii="Arial" w:hAnsi="Arial" w:cs="Arial"/>
          <w:sz w:val="24"/>
          <w:szCs w:val="24"/>
          <w:lang w:val="en-US"/>
        </w:rPr>
        <w:t>a</w:t>
      </w:r>
      <w:r w:rsidR="0049476C" w:rsidRPr="007C4AF6">
        <w:rPr>
          <w:rFonts w:ascii="Arial" w:hAnsi="Arial" w:cs="Arial"/>
          <w:sz w:val="24"/>
          <w:szCs w:val="24"/>
          <w:lang w:val="en-US"/>
        </w:rPr>
        <w:t xml:space="preserve">tsepes Inc. </w:t>
      </w:r>
      <w:r w:rsidR="0051572D" w:rsidRPr="007C4AF6">
        <w:rPr>
          <w:rFonts w:ascii="Arial" w:hAnsi="Arial" w:cs="Arial"/>
          <w:sz w:val="24"/>
          <w:szCs w:val="24"/>
          <w:lang w:val="en-US"/>
        </w:rPr>
        <w:t xml:space="preserve">and required that a separate De Lange attorneys </w:t>
      </w:r>
      <w:r w:rsidR="00487706" w:rsidRPr="007C4AF6">
        <w:rPr>
          <w:rFonts w:ascii="Arial" w:hAnsi="Arial" w:cs="Arial"/>
          <w:sz w:val="24"/>
          <w:szCs w:val="24"/>
          <w:lang w:val="en-US"/>
        </w:rPr>
        <w:t>bookkeeping system</w:t>
      </w:r>
      <w:r w:rsidR="0051572D" w:rsidRPr="007C4AF6">
        <w:rPr>
          <w:rFonts w:ascii="Arial" w:hAnsi="Arial" w:cs="Arial"/>
          <w:sz w:val="24"/>
          <w:szCs w:val="24"/>
          <w:lang w:val="en-US"/>
        </w:rPr>
        <w:t xml:space="preserve"> be created so that it can be closed. </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53713E"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[9]</w:t>
      </w:r>
      <w:r w:rsidRPr="007C4AF6">
        <w:rPr>
          <w:rFonts w:ascii="Arial" w:hAnsi="Arial" w:cs="Arial"/>
          <w:sz w:val="24"/>
          <w:szCs w:val="24"/>
          <w:lang w:val="en-US"/>
        </w:rPr>
        <w:tab/>
      </w:r>
      <w:r w:rsidR="008F2362" w:rsidRPr="007C4AF6">
        <w:rPr>
          <w:rFonts w:ascii="Arial" w:hAnsi="Arial" w:cs="Arial"/>
          <w:sz w:val="24"/>
          <w:szCs w:val="24"/>
          <w:lang w:val="en-US"/>
        </w:rPr>
        <w:t xml:space="preserve">On </w:t>
      </w:r>
      <w:r w:rsidR="0051572D" w:rsidRPr="007C4AF6">
        <w:rPr>
          <w:rFonts w:ascii="Arial" w:hAnsi="Arial" w:cs="Arial"/>
          <w:sz w:val="24"/>
          <w:szCs w:val="24"/>
          <w:lang w:val="en-US"/>
        </w:rPr>
        <w:t xml:space="preserve">28 August 2023 an urgent application was lodged by the LPC seeking suspension of the applicants from practice, the effective cessation in the interim of any access they had to the trust banking accounts of </w:t>
      </w:r>
      <w:r w:rsidR="0049476C" w:rsidRPr="007C4AF6">
        <w:rPr>
          <w:rFonts w:ascii="Arial" w:hAnsi="Arial" w:cs="Arial"/>
          <w:sz w:val="24"/>
          <w:szCs w:val="24"/>
          <w:lang w:val="en-US"/>
        </w:rPr>
        <w:t>De Lange Attorneys and Matsepe</w:t>
      </w:r>
      <w:r w:rsidR="00106ABC">
        <w:rPr>
          <w:rFonts w:ascii="Arial" w:hAnsi="Arial" w:cs="Arial"/>
          <w:sz w:val="24"/>
          <w:szCs w:val="24"/>
          <w:lang w:val="en-US"/>
        </w:rPr>
        <w:t>s</w:t>
      </w:r>
      <w:r w:rsidR="00476B13" w:rsidRPr="007C4AF6">
        <w:rPr>
          <w:rFonts w:ascii="Arial" w:hAnsi="Arial" w:cs="Arial"/>
          <w:sz w:val="24"/>
          <w:szCs w:val="24"/>
          <w:lang w:val="en-US"/>
        </w:rPr>
        <w:t xml:space="preserve"> Inc</w:t>
      </w:r>
      <w:r w:rsidR="0049476C" w:rsidRPr="007C4AF6">
        <w:rPr>
          <w:rFonts w:ascii="Arial" w:hAnsi="Arial" w:cs="Arial"/>
          <w:sz w:val="24"/>
          <w:szCs w:val="24"/>
          <w:lang w:val="en-US"/>
        </w:rPr>
        <w:t>;</w:t>
      </w:r>
      <w:r w:rsidR="0051572D" w:rsidRPr="007C4AF6">
        <w:rPr>
          <w:rFonts w:ascii="Arial" w:hAnsi="Arial" w:cs="Arial"/>
          <w:sz w:val="24"/>
          <w:szCs w:val="24"/>
          <w:lang w:val="en-US"/>
        </w:rPr>
        <w:t xml:space="preserve"> the surrender of their admission certificates a</w:t>
      </w:r>
      <w:r w:rsidR="002D2C76" w:rsidRPr="007C4AF6">
        <w:rPr>
          <w:rFonts w:ascii="Arial" w:hAnsi="Arial" w:cs="Arial"/>
          <w:sz w:val="24"/>
          <w:szCs w:val="24"/>
          <w:lang w:val="en-US"/>
        </w:rPr>
        <w:t>s</w:t>
      </w:r>
      <w:r w:rsidR="0049476C" w:rsidRPr="007C4AF6">
        <w:rPr>
          <w:rFonts w:ascii="Arial" w:hAnsi="Arial" w:cs="Arial"/>
          <w:sz w:val="24"/>
          <w:szCs w:val="24"/>
          <w:lang w:val="en-US"/>
        </w:rPr>
        <w:t xml:space="preserve"> legal practitioners;</w:t>
      </w:r>
      <w:r w:rsidR="0051572D" w:rsidRPr="007C4AF6">
        <w:rPr>
          <w:rFonts w:ascii="Arial" w:hAnsi="Arial" w:cs="Arial"/>
          <w:sz w:val="24"/>
          <w:szCs w:val="24"/>
          <w:lang w:val="en-US"/>
        </w:rPr>
        <w:t xml:space="preserve"> the appointment of a curator to administer and control their trust accounts and an order obligating disclosure of whatever is necessary for the successful operation of what was to be investigated</w:t>
      </w:r>
      <w:r w:rsidR="0049476C" w:rsidRPr="007C4AF6">
        <w:rPr>
          <w:rFonts w:ascii="Arial" w:hAnsi="Arial" w:cs="Arial"/>
          <w:sz w:val="24"/>
          <w:szCs w:val="24"/>
          <w:lang w:val="en-US"/>
        </w:rPr>
        <w:t>.</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53713E"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[10]</w:t>
      </w:r>
      <w:r w:rsidRPr="007C4AF6">
        <w:rPr>
          <w:rFonts w:ascii="Arial" w:hAnsi="Arial" w:cs="Arial"/>
          <w:sz w:val="24"/>
          <w:szCs w:val="24"/>
          <w:lang w:val="en-US"/>
        </w:rPr>
        <w:tab/>
      </w:r>
      <w:r w:rsidR="0051572D" w:rsidRPr="007C4AF6">
        <w:rPr>
          <w:rFonts w:ascii="Arial" w:hAnsi="Arial" w:cs="Arial"/>
          <w:sz w:val="24"/>
          <w:szCs w:val="24"/>
          <w:lang w:val="en-US"/>
        </w:rPr>
        <w:t>It is further evident from the first applicant</w:t>
      </w:r>
      <w:r w:rsidR="002D2C76" w:rsidRPr="007C4AF6">
        <w:rPr>
          <w:rFonts w:ascii="Arial" w:hAnsi="Arial" w:cs="Arial"/>
          <w:sz w:val="24"/>
          <w:szCs w:val="24"/>
          <w:lang w:val="en-US"/>
        </w:rPr>
        <w:t>’s</w:t>
      </w:r>
      <w:r w:rsidR="0051572D" w:rsidRPr="007C4AF6">
        <w:rPr>
          <w:rFonts w:ascii="Arial" w:hAnsi="Arial" w:cs="Arial"/>
          <w:sz w:val="24"/>
          <w:szCs w:val="24"/>
          <w:lang w:val="en-US"/>
        </w:rPr>
        <w:t xml:space="preserve"> f</w:t>
      </w:r>
      <w:r w:rsidR="0049476C" w:rsidRPr="007C4AF6">
        <w:rPr>
          <w:rFonts w:ascii="Arial" w:hAnsi="Arial" w:cs="Arial"/>
          <w:sz w:val="24"/>
          <w:szCs w:val="24"/>
          <w:lang w:val="en-US"/>
        </w:rPr>
        <w:t>ounding affidavit</w:t>
      </w:r>
      <w:r w:rsidR="00DC1103" w:rsidRPr="007C4AF6">
        <w:rPr>
          <w:rStyle w:val="FootnoteReference"/>
          <w:rFonts w:ascii="Arial" w:hAnsi="Arial" w:cs="Arial"/>
          <w:sz w:val="24"/>
          <w:szCs w:val="24"/>
          <w:lang w:val="en-US"/>
        </w:rPr>
        <w:footnoteReference w:id="1"/>
      </w:r>
      <w:r w:rsidR="0049476C" w:rsidRPr="007C4AF6">
        <w:rPr>
          <w:rFonts w:ascii="Arial" w:hAnsi="Arial" w:cs="Arial"/>
          <w:sz w:val="24"/>
          <w:szCs w:val="24"/>
          <w:lang w:val="en-US"/>
        </w:rPr>
        <w:t xml:space="preserve"> in this</w:t>
      </w:r>
      <w:r w:rsidR="0051572D" w:rsidRPr="007C4AF6">
        <w:rPr>
          <w:rFonts w:ascii="Arial" w:hAnsi="Arial" w:cs="Arial"/>
          <w:sz w:val="24"/>
          <w:szCs w:val="24"/>
          <w:lang w:val="en-US"/>
        </w:rPr>
        <w:t xml:space="preserve"> matter and on notice of motion in case number 4514/2023, that the application against the applicants is </w:t>
      </w:r>
      <w:r w:rsidR="00E800E8" w:rsidRPr="007C4AF6">
        <w:rPr>
          <w:rFonts w:ascii="Arial" w:hAnsi="Arial" w:cs="Arial"/>
          <w:sz w:val="24"/>
          <w:szCs w:val="24"/>
          <w:lang w:val="en-US"/>
        </w:rPr>
        <w:t>pivoted on</w:t>
      </w:r>
      <w:r w:rsidR="0051572D" w:rsidRPr="007C4AF6">
        <w:rPr>
          <w:rFonts w:ascii="Arial" w:hAnsi="Arial" w:cs="Arial"/>
          <w:sz w:val="24"/>
          <w:szCs w:val="24"/>
          <w:lang w:val="en-US"/>
        </w:rPr>
        <w:t xml:space="preserve"> the following:</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51572D" w:rsidP="007C4AF6">
      <w:pPr>
        <w:spacing w:after="0" w:line="360" w:lineRule="auto"/>
        <w:ind w:left="720"/>
        <w:jc w:val="both"/>
        <w:rPr>
          <w:rFonts w:ascii="Arial" w:hAnsi="Arial" w:cs="Arial"/>
          <w:sz w:val="24"/>
          <w:szCs w:val="24"/>
          <w:lang w:val="en-US"/>
        </w:rPr>
      </w:pPr>
      <w:r w:rsidRPr="007C4AF6">
        <w:rPr>
          <w:rFonts w:ascii="Arial" w:hAnsi="Arial" w:cs="Arial"/>
          <w:sz w:val="24"/>
          <w:szCs w:val="24"/>
          <w:lang w:val="en-US"/>
        </w:rPr>
        <w:t xml:space="preserve">10.1 </w:t>
      </w:r>
      <w:r w:rsidR="0053713E" w:rsidRPr="007C4AF6">
        <w:rPr>
          <w:rFonts w:ascii="Arial" w:hAnsi="Arial" w:cs="Arial"/>
          <w:sz w:val="24"/>
          <w:szCs w:val="24"/>
          <w:lang w:val="en-US"/>
        </w:rPr>
        <w:tab/>
      </w:r>
      <w:r w:rsidRPr="007C4AF6">
        <w:rPr>
          <w:rFonts w:ascii="Arial" w:hAnsi="Arial" w:cs="Arial"/>
          <w:sz w:val="24"/>
          <w:szCs w:val="24"/>
          <w:lang w:val="en-US"/>
        </w:rPr>
        <w:t>Failure to comp</w:t>
      </w:r>
      <w:r w:rsidR="008F2362" w:rsidRPr="007C4AF6">
        <w:rPr>
          <w:rFonts w:ascii="Arial" w:hAnsi="Arial" w:cs="Arial"/>
          <w:sz w:val="24"/>
          <w:szCs w:val="24"/>
          <w:lang w:val="en-US"/>
        </w:rPr>
        <w:t>ly with Section 84 and 85 of the Act.</w:t>
      </w:r>
    </w:p>
    <w:p w:rsidR="0007156A" w:rsidRPr="007C4AF6" w:rsidRDefault="0007156A" w:rsidP="007C4AF6">
      <w:pPr>
        <w:spacing w:after="0" w:line="360" w:lineRule="auto"/>
        <w:ind w:left="720"/>
        <w:jc w:val="both"/>
        <w:rPr>
          <w:rFonts w:ascii="Arial" w:hAnsi="Arial" w:cs="Arial"/>
          <w:sz w:val="24"/>
          <w:szCs w:val="24"/>
          <w:lang w:val="en-US"/>
        </w:rPr>
      </w:pPr>
    </w:p>
    <w:p w:rsidR="0051572D" w:rsidRPr="007C4AF6" w:rsidRDefault="0051572D" w:rsidP="007C4AF6">
      <w:pPr>
        <w:spacing w:after="0" w:line="360" w:lineRule="auto"/>
        <w:jc w:val="both"/>
        <w:rPr>
          <w:rFonts w:ascii="Arial" w:hAnsi="Arial" w:cs="Arial"/>
          <w:sz w:val="24"/>
          <w:szCs w:val="24"/>
          <w:lang w:val="en-US"/>
        </w:rPr>
      </w:pPr>
      <w:r w:rsidRPr="007C4AF6">
        <w:rPr>
          <w:rFonts w:ascii="Arial" w:hAnsi="Arial" w:cs="Arial"/>
          <w:sz w:val="24"/>
          <w:szCs w:val="24"/>
          <w:lang w:val="en-US"/>
        </w:rPr>
        <w:tab/>
        <w:t xml:space="preserve">10.2 </w:t>
      </w:r>
      <w:r w:rsidR="0053713E" w:rsidRPr="007C4AF6">
        <w:rPr>
          <w:rFonts w:ascii="Arial" w:hAnsi="Arial" w:cs="Arial"/>
          <w:sz w:val="24"/>
          <w:szCs w:val="24"/>
          <w:lang w:val="en-US"/>
        </w:rPr>
        <w:tab/>
      </w:r>
      <w:r w:rsidRPr="007C4AF6">
        <w:rPr>
          <w:rFonts w:ascii="Arial" w:hAnsi="Arial" w:cs="Arial"/>
          <w:sz w:val="24"/>
          <w:szCs w:val="24"/>
          <w:lang w:val="en-US"/>
        </w:rPr>
        <w:t>Conflation of trust accounts</w:t>
      </w:r>
    </w:p>
    <w:p w:rsidR="0007156A" w:rsidRPr="007C4AF6" w:rsidRDefault="0007156A" w:rsidP="007C4AF6">
      <w:pPr>
        <w:spacing w:after="0" w:line="360" w:lineRule="auto"/>
        <w:jc w:val="both"/>
        <w:rPr>
          <w:rFonts w:ascii="Arial" w:hAnsi="Arial" w:cs="Arial"/>
          <w:sz w:val="24"/>
          <w:szCs w:val="24"/>
          <w:lang w:val="en-US"/>
        </w:rPr>
      </w:pPr>
    </w:p>
    <w:p w:rsidR="0051572D" w:rsidRPr="007C4AF6" w:rsidRDefault="0051572D" w:rsidP="007C4AF6">
      <w:pPr>
        <w:spacing w:after="0" w:line="360" w:lineRule="auto"/>
        <w:ind w:left="1440" w:hanging="720"/>
        <w:jc w:val="both"/>
        <w:rPr>
          <w:rFonts w:ascii="Arial" w:hAnsi="Arial" w:cs="Arial"/>
          <w:sz w:val="24"/>
          <w:szCs w:val="24"/>
          <w:lang w:val="en-US"/>
        </w:rPr>
      </w:pPr>
      <w:r w:rsidRPr="007C4AF6">
        <w:rPr>
          <w:rFonts w:ascii="Arial" w:hAnsi="Arial" w:cs="Arial"/>
          <w:sz w:val="24"/>
          <w:szCs w:val="24"/>
          <w:lang w:val="en-US"/>
        </w:rPr>
        <w:t xml:space="preserve">10.3 </w:t>
      </w:r>
      <w:r w:rsidR="0053713E" w:rsidRPr="007C4AF6">
        <w:rPr>
          <w:rFonts w:ascii="Arial" w:hAnsi="Arial" w:cs="Arial"/>
          <w:sz w:val="24"/>
          <w:szCs w:val="24"/>
          <w:lang w:val="en-US"/>
        </w:rPr>
        <w:tab/>
      </w:r>
      <w:r w:rsidRPr="007C4AF6">
        <w:rPr>
          <w:rFonts w:ascii="Arial" w:hAnsi="Arial" w:cs="Arial"/>
          <w:sz w:val="24"/>
          <w:szCs w:val="24"/>
          <w:lang w:val="en-US"/>
        </w:rPr>
        <w:t>That both first and second applicant appeared before</w:t>
      </w:r>
      <w:r w:rsidR="008F2362" w:rsidRPr="007C4AF6">
        <w:rPr>
          <w:rFonts w:ascii="Arial" w:hAnsi="Arial" w:cs="Arial"/>
          <w:sz w:val="24"/>
          <w:szCs w:val="24"/>
          <w:lang w:val="en-US"/>
        </w:rPr>
        <w:t xml:space="preserve"> investigations committee on</w:t>
      </w:r>
      <w:r w:rsidRPr="007C4AF6">
        <w:rPr>
          <w:rFonts w:ascii="Arial" w:hAnsi="Arial" w:cs="Arial"/>
          <w:sz w:val="24"/>
          <w:szCs w:val="24"/>
          <w:lang w:val="en-US"/>
        </w:rPr>
        <w:t xml:space="preserve"> 16 May 2023 for failure t</w:t>
      </w:r>
      <w:r w:rsidR="000F6821" w:rsidRPr="007C4AF6">
        <w:rPr>
          <w:rFonts w:ascii="Arial" w:hAnsi="Arial" w:cs="Arial"/>
          <w:sz w:val="24"/>
          <w:szCs w:val="24"/>
          <w:lang w:val="en-US"/>
        </w:rPr>
        <w:t>o comply with auditing of their</w:t>
      </w:r>
      <w:r w:rsidRPr="007C4AF6">
        <w:rPr>
          <w:rFonts w:ascii="Arial" w:hAnsi="Arial" w:cs="Arial"/>
          <w:sz w:val="24"/>
          <w:szCs w:val="24"/>
          <w:lang w:val="en-US"/>
        </w:rPr>
        <w:t xml:space="preserve"> trust account and submission of the audited statements.</w:t>
      </w:r>
    </w:p>
    <w:p w:rsidR="0007156A" w:rsidRDefault="0007156A" w:rsidP="007C4AF6">
      <w:pPr>
        <w:spacing w:after="0" w:line="360" w:lineRule="auto"/>
        <w:ind w:left="1440" w:hanging="720"/>
        <w:jc w:val="both"/>
        <w:rPr>
          <w:rFonts w:ascii="Arial" w:hAnsi="Arial" w:cs="Arial"/>
          <w:sz w:val="24"/>
          <w:szCs w:val="24"/>
          <w:lang w:val="en-US"/>
        </w:rPr>
      </w:pPr>
    </w:p>
    <w:p w:rsidR="007C4260" w:rsidRPr="007C4AF6" w:rsidRDefault="007C4260" w:rsidP="007C4AF6">
      <w:pPr>
        <w:spacing w:after="0" w:line="360" w:lineRule="auto"/>
        <w:ind w:left="1440" w:hanging="720"/>
        <w:jc w:val="both"/>
        <w:rPr>
          <w:rFonts w:ascii="Arial" w:hAnsi="Arial" w:cs="Arial"/>
          <w:sz w:val="24"/>
          <w:szCs w:val="24"/>
          <w:lang w:val="en-US"/>
        </w:rPr>
      </w:pPr>
    </w:p>
    <w:p w:rsidR="0051572D" w:rsidRPr="007C4AF6" w:rsidRDefault="0051572D" w:rsidP="007C4AF6">
      <w:pPr>
        <w:spacing w:after="0" w:line="360" w:lineRule="auto"/>
        <w:ind w:left="1440" w:hanging="720"/>
        <w:jc w:val="both"/>
        <w:rPr>
          <w:rFonts w:ascii="Arial" w:hAnsi="Arial" w:cs="Arial"/>
          <w:sz w:val="24"/>
          <w:szCs w:val="24"/>
          <w:lang w:val="en-US"/>
        </w:rPr>
      </w:pPr>
      <w:r w:rsidRPr="007C4AF6">
        <w:rPr>
          <w:rFonts w:ascii="Arial" w:hAnsi="Arial" w:cs="Arial"/>
          <w:sz w:val="24"/>
          <w:szCs w:val="24"/>
          <w:lang w:val="en-US"/>
        </w:rPr>
        <w:lastRenderedPageBreak/>
        <w:t xml:space="preserve">10.4 </w:t>
      </w:r>
      <w:r w:rsidR="0053713E" w:rsidRPr="007C4AF6">
        <w:rPr>
          <w:rFonts w:ascii="Arial" w:hAnsi="Arial" w:cs="Arial"/>
          <w:sz w:val="24"/>
          <w:szCs w:val="24"/>
          <w:lang w:val="en-US"/>
        </w:rPr>
        <w:tab/>
      </w:r>
      <w:r w:rsidR="008F2362" w:rsidRPr="007C4AF6">
        <w:rPr>
          <w:rFonts w:ascii="Arial" w:hAnsi="Arial" w:cs="Arial"/>
          <w:sz w:val="24"/>
          <w:szCs w:val="24"/>
          <w:lang w:val="en-US"/>
        </w:rPr>
        <w:t>On</w:t>
      </w:r>
      <w:r w:rsidRPr="007C4AF6">
        <w:rPr>
          <w:rFonts w:ascii="Arial" w:hAnsi="Arial" w:cs="Arial"/>
          <w:sz w:val="24"/>
          <w:szCs w:val="24"/>
          <w:lang w:val="en-US"/>
        </w:rPr>
        <w:t xml:space="preserve"> 2 June 2023 the investigating </w:t>
      </w:r>
      <w:r w:rsidR="002C5011">
        <w:rPr>
          <w:rFonts w:ascii="Arial" w:hAnsi="Arial" w:cs="Arial"/>
          <w:sz w:val="24"/>
          <w:szCs w:val="24"/>
          <w:lang w:val="en-US"/>
        </w:rPr>
        <w:t>committee recommended that the LPC should i</w:t>
      </w:r>
      <w:r w:rsidRPr="007C4AF6">
        <w:rPr>
          <w:rFonts w:ascii="Arial" w:hAnsi="Arial" w:cs="Arial"/>
          <w:sz w:val="24"/>
          <w:szCs w:val="24"/>
          <w:lang w:val="en-US"/>
        </w:rPr>
        <w:t>nstitute</w:t>
      </w:r>
      <w:r w:rsidR="002C5011">
        <w:rPr>
          <w:rFonts w:ascii="Arial" w:hAnsi="Arial" w:cs="Arial"/>
          <w:sz w:val="24"/>
          <w:szCs w:val="24"/>
          <w:lang w:val="en-US"/>
        </w:rPr>
        <w:t xml:space="preserve"> an</w:t>
      </w:r>
      <w:r w:rsidRPr="007C4AF6">
        <w:rPr>
          <w:rFonts w:ascii="Arial" w:hAnsi="Arial" w:cs="Arial"/>
          <w:sz w:val="24"/>
          <w:szCs w:val="24"/>
          <w:lang w:val="en-US"/>
        </w:rPr>
        <w:t xml:space="preserve"> urgent application for the suspension of the applicants because of their failure to comply with</w:t>
      </w:r>
      <w:r w:rsidR="002C5011">
        <w:rPr>
          <w:rFonts w:ascii="Arial" w:hAnsi="Arial" w:cs="Arial"/>
          <w:sz w:val="24"/>
          <w:szCs w:val="24"/>
          <w:lang w:val="en-US"/>
        </w:rPr>
        <w:t xml:space="preserve"> the</w:t>
      </w:r>
      <w:r w:rsidRPr="007C4AF6">
        <w:rPr>
          <w:rFonts w:ascii="Arial" w:hAnsi="Arial" w:cs="Arial"/>
          <w:sz w:val="24"/>
          <w:szCs w:val="24"/>
          <w:lang w:val="en-US"/>
        </w:rPr>
        <w:t xml:space="preserve"> rules dealing with the closure of De Lange</w:t>
      </w:r>
      <w:r w:rsidR="008F2362" w:rsidRPr="007C4AF6">
        <w:rPr>
          <w:rFonts w:ascii="Arial" w:hAnsi="Arial" w:cs="Arial"/>
          <w:sz w:val="24"/>
          <w:szCs w:val="24"/>
          <w:lang w:val="en-US"/>
        </w:rPr>
        <w:t xml:space="preserve"> Attorneys</w:t>
      </w:r>
      <w:r w:rsidRPr="007C4AF6">
        <w:rPr>
          <w:rFonts w:ascii="Arial" w:hAnsi="Arial" w:cs="Arial"/>
          <w:sz w:val="24"/>
          <w:szCs w:val="24"/>
          <w:lang w:val="en-US"/>
        </w:rPr>
        <w:t xml:space="preserve"> practice.</w:t>
      </w:r>
    </w:p>
    <w:p w:rsidR="0007156A" w:rsidRPr="007C4AF6" w:rsidRDefault="0007156A" w:rsidP="007C4AF6">
      <w:pPr>
        <w:spacing w:after="0" w:line="360" w:lineRule="auto"/>
        <w:ind w:left="1440" w:hanging="720"/>
        <w:jc w:val="both"/>
        <w:rPr>
          <w:rFonts w:ascii="Arial" w:hAnsi="Arial" w:cs="Arial"/>
          <w:sz w:val="24"/>
          <w:szCs w:val="24"/>
          <w:lang w:val="en-US"/>
        </w:rPr>
      </w:pPr>
    </w:p>
    <w:p w:rsidR="0051572D" w:rsidRPr="007C4AF6" w:rsidRDefault="0053713E"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[11]</w:t>
      </w:r>
      <w:r w:rsidRPr="007C4AF6">
        <w:rPr>
          <w:rFonts w:ascii="Arial" w:hAnsi="Arial" w:cs="Arial"/>
          <w:sz w:val="24"/>
          <w:szCs w:val="24"/>
          <w:lang w:val="en-US"/>
        </w:rPr>
        <w:tab/>
      </w:r>
      <w:r w:rsidR="0051572D" w:rsidRPr="007C4AF6">
        <w:rPr>
          <w:rFonts w:ascii="Arial" w:hAnsi="Arial" w:cs="Arial"/>
          <w:sz w:val="24"/>
          <w:szCs w:val="24"/>
          <w:lang w:val="en-US"/>
        </w:rPr>
        <w:t>The applicants opposed the matter that was heard by Loub</w:t>
      </w:r>
      <w:r w:rsidR="002D45F8" w:rsidRPr="007C4AF6">
        <w:rPr>
          <w:rFonts w:ascii="Arial" w:hAnsi="Arial" w:cs="Arial"/>
          <w:sz w:val="24"/>
          <w:szCs w:val="24"/>
          <w:lang w:val="en-US"/>
        </w:rPr>
        <w:t>ser</w:t>
      </w:r>
      <w:r w:rsidR="0051572D" w:rsidRPr="007C4AF6">
        <w:rPr>
          <w:rFonts w:ascii="Arial" w:hAnsi="Arial" w:cs="Arial"/>
          <w:sz w:val="24"/>
          <w:szCs w:val="24"/>
          <w:lang w:val="en-US"/>
        </w:rPr>
        <w:t>, J and Molitsoane, J</w:t>
      </w:r>
      <w:r w:rsidR="000E7F2A" w:rsidRPr="007C4AF6">
        <w:rPr>
          <w:rFonts w:ascii="Arial" w:hAnsi="Arial" w:cs="Arial"/>
          <w:sz w:val="24"/>
          <w:szCs w:val="24"/>
          <w:lang w:val="en-US"/>
        </w:rPr>
        <w:t xml:space="preserve"> under case number 4514/2023 in</w:t>
      </w:r>
      <w:r w:rsidR="0051572D" w:rsidRPr="007C4AF6">
        <w:rPr>
          <w:rFonts w:ascii="Arial" w:hAnsi="Arial" w:cs="Arial"/>
          <w:sz w:val="24"/>
          <w:szCs w:val="24"/>
          <w:lang w:val="en-US"/>
        </w:rPr>
        <w:t xml:space="preserve"> this court. I interpose to mention that at the time of</w:t>
      </w:r>
      <w:r w:rsidR="000E7F2A" w:rsidRPr="007C4AF6">
        <w:rPr>
          <w:rFonts w:ascii="Arial" w:hAnsi="Arial" w:cs="Arial"/>
          <w:sz w:val="24"/>
          <w:szCs w:val="24"/>
          <w:lang w:val="en-US"/>
        </w:rPr>
        <w:t xml:space="preserve"> the hearing of this</w:t>
      </w:r>
      <w:r w:rsidR="0051572D" w:rsidRPr="007C4AF6">
        <w:rPr>
          <w:rFonts w:ascii="Arial" w:hAnsi="Arial" w:cs="Arial"/>
          <w:sz w:val="24"/>
          <w:szCs w:val="24"/>
          <w:lang w:val="en-US"/>
        </w:rPr>
        <w:t xml:space="preserve"> application, the aforementioned court</w:t>
      </w:r>
      <w:r w:rsidR="000E7F2A" w:rsidRPr="007C4AF6">
        <w:rPr>
          <w:rFonts w:ascii="Arial" w:hAnsi="Arial" w:cs="Arial"/>
          <w:sz w:val="24"/>
          <w:szCs w:val="24"/>
          <w:lang w:val="en-US"/>
        </w:rPr>
        <w:t xml:space="preserve"> had already</w:t>
      </w:r>
      <w:r w:rsidR="0051572D" w:rsidRPr="007C4AF6">
        <w:rPr>
          <w:rFonts w:ascii="Arial" w:hAnsi="Arial" w:cs="Arial"/>
          <w:sz w:val="24"/>
          <w:szCs w:val="24"/>
          <w:lang w:val="en-US"/>
        </w:rPr>
        <w:t xml:space="preserve"> </w:t>
      </w:r>
      <w:r w:rsidR="000E7F2A" w:rsidRPr="007C4AF6">
        <w:rPr>
          <w:rFonts w:ascii="Arial" w:hAnsi="Arial" w:cs="Arial"/>
          <w:sz w:val="24"/>
          <w:szCs w:val="24"/>
          <w:lang w:val="en-US"/>
        </w:rPr>
        <w:t>reserved judgment</w:t>
      </w:r>
      <w:r w:rsidR="0051572D" w:rsidRPr="007C4AF6">
        <w:rPr>
          <w:rFonts w:ascii="Arial" w:hAnsi="Arial" w:cs="Arial"/>
          <w:sz w:val="24"/>
          <w:szCs w:val="24"/>
          <w:lang w:val="en-US"/>
        </w:rPr>
        <w:t>.</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53713E"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[12]</w:t>
      </w:r>
      <w:r w:rsidRPr="007C4AF6">
        <w:rPr>
          <w:rFonts w:ascii="Arial" w:hAnsi="Arial" w:cs="Arial"/>
          <w:sz w:val="24"/>
          <w:szCs w:val="24"/>
          <w:lang w:val="en-US"/>
        </w:rPr>
        <w:tab/>
      </w:r>
      <w:r w:rsidR="008649F4" w:rsidRPr="007C4AF6">
        <w:rPr>
          <w:rFonts w:ascii="Arial" w:hAnsi="Arial" w:cs="Arial"/>
          <w:sz w:val="24"/>
          <w:szCs w:val="24"/>
          <w:lang w:val="en-US"/>
        </w:rPr>
        <w:t>While</w:t>
      </w:r>
      <w:r w:rsidR="0051572D" w:rsidRPr="007C4AF6">
        <w:rPr>
          <w:rFonts w:ascii="Arial" w:hAnsi="Arial" w:cs="Arial"/>
          <w:sz w:val="24"/>
          <w:szCs w:val="24"/>
          <w:lang w:val="en-US"/>
        </w:rPr>
        <w:t xml:space="preserve"> the application by </w:t>
      </w:r>
      <w:r w:rsidR="00106ABC">
        <w:rPr>
          <w:rFonts w:ascii="Arial" w:hAnsi="Arial" w:cs="Arial"/>
          <w:sz w:val="24"/>
          <w:szCs w:val="24"/>
          <w:lang w:val="en-US"/>
        </w:rPr>
        <w:t xml:space="preserve">the </w:t>
      </w:r>
      <w:r w:rsidR="0051572D" w:rsidRPr="007C4AF6">
        <w:rPr>
          <w:rFonts w:ascii="Arial" w:hAnsi="Arial" w:cs="Arial"/>
          <w:sz w:val="24"/>
          <w:szCs w:val="24"/>
          <w:lang w:val="en-US"/>
        </w:rPr>
        <w:t>LPC was already due for hearing on 2 November 2023, on 27 October 2023 the separated audit reports</w:t>
      </w:r>
      <w:r w:rsidR="0021173B" w:rsidRPr="007C4AF6">
        <w:rPr>
          <w:rStyle w:val="FootnoteReference"/>
          <w:rFonts w:ascii="Arial" w:hAnsi="Arial" w:cs="Arial"/>
          <w:sz w:val="24"/>
          <w:szCs w:val="24"/>
          <w:lang w:val="en-US"/>
        </w:rPr>
        <w:footnoteReference w:id="2"/>
      </w:r>
      <w:r w:rsidR="0051572D" w:rsidRPr="007C4AF6">
        <w:rPr>
          <w:rFonts w:ascii="Arial" w:hAnsi="Arial" w:cs="Arial"/>
          <w:sz w:val="24"/>
          <w:szCs w:val="24"/>
          <w:lang w:val="en-US"/>
        </w:rPr>
        <w:t xml:space="preserve"> in respect of both De Lange Attorneys and Matsepes</w:t>
      </w:r>
      <w:r w:rsidR="0021173B" w:rsidRPr="007C4AF6">
        <w:rPr>
          <w:rFonts w:ascii="Arial" w:hAnsi="Arial" w:cs="Arial"/>
          <w:sz w:val="24"/>
          <w:szCs w:val="24"/>
          <w:lang w:val="en-US"/>
        </w:rPr>
        <w:t xml:space="preserve"> Inc. </w:t>
      </w:r>
      <w:r w:rsidR="00F12F71" w:rsidRPr="007C4AF6">
        <w:rPr>
          <w:rFonts w:ascii="Arial" w:hAnsi="Arial" w:cs="Arial"/>
          <w:sz w:val="24"/>
          <w:szCs w:val="24"/>
          <w:lang w:val="en-US"/>
        </w:rPr>
        <w:t>we</w:t>
      </w:r>
      <w:r w:rsidR="0021173B" w:rsidRPr="007C4AF6">
        <w:rPr>
          <w:rFonts w:ascii="Arial" w:hAnsi="Arial" w:cs="Arial"/>
          <w:sz w:val="24"/>
          <w:szCs w:val="24"/>
          <w:lang w:val="en-US"/>
        </w:rPr>
        <w:t>re</w:t>
      </w:r>
      <w:r w:rsidR="0051572D" w:rsidRPr="007C4AF6">
        <w:rPr>
          <w:rFonts w:ascii="Arial" w:hAnsi="Arial" w:cs="Arial"/>
          <w:sz w:val="24"/>
          <w:szCs w:val="24"/>
          <w:lang w:val="en-US"/>
        </w:rPr>
        <w:t xml:space="preserve"> issued by the Newtons auditors.</w:t>
      </w:r>
    </w:p>
    <w:p w:rsidR="0007156A" w:rsidRPr="007C4AF6" w:rsidRDefault="0007156A" w:rsidP="007C4AF6">
      <w:pPr>
        <w:spacing w:after="0" w:line="360" w:lineRule="auto"/>
        <w:ind w:left="720" w:hanging="720"/>
        <w:jc w:val="both"/>
        <w:rPr>
          <w:rFonts w:ascii="Arial" w:hAnsi="Arial" w:cs="Arial"/>
          <w:sz w:val="24"/>
          <w:szCs w:val="24"/>
          <w:lang w:val="en-US"/>
        </w:rPr>
      </w:pPr>
    </w:p>
    <w:p w:rsidR="0098526B" w:rsidRPr="007C4AF6" w:rsidRDefault="0053713E"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[13]</w:t>
      </w:r>
      <w:r w:rsidRPr="007C4AF6">
        <w:rPr>
          <w:rFonts w:ascii="Arial" w:hAnsi="Arial" w:cs="Arial"/>
          <w:sz w:val="24"/>
          <w:szCs w:val="24"/>
          <w:lang w:val="en-US"/>
        </w:rPr>
        <w:tab/>
      </w:r>
      <w:r w:rsidR="000F7E5A" w:rsidRPr="007C4AF6">
        <w:rPr>
          <w:rFonts w:ascii="Arial" w:hAnsi="Arial" w:cs="Arial"/>
          <w:sz w:val="24"/>
          <w:szCs w:val="24"/>
          <w:lang w:val="en-US"/>
        </w:rPr>
        <w:t>These</w:t>
      </w:r>
      <w:r w:rsidR="0051572D" w:rsidRPr="007C4AF6">
        <w:rPr>
          <w:rFonts w:ascii="Arial" w:hAnsi="Arial" w:cs="Arial"/>
          <w:sz w:val="24"/>
          <w:szCs w:val="24"/>
          <w:lang w:val="en-US"/>
        </w:rPr>
        <w:t xml:space="preserve"> report</w:t>
      </w:r>
      <w:r w:rsidR="000F7E5A" w:rsidRPr="007C4AF6">
        <w:rPr>
          <w:rFonts w:ascii="Arial" w:hAnsi="Arial" w:cs="Arial"/>
          <w:sz w:val="24"/>
          <w:szCs w:val="24"/>
          <w:lang w:val="en-US"/>
        </w:rPr>
        <w:t>s</w:t>
      </w:r>
      <w:r w:rsidR="0021173B" w:rsidRPr="007C4AF6">
        <w:rPr>
          <w:rFonts w:ascii="Arial" w:hAnsi="Arial" w:cs="Arial"/>
          <w:sz w:val="24"/>
          <w:szCs w:val="24"/>
          <w:lang w:val="en-US"/>
        </w:rPr>
        <w:t xml:space="preserve"> </w:t>
      </w:r>
      <w:r w:rsidR="000F7E5A" w:rsidRPr="007C4AF6">
        <w:rPr>
          <w:rFonts w:ascii="Arial" w:hAnsi="Arial" w:cs="Arial"/>
          <w:sz w:val="24"/>
          <w:szCs w:val="24"/>
          <w:lang w:val="en-US"/>
        </w:rPr>
        <w:t>were</w:t>
      </w:r>
      <w:r w:rsidR="0051572D" w:rsidRPr="007C4AF6">
        <w:rPr>
          <w:rFonts w:ascii="Arial" w:hAnsi="Arial" w:cs="Arial"/>
          <w:sz w:val="24"/>
          <w:szCs w:val="24"/>
          <w:lang w:val="en-US"/>
        </w:rPr>
        <w:t xml:space="preserve"> qualified </w:t>
      </w:r>
      <w:r w:rsidR="000F7E5A" w:rsidRPr="007C4AF6">
        <w:rPr>
          <w:rFonts w:ascii="Arial" w:hAnsi="Arial" w:cs="Arial"/>
          <w:sz w:val="24"/>
          <w:szCs w:val="24"/>
          <w:lang w:val="en-US"/>
        </w:rPr>
        <w:t>in that the legal practitioners trust accounts were not maintained in compliance with the Act and the Rules</w:t>
      </w:r>
      <w:r w:rsidR="001B0029" w:rsidRPr="007C4AF6">
        <w:rPr>
          <w:rStyle w:val="FootnoteReference"/>
          <w:rFonts w:ascii="Arial" w:hAnsi="Arial" w:cs="Arial"/>
          <w:sz w:val="24"/>
          <w:szCs w:val="24"/>
          <w:lang w:val="en-US"/>
        </w:rPr>
        <w:footnoteReference w:id="3"/>
      </w:r>
      <w:r w:rsidR="008E7FA6" w:rsidRPr="007C4AF6">
        <w:rPr>
          <w:rFonts w:ascii="Arial" w:hAnsi="Arial" w:cs="Arial"/>
          <w:sz w:val="24"/>
          <w:szCs w:val="24"/>
          <w:lang w:val="en-US"/>
        </w:rPr>
        <w:t xml:space="preserve"> </w:t>
      </w:r>
      <w:r w:rsidR="0051572D" w:rsidRPr="007C4AF6">
        <w:rPr>
          <w:rFonts w:ascii="Arial" w:hAnsi="Arial" w:cs="Arial"/>
          <w:sz w:val="24"/>
          <w:szCs w:val="24"/>
          <w:lang w:val="en-US"/>
        </w:rPr>
        <w:t>on the following basis:</w:t>
      </w:r>
    </w:p>
    <w:p w:rsidR="0007156A" w:rsidRPr="007C4AF6" w:rsidRDefault="0007156A" w:rsidP="007C4AF6">
      <w:pPr>
        <w:spacing w:after="0" w:line="360" w:lineRule="auto"/>
        <w:ind w:left="720" w:hanging="720"/>
        <w:jc w:val="both"/>
        <w:rPr>
          <w:rFonts w:ascii="Arial" w:hAnsi="Arial" w:cs="Arial"/>
          <w:sz w:val="24"/>
          <w:szCs w:val="24"/>
          <w:lang w:val="en-US"/>
        </w:rPr>
      </w:pPr>
    </w:p>
    <w:p w:rsidR="000F7E5A" w:rsidRPr="007C4AF6" w:rsidRDefault="001308F8" w:rsidP="007C4AF6">
      <w:pPr>
        <w:spacing w:after="0" w:line="360" w:lineRule="auto"/>
        <w:ind w:firstLine="720"/>
        <w:jc w:val="both"/>
        <w:rPr>
          <w:rFonts w:ascii="Arial" w:hAnsi="Arial" w:cs="Arial"/>
          <w:sz w:val="24"/>
          <w:szCs w:val="24"/>
          <w:lang w:val="en-US"/>
        </w:rPr>
      </w:pPr>
      <w:r w:rsidRPr="007C4AF6">
        <w:rPr>
          <w:rFonts w:ascii="Arial" w:hAnsi="Arial" w:cs="Arial"/>
          <w:sz w:val="24"/>
          <w:szCs w:val="24"/>
          <w:lang w:val="en-US"/>
        </w:rPr>
        <w:t>13.1</w:t>
      </w:r>
      <w:r w:rsidRPr="007C4AF6">
        <w:rPr>
          <w:rFonts w:ascii="Arial" w:hAnsi="Arial" w:cs="Arial"/>
          <w:sz w:val="24"/>
          <w:szCs w:val="24"/>
          <w:lang w:val="en-US"/>
        </w:rPr>
        <w:tab/>
      </w:r>
      <w:r w:rsidR="000F7E5A" w:rsidRPr="007C4AF6">
        <w:rPr>
          <w:rFonts w:ascii="Arial" w:hAnsi="Arial" w:cs="Arial"/>
          <w:sz w:val="24"/>
          <w:szCs w:val="24"/>
          <w:lang w:val="en-US"/>
        </w:rPr>
        <w:t>De Lange</w:t>
      </w:r>
      <w:r w:rsidR="001B0029" w:rsidRPr="007C4AF6">
        <w:rPr>
          <w:rFonts w:ascii="Arial" w:hAnsi="Arial" w:cs="Arial"/>
          <w:sz w:val="24"/>
          <w:szCs w:val="24"/>
          <w:lang w:val="en-US"/>
        </w:rPr>
        <w:t xml:space="preserve"> Attorneys</w:t>
      </w:r>
      <w:r w:rsidR="000F7E5A" w:rsidRPr="007C4AF6">
        <w:rPr>
          <w:rFonts w:ascii="Arial" w:hAnsi="Arial" w:cs="Arial"/>
          <w:sz w:val="24"/>
          <w:szCs w:val="24"/>
          <w:lang w:val="en-US"/>
        </w:rPr>
        <w:t xml:space="preserve"> audit report:</w:t>
      </w:r>
    </w:p>
    <w:p w:rsidR="0007156A" w:rsidRPr="007C4AF6" w:rsidRDefault="0007156A" w:rsidP="007C4AF6">
      <w:pPr>
        <w:spacing w:after="0" w:line="360" w:lineRule="auto"/>
        <w:jc w:val="both"/>
        <w:rPr>
          <w:rFonts w:ascii="Arial" w:hAnsi="Arial" w:cs="Arial"/>
          <w:sz w:val="24"/>
          <w:szCs w:val="24"/>
          <w:lang w:val="en-US"/>
        </w:rPr>
      </w:pPr>
    </w:p>
    <w:p w:rsidR="008E7FA6" w:rsidRPr="007C4AF6" w:rsidRDefault="001308F8"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13.1.1</w:t>
      </w:r>
      <w:r w:rsidRPr="007C4AF6">
        <w:rPr>
          <w:rFonts w:ascii="Arial" w:hAnsi="Arial" w:cs="Arial"/>
          <w:sz w:val="24"/>
          <w:szCs w:val="24"/>
          <w:lang w:val="en-US"/>
        </w:rPr>
        <w:tab/>
      </w:r>
      <w:r w:rsidR="008E7FA6" w:rsidRPr="007C4AF6">
        <w:rPr>
          <w:rFonts w:ascii="Arial" w:hAnsi="Arial" w:cs="Arial"/>
          <w:sz w:val="24"/>
          <w:szCs w:val="24"/>
          <w:lang w:val="en-US"/>
        </w:rPr>
        <w:t>As instructed by the LPC in J</w:t>
      </w:r>
      <w:r w:rsidRPr="007C4AF6">
        <w:rPr>
          <w:rFonts w:ascii="Arial" w:hAnsi="Arial" w:cs="Arial"/>
          <w:sz w:val="24"/>
          <w:szCs w:val="24"/>
          <w:lang w:val="en-US"/>
        </w:rPr>
        <w:t xml:space="preserve">uly 2023 they commenced posting the </w:t>
      </w:r>
      <w:r w:rsidR="008E7FA6" w:rsidRPr="007C4AF6">
        <w:rPr>
          <w:rFonts w:ascii="Arial" w:hAnsi="Arial" w:cs="Arial"/>
          <w:sz w:val="24"/>
          <w:szCs w:val="24"/>
          <w:lang w:val="en-US"/>
        </w:rPr>
        <w:t>accounting records as a separate entity as from 01 March 2021.</w:t>
      </w:r>
    </w:p>
    <w:p w:rsidR="0007156A" w:rsidRPr="007C4AF6" w:rsidRDefault="0007156A" w:rsidP="007C4AF6">
      <w:pPr>
        <w:spacing w:after="0" w:line="360" w:lineRule="auto"/>
        <w:ind w:left="2552" w:hanging="1134"/>
        <w:jc w:val="both"/>
        <w:rPr>
          <w:rFonts w:ascii="Arial" w:hAnsi="Arial" w:cs="Arial"/>
          <w:sz w:val="24"/>
          <w:szCs w:val="24"/>
          <w:lang w:val="en-US"/>
        </w:rPr>
      </w:pPr>
    </w:p>
    <w:p w:rsidR="008E7FA6" w:rsidRPr="007C4AF6" w:rsidRDefault="001308F8"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 xml:space="preserve">13.1.2 </w:t>
      </w:r>
      <w:r w:rsidRPr="007C4AF6">
        <w:rPr>
          <w:rFonts w:ascii="Arial" w:hAnsi="Arial" w:cs="Arial"/>
          <w:sz w:val="24"/>
          <w:szCs w:val="24"/>
          <w:lang w:val="en-US"/>
        </w:rPr>
        <w:tab/>
      </w:r>
      <w:r w:rsidR="008E7FA6" w:rsidRPr="007C4AF6">
        <w:rPr>
          <w:rFonts w:ascii="Arial" w:hAnsi="Arial" w:cs="Arial"/>
          <w:sz w:val="24"/>
          <w:szCs w:val="24"/>
          <w:lang w:val="en-US"/>
        </w:rPr>
        <w:t xml:space="preserve">The firm did not ensure that </w:t>
      </w:r>
      <w:r w:rsidR="0098526B" w:rsidRPr="007C4AF6">
        <w:rPr>
          <w:rFonts w:ascii="Arial" w:hAnsi="Arial" w:cs="Arial"/>
          <w:sz w:val="24"/>
          <w:szCs w:val="24"/>
          <w:lang w:val="en-US"/>
        </w:rPr>
        <w:t xml:space="preserve">adequate internal controls were </w:t>
      </w:r>
      <w:r w:rsidR="008E7FA6" w:rsidRPr="007C4AF6">
        <w:rPr>
          <w:rFonts w:ascii="Arial" w:hAnsi="Arial" w:cs="Arial"/>
          <w:sz w:val="24"/>
          <w:szCs w:val="24"/>
          <w:lang w:val="en-US"/>
        </w:rPr>
        <w:t xml:space="preserve">implemented to </w:t>
      </w:r>
      <w:r w:rsidR="0098526B" w:rsidRPr="007C4AF6">
        <w:rPr>
          <w:rFonts w:ascii="Arial" w:hAnsi="Arial" w:cs="Arial"/>
          <w:sz w:val="24"/>
          <w:szCs w:val="24"/>
          <w:lang w:val="en-US"/>
        </w:rPr>
        <w:t xml:space="preserve">  </w:t>
      </w:r>
      <w:r w:rsidR="008E7FA6" w:rsidRPr="007C4AF6">
        <w:rPr>
          <w:rFonts w:ascii="Arial" w:hAnsi="Arial" w:cs="Arial"/>
          <w:sz w:val="24"/>
          <w:szCs w:val="24"/>
          <w:lang w:val="en-US"/>
        </w:rPr>
        <w:t>ensure compl</w:t>
      </w:r>
      <w:r w:rsidR="0098526B" w:rsidRPr="007C4AF6">
        <w:rPr>
          <w:rFonts w:ascii="Arial" w:hAnsi="Arial" w:cs="Arial"/>
          <w:sz w:val="24"/>
          <w:szCs w:val="24"/>
          <w:lang w:val="en-US"/>
        </w:rPr>
        <w:t xml:space="preserve">iance with the rules due to the </w:t>
      </w:r>
      <w:r w:rsidR="008E7FA6" w:rsidRPr="007C4AF6">
        <w:rPr>
          <w:rFonts w:ascii="Arial" w:hAnsi="Arial" w:cs="Arial"/>
          <w:sz w:val="24"/>
          <w:szCs w:val="24"/>
          <w:lang w:val="en-US"/>
        </w:rPr>
        <w:t>fact that all the transac</w:t>
      </w:r>
      <w:r w:rsidR="008F2362" w:rsidRPr="007C4AF6">
        <w:rPr>
          <w:rFonts w:ascii="Arial" w:hAnsi="Arial" w:cs="Arial"/>
          <w:sz w:val="24"/>
          <w:szCs w:val="24"/>
          <w:lang w:val="en-US"/>
        </w:rPr>
        <w:t xml:space="preserve">tion were included in Matsepe </w:t>
      </w:r>
      <w:r w:rsidR="008E7FA6" w:rsidRPr="007C4AF6">
        <w:rPr>
          <w:rFonts w:ascii="Arial" w:hAnsi="Arial" w:cs="Arial"/>
          <w:sz w:val="24"/>
          <w:szCs w:val="24"/>
          <w:lang w:val="en-US"/>
        </w:rPr>
        <w:t>Inc</w:t>
      </w:r>
      <w:r w:rsidR="001D4643" w:rsidRPr="007C4AF6">
        <w:rPr>
          <w:rFonts w:ascii="Arial" w:hAnsi="Arial" w:cs="Arial"/>
          <w:sz w:val="24"/>
          <w:szCs w:val="24"/>
          <w:lang w:val="en-US"/>
        </w:rPr>
        <w:t>.</w:t>
      </w:r>
      <w:r w:rsidR="008E7FA6" w:rsidRPr="007C4AF6">
        <w:rPr>
          <w:rFonts w:ascii="Arial" w:hAnsi="Arial" w:cs="Arial"/>
          <w:sz w:val="24"/>
          <w:szCs w:val="24"/>
          <w:lang w:val="en-US"/>
        </w:rPr>
        <w:t xml:space="preserve"> and only separately accounted</w:t>
      </w:r>
      <w:r w:rsidR="001D4643" w:rsidRPr="007C4AF6">
        <w:rPr>
          <w:rFonts w:ascii="Arial" w:hAnsi="Arial" w:cs="Arial"/>
          <w:sz w:val="24"/>
          <w:szCs w:val="24"/>
          <w:lang w:val="en-US"/>
        </w:rPr>
        <w:t xml:space="preserve"> for after the LPC instructions.</w:t>
      </w:r>
    </w:p>
    <w:p w:rsidR="0007156A" w:rsidRPr="007C4AF6" w:rsidRDefault="0007156A" w:rsidP="007C4AF6">
      <w:pPr>
        <w:spacing w:after="0" w:line="360" w:lineRule="auto"/>
        <w:ind w:left="2552" w:hanging="1134"/>
        <w:jc w:val="both"/>
        <w:rPr>
          <w:rFonts w:ascii="Arial" w:hAnsi="Arial" w:cs="Arial"/>
          <w:sz w:val="24"/>
          <w:szCs w:val="24"/>
          <w:lang w:val="en-US"/>
        </w:rPr>
      </w:pPr>
    </w:p>
    <w:p w:rsidR="007C4260" w:rsidRDefault="001308F8"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 xml:space="preserve">13.1.3 </w:t>
      </w:r>
      <w:r w:rsidRPr="007C4AF6">
        <w:rPr>
          <w:rFonts w:ascii="Arial" w:hAnsi="Arial" w:cs="Arial"/>
          <w:sz w:val="24"/>
          <w:szCs w:val="24"/>
          <w:lang w:val="en-US"/>
        </w:rPr>
        <w:tab/>
      </w:r>
      <w:r w:rsidR="001D4643" w:rsidRPr="007C4AF6">
        <w:rPr>
          <w:rFonts w:ascii="Arial" w:hAnsi="Arial" w:cs="Arial"/>
          <w:sz w:val="24"/>
          <w:szCs w:val="24"/>
          <w:lang w:val="en-US"/>
        </w:rPr>
        <w:t>During the period 01 March 2021 to 28 February 2023, a negative difference of R61 592,</w:t>
      </w:r>
      <w:r w:rsidR="001B0029" w:rsidRPr="007C4AF6">
        <w:rPr>
          <w:rFonts w:ascii="Arial" w:hAnsi="Arial" w:cs="Arial"/>
          <w:sz w:val="24"/>
          <w:szCs w:val="24"/>
          <w:lang w:val="en-US"/>
        </w:rPr>
        <w:t xml:space="preserve"> </w:t>
      </w:r>
      <w:r w:rsidR="001D4643" w:rsidRPr="007C4AF6">
        <w:rPr>
          <w:rFonts w:ascii="Arial" w:hAnsi="Arial" w:cs="Arial"/>
          <w:sz w:val="24"/>
          <w:szCs w:val="24"/>
          <w:lang w:val="en-US"/>
        </w:rPr>
        <w:t xml:space="preserve">97 between the bank </w:t>
      </w:r>
    </w:p>
    <w:p w:rsidR="001D4643" w:rsidRPr="007C4AF6" w:rsidRDefault="001D4643" w:rsidP="007C4260">
      <w:pPr>
        <w:spacing w:after="0" w:line="360" w:lineRule="auto"/>
        <w:ind w:left="2552"/>
        <w:jc w:val="both"/>
        <w:rPr>
          <w:rFonts w:ascii="Arial" w:hAnsi="Arial" w:cs="Arial"/>
          <w:sz w:val="24"/>
          <w:szCs w:val="24"/>
          <w:lang w:val="en-US"/>
        </w:rPr>
      </w:pPr>
      <w:r w:rsidRPr="007C4AF6">
        <w:rPr>
          <w:rFonts w:ascii="Arial" w:hAnsi="Arial" w:cs="Arial"/>
          <w:sz w:val="24"/>
          <w:szCs w:val="24"/>
          <w:lang w:val="en-US"/>
        </w:rPr>
        <w:lastRenderedPageBreak/>
        <w:t>balances and the accounting records occurred. The amount of R89 288,</w:t>
      </w:r>
      <w:r w:rsidR="001B0029" w:rsidRPr="007C4AF6">
        <w:rPr>
          <w:rFonts w:ascii="Arial" w:hAnsi="Arial" w:cs="Arial"/>
          <w:sz w:val="24"/>
          <w:szCs w:val="24"/>
          <w:lang w:val="en-US"/>
        </w:rPr>
        <w:t xml:space="preserve"> </w:t>
      </w:r>
      <w:r w:rsidR="008F2362" w:rsidRPr="007C4AF6">
        <w:rPr>
          <w:rFonts w:ascii="Arial" w:hAnsi="Arial" w:cs="Arial"/>
          <w:sz w:val="24"/>
          <w:szCs w:val="24"/>
          <w:lang w:val="en-US"/>
        </w:rPr>
        <w:t>56 was paid on</w:t>
      </w:r>
      <w:r w:rsidRPr="007C4AF6">
        <w:rPr>
          <w:rFonts w:ascii="Arial" w:hAnsi="Arial" w:cs="Arial"/>
          <w:sz w:val="24"/>
          <w:szCs w:val="24"/>
          <w:lang w:val="en-US"/>
        </w:rPr>
        <w:t xml:space="preserve"> 30 August 2023 to correct the trust shortage. This amount was paid on the advice of their bookkeeper as soon as the possibility of a discrepancy was identified.</w:t>
      </w:r>
    </w:p>
    <w:p w:rsidR="0007156A" w:rsidRPr="007C4AF6" w:rsidRDefault="0007156A" w:rsidP="007C4AF6">
      <w:pPr>
        <w:spacing w:after="0" w:line="360" w:lineRule="auto"/>
        <w:ind w:left="2552" w:hanging="1134"/>
        <w:jc w:val="both"/>
        <w:rPr>
          <w:rFonts w:ascii="Arial" w:hAnsi="Arial" w:cs="Arial"/>
          <w:sz w:val="24"/>
          <w:szCs w:val="24"/>
          <w:lang w:val="en-US"/>
        </w:rPr>
      </w:pPr>
    </w:p>
    <w:p w:rsidR="00C438BD" w:rsidRPr="007C4AF6" w:rsidRDefault="001308F8"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 xml:space="preserve">13.1.4 </w:t>
      </w:r>
      <w:r w:rsidRPr="007C4AF6">
        <w:rPr>
          <w:rFonts w:ascii="Arial" w:hAnsi="Arial" w:cs="Arial"/>
          <w:sz w:val="24"/>
          <w:szCs w:val="24"/>
          <w:lang w:val="en-US"/>
        </w:rPr>
        <w:tab/>
      </w:r>
      <w:r w:rsidR="00C438BD" w:rsidRPr="007C4AF6">
        <w:rPr>
          <w:rFonts w:ascii="Arial" w:hAnsi="Arial" w:cs="Arial"/>
          <w:sz w:val="24"/>
          <w:szCs w:val="24"/>
          <w:lang w:val="en-US"/>
        </w:rPr>
        <w:t xml:space="preserve">Due to combining of the accounting records amounts were </w:t>
      </w:r>
      <w:r w:rsidR="00C903EC" w:rsidRPr="007C4AF6">
        <w:rPr>
          <w:rFonts w:ascii="Arial" w:hAnsi="Arial" w:cs="Arial"/>
          <w:sz w:val="24"/>
          <w:szCs w:val="24"/>
          <w:lang w:val="en-US"/>
        </w:rPr>
        <w:t>r</w:t>
      </w:r>
      <w:r w:rsidR="00C438BD" w:rsidRPr="007C4AF6">
        <w:rPr>
          <w:rFonts w:ascii="Arial" w:hAnsi="Arial" w:cs="Arial"/>
          <w:sz w:val="24"/>
          <w:szCs w:val="24"/>
          <w:lang w:val="en-US"/>
        </w:rPr>
        <w:t>ec</w:t>
      </w:r>
      <w:r w:rsidR="008F2362" w:rsidRPr="007C4AF6">
        <w:rPr>
          <w:rFonts w:ascii="Arial" w:hAnsi="Arial" w:cs="Arial"/>
          <w:sz w:val="24"/>
          <w:szCs w:val="24"/>
          <w:lang w:val="en-US"/>
        </w:rPr>
        <w:t>eived in Matsepes</w:t>
      </w:r>
      <w:r w:rsidR="00C438BD" w:rsidRPr="007C4AF6">
        <w:rPr>
          <w:rFonts w:ascii="Arial" w:hAnsi="Arial" w:cs="Arial"/>
          <w:sz w:val="24"/>
          <w:szCs w:val="24"/>
          <w:lang w:val="en-US"/>
        </w:rPr>
        <w:t xml:space="preserve"> Inc. and transfers of fees were transferred from De Lange Attorneys Standard Bank which resulted in a difference between the actual Standard Bank account records of R61 592,97.</w:t>
      </w:r>
    </w:p>
    <w:p w:rsidR="0007156A" w:rsidRPr="007C4AF6" w:rsidRDefault="0007156A" w:rsidP="007C4AF6">
      <w:pPr>
        <w:spacing w:after="0" w:line="360" w:lineRule="auto"/>
        <w:ind w:left="2552" w:hanging="1134"/>
        <w:jc w:val="both"/>
        <w:rPr>
          <w:rFonts w:ascii="Arial" w:hAnsi="Arial" w:cs="Arial"/>
          <w:sz w:val="24"/>
          <w:szCs w:val="24"/>
          <w:lang w:val="en-US"/>
        </w:rPr>
      </w:pPr>
    </w:p>
    <w:p w:rsidR="00C438BD" w:rsidRPr="007C4AF6" w:rsidRDefault="004A08CD"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13.1.5</w:t>
      </w:r>
      <w:r w:rsidR="001308F8" w:rsidRPr="007C4AF6">
        <w:rPr>
          <w:rFonts w:ascii="Arial" w:hAnsi="Arial" w:cs="Arial"/>
          <w:sz w:val="24"/>
          <w:szCs w:val="24"/>
          <w:lang w:val="en-US"/>
        </w:rPr>
        <w:tab/>
      </w:r>
      <w:r w:rsidR="00C438BD" w:rsidRPr="007C4AF6">
        <w:rPr>
          <w:rFonts w:ascii="Arial" w:hAnsi="Arial" w:cs="Arial"/>
          <w:sz w:val="24"/>
          <w:szCs w:val="24"/>
          <w:lang w:val="en-US"/>
        </w:rPr>
        <w:t>The audit was not finalized within 6 months after the annual closing of the accounting records for the financial year ended</w:t>
      </w:r>
      <w:r w:rsidR="001B0029" w:rsidRPr="007C4AF6">
        <w:rPr>
          <w:rFonts w:ascii="Arial" w:hAnsi="Arial" w:cs="Arial"/>
          <w:sz w:val="24"/>
          <w:szCs w:val="24"/>
          <w:lang w:val="en-US"/>
        </w:rPr>
        <w:t xml:space="preserve"> in September 2022.</w:t>
      </w:r>
    </w:p>
    <w:p w:rsidR="001D4643" w:rsidRPr="007C4AF6" w:rsidRDefault="001D4643" w:rsidP="007C4AF6">
      <w:pPr>
        <w:spacing w:after="0" w:line="360" w:lineRule="auto"/>
        <w:ind w:firstLine="720"/>
        <w:jc w:val="both"/>
        <w:rPr>
          <w:rFonts w:ascii="Arial" w:hAnsi="Arial" w:cs="Arial"/>
          <w:sz w:val="24"/>
          <w:szCs w:val="24"/>
          <w:lang w:val="en-US"/>
        </w:rPr>
      </w:pPr>
    </w:p>
    <w:p w:rsidR="000F7E5A" w:rsidRPr="007C4AF6" w:rsidRDefault="001308F8" w:rsidP="007C4AF6">
      <w:pPr>
        <w:spacing w:after="0" w:line="360" w:lineRule="auto"/>
        <w:ind w:left="1418" w:hanging="709"/>
        <w:jc w:val="both"/>
        <w:rPr>
          <w:rFonts w:ascii="Arial" w:hAnsi="Arial" w:cs="Arial"/>
          <w:sz w:val="24"/>
          <w:szCs w:val="24"/>
          <w:lang w:val="en-US"/>
        </w:rPr>
      </w:pPr>
      <w:r w:rsidRPr="007C4AF6">
        <w:rPr>
          <w:rFonts w:ascii="Arial" w:hAnsi="Arial" w:cs="Arial"/>
          <w:sz w:val="24"/>
          <w:szCs w:val="24"/>
          <w:lang w:val="en-US"/>
        </w:rPr>
        <w:t>13.2</w:t>
      </w:r>
      <w:r w:rsidRPr="007C4AF6">
        <w:rPr>
          <w:rFonts w:ascii="Arial" w:hAnsi="Arial" w:cs="Arial"/>
          <w:sz w:val="24"/>
          <w:szCs w:val="24"/>
          <w:lang w:val="en-US"/>
        </w:rPr>
        <w:tab/>
      </w:r>
      <w:r w:rsidR="003D73B5" w:rsidRPr="007C4AF6">
        <w:rPr>
          <w:rFonts w:ascii="Arial" w:hAnsi="Arial" w:cs="Arial"/>
          <w:sz w:val="24"/>
          <w:szCs w:val="24"/>
          <w:lang w:val="en-US"/>
        </w:rPr>
        <w:t>M</w:t>
      </w:r>
      <w:r w:rsidR="000F7E5A" w:rsidRPr="007C4AF6">
        <w:rPr>
          <w:rFonts w:ascii="Arial" w:hAnsi="Arial" w:cs="Arial"/>
          <w:sz w:val="24"/>
          <w:szCs w:val="24"/>
          <w:lang w:val="en-US"/>
        </w:rPr>
        <w:t>atsepes Inc. audit report:</w:t>
      </w:r>
    </w:p>
    <w:p w:rsidR="0007156A" w:rsidRPr="007C4AF6" w:rsidRDefault="0007156A" w:rsidP="007C4AF6">
      <w:pPr>
        <w:spacing w:after="0" w:line="360" w:lineRule="auto"/>
        <w:jc w:val="both"/>
        <w:rPr>
          <w:rFonts w:ascii="Arial" w:hAnsi="Arial" w:cs="Arial"/>
          <w:sz w:val="24"/>
          <w:szCs w:val="24"/>
          <w:lang w:val="en-US"/>
        </w:rPr>
      </w:pPr>
    </w:p>
    <w:p w:rsidR="0051572D" w:rsidRPr="007C4AF6" w:rsidRDefault="003D73B5"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13.2.1</w:t>
      </w:r>
      <w:r w:rsidR="001308F8" w:rsidRPr="007C4AF6">
        <w:rPr>
          <w:rFonts w:ascii="Arial" w:hAnsi="Arial" w:cs="Arial"/>
          <w:sz w:val="24"/>
          <w:szCs w:val="24"/>
          <w:lang w:val="en-US"/>
        </w:rPr>
        <w:t xml:space="preserve"> </w:t>
      </w:r>
      <w:r w:rsidR="0053713E" w:rsidRPr="007C4AF6">
        <w:rPr>
          <w:rFonts w:ascii="Arial" w:hAnsi="Arial" w:cs="Arial"/>
          <w:sz w:val="24"/>
          <w:szCs w:val="24"/>
          <w:lang w:val="en-US"/>
        </w:rPr>
        <w:tab/>
      </w:r>
      <w:r w:rsidR="0051572D" w:rsidRPr="007C4AF6">
        <w:rPr>
          <w:rFonts w:ascii="Arial" w:hAnsi="Arial" w:cs="Arial"/>
          <w:sz w:val="24"/>
          <w:szCs w:val="24"/>
          <w:lang w:val="en-US"/>
        </w:rPr>
        <w:t>Matsepes Inc. on</w:t>
      </w:r>
      <w:r w:rsidR="0053713E" w:rsidRPr="007C4AF6">
        <w:rPr>
          <w:rFonts w:ascii="Arial" w:hAnsi="Arial" w:cs="Arial"/>
          <w:sz w:val="24"/>
          <w:szCs w:val="24"/>
          <w:lang w:val="en-US"/>
        </w:rPr>
        <w:t>ly started maintaining separate</w:t>
      </w:r>
      <w:r w:rsidR="002D2B02" w:rsidRPr="007C4AF6">
        <w:rPr>
          <w:rFonts w:ascii="Arial" w:hAnsi="Arial" w:cs="Arial"/>
          <w:sz w:val="24"/>
          <w:szCs w:val="24"/>
          <w:lang w:val="en-US"/>
        </w:rPr>
        <w:t xml:space="preserve"> </w:t>
      </w:r>
      <w:r w:rsidR="0053713E" w:rsidRPr="007C4AF6">
        <w:rPr>
          <w:rFonts w:ascii="Arial" w:hAnsi="Arial" w:cs="Arial"/>
          <w:sz w:val="24"/>
          <w:szCs w:val="24"/>
          <w:lang w:val="en-US"/>
        </w:rPr>
        <w:t xml:space="preserve">accounting </w:t>
      </w:r>
      <w:r w:rsidR="0051572D" w:rsidRPr="007C4AF6">
        <w:rPr>
          <w:rFonts w:ascii="Arial" w:hAnsi="Arial" w:cs="Arial"/>
          <w:sz w:val="24"/>
          <w:szCs w:val="24"/>
          <w:lang w:val="en-US"/>
        </w:rPr>
        <w:t xml:space="preserve">records from September 2023, before this date </w:t>
      </w:r>
      <w:r w:rsidR="002D45F8" w:rsidRPr="007C4AF6">
        <w:rPr>
          <w:rFonts w:ascii="Arial" w:hAnsi="Arial" w:cs="Arial"/>
          <w:sz w:val="24"/>
          <w:szCs w:val="24"/>
          <w:lang w:val="en-US"/>
        </w:rPr>
        <w:t>the ABSA</w:t>
      </w:r>
      <w:r w:rsidR="0051572D" w:rsidRPr="007C4AF6">
        <w:rPr>
          <w:rFonts w:ascii="Arial" w:hAnsi="Arial" w:cs="Arial"/>
          <w:sz w:val="24"/>
          <w:szCs w:val="24"/>
          <w:lang w:val="en-US"/>
        </w:rPr>
        <w:t xml:space="preserve"> </w:t>
      </w:r>
      <w:r w:rsidR="0053713E" w:rsidRPr="007C4AF6">
        <w:rPr>
          <w:rFonts w:ascii="Arial" w:hAnsi="Arial" w:cs="Arial"/>
          <w:sz w:val="24"/>
          <w:szCs w:val="24"/>
          <w:lang w:val="en-US"/>
        </w:rPr>
        <w:t xml:space="preserve">Bank was </w:t>
      </w:r>
      <w:r w:rsidR="0051572D" w:rsidRPr="007C4AF6">
        <w:rPr>
          <w:rFonts w:ascii="Arial" w:hAnsi="Arial" w:cs="Arial"/>
          <w:sz w:val="24"/>
          <w:szCs w:val="24"/>
          <w:lang w:val="en-US"/>
        </w:rPr>
        <w:t>accounted for in M</w:t>
      </w:r>
      <w:r w:rsidR="002D45F8" w:rsidRPr="007C4AF6">
        <w:rPr>
          <w:rFonts w:ascii="Arial" w:hAnsi="Arial" w:cs="Arial"/>
          <w:sz w:val="24"/>
          <w:szCs w:val="24"/>
          <w:lang w:val="en-US"/>
        </w:rPr>
        <w:t>a</w:t>
      </w:r>
      <w:r w:rsidR="0051572D" w:rsidRPr="007C4AF6">
        <w:rPr>
          <w:rFonts w:ascii="Arial" w:hAnsi="Arial" w:cs="Arial"/>
          <w:sz w:val="24"/>
          <w:szCs w:val="24"/>
          <w:lang w:val="en-US"/>
        </w:rPr>
        <w:t>tsepe Inc. and no accounting records were maintained for Standard Bank.</w:t>
      </w:r>
    </w:p>
    <w:p w:rsidR="0007156A" w:rsidRPr="007C4AF6" w:rsidRDefault="0007156A" w:rsidP="007C4AF6">
      <w:pPr>
        <w:spacing w:after="0" w:line="360" w:lineRule="auto"/>
        <w:ind w:left="2552" w:hanging="1134"/>
        <w:jc w:val="both"/>
        <w:rPr>
          <w:rFonts w:ascii="Arial" w:hAnsi="Arial" w:cs="Arial"/>
          <w:sz w:val="24"/>
          <w:szCs w:val="24"/>
          <w:lang w:val="en-US"/>
        </w:rPr>
      </w:pPr>
    </w:p>
    <w:p w:rsidR="0051572D" w:rsidRPr="007C4AF6" w:rsidRDefault="0053713E"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13.2</w:t>
      </w:r>
      <w:r w:rsidR="003D73B5" w:rsidRPr="007C4AF6">
        <w:rPr>
          <w:rFonts w:ascii="Arial" w:hAnsi="Arial" w:cs="Arial"/>
          <w:sz w:val="24"/>
          <w:szCs w:val="24"/>
          <w:lang w:val="en-US"/>
        </w:rPr>
        <w:t>.3</w:t>
      </w:r>
      <w:r w:rsidRPr="007C4AF6">
        <w:rPr>
          <w:rFonts w:ascii="Arial" w:hAnsi="Arial" w:cs="Arial"/>
          <w:sz w:val="24"/>
          <w:szCs w:val="24"/>
          <w:lang w:val="en-US"/>
        </w:rPr>
        <w:tab/>
      </w:r>
      <w:r w:rsidR="0051572D" w:rsidRPr="007C4AF6">
        <w:rPr>
          <w:rFonts w:ascii="Arial" w:hAnsi="Arial" w:cs="Arial"/>
          <w:sz w:val="24"/>
          <w:szCs w:val="24"/>
          <w:lang w:val="en-US"/>
        </w:rPr>
        <w:t>The firm did not ensure that adequate internal control was implemented to ensure compliance with the rules due to the</w:t>
      </w:r>
      <w:r w:rsidRPr="007C4AF6">
        <w:rPr>
          <w:rFonts w:ascii="Arial" w:hAnsi="Arial" w:cs="Arial"/>
          <w:sz w:val="24"/>
          <w:szCs w:val="24"/>
          <w:lang w:val="en-US"/>
        </w:rPr>
        <w:t xml:space="preserve"> fact that all the transactions </w:t>
      </w:r>
      <w:r w:rsidR="0051572D" w:rsidRPr="007C4AF6">
        <w:rPr>
          <w:rFonts w:ascii="Arial" w:hAnsi="Arial" w:cs="Arial"/>
          <w:sz w:val="24"/>
          <w:szCs w:val="24"/>
          <w:lang w:val="en-US"/>
        </w:rPr>
        <w:t>w</w:t>
      </w:r>
      <w:r w:rsidR="008F2362" w:rsidRPr="007C4AF6">
        <w:rPr>
          <w:rFonts w:ascii="Arial" w:hAnsi="Arial" w:cs="Arial"/>
          <w:sz w:val="24"/>
          <w:szCs w:val="24"/>
          <w:lang w:val="en-US"/>
        </w:rPr>
        <w:t xml:space="preserve">ere included in Matsepe </w:t>
      </w:r>
      <w:r w:rsidR="0051572D" w:rsidRPr="007C4AF6">
        <w:rPr>
          <w:rFonts w:ascii="Arial" w:hAnsi="Arial" w:cs="Arial"/>
          <w:sz w:val="24"/>
          <w:szCs w:val="24"/>
          <w:lang w:val="en-US"/>
        </w:rPr>
        <w:t xml:space="preserve">Inc. and only </w:t>
      </w:r>
      <w:r w:rsidRPr="007C4AF6">
        <w:rPr>
          <w:rFonts w:ascii="Arial" w:hAnsi="Arial" w:cs="Arial"/>
          <w:sz w:val="24"/>
          <w:szCs w:val="24"/>
          <w:lang w:val="en-US"/>
        </w:rPr>
        <w:t xml:space="preserve">separately </w:t>
      </w:r>
      <w:r w:rsidR="0051572D" w:rsidRPr="007C4AF6">
        <w:rPr>
          <w:rFonts w:ascii="Arial" w:hAnsi="Arial" w:cs="Arial"/>
          <w:sz w:val="24"/>
          <w:szCs w:val="24"/>
          <w:lang w:val="en-US"/>
        </w:rPr>
        <w:t>accounted for after the LPC insisted on this.</w:t>
      </w:r>
    </w:p>
    <w:p w:rsidR="0007156A" w:rsidRPr="007C4AF6" w:rsidRDefault="0007156A" w:rsidP="007C4AF6">
      <w:pPr>
        <w:spacing w:after="0" w:line="360" w:lineRule="auto"/>
        <w:ind w:left="2552" w:hanging="1134"/>
        <w:jc w:val="both"/>
        <w:rPr>
          <w:rFonts w:ascii="Arial" w:hAnsi="Arial" w:cs="Arial"/>
          <w:sz w:val="24"/>
          <w:szCs w:val="24"/>
          <w:lang w:val="en-US"/>
        </w:rPr>
      </w:pPr>
    </w:p>
    <w:p w:rsidR="007C4260" w:rsidRDefault="003D73B5"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13.2.3</w:t>
      </w:r>
      <w:r w:rsidR="001308F8" w:rsidRPr="007C4AF6">
        <w:rPr>
          <w:rFonts w:ascii="Arial" w:hAnsi="Arial" w:cs="Arial"/>
          <w:sz w:val="24"/>
          <w:szCs w:val="24"/>
          <w:lang w:val="en-US"/>
        </w:rPr>
        <w:tab/>
      </w:r>
      <w:r w:rsidR="0051572D" w:rsidRPr="007C4AF6">
        <w:rPr>
          <w:rFonts w:ascii="Arial" w:hAnsi="Arial" w:cs="Arial"/>
          <w:sz w:val="24"/>
          <w:szCs w:val="24"/>
          <w:lang w:val="en-US"/>
        </w:rPr>
        <w:t>As at 30 September 2022, there was a neg</w:t>
      </w:r>
      <w:r w:rsidR="002D2B02" w:rsidRPr="007C4AF6">
        <w:rPr>
          <w:rFonts w:ascii="Arial" w:hAnsi="Arial" w:cs="Arial"/>
          <w:sz w:val="24"/>
          <w:szCs w:val="24"/>
          <w:lang w:val="en-US"/>
        </w:rPr>
        <w:t xml:space="preserve">ative difference of R403,139,63 </w:t>
      </w:r>
      <w:r w:rsidR="0051572D" w:rsidRPr="007C4AF6">
        <w:rPr>
          <w:rFonts w:ascii="Arial" w:hAnsi="Arial" w:cs="Arial"/>
          <w:sz w:val="24"/>
          <w:szCs w:val="24"/>
          <w:lang w:val="en-US"/>
        </w:rPr>
        <w:t>between the ABSA bank balance and</w:t>
      </w:r>
      <w:r w:rsidR="001308F8" w:rsidRPr="007C4AF6">
        <w:rPr>
          <w:rFonts w:ascii="Arial" w:hAnsi="Arial" w:cs="Arial"/>
          <w:sz w:val="24"/>
          <w:szCs w:val="24"/>
          <w:lang w:val="en-US"/>
        </w:rPr>
        <w:t xml:space="preserve"> the </w:t>
      </w:r>
      <w:r w:rsidR="0051572D" w:rsidRPr="007C4AF6">
        <w:rPr>
          <w:rFonts w:ascii="Arial" w:hAnsi="Arial" w:cs="Arial"/>
          <w:sz w:val="24"/>
          <w:szCs w:val="24"/>
          <w:lang w:val="en-US"/>
        </w:rPr>
        <w:t>accounting records</w:t>
      </w:r>
      <w:r w:rsidR="00F12F71" w:rsidRPr="007C4AF6">
        <w:rPr>
          <w:rFonts w:ascii="Arial" w:hAnsi="Arial" w:cs="Arial"/>
          <w:sz w:val="24"/>
          <w:szCs w:val="24"/>
          <w:lang w:val="en-US"/>
        </w:rPr>
        <w:t>,</w:t>
      </w:r>
      <w:r w:rsidR="0051572D" w:rsidRPr="007C4AF6">
        <w:rPr>
          <w:rFonts w:ascii="Arial" w:hAnsi="Arial" w:cs="Arial"/>
          <w:sz w:val="24"/>
          <w:szCs w:val="24"/>
          <w:lang w:val="en-US"/>
        </w:rPr>
        <w:t xml:space="preserve"> </w:t>
      </w:r>
      <w:r w:rsidR="002D2B02" w:rsidRPr="007C4AF6">
        <w:rPr>
          <w:rFonts w:ascii="Arial" w:hAnsi="Arial" w:cs="Arial"/>
          <w:sz w:val="24"/>
          <w:szCs w:val="24"/>
          <w:lang w:val="en-US"/>
        </w:rPr>
        <w:t xml:space="preserve">R406,139,10 </w:t>
      </w:r>
      <w:r w:rsidR="0051572D" w:rsidRPr="007C4AF6">
        <w:rPr>
          <w:rFonts w:ascii="Arial" w:hAnsi="Arial" w:cs="Arial"/>
          <w:sz w:val="24"/>
          <w:szCs w:val="24"/>
          <w:lang w:val="en-US"/>
        </w:rPr>
        <w:t>being paid on 31 August 2023 to correct the t</w:t>
      </w:r>
      <w:r w:rsidR="002D2B02" w:rsidRPr="007C4AF6">
        <w:rPr>
          <w:rFonts w:ascii="Arial" w:hAnsi="Arial" w:cs="Arial"/>
          <w:sz w:val="24"/>
          <w:szCs w:val="24"/>
          <w:lang w:val="en-US"/>
        </w:rPr>
        <w:t xml:space="preserve">rust shortage. It is recorded </w:t>
      </w:r>
      <w:r w:rsidR="0051572D" w:rsidRPr="007C4AF6">
        <w:rPr>
          <w:rFonts w:ascii="Arial" w:hAnsi="Arial" w:cs="Arial"/>
          <w:sz w:val="24"/>
          <w:szCs w:val="24"/>
          <w:lang w:val="en-US"/>
        </w:rPr>
        <w:t xml:space="preserve">on the report </w:t>
      </w:r>
    </w:p>
    <w:p w:rsidR="007C4260" w:rsidRDefault="007C4260" w:rsidP="007C4AF6">
      <w:pPr>
        <w:spacing w:after="0" w:line="360" w:lineRule="auto"/>
        <w:ind w:left="2552" w:hanging="1134"/>
        <w:jc w:val="both"/>
        <w:rPr>
          <w:rFonts w:ascii="Arial" w:hAnsi="Arial" w:cs="Arial"/>
          <w:sz w:val="24"/>
          <w:szCs w:val="24"/>
          <w:lang w:val="en-US"/>
        </w:rPr>
      </w:pPr>
    </w:p>
    <w:p w:rsidR="0051572D" w:rsidRPr="007C4AF6" w:rsidRDefault="0051572D" w:rsidP="007C4260">
      <w:pPr>
        <w:spacing w:after="0" w:line="360" w:lineRule="auto"/>
        <w:ind w:left="2552"/>
        <w:jc w:val="both"/>
        <w:rPr>
          <w:rFonts w:ascii="Arial" w:hAnsi="Arial" w:cs="Arial"/>
          <w:sz w:val="24"/>
          <w:szCs w:val="24"/>
          <w:lang w:val="en-US"/>
        </w:rPr>
      </w:pPr>
      <w:r w:rsidRPr="007C4AF6">
        <w:rPr>
          <w:rFonts w:ascii="Arial" w:hAnsi="Arial" w:cs="Arial"/>
          <w:sz w:val="24"/>
          <w:szCs w:val="24"/>
          <w:lang w:val="en-US"/>
        </w:rPr>
        <w:lastRenderedPageBreak/>
        <w:t xml:space="preserve">that the amount </w:t>
      </w:r>
      <w:r w:rsidR="003D73B5" w:rsidRPr="007C4AF6">
        <w:rPr>
          <w:rFonts w:ascii="Arial" w:hAnsi="Arial" w:cs="Arial"/>
          <w:sz w:val="24"/>
          <w:szCs w:val="24"/>
          <w:lang w:val="en-US"/>
        </w:rPr>
        <w:t>was</w:t>
      </w:r>
      <w:r w:rsidRPr="007C4AF6">
        <w:rPr>
          <w:rFonts w:ascii="Arial" w:hAnsi="Arial" w:cs="Arial"/>
          <w:sz w:val="24"/>
          <w:szCs w:val="24"/>
          <w:lang w:val="en-US"/>
        </w:rPr>
        <w:t xml:space="preserve"> paid on the</w:t>
      </w:r>
      <w:r w:rsidR="002D2B02" w:rsidRPr="007C4AF6">
        <w:rPr>
          <w:rFonts w:ascii="Arial" w:hAnsi="Arial" w:cs="Arial"/>
          <w:sz w:val="24"/>
          <w:szCs w:val="24"/>
          <w:lang w:val="en-US"/>
        </w:rPr>
        <w:t xml:space="preserve"> advice of their bookkeepers as </w:t>
      </w:r>
      <w:r w:rsidRPr="007C4AF6">
        <w:rPr>
          <w:rFonts w:ascii="Arial" w:hAnsi="Arial" w:cs="Arial"/>
          <w:sz w:val="24"/>
          <w:szCs w:val="24"/>
          <w:lang w:val="en-US"/>
        </w:rPr>
        <w:t xml:space="preserve">soon as the discrepancy was identified. </w:t>
      </w:r>
    </w:p>
    <w:p w:rsidR="0007156A" w:rsidRPr="007C4AF6" w:rsidRDefault="0007156A" w:rsidP="007C4AF6">
      <w:pPr>
        <w:spacing w:after="0" w:line="360" w:lineRule="auto"/>
        <w:ind w:left="2552" w:hanging="1134"/>
        <w:jc w:val="both"/>
        <w:rPr>
          <w:rFonts w:ascii="Arial" w:hAnsi="Arial" w:cs="Arial"/>
          <w:sz w:val="24"/>
          <w:szCs w:val="24"/>
          <w:lang w:val="en-US"/>
        </w:rPr>
      </w:pPr>
    </w:p>
    <w:p w:rsidR="0051572D" w:rsidRPr="007C4AF6" w:rsidRDefault="003D73B5"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13.2.4</w:t>
      </w:r>
      <w:r w:rsidR="002D2B02" w:rsidRPr="007C4AF6">
        <w:rPr>
          <w:rFonts w:ascii="Arial" w:hAnsi="Arial" w:cs="Arial"/>
          <w:sz w:val="24"/>
          <w:szCs w:val="24"/>
          <w:lang w:val="en-US"/>
        </w:rPr>
        <w:tab/>
      </w:r>
      <w:r w:rsidR="0051572D" w:rsidRPr="007C4AF6">
        <w:rPr>
          <w:rFonts w:ascii="Arial" w:hAnsi="Arial" w:cs="Arial"/>
          <w:sz w:val="24"/>
          <w:szCs w:val="24"/>
          <w:lang w:val="en-US"/>
        </w:rPr>
        <w:t xml:space="preserve">It was found that transfers were made to the business banking account which were not due to the firm and that fees had not been debited </w:t>
      </w:r>
      <w:r w:rsidR="002D2B02" w:rsidRPr="007C4AF6">
        <w:rPr>
          <w:rFonts w:ascii="Arial" w:hAnsi="Arial" w:cs="Arial"/>
          <w:sz w:val="24"/>
          <w:szCs w:val="24"/>
          <w:lang w:val="en-US"/>
        </w:rPr>
        <w:t>in its accounting</w:t>
      </w:r>
      <w:r w:rsidR="0051572D" w:rsidRPr="007C4AF6">
        <w:rPr>
          <w:rFonts w:ascii="Arial" w:hAnsi="Arial" w:cs="Arial"/>
          <w:sz w:val="24"/>
          <w:szCs w:val="24"/>
          <w:lang w:val="en-US"/>
        </w:rPr>
        <w:t xml:space="preserve"> records to a trust creditor, this resulted in a difference between the actual ABSA bank account and the accounting records of R403,139,63 as mentioned above. </w:t>
      </w:r>
    </w:p>
    <w:p w:rsidR="0007156A" w:rsidRPr="007C4AF6" w:rsidRDefault="0007156A" w:rsidP="007C4AF6">
      <w:pPr>
        <w:spacing w:after="0" w:line="360" w:lineRule="auto"/>
        <w:ind w:left="2552" w:hanging="1134"/>
        <w:jc w:val="both"/>
        <w:rPr>
          <w:rFonts w:ascii="Arial" w:hAnsi="Arial" w:cs="Arial"/>
          <w:sz w:val="24"/>
          <w:szCs w:val="24"/>
          <w:lang w:val="en-US"/>
        </w:rPr>
      </w:pPr>
    </w:p>
    <w:p w:rsidR="0051572D" w:rsidRPr="007C4AF6" w:rsidRDefault="002D2B02" w:rsidP="007C4AF6">
      <w:pPr>
        <w:spacing w:after="0" w:line="360" w:lineRule="auto"/>
        <w:ind w:left="2552" w:hanging="1134"/>
        <w:jc w:val="both"/>
        <w:rPr>
          <w:rFonts w:ascii="Arial" w:hAnsi="Arial" w:cs="Arial"/>
          <w:sz w:val="24"/>
          <w:szCs w:val="24"/>
          <w:lang w:val="en-US"/>
        </w:rPr>
      </w:pPr>
      <w:r w:rsidRPr="007C4AF6">
        <w:rPr>
          <w:rFonts w:ascii="Arial" w:hAnsi="Arial" w:cs="Arial"/>
          <w:sz w:val="24"/>
          <w:szCs w:val="24"/>
          <w:lang w:val="en-US"/>
        </w:rPr>
        <w:t>13.</w:t>
      </w:r>
      <w:r w:rsidR="003D73B5" w:rsidRPr="007C4AF6">
        <w:rPr>
          <w:rFonts w:ascii="Arial" w:hAnsi="Arial" w:cs="Arial"/>
          <w:sz w:val="24"/>
          <w:szCs w:val="24"/>
          <w:lang w:val="en-US"/>
        </w:rPr>
        <w:t>2.</w:t>
      </w:r>
      <w:r w:rsidRPr="007C4AF6">
        <w:rPr>
          <w:rFonts w:ascii="Arial" w:hAnsi="Arial" w:cs="Arial"/>
          <w:sz w:val="24"/>
          <w:szCs w:val="24"/>
          <w:lang w:val="en-US"/>
        </w:rPr>
        <w:t>5</w:t>
      </w:r>
      <w:r w:rsidRPr="007C4AF6">
        <w:rPr>
          <w:rFonts w:ascii="Arial" w:hAnsi="Arial" w:cs="Arial"/>
          <w:sz w:val="24"/>
          <w:szCs w:val="24"/>
          <w:lang w:val="en-US"/>
        </w:rPr>
        <w:tab/>
      </w:r>
      <w:r w:rsidR="0051572D" w:rsidRPr="007C4AF6">
        <w:rPr>
          <w:rFonts w:ascii="Arial" w:hAnsi="Arial" w:cs="Arial"/>
          <w:sz w:val="24"/>
          <w:szCs w:val="24"/>
          <w:lang w:val="en-US"/>
        </w:rPr>
        <w:t>The audit was not finalized within 6 months after the annual closing of the accounting records for the financial year</w:t>
      </w:r>
      <w:r w:rsidR="00F12F71" w:rsidRPr="007C4AF6">
        <w:rPr>
          <w:rFonts w:ascii="Arial" w:hAnsi="Arial" w:cs="Arial"/>
          <w:sz w:val="24"/>
          <w:szCs w:val="24"/>
          <w:lang w:val="en-US"/>
        </w:rPr>
        <w:t>s</w:t>
      </w:r>
      <w:r w:rsidR="0051572D" w:rsidRPr="007C4AF6">
        <w:rPr>
          <w:rFonts w:ascii="Arial" w:hAnsi="Arial" w:cs="Arial"/>
          <w:sz w:val="24"/>
          <w:szCs w:val="24"/>
          <w:lang w:val="en-US"/>
        </w:rPr>
        <w:t xml:space="preserve"> ended 28 February 2022 and 28 February 2023. </w:t>
      </w:r>
    </w:p>
    <w:p w:rsidR="0007156A" w:rsidRPr="007C4AF6" w:rsidRDefault="0007156A" w:rsidP="007C4AF6">
      <w:pPr>
        <w:spacing w:after="0" w:line="360" w:lineRule="auto"/>
        <w:ind w:left="2160" w:hanging="1440"/>
        <w:jc w:val="both"/>
        <w:rPr>
          <w:rFonts w:ascii="Arial" w:hAnsi="Arial" w:cs="Arial"/>
          <w:sz w:val="24"/>
          <w:szCs w:val="24"/>
          <w:lang w:val="en-US"/>
        </w:rPr>
      </w:pPr>
    </w:p>
    <w:p w:rsidR="0051572D" w:rsidRPr="007C4AF6" w:rsidRDefault="002D2B0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[14]</w:t>
      </w:r>
      <w:r w:rsidRPr="007C4AF6">
        <w:rPr>
          <w:rFonts w:ascii="Arial" w:hAnsi="Arial" w:cs="Arial"/>
          <w:sz w:val="24"/>
          <w:szCs w:val="24"/>
          <w:lang w:val="en-US"/>
        </w:rPr>
        <w:tab/>
      </w:r>
      <w:r w:rsidR="0051572D" w:rsidRPr="007C4AF6">
        <w:rPr>
          <w:rFonts w:ascii="Arial" w:hAnsi="Arial" w:cs="Arial"/>
          <w:sz w:val="24"/>
          <w:szCs w:val="24"/>
          <w:lang w:val="en-US"/>
        </w:rPr>
        <w:t>Subsequent to the issuing of the qualified report</w:t>
      </w:r>
      <w:r w:rsidR="005268E4" w:rsidRPr="007C4AF6">
        <w:rPr>
          <w:rFonts w:ascii="Arial" w:hAnsi="Arial" w:cs="Arial"/>
          <w:sz w:val="24"/>
          <w:szCs w:val="24"/>
          <w:lang w:val="en-US"/>
        </w:rPr>
        <w:t>s</w:t>
      </w:r>
      <w:r w:rsidR="000E3D93" w:rsidRPr="007C4AF6">
        <w:rPr>
          <w:rFonts w:ascii="Arial" w:hAnsi="Arial" w:cs="Arial"/>
          <w:sz w:val="24"/>
          <w:szCs w:val="24"/>
          <w:lang w:val="en-US"/>
        </w:rPr>
        <w:t xml:space="preserve"> by the Newtons, on</w:t>
      </w:r>
      <w:r w:rsidR="0051572D" w:rsidRPr="007C4AF6">
        <w:rPr>
          <w:rFonts w:ascii="Arial" w:hAnsi="Arial" w:cs="Arial"/>
          <w:sz w:val="24"/>
          <w:szCs w:val="24"/>
          <w:lang w:val="en-US"/>
        </w:rPr>
        <w:t xml:space="preserve"> 8 November 2023 the applicants submitted reasons to the LPC as envisaged by rule 54.30 explicating the qualified report</w:t>
      </w:r>
      <w:r w:rsidR="005268E4" w:rsidRPr="007C4AF6">
        <w:rPr>
          <w:rFonts w:ascii="Arial" w:hAnsi="Arial" w:cs="Arial"/>
          <w:sz w:val="24"/>
          <w:szCs w:val="24"/>
          <w:lang w:val="en-US"/>
        </w:rPr>
        <w:t>s</w:t>
      </w:r>
      <w:r w:rsidR="0051572D" w:rsidRPr="007C4AF6">
        <w:rPr>
          <w:rFonts w:ascii="Arial" w:hAnsi="Arial" w:cs="Arial"/>
          <w:sz w:val="24"/>
          <w:szCs w:val="24"/>
          <w:lang w:val="en-US"/>
        </w:rPr>
        <w:t xml:space="preserve"> and setting out the steps they had taken to rectify the deficiency that was in the Matsepes Inc. going forward.</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2D2B0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[15]</w:t>
      </w:r>
      <w:r w:rsidRPr="007C4AF6">
        <w:rPr>
          <w:rFonts w:ascii="Arial" w:hAnsi="Arial" w:cs="Arial"/>
          <w:sz w:val="24"/>
          <w:szCs w:val="24"/>
          <w:lang w:val="en-US"/>
        </w:rPr>
        <w:tab/>
      </w:r>
      <w:r w:rsidR="0051572D" w:rsidRPr="007C4AF6">
        <w:rPr>
          <w:rFonts w:ascii="Arial" w:hAnsi="Arial" w:cs="Arial"/>
          <w:sz w:val="24"/>
          <w:szCs w:val="24"/>
          <w:lang w:val="en-US"/>
        </w:rPr>
        <w:t>On the 4 December 2023 the LPC wrote them a letter in response to the qualified audit report</w:t>
      </w:r>
      <w:r w:rsidR="003D73B5" w:rsidRPr="007C4AF6">
        <w:rPr>
          <w:rFonts w:ascii="Arial" w:hAnsi="Arial" w:cs="Arial"/>
          <w:sz w:val="24"/>
          <w:szCs w:val="24"/>
          <w:lang w:val="en-US"/>
        </w:rPr>
        <w:t>s</w:t>
      </w:r>
      <w:r w:rsidR="0051572D" w:rsidRPr="007C4AF6">
        <w:rPr>
          <w:rFonts w:ascii="Arial" w:hAnsi="Arial" w:cs="Arial"/>
          <w:sz w:val="24"/>
          <w:szCs w:val="24"/>
          <w:lang w:val="en-US"/>
        </w:rPr>
        <w:t xml:space="preserve"> and their correspondence dated 8 November 2023. This letter recorded that the reasons for the qualifications as they had provided could not be accepted by the council and that the council had resolved that an independent auditor be appointed to conduct an audit of the applicants trust account</w:t>
      </w:r>
      <w:r w:rsidR="00127D40" w:rsidRPr="007C4AF6">
        <w:rPr>
          <w:rFonts w:ascii="Arial" w:hAnsi="Arial" w:cs="Arial"/>
          <w:sz w:val="24"/>
          <w:szCs w:val="24"/>
          <w:lang w:val="en-US"/>
        </w:rPr>
        <w:t>s</w:t>
      </w:r>
      <w:r w:rsidR="0051572D" w:rsidRPr="007C4AF6">
        <w:rPr>
          <w:rFonts w:ascii="Arial" w:hAnsi="Arial" w:cs="Arial"/>
          <w:sz w:val="24"/>
          <w:szCs w:val="24"/>
          <w:lang w:val="en-US"/>
        </w:rPr>
        <w:t>. Furthermore, council had also res</w:t>
      </w:r>
      <w:r w:rsidR="005268E4" w:rsidRPr="007C4AF6">
        <w:rPr>
          <w:rFonts w:ascii="Arial" w:hAnsi="Arial" w:cs="Arial"/>
          <w:sz w:val="24"/>
          <w:szCs w:val="24"/>
          <w:lang w:val="en-US"/>
        </w:rPr>
        <w:t>olved not to issue them with a Fidelity F</w:t>
      </w:r>
      <w:r w:rsidR="0051572D" w:rsidRPr="007C4AF6">
        <w:rPr>
          <w:rFonts w:ascii="Arial" w:hAnsi="Arial" w:cs="Arial"/>
          <w:sz w:val="24"/>
          <w:szCs w:val="24"/>
          <w:lang w:val="en-US"/>
        </w:rPr>
        <w:t>und certificate.</w:t>
      </w:r>
      <w:r w:rsidR="003F62F0" w:rsidRPr="007C4AF6">
        <w:rPr>
          <w:rFonts w:ascii="Arial" w:hAnsi="Arial" w:cs="Arial"/>
          <w:sz w:val="24"/>
          <w:szCs w:val="24"/>
          <w:lang w:val="en-US"/>
        </w:rPr>
        <w:t xml:space="preserve"> </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2D2B0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[16]</w:t>
      </w:r>
      <w:r w:rsidRPr="007C4AF6">
        <w:rPr>
          <w:rFonts w:ascii="Arial" w:hAnsi="Arial" w:cs="Arial"/>
          <w:sz w:val="24"/>
          <w:szCs w:val="24"/>
          <w:lang w:val="en-US"/>
        </w:rPr>
        <w:tab/>
      </w:r>
      <w:r w:rsidR="005268E4" w:rsidRPr="007C4AF6">
        <w:rPr>
          <w:rFonts w:ascii="Arial" w:hAnsi="Arial" w:cs="Arial"/>
          <w:sz w:val="24"/>
          <w:szCs w:val="24"/>
          <w:lang w:val="en-US"/>
        </w:rPr>
        <w:t>After the refusal to issue the Fidelity F</w:t>
      </w:r>
      <w:r w:rsidR="00A25DC2">
        <w:rPr>
          <w:rFonts w:ascii="Arial" w:hAnsi="Arial" w:cs="Arial"/>
          <w:sz w:val="24"/>
          <w:szCs w:val="24"/>
          <w:lang w:val="en-US"/>
        </w:rPr>
        <w:t>und C</w:t>
      </w:r>
      <w:r w:rsidR="0051572D" w:rsidRPr="007C4AF6">
        <w:rPr>
          <w:rFonts w:ascii="Arial" w:hAnsi="Arial" w:cs="Arial"/>
          <w:sz w:val="24"/>
          <w:szCs w:val="24"/>
          <w:lang w:val="en-US"/>
        </w:rPr>
        <w:t>ertificate the LPC instructed Kotie Kruger as an independent auditor to carry out the envisaged investigations.</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51572D"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[17]</w:t>
      </w:r>
      <w:r w:rsidR="002D2B02" w:rsidRPr="007C4AF6">
        <w:rPr>
          <w:rFonts w:ascii="Arial" w:hAnsi="Arial" w:cs="Arial"/>
          <w:sz w:val="24"/>
          <w:szCs w:val="24"/>
          <w:lang w:val="en-US"/>
        </w:rPr>
        <w:tab/>
      </w:r>
      <w:r w:rsidRPr="007C4AF6">
        <w:rPr>
          <w:rFonts w:ascii="Arial" w:hAnsi="Arial" w:cs="Arial"/>
          <w:sz w:val="24"/>
          <w:szCs w:val="24"/>
          <w:lang w:val="en-US"/>
        </w:rPr>
        <w:t xml:space="preserve">As a result of the administrative </w:t>
      </w:r>
      <w:r w:rsidR="008E47FC" w:rsidRPr="007C4AF6">
        <w:rPr>
          <w:rFonts w:ascii="Arial" w:hAnsi="Arial" w:cs="Arial"/>
          <w:sz w:val="24"/>
          <w:szCs w:val="24"/>
          <w:lang w:val="en-US"/>
        </w:rPr>
        <w:t>decision taken by the LPC on</w:t>
      </w:r>
      <w:r w:rsidRPr="007C4AF6">
        <w:rPr>
          <w:rFonts w:ascii="Arial" w:hAnsi="Arial" w:cs="Arial"/>
          <w:sz w:val="24"/>
          <w:szCs w:val="24"/>
          <w:lang w:val="en-US"/>
        </w:rPr>
        <w:t xml:space="preserve"> 4 December 2023, the applicants alleged that they complied with the provisions</w:t>
      </w:r>
      <w:r w:rsidR="00127D40" w:rsidRPr="007C4AF6">
        <w:rPr>
          <w:rFonts w:ascii="Arial" w:hAnsi="Arial" w:cs="Arial"/>
          <w:sz w:val="24"/>
          <w:szCs w:val="24"/>
          <w:lang w:val="en-US"/>
        </w:rPr>
        <w:t xml:space="preserve"> of rule 47.5 and 54.29 and 30. </w:t>
      </w:r>
      <w:r w:rsidR="001325FC" w:rsidRPr="007C4AF6">
        <w:rPr>
          <w:rFonts w:ascii="Arial" w:hAnsi="Arial" w:cs="Arial"/>
          <w:sz w:val="24"/>
          <w:szCs w:val="24"/>
          <w:lang w:val="en-US"/>
        </w:rPr>
        <w:t>According to them, the</w:t>
      </w:r>
      <w:r w:rsidRPr="007C4AF6">
        <w:rPr>
          <w:rFonts w:ascii="Arial" w:hAnsi="Arial" w:cs="Arial"/>
          <w:sz w:val="24"/>
          <w:szCs w:val="24"/>
          <w:lang w:val="en-US"/>
        </w:rPr>
        <w:t xml:space="preserve"> LPC failed to afford them an opportunity of addressing any shortcomings in the explanation that had been </w:t>
      </w:r>
      <w:r w:rsidRPr="007C4AF6">
        <w:rPr>
          <w:rFonts w:ascii="Arial" w:hAnsi="Arial" w:cs="Arial"/>
          <w:sz w:val="24"/>
          <w:szCs w:val="24"/>
          <w:lang w:val="en-US"/>
        </w:rPr>
        <w:lastRenderedPageBreak/>
        <w:t>proffered to it concerning the qualification reasons. Had</w:t>
      </w:r>
      <w:r w:rsidR="00B65698">
        <w:rPr>
          <w:rFonts w:ascii="Arial" w:hAnsi="Arial" w:cs="Arial"/>
          <w:sz w:val="24"/>
          <w:szCs w:val="24"/>
          <w:lang w:val="en-US"/>
        </w:rPr>
        <w:t xml:space="preserve"> the</w:t>
      </w:r>
      <w:r w:rsidRPr="007C4AF6">
        <w:rPr>
          <w:rFonts w:ascii="Arial" w:hAnsi="Arial" w:cs="Arial"/>
          <w:sz w:val="24"/>
          <w:szCs w:val="24"/>
          <w:lang w:val="en-US"/>
        </w:rPr>
        <w:t xml:space="preserve"> LPC requested them in writing to favor clarity</w:t>
      </w:r>
      <w:r w:rsidR="00B65698">
        <w:rPr>
          <w:rFonts w:ascii="Arial" w:hAnsi="Arial" w:cs="Arial"/>
          <w:sz w:val="24"/>
          <w:szCs w:val="24"/>
          <w:lang w:val="en-US"/>
        </w:rPr>
        <w:t>,</w:t>
      </w:r>
      <w:r w:rsidRPr="007C4AF6">
        <w:rPr>
          <w:rFonts w:ascii="Arial" w:hAnsi="Arial" w:cs="Arial"/>
          <w:sz w:val="24"/>
          <w:szCs w:val="24"/>
          <w:lang w:val="en-US"/>
        </w:rPr>
        <w:t xml:space="preserve"> they would have done so. According to them the LPC</w:t>
      </w:r>
      <w:r w:rsidR="001317CE" w:rsidRPr="007C4AF6">
        <w:rPr>
          <w:rFonts w:ascii="Arial" w:hAnsi="Arial" w:cs="Arial"/>
          <w:sz w:val="24"/>
          <w:szCs w:val="24"/>
          <w:lang w:val="en-US"/>
        </w:rPr>
        <w:t>’s</w:t>
      </w:r>
      <w:r w:rsidRPr="007C4AF6">
        <w:rPr>
          <w:rFonts w:ascii="Arial" w:hAnsi="Arial" w:cs="Arial"/>
          <w:sz w:val="24"/>
          <w:szCs w:val="24"/>
          <w:lang w:val="en-US"/>
        </w:rPr>
        <w:t xml:space="preserve"> decision in this regard was taken in a procedurally unfair manner, it is arbitrary and capricious, unlawful and motivated by an ulterior motive and purpose.</w:t>
      </w:r>
      <w:r w:rsidR="002D2B02" w:rsidRPr="007C4AF6">
        <w:rPr>
          <w:rFonts w:ascii="Arial" w:hAnsi="Arial" w:cs="Arial"/>
          <w:sz w:val="24"/>
          <w:szCs w:val="24"/>
          <w:lang w:val="en-US"/>
        </w:rPr>
        <w:t xml:space="preserve"> Furthermore,</w:t>
      </w:r>
      <w:r w:rsidR="001325FC" w:rsidRPr="007C4AF6">
        <w:rPr>
          <w:rFonts w:ascii="Arial" w:hAnsi="Arial" w:cs="Arial"/>
          <w:sz w:val="24"/>
          <w:szCs w:val="24"/>
          <w:lang w:val="en-US"/>
        </w:rPr>
        <w:t xml:space="preserve"> the applicants</w:t>
      </w:r>
      <w:r w:rsidR="002D2B02" w:rsidRPr="007C4AF6">
        <w:rPr>
          <w:rFonts w:ascii="Arial" w:hAnsi="Arial" w:cs="Arial"/>
          <w:sz w:val="24"/>
          <w:szCs w:val="24"/>
          <w:lang w:val="en-US"/>
        </w:rPr>
        <w:t xml:space="preserve"> </w:t>
      </w:r>
      <w:r w:rsidRPr="007C4AF6">
        <w:rPr>
          <w:rFonts w:ascii="Arial" w:hAnsi="Arial" w:cs="Arial"/>
          <w:sz w:val="24"/>
          <w:szCs w:val="24"/>
          <w:lang w:val="en-US"/>
        </w:rPr>
        <w:t>seek indirect review</w:t>
      </w:r>
      <w:r w:rsidR="008649F4" w:rsidRPr="007C4AF6">
        <w:rPr>
          <w:rFonts w:ascii="Arial" w:hAnsi="Arial" w:cs="Arial"/>
          <w:sz w:val="24"/>
          <w:szCs w:val="24"/>
          <w:lang w:val="en-US"/>
        </w:rPr>
        <w:t xml:space="preserve"> of the administrative action.</w:t>
      </w:r>
    </w:p>
    <w:p w:rsidR="00C903EC" w:rsidRPr="007C4AF6" w:rsidRDefault="00C903EC" w:rsidP="007C4AF6">
      <w:pPr>
        <w:spacing w:after="0" w:line="360" w:lineRule="auto"/>
        <w:ind w:left="720" w:hanging="720"/>
        <w:jc w:val="both"/>
        <w:rPr>
          <w:rFonts w:ascii="Arial" w:hAnsi="Arial" w:cs="Arial"/>
          <w:sz w:val="24"/>
          <w:szCs w:val="24"/>
          <w:lang w:val="en-US"/>
        </w:rPr>
      </w:pPr>
    </w:p>
    <w:p w:rsidR="0051572D" w:rsidRPr="007C4AF6" w:rsidRDefault="002D2B02" w:rsidP="007C4AF6">
      <w:pPr>
        <w:spacing w:after="0" w:line="360" w:lineRule="auto"/>
        <w:ind w:left="720" w:hanging="720"/>
        <w:jc w:val="both"/>
        <w:rPr>
          <w:rFonts w:ascii="Arial" w:hAnsi="Arial" w:cs="Arial"/>
          <w:i/>
          <w:sz w:val="24"/>
          <w:szCs w:val="24"/>
          <w:lang w:val="en-US"/>
        </w:rPr>
      </w:pPr>
      <w:r w:rsidRPr="007C4AF6">
        <w:rPr>
          <w:rFonts w:ascii="Arial" w:hAnsi="Arial" w:cs="Arial"/>
          <w:sz w:val="24"/>
          <w:szCs w:val="24"/>
          <w:lang w:val="en-US"/>
        </w:rPr>
        <w:t>[18</w:t>
      </w:r>
      <w:r w:rsidR="0051572D" w:rsidRPr="007C4AF6">
        <w:rPr>
          <w:rFonts w:ascii="Arial" w:hAnsi="Arial" w:cs="Arial"/>
          <w:sz w:val="24"/>
          <w:szCs w:val="24"/>
          <w:lang w:val="en-US"/>
        </w:rPr>
        <w:t>]</w:t>
      </w:r>
      <w:r w:rsidRPr="007C4AF6">
        <w:rPr>
          <w:rFonts w:ascii="Arial" w:hAnsi="Arial" w:cs="Arial"/>
          <w:sz w:val="24"/>
          <w:szCs w:val="24"/>
          <w:lang w:val="en-US"/>
        </w:rPr>
        <w:tab/>
      </w:r>
      <w:r w:rsidR="00D436DF" w:rsidRPr="007C4AF6">
        <w:rPr>
          <w:rFonts w:ascii="Arial" w:hAnsi="Arial" w:cs="Arial"/>
          <w:sz w:val="24"/>
          <w:szCs w:val="24"/>
          <w:lang w:val="en-US"/>
        </w:rPr>
        <w:t>The r</w:t>
      </w:r>
      <w:r w:rsidR="0051572D" w:rsidRPr="007C4AF6">
        <w:rPr>
          <w:rFonts w:ascii="Arial" w:hAnsi="Arial" w:cs="Arial"/>
          <w:sz w:val="24"/>
          <w:szCs w:val="24"/>
          <w:lang w:val="en-US"/>
        </w:rPr>
        <w:t>espondent resists the relief sought on the basis of two preliminary and dispositive points. Firstly, that a mandamus application is entirely incompetent in the present matter where the LPC’s refusal to issue Fidelity fund certificate to applicants amounts to administrative action. Secondly, there are pending proceedings between the parties involving substantially the s</w:t>
      </w:r>
      <w:r w:rsidR="00B65698">
        <w:rPr>
          <w:rFonts w:ascii="Arial" w:hAnsi="Arial" w:cs="Arial"/>
          <w:sz w:val="24"/>
          <w:szCs w:val="24"/>
          <w:lang w:val="en-US"/>
        </w:rPr>
        <w:t>ame issue which give rise to a</w:t>
      </w:r>
      <w:r w:rsidR="0051572D" w:rsidRPr="007C4AF6">
        <w:rPr>
          <w:rFonts w:ascii="Arial" w:hAnsi="Arial" w:cs="Arial"/>
          <w:sz w:val="24"/>
          <w:szCs w:val="24"/>
          <w:lang w:val="en-US"/>
        </w:rPr>
        <w:t xml:space="preserve"> special plea of </w:t>
      </w:r>
      <w:r w:rsidR="0007156A" w:rsidRPr="007C4AF6">
        <w:rPr>
          <w:rFonts w:ascii="Arial" w:hAnsi="Arial" w:cs="Arial"/>
          <w:i/>
          <w:sz w:val="24"/>
          <w:szCs w:val="24"/>
          <w:lang w:val="en-US"/>
        </w:rPr>
        <w:t>lis pendens.</w:t>
      </w:r>
    </w:p>
    <w:p w:rsidR="0007156A" w:rsidRPr="007C4AF6" w:rsidRDefault="0007156A" w:rsidP="007C4AF6">
      <w:pPr>
        <w:spacing w:after="0" w:line="360" w:lineRule="auto"/>
        <w:ind w:left="720" w:hanging="720"/>
        <w:jc w:val="both"/>
        <w:rPr>
          <w:rFonts w:ascii="Arial" w:hAnsi="Arial" w:cs="Arial"/>
          <w:i/>
          <w:sz w:val="24"/>
          <w:szCs w:val="24"/>
          <w:lang w:val="en-US"/>
        </w:rPr>
      </w:pPr>
    </w:p>
    <w:p w:rsidR="002D45F8" w:rsidRPr="007C4AF6" w:rsidRDefault="002D2B0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[19]</w:t>
      </w:r>
      <w:r w:rsidRPr="007C4AF6">
        <w:rPr>
          <w:rFonts w:ascii="Arial" w:hAnsi="Arial" w:cs="Arial"/>
          <w:sz w:val="24"/>
          <w:szCs w:val="24"/>
          <w:lang w:val="en-US"/>
        </w:rPr>
        <w:tab/>
      </w:r>
      <w:r w:rsidR="00A1734F" w:rsidRPr="007C4AF6">
        <w:rPr>
          <w:rFonts w:ascii="Arial" w:eastAsia="Calibri" w:hAnsi="Arial" w:cs="Arial"/>
          <w:sz w:val="24"/>
          <w:szCs w:val="24"/>
        </w:rPr>
        <w:t>The facts of this case are largely common cause and the better part thereof is not in dispute</w:t>
      </w:r>
      <w:r w:rsidR="0051572D" w:rsidRPr="007C4AF6">
        <w:rPr>
          <w:rFonts w:ascii="Arial" w:hAnsi="Arial" w:cs="Arial"/>
          <w:sz w:val="24"/>
          <w:szCs w:val="24"/>
          <w:lang w:val="en-US"/>
        </w:rPr>
        <w:t>.  It is common cause that LPC has taken an administration action against the three applicants not to issue them with a fidelity fund certificate</w:t>
      </w:r>
      <w:r w:rsidR="00555BE6" w:rsidRPr="007C4AF6">
        <w:rPr>
          <w:rFonts w:ascii="Arial" w:hAnsi="Arial" w:cs="Arial"/>
          <w:sz w:val="24"/>
          <w:szCs w:val="24"/>
          <w:lang w:val="en-US"/>
        </w:rPr>
        <w:t xml:space="preserve"> and that the </w:t>
      </w:r>
      <w:r w:rsidR="00284726" w:rsidRPr="007C4AF6">
        <w:rPr>
          <w:rFonts w:ascii="Arial" w:hAnsi="Arial" w:cs="Arial"/>
          <w:sz w:val="24"/>
          <w:szCs w:val="24"/>
          <w:lang w:val="en-US"/>
        </w:rPr>
        <w:t>audit report</w:t>
      </w:r>
      <w:r w:rsidR="0029025F" w:rsidRPr="007C4AF6">
        <w:rPr>
          <w:rFonts w:ascii="Arial" w:hAnsi="Arial" w:cs="Arial"/>
          <w:sz w:val="24"/>
          <w:szCs w:val="24"/>
          <w:lang w:val="en-US"/>
        </w:rPr>
        <w:t>s</w:t>
      </w:r>
      <w:r w:rsidR="00284726" w:rsidRPr="007C4AF6">
        <w:rPr>
          <w:rFonts w:ascii="Arial" w:hAnsi="Arial" w:cs="Arial"/>
          <w:sz w:val="24"/>
          <w:szCs w:val="24"/>
          <w:lang w:val="en-US"/>
        </w:rPr>
        <w:t xml:space="preserve"> s</w:t>
      </w:r>
      <w:r w:rsidR="0029025F" w:rsidRPr="007C4AF6">
        <w:rPr>
          <w:rFonts w:ascii="Arial" w:hAnsi="Arial" w:cs="Arial"/>
          <w:sz w:val="24"/>
          <w:szCs w:val="24"/>
          <w:lang w:val="en-US"/>
        </w:rPr>
        <w:t>ubmitted on</w:t>
      </w:r>
      <w:r w:rsidR="00127D40" w:rsidRPr="007C4AF6">
        <w:rPr>
          <w:rFonts w:ascii="Arial" w:hAnsi="Arial" w:cs="Arial"/>
          <w:sz w:val="24"/>
          <w:szCs w:val="24"/>
          <w:lang w:val="en-US"/>
        </w:rPr>
        <w:t xml:space="preserve"> 27 October 2023</w:t>
      </w:r>
      <w:r w:rsidR="001325FC" w:rsidRPr="007C4AF6">
        <w:rPr>
          <w:rFonts w:ascii="Arial" w:hAnsi="Arial" w:cs="Arial"/>
          <w:sz w:val="24"/>
          <w:szCs w:val="24"/>
          <w:lang w:val="en-US"/>
        </w:rPr>
        <w:t xml:space="preserve"> by </w:t>
      </w:r>
      <w:r w:rsidR="00B65698">
        <w:rPr>
          <w:rFonts w:ascii="Arial" w:hAnsi="Arial" w:cs="Arial"/>
          <w:sz w:val="24"/>
          <w:szCs w:val="24"/>
          <w:lang w:val="en-US"/>
        </w:rPr>
        <w:t>Newtons were</w:t>
      </w:r>
      <w:r w:rsidR="00284726" w:rsidRPr="007C4AF6">
        <w:rPr>
          <w:rFonts w:ascii="Arial" w:hAnsi="Arial" w:cs="Arial"/>
          <w:sz w:val="24"/>
          <w:szCs w:val="24"/>
          <w:lang w:val="en-US"/>
        </w:rPr>
        <w:t xml:space="preserve"> qualified. Lastly, there is a pending </w:t>
      </w:r>
      <w:r w:rsidR="0051572D" w:rsidRPr="007C4AF6">
        <w:rPr>
          <w:rFonts w:ascii="Arial" w:hAnsi="Arial" w:cs="Arial"/>
          <w:sz w:val="24"/>
          <w:szCs w:val="24"/>
          <w:lang w:val="en-US"/>
        </w:rPr>
        <w:t>application</w:t>
      </w:r>
      <w:r w:rsidR="00284726" w:rsidRPr="007C4AF6">
        <w:rPr>
          <w:rFonts w:ascii="Arial" w:hAnsi="Arial" w:cs="Arial"/>
          <w:sz w:val="24"/>
          <w:szCs w:val="24"/>
          <w:lang w:val="en-US"/>
        </w:rPr>
        <w:t xml:space="preserve"> for</w:t>
      </w:r>
      <w:r w:rsidR="00127D40" w:rsidRPr="007C4AF6">
        <w:rPr>
          <w:rFonts w:ascii="Arial" w:hAnsi="Arial" w:cs="Arial"/>
          <w:sz w:val="24"/>
          <w:szCs w:val="24"/>
          <w:lang w:val="en-US"/>
        </w:rPr>
        <w:t xml:space="preserve"> </w:t>
      </w:r>
      <w:r w:rsidR="001325FC" w:rsidRPr="007C4AF6">
        <w:rPr>
          <w:rFonts w:ascii="Arial" w:hAnsi="Arial" w:cs="Arial"/>
          <w:sz w:val="24"/>
          <w:szCs w:val="24"/>
          <w:lang w:val="en-US"/>
        </w:rPr>
        <w:t xml:space="preserve">the </w:t>
      </w:r>
      <w:r w:rsidR="00284726" w:rsidRPr="007C4AF6">
        <w:rPr>
          <w:rFonts w:ascii="Arial" w:hAnsi="Arial" w:cs="Arial"/>
          <w:sz w:val="24"/>
          <w:szCs w:val="24"/>
          <w:lang w:val="en-US"/>
        </w:rPr>
        <w:t>suspension</w:t>
      </w:r>
      <w:r w:rsidR="001325FC" w:rsidRPr="007C4AF6">
        <w:rPr>
          <w:rFonts w:ascii="Arial" w:hAnsi="Arial" w:cs="Arial"/>
          <w:sz w:val="24"/>
          <w:szCs w:val="24"/>
          <w:lang w:val="en-US"/>
        </w:rPr>
        <w:t xml:space="preserve"> of</w:t>
      </w:r>
      <w:r w:rsidR="00284726" w:rsidRPr="007C4AF6">
        <w:rPr>
          <w:rFonts w:ascii="Arial" w:hAnsi="Arial" w:cs="Arial"/>
          <w:sz w:val="24"/>
          <w:szCs w:val="24"/>
          <w:lang w:val="en-US"/>
        </w:rPr>
        <w:t xml:space="preserve"> the</w:t>
      </w:r>
      <w:r w:rsidR="00B65698">
        <w:rPr>
          <w:rFonts w:ascii="Arial" w:hAnsi="Arial" w:cs="Arial"/>
          <w:sz w:val="24"/>
          <w:szCs w:val="24"/>
          <w:lang w:val="en-US"/>
        </w:rPr>
        <w:t xml:space="preserve"> first and second</w:t>
      </w:r>
      <w:r w:rsidR="00284726" w:rsidRPr="007C4AF6">
        <w:rPr>
          <w:rFonts w:ascii="Arial" w:hAnsi="Arial" w:cs="Arial"/>
          <w:sz w:val="24"/>
          <w:szCs w:val="24"/>
          <w:lang w:val="en-US"/>
        </w:rPr>
        <w:t xml:space="preserve"> applicants under case number 4514/2023</w:t>
      </w:r>
      <w:r w:rsidR="0051572D" w:rsidRPr="007C4AF6">
        <w:rPr>
          <w:rFonts w:ascii="Arial" w:hAnsi="Arial" w:cs="Arial"/>
          <w:sz w:val="24"/>
          <w:szCs w:val="24"/>
          <w:lang w:val="en-US"/>
        </w:rPr>
        <w:t>.</w:t>
      </w:r>
    </w:p>
    <w:p w:rsidR="0007156A" w:rsidRPr="007C4AF6" w:rsidRDefault="0007156A" w:rsidP="007C4AF6">
      <w:pPr>
        <w:spacing w:after="0" w:line="360" w:lineRule="auto"/>
        <w:ind w:left="720" w:hanging="720"/>
        <w:jc w:val="both"/>
        <w:rPr>
          <w:rFonts w:ascii="Arial" w:hAnsi="Arial" w:cs="Arial"/>
          <w:sz w:val="24"/>
          <w:szCs w:val="24"/>
          <w:lang w:val="en-US"/>
        </w:rPr>
      </w:pPr>
    </w:p>
    <w:p w:rsidR="002D45F8" w:rsidRPr="007C4AF6" w:rsidRDefault="002D45F8" w:rsidP="007C4AF6">
      <w:pPr>
        <w:spacing w:after="0" w:line="360" w:lineRule="auto"/>
        <w:jc w:val="both"/>
        <w:rPr>
          <w:rFonts w:ascii="Arial" w:hAnsi="Arial" w:cs="Arial"/>
          <w:b/>
          <w:sz w:val="24"/>
          <w:szCs w:val="24"/>
          <w:u w:val="single"/>
          <w:lang w:val="en-US"/>
        </w:rPr>
      </w:pPr>
      <w:r w:rsidRPr="007C4AF6">
        <w:rPr>
          <w:rFonts w:ascii="Arial" w:hAnsi="Arial" w:cs="Arial"/>
          <w:b/>
          <w:sz w:val="24"/>
          <w:szCs w:val="24"/>
          <w:u w:val="single"/>
          <w:lang w:val="en-US"/>
        </w:rPr>
        <w:t>ISSUE FOR DETERMINATION</w:t>
      </w:r>
    </w:p>
    <w:p w:rsidR="00C903EC" w:rsidRPr="007C4AF6" w:rsidRDefault="00C903EC" w:rsidP="007C4AF6">
      <w:pPr>
        <w:spacing w:after="0" w:line="360" w:lineRule="auto"/>
        <w:jc w:val="both"/>
        <w:rPr>
          <w:rFonts w:ascii="Arial" w:hAnsi="Arial" w:cs="Arial"/>
          <w:sz w:val="24"/>
          <w:szCs w:val="24"/>
          <w:lang w:val="en-US"/>
        </w:rPr>
      </w:pPr>
    </w:p>
    <w:p w:rsidR="0051572D" w:rsidRPr="007C4AF6" w:rsidRDefault="002D2B02" w:rsidP="007C4AF6">
      <w:pPr>
        <w:spacing w:after="0" w:line="360" w:lineRule="auto"/>
        <w:jc w:val="both"/>
        <w:rPr>
          <w:rFonts w:ascii="Arial" w:hAnsi="Arial" w:cs="Arial"/>
          <w:sz w:val="24"/>
          <w:szCs w:val="24"/>
          <w:lang w:val="en-US"/>
        </w:rPr>
      </w:pPr>
      <w:r w:rsidRPr="007C4AF6">
        <w:rPr>
          <w:rFonts w:ascii="Arial" w:hAnsi="Arial" w:cs="Arial"/>
          <w:sz w:val="24"/>
          <w:szCs w:val="24"/>
          <w:lang w:val="en-US"/>
        </w:rPr>
        <w:t>[20]</w:t>
      </w:r>
      <w:r w:rsidRPr="007C4AF6">
        <w:rPr>
          <w:rFonts w:ascii="Arial" w:hAnsi="Arial" w:cs="Arial"/>
          <w:sz w:val="24"/>
          <w:szCs w:val="24"/>
          <w:lang w:val="en-US"/>
        </w:rPr>
        <w:tab/>
      </w:r>
      <w:r w:rsidR="0051572D" w:rsidRPr="007C4AF6">
        <w:rPr>
          <w:rFonts w:ascii="Arial" w:hAnsi="Arial" w:cs="Arial"/>
          <w:sz w:val="24"/>
          <w:szCs w:val="24"/>
          <w:lang w:val="en-US"/>
        </w:rPr>
        <w:t xml:space="preserve">The issues </w:t>
      </w:r>
      <w:r w:rsidR="00284726" w:rsidRPr="007C4AF6">
        <w:rPr>
          <w:rFonts w:ascii="Arial" w:hAnsi="Arial" w:cs="Arial"/>
          <w:sz w:val="24"/>
          <w:szCs w:val="24"/>
          <w:lang w:val="en-US"/>
        </w:rPr>
        <w:t>for determination in this regard</w:t>
      </w:r>
      <w:r w:rsidR="0051572D" w:rsidRPr="007C4AF6">
        <w:rPr>
          <w:rFonts w:ascii="Arial" w:hAnsi="Arial" w:cs="Arial"/>
          <w:sz w:val="24"/>
          <w:szCs w:val="24"/>
          <w:lang w:val="en-US"/>
        </w:rPr>
        <w:t xml:space="preserve"> can simply be identified as follows:</w:t>
      </w:r>
    </w:p>
    <w:p w:rsidR="0007156A" w:rsidRPr="007C4AF6" w:rsidRDefault="0051572D" w:rsidP="007C4AF6">
      <w:pPr>
        <w:spacing w:after="0" w:line="360" w:lineRule="auto"/>
        <w:jc w:val="both"/>
        <w:rPr>
          <w:rFonts w:ascii="Arial" w:hAnsi="Arial" w:cs="Arial"/>
          <w:sz w:val="24"/>
          <w:szCs w:val="24"/>
          <w:lang w:val="en-US"/>
        </w:rPr>
      </w:pPr>
      <w:r w:rsidRPr="007C4AF6">
        <w:rPr>
          <w:rFonts w:ascii="Arial" w:hAnsi="Arial" w:cs="Arial"/>
          <w:sz w:val="24"/>
          <w:szCs w:val="24"/>
          <w:lang w:val="en-US"/>
        </w:rPr>
        <w:tab/>
      </w:r>
    </w:p>
    <w:p w:rsidR="002D2B02" w:rsidRPr="007C4AF6" w:rsidRDefault="000F6821" w:rsidP="007C4AF6">
      <w:pPr>
        <w:spacing w:after="0" w:line="360" w:lineRule="auto"/>
        <w:ind w:firstLine="720"/>
        <w:jc w:val="both"/>
        <w:rPr>
          <w:rFonts w:ascii="Arial" w:hAnsi="Arial" w:cs="Arial"/>
          <w:sz w:val="24"/>
          <w:szCs w:val="24"/>
          <w:lang w:val="en-US"/>
        </w:rPr>
      </w:pPr>
      <w:r w:rsidRPr="007C4AF6">
        <w:rPr>
          <w:rFonts w:ascii="Arial" w:hAnsi="Arial" w:cs="Arial"/>
          <w:sz w:val="24"/>
          <w:szCs w:val="24"/>
          <w:lang w:val="en-US"/>
        </w:rPr>
        <w:t>20</w:t>
      </w:r>
      <w:r w:rsidR="0051572D" w:rsidRPr="007C4AF6">
        <w:rPr>
          <w:rFonts w:ascii="Arial" w:hAnsi="Arial" w:cs="Arial"/>
          <w:sz w:val="24"/>
          <w:szCs w:val="24"/>
          <w:lang w:val="en-US"/>
        </w:rPr>
        <w:t>.1</w:t>
      </w:r>
      <w:r w:rsidRPr="007C4AF6">
        <w:rPr>
          <w:rFonts w:ascii="Arial" w:hAnsi="Arial" w:cs="Arial"/>
          <w:sz w:val="24"/>
          <w:szCs w:val="24"/>
          <w:lang w:val="en-US"/>
        </w:rPr>
        <w:tab/>
      </w:r>
      <w:r w:rsidR="0051572D" w:rsidRPr="007C4AF6">
        <w:rPr>
          <w:rFonts w:ascii="Arial" w:hAnsi="Arial" w:cs="Arial"/>
          <w:sz w:val="24"/>
          <w:szCs w:val="24"/>
          <w:lang w:val="en-US"/>
        </w:rPr>
        <w:t xml:space="preserve">Special plea of </w:t>
      </w:r>
      <w:r w:rsidR="00127D40" w:rsidRPr="007C4AF6">
        <w:rPr>
          <w:rFonts w:ascii="Arial" w:hAnsi="Arial" w:cs="Arial"/>
          <w:i/>
          <w:sz w:val="24"/>
          <w:szCs w:val="24"/>
          <w:lang w:val="en-US"/>
        </w:rPr>
        <w:t>li</w:t>
      </w:r>
      <w:r w:rsidR="0051572D" w:rsidRPr="007C4AF6">
        <w:rPr>
          <w:rFonts w:ascii="Arial" w:hAnsi="Arial" w:cs="Arial"/>
          <w:i/>
          <w:sz w:val="24"/>
          <w:szCs w:val="24"/>
          <w:lang w:val="en-US"/>
        </w:rPr>
        <w:t>s pendens</w:t>
      </w:r>
      <w:r w:rsidR="00127D40" w:rsidRPr="007C4AF6">
        <w:rPr>
          <w:rFonts w:ascii="Arial" w:hAnsi="Arial" w:cs="Arial"/>
          <w:sz w:val="24"/>
          <w:szCs w:val="24"/>
          <w:lang w:val="en-US"/>
        </w:rPr>
        <w:t>.</w:t>
      </w:r>
    </w:p>
    <w:p w:rsidR="0007156A" w:rsidRPr="007C4AF6" w:rsidRDefault="0007156A" w:rsidP="007C4AF6">
      <w:pPr>
        <w:spacing w:after="0" w:line="360" w:lineRule="auto"/>
        <w:ind w:left="1440" w:hanging="720"/>
        <w:jc w:val="both"/>
        <w:rPr>
          <w:rFonts w:ascii="Arial" w:hAnsi="Arial" w:cs="Arial"/>
          <w:sz w:val="24"/>
          <w:szCs w:val="24"/>
          <w:lang w:val="en-US"/>
        </w:rPr>
      </w:pPr>
    </w:p>
    <w:p w:rsidR="0051572D" w:rsidRPr="007C4AF6" w:rsidRDefault="000F6821" w:rsidP="007C4AF6">
      <w:pPr>
        <w:spacing w:after="0" w:line="360" w:lineRule="auto"/>
        <w:ind w:left="1440" w:hanging="720"/>
        <w:jc w:val="both"/>
        <w:rPr>
          <w:rFonts w:ascii="Arial" w:hAnsi="Arial" w:cs="Arial"/>
          <w:sz w:val="24"/>
          <w:szCs w:val="24"/>
          <w:lang w:val="en-US"/>
        </w:rPr>
      </w:pPr>
      <w:r w:rsidRPr="007C4AF6">
        <w:rPr>
          <w:rFonts w:ascii="Arial" w:hAnsi="Arial" w:cs="Arial"/>
          <w:sz w:val="24"/>
          <w:szCs w:val="24"/>
          <w:lang w:val="en-US"/>
        </w:rPr>
        <w:t>20</w:t>
      </w:r>
      <w:r w:rsidR="0051572D" w:rsidRPr="007C4AF6">
        <w:rPr>
          <w:rFonts w:ascii="Arial" w:hAnsi="Arial" w:cs="Arial"/>
          <w:sz w:val="24"/>
          <w:szCs w:val="24"/>
          <w:lang w:val="en-US"/>
        </w:rPr>
        <w:t>.2</w:t>
      </w:r>
      <w:r w:rsidR="001308F8" w:rsidRPr="007C4AF6">
        <w:rPr>
          <w:rFonts w:ascii="Arial" w:hAnsi="Arial" w:cs="Arial"/>
          <w:sz w:val="24"/>
          <w:szCs w:val="24"/>
          <w:lang w:val="en-US"/>
        </w:rPr>
        <w:tab/>
      </w:r>
      <w:r w:rsidR="00B65698">
        <w:rPr>
          <w:rFonts w:ascii="Arial" w:hAnsi="Arial" w:cs="Arial"/>
          <w:sz w:val="24"/>
          <w:szCs w:val="24"/>
          <w:lang w:val="en-US"/>
        </w:rPr>
        <w:t xml:space="preserve">The </w:t>
      </w:r>
      <w:r w:rsidR="0051572D" w:rsidRPr="007C4AF6">
        <w:rPr>
          <w:rFonts w:ascii="Arial" w:hAnsi="Arial" w:cs="Arial"/>
          <w:sz w:val="24"/>
          <w:szCs w:val="24"/>
          <w:lang w:val="en-US"/>
        </w:rPr>
        <w:t>LPC</w:t>
      </w:r>
      <w:r w:rsidR="00B65698">
        <w:rPr>
          <w:rFonts w:ascii="Arial" w:hAnsi="Arial" w:cs="Arial"/>
          <w:sz w:val="24"/>
          <w:szCs w:val="24"/>
          <w:lang w:val="en-US"/>
        </w:rPr>
        <w:t>’s refusal to issue Fidelity Fund C</w:t>
      </w:r>
      <w:r w:rsidR="0051572D" w:rsidRPr="007C4AF6">
        <w:rPr>
          <w:rFonts w:ascii="Arial" w:hAnsi="Arial" w:cs="Arial"/>
          <w:sz w:val="24"/>
          <w:szCs w:val="24"/>
          <w:lang w:val="en-US"/>
        </w:rPr>
        <w:t xml:space="preserve">ertificate to the applicants </w:t>
      </w:r>
      <w:r w:rsidRPr="007C4AF6">
        <w:rPr>
          <w:rFonts w:ascii="Arial" w:hAnsi="Arial" w:cs="Arial"/>
          <w:sz w:val="24"/>
          <w:szCs w:val="24"/>
          <w:lang w:val="en-US"/>
        </w:rPr>
        <w:t>firstly, “for</w:t>
      </w:r>
      <w:r w:rsidR="002D2B02" w:rsidRPr="007C4AF6">
        <w:rPr>
          <w:rFonts w:ascii="Arial" w:hAnsi="Arial" w:cs="Arial"/>
          <w:sz w:val="24"/>
          <w:szCs w:val="24"/>
          <w:lang w:val="en-US"/>
        </w:rPr>
        <w:t xml:space="preserve"> </w:t>
      </w:r>
      <w:r w:rsidR="0051572D" w:rsidRPr="007C4AF6">
        <w:rPr>
          <w:rFonts w:ascii="Arial" w:hAnsi="Arial" w:cs="Arial"/>
          <w:sz w:val="24"/>
          <w:szCs w:val="24"/>
          <w:lang w:val="en-US"/>
        </w:rPr>
        <w:t>Reasons as yet wholly undisclosed” and secondly that it has done so “unlawfully”. Whether this administrative a</w:t>
      </w:r>
      <w:r w:rsidR="002D2B02" w:rsidRPr="007C4AF6">
        <w:rPr>
          <w:rFonts w:ascii="Arial" w:hAnsi="Arial" w:cs="Arial"/>
          <w:sz w:val="24"/>
          <w:szCs w:val="24"/>
          <w:lang w:val="en-US"/>
        </w:rPr>
        <w:t xml:space="preserve">ction can be reviewed by way of </w:t>
      </w:r>
      <w:r w:rsidR="0051572D" w:rsidRPr="007C4AF6">
        <w:rPr>
          <w:rFonts w:ascii="Arial" w:hAnsi="Arial" w:cs="Arial"/>
          <w:sz w:val="24"/>
          <w:szCs w:val="24"/>
          <w:lang w:val="en-US"/>
        </w:rPr>
        <w:t>indirect review.</w:t>
      </w:r>
    </w:p>
    <w:p w:rsidR="0007156A" w:rsidRPr="007C4AF6" w:rsidRDefault="0007156A" w:rsidP="007C4AF6">
      <w:pPr>
        <w:spacing w:after="0" w:line="360" w:lineRule="auto"/>
        <w:ind w:firstLine="720"/>
        <w:jc w:val="both"/>
        <w:rPr>
          <w:rFonts w:ascii="Arial" w:hAnsi="Arial" w:cs="Arial"/>
          <w:sz w:val="24"/>
          <w:szCs w:val="24"/>
          <w:lang w:val="en-US"/>
        </w:rPr>
      </w:pPr>
    </w:p>
    <w:p w:rsidR="0051572D" w:rsidRPr="007C4AF6" w:rsidRDefault="000F6821" w:rsidP="007C4AF6">
      <w:pPr>
        <w:spacing w:after="0" w:line="360" w:lineRule="auto"/>
        <w:ind w:firstLine="720"/>
        <w:jc w:val="both"/>
        <w:rPr>
          <w:rFonts w:ascii="Arial" w:hAnsi="Arial" w:cs="Arial"/>
          <w:sz w:val="24"/>
          <w:szCs w:val="24"/>
          <w:lang w:val="en-US"/>
        </w:rPr>
      </w:pPr>
      <w:r w:rsidRPr="007C4AF6">
        <w:rPr>
          <w:rFonts w:ascii="Arial" w:hAnsi="Arial" w:cs="Arial"/>
          <w:sz w:val="24"/>
          <w:szCs w:val="24"/>
          <w:lang w:val="en-US"/>
        </w:rPr>
        <w:t>20</w:t>
      </w:r>
      <w:r w:rsidR="0051572D" w:rsidRPr="007C4AF6">
        <w:rPr>
          <w:rFonts w:ascii="Arial" w:hAnsi="Arial" w:cs="Arial"/>
          <w:sz w:val="24"/>
          <w:szCs w:val="24"/>
          <w:lang w:val="en-US"/>
        </w:rPr>
        <w:t>.3</w:t>
      </w:r>
      <w:r w:rsidR="001308F8" w:rsidRPr="007C4AF6">
        <w:rPr>
          <w:rFonts w:ascii="Arial" w:hAnsi="Arial" w:cs="Arial"/>
          <w:sz w:val="24"/>
          <w:szCs w:val="24"/>
          <w:lang w:val="en-US"/>
        </w:rPr>
        <w:tab/>
      </w:r>
      <w:r w:rsidR="0051572D" w:rsidRPr="007C4AF6">
        <w:rPr>
          <w:rFonts w:ascii="Arial" w:hAnsi="Arial" w:cs="Arial"/>
          <w:sz w:val="24"/>
          <w:szCs w:val="24"/>
          <w:lang w:val="en-US"/>
        </w:rPr>
        <w:t>Mandamus application</w:t>
      </w:r>
      <w:r w:rsidR="002D45F8" w:rsidRPr="007C4AF6">
        <w:rPr>
          <w:rFonts w:ascii="Arial" w:hAnsi="Arial" w:cs="Arial"/>
          <w:sz w:val="24"/>
          <w:szCs w:val="24"/>
          <w:lang w:val="en-US"/>
        </w:rPr>
        <w:t>.</w:t>
      </w:r>
    </w:p>
    <w:p w:rsidR="0007156A" w:rsidRPr="007C4AF6" w:rsidRDefault="0007156A" w:rsidP="007C4AF6">
      <w:pPr>
        <w:spacing w:after="0" w:line="360" w:lineRule="auto"/>
        <w:jc w:val="both"/>
        <w:rPr>
          <w:rFonts w:ascii="Arial" w:hAnsi="Arial" w:cs="Arial"/>
          <w:b/>
          <w:sz w:val="24"/>
          <w:szCs w:val="24"/>
          <w:lang w:val="en-US"/>
        </w:rPr>
      </w:pPr>
    </w:p>
    <w:p w:rsidR="0051572D" w:rsidRPr="007C4AF6" w:rsidRDefault="0051572D" w:rsidP="007C4AF6">
      <w:pPr>
        <w:spacing w:after="0" w:line="360" w:lineRule="auto"/>
        <w:jc w:val="both"/>
        <w:rPr>
          <w:rFonts w:ascii="Arial" w:hAnsi="Arial" w:cs="Arial"/>
          <w:b/>
          <w:sz w:val="24"/>
          <w:szCs w:val="24"/>
          <w:u w:val="single"/>
          <w:lang w:val="en-US"/>
        </w:rPr>
      </w:pPr>
      <w:r w:rsidRPr="007C4AF6">
        <w:rPr>
          <w:rFonts w:ascii="Arial" w:hAnsi="Arial" w:cs="Arial"/>
          <w:b/>
          <w:sz w:val="24"/>
          <w:szCs w:val="24"/>
          <w:u w:val="single"/>
          <w:lang w:val="en-US"/>
        </w:rPr>
        <w:lastRenderedPageBreak/>
        <w:t xml:space="preserve">LEGAL POSITION </w:t>
      </w:r>
    </w:p>
    <w:p w:rsidR="0007156A" w:rsidRPr="007C4AF6" w:rsidRDefault="0007156A" w:rsidP="007C4AF6">
      <w:pPr>
        <w:spacing w:after="0" w:line="360" w:lineRule="auto"/>
        <w:jc w:val="both"/>
        <w:rPr>
          <w:rFonts w:ascii="Arial" w:hAnsi="Arial" w:cs="Arial"/>
          <w:b/>
          <w:sz w:val="24"/>
          <w:szCs w:val="24"/>
          <w:lang w:val="en-US"/>
        </w:rPr>
      </w:pPr>
    </w:p>
    <w:p w:rsidR="0051572D" w:rsidRDefault="0051572D" w:rsidP="007C4AF6">
      <w:pPr>
        <w:spacing w:after="0" w:line="360" w:lineRule="auto"/>
        <w:jc w:val="both"/>
        <w:rPr>
          <w:rFonts w:ascii="Arial" w:hAnsi="Arial" w:cs="Arial"/>
          <w:b/>
          <w:i/>
          <w:sz w:val="24"/>
          <w:szCs w:val="24"/>
          <w:lang w:val="en-US"/>
        </w:rPr>
      </w:pPr>
      <w:r w:rsidRPr="007C4AF6">
        <w:rPr>
          <w:rFonts w:ascii="Arial" w:hAnsi="Arial" w:cs="Arial"/>
          <w:b/>
          <w:sz w:val="24"/>
          <w:szCs w:val="24"/>
          <w:lang w:val="en-US"/>
        </w:rPr>
        <w:t xml:space="preserve">Special plea of </w:t>
      </w:r>
      <w:r w:rsidR="00127D40" w:rsidRPr="007C4AF6">
        <w:rPr>
          <w:rFonts w:ascii="Arial" w:hAnsi="Arial" w:cs="Arial"/>
          <w:b/>
          <w:i/>
          <w:sz w:val="24"/>
          <w:szCs w:val="24"/>
          <w:lang w:val="en-US"/>
        </w:rPr>
        <w:t>l</w:t>
      </w:r>
      <w:r w:rsidRPr="007C4AF6">
        <w:rPr>
          <w:rFonts w:ascii="Arial" w:hAnsi="Arial" w:cs="Arial"/>
          <w:b/>
          <w:i/>
          <w:sz w:val="24"/>
          <w:szCs w:val="24"/>
          <w:lang w:val="en-US"/>
        </w:rPr>
        <w:t xml:space="preserve">is </w:t>
      </w:r>
      <w:r w:rsidR="002D45F8" w:rsidRPr="007C4AF6">
        <w:rPr>
          <w:rFonts w:ascii="Arial" w:hAnsi="Arial" w:cs="Arial"/>
          <w:b/>
          <w:i/>
          <w:sz w:val="24"/>
          <w:szCs w:val="24"/>
          <w:lang w:val="en-US"/>
        </w:rPr>
        <w:t>alibi p</w:t>
      </w:r>
      <w:r w:rsidRPr="007C4AF6">
        <w:rPr>
          <w:rFonts w:ascii="Arial" w:hAnsi="Arial" w:cs="Arial"/>
          <w:b/>
          <w:i/>
          <w:sz w:val="24"/>
          <w:szCs w:val="24"/>
          <w:lang w:val="en-US"/>
        </w:rPr>
        <w:t xml:space="preserve">endens </w:t>
      </w:r>
    </w:p>
    <w:p w:rsidR="00B65698" w:rsidRPr="007C4AF6" w:rsidRDefault="00B65698" w:rsidP="007C4AF6">
      <w:pPr>
        <w:spacing w:after="0" w:line="360" w:lineRule="auto"/>
        <w:jc w:val="both"/>
        <w:rPr>
          <w:rFonts w:ascii="Arial" w:hAnsi="Arial" w:cs="Arial"/>
          <w:b/>
          <w:i/>
          <w:sz w:val="24"/>
          <w:szCs w:val="24"/>
          <w:lang w:val="en-US"/>
        </w:rPr>
      </w:pPr>
    </w:p>
    <w:p w:rsidR="0051572D" w:rsidRPr="007C4AF6" w:rsidRDefault="000F6821"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[21</w:t>
      </w:r>
      <w:r w:rsidR="0051572D" w:rsidRPr="007C4AF6">
        <w:rPr>
          <w:rFonts w:ascii="Arial" w:hAnsi="Arial" w:cs="Arial"/>
          <w:sz w:val="24"/>
          <w:szCs w:val="24"/>
          <w:lang w:val="en-US"/>
        </w:rPr>
        <w:t>]</w:t>
      </w:r>
      <w:r w:rsidR="002D2B02" w:rsidRPr="007C4AF6">
        <w:rPr>
          <w:rFonts w:ascii="Arial" w:hAnsi="Arial" w:cs="Arial"/>
          <w:sz w:val="24"/>
          <w:szCs w:val="24"/>
          <w:lang w:val="en-US"/>
        </w:rPr>
        <w:tab/>
      </w:r>
      <w:r w:rsidR="0051572D" w:rsidRPr="007C4AF6">
        <w:rPr>
          <w:rFonts w:ascii="Arial" w:hAnsi="Arial" w:cs="Arial"/>
          <w:sz w:val="24"/>
          <w:szCs w:val="24"/>
          <w:lang w:val="en-US"/>
        </w:rPr>
        <w:t>The LPC resist this application on the basis that there are pending proceedings before this court in case number 4514/2023, which concern</w:t>
      </w:r>
      <w:r w:rsidR="00127D40" w:rsidRPr="007C4AF6">
        <w:rPr>
          <w:rFonts w:ascii="Arial" w:hAnsi="Arial" w:cs="Arial"/>
          <w:sz w:val="24"/>
          <w:szCs w:val="24"/>
          <w:lang w:val="en-US"/>
        </w:rPr>
        <w:t>s</w:t>
      </w:r>
      <w:r w:rsidR="0051572D" w:rsidRPr="007C4AF6">
        <w:rPr>
          <w:rFonts w:ascii="Arial" w:hAnsi="Arial" w:cs="Arial"/>
          <w:sz w:val="24"/>
          <w:szCs w:val="24"/>
          <w:lang w:val="en-US"/>
        </w:rPr>
        <w:t xml:space="preserve"> the same part</w:t>
      </w:r>
      <w:r w:rsidR="00D436DF" w:rsidRPr="007C4AF6">
        <w:rPr>
          <w:rFonts w:ascii="Arial" w:hAnsi="Arial" w:cs="Arial"/>
          <w:sz w:val="24"/>
          <w:szCs w:val="24"/>
          <w:lang w:val="en-US"/>
        </w:rPr>
        <w:t>ies, where the same dispute of a</w:t>
      </w:r>
      <w:r w:rsidR="0051572D" w:rsidRPr="007C4AF6">
        <w:rPr>
          <w:rFonts w:ascii="Arial" w:hAnsi="Arial" w:cs="Arial"/>
          <w:sz w:val="24"/>
          <w:szCs w:val="24"/>
          <w:lang w:val="en-US"/>
        </w:rPr>
        <w:t>pplicants practicing without</w:t>
      </w:r>
      <w:r w:rsidR="00127D40" w:rsidRPr="007C4AF6">
        <w:rPr>
          <w:rFonts w:ascii="Arial" w:hAnsi="Arial" w:cs="Arial"/>
          <w:sz w:val="24"/>
          <w:szCs w:val="24"/>
          <w:lang w:val="en-US"/>
        </w:rPr>
        <w:t xml:space="preserve"> </w:t>
      </w:r>
      <w:r w:rsidR="004A5EBD" w:rsidRPr="007C4AF6">
        <w:rPr>
          <w:rFonts w:ascii="Arial" w:hAnsi="Arial" w:cs="Arial"/>
          <w:sz w:val="24"/>
          <w:szCs w:val="24"/>
          <w:lang w:val="en-US"/>
        </w:rPr>
        <w:t xml:space="preserve">Fidelity </w:t>
      </w:r>
      <w:r w:rsidR="0051572D" w:rsidRPr="007C4AF6">
        <w:rPr>
          <w:rFonts w:ascii="Arial" w:hAnsi="Arial" w:cs="Arial"/>
          <w:sz w:val="24"/>
          <w:szCs w:val="24"/>
          <w:lang w:val="en-US"/>
        </w:rPr>
        <w:t xml:space="preserve">Fund </w:t>
      </w:r>
      <w:r w:rsidR="00AE1F1C">
        <w:rPr>
          <w:rFonts w:ascii="Arial" w:hAnsi="Arial" w:cs="Arial"/>
          <w:sz w:val="24"/>
          <w:szCs w:val="24"/>
          <w:lang w:val="en-US"/>
        </w:rPr>
        <w:t>C</w:t>
      </w:r>
      <w:r w:rsidR="00127D40" w:rsidRPr="007C4AF6">
        <w:rPr>
          <w:rFonts w:ascii="Arial" w:hAnsi="Arial" w:cs="Arial"/>
          <w:sz w:val="24"/>
          <w:szCs w:val="24"/>
          <w:lang w:val="en-US"/>
        </w:rPr>
        <w:t>ertificates</w:t>
      </w:r>
      <w:r w:rsidR="0051572D" w:rsidRPr="007C4AF6">
        <w:rPr>
          <w:rFonts w:ascii="Arial" w:hAnsi="Arial" w:cs="Arial"/>
          <w:sz w:val="24"/>
          <w:szCs w:val="24"/>
          <w:lang w:val="en-US"/>
        </w:rPr>
        <w:t xml:space="preserve"> is at issue and concerns the same subject matter.</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0F6821"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[22</w:t>
      </w:r>
      <w:r w:rsidR="0051572D" w:rsidRPr="007C4AF6">
        <w:rPr>
          <w:rFonts w:ascii="Arial" w:hAnsi="Arial" w:cs="Arial"/>
          <w:sz w:val="24"/>
          <w:szCs w:val="24"/>
          <w:lang w:val="en-US"/>
        </w:rPr>
        <w:t>]</w:t>
      </w:r>
      <w:r w:rsidR="002D2B02" w:rsidRPr="007C4AF6">
        <w:rPr>
          <w:rFonts w:ascii="Arial" w:hAnsi="Arial" w:cs="Arial"/>
          <w:sz w:val="24"/>
          <w:szCs w:val="24"/>
          <w:lang w:val="en-US"/>
        </w:rPr>
        <w:tab/>
      </w:r>
      <w:r w:rsidR="00A1734F" w:rsidRPr="007C4AF6">
        <w:rPr>
          <w:rFonts w:ascii="Arial" w:hAnsi="Arial" w:cs="Arial"/>
          <w:sz w:val="24"/>
          <w:szCs w:val="24"/>
          <w:lang w:val="en-US"/>
        </w:rPr>
        <w:t>It is trite law that a</w:t>
      </w:r>
      <w:r w:rsidR="0051572D" w:rsidRPr="007C4AF6">
        <w:rPr>
          <w:rFonts w:ascii="Arial" w:hAnsi="Arial" w:cs="Arial"/>
          <w:sz w:val="24"/>
          <w:szCs w:val="24"/>
          <w:lang w:val="en-US"/>
        </w:rPr>
        <w:t xml:space="preserve"> party wishing to raise a </w:t>
      </w:r>
      <w:r w:rsidR="00127D40" w:rsidRPr="007C4AF6">
        <w:rPr>
          <w:rFonts w:ascii="Arial" w:hAnsi="Arial" w:cs="Arial"/>
          <w:i/>
          <w:sz w:val="24"/>
          <w:szCs w:val="24"/>
          <w:lang w:val="en-US"/>
        </w:rPr>
        <w:t>l</w:t>
      </w:r>
      <w:r w:rsidR="0051572D" w:rsidRPr="007C4AF6">
        <w:rPr>
          <w:rFonts w:ascii="Arial" w:hAnsi="Arial" w:cs="Arial"/>
          <w:i/>
          <w:sz w:val="24"/>
          <w:szCs w:val="24"/>
          <w:lang w:val="en-US"/>
        </w:rPr>
        <w:t>is</w:t>
      </w:r>
      <w:r w:rsidR="002D45F8" w:rsidRPr="007C4AF6">
        <w:rPr>
          <w:rFonts w:ascii="Arial" w:hAnsi="Arial" w:cs="Arial"/>
          <w:i/>
          <w:sz w:val="24"/>
          <w:szCs w:val="24"/>
          <w:lang w:val="en-US"/>
        </w:rPr>
        <w:t xml:space="preserve"> alibi</w:t>
      </w:r>
      <w:r w:rsidR="0051572D" w:rsidRPr="007C4AF6">
        <w:rPr>
          <w:rFonts w:ascii="Arial" w:hAnsi="Arial" w:cs="Arial"/>
          <w:i/>
          <w:sz w:val="24"/>
          <w:szCs w:val="24"/>
          <w:lang w:val="en-US"/>
        </w:rPr>
        <w:t xml:space="preserve"> pendens</w:t>
      </w:r>
      <w:r w:rsidR="0051572D" w:rsidRPr="007C4AF6">
        <w:rPr>
          <w:rFonts w:ascii="Arial" w:hAnsi="Arial" w:cs="Arial"/>
          <w:sz w:val="24"/>
          <w:szCs w:val="24"/>
          <w:lang w:val="en-US"/>
        </w:rPr>
        <w:t xml:space="preserve"> </w:t>
      </w:r>
      <w:r w:rsidR="002D45F8" w:rsidRPr="007C4AF6">
        <w:rPr>
          <w:rFonts w:ascii="Arial" w:hAnsi="Arial" w:cs="Arial"/>
          <w:sz w:val="24"/>
          <w:szCs w:val="24"/>
          <w:lang w:val="en-US"/>
        </w:rPr>
        <w:t>defen</w:t>
      </w:r>
      <w:r w:rsidR="00891C81" w:rsidRPr="007C4AF6">
        <w:rPr>
          <w:rFonts w:ascii="Arial" w:hAnsi="Arial" w:cs="Arial"/>
          <w:sz w:val="24"/>
          <w:szCs w:val="24"/>
          <w:lang w:val="en-US"/>
        </w:rPr>
        <w:t>c</w:t>
      </w:r>
      <w:r w:rsidR="002D45F8" w:rsidRPr="007C4AF6">
        <w:rPr>
          <w:rFonts w:ascii="Arial" w:hAnsi="Arial" w:cs="Arial"/>
          <w:sz w:val="24"/>
          <w:szCs w:val="24"/>
          <w:lang w:val="en-US"/>
        </w:rPr>
        <w:t xml:space="preserve">e </w:t>
      </w:r>
      <w:r w:rsidR="0051572D" w:rsidRPr="007C4AF6">
        <w:rPr>
          <w:rFonts w:ascii="Arial" w:hAnsi="Arial" w:cs="Arial"/>
          <w:sz w:val="24"/>
          <w:szCs w:val="24"/>
          <w:lang w:val="en-US"/>
        </w:rPr>
        <w:t>bears</w:t>
      </w:r>
      <w:r w:rsidR="002D45F8" w:rsidRPr="007C4AF6">
        <w:rPr>
          <w:rFonts w:ascii="Arial" w:hAnsi="Arial" w:cs="Arial"/>
          <w:sz w:val="24"/>
          <w:szCs w:val="24"/>
          <w:lang w:val="en-US"/>
        </w:rPr>
        <w:t xml:space="preserve"> the</w:t>
      </w:r>
      <w:r w:rsidR="0051572D" w:rsidRPr="007C4AF6">
        <w:rPr>
          <w:rFonts w:ascii="Arial" w:hAnsi="Arial" w:cs="Arial"/>
          <w:sz w:val="24"/>
          <w:szCs w:val="24"/>
          <w:lang w:val="en-US"/>
        </w:rPr>
        <w:t xml:space="preserve"> onus of alleging and proving the </w:t>
      </w:r>
      <w:r w:rsidR="00E800E8" w:rsidRPr="007C4AF6">
        <w:rPr>
          <w:rFonts w:ascii="Arial" w:hAnsi="Arial" w:cs="Arial"/>
          <w:sz w:val="24"/>
          <w:szCs w:val="24"/>
          <w:lang w:val="en-US"/>
        </w:rPr>
        <w:t>following:</w:t>
      </w:r>
    </w:p>
    <w:p w:rsidR="0051572D" w:rsidRPr="007C4AF6" w:rsidRDefault="0007156A" w:rsidP="007C4AF6">
      <w:pPr>
        <w:spacing w:after="0" w:line="360" w:lineRule="auto"/>
        <w:ind w:firstLine="720"/>
        <w:jc w:val="both"/>
        <w:rPr>
          <w:rFonts w:ascii="Arial" w:hAnsi="Arial" w:cs="Arial"/>
          <w:lang w:val="en-US"/>
        </w:rPr>
      </w:pPr>
      <w:r w:rsidRPr="007C4AF6">
        <w:rPr>
          <w:rFonts w:ascii="Arial" w:hAnsi="Arial" w:cs="Arial"/>
          <w:lang w:val="en-US"/>
        </w:rPr>
        <w:t>“</w:t>
      </w:r>
      <w:r w:rsidR="0051572D" w:rsidRPr="007C4AF6">
        <w:rPr>
          <w:rFonts w:ascii="Arial" w:hAnsi="Arial" w:cs="Arial"/>
          <w:lang w:val="en-US"/>
        </w:rPr>
        <w:t>(a)</w:t>
      </w:r>
      <w:r w:rsidRPr="007C4AF6">
        <w:rPr>
          <w:rFonts w:ascii="Arial" w:hAnsi="Arial" w:cs="Arial"/>
          <w:lang w:val="en-US"/>
        </w:rPr>
        <w:tab/>
      </w:r>
      <w:r w:rsidR="002D45F8" w:rsidRPr="007C4AF6">
        <w:rPr>
          <w:rFonts w:ascii="Arial" w:hAnsi="Arial" w:cs="Arial"/>
          <w:lang w:val="en-US"/>
        </w:rPr>
        <w:t xml:space="preserve">a </w:t>
      </w:r>
      <w:r w:rsidR="0051572D" w:rsidRPr="007C4AF6">
        <w:rPr>
          <w:rFonts w:ascii="Arial" w:hAnsi="Arial" w:cs="Arial"/>
          <w:lang w:val="en-US"/>
        </w:rPr>
        <w:t>pending litigation.</w:t>
      </w:r>
      <w:r w:rsidR="0051572D" w:rsidRPr="007C4AF6">
        <w:rPr>
          <w:rFonts w:ascii="Arial" w:hAnsi="Arial" w:cs="Times New Roman"/>
          <w:vertAlign w:val="superscript"/>
          <w:lang w:val="en-US"/>
        </w:rPr>
        <w:footnoteReference w:id="4"/>
      </w:r>
      <w:r w:rsidR="0051572D" w:rsidRPr="007C4AF6">
        <w:rPr>
          <w:rFonts w:ascii="Arial" w:hAnsi="Arial" w:cs="Arial"/>
          <w:lang w:val="en-US"/>
        </w:rPr>
        <w:t xml:space="preserve"> </w:t>
      </w:r>
    </w:p>
    <w:p w:rsidR="0051572D" w:rsidRPr="007C4AF6" w:rsidRDefault="0007156A" w:rsidP="007C4AF6">
      <w:pPr>
        <w:spacing w:after="0" w:line="360" w:lineRule="auto"/>
        <w:ind w:firstLine="720"/>
        <w:jc w:val="both"/>
        <w:rPr>
          <w:rFonts w:ascii="Arial" w:hAnsi="Arial" w:cs="Arial"/>
          <w:lang w:val="en-US"/>
        </w:rPr>
      </w:pPr>
      <w:r w:rsidRPr="007C4AF6">
        <w:rPr>
          <w:rFonts w:ascii="Arial" w:hAnsi="Arial" w:cs="Arial"/>
          <w:lang w:val="en-US"/>
        </w:rPr>
        <w:t xml:space="preserve"> </w:t>
      </w:r>
      <w:r w:rsidR="0051572D" w:rsidRPr="007C4AF6">
        <w:rPr>
          <w:rFonts w:ascii="Arial" w:hAnsi="Arial" w:cs="Arial"/>
          <w:lang w:val="en-US"/>
        </w:rPr>
        <w:t>(b)</w:t>
      </w:r>
      <w:r w:rsidRPr="007C4AF6">
        <w:rPr>
          <w:rFonts w:ascii="Arial" w:hAnsi="Arial" w:cs="Arial"/>
          <w:lang w:val="en-US"/>
        </w:rPr>
        <w:tab/>
      </w:r>
      <w:r w:rsidR="0051572D" w:rsidRPr="007C4AF6">
        <w:rPr>
          <w:rFonts w:ascii="Arial" w:hAnsi="Arial" w:cs="Arial"/>
          <w:lang w:val="en-US"/>
        </w:rPr>
        <w:t>between the same parties or their privies,</w:t>
      </w:r>
      <w:r w:rsidR="0051572D" w:rsidRPr="007C4AF6">
        <w:rPr>
          <w:rFonts w:ascii="Arial" w:hAnsi="Arial" w:cs="Times New Roman"/>
          <w:vertAlign w:val="superscript"/>
          <w:lang w:val="en-US"/>
        </w:rPr>
        <w:footnoteReference w:id="5"/>
      </w:r>
    </w:p>
    <w:p w:rsidR="0051572D" w:rsidRPr="007C4AF6" w:rsidRDefault="0007156A" w:rsidP="007C4AF6">
      <w:pPr>
        <w:spacing w:after="0" w:line="360" w:lineRule="auto"/>
        <w:ind w:left="1440" w:hanging="720"/>
        <w:jc w:val="both"/>
        <w:rPr>
          <w:rFonts w:ascii="Arial" w:hAnsi="Arial" w:cs="Arial"/>
          <w:lang w:val="en-US"/>
        </w:rPr>
      </w:pPr>
      <w:r w:rsidRPr="007C4AF6">
        <w:rPr>
          <w:rFonts w:ascii="Arial" w:hAnsi="Arial" w:cs="Arial"/>
          <w:lang w:val="en-US"/>
        </w:rPr>
        <w:t xml:space="preserve"> </w:t>
      </w:r>
      <w:r w:rsidR="006107C5" w:rsidRPr="007C4AF6">
        <w:rPr>
          <w:rFonts w:ascii="Arial" w:hAnsi="Arial" w:cs="Arial"/>
          <w:lang w:val="en-US"/>
        </w:rPr>
        <w:t>(c)</w:t>
      </w:r>
      <w:r w:rsidRPr="007C4AF6">
        <w:rPr>
          <w:rFonts w:ascii="Arial" w:hAnsi="Arial" w:cs="Arial"/>
          <w:lang w:val="en-US"/>
        </w:rPr>
        <w:tab/>
      </w:r>
      <w:r w:rsidR="0051572D" w:rsidRPr="007C4AF6">
        <w:rPr>
          <w:rFonts w:ascii="Arial" w:hAnsi="Arial" w:cs="Arial"/>
          <w:lang w:val="en-US"/>
        </w:rPr>
        <w:t xml:space="preserve">based on the same cause of action (the requirement of the </w:t>
      </w:r>
      <w:r w:rsidR="00EB37F4" w:rsidRPr="007C4AF6">
        <w:rPr>
          <w:rFonts w:ascii="Arial" w:hAnsi="Arial" w:cs="Arial"/>
          <w:lang w:val="en-US"/>
        </w:rPr>
        <w:t xml:space="preserve">same </w:t>
      </w:r>
      <w:r w:rsidR="0051572D" w:rsidRPr="007C4AF6">
        <w:rPr>
          <w:rFonts w:ascii="Arial" w:hAnsi="Arial" w:cs="Arial"/>
          <w:lang w:val="en-US"/>
        </w:rPr>
        <w:t>cause of action is satisfied if the other proceedings involved determination of a question that is necessary for the determination of the present case and substantially determinative of its outcome),</w:t>
      </w:r>
      <w:r w:rsidR="0051572D" w:rsidRPr="007C4AF6">
        <w:rPr>
          <w:rFonts w:ascii="Arial" w:hAnsi="Arial" w:cs="Times New Roman"/>
          <w:vertAlign w:val="superscript"/>
          <w:lang w:val="en-US"/>
        </w:rPr>
        <w:footnoteReference w:id="6"/>
      </w:r>
      <w:r w:rsidR="002D45F8" w:rsidRPr="007C4AF6">
        <w:rPr>
          <w:rFonts w:ascii="Arial" w:hAnsi="Arial" w:cs="Arial"/>
          <w:lang w:val="en-US"/>
        </w:rPr>
        <w:t>and</w:t>
      </w:r>
    </w:p>
    <w:p w:rsidR="0051572D" w:rsidRPr="007C4AF6" w:rsidRDefault="0051572D" w:rsidP="007C4AF6">
      <w:pPr>
        <w:spacing w:after="0" w:line="360" w:lineRule="auto"/>
        <w:ind w:left="1440" w:hanging="660"/>
        <w:jc w:val="both"/>
        <w:rPr>
          <w:rFonts w:ascii="Arial" w:hAnsi="Arial" w:cs="Arial"/>
          <w:sz w:val="24"/>
          <w:szCs w:val="24"/>
          <w:lang w:val="en-US"/>
        </w:rPr>
      </w:pPr>
      <w:r w:rsidRPr="007C4AF6">
        <w:rPr>
          <w:rFonts w:ascii="Arial" w:hAnsi="Arial" w:cs="Arial"/>
          <w:lang w:val="en-US"/>
        </w:rPr>
        <w:t>(d)</w:t>
      </w:r>
      <w:r w:rsidR="001308F8" w:rsidRPr="007C4AF6">
        <w:rPr>
          <w:rFonts w:ascii="Arial" w:hAnsi="Arial" w:cs="Arial"/>
          <w:lang w:val="en-US"/>
        </w:rPr>
        <w:tab/>
      </w:r>
      <w:r w:rsidRPr="007C4AF6">
        <w:rPr>
          <w:rFonts w:ascii="Arial" w:hAnsi="Arial" w:cs="Arial"/>
          <w:lang w:val="en-US"/>
        </w:rPr>
        <w:t xml:space="preserve">in respect of the same subject matter. (This </w:t>
      </w:r>
      <w:r w:rsidR="006107C5" w:rsidRPr="007C4AF6">
        <w:rPr>
          <w:rFonts w:ascii="Arial" w:hAnsi="Arial" w:cs="Arial"/>
          <w:lang w:val="en-US"/>
        </w:rPr>
        <w:t xml:space="preserve">does not mean that the form of </w:t>
      </w:r>
      <w:r w:rsidRPr="007C4AF6">
        <w:rPr>
          <w:rFonts w:ascii="Arial" w:hAnsi="Arial" w:cs="Arial"/>
          <w:lang w:val="en-US"/>
        </w:rPr>
        <w:t>rel</w:t>
      </w:r>
      <w:r w:rsidR="0007156A" w:rsidRPr="007C4AF6">
        <w:rPr>
          <w:rFonts w:ascii="Arial" w:hAnsi="Arial" w:cs="Arial"/>
          <w:lang w:val="en-US"/>
        </w:rPr>
        <w:t>ief claimed must be identical.)”</w:t>
      </w:r>
      <w:r w:rsidRPr="007C4AF6">
        <w:rPr>
          <w:rFonts w:ascii="Arial" w:hAnsi="Arial" w:cs="Times New Roman"/>
          <w:sz w:val="24"/>
          <w:szCs w:val="24"/>
          <w:vertAlign w:val="superscript"/>
          <w:lang w:val="en-US"/>
        </w:rPr>
        <w:footnoteReference w:id="7"/>
      </w:r>
    </w:p>
    <w:p w:rsidR="0007156A" w:rsidRPr="007C4AF6" w:rsidRDefault="0007156A" w:rsidP="007C4AF6">
      <w:pPr>
        <w:spacing w:after="0" w:line="360" w:lineRule="auto"/>
        <w:ind w:left="2040" w:hanging="600"/>
        <w:jc w:val="both"/>
        <w:rPr>
          <w:rFonts w:ascii="Arial" w:hAnsi="Arial" w:cs="Arial"/>
          <w:sz w:val="24"/>
          <w:szCs w:val="24"/>
          <w:lang w:val="en-US"/>
        </w:rPr>
      </w:pPr>
    </w:p>
    <w:p w:rsidR="0051572D" w:rsidRPr="007C4AF6" w:rsidRDefault="000F6821"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[23</w:t>
      </w:r>
      <w:r w:rsidR="006107C5" w:rsidRPr="007C4AF6">
        <w:rPr>
          <w:rFonts w:ascii="Arial" w:hAnsi="Arial" w:cs="Arial"/>
          <w:sz w:val="24"/>
          <w:szCs w:val="24"/>
          <w:lang w:val="en-US"/>
        </w:rPr>
        <w:t>]</w:t>
      </w:r>
      <w:r w:rsidR="006107C5" w:rsidRPr="007C4AF6">
        <w:rPr>
          <w:rFonts w:ascii="Arial" w:hAnsi="Arial" w:cs="Arial"/>
          <w:sz w:val="24"/>
          <w:szCs w:val="24"/>
          <w:lang w:val="en-US"/>
        </w:rPr>
        <w:tab/>
      </w:r>
      <w:r w:rsidR="0051572D" w:rsidRPr="007C4AF6">
        <w:rPr>
          <w:rFonts w:ascii="Arial" w:hAnsi="Arial" w:cs="Arial"/>
          <w:sz w:val="24"/>
          <w:szCs w:val="24"/>
          <w:lang w:val="en-US"/>
        </w:rPr>
        <w:t>The onus of proving the requisites rests on the party raising the defence.</w:t>
      </w:r>
      <w:r w:rsidR="0051572D" w:rsidRPr="007C4AF6">
        <w:rPr>
          <w:rFonts w:ascii="Arial" w:hAnsi="Arial" w:cs="Times New Roman"/>
          <w:sz w:val="24"/>
          <w:szCs w:val="24"/>
          <w:vertAlign w:val="superscript"/>
          <w:lang w:val="en-US"/>
        </w:rPr>
        <w:footnoteReference w:id="8"/>
      </w:r>
      <w:r w:rsidR="0051572D" w:rsidRPr="007C4AF6">
        <w:rPr>
          <w:rFonts w:ascii="Arial" w:hAnsi="Arial" w:cs="Arial"/>
          <w:sz w:val="24"/>
          <w:szCs w:val="24"/>
          <w:lang w:val="en-US"/>
        </w:rPr>
        <w:t xml:space="preserve"> Once they have been established, a factual presumption arises that the second proceedings must satisfy the court that despite all the elements being present, the balance of convenience and equity require the case to proceed. A court has an overriding discretion to order a st</w:t>
      </w:r>
      <w:r w:rsidR="006A7F37" w:rsidRPr="007C4AF6">
        <w:rPr>
          <w:rFonts w:ascii="Arial" w:hAnsi="Arial" w:cs="Arial"/>
          <w:sz w:val="24"/>
          <w:szCs w:val="24"/>
          <w:lang w:val="en-US"/>
        </w:rPr>
        <w:t>ay even if all the elements are</w:t>
      </w:r>
      <w:r w:rsidR="0051572D" w:rsidRPr="007C4AF6">
        <w:rPr>
          <w:rFonts w:ascii="Arial" w:hAnsi="Arial" w:cs="Arial"/>
          <w:sz w:val="24"/>
          <w:szCs w:val="24"/>
          <w:lang w:val="en-US"/>
        </w:rPr>
        <w:t xml:space="preserve"> present.</w:t>
      </w:r>
      <w:r w:rsidR="0051572D" w:rsidRPr="007C4AF6">
        <w:rPr>
          <w:rFonts w:ascii="Arial" w:hAnsi="Arial" w:cs="Times New Roman"/>
          <w:sz w:val="24"/>
          <w:szCs w:val="24"/>
          <w:vertAlign w:val="superscript"/>
          <w:lang w:val="en-US"/>
        </w:rPr>
        <w:footnoteReference w:id="9"/>
      </w:r>
      <w:r w:rsidR="006A7F37" w:rsidRPr="007C4AF6">
        <w:rPr>
          <w:rFonts w:ascii="Arial" w:hAnsi="Arial" w:cs="Arial"/>
          <w:sz w:val="24"/>
          <w:szCs w:val="24"/>
          <w:lang w:val="en-US"/>
        </w:rPr>
        <w:t xml:space="preserve"> </w:t>
      </w:r>
    </w:p>
    <w:p w:rsidR="0007156A" w:rsidRPr="007C4AF6" w:rsidRDefault="0007156A" w:rsidP="007C4AF6">
      <w:pPr>
        <w:spacing w:after="0" w:line="360" w:lineRule="auto"/>
        <w:ind w:left="720" w:hanging="720"/>
        <w:jc w:val="both"/>
        <w:rPr>
          <w:rFonts w:ascii="Arial" w:hAnsi="Arial" w:cs="Arial"/>
          <w:sz w:val="24"/>
          <w:szCs w:val="24"/>
          <w:lang w:val="en-US"/>
        </w:rPr>
      </w:pPr>
    </w:p>
    <w:p w:rsidR="007C4260" w:rsidRDefault="000F6821"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[24]</w:t>
      </w:r>
      <w:r w:rsidRPr="007C4AF6">
        <w:rPr>
          <w:rFonts w:ascii="Arial" w:hAnsi="Arial" w:cs="Arial"/>
          <w:sz w:val="24"/>
          <w:szCs w:val="24"/>
          <w:lang w:val="en-US"/>
        </w:rPr>
        <w:tab/>
      </w:r>
      <w:r w:rsidR="0051572D" w:rsidRPr="007C4AF6">
        <w:rPr>
          <w:rFonts w:ascii="Arial" w:hAnsi="Arial" w:cs="Arial"/>
          <w:sz w:val="24"/>
          <w:szCs w:val="24"/>
          <w:lang w:val="en-US"/>
        </w:rPr>
        <w:t>The proceedings</w:t>
      </w:r>
      <w:r w:rsidR="00A1734F" w:rsidRPr="007C4AF6">
        <w:rPr>
          <w:rFonts w:ascii="Arial" w:hAnsi="Arial" w:cs="Arial"/>
          <w:sz w:val="24"/>
          <w:szCs w:val="24"/>
          <w:lang w:val="en-US"/>
        </w:rPr>
        <w:t xml:space="preserve"> under case number 4514/2023 were</w:t>
      </w:r>
      <w:r w:rsidR="0051572D" w:rsidRPr="007C4AF6">
        <w:rPr>
          <w:rFonts w:ascii="Arial" w:hAnsi="Arial" w:cs="Arial"/>
          <w:sz w:val="24"/>
          <w:szCs w:val="24"/>
          <w:lang w:val="en-US"/>
        </w:rPr>
        <w:t xml:space="preserve"> brought on</w:t>
      </w:r>
      <w:r w:rsidR="00891C81" w:rsidRPr="007C4AF6">
        <w:rPr>
          <w:rFonts w:ascii="Arial" w:hAnsi="Arial" w:cs="Arial"/>
          <w:sz w:val="24"/>
          <w:szCs w:val="24"/>
          <w:lang w:val="en-US"/>
        </w:rPr>
        <w:t xml:space="preserve"> an</w:t>
      </w:r>
      <w:r w:rsidR="0051572D" w:rsidRPr="007C4AF6">
        <w:rPr>
          <w:rFonts w:ascii="Arial" w:hAnsi="Arial" w:cs="Arial"/>
          <w:sz w:val="24"/>
          <w:szCs w:val="24"/>
          <w:lang w:val="en-US"/>
        </w:rPr>
        <w:t xml:space="preserve"> urgent basis by the LPC in terms of section 43 of the </w:t>
      </w:r>
      <w:r w:rsidR="00891C81" w:rsidRPr="007C4AF6">
        <w:rPr>
          <w:rFonts w:ascii="Arial" w:hAnsi="Arial" w:cs="Arial"/>
          <w:sz w:val="24"/>
          <w:szCs w:val="24"/>
          <w:lang w:val="en-US"/>
        </w:rPr>
        <w:t>A</w:t>
      </w:r>
      <w:r w:rsidR="0051572D" w:rsidRPr="007C4AF6">
        <w:rPr>
          <w:rFonts w:ascii="Arial" w:hAnsi="Arial" w:cs="Arial"/>
          <w:sz w:val="24"/>
          <w:szCs w:val="24"/>
          <w:lang w:val="en-US"/>
        </w:rPr>
        <w:t>ct seeking an order for the suspension</w:t>
      </w:r>
      <w:r w:rsidR="0051572D" w:rsidRPr="007C4AF6">
        <w:rPr>
          <w:rFonts w:ascii="Arial" w:hAnsi="Arial" w:cs="Times New Roman"/>
          <w:sz w:val="24"/>
          <w:szCs w:val="24"/>
          <w:vertAlign w:val="superscript"/>
          <w:lang w:val="en-US"/>
        </w:rPr>
        <w:footnoteReference w:id="10"/>
      </w:r>
      <w:r w:rsidR="0051572D" w:rsidRPr="007C4AF6">
        <w:rPr>
          <w:rFonts w:ascii="Arial" w:hAnsi="Arial" w:cs="Arial"/>
          <w:sz w:val="24"/>
          <w:szCs w:val="24"/>
          <w:lang w:val="en-US"/>
        </w:rPr>
        <w:t xml:space="preserve"> of the </w:t>
      </w:r>
      <w:r w:rsidR="006A7F37" w:rsidRPr="007C4AF6">
        <w:rPr>
          <w:rFonts w:ascii="Arial" w:hAnsi="Arial" w:cs="Arial"/>
          <w:sz w:val="24"/>
          <w:szCs w:val="24"/>
          <w:lang w:val="en-US"/>
        </w:rPr>
        <w:t xml:space="preserve">first and second </w:t>
      </w:r>
      <w:r w:rsidR="00D436DF" w:rsidRPr="007C4AF6">
        <w:rPr>
          <w:rFonts w:ascii="Arial" w:hAnsi="Arial" w:cs="Arial"/>
          <w:sz w:val="24"/>
          <w:szCs w:val="24"/>
          <w:lang w:val="en-US"/>
        </w:rPr>
        <w:t>a</w:t>
      </w:r>
      <w:r w:rsidR="0051572D" w:rsidRPr="007C4AF6">
        <w:rPr>
          <w:rFonts w:ascii="Arial" w:hAnsi="Arial" w:cs="Arial"/>
          <w:sz w:val="24"/>
          <w:szCs w:val="24"/>
          <w:lang w:val="en-US"/>
        </w:rPr>
        <w:t>pplicants</w:t>
      </w:r>
      <w:r w:rsidR="006A7F37" w:rsidRPr="007C4AF6">
        <w:rPr>
          <w:rFonts w:ascii="Arial" w:hAnsi="Arial" w:cs="Arial"/>
          <w:sz w:val="24"/>
          <w:szCs w:val="24"/>
          <w:lang w:val="en-US"/>
        </w:rPr>
        <w:t xml:space="preserve"> </w:t>
      </w:r>
      <w:r w:rsidR="0051572D" w:rsidRPr="007C4AF6">
        <w:rPr>
          <w:rFonts w:ascii="Arial" w:hAnsi="Arial" w:cs="Arial"/>
          <w:sz w:val="24"/>
          <w:szCs w:val="24"/>
          <w:lang w:val="en-US"/>
        </w:rPr>
        <w:t>for practicing without</w:t>
      </w:r>
      <w:r w:rsidR="00891C81" w:rsidRPr="007C4AF6">
        <w:rPr>
          <w:rFonts w:ascii="Arial" w:hAnsi="Arial" w:cs="Arial"/>
          <w:sz w:val="24"/>
          <w:szCs w:val="24"/>
          <w:lang w:val="en-US"/>
        </w:rPr>
        <w:t xml:space="preserve"> </w:t>
      </w:r>
      <w:r w:rsidR="0051572D" w:rsidRPr="007C4AF6">
        <w:rPr>
          <w:rFonts w:ascii="Arial" w:hAnsi="Arial" w:cs="Arial"/>
          <w:sz w:val="24"/>
          <w:szCs w:val="24"/>
          <w:lang w:val="en-US"/>
        </w:rPr>
        <w:t xml:space="preserve">Fidelity </w:t>
      </w:r>
    </w:p>
    <w:p w:rsidR="0051572D" w:rsidRPr="007C4AF6" w:rsidRDefault="0051572D" w:rsidP="007C4260">
      <w:pPr>
        <w:spacing w:after="0" w:line="360" w:lineRule="auto"/>
        <w:ind w:left="720"/>
        <w:jc w:val="both"/>
        <w:rPr>
          <w:rFonts w:ascii="Arial" w:hAnsi="Arial" w:cs="Arial"/>
          <w:sz w:val="24"/>
          <w:szCs w:val="24"/>
          <w:lang w:val="en-US"/>
        </w:rPr>
      </w:pPr>
      <w:r w:rsidRPr="007C4AF6">
        <w:rPr>
          <w:rFonts w:ascii="Arial" w:hAnsi="Arial" w:cs="Arial"/>
          <w:sz w:val="24"/>
          <w:szCs w:val="24"/>
          <w:lang w:val="en-US"/>
        </w:rPr>
        <w:lastRenderedPageBreak/>
        <w:t xml:space="preserve">Fund </w:t>
      </w:r>
      <w:r w:rsidR="00891C81" w:rsidRPr="007C4AF6">
        <w:rPr>
          <w:rFonts w:ascii="Arial" w:hAnsi="Arial" w:cs="Arial"/>
          <w:sz w:val="24"/>
          <w:szCs w:val="24"/>
          <w:lang w:val="en-US"/>
        </w:rPr>
        <w:t>C</w:t>
      </w:r>
      <w:r w:rsidRPr="007C4AF6">
        <w:rPr>
          <w:rFonts w:ascii="Arial" w:hAnsi="Arial" w:cs="Arial"/>
          <w:sz w:val="24"/>
          <w:szCs w:val="24"/>
          <w:lang w:val="en-US"/>
        </w:rPr>
        <w:t>ertificate</w:t>
      </w:r>
      <w:r w:rsidR="004A5EBD" w:rsidRPr="007C4AF6">
        <w:rPr>
          <w:rFonts w:ascii="Arial" w:hAnsi="Arial" w:cs="Arial"/>
          <w:sz w:val="24"/>
          <w:szCs w:val="24"/>
          <w:lang w:val="en-US"/>
        </w:rPr>
        <w:t>s</w:t>
      </w:r>
      <w:r w:rsidRPr="007C4AF6">
        <w:rPr>
          <w:rFonts w:ascii="Arial" w:hAnsi="Arial" w:cs="Arial"/>
          <w:sz w:val="24"/>
          <w:szCs w:val="24"/>
          <w:lang w:val="en-US"/>
        </w:rPr>
        <w:t>, whe</w:t>
      </w:r>
      <w:r w:rsidR="00D436DF" w:rsidRPr="007C4AF6">
        <w:rPr>
          <w:rFonts w:ascii="Arial" w:hAnsi="Arial" w:cs="Arial"/>
          <w:sz w:val="24"/>
          <w:szCs w:val="24"/>
          <w:lang w:val="en-US"/>
        </w:rPr>
        <w:t>reas in the instant matter the a</w:t>
      </w:r>
      <w:r w:rsidRPr="007C4AF6">
        <w:rPr>
          <w:rFonts w:ascii="Arial" w:hAnsi="Arial" w:cs="Arial"/>
          <w:sz w:val="24"/>
          <w:szCs w:val="24"/>
          <w:lang w:val="en-US"/>
        </w:rPr>
        <w:t>pplicants seek</w:t>
      </w:r>
      <w:r w:rsidR="00F62EA3" w:rsidRPr="007C4AF6">
        <w:rPr>
          <w:rFonts w:ascii="Arial" w:hAnsi="Arial" w:cs="Arial"/>
          <w:sz w:val="24"/>
          <w:szCs w:val="24"/>
          <w:lang w:val="en-US"/>
        </w:rPr>
        <w:t xml:space="preserve"> this court to review and set aside the decision of the LPC to refuse to issue them with the F</w:t>
      </w:r>
      <w:r w:rsidR="004118E8" w:rsidRPr="007C4AF6">
        <w:rPr>
          <w:rFonts w:ascii="Arial" w:hAnsi="Arial" w:cs="Arial"/>
          <w:sz w:val="24"/>
          <w:szCs w:val="24"/>
          <w:lang w:val="en-US"/>
        </w:rPr>
        <w:t>idelity Fund Certificate</w:t>
      </w:r>
      <w:r w:rsidR="00F62EA3" w:rsidRPr="007C4AF6">
        <w:rPr>
          <w:rFonts w:ascii="Arial" w:hAnsi="Arial" w:cs="Arial"/>
          <w:sz w:val="24"/>
          <w:szCs w:val="24"/>
          <w:lang w:val="en-US"/>
        </w:rPr>
        <w:t xml:space="preserve"> and compel it to issue same</w:t>
      </w:r>
      <w:r w:rsidR="00D436DF" w:rsidRPr="007C4AF6">
        <w:rPr>
          <w:rFonts w:ascii="Arial" w:hAnsi="Arial" w:cs="Arial"/>
          <w:sz w:val="24"/>
          <w:szCs w:val="24"/>
          <w:lang w:val="en-US"/>
        </w:rPr>
        <w:t>.</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Default="000F6821"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[25</w:t>
      </w:r>
      <w:r w:rsidR="0051572D" w:rsidRPr="007C4AF6">
        <w:rPr>
          <w:rFonts w:ascii="Arial" w:hAnsi="Arial" w:cs="Arial"/>
          <w:sz w:val="24"/>
          <w:szCs w:val="24"/>
          <w:lang w:val="en-US"/>
        </w:rPr>
        <w:t>]</w:t>
      </w:r>
      <w:r w:rsidRPr="007C4AF6">
        <w:rPr>
          <w:rFonts w:ascii="Arial" w:hAnsi="Arial" w:cs="Arial"/>
          <w:sz w:val="24"/>
          <w:szCs w:val="24"/>
          <w:lang w:val="en-US"/>
        </w:rPr>
        <w:tab/>
      </w:r>
      <w:r w:rsidR="0051572D" w:rsidRPr="007C4AF6">
        <w:rPr>
          <w:rFonts w:ascii="Arial" w:hAnsi="Arial" w:cs="Arial"/>
          <w:sz w:val="24"/>
          <w:szCs w:val="24"/>
          <w:lang w:val="en-US"/>
        </w:rPr>
        <w:t>I deem it apposite to mention that the application by</w:t>
      </w:r>
      <w:r w:rsidR="004118E8" w:rsidRPr="007C4AF6">
        <w:rPr>
          <w:rFonts w:ascii="Arial" w:hAnsi="Arial" w:cs="Arial"/>
          <w:sz w:val="24"/>
          <w:szCs w:val="24"/>
          <w:lang w:val="en-US"/>
        </w:rPr>
        <w:t xml:space="preserve"> the</w:t>
      </w:r>
      <w:r w:rsidR="0051572D" w:rsidRPr="007C4AF6">
        <w:rPr>
          <w:rFonts w:ascii="Arial" w:hAnsi="Arial" w:cs="Arial"/>
          <w:sz w:val="24"/>
          <w:szCs w:val="24"/>
          <w:lang w:val="en-US"/>
        </w:rPr>
        <w:t xml:space="preserve"> LPC</w:t>
      </w:r>
      <w:r w:rsidR="00A1734F" w:rsidRPr="007C4AF6">
        <w:rPr>
          <w:rFonts w:ascii="Arial" w:hAnsi="Arial" w:cs="Arial"/>
          <w:sz w:val="24"/>
          <w:szCs w:val="24"/>
          <w:lang w:val="en-US"/>
        </w:rPr>
        <w:t xml:space="preserve"> in case number 4514/2023</w:t>
      </w:r>
      <w:r w:rsidR="0051572D" w:rsidRPr="007C4AF6">
        <w:rPr>
          <w:rFonts w:ascii="Arial" w:hAnsi="Arial" w:cs="Arial"/>
          <w:sz w:val="24"/>
          <w:szCs w:val="24"/>
          <w:lang w:val="en-US"/>
        </w:rPr>
        <w:t xml:space="preserve"> was lodged purely on the basis that the</w:t>
      </w:r>
      <w:r w:rsidR="00AE1F1C">
        <w:rPr>
          <w:rFonts w:ascii="Arial" w:hAnsi="Arial" w:cs="Arial"/>
          <w:sz w:val="24"/>
          <w:szCs w:val="24"/>
          <w:lang w:val="en-US"/>
        </w:rPr>
        <w:t xml:space="preserve"> first and second</w:t>
      </w:r>
      <w:r w:rsidR="0051572D" w:rsidRPr="007C4AF6">
        <w:rPr>
          <w:rFonts w:ascii="Arial" w:hAnsi="Arial" w:cs="Arial"/>
          <w:sz w:val="24"/>
          <w:szCs w:val="24"/>
          <w:lang w:val="en-US"/>
        </w:rPr>
        <w:t xml:space="preserve"> </w:t>
      </w:r>
      <w:r w:rsidR="004118E8" w:rsidRPr="007C4AF6">
        <w:rPr>
          <w:rFonts w:ascii="Arial" w:hAnsi="Arial" w:cs="Arial"/>
          <w:sz w:val="24"/>
          <w:szCs w:val="24"/>
          <w:lang w:val="en-US"/>
        </w:rPr>
        <w:t>a</w:t>
      </w:r>
      <w:r w:rsidR="0051572D" w:rsidRPr="007C4AF6">
        <w:rPr>
          <w:rFonts w:ascii="Arial" w:hAnsi="Arial" w:cs="Arial"/>
          <w:sz w:val="24"/>
          <w:szCs w:val="24"/>
          <w:lang w:val="en-US"/>
        </w:rPr>
        <w:t xml:space="preserve">pplicants were practicing without the Fidelity Fund </w:t>
      </w:r>
      <w:r w:rsidR="004118E8" w:rsidRPr="007C4AF6">
        <w:rPr>
          <w:rFonts w:ascii="Arial" w:hAnsi="Arial" w:cs="Arial"/>
          <w:sz w:val="24"/>
          <w:szCs w:val="24"/>
          <w:lang w:val="en-US"/>
        </w:rPr>
        <w:t>C</w:t>
      </w:r>
      <w:r w:rsidR="00AE1F1C">
        <w:rPr>
          <w:rFonts w:ascii="Arial" w:hAnsi="Arial" w:cs="Arial"/>
          <w:sz w:val="24"/>
          <w:szCs w:val="24"/>
          <w:lang w:val="en-US"/>
        </w:rPr>
        <w:t>ertificate and non-</w:t>
      </w:r>
      <w:r w:rsidR="0051572D" w:rsidRPr="007C4AF6">
        <w:rPr>
          <w:rFonts w:ascii="Arial" w:hAnsi="Arial" w:cs="Arial"/>
          <w:sz w:val="24"/>
          <w:szCs w:val="24"/>
          <w:lang w:val="en-US"/>
        </w:rPr>
        <w:t>compliance with section 84 of the Act.</w:t>
      </w:r>
    </w:p>
    <w:p w:rsidR="0003598E" w:rsidRPr="007C4AF6" w:rsidRDefault="0003598E" w:rsidP="007C4AF6">
      <w:pPr>
        <w:spacing w:after="0" w:line="360" w:lineRule="auto"/>
        <w:ind w:left="720" w:hanging="720"/>
        <w:jc w:val="both"/>
        <w:rPr>
          <w:rFonts w:ascii="Arial" w:hAnsi="Arial" w:cs="Arial"/>
          <w:sz w:val="24"/>
          <w:szCs w:val="24"/>
          <w:lang w:val="en-US"/>
        </w:rPr>
      </w:pPr>
    </w:p>
    <w:p w:rsidR="0051572D" w:rsidRPr="007C4AF6" w:rsidRDefault="00322692" w:rsidP="007C4AF6">
      <w:pPr>
        <w:spacing w:after="0" w:line="360" w:lineRule="auto"/>
        <w:jc w:val="both"/>
        <w:rPr>
          <w:rFonts w:ascii="Arial" w:hAnsi="Arial" w:cs="Arial"/>
          <w:sz w:val="24"/>
          <w:szCs w:val="24"/>
          <w:lang w:val="en-US"/>
        </w:rPr>
      </w:pPr>
      <w:r w:rsidRPr="007C4AF6">
        <w:rPr>
          <w:rFonts w:ascii="Arial" w:hAnsi="Arial" w:cs="Arial"/>
          <w:sz w:val="24"/>
          <w:szCs w:val="24"/>
          <w:lang w:val="en-US"/>
        </w:rPr>
        <w:t>[26</w:t>
      </w:r>
      <w:r w:rsidR="000F6821" w:rsidRPr="007C4AF6">
        <w:rPr>
          <w:rFonts w:ascii="Arial" w:hAnsi="Arial" w:cs="Arial"/>
          <w:sz w:val="24"/>
          <w:szCs w:val="24"/>
          <w:lang w:val="en-US"/>
        </w:rPr>
        <w:t>]</w:t>
      </w:r>
      <w:r w:rsidR="000F6821" w:rsidRPr="007C4AF6">
        <w:rPr>
          <w:rFonts w:ascii="Arial" w:hAnsi="Arial" w:cs="Arial"/>
          <w:sz w:val="24"/>
          <w:szCs w:val="24"/>
          <w:lang w:val="en-US"/>
        </w:rPr>
        <w:tab/>
      </w:r>
      <w:r w:rsidR="0051572D" w:rsidRPr="007C4AF6">
        <w:rPr>
          <w:rFonts w:ascii="Arial" w:hAnsi="Arial" w:cs="Arial"/>
          <w:sz w:val="24"/>
          <w:szCs w:val="24"/>
          <w:lang w:val="en-US"/>
        </w:rPr>
        <w:t>Section 84 of the Act provides as follows:</w:t>
      </w:r>
    </w:p>
    <w:p w:rsidR="0051572D" w:rsidRPr="007C4AF6" w:rsidRDefault="0007156A"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w:t>
      </w:r>
      <w:r w:rsidR="0051572D" w:rsidRPr="007C4AF6">
        <w:rPr>
          <w:rFonts w:ascii="Arial" w:eastAsia="Times New Roman" w:hAnsi="Arial" w:cs="Arial"/>
          <w:sz w:val="20"/>
          <w:szCs w:val="20"/>
          <w:lang w:val="en-US" w:eastAsia="en-ZA"/>
        </w:rPr>
        <w:t>Obligations of legal practitioner relating to handling of trust monies</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7B5185" w:rsidP="007B5185">
      <w:pPr>
        <w:spacing w:after="0" w:line="360" w:lineRule="auto"/>
        <w:ind w:left="1134" w:hanging="425"/>
        <w:contextualSpacing/>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(1)</w:t>
      </w:r>
      <w:r w:rsidRPr="007C4AF6">
        <w:rPr>
          <w:rFonts w:ascii="Arial" w:eastAsia="Times New Roman" w:hAnsi="Arial" w:cs="Arial"/>
          <w:sz w:val="20"/>
          <w:szCs w:val="20"/>
          <w:lang w:val="en-US" w:eastAsia="en-ZA"/>
        </w:rPr>
        <w:tab/>
      </w:r>
      <w:r w:rsidR="0051572D" w:rsidRPr="007C4AF6">
        <w:rPr>
          <w:rFonts w:ascii="Arial" w:eastAsia="Times New Roman" w:hAnsi="Arial" w:cs="Arial"/>
          <w:sz w:val="20"/>
          <w:szCs w:val="20"/>
          <w:lang w:val="en-US" w:eastAsia="en-ZA"/>
        </w:rPr>
        <w:t xml:space="preserve">Every attorney or any advocate referred to in </w:t>
      </w:r>
      <w:hyperlink r:id="rId10" w:anchor="section34" w:history="1">
        <w:r w:rsidR="0051572D" w:rsidRPr="007C4AF6">
          <w:rPr>
            <w:rFonts w:ascii="Arial" w:eastAsia="Times New Roman" w:hAnsi="Arial" w:cs="Arial"/>
            <w:sz w:val="20"/>
            <w:szCs w:val="20"/>
            <w:u w:val="single"/>
            <w:lang w:val="en-US" w:eastAsia="en-ZA"/>
          </w:rPr>
          <w:t>section 34</w:t>
        </w:r>
      </w:hyperlink>
      <w:r w:rsidR="0051572D" w:rsidRPr="007C4AF6">
        <w:rPr>
          <w:rFonts w:ascii="Arial" w:eastAsia="Times New Roman" w:hAnsi="Arial" w:cs="Arial"/>
          <w:sz w:val="20"/>
          <w:szCs w:val="20"/>
          <w:lang w:val="en-US" w:eastAsia="en-ZA"/>
        </w:rPr>
        <w:t>(2)(b), other than a legal practitioner in the full-time employ of the South African Human Rights Commission or the State as a state attorney or state advocate and who practices or is deemed to practice-</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51572D" w:rsidP="007C4AF6">
      <w:pPr>
        <w:spacing w:after="0" w:line="360" w:lineRule="auto"/>
        <w:ind w:left="1560"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(a)</w:t>
      </w:r>
      <w:r w:rsidRPr="007C4AF6">
        <w:rPr>
          <w:rFonts w:ascii="Arial" w:eastAsia="Times New Roman" w:hAnsi="Arial" w:cs="Arial"/>
          <w:sz w:val="20"/>
          <w:szCs w:val="20"/>
          <w:lang w:val="en-US" w:eastAsia="en-ZA"/>
        </w:rPr>
        <w:tab/>
        <w:t>for his or her own account either alone or in partnership; or</w:t>
      </w:r>
    </w:p>
    <w:p w:rsidR="0051572D" w:rsidRPr="007C4AF6" w:rsidRDefault="0051572D" w:rsidP="007C4AF6">
      <w:pPr>
        <w:spacing w:after="0" w:line="360" w:lineRule="auto"/>
        <w:ind w:left="1560"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51572D" w:rsidP="007C4AF6">
      <w:pPr>
        <w:spacing w:after="0" w:line="360" w:lineRule="auto"/>
        <w:ind w:left="1560"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(b)</w:t>
      </w:r>
      <w:r w:rsidRPr="007C4AF6">
        <w:rPr>
          <w:rFonts w:ascii="Arial" w:eastAsia="Times New Roman" w:hAnsi="Arial" w:cs="Arial"/>
          <w:sz w:val="20"/>
          <w:szCs w:val="20"/>
          <w:lang w:val="en-US" w:eastAsia="en-ZA"/>
        </w:rPr>
        <w:tab/>
        <w:t>as a director of a practice which is a juristic entity, must be in possession of a Fidelity Fund certificate.</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7B5185" w:rsidP="007B5185">
      <w:pPr>
        <w:spacing w:after="0" w:line="360" w:lineRule="auto"/>
        <w:ind w:left="1134" w:hanging="425"/>
        <w:contextualSpacing/>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(2)</w:t>
      </w:r>
      <w:r w:rsidRPr="007C4AF6">
        <w:rPr>
          <w:rFonts w:ascii="Arial" w:eastAsia="Times New Roman" w:hAnsi="Arial" w:cs="Arial"/>
          <w:sz w:val="20"/>
          <w:szCs w:val="20"/>
          <w:lang w:val="en-US" w:eastAsia="en-ZA"/>
        </w:rPr>
        <w:tab/>
      </w:r>
      <w:r w:rsidR="0051572D" w:rsidRPr="007C4AF6">
        <w:rPr>
          <w:rFonts w:ascii="Arial" w:eastAsia="Times New Roman" w:hAnsi="Arial" w:cs="Arial"/>
          <w:sz w:val="20"/>
          <w:szCs w:val="20"/>
          <w:lang w:val="en-US" w:eastAsia="en-ZA"/>
        </w:rPr>
        <w:t>No legal practitioner referred to in subsection (1) or person employed or supervised by that legal practitioner may receive or hold funds or property belonging to any person unless the legal practitioner concerned is in possession of a Fidelity Fund certificate.</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7B5185" w:rsidP="007B5185">
      <w:pPr>
        <w:spacing w:after="0" w:line="360" w:lineRule="auto"/>
        <w:ind w:left="1134" w:hanging="425"/>
        <w:contextualSpacing/>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(3)</w:t>
      </w:r>
      <w:r w:rsidRPr="007C4AF6">
        <w:rPr>
          <w:rFonts w:ascii="Arial" w:eastAsia="Times New Roman" w:hAnsi="Arial" w:cs="Arial"/>
          <w:sz w:val="20"/>
          <w:szCs w:val="20"/>
          <w:lang w:val="en-US" w:eastAsia="en-ZA"/>
        </w:rPr>
        <w:tab/>
      </w:r>
      <w:r w:rsidR="0051572D" w:rsidRPr="007C4AF6">
        <w:rPr>
          <w:rFonts w:ascii="Arial" w:eastAsia="Times New Roman" w:hAnsi="Arial" w:cs="Arial"/>
          <w:sz w:val="20"/>
          <w:szCs w:val="20"/>
          <w:lang w:val="en-US" w:eastAsia="en-ZA"/>
        </w:rPr>
        <w:t xml:space="preserve">The provisions of subsections (1) and (2) apply to a deposit taken on account of  </w:t>
      </w:r>
    </w:p>
    <w:p w:rsidR="0051572D" w:rsidRPr="007C4AF6" w:rsidRDefault="0051572D" w:rsidP="0003598E">
      <w:pPr>
        <w:spacing w:after="0" w:line="360" w:lineRule="auto"/>
        <w:ind w:left="414" w:firstLine="720"/>
        <w:contextualSpacing/>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fees or disbursements in respect of legal services to be rendered.</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7B5185" w:rsidP="007B5185">
      <w:pPr>
        <w:spacing w:after="0" w:line="360" w:lineRule="auto"/>
        <w:ind w:left="1134" w:hanging="425"/>
        <w:contextualSpacing/>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(4)</w:t>
      </w:r>
      <w:r w:rsidRPr="007C4AF6">
        <w:rPr>
          <w:rFonts w:ascii="Arial" w:eastAsia="Times New Roman" w:hAnsi="Arial" w:cs="Arial"/>
          <w:sz w:val="20"/>
          <w:szCs w:val="20"/>
          <w:lang w:val="en-US" w:eastAsia="en-ZA"/>
        </w:rPr>
        <w:tab/>
      </w:r>
      <w:r w:rsidR="0051572D" w:rsidRPr="007C4AF6">
        <w:rPr>
          <w:rFonts w:ascii="Arial" w:eastAsia="Times New Roman" w:hAnsi="Arial" w:cs="Arial"/>
          <w:sz w:val="20"/>
          <w:szCs w:val="20"/>
          <w:lang w:val="en-US" w:eastAsia="en-ZA"/>
        </w:rPr>
        <w:t xml:space="preserve">A Fidelity Fund certificate must indicate that the legal practitioner concerned is </w:t>
      </w:r>
    </w:p>
    <w:p w:rsidR="0051572D" w:rsidRPr="007C4AF6" w:rsidRDefault="0051572D" w:rsidP="0003598E">
      <w:pPr>
        <w:spacing w:after="0" w:line="360" w:lineRule="auto"/>
        <w:ind w:left="1134"/>
        <w:contextualSpacing/>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xml:space="preserve">obliged to </w:t>
      </w:r>
      <w:r w:rsidR="00316388" w:rsidRPr="007C4AF6">
        <w:rPr>
          <w:rFonts w:ascii="Arial" w:eastAsia="Times New Roman" w:hAnsi="Arial" w:cs="Arial"/>
          <w:sz w:val="20"/>
          <w:szCs w:val="20"/>
          <w:lang w:val="en-US" w:eastAsia="en-ZA"/>
        </w:rPr>
        <w:t>practice</w:t>
      </w:r>
      <w:r w:rsidRPr="007C4AF6">
        <w:rPr>
          <w:rFonts w:ascii="Arial" w:eastAsia="Times New Roman" w:hAnsi="Arial" w:cs="Arial"/>
          <w:sz w:val="20"/>
          <w:szCs w:val="20"/>
          <w:lang w:val="en-US" w:eastAsia="en-ZA"/>
        </w:rPr>
        <w:t xml:space="preserve"> subject to the provisions of this Act, and the fact that such a legal </w:t>
      </w:r>
      <w:r w:rsidR="0003598E">
        <w:rPr>
          <w:rFonts w:ascii="Arial" w:eastAsia="Times New Roman" w:hAnsi="Arial" w:cs="Arial"/>
          <w:sz w:val="20"/>
          <w:szCs w:val="20"/>
          <w:lang w:val="en-US" w:eastAsia="en-ZA"/>
        </w:rPr>
        <w:t xml:space="preserve"> </w:t>
      </w:r>
      <w:r w:rsidRPr="007C4AF6">
        <w:rPr>
          <w:rFonts w:ascii="Arial" w:eastAsia="Times New Roman" w:hAnsi="Arial" w:cs="Arial"/>
          <w:sz w:val="20"/>
          <w:szCs w:val="20"/>
          <w:lang w:val="en-US" w:eastAsia="en-ZA"/>
        </w:rPr>
        <w:t>practitioner holds such a certificate must be endorsed against his or her enrolment by the Council.</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(5)</w:t>
      </w:r>
      <w:r w:rsidRPr="007C4AF6">
        <w:rPr>
          <w:rFonts w:ascii="Arial" w:eastAsia="Times New Roman" w:hAnsi="Arial" w:cs="Arial"/>
          <w:sz w:val="20"/>
          <w:szCs w:val="20"/>
          <w:lang w:val="en-US" w:eastAsia="en-ZA"/>
        </w:rPr>
        <w:tab/>
        <w:t>A legal practitioner referred to in subsection (1) who-</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51572D" w:rsidP="007C4AF6">
      <w:pPr>
        <w:spacing w:after="0" w:line="360" w:lineRule="auto"/>
        <w:ind w:left="1560"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(a)</w:t>
      </w:r>
      <w:r w:rsidRPr="007C4AF6">
        <w:rPr>
          <w:rFonts w:ascii="Arial" w:eastAsia="Times New Roman" w:hAnsi="Arial" w:cs="Arial"/>
          <w:sz w:val="20"/>
          <w:szCs w:val="20"/>
          <w:lang w:val="en-US" w:eastAsia="en-ZA"/>
        </w:rPr>
        <w:tab/>
        <w:t>transfers from one practice to another; or</w:t>
      </w:r>
    </w:p>
    <w:p w:rsidR="0051572D" w:rsidRPr="007C4AF6" w:rsidRDefault="0051572D" w:rsidP="007C4AF6">
      <w:pPr>
        <w:spacing w:after="0" w:line="360" w:lineRule="auto"/>
        <w:ind w:left="1560"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51572D" w:rsidP="007C4AF6">
      <w:pPr>
        <w:spacing w:after="0" w:line="360" w:lineRule="auto"/>
        <w:ind w:left="1560"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lastRenderedPageBreak/>
        <w:t>(b)</w:t>
      </w:r>
      <w:r w:rsidRPr="007C4AF6">
        <w:rPr>
          <w:rFonts w:ascii="Arial" w:eastAsia="Times New Roman" w:hAnsi="Arial" w:cs="Arial"/>
          <w:sz w:val="20"/>
          <w:szCs w:val="20"/>
          <w:lang w:val="en-US" w:eastAsia="en-ZA"/>
        </w:rPr>
        <w:tab/>
        <w:t xml:space="preserve">ceases to </w:t>
      </w:r>
      <w:r w:rsidR="00316388" w:rsidRPr="007C4AF6">
        <w:rPr>
          <w:rFonts w:ascii="Arial" w:eastAsia="Times New Roman" w:hAnsi="Arial" w:cs="Arial"/>
          <w:sz w:val="20"/>
          <w:szCs w:val="20"/>
          <w:lang w:val="en-US" w:eastAsia="en-ZA"/>
        </w:rPr>
        <w:t>practice</w:t>
      </w:r>
      <w:r w:rsidRPr="007C4AF6">
        <w:rPr>
          <w:rFonts w:ascii="Arial" w:eastAsia="Times New Roman" w:hAnsi="Arial" w:cs="Arial"/>
          <w:sz w:val="20"/>
          <w:szCs w:val="20"/>
          <w:lang w:val="en-US" w:eastAsia="en-ZA"/>
        </w:rPr>
        <w:t xml:space="preserve">, must give notice of this fact to the Council and comply with the Council’s relevant requirements in </w:t>
      </w:r>
      <w:r w:rsidR="000E3D93" w:rsidRPr="007C4AF6">
        <w:rPr>
          <w:rFonts w:ascii="Arial" w:eastAsia="Times New Roman" w:hAnsi="Arial" w:cs="Arial"/>
          <w:sz w:val="20"/>
          <w:szCs w:val="20"/>
          <w:lang w:val="en-US" w:eastAsia="en-ZA"/>
        </w:rPr>
        <w:t xml:space="preserve">  </w:t>
      </w:r>
      <w:r w:rsidRPr="007C4AF6">
        <w:rPr>
          <w:rFonts w:ascii="Arial" w:eastAsia="Times New Roman" w:hAnsi="Arial" w:cs="Arial"/>
          <w:sz w:val="20"/>
          <w:szCs w:val="20"/>
          <w:lang w:val="en-US" w:eastAsia="en-ZA"/>
        </w:rPr>
        <w:t>relation to the closure of that legal practitioner’s trust account and in the case of paragraph (b) return his or her certificate to the Council.</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B5185" w:rsidRDefault="007B5185" w:rsidP="007B5185">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(6)</w:t>
      </w:r>
      <w:r w:rsidRPr="007C4AF6">
        <w:rPr>
          <w:rFonts w:ascii="Arial" w:eastAsia="Times New Roman" w:hAnsi="Arial" w:cs="Arial"/>
          <w:sz w:val="20"/>
          <w:szCs w:val="20"/>
          <w:lang w:val="en-US" w:eastAsia="en-ZA"/>
        </w:rPr>
        <w:tab/>
      </w:r>
      <w:r w:rsidR="0051572D" w:rsidRPr="007B5185">
        <w:rPr>
          <w:rFonts w:ascii="Arial" w:eastAsia="Times New Roman" w:hAnsi="Arial" w:cs="Arial"/>
          <w:sz w:val="20"/>
          <w:szCs w:val="20"/>
          <w:lang w:val="en-US" w:eastAsia="en-ZA"/>
        </w:rPr>
        <w:t>The Council may withdraw a Fidelity Fund certificate and, where necessary, obtain an interdict against the legal practitioner concerned if he or she fails to comply with the provisions of this Act or in any way acts unlawfully or unethically.</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7B5185" w:rsidP="007B5185">
      <w:pPr>
        <w:spacing w:after="0" w:line="360" w:lineRule="auto"/>
        <w:ind w:left="1134" w:hanging="425"/>
        <w:contextualSpacing/>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(7)</w:t>
      </w:r>
      <w:r w:rsidRPr="007C4AF6">
        <w:rPr>
          <w:rFonts w:ascii="Arial" w:eastAsia="Times New Roman" w:hAnsi="Arial" w:cs="Arial"/>
          <w:sz w:val="20"/>
          <w:szCs w:val="20"/>
          <w:lang w:val="en-US" w:eastAsia="en-ZA"/>
        </w:rPr>
        <w:tab/>
      </w:r>
      <w:r w:rsidR="0051572D" w:rsidRPr="007C4AF6">
        <w:rPr>
          <w:rFonts w:ascii="Arial" w:eastAsia="Times New Roman" w:hAnsi="Arial" w:cs="Arial"/>
          <w:sz w:val="20"/>
          <w:szCs w:val="20"/>
          <w:lang w:val="en-US" w:eastAsia="en-ZA"/>
        </w:rPr>
        <w:t xml:space="preserve">The provisions of this section do not apply to a legal practitioner who </w:t>
      </w:r>
      <w:r w:rsidR="00316388" w:rsidRPr="007C4AF6">
        <w:rPr>
          <w:rFonts w:ascii="Arial" w:eastAsia="Times New Roman" w:hAnsi="Arial" w:cs="Arial"/>
          <w:sz w:val="20"/>
          <w:szCs w:val="20"/>
          <w:lang w:val="en-US" w:eastAsia="en-ZA"/>
        </w:rPr>
        <w:t>practices</w:t>
      </w:r>
      <w:r w:rsidR="0051572D" w:rsidRPr="007C4AF6">
        <w:rPr>
          <w:rFonts w:ascii="Arial" w:eastAsia="Times New Roman" w:hAnsi="Arial" w:cs="Arial"/>
          <w:sz w:val="20"/>
          <w:szCs w:val="20"/>
          <w:lang w:val="en-US" w:eastAsia="en-ZA"/>
        </w:rPr>
        <w:t xml:space="preserve"> in the full time employ of Legal Aid South Africa on a permanent basis.</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7B5185" w:rsidP="007B5185">
      <w:pPr>
        <w:spacing w:after="0" w:line="360" w:lineRule="auto"/>
        <w:ind w:left="1134" w:hanging="425"/>
        <w:contextualSpacing/>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(8)</w:t>
      </w:r>
      <w:r w:rsidRPr="007C4AF6">
        <w:rPr>
          <w:rFonts w:ascii="Arial" w:eastAsia="Times New Roman" w:hAnsi="Arial" w:cs="Arial"/>
          <w:sz w:val="20"/>
          <w:szCs w:val="20"/>
          <w:lang w:val="en-US" w:eastAsia="en-ZA"/>
        </w:rPr>
        <w:tab/>
      </w:r>
      <w:r w:rsidR="0051572D" w:rsidRPr="007C4AF6">
        <w:rPr>
          <w:rFonts w:ascii="Arial" w:eastAsia="Times New Roman" w:hAnsi="Arial" w:cs="Arial"/>
          <w:sz w:val="20"/>
          <w:szCs w:val="20"/>
          <w:lang w:val="en-US" w:eastAsia="en-ZA"/>
        </w:rPr>
        <w:t xml:space="preserve">An advocate, other than an advocate referred to in </w:t>
      </w:r>
      <w:hyperlink r:id="rId11" w:anchor="section34" w:history="1">
        <w:r w:rsidR="0051572D" w:rsidRPr="007C4AF6">
          <w:rPr>
            <w:rFonts w:ascii="Arial" w:eastAsia="Times New Roman" w:hAnsi="Arial" w:cs="Arial"/>
            <w:sz w:val="20"/>
            <w:szCs w:val="20"/>
            <w:u w:val="single"/>
            <w:lang w:val="en-US" w:eastAsia="en-ZA"/>
          </w:rPr>
          <w:t>section 34</w:t>
        </w:r>
      </w:hyperlink>
      <w:r w:rsidR="0051572D" w:rsidRPr="007C4AF6">
        <w:rPr>
          <w:rFonts w:ascii="Arial" w:eastAsia="Times New Roman" w:hAnsi="Arial" w:cs="Arial"/>
          <w:sz w:val="20"/>
          <w:szCs w:val="20"/>
          <w:lang w:val="en-US" w:eastAsia="en-ZA"/>
        </w:rPr>
        <w:t>(2)(b), may not receive or hold money or property belonging to any person in the course of that advocate’s practice or in respect of any instruction issued to the advocate by an attorney or a member of the public.</w:t>
      </w:r>
    </w:p>
    <w:p w:rsidR="0051572D" w:rsidRPr="007C4AF6" w:rsidRDefault="0051572D" w:rsidP="007C4AF6">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7B5185" w:rsidP="007B5185">
      <w:pPr>
        <w:spacing w:after="0" w:line="360" w:lineRule="auto"/>
        <w:ind w:left="1134" w:hanging="425"/>
        <w:contextualSpacing/>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(9)</w:t>
      </w:r>
      <w:r w:rsidRPr="007C4AF6">
        <w:rPr>
          <w:rFonts w:ascii="Arial" w:eastAsia="Times New Roman" w:hAnsi="Arial" w:cs="Arial"/>
          <w:sz w:val="20"/>
          <w:szCs w:val="20"/>
          <w:lang w:val="en-US" w:eastAsia="en-ZA"/>
        </w:rPr>
        <w:tab/>
      </w:r>
      <w:r w:rsidR="0051572D" w:rsidRPr="007C4AF6">
        <w:rPr>
          <w:rFonts w:ascii="Arial" w:eastAsia="Times New Roman" w:hAnsi="Arial" w:cs="Arial"/>
          <w:sz w:val="20"/>
          <w:szCs w:val="20"/>
          <w:lang w:val="en-US" w:eastAsia="en-ZA"/>
        </w:rPr>
        <w:t>No legal practitioner in the full-time employ of the South African Human Rights Commission or the State as a state attorney, state advocate, state law adviser or in any other professional capacity may receive or keep money or property belonging to any person, except during the course of employment of such legal practitioner with the State or the South African Human Rights Commission and in such case only on behalf of the South African Human Rights Commission or the State and for no other purpose.</w:t>
      </w:r>
      <w:r w:rsidR="0007156A" w:rsidRPr="007C4AF6">
        <w:rPr>
          <w:rFonts w:ascii="Arial" w:eastAsia="Times New Roman" w:hAnsi="Arial" w:cs="Arial"/>
          <w:sz w:val="20"/>
          <w:szCs w:val="20"/>
          <w:lang w:val="en-US" w:eastAsia="en-ZA"/>
        </w:rPr>
        <w:t>”</w:t>
      </w:r>
    </w:p>
    <w:p w:rsidR="0051572D" w:rsidRPr="007C4AF6" w:rsidRDefault="0051572D" w:rsidP="007C4AF6">
      <w:pPr>
        <w:spacing w:after="0" w:line="360" w:lineRule="auto"/>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 </w:t>
      </w:r>
    </w:p>
    <w:p w:rsidR="0051572D" w:rsidRPr="007C4AF6" w:rsidRDefault="0051572D"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w:t>
      </w:r>
      <w:r w:rsidR="00322692" w:rsidRPr="007C4AF6">
        <w:rPr>
          <w:rFonts w:ascii="Arial" w:hAnsi="Arial" w:cs="Arial"/>
          <w:sz w:val="24"/>
          <w:szCs w:val="24"/>
          <w:lang w:val="en-US"/>
        </w:rPr>
        <w:t>27]</w:t>
      </w:r>
      <w:r w:rsidR="00322692" w:rsidRPr="007C4AF6">
        <w:rPr>
          <w:rFonts w:ascii="Arial" w:hAnsi="Arial" w:cs="Arial"/>
          <w:sz w:val="24"/>
          <w:szCs w:val="24"/>
          <w:lang w:val="en-US"/>
        </w:rPr>
        <w:tab/>
      </w:r>
      <w:r w:rsidR="00FA1373" w:rsidRPr="007C4AF6">
        <w:rPr>
          <w:rFonts w:ascii="Arial" w:hAnsi="Arial" w:cs="Arial"/>
          <w:sz w:val="24"/>
          <w:szCs w:val="24"/>
          <w:lang w:val="en-US"/>
        </w:rPr>
        <w:t>Having assessed the application before me</w:t>
      </w:r>
      <w:r w:rsidR="00D436DF" w:rsidRPr="007C4AF6">
        <w:rPr>
          <w:rFonts w:ascii="Arial" w:hAnsi="Arial" w:cs="Arial"/>
          <w:sz w:val="24"/>
          <w:szCs w:val="24"/>
          <w:lang w:val="en-US"/>
        </w:rPr>
        <w:t>, the a</w:t>
      </w:r>
      <w:r w:rsidRPr="007C4AF6">
        <w:rPr>
          <w:rFonts w:ascii="Arial" w:hAnsi="Arial" w:cs="Arial"/>
          <w:sz w:val="24"/>
          <w:szCs w:val="24"/>
          <w:lang w:val="en-US"/>
        </w:rPr>
        <w:t>pplicants firstly submitted qualified audit report</w:t>
      </w:r>
      <w:r w:rsidR="004118E8" w:rsidRPr="007C4AF6">
        <w:rPr>
          <w:rFonts w:ascii="Arial" w:hAnsi="Arial" w:cs="Arial"/>
          <w:sz w:val="24"/>
          <w:szCs w:val="24"/>
          <w:lang w:val="en-US"/>
        </w:rPr>
        <w:t>s</w:t>
      </w:r>
      <w:r w:rsidRPr="007C4AF6">
        <w:rPr>
          <w:rFonts w:ascii="Arial" w:hAnsi="Arial" w:cs="Arial"/>
          <w:sz w:val="24"/>
          <w:szCs w:val="24"/>
          <w:lang w:val="en-US"/>
        </w:rPr>
        <w:t xml:space="preserve"> to the LPC</w:t>
      </w:r>
      <w:r w:rsidRPr="007C4AF6">
        <w:rPr>
          <w:rFonts w:ascii="Arial" w:hAnsi="Arial" w:cs="Times New Roman"/>
          <w:sz w:val="24"/>
          <w:szCs w:val="24"/>
          <w:vertAlign w:val="superscript"/>
          <w:lang w:val="en-US"/>
        </w:rPr>
        <w:footnoteReference w:id="11"/>
      </w:r>
      <w:r w:rsidR="00FA1373" w:rsidRPr="007C4AF6">
        <w:rPr>
          <w:rFonts w:ascii="Arial" w:hAnsi="Arial" w:cs="Arial"/>
          <w:sz w:val="24"/>
          <w:szCs w:val="24"/>
          <w:lang w:val="en-US"/>
        </w:rPr>
        <w:t xml:space="preserve"> and </w:t>
      </w:r>
      <w:r w:rsidRPr="007C4AF6">
        <w:rPr>
          <w:rFonts w:ascii="Arial" w:hAnsi="Arial" w:cs="Arial"/>
          <w:sz w:val="24"/>
          <w:szCs w:val="24"/>
          <w:lang w:val="en-US"/>
        </w:rPr>
        <w:t xml:space="preserve">complied with </w:t>
      </w:r>
      <w:r w:rsidR="00F62EA3" w:rsidRPr="007C4AF6">
        <w:rPr>
          <w:rFonts w:ascii="Arial" w:hAnsi="Arial" w:cs="Arial"/>
          <w:sz w:val="24"/>
          <w:szCs w:val="24"/>
          <w:lang w:val="en-US"/>
        </w:rPr>
        <w:t>Rule 54.30</w:t>
      </w:r>
      <w:r w:rsidR="00A1734F" w:rsidRPr="007C4AF6">
        <w:rPr>
          <w:rFonts w:ascii="Arial" w:hAnsi="Arial" w:cs="Arial"/>
          <w:sz w:val="24"/>
          <w:szCs w:val="24"/>
          <w:lang w:val="en-US"/>
        </w:rPr>
        <w:t xml:space="preserve"> by augmenting the </w:t>
      </w:r>
      <w:r w:rsidR="004118E8" w:rsidRPr="007C4AF6">
        <w:rPr>
          <w:rFonts w:ascii="Arial" w:hAnsi="Arial" w:cs="Arial"/>
          <w:sz w:val="24"/>
          <w:szCs w:val="24"/>
          <w:lang w:val="en-US"/>
        </w:rPr>
        <w:t>said</w:t>
      </w:r>
      <w:r w:rsidR="00A1734F" w:rsidRPr="007C4AF6">
        <w:rPr>
          <w:rFonts w:ascii="Arial" w:hAnsi="Arial" w:cs="Arial"/>
          <w:sz w:val="24"/>
          <w:szCs w:val="24"/>
          <w:lang w:val="en-US"/>
        </w:rPr>
        <w:t xml:space="preserve"> report</w:t>
      </w:r>
      <w:r w:rsidR="004118E8" w:rsidRPr="007C4AF6">
        <w:rPr>
          <w:rFonts w:ascii="Arial" w:hAnsi="Arial" w:cs="Arial"/>
          <w:sz w:val="24"/>
          <w:szCs w:val="24"/>
          <w:lang w:val="en-US"/>
        </w:rPr>
        <w:t>s</w:t>
      </w:r>
      <w:r w:rsidR="00A1734F" w:rsidRPr="007C4AF6">
        <w:rPr>
          <w:rFonts w:ascii="Arial" w:hAnsi="Arial" w:cs="Arial"/>
          <w:sz w:val="24"/>
          <w:szCs w:val="24"/>
          <w:lang w:val="en-US"/>
        </w:rPr>
        <w:t xml:space="preserve"> with three affidavits explaining the qualified </w:t>
      </w:r>
      <w:r w:rsidR="004118E8" w:rsidRPr="007C4AF6">
        <w:rPr>
          <w:rFonts w:ascii="Arial" w:hAnsi="Arial" w:cs="Arial"/>
          <w:sz w:val="24"/>
          <w:szCs w:val="24"/>
          <w:lang w:val="en-US"/>
        </w:rPr>
        <w:t>finding</w:t>
      </w:r>
      <w:r w:rsidRPr="007C4AF6">
        <w:rPr>
          <w:rFonts w:ascii="Arial" w:hAnsi="Arial" w:cs="Arial"/>
          <w:sz w:val="24"/>
          <w:szCs w:val="24"/>
          <w:lang w:val="en-US"/>
        </w:rPr>
        <w:t>.</w:t>
      </w:r>
    </w:p>
    <w:p w:rsidR="0007156A" w:rsidRPr="007C4AF6" w:rsidRDefault="0007156A" w:rsidP="007C4AF6">
      <w:pPr>
        <w:spacing w:after="0" w:line="360" w:lineRule="auto"/>
        <w:ind w:left="720" w:hanging="720"/>
        <w:jc w:val="both"/>
        <w:rPr>
          <w:rFonts w:ascii="Arial" w:hAnsi="Arial" w:cs="Arial"/>
          <w:sz w:val="24"/>
          <w:szCs w:val="24"/>
          <w:lang w:val="en-US"/>
        </w:rPr>
      </w:pPr>
    </w:p>
    <w:p w:rsidR="0051572D" w:rsidRPr="007C4AF6" w:rsidRDefault="00322692" w:rsidP="007C4AF6">
      <w:pPr>
        <w:spacing w:after="0" w:line="360" w:lineRule="auto"/>
        <w:jc w:val="both"/>
        <w:rPr>
          <w:rFonts w:ascii="Arial" w:hAnsi="Arial" w:cs="Arial"/>
          <w:sz w:val="24"/>
          <w:szCs w:val="24"/>
          <w:lang w:val="en-US"/>
        </w:rPr>
      </w:pPr>
      <w:r w:rsidRPr="007C4AF6">
        <w:rPr>
          <w:rFonts w:ascii="Arial" w:hAnsi="Arial" w:cs="Arial"/>
          <w:sz w:val="24"/>
          <w:szCs w:val="24"/>
          <w:lang w:val="en-US"/>
        </w:rPr>
        <w:t>[28]</w:t>
      </w:r>
      <w:r w:rsidRPr="007C4AF6">
        <w:rPr>
          <w:rFonts w:ascii="Arial" w:hAnsi="Arial" w:cs="Arial"/>
          <w:sz w:val="24"/>
          <w:szCs w:val="24"/>
          <w:lang w:val="en-US"/>
        </w:rPr>
        <w:tab/>
      </w:r>
      <w:r w:rsidR="0051572D" w:rsidRPr="007C4AF6">
        <w:rPr>
          <w:rFonts w:ascii="Arial" w:hAnsi="Arial" w:cs="Arial"/>
          <w:sz w:val="24"/>
          <w:szCs w:val="24"/>
          <w:lang w:val="en-US"/>
        </w:rPr>
        <w:t>Rule 54.30 provide as follows:</w:t>
      </w:r>
    </w:p>
    <w:p w:rsidR="0051572D" w:rsidRPr="007C4AF6" w:rsidRDefault="0007156A" w:rsidP="007C4AF6">
      <w:pPr>
        <w:spacing w:after="0" w:line="360" w:lineRule="auto"/>
        <w:ind w:left="709"/>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w:t>
      </w:r>
      <w:r w:rsidR="0051572D" w:rsidRPr="007C4AF6">
        <w:rPr>
          <w:rFonts w:ascii="Arial" w:eastAsia="Times New Roman" w:hAnsi="Arial" w:cs="Arial"/>
          <w:sz w:val="20"/>
          <w:szCs w:val="20"/>
          <w:lang w:val="en-US" w:eastAsia="en-ZA"/>
        </w:rPr>
        <w:t>Where the audit or inspector’s report in respect of the trust account of the firm is qualified</w:t>
      </w:r>
      <w:r w:rsidRPr="007C4AF6">
        <w:rPr>
          <w:rFonts w:ascii="Arial" w:eastAsia="Times New Roman" w:hAnsi="Arial" w:cs="Arial"/>
          <w:sz w:val="20"/>
          <w:szCs w:val="20"/>
          <w:lang w:val="en-US" w:eastAsia="en-ZA"/>
        </w:rPr>
        <w:t xml:space="preserve"> </w:t>
      </w:r>
      <w:r w:rsidR="0051572D" w:rsidRPr="007C4AF6">
        <w:rPr>
          <w:rFonts w:ascii="Arial" w:eastAsia="Times New Roman" w:hAnsi="Arial" w:cs="Arial"/>
          <w:sz w:val="20"/>
          <w:szCs w:val="20"/>
          <w:lang w:val="en-US" w:eastAsia="en-ZA"/>
        </w:rPr>
        <w:t>by the auditor or inspector, as the case may be, the firm shall provide the Council with such</w:t>
      </w:r>
      <w:r w:rsidRPr="007C4AF6">
        <w:rPr>
          <w:rFonts w:ascii="Arial" w:eastAsia="Times New Roman" w:hAnsi="Arial" w:cs="Arial"/>
          <w:sz w:val="20"/>
          <w:szCs w:val="20"/>
          <w:lang w:val="en-US" w:eastAsia="en-ZA"/>
        </w:rPr>
        <w:t xml:space="preserve"> </w:t>
      </w:r>
      <w:r w:rsidR="0051572D" w:rsidRPr="007C4AF6">
        <w:rPr>
          <w:rFonts w:ascii="Arial" w:eastAsia="Times New Roman" w:hAnsi="Arial" w:cs="Arial"/>
          <w:sz w:val="20"/>
          <w:szCs w:val="20"/>
          <w:lang w:val="en-US" w:eastAsia="en-ZA"/>
        </w:rPr>
        <w:t>information as the Council may require to satisfy itself that the firm’s trust account is in good order, that the trust account practitioner remains fit and proper to continue to practice</w:t>
      </w:r>
      <w:r w:rsidRPr="007C4AF6">
        <w:rPr>
          <w:rFonts w:ascii="Arial" w:eastAsia="Times New Roman" w:hAnsi="Arial" w:cs="Arial"/>
          <w:sz w:val="20"/>
          <w:szCs w:val="20"/>
          <w:lang w:val="en-US" w:eastAsia="en-ZA"/>
        </w:rPr>
        <w:t xml:space="preserve"> </w:t>
      </w:r>
      <w:r w:rsidR="0051572D" w:rsidRPr="007C4AF6">
        <w:rPr>
          <w:rFonts w:ascii="Arial" w:eastAsia="Times New Roman" w:hAnsi="Arial" w:cs="Arial"/>
          <w:sz w:val="20"/>
          <w:szCs w:val="20"/>
          <w:lang w:val="en-US" w:eastAsia="en-ZA"/>
        </w:rPr>
        <w:t>and that Fidelity Fund certificates may be issued to the members of the firm.</w:t>
      </w:r>
      <w:r w:rsidRPr="007C4AF6">
        <w:rPr>
          <w:rFonts w:ascii="Arial" w:eastAsia="Times New Roman" w:hAnsi="Arial" w:cs="Arial"/>
          <w:sz w:val="20"/>
          <w:szCs w:val="20"/>
          <w:lang w:val="en-US" w:eastAsia="en-ZA"/>
        </w:rPr>
        <w:t>”</w:t>
      </w:r>
    </w:p>
    <w:p w:rsidR="0051572D" w:rsidRDefault="0051572D" w:rsidP="007C4AF6">
      <w:pPr>
        <w:spacing w:after="0" w:line="360" w:lineRule="auto"/>
        <w:ind w:left="1134" w:hanging="1134"/>
        <w:jc w:val="both"/>
        <w:rPr>
          <w:rFonts w:ascii="Arial" w:eastAsia="Times New Roman" w:hAnsi="Arial" w:cs="Arial"/>
          <w:sz w:val="20"/>
          <w:szCs w:val="20"/>
          <w:lang w:val="en-US" w:eastAsia="en-ZA"/>
        </w:rPr>
      </w:pPr>
    </w:p>
    <w:p w:rsidR="007C4260" w:rsidRPr="007C4AF6" w:rsidRDefault="007C4260" w:rsidP="007C4AF6">
      <w:pPr>
        <w:spacing w:after="0" w:line="360" w:lineRule="auto"/>
        <w:ind w:left="1134" w:hanging="1134"/>
        <w:jc w:val="both"/>
        <w:rPr>
          <w:rFonts w:ascii="Arial" w:eastAsia="Times New Roman" w:hAnsi="Arial" w:cs="Arial"/>
          <w:sz w:val="20"/>
          <w:szCs w:val="20"/>
          <w:lang w:val="en-US" w:eastAsia="en-ZA"/>
        </w:rPr>
      </w:pPr>
    </w:p>
    <w:p w:rsidR="0051572D" w:rsidRPr="007C4AF6" w:rsidRDefault="0032269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lastRenderedPageBreak/>
        <w:t>[29]</w:t>
      </w:r>
      <w:r w:rsidRPr="007C4AF6">
        <w:rPr>
          <w:rFonts w:ascii="Arial" w:hAnsi="Arial" w:cs="Arial"/>
          <w:sz w:val="24"/>
          <w:szCs w:val="24"/>
          <w:lang w:val="en-US"/>
        </w:rPr>
        <w:tab/>
      </w:r>
      <w:r w:rsidR="00FA1373" w:rsidRPr="007C4AF6">
        <w:rPr>
          <w:rFonts w:ascii="Arial" w:hAnsi="Arial" w:cs="Arial"/>
          <w:sz w:val="24"/>
          <w:szCs w:val="24"/>
          <w:lang w:val="en-US"/>
        </w:rPr>
        <w:t>In my view t</w:t>
      </w:r>
      <w:r w:rsidR="00D436DF" w:rsidRPr="007C4AF6">
        <w:rPr>
          <w:rFonts w:ascii="Arial" w:hAnsi="Arial" w:cs="Arial"/>
          <w:sz w:val="24"/>
          <w:szCs w:val="24"/>
          <w:lang w:val="en-US"/>
        </w:rPr>
        <w:t>he a</w:t>
      </w:r>
      <w:r w:rsidR="00FA1373" w:rsidRPr="007C4AF6">
        <w:rPr>
          <w:rFonts w:ascii="Arial" w:hAnsi="Arial" w:cs="Arial"/>
          <w:sz w:val="24"/>
          <w:szCs w:val="24"/>
          <w:lang w:val="en-US"/>
        </w:rPr>
        <w:t>pplicants</w:t>
      </w:r>
      <w:r w:rsidR="004118E8" w:rsidRPr="007C4AF6">
        <w:rPr>
          <w:rFonts w:ascii="Arial" w:hAnsi="Arial" w:cs="Arial"/>
          <w:sz w:val="24"/>
          <w:szCs w:val="24"/>
          <w:lang w:val="en-US"/>
        </w:rPr>
        <w:t>’</w:t>
      </w:r>
      <w:r w:rsidR="00FA1373" w:rsidRPr="007C4AF6">
        <w:rPr>
          <w:rFonts w:ascii="Arial" w:hAnsi="Arial" w:cs="Arial"/>
          <w:sz w:val="24"/>
          <w:szCs w:val="24"/>
          <w:lang w:val="en-US"/>
        </w:rPr>
        <w:t xml:space="preserve"> case is pivoted</w:t>
      </w:r>
      <w:r w:rsidR="008E47FC" w:rsidRPr="007C4AF6">
        <w:rPr>
          <w:rFonts w:ascii="Arial" w:hAnsi="Arial" w:cs="Arial"/>
          <w:sz w:val="24"/>
          <w:szCs w:val="24"/>
          <w:lang w:val="en-US"/>
        </w:rPr>
        <w:t xml:space="preserve"> purely on the basis that, </w:t>
      </w:r>
      <w:r w:rsidR="0051572D" w:rsidRPr="007C4AF6">
        <w:rPr>
          <w:rFonts w:ascii="Arial" w:hAnsi="Arial" w:cs="Arial"/>
          <w:sz w:val="24"/>
          <w:szCs w:val="24"/>
          <w:lang w:val="en-US"/>
        </w:rPr>
        <w:t xml:space="preserve">notwithstanding their compliance with the legal frame work regulating issuing of Fidelity Fund </w:t>
      </w:r>
      <w:r w:rsidR="004118E8" w:rsidRPr="007C4AF6">
        <w:rPr>
          <w:rFonts w:ascii="Arial" w:hAnsi="Arial" w:cs="Arial"/>
          <w:sz w:val="24"/>
          <w:szCs w:val="24"/>
          <w:lang w:val="en-US"/>
        </w:rPr>
        <w:t>C</w:t>
      </w:r>
      <w:r w:rsidR="0051572D" w:rsidRPr="007C4AF6">
        <w:rPr>
          <w:rFonts w:ascii="Arial" w:hAnsi="Arial" w:cs="Arial"/>
          <w:sz w:val="24"/>
          <w:szCs w:val="24"/>
          <w:lang w:val="en-US"/>
        </w:rPr>
        <w:t xml:space="preserve">ertificate, the LPC’s administrative action is unlawful thus seeks indirect review </w:t>
      </w:r>
      <w:r w:rsidR="00F62EA3" w:rsidRPr="007C4AF6">
        <w:rPr>
          <w:rFonts w:ascii="Arial" w:hAnsi="Arial" w:cs="Arial"/>
          <w:sz w:val="24"/>
          <w:szCs w:val="24"/>
          <w:lang w:val="en-US"/>
        </w:rPr>
        <w:t>(by</w:t>
      </w:r>
      <w:r w:rsidR="00FA1373" w:rsidRPr="007C4AF6">
        <w:rPr>
          <w:rFonts w:ascii="Arial" w:hAnsi="Arial" w:cs="Arial"/>
          <w:sz w:val="24"/>
          <w:szCs w:val="24"/>
          <w:lang w:val="en-US"/>
        </w:rPr>
        <w:t xml:space="preserve"> way of mandamus) </w:t>
      </w:r>
      <w:r w:rsidR="0051572D" w:rsidRPr="007C4AF6">
        <w:rPr>
          <w:rFonts w:ascii="Arial" w:hAnsi="Arial" w:cs="Arial"/>
          <w:sz w:val="24"/>
          <w:szCs w:val="24"/>
          <w:lang w:val="en-US"/>
        </w:rPr>
        <w:t>of the LPC decision.</w:t>
      </w:r>
    </w:p>
    <w:p w:rsidR="002868EE" w:rsidRPr="007C4AF6" w:rsidRDefault="002868EE" w:rsidP="007C4AF6">
      <w:pPr>
        <w:spacing w:after="0" w:line="360" w:lineRule="auto"/>
        <w:ind w:left="720" w:hanging="720"/>
        <w:jc w:val="both"/>
        <w:rPr>
          <w:rFonts w:ascii="Arial" w:hAnsi="Arial" w:cs="Arial"/>
          <w:sz w:val="24"/>
          <w:szCs w:val="24"/>
          <w:lang w:val="en-US"/>
        </w:rPr>
      </w:pPr>
    </w:p>
    <w:p w:rsidR="008E3D05" w:rsidRPr="007C4AF6" w:rsidRDefault="0032269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[30]</w:t>
      </w:r>
      <w:r w:rsidRPr="007C4AF6">
        <w:rPr>
          <w:rFonts w:ascii="Arial" w:hAnsi="Arial" w:cs="Arial"/>
          <w:sz w:val="24"/>
          <w:szCs w:val="24"/>
          <w:lang w:val="en-US"/>
        </w:rPr>
        <w:tab/>
      </w:r>
      <w:r w:rsidR="00A057BF" w:rsidRPr="007C4AF6">
        <w:rPr>
          <w:rFonts w:ascii="Arial" w:hAnsi="Arial" w:cs="Arial"/>
          <w:sz w:val="24"/>
          <w:szCs w:val="24"/>
          <w:lang w:val="en-US"/>
        </w:rPr>
        <w:t>As can be gleaned from above</w:t>
      </w:r>
      <w:r w:rsidR="0051572D" w:rsidRPr="007C4AF6">
        <w:rPr>
          <w:rFonts w:ascii="Arial" w:hAnsi="Arial" w:cs="Arial"/>
          <w:sz w:val="24"/>
          <w:szCs w:val="24"/>
          <w:lang w:val="en-US"/>
        </w:rPr>
        <w:t>, I find both matters to be distinctly different</w:t>
      </w:r>
      <w:r w:rsidR="00FA1373" w:rsidRPr="007C4AF6">
        <w:rPr>
          <w:rFonts w:ascii="Arial" w:hAnsi="Arial" w:cs="Arial"/>
          <w:sz w:val="24"/>
          <w:szCs w:val="24"/>
          <w:lang w:val="en-US"/>
        </w:rPr>
        <w:t xml:space="preserve"> legal proceedings. Thus the</w:t>
      </w:r>
      <w:r w:rsidR="0051572D" w:rsidRPr="007C4AF6">
        <w:rPr>
          <w:rFonts w:ascii="Arial" w:hAnsi="Arial" w:cs="Arial"/>
          <w:sz w:val="24"/>
          <w:szCs w:val="24"/>
          <w:lang w:val="en-US"/>
        </w:rPr>
        <w:t xml:space="preserve"> special plea</w:t>
      </w:r>
      <w:r w:rsidR="00FA1373" w:rsidRPr="007C4AF6">
        <w:rPr>
          <w:rFonts w:ascii="Arial" w:hAnsi="Arial" w:cs="Arial"/>
          <w:sz w:val="24"/>
          <w:szCs w:val="24"/>
          <w:lang w:val="en-US"/>
        </w:rPr>
        <w:t xml:space="preserve"> of </w:t>
      </w:r>
      <w:r w:rsidR="00FA1373" w:rsidRPr="007C4AF6">
        <w:rPr>
          <w:rFonts w:ascii="Arial" w:hAnsi="Arial" w:cs="Arial"/>
          <w:i/>
          <w:sz w:val="24"/>
          <w:szCs w:val="24"/>
          <w:lang w:val="en-US"/>
        </w:rPr>
        <w:t>lis pendens</w:t>
      </w:r>
      <w:r w:rsidR="0051572D" w:rsidRPr="007C4AF6">
        <w:rPr>
          <w:rFonts w:ascii="Arial" w:hAnsi="Arial" w:cs="Arial"/>
          <w:sz w:val="24"/>
          <w:szCs w:val="24"/>
          <w:lang w:val="en-US"/>
        </w:rPr>
        <w:t xml:space="preserve"> should be dismissed.</w:t>
      </w:r>
    </w:p>
    <w:p w:rsidR="00316388" w:rsidRPr="007C4AF6" w:rsidRDefault="00316388" w:rsidP="007C4AF6">
      <w:pPr>
        <w:spacing w:after="0" w:line="360" w:lineRule="auto"/>
        <w:ind w:left="720" w:hanging="720"/>
        <w:jc w:val="both"/>
        <w:rPr>
          <w:rFonts w:ascii="Arial" w:hAnsi="Arial" w:cs="Arial"/>
          <w:sz w:val="24"/>
          <w:szCs w:val="24"/>
          <w:lang w:val="en-US"/>
        </w:rPr>
      </w:pPr>
    </w:p>
    <w:p w:rsidR="0051572D" w:rsidRPr="007C4AF6" w:rsidRDefault="0051572D" w:rsidP="007C4AF6">
      <w:pPr>
        <w:spacing w:after="0" w:line="360" w:lineRule="auto"/>
        <w:jc w:val="both"/>
        <w:rPr>
          <w:rFonts w:ascii="Arial" w:hAnsi="Arial" w:cs="Arial"/>
          <w:b/>
          <w:sz w:val="24"/>
          <w:szCs w:val="24"/>
          <w:u w:val="single"/>
          <w:lang w:val="en-US"/>
        </w:rPr>
      </w:pPr>
      <w:r w:rsidRPr="007C4AF6">
        <w:rPr>
          <w:rFonts w:ascii="Arial" w:hAnsi="Arial" w:cs="Arial"/>
          <w:b/>
          <w:sz w:val="24"/>
          <w:szCs w:val="24"/>
          <w:u w:val="single"/>
          <w:lang w:val="en-US"/>
        </w:rPr>
        <w:t>INDIRECT REVIEW</w:t>
      </w:r>
    </w:p>
    <w:p w:rsidR="00FA1373" w:rsidRPr="007C4AF6" w:rsidRDefault="00FA1373" w:rsidP="007C4AF6">
      <w:pPr>
        <w:spacing w:after="0" w:line="360" w:lineRule="auto"/>
        <w:jc w:val="both"/>
        <w:rPr>
          <w:rFonts w:ascii="Arial" w:hAnsi="Arial" w:cs="Arial"/>
          <w:b/>
          <w:sz w:val="24"/>
          <w:szCs w:val="24"/>
          <w:lang w:val="en-US"/>
        </w:rPr>
      </w:pPr>
    </w:p>
    <w:p w:rsidR="0051572D" w:rsidRDefault="0032269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[31]</w:t>
      </w:r>
      <w:r w:rsidRPr="007C4AF6">
        <w:rPr>
          <w:rFonts w:ascii="Arial" w:hAnsi="Arial" w:cs="Arial"/>
          <w:sz w:val="24"/>
          <w:szCs w:val="24"/>
          <w:lang w:val="en-US"/>
        </w:rPr>
        <w:tab/>
      </w:r>
      <w:r w:rsidR="0051572D" w:rsidRPr="007C4AF6">
        <w:rPr>
          <w:rFonts w:ascii="Arial" w:hAnsi="Arial" w:cs="Arial"/>
          <w:sz w:val="24"/>
          <w:szCs w:val="24"/>
          <w:lang w:val="en-US"/>
        </w:rPr>
        <w:t>Section 33 of the Constitution</w:t>
      </w:r>
      <w:r w:rsidR="008E47FC" w:rsidRPr="007C4AF6">
        <w:rPr>
          <w:rFonts w:ascii="Arial" w:hAnsi="Arial" w:cs="Arial"/>
          <w:sz w:val="24"/>
          <w:szCs w:val="24"/>
          <w:lang w:val="en-US"/>
        </w:rPr>
        <w:t>,1996</w:t>
      </w:r>
      <w:r w:rsidR="0051572D" w:rsidRPr="007C4AF6">
        <w:rPr>
          <w:rFonts w:ascii="Arial" w:hAnsi="Arial" w:cs="Arial"/>
          <w:sz w:val="24"/>
          <w:szCs w:val="24"/>
          <w:lang w:val="en-US"/>
        </w:rPr>
        <w:t xml:space="preserve"> grants everyone the right to just administrative action.</w:t>
      </w:r>
      <w:r w:rsidR="0051572D" w:rsidRPr="007C4AF6">
        <w:rPr>
          <w:rFonts w:ascii="Arial" w:hAnsi="Arial" w:cs="Times New Roman"/>
          <w:sz w:val="24"/>
          <w:szCs w:val="24"/>
          <w:vertAlign w:val="superscript"/>
          <w:lang w:val="en-US"/>
        </w:rPr>
        <w:footnoteReference w:id="12"/>
      </w:r>
      <w:r w:rsidR="0051572D" w:rsidRPr="007C4AF6">
        <w:rPr>
          <w:rFonts w:ascii="Arial" w:hAnsi="Arial" w:cs="Arial"/>
          <w:sz w:val="24"/>
          <w:szCs w:val="24"/>
          <w:lang w:val="en-US"/>
        </w:rPr>
        <w:t xml:space="preserve"> The right is protected by administrative law and is given effect by the Promotion of Administrative Justice Act</w:t>
      </w:r>
      <w:r w:rsidR="00F15CEB">
        <w:rPr>
          <w:rFonts w:ascii="Arial" w:hAnsi="Arial" w:cs="Arial"/>
          <w:sz w:val="24"/>
          <w:szCs w:val="24"/>
          <w:lang w:val="en-US"/>
        </w:rPr>
        <w:t xml:space="preserve"> 3 of 2000</w:t>
      </w:r>
      <w:r w:rsidR="0051572D" w:rsidRPr="007C4AF6">
        <w:rPr>
          <w:rFonts w:ascii="Arial" w:hAnsi="Arial" w:cs="Arial"/>
          <w:sz w:val="24"/>
          <w:szCs w:val="24"/>
          <w:lang w:val="en-US"/>
        </w:rPr>
        <w:t xml:space="preserve"> (PAJA). Administrative law’s primary diagnostic and corrective mechanism is judicial review. This is a procedure through which administrative action may be scrutinized and invalidated by a court.</w:t>
      </w:r>
      <w:r w:rsidR="0051572D" w:rsidRPr="007C4AF6">
        <w:rPr>
          <w:rFonts w:ascii="Arial" w:hAnsi="Arial" w:cs="Times New Roman"/>
          <w:sz w:val="24"/>
          <w:szCs w:val="24"/>
          <w:vertAlign w:val="superscript"/>
          <w:lang w:val="en-US"/>
        </w:rPr>
        <w:footnoteReference w:id="13"/>
      </w:r>
      <w:r w:rsidR="0051572D" w:rsidRPr="007C4AF6">
        <w:rPr>
          <w:rFonts w:ascii="Arial" w:hAnsi="Arial" w:cs="Arial"/>
          <w:sz w:val="24"/>
          <w:szCs w:val="24"/>
          <w:lang w:val="en-US"/>
        </w:rPr>
        <w:t xml:space="preserve"> </w:t>
      </w:r>
    </w:p>
    <w:p w:rsidR="00E90504" w:rsidRPr="007C4AF6" w:rsidRDefault="00E90504" w:rsidP="007C4AF6">
      <w:pPr>
        <w:spacing w:after="0" w:line="360" w:lineRule="auto"/>
        <w:ind w:left="720" w:hanging="720"/>
        <w:jc w:val="both"/>
        <w:rPr>
          <w:rFonts w:ascii="Arial" w:hAnsi="Arial" w:cs="Arial"/>
          <w:sz w:val="24"/>
          <w:szCs w:val="24"/>
          <w:lang w:val="en-US"/>
        </w:rPr>
      </w:pPr>
    </w:p>
    <w:p w:rsidR="0051572D" w:rsidRPr="007C4AF6" w:rsidRDefault="00322692" w:rsidP="007C4AF6">
      <w:pPr>
        <w:spacing w:after="0" w:line="360" w:lineRule="auto"/>
        <w:ind w:left="720" w:hanging="720"/>
        <w:jc w:val="both"/>
        <w:rPr>
          <w:rFonts w:ascii="Arial" w:hAnsi="Arial" w:cs="Arial"/>
          <w:i/>
          <w:sz w:val="24"/>
          <w:szCs w:val="24"/>
          <w:lang w:val="en-US"/>
        </w:rPr>
      </w:pPr>
      <w:r w:rsidRPr="007C4AF6">
        <w:rPr>
          <w:rFonts w:ascii="Arial" w:hAnsi="Arial" w:cs="Arial"/>
          <w:sz w:val="24"/>
          <w:szCs w:val="24"/>
          <w:lang w:val="en-US"/>
        </w:rPr>
        <w:t>[32]</w:t>
      </w:r>
      <w:r w:rsidRPr="007C4AF6">
        <w:rPr>
          <w:rFonts w:ascii="Arial" w:hAnsi="Arial" w:cs="Arial"/>
          <w:sz w:val="24"/>
          <w:szCs w:val="24"/>
          <w:lang w:val="en-US"/>
        </w:rPr>
        <w:tab/>
      </w:r>
      <w:r w:rsidR="0051572D" w:rsidRPr="007C4AF6">
        <w:rPr>
          <w:rFonts w:ascii="Arial" w:hAnsi="Arial" w:cs="Arial"/>
          <w:sz w:val="24"/>
          <w:szCs w:val="24"/>
          <w:lang w:val="en-US"/>
        </w:rPr>
        <w:t xml:space="preserve">These two remedies are mentioned in the much cited dictum of Innes CJ in </w:t>
      </w:r>
      <w:r w:rsidR="0051572D" w:rsidRPr="007C4AF6">
        <w:rPr>
          <w:rFonts w:ascii="Arial" w:hAnsi="Arial" w:cs="Arial"/>
          <w:i/>
          <w:sz w:val="24"/>
          <w:szCs w:val="24"/>
          <w:lang w:val="en-US"/>
        </w:rPr>
        <w:t>Johannesburg Consolidated Investment Co v Johannesburg Town Council</w:t>
      </w:r>
      <w:r w:rsidR="0051572D" w:rsidRPr="007C4AF6">
        <w:rPr>
          <w:rFonts w:ascii="Arial" w:hAnsi="Arial" w:cs="Times New Roman"/>
          <w:i/>
          <w:sz w:val="24"/>
          <w:szCs w:val="24"/>
          <w:vertAlign w:val="superscript"/>
          <w:lang w:val="en-US"/>
        </w:rPr>
        <w:footnoteReference w:id="14"/>
      </w:r>
      <w:r w:rsidR="00A057BF" w:rsidRPr="007C4AF6">
        <w:rPr>
          <w:rFonts w:ascii="Arial" w:hAnsi="Arial" w:cs="Arial"/>
          <w:i/>
          <w:sz w:val="24"/>
          <w:szCs w:val="24"/>
          <w:lang w:val="en-US"/>
        </w:rPr>
        <w:t>.</w:t>
      </w:r>
    </w:p>
    <w:p w:rsidR="002868EE" w:rsidRPr="007C4AF6" w:rsidRDefault="002868EE" w:rsidP="007C4AF6">
      <w:pPr>
        <w:spacing w:after="0" w:line="360" w:lineRule="auto"/>
        <w:ind w:left="720" w:hanging="720"/>
        <w:jc w:val="both"/>
        <w:rPr>
          <w:rFonts w:ascii="Arial" w:hAnsi="Arial" w:cs="Arial"/>
          <w:sz w:val="24"/>
          <w:szCs w:val="24"/>
          <w:lang w:val="en-US"/>
        </w:rPr>
      </w:pPr>
    </w:p>
    <w:p w:rsidR="0051572D" w:rsidRPr="007C4AF6" w:rsidRDefault="0032269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[33]</w:t>
      </w:r>
      <w:r w:rsidRPr="007C4AF6">
        <w:rPr>
          <w:rFonts w:ascii="Arial" w:hAnsi="Arial" w:cs="Arial"/>
          <w:sz w:val="24"/>
          <w:szCs w:val="24"/>
          <w:lang w:val="en-US"/>
        </w:rPr>
        <w:tab/>
      </w:r>
      <w:r w:rsidR="0051572D" w:rsidRPr="007C4AF6">
        <w:rPr>
          <w:rFonts w:ascii="Arial" w:hAnsi="Arial" w:cs="Arial"/>
          <w:sz w:val="24"/>
          <w:szCs w:val="24"/>
          <w:lang w:val="en-US"/>
        </w:rPr>
        <w:t>A court can review administrative action directly or indirectly.</w:t>
      </w:r>
      <w:r w:rsidR="0051572D" w:rsidRPr="007C4AF6">
        <w:rPr>
          <w:rFonts w:ascii="Arial" w:hAnsi="Arial" w:cs="Times New Roman"/>
          <w:sz w:val="24"/>
          <w:szCs w:val="24"/>
          <w:vertAlign w:val="superscript"/>
          <w:lang w:val="en-US"/>
        </w:rPr>
        <w:footnoteReference w:id="15"/>
      </w:r>
      <w:r w:rsidR="0051572D" w:rsidRPr="007C4AF6">
        <w:rPr>
          <w:rFonts w:ascii="Arial" w:hAnsi="Arial" w:cs="Arial"/>
          <w:sz w:val="24"/>
          <w:szCs w:val="24"/>
          <w:lang w:val="en-US"/>
        </w:rPr>
        <w:t xml:space="preserve"> In direct review proceedings</w:t>
      </w:r>
      <w:r w:rsidR="004118E8" w:rsidRPr="007C4AF6">
        <w:rPr>
          <w:rFonts w:ascii="Arial" w:hAnsi="Arial" w:cs="Arial"/>
          <w:sz w:val="24"/>
          <w:szCs w:val="24"/>
          <w:lang w:val="en-US"/>
        </w:rPr>
        <w:t>,</w:t>
      </w:r>
      <w:r w:rsidR="0051572D" w:rsidRPr="007C4AF6">
        <w:rPr>
          <w:rFonts w:ascii="Arial" w:hAnsi="Arial" w:cs="Arial"/>
          <w:sz w:val="24"/>
          <w:szCs w:val="24"/>
          <w:lang w:val="en-US"/>
        </w:rPr>
        <w:t xml:space="preserve"> the validity of administrative action is the court’s main subject of the adjudication. These proceedings are initiated by a litigant whose purpose in approaching the court is to impugn the administrative action in question. In indirect-review, dissimilarly, the validity of administrative action is incidental to the court’s main subject of adjudication. </w:t>
      </w:r>
    </w:p>
    <w:p w:rsidR="002868EE" w:rsidRPr="007C4AF6" w:rsidRDefault="002868EE" w:rsidP="007C4AF6">
      <w:pPr>
        <w:spacing w:after="0" w:line="360" w:lineRule="auto"/>
        <w:ind w:left="720" w:hanging="720"/>
        <w:jc w:val="both"/>
        <w:rPr>
          <w:rFonts w:ascii="Arial" w:hAnsi="Arial" w:cs="Arial"/>
          <w:sz w:val="24"/>
          <w:szCs w:val="24"/>
          <w:lang w:val="en-US"/>
        </w:rPr>
      </w:pPr>
    </w:p>
    <w:p w:rsidR="0051572D" w:rsidRPr="007C4AF6" w:rsidRDefault="0032269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w:t>
      </w:r>
      <w:r w:rsidR="00747973" w:rsidRPr="007C4AF6">
        <w:rPr>
          <w:rFonts w:ascii="Arial" w:hAnsi="Arial" w:cs="Arial"/>
          <w:sz w:val="24"/>
          <w:szCs w:val="24"/>
          <w:lang w:val="en-US"/>
        </w:rPr>
        <w:t>34]</w:t>
      </w:r>
      <w:r w:rsidR="00316388" w:rsidRPr="007C4AF6">
        <w:rPr>
          <w:rFonts w:ascii="Arial" w:hAnsi="Arial" w:cs="Arial"/>
          <w:sz w:val="24"/>
          <w:szCs w:val="24"/>
          <w:lang w:val="en-US"/>
        </w:rPr>
        <w:tab/>
      </w:r>
      <w:r w:rsidR="0051572D" w:rsidRPr="007C4AF6">
        <w:rPr>
          <w:rFonts w:ascii="Arial" w:hAnsi="Arial" w:cs="Arial"/>
          <w:sz w:val="24"/>
          <w:szCs w:val="24"/>
          <w:lang w:val="en-US"/>
        </w:rPr>
        <w:t>Pertinent to the procedure of indirect review, in his body of work, JR de Ville</w:t>
      </w:r>
      <w:r w:rsidR="0051572D" w:rsidRPr="007C4AF6">
        <w:rPr>
          <w:rFonts w:ascii="Arial" w:hAnsi="Arial" w:cs="Times New Roman"/>
          <w:sz w:val="24"/>
          <w:szCs w:val="24"/>
          <w:vertAlign w:val="superscript"/>
          <w:lang w:val="en-US"/>
        </w:rPr>
        <w:footnoteReference w:id="16"/>
      </w:r>
      <w:r w:rsidR="0051572D" w:rsidRPr="007C4AF6">
        <w:rPr>
          <w:rFonts w:ascii="Arial" w:hAnsi="Arial" w:cs="Arial"/>
          <w:sz w:val="24"/>
          <w:szCs w:val="24"/>
          <w:lang w:val="en-US"/>
        </w:rPr>
        <w:t xml:space="preserve"> says:</w:t>
      </w:r>
    </w:p>
    <w:p w:rsidR="0051572D" w:rsidRPr="007C4AF6" w:rsidRDefault="0051572D" w:rsidP="007C4AF6">
      <w:pPr>
        <w:spacing w:after="0" w:line="360" w:lineRule="auto"/>
        <w:ind w:left="720"/>
        <w:jc w:val="both"/>
        <w:rPr>
          <w:rFonts w:ascii="Arial" w:hAnsi="Arial" w:cs="Arial"/>
          <w:sz w:val="20"/>
          <w:szCs w:val="20"/>
          <w:lang w:val="en-US"/>
        </w:rPr>
      </w:pPr>
      <w:r w:rsidRPr="007C4AF6">
        <w:rPr>
          <w:rFonts w:ascii="Arial" w:hAnsi="Arial" w:cs="Arial"/>
          <w:sz w:val="20"/>
          <w:szCs w:val="20"/>
          <w:lang w:val="en-US"/>
        </w:rPr>
        <w:t xml:space="preserve">“Before the enactment of PAJA, direct review of administrative action occurred in </w:t>
      </w:r>
      <w:r w:rsidR="00153256">
        <w:rPr>
          <w:rFonts w:ascii="Arial" w:hAnsi="Arial" w:cs="Arial"/>
          <w:sz w:val="20"/>
          <w:szCs w:val="20"/>
          <w:lang w:val="en-US"/>
        </w:rPr>
        <w:t xml:space="preserve">terms Rule </w:t>
      </w:r>
      <w:r w:rsidRPr="007C4AF6">
        <w:rPr>
          <w:rFonts w:ascii="Arial" w:hAnsi="Arial" w:cs="Arial"/>
          <w:sz w:val="20"/>
          <w:szCs w:val="20"/>
          <w:lang w:val="en-US"/>
        </w:rPr>
        <w:t>53 of t</w:t>
      </w:r>
      <w:r w:rsidR="00322692" w:rsidRPr="007C4AF6">
        <w:rPr>
          <w:rFonts w:ascii="Arial" w:hAnsi="Arial" w:cs="Arial"/>
          <w:sz w:val="20"/>
          <w:szCs w:val="20"/>
          <w:lang w:val="en-US"/>
        </w:rPr>
        <w:t xml:space="preserve">he Uniform Rules of the </w:t>
      </w:r>
      <w:r w:rsidR="00E800E8" w:rsidRPr="007C4AF6">
        <w:rPr>
          <w:rFonts w:ascii="Arial" w:hAnsi="Arial" w:cs="Arial"/>
          <w:sz w:val="20"/>
          <w:szCs w:val="20"/>
          <w:lang w:val="en-US"/>
        </w:rPr>
        <w:t>Court Although</w:t>
      </w:r>
      <w:r w:rsidRPr="007C4AF6">
        <w:rPr>
          <w:rFonts w:ascii="Arial" w:hAnsi="Arial" w:cs="Arial"/>
          <w:sz w:val="20"/>
          <w:szCs w:val="20"/>
          <w:lang w:val="en-US"/>
        </w:rPr>
        <w:t xml:space="preserve"> appears to have been some uncertainty in this </w:t>
      </w:r>
      <w:r w:rsidRPr="007C4AF6">
        <w:rPr>
          <w:rFonts w:ascii="Arial" w:hAnsi="Arial" w:cs="Arial"/>
          <w:sz w:val="20"/>
          <w:szCs w:val="20"/>
          <w:lang w:val="en-US"/>
        </w:rPr>
        <w:lastRenderedPageBreak/>
        <w:t>regard in the past, the procedure prescribed in Rule 53 need not be followed in instances of indirect review. In these instances, (for example where an interdict, declaration of rights or spoliation is sought), the applicant (plaintiff) can proceed either by way of application or by way of summons, depending on the presence o</w:t>
      </w:r>
      <w:r w:rsidR="004A08CD" w:rsidRPr="007C4AF6">
        <w:rPr>
          <w:rFonts w:ascii="Arial" w:hAnsi="Arial" w:cs="Arial"/>
          <w:sz w:val="20"/>
          <w:szCs w:val="20"/>
          <w:lang w:val="en-US"/>
        </w:rPr>
        <w:t>r absence of dispute of fact.”</w:t>
      </w:r>
    </w:p>
    <w:p w:rsidR="004A08CD" w:rsidRPr="007C4AF6" w:rsidRDefault="004A08CD" w:rsidP="007C4AF6">
      <w:pPr>
        <w:spacing w:after="0" w:line="360" w:lineRule="auto"/>
        <w:ind w:left="720"/>
        <w:jc w:val="both"/>
        <w:rPr>
          <w:rFonts w:ascii="Arial" w:hAnsi="Arial" w:cs="Arial"/>
          <w:lang w:val="en-US"/>
        </w:rPr>
      </w:pPr>
    </w:p>
    <w:p w:rsidR="0051572D" w:rsidRPr="007C4AF6" w:rsidRDefault="0051572D"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w:t>
      </w:r>
      <w:r w:rsidR="00322692" w:rsidRPr="007C4AF6">
        <w:rPr>
          <w:rFonts w:ascii="Arial" w:hAnsi="Arial" w:cs="Arial"/>
          <w:sz w:val="24"/>
          <w:szCs w:val="24"/>
          <w:lang w:val="en-US"/>
        </w:rPr>
        <w:t>34]</w:t>
      </w:r>
      <w:r w:rsidR="00322692" w:rsidRPr="007C4AF6">
        <w:rPr>
          <w:rFonts w:ascii="Arial" w:hAnsi="Arial" w:cs="Arial"/>
          <w:sz w:val="24"/>
          <w:szCs w:val="24"/>
          <w:lang w:val="en-US"/>
        </w:rPr>
        <w:tab/>
      </w:r>
      <w:r w:rsidRPr="007C4AF6">
        <w:rPr>
          <w:rFonts w:ascii="Arial" w:hAnsi="Arial" w:cs="Arial"/>
          <w:sz w:val="24"/>
          <w:szCs w:val="24"/>
          <w:lang w:val="en-US"/>
        </w:rPr>
        <w:t>In this matter</w:t>
      </w:r>
      <w:r w:rsidRPr="007C4AF6">
        <w:rPr>
          <w:rFonts w:ascii="Arial" w:hAnsi="Arial" w:cs="Arial"/>
          <w:i/>
          <w:sz w:val="24"/>
          <w:szCs w:val="24"/>
          <w:lang w:val="en-US"/>
        </w:rPr>
        <w:t xml:space="preserve"> </w:t>
      </w:r>
      <w:r w:rsidRPr="007C4AF6">
        <w:rPr>
          <w:rFonts w:ascii="Arial" w:hAnsi="Arial" w:cs="Arial"/>
          <w:sz w:val="24"/>
          <w:szCs w:val="24"/>
          <w:lang w:val="en-US"/>
        </w:rPr>
        <w:t>the main issue fo</w:t>
      </w:r>
      <w:r w:rsidR="008E47FC" w:rsidRPr="007C4AF6">
        <w:rPr>
          <w:rFonts w:ascii="Arial" w:hAnsi="Arial" w:cs="Arial"/>
          <w:sz w:val="24"/>
          <w:szCs w:val="24"/>
          <w:lang w:val="en-US"/>
        </w:rPr>
        <w:t>r determination brought by the a</w:t>
      </w:r>
      <w:r w:rsidRPr="007C4AF6">
        <w:rPr>
          <w:rFonts w:ascii="Arial" w:hAnsi="Arial" w:cs="Arial"/>
          <w:sz w:val="24"/>
          <w:szCs w:val="24"/>
          <w:lang w:val="en-US"/>
        </w:rPr>
        <w:t xml:space="preserve">pplicants is an order to compel LPC to issue them with the Fidelity Fund certificate but the decision taken by the LPC stands in the way of the relief sought and is incidental to the court’s main subject of adjudication. By seeking to compel the LPC to issue the Fidelity Fund </w:t>
      </w:r>
      <w:r w:rsidR="0082399E" w:rsidRPr="007C4AF6">
        <w:rPr>
          <w:rFonts w:ascii="Arial" w:hAnsi="Arial" w:cs="Arial"/>
          <w:sz w:val="24"/>
          <w:szCs w:val="24"/>
          <w:lang w:val="en-US"/>
        </w:rPr>
        <w:t>C</w:t>
      </w:r>
      <w:r w:rsidRPr="007C4AF6">
        <w:rPr>
          <w:rFonts w:ascii="Arial" w:hAnsi="Arial" w:cs="Arial"/>
          <w:sz w:val="24"/>
          <w:szCs w:val="24"/>
          <w:lang w:val="en-US"/>
        </w:rPr>
        <w:t xml:space="preserve">ertificate, the </w:t>
      </w:r>
      <w:r w:rsidR="0082399E" w:rsidRPr="007C4AF6">
        <w:rPr>
          <w:rFonts w:ascii="Arial" w:hAnsi="Arial" w:cs="Arial"/>
          <w:sz w:val="24"/>
          <w:szCs w:val="24"/>
          <w:lang w:val="en-US"/>
        </w:rPr>
        <w:t>a</w:t>
      </w:r>
      <w:r w:rsidRPr="007C4AF6">
        <w:rPr>
          <w:rFonts w:ascii="Arial" w:hAnsi="Arial" w:cs="Arial"/>
          <w:sz w:val="24"/>
          <w:szCs w:val="24"/>
          <w:lang w:val="en-US"/>
        </w:rPr>
        <w:t xml:space="preserve">pplicants </w:t>
      </w:r>
      <w:r w:rsidR="0082399E" w:rsidRPr="007C4AF6">
        <w:rPr>
          <w:rFonts w:ascii="Arial" w:hAnsi="Arial" w:cs="Arial"/>
          <w:sz w:val="24"/>
          <w:szCs w:val="24"/>
          <w:lang w:val="en-US"/>
        </w:rPr>
        <w:t>in</w:t>
      </w:r>
      <w:r w:rsidRPr="007C4AF6">
        <w:rPr>
          <w:rFonts w:ascii="Arial" w:hAnsi="Arial" w:cs="Arial"/>
          <w:sz w:val="24"/>
          <w:szCs w:val="24"/>
          <w:lang w:val="en-US"/>
        </w:rPr>
        <w:t xml:space="preserve">directly impugn the administrative action of the LPC. </w:t>
      </w:r>
    </w:p>
    <w:p w:rsidR="00747973" w:rsidRPr="007C4AF6" w:rsidRDefault="00747973" w:rsidP="007C4AF6">
      <w:pPr>
        <w:spacing w:after="0" w:line="360" w:lineRule="auto"/>
        <w:jc w:val="both"/>
        <w:rPr>
          <w:rFonts w:ascii="Arial" w:hAnsi="Arial" w:cs="Arial"/>
          <w:sz w:val="24"/>
          <w:szCs w:val="24"/>
          <w:lang w:val="en-US"/>
        </w:rPr>
      </w:pPr>
    </w:p>
    <w:p w:rsidR="0051572D" w:rsidRPr="007C4AF6" w:rsidRDefault="0051572D" w:rsidP="007C4AF6">
      <w:pPr>
        <w:spacing w:after="0" w:line="360" w:lineRule="auto"/>
        <w:jc w:val="both"/>
        <w:rPr>
          <w:rFonts w:ascii="Arial" w:hAnsi="Arial" w:cs="Arial"/>
          <w:b/>
          <w:sz w:val="24"/>
          <w:szCs w:val="24"/>
          <w:u w:val="single"/>
          <w:lang w:val="en-US"/>
        </w:rPr>
      </w:pPr>
      <w:r w:rsidRPr="007C4AF6">
        <w:rPr>
          <w:rFonts w:ascii="Arial" w:hAnsi="Arial" w:cs="Arial"/>
          <w:b/>
          <w:sz w:val="24"/>
          <w:szCs w:val="24"/>
          <w:u w:val="single"/>
          <w:lang w:val="en-US"/>
        </w:rPr>
        <w:t>ARGUMENTS</w:t>
      </w:r>
      <w:r w:rsidR="00747973" w:rsidRPr="007C4AF6">
        <w:rPr>
          <w:rFonts w:ascii="Arial" w:hAnsi="Arial" w:cs="Arial"/>
          <w:b/>
          <w:sz w:val="24"/>
          <w:szCs w:val="24"/>
          <w:u w:val="single"/>
          <w:lang w:val="en-US"/>
        </w:rPr>
        <w:t xml:space="preserve"> AND ANALYSIS</w:t>
      </w:r>
    </w:p>
    <w:p w:rsidR="0051572D" w:rsidRPr="007C4AF6" w:rsidRDefault="0051572D" w:rsidP="007C4AF6">
      <w:pPr>
        <w:spacing w:after="0" w:line="360" w:lineRule="auto"/>
        <w:jc w:val="both"/>
        <w:rPr>
          <w:rFonts w:ascii="Arial" w:hAnsi="Arial" w:cs="Arial"/>
          <w:sz w:val="24"/>
          <w:szCs w:val="24"/>
          <w:lang w:val="en-US"/>
        </w:rPr>
      </w:pPr>
    </w:p>
    <w:p w:rsidR="0051572D" w:rsidRPr="007C4AF6" w:rsidRDefault="0032269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[35]</w:t>
      </w:r>
      <w:r w:rsidRPr="007C4AF6">
        <w:rPr>
          <w:rFonts w:ascii="Arial" w:hAnsi="Arial" w:cs="Arial"/>
          <w:sz w:val="24"/>
          <w:szCs w:val="24"/>
          <w:lang w:val="en-US"/>
        </w:rPr>
        <w:tab/>
      </w:r>
      <w:r w:rsidR="0051572D" w:rsidRPr="007C4AF6">
        <w:rPr>
          <w:rFonts w:ascii="Arial" w:hAnsi="Arial" w:cs="Arial"/>
          <w:sz w:val="24"/>
          <w:szCs w:val="24"/>
          <w:lang w:val="en-US"/>
        </w:rPr>
        <w:t xml:space="preserve">I now turn to scrutinize the administrative action taken by the LPC on 4 December 2023. In an attempt to avoid </w:t>
      </w:r>
      <w:r w:rsidR="00E800E8" w:rsidRPr="007C4AF6">
        <w:rPr>
          <w:rFonts w:ascii="Arial" w:hAnsi="Arial" w:cs="Arial"/>
          <w:sz w:val="24"/>
          <w:szCs w:val="24"/>
          <w:lang w:val="en-US"/>
        </w:rPr>
        <w:t>prolixity,</w:t>
      </w:r>
      <w:r w:rsidR="0029025F" w:rsidRPr="007C4AF6">
        <w:rPr>
          <w:rFonts w:ascii="Arial" w:hAnsi="Arial" w:cs="Arial"/>
          <w:sz w:val="24"/>
          <w:szCs w:val="24"/>
          <w:lang w:val="en-US"/>
        </w:rPr>
        <w:t xml:space="preserve"> I will</w:t>
      </w:r>
      <w:r w:rsidR="0051572D" w:rsidRPr="007C4AF6">
        <w:rPr>
          <w:rFonts w:ascii="Arial" w:hAnsi="Arial" w:cs="Arial"/>
          <w:sz w:val="24"/>
          <w:szCs w:val="24"/>
          <w:lang w:val="en-US"/>
        </w:rPr>
        <w:t xml:space="preserve"> briefly refer to the most contentious issues.  Firstly, Adv. Steenkamp in his arguments</w:t>
      </w:r>
      <w:r w:rsidR="0051572D" w:rsidRPr="007C4AF6">
        <w:rPr>
          <w:rFonts w:ascii="Arial" w:hAnsi="Arial" w:cs="Times New Roman"/>
          <w:sz w:val="24"/>
          <w:szCs w:val="24"/>
          <w:vertAlign w:val="superscript"/>
          <w:lang w:val="en-US"/>
        </w:rPr>
        <w:footnoteReference w:id="17"/>
      </w:r>
      <w:r w:rsidR="0051572D" w:rsidRPr="007C4AF6">
        <w:rPr>
          <w:rFonts w:ascii="Arial" w:hAnsi="Arial" w:cs="Arial"/>
          <w:sz w:val="24"/>
          <w:szCs w:val="24"/>
          <w:lang w:val="en-US"/>
        </w:rPr>
        <w:t xml:space="preserve"> with regards to discretion refers to Section 84(6)</w:t>
      </w:r>
      <w:r w:rsidR="008E47FC" w:rsidRPr="007C4AF6">
        <w:rPr>
          <w:rFonts w:ascii="Arial" w:hAnsi="Arial" w:cs="Times New Roman"/>
          <w:sz w:val="24"/>
          <w:szCs w:val="24"/>
          <w:vertAlign w:val="superscript"/>
          <w:lang w:val="en-US"/>
        </w:rPr>
        <w:t xml:space="preserve"> </w:t>
      </w:r>
      <w:r w:rsidR="008E47FC" w:rsidRPr="007C4AF6">
        <w:rPr>
          <w:rFonts w:ascii="Arial" w:hAnsi="Arial" w:cs="Arial"/>
          <w:sz w:val="24"/>
          <w:szCs w:val="24"/>
          <w:lang w:val="en-US"/>
        </w:rPr>
        <w:t xml:space="preserve">of the Act </w:t>
      </w:r>
      <w:r w:rsidR="0051572D" w:rsidRPr="007C4AF6">
        <w:rPr>
          <w:rFonts w:ascii="Arial" w:hAnsi="Arial" w:cs="Arial"/>
          <w:sz w:val="24"/>
          <w:szCs w:val="24"/>
          <w:lang w:val="en-US"/>
        </w:rPr>
        <w:t xml:space="preserve">as the only provision which grants the LPC authority to withdraw Fidelity Fund Certificate and consequently allows them to apply for an interdict against a practitioner concerned for </w:t>
      </w:r>
      <w:r w:rsidR="0082399E" w:rsidRPr="007C4AF6">
        <w:rPr>
          <w:rFonts w:ascii="Arial" w:hAnsi="Arial" w:cs="Arial"/>
          <w:sz w:val="24"/>
          <w:szCs w:val="24"/>
          <w:lang w:val="en-US"/>
        </w:rPr>
        <w:t>non-compliance with</w:t>
      </w:r>
      <w:r w:rsidR="0051572D" w:rsidRPr="007C4AF6">
        <w:rPr>
          <w:rFonts w:ascii="Arial" w:hAnsi="Arial" w:cs="Arial"/>
          <w:sz w:val="24"/>
          <w:szCs w:val="24"/>
          <w:lang w:val="en-US"/>
        </w:rPr>
        <w:t xml:space="preserve"> the </w:t>
      </w:r>
      <w:r w:rsidR="00F62EA3" w:rsidRPr="007C4AF6">
        <w:rPr>
          <w:rFonts w:ascii="Arial" w:hAnsi="Arial" w:cs="Arial"/>
          <w:sz w:val="24"/>
          <w:szCs w:val="24"/>
          <w:lang w:val="en-US"/>
        </w:rPr>
        <w:t>A</w:t>
      </w:r>
      <w:r w:rsidR="0051572D" w:rsidRPr="007C4AF6">
        <w:rPr>
          <w:rFonts w:ascii="Arial" w:hAnsi="Arial" w:cs="Arial"/>
          <w:sz w:val="24"/>
          <w:szCs w:val="24"/>
          <w:lang w:val="en-US"/>
        </w:rPr>
        <w:t>ct. According to</w:t>
      </w:r>
      <w:r w:rsidR="00F15CEB">
        <w:rPr>
          <w:rFonts w:ascii="Arial" w:hAnsi="Arial" w:cs="Arial"/>
          <w:sz w:val="24"/>
          <w:szCs w:val="24"/>
          <w:lang w:val="en-US"/>
        </w:rPr>
        <w:t xml:space="preserve"> him, the applicants submitted </w:t>
      </w:r>
      <w:r w:rsidR="0051572D" w:rsidRPr="007C4AF6">
        <w:rPr>
          <w:rFonts w:ascii="Arial" w:hAnsi="Arial" w:cs="Arial"/>
          <w:sz w:val="24"/>
          <w:szCs w:val="24"/>
          <w:lang w:val="en-US"/>
        </w:rPr>
        <w:t>qualified report</w:t>
      </w:r>
      <w:r w:rsidR="00F15CEB">
        <w:rPr>
          <w:rFonts w:ascii="Arial" w:hAnsi="Arial" w:cs="Arial"/>
          <w:sz w:val="24"/>
          <w:szCs w:val="24"/>
          <w:lang w:val="en-US"/>
        </w:rPr>
        <w:t>s</w:t>
      </w:r>
      <w:r w:rsidR="0051572D" w:rsidRPr="007C4AF6">
        <w:rPr>
          <w:rFonts w:ascii="Arial" w:hAnsi="Arial" w:cs="Arial"/>
          <w:sz w:val="24"/>
          <w:szCs w:val="24"/>
          <w:lang w:val="en-US"/>
        </w:rPr>
        <w:t xml:space="preserve"> to the LPC and complied with rule 54.30. </w:t>
      </w:r>
      <w:r w:rsidRPr="007C4AF6">
        <w:rPr>
          <w:rFonts w:ascii="Arial" w:hAnsi="Arial" w:cs="Arial"/>
          <w:sz w:val="24"/>
          <w:szCs w:val="24"/>
          <w:lang w:val="en-US"/>
        </w:rPr>
        <w:t>Therefore,</w:t>
      </w:r>
      <w:r w:rsidR="0051572D" w:rsidRPr="007C4AF6">
        <w:rPr>
          <w:rFonts w:ascii="Arial" w:hAnsi="Arial" w:cs="Arial"/>
          <w:sz w:val="24"/>
          <w:szCs w:val="24"/>
          <w:lang w:val="en-US"/>
        </w:rPr>
        <w:t xml:space="preserve"> Section 85(6) becomes applicable and it imposes upon the LPC a positive obligat</w:t>
      </w:r>
      <w:r w:rsidR="00F15CEB">
        <w:rPr>
          <w:rFonts w:ascii="Arial" w:hAnsi="Arial" w:cs="Arial"/>
          <w:sz w:val="24"/>
          <w:szCs w:val="24"/>
          <w:lang w:val="en-US"/>
        </w:rPr>
        <w:t>ion to issue the Fidelity Fund C</w:t>
      </w:r>
      <w:r w:rsidR="0051572D" w:rsidRPr="007C4AF6">
        <w:rPr>
          <w:rFonts w:ascii="Arial" w:hAnsi="Arial" w:cs="Arial"/>
          <w:sz w:val="24"/>
          <w:szCs w:val="24"/>
          <w:lang w:val="en-US"/>
        </w:rPr>
        <w:t xml:space="preserve">ertificate </w:t>
      </w:r>
      <w:r w:rsidR="0051572D" w:rsidRPr="007C4AF6">
        <w:rPr>
          <w:rFonts w:ascii="Arial" w:hAnsi="Arial" w:cs="Arial"/>
          <w:b/>
          <w:sz w:val="24"/>
          <w:szCs w:val="24"/>
          <w:lang w:val="en-US"/>
        </w:rPr>
        <w:t>“if it is satisfied”</w:t>
      </w:r>
      <w:r w:rsidR="0051572D" w:rsidRPr="007C4AF6">
        <w:rPr>
          <w:rFonts w:ascii="Arial" w:hAnsi="Arial" w:cs="Arial"/>
          <w:sz w:val="24"/>
          <w:szCs w:val="24"/>
          <w:lang w:val="en-US"/>
        </w:rPr>
        <w:t>. The “if it is satisfied” requirement is only fenced off to the four considerations contain</w:t>
      </w:r>
      <w:r w:rsidR="00F156DB" w:rsidRPr="007C4AF6">
        <w:rPr>
          <w:rFonts w:ascii="Arial" w:hAnsi="Arial" w:cs="Arial"/>
          <w:sz w:val="24"/>
          <w:szCs w:val="24"/>
          <w:lang w:val="en-US"/>
        </w:rPr>
        <w:t>ed</w:t>
      </w:r>
      <w:r w:rsidR="0051572D" w:rsidRPr="007C4AF6">
        <w:rPr>
          <w:rFonts w:ascii="Arial" w:hAnsi="Arial" w:cs="Arial"/>
          <w:sz w:val="24"/>
          <w:szCs w:val="24"/>
          <w:lang w:val="en-US"/>
        </w:rPr>
        <w:t xml:space="preserve"> in the provision which are the following:</w:t>
      </w:r>
    </w:p>
    <w:p w:rsidR="0051572D" w:rsidRPr="007C4AF6" w:rsidRDefault="004A08CD" w:rsidP="007C4AF6">
      <w:pPr>
        <w:spacing w:after="0" w:line="360" w:lineRule="auto"/>
        <w:ind w:left="720"/>
        <w:jc w:val="both"/>
        <w:rPr>
          <w:rFonts w:ascii="Arial" w:eastAsia="Times New Roman" w:hAnsi="Arial" w:cs="Arial"/>
          <w:b/>
          <w:sz w:val="20"/>
          <w:szCs w:val="20"/>
          <w:lang w:val="en-US" w:eastAsia="en-ZA"/>
        </w:rPr>
      </w:pPr>
      <w:r w:rsidRPr="007C4AF6">
        <w:rPr>
          <w:rFonts w:ascii="Arial" w:eastAsia="Times New Roman" w:hAnsi="Arial" w:cs="Arial"/>
          <w:sz w:val="20"/>
          <w:szCs w:val="20"/>
          <w:lang w:val="en-US" w:eastAsia="en-ZA"/>
        </w:rPr>
        <w:t>“</w:t>
      </w:r>
      <w:r w:rsidR="0051572D" w:rsidRPr="007C4AF6">
        <w:rPr>
          <w:rFonts w:ascii="Arial" w:eastAsia="Times New Roman" w:hAnsi="Arial" w:cs="Arial"/>
          <w:sz w:val="20"/>
          <w:szCs w:val="20"/>
          <w:lang w:val="en-US" w:eastAsia="en-ZA"/>
        </w:rPr>
        <w:t xml:space="preserve">Upon receipt of an application in terms of subsection (1) the Council must, </w:t>
      </w:r>
      <w:r w:rsidR="00316388" w:rsidRPr="007C4AF6">
        <w:rPr>
          <w:rFonts w:ascii="Arial" w:eastAsia="Times New Roman" w:hAnsi="Arial" w:cs="Arial"/>
          <w:b/>
          <w:sz w:val="20"/>
          <w:szCs w:val="20"/>
          <w:lang w:val="en-US" w:eastAsia="en-ZA"/>
        </w:rPr>
        <w:t>“if it is</w:t>
      </w:r>
      <w:r w:rsidRPr="007C4AF6">
        <w:rPr>
          <w:rFonts w:ascii="Arial" w:eastAsia="Times New Roman" w:hAnsi="Arial" w:cs="Arial"/>
          <w:b/>
          <w:sz w:val="20"/>
          <w:szCs w:val="20"/>
          <w:lang w:val="en-US" w:eastAsia="en-ZA"/>
        </w:rPr>
        <w:t xml:space="preserve"> </w:t>
      </w:r>
      <w:r w:rsidR="0051572D" w:rsidRPr="007C4AF6">
        <w:rPr>
          <w:rFonts w:ascii="Arial" w:eastAsia="Times New Roman" w:hAnsi="Arial" w:cs="Arial"/>
          <w:b/>
          <w:sz w:val="20"/>
          <w:szCs w:val="20"/>
          <w:lang w:val="en-US" w:eastAsia="en-ZA"/>
        </w:rPr>
        <w:t>satisfied”</w:t>
      </w:r>
      <w:r w:rsidR="0051572D" w:rsidRPr="007C4AF6">
        <w:rPr>
          <w:rFonts w:ascii="Arial" w:eastAsia="Times New Roman" w:hAnsi="Arial" w:cs="Arial"/>
          <w:sz w:val="20"/>
          <w:szCs w:val="20"/>
          <w:lang w:val="en-US" w:eastAsia="en-ZA"/>
        </w:rPr>
        <w:t xml:space="preserve"> that the applicant has</w:t>
      </w:r>
      <w:r w:rsidR="0082399E" w:rsidRPr="007C4AF6">
        <w:rPr>
          <w:rFonts w:ascii="Arial" w:eastAsia="Times New Roman" w:hAnsi="Arial" w:cs="Arial"/>
          <w:sz w:val="20"/>
          <w:szCs w:val="20"/>
          <w:lang w:val="en-US" w:eastAsia="en-ZA"/>
        </w:rPr>
        <w:t>:</w:t>
      </w:r>
    </w:p>
    <w:p w:rsidR="0051572D" w:rsidRPr="007B5185" w:rsidRDefault="007B5185" w:rsidP="007B5185">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(a)</w:t>
      </w:r>
      <w:r w:rsidRPr="007C4AF6">
        <w:rPr>
          <w:rFonts w:ascii="Arial" w:eastAsia="Times New Roman" w:hAnsi="Arial" w:cs="Arial"/>
          <w:sz w:val="20"/>
          <w:szCs w:val="20"/>
          <w:lang w:val="en-US" w:eastAsia="en-ZA"/>
        </w:rPr>
        <w:tab/>
      </w:r>
      <w:r w:rsidR="0051572D" w:rsidRPr="007B5185">
        <w:rPr>
          <w:rFonts w:ascii="Arial" w:eastAsia="Times New Roman" w:hAnsi="Arial" w:cs="Arial"/>
          <w:sz w:val="20"/>
          <w:szCs w:val="20"/>
          <w:lang w:val="en-US" w:eastAsia="en-ZA"/>
        </w:rPr>
        <w:t>complied with the provisions of this Chapter;</w:t>
      </w:r>
    </w:p>
    <w:p w:rsidR="0051572D" w:rsidRPr="007B5185" w:rsidRDefault="007B5185" w:rsidP="007B5185">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(b)</w:t>
      </w:r>
      <w:r w:rsidRPr="007C4AF6">
        <w:rPr>
          <w:rFonts w:ascii="Arial" w:eastAsia="Times New Roman" w:hAnsi="Arial" w:cs="Arial"/>
          <w:sz w:val="20"/>
          <w:szCs w:val="20"/>
          <w:lang w:val="en-US" w:eastAsia="en-ZA"/>
        </w:rPr>
        <w:tab/>
      </w:r>
      <w:r w:rsidR="0051572D" w:rsidRPr="007B5185">
        <w:rPr>
          <w:rFonts w:ascii="Arial" w:eastAsia="Times New Roman" w:hAnsi="Arial" w:cs="Arial"/>
          <w:sz w:val="20"/>
          <w:szCs w:val="20"/>
          <w:lang w:val="en-US" w:eastAsia="en-ZA"/>
        </w:rPr>
        <w:t>paid the required contribution to the Fund;</w:t>
      </w:r>
    </w:p>
    <w:p w:rsidR="001317CE" w:rsidRPr="007B5185" w:rsidRDefault="007B5185" w:rsidP="007B5185">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(c)</w:t>
      </w:r>
      <w:r w:rsidRPr="007C4AF6">
        <w:rPr>
          <w:rFonts w:ascii="Arial" w:eastAsia="Times New Roman" w:hAnsi="Arial" w:cs="Arial"/>
          <w:sz w:val="20"/>
          <w:szCs w:val="20"/>
          <w:lang w:val="en-US" w:eastAsia="en-ZA"/>
        </w:rPr>
        <w:tab/>
      </w:r>
      <w:r w:rsidR="0051572D" w:rsidRPr="007B5185">
        <w:rPr>
          <w:rFonts w:ascii="Arial" w:eastAsia="Times New Roman" w:hAnsi="Arial" w:cs="Arial"/>
          <w:sz w:val="20"/>
          <w:szCs w:val="20"/>
          <w:lang w:val="en-US" w:eastAsia="en-ZA"/>
        </w:rPr>
        <w:t>discharged all liabilities in respect of enrolment fees; and</w:t>
      </w:r>
    </w:p>
    <w:p w:rsidR="0051572D" w:rsidRPr="007B5185" w:rsidRDefault="007B5185" w:rsidP="007B5185">
      <w:pPr>
        <w:spacing w:after="0" w:line="360" w:lineRule="auto"/>
        <w:ind w:left="1134" w:hanging="425"/>
        <w:jc w:val="both"/>
        <w:rPr>
          <w:rFonts w:ascii="Arial" w:eastAsia="Times New Roman" w:hAnsi="Arial" w:cs="Arial"/>
          <w:sz w:val="20"/>
          <w:szCs w:val="20"/>
          <w:lang w:val="en-US" w:eastAsia="en-ZA"/>
        </w:rPr>
      </w:pPr>
      <w:r w:rsidRPr="007C4AF6">
        <w:rPr>
          <w:rFonts w:ascii="Arial" w:eastAsia="Times New Roman" w:hAnsi="Arial" w:cs="Arial"/>
          <w:sz w:val="20"/>
          <w:szCs w:val="20"/>
          <w:lang w:val="en-US" w:eastAsia="en-ZA"/>
        </w:rPr>
        <w:t>(d)</w:t>
      </w:r>
      <w:r w:rsidRPr="007C4AF6">
        <w:rPr>
          <w:rFonts w:ascii="Arial" w:eastAsia="Times New Roman" w:hAnsi="Arial" w:cs="Arial"/>
          <w:sz w:val="20"/>
          <w:szCs w:val="20"/>
          <w:lang w:val="en-US" w:eastAsia="en-ZA"/>
        </w:rPr>
        <w:tab/>
      </w:r>
      <w:r w:rsidR="0051572D" w:rsidRPr="007B5185">
        <w:rPr>
          <w:rFonts w:ascii="Arial" w:eastAsia="Times New Roman" w:hAnsi="Arial" w:cs="Arial"/>
          <w:sz w:val="20"/>
          <w:szCs w:val="20"/>
          <w:lang w:val="en-US" w:eastAsia="en-ZA"/>
        </w:rPr>
        <w:t>completed the application form as determined in the rules in every respect, immediately issue to the applicant a Fidelity Fund certificate that is determined in the rules.</w:t>
      </w:r>
      <w:r w:rsidR="004A08CD" w:rsidRPr="007B5185">
        <w:rPr>
          <w:rFonts w:ascii="Arial" w:eastAsia="Times New Roman" w:hAnsi="Arial" w:cs="Arial"/>
          <w:sz w:val="20"/>
          <w:szCs w:val="20"/>
          <w:lang w:val="en-US" w:eastAsia="en-ZA"/>
        </w:rPr>
        <w:t>”</w:t>
      </w:r>
    </w:p>
    <w:p w:rsidR="004A08CD" w:rsidRPr="007C4AF6" w:rsidRDefault="004A08CD" w:rsidP="007C4AF6">
      <w:pPr>
        <w:pStyle w:val="ListParagraph"/>
        <w:spacing w:after="0" w:line="360" w:lineRule="auto"/>
        <w:ind w:left="855"/>
        <w:jc w:val="both"/>
        <w:rPr>
          <w:rFonts w:ascii="Arial" w:eastAsia="Times New Roman" w:hAnsi="Arial" w:cs="Arial"/>
          <w:lang w:val="en-US" w:eastAsia="en-ZA"/>
        </w:rPr>
      </w:pPr>
    </w:p>
    <w:p w:rsidR="0051572D" w:rsidRPr="007C4AF6" w:rsidRDefault="00322692" w:rsidP="007C4AF6">
      <w:pPr>
        <w:spacing w:after="0" w:line="360" w:lineRule="auto"/>
        <w:ind w:left="720" w:hanging="720"/>
        <w:jc w:val="both"/>
        <w:rPr>
          <w:rFonts w:ascii="Arial" w:eastAsia="Times New Roman" w:hAnsi="Arial" w:cs="Arial"/>
          <w:sz w:val="24"/>
          <w:szCs w:val="24"/>
          <w:lang w:val="en-US" w:eastAsia="en-ZA"/>
        </w:rPr>
      </w:pPr>
      <w:r w:rsidRPr="007C4AF6">
        <w:rPr>
          <w:rFonts w:ascii="Arial" w:eastAsia="Times New Roman" w:hAnsi="Arial" w:cs="Arial"/>
          <w:sz w:val="24"/>
          <w:szCs w:val="24"/>
          <w:lang w:val="en-US" w:eastAsia="en-ZA"/>
        </w:rPr>
        <w:lastRenderedPageBreak/>
        <w:t>[36</w:t>
      </w:r>
      <w:r w:rsidR="0051572D" w:rsidRPr="007C4AF6">
        <w:rPr>
          <w:rFonts w:ascii="Arial" w:eastAsia="Times New Roman" w:hAnsi="Arial" w:cs="Arial"/>
          <w:sz w:val="24"/>
          <w:szCs w:val="24"/>
          <w:lang w:val="en-US" w:eastAsia="en-ZA"/>
        </w:rPr>
        <w:t>]</w:t>
      </w:r>
      <w:r w:rsidRPr="007C4AF6">
        <w:rPr>
          <w:rFonts w:ascii="Arial" w:eastAsia="Times New Roman" w:hAnsi="Arial" w:cs="Arial"/>
          <w:sz w:val="24"/>
          <w:szCs w:val="24"/>
          <w:lang w:val="en-US" w:eastAsia="en-ZA"/>
        </w:rPr>
        <w:tab/>
      </w:r>
      <w:r w:rsidR="0051572D" w:rsidRPr="007C4AF6">
        <w:rPr>
          <w:rFonts w:ascii="Arial" w:eastAsia="Times New Roman" w:hAnsi="Arial" w:cs="Arial"/>
          <w:sz w:val="24"/>
          <w:szCs w:val="24"/>
          <w:lang w:val="en-US" w:eastAsia="en-ZA"/>
        </w:rPr>
        <w:t xml:space="preserve">I deem it apposite at this stage to deal with the contextual meaning of </w:t>
      </w:r>
      <w:r w:rsidR="0051572D" w:rsidRPr="007C4AF6">
        <w:rPr>
          <w:rFonts w:ascii="Arial" w:eastAsia="Times New Roman" w:hAnsi="Arial" w:cs="Arial"/>
          <w:b/>
          <w:sz w:val="24"/>
          <w:szCs w:val="24"/>
          <w:lang w:val="en-US" w:eastAsia="en-ZA"/>
        </w:rPr>
        <w:t>“if it is satisfied”</w:t>
      </w:r>
      <w:r w:rsidR="0051572D" w:rsidRPr="007C4AF6">
        <w:rPr>
          <w:rFonts w:ascii="Arial" w:eastAsia="Times New Roman" w:hAnsi="Arial" w:cs="Arial"/>
          <w:sz w:val="24"/>
          <w:szCs w:val="24"/>
          <w:lang w:val="en-US" w:eastAsia="en-ZA"/>
        </w:rPr>
        <w:t xml:space="preserve"> and what could be the meaning of </w:t>
      </w:r>
      <w:r w:rsidR="0051572D" w:rsidRPr="007C4AF6">
        <w:rPr>
          <w:rFonts w:ascii="Arial" w:eastAsia="Times New Roman" w:hAnsi="Arial" w:cs="Arial"/>
          <w:b/>
          <w:sz w:val="24"/>
          <w:szCs w:val="24"/>
          <w:lang w:val="en-US" w:eastAsia="en-ZA"/>
        </w:rPr>
        <w:t>“must”</w:t>
      </w:r>
      <w:r w:rsidR="0051572D" w:rsidRPr="007C4AF6">
        <w:rPr>
          <w:rFonts w:ascii="Arial" w:eastAsia="Times New Roman" w:hAnsi="Arial" w:cs="Arial"/>
          <w:sz w:val="24"/>
          <w:szCs w:val="24"/>
          <w:lang w:val="en-US" w:eastAsia="en-ZA"/>
        </w:rPr>
        <w:t xml:space="preserve"> contained in the letter of section 85(6). I hasten to mention that the literal meaning</w:t>
      </w:r>
      <w:r w:rsidR="003A2CCA" w:rsidRPr="007C4AF6">
        <w:rPr>
          <w:rStyle w:val="FootnoteReference"/>
          <w:rFonts w:ascii="Arial" w:eastAsia="Times New Roman" w:hAnsi="Arial" w:cs="Arial"/>
          <w:sz w:val="24"/>
          <w:szCs w:val="24"/>
          <w:lang w:val="en-US" w:eastAsia="en-ZA"/>
        </w:rPr>
        <w:footnoteReference w:id="18"/>
      </w:r>
      <w:r w:rsidR="0051572D" w:rsidRPr="007C4AF6">
        <w:rPr>
          <w:rFonts w:ascii="Arial" w:eastAsia="Times New Roman" w:hAnsi="Arial" w:cs="Arial"/>
          <w:sz w:val="24"/>
          <w:szCs w:val="24"/>
          <w:lang w:val="en-US" w:eastAsia="en-ZA"/>
        </w:rPr>
        <w:t xml:space="preserve"> of </w:t>
      </w:r>
      <w:r w:rsidR="0051572D" w:rsidRPr="007C4AF6">
        <w:rPr>
          <w:rFonts w:ascii="Arial" w:eastAsia="Times New Roman" w:hAnsi="Arial" w:cs="Arial"/>
          <w:b/>
          <w:sz w:val="24"/>
          <w:szCs w:val="24"/>
          <w:lang w:val="en-US" w:eastAsia="en-ZA"/>
        </w:rPr>
        <w:t xml:space="preserve">“satisfied” </w:t>
      </w:r>
      <w:r w:rsidR="0051572D" w:rsidRPr="007C4AF6">
        <w:rPr>
          <w:rFonts w:ascii="Arial" w:eastAsia="Times New Roman" w:hAnsi="Arial" w:cs="Arial"/>
          <w:sz w:val="24"/>
          <w:szCs w:val="24"/>
          <w:lang w:val="en-US" w:eastAsia="en-ZA"/>
        </w:rPr>
        <w:t>is to make somebody pleased by doing or giving what they want. Whereas, Hoexter</w:t>
      </w:r>
      <w:r w:rsidR="0051572D" w:rsidRPr="007C4AF6">
        <w:rPr>
          <w:rFonts w:ascii="Arial" w:eastAsia="Times New Roman" w:hAnsi="Arial" w:cs="Times New Roman"/>
          <w:sz w:val="24"/>
          <w:szCs w:val="24"/>
          <w:vertAlign w:val="superscript"/>
          <w:lang w:val="en-US" w:eastAsia="en-ZA"/>
        </w:rPr>
        <w:footnoteReference w:id="19"/>
      </w:r>
      <w:r w:rsidR="0051572D" w:rsidRPr="007C4AF6">
        <w:rPr>
          <w:rFonts w:ascii="Arial" w:eastAsia="Times New Roman" w:hAnsi="Arial" w:cs="Arial"/>
          <w:sz w:val="24"/>
          <w:szCs w:val="24"/>
          <w:lang w:val="en-US" w:eastAsia="en-ZA"/>
        </w:rPr>
        <w:t xml:space="preserve"> with reference to “is satisfied” refers to a case of </w:t>
      </w:r>
      <w:r w:rsidR="0051572D" w:rsidRPr="007C4AF6">
        <w:rPr>
          <w:rFonts w:ascii="Arial" w:eastAsia="Times New Roman" w:hAnsi="Arial" w:cs="Arial"/>
          <w:i/>
          <w:sz w:val="24"/>
          <w:szCs w:val="24"/>
          <w:lang w:val="en-US" w:eastAsia="en-ZA"/>
        </w:rPr>
        <w:t>Kabinet van die Tussentydse Regering vir Suiwes-Afrika v Katofa</w:t>
      </w:r>
      <w:r w:rsidR="0051572D" w:rsidRPr="007C4AF6">
        <w:rPr>
          <w:rFonts w:ascii="Arial" w:eastAsia="Times New Roman" w:hAnsi="Arial" w:cs="Times New Roman"/>
          <w:i/>
          <w:sz w:val="24"/>
          <w:szCs w:val="24"/>
          <w:vertAlign w:val="superscript"/>
          <w:lang w:val="en-US" w:eastAsia="en-ZA"/>
        </w:rPr>
        <w:footnoteReference w:id="20"/>
      </w:r>
      <w:r w:rsidR="0051572D" w:rsidRPr="007C4AF6">
        <w:rPr>
          <w:rFonts w:ascii="Arial" w:eastAsia="Times New Roman" w:hAnsi="Arial" w:cs="Arial"/>
          <w:i/>
          <w:sz w:val="24"/>
          <w:szCs w:val="24"/>
          <w:lang w:val="en-US" w:eastAsia="en-ZA"/>
        </w:rPr>
        <w:t xml:space="preserve">, </w:t>
      </w:r>
      <w:r w:rsidR="0051572D" w:rsidRPr="007C4AF6">
        <w:rPr>
          <w:rFonts w:ascii="Arial" w:eastAsia="Times New Roman" w:hAnsi="Arial" w:cs="Arial"/>
          <w:sz w:val="24"/>
          <w:szCs w:val="24"/>
          <w:lang w:val="en-US" w:eastAsia="en-ZA"/>
        </w:rPr>
        <w:t>where</w:t>
      </w:r>
      <w:r w:rsidR="0051572D" w:rsidRPr="007C4AF6">
        <w:rPr>
          <w:rFonts w:ascii="Arial" w:eastAsia="Times New Roman" w:hAnsi="Arial" w:cs="Arial"/>
          <w:i/>
          <w:sz w:val="24"/>
          <w:szCs w:val="24"/>
          <w:lang w:val="en-US" w:eastAsia="en-ZA"/>
        </w:rPr>
        <w:t xml:space="preserve"> </w:t>
      </w:r>
      <w:r w:rsidR="0051572D" w:rsidRPr="007C4AF6">
        <w:rPr>
          <w:rFonts w:ascii="Arial" w:eastAsia="Times New Roman" w:hAnsi="Arial" w:cs="Arial"/>
          <w:sz w:val="24"/>
          <w:szCs w:val="24"/>
          <w:lang w:val="en-US" w:eastAsia="en-ZA"/>
        </w:rPr>
        <w:t>Rabie CJ took the view that the words</w:t>
      </w:r>
      <w:r w:rsidR="0051572D" w:rsidRPr="007C4AF6">
        <w:rPr>
          <w:rFonts w:ascii="Arial" w:eastAsia="Times New Roman" w:hAnsi="Arial" w:cs="Arial"/>
          <w:i/>
          <w:sz w:val="24"/>
          <w:szCs w:val="24"/>
          <w:lang w:val="en-US" w:eastAsia="en-ZA"/>
        </w:rPr>
        <w:t xml:space="preserve"> “is satisfied” </w:t>
      </w:r>
      <w:r w:rsidR="0051572D" w:rsidRPr="007C4AF6">
        <w:rPr>
          <w:rFonts w:ascii="Arial" w:eastAsia="Times New Roman" w:hAnsi="Arial" w:cs="Arial"/>
          <w:sz w:val="24"/>
          <w:szCs w:val="24"/>
          <w:lang w:val="en-US" w:eastAsia="en-ZA"/>
        </w:rPr>
        <w:t xml:space="preserve">appearing in delegated legislation conferred a subjective discretion on the Administrator. </w:t>
      </w:r>
    </w:p>
    <w:p w:rsidR="004A08CD" w:rsidRPr="007C4AF6" w:rsidRDefault="004A08CD" w:rsidP="007C4AF6">
      <w:pPr>
        <w:spacing w:after="0" w:line="360" w:lineRule="auto"/>
        <w:ind w:left="720" w:hanging="720"/>
        <w:jc w:val="both"/>
        <w:rPr>
          <w:rFonts w:ascii="Arial" w:eastAsia="Times New Roman" w:hAnsi="Arial" w:cs="Arial"/>
          <w:sz w:val="24"/>
          <w:szCs w:val="24"/>
          <w:lang w:val="en-US" w:eastAsia="en-ZA"/>
        </w:rPr>
      </w:pPr>
    </w:p>
    <w:p w:rsidR="0051572D" w:rsidRPr="007C4AF6" w:rsidRDefault="00322692" w:rsidP="007C4AF6">
      <w:pPr>
        <w:spacing w:after="0" w:line="360" w:lineRule="auto"/>
        <w:ind w:left="720" w:hanging="720"/>
        <w:jc w:val="both"/>
        <w:rPr>
          <w:rFonts w:ascii="Arial" w:eastAsia="Times New Roman" w:hAnsi="Arial" w:cs="Arial"/>
          <w:sz w:val="24"/>
          <w:szCs w:val="24"/>
          <w:lang w:val="en-US" w:eastAsia="en-ZA"/>
        </w:rPr>
      </w:pPr>
      <w:r w:rsidRPr="007C4AF6">
        <w:rPr>
          <w:rFonts w:ascii="Arial" w:eastAsia="Times New Roman" w:hAnsi="Arial" w:cs="Arial"/>
          <w:sz w:val="24"/>
          <w:szCs w:val="24"/>
          <w:lang w:val="en-US" w:eastAsia="en-ZA"/>
        </w:rPr>
        <w:t>[37]</w:t>
      </w:r>
      <w:r w:rsidRPr="007C4AF6">
        <w:rPr>
          <w:rFonts w:ascii="Arial" w:eastAsia="Times New Roman" w:hAnsi="Arial" w:cs="Arial"/>
          <w:sz w:val="24"/>
          <w:szCs w:val="24"/>
          <w:lang w:val="en-US" w:eastAsia="en-ZA"/>
        </w:rPr>
        <w:tab/>
      </w:r>
      <w:r w:rsidR="0055128A" w:rsidRPr="007C4AF6">
        <w:rPr>
          <w:rFonts w:ascii="Arial" w:eastAsia="Times New Roman" w:hAnsi="Arial" w:cs="Arial"/>
          <w:sz w:val="24"/>
          <w:szCs w:val="24"/>
          <w:lang w:val="en-US" w:eastAsia="en-ZA"/>
        </w:rPr>
        <w:t>In</w:t>
      </w:r>
      <w:r w:rsidR="00D92648" w:rsidRPr="007C4AF6">
        <w:rPr>
          <w:rFonts w:ascii="Arial" w:eastAsia="Times New Roman" w:hAnsi="Arial" w:cs="Arial"/>
          <w:sz w:val="24"/>
          <w:szCs w:val="24"/>
          <w:lang w:val="en-US" w:eastAsia="en-ZA"/>
        </w:rPr>
        <w:t xml:space="preserve"> </w:t>
      </w:r>
      <w:r w:rsidR="00D92648" w:rsidRPr="007C4AF6">
        <w:rPr>
          <w:rFonts w:ascii="Arial" w:eastAsia="Times New Roman" w:hAnsi="Arial" w:cs="Arial"/>
          <w:i/>
          <w:sz w:val="24"/>
          <w:szCs w:val="24"/>
          <w:lang w:val="en-US" w:eastAsia="en-ZA"/>
        </w:rPr>
        <w:t>Bertie Van Zyl (Pty)(LTD) v Minister for Safety and Security</w:t>
      </w:r>
      <w:r w:rsidR="00D92648" w:rsidRPr="007C4AF6">
        <w:rPr>
          <w:rStyle w:val="FootnoteReference"/>
          <w:rFonts w:ascii="Arial" w:eastAsia="Times New Roman" w:hAnsi="Arial" w:cs="Arial"/>
          <w:sz w:val="24"/>
          <w:szCs w:val="24"/>
          <w:lang w:val="en-US" w:eastAsia="en-ZA"/>
        </w:rPr>
        <w:footnoteReference w:id="21"/>
      </w:r>
      <w:r w:rsidR="003C53E8" w:rsidRPr="007C4AF6">
        <w:rPr>
          <w:rFonts w:ascii="Arial" w:eastAsia="Times New Roman" w:hAnsi="Arial" w:cs="Arial"/>
          <w:sz w:val="24"/>
          <w:szCs w:val="24"/>
          <w:lang w:val="en-US" w:eastAsia="en-ZA"/>
        </w:rPr>
        <w:t>, Mokgoro</w:t>
      </w:r>
      <w:r w:rsidR="00284726" w:rsidRPr="007C4AF6">
        <w:rPr>
          <w:rFonts w:ascii="Arial" w:eastAsia="Times New Roman" w:hAnsi="Arial" w:cs="Arial"/>
          <w:sz w:val="24"/>
          <w:szCs w:val="24"/>
          <w:lang w:val="en-US" w:eastAsia="en-ZA"/>
        </w:rPr>
        <w:t>,</w:t>
      </w:r>
      <w:r w:rsidR="003C53E8" w:rsidRPr="007C4AF6">
        <w:rPr>
          <w:rFonts w:ascii="Arial" w:eastAsia="Times New Roman" w:hAnsi="Arial" w:cs="Arial"/>
          <w:sz w:val="24"/>
          <w:szCs w:val="24"/>
          <w:lang w:val="en-US" w:eastAsia="en-ZA"/>
        </w:rPr>
        <w:t xml:space="preserve"> J held that our Constitution requires a purposive approach to statutory interpretation. In my view the words “must issue…if it is satisfied” must be interpreted in the light of their context. Additionally</w:t>
      </w:r>
      <w:r w:rsidR="00F156DB" w:rsidRPr="007C4AF6">
        <w:rPr>
          <w:rFonts w:ascii="Arial" w:eastAsia="Times New Roman" w:hAnsi="Arial" w:cs="Arial"/>
          <w:sz w:val="24"/>
          <w:szCs w:val="24"/>
          <w:lang w:val="en-US" w:eastAsia="en-ZA"/>
        </w:rPr>
        <w:t>,</w:t>
      </w:r>
      <w:r w:rsidR="003C53E8" w:rsidRPr="007C4AF6">
        <w:rPr>
          <w:rFonts w:ascii="Arial" w:eastAsia="Times New Roman" w:hAnsi="Arial" w:cs="Arial"/>
          <w:sz w:val="24"/>
          <w:szCs w:val="24"/>
          <w:lang w:val="en-US" w:eastAsia="en-ZA"/>
        </w:rPr>
        <w:t xml:space="preserve"> a contextual and purposive reading of a statute must of course remain faithful to the actual wording of the statute.</w:t>
      </w:r>
      <w:r w:rsidR="0055128A" w:rsidRPr="007C4AF6">
        <w:rPr>
          <w:rFonts w:ascii="Arial" w:eastAsia="Times New Roman" w:hAnsi="Arial" w:cs="Arial"/>
          <w:sz w:val="24"/>
          <w:szCs w:val="24"/>
          <w:lang w:val="en-US" w:eastAsia="en-ZA"/>
        </w:rPr>
        <w:t xml:space="preserve">  </w:t>
      </w:r>
      <w:r w:rsidR="003C53E8" w:rsidRPr="007C4AF6">
        <w:rPr>
          <w:rFonts w:ascii="Arial" w:eastAsia="Times New Roman" w:hAnsi="Arial" w:cs="Arial"/>
          <w:sz w:val="24"/>
          <w:szCs w:val="24"/>
          <w:lang w:val="en-US" w:eastAsia="en-ZA"/>
        </w:rPr>
        <w:t>In my considered view</w:t>
      </w:r>
      <w:r w:rsidR="0055128A" w:rsidRPr="007C4AF6">
        <w:rPr>
          <w:rFonts w:ascii="Arial" w:eastAsia="Times New Roman" w:hAnsi="Arial" w:cs="Arial"/>
          <w:sz w:val="24"/>
          <w:szCs w:val="24"/>
          <w:lang w:val="en-US" w:eastAsia="en-ZA"/>
        </w:rPr>
        <w:t xml:space="preserve"> </w:t>
      </w:r>
      <w:r w:rsidR="0051572D" w:rsidRPr="007C4AF6">
        <w:rPr>
          <w:rFonts w:ascii="Arial" w:eastAsia="Times New Roman" w:hAnsi="Arial" w:cs="Arial"/>
          <w:sz w:val="24"/>
          <w:szCs w:val="24"/>
          <w:lang w:val="en-US" w:eastAsia="en-ZA"/>
        </w:rPr>
        <w:t xml:space="preserve">the meaning that can be attached to “must” is that the obligation to issue Fidelity Fund </w:t>
      </w:r>
      <w:r w:rsidR="00577F7F" w:rsidRPr="007C4AF6">
        <w:rPr>
          <w:rFonts w:ascii="Arial" w:eastAsia="Times New Roman" w:hAnsi="Arial" w:cs="Arial"/>
          <w:sz w:val="24"/>
          <w:szCs w:val="24"/>
          <w:lang w:val="en-US" w:eastAsia="en-ZA"/>
        </w:rPr>
        <w:t>C</w:t>
      </w:r>
      <w:r w:rsidR="0051572D" w:rsidRPr="007C4AF6">
        <w:rPr>
          <w:rFonts w:ascii="Arial" w:eastAsia="Times New Roman" w:hAnsi="Arial" w:cs="Arial"/>
          <w:sz w:val="24"/>
          <w:szCs w:val="24"/>
          <w:lang w:val="en-US" w:eastAsia="en-ZA"/>
        </w:rPr>
        <w:t>ertificate only follows a</w:t>
      </w:r>
      <w:r w:rsidR="009422D5" w:rsidRPr="007C4AF6">
        <w:rPr>
          <w:rFonts w:ascii="Arial" w:eastAsia="Times New Roman" w:hAnsi="Arial" w:cs="Arial"/>
          <w:sz w:val="24"/>
          <w:szCs w:val="24"/>
          <w:lang w:val="en-US" w:eastAsia="en-ZA"/>
        </w:rPr>
        <w:t>fter LPC is satisfied that the a</w:t>
      </w:r>
      <w:r w:rsidR="0051572D" w:rsidRPr="007C4AF6">
        <w:rPr>
          <w:rFonts w:ascii="Arial" w:eastAsia="Times New Roman" w:hAnsi="Arial" w:cs="Arial"/>
          <w:sz w:val="24"/>
          <w:szCs w:val="24"/>
          <w:lang w:val="en-US" w:eastAsia="en-ZA"/>
        </w:rPr>
        <w:t xml:space="preserve">pplicants have met all four considerations listed in section 85(6) of the </w:t>
      </w:r>
      <w:r w:rsidR="006A7F37" w:rsidRPr="007C4AF6">
        <w:rPr>
          <w:rFonts w:ascii="Arial" w:eastAsia="Times New Roman" w:hAnsi="Arial" w:cs="Arial"/>
          <w:sz w:val="24"/>
          <w:szCs w:val="24"/>
          <w:lang w:val="en-US" w:eastAsia="en-ZA"/>
        </w:rPr>
        <w:t>A</w:t>
      </w:r>
      <w:r w:rsidR="0051572D" w:rsidRPr="007C4AF6">
        <w:rPr>
          <w:rFonts w:ascii="Arial" w:eastAsia="Times New Roman" w:hAnsi="Arial" w:cs="Arial"/>
          <w:sz w:val="24"/>
          <w:szCs w:val="24"/>
          <w:lang w:val="en-US" w:eastAsia="en-ZA"/>
        </w:rPr>
        <w:t>ct. In exercising its subjective discretion</w:t>
      </w:r>
      <w:r w:rsidR="00F156DB" w:rsidRPr="007C4AF6">
        <w:rPr>
          <w:rFonts w:ascii="Arial" w:eastAsia="Times New Roman" w:hAnsi="Arial" w:cs="Arial"/>
          <w:sz w:val="24"/>
          <w:szCs w:val="24"/>
          <w:lang w:val="en-US" w:eastAsia="en-ZA"/>
        </w:rPr>
        <w:t>, the</w:t>
      </w:r>
      <w:r w:rsidR="009422D5" w:rsidRPr="007C4AF6">
        <w:rPr>
          <w:rFonts w:ascii="Arial" w:eastAsia="Times New Roman" w:hAnsi="Arial" w:cs="Arial"/>
          <w:sz w:val="24"/>
          <w:szCs w:val="24"/>
          <w:lang w:val="en-US" w:eastAsia="en-ZA"/>
        </w:rPr>
        <w:t xml:space="preserve"> LPC must consider whether the a</w:t>
      </w:r>
      <w:r w:rsidR="0051572D" w:rsidRPr="007C4AF6">
        <w:rPr>
          <w:rFonts w:ascii="Arial" w:eastAsia="Times New Roman" w:hAnsi="Arial" w:cs="Arial"/>
          <w:sz w:val="24"/>
          <w:szCs w:val="24"/>
          <w:lang w:val="en-US" w:eastAsia="en-ZA"/>
        </w:rPr>
        <w:t>pplicants surmounted the threshold of section 85(6) (a) to (d). The broader consideration is section 85(6)(a) which requires compliance with chapter 7 of the Act</w:t>
      </w:r>
      <w:r w:rsidR="0051572D" w:rsidRPr="007C4AF6">
        <w:rPr>
          <w:rFonts w:ascii="Arial" w:eastAsia="Times New Roman" w:hAnsi="Arial" w:cs="Times New Roman"/>
          <w:sz w:val="24"/>
          <w:szCs w:val="24"/>
          <w:vertAlign w:val="superscript"/>
          <w:lang w:val="en-US" w:eastAsia="en-ZA"/>
        </w:rPr>
        <w:footnoteReference w:id="22"/>
      </w:r>
      <w:r w:rsidR="0051572D" w:rsidRPr="007C4AF6">
        <w:rPr>
          <w:rFonts w:ascii="Arial" w:eastAsia="Times New Roman" w:hAnsi="Arial" w:cs="Arial"/>
          <w:sz w:val="24"/>
          <w:szCs w:val="24"/>
          <w:lang w:val="en-US" w:eastAsia="en-ZA"/>
        </w:rPr>
        <w:t>. These provisions clearly circumscribe the LPC’s role to be satisfied that the application complied with the relevant lawful requirements.  It is also axiomatic from the letter of section 85(6) that</w:t>
      </w:r>
      <w:r w:rsidR="00577F7F" w:rsidRPr="007C4AF6">
        <w:rPr>
          <w:rFonts w:ascii="Arial" w:eastAsia="Times New Roman" w:hAnsi="Arial" w:cs="Arial"/>
          <w:sz w:val="24"/>
          <w:szCs w:val="24"/>
          <w:lang w:val="en-US" w:eastAsia="en-ZA"/>
        </w:rPr>
        <w:t xml:space="preserve"> the</w:t>
      </w:r>
      <w:r w:rsidR="0051572D" w:rsidRPr="007C4AF6">
        <w:rPr>
          <w:rFonts w:ascii="Arial" w:eastAsia="Times New Roman" w:hAnsi="Arial" w:cs="Arial"/>
          <w:sz w:val="24"/>
          <w:szCs w:val="24"/>
          <w:lang w:val="en-US" w:eastAsia="en-ZA"/>
        </w:rPr>
        <w:t xml:space="preserve"> LPC has a subjective discretion to issue the Fidelity Fund </w:t>
      </w:r>
      <w:r w:rsidR="00577F7F" w:rsidRPr="007C4AF6">
        <w:rPr>
          <w:rFonts w:ascii="Arial" w:eastAsia="Times New Roman" w:hAnsi="Arial" w:cs="Arial"/>
          <w:sz w:val="24"/>
          <w:szCs w:val="24"/>
          <w:lang w:val="en-US" w:eastAsia="en-ZA"/>
        </w:rPr>
        <w:t>C</w:t>
      </w:r>
      <w:r w:rsidR="0051572D" w:rsidRPr="007C4AF6">
        <w:rPr>
          <w:rFonts w:ascii="Arial" w:eastAsia="Times New Roman" w:hAnsi="Arial" w:cs="Arial"/>
          <w:sz w:val="24"/>
          <w:szCs w:val="24"/>
          <w:lang w:val="en-US" w:eastAsia="en-ZA"/>
        </w:rPr>
        <w:t>ertificate and if not satisfied</w:t>
      </w:r>
      <w:r w:rsidR="00577F7F" w:rsidRPr="007C4AF6">
        <w:rPr>
          <w:rFonts w:ascii="Arial" w:eastAsia="Times New Roman" w:hAnsi="Arial" w:cs="Arial"/>
          <w:sz w:val="24"/>
          <w:szCs w:val="24"/>
          <w:lang w:val="en-US" w:eastAsia="en-ZA"/>
        </w:rPr>
        <w:t>,</w:t>
      </w:r>
      <w:r w:rsidR="0051572D" w:rsidRPr="007C4AF6">
        <w:rPr>
          <w:rFonts w:ascii="Arial" w:eastAsia="Times New Roman" w:hAnsi="Arial" w:cs="Arial"/>
          <w:sz w:val="24"/>
          <w:szCs w:val="24"/>
          <w:lang w:val="en-US" w:eastAsia="en-ZA"/>
        </w:rPr>
        <w:t xml:space="preserve"> they can with</w:t>
      </w:r>
      <w:r w:rsidR="0050432B" w:rsidRPr="007C4AF6">
        <w:rPr>
          <w:rFonts w:ascii="Arial" w:eastAsia="Times New Roman" w:hAnsi="Arial" w:cs="Arial"/>
          <w:sz w:val="24"/>
          <w:szCs w:val="24"/>
          <w:lang w:val="en-US" w:eastAsia="en-ZA"/>
        </w:rPr>
        <w:t>hold or decline issuing thereof</w:t>
      </w:r>
      <w:r w:rsidR="0051572D" w:rsidRPr="007C4AF6">
        <w:rPr>
          <w:rFonts w:ascii="Arial" w:eastAsia="Times New Roman" w:hAnsi="Arial" w:cs="Arial"/>
          <w:sz w:val="24"/>
          <w:szCs w:val="24"/>
          <w:lang w:val="en-US" w:eastAsia="en-ZA"/>
        </w:rPr>
        <w:t xml:space="preserve">. I interpose to mention that the administrative action to be taken must have regards to the ambit and purpose of the </w:t>
      </w:r>
      <w:r w:rsidR="006A7F37" w:rsidRPr="007C4AF6">
        <w:rPr>
          <w:rFonts w:ascii="Arial" w:eastAsia="Times New Roman" w:hAnsi="Arial" w:cs="Arial"/>
          <w:sz w:val="24"/>
          <w:szCs w:val="24"/>
          <w:lang w:val="en-US" w:eastAsia="en-ZA"/>
        </w:rPr>
        <w:t>A</w:t>
      </w:r>
      <w:r w:rsidR="0051572D" w:rsidRPr="007C4AF6">
        <w:rPr>
          <w:rFonts w:ascii="Arial" w:eastAsia="Times New Roman" w:hAnsi="Arial" w:cs="Arial"/>
          <w:sz w:val="24"/>
          <w:szCs w:val="24"/>
          <w:lang w:val="en-US" w:eastAsia="en-ZA"/>
        </w:rPr>
        <w:t>ct</w:t>
      </w:r>
      <w:r w:rsidR="0051572D" w:rsidRPr="007C4AF6">
        <w:rPr>
          <w:rFonts w:ascii="Arial" w:eastAsia="Times New Roman" w:hAnsi="Arial" w:cs="Times New Roman"/>
          <w:sz w:val="24"/>
          <w:szCs w:val="24"/>
          <w:vertAlign w:val="superscript"/>
          <w:lang w:val="en-US" w:eastAsia="en-ZA"/>
        </w:rPr>
        <w:footnoteReference w:id="23"/>
      </w:r>
      <w:r w:rsidR="0051572D" w:rsidRPr="007C4AF6">
        <w:rPr>
          <w:rFonts w:ascii="Arial" w:eastAsia="Times New Roman" w:hAnsi="Arial" w:cs="Arial"/>
          <w:sz w:val="24"/>
          <w:szCs w:val="24"/>
          <w:lang w:val="en-US" w:eastAsia="en-ZA"/>
        </w:rPr>
        <w:t xml:space="preserve"> and most importantly be in accordance with the principles of administrative law. </w:t>
      </w:r>
      <w:r w:rsidR="00E800E8" w:rsidRPr="007C4AF6">
        <w:rPr>
          <w:rFonts w:ascii="Arial" w:eastAsia="Times New Roman" w:hAnsi="Arial" w:cs="Arial"/>
          <w:sz w:val="24"/>
          <w:szCs w:val="24"/>
          <w:lang w:val="en-US" w:eastAsia="en-ZA"/>
        </w:rPr>
        <w:t>Similarly,</w:t>
      </w:r>
      <w:r w:rsidR="0051572D" w:rsidRPr="007C4AF6">
        <w:rPr>
          <w:rFonts w:ascii="Arial" w:eastAsia="Times New Roman" w:hAnsi="Arial" w:cs="Arial"/>
          <w:sz w:val="24"/>
          <w:szCs w:val="24"/>
          <w:lang w:val="en-US" w:eastAsia="en-ZA"/>
        </w:rPr>
        <w:t xml:space="preserve"> with rule 54.30 being a supplementary</w:t>
      </w:r>
      <w:r w:rsidR="00F156DB" w:rsidRPr="007C4AF6">
        <w:rPr>
          <w:rFonts w:ascii="Arial" w:eastAsia="Times New Roman" w:hAnsi="Arial" w:cs="Arial"/>
          <w:sz w:val="24"/>
          <w:szCs w:val="24"/>
          <w:lang w:val="en-US" w:eastAsia="en-ZA"/>
        </w:rPr>
        <w:t xml:space="preserve"> subordinate</w:t>
      </w:r>
      <w:r w:rsidR="0051572D" w:rsidRPr="007C4AF6">
        <w:rPr>
          <w:rFonts w:ascii="Arial" w:eastAsia="Times New Roman" w:hAnsi="Arial" w:cs="Arial"/>
          <w:sz w:val="24"/>
          <w:szCs w:val="24"/>
          <w:lang w:val="en-US" w:eastAsia="en-ZA"/>
        </w:rPr>
        <w:t xml:space="preserve"> </w:t>
      </w:r>
      <w:r w:rsidR="00577F7F" w:rsidRPr="007C4AF6">
        <w:rPr>
          <w:rFonts w:ascii="Arial" w:eastAsia="Times New Roman" w:hAnsi="Arial" w:cs="Arial"/>
          <w:sz w:val="24"/>
          <w:szCs w:val="24"/>
          <w:lang w:val="en-US" w:eastAsia="en-ZA"/>
        </w:rPr>
        <w:t>regulation, it</w:t>
      </w:r>
      <w:r w:rsidR="008E3D05" w:rsidRPr="007C4AF6">
        <w:rPr>
          <w:rFonts w:ascii="Arial" w:eastAsia="Times New Roman" w:hAnsi="Arial" w:cs="Arial"/>
          <w:sz w:val="24"/>
          <w:szCs w:val="24"/>
          <w:lang w:val="en-US" w:eastAsia="en-ZA"/>
        </w:rPr>
        <w:t xml:space="preserve"> behoves </w:t>
      </w:r>
      <w:r w:rsidR="00577F7F" w:rsidRPr="007C4AF6">
        <w:rPr>
          <w:rFonts w:ascii="Arial" w:eastAsia="Times New Roman" w:hAnsi="Arial" w:cs="Arial"/>
          <w:sz w:val="24"/>
          <w:szCs w:val="24"/>
          <w:lang w:val="en-US" w:eastAsia="en-ZA"/>
        </w:rPr>
        <w:t xml:space="preserve">the </w:t>
      </w:r>
      <w:r w:rsidR="0051572D" w:rsidRPr="007C4AF6">
        <w:rPr>
          <w:rFonts w:ascii="Arial" w:eastAsia="Times New Roman" w:hAnsi="Arial" w:cs="Arial"/>
          <w:sz w:val="24"/>
          <w:szCs w:val="24"/>
          <w:lang w:val="en-US" w:eastAsia="en-ZA"/>
        </w:rPr>
        <w:t xml:space="preserve">LPC to exercise its judgment on whether the firm’s trust account is in good order and that the trust account practitioners remain fit and proper to </w:t>
      </w:r>
      <w:r w:rsidR="0051572D" w:rsidRPr="007C4AF6">
        <w:rPr>
          <w:rFonts w:ascii="Arial" w:eastAsia="Times New Roman" w:hAnsi="Arial" w:cs="Arial"/>
          <w:sz w:val="24"/>
          <w:szCs w:val="24"/>
          <w:lang w:val="en-US" w:eastAsia="en-ZA"/>
        </w:rPr>
        <w:lastRenderedPageBreak/>
        <w:t xml:space="preserve">continue to practice. </w:t>
      </w:r>
      <w:r w:rsidRPr="007C4AF6">
        <w:rPr>
          <w:rFonts w:ascii="Arial" w:eastAsia="Times New Roman" w:hAnsi="Arial" w:cs="Arial"/>
          <w:sz w:val="24"/>
          <w:szCs w:val="24"/>
          <w:lang w:val="en-US" w:eastAsia="en-ZA"/>
        </w:rPr>
        <w:t xml:space="preserve"> In</w:t>
      </w:r>
      <w:r w:rsidR="00A50680" w:rsidRPr="007C4AF6">
        <w:rPr>
          <w:rFonts w:ascii="Arial" w:eastAsia="Times New Roman" w:hAnsi="Arial" w:cs="Arial"/>
          <w:sz w:val="24"/>
          <w:szCs w:val="24"/>
          <w:lang w:val="en-US" w:eastAsia="en-ZA"/>
        </w:rPr>
        <w:t xml:space="preserve"> this</w:t>
      </w:r>
      <w:r w:rsidRPr="007C4AF6">
        <w:rPr>
          <w:rFonts w:ascii="Arial" w:eastAsia="Times New Roman" w:hAnsi="Arial" w:cs="Arial"/>
          <w:sz w:val="24"/>
          <w:szCs w:val="24"/>
          <w:lang w:val="en-US" w:eastAsia="en-ZA"/>
        </w:rPr>
        <w:t xml:space="preserve"> case</w:t>
      </w:r>
      <w:r w:rsidR="0051572D" w:rsidRPr="007C4AF6">
        <w:rPr>
          <w:rFonts w:ascii="Arial" w:eastAsia="Times New Roman" w:hAnsi="Arial" w:cs="Arial"/>
          <w:sz w:val="24"/>
          <w:szCs w:val="24"/>
          <w:lang w:val="en-US" w:eastAsia="en-ZA"/>
        </w:rPr>
        <w:t>, the three affidavits submitted by the applicants which purport to expli</w:t>
      </w:r>
      <w:r w:rsidR="00F15CEB">
        <w:rPr>
          <w:rFonts w:ascii="Arial" w:eastAsia="Times New Roman" w:hAnsi="Arial" w:cs="Arial"/>
          <w:sz w:val="24"/>
          <w:szCs w:val="24"/>
          <w:lang w:val="en-US" w:eastAsia="en-ZA"/>
        </w:rPr>
        <w:t>cate the qualified findings</w:t>
      </w:r>
      <w:r w:rsidR="0051572D" w:rsidRPr="007C4AF6">
        <w:rPr>
          <w:rFonts w:ascii="Arial" w:eastAsia="Times New Roman" w:hAnsi="Arial" w:cs="Arial"/>
          <w:sz w:val="24"/>
          <w:szCs w:val="24"/>
          <w:lang w:val="en-US" w:eastAsia="en-ZA"/>
        </w:rPr>
        <w:t xml:space="preserve"> must “satisfy” the LPC of the aforementioned two considerations listed in rule 53.30.</w:t>
      </w:r>
      <w:r w:rsidR="00C96D23" w:rsidRPr="007C4AF6">
        <w:rPr>
          <w:rFonts w:ascii="Arial" w:eastAsia="Times New Roman" w:hAnsi="Arial" w:cs="Arial"/>
          <w:sz w:val="24"/>
          <w:szCs w:val="24"/>
          <w:lang w:val="en-US" w:eastAsia="en-ZA"/>
        </w:rPr>
        <w:t xml:space="preserve"> </w:t>
      </w:r>
      <w:r w:rsidR="00A50680" w:rsidRPr="007C4AF6">
        <w:rPr>
          <w:rFonts w:ascii="Arial" w:eastAsia="Times New Roman" w:hAnsi="Arial" w:cs="Arial"/>
          <w:sz w:val="24"/>
          <w:szCs w:val="24"/>
          <w:lang w:val="en-US" w:eastAsia="en-ZA"/>
        </w:rPr>
        <w:t>Mere submission of the affidavits or even still, an explanation by the applicants</w:t>
      </w:r>
      <w:r w:rsidR="00577F7F" w:rsidRPr="007C4AF6">
        <w:rPr>
          <w:rFonts w:ascii="Arial" w:eastAsia="Times New Roman" w:hAnsi="Arial" w:cs="Arial"/>
          <w:sz w:val="24"/>
          <w:szCs w:val="24"/>
          <w:lang w:val="en-US" w:eastAsia="en-ZA"/>
        </w:rPr>
        <w:t xml:space="preserve"> per se</w:t>
      </w:r>
      <w:r w:rsidR="00A50680" w:rsidRPr="007C4AF6">
        <w:rPr>
          <w:rFonts w:ascii="Arial" w:eastAsia="Times New Roman" w:hAnsi="Arial" w:cs="Arial"/>
          <w:sz w:val="24"/>
          <w:szCs w:val="24"/>
          <w:lang w:val="en-US" w:eastAsia="en-ZA"/>
        </w:rPr>
        <w:t xml:space="preserve"> is not enough, such submission</w:t>
      </w:r>
      <w:r w:rsidR="001540B1">
        <w:rPr>
          <w:rFonts w:ascii="Arial" w:eastAsia="Times New Roman" w:hAnsi="Arial" w:cs="Arial"/>
          <w:sz w:val="24"/>
          <w:szCs w:val="24"/>
          <w:lang w:val="en-US" w:eastAsia="en-ZA"/>
        </w:rPr>
        <w:t xml:space="preserve"> and </w:t>
      </w:r>
      <w:r w:rsidR="00A50680" w:rsidRPr="007C4AF6">
        <w:rPr>
          <w:rFonts w:ascii="Arial" w:eastAsia="Times New Roman" w:hAnsi="Arial" w:cs="Arial"/>
          <w:sz w:val="24"/>
          <w:szCs w:val="24"/>
          <w:lang w:val="en-US" w:eastAsia="en-ZA"/>
        </w:rPr>
        <w:t>or explanation must still pass the t</w:t>
      </w:r>
      <w:r w:rsidR="00316388" w:rsidRPr="007C4AF6">
        <w:rPr>
          <w:rFonts w:ascii="Arial" w:eastAsia="Times New Roman" w:hAnsi="Arial" w:cs="Arial"/>
          <w:sz w:val="24"/>
          <w:szCs w:val="24"/>
          <w:lang w:val="en-US" w:eastAsia="en-ZA"/>
        </w:rPr>
        <w:t>hreshold of satisfying the LPC.</w:t>
      </w:r>
    </w:p>
    <w:p w:rsidR="004A08CD" w:rsidRPr="007C4AF6" w:rsidRDefault="004A08CD" w:rsidP="007C4AF6">
      <w:pPr>
        <w:spacing w:after="0" w:line="360" w:lineRule="auto"/>
        <w:ind w:left="720" w:hanging="720"/>
        <w:jc w:val="both"/>
        <w:rPr>
          <w:rFonts w:ascii="Arial" w:eastAsia="Times New Roman" w:hAnsi="Arial" w:cs="Arial"/>
          <w:sz w:val="24"/>
          <w:szCs w:val="24"/>
          <w:lang w:val="en-US" w:eastAsia="en-ZA"/>
        </w:rPr>
      </w:pPr>
    </w:p>
    <w:p w:rsidR="0051572D" w:rsidRPr="007C4AF6" w:rsidRDefault="00322692" w:rsidP="007C4AF6">
      <w:pPr>
        <w:spacing w:after="0" w:line="360" w:lineRule="auto"/>
        <w:ind w:left="720" w:hanging="720"/>
        <w:jc w:val="both"/>
        <w:rPr>
          <w:rFonts w:ascii="Arial" w:eastAsia="Times New Roman" w:hAnsi="Arial" w:cs="Arial"/>
          <w:sz w:val="24"/>
          <w:szCs w:val="24"/>
          <w:lang w:val="en-US" w:eastAsia="en-ZA"/>
        </w:rPr>
      </w:pPr>
      <w:r w:rsidRPr="007C4AF6">
        <w:rPr>
          <w:rFonts w:ascii="Arial" w:eastAsia="Times New Roman" w:hAnsi="Arial" w:cs="Arial"/>
          <w:sz w:val="24"/>
          <w:szCs w:val="24"/>
          <w:lang w:val="en-US" w:eastAsia="en-ZA"/>
        </w:rPr>
        <w:t>[38]</w:t>
      </w:r>
      <w:r w:rsidRPr="007C4AF6">
        <w:rPr>
          <w:rFonts w:ascii="Arial" w:eastAsia="Times New Roman" w:hAnsi="Arial" w:cs="Arial"/>
          <w:sz w:val="24"/>
          <w:szCs w:val="24"/>
          <w:lang w:val="en-US" w:eastAsia="en-ZA"/>
        </w:rPr>
        <w:tab/>
      </w:r>
      <w:r w:rsidR="0051572D" w:rsidRPr="007C4AF6">
        <w:rPr>
          <w:rFonts w:ascii="Arial" w:eastAsia="Times New Roman" w:hAnsi="Arial" w:cs="Arial"/>
          <w:sz w:val="24"/>
          <w:szCs w:val="24"/>
          <w:lang w:val="en-US" w:eastAsia="en-ZA"/>
        </w:rPr>
        <w:t>Having found that</w:t>
      </w:r>
      <w:r w:rsidR="00A50680" w:rsidRPr="007C4AF6">
        <w:rPr>
          <w:rFonts w:ascii="Arial" w:eastAsia="Times New Roman" w:hAnsi="Arial" w:cs="Arial"/>
          <w:sz w:val="24"/>
          <w:szCs w:val="24"/>
          <w:lang w:val="en-US" w:eastAsia="en-ZA"/>
        </w:rPr>
        <w:t xml:space="preserve"> the</w:t>
      </w:r>
      <w:r w:rsidR="0051572D" w:rsidRPr="007C4AF6">
        <w:rPr>
          <w:rFonts w:ascii="Arial" w:eastAsia="Times New Roman" w:hAnsi="Arial" w:cs="Arial"/>
          <w:sz w:val="24"/>
          <w:szCs w:val="24"/>
          <w:lang w:val="en-US" w:eastAsia="en-ZA"/>
        </w:rPr>
        <w:t xml:space="preserve"> LPC has</w:t>
      </w:r>
      <w:r w:rsidR="00A50680" w:rsidRPr="007C4AF6">
        <w:rPr>
          <w:rFonts w:ascii="Arial" w:eastAsia="Times New Roman" w:hAnsi="Arial" w:cs="Arial"/>
          <w:sz w:val="24"/>
          <w:szCs w:val="24"/>
          <w:lang w:val="en-US" w:eastAsia="en-ZA"/>
        </w:rPr>
        <w:t xml:space="preserve"> a</w:t>
      </w:r>
      <w:r w:rsidR="0051572D" w:rsidRPr="007C4AF6">
        <w:rPr>
          <w:rFonts w:ascii="Arial" w:eastAsia="Times New Roman" w:hAnsi="Arial" w:cs="Arial"/>
          <w:sz w:val="24"/>
          <w:szCs w:val="24"/>
          <w:lang w:val="en-US" w:eastAsia="en-ZA"/>
        </w:rPr>
        <w:t xml:space="preserve"> discretion in both section 85(6) and rule 54.30, this brings me to a question of whether the administrative decision taken on 4 December 2023 is procedurally unfair, unlawful, arbitrary and capricious and or</w:t>
      </w:r>
      <w:r w:rsidR="00A50680" w:rsidRPr="007C4AF6">
        <w:rPr>
          <w:rFonts w:ascii="Arial" w:eastAsia="Times New Roman" w:hAnsi="Arial" w:cs="Arial"/>
          <w:sz w:val="24"/>
          <w:szCs w:val="24"/>
          <w:lang w:val="en-US" w:eastAsia="en-ZA"/>
        </w:rPr>
        <w:t xml:space="preserve"> is</w:t>
      </w:r>
      <w:r w:rsidR="0051572D" w:rsidRPr="007C4AF6">
        <w:rPr>
          <w:rFonts w:ascii="Arial" w:eastAsia="Times New Roman" w:hAnsi="Arial" w:cs="Arial"/>
          <w:sz w:val="24"/>
          <w:szCs w:val="24"/>
          <w:lang w:val="en-US" w:eastAsia="en-ZA"/>
        </w:rPr>
        <w:t xml:space="preserve"> motivated by ulterior motives and purpose. The applicants further attack the LPC for not affording them an opportunity of addressing any shortcomings in the explanation that had been proffered to it concerning the qualification.</w:t>
      </w:r>
    </w:p>
    <w:p w:rsidR="004A08CD" w:rsidRPr="007C4AF6" w:rsidRDefault="004A08CD" w:rsidP="007C4AF6">
      <w:pPr>
        <w:spacing w:after="0" w:line="360" w:lineRule="auto"/>
        <w:ind w:left="720" w:hanging="720"/>
        <w:jc w:val="both"/>
        <w:rPr>
          <w:rFonts w:ascii="Arial" w:eastAsia="Times New Roman" w:hAnsi="Arial" w:cs="Arial"/>
          <w:sz w:val="24"/>
          <w:szCs w:val="24"/>
          <w:lang w:val="en-US" w:eastAsia="en-ZA"/>
        </w:rPr>
      </w:pPr>
    </w:p>
    <w:p w:rsidR="0051572D" w:rsidRPr="007C4AF6" w:rsidRDefault="0032269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[39]</w:t>
      </w:r>
      <w:r w:rsidRPr="007C4AF6">
        <w:rPr>
          <w:rFonts w:ascii="Arial" w:hAnsi="Arial" w:cs="Arial"/>
          <w:sz w:val="24"/>
          <w:szCs w:val="24"/>
          <w:lang w:val="en-US"/>
        </w:rPr>
        <w:tab/>
      </w:r>
      <w:r w:rsidR="0051572D" w:rsidRPr="007C4AF6">
        <w:rPr>
          <w:rFonts w:ascii="Arial" w:hAnsi="Arial" w:cs="Arial"/>
          <w:sz w:val="24"/>
          <w:szCs w:val="24"/>
          <w:lang w:val="en-US"/>
        </w:rPr>
        <w:t>Adv</w:t>
      </w:r>
      <w:r w:rsidR="00A50680" w:rsidRPr="007C4AF6">
        <w:rPr>
          <w:rFonts w:ascii="Arial" w:hAnsi="Arial" w:cs="Arial"/>
          <w:sz w:val="24"/>
          <w:szCs w:val="24"/>
          <w:lang w:val="en-US"/>
        </w:rPr>
        <w:t>.</w:t>
      </w:r>
      <w:r w:rsidR="0051572D" w:rsidRPr="007C4AF6">
        <w:rPr>
          <w:rFonts w:ascii="Arial" w:hAnsi="Arial" w:cs="Arial"/>
          <w:sz w:val="24"/>
          <w:szCs w:val="24"/>
          <w:lang w:val="en-US"/>
        </w:rPr>
        <w:t xml:space="preserve"> Steenkamp</w:t>
      </w:r>
      <w:r w:rsidR="00577F7F" w:rsidRPr="007C4AF6">
        <w:rPr>
          <w:rFonts w:ascii="Arial" w:hAnsi="Arial" w:cs="Arial"/>
          <w:sz w:val="24"/>
          <w:szCs w:val="24"/>
          <w:lang w:val="en-US"/>
        </w:rPr>
        <w:t xml:space="preserve"> has</w:t>
      </w:r>
      <w:r w:rsidR="0051572D" w:rsidRPr="007C4AF6">
        <w:rPr>
          <w:rFonts w:ascii="Arial" w:hAnsi="Arial" w:cs="Arial"/>
          <w:sz w:val="24"/>
          <w:szCs w:val="24"/>
          <w:lang w:val="en-US"/>
        </w:rPr>
        <w:t xml:space="preserve"> argued that qualified report</w:t>
      </w:r>
      <w:r w:rsidR="00577F7F" w:rsidRPr="007C4AF6">
        <w:rPr>
          <w:rFonts w:ascii="Arial" w:hAnsi="Arial" w:cs="Arial"/>
          <w:sz w:val="24"/>
          <w:szCs w:val="24"/>
          <w:lang w:val="en-US"/>
        </w:rPr>
        <w:t>s</w:t>
      </w:r>
      <w:r w:rsidR="0051572D" w:rsidRPr="007C4AF6">
        <w:rPr>
          <w:rFonts w:ascii="Arial" w:hAnsi="Arial" w:cs="Arial"/>
          <w:sz w:val="24"/>
          <w:szCs w:val="24"/>
          <w:lang w:val="en-US"/>
        </w:rPr>
        <w:t xml:space="preserve"> w</w:t>
      </w:r>
      <w:r w:rsidR="00577F7F" w:rsidRPr="007C4AF6">
        <w:rPr>
          <w:rFonts w:ascii="Arial" w:hAnsi="Arial" w:cs="Arial"/>
          <w:sz w:val="24"/>
          <w:szCs w:val="24"/>
          <w:lang w:val="en-US"/>
        </w:rPr>
        <w:t>ere</w:t>
      </w:r>
      <w:r w:rsidR="0051572D" w:rsidRPr="007C4AF6">
        <w:rPr>
          <w:rFonts w:ascii="Arial" w:hAnsi="Arial" w:cs="Arial"/>
          <w:sz w:val="24"/>
          <w:szCs w:val="24"/>
          <w:lang w:val="en-US"/>
        </w:rPr>
        <w:t xml:space="preserve"> submitted</w:t>
      </w:r>
      <w:r w:rsidR="00577F7F" w:rsidRPr="007C4AF6">
        <w:rPr>
          <w:rFonts w:ascii="Arial" w:hAnsi="Arial" w:cs="Arial"/>
          <w:sz w:val="24"/>
          <w:szCs w:val="24"/>
          <w:lang w:val="en-US"/>
        </w:rPr>
        <w:t xml:space="preserve"> and that</w:t>
      </w:r>
      <w:r w:rsidR="0051572D" w:rsidRPr="007C4AF6">
        <w:rPr>
          <w:rFonts w:ascii="Arial" w:hAnsi="Arial" w:cs="Arial"/>
          <w:sz w:val="24"/>
          <w:szCs w:val="24"/>
          <w:lang w:val="en-US"/>
        </w:rPr>
        <w:t xml:space="preserve"> section 85(6) and rule 54.30 ha</w:t>
      </w:r>
      <w:r w:rsidR="00577F7F" w:rsidRPr="007C4AF6">
        <w:rPr>
          <w:rFonts w:ascii="Arial" w:hAnsi="Arial" w:cs="Arial"/>
          <w:sz w:val="24"/>
          <w:szCs w:val="24"/>
          <w:lang w:val="en-US"/>
        </w:rPr>
        <w:t>ve</w:t>
      </w:r>
      <w:r w:rsidR="0051572D" w:rsidRPr="007C4AF6">
        <w:rPr>
          <w:rFonts w:ascii="Arial" w:hAnsi="Arial" w:cs="Arial"/>
          <w:sz w:val="24"/>
          <w:szCs w:val="24"/>
          <w:lang w:val="en-US"/>
        </w:rPr>
        <w:t xml:space="preserve"> been complied with </w:t>
      </w:r>
      <w:r w:rsidR="00577F7F" w:rsidRPr="007C4AF6">
        <w:rPr>
          <w:rFonts w:ascii="Arial" w:hAnsi="Arial" w:cs="Arial"/>
          <w:sz w:val="24"/>
          <w:szCs w:val="24"/>
          <w:lang w:val="en-US"/>
        </w:rPr>
        <w:t>in that the</w:t>
      </w:r>
      <w:r w:rsidR="0051572D" w:rsidRPr="007C4AF6">
        <w:rPr>
          <w:rFonts w:ascii="Arial" w:hAnsi="Arial" w:cs="Arial"/>
          <w:sz w:val="24"/>
          <w:szCs w:val="24"/>
          <w:lang w:val="en-US"/>
        </w:rPr>
        <w:t xml:space="preserve"> affidavits were filed by the </w:t>
      </w:r>
      <w:r w:rsidR="00577F7F" w:rsidRPr="007C4AF6">
        <w:rPr>
          <w:rFonts w:ascii="Arial" w:hAnsi="Arial" w:cs="Arial"/>
          <w:sz w:val="24"/>
          <w:szCs w:val="24"/>
          <w:lang w:val="en-US"/>
        </w:rPr>
        <w:t>applicants</w:t>
      </w:r>
      <w:r w:rsidR="0051572D" w:rsidRPr="007C4AF6">
        <w:rPr>
          <w:rFonts w:ascii="Arial" w:hAnsi="Arial" w:cs="Arial"/>
          <w:sz w:val="24"/>
          <w:szCs w:val="24"/>
          <w:lang w:val="en-US"/>
        </w:rPr>
        <w:t xml:space="preserve"> in an attempt to explain and clarify the qualified </w:t>
      </w:r>
      <w:r w:rsidR="00577F7F" w:rsidRPr="007C4AF6">
        <w:rPr>
          <w:rFonts w:ascii="Arial" w:hAnsi="Arial" w:cs="Arial"/>
          <w:sz w:val="24"/>
          <w:szCs w:val="24"/>
          <w:lang w:val="en-US"/>
        </w:rPr>
        <w:t>finding</w:t>
      </w:r>
      <w:r w:rsidR="0051572D" w:rsidRPr="007C4AF6">
        <w:rPr>
          <w:rFonts w:ascii="Arial" w:hAnsi="Arial" w:cs="Arial"/>
          <w:sz w:val="24"/>
          <w:szCs w:val="24"/>
          <w:lang w:val="en-US"/>
        </w:rPr>
        <w:t>.  There is no evidence of misappropriation because the deficits are corrected</w:t>
      </w:r>
      <w:r w:rsidR="00747973" w:rsidRPr="007C4AF6">
        <w:rPr>
          <w:rFonts w:ascii="Arial" w:hAnsi="Arial" w:cs="Arial"/>
          <w:sz w:val="24"/>
          <w:szCs w:val="24"/>
          <w:lang w:val="en-US"/>
        </w:rPr>
        <w:t xml:space="preserve"> </w:t>
      </w:r>
      <w:r w:rsidR="00577F7F" w:rsidRPr="007C4AF6">
        <w:rPr>
          <w:rFonts w:ascii="Arial" w:hAnsi="Arial" w:cs="Arial"/>
          <w:sz w:val="24"/>
          <w:szCs w:val="24"/>
          <w:lang w:val="en-US"/>
        </w:rPr>
        <w:t>and the</w:t>
      </w:r>
      <w:r w:rsidR="00747973" w:rsidRPr="007C4AF6">
        <w:rPr>
          <w:rFonts w:ascii="Arial" w:hAnsi="Arial" w:cs="Arial"/>
          <w:sz w:val="24"/>
          <w:szCs w:val="24"/>
          <w:lang w:val="en-US"/>
        </w:rPr>
        <w:t xml:space="preserve"> money has been paid back</w:t>
      </w:r>
      <w:r w:rsidR="00577F7F" w:rsidRPr="007C4AF6">
        <w:rPr>
          <w:rFonts w:ascii="Arial" w:hAnsi="Arial" w:cs="Arial"/>
          <w:sz w:val="24"/>
          <w:szCs w:val="24"/>
          <w:lang w:val="en-US"/>
        </w:rPr>
        <w:t xml:space="preserve">. Further, </w:t>
      </w:r>
      <w:r w:rsidR="00747973" w:rsidRPr="007C4AF6">
        <w:rPr>
          <w:rFonts w:ascii="Arial" w:hAnsi="Arial" w:cs="Arial"/>
          <w:sz w:val="24"/>
          <w:szCs w:val="24"/>
          <w:lang w:val="en-US"/>
        </w:rPr>
        <w:t xml:space="preserve">measures </w:t>
      </w:r>
      <w:r w:rsidR="00577F7F" w:rsidRPr="007C4AF6">
        <w:rPr>
          <w:rFonts w:ascii="Arial" w:hAnsi="Arial" w:cs="Arial"/>
          <w:sz w:val="24"/>
          <w:szCs w:val="24"/>
          <w:lang w:val="en-US"/>
        </w:rPr>
        <w:t>were</w:t>
      </w:r>
      <w:r w:rsidR="0051572D" w:rsidRPr="007C4AF6">
        <w:rPr>
          <w:rFonts w:ascii="Arial" w:hAnsi="Arial" w:cs="Arial"/>
          <w:sz w:val="24"/>
          <w:szCs w:val="24"/>
          <w:lang w:val="en-US"/>
        </w:rPr>
        <w:t xml:space="preserve"> taken to rectify the deficiency in their accounting department. Furthermore, in as far as chapter 7 of the </w:t>
      </w:r>
      <w:r w:rsidR="00577F7F" w:rsidRPr="007C4AF6">
        <w:rPr>
          <w:rFonts w:ascii="Arial" w:hAnsi="Arial" w:cs="Arial"/>
          <w:sz w:val="24"/>
          <w:szCs w:val="24"/>
          <w:lang w:val="en-US"/>
        </w:rPr>
        <w:t>A</w:t>
      </w:r>
      <w:r w:rsidR="0051572D" w:rsidRPr="007C4AF6">
        <w:rPr>
          <w:rFonts w:ascii="Arial" w:hAnsi="Arial" w:cs="Arial"/>
          <w:sz w:val="24"/>
          <w:szCs w:val="24"/>
          <w:lang w:val="en-US"/>
        </w:rPr>
        <w:t>ct and rule 54.30 are concerned</w:t>
      </w:r>
      <w:r w:rsidR="00577F7F" w:rsidRPr="007C4AF6">
        <w:rPr>
          <w:rFonts w:ascii="Arial" w:hAnsi="Arial" w:cs="Arial"/>
          <w:sz w:val="24"/>
          <w:szCs w:val="24"/>
          <w:lang w:val="en-US"/>
        </w:rPr>
        <w:t>,</w:t>
      </w:r>
      <w:r w:rsidR="0051572D" w:rsidRPr="007C4AF6">
        <w:rPr>
          <w:rFonts w:ascii="Arial" w:hAnsi="Arial" w:cs="Arial"/>
          <w:sz w:val="24"/>
          <w:szCs w:val="24"/>
          <w:lang w:val="en-US"/>
        </w:rPr>
        <w:t xml:space="preserve"> the applicants were in compliance and the LPC failed to give them audience by seeking further explanation.  Despite compliance, LPC took a decision not to issue them with the Fidelity </w:t>
      </w:r>
      <w:r w:rsidR="00577F7F" w:rsidRPr="007C4AF6">
        <w:rPr>
          <w:rFonts w:ascii="Arial" w:hAnsi="Arial" w:cs="Arial"/>
          <w:sz w:val="24"/>
          <w:szCs w:val="24"/>
          <w:lang w:val="en-US"/>
        </w:rPr>
        <w:t>F</w:t>
      </w:r>
      <w:r w:rsidR="0051572D" w:rsidRPr="007C4AF6">
        <w:rPr>
          <w:rFonts w:ascii="Arial" w:hAnsi="Arial" w:cs="Arial"/>
          <w:sz w:val="24"/>
          <w:szCs w:val="24"/>
          <w:lang w:val="en-US"/>
        </w:rPr>
        <w:t xml:space="preserve">und </w:t>
      </w:r>
      <w:r w:rsidR="00577F7F" w:rsidRPr="007C4AF6">
        <w:rPr>
          <w:rFonts w:ascii="Arial" w:hAnsi="Arial" w:cs="Arial"/>
          <w:sz w:val="24"/>
          <w:szCs w:val="24"/>
          <w:lang w:val="en-US"/>
        </w:rPr>
        <w:t>C</w:t>
      </w:r>
      <w:r w:rsidR="0051572D" w:rsidRPr="007C4AF6">
        <w:rPr>
          <w:rFonts w:ascii="Arial" w:hAnsi="Arial" w:cs="Arial"/>
          <w:sz w:val="24"/>
          <w:szCs w:val="24"/>
          <w:lang w:val="en-US"/>
        </w:rPr>
        <w:t xml:space="preserve">ertificate. They were not informed as to how this decision was taken and an independent auditor was appointed for investigations into their trust accounts. </w:t>
      </w:r>
    </w:p>
    <w:p w:rsidR="004A08CD" w:rsidRPr="007C4AF6" w:rsidRDefault="004A08CD" w:rsidP="007C4AF6">
      <w:pPr>
        <w:spacing w:after="0" w:line="360" w:lineRule="auto"/>
        <w:ind w:left="720" w:hanging="720"/>
        <w:jc w:val="both"/>
        <w:rPr>
          <w:rFonts w:ascii="Arial" w:hAnsi="Arial" w:cs="Arial"/>
          <w:sz w:val="24"/>
          <w:szCs w:val="24"/>
          <w:lang w:val="en-US"/>
        </w:rPr>
      </w:pPr>
    </w:p>
    <w:p w:rsidR="0051572D" w:rsidRPr="007C4AF6" w:rsidRDefault="00322692"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[40</w:t>
      </w:r>
      <w:r w:rsidR="0051572D" w:rsidRPr="007C4AF6">
        <w:rPr>
          <w:rFonts w:ascii="Arial" w:hAnsi="Arial" w:cs="Arial"/>
          <w:sz w:val="24"/>
          <w:szCs w:val="24"/>
          <w:lang w:val="en-US"/>
        </w:rPr>
        <w:t>]</w:t>
      </w:r>
      <w:r w:rsidRPr="007C4AF6">
        <w:rPr>
          <w:rFonts w:ascii="Arial" w:hAnsi="Arial" w:cs="Arial"/>
          <w:sz w:val="24"/>
          <w:szCs w:val="24"/>
          <w:lang w:val="en-US"/>
        </w:rPr>
        <w:tab/>
      </w:r>
      <w:r w:rsidR="0051572D" w:rsidRPr="007C4AF6">
        <w:rPr>
          <w:rFonts w:ascii="Arial" w:hAnsi="Arial" w:cs="Arial"/>
          <w:sz w:val="24"/>
          <w:szCs w:val="24"/>
          <w:lang w:val="en-US"/>
        </w:rPr>
        <w:t xml:space="preserve">Adv. Mohapi in his arguments controverted the allegation by the applicants to the effect that the letter falls short of giving reasons as to why the decision was taken and why the Fidelity </w:t>
      </w:r>
      <w:r w:rsidR="001D5260" w:rsidRPr="007C4AF6">
        <w:rPr>
          <w:rFonts w:ascii="Arial" w:hAnsi="Arial" w:cs="Arial"/>
          <w:sz w:val="24"/>
          <w:szCs w:val="24"/>
          <w:lang w:val="en-US"/>
        </w:rPr>
        <w:t>F</w:t>
      </w:r>
      <w:r w:rsidR="0051572D" w:rsidRPr="007C4AF6">
        <w:rPr>
          <w:rFonts w:ascii="Arial" w:hAnsi="Arial" w:cs="Arial"/>
          <w:sz w:val="24"/>
          <w:szCs w:val="24"/>
          <w:lang w:val="en-US"/>
        </w:rPr>
        <w:t xml:space="preserve">und </w:t>
      </w:r>
      <w:r w:rsidR="00994188" w:rsidRPr="007C4AF6">
        <w:rPr>
          <w:rFonts w:ascii="Arial" w:hAnsi="Arial" w:cs="Arial"/>
          <w:sz w:val="24"/>
          <w:szCs w:val="24"/>
          <w:lang w:val="en-US"/>
        </w:rPr>
        <w:t>Cer</w:t>
      </w:r>
      <w:r w:rsidR="0051572D" w:rsidRPr="007C4AF6">
        <w:rPr>
          <w:rFonts w:ascii="Arial" w:hAnsi="Arial" w:cs="Arial"/>
          <w:sz w:val="24"/>
          <w:szCs w:val="24"/>
          <w:lang w:val="en-US"/>
        </w:rPr>
        <w:t>tificate was not issue</w:t>
      </w:r>
      <w:r w:rsidR="0056156C" w:rsidRPr="007C4AF6">
        <w:rPr>
          <w:rFonts w:ascii="Arial" w:hAnsi="Arial" w:cs="Arial"/>
          <w:sz w:val="24"/>
          <w:szCs w:val="24"/>
          <w:lang w:val="en-US"/>
        </w:rPr>
        <w:t>d</w:t>
      </w:r>
      <w:r w:rsidR="0051572D" w:rsidRPr="007C4AF6">
        <w:rPr>
          <w:rFonts w:ascii="Arial" w:hAnsi="Arial" w:cs="Arial"/>
          <w:sz w:val="24"/>
          <w:szCs w:val="24"/>
          <w:lang w:val="en-US"/>
        </w:rPr>
        <w:t>. According to him</w:t>
      </w:r>
      <w:r w:rsidR="0056156C" w:rsidRPr="007C4AF6">
        <w:rPr>
          <w:rFonts w:ascii="Arial" w:hAnsi="Arial" w:cs="Arial"/>
          <w:sz w:val="24"/>
          <w:szCs w:val="24"/>
          <w:lang w:val="en-US"/>
        </w:rPr>
        <w:t>,</w:t>
      </w:r>
      <w:r w:rsidR="0051572D" w:rsidRPr="007C4AF6">
        <w:rPr>
          <w:rFonts w:ascii="Arial" w:hAnsi="Arial" w:cs="Arial"/>
          <w:sz w:val="24"/>
          <w:szCs w:val="24"/>
          <w:lang w:val="en-US"/>
        </w:rPr>
        <w:t xml:space="preserve"> the letter does not onl</w:t>
      </w:r>
      <w:r w:rsidRPr="007C4AF6">
        <w:rPr>
          <w:rFonts w:ascii="Arial" w:hAnsi="Arial" w:cs="Arial"/>
          <w:sz w:val="24"/>
          <w:szCs w:val="24"/>
          <w:lang w:val="en-US"/>
        </w:rPr>
        <w:t>y inform the applicants that</w:t>
      </w:r>
      <w:r w:rsidR="0051572D" w:rsidRPr="007C4AF6">
        <w:rPr>
          <w:rFonts w:ascii="Arial" w:hAnsi="Arial" w:cs="Arial"/>
          <w:sz w:val="24"/>
          <w:szCs w:val="24"/>
          <w:lang w:val="en-US"/>
        </w:rPr>
        <w:t xml:space="preserve"> their explanation cannot be </w:t>
      </w:r>
      <w:r w:rsidR="00994188" w:rsidRPr="007C4AF6">
        <w:rPr>
          <w:rFonts w:ascii="Arial" w:hAnsi="Arial" w:cs="Arial"/>
          <w:sz w:val="24"/>
          <w:szCs w:val="24"/>
          <w:lang w:val="en-US"/>
        </w:rPr>
        <w:t>accepted</w:t>
      </w:r>
      <w:r w:rsidR="008E3D05" w:rsidRPr="007C4AF6">
        <w:rPr>
          <w:rFonts w:ascii="Arial" w:hAnsi="Arial" w:cs="Arial"/>
          <w:sz w:val="24"/>
          <w:szCs w:val="24"/>
          <w:lang w:val="en-US"/>
        </w:rPr>
        <w:t xml:space="preserve">. It </w:t>
      </w:r>
      <w:r w:rsidR="0051572D" w:rsidRPr="007C4AF6">
        <w:rPr>
          <w:rFonts w:ascii="Arial" w:hAnsi="Arial" w:cs="Arial"/>
          <w:sz w:val="24"/>
          <w:szCs w:val="24"/>
          <w:lang w:val="en-US"/>
        </w:rPr>
        <w:t>also informs them that LPC wants further investigation. Furthermore</w:t>
      </w:r>
      <w:r w:rsidR="0056156C" w:rsidRPr="007C4AF6">
        <w:rPr>
          <w:rFonts w:ascii="Arial" w:hAnsi="Arial" w:cs="Arial"/>
          <w:sz w:val="24"/>
          <w:szCs w:val="24"/>
          <w:lang w:val="en-US"/>
        </w:rPr>
        <w:t>,</w:t>
      </w:r>
      <w:r w:rsidR="0051572D" w:rsidRPr="007C4AF6">
        <w:rPr>
          <w:rFonts w:ascii="Arial" w:hAnsi="Arial" w:cs="Arial"/>
          <w:sz w:val="24"/>
          <w:szCs w:val="24"/>
          <w:lang w:val="en-US"/>
        </w:rPr>
        <w:t xml:space="preserve"> the last paragraph of the letter informs them that due to the fact </w:t>
      </w:r>
      <w:r w:rsidR="0051572D" w:rsidRPr="007C4AF6">
        <w:rPr>
          <w:rFonts w:ascii="Arial" w:hAnsi="Arial" w:cs="Arial"/>
          <w:sz w:val="24"/>
          <w:szCs w:val="24"/>
          <w:lang w:val="en-US"/>
        </w:rPr>
        <w:lastRenderedPageBreak/>
        <w:t>that they failed to inform the court</w:t>
      </w:r>
      <w:r w:rsidR="0051572D" w:rsidRPr="007C4AF6">
        <w:rPr>
          <w:rFonts w:ascii="Arial" w:hAnsi="Arial" w:cs="Times New Roman"/>
          <w:sz w:val="24"/>
          <w:szCs w:val="24"/>
          <w:vertAlign w:val="superscript"/>
          <w:lang w:val="en-US"/>
        </w:rPr>
        <w:footnoteReference w:id="24"/>
      </w:r>
      <w:r w:rsidR="0051572D" w:rsidRPr="007C4AF6">
        <w:rPr>
          <w:rFonts w:ascii="Arial" w:hAnsi="Arial" w:cs="Arial"/>
          <w:sz w:val="24"/>
          <w:szCs w:val="24"/>
          <w:lang w:val="en-US"/>
        </w:rPr>
        <w:t xml:space="preserve"> of the deficit in their trust account while being aware of the same. According to him LPC could not have been clear as to why the administrative action was taken. Furthermore, Applicants are well aware of the significant amounts that are in deficit and most certainly cannot be attributed to “incorrect posting” or “accounting errors”.</w:t>
      </w:r>
      <w:r w:rsidR="0051572D" w:rsidRPr="007C4AF6">
        <w:rPr>
          <w:rFonts w:ascii="Arial" w:hAnsi="Arial" w:cs="Times New Roman"/>
          <w:sz w:val="24"/>
          <w:szCs w:val="24"/>
          <w:vertAlign w:val="superscript"/>
          <w:lang w:val="en-US"/>
        </w:rPr>
        <w:footnoteReference w:id="25"/>
      </w:r>
      <w:r w:rsidR="0051572D" w:rsidRPr="007C4AF6">
        <w:rPr>
          <w:rFonts w:ascii="Arial" w:hAnsi="Arial" w:cs="Arial"/>
          <w:sz w:val="24"/>
          <w:szCs w:val="24"/>
          <w:lang w:val="en-US"/>
        </w:rPr>
        <w:t xml:space="preserve"> </w:t>
      </w:r>
    </w:p>
    <w:p w:rsidR="0051572D" w:rsidRPr="007C4AF6" w:rsidRDefault="0051572D" w:rsidP="007C4AF6">
      <w:pPr>
        <w:spacing w:after="0" w:line="360" w:lineRule="auto"/>
        <w:jc w:val="both"/>
        <w:rPr>
          <w:rFonts w:ascii="Arial" w:hAnsi="Arial" w:cs="Arial"/>
          <w:sz w:val="24"/>
          <w:szCs w:val="24"/>
          <w:lang w:val="en-US"/>
        </w:rPr>
      </w:pPr>
    </w:p>
    <w:p w:rsidR="0051572D" w:rsidRPr="007C4AF6" w:rsidRDefault="00487706"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[41]</w:t>
      </w:r>
      <w:r w:rsidRPr="007C4AF6">
        <w:rPr>
          <w:rFonts w:ascii="Arial" w:hAnsi="Arial" w:cs="Arial"/>
          <w:sz w:val="24"/>
          <w:szCs w:val="24"/>
          <w:lang w:val="en-US"/>
        </w:rPr>
        <w:tab/>
      </w:r>
      <w:r w:rsidR="0051572D" w:rsidRPr="007C4AF6">
        <w:rPr>
          <w:rFonts w:ascii="Arial" w:hAnsi="Arial" w:cs="Arial"/>
          <w:sz w:val="24"/>
          <w:szCs w:val="24"/>
          <w:lang w:val="en-US"/>
        </w:rPr>
        <w:t>In my view</w:t>
      </w:r>
      <w:r w:rsidR="005E1DD0">
        <w:rPr>
          <w:rFonts w:ascii="Arial" w:hAnsi="Arial" w:cs="Arial"/>
          <w:sz w:val="24"/>
          <w:szCs w:val="24"/>
          <w:lang w:val="en-US"/>
        </w:rPr>
        <w:t>,</w:t>
      </w:r>
      <w:r w:rsidR="0051572D" w:rsidRPr="007C4AF6">
        <w:rPr>
          <w:rFonts w:ascii="Arial" w:hAnsi="Arial" w:cs="Arial"/>
          <w:sz w:val="24"/>
          <w:szCs w:val="24"/>
          <w:lang w:val="en-US"/>
        </w:rPr>
        <w:t xml:space="preserve"> the latter argument is correct more especially when one considers the fact that Newtons auditors advised the applicants</w:t>
      </w:r>
      <w:r w:rsidR="005E1DD0">
        <w:rPr>
          <w:rFonts w:ascii="Arial" w:hAnsi="Arial" w:cs="Arial"/>
          <w:sz w:val="24"/>
          <w:szCs w:val="24"/>
          <w:lang w:val="en-US"/>
        </w:rPr>
        <w:t xml:space="preserve"> about</w:t>
      </w:r>
      <w:r w:rsidR="0051572D" w:rsidRPr="007C4AF6">
        <w:rPr>
          <w:rFonts w:ascii="Arial" w:hAnsi="Arial" w:cs="Arial"/>
          <w:sz w:val="24"/>
          <w:szCs w:val="24"/>
          <w:lang w:val="en-US"/>
        </w:rPr>
        <w:t xml:space="preserve"> a commixture </w:t>
      </w:r>
      <w:r w:rsidR="005E1DD0">
        <w:rPr>
          <w:rFonts w:ascii="Arial" w:hAnsi="Arial" w:cs="Arial"/>
          <w:sz w:val="24"/>
          <w:szCs w:val="24"/>
          <w:lang w:val="en-US"/>
        </w:rPr>
        <w:t xml:space="preserve">and </w:t>
      </w:r>
      <w:r w:rsidR="0051572D" w:rsidRPr="007C4AF6">
        <w:rPr>
          <w:rFonts w:ascii="Arial" w:hAnsi="Arial" w:cs="Arial"/>
          <w:sz w:val="24"/>
          <w:szCs w:val="24"/>
          <w:lang w:val="en-US"/>
        </w:rPr>
        <w:t xml:space="preserve">or a wrong process </w:t>
      </w:r>
      <w:r w:rsidR="005E1DD0">
        <w:rPr>
          <w:rFonts w:ascii="Arial" w:hAnsi="Arial" w:cs="Arial"/>
          <w:sz w:val="24"/>
          <w:szCs w:val="24"/>
          <w:lang w:val="en-US"/>
        </w:rPr>
        <w:t xml:space="preserve">that </w:t>
      </w:r>
      <w:r w:rsidR="0051572D" w:rsidRPr="007C4AF6">
        <w:rPr>
          <w:rFonts w:ascii="Arial" w:hAnsi="Arial" w:cs="Arial"/>
          <w:sz w:val="24"/>
          <w:szCs w:val="24"/>
          <w:lang w:val="en-US"/>
        </w:rPr>
        <w:t>was followed by the De Lange attorneys and Matsepe Inc in March 2023.</w:t>
      </w:r>
      <w:r w:rsidR="005E1DD0">
        <w:rPr>
          <w:rFonts w:ascii="Arial" w:hAnsi="Arial" w:cs="Arial"/>
          <w:sz w:val="24"/>
          <w:szCs w:val="24"/>
          <w:lang w:val="en-US"/>
        </w:rPr>
        <w:t xml:space="preserve"> </w:t>
      </w:r>
      <w:r w:rsidR="00994188" w:rsidRPr="007C4AF6">
        <w:rPr>
          <w:rFonts w:ascii="Arial" w:hAnsi="Arial" w:cs="Arial"/>
          <w:sz w:val="24"/>
          <w:szCs w:val="24"/>
          <w:lang w:val="en-US"/>
        </w:rPr>
        <w:t xml:space="preserve">The </w:t>
      </w:r>
      <w:r w:rsidR="0051572D" w:rsidRPr="007C4AF6">
        <w:rPr>
          <w:rFonts w:ascii="Arial" w:hAnsi="Arial" w:cs="Arial"/>
          <w:sz w:val="24"/>
          <w:szCs w:val="24"/>
          <w:lang w:val="en-US"/>
        </w:rPr>
        <w:t xml:space="preserve">LPC then gave the </w:t>
      </w:r>
      <w:r w:rsidR="00994188" w:rsidRPr="007C4AF6">
        <w:rPr>
          <w:rFonts w:ascii="Arial" w:hAnsi="Arial" w:cs="Arial"/>
          <w:sz w:val="24"/>
          <w:szCs w:val="24"/>
          <w:lang w:val="en-US"/>
        </w:rPr>
        <w:t>a</w:t>
      </w:r>
      <w:r w:rsidR="0051572D" w:rsidRPr="007C4AF6">
        <w:rPr>
          <w:rFonts w:ascii="Arial" w:hAnsi="Arial" w:cs="Arial"/>
          <w:sz w:val="24"/>
          <w:szCs w:val="24"/>
          <w:lang w:val="en-US"/>
        </w:rPr>
        <w:t>pplicants a lifeline by advising them to split transactions dating back from 1 March 2021 until the end of February 2023.</w:t>
      </w:r>
      <w:r w:rsidR="0051572D" w:rsidRPr="007C4AF6">
        <w:rPr>
          <w:rFonts w:ascii="Arial" w:hAnsi="Arial" w:cs="Times New Roman"/>
          <w:sz w:val="24"/>
          <w:szCs w:val="24"/>
          <w:vertAlign w:val="superscript"/>
          <w:lang w:val="en-US"/>
        </w:rPr>
        <w:footnoteReference w:id="26"/>
      </w:r>
      <w:r w:rsidR="0051572D" w:rsidRPr="007C4AF6">
        <w:rPr>
          <w:rFonts w:ascii="Arial" w:hAnsi="Arial" w:cs="Arial"/>
          <w:sz w:val="24"/>
          <w:szCs w:val="24"/>
          <w:lang w:val="en-US"/>
        </w:rPr>
        <w:t xml:space="preserve"> Subsequently on 2 June 2023 a resolution was passed by the investigation committee that</w:t>
      </w:r>
      <w:r w:rsidR="00994188" w:rsidRPr="007C4AF6">
        <w:rPr>
          <w:rFonts w:ascii="Arial" w:hAnsi="Arial" w:cs="Arial"/>
          <w:sz w:val="24"/>
          <w:szCs w:val="24"/>
          <w:lang w:val="en-US"/>
        </w:rPr>
        <w:t xml:space="preserve"> the</w:t>
      </w:r>
      <w:r w:rsidR="0051572D" w:rsidRPr="007C4AF6">
        <w:rPr>
          <w:rFonts w:ascii="Arial" w:hAnsi="Arial" w:cs="Arial"/>
          <w:sz w:val="24"/>
          <w:szCs w:val="24"/>
          <w:lang w:val="en-US"/>
        </w:rPr>
        <w:t xml:space="preserve"> LPC institutes urgent application for</w:t>
      </w:r>
      <w:r w:rsidR="00994188" w:rsidRPr="007C4AF6">
        <w:rPr>
          <w:rFonts w:ascii="Arial" w:hAnsi="Arial" w:cs="Arial"/>
          <w:sz w:val="24"/>
          <w:szCs w:val="24"/>
          <w:lang w:val="en-US"/>
        </w:rPr>
        <w:t xml:space="preserve"> the</w:t>
      </w:r>
      <w:r w:rsidR="0051572D" w:rsidRPr="007C4AF6">
        <w:rPr>
          <w:rFonts w:ascii="Arial" w:hAnsi="Arial" w:cs="Arial"/>
          <w:sz w:val="24"/>
          <w:szCs w:val="24"/>
          <w:lang w:val="en-US"/>
        </w:rPr>
        <w:t xml:space="preserve"> suspension of both first and second applicant</w:t>
      </w:r>
      <w:r w:rsidR="00994188" w:rsidRPr="007C4AF6">
        <w:rPr>
          <w:rFonts w:ascii="Arial" w:hAnsi="Arial" w:cs="Arial"/>
          <w:sz w:val="24"/>
          <w:szCs w:val="24"/>
          <w:lang w:val="en-US"/>
        </w:rPr>
        <w:t>s</w:t>
      </w:r>
      <w:r w:rsidR="0051572D" w:rsidRPr="007C4AF6">
        <w:rPr>
          <w:rFonts w:ascii="Arial" w:hAnsi="Arial" w:cs="Arial"/>
          <w:sz w:val="24"/>
          <w:szCs w:val="24"/>
          <w:lang w:val="en-US"/>
        </w:rPr>
        <w:t>. This resolution was taken notwithstanding the fact that the applicants wrote a letter</w:t>
      </w:r>
      <w:r w:rsidR="0051572D" w:rsidRPr="007C4AF6">
        <w:rPr>
          <w:rFonts w:ascii="Arial" w:hAnsi="Arial" w:cs="Times New Roman"/>
          <w:sz w:val="24"/>
          <w:szCs w:val="24"/>
          <w:vertAlign w:val="superscript"/>
          <w:lang w:val="en-US"/>
        </w:rPr>
        <w:footnoteReference w:id="27"/>
      </w:r>
      <w:r w:rsidR="0051572D" w:rsidRPr="007C4AF6">
        <w:rPr>
          <w:rFonts w:ascii="Arial" w:hAnsi="Arial" w:cs="Arial"/>
          <w:sz w:val="24"/>
          <w:szCs w:val="24"/>
          <w:lang w:val="en-US"/>
        </w:rPr>
        <w:t xml:space="preserve"> to the LPC explaining transgressions and requesting that any further disciplinary steps be put on hold until end of June 2023. On August 2023, an urgent application was lodged, calling for both first and second applicants to</w:t>
      </w:r>
      <w:r w:rsidR="0056156C" w:rsidRPr="007C4AF6">
        <w:rPr>
          <w:rFonts w:ascii="Arial" w:hAnsi="Arial" w:cs="Arial"/>
          <w:sz w:val="24"/>
          <w:szCs w:val="24"/>
          <w:lang w:val="en-US"/>
        </w:rPr>
        <w:t xml:space="preserve"> be</w:t>
      </w:r>
      <w:r w:rsidR="0051572D" w:rsidRPr="007C4AF6">
        <w:rPr>
          <w:rFonts w:ascii="Arial" w:hAnsi="Arial" w:cs="Arial"/>
          <w:sz w:val="24"/>
          <w:szCs w:val="24"/>
          <w:lang w:val="en-US"/>
        </w:rPr>
        <w:t xml:space="preserve"> suspended. I interpose to mention that</w:t>
      </w:r>
      <w:r w:rsidR="00994188" w:rsidRPr="007C4AF6">
        <w:rPr>
          <w:rFonts w:ascii="Arial" w:hAnsi="Arial" w:cs="Arial"/>
          <w:sz w:val="24"/>
          <w:szCs w:val="24"/>
          <w:lang w:val="en-US"/>
        </w:rPr>
        <w:t xml:space="preserve"> deduced</w:t>
      </w:r>
      <w:r w:rsidR="0051572D" w:rsidRPr="007C4AF6">
        <w:rPr>
          <w:rFonts w:ascii="Arial" w:hAnsi="Arial" w:cs="Arial"/>
          <w:sz w:val="24"/>
          <w:szCs w:val="24"/>
          <w:lang w:val="en-US"/>
        </w:rPr>
        <w:t xml:space="preserve"> from the conduct of </w:t>
      </w:r>
      <w:r w:rsidR="00994188" w:rsidRPr="007C4AF6">
        <w:rPr>
          <w:rFonts w:ascii="Arial" w:hAnsi="Arial" w:cs="Arial"/>
          <w:sz w:val="24"/>
          <w:szCs w:val="24"/>
          <w:lang w:val="en-US"/>
        </w:rPr>
        <w:t xml:space="preserve">the </w:t>
      </w:r>
      <w:r w:rsidR="0051572D" w:rsidRPr="007C4AF6">
        <w:rPr>
          <w:rFonts w:ascii="Arial" w:hAnsi="Arial" w:cs="Arial"/>
          <w:sz w:val="24"/>
          <w:szCs w:val="24"/>
          <w:lang w:val="en-US"/>
        </w:rPr>
        <w:t>LPC in proceeding with the application for suspension</w:t>
      </w:r>
      <w:r w:rsidR="0056156C" w:rsidRPr="007C4AF6">
        <w:rPr>
          <w:rFonts w:ascii="Arial" w:hAnsi="Arial" w:cs="Arial"/>
          <w:sz w:val="24"/>
          <w:szCs w:val="24"/>
          <w:lang w:val="en-US"/>
        </w:rPr>
        <w:t>,</w:t>
      </w:r>
      <w:r w:rsidR="0051572D" w:rsidRPr="007C4AF6">
        <w:rPr>
          <w:rFonts w:ascii="Arial" w:hAnsi="Arial" w:cs="Arial"/>
          <w:sz w:val="24"/>
          <w:szCs w:val="24"/>
          <w:lang w:val="en-US"/>
        </w:rPr>
        <w:t xml:space="preserve"> the only ineluctable </w:t>
      </w:r>
      <w:r w:rsidR="00994188" w:rsidRPr="007C4AF6">
        <w:rPr>
          <w:rFonts w:ascii="Arial" w:hAnsi="Arial" w:cs="Arial"/>
          <w:sz w:val="24"/>
          <w:szCs w:val="24"/>
          <w:lang w:val="en-US"/>
        </w:rPr>
        <w:t>inference</w:t>
      </w:r>
      <w:r w:rsidR="0051572D" w:rsidRPr="007C4AF6">
        <w:rPr>
          <w:rFonts w:ascii="Arial" w:hAnsi="Arial" w:cs="Arial"/>
          <w:sz w:val="24"/>
          <w:szCs w:val="24"/>
          <w:lang w:val="en-US"/>
        </w:rPr>
        <w:t xml:space="preserve"> is that the explanation proffered by the applicants fell short of “satisfying” the LPC. </w:t>
      </w:r>
    </w:p>
    <w:p w:rsidR="007C4AF6" w:rsidRPr="007C4AF6" w:rsidRDefault="007C4AF6" w:rsidP="007C4AF6">
      <w:pPr>
        <w:spacing w:after="0" w:line="360" w:lineRule="auto"/>
        <w:ind w:left="720" w:hanging="720"/>
        <w:jc w:val="both"/>
        <w:rPr>
          <w:rFonts w:ascii="Arial" w:hAnsi="Arial" w:cs="Arial"/>
          <w:sz w:val="24"/>
          <w:szCs w:val="24"/>
          <w:lang w:val="en-US"/>
        </w:rPr>
      </w:pPr>
    </w:p>
    <w:p w:rsidR="0051572D" w:rsidRPr="007C4AF6" w:rsidRDefault="00487706"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[42]</w:t>
      </w:r>
      <w:r w:rsidRPr="007C4AF6">
        <w:rPr>
          <w:rFonts w:ascii="Arial" w:hAnsi="Arial" w:cs="Arial"/>
          <w:sz w:val="24"/>
          <w:szCs w:val="24"/>
          <w:lang w:val="en-US"/>
        </w:rPr>
        <w:tab/>
      </w:r>
      <w:r w:rsidR="0051572D" w:rsidRPr="007C4AF6">
        <w:rPr>
          <w:rFonts w:ascii="Arial" w:hAnsi="Arial" w:cs="Arial"/>
          <w:sz w:val="24"/>
          <w:szCs w:val="24"/>
          <w:lang w:val="en-US"/>
        </w:rPr>
        <w:t>Furthermore, gleaned from the letter</w:t>
      </w:r>
      <w:r w:rsidR="0051572D" w:rsidRPr="007C4AF6">
        <w:rPr>
          <w:rFonts w:ascii="Arial" w:hAnsi="Arial" w:cs="Times New Roman"/>
          <w:sz w:val="24"/>
          <w:szCs w:val="24"/>
          <w:vertAlign w:val="superscript"/>
          <w:lang w:val="en-US"/>
        </w:rPr>
        <w:footnoteReference w:id="28"/>
      </w:r>
      <w:r w:rsidRPr="007C4AF6">
        <w:rPr>
          <w:rFonts w:ascii="Arial" w:hAnsi="Arial" w:cs="Arial"/>
          <w:sz w:val="24"/>
          <w:szCs w:val="24"/>
          <w:lang w:val="en-US"/>
        </w:rPr>
        <w:t xml:space="preserve"> applicants </w:t>
      </w:r>
      <w:r w:rsidR="0051572D" w:rsidRPr="007C4AF6">
        <w:rPr>
          <w:rFonts w:ascii="Arial" w:hAnsi="Arial" w:cs="Arial"/>
          <w:sz w:val="24"/>
          <w:szCs w:val="24"/>
          <w:lang w:val="en-US"/>
        </w:rPr>
        <w:t>attribute further complications to the bookkeepers who</w:t>
      </w:r>
      <w:r w:rsidR="001D5260" w:rsidRPr="007C4AF6">
        <w:rPr>
          <w:rFonts w:ascii="Arial" w:hAnsi="Arial" w:cs="Arial"/>
          <w:sz w:val="24"/>
          <w:szCs w:val="24"/>
          <w:lang w:val="en-US"/>
        </w:rPr>
        <w:t xml:space="preserve"> left the employment of Matsepe Inc.</w:t>
      </w:r>
      <w:r w:rsidR="0051572D" w:rsidRPr="007C4AF6">
        <w:rPr>
          <w:rFonts w:ascii="Arial" w:hAnsi="Arial" w:cs="Arial"/>
          <w:sz w:val="24"/>
          <w:szCs w:val="24"/>
          <w:lang w:val="en-US"/>
        </w:rPr>
        <w:t xml:space="preserve"> during 2022</w:t>
      </w:r>
      <w:r w:rsidR="0056156C" w:rsidRPr="007C4AF6">
        <w:rPr>
          <w:rFonts w:ascii="Arial" w:hAnsi="Arial" w:cs="Arial"/>
          <w:sz w:val="24"/>
          <w:szCs w:val="24"/>
          <w:lang w:val="en-US"/>
        </w:rPr>
        <w:t>.</w:t>
      </w:r>
      <w:r w:rsidR="001D5260" w:rsidRPr="007C4AF6">
        <w:rPr>
          <w:rFonts w:ascii="Arial" w:hAnsi="Arial" w:cs="Arial"/>
          <w:sz w:val="24"/>
          <w:szCs w:val="24"/>
          <w:lang w:val="en-US"/>
        </w:rPr>
        <w:t xml:space="preserve"> I </w:t>
      </w:r>
      <w:r w:rsidR="0051572D" w:rsidRPr="007C4AF6">
        <w:rPr>
          <w:rFonts w:ascii="Arial" w:hAnsi="Arial" w:cs="Arial"/>
          <w:sz w:val="24"/>
          <w:szCs w:val="24"/>
          <w:lang w:val="en-US"/>
        </w:rPr>
        <w:t xml:space="preserve">deem it apposite to mention that chapter 7 of the </w:t>
      </w:r>
      <w:r w:rsidR="001D5260" w:rsidRPr="007C4AF6">
        <w:rPr>
          <w:rFonts w:ascii="Arial" w:hAnsi="Arial" w:cs="Arial"/>
          <w:sz w:val="24"/>
          <w:szCs w:val="24"/>
          <w:lang w:val="en-US"/>
        </w:rPr>
        <w:t>A</w:t>
      </w:r>
      <w:r w:rsidR="0051572D" w:rsidRPr="007C4AF6">
        <w:rPr>
          <w:rFonts w:ascii="Arial" w:hAnsi="Arial" w:cs="Arial"/>
          <w:sz w:val="24"/>
          <w:szCs w:val="24"/>
          <w:lang w:val="en-US"/>
        </w:rPr>
        <w:t xml:space="preserve">ct significantly places an obligation on the legal practitioner </w:t>
      </w:r>
      <w:r w:rsidR="001D5260" w:rsidRPr="007C4AF6">
        <w:rPr>
          <w:rFonts w:ascii="Arial" w:hAnsi="Arial" w:cs="Arial"/>
          <w:sz w:val="24"/>
          <w:szCs w:val="24"/>
          <w:lang w:val="en-US"/>
        </w:rPr>
        <w:t xml:space="preserve">in </w:t>
      </w:r>
      <w:r w:rsidR="0051572D" w:rsidRPr="007C4AF6">
        <w:rPr>
          <w:rFonts w:ascii="Arial" w:hAnsi="Arial" w:cs="Arial"/>
          <w:sz w:val="24"/>
          <w:szCs w:val="24"/>
          <w:lang w:val="en-US"/>
        </w:rPr>
        <w:t>as far as compliance is concerned. I could not glean any provision</w:t>
      </w:r>
      <w:r w:rsidR="001D5260" w:rsidRPr="007C4AF6">
        <w:rPr>
          <w:rFonts w:ascii="Arial" w:hAnsi="Arial" w:cs="Arial"/>
          <w:sz w:val="24"/>
          <w:szCs w:val="24"/>
          <w:lang w:val="en-US"/>
        </w:rPr>
        <w:t xml:space="preserve"> from the Act</w:t>
      </w:r>
      <w:r w:rsidR="0050432B" w:rsidRPr="007C4AF6">
        <w:rPr>
          <w:rFonts w:ascii="Arial" w:hAnsi="Arial" w:cs="Arial"/>
          <w:sz w:val="24"/>
          <w:szCs w:val="24"/>
          <w:lang w:val="en-US"/>
        </w:rPr>
        <w:t xml:space="preserve"> suggesting that</w:t>
      </w:r>
      <w:r w:rsidR="0056156C" w:rsidRPr="007C4AF6">
        <w:rPr>
          <w:rFonts w:ascii="Arial" w:hAnsi="Arial" w:cs="Arial"/>
          <w:sz w:val="24"/>
          <w:szCs w:val="24"/>
          <w:lang w:val="en-US"/>
        </w:rPr>
        <w:t xml:space="preserve"> a bookkeeper also</w:t>
      </w:r>
      <w:r w:rsidR="0050432B" w:rsidRPr="007C4AF6">
        <w:rPr>
          <w:rFonts w:ascii="Arial" w:hAnsi="Arial" w:cs="Arial"/>
          <w:sz w:val="24"/>
          <w:szCs w:val="24"/>
          <w:lang w:val="en-US"/>
        </w:rPr>
        <w:t xml:space="preserve"> has</w:t>
      </w:r>
      <w:r w:rsidR="0056156C" w:rsidRPr="007C4AF6">
        <w:rPr>
          <w:rFonts w:ascii="Arial" w:hAnsi="Arial" w:cs="Arial"/>
          <w:sz w:val="24"/>
          <w:szCs w:val="24"/>
          <w:lang w:val="en-US"/>
        </w:rPr>
        <w:t xml:space="preserve"> such </w:t>
      </w:r>
      <w:r w:rsidR="00AA4444" w:rsidRPr="007C4AF6">
        <w:rPr>
          <w:rFonts w:ascii="Arial" w:hAnsi="Arial" w:cs="Arial"/>
          <w:sz w:val="24"/>
          <w:szCs w:val="24"/>
          <w:lang w:val="en-US"/>
        </w:rPr>
        <w:t>an obligation. Thus</w:t>
      </w:r>
      <w:r w:rsidR="0056156C" w:rsidRPr="007C4AF6">
        <w:rPr>
          <w:rFonts w:ascii="Arial" w:hAnsi="Arial" w:cs="Arial"/>
          <w:sz w:val="24"/>
          <w:szCs w:val="24"/>
          <w:lang w:val="en-US"/>
        </w:rPr>
        <w:t>,</w:t>
      </w:r>
      <w:r w:rsidR="00AA4444" w:rsidRPr="007C4AF6">
        <w:rPr>
          <w:rFonts w:ascii="Arial" w:hAnsi="Arial" w:cs="Arial"/>
          <w:sz w:val="24"/>
          <w:szCs w:val="24"/>
          <w:lang w:val="en-US"/>
        </w:rPr>
        <w:t xml:space="preserve"> </w:t>
      </w:r>
      <w:r w:rsidR="0051572D" w:rsidRPr="007C4AF6">
        <w:rPr>
          <w:rFonts w:ascii="Arial" w:hAnsi="Arial" w:cs="Arial"/>
          <w:sz w:val="24"/>
          <w:szCs w:val="24"/>
          <w:lang w:val="en-US"/>
        </w:rPr>
        <w:t>I find the explanation about bookkeepers leaving employment to be unfathomable</w:t>
      </w:r>
      <w:r w:rsidR="0050432B" w:rsidRPr="007C4AF6">
        <w:rPr>
          <w:rFonts w:ascii="Arial" w:hAnsi="Arial" w:cs="Arial"/>
          <w:sz w:val="24"/>
          <w:szCs w:val="24"/>
          <w:lang w:val="en-US"/>
        </w:rPr>
        <w:t xml:space="preserve"> and inexplicable in as far as transgressions are concerned</w:t>
      </w:r>
      <w:r w:rsidR="0051572D" w:rsidRPr="007C4AF6">
        <w:rPr>
          <w:rFonts w:ascii="Arial" w:hAnsi="Arial" w:cs="Arial"/>
          <w:sz w:val="24"/>
          <w:szCs w:val="24"/>
          <w:lang w:val="en-US"/>
        </w:rPr>
        <w:t>.</w:t>
      </w:r>
    </w:p>
    <w:p w:rsidR="004A08CD" w:rsidRPr="007C4AF6" w:rsidRDefault="004A08CD" w:rsidP="007C4AF6">
      <w:pPr>
        <w:spacing w:after="0" w:line="360" w:lineRule="auto"/>
        <w:ind w:left="720" w:hanging="720"/>
        <w:jc w:val="both"/>
        <w:rPr>
          <w:rFonts w:ascii="Arial" w:hAnsi="Arial" w:cs="Arial"/>
          <w:sz w:val="24"/>
          <w:szCs w:val="24"/>
          <w:lang w:val="en-US"/>
        </w:rPr>
      </w:pPr>
    </w:p>
    <w:p w:rsidR="0051572D" w:rsidRPr="007C4AF6" w:rsidRDefault="00487706"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[43]</w:t>
      </w:r>
      <w:r w:rsidRPr="007C4AF6">
        <w:rPr>
          <w:rFonts w:ascii="Arial" w:hAnsi="Arial" w:cs="Arial"/>
          <w:sz w:val="24"/>
          <w:szCs w:val="24"/>
          <w:lang w:val="en-US"/>
        </w:rPr>
        <w:tab/>
      </w:r>
      <w:r w:rsidR="00383EC6">
        <w:rPr>
          <w:rFonts w:ascii="Arial" w:hAnsi="Arial" w:cs="Arial"/>
          <w:sz w:val="24"/>
          <w:szCs w:val="24"/>
          <w:lang w:val="en-US"/>
        </w:rPr>
        <w:t>On top of all that</w:t>
      </w:r>
      <w:r w:rsidR="0051572D" w:rsidRPr="007C4AF6">
        <w:rPr>
          <w:rFonts w:ascii="Arial" w:hAnsi="Arial" w:cs="Arial"/>
          <w:sz w:val="24"/>
          <w:szCs w:val="24"/>
          <w:lang w:val="en-US"/>
        </w:rPr>
        <w:t>, on 31 October 2023 the Newtons submitted a qualified report</w:t>
      </w:r>
      <w:r w:rsidR="00383EC6">
        <w:rPr>
          <w:rFonts w:ascii="Arial" w:hAnsi="Arial" w:cs="Arial"/>
          <w:sz w:val="24"/>
          <w:szCs w:val="24"/>
          <w:lang w:val="en-US"/>
        </w:rPr>
        <w:t>s</w:t>
      </w:r>
      <w:r w:rsidR="0051572D" w:rsidRPr="007C4AF6">
        <w:rPr>
          <w:rFonts w:ascii="Arial" w:hAnsi="Arial" w:cs="Arial"/>
          <w:sz w:val="24"/>
          <w:szCs w:val="24"/>
          <w:lang w:val="en-US"/>
        </w:rPr>
        <w:t xml:space="preserve"> for </w:t>
      </w:r>
      <w:r w:rsidR="00E800E8" w:rsidRPr="007C4AF6">
        <w:rPr>
          <w:rFonts w:ascii="Arial" w:hAnsi="Arial" w:cs="Arial"/>
          <w:sz w:val="24"/>
          <w:szCs w:val="24"/>
          <w:lang w:val="en-US"/>
        </w:rPr>
        <w:t xml:space="preserve">period </w:t>
      </w:r>
      <w:r w:rsidR="0051572D" w:rsidRPr="007C4AF6">
        <w:rPr>
          <w:rFonts w:ascii="Arial" w:hAnsi="Arial" w:cs="Arial"/>
          <w:sz w:val="24"/>
          <w:szCs w:val="24"/>
          <w:lang w:val="en-US"/>
        </w:rPr>
        <w:t>1 March 2021 and 28 February 2023 and identified five instances in which the applicants did not comply with the provision</w:t>
      </w:r>
      <w:r w:rsidR="00F0607E" w:rsidRPr="007C4AF6">
        <w:rPr>
          <w:rFonts w:ascii="Arial" w:hAnsi="Arial" w:cs="Arial"/>
          <w:sz w:val="24"/>
          <w:szCs w:val="24"/>
          <w:lang w:val="en-US"/>
        </w:rPr>
        <w:t>s</w:t>
      </w:r>
      <w:r w:rsidR="0051572D" w:rsidRPr="007C4AF6">
        <w:rPr>
          <w:rFonts w:ascii="Arial" w:hAnsi="Arial" w:cs="Arial"/>
          <w:sz w:val="24"/>
          <w:szCs w:val="24"/>
          <w:lang w:val="en-US"/>
        </w:rPr>
        <w:t xml:space="preserve"> of </w:t>
      </w:r>
      <w:r w:rsidR="00994188" w:rsidRPr="007C4AF6">
        <w:rPr>
          <w:rFonts w:ascii="Arial" w:hAnsi="Arial" w:cs="Arial"/>
          <w:sz w:val="24"/>
          <w:szCs w:val="24"/>
          <w:lang w:val="en-US"/>
        </w:rPr>
        <w:t>the Act</w:t>
      </w:r>
      <w:r w:rsidR="0051572D" w:rsidRPr="007C4AF6">
        <w:rPr>
          <w:rFonts w:ascii="Arial" w:hAnsi="Arial" w:cs="Arial"/>
          <w:sz w:val="24"/>
          <w:szCs w:val="24"/>
          <w:lang w:val="en-US"/>
        </w:rPr>
        <w:t xml:space="preserve"> and the rules</w:t>
      </w:r>
      <w:r w:rsidR="00383EC6">
        <w:rPr>
          <w:rFonts w:ascii="Arial" w:hAnsi="Arial" w:cs="Arial"/>
          <w:sz w:val="24"/>
          <w:szCs w:val="24"/>
          <w:lang w:val="en-US"/>
        </w:rPr>
        <w:t xml:space="preserve"> on each report</w:t>
      </w:r>
      <w:r w:rsidR="00F0607E" w:rsidRPr="007C4AF6">
        <w:rPr>
          <w:rFonts w:ascii="Arial" w:hAnsi="Arial" w:cs="Arial"/>
          <w:sz w:val="24"/>
          <w:szCs w:val="24"/>
          <w:lang w:val="en-US"/>
        </w:rPr>
        <w:t>.</w:t>
      </w:r>
      <w:r w:rsidR="0051572D" w:rsidRPr="007C4AF6">
        <w:rPr>
          <w:rFonts w:ascii="Arial" w:hAnsi="Arial" w:cs="Arial"/>
          <w:sz w:val="24"/>
          <w:szCs w:val="24"/>
          <w:lang w:val="en-US"/>
        </w:rPr>
        <w:t xml:space="preserve"> Attached to the report</w:t>
      </w:r>
      <w:r w:rsidR="00383EC6">
        <w:rPr>
          <w:rFonts w:ascii="Arial" w:hAnsi="Arial" w:cs="Arial"/>
          <w:sz w:val="24"/>
          <w:szCs w:val="24"/>
          <w:lang w:val="en-US"/>
        </w:rPr>
        <w:t>s</w:t>
      </w:r>
      <w:r w:rsidR="0051572D" w:rsidRPr="007C4AF6">
        <w:rPr>
          <w:rFonts w:ascii="Arial" w:hAnsi="Arial" w:cs="Arial"/>
          <w:sz w:val="24"/>
          <w:szCs w:val="24"/>
          <w:lang w:val="en-US"/>
        </w:rPr>
        <w:t xml:space="preserve"> the applicants filed </w:t>
      </w:r>
      <w:r w:rsidR="00994188" w:rsidRPr="007C4AF6">
        <w:rPr>
          <w:rFonts w:ascii="Arial" w:hAnsi="Arial" w:cs="Arial"/>
          <w:sz w:val="24"/>
          <w:szCs w:val="24"/>
          <w:lang w:val="en-US"/>
        </w:rPr>
        <w:t>three affidavits</w:t>
      </w:r>
      <w:r w:rsidR="0051572D" w:rsidRPr="007C4AF6">
        <w:rPr>
          <w:rFonts w:ascii="Arial" w:hAnsi="Arial" w:cs="Arial"/>
          <w:sz w:val="24"/>
          <w:szCs w:val="24"/>
          <w:lang w:val="en-US"/>
        </w:rPr>
        <w:t xml:space="preserve"> as envisaged by the requirements of rule 54.30. Gleaned from the</w:t>
      </w:r>
      <w:r w:rsidR="008879F2" w:rsidRPr="007C4AF6">
        <w:rPr>
          <w:rFonts w:ascii="Arial" w:hAnsi="Arial" w:cs="Arial"/>
          <w:sz w:val="24"/>
          <w:szCs w:val="24"/>
          <w:lang w:val="en-US"/>
        </w:rPr>
        <w:t>se</w:t>
      </w:r>
      <w:r w:rsidR="0051572D" w:rsidRPr="007C4AF6">
        <w:rPr>
          <w:rFonts w:ascii="Arial" w:hAnsi="Arial" w:cs="Arial"/>
          <w:sz w:val="24"/>
          <w:szCs w:val="24"/>
          <w:lang w:val="en-US"/>
        </w:rPr>
        <w:t xml:space="preserve"> affidavits, the applicants attribute the transgressions to incorrect posting and acc</w:t>
      </w:r>
      <w:r w:rsidR="008879F2" w:rsidRPr="007C4AF6">
        <w:rPr>
          <w:rFonts w:ascii="Arial" w:hAnsi="Arial" w:cs="Arial"/>
          <w:sz w:val="24"/>
          <w:szCs w:val="24"/>
          <w:lang w:val="en-US"/>
        </w:rPr>
        <w:t>ounting errors and they</w:t>
      </w:r>
      <w:r w:rsidR="0051572D" w:rsidRPr="007C4AF6">
        <w:rPr>
          <w:rFonts w:ascii="Arial" w:hAnsi="Arial" w:cs="Arial"/>
          <w:sz w:val="24"/>
          <w:szCs w:val="24"/>
          <w:lang w:val="en-US"/>
        </w:rPr>
        <w:t xml:space="preserve"> </w:t>
      </w:r>
      <w:r w:rsidR="00F0607E" w:rsidRPr="007C4AF6">
        <w:rPr>
          <w:rFonts w:ascii="Arial" w:hAnsi="Arial" w:cs="Arial"/>
          <w:sz w:val="24"/>
          <w:szCs w:val="24"/>
          <w:lang w:val="en-US"/>
        </w:rPr>
        <w:t>conceded to</w:t>
      </w:r>
      <w:r w:rsidR="0051572D" w:rsidRPr="007C4AF6">
        <w:rPr>
          <w:rFonts w:ascii="Arial" w:hAnsi="Arial" w:cs="Arial"/>
          <w:sz w:val="24"/>
          <w:szCs w:val="24"/>
          <w:lang w:val="en-US"/>
        </w:rPr>
        <w:t xml:space="preserve"> non</w:t>
      </w:r>
      <w:r w:rsidR="008879F2" w:rsidRPr="007C4AF6">
        <w:rPr>
          <w:rFonts w:ascii="Arial" w:hAnsi="Arial" w:cs="Arial"/>
          <w:sz w:val="24"/>
          <w:szCs w:val="24"/>
          <w:lang w:val="en-US"/>
        </w:rPr>
        <w:t>-</w:t>
      </w:r>
      <w:r w:rsidR="0051572D" w:rsidRPr="007C4AF6">
        <w:rPr>
          <w:rFonts w:ascii="Arial" w:hAnsi="Arial" w:cs="Arial"/>
          <w:sz w:val="24"/>
          <w:szCs w:val="24"/>
          <w:lang w:val="en-US"/>
        </w:rPr>
        <w:t>compliance with rule 54.14.10 in their affidavits</w:t>
      </w:r>
      <w:r w:rsidR="0051572D" w:rsidRPr="007C4AF6">
        <w:rPr>
          <w:rFonts w:ascii="Arial" w:hAnsi="Arial" w:cs="Times New Roman"/>
          <w:sz w:val="24"/>
          <w:szCs w:val="24"/>
          <w:vertAlign w:val="superscript"/>
          <w:lang w:val="en-US"/>
        </w:rPr>
        <w:footnoteReference w:id="29"/>
      </w:r>
      <w:r w:rsidR="0051572D" w:rsidRPr="007C4AF6">
        <w:rPr>
          <w:rFonts w:ascii="Arial" w:hAnsi="Arial" w:cs="Arial"/>
          <w:sz w:val="24"/>
          <w:szCs w:val="24"/>
          <w:lang w:val="en-US"/>
        </w:rPr>
        <w:t xml:space="preserve"> on the basis that everyone lost sight of this requirement. </w:t>
      </w:r>
    </w:p>
    <w:p w:rsidR="004A08CD" w:rsidRPr="007C4AF6" w:rsidRDefault="004A08CD" w:rsidP="007C4AF6">
      <w:pPr>
        <w:spacing w:after="0" w:line="360" w:lineRule="auto"/>
        <w:ind w:left="720" w:hanging="720"/>
        <w:jc w:val="both"/>
        <w:rPr>
          <w:rFonts w:ascii="Arial" w:hAnsi="Arial" w:cs="Arial"/>
          <w:sz w:val="24"/>
          <w:szCs w:val="24"/>
          <w:lang w:val="en-US"/>
        </w:rPr>
      </w:pPr>
    </w:p>
    <w:p w:rsidR="0051572D" w:rsidRPr="007C4AF6" w:rsidRDefault="0053351E"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[44</w:t>
      </w:r>
      <w:r w:rsidR="00487706" w:rsidRPr="007C4AF6">
        <w:rPr>
          <w:rFonts w:ascii="Arial" w:hAnsi="Arial" w:cs="Arial"/>
          <w:sz w:val="24"/>
          <w:szCs w:val="24"/>
          <w:lang w:val="en-US"/>
        </w:rPr>
        <w:t>]</w:t>
      </w:r>
      <w:r w:rsidR="00487706" w:rsidRPr="007C4AF6">
        <w:rPr>
          <w:rFonts w:ascii="Arial" w:hAnsi="Arial" w:cs="Arial"/>
          <w:sz w:val="24"/>
          <w:szCs w:val="24"/>
          <w:lang w:val="en-US"/>
        </w:rPr>
        <w:tab/>
      </w:r>
      <w:r w:rsidR="0051572D" w:rsidRPr="007C4AF6">
        <w:rPr>
          <w:rFonts w:ascii="Arial" w:hAnsi="Arial" w:cs="Arial"/>
          <w:sz w:val="24"/>
          <w:szCs w:val="24"/>
          <w:lang w:val="en-US"/>
        </w:rPr>
        <w:t>I deem it necessary to mention that the submission of these affidavits were preceded by numerous correspondences between the applicants and respondent. In a replying affidavit</w:t>
      </w:r>
      <w:r w:rsidR="0051572D" w:rsidRPr="007C4AF6">
        <w:rPr>
          <w:rFonts w:ascii="Arial" w:hAnsi="Arial" w:cs="Times New Roman"/>
          <w:sz w:val="24"/>
          <w:szCs w:val="24"/>
          <w:vertAlign w:val="superscript"/>
          <w:lang w:val="en-US"/>
        </w:rPr>
        <w:footnoteReference w:id="30"/>
      </w:r>
      <w:r w:rsidR="0051572D" w:rsidRPr="007C4AF6">
        <w:rPr>
          <w:rFonts w:ascii="Arial" w:hAnsi="Arial" w:cs="Arial"/>
          <w:sz w:val="24"/>
          <w:szCs w:val="24"/>
          <w:lang w:val="en-US"/>
        </w:rPr>
        <w:t xml:space="preserve"> in respect of the other matter, JJ Hefer</w:t>
      </w:r>
      <w:r w:rsidR="00F0607E" w:rsidRPr="007C4AF6">
        <w:rPr>
          <w:rFonts w:ascii="Arial" w:hAnsi="Arial" w:cs="Arial"/>
          <w:sz w:val="24"/>
          <w:szCs w:val="24"/>
          <w:lang w:val="en-US"/>
        </w:rPr>
        <w:t xml:space="preserve"> SC</w:t>
      </w:r>
      <w:r w:rsidR="0051572D" w:rsidRPr="007C4AF6">
        <w:rPr>
          <w:rFonts w:ascii="Arial" w:hAnsi="Arial" w:cs="Arial"/>
          <w:sz w:val="24"/>
          <w:szCs w:val="24"/>
          <w:lang w:val="en-US"/>
        </w:rPr>
        <w:t xml:space="preserve"> </w:t>
      </w:r>
      <w:r w:rsidR="008879F2" w:rsidRPr="007C4AF6">
        <w:rPr>
          <w:rFonts w:ascii="Arial" w:hAnsi="Arial" w:cs="Arial"/>
          <w:sz w:val="24"/>
          <w:szCs w:val="24"/>
          <w:lang w:val="en-US"/>
        </w:rPr>
        <w:t>succinctly</w:t>
      </w:r>
      <w:r w:rsidR="0051572D" w:rsidRPr="007C4AF6">
        <w:rPr>
          <w:rFonts w:ascii="Arial" w:hAnsi="Arial" w:cs="Arial"/>
          <w:sz w:val="24"/>
          <w:szCs w:val="24"/>
          <w:lang w:val="en-US"/>
        </w:rPr>
        <w:t xml:space="preserve"> outlined the attitude of the LPC towards the Newtons</w:t>
      </w:r>
      <w:r w:rsidR="008879F2" w:rsidRPr="007C4AF6">
        <w:rPr>
          <w:rFonts w:ascii="Arial" w:hAnsi="Arial" w:cs="Arial"/>
          <w:sz w:val="24"/>
          <w:szCs w:val="24"/>
          <w:lang w:val="en-US"/>
        </w:rPr>
        <w:t>’</w:t>
      </w:r>
      <w:r w:rsidR="0051572D" w:rsidRPr="007C4AF6">
        <w:rPr>
          <w:rFonts w:ascii="Arial" w:hAnsi="Arial" w:cs="Arial"/>
          <w:sz w:val="24"/>
          <w:szCs w:val="24"/>
          <w:lang w:val="en-US"/>
        </w:rPr>
        <w:t xml:space="preserve"> qualified report</w:t>
      </w:r>
      <w:r w:rsidR="00261ED6">
        <w:rPr>
          <w:rFonts w:ascii="Arial" w:hAnsi="Arial" w:cs="Arial"/>
          <w:sz w:val="24"/>
          <w:szCs w:val="24"/>
          <w:lang w:val="en-US"/>
        </w:rPr>
        <w:t>s</w:t>
      </w:r>
      <w:r w:rsidR="0051572D" w:rsidRPr="007C4AF6">
        <w:rPr>
          <w:rFonts w:ascii="Arial" w:hAnsi="Arial" w:cs="Arial"/>
          <w:sz w:val="24"/>
          <w:szCs w:val="24"/>
          <w:lang w:val="en-US"/>
        </w:rPr>
        <w:t>. Furthermore</w:t>
      </w:r>
      <w:r w:rsidR="00F0607E" w:rsidRPr="007C4AF6">
        <w:rPr>
          <w:rFonts w:ascii="Arial" w:hAnsi="Arial" w:cs="Arial"/>
          <w:sz w:val="24"/>
          <w:szCs w:val="24"/>
          <w:lang w:val="en-US"/>
        </w:rPr>
        <w:t>,</w:t>
      </w:r>
      <w:r w:rsidR="0051572D" w:rsidRPr="007C4AF6">
        <w:rPr>
          <w:rFonts w:ascii="Arial" w:hAnsi="Arial" w:cs="Arial"/>
          <w:sz w:val="24"/>
          <w:szCs w:val="24"/>
          <w:lang w:val="en-US"/>
        </w:rPr>
        <w:t xml:space="preserve"> Roux Barry Cloete submitted an affidavit</w:t>
      </w:r>
      <w:r w:rsidR="0051572D" w:rsidRPr="007C4AF6">
        <w:rPr>
          <w:rFonts w:ascii="Arial" w:hAnsi="Arial" w:cs="Times New Roman"/>
          <w:sz w:val="24"/>
          <w:szCs w:val="24"/>
          <w:vertAlign w:val="superscript"/>
          <w:lang w:val="en-US"/>
        </w:rPr>
        <w:footnoteReference w:id="31"/>
      </w:r>
      <w:r w:rsidR="0051572D" w:rsidRPr="007C4AF6">
        <w:rPr>
          <w:rFonts w:ascii="Arial" w:hAnsi="Arial" w:cs="Arial"/>
          <w:sz w:val="24"/>
          <w:szCs w:val="24"/>
          <w:lang w:val="en-US"/>
        </w:rPr>
        <w:t xml:space="preserve"> explaining</w:t>
      </w:r>
      <w:r w:rsidR="00261ED6">
        <w:rPr>
          <w:rFonts w:ascii="Arial" w:hAnsi="Arial" w:cs="Arial"/>
          <w:sz w:val="24"/>
          <w:szCs w:val="24"/>
          <w:lang w:val="en-US"/>
        </w:rPr>
        <w:t xml:space="preserve"> the basis for qualified findings</w:t>
      </w:r>
      <w:r w:rsidR="0051572D" w:rsidRPr="007C4AF6">
        <w:rPr>
          <w:rFonts w:ascii="Arial" w:hAnsi="Arial" w:cs="Arial"/>
          <w:sz w:val="24"/>
          <w:szCs w:val="24"/>
          <w:lang w:val="en-US"/>
        </w:rPr>
        <w:t xml:space="preserve"> and the steps taken to rectify the situation. The LPC responded to this correspondence through a letter opined by its director</w:t>
      </w:r>
      <w:r w:rsidR="0051572D" w:rsidRPr="007C4AF6">
        <w:rPr>
          <w:rFonts w:ascii="Arial" w:hAnsi="Arial" w:cs="Times New Roman"/>
          <w:sz w:val="24"/>
          <w:szCs w:val="24"/>
          <w:vertAlign w:val="superscript"/>
          <w:lang w:val="en-US"/>
        </w:rPr>
        <w:footnoteReference w:id="32"/>
      </w:r>
      <w:r w:rsidR="0051572D" w:rsidRPr="007C4AF6">
        <w:rPr>
          <w:rFonts w:ascii="Arial" w:hAnsi="Arial" w:cs="Arial"/>
          <w:sz w:val="24"/>
          <w:szCs w:val="24"/>
          <w:lang w:val="en-US"/>
        </w:rPr>
        <w:t xml:space="preserve"> specifying the reason for their dissatisfaction and requesting more clarifications. Over and above this request for more clarification, I interpose to mention that Hefer’s affidavit in paragraph 13 states as follows:</w:t>
      </w:r>
    </w:p>
    <w:p w:rsidR="0051572D" w:rsidRPr="007C4AF6" w:rsidRDefault="0051572D" w:rsidP="00C075F5">
      <w:pPr>
        <w:spacing w:after="0" w:line="360" w:lineRule="auto"/>
        <w:ind w:left="720" w:hanging="11"/>
        <w:jc w:val="both"/>
        <w:rPr>
          <w:rFonts w:ascii="Arial" w:hAnsi="Arial" w:cs="Arial"/>
          <w:lang w:val="en-US"/>
        </w:rPr>
      </w:pPr>
      <w:r w:rsidRPr="007C4AF6">
        <w:rPr>
          <w:rFonts w:ascii="Arial" w:hAnsi="Arial" w:cs="Arial"/>
          <w:lang w:val="en-US"/>
        </w:rPr>
        <w:t>“Before, I deal with the audit report, the LPC sub</w:t>
      </w:r>
      <w:r w:rsidR="00487706" w:rsidRPr="007C4AF6">
        <w:rPr>
          <w:rFonts w:ascii="Arial" w:hAnsi="Arial" w:cs="Arial"/>
          <w:lang w:val="en-US"/>
        </w:rPr>
        <w:t xml:space="preserve">mits that Mr. Cloete’s </w:t>
      </w:r>
      <w:r w:rsidRPr="007C4AF6">
        <w:rPr>
          <w:rFonts w:ascii="Arial" w:hAnsi="Arial" w:cs="Arial"/>
          <w:lang w:val="en-US"/>
        </w:rPr>
        <w:t>explanation is vague, if it is an explanation at all. It does not even pretend to make any attempt to truly explain what caused</w:t>
      </w:r>
      <w:r w:rsidR="00487706" w:rsidRPr="007C4AF6">
        <w:rPr>
          <w:rFonts w:ascii="Arial" w:hAnsi="Arial" w:cs="Arial"/>
          <w:lang w:val="en-US"/>
        </w:rPr>
        <w:t xml:space="preserve"> the trust accounts deficits of </w:t>
      </w:r>
      <w:r w:rsidRPr="007C4AF6">
        <w:rPr>
          <w:rFonts w:ascii="Arial" w:hAnsi="Arial" w:cs="Arial"/>
          <w:lang w:val="en-US"/>
        </w:rPr>
        <w:t>R403 139,63 between the trust account balances and the accounts records during the financial year ending 30 September 2022. It, with respect, will require the LPC to investigate the real cause of the trust deficit in Matsepes Inc. and similarly with the De Lange Attorneys in their deficit of R61 592,97.”</w:t>
      </w:r>
    </w:p>
    <w:p w:rsidR="004A08CD" w:rsidRPr="007C4AF6" w:rsidRDefault="004A08CD" w:rsidP="007C4AF6">
      <w:pPr>
        <w:spacing w:after="0" w:line="360" w:lineRule="auto"/>
        <w:ind w:left="720" w:firstLine="60"/>
        <w:jc w:val="both"/>
        <w:rPr>
          <w:rFonts w:ascii="Arial" w:hAnsi="Arial" w:cs="Arial"/>
          <w:lang w:val="en-US"/>
        </w:rPr>
      </w:pPr>
    </w:p>
    <w:p w:rsidR="0033760F" w:rsidRPr="007C4AF6" w:rsidRDefault="0053351E" w:rsidP="007C4AF6">
      <w:pPr>
        <w:spacing w:after="0" w:line="360" w:lineRule="auto"/>
        <w:ind w:left="720" w:hanging="720"/>
        <w:jc w:val="both"/>
        <w:rPr>
          <w:rFonts w:ascii="Arial" w:hAnsi="Arial" w:cs="Arial"/>
          <w:sz w:val="24"/>
          <w:szCs w:val="24"/>
          <w:lang w:val="en-US"/>
        </w:rPr>
      </w:pPr>
      <w:r w:rsidRPr="007C4AF6">
        <w:rPr>
          <w:rFonts w:ascii="Arial" w:hAnsi="Arial" w:cs="Arial"/>
          <w:lang w:val="en-US"/>
        </w:rPr>
        <w:t>[45</w:t>
      </w:r>
      <w:r w:rsidR="00487706" w:rsidRPr="007C4AF6">
        <w:rPr>
          <w:rFonts w:ascii="Arial" w:hAnsi="Arial" w:cs="Arial"/>
          <w:lang w:val="en-US"/>
        </w:rPr>
        <w:t>]</w:t>
      </w:r>
      <w:r w:rsidR="00487706" w:rsidRPr="007C4AF6">
        <w:rPr>
          <w:rFonts w:ascii="Arial" w:hAnsi="Arial" w:cs="Arial"/>
          <w:lang w:val="en-US"/>
        </w:rPr>
        <w:tab/>
      </w:r>
      <w:r w:rsidR="0051572D" w:rsidRPr="007C4AF6">
        <w:rPr>
          <w:rFonts w:ascii="Arial" w:hAnsi="Arial" w:cs="Arial"/>
          <w:sz w:val="24"/>
          <w:szCs w:val="24"/>
          <w:lang w:val="en-US"/>
        </w:rPr>
        <w:t xml:space="preserve">In my view gleaned from the aforementioned </w:t>
      </w:r>
      <w:r w:rsidR="00487706" w:rsidRPr="007C4AF6">
        <w:rPr>
          <w:rFonts w:ascii="Arial" w:hAnsi="Arial" w:cs="Arial"/>
          <w:sz w:val="24"/>
          <w:szCs w:val="24"/>
          <w:lang w:val="en-US"/>
        </w:rPr>
        <w:t>correspondences, the</w:t>
      </w:r>
      <w:r w:rsidR="0051572D" w:rsidRPr="007C4AF6">
        <w:rPr>
          <w:rFonts w:ascii="Arial" w:hAnsi="Arial" w:cs="Arial"/>
          <w:sz w:val="24"/>
          <w:szCs w:val="24"/>
          <w:lang w:val="en-US"/>
        </w:rPr>
        <w:t xml:space="preserve"> </w:t>
      </w:r>
      <w:r w:rsidR="00140B8D" w:rsidRPr="007C4AF6">
        <w:rPr>
          <w:rFonts w:ascii="Arial" w:hAnsi="Arial" w:cs="Arial"/>
          <w:sz w:val="24"/>
          <w:szCs w:val="24"/>
          <w:lang w:val="en-US"/>
        </w:rPr>
        <w:t>LPC pertinently</w:t>
      </w:r>
      <w:r w:rsidR="0051572D" w:rsidRPr="007C4AF6">
        <w:rPr>
          <w:rFonts w:ascii="Arial" w:hAnsi="Arial" w:cs="Arial"/>
          <w:sz w:val="24"/>
          <w:szCs w:val="24"/>
          <w:lang w:val="en-US"/>
        </w:rPr>
        <w:t xml:space="preserve"> </w:t>
      </w:r>
      <w:r w:rsidR="00487706" w:rsidRPr="007C4AF6">
        <w:rPr>
          <w:rFonts w:ascii="Arial" w:hAnsi="Arial" w:cs="Arial"/>
          <w:sz w:val="24"/>
          <w:szCs w:val="24"/>
          <w:lang w:val="en-US"/>
        </w:rPr>
        <w:t>explained what should</w:t>
      </w:r>
      <w:r w:rsidR="0051572D" w:rsidRPr="007C4AF6">
        <w:rPr>
          <w:rFonts w:ascii="Arial" w:hAnsi="Arial" w:cs="Arial"/>
          <w:sz w:val="24"/>
          <w:szCs w:val="24"/>
          <w:lang w:val="en-US"/>
        </w:rPr>
        <w:t xml:space="preserve"> be explicated by the applicants through their</w:t>
      </w:r>
      <w:r w:rsidR="00487706" w:rsidRPr="007C4AF6">
        <w:rPr>
          <w:rFonts w:ascii="Arial" w:hAnsi="Arial" w:cs="Arial"/>
          <w:sz w:val="24"/>
          <w:szCs w:val="24"/>
          <w:lang w:val="en-US"/>
        </w:rPr>
        <w:t xml:space="preserve"> </w:t>
      </w:r>
      <w:r w:rsidR="00261ED6">
        <w:rPr>
          <w:rFonts w:ascii="Arial" w:hAnsi="Arial" w:cs="Arial"/>
          <w:sz w:val="24"/>
          <w:szCs w:val="24"/>
          <w:lang w:val="en-US"/>
        </w:rPr>
        <w:t xml:space="preserve">affidavits as required by rule </w:t>
      </w:r>
      <w:r w:rsidR="0051572D" w:rsidRPr="007C4AF6">
        <w:rPr>
          <w:rFonts w:ascii="Arial" w:hAnsi="Arial" w:cs="Arial"/>
          <w:sz w:val="24"/>
          <w:szCs w:val="24"/>
          <w:lang w:val="en-US"/>
        </w:rPr>
        <w:t xml:space="preserve">54.30. </w:t>
      </w:r>
      <w:r w:rsidR="00261ED6">
        <w:rPr>
          <w:rFonts w:ascii="Arial" w:hAnsi="Arial" w:cs="Arial"/>
          <w:sz w:val="24"/>
          <w:szCs w:val="24"/>
          <w:lang w:val="en-US"/>
        </w:rPr>
        <w:t xml:space="preserve">The argument by the applicants to the effect </w:t>
      </w:r>
      <w:r w:rsidR="00261ED6">
        <w:rPr>
          <w:rFonts w:ascii="Arial" w:hAnsi="Arial" w:cs="Arial"/>
          <w:sz w:val="24"/>
          <w:szCs w:val="24"/>
          <w:lang w:val="en-US"/>
        </w:rPr>
        <w:lastRenderedPageBreak/>
        <w:t>that they were not given audience</w:t>
      </w:r>
      <w:r w:rsidR="0051572D" w:rsidRPr="007C4AF6">
        <w:rPr>
          <w:rFonts w:ascii="Arial" w:hAnsi="Arial" w:cs="Arial"/>
          <w:sz w:val="24"/>
          <w:szCs w:val="24"/>
          <w:lang w:val="en-US"/>
        </w:rPr>
        <w:t xml:space="preserve"> after submitting their affidavits</w:t>
      </w:r>
      <w:r w:rsidR="00261ED6">
        <w:rPr>
          <w:rFonts w:ascii="Arial" w:hAnsi="Arial" w:cs="Arial"/>
          <w:sz w:val="24"/>
          <w:szCs w:val="24"/>
          <w:lang w:val="en-US"/>
        </w:rPr>
        <w:t xml:space="preserve"> instead</w:t>
      </w:r>
      <w:r w:rsidR="0029025F" w:rsidRPr="007C4AF6">
        <w:rPr>
          <w:rFonts w:ascii="Arial" w:hAnsi="Arial" w:cs="Arial"/>
          <w:sz w:val="24"/>
          <w:szCs w:val="24"/>
          <w:lang w:val="en-US"/>
        </w:rPr>
        <w:t xml:space="preserve"> the LPC</w:t>
      </w:r>
      <w:r w:rsidR="00261ED6">
        <w:rPr>
          <w:rFonts w:ascii="Arial" w:hAnsi="Arial" w:cs="Arial"/>
          <w:sz w:val="24"/>
          <w:szCs w:val="24"/>
          <w:lang w:val="en-US"/>
        </w:rPr>
        <w:t xml:space="preserve"> just</w:t>
      </w:r>
      <w:r w:rsidR="0029025F" w:rsidRPr="007C4AF6">
        <w:rPr>
          <w:rFonts w:ascii="Arial" w:hAnsi="Arial" w:cs="Arial"/>
          <w:sz w:val="24"/>
          <w:szCs w:val="24"/>
          <w:lang w:val="en-US"/>
        </w:rPr>
        <w:t xml:space="preserve"> </w:t>
      </w:r>
      <w:r w:rsidR="00261ED6">
        <w:rPr>
          <w:rFonts w:ascii="Arial" w:hAnsi="Arial" w:cs="Arial"/>
          <w:sz w:val="24"/>
          <w:szCs w:val="24"/>
          <w:lang w:val="en-US"/>
        </w:rPr>
        <w:t>took a decision</w:t>
      </w:r>
      <w:r w:rsidR="0051572D" w:rsidRPr="007C4AF6">
        <w:rPr>
          <w:rFonts w:ascii="Arial" w:hAnsi="Arial" w:cs="Arial"/>
          <w:sz w:val="24"/>
          <w:szCs w:val="24"/>
          <w:lang w:val="en-US"/>
        </w:rPr>
        <w:t xml:space="preserve"> not to iss</w:t>
      </w:r>
      <w:r w:rsidR="00261ED6">
        <w:rPr>
          <w:rFonts w:ascii="Arial" w:hAnsi="Arial" w:cs="Arial"/>
          <w:sz w:val="24"/>
          <w:szCs w:val="24"/>
          <w:lang w:val="en-US"/>
        </w:rPr>
        <w:t>ue them with the Fidelity Fund Certificate</w:t>
      </w:r>
      <w:r w:rsidR="0051572D" w:rsidRPr="007C4AF6">
        <w:rPr>
          <w:rFonts w:ascii="Arial" w:hAnsi="Arial" w:cs="Arial"/>
          <w:sz w:val="24"/>
          <w:szCs w:val="24"/>
          <w:lang w:val="en-US"/>
        </w:rPr>
        <w:t xml:space="preserve"> can only find favor if the three affidavits</w:t>
      </w:r>
      <w:r w:rsidR="0051572D" w:rsidRPr="007C4AF6">
        <w:rPr>
          <w:rFonts w:ascii="Arial" w:hAnsi="Arial" w:cs="Times New Roman"/>
          <w:sz w:val="24"/>
          <w:szCs w:val="24"/>
          <w:vertAlign w:val="superscript"/>
          <w:lang w:val="en-US"/>
        </w:rPr>
        <w:footnoteReference w:id="33"/>
      </w:r>
      <w:r w:rsidR="00EB37F4" w:rsidRPr="007C4AF6">
        <w:rPr>
          <w:rFonts w:ascii="Arial" w:hAnsi="Arial" w:cs="Arial"/>
          <w:sz w:val="24"/>
          <w:szCs w:val="24"/>
          <w:lang w:val="en-US"/>
        </w:rPr>
        <w:t xml:space="preserve"> </w:t>
      </w:r>
      <w:r w:rsidR="0051572D" w:rsidRPr="007C4AF6">
        <w:rPr>
          <w:rFonts w:ascii="Arial" w:hAnsi="Arial" w:cs="Arial"/>
          <w:sz w:val="24"/>
          <w:szCs w:val="24"/>
          <w:lang w:val="en-US"/>
        </w:rPr>
        <w:t>and the letter dated 4 December 2023 were the only corresp</w:t>
      </w:r>
      <w:r w:rsidR="00487706" w:rsidRPr="007C4AF6">
        <w:rPr>
          <w:rFonts w:ascii="Arial" w:hAnsi="Arial" w:cs="Arial"/>
          <w:sz w:val="24"/>
          <w:szCs w:val="24"/>
          <w:lang w:val="en-US"/>
        </w:rPr>
        <w:t xml:space="preserve">ondences between the applicants </w:t>
      </w:r>
      <w:r w:rsidR="0051572D" w:rsidRPr="007C4AF6">
        <w:rPr>
          <w:rFonts w:ascii="Arial" w:hAnsi="Arial" w:cs="Arial"/>
          <w:sz w:val="24"/>
          <w:szCs w:val="24"/>
          <w:lang w:val="en-US"/>
        </w:rPr>
        <w:t>and the LPC (being the adm</w:t>
      </w:r>
      <w:r w:rsidR="00F32BC2" w:rsidRPr="007C4AF6">
        <w:rPr>
          <w:rFonts w:ascii="Arial" w:hAnsi="Arial" w:cs="Arial"/>
          <w:sz w:val="24"/>
          <w:szCs w:val="24"/>
          <w:lang w:val="en-US"/>
        </w:rPr>
        <w:t xml:space="preserve">inistrator in this instance). </w:t>
      </w:r>
      <w:r w:rsidR="0051572D" w:rsidRPr="007C4AF6">
        <w:rPr>
          <w:rFonts w:ascii="Arial" w:hAnsi="Arial" w:cs="Arial"/>
          <w:sz w:val="24"/>
          <w:szCs w:val="24"/>
          <w:lang w:val="en-US"/>
        </w:rPr>
        <w:t>I also deem it necessary to reiterate that</w:t>
      </w:r>
      <w:r w:rsidR="00EC49E9" w:rsidRPr="007C4AF6">
        <w:rPr>
          <w:rFonts w:ascii="Arial" w:hAnsi="Arial" w:cs="Arial"/>
          <w:sz w:val="24"/>
          <w:szCs w:val="24"/>
          <w:lang w:val="en-US"/>
        </w:rPr>
        <w:t xml:space="preserve"> I am satisfied that</w:t>
      </w:r>
      <w:r w:rsidR="0051572D" w:rsidRPr="007C4AF6">
        <w:rPr>
          <w:rFonts w:ascii="Arial" w:hAnsi="Arial" w:cs="Arial"/>
          <w:sz w:val="24"/>
          <w:szCs w:val="24"/>
          <w:lang w:val="en-US"/>
        </w:rPr>
        <w:t xml:space="preserve"> the letter </w:t>
      </w:r>
      <w:r w:rsidR="0050432B" w:rsidRPr="007C4AF6">
        <w:rPr>
          <w:rFonts w:ascii="Arial" w:hAnsi="Arial" w:cs="Arial"/>
          <w:sz w:val="24"/>
          <w:szCs w:val="24"/>
          <w:lang w:val="en-US"/>
        </w:rPr>
        <w:t xml:space="preserve">succinctly </w:t>
      </w:r>
      <w:r w:rsidR="0051572D" w:rsidRPr="007C4AF6">
        <w:rPr>
          <w:rFonts w:ascii="Arial" w:hAnsi="Arial" w:cs="Arial"/>
          <w:sz w:val="24"/>
          <w:szCs w:val="24"/>
          <w:lang w:val="en-US"/>
        </w:rPr>
        <w:t>explains why</w:t>
      </w:r>
      <w:r w:rsidR="00F0607E" w:rsidRPr="007C4AF6">
        <w:rPr>
          <w:rFonts w:ascii="Arial" w:hAnsi="Arial" w:cs="Arial"/>
          <w:sz w:val="24"/>
          <w:szCs w:val="24"/>
          <w:lang w:val="en-US"/>
        </w:rPr>
        <w:t xml:space="preserve"> the </w:t>
      </w:r>
      <w:r w:rsidR="0051572D" w:rsidRPr="007C4AF6">
        <w:rPr>
          <w:rFonts w:ascii="Arial" w:hAnsi="Arial" w:cs="Arial"/>
          <w:sz w:val="24"/>
          <w:szCs w:val="24"/>
          <w:lang w:val="en-US"/>
        </w:rPr>
        <w:t>Fidelity Fund certif</w:t>
      </w:r>
      <w:r w:rsidR="00487706" w:rsidRPr="007C4AF6">
        <w:rPr>
          <w:rFonts w:ascii="Arial" w:hAnsi="Arial" w:cs="Arial"/>
          <w:sz w:val="24"/>
          <w:szCs w:val="24"/>
          <w:lang w:val="en-US"/>
        </w:rPr>
        <w:t xml:space="preserve">icate could not be issued and </w:t>
      </w:r>
      <w:r w:rsidR="0051572D" w:rsidRPr="007C4AF6">
        <w:rPr>
          <w:rFonts w:ascii="Arial" w:hAnsi="Arial" w:cs="Arial"/>
          <w:sz w:val="24"/>
          <w:szCs w:val="24"/>
          <w:lang w:val="en-US"/>
        </w:rPr>
        <w:t>why further investigations will be conducted by the council. I am not oblivious of the fact that the</w:t>
      </w:r>
      <w:r w:rsidR="00EC49E9" w:rsidRPr="007C4AF6">
        <w:rPr>
          <w:rFonts w:ascii="Arial" w:hAnsi="Arial" w:cs="Arial"/>
          <w:sz w:val="24"/>
          <w:szCs w:val="24"/>
          <w:lang w:val="en-US"/>
        </w:rPr>
        <w:t xml:space="preserve"> administ</w:t>
      </w:r>
      <w:r w:rsidR="0029025F" w:rsidRPr="007C4AF6">
        <w:rPr>
          <w:rFonts w:ascii="Arial" w:hAnsi="Arial" w:cs="Arial"/>
          <w:sz w:val="24"/>
          <w:szCs w:val="24"/>
          <w:lang w:val="en-US"/>
        </w:rPr>
        <w:t>rative decision was taken on</w:t>
      </w:r>
      <w:r w:rsidR="0051572D" w:rsidRPr="007C4AF6">
        <w:rPr>
          <w:rFonts w:ascii="Arial" w:hAnsi="Arial" w:cs="Arial"/>
          <w:sz w:val="24"/>
          <w:szCs w:val="24"/>
          <w:lang w:val="en-US"/>
        </w:rPr>
        <w:t xml:space="preserve"> 4 December 2023</w:t>
      </w:r>
      <w:r w:rsidR="00EC49E9" w:rsidRPr="007C4AF6">
        <w:rPr>
          <w:rFonts w:ascii="Arial" w:hAnsi="Arial" w:cs="Arial"/>
          <w:sz w:val="24"/>
          <w:szCs w:val="24"/>
          <w:lang w:val="en-US"/>
        </w:rPr>
        <w:t>. I</w:t>
      </w:r>
      <w:r w:rsidR="0051572D" w:rsidRPr="007C4AF6">
        <w:rPr>
          <w:rFonts w:ascii="Arial" w:hAnsi="Arial" w:cs="Arial"/>
          <w:sz w:val="24"/>
          <w:szCs w:val="24"/>
          <w:lang w:val="en-US"/>
        </w:rPr>
        <w:t>t is apposite to mention at this stage that the rest of the correspondences were dealing with the same subject matter emanating fr</w:t>
      </w:r>
      <w:r w:rsidR="005F2E72">
        <w:rPr>
          <w:rFonts w:ascii="Arial" w:hAnsi="Arial" w:cs="Arial"/>
          <w:sz w:val="24"/>
          <w:szCs w:val="24"/>
          <w:lang w:val="en-US"/>
        </w:rPr>
        <w:t>om the Newtons qualified findings</w:t>
      </w:r>
      <w:r w:rsidR="0051572D" w:rsidRPr="007C4AF6">
        <w:rPr>
          <w:rFonts w:ascii="Arial" w:hAnsi="Arial" w:cs="Arial"/>
          <w:sz w:val="24"/>
          <w:szCs w:val="24"/>
          <w:lang w:val="en-US"/>
        </w:rPr>
        <w:t xml:space="preserve">.  </w:t>
      </w:r>
    </w:p>
    <w:p w:rsidR="004A08CD" w:rsidRPr="007C4AF6" w:rsidRDefault="004A08CD" w:rsidP="007C4AF6">
      <w:pPr>
        <w:spacing w:after="0" w:line="360" w:lineRule="auto"/>
        <w:ind w:left="720" w:hanging="720"/>
        <w:jc w:val="both"/>
        <w:rPr>
          <w:rFonts w:ascii="Arial" w:hAnsi="Arial" w:cs="Arial"/>
          <w:sz w:val="24"/>
          <w:szCs w:val="24"/>
          <w:lang w:val="en-US"/>
        </w:rPr>
      </w:pPr>
    </w:p>
    <w:p w:rsidR="0070172A" w:rsidRPr="007C4AF6" w:rsidRDefault="00A939AB"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[46]</w:t>
      </w:r>
      <w:r w:rsidRPr="007C4AF6">
        <w:rPr>
          <w:rFonts w:ascii="Arial" w:hAnsi="Arial" w:cs="Arial"/>
          <w:sz w:val="24"/>
          <w:szCs w:val="24"/>
          <w:lang w:val="en-US"/>
        </w:rPr>
        <w:tab/>
      </w:r>
      <w:r w:rsidR="0033760F" w:rsidRPr="007C4AF6">
        <w:rPr>
          <w:rFonts w:ascii="Arial" w:hAnsi="Arial" w:cs="Arial"/>
          <w:sz w:val="24"/>
          <w:szCs w:val="24"/>
          <w:lang w:val="en-US"/>
        </w:rPr>
        <w:t>In my view the LPC’s administrative decision is buttressed by the preliminary report date</w:t>
      </w:r>
      <w:r w:rsidR="00F0607E" w:rsidRPr="007C4AF6">
        <w:rPr>
          <w:rFonts w:ascii="Arial" w:hAnsi="Arial" w:cs="Arial"/>
          <w:sz w:val="24"/>
          <w:szCs w:val="24"/>
          <w:lang w:val="en-US"/>
        </w:rPr>
        <w:t>d</w:t>
      </w:r>
      <w:r w:rsidR="0033760F" w:rsidRPr="007C4AF6">
        <w:rPr>
          <w:rFonts w:ascii="Arial" w:hAnsi="Arial" w:cs="Arial"/>
          <w:sz w:val="24"/>
          <w:szCs w:val="24"/>
          <w:lang w:val="en-US"/>
        </w:rPr>
        <w:t xml:space="preserve"> 22 January 2024 from Kotie Kruger</w:t>
      </w:r>
      <w:r w:rsidR="0033760F" w:rsidRPr="007C4AF6">
        <w:rPr>
          <w:rStyle w:val="FootnoteReference"/>
          <w:rFonts w:ascii="Arial" w:hAnsi="Arial" w:cs="Arial"/>
          <w:sz w:val="24"/>
          <w:szCs w:val="24"/>
          <w:lang w:val="en-US"/>
        </w:rPr>
        <w:footnoteReference w:id="34"/>
      </w:r>
      <w:r w:rsidR="0051572D" w:rsidRPr="007C4AF6">
        <w:rPr>
          <w:rFonts w:ascii="Arial" w:hAnsi="Arial" w:cs="Arial"/>
          <w:sz w:val="24"/>
          <w:szCs w:val="24"/>
          <w:lang w:val="en-US"/>
        </w:rPr>
        <w:t xml:space="preserve"> </w:t>
      </w:r>
      <w:r w:rsidR="0033760F" w:rsidRPr="007C4AF6">
        <w:rPr>
          <w:rFonts w:ascii="Arial" w:hAnsi="Arial" w:cs="Arial"/>
          <w:sz w:val="24"/>
          <w:szCs w:val="24"/>
          <w:lang w:val="en-US"/>
        </w:rPr>
        <w:t>calling for further requested documents.</w:t>
      </w:r>
      <w:r w:rsidR="0070172A" w:rsidRPr="007C4AF6">
        <w:rPr>
          <w:rFonts w:ascii="Arial" w:hAnsi="Arial" w:cs="Arial"/>
          <w:sz w:val="24"/>
          <w:szCs w:val="24"/>
          <w:lang w:val="en-US"/>
        </w:rPr>
        <w:t xml:space="preserve"> Perhaps it is necessary to mention inter alia in his conclusion Kotie Kruger in paragraph 4.2 says:</w:t>
      </w:r>
    </w:p>
    <w:p w:rsidR="0070172A" w:rsidRPr="007C4AF6" w:rsidRDefault="007C4AF6" w:rsidP="007C4AF6">
      <w:pPr>
        <w:spacing w:after="0" w:line="360" w:lineRule="auto"/>
        <w:ind w:left="1418" w:hanging="720"/>
        <w:jc w:val="both"/>
        <w:rPr>
          <w:rFonts w:ascii="Arial" w:hAnsi="Arial" w:cs="Arial"/>
          <w:lang w:val="en-US"/>
        </w:rPr>
      </w:pPr>
      <w:r w:rsidRPr="007C4AF6">
        <w:rPr>
          <w:rFonts w:ascii="Arial" w:hAnsi="Arial" w:cs="Arial"/>
          <w:lang w:val="en-US"/>
        </w:rPr>
        <w:t>“(i)</w:t>
      </w:r>
      <w:r w:rsidRPr="007C4AF6">
        <w:rPr>
          <w:rFonts w:ascii="Arial" w:hAnsi="Arial" w:cs="Arial"/>
          <w:lang w:val="en-US"/>
        </w:rPr>
        <w:tab/>
      </w:r>
      <w:r w:rsidR="0070172A" w:rsidRPr="007C4AF6">
        <w:rPr>
          <w:rFonts w:ascii="Arial" w:hAnsi="Arial" w:cs="Arial"/>
          <w:lang w:val="en-US"/>
        </w:rPr>
        <w:t>Limitation. No accounting records were maintained of</w:t>
      </w:r>
      <w:r w:rsidR="00653D72" w:rsidRPr="007C4AF6">
        <w:rPr>
          <w:rFonts w:ascii="Arial" w:hAnsi="Arial" w:cs="Arial"/>
          <w:lang w:val="en-US"/>
        </w:rPr>
        <w:t xml:space="preserve"> a bank account (</w:t>
      </w:r>
      <w:r w:rsidR="0070172A" w:rsidRPr="007C4AF6">
        <w:rPr>
          <w:rFonts w:ascii="Arial" w:hAnsi="Arial" w:cs="Arial"/>
          <w:lang w:val="en-US"/>
        </w:rPr>
        <w:t>Standard Bank Account).</w:t>
      </w:r>
    </w:p>
    <w:p w:rsidR="0070172A" w:rsidRPr="007B5185" w:rsidRDefault="007B5185" w:rsidP="007B5185">
      <w:pPr>
        <w:spacing w:after="0" w:line="360" w:lineRule="auto"/>
        <w:ind w:left="1418" w:hanging="720"/>
        <w:jc w:val="both"/>
        <w:rPr>
          <w:rFonts w:ascii="Arial" w:hAnsi="Arial" w:cs="Arial"/>
          <w:lang w:val="en-US"/>
        </w:rPr>
      </w:pPr>
      <w:r w:rsidRPr="007C4AF6">
        <w:rPr>
          <w:rFonts w:ascii="Arial" w:hAnsi="Arial" w:cs="Arial"/>
          <w:lang w:val="en-US"/>
        </w:rPr>
        <w:t>(ii)</w:t>
      </w:r>
      <w:r w:rsidRPr="007C4AF6">
        <w:rPr>
          <w:rFonts w:ascii="Arial" w:hAnsi="Arial" w:cs="Arial"/>
          <w:lang w:val="en-US"/>
        </w:rPr>
        <w:tab/>
      </w:r>
      <w:r w:rsidR="0070172A" w:rsidRPr="007B5185">
        <w:rPr>
          <w:rFonts w:ascii="Arial" w:hAnsi="Arial" w:cs="Arial"/>
          <w:lang w:val="en-US"/>
        </w:rPr>
        <w:t>No details of posting errors.</w:t>
      </w:r>
    </w:p>
    <w:p w:rsidR="0070172A" w:rsidRPr="007B5185" w:rsidRDefault="007B5185" w:rsidP="007B5185">
      <w:pPr>
        <w:spacing w:after="0" w:line="360" w:lineRule="auto"/>
        <w:ind w:left="1418" w:hanging="720"/>
        <w:jc w:val="both"/>
        <w:rPr>
          <w:rFonts w:ascii="Arial" w:hAnsi="Arial" w:cs="Arial"/>
          <w:lang w:val="en-US"/>
        </w:rPr>
      </w:pPr>
      <w:r w:rsidRPr="007C4AF6">
        <w:rPr>
          <w:rFonts w:ascii="Arial" w:hAnsi="Arial" w:cs="Arial"/>
          <w:lang w:val="en-US"/>
        </w:rPr>
        <w:t>(iii)</w:t>
      </w:r>
      <w:r w:rsidRPr="007C4AF6">
        <w:rPr>
          <w:rFonts w:ascii="Arial" w:hAnsi="Arial" w:cs="Arial"/>
          <w:lang w:val="en-US"/>
        </w:rPr>
        <w:tab/>
      </w:r>
      <w:r w:rsidR="0070172A" w:rsidRPr="007B5185">
        <w:rPr>
          <w:rFonts w:ascii="Arial" w:hAnsi="Arial" w:cs="Arial"/>
          <w:lang w:val="en-US"/>
        </w:rPr>
        <w:t xml:space="preserve">No details of transgressions referring to </w:t>
      </w:r>
      <w:r w:rsidR="00994188" w:rsidRPr="007B5185">
        <w:rPr>
          <w:rFonts w:ascii="Arial" w:hAnsi="Arial" w:cs="Arial"/>
          <w:lang w:val="en-US"/>
        </w:rPr>
        <w:t>transfers</w:t>
      </w:r>
      <w:r w:rsidR="0070172A" w:rsidRPr="007B5185">
        <w:rPr>
          <w:rFonts w:ascii="Arial" w:hAnsi="Arial" w:cs="Arial"/>
          <w:lang w:val="en-US"/>
        </w:rPr>
        <w:t xml:space="preserve"> from trust </w:t>
      </w:r>
    </w:p>
    <w:p w:rsidR="0070172A" w:rsidRPr="007C4AF6" w:rsidRDefault="0070172A" w:rsidP="007C4AF6">
      <w:pPr>
        <w:pStyle w:val="ListParagraph"/>
        <w:spacing w:after="0" w:line="360" w:lineRule="auto"/>
        <w:ind w:left="1418"/>
        <w:jc w:val="both"/>
        <w:rPr>
          <w:rFonts w:ascii="Arial" w:hAnsi="Arial" w:cs="Arial"/>
          <w:lang w:val="en-US"/>
        </w:rPr>
      </w:pPr>
      <w:r w:rsidRPr="007C4AF6">
        <w:rPr>
          <w:rFonts w:ascii="Arial" w:hAnsi="Arial" w:cs="Arial"/>
          <w:lang w:val="en-US"/>
        </w:rPr>
        <w:t>bank account to business bank account and withdrawals from trust banking account.</w:t>
      </w:r>
    </w:p>
    <w:p w:rsidR="00653D72" w:rsidRPr="007C4AF6" w:rsidRDefault="007C4AF6" w:rsidP="007C4AF6">
      <w:pPr>
        <w:spacing w:after="0" w:line="360" w:lineRule="auto"/>
        <w:ind w:left="1418" w:hanging="698"/>
        <w:jc w:val="both"/>
        <w:rPr>
          <w:rFonts w:ascii="Arial" w:hAnsi="Arial" w:cs="Arial"/>
          <w:lang w:val="en-US"/>
        </w:rPr>
      </w:pPr>
      <w:r w:rsidRPr="007C4AF6">
        <w:rPr>
          <w:rFonts w:ascii="Arial" w:hAnsi="Arial" w:cs="Arial"/>
          <w:lang w:val="en-US"/>
        </w:rPr>
        <w:t>(v)</w:t>
      </w:r>
      <w:r w:rsidRPr="007C4AF6">
        <w:rPr>
          <w:rFonts w:ascii="Arial" w:hAnsi="Arial" w:cs="Arial"/>
          <w:lang w:val="en-US"/>
        </w:rPr>
        <w:tab/>
      </w:r>
      <w:r w:rsidR="0070172A" w:rsidRPr="007C4AF6">
        <w:rPr>
          <w:rFonts w:ascii="Arial" w:hAnsi="Arial" w:cs="Arial"/>
          <w:lang w:val="en-US"/>
        </w:rPr>
        <w:t xml:space="preserve">No breaking down of R406,535.10 transferred to rectify the deficit as </w:t>
      </w:r>
      <w:r w:rsidR="00653D72" w:rsidRPr="007C4AF6">
        <w:rPr>
          <w:rFonts w:ascii="Arial" w:hAnsi="Arial" w:cs="Arial"/>
          <w:lang w:val="en-US"/>
        </w:rPr>
        <w:t>it appears that the deficit originated from a combination of posting errors and amounts erroneously transferred.</w:t>
      </w:r>
    </w:p>
    <w:p w:rsidR="00653D72" w:rsidRPr="007B5185" w:rsidRDefault="007B5185" w:rsidP="007B5185">
      <w:pPr>
        <w:spacing w:after="0" w:line="360" w:lineRule="auto"/>
        <w:ind w:left="1418" w:hanging="720"/>
        <w:jc w:val="both"/>
        <w:rPr>
          <w:rFonts w:ascii="Arial" w:hAnsi="Arial" w:cs="Arial"/>
          <w:lang w:val="en-US"/>
        </w:rPr>
      </w:pPr>
      <w:r w:rsidRPr="007C4AF6">
        <w:rPr>
          <w:rFonts w:ascii="Arial" w:hAnsi="Arial" w:cs="Arial"/>
          <w:lang w:val="en-US"/>
        </w:rPr>
        <w:t>(iv)</w:t>
      </w:r>
      <w:r w:rsidRPr="007C4AF6">
        <w:rPr>
          <w:rFonts w:ascii="Arial" w:hAnsi="Arial" w:cs="Arial"/>
          <w:lang w:val="en-US"/>
        </w:rPr>
        <w:tab/>
      </w:r>
      <w:r w:rsidR="00653D72" w:rsidRPr="007B5185">
        <w:rPr>
          <w:rFonts w:ascii="Arial" w:hAnsi="Arial" w:cs="Arial"/>
          <w:lang w:val="en-US"/>
        </w:rPr>
        <w:t>Not sure why posting errors have been corrected by transferring funds instead of adjusting journals.</w:t>
      </w:r>
      <w:r w:rsidR="007C4AF6" w:rsidRPr="007B5185">
        <w:rPr>
          <w:rFonts w:ascii="Arial" w:hAnsi="Arial" w:cs="Arial"/>
          <w:lang w:val="en-US"/>
        </w:rPr>
        <w:t>”</w:t>
      </w:r>
    </w:p>
    <w:p w:rsidR="004A08CD" w:rsidRPr="007C4AF6" w:rsidRDefault="004A08CD" w:rsidP="007C4AF6">
      <w:pPr>
        <w:pStyle w:val="ListParagraph"/>
        <w:spacing w:after="0" w:line="360" w:lineRule="auto"/>
        <w:ind w:left="2160"/>
        <w:jc w:val="both"/>
        <w:rPr>
          <w:rFonts w:ascii="Arial" w:hAnsi="Arial" w:cs="Arial"/>
          <w:sz w:val="24"/>
          <w:szCs w:val="24"/>
          <w:lang w:val="en-US"/>
        </w:rPr>
      </w:pPr>
    </w:p>
    <w:p w:rsidR="00653D72" w:rsidRPr="007C4AF6" w:rsidRDefault="00A939AB" w:rsidP="007C4AF6">
      <w:pPr>
        <w:spacing w:after="0" w:line="360" w:lineRule="auto"/>
        <w:jc w:val="both"/>
        <w:rPr>
          <w:rFonts w:ascii="Arial" w:hAnsi="Arial" w:cs="Arial"/>
          <w:sz w:val="24"/>
          <w:szCs w:val="24"/>
          <w:lang w:val="en-US"/>
        </w:rPr>
      </w:pPr>
      <w:r w:rsidRPr="007C4AF6">
        <w:rPr>
          <w:rFonts w:ascii="Arial" w:hAnsi="Arial" w:cs="Arial"/>
          <w:sz w:val="24"/>
          <w:szCs w:val="24"/>
          <w:lang w:val="en-US"/>
        </w:rPr>
        <w:t>[47]</w:t>
      </w:r>
      <w:r w:rsidRPr="007C4AF6">
        <w:rPr>
          <w:rFonts w:ascii="Arial" w:hAnsi="Arial" w:cs="Arial"/>
          <w:sz w:val="24"/>
          <w:szCs w:val="24"/>
          <w:lang w:val="en-US"/>
        </w:rPr>
        <w:tab/>
      </w:r>
      <w:r w:rsidR="00653D72" w:rsidRPr="007C4AF6">
        <w:rPr>
          <w:rFonts w:ascii="Arial" w:hAnsi="Arial" w:cs="Arial"/>
          <w:sz w:val="24"/>
          <w:szCs w:val="24"/>
          <w:lang w:val="en-US"/>
        </w:rPr>
        <w:t xml:space="preserve">It is axiomatic from the preliminary report that the </w:t>
      </w:r>
      <w:r w:rsidRPr="007C4AF6">
        <w:rPr>
          <w:rFonts w:ascii="Arial" w:hAnsi="Arial" w:cs="Arial"/>
          <w:sz w:val="24"/>
          <w:szCs w:val="24"/>
          <w:lang w:val="en-US"/>
        </w:rPr>
        <w:t>affidavits submitted by the</w:t>
      </w:r>
    </w:p>
    <w:p w:rsidR="00653D72" w:rsidRPr="007C4AF6" w:rsidRDefault="002E66DA" w:rsidP="007C4AF6">
      <w:pPr>
        <w:spacing w:after="0" w:line="360" w:lineRule="auto"/>
        <w:ind w:firstLine="720"/>
        <w:jc w:val="both"/>
        <w:rPr>
          <w:rFonts w:ascii="Arial" w:hAnsi="Arial" w:cs="Arial"/>
          <w:sz w:val="24"/>
          <w:szCs w:val="24"/>
          <w:lang w:val="en-US"/>
        </w:rPr>
      </w:pPr>
      <w:r w:rsidRPr="007C4AF6">
        <w:rPr>
          <w:rFonts w:ascii="Arial" w:hAnsi="Arial" w:cs="Arial"/>
          <w:sz w:val="24"/>
          <w:szCs w:val="24"/>
          <w:lang w:val="en-US"/>
        </w:rPr>
        <w:t>A</w:t>
      </w:r>
      <w:r w:rsidR="00653D72" w:rsidRPr="007C4AF6">
        <w:rPr>
          <w:rFonts w:ascii="Arial" w:hAnsi="Arial" w:cs="Arial"/>
          <w:sz w:val="24"/>
          <w:szCs w:val="24"/>
          <w:lang w:val="en-US"/>
        </w:rPr>
        <w:t>pplicants in terms of rule 54.30 fall short of adequately accounting</w:t>
      </w:r>
      <w:r w:rsidRPr="007C4AF6">
        <w:rPr>
          <w:rFonts w:ascii="Arial" w:hAnsi="Arial" w:cs="Arial"/>
          <w:sz w:val="24"/>
          <w:szCs w:val="24"/>
          <w:lang w:val="en-US"/>
        </w:rPr>
        <w:t xml:space="preserve"> for the</w:t>
      </w:r>
      <w:r w:rsidR="00653D72" w:rsidRPr="007C4AF6">
        <w:rPr>
          <w:rFonts w:ascii="Arial" w:hAnsi="Arial" w:cs="Arial"/>
          <w:sz w:val="24"/>
          <w:szCs w:val="24"/>
          <w:lang w:val="en-US"/>
        </w:rPr>
        <w:t xml:space="preserve"> </w:t>
      </w:r>
    </w:p>
    <w:p w:rsidR="00F250FA" w:rsidRPr="007C4AF6" w:rsidRDefault="002E66DA" w:rsidP="007C4AF6">
      <w:pPr>
        <w:spacing w:after="0" w:line="360" w:lineRule="auto"/>
        <w:ind w:firstLine="720"/>
        <w:jc w:val="both"/>
        <w:rPr>
          <w:rFonts w:ascii="Arial" w:hAnsi="Arial" w:cs="Arial"/>
          <w:sz w:val="24"/>
          <w:szCs w:val="24"/>
          <w:lang w:val="en-US"/>
        </w:rPr>
      </w:pPr>
      <w:r w:rsidRPr="007C4AF6">
        <w:rPr>
          <w:rFonts w:ascii="Arial" w:hAnsi="Arial" w:cs="Arial"/>
          <w:sz w:val="24"/>
          <w:szCs w:val="24"/>
          <w:lang w:val="en-US"/>
        </w:rPr>
        <w:t>transgressions</w:t>
      </w:r>
      <w:r w:rsidR="00653D72" w:rsidRPr="007C4AF6">
        <w:rPr>
          <w:rFonts w:ascii="Arial" w:hAnsi="Arial" w:cs="Arial"/>
          <w:sz w:val="24"/>
          <w:szCs w:val="24"/>
          <w:lang w:val="en-US"/>
        </w:rPr>
        <w:t>.</w:t>
      </w:r>
    </w:p>
    <w:p w:rsidR="004A08CD" w:rsidRPr="007C4AF6" w:rsidRDefault="004A08CD" w:rsidP="007C4AF6">
      <w:pPr>
        <w:spacing w:after="0" w:line="360" w:lineRule="auto"/>
        <w:ind w:firstLine="720"/>
        <w:jc w:val="both"/>
        <w:rPr>
          <w:rFonts w:ascii="Arial" w:hAnsi="Arial" w:cs="Arial"/>
          <w:sz w:val="24"/>
          <w:szCs w:val="24"/>
          <w:lang w:val="en-US"/>
        </w:rPr>
      </w:pPr>
    </w:p>
    <w:p w:rsidR="00184151" w:rsidRPr="007C4AF6" w:rsidRDefault="00A939AB"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lastRenderedPageBreak/>
        <w:t>[48]</w:t>
      </w:r>
      <w:r w:rsidRPr="007C4AF6">
        <w:rPr>
          <w:rFonts w:ascii="Arial" w:hAnsi="Arial" w:cs="Arial"/>
          <w:sz w:val="24"/>
          <w:szCs w:val="24"/>
          <w:lang w:val="en-US"/>
        </w:rPr>
        <w:tab/>
      </w:r>
      <w:r w:rsidR="004D13B4" w:rsidRPr="007C4AF6">
        <w:rPr>
          <w:rFonts w:ascii="Arial" w:hAnsi="Arial" w:cs="Arial"/>
          <w:sz w:val="24"/>
          <w:szCs w:val="24"/>
          <w:lang w:val="en-US"/>
        </w:rPr>
        <w:t>The submission by t</w:t>
      </w:r>
      <w:r w:rsidR="00F32BC2" w:rsidRPr="007C4AF6">
        <w:rPr>
          <w:rFonts w:ascii="Arial" w:hAnsi="Arial" w:cs="Arial"/>
          <w:sz w:val="24"/>
          <w:szCs w:val="24"/>
          <w:lang w:val="en-US"/>
        </w:rPr>
        <w:t>he applicants that</w:t>
      </w:r>
      <w:r w:rsidR="004D13B4" w:rsidRPr="007C4AF6">
        <w:rPr>
          <w:rFonts w:ascii="Arial" w:hAnsi="Arial" w:cs="Arial"/>
          <w:sz w:val="24"/>
          <w:szCs w:val="24"/>
          <w:lang w:val="en-US"/>
        </w:rPr>
        <w:t xml:space="preserve"> the</w:t>
      </w:r>
      <w:r w:rsidR="00F32BC2" w:rsidRPr="007C4AF6">
        <w:rPr>
          <w:rFonts w:ascii="Arial" w:hAnsi="Arial" w:cs="Arial"/>
          <w:sz w:val="24"/>
          <w:szCs w:val="24"/>
          <w:lang w:val="en-US"/>
        </w:rPr>
        <w:t xml:space="preserve">re is no misappropriation and that </w:t>
      </w:r>
      <w:r w:rsidR="004D13B4" w:rsidRPr="007C4AF6">
        <w:rPr>
          <w:rFonts w:ascii="Arial" w:hAnsi="Arial" w:cs="Arial"/>
          <w:sz w:val="24"/>
          <w:szCs w:val="24"/>
          <w:lang w:val="en-US"/>
        </w:rPr>
        <w:t>money has been paid</w:t>
      </w:r>
      <w:r w:rsidR="002E71A9" w:rsidRPr="007C4AF6">
        <w:rPr>
          <w:rFonts w:ascii="Arial" w:hAnsi="Arial" w:cs="Arial"/>
          <w:sz w:val="24"/>
          <w:szCs w:val="24"/>
          <w:lang w:val="en-US"/>
        </w:rPr>
        <w:t xml:space="preserve"> back into the trust account therefore</w:t>
      </w:r>
      <w:r w:rsidR="004D13B4" w:rsidRPr="007C4AF6">
        <w:rPr>
          <w:rFonts w:ascii="Arial" w:hAnsi="Arial" w:cs="Arial"/>
          <w:sz w:val="24"/>
          <w:szCs w:val="24"/>
          <w:lang w:val="en-US"/>
        </w:rPr>
        <w:t xml:space="preserve"> by that conduct, ipso facto, entitles them to be issued with the Fidelity Fund Certificate while the process of investigation </w:t>
      </w:r>
      <w:r w:rsidR="002E71A9" w:rsidRPr="007C4AF6">
        <w:rPr>
          <w:rFonts w:ascii="Arial" w:hAnsi="Arial" w:cs="Arial"/>
          <w:sz w:val="24"/>
          <w:szCs w:val="24"/>
          <w:lang w:val="en-US"/>
        </w:rPr>
        <w:t>was under way is misplaced</w:t>
      </w:r>
      <w:r w:rsidR="004D13B4" w:rsidRPr="007C4AF6">
        <w:rPr>
          <w:rFonts w:ascii="Arial" w:hAnsi="Arial" w:cs="Arial"/>
          <w:sz w:val="24"/>
          <w:szCs w:val="24"/>
          <w:lang w:val="en-US"/>
        </w:rPr>
        <w:t>.</w:t>
      </w:r>
      <w:r w:rsidR="002E66DA" w:rsidRPr="007C4AF6">
        <w:rPr>
          <w:rFonts w:ascii="Arial" w:hAnsi="Arial" w:cs="Arial"/>
          <w:sz w:val="24"/>
          <w:szCs w:val="24"/>
          <w:lang w:val="en-US"/>
        </w:rPr>
        <w:t xml:space="preserve"> </w:t>
      </w:r>
      <w:r w:rsidR="0067144A" w:rsidRPr="007C4AF6">
        <w:rPr>
          <w:rFonts w:ascii="Arial" w:hAnsi="Arial" w:cs="Arial"/>
          <w:sz w:val="24"/>
          <w:szCs w:val="24"/>
          <w:lang w:val="en-US"/>
        </w:rPr>
        <w:t xml:space="preserve"> In my view this argument loses sight of the fact that LPC as </w:t>
      </w:r>
      <w:r w:rsidR="0067144A" w:rsidRPr="007C4AF6">
        <w:rPr>
          <w:rFonts w:ascii="Arial" w:hAnsi="Arial" w:cs="Arial"/>
          <w:i/>
          <w:sz w:val="24"/>
          <w:szCs w:val="24"/>
          <w:lang w:val="en-US"/>
        </w:rPr>
        <w:t>custom morum</w:t>
      </w:r>
      <w:r w:rsidR="00653D72" w:rsidRPr="007C4AF6">
        <w:rPr>
          <w:rFonts w:ascii="Arial" w:hAnsi="Arial" w:cs="Arial"/>
          <w:i/>
          <w:sz w:val="24"/>
          <w:szCs w:val="24"/>
          <w:lang w:val="en-US"/>
        </w:rPr>
        <w:t xml:space="preserve"> </w:t>
      </w:r>
      <w:r w:rsidR="0067144A" w:rsidRPr="007C4AF6">
        <w:rPr>
          <w:rFonts w:ascii="Arial" w:hAnsi="Arial" w:cs="Arial"/>
          <w:sz w:val="24"/>
          <w:szCs w:val="24"/>
          <w:lang w:val="en-US"/>
        </w:rPr>
        <w:t>of the legal profession is duty bound to regulate the professional conduct of the legal practitioners so as to ensure accountable conduct</w:t>
      </w:r>
      <w:r w:rsidR="00600A50" w:rsidRPr="007C4AF6">
        <w:rPr>
          <w:rFonts w:ascii="Arial" w:hAnsi="Arial" w:cs="Arial"/>
          <w:sz w:val="24"/>
          <w:szCs w:val="24"/>
          <w:lang w:val="en-US"/>
        </w:rPr>
        <w:t xml:space="preserve">. It must protect the public interest and preserve the public trust in the legal profession by ensuring that the measures adopted by the Legislature in its wisdom to ensure that trust moneys and property </w:t>
      </w:r>
      <w:r w:rsidR="004F2563" w:rsidRPr="007C4AF6">
        <w:rPr>
          <w:rFonts w:ascii="Arial" w:hAnsi="Arial" w:cs="Arial"/>
          <w:sz w:val="24"/>
          <w:szCs w:val="24"/>
          <w:lang w:val="en-US"/>
        </w:rPr>
        <w:t xml:space="preserve">is </w:t>
      </w:r>
      <w:r w:rsidR="00600A50" w:rsidRPr="007C4AF6">
        <w:rPr>
          <w:rFonts w:ascii="Arial" w:hAnsi="Arial" w:cs="Arial"/>
          <w:sz w:val="24"/>
          <w:szCs w:val="24"/>
          <w:lang w:val="en-US"/>
        </w:rPr>
        <w:t>competently and professionally handled and the public</w:t>
      </w:r>
      <w:r w:rsidR="004F2563" w:rsidRPr="007C4AF6">
        <w:rPr>
          <w:rFonts w:ascii="Arial" w:hAnsi="Arial" w:cs="Arial"/>
          <w:sz w:val="24"/>
          <w:szCs w:val="24"/>
          <w:lang w:val="en-US"/>
        </w:rPr>
        <w:t xml:space="preserve"> is</w:t>
      </w:r>
      <w:r w:rsidR="004D13B4" w:rsidRPr="007C4AF6">
        <w:rPr>
          <w:rFonts w:ascii="Arial" w:hAnsi="Arial" w:cs="Arial"/>
          <w:sz w:val="24"/>
          <w:szCs w:val="24"/>
          <w:lang w:val="en-US"/>
        </w:rPr>
        <w:t xml:space="preserve"> protected and indemnified</w:t>
      </w:r>
      <w:r w:rsidR="004F2563" w:rsidRPr="007C4AF6">
        <w:rPr>
          <w:rFonts w:ascii="Arial" w:hAnsi="Arial" w:cs="Arial"/>
          <w:sz w:val="24"/>
          <w:szCs w:val="24"/>
          <w:lang w:val="en-US"/>
        </w:rPr>
        <w:t xml:space="preserve"> from theft thereof.</w:t>
      </w:r>
      <w:r w:rsidR="00184151" w:rsidRPr="007C4AF6">
        <w:rPr>
          <w:rFonts w:ascii="Arial" w:hAnsi="Arial" w:cs="Arial"/>
          <w:sz w:val="24"/>
          <w:szCs w:val="24"/>
          <w:lang w:val="en-US"/>
        </w:rPr>
        <w:t xml:space="preserve"> </w:t>
      </w:r>
    </w:p>
    <w:p w:rsidR="004A08CD" w:rsidRPr="007C4AF6" w:rsidRDefault="004A08CD" w:rsidP="007C4AF6">
      <w:pPr>
        <w:spacing w:after="0" w:line="360" w:lineRule="auto"/>
        <w:ind w:left="720" w:hanging="720"/>
        <w:jc w:val="both"/>
        <w:rPr>
          <w:rFonts w:ascii="Arial" w:hAnsi="Arial" w:cs="Arial"/>
          <w:sz w:val="24"/>
          <w:szCs w:val="24"/>
          <w:lang w:val="en-US"/>
        </w:rPr>
      </w:pPr>
    </w:p>
    <w:p w:rsidR="004F2563" w:rsidRPr="007C4AF6" w:rsidRDefault="00A939AB"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[49]</w:t>
      </w:r>
      <w:r w:rsidRPr="007C4AF6">
        <w:rPr>
          <w:rFonts w:ascii="Arial" w:hAnsi="Arial" w:cs="Arial"/>
          <w:sz w:val="24"/>
          <w:szCs w:val="24"/>
          <w:lang w:val="en-US"/>
        </w:rPr>
        <w:tab/>
      </w:r>
      <w:r w:rsidR="00184151" w:rsidRPr="007C4AF6">
        <w:rPr>
          <w:rFonts w:ascii="Arial" w:hAnsi="Arial" w:cs="Arial"/>
          <w:sz w:val="24"/>
          <w:szCs w:val="24"/>
          <w:lang w:val="en-US"/>
        </w:rPr>
        <w:t>I am also satisfied that the administrative decision taken by them on 4 December 2023 was regular and made in compliance with the principles of administrative law.</w:t>
      </w:r>
    </w:p>
    <w:p w:rsidR="004A08CD" w:rsidRPr="007C4AF6" w:rsidRDefault="004A08CD" w:rsidP="007C4AF6">
      <w:pPr>
        <w:spacing w:after="0" w:line="360" w:lineRule="auto"/>
        <w:ind w:left="720" w:hanging="720"/>
        <w:jc w:val="both"/>
        <w:rPr>
          <w:rFonts w:ascii="Arial" w:hAnsi="Arial" w:cs="Arial"/>
          <w:sz w:val="24"/>
          <w:szCs w:val="24"/>
          <w:lang w:val="en-US"/>
        </w:rPr>
      </w:pPr>
    </w:p>
    <w:p w:rsidR="004F2563" w:rsidRPr="007C4AF6" w:rsidRDefault="00184151"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[50</w:t>
      </w:r>
      <w:r w:rsidR="00A939AB" w:rsidRPr="007C4AF6">
        <w:rPr>
          <w:rFonts w:ascii="Arial" w:hAnsi="Arial" w:cs="Arial"/>
          <w:sz w:val="24"/>
          <w:szCs w:val="24"/>
          <w:lang w:val="en-US"/>
        </w:rPr>
        <w:t>]</w:t>
      </w:r>
      <w:r w:rsidR="00A939AB" w:rsidRPr="007C4AF6">
        <w:rPr>
          <w:rFonts w:ascii="Arial" w:hAnsi="Arial" w:cs="Arial"/>
          <w:sz w:val="24"/>
          <w:szCs w:val="24"/>
          <w:lang w:val="en-US"/>
        </w:rPr>
        <w:tab/>
      </w:r>
      <w:r w:rsidR="004F2563" w:rsidRPr="007C4AF6">
        <w:rPr>
          <w:rFonts w:ascii="Arial" w:hAnsi="Arial" w:cs="Arial"/>
          <w:sz w:val="24"/>
          <w:szCs w:val="24"/>
          <w:lang w:val="en-US"/>
        </w:rPr>
        <w:t xml:space="preserve">Molitsoane, J in Maree &amp; Bernard Attorneys case at paragraph 30 held that such </w:t>
      </w:r>
      <w:r w:rsidR="002E71A9" w:rsidRPr="007C4AF6">
        <w:rPr>
          <w:rFonts w:ascii="Arial" w:hAnsi="Arial" w:cs="Arial"/>
          <w:sz w:val="24"/>
          <w:szCs w:val="24"/>
          <w:lang w:val="en-US"/>
        </w:rPr>
        <w:t>deci</w:t>
      </w:r>
      <w:r w:rsidR="004F2563" w:rsidRPr="007C4AF6">
        <w:rPr>
          <w:rFonts w:ascii="Arial" w:hAnsi="Arial" w:cs="Arial"/>
          <w:sz w:val="24"/>
          <w:szCs w:val="24"/>
          <w:lang w:val="en-US"/>
        </w:rPr>
        <w:t xml:space="preserve">sions </w:t>
      </w:r>
      <w:r w:rsidR="00DE286D">
        <w:rPr>
          <w:rFonts w:ascii="Arial" w:hAnsi="Arial" w:cs="Arial"/>
          <w:sz w:val="24"/>
          <w:szCs w:val="24"/>
          <w:lang w:val="en-US"/>
        </w:rPr>
        <w:t>are not final in effect as the r</w:t>
      </w:r>
      <w:r w:rsidR="004F2563" w:rsidRPr="007C4AF6">
        <w:rPr>
          <w:rFonts w:ascii="Arial" w:hAnsi="Arial" w:cs="Arial"/>
          <w:sz w:val="24"/>
          <w:szCs w:val="24"/>
          <w:lang w:val="en-US"/>
        </w:rPr>
        <w:t xml:space="preserve">espondent can overturn its decision. </w:t>
      </w:r>
      <w:r w:rsidR="00A939AB" w:rsidRPr="007C4AF6">
        <w:rPr>
          <w:rFonts w:ascii="Arial" w:hAnsi="Arial" w:cs="Arial"/>
          <w:sz w:val="24"/>
          <w:szCs w:val="24"/>
          <w:lang w:val="en-US"/>
        </w:rPr>
        <w:t xml:space="preserve">I align </w:t>
      </w:r>
      <w:r w:rsidR="002E66DA" w:rsidRPr="007C4AF6">
        <w:rPr>
          <w:rFonts w:ascii="Arial" w:hAnsi="Arial" w:cs="Arial"/>
          <w:sz w:val="24"/>
          <w:szCs w:val="24"/>
          <w:lang w:val="en-US"/>
        </w:rPr>
        <w:t>myself with this finding. Additionally, i</w:t>
      </w:r>
      <w:r w:rsidR="004F2563" w:rsidRPr="007C4AF6">
        <w:rPr>
          <w:rFonts w:ascii="Arial" w:hAnsi="Arial" w:cs="Arial"/>
          <w:sz w:val="24"/>
          <w:szCs w:val="24"/>
          <w:lang w:val="en-US"/>
        </w:rPr>
        <w:t>n my view</w:t>
      </w:r>
      <w:r w:rsidR="002E66DA" w:rsidRPr="007C4AF6">
        <w:rPr>
          <w:rFonts w:ascii="Arial" w:hAnsi="Arial" w:cs="Arial"/>
          <w:sz w:val="24"/>
          <w:szCs w:val="24"/>
          <w:lang w:val="en-US"/>
        </w:rPr>
        <w:t xml:space="preserve"> </w:t>
      </w:r>
      <w:r w:rsidR="002E66DA" w:rsidRPr="007C4AF6">
        <w:rPr>
          <w:rFonts w:ascii="Arial" w:hAnsi="Arial" w:cs="Arial"/>
          <w:i/>
          <w:sz w:val="24"/>
          <w:szCs w:val="24"/>
          <w:lang w:val="en-US"/>
        </w:rPr>
        <w:t>in casu</w:t>
      </w:r>
      <w:r w:rsidR="004F2563" w:rsidRPr="007C4AF6">
        <w:rPr>
          <w:rFonts w:ascii="Arial" w:hAnsi="Arial" w:cs="Arial"/>
          <w:sz w:val="24"/>
          <w:szCs w:val="24"/>
          <w:lang w:val="en-US"/>
        </w:rPr>
        <w:t xml:space="preserve"> the</w:t>
      </w:r>
      <w:r w:rsidR="00DE286D">
        <w:rPr>
          <w:rFonts w:ascii="Arial" w:hAnsi="Arial" w:cs="Arial"/>
          <w:sz w:val="24"/>
          <w:szCs w:val="24"/>
          <w:lang w:val="en-US"/>
        </w:rPr>
        <w:t xml:space="preserve"> a</w:t>
      </w:r>
      <w:r w:rsidR="002E66DA" w:rsidRPr="007C4AF6">
        <w:rPr>
          <w:rFonts w:ascii="Arial" w:hAnsi="Arial" w:cs="Arial"/>
          <w:sz w:val="24"/>
          <w:szCs w:val="24"/>
          <w:lang w:val="en-US"/>
        </w:rPr>
        <w:t>pplicants</w:t>
      </w:r>
      <w:r w:rsidR="004F2563" w:rsidRPr="007C4AF6">
        <w:rPr>
          <w:rFonts w:ascii="Arial" w:hAnsi="Arial" w:cs="Arial"/>
          <w:sz w:val="24"/>
          <w:szCs w:val="24"/>
          <w:lang w:val="en-US"/>
        </w:rPr>
        <w:t xml:space="preserve"> are afforded an opportunity to give proper account</w:t>
      </w:r>
      <w:r w:rsidR="00A35777" w:rsidRPr="007C4AF6">
        <w:rPr>
          <w:rFonts w:ascii="Arial" w:hAnsi="Arial" w:cs="Arial"/>
          <w:sz w:val="24"/>
          <w:szCs w:val="24"/>
          <w:lang w:val="en-US"/>
        </w:rPr>
        <w:t xml:space="preserve"> of the transgressions and if the LPC is satisfied</w:t>
      </w:r>
      <w:r w:rsidR="00F0607E" w:rsidRPr="007C4AF6">
        <w:rPr>
          <w:rFonts w:ascii="Arial" w:hAnsi="Arial" w:cs="Arial"/>
          <w:sz w:val="24"/>
          <w:szCs w:val="24"/>
          <w:lang w:val="en-US"/>
        </w:rPr>
        <w:t xml:space="preserve"> with the explanation,</w:t>
      </w:r>
      <w:r w:rsidR="00A35777" w:rsidRPr="007C4AF6">
        <w:rPr>
          <w:rFonts w:ascii="Arial" w:hAnsi="Arial" w:cs="Arial"/>
          <w:sz w:val="24"/>
          <w:szCs w:val="24"/>
          <w:lang w:val="en-US"/>
        </w:rPr>
        <w:t xml:space="preserve"> it can overturn its decision by simply issuing the Fidelity Fund Certi</w:t>
      </w:r>
      <w:r w:rsidR="00001859" w:rsidRPr="007C4AF6">
        <w:rPr>
          <w:rFonts w:ascii="Arial" w:hAnsi="Arial" w:cs="Arial"/>
          <w:sz w:val="24"/>
          <w:szCs w:val="24"/>
          <w:lang w:val="en-US"/>
        </w:rPr>
        <w:t>ficate. This can only be achieved once the LPC is not prevented from carrying out its function</w:t>
      </w:r>
      <w:r w:rsidR="004D13B4" w:rsidRPr="007C4AF6">
        <w:rPr>
          <w:rFonts w:ascii="Arial" w:hAnsi="Arial" w:cs="Arial"/>
          <w:sz w:val="24"/>
          <w:szCs w:val="24"/>
          <w:lang w:val="en-US"/>
        </w:rPr>
        <w:t>s</w:t>
      </w:r>
      <w:r w:rsidR="00001859" w:rsidRPr="007C4AF6">
        <w:rPr>
          <w:rFonts w:ascii="Arial" w:hAnsi="Arial" w:cs="Arial"/>
          <w:sz w:val="24"/>
          <w:szCs w:val="24"/>
          <w:lang w:val="en-US"/>
        </w:rPr>
        <w:t xml:space="preserve"> as a statutory supervisor of the legal practitioners.</w:t>
      </w:r>
      <w:r w:rsidR="00E43175" w:rsidRPr="007C4AF6">
        <w:rPr>
          <w:rFonts w:ascii="Arial" w:hAnsi="Arial" w:cs="Arial"/>
          <w:sz w:val="24"/>
          <w:szCs w:val="24"/>
          <w:lang w:val="en-US"/>
        </w:rPr>
        <w:t xml:space="preserve"> </w:t>
      </w:r>
    </w:p>
    <w:p w:rsidR="007C4AF6" w:rsidRPr="007C4AF6" w:rsidRDefault="007C4AF6" w:rsidP="007C4AF6">
      <w:pPr>
        <w:spacing w:after="0" w:line="360" w:lineRule="auto"/>
        <w:ind w:left="720" w:hanging="720"/>
        <w:jc w:val="both"/>
        <w:rPr>
          <w:rFonts w:ascii="Arial" w:hAnsi="Arial" w:cs="Arial"/>
          <w:sz w:val="24"/>
          <w:szCs w:val="24"/>
          <w:lang w:val="en-US"/>
        </w:rPr>
      </w:pPr>
    </w:p>
    <w:p w:rsidR="002E66DA" w:rsidRPr="007C4AF6" w:rsidRDefault="00184151" w:rsidP="007C4AF6">
      <w:pPr>
        <w:spacing w:after="0" w:line="360" w:lineRule="auto"/>
        <w:ind w:left="720" w:hanging="720"/>
        <w:jc w:val="both"/>
        <w:rPr>
          <w:rFonts w:ascii="Arial" w:hAnsi="Arial" w:cs="Arial"/>
          <w:sz w:val="24"/>
          <w:szCs w:val="24"/>
          <w:lang w:val="en-US"/>
        </w:rPr>
      </w:pPr>
      <w:r w:rsidRPr="007C4AF6">
        <w:rPr>
          <w:rFonts w:ascii="Arial" w:hAnsi="Arial" w:cs="Arial"/>
          <w:sz w:val="24"/>
          <w:szCs w:val="24"/>
          <w:lang w:val="en-US"/>
        </w:rPr>
        <w:t>[51</w:t>
      </w:r>
      <w:r w:rsidR="00A939AB" w:rsidRPr="007C4AF6">
        <w:rPr>
          <w:rFonts w:ascii="Arial" w:hAnsi="Arial" w:cs="Arial"/>
          <w:sz w:val="24"/>
          <w:szCs w:val="24"/>
          <w:lang w:val="en-US"/>
        </w:rPr>
        <w:t>]</w:t>
      </w:r>
      <w:r w:rsidR="00A939AB" w:rsidRPr="007C4AF6">
        <w:rPr>
          <w:rFonts w:ascii="Arial" w:hAnsi="Arial" w:cs="Arial"/>
          <w:sz w:val="24"/>
          <w:szCs w:val="24"/>
          <w:lang w:val="en-US"/>
        </w:rPr>
        <w:tab/>
      </w:r>
      <w:r w:rsidR="002E66DA" w:rsidRPr="007C4AF6">
        <w:rPr>
          <w:rFonts w:ascii="Arial" w:hAnsi="Arial" w:cs="Arial"/>
          <w:sz w:val="24"/>
          <w:szCs w:val="24"/>
          <w:lang w:val="en-US"/>
        </w:rPr>
        <w:t xml:space="preserve">I am unable to agree with </w:t>
      </w:r>
      <w:r w:rsidR="00AA4444" w:rsidRPr="007C4AF6">
        <w:rPr>
          <w:rFonts w:ascii="Arial" w:hAnsi="Arial" w:cs="Arial"/>
          <w:sz w:val="24"/>
          <w:szCs w:val="24"/>
          <w:lang w:val="en-US"/>
        </w:rPr>
        <w:t xml:space="preserve">the </w:t>
      </w:r>
      <w:r w:rsidR="002E66DA" w:rsidRPr="007C4AF6">
        <w:rPr>
          <w:rFonts w:ascii="Arial" w:hAnsi="Arial" w:cs="Arial"/>
          <w:sz w:val="24"/>
          <w:szCs w:val="24"/>
          <w:lang w:val="en-US"/>
        </w:rPr>
        <w:t>applicants that they have made out a case for the relief sought</w:t>
      </w:r>
      <w:r w:rsidR="004D13B4" w:rsidRPr="007C4AF6">
        <w:rPr>
          <w:rFonts w:ascii="Arial" w:hAnsi="Arial" w:cs="Arial"/>
          <w:sz w:val="24"/>
          <w:szCs w:val="24"/>
          <w:lang w:val="en-US"/>
        </w:rPr>
        <w:t xml:space="preserve">. I </w:t>
      </w:r>
      <w:r w:rsidR="002E66DA" w:rsidRPr="007C4AF6">
        <w:rPr>
          <w:rFonts w:ascii="Arial" w:hAnsi="Arial" w:cs="Arial"/>
          <w:sz w:val="24"/>
          <w:szCs w:val="24"/>
          <w:lang w:val="en-US"/>
        </w:rPr>
        <w:t>thus accordingly order as follows:</w:t>
      </w:r>
    </w:p>
    <w:p w:rsidR="004A08CD" w:rsidRPr="007C4AF6" w:rsidRDefault="004A08CD" w:rsidP="007C4AF6">
      <w:pPr>
        <w:spacing w:after="0" w:line="360" w:lineRule="auto"/>
        <w:jc w:val="both"/>
        <w:rPr>
          <w:rFonts w:ascii="Arial" w:hAnsi="Arial" w:cs="Arial"/>
          <w:sz w:val="24"/>
          <w:szCs w:val="24"/>
          <w:lang w:val="en-US"/>
        </w:rPr>
      </w:pPr>
    </w:p>
    <w:p w:rsidR="002E66DA" w:rsidRDefault="00C041A4" w:rsidP="007C4AF6">
      <w:pPr>
        <w:spacing w:after="0" w:line="360" w:lineRule="auto"/>
        <w:jc w:val="both"/>
        <w:rPr>
          <w:rFonts w:ascii="Arial" w:hAnsi="Arial" w:cs="Arial"/>
          <w:b/>
          <w:sz w:val="24"/>
          <w:szCs w:val="24"/>
          <w:u w:val="single"/>
          <w:lang w:val="en-US"/>
        </w:rPr>
      </w:pPr>
      <w:r w:rsidRPr="00C041A4">
        <w:rPr>
          <w:rFonts w:ascii="Arial" w:hAnsi="Arial" w:cs="Arial"/>
          <w:b/>
          <w:sz w:val="24"/>
          <w:szCs w:val="24"/>
          <w:u w:val="single"/>
          <w:lang w:val="en-US"/>
        </w:rPr>
        <w:t>ORDER:</w:t>
      </w:r>
    </w:p>
    <w:p w:rsidR="00DE286D" w:rsidRPr="00C041A4" w:rsidRDefault="00DE286D" w:rsidP="007C4AF6">
      <w:pPr>
        <w:spacing w:after="0" w:line="360" w:lineRule="auto"/>
        <w:jc w:val="both"/>
        <w:rPr>
          <w:rFonts w:ascii="Arial" w:hAnsi="Arial" w:cs="Arial"/>
          <w:b/>
          <w:sz w:val="24"/>
          <w:szCs w:val="24"/>
          <w:u w:val="single"/>
          <w:lang w:val="en-US"/>
        </w:rPr>
      </w:pPr>
    </w:p>
    <w:p w:rsidR="00184151" w:rsidRPr="007C4AF6" w:rsidRDefault="00DE286D" w:rsidP="007C4AF6">
      <w:pPr>
        <w:spacing w:after="0" w:line="360" w:lineRule="auto"/>
        <w:jc w:val="both"/>
        <w:rPr>
          <w:rFonts w:ascii="Arial" w:hAnsi="Arial" w:cs="Arial"/>
          <w:sz w:val="24"/>
          <w:szCs w:val="24"/>
          <w:lang w:val="en-US"/>
        </w:rPr>
      </w:pPr>
      <w:r>
        <w:rPr>
          <w:rFonts w:ascii="Arial" w:hAnsi="Arial" w:cs="Arial"/>
          <w:sz w:val="24"/>
          <w:szCs w:val="24"/>
          <w:lang w:val="en-US"/>
        </w:rPr>
        <w:t xml:space="preserve">51.1 </w:t>
      </w:r>
      <w:r w:rsidR="007C4AF6" w:rsidRPr="007C4AF6">
        <w:rPr>
          <w:rFonts w:ascii="Arial" w:hAnsi="Arial" w:cs="Arial"/>
          <w:sz w:val="24"/>
          <w:szCs w:val="24"/>
          <w:lang w:val="en-US"/>
        </w:rPr>
        <w:tab/>
      </w:r>
      <w:r w:rsidR="00184151" w:rsidRPr="007C4AF6">
        <w:rPr>
          <w:rFonts w:ascii="Arial" w:hAnsi="Arial" w:cs="Arial"/>
          <w:sz w:val="24"/>
          <w:szCs w:val="24"/>
          <w:lang w:val="en-US"/>
        </w:rPr>
        <w:t>That the application for mandamus is dismissed with costs.</w:t>
      </w:r>
    </w:p>
    <w:p w:rsidR="00184151" w:rsidRPr="007C4AF6" w:rsidRDefault="00DE286D" w:rsidP="00C075F5">
      <w:pPr>
        <w:spacing w:after="0" w:line="360" w:lineRule="auto"/>
        <w:ind w:left="720" w:hanging="720"/>
        <w:jc w:val="both"/>
        <w:rPr>
          <w:rFonts w:ascii="Arial" w:hAnsi="Arial" w:cs="Arial"/>
          <w:sz w:val="24"/>
          <w:szCs w:val="24"/>
          <w:lang w:val="en-US"/>
        </w:rPr>
      </w:pPr>
      <w:r>
        <w:rPr>
          <w:rFonts w:ascii="Arial" w:hAnsi="Arial" w:cs="Arial"/>
          <w:sz w:val="24"/>
          <w:szCs w:val="24"/>
          <w:lang w:val="en-US"/>
        </w:rPr>
        <w:t>51.2</w:t>
      </w:r>
      <w:r w:rsidR="00A939AB" w:rsidRPr="007C4AF6">
        <w:rPr>
          <w:rFonts w:ascii="Arial" w:hAnsi="Arial" w:cs="Arial"/>
          <w:sz w:val="24"/>
          <w:szCs w:val="24"/>
          <w:lang w:val="en-US"/>
        </w:rPr>
        <w:tab/>
      </w:r>
      <w:r w:rsidR="00184151" w:rsidRPr="007C4AF6">
        <w:rPr>
          <w:rFonts w:ascii="Arial" w:hAnsi="Arial" w:cs="Arial"/>
          <w:sz w:val="24"/>
          <w:szCs w:val="24"/>
          <w:lang w:val="en-US"/>
        </w:rPr>
        <w:t xml:space="preserve">The Applicants are ordered to pay the costs of the application on an </w:t>
      </w:r>
      <w:r w:rsidR="00A939AB" w:rsidRPr="007C4AF6">
        <w:rPr>
          <w:rFonts w:ascii="Arial" w:hAnsi="Arial" w:cs="Arial"/>
          <w:sz w:val="24"/>
          <w:szCs w:val="24"/>
          <w:lang w:val="en-US"/>
        </w:rPr>
        <w:t>a</w:t>
      </w:r>
      <w:r w:rsidR="00184151" w:rsidRPr="007C4AF6">
        <w:rPr>
          <w:rFonts w:ascii="Arial" w:hAnsi="Arial" w:cs="Arial"/>
          <w:sz w:val="24"/>
          <w:szCs w:val="24"/>
          <w:lang w:val="en-US"/>
        </w:rPr>
        <w:t xml:space="preserve">ttorney and client scale jointly and severally, the one to pay the </w:t>
      </w:r>
      <w:r w:rsidR="00761EDB" w:rsidRPr="007C4AF6">
        <w:rPr>
          <w:rFonts w:ascii="Arial" w:hAnsi="Arial" w:cs="Arial"/>
          <w:sz w:val="24"/>
          <w:szCs w:val="24"/>
          <w:lang w:val="en-US"/>
        </w:rPr>
        <w:t>others</w:t>
      </w:r>
      <w:r w:rsidR="00184151" w:rsidRPr="007C4AF6">
        <w:rPr>
          <w:rFonts w:ascii="Arial" w:hAnsi="Arial" w:cs="Arial"/>
          <w:sz w:val="24"/>
          <w:szCs w:val="24"/>
          <w:lang w:val="en-US"/>
        </w:rPr>
        <w:t xml:space="preserve"> to be absolved.</w:t>
      </w:r>
    </w:p>
    <w:p w:rsidR="0051572D" w:rsidRPr="00653D72" w:rsidRDefault="0051572D" w:rsidP="00653D72">
      <w:pPr>
        <w:spacing w:line="360" w:lineRule="auto"/>
        <w:jc w:val="both"/>
        <w:rPr>
          <w:rFonts w:ascii="Arial" w:hAnsi="Arial" w:cs="Arial"/>
          <w:sz w:val="24"/>
          <w:szCs w:val="24"/>
          <w:lang w:val="en-US"/>
        </w:rPr>
      </w:pPr>
    </w:p>
    <w:p w:rsidR="0041759C" w:rsidRDefault="0041759C" w:rsidP="00EB37F4">
      <w:pPr>
        <w:pStyle w:val="Subsection"/>
        <w:spacing w:line="360" w:lineRule="auto"/>
        <w:ind w:left="0"/>
        <w:jc w:val="right"/>
        <w:rPr>
          <w:rFonts w:ascii="Arial" w:hAnsi="Arial" w:cs="Arial"/>
        </w:rPr>
      </w:pPr>
    </w:p>
    <w:p w:rsidR="00295285" w:rsidRPr="0041759C" w:rsidRDefault="00295285" w:rsidP="00A525C6">
      <w:pPr>
        <w:pStyle w:val="Subsection"/>
        <w:ind w:left="0"/>
        <w:jc w:val="right"/>
        <w:rPr>
          <w:rFonts w:ascii="Arial" w:hAnsi="Arial" w:cs="Arial"/>
          <w:b/>
        </w:rPr>
      </w:pPr>
      <w:r w:rsidRPr="0041759C">
        <w:rPr>
          <w:rFonts w:ascii="Arial" w:hAnsi="Arial" w:cs="Arial"/>
          <w:b/>
        </w:rPr>
        <w:t>__________________</w:t>
      </w:r>
    </w:p>
    <w:p w:rsidR="00295285" w:rsidRPr="00295285" w:rsidRDefault="00D200AD" w:rsidP="00A21F05">
      <w:pPr>
        <w:pStyle w:val="Subsection"/>
        <w:ind w:left="5040" w:firstLine="720"/>
        <w:jc w:val="center"/>
        <w:rPr>
          <w:rFonts w:ascii="Arial" w:hAnsi="Arial" w:cs="Arial"/>
          <w:b/>
        </w:rPr>
      </w:pPr>
      <w:r>
        <w:rPr>
          <w:rFonts w:ascii="Arial" w:hAnsi="Arial" w:cs="Arial"/>
          <w:b/>
        </w:rPr>
        <w:t xml:space="preserve">         </w:t>
      </w:r>
      <w:r w:rsidR="00140B8D">
        <w:rPr>
          <w:rFonts w:ascii="Arial" w:hAnsi="Arial" w:cs="Arial"/>
          <w:b/>
        </w:rPr>
        <w:t>S T</w:t>
      </w:r>
      <w:r w:rsidR="0053713E">
        <w:rPr>
          <w:rFonts w:ascii="Arial" w:hAnsi="Arial" w:cs="Arial"/>
          <w:b/>
        </w:rPr>
        <w:t xml:space="preserve"> MGUDLWA,</w:t>
      </w:r>
      <w:r w:rsidR="00295285" w:rsidRPr="00295285">
        <w:rPr>
          <w:rFonts w:ascii="Arial" w:hAnsi="Arial" w:cs="Arial"/>
          <w:b/>
        </w:rPr>
        <w:t xml:space="preserve"> AJ</w:t>
      </w:r>
    </w:p>
    <w:p w:rsidR="00102400" w:rsidRDefault="00102400" w:rsidP="00EB37F4">
      <w:pPr>
        <w:pStyle w:val="Subsection"/>
        <w:spacing w:line="360" w:lineRule="auto"/>
        <w:ind w:left="0"/>
        <w:jc w:val="both"/>
        <w:rPr>
          <w:rFonts w:ascii="Arial" w:hAnsi="Arial" w:cs="Arial"/>
        </w:rPr>
      </w:pPr>
    </w:p>
    <w:p w:rsidR="00A00CFB" w:rsidRDefault="00A00CFB" w:rsidP="00EB37F4">
      <w:pPr>
        <w:pStyle w:val="Subsection"/>
        <w:spacing w:line="360" w:lineRule="auto"/>
        <w:ind w:left="0"/>
        <w:jc w:val="both"/>
        <w:rPr>
          <w:rFonts w:ascii="Arial" w:hAnsi="Arial" w:cs="Arial"/>
        </w:rPr>
      </w:pPr>
    </w:p>
    <w:p w:rsidR="00E14C02" w:rsidRPr="006B2884" w:rsidRDefault="00E800E8" w:rsidP="00A525C6">
      <w:pPr>
        <w:pStyle w:val="Subsection"/>
        <w:ind w:left="0"/>
        <w:jc w:val="both"/>
        <w:rPr>
          <w:rFonts w:ascii="Arial" w:hAnsi="Arial" w:cs="Arial"/>
        </w:rPr>
      </w:pPr>
      <w:r>
        <w:rPr>
          <w:rFonts w:ascii="Arial" w:hAnsi="Arial" w:cs="Arial"/>
        </w:rPr>
        <w:t>On behalf of the Applicants</w:t>
      </w:r>
      <w:r w:rsidR="00882DE1" w:rsidRPr="006B2884">
        <w:rPr>
          <w:rFonts w:ascii="Arial" w:hAnsi="Arial" w:cs="Arial"/>
        </w:rPr>
        <w:t xml:space="preserve">: </w:t>
      </w:r>
      <w:r w:rsidR="00295285" w:rsidRPr="006B2884">
        <w:rPr>
          <w:rFonts w:ascii="Arial" w:hAnsi="Arial" w:cs="Arial"/>
        </w:rPr>
        <w:tab/>
      </w:r>
      <w:r w:rsidR="00551803">
        <w:rPr>
          <w:rFonts w:ascii="Arial" w:hAnsi="Arial" w:cs="Arial"/>
        </w:rPr>
        <w:t>Adv S Grobler</w:t>
      </w:r>
    </w:p>
    <w:p w:rsidR="00C539AF" w:rsidRPr="006B2884" w:rsidRDefault="00E14C02" w:rsidP="00A525C6">
      <w:pPr>
        <w:pStyle w:val="Subsection"/>
        <w:ind w:left="0"/>
        <w:jc w:val="both"/>
        <w:rPr>
          <w:rFonts w:ascii="Arial" w:hAnsi="Arial" w:cs="Arial"/>
        </w:rPr>
      </w:pPr>
      <w:r w:rsidRPr="006B2884">
        <w:rPr>
          <w:rFonts w:ascii="Arial" w:hAnsi="Arial" w:cs="Arial"/>
        </w:rPr>
        <w:t>Instructed by:</w:t>
      </w:r>
      <w:r w:rsidR="00882DE1" w:rsidRPr="006B2884">
        <w:rPr>
          <w:rFonts w:ascii="Arial" w:hAnsi="Arial" w:cs="Arial"/>
        </w:rPr>
        <w:t xml:space="preserve">  </w:t>
      </w:r>
      <w:r w:rsidR="00295285" w:rsidRPr="006B2884">
        <w:rPr>
          <w:rFonts w:ascii="Arial" w:hAnsi="Arial" w:cs="Arial"/>
        </w:rPr>
        <w:tab/>
      </w:r>
      <w:r w:rsidR="00295285" w:rsidRPr="006B2884">
        <w:rPr>
          <w:rFonts w:ascii="Arial" w:hAnsi="Arial" w:cs="Arial"/>
        </w:rPr>
        <w:tab/>
      </w:r>
      <w:r w:rsidR="00295285" w:rsidRPr="006B2884">
        <w:rPr>
          <w:rFonts w:ascii="Arial" w:hAnsi="Arial" w:cs="Arial"/>
        </w:rPr>
        <w:tab/>
      </w:r>
      <w:r w:rsidR="00551803">
        <w:rPr>
          <w:rFonts w:ascii="Arial" w:hAnsi="Arial" w:cs="Arial"/>
        </w:rPr>
        <w:t>Peyper Attorneys</w:t>
      </w:r>
      <w:r w:rsidR="00500E44" w:rsidRPr="006B2884">
        <w:rPr>
          <w:rFonts w:ascii="Arial" w:hAnsi="Arial" w:cs="Arial"/>
        </w:rPr>
        <w:t xml:space="preserve"> </w:t>
      </w:r>
    </w:p>
    <w:p w:rsidR="00C539AF" w:rsidRDefault="0041759C" w:rsidP="00A525C6">
      <w:pPr>
        <w:pStyle w:val="Subsection"/>
        <w:ind w:left="2880" w:firstLine="720"/>
        <w:jc w:val="both"/>
        <w:rPr>
          <w:rFonts w:ascii="Arial" w:hAnsi="Arial" w:cs="Arial"/>
        </w:rPr>
      </w:pPr>
      <w:r w:rsidRPr="006B2884">
        <w:rPr>
          <w:rFonts w:ascii="Arial" w:hAnsi="Arial" w:cs="Arial"/>
        </w:rPr>
        <w:t>BLOEMFONTEIN</w:t>
      </w:r>
    </w:p>
    <w:p w:rsidR="0041759C" w:rsidRDefault="0041759C" w:rsidP="00A525C6">
      <w:pPr>
        <w:pStyle w:val="Subsection"/>
        <w:ind w:left="0"/>
        <w:jc w:val="both"/>
        <w:rPr>
          <w:rFonts w:ascii="Arial" w:hAnsi="Arial" w:cs="Arial"/>
        </w:rPr>
      </w:pPr>
    </w:p>
    <w:p w:rsidR="00551803" w:rsidRPr="006B2884" w:rsidRDefault="00551803" w:rsidP="00A525C6">
      <w:pPr>
        <w:pStyle w:val="Subsection"/>
        <w:ind w:left="0"/>
        <w:jc w:val="both"/>
        <w:rPr>
          <w:rFonts w:ascii="Arial" w:hAnsi="Arial" w:cs="Arial"/>
        </w:rPr>
      </w:pPr>
    </w:p>
    <w:p w:rsidR="00C539AF" w:rsidRPr="006B2884" w:rsidRDefault="00C539AF" w:rsidP="00A525C6">
      <w:pPr>
        <w:pStyle w:val="Subsection"/>
        <w:ind w:left="0"/>
        <w:jc w:val="both"/>
        <w:rPr>
          <w:rFonts w:ascii="Arial" w:hAnsi="Arial" w:cs="Arial"/>
        </w:rPr>
      </w:pPr>
      <w:r w:rsidRPr="006B2884">
        <w:rPr>
          <w:rFonts w:ascii="Arial" w:hAnsi="Arial" w:cs="Arial"/>
        </w:rPr>
        <w:t xml:space="preserve">On </w:t>
      </w:r>
      <w:r w:rsidR="00E14C02" w:rsidRPr="006B2884">
        <w:rPr>
          <w:rFonts w:ascii="Arial" w:hAnsi="Arial" w:cs="Arial"/>
        </w:rPr>
        <w:t>beha</w:t>
      </w:r>
      <w:r w:rsidR="00E800E8">
        <w:rPr>
          <w:rFonts w:ascii="Arial" w:hAnsi="Arial" w:cs="Arial"/>
        </w:rPr>
        <w:t>lf of the Respondent</w:t>
      </w:r>
      <w:r w:rsidR="00882DE1" w:rsidRPr="006B2884">
        <w:rPr>
          <w:rFonts w:ascii="Arial" w:hAnsi="Arial" w:cs="Arial"/>
        </w:rPr>
        <w:t xml:space="preserve">: </w:t>
      </w:r>
      <w:r w:rsidR="00295285" w:rsidRPr="006B2884">
        <w:rPr>
          <w:rFonts w:ascii="Arial" w:hAnsi="Arial" w:cs="Arial"/>
        </w:rPr>
        <w:tab/>
      </w:r>
      <w:r w:rsidR="00551803">
        <w:rPr>
          <w:rFonts w:ascii="Arial" w:hAnsi="Arial" w:cs="Arial"/>
        </w:rPr>
        <w:t>Adv SL Mohapi</w:t>
      </w:r>
    </w:p>
    <w:p w:rsidR="004A08CD" w:rsidRDefault="00882DE1" w:rsidP="00A525C6">
      <w:pPr>
        <w:pStyle w:val="Subsection"/>
        <w:ind w:left="0"/>
        <w:jc w:val="both"/>
        <w:rPr>
          <w:rFonts w:ascii="Arial" w:hAnsi="Arial" w:cs="Arial"/>
        </w:rPr>
      </w:pPr>
      <w:r w:rsidRPr="006B2884">
        <w:rPr>
          <w:rFonts w:ascii="Arial" w:hAnsi="Arial" w:cs="Arial"/>
        </w:rPr>
        <w:t xml:space="preserve">Instructed by: </w:t>
      </w:r>
      <w:r w:rsidR="00295285" w:rsidRPr="006B2884">
        <w:rPr>
          <w:rFonts w:ascii="Arial" w:hAnsi="Arial" w:cs="Arial"/>
        </w:rPr>
        <w:tab/>
      </w:r>
      <w:r w:rsidR="00295285" w:rsidRPr="006B2884">
        <w:rPr>
          <w:rFonts w:ascii="Arial" w:hAnsi="Arial" w:cs="Arial"/>
        </w:rPr>
        <w:tab/>
      </w:r>
      <w:r w:rsidR="00295285" w:rsidRPr="006B2884">
        <w:rPr>
          <w:rFonts w:ascii="Arial" w:hAnsi="Arial" w:cs="Arial"/>
        </w:rPr>
        <w:tab/>
      </w:r>
      <w:r w:rsidR="00551803">
        <w:rPr>
          <w:rFonts w:ascii="Arial" w:hAnsi="Arial" w:cs="Arial"/>
        </w:rPr>
        <w:t>Amade &amp; Company Inc</w:t>
      </w:r>
    </w:p>
    <w:p w:rsidR="00E14C02" w:rsidRPr="004A08CD" w:rsidRDefault="0041759C" w:rsidP="00A525C6">
      <w:pPr>
        <w:pStyle w:val="Subsection"/>
        <w:ind w:left="2880" w:firstLine="720"/>
        <w:jc w:val="both"/>
        <w:rPr>
          <w:rFonts w:ascii="Arial" w:hAnsi="Arial" w:cs="Arial"/>
        </w:rPr>
      </w:pPr>
      <w:r w:rsidRPr="006B2884">
        <w:rPr>
          <w:rFonts w:ascii="Arial" w:hAnsi="Arial" w:cs="Arial"/>
        </w:rPr>
        <w:t>BLOEMFONTEIN</w:t>
      </w:r>
    </w:p>
    <w:sectPr w:rsidR="00E14C02" w:rsidRPr="004A08CD" w:rsidSect="0051572D">
      <w:headerReference w:type="default" r:id="rId12"/>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13" w:rsidRDefault="00783D13" w:rsidP="00D10F4C">
      <w:pPr>
        <w:spacing w:after="0" w:line="240" w:lineRule="auto"/>
      </w:pPr>
      <w:r>
        <w:separator/>
      </w:r>
    </w:p>
  </w:endnote>
  <w:endnote w:type="continuationSeparator" w:id="0">
    <w:p w:rsidR="00783D13" w:rsidRDefault="00783D13" w:rsidP="00D1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13" w:rsidRDefault="00783D13" w:rsidP="00D10F4C">
      <w:pPr>
        <w:spacing w:after="0" w:line="240" w:lineRule="auto"/>
      </w:pPr>
      <w:r>
        <w:separator/>
      </w:r>
    </w:p>
  </w:footnote>
  <w:footnote w:type="continuationSeparator" w:id="0">
    <w:p w:rsidR="00783D13" w:rsidRDefault="00783D13" w:rsidP="00D10F4C">
      <w:pPr>
        <w:spacing w:after="0" w:line="240" w:lineRule="auto"/>
      </w:pPr>
      <w:r>
        <w:continuationSeparator/>
      </w:r>
    </w:p>
  </w:footnote>
  <w:footnote w:id="1">
    <w:p w:rsidR="00DC1103" w:rsidRPr="004A08CD" w:rsidRDefault="00DC1103">
      <w:pPr>
        <w:pStyle w:val="FootnoteText"/>
        <w:rPr>
          <w:sz w:val="16"/>
          <w:szCs w:val="16"/>
        </w:rPr>
      </w:pPr>
      <w:r w:rsidRPr="004A08CD">
        <w:rPr>
          <w:rStyle w:val="FootnoteReference"/>
          <w:sz w:val="16"/>
          <w:szCs w:val="16"/>
        </w:rPr>
        <w:footnoteRef/>
      </w:r>
      <w:r w:rsidRPr="004A08CD">
        <w:rPr>
          <w:sz w:val="16"/>
          <w:szCs w:val="16"/>
        </w:rPr>
        <w:t xml:space="preserve"> Paul De Lange Founding Affidavit, page 10 of 25. Page 14 of the bundle.</w:t>
      </w:r>
    </w:p>
  </w:footnote>
  <w:footnote w:id="2">
    <w:p w:rsidR="0021173B" w:rsidRPr="004A08CD" w:rsidRDefault="0021173B">
      <w:pPr>
        <w:pStyle w:val="FootnoteText"/>
        <w:rPr>
          <w:sz w:val="16"/>
          <w:szCs w:val="16"/>
        </w:rPr>
      </w:pPr>
      <w:r w:rsidRPr="004A08CD">
        <w:rPr>
          <w:rStyle w:val="FootnoteReference"/>
          <w:sz w:val="16"/>
          <w:szCs w:val="16"/>
        </w:rPr>
        <w:footnoteRef/>
      </w:r>
      <w:r w:rsidRPr="004A08CD">
        <w:rPr>
          <w:sz w:val="16"/>
          <w:szCs w:val="16"/>
        </w:rPr>
        <w:t xml:space="preserve"> Attached as</w:t>
      </w:r>
      <w:r w:rsidR="004A08CD" w:rsidRPr="004A08CD">
        <w:rPr>
          <w:sz w:val="16"/>
          <w:szCs w:val="16"/>
        </w:rPr>
        <w:t xml:space="preserve"> PL1 (pages 30 to 35) and PL2 (</w:t>
      </w:r>
      <w:r w:rsidRPr="004A08CD">
        <w:rPr>
          <w:sz w:val="16"/>
          <w:szCs w:val="16"/>
        </w:rPr>
        <w:t xml:space="preserve">pages 36 to 41 of the bundle). </w:t>
      </w:r>
    </w:p>
  </w:footnote>
  <w:footnote w:id="3">
    <w:p w:rsidR="003D73B5" w:rsidRPr="004A08CD" w:rsidRDefault="001B0029">
      <w:pPr>
        <w:pStyle w:val="FootnoteText"/>
        <w:rPr>
          <w:sz w:val="16"/>
          <w:szCs w:val="16"/>
        </w:rPr>
      </w:pPr>
      <w:r w:rsidRPr="004A08CD">
        <w:rPr>
          <w:rStyle w:val="FootnoteReference"/>
          <w:sz w:val="16"/>
          <w:szCs w:val="16"/>
        </w:rPr>
        <w:footnoteRef/>
      </w:r>
      <w:r w:rsidRPr="004A08CD">
        <w:rPr>
          <w:sz w:val="16"/>
          <w:szCs w:val="16"/>
        </w:rPr>
        <w:t xml:space="preserve"> De Lange audit report found non-compliance with rule 54.6; 54.10; 54.14.7.1; 54.14.8</w:t>
      </w:r>
      <w:r w:rsidR="003D73B5" w:rsidRPr="004A08CD">
        <w:rPr>
          <w:sz w:val="16"/>
          <w:szCs w:val="16"/>
        </w:rPr>
        <w:t>; 54.14.12; 54.14.13</w:t>
      </w:r>
      <w:r w:rsidR="00F33B4F">
        <w:rPr>
          <w:sz w:val="16"/>
          <w:szCs w:val="16"/>
        </w:rPr>
        <w:t xml:space="preserve"> </w:t>
      </w:r>
      <w:r w:rsidRPr="004A08CD">
        <w:rPr>
          <w:sz w:val="16"/>
          <w:szCs w:val="16"/>
        </w:rPr>
        <w:t xml:space="preserve">and 54.24. </w:t>
      </w:r>
      <w:r w:rsidR="003D73B5" w:rsidRPr="004A08CD">
        <w:rPr>
          <w:sz w:val="16"/>
          <w:szCs w:val="16"/>
        </w:rPr>
        <w:t>Matsepe Inc. audit report found non-compliance with rule 54.6; 54.10; 54.14.7.1; 54.14.8; 54.14.12; 54.14.13 and 54.24</w:t>
      </w:r>
      <w:r w:rsidR="00F33B4F">
        <w:rPr>
          <w:sz w:val="16"/>
          <w:szCs w:val="16"/>
        </w:rPr>
        <w:t>.</w:t>
      </w:r>
    </w:p>
    <w:p w:rsidR="001B0029" w:rsidRPr="004A08CD" w:rsidRDefault="001B0029">
      <w:pPr>
        <w:pStyle w:val="FootnoteText"/>
        <w:rPr>
          <w:sz w:val="16"/>
          <w:szCs w:val="16"/>
        </w:rPr>
      </w:pPr>
      <w:r w:rsidRPr="004A08CD">
        <w:rPr>
          <w:sz w:val="16"/>
          <w:szCs w:val="16"/>
        </w:rPr>
        <w:t xml:space="preserve"> </w:t>
      </w:r>
    </w:p>
  </w:footnote>
  <w:footnote w:id="4">
    <w:p w:rsidR="0051572D" w:rsidRPr="004A08CD" w:rsidRDefault="0051572D" w:rsidP="001308F8">
      <w:pPr>
        <w:pStyle w:val="FootnoteText"/>
        <w:rPr>
          <w:sz w:val="16"/>
          <w:szCs w:val="16"/>
        </w:rPr>
      </w:pPr>
      <w:r w:rsidRPr="004A08CD">
        <w:rPr>
          <w:rStyle w:val="FootnoteReference"/>
          <w:sz w:val="16"/>
          <w:szCs w:val="16"/>
        </w:rPr>
        <w:footnoteRef/>
      </w:r>
      <w:r w:rsidR="00C903EC">
        <w:rPr>
          <w:sz w:val="16"/>
          <w:szCs w:val="16"/>
        </w:rPr>
        <w:t xml:space="preserve"> </w:t>
      </w:r>
      <w:r w:rsidRPr="00E90504">
        <w:rPr>
          <w:i/>
          <w:sz w:val="16"/>
          <w:szCs w:val="16"/>
        </w:rPr>
        <w:t xml:space="preserve">RSA Faktor Bpk v </w:t>
      </w:r>
      <w:r w:rsidR="00891C81" w:rsidRPr="00E90504">
        <w:rPr>
          <w:i/>
          <w:sz w:val="16"/>
          <w:szCs w:val="16"/>
        </w:rPr>
        <w:t>Bloemfontein Township</w:t>
      </w:r>
      <w:r w:rsidRPr="00E90504">
        <w:rPr>
          <w:i/>
          <w:sz w:val="16"/>
          <w:szCs w:val="16"/>
        </w:rPr>
        <w:t xml:space="preserve"> </w:t>
      </w:r>
      <w:r w:rsidR="00891C81" w:rsidRPr="00E90504">
        <w:rPr>
          <w:i/>
          <w:sz w:val="16"/>
          <w:szCs w:val="16"/>
        </w:rPr>
        <w:t>Developers (</w:t>
      </w:r>
      <w:r w:rsidRPr="00E90504">
        <w:rPr>
          <w:i/>
          <w:sz w:val="16"/>
          <w:szCs w:val="16"/>
        </w:rPr>
        <w:t>Edms) Bpk</w:t>
      </w:r>
      <w:r w:rsidRPr="004A08CD">
        <w:rPr>
          <w:sz w:val="16"/>
          <w:szCs w:val="16"/>
        </w:rPr>
        <w:t xml:space="preserve"> 1981 SA 141(O).</w:t>
      </w:r>
    </w:p>
  </w:footnote>
  <w:footnote w:id="5">
    <w:p w:rsidR="0051572D" w:rsidRPr="004A08CD" w:rsidRDefault="0051572D" w:rsidP="001308F8">
      <w:pPr>
        <w:pStyle w:val="FootnoteText"/>
        <w:rPr>
          <w:sz w:val="16"/>
          <w:szCs w:val="16"/>
        </w:rPr>
      </w:pPr>
      <w:r w:rsidRPr="004A08CD">
        <w:rPr>
          <w:rStyle w:val="FootnoteReference"/>
          <w:sz w:val="16"/>
          <w:szCs w:val="16"/>
        </w:rPr>
        <w:footnoteRef/>
      </w:r>
      <w:r w:rsidRPr="004A08CD">
        <w:rPr>
          <w:sz w:val="16"/>
          <w:szCs w:val="16"/>
        </w:rPr>
        <w:t xml:space="preserve"> </w:t>
      </w:r>
      <w:r w:rsidRPr="00E90504">
        <w:rPr>
          <w:i/>
          <w:sz w:val="16"/>
          <w:szCs w:val="16"/>
        </w:rPr>
        <w:t>Ceasarstone Sdot-Yam Ltd v The World of Marble and Granite 2000 CC and Others</w:t>
      </w:r>
      <w:r w:rsidRPr="004A08CD">
        <w:rPr>
          <w:sz w:val="16"/>
          <w:szCs w:val="16"/>
        </w:rPr>
        <w:t xml:space="preserve"> [2013] 4 All SA 509 SCA, 2013 (6) SA 499 (SCA)</w:t>
      </w:r>
      <w:r w:rsidR="00C903EC">
        <w:rPr>
          <w:sz w:val="16"/>
          <w:szCs w:val="16"/>
        </w:rPr>
        <w:t>.</w:t>
      </w:r>
    </w:p>
  </w:footnote>
  <w:footnote w:id="6">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w:t>
      </w:r>
      <w:r w:rsidRPr="00E90504">
        <w:rPr>
          <w:i/>
          <w:sz w:val="16"/>
          <w:szCs w:val="16"/>
        </w:rPr>
        <w:t>Nestle (SA) (Pty) Ltd v Mars Inc</w:t>
      </w:r>
      <w:r w:rsidR="00C903EC">
        <w:rPr>
          <w:sz w:val="16"/>
          <w:szCs w:val="16"/>
        </w:rPr>
        <w:t xml:space="preserve"> </w:t>
      </w:r>
      <w:r w:rsidRPr="004A08CD">
        <w:rPr>
          <w:sz w:val="16"/>
          <w:szCs w:val="16"/>
        </w:rPr>
        <w:t>[2001] 4 All SA 315 (A), 2001 (4) SA 542 (SCA)</w:t>
      </w:r>
      <w:r w:rsidR="00C903EC">
        <w:rPr>
          <w:sz w:val="16"/>
          <w:szCs w:val="16"/>
        </w:rPr>
        <w:t>.</w:t>
      </w:r>
    </w:p>
  </w:footnote>
  <w:footnote w:id="7">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w:t>
      </w:r>
      <w:r w:rsidRPr="00E90504">
        <w:rPr>
          <w:i/>
          <w:sz w:val="16"/>
          <w:szCs w:val="16"/>
        </w:rPr>
        <w:t>Marks &amp; Kantor v Van Diggelen</w:t>
      </w:r>
      <w:r w:rsidRPr="004A08CD">
        <w:rPr>
          <w:sz w:val="16"/>
          <w:szCs w:val="16"/>
        </w:rPr>
        <w:t xml:space="preserve"> 1935 TPD 29.</w:t>
      </w:r>
    </w:p>
  </w:footnote>
  <w:footnote w:id="8">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w:t>
      </w:r>
      <w:r w:rsidRPr="00E90504">
        <w:rPr>
          <w:i/>
          <w:sz w:val="16"/>
          <w:szCs w:val="16"/>
        </w:rPr>
        <w:t>Dreyer v Tuckers Land and Development Corporation (Pty) Ltd</w:t>
      </w:r>
      <w:r w:rsidRPr="004A08CD">
        <w:rPr>
          <w:sz w:val="16"/>
          <w:szCs w:val="16"/>
        </w:rPr>
        <w:t xml:space="preserve"> 1981 (1) SA 1219 (T) p.1231.</w:t>
      </w:r>
    </w:p>
  </w:footnote>
  <w:footnote w:id="9">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w:t>
      </w:r>
      <w:r w:rsidR="000E3D93" w:rsidRPr="004A08CD">
        <w:rPr>
          <w:sz w:val="16"/>
          <w:szCs w:val="16"/>
        </w:rPr>
        <w:t xml:space="preserve"> </w:t>
      </w:r>
      <w:r w:rsidRPr="00E90504">
        <w:rPr>
          <w:i/>
          <w:sz w:val="16"/>
          <w:szCs w:val="16"/>
        </w:rPr>
        <w:t>Caesarstine Sdot-Yam Ltd v The World of Marble and Granite 200 CC and others</w:t>
      </w:r>
      <w:r w:rsidRPr="004A08CD">
        <w:rPr>
          <w:sz w:val="16"/>
          <w:szCs w:val="16"/>
        </w:rPr>
        <w:t xml:space="preserve"> [2013] 4 All SA 509 (SCA). 2013 (6) SA 499 (SCA)</w:t>
      </w:r>
      <w:r w:rsidR="00C903EC">
        <w:rPr>
          <w:sz w:val="16"/>
          <w:szCs w:val="16"/>
        </w:rPr>
        <w:t>.</w:t>
      </w:r>
    </w:p>
  </w:footnote>
  <w:footnote w:id="10">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See. Section 84 act 28 of 2014.</w:t>
      </w:r>
    </w:p>
  </w:footnote>
  <w:footnote w:id="11">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See. </w:t>
      </w:r>
      <w:r w:rsidRPr="007C4AF6">
        <w:rPr>
          <w:i/>
          <w:sz w:val="16"/>
          <w:szCs w:val="16"/>
        </w:rPr>
        <w:t>Supra</w:t>
      </w:r>
      <w:r w:rsidR="007C4AF6">
        <w:rPr>
          <w:sz w:val="16"/>
          <w:szCs w:val="16"/>
        </w:rPr>
        <w:t xml:space="preserve">, </w:t>
      </w:r>
      <w:r w:rsidRPr="004A08CD">
        <w:rPr>
          <w:sz w:val="16"/>
          <w:szCs w:val="16"/>
        </w:rPr>
        <w:t>paragraph 12.</w:t>
      </w:r>
    </w:p>
  </w:footnote>
  <w:footnote w:id="12">
    <w:p w:rsidR="0051572D" w:rsidRPr="004A08CD" w:rsidRDefault="0051572D" w:rsidP="0051572D">
      <w:pPr>
        <w:pStyle w:val="FootnoteText"/>
        <w:rPr>
          <w:sz w:val="16"/>
          <w:szCs w:val="16"/>
        </w:rPr>
      </w:pPr>
      <w:r w:rsidRPr="004A08CD">
        <w:rPr>
          <w:rStyle w:val="FootnoteReference"/>
          <w:sz w:val="16"/>
          <w:szCs w:val="16"/>
        </w:rPr>
        <w:footnoteRef/>
      </w:r>
      <w:r w:rsidR="007C4AF6">
        <w:rPr>
          <w:sz w:val="16"/>
          <w:szCs w:val="16"/>
        </w:rPr>
        <w:t xml:space="preserve"> See. </w:t>
      </w:r>
      <w:r w:rsidRPr="00E90504">
        <w:rPr>
          <w:i/>
          <w:sz w:val="16"/>
          <w:szCs w:val="16"/>
        </w:rPr>
        <w:t>State Information Technology Agency SOC Ltd v Gijima Holdin</w:t>
      </w:r>
      <w:r w:rsidR="002868EE" w:rsidRPr="00E90504">
        <w:rPr>
          <w:i/>
          <w:sz w:val="16"/>
          <w:szCs w:val="16"/>
        </w:rPr>
        <w:t>gs (Pty) Ltd</w:t>
      </w:r>
      <w:r w:rsidR="002868EE">
        <w:rPr>
          <w:sz w:val="16"/>
          <w:szCs w:val="16"/>
        </w:rPr>
        <w:t xml:space="preserve"> 2018 2 SA 23 CC. (</w:t>
      </w:r>
      <w:r w:rsidRPr="004A08CD">
        <w:rPr>
          <w:sz w:val="16"/>
          <w:szCs w:val="16"/>
        </w:rPr>
        <w:t>para.18 -19 &amp; 27)</w:t>
      </w:r>
      <w:r w:rsidR="002868EE">
        <w:rPr>
          <w:sz w:val="16"/>
          <w:szCs w:val="16"/>
        </w:rPr>
        <w:t>.</w:t>
      </w:r>
    </w:p>
  </w:footnote>
  <w:footnote w:id="13">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C Hoexter </w:t>
      </w:r>
      <w:r w:rsidRPr="004A08CD">
        <w:rPr>
          <w:i/>
          <w:sz w:val="16"/>
          <w:szCs w:val="16"/>
        </w:rPr>
        <w:t>Adminstrative Law</w:t>
      </w:r>
      <w:r w:rsidRPr="004A08CD">
        <w:rPr>
          <w:sz w:val="16"/>
          <w:szCs w:val="16"/>
        </w:rPr>
        <w:t xml:space="preserve"> 2 ed</w:t>
      </w:r>
      <w:r w:rsidR="00E90504">
        <w:rPr>
          <w:sz w:val="16"/>
          <w:szCs w:val="16"/>
        </w:rPr>
        <w:t xml:space="preserve"> </w:t>
      </w:r>
      <w:r w:rsidRPr="004A08CD">
        <w:rPr>
          <w:sz w:val="16"/>
          <w:szCs w:val="16"/>
        </w:rPr>
        <w:t>(2012) 113</w:t>
      </w:r>
      <w:r w:rsidR="002868EE">
        <w:rPr>
          <w:sz w:val="16"/>
          <w:szCs w:val="16"/>
        </w:rPr>
        <w:t>.</w:t>
      </w:r>
    </w:p>
  </w:footnote>
  <w:footnote w:id="14">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1903 TS 111.</w:t>
      </w:r>
    </w:p>
  </w:footnote>
  <w:footnote w:id="15">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See note 14 </w:t>
      </w:r>
      <w:r w:rsidRPr="00C075F5">
        <w:rPr>
          <w:i/>
          <w:sz w:val="16"/>
          <w:szCs w:val="16"/>
        </w:rPr>
        <w:t>supra</w:t>
      </w:r>
      <w:r w:rsidRPr="004A08CD">
        <w:rPr>
          <w:sz w:val="16"/>
          <w:szCs w:val="16"/>
        </w:rPr>
        <w:t xml:space="preserve">. Pages 518 </w:t>
      </w:r>
      <w:r w:rsidR="007C4AF6">
        <w:rPr>
          <w:sz w:val="16"/>
          <w:szCs w:val="16"/>
        </w:rPr>
        <w:t>–</w:t>
      </w:r>
      <w:r w:rsidRPr="004A08CD">
        <w:rPr>
          <w:sz w:val="16"/>
          <w:szCs w:val="16"/>
        </w:rPr>
        <w:t xml:space="preserve"> 519</w:t>
      </w:r>
      <w:r w:rsidR="007C4AF6">
        <w:rPr>
          <w:sz w:val="16"/>
          <w:szCs w:val="16"/>
        </w:rPr>
        <w:t>.</w:t>
      </w:r>
    </w:p>
  </w:footnote>
  <w:footnote w:id="16">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Judicial Review of Administrative Action in South Africa-revised 1</w:t>
      </w:r>
      <w:r w:rsidRPr="004A08CD">
        <w:rPr>
          <w:sz w:val="16"/>
          <w:szCs w:val="16"/>
          <w:vertAlign w:val="superscript"/>
        </w:rPr>
        <w:t>st</w:t>
      </w:r>
      <w:r w:rsidRPr="004A08CD">
        <w:rPr>
          <w:sz w:val="16"/>
          <w:szCs w:val="16"/>
        </w:rPr>
        <w:t xml:space="preserve"> ed. Page 297.</w:t>
      </w:r>
    </w:p>
  </w:footnote>
  <w:footnote w:id="17">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See. Page 2-3 of Heads of argument.</w:t>
      </w:r>
    </w:p>
  </w:footnote>
  <w:footnote w:id="18">
    <w:p w:rsidR="003A2CCA" w:rsidRPr="004A08CD" w:rsidRDefault="003A2CCA">
      <w:pPr>
        <w:pStyle w:val="FootnoteText"/>
        <w:rPr>
          <w:sz w:val="16"/>
          <w:szCs w:val="16"/>
        </w:rPr>
      </w:pPr>
      <w:r w:rsidRPr="004A08CD">
        <w:rPr>
          <w:rStyle w:val="FootnoteReference"/>
          <w:sz w:val="16"/>
          <w:szCs w:val="16"/>
        </w:rPr>
        <w:footnoteRef/>
      </w:r>
      <w:r w:rsidRPr="004A08CD">
        <w:rPr>
          <w:sz w:val="16"/>
          <w:szCs w:val="16"/>
        </w:rPr>
        <w:t xml:space="preserve"> </w:t>
      </w:r>
      <w:r w:rsidR="004E4610" w:rsidRPr="004A08CD">
        <w:rPr>
          <w:sz w:val="16"/>
          <w:szCs w:val="16"/>
        </w:rPr>
        <w:t>Collins English Dictionary.</w:t>
      </w:r>
    </w:p>
  </w:footnote>
  <w:footnote w:id="19">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Cora Hoexter Administrative Law in SA, Second Edition, page 299.</w:t>
      </w:r>
    </w:p>
  </w:footnote>
  <w:footnote w:id="20">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1987 (1) SA 695 (A).</w:t>
      </w:r>
    </w:p>
  </w:footnote>
  <w:footnote w:id="21">
    <w:p w:rsidR="00D92648" w:rsidRPr="004A08CD" w:rsidRDefault="00D92648">
      <w:pPr>
        <w:pStyle w:val="FootnoteText"/>
        <w:rPr>
          <w:sz w:val="16"/>
          <w:szCs w:val="16"/>
        </w:rPr>
      </w:pPr>
      <w:r w:rsidRPr="004A08CD">
        <w:rPr>
          <w:rStyle w:val="FootnoteReference"/>
          <w:sz w:val="16"/>
          <w:szCs w:val="16"/>
        </w:rPr>
        <w:footnoteRef/>
      </w:r>
      <w:r w:rsidRPr="004A08CD">
        <w:rPr>
          <w:sz w:val="16"/>
          <w:szCs w:val="16"/>
        </w:rPr>
        <w:t xml:space="preserve"> Case number: CCT 77/08 [2009] ZACC 11, Paragraph 21</w:t>
      </w:r>
      <w:r w:rsidR="004A08CD">
        <w:rPr>
          <w:sz w:val="16"/>
          <w:szCs w:val="16"/>
        </w:rPr>
        <w:t>.</w:t>
      </w:r>
    </w:p>
  </w:footnote>
  <w:footnote w:id="22">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Legal Practice Act 28 of 2014.</w:t>
      </w:r>
    </w:p>
  </w:footnote>
  <w:footnote w:id="23">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Act 28 of 2014.</w:t>
      </w:r>
    </w:p>
  </w:footnote>
  <w:footnote w:id="24">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The other pending matter- Case number:</w:t>
      </w:r>
      <w:r w:rsidR="00C075F5">
        <w:rPr>
          <w:sz w:val="16"/>
          <w:szCs w:val="16"/>
        </w:rPr>
        <w:t xml:space="preserve"> </w:t>
      </w:r>
      <w:r w:rsidRPr="004A08CD">
        <w:rPr>
          <w:sz w:val="16"/>
          <w:szCs w:val="16"/>
        </w:rPr>
        <w:t>4514/2023</w:t>
      </w:r>
      <w:r w:rsidR="004A08CD">
        <w:rPr>
          <w:sz w:val="16"/>
          <w:szCs w:val="16"/>
        </w:rPr>
        <w:t>.</w:t>
      </w:r>
    </w:p>
  </w:footnote>
  <w:footnote w:id="25">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De Lange affidavit page 3, para.7</w:t>
      </w:r>
      <w:r w:rsidR="004A08CD">
        <w:rPr>
          <w:sz w:val="16"/>
          <w:szCs w:val="16"/>
        </w:rPr>
        <w:t>.</w:t>
      </w:r>
    </w:p>
  </w:footnote>
  <w:footnote w:id="26">
    <w:p w:rsidR="0051572D" w:rsidRPr="004A08CD" w:rsidRDefault="0051572D" w:rsidP="0051572D">
      <w:pPr>
        <w:pStyle w:val="FootnoteText"/>
        <w:rPr>
          <w:sz w:val="16"/>
          <w:szCs w:val="16"/>
        </w:rPr>
      </w:pPr>
      <w:r w:rsidRPr="004A08CD">
        <w:rPr>
          <w:rStyle w:val="FootnoteReference"/>
          <w:sz w:val="16"/>
          <w:szCs w:val="16"/>
        </w:rPr>
        <w:footnoteRef/>
      </w:r>
      <w:r w:rsidR="00A939AB" w:rsidRPr="004A08CD">
        <w:rPr>
          <w:sz w:val="16"/>
          <w:szCs w:val="16"/>
        </w:rPr>
        <w:t xml:space="preserve"> See. Para 11.9, page 9 of</w:t>
      </w:r>
      <w:r w:rsidRPr="004A08CD">
        <w:rPr>
          <w:sz w:val="16"/>
          <w:szCs w:val="16"/>
        </w:rPr>
        <w:t xml:space="preserve"> FA.</w:t>
      </w:r>
    </w:p>
  </w:footnote>
  <w:footnote w:id="27">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Page 70-75 of the trial bu</w:t>
      </w:r>
      <w:r w:rsidR="00A939AB" w:rsidRPr="004A08CD">
        <w:rPr>
          <w:sz w:val="16"/>
          <w:szCs w:val="16"/>
        </w:rPr>
        <w:t xml:space="preserve">ndle, Letter dated 18 May 2023 in case </w:t>
      </w:r>
      <w:r w:rsidRPr="004A08CD">
        <w:rPr>
          <w:sz w:val="16"/>
          <w:szCs w:val="16"/>
        </w:rPr>
        <w:t xml:space="preserve">number 4514/2023. </w:t>
      </w:r>
    </w:p>
  </w:footnote>
  <w:footnote w:id="28">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w:t>
      </w:r>
      <w:r w:rsidR="005E1DD0">
        <w:rPr>
          <w:sz w:val="16"/>
          <w:szCs w:val="16"/>
        </w:rPr>
        <w:t xml:space="preserve">See. </w:t>
      </w:r>
      <w:r w:rsidRPr="004A08CD">
        <w:rPr>
          <w:sz w:val="16"/>
          <w:szCs w:val="16"/>
        </w:rPr>
        <w:t>Paragraph 11</w:t>
      </w:r>
      <w:r w:rsidR="00383EC6">
        <w:rPr>
          <w:sz w:val="16"/>
          <w:szCs w:val="16"/>
        </w:rPr>
        <w:t xml:space="preserve"> of the letter referred to in footnote 27</w:t>
      </w:r>
      <w:r w:rsidRPr="004A08CD">
        <w:rPr>
          <w:sz w:val="16"/>
          <w:szCs w:val="16"/>
        </w:rPr>
        <w:t>.</w:t>
      </w:r>
    </w:p>
  </w:footnote>
  <w:footnote w:id="29">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Page 50 of trial bundle, paragraph 11 of 1</w:t>
      </w:r>
      <w:r w:rsidRPr="004A08CD">
        <w:rPr>
          <w:sz w:val="16"/>
          <w:szCs w:val="16"/>
          <w:vertAlign w:val="superscript"/>
        </w:rPr>
        <w:t>st</w:t>
      </w:r>
      <w:r w:rsidRPr="004A08CD">
        <w:rPr>
          <w:sz w:val="16"/>
          <w:szCs w:val="16"/>
        </w:rPr>
        <w:t xml:space="preserve"> applicant affidavit and page 60, paragraph 3 of Cloete</w:t>
      </w:r>
      <w:r w:rsidR="004A08CD">
        <w:rPr>
          <w:sz w:val="16"/>
          <w:szCs w:val="16"/>
        </w:rPr>
        <w:t xml:space="preserve"> </w:t>
      </w:r>
      <w:r w:rsidRPr="004A08CD">
        <w:rPr>
          <w:sz w:val="16"/>
          <w:szCs w:val="16"/>
        </w:rPr>
        <w:t>Affidavit.</w:t>
      </w:r>
    </w:p>
  </w:footnote>
  <w:footnote w:id="30">
    <w:p w:rsidR="0051572D" w:rsidRPr="004A08CD" w:rsidRDefault="0051572D" w:rsidP="0051572D">
      <w:pPr>
        <w:pStyle w:val="FootnoteText"/>
        <w:rPr>
          <w:sz w:val="16"/>
          <w:szCs w:val="16"/>
        </w:rPr>
      </w:pPr>
      <w:r w:rsidRPr="004A08CD">
        <w:rPr>
          <w:rStyle w:val="FootnoteReference"/>
          <w:sz w:val="16"/>
          <w:szCs w:val="16"/>
        </w:rPr>
        <w:footnoteRef/>
      </w:r>
      <w:r w:rsidR="00F32BC2" w:rsidRPr="004A08CD">
        <w:rPr>
          <w:sz w:val="16"/>
          <w:szCs w:val="16"/>
        </w:rPr>
        <w:t xml:space="preserve"> </w:t>
      </w:r>
      <w:r w:rsidRPr="004A08CD">
        <w:rPr>
          <w:sz w:val="16"/>
          <w:szCs w:val="16"/>
        </w:rPr>
        <w:t>See. Page 299 to 307 of the trial bundle in case number 4514/2023, Josephus Johannes Francois Hefer affidavit dated 1 November 2023.</w:t>
      </w:r>
    </w:p>
  </w:footnote>
  <w:footnote w:id="31">
    <w:p w:rsidR="0051572D" w:rsidRPr="004A08CD" w:rsidRDefault="0051572D" w:rsidP="0051572D">
      <w:pPr>
        <w:pStyle w:val="FootnoteText"/>
        <w:rPr>
          <w:sz w:val="16"/>
          <w:szCs w:val="16"/>
        </w:rPr>
      </w:pPr>
      <w:r w:rsidRPr="004A08CD">
        <w:rPr>
          <w:rStyle w:val="FootnoteReference"/>
          <w:sz w:val="16"/>
          <w:szCs w:val="16"/>
        </w:rPr>
        <w:footnoteRef/>
      </w:r>
      <w:r w:rsidR="00F32BC2" w:rsidRPr="004A08CD">
        <w:rPr>
          <w:sz w:val="16"/>
          <w:szCs w:val="16"/>
        </w:rPr>
        <w:t xml:space="preserve"> </w:t>
      </w:r>
      <w:r w:rsidR="00A939AB" w:rsidRPr="004A08CD">
        <w:rPr>
          <w:sz w:val="16"/>
          <w:szCs w:val="16"/>
        </w:rPr>
        <w:t xml:space="preserve">See </w:t>
      </w:r>
      <w:r w:rsidRPr="004A08CD">
        <w:rPr>
          <w:sz w:val="16"/>
          <w:szCs w:val="16"/>
        </w:rPr>
        <w:t>page 345-347 of the other trial bundle.</w:t>
      </w:r>
      <w:r w:rsidR="00A939AB" w:rsidRPr="004A08CD">
        <w:rPr>
          <w:sz w:val="16"/>
          <w:szCs w:val="16"/>
        </w:rPr>
        <w:t xml:space="preserve"> Affidavit dated </w:t>
      </w:r>
      <w:r w:rsidRPr="004A08CD">
        <w:rPr>
          <w:sz w:val="16"/>
          <w:szCs w:val="16"/>
        </w:rPr>
        <w:t>27 October 2023.</w:t>
      </w:r>
    </w:p>
  </w:footnote>
  <w:footnote w:id="32">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Letter dated 31 October 2023, written by Margarette Kwakye, Director.</w:t>
      </w:r>
    </w:p>
  </w:footnote>
  <w:footnote w:id="33">
    <w:p w:rsidR="0051572D" w:rsidRPr="004A08CD" w:rsidRDefault="0051572D" w:rsidP="0051572D">
      <w:pPr>
        <w:pStyle w:val="FootnoteText"/>
        <w:rPr>
          <w:sz w:val="16"/>
          <w:szCs w:val="16"/>
        </w:rPr>
      </w:pPr>
      <w:r w:rsidRPr="004A08CD">
        <w:rPr>
          <w:rStyle w:val="FootnoteReference"/>
          <w:sz w:val="16"/>
          <w:szCs w:val="16"/>
        </w:rPr>
        <w:footnoteRef/>
      </w:r>
      <w:r w:rsidRPr="004A08CD">
        <w:rPr>
          <w:sz w:val="16"/>
          <w:szCs w:val="16"/>
        </w:rPr>
        <w:t xml:space="preserve"> Filed on the 8 Novemb</w:t>
      </w:r>
      <w:r w:rsidR="004A08CD" w:rsidRPr="004A08CD">
        <w:rPr>
          <w:sz w:val="16"/>
          <w:szCs w:val="16"/>
        </w:rPr>
        <w:t>er 2023 in compliance with rule</w:t>
      </w:r>
      <w:r w:rsidRPr="004A08CD">
        <w:rPr>
          <w:sz w:val="16"/>
          <w:szCs w:val="16"/>
        </w:rPr>
        <w:t xml:space="preserve"> 54.30.</w:t>
      </w:r>
    </w:p>
  </w:footnote>
  <w:footnote w:id="34">
    <w:p w:rsidR="0033760F" w:rsidRPr="004A08CD" w:rsidRDefault="0033760F">
      <w:pPr>
        <w:pStyle w:val="FootnoteText"/>
        <w:rPr>
          <w:sz w:val="16"/>
          <w:szCs w:val="16"/>
        </w:rPr>
      </w:pPr>
      <w:r w:rsidRPr="004A08CD">
        <w:rPr>
          <w:rStyle w:val="FootnoteReference"/>
          <w:sz w:val="16"/>
          <w:szCs w:val="16"/>
        </w:rPr>
        <w:footnoteRef/>
      </w:r>
      <w:r w:rsidRPr="004A08CD">
        <w:rPr>
          <w:sz w:val="16"/>
          <w:szCs w:val="16"/>
        </w:rPr>
        <w:t xml:space="preserve"> Page 128 TB,AA3</w:t>
      </w:r>
      <w:r w:rsidR="004A08CD" w:rsidRPr="004A08CD">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45217"/>
      <w:docPartObj>
        <w:docPartGallery w:val="Page Numbers (Top of Page)"/>
        <w:docPartUnique/>
      </w:docPartObj>
    </w:sdtPr>
    <w:sdtEndPr>
      <w:rPr>
        <w:noProof/>
      </w:rPr>
    </w:sdtEndPr>
    <w:sdtContent>
      <w:p w:rsidR="001E0A70" w:rsidRDefault="001E0A70">
        <w:pPr>
          <w:pStyle w:val="Header"/>
          <w:jc w:val="right"/>
        </w:pPr>
        <w:r>
          <w:fldChar w:fldCharType="begin"/>
        </w:r>
        <w:r>
          <w:instrText xml:space="preserve"> PAGE   \* MERGEFORMAT </w:instrText>
        </w:r>
        <w:r>
          <w:fldChar w:fldCharType="separate"/>
        </w:r>
        <w:r w:rsidR="007B5185">
          <w:rPr>
            <w:noProof/>
          </w:rPr>
          <w:t>19</w:t>
        </w:r>
        <w:r>
          <w:rPr>
            <w:noProof/>
          </w:rPr>
          <w:fldChar w:fldCharType="end"/>
        </w:r>
      </w:p>
    </w:sdtContent>
  </w:sdt>
  <w:p w:rsidR="001E0A70" w:rsidRDefault="001E0A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F9"/>
    <w:multiLevelType w:val="hybridMultilevel"/>
    <w:tmpl w:val="C75CBEDE"/>
    <w:lvl w:ilvl="0" w:tplc="9BB01F8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0662C7"/>
    <w:multiLevelType w:val="multilevel"/>
    <w:tmpl w:val="1A9E6C1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052F110C"/>
    <w:multiLevelType w:val="hybridMultilevel"/>
    <w:tmpl w:val="48007A74"/>
    <w:lvl w:ilvl="0" w:tplc="D79AD6D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9356852"/>
    <w:multiLevelType w:val="hybridMultilevel"/>
    <w:tmpl w:val="3A12311E"/>
    <w:lvl w:ilvl="0" w:tplc="DED298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A5A4B3C"/>
    <w:multiLevelType w:val="hybridMultilevel"/>
    <w:tmpl w:val="9222B05E"/>
    <w:lvl w:ilvl="0" w:tplc="238C024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D2121D"/>
    <w:multiLevelType w:val="hybridMultilevel"/>
    <w:tmpl w:val="D05AAD6E"/>
    <w:lvl w:ilvl="0" w:tplc="A05ED402">
      <w:start w:val="1"/>
      <w:numFmt w:val="lowerLetter"/>
      <w:lvlText w:val="(%1)"/>
      <w:lvlJc w:val="left"/>
      <w:pPr>
        <w:ind w:left="855" w:hanging="360"/>
      </w:pPr>
      <w:rPr>
        <w:rFonts w:hint="default"/>
      </w:r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6" w15:restartNumberingAfterBreak="0">
    <w:nsid w:val="231D3E1A"/>
    <w:multiLevelType w:val="multilevel"/>
    <w:tmpl w:val="F468F5A2"/>
    <w:lvl w:ilvl="0">
      <w:start w:val="1"/>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7" w15:restartNumberingAfterBreak="0">
    <w:nsid w:val="23827CE2"/>
    <w:multiLevelType w:val="hybridMultilevel"/>
    <w:tmpl w:val="9D80C264"/>
    <w:lvl w:ilvl="0" w:tplc="67C422B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266829A6"/>
    <w:multiLevelType w:val="hybridMultilevel"/>
    <w:tmpl w:val="ECBEEDB4"/>
    <w:lvl w:ilvl="0" w:tplc="D5304844">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D12222"/>
    <w:multiLevelType w:val="hybridMultilevel"/>
    <w:tmpl w:val="F6B8B3DA"/>
    <w:lvl w:ilvl="0" w:tplc="563C98D0">
      <w:start w:val="1"/>
      <w:numFmt w:val="lowerLetter"/>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0" w15:restartNumberingAfterBreak="0">
    <w:nsid w:val="33F62551"/>
    <w:multiLevelType w:val="hybridMultilevel"/>
    <w:tmpl w:val="4920D4D2"/>
    <w:lvl w:ilvl="0" w:tplc="4AAC1E28">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B6607E"/>
    <w:multiLevelType w:val="hybridMultilevel"/>
    <w:tmpl w:val="D7A450C0"/>
    <w:lvl w:ilvl="0" w:tplc="035E70A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9B049E1"/>
    <w:multiLevelType w:val="hybridMultilevel"/>
    <w:tmpl w:val="654CA23C"/>
    <w:lvl w:ilvl="0" w:tplc="74CAEBF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450F075D"/>
    <w:multiLevelType w:val="hybridMultilevel"/>
    <w:tmpl w:val="9AA0950C"/>
    <w:lvl w:ilvl="0" w:tplc="E54AC5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7D574F5"/>
    <w:multiLevelType w:val="hybridMultilevel"/>
    <w:tmpl w:val="86DAEBB6"/>
    <w:lvl w:ilvl="0" w:tplc="5A26F0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98B223E"/>
    <w:multiLevelType w:val="hybridMultilevel"/>
    <w:tmpl w:val="AB8E024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5CEC5508">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4A3E7FA2"/>
    <w:multiLevelType w:val="hybridMultilevel"/>
    <w:tmpl w:val="B240E43E"/>
    <w:lvl w:ilvl="0" w:tplc="B6A0BC70">
      <w:start w:val="3"/>
      <w:numFmt w:val="lowerLetter"/>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17" w15:restartNumberingAfterBreak="0">
    <w:nsid w:val="4BB052BE"/>
    <w:multiLevelType w:val="multilevel"/>
    <w:tmpl w:val="04EE9ED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CE249BA"/>
    <w:multiLevelType w:val="hybridMultilevel"/>
    <w:tmpl w:val="B126B510"/>
    <w:lvl w:ilvl="0" w:tplc="6EEA6B8E">
      <w:start w:val="4"/>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4EC22EBD"/>
    <w:multiLevelType w:val="hybridMultilevel"/>
    <w:tmpl w:val="7B88857E"/>
    <w:lvl w:ilvl="0" w:tplc="964A13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5A5B5F"/>
    <w:multiLevelType w:val="hybridMultilevel"/>
    <w:tmpl w:val="489CDA48"/>
    <w:lvl w:ilvl="0" w:tplc="E4425AEA">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1" w15:restartNumberingAfterBreak="0">
    <w:nsid w:val="541A2CB4"/>
    <w:multiLevelType w:val="hybridMultilevel"/>
    <w:tmpl w:val="B1DE0788"/>
    <w:lvl w:ilvl="0" w:tplc="E0D28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5543BDC"/>
    <w:multiLevelType w:val="hybridMultilevel"/>
    <w:tmpl w:val="A40AC732"/>
    <w:lvl w:ilvl="0" w:tplc="3D6472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8C82A60"/>
    <w:multiLevelType w:val="hybridMultilevel"/>
    <w:tmpl w:val="3C4468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49276C9"/>
    <w:multiLevelType w:val="hybridMultilevel"/>
    <w:tmpl w:val="288A876C"/>
    <w:lvl w:ilvl="0" w:tplc="EA821E6E">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685A1D6E"/>
    <w:multiLevelType w:val="multilevel"/>
    <w:tmpl w:val="668215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D65B8B"/>
    <w:multiLevelType w:val="hybridMultilevel"/>
    <w:tmpl w:val="5DEC7C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22"/>
  </w:num>
  <w:num w:numId="3">
    <w:abstractNumId w:val="25"/>
  </w:num>
  <w:num w:numId="4">
    <w:abstractNumId w:val="20"/>
  </w:num>
  <w:num w:numId="5">
    <w:abstractNumId w:val="10"/>
  </w:num>
  <w:num w:numId="6">
    <w:abstractNumId w:val="6"/>
  </w:num>
  <w:num w:numId="7">
    <w:abstractNumId w:val="15"/>
  </w:num>
  <w:num w:numId="8">
    <w:abstractNumId w:val="0"/>
  </w:num>
  <w:num w:numId="9">
    <w:abstractNumId w:val="16"/>
  </w:num>
  <w:num w:numId="10">
    <w:abstractNumId w:val="19"/>
  </w:num>
  <w:num w:numId="11">
    <w:abstractNumId w:val="26"/>
  </w:num>
  <w:num w:numId="12">
    <w:abstractNumId w:val="1"/>
  </w:num>
  <w:num w:numId="13">
    <w:abstractNumId w:val="3"/>
  </w:num>
  <w:num w:numId="14">
    <w:abstractNumId w:val="7"/>
  </w:num>
  <w:num w:numId="15">
    <w:abstractNumId w:val="12"/>
  </w:num>
  <w:num w:numId="16">
    <w:abstractNumId w:val="9"/>
  </w:num>
  <w:num w:numId="17">
    <w:abstractNumId w:val="13"/>
  </w:num>
  <w:num w:numId="18">
    <w:abstractNumId w:val="21"/>
  </w:num>
  <w:num w:numId="19">
    <w:abstractNumId w:val="4"/>
  </w:num>
  <w:num w:numId="20">
    <w:abstractNumId w:val="11"/>
  </w:num>
  <w:num w:numId="21">
    <w:abstractNumId w:val="2"/>
  </w:num>
  <w:num w:numId="22">
    <w:abstractNumId w:val="18"/>
  </w:num>
  <w:num w:numId="23">
    <w:abstractNumId w:val="24"/>
  </w:num>
  <w:num w:numId="24">
    <w:abstractNumId w:val="23"/>
  </w:num>
  <w:num w:numId="25">
    <w:abstractNumId w:val="5"/>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04"/>
    <w:rsid w:val="00001859"/>
    <w:rsid w:val="00004AA0"/>
    <w:rsid w:val="00014AD8"/>
    <w:rsid w:val="000218FE"/>
    <w:rsid w:val="00031614"/>
    <w:rsid w:val="0003598E"/>
    <w:rsid w:val="000414DF"/>
    <w:rsid w:val="000624EA"/>
    <w:rsid w:val="00062617"/>
    <w:rsid w:val="0006353E"/>
    <w:rsid w:val="00063BA1"/>
    <w:rsid w:val="00063DC8"/>
    <w:rsid w:val="0006624A"/>
    <w:rsid w:val="0007156A"/>
    <w:rsid w:val="00071B98"/>
    <w:rsid w:val="00074792"/>
    <w:rsid w:val="00077DCC"/>
    <w:rsid w:val="00082F59"/>
    <w:rsid w:val="000835E3"/>
    <w:rsid w:val="00092E34"/>
    <w:rsid w:val="000935E3"/>
    <w:rsid w:val="000A1BBB"/>
    <w:rsid w:val="000A2A95"/>
    <w:rsid w:val="000A4984"/>
    <w:rsid w:val="000B1343"/>
    <w:rsid w:val="000B2BB8"/>
    <w:rsid w:val="000B39FF"/>
    <w:rsid w:val="000B647F"/>
    <w:rsid w:val="000B7281"/>
    <w:rsid w:val="000D07DC"/>
    <w:rsid w:val="000D190F"/>
    <w:rsid w:val="000D2114"/>
    <w:rsid w:val="000D4849"/>
    <w:rsid w:val="000D532C"/>
    <w:rsid w:val="000D5CDF"/>
    <w:rsid w:val="000E1335"/>
    <w:rsid w:val="000E2C2D"/>
    <w:rsid w:val="000E3D93"/>
    <w:rsid w:val="000E4844"/>
    <w:rsid w:val="000E7C58"/>
    <w:rsid w:val="000E7F2A"/>
    <w:rsid w:val="000F275D"/>
    <w:rsid w:val="000F5056"/>
    <w:rsid w:val="000F6821"/>
    <w:rsid w:val="000F7E5A"/>
    <w:rsid w:val="00102400"/>
    <w:rsid w:val="00106ABC"/>
    <w:rsid w:val="001150E3"/>
    <w:rsid w:val="00116DB1"/>
    <w:rsid w:val="00121D18"/>
    <w:rsid w:val="001252C6"/>
    <w:rsid w:val="00125942"/>
    <w:rsid w:val="00126907"/>
    <w:rsid w:val="00127D40"/>
    <w:rsid w:val="001308F8"/>
    <w:rsid w:val="001317CE"/>
    <w:rsid w:val="0013238A"/>
    <w:rsid w:val="001325FC"/>
    <w:rsid w:val="0013414A"/>
    <w:rsid w:val="00140B8D"/>
    <w:rsid w:val="001428F7"/>
    <w:rsid w:val="00144160"/>
    <w:rsid w:val="0014514E"/>
    <w:rsid w:val="001456EB"/>
    <w:rsid w:val="00145F47"/>
    <w:rsid w:val="00147647"/>
    <w:rsid w:val="00147DF6"/>
    <w:rsid w:val="001520C6"/>
    <w:rsid w:val="0015221F"/>
    <w:rsid w:val="00152D55"/>
    <w:rsid w:val="00153256"/>
    <w:rsid w:val="001540B1"/>
    <w:rsid w:val="001556C3"/>
    <w:rsid w:val="0016050D"/>
    <w:rsid w:val="00162B72"/>
    <w:rsid w:val="00172B73"/>
    <w:rsid w:val="001736CD"/>
    <w:rsid w:val="00173BFB"/>
    <w:rsid w:val="00173EA8"/>
    <w:rsid w:val="001745F0"/>
    <w:rsid w:val="0017726A"/>
    <w:rsid w:val="0018050D"/>
    <w:rsid w:val="00184151"/>
    <w:rsid w:val="001852CA"/>
    <w:rsid w:val="001875D0"/>
    <w:rsid w:val="00193E11"/>
    <w:rsid w:val="00196258"/>
    <w:rsid w:val="001A07CB"/>
    <w:rsid w:val="001A08CA"/>
    <w:rsid w:val="001A3975"/>
    <w:rsid w:val="001A5525"/>
    <w:rsid w:val="001A5A42"/>
    <w:rsid w:val="001A5E06"/>
    <w:rsid w:val="001A604E"/>
    <w:rsid w:val="001A7029"/>
    <w:rsid w:val="001A7157"/>
    <w:rsid w:val="001B0029"/>
    <w:rsid w:val="001B02F9"/>
    <w:rsid w:val="001B1311"/>
    <w:rsid w:val="001B25AA"/>
    <w:rsid w:val="001B47BC"/>
    <w:rsid w:val="001B6426"/>
    <w:rsid w:val="001B7958"/>
    <w:rsid w:val="001D4643"/>
    <w:rsid w:val="001D5260"/>
    <w:rsid w:val="001D5D1D"/>
    <w:rsid w:val="001D7906"/>
    <w:rsid w:val="001E0973"/>
    <w:rsid w:val="001E0A70"/>
    <w:rsid w:val="001E1B63"/>
    <w:rsid w:val="001E2E46"/>
    <w:rsid w:val="001E3496"/>
    <w:rsid w:val="001F53BC"/>
    <w:rsid w:val="001F7419"/>
    <w:rsid w:val="001F7DD6"/>
    <w:rsid w:val="002000D5"/>
    <w:rsid w:val="00200AEF"/>
    <w:rsid w:val="00206598"/>
    <w:rsid w:val="0020726C"/>
    <w:rsid w:val="0021132C"/>
    <w:rsid w:val="0021173B"/>
    <w:rsid w:val="00217C0F"/>
    <w:rsid w:val="00224852"/>
    <w:rsid w:val="00225DD6"/>
    <w:rsid w:val="0022640E"/>
    <w:rsid w:val="002372BE"/>
    <w:rsid w:val="00242BFE"/>
    <w:rsid w:val="002464D6"/>
    <w:rsid w:val="0025249F"/>
    <w:rsid w:val="002538C0"/>
    <w:rsid w:val="00254864"/>
    <w:rsid w:val="002612BE"/>
    <w:rsid w:val="00261ED6"/>
    <w:rsid w:val="00264F9E"/>
    <w:rsid w:val="0026790F"/>
    <w:rsid w:val="00267C20"/>
    <w:rsid w:val="00271466"/>
    <w:rsid w:val="002726A9"/>
    <w:rsid w:val="002726E2"/>
    <w:rsid w:val="002727B4"/>
    <w:rsid w:val="00273D48"/>
    <w:rsid w:val="00275F3A"/>
    <w:rsid w:val="00281C77"/>
    <w:rsid w:val="00282852"/>
    <w:rsid w:val="00284726"/>
    <w:rsid w:val="002865BC"/>
    <w:rsid w:val="00286811"/>
    <w:rsid w:val="002868EE"/>
    <w:rsid w:val="00286FD7"/>
    <w:rsid w:val="0029025F"/>
    <w:rsid w:val="002917E4"/>
    <w:rsid w:val="00292B27"/>
    <w:rsid w:val="00293AE2"/>
    <w:rsid w:val="00295285"/>
    <w:rsid w:val="002974A8"/>
    <w:rsid w:val="002A282B"/>
    <w:rsid w:val="002A6F0D"/>
    <w:rsid w:val="002B6B09"/>
    <w:rsid w:val="002C0930"/>
    <w:rsid w:val="002C183D"/>
    <w:rsid w:val="002C4C0D"/>
    <w:rsid w:val="002C5011"/>
    <w:rsid w:val="002D21AA"/>
    <w:rsid w:val="002D2B02"/>
    <w:rsid w:val="002D2C76"/>
    <w:rsid w:val="002D45F8"/>
    <w:rsid w:val="002D4A5F"/>
    <w:rsid w:val="002D5FAD"/>
    <w:rsid w:val="002E0E06"/>
    <w:rsid w:val="002E66DA"/>
    <w:rsid w:val="002E71A9"/>
    <w:rsid w:val="002E79B7"/>
    <w:rsid w:val="002F7CB9"/>
    <w:rsid w:val="00301F8D"/>
    <w:rsid w:val="00303647"/>
    <w:rsid w:val="00303D87"/>
    <w:rsid w:val="00303F14"/>
    <w:rsid w:val="00305D9D"/>
    <w:rsid w:val="0031310C"/>
    <w:rsid w:val="00314C74"/>
    <w:rsid w:val="00316388"/>
    <w:rsid w:val="00322692"/>
    <w:rsid w:val="0032477F"/>
    <w:rsid w:val="00325541"/>
    <w:rsid w:val="003275D0"/>
    <w:rsid w:val="00336B6F"/>
    <w:rsid w:val="0033760F"/>
    <w:rsid w:val="00341F7B"/>
    <w:rsid w:val="00353651"/>
    <w:rsid w:val="00360651"/>
    <w:rsid w:val="00361B56"/>
    <w:rsid w:val="00361D13"/>
    <w:rsid w:val="003670EF"/>
    <w:rsid w:val="00367842"/>
    <w:rsid w:val="00370E77"/>
    <w:rsid w:val="003725E9"/>
    <w:rsid w:val="003747B2"/>
    <w:rsid w:val="0037699A"/>
    <w:rsid w:val="00376B97"/>
    <w:rsid w:val="00381E69"/>
    <w:rsid w:val="00383EC6"/>
    <w:rsid w:val="00383F5F"/>
    <w:rsid w:val="003910DB"/>
    <w:rsid w:val="003953D8"/>
    <w:rsid w:val="003A0A8B"/>
    <w:rsid w:val="003A1093"/>
    <w:rsid w:val="003A2CCA"/>
    <w:rsid w:val="003B33F1"/>
    <w:rsid w:val="003B42EA"/>
    <w:rsid w:val="003B4527"/>
    <w:rsid w:val="003C1D7C"/>
    <w:rsid w:val="003C4825"/>
    <w:rsid w:val="003C53E8"/>
    <w:rsid w:val="003C695F"/>
    <w:rsid w:val="003C6AD4"/>
    <w:rsid w:val="003D6052"/>
    <w:rsid w:val="003D73B5"/>
    <w:rsid w:val="003E02DF"/>
    <w:rsid w:val="003E1185"/>
    <w:rsid w:val="003E15CA"/>
    <w:rsid w:val="003E63D0"/>
    <w:rsid w:val="003E7F14"/>
    <w:rsid w:val="003F4AC8"/>
    <w:rsid w:val="003F62F0"/>
    <w:rsid w:val="00400D63"/>
    <w:rsid w:val="004013F0"/>
    <w:rsid w:val="004038EC"/>
    <w:rsid w:val="004051D9"/>
    <w:rsid w:val="00405436"/>
    <w:rsid w:val="00406D02"/>
    <w:rsid w:val="00407FB8"/>
    <w:rsid w:val="004118E8"/>
    <w:rsid w:val="00411C53"/>
    <w:rsid w:val="00412BC8"/>
    <w:rsid w:val="00412FC1"/>
    <w:rsid w:val="0041759C"/>
    <w:rsid w:val="00420DD7"/>
    <w:rsid w:val="00425108"/>
    <w:rsid w:val="00427A90"/>
    <w:rsid w:val="00430D74"/>
    <w:rsid w:val="00430FF3"/>
    <w:rsid w:val="00432183"/>
    <w:rsid w:val="00437FB4"/>
    <w:rsid w:val="004426DB"/>
    <w:rsid w:val="004431A6"/>
    <w:rsid w:val="00444312"/>
    <w:rsid w:val="00445937"/>
    <w:rsid w:val="004603D8"/>
    <w:rsid w:val="00465BC3"/>
    <w:rsid w:val="00471E06"/>
    <w:rsid w:val="00471FB5"/>
    <w:rsid w:val="00473A58"/>
    <w:rsid w:val="00476B13"/>
    <w:rsid w:val="00477031"/>
    <w:rsid w:val="00483E07"/>
    <w:rsid w:val="00485B8D"/>
    <w:rsid w:val="00487706"/>
    <w:rsid w:val="00487BCD"/>
    <w:rsid w:val="0049476C"/>
    <w:rsid w:val="004A08CD"/>
    <w:rsid w:val="004A234F"/>
    <w:rsid w:val="004A55CA"/>
    <w:rsid w:val="004A5EBD"/>
    <w:rsid w:val="004B1F71"/>
    <w:rsid w:val="004B2264"/>
    <w:rsid w:val="004B2664"/>
    <w:rsid w:val="004C38F8"/>
    <w:rsid w:val="004D13B4"/>
    <w:rsid w:val="004D66F6"/>
    <w:rsid w:val="004E0E4F"/>
    <w:rsid w:val="004E2ADF"/>
    <w:rsid w:val="004E4610"/>
    <w:rsid w:val="004E4EB3"/>
    <w:rsid w:val="004E6635"/>
    <w:rsid w:val="004E7617"/>
    <w:rsid w:val="004F082F"/>
    <w:rsid w:val="004F1D4F"/>
    <w:rsid w:val="004F2563"/>
    <w:rsid w:val="004F2C8D"/>
    <w:rsid w:val="00500E44"/>
    <w:rsid w:val="00502654"/>
    <w:rsid w:val="0050340D"/>
    <w:rsid w:val="0050432B"/>
    <w:rsid w:val="00511598"/>
    <w:rsid w:val="00511E72"/>
    <w:rsid w:val="0051572D"/>
    <w:rsid w:val="00516358"/>
    <w:rsid w:val="00524E33"/>
    <w:rsid w:val="005268E4"/>
    <w:rsid w:val="00531683"/>
    <w:rsid w:val="0053351E"/>
    <w:rsid w:val="00534CBB"/>
    <w:rsid w:val="0053713E"/>
    <w:rsid w:val="00540AE9"/>
    <w:rsid w:val="00545A91"/>
    <w:rsid w:val="00545B2D"/>
    <w:rsid w:val="0054648E"/>
    <w:rsid w:val="00550465"/>
    <w:rsid w:val="0055128A"/>
    <w:rsid w:val="00551803"/>
    <w:rsid w:val="005524AB"/>
    <w:rsid w:val="00554804"/>
    <w:rsid w:val="00555BE6"/>
    <w:rsid w:val="005574FD"/>
    <w:rsid w:val="00560AD7"/>
    <w:rsid w:val="0056156C"/>
    <w:rsid w:val="00571846"/>
    <w:rsid w:val="00576738"/>
    <w:rsid w:val="00577F7F"/>
    <w:rsid w:val="0058612B"/>
    <w:rsid w:val="00592BFB"/>
    <w:rsid w:val="005957E9"/>
    <w:rsid w:val="00597C53"/>
    <w:rsid w:val="005A177F"/>
    <w:rsid w:val="005A23A9"/>
    <w:rsid w:val="005B0CE8"/>
    <w:rsid w:val="005B2481"/>
    <w:rsid w:val="005B47E3"/>
    <w:rsid w:val="005B7088"/>
    <w:rsid w:val="005C321C"/>
    <w:rsid w:val="005C358A"/>
    <w:rsid w:val="005C5AED"/>
    <w:rsid w:val="005C7B6B"/>
    <w:rsid w:val="005D0B4E"/>
    <w:rsid w:val="005D28AD"/>
    <w:rsid w:val="005D2B7E"/>
    <w:rsid w:val="005D385A"/>
    <w:rsid w:val="005D6087"/>
    <w:rsid w:val="005D7064"/>
    <w:rsid w:val="005D7126"/>
    <w:rsid w:val="005E142D"/>
    <w:rsid w:val="005E1DD0"/>
    <w:rsid w:val="005E2E38"/>
    <w:rsid w:val="005E719B"/>
    <w:rsid w:val="005F28D1"/>
    <w:rsid w:val="005F2E72"/>
    <w:rsid w:val="005F6204"/>
    <w:rsid w:val="005F7116"/>
    <w:rsid w:val="00600A50"/>
    <w:rsid w:val="0060119D"/>
    <w:rsid w:val="00602AA1"/>
    <w:rsid w:val="0060528A"/>
    <w:rsid w:val="00606C78"/>
    <w:rsid w:val="006107C5"/>
    <w:rsid w:val="00614BD0"/>
    <w:rsid w:val="00614E1B"/>
    <w:rsid w:val="006242E6"/>
    <w:rsid w:val="00626BFE"/>
    <w:rsid w:val="006348FA"/>
    <w:rsid w:val="0064410D"/>
    <w:rsid w:val="00647466"/>
    <w:rsid w:val="0064771D"/>
    <w:rsid w:val="00653D72"/>
    <w:rsid w:val="0066332E"/>
    <w:rsid w:val="00663B94"/>
    <w:rsid w:val="0066448A"/>
    <w:rsid w:val="00664BDF"/>
    <w:rsid w:val="006661BD"/>
    <w:rsid w:val="0067144A"/>
    <w:rsid w:val="00672BF0"/>
    <w:rsid w:val="00675EC8"/>
    <w:rsid w:val="006934A2"/>
    <w:rsid w:val="006942AC"/>
    <w:rsid w:val="00694CFB"/>
    <w:rsid w:val="006A0595"/>
    <w:rsid w:val="006A0FF7"/>
    <w:rsid w:val="006A3D1D"/>
    <w:rsid w:val="006A44A4"/>
    <w:rsid w:val="006A5174"/>
    <w:rsid w:val="006A7BC9"/>
    <w:rsid w:val="006A7F37"/>
    <w:rsid w:val="006B2884"/>
    <w:rsid w:val="006B4399"/>
    <w:rsid w:val="006C1112"/>
    <w:rsid w:val="006C1BE1"/>
    <w:rsid w:val="006C3AB5"/>
    <w:rsid w:val="006C6369"/>
    <w:rsid w:val="006C6EED"/>
    <w:rsid w:val="006C720C"/>
    <w:rsid w:val="006D1F15"/>
    <w:rsid w:val="006D3F70"/>
    <w:rsid w:val="006D4B51"/>
    <w:rsid w:val="006D599B"/>
    <w:rsid w:val="006D5ABD"/>
    <w:rsid w:val="006E1204"/>
    <w:rsid w:val="006E5083"/>
    <w:rsid w:val="006F0464"/>
    <w:rsid w:val="006F055B"/>
    <w:rsid w:val="006F37DD"/>
    <w:rsid w:val="006F4510"/>
    <w:rsid w:val="00701038"/>
    <w:rsid w:val="007014AB"/>
    <w:rsid w:val="0070172A"/>
    <w:rsid w:val="007017AE"/>
    <w:rsid w:val="007030B7"/>
    <w:rsid w:val="00703103"/>
    <w:rsid w:val="0071104D"/>
    <w:rsid w:val="00714AD5"/>
    <w:rsid w:val="007150A4"/>
    <w:rsid w:val="00716553"/>
    <w:rsid w:val="00720E84"/>
    <w:rsid w:val="00721DBE"/>
    <w:rsid w:val="00722615"/>
    <w:rsid w:val="00727237"/>
    <w:rsid w:val="007357A4"/>
    <w:rsid w:val="00736176"/>
    <w:rsid w:val="00737B8F"/>
    <w:rsid w:val="00747973"/>
    <w:rsid w:val="00752763"/>
    <w:rsid w:val="007576A6"/>
    <w:rsid w:val="00761E6B"/>
    <w:rsid w:val="00761EDB"/>
    <w:rsid w:val="00762FB3"/>
    <w:rsid w:val="00763643"/>
    <w:rsid w:val="007670E3"/>
    <w:rsid w:val="007705F8"/>
    <w:rsid w:val="007718BA"/>
    <w:rsid w:val="00773775"/>
    <w:rsid w:val="0077785A"/>
    <w:rsid w:val="00777975"/>
    <w:rsid w:val="00777CBE"/>
    <w:rsid w:val="00780453"/>
    <w:rsid w:val="00783D13"/>
    <w:rsid w:val="007918B0"/>
    <w:rsid w:val="00793DC3"/>
    <w:rsid w:val="00796E05"/>
    <w:rsid w:val="007A1134"/>
    <w:rsid w:val="007A1AAD"/>
    <w:rsid w:val="007A41FF"/>
    <w:rsid w:val="007A48A7"/>
    <w:rsid w:val="007A6908"/>
    <w:rsid w:val="007B3092"/>
    <w:rsid w:val="007B4DAA"/>
    <w:rsid w:val="007B5185"/>
    <w:rsid w:val="007B55AB"/>
    <w:rsid w:val="007B5C7C"/>
    <w:rsid w:val="007C03B3"/>
    <w:rsid w:val="007C4260"/>
    <w:rsid w:val="007C4AF6"/>
    <w:rsid w:val="007C50CD"/>
    <w:rsid w:val="007C6EC6"/>
    <w:rsid w:val="007C7A76"/>
    <w:rsid w:val="007D2DEA"/>
    <w:rsid w:val="007F0B92"/>
    <w:rsid w:val="007F3EEE"/>
    <w:rsid w:val="007F5883"/>
    <w:rsid w:val="007F723A"/>
    <w:rsid w:val="00801628"/>
    <w:rsid w:val="00803D39"/>
    <w:rsid w:val="008108C4"/>
    <w:rsid w:val="00822AA1"/>
    <w:rsid w:val="0082399E"/>
    <w:rsid w:val="00824940"/>
    <w:rsid w:val="00824A95"/>
    <w:rsid w:val="00825145"/>
    <w:rsid w:val="0083129A"/>
    <w:rsid w:val="00832805"/>
    <w:rsid w:val="0083463D"/>
    <w:rsid w:val="0084236E"/>
    <w:rsid w:val="00842709"/>
    <w:rsid w:val="008427C3"/>
    <w:rsid w:val="00847226"/>
    <w:rsid w:val="008531A9"/>
    <w:rsid w:val="00853E87"/>
    <w:rsid w:val="008573C9"/>
    <w:rsid w:val="00857E24"/>
    <w:rsid w:val="00860CC8"/>
    <w:rsid w:val="0086186D"/>
    <w:rsid w:val="008623A9"/>
    <w:rsid w:val="008630E1"/>
    <w:rsid w:val="00863366"/>
    <w:rsid w:val="008649F4"/>
    <w:rsid w:val="00865556"/>
    <w:rsid w:val="00865636"/>
    <w:rsid w:val="00866EEF"/>
    <w:rsid w:val="00872B92"/>
    <w:rsid w:val="00873A2E"/>
    <w:rsid w:val="0087401A"/>
    <w:rsid w:val="00874AD1"/>
    <w:rsid w:val="008829F9"/>
    <w:rsid w:val="00882DE1"/>
    <w:rsid w:val="00884C63"/>
    <w:rsid w:val="008879F2"/>
    <w:rsid w:val="00887B73"/>
    <w:rsid w:val="00891C81"/>
    <w:rsid w:val="008954B5"/>
    <w:rsid w:val="00895D24"/>
    <w:rsid w:val="008A0B52"/>
    <w:rsid w:val="008B7948"/>
    <w:rsid w:val="008C0635"/>
    <w:rsid w:val="008C0B7F"/>
    <w:rsid w:val="008C0E56"/>
    <w:rsid w:val="008C3FAD"/>
    <w:rsid w:val="008C5C5A"/>
    <w:rsid w:val="008C7D2C"/>
    <w:rsid w:val="008E3D05"/>
    <w:rsid w:val="008E47FC"/>
    <w:rsid w:val="008E4D21"/>
    <w:rsid w:val="008E555F"/>
    <w:rsid w:val="008E721F"/>
    <w:rsid w:val="008E7FA6"/>
    <w:rsid w:val="008F0747"/>
    <w:rsid w:val="008F0EE4"/>
    <w:rsid w:val="008F2362"/>
    <w:rsid w:val="008F2481"/>
    <w:rsid w:val="00901368"/>
    <w:rsid w:val="00902CA2"/>
    <w:rsid w:val="009053C2"/>
    <w:rsid w:val="0090569F"/>
    <w:rsid w:val="00905ADA"/>
    <w:rsid w:val="00910730"/>
    <w:rsid w:val="009123A4"/>
    <w:rsid w:val="00914A5C"/>
    <w:rsid w:val="00916C64"/>
    <w:rsid w:val="00924C4C"/>
    <w:rsid w:val="009313D6"/>
    <w:rsid w:val="00933BA2"/>
    <w:rsid w:val="00936DD1"/>
    <w:rsid w:val="009422D5"/>
    <w:rsid w:val="00943C7C"/>
    <w:rsid w:val="00946672"/>
    <w:rsid w:val="00947215"/>
    <w:rsid w:val="00952B72"/>
    <w:rsid w:val="0095493C"/>
    <w:rsid w:val="00954C8A"/>
    <w:rsid w:val="00956829"/>
    <w:rsid w:val="009604C7"/>
    <w:rsid w:val="00960C38"/>
    <w:rsid w:val="00973CB8"/>
    <w:rsid w:val="0098526B"/>
    <w:rsid w:val="009860D0"/>
    <w:rsid w:val="00992AB7"/>
    <w:rsid w:val="00994188"/>
    <w:rsid w:val="009B6677"/>
    <w:rsid w:val="009B6FFB"/>
    <w:rsid w:val="009C1E3A"/>
    <w:rsid w:val="009C2914"/>
    <w:rsid w:val="009C6E9F"/>
    <w:rsid w:val="009D4FD1"/>
    <w:rsid w:val="009E087C"/>
    <w:rsid w:val="009E08BB"/>
    <w:rsid w:val="009E1BAD"/>
    <w:rsid w:val="009E1CC9"/>
    <w:rsid w:val="009F64AA"/>
    <w:rsid w:val="009F7F66"/>
    <w:rsid w:val="00A00CFB"/>
    <w:rsid w:val="00A027C3"/>
    <w:rsid w:val="00A04F30"/>
    <w:rsid w:val="00A057BF"/>
    <w:rsid w:val="00A06A4B"/>
    <w:rsid w:val="00A06B10"/>
    <w:rsid w:val="00A10110"/>
    <w:rsid w:val="00A1425F"/>
    <w:rsid w:val="00A1734F"/>
    <w:rsid w:val="00A21F05"/>
    <w:rsid w:val="00A22057"/>
    <w:rsid w:val="00A22A35"/>
    <w:rsid w:val="00A2396A"/>
    <w:rsid w:val="00A25DC2"/>
    <w:rsid w:val="00A26EDB"/>
    <w:rsid w:val="00A30699"/>
    <w:rsid w:val="00A34FCB"/>
    <w:rsid w:val="00A35777"/>
    <w:rsid w:val="00A449FE"/>
    <w:rsid w:val="00A46428"/>
    <w:rsid w:val="00A50680"/>
    <w:rsid w:val="00A51AAD"/>
    <w:rsid w:val="00A525C6"/>
    <w:rsid w:val="00A559FB"/>
    <w:rsid w:val="00A57BA2"/>
    <w:rsid w:val="00A656CF"/>
    <w:rsid w:val="00A65785"/>
    <w:rsid w:val="00A666FC"/>
    <w:rsid w:val="00A66E9F"/>
    <w:rsid w:val="00A72E49"/>
    <w:rsid w:val="00A7378B"/>
    <w:rsid w:val="00A75901"/>
    <w:rsid w:val="00A8034E"/>
    <w:rsid w:val="00A80E94"/>
    <w:rsid w:val="00A812B4"/>
    <w:rsid w:val="00A8471C"/>
    <w:rsid w:val="00A92BAF"/>
    <w:rsid w:val="00A939AB"/>
    <w:rsid w:val="00A940CA"/>
    <w:rsid w:val="00A9769D"/>
    <w:rsid w:val="00AA06A8"/>
    <w:rsid w:val="00AA1429"/>
    <w:rsid w:val="00AA4444"/>
    <w:rsid w:val="00AA6A5B"/>
    <w:rsid w:val="00AB4A7B"/>
    <w:rsid w:val="00AB4F7A"/>
    <w:rsid w:val="00AB6DCC"/>
    <w:rsid w:val="00AC2797"/>
    <w:rsid w:val="00AC28BE"/>
    <w:rsid w:val="00AC7F75"/>
    <w:rsid w:val="00AD05EA"/>
    <w:rsid w:val="00AD4239"/>
    <w:rsid w:val="00AD64FE"/>
    <w:rsid w:val="00AE1E4F"/>
    <w:rsid w:val="00AE1F1C"/>
    <w:rsid w:val="00AF31B6"/>
    <w:rsid w:val="00B024D8"/>
    <w:rsid w:val="00B1287A"/>
    <w:rsid w:val="00B17B20"/>
    <w:rsid w:val="00B23C5E"/>
    <w:rsid w:val="00B302DB"/>
    <w:rsid w:val="00B32AFB"/>
    <w:rsid w:val="00B356FA"/>
    <w:rsid w:val="00B47F52"/>
    <w:rsid w:val="00B503BB"/>
    <w:rsid w:val="00B524D7"/>
    <w:rsid w:val="00B52A1F"/>
    <w:rsid w:val="00B60210"/>
    <w:rsid w:val="00B60A84"/>
    <w:rsid w:val="00B62D7A"/>
    <w:rsid w:val="00B65698"/>
    <w:rsid w:val="00B7219B"/>
    <w:rsid w:val="00B75156"/>
    <w:rsid w:val="00B80C43"/>
    <w:rsid w:val="00B82E09"/>
    <w:rsid w:val="00B86389"/>
    <w:rsid w:val="00B9584F"/>
    <w:rsid w:val="00B95B88"/>
    <w:rsid w:val="00BA3112"/>
    <w:rsid w:val="00BB3496"/>
    <w:rsid w:val="00BB4118"/>
    <w:rsid w:val="00BB440D"/>
    <w:rsid w:val="00BB53D7"/>
    <w:rsid w:val="00BB55AC"/>
    <w:rsid w:val="00BC0329"/>
    <w:rsid w:val="00BC6122"/>
    <w:rsid w:val="00BE3374"/>
    <w:rsid w:val="00BE522A"/>
    <w:rsid w:val="00BE78EA"/>
    <w:rsid w:val="00BE7F58"/>
    <w:rsid w:val="00BF1F26"/>
    <w:rsid w:val="00BF395C"/>
    <w:rsid w:val="00BF3CC0"/>
    <w:rsid w:val="00BF3DAB"/>
    <w:rsid w:val="00BF64BC"/>
    <w:rsid w:val="00C041A4"/>
    <w:rsid w:val="00C0420E"/>
    <w:rsid w:val="00C06B14"/>
    <w:rsid w:val="00C075F5"/>
    <w:rsid w:val="00C1246A"/>
    <w:rsid w:val="00C13545"/>
    <w:rsid w:val="00C20229"/>
    <w:rsid w:val="00C25276"/>
    <w:rsid w:val="00C307F8"/>
    <w:rsid w:val="00C331D9"/>
    <w:rsid w:val="00C37D67"/>
    <w:rsid w:val="00C4148C"/>
    <w:rsid w:val="00C438BD"/>
    <w:rsid w:val="00C539AF"/>
    <w:rsid w:val="00C53B8C"/>
    <w:rsid w:val="00C57092"/>
    <w:rsid w:val="00C61BB7"/>
    <w:rsid w:val="00C64BB2"/>
    <w:rsid w:val="00C755DA"/>
    <w:rsid w:val="00C80581"/>
    <w:rsid w:val="00C813DD"/>
    <w:rsid w:val="00C83046"/>
    <w:rsid w:val="00C8380A"/>
    <w:rsid w:val="00C8632E"/>
    <w:rsid w:val="00C903EC"/>
    <w:rsid w:val="00C90655"/>
    <w:rsid w:val="00C9451C"/>
    <w:rsid w:val="00C967EB"/>
    <w:rsid w:val="00C96D23"/>
    <w:rsid w:val="00CA395C"/>
    <w:rsid w:val="00CA53C5"/>
    <w:rsid w:val="00CA6183"/>
    <w:rsid w:val="00CB2443"/>
    <w:rsid w:val="00CB54A2"/>
    <w:rsid w:val="00CB5BEB"/>
    <w:rsid w:val="00CB67AA"/>
    <w:rsid w:val="00CC3FA6"/>
    <w:rsid w:val="00CC48B3"/>
    <w:rsid w:val="00CC5BC0"/>
    <w:rsid w:val="00CD165B"/>
    <w:rsid w:val="00CE3B03"/>
    <w:rsid w:val="00CF2D3A"/>
    <w:rsid w:val="00CF3C72"/>
    <w:rsid w:val="00CF53AB"/>
    <w:rsid w:val="00CF6AED"/>
    <w:rsid w:val="00D048B4"/>
    <w:rsid w:val="00D077D0"/>
    <w:rsid w:val="00D10F4C"/>
    <w:rsid w:val="00D12C0E"/>
    <w:rsid w:val="00D14202"/>
    <w:rsid w:val="00D14E7A"/>
    <w:rsid w:val="00D157F3"/>
    <w:rsid w:val="00D17A1C"/>
    <w:rsid w:val="00D200AD"/>
    <w:rsid w:val="00D21766"/>
    <w:rsid w:val="00D228A8"/>
    <w:rsid w:val="00D24755"/>
    <w:rsid w:val="00D310F9"/>
    <w:rsid w:val="00D35388"/>
    <w:rsid w:val="00D35B5C"/>
    <w:rsid w:val="00D432FC"/>
    <w:rsid w:val="00D436DF"/>
    <w:rsid w:val="00D445F0"/>
    <w:rsid w:val="00D4674E"/>
    <w:rsid w:val="00D55375"/>
    <w:rsid w:val="00D80C6D"/>
    <w:rsid w:val="00D84829"/>
    <w:rsid w:val="00D90F1C"/>
    <w:rsid w:val="00D92648"/>
    <w:rsid w:val="00DA3250"/>
    <w:rsid w:val="00DA5DB7"/>
    <w:rsid w:val="00DB5762"/>
    <w:rsid w:val="00DC1103"/>
    <w:rsid w:val="00DC1CC9"/>
    <w:rsid w:val="00DC38C9"/>
    <w:rsid w:val="00DC417D"/>
    <w:rsid w:val="00DC671C"/>
    <w:rsid w:val="00DD3033"/>
    <w:rsid w:val="00DD73B2"/>
    <w:rsid w:val="00DE286D"/>
    <w:rsid w:val="00DE4EA5"/>
    <w:rsid w:val="00DE6B2A"/>
    <w:rsid w:val="00DF4C1C"/>
    <w:rsid w:val="00DF4D5B"/>
    <w:rsid w:val="00E01C77"/>
    <w:rsid w:val="00E01EE0"/>
    <w:rsid w:val="00E0486E"/>
    <w:rsid w:val="00E126F9"/>
    <w:rsid w:val="00E14C02"/>
    <w:rsid w:val="00E16BDC"/>
    <w:rsid w:val="00E20F0D"/>
    <w:rsid w:val="00E22E04"/>
    <w:rsid w:val="00E24459"/>
    <w:rsid w:val="00E3111A"/>
    <w:rsid w:val="00E32F9C"/>
    <w:rsid w:val="00E34580"/>
    <w:rsid w:val="00E35040"/>
    <w:rsid w:val="00E43175"/>
    <w:rsid w:val="00E47E75"/>
    <w:rsid w:val="00E559E0"/>
    <w:rsid w:val="00E653C5"/>
    <w:rsid w:val="00E65636"/>
    <w:rsid w:val="00E67498"/>
    <w:rsid w:val="00E800E8"/>
    <w:rsid w:val="00E86397"/>
    <w:rsid w:val="00E87532"/>
    <w:rsid w:val="00E90504"/>
    <w:rsid w:val="00E92BC1"/>
    <w:rsid w:val="00E97EF3"/>
    <w:rsid w:val="00EA0900"/>
    <w:rsid w:val="00EA1456"/>
    <w:rsid w:val="00EA2BD8"/>
    <w:rsid w:val="00EA790B"/>
    <w:rsid w:val="00EB06EF"/>
    <w:rsid w:val="00EB12C6"/>
    <w:rsid w:val="00EB37F4"/>
    <w:rsid w:val="00EC0656"/>
    <w:rsid w:val="00EC449A"/>
    <w:rsid w:val="00EC49E9"/>
    <w:rsid w:val="00EC595F"/>
    <w:rsid w:val="00ED0879"/>
    <w:rsid w:val="00ED12AA"/>
    <w:rsid w:val="00ED17DE"/>
    <w:rsid w:val="00ED1B24"/>
    <w:rsid w:val="00ED7C40"/>
    <w:rsid w:val="00EE1F6F"/>
    <w:rsid w:val="00EE5697"/>
    <w:rsid w:val="00EE56DF"/>
    <w:rsid w:val="00EF58CB"/>
    <w:rsid w:val="00F00723"/>
    <w:rsid w:val="00F01583"/>
    <w:rsid w:val="00F02B6C"/>
    <w:rsid w:val="00F0607E"/>
    <w:rsid w:val="00F06372"/>
    <w:rsid w:val="00F12A70"/>
    <w:rsid w:val="00F12F71"/>
    <w:rsid w:val="00F156DB"/>
    <w:rsid w:val="00F15CEB"/>
    <w:rsid w:val="00F15E55"/>
    <w:rsid w:val="00F20C89"/>
    <w:rsid w:val="00F22EA3"/>
    <w:rsid w:val="00F250FA"/>
    <w:rsid w:val="00F310D9"/>
    <w:rsid w:val="00F326ED"/>
    <w:rsid w:val="00F32BC2"/>
    <w:rsid w:val="00F33B4F"/>
    <w:rsid w:val="00F33DC7"/>
    <w:rsid w:val="00F36B6E"/>
    <w:rsid w:val="00F402ED"/>
    <w:rsid w:val="00F44E7B"/>
    <w:rsid w:val="00F4795F"/>
    <w:rsid w:val="00F57A8D"/>
    <w:rsid w:val="00F60B2E"/>
    <w:rsid w:val="00F62EA3"/>
    <w:rsid w:val="00F635BF"/>
    <w:rsid w:val="00F670EA"/>
    <w:rsid w:val="00F7286C"/>
    <w:rsid w:val="00F86A59"/>
    <w:rsid w:val="00F905C8"/>
    <w:rsid w:val="00F93EBB"/>
    <w:rsid w:val="00F942A6"/>
    <w:rsid w:val="00F96C84"/>
    <w:rsid w:val="00FA1373"/>
    <w:rsid w:val="00FA712A"/>
    <w:rsid w:val="00FB2D96"/>
    <w:rsid w:val="00FC67FE"/>
    <w:rsid w:val="00FC726B"/>
    <w:rsid w:val="00FD0055"/>
    <w:rsid w:val="00FD0AE3"/>
    <w:rsid w:val="00FD17CE"/>
    <w:rsid w:val="00FD5929"/>
    <w:rsid w:val="00FE0CAA"/>
    <w:rsid w:val="00FE2900"/>
    <w:rsid w:val="00FF217F"/>
    <w:rsid w:val="00FF297B"/>
    <w:rsid w:val="00FF3E44"/>
    <w:rsid w:val="00FF57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9DE37-A22F-4690-A04B-7ED207F3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D9"/>
    <w:rPr>
      <w:rFonts w:ascii="Tahoma" w:hAnsi="Tahoma" w:cs="Tahoma"/>
      <w:sz w:val="16"/>
      <w:szCs w:val="16"/>
    </w:rPr>
  </w:style>
  <w:style w:type="paragraph" w:customStyle="1" w:styleId="Subsection">
    <w:name w:val="Subsection"/>
    <w:basedOn w:val="Normal"/>
    <w:uiPriority w:val="99"/>
    <w:semiHidden/>
    <w:qFormat/>
    <w:rsid w:val="00FD0AE3"/>
    <w:pPr>
      <w:spacing w:after="0" w:line="240" w:lineRule="auto"/>
      <w:ind w:left="567"/>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5A177F"/>
    <w:pPr>
      <w:ind w:left="720"/>
      <w:contextualSpacing/>
    </w:pPr>
  </w:style>
  <w:style w:type="paragraph" w:styleId="EndnoteText">
    <w:name w:val="endnote text"/>
    <w:basedOn w:val="Normal"/>
    <w:link w:val="EndnoteTextChar"/>
    <w:uiPriority w:val="99"/>
    <w:semiHidden/>
    <w:unhideWhenUsed/>
    <w:rsid w:val="00D10F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F4C"/>
    <w:rPr>
      <w:sz w:val="20"/>
      <w:szCs w:val="20"/>
    </w:rPr>
  </w:style>
  <w:style w:type="character" w:styleId="EndnoteReference">
    <w:name w:val="endnote reference"/>
    <w:basedOn w:val="DefaultParagraphFont"/>
    <w:uiPriority w:val="99"/>
    <w:semiHidden/>
    <w:unhideWhenUsed/>
    <w:rsid w:val="00D10F4C"/>
    <w:rPr>
      <w:vertAlign w:val="superscript"/>
    </w:rPr>
  </w:style>
  <w:style w:type="paragraph" w:styleId="FootnoteText">
    <w:name w:val="footnote text"/>
    <w:basedOn w:val="Normal"/>
    <w:link w:val="FootnoteTextChar"/>
    <w:uiPriority w:val="99"/>
    <w:unhideWhenUsed/>
    <w:rsid w:val="00D10F4C"/>
    <w:pPr>
      <w:spacing w:after="0" w:line="240" w:lineRule="auto"/>
    </w:pPr>
    <w:rPr>
      <w:sz w:val="20"/>
      <w:szCs w:val="20"/>
    </w:rPr>
  </w:style>
  <w:style w:type="character" w:customStyle="1" w:styleId="FootnoteTextChar">
    <w:name w:val="Footnote Text Char"/>
    <w:basedOn w:val="DefaultParagraphFont"/>
    <w:link w:val="FootnoteText"/>
    <w:uiPriority w:val="99"/>
    <w:rsid w:val="00D10F4C"/>
    <w:rPr>
      <w:sz w:val="20"/>
      <w:szCs w:val="20"/>
    </w:rPr>
  </w:style>
  <w:style w:type="character" w:styleId="FootnoteReference">
    <w:name w:val="footnote reference"/>
    <w:basedOn w:val="DefaultParagraphFont"/>
    <w:uiPriority w:val="99"/>
    <w:semiHidden/>
    <w:unhideWhenUsed/>
    <w:rsid w:val="00D10F4C"/>
    <w:rPr>
      <w:vertAlign w:val="superscript"/>
    </w:rPr>
  </w:style>
  <w:style w:type="paragraph" w:styleId="NormalWeb">
    <w:name w:val="Normal (Web)"/>
    <w:basedOn w:val="Normal"/>
    <w:uiPriority w:val="99"/>
    <w:unhideWhenUsed/>
    <w:rsid w:val="00F93EB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1E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70"/>
  </w:style>
  <w:style w:type="paragraph" w:styleId="Footer">
    <w:name w:val="footer"/>
    <w:basedOn w:val="Normal"/>
    <w:link w:val="FooterChar"/>
    <w:uiPriority w:val="99"/>
    <w:unhideWhenUsed/>
    <w:rsid w:val="001E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70"/>
  </w:style>
  <w:style w:type="paragraph" w:customStyle="1" w:styleId="BodyAA">
    <w:name w:val="Body A A"/>
    <w:uiPriority w:val="99"/>
    <w:rsid w:val="00B47F52"/>
    <w:pPr>
      <w:spacing w:after="160" w:line="254"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cover.sabinet.co.za/webx/access/netlaw/28_2014_legal_practice_act.htm" TargetMode="External"/><Relationship Id="rId5" Type="http://schemas.openxmlformats.org/officeDocument/2006/relationships/webSettings" Target="webSettings.xml"/><Relationship Id="rId10" Type="http://schemas.openxmlformats.org/officeDocument/2006/relationships/hyperlink" Target="https://discover.sabinet.co.za/webx/access/netlaw/28_2014_legal_practice_act.htm"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77BA-8B04-4A5C-AB6E-BDB3258D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Matshaya Monde</dc:creator>
  <cp:lastModifiedBy>Mary Bruce</cp:lastModifiedBy>
  <cp:revision>6</cp:revision>
  <cp:lastPrinted>2024-04-10T07:01:00Z</cp:lastPrinted>
  <dcterms:created xsi:type="dcterms:W3CDTF">2024-03-28T10:27:00Z</dcterms:created>
  <dcterms:modified xsi:type="dcterms:W3CDTF">2024-04-23T16:17:00Z</dcterms:modified>
</cp:coreProperties>
</file>