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CE141" w14:textId="77777777" w:rsidR="0027530B" w:rsidRPr="00070A6C" w:rsidRDefault="0027530B" w:rsidP="0027530B">
      <w:pPr>
        <w:spacing w:after="240" w:line="360" w:lineRule="auto"/>
        <w:jc w:val="center"/>
        <w:rPr>
          <w:rFonts w:ascii="Arial" w:hAnsi="Arial" w:cs="Arial"/>
          <w:b/>
          <w:bCs/>
          <w:lang w:val="en-GB"/>
        </w:rPr>
      </w:pPr>
      <w:bookmarkStart w:id="0" w:name="_GoBack"/>
      <w:bookmarkEnd w:id="0"/>
      <w:r w:rsidRPr="00070A6C">
        <w:rPr>
          <w:rFonts w:ascii="Arial" w:hAnsi="Arial" w:cs="Arial"/>
          <w:b/>
          <w:noProof/>
          <w:lang w:eastAsia="en-ZA"/>
        </w:rPr>
        <w:drawing>
          <wp:inline distT="0" distB="0" distL="0" distR="0" wp14:anchorId="7E8FB212" wp14:editId="69AF4643">
            <wp:extent cx="1647825" cy="157162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571625"/>
                    </a:xfrm>
                    <a:prstGeom prst="rect">
                      <a:avLst/>
                    </a:prstGeom>
                    <a:noFill/>
                    <a:ln>
                      <a:noFill/>
                    </a:ln>
                  </pic:spPr>
                </pic:pic>
              </a:graphicData>
            </a:graphic>
          </wp:inline>
        </w:drawing>
      </w:r>
    </w:p>
    <w:p w14:paraId="565A6D2D" w14:textId="77777777" w:rsidR="0027530B" w:rsidRPr="00070A6C" w:rsidRDefault="0027530B" w:rsidP="0027530B">
      <w:pPr>
        <w:spacing w:after="240" w:line="360" w:lineRule="auto"/>
        <w:jc w:val="center"/>
        <w:rPr>
          <w:rFonts w:ascii="Arial" w:hAnsi="Arial" w:cs="Arial"/>
          <w:b/>
          <w:bCs/>
          <w:lang w:val="en-GB"/>
        </w:rPr>
      </w:pPr>
      <w:r w:rsidRPr="00070A6C">
        <w:rPr>
          <w:rFonts w:ascii="Arial" w:hAnsi="Arial" w:cs="Arial"/>
          <w:b/>
          <w:bCs/>
          <w:lang w:val="en-GB"/>
        </w:rPr>
        <w:t>IN THE HIGH COURT OF SOUTH AFRICA</w:t>
      </w:r>
      <w:r w:rsidRPr="00070A6C">
        <w:rPr>
          <w:rFonts w:ascii="Arial" w:hAnsi="Arial" w:cs="Arial"/>
          <w:b/>
          <w:bCs/>
          <w:lang w:val="en-GB"/>
        </w:rPr>
        <w:br/>
        <w:t>GAUTENG LOCAL DIVISION, JOHANNESBURG</w:t>
      </w:r>
    </w:p>
    <w:p w14:paraId="661B4D22" w14:textId="70B859D5" w:rsidR="0027530B" w:rsidRPr="00070A6C" w:rsidRDefault="0027530B" w:rsidP="0027530B">
      <w:pPr>
        <w:spacing w:after="240" w:line="360" w:lineRule="auto"/>
        <w:jc w:val="right"/>
        <w:rPr>
          <w:rFonts w:ascii="Arial" w:hAnsi="Arial" w:cs="Arial"/>
          <w:lang w:val="en-GB"/>
        </w:rPr>
      </w:pPr>
      <w:r w:rsidRPr="00070A6C">
        <w:rPr>
          <w:rFonts w:ascii="Arial" w:hAnsi="Arial" w:cs="Arial"/>
          <w:lang w:val="en-GB"/>
        </w:rPr>
        <w:t xml:space="preserve">Case no: </w:t>
      </w:r>
      <w:r w:rsidR="00BA1F76">
        <w:rPr>
          <w:rFonts w:ascii="Arial" w:hAnsi="Arial" w:cs="Arial"/>
          <w:lang w:val="en-GB"/>
        </w:rPr>
        <w:t>37587/2020</w:t>
      </w:r>
    </w:p>
    <w:tbl>
      <w:tblPr>
        <w:tblStyle w:val="TableGrid"/>
        <w:tblW w:w="0" w:type="auto"/>
        <w:tblLook w:val="04A0" w:firstRow="1" w:lastRow="0" w:firstColumn="1" w:lastColumn="0" w:noHBand="0" w:noVBand="1"/>
      </w:tblPr>
      <w:tblGrid>
        <w:gridCol w:w="5098"/>
      </w:tblGrid>
      <w:tr w:rsidR="0027530B" w:rsidRPr="00070A6C" w14:paraId="7B779A38" w14:textId="77777777" w:rsidTr="005D19DA">
        <w:tc>
          <w:tcPr>
            <w:tcW w:w="5098" w:type="dxa"/>
          </w:tcPr>
          <w:p w14:paraId="406AFFDF" w14:textId="2EA75939" w:rsidR="0027530B" w:rsidRPr="00070A6C" w:rsidRDefault="0027530B" w:rsidP="0027530B">
            <w:pPr>
              <w:pStyle w:val="ListParagraph"/>
              <w:widowControl w:val="0"/>
              <w:numPr>
                <w:ilvl w:val="0"/>
                <w:numId w:val="7"/>
              </w:numPr>
              <w:tabs>
                <w:tab w:val="clear" w:pos="900"/>
                <w:tab w:val="right" w:pos="4853"/>
              </w:tabs>
              <w:autoSpaceDE w:val="0"/>
              <w:autoSpaceDN w:val="0"/>
              <w:adjustRightInd w:val="0"/>
              <w:ind w:left="600" w:hanging="600"/>
              <w:contextualSpacing w:val="0"/>
              <w:jc w:val="both"/>
              <w:rPr>
                <w:rFonts w:ascii="Arial" w:eastAsia="Times" w:hAnsi="Arial" w:cs="Arial"/>
                <w:sz w:val="20"/>
                <w:szCs w:val="20"/>
                <w:lang w:val="en-GB"/>
              </w:rPr>
            </w:pPr>
            <w:r w:rsidRPr="00070A6C">
              <w:rPr>
                <w:rFonts w:ascii="Arial" w:eastAsia="Times" w:hAnsi="Arial" w:cs="Arial"/>
                <w:sz w:val="20"/>
                <w:lang w:val="en-GB"/>
              </w:rPr>
              <w:t xml:space="preserve">REPORTABLE: </w:t>
            </w:r>
            <w:r w:rsidRPr="00070A6C">
              <w:rPr>
                <w:rFonts w:ascii="Arial" w:eastAsia="Times" w:hAnsi="Arial" w:cs="Arial"/>
                <w:sz w:val="20"/>
                <w:lang w:val="en-GB"/>
              </w:rPr>
              <w:tab/>
            </w:r>
            <w:r w:rsidR="00BA1F76">
              <w:rPr>
                <w:rFonts w:ascii="Arial" w:eastAsia="Times" w:hAnsi="Arial" w:cs="Arial"/>
                <w:sz w:val="20"/>
                <w:lang w:val="en-GB"/>
              </w:rPr>
              <w:t>NO</w:t>
            </w:r>
          </w:p>
          <w:p w14:paraId="63E6E4C7" w14:textId="539C58AC" w:rsidR="0027530B" w:rsidRPr="00070A6C" w:rsidRDefault="0027530B" w:rsidP="0027530B">
            <w:pPr>
              <w:widowControl w:val="0"/>
              <w:numPr>
                <w:ilvl w:val="0"/>
                <w:numId w:val="7"/>
              </w:numPr>
              <w:tabs>
                <w:tab w:val="clear" w:pos="900"/>
                <w:tab w:val="right" w:pos="4853"/>
              </w:tabs>
              <w:autoSpaceDE w:val="0"/>
              <w:autoSpaceDN w:val="0"/>
              <w:adjustRightInd w:val="0"/>
              <w:ind w:left="600" w:hanging="600"/>
              <w:rPr>
                <w:rFonts w:ascii="Arial" w:eastAsia="Times" w:hAnsi="Arial" w:cs="Arial"/>
                <w:sz w:val="20"/>
                <w:lang w:val="en-GB"/>
              </w:rPr>
            </w:pPr>
            <w:r w:rsidRPr="00070A6C">
              <w:rPr>
                <w:rFonts w:ascii="Arial" w:eastAsia="Times" w:hAnsi="Arial" w:cs="Arial"/>
                <w:sz w:val="20"/>
                <w:lang w:val="en-GB"/>
              </w:rPr>
              <w:t xml:space="preserve">OF INTEREST TO OTHER JUDGES: </w:t>
            </w:r>
            <w:r w:rsidRPr="00070A6C">
              <w:rPr>
                <w:rFonts w:ascii="Arial" w:eastAsia="Times" w:hAnsi="Arial" w:cs="Arial"/>
                <w:sz w:val="20"/>
                <w:lang w:val="en-GB"/>
              </w:rPr>
              <w:tab/>
            </w:r>
            <w:r w:rsidR="00BA1F76">
              <w:rPr>
                <w:rFonts w:ascii="Arial" w:eastAsia="Times" w:hAnsi="Arial" w:cs="Arial"/>
                <w:sz w:val="20"/>
                <w:lang w:val="en-GB"/>
              </w:rPr>
              <w:t>NO</w:t>
            </w:r>
          </w:p>
          <w:p w14:paraId="2BE38D2C" w14:textId="111C9F60" w:rsidR="0027530B" w:rsidRPr="00070A6C" w:rsidRDefault="0027530B" w:rsidP="0027530B">
            <w:pPr>
              <w:widowControl w:val="0"/>
              <w:numPr>
                <w:ilvl w:val="0"/>
                <w:numId w:val="7"/>
              </w:numPr>
              <w:tabs>
                <w:tab w:val="clear" w:pos="900"/>
                <w:tab w:val="right" w:pos="4853"/>
              </w:tabs>
              <w:autoSpaceDE w:val="0"/>
              <w:autoSpaceDN w:val="0"/>
              <w:adjustRightInd w:val="0"/>
              <w:ind w:left="600" w:hanging="600"/>
              <w:rPr>
                <w:rFonts w:ascii="Arial" w:eastAsia="Times" w:hAnsi="Arial" w:cs="Arial"/>
                <w:sz w:val="20"/>
                <w:lang w:val="en-GB"/>
              </w:rPr>
            </w:pPr>
            <w:r w:rsidRPr="00070A6C">
              <w:rPr>
                <w:rFonts w:ascii="Arial" w:eastAsia="Times" w:hAnsi="Arial" w:cs="Arial"/>
                <w:sz w:val="20"/>
                <w:lang w:val="en-GB"/>
              </w:rPr>
              <w:t xml:space="preserve">REVISED: </w:t>
            </w:r>
            <w:r w:rsidRPr="00070A6C">
              <w:rPr>
                <w:rFonts w:ascii="Arial" w:eastAsia="Times" w:hAnsi="Arial" w:cs="Arial"/>
                <w:sz w:val="20"/>
                <w:lang w:val="en-GB"/>
              </w:rPr>
              <w:tab/>
            </w:r>
            <w:r w:rsidR="00BA1F76">
              <w:rPr>
                <w:rFonts w:ascii="Arial" w:eastAsia="Times" w:hAnsi="Arial" w:cs="Arial"/>
                <w:sz w:val="20"/>
                <w:lang w:val="en-GB"/>
              </w:rPr>
              <w:t>NO</w:t>
            </w:r>
          </w:p>
          <w:p w14:paraId="53AB9385" w14:textId="77777777" w:rsidR="0027530B" w:rsidRPr="00070A6C" w:rsidRDefault="0027530B" w:rsidP="005D19DA">
            <w:pPr>
              <w:widowControl w:val="0"/>
              <w:autoSpaceDE w:val="0"/>
              <w:autoSpaceDN w:val="0"/>
              <w:adjustRightInd w:val="0"/>
              <w:rPr>
                <w:rFonts w:ascii="Arial" w:eastAsia="Times" w:hAnsi="Arial" w:cs="Arial"/>
                <w:bCs/>
                <w:sz w:val="20"/>
                <w:lang w:val="en-GB"/>
              </w:rPr>
            </w:pPr>
          </w:p>
          <w:p w14:paraId="78473A8B" w14:textId="7A93C1FF" w:rsidR="0027530B" w:rsidRPr="00070A6C" w:rsidRDefault="0027530B" w:rsidP="005D19DA">
            <w:pPr>
              <w:widowControl w:val="0"/>
              <w:autoSpaceDE w:val="0"/>
              <w:autoSpaceDN w:val="0"/>
              <w:adjustRightInd w:val="0"/>
              <w:rPr>
                <w:rFonts w:ascii="Arial" w:eastAsia="Times" w:hAnsi="Arial" w:cs="Arial"/>
                <w:bCs/>
                <w:sz w:val="20"/>
                <w:lang w:val="en-GB"/>
              </w:rPr>
            </w:pPr>
            <w:r w:rsidRPr="00070A6C">
              <w:rPr>
                <w:rFonts w:ascii="Arial" w:eastAsia="Times" w:hAnsi="Arial" w:cs="Arial"/>
                <w:bCs/>
                <w:sz w:val="20"/>
                <w:lang w:val="en-GB"/>
              </w:rPr>
              <w:t xml:space="preserve">DATE: </w:t>
            </w:r>
            <w:r w:rsidR="00BA1F76">
              <w:rPr>
                <w:rFonts w:ascii="Arial" w:eastAsia="Times" w:hAnsi="Arial" w:cs="Arial"/>
                <w:bCs/>
                <w:sz w:val="20"/>
                <w:lang w:val="en-GB"/>
              </w:rPr>
              <w:t>19 October 2021</w:t>
            </w:r>
          </w:p>
          <w:p w14:paraId="5F9DCF8B" w14:textId="77777777" w:rsidR="0027530B" w:rsidRPr="00070A6C" w:rsidRDefault="0027530B" w:rsidP="005D19DA">
            <w:pPr>
              <w:widowControl w:val="0"/>
              <w:autoSpaceDE w:val="0"/>
              <w:autoSpaceDN w:val="0"/>
              <w:adjustRightInd w:val="0"/>
              <w:rPr>
                <w:rFonts w:ascii="Arial" w:eastAsia="Times" w:hAnsi="Arial" w:cs="Arial"/>
                <w:bCs/>
                <w:sz w:val="20"/>
                <w:lang w:val="en-GB"/>
              </w:rPr>
            </w:pPr>
          </w:p>
          <w:p w14:paraId="442FFAD0" w14:textId="77777777" w:rsidR="0027530B" w:rsidRPr="00070A6C" w:rsidRDefault="0027530B" w:rsidP="005D19DA">
            <w:pPr>
              <w:widowControl w:val="0"/>
              <w:autoSpaceDE w:val="0"/>
              <w:autoSpaceDN w:val="0"/>
              <w:adjustRightInd w:val="0"/>
              <w:rPr>
                <w:rFonts w:ascii="Arial" w:eastAsia="Times" w:hAnsi="Arial" w:cs="Arial"/>
                <w:bCs/>
                <w:sz w:val="20"/>
                <w:lang w:val="en-GB"/>
              </w:rPr>
            </w:pPr>
            <w:r w:rsidRPr="00070A6C">
              <w:rPr>
                <w:rFonts w:ascii="Arial" w:eastAsia="Times" w:hAnsi="Arial" w:cs="Arial"/>
                <w:bCs/>
                <w:sz w:val="20"/>
                <w:lang w:val="en-GB"/>
              </w:rPr>
              <w:t>SIGNATURE OF ACTING JUDGE:</w:t>
            </w:r>
          </w:p>
          <w:p w14:paraId="7FB5C5F1" w14:textId="77777777" w:rsidR="0027530B" w:rsidRPr="00070A6C" w:rsidRDefault="0027530B" w:rsidP="005D19DA">
            <w:pPr>
              <w:widowControl w:val="0"/>
              <w:autoSpaceDE w:val="0"/>
              <w:autoSpaceDN w:val="0"/>
              <w:adjustRightInd w:val="0"/>
              <w:rPr>
                <w:rFonts w:ascii="Arial" w:eastAsia="Times" w:hAnsi="Arial" w:cs="Arial"/>
                <w:bCs/>
                <w:sz w:val="20"/>
                <w:lang w:val="en-GB"/>
              </w:rPr>
            </w:pPr>
          </w:p>
        </w:tc>
      </w:tr>
    </w:tbl>
    <w:p w14:paraId="3664574C" w14:textId="77777777" w:rsidR="0027530B" w:rsidRPr="00070A6C" w:rsidRDefault="0027530B" w:rsidP="0027530B">
      <w:pPr>
        <w:spacing w:after="240" w:line="360" w:lineRule="auto"/>
        <w:rPr>
          <w:rFonts w:ascii="Arial" w:hAnsi="Arial" w:cs="Arial"/>
          <w:b/>
          <w:bCs/>
          <w:lang w:val="en-GB"/>
        </w:rPr>
      </w:pPr>
    </w:p>
    <w:p w14:paraId="4275C950" w14:textId="77777777" w:rsidR="0027530B" w:rsidRPr="00070A6C" w:rsidRDefault="0027530B" w:rsidP="0027530B">
      <w:pPr>
        <w:spacing w:after="240" w:line="360" w:lineRule="auto"/>
        <w:rPr>
          <w:rFonts w:ascii="Arial" w:hAnsi="Arial" w:cs="Arial"/>
          <w:lang w:val="en-GB"/>
        </w:rPr>
      </w:pPr>
      <w:r w:rsidRPr="00070A6C">
        <w:rPr>
          <w:rFonts w:ascii="Arial" w:hAnsi="Arial" w:cs="Arial"/>
          <w:lang w:val="en-GB"/>
        </w:rPr>
        <w:t>In the matter between:</w:t>
      </w:r>
    </w:p>
    <w:p w14:paraId="3BB8DF93" w14:textId="5492F068" w:rsidR="0027530B" w:rsidRPr="00070A6C" w:rsidRDefault="00C060CB" w:rsidP="0027530B">
      <w:pPr>
        <w:tabs>
          <w:tab w:val="right" w:pos="9026"/>
        </w:tabs>
        <w:spacing w:after="240" w:line="360" w:lineRule="auto"/>
        <w:rPr>
          <w:rFonts w:ascii="Arial" w:hAnsi="Arial" w:cs="Arial"/>
          <w:lang w:val="en-GB"/>
        </w:rPr>
      </w:pPr>
      <w:r w:rsidRPr="00070A6C">
        <w:rPr>
          <w:rFonts w:ascii="Arial" w:hAnsi="Arial" w:cs="Arial"/>
          <w:b/>
          <w:bCs/>
          <w:lang w:val="en-GB"/>
        </w:rPr>
        <w:t>NOGODUKA-NGUMBELA CONSORTIUM (PTY) LTD</w:t>
      </w:r>
      <w:r w:rsidR="0027530B" w:rsidRPr="00070A6C">
        <w:rPr>
          <w:rFonts w:ascii="Arial" w:hAnsi="Arial" w:cs="Arial"/>
          <w:lang w:val="en-GB"/>
        </w:rPr>
        <w:tab/>
        <w:t>Applicant</w:t>
      </w:r>
    </w:p>
    <w:p w14:paraId="3E65D841" w14:textId="77777777" w:rsidR="0027530B" w:rsidRPr="00070A6C" w:rsidRDefault="0027530B" w:rsidP="0027530B">
      <w:pPr>
        <w:tabs>
          <w:tab w:val="right" w:pos="9026"/>
        </w:tabs>
        <w:spacing w:after="240" w:line="360" w:lineRule="auto"/>
        <w:rPr>
          <w:rFonts w:ascii="Arial" w:hAnsi="Arial" w:cs="Arial"/>
          <w:lang w:val="en-GB"/>
        </w:rPr>
      </w:pPr>
      <w:r w:rsidRPr="00070A6C">
        <w:rPr>
          <w:rFonts w:ascii="Arial" w:hAnsi="Arial" w:cs="Arial"/>
          <w:lang w:val="en-GB"/>
        </w:rPr>
        <w:t>and</w:t>
      </w:r>
    </w:p>
    <w:p w14:paraId="5CAE8E62" w14:textId="36169BC7" w:rsidR="0027530B" w:rsidRPr="00070A6C" w:rsidRDefault="00C060CB" w:rsidP="0027530B">
      <w:pPr>
        <w:tabs>
          <w:tab w:val="right" w:pos="9026"/>
        </w:tabs>
        <w:spacing w:after="240" w:line="360" w:lineRule="auto"/>
        <w:rPr>
          <w:rFonts w:ascii="Arial" w:hAnsi="Arial" w:cs="Arial"/>
          <w:lang w:val="en-GB"/>
        </w:rPr>
      </w:pPr>
      <w:r w:rsidRPr="00070A6C">
        <w:rPr>
          <w:rFonts w:ascii="Arial" w:hAnsi="Arial" w:cs="Arial"/>
          <w:b/>
          <w:bCs/>
          <w:lang w:val="en-GB"/>
        </w:rPr>
        <w:t>RAGE DISTRIBUTION (PTY) LTD t/a RAGE</w:t>
      </w:r>
      <w:r w:rsidR="0027530B" w:rsidRPr="00070A6C">
        <w:rPr>
          <w:rFonts w:ascii="Arial" w:hAnsi="Arial" w:cs="Arial"/>
          <w:lang w:val="en-GB"/>
        </w:rPr>
        <w:tab/>
        <w:t>Respondent</w:t>
      </w:r>
    </w:p>
    <w:tbl>
      <w:tblPr>
        <w:tblStyle w:val="TableGrid"/>
        <w:tblW w:w="0" w:type="auto"/>
        <w:tblLook w:val="04A0" w:firstRow="1" w:lastRow="0" w:firstColumn="1" w:lastColumn="0" w:noHBand="0" w:noVBand="1"/>
      </w:tblPr>
      <w:tblGrid>
        <w:gridCol w:w="9016"/>
      </w:tblGrid>
      <w:tr w:rsidR="0027530B" w:rsidRPr="00070A6C" w14:paraId="68226FC9" w14:textId="77777777" w:rsidTr="0027530B">
        <w:tc>
          <w:tcPr>
            <w:tcW w:w="9016" w:type="dxa"/>
            <w:tcBorders>
              <w:top w:val="single" w:sz="8" w:space="0" w:color="auto"/>
              <w:left w:val="nil"/>
              <w:bottom w:val="single" w:sz="8" w:space="0" w:color="auto"/>
              <w:right w:val="nil"/>
            </w:tcBorders>
          </w:tcPr>
          <w:p w14:paraId="4F1EB569" w14:textId="55EC5F6E" w:rsidR="0027530B" w:rsidRPr="00070A6C" w:rsidRDefault="0027530B" w:rsidP="0027530B">
            <w:pPr>
              <w:spacing w:before="360" w:after="240" w:line="360" w:lineRule="auto"/>
              <w:jc w:val="center"/>
              <w:rPr>
                <w:rFonts w:ascii="Arial" w:hAnsi="Arial" w:cs="Arial"/>
                <w:b/>
                <w:bCs/>
                <w:lang w:val="en-GB"/>
              </w:rPr>
            </w:pPr>
            <w:r w:rsidRPr="00070A6C">
              <w:rPr>
                <w:rFonts w:ascii="Arial" w:hAnsi="Arial" w:cs="Arial"/>
                <w:b/>
                <w:bCs/>
                <w:lang w:val="en-GB"/>
              </w:rPr>
              <w:t>JUDGEMENT</w:t>
            </w:r>
          </w:p>
        </w:tc>
      </w:tr>
    </w:tbl>
    <w:p w14:paraId="1E7675C7" w14:textId="4191244A" w:rsidR="0027530B" w:rsidRPr="00070A6C" w:rsidRDefault="0027530B" w:rsidP="0027530B">
      <w:pPr>
        <w:spacing w:after="240" w:line="360" w:lineRule="auto"/>
        <w:rPr>
          <w:rFonts w:ascii="Arial" w:hAnsi="Arial" w:cs="Arial"/>
          <w:lang w:val="en-GB"/>
        </w:rPr>
      </w:pPr>
    </w:p>
    <w:p w14:paraId="65EF23AD" w14:textId="64B4E4E8" w:rsidR="0027530B" w:rsidRPr="00070A6C" w:rsidRDefault="0027530B" w:rsidP="00AF5234">
      <w:pPr>
        <w:spacing w:after="360" w:line="360" w:lineRule="auto"/>
        <w:ind w:left="1418" w:hanging="1418"/>
        <w:jc w:val="both"/>
        <w:rPr>
          <w:rFonts w:ascii="Arial" w:hAnsi="Arial" w:cs="Arial"/>
          <w:sz w:val="21"/>
          <w:szCs w:val="21"/>
          <w:lang w:val="en-GB"/>
        </w:rPr>
      </w:pPr>
      <w:r w:rsidRPr="00070A6C">
        <w:rPr>
          <w:rFonts w:ascii="Arial" w:hAnsi="Arial" w:cs="Arial"/>
          <w:b/>
          <w:bCs/>
          <w:sz w:val="21"/>
          <w:szCs w:val="21"/>
          <w:lang w:val="en-GB"/>
        </w:rPr>
        <w:t>Delivered</w:t>
      </w:r>
      <w:r w:rsidRPr="00070A6C">
        <w:rPr>
          <w:rFonts w:ascii="Arial" w:hAnsi="Arial" w:cs="Arial"/>
          <w:sz w:val="21"/>
          <w:szCs w:val="21"/>
          <w:lang w:val="en-GB"/>
        </w:rPr>
        <w:t>:</w:t>
      </w:r>
      <w:r w:rsidRPr="00070A6C">
        <w:rPr>
          <w:rFonts w:ascii="Arial" w:hAnsi="Arial" w:cs="Arial"/>
          <w:sz w:val="21"/>
          <w:szCs w:val="21"/>
          <w:lang w:val="en-GB"/>
        </w:rPr>
        <w:tab/>
        <w:t xml:space="preserve">This judgment was handed down electronically by circulation to the parties’ legal representatives by email.  The </w:t>
      </w:r>
      <w:r w:rsidR="00AF5234" w:rsidRPr="00070A6C">
        <w:rPr>
          <w:rFonts w:ascii="Arial" w:hAnsi="Arial" w:cs="Arial"/>
          <w:sz w:val="21"/>
          <w:szCs w:val="21"/>
          <w:lang w:val="en-GB"/>
        </w:rPr>
        <w:t xml:space="preserve">time and </w:t>
      </w:r>
      <w:r w:rsidRPr="00070A6C">
        <w:rPr>
          <w:rFonts w:ascii="Arial" w:hAnsi="Arial" w:cs="Arial"/>
          <w:sz w:val="21"/>
          <w:szCs w:val="21"/>
          <w:lang w:val="en-GB"/>
        </w:rPr>
        <w:t xml:space="preserve">date for hand-down is deemed to be </w:t>
      </w:r>
      <w:r w:rsidR="00AF5234" w:rsidRPr="00070A6C">
        <w:rPr>
          <w:rFonts w:ascii="Arial" w:hAnsi="Arial" w:cs="Arial"/>
          <w:sz w:val="21"/>
          <w:szCs w:val="21"/>
          <w:lang w:val="en-GB"/>
        </w:rPr>
        <w:t>10h00 1</w:t>
      </w:r>
      <w:r w:rsidR="00420E68" w:rsidRPr="00070A6C">
        <w:rPr>
          <w:rFonts w:ascii="Arial" w:hAnsi="Arial" w:cs="Arial"/>
          <w:sz w:val="21"/>
          <w:szCs w:val="21"/>
          <w:lang w:val="en-GB"/>
        </w:rPr>
        <w:t>9</w:t>
      </w:r>
      <w:r w:rsidR="00AF5234" w:rsidRPr="00070A6C">
        <w:rPr>
          <w:rFonts w:ascii="Arial" w:hAnsi="Arial" w:cs="Arial"/>
          <w:sz w:val="21"/>
          <w:szCs w:val="21"/>
          <w:lang w:val="en-GB"/>
        </w:rPr>
        <w:t xml:space="preserve"> October</w:t>
      </w:r>
      <w:r w:rsidRPr="00070A6C">
        <w:rPr>
          <w:rFonts w:ascii="Arial" w:hAnsi="Arial" w:cs="Arial"/>
          <w:sz w:val="21"/>
          <w:szCs w:val="21"/>
          <w:lang w:val="en-GB"/>
        </w:rPr>
        <w:t xml:space="preserve"> 2021.</w:t>
      </w:r>
    </w:p>
    <w:p w14:paraId="0ABE8B86" w14:textId="64F3C669" w:rsidR="001B55B6" w:rsidRPr="00070A6C" w:rsidRDefault="001B55B6" w:rsidP="00AF5234">
      <w:pPr>
        <w:spacing w:after="360" w:line="360" w:lineRule="auto"/>
        <w:ind w:left="1418" w:hanging="1418"/>
        <w:jc w:val="both"/>
        <w:rPr>
          <w:rFonts w:ascii="Arial" w:hAnsi="Arial" w:cs="Arial"/>
          <w:sz w:val="21"/>
          <w:szCs w:val="21"/>
          <w:lang w:val="en-GB"/>
        </w:rPr>
      </w:pPr>
    </w:p>
    <w:p w14:paraId="770FA374" w14:textId="77777777" w:rsidR="00510037" w:rsidRPr="00070A6C" w:rsidRDefault="00510037" w:rsidP="00AF5234">
      <w:pPr>
        <w:spacing w:after="360" w:line="360" w:lineRule="auto"/>
        <w:ind w:left="1418" w:hanging="1418"/>
        <w:jc w:val="both"/>
        <w:rPr>
          <w:rFonts w:ascii="Arial" w:hAnsi="Arial" w:cs="Arial"/>
          <w:sz w:val="21"/>
          <w:szCs w:val="21"/>
          <w:lang w:val="en-GB"/>
        </w:rPr>
      </w:pPr>
    </w:p>
    <w:p w14:paraId="22389B36" w14:textId="77777777" w:rsidR="0027530B" w:rsidRPr="00070A6C" w:rsidRDefault="0027530B" w:rsidP="00AF5234">
      <w:pPr>
        <w:spacing w:after="360" w:line="360" w:lineRule="auto"/>
        <w:rPr>
          <w:rFonts w:ascii="Arial" w:hAnsi="Arial" w:cs="Arial"/>
          <w:u w:val="single"/>
          <w:lang w:val="en-GB"/>
        </w:rPr>
      </w:pPr>
      <w:r w:rsidRPr="00070A6C">
        <w:rPr>
          <w:rFonts w:ascii="Arial" w:hAnsi="Arial" w:cs="Arial"/>
          <w:u w:val="single"/>
          <w:lang w:val="en-GB"/>
        </w:rPr>
        <w:lastRenderedPageBreak/>
        <w:t>PRETORIUS AJ:</w:t>
      </w:r>
    </w:p>
    <w:p w14:paraId="0E5987F0" w14:textId="1DB8102E" w:rsidR="004D3B94" w:rsidRPr="00070A6C" w:rsidRDefault="004D3B94"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The defendant currently occupies a </w:t>
      </w:r>
      <w:r w:rsidR="001E6C6A" w:rsidRPr="00070A6C">
        <w:rPr>
          <w:rFonts w:ascii="Arial" w:hAnsi="Arial" w:cs="Arial"/>
          <w:lang w:val="en-GB"/>
        </w:rPr>
        <w:t>premises</w:t>
      </w:r>
      <w:r w:rsidRPr="00070A6C">
        <w:rPr>
          <w:rFonts w:ascii="Arial" w:hAnsi="Arial" w:cs="Arial"/>
          <w:lang w:val="en-GB"/>
        </w:rPr>
        <w:t xml:space="preserve"> owned by the plaintiff.  The defendant took occupation of the </w:t>
      </w:r>
      <w:r w:rsidR="001E6C6A" w:rsidRPr="00070A6C">
        <w:rPr>
          <w:rFonts w:ascii="Arial" w:hAnsi="Arial" w:cs="Arial"/>
          <w:lang w:val="en-GB"/>
        </w:rPr>
        <w:t>premises</w:t>
      </w:r>
      <w:r w:rsidRPr="00070A6C">
        <w:rPr>
          <w:rFonts w:ascii="Arial" w:hAnsi="Arial" w:cs="Arial"/>
          <w:lang w:val="en-GB"/>
        </w:rPr>
        <w:t xml:space="preserve"> pursuant to a written lease agreement concluded between the parties on 29 June 2018 (“</w:t>
      </w:r>
      <w:r w:rsidRPr="00070A6C">
        <w:rPr>
          <w:rFonts w:ascii="Arial" w:hAnsi="Arial" w:cs="Arial"/>
          <w:i/>
          <w:iCs/>
          <w:lang w:val="en-GB"/>
        </w:rPr>
        <w:t>the lease</w:t>
      </w:r>
      <w:r w:rsidRPr="00070A6C">
        <w:rPr>
          <w:rFonts w:ascii="Arial" w:hAnsi="Arial" w:cs="Arial"/>
          <w:lang w:val="en-GB"/>
        </w:rPr>
        <w:t xml:space="preserve">”).  The lease commenced on 1 May 2018 </w:t>
      </w:r>
      <w:r w:rsidR="006A4746" w:rsidRPr="00070A6C">
        <w:rPr>
          <w:rFonts w:ascii="Arial" w:hAnsi="Arial" w:cs="Arial"/>
          <w:lang w:val="en-GB"/>
        </w:rPr>
        <w:t xml:space="preserve">for a fixed term of three years </w:t>
      </w:r>
      <w:r w:rsidR="00AF5234" w:rsidRPr="00070A6C">
        <w:rPr>
          <w:rFonts w:ascii="Arial" w:hAnsi="Arial" w:cs="Arial"/>
          <w:lang w:val="en-GB"/>
        </w:rPr>
        <w:t>and would</w:t>
      </w:r>
      <w:r w:rsidR="006A4746" w:rsidRPr="00070A6C">
        <w:rPr>
          <w:rFonts w:ascii="Arial" w:hAnsi="Arial" w:cs="Arial"/>
          <w:lang w:val="en-GB"/>
        </w:rPr>
        <w:t xml:space="preserve"> </w:t>
      </w:r>
      <w:r w:rsidRPr="00070A6C">
        <w:rPr>
          <w:rFonts w:ascii="Arial" w:hAnsi="Arial" w:cs="Arial"/>
          <w:lang w:val="en-GB"/>
        </w:rPr>
        <w:t>terminate on 30 April 2021</w:t>
      </w:r>
      <w:r w:rsidR="006A4746" w:rsidRPr="00070A6C">
        <w:rPr>
          <w:rFonts w:ascii="Arial" w:hAnsi="Arial" w:cs="Arial"/>
          <w:lang w:val="en-GB"/>
        </w:rPr>
        <w:t>.</w:t>
      </w:r>
    </w:p>
    <w:p w14:paraId="312F5CFA" w14:textId="0510391B" w:rsidR="000E24F1" w:rsidRPr="00070A6C" w:rsidRDefault="000E24F1" w:rsidP="00AF5234">
      <w:pPr>
        <w:pStyle w:val="Heading2"/>
      </w:pPr>
      <w:r w:rsidRPr="00070A6C">
        <w:t>The pleadings</w:t>
      </w:r>
    </w:p>
    <w:p w14:paraId="0A0FBBE0" w14:textId="0EAA916D" w:rsidR="006A4746" w:rsidRPr="00070A6C" w:rsidRDefault="006A4746"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The plaintiff claims that the defendant breached the lease in that it failed to pay the agreed monthly rental and charges.  As a result, so the plaintiff claims, the plaintiff became entitled to cancel the lease and claim the arrear rental and charges together with damages (respectively claims 1 and 2 in the particulars of claim).</w:t>
      </w:r>
    </w:p>
    <w:p w14:paraId="0DC006E5" w14:textId="5BB01681" w:rsidR="00DB5B3E" w:rsidRPr="00070A6C" w:rsidRDefault="008E2A92"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Naturally the </w:t>
      </w:r>
      <w:r w:rsidR="006A4746" w:rsidRPr="00070A6C">
        <w:rPr>
          <w:rFonts w:ascii="Arial" w:hAnsi="Arial" w:cs="Arial"/>
          <w:lang w:val="en-GB"/>
        </w:rPr>
        <w:t>plaintiff</w:t>
      </w:r>
      <w:r w:rsidRPr="00070A6C">
        <w:rPr>
          <w:rFonts w:ascii="Arial" w:hAnsi="Arial" w:cs="Arial"/>
          <w:lang w:val="en-GB"/>
        </w:rPr>
        <w:t>’s</w:t>
      </w:r>
      <w:r w:rsidR="006A4746" w:rsidRPr="00070A6C">
        <w:rPr>
          <w:rFonts w:ascii="Arial" w:hAnsi="Arial" w:cs="Arial"/>
          <w:lang w:val="en-GB"/>
        </w:rPr>
        <w:t xml:space="preserve"> claim in its </w:t>
      </w:r>
      <w:r w:rsidRPr="00070A6C">
        <w:rPr>
          <w:rFonts w:ascii="Arial" w:hAnsi="Arial" w:cs="Arial"/>
          <w:lang w:val="en-GB"/>
        </w:rPr>
        <w:t>application for summary judgment</w:t>
      </w:r>
      <w:r w:rsidR="00E86500" w:rsidRPr="00070A6C">
        <w:rPr>
          <w:rFonts w:ascii="Arial" w:hAnsi="Arial" w:cs="Arial"/>
          <w:lang w:val="en-GB"/>
        </w:rPr>
        <w:t xml:space="preserve"> </w:t>
      </w:r>
      <w:r w:rsidRPr="00070A6C">
        <w:rPr>
          <w:rFonts w:ascii="Arial" w:hAnsi="Arial" w:cs="Arial"/>
          <w:lang w:val="en-GB"/>
        </w:rPr>
        <w:t xml:space="preserve">is restricted to </w:t>
      </w:r>
      <w:r w:rsidR="00E86500" w:rsidRPr="00070A6C">
        <w:rPr>
          <w:rFonts w:ascii="Arial" w:hAnsi="Arial" w:cs="Arial"/>
          <w:lang w:val="en-GB"/>
        </w:rPr>
        <w:t>claim 1</w:t>
      </w:r>
      <w:r w:rsidRPr="00070A6C">
        <w:rPr>
          <w:rFonts w:ascii="Arial" w:hAnsi="Arial" w:cs="Arial"/>
          <w:lang w:val="en-GB"/>
        </w:rPr>
        <w:t>, in which it claims</w:t>
      </w:r>
      <w:r w:rsidR="006A4746" w:rsidRPr="00070A6C">
        <w:rPr>
          <w:rFonts w:ascii="Arial" w:hAnsi="Arial" w:cs="Arial"/>
          <w:lang w:val="en-GB"/>
        </w:rPr>
        <w:t>:</w:t>
      </w:r>
    </w:p>
    <w:p w14:paraId="65D74C6B" w14:textId="5FDE0245" w:rsidR="006A4746" w:rsidRPr="00070A6C" w:rsidRDefault="006A4746" w:rsidP="003851E4">
      <w:pPr>
        <w:pStyle w:val="ListParagraph"/>
        <w:spacing w:after="360" w:line="360" w:lineRule="auto"/>
        <w:ind w:left="1134" w:hanging="567"/>
        <w:contextualSpacing w:val="0"/>
        <w:jc w:val="both"/>
        <w:rPr>
          <w:rFonts w:ascii="Arial" w:hAnsi="Arial" w:cs="Arial"/>
          <w:sz w:val="20"/>
          <w:szCs w:val="20"/>
          <w:lang w:val="en-GB"/>
        </w:rPr>
      </w:pPr>
      <w:r w:rsidRPr="00070A6C">
        <w:rPr>
          <w:rFonts w:ascii="Arial" w:hAnsi="Arial" w:cs="Arial"/>
          <w:sz w:val="20"/>
          <w:szCs w:val="20"/>
          <w:lang w:val="en-GB"/>
        </w:rPr>
        <w:t>“</w:t>
      </w:r>
      <w:r w:rsidR="003851E4" w:rsidRPr="00070A6C">
        <w:rPr>
          <w:rFonts w:ascii="Arial" w:hAnsi="Arial" w:cs="Arial"/>
          <w:sz w:val="20"/>
          <w:szCs w:val="20"/>
          <w:lang w:val="en-GB"/>
        </w:rPr>
        <w:t>1.</w:t>
      </w:r>
      <w:r w:rsidR="003851E4" w:rsidRPr="00070A6C">
        <w:rPr>
          <w:rFonts w:ascii="Arial" w:hAnsi="Arial" w:cs="Arial"/>
          <w:sz w:val="20"/>
          <w:szCs w:val="20"/>
          <w:lang w:val="en-GB"/>
        </w:rPr>
        <w:tab/>
      </w:r>
      <w:r w:rsidRPr="00070A6C">
        <w:rPr>
          <w:rFonts w:ascii="Arial" w:hAnsi="Arial" w:cs="Arial"/>
          <w:sz w:val="20"/>
          <w:szCs w:val="20"/>
          <w:lang w:val="en-GB"/>
        </w:rPr>
        <w:t>Payment of the amount of R130,928.80;</w:t>
      </w:r>
    </w:p>
    <w:p w14:paraId="126A00CA" w14:textId="4586E6F1" w:rsidR="006A4746" w:rsidRPr="00070A6C" w:rsidRDefault="003851E4" w:rsidP="003851E4">
      <w:pPr>
        <w:pStyle w:val="ListParagraph"/>
        <w:spacing w:after="360" w:line="360" w:lineRule="auto"/>
        <w:ind w:left="1134" w:hanging="567"/>
        <w:contextualSpacing w:val="0"/>
        <w:jc w:val="both"/>
        <w:rPr>
          <w:rFonts w:ascii="Arial" w:hAnsi="Arial" w:cs="Arial"/>
          <w:sz w:val="20"/>
          <w:szCs w:val="20"/>
          <w:lang w:val="en-GB"/>
        </w:rPr>
      </w:pPr>
      <w:r w:rsidRPr="00070A6C">
        <w:rPr>
          <w:rFonts w:ascii="Arial" w:hAnsi="Arial" w:cs="Arial"/>
          <w:sz w:val="20"/>
          <w:szCs w:val="20"/>
          <w:lang w:val="en-GB"/>
        </w:rPr>
        <w:t>2.</w:t>
      </w:r>
      <w:r w:rsidRPr="00070A6C">
        <w:rPr>
          <w:rFonts w:ascii="Arial" w:hAnsi="Arial" w:cs="Arial"/>
          <w:sz w:val="20"/>
          <w:szCs w:val="20"/>
          <w:lang w:val="en-GB"/>
        </w:rPr>
        <w:tab/>
      </w:r>
      <w:r w:rsidR="006A4746" w:rsidRPr="00070A6C">
        <w:rPr>
          <w:rFonts w:ascii="Arial" w:hAnsi="Arial" w:cs="Arial"/>
          <w:sz w:val="20"/>
          <w:szCs w:val="20"/>
          <w:lang w:val="en-GB"/>
        </w:rPr>
        <w:t>Interest on the above amount at a rate of 9% per annum compounded monthly from 2 November 2020 to date of payment;</w:t>
      </w:r>
    </w:p>
    <w:p w14:paraId="5AEBCC75" w14:textId="7CCE121A" w:rsidR="006A4746" w:rsidRPr="00070A6C" w:rsidRDefault="003851E4" w:rsidP="003851E4">
      <w:pPr>
        <w:pStyle w:val="ListParagraph"/>
        <w:spacing w:after="360" w:line="360" w:lineRule="auto"/>
        <w:ind w:left="1134" w:hanging="567"/>
        <w:contextualSpacing w:val="0"/>
        <w:jc w:val="both"/>
        <w:rPr>
          <w:rFonts w:ascii="Arial" w:hAnsi="Arial" w:cs="Arial"/>
          <w:sz w:val="20"/>
          <w:szCs w:val="20"/>
          <w:lang w:val="en-GB"/>
        </w:rPr>
      </w:pPr>
      <w:r w:rsidRPr="00070A6C">
        <w:rPr>
          <w:rFonts w:ascii="Arial" w:hAnsi="Arial" w:cs="Arial"/>
          <w:sz w:val="20"/>
          <w:szCs w:val="20"/>
          <w:lang w:val="en-GB"/>
        </w:rPr>
        <w:t>3.</w:t>
      </w:r>
      <w:r w:rsidRPr="00070A6C">
        <w:rPr>
          <w:rFonts w:ascii="Arial" w:hAnsi="Arial" w:cs="Arial"/>
          <w:sz w:val="20"/>
          <w:szCs w:val="20"/>
          <w:lang w:val="en-GB"/>
        </w:rPr>
        <w:tab/>
      </w:r>
      <w:r w:rsidR="006A4746" w:rsidRPr="00070A6C">
        <w:rPr>
          <w:rFonts w:ascii="Arial" w:hAnsi="Arial" w:cs="Arial"/>
          <w:sz w:val="20"/>
          <w:szCs w:val="20"/>
          <w:lang w:val="en-GB"/>
        </w:rPr>
        <w:t>Ejectment, forthwith, of the defendant and anyone claiming occupation through the defendant at the premises described as shop no 23 (measuring approximately 159m</w:t>
      </w:r>
      <w:r w:rsidR="006A4746" w:rsidRPr="00070A6C">
        <w:rPr>
          <w:rFonts w:ascii="Arial" w:hAnsi="Arial" w:cs="Arial"/>
          <w:sz w:val="20"/>
          <w:szCs w:val="20"/>
          <w:vertAlign w:val="superscript"/>
          <w:lang w:val="en-GB"/>
        </w:rPr>
        <w:t>2</w:t>
      </w:r>
      <w:r w:rsidR="006A4746" w:rsidRPr="00070A6C">
        <w:rPr>
          <w:rFonts w:ascii="Arial" w:hAnsi="Arial" w:cs="Arial"/>
          <w:sz w:val="20"/>
          <w:szCs w:val="20"/>
          <w:lang w:val="en-GB"/>
        </w:rPr>
        <w:t>), Fingoland Mall, erf 501, corner N2 &amp; Road number DR8327, Butterworth, Eastern Cape</w:t>
      </w:r>
      <w:r w:rsidRPr="00070A6C">
        <w:rPr>
          <w:rFonts w:ascii="Arial" w:hAnsi="Arial" w:cs="Arial"/>
          <w:sz w:val="20"/>
          <w:szCs w:val="20"/>
          <w:lang w:val="en-GB"/>
        </w:rPr>
        <w:t>; and</w:t>
      </w:r>
    </w:p>
    <w:p w14:paraId="444AA2CB" w14:textId="2ABE18EC" w:rsidR="006A4746" w:rsidRPr="00070A6C" w:rsidRDefault="003851E4" w:rsidP="003851E4">
      <w:pPr>
        <w:pStyle w:val="ListParagraph"/>
        <w:spacing w:after="360" w:line="360" w:lineRule="auto"/>
        <w:ind w:left="1134" w:hanging="567"/>
        <w:contextualSpacing w:val="0"/>
        <w:jc w:val="both"/>
        <w:rPr>
          <w:rFonts w:ascii="Arial" w:hAnsi="Arial" w:cs="Arial"/>
          <w:sz w:val="20"/>
          <w:szCs w:val="20"/>
          <w:lang w:val="en-GB"/>
        </w:rPr>
      </w:pPr>
      <w:r w:rsidRPr="00070A6C">
        <w:rPr>
          <w:rFonts w:ascii="Arial" w:hAnsi="Arial" w:cs="Arial"/>
          <w:sz w:val="20"/>
          <w:szCs w:val="20"/>
          <w:lang w:val="en-GB"/>
        </w:rPr>
        <w:t>4.</w:t>
      </w:r>
      <w:r w:rsidRPr="00070A6C">
        <w:rPr>
          <w:rFonts w:ascii="Arial" w:hAnsi="Arial" w:cs="Arial"/>
          <w:sz w:val="20"/>
          <w:szCs w:val="20"/>
          <w:lang w:val="en-GB"/>
        </w:rPr>
        <w:tab/>
      </w:r>
      <w:r w:rsidR="006A4746" w:rsidRPr="00070A6C">
        <w:rPr>
          <w:rFonts w:ascii="Arial" w:hAnsi="Arial" w:cs="Arial"/>
          <w:sz w:val="20"/>
          <w:szCs w:val="20"/>
          <w:lang w:val="en-GB"/>
        </w:rPr>
        <w:t>Costs of the suit</w:t>
      </w:r>
      <w:r w:rsidRPr="00070A6C">
        <w:rPr>
          <w:rFonts w:ascii="Arial" w:hAnsi="Arial" w:cs="Arial"/>
          <w:sz w:val="20"/>
          <w:szCs w:val="20"/>
          <w:lang w:val="en-GB"/>
        </w:rPr>
        <w:t>.”</w:t>
      </w:r>
    </w:p>
    <w:p w14:paraId="1BCBC01E" w14:textId="57EB034C" w:rsidR="00AB1AB9" w:rsidRPr="00070A6C" w:rsidRDefault="00400C13"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T</w:t>
      </w:r>
      <w:r w:rsidR="00AB1AB9" w:rsidRPr="00070A6C">
        <w:rPr>
          <w:rFonts w:ascii="Arial" w:hAnsi="Arial" w:cs="Arial"/>
          <w:lang w:val="en-GB"/>
        </w:rPr>
        <w:t>he summons was issued in November 2020, prior to the lease term terminating on 30 April 2021.  The application was argued after the expiry of the lease term.  Despite the lease term having expired, the defendant remain</w:t>
      </w:r>
      <w:r w:rsidR="003851E4" w:rsidRPr="00070A6C">
        <w:rPr>
          <w:rFonts w:ascii="Arial" w:hAnsi="Arial" w:cs="Arial"/>
          <w:lang w:val="en-GB"/>
        </w:rPr>
        <w:t>s</w:t>
      </w:r>
      <w:r w:rsidR="00AB1AB9" w:rsidRPr="00070A6C">
        <w:rPr>
          <w:rFonts w:ascii="Arial" w:hAnsi="Arial" w:cs="Arial"/>
          <w:lang w:val="en-GB"/>
        </w:rPr>
        <w:t xml:space="preserve"> in occupation of the premises.</w:t>
      </w:r>
    </w:p>
    <w:p w14:paraId="0D667B11" w14:textId="7ED04B17" w:rsidR="008E2A92" w:rsidRPr="00070A6C" w:rsidRDefault="008E2A92"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The defendant raised</w:t>
      </w:r>
      <w:r w:rsidR="003851E4" w:rsidRPr="00070A6C">
        <w:rPr>
          <w:rFonts w:ascii="Arial" w:hAnsi="Arial" w:cs="Arial"/>
          <w:lang w:val="en-GB"/>
        </w:rPr>
        <w:t>, as</w:t>
      </w:r>
      <w:r w:rsidRPr="00070A6C">
        <w:rPr>
          <w:rFonts w:ascii="Arial" w:hAnsi="Arial" w:cs="Arial"/>
          <w:lang w:val="en-GB"/>
        </w:rPr>
        <w:t xml:space="preserve"> a </w:t>
      </w:r>
      <w:r w:rsidR="008046AC" w:rsidRPr="00070A6C">
        <w:rPr>
          <w:rFonts w:ascii="Arial" w:hAnsi="Arial" w:cs="Arial"/>
          <w:lang w:val="en-GB"/>
        </w:rPr>
        <w:t xml:space="preserve">first </w:t>
      </w:r>
      <w:r w:rsidRPr="00070A6C">
        <w:rPr>
          <w:rFonts w:ascii="Arial" w:hAnsi="Arial" w:cs="Arial"/>
          <w:lang w:val="en-GB"/>
        </w:rPr>
        <w:t>special plea</w:t>
      </w:r>
      <w:r w:rsidR="003851E4" w:rsidRPr="00070A6C">
        <w:rPr>
          <w:rFonts w:ascii="Arial" w:hAnsi="Arial" w:cs="Arial"/>
          <w:lang w:val="en-GB"/>
        </w:rPr>
        <w:t>,</w:t>
      </w:r>
      <w:r w:rsidRPr="00070A6C">
        <w:rPr>
          <w:rFonts w:ascii="Arial" w:hAnsi="Arial" w:cs="Arial"/>
          <w:lang w:val="en-GB"/>
        </w:rPr>
        <w:t xml:space="preserve"> that th</w:t>
      </w:r>
      <w:r w:rsidR="003851E4" w:rsidRPr="00070A6C">
        <w:rPr>
          <w:rFonts w:ascii="Arial" w:hAnsi="Arial" w:cs="Arial"/>
          <w:lang w:val="en-GB"/>
        </w:rPr>
        <w:t>is</w:t>
      </w:r>
      <w:r w:rsidRPr="00070A6C">
        <w:rPr>
          <w:rFonts w:ascii="Arial" w:hAnsi="Arial" w:cs="Arial"/>
          <w:lang w:val="en-GB"/>
        </w:rPr>
        <w:t xml:space="preserve"> court does not have jurisdiction as the claimed amount falls within the jurisdiction of the Magistrates Court.  </w:t>
      </w:r>
      <w:r w:rsidR="008046AC" w:rsidRPr="00070A6C">
        <w:rPr>
          <w:rFonts w:ascii="Arial" w:hAnsi="Arial" w:cs="Arial"/>
          <w:lang w:val="en-GB"/>
        </w:rPr>
        <w:lastRenderedPageBreak/>
        <w:t>As a second special plea, the defendant contends that</w:t>
      </w:r>
      <w:r w:rsidR="003851E4" w:rsidRPr="00070A6C">
        <w:rPr>
          <w:rFonts w:ascii="Arial" w:hAnsi="Arial" w:cs="Arial"/>
          <w:lang w:val="en-GB"/>
        </w:rPr>
        <w:t>,</w:t>
      </w:r>
      <w:r w:rsidR="008046AC" w:rsidRPr="00070A6C">
        <w:rPr>
          <w:rFonts w:ascii="Arial" w:hAnsi="Arial" w:cs="Arial"/>
          <w:lang w:val="en-GB"/>
        </w:rPr>
        <w:t xml:space="preserve"> </w:t>
      </w:r>
      <w:r w:rsidR="003851E4" w:rsidRPr="00070A6C">
        <w:rPr>
          <w:rFonts w:ascii="Arial" w:hAnsi="Arial" w:cs="Arial"/>
          <w:lang w:val="en-GB"/>
        </w:rPr>
        <w:t>because of</w:t>
      </w:r>
      <w:r w:rsidR="008046AC" w:rsidRPr="00070A6C">
        <w:rPr>
          <w:rFonts w:ascii="Arial" w:hAnsi="Arial" w:cs="Arial"/>
          <w:lang w:val="en-GB"/>
        </w:rPr>
        <w:t xml:space="preserve"> the plaintiff’s “</w:t>
      </w:r>
      <w:r w:rsidR="008046AC" w:rsidRPr="00070A6C">
        <w:rPr>
          <w:rFonts w:ascii="Arial" w:hAnsi="Arial" w:cs="Arial"/>
          <w:i/>
          <w:iCs/>
          <w:lang w:val="en-GB"/>
        </w:rPr>
        <w:t>breach</w:t>
      </w:r>
      <w:r w:rsidR="008046AC" w:rsidRPr="00070A6C">
        <w:rPr>
          <w:rFonts w:ascii="Arial" w:hAnsi="Arial" w:cs="Arial"/>
          <w:lang w:val="en-GB"/>
        </w:rPr>
        <w:t xml:space="preserve">” of the provisions of rule 41A, the plaintiff’s claim ought to be dismissed. </w:t>
      </w:r>
      <w:r w:rsidR="003A4DE6" w:rsidRPr="00070A6C">
        <w:rPr>
          <w:rFonts w:ascii="Arial" w:hAnsi="Arial" w:cs="Arial"/>
          <w:lang w:val="en-GB"/>
        </w:rPr>
        <w:t xml:space="preserve">The </w:t>
      </w:r>
      <w:r w:rsidR="003851E4" w:rsidRPr="00070A6C">
        <w:rPr>
          <w:rFonts w:ascii="Arial" w:hAnsi="Arial" w:cs="Arial"/>
          <w:lang w:val="en-GB"/>
        </w:rPr>
        <w:t>defendant</w:t>
      </w:r>
      <w:r w:rsidR="003A4DE6" w:rsidRPr="00070A6C">
        <w:rPr>
          <w:rFonts w:ascii="Arial" w:hAnsi="Arial" w:cs="Arial"/>
          <w:lang w:val="en-GB"/>
        </w:rPr>
        <w:t>, correctly in my view, abandoned both special pleas.</w:t>
      </w:r>
    </w:p>
    <w:p w14:paraId="03F8703B" w14:textId="2BE10191" w:rsidR="00400C13" w:rsidRPr="00070A6C" w:rsidRDefault="00400C13"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The plaintiff contends that the defendant impermissibly raised defences in its affidavit resisting summary judgment (“</w:t>
      </w:r>
      <w:r w:rsidRPr="00070A6C">
        <w:rPr>
          <w:rFonts w:ascii="Arial" w:hAnsi="Arial" w:cs="Arial"/>
          <w:i/>
          <w:iCs/>
          <w:lang w:val="en-GB"/>
        </w:rPr>
        <w:t>opposing affidavit</w:t>
      </w:r>
      <w:r w:rsidRPr="00070A6C">
        <w:rPr>
          <w:rFonts w:ascii="Arial" w:hAnsi="Arial" w:cs="Arial"/>
          <w:lang w:val="en-GB"/>
        </w:rPr>
        <w:t>”) which are not in its plea and consequently the defendant is not entitled to rely thereon in its opposing affidavit.</w:t>
      </w:r>
    </w:p>
    <w:p w14:paraId="6CF63F8D" w14:textId="6D1BCE4E" w:rsidR="00400C13" w:rsidRPr="00070A6C" w:rsidRDefault="00400C13"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I am mindful that a defendant raising defences in its opposing affidavit which are inconsistent with the plea cannot be </w:t>
      </w:r>
      <w:r w:rsidRPr="00070A6C">
        <w:rPr>
          <w:rFonts w:ascii="Arial" w:hAnsi="Arial" w:cs="Arial"/>
          <w:i/>
          <w:iCs/>
          <w:lang w:val="en-GB"/>
        </w:rPr>
        <w:t>bona fide</w:t>
      </w:r>
      <w:r w:rsidRPr="00070A6C">
        <w:rPr>
          <w:rFonts w:ascii="Arial" w:hAnsi="Arial" w:cs="Arial"/>
          <w:lang w:val="en-GB"/>
        </w:rPr>
        <w:t xml:space="preserve"> in the absence of a reasonable explanation.  In this regard I agree with Moorcroft AJ in </w:t>
      </w:r>
      <w:r w:rsidRPr="00070A6C">
        <w:rPr>
          <w:rFonts w:ascii="Arial" w:hAnsi="Arial" w:cs="Arial"/>
          <w:i/>
          <w:iCs/>
          <w:lang w:val="en-GB"/>
        </w:rPr>
        <w:t>Vukile Property Fund</w:t>
      </w:r>
      <w:r w:rsidRPr="00070A6C">
        <w:rPr>
          <w:rFonts w:ascii="Arial" w:hAnsi="Arial" w:cs="Arial"/>
          <w:lang w:val="en-GB"/>
        </w:rPr>
        <w:t>.</w:t>
      </w:r>
      <w:r w:rsidRPr="00070A6C">
        <w:rPr>
          <w:rStyle w:val="FootnoteReference"/>
          <w:rFonts w:ascii="Arial" w:hAnsi="Arial" w:cs="Arial"/>
          <w:lang w:val="en-GB"/>
        </w:rPr>
        <w:footnoteReference w:id="1"/>
      </w:r>
      <w:r w:rsidRPr="00070A6C">
        <w:rPr>
          <w:rFonts w:ascii="Arial" w:hAnsi="Arial" w:cs="Arial"/>
          <w:lang w:val="en-GB"/>
        </w:rPr>
        <w:t xml:space="preserve">  </w:t>
      </w:r>
      <w:r w:rsidR="003851E4" w:rsidRPr="00070A6C">
        <w:rPr>
          <w:rFonts w:ascii="Arial" w:hAnsi="Arial" w:cs="Arial"/>
          <w:lang w:val="en-GB"/>
        </w:rPr>
        <w:t xml:space="preserve">This </w:t>
      </w:r>
      <w:r w:rsidR="0011231D" w:rsidRPr="00070A6C">
        <w:rPr>
          <w:rFonts w:ascii="Arial" w:hAnsi="Arial" w:cs="Arial"/>
          <w:lang w:val="en-GB"/>
        </w:rPr>
        <w:t xml:space="preserve">however </w:t>
      </w:r>
      <w:r w:rsidR="003851E4" w:rsidRPr="00070A6C">
        <w:rPr>
          <w:rFonts w:ascii="Arial" w:hAnsi="Arial" w:cs="Arial"/>
          <w:lang w:val="en-GB"/>
        </w:rPr>
        <w:t>does not mean, in my view, that</w:t>
      </w:r>
      <w:r w:rsidRPr="00070A6C">
        <w:rPr>
          <w:rFonts w:ascii="Arial" w:hAnsi="Arial" w:cs="Arial"/>
          <w:lang w:val="en-GB"/>
        </w:rPr>
        <w:t xml:space="preserve"> a defendant is </w:t>
      </w:r>
      <w:r w:rsidR="003851E4" w:rsidRPr="00070A6C">
        <w:rPr>
          <w:rFonts w:ascii="Arial" w:hAnsi="Arial" w:cs="Arial"/>
          <w:lang w:val="en-GB"/>
        </w:rPr>
        <w:t xml:space="preserve">not </w:t>
      </w:r>
      <w:r w:rsidRPr="00070A6C">
        <w:rPr>
          <w:rFonts w:ascii="Arial" w:hAnsi="Arial" w:cs="Arial"/>
          <w:lang w:val="en-GB"/>
        </w:rPr>
        <w:t xml:space="preserve">entitled in its opposing affidavit to elaborate on its plea and the defences pleaded.  The amendment to rule 32 did not affect the rules regarding pleadings – the difference between </w:t>
      </w:r>
      <w:r w:rsidRPr="00070A6C">
        <w:rPr>
          <w:rFonts w:ascii="Arial" w:hAnsi="Arial" w:cs="Arial"/>
          <w:i/>
          <w:iCs/>
          <w:lang w:val="en-GB"/>
        </w:rPr>
        <w:t>facta probanda</w:t>
      </w:r>
      <w:r w:rsidRPr="00070A6C">
        <w:rPr>
          <w:rFonts w:ascii="Arial" w:hAnsi="Arial" w:cs="Arial"/>
          <w:lang w:val="en-GB"/>
        </w:rPr>
        <w:t xml:space="preserve"> and </w:t>
      </w:r>
      <w:r w:rsidRPr="00070A6C">
        <w:rPr>
          <w:rFonts w:ascii="Arial" w:hAnsi="Arial" w:cs="Arial"/>
          <w:i/>
          <w:iCs/>
          <w:lang w:val="en-GB"/>
        </w:rPr>
        <w:t>facta probantia</w:t>
      </w:r>
      <w:r w:rsidRPr="00070A6C">
        <w:rPr>
          <w:rFonts w:ascii="Arial" w:hAnsi="Arial" w:cs="Arial"/>
          <w:lang w:val="en-GB"/>
        </w:rPr>
        <w:t xml:space="preserve"> remains </w:t>
      </w:r>
      <w:r w:rsidR="0011231D" w:rsidRPr="00070A6C">
        <w:rPr>
          <w:rFonts w:ascii="Arial" w:hAnsi="Arial" w:cs="Arial"/>
          <w:lang w:val="en-GB"/>
        </w:rPr>
        <w:t>pertinent</w:t>
      </w:r>
      <w:r w:rsidRPr="00070A6C">
        <w:rPr>
          <w:rFonts w:ascii="Arial" w:hAnsi="Arial" w:cs="Arial"/>
          <w:lang w:val="en-GB"/>
        </w:rPr>
        <w:t xml:space="preserve">.  In my view the amendment to rule 32 was not intended to require a defendant to plead its defence in </w:t>
      </w:r>
      <w:r w:rsidR="0011231D" w:rsidRPr="00070A6C">
        <w:rPr>
          <w:rFonts w:ascii="Arial" w:hAnsi="Arial" w:cs="Arial"/>
          <w:lang w:val="en-GB"/>
        </w:rPr>
        <w:t xml:space="preserve">the </w:t>
      </w:r>
      <w:r w:rsidRPr="00070A6C">
        <w:rPr>
          <w:rFonts w:ascii="Arial" w:hAnsi="Arial" w:cs="Arial"/>
          <w:lang w:val="en-GB"/>
        </w:rPr>
        <w:t xml:space="preserve">same detail and with the facts necessary to prove the facts to be proved as it would be entitled to do in </w:t>
      </w:r>
      <w:r w:rsidR="00E91584" w:rsidRPr="00070A6C">
        <w:rPr>
          <w:rFonts w:ascii="Arial" w:hAnsi="Arial" w:cs="Arial"/>
          <w:lang w:val="en-GB"/>
        </w:rPr>
        <w:t>an</w:t>
      </w:r>
      <w:r w:rsidRPr="00070A6C">
        <w:rPr>
          <w:rFonts w:ascii="Arial" w:hAnsi="Arial" w:cs="Arial"/>
          <w:lang w:val="en-GB"/>
        </w:rPr>
        <w:t xml:space="preserve"> affidavit resisting summary judgment.</w:t>
      </w:r>
    </w:p>
    <w:p w14:paraId="68ECF280" w14:textId="33EFE2F4" w:rsidR="00CE5136" w:rsidRPr="00070A6C" w:rsidRDefault="00E91584" w:rsidP="00420E68">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In the opposing affidavit the defendant relies </w:t>
      </w:r>
      <w:r w:rsidR="002A66F2" w:rsidRPr="00070A6C">
        <w:rPr>
          <w:rFonts w:ascii="Arial" w:hAnsi="Arial" w:cs="Arial"/>
          <w:lang w:val="en-GB"/>
        </w:rPr>
        <w:t>in essence on two defences.</w:t>
      </w:r>
      <w:r w:rsidR="00420E68" w:rsidRPr="00070A6C">
        <w:rPr>
          <w:rFonts w:ascii="Arial" w:hAnsi="Arial" w:cs="Arial"/>
          <w:lang w:val="en-GB"/>
        </w:rPr>
        <w:t xml:space="preserve">  </w:t>
      </w:r>
      <w:r w:rsidR="007F3BC0" w:rsidRPr="00070A6C">
        <w:rPr>
          <w:rFonts w:ascii="Arial" w:hAnsi="Arial" w:cs="Arial"/>
          <w:lang w:val="en-GB"/>
        </w:rPr>
        <w:t>Firstly</w:t>
      </w:r>
      <w:r w:rsidR="002A66F2" w:rsidRPr="00070A6C">
        <w:rPr>
          <w:rFonts w:ascii="Arial" w:hAnsi="Arial" w:cs="Arial"/>
          <w:lang w:val="en-GB"/>
        </w:rPr>
        <w:t>, t</w:t>
      </w:r>
      <w:r w:rsidRPr="00070A6C">
        <w:rPr>
          <w:rFonts w:ascii="Arial" w:hAnsi="Arial" w:cs="Arial"/>
          <w:lang w:val="en-GB"/>
        </w:rPr>
        <w:t xml:space="preserve">he defendant contends that it has not breached the lease as it was never in arrears because </w:t>
      </w:r>
      <w:r w:rsidR="00420E68" w:rsidRPr="00070A6C">
        <w:rPr>
          <w:rFonts w:ascii="Arial" w:hAnsi="Arial" w:cs="Arial"/>
          <w:lang w:val="en-GB"/>
        </w:rPr>
        <w:t>of</w:t>
      </w:r>
      <w:r w:rsidRPr="00070A6C">
        <w:rPr>
          <w:rFonts w:ascii="Arial" w:hAnsi="Arial" w:cs="Arial"/>
          <w:lang w:val="en-GB"/>
        </w:rPr>
        <w:t xml:space="preserve"> a dispute between the plaintiff and the defendant since the inception of the lease regarding the plaintiff’s monthly charges </w:t>
      </w:r>
      <w:r w:rsidR="00D810F0" w:rsidRPr="00070A6C">
        <w:rPr>
          <w:rFonts w:ascii="Arial" w:hAnsi="Arial" w:cs="Arial"/>
          <w:lang w:val="en-GB"/>
        </w:rPr>
        <w:t>for</w:t>
      </w:r>
      <w:r w:rsidRPr="00070A6C">
        <w:rPr>
          <w:rFonts w:ascii="Arial" w:hAnsi="Arial" w:cs="Arial"/>
          <w:lang w:val="en-GB"/>
        </w:rPr>
        <w:t xml:space="preserve"> sewerage and water.  The defendant contends that it </w:t>
      </w:r>
      <w:r w:rsidR="003851E4" w:rsidRPr="00070A6C">
        <w:rPr>
          <w:rFonts w:ascii="Arial" w:hAnsi="Arial" w:cs="Arial"/>
          <w:lang w:val="en-GB"/>
        </w:rPr>
        <w:t xml:space="preserve">has </w:t>
      </w:r>
      <w:r w:rsidRPr="00070A6C">
        <w:rPr>
          <w:rFonts w:ascii="Arial" w:hAnsi="Arial" w:cs="Arial"/>
          <w:lang w:val="en-GB"/>
        </w:rPr>
        <w:t>disconnected the water supply to the premises with the result that the plaintiff is not entitled to the sewerage and water charges as set out in its statement</w:t>
      </w:r>
      <w:r w:rsidR="00237439" w:rsidRPr="00070A6C">
        <w:rPr>
          <w:rFonts w:ascii="Arial" w:hAnsi="Arial" w:cs="Arial"/>
          <w:lang w:val="en-GB"/>
        </w:rPr>
        <w:t xml:space="preserve"> (annexure “B” to the particulars of claim) (“</w:t>
      </w:r>
      <w:r w:rsidR="00237439" w:rsidRPr="00070A6C">
        <w:rPr>
          <w:rFonts w:ascii="Arial" w:hAnsi="Arial" w:cs="Arial"/>
          <w:i/>
          <w:iCs/>
          <w:lang w:val="en-GB"/>
        </w:rPr>
        <w:t>the</w:t>
      </w:r>
      <w:r w:rsidR="00237439" w:rsidRPr="00070A6C">
        <w:rPr>
          <w:rFonts w:ascii="Arial" w:hAnsi="Arial" w:cs="Arial"/>
          <w:lang w:val="en-GB"/>
        </w:rPr>
        <w:t xml:space="preserve"> </w:t>
      </w:r>
      <w:r w:rsidR="00237439" w:rsidRPr="00070A6C">
        <w:rPr>
          <w:rFonts w:ascii="Arial" w:hAnsi="Arial" w:cs="Arial"/>
          <w:i/>
          <w:iCs/>
          <w:lang w:val="en-GB"/>
        </w:rPr>
        <w:t>plaintiff’s</w:t>
      </w:r>
      <w:r w:rsidR="00237439" w:rsidRPr="00070A6C">
        <w:rPr>
          <w:rFonts w:ascii="Arial" w:hAnsi="Arial" w:cs="Arial"/>
          <w:lang w:val="en-GB"/>
        </w:rPr>
        <w:t xml:space="preserve"> </w:t>
      </w:r>
      <w:r w:rsidR="00237439" w:rsidRPr="00070A6C">
        <w:rPr>
          <w:rFonts w:ascii="Arial" w:hAnsi="Arial" w:cs="Arial"/>
          <w:i/>
          <w:iCs/>
          <w:lang w:val="en-GB"/>
        </w:rPr>
        <w:t>statement</w:t>
      </w:r>
      <w:r w:rsidR="00237439" w:rsidRPr="00070A6C">
        <w:rPr>
          <w:rFonts w:ascii="Arial" w:hAnsi="Arial" w:cs="Arial"/>
          <w:lang w:val="en-GB"/>
        </w:rPr>
        <w:t>”)</w:t>
      </w:r>
      <w:r w:rsidR="002A66F2" w:rsidRPr="00070A6C">
        <w:rPr>
          <w:rFonts w:ascii="Arial" w:hAnsi="Arial" w:cs="Arial"/>
          <w:lang w:val="en-GB"/>
        </w:rPr>
        <w:t xml:space="preserve">.  Related to this, the defendant contends that the plaintiff was not entitled to charge interest as there </w:t>
      </w:r>
      <w:r w:rsidR="003851E4" w:rsidRPr="00070A6C">
        <w:rPr>
          <w:rFonts w:ascii="Arial" w:hAnsi="Arial" w:cs="Arial"/>
          <w:lang w:val="en-GB"/>
        </w:rPr>
        <w:t>were never any</w:t>
      </w:r>
      <w:r w:rsidR="002A66F2" w:rsidRPr="00070A6C">
        <w:rPr>
          <w:rFonts w:ascii="Arial" w:hAnsi="Arial" w:cs="Arial"/>
          <w:lang w:val="en-GB"/>
        </w:rPr>
        <w:t xml:space="preserve"> arrears.</w:t>
      </w:r>
      <w:r w:rsidR="00CE5136" w:rsidRPr="00070A6C">
        <w:rPr>
          <w:rFonts w:ascii="Arial" w:hAnsi="Arial" w:cs="Arial"/>
          <w:lang w:val="en-GB"/>
        </w:rPr>
        <w:t xml:space="preserve">  </w:t>
      </w:r>
    </w:p>
    <w:p w14:paraId="62D3490C" w14:textId="270EFC3A" w:rsidR="000B3E93" w:rsidRPr="00070A6C" w:rsidRDefault="000B3E93" w:rsidP="00CE5136">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In its plea the defendant denied paragraph 5.1</w:t>
      </w:r>
      <w:r w:rsidR="00D810F0" w:rsidRPr="00070A6C">
        <w:rPr>
          <w:rFonts w:ascii="Arial" w:hAnsi="Arial" w:cs="Arial"/>
          <w:lang w:val="en-GB"/>
        </w:rPr>
        <w:t xml:space="preserve"> of the particulars of claim</w:t>
      </w:r>
      <w:r w:rsidRPr="00070A6C">
        <w:rPr>
          <w:rFonts w:ascii="Arial" w:hAnsi="Arial" w:cs="Arial"/>
          <w:lang w:val="en-GB"/>
        </w:rPr>
        <w:t>, being the plaintiff’s paraphrasing of certain terms of the lease, including the terms providing for water</w:t>
      </w:r>
      <w:r w:rsidR="0011231D" w:rsidRPr="00070A6C">
        <w:rPr>
          <w:rFonts w:ascii="Arial" w:hAnsi="Arial" w:cs="Arial"/>
          <w:lang w:val="en-GB"/>
        </w:rPr>
        <w:t>,</w:t>
      </w:r>
      <w:r w:rsidRPr="00070A6C">
        <w:rPr>
          <w:rFonts w:ascii="Arial" w:hAnsi="Arial" w:cs="Arial"/>
          <w:lang w:val="en-GB"/>
        </w:rPr>
        <w:t xml:space="preserve"> sewerage charges and interest.  The defendant also denied in its plea the </w:t>
      </w:r>
      <w:r w:rsidRPr="00070A6C">
        <w:rPr>
          <w:rFonts w:ascii="Arial" w:hAnsi="Arial" w:cs="Arial"/>
          <w:lang w:val="en-GB"/>
        </w:rPr>
        <w:lastRenderedPageBreak/>
        <w:t xml:space="preserve">claimed arrears.  The plaintiff contends that the denials are inadequate and that the defendant should have pleaded the defence regarding the water, sewerage </w:t>
      </w:r>
      <w:r w:rsidR="0011231D" w:rsidRPr="00070A6C">
        <w:rPr>
          <w:rFonts w:ascii="Arial" w:hAnsi="Arial" w:cs="Arial"/>
          <w:lang w:val="en-GB"/>
        </w:rPr>
        <w:t xml:space="preserve">charges </w:t>
      </w:r>
      <w:r w:rsidRPr="00070A6C">
        <w:rPr>
          <w:rFonts w:ascii="Arial" w:hAnsi="Arial" w:cs="Arial"/>
          <w:lang w:val="en-GB"/>
        </w:rPr>
        <w:t xml:space="preserve">and interest in more detail in its plea in order to rely thereon in the opposing affidavit.  </w:t>
      </w:r>
    </w:p>
    <w:p w14:paraId="29E38DE5" w14:textId="560EECBE" w:rsidR="00E91584" w:rsidRPr="00070A6C" w:rsidRDefault="000B3E93" w:rsidP="000B3E93">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Because the first defence was not raised in the plea with the same particularity as in the opposing affidavit, the plaintiff </w:t>
      </w:r>
      <w:r w:rsidR="004408D2" w:rsidRPr="00070A6C">
        <w:rPr>
          <w:rFonts w:ascii="Arial" w:hAnsi="Arial" w:cs="Arial"/>
          <w:lang w:val="en-GB"/>
        </w:rPr>
        <w:t>did not have the</w:t>
      </w:r>
      <w:r w:rsidRPr="00070A6C">
        <w:rPr>
          <w:rFonts w:ascii="Arial" w:hAnsi="Arial" w:cs="Arial"/>
          <w:lang w:val="en-GB"/>
        </w:rPr>
        <w:t xml:space="preserve"> opportunity to deal with same in </w:t>
      </w:r>
      <w:r w:rsidR="004408D2" w:rsidRPr="00070A6C">
        <w:rPr>
          <w:rFonts w:ascii="Arial" w:hAnsi="Arial" w:cs="Arial"/>
          <w:lang w:val="en-GB"/>
        </w:rPr>
        <w:t>its</w:t>
      </w:r>
      <w:r w:rsidRPr="00070A6C">
        <w:rPr>
          <w:rFonts w:ascii="Arial" w:hAnsi="Arial" w:cs="Arial"/>
          <w:lang w:val="en-GB"/>
        </w:rPr>
        <w:t xml:space="preserve"> affidavit.  As such, and because rule 32 does not provide for a replying affidavit to be delivered, the plaintiff may have been placed at a disadvantage in the context of amended rule 32.  Notwithstanding, I am not persuaded that the defendant’s opposing affidavit is inconsistent with the plea.  </w:t>
      </w:r>
    </w:p>
    <w:p w14:paraId="1480A6FF" w14:textId="03052066" w:rsidR="007F3BC0" w:rsidRPr="00070A6C" w:rsidRDefault="00CE5136" w:rsidP="00CE5136">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As a second defence</w:t>
      </w:r>
      <w:r w:rsidR="007F3BC0" w:rsidRPr="00070A6C">
        <w:rPr>
          <w:rFonts w:ascii="Arial" w:hAnsi="Arial" w:cs="Arial"/>
          <w:lang w:val="en-GB"/>
        </w:rPr>
        <w:t>, the defendant contends that the plaintiff did not comply with its obligations in terms of the lease or tendered compliance thereof during the “</w:t>
      </w:r>
      <w:r w:rsidR="007F3BC0" w:rsidRPr="00070A6C">
        <w:rPr>
          <w:rFonts w:ascii="Arial" w:hAnsi="Arial" w:cs="Arial"/>
          <w:i/>
          <w:iCs/>
          <w:lang w:val="en-GB"/>
        </w:rPr>
        <w:t>alert level lockdown</w:t>
      </w:r>
      <w:r w:rsidR="007F3BC0" w:rsidRPr="00070A6C">
        <w:rPr>
          <w:rFonts w:ascii="Arial" w:hAnsi="Arial" w:cs="Arial"/>
          <w:lang w:val="en-GB"/>
        </w:rPr>
        <w:t xml:space="preserve">” period of 27 March to 17 August 2020, with the result that the defendant did not enjoy complete and unfettered beneficial occupation of the premises.  The alert level lockdown, so the defendant contends, constitutes a </w:t>
      </w:r>
      <w:r w:rsidR="007F3BC0" w:rsidRPr="00070A6C">
        <w:rPr>
          <w:rFonts w:ascii="Arial" w:hAnsi="Arial" w:cs="Arial"/>
          <w:i/>
          <w:iCs/>
          <w:lang w:val="en-GB"/>
        </w:rPr>
        <w:t xml:space="preserve">vis major </w:t>
      </w:r>
      <w:r w:rsidR="007F3BC0" w:rsidRPr="00070A6C">
        <w:rPr>
          <w:rFonts w:ascii="Arial" w:hAnsi="Arial" w:cs="Arial"/>
          <w:lang w:val="en-GB"/>
        </w:rPr>
        <w:t xml:space="preserve">event and the defendant is, as a result, entitled to a remission of rental.  This defence </w:t>
      </w:r>
      <w:r w:rsidRPr="00070A6C">
        <w:rPr>
          <w:rFonts w:ascii="Arial" w:hAnsi="Arial" w:cs="Arial"/>
          <w:lang w:val="en-GB"/>
        </w:rPr>
        <w:t>is</w:t>
      </w:r>
      <w:r w:rsidR="007F3BC0" w:rsidRPr="00070A6C">
        <w:rPr>
          <w:rFonts w:ascii="Arial" w:hAnsi="Arial" w:cs="Arial"/>
          <w:lang w:val="en-GB"/>
        </w:rPr>
        <w:t xml:space="preserve"> consistent with the plea.</w:t>
      </w:r>
    </w:p>
    <w:p w14:paraId="43EDAD35" w14:textId="019954E2" w:rsidR="00F86EDC" w:rsidRPr="00070A6C" w:rsidRDefault="00F86EDC" w:rsidP="00AF5234">
      <w:pPr>
        <w:pStyle w:val="Heading2"/>
      </w:pPr>
      <w:r w:rsidRPr="00070A6C">
        <w:t xml:space="preserve">The </w:t>
      </w:r>
      <w:r w:rsidR="00CE5136" w:rsidRPr="00070A6C">
        <w:t>first</w:t>
      </w:r>
      <w:r w:rsidRPr="00070A6C">
        <w:t xml:space="preserve"> defence - sewerage and water </w:t>
      </w:r>
    </w:p>
    <w:p w14:paraId="2732F32D" w14:textId="65469485" w:rsidR="002F4509" w:rsidRPr="00070A6C" w:rsidRDefault="002F4509" w:rsidP="00AF7EFB">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In its plea, the defendant admits the conclusion of the lease (annexure “A” to the particulars of claim).  </w:t>
      </w:r>
      <w:r w:rsidR="00434D64" w:rsidRPr="00070A6C">
        <w:rPr>
          <w:rFonts w:ascii="Arial" w:hAnsi="Arial" w:cs="Arial"/>
          <w:lang w:val="en-GB"/>
        </w:rPr>
        <w:t>Save for t</w:t>
      </w:r>
      <w:r w:rsidRPr="00070A6C">
        <w:rPr>
          <w:rFonts w:ascii="Arial" w:hAnsi="Arial" w:cs="Arial"/>
          <w:lang w:val="en-GB"/>
        </w:rPr>
        <w:t>he defendant</w:t>
      </w:r>
      <w:r w:rsidR="00AF7EFB" w:rsidRPr="00070A6C">
        <w:rPr>
          <w:rFonts w:ascii="Arial" w:hAnsi="Arial" w:cs="Arial"/>
          <w:lang w:val="en-GB"/>
        </w:rPr>
        <w:t>’s</w:t>
      </w:r>
      <w:r w:rsidRPr="00070A6C">
        <w:rPr>
          <w:rFonts w:ascii="Arial" w:hAnsi="Arial" w:cs="Arial"/>
          <w:lang w:val="en-GB"/>
        </w:rPr>
        <w:t xml:space="preserve"> deni</w:t>
      </w:r>
      <w:r w:rsidR="00434D64" w:rsidRPr="00070A6C">
        <w:rPr>
          <w:rFonts w:ascii="Arial" w:hAnsi="Arial" w:cs="Arial"/>
          <w:lang w:val="en-GB"/>
        </w:rPr>
        <w:t>al</w:t>
      </w:r>
      <w:r w:rsidRPr="00070A6C">
        <w:rPr>
          <w:rFonts w:ascii="Arial" w:hAnsi="Arial" w:cs="Arial"/>
          <w:lang w:val="en-GB"/>
        </w:rPr>
        <w:t xml:space="preserve"> </w:t>
      </w:r>
      <w:r w:rsidR="000B3E93" w:rsidRPr="00070A6C">
        <w:rPr>
          <w:rFonts w:ascii="Arial" w:hAnsi="Arial" w:cs="Arial"/>
          <w:lang w:val="en-GB"/>
        </w:rPr>
        <w:t xml:space="preserve">of </w:t>
      </w:r>
      <w:r w:rsidRPr="00070A6C">
        <w:rPr>
          <w:rFonts w:ascii="Arial" w:hAnsi="Arial" w:cs="Arial"/>
          <w:lang w:val="en-GB"/>
        </w:rPr>
        <w:t xml:space="preserve">paragraph 5.1 of the particulars of claim, </w:t>
      </w:r>
      <w:r w:rsidR="004408D2" w:rsidRPr="00070A6C">
        <w:rPr>
          <w:rFonts w:ascii="Arial" w:hAnsi="Arial" w:cs="Arial"/>
          <w:lang w:val="en-GB"/>
        </w:rPr>
        <w:t xml:space="preserve">the remainder of the terms of the lease pleaded by the plaintiff are admitted by the defendant in its plea with the reservation that they are consistent with the lease.  There is however no specific allegation in the plea regarding the alleged dispute about sewerage and water.  </w:t>
      </w:r>
      <w:r w:rsidR="00434D64" w:rsidRPr="00070A6C">
        <w:rPr>
          <w:rFonts w:ascii="Arial" w:hAnsi="Arial" w:cs="Arial"/>
          <w:lang w:val="en-GB"/>
        </w:rPr>
        <w:t xml:space="preserve">  </w:t>
      </w:r>
    </w:p>
    <w:p w14:paraId="6370A8D9" w14:textId="2E03E645" w:rsidR="00C738C0" w:rsidRPr="00070A6C" w:rsidRDefault="00FB23EC" w:rsidP="004408D2">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Analysing paragraph 5.1</w:t>
      </w:r>
      <w:r w:rsidR="00767AA2" w:rsidRPr="00070A6C">
        <w:rPr>
          <w:rFonts w:ascii="Arial" w:hAnsi="Arial" w:cs="Arial"/>
          <w:lang w:val="en-GB"/>
        </w:rPr>
        <w:t xml:space="preserve"> of the particulars of claim</w:t>
      </w:r>
      <w:r w:rsidRPr="00070A6C">
        <w:rPr>
          <w:rFonts w:ascii="Arial" w:hAnsi="Arial" w:cs="Arial"/>
          <w:lang w:val="en-GB"/>
        </w:rPr>
        <w:t xml:space="preserve">, </w:t>
      </w:r>
      <w:r w:rsidR="00C738C0" w:rsidRPr="00070A6C">
        <w:rPr>
          <w:rFonts w:ascii="Arial" w:hAnsi="Arial" w:cs="Arial"/>
          <w:lang w:val="en-GB"/>
        </w:rPr>
        <w:t>it is not immediately evident what it is the defendant denies in its plea.  The basic monthly rental</w:t>
      </w:r>
      <w:r w:rsidR="00D810F0" w:rsidRPr="00070A6C">
        <w:rPr>
          <w:rFonts w:ascii="Arial" w:hAnsi="Arial" w:cs="Arial"/>
          <w:lang w:val="en-GB"/>
        </w:rPr>
        <w:t>,</w:t>
      </w:r>
      <w:r w:rsidR="00C738C0" w:rsidRPr="00070A6C">
        <w:rPr>
          <w:rFonts w:ascii="Arial" w:hAnsi="Arial" w:cs="Arial"/>
          <w:lang w:val="en-GB"/>
        </w:rPr>
        <w:t xml:space="preserve"> escalation and administration costs are provided for in the schedule to the lease</w:t>
      </w:r>
      <w:r w:rsidR="00AF7EFB" w:rsidRPr="00070A6C">
        <w:rPr>
          <w:rFonts w:ascii="Arial" w:hAnsi="Arial" w:cs="Arial"/>
          <w:lang w:val="en-GB"/>
        </w:rPr>
        <w:t>;</w:t>
      </w:r>
      <w:r w:rsidR="00C738C0" w:rsidRPr="00070A6C">
        <w:rPr>
          <w:rFonts w:ascii="Arial" w:hAnsi="Arial" w:cs="Arial"/>
          <w:lang w:val="en-GB"/>
        </w:rPr>
        <w:t xml:space="preserve"> the municipal rates, electricity, water, sewerage and refuse removal are provided for in clause 24 of the lease and the interest on late payments is provided for in clause 6.1 of the lease.  </w:t>
      </w:r>
      <w:r w:rsidR="00AF7EFB" w:rsidRPr="00070A6C">
        <w:rPr>
          <w:rFonts w:ascii="Arial" w:hAnsi="Arial" w:cs="Arial"/>
          <w:lang w:val="en-GB"/>
        </w:rPr>
        <w:t>It is only the prime rate of interest</w:t>
      </w:r>
      <w:r w:rsidR="00237439" w:rsidRPr="00070A6C">
        <w:rPr>
          <w:rFonts w:ascii="Arial" w:hAnsi="Arial" w:cs="Arial"/>
          <w:lang w:val="en-GB"/>
        </w:rPr>
        <w:t xml:space="preserve">, </w:t>
      </w:r>
      <w:r w:rsidR="00AF7EFB" w:rsidRPr="00070A6C">
        <w:rPr>
          <w:rFonts w:ascii="Arial" w:hAnsi="Arial" w:cs="Arial"/>
          <w:lang w:val="en-GB"/>
        </w:rPr>
        <w:t xml:space="preserve">alleged </w:t>
      </w:r>
      <w:r w:rsidR="00237439" w:rsidRPr="00070A6C">
        <w:rPr>
          <w:rFonts w:ascii="Arial" w:hAnsi="Arial" w:cs="Arial"/>
          <w:lang w:val="en-GB"/>
        </w:rPr>
        <w:t xml:space="preserve">in paragraph 5.1 </w:t>
      </w:r>
      <w:r w:rsidR="00AF7EFB" w:rsidRPr="00070A6C">
        <w:rPr>
          <w:rFonts w:ascii="Arial" w:hAnsi="Arial" w:cs="Arial"/>
          <w:lang w:val="en-GB"/>
        </w:rPr>
        <w:t>to be 7%</w:t>
      </w:r>
      <w:r w:rsidR="00237439" w:rsidRPr="00070A6C">
        <w:rPr>
          <w:rFonts w:ascii="Arial" w:hAnsi="Arial" w:cs="Arial"/>
          <w:lang w:val="en-GB"/>
        </w:rPr>
        <w:t>,</w:t>
      </w:r>
      <w:r w:rsidR="00AF7EFB" w:rsidRPr="00070A6C">
        <w:rPr>
          <w:rFonts w:ascii="Arial" w:hAnsi="Arial" w:cs="Arial"/>
          <w:lang w:val="en-GB"/>
        </w:rPr>
        <w:t xml:space="preserve"> which is not </w:t>
      </w:r>
      <w:r w:rsidR="00AF7EFB" w:rsidRPr="00070A6C">
        <w:rPr>
          <w:rFonts w:ascii="Arial" w:hAnsi="Arial" w:cs="Arial"/>
          <w:lang w:val="en-GB"/>
        </w:rPr>
        <w:lastRenderedPageBreak/>
        <w:t xml:space="preserve">contained in the lease.  </w:t>
      </w:r>
      <w:r w:rsidR="00767AA2" w:rsidRPr="00070A6C">
        <w:rPr>
          <w:rFonts w:ascii="Arial" w:hAnsi="Arial" w:cs="Arial"/>
          <w:lang w:val="en-GB"/>
        </w:rPr>
        <w:t xml:space="preserve">  </w:t>
      </w:r>
      <w:r w:rsidR="000B3E93" w:rsidRPr="00070A6C">
        <w:rPr>
          <w:rFonts w:ascii="Arial" w:hAnsi="Arial" w:cs="Arial"/>
          <w:lang w:val="en-GB"/>
        </w:rPr>
        <w:t xml:space="preserve">From a reading of the opposing affidavit, it appears that the denial in the plea pertains to the defendant’s challenge of the plaintiff’s entitlement to invoice for water and sewerage and, as a result, interest on arrears.  </w:t>
      </w:r>
      <w:r w:rsidR="00C738C0" w:rsidRPr="00070A6C">
        <w:rPr>
          <w:rFonts w:ascii="Arial" w:hAnsi="Arial" w:cs="Arial"/>
          <w:lang w:val="en-GB"/>
        </w:rPr>
        <w:t xml:space="preserve">  </w:t>
      </w:r>
    </w:p>
    <w:p w14:paraId="52D30EC6" w14:textId="2E4A4BA0" w:rsidR="00681241" w:rsidRPr="00070A6C" w:rsidRDefault="00767AA2"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T</w:t>
      </w:r>
      <w:r w:rsidR="00681241" w:rsidRPr="00070A6C">
        <w:rPr>
          <w:rFonts w:ascii="Arial" w:hAnsi="Arial" w:cs="Arial"/>
          <w:lang w:val="en-GB"/>
        </w:rPr>
        <w:t xml:space="preserve">he defendant alleges </w:t>
      </w:r>
      <w:r w:rsidRPr="00070A6C">
        <w:rPr>
          <w:rFonts w:ascii="Arial" w:hAnsi="Arial" w:cs="Arial"/>
          <w:lang w:val="en-GB"/>
        </w:rPr>
        <w:t xml:space="preserve">in its opposing affidavit </w:t>
      </w:r>
      <w:r w:rsidR="00681241" w:rsidRPr="00070A6C">
        <w:rPr>
          <w:rFonts w:ascii="Arial" w:hAnsi="Arial" w:cs="Arial"/>
          <w:lang w:val="en-GB"/>
        </w:rPr>
        <w:t xml:space="preserve">that a dispute </w:t>
      </w:r>
      <w:r w:rsidR="00237439" w:rsidRPr="00070A6C">
        <w:rPr>
          <w:rFonts w:ascii="Arial" w:hAnsi="Arial" w:cs="Arial"/>
          <w:lang w:val="en-GB"/>
        </w:rPr>
        <w:t>regarding</w:t>
      </w:r>
      <w:r w:rsidR="00681241" w:rsidRPr="00070A6C">
        <w:rPr>
          <w:rFonts w:ascii="Arial" w:hAnsi="Arial" w:cs="Arial"/>
          <w:lang w:val="en-GB"/>
        </w:rPr>
        <w:t xml:space="preserve"> amounts charged </w:t>
      </w:r>
      <w:r w:rsidR="00237439" w:rsidRPr="00070A6C">
        <w:rPr>
          <w:rFonts w:ascii="Arial" w:hAnsi="Arial" w:cs="Arial"/>
          <w:lang w:val="en-GB"/>
        </w:rPr>
        <w:t xml:space="preserve">by the plaintiff </w:t>
      </w:r>
      <w:r w:rsidR="00681241" w:rsidRPr="00070A6C">
        <w:rPr>
          <w:rFonts w:ascii="Arial" w:hAnsi="Arial" w:cs="Arial"/>
          <w:lang w:val="en-GB"/>
        </w:rPr>
        <w:t xml:space="preserve">for sewerage and water has been </w:t>
      </w:r>
      <w:r w:rsidRPr="00070A6C">
        <w:rPr>
          <w:rFonts w:ascii="Arial" w:hAnsi="Arial" w:cs="Arial"/>
          <w:lang w:val="en-GB"/>
        </w:rPr>
        <w:t>enduring</w:t>
      </w:r>
      <w:r w:rsidR="00681241" w:rsidRPr="00070A6C">
        <w:rPr>
          <w:rFonts w:ascii="Arial" w:hAnsi="Arial" w:cs="Arial"/>
          <w:lang w:val="en-GB"/>
        </w:rPr>
        <w:t xml:space="preserve"> between the parties since the inception of the lease.</w:t>
      </w:r>
      <w:r w:rsidR="00990E09" w:rsidRPr="00070A6C">
        <w:rPr>
          <w:rFonts w:ascii="Arial" w:hAnsi="Arial" w:cs="Arial"/>
          <w:lang w:val="en-GB"/>
        </w:rPr>
        <w:t xml:space="preserve">  The defendant contends that it has disconnected the water supply to the premises </w:t>
      </w:r>
      <w:r w:rsidRPr="00070A6C">
        <w:rPr>
          <w:rFonts w:ascii="Arial" w:hAnsi="Arial" w:cs="Arial"/>
          <w:lang w:val="en-GB"/>
        </w:rPr>
        <w:t>with the result that the plaintiff is not entitled to the sewerage and water charges as set out in its statement.  Those charges, the defendant contends,</w:t>
      </w:r>
      <w:r w:rsidR="00990E09" w:rsidRPr="00070A6C">
        <w:rPr>
          <w:rFonts w:ascii="Arial" w:hAnsi="Arial" w:cs="Arial"/>
          <w:lang w:val="en-GB"/>
        </w:rPr>
        <w:t xml:space="preserve"> should be deducted</w:t>
      </w:r>
      <w:r w:rsidRPr="00070A6C">
        <w:rPr>
          <w:rFonts w:ascii="Arial" w:hAnsi="Arial" w:cs="Arial"/>
          <w:lang w:val="en-GB"/>
        </w:rPr>
        <w:t xml:space="preserve"> from the arrears claimed by the plaintiff</w:t>
      </w:r>
      <w:r w:rsidR="00990E09" w:rsidRPr="00070A6C">
        <w:rPr>
          <w:rFonts w:ascii="Arial" w:hAnsi="Arial" w:cs="Arial"/>
          <w:lang w:val="en-GB"/>
        </w:rPr>
        <w:t>.  By charging the defendant for water and sewerage, so the defendant continue</w:t>
      </w:r>
      <w:r w:rsidR="00237439" w:rsidRPr="00070A6C">
        <w:rPr>
          <w:rFonts w:ascii="Arial" w:hAnsi="Arial" w:cs="Arial"/>
          <w:lang w:val="en-GB"/>
        </w:rPr>
        <w:t>d</w:t>
      </w:r>
      <w:r w:rsidR="00990E09" w:rsidRPr="00070A6C">
        <w:rPr>
          <w:rFonts w:ascii="Arial" w:hAnsi="Arial" w:cs="Arial"/>
          <w:lang w:val="en-GB"/>
        </w:rPr>
        <w:t xml:space="preserve">, the plaintiff has created the impression that the defendant is in arrears.  </w:t>
      </w:r>
      <w:r w:rsidRPr="00070A6C">
        <w:rPr>
          <w:rFonts w:ascii="Arial" w:hAnsi="Arial" w:cs="Arial"/>
          <w:lang w:val="en-GB"/>
        </w:rPr>
        <w:t xml:space="preserve">The defendant contends that it was never in arrears and accordingly it has not breached the lease.  </w:t>
      </w:r>
      <w:r w:rsidR="00990E09" w:rsidRPr="00070A6C">
        <w:rPr>
          <w:rFonts w:ascii="Arial" w:hAnsi="Arial" w:cs="Arial"/>
          <w:lang w:val="en-GB"/>
        </w:rPr>
        <w:t xml:space="preserve">As a result, the defendant </w:t>
      </w:r>
      <w:r w:rsidRPr="00070A6C">
        <w:rPr>
          <w:rFonts w:ascii="Arial" w:hAnsi="Arial" w:cs="Arial"/>
          <w:lang w:val="en-GB"/>
        </w:rPr>
        <w:t>argues</w:t>
      </w:r>
      <w:r w:rsidR="00237439" w:rsidRPr="00070A6C">
        <w:rPr>
          <w:rFonts w:ascii="Arial" w:hAnsi="Arial" w:cs="Arial"/>
          <w:lang w:val="en-GB"/>
        </w:rPr>
        <w:t xml:space="preserve"> that</w:t>
      </w:r>
      <w:r w:rsidR="00990E09" w:rsidRPr="00070A6C">
        <w:rPr>
          <w:rFonts w:ascii="Arial" w:hAnsi="Arial" w:cs="Arial"/>
          <w:lang w:val="en-GB"/>
        </w:rPr>
        <w:t xml:space="preserve"> the plaintiff was not entitled to cancel the lease or to claim ejectment of the defendant from the premises.</w:t>
      </w:r>
    </w:p>
    <w:p w14:paraId="19852862" w14:textId="42753FC2" w:rsidR="004C6BB4" w:rsidRPr="00070A6C" w:rsidRDefault="009A238C"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For the allegation that a dispute existed in respect of</w:t>
      </w:r>
      <w:r w:rsidR="00566905" w:rsidRPr="00070A6C">
        <w:rPr>
          <w:rFonts w:ascii="Arial" w:hAnsi="Arial" w:cs="Arial"/>
          <w:lang w:val="en-GB"/>
        </w:rPr>
        <w:t xml:space="preserve"> </w:t>
      </w:r>
      <w:r w:rsidR="00767AA2" w:rsidRPr="00070A6C">
        <w:rPr>
          <w:rFonts w:ascii="Arial" w:hAnsi="Arial" w:cs="Arial"/>
          <w:lang w:val="en-GB"/>
        </w:rPr>
        <w:t>water and sewerage “</w:t>
      </w:r>
      <w:r w:rsidR="00767AA2" w:rsidRPr="00070A6C">
        <w:rPr>
          <w:rFonts w:ascii="Arial" w:hAnsi="Arial" w:cs="Arial"/>
          <w:i/>
          <w:iCs/>
          <w:lang w:val="en-GB"/>
        </w:rPr>
        <w:t>since inception of the lease</w:t>
      </w:r>
      <w:r w:rsidR="00767AA2" w:rsidRPr="00070A6C">
        <w:rPr>
          <w:rFonts w:ascii="Arial" w:hAnsi="Arial" w:cs="Arial"/>
          <w:lang w:val="en-GB"/>
        </w:rPr>
        <w:t>”</w:t>
      </w:r>
      <w:r w:rsidRPr="00070A6C">
        <w:rPr>
          <w:rFonts w:ascii="Arial" w:hAnsi="Arial" w:cs="Arial"/>
          <w:lang w:val="en-GB"/>
        </w:rPr>
        <w:t>,</w:t>
      </w:r>
      <w:r w:rsidR="00767AA2" w:rsidRPr="00070A6C">
        <w:rPr>
          <w:rFonts w:ascii="Arial" w:hAnsi="Arial" w:cs="Arial"/>
          <w:lang w:val="en-GB"/>
        </w:rPr>
        <w:t xml:space="preserve"> </w:t>
      </w:r>
      <w:r w:rsidRPr="00070A6C">
        <w:rPr>
          <w:rFonts w:ascii="Arial" w:hAnsi="Arial" w:cs="Arial"/>
          <w:lang w:val="en-GB"/>
        </w:rPr>
        <w:t>the defendant relies on</w:t>
      </w:r>
      <w:r w:rsidR="00566905" w:rsidRPr="00070A6C">
        <w:rPr>
          <w:rFonts w:ascii="Arial" w:hAnsi="Arial" w:cs="Arial"/>
          <w:lang w:val="en-GB"/>
        </w:rPr>
        <w:t xml:space="preserve"> email correspondence </w:t>
      </w:r>
      <w:r w:rsidR="00991932" w:rsidRPr="00070A6C">
        <w:rPr>
          <w:rFonts w:ascii="Arial" w:hAnsi="Arial" w:cs="Arial"/>
          <w:lang w:val="en-GB"/>
        </w:rPr>
        <w:t>exchanged on 30 September 2020.  I am not convinced that the correspondence supports the alleged dispute since inception of the lease.  At best, the correspondence indicates that the defendant removed “</w:t>
      </w:r>
      <w:r w:rsidR="00991932" w:rsidRPr="00070A6C">
        <w:rPr>
          <w:rFonts w:ascii="Arial" w:hAnsi="Arial" w:cs="Arial"/>
          <w:i/>
          <w:iCs/>
          <w:lang w:val="en-GB"/>
        </w:rPr>
        <w:t>the tap</w:t>
      </w:r>
      <w:r w:rsidR="00991932" w:rsidRPr="00070A6C">
        <w:rPr>
          <w:rFonts w:ascii="Arial" w:hAnsi="Arial" w:cs="Arial"/>
          <w:lang w:val="en-GB"/>
        </w:rPr>
        <w:t xml:space="preserve">” from the premises and that the plaintiff stopped </w:t>
      </w:r>
      <w:r w:rsidR="00237439" w:rsidRPr="00070A6C">
        <w:rPr>
          <w:rFonts w:ascii="Arial" w:hAnsi="Arial" w:cs="Arial"/>
          <w:lang w:val="en-GB"/>
        </w:rPr>
        <w:t>invoicing</w:t>
      </w:r>
      <w:r w:rsidR="00991932" w:rsidRPr="00070A6C">
        <w:rPr>
          <w:rFonts w:ascii="Arial" w:hAnsi="Arial" w:cs="Arial"/>
          <w:lang w:val="en-GB"/>
        </w:rPr>
        <w:t xml:space="preserve"> the defendant for water consumption.  </w:t>
      </w:r>
      <w:r w:rsidR="004C6BB4" w:rsidRPr="00070A6C">
        <w:rPr>
          <w:rFonts w:ascii="Arial" w:hAnsi="Arial" w:cs="Arial"/>
          <w:lang w:val="en-GB"/>
        </w:rPr>
        <w:t xml:space="preserve">It is not stated in the correspondence, </w:t>
      </w:r>
      <w:r w:rsidR="00767AA2" w:rsidRPr="00070A6C">
        <w:rPr>
          <w:rFonts w:ascii="Arial" w:hAnsi="Arial" w:cs="Arial"/>
          <w:lang w:val="en-GB"/>
        </w:rPr>
        <w:t>neither</w:t>
      </w:r>
      <w:r w:rsidR="004C6BB4" w:rsidRPr="00070A6C">
        <w:rPr>
          <w:rFonts w:ascii="Arial" w:hAnsi="Arial" w:cs="Arial"/>
          <w:lang w:val="en-GB"/>
        </w:rPr>
        <w:t xml:space="preserve"> the plea </w:t>
      </w:r>
      <w:r w:rsidR="00767AA2" w:rsidRPr="00070A6C">
        <w:rPr>
          <w:rFonts w:ascii="Arial" w:hAnsi="Arial" w:cs="Arial"/>
          <w:lang w:val="en-GB"/>
        </w:rPr>
        <w:t>n</w:t>
      </w:r>
      <w:r w:rsidR="004C6BB4" w:rsidRPr="00070A6C">
        <w:rPr>
          <w:rFonts w:ascii="Arial" w:hAnsi="Arial" w:cs="Arial"/>
          <w:lang w:val="en-GB"/>
        </w:rPr>
        <w:t>or opposing affidavit, when the water was disconnected.</w:t>
      </w:r>
    </w:p>
    <w:p w14:paraId="12EDB758" w14:textId="028AEFAF" w:rsidR="00FE00F1" w:rsidRPr="00070A6C" w:rsidRDefault="00991932"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Having regard to the </w:t>
      </w:r>
      <w:r w:rsidR="00237439" w:rsidRPr="00070A6C">
        <w:rPr>
          <w:rFonts w:ascii="Arial" w:hAnsi="Arial" w:cs="Arial"/>
          <w:lang w:val="en-GB"/>
        </w:rPr>
        <w:t xml:space="preserve">plaintiff’s </w:t>
      </w:r>
      <w:r w:rsidRPr="00070A6C">
        <w:rPr>
          <w:rFonts w:ascii="Arial" w:hAnsi="Arial" w:cs="Arial"/>
          <w:lang w:val="en-GB"/>
        </w:rPr>
        <w:t>statement</w:t>
      </w:r>
      <w:r w:rsidR="00566905" w:rsidRPr="00070A6C">
        <w:rPr>
          <w:rFonts w:ascii="Arial" w:hAnsi="Arial" w:cs="Arial"/>
          <w:lang w:val="en-GB"/>
        </w:rPr>
        <w:t xml:space="preserve"> </w:t>
      </w:r>
      <w:r w:rsidR="004C6BB4" w:rsidRPr="00070A6C">
        <w:rPr>
          <w:rFonts w:ascii="Arial" w:hAnsi="Arial" w:cs="Arial"/>
          <w:lang w:val="en-GB"/>
        </w:rPr>
        <w:t xml:space="preserve">it appears that the plaintiff </w:t>
      </w:r>
      <w:r w:rsidR="00237439" w:rsidRPr="00070A6C">
        <w:rPr>
          <w:rFonts w:ascii="Arial" w:hAnsi="Arial" w:cs="Arial"/>
          <w:lang w:val="en-GB"/>
        </w:rPr>
        <w:t>invoiced</w:t>
      </w:r>
      <w:r w:rsidR="004C6BB4" w:rsidRPr="00070A6C">
        <w:rPr>
          <w:rFonts w:ascii="Arial" w:hAnsi="Arial" w:cs="Arial"/>
          <w:lang w:val="en-GB"/>
        </w:rPr>
        <w:t xml:space="preserve"> the defendant for water </w:t>
      </w:r>
      <w:r w:rsidR="009A238C" w:rsidRPr="00070A6C">
        <w:rPr>
          <w:rFonts w:ascii="Arial" w:hAnsi="Arial" w:cs="Arial"/>
          <w:lang w:val="en-GB"/>
        </w:rPr>
        <w:t xml:space="preserve">consumption </w:t>
      </w:r>
      <w:r w:rsidR="004C6BB4" w:rsidRPr="00070A6C">
        <w:rPr>
          <w:rFonts w:ascii="Arial" w:hAnsi="Arial" w:cs="Arial"/>
          <w:lang w:val="en-GB"/>
        </w:rPr>
        <w:t>for the months of August 2018 to September 2019 (14 months) in the total amount of R3 197.26</w:t>
      </w:r>
      <w:r w:rsidR="00767AA2" w:rsidRPr="00070A6C">
        <w:rPr>
          <w:rFonts w:ascii="Arial" w:hAnsi="Arial" w:cs="Arial"/>
          <w:lang w:val="en-GB"/>
        </w:rPr>
        <w:t xml:space="preserve"> and</w:t>
      </w:r>
      <w:r w:rsidR="004C6BB4" w:rsidRPr="00070A6C">
        <w:rPr>
          <w:rFonts w:ascii="Arial" w:hAnsi="Arial" w:cs="Arial"/>
          <w:lang w:val="en-GB"/>
        </w:rPr>
        <w:t xml:space="preserve"> for sewerage since July 2018 until November 2020, being the last month reflected in the </w:t>
      </w:r>
      <w:r w:rsidR="00237439" w:rsidRPr="00070A6C">
        <w:rPr>
          <w:rFonts w:ascii="Arial" w:hAnsi="Arial" w:cs="Arial"/>
          <w:lang w:val="en-GB"/>
        </w:rPr>
        <w:t xml:space="preserve">plaintiff’s </w:t>
      </w:r>
      <w:r w:rsidR="004C6BB4" w:rsidRPr="00070A6C">
        <w:rPr>
          <w:rFonts w:ascii="Arial" w:hAnsi="Arial" w:cs="Arial"/>
          <w:lang w:val="en-GB"/>
        </w:rPr>
        <w:t>statement.  The total amount of sewerage charges for the said period is R19 529.74.</w:t>
      </w:r>
    </w:p>
    <w:p w14:paraId="3EE462F1" w14:textId="77777777" w:rsidR="00F7662D" w:rsidRPr="00070A6C" w:rsidRDefault="00767AA2"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In terms of the lease</w:t>
      </w:r>
      <w:r w:rsidR="004F1252" w:rsidRPr="00070A6C">
        <w:rPr>
          <w:rFonts w:ascii="Arial" w:hAnsi="Arial" w:cs="Arial"/>
          <w:lang w:val="en-GB"/>
        </w:rPr>
        <w:t xml:space="preserve">, particularly clause 24.2, the defendant would be liable for water consumed by the defendant as well as municipal (local authority) charges in respect of the premises.  </w:t>
      </w:r>
      <w:r w:rsidR="00237439" w:rsidRPr="00070A6C">
        <w:rPr>
          <w:rFonts w:ascii="Arial" w:hAnsi="Arial" w:cs="Arial"/>
          <w:lang w:val="en-GB"/>
        </w:rPr>
        <w:t>In respect of water, t</w:t>
      </w:r>
      <w:r w:rsidR="004F1252" w:rsidRPr="00070A6C">
        <w:rPr>
          <w:rFonts w:ascii="Arial" w:hAnsi="Arial" w:cs="Arial"/>
          <w:lang w:val="en-GB"/>
        </w:rPr>
        <w:t xml:space="preserve">he </w:t>
      </w:r>
      <w:r w:rsidR="00237439" w:rsidRPr="00070A6C">
        <w:rPr>
          <w:rFonts w:ascii="Arial" w:hAnsi="Arial" w:cs="Arial"/>
          <w:lang w:val="en-GB"/>
        </w:rPr>
        <w:t>import</w:t>
      </w:r>
      <w:r w:rsidR="004F1252" w:rsidRPr="00070A6C">
        <w:rPr>
          <w:rFonts w:ascii="Arial" w:hAnsi="Arial" w:cs="Arial"/>
          <w:lang w:val="en-GB"/>
        </w:rPr>
        <w:t xml:space="preserve"> </w:t>
      </w:r>
      <w:r w:rsidR="00237439" w:rsidRPr="00070A6C">
        <w:rPr>
          <w:rFonts w:ascii="Arial" w:hAnsi="Arial" w:cs="Arial"/>
          <w:lang w:val="en-GB"/>
        </w:rPr>
        <w:t xml:space="preserve">of clause </w:t>
      </w:r>
      <w:r w:rsidRPr="00070A6C">
        <w:rPr>
          <w:rFonts w:ascii="Arial" w:hAnsi="Arial" w:cs="Arial"/>
          <w:lang w:val="en-GB"/>
        </w:rPr>
        <w:t xml:space="preserve">24.2 </w:t>
      </w:r>
      <w:r w:rsidR="004F1252" w:rsidRPr="00070A6C">
        <w:rPr>
          <w:rFonts w:ascii="Arial" w:hAnsi="Arial" w:cs="Arial"/>
          <w:lang w:val="en-GB"/>
        </w:rPr>
        <w:t>is</w:t>
      </w:r>
      <w:r w:rsidRPr="00070A6C">
        <w:rPr>
          <w:rFonts w:ascii="Arial" w:hAnsi="Arial" w:cs="Arial"/>
          <w:lang w:val="en-GB"/>
        </w:rPr>
        <w:t>,</w:t>
      </w:r>
      <w:r w:rsidR="004F1252" w:rsidRPr="00070A6C">
        <w:rPr>
          <w:rFonts w:ascii="Arial" w:hAnsi="Arial" w:cs="Arial"/>
          <w:lang w:val="en-GB"/>
        </w:rPr>
        <w:t xml:space="preserve"> </w:t>
      </w:r>
      <w:r w:rsidRPr="00070A6C">
        <w:rPr>
          <w:rFonts w:ascii="Arial" w:hAnsi="Arial" w:cs="Arial"/>
          <w:lang w:val="en-GB"/>
        </w:rPr>
        <w:t>on my reading of the lease,</w:t>
      </w:r>
      <w:r w:rsidR="004F1252" w:rsidRPr="00070A6C">
        <w:rPr>
          <w:rFonts w:ascii="Arial" w:hAnsi="Arial" w:cs="Arial"/>
          <w:lang w:val="en-GB"/>
        </w:rPr>
        <w:t xml:space="preserve"> clear – the defendant </w:t>
      </w:r>
      <w:r w:rsidRPr="00070A6C">
        <w:rPr>
          <w:rFonts w:ascii="Arial" w:hAnsi="Arial" w:cs="Arial"/>
          <w:lang w:val="en-GB"/>
        </w:rPr>
        <w:t>would be</w:t>
      </w:r>
      <w:r w:rsidR="004F1252" w:rsidRPr="00070A6C">
        <w:rPr>
          <w:rFonts w:ascii="Arial" w:hAnsi="Arial" w:cs="Arial"/>
          <w:lang w:val="en-GB"/>
        </w:rPr>
        <w:t xml:space="preserve"> liable only for water consumed</w:t>
      </w:r>
      <w:r w:rsidR="002134EA" w:rsidRPr="00070A6C">
        <w:rPr>
          <w:rFonts w:ascii="Arial" w:hAnsi="Arial" w:cs="Arial"/>
          <w:lang w:val="en-GB"/>
        </w:rPr>
        <w:t xml:space="preserve">.  </w:t>
      </w:r>
      <w:r w:rsidR="0005417E" w:rsidRPr="00070A6C">
        <w:rPr>
          <w:rFonts w:ascii="Arial" w:hAnsi="Arial" w:cs="Arial"/>
          <w:lang w:val="en-GB"/>
        </w:rPr>
        <w:lastRenderedPageBreak/>
        <w:t xml:space="preserve">The sewerage charge however </w:t>
      </w:r>
      <w:r w:rsidRPr="00070A6C">
        <w:rPr>
          <w:rFonts w:ascii="Arial" w:hAnsi="Arial" w:cs="Arial"/>
          <w:lang w:val="en-GB"/>
        </w:rPr>
        <w:t xml:space="preserve">appears </w:t>
      </w:r>
      <w:r w:rsidR="0005417E" w:rsidRPr="00070A6C">
        <w:rPr>
          <w:rFonts w:ascii="Arial" w:hAnsi="Arial" w:cs="Arial"/>
          <w:lang w:val="en-GB"/>
        </w:rPr>
        <w:t xml:space="preserve">not </w:t>
      </w:r>
      <w:r w:rsidRPr="00070A6C">
        <w:rPr>
          <w:rFonts w:ascii="Arial" w:hAnsi="Arial" w:cs="Arial"/>
          <w:lang w:val="en-GB"/>
        </w:rPr>
        <w:t xml:space="preserve">to be </w:t>
      </w:r>
      <w:r w:rsidR="0005417E" w:rsidRPr="00070A6C">
        <w:rPr>
          <w:rFonts w:ascii="Arial" w:hAnsi="Arial" w:cs="Arial"/>
          <w:lang w:val="en-GB"/>
        </w:rPr>
        <w:t>consumption based but a fixed charge by the municipality</w:t>
      </w:r>
      <w:r w:rsidR="00F7662D" w:rsidRPr="00070A6C">
        <w:rPr>
          <w:rFonts w:ascii="Arial" w:hAnsi="Arial" w:cs="Arial"/>
          <w:lang w:val="en-GB"/>
        </w:rPr>
        <w:t>,</w:t>
      </w:r>
      <w:r w:rsidR="0005417E" w:rsidRPr="00070A6C">
        <w:rPr>
          <w:rFonts w:ascii="Arial" w:hAnsi="Arial" w:cs="Arial"/>
          <w:lang w:val="en-GB"/>
        </w:rPr>
        <w:t xml:space="preserve"> which the plaintiff </w:t>
      </w:r>
      <w:r w:rsidR="00F7662D" w:rsidRPr="00070A6C">
        <w:rPr>
          <w:rFonts w:ascii="Arial" w:hAnsi="Arial" w:cs="Arial"/>
          <w:lang w:val="en-GB"/>
        </w:rPr>
        <w:t xml:space="preserve">would </w:t>
      </w:r>
      <w:r w:rsidR="0005417E" w:rsidRPr="00070A6C">
        <w:rPr>
          <w:rFonts w:ascii="Arial" w:hAnsi="Arial" w:cs="Arial"/>
          <w:lang w:val="en-GB"/>
        </w:rPr>
        <w:t xml:space="preserve">recover from tenants on a </w:t>
      </w:r>
      <w:r w:rsidR="0005417E" w:rsidRPr="00070A6C">
        <w:rPr>
          <w:rFonts w:ascii="Arial" w:hAnsi="Arial" w:cs="Arial"/>
          <w:i/>
          <w:iCs/>
          <w:lang w:val="en-GB"/>
        </w:rPr>
        <w:t>pro rata</w:t>
      </w:r>
      <w:r w:rsidR="0005417E" w:rsidRPr="00070A6C">
        <w:rPr>
          <w:rFonts w:ascii="Arial" w:hAnsi="Arial" w:cs="Arial"/>
          <w:lang w:val="en-GB"/>
        </w:rPr>
        <w:t xml:space="preserve"> basis.  </w:t>
      </w:r>
    </w:p>
    <w:p w14:paraId="7DA647C3" w14:textId="37F0CE8A" w:rsidR="0005417E" w:rsidRPr="00070A6C" w:rsidRDefault="00237439"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Because it is not evident</w:t>
      </w:r>
      <w:r w:rsidR="002134EA" w:rsidRPr="00070A6C">
        <w:rPr>
          <w:rFonts w:ascii="Arial" w:hAnsi="Arial" w:cs="Arial"/>
          <w:lang w:val="en-GB"/>
        </w:rPr>
        <w:t xml:space="preserve"> when the water supply to the property was disconnected</w:t>
      </w:r>
      <w:r w:rsidRPr="00070A6C">
        <w:rPr>
          <w:rFonts w:ascii="Arial" w:hAnsi="Arial" w:cs="Arial"/>
          <w:lang w:val="en-GB"/>
        </w:rPr>
        <w:t xml:space="preserve">, </w:t>
      </w:r>
      <w:r w:rsidR="002134EA" w:rsidRPr="00070A6C">
        <w:rPr>
          <w:rFonts w:ascii="Arial" w:hAnsi="Arial" w:cs="Arial"/>
          <w:lang w:val="en-GB"/>
        </w:rPr>
        <w:t xml:space="preserve">there is nothing before me to </w:t>
      </w:r>
      <w:r w:rsidRPr="00070A6C">
        <w:rPr>
          <w:rFonts w:ascii="Arial" w:hAnsi="Arial" w:cs="Arial"/>
          <w:lang w:val="en-GB"/>
        </w:rPr>
        <w:t xml:space="preserve">cast </w:t>
      </w:r>
      <w:r w:rsidR="002134EA" w:rsidRPr="00070A6C">
        <w:rPr>
          <w:rFonts w:ascii="Arial" w:hAnsi="Arial" w:cs="Arial"/>
          <w:lang w:val="en-GB"/>
        </w:rPr>
        <w:t xml:space="preserve">doubt </w:t>
      </w:r>
      <w:r w:rsidRPr="00070A6C">
        <w:rPr>
          <w:rFonts w:ascii="Arial" w:hAnsi="Arial" w:cs="Arial"/>
          <w:lang w:val="en-GB"/>
        </w:rPr>
        <w:t xml:space="preserve">on </w:t>
      </w:r>
      <w:r w:rsidR="002134EA" w:rsidRPr="00070A6C">
        <w:rPr>
          <w:rFonts w:ascii="Arial" w:hAnsi="Arial" w:cs="Arial"/>
          <w:lang w:val="en-GB"/>
        </w:rPr>
        <w:t xml:space="preserve">the </w:t>
      </w:r>
      <w:r w:rsidR="00F7662D" w:rsidRPr="00070A6C">
        <w:rPr>
          <w:rFonts w:ascii="Arial" w:hAnsi="Arial" w:cs="Arial"/>
          <w:lang w:val="en-GB"/>
        </w:rPr>
        <w:t xml:space="preserve">information reflected in the </w:t>
      </w:r>
      <w:r w:rsidR="002134EA" w:rsidRPr="00070A6C">
        <w:rPr>
          <w:rFonts w:ascii="Arial" w:hAnsi="Arial" w:cs="Arial"/>
          <w:lang w:val="en-GB"/>
        </w:rPr>
        <w:t xml:space="preserve">plaintiff’s statement.  </w:t>
      </w:r>
      <w:r w:rsidR="00F7662D" w:rsidRPr="00070A6C">
        <w:rPr>
          <w:rFonts w:ascii="Arial" w:hAnsi="Arial" w:cs="Arial"/>
          <w:lang w:val="en-GB"/>
        </w:rPr>
        <w:t>In any event, c</w:t>
      </w:r>
      <w:r w:rsidR="0005417E" w:rsidRPr="00070A6C">
        <w:rPr>
          <w:rFonts w:ascii="Arial" w:hAnsi="Arial" w:cs="Arial"/>
          <w:lang w:val="en-GB"/>
        </w:rPr>
        <w:t xml:space="preserve">lause 44.3 of the lease provides that all utilities, including amongst others sewerage, charged to the defendant and which appear on the plaintiff’s invoice will be accepted by the defendant to be true and correct and will constitute </w:t>
      </w:r>
      <w:r w:rsidR="0005417E" w:rsidRPr="00070A6C">
        <w:rPr>
          <w:rFonts w:ascii="Arial" w:hAnsi="Arial" w:cs="Arial"/>
          <w:i/>
          <w:iCs/>
          <w:lang w:val="en-GB"/>
        </w:rPr>
        <w:t>prima facie</w:t>
      </w:r>
      <w:r w:rsidR="0005417E" w:rsidRPr="00070A6C">
        <w:rPr>
          <w:rFonts w:ascii="Arial" w:hAnsi="Arial" w:cs="Arial"/>
          <w:lang w:val="en-GB"/>
        </w:rPr>
        <w:t xml:space="preserve"> evidence in any litigation between the parties, provided that the defendant does not raise a query within fourteen days</w:t>
      </w:r>
      <w:r w:rsidR="009A238C" w:rsidRPr="00070A6C">
        <w:rPr>
          <w:rFonts w:ascii="Arial" w:hAnsi="Arial" w:cs="Arial"/>
          <w:lang w:val="en-GB"/>
        </w:rPr>
        <w:t xml:space="preserve"> thereof</w:t>
      </w:r>
      <w:r w:rsidR="0005417E" w:rsidRPr="00070A6C">
        <w:rPr>
          <w:rFonts w:ascii="Arial" w:hAnsi="Arial" w:cs="Arial"/>
          <w:lang w:val="en-GB"/>
        </w:rPr>
        <w:t xml:space="preserve">.  There is no </w:t>
      </w:r>
      <w:r w:rsidR="00F7662D" w:rsidRPr="00070A6C">
        <w:rPr>
          <w:rFonts w:ascii="Arial" w:hAnsi="Arial" w:cs="Arial"/>
          <w:lang w:val="en-GB"/>
        </w:rPr>
        <w:t xml:space="preserve">convincing </w:t>
      </w:r>
      <w:r w:rsidR="0005417E" w:rsidRPr="00070A6C">
        <w:rPr>
          <w:rFonts w:ascii="Arial" w:hAnsi="Arial" w:cs="Arial"/>
          <w:lang w:val="en-GB"/>
        </w:rPr>
        <w:t xml:space="preserve">evidence that the defendant raised any queries. </w:t>
      </w:r>
      <w:r w:rsidR="009A238C" w:rsidRPr="00070A6C">
        <w:rPr>
          <w:rFonts w:ascii="Arial" w:hAnsi="Arial" w:cs="Arial"/>
          <w:lang w:val="en-GB"/>
        </w:rPr>
        <w:t xml:space="preserve"> </w:t>
      </w:r>
    </w:p>
    <w:p w14:paraId="7B604CB7" w14:textId="2B09C9A4" w:rsidR="0005417E" w:rsidRPr="00070A6C" w:rsidRDefault="00F7662D" w:rsidP="00F7662D">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I am not persuaded by t</w:t>
      </w:r>
      <w:r w:rsidR="00386DC0" w:rsidRPr="00070A6C">
        <w:rPr>
          <w:rFonts w:ascii="Arial" w:hAnsi="Arial" w:cs="Arial"/>
          <w:lang w:val="en-GB"/>
        </w:rPr>
        <w:t xml:space="preserve">he </w:t>
      </w:r>
      <w:r w:rsidRPr="00070A6C">
        <w:rPr>
          <w:rFonts w:ascii="Arial" w:hAnsi="Arial" w:cs="Arial"/>
          <w:lang w:val="en-GB"/>
        </w:rPr>
        <w:t xml:space="preserve">argument advanced by the </w:t>
      </w:r>
      <w:r w:rsidR="00386DC0" w:rsidRPr="00070A6C">
        <w:rPr>
          <w:rFonts w:ascii="Arial" w:hAnsi="Arial" w:cs="Arial"/>
          <w:lang w:val="en-GB"/>
        </w:rPr>
        <w:t xml:space="preserve">defendant’s counsel </w:t>
      </w:r>
      <w:r w:rsidRPr="00070A6C">
        <w:rPr>
          <w:rFonts w:ascii="Arial" w:hAnsi="Arial" w:cs="Arial"/>
          <w:lang w:val="en-GB"/>
        </w:rPr>
        <w:t xml:space="preserve">that the email correspondence supports </w:t>
      </w:r>
      <w:r w:rsidR="00237439" w:rsidRPr="00070A6C">
        <w:rPr>
          <w:rFonts w:ascii="Arial" w:hAnsi="Arial" w:cs="Arial"/>
          <w:lang w:val="en-GB"/>
        </w:rPr>
        <w:t xml:space="preserve">the </w:t>
      </w:r>
      <w:r w:rsidRPr="00070A6C">
        <w:rPr>
          <w:rFonts w:ascii="Arial" w:hAnsi="Arial" w:cs="Arial"/>
          <w:lang w:val="en-GB"/>
        </w:rPr>
        <w:t xml:space="preserve">defendant’s contention that the </w:t>
      </w:r>
      <w:r w:rsidR="00237439" w:rsidRPr="00070A6C">
        <w:rPr>
          <w:rFonts w:ascii="Arial" w:hAnsi="Arial" w:cs="Arial"/>
          <w:lang w:val="en-GB"/>
        </w:rPr>
        <w:t xml:space="preserve">water </w:t>
      </w:r>
      <w:r w:rsidRPr="00070A6C">
        <w:rPr>
          <w:rFonts w:ascii="Arial" w:hAnsi="Arial" w:cs="Arial"/>
          <w:lang w:val="en-GB"/>
        </w:rPr>
        <w:t xml:space="preserve">supply </w:t>
      </w:r>
      <w:r w:rsidR="00237439" w:rsidRPr="00070A6C">
        <w:rPr>
          <w:rFonts w:ascii="Arial" w:hAnsi="Arial" w:cs="Arial"/>
          <w:lang w:val="en-GB"/>
        </w:rPr>
        <w:t>was disconnected</w:t>
      </w:r>
      <w:r w:rsidR="00386DC0" w:rsidRPr="00070A6C">
        <w:rPr>
          <w:rFonts w:ascii="Arial" w:hAnsi="Arial" w:cs="Arial"/>
          <w:lang w:val="en-GB"/>
        </w:rPr>
        <w:t xml:space="preserve"> since inception</w:t>
      </w:r>
      <w:r w:rsidR="00237439" w:rsidRPr="00070A6C">
        <w:rPr>
          <w:rFonts w:ascii="Arial" w:hAnsi="Arial" w:cs="Arial"/>
          <w:lang w:val="en-GB"/>
        </w:rPr>
        <w:t xml:space="preserve"> of the lease</w:t>
      </w:r>
      <w:r w:rsidRPr="00070A6C">
        <w:rPr>
          <w:rFonts w:ascii="Arial" w:hAnsi="Arial" w:cs="Arial"/>
          <w:lang w:val="en-GB"/>
        </w:rPr>
        <w:t>.</w:t>
      </w:r>
      <w:r w:rsidR="00386DC0" w:rsidRPr="00070A6C">
        <w:rPr>
          <w:rFonts w:ascii="Arial" w:hAnsi="Arial" w:cs="Arial"/>
          <w:lang w:val="en-GB"/>
        </w:rPr>
        <w:t xml:space="preserve">  </w:t>
      </w:r>
      <w:r w:rsidRPr="00070A6C">
        <w:rPr>
          <w:rFonts w:ascii="Arial" w:hAnsi="Arial" w:cs="Arial"/>
          <w:lang w:val="en-GB"/>
        </w:rPr>
        <w:t>I am also not persuaded by the argument</w:t>
      </w:r>
      <w:r w:rsidR="002134EA" w:rsidRPr="00070A6C">
        <w:rPr>
          <w:rFonts w:ascii="Arial" w:hAnsi="Arial" w:cs="Arial"/>
          <w:lang w:val="en-GB"/>
        </w:rPr>
        <w:t xml:space="preserve"> that</w:t>
      </w:r>
      <w:r w:rsidR="009A238C" w:rsidRPr="00070A6C">
        <w:rPr>
          <w:rFonts w:ascii="Arial" w:hAnsi="Arial" w:cs="Arial"/>
          <w:lang w:val="en-GB"/>
        </w:rPr>
        <w:t>, in terms of the lease,</w:t>
      </w:r>
      <w:r w:rsidR="002134EA" w:rsidRPr="00070A6C">
        <w:rPr>
          <w:rFonts w:ascii="Arial" w:hAnsi="Arial" w:cs="Arial"/>
          <w:lang w:val="en-GB"/>
        </w:rPr>
        <w:t xml:space="preserve"> sewerage is a factor of the water </w:t>
      </w:r>
      <w:r w:rsidRPr="00070A6C">
        <w:rPr>
          <w:rFonts w:ascii="Arial" w:hAnsi="Arial" w:cs="Arial"/>
          <w:lang w:val="en-GB"/>
        </w:rPr>
        <w:t>consumed</w:t>
      </w:r>
      <w:r w:rsidR="002134EA" w:rsidRPr="00070A6C">
        <w:rPr>
          <w:rFonts w:ascii="Arial" w:hAnsi="Arial" w:cs="Arial"/>
          <w:lang w:val="en-GB"/>
        </w:rPr>
        <w:t xml:space="preserve"> and that, if no water is </w:t>
      </w:r>
      <w:r w:rsidRPr="00070A6C">
        <w:rPr>
          <w:rFonts w:ascii="Arial" w:hAnsi="Arial" w:cs="Arial"/>
          <w:lang w:val="en-GB"/>
        </w:rPr>
        <w:t>consumed</w:t>
      </w:r>
      <w:r w:rsidR="002134EA" w:rsidRPr="00070A6C">
        <w:rPr>
          <w:rFonts w:ascii="Arial" w:hAnsi="Arial" w:cs="Arial"/>
          <w:lang w:val="en-GB"/>
        </w:rPr>
        <w:t xml:space="preserve">, no sewerage can be charged.  </w:t>
      </w:r>
      <w:r w:rsidR="0005417E" w:rsidRPr="00070A6C">
        <w:rPr>
          <w:rFonts w:ascii="Arial" w:hAnsi="Arial" w:cs="Arial"/>
          <w:lang w:val="en-GB"/>
        </w:rPr>
        <w:t>As mentioned, the sewerage charge is in my view not consumption based but is a fixed charge by the municipality to the plaintiff</w:t>
      </w:r>
      <w:r w:rsidRPr="00070A6C">
        <w:rPr>
          <w:rFonts w:ascii="Arial" w:hAnsi="Arial" w:cs="Arial"/>
          <w:lang w:val="en-GB"/>
        </w:rPr>
        <w:t>,</w:t>
      </w:r>
      <w:r w:rsidR="0005417E" w:rsidRPr="00070A6C">
        <w:rPr>
          <w:rFonts w:ascii="Arial" w:hAnsi="Arial" w:cs="Arial"/>
          <w:lang w:val="en-GB"/>
        </w:rPr>
        <w:t xml:space="preserve"> which the plaintiff </w:t>
      </w:r>
      <w:r w:rsidR="009A238C" w:rsidRPr="00070A6C">
        <w:rPr>
          <w:rFonts w:ascii="Arial" w:hAnsi="Arial" w:cs="Arial"/>
          <w:lang w:val="en-GB"/>
        </w:rPr>
        <w:t xml:space="preserve">then </w:t>
      </w:r>
      <w:r w:rsidR="0005417E" w:rsidRPr="00070A6C">
        <w:rPr>
          <w:rFonts w:ascii="Arial" w:hAnsi="Arial" w:cs="Arial"/>
          <w:lang w:val="en-GB"/>
        </w:rPr>
        <w:t xml:space="preserve">recovers </w:t>
      </w:r>
      <w:r w:rsidR="00FF781B" w:rsidRPr="00070A6C">
        <w:rPr>
          <w:rFonts w:ascii="Arial" w:hAnsi="Arial" w:cs="Arial"/>
          <w:lang w:val="en-GB"/>
        </w:rPr>
        <w:t xml:space="preserve">proportionately </w:t>
      </w:r>
      <w:r w:rsidR="0005417E" w:rsidRPr="00070A6C">
        <w:rPr>
          <w:rFonts w:ascii="Arial" w:hAnsi="Arial" w:cs="Arial"/>
          <w:lang w:val="en-GB"/>
        </w:rPr>
        <w:t>from tenants</w:t>
      </w:r>
      <w:r w:rsidR="00FF781B" w:rsidRPr="00070A6C">
        <w:rPr>
          <w:rFonts w:ascii="Arial" w:hAnsi="Arial" w:cs="Arial"/>
          <w:lang w:val="en-GB"/>
        </w:rPr>
        <w:t>,</w:t>
      </w:r>
      <w:r w:rsidR="0005417E" w:rsidRPr="00070A6C">
        <w:rPr>
          <w:rFonts w:ascii="Arial" w:hAnsi="Arial" w:cs="Arial"/>
          <w:lang w:val="en-GB"/>
        </w:rPr>
        <w:t xml:space="preserve"> including the defendant.  </w:t>
      </w:r>
    </w:p>
    <w:p w14:paraId="4355A74C" w14:textId="70C7ACD4" w:rsidR="002134EA" w:rsidRPr="00070A6C" w:rsidRDefault="002134EA"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The defendant’s counsel argued that the water and sewerage dispute is a factual dispute, which cannot be resolved in these proceedings</w:t>
      </w:r>
      <w:r w:rsidR="00F7662D" w:rsidRPr="00070A6C">
        <w:rPr>
          <w:rFonts w:ascii="Arial" w:hAnsi="Arial" w:cs="Arial"/>
          <w:lang w:val="en-GB"/>
        </w:rPr>
        <w:t>, and that the dispute is sufficient to resist summary judgment</w:t>
      </w:r>
      <w:r w:rsidRPr="00070A6C">
        <w:rPr>
          <w:rFonts w:ascii="Arial" w:hAnsi="Arial" w:cs="Arial"/>
          <w:lang w:val="en-GB"/>
        </w:rPr>
        <w:t xml:space="preserve">.  There may be merit in the argument, however, </w:t>
      </w:r>
      <w:r w:rsidR="00F7662D" w:rsidRPr="00070A6C">
        <w:rPr>
          <w:rFonts w:ascii="Arial" w:hAnsi="Arial" w:cs="Arial"/>
          <w:lang w:val="en-GB"/>
        </w:rPr>
        <w:t xml:space="preserve">it is not required of me to resolve the dispute, at least not </w:t>
      </w:r>
      <w:r w:rsidR="00FF781B" w:rsidRPr="00070A6C">
        <w:rPr>
          <w:rFonts w:ascii="Arial" w:hAnsi="Arial" w:cs="Arial"/>
          <w:lang w:val="en-GB"/>
        </w:rPr>
        <w:t>for purposes of</w:t>
      </w:r>
      <w:r w:rsidR="00F7662D" w:rsidRPr="00070A6C">
        <w:rPr>
          <w:rFonts w:ascii="Arial" w:hAnsi="Arial" w:cs="Arial"/>
          <w:lang w:val="en-GB"/>
        </w:rPr>
        <w:t xml:space="preserve"> the ejectment relief</w:t>
      </w:r>
      <w:r w:rsidR="00FF781B" w:rsidRPr="00070A6C">
        <w:rPr>
          <w:rFonts w:ascii="Arial" w:hAnsi="Arial" w:cs="Arial"/>
          <w:lang w:val="en-GB"/>
        </w:rPr>
        <w:t xml:space="preserve"> sought</w:t>
      </w:r>
      <w:r w:rsidR="00F7662D" w:rsidRPr="00070A6C">
        <w:rPr>
          <w:rFonts w:ascii="Arial" w:hAnsi="Arial" w:cs="Arial"/>
          <w:lang w:val="en-GB"/>
        </w:rPr>
        <w:t>.  All that is required is</w:t>
      </w:r>
      <w:r w:rsidRPr="00070A6C">
        <w:rPr>
          <w:rFonts w:ascii="Arial" w:hAnsi="Arial" w:cs="Arial"/>
          <w:lang w:val="en-GB"/>
        </w:rPr>
        <w:t xml:space="preserve"> </w:t>
      </w:r>
      <w:r w:rsidR="003768EF" w:rsidRPr="00070A6C">
        <w:rPr>
          <w:rFonts w:ascii="Arial" w:hAnsi="Arial" w:cs="Arial"/>
          <w:lang w:val="en-GB"/>
        </w:rPr>
        <w:t xml:space="preserve">a finding that </w:t>
      </w:r>
      <w:r w:rsidRPr="00070A6C">
        <w:rPr>
          <w:rFonts w:ascii="Arial" w:hAnsi="Arial" w:cs="Arial"/>
          <w:lang w:val="en-GB"/>
        </w:rPr>
        <w:t>the defendant was in breach</w:t>
      </w:r>
      <w:r w:rsidR="00FF781B" w:rsidRPr="00070A6C">
        <w:rPr>
          <w:rFonts w:ascii="Arial" w:hAnsi="Arial" w:cs="Arial"/>
          <w:lang w:val="en-GB"/>
        </w:rPr>
        <w:t xml:space="preserve"> of the lease</w:t>
      </w:r>
      <w:r w:rsidRPr="00070A6C">
        <w:rPr>
          <w:rFonts w:ascii="Arial" w:hAnsi="Arial" w:cs="Arial"/>
          <w:lang w:val="en-GB"/>
        </w:rPr>
        <w:t xml:space="preserve">.  </w:t>
      </w:r>
    </w:p>
    <w:p w14:paraId="6CF428C1" w14:textId="34358A2C" w:rsidR="003768EF" w:rsidRPr="00070A6C" w:rsidRDefault="003768EF" w:rsidP="003768EF">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Is the defendant in breach?  The defendant contends that the water and sewerage charges, since inception of the lease, should be deducted from the alleged outstanding amount.  Since the defendant’s liability for sewerage charges is provided for in the lease, I am not convinced that there is any basis for deducting them from the arrear amount.  </w:t>
      </w:r>
      <w:r w:rsidR="00FF781B" w:rsidRPr="00070A6C">
        <w:rPr>
          <w:rFonts w:ascii="Arial" w:hAnsi="Arial" w:cs="Arial"/>
          <w:lang w:val="en-GB"/>
        </w:rPr>
        <w:t>Moreover,</w:t>
      </w:r>
      <w:r w:rsidRPr="00070A6C">
        <w:rPr>
          <w:rFonts w:ascii="Arial" w:hAnsi="Arial" w:cs="Arial"/>
          <w:lang w:val="en-GB"/>
        </w:rPr>
        <w:t xml:space="preserve"> the terms of the lease expressly exclude any such </w:t>
      </w:r>
      <w:r w:rsidRPr="00070A6C">
        <w:rPr>
          <w:rFonts w:ascii="Arial" w:hAnsi="Arial" w:cs="Arial"/>
          <w:lang w:val="en-GB"/>
        </w:rPr>
        <w:lastRenderedPageBreak/>
        <w:t>deduction in clause 4.1 in terms of which it was agreed that “</w:t>
      </w:r>
      <w:r w:rsidRPr="00070A6C">
        <w:rPr>
          <w:rFonts w:ascii="Arial" w:hAnsi="Arial" w:cs="Arial"/>
          <w:i/>
          <w:iCs/>
          <w:lang w:val="en-GB"/>
        </w:rPr>
        <w:t>the Total Monthly Rental is payable monthly in advance, on the first day of every month, free of exchange and without deduction or set-off…</w:t>
      </w:r>
      <w:r w:rsidRPr="00070A6C">
        <w:rPr>
          <w:rFonts w:ascii="Arial" w:hAnsi="Arial" w:cs="Arial"/>
          <w:lang w:val="en-GB"/>
        </w:rPr>
        <w:t>” and in clause 4.5 in terms of which it was agreed that “</w:t>
      </w:r>
      <w:r w:rsidRPr="00070A6C">
        <w:rPr>
          <w:rFonts w:ascii="Arial" w:hAnsi="Arial" w:cs="Arial"/>
          <w:i/>
          <w:iCs/>
          <w:lang w:val="en-GB"/>
        </w:rPr>
        <w:t>the Tenant may not withhold the payment of the Total Monthly Rental and any other amounts for any reason whatsoever subject to the provisions contained in this Lease.</w:t>
      </w:r>
      <w:r w:rsidRPr="00070A6C">
        <w:rPr>
          <w:rFonts w:ascii="Arial" w:hAnsi="Arial" w:cs="Arial"/>
          <w:lang w:val="en-GB"/>
        </w:rPr>
        <w:t>”</w:t>
      </w:r>
    </w:p>
    <w:p w14:paraId="5EA2E2C3" w14:textId="40321B54" w:rsidR="002134EA" w:rsidRPr="00070A6C" w:rsidRDefault="003768EF" w:rsidP="0030518C">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But assuming in favour of the defendant </w:t>
      </w:r>
      <w:r w:rsidR="0030518C" w:rsidRPr="00070A6C">
        <w:rPr>
          <w:rFonts w:ascii="Arial" w:hAnsi="Arial" w:cs="Arial"/>
          <w:lang w:val="en-GB"/>
        </w:rPr>
        <w:t>for purposes of summary judgment that the water and sewerage charges should be deducted, its contention that</w:t>
      </w:r>
      <w:r w:rsidR="00FF781B" w:rsidRPr="00070A6C">
        <w:rPr>
          <w:rFonts w:ascii="Arial" w:hAnsi="Arial" w:cs="Arial"/>
          <w:lang w:val="en-GB"/>
        </w:rPr>
        <w:t xml:space="preserve"> the defendant would not be in arrears</w:t>
      </w:r>
      <w:r w:rsidR="0030518C" w:rsidRPr="00070A6C">
        <w:rPr>
          <w:rFonts w:ascii="Arial" w:hAnsi="Arial" w:cs="Arial"/>
          <w:lang w:val="en-GB"/>
        </w:rPr>
        <w:t xml:space="preserve"> </w:t>
      </w:r>
      <w:r w:rsidR="002134EA" w:rsidRPr="00070A6C">
        <w:rPr>
          <w:rFonts w:ascii="Arial" w:hAnsi="Arial" w:cs="Arial"/>
          <w:lang w:val="en-GB"/>
        </w:rPr>
        <w:t xml:space="preserve">if the water and sewerage charges </w:t>
      </w:r>
      <w:r w:rsidR="007F5699" w:rsidRPr="00070A6C">
        <w:rPr>
          <w:rFonts w:ascii="Arial" w:hAnsi="Arial" w:cs="Arial"/>
          <w:lang w:val="en-GB"/>
        </w:rPr>
        <w:t xml:space="preserve">since inception of the lease </w:t>
      </w:r>
      <w:r w:rsidR="002134EA" w:rsidRPr="00070A6C">
        <w:rPr>
          <w:rFonts w:ascii="Arial" w:hAnsi="Arial" w:cs="Arial"/>
          <w:lang w:val="en-GB"/>
        </w:rPr>
        <w:t xml:space="preserve">are deducted from the alleged outstanding amount </w:t>
      </w:r>
      <w:r w:rsidR="007F5699" w:rsidRPr="00070A6C">
        <w:rPr>
          <w:rFonts w:ascii="Arial" w:hAnsi="Arial" w:cs="Arial"/>
          <w:lang w:val="en-GB"/>
        </w:rPr>
        <w:t xml:space="preserve">of </w:t>
      </w:r>
      <w:r w:rsidR="002134EA" w:rsidRPr="00070A6C">
        <w:rPr>
          <w:rFonts w:ascii="Arial" w:hAnsi="Arial" w:cs="Arial"/>
          <w:lang w:val="en-GB"/>
        </w:rPr>
        <w:t xml:space="preserve">R130 928.80, </w:t>
      </w:r>
      <w:r w:rsidRPr="00070A6C">
        <w:rPr>
          <w:rFonts w:ascii="Arial" w:hAnsi="Arial" w:cs="Arial"/>
          <w:lang w:val="en-GB"/>
        </w:rPr>
        <w:t xml:space="preserve">appears </w:t>
      </w:r>
      <w:r w:rsidR="0030518C" w:rsidRPr="00070A6C">
        <w:rPr>
          <w:rFonts w:ascii="Arial" w:hAnsi="Arial" w:cs="Arial"/>
          <w:lang w:val="en-GB"/>
        </w:rPr>
        <w:t>to be incorrect</w:t>
      </w:r>
      <w:r w:rsidRPr="00070A6C">
        <w:rPr>
          <w:rFonts w:ascii="Arial" w:hAnsi="Arial" w:cs="Arial"/>
          <w:lang w:val="en-GB"/>
        </w:rPr>
        <w:t>.</w:t>
      </w:r>
      <w:r w:rsidR="002134EA" w:rsidRPr="00070A6C">
        <w:rPr>
          <w:rFonts w:ascii="Arial" w:hAnsi="Arial" w:cs="Arial"/>
          <w:lang w:val="en-GB"/>
        </w:rPr>
        <w:t xml:space="preserve">  </w:t>
      </w:r>
      <w:r w:rsidR="007F5699" w:rsidRPr="00070A6C">
        <w:rPr>
          <w:rFonts w:ascii="Arial" w:hAnsi="Arial" w:cs="Arial"/>
          <w:lang w:val="en-GB"/>
        </w:rPr>
        <w:t>T</w:t>
      </w:r>
      <w:r w:rsidR="002134EA" w:rsidRPr="00070A6C">
        <w:rPr>
          <w:rFonts w:ascii="Arial" w:hAnsi="Arial" w:cs="Arial"/>
          <w:lang w:val="en-GB"/>
        </w:rPr>
        <w:t xml:space="preserve">he total water and sewerages charges </w:t>
      </w:r>
      <w:r w:rsidR="007F5699" w:rsidRPr="00070A6C">
        <w:rPr>
          <w:rFonts w:ascii="Arial" w:hAnsi="Arial" w:cs="Arial"/>
          <w:lang w:val="en-GB"/>
        </w:rPr>
        <w:t xml:space="preserve">reflected </w:t>
      </w:r>
      <w:r w:rsidR="002134EA" w:rsidRPr="00070A6C">
        <w:rPr>
          <w:rFonts w:ascii="Arial" w:hAnsi="Arial" w:cs="Arial"/>
          <w:lang w:val="en-GB"/>
        </w:rPr>
        <w:t xml:space="preserve">on the statement </w:t>
      </w:r>
      <w:r w:rsidR="007F5699" w:rsidRPr="00070A6C">
        <w:rPr>
          <w:rFonts w:ascii="Arial" w:hAnsi="Arial" w:cs="Arial"/>
          <w:lang w:val="en-GB"/>
        </w:rPr>
        <w:t>is an</w:t>
      </w:r>
      <w:r w:rsidR="002134EA" w:rsidRPr="00070A6C">
        <w:rPr>
          <w:rFonts w:ascii="Arial" w:hAnsi="Arial" w:cs="Arial"/>
          <w:lang w:val="en-GB"/>
        </w:rPr>
        <w:t xml:space="preserve"> amount </w:t>
      </w:r>
      <w:r w:rsidR="007F5699" w:rsidRPr="00070A6C">
        <w:rPr>
          <w:rFonts w:ascii="Arial" w:hAnsi="Arial" w:cs="Arial"/>
          <w:lang w:val="en-GB"/>
        </w:rPr>
        <w:t>of</w:t>
      </w:r>
      <w:r w:rsidR="002134EA" w:rsidRPr="00070A6C">
        <w:rPr>
          <w:rFonts w:ascii="Arial" w:hAnsi="Arial" w:cs="Arial"/>
          <w:lang w:val="en-GB"/>
        </w:rPr>
        <w:t xml:space="preserve"> R22 529.74</w:t>
      </w:r>
      <w:r w:rsidR="007F5699" w:rsidRPr="00070A6C">
        <w:rPr>
          <w:rFonts w:ascii="Arial" w:hAnsi="Arial" w:cs="Arial"/>
          <w:lang w:val="en-GB"/>
        </w:rPr>
        <w:t xml:space="preserve"> (R3 197.26 plus R19 529.74)</w:t>
      </w:r>
      <w:r w:rsidR="002134EA" w:rsidRPr="00070A6C">
        <w:rPr>
          <w:rFonts w:ascii="Arial" w:hAnsi="Arial" w:cs="Arial"/>
          <w:lang w:val="en-GB"/>
        </w:rPr>
        <w:t xml:space="preserve">.  Deducting </w:t>
      </w:r>
      <w:r w:rsidR="007F5699" w:rsidRPr="00070A6C">
        <w:rPr>
          <w:rFonts w:ascii="Arial" w:hAnsi="Arial" w:cs="Arial"/>
          <w:lang w:val="en-GB"/>
        </w:rPr>
        <w:t>R22 529.74</w:t>
      </w:r>
      <w:r w:rsidR="002134EA" w:rsidRPr="00070A6C">
        <w:rPr>
          <w:rFonts w:ascii="Arial" w:hAnsi="Arial" w:cs="Arial"/>
          <w:lang w:val="en-GB"/>
        </w:rPr>
        <w:t xml:space="preserve"> from the claimed amount </w:t>
      </w:r>
      <w:r w:rsidR="007F5699" w:rsidRPr="00070A6C">
        <w:rPr>
          <w:rFonts w:ascii="Arial" w:hAnsi="Arial" w:cs="Arial"/>
          <w:lang w:val="en-GB"/>
        </w:rPr>
        <w:t>results in</w:t>
      </w:r>
      <w:r w:rsidR="002134EA" w:rsidRPr="00070A6C">
        <w:rPr>
          <w:rFonts w:ascii="Arial" w:hAnsi="Arial" w:cs="Arial"/>
          <w:lang w:val="en-GB"/>
        </w:rPr>
        <w:t xml:space="preserve"> </w:t>
      </w:r>
      <w:r w:rsidR="00386DC0" w:rsidRPr="00070A6C">
        <w:rPr>
          <w:rFonts w:ascii="Arial" w:hAnsi="Arial" w:cs="Arial"/>
          <w:lang w:val="en-GB"/>
        </w:rPr>
        <w:t xml:space="preserve">an </w:t>
      </w:r>
      <w:r w:rsidRPr="00070A6C">
        <w:rPr>
          <w:rFonts w:ascii="Arial" w:hAnsi="Arial" w:cs="Arial"/>
          <w:lang w:val="en-GB"/>
        </w:rPr>
        <w:t>arrear balance of</w:t>
      </w:r>
      <w:r w:rsidR="002134EA" w:rsidRPr="00070A6C">
        <w:rPr>
          <w:rFonts w:ascii="Arial" w:hAnsi="Arial" w:cs="Arial"/>
          <w:lang w:val="en-GB"/>
        </w:rPr>
        <w:t xml:space="preserve"> R108 399.06.</w:t>
      </w:r>
    </w:p>
    <w:p w14:paraId="50A2C67C" w14:textId="77777777" w:rsidR="0030518C" w:rsidRPr="00070A6C" w:rsidRDefault="0026407B" w:rsidP="0026407B">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To bolster its argument that </w:t>
      </w:r>
      <w:r w:rsidR="0030518C" w:rsidRPr="00070A6C">
        <w:rPr>
          <w:rFonts w:ascii="Arial" w:hAnsi="Arial" w:cs="Arial"/>
          <w:lang w:val="en-GB"/>
        </w:rPr>
        <w:t>it</w:t>
      </w:r>
      <w:r w:rsidRPr="00070A6C">
        <w:rPr>
          <w:rFonts w:ascii="Arial" w:hAnsi="Arial" w:cs="Arial"/>
          <w:lang w:val="en-GB"/>
        </w:rPr>
        <w:t xml:space="preserve"> was never in arrears, t</w:t>
      </w:r>
      <w:r w:rsidR="00386DC0" w:rsidRPr="00070A6C">
        <w:rPr>
          <w:rFonts w:ascii="Arial" w:hAnsi="Arial" w:cs="Arial"/>
          <w:lang w:val="en-GB"/>
        </w:rPr>
        <w:t xml:space="preserve">he defendant </w:t>
      </w:r>
      <w:r w:rsidR="007F5699" w:rsidRPr="00070A6C">
        <w:rPr>
          <w:rFonts w:ascii="Arial" w:hAnsi="Arial" w:cs="Arial"/>
          <w:lang w:val="en-GB"/>
        </w:rPr>
        <w:t>argue</w:t>
      </w:r>
      <w:r w:rsidRPr="00070A6C">
        <w:rPr>
          <w:rFonts w:ascii="Arial" w:hAnsi="Arial" w:cs="Arial"/>
          <w:lang w:val="en-GB"/>
        </w:rPr>
        <w:t>d</w:t>
      </w:r>
      <w:r w:rsidR="00386DC0" w:rsidRPr="00070A6C">
        <w:rPr>
          <w:rFonts w:ascii="Arial" w:hAnsi="Arial" w:cs="Arial"/>
          <w:lang w:val="en-GB"/>
        </w:rPr>
        <w:t xml:space="preserve"> that a rental remission in respect of the period 27 March 2020 to 17 August 2020 – a period of approximately five months – should also be </w:t>
      </w:r>
      <w:r w:rsidR="007F5699" w:rsidRPr="00070A6C">
        <w:rPr>
          <w:rFonts w:ascii="Arial" w:hAnsi="Arial" w:cs="Arial"/>
          <w:lang w:val="en-GB"/>
        </w:rPr>
        <w:t>considered and deducted from the arrears</w:t>
      </w:r>
      <w:r w:rsidR="00386DC0" w:rsidRPr="00070A6C">
        <w:rPr>
          <w:rFonts w:ascii="Arial" w:hAnsi="Arial" w:cs="Arial"/>
          <w:lang w:val="en-GB"/>
        </w:rPr>
        <w:t>.  Th</w:t>
      </w:r>
      <w:r w:rsidR="007F5699" w:rsidRPr="00070A6C">
        <w:rPr>
          <w:rFonts w:ascii="Arial" w:hAnsi="Arial" w:cs="Arial"/>
          <w:lang w:val="en-GB"/>
        </w:rPr>
        <w:t>e</w:t>
      </w:r>
      <w:r w:rsidR="00386DC0" w:rsidRPr="00070A6C">
        <w:rPr>
          <w:rFonts w:ascii="Arial" w:hAnsi="Arial" w:cs="Arial"/>
          <w:lang w:val="en-GB"/>
        </w:rPr>
        <w:t xml:space="preserve"> argument is subject to a finding on the </w:t>
      </w:r>
      <w:r w:rsidR="00CE5136" w:rsidRPr="00070A6C">
        <w:rPr>
          <w:rFonts w:ascii="Arial" w:hAnsi="Arial" w:cs="Arial"/>
          <w:lang w:val="en-GB"/>
        </w:rPr>
        <w:t>second</w:t>
      </w:r>
      <w:r w:rsidR="00386DC0" w:rsidRPr="00070A6C">
        <w:rPr>
          <w:rFonts w:ascii="Arial" w:hAnsi="Arial" w:cs="Arial"/>
          <w:lang w:val="en-GB"/>
        </w:rPr>
        <w:t xml:space="preserve"> defence, which I deal with below.  </w:t>
      </w:r>
    </w:p>
    <w:p w14:paraId="423EE928" w14:textId="1AFE3C7B" w:rsidR="00386DC0" w:rsidRPr="00070A6C" w:rsidRDefault="0026407B" w:rsidP="0030518C">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T</w:t>
      </w:r>
      <w:r w:rsidR="007F5699" w:rsidRPr="00070A6C">
        <w:rPr>
          <w:rFonts w:ascii="Arial" w:hAnsi="Arial" w:cs="Arial"/>
          <w:lang w:val="en-GB"/>
        </w:rPr>
        <w:t>he plaintiff</w:t>
      </w:r>
      <w:r w:rsidRPr="00070A6C">
        <w:rPr>
          <w:rFonts w:ascii="Arial" w:hAnsi="Arial" w:cs="Arial"/>
          <w:lang w:val="en-GB"/>
        </w:rPr>
        <w:t xml:space="preserve"> however argued that</w:t>
      </w:r>
      <w:r w:rsidR="00386DC0" w:rsidRPr="00070A6C">
        <w:rPr>
          <w:rFonts w:ascii="Arial" w:hAnsi="Arial" w:cs="Arial"/>
          <w:lang w:val="en-GB"/>
        </w:rPr>
        <w:t xml:space="preserve"> </w:t>
      </w:r>
      <w:r w:rsidR="00D810F0" w:rsidRPr="00070A6C">
        <w:rPr>
          <w:rFonts w:ascii="Arial" w:hAnsi="Arial" w:cs="Arial"/>
          <w:lang w:val="en-GB"/>
        </w:rPr>
        <w:t xml:space="preserve">the </w:t>
      </w:r>
      <w:r w:rsidR="00386DC0" w:rsidRPr="00070A6C">
        <w:rPr>
          <w:rFonts w:ascii="Arial" w:hAnsi="Arial" w:cs="Arial"/>
          <w:lang w:val="en-GB"/>
        </w:rPr>
        <w:t>defendant was in arrears even before the lockdown on 27 March 2020</w:t>
      </w:r>
      <w:r w:rsidRPr="00070A6C">
        <w:rPr>
          <w:rFonts w:ascii="Arial" w:hAnsi="Arial" w:cs="Arial"/>
          <w:lang w:val="en-GB"/>
        </w:rPr>
        <w:t xml:space="preserve"> and</w:t>
      </w:r>
      <w:r w:rsidR="00D810F0" w:rsidRPr="00070A6C">
        <w:rPr>
          <w:rFonts w:ascii="Arial" w:hAnsi="Arial" w:cs="Arial"/>
          <w:lang w:val="en-GB"/>
        </w:rPr>
        <w:t>,</w:t>
      </w:r>
      <w:r w:rsidRPr="00070A6C">
        <w:rPr>
          <w:rFonts w:ascii="Arial" w:hAnsi="Arial" w:cs="Arial"/>
          <w:lang w:val="en-GB"/>
        </w:rPr>
        <w:t xml:space="preserve"> as a result, </w:t>
      </w:r>
      <w:r w:rsidR="00CE5136" w:rsidRPr="00070A6C">
        <w:rPr>
          <w:rFonts w:ascii="Arial" w:hAnsi="Arial" w:cs="Arial"/>
          <w:lang w:val="en-GB"/>
        </w:rPr>
        <w:t>whether</w:t>
      </w:r>
      <w:r w:rsidRPr="00070A6C">
        <w:rPr>
          <w:rFonts w:ascii="Arial" w:hAnsi="Arial" w:cs="Arial"/>
          <w:lang w:val="en-GB"/>
        </w:rPr>
        <w:t xml:space="preserve"> </w:t>
      </w:r>
      <w:r w:rsidR="00D810F0" w:rsidRPr="00070A6C">
        <w:rPr>
          <w:rFonts w:ascii="Arial" w:hAnsi="Arial" w:cs="Arial"/>
          <w:lang w:val="en-GB"/>
        </w:rPr>
        <w:t xml:space="preserve">or not </w:t>
      </w:r>
      <w:r w:rsidRPr="00070A6C">
        <w:rPr>
          <w:rFonts w:ascii="Arial" w:hAnsi="Arial" w:cs="Arial"/>
          <w:lang w:val="en-GB"/>
        </w:rPr>
        <w:t>the defendant is entitled to a remission of rental, it was in breach</w:t>
      </w:r>
      <w:r w:rsidR="00386DC0" w:rsidRPr="00070A6C">
        <w:rPr>
          <w:rFonts w:ascii="Arial" w:hAnsi="Arial" w:cs="Arial"/>
          <w:lang w:val="en-GB"/>
        </w:rPr>
        <w:t xml:space="preserve">.  </w:t>
      </w:r>
      <w:r w:rsidRPr="00070A6C">
        <w:rPr>
          <w:rFonts w:ascii="Arial" w:hAnsi="Arial" w:cs="Arial"/>
          <w:lang w:val="en-GB"/>
        </w:rPr>
        <w:t>To test this, I had regard to the plaintiff’s statement from which it appears that t</w:t>
      </w:r>
      <w:r w:rsidR="00386DC0" w:rsidRPr="00070A6C">
        <w:rPr>
          <w:rFonts w:ascii="Arial" w:hAnsi="Arial" w:cs="Arial"/>
          <w:lang w:val="en-GB"/>
        </w:rPr>
        <w:t xml:space="preserve">he arrear amount on 2 March 2020 was R33 869.84.  </w:t>
      </w:r>
      <w:r w:rsidR="00FF781B" w:rsidRPr="00070A6C">
        <w:rPr>
          <w:rFonts w:ascii="Arial" w:hAnsi="Arial" w:cs="Arial"/>
          <w:lang w:val="en-GB"/>
        </w:rPr>
        <w:t>Deducting the</w:t>
      </w:r>
      <w:r w:rsidR="00386DC0" w:rsidRPr="00070A6C">
        <w:rPr>
          <w:rFonts w:ascii="Arial" w:hAnsi="Arial" w:cs="Arial"/>
          <w:lang w:val="en-GB"/>
        </w:rPr>
        <w:t xml:space="preserve"> total water and sewerage charges </w:t>
      </w:r>
      <w:r w:rsidR="00FF781B" w:rsidRPr="00070A6C">
        <w:rPr>
          <w:rFonts w:ascii="Arial" w:hAnsi="Arial" w:cs="Arial"/>
          <w:lang w:val="en-GB"/>
        </w:rPr>
        <w:t xml:space="preserve">as </w:t>
      </w:r>
      <w:r w:rsidR="00386DC0" w:rsidRPr="00070A6C">
        <w:rPr>
          <w:rFonts w:ascii="Arial" w:hAnsi="Arial" w:cs="Arial"/>
          <w:lang w:val="en-GB"/>
        </w:rPr>
        <w:t>at that stage</w:t>
      </w:r>
      <w:r w:rsidR="00FF781B" w:rsidRPr="00070A6C">
        <w:rPr>
          <w:rFonts w:ascii="Arial" w:hAnsi="Arial" w:cs="Arial"/>
          <w:lang w:val="en-GB"/>
        </w:rPr>
        <w:t>, an amount of</w:t>
      </w:r>
      <w:r w:rsidR="00386DC0" w:rsidRPr="00070A6C">
        <w:rPr>
          <w:rFonts w:ascii="Arial" w:hAnsi="Arial" w:cs="Arial"/>
          <w:lang w:val="en-GB"/>
        </w:rPr>
        <w:t xml:space="preserve"> R13 712.34, </w:t>
      </w:r>
      <w:r w:rsidR="00FF781B" w:rsidRPr="00070A6C">
        <w:rPr>
          <w:rFonts w:ascii="Arial" w:hAnsi="Arial" w:cs="Arial"/>
          <w:lang w:val="en-GB"/>
        </w:rPr>
        <w:t>there is still</w:t>
      </w:r>
      <w:r w:rsidR="00386DC0" w:rsidRPr="00070A6C">
        <w:rPr>
          <w:rFonts w:ascii="Arial" w:hAnsi="Arial" w:cs="Arial"/>
          <w:lang w:val="en-GB"/>
        </w:rPr>
        <w:t xml:space="preserve"> an outstanding balance of R20 157.50.  I reiterate that I </w:t>
      </w:r>
      <w:r w:rsidRPr="00070A6C">
        <w:rPr>
          <w:rFonts w:ascii="Arial" w:hAnsi="Arial" w:cs="Arial"/>
          <w:lang w:val="en-GB"/>
        </w:rPr>
        <w:t>am not persuaded of</w:t>
      </w:r>
      <w:r w:rsidR="00386DC0" w:rsidRPr="00070A6C">
        <w:rPr>
          <w:rFonts w:ascii="Arial" w:hAnsi="Arial" w:cs="Arial"/>
          <w:lang w:val="en-GB"/>
        </w:rPr>
        <w:t xml:space="preserve"> any basis for deducting the charges</w:t>
      </w:r>
      <w:r w:rsidR="007F3BC0" w:rsidRPr="00070A6C">
        <w:rPr>
          <w:rFonts w:ascii="Arial" w:hAnsi="Arial" w:cs="Arial"/>
          <w:lang w:val="en-GB"/>
        </w:rPr>
        <w:t>.  However, assuming in favour of the defendant for purposes of summary judgment that it is entitled to the deduction</w:t>
      </w:r>
      <w:r w:rsidR="00386DC0" w:rsidRPr="00070A6C">
        <w:rPr>
          <w:rFonts w:ascii="Arial" w:hAnsi="Arial" w:cs="Arial"/>
          <w:lang w:val="en-GB"/>
        </w:rPr>
        <w:t>, it appears that the defendant was</w:t>
      </w:r>
      <w:r w:rsidR="007F3BC0" w:rsidRPr="00070A6C">
        <w:rPr>
          <w:rFonts w:ascii="Arial" w:hAnsi="Arial" w:cs="Arial"/>
          <w:lang w:val="en-GB"/>
        </w:rPr>
        <w:t xml:space="preserve"> </w:t>
      </w:r>
      <w:r w:rsidR="00386DC0" w:rsidRPr="00070A6C">
        <w:rPr>
          <w:rFonts w:ascii="Arial" w:hAnsi="Arial" w:cs="Arial"/>
          <w:lang w:val="en-GB"/>
        </w:rPr>
        <w:t xml:space="preserve">in arrears </w:t>
      </w:r>
      <w:r w:rsidR="0030518C" w:rsidRPr="00070A6C">
        <w:rPr>
          <w:rFonts w:ascii="Arial" w:hAnsi="Arial" w:cs="Arial"/>
          <w:lang w:val="en-GB"/>
        </w:rPr>
        <w:t xml:space="preserve">even </w:t>
      </w:r>
      <w:r w:rsidR="007F3BC0" w:rsidRPr="00070A6C">
        <w:rPr>
          <w:rFonts w:ascii="Arial" w:hAnsi="Arial" w:cs="Arial"/>
          <w:lang w:val="en-GB"/>
        </w:rPr>
        <w:t>after deducti</w:t>
      </w:r>
      <w:r w:rsidR="0030518C" w:rsidRPr="00070A6C">
        <w:rPr>
          <w:rFonts w:ascii="Arial" w:hAnsi="Arial" w:cs="Arial"/>
          <w:lang w:val="en-GB"/>
        </w:rPr>
        <w:t>ng the said charges</w:t>
      </w:r>
      <w:r w:rsidR="007F3BC0" w:rsidRPr="00070A6C">
        <w:rPr>
          <w:rFonts w:ascii="Arial" w:hAnsi="Arial" w:cs="Arial"/>
          <w:lang w:val="en-GB"/>
        </w:rPr>
        <w:t xml:space="preserve"> </w:t>
      </w:r>
      <w:r w:rsidR="00386DC0" w:rsidRPr="00070A6C">
        <w:rPr>
          <w:rFonts w:ascii="Arial" w:hAnsi="Arial" w:cs="Arial"/>
          <w:lang w:val="en-GB"/>
        </w:rPr>
        <w:t xml:space="preserve">and </w:t>
      </w:r>
      <w:r w:rsidR="007F3BC0" w:rsidRPr="00070A6C">
        <w:rPr>
          <w:rFonts w:ascii="Arial" w:hAnsi="Arial" w:cs="Arial"/>
          <w:lang w:val="en-GB"/>
        </w:rPr>
        <w:t xml:space="preserve">thus </w:t>
      </w:r>
      <w:r w:rsidR="00386DC0" w:rsidRPr="00070A6C">
        <w:rPr>
          <w:rFonts w:ascii="Arial" w:hAnsi="Arial" w:cs="Arial"/>
          <w:lang w:val="en-GB"/>
        </w:rPr>
        <w:t>in breach prior to the lockdown.</w:t>
      </w:r>
    </w:p>
    <w:p w14:paraId="04BAE875" w14:textId="40264B71" w:rsidR="002134EA" w:rsidRPr="00070A6C" w:rsidRDefault="000926D9"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Albeit that the water and sewerage dispute may </w:t>
      </w:r>
      <w:r w:rsidR="00F64CC4" w:rsidRPr="00070A6C">
        <w:rPr>
          <w:rFonts w:ascii="Arial" w:hAnsi="Arial" w:cs="Arial"/>
          <w:lang w:val="en-GB"/>
        </w:rPr>
        <w:t>cast some doubt in respect of the quantum of the plaintiff’s claim for payment</w:t>
      </w:r>
      <w:r w:rsidRPr="00070A6C">
        <w:rPr>
          <w:rFonts w:ascii="Arial" w:hAnsi="Arial" w:cs="Arial"/>
          <w:lang w:val="en-GB"/>
        </w:rPr>
        <w:t xml:space="preserve">, I </w:t>
      </w:r>
      <w:r w:rsidR="0030518C" w:rsidRPr="00070A6C">
        <w:rPr>
          <w:rFonts w:ascii="Arial" w:hAnsi="Arial" w:cs="Arial"/>
          <w:lang w:val="en-GB"/>
        </w:rPr>
        <w:t xml:space="preserve">am not </w:t>
      </w:r>
      <w:r w:rsidR="002C4189" w:rsidRPr="00070A6C">
        <w:rPr>
          <w:rFonts w:ascii="Arial" w:hAnsi="Arial" w:cs="Arial"/>
          <w:lang w:val="en-GB"/>
        </w:rPr>
        <w:t>persuaded</w:t>
      </w:r>
      <w:r w:rsidRPr="00070A6C">
        <w:rPr>
          <w:rFonts w:ascii="Arial" w:hAnsi="Arial" w:cs="Arial"/>
          <w:lang w:val="en-GB"/>
        </w:rPr>
        <w:t xml:space="preserve"> that it constitutes a defence against the defendant</w:t>
      </w:r>
      <w:r w:rsidR="007F3BC0" w:rsidRPr="00070A6C">
        <w:rPr>
          <w:rFonts w:ascii="Arial" w:hAnsi="Arial" w:cs="Arial"/>
          <w:lang w:val="en-GB"/>
        </w:rPr>
        <w:t>’s claim for cancellation and ejectment</w:t>
      </w:r>
      <w:r w:rsidRPr="00070A6C">
        <w:rPr>
          <w:rFonts w:ascii="Arial" w:hAnsi="Arial" w:cs="Arial"/>
          <w:lang w:val="en-GB"/>
        </w:rPr>
        <w:t>.</w:t>
      </w:r>
    </w:p>
    <w:p w14:paraId="391C9BC8" w14:textId="287765A9" w:rsidR="0087680B" w:rsidRPr="00070A6C" w:rsidRDefault="00CE487C" w:rsidP="00AF5234">
      <w:pPr>
        <w:pStyle w:val="Heading2"/>
        <w:rPr>
          <w:i/>
          <w:iCs/>
        </w:rPr>
      </w:pPr>
      <w:r w:rsidRPr="00070A6C">
        <w:lastRenderedPageBreak/>
        <w:t xml:space="preserve">The </w:t>
      </w:r>
      <w:r w:rsidR="00CE5136" w:rsidRPr="00070A6C">
        <w:t>second</w:t>
      </w:r>
      <w:r w:rsidRPr="00070A6C">
        <w:t xml:space="preserve"> defence - </w:t>
      </w:r>
      <w:r w:rsidRPr="00070A6C">
        <w:rPr>
          <w:i/>
          <w:iCs/>
        </w:rPr>
        <w:t>v</w:t>
      </w:r>
      <w:r w:rsidR="0087680B" w:rsidRPr="00070A6C">
        <w:rPr>
          <w:i/>
          <w:iCs/>
        </w:rPr>
        <w:t>is major</w:t>
      </w:r>
    </w:p>
    <w:p w14:paraId="47639EF3" w14:textId="55819733" w:rsidR="00834486" w:rsidRPr="00070A6C" w:rsidRDefault="00834486"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The defendant contends that the plaintiff did not comply with its obligations in terms of the lease or tendered compliance thereof during the “</w:t>
      </w:r>
      <w:r w:rsidRPr="00070A6C">
        <w:rPr>
          <w:rFonts w:ascii="Arial" w:hAnsi="Arial" w:cs="Arial"/>
          <w:i/>
          <w:iCs/>
          <w:lang w:val="en-GB"/>
        </w:rPr>
        <w:t>alert level lockdown</w:t>
      </w:r>
      <w:r w:rsidRPr="00070A6C">
        <w:rPr>
          <w:rFonts w:ascii="Arial" w:hAnsi="Arial" w:cs="Arial"/>
          <w:lang w:val="en-GB"/>
        </w:rPr>
        <w:t xml:space="preserve">” period </w:t>
      </w:r>
      <w:r w:rsidR="00BB7390" w:rsidRPr="00070A6C">
        <w:rPr>
          <w:rFonts w:ascii="Arial" w:hAnsi="Arial" w:cs="Arial"/>
          <w:lang w:val="en-GB"/>
        </w:rPr>
        <w:t xml:space="preserve">of </w:t>
      </w:r>
      <w:r w:rsidRPr="00070A6C">
        <w:rPr>
          <w:rFonts w:ascii="Arial" w:hAnsi="Arial" w:cs="Arial"/>
          <w:lang w:val="en-GB"/>
        </w:rPr>
        <w:t>27 March to 17 August 2020</w:t>
      </w:r>
      <w:r w:rsidR="00BB7390" w:rsidRPr="00070A6C">
        <w:rPr>
          <w:rFonts w:ascii="Arial" w:hAnsi="Arial" w:cs="Arial"/>
          <w:lang w:val="en-GB"/>
        </w:rPr>
        <w:t>,</w:t>
      </w:r>
      <w:r w:rsidRPr="00070A6C">
        <w:rPr>
          <w:rFonts w:ascii="Arial" w:hAnsi="Arial" w:cs="Arial"/>
          <w:lang w:val="en-GB"/>
        </w:rPr>
        <w:t xml:space="preserve"> with the result that the defendant did not enjoy complete and unfettered beneficial occupation of the premises.  The alert level lockdown, so the defendant contends, constitutes a </w:t>
      </w:r>
      <w:r w:rsidRPr="00070A6C">
        <w:rPr>
          <w:rFonts w:ascii="Arial" w:hAnsi="Arial" w:cs="Arial"/>
          <w:i/>
          <w:iCs/>
          <w:lang w:val="en-GB"/>
        </w:rPr>
        <w:t xml:space="preserve">vis major </w:t>
      </w:r>
      <w:r w:rsidRPr="00070A6C">
        <w:rPr>
          <w:rFonts w:ascii="Arial" w:hAnsi="Arial" w:cs="Arial"/>
          <w:lang w:val="en-GB"/>
        </w:rPr>
        <w:t xml:space="preserve">event </w:t>
      </w:r>
      <w:r w:rsidR="00CE5136" w:rsidRPr="00070A6C">
        <w:rPr>
          <w:rFonts w:ascii="Arial" w:hAnsi="Arial" w:cs="Arial"/>
          <w:lang w:val="en-GB"/>
        </w:rPr>
        <w:t xml:space="preserve">which excused the defendant from performing in terms of the lease.  Accordingly, the </w:t>
      </w:r>
      <w:r w:rsidRPr="00070A6C">
        <w:rPr>
          <w:rFonts w:ascii="Arial" w:hAnsi="Arial" w:cs="Arial"/>
          <w:lang w:val="en-GB"/>
        </w:rPr>
        <w:t xml:space="preserve">defendant is, </w:t>
      </w:r>
      <w:r w:rsidR="00CE5136" w:rsidRPr="00070A6C">
        <w:rPr>
          <w:rFonts w:ascii="Arial" w:hAnsi="Arial" w:cs="Arial"/>
          <w:lang w:val="en-GB"/>
        </w:rPr>
        <w:t>so it argued</w:t>
      </w:r>
      <w:r w:rsidRPr="00070A6C">
        <w:rPr>
          <w:rFonts w:ascii="Arial" w:hAnsi="Arial" w:cs="Arial"/>
          <w:lang w:val="en-GB"/>
        </w:rPr>
        <w:t>, entitled to a remission of rental.</w:t>
      </w:r>
    </w:p>
    <w:p w14:paraId="67925146" w14:textId="5C82043F" w:rsidR="005E2757" w:rsidRPr="00070A6C" w:rsidRDefault="005E2757" w:rsidP="005E2757">
      <w:pPr>
        <w:spacing w:after="360" w:line="360" w:lineRule="auto"/>
        <w:jc w:val="both"/>
        <w:rPr>
          <w:rFonts w:ascii="Arial" w:hAnsi="Arial" w:cs="Arial"/>
          <w:i/>
          <w:iCs/>
          <w:lang w:val="en-GB"/>
        </w:rPr>
      </w:pPr>
      <w:r w:rsidRPr="00070A6C">
        <w:rPr>
          <w:rFonts w:ascii="Arial" w:hAnsi="Arial" w:cs="Arial"/>
          <w:i/>
          <w:iCs/>
          <w:lang w:val="en-GB"/>
        </w:rPr>
        <w:t xml:space="preserve">The </w:t>
      </w:r>
      <w:r w:rsidR="00596802" w:rsidRPr="00070A6C">
        <w:rPr>
          <w:rFonts w:ascii="Arial" w:hAnsi="Arial" w:cs="Arial"/>
          <w:i/>
          <w:iCs/>
          <w:lang w:val="en-GB"/>
        </w:rPr>
        <w:t>R</w:t>
      </w:r>
      <w:r w:rsidRPr="00070A6C">
        <w:rPr>
          <w:rFonts w:ascii="Arial" w:hAnsi="Arial" w:cs="Arial"/>
          <w:i/>
          <w:iCs/>
          <w:lang w:val="en-GB"/>
        </w:rPr>
        <w:t>egulations</w:t>
      </w:r>
    </w:p>
    <w:p w14:paraId="19AAE688" w14:textId="4DA7B7DC" w:rsidR="00613C12" w:rsidRPr="00070A6C" w:rsidRDefault="00CE487C" w:rsidP="00AF5234">
      <w:pPr>
        <w:pStyle w:val="ListParagraph"/>
        <w:numPr>
          <w:ilvl w:val="0"/>
          <w:numId w:val="5"/>
        </w:numPr>
        <w:spacing w:after="360" w:line="360" w:lineRule="auto"/>
        <w:contextualSpacing w:val="0"/>
        <w:jc w:val="both"/>
        <w:rPr>
          <w:rFonts w:ascii="Arial" w:hAnsi="Arial" w:cs="Arial"/>
          <w:color w:val="000000" w:themeColor="text1"/>
          <w:lang w:val="en-GB"/>
        </w:rPr>
      </w:pPr>
      <w:r w:rsidRPr="00070A6C">
        <w:rPr>
          <w:rFonts w:ascii="Arial" w:eastAsiaTheme="minorHAnsi" w:hAnsi="Arial" w:cs="Arial"/>
          <w:color w:val="000000"/>
          <w:lang w:val="en-GB" w:eastAsia="en-US"/>
        </w:rPr>
        <w:t xml:space="preserve">A national state of disaster was declared on 15 March 2020 in terms of the Disaster Management Act, </w:t>
      </w:r>
      <w:r w:rsidR="00613C12" w:rsidRPr="00070A6C">
        <w:rPr>
          <w:rFonts w:ascii="Arial" w:eastAsiaTheme="minorHAnsi" w:hAnsi="Arial" w:cs="Arial"/>
          <w:color w:val="000000"/>
          <w:lang w:val="en-GB" w:eastAsia="en-US"/>
        </w:rPr>
        <w:t xml:space="preserve">57 of </w:t>
      </w:r>
      <w:r w:rsidRPr="00070A6C">
        <w:rPr>
          <w:rFonts w:ascii="Arial" w:eastAsiaTheme="minorHAnsi" w:hAnsi="Arial" w:cs="Arial"/>
          <w:color w:val="000000"/>
          <w:lang w:val="en-GB" w:eastAsia="en-US"/>
        </w:rPr>
        <w:t xml:space="preserve">2002 </w:t>
      </w:r>
      <w:r w:rsidR="00613C12" w:rsidRPr="00070A6C">
        <w:rPr>
          <w:rFonts w:ascii="Arial" w:eastAsiaTheme="minorHAnsi" w:hAnsi="Arial" w:cs="Arial"/>
          <w:color w:val="000000"/>
          <w:lang w:val="en-GB" w:eastAsia="en-US"/>
        </w:rPr>
        <w:t xml:space="preserve">in reaction to </w:t>
      </w:r>
      <w:r w:rsidRPr="00070A6C">
        <w:rPr>
          <w:rFonts w:ascii="Arial" w:eastAsiaTheme="minorHAnsi" w:hAnsi="Arial" w:cs="Arial"/>
          <w:color w:val="000000"/>
          <w:lang w:val="en-GB" w:eastAsia="en-US"/>
        </w:rPr>
        <w:t>the Covid-19 pandemic.</w:t>
      </w:r>
      <w:r w:rsidR="00613C12" w:rsidRPr="00070A6C">
        <w:rPr>
          <w:rFonts w:ascii="Arial" w:eastAsiaTheme="minorHAnsi" w:hAnsi="Arial" w:cs="Arial"/>
          <w:color w:val="000000"/>
          <w:sz w:val="16"/>
          <w:szCs w:val="16"/>
          <w:lang w:val="en-GB" w:eastAsia="en-US"/>
        </w:rPr>
        <w:t xml:space="preserve"> </w:t>
      </w:r>
      <w:r w:rsidRPr="00070A6C">
        <w:rPr>
          <w:rFonts w:ascii="Arial" w:eastAsiaTheme="minorHAnsi" w:hAnsi="Arial" w:cs="Arial"/>
          <w:color w:val="000000"/>
          <w:sz w:val="16"/>
          <w:szCs w:val="16"/>
          <w:lang w:val="en-GB" w:eastAsia="en-US"/>
        </w:rPr>
        <w:t xml:space="preserve"> </w:t>
      </w:r>
      <w:r w:rsidR="00613C12" w:rsidRPr="00070A6C">
        <w:rPr>
          <w:rFonts w:ascii="Arial" w:eastAsiaTheme="minorHAnsi" w:hAnsi="Arial" w:cs="Arial"/>
          <w:color w:val="000000"/>
          <w:sz w:val="16"/>
          <w:szCs w:val="16"/>
          <w:lang w:val="en-GB" w:eastAsia="en-US"/>
        </w:rPr>
        <w:t xml:space="preserve"> </w:t>
      </w:r>
      <w:r w:rsidRPr="00070A6C">
        <w:rPr>
          <w:rFonts w:ascii="Arial" w:eastAsiaTheme="minorHAnsi" w:hAnsi="Arial" w:cs="Arial"/>
          <w:color w:val="000000"/>
          <w:lang w:val="en-GB" w:eastAsia="en-US"/>
        </w:rPr>
        <w:t xml:space="preserve">The </w:t>
      </w:r>
      <w:r w:rsidR="00613C12" w:rsidRPr="00070A6C">
        <w:rPr>
          <w:rFonts w:ascii="Arial" w:eastAsiaTheme="minorHAnsi" w:hAnsi="Arial" w:cs="Arial"/>
          <w:color w:val="000000"/>
          <w:lang w:val="en-GB" w:eastAsia="en-US"/>
        </w:rPr>
        <w:t>“</w:t>
      </w:r>
      <w:r w:rsidRPr="00070A6C">
        <w:rPr>
          <w:rFonts w:ascii="Arial" w:eastAsiaTheme="minorHAnsi" w:hAnsi="Arial" w:cs="Arial"/>
          <w:color w:val="000000"/>
          <w:lang w:val="en-GB" w:eastAsia="en-US"/>
        </w:rPr>
        <w:t>hard lockdown</w:t>
      </w:r>
      <w:r w:rsidR="00613C12" w:rsidRPr="00070A6C">
        <w:rPr>
          <w:rFonts w:ascii="Arial" w:eastAsiaTheme="minorHAnsi" w:hAnsi="Arial" w:cs="Arial"/>
          <w:color w:val="000000"/>
          <w:lang w:val="en-GB" w:eastAsia="en-US"/>
        </w:rPr>
        <w:t>”</w:t>
      </w:r>
      <w:r w:rsidRPr="00070A6C">
        <w:rPr>
          <w:rFonts w:ascii="Arial" w:eastAsiaTheme="minorHAnsi" w:hAnsi="Arial" w:cs="Arial"/>
          <w:color w:val="000000"/>
          <w:lang w:val="en-GB" w:eastAsia="en-US"/>
        </w:rPr>
        <w:t xml:space="preserve"> commenced </w:t>
      </w:r>
      <w:r w:rsidR="00613C12" w:rsidRPr="00070A6C">
        <w:rPr>
          <w:rFonts w:ascii="Arial" w:eastAsiaTheme="minorHAnsi" w:hAnsi="Arial" w:cs="Arial"/>
          <w:color w:val="000000"/>
          <w:lang w:val="en-GB" w:eastAsia="en-US"/>
        </w:rPr>
        <w:t>on 27</w:t>
      </w:r>
      <w:r w:rsidRPr="00070A6C">
        <w:rPr>
          <w:rFonts w:ascii="Arial" w:eastAsiaTheme="minorHAnsi" w:hAnsi="Arial" w:cs="Arial"/>
          <w:color w:val="000000"/>
          <w:lang w:val="en-GB" w:eastAsia="en-US"/>
        </w:rPr>
        <w:t xml:space="preserve"> March 2020 in terms of the</w:t>
      </w:r>
      <w:r w:rsidRPr="00070A6C">
        <w:rPr>
          <w:rFonts w:ascii="Arial" w:hAnsi="Arial" w:cs="Arial"/>
          <w:lang w:val="en-GB"/>
        </w:rPr>
        <w:t xml:space="preserve"> </w:t>
      </w:r>
      <w:r w:rsidRPr="00070A6C">
        <w:rPr>
          <w:rFonts w:ascii="Arial" w:eastAsiaTheme="minorHAnsi" w:hAnsi="Arial" w:cs="Arial"/>
          <w:color w:val="000000"/>
          <w:lang w:val="en-GB" w:eastAsia="en-US"/>
        </w:rPr>
        <w:t>Disaster Management Regulations</w:t>
      </w:r>
      <w:r w:rsidR="00613C12" w:rsidRPr="00070A6C">
        <w:rPr>
          <w:rStyle w:val="FootnoteReference"/>
          <w:rFonts w:ascii="Arial" w:eastAsiaTheme="minorHAnsi" w:hAnsi="Arial" w:cs="Arial"/>
          <w:color w:val="000000"/>
          <w:lang w:val="en-GB" w:eastAsia="en-US"/>
        </w:rPr>
        <w:footnoteReference w:id="2"/>
      </w:r>
      <w:r w:rsidR="00613C12" w:rsidRPr="00070A6C">
        <w:rPr>
          <w:rFonts w:ascii="Arial" w:eastAsiaTheme="minorHAnsi" w:hAnsi="Arial" w:cs="Arial"/>
          <w:color w:val="000000"/>
          <w:lang w:val="en-GB" w:eastAsia="en-US"/>
        </w:rPr>
        <w:t xml:space="preserve"> (“</w:t>
      </w:r>
      <w:r w:rsidR="00613C12" w:rsidRPr="00070A6C">
        <w:rPr>
          <w:rFonts w:ascii="Arial" w:eastAsiaTheme="minorHAnsi" w:hAnsi="Arial" w:cs="Arial"/>
          <w:i/>
          <w:iCs/>
          <w:color w:val="000000"/>
          <w:lang w:val="en-GB" w:eastAsia="en-US"/>
        </w:rPr>
        <w:t>the March 2020 Regulations</w:t>
      </w:r>
      <w:r w:rsidR="00613C12" w:rsidRPr="00070A6C">
        <w:rPr>
          <w:rFonts w:ascii="Arial" w:eastAsiaTheme="minorHAnsi" w:hAnsi="Arial" w:cs="Arial"/>
          <w:color w:val="000000"/>
          <w:lang w:val="en-GB" w:eastAsia="en-US"/>
        </w:rPr>
        <w:t>”)</w:t>
      </w:r>
      <w:r w:rsidR="00CE5136" w:rsidRPr="00070A6C">
        <w:rPr>
          <w:rFonts w:ascii="Arial" w:eastAsiaTheme="minorHAnsi" w:hAnsi="Arial" w:cs="Arial"/>
          <w:color w:val="000000"/>
          <w:lang w:val="en-GB" w:eastAsia="en-US"/>
        </w:rPr>
        <w:t>.  The hard lockdown</w:t>
      </w:r>
      <w:r w:rsidR="00613C12" w:rsidRPr="00070A6C">
        <w:rPr>
          <w:rFonts w:ascii="Arial" w:eastAsiaTheme="minorHAnsi" w:hAnsi="Arial" w:cs="Arial"/>
          <w:color w:val="000000"/>
          <w:lang w:val="en-GB" w:eastAsia="en-US"/>
        </w:rPr>
        <w:t xml:space="preserve"> ended on 30 April 2020 after </w:t>
      </w:r>
      <w:r w:rsidR="00BB7390" w:rsidRPr="00070A6C">
        <w:rPr>
          <w:rFonts w:ascii="Arial" w:eastAsiaTheme="minorHAnsi" w:hAnsi="Arial" w:cs="Arial"/>
          <w:color w:val="000000"/>
          <w:lang w:val="en-GB" w:eastAsia="en-US"/>
        </w:rPr>
        <w:t>new regulations were published on 29 April 2020</w:t>
      </w:r>
      <w:r w:rsidR="00BB7390" w:rsidRPr="00070A6C">
        <w:rPr>
          <w:rStyle w:val="FootnoteReference"/>
          <w:rFonts w:ascii="Arial" w:eastAsiaTheme="minorHAnsi" w:hAnsi="Arial" w:cs="Arial"/>
          <w:color w:val="000000"/>
          <w:lang w:val="en-GB" w:eastAsia="en-US"/>
        </w:rPr>
        <w:footnoteReference w:id="3"/>
      </w:r>
      <w:r w:rsidR="00BB7390" w:rsidRPr="00070A6C">
        <w:rPr>
          <w:rFonts w:ascii="Arial" w:eastAsiaTheme="minorHAnsi" w:hAnsi="Arial" w:cs="Arial"/>
          <w:color w:val="000000"/>
          <w:lang w:val="en-GB" w:eastAsia="en-US"/>
        </w:rPr>
        <w:t xml:space="preserve"> (“</w:t>
      </w:r>
      <w:r w:rsidR="00BB7390" w:rsidRPr="00070A6C">
        <w:rPr>
          <w:rFonts w:ascii="Arial" w:eastAsiaTheme="minorHAnsi" w:hAnsi="Arial" w:cs="Arial"/>
          <w:i/>
          <w:iCs/>
          <w:color w:val="000000"/>
          <w:lang w:val="en-GB" w:eastAsia="en-US"/>
        </w:rPr>
        <w:t>the April 2020 Regulations</w:t>
      </w:r>
      <w:r w:rsidR="00BB7390" w:rsidRPr="00070A6C">
        <w:rPr>
          <w:rFonts w:ascii="Arial" w:eastAsiaTheme="minorHAnsi" w:hAnsi="Arial" w:cs="Arial"/>
          <w:color w:val="000000"/>
          <w:lang w:val="en-GB" w:eastAsia="en-US"/>
        </w:rPr>
        <w:t xml:space="preserve">”), which replaced </w:t>
      </w:r>
      <w:r w:rsidR="00613C12" w:rsidRPr="00070A6C">
        <w:rPr>
          <w:rFonts w:ascii="Arial" w:eastAsiaTheme="minorHAnsi" w:hAnsi="Arial" w:cs="Arial"/>
          <w:color w:val="000000"/>
          <w:lang w:val="en-GB" w:eastAsia="en-US"/>
        </w:rPr>
        <w:t xml:space="preserve">the March 2020 </w:t>
      </w:r>
      <w:r w:rsidR="00CE5136" w:rsidRPr="00070A6C">
        <w:rPr>
          <w:rFonts w:ascii="Arial" w:eastAsiaTheme="minorHAnsi" w:hAnsi="Arial" w:cs="Arial"/>
          <w:color w:val="000000"/>
          <w:lang w:val="en-GB" w:eastAsia="en-US"/>
        </w:rPr>
        <w:t>R</w:t>
      </w:r>
      <w:r w:rsidR="00613C12" w:rsidRPr="00070A6C">
        <w:rPr>
          <w:rFonts w:ascii="Arial" w:eastAsiaTheme="minorHAnsi" w:hAnsi="Arial" w:cs="Arial"/>
          <w:color w:val="000000"/>
          <w:lang w:val="en-GB" w:eastAsia="en-US"/>
        </w:rPr>
        <w:t>egulations</w:t>
      </w:r>
      <w:r w:rsidR="00613C12" w:rsidRPr="00070A6C">
        <w:rPr>
          <w:rFonts w:ascii="Arial" w:eastAsiaTheme="minorHAnsi" w:hAnsi="Arial" w:cs="Arial"/>
          <w:color w:val="000000" w:themeColor="text1"/>
          <w:lang w:val="en-GB" w:eastAsia="en-US"/>
        </w:rPr>
        <w:t>.</w:t>
      </w:r>
    </w:p>
    <w:p w14:paraId="778E7C3A" w14:textId="1A541563" w:rsidR="00D440A4" w:rsidRPr="00070A6C" w:rsidRDefault="00D440A4" w:rsidP="00AF5234">
      <w:pPr>
        <w:pStyle w:val="ListParagraph"/>
        <w:numPr>
          <w:ilvl w:val="0"/>
          <w:numId w:val="5"/>
        </w:numPr>
        <w:spacing w:after="360" w:line="360" w:lineRule="auto"/>
        <w:contextualSpacing w:val="0"/>
        <w:jc w:val="both"/>
        <w:rPr>
          <w:rFonts w:ascii="Arial" w:hAnsi="Arial" w:cs="Arial"/>
          <w:color w:val="000000" w:themeColor="text1"/>
          <w:lang w:val="en-GB"/>
        </w:rPr>
      </w:pPr>
      <w:r w:rsidRPr="00070A6C">
        <w:rPr>
          <w:rFonts w:ascii="Arial" w:hAnsi="Arial" w:cs="Arial"/>
          <w:color w:val="000000" w:themeColor="text1"/>
          <w:lang w:val="en-GB"/>
        </w:rPr>
        <w:t xml:space="preserve">In terms of the </w:t>
      </w:r>
      <w:r w:rsidR="00CE5136" w:rsidRPr="00070A6C">
        <w:rPr>
          <w:rFonts w:ascii="Arial" w:hAnsi="Arial" w:cs="Arial"/>
          <w:color w:val="000000" w:themeColor="text1"/>
          <w:lang w:val="en-GB"/>
        </w:rPr>
        <w:t xml:space="preserve">March 2020 </w:t>
      </w:r>
      <w:r w:rsidRPr="00070A6C">
        <w:rPr>
          <w:rFonts w:ascii="Arial" w:hAnsi="Arial" w:cs="Arial"/>
          <w:color w:val="000000" w:themeColor="text1"/>
          <w:lang w:val="en-GB"/>
        </w:rPr>
        <w:t xml:space="preserve">Regulations various premises were closed to the public during the period of the lockdown.  Regulation 11B(4) placed </w:t>
      </w:r>
      <w:r w:rsidR="00CE5136" w:rsidRPr="00070A6C">
        <w:rPr>
          <w:rFonts w:ascii="Arial" w:hAnsi="Arial" w:cs="Arial"/>
          <w:color w:val="000000" w:themeColor="text1"/>
          <w:lang w:val="en-GB"/>
        </w:rPr>
        <w:t xml:space="preserve">an </w:t>
      </w:r>
      <w:r w:rsidRPr="00070A6C">
        <w:rPr>
          <w:rFonts w:ascii="Arial" w:hAnsi="Arial" w:cs="Arial"/>
          <w:color w:val="000000" w:themeColor="text1"/>
          <w:lang w:val="en-GB"/>
        </w:rPr>
        <w:t>obligation on landlords to close premises under their control</w:t>
      </w:r>
      <w:r w:rsidR="00BB7390" w:rsidRPr="00070A6C">
        <w:rPr>
          <w:rFonts w:ascii="Arial" w:hAnsi="Arial" w:cs="Arial"/>
          <w:color w:val="000000" w:themeColor="text1"/>
          <w:lang w:val="en-GB"/>
        </w:rPr>
        <w:t>,</w:t>
      </w:r>
      <w:r w:rsidRPr="00070A6C">
        <w:rPr>
          <w:rFonts w:ascii="Arial" w:hAnsi="Arial" w:cs="Arial"/>
          <w:color w:val="000000" w:themeColor="text1"/>
          <w:lang w:val="en-GB"/>
        </w:rPr>
        <w:t xml:space="preserve"> save for essential goods and services</w:t>
      </w:r>
      <w:r w:rsidR="00BB7390" w:rsidRPr="00070A6C">
        <w:rPr>
          <w:rFonts w:ascii="Arial" w:hAnsi="Arial" w:cs="Arial"/>
          <w:color w:val="000000" w:themeColor="text1"/>
          <w:lang w:val="en-GB"/>
        </w:rPr>
        <w:t>,</w:t>
      </w:r>
      <w:r w:rsidRPr="00070A6C">
        <w:rPr>
          <w:rFonts w:ascii="Arial" w:hAnsi="Arial" w:cs="Arial"/>
          <w:color w:val="000000" w:themeColor="text1"/>
          <w:lang w:val="en-GB"/>
        </w:rPr>
        <w:t xml:space="preserve"> and </w:t>
      </w:r>
      <w:r w:rsidR="00CE5136" w:rsidRPr="00070A6C">
        <w:rPr>
          <w:rFonts w:ascii="Arial" w:hAnsi="Arial" w:cs="Arial"/>
          <w:color w:val="000000" w:themeColor="text1"/>
          <w:lang w:val="en-GB"/>
        </w:rPr>
        <w:t xml:space="preserve">on </w:t>
      </w:r>
      <w:r w:rsidRPr="00070A6C">
        <w:rPr>
          <w:rFonts w:ascii="Arial" w:hAnsi="Arial" w:cs="Arial"/>
          <w:color w:val="000000" w:themeColor="text1"/>
          <w:lang w:val="en-GB"/>
        </w:rPr>
        <w:t xml:space="preserve">tenants to keep closed the rented premises under their control.  </w:t>
      </w:r>
    </w:p>
    <w:p w14:paraId="5FCBFA7B" w14:textId="59B853A8" w:rsidR="00952FE9" w:rsidRPr="00070A6C" w:rsidRDefault="00D440A4" w:rsidP="00952FE9">
      <w:pPr>
        <w:pStyle w:val="ListParagraph"/>
        <w:numPr>
          <w:ilvl w:val="0"/>
          <w:numId w:val="5"/>
        </w:numPr>
        <w:spacing w:after="360" w:line="360" w:lineRule="auto"/>
        <w:contextualSpacing w:val="0"/>
        <w:jc w:val="both"/>
        <w:rPr>
          <w:rFonts w:ascii="Arial" w:hAnsi="Arial" w:cs="Arial"/>
          <w:color w:val="000000" w:themeColor="text1"/>
          <w:lang w:val="en-GB"/>
        </w:rPr>
      </w:pPr>
      <w:r w:rsidRPr="00070A6C">
        <w:rPr>
          <w:rFonts w:ascii="Arial" w:hAnsi="Arial" w:cs="Arial"/>
          <w:color w:val="000000" w:themeColor="text1"/>
          <w:lang w:val="en-GB"/>
        </w:rPr>
        <w:t xml:space="preserve">It appears that the defendant’s business is not an essential service as defined in the </w:t>
      </w:r>
      <w:r w:rsidR="00FA28C2" w:rsidRPr="00070A6C">
        <w:rPr>
          <w:rFonts w:ascii="Arial" w:hAnsi="Arial" w:cs="Arial"/>
          <w:color w:val="000000" w:themeColor="text1"/>
          <w:lang w:val="en-GB"/>
        </w:rPr>
        <w:t xml:space="preserve">March 2020 </w:t>
      </w:r>
      <w:r w:rsidRPr="00070A6C">
        <w:rPr>
          <w:rFonts w:ascii="Arial" w:hAnsi="Arial" w:cs="Arial"/>
          <w:color w:val="000000" w:themeColor="text1"/>
          <w:lang w:val="en-GB"/>
        </w:rPr>
        <w:t>Regulations with the result that the plaintiff was obliged by th</w:t>
      </w:r>
      <w:r w:rsidR="002C4189" w:rsidRPr="00070A6C">
        <w:rPr>
          <w:rFonts w:ascii="Arial" w:hAnsi="Arial" w:cs="Arial"/>
          <w:color w:val="000000" w:themeColor="text1"/>
          <w:lang w:val="en-GB"/>
        </w:rPr>
        <w:t>ose</w:t>
      </w:r>
      <w:r w:rsidRPr="00070A6C">
        <w:rPr>
          <w:rFonts w:ascii="Arial" w:hAnsi="Arial" w:cs="Arial"/>
          <w:color w:val="000000" w:themeColor="text1"/>
          <w:lang w:val="en-GB"/>
        </w:rPr>
        <w:t xml:space="preserve"> Regulations to close the premises from which </w:t>
      </w:r>
      <w:r w:rsidR="00D810F0" w:rsidRPr="00070A6C">
        <w:rPr>
          <w:rFonts w:ascii="Arial" w:hAnsi="Arial" w:cs="Arial"/>
          <w:color w:val="000000" w:themeColor="text1"/>
          <w:lang w:val="en-GB"/>
        </w:rPr>
        <w:t xml:space="preserve">the </w:t>
      </w:r>
      <w:r w:rsidRPr="00070A6C">
        <w:rPr>
          <w:rFonts w:ascii="Arial" w:hAnsi="Arial" w:cs="Arial"/>
          <w:color w:val="000000" w:themeColor="text1"/>
          <w:lang w:val="en-GB"/>
        </w:rPr>
        <w:t>defendant conducted its business</w:t>
      </w:r>
      <w:r w:rsidR="00D810F0" w:rsidRPr="00070A6C">
        <w:rPr>
          <w:rFonts w:ascii="Arial" w:hAnsi="Arial" w:cs="Arial"/>
          <w:color w:val="000000" w:themeColor="text1"/>
          <w:lang w:val="en-GB"/>
        </w:rPr>
        <w:t>.</w:t>
      </w:r>
      <w:r w:rsidRPr="00070A6C">
        <w:rPr>
          <w:rFonts w:ascii="Arial" w:hAnsi="Arial" w:cs="Arial"/>
          <w:color w:val="000000" w:themeColor="text1"/>
          <w:lang w:val="en-GB"/>
        </w:rPr>
        <w:t xml:space="preserve"> </w:t>
      </w:r>
      <w:r w:rsidR="00D810F0" w:rsidRPr="00070A6C">
        <w:rPr>
          <w:rFonts w:ascii="Arial" w:hAnsi="Arial" w:cs="Arial"/>
          <w:color w:val="000000" w:themeColor="text1"/>
          <w:lang w:val="en-GB"/>
        </w:rPr>
        <w:t>T</w:t>
      </w:r>
      <w:r w:rsidRPr="00070A6C">
        <w:rPr>
          <w:rFonts w:ascii="Arial" w:hAnsi="Arial" w:cs="Arial"/>
          <w:color w:val="000000" w:themeColor="text1"/>
          <w:lang w:val="en-GB"/>
        </w:rPr>
        <w:t xml:space="preserve">he defendant in turn was obliged by the </w:t>
      </w:r>
      <w:r w:rsidR="002C4189" w:rsidRPr="00070A6C">
        <w:rPr>
          <w:rFonts w:ascii="Arial" w:hAnsi="Arial" w:cs="Arial"/>
          <w:color w:val="000000" w:themeColor="text1"/>
          <w:lang w:val="en-GB"/>
        </w:rPr>
        <w:t xml:space="preserve">said </w:t>
      </w:r>
      <w:r w:rsidRPr="00070A6C">
        <w:rPr>
          <w:rFonts w:ascii="Arial" w:hAnsi="Arial" w:cs="Arial"/>
          <w:color w:val="000000" w:themeColor="text1"/>
          <w:lang w:val="en-GB"/>
        </w:rPr>
        <w:t xml:space="preserve">Regulations not to occupy or use the premises for the subsistence of the period envisaged in the March 2020 Regulations.  </w:t>
      </w:r>
    </w:p>
    <w:p w14:paraId="3C3FF3E8" w14:textId="30CC73BE" w:rsidR="00D440A4" w:rsidRPr="00070A6C" w:rsidRDefault="00B14DAA" w:rsidP="00952FE9">
      <w:pPr>
        <w:pStyle w:val="ListParagraph"/>
        <w:numPr>
          <w:ilvl w:val="0"/>
          <w:numId w:val="5"/>
        </w:numPr>
        <w:spacing w:after="360" w:line="360" w:lineRule="auto"/>
        <w:contextualSpacing w:val="0"/>
        <w:jc w:val="both"/>
        <w:rPr>
          <w:rFonts w:ascii="Arial" w:hAnsi="Arial" w:cs="Arial"/>
          <w:color w:val="000000" w:themeColor="text1"/>
          <w:lang w:val="en-GB"/>
        </w:rPr>
      </w:pPr>
      <w:r w:rsidRPr="00070A6C">
        <w:rPr>
          <w:rFonts w:ascii="Arial" w:hAnsi="Arial" w:cs="Arial"/>
          <w:color w:val="000000" w:themeColor="text1"/>
          <w:lang w:val="en-GB"/>
        </w:rPr>
        <w:lastRenderedPageBreak/>
        <w:t xml:space="preserve">From the lease it appears that the defendant’s business is clothing retail and as such the defendant was a </w:t>
      </w:r>
      <w:r w:rsidR="002C4189" w:rsidRPr="00070A6C">
        <w:rPr>
          <w:rFonts w:ascii="Arial" w:hAnsi="Arial" w:cs="Arial"/>
          <w:color w:val="000000" w:themeColor="text1"/>
          <w:lang w:val="en-GB"/>
        </w:rPr>
        <w:t>“</w:t>
      </w:r>
      <w:r w:rsidRPr="00070A6C">
        <w:rPr>
          <w:rFonts w:ascii="Arial" w:hAnsi="Arial" w:cs="Arial"/>
          <w:i/>
          <w:iCs/>
          <w:color w:val="000000" w:themeColor="text1"/>
          <w:lang w:val="en-GB"/>
        </w:rPr>
        <w:t>permitted service</w:t>
      </w:r>
      <w:r w:rsidR="002C4189" w:rsidRPr="00070A6C">
        <w:rPr>
          <w:rFonts w:ascii="Arial" w:hAnsi="Arial" w:cs="Arial"/>
          <w:color w:val="000000" w:themeColor="text1"/>
          <w:lang w:val="en-GB"/>
        </w:rPr>
        <w:t>”</w:t>
      </w:r>
      <w:r w:rsidRPr="00070A6C">
        <w:rPr>
          <w:rFonts w:ascii="Arial" w:hAnsi="Arial" w:cs="Arial"/>
          <w:color w:val="000000" w:themeColor="text1"/>
          <w:lang w:val="en-GB"/>
        </w:rPr>
        <w:t xml:space="preserve"> under the April 2020 Regulation</w:t>
      </w:r>
      <w:r w:rsidR="00952FE9" w:rsidRPr="00070A6C">
        <w:rPr>
          <w:rFonts w:ascii="Arial" w:hAnsi="Arial" w:cs="Arial"/>
          <w:color w:val="000000" w:themeColor="text1"/>
          <w:lang w:val="en-GB"/>
        </w:rPr>
        <w:t>s</w:t>
      </w:r>
      <w:r w:rsidRPr="00070A6C">
        <w:rPr>
          <w:rFonts w:ascii="Arial" w:hAnsi="Arial" w:cs="Arial"/>
          <w:color w:val="000000" w:themeColor="text1"/>
          <w:lang w:val="en-GB"/>
        </w:rPr>
        <w:t xml:space="preserve">. </w:t>
      </w:r>
      <w:r w:rsidR="00952FE9" w:rsidRPr="00070A6C">
        <w:rPr>
          <w:rFonts w:ascii="Arial" w:hAnsi="Arial" w:cs="Arial"/>
          <w:color w:val="000000" w:themeColor="text1"/>
          <w:lang w:val="en-GB"/>
        </w:rPr>
        <w:t xml:space="preserve"> </w:t>
      </w:r>
      <w:r w:rsidR="00D440A4" w:rsidRPr="00070A6C">
        <w:rPr>
          <w:rFonts w:ascii="Arial" w:hAnsi="Arial" w:cs="Arial"/>
          <w:color w:val="000000" w:themeColor="text1"/>
          <w:lang w:val="en-GB"/>
        </w:rPr>
        <w:t xml:space="preserve">It is </w:t>
      </w:r>
      <w:r w:rsidR="00A30172" w:rsidRPr="00070A6C">
        <w:rPr>
          <w:rFonts w:ascii="Arial" w:hAnsi="Arial" w:cs="Arial"/>
          <w:color w:val="000000" w:themeColor="text1"/>
          <w:lang w:val="en-GB"/>
        </w:rPr>
        <w:t xml:space="preserve">therefore </w:t>
      </w:r>
      <w:r w:rsidR="00D440A4" w:rsidRPr="00070A6C">
        <w:rPr>
          <w:rFonts w:ascii="Arial" w:hAnsi="Arial" w:cs="Arial"/>
          <w:color w:val="000000" w:themeColor="text1"/>
          <w:lang w:val="en-GB"/>
        </w:rPr>
        <w:t xml:space="preserve">necessary </w:t>
      </w:r>
      <w:r w:rsidR="00952FE9" w:rsidRPr="00070A6C">
        <w:rPr>
          <w:rFonts w:ascii="Arial" w:hAnsi="Arial" w:cs="Arial"/>
          <w:color w:val="000000" w:themeColor="text1"/>
          <w:lang w:val="en-GB"/>
        </w:rPr>
        <w:t xml:space="preserve">for purposes of the present matter </w:t>
      </w:r>
      <w:r w:rsidR="00D440A4" w:rsidRPr="00070A6C">
        <w:rPr>
          <w:rFonts w:ascii="Arial" w:hAnsi="Arial" w:cs="Arial"/>
          <w:color w:val="000000" w:themeColor="text1"/>
          <w:lang w:val="en-GB"/>
        </w:rPr>
        <w:t xml:space="preserve">to </w:t>
      </w:r>
      <w:r w:rsidR="00A30172" w:rsidRPr="00070A6C">
        <w:rPr>
          <w:rFonts w:ascii="Arial" w:hAnsi="Arial" w:cs="Arial"/>
          <w:color w:val="000000" w:themeColor="text1"/>
          <w:lang w:val="en-GB"/>
        </w:rPr>
        <w:t>distinguish</w:t>
      </w:r>
      <w:r w:rsidR="00D440A4" w:rsidRPr="00070A6C">
        <w:rPr>
          <w:rFonts w:ascii="Arial" w:hAnsi="Arial" w:cs="Arial"/>
          <w:color w:val="000000" w:themeColor="text1"/>
          <w:lang w:val="en-GB"/>
        </w:rPr>
        <w:t xml:space="preserve"> between the period during which the premises was closed and unoccupied</w:t>
      </w:r>
      <w:r w:rsidR="00D440A4" w:rsidRPr="00070A6C">
        <w:rPr>
          <w:rStyle w:val="FootnoteReference"/>
          <w:rFonts w:ascii="Arial" w:hAnsi="Arial" w:cs="Arial"/>
          <w:color w:val="000000" w:themeColor="text1"/>
          <w:lang w:val="en-GB"/>
        </w:rPr>
        <w:footnoteReference w:id="4"/>
      </w:r>
      <w:r w:rsidR="00D440A4" w:rsidRPr="00070A6C">
        <w:rPr>
          <w:rFonts w:ascii="Arial" w:hAnsi="Arial" w:cs="Arial"/>
          <w:color w:val="000000" w:themeColor="text1"/>
          <w:lang w:val="en-GB"/>
        </w:rPr>
        <w:t xml:space="preserve"> </w:t>
      </w:r>
      <w:r w:rsidRPr="00070A6C">
        <w:rPr>
          <w:rFonts w:ascii="Arial" w:hAnsi="Arial" w:cs="Arial"/>
          <w:color w:val="000000" w:themeColor="text1"/>
          <w:lang w:val="en-GB"/>
        </w:rPr>
        <w:t>(“</w:t>
      </w:r>
      <w:r w:rsidR="00A30172" w:rsidRPr="00070A6C">
        <w:rPr>
          <w:rFonts w:ascii="Arial" w:hAnsi="Arial" w:cs="Arial"/>
          <w:i/>
          <w:iCs/>
          <w:color w:val="000000" w:themeColor="text1"/>
          <w:lang w:val="en-GB"/>
        </w:rPr>
        <w:t xml:space="preserve">the </w:t>
      </w:r>
      <w:r w:rsidRPr="00070A6C">
        <w:rPr>
          <w:rFonts w:ascii="Arial" w:hAnsi="Arial" w:cs="Arial"/>
          <w:i/>
          <w:iCs/>
          <w:color w:val="000000" w:themeColor="text1"/>
          <w:lang w:val="en-GB"/>
        </w:rPr>
        <w:t>hard lockdown period</w:t>
      </w:r>
      <w:r w:rsidRPr="00070A6C">
        <w:rPr>
          <w:rFonts w:ascii="Arial" w:hAnsi="Arial" w:cs="Arial"/>
          <w:color w:val="000000" w:themeColor="text1"/>
          <w:lang w:val="en-GB"/>
        </w:rPr>
        <w:t xml:space="preserve">”) </w:t>
      </w:r>
      <w:r w:rsidR="00D440A4" w:rsidRPr="00070A6C">
        <w:rPr>
          <w:rFonts w:ascii="Arial" w:hAnsi="Arial" w:cs="Arial"/>
          <w:color w:val="000000" w:themeColor="text1"/>
          <w:lang w:val="en-GB"/>
        </w:rPr>
        <w:t>and the period during which occupation by the defendant was permitted, albeit subject to certain restrictions</w:t>
      </w:r>
      <w:r w:rsidR="00A30172" w:rsidRPr="00070A6C">
        <w:rPr>
          <w:rFonts w:ascii="Arial" w:hAnsi="Arial" w:cs="Arial"/>
          <w:color w:val="000000" w:themeColor="text1"/>
          <w:lang w:val="en-GB"/>
        </w:rPr>
        <w:t xml:space="preserve"> (“</w:t>
      </w:r>
      <w:r w:rsidR="00A30172" w:rsidRPr="00070A6C">
        <w:rPr>
          <w:rFonts w:ascii="Arial" w:hAnsi="Arial" w:cs="Arial"/>
          <w:i/>
          <w:iCs/>
          <w:color w:val="000000" w:themeColor="text1"/>
          <w:lang w:val="en-GB"/>
        </w:rPr>
        <w:t>the restricted lockdown period</w:t>
      </w:r>
      <w:r w:rsidR="00A30172" w:rsidRPr="00070A6C">
        <w:rPr>
          <w:rFonts w:ascii="Arial" w:hAnsi="Arial" w:cs="Arial"/>
          <w:color w:val="000000" w:themeColor="text1"/>
          <w:lang w:val="en-GB"/>
        </w:rPr>
        <w:t>”)</w:t>
      </w:r>
      <w:r w:rsidR="00D440A4" w:rsidRPr="00070A6C">
        <w:rPr>
          <w:rFonts w:ascii="Arial" w:hAnsi="Arial" w:cs="Arial"/>
          <w:color w:val="000000" w:themeColor="text1"/>
          <w:lang w:val="en-GB"/>
        </w:rPr>
        <w:t>.</w:t>
      </w:r>
    </w:p>
    <w:p w14:paraId="29256CC4" w14:textId="42AA95DC" w:rsidR="00D440A4" w:rsidRPr="00070A6C" w:rsidRDefault="002C4189" w:rsidP="00952FE9">
      <w:pPr>
        <w:pStyle w:val="ListParagraph"/>
        <w:numPr>
          <w:ilvl w:val="0"/>
          <w:numId w:val="5"/>
        </w:numPr>
        <w:spacing w:after="360" w:line="360" w:lineRule="auto"/>
        <w:contextualSpacing w:val="0"/>
        <w:jc w:val="both"/>
        <w:rPr>
          <w:rFonts w:ascii="Arial" w:hAnsi="Arial" w:cs="Arial"/>
          <w:color w:val="000000" w:themeColor="text1"/>
          <w:lang w:val="en-GB"/>
        </w:rPr>
      </w:pPr>
      <w:r w:rsidRPr="00070A6C">
        <w:rPr>
          <w:rFonts w:ascii="Arial" w:hAnsi="Arial" w:cs="Arial"/>
          <w:color w:val="000000" w:themeColor="text1"/>
          <w:lang w:val="en-GB"/>
        </w:rPr>
        <w:t xml:space="preserve">The restrictions imposed by the March 2020 Regulations were relaxed by the April 2020 Regulations. </w:t>
      </w:r>
      <w:r w:rsidR="00D440A4" w:rsidRPr="00070A6C">
        <w:rPr>
          <w:rFonts w:ascii="Arial" w:hAnsi="Arial" w:cs="Arial"/>
          <w:color w:val="000000" w:themeColor="text1"/>
          <w:lang w:val="en-GB"/>
        </w:rPr>
        <w:t xml:space="preserve">As restrictions were relaxed, the country was placed on various alert levels, which were regulated by </w:t>
      </w:r>
      <w:r w:rsidR="00195BAC" w:rsidRPr="00070A6C">
        <w:rPr>
          <w:rFonts w:ascii="Arial" w:hAnsi="Arial" w:cs="Arial"/>
          <w:color w:val="000000" w:themeColor="text1"/>
          <w:lang w:val="en-GB"/>
        </w:rPr>
        <w:t>several</w:t>
      </w:r>
      <w:r w:rsidR="00D440A4" w:rsidRPr="00070A6C">
        <w:rPr>
          <w:rFonts w:ascii="Arial" w:hAnsi="Arial" w:cs="Arial"/>
          <w:color w:val="000000" w:themeColor="text1"/>
          <w:lang w:val="en-GB"/>
        </w:rPr>
        <w:t xml:space="preserve"> amendments to the Regulations.  The alert levels and effective dates thereof </w:t>
      </w:r>
      <w:r w:rsidR="00084C37" w:rsidRPr="00070A6C">
        <w:rPr>
          <w:rFonts w:ascii="Arial" w:hAnsi="Arial" w:cs="Arial"/>
          <w:color w:val="000000" w:themeColor="text1"/>
          <w:lang w:val="en-GB"/>
        </w:rPr>
        <w:t xml:space="preserve">for the period </w:t>
      </w:r>
      <w:r w:rsidR="00952FE9" w:rsidRPr="00070A6C">
        <w:rPr>
          <w:rFonts w:ascii="Arial" w:hAnsi="Arial" w:cs="Arial"/>
          <w:color w:val="000000" w:themeColor="text1"/>
          <w:lang w:val="en-GB"/>
        </w:rPr>
        <w:t xml:space="preserve">relevant to the second defence </w:t>
      </w:r>
      <w:r w:rsidR="00D440A4" w:rsidRPr="00070A6C">
        <w:rPr>
          <w:rFonts w:ascii="Arial" w:hAnsi="Arial" w:cs="Arial"/>
          <w:color w:val="000000" w:themeColor="text1"/>
          <w:lang w:val="en-GB"/>
        </w:rPr>
        <w:t>wer</w:t>
      </w:r>
      <w:r w:rsidR="00952FE9" w:rsidRPr="00070A6C">
        <w:rPr>
          <w:rFonts w:ascii="Arial" w:hAnsi="Arial" w:cs="Arial"/>
          <w:color w:val="000000" w:themeColor="text1"/>
          <w:lang w:val="en-GB"/>
        </w:rPr>
        <w:t>e t</w:t>
      </w:r>
      <w:r w:rsidR="00D440A4" w:rsidRPr="00070A6C">
        <w:rPr>
          <w:rFonts w:ascii="Arial" w:hAnsi="Arial" w:cs="Arial"/>
          <w:color w:val="000000" w:themeColor="text1"/>
          <w:lang w:val="en-GB"/>
        </w:rPr>
        <w:t xml:space="preserve">he </w:t>
      </w:r>
      <w:r w:rsidR="00084C37" w:rsidRPr="00070A6C">
        <w:rPr>
          <w:rFonts w:ascii="Arial" w:hAnsi="Arial" w:cs="Arial"/>
          <w:color w:val="000000" w:themeColor="text1"/>
          <w:lang w:val="en-GB"/>
        </w:rPr>
        <w:t>hard</w:t>
      </w:r>
      <w:r w:rsidR="00D440A4" w:rsidRPr="00070A6C">
        <w:rPr>
          <w:rFonts w:ascii="Arial" w:hAnsi="Arial" w:cs="Arial"/>
          <w:color w:val="000000" w:themeColor="text1"/>
          <w:lang w:val="en-GB"/>
        </w:rPr>
        <w:t xml:space="preserve"> lockdown </w:t>
      </w:r>
      <w:r w:rsidR="00084C37" w:rsidRPr="00070A6C">
        <w:rPr>
          <w:rFonts w:ascii="Arial" w:hAnsi="Arial" w:cs="Arial"/>
          <w:color w:val="000000" w:themeColor="text1"/>
          <w:lang w:val="en-GB"/>
        </w:rPr>
        <w:t xml:space="preserve">period </w:t>
      </w:r>
      <w:r w:rsidR="00952FE9" w:rsidRPr="00070A6C">
        <w:rPr>
          <w:rFonts w:ascii="Arial" w:hAnsi="Arial" w:cs="Arial"/>
          <w:color w:val="000000" w:themeColor="text1"/>
          <w:lang w:val="en-GB"/>
        </w:rPr>
        <w:t xml:space="preserve">(alert level 5) </w:t>
      </w:r>
      <w:r w:rsidR="00D440A4" w:rsidRPr="00070A6C">
        <w:rPr>
          <w:rFonts w:ascii="Arial" w:hAnsi="Arial" w:cs="Arial"/>
          <w:color w:val="000000" w:themeColor="text1"/>
          <w:lang w:val="en-GB"/>
        </w:rPr>
        <w:t xml:space="preserve">from </w:t>
      </w:r>
      <w:r w:rsidR="00084C37" w:rsidRPr="00070A6C">
        <w:rPr>
          <w:rFonts w:ascii="Arial" w:hAnsi="Arial" w:cs="Arial"/>
          <w:color w:val="000000" w:themeColor="text1"/>
          <w:lang w:val="en-GB"/>
        </w:rPr>
        <w:t>27</w:t>
      </w:r>
      <w:r w:rsidR="00D440A4" w:rsidRPr="00070A6C">
        <w:rPr>
          <w:rFonts w:ascii="Arial" w:hAnsi="Arial" w:cs="Arial"/>
          <w:color w:val="000000" w:themeColor="text1"/>
          <w:lang w:val="en-GB"/>
        </w:rPr>
        <w:t xml:space="preserve"> March to 30 April 2020</w:t>
      </w:r>
      <w:r w:rsidR="00952FE9" w:rsidRPr="00070A6C">
        <w:rPr>
          <w:rFonts w:ascii="Arial" w:hAnsi="Arial" w:cs="Arial"/>
          <w:color w:val="000000" w:themeColor="text1"/>
          <w:lang w:val="en-GB"/>
        </w:rPr>
        <w:t>, a</w:t>
      </w:r>
      <w:r w:rsidR="00D440A4" w:rsidRPr="00070A6C">
        <w:rPr>
          <w:rFonts w:ascii="Arial" w:hAnsi="Arial" w:cs="Arial"/>
          <w:color w:val="000000" w:themeColor="text1"/>
          <w:lang w:val="en-GB"/>
        </w:rPr>
        <w:t>lert level 4 from 1 to 31 May 2020</w:t>
      </w:r>
      <w:r w:rsidR="00952FE9" w:rsidRPr="00070A6C">
        <w:rPr>
          <w:rFonts w:ascii="Arial" w:hAnsi="Arial" w:cs="Arial"/>
          <w:color w:val="000000" w:themeColor="text1"/>
          <w:lang w:val="en-GB"/>
        </w:rPr>
        <w:t>, a</w:t>
      </w:r>
      <w:r w:rsidR="00D440A4" w:rsidRPr="00070A6C">
        <w:rPr>
          <w:rFonts w:ascii="Arial" w:hAnsi="Arial" w:cs="Arial"/>
          <w:color w:val="000000" w:themeColor="text1"/>
          <w:lang w:val="en-GB"/>
        </w:rPr>
        <w:t>lert level 3 from 1 June to 17 August 2020</w:t>
      </w:r>
      <w:r w:rsidR="00952FE9" w:rsidRPr="00070A6C">
        <w:rPr>
          <w:rFonts w:ascii="Arial" w:hAnsi="Arial" w:cs="Arial"/>
          <w:color w:val="000000" w:themeColor="text1"/>
          <w:lang w:val="en-GB"/>
        </w:rPr>
        <w:t xml:space="preserve"> and a</w:t>
      </w:r>
      <w:r w:rsidR="00D440A4" w:rsidRPr="00070A6C">
        <w:rPr>
          <w:rFonts w:ascii="Arial" w:hAnsi="Arial" w:cs="Arial"/>
          <w:color w:val="000000" w:themeColor="text1"/>
          <w:lang w:val="en-GB"/>
        </w:rPr>
        <w:t>lert level 2 from 18 August 2020</w:t>
      </w:r>
      <w:r w:rsidR="00084C37" w:rsidRPr="00070A6C">
        <w:rPr>
          <w:rFonts w:ascii="Arial" w:hAnsi="Arial" w:cs="Arial"/>
          <w:color w:val="000000" w:themeColor="text1"/>
          <w:lang w:val="en-GB"/>
        </w:rPr>
        <w:t>.</w:t>
      </w:r>
    </w:p>
    <w:p w14:paraId="7E13D0EF" w14:textId="7F8BC9ED" w:rsidR="007D0367" w:rsidRPr="00070A6C" w:rsidRDefault="007D0367"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The fact that the plaintiff was unable to afford the defendant beneficial occupation of the premises and the fact that the defendant was unable to occupy the premises and enjoy the benefits thereof during the hard lockdown period are </w:t>
      </w:r>
      <w:r w:rsidR="005768F7" w:rsidRPr="00070A6C">
        <w:rPr>
          <w:rFonts w:ascii="Arial" w:hAnsi="Arial" w:cs="Arial"/>
          <w:lang w:val="en-GB"/>
        </w:rPr>
        <w:t>certain</w:t>
      </w:r>
      <w:r w:rsidRPr="00070A6C">
        <w:rPr>
          <w:rFonts w:ascii="Arial" w:hAnsi="Arial" w:cs="Arial"/>
          <w:lang w:val="en-GB"/>
        </w:rPr>
        <w:t xml:space="preserve">.  As such, the plaintiff’s performance of its obligation to afford the defendant beneficial occupation was rendered impossible by the </w:t>
      </w:r>
      <w:r w:rsidR="002C4189" w:rsidRPr="00070A6C">
        <w:rPr>
          <w:rFonts w:ascii="Arial" w:hAnsi="Arial" w:cs="Arial"/>
          <w:lang w:val="en-GB"/>
        </w:rPr>
        <w:t xml:space="preserve">March 2020 </w:t>
      </w:r>
      <w:r w:rsidRPr="00070A6C">
        <w:rPr>
          <w:rFonts w:ascii="Arial" w:hAnsi="Arial" w:cs="Arial"/>
          <w:lang w:val="en-GB"/>
        </w:rPr>
        <w:t>Regulations.</w:t>
      </w:r>
    </w:p>
    <w:p w14:paraId="30CE7419" w14:textId="02E9C52C" w:rsidR="005E2757" w:rsidRPr="00070A6C" w:rsidRDefault="005E2757" w:rsidP="005E2757">
      <w:pPr>
        <w:spacing w:after="360" w:line="360" w:lineRule="auto"/>
        <w:jc w:val="both"/>
        <w:rPr>
          <w:rFonts w:ascii="Arial" w:hAnsi="Arial" w:cs="Arial"/>
          <w:i/>
          <w:iCs/>
          <w:lang w:val="en-GB"/>
        </w:rPr>
      </w:pPr>
      <w:r w:rsidRPr="00070A6C">
        <w:rPr>
          <w:rFonts w:ascii="Arial" w:hAnsi="Arial" w:cs="Arial"/>
          <w:i/>
          <w:iCs/>
          <w:lang w:val="en-GB"/>
        </w:rPr>
        <w:t xml:space="preserve">Supervening impossibility </w:t>
      </w:r>
    </w:p>
    <w:p w14:paraId="5620BBAD" w14:textId="7B0DA50B" w:rsidR="007D0367" w:rsidRPr="00070A6C" w:rsidRDefault="005E2757" w:rsidP="005E2757">
      <w:pPr>
        <w:pStyle w:val="ListParagraph"/>
        <w:numPr>
          <w:ilvl w:val="0"/>
          <w:numId w:val="5"/>
        </w:numPr>
        <w:shd w:val="clear" w:color="auto" w:fill="FFFFFF" w:themeFill="background1"/>
        <w:spacing w:after="360" w:line="360" w:lineRule="auto"/>
        <w:contextualSpacing w:val="0"/>
        <w:jc w:val="both"/>
        <w:rPr>
          <w:rFonts w:ascii="Arial" w:hAnsi="Arial" w:cs="Arial"/>
          <w:lang w:val="en-GB"/>
        </w:rPr>
      </w:pPr>
      <w:r w:rsidRPr="00070A6C">
        <w:rPr>
          <w:rFonts w:ascii="Arial" w:hAnsi="Arial" w:cs="Arial"/>
          <w:lang w:val="en-GB"/>
        </w:rPr>
        <w:t xml:space="preserve">Supervening impossibility (such as </w:t>
      </w:r>
      <w:r w:rsidRPr="00070A6C">
        <w:rPr>
          <w:rFonts w:ascii="Arial" w:hAnsi="Arial" w:cs="Arial"/>
          <w:i/>
          <w:iCs/>
          <w:lang w:val="en-GB"/>
        </w:rPr>
        <w:t>v</w:t>
      </w:r>
      <w:r w:rsidRPr="00070A6C">
        <w:rPr>
          <w:rFonts w:ascii="Arial" w:hAnsi="Arial" w:cs="Arial"/>
          <w:i/>
          <w:iCs/>
          <w:color w:val="000000"/>
          <w:shd w:val="clear" w:color="auto" w:fill="FFFFFF"/>
          <w:lang w:val="en-GB"/>
        </w:rPr>
        <w:t>is major</w:t>
      </w:r>
      <w:r w:rsidRPr="00070A6C">
        <w:rPr>
          <w:rFonts w:ascii="Arial" w:hAnsi="Arial" w:cs="Arial"/>
          <w:lang w:val="en-GB"/>
        </w:rPr>
        <w:t>) arises when</w:t>
      </w:r>
      <w:r w:rsidRPr="00070A6C">
        <w:rPr>
          <w:rFonts w:ascii="Arial" w:hAnsi="Arial" w:cs="Arial"/>
          <w:color w:val="000000"/>
          <w:shd w:val="clear" w:color="auto" w:fill="FFFFFF"/>
          <w:lang w:val="en-GB"/>
        </w:rPr>
        <w:t xml:space="preserve"> performance of an obligation becomes objectively impossible through no fault of either of the parties.  </w:t>
      </w:r>
      <w:r w:rsidR="00437853" w:rsidRPr="00070A6C">
        <w:rPr>
          <w:rFonts w:ascii="Arial" w:hAnsi="Arial" w:cs="Arial"/>
          <w:lang w:val="en-GB"/>
        </w:rPr>
        <w:t>Legal impossibility of performance arises where performance in terms of an existing obligation is prohibited by legislation,</w:t>
      </w:r>
      <w:r w:rsidR="00437853" w:rsidRPr="00070A6C">
        <w:rPr>
          <w:rStyle w:val="FootnoteReference"/>
          <w:rFonts w:ascii="Arial" w:hAnsi="Arial" w:cs="Arial"/>
          <w:lang w:val="en-GB"/>
        </w:rPr>
        <w:footnoteReference w:id="5"/>
      </w:r>
      <w:r w:rsidR="00437853" w:rsidRPr="00070A6C">
        <w:rPr>
          <w:rFonts w:ascii="Arial" w:hAnsi="Arial" w:cs="Arial"/>
          <w:lang w:val="en-GB"/>
        </w:rPr>
        <w:t xml:space="preserve"> provided that the impossibility arose after the obligation arose.  </w:t>
      </w:r>
      <w:r w:rsidR="00A30172" w:rsidRPr="00070A6C">
        <w:rPr>
          <w:rFonts w:ascii="Arial" w:hAnsi="Arial" w:cs="Arial"/>
          <w:lang w:val="en-GB"/>
        </w:rPr>
        <w:t>T</w:t>
      </w:r>
      <w:r w:rsidR="007D0367" w:rsidRPr="00070A6C">
        <w:rPr>
          <w:rFonts w:ascii="Arial" w:hAnsi="Arial" w:cs="Arial"/>
          <w:lang w:val="en-GB"/>
        </w:rPr>
        <w:t xml:space="preserve">he act </w:t>
      </w:r>
      <w:r w:rsidR="002C4189" w:rsidRPr="00070A6C">
        <w:rPr>
          <w:rFonts w:ascii="Arial" w:hAnsi="Arial" w:cs="Arial"/>
          <w:lang w:val="en-GB"/>
        </w:rPr>
        <w:t>of</w:t>
      </w:r>
      <w:r w:rsidR="007D0367" w:rsidRPr="00070A6C">
        <w:rPr>
          <w:rFonts w:ascii="Arial" w:hAnsi="Arial" w:cs="Arial"/>
          <w:lang w:val="en-GB"/>
        </w:rPr>
        <w:t xml:space="preserve"> Government in promulgating the </w:t>
      </w:r>
      <w:r w:rsidR="002C4189" w:rsidRPr="00070A6C">
        <w:rPr>
          <w:rFonts w:ascii="Arial" w:hAnsi="Arial" w:cs="Arial"/>
          <w:lang w:val="en-GB"/>
        </w:rPr>
        <w:t xml:space="preserve">March 2020 </w:t>
      </w:r>
      <w:r w:rsidR="007D0367" w:rsidRPr="00070A6C">
        <w:rPr>
          <w:rFonts w:ascii="Arial" w:hAnsi="Arial" w:cs="Arial"/>
          <w:lang w:val="en-GB"/>
        </w:rPr>
        <w:t xml:space="preserve">Regulations, in accordance with the powers afforded to it in terms of the Disaster Management Act, </w:t>
      </w:r>
      <w:r w:rsidR="007D0367" w:rsidRPr="00070A6C">
        <w:rPr>
          <w:rFonts w:ascii="Arial" w:hAnsi="Arial" w:cs="Arial"/>
          <w:lang w:val="en-GB"/>
        </w:rPr>
        <w:lastRenderedPageBreak/>
        <w:t>and the effect thereof on the obligations of the parties in terms of the lease</w:t>
      </w:r>
      <w:r w:rsidR="005768F7" w:rsidRPr="00070A6C">
        <w:rPr>
          <w:rFonts w:ascii="Arial" w:hAnsi="Arial" w:cs="Arial"/>
          <w:lang w:val="en-GB"/>
        </w:rPr>
        <w:t>,</w:t>
      </w:r>
      <w:r w:rsidR="007D0367" w:rsidRPr="00070A6C">
        <w:rPr>
          <w:rFonts w:ascii="Arial" w:hAnsi="Arial" w:cs="Arial"/>
          <w:lang w:val="en-GB"/>
        </w:rPr>
        <w:t xml:space="preserve"> </w:t>
      </w:r>
      <w:r w:rsidR="00437853" w:rsidRPr="00070A6C">
        <w:rPr>
          <w:rFonts w:ascii="Arial" w:hAnsi="Arial" w:cs="Arial"/>
          <w:lang w:val="en-GB"/>
        </w:rPr>
        <w:t xml:space="preserve">therefore </w:t>
      </w:r>
      <w:r w:rsidR="007D0367" w:rsidRPr="00070A6C">
        <w:rPr>
          <w:rFonts w:ascii="Arial" w:hAnsi="Arial" w:cs="Arial"/>
          <w:lang w:val="en-GB"/>
        </w:rPr>
        <w:t xml:space="preserve">constitutes supervening </w:t>
      </w:r>
      <w:r w:rsidR="00437853" w:rsidRPr="00070A6C">
        <w:rPr>
          <w:rFonts w:ascii="Arial" w:hAnsi="Arial" w:cs="Arial"/>
          <w:lang w:val="en-GB"/>
        </w:rPr>
        <w:t xml:space="preserve">legal </w:t>
      </w:r>
      <w:r w:rsidR="007D0367" w:rsidRPr="00070A6C">
        <w:rPr>
          <w:rFonts w:ascii="Arial" w:hAnsi="Arial" w:cs="Arial"/>
          <w:lang w:val="en-GB"/>
        </w:rPr>
        <w:t xml:space="preserve">impossibility.  </w:t>
      </w:r>
    </w:p>
    <w:p w14:paraId="089C7007" w14:textId="6B751513" w:rsidR="007D0367" w:rsidRPr="00070A6C" w:rsidRDefault="007D0367" w:rsidP="00AF5234">
      <w:pPr>
        <w:pStyle w:val="ListParagraph"/>
        <w:numPr>
          <w:ilvl w:val="0"/>
          <w:numId w:val="5"/>
        </w:numPr>
        <w:shd w:val="clear" w:color="auto" w:fill="FFFFFF" w:themeFill="background1"/>
        <w:spacing w:after="360" w:line="360" w:lineRule="auto"/>
        <w:contextualSpacing w:val="0"/>
        <w:jc w:val="both"/>
        <w:rPr>
          <w:rFonts w:ascii="Arial" w:hAnsi="Arial" w:cs="Arial"/>
          <w:lang w:val="en-GB"/>
        </w:rPr>
      </w:pPr>
      <w:r w:rsidRPr="00070A6C">
        <w:rPr>
          <w:rFonts w:ascii="Arial" w:hAnsi="Arial" w:cs="Arial"/>
          <w:color w:val="000000"/>
          <w:shd w:val="clear" w:color="auto" w:fill="FFFFFF"/>
          <w:lang w:val="en-GB"/>
        </w:rPr>
        <w:t>The general effect of supervening impossibility</w:t>
      </w:r>
      <w:r w:rsidRPr="00070A6C">
        <w:rPr>
          <w:rStyle w:val="apple-converted-space"/>
          <w:rFonts w:ascii="Arial" w:hAnsi="Arial" w:cs="Arial"/>
          <w:color w:val="000000"/>
          <w:shd w:val="clear" w:color="auto" w:fill="FFFFFF"/>
          <w:lang w:val="en-GB"/>
        </w:rPr>
        <w:t> </w:t>
      </w:r>
      <w:r w:rsidRPr="00070A6C">
        <w:rPr>
          <w:rFonts w:ascii="Arial" w:hAnsi="Arial" w:cs="Arial"/>
          <w:color w:val="000000"/>
          <w:shd w:val="clear" w:color="auto" w:fill="FFFFFF"/>
          <w:lang w:val="en-GB"/>
        </w:rPr>
        <w:t>is that reciprocal obligations are extinguished.</w:t>
      </w:r>
      <w:r w:rsidRPr="00070A6C">
        <w:rPr>
          <w:rFonts w:ascii="Arial" w:hAnsi="Arial" w:cs="Arial"/>
          <w:lang w:val="en-GB"/>
        </w:rPr>
        <w:t xml:space="preserve">  </w:t>
      </w:r>
      <w:r w:rsidRPr="00070A6C">
        <w:rPr>
          <w:rFonts w:ascii="Arial" w:hAnsi="Arial" w:cs="Arial"/>
          <w:color w:val="000000"/>
          <w:lang w:val="en-GB"/>
        </w:rPr>
        <w:t xml:space="preserve">No person can do the impossible and it is only logical that if the object of an obligation falls away, the obligation itself must fall away.  </w:t>
      </w:r>
      <w:r w:rsidR="008D25C1" w:rsidRPr="00070A6C">
        <w:rPr>
          <w:rFonts w:ascii="Arial" w:hAnsi="Arial" w:cs="Arial"/>
          <w:color w:val="000000"/>
          <w:lang w:val="en-GB"/>
        </w:rPr>
        <w:t>However, i</w:t>
      </w:r>
      <w:r w:rsidRPr="00070A6C">
        <w:rPr>
          <w:rFonts w:ascii="Arial" w:hAnsi="Arial" w:cs="Arial"/>
          <w:color w:val="000000"/>
          <w:lang w:val="en-GB"/>
        </w:rPr>
        <w:t xml:space="preserve">mpossibility of performance extinguishes an obligation only if the impossibility is absolute or objective.  </w:t>
      </w:r>
    </w:p>
    <w:p w14:paraId="6FDEDCAE" w14:textId="64F13E66" w:rsidR="00437853" w:rsidRPr="00070A6C" w:rsidRDefault="00437853" w:rsidP="005E2757">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I was not referred to any recent authorities on point by counsel, nor could I find any before the hearing of the matter.  It is therefore require</w:t>
      </w:r>
      <w:r w:rsidR="00B03D6C" w:rsidRPr="00070A6C">
        <w:rPr>
          <w:rFonts w:ascii="Arial" w:hAnsi="Arial" w:cs="Arial"/>
          <w:lang w:val="en-GB"/>
        </w:rPr>
        <w:t>d</w:t>
      </w:r>
      <w:r w:rsidRPr="00070A6C">
        <w:rPr>
          <w:rFonts w:ascii="Arial" w:hAnsi="Arial" w:cs="Arial"/>
          <w:lang w:val="en-GB"/>
        </w:rPr>
        <w:t xml:space="preserve"> to consider older authorities on the subject.</w:t>
      </w:r>
    </w:p>
    <w:p w14:paraId="05A99C71" w14:textId="77777777" w:rsidR="00640F26" w:rsidRPr="00070A6C" w:rsidRDefault="00437853" w:rsidP="00640F26">
      <w:pPr>
        <w:pStyle w:val="ListParagraph"/>
        <w:numPr>
          <w:ilvl w:val="0"/>
          <w:numId w:val="5"/>
        </w:numPr>
        <w:shd w:val="clear" w:color="auto" w:fill="FFFFFF" w:themeFill="background1"/>
        <w:spacing w:after="360" w:line="360" w:lineRule="auto"/>
        <w:contextualSpacing w:val="0"/>
        <w:jc w:val="both"/>
        <w:rPr>
          <w:rFonts w:ascii="Arial" w:hAnsi="Arial" w:cs="Arial"/>
          <w:lang w:val="en-GB"/>
        </w:rPr>
      </w:pPr>
      <w:r w:rsidRPr="00070A6C">
        <w:rPr>
          <w:rFonts w:ascii="Arial" w:hAnsi="Arial" w:cs="Arial"/>
          <w:lang w:val="en-GB"/>
        </w:rPr>
        <w:t xml:space="preserve">In </w:t>
      </w:r>
      <w:r w:rsidRPr="00070A6C">
        <w:rPr>
          <w:rFonts w:ascii="Arial" w:hAnsi="Arial" w:cs="Arial"/>
          <w:i/>
          <w:iCs/>
          <w:lang w:val="en-GB"/>
        </w:rPr>
        <w:t>Bayley v Harwood</w:t>
      </w:r>
      <w:r w:rsidRPr="00070A6C">
        <w:rPr>
          <w:rStyle w:val="FootnoteReference"/>
          <w:rFonts w:ascii="Arial" w:hAnsi="Arial" w:cs="Arial"/>
          <w:lang w:val="en-GB"/>
        </w:rPr>
        <w:footnoteReference w:id="6"/>
      </w:r>
      <w:r w:rsidRPr="00070A6C">
        <w:rPr>
          <w:rFonts w:ascii="Arial" w:hAnsi="Arial" w:cs="Arial"/>
          <w:lang w:val="en-GB"/>
        </w:rPr>
        <w:t xml:space="preserve"> the Appellate Division dealt with a lease agreement, the performance in terms of which was made impossible by supervening legislation.  The tenant (Bayley) had leased from a lessor (Harwood) a premises which the lessor had been using as a health and pleasure resort and which the tenant contemplated using for the same purpose. The lessor undertook to transfer all trading licences held by him in respect of the premises and the tenant undertook to retransfer them at the expiration of the lease. </w:t>
      </w:r>
      <w:r w:rsidR="005E2757" w:rsidRPr="00070A6C">
        <w:rPr>
          <w:rFonts w:ascii="Arial" w:hAnsi="Arial" w:cs="Arial"/>
          <w:lang w:val="en-GB"/>
        </w:rPr>
        <w:t xml:space="preserve"> </w:t>
      </w:r>
      <w:r w:rsidRPr="00070A6C">
        <w:rPr>
          <w:rFonts w:ascii="Arial" w:hAnsi="Arial" w:cs="Arial"/>
          <w:lang w:val="en-GB"/>
        </w:rPr>
        <w:t xml:space="preserve">In February 1951, the licensing board </w:t>
      </w:r>
      <w:r w:rsidR="00640F26" w:rsidRPr="00070A6C">
        <w:rPr>
          <w:rFonts w:ascii="Arial" w:hAnsi="Arial" w:cs="Arial"/>
          <w:lang w:val="en-GB"/>
        </w:rPr>
        <w:t>indicated that it would</w:t>
      </w:r>
      <w:r w:rsidRPr="00070A6C">
        <w:rPr>
          <w:rFonts w:ascii="Arial" w:hAnsi="Arial" w:cs="Arial"/>
          <w:lang w:val="en-GB"/>
        </w:rPr>
        <w:t xml:space="preserve"> refuse the tenant’s application for the licences unless certain substantial structural alterations and additions, as required by the Peri-Urban Areas Health Board in terms of its by-laws promulgated in February 1951, were made. </w:t>
      </w:r>
      <w:r w:rsidR="00640F26" w:rsidRPr="00070A6C">
        <w:rPr>
          <w:rFonts w:ascii="Arial" w:hAnsi="Arial" w:cs="Arial"/>
          <w:lang w:val="en-GB"/>
        </w:rPr>
        <w:t xml:space="preserve"> </w:t>
      </w:r>
      <w:r w:rsidRPr="00070A6C">
        <w:rPr>
          <w:rFonts w:ascii="Arial" w:hAnsi="Arial" w:cs="Arial"/>
          <w:lang w:val="en-GB"/>
        </w:rPr>
        <w:t xml:space="preserve">As the lessor had refused to carry these out, the lessee vacated the premises tendering rent up to the date of vacation.  The </w:t>
      </w:r>
      <w:r w:rsidR="00640F26" w:rsidRPr="00070A6C">
        <w:rPr>
          <w:rFonts w:ascii="Arial" w:hAnsi="Arial" w:cs="Arial"/>
          <w:lang w:val="en-GB"/>
        </w:rPr>
        <w:t>c</w:t>
      </w:r>
      <w:r w:rsidRPr="00070A6C">
        <w:rPr>
          <w:rFonts w:ascii="Arial" w:hAnsi="Arial" w:cs="Arial"/>
          <w:lang w:val="en-GB"/>
        </w:rPr>
        <w:t xml:space="preserve">ourt held that the promulgated legislation constituted a </w:t>
      </w:r>
      <w:r w:rsidRPr="00070A6C">
        <w:rPr>
          <w:rFonts w:ascii="Arial" w:hAnsi="Arial" w:cs="Arial"/>
          <w:i/>
          <w:lang w:val="en-GB"/>
        </w:rPr>
        <w:t>vis major</w:t>
      </w:r>
      <w:r w:rsidRPr="00070A6C">
        <w:rPr>
          <w:rFonts w:ascii="Arial" w:hAnsi="Arial" w:cs="Arial"/>
          <w:lang w:val="en-GB"/>
        </w:rPr>
        <w:t xml:space="preserve"> event and rendered the premises unfit for its intended purpose.  </w:t>
      </w:r>
    </w:p>
    <w:p w14:paraId="4F2BFE4A" w14:textId="199E390B" w:rsidR="00640F26" w:rsidRPr="00070A6C" w:rsidRDefault="00640F26" w:rsidP="00640F26">
      <w:pPr>
        <w:pStyle w:val="ListParagraph"/>
        <w:numPr>
          <w:ilvl w:val="0"/>
          <w:numId w:val="5"/>
        </w:numPr>
        <w:shd w:val="clear" w:color="auto" w:fill="FFFFFF" w:themeFill="background1"/>
        <w:spacing w:after="360" w:line="360" w:lineRule="auto"/>
        <w:contextualSpacing w:val="0"/>
        <w:jc w:val="both"/>
        <w:rPr>
          <w:rFonts w:ascii="Arial" w:hAnsi="Arial" w:cs="Arial"/>
          <w:lang w:val="en-GB"/>
        </w:rPr>
      </w:pPr>
      <w:r w:rsidRPr="00070A6C">
        <w:rPr>
          <w:rFonts w:ascii="Arial" w:hAnsi="Arial" w:cs="Arial"/>
          <w:lang w:val="en-GB"/>
        </w:rPr>
        <w:t xml:space="preserve">The Appellate Division </w:t>
      </w:r>
      <w:r w:rsidR="00AB6271" w:rsidRPr="00070A6C">
        <w:rPr>
          <w:rFonts w:ascii="Arial" w:hAnsi="Arial" w:cs="Arial"/>
          <w:lang w:val="en-GB"/>
        </w:rPr>
        <w:t xml:space="preserve">in </w:t>
      </w:r>
      <w:r w:rsidR="00AB6271" w:rsidRPr="00070A6C">
        <w:rPr>
          <w:rFonts w:ascii="Arial" w:hAnsi="Arial" w:cs="Arial"/>
          <w:i/>
          <w:iCs/>
          <w:lang w:val="en-GB"/>
        </w:rPr>
        <w:t>Bayley</w:t>
      </w:r>
      <w:r w:rsidR="00AB6271" w:rsidRPr="00070A6C">
        <w:rPr>
          <w:rFonts w:ascii="Arial" w:hAnsi="Arial" w:cs="Arial"/>
          <w:lang w:val="en-GB"/>
        </w:rPr>
        <w:t xml:space="preserve"> </w:t>
      </w:r>
      <w:r w:rsidRPr="00070A6C">
        <w:rPr>
          <w:rFonts w:ascii="Arial" w:hAnsi="Arial" w:cs="Arial"/>
          <w:lang w:val="en-GB"/>
        </w:rPr>
        <w:t xml:space="preserve">reasoned that </w:t>
      </w:r>
      <w:r w:rsidR="00437853" w:rsidRPr="00070A6C">
        <w:rPr>
          <w:rFonts w:ascii="Arial" w:hAnsi="Arial" w:cs="Arial"/>
          <w:lang w:val="en-GB"/>
        </w:rPr>
        <w:t xml:space="preserve">the right of a lessee to vacate the premises and be released from the liability to pay rent after his vacation also arises from a legislative prohibition against the use of the property for the purpose for which </w:t>
      </w:r>
      <w:r w:rsidR="00437853" w:rsidRPr="00070A6C">
        <w:rPr>
          <w:rFonts w:ascii="Arial" w:hAnsi="Arial" w:cs="Arial"/>
          <w:lang w:val="en-GB"/>
        </w:rPr>
        <w:lastRenderedPageBreak/>
        <w:t>it was leased</w:t>
      </w:r>
      <w:r w:rsidRPr="00070A6C">
        <w:rPr>
          <w:rFonts w:ascii="Arial" w:hAnsi="Arial" w:cs="Arial"/>
          <w:lang w:val="en-GB"/>
        </w:rPr>
        <w:t>.</w:t>
      </w:r>
      <w:r w:rsidR="00437853" w:rsidRPr="00070A6C">
        <w:rPr>
          <w:rStyle w:val="FootnoteReference"/>
          <w:rFonts w:ascii="Arial" w:hAnsi="Arial" w:cs="Arial"/>
          <w:lang w:val="en-GB"/>
        </w:rPr>
        <w:footnoteReference w:id="7"/>
      </w:r>
      <w:r w:rsidRPr="00070A6C">
        <w:rPr>
          <w:rFonts w:ascii="Arial" w:hAnsi="Arial" w:cs="Arial"/>
          <w:lang w:val="en-GB"/>
        </w:rPr>
        <w:t xml:space="preserve">  The court referred</w:t>
      </w:r>
      <w:r w:rsidRPr="00070A6C">
        <w:rPr>
          <w:rStyle w:val="FootnoteReference"/>
          <w:rFonts w:ascii="Arial" w:hAnsi="Arial" w:cs="Arial"/>
          <w:lang w:val="en-GB"/>
        </w:rPr>
        <w:footnoteReference w:id="8"/>
      </w:r>
      <w:r w:rsidRPr="00070A6C">
        <w:rPr>
          <w:rFonts w:ascii="Arial" w:hAnsi="Arial" w:cs="Arial"/>
          <w:lang w:val="en-GB"/>
        </w:rPr>
        <w:t xml:space="preserve"> to </w:t>
      </w:r>
      <w:r w:rsidRPr="00070A6C">
        <w:rPr>
          <w:rFonts w:ascii="Arial" w:hAnsi="Arial" w:cs="Arial"/>
          <w:i/>
          <w:iCs/>
          <w:lang w:val="en-GB"/>
        </w:rPr>
        <w:t>Zweigenhaft v Rolfes, Nebel &amp; Co</w:t>
      </w:r>
      <w:r w:rsidRPr="00070A6C">
        <w:rPr>
          <w:rStyle w:val="FootnoteReference"/>
          <w:rFonts w:ascii="Arial" w:hAnsi="Arial" w:cs="Arial"/>
          <w:lang w:val="en-GB"/>
        </w:rPr>
        <w:footnoteReference w:id="9"/>
      </w:r>
      <w:r w:rsidRPr="00070A6C">
        <w:rPr>
          <w:rFonts w:ascii="Arial" w:hAnsi="Arial" w:cs="Arial"/>
          <w:lang w:val="en-GB"/>
        </w:rPr>
        <w:t xml:space="preserve"> where it was held:</w:t>
      </w:r>
    </w:p>
    <w:p w14:paraId="309712F1" w14:textId="461282AD" w:rsidR="00437853" w:rsidRPr="00070A6C" w:rsidRDefault="00640F26" w:rsidP="00640F26">
      <w:pPr>
        <w:pStyle w:val="ListParagraph"/>
        <w:shd w:val="clear" w:color="auto" w:fill="FFFFFF" w:themeFill="background1"/>
        <w:spacing w:after="360" w:line="360" w:lineRule="auto"/>
        <w:ind w:left="1134"/>
        <w:contextualSpacing w:val="0"/>
        <w:jc w:val="both"/>
        <w:rPr>
          <w:rFonts w:ascii="Arial" w:hAnsi="Arial" w:cs="Arial"/>
          <w:lang w:val="en-GB"/>
        </w:rPr>
      </w:pPr>
      <w:r w:rsidRPr="00070A6C">
        <w:rPr>
          <w:rFonts w:ascii="Arial" w:hAnsi="Arial" w:cs="Arial"/>
          <w:sz w:val="20"/>
          <w:szCs w:val="20"/>
          <w:lang w:val="en-GB"/>
        </w:rPr>
        <w:t>“</w:t>
      </w:r>
      <w:r w:rsidR="00437853" w:rsidRPr="00070A6C">
        <w:rPr>
          <w:rFonts w:ascii="Arial" w:hAnsi="Arial" w:cs="Arial"/>
          <w:sz w:val="20"/>
          <w:szCs w:val="20"/>
          <w:lang w:val="en-GB"/>
        </w:rPr>
        <w:t>A remission</w:t>
      </w:r>
      <w:r w:rsidRPr="00070A6C">
        <w:rPr>
          <w:rFonts w:ascii="Arial" w:hAnsi="Arial" w:cs="Arial"/>
          <w:sz w:val="20"/>
          <w:szCs w:val="20"/>
          <w:lang w:val="en-GB"/>
        </w:rPr>
        <w:t xml:space="preserve"> </w:t>
      </w:r>
      <w:r w:rsidR="00437853" w:rsidRPr="00070A6C">
        <w:rPr>
          <w:rFonts w:ascii="Arial" w:hAnsi="Arial" w:cs="Arial"/>
          <w:sz w:val="20"/>
          <w:szCs w:val="20"/>
          <w:lang w:val="en-GB"/>
        </w:rPr>
        <w:t>is claimable where the enjoyment of the property for the purposes for which it was let is hindered or prevented by some vis major happening without the default, actual or constructive, of either party.'</w:t>
      </w:r>
    </w:p>
    <w:p w14:paraId="68DECAAF" w14:textId="2C745A62" w:rsidR="00640F26" w:rsidRPr="00070A6C" w:rsidRDefault="00AB6271" w:rsidP="00640F26">
      <w:pPr>
        <w:pStyle w:val="ListParagraph"/>
        <w:numPr>
          <w:ilvl w:val="0"/>
          <w:numId w:val="5"/>
        </w:numPr>
        <w:shd w:val="clear" w:color="auto" w:fill="FFFFFF" w:themeFill="background1"/>
        <w:spacing w:after="360" w:line="360" w:lineRule="auto"/>
        <w:contextualSpacing w:val="0"/>
        <w:jc w:val="both"/>
        <w:rPr>
          <w:rFonts w:ascii="Arial" w:hAnsi="Arial" w:cs="Arial"/>
          <w:lang w:val="en-GB"/>
        </w:rPr>
      </w:pPr>
      <w:r w:rsidRPr="00070A6C">
        <w:rPr>
          <w:rFonts w:ascii="Arial" w:hAnsi="Arial" w:cs="Arial"/>
          <w:lang w:val="en-GB"/>
        </w:rPr>
        <w:t>The Appellate Division continued to consider the foreseeability of the change in the law</w:t>
      </w:r>
      <w:r w:rsidRPr="00070A6C">
        <w:rPr>
          <w:rStyle w:val="FootnoteReference"/>
          <w:rFonts w:ascii="Arial" w:hAnsi="Arial" w:cs="Arial"/>
          <w:lang w:val="en-GB"/>
        </w:rPr>
        <w:footnoteReference w:id="10"/>
      </w:r>
      <w:r w:rsidRPr="00070A6C">
        <w:rPr>
          <w:rFonts w:ascii="Arial" w:hAnsi="Arial" w:cs="Arial"/>
          <w:lang w:val="en-GB"/>
        </w:rPr>
        <w:t xml:space="preserve"> and held:</w:t>
      </w:r>
    </w:p>
    <w:p w14:paraId="57F70C2F" w14:textId="0DF0EFC4" w:rsidR="00437853" w:rsidRPr="00070A6C" w:rsidRDefault="00AB6271" w:rsidP="00437853">
      <w:pPr>
        <w:autoSpaceDE w:val="0"/>
        <w:autoSpaceDN w:val="0"/>
        <w:adjustRightInd w:val="0"/>
        <w:spacing w:after="360" w:line="360" w:lineRule="auto"/>
        <w:ind w:left="1134"/>
        <w:jc w:val="both"/>
        <w:rPr>
          <w:rFonts w:ascii="Arial" w:hAnsi="Arial" w:cs="Arial"/>
          <w:sz w:val="20"/>
          <w:szCs w:val="20"/>
          <w:lang w:val="en-GB"/>
        </w:rPr>
      </w:pPr>
      <w:r w:rsidRPr="00070A6C">
        <w:rPr>
          <w:rFonts w:ascii="Arial" w:hAnsi="Arial" w:cs="Arial"/>
          <w:sz w:val="20"/>
          <w:szCs w:val="20"/>
          <w:lang w:val="en-GB"/>
        </w:rPr>
        <w:t>“</w:t>
      </w:r>
      <w:r w:rsidR="00437853" w:rsidRPr="00070A6C">
        <w:rPr>
          <w:rFonts w:ascii="Arial" w:hAnsi="Arial" w:cs="Arial"/>
          <w:sz w:val="20"/>
          <w:szCs w:val="20"/>
          <w:lang w:val="en-GB"/>
        </w:rPr>
        <w:t>Now if legislation were to prohibit absolutely the use of leased premises by the lessee for the purpose for which they were leased there could, in my view, be no doubt that the lessee would be entitled to remission, notwithstanding that the prohibition was of a kind that the legislature might, generally speaking, have been expected to introduce. To defeat the lessee there would, at least, have to be actual contemplation, at the time of the contract, of the possibility of such legislative prohibition.</w:t>
      </w:r>
      <w:r w:rsidRPr="00070A6C">
        <w:rPr>
          <w:rFonts w:ascii="Arial" w:hAnsi="Arial" w:cs="Arial"/>
          <w:sz w:val="20"/>
          <w:szCs w:val="20"/>
          <w:lang w:val="en-GB"/>
        </w:rPr>
        <w:t>”</w:t>
      </w:r>
      <w:r w:rsidRPr="00070A6C">
        <w:rPr>
          <w:rStyle w:val="FootnoteReference"/>
          <w:rFonts w:ascii="Arial" w:hAnsi="Arial" w:cs="Arial"/>
          <w:sz w:val="20"/>
          <w:szCs w:val="20"/>
          <w:lang w:val="en-GB"/>
        </w:rPr>
        <w:footnoteReference w:id="11"/>
      </w:r>
    </w:p>
    <w:p w14:paraId="3B9B47CF" w14:textId="6DB11DD3" w:rsidR="00437853" w:rsidRPr="00070A6C" w:rsidRDefault="00AB6271" w:rsidP="00437853">
      <w:pPr>
        <w:autoSpaceDE w:val="0"/>
        <w:autoSpaceDN w:val="0"/>
        <w:adjustRightInd w:val="0"/>
        <w:spacing w:after="360" w:line="360" w:lineRule="auto"/>
        <w:ind w:left="1134"/>
        <w:jc w:val="both"/>
        <w:rPr>
          <w:rFonts w:ascii="Arial" w:hAnsi="Arial" w:cs="Arial"/>
          <w:sz w:val="20"/>
          <w:szCs w:val="20"/>
          <w:lang w:val="en-GB"/>
        </w:rPr>
      </w:pPr>
      <w:r w:rsidRPr="00070A6C">
        <w:rPr>
          <w:rFonts w:ascii="Arial" w:hAnsi="Arial" w:cs="Arial"/>
          <w:sz w:val="20"/>
          <w:szCs w:val="20"/>
          <w:lang w:val="en-GB"/>
        </w:rPr>
        <w:t>“</w:t>
      </w:r>
      <w:r w:rsidR="00437853" w:rsidRPr="00070A6C">
        <w:rPr>
          <w:rFonts w:ascii="Arial" w:hAnsi="Arial" w:cs="Arial"/>
          <w:sz w:val="20"/>
          <w:szCs w:val="20"/>
          <w:lang w:val="en-GB"/>
        </w:rPr>
        <w:t>But, if what has to be done to ward off the prohibitory effect of the change in the law is something that the lessee could not reasonably be expected to do, there seems to me to be no principle upon which it can be held that he has no right of remission. The sovereign power, acting legislatively, has intervened so as to prohibit him from using the premises for the purpose for which they were leased, unless, indeed, he incurs expenditure which he has not contracted to incur and which there is no reason why he should incur.”</w:t>
      </w:r>
      <w:r w:rsidR="00437853" w:rsidRPr="00070A6C">
        <w:rPr>
          <w:rStyle w:val="FootnoteReference"/>
          <w:rFonts w:ascii="Arial" w:hAnsi="Arial" w:cs="Arial"/>
          <w:lang w:val="en-GB"/>
        </w:rPr>
        <w:footnoteReference w:id="12"/>
      </w:r>
    </w:p>
    <w:p w14:paraId="253FD9B0" w14:textId="590DB7D6" w:rsidR="00437853" w:rsidRPr="00070A6C" w:rsidRDefault="00437853" w:rsidP="00B03D6C">
      <w:pPr>
        <w:pStyle w:val="pri"/>
        <w:numPr>
          <w:ilvl w:val="0"/>
          <w:numId w:val="5"/>
        </w:numPr>
        <w:spacing w:before="0" w:beforeAutospacing="0" w:after="360" w:afterAutospacing="0" w:line="360" w:lineRule="auto"/>
        <w:jc w:val="both"/>
        <w:rPr>
          <w:rFonts w:ascii="Arial" w:hAnsi="Arial" w:cs="Arial"/>
          <w:color w:val="000000"/>
          <w:lang w:val="en-GB"/>
        </w:rPr>
      </w:pPr>
      <w:r w:rsidRPr="00070A6C">
        <w:rPr>
          <w:rFonts w:ascii="Arial" w:hAnsi="Arial" w:cs="Arial"/>
          <w:color w:val="000000"/>
          <w:lang w:val="en-GB"/>
        </w:rPr>
        <w:t xml:space="preserve">The common law position is that a party to a lease agreement is released and excused from its obligations if performance is prevented by </w:t>
      </w:r>
      <w:r w:rsidRPr="00070A6C">
        <w:rPr>
          <w:rFonts w:ascii="Arial" w:hAnsi="Arial" w:cs="Arial"/>
          <w:i/>
          <w:iCs/>
          <w:color w:val="000000"/>
          <w:lang w:val="en-GB"/>
        </w:rPr>
        <w:t>vis major</w:t>
      </w:r>
      <w:r w:rsidRPr="00070A6C">
        <w:rPr>
          <w:rStyle w:val="apple-converted-space"/>
          <w:rFonts w:ascii="Arial" w:hAnsi="Arial" w:cs="Arial"/>
          <w:i/>
          <w:iCs/>
          <w:color w:val="000000"/>
          <w:lang w:val="en-GB"/>
        </w:rPr>
        <w:t> </w:t>
      </w:r>
      <w:r w:rsidRPr="00070A6C">
        <w:rPr>
          <w:rFonts w:ascii="Arial" w:hAnsi="Arial" w:cs="Arial"/>
          <w:color w:val="000000"/>
          <w:lang w:val="en-GB"/>
        </w:rPr>
        <w:t>or</w:t>
      </w:r>
      <w:r w:rsidRPr="00070A6C">
        <w:rPr>
          <w:rStyle w:val="apple-converted-space"/>
          <w:rFonts w:ascii="Arial" w:hAnsi="Arial" w:cs="Arial"/>
          <w:color w:val="000000"/>
          <w:lang w:val="en-GB"/>
        </w:rPr>
        <w:t> </w:t>
      </w:r>
      <w:r w:rsidRPr="00070A6C">
        <w:rPr>
          <w:rFonts w:ascii="Arial" w:hAnsi="Arial" w:cs="Arial"/>
          <w:i/>
          <w:iCs/>
          <w:color w:val="000000"/>
          <w:lang w:val="en-GB"/>
        </w:rPr>
        <w:t>casus fortuitus</w:t>
      </w:r>
      <w:r w:rsidRPr="00070A6C">
        <w:rPr>
          <w:rFonts w:ascii="Arial" w:hAnsi="Arial" w:cs="Arial"/>
          <w:color w:val="000000"/>
          <w:lang w:val="en-GB"/>
        </w:rPr>
        <w:t>,</w:t>
      </w:r>
      <w:r w:rsidRPr="00070A6C">
        <w:rPr>
          <w:rStyle w:val="FootnoteReference"/>
          <w:rFonts w:ascii="Arial" w:hAnsi="Arial" w:cs="Arial"/>
          <w:color w:val="000000"/>
          <w:lang w:val="en-GB"/>
        </w:rPr>
        <w:footnoteReference w:id="13"/>
      </w:r>
      <w:r w:rsidRPr="00070A6C">
        <w:rPr>
          <w:rFonts w:ascii="Arial" w:hAnsi="Arial" w:cs="Arial"/>
          <w:color w:val="000000"/>
          <w:lang w:val="en-GB"/>
        </w:rPr>
        <w:t xml:space="preserve"> even if such non-performance would otherwise amount to a breach.  It is only when the non-performing party is to blame for the impossibility,</w:t>
      </w:r>
      <w:r w:rsidRPr="00070A6C">
        <w:rPr>
          <w:rStyle w:val="FootnoteReference"/>
          <w:rFonts w:ascii="Arial" w:hAnsi="Arial" w:cs="Arial"/>
          <w:color w:val="000000"/>
          <w:lang w:val="en-GB"/>
        </w:rPr>
        <w:footnoteReference w:id="14"/>
      </w:r>
      <w:r w:rsidRPr="00070A6C">
        <w:rPr>
          <w:rFonts w:ascii="Arial" w:hAnsi="Arial" w:cs="Arial"/>
          <w:color w:val="000000"/>
          <w:lang w:val="en-GB"/>
        </w:rPr>
        <w:t xml:space="preserve"> bears the risk of impossibility,</w:t>
      </w:r>
      <w:r w:rsidRPr="00070A6C">
        <w:rPr>
          <w:rStyle w:val="FootnoteReference"/>
          <w:rFonts w:ascii="Arial" w:hAnsi="Arial" w:cs="Arial"/>
          <w:color w:val="000000"/>
          <w:lang w:val="en-GB"/>
        </w:rPr>
        <w:footnoteReference w:id="15"/>
      </w:r>
      <w:r w:rsidRPr="00070A6C">
        <w:rPr>
          <w:rStyle w:val="apple-converted-space"/>
          <w:rFonts w:ascii="Arial" w:hAnsi="Arial" w:cs="Arial"/>
          <w:color w:val="000000"/>
          <w:lang w:val="en-GB"/>
        </w:rPr>
        <w:t> </w:t>
      </w:r>
      <w:r w:rsidRPr="00070A6C">
        <w:rPr>
          <w:rFonts w:ascii="Arial" w:hAnsi="Arial" w:cs="Arial"/>
          <w:color w:val="000000"/>
          <w:lang w:val="en-GB"/>
        </w:rPr>
        <w:t xml:space="preserve">foresaw or ought reasonably to have foreseen when entering into </w:t>
      </w:r>
      <w:r w:rsidRPr="00070A6C">
        <w:rPr>
          <w:rFonts w:ascii="Arial" w:hAnsi="Arial" w:cs="Arial"/>
          <w:color w:val="000000"/>
          <w:lang w:val="en-GB"/>
        </w:rPr>
        <w:lastRenderedPageBreak/>
        <w:t>the contract the cause of the impossibility</w:t>
      </w:r>
      <w:r w:rsidRPr="00070A6C">
        <w:rPr>
          <w:rStyle w:val="FootnoteReference"/>
          <w:rFonts w:ascii="Arial" w:hAnsi="Arial" w:cs="Arial"/>
          <w:color w:val="000000"/>
          <w:lang w:val="en-GB"/>
        </w:rPr>
        <w:footnoteReference w:id="16"/>
      </w:r>
      <w:r w:rsidRPr="00070A6C">
        <w:rPr>
          <w:rStyle w:val="apple-converted-space"/>
          <w:rFonts w:ascii="Arial" w:hAnsi="Arial" w:cs="Arial"/>
          <w:color w:val="000000"/>
          <w:lang w:val="en-GB"/>
        </w:rPr>
        <w:t> </w:t>
      </w:r>
      <w:r w:rsidRPr="00070A6C">
        <w:rPr>
          <w:rFonts w:ascii="Arial" w:hAnsi="Arial" w:cs="Arial"/>
          <w:color w:val="000000"/>
          <w:lang w:val="en-GB"/>
        </w:rPr>
        <w:t>or where the debtor was in</w:t>
      </w:r>
      <w:r w:rsidRPr="00070A6C">
        <w:rPr>
          <w:rStyle w:val="apple-converted-space"/>
          <w:rFonts w:ascii="Arial" w:hAnsi="Arial" w:cs="Arial"/>
          <w:color w:val="000000"/>
          <w:lang w:val="en-GB"/>
        </w:rPr>
        <w:t> </w:t>
      </w:r>
      <w:r w:rsidRPr="00070A6C">
        <w:rPr>
          <w:rFonts w:ascii="Arial" w:hAnsi="Arial" w:cs="Arial"/>
          <w:i/>
          <w:iCs/>
          <w:color w:val="000000"/>
          <w:lang w:val="en-GB"/>
        </w:rPr>
        <w:t>mora</w:t>
      </w:r>
      <w:r w:rsidRPr="00070A6C">
        <w:rPr>
          <w:rStyle w:val="apple-converted-space"/>
          <w:rFonts w:ascii="Arial" w:hAnsi="Arial" w:cs="Arial"/>
          <w:i/>
          <w:iCs/>
          <w:color w:val="000000"/>
          <w:lang w:val="en-GB"/>
        </w:rPr>
        <w:t> </w:t>
      </w:r>
      <w:r w:rsidRPr="00070A6C">
        <w:rPr>
          <w:rFonts w:ascii="Arial" w:hAnsi="Arial" w:cs="Arial"/>
          <w:color w:val="000000"/>
          <w:lang w:val="en-GB"/>
        </w:rPr>
        <w:t>when the supervening impossibility arose,</w:t>
      </w:r>
      <w:r w:rsidR="00AB6271" w:rsidRPr="00070A6C">
        <w:rPr>
          <w:rFonts w:ascii="Arial" w:hAnsi="Arial" w:cs="Arial"/>
          <w:color w:val="000000"/>
          <w:lang w:val="en-GB"/>
        </w:rPr>
        <w:t xml:space="preserve"> that</w:t>
      </w:r>
      <w:r w:rsidRPr="00070A6C">
        <w:rPr>
          <w:rFonts w:ascii="Arial" w:hAnsi="Arial" w:cs="Arial"/>
          <w:color w:val="000000"/>
          <w:lang w:val="en-GB"/>
        </w:rPr>
        <w:t xml:space="preserve"> the debtor may be liable for damages resulting from its failure to perform.</w:t>
      </w:r>
      <w:r w:rsidRPr="00070A6C">
        <w:rPr>
          <w:rStyle w:val="FootnoteReference"/>
          <w:rFonts w:ascii="Arial" w:hAnsi="Arial" w:cs="Arial"/>
          <w:color w:val="000000"/>
          <w:lang w:val="en-GB"/>
        </w:rPr>
        <w:footnoteReference w:id="17"/>
      </w:r>
      <w:r w:rsidRPr="00070A6C">
        <w:rPr>
          <w:rFonts w:ascii="Arial" w:hAnsi="Arial" w:cs="Arial"/>
          <w:lang w:val="en-GB"/>
        </w:rPr>
        <w:t xml:space="preserve">  </w:t>
      </w:r>
    </w:p>
    <w:p w14:paraId="7D9D456A" w14:textId="6A2E7061" w:rsidR="00437853" w:rsidRPr="00070A6C" w:rsidRDefault="00437853" w:rsidP="00163D12">
      <w:pPr>
        <w:pStyle w:val="pri"/>
        <w:numPr>
          <w:ilvl w:val="0"/>
          <w:numId w:val="5"/>
        </w:numPr>
        <w:spacing w:before="0" w:beforeAutospacing="0" w:after="360" w:afterAutospacing="0" w:line="360" w:lineRule="auto"/>
        <w:jc w:val="both"/>
        <w:rPr>
          <w:rFonts w:ascii="Arial" w:hAnsi="Arial" w:cs="Arial"/>
          <w:color w:val="000000"/>
          <w:lang w:val="en-GB"/>
        </w:rPr>
      </w:pPr>
      <w:r w:rsidRPr="00070A6C">
        <w:rPr>
          <w:rFonts w:ascii="Arial" w:hAnsi="Arial" w:cs="Arial"/>
          <w:color w:val="000000"/>
          <w:lang w:val="en-GB"/>
        </w:rPr>
        <w:t>When an obligation is extinguished by supervening impossibility of performance, any reciprocal obligation is also extinguished.</w:t>
      </w:r>
      <w:r w:rsidRPr="00070A6C">
        <w:rPr>
          <w:rStyle w:val="FootnoteReference"/>
          <w:rFonts w:ascii="Arial" w:hAnsi="Arial" w:cs="Arial"/>
          <w:color w:val="000000"/>
          <w:lang w:val="en-GB"/>
        </w:rPr>
        <w:footnoteReference w:id="18"/>
      </w:r>
      <w:r w:rsidRPr="00070A6C">
        <w:rPr>
          <w:rFonts w:ascii="Arial" w:hAnsi="Arial" w:cs="Arial"/>
          <w:lang w:val="en-GB"/>
        </w:rPr>
        <w:t xml:space="preserve">  </w:t>
      </w:r>
      <w:r w:rsidR="00B03D6C" w:rsidRPr="00070A6C">
        <w:rPr>
          <w:rFonts w:ascii="Arial" w:hAnsi="Arial" w:cs="Arial"/>
          <w:color w:val="000000"/>
          <w:lang w:val="en-GB"/>
        </w:rPr>
        <w:t>But, w</w:t>
      </w:r>
      <w:r w:rsidRPr="00070A6C">
        <w:rPr>
          <w:rFonts w:ascii="Arial" w:hAnsi="Arial" w:cs="Arial"/>
          <w:color w:val="000000"/>
          <w:lang w:val="en-GB"/>
        </w:rPr>
        <w:t>here there exists partial impossibility of performance, the obligation is not extinguished.  If, in those circumstances, the creditor cannot reasonably be expected to accept partial performance, the creditor is entitled to terminate the obligation.</w:t>
      </w:r>
      <w:r w:rsidRPr="00070A6C">
        <w:rPr>
          <w:rStyle w:val="FootnoteReference"/>
          <w:rFonts w:ascii="Arial" w:hAnsi="Arial" w:cs="Arial"/>
          <w:color w:val="000000"/>
          <w:lang w:val="en-GB"/>
        </w:rPr>
        <w:footnoteReference w:id="19"/>
      </w:r>
      <w:r w:rsidRPr="00070A6C">
        <w:rPr>
          <w:rStyle w:val="apple-converted-space"/>
          <w:rFonts w:ascii="Arial" w:hAnsi="Arial" w:cs="Arial"/>
          <w:color w:val="000000"/>
          <w:lang w:val="en-GB"/>
        </w:rPr>
        <w:t>  When partial performance is, however, accepted, </w:t>
      </w:r>
      <w:r w:rsidRPr="00070A6C">
        <w:rPr>
          <w:rFonts w:ascii="Arial" w:hAnsi="Arial" w:cs="Arial"/>
          <w:color w:val="000000"/>
          <w:lang w:val="en-GB"/>
        </w:rPr>
        <w:t>any counter-performance is reduced proportionately.</w:t>
      </w:r>
      <w:r w:rsidRPr="00070A6C">
        <w:rPr>
          <w:rStyle w:val="FootnoteReference"/>
          <w:rFonts w:ascii="Arial" w:hAnsi="Arial" w:cs="Arial"/>
          <w:color w:val="000000"/>
          <w:lang w:val="en-GB"/>
        </w:rPr>
        <w:footnoteReference w:id="20"/>
      </w:r>
      <w:r w:rsidRPr="00070A6C">
        <w:rPr>
          <w:rFonts w:ascii="Arial" w:hAnsi="Arial" w:cs="Arial"/>
          <w:color w:val="000000"/>
          <w:lang w:val="en-GB"/>
        </w:rPr>
        <w:t xml:space="preserve"> Similarly, in circumstances where performance becomes temporarily impossible,</w:t>
      </w:r>
      <w:r w:rsidRPr="00070A6C">
        <w:rPr>
          <w:rStyle w:val="apple-converted-space"/>
          <w:rFonts w:ascii="Arial" w:hAnsi="Arial" w:cs="Arial"/>
          <w:color w:val="000000"/>
          <w:lang w:val="en-GB"/>
        </w:rPr>
        <w:t> </w:t>
      </w:r>
      <w:r w:rsidRPr="00070A6C">
        <w:rPr>
          <w:rFonts w:ascii="Arial" w:hAnsi="Arial" w:cs="Arial"/>
          <w:color w:val="000000"/>
          <w:lang w:val="en-GB"/>
        </w:rPr>
        <w:t xml:space="preserve">the obligation is not extinguished. Performance (and any reciprocal obligation) is suspended for the duration of the impossibility. If, however, performance becomes totally or partially impossible </w:t>
      </w:r>
      <w:r w:rsidR="000E2DD4" w:rsidRPr="00070A6C">
        <w:rPr>
          <w:rFonts w:ascii="Arial" w:hAnsi="Arial" w:cs="Arial"/>
          <w:color w:val="000000"/>
          <w:lang w:val="en-GB"/>
        </w:rPr>
        <w:t>because of</w:t>
      </w:r>
      <w:r w:rsidRPr="00070A6C">
        <w:rPr>
          <w:rFonts w:ascii="Arial" w:hAnsi="Arial" w:cs="Arial"/>
          <w:color w:val="000000"/>
          <w:lang w:val="en-GB"/>
        </w:rPr>
        <w:t xml:space="preserve"> the temporary impossibility, the rules relating to total or partial impossibility apply.</w:t>
      </w:r>
      <w:r w:rsidRPr="00070A6C">
        <w:rPr>
          <w:rFonts w:ascii="Arial" w:hAnsi="Arial" w:cs="Arial"/>
          <w:lang w:val="en-GB"/>
        </w:rPr>
        <w:t xml:space="preserve"> </w:t>
      </w:r>
      <w:r w:rsidRPr="00070A6C">
        <w:rPr>
          <w:rStyle w:val="apple-converted-space"/>
          <w:rFonts w:ascii="Arial" w:hAnsi="Arial" w:cs="Arial"/>
          <w:color w:val="000000"/>
          <w:lang w:val="en-GB"/>
        </w:rPr>
        <w:t> </w:t>
      </w:r>
      <w:r w:rsidRPr="00070A6C">
        <w:rPr>
          <w:rFonts w:ascii="Arial" w:hAnsi="Arial" w:cs="Arial"/>
          <w:color w:val="000000"/>
          <w:lang w:val="en-GB"/>
        </w:rPr>
        <w:t xml:space="preserve"> </w:t>
      </w:r>
    </w:p>
    <w:p w14:paraId="74A44A0A" w14:textId="2794A950" w:rsidR="00437853" w:rsidRPr="00070A6C" w:rsidRDefault="00437853" w:rsidP="00163D12">
      <w:pPr>
        <w:pStyle w:val="ListParagraph"/>
        <w:numPr>
          <w:ilvl w:val="0"/>
          <w:numId w:val="5"/>
        </w:numPr>
        <w:shd w:val="clear" w:color="auto" w:fill="FFFFFF" w:themeFill="background1"/>
        <w:spacing w:after="360" w:line="360" w:lineRule="auto"/>
        <w:contextualSpacing w:val="0"/>
        <w:jc w:val="both"/>
        <w:rPr>
          <w:rFonts w:ascii="Arial" w:hAnsi="Arial" w:cs="Arial"/>
          <w:lang w:val="en-GB"/>
        </w:rPr>
      </w:pPr>
      <w:r w:rsidRPr="00070A6C">
        <w:rPr>
          <w:rFonts w:ascii="Arial" w:hAnsi="Arial" w:cs="Arial"/>
          <w:lang w:val="en-GB"/>
        </w:rPr>
        <w:t xml:space="preserve">A lessor has the obligation to afford a lessee the use and enjoyment of the leased premises.  The lessee’s use and enjoyment can be disturbed by either a breach by the lessor or as a result of a supervening impossibility.  </w:t>
      </w:r>
      <w:r w:rsidR="00163D12" w:rsidRPr="00070A6C">
        <w:rPr>
          <w:rFonts w:ascii="Arial" w:hAnsi="Arial" w:cs="Arial"/>
          <w:lang w:val="en-GB"/>
        </w:rPr>
        <w:t>In the present matter</w:t>
      </w:r>
      <w:r w:rsidRPr="00070A6C">
        <w:rPr>
          <w:rFonts w:ascii="Arial" w:hAnsi="Arial" w:cs="Arial"/>
          <w:lang w:val="en-GB"/>
        </w:rPr>
        <w:t xml:space="preserve"> performance </w:t>
      </w:r>
      <w:r w:rsidR="00163D12" w:rsidRPr="00070A6C">
        <w:rPr>
          <w:rFonts w:ascii="Arial" w:hAnsi="Arial" w:cs="Arial"/>
          <w:lang w:val="en-GB"/>
        </w:rPr>
        <w:t>in terms of the lease was</w:t>
      </w:r>
      <w:r w:rsidRPr="00070A6C">
        <w:rPr>
          <w:rFonts w:ascii="Arial" w:hAnsi="Arial" w:cs="Arial"/>
          <w:lang w:val="en-GB"/>
        </w:rPr>
        <w:t xml:space="preserve"> </w:t>
      </w:r>
      <w:r w:rsidR="00163D12" w:rsidRPr="00070A6C">
        <w:rPr>
          <w:rFonts w:ascii="Arial" w:hAnsi="Arial" w:cs="Arial"/>
          <w:lang w:val="en-GB"/>
        </w:rPr>
        <w:t>prohibited</w:t>
      </w:r>
      <w:r w:rsidRPr="00070A6C">
        <w:rPr>
          <w:rFonts w:ascii="Arial" w:hAnsi="Arial" w:cs="Arial"/>
          <w:lang w:val="en-GB"/>
        </w:rPr>
        <w:t xml:space="preserve"> by the promulgation of the Regulations</w:t>
      </w:r>
      <w:r w:rsidR="00163D12" w:rsidRPr="00070A6C">
        <w:rPr>
          <w:rFonts w:ascii="Arial" w:hAnsi="Arial" w:cs="Arial"/>
          <w:lang w:val="en-GB"/>
        </w:rPr>
        <w:t xml:space="preserve"> and, as such,</w:t>
      </w:r>
      <w:r w:rsidRPr="00070A6C">
        <w:rPr>
          <w:rFonts w:ascii="Arial" w:hAnsi="Arial" w:cs="Arial"/>
          <w:lang w:val="en-GB"/>
        </w:rPr>
        <w:t xml:space="preserve"> the inability to perform </w:t>
      </w:r>
      <w:r w:rsidR="00163D12" w:rsidRPr="00070A6C">
        <w:rPr>
          <w:rFonts w:ascii="Arial" w:hAnsi="Arial" w:cs="Arial"/>
          <w:lang w:val="en-GB"/>
        </w:rPr>
        <w:t>constitutes</w:t>
      </w:r>
      <w:r w:rsidRPr="00070A6C">
        <w:rPr>
          <w:rFonts w:ascii="Arial" w:hAnsi="Arial" w:cs="Arial"/>
          <w:lang w:val="en-GB"/>
        </w:rPr>
        <w:t xml:space="preserve"> objective legal impossibility.</w:t>
      </w:r>
      <w:r w:rsidRPr="00070A6C">
        <w:rPr>
          <w:rStyle w:val="FootnoteReference"/>
          <w:rFonts w:ascii="Arial" w:hAnsi="Arial" w:cs="Arial"/>
          <w:lang w:val="en-GB"/>
        </w:rPr>
        <w:footnoteReference w:id="21"/>
      </w:r>
      <w:r w:rsidRPr="00070A6C">
        <w:rPr>
          <w:rFonts w:ascii="Arial" w:hAnsi="Arial" w:cs="Arial"/>
          <w:lang w:val="en-GB"/>
        </w:rPr>
        <w:t xml:space="preserve">     </w:t>
      </w:r>
    </w:p>
    <w:p w14:paraId="5DB94848" w14:textId="772B5DC3" w:rsidR="00437853" w:rsidRPr="00070A6C" w:rsidRDefault="00437853" w:rsidP="00437853">
      <w:pPr>
        <w:pStyle w:val="ListParagraph"/>
        <w:numPr>
          <w:ilvl w:val="0"/>
          <w:numId w:val="5"/>
        </w:numPr>
        <w:shd w:val="clear" w:color="auto" w:fill="FFFFFF" w:themeFill="background1"/>
        <w:spacing w:after="360" w:line="360" w:lineRule="auto"/>
        <w:contextualSpacing w:val="0"/>
        <w:jc w:val="both"/>
        <w:rPr>
          <w:rFonts w:ascii="Arial" w:hAnsi="Arial" w:cs="Arial"/>
          <w:lang w:val="en-GB"/>
        </w:rPr>
      </w:pPr>
      <w:r w:rsidRPr="00070A6C">
        <w:rPr>
          <w:rFonts w:ascii="Arial" w:hAnsi="Arial" w:cs="Arial"/>
          <w:lang w:val="en-GB"/>
        </w:rPr>
        <w:t>A</w:t>
      </w:r>
      <w:r w:rsidR="00163D12" w:rsidRPr="00070A6C">
        <w:rPr>
          <w:rFonts w:ascii="Arial" w:hAnsi="Arial" w:cs="Arial"/>
          <w:lang w:val="en-GB"/>
        </w:rPr>
        <w:t xml:space="preserve"> further </w:t>
      </w:r>
      <w:r w:rsidRPr="00070A6C">
        <w:rPr>
          <w:rFonts w:ascii="Arial" w:hAnsi="Arial" w:cs="Arial"/>
          <w:lang w:val="en-GB"/>
        </w:rPr>
        <w:t xml:space="preserve">example of South African </w:t>
      </w:r>
      <w:r w:rsidR="00B03D6C" w:rsidRPr="00070A6C">
        <w:rPr>
          <w:rFonts w:ascii="Arial" w:hAnsi="Arial" w:cs="Arial"/>
          <w:lang w:val="en-GB"/>
        </w:rPr>
        <w:t>c</w:t>
      </w:r>
      <w:r w:rsidRPr="00070A6C">
        <w:rPr>
          <w:rFonts w:ascii="Arial" w:hAnsi="Arial" w:cs="Arial"/>
          <w:lang w:val="en-GB"/>
        </w:rPr>
        <w:t xml:space="preserve">ourts having dealt with tenants </w:t>
      </w:r>
      <w:r w:rsidR="00D810F0" w:rsidRPr="00070A6C">
        <w:rPr>
          <w:rFonts w:ascii="Arial" w:hAnsi="Arial" w:cs="Arial"/>
          <w:lang w:val="en-GB"/>
        </w:rPr>
        <w:t xml:space="preserve">that </w:t>
      </w:r>
      <w:r w:rsidRPr="00070A6C">
        <w:rPr>
          <w:rFonts w:ascii="Arial" w:hAnsi="Arial" w:cs="Arial"/>
          <w:lang w:val="en-GB"/>
        </w:rPr>
        <w:t xml:space="preserve">have been prevented from receiving full use of leased premises as a result of supervening impossibility is war.  </w:t>
      </w:r>
    </w:p>
    <w:p w14:paraId="2816ECAA" w14:textId="09BDA30A" w:rsidR="00437853" w:rsidRPr="00070A6C" w:rsidRDefault="00437853" w:rsidP="00437853">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In </w:t>
      </w:r>
      <w:r w:rsidRPr="00070A6C">
        <w:rPr>
          <w:rFonts w:ascii="Arial" w:hAnsi="Arial" w:cs="Arial"/>
          <w:i/>
          <w:lang w:val="en-GB"/>
        </w:rPr>
        <w:t>North Western Hotel Ltd v Rolfes, Nebel &amp; Co</w:t>
      </w:r>
      <w:r w:rsidRPr="00070A6C">
        <w:rPr>
          <w:rStyle w:val="FootnoteReference"/>
          <w:rFonts w:ascii="Arial" w:hAnsi="Arial" w:cs="Arial"/>
          <w:lang w:val="en-GB"/>
        </w:rPr>
        <w:footnoteReference w:id="22"/>
      </w:r>
      <w:r w:rsidRPr="00070A6C">
        <w:rPr>
          <w:rFonts w:ascii="Arial" w:hAnsi="Arial" w:cs="Arial"/>
          <w:lang w:val="en-GB"/>
        </w:rPr>
        <w:t xml:space="preserve"> a tenant of a hotel was deprived of </w:t>
      </w:r>
      <w:r w:rsidR="00163D12" w:rsidRPr="00070A6C">
        <w:rPr>
          <w:rFonts w:ascii="Arial" w:hAnsi="Arial" w:cs="Arial"/>
          <w:lang w:val="en-GB"/>
        </w:rPr>
        <w:t>nearly</w:t>
      </w:r>
      <w:r w:rsidRPr="00070A6C">
        <w:rPr>
          <w:rFonts w:ascii="Arial" w:hAnsi="Arial" w:cs="Arial"/>
          <w:lang w:val="en-GB"/>
        </w:rPr>
        <w:t xml:space="preserve"> all the rooms of the hotel due to an occupation thereof by the British </w:t>
      </w:r>
      <w:r w:rsidRPr="00070A6C">
        <w:rPr>
          <w:rFonts w:ascii="Arial" w:hAnsi="Arial" w:cs="Arial"/>
          <w:lang w:val="en-GB"/>
        </w:rPr>
        <w:lastRenderedPageBreak/>
        <w:t xml:space="preserve">forces.  During its occupation of the hotel, the British forces caused substantial damage to the hotel, to such a degree that the hotel was no longer fit for </w:t>
      </w:r>
      <w:r w:rsidR="00163D12" w:rsidRPr="00070A6C">
        <w:rPr>
          <w:rFonts w:ascii="Arial" w:hAnsi="Arial" w:cs="Arial"/>
          <w:lang w:val="en-GB"/>
        </w:rPr>
        <w:t xml:space="preserve">the intended </w:t>
      </w:r>
      <w:r w:rsidRPr="00070A6C">
        <w:rPr>
          <w:rFonts w:ascii="Arial" w:hAnsi="Arial" w:cs="Arial"/>
          <w:lang w:val="en-GB"/>
        </w:rPr>
        <w:t xml:space="preserve">use.  It was held </w:t>
      </w:r>
      <w:r w:rsidR="00163D12" w:rsidRPr="00070A6C">
        <w:rPr>
          <w:rFonts w:ascii="Arial" w:hAnsi="Arial" w:cs="Arial"/>
          <w:lang w:val="en-GB"/>
        </w:rPr>
        <w:t xml:space="preserve">that, as a general rule, a tenant is not obligated to pay rental when he or she cannot enjoy beneficial occupation because of a </w:t>
      </w:r>
      <w:r w:rsidR="00163D12" w:rsidRPr="00070A6C">
        <w:rPr>
          <w:rFonts w:ascii="Arial" w:hAnsi="Arial" w:cs="Arial"/>
          <w:i/>
          <w:iCs/>
          <w:lang w:val="en-GB"/>
        </w:rPr>
        <w:t>casus fortuitus</w:t>
      </w:r>
      <w:r w:rsidR="00163D12" w:rsidRPr="00070A6C">
        <w:rPr>
          <w:rFonts w:ascii="Arial" w:hAnsi="Arial" w:cs="Arial"/>
          <w:lang w:val="en-GB"/>
        </w:rPr>
        <w:t>, unless there is an express term to the contrary.</w:t>
      </w:r>
      <w:r w:rsidR="003D0E7C" w:rsidRPr="00070A6C">
        <w:rPr>
          <w:rStyle w:val="FootnoteReference"/>
          <w:rFonts w:ascii="Arial" w:hAnsi="Arial" w:cs="Arial"/>
          <w:lang w:val="en-GB"/>
        </w:rPr>
        <w:footnoteReference w:id="23"/>
      </w:r>
      <w:r w:rsidRPr="00070A6C">
        <w:rPr>
          <w:rFonts w:ascii="Arial" w:hAnsi="Arial" w:cs="Arial"/>
          <w:lang w:val="en-GB"/>
        </w:rPr>
        <w:t xml:space="preserve">   </w:t>
      </w:r>
      <w:r w:rsidR="00163D12" w:rsidRPr="00070A6C">
        <w:rPr>
          <w:rFonts w:ascii="Arial" w:hAnsi="Arial" w:cs="Arial"/>
          <w:lang w:val="en-GB"/>
        </w:rPr>
        <w:t>In those circumstances the lessee can claim remission of rent.</w:t>
      </w:r>
      <w:r w:rsidR="00163D12" w:rsidRPr="00070A6C">
        <w:rPr>
          <w:rStyle w:val="FootnoteReference"/>
          <w:rFonts w:ascii="Arial" w:hAnsi="Arial" w:cs="Arial"/>
          <w:lang w:val="en-GB"/>
        </w:rPr>
        <w:footnoteReference w:id="24"/>
      </w:r>
      <w:r w:rsidR="00163D12" w:rsidRPr="00070A6C">
        <w:rPr>
          <w:rFonts w:ascii="Arial" w:hAnsi="Arial" w:cs="Arial"/>
          <w:sz w:val="20"/>
          <w:szCs w:val="20"/>
          <w:lang w:val="en-GB"/>
        </w:rPr>
        <w:t xml:space="preserve">  </w:t>
      </w:r>
      <w:r w:rsidR="00163D12" w:rsidRPr="00070A6C">
        <w:rPr>
          <w:rFonts w:ascii="Arial" w:hAnsi="Arial" w:cs="Arial"/>
          <w:lang w:val="en-GB"/>
        </w:rPr>
        <w:t xml:space="preserve"> </w:t>
      </w:r>
    </w:p>
    <w:p w14:paraId="232407FD" w14:textId="77777777" w:rsidR="00437853" w:rsidRPr="00070A6C" w:rsidRDefault="00437853" w:rsidP="00437853">
      <w:pPr>
        <w:pStyle w:val="Myown"/>
        <w:numPr>
          <w:ilvl w:val="0"/>
          <w:numId w:val="5"/>
        </w:numPr>
        <w:spacing w:after="360" w:line="360" w:lineRule="auto"/>
        <w:jc w:val="both"/>
        <w:rPr>
          <w:rFonts w:ascii="Arial" w:hAnsi="Arial" w:cs="Arial"/>
          <w:lang w:val="en-GB"/>
        </w:rPr>
      </w:pPr>
      <w:r w:rsidRPr="00070A6C">
        <w:rPr>
          <w:rFonts w:ascii="Arial" w:hAnsi="Arial" w:cs="Arial"/>
          <w:lang w:val="en-GB"/>
        </w:rPr>
        <w:t xml:space="preserve">In </w:t>
      </w:r>
      <w:r w:rsidRPr="00070A6C">
        <w:rPr>
          <w:rFonts w:ascii="Arial" w:hAnsi="Arial" w:cs="Arial"/>
          <w:i/>
          <w:lang w:val="en-GB"/>
        </w:rPr>
        <w:t>Kopelowitz v Hanse, Schrader &amp; Co</w:t>
      </w:r>
      <w:r w:rsidRPr="00070A6C">
        <w:rPr>
          <w:rStyle w:val="FootnoteReference"/>
          <w:rFonts w:ascii="Arial" w:hAnsi="Arial" w:cs="Arial"/>
          <w:i/>
          <w:lang w:val="en-GB"/>
        </w:rPr>
        <w:footnoteReference w:id="25"/>
      </w:r>
      <w:r w:rsidRPr="00070A6C">
        <w:rPr>
          <w:rFonts w:ascii="Arial" w:hAnsi="Arial" w:cs="Arial"/>
          <w:iCs/>
          <w:lang w:val="en-GB"/>
        </w:rPr>
        <w:t xml:space="preserve"> the facts </w:t>
      </w:r>
      <w:r w:rsidRPr="00070A6C">
        <w:rPr>
          <w:rFonts w:ascii="Arial" w:hAnsi="Arial" w:cs="Arial"/>
          <w:lang w:val="en-GB"/>
        </w:rPr>
        <w:t xml:space="preserve">also pertained to a tenant which lost beneficial occupation of a leased premises during a time of war.  The Court </w:t>
      </w:r>
      <w:r w:rsidRPr="00070A6C">
        <w:rPr>
          <w:rFonts w:ascii="Arial" w:hAnsi="Arial" w:cs="Arial"/>
          <w:i/>
          <w:iCs/>
          <w:lang w:val="en-GB"/>
        </w:rPr>
        <w:t xml:space="preserve">a quo </w:t>
      </w:r>
      <w:r w:rsidRPr="00070A6C">
        <w:rPr>
          <w:rFonts w:ascii="Arial" w:hAnsi="Arial" w:cs="Arial"/>
          <w:lang w:val="en-GB"/>
        </w:rPr>
        <w:t>allowed a reduction of rental.  On appeal</w:t>
      </w:r>
      <w:r w:rsidRPr="00070A6C">
        <w:rPr>
          <w:rStyle w:val="FootnoteReference"/>
          <w:rFonts w:ascii="Arial" w:hAnsi="Arial" w:cs="Arial"/>
          <w:lang w:val="en-GB"/>
        </w:rPr>
        <w:footnoteReference w:id="26"/>
      </w:r>
      <w:r w:rsidRPr="00070A6C">
        <w:rPr>
          <w:rFonts w:ascii="Arial" w:hAnsi="Arial" w:cs="Arial"/>
          <w:lang w:val="en-GB"/>
        </w:rPr>
        <w:t xml:space="preserve"> Solomon J held as follows:</w:t>
      </w:r>
    </w:p>
    <w:p w14:paraId="38533FC4" w14:textId="77777777" w:rsidR="00437853" w:rsidRPr="00070A6C" w:rsidRDefault="00437853" w:rsidP="00D810F0">
      <w:pPr>
        <w:pStyle w:val="Myown"/>
        <w:spacing w:after="360" w:line="360" w:lineRule="auto"/>
        <w:ind w:left="1134" w:right="-46"/>
        <w:jc w:val="both"/>
        <w:rPr>
          <w:rFonts w:ascii="Arial" w:hAnsi="Arial" w:cs="Arial"/>
          <w:sz w:val="20"/>
          <w:szCs w:val="20"/>
          <w:lang w:val="en-GB"/>
        </w:rPr>
      </w:pPr>
      <w:r w:rsidRPr="00070A6C">
        <w:rPr>
          <w:rFonts w:ascii="Arial" w:hAnsi="Arial" w:cs="Arial"/>
          <w:sz w:val="20"/>
          <w:szCs w:val="20"/>
          <w:lang w:val="en-GB"/>
        </w:rPr>
        <w:t xml:space="preserve">“It appears to me, however, that the following general principle may fairly be deduced from the leading authorities on the subject, a principle which has already been adopted in previous cases in this court that a lessee is entitled to a remission of rent either wholly or in part where he has been prevented either entirely or to a considerable extent in making use of the property for the purposes for which it was let, by </w:t>
      </w:r>
      <w:r w:rsidRPr="00070A6C">
        <w:rPr>
          <w:rFonts w:ascii="Arial" w:hAnsi="Arial" w:cs="Arial"/>
          <w:i/>
          <w:sz w:val="20"/>
          <w:szCs w:val="20"/>
          <w:lang w:val="en-GB"/>
        </w:rPr>
        <w:t>vis maior</w:t>
      </w:r>
      <w:r w:rsidRPr="00070A6C">
        <w:rPr>
          <w:rFonts w:ascii="Arial" w:hAnsi="Arial" w:cs="Arial"/>
          <w:sz w:val="20"/>
          <w:szCs w:val="20"/>
          <w:lang w:val="en-GB"/>
        </w:rPr>
        <w:t xml:space="preserve"> or </w:t>
      </w:r>
      <w:r w:rsidRPr="00070A6C">
        <w:rPr>
          <w:rFonts w:ascii="Arial" w:hAnsi="Arial" w:cs="Arial"/>
          <w:i/>
          <w:sz w:val="20"/>
          <w:szCs w:val="20"/>
          <w:lang w:val="en-GB"/>
        </w:rPr>
        <w:t>casus fortuitus</w:t>
      </w:r>
      <w:r w:rsidRPr="00070A6C">
        <w:rPr>
          <w:rFonts w:ascii="Arial" w:hAnsi="Arial" w:cs="Arial"/>
          <w:sz w:val="20"/>
          <w:szCs w:val="20"/>
          <w:lang w:val="en-GB"/>
        </w:rPr>
        <w:t xml:space="preserve">, provided always that the loss of enjoyment of the property is the direct and immediate result of the </w:t>
      </w:r>
      <w:r w:rsidRPr="00070A6C">
        <w:rPr>
          <w:rFonts w:ascii="Arial" w:hAnsi="Arial" w:cs="Arial"/>
          <w:i/>
          <w:sz w:val="20"/>
          <w:szCs w:val="20"/>
          <w:lang w:val="en-GB"/>
        </w:rPr>
        <w:t>vis maior</w:t>
      </w:r>
      <w:r w:rsidRPr="00070A6C">
        <w:rPr>
          <w:rFonts w:ascii="Arial" w:hAnsi="Arial" w:cs="Arial"/>
          <w:sz w:val="20"/>
          <w:szCs w:val="20"/>
          <w:lang w:val="en-GB"/>
        </w:rPr>
        <w:t xml:space="preserve"> or </w:t>
      </w:r>
      <w:r w:rsidRPr="00070A6C">
        <w:rPr>
          <w:rFonts w:ascii="Arial" w:hAnsi="Arial" w:cs="Arial"/>
          <w:i/>
          <w:sz w:val="20"/>
          <w:szCs w:val="20"/>
          <w:lang w:val="en-GB"/>
        </w:rPr>
        <w:t>casus fortuitus</w:t>
      </w:r>
      <w:r w:rsidRPr="00070A6C">
        <w:rPr>
          <w:rFonts w:ascii="Arial" w:hAnsi="Arial" w:cs="Arial"/>
          <w:sz w:val="20"/>
          <w:szCs w:val="20"/>
          <w:lang w:val="en-GB"/>
        </w:rPr>
        <w:t>, and is not merely indirectly or remotely connected therewith.”</w:t>
      </w:r>
      <w:r w:rsidRPr="00070A6C">
        <w:rPr>
          <w:rStyle w:val="FootnoteReference"/>
          <w:rFonts w:ascii="Arial" w:hAnsi="Arial" w:cs="Arial"/>
          <w:sz w:val="20"/>
          <w:szCs w:val="20"/>
          <w:lang w:val="en-GB"/>
        </w:rPr>
        <w:footnoteReference w:id="27"/>
      </w:r>
    </w:p>
    <w:p w14:paraId="6CC20749" w14:textId="7D6D4AFA" w:rsidR="00437853" w:rsidRPr="00070A6C" w:rsidRDefault="00437853" w:rsidP="00437853">
      <w:pPr>
        <w:pStyle w:val="Myown"/>
        <w:numPr>
          <w:ilvl w:val="0"/>
          <w:numId w:val="5"/>
        </w:numPr>
        <w:spacing w:after="360" w:line="360" w:lineRule="auto"/>
        <w:jc w:val="both"/>
        <w:rPr>
          <w:rFonts w:ascii="Arial" w:hAnsi="Arial" w:cs="Arial"/>
          <w:lang w:val="en-GB"/>
        </w:rPr>
      </w:pPr>
      <w:r w:rsidRPr="00070A6C">
        <w:rPr>
          <w:rFonts w:ascii="Arial" w:hAnsi="Arial" w:cs="Arial"/>
          <w:lang w:val="en-GB"/>
        </w:rPr>
        <w:t xml:space="preserve">Because the loss of enjoyment of the property was not the direct and immediate result of the </w:t>
      </w:r>
      <w:r w:rsidRPr="00070A6C">
        <w:rPr>
          <w:rFonts w:ascii="Arial" w:hAnsi="Arial" w:cs="Arial"/>
          <w:i/>
          <w:iCs/>
          <w:lang w:val="en-GB"/>
        </w:rPr>
        <w:t>vis major</w:t>
      </w:r>
      <w:r w:rsidRPr="00070A6C">
        <w:rPr>
          <w:rFonts w:ascii="Arial" w:hAnsi="Arial" w:cs="Arial"/>
          <w:lang w:val="en-GB"/>
        </w:rPr>
        <w:t xml:space="preserve"> (the war) but merely had an indirect effect, the remission of rental was not allowed on appeal.  The present matter is distinguishable, at least to the extent of the hard lockdown period (27 March to 30 April 2020).  In circumstances where the defendant was deprived wholly of its use and enjoyment of the property </w:t>
      </w:r>
      <w:r w:rsidR="000E2DD4" w:rsidRPr="00070A6C">
        <w:rPr>
          <w:rFonts w:ascii="Arial" w:hAnsi="Arial" w:cs="Arial"/>
          <w:lang w:val="en-GB"/>
        </w:rPr>
        <w:t>because of</w:t>
      </w:r>
      <w:r w:rsidRPr="00070A6C">
        <w:rPr>
          <w:rFonts w:ascii="Arial" w:hAnsi="Arial" w:cs="Arial"/>
          <w:lang w:val="en-GB"/>
        </w:rPr>
        <w:t xml:space="preserve"> the </w:t>
      </w:r>
      <w:r w:rsidR="003D0E7C" w:rsidRPr="00070A6C">
        <w:rPr>
          <w:rFonts w:ascii="Arial" w:hAnsi="Arial" w:cs="Arial"/>
          <w:lang w:val="en-GB"/>
        </w:rPr>
        <w:t>March 2020</w:t>
      </w:r>
      <w:r w:rsidRPr="00070A6C">
        <w:rPr>
          <w:rFonts w:ascii="Arial" w:hAnsi="Arial" w:cs="Arial"/>
          <w:lang w:val="en-GB"/>
        </w:rPr>
        <w:t xml:space="preserve"> </w:t>
      </w:r>
      <w:r w:rsidR="00D810F0" w:rsidRPr="00070A6C">
        <w:rPr>
          <w:rFonts w:ascii="Arial" w:hAnsi="Arial" w:cs="Arial"/>
          <w:lang w:val="en-GB"/>
        </w:rPr>
        <w:t>R</w:t>
      </w:r>
      <w:r w:rsidRPr="00070A6C">
        <w:rPr>
          <w:rFonts w:ascii="Arial" w:hAnsi="Arial" w:cs="Arial"/>
          <w:lang w:val="en-GB"/>
        </w:rPr>
        <w:t xml:space="preserve">egulations, I am satisfied that the loss is the direct and immediate result of the </w:t>
      </w:r>
      <w:r w:rsidRPr="00070A6C">
        <w:rPr>
          <w:rFonts w:ascii="Arial" w:hAnsi="Arial" w:cs="Arial"/>
          <w:i/>
          <w:iCs/>
          <w:lang w:val="en-GB"/>
        </w:rPr>
        <w:t>vis major</w:t>
      </w:r>
      <w:r w:rsidRPr="00070A6C">
        <w:rPr>
          <w:rFonts w:ascii="Arial" w:hAnsi="Arial" w:cs="Arial"/>
          <w:lang w:val="en-GB"/>
        </w:rPr>
        <w:t xml:space="preserve"> event.</w:t>
      </w:r>
    </w:p>
    <w:p w14:paraId="59F51CDF" w14:textId="0C67B21C" w:rsidR="00437853" w:rsidRPr="00070A6C" w:rsidRDefault="00437853" w:rsidP="003D0E7C">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It may be worth mak</w:t>
      </w:r>
      <w:r w:rsidR="00D810F0" w:rsidRPr="00070A6C">
        <w:rPr>
          <w:rFonts w:ascii="Arial" w:hAnsi="Arial" w:cs="Arial"/>
          <w:lang w:val="en-GB"/>
        </w:rPr>
        <w:t>ing</w:t>
      </w:r>
      <w:r w:rsidRPr="00070A6C">
        <w:rPr>
          <w:rFonts w:ascii="Arial" w:hAnsi="Arial" w:cs="Arial"/>
          <w:lang w:val="en-GB"/>
        </w:rPr>
        <w:t xml:space="preserve"> mention of the approach followed by the Superior Court in Québec, Canada.  The Canadian legal system is, much like the South African legal system, based on common law.  The Superior Court of Québec was required to consider the impact of lockdown conditions, imposed as a result of the Covid-19 </w:t>
      </w:r>
      <w:r w:rsidRPr="00070A6C">
        <w:rPr>
          <w:rFonts w:ascii="Arial" w:hAnsi="Arial" w:cs="Arial"/>
          <w:lang w:val="en-GB"/>
        </w:rPr>
        <w:lastRenderedPageBreak/>
        <w:t xml:space="preserve">pandemic, on tenant’s obligations to pay rent and landlords’ remedies and obligations when tenants fail to pay rent </w:t>
      </w:r>
      <w:r w:rsidR="000E2DD4" w:rsidRPr="00070A6C">
        <w:rPr>
          <w:rFonts w:ascii="Arial" w:hAnsi="Arial" w:cs="Arial"/>
          <w:lang w:val="en-GB"/>
        </w:rPr>
        <w:t>because of</w:t>
      </w:r>
      <w:r w:rsidRPr="00070A6C">
        <w:rPr>
          <w:rFonts w:ascii="Arial" w:hAnsi="Arial" w:cs="Arial"/>
          <w:lang w:val="en-GB"/>
        </w:rPr>
        <w:t xml:space="preserve"> </w:t>
      </w:r>
      <w:r w:rsidR="00D810F0" w:rsidRPr="00070A6C">
        <w:rPr>
          <w:rFonts w:ascii="Arial" w:hAnsi="Arial" w:cs="Arial"/>
          <w:lang w:val="en-GB"/>
        </w:rPr>
        <w:t xml:space="preserve">the </w:t>
      </w:r>
      <w:r w:rsidRPr="00070A6C">
        <w:rPr>
          <w:rFonts w:ascii="Arial" w:hAnsi="Arial" w:cs="Arial"/>
          <w:lang w:val="en-GB"/>
        </w:rPr>
        <w:t>lockdown.</w:t>
      </w:r>
    </w:p>
    <w:p w14:paraId="2B617785" w14:textId="5DA2DF74" w:rsidR="00437853" w:rsidRPr="00070A6C" w:rsidRDefault="00437853" w:rsidP="00437853">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shd w:val="clear" w:color="auto" w:fill="FFFFFF"/>
          <w:lang w:val="en-GB"/>
        </w:rPr>
        <w:t xml:space="preserve">In </w:t>
      </w:r>
      <w:r w:rsidRPr="00070A6C">
        <w:rPr>
          <w:rStyle w:val="Emphasis"/>
          <w:rFonts w:ascii="Arial" w:hAnsi="Arial" w:cs="Arial"/>
          <w:lang w:val="en-GB"/>
        </w:rPr>
        <w:t>Investissements immobiliers G. Lazzara inc.</w:t>
      </w:r>
      <w:r w:rsidRPr="00070A6C">
        <w:rPr>
          <w:rStyle w:val="apple-converted-space"/>
          <w:rFonts w:ascii="Arial" w:hAnsi="Arial" w:cs="Arial"/>
          <w:i/>
          <w:iCs/>
          <w:lang w:val="en-GB"/>
        </w:rPr>
        <w:t> </w:t>
      </w:r>
      <w:r w:rsidRPr="00070A6C">
        <w:rPr>
          <w:rFonts w:ascii="Arial" w:hAnsi="Arial" w:cs="Arial"/>
          <w:shd w:val="clear" w:color="auto" w:fill="FFFFFF"/>
          <w:lang w:val="en-GB"/>
        </w:rPr>
        <w:t>v.</w:t>
      </w:r>
      <w:r w:rsidRPr="00070A6C">
        <w:rPr>
          <w:rStyle w:val="apple-converted-space"/>
          <w:rFonts w:ascii="Arial" w:hAnsi="Arial" w:cs="Arial"/>
          <w:shd w:val="clear" w:color="auto" w:fill="FFFFFF"/>
          <w:lang w:val="en-GB"/>
        </w:rPr>
        <w:t> </w:t>
      </w:r>
      <w:r w:rsidRPr="00070A6C">
        <w:rPr>
          <w:rStyle w:val="Emphasis"/>
          <w:rFonts w:ascii="Arial" w:hAnsi="Arial" w:cs="Arial"/>
          <w:lang w:val="en-GB"/>
        </w:rPr>
        <w:t>9224-5455 Québec inc</w:t>
      </w:r>
      <w:r w:rsidRPr="00070A6C">
        <w:rPr>
          <w:rFonts w:ascii="Arial" w:hAnsi="Arial" w:cs="Arial"/>
          <w:shd w:val="clear" w:color="auto" w:fill="FFFFFF"/>
          <w:lang w:val="en-GB"/>
        </w:rPr>
        <w:t>.,</w:t>
      </w:r>
      <w:r w:rsidRPr="00070A6C">
        <w:rPr>
          <w:rStyle w:val="FootnoteReference"/>
          <w:rFonts w:ascii="Arial" w:hAnsi="Arial" w:cs="Arial"/>
          <w:shd w:val="clear" w:color="auto" w:fill="FFFFFF"/>
          <w:lang w:val="en-GB"/>
        </w:rPr>
        <w:footnoteReference w:id="28"/>
      </w:r>
      <w:r w:rsidRPr="00070A6C">
        <w:rPr>
          <w:rStyle w:val="apple-converted-space"/>
          <w:rFonts w:ascii="Arial" w:hAnsi="Arial" w:cs="Arial"/>
          <w:shd w:val="clear" w:color="auto" w:fill="FFFFFF"/>
          <w:lang w:val="en-GB"/>
        </w:rPr>
        <w:t xml:space="preserve"> the Superior Court had to determine a dispute pertaining to the failure to pay rental under a lease during the </w:t>
      </w:r>
      <w:r w:rsidR="003D0E7C" w:rsidRPr="00070A6C">
        <w:rPr>
          <w:rStyle w:val="apple-converted-space"/>
          <w:rFonts w:ascii="Arial" w:hAnsi="Arial" w:cs="Arial"/>
          <w:shd w:val="clear" w:color="auto" w:fill="FFFFFF"/>
          <w:lang w:val="en-GB"/>
        </w:rPr>
        <w:t>Covid-19 p</w:t>
      </w:r>
      <w:r w:rsidRPr="00070A6C">
        <w:rPr>
          <w:rStyle w:val="apple-converted-space"/>
          <w:rFonts w:ascii="Arial" w:hAnsi="Arial" w:cs="Arial"/>
          <w:shd w:val="clear" w:color="auto" w:fill="FFFFFF"/>
          <w:lang w:val="en-GB"/>
        </w:rPr>
        <w:t>andemic.</w:t>
      </w:r>
      <w:r w:rsidRPr="00070A6C">
        <w:rPr>
          <w:rFonts w:ascii="Arial" w:hAnsi="Arial" w:cs="Arial"/>
          <w:shd w:val="clear" w:color="auto" w:fill="FFFFFF"/>
          <w:lang w:val="en-GB"/>
        </w:rPr>
        <w:t xml:space="preserve">  </w:t>
      </w:r>
      <w:r w:rsidRPr="00070A6C">
        <w:rPr>
          <w:rFonts w:ascii="Arial" w:hAnsi="Arial" w:cs="Arial"/>
          <w:lang w:val="en-GB"/>
        </w:rPr>
        <w:t xml:space="preserve">The landlord contended that the tenant breached the lease agreement by failing to make rental payments and sued for the payment of arrear rental and eviction.  In response to the </w:t>
      </w:r>
      <w:r w:rsidR="003D0E7C" w:rsidRPr="00070A6C">
        <w:rPr>
          <w:rFonts w:ascii="Arial" w:hAnsi="Arial" w:cs="Arial"/>
          <w:lang w:val="en-GB"/>
        </w:rPr>
        <w:t>p</w:t>
      </w:r>
      <w:r w:rsidRPr="00070A6C">
        <w:rPr>
          <w:rFonts w:ascii="Arial" w:hAnsi="Arial" w:cs="Arial"/>
          <w:lang w:val="en-GB"/>
        </w:rPr>
        <w:t>andemic, the Canada Mortgage and Housing Corporation ha</w:t>
      </w:r>
      <w:r w:rsidR="00DB5B13" w:rsidRPr="00070A6C">
        <w:rPr>
          <w:rFonts w:ascii="Arial" w:hAnsi="Arial" w:cs="Arial"/>
          <w:lang w:val="en-GB"/>
        </w:rPr>
        <w:t>d</w:t>
      </w:r>
      <w:r w:rsidRPr="00070A6C">
        <w:rPr>
          <w:rFonts w:ascii="Arial" w:hAnsi="Arial" w:cs="Arial"/>
          <w:lang w:val="en-GB"/>
        </w:rPr>
        <w:t xml:space="preserve"> put a programme in place whereby it would fund 50% of the rent for eligible months by way of a “</w:t>
      </w:r>
      <w:r w:rsidR="00195BAC" w:rsidRPr="00070A6C">
        <w:rPr>
          <w:rFonts w:ascii="Arial" w:hAnsi="Arial" w:cs="Arial"/>
          <w:i/>
          <w:iCs/>
          <w:lang w:val="en-GB"/>
        </w:rPr>
        <w:t>forgivable</w:t>
      </w:r>
      <w:r w:rsidRPr="00070A6C">
        <w:rPr>
          <w:rFonts w:ascii="Arial" w:hAnsi="Arial" w:cs="Arial"/>
          <w:i/>
          <w:iCs/>
          <w:lang w:val="en-GB"/>
        </w:rPr>
        <w:t xml:space="preserve"> loan to landlords</w:t>
      </w:r>
      <w:r w:rsidRPr="00070A6C">
        <w:rPr>
          <w:rFonts w:ascii="Arial" w:hAnsi="Arial" w:cs="Arial"/>
          <w:lang w:val="en-GB"/>
        </w:rPr>
        <w:t xml:space="preserve">”, with the tenant paying 25% of the rent to its landlord and the remaining outstanding 25% of the rent becoming a loss for landlords.  The tenant paid 25% of the rent due for June and July 2020 and undertook to continue to pay 25% of the rent due for each month for which assistance would continue to be available.  The landlord relinquished its voluntary right to apply for relief under the programme and instead demanded payment for the full rental from the tenant.  The </w:t>
      </w:r>
      <w:r w:rsidR="00DB5B13" w:rsidRPr="00070A6C">
        <w:rPr>
          <w:rFonts w:ascii="Arial" w:hAnsi="Arial" w:cs="Arial"/>
          <w:lang w:val="en-GB"/>
        </w:rPr>
        <w:t>c</w:t>
      </w:r>
      <w:r w:rsidRPr="00070A6C">
        <w:rPr>
          <w:rFonts w:ascii="Arial" w:hAnsi="Arial" w:cs="Arial"/>
          <w:lang w:val="en-GB"/>
        </w:rPr>
        <w:t xml:space="preserve">ourt held that the landlord’s decision was unfounded because it failed to mitigate its damages.  </w:t>
      </w:r>
      <w:r w:rsidRPr="00070A6C">
        <w:rPr>
          <w:rFonts w:ascii="Arial" w:hAnsi="Arial" w:cs="Arial"/>
          <w:shd w:val="clear" w:color="auto" w:fill="FFFFFF"/>
          <w:lang w:val="en-GB"/>
        </w:rPr>
        <w:t xml:space="preserve">The </w:t>
      </w:r>
      <w:r w:rsidR="00DB5B13" w:rsidRPr="00070A6C">
        <w:rPr>
          <w:rFonts w:ascii="Arial" w:hAnsi="Arial" w:cs="Arial"/>
          <w:shd w:val="clear" w:color="auto" w:fill="FFFFFF"/>
          <w:lang w:val="en-GB"/>
        </w:rPr>
        <w:t>c</w:t>
      </w:r>
      <w:r w:rsidRPr="00070A6C">
        <w:rPr>
          <w:rFonts w:ascii="Arial" w:hAnsi="Arial" w:cs="Arial"/>
          <w:shd w:val="clear" w:color="auto" w:fill="FFFFFF"/>
          <w:lang w:val="en-GB"/>
        </w:rPr>
        <w:t xml:space="preserve">ourt held </w:t>
      </w:r>
      <w:r w:rsidR="00DB5B13" w:rsidRPr="00070A6C">
        <w:rPr>
          <w:rFonts w:ascii="Arial" w:hAnsi="Arial" w:cs="Arial"/>
          <w:shd w:val="clear" w:color="auto" w:fill="FFFFFF"/>
          <w:lang w:val="en-GB"/>
        </w:rPr>
        <w:t xml:space="preserve">further </w:t>
      </w:r>
      <w:r w:rsidRPr="00070A6C">
        <w:rPr>
          <w:rFonts w:ascii="Arial" w:hAnsi="Arial" w:cs="Arial"/>
          <w:shd w:val="clear" w:color="auto" w:fill="FFFFFF"/>
          <w:lang w:val="en-GB"/>
        </w:rPr>
        <w:t xml:space="preserve">that landlords should consider all means to and first mitigate their damages before employing litigious or legal remedies.  In the result, the </w:t>
      </w:r>
      <w:r w:rsidR="00DB5B13" w:rsidRPr="00070A6C">
        <w:rPr>
          <w:rFonts w:ascii="Arial" w:hAnsi="Arial" w:cs="Arial"/>
          <w:shd w:val="clear" w:color="auto" w:fill="FFFFFF"/>
          <w:lang w:val="en-GB"/>
        </w:rPr>
        <w:t>c</w:t>
      </w:r>
      <w:r w:rsidRPr="00070A6C">
        <w:rPr>
          <w:rFonts w:ascii="Arial" w:hAnsi="Arial" w:cs="Arial"/>
          <w:shd w:val="clear" w:color="auto" w:fill="FFFFFF"/>
          <w:lang w:val="en-GB"/>
        </w:rPr>
        <w:t>ourt ordered the tenant to pay only 25% of the rental for as long as the programme was in effect irrespective whether or not the landlord was granted relief under the programme.</w:t>
      </w:r>
    </w:p>
    <w:p w14:paraId="5533015B" w14:textId="6766ECA9" w:rsidR="00437853" w:rsidRPr="00070A6C" w:rsidRDefault="00437853" w:rsidP="00437853">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The decision may instruct a possible approach to be employed by South African </w:t>
      </w:r>
      <w:r w:rsidR="00DB5B13" w:rsidRPr="00070A6C">
        <w:rPr>
          <w:rFonts w:ascii="Arial" w:hAnsi="Arial" w:cs="Arial"/>
          <w:lang w:val="en-GB"/>
        </w:rPr>
        <w:t>c</w:t>
      </w:r>
      <w:r w:rsidRPr="00070A6C">
        <w:rPr>
          <w:rFonts w:ascii="Arial" w:hAnsi="Arial" w:cs="Arial"/>
          <w:lang w:val="en-GB"/>
        </w:rPr>
        <w:t>ourts to disallow legal remedies for payment of rental in the absence of landlords mitigating their damages, such as an insurance claim.</w:t>
      </w:r>
    </w:p>
    <w:p w14:paraId="20C7EA4F" w14:textId="22E4FECE" w:rsidR="00437853" w:rsidRPr="00070A6C" w:rsidRDefault="00437853" w:rsidP="00437853">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In a further </w:t>
      </w:r>
      <w:r w:rsidR="00DB5B13" w:rsidRPr="00070A6C">
        <w:rPr>
          <w:rFonts w:ascii="Arial" w:hAnsi="Arial" w:cs="Arial"/>
          <w:lang w:val="en-GB"/>
        </w:rPr>
        <w:t xml:space="preserve">Canadian Superior Court </w:t>
      </w:r>
      <w:r w:rsidRPr="00070A6C">
        <w:rPr>
          <w:rFonts w:ascii="Arial" w:hAnsi="Arial" w:cs="Arial"/>
          <w:lang w:val="en-GB"/>
        </w:rPr>
        <w:t xml:space="preserve">decision, </w:t>
      </w:r>
      <w:r w:rsidRPr="00070A6C">
        <w:rPr>
          <w:rFonts w:ascii="Arial" w:hAnsi="Arial" w:cs="Arial"/>
          <w:i/>
          <w:iCs/>
          <w:lang w:val="en-GB"/>
        </w:rPr>
        <w:t>Hengyun International Investment Commerce Inc</w:t>
      </w:r>
      <w:r w:rsidRPr="00070A6C">
        <w:rPr>
          <w:rFonts w:ascii="Arial" w:hAnsi="Arial" w:cs="Arial"/>
          <w:shd w:val="clear" w:color="auto" w:fill="FFFFFF"/>
          <w:lang w:val="en-GB"/>
        </w:rPr>
        <w:t>. v</w:t>
      </w:r>
      <w:r w:rsidRPr="00070A6C">
        <w:rPr>
          <w:rFonts w:ascii="Arial" w:hAnsi="Arial" w:cs="Arial"/>
          <w:i/>
          <w:iCs/>
          <w:lang w:val="en-GB"/>
        </w:rPr>
        <w:t>. 9368-7614 Québec Inc</w:t>
      </w:r>
      <w:r w:rsidRPr="00070A6C">
        <w:rPr>
          <w:rFonts w:ascii="Arial" w:hAnsi="Arial" w:cs="Arial"/>
          <w:shd w:val="clear" w:color="auto" w:fill="FFFFFF"/>
          <w:lang w:val="en-GB"/>
        </w:rPr>
        <w:t>.,</w:t>
      </w:r>
      <w:r w:rsidRPr="00070A6C">
        <w:rPr>
          <w:rStyle w:val="FootnoteReference"/>
          <w:rFonts w:ascii="Arial" w:hAnsi="Arial" w:cs="Arial"/>
          <w:shd w:val="clear" w:color="auto" w:fill="FFFFFF"/>
          <w:lang w:val="en-GB"/>
        </w:rPr>
        <w:footnoteReference w:id="29"/>
      </w:r>
      <w:r w:rsidRPr="00070A6C">
        <w:rPr>
          <w:rFonts w:ascii="Arial" w:hAnsi="Arial" w:cs="Arial"/>
          <w:shd w:val="clear" w:color="auto" w:fill="FFFFFF"/>
          <w:lang w:val="en-GB"/>
        </w:rPr>
        <w:t xml:space="preserve"> the tenant relied on the superior force (</w:t>
      </w:r>
      <w:r w:rsidRPr="00070A6C">
        <w:rPr>
          <w:rFonts w:ascii="Arial" w:hAnsi="Arial" w:cs="Arial"/>
          <w:i/>
          <w:iCs/>
          <w:shd w:val="clear" w:color="auto" w:fill="FFFFFF"/>
          <w:lang w:val="en-GB"/>
        </w:rPr>
        <w:t>force majeure</w:t>
      </w:r>
      <w:r w:rsidRPr="00070A6C">
        <w:rPr>
          <w:rFonts w:ascii="Arial" w:hAnsi="Arial" w:cs="Arial"/>
          <w:shd w:val="clear" w:color="auto" w:fill="FFFFFF"/>
          <w:lang w:val="en-GB"/>
        </w:rPr>
        <w:t>) as a justification for not paying rent in respect of a</w:t>
      </w:r>
      <w:r w:rsidRPr="00070A6C">
        <w:rPr>
          <w:rFonts w:ascii="Arial" w:hAnsi="Arial" w:cs="Arial"/>
          <w:lang w:val="en-GB"/>
        </w:rPr>
        <w:t xml:space="preserve"> leased premises used as a gym.  </w:t>
      </w:r>
      <w:r w:rsidRPr="00070A6C">
        <w:rPr>
          <w:rFonts w:ascii="Arial" w:hAnsi="Arial" w:cs="Arial"/>
          <w:shd w:val="clear" w:color="auto" w:fill="FFFFFF"/>
          <w:lang w:val="en-GB"/>
        </w:rPr>
        <w:t xml:space="preserve">The tenant contended that, as a result of the lockdown conditions, it was unable to generate revenue and was accordingly relieved from paying rental.  In its decision, the </w:t>
      </w:r>
      <w:r w:rsidR="00DB5B13" w:rsidRPr="00070A6C">
        <w:rPr>
          <w:rFonts w:ascii="Arial" w:hAnsi="Arial" w:cs="Arial"/>
          <w:shd w:val="clear" w:color="auto" w:fill="FFFFFF"/>
          <w:lang w:val="en-GB"/>
        </w:rPr>
        <w:t>c</w:t>
      </w:r>
      <w:r w:rsidRPr="00070A6C">
        <w:rPr>
          <w:rFonts w:ascii="Arial" w:hAnsi="Arial" w:cs="Arial"/>
          <w:shd w:val="clear" w:color="auto" w:fill="FFFFFF"/>
          <w:lang w:val="en-GB"/>
        </w:rPr>
        <w:t xml:space="preserve">ourt held that the lockdown conditions </w:t>
      </w:r>
      <w:r w:rsidR="00195BAC" w:rsidRPr="00070A6C">
        <w:rPr>
          <w:rFonts w:ascii="Arial" w:hAnsi="Arial" w:cs="Arial"/>
          <w:shd w:val="clear" w:color="auto" w:fill="FFFFFF"/>
          <w:lang w:val="en-GB"/>
        </w:rPr>
        <w:t>do</w:t>
      </w:r>
      <w:r w:rsidRPr="00070A6C">
        <w:rPr>
          <w:rFonts w:ascii="Arial" w:hAnsi="Arial" w:cs="Arial"/>
          <w:shd w:val="clear" w:color="auto" w:fill="FFFFFF"/>
          <w:lang w:val="en-GB"/>
        </w:rPr>
        <w:t xml:space="preserve"> not </w:t>
      </w:r>
      <w:r w:rsidRPr="00070A6C">
        <w:rPr>
          <w:rFonts w:ascii="Arial" w:hAnsi="Arial" w:cs="Arial"/>
          <w:shd w:val="clear" w:color="auto" w:fill="FFFFFF"/>
          <w:lang w:val="en-GB"/>
        </w:rPr>
        <w:lastRenderedPageBreak/>
        <w:t>constitute a superior force which prevents the tenant from paying rent but rather a superior force which prevents the landlord from fulfilling its obligation to provide “</w:t>
      </w:r>
      <w:r w:rsidRPr="00070A6C">
        <w:rPr>
          <w:rFonts w:ascii="Arial" w:hAnsi="Arial" w:cs="Arial"/>
          <w:i/>
          <w:iCs/>
          <w:shd w:val="clear" w:color="auto" w:fill="FFFFFF"/>
          <w:lang w:val="en-GB"/>
        </w:rPr>
        <w:t>peaceful</w:t>
      </w:r>
      <w:r w:rsidRPr="00070A6C">
        <w:rPr>
          <w:rFonts w:ascii="Arial" w:hAnsi="Arial" w:cs="Arial"/>
          <w:shd w:val="clear" w:color="auto" w:fill="FFFFFF"/>
          <w:lang w:val="en-GB"/>
        </w:rPr>
        <w:t xml:space="preserve">” (free and full) enjoyment of the leased premises.  As such, the </w:t>
      </w:r>
      <w:r w:rsidR="00DB5B13" w:rsidRPr="00070A6C">
        <w:rPr>
          <w:rFonts w:ascii="Arial" w:hAnsi="Arial" w:cs="Arial"/>
          <w:shd w:val="clear" w:color="auto" w:fill="FFFFFF"/>
          <w:lang w:val="en-GB"/>
        </w:rPr>
        <w:t>c</w:t>
      </w:r>
      <w:r w:rsidRPr="00070A6C">
        <w:rPr>
          <w:rFonts w:ascii="Arial" w:hAnsi="Arial" w:cs="Arial"/>
          <w:shd w:val="clear" w:color="auto" w:fill="FFFFFF"/>
          <w:lang w:val="en-GB"/>
        </w:rPr>
        <w:t xml:space="preserve">ourt reasoned, the landlord was prevented from providing peaceful enjoyment with the result that it was not </w:t>
      </w:r>
      <w:r w:rsidR="000E2DD4" w:rsidRPr="00070A6C">
        <w:rPr>
          <w:rFonts w:ascii="Arial" w:hAnsi="Arial" w:cs="Arial"/>
          <w:shd w:val="clear" w:color="auto" w:fill="FFFFFF"/>
          <w:lang w:val="en-GB"/>
        </w:rPr>
        <w:t>able</w:t>
      </w:r>
      <w:r w:rsidRPr="00070A6C">
        <w:rPr>
          <w:rFonts w:ascii="Arial" w:hAnsi="Arial" w:cs="Arial"/>
          <w:shd w:val="clear" w:color="auto" w:fill="FFFFFF"/>
          <w:lang w:val="en-GB"/>
        </w:rPr>
        <w:t xml:space="preserve"> to demand payment of rental.  In the result the </w:t>
      </w:r>
      <w:r w:rsidR="00DB5B13" w:rsidRPr="00070A6C">
        <w:rPr>
          <w:rFonts w:ascii="Arial" w:hAnsi="Arial" w:cs="Arial"/>
          <w:shd w:val="clear" w:color="auto" w:fill="FFFFFF"/>
          <w:lang w:val="en-GB"/>
        </w:rPr>
        <w:t>c</w:t>
      </w:r>
      <w:r w:rsidRPr="00070A6C">
        <w:rPr>
          <w:rFonts w:ascii="Arial" w:hAnsi="Arial" w:cs="Arial"/>
          <w:shd w:val="clear" w:color="auto" w:fill="FFFFFF"/>
          <w:lang w:val="en-GB"/>
        </w:rPr>
        <w:t>ourt granted a reduction of rental.</w:t>
      </w:r>
    </w:p>
    <w:p w14:paraId="460FDED5" w14:textId="1FC79FC4" w:rsidR="003D0E7C" w:rsidRPr="00070A6C" w:rsidRDefault="003D0E7C" w:rsidP="003D0E7C">
      <w:pPr>
        <w:spacing w:after="360" w:line="360" w:lineRule="auto"/>
        <w:jc w:val="both"/>
        <w:rPr>
          <w:rFonts w:ascii="Arial" w:hAnsi="Arial" w:cs="Arial"/>
          <w:i/>
          <w:iCs/>
          <w:lang w:val="en-GB"/>
        </w:rPr>
      </w:pPr>
      <w:r w:rsidRPr="00070A6C">
        <w:rPr>
          <w:rFonts w:ascii="Arial" w:hAnsi="Arial" w:cs="Arial"/>
          <w:i/>
          <w:iCs/>
          <w:lang w:val="en-GB"/>
        </w:rPr>
        <w:t>Express agreement excluding the doctrine</w:t>
      </w:r>
    </w:p>
    <w:p w14:paraId="3FF25F5B" w14:textId="44163466" w:rsidR="00865AD4" w:rsidRPr="00070A6C" w:rsidRDefault="003D0E7C" w:rsidP="00AF5234">
      <w:pPr>
        <w:pStyle w:val="Myown"/>
        <w:numPr>
          <w:ilvl w:val="0"/>
          <w:numId w:val="5"/>
        </w:numPr>
        <w:spacing w:after="360" w:line="360" w:lineRule="auto"/>
        <w:jc w:val="both"/>
        <w:rPr>
          <w:rFonts w:ascii="Arial" w:hAnsi="Arial" w:cs="Arial"/>
          <w:lang w:val="en-GB"/>
        </w:rPr>
      </w:pPr>
      <w:r w:rsidRPr="00070A6C">
        <w:rPr>
          <w:rFonts w:ascii="Arial" w:hAnsi="Arial" w:cs="Arial"/>
          <w:lang w:val="en-GB"/>
        </w:rPr>
        <w:t>T</w:t>
      </w:r>
      <w:r w:rsidR="00865AD4" w:rsidRPr="00070A6C">
        <w:rPr>
          <w:rFonts w:ascii="Arial" w:hAnsi="Arial" w:cs="Arial"/>
          <w:lang w:val="en-GB"/>
        </w:rPr>
        <w:t xml:space="preserve">he doctrine of supervening impossibility is not unlimited.  </w:t>
      </w:r>
      <w:r w:rsidR="008D25C1" w:rsidRPr="00070A6C">
        <w:rPr>
          <w:rFonts w:ascii="Arial" w:hAnsi="Arial" w:cs="Arial"/>
          <w:i/>
          <w:iCs/>
          <w:lang w:val="en-GB"/>
        </w:rPr>
        <w:t>P</w:t>
      </w:r>
      <w:r w:rsidR="00865AD4" w:rsidRPr="00070A6C">
        <w:rPr>
          <w:rFonts w:ascii="Arial" w:hAnsi="Arial" w:cs="Arial"/>
          <w:i/>
          <w:iCs/>
          <w:lang w:val="en-GB"/>
        </w:rPr>
        <w:t xml:space="preserve">acta sunt servanda </w:t>
      </w:r>
      <w:r w:rsidR="00865AD4" w:rsidRPr="00070A6C">
        <w:rPr>
          <w:rFonts w:ascii="Arial" w:hAnsi="Arial" w:cs="Arial"/>
          <w:lang w:val="en-GB"/>
        </w:rPr>
        <w:t>remains the basis of our contract law</w:t>
      </w:r>
      <w:r w:rsidR="00F402EE" w:rsidRPr="00070A6C">
        <w:rPr>
          <w:rStyle w:val="FootnoteReference"/>
          <w:rFonts w:ascii="Arial" w:hAnsi="Arial" w:cs="Arial"/>
          <w:lang w:val="en-GB"/>
        </w:rPr>
        <w:footnoteReference w:id="30"/>
      </w:r>
      <w:r w:rsidR="00865AD4" w:rsidRPr="00070A6C">
        <w:rPr>
          <w:rFonts w:ascii="Arial" w:hAnsi="Arial" w:cs="Arial"/>
          <w:lang w:val="en-GB"/>
        </w:rPr>
        <w:t xml:space="preserve"> </w:t>
      </w:r>
      <w:r w:rsidR="008D25C1" w:rsidRPr="00070A6C">
        <w:rPr>
          <w:rFonts w:ascii="Arial" w:hAnsi="Arial" w:cs="Arial"/>
          <w:lang w:val="en-GB"/>
        </w:rPr>
        <w:t>and</w:t>
      </w:r>
      <w:r w:rsidR="004A7235" w:rsidRPr="00070A6C">
        <w:rPr>
          <w:rFonts w:ascii="Arial" w:hAnsi="Arial" w:cs="Arial"/>
          <w:lang w:val="en-GB"/>
        </w:rPr>
        <w:t xml:space="preserve"> </w:t>
      </w:r>
      <w:r w:rsidR="008D25C1" w:rsidRPr="00070A6C">
        <w:rPr>
          <w:rFonts w:ascii="Arial" w:hAnsi="Arial" w:cs="Arial"/>
          <w:lang w:val="en-GB"/>
        </w:rPr>
        <w:t>a</w:t>
      </w:r>
      <w:r w:rsidR="00865AD4" w:rsidRPr="00070A6C">
        <w:rPr>
          <w:rFonts w:ascii="Arial" w:hAnsi="Arial" w:cs="Arial"/>
          <w:lang w:val="en-GB"/>
        </w:rPr>
        <w:t>nything possible and honourable, provided it is not contrary to public policy, can be contractually agreed.  Parties to a lease can therefore modify or even exclude common law, but they must do so expressly.</w:t>
      </w:r>
      <w:r w:rsidR="00865AD4" w:rsidRPr="00070A6C">
        <w:rPr>
          <w:rStyle w:val="FootnoteReference"/>
          <w:rFonts w:ascii="Arial" w:hAnsi="Arial" w:cs="Arial"/>
          <w:lang w:val="en-GB"/>
        </w:rPr>
        <w:footnoteReference w:id="31"/>
      </w:r>
      <w:r w:rsidR="00865AD4" w:rsidRPr="00070A6C">
        <w:rPr>
          <w:rFonts w:ascii="Arial" w:hAnsi="Arial" w:cs="Arial"/>
          <w:lang w:val="en-GB"/>
        </w:rPr>
        <w:t xml:space="preserve">  </w:t>
      </w:r>
    </w:p>
    <w:p w14:paraId="2D6FBD2C" w14:textId="5ED3C324" w:rsidR="008D25C1" w:rsidRPr="00070A6C" w:rsidRDefault="00DD65B8" w:rsidP="00AF5234">
      <w:pPr>
        <w:pStyle w:val="ListParagraph"/>
        <w:numPr>
          <w:ilvl w:val="0"/>
          <w:numId w:val="5"/>
        </w:numPr>
        <w:spacing w:after="360" w:line="360" w:lineRule="auto"/>
        <w:contextualSpacing w:val="0"/>
        <w:jc w:val="both"/>
        <w:rPr>
          <w:rFonts w:ascii="Arial" w:hAnsi="Arial" w:cs="Arial"/>
          <w:color w:val="000000" w:themeColor="text1"/>
          <w:lang w:val="en-GB"/>
        </w:rPr>
      </w:pPr>
      <w:r w:rsidRPr="00070A6C">
        <w:rPr>
          <w:rFonts w:ascii="Arial" w:hAnsi="Arial" w:cs="Arial"/>
          <w:color w:val="000000" w:themeColor="text1"/>
          <w:lang w:val="en-GB"/>
        </w:rPr>
        <w:t>The supervening impossibility doctrine functions as a term that is implied into a contract and will operate on the basis that</w:t>
      </w:r>
      <w:r w:rsidR="0047768A">
        <w:rPr>
          <w:rFonts w:ascii="Arial" w:hAnsi="Arial" w:cs="Arial"/>
          <w:color w:val="000000" w:themeColor="text1"/>
          <w:lang w:val="en-GB"/>
        </w:rPr>
        <w:t>,</w:t>
      </w:r>
      <w:r w:rsidRPr="00070A6C">
        <w:rPr>
          <w:rFonts w:ascii="Arial" w:hAnsi="Arial" w:cs="Arial"/>
          <w:color w:val="000000" w:themeColor="text1"/>
          <w:lang w:val="en-GB"/>
        </w:rPr>
        <w:t xml:space="preserve"> when performance becomes objectively impossible, the contractual obligations will be extinguished.  This is unless the parties agree expressly otherwise.  The plaintiff contends that certain terms of the lease constitute an express exclusion of the operation of the doctrine.  In support thereof, the plaintiff relied on clauses 4, 17, 20</w:t>
      </w:r>
      <w:r w:rsidR="00B9442B" w:rsidRPr="00070A6C">
        <w:rPr>
          <w:rFonts w:ascii="Arial" w:hAnsi="Arial" w:cs="Arial"/>
          <w:color w:val="000000" w:themeColor="text1"/>
          <w:lang w:val="en-GB"/>
        </w:rPr>
        <w:t xml:space="preserve"> and 21 of the lease.  </w:t>
      </w:r>
    </w:p>
    <w:p w14:paraId="67E84039" w14:textId="77777777" w:rsidR="00865AD4" w:rsidRPr="00070A6C" w:rsidRDefault="00865AD4" w:rsidP="00AF5234">
      <w:pPr>
        <w:pStyle w:val="ListParagraph"/>
        <w:spacing w:after="360" w:line="360" w:lineRule="auto"/>
        <w:ind w:left="567"/>
        <w:contextualSpacing w:val="0"/>
        <w:jc w:val="both"/>
        <w:rPr>
          <w:rFonts w:ascii="Arial" w:hAnsi="Arial" w:cs="Arial"/>
          <w:color w:val="000000" w:themeColor="text1"/>
          <w:sz w:val="20"/>
          <w:szCs w:val="20"/>
          <w:lang w:val="en-GB"/>
        </w:rPr>
      </w:pPr>
      <w:r w:rsidRPr="00070A6C">
        <w:rPr>
          <w:rFonts w:ascii="Arial" w:hAnsi="Arial" w:cs="Arial"/>
          <w:color w:val="000000" w:themeColor="text1"/>
          <w:sz w:val="20"/>
          <w:szCs w:val="20"/>
          <w:lang w:val="en-GB"/>
        </w:rPr>
        <w:t>“4.1</w:t>
      </w:r>
      <w:r w:rsidRPr="00070A6C">
        <w:rPr>
          <w:rFonts w:ascii="Arial" w:hAnsi="Arial" w:cs="Arial"/>
          <w:color w:val="000000" w:themeColor="text1"/>
          <w:sz w:val="20"/>
          <w:szCs w:val="20"/>
          <w:lang w:val="en-GB"/>
        </w:rPr>
        <w:tab/>
        <w:t>The Total Monthly Rental is payable monthly in advance, on the first day of every month, free of exchange and without deduction or set-off, to the Landlord's nominated agent at the agent's address.”</w:t>
      </w:r>
    </w:p>
    <w:p w14:paraId="53F4C5E3" w14:textId="77777777" w:rsidR="00865AD4" w:rsidRPr="00070A6C" w:rsidRDefault="00865AD4" w:rsidP="00AF5234">
      <w:pPr>
        <w:pStyle w:val="ListParagraph"/>
        <w:spacing w:after="360" w:line="360" w:lineRule="auto"/>
        <w:ind w:left="567"/>
        <w:contextualSpacing w:val="0"/>
        <w:jc w:val="both"/>
        <w:rPr>
          <w:rFonts w:ascii="Arial" w:hAnsi="Arial" w:cs="Arial"/>
          <w:color w:val="000000" w:themeColor="text1"/>
          <w:sz w:val="20"/>
          <w:szCs w:val="20"/>
          <w:lang w:val="en-GB"/>
        </w:rPr>
      </w:pPr>
      <w:r w:rsidRPr="00070A6C">
        <w:rPr>
          <w:rFonts w:ascii="Arial" w:hAnsi="Arial" w:cs="Arial"/>
          <w:color w:val="000000" w:themeColor="text1"/>
          <w:sz w:val="20"/>
          <w:szCs w:val="20"/>
          <w:lang w:val="en-GB"/>
        </w:rPr>
        <w:t>“4.5</w:t>
      </w:r>
      <w:r w:rsidRPr="00070A6C">
        <w:rPr>
          <w:rFonts w:ascii="Arial" w:hAnsi="Arial" w:cs="Arial"/>
          <w:color w:val="000000" w:themeColor="text1"/>
          <w:sz w:val="20"/>
          <w:szCs w:val="20"/>
          <w:lang w:val="en-GB"/>
        </w:rPr>
        <w:tab/>
        <w:t>The Tenant may not withhold the payment of the Total Monthly Rental and any other amounts for any reason whatsoever subject to the provisions contained in this Lease.”</w:t>
      </w:r>
    </w:p>
    <w:p w14:paraId="705886FB" w14:textId="42EADBA3" w:rsidR="00865AD4" w:rsidRPr="00070A6C" w:rsidRDefault="00865AD4" w:rsidP="00AF5234">
      <w:pPr>
        <w:pStyle w:val="ListParagraph"/>
        <w:spacing w:after="360" w:line="360" w:lineRule="auto"/>
        <w:ind w:left="567"/>
        <w:contextualSpacing w:val="0"/>
        <w:jc w:val="both"/>
        <w:rPr>
          <w:rFonts w:ascii="Arial" w:hAnsi="Arial" w:cs="Arial"/>
          <w:color w:val="000000" w:themeColor="text1"/>
          <w:sz w:val="20"/>
          <w:szCs w:val="20"/>
          <w:lang w:val="en-GB"/>
        </w:rPr>
      </w:pPr>
      <w:r w:rsidRPr="00070A6C">
        <w:rPr>
          <w:rFonts w:ascii="Arial" w:hAnsi="Arial" w:cs="Arial"/>
          <w:color w:val="000000" w:themeColor="text1"/>
          <w:sz w:val="20"/>
          <w:szCs w:val="20"/>
          <w:lang w:val="en-GB"/>
        </w:rPr>
        <w:t>“17.</w:t>
      </w:r>
      <w:r w:rsidRPr="00070A6C">
        <w:rPr>
          <w:rFonts w:ascii="Arial" w:hAnsi="Arial" w:cs="Arial"/>
          <w:color w:val="000000" w:themeColor="text1"/>
          <w:sz w:val="20"/>
          <w:szCs w:val="20"/>
          <w:lang w:val="en-GB"/>
        </w:rPr>
        <w:tab/>
        <w:t xml:space="preserve">The Tenant shall have no claim of whatever nature, whether for remission of rent, inconvenience, financial loss or otherwise, by reason of the Property and/or the Leased Premises falling into a state of disrepair and/or by reason of the interruption of any services (including but </w:t>
      </w:r>
      <w:r w:rsidRPr="00070A6C">
        <w:rPr>
          <w:rFonts w:ascii="Arial" w:hAnsi="Arial" w:cs="Arial"/>
          <w:color w:val="000000" w:themeColor="text1"/>
          <w:sz w:val="20"/>
          <w:szCs w:val="20"/>
          <w:lang w:val="en-GB"/>
        </w:rPr>
        <w:lastRenderedPageBreak/>
        <w:t>not limited to the supply of electricity, water, air-conditioning and/or lifts) relating thereto, or by reason of any maintenance</w:t>
      </w:r>
      <w:r w:rsidR="00D810F0" w:rsidRPr="00070A6C">
        <w:rPr>
          <w:rFonts w:ascii="Arial" w:hAnsi="Arial" w:cs="Arial"/>
          <w:color w:val="000000" w:themeColor="text1"/>
          <w:sz w:val="20"/>
          <w:szCs w:val="20"/>
          <w:lang w:val="en-GB"/>
        </w:rPr>
        <w:t>,</w:t>
      </w:r>
      <w:r w:rsidRPr="00070A6C">
        <w:rPr>
          <w:rFonts w:ascii="Arial" w:hAnsi="Arial" w:cs="Arial"/>
          <w:color w:val="000000" w:themeColor="text1"/>
          <w:sz w:val="20"/>
          <w:szCs w:val="20"/>
          <w:lang w:val="en-GB"/>
        </w:rPr>
        <w:t xml:space="preserve"> repair, renovation rebuilding activities.”</w:t>
      </w:r>
    </w:p>
    <w:p w14:paraId="0F3F2C25" w14:textId="77777777" w:rsidR="00865AD4" w:rsidRPr="00070A6C" w:rsidRDefault="00865AD4" w:rsidP="00AF5234">
      <w:pPr>
        <w:pStyle w:val="ListParagraph"/>
        <w:spacing w:after="360" w:line="360" w:lineRule="auto"/>
        <w:ind w:left="567"/>
        <w:contextualSpacing w:val="0"/>
        <w:jc w:val="both"/>
        <w:rPr>
          <w:rFonts w:ascii="Arial" w:hAnsi="Arial" w:cs="Arial"/>
          <w:color w:val="000000" w:themeColor="text1"/>
          <w:sz w:val="20"/>
          <w:szCs w:val="20"/>
          <w:lang w:val="en-GB"/>
        </w:rPr>
      </w:pPr>
      <w:r w:rsidRPr="00070A6C">
        <w:rPr>
          <w:rFonts w:ascii="Arial" w:hAnsi="Arial" w:cs="Arial"/>
          <w:color w:val="000000" w:themeColor="text1"/>
          <w:sz w:val="20"/>
          <w:szCs w:val="20"/>
          <w:lang w:val="en-GB"/>
        </w:rPr>
        <w:t>“20.1</w:t>
      </w:r>
      <w:r w:rsidRPr="00070A6C">
        <w:rPr>
          <w:rFonts w:ascii="Arial" w:hAnsi="Arial" w:cs="Arial"/>
          <w:color w:val="000000" w:themeColor="text1"/>
          <w:sz w:val="20"/>
          <w:szCs w:val="20"/>
          <w:lang w:val="en-GB"/>
        </w:rPr>
        <w:tab/>
        <w:t>The Tenant shall (and shall bear all costs involved in doing so) comply with all laws, by-laws and regulations relating to tenants or occupiers of businesses in leased premises or affecting the conduct of any business carried on in the Leased Premises.”</w:t>
      </w:r>
    </w:p>
    <w:p w14:paraId="165F17F1" w14:textId="68ADEFE1" w:rsidR="00865AD4" w:rsidRPr="00070A6C" w:rsidRDefault="00865AD4" w:rsidP="00B9442B">
      <w:pPr>
        <w:pStyle w:val="ListParagraph"/>
        <w:spacing w:after="360" w:line="360" w:lineRule="auto"/>
        <w:ind w:left="567"/>
        <w:contextualSpacing w:val="0"/>
        <w:jc w:val="both"/>
        <w:rPr>
          <w:rFonts w:ascii="Arial" w:hAnsi="Arial" w:cs="Arial"/>
          <w:color w:val="000000" w:themeColor="text1"/>
          <w:sz w:val="20"/>
          <w:szCs w:val="20"/>
          <w:lang w:val="en-GB"/>
        </w:rPr>
      </w:pPr>
      <w:r w:rsidRPr="00070A6C">
        <w:rPr>
          <w:rFonts w:ascii="Arial" w:hAnsi="Arial" w:cs="Arial"/>
          <w:color w:val="000000" w:themeColor="text1"/>
          <w:sz w:val="20"/>
          <w:szCs w:val="20"/>
          <w:lang w:val="en-GB"/>
        </w:rPr>
        <w:t>“22.1</w:t>
      </w:r>
      <w:r w:rsidRPr="00070A6C">
        <w:rPr>
          <w:rFonts w:ascii="Arial" w:hAnsi="Arial" w:cs="Arial"/>
          <w:color w:val="000000" w:themeColor="text1"/>
          <w:sz w:val="20"/>
          <w:szCs w:val="20"/>
          <w:lang w:val="en-GB"/>
        </w:rPr>
        <w:tab/>
        <w:t>The Tenant shall have no right of action of whatsoever nature against the Landlord for damages, loss or otherwise, nor shall it be entitled to withhold or defer payment of rent, nor shall the Tenant be entitled to a remission of rent, by reason of overflow of water supply or fire or any leakage or any electrical fault or by reason of the elements of the weather or by reason of the Leased Premises or any other part of the Building or Property being in a defective condition or falling into disrepair or any particular repairs not being effected by the Landlord or by reason of there being any defect in the equipment of the Landlord or as a result of any other cause whatsoever.”</w:t>
      </w:r>
    </w:p>
    <w:p w14:paraId="44AECBE8" w14:textId="1A454A89" w:rsidR="006178E0" w:rsidRPr="00070A6C" w:rsidRDefault="006178E0"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The plaintiff primarily relies on clause 22.1 and specifically the words “</w:t>
      </w:r>
      <w:r w:rsidRPr="00070A6C">
        <w:rPr>
          <w:rFonts w:ascii="Arial" w:hAnsi="Arial" w:cs="Arial"/>
          <w:i/>
          <w:iCs/>
          <w:lang w:val="en-GB"/>
        </w:rPr>
        <w:t>any other cause whatsoever</w:t>
      </w:r>
      <w:r w:rsidRPr="00070A6C">
        <w:rPr>
          <w:rFonts w:ascii="Arial" w:hAnsi="Arial" w:cs="Arial"/>
          <w:lang w:val="en-GB"/>
        </w:rPr>
        <w:t xml:space="preserve">” to include the </w:t>
      </w:r>
      <w:r w:rsidR="00B9442B" w:rsidRPr="00070A6C">
        <w:rPr>
          <w:rFonts w:ascii="Arial" w:hAnsi="Arial" w:cs="Arial"/>
          <w:lang w:val="en-GB"/>
        </w:rPr>
        <w:t>Covid</w:t>
      </w:r>
      <w:r w:rsidR="00A6797C" w:rsidRPr="00070A6C">
        <w:rPr>
          <w:rFonts w:ascii="Arial" w:hAnsi="Arial" w:cs="Arial"/>
          <w:lang w:val="en-GB"/>
        </w:rPr>
        <w:t>-19</w:t>
      </w:r>
      <w:r w:rsidR="00B9442B" w:rsidRPr="00070A6C">
        <w:rPr>
          <w:rFonts w:ascii="Arial" w:hAnsi="Arial" w:cs="Arial"/>
          <w:lang w:val="en-GB"/>
        </w:rPr>
        <w:t xml:space="preserve"> </w:t>
      </w:r>
      <w:r w:rsidRPr="00070A6C">
        <w:rPr>
          <w:rFonts w:ascii="Arial" w:hAnsi="Arial" w:cs="Arial"/>
          <w:lang w:val="en-GB"/>
        </w:rPr>
        <w:t xml:space="preserve">pandemic.  As such, the plaintiff argued, the lease changed </w:t>
      </w:r>
      <w:r w:rsidR="00B9442B" w:rsidRPr="00070A6C">
        <w:rPr>
          <w:rFonts w:ascii="Arial" w:hAnsi="Arial" w:cs="Arial"/>
          <w:lang w:val="en-GB"/>
        </w:rPr>
        <w:t xml:space="preserve">the </w:t>
      </w:r>
      <w:r w:rsidRPr="00070A6C">
        <w:rPr>
          <w:rFonts w:ascii="Arial" w:hAnsi="Arial" w:cs="Arial"/>
          <w:lang w:val="en-GB"/>
        </w:rPr>
        <w:t xml:space="preserve">common law position </w:t>
      </w:r>
      <w:r w:rsidR="00B9442B" w:rsidRPr="00070A6C">
        <w:rPr>
          <w:rFonts w:ascii="Arial" w:hAnsi="Arial" w:cs="Arial"/>
          <w:lang w:val="en-GB"/>
        </w:rPr>
        <w:t xml:space="preserve">that </w:t>
      </w:r>
      <w:r w:rsidRPr="00070A6C">
        <w:rPr>
          <w:rFonts w:ascii="Arial" w:hAnsi="Arial" w:cs="Arial"/>
          <w:lang w:val="en-GB"/>
        </w:rPr>
        <w:t xml:space="preserve">the obligations are extinguished as the parties were entitled to do by </w:t>
      </w:r>
      <w:r w:rsidR="00B9442B" w:rsidRPr="00070A6C">
        <w:rPr>
          <w:rFonts w:ascii="Arial" w:hAnsi="Arial" w:cs="Arial"/>
          <w:lang w:val="en-GB"/>
        </w:rPr>
        <w:t xml:space="preserve">express </w:t>
      </w:r>
      <w:r w:rsidRPr="00070A6C">
        <w:rPr>
          <w:rFonts w:ascii="Arial" w:hAnsi="Arial" w:cs="Arial"/>
          <w:lang w:val="en-GB"/>
        </w:rPr>
        <w:t>agreement.</w:t>
      </w:r>
      <w:r w:rsidRPr="00070A6C">
        <w:rPr>
          <w:rStyle w:val="FootnoteReference"/>
          <w:rFonts w:ascii="Arial" w:hAnsi="Arial" w:cs="Arial"/>
          <w:lang w:val="en-GB"/>
        </w:rPr>
        <w:footnoteReference w:id="32"/>
      </w:r>
      <w:r w:rsidRPr="00070A6C">
        <w:rPr>
          <w:rFonts w:ascii="Arial" w:hAnsi="Arial" w:cs="Arial"/>
          <w:lang w:val="en-GB"/>
        </w:rPr>
        <w:t xml:space="preserve"> </w:t>
      </w:r>
      <w:r w:rsidR="0068652C" w:rsidRPr="00070A6C">
        <w:rPr>
          <w:rFonts w:ascii="Arial" w:hAnsi="Arial" w:cs="Arial"/>
          <w:lang w:val="en-GB"/>
        </w:rPr>
        <w:t xml:space="preserve"> </w:t>
      </w:r>
      <w:r w:rsidR="00B9442B" w:rsidRPr="00070A6C">
        <w:rPr>
          <w:rFonts w:ascii="Arial" w:hAnsi="Arial" w:cs="Arial"/>
          <w:lang w:val="en-GB"/>
        </w:rPr>
        <w:t>The defendant’s counsel</w:t>
      </w:r>
      <w:r w:rsidR="0068652C" w:rsidRPr="00070A6C">
        <w:rPr>
          <w:rFonts w:ascii="Arial" w:hAnsi="Arial" w:cs="Arial"/>
          <w:lang w:val="en-GB"/>
        </w:rPr>
        <w:t xml:space="preserve"> argued that, when reading clause 22.1 in its entirety, it does not provide for the Covid</w:t>
      </w:r>
      <w:r w:rsidR="00A6797C" w:rsidRPr="00070A6C">
        <w:rPr>
          <w:rFonts w:ascii="Arial" w:hAnsi="Arial" w:cs="Arial"/>
          <w:lang w:val="en-GB"/>
        </w:rPr>
        <w:t>-19</w:t>
      </w:r>
      <w:r w:rsidR="0068652C" w:rsidRPr="00070A6C">
        <w:rPr>
          <w:rFonts w:ascii="Arial" w:hAnsi="Arial" w:cs="Arial"/>
          <w:lang w:val="en-GB"/>
        </w:rPr>
        <w:t xml:space="preserve"> pandemic</w:t>
      </w:r>
      <w:r w:rsidR="00B9442B" w:rsidRPr="00070A6C">
        <w:rPr>
          <w:rFonts w:ascii="Arial" w:hAnsi="Arial" w:cs="Arial"/>
          <w:lang w:val="en-GB"/>
        </w:rPr>
        <w:t xml:space="preserve"> and that</w:t>
      </w:r>
      <w:r w:rsidR="0068652C" w:rsidRPr="00070A6C">
        <w:rPr>
          <w:rFonts w:ascii="Arial" w:hAnsi="Arial" w:cs="Arial"/>
          <w:lang w:val="en-GB"/>
        </w:rPr>
        <w:t xml:space="preserve"> neither clause 17 nor clause 22.1 excluded the defendant’s common law rights </w:t>
      </w:r>
      <w:r w:rsidR="00B9442B" w:rsidRPr="00070A6C">
        <w:rPr>
          <w:rFonts w:ascii="Arial" w:hAnsi="Arial" w:cs="Arial"/>
          <w:lang w:val="en-GB"/>
        </w:rPr>
        <w:t>relating</w:t>
      </w:r>
      <w:r w:rsidR="0068652C" w:rsidRPr="00070A6C">
        <w:rPr>
          <w:rFonts w:ascii="Arial" w:hAnsi="Arial" w:cs="Arial"/>
          <w:lang w:val="en-GB"/>
        </w:rPr>
        <w:t xml:space="preserve"> to supervening </w:t>
      </w:r>
      <w:r w:rsidR="00B9442B" w:rsidRPr="00070A6C">
        <w:rPr>
          <w:rFonts w:ascii="Arial" w:hAnsi="Arial" w:cs="Arial"/>
          <w:lang w:val="en-GB"/>
        </w:rPr>
        <w:t>impossibility</w:t>
      </w:r>
      <w:r w:rsidR="0068652C" w:rsidRPr="00070A6C">
        <w:rPr>
          <w:rFonts w:ascii="Arial" w:hAnsi="Arial" w:cs="Arial"/>
          <w:lang w:val="en-GB"/>
        </w:rPr>
        <w:t>.</w:t>
      </w:r>
    </w:p>
    <w:p w14:paraId="106029A4" w14:textId="77777777" w:rsidR="00B56406" w:rsidRPr="00070A6C" w:rsidRDefault="00B9442B" w:rsidP="00B56406">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For</w:t>
      </w:r>
      <w:r w:rsidR="00865AD4" w:rsidRPr="00070A6C">
        <w:rPr>
          <w:rFonts w:ascii="Arial" w:hAnsi="Arial" w:cs="Arial"/>
          <w:lang w:val="en-GB"/>
        </w:rPr>
        <w:t xml:space="preserve"> the lease to exclude the defendant’s common law right to claim a remission of rental, the lease would need to be unequivocal in its terms.  </w:t>
      </w:r>
      <w:r w:rsidR="00590D03" w:rsidRPr="00070A6C">
        <w:rPr>
          <w:rFonts w:ascii="Arial" w:eastAsiaTheme="minorHAnsi" w:hAnsi="Arial" w:cs="Arial"/>
          <w:color w:val="000000"/>
          <w:lang w:val="en-GB" w:eastAsia="en-US"/>
        </w:rPr>
        <w:t>For purposes of summary judgment, I am not persuaded by the plaintiff’s argument that the parties have agreed that the defendant is not entitled</w:t>
      </w:r>
      <w:r w:rsidR="00FC357F" w:rsidRPr="00070A6C">
        <w:rPr>
          <w:rFonts w:ascii="Arial" w:eastAsiaTheme="minorHAnsi" w:hAnsi="Arial" w:cs="Arial"/>
          <w:color w:val="000000"/>
          <w:lang w:val="en-GB" w:eastAsia="en-US"/>
        </w:rPr>
        <w:t>, in these circumstances,</w:t>
      </w:r>
      <w:r w:rsidR="00590D03" w:rsidRPr="00070A6C">
        <w:rPr>
          <w:rFonts w:ascii="Arial" w:eastAsiaTheme="minorHAnsi" w:hAnsi="Arial" w:cs="Arial"/>
          <w:color w:val="000000"/>
          <w:lang w:val="en-GB" w:eastAsia="en-US"/>
        </w:rPr>
        <w:t xml:space="preserve"> to withhold or defer payment of rent and is not entitled to a remission of rental and that, as a result, the defendant is precluded from relying upon supervening</w:t>
      </w:r>
      <w:r w:rsidR="00590D03" w:rsidRPr="00070A6C">
        <w:rPr>
          <w:rFonts w:ascii="Arial" w:hAnsi="Arial" w:cs="Arial"/>
          <w:lang w:val="en-GB"/>
        </w:rPr>
        <w:t xml:space="preserve"> </w:t>
      </w:r>
      <w:r w:rsidR="00590D03" w:rsidRPr="00070A6C">
        <w:rPr>
          <w:rFonts w:ascii="Arial" w:eastAsiaTheme="minorHAnsi" w:hAnsi="Arial" w:cs="Arial"/>
          <w:color w:val="000000"/>
          <w:lang w:val="en-GB" w:eastAsia="en-US"/>
        </w:rPr>
        <w:t>impossibility of performance and from claiming a remission of rental</w:t>
      </w:r>
      <w:r w:rsidR="00FC357F" w:rsidRPr="00070A6C">
        <w:rPr>
          <w:rFonts w:ascii="Arial" w:eastAsiaTheme="minorHAnsi" w:hAnsi="Arial" w:cs="Arial"/>
          <w:color w:val="000000"/>
          <w:lang w:val="en-GB" w:eastAsia="en-US"/>
        </w:rPr>
        <w:t xml:space="preserve">.  Consequently, </w:t>
      </w:r>
      <w:r w:rsidR="00A6797C" w:rsidRPr="00070A6C">
        <w:rPr>
          <w:rFonts w:ascii="Arial" w:eastAsiaTheme="minorHAnsi" w:hAnsi="Arial" w:cs="Arial"/>
          <w:color w:val="000000"/>
          <w:lang w:val="en-GB" w:eastAsia="en-US"/>
        </w:rPr>
        <w:t>a</w:t>
      </w:r>
      <w:r w:rsidR="00FC357F" w:rsidRPr="00070A6C">
        <w:rPr>
          <w:rFonts w:ascii="Arial" w:eastAsiaTheme="minorHAnsi" w:hAnsi="Arial" w:cs="Arial"/>
          <w:color w:val="000000"/>
          <w:lang w:val="en-GB" w:eastAsia="en-US"/>
        </w:rPr>
        <w:t xml:space="preserve"> find</w:t>
      </w:r>
      <w:r w:rsidR="00A6797C" w:rsidRPr="00070A6C">
        <w:rPr>
          <w:rFonts w:ascii="Arial" w:eastAsiaTheme="minorHAnsi" w:hAnsi="Arial" w:cs="Arial"/>
          <w:color w:val="000000"/>
          <w:lang w:val="en-GB" w:eastAsia="en-US"/>
        </w:rPr>
        <w:t>ing</w:t>
      </w:r>
      <w:r w:rsidR="00FC357F" w:rsidRPr="00070A6C">
        <w:rPr>
          <w:rFonts w:ascii="Arial" w:eastAsiaTheme="minorHAnsi" w:hAnsi="Arial" w:cs="Arial"/>
          <w:color w:val="000000"/>
          <w:lang w:val="en-GB" w:eastAsia="en-US"/>
        </w:rPr>
        <w:t xml:space="preserve"> in these proceedings that </w:t>
      </w:r>
      <w:r w:rsidR="00590D03" w:rsidRPr="00070A6C">
        <w:rPr>
          <w:rFonts w:ascii="Arial" w:eastAsiaTheme="minorHAnsi" w:hAnsi="Arial" w:cs="Arial"/>
          <w:color w:val="000000"/>
          <w:lang w:val="en-GB" w:eastAsia="en-US"/>
        </w:rPr>
        <w:t xml:space="preserve">the terms of the lease are adequate to </w:t>
      </w:r>
      <w:r w:rsidR="00A6797C" w:rsidRPr="00070A6C">
        <w:rPr>
          <w:rFonts w:ascii="Arial" w:eastAsiaTheme="minorHAnsi" w:hAnsi="Arial" w:cs="Arial"/>
          <w:color w:val="000000"/>
          <w:lang w:val="en-GB" w:eastAsia="en-US"/>
        </w:rPr>
        <w:t xml:space="preserve">exclude the operation of the doctrine of supervening impossibility and the defences the defendant may have pursuant thereto </w:t>
      </w:r>
      <w:r w:rsidR="00A6797C" w:rsidRPr="00070A6C">
        <w:rPr>
          <w:rFonts w:ascii="Arial" w:eastAsiaTheme="minorHAnsi" w:hAnsi="Arial" w:cs="Arial"/>
          <w:color w:val="000000"/>
          <w:lang w:val="en-GB" w:eastAsia="en-US"/>
        </w:rPr>
        <w:lastRenderedPageBreak/>
        <w:t xml:space="preserve">may, before the leading of permissible evidence and full argument during a trial, be premature.  </w:t>
      </w:r>
    </w:p>
    <w:p w14:paraId="06D45217" w14:textId="02B64707" w:rsidR="006743BB" w:rsidRPr="00070A6C" w:rsidRDefault="00B56406" w:rsidP="00B56406">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But even if the terms of the lease are adequately phrased to exclude the doctrine, the validity and enforceability thereof may be disputed.  It is fathomable (although I could not find any contemporary authority in support) that, given the worldwide Covid-19 pandemic and the severe consequences thereof, not only on the health of people but also the adverse effect on economies, that a term in a lease compelling a tenant to make payment of the full agreed rental without an entitlement to a remission thereof is contrary to public policy and accordingly not valid or enforceable. </w:t>
      </w:r>
    </w:p>
    <w:p w14:paraId="25CF7C1C" w14:textId="08DC8BCB" w:rsidR="00B56406" w:rsidRPr="00070A6C" w:rsidRDefault="00B56406" w:rsidP="00B56406">
      <w:pPr>
        <w:spacing w:after="360" w:line="360" w:lineRule="auto"/>
        <w:jc w:val="both"/>
        <w:rPr>
          <w:rFonts w:ascii="Arial" w:hAnsi="Arial" w:cs="Arial"/>
          <w:i/>
          <w:iCs/>
          <w:lang w:val="en-GB"/>
        </w:rPr>
      </w:pPr>
      <w:r w:rsidRPr="00070A6C">
        <w:rPr>
          <w:rFonts w:ascii="Arial" w:hAnsi="Arial" w:cs="Arial"/>
          <w:i/>
          <w:iCs/>
          <w:lang w:val="en-GB"/>
        </w:rPr>
        <w:t>Direct impact</w:t>
      </w:r>
    </w:p>
    <w:p w14:paraId="352C05F7" w14:textId="7CDB0DF2" w:rsidR="00022E9A" w:rsidRPr="00070A6C" w:rsidRDefault="0027064F"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During the hearing of the matter </w:t>
      </w:r>
      <w:r w:rsidRPr="00070A6C">
        <w:rPr>
          <w:rFonts w:ascii="Arial" w:hAnsi="Arial" w:cs="Arial"/>
          <w:color w:val="000000" w:themeColor="text1"/>
          <w:lang w:val="en-GB"/>
        </w:rPr>
        <w:t>t</w:t>
      </w:r>
      <w:r w:rsidR="009728D3" w:rsidRPr="00070A6C">
        <w:rPr>
          <w:rFonts w:ascii="Arial" w:hAnsi="Arial" w:cs="Arial"/>
          <w:lang w:val="en-GB"/>
        </w:rPr>
        <w:t>he plaintiff</w:t>
      </w:r>
      <w:r w:rsidRPr="00070A6C">
        <w:rPr>
          <w:rFonts w:ascii="Arial" w:hAnsi="Arial" w:cs="Arial"/>
          <w:lang w:val="en-GB"/>
        </w:rPr>
        <w:t>’s counsel</w:t>
      </w:r>
      <w:r w:rsidR="009728D3" w:rsidRPr="00070A6C">
        <w:rPr>
          <w:rFonts w:ascii="Arial" w:hAnsi="Arial" w:cs="Arial"/>
          <w:lang w:val="en-GB"/>
        </w:rPr>
        <w:t xml:space="preserve"> </w:t>
      </w:r>
      <w:r w:rsidRPr="00070A6C">
        <w:rPr>
          <w:rFonts w:ascii="Arial" w:hAnsi="Arial" w:cs="Arial"/>
          <w:lang w:val="en-GB"/>
        </w:rPr>
        <w:t>argued</w:t>
      </w:r>
      <w:r w:rsidR="009728D3" w:rsidRPr="00070A6C">
        <w:rPr>
          <w:rFonts w:ascii="Arial" w:hAnsi="Arial" w:cs="Arial"/>
          <w:lang w:val="en-GB"/>
        </w:rPr>
        <w:t xml:space="preserve"> that the alert level lockdown had no direct impact on the defendant’s occupation of the </w:t>
      </w:r>
      <w:r w:rsidRPr="00070A6C">
        <w:rPr>
          <w:rFonts w:ascii="Arial" w:hAnsi="Arial" w:cs="Arial"/>
          <w:lang w:val="en-GB"/>
        </w:rPr>
        <w:t>premises</w:t>
      </w:r>
      <w:r w:rsidR="009728D3" w:rsidRPr="00070A6C">
        <w:rPr>
          <w:rFonts w:ascii="Arial" w:hAnsi="Arial" w:cs="Arial"/>
          <w:lang w:val="en-GB"/>
        </w:rPr>
        <w:t xml:space="preserve"> and accordingly that the impossibility of performance did not excuse the defendant from making payment in terms of the lease. </w:t>
      </w:r>
      <w:r w:rsidR="00022E9A" w:rsidRPr="00070A6C">
        <w:rPr>
          <w:rFonts w:ascii="Arial" w:hAnsi="Arial" w:cs="Arial"/>
          <w:lang w:val="en-GB"/>
        </w:rPr>
        <w:t xml:space="preserve"> </w:t>
      </w:r>
      <w:r w:rsidR="00FC357F" w:rsidRPr="00070A6C">
        <w:rPr>
          <w:rFonts w:ascii="Arial" w:hAnsi="Arial" w:cs="Arial"/>
          <w:lang w:val="en-GB"/>
        </w:rPr>
        <w:t>It was</w:t>
      </w:r>
      <w:r w:rsidR="00022E9A" w:rsidRPr="00070A6C">
        <w:rPr>
          <w:rFonts w:ascii="Arial" w:hAnsi="Arial" w:cs="Arial"/>
          <w:lang w:val="en-GB"/>
        </w:rPr>
        <w:t xml:space="preserve"> further argued that the lockdown regulations did not prevent the defendant from occupying the premises nor did it cause the premises not to be fit for the purposes it was leased by the defendant - it was </w:t>
      </w:r>
      <w:r w:rsidR="00B56406" w:rsidRPr="00070A6C">
        <w:rPr>
          <w:rFonts w:ascii="Arial" w:hAnsi="Arial" w:cs="Arial"/>
          <w:lang w:val="en-GB"/>
        </w:rPr>
        <w:t>“</w:t>
      </w:r>
      <w:r w:rsidR="00022E9A" w:rsidRPr="00070A6C">
        <w:rPr>
          <w:rFonts w:ascii="Arial" w:hAnsi="Arial" w:cs="Arial"/>
          <w:i/>
          <w:iCs/>
          <w:lang w:val="en-GB"/>
        </w:rPr>
        <w:t xml:space="preserve">an unfortunate consequence of the </w:t>
      </w:r>
      <w:r w:rsidR="00B56406" w:rsidRPr="00070A6C">
        <w:rPr>
          <w:rFonts w:ascii="Arial" w:hAnsi="Arial" w:cs="Arial"/>
          <w:i/>
          <w:iCs/>
          <w:lang w:val="en-GB"/>
        </w:rPr>
        <w:t>R</w:t>
      </w:r>
      <w:r w:rsidR="00022E9A" w:rsidRPr="00070A6C">
        <w:rPr>
          <w:rFonts w:ascii="Arial" w:hAnsi="Arial" w:cs="Arial"/>
          <w:i/>
          <w:iCs/>
          <w:lang w:val="en-GB"/>
        </w:rPr>
        <w:t>egulations</w:t>
      </w:r>
      <w:r w:rsidR="00B56406" w:rsidRPr="00070A6C">
        <w:rPr>
          <w:rFonts w:ascii="Arial" w:hAnsi="Arial" w:cs="Arial"/>
          <w:lang w:val="en-GB"/>
        </w:rPr>
        <w:t>”.</w:t>
      </w:r>
      <w:r w:rsidR="00022E9A" w:rsidRPr="00070A6C">
        <w:rPr>
          <w:rFonts w:ascii="Arial" w:hAnsi="Arial" w:cs="Arial"/>
          <w:lang w:val="en-GB"/>
        </w:rPr>
        <w:t xml:space="preserve">  This however, so the argument goes, does not mean that the plaintiff did not comply with its obligations in terms of the lease.</w:t>
      </w:r>
    </w:p>
    <w:p w14:paraId="17C086CE" w14:textId="58240789" w:rsidR="0087680B" w:rsidRPr="00070A6C" w:rsidRDefault="0027064F" w:rsidP="00AF5234">
      <w:pPr>
        <w:pStyle w:val="ListParagraph"/>
        <w:numPr>
          <w:ilvl w:val="0"/>
          <w:numId w:val="5"/>
        </w:numPr>
        <w:spacing w:after="360" w:line="360" w:lineRule="auto"/>
        <w:contextualSpacing w:val="0"/>
        <w:jc w:val="both"/>
        <w:rPr>
          <w:rFonts w:ascii="Arial" w:hAnsi="Arial" w:cs="Arial"/>
          <w:color w:val="000000" w:themeColor="text1"/>
          <w:lang w:val="en-GB"/>
        </w:rPr>
      </w:pPr>
      <w:r w:rsidRPr="00070A6C">
        <w:rPr>
          <w:rFonts w:ascii="Arial" w:hAnsi="Arial" w:cs="Arial"/>
          <w:lang w:val="en-GB"/>
        </w:rPr>
        <w:t xml:space="preserve">I agree with the </w:t>
      </w:r>
      <w:r w:rsidR="00022E9A" w:rsidRPr="00070A6C">
        <w:rPr>
          <w:rFonts w:ascii="Arial" w:hAnsi="Arial" w:cs="Arial"/>
          <w:lang w:val="en-GB"/>
        </w:rPr>
        <w:t>argument</w:t>
      </w:r>
      <w:r w:rsidRPr="00070A6C">
        <w:rPr>
          <w:rFonts w:ascii="Arial" w:hAnsi="Arial" w:cs="Arial"/>
          <w:lang w:val="en-GB"/>
        </w:rPr>
        <w:t xml:space="preserve"> only partially.  There </w:t>
      </w:r>
      <w:r w:rsidR="00FC357F" w:rsidRPr="00070A6C">
        <w:rPr>
          <w:rFonts w:ascii="Arial" w:hAnsi="Arial" w:cs="Arial"/>
          <w:lang w:val="en-GB"/>
        </w:rPr>
        <w:t>is</w:t>
      </w:r>
      <w:r w:rsidR="00B56406" w:rsidRPr="00070A6C">
        <w:rPr>
          <w:rFonts w:ascii="Arial" w:hAnsi="Arial" w:cs="Arial"/>
          <w:lang w:val="en-GB"/>
        </w:rPr>
        <w:t xml:space="preserve">, in my view, no </w:t>
      </w:r>
      <w:r w:rsidRPr="00070A6C">
        <w:rPr>
          <w:rFonts w:ascii="Arial" w:hAnsi="Arial" w:cs="Arial"/>
          <w:lang w:val="en-GB"/>
        </w:rPr>
        <w:t>doubt that the hard lockdown period had a direct impact on the defendant’s occupation of the premises</w:t>
      </w:r>
      <w:r w:rsidR="00022E9A" w:rsidRPr="00070A6C">
        <w:rPr>
          <w:rFonts w:ascii="Arial" w:hAnsi="Arial" w:cs="Arial"/>
          <w:lang w:val="en-GB"/>
        </w:rPr>
        <w:t xml:space="preserve"> and that it was because of the March 2020 Regulations that the defendant could neither occupy nor trade from the premises</w:t>
      </w:r>
      <w:r w:rsidRPr="00070A6C">
        <w:rPr>
          <w:rFonts w:ascii="Arial" w:hAnsi="Arial" w:cs="Arial"/>
          <w:lang w:val="en-GB"/>
        </w:rPr>
        <w:t>.</w:t>
      </w:r>
      <w:r w:rsidR="00022E9A" w:rsidRPr="00070A6C">
        <w:rPr>
          <w:rFonts w:ascii="Arial" w:hAnsi="Arial" w:cs="Arial"/>
          <w:lang w:val="en-GB"/>
        </w:rPr>
        <w:t xml:space="preserve">  </w:t>
      </w:r>
      <w:r w:rsidR="00B56406" w:rsidRPr="00070A6C">
        <w:rPr>
          <w:rFonts w:ascii="Arial" w:hAnsi="Arial" w:cs="Arial"/>
          <w:lang w:val="en-GB"/>
        </w:rPr>
        <w:t>But, a</w:t>
      </w:r>
      <w:r w:rsidR="00022E9A" w:rsidRPr="00070A6C">
        <w:rPr>
          <w:rFonts w:ascii="Arial" w:hAnsi="Arial" w:cs="Arial"/>
          <w:lang w:val="en-GB"/>
        </w:rPr>
        <w:t xml:space="preserve">s far as the restricted lockdown period is concerned, the position appears to be different.  </w:t>
      </w:r>
    </w:p>
    <w:p w14:paraId="6D9C99F6" w14:textId="6193AC07" w:rsidR="006178E0" w:rsidRPr="00070A6C" w:rsidRDefault="006178E0" w:rsidP="00AF5234">
      <w:pPr>
        <w:pStyle w:val="ListParagraph"/>
        <w:numPr>
          <w:ilvl w:val="0"/>
          <w:numId w:val="5"/>
        </w:numPr>
        <w:spacing w:after="360" w:line="360" w:lineRule="auto"/>
        <w:contextualSpacing w:val="0"/>
        <w:jc w:val="both"/>
        <w:rPr>
          <w:rFonts w:ascii="Arial" w:hAnsi="Arial" w:cs="Arial"/>
          <w:color w:val="000000" w:themeColor="text1"/>
          <w:lang w:val="en-GB"/>
        </w:rPr>
      </w:pPr>
      <w:r w:rsidRPr="00070A6C">
        <w:rPr>
          <w:rFonts w:ascii="Arial" w:hAnsi="Arial" w:cs="Arial"/>
          <w:color w:val="000000" w:themeColor="text1"/>
          <w:lang w:val="en-GB"/>
        </w:rPr>
        <w:t xml:space="preserve">Albeit that very little information about the defendant’s business was provided, it appears to me that the defendant was permitted to resume its business on 1 May 2020 (the restricted lockdown period) as was made possible by the April 2020 Regulations.  The plaintiff’s counsel argued that the </w:t>
      </w:r>
      <w:r w:rsidRPr="00070A6C">
        <w:rPr>
          <w:rFonts w:ascii="Arial" w:hAnsi="Arial" w:cs="Arial"/>
          <w:lang w:val="en-GB"/>
        </w:rPr>
        <w:t xml:space="preserve">defendant did not indicate what period it was not able to trade and to what extend it was not able to trade.  </w:t>
      </w:r>
      <w:r w:rsidR="00FC357F" w:rsidRPr="00070A6C">
        <w:rPr>
          <w:rFonts w:ascii="Arial" w:hAnsi="Arial" w:cs="Arial"/>
          <w:lang w:val="en-GB"/>
        </w:rPr>
        <w:t xml:space="preserve">I agree that </w:t>
      </w:r>
      <w:r w:rsidR="00FC357F" w:rsidRPr="00070A6C">
        <w:rPr>
          <w:rFonts w:ascii="Arial" w:hAnsi="Arial" w:cs="Arial"/>
          <w:lang w:val="en-GB"/>
        </w:rPr>
        <w:lastRenderedPageBreak/>
        <w:t xml:space="preserve">the defendant’s allegations in this regard lacks particularity. </w:t>
      </w:r>
      <w:r w:rsidRPr="00070A6C">
        <w:rPr>
          <w:rFonts w:ascii="Arial" w:hAnsi="Arial" w:cs="Arial"/>
          <w:lang w:val="en-GB"/>
        </w:rPr>
        <w:t xml:space="preserve">The defendant </w:t>
      </w:r>
      <w:r w:rsidR="00B56406" w:rsidRPr="00070A6C">
        <w:rPr>
          <w:rFonts w:ascii="Arial" w:hAnsi="Arial" w:cs="Arial"/>
          <w:lang w:val="en-GB"/>
        </w:rPr>
        <w:t xml:space="preserve">merely </w:t>
      </w:r>
      <w:r w:rsidRPr="00070A6C">
        <w:rPr>
          <w:rFonts w:ascii="Arial" w:hAnsi="Arial" w:cs="Arial"/>
          <w:lang w:val="en-GB"/>
        </w:rPr>
        <w:t>alleges that it could not “</w:t>
      </w:r>
      <w:r w:rsidRPr="00070A6C">
        <w:rPr>
          <w:rFonts w:ascii="Arial" w:hAnsi="Arial" w:cs="Arial"/>
          <w:i/>
          <w:iCs/>
          <w:lang w:val="en-GB"/>
        </w:rPr>
        <w:t>freely trade at all or not without severe restriction trade</w:t>
      </w:r>
      <w:r w:rsidRPr="00070A6C">
        <w:rPr>
          <w:rFonts w:ascii="Arial" w:hAnsi="Arial" w:cs="Arial"/>
          <w:lang w:val="en-GB"/>
        </w:rPr>
        <w:t xml:space="preserve">” between 27 March 2020 to 17 August 2020.  As far as I can determine, the defendant was able to trade from 1 May 2020.  I </w:t>
      </w:r>
      <w:r w:rsidR="00B56406" w:rsidRPr="00070A6C">
        <w:rPr>
          <w:rFonts w:ascii="Arial" w:hAnsi="Arial" w:cs="Arial"/>
          <w:lang w:val="en-GB"/>
        </w:rPr>
        <w:t xml:space="preserve">further </w:t>
      </w:r>
      <w:r w:rsidRPr="00070A6C">
        <w:rPr>
          <w:rFonts w:ascii="Arial" w:hAnsi="Arial" w:cs="Arial"/>
          <w:lang w:val="en-GB"/>
        </w:rPr>
        <w:t xml:space="preserve">cannot find any evidence that the plaintiff did not tender occupation of the premises to the defendant since 1 May 2020. </w:t>
      </w:r>
    </w:p>
    <w:p w14:paraId="3841B21C" w14:textId="22A54326" w:rsidR="003D0E7C" w:rsidRPr="00070A6C" w:rsidRDefault="003D0E7C" w:rsidP="003D0E7C">
      <w:pPr>
        <w:pStyle w:val="ListParagraph"/>
        <w:numPr>
          <w:ilvl w:val="0"/>
          <w:numId w:val="5"/>
        </w:numPr>
        <w:shd w:val="clear" w:color="auto" w:fill="FFFFFF" w:themeFill="background1"/>
        <w:spacing w:after="360" w:line="360" w:lineRule="auto"/>
        <w:contextualSpacing w:val="0"/>
        <w:jc w:val="both"/>
        <w:rPr>
          <w:rFonts w:ascii="Arial" w:hAnsi="Arial" w:cs="Arial"/>
          <w:lang w:val="en-GB"/>
        </w:rPr>
      </w:pPr>
      <w:r w:rsidRPr="00070A6C">
        <w:rPr>
          <w:rFonts w:ascii="Arial" w:hAnsi="Arial" w:cs="Arial"/>
          <w:color w:val="000000"/>
          <w:lang w:val="en-GB"/>
        </w:rPr>
        <w:t xml:space="preserve">In respect of the hard lockdown period, where the </w:t>
      </w:r>
      <w:r w:rsidR="00B56406" w:rsidRPr="00070A6C">
        <w:rPr>
          <w:rFonts w:ascii="Arial" w:hAnsi="Arial" w:cs="Arial"/>
          <w:color w:val="000000"/>
          <w:lang w:val="en-GB"/>
        </w:rPr>
        <w:t xml:space="preserve">March 2020 </w:t>
      </w:r>
      <w:r w:rsidRPr="00070A6C">
        <w:rPr>
          <w:rFonts w:ascii="Arial" w:hAnsi="Arial" w:cs="Arial"/>
          <w:color w:val="000000"/>
          <w:lang w:val="en-GB"/>
        </w:rPr>
        <w:t>Regulations prevented the plaintiff from providing the defendant with beneficial occupation of the premises and prevented the defendant from enjoying beneficial occupation of the premises, performance was objectively impossible.</w:t>
      </w:r>
      <w:r w:rsidRPr="00070A6C">
        <w:rPr>
          <w:rStyle w:val="FootnoteReference"/>
          <w:rFonts w:ascii="Arial" w:hAnsi="Arial" w:cs="Arial"/>
          <w:color w:val="000000"/>
          <w:sz w:val="18"/>
          <w:szCs w:val="18"/>
          <w:lang w:val="en-GB"/>
        </w:rPr>
        <w:footnoteReference w:id="33"/>
      </w:r>
    </w:p>
    <w:p w14:paraId="390DCCD7" w14:textId="2FF72088" w:rsidR="00B56406" w:rsidRPr="00070A6C" w:rsidRDefault="00B56406" w:rsidP="00B56406">
      <w:pPr>
        <w:shd w:val="clear" w:color="auto" w:fill="FFFFFF" w:themeFill="background1"/>
        <w:spacing w:after="360" w:line="360" w:lineRule="auto"/>
        <w:jc w:val="both"/>
        <w:rPr>
          <w:rFonts w:ascii="Arial" w:hAnsi="Arial" w:cs="Arial"/>
          <w:i/>
          <w:iCs/>
          <w:lang w:val="en-GB"/>
        </w:rPr>
      </w:pPr>
      <w:r w:rsidRPr="00070A6C">
        <w:rPr>
          <w:rFonts w:ascii="Arial" w:hAnsi="Arial" w:cs="Arial"/>
          <w:i/>
          <w:iCs/>
          <w:lang w:val="en-GB"/>
        </w:rPr>
        <w:t>Hardship in performing</w:t>
      </w:r>
    </w:p>
    <w:p w14:paraId="72EF8AAF" w14:textId="54644BE6" w:rsidR="006743BB" w:rsidRPr="00070A6C" w:rsidRDefault="00022E9A" w:rsidP="00FC357F">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I agree with </w:t>
      </w:r>
      <w:r w:rsidR="00FC357F" w:rsidRPr="00070A6C">
        <w:rPr>
          <w:rFonts w:ascii="Arial" w:hAnsi="Arial" w:cs="Arial"/>
          <w:lang w:val="en-GB"/>
        </w:rPr>
        <w:t>the plaintiff’s</w:t>
      </w:r>
      <w:r w:rsidRPr="00070A6C">
        <w:rPr>
          <w:rFonts w:ascii="Arial" w:hAnsi="Arial" w:cs="Arial"/>
          <w:lang w:val="en-GB"/>
        </w:rPr>
        <w:t xml:space="preserve"> submission</w:t>
      </w:r>
      <w:r w:rsidR="00B56406" w:rsidRPr="00070A6C">
        <w:rPr>
          <w:rStyle w:val="FootnoteReference"/>
          <w:rFonts w:ascii="Arial" w:hAnsi="Arial" w:cs="Arial"/>
          <w:lang w:val="en-GB"/>
        </w:rPr>
        <w:footnoteReference w:id="34"/>
      </w:r>
      <w:r w:rsidRPr="00070A6C">
        <w:rPr>
          <w:rFonts w:ascii="Arial" w:hAnsi="Arial" w:cs="Arial"/>
          <w:lang w:val="en-GB"/>
        </w:rPr>
        <w:t xml:space="preserve"> that a</w:t>
      </w:r>
      <w:r w:rsidR="00715162" w:rsidRPr="00070A6C">
        <w:rPr>
          <w:rFonts w:ascii="Arial" w:hAnsi="Arial" w:cs="Arial"/>
          <w:lang w:val="en-GB"/>
        </w:rPr>
        <w:t xml:space="preserve"> mere difficulty in making performance does not prevent a valid contract from arising</w:t>
      </w:r>
      <w:r w:rsidRPr="00070A6C">
        <w:rPr>
          <w:rFonts w:ascii="Arial" w:hAnsi="Arial" w:cs="Arial"/>
          <w:lang w:val="en-GB"/>
        </w:rPr>
        <w:t>.</w:t>
      </w:r>
      <w:r w:rsidR="00091500" w:rsidRPr="00070A6C">
        <w:rPr>
          <w:rFonts w:ascii="Arial" w:hAnsi="Arial" w:cs="Arial"/>
          <w:lang w:val="en-GB"/>
        </w:rPr>
        <w:t xml:space="preserve">  Supervening impossibility </w:t>
      </w:r>
      <w:r w:rsidR="00091500" w:rsidRPr="00070A6C">
        <w:rPr>
          <w:rFonts w:ascii="Arial" w:eastAsiaTheme="minorHAnsi" w:hAnsi="Arial" w:cs="Arial"/>
          <w:color w:val="000000"/>
          <w:lang w:val="en-GB" w:eastAsia="en-US"/>
        </w:rPr>
        <w:t>that makes it uneconomical or no longer commercially attractive for a party to carry out its payment obligations cannot constitute a basis to be excused from</w:t>
      </w:r>
      <w:r w:rsidR="00091500" w:rsidRPr="00070A6C">
        <w:rPr>
          <w:rFonts w:ascii="Arial" w:hAnsi="Arial" w:cs="Arial"/>
          <w:lang w:val="en-GB"/>
        </w:rPr>
        <w:t xml:space="preserve"> </w:t>
      </w:r>
      <w:r w:rsidR="00091500" w:rsidRPr="00070A6C">
        <w:rPr>
          <w:rFonts w:ascii="Arial" w:eastAsiaTheme="minorHAnsi" w:hAnsi="Arial" w:cs="Arial"/>
          <w:color w:val="000000"/>
          <w:lang w:val="en-GB" w:eastAsia="en-US"/>
        </w:rPr>
        <w:t>performance.</w:t>
      </w:r>
      <w:r w:rsidR="00091500" w:rsidRPr="00070A6C">
        <w:rPr>
          <w:rStyle w:val="FootnoteReference"/>
          <w:rFonts w:ascii="Arial" w:eastAsiaTheme="minorHAnsi" w:hAnsi="Arial" w:cs="Arial"/>
          <w:color w:val="000000"/>
          <w:lang w:val="en-GB" w:eastAsia="en-US"/>
        </w:rPr>
        <w:footnoteReference w:id="35"/>
      </w:r>
      <w:r w:rsidR="009C2EF0" w:rsidRPr="00070A6C">
        <w:rPr>
          <w:rFonts w:ascii="Arial" w:eastAsiaTheme="minorHAnsi" w:hAnsi="Arial" w:cs="Arial"/>
          <w:color w:val="000000"/>
          <w:lang w:val="en-GB" w:eastAsia="en-US"/>
        </w:rPr>
        <w:t xml:space="preserve">  If the defendant decided not to trade during the restricted lockdown period when it was</w:t>
      </w:r>
      <w:r w:rsidR="00B56406" w:rsidRPr="00070A6C">
        <w:rPr>
          <w:rFonts w:ascii="Arial" w:eastAsiaTheme="minorHAnsi" w:hAnsi="Arial" w:cs="Arial"/>
          <w:color w:val="000000"/>
          <w:lang w:val="en-GB" w:eastAsia="en-US"/>
        </w:rPr>
        <w:t xml:space="preserve">, </w:t>
      </w:r>
      <w:r w:rsidR="009C2EF0" w:rsidRPr="00070A6C">
        <w:rPr>
          <w:rFonts w:ascii="Arial" w:eastAsiaTheme="minorHAnsi" w:hAnsi="Arial" w:cs="Arial"/>
          <w:color w:val="000000"/>
          <w:lang w:val="en-GB" w:eastAsia="en-US"/>
        </w:rPr>
        <w:t>it appears to me</w:t>
      </w:r>
      <w:r w:rsidR="00B56406" w:rsidRPr="00070A6C">
        <w:rPr>
          <w:rFonts w:ascii="Arial" w:eastAsiaTheme="minorHAnsi" w:hAnsi="Arial" w:cs="Arial"/>
          <w:color w:val="000000"/>
          <w:lang w:val="en-GB" w:eastAsia="en-US"/>
        </w:rPr>
        <w:t>,</w:t>
      </w:r>
      <w:r w:rsidR="009C2EF0" w:rsidRPr="00070A6C">
        <w:rPr>
          <w:rFonts w:ascii="Arial" w:eastAsiaTheme="minorHAnsi" w:hAnsi="Arial" w:cs="Arial"/>
          <w:color w:val="000000"/>
          <w:lang w:val="en-GB" w:eastAsia="en-US"/>
        </w:rPr>
        <w:t xml:space="preserve"> able to do so, it so decided at its peril and there is no supervening impossibility which excuses it from performing in terms of the lease.</w:t>
      </w:r>
      <w:r w:rsidR="009C2EF0" w:rsidRPr="00070A6C">
        <w:rPr>
          <w:rStyle w:val="FootnoteReference"/>
          <w:rFonts w:ascii="Arial" w:eastAsiaTheme="minorHAnsi" w:hAnsi="Arial" w:cs="Arial"/>
          <w:color w:val="000000"/>
          <w:lang w:val="en-GB" w:eastAsia="en-US"/>
        </w:rPr>
        <w:footnoteReference w:id="36"/>
      </w:r>
    </w:p>
    <w:p w14:paraId="4A1A8D7D" w14:textId="55748C51" w:rsidR="001458F9" w:rsidRPr="00070A6C" w:rsidRDefault="001458F9"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After the hearing of the present matter, Gilbert AJ handed down a judgment in this </w:t>
      </w:r>
      <w:r w:rsidR="00D810F0" w:rsidRPr="00070A6C">
        <w:rPr>
          <w:rFonts w:ascii="Arial" w:hAnsi="Arial" w:cs="Arial"/>
          <w:lang w:val="en-GB"/>
        </w:rPr>
        <w:t>D</w:t>
      </w:r>
      <w:r w:rsidRPr="00070A6C">
        <w:rPr>
          <w:rFonts w:ascii="Arial" w:hAnsi="Arial" w:cs="Arial"/>
          <w:lang w:val="en-GB"/>
        </w:rPr>
        <w:t>ivision</w:t>
      </w:r>
      <w:r w:rsidRPr="00070A6C">
        <w:rPr>
          <w:rStyle w:val="FootnoteReference"/>
          <w:rFonts w:ascii="Arial" w:hAnsi="Arial" w:cs="Arial"/>
          <w:lang w:val="en-GB"/>
        </w:rPr>
        <w:footnoteReference w:id="37"/>
      </w:r>
      <w:r w:rsidRPr="00070A6C">
        <w:rPr>
          <w:rFonts w:ascii="Arial" w:hAnsi="Arial" w:cs="Arial"/>
          <w:lang w:val="en-GB"/>
        </w:rPr>
        <w:t xml:space="preserve"> in a matter which pertained to a summary judgment application for </w:t>
      </w:r>
      <w:r w:rsidR="00B9442B" w:rsidRPr="00070A6C">
        <w:rPr>
          <w:rFonts w:ascii="Arial" w:hAnsi="Arial" w:cs="Arial"/>
          <w:lang w:val="en-GB"/>
        </w:rPr>
        <w:t>payment of arrear rental and ejectment</w:t>
      </w:r>
      <w:r w:rsidRPr="00070A6C">
        <w:rPr>
          <w:rFonts w:ascii="Arial" w:hAnsi="Arial" w:cs="Arial"/>
          <w:lang w:val="en-GB"/>
        </w:rPr>
        <w:t xml:space="preserve"> pursuant to a lease and where the defendants raised a similar defence.</w:t>
      </w:r>
    </w:p>
    <w:p w14:paraId="009D185E" w14:textId="36430FCC" w:rsidR="00C05E3D" w:rsidRPr="00070A6C" w:rsidRDefault="00FE79E0"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lastRenderedPageBreak/>
        <w:t>For the reasons mentioned, I agree with Gilbert AJ that “</w:t>
      </w:r>
      <w:r w:rsidRPr="00070A6C">
        <w:rPr>
          <w:rFonts w:ascii="Arial" w:hAnsi="Arial" w:cs="Arial"/>
          <w:i/>
          <w:iCs/>
          <w:lang w:val="en-GB"/>
        </w:rPr>
        <w:t xml:space="preserve">(a) </w:t>
      </w:r>
      <w:r w:rsidRPr="00070A6C">
        <w:rPr>
          <w:rFonts w:ascii="Arial" w:eastAsiaTheme="minorHAnsi" w:hAnsi="Arial" w:cs="Arial"/>
          <w:i/>
          <w:iCs/>
          <w:color w:val="000000"/>
          <w:lang w:val="en-GB" w:eastAsia="en-US"/>
        </w:rPr>
        <w:t xml:space="preserve">consideration of a defence of supervening impossibility of performance in the context of the regulations passed pursuant to the state of disaster should be approached from the perspective of its effect on the performance by the plaintiff of its obligations as lessor </w:t>
      </w:r>
      <w:r w:rsidRPr="00070A6C">
        <w:rPr>
          <w:rFonts w:ascii="Arial" w:eastAsiaTheme="minorHAnsi" w:hAnsi="Arial" w:cs="Arial"/>
          <w:i/>
          <w:iCs/>
          <w:color w:val="000000"/>
          <w:u w:val="single"/>
          <w:lang w:val="en-GB" w:eastAsia="en-US"/>
        </w:rPr>
        <w:t>and</w:t>
      </w:r>
      <w:r w:rsidRPr="00070A6C">
        <w:rPr>
          <w:rFonts w:ascii="Arial" w:eastAsiaTheme="minorHAnsi" w:hAnsi="Arial" w:cs="Arial"/>
          <w:i/>
          <w:iCs/>
          <w:color w:val="000000"/>
          <w:lang w:val="en-GB" w:eastAsia="en-US"/>
        </w:rPr>
        <w:t xml:space="preserve"> on the performance by the first defendant’s obligations as lessee, rather than approached solely from the perspective of whether the first defendant was</w:t>
      </w:r>
      <w:r w:rsidRPr="00070A6C">
        <w:rPr>
          <w:rFonts w:ascii="Arial" w:hAnsi="Arial" w:cs="Arial"/>
          <w:i/>
          <w:iCs/>
          <w:lang w:val="en-GB"/>
        </w:rPr>
        <w:t xml:space="preserve"> </w:t>
      </w:r>
      <w:r w:rsidRPr="00070A6C">
        <w:rPr>
          <w:rFonts w:ascii="Arial" w:eastAsiaTheme="minorHAnsi" w:hAnsi="Arial" w:cs="Arial"/>
          <w:i/>
          <w:iCs/>
          <w:color w:val="000000"/>
          <w:lang w:val="en-GB" w:eastAsia="en-US"/>
        </w:rPr>
        <w:t>able to perform its side of the bargain, particularly to pay rentals</w:t>
      </w:r>
      <w:r w:rsidRPr="00070A6C">
        <w:rPr>
          <w:rFonts w:ascii="Arial" w:eastAsiaTheme="minorHAnsi" w:hAnsi="Arial" w:cs="Arial"/>
          <w:color w:val="000000"/>
          <w:lang w:val="en-GB" w:eastAsia="en-US"/>
        </w:rPr>
        <w:t>”</w:t>
      </w:r>
      <w:r w:rsidR="00C05E3D" w:rsidRPr="00070A6C">
        <w:rPr>
          <w:rStyle w:val="FootnoteReference"/>
          <w:rFonts w:ascii="Arial" w:eastAsiaTheme="minorHAnsi" w:hAnsi="Arial" w:cs="Arial"/>
          <w:color w:val="000000"/>
          <w:lang w:val="en-GB" w:eastAsia="en-US"/>
        </w:rPr>
        <w:footnoteReference w:id="38"/>
      </w:r>
      <w:r w:rsidR="00C05E3D" w:rsidRPr="00070A6C">
        <w:rPr>
          <w:rFonts w:ascii="Arial" w:eastAsiaTheme="minorHAnsi" w:hAnsi="Arial" w:cs="Arial"/>
          <w:color w:val="000000"/>
          <w:lang w:val="en-GB" w:eastAsia="en-US"/>
        </w:rPr>
        <w:t xml:space="preserve"> and that the “</w:t>
      </w:r>
      <w:r w:rsidR="00C05E3D" w:rsidRPr="00070A6C">
        <w:rPr>
          <w:rFonts w:ascii="Arial" w:eastAsiaTheme="minorHAnsi" w:hAnsi="Arial" w:cs="Arial"/>
          <w:i/>
          <w:iCs/>
          <w:color w:val="000000"/>
          <w:lang w:val="en-GB" w:eastAsia="en-US"/>
        </w:rPr>
        <w:t>implementation of the ‘hard lockdown’ under the previous Regulations [March 2020 Regulations] gives rise to a more nuanced situation than where only one</w:t>
      </w:r>
      <w:r w:rsidR="00C05E3D" w:rsidRPr="00070A6C">
        <w:rPr>
          <w:rFonts w:ascii="Arial" w:hAnsi="Arial" w:cs="Arial"/>
          <w:i/>
          <w:iCs/>
          <w:lang w:val="en-GB"/>
        </w:rPr>
        <w:t xml:space="preserve"> </w:t>
      </w:r>
      <w:r w:rsidR="00C05E3D" w:rsidRPr="00070A6C">
        <w:rPr>
          <w:rFonts w:ascii="Arial" w:eastAsiaTheme="minorHAnsi" w:hAnsi="Arial" w:cs="Arial"/>
          <w:i/>
          <w:iCs/>
          <w:color w:val="000000"/>
          <w:lang w:val="en-GB" w:eastAsia="en-US"/>
        </w:rPr>
        <w:t>party is unable to perform.</w:t>
      </w:r>
      <w:r w:rsidR="00C05E3D" w:rsidRPr="00070A6C">
        <w:rPr>
          <w:rFonts w:ascii="Arial" w:eastAsiaTheme="minorHAnsi" w:hAnsi="Arial" w:cs="Arial"/>
          <w:color w:val="000000"/>
          <w:lang w:val="en-GB" w:eastAsia="en-US"/>
        </w:rPr>
        <w:t>”</w:t>
      </w:r>
    </w:p>
    <w:p w14:paraId="4E10AB3A" w14:textId="7F2E0848" w:rsidR="006E3FE2" w:rsidRPr="00070A6C" w:rsidRDefault="00C05E3D"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eastAsiaTheme="minorHAnsi" w:hAnsi="Arial" w:cs="Arial"/>
          <w:color w:val="000000"/>
          <w:lang w:val="en-GB" w:eastAsia="en-US"/>
        </w:rPr>
        <w:t xml:space="preserve">Being mindful of the nature of summary judgment procedure, I am prepared to assume </w:t>
      </w:r>
      <w:r w:rsidR="00091500" w:rsidRPr="00070A6C">
        <w:rPr>
          <w:rFonts w:ascii="Arial" w:eastAsiaTheme="minorHAnsi" w:hAnsi="Arial" w:cs="Arial"/>
          <w:color w:val="000000"/>
          <w:lang w:val="en-GB" w:eastAsia="en-US"/>
        </w:rPr>
        <w:t xml:space="preserve">in favour of the defendant </w:t>
      </w:r>
      <w:r w:rsidRPr="00070A6C">
        <w:rPr>
          <w:rFonts w:ascii="Arial" w:eastAsiaTheme="minorHAnsi" w:hAnsi="Arial" w:cs="Arial"/>
          <w:color w:val="000000"/>
          <w:lang w:val="en-GB" w:eastAsia="en-US"/>
        </w:rPr>
        <w:t xml:space="preserve">that it may be entitled to a total rent remission for the hard lockdown period.  </w:t>
      </w:r>
      <w:r w:rsidR="00091500" w:rsidRPr="00070A6C">
        <w:rPr>
          <w:rFonts w:ascii="Arial" w:eastAsiaTheme="minorHAnsi" w:hAnsi="Arial" w:cs="Arial"/>
          <w:color w:val="000000"/>
          <w:lang w:val="en-GB" w:eastAsia="en-US"/>
        </w:rPr>
        <w:t>But I am not convinced that the defendant is entitled to a rent remission for the restricted lockdown period from 1 May 2020</w:t>
      </w:r>
      <w:r w:rsidR="006E3FE2" w:rsidRPr="00070A6C">
        <w:rPr>
          <w:rFonts w:ascii="Arial" w:eastAsiaTheme="minorHAnsi" w:hAnsi="Arial" w:cs="Arial"/>
          <w:color w:val="000000"/>
          <w:lang w:val="en-GB" w:eastAsia="en-US"/>
        </w:rPr>
        <w:t xml:space="preserve">, merely because </w:t>
      </w:r>
      <w:r w:rsidR="00260E9D" w:rsidRPr="00070A6C">
        <w:rPr>
          <w:rFonts w:ascii="Arial" w:eastAsiaTheme="minorHAnsi" w:hAnsi="Arial" w:cs="Arial"/>
          <w:color w:val="000000"/>
          <w:lang w:val="en-GB" w:eastAsia="en-US"/>
        </w:rPr>
        <w:t xml:space="preserve">it elected not to </w:t>
      </w:r>
      <w:r w:rsidR="00070A6C" w:rsidRPr="00070A6C">
        <w:rPr>
          <w:rFonts w:ascii="Arial" w:eastAsiaTheme="minorHAnsi" w:hAnsi="Arial" w:cs="Arial"/>
          <w:color w:val="000000"/>
          <w:lang w:val="en-GB" w:eastAsia="en-US"/>
        </w:rPr>
        <w:t>trade,</w:t>
      </w:r>
      <w:r w:rsidR="00260E9D" w:rsidRPr="00070A6C">
        <w:rPr>
          <w:rFonts w:ascii="Arial" w:eastAsiaTheme="minorHAnsi" w:hAnsi="Arial" w:cs="Arial"/>
          <w:color w:val="000000"/>
          <w:lang w:val="en-GB" w:eastAsia="en-US"/>
        </w:rPr>
        <w:t xml:space="preserve"> or </w:t>
      </w:r>
      <w:r w:rsidR="006E3FE2" w:rsidRPr="00070A6C">
        <w:rPr>
          <w:rFonts w:ascii="Arial" w:eastAsiaTheme="minorHAnsi" w:hAnsi="Arial" w:cs="Arial"/>
          <w:color w:val="000000"/>
          <w:lang w:val="en-GB" w:eastAsia="en-US"/>
        </w:rPr>
        <w:t>its trading hours may have been limited or its pool of customers ha</w:t>
      </w:r>
      <w:r w:rsidR="00FC357F" w:rsidRPr="00070A6C">
        <w:rPr>
          <w:rFonts w:ascii="Arial" w:eastAsiaTheme="minorHAnsi" w:hAnsi="Arial" w:cs="Arial"/>
          <w:color w:val="000000"/>
          <w:lang w:val="en-GB" w:eastAsia="en-US"/>
        </w:rPr>
        <w:t>d</w:t>
      </w:r>
      <w:r w:rsidR="006E3FE2" w:rsidRPr="00070A6C">
        <w:rPr>
          <w:rFonts w:ascii="Arial" w:eastAsiaTheme="minorHAnsi" w:hAnsi="Arial" w:cs="Arial"/>
          <w:color w:val="000000"/>
          <w:lang w:val="en-GB" w:eastAsia="en-US"/>
        </w:rPr>
        <w:t xml:space="preserve"> decreased as a result</w:t>
      </w:r>
      <w:r w:rsidR="00091500" w:rsidRPr="00070A6C">
        <w:rPr>
          <w:rFonts w:ascii="Arial" w:eastAsiaTheme="minorHAnsi" w:hAnsi="Arial" w:cs="Arial"/>
          <w:color w:val="000000"/>
          <w:lang w:val="en-GB" w:eastAsia="en-US"/>
        </w:rPr>
        <w:t xml:space="preserve">.  </w:t>
      </w:r>
    </w:p>
    <w:p w14:paraId="183DCBC6" w14:textId="7CF21850" w:rsidR="006E3FE2" w:rsidRPr="00070A6C" w:rsidRDefault="00260E9D" w:rsidP="00DF350D">
      <w:pPr>
        <w:pStyle w:val="ListParagraph"/>
        <w:numPr>
          <w:ilvl w:val="0"/>
          <w:numId w:val="5"/>
        </w:numPr>
        <w:spacing w:after="360" w:line="360" w:lineRule="auto"/>
        <w:contextualSpacing w:val="0"/>
        <w:jc w:val="both"/>
        <w:rPr>
          <w:rFonts w:ascii="Arial" w:hAnsi="Arial" w:cs="Arial"/>
          <w:lang w:val="en-GB"/>
        </w:rPr>
      </w:pPr>
      <w:r w:rsidRPr="00070A6C">
        <w:rPr>
          <w:rFonts w:ascii="Arial" w:eastAsiaTheme="minorHAnsi" w:hAnsi="Arial" w:cs="Arial"/>
          <w:color w:val="000000"/>
          <w:lang w:val="en-GB" w:eastAsia="en-US"/>
        </w:rPr>
        <w:t xml:space="preserve">In </w:t>
      </w:r>
      <w:r w:rsidRPr="00070A6C">
        <w:rPr>
          <w:rFonts w:ascii="Arial" w:hAnsi="Arial" w:cs="Arial"/>
          <w:i/>
          <w:iCs/>
          <w:lang w:val="en-GB"/>
        </w:rPr>
        <w:t>Hansen, Schrader &amp; Co. v Kopelowitz</w:t>
      </w:r>
      <w:r w:rsidRPr="00070A6C">
        <w:rPr>
          <w:rFonts w:ascii="Arial" w:hAnsi="Arial" w:cs="Arial"/>
          <w:lang w:val="en-GB"/>
        </w:rPr>
        <w:t>,</w:t>
      </w:r>
      <w:r w:rsidR="00DF350D" w:rsidRPr="00070A6C">
        <w:rPr>
          <w:rStyle w:val="FootnoteReference"/>
          <w:rFonts w:ascii="Arial" w:hAnsi="Arial" w:cs="Arial"/>
          <w:lang w:val="en-GB"/>
        </w:rPr>
        <w:footnoteReference w:id="39"/>
      </w:r>
      <w:r w:rsidRPr="00070A6C">
        <w:rPr>
          <w:rFonts w:ascii="Arial" w:hAnsi="Arial" w:cs="Arial"/>
          <w:lang w:val="en-GB"/>
        </w:rPr>
        <w:t xml:space="preserve"> Wessels J compared a tenant’s loss of full occupation of a premises during war with a passage of Pothier</w:t>
      </w:r>
      <w:r w:rsidRPr="00070A6C">
        <w:rPr>
          <w:rStyle w:val="FootnoteReference"/>
          <w:rFonts w:ascii="Arial" w:hAnsi="Arial" w:cs="Arial"/>
          <w:lang w:val="en-GB"/>
        </w:rPr>
        <w:footnoteReference w:id="40"/>
      </w:r>
      <w:r w:rsidRPr="00070A6C">
        <w:rPr>
          <w:rFonts w:ascii="Arial" w:hAnsi="Arial" w:cs="Arial"/>
          <w:lang w:val="en-GB"/>
        </w:rPr>
        <w:t xml:space="preserve"> </w:t>
      </w:r>
      <w:r w:rsidR="006E3FE2" w:rsidRPr="00070A6C">
        <w:rPr>
          <w:rFonts w:ascii="Arial" w:eastAsiaTheme="minorHAnsi" w:hAnsi="Arial" w:cs="Arial"/>
          <w:color w:val="000000"/>
          <w:lang w:val="en-GB" w:eastAsia="en-US"/>
        </w:rPr>
        <w:t>that if an inn is let along a public road, and the road is changed so that the inn is no longer</w:t>
      </w:r>
      <w:r w:rsidR="006E3FE2" w:rsidRPr="00070A6C">
        <w:rPr>
          <w:rFonts w:ascii="Arial" w:hAnsi="Arial" w:cs="Arial"/>
          <w:lang w:val="en-GB"/>
        </w:rPr>
        <w:t xml:space="preserve"> </w:t>
      </w:r>
      <w:r w:rsidR="006E3FE2" w:rsidRPr="00070A6C">
        <w:rPr>
          <w:rFonts w:ascii="Arial" w:eastAsiaTheme="minorHAnsi" w:hAnsi="Arial" w:cs="Arial"/>
          <w:color w:val="000000"/>
          <w:lang w:val="en-GB" w:eastAsia="en-US"/>
        </w:rPr>
        <w:t>frequented, but has become completely deserted, then a remission of rent can be claimed</w:t>
      </w:r>
      <w:r w:rsidR="00DF350D" w:rsidRPr="00070A6C">
        <w:rPr>
          <w:rFonts w:ascii="Arial" w:eastAsiaTheme="minorHAnsi" w:hAnsi="Arial" w:cs="Arial"/>
          <w:color w:val="000000"/>
          <w:lang w:val="en-GB" w:eastAsia="en-US"/>
        </w:rPr>
        <w:t>.  This is the case provided t</w:t>
      </w:r>
      <w:r w:rsidR="006E3FE2" w:rsidRPr="00070A6C">
        <w:rPr>
          <w:rFonts w:ascii="Arial" w:eastAsiaTheme="minorHAnsi" w:hAnsi="Arial" w:cs="Arial"/>
          <w:color w:val="000000"/>
          <w:lang w:val="en-GB" w:eastAsia="en-US"/>
        </w:rPr>
        <w:t>hat the road upon which the inn is situated is completely closed by public authority</w:t>
      </w:r>
      <w:r w:rsidR="00DF350D" w:rsidRPr="00070A6C">
        <w:rPr>
          <w:rFonts w:ascii="Arial" w:eastAsiaTheme="minorHAnsi" w:hAnsi="Arial" w:cs="Arial"/>
          <w:color w:val="000000"/>
          <w:lang w:val="en-GB" w:eastAsia="en-US"/>
        </w:rPr>
        <w:t xml:space="preserve"> and</w:t>
      </w:r>
      <w:r w:rsidR="006E3FE2" w:rsidRPr="00070A6C">
        <w:rPr>
          <w:rFonts w:ascii="Arial" w:eastAsiaTheme="minorHAnsi" w:hAnsi="Arial" w:cs="Arial"/>
          <w:color w:val="000000"/>
          <w:lang w:val="en-GB" w:eastAsia="en-US"/>
        </w:rPr>
        <w:t xml:space="preserve"> not that</w:t>
      </w:r>
      <w:r w:rsidR="006E3FE2" w:rsidRPr="00070A6C">
        <w:rPr>
          <w:rFonts w:ascii="Arial" w:hAnsi="Arial" w:cs="Arial"/>
          <w:lang w:val="en-GB"/>
        </w:rPr>
        <w:t xml:space="preserve"> </w:t>
      </w:r>
      <w:r w:rsidR="006E3FE2" w:rsidRPr="00070A6C">
        <w:rPr>
          <w:rFonts w:ascii="Arial" w:eastAsiaTheme="minorHAnsi" w:hAnsi="Arial" w:cs="Arial"/>
          <w:color w:val="000000"/>
          <w:lang w:val="en-GB" w:eastAsia="en-US"/>
        </w:rPr>
        <w:t>another, a shorter and better road, has been opened so that travellers avoid the longer and more difficult route on</w:t>
      </w:r>
      <w:r w:rsidR="006E3FE2" w:rsidRPr="00070A6C">
        <w:rPr>
          <w:rFonts w:ascii="Arial" w:hAnsi="Arial" w:cs="Arial"/>
          <w:lang w:val="en-GB"/>
        </w:rPr>
        <w:t xml:space="preserve"> </w:t>
      </w:r>
      <w:r w:rsidR="006E3FE2" w:rsidRPr="00070A6C">
        <w:rPr>
          <w:rFonts w:ascii="Arial" w:eastAsiaTheme="minorHAnsi" w:hAnsi="Arial" w:cs="Arial"/>
          <w:color w:val="000000"/>
          <w:lang w:val="en-GB" w:eastAsia="en-US"/>
        </w:rPr>
        <w:t xml:space="preserve">which the inn is situated. </w:t>
      </w:r>
      <w:r w:rsidR="00DF350D" w:rsidRPr="00070A6C">
        <w:rPr>
          <w:rFonts w:ascii="Arial" w:eastAsiaTheme="minorHAnsi" w:hAnsi="Arial" w:cs="Arial"/>
          <w:color w:val="000000"/>
          <w:lang w:val="en-GB" w:eastAsia="en-US"/>
        </w:rPr>
        <w:t xml:space="preserve"> I</w:t>
      </w:r>
      <w:r w:rsidR="006E3FE2" w:rsidRPr="00070A6C">
        <w:rPr>
          <w:rFonts w:ascii="Arial" w:eastAsiaTheme="minorHAnsi" w:hAnsi="Arial" w:cs="Arial"/>
          <w:color w:val="000000"/>
          <w:lang w:val="en-GB" w:eastAsia="en-US"/>
        </w:rPr>
        <w:t>f a second road has been opened which takes the travellers away from the first inn and affects its custom, then no remission can be claimed. The mere fact, therefore, that the trade of the inn has diminished because the travellers have left the road and taken a better route will not justify a remission of rent.</w:t>
      </w:r>
      <w:r w:rsidR="006E3FE2" w:rsidRPr="00070A6C">
        <w:rPr>
          <w:rStyle w:val="FootnoteReference"/>
          <w:rFonts w:ascii="Arial" w:eastAsiaTheme="minorHAnsi" w:hAnsi="Arial" w:cs="Arial"/>
          <w:color w:val="000000"/>
          <w:lang w:val="en-GB" w:eastAsia="en-US"/>
        </w:rPr>
        <w:footnoteReference w:id="41"/>
      </w:r>
      <w:r w:rsidR="00DF350D" w:rsidRPr="00070A6C">
        <w:rPr>
          <w:rFonts w:ascii="Arial" w:eastAsiaTheme="minorHAnsi" w:hAnsi="Arial" w:cs="Arial"/>
          <w:color w:val="000000"/>
          <w:lang w:val="en-GB" w:eastAsia="en-US"/>
        </w:rPr>
        <w:t xml:space="preserve">  </w:t>
      </w:r>
      <w:r w:rsidR="006E3FE2" w:rsidRPr="00070A6C">
        <w:rPr>
          <w:rFonts w:ascii="Arial" w:hAnsi="Arial" w:cs="Arial"/>
          <w:lang w:val="en-GB"/>
        </w:rPr>
        <w:t>In suc</w:t>
      </w:r>
      <w:r w:rsidR="00DF350D" w:rsidRPr="00070A6C">
        <w:rPr>
          <w:rFonts w:ascii="Arial" w:hAnsi="Arial" w:cs="Arial"/>
          <w:lang w:val="en-GB"/>
        </w:rPr>
        <w:t>h</w:t>
      </w:r>
      <w:r w:rsidR="006E3FE2" w:rsidRPr="00070A6C">
        <w:rPr>
          <w:rFonts w:ascii="Arial" w:hAnsi="Arial" w:cs="Arial"/>
          <w:lang w:val="en-GB"/>
        </w:rPr>
        <w:t xml:space="preserve"> a case</w:t>
      </w:r>
      <w:r w:rsidR="00DF350D" w:rsidRPr="00070A6C">
        <w:rPr>
          <w:rFonts w:ascii="Arial" w:hAnsi="Arial" w:cs="Arial"/>
          <w:lang w:val="en-GB"/>
        </w:rPr>
        <w:t xml:space="preserve">, the learned </w:t>
      </w:r>
      <w:r w:rsidR="00DF350D" w:rsidRPr="00070A6C">
        <w:rPr>
          <w:rFonts w:ascii="Arial" w:hAnsi="Arial" w:cs="Arial"/>
          <w:lang w:val="en-GB"/>
        </w:rPr>
        <w:lastRenderedPageBreak/>
        <w:t>Judge held,</w:t>
      </w:r>
      <w:r w:rsidR="006E3FE2" w:rsidRPr="00070A6C">
        <w:rPr>
          <w:rFonts w:ascii="Arial" w:hAnsi="Arial" w:cs="Arial"/>
          <w:lang w:val="en-GB"/>
        </w:rPr>
        <w:t xml:space="preserve"> no remission can be claimed, and therefore the mere fact that the customers have decreased can give no right to a remission.</w:t>
      </w:r>
      <w:r w:rsidR="00EA7280" w:rsidRPr="00070A6C">
        <w:rPr>
          <w:rStyle w:val="FootnoteReference"/>
          <w:rFonts w:ascii="Arial" w:hAnsi="Arial" w:cs="Arial"/>
          <w:lang w:val="en-GB"/>
        </w:rPr>
        <w:footnoteReference w:id="42"/>
      </w:r>
    </w:p>
    <w:p w14:paraId="663A4AC8" w14:textId="0819CF1E" w:rsidR="00DF350D" w:rsidRPr="00070A6C" w:rsidRDefault="00DF350D"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eastAsiaTheme="minorHAnsi" w:hAnsi="Arial" w:cs="Arial"/>
          <w:color w:val="000000"/>
          <w:lang w:val="en-GB" w:eastAsia="en-US"/>
        </w:rPr>
        <w:t xml:space="preserve">I am therefore of the view that the defendant is not entitled to a remission of rental for the period it was permitted </w:t>
      </w:r>
      <w:r w:rsidR="00E1734D" w:rsidRPr="00070A6C">
        <w:rPr>
          <w:rFonts w:ascii="Arial" w:eastAsiaTheme="minorHAnsi" w:hAnsi="Arial" w:cs="Arial"/>
          <w:color w:val="000000"/>
          <w:lang w:val="en-GB" w:eastAsia="en-US"/>
        </w:rPr>
        <w:t>to occupy the premises, which, it appears to me in these proceedings, was from 1 May 2020.</w:t>
      </w:r>
      <w:r w:rsidRPr="00070A6C">
        <w:rPr>
          <w:rFonts w:ascii="Arial" w:eastAsiaTheme="minorHAnsi" w:hAnsi="Arial" w:cs="Arial"/>
          <w:color w:val="000000"/>
          <w:lang w:val="en-GB" w:eastAsia="en-US"/>
        </w:rPr>
        <w:t xml:space="preserve"> </w:t>
      </w:r>
    </w:p>
    <w:p w14:paraId="7316A4BE" w14:textId="283FB671" w:rsidR="00C05E3D" w:rsidRPr="00070A6C" w:rsidRDefault="00DF350D"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eastAsiaTheme="minorHAnsi" w:hAnsi="Arial" w:cs="Arial"/>
          <w:color w:val="000000"/>
          <w:lang w:val="en-GB" w:eastAsia="en-US"/>
        </w:rPr>
        <w:t>When</w:t>
      </w:r>
      <w:r w:rsidR="00E1734D" w:rsidRPr="00070A6C">
        <w:rPr>
          <w:rFonts w:ascii="Arial" w:eastAsiaTheme="minorHAnsi" w:hAnsi="Arial" w:cs="Arial"/>
          <w:color w:val="000000"/>
          <w:lang w:val="en-GB" w:eastAsia="en-US"/>
        </w:rPr>
        <w:t xml:space="preserve"> </w:t>
      </w:r>
      <w:r w:rsidRPr="00070A6C">
        <w:rPr>
          <w:rFonts w:ascii="Arial" w:eastAsiaTheme="minorHAnsi" w:hAnsi="Arial" w:cs="Arial"/>
          <w:color w:val="000000"/>
          <w:lang w:val="en-GB" w:eastAsia="en-US"/>
        </w:rPr>
        <w:t xml:space="preserve">deducting </w:t>
      </w:r>
      <w:r w:rsidR="00C05E3D" w:rsidRPr="00070A6C">
        <w:rPr>
          <w:rFonts w:ascii="Arial" w:eastAsiaTheme="minorHAnsi" w:hAnsi="Arial" w:cs="Arial"/>
          <w:color w:val="000000"/>
          <w:lang w:val="en-GB" w:eastAsia="en-US"/>
        </w:rPr>
        <w:t xml:space="preserve">the </w:t>
      </w:r>
      <w:r w:rsidRPr="00070A6C">
        <w:rPr>
          <w:rFonts w:ascii="Arial" w:eastAsiaTheme="minorHAnsi" w:hAnsi="Arial" w:cs="Arial"/>
          <w:color w:val="000000"/>
          <w:lang w:val="en-GB" w:eastAsia="en-US"/>
        </w:rPr>
        <w:t>rental</w:t>
      </w:r>
      <w:r w:rsidR="00C05E3D" w:rsidRPr="00070A6C">
        <w:rPr>
          <w:rFonts w:ascii="Arial" w:eastAsiaTheme="minorHAnsi" w:hAnsi="Arial" w:cs="Arial"/>
          <w:color w:val="000000"/>
          <w:lang w:val="en-GB" w:eastAsia="en-US"/>
        </w:rPr>
        <w:t xml:space="preserve"> amount </w:t>
      </w:r>
      <w:r w:rsidRPr="00070A6C">
        <w:rPr>
          <w:rFonts w:ascii="Arial" w:eastAsiaTheme="minorHAnsi" w:hAnsi="Arial" w:cs="Arial"/>
          <w:color w:val="000000"/>
          <w:lang w:val="en-GB" w:eastAsia="en-US"/>
        </w:rPr>
        <w:t xml:space="preserve">invoiced </w:t>
      </w:r>
      <w:r w:rsidR="00C05E3D" w:rsidRPr="00070A6C">
        <w:rPr>
          <w:rFonts w:ascii="Arial" w:eastAsiaTheme="minorHAnsi" w:hAnsi="Arial" w:cs="Arial"/>
          <w:color w:val="000000"/>
          <w:lang w:val="en-GB" w:eastAsia="en-US"/>
        </w:rPr>
        <w:t>for the period 27 March 2020 to 30 April 2020, an amount of R45 360.37</w:t>
      </w:r>
      <w:r w:rsidR="00091500" w:rsidRPr="00070A6C">
        <w:rPr>
          <w:rFonts w:ascii="Arial" w:eastAsiaTheme="minorHAnsi" w:hAnsi="Arial" w:cs="Arial"/>
          <w:color w:val="000000"/>
          <w:lang w:val="en-GB" w:eastAsia="en-US"/>
        </w:rPr>
        <w:t xml:space="preserve"> </w:t>
      </w:r>
      <w:r w:rsidRPr="00070A6C">
        <w:rPr>
          <w:rFonts w:ascii="Arial" w:eastAsiaTheme="minorHAnsi" w:hAnsi="Arial" w:cs="Arial"/>
          <w:color w:val="000000"/>
          <w:lang w:val="en-GB" w:eastAsia="en-US"/>
        </w:rPr>
        <w:t xml:space="preserve">for </w:t>
      </w:r>
      <w:r w:rsidR="00091500" w:rsidRPr="00070A6C">
        <w:rPr>
          <w:rFonts w:ascii="Arial" w:eastAsiaTheme="minorHAnsi" w:hAnsi="Arial" w:cs="Arial"/>
          <w:color w:val="000000"/>
          <w:lang w:val="en-GB" w:eastAsia="en-US"/>
        </w:rPr>
        <w:t xml:space="preserve">April 2020 and R9 849.87 </w:t>
      </w:r>
      <w:r w:rsidRPr="00070A6C">
        <w:rPr>
          <w:rFonts w:ascii="Arial" w:eastAsiaTheme="minorHAnsi" w:hAnsi="Arial" w:cs="Arial"/>
          <w:color w:val="000000"/>
          <w:lang w:val="en-GB" w:eastAsia="en-US"/>
        </w:rPr>
        <w:t>proportionately</w:t>
      </w:r>
      <w:r w:rsidR="00091500" w:rsidRPr="00070A6C">
        <w:rPr>
          <w:rFonts w:ascii="Arial" w:eastAsiaTheme="minorHAnsi" w:hAnsi="Arial" w:cs="Arial"/>
          <w:color w:val="000000"/>
          <w:lang w:val="en-GB" w:eastAsia="en-US"/>
        </w:rPr>
        <w:t xml:space="preserve"> for March 202</w:t>
      </w:r>
      <w:r w:rsidR="00A02521" w:rsidRPr="00070A6C">
        <w:rPr>
          <w:rFonts w:ascii="Arial" w:eastAsiaTheme="minorHAnsi" w:hAnsi="Arial" w:cs="Arial"/>
          <w:color w:val="000000"/>
          <w:lang w:val="en-GB" w:eastAsia="en-US"/>
        </w:rPr>
        <w:t>0</w:t>
      </w:r>
      <w:r w:rsidR="00091500" w:rsidRPr="00070A6C">
        <w:rPr>
          <w:rFonts w:ascii="Arial" w:eastAsiaTheme="minorHAnsi" w:hAnsi="Arial" w:cs="Arial"/>
          <w:color w:val="000000"/>
          <w:lang w:val="en-GB" w:eastAsia="en-US"/>
        </w:rPr>
        <w:t xml:space="preserve"> – being a total of R55 210.24, the defendant would still have been in arrears and, as such, in breach of the lease.  Even deducting in </w:t>
      </w:r>
      <w:r w:rsidR="00EA7280" w:rsidRPr="00070A6C">
        <w:rPr>
          <w:rFonts w:ascii="Arial" w:eastAsiaTheme="minorHAnsi" w:hAnsi="Arial" w:cs="Arial"/>
          <w:color w:val="000000"/>
          <w:lang w:val="en-GB" w:eastAsia="en-US"/>
        </w:rPr>
        <w:t>addition,</w:t>
      </w:r>
      <w:r w:rsidR="00091500" w:rsidRPr="00070A6C">
        <w:rPr>
          <w:rFonts w:ascii="Arial" w:eastAsiaTheme="minorHAnsi" w:hAnsi="Arial" w:cs="Arial"/>
          <w:color w:val="000000"/>
          <w:lang w:val="en-GB" w:eastAsia="en-US"/>
        </w:rPr>
        <w:t xml:space="preserve"> the amounts pertaining to the </w:t>
      </w:r>
      <w:r w:rsidRPr="00070A6C">
        <w:rPr>
          <w:rFonts w:ascii="Arial" w:eastAsiaTheme="minorHAnsi" w:hAnsi="Arial" w:cs="Arial"/>
          <w:color w:val="000000"/>
          <w:lang w:val="en-GB" w:eastAsia="en-US"/>
        </w:rPr>
        <w:t xml:space="preserve">alleged </w:t>
      </w:r>
      <w:r w:rsidR="00091500" w:rsidRPr="00070A6C">
        <w:rPr>
          <w:rFonts w:ascii="Arial" w:eastAsiaTheme="minorHAnsi" w:hAnsi="Arial" w:cs="Arial"/>
          <w:color w:val="000000"/>
          <w:lang w:val="en-GB" w:eastAsia="en-US"/>
        </w:rPr>
        <w:t xml:space="preserve">water and sewerage dispute, the defendant remains in arrears.  </w:t>
      </w:r>
    </w:p>
    <w:p w14:paraId="7A047403" w14:textId="1C1B579F" w:rsidR="009C2EF0" w:rsidRPr="00070A6C" w:rsidRDefault="009C2EF0"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eastAsiaTheme="minorHAnsi" w:hAnsi="Arial" w:cs="Arial"/>
          <w:color w:val="000000"/>
          <w:lang w:val="en-GB" w:eastAsia="en-US"/>
        </w:rPr>
        <w:t>In the result, the plaintiff was entitled to cancel the lease and is entitled to the ejectment of the defendant from the premises.</w:t>
      </w:r>
    </w:p>
    <w:p w14:paraId="3CC3566F" w14:textId="7FC1B260" w:rsidR="004925C2" w:rsidRPr="00070A6C" w:rsidRDefault="004925C2" w:rsidP="00AF5234">
      <w:pPr>
        <w:pStyle w:val="Heading2"/>
      </w:pPr>
      <w:r w:rsidRPr="00070A6C">
        <w:t xml:space="preserve">The </w:t>
      </w:r>
      <w:r w:rsidR="00326343" w:rsidRPr="00070A6C">
        <w:t>claim for payment</w:t>
      </w:r>
    </w:p>
    <w:p w14:paraId="0D8D3F20" w14:textId="68C67CA5" w:rsidR="000E0F83" w:rsidRPr="00070A6C" w:rsidRDefault="00326343"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It remains to be decided whether the plaintiff is entitled </w:t>
      </w:r>
      <w:r w:rsidR="00E1734D" w:rsidRPr="00070A6C">
        <w:rPr>
          <w:rFonts w:ascii="Arial" w:hAnsi="Arial" w:cs="Arial"/>
          <w:lang w:val="en-GB"/>
        </w:rPr>
        <w:t xml:space="preserve">in these proceedings </w:t>
      </w:r>
      <w:r w:rsidRPr="00070A6C">
        <w:rPr>
          <w:rFonts w:ascii="Arial" w:hAnsi="Arial" w:cs="Arial"/>
          <w:lang w:val="en-GB"/>
        </w:rPr>
        <w:t>to t</w:t>
      </w:r>
      <w:r w:rsidR="000E0F83" w:rsidRPr="00070A6C">
        <w:rPr>
          <w:rFonts w:ascii="Arial" w:hAnsi="Arial" w:cs="Arial"/>
          <w:lang w:val="en-GB"/>
        </w:rPr>
        <w:t xml:space="preserve">he relief claimed </w:t>
      </w:r>
      <w:r w:rsidRPr="00070A6C">
        <w:rPr>
          <w:rFonts w:ascii="Arial" w:hAnsi="Arial" w:cs="Arial"/>
          <w:lang w:val="en-GB"/>
        </w:rPr>
        <w:t>for</w:t>
      </w:r>
      <w:r w:rsidR="000E0F83" w:rsidRPr="00070A6C">
        <w:rPr>
          <w:rFonts w:ascii="Arial" w:hAnsi="Arial" w:cs="Arial"/>
          <w:lang w:val="en-GB"/>
        </w:rPr>
        <w:t xml:space="preserve"> payment of the arrear rental as of November 2020, </w:t>
      </w:r>
      <w:r w:rsidR="00EA7280" w:rsidRPr="00070A6C">
        <w:rPr>
          <w:rFonts w:ascii="Arial" w:hAnsi="Arial" w:cs="Arial"/>
          <w:lang w:val="en-GB"/>
        </w:rPr>
        <w:t xml:space="preserve">an </w:t>
      </w:r>
      <w:r w:rsidR="000E0F83" w:rsidRPr="00070A6C">
        <w:rPr>
          <w:rFonts w:ascii="Arial" w:hAnsi="Arial" w:cs="Arial"/>
          <w:lang w:val="en-GB"/>
        </w:rPr>
        <w:t>amount of R130,928.80 with interest.</w:t>
      </w:r>
    </w:p>
    <w:p w14:paraId="1DE30A21" w14:textId="2E426EAE" w:rsidR="00E05409" w:rsidRPr="00070A6C" w:rsidRDefault="00326343" w:rsidP="00E05409">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 xml:space="preserve">Rule 32(3)(b) requires that the defendant </w:t>
      </w:r>
      <w:bookmarkStart w:id="1" w:name="0-0-0-42863"/>
      <w:bookmarkStart w:id="2" w:name="0-0-0-42865"/>
      <w:bookmarkEnd w:id="1"/>
      <w:bookmarkEnd w:id="2"/>
      <w:r w:rsidRPr="00070A6C">
        <w:rPr>
          <w:rFonts w:ascii="Arial" w:hAnsi="Arial" w:cs="Arial"/>
          <w:lang w:val="en-GB"/>
        </w:rPr>
        <w:t>satisfies the court by affidavit that the defendant has a </w:t>
      </w:r>
      <w:r w:rsidRPr="00070A6C">
        <w:rPr>
          <w:rFonts w:ascii="Arial" w:hAnsi="Arial" w:cs="Arial"/>
          <w:i/>
          <w:iCs/>
          <w:lang w:val="en-GB"/>
        </w:rPr>
        <w:t>bona fide</w:t>
      </w:r>
      <w:r w:rsidRPr="00070A6C">
        <w:rPr>
          <w:rFonts w:ascii="Arial" w:hAnsi="Arial" w:cs="Arial"/>
          <w:lang w:val="en-GB"/>
        </w:rPr>
        <w:t xml:space="preserve"> defence to the action.  As Colman J held in </w:t>
      </w:r>
      <w:r w:rsidRPr="00070A6C">
        <w:rPr>
          <w:rFonts w:ascii="Arial" w:hAnsi="Arial" w:cs="Arial"/>
          <w:i/>
          <w:iCs/>
          <w:lang w:val="en-GB"/>
        </w:rPr>
        <w:t>Breitenbach v Fiat</w:t>
      </w:r>
      <w:r w:rsidR="00EA7280" w:rsidRPr="00070A6C">
        <w:rPr>
          <w:rFonts w:ascii="Arial" w:hAnsi="Arial" w:cs="Arial"/>
          <w:lang w:val="en-GB"/>
        </w:rPr>
        <w:t>,</w:t>
      </w:r>
      <w:r w:rsidR="00EA7280" w:rsidRPr="00070A6C">
        <w:rPr>
          <w:rStyle w:val="FootnoteReference"/>
          <w:rFonts w:ascii="Arial" w:hAnsi="Arial" w:cs="Arial"/>
          <w:lang w:val="en-GB"/>
        </w:rPr>
        <w:footnoteReference w:id="43"/>
      </w:r>
      <w:r w:rsidRPr="00070A6C">
        <w:rPr>
          <w:rFonts w:ascii="Arial" w:hAnsi="Arial" w:cs="Arial"/>
          <w:lang w:val="en-GB"/>
        </w:rPr>
        <w:t xml:space="preserve"> one of the things clearly required of a defendant by </w:t>
      </w:r>
      <w:r w:rsidR="00EA021E">
        <w:rPr>
          <w:rFonts w:ascii="Arial" w:hAnsi="Arial" w:cs="Arial"/>
          <w:lang w:val="en-GB"/>
        </w:rPr>
        <w:t>r</w:t>
      </w:r>
      <w:r w:rsidRPr="00070A6C">
        <w:rPr>
          <w:rFonts w:ascii="Arial" w:hAnsi="Arial" w:cs="Arial"/>
          <w:lang w:val="en-GB"/>
        </w:rPr>
        <w:t xml:space="preserve">ule 32(3)(b) is that </w:t>
      </w:r>
      <w:r w:rsidR="00EA7280" w:rsidRPr="00070A6C">
        <w:rPr>
          <w:rFonts w:ascii="Arial" w:hAnsi="Arial" w:cs="Arial"/>
          <w:lang w:val="en-GB"/>
        </w:rPr>
        <w:t>t</w:t>
      </w:r>
      <w:r w:rsidRPr="00070A6C">
        <w:rPr>
          <w:rFonts w:ascii="Arial" w:hAnsi="Arial" w:cs="Arial"/>
          <w:lang w:val="en-GB"/>
        </w:rPr>
        <w:t xml:space="preserve">he </w:t>
      </w:r>
      <w:r w:rsidR="00EA7280" w:rsidRPr="00070A6C">
        <w:rPr>
          <w:rFonts w:ascii="Arial" w:hAnsi="Arial" w:cs="Arial"/>
          <w:lang w:val="en-GB"/>
        </w:rPr>
        <w:t xml:space="preserve">defendant </w:t>
      </w:r>
      <w:r w:rsidRPr="00070A6C">
        <w:rPr>
          <w:rFonts w:ascii="Arial" w:hAnsi="Arial" w:cs="Arial"/>
          <w:lang w:val="en-GB"/>
        </w:rPr>
        <w:t>set</w:t>
      </w:r>
      <w:r w:rsidR="00EA7280" w:rsidRPr="00070A6C">
        <w:rPr>
          <w:rFonts w:ascii="Arial" w:hAnsi="Arial" w:cs="Arial"/>
          <w:lang w:val="en-GB"/>
        </w:rPr>
        <w:t>s</w:t>
      </w:r>
      <w:r w:rsidRPr="00070A6C">
        <w:rPr>
          <w:rFonts w:ascii="Arial" w:hAnsi="Arial" w:cs="Arial"/>
          <w:lang w:val="en-GB"/>
        </w:rPr>
        <w:t xml:space="preserve"> out in </w:t>
      </w:r>
      <w:r w:rsidR="00EA7280" w:rsidRPr="00070A6C">
        <w:rPr>
          <w:rFonts w:ascii="Arial" w:hAnsi="Arial" w:cs="Arial"/>
          <w:lang w:val="en-GB"/>
        </w:rPr>
        <w:t>its</w:t>
      </w:r>
      <w:r w:rsidRPr="00070A6C">
        <w:rPr>
          <w:rFonts w:ascii="Arial" w:hAnsi="Arial" w:cs="Arial"/>
          <w:lang w:val="en-GB"/>
        </w:rPr>
        <w:t xml:space="preserve"> affidavit facts if proved at the trial, will constitute an answer to the plaintiff's claim.</w:t>
      </w:r>
      <w:r w:rsidR="00E05409" w:rsidRPr="00070A6C">
        <w:rPr>
          <w:rFonts w:ascii="Arial" w:hAnsi="Arial" w:cs="Arial"/>
          <w:lang w:val="en-GB"/>
        </w:rPr>
        <w:t xml:space="preserve">  The Supreme Court of Appeal</w:t>
      </w:r>
      <w:r w:rsidR="00E05409" w:rsidRPr="00070A6C">
        <w:rPr>
          <w:rStyle w:val="FootnoteReference"/>
          <w:rFonts w:ascii="Arial" w:hAnsi="Arial" w:cs="Arial"/>
          <w:lang w:val="en-GB"/>
        </w:rPr>
        <w:footnoteReference w:id="44"/>
      </w:r>
      <w:r w:rsidR="00E05409" w:rsidRPr="00070A6C">
        <w:rPr>
          <w:rFonts w:ascii="Arial" w:hAnsi="Arial" w:cs="Arial"/>
          <w:lang w:val="en-GB"/>
        </w:rPr>
        <w:t xml:space="preserve"> more recently held that t</w:t>
      </w:r>
      <w:r w:rsidR="00E05409" w:rsidRPr="00070A6C">
        <w:rPr>
          <w:rFonts w:ascii="Arial" w:eastAsiaTheme="minorHAnsi" w:hAnsi="Arial" w:cs="Arial"/>
          <w:color w:val="000000"/>
          <w:lang w:val="en-GB" w:eastAsia="en-US"/>
        </w:rPr>
        <w:t>he procedure is not intended to deprive a defendant with a triable issue or a sustainable defence of her/his day in court.</w:t>
      </w:r>
      <w:r w:rsidR="00E05409" w:rsidRPr="00070A6C">
        <w:rPr>
          <w:rStyle w:val="FootnoteReference"/>
          <w:rFonts w:ascii="Arial" w:eastAsiaTheme="minorHAnsi" w:hAnsi="Arial" w:cs="Arial"/>
          <w:color w:val="000000"/>
          <w:lang w:val="en-GB" w:eastAsia="en-US"/>
        </w:rPr>
        <w:footnoteReference w:id="45"/>
      </w:r>
    </w:p>
    <w:p w14:paraId="6814C999" w14:textId="40BB092E" w:rsidR="007D1563" w:rsidRPr="00070A6C" w:rsidRDefault="00DD73A2"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lastRenderedPageBreak/>
        <w:t xml:space="preserve">The nature of the defences raised by the defendant is such that it is not possible for me to easily determine the exact amount for which the defendant may be liable.  </w:t>
      </w:r>
      <w:r w:rsidR="00AF4F36" w:rsidRPr="00070A6C">
        <w:rPr>
          <w:rFonts w:ascii="Arial" w:hAnsi="Arial" w:cs="Arial"/>
          <w:lang w:val="en-GB"/>
        </w:rPr>
        <w:t>The uncertainty is not created only by the water and sewerage charges on the statement but also by charges in respect of interest, rates and taxes (which according to the lease schedule would not be payable</w:t>
      </w:r>
      <w:r w:rsidR="00EA7280" w:rsidRPr="00070A6C">
        <w:rPr>
          <w:rFonts w:ascii="Arial" w:hAnsi="Arial" w:cs="Arial"/>
          <w:lang w:val="en-GB"/>
        </w:rPr>
        <w:t>)</w:t>
      </w:r>
      <w:r w:rsidR="00AF4F36" w:rsidRPr="00070A6C">
        <w:rPr>
          <w:rFonts w:ascii="Arial" w:hAnsi="Arial" w:cs="Arial"/>
          <w:lang w:val="en-GB"/>
        </w:rPr>
        <w:t xml:space="preserve"> and others which were not addressed during the hearing of the matter.  </w:t>
      </w:r>
      <w:r w:rsidRPr="00070A6C">
        <w:rPr>
          <w:rFonts w:ascii="Arial" w:hAnsi="Arial" w:cs="Arial"/>
          <w:lang w:val="en-GB"/>
        </w:rPr>
        <w:t xml:space="preserve">Both parties have pleaded their cases with limited support and without making use of the evidentiary tools available to them.  </w:t>
      </w:r>
      <w:r w:rsidR="007D1563" w:rsidRPr="00070A6C">
        <w:rPr>
          <w:rFonts w:ascii="Arial" w:hAnsi="Arial" w:cs="Arial"/>
          <w:lang w:val="en-GB"/>
        </w:rPr>
        <w:t xml:space="preserve">The defences raised by the defendant </w:t>
      </w:r>
      <w:r w:rsidR="00E05409" w:rsidRPr="00070A6C">
        <w:rPr>
          <w:rFonts w:ascii="Arial" w:hAnsi="Arial" w:cs="Arial"/>
          <w:lang w:val="en-GB"/>
        </w:rPr>
        <w:t xml:space="preserve">in respect of the claim for payment </w:t>
      </w:r>
      <w:r w:rsidR="007D1563" w:rsidRPr="00070A6C">
        <w:rPr>
          <w:rFonts w:ascii="Arial" w:hAnsi="Arial" w:cs="Arial"/>
          <w:lang w:val="en-GB"/>
        </w:rPr>
        <w:t>can best be decided by a trial court having had the benefit of the evidence to be presented by the parties and full argument.</w:t>
      </w:r>
    </w:p>
    <w:p w14:paraId="12DD66A9" w14:textId="267190C2" w:rsidR="00326343" w:rsidRPr="00070A6C" w:rsidRDefault="00326343"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For the reasons mentioned, I cannot say with conviction that no triable issue has been raised by the defendant in respect of the claim for payment</w:t>
      </w:r>
      <w:r w:rsidR="007D1563" w:rsidRPr="00070A6C">
        <w:rPr>
          <w:rFonts w:ascii="Arial" w:hAnsi="Arial" w:cs="Arial"/>
          <w:lang w:val="en-GB"/>
        </w:rPr>
        <w:t xml:space="preserve"> or at least a portion thereof</w:t>
      </w:r>
      <w:r w:rsidRPr="00070A6C">
        <w:rPr>
          <w:rFonts w:ascii="Arial" w:hAnsi="Arial" w:cs="Arial"/>
          <w:lang w:val="en-GB"/>
        </w:rPr>
        <w:t>.  I am guided by the principle that whe</w:t>
      </w:r>
      <w:r w:rsidR="00AF5234" w:rsidRPr="00070A6C">
        <w:rPr>
          <w:rFonts w:ascii="Arial" w:hAnsi="Arial" w:cs="Arial"/>
          <w:lang w:val="en-GB"/>
        </w:rPr>
        <w:t>re</w:t>
      </w:r>
      <w:r w:rsidRPr="00070A6C">
        <w:rPr>
          <w:rFonts w:ascii="Arial" w:hAnsi="Arial" w:cs="Arial"/>
          <w:lang w:val="en-GB"/>
        </w:rPr>
        <w:t xml:space="preserve"> there is doubt, summary judgment should not be granted.</w:t>
      </w:r>
    </w:p>
    <w:p w14:paraId="4C8F8DE7" w14:textId="1181A960" w:rsidR="00AF5234" w:rsidRPr="00070A6C" w:rsidRDefault="00AF5234" w:rsidP="00AF5234">
      <w:pPr>
        <w:pStyle w:val="ListParagraph"/>
        <w:numPr>
          <w:ilvl w:val="0"/>
          <w:numId w:val="5"/>
        </w:numPr>
        <w:spacing w:after="360" w:line="360" w:lineRule="auto"/>
        <w:contextualSpacing w:val="0"/>
        <w:jc w:val="both"/>
        <w:rPr>
          <w:rFonts w:ascii="Arial" w:hAnsi="Arial" w:cs="Arial"/>
          <w:lang w:val="en-GB"/>
        </w:rPr>
      </w:pPr>
      <w:r w:rsidRPr="00070A6C">
        <w:rPr>
          <w:rFonts w:ascii="Arial" w:hAnsi="Arial" w:cs="Arial"/>
          <w:lang w:val="en-GB"/>
        </w:rPr>
        <w:t>The plaintiff is entitled to costs as it is substantially successful in obtaining an order for the ejectment of the defendant in these proceedings.</w:t>
      </w:r>
    </w:p>
    <w:p w14:paraId="364B8624" w14:textId="77777777" w:rsidR="00510037" w:rsidRPr="00070A6C" w:rsidRDefault="00510037" w:rsidP="00510037">
      <w:pPr>
        <w:spacing w:after="360" w:line="360" w:lineRule="auto"/>
        <w:jc w:val="both"/>
        <w:rPr>
          <w:rFonts w:ascii="Arial" w:hAnsi="Arial" w:cs="Arial"/>
          <w:lang w:val="en-GB"/>
        </w:rPr>
      </w:pPr>
    </w:p>
    <w:p w14:paraId="77A87403" w14:textId="77777777" w:rsidR="0027530B" w:rsidRPr="00070A6C" w:rsidRDefault="0027530B" w:rsidP="00AF5234">
      <w:pPr>
        <w:pStyle w:val="ListParagraph"/>
        <w:spacing w:after="360" w:line="360" w:lineRule="auto"/>
        <w:ind w:left="0"/>
        <w:contextualSpacing w:val="0"/>
        <w:rPr>
          <w:rFonts w:ascii="Arial" w:hAnsi="Arial" w:cs="Arial"/>
          <w:lang w:val="en-GB"/>
        </w:rPr>
      </w:pPr>
      <w:r w:rsidRPr="00070A6C">
        <w:rPr>
          <w:rFonts w:ascii="Arial" w:hAnsi="Arial" w:cs="Arial"/>
          <w:lang w:val="en-GB"/>
        </w:rPr>
        <w:t>In the circumstances I make the following order:</w:t>
      </w:r>
    </w:p>
    <w:p w14:paraId="31345B9F" w14:textId="0D0B134C" w:rsidR="00AF4F36" w:rsidRPr="00070A6C" w:rsidRDefault="00AF4F36" w:rsidP="00AF5234">
      <w:pPr>
        <w:pStyle w:val="ListParagraph"/>
        <w:numPr>
          <w:ilvl w:val="0"/>
          <w:numId w:val="6"/>
        </w:numPr>
        <w:autoSpaceDE w:val="0"/>
        <w:autoSpaceDN w:val="0"/>
        <w:adjustRightInd w:val="0"/>
        <w:spacing w:after="360" w:line="360" w:lineRule="auto"/>
        <w:ind w:left="567" w:hanging="567"/>
        <w:contextualSpacing w:val="0"/>
        <w:jc w:val="both"/>
        <w:rPr>
          <w:rFonts w:ascii="Arial" w:eastAsiaTheme="minorHAnsi" w:hAnsi="Arial" w:cs="Arial"/>
          <w:color w:val="000000"/>
          <w:lang w:val="en-GB" w:eastAsia="en-US"/>
        </w:rPr>
      </w:pPr>
      <w:r w:rsidRPr="00070A6C">
        <w:rPr>
          <w:rFonts w:ascii="Arial" w:eastAsiaTheme="minorHAnsi" w:hAnsi="Arial" w:cs="Arial"/>
          <w:color w:val="000000"/>
          <w:lang w:val="en-GB" w:eastAsia="en-US"/>
        </w:rPr>
        <w:t>The defendant and all those in occupation through the defendant are ejected from and are to vacate the premises described as Shop no 23 (measuring approximately 159m</w:t>
      </w:r>
      <w:r w:rsidRPr="00070A6C">
        <w:rPr>
          <w:rFonts w:ascii="Arial" w:eastAsiaTheme="minorHAnsi" w:hAnsi="Arial" w:cs="Arial"/>
          <w:color w:val="000000"/>
          <w:vertAlign w:val="superscript"/>
          <w:lang w:val="en-GB" w:eastAsia="en-US"/>
        </w:rPr>
        <w:t>2</w:t>
      </w:r>
      <w:r w:rsidRPr="00070A6C">
        <w:rPr>
          <w:rFonts w:ascii="Arial" w:eastAsiaTheme="minorHAnsi" w:hAnsi="Arial" w:cs="Arial"/>
          <w:color w:val="000000"/>
          <w:lang w:val="en-GB" w:eastAsia="en-US"/>
        </w:rPr>
        <w:t>), Fingoland Mall, Erf 501, corner N2 &amp; Road number DR8327, Butterworth, Eastern Cape within one week of this order, failing which the sheriff and/or deputy sheriff is authorised to take such steps as are necessary to give effect to this order and, if necessary, to obtain the assistance of the South African Police Services.</w:t>
      </w:r>
    </w:p>
    <w:p w14:paraId="7BA7C422" w14:textId="77777777" w:rsidR="00AF5234" w:rsidRPr="00070A6C" w:rsidRDefault="00AF5234" w:rsidP="00AF5234">
      <w:pPr>
        <w:pStyle w:val="ListParagraph"/>
        <w:numPr>
          <w:ilvl w:val="0"/>
          <w:numId w:val="6"/>
        </w:numPr>
        <w:autoSpaceDE w:val="0"/>
        <w:autoSpaceDN w:val="0"/>
        <w:adjustRightInd w:val="0"/>
        <w:spacing w:after="360" w:line="360" w:lineRule="auto"/>
        <w:ind w:left="567" w:hanging="567"/>
        <w:contextualSpacing w:val="0"/>
        <w:jc w:val="both"/>
        <w:rPr>
          <w:rFonts w:ascii="Arial" w:eastAsiaTheme="minorHAnsi" w:hAnsi="Arial" w:cs="Arial"/>
          <w:color w:val="000000"/>
          <w:lang w:val="en-GB" w:eastAsia="en-US"/>
        </w:rPr>
      </w:pPr>
      <w:r w:rsidRPr="00070A6C">
        <w:rPr>
          <w:rFonts w:ascii="Arial" w:eastAsiaTheme="minorHAnsi" w:hAnsi="Arial" w:cs="Arial"/>
          <w:color w:val="000000"/>
          <w:lang w:val="en-GB" w:eastAsia="en-US"/>
        </w:rPr>
        <w:t>Leave to defend is granted to the defendant on the plaintiff’s claims for payment of the arrears and of interest thereon (prayers 1 and 2 of claim1).</w:t>
      </w:r>
    </w:p>
    <w:p w14:paraId="627C0981" w14:textId="3A07DA3B" w:rsidR="00AF4F36" w:rsidRPr="00070A6C" w:rsidRDefault="00AF4F36" w:rsidP="00AF5234">
      <w:pPr>
        <w:pStyle w:val="ListParagraph"/>
        <w:numPr>
          <w:ilvl w:val="0"/>
          <w:numId w:val="6"/>
        </w:numPr>
        <w:autoSpaceDE w:val="0"/>
        <w:autoSpaceDN w:val="0"/>
        <w:adjustRightInd w:val="0"/>
        <w:spacing w:after="360" w:line="360" w:lineRule="auto"/>
        <w:ind w:left="567" w:hanging="567"/>
        <w:contextualSpacing w:val="0"/>
        <w:jc w:val="both"/>
        <w:rPr>
          <w:rFonts w:ascii="Arial" w:eastAsiaTheme="minorHAnsi" w:hAnsi="Arial" w:cs="Arial"/>
          <w:color w:val="000000"/>
          <w:lang w:val="en-GB" w:eastAsia="en-US"/>
        </w:rPr>
      </w:pPr>
      <w:r w:rsidRPr="00070A6C">
        <w:rPr>
          <w:rFonts w:ascii="Arial" w:eastAsiaTheme="minorHAnsi" w:hAnsi="Arial" w:cs="Arial"/>
          <w:color w:val="000000"/>
          <w:lang w:val="en-GB" w:eastAsia="en-US"/>
        </w:rPr>
        <w:lastRenderedPageBreak/>
        <w:t xml:space="preserve">The defendant is </w:t>
      </w:r>
      <w:r w:rsidR="00EA021E">
        <w:rPr>
          <w:rFonts w:ascii="Arial" w:eastAsiaTheme="minorHAnsi" w:hAnsi="Arial" w:cs="Arial"/>
          <w:color w:val="000000"/>
          <w:lang w:val="en-GB" w:eastAsia="en-US"/>
        </w:rPr>
        <w:t xml:space="preserve">ordered to </w:t>
      </w:r>
      <w:r w:rsidRPr="00070A6C">
        <w:rPr>
          <w:rFonts w:ascii="Arial" w:eastAsiaTheme="minorHAnsi" w:hAnsi="Arial" w:cs="Arial"/>
          <w:color w:val="000000"/>
          <w:lang w:val="en-GB" w:eastAsia="en-US"/>
        </w:rPr>
        <w:t>pay the costs of the summary judgment proceedings.</w:t>
      </w:r>
    </w:p>
    <w:p w14:paraId="4C191CCD" w14:textId="77777777" w:rsidR="0027530B" w:rsidRPr="00070A6C" w:rsidRDefault="0027530B" w:rsidP="0027530B">
      <w:pPr>
        <w:spacing w:after="360" w:line="360" w:lineRule="auto"/>
        <w:rPr>
          <w:rFonts w:ascii="Arial" w:hAnsi="Arial" w:cs="Arial"/>
          <w:lang w:val="en-GB"/>
        </w:rPr>
      </w:pPr>
    </w:p>
    <w:p w14:paraId="7A72C67A" w14:textId="008337A9" w:rsidR="0027530B" w:rsidRPr="00070A6C" w:rsidRDefault="0027530B" w:rsidP="00B82E40">
      <w:pPr>
        <w:spacing w:line="360" w:lineRule="auto"/>
        <w:ind w:left="4536"/>
        <w:rPr>
          <w:rFonts w:ascii="Arial" w:hAnsi="Arial" w:cs="Arial"/>
          <w:lang w:val="en-GB"/>
        </w:rPr>
      </w:pPr>
      <w:r w:rsidRPr="00070A6C">
        <w:rPr>
          <w:rFonts w:ascii="Arial" w:hAnsi="Arial" w:cs="Arial"/>
          <w:lang w:val="en-GB"/>
        </w:rPr>
        <w:t>_________________________________</w:t>
      </w:r>
    </w:p>
    <w:p w14:paraId="203526A4" w14:textId="77777777" w:rsidR="0027530B" w:rsidRPr="00070A6C" w:rsidRDefault="0027530B" w:rsidP="00B82E40">
      <w:pPr>
        <w:spacing w:line="360" w:lineRule="auto"/>
        <w:ind w:left="4536"/>
        <w:rPr>
          <w:rFonts w:ascii="Arial" w:hAnsi="Arial" w:cs="Arial"/>
          <w:lang w:val="en-GB"/>
        </w:rPr>
      </w:pPr>
      <w:r w:rsidRPr="00070A6C">
        <w:rPr>
          <w:rFonts w:ascii="Arial" w:hAnsi="Arial" w:cs="Arial"/>
          <w:lang w:val="en-GB"/>
        </w:rPr>
        <w:t>JF PRETORIUS</w:t>
      </w:r>
    </w:p>
    <w:p w14:paraId="32181FD8" w14:textId="77777777" w:rsidR="0027530B" w:rsidRPr="00070A6C" w:rsidRDefault="0027530B" w:rsidP="00B82E40">
      <w:pPr>
        <w:spacing w:line="360" w:lineRule="auto"/>
        <w:ind w:left="4536"/>
        <w:rPr>
          <w:rFonts w:ascii="Arial" w:hAnsi="Arial" w:cs="Arial"/>
          <w:lang w:val="en-GB"/>
        </w:rPr>
      </w:pPr>
      <w:r w:rsidRPr="00070A6C">
        <w:rPr>
          <w:rFonts w:ascii="Arial" w:hAnsi="Arial" w:cs="Arial"/>
          <w:lang w:val="en-GB"/>
        </w:rPr>
        <w:t>ACTING JUDGE OF THE HIGH COURT</w:t>
      </w:r>
    </w:p>
    <w:p w14:paraId="628A7922" w14:textId="6B7CFA7D" w:rsidR="0027530B" w:rsidRPr="00070A6C" w:rsidRDefault="0027530B" w:rsidP="00B82E40">
      <w:pPr>
        <w:spacing w:line="360" w:lineRule="auto"/>
        <w:ind w:left="4536"/>
        <w:rPr>
          <w:rFonts w:ascii="Arial" w:hAnsi="Arial" w:cs="Arial"/>
          <w:lang w:val="en-GB"/>
        </w:rPr>
      </w:pPr>
      <w:r w:rsidRPr="00070A6C">
        <w:rPr>
          <w:rFonts w:ascii="Arial" w:hAnsi="Arial" w:cs="Arial"/>
          <w:lang w:val="en-GB"/>
        </w:rPr>
        <w:t>GAUTENG DIVISION, JOHANNESBURG</w:t>
      </w:r>
    </w:p>
    <w:p w14:paraId="7555FB1E" w14:textId="77777777" w:rsidR="0027530B" w:rsidRPr="00070A6C" w:rsidRDefault="0027530B" w:rsidP="0027530B">
      <w:pPr>
        <w:rPr>
          <w:rFonts w:ascii="Arial" w:hAnsi="Arial" w:cs="Arial"/>
          <w:lang w:val="en-GB"/>
        </w:rPr>
      </w:pPr>
    </w:p>
    <w:p w14:paraId="4B125F9E" w14:textId="77777777" w:rsidR="0027530B" w:rsidRPr="00070A6C" w:rsidRDefault="0027530B" w:rsidP="0027530B">
      <w:pPr>
        <w:spacing w:after="240"/>
        <w:rPr>
          <w:rFonts w:ascii="Arial" w:hAnsi="Arial" w:cs="Arial"/>
          <w:lang w:val="en-GB"/>
        </w:rPr>
      </w:pPr>
    </w:p>
    <w:p w14:paraId="486A1B82" w14:textId="7F88637C" w:rsidR="0027530B" w:rsidRPr="00070A6C" w:rsidRDefault="0027530B" w:rsidP="00B82E40">
      <w:pPr>
        <w:tabs>
          <w:tab w:val="left" w:pos="4536"/>
        </w:tabs>
        <w:spacing w:after="240"/>
        <w:rPr>
          <w:rFonts w:ascii="Arial" w:hAnsi="Arial" w:cs="Arial"/>
          <w:lang w:val="en-GB"/>
        </w:rPr>
      </w:pPr>
      <w:r w:rsidRPr="00070A6C">
        <w:rPr>
          <w:rFonts w:ascii="Arial" w:hAnsi="Arial" w:cs="Arial"/>
          <w:lang w:val="en-GB"/>
        </w:rPr>
        <w:t xml:space="preserve">DATE OF HEARING: </w:t>
      </w:r>
      <w:r w:rsidRPr="00070A6C">
        <w:rPr>
          <w:rFonts w:ascii="Arial" w:hAnsi="Arial" w:cs="Arial"/>
          <w:lang w:val="en-GB"/>
        </w:rPr>
        <w:tab/>
      </w:r>
      <w:r w:rsidR="00C060CB" w:rsidRPr="00070A6C">
        <w:rPr>
          <w:rFonts w:ascii="Arial" w:hAnsi="Arial" w:cs="Arial"/>
          <w:lang w:val="en-GB"/>
        </w:rPr>
        <w:t>12 August 2021</w:t>
      </w:r>
    </w:p>
    <w:p w14:paraId="29AE35D3" w14:textId="06F8EF57" w:rsidR="0027530B" w:rsidRPr="00070A6C" w:rsidRDefault="0027530B" w:rsidP="00B82E40">
      <w:pPr>
        <w:tabs>
          <w:tab w:val="left" w:pos="4536"/>
        </w:tabs>
        <w:spacing w:after="240"/>
        <w:rPr>
          <w:rFonts w:ascii="Arial" w:hAnsi="Arial" w:cs="Arial"/>
          <w:lang w:val="en-GB"/>
        </w:rPr>
      </w:pPr>
      <w:r w:rsidRPr="00070A6C">
        <w:rPr>
          <w:rFonts w:ascii="Arial" w:hAnsi="Arial" w:cs="Arial"/>
          <w:lang w:val="en-GB"/>
        </w:rPr>
        <w:t>DATE OF JUDGMENT:</w:t>
      </w:r>
      <w:r w:rsidRPr="00070A6C">
        <w:rPr>
          <w:rFonts w:ascii="Arial" w:hAnsi="Arial" w:cs="Arial"/>
          <w:lang w:val="en-GB"/>
        </w:rPr>
        <w:tab/>
      </w:r>
      <w:r w:rsidR="00510037" w:rsidRPr="00070A6C">
        <w:rPr>
          <w:rFonts w:ascii="Arial" w:hAnsi="Arial" w:cs="Arial"/>
          <w:lang w:val="en-GB"/>
        </w:rPr>
        <w:t>19 October 2021</w:t>
      </w:r>
    </w:p>
    <w:p w14:paraId="1B53B333" w14:textId="77777777" w:rsidR="0027530B" w:rsidRPr="00070A6C" w:rsidRDefault="0027530B" w:rsidP="00B82E40">
      <w:pPr>
        <w:tabs>
          <w:tab w:val="left" w:pos="4536"/>
        </w:tabs>
        <w:spacing w:after="240"/>
        <w:rPr>
          <w:rFonts w:ascii="Arial" w:hAnsi="Arial" w:cs="Arial"/>
          <w:lang w:val="en-GB"/>
        </w:rPr>
      </w:pPr>
    </w:p>
    <w:p w14:paraId="750E734E" w14:textId="37DAAB1C" w:rsidR="0027530B" w:rsidRPr="00070A6C" w:rsidRDefault="0027530B" w:rsidP="00B82E40">
      <w:pPr>
        <w:tabs>
          <w:tab w:val="left" w:pos="4536"/>
        </w:tabs>
        <w:spacing w:after="240"/>
        <w:rPr>
          <w:rFonts w:ascii="Arial" w:hAnsi="Arial" w:cs="Arial"/>
          <w:lang w:val="en-GB"/>
        </w:rPr>
      </w:pPr>
      <w:r w:rsidRPr="00070A6C">
        <w:rPr>
          <w:rFonts w:ascii="Arial" w:hAnsi="Arial" w:cs="Arial"/>
          <w:lang w:val="en-GB"/>
        </w:rPr>
        <w:t xml:space="preserve">COUNSEL FOR THE </w:t>
      </w:r>
      <w:r w:rsidR="00510037" w:rsidRPr="00070A6C">
        <w:rPr>
          <w:rFonts w:ascii="Arial" w:hAnsi="Arial" w:cs="Arial"/>
          <w:lang w:val="en-GB"/>
        </w:rPr>
        <w:t>PLAINTIFF</w:t>
      </w:r>
      <w:r w:rsidRPr="00070A6C">
        <w:rPr>
          <w:rFonts w:ascii="Arial" w:hAnsi="Arial" w:cs="Arial"/>
          <w:lang w:val="en-GB"/>
        </w:rPr>
        <w:t>:</w:t>
      </w:r>
      <w:r w:rsidRPr="00070A6C">
        <w:rPr>
          <w:rFonts w:ascii="Arial" w:hAnsi="Arial" w:cs="Arial"/>
          <w:lang w:val="en-GB"/>
        </w:rPr>
        <w:tab/>
      </w:r>
      <w:r w:rsidR="00C060CB" w:rsidRPr="00070A6C">
        <w:rPr>
          <w:rFonts w:ascii="Arial" w:hAnsi="Arial" w:cs="Arial"/>
          <w:lang w:val="en-GB"/>
        </w:rPr>
        <w:t>JG Dobie</w:t>
      </w:r>
    </w:p>
    <w:p w14:paraId="466A77FD" w14:textId="4DC8FCAB" w:rsidR="0027530B" w:rsidRPr="00070A6C" w:rsidRDefault="0027530B" w:rsidP="00B82E40">
      <w:pPr>
        <w:tabs>
          <w:tab w:val="left" w:pos="4536"/>
        </w:tabs>
        <w:spacing w:after="240"/>
        <w:rPr>
          <w:rFonts w:ascii="Arial" w:hAnsi="Arial" w:cs="Arial"/>
          <w:lang w:val="en-GB"/>
        </w:rPr>
      </w:pPr>
      <w:r w:rsidRPr="00070A6C">
        <w:rPr>
          <w:rFonts w:ascii="Arial" w:hAnsi="Arial" w:cs="Arial"/>
          <w:lang w:val="en-GB"/>
        </w:rPr>
        <w:t xml:space="preserve">INSTRUCTED BY: </w:t>
      </w:r>
      <w:r w:rsidRPr="00070A6C">
        <w:rPr>
          <w:rFonts w:ascii="Arial" w:hAnsi="Arial" w:cs="Arial"/>
          <w:lang w:val="en-GB"/>
        </w:rPr>
        <w:tab/>
      </w:r>
      <w:r w:rsidR="00C060CB" w:rsidRPr="00070A6C">
        <w:rPr>
          <w:rFonts w:ascii="Arial" w:eastAsia="Times" w:hAnsi="Arial" w:cs="Arial"/>
          <w:lang w:val="en-GB"/>
        </w:rPr>
        <w:t>Reaan Swanepoel Attorneys</w:t>
      </w:r>
    </w:p>
    <w:p w14:paraId="7D89FA1A" w14:textId="77777777" w:rsidR="0027530B" w:rsidRPr="00070A6C" w:rsidRDefault="0027530B" w:rsidP="00B82E40">
      <w:pPr>
        <w:tabs>
          <w:tab w:val="left" w:pos="4536"/>
        </w:tabs>
        <w:spacing w:after="240"/>
        <w:rPr>
          <w:rFonts w:ascii="Arial" w:hAnsi="Arial" w:cs="Arial"/>
          <w:lang w:val="en-GB"/>
        </w:rPr>
      </w:pPr>
    </w:p>
    <w:p w14:paraId="314CA571" w14:textId="095EB81C" w:rsidR="0027530B" w:rsidRPr="00070A6C" w:rsidRDefault="0027530B" w:rsidP="00B82E40">
      <w:pPr>
        <w:tabs>
          <w:tab w:val="left" w:pos="4536"/>
        </w:tabs>
        <w:spacing w:after="240"/>
        <w:rPr>
          <w:rFonts w:ascii="Arial" w:hAnsi="Arial" w:cs="Arial"/>
          <w:lang w:val="en-GB"/>
        </w:rPr>
      </w:pPr>
      <w:r w:rsidRPr="00070A6C">
        <w:rPr>
          <w:rFonts w:ascii="Arial" w:hAnsi="Arial" w:cs="Arial"/>
          <w:lang w:val="en-GB"/>
        </w:rPr>
        <w:t xml:space="preserve">COUNSEL FOR THE </w:t>
      </w:r>
      <w:r w:rsidR="00510037" w:rsidRPr="00070A6C">
        <w:rPr>
          <w:rFonts w:ascii="Arial" w:hAnsi="Arial" w:cs="Arial"/>
          <w:lang w:val="en-GB"/>
        </w:rPr>
        <w:t>DEFENDANT</w:t>
      </w:r>
      <w:r w:rsidRPr="00070A6C">
        <w:rPr>
          <w:rFonts w:ascii="Arial" w:hAnsi="Arial" w:cs="Arial"/>
          <w:lang w:val="en-GB"/>
        </w:rPr>
        <w:t>:</w:t>
      </w:r>
      <w:r w:rsidRPr="00070A6C">
        <w:rPr>
          <w:rFonts w:ascii="Arial" w:hAnsi="Arial" w:cs="Arial"/>
          <w:lang w:val="en-GB"/>
        </w:rPr>
        <w:tab/>
      </w:r>
      <w:r w:rsidR="00C060CB" w:rsidRPr="00070A6C">
        <w:rPr>
          <w:rFonts w:ascii="Arial" w:hAnsi="Arial" w:cs="Arial"/>
          <w:lang w:val="en-GB"/>
        </w:rPr>
        <w:t>AJ Venter</w:t>
      </w:r>
    </w:p>
    <w:p w14:paraId="6473AC67" w14:textId="2588A5E6" w:rsidR="0027530B" w:rsidRPr="00070A6C" w:rsidRDefault="0027530B" w:rsidP="00B82E40">
      <w:pPr>
        <w:tabs>
          <w:tab w:val="left" w:pos="4536"/>
        </w:tabs>
        <w:spacing w:after="240"/>
        <w:rPr>
          <w:rFonts w:ascii="Arial" w:hAnsi="Arial" w:cs="Arial"/>
          <w:lang w:val="en-GB"/>
        </w:rPr>
      </w:pPr>
      <w:r w:rsidRPr="00070A6C">
        <w:rPr>
          <w:rFonts w:ascii="Arial" w:hAnsi="Arial" w:cs="Arial"/>
          <w:lang w:val="en-GB"/>
        </w:rPr>
        <w:t xml:space="preserve">INSTRUCTED BY: </w:t>
      </w:r>
      <w:r w:rsidRPr="00070A6C">
        <w:rPr>
          <w:rFonts w:ascii="Arial" w:hAnsi="Arial" w:cs="Arial"/>
          <w:lang w:val="en-GB"/>
        </w:rPr>
        <w:tab/>
      </w:r>
      <w:r w:rsidR="00C060CB" w:rsidRPr="00070A6C">
        <w:rPr>
          <w:rFonts w:ascii="Arial" w:eastAsia="Times" w:hAnsi="Arial" w:cs="Arial"/>
          <w:lang w:val="en-GB"/>
        </w:rPr>
        <w:t>Trevor Swartz Attorney</w:t>
      </w:r>
    </w:p>
    <w:p w14:paraId="0365868D" w14:textId="77777777" w:rsidR="00E247C2" w:rsidRPr="00070A6C" w:rsidRDefault="00E247C2" w:rsidP="00B82E40">
      <w:pPr>
        <w:tabs>
          <w:tab w:val="left" w:pos="4536"/>
        </w:tabs>
        <w:rPr>
          <w:rFonts w:ascii="Arial" w:hAnsi="Arial" w:cs="Arial"/>
          <w:lang w:val="en-GB"/>
        </w:rPr>
      </w:pPr>
    </w:p>
    <w:sectPr w:rsidR="00E247C2" w:rsidRPr="00070A6C" w:rsidSect="00D309CA">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431E2" w14:textId="77777777" w:rsidR="000129DC" w:rsidRDefault="000129DC" w:rsidP="0027530B">
      <w:r>
        <w:separator/>
      </w:r>
    </w:p>
  </w:endnote>
  <w:endnote w:type="continuationSeparator" w:id="0">
    <w:p w14:paraId="248165D0" w14:textId="77777777" w:rsidR="000129DC" w:rsidRDefault="000129DC" w:rsidP="0027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ḳƐ"/>
    <w:panose1 w:val="02020603050405020304"/>
    <w:charset w:val="00"/>
    <w:family w:val="auto"/>
    <w:pitch w:val="variable"/>
    <w:sig w:usb0="E00002FF" w:usb1="5000205A" w:usb2="00000000" w:usb3="00000000" w:csb0="0000019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CECAA" w14:textId="77777777" w:rsidR="000129DC" w:rsidRDefault="000129DC" w:rsidP="0027530B">
      <w:r>
        <w:separator/>
      </w:r>
    </w:p>
  </w:footnote>
  <w:footnote w:type="continuationSeparator" w:id="0">
    <w:p w14:paraId="06466F4D" w14:textId="77777777" w:rsidR="000129DC" w:rsidRDefault="000129DC" w:rsidP="0027530B">
      <w:r>
        <w:continuationSeparator/>
      </w:r>
    </w:p>
  </w:footnote>
  <w:footnote w:id="1">
    <w:p w14:paraId="628B7809" w14:textId="7F546F6E" w:rsidR="00400C13" w:rsidRPr="00A9249F" w:rsidRDefault="00400C13" w:rsidP="00A9249F">
      <w:pPr>
        <w:autoSpaceDE w:val="0"/>
        <w:autoSpaceDN w:val="0"/>
        <w:adjustRightInd w:val="0"/>
        <w:ind w:left="426" w:hanging="426"/>
        <w:jc w:val="both"/>
        <w:rPr>
          <w:rFonts w:ascii="Arial" w:eastAsiaTheme="minorHAnsi" w:hAnsi="Arial" w:cs="Arial"/>
          <w:color w:val="000000"/>
          <w:sz w:val="20"/>
          <w:szCs w:val="20"/>
          <w:lang w:val="en-GB" w:eastAsia="en-US"/>
        </w:rPr>
      </w:pPr>
      <w:r w:rsidRPr="00A9249F">
        <w:rPr>
          <w:rStyle w:val="FootnoteReference"/>
          <w:rFonts w:ascii="Arial" w:hAnsi="Arial" w:cs="Arial"/>
          <w:sz w:val="20"/>
          <w:szCs w:val="20"/>
        </w:rPr>
        <w:footnoteRef/>
      </w:r>
      <w:r w:rsidRPr="00A9249F">
        <w:rPr>
          <w:rFonts w:ascii="Arial" w:hAnsi="Arial" w:cs="Arial"/>
          <w:sz w:val="20"/>
          <w:szCs w:val="20"/>
        </w:rPr>
        <w:t xml:space="preserve"> </w:t>
      </w:r>
      <w:r w:rsidRPr="00A9249F">
        <w:rPr>
          <w:rFonts w:ascii="Arial" w:hAnsi="Arial" w:cs="Arial"/>
          <w:sz w:val="20"/>
          <w:szCs w:val="20"/>
          <w:lang w:val="en-US"/>
        </w:rPr>
        <w:tab/>
      </w:r>
      <w:r w:rsidRPr="00A9249F">
        <w:rPr>
          <w:rFonts w:ascii="Arial" w:eastAsiaTheme="minorHAnsi" w:hAnsi="Arial" w:cs="Arial"/>
          <w:i/>
          <w:iCs/>
          <w:color w:val="000000"/>
          <w:sz w:val="20"/>
          <w:szCs w:val="20"/>
          <w:lang w:val="en-GB" w:eastAsia="en-US"/>
        </w:rPr>
        <w:t>Vukile Property Fund Limited v True Ruby Trading 1002 CC</w:t>
      </w:r>
      <w:r w:rsidRPr="00A9249F">
        <w:rPr>
          <w:rFonts w:ascii="Arial" w:eastAsiaTheme="minorHAnsi" w:hAnsi="Arial" w:cs="Arial"/>
          <w:color w:val="000000"/>
          <w:sz w:val="20"/>
          <w:szCs w:val="20"/>
          <w:lang w:val="en-GB" w:eastAsia="en-US"/>
        </w:rPr>
        <w:t>, unreported</w:t>
      </w:r>
      <w:r w:rsidR="003851E4" w:rsidRPr="00A9249F">
        <w:rPr>
          <w:rFonts w:ascii="Arial" w:eastAsiaTheme="minorHAnsi" w:hAnsi="Arial" w:cs="Arial"/>
          <w:color w:val="000000"/>
          <w:sz w:val="20"/>
          <w:szCs w:val="20"/>
          <w:lang w:val="en-GB" w:eastAsia="en-US"/>
        </w:rPr>
        <w:t xml:space="preserve"> </w:t>
      </w:r>
      <w:r w:rsidRPr="00A9249F">
        <w:rPr>
          <w:rFonts w:ascii="Arial" w:hAnsi="Arial" w:cs="Arial"/>
          <w:sz w:val="20"/>
          <w:szCs w:val="20"/>
          <w:lang w:val="en-GB"/>
        </w:rPr>
        <w:t>judgment under case number 2020/9705, Gauteng Division, Johannesburg</w:t>
      </w:r>
      <w:r w:rsidR="00510037">
        <w:rPr>
          <w:rFonts w:ascii="Arial" w:hAnsi="Arial" w:cs="Arial"/>
          <w:sz w:val="20"/>
          <w:szCs w:val="20"/>
          <w:lang w:val="en-GB"/>
        </w:rPr>
        <w:t xml:space="preserve"> at</w:t>
      </w:r>
      <w:r w:rsidRPr="00A9249F">
        <w:rPr>
          <w:rFonts w:ascii="Arial" w:hAnsi="Arial" w:cs="Arial"/>
          <w:sz w:val="20"/>
          <w:szCs w:val="20"/>
          <w:lang w:val="en-GB"/>
        </w:rPr>
        <w:t xml:space="preserve"> [6]-[12]</w:t>
      </w:r>
    </w:p>
  </w:footnote>
  <w:footnote w:id="2">
    <w:p w14:paraId="6A89D916" w14:textId="297D2B4B" w:rsidR="00613C12" w:rsidRPr="00A9249F" w:rsidRDefault="00613C12" w:rsidP="00A9249F">
      <w:pPr>
        <w:autoSpaceDE w:val="0"/>
        <w:autoSpaceDN w:val="0"/>
        <w:adjustRightInd w:val="0"/>
        <w:ind w:left="426" w:hanging="426"/>
        <w:jc w:val="both"/>
        <w:rPr>
          <w:rFonts w:ascii="Arial" w:eastAsiaTheme="minorHAnsi" w:hAnsi="Arial" w:cs="Arial"/>
          <w:color w:val="000000"/>
          <w:sz w:val="20"/>
          <w:szCs w:val="20"/>
          <w:lang w:val="en-GB" w:eastAsia="en-US"/>
        </w:rPr>
      </w:pPr>
      <w:r w:rsidRPr="00A9249F">
        <w:rPr>
          <w:rStyle w:val="FootnoteReference"/>
          <w:rFonts w:ascii="Arial" w:hAnsi="Arial" w:cs="Arial"/>
          <w:sz w:val="20"/>
          <w:szCs w:val="20"/>
        </w:rPr>
        <w:footnoteRef/>
      </w:r>
      <w:r w:rsidRPr="00A9249F">
        <w:rPr>
          <w:rFonts w:ascii="Arial" w:hAnsi="Arial" w:cs="Arial"/>
          <w:sz w:val="20"/>
          <w:szCs w:val="20"/>
        </w:rPr>
        <w:t xml:space="preserve"> </w:t>
      </w:r>
      <w:r w:rsidRPr="00A9249F">
        <w:rPr>
          <w:rFonts w:ascii="Arial" w:hAnsi="Arial" w:cs="Arial"/>
          <w:sz w:val="20"/>
          <w:szCs w:val="20"/>
          <w:lang w:val="en-GB"/>
        </w:rPr>
        <w:tab/>
      </w:r>
      <w:r w:rsidRPr="00A9249F">
        <w:rPr>
          <w:rFonts w:ascii="Arial" w:eastAsiaTheme="minorHAnsi" w:hAnsi="Arial" w:cs="Arial"/>
          <w:color w:val="000000"/>
          <w:sz w:val="20"/>
          <w:szCs w:val="20"/>
          <w:lang w:val="en-GB" w:eastAsia="en-US"/>
        </w:rPr>
        <w:t>Regulations published in terms of section 27(2) of the Disaster Management Act 57 of 2002: GN 318 of</w:t>
      </w:r>
      <w:r w:rsidR="00BB7390" w:rsidRPr="00A9249F">
        <w:rPr>
          <w:rFonts w:ascii="Arial" w:eastAsiaTheme="minorHAnsi" w:hAnsi="Arial" w:cs="Arial"/>
          <w:color w:val="000000"/>
          <w:sz w:val="20"/>
          <w:szCs w:val="20"/>
          <w:lang w:val="en-GB" w:eastAsia="en-US"/>
        </w:rPr>
        <w:t xml:space="preserve"> </w:t>
      </w:r>
      <w:r w:rsidRPr="00A9249F">
        <w:rPr>
          <w:rFonts w:ascii="Arial" w:eastAsiaTheme="minorHAnsi" w:hAnsi="Arial" w:cs="Arial"/>
          <w:color w:val="000000"/>
          <w:sz w:val="20"/>
          <w:szCs w:val="20"/>
          <w:lang w:val="en-GB" w:eastAsia="en-US"/>
        </w:rPr>
        <w:t>2020 in GG. No 43107 (18 March 2020), and as amended by GN 398 of 2020 in GG. No 43148 (25 March</w:t>
      </w:r>
      <w:r w:rsidR="00BB7390" w:rsidRPr="00A9249F">
        <w:rPr>
          <w:rFonts w:ascii="Arial" w:eastAsiaTheme="minorHAnsi" w:hAnsi="Arial" w:cs="Arial"/>
          <w:color w:val="000000"/>
          <w:sz w:val="20"/>
          <w:szCs w:val="20"/>
          <w:lang w:val="en-GB" w:eastAsia="en-US"/>
        </w:rPr>
        <w:t xml:space="preserve"> </w:t>
      </w:r>
      <w:r w:rsidRPr="00A9249F">
        <w:rPr>
          <w:rFonts w:ascii="Arial" w:eastAsiaTheme="minorHAnsi" w:hAnsi="Arial" w:cs="Arial"/>
          <w:color w:val="000000"/>
          <w:sz w:val="20"/>
          <w:szCs w:val="20"/>
          <w:lang w:val="en-GB" w:eastAsia="en-US"/>
        </w:rPr>
        <w:t>2020)</w:t>
      </w:r>
    </w:p>
  </w:footnote>
  <w:footnote w:id="3">
    <w:p w14:paraId="2226B434" w14:textId="77777777" w:rsidR="00BB7390" w:rsidRPr="00A9249F" w:rsidRDefault="00BB7390" w:rsidP="00A9249F">
      <w:pPr>
        <w:pStyle w:val="FootnoteText"/>
        <w:ind w:left="426" w:hanging="426"/>
        <w:rPr>
          <w:rFonts w:ascii="Arial" w:hAnsi="Arial" w:cs="Arial"/>
          <w:lang w:val="en-GB"/>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GB"/>
        </w:rPr>
        <w:tab/>
        <w:t>GN 480 of 2020 in GG. 43258</w:t>
      </w:r>
    </w:p>
  </w:footnote>
  <w:footnote w:id="4">
    <w:p w14:paraId="65F5B03B" w14:textId="6543C51F" w:rsidR="00D440A4" w:rsidRPr="00A9249F" w:rsidRDefault="00D440A4" w:rsidP="00A9249F">
      <w:pPr>
        <w:pStyle w:val="FootnoteText"/>
        <w:ind w:left="426" w:hanging="426"/>
        <w:rPr>
          <w:rFonts w:ascii="Arial" w:hAnsi="Arial" w:cs="Arial"/>
          <w:lang w:val="en-US"/>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rPr>
        <w:tab/>
      </w:r>
      <w:r w:rsidRPr="00A9249F">
        <w:rPr>
          <w:rFonts w:ascii="Arial" w:hAnsi="Arial" w:cs="Arial"/>
          <w:lang w:val="en-US"/>
        </w:rPr>
        <w:t>The period between 2</w:t>
      </w:r>
      <w:r w:rsidR="002C4189" w:rsidRPr="00A9249F">
        <w:rPr>
          <w:rFonts w:ascii="Arial" w:hAnsi="Arial" w:cs="Arial"/>
          <w:lang w:val="en-US"/>
        </w:rPr>
        <w:t>7</w:t>
      </w:r>
      <w:r w:rsidRPr="00A9249F">
        <w:rPr>
          <w:rFonts w:ascii="Arial" w:hAnsi="Arial" w:cs="Arial"/>
          <w:lang w:val="en-US"/>
        </w:rPr>
        <w:t xml:space="preserve"> March 2020 (the level 5 lockdown) and </w:t>
      </w:r>
      <w:r w:rsidR="00B14DAA" w:rsidRPr="00A9249F">
        <w:rPr>
          <w:rFonts w:ascii="Arial" w:hAnsi="Arial" w:cs="Arial"/>
          <w:lang w:val="en-US"/>
        </w:rPr>
        <w:t>30 April</w:t>
      </w:r>
      <w:r w:rsidRPr="00A9249F">
        <w:rPr>
          <w:rFonts w:ascii="Arial" w:hAnsi="Arial" w:cs="Arial"/>
          <w:lang w:val="en-US"/>
        </w:rPr>
        <w:t xml:space="preserve"> 2020</w:t>
      </w:r>
    </w:p>
  </w:footnote>
  <w:footnote w:id="5">
    <w:p w14:paraId="3786C61F" w14:textId="7EE00FEE" w:rsidR="00437853" w:rsidRPr="00A9249F" w:rsidRDefault="00437853" w:rsidP="00A9249F">
      <w:pPr>
        <w:autoSpaceDE w:val="0"/>
        <w:autoSpaceDN w:val="0"/>
        <w:adjustRightInd w:val="0"/>
        <w:ind w:left="426" w:hanging="426"/>
        <w:jc w:val="both"/>
        <w:rPr>
          <w:rFonts w:ascii="Arial" w:hAnsi="Arial" w:cs="Arial"/>
          <w:sz w:val="20"/>
          <w:szCs w:val="20"/>
        </w:rPr>
      </w:pPr>
      <w:r w:rsidRPr="00A9249F">
        <w:rPr>
          <w:rStyle w:val="FootnoteReference"/>
          <w:rFonts w:ascii="Arial" w:hAnsi="Arial" w:cs="Arial"/>
          <w:sz w:val="20"/>
          <w:szCs w:val="20"/>
        </w:rPr>
        <w:footnoteRef/>
      </w:r>
      <w:r w:rsidRPr="00A9249F">
        <w:rPr>
          <w:rFonts w:ascii="Arial" w:hAnsi="Arial" w:cs="Arial"/>
          <w:sz w:val="20"/>
          <w:szCs w:val="20"/>
        </w:rPr>
        <w:t xml:space="preserve"> </w:t>
      </w:r>
      <w:r w:rsidRPr="00A9249F">
        <w:rPr>
          <w:rFonts w:ascii="Arial" w:hAnsi="Arial" w:cs="Arial"/>
          <w:sz w:val="20"/>
          <w:szCs w:val="20"/>
          <w:lang w:val="en-US"/>
        </w:rPr>
        <w:tab/>
      </w:r>
      <w:r w:rsidRPr="00A9249F">
        <w:rPr>
          <w:rFonts w:ascii="Arial" w:hAnsi="Arial" w:cs="Arial"/>
          <w:i/>
          <w:iCs/>
          <w:sz w:val="20"/>
          <w:szCs w:val="20"/>
        </w:rPr>
        <w:t>Witwatersrand Township Estate &amp; Finance Corporation Ltd v Rand Water Board</w:t>
      </w:r>
      <w:r w:rsidRPr="00A9249F">
        <w:rPr>
          <w:rFonts w:ascii="Arial" w:hAnsi="Arial" w:cs="Arial"/>
          <w:sz w:val="20"/>
          <w:szCs w:val="20"/>
        </w:rPr>
        <w:t xml:space="preserve"> 1907 TS 231; </w:t>
      </w:r>
      <w:r w:rsidRPr="00A9249F">
        <w:rPr>
          <w:rFonts w:ascii="Arial" w:hAnsi="Arial" w:cs="Arial"/>
          <w:i/>
          <w:iCs/>
          <w:sz w:val="20"/>
          <w:szCs w:val="20"/>
        </w:rPr>
        <w:t>Bayley v Harwood</w:t>
      </w:r>
      <w:r w:rsidRPr="00A9249F">
        <w:rPr>
          <w:rFonts w:ascii="Arial" w:hAnsi="Arial" w:cs="Arial"/>
          <w:sz w:val="20"/>
          <w:szCs w:val="20"/>
        </w:rPr>
        <w:t xml:space="preserve"> 1954 3 All SA 459 (A); 1954 3 SA 498 (A); </w:t>
      </w:r>
      <w:r w:rsidRPr="00A9249F">
        <w:rPr>
          <w:rFonts w:ascii="Arial" w:hAnsi="Arial" w:cs="Arial"/>
          <w:i/>
          <w:iCs/>
          <w:sz w:val="20"/>
          <w:szCs w:val="20"/>
        </w:rPr>
        <w:t>Bekker v Duvenhage</w:t>
      </w:r>
      <w:r w:rsidRPr="00A9249F">
        <w:rPr>
          <w:rFonts w:ascii="Arial" w:hAnsi="Arial" w:cs="Arial"/>
          <w:sz w:val="20"/>
          <w:szCs w:val="20"/>
        </w:rPr>
        <w:t xml:space="preserve"> 1977 3 All SA 130 (E); 1977 3 SA 884 ( E ); </w:t>
      </w:r>
      <w:r w:rsidRPr="00A9249F">
        <w:rPr>
          <w:rFonts w:ascii="Arial" w:hAnsi="Arial" w:cs="Arial"/>
          <w:i/>
          <w:iCs/>
          <w:sz w:val="20"/>
          <w:szCs w:val="20"/>
        </w:rPr>
        <w:t>Gordon v Pietermaritzburg-Msunduzi Transitional Local Council</w:t>
      </w:r>
      <w:r w:rsidRPr="00A9249F">
        <w:rPr>
          <w:rFonts w:ascii="Arial" w:hAnsi="Arial" w:cs="Arial"/>
          <w:sz w:val="20"/>
          <w:szCs w:val="20"/>
        </w:rPr>
        <w:t xml:space="preserve"> 2001 4 SA 972 (N); </w:t>
      </w:r>
      <w:r w:rsidRPr="00A9249F">
        <w:rPr>
          <w:rFonts w:ascii="Arial" w:hAnsi="Arial" w:cs="Arial"/>
          <w:i/>
          <w:iCs/>
          <w:sz w:val="20"/>
          <w:szCs w:val="20"/>
        </w:rPr>
        <w:t>SA Forestry Co Ltd v York Timbers Ltd</w:t>
      </w:r>
      <w:r w:rsidRPr="00A9249F">
        <w:rPr>
          <w:rFonts w:ascii="Arial" w:hAnsi="Arial" w:cs="Arial"/>
          <w:sz w:val="20"/>
          <w:szCs w:val="20"/>
        </w:rPr>
        <w:t xml:space="preserve"> 2004 4 All SA 168 (SCA); 2005 3 SA 323 (SCA)</w:t>
      </w:r>
    </w:p>
  </w:footnote>
  <w:footnote w:id="6">
    <w:p w14:paraId="05740685" w14:textId="7FE991D9" w:rsidR="00437853" w:rsidRPr="00A9249F" w:rsidRDefault="00437853" w:rsidP="00A9249F">
      <w:pPr>
        <w:pStyle w:val="FootnoteText"/>
        <w:ind w:left="426" w:hanging="426"/>
        <w:rPr>
          <w:rFonts w:ascii="Arial" w:hAnsi="Arial" w:cs="Arial"/>
          <w:lang w:val="en-US"/>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rPr>
        <w:tab/>
        <w:t>1954 3 All SA 459 (A)</w:t>
      </w:r>
      <w:r w:rsidR="009C21D3">
        <w:rPr>
          <w:rFonts w:ascii="Arial" w:hAnsi="Arial" w:cs="Arial"/>
        </w:rPr>
        <w:t>;</w:t>
      </w:r>
      <w:r w:rsidR="009C21D3" w:rsidRPr="009C21D3">
        <w:rPr>
          <w:rFonts w:ascii="Arial" w:hAnsi="Arial" w:cs="Arial"/>
        </w:rPr>
        <w:t xml:space="preserve"> </w:t>
      </w:r>
      <w:r w:rsidR="009C21D3" w:rsidRPr="00A9249F">
        <w:rPr>
          <w:rFonts w:ascii="Arial" w:hAnsi="Arial" w:cs="Arial"/>
        </w:rPr>
        <w:t>1954 3 SA 498 (A)</w:t>
      </w:r>
    </w:p>
  </w:footnote>
  <w:footnote w:id="7">
    <w:p w14:paraId="4F2AC97F" w14:textId="29C95003" w:rsidR="00437853" w:rsidRPr="00A9249F" w:rsidRDefault="00437853" w:rsidP="00A9249F">
      <w:pPr>
        <w:pStyle w:val="FootnoteText"/>
        <w:ind w:left="426" w:hanging="426"/>
        <w:rPr>
          <w:rFonts w:ascii="Arial" w:hAnsi="Arial" w:cs="Arial"/>
          <w:lang w:val="en-US"/>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US"/>
        </w:rPr>
        <w:tab/>
        <w:t>At 503</w:t>
      </w:r>
    </w:p>
  </w:footnote>
  <w:footnote w:id="8">
    <w:p w14:paraId="659A1180" w14:textId="7A386F29" w:rsidR="00640F26" w:rsidRPr="00A9249F" w:rsidRDefault="00640F26" w:rsidP="00A9249F">
      <w:pPr>
        <w:pStyle w:val="FootnoteText"/>
        <w:ind w:left="426" w:hanging="426"/>
        <w:rPr>
          <w:rFonts w:ascii="Arial" w:hAnsi="Arial" w:cs="Arial"/>
          <w:lang w:val="en-US"/>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US"/>
        </w:rPr>
        <w:tab/>
        <w:t>At 505</w:t>
      </w:r>
    </w:p>
  </w:footnote>
  <w:footnote w:id="9">
    <w:p w14:paraId="2CBC590A" w14:textId="5B2ADA0E" w:rsidR="00640F26" w:rsidRPr="00A9249F" w:rsidRDefault="00640F26" w:rsidP="00A9249F">
      <w:pPr>
        <w:pStyle w:val="FootnoteText"/>
        <w:ind w:left="426" w:hanging="426"/>
        <w:rPr>
          <w:rFonts w:ascii="Arial" w:hAnsi="Arial" w:cs="Arial"/>
          <w:lang w:val="en-GB"/>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GB"/>
        </w:rPr>
        <w:tab/>
        <w:t>1903 TH 242 at 246</w:t>
      </w:r>
    </w:p>
  </w:footnote>
  <w:footnote w:id="10">
    <w:p w14:paraId="69763155" w14:textId="6F817F20" w:rsidR="00AB6271" w:rsidRPr="00A9249F" w:rsidRDefault="00AB6271" w:rsidP="00A9249F">
      <w:pPr>
        <w:pStyle w:val="FootnoteText"/>
        <w:ind w:left="426" w:hanging="426"/>
        <w:rPr>
          <w:rFonts w:ascii="Arial" w:hAnsi="Arial" w:cs="Arial"/>
          <w:lang w:val="en-US"/>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US"/>
        </w:rPr>
        <w:tab/>
        <w:t>At 506</w:t>
      </w:r>
    </w:p>
  </w:footnote>
  <w:footnote w:id="11">
    <w:p w14:paraId="6F2AEB4C" w14:textId="20821675" w:rsidR="00AB6271" w:rsidRPr="00A9249F" w:rsidRDefault="00AB6271" w:rsidP="00A9249F">
      <w:pPr>
        <w:pStyle w:val="FootnoteText"/>
        <w:ind w:left="426" w:hanging="426"/>
        <w:rPr>
          <w:rFonts w:ascii="Arial" w:hAnsi="Arial" w:cs="Arial"/>
          <w:lang w:val="en-GB"/>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GB"/>
        </w:rPr>
        <w:tab/>
        <w:t>At 507</w:t>
      </w:r>
    </w:p>
  </w:footnote>
  <w:footnote w:id="12">
    <w:p w14:paraId="07A09189" w14:textId="1BF734D9" w:rsidR="00437853" w:rsidRPr="00A9249F" w:rsidRDefault="00437853" w:rsidP="00A9249F">
      <w:pPr>
        <w:pStyle w:val="FootnoteText"/>
        <w:ind w:left="426" w:hanging="426"/>
        <w:rPr>
          <w:rFonts w:ascii="Arial" w:hAnsi="Arial" w:cs="Arial"/>
          <w:lang w:val="en-US"/>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US"/>
        </w:rPr>
        <w:tab/>
        <w:t>At 507-508</w:t>
      </w:r>
    </w:p>
  </w:footnote>
  <w:footnote w:id="13">
    <w:p w14:paraId="057E3619" w14:textId="34E191CF" w:rsidR="00437853" w:rsidRPr="00A9249F" w:rsidRDefault="00437853" w:rsidP="00A9249F">
      <w:pPr>
        <w:pStyle w:val="FootnoteText"/>
        <w:ind w:left="426" w:hanging="426"/>
        <w:rPr>
          <w:rFonts w:ascii="Arial" w:hAnsi="Arial" w:cs="Arial"/>
          <w:lang w:val="en-US"/>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US"/>
        </w:rPr>
        <w:tab/>
      </w:r>
      <w:r w:rsidRPr="00A9249F">
        <w:rPr>
          <w:rFonts w:ascii="Arial" w:hAnsi="Arial" w:cs="Arial"/>
          <w:i/>
        </w:rPr>
        <w:t xml:space="preserve">Peters, Flamman &amp; Co v Kokstad Municipality </w:t>
      </w:r>
      <w:r w:rsidRPr="00A9249F">
        <w:rPr>
          <w:rFonts w:ascii="Arial" w:hAnsi="Arial" w:cs="Arial"/>
        </w:rPr>
        <w:t>1919 AD 427 at 434-</w:t>
      </w:r>
      <w:r w:rsidR="00AB6271" w:rsidRPr="00A9249F">
        <w:rPr>
          <w:rFonts w:ascii="Arial" w:hAnsi="Arial" w:cs="Arial"/>
        </w:rPr>
        <w:t>43</w:t>
      </w:r>
      <w:r w:rsidRPr="00A9249F">
        <w:rPr>
          <w:rFonts w:ascii="Arial" w:hAnsi="Arial" w:cs="Arial"/>
        </w:rPr>
        <w:t>5</w:t>
      </w:r>
    </w:p>
  </w:footnote>
  <w:footnote w:id="14">
    <w:p w14:paraId="55EE2084" w14:textId="061A8632" w:rsidR="00437853" w:rsidRPr="00A9249F" w:rsidRDefault="00437853" w:rsidP="00A9249F">
      <w:pPr>
        <w:autoSpaceDE w:val="0"/>
        <w:autoSpaceDN w:val="0"/>
        <w:adjustRightInd w:val="0"/>
        <w:ind w:left="426" w:hanging="426"/>
        <w:jc w:val="both"/>
        <w:rPr>
          <w:rFonts w:ascii="Arial" w:hAnsi="Arial" w:cs="Arial"/>
          <w:sz w:val="20"/>
          <w:szCs w:val="20"/>
        </w:rPr>
      </w:pPr>
      <w:r w:rsidRPr="00A9249F">
        <w:rPr>
          <w:rStyle w:val="FootnoteReference"/>
          <w:rFonts w:ascii="Arial" w:hAnsi="Arial" w:cs="Arial"/>
          <w:sz w:val="20"/>
          <w:szCs w:val="20"/>
        </w:rPr>
        <w:footnoteRef/>
      </w:r>
      <w:r w:rsidRPr="00A9249F">
        <w:rPr>
          <w:rFonts w:ascii="Arial" w:hAnsi="Arial" w:cs="Arial"/>
          <w:sz w:val="20"/>
          <w:szCs w:val="20"/>
        </w:rPr>
        <w:t xml:space="preserve"> </w:t>
      </w:r>
      <w:r w:rsidRPr="00A9249F">
        <w:rPr>
          <w:rFonts w:ascii="Arial" w:hAnsi="Arial" w:cs="Arial"/>
          <w:sz w:val="20"/>
          <w:szCs w:val="20"/>
          <w:lang w:val="en-US"/>
        </w:rPr>
        <w:tab/>
      </w:r>
      <w:r w:rsidRPr="00A9249F">
        <w:rPr>
          <w:rFonts w:ascii="Arial" w:hAnsi="Arial" w:cs="Arial"/>
          <w:i/>
          <w:iCs/>
          <w:sz w:val="20"/>
          <w:szCs w:val="20"/>
        </w:rPr>
        <w:t>National Stadium SA (Pty) Ltd v Firstrand Bank Ltd</w:t>
      </w:r>
      <w:r w:rsidRPr="00A9249F">
        <w:rPr>
          <w:rFonts w:ascii="Arial" w:hAnsi="Arial" w:cs="Arial"/>
          <w:sz w:val="20"/>
          <w:szCs w:val="20"/>
        </w:rPr>
        <w:t xml:space="preserve"> 2011 2 SA 157 (SCA); 2011 3 All SA 29 (SCA) </w:t>
      </w:r>
      <w:r w:rsidR="009C21D3">
        <w:rPr>
          <w:rFonts w:ascii="Arial" w:hAnsi="Arial" w:cs="Arial"/>
          <w:sz w:val="20"/>
          <w:szCs w:val="20"/>
        </w:rPr>
        <w:t xml:space="preserve">at </w:t>
      </w:r>
      <w:r w:rsidR="00AB6271" w:rsidRPr="00A9249F">
        <w:rPr>
          <w:rFonts w:ascii="Arial" w:hAnsi="Arial" w:cs="Arial"/>
          <w:sz w:val="20"/>
          <w:szCs w:val="20"/>
        </w:rPr>
        <w:t>[</w:t>
      </w:r>
      <w:r w:rsidRPr="00A9249F">
        <w:rPr>
          <w:rFonts w:ascii="Arial" w:hAnsi="Arial" w:cs="Arial"/>
          <w:sz w:val="20"/>
          <w:szCs w:val="20"/>
        </w:rPr>
        <w:t>41</w:t>
      </w:r>
      <w:r w:rsidR="00AB6271" w:rsidRPr="00A9249F">
        <w:rPr>
          <w:rFonts w:ascii="Arial" w:hAnsi="Arial" w:cs="Arial"/>
          <w:sz w:val="20"/>
          <w:szCs w:val="20"/>
        </w:rPr>
        <w:t>]</w:t>
      </w:r>
    </w:p>
  </w:footnote>
  <w:footnote w:id="15">
    <w:p w14:paraId="2B625414" w14:textId="0E453DBF" w:rsidR="00437853" w:rsidRPr="00A9249F" w:rsidRDefault="00437853" w:rsidP="00A9249F">
      <w:pPr>
        <w:autoSpaceDE w:val="0"/>
        <w:autoSpaceDN w:val="0"/>
        <w:adjustRightInd w:val="0"/>
        <w:ind w:left="426" w:hanging="426"/>
        <w:jc w:val="both"/>
        <w:rPr>
          <w:rFonts w:ascii="Arial" w:hAnsi="Arial" w:cs="Arial"/>
          <w:sz w:val="20"/>
          <w:szCs w:val="20"/>
        </w:rPr>
      </w:pPr>
      <w:r w:rsidRPr="00A9249F">
        <w:rPr>
          <w:rStyle w:val="FootnoteReference"/>
          <w:rFonts w:ascii="Arial" w:hAnsi="Arial" w:cs="Arial"/>
          <w:sz w:val="20"/>
          <w:szCs w:val="20"/>
        </w:rPr>
        <w:footnoteRef/>
      </w:r>
      <w:r w:rsidRPr="00A9249F">
        <w:rPr>
          <w:rFonts w:ascii="Arial" w:hAnsi="Arial" w:cs="Arial"/>
          <w:sz w:val="20"/>
          <w:szCs w:val="20"/>
        </w:rPr>
        <w:t xml:space="preserve"> </w:t>
      </w:r>
      <w:r w:rsidRPr="00A9249F">
        <w:rPr>
          <w:rFonts w:ascii="Arial" w:hAnsi="Arial" w:cs="Arial"/>
          <w:sz w:val="20"/>
          <w:szCs w:val="20"/>
          <w:lang w:val="en-US"/>
        </w:rPr>
        <w:tab/>
      </w:r>
      <w:r w:rsidRPr="00A9249F">
        <w:rPr>
          <w:rFonts w:ascii="Arial" w:hAnsi="Arial" w:cs="Arial"/>
          <w:i/>
          <w:iCs/>
          <w:sz w:val="20"/>
          <w:szCs w:val="20"/>
        </w:rPr>
        <w:t>Southern</w:t>
      </w:r>
      <w:r w:rsidR="00AB6271" w:rsidRPr="00A9249F">
        <w:rPr>
          <w:rFonts w:ascii="Arial" w:hAnsi="Arial" w:cs="Arial"/>
          <w:i/>
          <w:iCs/>
          <w:sz w:val="20"/>
          <w:szCs w:val="20"/>
        </w:rPr>
        <w:t xml:space="preserve"> </w:t>
      </w:r>
      <w:r w:rsidRPr="00A9249F">
        <w:rPr>
          <w:rFonts w:ascii="Arial" w:hAnsi="Arial" w:cs="Arial"/>
          <w:i/>
          <w:iCs/>
          <w:sz w:val="20"/>
          <w:szCs w:val="20"/>
        </w:rPr>
        <w:t>Era Resources Ltd v Farndell</w:t>
      </w:r>
      <w:r w:rsidRPr="00A9249F">
        <w:rPr>
          <w:rFonts w:ascii="Arial" w:hAnsi="Arial" w:cs="Arial"/>
          <w:sz w:val="20"/>
          <w:szCs w:val="20"/>
        </w:rPr>
        <w:t xml:space="preserve"> 2010 2 All SA 350 (SCA); 2010 4 SA 200 (SCA)</w:t>
      </w:r>
      <w:r w:rsidR="009C21D3">
        <w:rPr>
          <w:rFonts w:ascii="Arial" w:hAnsi="Arial" w:cs="Arial"/>
          <w:sz w:val="20"/>
          <w:szCs w:val="20"/>
        </w:rPr>
        <w:t xml:space="preserve"> at [8]</w:t>
      </w:r>
    </w:p>
  </w:footnote>
  <w:footnote w:id="16">
    <w:p w14:paraId="76403ADC" w14:textId="77777777" w:rsidR="00437853" w:rsidRPr="00A9249F" w:rsidRDefault="00437853" w:rsidP="00A9249F">
      <w:pPr>
        <w:pStyle w:val="FootnoteText"/>
        <w:ind w:left="426" w:hanging="426"/>
        <w:rPr>
          <w:rFonts w:ascii="Arial" w:hAnsi="Arial" w:cs="Arial"/>
          <w:lang w:val="en-US"/>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US"/>
        </w:rPr>
        <w:tab/>
      </w:r>
      <w:r w:rsidRPr="00A9249F">
        <w:rPr>
          <w:rFonts w:ascii="Arial" w:hAnsi="Arial" w:cs="Arial"/>
          <w:i/>
          <w:iCs/>
        </w:rPr>
        <w:t>Nuclear Fuels Corporation of SA (Pty) Ltd v Orda AG</w:t>
      </w:r>
      <w:r w:rsidRPr="00A9249F">
        <w:rPr>
          <w:rFonts w:ascii="Arial" w:hAnsi="Arial" w:cs="Arial"/>
        </w:rPr>
        <w:t xml:space="preserve"> 1997 1 All SA 11 (A); 1996 4 SA 1190 (A)</w:t>
      </w:r>
    </w:p>
  </w:footnote>
  <w:footnote w:id="17">
    <w:p w14:paraId="191F0196" w14:textId="77777777" w:rsidR="00437853" w:rsidRPr="00A9249F" w:rsidRDefault="00437853" w:rsidP="00A9249F">
      <w:pPr>
        <w:pStyle w:val="FootnoteText"/>
        <w:ind w:left="426" w:hanging="426"/>
        <w:rPr>
          <w:rFonts w:ascii="Arial" w:hAnsi="Arial" w:cs="Arial"/>
          <w:lang w:val="en-US"/>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US"/>
        </w:rPr>
        <w:tab/>
      </w:r>
      <w:r w:rsidRPr="00A9249F">
        <w:rPr>
          <w:rFonts w:ascii="Arial" w:hAnsi="Arial" w:cs="Arial"/>
          <w:i/>
          <w:iCs/>
        </w:rPr>
        <w:t>Tweedie v Park Travel Agency (Pty) Ltd t/a Park Tours</w:t>
      </w:r>
      <w:r w:rsidRPr="00A9249F">
        <w:rPr>
          <w:rFonts w:ascii="Arial" w:hAnsi="Arial" w:cs="Arial"/>
        </w:rPr>
        <w:t xml:space="preserve"> 1998 3 All SA 57 (W); 1998 4 SA 802 (W)</w:t>
      </w:r>
    </w:p>
  </w:footnote>
  <w:footnote w:id="18">
    <w:p w14:paraId="558C8E1D" w14:textId="04036C16" w:rsidR="00437853" w:rsidRPr="009C21D3" w:rsidRDefault="00437853" w:rsidP="00A9249F">
      <w:pPr>
        <w:pStyle w:val="FootnoteText"/>
        <w:ind w:left="426" w:hanging="426"/>
        <w:rPr>
          <w:rFonts w:ascii="Arial" w:hAnsi="Arial" w:cs="Arial"/>
          <w:lang w:val="en-US"/>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US"/>
        </w:rPr>
        <w:tab/>
      </w:r>
      <w:r w:rsidRPr="00A9249F">
        <w:rPr>
          <w:rFonts w:ascii="Arial" w:hAnsi="Arial" w:cs="Arial"/>
          <w:i/>
          <w:iCs/>
        </w:rPr>
        <w:t>Bayley v Harwood</w:t>
      </w:r>
      <w:r w:rsidR="009C21D3">
        <w:rPr>
          <w:rFonts w:ascii="Arial" w:hAnsi="Arial" w:cs="Arial"/>
          <w:i/>
          <w:iCs/>
        </w:rPr>
        <w:t xml:space="preserve"> </w:t>
      </w:r>
      <w:r w:rsidR="009C21D3">
        <w:rPr>
          <w:rFonts w:ascii="Arial" w:hAnsi="Arial" w:cs="Arial"/>
        </w:rPr>
        <w:t>1954 3 SA 498 (A)</w:t>
      </w:r>
    </w:p>
  </w:footnote>
  <w:footnote w:id="19">
    <w:p w14:paraId="625C2100" w14:textId="7B69307B" w:rsidR="00437853" w:rsidRPr="00A9249F" w:rsidRDefault="00437853" w:rsidP="00A9249F">
      <w:pPr>
        <w:autoSpaceDE w:val="0"/>
        <w:autoSpaceDN w:val="0"/>
        <w:adjustRightInd w:val="0"/>
        <w:ind w:left="426" w:hanging="426"/>
        <w:jc w:val="both"/>
        <w:rPr>
          <w:rFonts w:ascii="Arial" w:hAnsi="Arial" w:cs="Arial"/>
          <w:sz w:val="20"/>
          <w:szCs w:val="20"/>
        </w:rPr>
      </w:pPr>
      <w:r w:rsidRPr="00A9249F">
        <w:rPr>
          <w:rStyle w:val="FootnoteReference"/>
          <w:rFonts w:ascii="Arial" w:hAnsi="Arial" w:cs="Arial"/>
          <w:sz w:val="20"/>
          <w:szCs w:val="20"/>
        </w:rPr>
        <w:footnoteRef/>
      </w:r>
      <w:r w:rsidRPr="00A9249F">
        <w:rPr>
          <w:rFonts w:ascii="Arial" w:hAnsi="Arial" w:cs="Arial"/>
          <w:sz w:val="20"/>
          <w:szCs w:val="20"/>
        </w:rPr>
        <w:t xml:space="preserve"> </w:t>
      </w:r>
      <w:r w:rsidRPr="00A9249F">
        <w:rPr>
          <w:rFonts w:ascii="Arial" w:hAnsi="Arial" w:cs="Arial"/>
          <w:sz w:val="20"/>
          <w:szCs w:val="20"/>
          <w:lang w:val="en-US"/>
        </w:rPr>
        <w:tab/>
      </w:r>
      <w:r w:rsidRPr="00A9249F">
        <w:rPr>
          <w:rFonts w:ascii="Arial" w:hAnsi="Arial" w:cs="Arial"/>
          <w:i/>
          <w:iCs/>
          <w:sz w:val="20"/>
          <w:szCs w:val="20"/>
        </w:rPr>
        <w:t>Joubert v Bester</w:t>
      </w:r>
      <w:r w:rsidRPr="00A9249F">
        <w:rPr>
          <w:rFonts w:ascii="Arial" w:hAnsi="Arial" w:cs="Arial"/>
          <w:sz w:val="20"/>
          <w:szCs w:val="20"/>
        </w:rPr>
        <w:t xml:space="preserve"> 1977 1 All SA 185 (T); 1977 4 SA 560 (T)</w:t>
      </w:r>
    </w:p>
  </w:footnote>
  <w:footnote w:id="20">
    <w:p w14:paraId="036ADAF7" w14:textId="3BE53C02" w:rsidR="00437853" w:rsidRPr="00A9249F" w:rsidRDefault="00437853" w:rsidP="00A9249F">
      <w:pPr>
        <w:autoSpaceDE w:val="0"/>
        <w:autoSpaceDN w:val="0"/>
        <w:adjustRightInd w:val="0"/>
        <w:ind w:left="426" w:hanging="426"/>
        <w:jc w:val="both"/>
        <w:rPr>
          <w:rFonts w:ascii="Arial" w:hAnsi="Arial" w:cs="Arial"/>
          <w:i/>
          <w:iCs/>
          <w:sz w:val="20"/>
          <w:szCs w:val="20"/>
        </w:rPr>
      </w:pPr>
      <w:r w:rsidRPr="00A9249F">
        <w:rPr>
          <w:rStyle w:val="FootnoteReference"/>
          <w:rFonts w:ascii="Arial" w:hAnsi="Arial" w:cs="Arial"/>
          <w:sz w:val="20"/>
          <w:szCs w:val="20"/>
        </w:rPr>
        <w:footnoteRef/>
      </w:r>
      <w:r w:rsidRPr="00A9249F">
        <w:rPr>
          <w:rFonts w:ascii="Arial" w:hAnsi="Arial" w:cs="Arial"/>
          <w:sz w:val="20"/>
          <w:szCs w:val="20"/>
        </w:rPr>
        <w:t xml:space="preserve"> </w:t>
      </w:r>
      <w:r w:rsidRPr="00A9249F">
        <w:rPr>
          <w:rFonts w:ascii="Arial" w:hAnsi="Arial" w:cs="Arial"/>
          <w:sz w:val="20"/>
          <w:szCs w:val="20"/>
          <w:lang w:val="en-US"/>
        </w:rPr>
        <w:tab/>
      </w:r>
      <w:r w:rsidR="006C1D69" w:rsidRPr="00A9249F">
        <w:rPr>
          <w:rFonts w:ascii="Arial" w:hAnsi="Arial" w:cs="Arial"/>
          <w:i/>
          <w:iCs/>
          <w:sz w:val="20"/>
          <w:szCs w:val="20"/>
        </w:rPr>
        <w:t>Hansen, Schrader &amp; Co. v Kopelowitz</w:t>
      </w:r>
      <w:r w:rsidR="006C1D69" w:rsidRPr="00A9249F">
        <w:rPr>
          <w:rFonts w:ascii="Arial" w:hAnsi="Arial" w:cs="Arial"/>
          <w:sz w:val="20"/>
          <w:szCs w:val="20"/>
        </w:rPr>
        <w:t xml:space="preserve"> 1903 TS 707</w:t>
      </w:r>
      <w:r w:rsidR="006C1D69">
        <w:rPr>
          <w:rFonts w:ascii="Arial" w:hAnsi="Arial" w:cs="Arial"/>
          <w:sz w:val="20"/>
          <w:szCs w:val="20"/>
        </w:rPr>
        <w:t xml:space="preserve"> at</w:t>
      </w:r>
      <w:r w:rsidRPr="00A9249F">
        <w:rPr>
          <w:rFonts w:ascii="Arial" w:hAnsi="Arial" w:cs="Arial"/>
          <w:sz w:val="20"/>
          <w:szCs w:val="20"/>
        </w:rPr>
        <w:t xml:space="preserve"> 714; </w:t>
      </w:r>
      <w:r w:rsidRPr="00A9249F">
        <w:rPr>
          <w:rFonts w:ascii="Arial" w:hAnsi="Arial" w:cs="Arial"/>
          <w:i/>
          <w:iCs/>
          <w:sz w:val="20"/>
          <w:szCs w:val="20"/>
        </w:rPr>
        <w:t xml:space="preserve">World Leisure Holidays (Pty) Ltd v Georges </w:t>
      </w:r>
      <w:r w:rsidRPr="00A9249F">
        <w:rPr>
          <w:rFonts w:ascii="Arial" w:hAnsi="Arial" w:cs="Arial"/>
          <w:sz w:val="20"/>
          <w:szCs w:val="20"/>
        </w:rPr>
        <w:t>2002 5 SA 531 (W)</w:t>
      </w:r>
    </w:p>
  </w:footnote>
  <w:footnote w:id="21">
    <w:p w14:paraId="355EE0AA" w14:textId="789DC590" w:rsidR="00437853" w:rsidRPr="00A9249F" w:rsidRDefault="00437853" w:rsidP="00A9249F">
      <w:pPr>
        <w:pStyle w:val="FootnoteText"/>
        <w:ind w:left="426" w:hanging="426"/>
        <w:rPr>
          <w:rFonts w:ascii="Arial" w:hAnsi="Arial" w:cs="Arial"/>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rPr>
        <w:tab/>
      </w:r>
      <w:r w:rsidRPr="00A9249F">
        <w:rPr>
          <w:rFonts w:ascii="Arial" w:hAnsi="Arial" w:cs="Arial"/>
          <w:i/>
        </w:rPr>
        <w:t xml:space="preserve">Nuclear Fuels Corporation of SA (Pty) Ltd v Orda AG </w:t>
      </w:r>
      <w:r w:rsidRPr="00A9249F">
        <w:rPr>
          <w:rFonts w:ascii="Arial" w:hAnsi="Arial" w:cs="Arial"/>
        </w:rPr>
        <w:t>1996 (4) SA 1190 (A)</w:t>
      </w:r>
      <w:r w:rsidR="00163D12" w:rsidRPr="00A9249F">
        <w:rPr>
          <w:rFonts w:ascii="Arial" w:hAnsi="Arial" w:cs="Arial"/>
        </w:rPr>
        <w:t xml:space="preserve"> </w:t>
      </w:r>
      <w:r w:rsidR="006C1D69">
        <w:rPr>
          <w:rFonts w:ascii="Arial" w:hAnsi="Arial" w:cs="Arial"/>
        </w:rPr>
        <w:t xml:space="preserve">at </w:t>
      </w:r>
      <w:r w:rsidRPr="00A9249F">
        <w:rPr>
          <w:rFonts w:ascii="Arial" w:hAnsi="Arial" w:cs="Arial"/>
        </w:rPr>
        <w:t>1210</w:t>
      </w:r>
    </w:p>
  </w:footnote>
  <w:footnote w:id="22">
    <w:p w14:paraId="13DDB6AC" w14:textId="4B246324" w:rsidR="00437853" w:rsidRPr="00A9249F" w:rsidRDefault="00437853" w:rsidP="00A9249F">
      <w:pPr>
        <w:pStyle w:val="FootnoteText"/>
        <w:ind w:left="426" w:hanging="426"/>
        <w:rPr>
          <w:rFonts w:ascii="Arial" w:hAnsi="Arial" w:cs="Arial"/>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rPr>
        <w:tab/>
        <w:t>1902 TS 324</w:t>
      </w:r>
    </w:p>
  </w:footnote>
  <w:footnote w:id="23">
    <w:p w14:paraId="3C6103E7" w14:textId="5F121106" w:rsidR="003D0E7C" w:rsidRPr="00A9249F" w:rsidRDefault="003D0E7C" w:rsidP="00A9249F">
      <w:pPr>
        <w:pStyle w:val="FootnoteText"/>
        <w:ind w:left="426" w:hanging="426"/>
        <w:rPr>
          <w:rFonts w:ascii="Arial" w:hAnsi="Arial" w:cs="Arial"/>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rPr>
        <w:tab/>
        <w:t>At 335</w:t>
      </w:r>
    </w:p>
  </w:footnote>
  <w:footnote w:id="24">
    <w:p w14:paraId="594AEEB9" w14:textId="53240B4A" w:rsidR="00163D12" w:rsidRPr="00A9249F" w:rsidRDefault="00163D12" w:rsidP="00A9249F">
      <w:pPr>
        <w:pStyle w:val="FootnoteText"/>
        <w:ind w:left="426" w:hanging="426"/>
        <w:rPr>
          <w:rFonts w:ascii="Arial" w:hAnsi="Arial" w:cs="Arial"/>
          <w:lang w:val="en-US"/>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US"/>
        </w:rPr>
        <w:tab/>
        <w:t>At 331</w:t>
      </w:r>
    </w:p>
  </w:footnote>
  <w:footnote w:id="25">
    <w:p w14:paraId="28251DE7" w14:textId="28D1F63E" w:rsidR="00437853" w:rsidRPr="00A9249F" w:rsidRDefault="00437853" w:rsidP="00A9249F">
      <w:pPr>
        <w:pStyle w:val="FootnoteText"/>
        <w:ind w:left="426" w:hanging="426"/>
        <w:rPr>
          <w:rFonts w:ascii="Arial" w:hAnsi="Arial" w:cs="Arial"/>
          <w:lang w:val="en-US"/>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US"/>
        </w:rPr>
        <w:tab/>
      </w:r>
      <w:r w:rsidRPr="00A9249F">
        <w:rPr>
          <w:rFonts w:ascii="Arial" w:hAnsi="Arial" w:cs="Arial"/>
        </w:rPr>
        <w:t>1903 TH 134</w:t>
      </w:r>
    </w:p>
  </w:footnote>
  <w:footnote w:id="26">
    <w:p w14:paraId="32F8FBBD" w14:textId="36ABD224" w:rsidR="00437853" w:rsidRPr="00A9249F" w:rsidRDefault="00437853" w:rsidP="00A9249F">
      <w:pPr>
        <w:pStyle w:val="FootnoteText"/>
        <w:ind w:left="426" w:hanging="426"/>
        <w:rPr>
          <w:rFonts w:ascii="Arial" w:hAnsi="Arial" w:cs="Arial"/>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rPr>
        <w:tab/>
      </w:r>
      <w:r w:rsidRPr="00A9249F">
        <w:rPr>
          <w:rFonts w:ascii="Arial" w:hAnsi="Arial" w:cs="Arial"/>
          <w:i/>
          <w:iCs/>
        </w:rPr>
        <w:t>Hansen, Schrader &amp; Co. v Kopelowitz</w:t>
      </w:r>
      <w:r w:rsidRPr="00A9249F">
        <w:rPr>
          <w:rFonts w:ascii="Arial" w:hAnsi="Arial" w:cs="Arial"/>
        </w:rPr>
        <w:t xml:space="preserve"> 1903 TS 707</w:t>
      </w:r>
    </w:p>
  </w:footnote>
  <w:footnote w:id="27">
    <w:p w14:paraId="14DE4CD1" w14:textId="0C52CC5B" w:rsidR="00437853" w:rsidRPr="00A9249F" w:rsidRDefault="00437853" w:rsidP="00A9249F">
      <w:pPr>
        <w:pStyle w:val="FootnoteText"/>
        <w:ind w:left="426" w:hanging="426"/>
        <w:rPr>
          <w:rFonts w:ascii="Arial" w:hAnsi="Arial" w:cs="Arial"/>
          <w:lang w:val="en-US"/>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US"/>
        </w:rPr>
        <w:tab/>
        <w:t>At 718-719</w:t>
      </w:r>
      <w:r w:rsidR="003D0E7C" w:rsidRPr="00A9249F">
        <w:rPr>
          <w:rFonts w:ascii="Arial" w:hAnsi="Arial" w:cs="Arial"/>
          <w:lang w:val="en-US"/>
        </w:rPr>
        <w:t xml:space="preserve">; see also </w:t>
      </w:r>
      <w:r w:rsidR="003D0E7C" w:rsidRPr="00A9249F">
        <w:rPr>
          <w:rFonts w:ascii="Arial" w:hAnsi="Arial" w:cs="Arial"/>
        </w:rPr>
        <w:t>711 and 722-723</w:t>
      </w:r>
    </w:p>
  </w:footnote>
  <w:footnote w:id="28">
    <w:p w14:paraId="388ED1CE" w14:textId="64DF5571" w:rsidR="00437853" w:rsidRPr="00A9249F" w:rsidRDefault="00437853" w:rsidP="00A9249F">
      <w:pPr>
        <w:ind w:left="426" w:hanging="426"/>
        <w:jc w:val="both"/>
        <w:rPr>
          <w:rFonts w:ascii="Arial" w:hAnsi="Arial" w:cs="Arial"/>
          <w:sz w:val="20"/>
          <w:szCs w:val="20"/>
        </w:rPr>
      </w:pPr>
      <w:r w:rsidRPr="00A9249F">
        <w:rPr>
          <w:rStyle w:val="FootnoteReference"/>
          <w:rFonts w:ascii="Arial" w:hAnsi="Arial" w:cs="Arial"/>
          <w:sz w:val="20"/>
          <w:szCs w:val="20"/>
        </w:rPr>
        <w:footnoteRef/>
      </w:r>
      <w:r w:rsidRPr="00A9249F">
        <w:rPr>
          <w:rFonts w:ascii="Arial" w:hAnsi="Arial" w:cs="Arial"/>
          <w:sz w:val="20"/>
          <w:szCs w:val="20"/>
        </w:rPr>
        <w:t xml:space="preserve"> </w:t>
      </w:r>
      <w:r w:rsidRPr="00A9249F">
        <w:rPr>
          <w:rFonts w:ascii="Arial" w:hAnsi="Arial" w:cs="Arial"/>
          <w:sz w:val="20"/>
          <w:szCs w:val="20"/>
          <w:lang w:val="en-US"/>
        </w:rPr>
        <w:tab/>
      </w:r>
      <w:r w:rsidRPr="00A9249F">
        <w:rPr>
          <w:rFonts w:ascii="Arial" w:hAnsi="Arial" w:cs="Arial"/>
          <w:sz w:val="20"/>
          <w:szCs w:val="20"/>
          <w:shd w:val="clear" w:color="auto" w:fill="FFFFFF"/>
        </w:rPr>
        <w:t>2020 QCCS 2176</w:t>
      </w:r>
    </w:p>
  </w:footnote>
  <w:footnote w:id="29">
    <w:p w14:paraId="5A139D5B" w14:textId="66DDC1B7" w:rsidR="00437853" w:rsidRPr="00A9249F" w:rsidRDefault="00437853" w:rsidP="00A9249F">
      <w:pPr>
        <w:ind w:left="426" w:hanging="426"/>
        <w:jc w:val="both"/>
        <w:rPr>
          <w:rFonts w:ascii="Arial" w:hAnsi="Arial" w:cs="Arial"/>
          <w:sz w:val="20"/>
          <w:szCs w:val="20"/>
        </w:rPr>
      </w:pPr>
      <w:r w:rsidRPr="00A9249F">
        <w:rPr>
          <w:rStyle w:val="FootnoteReference"/>
          <w:rFonts w:ascii="Arial" w:hAnsi="Arial" w:cs="Arial"/>
          <w:sz w:val="20"/>
          <w:szCs w:val="20"/>
        </w:rPr>
        <w:footnoteRef/>
      </w:r>
      <w:r w:rsidRPr="00A9249F">
        <w:rPr>
          <w:rFonts w:ascii="Arial" w:hAnsi="Arial" w:cs="Arial"/>
          <w:sz w:val="20"/>
          <w:szCs w:val="20"/>
        </w:rPr>
        <w:t xml:space="preserve"> </w:t>
      </w:r>
      <w:r w:rsidRPr="00A9249F">
        <w:rPr>
          <w:rFonts w:ascii="Arial" w:hAnsi="Arial" w:cs="Arial"/>
          <w:sz w:val="20"/>
          <w:szCs w:val="20"/>
          <w:lang w:val="en-US"/>
        </w:rPr>
        <w:tab/>
      </w:r>
      <w:r w:rsidRPr="00A9249F">
        <w:rPr>
          <w:rFonts w:ascii="Arial" w:hAnsi="Arial" w:cs="Arial"/>
          <w:sz w:val="20"/>
          <w:szCs w:val="20"/>
          <w:shd w:val="clear" w:color="auto" w:fill="FFFFFF"/>
        </w:rPr>
        <w:t>2020 QCCS 2251</w:t>
      </w:r>
    </w:p>
  </w:footnote>
  <w:footnote w:id="30">
    <w:p w14:paraId="3E328B64" w14:textId="5CA2E035" w:rsidR="00F402EE" w:rsidRPr="00A9249F" w:rsidRDefault="00F402EE" w:rsidP="00A9249F">
      <w:pPr>
        <w:pStyle w:val="Default"/>
        <w:ind w:left="426" w:hanging="426"/>
        <w:jc w:val="both"/>
        <w:rPr>
          <w:rFonts w:ascii="Arial" w:hAnsi="Arial" w:cs="Arial"/>
          <w:sz w:val="20"/>
          <w:szCs w:val="20"/>
        </w:rPr>
      </w:pPr>
      <w:r w:rsidRPr="00A9249F">
        <w:rPr>
          <w:rStyle w:val="FootnoteReference"/>
          <w:rFonts w:ascii="Arial" w:hAnsi="Arial" w:cs="Arial"/>
          <w:sz w:val="20"/>
          <w:szCs w:val="20"/>
        </w:rPr>
        <w:footnoteRef/>
      </w:r>
      <w:r w:rsidRPr="00A9249F">
        <w:rPr>
          <w:rFonts w:ascii="Arial" w:hAnsi="Arial" w:cs="Arial"/>
          <w:sz w:val="20"/>
          <w:szCs w:val="20"/>
        </w:rPr>
        <w:t xml:space="preserve"> </w:t>
      </w:r>
      <w:r w:rsidRPr="00A9249F">
        <w:rPr>
          <w:rFonts w:ascii="Arial" w:hAnsi="Arial" w:cs="Arial"/>
          <w:sz w:val="20"/>
          <w:szCs w:val="20"/>
        </w:rPr>
        <w:tab/>
      </w:r>
      <w:r w:rsidRPr="006C1D69">
        <w:rPr>
          <w:rFonts w:ascii="Arial" w:hAnsi="Arial" w:cs="Arial"/>
          <w:i/>
          <w:iCs/>
          <w:sz w:val="20"/>
          <w:szCs w:val="20"/>
        </w:rPr>
        <w:t>Barkhuizen v Napier</w:t>
      </w:r>
      <w:r w:rsidRPr="00A9249F">
        <w:rPr>
          <w:rFonts w:ascii="Arial" w:hAnsi="Arial" w:cs="Arial"/>
          <w:sz w:val="20"/>
          <w:szCs w:val="20"/>
        </w:rPr>
        <w:t xml:space="preserve"> 2007 (5) SA 323 (CC) </w:t>
      </w:r>
      <w:r w:rsidR="006C1D69">
        <w:rPr>
          <w:rFonts w:ascii="Arial" w:hAnsi="Arial" w:cs="Arial"/>
          <w:sz w:val="20"/>
          <w:szCs w:val="20"/>
        </w:rPr>
        <w:t xml:space="preserve">at </w:t>
      </w:r>
      <w:r w:rsidRPr="00A9249F">
        <w:rPr>
          <w:rFonts w:ascii="Arial" w:hAnsi="Arial" w:cs="Arial"/>
          <w:sz w:val="20"/>
          <w:szCs w:val="20"/>
        </w:rPr>
        <w:t xml:space="preserve">[57] cited with approval in </w:t>
      </w:r>
      <w:r w:rsidRPr="006C1D69">
        <w:rPr>
          <w:rFonts w:ascii="Arial" w:hAnsi="Arial" w:cs="Arial"/>
          <w:i/>
          <w:iCs/>
          <w:sz w:val="20"/>
          <w:szCs w:val="20"/>
        </w:rPr>
        <w:t>Trinity Asset Management (Pty) Ltd v Grindstone Investments 132 (Pty) Ltd</w:t>
      </w:r>
      <w:r w:rsidRPr="00A9249F">
        <w:rPr>
          <w:rFonts w:ascii="Arial" w:hAnsi="Arial" w:cs="Arial"/>
          <w:sz w:val="20"/>
          <w:szCs w:val="20"/>
        </w:rPr>
        <w:t xml:space="preserve"> 2018 (1) SA 94 (CC) </w:t>
      </w:r>
      <w:r w:rsidR="006C1D69">
        <w:rPr>
          <w:rFonts w:ascii="Arial" w:hAnsi="Arial" w:cs="Arial"/>
          <w:sz w:val="20"/>
          <w:szCs w:val="20"/>
        </w:rPr>
        <w:t xml:space="preserve">at </w:t>
      </w:r>
      <w:r w:rsidRPr="00A9249F">
        <w:rPr>
          <w:rFonts w:ascii="Arial" w:hAnsi="Arial" w:cs="Arial"/>
          <w:sz w:val="20"/>
          <w:szCs w:val="20"/>
        </w:rPr>
        <w:t>[44]</w:t>
      </w:r>
    </w:p>
  </w:footnote>
  <w:footnote w:id="31">
    <w:p w14:paraId="325F9E30" w14:textId="6F492A0E" w:rsidR="00865AD4" w:rsidRPr="00A9249F" w:rsidRDefault="00865AD4" w:rsidP="00A9249F">
      <w:pPr>
        <w:autoSpaceDE w:val="0"/>
        <w:autoSpaceDN w:val="0"/>
        <w:adjustRightInd w:val="0"/>
        <w:ind w:left="426" w:hanging="426"/>
        <w:jc w:val="both"/>
        <w:rPr>
          <w:rFonts w:ascii="Arial" w:eastAsiaTheme="minorHAnsi" w:hAnsi="Arial" w:cs="Arial"/>
          <w:color w:val="000000"/>
          <w:sz w:val="20"/>
          <w:szCs w:val="20"/>
          <w:lang w:val="en-GB" w:eastAsia="en-US"/>
        </w:rPr>
      </w:pPr>
      <w:r w:rsidRPr="00A9249F">
        <w:rPr>
          <w:rStyle w:val="FootnoteReference"/>
          <w:rFonts w:ascii="Arial" w:hAnsi="Arial" w:cs="Arial"/>
          <w:sz w:val="20"/>
          <w:szCs w:val="20"/>
        </w:rPr>
        <w:footnoteRef/>
      </w:r>
      <w:r w:rsidRPr="00A9249F">
        <w:rPr>
          <w:rFonts w:ascii="Arial" w:hAnsi="Arial" w:cs="Arial"/>
          <w:sz w:val="20"/>
          <w:szCs w:val="20"/>
        </w:rPr>
        <w:t xml:space="preserve"> </w:t>
      </w:r>
      <w:r w:rsidRPr="00A9249F">
        <w:rPr>
          <w:rFonts w:ascii="Arial" w:hAnsi="Arial" w:cs="Arial"/>
          <w:sz w:val="20"/>
          <w:szCs w:val="20"/>
          <w:lang w:val="en-GB"/>
        </w:rPr>
        <w:tab/>
      </w:r>
      <w:r w:rsidRPr="006C1D69">
        <w:rPr>
          <w:rFonts w:ascii="Arial" w:eastAsiaTheme="minorHAnsi" w:hAnsi="Arial" w:cs="Arial"/>
          <w:i/>
          <w:iCs/>
          <w:color w:val="000000"/>
          <w:sz w:val="20"/>
          <w:szCs w:val="20"/>
          <w:lang w:val="en-GB" w:eastAsia="en-US"/>
        </w:rPr>
        <w:t>Nuclear Fuels Corporation of SA (Pty) Ltd v Orda AG</w:t>
      </w:r>
      <w:r w:rsidRPr="006C1D69">
        <w:rPr>
          <w:rFonts w:ascii="Arial" w:eastAsiaTheme="minorHAnsi" w:hAnsi="Arial" w:cs="Arial"/>
          <w:color w:val="000000"/>
          <w:sz w:val="20"/>
          <w:szCs w:val="20"/>
          <w:lang w:val="en-GB" w:eastAsia="en-US"/>
        </w:rPr>
        <w:t xml:space="preserve"> 1996 (4) SA 1190 (A) at 1206B</w:t>
      </w:r>
    </w:p>
  </w:footnote>
  <w:footnote w:id="32">
    <w:p w14:paraId="308CB6BC" w14:textId="6B64BC4E" w:rsidR="006178E0" w:rsidRPr="00A9249F" w:rsidRDefault="006178E0" w:rsidP="00A9249F">
      <w:pPr>
        <w:pStyle w:val="FootnoteText"/>
        <w:ind w:left="426" w:hanging="426"/>
        <w:rPr>
          <w:rFonts w:ascii="Arial" w:hAnsi="Arial" w:cs="Arial"/>
          <w:lang w:val="en-GB"/>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GB"/>
        </w:rPr>
        <w:tab/>
        <w:t xml:space="preserve">Relying on </w:t>
      </w:r>
      <w:r w:rsidRPr="00A9249F">
        <w:rPr>
          <w:rFonts w:ascii="Arial" w:hAnsi="Arial" w:cs="Arial"/>
          <w:i/>
          <w:iCs/>
          <w:lang w:val="en-GB"/>
        </w:rPr>
        <w:t>Roberts v Krause</w:t>
      </w:r>
      <w:r w:rsidRPr="00A9249F">
        <w:rPr>
          <w:rFonts w:ascii="Arial" w:hAnsi="Arial" w:cs="Arial"/>
          <w:lang w:val="en-GB"/>
        </w:rPr>
        <w:t xml:space="preserve"> 1913 OPD 27</w:t>
      </w:r>
    </w:p>
  </w:footnote>
  <w:footnote w:id="33">
    <w:p w14:paraId="4B5AAF0B" w14:textId="55AEAD09" w:rsidR="003D0E7C" w:rsidRPr="00A9249F" w:rsidRDefault="003D0E7C" w:rsidP="00A9249F">
      <w:pPr>
        <w:autoSpaceDE w:val="0"/>
        <w:autoSpaceDN w:val="0"/>
        <w:adjustRightInd w:val="0"/>
        <w:ind w:left="426" w:hanging="426"/>
        <w:jc w:val="both"/>
        <w:rPr>
          <w:rFonts w:ascii="Arial" w:hAnsi="Arial" w:cs="Arial"/>
          <w:sz w:val="20"/>
          <w:szCs w:val="20"/>
        </w:rPr>
      </w:pPr>
      <w:r w:rsidRPr="00A9249F">
        <w:rPr>
          <w:rStyle w:val="FootnoteReference"/>
          <w:rFonts w:ascii="Arial" w:hAnsi="Arial" w:cs="Arial"/>
          <w:sz w:val="20"/>
          <w:szCs w:val="20"/>
        </w:rPr>
        <w:footnoteRef/>
      </w:r>
      <w:r w:rsidRPr="00A9249F">
        <w:rPr>
          <w:rFonts w:ascii="Arial" w:hAnsi="Arial" w:cs="Arial"/>
          <w:sz w:val="20"/>
          <w:szCs w:val="20"/>
        </w:rPr>
        <w:t xml:space="preserve"> </w:t>
      </w:r>
      <w:r w:rsidRPr="00A9249F">
        <w:rPr>
          <w:rFonts w:ascii="Arial" w:hAnsi="Arial" w:cs="Arial"/>
          <w:sz w:val="20"/>
          <w:szCs w:val="20"/>
          <w:lang w:val="en-US"/>
        </w:rPr>
        <w:tab/>
      </w:r>
      <w:r w:rsidRPr="00A9249F">
        <w:rPr>
          <w:rFonts w:ascii="Arial" w:hAnsi="Arial" w:cs="Arial"/>
          <w:sz w:val="20"/>
          <w:szCs w:val="20"/>
        </w:rPr>
        <w:t xml:space="preserve">However, the position may be different during the restricted lockdown period. </w:t>
      </w:r>
      <w:r w:rsidRPr="00A9249F">
        <w:rPr>
          <w:rStyle w:val="apple-converted-space"/>
          <w:rFonts w:ascii="Arial" w:hAnsi="Arial" w:cs="Arial"/>
          <w:sz w:val="20"/>
          <w:szCs w:val="20"/>
        </w:rPr>
        <w:t> </w:t>
      </w:r>
      <w:r w:rsidRPr="00A9249F">
        <w:rPr>
          <w:rFonts w:ascii="Arial" w:hAnsi="Arial" w:cs="Arial"/>
          <w:sz w:val="20"/>
          <w:szCs w:val="20"/>
        </w:rPr>
        <w:t>Mere difficulty of performance is not sufficient to release a debtor. The standard of conduct required from a debtor in performing is, in fact, extremely high</w:t>
      </w:r>
      <w:r w:rsidR="00B56406" w:rsidRPr="00A9249F">
        <w:rPr>
          <w:rFonts w:ascii="Arial" w:hAnsi="Arial" w:cs="Arial"/>
          <w:sz w:val="20"/>
          <w:szCs w:val="20"/>
        </w:rPr>
        <w:t>; see</w:t>
      </w:r>
      <w:r w:rsidRPr="00A9249F">
        <w:rPr>
          <w:rFonts w:ascii="Arial" w:hAnsi="Arial" w:cs="Arial"/>
          <w:sz w:val="20"/>
          <w:szCs w:val="20"/>
        </w:rPr>
        <w:t xml:space="preserve"> </w:t>
      </w:r>
      <w:r w:rsidRPr="00A9249F">
        <w:rPr>
          <w:rFonts w:ascii="Arial" w:hAnsi="Arial" w:cs="Arial"/>
          <w:i/>
          <w:iCs/>
          <w:sz w:val="20"/>
          <w:szCs w:val="20"/>
        </w:rPr>
        <w:t>Yodaiken v Angehrn &amp; Piel</w:t>
      </w:r>
      <w:r w:rsidRPr="00A9249F">
        <w:rPr>
          <w:rFonts w:ascii="Arial" w:hAnsi="Arial" w:cs="Arial"/>
          <w:sz w:val="20"/>
          <w:szCs w:val="20"/>
        </w:rPr>
        <w:t xml:space="preserve"> 1914 TPD 254 and </w:t>
      </w:r>
      <w:r w:rsidRPr="00A9249F">
        <w:rPr>
          <w:rFonts w:ascii="Arial" w:hAnsi="Arial" w:cs="Arial"/>
          <w:i/>
          <w:iCs/>
          <w:sz w:val="20"/>
          <w:szCs w:val="20"/>
        </w:rPr>
        <w:t>Hersman v Shapiro &amp; Co</w:t>
      </w:r>
      <w:r w:rsidRPr="00A9249F">
        <w:rPr>
          <w:rFonts w:ascii="Arial" w:hAnsi="Arial" w:cs="Arial"/>
          <w:sz w:val="20"/>
          <w:szCs w:val="20"/>
        </w:rPr>
        <w:t xml:space="preserve"> 1926 TPD 367</w:t>
      </w:r>
    </w:p>
  </w:footnote>
  <w:footnote w:id="34">
    <w:p w14:paraId="66D1C9FD" w14:textId="2EE78846" w:rsidR="00B56406" w:rsidRPr="00A9249F" w:rsidRDefault="00B56406" w:rsidP="00A9249F">
      <w:pPr>
        <w:pStyle w:val="FootnoteText"/>
        <w:ind w:left="426" w:hanging="426"/>
        <w:rPr>
          <w:rFonts w:ascii="Arial" w:hAnsi="Arial" w:cs="Arial"/>
          <w:lang w:val="en-GB"/>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GB"/>
        </w:rPr>
        <w:tab/>
        <w:t xml:space="preserve">Relying on </w:t>
      </w:r>
      <w:r w:rsidRPr="006C1D69">
        <w:rPr>
          <w:rFonts w:ascii="Arial" w:hAnsi="Arial" w:cs="Arial"/>
          <w:i/>
          <w:iCs/>
          <w:lang w:val="en-GB"/>
        </w:rPr>
        <w:t>Hersman v Shapiro and Co</w:t>
      </w:r>
      <w:r w:rsidRPr="006C1D69">
        <w:rPr>
          <w:rFonts w:ascii="Arial" w:hAnsi="Arial" w:cs="Arial"/>
          <w:lang w:val="en-GB"/>
        </w:rPr>
        <w:t xml:space="preserve"> 1926 (TPD) 367 375-377</w:t>
      </w:r>
    </w:p>
  </w:footnote>
  <w:footnote w:id="35">
    <w:p w14:paraId="3F86B404" w14:textId="32A2B491" w:rsidR="00091500" w:rsidRPr="006C1D69" w:rsidRDefault="00091500" w:rsidP="00A9249F">
      <w:pPr>
        <w:autoSpaceDE w:val="0"/>
        <w:autoSpaceDN w:val="0"/>
        <w:adjustRightInd w:val="0"/>
        <w:ind w:left="426" w:hanging="426"/>
        <w:jc w:val="both"/>
        <w:rPr>
          <w:rFonts w:ascii="Arial" w:eastAsiaTheme="minorHAnsi" w:hAnsi="Arial" w:cs="Arial"/>
          <w:color w:val="000000"/>
          <w:sz w:val="20"/>
          <w:szCs w:val="20"/>
          <w:lang w:val="en-GB" w:eastAsia="en-US"/>
        </w:rPr>
      </w:pPr>
      <w:r w:rsidRPr="00A9249F">
        <w:rPr>
          <w:rStyle w:val="FootnoteReference"/>
          <w:rFonts w:ascii="Arial" w:hAnsi="Arial" w:cs="Arial"/>
          <w:sz w:val="20"/>
          <w:szCs w:val="20"/>
        </w:rPr>
        <w:footnoteRef/>
      </w:r>
      <w:r w:rsidRPr="00A9249F">
        <w:rPr>
          <w:rFonts w:ascii="Arial" w:hAnsi="Arial" w:cs="Arial"/>
          <w:sz w:val="20"/>
          <w:szCs w:val="20"/>
        </w:rPr>
        <w:t xml:space="preserve"> </w:t>
      </w:r>
      <w:r w:rsidRPr="00A9249F">
        <w:rPr>
          <w:rFonts w:ascii="Arial" w:hAnsi="Arial" w:cs="Arial"/>
          <w:sz w:val="20"/>
          <w:szCs w:val="20"/>
          <w:lang w:val="en-GB"/>
        </w:rPr>
        <w:tab/>
      </w:r>
      <w:r w:rsidRPr="006C1D69">
        <w:rPr>
          <w:rFonts w:ascii="Arial" w:eastAsiaTheme="minorHAnsi" w:hAnsi="Arial" w:cs="Arial"/>
          <w:i/>
          <w:iCs/>
          <w:color w:val="000000"/>
          <w:sz w:val="20"/>
          <w:szCs w:val="20"/>
          <w:lang w:val="en-GB" w:eastAsia="en-US"/>
        </w:rPr>
        <w:t>Unibank Savings and Loans Ltd (formerly Community Bank) v ABSA Bank Ltd</w:t>
      </w:r>
      <w:r w:rsidRPr="006C1D69">
        <w:rPr>
          <w:rFonts w:ascii="Arial" w:eastAsiaTheme="minorHAnsi" w:hAnsi="Arial" w:cs="Arial"/>
          <w:color w:val="000000"/>
          <w:sz w:val="20"/>
          <w:szCs w:val="20"/>
          <w:lang w:val="en-GB" w:eastAsia="en-US"/>
        </w:rPr>
        <w:t xml:space="preserve"> 2000 (4) SA 191 (W) at</w:t>
      </w:r>
      <w:r w:rsidR="00195BAC" w:rsidRPr="006C1D69">
        <w:rPr>
          <w:rFonts w:ascii="Arial" w:eastAsiaTheme="minorHAnsi" w:hAnsi="Arial" w:cs="Arial"/>
          <w:color w:val="000000"/>
          <w:sz w:val="20"/>
          <w:szCs w:val="20"/>
          <w:lang w:val="en-GB" w:eastAsia="en-US"/>
        </w:rPr>
        <w:t xml:space="preserve"> </w:t>
      </w:r>
      <w:r w:rsidRPr="006C1D69">
        <w:rPr>
          <w:rFonts w:ascii="Arial" w:eastAsiaTheme="minorHAnsi" w:hAnsi="Arial" w:cs="Arial"/>
          <w:color w:val="000000"/>
          <w:sz w:val="20"/>
          <w:szCs w:val="20"/>
          <w:lang w:val="en-GB" w:eastAsia="en-US"/>
        </w:rPr>
        <w:t>198D</w:t>
      </w:r>
      <w:r w:rsidR="006C1D69" w:rsidRPr="006C1D69">
        <w:rPr>
          <w:rFonts w:ascii="Arial" w:eastAsiaTheme="minorHAnsi" w:hAnsi="Arial" w:cs="Arial"/>
          <w:color w:val="000000"/>
          <w:sz w:val="20"/>
          <w:szCs w:val="20"/>
          <w:lang w:val="en-GB" w:eastAsia="en-US"/>
        </w:rPr>
        <w:t>-</w:t>
      </w:r>
      <w:r w:rsidRPr="006C1D69">
        <w:rPr>
          <w:rFonts w:ascii="Arial" w:eastAsiaTheme="minorHAnsi" w:hAnsi="Arial" w:cs="Arial"/>
          <w:color w:val="000000"/>
          <w:sz w:val="20"/>
          <w:szCs w:val="20"/>
          <w:lang w:val="en-GB" w:eastAsia="en-US"/>
        </w:rPr>
        <w:t>E</w:t>
      </w:r>
    </w:p>
  </w:footnote>
  <w:footnote w:id="36">
    <w:p w14:paraId="218060EF" w14:textId="59199E41" w:rsidR="009C2EF0" w:rsidRPr="00A9249F" w:rsidRDefault="009C2EF0" w:rsidP="00A9249F">
      <w:pPr>
        <w:pStyle w:val="FootnoteText"/>
        <w:ind w:left="426" w:hanging="426"/>
        <w:rPr>
          <w:rFonts w:ascii="Arial" w:hAnsi="Arial" w:cs="Arial"/>
          <w:lang w:val="en-GB"/>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GB"/>
        </w:rPr>
        <w:tab/>
      </w:r>
      <w:r w:rsidRPr="00A9249F">
        <w:rPr>
          <w:rFonts w:ascii="Arial" w:hAnsi="Arial" w:cs="Arial"/>
          <w:i/>
          <w:iCs/>
          <w:lang w:val="en-GB"/>
        </w:rPr>
        <w:t>Freestone Property Investments (Pty) Ltd v Remake Consultants CC and another</w:t>
      </w:r>
      <w:r w:rsidRPr="00A9249F">
        <w:rPr>
          <w:rFonts w:ascii="Arial" w:hAnsi="Arial" w:cs="Arial"/>
          <w:lang w:val="en-GB"/>
        </w:rPr>
        <w:t xml:space="preserve">, unreported judgment under case number 2020/29927, Gauteng Division, Johannesburg </w:t>
      </w:r>
      <w:r w:rsidR="006C1D69">
        <w:rPr>
          <w:rFonts w:ascii="Arial" w:hAnsi="Arial" w:cs="Arial"/>
          <w:lang w:val="en-GB"/>
        </w:rPr>
        <w:t xml:space="preserve">at </w:t>
      </w:r>
      <w:r w:rsidRPr="00A9249F">
        <w:rPr>
          <w:rFonts w:ascii="Arial" w:hAnsi="Arial" w:cs="Arial"/>
          <w:lang w:val="en-GB"/>
        </w:rPr>
        <w:t>[31]</w:t>
      </w:r>
    </w:p>
  </w:footnote>
  <w:footnote w:id="37">
    <w:p w14:paraId="2FBA5F46" w14:textId="60079BE0" w:rsidR="001458F9" w:rsidRPr="00A9249F" w:rsidRDefault="001458F9" w:rsidP="00A9249F">
      <w:pPr>
        <w:autoSpaceDE w:val="0"/>
        <w:autoSpaceDN w:val="0"/>
        <w:adjustRightInd w:val="0"/>
        <w:ind w:left="426" w:hanging="426"/>
        <w:jc w:val="both"/>
        <w:rPr>
          <w:rFonts w:ascii="Arial" w:eastAsiaTheme="minorHAnsi" w:hAnsi="Arial" w:cs="Arial"/>
          <w:color w:val="000000"/>
          <w:sz w:val="20"/>
          <w:szCs w:val="20"/>
          <w:lang w:val="en-GB" w:eastAsia="en-US"/>
        </w:rPr>
      </w:pPr>
      <w:r w:rsidRPr="00A9249F">
        <w:rPr>
          <w:rStyle w:val="FootnoteReference"/>
          <w:rFonts w:ascii="Arial" w:hAnsi="Arial" w:cs="Arial"/>
          <w:sz w:val="20"/>
          <w:szCs w:val="20"/>
        </w:rPr>
        <w:footnoteRef/>
      </w:r>
      <w:r w:rsidRPr="00A9249F">
        <w:rPr>
          <w:rFonts w:ascii="Arial" w:hAnsi="Arial" w:cs="Arial"/>
          <w:sz w:val="20"/>
          <w:szCs w:val="20"/>
        </w:rPr>
        <w:t xml:space="preserve"> </w:t>
      </w:r>
      <w:r w:rsidRPr="00A9249F">
        <w:rPr>
          <w:rFonts w:ascii="Arial" w:hAnsi="Arial" w:cs="Arial"/>
          <w:sz w:val="20"/>
          <w:szCs w:val="20"/>
          <w:lang w:val="en-GB"/>
        </w:rPr>
        <w:tab/>
      </w:r>
      <w:r w:rsidRPr="00A9249F">
        <w:rPr>
          <w:rFonts w:ascii="Arial" w:hAnsi="Arial" w:cs="Arial"/>
          <w:i/>
          <w:iCs/>
          <w:sz w:val="20"/>
          <w:szCs w:val="20"/>
          <w:lang w:val="en-GB"/>
        </w:rPr>
        <w:t>Freestone Property Investments (Pty) Ltd</w:t>
      </w:r>
      <w:r w:rsidR="00865AD4" w:rsidRPr="00A9249F">
        <w:rPr>
          <w:rFonts w:ascii="Arial" w:hAnsi="Arial" w:cs="Arial"/>
          <w:i/>
          <w:iCs/>
          <w:sz w:val="20"/>
          <w:szCs w:val="20"/>
          <w:lang w:val="en-GB"/>
        </w:rPr>
        <w:t xml:space="preserve"> v Remake Consultants CC and another</w:t>
      </w:r>
      <w:r w:rsidRPr="00A9249F">
        <w:rPr>
          <w:rFonts w:ascii="Arial" w:eastAsiaTheme="minorHAnsi" w:hAnsi="Arial" w:cs="Arial"/>
          <w:color w:val="000000"/>
          <w:sz w:val="20"/>
          <w:szCs w:val="20"/>
          <w:lang w:val="en-GB" w:eastAsia="en-US"/>
        </w:rPr>
        <w:t>, unreported</w:t>
      </w:r>
      <w:r w:rsidR="00865AD4" w:rsidRPr="00A9249F">
        <w:rPr>
          <w:rFonts w:ascii="Arial" w:eastAsiaTheme="minorHAnsi" w:hAnsi="Arial" w:cs="Arial"/>
          <w:color w:val="000000"/>
          <w:sz w:val="20"/>
          <w:szCs w:val="20"/>
          <w:lang w:val="en-GB" w:eastAsia="en-US"/>
        </w:rPr>
        <w:t xml:space="preserve"> </w:t>
      </w:r>
      <w:r w:rsidRPr="00A9249F">
        <w:rPr>
          <w:rFonts w:ascii="Arial" w:eastAsiaTheme="minorHAnsi" w:hAnsi="Arial" w:cs="Arial"/>
          <w:color w:val="000000"/>
          <w:sz w:val="20"/>
          <w:szCs w:val="20"/>
          <w:lang w:val="en-GB" w:eastAsia="en-US"/>
        </w:rPr>
        <w:t>judgment under case number 2020/</w:t>
      </w:r>
      <w:r w:rsidR="00865AD4" w:rsidRPr="00A9249F">
        <w:rPr>
          <w:rFonts w:ascii="Arial" w:eastAsiaTheme="minorHAnsi" w:hAnsi="Arial" w:cs="Arial"/>
          <w:color w:val="000000"/>
          <w:sz w:val="20"/>
          <w:szCs w:val="20"/>
          <w:lang w:val="en-GB" w:eastAsia="en-US"/>
        </w:rPr>
        <w:t>29927</w:t>
      </w:r>
      <w:r w:rsidRPr="00A9249F">
        <w:rPr>
          <w:rFonts w:ascii="Arial" w:eastAsiaTheme="minorHAnsi" w:hAnsi="Arial" w:cs="Arial"/>
          <w:color w:val="000000"/>
          <w:sz w:val="20"/>
          <w:szCs w:val="20"/>
          <w:lang w:val="en-GB" w:eastAsia="en-US"/>
        </w:rPr>
        <w:t>, Gauteng Division, Johannesburg</w:t>
      </w:r>
    </w:p>
  </w:footnote>
  <w:footnote w:id="38">
    <w:p w14:paraId="3E66BF07" w14:textId="7F6C85C1" w:rsidR="00C05E3D" w:rsidRPr="00A9249F" w:rsidRDefault="00C05E3D" w:rsidP="00A9249F">
      <w:pPr>
        <w:pStyle w:val="FootnoteText"/>
        <w:ind w:left="426" w:hanging="426"/>
        <w:rPr>
          <w:rFonts w:ascii="Arial" w:hAnsi="Arial" w:cs="Arial"/>
          <w:lang w:val="en-GB"/>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GB"/>
        </w:rPr>
        <w:tab/>
        <w:t>At [12]</w:t>
      </w:r>
    </w:p>
  </w:footnote>
  <w:footnote w:id="39">
    <w:p w14:paraId="023FBFC1" w14:textId="219835B8" w:rsidR="00DF350D" w:rsidRPr="00A9249F" w:rsidRDefault="00DF350D" w:rsidP="00A9249F">
      <w:pPr>
        <w:pStyle w:val="FootnoteText"/>
        <w:ind w:left="426" w:hanging="426"/>
        <w:rPr>
          <w:rFonts w:ascii="Arial" w:hAnsi="Arial" w:cs="Arial"/>
          <w:lang w:val="en-GB"/>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GB"/>
        </w:rPr>
        <w:tab/>
      </w:r>
      <w:r w:rsidRPr="00A9249F">
        <w:rPr>
          <w:rFonts w:ascii="Arial" w:hAnsi="Arial" w:cs="Arial"/>
          <w:i/>
          <w:iCs/>
        </w:rPr>
        <w:t>Hansen, Schrader &amp; Co. v Kopelowitz</w:t>
      </w:r>
      <w:r w:rsidRPr="00A9249F">
        <w:rPr>
          <w:rFonts w:ascii="Arial" w:hAnsi="Arial" w:cs="Arial"/>
        </w:rPr>
        <w:t xml:space="preserve"> 1903 TS 707</w:t>
      </w:r>
    </w:p>
  </w:footnote>
  <w:footnote w:id="40">
    <w:p w14:paraId="6F67134C" w14:textId="242DA9A6" w:rsidR="00260E9D" w:rsidRPr="00A9249F" w:rsidRDefault="00260E9D" w:rsidP="00A9249F">
      <w:pPr>
        <w:pStyle w:val="FootnoteText"/>
        <w:ind w:left="426" w:hanging="426"/>
        <w:rPr>
          <w:rFonts w:ascii="Arial" w:hAnsi="Arial" w:cs="Arial"/>
          <w:lang w:val="en-GB"/>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GB"/>
        </w:rPr>
        <w:tab/>
        <w:t>Louage, sec 152</w:t>
      </w:r>
    </w:p>
  </w:footnote>
  <w:footnote w:id="41">
    <w:p w14:paraId="07206FB4" w14:textId="697191CC" w:rsidR="006E3FE2" w:rsidRPr="00A9249F" w:rsidRDefault="006E3FE2" w:rsidP="00A9249F">
      <w:pPr>
        <w:pStyle w:val="FootnoteText"/>
        <w:ind w:left="426" w:hanging="426"/>
        <w:rPr>
          <w:rFonts w:ascii="Arial" w:hAnsi="Arial" w:cs="Arial"/>
          <w:lang w:val="en-GB"/>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GB"/>
        </w:rPr>
        <w:tab/>
      </w:r>
      <w:r w:rsidR="00DF350D" w:rsidRPr="00A9249F">
        <w:rPr>
          <w:rFonts w:ascii="Arial" w:hAnsi="Arial" w:cs="Arial"/>
        </w:rPr>
        <w:t xml:space="preserve">At </w:t>
      </w:r>
      <w:r w:rsidRPr="00A9249F">
        <w:rPr>
          <w:rFonts w:ascii="Arial" w:hAnsi="Arial" w:cs="Arial"/>
        </w:rPr>
        <w:t> 712 and 715</w:t>
      </w:r>
    </w:p>
  </w:footnote>
  <w:footnote w:id="42">
    <w:p w14:paraId="3A979E2B" w14:textId="468252BB" w:rsidR="00EA7280" w:rsidRPr="00A9249F" w:rsidRDefault="00EA7280" w:rsidP="00A9249F">
      <w:pPr>
        <w:pStyle w:val="FootnoteText"/>
        <w:ind w:left="426" w:hanging="426"/>
        <w:rPr>
          <w:rFonts w:ascii="Arial" w:hAnsi="Arial" w:cs="Arial"/>
          <w:lang w:val="en-GB"/>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GB"/>
        </w:rPr>
        <w:tab/>
      </w:r>
      <w:r w:rsidR="00DF350D" w:rsidRPr="00A9249F">
        <w:rPr>
          <w:rFonts w:ascii="Arial" w:hAnsi="Arial" w:cs="Arial"/>
          <w:lang w:val="en-GB"/>
        </w:rPr>
        <w:t>At 715</w:t>
      </w:r>
    </w:p>
  </w:footnote>
  <w:footnote w:id="43">
    <w:p w14:paraId="35C265F7" w14:textId="12A4E0A9" w:rsidR="00EA7280" w:rsidRPr="00A9249F" w:rsidRDefault="00EA7280" w:rsidP="00A9249F">
      <w:pPr>
        <w:pStyle w:val="Default"/>
        <w:ind w:left="426" w:hanging="426"/>
        <w:jc w:val="both"/>
        <w:rPr>
          <w:rFonts w:ascii="Arial" w:hAnsi="Arial" w:cs="Arial"/>
          <w:sz w:val="20"/>
          <w:szCs w:val="20"/>
        </w:rPr>
      </w:pPr>
      <w:r w:rsidRPr="00A9249F">
        <w:rPr>
          <w:rStyle w:val="FootnoteReference"/>
          <w:rFonts w:ascii="Arial" w:hAnsi="Arial" w:cs="Arial"/>
          <w:sz w:val="20"/>
          <w:szCs w:val="20"/>
        </w:rPr>
        <w:footnoteRef/>
      </w:r>
      <w:r w:rsidRPr="00A9249F">
        <w:rPr>
          <w:rFonts w:ascii="Arial" w:hAnsi="Arial" w:cs="Arial"/>
          <w:sz w:val="20"/>
          <w:szCs w:val="20"/>
        </w:rPr>
        <w:t xml:space="preserve"> </w:t>
      </w:r>
      <w:r w:rsidRPr="00A9249F">
        <w:rPr>
          <w:rFonts w:ascii="Arial" w:hAnsi="Arial" w:cs="Arial"/>
          <w:sz w:val="20"/>
          <w:szCs w:val="20"/>
        </w:rPr>
        <w:tab/>
      </w:r>
      <w:r w:rsidR="00E1734D" w:rsidRPr="00A9249F">
        <w:rPr>
          <w:rFonts w:ascii="Arial" w:hAnsi="Arial" w:cs="Arial"/>
          <w:i/>
          <w:iCs/>
          <w:sz w:val="20"/>
          <w:szCs w:val="20"/>
        </w:rPr>
        <w:t>Breitenbach v Fiat</w:t>
      </w:r>
      <w:r w:rsidR="00E1734D" w:rsidRPr="00A9249F">
        <w:rPr>
          <w:rFonts w:ascii="Arial" w:hAnsi="Arial" w:cs="Arial"/>
          <w:sz w:val="20"/>
          <w:szCs w:val="20"/>
        </w:rPr>
        <w:t xml:space="preserve"> </w:t>
      </w:r>
      <w:r w:rsidR="00E1734D" w:rsidRPr="00A9249F">
        <w:rPr>
          <w:rFonts w:ascii="Arial" w:hAnsi="Arial" w:cs="Arial"/>
          <w:i/>
          <w:iCs/>
          <w:sz w:val="20"/>
          <w:szCs w:val="20"/>
        </w:rPr>
        <w:t>SA (Edms) Bpk</w:t>
      </w:r>
      <w:r w:rsidR="00E1734D" w:rsidRPr="00A9249F">
        <w:rPr>
          <w:rFonts w:ascii="Arial" w:hAnsi="Arial" w:cs="Arial"/>
          <w:sz w:val="20"/>
          <w:szCs w:val="20"/>
        </w:rPr>
        <w:t xml:space="preserve"> 1976 (2) SA 226 (T) </w:t>
      </w:r>
      <w:r w:rsidR="006C1D69">
        <w:rPr>
          <w:rFonts w:ascii="Arial" w:hAnsi="Arial" w:cs="Arial"/>
          <w:sz w:val="20"/>
          <w:szCs w:val="20"/>
        </w:rPr>
        <w:t xml:space="preserve">at </w:t>
      </w:r>
      <w:r w:rsidR="00E1734D" w:rsidRPr="00A9249F">
        <w:rPr>
          <w:rFonts w:ascii="Arial" w:hAnsi="Arial" w:cs="Arial"/>
          <w:sz w:val="20"/>
          <w:szCs w:val="20"/>
        </w:rPr>
        <w:t>227G</w:t>
      </w:r>
    </w:p>
  </w:footnote>
  <w:footnote w:id="44">
    <w:p w14:paraId="11BFBF24" w14:textId="7DC1BD7D" w:rsidR="00E05409" w:rsidRPr="00A9249F" w:rsidRDefault="00E05409" w:rsidP="00A9249F">
      <w:pPr>
        <w:pStyle w:val="Default"/>
        <w:ind w:left="426" w:hanging="426"/>
        <w:jc w:val="both"/>
        <w:rPr>
          <w:rFonts w:ascii="Arial" w:hAnsi="Arial" w:cs="Arial"/>
          <w:sz w:val="20"/>
          <w:szCs w:val="20"/>
        </w:rPr>
      </w:pPr>
      <w:r w:rsidRPr="00A9249F">
        <w:rPr>
          <w:rStyle w:val="FootnoteReference"/>
          <w:rFonts w:ascii="Arial" w:hAnsi="Arial" w:cs="Arial"/>
          <w:sz w:val="20"/>
          <w:szCs w:val="20"/>
        </w:rPr>
        <w:footnoteRef/>
      </w:r>
      <w:r w:rsidRPr="00A9249F">
        <w:rPr>
          <w:rFonts w:ascii="Arial" w:hAnsi="Arial" w:cs="Arial"/>
          <w:sz w:val="20"/>
          <w:szCs w:val="20"/>
        </w:rPr>
        <w:t xml:space="preserve"> </w:t>
      </w:r>
      <w:r w:rsidRPr="00A9249F">
        <w:rPr>
          <w:rFonts w:ascii="Arial" w:hAnsi="Arial" w:cs="Arial"/>
          <w:sz w:val="20"/>
          <w:szCs w:val="20"/>
        </w:rPr>
        <w:tab/>
      </w:r>
      <w:r w:rsidRPr="00A9249F">
        <w:rPr>
          <w:rFonts w:ascii="Arial" w:hAnsi="Arial" w:cs="Arial"/>
          <w:i/>
          <w:iCs/>
          <w:sz w:val="20"/>
          <w:szCs w:val="20"/>
        </w:rPr>
        <w:t>Joob Investments (Pty) Ltd v Stocks Mavundla Zek</w:t>
      </w:r>
      <w:r w:rsidR="00510037">
        <w:rPr>
          <w:rFonts w:ascii="Arial" w:hAnsi="Arial" w:cs="Arial"/>
          <w:i/>
          <w:iCs/>
          <w:sz w:val="20"/>
          <w:szCs w:val="20"/>
        </w:rPr>
        <w:t xml:space="preserve"> </w:t>
      </w:r>
      <w:r w:rsidRPr="00A9249F">
        <w:rPr>
          <w:rFonts w:ascii="Arial" w:hAnsi="Arial" w:cs="Arial"/>
          <w:i/>
          <w:iCs/>
          <w:sz w:val="20"/>
          <w:szCs w:val="20"/>
        </w:rPr>
        <w:t xml:space="preserve">Joint Venture </w:t>
      </w:r>
      <w:r w:rsidRPr="00A9249F">
        <w:rPr>
          <w:rFonts w:ascii="Arial" w:hAnsi="Arial" w:cs="Arial"/>
          <w:sz w:val="20"/>
          <w:szCs w:val="20"/>
        </w:rPr>
        <w:t>2009 (5) SA 1 (SCA)</w:t>
      </w:r>
    </w:p>
  </w:footnote>
  <w:footnote w:id="45">
    <w:p w14:paraId="287F2CBE" w14:textId="12F7A222" w:rsidR="00E05409" w:rsidRPr="00A9249F" w:rsidRDefault="00E05409" w:rsidP="00A9249F">
      <w:pPr>
        <w:pStyle w:val="FootnoteText"/>
        <w:ind w:left="426" w:hanging="426"/>
        <w:rPr>
          <w:rFonts w:ascii="Arial" w:hAnsi="Arial" w:cs="Arial"/>
          <w:lang w:val="en-GB"/>
        </w:rPr>
      </w:pPr>
      <w:r w:rsidRPr="00A9249F">
        <w:rPr>
          <w:rStyle w:val="FootnoteReference"/>
          <w:rFonts w:ascii="Arial" w:hAnsi="Arial" w:cs="Arial"/>
        </w:rPr>
        <w:footnoteRef/>
      </w:r>
      <w:r w:rsidRPr="00A9249F">
        <w:rPr>
          <w:rFonts w:ascii="Arial" w:hAnsi="Arial" w:cs="Arial"/>
        </w:rPr>
        <w:t xml:space="preserve"> </w:t>
      </w:r>
      <w:r w:rsidRPr="00A9249F">
        <w:rPr>
          <w:rFonts w:ascii="Arial" w:hAnsi="Arial" w:cs="Arial"/>
          <w:lang w:val="en-GB"/>
        </w:rPr>
        <w:tab/>
        <w:t>At 11G-12D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5666992"/>
      <w:docPartObj>
        <w:docPartGallery w:val="Page Numbers (Top of Page)"/>
        <w:docPartUnique/>
      </w:docPartObj>
    </w:sdtPr>
    <w:sdtEndPr>
      <w:rPr>
        <w:rStyle w:val="PageNumber"/>
      </w:rPr>
    </w:sdtEndPr>
    <w:sdtContent>
      <w:p w14:paraId="3F7EFD80" w14:textId="77777777" w:rsidR="00D309CA" w:rsidRDefault="00E856A4" w:rsidP="004742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CFDAB7" w14:textId="77777777" w:rsidR="00D309CA" w:rsidRDefault="000129DC" w:rsidP="00D309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0381077"/>
      <w:docPartObj>
        <w:docPartGallery w:val="Page Numbers (Top of Page)"/>
        <w:docPartUnique/>
      </w:docPartObj>
    </w:sdtPr>
    <w:sdtEndPr>
      <w:rPr>
        <w:rStyle w:val="PageNumber"/>
        <w:rFonts w:ascii="Arial" w:hAnsi="Arial" w:cs="Arial"/>
      </w:rPr>
    </w:sdtEndPr>
    <w:sdtContent>
      <w:p w14:paraId="171E5A34" w14:textId="6D0B2EAB" w:rsidR="00D309CA" w:rsidRPr="0027530B" w:rsidRDefault="00E856A4" w:rsidP="00474225">
        <w:pPr>
          <w:pStyle w:val="Header"/>
          <w:framePr w:wrap="none" w:vAnchor="text" w:hAnchor="margin" w:xAlign="right" w:y="1"/>
          <w:rPr>
            <w:rStyle w:val="PageNumber"/>
            <w:rFonts w:ascii="Arial" w:hAnsi="Arial" w:cs="Arial"/>
          </w:rPr>
        </w:pPr>
        <w:r w:rsidRPr="0027530B">
          <w:rPr>
            <w:rStyle w:val="PageNumber"/>
            <w:rFonts w:ascii="Arial" w:hAnsi="Arial" w:cs="Arial"/>
          </w:rPr>
          <w:fldChar w:fldCharType="begin"/>
        </w:r>
        <w:r w:rsidRPr="0027530B">
          <w:rPr>
            <w:rStyle w:val="PageNumber"/>
            <w:rFonts w:ascii="Arial" w:hAnsi="Arial" w:cs="Arial"/>
          </w:rPr>
          <w:instrText xml:space="preserve"> PAGE </w:instrText>
        </w:r>
        <w:r w:rsidRPr="0027530B">
          <w:rPr>
            <w:rStyle w:val="PageNumber"/>
            <w:rFonts w:ascii="Arial" w:hAnsi="Arial" w:cs="Arial"/>
          </w:rPr>
          <w:fldChar w:fldCharType="separate"/>
        </w:r>
        <w:r w:rsidR="004E087B">
          <w:rPr>
            <w:rStyle w:val="PageNumber"/>
            <w:rFonts w:ascii="Arial" w:hAnsi="Arial" w:cs="Arial"/>
            <w:noProof/>
          </w:rPr>
          <w:t>20</w:t>
        </w:r>
        <w:r w:rsidRPr="0027530B">
          <w:rPr>
            <w:rStyle w:val="PageNumber"/>
            <w:rFonts w:ascii="Arial" w:hAnsi="Arial" w:cs="Arial"/>
          </w:rPr>
          <w:fldChar w:fldCharType="end"/>
        </w:r>
      </w:p>
    </w:sdtContent>
  </w:sdt>
  <w:p w14:paraId="02774D11" w14:textId="77777777" w:rsidR="00D309CA" w:rsidRPr="0027530B" w:rsidRDefault="000129DC" w:rsidP="00D309CA">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3F7"/>
    <w:multiLevelType w:val="multilevel"/>
    <w:tmpl w:val="4BFECC2A"/>
    <w:name w:val="Jaco numbering"/>
    <w:lvl w:ilvl="0">
      <w:start w:val="1"/>
      <w:numFmt w:val="decimal"/>
      <w:lvlText w:val="%1."/>
      <w:lvlJc w:val="left"/>
      <w:pPr>
        <w:ind w:left="567" w:hanging="567"/>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2268" w:hanging="2268"/>
      </w:pPr>
      <w:rPr>
        <w:rFonts w:hint="default"/>
      </w:rPr>
    </w:lvl>
    <w:lvl w:ilvl="4">
      <w:start w:val="1"/>
      <w:numFmt w:val="decimal"/>
      <w:lvlText w:val="%1.%2.%3.%4.%5."/>
      <w:lvlJc w:val="left"/>
      <w:pPr>
        <w:ind w:left="2835" w:hanging="2835"/>
      </w:pPr>
      <w:rPr>
        <w:rFonts w:hint="default"/>
      </w:rPr>
    </w:lvl>
    <w:lvl w:ilvl="5">
      <w:start w:val="1"/>
      <w:numFmt w:val="decimal"/>
      <w:lvlRestart w:val="0"/>
      <w:pStyle w:val="NoSpacing"/>
      <w:lvlText w:val="%1.%2.%3.%4.%5.%6."/>
      <w:lvlJc w:val="left"/>
      <w:pPr>
        <w:ind w:left="3402" w:hanging="340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C00C31C8"/>
    <w:lvl w:ilvl="0" w:tplc="27B6BD9A">
      <w:start w:val="1"/>
      <w:numFmt w:val="decimal"/>
      <w:lvlText w:val="%1."/>
      <w:lvlJc w:val="left"/>
      <w:pPr>
        <w:tabs>
          <w:tab w:val="num" w:pos="900"/>
        </w:tabs>
        <w:ind w:left="900" w:hanging="720"/>
      </w:pPr>
      <w:rPr>
        <w:rFonts w:ascii="Arial" w:eastAsia="Times" w:hAnsi="Arial" w:cs="Arial"/>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2BD83B5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4D6812"/>
    <w:multiLevelType w:val="multilevel"/>
    <w:tmpl w:val="59C0B472"/>
    <w:lvl w:ilvl="0">
      <w:start w:val="1"/>
      <w:numFmt w:val="decimal"/>
      <w:pStyle w:val="PleadingparJP"/>
      <w:lvlText w:val="%1."/>
      <w:lvlJc w:val="left"/>
      <w:pPr>
        <w:ind w:left="567" w:hanging="567"/>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2268" w:hanging="2268"/>
      </w:pPr>
      <w:rPr>
        <w:rFonts w:hint="default"/>
      </w:rPr>
    </w:lvl>
    <w:lvl w:ilvl="4">
      <w:start w:val="1"/>
      <w:numFmt w:val="decimal"/>
      <w:lvlText w:val="%1.%2.%3.%4.%5."/>
      <w:lvlJc w:val="left"/>
      <w:pPr>
        <w:ind w:left="2835" w:hanging="2835"/>
      </w:pPr>
      <w:rPr>
        <w:rFonts w:hint="default"/>
      </w:rPr>
    </w:lvl>
    <w:lvl w:ilvl="5">
      <w:start w:val="1"/>
      <w:numFmt w:val="decimal"/>
      <w:lvlText w:val="%1.%2.%3.%4.%5.%6."/>
      <w:lvlJc w:val="left"/>
      <w:pPr>
        <w:ind w:left="3402" w:hanging="340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6452F3"/>
    <w:multiLevelType w:val="hybridMultilevel"/>
    <w:tmpl w:val="44CA8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520A7"/>
    <w:multiLevelType w:val="multilevel"/>
    <w:tmpl w:val="FA00695C"/>
    <w:lvl w:ilvl="0">
      <w:start w:val="1"/>
      <w:numFmt w:val="decimal"/>
      <w:lvlText w:val="%1."/>
      <w:lvlJc w:val="left"/>
      <w:pPr>
        <w:ind w:left="1069" w:hanging="360"/>
      </w:pPr>
      <w:rPr>
        <w:rFonts w:hint="default"/>
      </w:rPr>
    </w:lvl>
    <w:lvl w:ilvl="1">
      <w:start w:val="1"/>
      <w:numFmt w:val="decimal"/>
      <w:isLgl/>
      <w:lvlText w:val="%1.%2"/>
      <w:lvlJc w:val="left"/>
      <w:pPr>
        <w:ind w:left="1589" w:hanging="880"/>
      </w:pPr>
      <w:rPr>
        <w:rFonts w:hint="default"/>
        <w:sz w:val="20"/>
        <w:szCs w:val="20"/>
      </w:rPr>
    </w:lvl>
    <w:lvl w:ilvl="2">
      <w:start w:val="1"/>
      <w:numFmt w:val="decimal"/>
      <w:isLgl/>
      <w:lvlText w:val="%1.%2.%3"/>
      <w:lvlJc w:val="left"/>
      <w:pPr>
        <w:ind w:left="1589" w:hanging="8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5DE200CA"/>
    <w:multiLevelType w:val="multilevel"/>
    <w:tmpl w:val="0B2A99E2"/>
    <w:lvl w:ilvl="0">
      <w:start w:val="1"/>
      <w:numFmt w:val="decimal"/>
      <w:lvlText w:val="[%1]"/>
      <w:lvlJc w:val="left"/>
      <w:pPr>
        <w:ind w:left="0" w:firstLine="0"/>
      </w:pPr>
      <w:rPr>
        <w:rFonts w:hint="default"/>
      </w:rPr>
    </w:lvl>
    <w:lvl w:ilvl="1">
      <w:start w:val="1"/>
      <w:numFmt w:val="decimal"/>
      <w:lvlText w:val="(%1.%2)"/>
      <w:lvlJc w:val="left"/>
      <w:pPr>
        <w:tabs>
          <w:tab w:val="num" w:pos="567"/>
        </w:tabs>
        <w:ind w:left="567" w:firstLine="0"/>
      </w:pPr>
      <w:rPr>
        <w:rFonts w:hint="default"/>
      </w:rPr>
    </w:lvl>
    <w:lvl w:ilvl="2">
      <w:start w:val="1"/>
      <w:numFmt w:val="decimal"/>
      <w:lvlText w:val="(%1.%2.%3)"/>
      <w:lvlJc w:val="left"/>
      <w:pPr>
        <w:tabs>
          <w:tab w:val="num" w:pos="1134"/>
        </w:tabs>
        <w:ind w:left="1134" w:firstLine="0"/>
      </w:pPr>
      <w:rPr>
        <w:rFonts w:hint="default"/>
      </w:rPr>
    </w:lvl>
    <w:lvl w:ilvl="3">
      <w:start w:val="1"/>
      <w:numFmt w:val="decimal"/>
      <w:lvlText w:val="(%1.%2.%3.%4)"/>
      <w:lvlJc w:val="left"/>
      <w:pPr>
        <w:ind w:left="2268"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4A735C7"/>
    <w:multiLevelType w:val="multilevel"/>
    <w:tmpl w:val="0CC2CA18"/>
    <w:lvl w:ilvl="0">
      <w:start w:val="1"/>
      <w:numFmt w:val="decimal"/>
      <w:lvlText w:val="%1."/>
      <w:lvlJc w:val="left"/>
      <w:pPr>
        <w:ind w:left="1069" w:hanging="360"/>
      </w:pPr>
      <w:rPr>
        <w:rFonts w:hint="default"/>
      </w:rPr>
    </w:lvl>
    <w:lvl w:ilvl="1">
      <w:start w:val="1"/>
      <w:numFmt w:val="decimal"/>
      <w:isLgl/>
      <w:lvlText w:val="%1.%2"/>
      <w:lvlJc w:val="left"/>
      <w:pPr>
        <w:ind w:left="1589" w:hanging="880"/>
      </w:pPr>
      <w:rPr>
        <w:rFonts w:hint="default"/>
      </w:rPr>
    </w:lvl>
    <w:lvl w:ilvl="2">
      <w:start w:val="1"/>
      <w:numFmt w:val="decimal"/>
      <w:isLgl/>
      <w:lvlText w:val="%1.%2.%3"/>
      <w:lvlJc w:val="left"/>
      <w:pPr>
        <w:ind w:left="1589" w:hanging="8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6113F18"/>
    <w:multiLevelType w:val="multilevel"/>
    <w:tmpl w:val="4BFECC2A"/>
    <w:styleLink w:val="CurrentList1"/>
    <w:lvl w:ilvl="0">
      <w:start w:val="1"/>
      <w:numFmt w:val="decimal"/>
      <w:lvlText w:val="%1."/>
      <w:lvlJc w:val="left"/>
      <w:pPr>
        <w:ind w:left="567" w:hanging="567"/>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2268" w:hanging="2268"/>
      </w:pPr>
      <w:rPr>
        <w:rFonts w:hint="default"/>
      </w:rPr>
    </w:lvl>
    <w:lvl w:ilvl="4">
      <w:start w:val="1"/>
      <w:numFmt w:val="decimal"/>
      <w:lvlText w:val="%1.%2.%3.%4.%5."/>
      <w:lvlJc w:val="left"/>
      <w:pPr>
        <w:ind w:left="2835" w:hanging="2835"/>
      </w:pPr>
      <w:rPr>
        <w:rFonts w:hint="default"/>
      </w:rPr>
    </w:lvl>
    <w:lvl w:ilvl="5">
      <w:start w:val="1"/>
      <w:numFmt w:val="decimal"/>
      <w:lvlRestart w:val="0"/>
      <w:lvlText w:val="%1.%2.%3.%4.%5.%6."/>
      <w:lvlJc w:val="left"/>
      <w:pPr>
        <w:ind w:left="3402" w:hanging="340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75554FF"/>
    <w:multiLevelType w:val="hybridMultilevel"/>
    <w:tmpl w:val="D336654C"/>
    <w:lvl w:ilvl="0" w:tplc="7E46DB8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3"/>
  </w:num>
  <w:num w:numId="3">
    <w:abstractNumId w:val="0"/>
  </w:num>
  <w:num w:numId="4">
    <w:abstractNumId w:val="8"/>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0B"/>
    <w:rsid w:val="00007627"/>
    <w:rsid w:val="000129DC"/>
    <w:rsid w:val="00022E9A"/>
    <w:rsid w:val="00053A85"/>
    <w:rsid w:val="0005417E"/>
    <w:rsid w:val="00055903"/>
    <w:rsid w:val="000619ED"/>
    <w:rsid w:val="00070A6C"/>
    <w:rsid w:val="0008433C"/>
    <w:rsid w:val="00084C37"/>
    <w:rsid w:val="00091500"/>
    <w:rsid w:val="000926D9"/>
    <w:rsid w:val="0009784E"/>
    <w:rsid w:val="000B3E93"/>
    <w:rsid w:val="000E0F83"/>
    <w:rsid w:val="000E24F1"/>
    <w:rsid w:val="000E2DD4"/>
    <w:rsid w:val="0011231D"/>
    <w:rsid w:val="001426B8"/>
    <w:rsid w:val="00144C0A"/>
    <w:rsid w:val="001458F9"/>
    <w:rsid w:val="00163D12"/>
    <w:rsid w:val="00163F46"/>
    <w:rsid w:val="00195BAC"/>
    <w:rsid w:val="001B55B6"/>
    <w:rsid w:val="001E6C6A"/>
    <w:rsid w:val="002134EA"/>
    <w:rsid w:val="00237439"/>
    <w:rsid w:val="00260E9D"/>
    <w:rsid w:val="0026407B"/>
    <w:rsid w:val="0027064F"/>
    <w:rsid w:val="0027530B"/>
    <w:rsid w:val="002A66F2"/>
    <w:rsid w:val="002C4189"/>
    <w:rsid w:val="002D71D8"/>
    <w:rsid w:val="002F444F"/>
    <w:rsid w:val="002F4509"/>
    <w:rsid w:val="0030518C"/>
    <w:rsid w:val="00326343"/>
    <w:rsid w:val="00373B37"/>
    <w:rsid w:val="003768EF"/>
    <w:rsid w:val="003851E4"/>
    <w:rsid w:val="00386DC0"/>
    <w:rsid w:val="003A4DE6"/>
    <w:rsid w:val="003C5A9B"/>
    <w:rsid w:val="003D0E7C"/>
    <w:rsid w:val="003D752F"/>
    <w:rsid w:val="003F11A5"/>
    <w:rsid w:val="00400C13"/>
    <w:rsid w:val="00420E68"/>
    <w:rsid w:val="00434D64"/>
    <w:rsid w:val="00435809"/>
    <w:rsid w:val="00437853"/>
    <w:rsid w:val="004408D2"/>
    <w:rsid w:val="00457797"/>
    <w:rsid w:val="0047768A"/>
    <w:rsid w:val="004925C2"/>
    <w:rsid w:val="004A7235"/>
    <w:rsid w:val="004B025D"/>
    <w:rsid w:val="004C6BB4"/>
    <w:rsid w:val="004D3B94"/>
    <w:rsid w:val="004E087B"/>
    <w:rsid w:val="004E2D83"/>
    <w:rsid w:val="004F1252"/>
    <w:rsid w:val="00510037"/>
    <w:rsid w:val="0053658C"/>
    <w:rsid w:val="005410D6"/>
    <w:rsid w:val="00550718"/>
    <w:rsid w:val="005650B7"/>
    <w:rsid w:val="00566905"/>
    <w:rsid w:val="005768F7"/>
    <w:rsid w:val="00590D03"/>
    <w:rsid w:val="00596802"/>
    <w:rsid w:val="005E2757"/>
    <w:rsid w:val="00610DFB"/>
    <w:rsid w:val="00613C12"/>
    <w:rsid w:val="006178E0"/>
    <w:rsid w:val="00640F26"/>
    <w:rsid w:val="006732DD"/>
    <w:rsid w:val="006743BB"/>
    <w:rsid w:val="00681241"/>
    <w:rsid w:val="0068652C"/>
    <w:rsid w:val="006A0AB3"/>
    <w:rsid w:val="006A4746"/>
    <w:rsid w:val="006C1D69"/>
    <w:rsid w:val="006E3FE2"/>
    <w:rsid w:val="006E4571"/>
    <w:rsid w:val="00712B7C"/>
    <w:rsid w:val="00715162"/>
    <w:rsid w:val="00767AA2"/>
    <w:rsid w:val="007D0367"/>
    <w:rsid w:val="007D1563"/>
    <w:rsid w:val="007F3BC0"/>
    <w:rsid w:val="007F5699"/>
    <w:rsid w:val="008046AC"/>
    <w:rsid w:val="00822BD7"/>
    <w:rsid w:val="00834486"/>
    <w:rsid w:val="00865AD4"/>
    <w:rsid w:val="0087680B"/>
    <w:rsid w:val="008D25C1"/>
    <w:rsid w:val="008E2A92"/>
    <w:rsid w:val="00903CF7"/>
    <w:rsid w:val="00935683"/>
    <w:rsid w:val="00952FE9"/>
    <w:rsid w:val="009728D3"/>
    <w:rsid w:val="00976BB3"/>
    <w:rsid w:val="00990E09"/>
    <w:rsid w:val="00991932"/>
    <w:rsid w:val="00995B32"/>
    <w:rsid w:val="009A238C"/>
    <w:rsid w:val="009C21D3"/>
    <w:rsid w:val="009C2EF0"/>
    <w:rsid w:val="009D5327"/>
    <w:rsid w:val="00A02521"/>
    <w:rsid w:val="00A30172"/>
    <w:rsid w:val="00A615C9"/>
    <w:rsid w:val="00A6797C"/>
    <w:rsid w:val="00A9249F"/>
    <w:rsid w:val="00AB1AB9"/>
    <w:rsid w:val="00AB6271"/>
    <w:rsid w:val="00AF4F36"/>
    <w:rsid w:val="00AF5234"/>
    <w:rsid w:val="00AF7EFB"/>
    <w:rsid w:val="00B02D2C"/>
    <w:rsid w:val="00B03D6C"/>
    <w:rsid w:val="00B051D4"/>
    <w:rsid w:val="00B14DAA"/>
    <w:rsid w:val="00B37378"/>
    <w:rsid w:val="00B47574"/>
    <w:rsid w:val="00B56406"/>
    <w:rsid w:val="00B82E40"/>
    <w:rsid w:val="00B9442B"/>
    <w:rsid w:val="00BA1F76"/>
    <w:rsid w:val="00BB685B"/>
    <w:rsid w:val="00BB7390"/>
    <w:rsid w:val="00C05E3D"/>
    <w:rsid w:val="00C060CB"/>
    <w:rsid w:val="00C27EBF"/>
    <w:rsid w:val="00C72F23"/>
    <w:rsid w:val="00C738C0"/>
    <w:rsid w:val="00C77F48"/>
    <w:rsid w:val="00CB7E1C"/>
    <w:rsid w:val="00CD1C47"/>
    <w:rsid w:val="00CD3547"/>
    <w:rsid w:val="00CE3D39"/>
    <w:rsid w:val="00CE487C"/>
    <w:rsid w:val="00CE5136"/>
    <w:rsid w:val="00D0669E"/>
    <w:rsid w:val="00D440A4"/>
    <w:rsid w:val="00D538FF"/>
    <w:rsid w:val="00D76349"/>
    <w:rsid w:val="00D810F0"/>
    <w:rsid w:val="00DB5B13"/>
    <w:rsid w:val="00DB5B3E"/>
    <w:rsid w:val="00DD65B8"/>
    <w:rsid w:val="00DD73A2"/>
    <w:rsid w:val="00DE082A"/>
    <w:rsid w:val="00DF350D"/>
    <w:rsid w:val="00E05409"/>
    <w:rsid w:val="00E1734D"/>
    <w:rsid w:val="00E247C2"/>
    <w:rsid w:val="00E30E4A"/>
    <w:rsid w:val="00E8147C"/>
    <w:rsid w:val="00E856A4"/>
    <w:rsid w:val="00E86500"/>
    <w:rsid w:val="00E91584"/>
    <w:rsid w:val="00EA021E"/>
    <w:rsid w:val="00EA7280"/>
    <w:rsid w:val="00EC38D4"/>
    <w:rsid w:val="00F13352"/>
    <w:rsid w:val="00F402EE"/>
    <w:rsid w:val="00F40373"/>
    <w:rsid w:val="00F64630"/>
    <w:rsid w:val="00F64CC4"/>
    <w:rsid w:val="00F7662D"/>
    <w:rsid w:val="00F86EDC"/>
    <w:rsid w:val="00FA28C2"/>
    <w:rsid w:val="00FB23EC"/>
    <w:rsid w:val="00FC357F"/>
    <w:rsid w:val="00FC7203"/>
    <w:rsid w:val="00FE00F1"/>
    <w:rsid w:val="00FE79E0"/>
    <w:rsid w:val="00FF78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FDCC"/>
  <w15:chartTrackingRefBased/>
  <w15:docId w15:val="{3B22ECBD-8976-3B47-90ED-D81EB3B0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tima" w:eastAsiaTheme="minorHAnsi" w:hAnsi="Optima" w:cs="Arial Unicode MS"/>
        <w:color w:val="000000"/>
        <w:sz w:val="24"/>
        <w:szCs w:val="24"/>
        <w:u w:color="000000"/>
        <w:lang w:val="en-ZA" w:eastAsia="en-US" w:bidi="ar-SA"/>
      </w:rPr>
    </w:rPrDefault>
    <w:pPrDefault>
      <w:pPr>
        <w:spacing w:after="60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C12"/>
    <w:pPr>
      <w:spacing w:after="0" w:line="240" w:lineRule="auto"/>
      <w:jc w:val="left"/>
    </w:pPr>
    <w:rPr>
      <w:rFonts w:ascii="Times New Roman" w:eastAsia="Times New Roman" w:hAnsi="Times New Roman" w:cs="Times New Roman"/>
      <w:color w:val="auto"/>
      <w:lang w:eastAsia="en-GB"/>
    </w:rPr>
  </w:style>
  <w:style w:type="paragraph" w:styleId="Heading1">
    <w:name w:val="heading 1"/>
    <w:basedOn w:val="Normal"/>
    <w:next w:val="Normal"/>
    <w:link w:val="Heading1Char"/>
    <w:uiPriority w:val="9"/>
    <w:qFormat/>
    <w:rsid w:val="00E8147C"/>
    <w:pPr>
      <w:keepNext/>
      <w:pBdr>
        <w:top w:val="nil"/>
        <w:left w:val="nil"/>
        <w:bottom w:val="nil"/>
        <w:right w:val="nil"/>
        <w:between w:val="nil"/>
        <w:bar w:val="nil"/>
      </w:pBdr>
      <w:spacing w:after="360"/>
      <w:ind w:left="567" w:hanging="567"/>
      <w:outlineLvl w:val="0"/>
    </w:pPr>
    <w:rPr>
      <w:rFonts w:ascii="Arial" w:hAnsi="Arial"/>
      <w:b/>
      <w:bCs/>
      <w:lang w:val="en-US"/>
    </w:rPr>
  </w:style>
  <w:style w:type="paragraph" w:styleId="Heading2">
    <w:name w:val="heading 2"/>
    <w:basedOn w:val="Normal"/>
    <w:next w:val="Normal"/>
    <w:link w:val="Heading2Char"/>
    <w:uiPriority w:val="9"/>
    <w:unhideWhenUsed/>
    <w:qFormat/>
    <w:rsid w:val="0087680B"/>
    <w:pPr>
      <w:keepNext/>
      <w:spacing w:after="360" w:line="360" w:lineRule="auto"/>
      <w:jc w:val="both"/>
      <w:outlineLvl w:val="1"/>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parJP">
    <w:name w:val="Pleading par JP"/>
    <w:basedOn w:val="ListParagraph"/>
    <w:next w:val="Normal"/>
    <w:qFormat/>
    <w:rsid w:val="00E8147C"/>
    <w:pPr>
      <w:numPr>
        <w:numId w:val="2"/>
      </w:numPr>
      <w:contextualSpacing w:val="0"/>
    </w:pPr>
    <w:rPr>
      <w:rFonts w:ascii="Arial" w:eastAsia="Arial Unicode MS" w:hAnsi="Arial"/>
      <w:bdr w:val="nil"/>
      <w:lang w:val="en-GB"/>
    </w:rPr>
  </w:style>
  <w:style w:type="paragraph" w:styleId="ListParagraph">
    <w:name w:val="List Paragraph"/>
    <w:basedOn w:val="Normal"/>
    <w:uiPriority w:val="34"/>
    <w:qFormat/>
    <w:rsid w:val="0009784E"/>
    <w:pPr>
      <w:ind w:left="720"/>
      <w:contextualSpacing/>
    </w:pPr>
  </w:style>
  <w:style w:type="character" w:customStyle="1" w:styleId="Heading1Char">
    <w:name w:val="Heading 1 Char"/>
    <w:basedOn w:val="DefaultParagraphFont"/>
    <w:link w:val="Heading1"/>
    <w:uiPriority w:val="9"/>
    <w:rsid w:val="00E8147C"/>
    <w:rPr>
      <w:rFonts w:ascii="Arial" w:hAnsi="Arial" w:cs="Arial Unicode MS"/>
      <w:b/>
      <w:bCs/>
      <w:color w:val="000000"/>
      <w:u w:color="000000"/>
      <w:lang w:val="en-US"/>
    </w:rPr>
  </w:style>
  <w:style w:type="paragraph" w:styleId="NoSpacing">
    <w:name w:val="No Spacing"/>
    <w:uiPriority w:val="1"/>
    <w:qFormat/>
    <w:rsid w:val="000619ED"/>
    <w:pPr>
      <w:numPr>
        <w:ilvl w:val="5"/>
        <w:numId w:val="3"/>
      </w:numPr>
      <w:spacing w:after="0" w:line="240" w:lineRule="auto"/>
    </w:pPr>
  </w:style>
  <w:style w:type="numbering" w:customStyle="1" w:styleId="CurrentList1">
    <w:name w:val="Current List1"/>
    <w:uiPriority w:val="99"/>
    <w:rsid w:val="00435809"/>
    <w:pPr>
      <w:numPr>
        <w:numId w:val="4"/>
      </w:numPr>
    </w:pPr>
  </w:style>
  <w:style w:type="paragraph" w:styleId="FootnoteText">
    <w:name w:val="footnote text"/>
    <w:basedOn w:val="Normal"/>
    <w:link w:val="FootnoteTextChar"/>
    <w:semiHidden/>
    <w:unhideWhenUsed/>
    <w:rsid w:val="0027530B"/>
    <w:pPr>
      <w:jc w:val="both"/>
    </w:pPr>
    <w:rPr>
      <w:rFonts w:ascii="Optima" w:eastAsiaTheme="minorHAnsi" w:hAnsi="Optima" w:cs="Arial Unicode MS"/>
      <w:color w:val="000000"/>
      <w:sz w:val="20"/>
      <w:szCs w:val="20"/>
      <w:lang w:eastAsia="en-US"/>
    </w:rPr>
  </w:style>
  <w:style w:type="character" w:customStyle="1" w:styleId="FootnoteTextChar">
    <w:name w:val="Footnote Text Char"/>
    <w:basedOn w:val="DefaultParagraphFont"/>
    <w:link w:val="FootnoteText"/>
    <w:uiPriority w:val="99"/>
    <w:semiHidden/>
    <w:rsid w:val="0027530B"/>
    <w:rPr>
      <w:sz w:val="20"/>
      <w:szCs w:val="20"/>
    </w:rPr>
  </w:style>
  <w:style w:type="character" w:styleId="FootnoteReference">
    <w:name w:val="footnote reference"/>
    <w:basedOn w:val="DefaultParagraphFont"/>
    <w:semiHidden/>
    <w:unhideWhenUsed/>
    <w:rsid w:val="0027530B"/>
    <w:rPr>
      <w:vertAlign w:val="superscript"/>
    </w:rPr>
  </w:style>
  <w:style w:type="paragraph" w:styleId="Header">
    <w:name w:val="header"/>
    <w:basedOn w:val="Normal"/>
    <w:link w:val="HeaderChar"/>
    <w:uiPriority w:val="99"/>
    <w:unhideWhenUsed/>
    <w:rsid w:val="0027530B"/>
    <w:pPr>
      <w:tabs>
        <w:tab w:val="center" w:pos="4513"/>
        <w:tab w:val="right" w:pos="9026"/>
      </w:tabs>
    </w:pPr>
  </w:style>
  <w:style w:type="character" w:customStyle="1" w:styleId="HeaderChar">
    <w:name w:val="Header Char"/>
    <w:basedOn w:val="DefaultParagraphFont"/>
    <w:link w:val="Header"/>
    <w:uiPriority w:val="99"/>
    <w:rsid w:val="0027530B"/>
    <w:rPr>
      <w:rFonts w:ascii="Times New Roman" w:eastAsia="Times New Roman" w:hAnsi="Times New Roman" w:cs="Times New Roman"/>
      <w:color w:val="auto"/>
      <w:lang w:eastAsia="en-GB"/>
    </w:rPr>
  </w:style>
  <w:style w:type="character" w:styleId="PageNumber">
    <w:name w:val="page number"/>
    <w:basedOn w:val="DefaultParagraphFont"/>
    <w:uiPriority w:val="99"/>
    <w:semiHidden/>
    <w:unhideWhenUsed/>
    <w:rsid w:val="0027530B"/>
  </w:style>
  <w:style w:type="table" w:styleId="TableGrid">
    <w:name w:val="Table Grid"/>
    <w:basedOn w:val="TableNormal"/>
    <w:uiPriority w:val="39"/>
    <w:rsid w:val="0027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530B"/>
    <w:pPr>
      <w:tabs>
        <w:tab w:val="center" w:pos="4513"/>
        <w:tab w:val="right" w:pos="9026"/>
      </w:tabs>
    </w:pPr>
  </w:style>
  <w:style w:type="character" w:customStyle="1" w:styleId="FooterChar">
    <w:name w:val="Footer Char"/>
    <w:basedOn w:val="DefaultParagraphFont"/>
    <w:link w:val="Footer"/>
    <w:uiPriority w:val="99"/>
    <w:rsid w:val="0027530B"/>
    <w:rPr>
      <w:rFonts w:ascii="Times New Roman" w:eastAsia="Times New Roman" w:hAnsi="Times New Roman" w:cs="Times New Roman"/>
      <w:color w:val="auto"/>
      <w:lang w:eastAsia="en-GB"/>
    </w:rPr>
  </w:style>
  <w:style w:type="character" w:customStyle="1" w:styleId="Heading2Char">
    <w:name w:val="Heading 2 Char"/>
    <w:basedOn w:val="DefaultParagraphFont"/>
    <w:link w:val="Heading2"/>
    <w:uiPriority w:val="9"/>
    <w:rsid w:val="0087680B"/>
    <w:rPr>
      <w:rFonts w:ascii="Arial" w:eastAsia="Times New Roman" w:hAnsi="Arial" w:cs="Arial"/>
      <w:b/>
      <w:bCs/>
      <w:color w:val="auto"/>
      <w:lang w:val="en-GB" w:eastAsia="en-GB"/>
    </w:rPr>
  </w:style>
  <w:style w:type="character" w:styleId="CommentReference">
    <w:name w:val="annotation reference"/>
    <w:basedOn w:val="DefaultParagraphFont"/>
    <w:uiPriority w:val="99"/>
    <w:semiHidden/>
    <w:unhideWhenUsed/>
    <w:rsid w:val="00FB23EC"/>
    <w:rPr>
      <w:sz w:val="16"/>
      <w:szCs w:val="16"/>
    </w:rPr>
  </w:style>
  <w:style w:type="paragraph" w:styleId="CommentText">
    <w:name w:val="annotation text"/>
    <w:basedOn w:val="Normal"/>
    <w:link w:val="CommentTextChar"/>
    <w:uiPriority w:val="99"/>
    <w:semiHidden/>
    <w:unhideWhenUsed/>
    <w:rsid w:val="00FB23EC"/>
    <w:rPr>
      <w:sz w:val="20"/>
      <w:szCs w:val="20"/>
    </w:rPr>
  </w:style>
  <w:style w:type="character" w:customStyle="1" w:styleId="CommentTextChar">
    <w:name w:val="Comment Text Char"/>
    <w:basedOn w:val="DefaultParagraphFont"/>
    <w:link w:val="CommentText"/>
    <w:uiPriority w:val="99"/>
    <w:semiHidden/>
    <w:rsid w:val="00FB23EC"/>
    <w:rPr>
      <w:rFonts w:ascii="Times New Roman" w:eastAsia="Times New Roman" w:hAnsi="Times New Roman" w:cs="Times New Roman"/>
      <w:color w:val="auto"/>
      <w:sz w:val="20"/>
      <w:szCs w:val="20"/>
      <w:lang w:eastAsia="en-GB"/>
    </w:rPr>
  </w:style>
  <w:style w:type="paragraph" w:styleId="CommentSubject">
    <w:name w:val="annotation subject"/>
    <w:basedOn w:val="CommentText"/>
    <w:next w:val="CommentText"/>
    <w:link w:val="CommentSubjectChar"/>
    <w:uiPriority w:val="99"/>
    <w:semiHidden/>
    <w:unhideWhenUsed/>
    <w:rsid w:val="00FB23EC"/>
    <w:rPr>
      <w:b/>
      <w:bCs/>
    </w:rPr>
  </w:style>
  <w:style w:type="character" w:customStyle="1" w:styleId="CommentSubjectChar">
    <w:name w:val="Comment Subject Char"/>
    <w:basedOn w:val="CommentTextChar"/>
    <w:link w:val="CommentSubject"/>
    <w:uiPriority w:val="99"/>
    <w:semiHidden/>
    <w:rsid w:val="00FB23EC"/>
    <w:rPr>
      <w:rFonts w:ascii="Times New Roman" w:eastAsia="Times New Roman" w:hAnsi="Times New Roman" w:cs="Times New Roman"/>
      <w:b/>
      <w:bCs/>
      <w:color w:val="auto"/>
      <w:sz w:val="20"/>
      <w:szCs w:val="20"/>
      <w:lang w:eastAsia="en-GB"/>
    </w:rPr>
  </w:style>
  <w:style w:type="paragraph" w:customStyle="1" w:styleId="Myown">
    <w:name w:val="My own"/>
    <w:basedOn w:val="Normal"/>
    <w:rsid w:val="007D0367"/>
    <w:rPr>
      <w:lang w:eastAsia="en-US"/>
    </w:rPr>
  </w:style>
  <w:style w:type="character" w:customStyle="1" w:styleId="apple-converted-space">
    <w:name w:val="apple-converted-space"/>
    <w:basedOn w:val="DefaultParagraphFont"/>
    <w:rsid w:val="007D0367"/>
  </w:style>
  <w:style w:type="paragraph" w:customStyle="1" w:styleId="pri">
    <w:name w:val="pri"/>
    <w:basedOn w:val="Normal"/>
    <w:rsid w:val="007D0367"/>
    <w:pPr>
      <w:spacing w:before="100" w:beforeAutospacing="1" w:after="100" w:afterAutospacing="1"/>
    </w:pPr>
  </w:style>
  <w:style w:type="paragraph" w:customStyle="1" w:styleId="Default">
    <w:name w:val="Default"/>
    <w:rsid w:val="00F402EE"/>
    <w:pPr>
      <w:autoSpaceDE w:val="0"/>
      <w:autoSpaceDN w:val="0"/>
      <w:adjustRightInd w:val="0"/>
      <w:spacing w:after="0" w:line="240" w:lineRule="auto"/>
      <w:jc w:val="left"/>
    </w:pPr>
    <w:rPr>
      <w:rFonts w:ascii="Verdana" w:hAnsi="Verdana" w:cs="Verdana"/>
      <w:lang w:val="en-GB"/>
    </w:rPr>
  </w:style>
  <w:style w:type="character" w:styleId="Emphasis">
    <w:name w:val="Emphasis"/>
    <w:basedOn w:val="DefaultParagraphFont"/>
    <w:uiPriority w:val="20"/>
    <w:qFormat/>
    <w:rsid w:val="00163F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08DDB-AA45-4614-857A-47114C1B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6289</Words>
  <Characters>35849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Pretorius</dc:creator>
  <cp:keywords/>
  <dc:description/>
  <cp:lastModifiedBy>Lazarus Rakgwale</cp:lastModifiedBy>
  <cp:revision>2</cp:revision>
  <cp:lastPrinted>2021-10-19T07:52:00Z</cp:lastPrinted>
  <dcterms:created xsi:type="dcterms:W3CDTF">2021-10-25T14:36:00Z</dcterms:created>
  <dcterms:modified xsi:type="dcterms:W3CDTF">2021-10-25T14:36:00Z</dcterms:modified>
</cp:coreProperties>
</file>