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20CC2" w14:textId="5649542B" w:rsidR="00E568DB" w:rsidRDefault="00E568DB" w:rsidP="00E568DB">
      <w:pPr>
        <w:pStyle w:val="Title"/>
        <w:rPr>
          <w:sz w:val="24"/>
          <w:szCs w:val="24"/>
        </w:rPr>
      </w:pPr>
      <w:r>
        <w:rPr>
          <w:noProof/>
          <w:sz w:val="24"/>
          <w:szCs w:val="24"/>
          <w:lang w:eastAsia="en-ZA"/>
        </w:rPr>
        <w:drawing>
          <wp:inline distT="0" distB="0" distL="0" distR="0" wp14:anchorId="4D26F000" wp14:editId="2B8CDEBA">
            <wp:extent cx="1647825" cy="1571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inline>
        </w:drawing>
      </w:r>
    </w:p>
    <w:p w14:paraId="3A4069BC" w14:textId="77777777" w:rsidR="00E568DB" w:rsidRDefault="00E568DB" w:rsidP="00E568DB">
      <w:pPr>
        <w:pStyle w:val="Bold"/>
        <w:spacing w:before="0" w:after="0" w:line="240" w:lineRule="auto"/>
        <w:rPr>
          <w:rFonts w:ascii="Arial Black" w:hAnsi="Arial Black" w:cs="Arial"/>
          <w:b w:val="0"/>
          <w:bCs/>
          <w:sz w:val="24"/>
          <w:szCs w:val="24"/>
          <w:u w:val="none"/>
        </w:rPr>
      </w:pPr>
    </w:p>
    <w:p w14:paraId="5425236B" w14:textId="77777777" w:rsidR="00E568DB" w:rsidRDefault="00E568DB" w:rsidP="00E568DB">
      <w:pPr>
        <w:pStyle w:val="Bold"/>
        <w:spacing w:before="0" w:after="0" w:line="240" w:lineRule="auto"/>
        <w:rPr>
          <w:rFonts w:ascii="Arial Black" w:hAnsi="Arial Black" w:cs="Arial"/>
          <w:b w:val="0"/>
          <w:bCs/>
          <w:sz w:val="24"/>
          <w:szCs w:val="24"/>
          <w:u w:val="none"/>
        </w:rPr>
      </w:pPr>
      <w:r>
        <w:rPr>
          <w:rFonts w:ascii="Arial Black" w:hAnsi="Arial Black" w:cs="Arial"/>
          <w:b w:val="0"/>
          <w:bCs/>
          <w:sz w:val="24"/>
          <w:szCs w:val="24"/>
          <w:u w:val="none"/>
        </w:rPr>
        <w:t>IN THE HIGH COURT OF SOUTH AFRICA</w:t>
      </w:r>
    </w:p>
    <w:p w14:paraId="2FCC9CB5" w14:textId="77777777" w:rsidR="00E568DB" w:rsidRDefault="00E568DB" w:rsidP="00E568DB">
      <w:pPr>
        <w:pStyle w:val="Bold"/>
        <w:spacing w:before="0" w:after="0" w:line="240" w:lineRule="auto"/>
        <w:rPr>
          <w:rFonts w:ascii="Arial Black" w:hAnsi="Arial Black" w:cs="Arial"/>
          <w:b w:val="0"/>
          <w:bCs/>
          <w:sz w:val="24"/>
          <w:szCs w:val="24"/>
          <w:u w:val="none"/>
        </w:rPr>
      </w:pPr>
      <w:r>
        <w:rPr>
          <w:rFonts w:ascii="Arial Black" w:hAnsi="Arial Black" w:cs="Arial"/>
          <w:b w:val="0"/>
          <w:bCs/>
          <w:sz w:val="24"/>
          <w:szCs w:val="24"/>
          <w:u w:val="none"/>
        </w:rPr>
        <w:t>GAUTENG LOCAL DIVISION, JOHANNEBSURG</w:t>
      </w:r>
    </w:p>
    <w:p w14:paraId="57A4A79D" w14:textId="77777777" w:rsidR="00E568DB" w:rsidRDefault="00E568DB" w:rsidP="00E568DB">
      <w:pPr>
        <w:pStyle w:val="Bold"/>
        <w:spacing w:before="0" w:after="0" w:line="240" w:lineRule="auto"/>
        <w:rPr>
          <w:rFonts w:ascii="Arial Black" w:hAnsi="Arial Black" w:cs="Arial"/>
          <w:b w:val="0"/>
          <w:bCs/>
          <w:sz w:val="24"/>
          <w:szCs w:val="24"/>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tblGrid>
      <w:tr w:rsidR="00E568DB" w14:paraId="2B8C00BB" w14:textId="77777777" w:rsidTr="00E568DB">
        <w:trPr>
          <w:trHeight w:val="2417"/>
        </w:trPr>
        <w:tc>
          <w:tcPr>
            <w:tcW w:w="5328" w:type="dxa"/>
            <w:tcBorders>
              <w:top w:val="single" w:sz="4" w:space="0" w:color="auto"/>
              <w:left w:val="single" w:sz="4" w:space="0" w:color="auto"/>
              <w:bottom w:val="single" w:sz="4" w:space="0" w:color="auto"/>
              <w:right w:val="single" w:sz="4" w:space="0" w:color="auto"/>
            </w:tcBorders>
          </w:tcPr>
          <w:p w14:paraId="62BF2666" w14:textId="77777777" w:rsidR="00E568DB" w:rsidRDefault="00E568DB">
            <w:pPr>
              <w:pStyle w:val="Bold"/>
              <w:spacing w:before="0" w:after="0" w:line="240" w:lineRule="auto"/>
              <w:jc w:val="left"/>
              <w:rPr>
                <w:rFonts w:ascii="Arial Black" w:eastAsia="Times" w:hAnsi="Arial Black" w:cs="Arial"/>
                <w:b w:val="0"/>
                <w:bCs/>
                <w:sz w:val="24"/>
                <w:szCs w:val="24"/>
                <w:u w:val="none"/>
              </w:rPr>
            </w:pPr>
          </w:p>
          <w:p w14:paraId="5A30F444" w14:textId="008B5B53" w:rsidR="00E568DB" w:rsidRDefault="002454BA" w:rsidP="002454BA">
            <w:pPr>
              <w:widowControl/>
              <w:tabs>
                <w:tab w:val="left" w:pos="900"/>
              </w:tabs>
              <w:autoSpaceDE/>
              <w:autoSpaceDN/>
              <w:adjustRightInd/>
              <w:ind w:left="900" w:hanging="720"/>
              <w:rPr>
                <w:rFonts w:ascii="Century Gothic" w:eastAsia="Times" w:hAnsi="Century Gothic"/>
                <w:sz w:val="20"/>
                <w:szCs w:val="20"/>
              </w:rPr>
            </w:pPr>
            <w:r>
              <w:rPr>
                <w:rFonts w:ascii="Century Gothic" w:eastAsia="Times" w:hAnsi="Century Gothic"/>
                <w:sz w:val="20"/>
                <w:szCs w:val="20"/>
              </w:rPr>
              <w:t>(1)</w:t>
            </w:r>
            <w:r>
              <w:rPr>
                <w:rFonts w:ascii="Century Gothic" w:eastAsia="Times" w:hAnsi="Century Gothic"/>
                <w:sz w:val="20"/>
                <w:szCs w:val="20"/>
              </w:rPr>
              <w:tab/>
            </w:r>
            <w:r w:rsidR="00E568DB">
              <w:rPr>
                <w:rFonts w:ascii="Century Gothic" w:eastAsia="Times" w:hAnsi="Century Gothic"/>
                <w:sz w:val="20"/>
              </w:rPr>
              <w:t xml:space="preserve">REPORTABLE: </w:t>
            </w:r>
            <w:r w:rsidR="00C9400B">
              <w:rPr>
                <w:rFonts w:ascii="Century Gothic" w:eastAsia="Times" w:hAnsi="Century Gothic"/>
                <w:sz w:val="20"/>
              </w:rPr>
              <w:t xml:space="preserve">YES / </w:t>
            </w:r>
            <w:r w:rsidR="00E568DB">
              <w:rPr>
                <w:rFonts w:ascii="Century Gothic" w:eastAsia="Times" w:hAnsi="Century Gothic"/>
                <w:sz w:val="20"/>
              </w:rPr>
              <w:t>NO</w:t>
            </w:r>
          </w:p>
          <w:p w14:paraId="2317AD0C" w14:textId="0326BF73" w:rsidR="00E568DB" w:rsidRDefault="002454BA" w:rsidP="002454BA">
            <w:pPr>
              <w:widowControl/>
              <w:tabs>
                <w:tab w:val="left" w:pos="900"/>
              </w:tabs>
              <w:autoSpaceDE/>
              <w:autoSpaceDN/>
              <w:adjustRightInd/>
              <w:ind w:left="900" w:hanging="720"/>
              <w:rPr>
                <w:rFonts w:ascii="Century Gothic" w:eastAsia="Times" w:hAnsi="Century Gothic"/>
                <w:sz w:val="20"/>
              </w:rPr>
            </w:pPr>
            <w:r>
              <w:rPr>
                <w:rFonts w:ascii="Century Gothic" w:eastAsia="Times" w:hAnsi="Century Gothic"/>
                <w:sz w:val="20"/>
              </w:rPr>
              <w:t>(2)</w:t>
            </w:r>
            <w:r>
              <w:rPr>
                <w:rFonts w:ascii="Century Gothic" w:eastAsia="Times" w:hAnsi="Century Gothic"/>
                <w:sz w:val="20"/>
              </w:rPr>
              <w:tab/>
            </w:r>
            <w:r w:rsidR="00E568DB">
              <w:rPr>
                <w:rFonts w:ascii="Century Gothic" w:eastAsia="Times" w:hAnsi="Century Gothic"/>
                <w:sz w:val="20"/>
              </w:rPr>
              <w:t xml:space="preserve">OF INTEREST TO OTHER JUDGES: </w:t>
            </w:r>
            <w:r w:rsidR="00C9400B">
              <w:rPr>
                <w:rFonts w:ascii="Century Gothic" w:eastAsia="Times" w:hAnsi="Century Gothic"/>
                <w:sz w:val="20"/>
              </w:rPr>
              <w:t xml:space="preserve">YES / </w:t>
            </w:r>
            <w:r w:rsidR="00E568DB">
              <w:rPr>
                <w:rFonts w:ascii="Century Gothic" w:eastAsia="Times" w:hAnsi="Century Gothic"/>
                <w:sz w:val="20"/>
              </w:rPr>
              <w:t>NO</w:t>
            </w:r>
          </w:p>
          <w:p w14:paraId="5E565EC1" w14:textId="21E9030D" w:rsidR="00E568DB" w:rsidRDefault="002454BA" w:rsidP="002454BA">
            <w:pPr>
              <w:widowControl/>
              <w:tabs>
                <w:tab w:val="left" w:pos="900"/>
              </w:tabs>
              <w:autoSpaceDE/>
              <w:autoSpaceDN/>
              <w:adjustRightInd/>
              <w:ind w:left="900" w:hanging="720"/>
              <w:rPr>
                <w:rFonts w:ascii="Century Gothic" w:eastAsia="Times" w:hAnsi="Century Gothic"/>
                <w:sz w:val="20"/>
              </w:rPr>
            </w:pPr>
            <w:r>
              <w:rPr>
                <w:rFonts w:ascii="Century Gothic" w:eastAsia="Times" w:hAnsi="Century Gothic"/>
                <w:sz w:val="20"/>
              </w:rPr>
              <w:t>(3)</w:t>
            </w:r>
            <w:r>
              <w:rPr>
                <w:rFonts w:ascii="Century Gothic" w:eastAsia="Times" w:hAnsi="Century Gothic"/>
                <w:sz w:val="20"/>
              </w:rPr>
              <w:tab/>
            </w:r>
            <w:r w:rsidR="00E568DB">
              <w:rPr>
                <w:rFonts w:ascii="Century Gothic" w:eastAsia="Times" w:hAnsi="Century Gothic"/>
                <w:sz w:val="20"/>
              </w:rPr>
              <w:t>REVISED: YES</w:t>
            </w:r>
            <w:r w:rsidR="00C9400B">
              <w:rPr>
                <w:rFonts w:ascii="Century Gothic" w:eastAsia="Times" w:hAnsi="Century Gothic"/>
                <w:sz w:val="20"/>
              </w:rPr>
              <w:t xml:space="preserve"> / NO </w:t>
            </w:r>
          </w:p>
          <w:p w14:paraId="327DF133" w14:textId="77777777" w:rsidR="00E568DB" w:rsidRDefault="00E568DB">
            <w:pPr>
              <w:rPr>
                <w:rFonts w:ascii="Arial" w:eastAsia="Times" w:hAnsi="Arial" w:cs="Arial"/>
                <w:bCs/>
                <w:sz w:val="20"/>
              </w:rPr>
            </w:pPr>
          </w:p>
          <w:p w14:paraId="249AF843" w14:textId="46045889" w:rsidR="00E568DB" w:rsidRDefault="00E568DB">
            <w:pPr>
              <w:rPr>
                <w:rFonts w:eastAsia="Times" w:cs="Arial"/>
                <w:bCs/>
                <w:sz w:val="20"/>
              </w:rPr>
            </w:pPr>
            <w:r>
              <w:rPr>
                <w:rFonts w:eastAsia="Times" w:cs="Arial"/>
                <w:bCs/>
                <w:sz w:val="20"/>
              </w:rPr>
              <w:t xml:space="preserve">DATE: </w:t>
            </w:r>
          </w:p>
          <w:p w14:paraId="6832E7CC" w14:textId="77777777" w:rsidR="00E568DB" w:rsidRDefault="00E568DB">
            <w:pPr>
              <w:rPr>
                <w:rFonts w:eastAsia="Times" w:cs="Arial"/>
                <w:bCs/>
                <w:sz w:val="20"/>
              </w:rPr>
            </w:pPr>
            <w:r>
              <w:rPr>
                <w:rFonts w:eastAsia="Times" w:cs="Arial"/>
                <w:bCs/>
                <w:sz w:val="20"/>
              </w:rPr>
              <w:t>SIGNATURE OF ACTING JUDGE:</w:t>
            </w:r>
          </w:p>
          <w:p w14:paraId="03F36590" w14:textId="77777777" w:rsidR="00E568DB" w:rsidRDefault="00E568DB">
            <w:pPr>
              <w:pStyle w:val="Bold"/>
              <w:spacing w:before="0" w:after="0" w:line="240" w:lineRule="auto"/>
              <w:jc w:val="left"/>
              <w:rPr>
                <w:rFonts w:ascii="Arial Black" w:eastAsia="Times" w:hAnsi="Arial Black" w:cs="Arial"/>
                <w:b w:val="0"/>
                <w:bCs/>
                <w:sz w:val="24"/>
                <w:szCs w:val="24"/>
                <w:u w:val="none"/>
              </w:rPr>
            </w:pPr>
          </w:p>
        </w:tc>
      </w:tr>
    </w:tbl>
    <w:p w14:paraId="74838BDE" w14:textId="77777777" w:rsidR="001F57ED" w:rsidRPr="0018369A" w:rsidRDefault="001F57ED" w:rsidP="001F57ED">
      <w:pPr>
        <w:widowControl/>
        <w:spacing w:line="360" w:lineRule="auto"/>
        <w:jc w:val="both"/>
        <w:rPr>
          <w:rFonts w:ascii="Arial" w:hAnsi="Arial" w:cs="Arial"/>
          <w:lang w:val="en-GB"/>
        </w:rPr>
      </w:pPr>
    </w:p>
    <w:p w14:paraId="7599C5DF" w14:textId="234765BF" w:rsidR="001F57ED" w:rsidRDefault="001F57ED" w:rsidP="001F57ED">
      <w:pPr>
        <w:widowControl/>
        <w:spacing w:line="360" w:lineRule="auto"/>
        <w:ind w:left="5040" w:firstLine="720"/>
        <w:jc w:val="both"/>
        <w:rPr>
          <w:rFonts w:ascii="Arial" w:hAnsi="Arial" w:cs="Arial"/>
          <w:b/>
          <w:lang w:val="en-GB"/>
        </w:rPr>
      </w:pPr>
      <w:r>
        <w:rPr>
          <w:rFonts w:ascii="Arial" w:hAnsi="Arial" w:cs="Arial"/>
          <w:b/>
          <w:lang w:val="en-GB"/>
        </w:rPr>
        <w:t>CASE NUMBER: 2020/12079</w:t>
      </w:r>
    </w:p>
    <w:p w14:paraId="05170D62" w14:textId="60691688" w:rsidR="001F57ED" w:rsidRDefault="001F57ED" w:rsidP="001F57ED">
      <w:pPr>
        <w:widowControl/>
        <w:spacing w:line="360" w:lineRule="auto"/>
        <w:jc w:val="both"/>
        <w:rPr>
          <w:rFonts w:ascii="Arial" w:hAnsi="Arial" w:cs="Arial"/>
          <w:b/>
          <w:lang w:val="en-GB"/>
        </w:rPr>
      </w:pPr>
    </w:p>
    <w:p w14:paraId="1200E656" w14:textId="77777777" w:rsidR="001F57ED" w:rsidRDefault="001F57ED" w:rsidP="001F57ED">
      <w:pPr>
        <w:pStyle w:val="Myown"/>
        <w:tabs>
          <w:tab w:val="clear" w:pos="360"/>
        </w:tabs>
        <w:spacing w:before="0" w:after="0" w:line="240" w:lineRule="auto"/>
        <w:ind w:left="709" w:hanging="709"/>
        <w:rPr>
          <w:rFonts w:cs="Arial"/>
        </w:rPr>
      </w:pPr>
      <w:r>
        <w:rPr>
          <w:rFonts w:cs="Arial"/>
        </w:rPr>
        <w:t>In the matter between:</w:t>
      </w:r>
    </w:p>
    <w:p w14:paraId="479125B1" w14:textId="77777777" w:rsidR="001F57ED" w:rsidRDefault="001F57ED" w:rsidP="001F57ED">
      <w:pPr>
        <w:pStyle w:val="Myown"/>
        <w:tabs>
          <w:tab w:val="clear" w:pos="360"/>
        </w:tabs>
        <w:spacing w:before="0" w:after="0" w:line="240" w:lineRule="auto"/>
        <w:ind w:left="709" w:hanging="709"/>
        <w:rPr>
          <w:rFonts w:cs="Arial"/>
        </w:rPr>
      </w:pPr>
    </w:p>
    <w:p w14:paraId="265FD6D6" w14:textId="77777777" w:rsidR="001F57ED" w:rsidRDefault="001F57ED" w:rsidP="001F57ED">
      <w:pPr>
        <w:pStyle w:val="Myown"/>
        <w:tabs>
          <w:tab w:val="clear" w:pos="360"/>
        </w:tabs>
        <w:spacing w:before="0" w:after="0" w:line="240" w:lineRule="auto"/>
        <w:ind w:left="709" w:hanging="709"/>
        <w:rPr>
          <w:rFonts w:cs="Arial"/>
        </w:rPr>
      </w:pPr>
    </w:p>
    <w:p w14:paraId="7F3E1928" w14:textId="77777777" w:rsidR="001F57ED" w:rsidRDefault="001F57ED" w:rsidP="001F57ED">
      <w:pPr>
        <w:pStyle w:val="Myown"/>
        <w:tabs>
          <w:tab w:val="clear" w:pos="360"/>
        </w:tabs>
        <w:spacing w:before="0" w:after="0" w:line="360" w:lineRule="auto"/>
        <w:ind w:left="709" w:hanging="709"/>
        <w:rPr>
          <w:rFonts w:cs="Arial"/>
        </w:rPr>
      </w:pPr>
      <w:r>
        <w:rPr>
          <w:rFonts w:cs="Arial"/>
        </w:rPr>
        <w:t xml:space="preserve">LOCKSTOCK INVESTMENTS (PTY) LTD </w:t>
      </w:r>
    </w:p>
    <w:p w14:paraId="45C199EC" w14:textId="2DB2CE60" w:rsidR="001F57ED" w:rsidRDefault="001F57ED" w:rsidP="001F57ED">
      <w:pPr>
        <w:pStyle w:val="Myown"/>
        <w:tabs>
          <w:tab w:val="clear" w:pos="360"/>
        </w:tabs>
        <w:spacing w:before="0" w:after="0" w:line="360" w:lineRule="auto"/>
        <w:ind w:left="709" w:hanging="709"/>
        <w:rPr>
          <w:rFonts w:cs="Arial"/>
        </w:rPr>
      </w:pPr>
      <w:r>
        <w:rPr>
          <w:rFonts w:cs="Arial"/>
        </w:rPr>
        <w:t>AND 47 OTHERS</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Applicants  </w:t>
      </w:r>
    </w:p>
    <w:p w14:paraId="2F3AC5D5" w14:textId="77777777" w:rsidR="001F57ED" w:rsidRDefault="001F57ED" w:rsidP="001F57ED">
      <w:pPr>
        <w:pStyle w:val="Myown"/>
        <w:tabs>
          <w:tab w:val="clear" w:pos="360"/>
        </w:tabs>
        <w:spacing w:before="0" w:after="0" w:line="360" w:lineRule="auto"/>
        <w:ind w:left="709" w:hanging="709"/>
        <w:rPr>
          <w:rFonts w:cs="Arial"/>
        </w:rPr>
      </w:pPr>
    </w:p>
    <w:p w14:paraId="1E443168" w14:textId="77777777" w:rsidR="001F57ED" w:rsidRDefault="001F57ED" w:rsidP="001F57ED">
      <w:pPr>
        <w:pStyle w:val="Myown"/>
        <w:tabs>
          <w:tab w:val="clear" w:pos="360"/>
        </w:tabs>
        <w:spacing w:before="0" w:after="0" w:line="240" w:lineRule="auto"/>
        <w:ind w:left="709" w:hanging="709"/>
        <w:rPr>
          <w:rFonts w:cs="Arial"/>
        </w:rPr>
      </w:pPr>
      <w:r>
        <w:rPr>
          <w:rFonts w:cs="Arial"/>
        </w:rPr>
        <w:t>and</w:t>
      </w:r>
    </w:p>
    <w:p w14:paraId="392834E7" w14:textId="77777777" w:rsidR="001F57ED" w:rsidRDefault="001F57ED" w:rsidP="001F57ED">
      <w:pPr>
        <w:pStyle w:val="Myown"/>
        <w:tabs>
          <w:tab w:val="clear" w:pos="360"/>
        </w:tabs>
        <w:spacing w:before="0" w:after="0" w:line="240" w:lineRule="auto"/>
        <w:ind w:left="709" w:hanging="709"/>
        <w:rPr>
          <w:rFonts w:cs="Arial"/>
        </w:rPr>
      </w:pPr>
    </w:p>
    <w:p w14:paraId="56825EC1" w14:textId="77777777" w:rsidR="001F57ED" w:rsidRDefault="001F57ED" w:rsidP="001F57ED">
      <w:pPr>
        <w:pStyle w:val="Myown"/>
        <w:tabs>
          <w:tab w:val="clear" w:pos="360"/>
        </w:tabs>
        <w:spacing w:before="0" w:after="0" w:line="240" w:lineRule="auto"/>
        <w:ind w:left="709" w:hanging="709"/>
        <w:rPr>
          <w:rFonts w:cs="Arial"/>
        </w:rPr>
      </w:pPr>
    </w:p>
    <w:p w14:paraId="6279EDF9" w14:textId="669999EC" w:rsidR="001F57ED" w:rsidRDefault="001F57ED" w:rsidP="002B4EFE">
      <w:pPr>
        <w:pStyle w:val="Myown"/>
        <w:tabs>
          <w:tab w:val="clear" w:pos="360"/>
        </w:tabs>
        <w:spacing w:before="0" w:after="0" w:line="240" w:lineRule="auto"/>
        <w:ind w:left="709" w:hanging="709"/>
        <w:rPr>
          <w:rFonts w:cs="Arial"/>
        </w:rPr>
      </w:pPr>
      <w:r>
        <w:rPr>
          <w:rFonts w:cs="Arial"/>
        </w:rPr>
        <w:t xml:space="preserve">PETER VAN DEN STEEN N.O. </w:t>
      </w:r>
      <w:r>
        <w:rPr>
          <w:rFonts w:cs="Arial"/>
        </w:rPr>
        <w:tab/>
      </w:r>
      <w:r>
        <w:rPr>
          <w:rFonts w:cs="Arial"/>
        </w:rPr>
        <w:tab/>
      </w:r>
      <w:r>
        <w:rPr>
          <w:rFonts w:cs="Arial"/>
        </w:rPr>
        <w:tab/>
      </w:r>
      <w:r>
        <w:rPr>
          <w:rFonts w:cs="Arial"/>
        </w:rPr>
        <w:tab/>
      </w:r>
      <w:r>
        <w:rPr>
          <w:rFonts w:cs="Arial"/>
        </w:rPr>
        <w:tab/>
        <w:t>First Respondent</w:t>
      </w:r>
    </w:p>
    <w:p w14:paraId="7AAB5DD1" w14:textId="77777777" w:rsidR="001F57ED" w:rsidRDefault="001F57ED" w:rsidP="002B4EFE">
      <w:pPr>
        <w:pStyle w:val="Myown"/>
        <w:tabs>
          <w:tab w:val="clear" w:pos="360"/>
        </w:tabs>
        <w:spacing w:before="0" w:after="0" w:line="240" w:lineRule="auto"/>
        <w:ind w:left="709" w:hanging="709"/>
        <w:rPr>
          <w:rFonts w:cs="Arial"/>
        </w:rPr>
      </w:pPr>
    </w:p>
    <w:p w14:paraId="460DECD7" w14:textId="35C52141" w:rsidR="001F57ED" w:rsidRDefault="001F57ED" w:rsidP="002B4EFE">
      <w:pPr>
        <w:pStyle w:val="Myown"/>
        <w:tabs>
          <w:tab w:val="clear" w:pos="360"/>
        </w:tabs>
        <w:spacing w:before="0" w:after="0" w:line="240" w:lineRule="auto"/>
        <w:ind w:left="709" w:hanging="709"/>
        <w:rPr>
          <w:rFonts w:cs="Arial"/>
        </w:rPr>
      </w:pPr>
      <w:r>
        <w:rPr>
          <w:rFonts w:cs="Arial"/>
        </w:rPr>
        <w:t xml:space="preserve">DAVID LAKE N.O </w:t>
      </w:r>
      <w:r>
        <w:rPr>
          <w:rFonts w:cs="Arial"/>
        </w:rPr>
        <w:tab/>
      </w:r>
      <w:r>
        <w:rPr>
          <w:rFonts w:cs="Arial"/>
        </w:rPr>
        <w:tab/>
      </w:r>
      <w:r>
        <w:rPr>
          <w:rFonts w:cs="Arial"/>
        </w:rPr>
        <w:tab/>
      </w:r>
      <w:r>
        <w:rPr>
          <w:rFonts w:cs="Arial"/>
        </w:rPr>
        <w:tab/>
      </w:r>
      <w:r>
        <w:rPr>
          <w:rFonts w:cs="Arial"/>
        </w:rPr>
        <w:tab/>
      </w:r>
      <w:r>
        <w:rPr>
          <w:rFonts w:cs="Arial"/>
        </w:rPr>
        <w:tab/>
      </w:r>
      <w:r>
        <w:rPr>
          <w:rFonts w:cs="Arial"/>
        </w:rPr>
        <w:tab/>
        <w:t>Second Respondent</w:t>
      </w:r>
    </w:p>
    <w:p w14:paraId="5A37E4BF" w14:textId="77777777" w:rsidR="001F57ED" w:rsidRDefault="001F57ED" w:rsidP="002B4EFE">
      <w:pPr>
        <w:pStyle w:val="Myown"/>
        <w:tabs>
          <w:tab w:val="clear" w:pos="360"/>
        </w:tabs>
        <w:spacing w:before="0" w:after="0" w:line="240" w:lineRule="auto"/>
        <w:ind w:left="709" w:hanging="709"/>
        <w:rPr>
          <w:rFonts w:cs="Arial"/>
        </w:rPr>
      </w:pPr>
    </w:p>
    <w:p w14:paraId="1188E5C9" w14:textId="3FA3F1F9" w:rsidR="001F57ED" w:rsidRDefault="001F57ED" w:rsidP="002B4EFE">
      <w:pPr>
        <w:pStyle w:val="Myown"/>
        <w:tabs>
          <w:tab w:val="clear" w:pos="360"/>
        </w:tabs>
        <w:spacing w:before="0" w:after="0" w:line="240" w:lineRule="auto"/>
        <w:ind w:left="709" w:hanging="709"/>
        <w:rPr>
          <w:rFonts w:cs="Arial"/>
        </w:rPr>
      </w:pPr>
      <w:r>
        <w:rPr>
          <w:rFonts w:cs="Arial"/>
        </w:rPr>
        <w:t>GROUP FIVE LIMITED (in business rescue)</w:t>
      </w:r>
      <w:r>
        <w:rPr>
          <w:rFonts w:cs="Arial"/>
        </w:rPr>
        <w:tab/>
      </w:r>
      <w:r>
        <w:rPr>
          <w:rFonts w:cs="Arial"/>
        </w:rPr>
        <w:tab/>
      </w:r>
      <w:r>
        <w:rPr>
          <w:rFonts w:cs="Arial"/>
        </w:rPr>
        <w:tab/>
        <w:t>Third Respondent</w:t>
      </w:r>
    </w:p>
    <w:p w14:paraId="3989B252" w14:textId="728AB653" w:rsidR="001F57ED" w:rsidRDefault="001F57ED" w:rsidP="002B4EFE">
      <w:pPr>
        <w:pStyle w:val="Myown"/>
        <w:tabs>
          <w:tab w:val="clear" w:pos="360"/>
        </w:tabs>
        <w:spacing w:before="0" w:after="0" w:line="240" w:lineRule="auto"/>
        <w:ind w:left="709" w:hanging="709"/>
        <w:rPr>
          <w:rFonts w:cs="Arial"/>
        </w:rPr>
      </w:pPr>
    </w:p>
    <w:p w14:paraId="4E817361" w14:textId="54B7DBE3" w:rsidR="001F57ED" w:rsidRDefault="001F57ED" w:rsidP="002B4EFE">
      <w:pPr>
        <w:pStyle w:val="Myown"/>
        <w:tabs>
          <w:tab w:val="clear" w:pos="360"/>
        </w:tabs>
        <w:spacing w:before="0" w:after="0" w:line="240" w:lineRule="auto"/>
        <w:ind w:left="709" w:hanging="709"/>
        <w:rPr>
          <w:rFonts w:cs="Arial"/>
        </w:rPr>
      </w:pPr>
      <w:r>
        <w:rPr>
          <w:rFonts w:cs="Arial"/>
        </w:rPr>
        <w:t>STANDARD BANK OF SOUTH AFRICA LIMITED</w:t>
      </w:r>
      <w:r>
        <w:rPr>
          <w:rFonts w:cs="Arial"/>
        </w:rPr>
        <w:tab/>
      </w:r>
      <w:r>
        <w:rPr>
          <w:rFonts w:cs="Arial"/>
        </w:rPr>
        <w:tab/>
        <w:t>Fourth Respondent</w:t>
      </w:r>
    </w:p>
    <w:p w14:paraId="2C7B8090" w14:textId="18FFD9C6" w:rsidR="00CC47EF" w:rsidRDefault="00CC47EF" w:rsidP="002B4EFE">
      <w:pPr>
        <w:pStyle w:val="Myown"/>
        <w:tabs>
          <w:tab w:val="clear" w:pos="360"/>
        </w:tabs>
        <w:spacing w:before="0" w:after="0" w:line="240" w:lineRule="auto"/>
        <w:ind w:left="709" w:hanging="709"/>
        <w:rPr>
          <w:rFonts w:cs="Arial"/>
        </w:rPr>
      </w:pPr>
    </w:p>
    <w:p w14:paraId="2A524305" w14:textId="30D3AA0C" w:rsidR="00CC47EF" w:rsidRDefault="00CC47EF" w:rsidP="002B4EFE">
      <w:pPr>
        <w:pStyle w:val="Myown"/>
        <w:tabs>
          <w:tab w:val="clear" w:pos="360"/>
        </w:tabs>
        <w:spacing w:before="0" w:after="0" w:line="240" w:lineRule="auto"/>
        <w:ind w:left="709" w:hanging="709"/>
        <w:rPr>
          <w:rFonts w:cs="Arial"/>
        </w:rPr>
      </w:pPr>
      <w:r>
        <w:rPr>
          <w:rFonts w:cs="Arial"/>
        </w:rPr>
        <w:t xml:space="preserve">ABSA BANK LIMITED </w:t>
      </w:r>
      <w:r>
        <w:rPr>
          <w:rFonts w:cs="Arial"/>
        </w:rPr>
        <w:tab/>
      </w:r>
      <w:r>
        <w:rPr>
          <w:rFonts w:cs="Arial"/>
        </w:rPr>
        <w:tab/>
      </w:r>
      <w:r>
        <w:rPr>
          <w:rFonts w:cs="Arial"/>
        </w:rPr>
        <w:tab/>
      </w:r>
      <w:r>
        <w:rPr>
          <w:rFonts w:cs="Arial"/>
        </w:rPr>
        <w:tab/>
      </w:r>
      <w:r>
        <w:rPr>
          <w:rFonts w:cs="Arial"/>
        </w:rPr>
        <w:tab/>
      </w:r>
      <w:r>
        <w:rPr>
          <w:rFonts w:cs="Arial"/>
        </w:rPr>
        <w:tab/>
        <w:t>Fifth Respondent</w:t>
      </w:r>
    </w:p>
    <w:p w14:paraId="432F6786" w14:textId="0CA35F5E" w:rsidR="00CC47EF" w:rsidRDefault="00CC47EF" w:rsidP="002B4EFE">
      <w:pPr>
        <w:pStyle w:val="Myown"/>
        <w:tabs>
          <w:tab w:val="clear" w:pos="360"/>
        </w:tabs>
        <w:spacing w:before="0" w:after="0" w:line="240" w:lineRule="auto"/>
        <w:ind w:left="709" w:hanging="709"/>
        <w:rPr>
          <w:rFonts w:cs="Arial"/>
        </w:rPr>
      </w:pPr>
    </w:p>
    <w:p w14:paraId="3D167643" w14:textId="7420643E" w:rsidR="00CC47EF" w:rsidRDefault="00CC47EF" w:rsidP="002B4EFE">
      <w:pPr>
        <w:pStyle w:val="Myown"/>
        <w:tabs>
          <w:tab w:val="clear" w:pos="360"/>
        </w:tabs>
        <w:spacing w:before="0" w:after="0" w:line="240" w:lineRule="auto"/>
        <w:ind w:left="709" w:hanging="709"/>
        <w:rPr>
          <w:rFonts w:cs="Arial"/>
        </w:rPr>
      </w:pPr>
      <w:r>
        <w:rPr>
          <w:rFonts w:cs="Arial"/>
        </w:rPr>
        <w:t>FIRSTRAND BANK LIMITED</w:t>
      </w:r>
      <w:r>
        <w:rPr>
          <w:rFonts w:cs="Arial"/>
        </w:rPr>
        <w:tab/>
      </w:r>
      <w:r>
        <w:rPr>
          <w:rFonts w:cs="Arial"/>
        </w:rPr>
        <w:tab/>
      </w:r>
      <w:r>
        <w:rPr>
          <w:rFonts w:cs="Arial"/>
        </w:rPr>
        <w:tab/>
      </w:r>
      <w:r>
        <w:rPr>
          <w:rFonts w:cs="Arial"/>
        </w:rPr>
        <w:tab/>
      </w:r>
      <w:r>
        <w:rPr>
          <w:rFonts w:cs="Arial"/>
        </w:rPr>
        <w:tab/>
        <w:t>Sixth Respondent</w:t>
      </w:r>
    </w:p>
    <w:p w14:paraId="19B2A3C0" w14:textId="7540AEB9" w:rsidR="00CC47EF" w:rsidRDefault="00CC47EF" w:rsidP="002B4EFE">
      <w:pPr>
        <w:pStyle w:val="Myown"/>
        <w:tabs>
          <w:tab w:val="clear" w:pos="360"/>
        </w:tabs>
        <w:spacing w:before="0" w:after="0" w:line="240" w:lineRule="auto"/>
        <w:ind w:left="709" w:hanging="709"/>
        <w:rPr>
          <w:rFonts w:cs="Arial"/>
        </w:rPr>
      </w:pPr>
    </w:p>
    <w:p w14:paraId="4D7BF554" w14:textId="458E1941" w:rsidR="00CC47EF" w:rsidRDefault="00CC47EF" w:rsidP="002B4EFE">
      <w:pPr>
        <w:pStyle w:val="Myown"/>
        <w:tabs>
          <w:tab w:val="clear" w:pos="360"/>
        </w:tabs>
        <w:spacing w:before="0" w:after="0" w:line="240" w:lineRule="auto"/>
        <w:ind w:left="709" w:hanging="709"/>
        <w:rPr>
          <w:rFonts w:cs="Arial"/>
        </w:rPr>
      </w:pPr>
      <w:r>
        <w:rPr>
          <w:rFonts w:cs="Arial"/>
        </w:rPr>
        <w:lastRenderedPageBreak/>
        <w:t>HSBC BANK LIMITED</w:t>
      </w:r>
      <w:r>
        <w:rPr>
          <w:rFonts w:cs="Arial"/>
        </w:rPr>
        <w:tab/>
      </w:r>
      <w:r>
        <w:rPr>
          <w:rFonts w:cs="Arial"/>
        </w:rPr>
        <w:tab/>
      </w:r>
      <w:r>
        <w:rPr>
          <w:rFonts w:cs="Arial"/>
        </w:rPr>
        <w:tab/>
      </w:r>
      <w:r>
        <w:rPr>
          <w:rFonts w:cs="Arial"/>
        </w:rPr>
        <w:tab/>
      </w:r>
      <w:r>
        <w:rPr>
          <w:rFonts w:cs="Arial"/>
        </w:rPr>
        <w:tab/>
      </w:r>
      <w:r>
        <w:rPr>
          <w:rFonts w:cs="Arial"/>
        </w:rPr>
        <w:tab/>
        <w:t>Seventh Respondent</w:t>
      </w:r>
    </w:p>
    <w:p w14:paraId="776BAB8D" w14:textId="78A1315C" w:rsidR="00CC47EF" w:rsidRDefault="00CC47EF" w:rsidP="002B4EFE">
      <w:pPr>
        <w:pStyle w:val="Myown"/>
        <w:tabs>
          <w:tab w:val="clear" w:pos="360"/>
        </w:tabs>
        <w:spacing w:before="0" w:after="0" w:line="240" w:lineRule="auto"/>
        <w:ind w:left="709" w:hanging="709"/>
        <w:rPr>
          <w:rFonts w:cs="Arial"/>
        </w:rPr>
      </w:pPr>
    </w:p>
    <w:p w14:paraId="5AEFA16A" w14:textId="4FE81230" w:rsidR="00CC47EF" w:rsidRDefault="00CC47EF" w:rsidP="002B4EFE">
      <w:pPr>
        <w:pStyle w:val="Myown"/>
        <w:tabs>
          <w:tab w:val="clear" w:pos="360"/>
        </w:tabs>
        <w:spacing w:before="0" w:after="0" w:line="240" w:lineRule="auto"/>
        <w:ind w:left="709" w:hanging="709"/>
        <w:rPr>
          <w:rFonts w:cs="Arial"/>
        </w:rPr>
      </w:pPr>
      <w:r>
        <w:rPr>
          <w:rFonts w:cs="Arial"/>
        </w:rPr>
        <w:t>BOUNDARY TERRACES NO 14 (PTY) LTD</w:t>
      </w:r>
      <w:r>
        <w:rPr>
          <w:rFonts w:cs="Arial"/>
        </w:rPr>
        <w:tab/>
      </w:r>
      <w:r>
        <w:rPr>
          <w:rFonts w:cs="Arial"/>
        </w:rPr>
        <w:tab/>
      </w:r>
      <w:r>
        <w:rPr>
          <w:rFonts w:cs="Arial"/>
        </w:rPr>
        <w:tab/>
        <w:t>Eighth Respondent</w:t>
      </w:r>
    </w:p>
    <w:p w14:paraId="150EA5EA" w14:textId="6DFFB9C1" w:rsidR="00CC47EF" w:rsidRDefault="00CC47EF" w:rsidP="002B4EFE">
      <w:pPr>
        <w:pStyle w:val="Myown"/>
        <w:tabs>
          <w:tab w:val="clear" w:pos="360"/>
        </w:tabs>
        <w:spacing w:before="0" w:after="0" w:line="240" w:lineRule="auto"/>
        <w:ind w:left="709" w:hanging="709"/>
        <w:rPr>
          <w:rFonts w:cs="Arial"/>
        </w:rPr>
      </w:pPr>
    </w:p>
    <w:p w14:paraId="0686005A" w14:textId="122857E1" w:rsidR="00CC47EF" w:rsidRDefault="00CC47EF" w:rsidP="002B4EFE">
      <w:pPr>
        <w:pStyle w:val="Myown"/>
        <w:tabs>
          <w:tab w:val="clear" w:pos="360"/>
        </w:tabs>
        <w:spacing w:before="0" w:after="0" w:line="240" w:lineRule="auto"/>
        <w:ind w:left="709" w:hanging="709"/>
        <w:rPr>
          <w:rFonts w:cs="Arial"/>
        </w:rPr>
      </w:pPr>
      <w:r>
        <w:rPr>
          <w:rFonts w:cs="Arial"/>
        </w:rPr>
        <w:t>THE AFFECTED PERSONS OF GROUP FIVE LIMITED</w:t>
      </w:r>
      <w:r>
        <w:rPr>
          <w:rFonts w:cs="Arial"/>
        </w:rPr>
        <w:tab/>
        <w:t>Ninth Respondent</w:t>
      </w:r>
    </w:p>
    <w:p w14:paraId="728E4AE6" w14:textId="21C3B811" w:rsidR="00CC47EF" w:rsidRDefault="00CC47EF" w:rsidP="001F57ED">
      <w:pPr>
        <w:pStyle w:val="Myown"/>
        <w:tabs>
          <w:tab w:val="clear" w:pos="360"/>
        </w:tabs>
        <w:spacing w:before="0" w:after="0" w:line="276" w:lineRule="auto"/>
        <w:ind w:left="709" w:hanging="709"/>
        <w:rPr>
          <w:rFonts w:cs="Arial"/>
        </w:rPr>
      </w:pPr>
    </w:p>
    <w:p w14:paraId="0823A45F" w14:textId="77777777" w:rsidR="001F57ED" w:rsidRDefault="001F57ED" w:rsidP="001F57ED">
      <w:pPr>
        <w:pStyle w:val="Myown"/>
        <w:pBdr>
          <w:bottom w:val="single" w:sz="12" w:space="1" w:color="auto"/>
        </w:pBdr>
        <w:tabs>
          <w:tab w:val="clear" w:pos="360"/>
        </w:tabs>
        <w:spacing w:before="0" w:after="0" w:line="240" w:lineRule="auto"/>
        <w:ind w:left="709" w:hanging="709"/>
        <w:rPr>
          <w:rFonts w:cs="Arial"/>
        </w:rPr>
      </w:pPr>
    </w:p>
    <w:p w14:paraId="5A65973E" w14:textId="77777777" w:rsidR="001F57ED" w:rsidRDefault="001F57ED" w:rsidP="001F57ED">
      <w:pPr>
        <w:pStyle w:val="Myown"/>
        <w:tabs>
          <w:tab w:val="clear" w:pos="360"/>
        </w:tabs>
        <w:spacing w:before="0" w:after="0" w:line="240" w:lineRule="auto"/>
        <w:ind w:left="709" w:hanging="709"/>
        <w:rPr>
          <w:rFonts w:cs="Arial"/>
        </w:rPr>
      </w:pPr>
    </w:p>
    <w:p w14:paraId="06681159" w14:textId="77777777" w:rsidR="001F57ED" w:rsidRDefault="001F57ED" w:rsidP="001F57ED">
      <w:pPr>
        <w:pStyle w:val="Myown"/>
        <w:tabs>
          <w:tab w:val="clear" w:pos="360"/>
        </w:tabs>
        <w:spacing w:before="0" w:after="0" w:line="240" w:lineRule="auto"/>
        <w:ind w:left="709" w:hanging="709"/>
        <w:rPr>
          <w:rFonts w:cs="Arial"/>
        </w:rPr>
      </w:pPr>
    </w:p>
    <w:p w14:paraId="616E456B" w14:textId="77777777" w:rsidR="001F57ED" w:rsidRDefault="001F57ED" w:rsidP="001F57ED">
      <w:pPr>
        <w:pStyle w:val="Myown"/>
        <w:tabs>
          <w:tab w:val="clear" w:pos="360"/>
        </w:tabs>
        <w:spacing w:before="0" w:after="0" w:line="240" w:lineRule="auto"/>
        <w:ind w:left="709" w:hanging="709"/>
        <w:rPr>
          <w:rFonts w:cs="Arial"/>
        </w:rPr>
      </w:pPr>
      <w:r>
        <w:rPr>
          <w:rFonts w:cs="Arial"/>
        </w:rPr>
        <w:tab/>
      </w:r>
      <w:r>
        <w:rPr>
          <w:rFonts w:cs="Arial"/>
        </w:rPr>
        <w:tab/>
      </w:r>
      <w:r>
        <w:rPr>
          <w:rFonts w:cs="Arial"/>
        </w:rPr>
        <w:tab/>
      </w:r>
      <w:r>
        <w:rPr>
          <w:rFonts w:cs="Arial"/>
        </w:rPr>
        <w:tab/>
      </w:r>
      <w:r>
        <w:rPr>
          <w:rFonts w:cs="Arial"/>
        </w:rPr>
        <w:tab/>
      </w:r>
      <w:r>
        <w:rPr>
          <w:rFonts w:cs="Arial"/>
        </w:rPr>
        <w:tab/>
        <w:t xml:space="preserve">JUDGMENT  </w:t>
      </w:r>
    </w:p>
    <w:p w14:paraId="5E69FBA7" w14:textId="77777777" w:rsidR="001F57ED" w:rsidRDefault="001F57ED" w:rsidP="001F57ED">
      <w:pPr>
        <w:pStyle w:val="Myown"/>
        <w:pBdr>
          <w:bottom w:val="single" w:sz="12" w:space="1" w:color="auto"/>
        </w:pBdr>
        <w:tabs>
          <w:tab w:val="clear" w:pos="360"/>
        </w:tabs>
        <w:spacing w:before="0" w:after="0" w:line="240" w:lineRule="auto"/>
        <w:ind w:left="709" w:hanging="709"/>
        <w:rPr>
          <w:rFonts w:cs="Arial"/>
        </w:rPr>
      </w:pPr>
    </w:p>
    <w:p w14:paraId="22E81115" w14:textId="77777777" w:rsidR="001F57ED" w:rsidRDefault="001F57ED" w:rsidP="001F57ED">
      <w:pPr>
        <w:pStyle w:val="Myown"/>
        <w:tabs>
          <w:tab w:val="clear" w:pos="360"/>
        </w:tabs>
        <w:spacing w:before="0" w:after="0" w:line="240" w:lineRule="auto"/>
        <w:ind w:left="709" w:hanging="709"/>
        <w:rPr>
          <w:rFonts w:cs="Arial"/>
        </w:rPr>
      </w:pPr>
    </w:p>
    <w:p w14:paraId="3BE41D2F" w14:textId="77777777" w:rsidR="001F57ED" w:rsidRPr="00651A53" w:rsidRDefault="001F57ED" w:rsidP="001F57ED">
      <w:pPr>
        <w:pStyle w:val="Myown"/>
        <w:tabs>
          <w:tab w:val="clear" w:pos="360"/>
        </w:tabs>
        <w:spacing w:before="0" w:after="0" w:line="240" w:lineRule="auto"/>
        <w:ind w:left="709" w:hanging="709"/>
        <w:rPr>
          <w:rFonts w:cs="Arial"/>
          <w:b/>
          <w:bCs/>
          <w:u w:val="single"/>
        </w:rPr>
      </w:pPr>
      <w:proofErr w:type="gramStart"/>
      <w:r w:rsidRPr="00651A53">
        <w:rPr>
          <w:rFonts w:cs="Arial"/>
          <w:b/>
          <w:bCs/>
          <w:u w:val="single"/>
        </w:rPr>
        <w:t xml:space="preserve">ALI </w:t>
      </w:r>
      <w:r>
        <w:rPr>
          <w:rFonts w:cs="Arial"/>
          <w:b/>
          <w:bCs/>
          <w:u w:val="single"/>
        </w:rPr>
        <w:t xml:space="preserve"> </w:t>
      </w:r>
      <w:r w:rsidRPr="00651A53">
        <w:rPr>
          <w:rFonts w:cs="Arial"/>
          <w:b/>
          <w:bCs/>
          <w:u w:val="single"/>
        </w:rPr>
        <w:t>AJ</w:t>
      </w:r>
      <w:proofErr w:type="gramEnd"/>
    </w:p>
    <w:p w14:paraId="3A924682" w14:textId="0EDADBFA" w:rsidR="001F57ED" w:rsidRDefault="001F57ED" w:rsidP="001F57ED">
      <w:pPr>
        <w:widowControl/>
        <w:spacing w:line="360" w:lineRule="auto"/>
        <w:jc w:val="both"/>
        <w:rPr>
          <w:rFonts w:ascii="Arial" w:hAnsi="Arial" w:cs="Arial"/>
          <w:b/>
          <w:lang w:val="en-GB"/>
        </w:rPr>
      </w:pPr>
    </w:p>
    <w:p w14:paraId="08D6E28E" w14:textId="20A3FE68" w:rsidR="00CE1448" w:rsidRDefault="008A1D4B" w:rsidP="008A1D4B">
      <w:pPr>
        <w:widowControl/>
        <w:spacing w:line="480" w:lineRule="auto"/>
        <w:ind w:left="709" w:hanging="709"/>
        <w:jc w:val="both"/>
        <w:rPr>
          <w:rFonts w:ascii="Arial" w:hAnsi="Arial" w:cs="Arial"/>
          <w:bCs/>
          <w:lang w:val="en-GB"/>
        </w:rPr>
      </w:pPr>
      <w:r>
        <w:rPr>
          <w:rFonts w:ascii="Arial" w:hAnsi="Arial" w:cs="Arial"/>
          <w:bCs/>
          <w:lang w:val="en-GB"/>
        </w:rPr>
        <w:t>[1]</w:t>
      </w:r>
      <w:r>
        <w:rPr>
          <w:rFonts w:ascii="Arial" w:hAnsi="Arial" w:cs="Arial"/>
          <w:bCs/>
          <w:lang w:val="en-GB"/>
        </w:rPr>
        <w:tab/>
      </w:r>
      <w:r w:rsidR="00695544">
        <w:rPr>
          <w:rFonts w:ascii="Arial" w:hAnsi="Arial" w:cs="Arial"/>
          <w:bCs/>
          <w:lang w:val="en-GB"/>
        </w:rPr>
        <w:t>T</w:t>
      </w:r>
      <w:r w:rsidR="00D7110F">
        <w:rPr>
          <w:rFonts w:ascii="Arial" w:hAnsi="Arial" w:cs="Arial"/>
          <w:bCs/>
          <w:lang w:val="en-GB"/>
        </w:rPr>
        <w:t xml:space="preserve">he </w:t>
      </w:r>
      <w:r w:rsidR="0041138C">
        <w:rPr>
          <w:rFonts w:ascii="Arial" w:hAnsi="Arial" w:cs="Arial"/>
          <w:bCs/>
          <w:lang w:val="en-GB"/>
        </w:rPr>
        <w:t xml:space="preserve">first and second </w:t>
      </w:r>
      <w:r w:rsidR="00985FA6">
        <w:rPr>
          <w:rFonts w:ascii="Arial" w:hAnsi="Arial" w:cs="Arial"/>
          <w:bCs/>
          <w:lang w:val="en-GB"/>
        </w:rPr>
        <w:t xml:space="preserve">respondents </w:t>
      </w:r>
      <w:r w:rsidR="003001E7">
        <w:rPr>
          <w:rFonts w:ascii="Arial" w:hAnsi="Arial" w:cs="Arial"/>
          <w:bCs/>
          <w:lang w:val="en-GB"/>
        </w:rPr>
        <w:t xml:space="preserve">are the business </w:t>
      </w:r>
      <w:r w:rsidR="00064554">
        <w:rPr>
          <w:rFonts w:ascii="Arial" w:hAnsi="Arial" w:cs="Arial"/>
          <w:bCs/>
          <w:lang w:val="en-GB"/>
        </w:rPr>
        <w:t>rescue practitioners</w:t>
      </w:r>
      <w:r w:rsidR="00CA6113">
        <w:rPr>
          <w:rFonts w:ascii="Arial" w:hAnsi="Arial" w:cs="Arial"/>
          <w:bCs/>
          <w:lang w:val="en-GB"/>
        </w:rPr>
        <w:t>, the third respondent is the company in business rescue,</w:t>
      </w:r>
      <w:r w:rsidR="00583AA5">
        <w:rPr>
          <w:rFonts w:ascii="Arial" w:hAnsi="Arial" w:cs="Arial"/>
          <w:bCs/>
          <w:lang w:val="en-GB"/>
        </w:rPr>
        <w:t xml:space="preserve"> they</w:t>
      </w:r>
      <w:r w:rsidR="00CA6113">
        <w:rPr>
          <w:rFonts w:ascii="Arial" w:hAnsi="Arial" w:cs="Arial"/>
          <w:bCs/>
          <w:lang w:val="en-GB"/>
        </w:rPr>
        <w:t xml:space="preserve"> are the</w:t>
      </w:r>
      <w:r w:rsidR="00064554">
        <w:rPr>
          <w:rFonts w:ascii="Arial" w:hAnsi="Arial" w:cs="Arial"/>
          <w:bCs/>
          <w:lang w:val="en-GB"/>
        </w:rPr>
        <w:t xml:space="preserve"> </w:t>
      </w:r>
      <w:r w:rsidR="00D7110F">
        <w:rPr>
          <w:rFonts w:ascii="Arial" w:hAnsi="Arial" w:cs="Arial"/>
          <w:bCs/>
          <w:lang w:val="en-GB"/>
        </w:rPr>
        <w:t xml:space="preserve">applicants </w:t>
      </w:r>
      <w:r w:rsidR="00DD0395">
        <w:rPr>
          <w:rFonts w:ascii="Arial" w:hAnsi="Arial" w:cs="Arial"/>
          <w:bCs/>
          <w:lang w:val="en-GB"/>
        </w:rPr>
        <w:t>in this matter</w:t>
      </w:r>
      <w:r w:rsidR="00E60437">
        <w:rPr>
          <w:rFonts w:ascii="Arial" w:hAnsi="Arial" w:cs="Arial"/>
          <w:bCs/>
          <w:lang w:val="en-GB"/>
        </w:rPr>
        <w:t xml:space="preserve"> </w:t>
      </w:r>
      <w:r w:rsidR="00BC6105">
        <w:rPr>
          <w:rFonts w:ascii="Arial" w:hAnsi="Arial" w:cs="Arial"/>
          <w:bCs/>
          <w:lang w:val="en-GB"/>
        </w:rPr>
        <w:t xml:space="preserve">and </w:t>
      </w:r>
      <w:r w:rsidR="00E60437">
        <w:rPr>
          <w:rFonts w:ascii="Arial" w:hAnsi="Arial" w:cs="Arial"/>
          <w:bCs/>
          <w:lang w:val="en-GB"/>
        </w:rPr>
        <w:t xml:space="preserve">shall be referred to as </w:t>
      </w:r>
      <w:r w:rsidR="003874A6">
        <w:rPr>
          <w:rFonts w:ascii="Arial" w:hAnsi="Arial" w:cs="Arial"/>
          <w:bCs/>
          <w:lang w:val="en-GB"/>
        </w:rPr>
        <w:t>(“the BRPs”)</w:t>
      </w:r>
      <w:r w:rsidR="004E7D60">
        <w:rPr>
          <w:rFonts w:ascii="Arial" w:hAnsi="Arial" w:cs="Arial"/>
          <w:bCs/>
          <w:lang w:val="en-GB"/>
        </w:rPr>
        <w:t xml:space="preserve">.  The </w:t>
      </w:r>
      <w:r w:rsidR="002E0ED9">
        <w:rPr>
          <w:rFonts w:ascii="Arial" w:hAnsi="Arial" w:cs="Arial"/>
          <w:bCs/>
          <w:lang w:val="en-GB"/>
        </w:rPr>
        <w:t xml:space="preserve">respondents in this application </w:t>
      </w:r>
      <w:r w:rsidR="007D7D75">
        <w:rPr>
          <w:rFonts w:ascii="Arial" w:hAnsi="Arial" w:cs="Arial"/>
          <w:bCs/>
          <w:lang w:val="en-GB"/>
        </w:rPr>
        <w:t xml:space="preserve">are the </w:t>
      </w:r>
      <w:r w:rsidR="004E7D60">
        <w:rPr>
          <w:rFonts w:ascii="Arial" w:hAnsi="Arial" w:cs="Arial"/>
          <w:bCs/>
          <w:lang w:val="en-GB"/>
        </w:rPr>
        <w:t>applicants in the main application</w:t>
      </w:r>
      <w:r w:rsidR="007D7D75">
        <w:rPr>
          <w:rFonts w:ascii="Arial" w:hAnsi="Arial" w:cs="Arial"/>
          <w:bCs/>
          <w:lang w:val="en-GB"/>
        </w:rPr>
        <w:t xml:space="preserve"> </w:t>
      </w:r>
      <w:r w:rsidR="00583AA5">
        <w:rPr>
          <w:rFonts w:ascii="Arial" w:hAnsi="Arial" w:cs="Arial"/>
          <w:bCs/>
          <w:lang w:val="en-GB"/>
        </w:rPr>
        <w:t xml:space="preserve">and </w:t>
      </w:r>
      <w:r w:rsidR="007D7D75">
        <w:rPr>
          <w:rFonts w:ascii="Arial" w:hAnsi="Arial" w:cs="Arial"/>
          <w:bCs/>
          <w:lang w:val="en-GB"/>
        </w:rPr>
        <w:t xml:space="preserve">shall be referred to as </w:t>
      </w:r>
      <w:r w:rsidR="00F264DD">
        <w:rPr>
          <w:rFonts w:ascii="Arial" w:hAnsi="Arial" w:cs="Arial"/>
          <w:bCs/>
          <w:lang w:val="en-GB"/>
        </w:rPr>
        <w:t>(“</w:t>
      </w:r>
      <w:proofErr w:type="spellStart"/>
      <w:r w:rsidR="00F264DD">
        <w:rPr>
          <w:rFonts w:ascii="Arial" w:hAnsi="Arial" w:cs="Arial"/>
          <w:bCs/>
          <w:lang w:val="en-GB"/>
        </w:rPr>
        <w:t>Lockstock</w:t>
      </w:r>
      <w:proofErr w:type="spellEnd"/>
      <w:r w:rsidR="00F264DD">
        <w:rPr>
          <w:rFonts w:ascii="Arial" w:hAnsi="Arial" w:cs="Arial"/>
          <w:bCs/>
          <w:lang w:val="en-GB"/>
        </w:rPr>
        <w:t>”)</w:t>
      </w:r>
      <w:r w:rsidR="003B0A05">
        <w:rPr>
          <w:rFonts w:ascii="Arial" w:hAnsi="Arial" w:cs="Arial"/>
          <w:bCs/>
          <w:lang w:val="en-GB"/>
        </w:rPr>
        <w:t xml:space="preserve">. The BRPs </w:t>
      </w:r>
      <w:r w:rsidR="00DD0395">
        <w:rPr>
          <w:rFonts w:ascii="Arial" w:hAnsi="Arial" w:cs="Arial"/>
          <w:bCs/>
          <w:lang w:val="en-GB"/>
        </w:rPr>
        <w:t>have laun</w:t>
      </w:r>
      <w:r w:rsidR="00B76BB6">
        <w:rPr>
          <w:rFonts w:ascii="Arial" w:hAnsi="Arial" w:cs="Arial"/>
          <w:bCs/>
          <w:lang w:val="en-GB"/>
        </w:rPr>
        <w:t>ched a rule 30(2)</w:t>
      </w:r>
      <w:r w:rsidR="009A150A">
        <w:rPr>
          <w:rFonts w:ascii="Arial" w:hAnsi="Arial" w:cs="Arial"/>
          <w:bCs/>
          <w:lang w:val="en-GB"/>
        </w:rPr>
        <w:t xml:space="preserve">(b) </w:t>
      </w:r>
      <w:r w:rsidR="000A4963">
        <w:rPr>
          <w:rFonts w:ascii="Arial" w:hAnsi="Arial" w:cs="Arial"/>
          <w:bCs/>
          <w:lang w:val="en-GB"/>
        </w:rPr>
        <w:t xml:space="preserve">application. </w:t>
      </w:r>
    </w:p>
    <w:p w14:paraId="5AEDC49F" w14:textId="77777777" w:rsidR="00F7272A" w:rsidRDefault="00F7272A" w:rsidP="000D350D">
      <w:pPr>
        <w:spacing w:line="480" w:lineRule="auto"/>
        <w:rPr>
          <w:rFonts w:ascii="Arial" w:hAnsi="Arial" w:cs="Arial"/>
        </w:rPr>
      </w:pPr>
    </w:p>
    <w:p w14:paraId="3F884DEC" w14:textId="0D6D3048" w:rsidR="00CD4961" w:rsidRDefault="008A1D4B" w:rsidP="008A1D4B">
      <w:pPr>
        <w:spacing w:line="480" w:lineRule="auto"/>
        <w:ind w:left="709" w:hanging="709"/>
        <w:rPr>
          <w:rFonts w:ascii="Arial" w:hAnsi="Arial" w:cs="Arial"/>
        </w:rPr>
      </w:pPr>
      <w:r>
        <w:rPr>
          <w:rFonts w:ascii="Arial" w:hAnsi="Arial" w:cs="Arial"/>
        </w:rPr>
        <w:t>[2]</w:t>
      </w:r>
      <w:r>
        <w:rPr>
          <w:rFonts w:ascii="Arial" w:hAnsi="Arial" w:cs="Arial"/>
        </w:rPr>
        <w:tab/>
      </w:r>
      <w:r w:rsidR="000D350D" w:rsidRPr="0035772C">
        <w:rPr>
          <w:rFonts w:ascii="Arial" w:hAnsi="Arial" w:cs="Arial"/>
        </w:rPr>
        <w:t xml:space="preserve">The </w:t>
      </w:r>
      <w:r w:rsidR="0050733B">
        <w:rPr>
          <w:rFonts w:ascii="Arial" w:hAnsi="Arial" w:cs="Arial"/>
        </w:rPr>
        <w:t xml:space="preserve">relief sought by the </w:t>
      </w:r>
      <w:r w:rsidR="00981A08">
        <w:rPr>
          <w:rFonts w:ascii="Arial" w:hAnsi="Arial" w:cs="Arial"/>
        </w:rPr>
        <w:t>BRPs</w:t>
      </w:r>
      <w:r w:rsidR="001D2FAE">
        <w:rPr>
          <w:rFonts w:ascii="Arial" w:hAnsi="Arial" w:cs="Arial"/>
        </w:rPr>
        <w:t xml:space="preserve"> </w:t>
      </w:r>
      <w:r w:rsidR="00B65B79">
        <w:rPr>
          <w:rFonts w:ascii="Arial" w:hAnsi="Arial" w:cs="Arial"/>
        </w:rPr>
        <w:t xml:space="preserve">is to set aside the </w:t>
      </w:r>
      <w:r w:rsidR="00AD0547">
        <w:rPr>
          <w:rFonts w:ascii="Arial" w:hAnsi="Arial" w:cs="Arial"/>
        </w:rPr>
        <w:t xml:space="preserve">notice of motion and founding affidavit </w:t>
      </w:r>
      <w:r w:rsidR="0087774F">
        <w:rPr>
          <w:rFonts w:ascii="Arial" w:hAnsi="Arial" w:cs="Arial"/>
        </w:rPr>
        <w:t xml:space="preserve">of </w:t>
      </w:r>
      <w:proofErr w:type="spellStart"/>
      <w:r w:rsidR="00CD11D4">
        <w:rPr>
          <w:rFonts w:ascii="Arial" w:hAnsi="Arial" w:cs="Arial"/>
        </w:rPr>
        <w:t>Lockstock</w:t>
      </w:r>
      <w:proofErr w:type="spellEnd"/>
      <w:r w:rsidR="00CD11D4">
        <w:rPr>
          <w:rFonts w:ascii="Arial" w:hAnsi="Arial" w:cs="Arial"/>
        </w:rPr>
        <w:t xml:space="preserve"> in </w:t>
      </w:r>
      <w:r w:rsidR="0087774F">
        <w:rPr>
          <w:rFonts w:ascii="Arial" w:hAnsi="Arial" w:cs="Arial"/>
        </w:rPr>
        <w:t>the main claim</w:t>
      </w:r>
      <w:r w:rsidR="00CD11D4">
        <w:rPr>
          <w:rFonts w:ascii="Arial" w:hAnsi="Arial" w:cs="Arial"/>
        </w:rPr>
        <w:t>. I</w:t>
      </w:r>
      <w:r w:rsidR="00190F30">
        <w:rPr>
          <w:rFonts w:ascii="Arial" w:hAnsi="Arial" w:cs="Arial"/>
        </w:rPr>
        <w:t xml:space="preserve">n the </w:t>
      </w:r>
      <w:r w:rsidR="005E15D7">
        <w:rPr>
          <w:rFonts w:ascii="Arial" w:hAnsi="Arial" w:cs="Arial"/>
        </w:rPr>
        <w:t xml:space="preserve">alternative </w:t>
      </w:r>
      <w:r w:rsidR="00190F30">
        <w:rPr>
          <w:rFonts w:ascii="Arial" w:hAnsi="Arial" w:cs="Arial"/>
        </w:rPr>
        <w:t>the</w:t>
      </w:r>
      <w:r w:rsidR="00141E94">
        <w:rPr>
          <w:rFonts w:ascii="Arial" w:hAnsi="Arial" w:cs="Arial"/>
        </w:rPr>
        <w:t>y</w:t>
      </w:r>
      <w:r w:rsidR="00190F30">
        <w:rPr>
          <w:rFonts w:ascii="Arial" w:hAnsi="Arial" w:cs="Arial"/>
        </w:rPr>
        <w:t xml:space="preserve"> seek </w:t>
      </w:r>
      <w:r w:rsidR="005E15D7">
        <w:rPr>
          <w:rFonts w:ascii="Arial" w:hAnsi="Arial" w:cs="Arial"/>
        </w:rPr>
        <w:t xml:space="preserve">to set aside that portion of the </w:t>
      </w:r>
      <w:r w:rsidR="004921C7">
        <w:rPr>
          <w:rFonts w:ascii="Arial" w:hAnsi="Arial" w:cs="Arial"/>
        </w:rPr>
        <w:t xml:space="preserve">notice </w:t>
      </w:r>
      <w:r w:rsidR="000D350D">
        <w:rPr>
          <w:rFonts w:ascii="Arial" w:hAnsi="Arial" w:cs="Arial"/>
        </w:rPr>
        <w:t>of motion that requires the</w:t>
      </w:r>
      <w:r w:rsidR="00632F98">
        <w:rPr>
          <w:rFonts w:ascii="Arial" w:hAnsi="Arial" w:cs="Arial"/>
        </w:rPr>
        <w:t xml:space="preserve">m </w:t>
      </w:r>
      <w:r w:rsidR="000D350D">
        <w:rPr>
          <w:rFonts w:ascii="Arial" w:hAnsi="Arial" w:cs="Arial"/>
        </w:rPr>
        <w:t xml:space="preserve">to deliver their answering affidavits, if any, </w:t>
      </w:r>
      <w:r w:rsidR="008B55F3">
        <w:rPr>
          <w:rFonts w:ascii="Arial" w:hAnsi="Arial" w:cs="Arial"/>
        </w:rPr>
        <w:t xml:space="preserve">no later than </w:t>
      </w:r>
      <w:r w:rsidR="000D350D">
        <w:rPr>
          <w:rFonts w:ascii="Arial" w:hAnsi="Arial" w:cs="Arial"/>
        </w:rPr>
        <w:t xml:space="preserve">fifteen days </w:t>
      </w:r>
      <w:r w:rsidR="00CD4961">
        <w:rPr>
          <w:rFonts w:ascii="Arial" w:hAnsi="Arial" w:cs="Arial"/>
        </w:rPr>
        <w:t xml:space="preserve">after delivering their notice of intention to oppose. </w:t>
      </w:r>
    </w:p>
    <w:p w14:paraId="181BDB2F" w14:textId="30534186" w:rsidR="00CD4961" w:rsidRDefault="00CD4961" w:rsidP="000D350D">
      <w:pPr>
        <w:spacing w:line="480" w:lineRule="auto"/>
        <w:rPr>
          <w:rFonts w:ascii="Arial" w:hAnsi="Arial" w:cs="Arial"/>
        </w:rPr>
      </w:pPr>
    </w:p>
    <w:p w14:paraId="2A4AC555" w14:textId="6AE24086" w:rsidR="000D350D" w:rsidRDefault="008A1D4B" w:rsidP="008A1D4B">
      <w:pPr>
        <w:spacing w:line="480" w:lineRule="auto"/>
        <w:ind w:left="709" w:hanging="709"/>
        <w:rPr>
          <w:rFonts w:ascii="Arial" w:hAnsi="Arial" w:cs="Arial"/>
        </w:rPr>
      </w:pPr>
      <w:r>
        <w:rPr>
          <w:rFonts w:ascii="Arial" w:hAnsi="Arial" w:cs="Arial"/>
        </w:rPr>
        <w:t>[3]</w:t>
      </w:r>
      <w:r>
        <w:rPr>
          <w:rFonts w:ascii="Arial" w:hAnsi="Arial" w:cs="Arial"/>
        </w:rPr>
        <w:tab/>
      </w:r>
      <w:r w:rsidR="00F25D2C">
        <w:rPr>
          <w:rFonts w:ascii="Arial" w:hAnsi="Arial" w:cs="Arial"/>
        </w:rPr>
        <w:t xml:space="preserve">The </w:t>
      </w:r>
      <w:r w:rsidR="001309DD">
        <w:rPr>
          <w:rFonts w:ascii="Arial" w:hAnsi="Arial" w:cs="Arial"/>
        </w:rPr>
        <w:t xml:space="preserve">relief sought by the </w:t>
      </w:r>
      <w:r w:rsidR="0048001D">
        <w:rPr>
          <w:rFonts w:ascii="Arial" w:hAnsi="Arial" w:cs="Arial"/>
        </w:rPr>
        <w:t xml:space="preserve">BRPs </w:t>
      </w:r>
      <w:r w:rsidR="001309DD">
        <w:rPr>
          <w:rFonts w:ascii="Arial" w:hAnsi="Arial" w:cs="Arial"/>
        </w:rPr>
        <w:t xml:space="preserve">is </w:t>
      </w:r>
      <w:r w:rsidR="00FF3D09">
        <w:rPr>
          <w:rFonts w:ascii="Arial" w:hAnsi="Arial" w:cs="Arial"/>
        </w:rPr>
        <w:t xml:space="preserve">to </w:t>
      </w:r>
      <w:r w:rsidR="00E30652">
        <w:rPr>
          <w:rFonts w:ascii="Arial" w:hAnsi="Arial" w:cs="Arial"/>
        </w:rPr>
        <w:t xml:space="preserve">deliver </w:t>
      </w:r>
      <w:r w:rsidR="003367FA">
        <w:rPr>
          <w:rFonts w:ascii="Arial" w:hAnsi="Arial" w:cs="Arial"/>
        </w:rPr>
        <w:t xml:space="preserve">their answering affidavit within fifteen days of the </w:t>
      </w:r>
      <w:r w:rsidR="000D350D">
        <w:rPr>
          <w:rFonts w:ascii="Arial" w:hAnsi="Arial" w:cs="Arial"/>
        </w:rPr>
        <w:t>later of (</w:t>
      </w:r>
      <w:proofErr w:type="spellStart"/>
      <w:r w:rsidR="000D350D">
        <w:rPr>
          <w:rFonts w:ascii="Arial" w:hAnsi="Arial" w:cs="Arial"/>
        </w:rPr>
        <w:t>i</w:t>
      </w:r>
      <w:proofErr w:type="spellEnd"/>
      <w:r w:rsidR="000D350D">
        <w:rPr>
          <w:rFonts w:ascii="Arial" w:hAnsi="Arial" w:cs="Arial"/>
        </w:rPr>
        <w:t xml:space="preserve">) </w:t>
      </w:r>
      <w:proofErr w:type="spellStart"/>
      <w:r w:rsidR="004F448C">
        <w:rPr>
          <w:rFonts w:ascii="Arial" w:hAnsi="Arial" w:cs="Arial"/>
        </w:rPr>
        <w:t>Lockstock</w:t>
      </w:r>
      <w:proofErr w:type="spellEnd"/>
      <w:r w:rsidR="000D350D">
        <w:rPr>
          <w:rFonts w:ascii="Arial" w:hAnsi="Arial" w:cs="Arial"/>
        </w:rPr>
        <w:t xml:space="preserve"> being granted leave by the court in terms of section 133(1)(b) </w:t>
      </w:r>
      <w:r w:rsidR="00430105">
        <w:rPr>
          <w:rFonts w:ascii="Arial" w:hAnsi="Arial" w:cs="Arial"/>
        </w:rPr>
        <w:t xml:space="preserve">of the Companies Act 71 of 2008 </w:t>
      </w:r>
      <w:r w:rsidR="007053EA">
        <w:rPr>
          <w:rFonts w:ascii="Arial" w:hAnsi="Arial" w:cs="Arial"/>
        </w:rPr>
        <w:t xml:space="preserve">(“the Act”) </w:t>
      </w:r>
      <w:r w:rsidR="000D350D">
        <w:rPr>
          <w:rFonts w:ascii="Arial" w:hAnsi="Arial" w:cs="Arial"/>
        </w:rPr>
        <w:t>to commence and/or proceed with the main application</w:t>
      </w:r>
      <w:r w:rsidR="00B92702">
        <w:rPr>
          <w:rFonts w:ascii="Arial" w:hAnsi="Arial" w:cs="Arial"/>
        </w:rPr>
        <w:t xml:space="preserve"> under this case number</w:t>
      </w:r>
      <w:r w:rsidR="000D350D">
        <w:rPr>
          <w:rFonts w:ascii="Arial" w:hAnsi="Arial" w:cs="Arial"/>
        </w:rPr>
        <w:t xml:space="preserve">; and (ii) </w:t>
      </w:r>
      <w:proofErr w:type="spellStart"/>
      <w:r w:rsidR="0071670C">
        <w:rPr>
          <w:rFonts w:ascii="Arial" w:hAnsi="Arial" w:cs="Arial"/>
        </w:rPr>
        <w:t>Lockstock</w:t>
      </w:r>
      <w:proofErr w:type="spellEnd"/>
      <w:r w:rsidR="0071670C">
        <w:rPr>
          <w:rFonts w:ascii="Arial" w:hAnsi="Arial" w:cs="Arial"/>
        </w:rPr>
        <w:t xml:space="preserve"> </w:t>
      </w:r>
      <w:r w:rsidR="00272F51">
        <w:rPr>
          <w:rFonts w:ascii="Arial" w:hAnsi="Arial" w:cs="Arial"/>
        </w:rPr>
        <w:t>hav</w:t>
      </w:r>
      <w:r w:rsidR="00644373">
        <w:rPr>
          <w:rFonts w:ascii="Arial" w:hAnsi="Arial" w:cs="Arial"/>
        </w:rPr>
        <w:t xml:space="preserve">ing </w:t>
      </w:r>
      <w:r w:rsidR="00EC3DE4">
        <w:rPr>
          <w:rFonts w:ascii="Arial" w:hAnsi="Arial" w:cs="Arial"/>
        </w:rPr>
        <w:t xml:space="preserve">attended </w:t>
      </w:r>
      <w:r w:rsidR="007E2B5C">
        <w:rPr>
          <w:rFonts w:ascii="Arial" w:hAnsi="Arial" w:cs="Arial"/>
        </w:rPr>
        <w:t xml:space="preserve">to </w:t>
      </w:r>
      <w:r w:rsidR="000D350D">
        <w:rPr>
          <w:rFonts w:ascii="Arial" w:hAnsi="Arial" w:cs="Arial"/>
        </w:rPr>
        <w:t>effect service upon each of the remaining affected parties</w:t>
      </w:r>
      <w:r w:rsidR="007E2B5C">
        <w:rPr>
          <w:rFonts w:ascii="Arial" w:hAnsi="Arial" w:cs="Arial"/>
        </w:rPr>
        <w:t xml:space="preserve"> as provided for in paragraph 3.1 </w:t>
      </w:r>
      <w:r w:rsidR="0083566B">
        <w:rPr>
          <w:rFonts w:ascii="Arial" w:hAnsi="Arial" w:cs="Arial"/>
        </w:rPr>
        <w:t xml:space="preserve">of the order </w:t>
      </w:r>
      <w:r w:rsidR="0083566B">
        <w:rPr>
          <w:rFonts w:ascii="Arial" w:hAnsi="Arial" w:cs="Arial"/>
        </w:rPr>
        <w:lastRenderedPageBreak/>
        <w:t>granted on 22 July 2020</w:t>
      </w:r>
      <w:r w:rsidR="000D350D">
        <w:rPr>
          <w:rFonts w:ascii="Arial" w:hAnsi="Arial" w:cs="Arial"/>
        </w:rPr>
        <w:t xml:space="preserve">. </w:t>
      </w:r>
    </w:p>
    <w:p w14:paraId="10C0DF39" w14:textId="77777777" w:rsidR="0084080F" w:rsidRDefault="0084080F" w:rsidP="001661AB">
      <w:pPr>
        <w:widowControl/>
        <w:spacing w:line="480" w:lineRule="auto"/>
        <w:jc w:val="both"/>
        <w:rPr>
          <w:rFonts w:ascii="Arial" w:hAnsi="Arial" w:cs="Arial"/>
          <w:bCs/>
          <w:lang w:val="en-GB"/>
        </w:rPr>
      </w:pPr>
    </w:p>
    <w:p w14:paraId="5720A3A2" w14:textId="213A8AB0" w:rsidR="00CE1448" w:rsidRDefault="009B0B3E" w:rsidP="009B0B3E">
      <w:pPr>
        <w:widowControl/>
        <w:spacing w:line="480" w:lineRule="auto"/>
        <w:ind w:left="709" w:hanging="709"/>
        <w:jc w:val="both"/>
        <w:rPr>
          <w:rFonts w:ascii="Arial" w:hAnsi="Arial" w:cs="Arial"/>
          <w:bCs/>
          <w:lang w:val="en-GB"/>
        </w:rPr>
      </w:pPr>
      <w:r>
        <w:rPr>
          <w:rFonts w:ascii="Arial" w:hAnsi="Arial" w:cs="Arial"/>
          <w:bCs/>
          <w:lang w:val="en-GB"/>
        </w:rPr>
        <w:t>[4]</w:t>
      </w:r>
      <w:r>
        <w:rPr>
          <w:rFonts w:ascii="Arial" w:hAnsi="Arial" w:cs="Arial"/>
          <w:bCs/>
          <w:lang w:val="en-GB"/>
        </w:rPr>
        <w:tab/>
      </w:r>
      <w:proofErr w:type="spellStart"/>
      <w:r w:rsidR="00521010">
        <w:rPr>
          <w:rFonts w:ascii="Arial" w:hAnsi="Arial" w:cs="Arial"/>
          <w:bCs/>
          <w:lang w:val="en-GB"/>
        </w:rPr>
        <w:t>Lockstock</w:t>
      </w:r>
      <w:proofErr w:type="spellEnd"/>
      <w:r w:rsidR="00521010">
        <w:rPr>
          <w:rFonts w:ascii="Arial" w:hAnsi="Arial" w:cs="Arial"/>
          <w:bCs/>
          <w:lang w:val="en-GB"/>
        </w:rPr>
        <w:t xml:space="preserve"> </w:t>
      </w:r>
      <w:r w:rsidR="00CE2BE0">
        <w:rPr>
          <w:rFonts w:ascii="Arial" w:hAnsi="Arial" w:cs="Arial"/>
          <w:bCs/>
          <w:lang w:val="en-GB"/>
        </w:rPr>
        <w:t xml:space="preserve">were given </w:t>
      </w:r>
      <w:r w:rsidR="0084080F">
        <w:rPr>
          <w:rFonts w:ascii="Arial" w:hAnsi="Arial" w:cs="Arial"/>
          <w:bCs/>
          <w:lang w:val="en-GB"/>
        </w:rPr>
        <w:t xml:space="preserve">an opportunity to </w:t>
      </w:r>
      <w:r w:rsidR="003E0115">
        <w:rPr>
          <w:rFonts w:ascii="Arial" w:hAnsi="Arial" w:cs="Arial"/>
          <w:bCs/>
          <w:lang w:val="en-GB"/>
        </w:rPr>
        <w:t xml:space="preserve">remove the cause of complaint </w:t>
      </w:r>
      <w:r w:rsidR="002C4EA9">
        <w:rPr>
          <w:rFonts w:ascii="Arial" w:hAnsi="Arial" w:cs="Arial"/>
          <w:bCs/>
          <w:lang w:val="en-GB"/>
        </w:rPr>
        <w:t>as set out in the notice</w:t>
      </w:r>
      <w:r w:rsidR="00274663">
        <w:rPr>
          <w:rFonts w:ascii="Arial" w:hAnsi="Arial" w:cs="Arial"/>
          <w:bCs/>
          <w:lang w:val="en-GB"/>
        </w:rPr>
        <w:t xml:space="preserve">. </w:t>
      </w:r>
      <w:r w:rsidR="003A0E80">
        <w:rPr>
          <w:rFonts w:ascii="Arial" w:hAnsi="Arial" w:cs="Arial"/>
          <w:bCs/>
          <w:lang w:val="en-GB"/>
        </w:rPr>
        <w:t xml:space="preserve">It </w:t>
      </w:r>
      <w:r w:rsidR="00274663">
        <w:rPr>
          <w:rFonts w:ascii="Arial" w:hAnsi="Arial" w:cs="Arial"/>
          <w:bCs/>
          <w:lang w:val="en-GB"/>
        </w:rPr>
        <w:t>chose not to remove the cause of complaint</w:t>
      </w:r>
      <w:r w:rsidR="003A0E80">
        <w:rPr>
          <w:rFonts w:ascii="Arial" w:hAnsi="Arial" w:cs="Arial"/>
          <w:bCs/>
          <w:lang w:val="en-GB"/>
        </w:rPr>
        <w:t xml:space="preserve">. </w:t>
      </w:r>
    </w:p>
    <w:p w14:paraId="7FEB6860" w14:textId="64A45F0D" w:rsidR="006136CF" w:rsidRDefault="006136CF" w:rsidP="001661AB">
      <w:pPr>
        <w:widowControl/>
        <w:spacing w:line="480" w:lineRule="auto"/>
        <w:jc w:val="both"/>
        <w:rPr>
          <w:rFonts w:ascii="Arial" w:hAnsi="Arial" w:cs="Arial"/>
          <w:bCs/>
          <w:lang w:val="en-GB"/>
        </w:rPr>
      </w:pPr>
    </w:p>
    <w:p w14:paraId="10DF575C" w14:textId="35975946" w:rsidR="00E17132" w:rsidRPr="00E45489" w:rsidRDefault="00E17132" w:rsidP="001661AB">
      <w:pPr>
        <w:widowControl/>
        <w:spacing w:line="480" w:lineRule="auto"/>
        <w:jc w:val="both"/>
        <w:rPr>
          <w:rFonts w:ascii="Arial" w:hAnsi="Arial" w:cs="Arial"/>
          <w:bCs/>
          <w:u w:val="single"/>
          <w:lang w:val="en-GB"/>
        </w:rPr>
      </w:pPr>
      <w:r w:rsidRPr="00E45489">
        <w:rPr>
          <w:rFonts w:ascii="Arial" w:hAnsi="Arial" w:cs="Arial"/>
          <w:bCs/>
          <w:u w:val="single"/>
          <w:lang w:val="en-GB"/>
        </w:rPr>
        <w:t>Grounds of Complaint</w:t>
      </w:r>
    </w:p>
    <w:p w14:paraId="27BD9755" w14:textId="5C4496DA" w:rsidR="00081AF3" w:rsidRDefault="009B0B3E" w:rsidP="001661AB">
      <w:pPr>
        <w:widowControl/>
        <w:spacing w:line="480" w:lineRule="auto"/>
        <w:jc w:val="both"/>
        <w:rPr>
          <w:rFonts w:ascii="Arial" w:hAnsi="Arial" w:cs="Arial"/>
          <w:bCs/>
          <w:lang w:val="en-GB"/>
        </w:rPr>
      </w:pPr>
      <w:r>
        <w:rPr>
          <w:rFonts w:ascii="Arial" w:hAnsi="Arial" w:cs="Arial"/>
          <w:bCs/>
          <w:lang w:val="en-GB"/>
        </w:rPr>
        <w:t>[5]</w:t>
      </w:r>
      <w:r>
        <w:rPr>
          <w:rFonts w:ascii="Arial" w:hAnsi="Arial" w:cs="Arial"/>
          <w:bCs/>
          <w:lang w:val="en-GB"/>
        </w:rPr>
        <w:tab/>
      </w:r>
      <w:r w:rsidR="00F3250B">
        <w:rPr>
          <w:rFonts w:ascii="Arial" w:hAnsi="Arial" w:cs="Arial"/>
          <w:bCs/>
          <w:lang w:val="en-GB"/>
        </w:rPr>
        <w:t xml:space="preserve">The </w:t>
      </w:r>
      <w:r w:rsidR="00307806">
        <w:rPr>
          <w:rFonts w:ascii="Arial" w:hAnsi="Arial" w:cs="Arial"/>
          <w:bCs/>
          <w:lang w:val="en-GB"/>
        </w:rPr>
        <w:t xml:space="preserve">BRPs </w:t>
      </w:r>
      <w:r w:rsidR="00F3250B">
        <w:rPr>
          <w:rFonts w:ascii="Arial" w:hAnsi="Arial" w:cs="Arial"/>
          <w:bCs/>
          <w:lang w:val="en-GB"/>
        </w:rPr>
        <w:t>have raised two grounds of complaint</w:t>
      </w:r>
      <w:r w:rsidR="005D4B2A">
        <w:rPr>
          <w:rFonts w:ascii="Arial" w:hAnsi="Arial" w:cs="Arial"/>
          <w:bCs/>
          <w:lang w:val="en-GB"/>
        </w:rPr>
        <w:t xml:space="preserve">. </w:t>
      </w:r>
    </w:p>
    <w:p w14:paraId="2C7FB588" w14:textId="0118994C" w:rsidR="00F92DCC" w:rsidRDefault="005D4B2A" w:rsidP="009B0B3E">
      <w:pPr>
        <w:widowControl/>
        <w:spacing w:line="480" w:lineRule="auto"/>
        <w:ind w:firstLine="720"/>
        <w:jc w:val="both"/>
        <w:rPr>
          <w:rFonts w:ascii="Arial" w:hAnsi="Arial" w:cs="Arial"/>
          <w:bCs/>
          <w:lang w:val="en-GB"/>
        </w:rPr>
      </w:pPr>
      <w:r>
        <w:rPr>
          <w:rFonts w:ascii="Arial" w:hAnsi="Arial" w:cs="Arial"/>
          <w:bCs/>
          <w:lang w:val="en-GB"/>
        </w:rPr>
        <w:t>The first ground</w:t>
      </w:r>
      <w:r w:rsidR="00F92DCC">
        <w:rPr>
          <w:rFonts w:ascii="Arial" w:hAnsi="Arial" w:cs="Arial"/>
          <w:bCs/>
          <w:lang w:val="en-GB"/>
        </w:rPr>
        <w:t>:</w:t>
      </w:r>
    </w:p>
    <w:p w14:paraId="19576330" w14:textId="77777777" w:rsidR="002231BD" w:rsidRDefault="00081AF3" w:rsidP="009B0B3E">
      <w:pPr>
        <w:widowControl/>
        <w:spacing w:line="480" w:lineRule="auto"/>
        <w:ind w:left="1440"/>
        <w:jc w:val="both"/>
        <w:rPr>
          <w:rFonts w:ascii="Arial" w:hAnsi="Arial" w:cs="Arial"/>
          <w:bCs/>
          <w:lang w:val="en-GB"/>
        </w:rPr>
      </w:pPr>
      <w:r>
        <w:rPr>
          <w:rFonts w:ascii="Arial" w:hAnsi="Arial" w:cs="Arial"/>
          <w:bCs/>
          <w:lang w:val="en-GB"/>
        </w:rPr>
        <w:t>“</w:t>
      </w:r>
      <w:r w:rsidR="0058327E">
        <w:rPr>
          <w:rFonts w:ascii="Arial" w:hAnsi="Arial" w:cs="Arial"/>
          <w:bCs/>
          <w:lang w:val="en-GB"/>
        </w:rPr>
        <w:t>The applicants [</w:t>
      </w:r>
      <w:proofErr w:type="spellStart"/>
      <w:r w:rsidR="006A15A7">
        <w:rPr>
          <w:rFonts w:ascii="Arial" w:hAnsi="Arial" w:cs="Arial"/>
          <w:bCs/>
          <w:lang w:val="en-GB"/>
        </w:rPr>
        <w:t>Lockstock</w:t>
      </w:r>
      <w:proofErr w:type="spellEnd"/>
      <w:r w:rsidR="0058327E">
        <w:rPr>
          <w:rFonts w:ascii="Arial" w:hAnsi="Arial" w:cs="Arial"/>
          <w:bCs/>
          <w:lang w:val="en-GB"/>
        </w:rPr>
        <w:t>]</w:t>
      </w:r>
      <w:r w:rsidR="006A15A7">
        <w:rPr>
          <w:rFonts w:ascii="Arial" w:hAnsi="Arial" w:cs="Arial"/>
          <w:bCs/>
          <w:lang w:val="en-GB"/>
        </w:rPr>
        <w:t xml:space="preserve"> </w:t>
      </w:r>
      <w:r w:rsidR="0070045D">
        <w:rPr>
          <w:rFonts w:ascii="Arial" w:hAnsi="Arial" w:cs="Arial"/>
          <w:bCs/>
          <w:lang w:val="en-GB"/>
        </w:rPr>
        <w:t xml:space="preserve">are required to make out a case </w:t>
      </w:r>
      <w:proofErr w:type="gramStart"/>
      <w:r w:rsidR="0070045D">
        <w:rPr>
          <w:rFonts w:ascii="Arial" w:hAnsi="Arial" w:cs="Arial"/>
          <w:bCs/>
          <w:lang w:val="en-GB"/>
        </w:rPr>
        <w:t>why</w:t>
      </w:r>
      <w:proofErr w:type="gramEnd"/>
      <w:r w:rsidR="0070045D">
        <w:rPr>
          <w:rFonts w:ascii="Arial" w:hAnsi="Arial" w:cs="Arial"/>
          <w:bCs/>
          <w:lang w:val="en-GB"/>
        </w:rPr>
        <w:t xml:space="preserve"> they should be granted leave by the court </w:t>
      </w:r>
      <w:r w:rsidR="0084329C">
        <w:rPr>
          <w:rFonts w:ascii="Arial" w:hAnsi="Arial" w:cs="Arial"/>
          <w:bCs/>
          <w:lang w:val="en-GB"/>
        </w:rPr>
        <w:t>to commence or proceed with the main proceedings</w:t>
      </w:r>
      <w:r w:rsidR="00C3450B">
        <w:rPr>
          <w:rFonts w:ascii="Arial" w:hAnsi="Arial" w:cs="Arial"/>
          <w:bCs/>
          <w:lang w:val="en-GB"/>
        </w:rPr>
        <w:t>, and in accordance with such terms as the court considers suitable, in terms of section 133(1)(b) of the Companies Act</w:t>
      </w:r>
      <w:r w:rsidR="004B7929">
        <w:rPr>
          <w:rFonts w:ascii="Arial" w:hAnsi="Arial" w:cs="Arial"/>
          <w:bCs/>
          <w:lang w:val="en-GB"/>
        </w:rPr>
        <w:t>, 2008.</w:t>
      </w:r>
      <w:r w:rsidR="00D15439">
        <w:rPr>
          <w:rFonts w:ascii="Arial" w:hAnsi="Arial" w:cs="Arial"/>
          <w:bCs/>
          <w:lang w:val="en-GB"/>
        </w:rPr>
        <w:t xml:space="preserve">  </w:t>
      </w:r>
      <w:r w:rsidR="00D032CB">
        <w:rPr>
          <w:rFonts w:ascii="Arial" w:hAnsi="Arial" w:cs="Arial"/>
          <w:bCs/>
          <w:lang w:val="en-GB"/>
        </w:rPr>
        <w:t xml:space="preserve">The BRPs </w:t>
      </w:r>
      <w:r w:rsidR="00E9664C">
        <w:rPr>
          <w:rFonts w:ascii="Arial" w:hAnsi="Arial" w:cs="Arial"/>
          <w:bCs/>
          <w:lang w:val="en-GB"/>
        </w:rPr>
        <w:t xml:space="preserve">are prejudiced by this omission because in the absence </w:t>
      </w:r>
      <w:r w:rsidR="00D32516">
        <w:rPr>
          <w:rFonts w:ascii="Arial" w:hAnsi="Arial" w:cs="Arial"/>
          <w:bCs/>
          <w:lang w:val="en-GB"/>
        </w:rPr>
        <w:t xml:space="preserve">of </w:t>
      </w:r>
      <w:proofErr w:type="spellStart"/>
      <w:r w:rsidR="00D32516">
        <w:rPr>
          <w:rFonts w:ascii="Arial" w:hAnsi="Arial" w:cs="Arial"/>
          <w:bCs/>
          <w:lang w:val="en-GB"/>
        </w:rPr>
        <w:t>Lockstock</w:t>
      </w:r>
      <w:proofErr w:type="spellEnd"/>
      <w:r w:rsidR="00D32516">
        <w:rPr>
          <w:rFonts w:ascii="Arial" w:hAnsi="Arial" w:cs="Arial"/>
          <w:bCs/>
          <w:lang w:val="en-GB"/>
        </w:rPr>
        <w:t xml:space="preserve"> making out a case for why leave should be granted</w:t>
      </w:r>
      <w:r w:rsidR="000448EA">
        <w:rPr>
          <w:rFonts w:ascii="Arial" w:hAnsi="Arial" w:cs="Arial"/>
          <w:bCs/>
          <w:lang w:val="en-GB"/>
        </w:rPr>
        <w:t xml:space="preserve">, the </w:t>
      </w:r>
      <w:r w:rsidR="007214CA">
        <w:rPr>
          <w:rFonts w:ascii="Arial" w:hAnsi="Arial" w:cs="Arial"/>
          <w:bCs/>
          <w:lang w:val="en-GB"/>
        </w:rPr>
        <w:t>se</w:t>
      </w:r>
      <w:r w:rsidR="00F035DC">
        <w:rPr>
          <w:rFonts w:ascii="Arial" w:hAnsi="Arial" w:cs="Arial"/>
          <w:bCs/>
          <w:lang w:val="en-GB"/>
        </w:rPr>
        <w:t xml:space="preserve">cond respondent and I, as the business rescue practitioners [the </w:t>
      </w:r>
      <w:r w:rsidR="000448EA">
        <w:rPr>
          <w:rFonts w:ascii="Arial" w:hAnsi="Arial" w:cs="Arial"/>
          <w:bCs/>
          <w:lang w:val="en-GB"/>
        </w:rPr>
        <w:t>BRPs</w:t>
      </w:r>
      <w:r w:rsidR="00F035DC">
        <w:rPr>
          <w:rFonts w:ascii="Arial" w:hAnsi="Arial" w:cs="Arial"/>
          <w:bCs/>
          <w:lang w:val="en-GB"/>
        </w:rPr>
        <w:t>]</w:t>
      </w:r>
      <w:r w:rsidR="000448EA">
        <w:rPr>
          <w:rFonts w:ascii="Arial" w:hAnsi="Arial" w:cs="Arial"/>
          <w:bCs/>
          <w:lang w:val="en-GB"/>
        </w:rPr>
        <w:t xml:space="preserve"> as well as the court</w:t>
      </w:r>
      <w:r w:rsidR="00F4309B">
        <w:rPr>
          <w:rFonts w:ascii="Arial" w:hAnsi="Arial" w:cs="Arial"/>
          <w:bCs/>
          <w:lang w:val="en-GB"/>
        </w:rPr>
        <w:t xml:space="preserve">, are deprived of any basis upon which to consider consenting to the </w:t>
      </w:r>
      <w:r w:rsidR="009A437E">
        <w:rPr>
          <w:rFonts w:ascii="Arial" w:hAnsi="Arial" w:cs="Arial"/>
          <w:bCs/>
          <w:lang w:val="en-GB"/>
        </w:rPr>
        <w:t xml:space="preserve">commencement of the proceedings, in the case of the </w:t>
      </w:r>
      <w:r w:rsidR="006E682F">
        <w:rPr>
          <w:rFonts w:ascii="Arial" w:hAnsi="Arial" w:cs="Arial"/>
          <w:bCs/>
          <w:lang w:val="en-GB"/>
        </w:rPr>
        <w:t>practitioners</w:t>
      </w:r>
      <w:r w:rsidR="00E12CA9">
        <w:rPr>
          <w:rFonts w:ascii="Arial" w:hAnsi="Arial" w:cs="Arial"/>
          <w:bCs/>
          <w:lang w:val="en-GB"/>
        </w:rPr>
        <w:t xml:space="preserve">, or granting leave to commence or proceed with the proceedings, in the case of the </w:t>
      </w:r>
      <w:r w:rsidR="00D841BF">
        <w:rPr>
          <w:rFonts w:ascii="Arial" w:hAnsi="Arial" w:cs="Arial"/>
          <w:bCs/>
          <w:lang w:val="en-GB"/>
        </w:rPr>
        <w:t>court.</w:t>
      </w:r>
      <w:r w:rsidR="002231BD">
        <w:rPr>
          <w:rFonts w:ascii="Arial" w:hAnsi="Arial" w:cs="Arial"/>
          <w:bCs/>
          <w:lang w:val="en-GB"/>
        </w:rPr>
        <w:t xml:space="preserve">  </w:t>
      </w:r>
    </w:p>
    <w:p w14:paraId="7A57F52B" w14:textId="21054493" w:rsidR="00621125" w:rsidRDefault="00C533F8" w:rsidP="009B0B3E">
      <w:pPr>
        <w:widowControl/>
        <w:spacing w:line="480" w:lineRule="auto"/>
        <w:ind w:left="1440"/>
        <w:jc w:val="both"/>
        <w:rPr>
          <w:rFonts w:ascii="Arial" w:hAnsi="Arial" w:cs="Arial"/>
          <w:bCs/>
          <w:lang w:val="en-GB"/>
        </w:rPr>
      </w:pPr>
      <w:r>
        <w:rPr>
          <w:rFonts w:ascii="Arial" w:hAnsi="Arial" w:cs="Arial"/>
          <w:bCs/>
          <w:lang w:val="en-GB"/>
        </w:rPr>
        <w:t xml:space="preserve">The objecting respondents [the BRPs] </w:t>
      </w:r>
      <w:r w:rsidR="0042312F">
        <w:rPr>
          <w:rFonts w:ascii="Arial" w:hAnsi="Arial" w:cs="Arial"/>
          <w:bCs/>
          <w:lang w:val="en-GB"/>
        </w:rPr>
        <w:t xml:space="preserve">are accordingly prejudiced </w:t>
      </w:r>
      <w:r w:rsidR="005D20D7">
        <w:rPr>
          <w:rFonts w:ascii="Arial" w:hAnsi="Arial" w:cs="Arial"/>
          <w:bCs/>
          <w:lang w:val="en-GB"/>
        </w:rPr>
        <w:t>in being required to deliver answering affidavits where the applicants [</w:t>
      </w:r>
      <w:proofErr w:type="spellStart"/>
      <w:r w:rsidR="005D20D7">
        <w:rPr>
          <w:rFonts w:ascii="Arial" w:hAnsi="Arial" w:cs="Arial"/>
          <w:bCs/>
          <w:lang w:val="en-GB"/>
        </w:rPr>
        <w:t>Lockstock</w:t>
      </w:r>
      <w:proofErr w:type="spellEnd"/>
      <w:r w:rsidR="005D20D7">
        <w:rPr>
          <w:rFonts w:ascii="Arial" w:hAnsi="Arial" w:cs="Arial"/>
          <w:bCs/>
          <w:lang w:val="en-GB"/>
        </w:rPr>
        <w:t xml:space="preserve">] </w:t>
      </w:r>
      <w:r w:rsidR="00F2652A">
        <w:rPr>
          <w:rFonts w:ascii="Arial" w:hAnsi="Arial" w:cs="Arial"/>
          <w:bCs/>
          <w:lang w:val="en-GB"/>
        </w:rPr>
        <w:t>have not made out a case for the grant of such leave</w:t>
      </w:r>
      <w:r w:rsidR="00B26ECF">
        <w:rPr>
          <w:rFonts w:ascii="Arial" w:hAnsi="Arial" w:cs="Arial"/>
          <w:bCs/>
          <w:lang w:val="en-GB"/>
        </w:rPr>
        <w:t xml:space="preserve"> </w:t>
      </w:r>
      <w:r w:rsidR="00143257">
        <w:rPr>
          <w:rFonts w:ascii="Arial" w:hAnsi="Arial" w:cs="Arial"/>
          <w:bCs/>
          <w:lang w:val="en-GB"/>
        </w:rPr>
        <w:t xml:space="preserve">and where such leave should in any event be obtained by the applicants [Lockwood] </w:t>
      </w:r>
      <w:r w:rsidR="001F038E">
        <w:rPr>
          <w:rFonts w:ascii="Arial" w:hAnsi="Arial" w:cs="Arial"/>
          <w:bCs/>
          <w:lang w:val="en-GB"/>
        </w:rPr>
        <w:t xml:space="preserve">from the court before the objecting respondents [the BRPs] </w:t>
      </w:r>
      <w:r w:rsidR="00190B9C">
        <w:rPr>
          <w:rFonts w:ascii="Arial" w:hAnsi="Arial" w:cs="Arial"/>
          <w:bCs/>
          <w:lang w:val="en-GB"/>
        </w:rPr>
        <w:t>are required to deliver an answering affidavit</w:t>
      </w:r>
      <w:r w:rsidR="0087073D">
        <w:rPr>
          <w:rFonts w:ascii="Arial" w:hAnsi="Arial" w:cs="Arial"/>
          <w:bCs/>
          <w:lang w:val="en-GB"/>
        </w:rPr>
        <w:t>.”</w:t>
      </w:r>
    </w:p>
    <w:p w14:paraId="1B077C07" w14:textId="77777777" w:rsidR="00621125" w:rsidRDefault="00621125" w:rsidP="00621125">
      <w:pPr>
        <w:widowControl/>
        <w:spacing w:line="480" w:lineRule="auto"/>
        <w:jc w:val="both"/>
        <w:rPr>
          <w:rFonts w:ascii="Arial" w:hAnsi="Arial" w:cs="Arial"/>
          <w:bCs/>
          <w:lang w:val="en-GB"/>
        </w:rPr>
      </w:pPr>
    </w:p>
    <w:p w14:paraId="3DFC84FE" w14:textId="77777777" w:rsidR="00621125" w:rsidRDefault="00621125" w:rsidP="00E324E3">
      <w:pPr>
        <w:widowControl/>
        <w:spacing w:line="480" w:lineRule="auto"/>
        <w:ind w:firstLine="720"/>
        <w:jc w:val="both"/>
        <w:rPr>
          <w:rFonts w:ascii="Arial" w:hAnsi="Arial" w:cs="Arial"/>
          <w:bCs/>
          <w:lang w:val="en-GB"/>
        </w:rPr>
      </w:pPr>
      <w:r>
        <w:rPr>
          <w:rFonts w:ascii="Arial" w:hAnsi="Arial" w:cs="Arial"/>
          <w:bCs/>
          <w:lang w:val="en-GB"/>
        </w:rPr>
        <w:t>The second ground:</w:t>
      </w:r>
    </w:p>
    <w:p w14:paraId="23DBA240" w14:textId="7582F23F" w:rsidR="003C39DB" w:rsidRDefault="003F5E7F" w:rsidP="003F5E7F">
      <w:pPr>
        <w:widowControl/>
        <w:spacing w:line="480" w:lineRule="auto"/>
        <w:ind w:left="1440"/>
        <w:jc w:val="both"/>
        <w:rPr>
          <w:rFonts w:ascii="Arial" w:hAnsi="Arial" w:cs="Arial"/>
          <w:bCs/>
          <w:lang w:val="en-GB"/>
        </w:rPr>
      </w:pPr>
      <w:r>
        <w:rPr>
          <w:rFonts w:ascii="Arial" w:hAnsi="Arial" w:cs="Arial"/>
          <w:bCs/>
          <w:lang w:val="en-GB"/>
        </w:rPr>
        <w:t>“</w:t>
      </w:r>
      <w:r w:rsidR="00915A1B">
        <w:rPr>
          <w:rFonts w:ascii="Arial" w:hAnsi="Arial" w:cs="Arial"/>
          <w:bCs/>
          <w:lang w:val="en-GB"/>
        </w:rPr>
        <w:t>The o</w:t>
      </w:r>
      <w:r w:rsidR="00B7084F">
        <w:rPr>
          <w:rFonts w:ascii="Arial" w:hAnsi="Arial" w:cs="Arial"/>
          <w:bCs/>
          <w:lang w:val="en-GB"/>
        </w:rPr>
        <w:t xml:space="preserve">pposing </w:t>
      </w:r>
      <w:r w:rsidR="00915A1B">
        <w:rPr>
          <w:rFonts w:ascii="Arial" w:hAnsi="Arial" w:cs="Arial"/>
          <w:bCs/>
          <w:lang w:val="en-GB"/>
        </w:rPr>
        <w:t xml:space="preserve">respondents </w:t>
      </w:r>
      <w:r w:rsidR="00B7084F">
        <w:rPr>
          <w:rFonts w:ascii="Arial" w:hAnsi="Arial" w:cs="Arial"/>
          <w:bCs/>
          <w:lang w:val="en-GB"/>
        </w:rPr>
        <w:t>[the BRPs</w:t>
      </w:r>
      <w:r w:rsidR="001F0398">
        <w:rPr>
          <w:rFonts w:ascii="Arial" w:hAnsi="Arial" w:cs="Arial"/>
          <w:bCs/>
          <w:lang w:val="en-GB"/>
        </w:rPr>
        <w:t>]</w:t>
      </w:r>
      <w:r w:rsidR="00B7084F">
        <w:rPr>
          <w:rFonts w:ascii="Arial" w:hAnsi="Arial" w:cs="Arial"/>
          <w:bCs/>
          <w:lang w:val="en-GB"/>
        </w:rPr>
        <w:t xml:space="preserve"> </w:t>
      </w:r>
      <w:r w:rsidR="00915A1B">
        <w:rPr>
          <w:rFonts w:ascii="Arial" w:hAnsi="Arial" w:cs="Arial"/>
          <w:bCs/>
          <w:lang w:val="en-GB"/>
        </w:rPr>
        <w:t xml:space="preserve">cannot be expected to deliver answering affidavits </w:t>
      </w:r>
      <w:r w:rsidR="00671603">
        <w:rPr>
          <w:rFonts w:ascii="Arial" w:hAnsi="Arial" w:cs="Arial"/>
          <w:bCs/>
          <w:lang w:val="en-GB"/>
        </w:rPr>
        <w:t xml:space="preserve">in circumstances where necessary affected parties </w:t>
      </w:r>
      <w:r w:rsidR="00C27C76">
        <w:rPr>
          <w:rFonts w:ascii="Arial" w:hAnsi="Arial" w:cs="Arial"/>
          <w:bCs/>
          <w:lang w:val="en-GB"/>
        </w:rPr>
        <w:t xml:space="preserve">have not yet been served with the main application.  Until they are so served, the applicants </w:t>
      </w:r>
      <w:r w:rsidR="0052352A">
        <w:rPr>
          <w:rFonts w:ascii="Arial" w:hAnsi="Arial" w:cs="Arial"/>
          <w:bCs/>
          <w:lang w:val="en-GB"/>
        </w:rPr>
        <w:t>[</w:t>
      </w:r>
      <w:proofErr w:type="spellStart"/>
      <w:r w:rsidR="0052352A">
        <w:rPr>
          <w:rFonts w:ascii="Arial" w:hAnsi="Arial" w:cs="Arial"/>
          <w:bCs/>
          <w:lang w:val="en-GB"/>
        </w:rPr>
        <w:t>Lockstock</w:t>
      </w:r>
      <w:proofErr w:type="spellEnd"/>
      <w:r w:rsidR="0052352A">
        <w:rPr>
          <w:rFonts w:ascii="Arial" w:hAnsi="Arial" w:cs="Arial"/>
          <w:bCs/>
          <w:lang w:val="en-GB"/>
        </w:rPr>
        <w:t xml:space="preserve">] </w:t>
      </w:r>
      <w:r w:rsidR="00C27C76">
        <w:rPr>
          <w:rFonts w:ascii="Arial" w:hAnsi="Arial" w:cs="Arial"/>
          <w:bCs/>
          <w:lang w:val="en-GB"/>
        </w:rPr>
        <w:t xml:space="preserve">are non-suited </w:t>
      </w:r>
      <w:r w:rsidR="00DC5CEB">
        <w:rPr>
          <w:rFonts w:ascii="Arial" w:hAnsi="Arial" w:cs="Arial"/>
          <w:bCs/>
          <w:lang w:val="en-GB"/>
        </w:rPr>
        <w:t>by way of a material non-joinder from obtaining any relief</w:t>
      </w:r>
      <w:r w:rsidR="00340742">
        <w:rPr>
          <w:rFonts w:ascii="Arial" w:hAnsi="Arial" w:cs="Arial"/>
          <w:bCs/>
          <w:lang w:val="en-GB"/>
        </w:rPr>
        <w:t xml:space="preserve"> against the respondents that have been served</w:t>
      </w:r>
      <w:r w:rsidR="00182F16">
        <w:rPr>
          <w:rFonts w:ascii="Arial" w:hAnsi="Arial" w:cs="Arial"/>
          <w:bCs/>
          <w:lang w:val="en-GB"/>
        </w:rPr>
        <w:t>, in particular</w:t>
      </w:r>
      <w:r>
        <w:rPr>
          <w:rFonts w:ascii="Arial" w:hAnsi="Arial" w:cs="Arial"/>
          <w:bCs/>
          <w:lang w:val="en-GB"/>
        </w:rPr>
        <w:t>,</w:t>
      </w:r>
      <w:r w:rsidR="00182F16">
        <w:rPr>
          <w:rFonts w:ascii="Arial" w:hAnsi="Arial" w:cs="Arial"/>
          <w:bCs/>
          <w:lang w:val="en-GB"/>
        </w:rPr>
        <w:t xml:space="preserve"> the objecting respondents</w:t>
      </w:r>
      <w:r w:rsidR="00C126DA">
        <w:rPr>
          <w:rFonts w:ascii="Arial" w:hAnsi="Arial" w:cs="Arial"/>
          <w:bCs/>
          <w:lang w:val="en-GB"/>
        </w:rPr>
        <w:t xml:space="preserve"> [the BRPs]</w:t>
      </w:r>
      <w:r w:rsidR="00182F16">
        <w:rPr>
          <w:rFonts w:ascii="Arial" w:hAnsi="Arial" w:cs="Arial"/>
          <w:bCs/>
          <w:lang w:val="en-GB"/>
        </w:rPr>
        <w:t>.</w:t>
      </w:r>
      <w:r w:rsidR="00D40893">
        <w:rPr>
          <w:rFonts w:ascii="Arial" w:hAnsi="Arial" w:cs="Arial"/>
          <w:bCs/>
          <w:lang w:val="en-GB"/>
        </w:rPr>
        <w:t xml:space="preserve"> The objecting respondents [the BRPs] </w:t>
      </w:r>
      <w:r w:rsidR="0092337A">
        <w:rPr>
          <w:rFonts w:ascii="Arial" w:hAnsi="Arial" w:cs="Arial"/>
          <w:bCs/>
          <w:lang w:val="en-GB"/>
        </w:rPr>
        <w:t xml:space="preserve">are prejudiced in having to deliver answering affidavits in circumstances </w:t>
      </w:r>
      <w:r w:rsidR="00370075">
        <w:rPr>
          <w:rFonts w:ascii="Arial" w:hAnsi="Arial" w:cs="Arial"/>
          <w:bCs/>
          <w:lang w:val="en-GB"/>
        </w:rPr>
        <w:t>where it may be that the applicants [</w:t>
      </w:r>
      <w:proofErr w:type="spellStart"/>
      <w:r w:rsidR="00370075">
        <w:rPr>
          <w:rFonts w:ascii="Arial" w:hAnsi="Arial" w:cs="Arial"/>
          <w:bCs/>
          <w:lang w:val="en-GB"/>
        </w:rPr>
        <w:t>Lockstock</w:t>
      </w:r>
      <w:proofErr w:type="spellEnd"/>
      <w:r w:rsidR="00552EF5">
        <w:rPr>
          <w:rFonts w:ascii="Arial" w:hAnsi="Arial" w:cs="Arial"/>
          <w:bCs/>
          <w:lang w:val="en-GB"/>
        </w:rPr>
        <w:t>]</w:t>
      </w:r>
      <w:r w:rsidR="00370075">
        <w:rPr>
          <w:rFonts w:ascii="Arial" w:hAnsi="Arial" w:cs="Arial"/>
          <w:bCs/>
          <w:lang w:val="en-GB"/>
        </w:rPr>
        <w:t xml:space="preserve"> do not effect service upon the remaining affected parties, and </w:t>
      </w:r>
      <w:r w:rsidR="0032691E">
        <w:rPr>
          <w:rFonts w:ascii="Arial" w:hAnsi="Arial" w:cs="Arial"/>
          <w:bCs/>
          <w:lang w:val="en-GB"/>
        </w:rPr>
        <w:t xml:space="preserve">so are not in a position to obtain </w:t>
      </w:r>
      <w:r w:rsidR="00BE3FCC">
        <w:rPr>
          <w:rFonts w:ascii="Arial" w:hAnsi="Arial" w:cs="Arial"/>
          <w:bCs/>
          <w:lang w:val="en-GB"/>
        </w:rPr>
        <w:t xml:space="preserve">any </w:t>
      </w:r>
      <w:r w:rsidR="0032691E">
        <w:rPr>
          <w:rFonts w:ascii="Arial" w:hAnsi="Arial" w:cs="Arial"/>
          <w:bCs/>
          <w:lang w:val="en-GB"/>
        </w:rPr>
        <w:t>relief.</w:t>
      </w:r>
      <w:r w:rsidR="00775488">
        <w:rPr>
          <w:rFonts w:ascii="Arial" w:hAnsi="Arial" w:cs="Arial"/>
          <w:bCs/>
          <w:lang w:val="en-GB"/>
        </w:rPr>
        <w:t xml:space="preserve">  The remaining affected parties, once served, are also deserving of an opportunity </w:t>
      </w:r>
      <w:r w:rsidR="00430779">
        <w:rPr>
          <w:rFonts w:ascii="Arial" w:hAnsi="Arial" w:cs="Arial"/>
          <w:bCs/>
          <w:lang w:val="en-GB"/>
        </w:rPr>
        <w:t xml:space="preserve">to make submissions </w:t>
      </w:r>
      <w:r w:rsidR="00935930">
        <w:rPr>
          <w:rFonts w:ascii="Arial" w:hAnsi="Arial" w:cs="Arial"/>
          <w:bCs/>
          <w:lang w:val="en-GB"/>
        </w:rPr>
        <w:t>a</w:t>
      </w:r>
      <w:r w:rsidR="00430779">
        <w:rPr>
          <w:rFonts w:ascii="Arial" w:hAnsi="Arial" w:cs="Arial"/>
          <w:bCs/>
          <w:lang w:val="en-GB"/>
        </w:rPr>
        <w:t xml:space="preserve">s to whether the statutory moratorium on legal proceedings </w:t>
      </w:r>
      <w:r w:rsidR="00374580">
        <w:rPr>
          <w:rFonts w:ascii="Arial" w:hAnsi="Arial" w:cs="Arial"/>
          <w:bCs/>
          <w:lang w:val="en-GB"/>
        </w:rPr>
        <w:t>in terms of section 133 should be uplifted.”</w:t>
      </w:r>
    </w:p>
    <w:p w14:paraId="6FD36803" w14:textId="77777777" w:rsidR="003C39DB" w:rsidRDefault="003C39DB" w:rsidP="003C39DB">
      <w:pPr>
        <w:widowControl/>
        <w:spacing w:line="480" w:lineRule="auto"/>
        <w:jc w:val="both"/>
        <w:rPr>
          <w:rFonts w:ascii="Arial" w:hAnsi="Arial" w:cs="Arial"/>
          <w:bCs/>
          <w:lang w:val="en-GB"/>
        </w:rPr>
      </w:pPr>
    </w:p>
    <w:p w14:paraId="53EAFE43" w14:textId="3B089918" w:rsidR="00DD3413" w:rsidRDefault="001E1227" w:rsidP="003C39DB">
      <w:pPr>
        <w:widowControl/>
        <w:spacing w:line="480" w:lineRule="auto"/>
        <w:jc w:val="both"/>
        <w:rPr>
          <w:rFonts w:ascii="Arial" w:hAnsi="Arial" w:cs="Arial"/>
          <w:bCs/>
          <w:lang w:val="en-GB"/>
        </w:rPr>
      </w:pPr>
      <w:r>
        <w:rPr>
          <w:rFonts w:ascii="Arial" w:hAnsi="Arial" w:cs="Arial"/>
          <w:bCs/>
          <w:lang w:val="en-GB"/>
        </w:rPr>
        <w:t>[6]</w:t>
      </w:r>
      <w:r>
        <w:rPr>
          <w:rFonts w:ascii="Arial" w:hAnsi="Arial" w:cs="Arial"/>
          <w:bCs/>
          <w:lang w:val="en-GB"/>
        </w:rPr>
        <w:tab/>
      </w:r>
      <w:proofErr w:type="spellStart"/>
      <w:r w:rsidR="00374580">
        <w:rPr>
          <w:rFonts w:ascii="Arial" w:hAnsi="Arial" w:cs="Arial"/>
          <w:bCs/>
          <w:lang w:val="en-GB"/>
        </w:rPr>
        <w:t>Lockstock</w:t>
      </w:r>
      <w:proofErr w:type="spellEnd"/>
      <w:r w:rsidR="00374580">
        <w:rPr>
          <w:rFonts w:ascii="Arial" w:hAnsi="Arial" w:cs="Arial"/>
          <w:bCs/>
          <w:lang w:val="en-GB"/>
        </w:rPr>
        <w:t xml:space="preserve"> </w:t>
      </w:r>
      <w:r w:rsidR="00DD3413">
        <w:rPr>
          <w:rFonts w:ascii="Arial" w:hAnsi="Arial" w:cs="Arial"/>
          <w:bCs/>
          <w:lang w:val="en-GB"/>
        </w:rPr>
        <w:t>oppose the rule 30 application on the grounds that:</w:t>
      </w:r>
    </w:p>
    <w:p w14:paraId="0A62F0DD" w14:textId="47373110" w:rsidR="002329A1" w:rsidRDefault="00422523" w:rsidP="002329A1">
      <w:pPr>
        <w:widowControl/>
        <w:spacing w:line="480" w:lineRule="auto"/>
        <w:ind w:left="720"/>
        <w:jc w:val="both"/>
        <w:rPr>
          <w:rFonts w:ascii="Arial" w:hAnsi="Arial" w:cs="Arial"/>
          <w:bCs/>
          <w:lang w:val="en-GB"/>
        </w:rPr>
      </w:pPr>
      <w:r>
        <w:rPr>
          <w:rFonts w:ascii="Arial" w:hAnsi="Arial" w:cs="Arial"/>
          <w:bCs/>
          <w:lang w:val="en-GB"/>
        </w:rPr>
        <w:t>R</w:t>
      </w:r>
      <w:r w:rsidR="005D3C63">
        <w:rPr>
          <w:rFonts w:ascii="Arial" w:hAnsi="Arial" w:cs="Arial"/>
          <w:bCs/>
          <w:lang w:val="en-GB"/>
        </w:rPr>
        <w:t>ule 30</w:t>
      </w:r>
      <w:r w:rsidR="00E06B17">
        <w:rPr>
          <w:rFonts w:ascii="Arial" w:hAnsi="Arial" w:cs="Arial"/>
          <w:bCs/>
          <w:lang w:val="en-GB"/>
        </w:rPr>
        <w:t xml:space="preserve"> </w:t>
      </w:r>
      <w:r w:rsidR="00125A48">
        <w:rPr>
          <w:rFonts w:ascii="Arial" w:hAnsi="Arial" w:cs="Arial"/>
          <w:bCs/>
          <w:lang w:val="en-GB"/>
        </w:rPr>
        <w:t xml:space="preserve">is </w:t>
      </w:r>
      <w:r w:rsidR="00E06B17">
        <w:rPr>
          <w:rFonts w:ascii="Arial" w:hAnsi="Arial" w:cs="Arial"/>
          <w:bCs/>
          <w:lang w:val="en-GB"/>
        </w:rPr>
        <w:t xml:space="preserve">an </w:t>
      </w:r>
      <w:r w:rsidR="00125A48">
        <w:rPr>
          <w:rFonts w:ascii="Arial" w:hAnsi="Arial" w:cs="Arial"/>
          <w:bCs/>
          <w:lang w:val="en-GB"/>
        </w:rPr>
        <w:t xml:space="preserve">inappropriate </w:t>
      </w:r>
      <w:r w:rsidR="005D3C63">
        <w:rPr>
          <w:rFonts w:ascii="Arial" w:hAnsi="Arial" w:cs="Arial"/>
          <w:bCs/>
          <w:lang w:val="en-GB"/>
        </w:rPr>
        <w:t>application</w:t>
      </w:r>
      <w:r w:rsidR="002329A1">
        <w:rPr>
          <w:rFonts w:ascii="Arial" w:hAnsi="Arial" w:cs="Arial"/>
          <w:bCs/>
          <w:lang w:val="en-GB"/>
        </w:rPr>
        <w:t xml:space="preserve"> </w:t>
      </w:r>
      <w:r w:rsidR="00E82164">
        <w:rPr>
          <w:rFonts w:ascii="Arial" w:hAnsi="Arial" w:cs="Arial"/>
          <w:bCs/>
          <w:lang w:val="en-GB"/>
        </w:rPr>
        <w:t xml:space="preserve">and </w:t>
      </w:r>
      <w:r w:rsidR="002329A1">
        <w:rPr>
          <w:rFonts w:ascii="Arial" w:hAnsi="Arial" w:cs="Arial"/>
          <w:bCs/>
          <w:lang w:val="en-GB"/>
        </w:rPr>
        <w:t xml:space="preserve">has no application here as the rule applies only to irregularities of form and not to matters of substance. </w:t>
      </w:r>
      <w:proofErr w:type="spellStart"/>
      <w:r w:rsidR="00E82164">
        <w:rPr>
          <w:rFonts w:ascii="Arial" w:hAnsi="Arial" w:cs="Arial"/>
          <w:bCs/>
          <w:lang w:val="en-GB"/>
        </w:rPr>
        <w:t>Lockstock</w:t>
      </w:r>
      <w:proofErr w:type="spellEnd"/>
      <w:r w:rsidR="00E82164">
        <w:rPr>
          <w:rFonts w:ascii="Arial" w:hAnsi="Arial" w:cs="Arial"/>
          <w:bCs/>
          <w:lang w:val="en-GB"/>
        </w:rPr>
        <w:t xml:space="preserve"> </w:t>
      </w:r>
      <w:r w:rsidR="002329A1">
        <w:rPr>
          <w:rFonts w:ascii="Arial" w:hAnsi="Arial" w:cs="Arial"/>
          <w:bCs/>
          <w:lang w:val="en-GB"/>
        </w:rPr>
        <w:t xml:space="preserve">rely on </w:t>
      </w:r>
      <w:r w:rsidR="002329A1" w:rsidRPr="00DF1670">
        <w:rPr>
          <w:rFonts w:ascii="Arial" w:hAnsi="Arial" w:cs="Arial"/>
          <w:bCs/>
          <w:i/>
          <w:iCs/>
          <w:lang w:val="en-GB"/>
        </w:rPr>
        <w:t xml:space="preserve">SA Metropolitan </w:t>
      </w:r>
      <w:proofErr w:type="spellStart"/>
      <w:r w:rsidR="002329A1" w:rsidRPr="00DF1670">
        <w:rPr>
          <w:rFonts w:ascii="Arial" w:hAnsi="Arial" w:cs="Arial"/>
          <w:bCs/>
          <w:i/>
          <w:iCs/>
          <w:lang w:val="en-GB"/>
        </w:rPr>
        <w:t>Lewensversekeringsmaatskappy</w:t>
      </w:r>
      <w:proofErr w:type="spellEnd"/>
      <w:r w:rsidR="002329A1" w:rsidRPr="00DF1670">
        <w:rPr>
          <w:rFonts w:ascii="Arial" w:hAnsi="Arial" w:cs="Arial"/>
          <w:bCs/>
          <w:i/>
          <w:iCs/>
          <w:lang w:val="en-GB"/>
        </w:rPr>
        <w:t xml:space="preserve"> </w:t>
      </w:r>
      <w:proofErr w:type="spellStart"/>
      <w:r w:rsidR="002329A1" w:rsidRPr="00DF1670">
        <w:rPr>
          <w:rFonts w:ascii="Arial" w:hAnsi="Arial" w:cs="Arial"/>
          <w:bCs/>
          <w:i/>
          <w:iCs/>
          <w:lang w:val="en-GB"/>
        </w:rPr>
        <w:t>Bpk</w:t>
      </w:r>
      <w:proofErr w:type="spellEnd"/>
      <w:r w:rsidR="002329A1" w:rsidRPr="00DF1670">
        <w:rPr>
          <w:rFonts w:ascii="Arial" w:hAnsi="Arial" w:cs="Arial"/>
          <w:bCs/>
          <w:i/>
          <w:iCs/>
          <w:lang w:val="en-GB"/>
        </w:rPr>
        <w:t xml:space="preserve"> v Louw NO</w:t>
      </w:r>
      <w:r w:rsidR="005E6F49">
        <w:rPr>
          <w:rStyle w:val="FootnoteReference"/>
          <w:rFonts w:ascii="Arial" w:hAnsi="Arial" w:cs="Arial"/>
          <w:bCs/>
          <w:i/>
          <w:iCs/>
          <w:lang w:val="en-GB"/>
        </w:rPr>
        <w:footnoteReference w:id="1"/>
      </w:r>
      <w:r w:rsidR="002329A1">
        <w:rPr>
          <w:rFonts w:ascii="Arial" w:hAnsi="Arial" w:cs="Arial"/>
          <w:bCs/>
          <w:lang w:val="en-GB"/>
        </w:rPr>
        <w:t xml:space="preserve">.       </w:t>
      </w:r>
    </w:p>
    <w:p w14:paraId="27835D90" w14:textId="3F4B6790" w:rsidR="00F92DCC" w:rsidRDefault="005407F3" w:rsidP="0089151C">
      <w:pPr>
        <w:widowControl/>
        <w:spacing w:line="480" w:lineRule="auto"/>
        <w:ind w:left="720"/>
        <w:jc w:val="both"/>
        <w:rPr>
          <w:rFonts w:ascii="Arial" w:hAnsi="Arial" w:cs="Arial"/>
          <w:bCs/>
          <w:lang w:val="en-GB"/>
        </w:rPr>
      </w:pPr>
      <w:r>
        <w:rPr>
          <w:rFonts w:ascii="Arial" w:hAnsi="Arial" w:cs="Arial"/>
          <w:bCs/>
          <w:lang w:val="en-GB"/>
        </w:rPr>
        <w:t xml:space="preserve">It </w:t>
      </w:r>
      <w:r w:rsidR="00822A16">
        <w:rPr>
          <w:rFonts w:ascii="Arial" w:hAnsi="Arial" w:cs="Arial"/>
          <w:bCs/>
          <w:lang w:val="en-GB"/>
        </w:rPr>
        <w:t xml:space="preserve">accepts that section 133 requires them to </w:t>
      </w:r>
      <w:r w:rsidR="003F26E9">
        <w:rPr>
          <w:rFonts w:ascii="Arial" w:hAnsi="Arial" w:cs="Arial"/>
          <w:bCs/>
          <w:lang w:val="en-GB"/>
        </w:rPr>
        <w:t>obtain permission</w:t>
      </w:r>
      <w:r w:rsidR="005408E5">
        <w:rPr>
          <w:rFonts w:ascii="Arial" w:hAnsi="Arial" w:cs="Arial"/>
          <w:bCs/>
          <w:lang w:val="en-GB"/>
        </w:rPr>
        <w:t xml:space="preserve">, </w:t>
      </w:r>
      <w:r w:rsidR="0089151C">
        <w:rPr>
          <w:rFonts w:ascii="Arial" w:hAnsi="Arial" w:cs="Arial"/>
          <w:bCs/>
          <w:lang w:val="en-GB"/>
        </w:rPr>
        <w:t xml:space="preserve">which </w:t>
      </w:r>
      <w:r>
        <w:rPr>
          <w:rFonts w:ascii="Arial" w:hAnsi="Arial" w:cs="Arial"/>
          <w:bCs/>
          <w:lang w:val="en-GB"/>
        </w:rPr>
        <w:t xml:space="preserve">they </w:t>
      </w:r>
      <w:r w:rsidR="0089151C">
        <w:rPr>
          <w:rFonts w:ascii="Arial" w:hAnsi="Arial" w:cs="Arial"/>
          <w:bCs/>
          <w:lang w:val="en-GB"/>
        </w:rPr>
        <w:t>can obtain on their own.</w:t>
      </w:r>
      <w:r w:rsidR="00E06B17">
        <w:rPr>
          <w:rFonts w:ascii="Arial" w:hAnsi="Arial" w:cs="Arial"/>
          <w:bCs/>
          <w:lang w:val="en-GB"/>
        </w:rPr>
        <w:t xml:space="preserve"> </w:t>
      </w:r>
    </w:p>
    <w:p w14:paraId="75DD4AD1" w14:textId="77777777" w:rsidR="00497417" w:rsidRDefault="00497417" w:rsidP="00EC70ED">
      <w:pPr>
        <w:widowControl/>
        <w:spacing w:line="480" w:lineRule="auto"/>
        <w:ind w:left="720" w:hanging="720"/>
        <w:jc w:val="both"/>
        <w:rPr>
          <w:rFonts w:ascii="Arial" w:hAnsi="Arial" w:cs="Arial"/>
          <w:bCs/>
          <w:lang w:val="en-GB"/>
        </w:rPr>
      </w:pPr>
    </w:p>
    <w:p w14:paraId="77461289" w14:textId="5CDF195F" w:rsidR="006A1596" w:rsidRDefault="00EC70ED" w:rsidP="00EC70ED">
      <w:pPr>
        <w:widowControl/>
        <w:spacing w:line="480" w:lineRule="auto"/>
        <w:ind w:left="720" w:hanging="720"/>
        <w:jc w:val="both"/>
        <w:rPr>
          <w:rFonts w:ascii="Arial" w:hAnsi="Arial" w:cs="Arial"/>
          <w:bCs/>
          <w:lang w:val="en-GB"/>
        </w:rPr>
      </w:pPr>
      <w:r>
        <w:rPr>
          <w:rFonts w:ascii="Arial" w:hAnsi="Arial" w:cs="Arial"/>
          <w:bCs/>
          <w:lang w:val="en-GB"/>
        </w:rPr>
        <w:lastRenderedPageBreak/>
        <w:t>[</w:t>
      </w:r>
      <w:r w:rsidR="005F3B70">
        <w:rPr>
          <w:rFonts w:ascii="Arial" w:hAnsi="Arial" w:cs="Arial"/>
          <w:bCs/>
          <w:lang w:val="en-GB"/>
        </w:rPr>
        <w:t>7</w:t>
      </w:r>
      <w:r>
        <w:rPr>
          <w:rFonts w:ascii="Arial" w:hAnsi="Arial" w:cs="Arial"/>
          <w:bCs/>
          <w:lang w:val="en-GB"/>
        </w:rPr>
        <w:t>]</w:t>
      </w:r>
      <w:r>
        <w:rPr>
          <w:rFonts w:ascii="Arial" w:hAnsi="Arial" w:cs="Arial"/>
          <w:bCs/>
          <w:lang w:val="en-GB"/>
        </w:rPr>
        <w:tab/>
      </w:r>
      <w:r w:rsidR="00830432">
        <w:rPr>
          <w:rFonts w:ascii="Arial" w:hAnsi="Arial" w:cs="Arial"/>
          <w:bCs/>
          <w:lang w:val="en-GB"/>
        </w:rPr>
        <w:t xml:space="preserve">The </w:t>
      </w:r>
      <w:r w:rsidR="009F18D9">
        <w:rPr>
          <w:rFonts w:ascii="Arial" w:hAnsi="Arial" w:cs="Arial"/>
          <w:bCs/>
          <w:lang w:val="en-GB"/>
        </w:rPr>
        <w:t xml:space="preserve">BRPs </w:t>
      </w:r>
      <w:r w:rsidR="00830432">
        <w:rPr>
          <w:rFonts w:ascii="Arial" w:hAnsi="Arial" w:cs="Arial"/>
          <w:bCs/>
          <w:lang w:val="en-GB"/>
        </w:rPr>
        <w:t xml:space="preserve">contend that </w:t>
      </w:r>
      <w:r w:rsidR="00DB4D1D">
        <w:rPr>
          <w:rFonts w:ascii="Arial" w:hAnsi="Arial" w:cs="Arial"/>
          <w:bCs/>
          <w:lang w:val="en-GB"/>
        </w:rPr>
        <w:t xml:space="preserve">it is for </w:t>
      </w:r>
      <w:proofErr w:type="spellStart"/>
      <w:r w:rsidR="00E55E6E">
        <w:rPr>
          <w:rFonts w:ascii="Arial" w:hAnsi="Arial" w:cs="Arial"/>
          <w:bCs/>
          <w:lang w:val="en-GB"/>
        </w:rPr>
        <w:t>Lockstock</w:t>
      </w:r>
      <w:proofErr w:type="spellEnd"/>
      <w:r w:rsidR="00DB4D1D">
        <w:rPr>
          <w:rFonts w:ascii="Arial" w:hAnsi="Arial" w:cs="Arial"/>
          <w:bCs/>
          <w:lang w:val="en-GB"/>
        </w:rPr>
        <w:t xml:space="preserve"> </w:t>
      </w:r>
      <w:r w:rsidR="00587206">
        <w:rPr>
          <w:rFonts w:ascii="Arial" w:hAnsi="Arial" w:cs="Arial"/>
          <w:bCs/>
          <w:lang w:val="en-GB"/>
        </w:rPr>
        <w:t>who have commenced with the main proceedings to persuade the court</w:t>
      </w:r>
      <w:r w:rsidR="00360A23">
        <w:rPr>
          <w:rFonts w:ascii="Arial" w:hAnsi="Arial" w:cs="Arial"/>
          <w:bCs/>
          <w:lang w:val="en-GB"/>
        </w:rPr>
        <w:t>, that such leave need only be obtained at the hearing of the main application</w:t>
      </w:r>
      <w:r w:rsidR="009F18D9">
        <w:rPr>
          <w:rFonts w:ascii="Arial" w:hAnsi="Arial" w:cs="Arial"/>
          <w:bCs/>
          <w:lang w:val="en-GB"/>
        </w:rPr>
        <w:t xml:space="preserve">. </w:t>
      </w:r>
    </w:p>
    <w:p w14:paraId="3C515651" w14:textId="77777777" w:rsidR="006A1596" w:rsidRDefault="006A1596" w:rsidP="00A82B3D">
      <w:pPr>
        <w:widowControl/>
        <w:spacing w:line="480" w:lineRule="auto"/>
        <w:jc w:val="both"/>
        <w:rPr>
          <w:rFonts w:ascii="Arial" w:hAnsi="Arial" w:cs="Arial"/>
          <w:bCs/>
          <w:lang w:val="en-GB"/>
        </w:rPr>
      </w:pPr>
    </w:p>
    <w:p w14:paraId="63F02C0E" w14:textId="26712C43" w:rsidR="00A82B3D" w:rsidRDefault="00EC70ED" w:rsidP="00EC70ED">
      <w:pPr>
        <w:widowControl/>
        <w:spacing w:line="480" w:lineRule="auto"/>
        <w:ind w:left="720" w:hanging="720"/>
        <w:jc w:val="both"/>
        <w:rPr>
          <w:rFonts w:ascii="Arial" w:hAnsi="Arial" w:cs="Arial"/>
          <w:bCs/>
          <w:lang w:val="en-GB"/>
        </w:rPr>
      </w:pPr>
      <w:r>
        <w:rPr>
          <w:rFonts w:ascii="Arial" w:hAnsi="Arial" w:cs="Arial"/>
          <w:bCs/>
          <w:lang w:val="en-GB"/>
        </w:rPr>
        <w:t>[</w:t>
      </w:r>
      <w:r w:rsidR="00475983">
        <w:rPr>
          <w:rFonts w:ascii="Arial" w:hAnsi="Arial" w:cs="Arial"/>
          <w:bCs/>
          <w:lang w:val="en-GB"/>
        </w:rPr>
        <w:t>8</w:t>
      </w:r>
      <w:r>
        <w:rPr>
          <w:rFonts w:ascii="Arial" w:hAnsi="Arial" w:cs="Arial"/>
          <w:bCs/>
          <w:lang w:val="en-GB"/>
        </w:rPr>
        <w:t>]</w:t>
      </w:r>
      <w:r>
        <w:rPr>
          <w:rFonts w:ascii="Arial" w:hAnsi="Arial" w:cs="Arial"/>
          <w:bCs/>
          <w:lang w:val="en-GB"/>
        </w:rPr>
        <w:tab/>
      </w:r>
      <w:proofErr w:type="spellStart"/>
      <w:r w:rsidR="008A607D">
        <w:rPr>
          <w:rFonts w:ascii="Arial" w:hAnsi="Arial" w:cs="Arial"/>
          <w:bCs/>
          <w:lang w:val="en-GB"/>
        </w:rPr>
        <w:t>Lockstock’s</w:t>
      </w:r>
      <w:proofErr w:type="spellEnd"/>
      <w:r w:rsidR="008A607D">
        <w:rPr>
          <w:rFonts w:ascii="Arial" w:hAnsi="Arial" w:cs="Arial"/>
          <w:bCs/>
          <w:lang w:val="en-GB"/>
        </w:rPr>
        <w:t xml:space="preserve"> </w:t>
      </w:r>
      <w:r w:rsidR="00B37F9A">
        <w:rPr>
          <w:rFonts w:ascii="Arial" w:hAnsi="Arial" w:cs="Arial"/>
          <w:bCs/>
          <w:lang w:val="en-GB"/>
        </w:rPr>
        <w:t>standpoint is that</w:t>
      </w:r>
      <w:r w:rsidR="006A1596">
        <w:rPr>
          <w:rFonts w:ascii="Arial" w:hAnsi="Arial" w:cs="Arial"/>
          <w:bCs/>
          <w:lang w:val="en-GB"/>
        </w:rPr>
        <w:t xml:space="preserve"> rule 30 </w:t>
      </w:r>
      <w:r w:rsidR="00325ACC">
        <w:rPr>
          <w:rFonts w:ascii="Arial" w:hAnsi="Arial" w:cs="Arial"/>
          <w:bCs/>
          <w:lang w:val="en-GB"/>
        </w:rPr>
        <w:t xml:space="preserve">has no application here as </w:t>
      </w:r>
      <w:r w:rsidR="005B75BE">
        <w:rPr>
          <w:rFonts w:ascii="Arial" w:hAnsi="Arial" w:cs="Arial"/>
          <w:bCs/>
          <w:lang w:val="en-GB"/>
        </w:rPr>
        <w:t xml:space="preserve">the rule applies only to irregularities of form and not to matters of substance. </w:t>
      </w:r>
      <w:r w:rsidR="003F25DC">
        <w:rPr>
          <w:rFonts w:ascii="Arial" w:hAnsi="Arial" w:cs="Arial"/>
          <w:bCs/>
          <w:lang w:val="en-GB"/>
        </w:rPr>
        <w:t xml:space="preserve">And secondly, </w:t>
      </w:r>
      <w:r w:rsidR="0070507E">
        <w:rPr>
          <w:rFonts w:ascii="Arial" w:hAnsi="Arial" w:cs="Arial"/>
          <w:bCs/>
          <w:lang w:val="en-GB"/>
        </w:rPr>
        <w:t xml:space="preserve">if one can conceptually obtain leave </w:t>
      </w:r>
      <w:r w:rsidR="007A758B">
        <w:rPr>
          <w:rFonts w:ascii="Arial" w:hAnsi="Arial" w:cs="Arial"/>
          <w:bCs/>
          <w:lang w:val="en-GB"/>
        </w:rPr>
        <w:t xml:space="preserve">in terms of section 133 </w:t>
      </w:r>
      <w:r w:rsidR="005A7A0C">
        <w:rPr>
          <w:rFonts w:ascii="Arial" w:hAnsi="Arial" w:cs="Arial"/>
          <w:bCs/>
          <w:lang w:val="en-GB"/>
        </w:rPr>
        <w:t>of the Act</w:t>
      </w:r>
      <w:r w:rsidR="00C2363A">
        <w:rPr>
          <w:rFonts w:ascii="Arial" w:hAnsi="Arial" w:cs="Arial"/>
          <w:bCs/>
          <w:lang w:val="en-GB"/>
        </w:rPr>
        <w:t xml:space="preserve"> </w:t>
      </w:r>
      <w:r w:rsidR="0070507E">
        <w:rPr>
          <w:rFonts w:ascii="Arial" w:hAnsi="Arial" w:cs="Arial"/>
          <w:bCs/>
          <w:lang w:val="en-GB"/>
        </w:rPr>
        <w:t>at the</w:t>
      </w:r>
      <w:r w:rsidR="007A758B">
        <w:rPr>
          <w:rFonts w:ascii="Arial" w:hAnsi="Arial" w:cs="Arial"/>
          <w:bCs/>
          <w:lang w:val="en-GB"/>
        </w:rPr>
        <w:t xml:space="preserve"> hearing of the main application, </w:t>
      </w:r>
      <w:r w:rsidR="008E503B">
        <w:rPr>
          <w:rFonts w:ascii="Arial" w:hAnsi="Arial" w:cs="Arial"/>
          <w:bCs/>
          <w:lang w:val="en-GB"/>
        </w:rPr>
        <w:t>it flows that the issue is not p</w:t>
      </w:r>
      <w:r w:rsidR="00846C83">
        <w:rPr>
          <w:rFonts w:ascii="Arial" w:hAnsi="Arial" w:cs="Arial"/>
          <w:bCs/>
          <w:lang w:val="en-GB"/>
        </w:rPr>
        <w:t xml:space="preserve">rocedural and is primarily </w:t>
      </w:r>
      <w:r w:rsidR="003D10E2">
        <w:rPr>
          <w:rFonts w:ascii="Arial" w:hAnsi="Arial" w:cs="Arial"/>
          <w:bCs/>
          <w:lang w:val="en-GB"/>
        </w:rPr>
        <w:t xml:space="preserve">(if not exclusively) a matter of substance. </w:t>
      </w:r>
      <w:r w:rsidR="00B82091">
        <w:rPr>
          <w:rFonts w:ascii="Arial" w:hAnsi="Arial" w:cs="Arial"/>
          <w:bCs/>
          <w:lang w:val="en-GB"/>
        </w:rPr>
        <w:t xml:space="preserve">Once it is accepted that </w:t>
      </w:r>
      <w:r w:rsidR="008B6796">
        <w:rPr>
          <w:rFonts w:ascii="Arial" w:hAnsi="Arial" w:cs="Arial"/>
          <w:bCs/>
          <w:lang w:val="en-GB"/>
        </w:rPr>
        <w:t xml:space="preserve">the granting of relief under and in terms of section 133 </w:t>
      </w:r>
      <w:r w:rsidR="00C2363A">
        <w:rPr>
          <w:rFonts w:ascii="Arial" w:hAnsi="Arial" w:cs="Arial"/>
          <w:bCs/>
          <w:lang w:val="en-GB"/>
        </w:rPr>
        <w:t xml:space="preserve">of the Act </w:t>
      </w:r>
      <w:r w:rsidR="008B6796">
        <w:rPr>
          <w:rFonts w:ascii="Arial" w:hAnsi="Arial" w:cs="Arial"/>
          <w:bCs/>
          <w:lang w:val="en-GB"/>
        </w:rPr>
        <w:t xml:space="preserve">is a matter of substance </w:t>
      </w:r>
      <w:r w:rsidR="004142E3">
        <w:rPr>
          <w:rFonts w:ascii="Arial" w:hAnsi="Arial" w:cs="Arial"/>
          <w:bCs/>
          <w:lang w:val="en-GB"/>
        </w:rPr>
        <w:t xml:space="preserve">and not form, it must follow that compliance with section 133 </w:t>
      </w:r>
      <w:r w:rsidR="009912F8">
        <w:rPr>
          <w:rFonts w:ascii="Arial" w:hAnsi="Arial" w:cs="Arial"/>
          <w:bCs/>
          <w:lang w:val="en-GB"/>
        </w:rPr>
        <w:t xml:space="preserve">of the Act </w:t>
      </w:r>
      <w:r w:rsidR="008F4CEB">
        <w:rPr>
          <w:rFonts w:ascii="Arial" w:hAnsi="Arial" w:cs="Arial"/>
          <w:bCs/>
          <w:lang w:val="en-GB"/>
        </w:rPr>
        <w:t xml:space="preserve">falls outside the scope of rule 30. </w:t>
      </w:r>
      <w:r w:rsidR="0070507E">
        <w:rPr>
          <w:rFonts w:ascii="Arial" w:hAnsi="Arial" w:cs="Arial"/>
          <w:bCs/>
          <w:lang w:val="en-GB"/>
        </w:rPr>
        <w:t xml:space="preserve"> </w:t>
      </w:r>
      <w:r w:rsidR="00325ACC">
        <w:rPr>
          <w:rFonts w:ascii="Arial" w:hAnsi="Arial" w:cs="Arial"/>
          <w:bCs/>
          <w:lang w:val="en-GB"/>
        </w:rPr>
        <w:t xml:space="preserve"> </w:t>
      </w:r>
      <w:r w:rsidR="006A1596">
        <w:rPr>
          <w:rFonts w:ascii="Arial" w:hAnsi="Arial" w:cs="Arial"/>
          <w:bCs/>
          <w:lang w:val="en-GB"/>
        </w:rPr>
        <w:t xml:space="preserve"> </w:t>
      </w:r>
      <w:r w:rsidR="00B37F9A">
        <w:rPr>
          <w:rFonts w:ascii="Arial" w:hAnsi="Arial" w:cs="Arial"/>
          <w:bCs/>
          <w:lang w:val="en-GB"/>
        </w:rPr>
        <w:t xml:space="preserve"> </w:t>
      </w:r>
    </w:p>
    <w:p w14:paraId="748B094F" w14:textId="77777777" w:rsidR="00F92DCC" w:rsidRDefault="00F92DCC" w:rsidP="001661AB">
      <w:pPr>
        <w:widowControl/>
        <w:spacing w:line="480" w:lineRule="auto"/>
        <w:jc w:val="both"/>
        <w:rPr>
          <w:rFonts w:ascii="Arial" w:hAnsi="Arial" w:cs="Arial"/>
          <w:bCs/>
          <w:lang w:val="en-GB"/>
        </w:rPr>
      </w:pPr>
    </w:p>
    <w:p w14:paraId="21A15E57" w14:textId="00E9053A" w:rsidR="0005701F" w:rsidRDefault="00754476" w:rsidP="0005701F">
      <w:pPr>
        <w:spacing w:line="480" w:lineRule="auto"/>
        <w:ind w:left="720" w:hanging="720"/>
        <w:rPr>
          <w:rFonts w:ascii="Arial" w:hAnsi="Arial" w:cs="Arial"/>
        </w:rPr>
      </w:pPr>
      <w:r>
        <w:rPr>
          <w:rFonts w:ascii="Arial" w:hAnsi="Arial" w:cs="Arial"/>
          <w:bCs/>
          <w:lang w:val="en-GB"/>
        </w:rPr>
        <w:t>[</w:t>
      </w:r>
      <w:r w:rsidR="00D372B2">
        <w:rPr>
          <w:rFonts w:ascii="Arial" w:hAnsi="Arial" w:cs="Arial"/>
          <w:bCs/>
          <w:lang w:val="en-GB"/>
        </w:rPr>
        <w:t>9</w:t>
      </w:r>
      <w:r>
        <w:rPr>
          <w:rFonts w:ascii="Arial" w:hAnsi="Arial" w:cs="Arial"/>
          <w:bCs/>
          <w:lang w:val="en-GB"/>
        </w:rPr>
        <w:t>]</w:t>
      </w:r>
      <w:r>
        <w:rPr>
          <w:rFonts w:ascii="Arial" w:hAnsi="Arial" w:cs="Arial"/>
          <w:bCs/>
          <w:lang w:val="en-GB"/>
        </w:rPr>
        <w:tab/>
      </w:r>
      <w:r w:rsidR="0005701F">
        <w:rPr>
          <w:rFonts w:ascii="Arial" w:hAnsi="Arial" w:cs="Arial"/>
        </w:rPr>
        <w:t xml:space="preserve">For most of the answering affidavit, </w:t>
      </w:r>
      <w:proofErr w:type="spellStart"/>
      <w:r w:rsidR="0005701F">
        <w:rPr>
          <w:rFonts w:ascii="Arial" w:hAnsi="Arial" w:cs="Arial"/>
        </w:rPr>
        <w:t>Lockstock</w:t>
      </w:r>
      <w:proofErr w:type="spellEnd"/>
      <w:r w:rsidR="0005701F">
        <w:rPr>
          <w:rFonts w:ascii="Arial" w:hAnsi="Arial" w:cs="Arial"/>
        </w:rPr>
        <w:t xml:space="preserve"> state, at length the difficulties it encountered in obtaining details of the affected parties.  However, </w:t>
      </w:r>
      <w:proofErr w:type="spellStart"/>
      <w:r w:rsidR="0005701F">
        <w:rPr>
          <w:rFonts w:ascii="Arial" w:hAnsi="Arial" w:cs="Arial"/>
        </w:rPr>
        <w:t>Lockstock</w:t>
      </w:r>
      <w:proofErr w:type="spellEnd"/>
      <w:r w:rsidR="0005701F">
        <w:rPr>
          <w:rFonts w:ascii="Arial" w:hAnsi="Arial" w:cs="Arial"/>
        </w:rPr>
        <w:t xml:space="preserve"> contends that if the present applicat</w:t>
      </w:r>
      <w:r w:rsidR="00C3588F">
        <w:rPr>
          <w:rFonts w:ascii="Arial" w:hAnsi="Arial" w:cs="Arial"/>
        </w:rPr>
        <w:t>ion</w:t>
      </w:r>
      <w:r w:rsidR="0005701F">
        <w:rPr>
          <w:rFonts w:ascii="Arial" w:hAnsi="Arial" w:cs="Arial"/>
        </w:rPr>
        <w:t xml:space="preserve"> did fall within the ambit of Rule 30, the BRPs are required to show prejudice that they have or will suffer as a result of the irregular step.  </w:t>
      </w:r>
    </w:p>
    <w:p w14:paraId="009EF444" w14:textId="74F7671D" w:rsidR="00522EA3" w:rsidRDefault="00522EA3" w:rsidP="00754476">
      <w:pPr>
        <w:widowControl/>
        <w:spacing w:line="480" w:lineRule="auto"/>
        <w:ind w:left="720" w:hanging="650"/>
        <w:jc w:val="both"/>
        <w:rPr>
          <w:rFonts w:ascii="Arial" w:hAnsi="Arial" w:cs="Arial"/>
          <w:bCs/>
          <w:lang w:val="en-GB"/>
        </w:rPr>
      </w:pPr>
    </w:p>
    <w:p w14:paraId="50DC4A0A" w14:textId="4F3A2476" w:rsidR="00FA1479" w:rsidRDefault="00E909E9" w:rsidP="00FA1479">
      <w:pPr>
        <w:spacing w:line="480" w:lineRule="auto"/>
        <w:ind w:left="720" w:hanging="720"/>
        <w:rPr>
          <w:rFonts w:ascii="Arial" w:hAnsi="Arial" w:cs="Arial"/>
        </w:rPr>
      </w:pPr>
      <w:r>
        <w:rPr>
          <w:rFonts w:ascii="Arial" w:hAnsi="Arial" w:cs="Arial"/>
          <w:bCs/>
          <w:lang w:val="en-GB"/>
        </w:rPr>
        <w:t>[10]</w:t>
      </w:r>
      <w:r>
        <w:rPr>
          <w:rFonts w:ascii="Arial" w:hAnsi="Arial" w:cs="Arial"/>
          <w:bCs/>
          <w:lang w:val="en-GB"/>
        </w:rPr>
        <w:tab/>
      </w:r>
      <w:proofErr w:type="spellStart"/>
      <w:r w:rsidR="008273F3">
        <w:rPr>
          <w:rFonts w:ascii="Arial" w:hAnsi="Arial" w:cs="Arial"/>
          <w:bCs/>
          <w:lang w:val="en-GB"/>
        </w:rPr>
        <w:t>Lockstock</w:t>
      </w:r>
      <w:proofErr w:type="spellEnd"/>
      <w:r w:rsidR="008273F3">
        <w:rPr>
          <w:rFonts w:ascii="Arial" w:hAnsi="Arial" w:cs="Arial"/>
          <w:bCs/>
          <w:lang w:val="en-GB"/>
        </w:rPr>
        <w:t xml:space="preserve"> </w:t>
      </w:r>
      <w:r w:rsidR="00FA1479">
        <w:rPr>
          <w:rFonts w:ascii="Arial" w:hAnsi="Arial" w:cs="Arial"/>
        </w:rPr>
        <w:t>substantiate their contention by extrapolating that when leave is obtained at the hearing of the main application, it means that the issue is not procedural which then becomes a matter of substance. And if this happens, the granting of relief under and in terms of section 133 is a matter of substance and not form, it must follow</w:t>
      </w:r>
      <w:r w:rsidR="00E528F1">
        <w:rPr>
          <w:rFonts w:ascii="Arial" w:hAnsi="Arial" w:cs="Arial"/>
        </w:rPr>
        <w:t xml:space="preserve">, </w:t>
      </w:r>
      <w:proofErr w:type="spellStart"/>
      <w:r w:rsidR="00E528F1">
        <w:rPr>
          <w:rFonts w:ascii="Arial" w:hAnsi="Arial" w:cs="Arial"/>
        </w:rPr>
        <w:t>Lo</w:t>
      </w:r>
      <w:r w:rsidR="00EB7577">
        <w:rPr>
          <w:rFonts w:ascii="Arial" w:hAnsi="Arial" w:cs="Arial"/>
        </w:rPr>
        <w:t>ckstock</w:t>
      </w:r>
      <w:proofErr w:type="spellEnd"/>
      <w:r w:rsidR="00EB7577">
        <w:rPr>
          <w:rFonts w:ascii="Arial" w:hAnsi="Arial" w:cs="Arial"/>
        </w:rPr>
        <w:t xml:space="preserve"> further contend,</w:t>
      </w:r>
      <w:r w:rsidR="00FA1479">
        <w:rPr>
          <w:rFonts w:ascii="Arial" w:hAnsi="Arial" w:cs="Arial"/>
        </w:rPr>
        <w:t xml:space="preserve"> that compliance with section 133 falls outside the scope of rule 30. </w:t>
      </w:r>
    </w:p>
    <w:p w14:paraId="6F567C89" w14:textId="77777777" w:rsidR="00916773" w:rsidRDefault="00916773" w:rsidP="00754476">
      <w:pPr>
        <w:widowControl/>
        <w:spacing w:line="480" w:lineRule="auto"/>
        <w:ind w:left="720" w:hanging="650"/>
        <w:jc w:val="both"/>
        <w:rPr>
          <w:rFonts w:ascii="Arial" w:hAnsi="Arial" w:cs="Arial"/>
          <w:bCs/>
          <w:lang w:val="en-GB"/>
        </w:rPr>
      </w:pPr>
    </w:p>
    <w:p w14:paraId="35B93816" w14:textId="095ADE31" w:rsidR="00B5516D" w:rsidRDefault="001A5F67" w:rsidP="00754476">
      <w:pPr>
        <w:widowControl/>
        <w:spacing w:line="480" w:lineRule="auto"/>
        <w:ind w:left="720" w:hanging="650"/>
        <w:jc w:val="both"/>
        <w:rPr>
          <w:rFonts w:ascii="Arial" w:hAnsi="Arial" w:cs="Arial"/>
          <w:bCs/>
          <w:lang w:val="en-GB"/>
        </w:rPr>
      </w:pPr>
      <w:r>
        <w:rPr>
          <w:rFonts w:ascii="Arial" w:hAnsi="Arial" w:cs="Arial"/>
          <w:bCs/>
          <w:lang w:val="en-GB"/>
        </w:rPr>
        <w:t>[11]</w:t>
      </w:r>
      <w:r>
        <w:rPr>
          <w:rFonts w:ascii="Arial" w:hAnsi="Arial" w:cs="Arial"/>
          <w:bCs/>
          <w:lang w:val="en-GB"/>
        </w:rPr>
        <w:tab/>
      </w:r>
      <w:r w:rsidR="006F5180">
        <w:rPr>
          <w:rFonts w:ascii="Arial" w:hAnsi="Arial" w:cs="Arial"/>
          <w:bCs/>
          <w:lang w:val="en-GB"/>
        </w:rPr>
        <w:t>S</w:t>
      </w:r>
      <w:r w:rsidR="001964E7">
        <w:rPr>
          <w:rFonts w:ascii="Arial" w:hAnsi="Arial" w:cs="Arial"/>
          <w:bCs/>
          <w:lang w:val="en-GB"/>
        </w:rPr>
        <w:t>ection 133</w:t>
      </w:r>
      <w:r w:rsidR="00912EE2">
        <w:rPr>
          <w:rFonts w:ascii="Arial" w:hAnsi="Arial" w:cs="Arial"/>
          <w:bCs/>
          <w:lang w:val="en-GB"/>
        </w:rPr>
        <w:t>(1)</w:t>
      </w:r>
      <w:r w:rsidR="00493897">
        <w:rPr>
          <w:rFonts w:ascii="Arial" w:hAnsi="Arial" w:cs="Arial"/>
          <w:bCs/>
          <w:lang w:val="en-GB"/>
        </w:rPr>
        <w:t xml:space="preserve">(a) and </w:t>
      </w:r>
      <w:r w:rsidR="00912EE2">
        <w:rPr>
          <w:rFonts w:ascii="Arial" w:hAnsi="Arial" w:cs="Arial"/>
          <w:bCs/>
          <w:lang w:val="en-GB"/>
        </w:rPr>
        <w:t xml:space="preserve">(b) </w:t>
      </w:r>
      <w:r w:rsidR="00C755FF">
        <w:rPr>
          <w:rFonts w:ascii="Arial" w:hAnsi="Arial" w:cs="Arial"/>
          <w:bCs/>
          <w:lang w:val="en-GB"/>
        </w:rPr>
        <w:t xml:space="preserve">provides for a general moratorium </w:t>
      </w:r>
      <w:r w:rsidR="009236F7">
        <w:rPr>
          <w:rFonts w:ascii="Arial" w:hAnsi="Arial" w:cs="Arial"/>
          <w:bCs/>
          <w:lang w:val="en-GB"/>
        </w:rPr>
        <w:t>on legal proceedings against a c</w:t>
      </w:r>
      <w:r w:rsidR="00912EE2">
        <w:rPr>
          <w:rFonts w:ascii="Arial" w:hAnsi="Arial" w:cs="Arial"/>
          <w:bCs/>
          <w:lang w:val="en-GB"/>
        </w:rPr>
        <w:t>ompan</w:t>
      </w:r>
      <w:r w:rsidR="009236F7">
        <w:rPr>
          <w:rFonts w:ascii="Arial" w:hAnsi="Arial" w:cs="Arial"/>
          <w:bCs/>
          <w:lang w:val="en-GB"/>
        </w:rPr>
        <w:t xml:space="preserve">y </w:t>
      </w:r>
      <w:r w:rsidR="007275A0">
        <w:rPr>
          <w:rFonts w:ascii="Arial" w:hAnsi="Arial" w:cs="Arial"/>
          <w:bCs/>
          <w:lang w:val="en-GB"/>
        </w:rPr>
        <w:t>which is in business re</w:t>
      </w:r>
      <w:r w:rsidR="00F5528B">
        <w:rPr>
          <w:rFonts w:ascii="Arial" w:hAnsi="Arial" w:cs="Arial"/>
          <w:bCs/>
          <w:lang w:val="en-GB"/>
        </w:rPr>
        <w:t>scue</w:t>
      </w:r>
      <w:r w:rsidR="007275A0">
        <w:rPr>
          <w:rFonts w:ascii="Arial" w:hAnsi="Arial" w:cs="Arial"/>
          <w:bCs/>
          <w:lang w:val="en-GB"/>
        </w:rPr>
        <w:t xml:space="preserve"> except </w:t>
      </w:r>
      <w:r w:rsidR="00C15C69">
        <w:rPr>
          <w:rFonts w:ascii="Arial" w:hAnsi="Arial" w:cs="Arial"/>
          <w:bCs/>
          <w:lang w:val="en-GB"/>
        </w:rPr>
        <w:t xml:space="preserve">with the written consent </w:t>
      </w:r>
      <w:r w:rsidR="00594C63">
        <w:rPr>
          <w:rFonts w:ascii="Arial" w:hAnsi="Arial" w:cs="Arial"/>
          <w:bCs/>
          <w:lang w:val="en-GB"/>
        </w:rPr>
        <w:t>of t</w:t>
      </w:r>
      <w:r w:rsidR="001A77D5">
        <w:rPr>
          <w:rFonts w:ascii="Arial" w:hAnsi="Arial" w:cs="Arial"/>
          <w:bCs/>
          <w:lang w:val="en-GB"/>
        </w:rPr>
        <w:t>h</w:t>
      </w:r>
      <w:r w:rsidR="00D812EB">
        <w:rPr>
          <w:rFonts w:ascii="Arial" w:hAnsi="Arial" w:cs="Arial"/>
          <w:bCs/>
          <w:lang w:val="en-GB"/>
        </w:rPr>
        <w:t xml:space="preserve">e business rescue practitioner or </w:t>
      </w:r>
      <w:r w:rsidR="00B5516D">
        <w:rPr>
          <w:rFonts w:ascii="Arial" w:hAnsi="Arial" w:cs="Arial"/>
          <w:bCs/>
          <w:lang w:val="en-GB"/>
        </w:rPr>
        <w:t>“</w:t>
      </w:r>
      <w:r w:rsidR="004A0C35">
        <w:rPr>
          <w:rFonts w:ascii="Arial" w:hAnsi="Arial" w:cs="Arial"/>
          <w:bCs/>
          <w:lang w:val="en-GB"/>
        </w:rPr>
        <w:t xml:space="preserve">with the leave of the </w:t>
      </w:r>
      <w:r w:rsidR="00121EB6">
        <w:rPr>
          <w:rFonts w:ascii="Arial" w:hAnsi="Arial" w:cs="Arial"/>
          <w:bCs/>
          <w:lang w:val="en-GB"/>
        </w:rPr>
        <w:t>court</w:t>
      </w:r>
      <w:r w:rsidR="004A0C35">
        <w:rPr>
          <w:rFonts w:ascii="Arial" w:hAnsi="Arial" w:cs="Arial"/>
          <w:bCs/>
          <w:lang w:val="en-GB"/>
        </w:rPr>
        <w:t xml:space="preserve"> and in accordance </w:t>
      </w:r>
      <w:r w:rsidR="00B5516D">
        <w:rPr>
          <w:rFonts w:ascii="Arial" w:hAnsi="Arial" w:cs="Arial"/>
          <w:bCs/>
          <w:lang w:val="en-GB"/>
        </w:rPr>
        <w:t>with any terms the court considers suitable.</w:t>
      </w:r>
      <w:r w:rsidR="002534A6">
        <w:rPr>
          <w:rFonts w:ascii="Arial" w:hAnsi="Arial" w:cs="Arial"/>
          <w:bCs/>
          <w:lang w:val="en-GB"/>
        </w:rPr>
        <w:t>”</w:t>
      </w:r>
    </w:p>
    <w:p w14:paraId="091F53A2" w14:textId="77777777" w:rsidR="00B5516D" w:rsidRDefault="00B5516D" w:rsidP="001661AB">
      <w:pPr>
        <w:widowControl/>
        <w:spacing w:line="480" w:lineRule="auto"/>
        <w:jc w:val="both"/>
        <w:rPr>
          <w:rFonts w:ascii="Arial" w:hAnsi="Arial" w:cs="Arial"/>
          <w:bCs/>
          <w:lang w:val="en-GB"/>
        </w:rPr>
      </w:pPr>
    </w:p>
    <w:p w14:paraId="1E4F4816" w14:textId="7C812C67" w:rsidR="00737615" w:rsidRDefault="005A64C3" w:rsidP="005A64C3">
      <w:pPr>
        <w:widowControl/>
        <w:spacing w:line="480" w:lineRule="auto"/>
        <w:ind w:left="720" w:hanging="720"/>
        <w:jc w:val="both"/>
        <w:rPr>
          <w:rFonts w:ascii="Arial" w:hAnsi="Arial" w:cs="Arial"/>
          <w:bCs/>
          <w:lang w:val="en-GB"/>
        </w:rPr>
      </w:pPr>
      <w:r>
        <w:rPr>
          <w:rFonts w:ascii="Arial" w:hAnsi="Arial" w:cs="Arial"/>
          <w:bCs/>
          <w:lang w:val="en-GB"/>
        </w:rPr>
        <w:t>[1</w:t>
      </w:r>
      <w:r w:rsidR="007A7840">
        <w:rPr>
          <w:rFonts w:ascii="Arial" w:hAnsi="Arial" w:cs="Arial"/>
          <w:bCs/>
          <w:lang w:val="en-GB"/>
        </w:rPr>
        <w:t>2</w:t>
      </w:r>
      <w:r>
        <w:rPr>
          <w:rFonts w:ascii="Arial" w:hAnsi="Arial" w:cs="Arial"/>
          <w:bCs/>
          <w:lang w:val="en-GB"/>
        </w:rPr>
        <w:t>]</w:t>
      </w:r>
      <w:r>
        <w:rPr>
          <w:rFonts w:ascii="Arial" w:hAnsi="Arial" w:cs="Arial"/>
          <w:bCs/>
          <w:lang w:val="en-GB"/>
        </w:rPr>
        <w:tab/>
      </w:r>
      <w:proofErr w:type="spellStart"/>
      <w:r w:rsidR="00203550">
        <w:rPr>
          <w:rFonts w:ascii="Arial" w:hAnsi="Arial" w:cs="Arial"/>
          <w:bCs/>
          <w:lang w:val="en-GB"/>
        </w:rPr>
        <w:t>Lockstock</w:t>
      </w:r>
      <w:proofErr w:type="spellEnd"/>
      <w:r w:rsidR="00203550">
        <w:rPr>
          <w:rFonts w:ascii="Arial" w:hAnsi="Arial" w:cs="Arial"/>
          <w:bCs/>
          <w:lang w:val="en-GB"/>
        </w:rPr>
        <w:t xml:space="preserve"> </w:t>
      </w:r>
      <w:r w:rsidR="007819B2">
        <w:rPr>
          <w:rFonts w:ascii="Arial" w:hAnsi="Arial" w:cs="Arial"/>
          <w:bCs/>
          <w:lang w:val="en-GB"/>
        </w:rPr>
        <w:t xml:space="preserve">are </w:t>
      </w:r>
      <w:r w:rsidR="007A0155">
        <w:rPr>
          <w:rFonts w:ascii="Arial" w:hAnsi="Arial" w:cs="Arial"/>
          <w:bCs/>
          <w:lang w:val="en-GB"/>
        </w:rPr>
        <w:t xml:space="preserve">required to make out a case </w:t>
      </w:r>
      <w:r w:rsidR="005B3487">
        <w:rPr>
          <w:rFonts w:ascii="Arial" w:hAnsi="Arial" w:cs="Arial"/>
          <w:bCs/>
          <w:lang w:val="en-GB"/>
        </w:rPr>
        <w:t xml:space="preserve">why they should be granted leave to commence or proceed </w:t>
      </w:r>
      <w:r w:rsidR="00BA2D60">
        <w:rPr>
          <w:rFonts w:ascii="Arial" w:hAnsi="Arial" w:cs="Arial"/>
          <w:bCs/>
          <w:lang w:val="en-GB"/>
        </w:rPr>
        <w:t xml:space="preserve">with the </w:t>
      </w:r>
      <w:r w:rsidR="0016039C">
        <w:rPr>
          <w:rFonts w:ascii="Arial" w:hAnsi="Arial" w:cs="Arial"/>
          <w:bCs/>
          <w:lang w:val="en-GB"/>
        </w:rPr>
        <w:t xml:space="preserve">main </w:t>
      </w:r>
      <w:r w:rsidR="00BA2D60">
        <w:rPr>
          <w:rFonts w:ascii="Arial" w:hAnsi="Arial" w:cs="Arial"/>
          <w:bCs/>
          <w:lang w:val="en-GB"/>
        </w:rPr>
        <w:t>proceedings</w:t>
      </w:r>
      <w:r w:rsidR="003E5505">
        <w:rPr>
          <w:rFonts w:ascii="Arial" w:hAnsi="Arial" w:cs="Arial"/>
          <w:bCs/>
          <w:lang w:val="en-GB"/>
        </w:rPr>
        <w:t xml:space="preserve"> in accordance with such terms as the court considers suitable</w:t>
      </w:r>
      <w:r w:rsidR="00035B55">
        <w:rPr>
          <w:rFonts w:ascii="Arial" w:hAnsi="Arial" w:cs="Arial"/>
          <w:bCs/>
          <w:lang w:val="en-GB"/>
        </w:rPr>
        <w:t xml:space="preserve">. </w:t>
      </w:r>
    </w:p>
    <w:p w14:paraId="30B0DF59" w14:textId="77777777" w:rsidR="00C70B19" w:rsidRDefault="00C70B19" w:rsidP="001661AB">
      <w:pPr>
        <w:widowControl/>
        <w:spacing w:line="480" w:lineRule="auto"/>
        <w:jc w:val="both"/>
        <w:rPr>
          <w:rFonts w:ascii="Arial" w:hAnsi="Arial" w:cs="Arial"/>
          <w:bCs/>
          <w:lang w:val="en-GB"/>
        </w:rPr>
      </w:pPr>
    </w:p>
    <w:p w14:paraId="35A6BA9C" w14:textId="1ED21069" w:rsidR="00931835" w:rsidRDefault="001A77D5" w:rsidP="001A77D5">
      <w:pPr>
        <w:widowControl/>
        <w:spacing w:line="480" w:lineRule="auto"/>
        <w:ind w:left="720" w:hanging="720"/>
        <w:jc w:val="both"/>
        <w:rPr>
          <w:rFonts w:ascii="Arial" w:hAnsi="Arial" w:cs="Arial"/>
          <w:bCs/>
          <w:lang w:val="en-GB"/>
        </w:rPr>
      </w:pPr>
      <w:r>
        <w:rPr>
          <w:rFonts w:ascii="Arial" w:hAnsi="Arial" w:cs="Arial"/>
          <w:bCs/>
          <w:lang w:val="en-GB"/>
        </w:rPr>
        <w:t>[1</w:t>
      </w:r>
      <w:r w:rsidR="007A7840">
        <w:rPr>
          <w:rFonts w:ascii="Arial" w:hAnsi="Arial" w:cs="Arial"/>
          <w:bCs/>
          <w:lang w:val="en-GB"/>
        </w:rPr>
        <w:t>3</w:t>
      </w:r>
      <w:r>
        <w:rPr>
          <w:rFonts w:ascii="Arial" w:hAnsi="Arial" w:cs="Arial"/>
          <w:bCs/>
          <w:lang w:val="en-GB"/>
        </w:rPr>
        <w:t>]</w:t>
      </w:r>
      <w:r>
        <w:rPr>
          <w:rFonts w:ascii="Arial" w:hAnsi="Arial" w:cs="Arial"/>
          <w:bCs/>
          <w:lang w:val="en-GB"/>
        </w:rPr>
        <w:tab/>
      </w:r>
      <w:proofErr w:type="spellStart"/>
      <w:r w:rsidR="000A5389">
        <w:rPr>
          <w:rFonts w:ascii="Arial" w:hAnsi="Arial" w:cs="Arial"/>
          <w:bCs/>
          <w:lang w:val="en-GB"/>
        </w:rPr>
        <w:t>Lockstock</w:t>
      </w:r>
      <w:proofErr w:type="spellEnd"/>
      <w:r w:rsidR="000A5389">
        <w:rPr>
          <w:rFonts w:ascii="Arial" w:hAnsi="Arial" w:cs="Arial"/>
          <w:bCs/>
          <w:lang w:val="en-GB"/>
        </w:rPr>
        <w:t xml:space="preserve"> </w:t>
      </w:r>
      <w:r w:rsidR="00620E73">
        <w:rPr>
          <w:rFonts w:ascii="Arial" w:hAnsi="Arial" w:cs="Arial"/>
          <w:bCs/>
          <w:lang w:val="en-GB"/>
        </w:rPr>
        <w:t xml:space="preserve">seek </w:t>
      </w:r>
      <w:r w:rsidR="00FC21A7">
        <w:rPr>
          <w:rFonts w:ascii="Arial" w:hAnsi="Arial" w:cs="Arial"/>
          <w:bCs/>
          <w:lang w:val="en-GB"/>
        </w:rPr>
        <w:t xml:space="preserve">that </w:t>
      </w:r>
      <w:r w:rsidR="00620E73">
        <w:rPr>
          <w:rFonts w:ascii="Arial" w:hAnsi="Arial" w:cs="Arial"/>
          <w:bCs/>
          <w:lang w:val="en-GB"/>
        </w:rPr>
        <w:t>this application be dismissed</w:t>
      </w:r>
      <w:r w:rsidR="00A05B47">
        <w:rPr>
          <w:rFonts w:ascii="Arial" w:hAnsi="Arial" w:cs="Arial"/>
          <w:bCs/>
          <w:lang w:val="en-GB"/>
        </w:rPr>
        <w:t xml:space="preserve">. </w:t>
      </w:r>
      <w:proofErr w:type="spellStart"/>
      <w:r w:rsidR="00842291">
        <w:rPr>
          <w:rFonts w:ascii="Arial" w:hAnsi="Arial" w:cs="Arial"/>
          <w:bCs/>
          <w:lang w:val="en-GB"/>
        </w:rPr>
        <w:t>Lockstock</w:t>
      </w:r>
      <w:proofErr w:type="spellEnd"/>
      <w:r w:rsidR="00842291">
        <w:rPr>
          <w:rFonts w:ascii="Arial" w:hAnsi="Arial" w:cs="Arial"/>
          <w:bCs/>
          <w:lang w:val="en-GB"/>
        </w:rPr>
        <w:t xml:space="preserve"> contends </w:t>
      </w:r>
      <w:r w:rsidR="00C350F6">
        <w:rPr>
          <w:rFonts w:ascii="Arial" w:hAnsi="Arial" w:cs="Arial"/>
          <w:bCs/>
          <w:lang w:val="en-GB"/>
        </w:rPr>
        <w:t>that th</w:t>
      </w:r>
      <w:r w:rsidR="003E12FC">
        <w:rPr>
          <w:rFonts w:ascii="Arial" w:hAnsi="Arial" w:cs="Arial"/>
          <w:bCs/>
          <w:lang w:val="en-GB"/>
        </w:rPr>
        <w:t xml:space="preserve">e issue </w:t>
      </w:r>
      <w:r w:rsidR="00745F68">
        <w:rPr>
          <w:rFonts w:ascii="Arial" w:hAnsi="Arial" w:cs="Arial"/>
          <w:bCs/>
          <w:lang w:val="en-GB"/>
        </w:rPr>
        <w:t xml:space="preserve">as to whether </w:t>
      </w:r>
      <w:r w:rsidR="0017459B">
        <w:rPr>
          <w:rFonts w:ascii="Arial" w:hAnsi="Arial" w:cs="Arial"/>
          <w:bCs/>
          <w:lang w:val="en-GB"/>
        </w:rPr>
        <w:t xml:space="preserve">they should get permission should be left to the court </w:t>
      </w:r>
      <w:r w:rsidR="00352249">
        <w:rPr>
          <w:rFonts w:ascii="Arial" w:hAnsi="Arial" w:cs="Arial"/>
          <w:bCs/>
          <w:lang w:val="en-GB"/>
        </w:rPr>
        <w:t>he</w:t>
      </w:r>
      <w:r w:rsidR="0014160E">
        <w:rPr>
          <w:rFonts w:ascii="Arial" w:hAnsi="Arial" w:cs="Arial"/>
          <w:bCs/>
          <w:lang w:val="en-GB"/>
        </w:rPr>
        <w:t xml:space="preserve">aring the main proceedings. </w:t>
      </w:r>
    </w:p>
    <w:p w14:paraId="66225F6B" w14:textId="77777777" w:rsidR="00B16118" w:rsidRDefault="00B16118" w:rsidP="001A77D5">
      <w:pPr>
        <w:widowControl/>
        <w:spacing w:line="480" w:lineRule="auto"/>
        <w:ind w:left="720" w:hanging="720"/>
        <w:jc w:val="both"/>
        <w:rPr>
          <w:rFonts w:ascii="Arial" w:hAnsi="Arial" w:cs="Arial"/>
          <w:bCs/>
          <w:lang w:val="en-GB"/>
        </w:rPr>
      </w:pPr>
    </w:p>
    <w:p w14:paraId="5E8E621D" w14:textId="65FF3BF1" w:rsidR="00C4268B" w:rsidRDefault="00613FE9" w:rsidP="00613FE9">
      <w:pPr>
        <w:widowControl/>
        <w:spacing w:line="480" w:lineRule="auto"/>
        <w:ind w:left="720" w:hanging="720"/>
        <w:jc w:val="both"/>
        <w:rPr>
          <w:rFonts w:ascii="Arial" w:hAnsi="Arial" w:cs="Arial"/>
          <w:bCs/>
          <w:lang w:val="en-GB"/>
        </w:rPr>
      </w:pPr>
      <w:r>
        <w:rPr>
          <w:rFonts w:ascii="Arial" w:hAnsi="Arial" w:cs="Arial"/>
          <w:bCs/>
          <w:lang w:val="en-GB"/>
        </w:rPr>
        <w:t>[1</w:t>
      </w:r>
      <w:r w:rsidR="007A7840">
        <w:rPr>
          <w:rFonts w:ascii="Arial" w:hAnsi="Arial" w:cs="Arial"/>
          <w:bCs/>
          <w:lang w:val="en-GB"/>
        </w:rPr>
        <w:t>4</w:t>
      </w:r>
      <w:r>
        <w:rPr>
          <w:rFonts w:ascii="Arial" w:hAnsi="Arial" w:cs="Arial"/>
          <w:bCs/>
          <w:lang w:val="en-GB"/>
        </w:rPr>
        <w:t>]</w:t>
      </w:r>
      <w:r>
        <w:rPr>
          <w:rFonts w:ascii="Arial" w:hAnsi="Arial" w:cs="Arial"/>
          <w:bCs/>
          <w:lang w:val="en-GB"/>
        </w:rPr>
        <w:tab/>
      </w:r>
      <w:r w:rsidR="00462332">
        <w:rPr>
          <w:rFonts w:ascii="Arial" w:hAnsi="Arial" w:cs="Arial"/>
          <w:bCs/>
          <w:lang w:val="en-GB"/>
        </w:rPr>
        <w:t>W</w:t>
      </w:r>
      <w:r w:rsidR="00991526">
        <w:rPr>
          <w:rFonts w:ascii="Arial" w:hAnsi="Arial" w:cs="Arial"/>
          <w:bCs/>
          <w:lang w:val="en-GB"/>
        </w:rPr>
        <w:t xml:space="preserve">ere </w:t>
      </w:r>
      <w:r w:rsidR="00462332">
        <w:rPr>
          <w:rFonts w:ascii="Arial" w:hAnsi="Arial" w:cs="Arial"/>
          <w:bCs/>
          <w:lang w:val="en-GB"/>
        </w:rPr>
        <w:t xml:space="preserve">that </w:t>
      </w:r>
      <w:r w:rsidR="00991526">
        <w:rPr>
          <w:rFonts w:ascii="Arial" w:hAnsi="Arial" w:cs="Arial"/>
          <w:bCs/>
          <w:lang w:val="en-GB"/>
        </w:rPr>
        <w:t>the case</w:t>
      </w:r>
      <w:r w:rsidR="001B5486">
        <w:rPr>
          <w:rFonts w:ascii="Arial" w:hAnsi="Arial" w:cs="Arial"/>
          <w:bCs/>
          <w:lang w:val="en-GB"/>
        </w:rPr>
        <w:t>, it would mean that the BRPs are to file their answering affidavits now</w:t>
      </w:r>
      <w:r w:rsidR="00632528">
        <w:rPr>
          <w:rFonts w:ascii="Arial" w:hAnsi="Arial" w:cs="Arial"/>
          <w:bCs/>
          <w:lang w:val="en-GB"/>
        </w:rPr>
        <w:t xml:space="preserve">.  To file their answering affidavits in </w:t>
      </w:r>
      <w:r w:rsidR="00A2767A">
        <w:rPr>
          <w:rFonts w:ascii="Arial" w:hAnsi="Arial" w:cs="Arial"/>
          <w:bCs/>
          <w:lang w:val="en-GB"/>
        </w:rPr>
        <w:t xml:space="preserve">circumstances, where </w:t>
      </w:r>
      <w:proofErr w:type="spellStart"/>
      <w:r w:rsidR="00A2767A">
        <w:rPr>
          <w:rFonts w:ascii="Arial" w:hAnsi="Arial" w:cs="Arial"/>
          <w:bCs/>
          <w:lang w:val="en-GB"/>
        </w:rPr>
        <w:t>Lo</w:t>
      </w:r>
      <w:r w:rsidR="00385452">
        <w:rPr>
          <w:rFonts w:ascii="Arial" w:hAnsi="Arial" w:cs="Arial"/>
          <w:bCs/>
          <w:lang w:val="en-GB"/>
        </w:rPr>
        <w:t>c</w:t>
      </w:r>
      <w:r w:rsidR="00A2767A">
        <w:rPr>
          <w:rFonts w:ascii="Arial" w:hAnsi="Arial" w:cs="Arial"/>
          <w:bCs/>
          <w:lang w:val="en-GB"/>
        </w:rPr>
        <w:t>kcstock</w:t>
      </w:r>
      <w:proofErr w:type="spellEnd"/>
      <w:r w:rsidR="00A2767A">
        <w:rPr>
          <w:rFonts w:ascii="Arial" w:hAnsi="Arial" w:cs="Arial"/>
          <w:bCs/>
          <w:lang w:val="en-GB"/>
        </w:rPr>
        <w:t xml:space="preserve"> might not be given </w:t>
      </w:r>
      <w:r w:rsidR="00432C2C">
        <w:rPr>
          <w:rFonts w:ascii="Arial" w:hAnsi="Arial" w:cs="Arial"/>
          <w:bCs/>
          <w:lang w:val="en-GB"/>
        </w:rPr>
        <w:t xml:space="preserve">permission to bring the main application.  </w:t>
      </w:r>
    </w:p>
    <w:p w14:paraId="5206B7E9" w14:textId="77777777" w:rsidR="00FF69B5" w:rsidRDefault="00FF69B5" w:rsidP="001661AB">
      <w:pPr>
        <w:widowControl/>
        <w:spacing w:line="480" w:lineRule="auto"/>
        <w:jc w:val="both"/>
        <w:rPr>
          <w:rFonts w:ascii="Arial" w:hAnsi="Arial" w:cs="Arial"/>
          <w:bCs/>
          <w:lang w:val="en-GB"/>
        </w:rPr>
      </w:pPr>
    </w:p>
    <w:p w14:paraId="611DF8D8" w14:textId="4E69239D" w:rsidR="00EC5EFE" w:rsidRDefault="00847A2A" w:rsidP="00847A2A">
      <w:pPr>
        <w:widowControl/>
        <w:spacing w:line="480" w:lineRule="auto"/>
        <w:ind w:left="720" w:hanging="720"/>
        <w:jc w:val="both"/>
        <w:rPr>
          <w:rFonts w:ascii="Arial" w:hAnsi="Arial" w:cs="Arial"/>
          <w:bCs/>
          <w:lang w:val="en-GB"/>
        </w:rPr>
      </w:pPr>
      <w:r>
        <w:rPr>
          <w:rFonts w:ascii="Arial" w:hAnsi="Arial" w:cs="Arial"/>
          <w:bCs/>
          <w:lang w:val="en-GB"/>
        </w:rPr>
        <w:t>[1</w:t>
      </w:r>
      <w:r w:rsidR="007A7840">
        <w:rPr>
          <w:rFonts w:ascii="Arial" w:hAnsi="Arial" w:cs="Arial"/>
          <w:bCs/>
          <w:lang w:val="en-GB"/>
        </w:rPr>
        <w:t>5</w:t>
      </w:r>
      <w:r>
        <w:rPr>
          <w:rFonts w:ascii="Arial" w:hAnsi="Arial" w:cs="Arial"/>
          <w:bCs/>
          <w:lang w:val="en-GB"/>
        </w:rPr>
        <w:t>]</w:t>
      </w:r>
      <w:r>
        <w:rPr>
          <w:rFonts w:ascii="Arial" w:hAnsi="Arial" w:cs="Arial"/>
          <w:bCs/>
          <w:lang w:val="en-GB"/>
        </w:rPr>
        <w:tab/>
      </w:r>
      <w:r w:rsidR="00061A4A">
        <w:rPr>
          <w:rFonts w:ascii="Arial" w:hAnsi="Arial" w:cs="Arial"/>
          <w:bCs/>
          <w:lang w:val="en-GB"/>
        </w:rPr>
        <w:t xml:space="preserve">The second ground of complaint </w:t>
      </w:r>
      <w:r w:rsidR="00E11BCA">
        <w:rPr>
          <w:rFonts w:ascii="Arial" w:hAnsi="Arial" w:cs="Arial"/>
          <w:bCs/>
          <w:lang w:val="en-GB"/>
        </w:rPr>
        <w:t xml:space="preserve">relates to the </w:t>
      </w:r>
      <w:r w:rsidR="00D45849">
        <w:rPr>
          <w:rFonts w:ascii="Arial" w:hAnsi="Arial" w:cs="Arial"/>
          <w:bCs/>
          <w:lang w:val="en-GB"/>
        </w:rPr>
        <w:t xml:space="preserve">service of the main application upon the necessary </w:t>
      </w:r>
      <w:r w:rsidR="003A7336">
        <w:rPr>
          <w:rFonts w:ascii="Arial" w:hAnsi="Arial" w:cs="Arial"/>
          <w:bCs/>
          <w:lang w:val="en-GB"/>
        </w:rPr>
        <w:t>affected parties</w:t>
      </w:r>
      <w:r w:rsidR="00942EFA">
        <w:rPr>
          <w:rFonts w:ascii="Arial" w:hAnsi="Arial" w:cs="Arial"/>
          <w:bCs/>
          <w:lang w:val="en-GB"/>
        </w:rPr>
        <w:t xml:space="preserve">. </w:t>
      </w:r>
      <w:r w:rsidR="003A7336">
        <w:rPr>
          <w:rFonts w:ascii="Arial" w:hAnsi="Arial" w:cs="Arial"/>
          <w:bCs/>
          <w:lang w:val="en-GB"/>
        </w:rPr>
        <w:t xml:space="preserve"> </w:t>
      </w:r>
      <w:r w:rsidR="00ED3914">
        <w:rPr>
          <w:rFonts w:ascii="Arial" w:hAnsi="Arial" w:cs="Arial"/>
          <w:bCs/>
          <w:lang w:val="en-GB"/>
        </w:rPr>
        <w:t>There was much ado abo</w:t>
      </w:r>
      <w:r w:rsidR="00D50EA5">
        <w:rPr>
          <w:rFonts w:ascii="Arial" w:hAnsi="Arial" w:cs="Arial"/>
          <w:bCs/>
          <w:lang w:val="en-GB"/>
        </w:rPr>
        <w:t xml:space="preserve">ut obtaining the requisite details of the affected parties. Ultimately, </w:t>
      </w:r>
      <w:proofErr w:type="spellStart"/>
      <w:r w:rsidR="00405511">
        <w:rPr>
          <w:rFonts w:ascii="Arial" w:hAnsi="Arial" w:cs="Arial"/>
          <w:bCs/>
          <w:lang w:val="en-GB"/>
        </w:rPr>
        <w:t>Lockstock</w:t>
      </w:r>
      <w:proofErr w:type="spellEnd"/>
      <w:r w:rsidR="00405511">
        <w:rPr>
          <w:rFonts w:ascii="Arial" w:hAnsi="Arial" w:cs="Arial"/>
          <w:bCs/>
          <w:lang w:val="en-GB"/>
        </w:rPr>
        <w:t xml:space="preserve"> </w:t>
      </w:r>
      <w:r w:rsidR="009679E7">
        <w:rPr>
          <w:rFonts w:ascii="Arial" w:hAnsi="Arial" w:cs="Arial"/>
          <w:bCs/>
          <w:lang w:val="en-GB"/>
        </w:rPr>
        <w:t xml:space="preserve">are required to effect service on all the affected parties. </w:t>
      </w:r>
      <w:r w:rsidR="00366201">
        <w:rPr>
          <w:rFonts w:ascii="Arial" w:hAnsi="Arial" w:cs="Arial"/>
          <w:bCs/>
          <w:lang w:val="en-GB"/>
        </w:rPr>
        <w:t>Until such time</w:t>
      </w:r>
      <w:r w:rsidR="00280A32">
        <w:rPr>
          <w:rFonts w:ascii="Arial" w:hAnsi="Arial" w:cs="Arial"/>
          <w:bCs/>
          <w:lang w:val="en-GB"/>
        </w:rPr>
        <w:t xml:space="preserve"> where all the affected parties are served, the </w:t>
      </w:r>
      <w:r w:rsidR="003D010B">
        <w:rPr>
          <w:rFonts w:ascii="Arial" w:hAnsi="Arial" w:cs="Arial"/>
          <w:bCs/>
          <w:lang w:val="en-GB"/>
        </w:rPr>
        <w:t xml:space="preserve">BRPs </w:t>
      </w:r>
      <w:r w:rsidR="00280A32">
        <w:rPr>
          <w:rFonts w:ascii="Arial" w:hAnsi="Arial" w:cs="Arial"/>
          <w:bCs/>
          <w:lang w:val="en-GB"/>
        </w:rPr>
        <w:t xml:space="preserve">contend that they are not in a position </w:t>
      </w:r>
      <w:r w:rsidR="009E32A7">
        <w:rPr>
          <w:rFonts w:ascii="Arial" w:hAnsi="Arial" w:cs="Arial"/>
          <w:bCs/>
          <w:lang w:val="en-GB"/>
        </w:rPr>
        <w:t xml:space="preserve">to file their answering affidavit. </w:t>
      </w:r>
      <w:r w:rsidR="005B4790">
        <w:rPr>
          <w:rFonts w:ascii="Arial" w:hAnsi="Arial" w:cs="Arial"/>
          <w:bCs/>
          <w:lang w:val="en-GB"/>
        </w:rPr>
        <w:t xml:space="preserve"> </w:t>
      </w:r>
      <w:r w:rsidR="00594C16">
        <w:rPr>
          <w:rFonts w:ascii="Arial" w:hAnsi="Arial" w:cs="Arial"/>
          <w:bCs/>
          <w:lang w:val="en-GB"/>
        </w:rPr>
        <w:t xml:space="preserve">It is in issue </w:t>
      </w:r>
      <w:r w:rsidR="00A117F3">
        <w:rPr>
          <w:rFonts w:ascii="Arial" w:hAnsi="Arial" w:cs="Arial"/>
          <w:bCs/>
          <w:lang w:val="en-GB"/>
        </w:rPr>
        <w:t xml:space="preserve">that not all the affected parties have been served with the main application. </w:t>
      </w:r>
    </w:p>
    <w:p w14:paraId="414355A2" w14:textId="77777777" w:rsidR="008A1E7E" w:rsidRDefault="008A1E7E" w:rsidP="008068B8">
      <w:pPr>
        <w:spacing w:line="480" w:lineRule="auto"/>
        <w:rPr>
          <w:rFonts w:ascii="Arial" w:hAnsi="Arial" w:cs="Arial"/>
        </w:rPr>
      </w:pPr>
    </w:p>
    <w:p w14:paraId="61405C1E" w14:textId="1729A88F" w:rsidR="00434805" w:rsidRDefault="005F26C7" w:rsidP="007B2055">
      <w:pPr>
        <w:spacing w:line="480" w:lineRule="auto"/>
        <w:ind w:left="720" w:hanging="720"/>
        <w:rPr>
          <w:rFonts w:ascii="Arial" w:hAnsi="Arial" w:cs="Arial"/>
        </w:rPr>
      </w:pPr>
      <w:r>
        <w:rPr>
          <w:rFonts w:ascii="Arial" w:hAnsi="Arial" w:cs="Arial"/>
        </w:rPr>
        <w:t>[1</w:t>
      </w:r>
      <w:r w:rsidR="007A7840">
        <w:rPr>
          <w:rFonts w:ascii="Arial" w:hAnsi="Arial" w:cs="Arial"/>
        </w:rPr>
        <w:t>6</w:t>
      </w:r>
      <w:r>
        <w:rPr>
          <w:rFonts w:ascii="Arial" w:hAnsi="Arial" w:cs="Arial"/>
        </w:rPr>
        <w:t>]</w:t>
      </w:r>
      <w:r>
        <w:rPr>
          <w:rFonts w:ascii="Arial" w:hAnsi="Arial" w:cs="Arial"/>
        </w:rPr>
        <w:tab/>
      </w:r>
      <w:r w:rsidR="005D30DA">
        <w:rPr>
          <w:rFonts w:ascii="Arial" w:hAnsi="Arial" w:cs="Arial"/>
        </w:rPr>
        <w:t>I</w:t>
      </w:r>
      <w:r w:rsidR="00D27B04">
        <w:rPr>
          <w:rFonts w:ascii="Arial" w:hAnsi="Arial" w:cs="Arial"/>
        </w:rPr>
        <w:t xml:space="preserve">n </w:t>
      </w:r>
      <w:r w:rsidR="00E32DAA">
        <w:rPr>
          <w:rFonts w:ascii="Arial" w:hAnsi="Arial" w:cs="Arial"/>
        </w:rPr>
        <w:t>SA Airlink (Pty) Ltd and South African Airways (SOC) Limited</w:t>
      </w:r>
      <w:r w:rsidR="00376CDF">
        <w:rPr>
          <w:rFonts w:ascii="Arial" w:hAnsi="Arial" w:cs="Arial"/>
        </w:rPr>
        <w:t xml:space="preserve"> &amp; others</w:t>
      </w:r>
      <w:r w:rsidR="006C4E8E">
        <w:rPr>
          <w:rStyle w:val="FootnoteReference"/>
          <w:rFonts w:ascii="Arial" w:hAnsi="Arial" w:cs="Arial"/>
        </w:rPr>
        <w:footnoteReference w:id="2"/>
      </w:r>
      <w:r w:rsidR="0000353B">
        <w:rPr>
          <w:rFonts w:ascii="Arial" w:hAnsi="Arial" w:cs="Arial"/>
        </w:rPr>
        <w:t xml:space="preserve"> </w:t>
      </w:r>
      <w:r w:rsidR="00425D28">
        <w:rPr>
          <w:rFonts w:ascii="Arial" w:hAnsi="Arial" w:cs="Arial"/>
        </w:rPr>
        <w:t xml:space="preserve">it was </w:t>
      </w:r>
      <w:r w:rsidR="00EC64D0">
        <w:rPr>
          <w:rFonts w:ascii="Arial" w:hAnsi="Arial" w:cs="Arial"/>
        </w:rPr>
        <w:t xml:space="preserve">held that </w:t>
      </w:r>
      <w:r w:rsidR="00D87537">
        <w:rPr>
          <w:rFonts w:ascii="Arial" w:hAnsi="Arial" w:cs="Arial"/>
        </w:rPr>
        <w:t xml:space="preserve">the intention of </w:t>
      </w:r>
      <w:r w:rsidR="009873E0">
        <w:rPr>
          <w:rFonts w:ascii="Arial" w:hAnsi="Arial" w:cs="Arial"/>
        </w:rPr>
        <w:t xml:space="preserve">section 133(1) </w:t>
      </w:r>
      <w:r w:rsidR="00366F28">
        <w:rPr>
          <w:rFonts w:ascii="Arial" w:hAnsi="Arial" w:cs="Arial"/>
        </w:rPr>
        <w:t xml:space="preserve">is to cast the net as wide as possible in order to include </w:t>
      </w:r>
      <w:r w:rsidR="00AD7FF8">
        <w:rPr>
          <w:rFonts w:ascii="Arial" w:hAnsi="Arial" w:cs="Arial"/>
        </w:rPr>
        <w:t xml:space="preserve">any conceivable type of action against the company </w:t>
      </w:r>
      <w:r w:rsidR="001D2DCB">
        <w:rPr>
          <w:rFonts w:ascii="Arial" w:hAnsi="Arial" w:cs="Arial"/>
        </w:rPr>
        <w:t xml:space="preserve">which is under business rescue.  It held further that the moratorium is necessary for the effectiveness </w:t>
      </w:r>
      <w:r w:rsidR="004E068D">
        <w:rPr>
          <w:rFonts w:ascii="Arial" w:hAnsi="Arial" w:cs="Arial"/>
        </w:rPr>
        <w:t xml:space="preserve">of the business rescue procedure. </w:t>
      </w:r>
    </w:p>
    <w:p w14:paraId="0A922EF4" w14:textId="192C9771" w:rsidR="00434805" w:rsidRDefault="00434805" w:rsidP="008068B8">
      <w:pPr>
        <w:spacing w:line="480" w:lineRule="auto"/>
        <w:rPr>
          <w:rFonts w:ascii="Arial" w:hAnsi="Arial" w:cs="Arial"/>
        </w:rPr>
      </w:pPr>
    </w:p>
    <w:p w14:paraId="73225322" w14:textId="337ACB33" w:rsidR="005025C4" w:rsidRDefault="00E17120" w:rsidP="009B7E39">
      <w:pPr>
        <w:spacing w:line="480" w:lineRule="auto"/>
        <w:ind w:left="720" w:hanging="720"/>
        <w:rPr>
          <w:rFonts w:ascii="Arial" w:hAnsi="Arial" w:cs="Arial"/>
        </w:rPr>
      </w:pPr>
      <w:r>
        <w:rPr>
          <w:rFonts w:ascii="Arial" w:hAnsi="Arial" w:cs="Arial"/>
        </w:rPr>
        <w:t>[17]</w:t>
      </w:r>
      <w:r>
        <w:rPr>
          <w:rFonts w:ascii="Arial" w:hAnsi="Arial" w:cs="Arial"/>
        </w:rPr>
        <w:tab/>
      </w:r>
      <w:r w:rsidR="00D35ED4">
        <w:rPr>
          <w:rFonts w:ascii="Arial" w:hAnsi="Arial" w:cs="Arial"/>
        </w:rPr>
        <w:t xml:space="preserve">The </w:t>
      </w:r>
      <w:r w:rsidR="00E33012">
        <w:rPr>
          <w:rFonts w:ascii="Arial" w:hAnsi="Arial" w:cs="Arial"/>
        </w:rPr>
        <w:t xml:space="preserve">contention </w:t>
      </w:r>
      <w:r w:rsidR="000579C2">
        <w:rPr>
          <w:rFonts w:ascii="Arial" w:hAnsi="Arial" w:cs="Arial"/>
        </w:rPr>
        <w:t xml:space="preserve">of </w:t>
      </w:r>
      <w:proofErr w:type="spellStart"/>
      <w:r w:rsidR="00AB5A4D">
        <w:rPr>
          <w:rFonts w:ascii="Arial" w:hAnsi="Arial" w:cs="Arial"/>
        </w:rPr>
        <w:t>Lockstock</w:t>
      </w:r>
      <w:proofErr w:type="spellEnd"/>
      <w:r w:rsidR="00AB5A4D">
        <w:rPr>
          <w:rFonts w:ascii="Arial" w:hAnsi="Arial" w:cs="Arial"/>
        </w:rPr>
        <w:t xml:space="preserve"> </w:t>
      </w:r>
      <w:r w:rsidR="00221FB5">
        <w:rPr>
          <w:rFonts w:ascii="Arial" w:hAnsi="Arial" w:cs="Arial"/>
        </w:rPr>
        <w:t xml:space="preserve">that </w:t>
      </w:r>
      <w:r w:rsidR="00CF31A7">
        <w:rPr>
          <w:rFonts w:ascii="Arial" w:hAnsi="Arial" w:cs="Arial"/>
        </w:rPr>
        <w:t xml:space="preserve">to interpret rule 30 </w:t>
      </w:r>
      <w:r w:rsidR="0029562A">
        <w:rPr>
          <w:rFonts w:ascii="Arial" w:hAnsi="Arial" w:cs="Arial"/>
        </w:rPr>
        <w:t>which is procedural vis-à-vis substantive</w:t>
      </w:r>
      <w:r w:rsidR="00BD64D0">
        <w:rPr>
          <w:rFonts w:ascii="Arial" w:hAnsi="Arial" w:cs="Arial"/>
        </w:rPr>
        <w:t xml:space="preserve">, where if it is not the one then it should be the other, is contrary to </w:t>
      </w:r>
      <w:r w:rsidR="00E768AA">
        <w:rPr>
          <w:rFonts w:ascii="Arial" w:hAnsi="Arial" w:cs="Arial"/>
        </w:rPr>
        <w:t xml:space="preserve">what was held </w:t>
      </w:r>
      <w:r w:rsidR="00681653">
        <w:rPr>
          <w:rFonts w:ascii="Arial" w:hAnsi="Arial" w:cs="Arial"/>
        </w:rPr>
        <w:t xml:space="preserve">by </w:t>
      </w:r>
      <w:proofErr w:type="spellStart"/>
      <w:r w:rsidR="00681653">
        <w:rPr>
          <w:rFonts w:ascii="Arial" w:hAnsi="Arial" w:cs="Arial"/>
        </w:rPr>
        <w:t>Fabricius</w:t>
      </w:r>
      <w:proofErr w:type="spellEnd"/>
      <w:r w:rsidR="00681653">
        <w:rPr>
          <w:rFonts w:ascii="Arial" w:hAnsi="Arial" w:cs="Arial"/>
        </w:rPr>
        <w:t xml:space="preserve"> J in Cheetah C</w:t>
      </w:r>
      <w:r w:rsidR="00C55F3F">
        <w:rPr>
          <w:rFonts w:ascii="Arial" w:hAnsi="Arial" w:cs="Arial"/>
        </w:rPr>
        <w:t>h</w:t>
      </w:r>
      <w:r w:rsidR="00681653">
        <w:rPr>
          <w:rFonts w:ascii="Arial" w:hAnsi="Arial" w:cs="Arial"/>
        </w:rPr>
        <w:t xml:space="preserve">rome South </w:t>
      </w:r>
      <w:r w:rsidR="00C55F3F">
        <w:rPr>
          <w:rFonts w:ascii="Arial" w:hAnsi="Arial" w:cs="Arial"/>
        </w:rPr>
        <w:t>Africa (P</w:t>
      </w:r>
      <w:r w:rsidR="00692C76">
        <w:rPr>
          <w:rFonts w:ascii="Arial" w:hAnsi="Arial" w:cs="Arial"/>
        </w:rPr>
        <w:t>ty</w:t>
      </w:r>
      <w:r w:rsidR="00C55F3F">
        <w:rPr>
          <w:rFonts w:ascii="Arial" w:hAnsi="Arial" w:cs="Arial"/>
        </w:rPr>
        <w:t>) L</w:t>
      </w:r>
      <w:r w:rsidR="00176A5F">
        <w:rPr>
          <w:rFonts w:ascii="Arial" w:hAnsi="Arial" w:cs="Arial"/>
        </w:rPr>
        <w:t>td</w:t>
      </w:r>
      <w:r w:rsidR="00C55F3F">
        <w:rPr>
          <w:rStyle w:val="FootnoteReference"/>
          <w:rFonts w:ascii="Arial" w:hAnsi="Arial" w:cs="Arial"/>
        </w:rPr>
        <w:footnoteReference w:id="3"/>
      </w:r>
      <w:r w:rsidR="00545558">
        <w:rPr>
          <w:rFonts w:ascii="Arial" w:hAnsi="Arial" w:cs="Arial"/>
        </w:rPr>
        <w:t xml:space="preserve"> </w:t>
      </w:r>
      <w:r w:rsidR="00F468E0">
        <w:rPr>
          <w:rFonts w:ascii="Arial" w:hAnsi="Arial" w:cs="Arial"/>
        </w:rPr>
        <w:t xml:space="preserve">where </w:t>
      </w:r>
      <w:r w:rsidR="005430C4">
        <w:rPr>
          <w:rFonts w:ascii="Arial" w:hAnsi="Arial" w:cs="Arial"/>
        </w:rPr>
        <w:t xml:space="preserve">the learned Judge </w:t>
      </w:r>
      <w:r w:rsidR="00AF62E7">
        <w:rPr>
          <w:rFonts w:ascii="Arial" w:hAnsi="Arial" w:cs="Arial"/>
        </w:rPr>
        <w:t xml:space="preserve">repeated what he had said </w:t>
      </w:r>
      <w:r w:rsidR="001804ED">
        <w:rPr>
          <w:rFonts w:ascii="Arial" w:hAnsi="Arial" w:cs="Arial"/>
        </w:rPr>
        <w:t xml:space="preserve">in a recent judgement delivered by him in the matter of Absa Bank </w:t>
      </w:r>
      <w:r w:rsidR="002D0826">
        <w:rPr>
          <w:rFonts w:ascii="Arial" w:hAnsi="Arial" w:cs="Arial"/>
        </w:rPr>
        <w:t xml:space="preserve">Limited and Another v CSARS </w:t>
      </w:r>
      <w:r w:rsidR="00E71955">
        <w:rPr>
          <w:rFonts w:ascii="Arial" w:hAnsi="Arial" w:cs="Arial"/>
        </w:rPr>
        <w:t>(21</w:t>
      </w:r>
      <w:r w:rsidR="00BC35B8">
        <w:rPr>
          <w:rFonts w:ascii="Arial" w:hAnsi="Arial" w:cs="Arial"/>
        </w:rPr>
        <w:t>825/</w:t>
      </w:r>
      <w:r w:rsidR="000954E8">
        <w:rPr>
          <w:rFonts w:ascii="Arial" w:hAnsi="Arial" w:cs="Arial"/>
        </w:rPr>
        <w:t xml:space="preserve">19 [2020] </w:t>
      </w:r>
      <w:r w:rsidR="00DA44C4">
        <w:rPr>
          <w:rFonts w:ascii="Arial" w:hAnsi="Arial" w:cs="Arial"/>
        </w:rPr>
        <w:t xml:space="preserve">ZAGPPHC 414 where </w:t>
      </w:r>
      <w:r w:rsidR="00E75406">
        <w:rPr>
          <w:rFonts w:ascii="Arial" w:hAnsi="Arial" w:cs="Arial"/>
        </w:rPr>
        <w:t xml:space="preserve">it was </w:t>
      </w:r>
      <w:r w:rsidR="00DA44C4">
        <w:rPr>
          <w:rFonts w:ascii="Arial" w:hAnsi="Arial" w:cs="Arial"/>
        </w:rPr>
        <w:t>held</w:t>
      </w:r>
      <w:r w:rsidR="005A215E">
        <w:rPr>
          <w:rFonts w:ascii="Arial" w:hAnsi="Arial" w:cs="Arial"/>
        </w:rPr>
        <w:t>:</w:t>
      </w:r>
      <w:r w:rsidR="005025C4">
        <w:rPr>
          <w:rFonts w:ascii="Arial" w:hAnsi="Arial" w:cs="Arial"/>
        </w:rPr>
        <w:t xml:space="preserve"> (at para 10). </w:t>
      </w:r>
    </w:p>
    <w:p w14:paraId="2F7EF8B5" w14:textId="77777777" w:rsidR="0075203A" w:rsidRDefault="0075203A" w:rsidP="0075203A">
      <w:pPr>
        <w:spacing w:line="480" w:lineRule="auto"/>
        <w:ind w:left="2160"/>
        <w:rPr>
          <w:rFonts w:ascii="Arial" w:hAnsi="Arial" w:cs="Arial"/>
        </w:rPr>
      </w:pPr>
    </w:p>
    <w:p w14:paraId="45BA074E" w14:textId="10B6728C" w:rsidR="00241ED1" w:rsidRPr="00A65237" w:rsidRDefault="0075203A" w:rsidP="00064E11">
      <w:pPr>
        <w:spacing w:line="360" w:lineRule="auto"/>
        <w:ind w:left="2160"/>
        <w:rPr>
          <w:rFonts w:ascii="Arial" w:hAnsi="Arial" w:cs="Arial"/>
        </w:rPr>
      </w:pPr>
      <w:r w:rsidRPr="00064E11">
        <w:rPr>
          <w:rFonts w:ascii="Arial" w:hAnsi="Arial" w:cs="Arial"/>
          <w:i/>
          <w:iCs/>
        </w:rPr>
        <w:t>“</w:t>
      </w:r>
      <w:r w:rsidR="005805F7" w:rsidRPr="00064E11">
        <w:rPr>
          <w:rFonts w:ascii="Arial" w:hAnsi="Arial" w:cs="Arial"/>
          <w:i/>
          <w:iCs/>
        </w:rPr>
        <w:t xml:space="preserve">a technical approach is to be avoided </w:t>
      </w:r>
      <w:r w:rsidR="0030441F" w:rsidRPr="00064E11">
        <w:rPr>
          <w:rFonts w:ascii="Arial" w:hAnsi="Arial" w:cs="Arial"/>
          <w:i/>
          <w:iCs/>
        </w:rPr>
        <w:t>nor should an excessively</w:t>
      </w:r>
      <w:r w:rsidRPr="00064E11">
        <w:rPr>
          <w:rFonts w:ascii="Arial" w:hAnsi="Arial" w:cs="Arial"/>
          <w:i/>
          <w:iCs/>
        </w:rPr>
        <w:t xml:space="preserve"> </w:t>
      </w:r>
      <w:r w:rsidR="0030441F" w:rsidRPr="00064E11">
        <w:rPr>
          <w:rFonts w:ascii="Arial" w:hAnsi="Arial" w:cs="Arial"/>
          <w:i/>
          <w:iCs/>
        </w:rPr>
        <w:t>formalistic approach in the application of the Rules be adopted</w:t>
      </w:r>
      <w:r w:rsidR="00F2389B" w:rsidRPr="00064E11">
        <w:rPr>
          <w:rFonts w:ascii="Arial" w:hAnsi="Arial" w:cs="Arial"/>
          <w:i/>
          <w:iCs/>
        </w:rPr>
        <w:t>. One should aim at an expeditious and inexpensive approach to de</w:t>
      </w:r>
      <w:r w:rsidR="0062391B" w:rsidRPr="00064E11">
        <w:rPr>
          <w:rFonts w:ascii="Arial" w:hAnsi="Arial" w:cs="Arial"/>
          <w:i/>
          <w:iCs/>
        </w:rPr>
        <w:t>termine cases on their real merits.</w:t>
      </w:r>
      <w:r w:rsidR="004F30E6">
        <w:rPr>
          <w:rFonts w:ascii="Arial" w:hAnsi="Arial" w:cs="Arial"/>
          <w:i/>
          <w:iCs/>
        </w:rPr>
        <w:t xml:space="preserve"> </w:t>
      </w:r>
      <w:r w:rsidR="004F30E6" w:rsidRPr="00CB2465">
        <w:rPr>
          <w:rFonts w:ascii="Arial" w:hAnsi="Arial" w:cs="Arial"/>
          <w:i/>
          <w:iCs/>
        </w:rPr>
        <w:t>See</w:t>
      </w:r>
      <w:r w:rsidR="00D54FE5" w:rsidRPr="00CB2465">
        <w:rPr>
          <w:rFonts w:ascii="Arial" w:hAnsi="Arial" w:cs="Arial"/>
          <w:i/>
          <w:iCs/>
        </w:rPr>
        <w:t>: Trans-African Insurance Co Ltd v Malu</w:t>
      </w:r>
      <w:r w:rsidR="007045AD" w:rsidRPr="00CB2465">
        <w:rPr>
          <w:rFonts w:ascii="Arial" w:hAnsi="Arial" w:cs="Arial"/>
          <w:i/>
          <w:iCs/>
        </w:rPr>
        <w:t>leka 1956 (2) SA 273 (A) at 278 F-G</w:t>
      </w:r>
      <w:r w:rsidR="00CB2465">
        <w:rPr>
          <w:rFonts w:ascii="Arial" w:hAnsi="Arial" w:cs="Arial"/>
        </w:rPr>
        <w:t>.</w:t>
      </w:r>
    </w:p>
    <w:p w14:paraId="75EBBB8B" w14:textId="4B36B7B5" w:rsidR="005A215E" w:rsidRDefault="00F11608" w:rsidP="00064E11">
      <w:pPr>
        <w:spacing w:line="360" w:lineRule="auto"/>
        <w:ind w:left="2160"/>
        <w:rPr>
          <w:rFonts w:ascii="Arial" w:hAnsi="Arial" w:cs="Arial"/>
          <w:i/>
          <w:iCs/>
        </w:rPr>
      </w:pPr>
      <w:r>
        <w:rPr>
          <w:rFonts w:ascii="Arial" w:hAnsi="Arial" w:cs="Arial"/>
          <w:i/>
          <w:iCs/>
        </w:rPr>
        <w:t>I</w:t>
      </w:r>
      <w:r w:rsidR="000678FC" w:rsidRPr="00064E11">
        <w:rPr>
          <w:rFonts w:ascii="Arial" w:hAnsi="Arial" w:cs="Arial"/>
          <w:i/>
          <w:iCs/>
        </w:rPr>
        <w:t xml:space="preserve">n recent times the </w:t>
      </w:r>
      <w:r w:rsidR="009A3883" w:rsidRPr="00064E11">
        <w:rPr>
          <w:rFonts w:ascii="Arial" w:hAnsi="Arial" w:cs="Arial"/>
          <w:i/>
          <w:iCs/>
        </w:rPr>
        <w:t xml:space="preserve">above well-known considerations have been amplified </w:t>
      </w:r>
      <w:r w:rsidR="00150265" w:rsidRPr="00064E11">
        <w:rPr>
          <w:rFonts w:ascii="Arial" w:hAnsi="Arial" w:cs="Arial"/>
          <w:i/>
          <w:iCs/>
        </w:rPr>
        <w:t xml:space="preserve">by the notion that Rules of Court should be seen and given life against the background of relevant constitutional </w:t>
      </w:r>
      <w:r w:rsidR="00E133CE" w:rsidRPr="00064E11">
        <w:rPr>
          <w:rFonts w:ascii="Arial" w:hAnsi="Arial" w:cs="Arial"/>
          <w:i/>
          <w:iCs/>
        </w:rPr>
        <w:t xml:space="preserve">law </w:t>
      </w:r>
      <w:r w:rsidR="00150265" w:rsidRPr="00064E11">
        <w:rPr>
          <w:rFonts w:ascii="Arial" w:hAnsi="Arial" w:cs="Arial"/>
          <w:i/>
          <w:iCs/>
        </w:rPr>
        <w:t>considerations</w:t>
      </w:r>
      <w:r w:rsidR="00E133CE" w:rsidRPr="00064E11">
        <w:rPr>
          <w:rFonts w:ascii="Arial" w:hAnsi="Arial" w:cs="Arial"/>
          <w:i/>
          <w:iCs/>
        </w:rPr>
        <w:t xml:space="preserve">, such as </w:t>
      </w:r>
      <w:r w:rsidR="00791403" w:rsidRPr="00064E11">
        <w:rPr>
          <w:rFonts w:ascii="Arial" w:hAnsi="Arial" w:cs="Arial"/>
          <w:i/>
          <w:iCs/>
        </w:rPr>
        <w:t>the right of access to Courts</w:t>
      </w:r>
      <w:r w:rsidR="001D1945">
        <w:rPr>
          <w:rFonts w:ascii="Arial" w:hAnsi="Arial" w:cs="Arial"/>
          <w:i/>
          <w:iCs/>
        </w:rPr>
        <w:t>…</w:t>
      </w:r>
      <w:r w:rsidR="00791403" w:rsidRPr="00064E11">
        <w:rPr>
          <w:rFonts w:ascii="Arial" w:hAnsi="Arial" w:cs="Arial"/>
          <w:i/>
          <w:iCs/>
        </w:rPr>
        <w:t xml:space="preserve">. </w:t>
      </w:r>
      <w:r w:rsidR="00550069">
        <w:rPr>
          <w:rFonts w:ascii="Arial" w:hAnsi="Arial" w:cs="Arial"/>
          <w:i/>
          <w:iCs/>
        </w:rPr>
        <w:t xml:space="preserve">The </w:t>
      </w:r>
      <w:r w:rsidR="002C6552" w:rsidRPr="00064E11">
        <w:rPr>
          <w:rFonts w:ascii="Arial" w:hAnsi="Arial" w:cs="Arial"/>
          <w:i/>
          <w:iCs/>
        </w:rPr>
        <w:t xml:space="preserve">core function of a Court is after all to dispense </w:t>
      </w:r>
      <w:r w:rsidR="007C7B43" w:rsidRPr="00064E11">
        <w:rPr>
          <w:rFonts w:ascii="Arial" w:hAnsi="Arial" w:cs="Arial"/>
          <w:i/>
          <w:iCs/>
        </w:rPr>
        <w:t xml:space="preserve">justice without being hamstrung. The object of courts is two-fold: </w:t>
      </w:r>
      <w:r w:rsidR="0084536E" w:rsidRPr="00064E11">
        <w:rPr>
          <w:rFonts w:ascii="Arial" w:hAnsi="Arial" w:cs="Arial"/>
          <w:i/>
          <w:iCs/>
        </w:rPr>
        <w:t xml:space="preserve">the first </w:t>
      </w:r>
      <w:r w:rsidR="00D82752" w:rsidRPr="00064E11">
        <w:rPr>
          <w:rFonts w:ascii="Arial" w:hAnsi="Arial" w:cs="Arial"/>
          <w:i/>
          <w:iCs/>
        </w:rPr>
        <w:t xml:space="preserve">is to ensure a fair trial or hearing. The second is to </w:t>
      </w:r>
      <w:r w:rsidR="002F1F54">
        <w:rPr>
          <w:rFonts w:ascii="Arial" w:hAnsi="Arial" w:cs="Arial"/>
          <w:i/>
          <w:iCs/>
        </w:rPr>
        <w:t>‘</w:t>
      </w:r>
      <w:r w:rsidR="00D82752" w:rsidRPr="00064E11">
        <w:rPr>
          <w:rFonts w:ascii="Arial" w:hAnsi="Arial" w:cs="Arial"/>
          <w:i/>
          <w:iCs/>
        </w:rPr>
        <w:t xml:space="preserve">secure the inexpensive </w:t>
      </w:r>
      <w:r w:rsidR="0026125C" w:rsidRPr="00064E11">
        <w:rPr>
          <w:rFonts w:ascii="Arial" w:hAnsi="Arial" w:cs="Arial"/>
          <w:i/>
          <w:iCs/>
        </w:rPr>
        <w:t xml:space="preserve">and expeditious completion of litigation and…. to </w:t>
      </w:r>
      <w:r w:rsidR="0026125C" w:rsidRPr="00064E11">
        <w:rPr>
          <w:rFonts w:ascii="Arial" w:hAnsi="Arial" w:cs="Arial"/>
          <w:i/>
          <w:iCs/>
        </w:rPr>
        <w:lastRenderedPageBreak/>
        <w:t xml:space="preserve">further the </w:t>
      </w:r>
      <w:r w:rsidR="0004541D" w:rsidRPr="00064E11">
        <w:rPr>
          <w:rFonts w:ascii="Arial" w:hAnsi="Arial" w:cs="Arial"/>
          <w:i/>
          <w:iCs/>
        </w:rPr>
        <w:t>administr</w:t>
      </w:r>
      <w:r w:rsidR="0026125C" w:rsidRPr="00064E11">
        <w:rPr>
          <w:rFonts w:ascii="Arial" w:hAnsi="Arial" w:cs="Arial"/>
          <w:i/>
          <w:iCs/>
        </w:rPr>
        <w:t>ation of justice.</w:t>
      </w:r>
      <w:r w:rsidR="001347E9">
        <w:rPr>
          <w:rFonts w:ascii="Arial" w:hAnsi="Arial" w:cs="Arial"/>
          <w:i/>
          <w:iCs/>
        </w:rPr>
        <w:t xml:space="preserve"> See</w:t>
      </w:r>
      <w:r w:rsidR="00CE3D51">
        <w:rPr>
          <w:rFonts w:ascii="Arial" w:hAnsi="Arial" w:cs="Arial"/>
          <w:i/>
          <w:iCs/>
        </w:rPr>
        <w:t xml:space="preserve">: Eke v Parsons [2015] ZACC 30 at par </w:t>
      </w:r>
      <w:r w:rsidR="000C06B7">
        <w:rPr>
          <w:rFonts w:ascii="Arial" w:hAnsi="Arial" w:cs="Arial"/>
          <w:i/>
          <w:iCs/>
        </w:rPr>
        <w:t xml:space="preserve">[39] and [40], as well as </w:t>
      </w:r>
      <w:proofErr w:type="spellStart"/>
      <w:r w:rsidR="000C06B7">
        <w:rPr>
          <w:rFonts w:ascii="Arial" w:hAnsi="Arial" w:cs="Arial"/>
          <w:i/>
          <w:iCs/>
        </w:rPr>
        <w:t>Kgolane</w:t>
      </w:r>
      <w:proofErr w:type="spellEnd"/>
      <w:r w:rsidR="000C06B7">
        <w:rPr>
          <w:rFonts w:ascii="Arial" w:hAnsi="Arial" w:cs="Arial"/>
          <w:i/>
          <w:iCs/>
        </w:rPr>
        <w:t xml:space="preserve"> v Minister of Justice 1969 (3) SA 365</w:t>
      </w:r>
      <w:r w:rsidR="00CB2465">
        <w:rPr>
          <w:rFonts w:ascii="Arial" w:hAnsi="Arial" w:cs="Arial"/>
          <w:i/>
          <w:iCs/>
        </w:rPr>
        <w:t xml:space="preserve"> (A) at 369 H’</w:t>
      </w:r>
      <w:r w:rsidR="00502E6D">
        <w:rPr>
          <w:rFonts w:ascii="Arial" w:hAnsi="Arial" w:cs="Arial"/>
          <w:i/>
          <w:iCs/>
        </w:rPr>
        <w:t>”</w:t>
      </w:r>
      <w:r w:rsidR="002F1F54">
        <w:rPr>
          <w:rFonts w:ascii="Arial" w:hAnsi="Arial" w:cs="Arial"/>
          <w:i/>
          <w:iCs/>
        </w:rPr>
        <w:t xml:space="preserve"> </w:t>
      </w:r>
    </w:p>
    <w:p w14:paraId="7C70E4C8" w14:textId="77777777" w:rsidR="00064E11" w:rsidRPr="00064E11" w:rsidRDefault="00064E11" w:rsidP="00064E11">
      <w:pPr>
        <w:spacing w:line="360" w:lineRule="auto"/>
        <w:ind w:left="2160"/>
        <w:rPr>
          <w:rFonts w:ascii="Arial" w:hAnsi="Arial" w:cs="Arial"/>
          <w:i/>
          <w:iCs/>
        </w:rPr>
      </w:pPr>
    </w:p>
    <w:p w14:paraId="6DB87AC3" w14:textId="02301FC5" w:rsidR="00B70CDE" w:rsidRDefault="001A6A40" w:rsidP="00B70CDE">
      <w:pPr>
        <w:spacing w:line="480" w:lineRule="auto"/>
        <w:ind w:left="720" w:hanging="720"/>
        <w:rPr>
          <w:rFonts w:ascii="Arial" w:hAnsi="Arial" w:cs="Arial"/>
        </w:rPr>
      </w:pPr>
      <w:r>
        <w:rPr>
          <w:rFonts w:ascii="Arial" w:hAnsi="Arial" w:cs="Arial"/>
        </w:rPr>
        <w:t>[1</w:t>
      </w:r>
      <w:r w:rsidR="009E38D4">
        <w:rPr>
          <w:rFonts w:ascii="Arial" w:hAnsi="Arial" w:cs="Arial"/>
        </w:rPr>
        <w:t>8</w:t>
      </w:r>
      <w:r>
        <w:rPr>
          <w:rFonts w:ascii="Arial" w:hAnsi="Arial" w:cs="Arial"/>
        </w:rPr>
        <w:t>]</w:t>
      </w:r>
      <w:r>
        <w:rPr>
          <w:rFonts w:ascii="Arial" w:hAnsi="Arial" w:cs="Arial"/>
        </w:rPr>
        <w:tab/>
      </w:r>
      <w:proofErr w:type="spellStart"/>
      <w:r w:rsidR="00B70CDE">
        <w:rPr>
          <w:rFonts w:ascii="Arial" w:hAnsi="Arial" w:cs="Arial"/>
        </w:rPr>
        <w:t>Fabricius</w:t>
      </w:r>
      <w:proofErr w:type="spellEnd"/>
      <w:r w:rsidR="00B70CDE">
        <w:rPr>
          <w:rFonts w:ascii="Arial" w:hAnsi="Arial" w:cs="Arial"/>
        </w:rPr>
        <w:t xml:space="preserve"> J in the Cheetah Chrome South Africa (Pty) Ltd matter, </w:t>
      </w:r>
      <w:r w:rsidR="00B70CDE" w:rsidRPr="00033B17">
        <w:rPr>
          <w:rFonts w:ascii="Arial" w:hAnsi="Arial" w:cs="Arial"/>
          <w:i/>
          <w:iCs/>
        </w:rPr>
        <w:t>supra</w:t>
      </w:r>
      <w:r w:rsidR="00B70CDE" w:rsidRPr="00033B17">
        <w:rPr>
          <w:rFonts w:ascii="Arial" w:hAnsi="Arial" w:cs="Arial"/>
        </w:rPr>
        <w:t xml:space="preserve">, </w:t>
      </w:r>
      <w:r w:rsidR="00B70CDE">
        <w:rPr>
          <w:rFonts w:ascii="Arial" w:hAnsi="Arial" w:cs="Arial"/>
        </w:rPr>
        <w:t xml:space="preserve">(at para 13) </w:t>
      </w:r>
      <w:r w:rsidR="00B70CDE" w:rsidRPr="00033B17">
        <w:rPr>
          <w:rFonts w:ascii="Arial" w:hAnsi="Arial" w:cs="Arial"/>
        </w:rPr>
        <w:t xml:space="preserve">after considering </w:t>
      </w:r>
      <w:r w:rsidR="00B70CDE">
        <w:rPr>
          <w:rFonts w:ascii="Arial" w:hAnsi="Arial" w:cs="Arial"/>
        </w:rPr>
        <w:t>various authorities</w:t>
      </w:r>
      <w:r w:rsidR="00B70CDE">
        <w:rPr>
          <w:rStyle w:val="FootnoteReference"/>
          <w:rFonts w:ascii="Arial" w:hAnsi="Arial" w:cs="Arial"/>
        </w:rPr>
        <w:footnoteReference w:id="4"/>
      </w:r>
      <w:r w:rsidR="00B70CDE">
        <w:rPr>
          <w:rFonts w:ascii="Arial" w:hAnsi="Arial" w:cs="Arial"/>
        </w:rPr>
        <w:t xml:space="preserve"> outlined the relevant principles emanating from these decisions </w:t>
      </w:r>
      <w:r w:rsidR="00E055A2">
        <w:rPr>
          <w:rFonts w:ascii="Arial" w:hAnsi="Arial" w:cs="Arial"/>
        </w:rPr>
        <w:t xml:space="preserve">and which </w:t>
      </w:r>
      <w:r w:rsidR="00B70CDE">
        <w:rPr>
          <w:rFonts w:ascii="Arial" w:hAnsi="Arial" w:cs="Arial"/>
        </w:rPr>
        <w:t xml:space="preserve">are </w:t>
      </w:r>
      <w:r w:rsidR="00980E2D">
        <w:rPr>
          <w:rFonts w:ascii="Arial" w:hAnsi="Arial" w:cs="Arial"/>
        </w:rPr>
        <w:t xml:space="preserve">applicable hereto. </w:t>
      </w:r>
      <w:r w:rsidR="00B70CDE">
        <w:rPr>
          <w:rFonts w:ascii="Arial" w:hAnsi="Arial" w:cs="Arial"/>
        </w:rPr>
        <w:t>The learned Judge held that the principles outlined below are to be considered in each particular case.  These are:</w:t>
      </w:r>
    </w:p>
    <w:p w14:paraId="1C43710E" w14:textId="19DE7368" w:rsidR="00B70CDE" w:rsidRPr="002F7E6F" w:rsidRDefault="00B70CDE" w:rsidP="002F7E6F">
      <w:pPr>
        <w:spacing w:line="360" w:lineRule="auto"/>
        <w:ind w:left="1440" w:hanging="720"/>
        <w:rPr>
          <w:rFonts w:ascii="Arial" w:hAnsi="Arial" w:cs="Arial"/>
          <w:i/>
          <w:iCs/>
        </w:rPr>
      </w:pPr>
      <w:r>
        <w:rPr>
          <w:rFonts w:ascii="Arial" w:hAnsi="Arial" w:cs="Arial"/>
        </w:rPr>
        <w:tab/>
      </w:r>
      <w:r w:rsidR="00230820" w:rsidRPr="002F7E6F">
        <w:rPr>
          <w:rFonts w:ascii="Arial" w:hAnsi="Arial" w:cs="Arial"/>
          <w:i/>
          <w:iCs/>
        </w:rPr>
        <w:t>“</w:t>
      </w:r>
      <w:r w:rsidRPr="002F7E6F">
        <w:rPr>
          <w:rFonts w:ascii="Arial" w:hAnsi="Arial" w:cs="Arial"/>
          <w:i/>
          <w:iCs/>
        </w:rPr>
        <w:t>In certain instances, but not in all, a formal application is required to place sound factual material and sound legal contentions before the court;</w:t>
      </w:r>
    </w:p>
    <w:p w14:paraId="6254EA92" w14:textId="217C5793" w:rsidR="00B70CDE" w:rsidRPr="002F7E6F" w:rsidRDefault="00B70CDE" w:rsidP="002F7E6F">
      <w:pPr>
        <w:spacing w:line="360" w:lineRule="auto"/>
        <w:ind w:left="1440"/>
        <w:rPr>
          <w:rFonts w:ascii="Arial" w:hAnsi="Arial" w:cs="Arial"/>
          <w:i/>
          <w:iCs/>
        </w:rPr>
      </w:pPr>
      <w:r w:rsidRPr="002F7E6F">
        <w:rPr>
          <w:rFonts w:ascii="Arial" w:hAnsi="Arial" w:cs="Arial"/>
          <w:i/>
          <w:iCs/>
        </w:rPr>
        <w:t>In other cases such facts may be self</w:t>
      </w:r>
      <w:r w:rsidR="00A718F8">
        <w:rPr>
          <w:rFonts w:ascii="Arial" w:hAnsi="Arial" w:cs="Arial"/>
          <w:i/>
          <w:iCs/>
        </w:rPr>
        <w:t>-</w:t>
      </w:r>
      <w:r w:rsidRPr="002F7E6F">
        <w:rPr>
          <w:rFonts w:ascii="Arial" w:hAnsi="Arial" w:cs="Arial"/>
          <w:i/>
          <w:iCs/>
        </w:rPr>
        <w:t>evident. Context is everything in law</w:t>
      </w:r>
      <w:r w:rsidR="00230820" w:rsidRPr="002F7E6F">
        <w:rPr>
          <w:rFonts w:ascii="Arial" w:hAnsi="Arial" w:cs="Arial"/>
          <w:i/>
          <w:iCs/>
        </w:rPr>
        <w:t>,</w:t>
      </w:r>
      <w:r w:rsidR="00772469" w:rsidRPr="002F7E6F">
        <w:rPr>
          <w:rFonts w:ascii="Arial" w:hAnsi="Arial" w:cs="Arial"/>
          <w:i/>
          <w:iCs/>
        </w:rPr>
        <w:t xml:space="preserve"> I may add</w:t>
      </w:r>
      <w:r w:rsidRPr="002F7E6F">
        <w:rPr>
          <w:rFonts w:ascii="Arial" w:hAnsi="Arial" w:cs="Arial"/>
          <w:i/>
          <w:iCs/>
        </w:rPr>
        <w:t>;</w:t>
      </w:r>
    </w:p>
    <w:p w14:paraId="6EB7BDA0" w14:textId="5B64BE14" w:rsidR="00B70CDE" w:rsidRPr="002F7E6F" w:rsidRDefault="00B70CDE" w:rsidP="002F7E6F">
      <w:pPr>
        <w:spacing w:line="360" w:lineRule="auto"/>
        <w:ind w:left="1440" w:hanging="720"/>
        <w:rPr>
          <w:rFonts w:ascii="Arial" w:hAnsi="Arial" w:cs="Arial"/>
          <w:i/>
          <w:iCs/>
        </w:rPr>
      </w:pPr>
      <w:r w:rsidRPr="002F7E6F">
        <w:rPr>
          <w:rFonts w:ascii="Arial" w:hAnsi="Arial" w:cs="Arial"/>
          <w:i/>
          <w:iCs/>
        </w:rPr>
        <w:tab/>
        <w:t>Whenever relaxation is sought, the rights of the company, affected persons and the interests of those persons must be considered in the context of the purpose of the particular business rescue plan;</w:t>
      </w:r>
    </w:p>
    <w:p w14:paraId="19F2941F" w14:textId="59191F69" w:rsidR="00B70CDE" w:rsidRPr="002F7E6F" w:rsidRDefault="00B70CDE" w:rsidP="002F7E6F">
      <w:pPr>
        <w:spacing w:line="360" w:lineRule="auto"/>
        <w:ind w:left="1440" w:hanging="720"/>
        <w:rPr>
          <w:rFonts w:ascii="Arial" w:hAnsi="Arial" w:cs="Arial"/>
          <w:i/>
          <w:iCs/>
        </w:rPr>
      </w:pPr>
      <w:r w:rsidRPr="002F7E6F">
        <w:rPr>
          <w:rFonts w:ascii="Arial" w:hAnsi="Arial" w:cs="Arial"/>
          <w:i/>
          <w:iCs/>
        </w:rPr>
        <w:tab/>
        <w:t>The court has a wide discretion dictated by the interests of justice. It must be asked: what is the purpose of the moratorium in any given context, and what will be the consequence of it being lifted?</w:t>
      </w:r>
    </w:p>
    <w:p w14:paraId="0A291972" w14:textId="6A527AD2" w:rsidR="00B70CDE" w:rsidRPr="002F7E6F" w:rsidRDefault="00B70CDE" w:rsidP="002F7E6F">
      <w:pPr>
        <w:spacing w:line="360" w:lineRule="auto"/>
        <w:ind w:left="1440" w:hanging="720"/>
        <w:rPr>
          <w:rFonts w:ascii="Arial" w:hAnsi="Arial" w:cs="Arial"/>
          <w:i/>
          <w:iCs/>
        </w:rPr>
      </w:pPr>
      <w:r w:rsidRPr="002F7E6F">
        <w:rPr>
          <w:rFonts w:ascii="Arial" w:hAnsi="Arial" w:cs="Arial"/>
          <w:i/>
          <w:iCs/>
        </w:rPr>
        <w:tab/>
        <w:t>Will the particular business rescue plan be enhanced or defeated by the moratorium being lifted?</w:t>
      </w:r>
    </w:p>
    <w:p w14:paraId="65C1D605" w14:textId="53CD6025" w:rsidR="00B70CDE" w:rsidRPr="002F7E6F" w:rsidRDefault="00B70CDE" w:rsidP="002F7E6F">
      <w:pPr>
        <w:spacing w:line="360" w:lineRule="auto"/>
        <w:ind w:left="1440" w:hanging="720"/>
        <w:rPr>
          <w:rFonts w:ascii="Arial" w:hAnsi="Arial" w:cs="Arial"/>
          <w:i/>
          <w:iCs/>
        </w:rPr>
      </w:pPr>
      <w:r w:rsidRPr="002F7E6F">
        <w:rPr>
          <w:rFonts w:ascii="Arial" w:hAnsi="Arial" w:cs="Arial"/>
          <w:i/>
          <w:iCs/>
        </w:rPr>
        <w:tab/>
        <w:t>The object and purpose of business rescue proceedings as set out in s7(k) and 128(b) of the Act must be considered;</w:t>
      </w:r>
    </w:p>
    <w:p w14:paraId="583C7314" w14:textId="452CE07A" w:rsidR="00B70CDE" w:rsidRPr="002F7E6F" w:rsidRDefault="00B70CDE" w:rsidP="002F7E6F">
      <w:pPr>
        <w:spacing w:line="360" w:lineRule="auto"/>
        <w:ind w:left="720"/>
        <w:rPr>
          <w:rFonts w:ascii="Arial" w:hAnsi="Arial" w:cs="Arial"/>
          <w:i/>
          <w:iCs/>
        </w:rPr>
      </w:pPr>
      <w:r w:rsidRPr="002F7E6F">
        <w:rPr>
          <w:rFonts w:ascii="Arial" w:hAnsi="Arial" w:cs="Arial"/>
          <w:i/>
          <w:iCs/>
        </w:rPr>
        <w:tab/>
        <w:t>“Exceptional circumstances” are however not required;</w:t>
      </w:r>
    </w:p>
    <w:p w14:paraId="2217AA5F" w14:textId="3A85F3E6" w:rsidR="00B70CDE" w:rsidRPr="002F7E6F" w:rsidRDefault="00B70CDE" w:rsidP="002F7E6F">
      <w:pPr>
        <w:spacing w:line="360" w:lineRule="auto"/>
        <w:ind w:left="720"/>
        <w:rPr>
          <w:rFonts w:ascii="Arial" w:hAnsi="Arial" w:cs="Arial"/>
          <w:i/>
          <w:iCs/>
        </w:rPr>
      </w:pPr>
      <w:r w:rsidRPr="002F7E6F">
        <w:rPr>
          <w:rFonts w:ascii="Arial" w:hAnsi="Arial" w:cs="Arial"/>
          <w:i/>
          <w:iCs/>
        </w:rPr>
        <w:tab/>
        <w:t>An application can be brought within the context of a main application;</w:t>
      </w:r>
    </w:p>
    <w:p w14:paraId="00EFCBC4" w14:textId="5A6911A9" w:rsidR="00B70CDE" w:rsidRPr="002F7E6F" w:rsidRDefault="00B70CDE" w:rsidP="002F7E6F">
      <w:pPr>
        <w:spacing w:line="360" w:lineRule="auto"/>
        <w:ind w:left="1440" w:hanging="720"/>
        <w:rPr>
          <w:rFonts w:ascii="Arial" w:hAnsi="Arial" w:cs="Arial"/>
          <w:i/>
          <w:iCs/>
        </w:rPr>
      </w:pPr>
      <w:r w:rsidRPr="002F7E6F">
        <w:rPr>
          <w:rFonts w:ascii="Arial" w:hAnsi="Arial" w:cs="Arial"/>
          <w:i/>
          <w:iCs/>
        </w:rPr>
        <w:tab/>
        <w:t xml:space="preserve">It is not necessary to establish on a prima facie basis that the main application will succeed, as long as the basis laid is bona fide and </w:t>
      </w:r>
      <w:r w:rsidRPr="002F7E6F">
        <w:rPr>
          <w:rFonts w:ascii="Arial" w:hAnsi="Arial" w:cs="Arial"/>
          <w:i/>
          <w:iCs/>
        </w:rPr>
        <w:lastRenderedPageBreak/>
        <w:t>reasonably arguable</w:t>
      </w:r>
      <w:r w:rsidR="00B46C2F" w:rsidRPr="002F7E6F">
        <w:rPr>
          <w:rFonts w:ascii="Arial" w:hAnsi="Arial" w:cs="Arial"/>
          <w:i/>
          <w:iCs/>
        </w:rPr>
        <w:t>.”</w:t>
      </w:r>
    </w:p>
    <w:p w14:paraId="7C3C7607" w14:textId="2FD49C36" w:rsidR="00CF6864" w:rsidRDefault="00CF6864" w:rsidP="001A6A40">
      <w:pPr>
        <w:spacing w:line="480" w:lineRule="auto"/>
        <w:ind w:left="720" w:hanging="720"/>
        <w:rPr>
          <w:rFonts w:ascii="Arial" w:hAnsi="Arial" w:cs="Arial"/>
        </w:rPr>
      </w:pPr>
    </w:p>
    <w:p w14:paraId="7174BF4D" w14:textId="47C4807C" w:rsidR="00D544D2" w:rsidRDefault="00722744" w:rsidP="00243279">
      <w:pPr>
        <w:spacing w:line="480" w:lineRule="auto"/>
        <w:ind w:left="720" w:hanging="720"/>
        <w:rPr>
          <w:rFonts w:ascii="Arial" w:hAnsi="Arial" w:cs="Arial"/>
        </w:rPr>
      </w:pPr>
      <w:r>
        <w:rPr>
          <w:rFonts w:ascii="Arial" w:hAnsi="Arial" w:cs="Arial"/>
        </w:rPr>
        <w:t>[19]</w:t>
      </w:r>
      <w:r>
        <w:rPr>
          <w:rFonts w:ascii="Arial" w:hAnsi="Arial" w:cs="Arial"/>
        </w:rPr>
        <w:tab/>
      </w:r>
      <w:r w:rsidR="006703A5">
        <w:rPr>
          <w:rFonts w:ascii="Arial" w:hAnsi="Arial" w:cs="Arial"/>
        </w:rPr>
        <w:t xml:space="preserve">In the present matter, </w:t>
      </w:r>
      <w:proofErr w:type="spellStart"/>
      <w:r w:rsidR="00AA56A0">
        <w:rPr>
          <w:rFonts w:ascii="Arial" w:hAnsi="Arial" w:cs="Arial"/>
        </w:rPr>
        <w:t>Lockstock</w:t>
      </w:r>
      <w:proofErr w:type="spellEnd"/>
      <w:r w:rsidR="00AA56A0">
        <w:rPr>
          <w:rFonts w:ascii="Arial" w:hAnsi="Arial" w:cs="Arial"/>
        </w:rPr>
        <w:t xml:space="preserve"> </w:t>
      </w:r>
      <w:r w:rsidR="006703A5">
        <w:rPr>
          <w:rFonts w:ascii="Arial" w:hAnsi="Arial" w:cs="Arial"/>
        </w:rPr>
        <w:t xml:space="preserve">have not included or proposed any terms for the </w:t>
      </w:r>
      <w:r w:rsidR="006906C9">
        <w:rPr>
          <w:rFonts w:ascii="Arial" w:hAnsi="Arial" w:cs="Arial"/>
        </w:rPr>
        <w:t xml:space="preserve">court who </w:t>
      </w:r>
      <w:r w:rsidR="00995AB8">
        <w:rPr>
          <w:rFonts w:ascii="Arial" w:hAnsi="Arial" w:cs="Arial"/>
        </w:rPr>
        <w:t xml:space="preserve">will be </w:t>
      </w:r>
      <w:r w:rsidR="006906C9">
        <w:rPr>
          <w:rFonts w:ascii="Arial" w:hAnsi="Arial" w:cs="Arial"/>
        </w:rPr>
        <w:t xml:space="preserve">seized with the main application, </w:t>
      </w:r>
      <w:r w:rsidR="005D0927">
        <w:rPr>
          <w:rFonts w:ascii="Arial" w:hAnsi="Arial" w:cs="Arial"/>
        </w:rPr>
        <w:t xml:space="preserve">to consider </w:t>
      </w:r>
      <w:r w:rsidR="002F53A9">
        <w:rPr>
          <w:rFonts w:ascii="Arial" w:hAnsi="Arial" w:cs="Arial"/>
        </w:rPr>
        <w:t xml:space="preserve">that </w:t>
      </w:r>
      <w:r w:rsidR="005D0927">
        <w:rPr>
          <w:rFonts w:ascii="Arial" w:hAnsi="Arial" w:cs="Arial"/>
        </w:rPr>
        <w:t xml:space="preserve">any terms may </w:t>
      </w:r>
      <w:r w:rsidR="002F53A9">
        <w:rPr>
          <w:rFonts w:ascii="Arial" w:hAnsi="Arial" w:cs="Arial"/>
        </w:rPr>
        <w:t xml:space="preserve">be suitable in the circumstances.  To do so, the court must </w:t>
      </w:r>
      <w:r w:rsidR="0000519A">
        <w:rPr>
          <w:rFonts w:ascii="Arial" w:hAnsi="Arial" w:cs="Arial"/>
        </w:rPr>
        <w:t xml:space="preserve">take all the factors into account.  </w:t>
      </w:r>
      <w:proofErr w:type="spellStart"/>
      <w:r w:rsidR="00EE4288">
        <w:rPr>
          <w:rFonts w:ascii="Arial" w:hAnsi="Arial" w:cs="Arial"/>
        </w:rPr>
        <w:t>Lockstock</w:t>
      </w:r>
      <w:proofErr w:type="spellEnd"/>
      <w:r w:rsidR="00791711">
        <w:rPr>
          <w:rFonts w:ascii="Arial" w:hAnsi="Arial" w:cs="Arial"/>
        </w:rPr>
        <w:t>, is after all, seeking the indulgence of the court</w:t>
      </w:r>
      <w:r w:rsidR="00D82455">
        <w:rPr>
          <w:rFonts w:ascii="Arial" w:hAnsi="Arial" w:cs="Arial"/>
        </w:rPr>
        <w:t xml:space="preserve">, to grant leave.  </w:t>
      </w:r>
      <w:r w:rsidR="009A0517">
        <w:rPr>
          <w:rFonts w:ascii="Arial" w:hAnsi="Arial" w:cs="Arial"/>
        </w:rPr>
        <w:t xml:space="preserve">Seeking leave to proceed </w:t>
      </w:r>
      <w:r w:rsidR="00E814C4">
        <w:rPr>
          <w:rFonts w:ascii="Arial" w:hAnsi="Arial" w:cs="Arial"/>
        </w:rPr>
        <w:t xml:space="preserve">is not there for the </w:t>
      </w:r>
      <w:r w:rsidR="000A6A58">
        <w:rPr>
          <w:rFonts w:ascii="Arial" w:hAnsi="Arial" w:cs="Arial"/>
        </w:rPr>
        <w:t xml:space="preserve">asking. </w:t>
      </w:r>
      <w:r w:rsidR="00713811">
        <w:rPr>
          <w:rFonts w:ascii="Arial" w:hAnsi="Arial" w:cs="Arial"/>
        </w:rPr>
        <w:t xml:space="preserve">A substantive application to seek leave </w:t>
      </w:r>
      <w:r w:rsidR="00347AB7">
        <w:rPr>
          <w:rFonts w:ascii="Arial" w:hAnsi="Arial" w:cs="Arial"/>
        </w:rPr>
        <w:t>is necessary</w:t>
      </w:r>
      <w:r w:rsidR="00713811">
        <w:rPr>
          <w:rFonts w:ascii="Arial" w:hAnsi="Arial" w:cs="Arial"/>
        </w:rPr>
        <w:t xml:space="preserve">. </w:t>
      </w:r>
      <w:r w:rsidR="000F5194">
        <w:rPr>
          <w:rFonts w:ascii="Arial" w:hAnsi="Arial" w:cs="Arial"/>
        </w:rPr>
        <w:t xml:space="preserve"> </w:t>
      </w:r>
    </w:p>
    <w:p w14:paraId="2DF4A84A" w14:textId="1DE8DC2D" w:rsidR="005D6902" w:rsidRDefault="005D6902" w:rsidP="008068B8">
      <w:pPr>
        <w:spacing w:line="480" w:lineRule="auto"/>
        <w:rPr>
          <w:rFonts w:ascii="Arial" w:hAnsi="Arial" w:cs="Arial"/>
        </w:rPr>
      </w:pPr>
    </w:p>
    <w:p w14:paraId="5FC924F5" w14:textId="56CA839C" w:rsidR="00D01A6A" w:rsidRDefault="00481A97" w:rsidP="00D01A6A">
      <w:pPr>
        <w:spacing w:line="480" w:lineRule="auto"/>
        <w:ind w:left="720" w:hanging="720"/>
        <w:rPr>
          <w:rFonts w:ascii="Arial" w:hAnsi="Arial" w:cs="Arial"/>
        </w:rPr>
      </w:pPr>
      <w:r>
        <w:rPr>
          <w:rFonts w:ascii="Arial" w:hAnsi="Arial" w:cs="Arial"/>
        </w:rPr>
        <w:t>[2</w:t>
      </w:r>
      <w:r w:rsidR="00E21678">
        <w:rPr>
          <w:rFonts w:ascii="Arial" w:hAnsi="Arial" w:cs="Arial"/>
        </w:rPr>
        <w:t>0</w:t>
      </w:r>
      <w:r w:rsidR="00D4220B">
        <w:rPr>
          <w:rFonts w:ascii="Arial" w:hAnsi="Arial" w:cs="Arial"/>
        </w:rPr>
        <w:t>]</w:t>
      </w:r>
      <w:r w:rsidR="00D4220B">
        <w:rPr>
          <w:rFonts w:ascii="Arial" w:hAnsi="Arial" w:cs="Arial"/>
        </w:rPr>
        <w:tab/>
      </w:r>
      <w:r w:rsidR="00D01A6A">
        <w:rPr>
          <w:rFonts w:ascii="Arial" w:hAnsi="Arial" w:cs="Arial"/>
        </w:rPr>
        <w:t xml:space="preserve">It is my view that </w:t>
      </w:r>
      <w:proofErr w:type="spellStart"/>
      <w:r w:rsidR="001D4745">
        <w:rPr>
          <w:rFonts w:ascii="Arial" w:hAnsi="Arial" w:cs="Arial"/>
        </w:rPr>
        <w:t>Lockstock</w:t>
      </w:r>
      <w:proofErr w:type="spellEnd"/>
      <w:r w:rsidR="001D4745">
        <w:rPr>
          <w:rFonts w:ascii="Arial" w:hAnsi="Arial" w:cs="Arial"/>
        </w:rPr>
        <w:t xml:space="preserve"> </w:t>
      </w:r>
      <w:r w:rsidR="00D01A6A">
        <w:rPr>
          <w:rFonts w:ascii="Arial" w:hAnsi="Arial" w:cs="Arial"/>
        </w:rPr>
        <w:t xml:space="preserve">have not made out a case why leave should be granted at the main hearing.  </w:t>
      </w:r>
      <w:proofErr w:type="spellStart"/>
      <w:r w:rsidR="001D4745">
        <w:rPr>
          <w:rFonts w:ascii="Arial" w:hAnsi="Arial" w:cs="Arial"/>
        </w:rPr>
        <w:t>Lockstock</w:t>
      </w:r>
      <w:proofErr w:type="spellEnd"/>
      <w:r w:rsidR="00D01A6A">
        <w:rPr>
          <w:rFonts w:ascii="Arial" w:hAnsi="Arial" w:cs="Arial"/>
        </w:rPr>
        <w:t xml:space="preserve"> do not provide any reasonable explanation, let alone any explanation why leave should be granted in the</w:t>
      </w:r>
      <w:r w:rsidR="00D00AC9">
        <w:rPr>
          <w:rFonts w:ascii="Arial" w:hAnsi="Arial" w:cs="Arial"/>
        </w:rPr>
        <w:t>ir</w:t>
      </w:r>
      <w:r w:rsidR="00D01A6A">
        <w:rPr>
          <w:rFonts w:ascii="Arial" w:hAnsi="Arial" w:cs="Arial"/>
        </w:rPr>
        <w:t xml:space="preserve"> favour to apply for leave at the main hearing. </w:t>
      </w:r>
    </w:p>
    <w:p w14:paraId="7D5CF22E" w14:textId="75E944B6" w:rsidR="00C92606" w:rsidRDefault="00C92606" w:rsidP="00B70CDE">
      <w:pPr>
        <w:spacing w:line="480" w:lineRule="auto"/>
        <w:ind w:left="720" w:hanging="720"/>
        <w:rPr>
          <w:rFonts w:ascii="Arial" w:hAnsi="Arial" w:cs="Arial"/>
        </w:rPr>
      </w:pPr>
    </w:p>
    <w:p w14:paraId="31F0108A" w14:textId="3ED96687" w:rsidR="0023303B" w:rsidRDefault="009506F3" w:rsidP="009506F3">
      <w:pPr>
        <w:spacing w:line="480" w:lineRule="auto"/>
        <w:ind w:left="720" w:hanging="720"/>
        <w:rPr>
          <w:rFonts w:ascii="Arial" w:hAnsi="Arial" w:cs="Arial"/>
        </w:rPr>
      </w:pPr>
      <w:r>
        <w:rPr>
          <w:rFonts w:ascii="Arial" w:hAnsi="Arial" w:cs="Arial"/>
        </w:rPr>
        <w:t>[2</w:t>
      </w:r>
      <w:r w:rsidR="00784BAC">
        <w:rPr>
          <w:rFonts w:ascii="Arial" w:hAnsi="Arial" w:cs="Arial"/>
        </w:rPr>
        <w:t>1</w:t>
      </w:r>
      <w:r>
        <w:rPr>
          <w:rFonts w:ascii="Arial" w:hAnsi="Arial" w:cs="Arial"/>
        </w:rPr>
        <w:t>]</w:t>
      </w:r>
      <w:r>
        <w:rPr>
          <w:rFonts w:ascii="Arial" w:hAnsi="Arial" w:cs="Arial"/>
        </w:rPr>
        <w:tab/>
      </w:r>
      <w:proofErr w:type="spellStart"/>
      <w:r w:rsidR="00426F96">
        <w:rPr>
          <w:rFonts w:ascii="Arial" w:hAnsi="Arial" w:cs="Arial"/>
        </w:rPr>
        <w:t>Lockstock</w:t>
      </w:r>
      <w:proofErr w:type="spellEnd"/>
      <w:r w:rsidR="00426F96">
        <w:rPr>
          <w:rFonts w:ascii="Arial" w:hAnsi="Arial" w:cs="Arial"/>
        </w:rPr>
        <w:t xml:space="preserve"> </w:t>
      </w:r>
      <w:r w:rsidR="00B55A40">
        <w:rPr>
          <w:rFonts w:ascii="Arial" w:hAnsi="Arial" w:cs="Arial"/>
        </w:rPr>
        <w:t>are required to address each of the</w:t>
      </w:r>
      <w:r w:rsidR="00426F96">
        <w:rPr>
          <w:rFonts w:ascii="Arial" w:hAnsi="Arial" w:cs="Arial"/>
        </w:rPr>
        <w:t xml:space="preserve"> </w:t>
      </w:r>
      <w:r w:rsidR="00B55A40">
        <w:rPr>
          <w:rFonts w:ascii="Arial" w:hAnsi="Arial" w:cs="Arial"/>
        </w:rPr>
        <w:t xml:space="preserve">principles </w:t>
      </w:r>
      <w:r w:rsidR="00426F96">
        <w:rPr>
          <w:rFonts w:ascii="Arial" w:hAnsi="Arial" w:cs="Arial"/>
        </w:rPr>
        <w:t>as set ou</w:t>
      </w:r>
      <w:r w:rsidR="00487DF2">
        <w:rPr>
          <w:rFonts w:ascii="Arial" w:hAnsi="Arial" w:cs="Arial"/>
        </w:rPr>
        <w:t xml:space="preserve">t by </w:t>
      </w:r>
      <w:proofErr w:type="spellStart"/>
      <w:r w:rsidR="00487DF2">
        <w:rPr>
          <w:rFonts w:ascii="Arial" w:hAnsi="Arial" w:cs="Arial"/>
        </w:rPr>
        <w:t>Fabricius</w:t>
      </w:r>
      <w:proofErr w:type="spellEnd"/>
      <w:r w:rsidR="00487DF2">
        <w:rPr>
          <w:rFonts w:ascii="Arial" w:hAnsi="Arial" w:cs="Arial"/>
        </w:rPr>
        <w:t xml:space="preserve"> J </w:t>
      </w:r>
      <w:r w:rsidR="008F021D">
        <w:rPr>
          <w:rFonts w:ascii="Arial" w:hAnsi="Arial" w:cs="Arial"/>
        </w:rPr>
        <w:t>in their application for leave</w:t>
      </w:r>
      <w:r w:rsidR="00DD1C4E">
        <w:rPr>
          <w:rFonts w:ascii="Arial" w:hAnsi="Arial" w:cs="Arial"/>
        </w:rPr>
        <w:t xml:space="preserve"> whether the application is argued upfront or at a separate hearing</w:t>
      </w:r>
      <w:r w:rsidR="008F021D">
        <w:rPr>
          <w:rFonts w:ascii="Arial" w:hAnsi="Arial" w:cs="Arial"/>
        </w:rPr>
        <w:t xml:space="preserve">. </w:t>
      </w:r>
      <w:proofErr w:type="spellStart"/>
      <w:r w:rsidR="00487DF2">
        <w:rPr>
          <w:rFonts w:ascii="Arial" w:hAnsi="Arial" w:cs="Arial"/>
        </w:rPr>
        <w:t>Lockstock</w:t>
      </w:r>
      <w:proofErr w:type="spellEnd"/>
      <w:r w:rsidR="00487DF2">
        <w:rPr>
          <w:rFonts w:ascii="Arial" w:hAnsi="Arial" w:cs="Arial"/>
        </w:rPr>
        <w:t xml:space="preserve">, in this application </w:t>
      </w:r>
      <w:r w:rsidR="003816D4">
        <w:rPr>
          <w:rFonts w:ascii="Arial" w:hAnsi="Arial" w:cs="Arial"/>
        </w:rPr>
        <w:t xml:space="preserve">have </w:t>
      </w:r>
      <w:r w:rsidR="0063041E">
        <w:rPr>
          <w:rFonts w:ascii="Arial" w:hAnsi="Arial" w:cs="Arial"/>
        </w:rPr>
        <w:t xml:space="preserve">not </w:t>
      </w:r>
      <w:r w:rsidR="0037144C">
        <w:rPr>
          <w:rFonts w:ascii="Arial" w:hAnsi="Arial" w:cs="Arial"/>
        </w:rPr>
        <w:t xml:space="preserve">done so. </w:t>
      </w:r>
    </w:p>
    <w:p w14:paraId="2AB93F41" w14:textId="0A37E880" w:rsidR="00605263" w:rsidRDefault="00605263" w:rsidP="008068B8">
      <w:pPr>
        <w:spacing w:line="480" w:lineRule="auto"/>
        <w:rPr>
          <w:rFonts w:ascii="Arial" w:hAnsi="Arial" w:cs="Arial"/>
        </w:rPr>
      </w:pPr>
    </w:p>
    <w:p w14:paraId="7322BEC9" w14:textId="2374D84F" w:rsidR="00D81B3C" w:rsidRDefault="002838CB" w:rsidP="00D81B3C">
      <w:pPr>
        <w:spacing w:line="480" w:lineRule="auto"/>
        <w:ind w:left="720" w:hanging="720"/>
        <w:rPr>
          <w:rFonts w:ascii="Arial" w:hAnsi="Arial" w:cs="Arial"/>
        </w:rPr>
      </w:pPr>
      <w:r>
        <w:rPr>
          <w:rFonts w:ascii="Arial" w:hAnsi="Arial" w:cs="Arial"/>
        </w:rPr>
        <w:t>[2</w:t>
      </w:r>
      <w:r w:rsidR="00C439C7">
        <w:rPr>
          <w:rFonts w:ascii="Arial" w:hAnsi="Arial" w:cs="Arial"/>
        </w:rPr>
        <w:t>2</w:t>
      </w:r>
      <w:r>
        <w:rPr>
          <w:rFonts w:ascii="Arial" w:hAnsi="Arial" w:cs="Arial"/>
        </w:rPr>
        <w:t>]</w:t>
      </w:r>
      <w:r>
        <w:rPr>
          <w:rFonts w:ascii="Arial" w:hAnsi="Arial" w:cs="Arial"/>
        </w:rPr>
        <w:tab/>
      </w:r>
      <w:r w:rsidR="00D81B3C">
        <w:rPr>
          <w:rFonts w:ascii="Arial" w:hAnsi="Arial" w:cs="Arial"/>
        </w:rPr>
        <w:t xml:space="preserve">While I accept </w:t>
      </w:r>
      <w:r w:rsidR="00C87759">
        <w:rPr>
          <w:rFonts w:ascii="Arial" w:hAnsi="Arial" w:cs="Arial"/>
        </w:rPr>
        <w:t xml:space="preserve">that </w:t>
      </w:r>
      <w:r w:rsidR="004B6EA0">
        <w:rPr>
          <w:rFonts w:ascii="Arial" w:hAnsi="Arial" w:cs="Arial"/>
        </w:rPr>
        <w:t xml:space="preserve">our courts tend to agree that a </w:t>
      </w:r>
      <w:r w:rsidR="0010547A">
        <w:rPr>
          <w:rFonts w:ascii="Arial" w:hAnsi="Arial" w:cs="Arial"/>
        </w:rPr>
        <w:t xml:space="preserve">flexible </w:t>
      </w:r>
      <w:r w:rsidR="00C87759">
        <w:rPr>
          <w:rFonts w:ascii="Arial" w:hAnsi="Arial" w:cs="Arial"/>
        </w:rPr>
        <w:t>approach be</w:t>
      </w:r>
      <w:r w:rsidR="009F568A">
        <w:rPr>
          <w:rFonts w:ascii="Arial" w:hAnsi="Arial" w:cs="Arial"/>
        </w:rPr>
        <w:t xml:space="preserve"> followed</w:t>
      </w:r>
      <w:r w:rsidR="00C87759">
        <w:rPr>
          <w:rFonts w:ascii="Arial" w:hAnsi="Arial" w:cs="Arial"/>
        </w:rPr>
        <w:t xml:space="preserve"> and that</w:t>
      </w:r>
      <w:r w:rsidR="00F67C64">
        <w:rPr>
          <w:rFonts w:ascii="Arial" w:hAnsi="Arial" w:cs="Arial"/>
        </w:rPr>
        <w:t xml:space="preserve"> </w:t>
      </w:r>
      <w:r w:rsidR="00045081">
        <w:rPr>
          <w:rFonts w:ascii="Arial" w:hAnsi="Arial" w:cs="Arial"/>
        </w:rPr>
        <w:t xml:space="preserve">a </w:t>
      </w:r>
      <w:r w:rsidR="00D81B3C">
        <w:rPr>
          <w:rFonts w:ascii="Arial" w:hAnsi="Arial" w:cs="Arial"/>
        </w:rPr>
        <w:t xml:space="preserve">one-size-fits-all approach </w:t>
      </w:r>
      <w:r w:rsidR="007E3B98">
        <w:rPr>
          <w:rFonts w:ascii="Arial" w:hAnsi="Arial" w:cs="Arial"/>
        </w:rPr>
        <w:t xml:space="preserve">is </w:t>
      </w:r>
      <w:r w:rsidR="00D81B3C">
        <w:rPr>
          <w:rFonts w:ascii="Arial" w:hAnsi="Arial" w:cs="Arial"/>
        </w:rPr>
        <w:t xml:space="preserve">to be </w:t>
      </w:r>
      <w:r w:rsidR="00045081">
        <w:rPr>
          <w:rFonts w:ascii="Arial" w:hAnsi="Arial" w:cs="Arial"/>
        </w:rPr>
        <w:t>avoided</w:t>
      </w:r>
      <w:r w:rsidR="0019460B">
        <w:rPr>
          <w:rFonts w:ascii="Arial" w:hAnsi="Arial" w:cs="Arial"/>
        </w:rPr>
        <w:t>.  W</w:t>
      </w:r>
      <w:r w:rsidR="00D81B3C">
        <w:rPr>
          <w:rFonts w:ascii="Arial" w:hAnsi="Arial" w:cs="Arial"/>
        </w:rPr>
        <w:t xml:space="preserve">hat will be required and what will be sufficient, will depend on the circumstances of each particular matter. It will in each case be a matter for the court’s discretion, which as was held recently in Arendse, is to be exercised judicially on the basis of considerations of convenience and fairness, and what will be in the </w:t>
      </w:r>
      <w:r w:rsidR="00D81B3C">
        <w:rPr>
          <w:rFonts w:ascii="Arial" w:hAnsi="Arial" w:cs="Arial"/>
        </w:rPr>
        <w:lastRenderedPageBreak/>
        <w:t>interests of justice.</w:t>
      </w:r>
      <w:r w:rsidR="00D81B3C">
        <w:rPr>
          <w:rStyle w:val="FootnoteReference"/>
          <w:rFonts w:ascii="Arial" w:hAnsi="Arial" w:cs="Arial"/>
        </w:rPr>
        <w:footnoteReference w:id="5"/>
      </w:r>
      <w:r w:rsidR="00D81B3C">
        <w:rPr>
          <w:rFonts w:ascii="Arial" w:hAnsi="Arial" w:cs="Arial"/>
        </w:rPr>
        <w:t xml:space="preserve">  </w:t>
      </w:r>
      <w:r w:rsidR="00FB24BF">
        <w:rPr>
          <w:rFonts w:ascii="Arial" w:hAnsi="Arial" w:cs="Arial"/>
        </w:rPr>
        <w:t xml:space="preserve">The Gauteng Division </w:t>
      </w:r>
      <w:r w:rsidR="007D5FBE">
        <w:rPr>
          <w:rFonts w:ascii="Arial" w:hAnsi="Arial" w:cs="Arial"/>
        </w:rPr>
        <w:t xml:space="preserve">in the Full Bench appeal of </w:t>
      </w:r>
      <w:r w:rsidR="00D81B3C">
        <w:rPr>
          <w:rFonts w:ascii="Arial" w:hAnsi="Arial" w:cs="Arial"/>
        </w:rPr>
        <w:t>LA Sport 4x4 Outdoor CC and another v Broadsword Trading 20 (Pty) Ltd and others</w:t>
      </w:r>
      <w:r w:rsidR="00D81B3C">
        <w:rPr>
          <w:rStyle w:val="FootnoteReference"/>
          <w:rFonts w:ascii="Arial" w:hAnsi="Arial" w:cs="Arial"/>
        </w:rPr>
        <w:footnoteReference w:id="6"/>
      </w:r>
      <w:r w:rsidR="00D81B3C">
        <w:rPr>
          <w:rFonts w:ascii="Arial" w:hAnsi="Arial" w:cs="Arial"/>
        </w:rPr>
        <w:t xml:space="preserve"> called for a flexible approach, </w:t>
      </w:r>
      <w:r w:rsidR="007A1E2C">
        <w:rPr>
          <w:rFonts w:ascii="Arial" w:hAnsi="Arial" w:cs="Arial"/>
        </w:rPr>
        <w:t xml:space="preserve">which </w:t>
      </w:r>
      <w:r w:rsidR="00C417DE">
        <w:rPr>
          <w:rFonts w:ascii="Arial" w:hAnsi="Arial" w:cs="Arial"/>
        </w:rPr>
        <w:t>d</w:t>
      </w:r>
      <w:r w:rsidR="00D81B3C">
        <w:rPr>
          <w:rFonts w:ascii="Arial" w:hAnsi="Arial" w:cs="Arial"/>
        </w:rPr>
        <w:t>epend</w:t>
      </w:r>
      <w:r w:rsidR="00C417DE">
        <w:rPr>
          <w:rFonts w:ascii="Arial" w:hAnsi="Arial" w:cs="Arial"/>
        </w:rPr>
        <w:t xml:space="preserve">s </w:t>
      </w:r>
      <w:r w:rsidR="00D81B3C">
        <w:rPr>
          <w:rFonts w:ascii="Arial" w:hAnsi="Arial" w:cs="Arial"/>
        </w:rPr>
        <w:t xml:space="preserve">on the circumstances of the case.  </w:t>
      </w:r>
      <w:r w:rsidR="001B6964">
        <w:rPr>
          <w:rFonts w:ascii="Arial" w:hAnsi="Arial" w:cs="Arial"/>
        </w:rPr>
        <w:t xml:space="preserve">The court in </w:t>
      </w:r>
      <w:proofErr w:type="spellStart"/>
      <w:r w:rsidR="00F73148">
        <w:rPr>
          <w:rFonts w:ascii="Arial" w:hAnsi="Arial" w:cs="Arial"/>
        </w:rPr>
        <w:t>Booysen</w:t>
      </w:r>
      <w:proofErr w:type="spellEnd"/>
      <w:r w:rsidR="00F73148">
        <w:rPr>
          <w:rFonts w:ascii="Arial" w:hAnsi="Arial" w:cs="Arial"/>
        </w:rPr>
        <w:t xml:space="preserve"> v </w:t>
      </w:r>
      <w:proofErr w:type="spellStart"/>
      <w:r w:rsidR="00F73148">
        <w:rPr>
          <w:rFonts w:ascii="Arial" w:hAnsi="Arial" w:cs="Arial"/>
        </w:rPr>
        <w:t>Jonkheer</w:t>
      </w:r>
      <w:proofErr w:type="spellEnd"/>
      <w:r w:rsidR="00F73148">
        <w:rPr>
          <w:rFonts w:ascii="Arial" w:hAnsi="Arial" w:cs="Arial"/>
        </w:rPr>
        <w:t xml:space="preserve">, </w:t>
      </w:r>
      <w:r w:rsidR="00F73148" w:rsidRPr="00857215">
        <w:rPr>
          <w:rFonts w:ascii="Arial" w:hAnsi="Arial" w:cs="Arial"/>
          <w:i/>
          <w:iCs/>
        </w:rPr>
        <w:t>supra,</w:t>
      </w:r>
      <w:r w:rsidR="00F73148">
        <w:rPr>
          <w:rFonts w:ascii="Arial" w:hAnsi="Arial" w:cs="Arial"/>
        </w:rPr>
        <w:t xml:space="preserve"> </w:t>
      </w:r>
      <w:r w:rsidR="00606285">
        <w:rPr>
          <w:rFonts w:ascii="Arial" w:hAnsi="Arial" w:cs="Arial"/>
        </w:rPr>
        <w:t xml:space="preserve">adopted a similar approach, that a flexible approach </w:t>
      </w:r>
      <w:r w:rsidR="00C10363">
        <w:rPr>
          <w:rFonts w:ascii="Arial" w:hAnsi="Arial" w:cs="Arial"/>
        </w:rPr>
        <w:t xml:space="preserve">is to be adopted, depending on the circumstances of the case. </w:t>
      </w:r>
    </w:p>
    <w:p w14:paraId="16FE2D18" w14:textId="77777777" w:rsidR="00D81B3C" w:rsidRDefault="00D81B3C" w:rsidP="00D81B3C">
      <w:pPr>
        <w:spacing w:line="480" w:lineRule="auto"/>
        <w:rPr>
          <w:rFonts w:ascii="Arial" w:hAnsi="Arial" w:cs="Arial"/>
        </w:rPr>
      </w:pPr>
    </w:p>
    <w:p w14:paraId="1C8F9410" w14:textId="5B92344B" w:rsidR="00C46212" w:rsidRDefault="0099495E" w:rsidP="002838CB">
      <w:pPr>
        <w:spacing w:line="480" w:lineRule="auto"/>
        <w:ind w:left="720" w:hanging="720"/>
        <w:rPr>
          <w:rFonts w:ascii="Arial" w:hAnsi="Arial" w:cs="Arial"/>
        </w:rPr>
      </w:pPr>
      <w:r>
        <w:rPr>
          <w:rFonts w:ascii="Arial" w:hAnsi="Arial" w:cs="Arial"/>
        </w:rPr>
        <w:t>[2</w:t>
      </w:r>
      <w:r w:rsidR="00C439C7">
        <w:rPr>
          <w:rFonts w:ascii="Arial" w:hAnsi="Arial" w:cs="Arial"/>
        </w:rPr>
        <w:t>3</w:t>
      </w:r>
      <w:r>
        <w:rPr>
          <w:rFonts w:ascii="Arial" w:hAnsi="Arial" w:cs="Arial"/>
        </w:rPr>
        <w:t>]</w:t>
      </w:r>
      <w:r>
        <w:rPr>
          <w:rFonts w:ascii="Arial" w:hAnsi="Arial" w:cs="Arial"/>
        </w:rPr>
        <w:tab/>
      </w:r>
      <w:r w:rsidR="006364E2">
        <w:rPr>
          <w:rFonts w:ascii="Arial" w:hAnsi="Arial" w:cs="Arial"/>
        </w:rPr>
        <w:t xml:space="preserve">The </w:t>
      </w:r>
      <w:r w:rsidR="00C744C6">
        <w:rPr>
          <w:rFonts w:ascii="Arial" w:hAnsi="Arial" w:cs="Arial"/>
        </w:rPr>
        <w:t xml:space="preserve">BRPs, </w:t>
      </w:r>
      <w:r w:rsidR="006364E2">
        <w:rPr>
          <w:rFonts w:ascii="Arial" w:hAnsi="Arial" w:cs="Arial"/>
        </w:rPr>
        <w:t>have outlined, at great length, the prejudice it will endure</w:t>
      </w:r>
      <w:r w:rsidR="000255B2">
        <w:rPr>
          <w:rFonts w:ascii="Arial" w:hAnsi="Arial" w:cs="Arial"/>
        </w:rPr>
        <w:t xml:space="preserve"> if the rule 30 is not upheld. </w:t>
      </w:r>
      <w:r w:rsidR="002863FB">
        <w:rPr>
          <w:rFonts w:ascii="Arial" w:hAnsi="Arial" w:cs="Arial"/>
        </w:rPr>
        <w:t>In respect of the prejudice it will suffer, t</w:t>
      </w:r>
      <w:r w:rsidR="009E2955">
        <w:rPr>
          <w:rFonts w:ascii="Arial" w:hAnsi="Arial" w:cs="Arial"/>
        </w:rPr>
        <w:t xml:space="preserve">he </w:t>
      </w:r>
      <w:r w:rsidR="0041766E">
        <w:rPr>
          <w:rFonts w:ascii="Arial" w:hAnsi="Arial" w:cs="Arial"/>
        </w:rPr>
        <w:t xml:space="preserve">BRPs </w:t>
      </w:r>
      <w:r w:rsidR="00F62890">
        <w:rPr>
          <w:rFonts w:ascii="Arial" w:hAnsi="Arial" w:cs="Arial"/>
        </w:rPr>
        <w:t xml:space="preserve">have </w:t>
      </w:r>
      <w:r w:rsidR="00F21E2C">
        <w:rPr>
          <w:rFonts w:ascii="Arial" w:hAnsi="Arial" w:cs="Arial"/>
        </w:rPr>
        <w:t>outline</w:t>
      </w:r>
      <w:r w:rsidR="00F62890">
        <w:rPr>
          <w:rFonts w:ascii="Arial" w:hAnsi="Arial" w:cs="Arial"/>
        </w:rPr>
        <w:t>d</w:t>
      </w:r>
      <w:r w:rsidR="00F21E2C">
        <w:rPr>
          <w:rFonts w:ascii="Arial" w:hAnsi="Arial" w:cs="Arial"/>
        </w:rPr>
        <w:t xml:space="preserve">, </w:t>
      </w:r>
      <w:r w:rsidR="00276632" w:rsidRPr="00276632">
        <w:rPr>
          <w:rFonts w:ascii="Arial" w:hAnsi="Arial" w:cs="Arial"/>
          <w:i/>
          <w:iCs/>
        </w:rPr>
        <w:t>inter alia,</w:t>
      </w:r>
      <w:r w:rsidR="00F21E2C">
        <w:rPr>
          <w:rFonts w:ascii="Arial" w:hAnsi="Arial" w:cs="Arial"/>
        </w:rPr>
        <w:t xml:space="preserve"> </w:t>
      </w:r>
      <w:r w:rsidR="00E413B2">
        <w:rPr>
          <w:rFonts w:ascii="Arial" w:hAnsi="Arial" w:cs="Arial"/>
        </w:rPr>
        <w:t xml:space="preserve">that </w:t>
      </w:r>
      <w:r w:rsidR="00D65D0C">
        <w:rPr>
          <w:rFonts w:ascii="Arial" w:hAnsi="Arial" w:cs="Arial"/>
        </w:rPr>
        <w:t>the main application is lengthy and comprises complex issues</w:t>
      </w:r>
      <w:r w:rsidR="00E45C3B">
        <w:rPr>
          <w:rFonts w:ascii="Arial" w:hAnsi="Arial" w:cs="Arial"/>
        </w:rPr>
        <w:t xml:space="preserve"> including </w:t>
      </w:r>
      <w:r w:rsidR="00CC6374">
        <w:rPr>
          <w:rFonts w:ascii="Arial" w:hAnsi="Arial" w:cs="Arial"/>
        </w:rPr>
        <w:t xml:space="preserve">challenging alleged financial assistance rendered by Group Five to related companies many months before </w:t>
      </w:r>
      <w:r w:rsidR="003831CF">
        <w:rPr>
          <w:rFonts w:ascii="Arial" w:hAnsi="Arial" w:cs="Arial"/>
        </w:rPr>
        <w:t>for billions of rands</w:t>
      </w:r>
      <w:r w:rsidR="001A3793">
        <w:rPr>
          <w:rFonts w:ascii="Arial" w:hAnsi="Arial" w:cs="Arial"/>
        </w:rPr>
        <w:t>- the various lenders are also cited as parties</w:t>
      </w:r>
      <w:r w:rsidR="00390253">
        <w:rPr>
          <w:rFonts w:ascii="Arial" w:hAnsi="Arial" w:cs="Arial"/>
        </w:rPr>
        <w:t xml:space="preserve">; the opposition to the main application </w:t>
      </w:r>
      <w:r w:rsidR="00934D65">
        <w:rPr>
          <w:rFonts w:ascii="Arial" w:hAnsi="Arial" w:cs="Arial"/>
        </w:rPr>
        <w:t xml:space="preserve">will involve </w:t>
      </w:r>
      <w:r w:rsidR="00425A94">
        <w:rPr>
          <w:rFonts w:ascii="Arial" w:hAnsi="Arial" w:cs="Arial"/>
        </w:rPr>
        <w:t xml:space="preserve">multiple and lengthy answering affidavits; </w:t>
      </w:r>
      <w:r w:rsidR="00DC71AB">
        <w:rPr>
          <w:rFonts w:ascii="Arial" w:hAnsi="Arial" w:cs="Arial"/>
        </w:rPr>
        <w:t xml:space="preserve">the </w:t>
      </w:r>
      <w:r w:rsidR="00427B00">
        <w:rPr>
          <w:rFonts w:ascii="Arial" w:hAnsi="Arial" w:cs="Arial"/>
        </w:rPr>
        <w:t xml:space="preserve">BRPs </w:t>
      </w:r>
      <w:r w:rsidR="00466F7C">
        <w:rPr>
          <w:rFonts w:ascii="Arial" w:hAnsi="Arial" w:cs="Arial"/>
        </w:rPr>
        <w:t xml:space="preserve">will prepare opposing papers </w:t>
      </w:r>
      <w:r w:rsidR="00535CF7">
        <w:rPr>
          <w:rFonts w:ascii="Arial" w:hAnsi="Arial" w:cs="Arial"/>
        </w:rPr>
        <w:t>while t</w:t>
      </w:r>
      <w:r w:rsidR="002D0956">
        <w:rPr>
          <w:rFonts w:ascii="Arial" w:hAnsi="Arial" w:cs="Arial"/>
        </w:rPr>
        <w:t>he court may reject leave to proceed</w:t>
      </w:r>
      <w:r w:rsidR="007F51EE">
        <w:rPr>
          <w:rFonts w:ascii="Arial" w:hAnsi="Arial" w:cs="Arial"/>
        </w:rPr>
        <w:t xml:space="preserve">; the </w:t>
      </w:r>
      <w:r w:rsidR="00EC42B9">
        <w:rPr>
          <w:rFonts w:ascii="Arial" w:hAnsi="Arial" w:cs="Arial"/>
        </w:rPr>
        <w:t xml:space="preserve">BRPs </w:t>
      </w:r>
      <w:r w:rsidR="007F51EE">
        <w:rPr>
          <w:rFonts w:ascii="Arial" w:hAnsi="Arial" w:cs="Arial"/>
        </w:rPr>
        <w:t xml:space="preserve">will accumulate </w:t>
      </w:r>
      <w:r w:rsidR="00C46212">
        <w:rPr>
          <w:rFonts w:ascii="Arial" w:hAnsi="Arial" w:cs="Arial"/>
        </w:rPr>
        <w:t xml:space="preserve">expenses for a matter that might not proceed. </w:t>
      </w:r>
    </w:p>
    <w:p w14:paraId="02C32FB5" w14:textId="1509E290" w:rsidR="00DD29A6" w:rsidRDefault="00DD29A6" w:rsidP="002838CB">
      <w:pPr>
        <w:spacing w:line="480" w:lineRule="auto"/>
        <w:ind w:left="720" w:hanging="720"/>
        <w:rPr>
          <w:rFonts w:ascii="Arial" w:hAnsi="Arial" w:cs="Arial"/>
        </w:rPr>
      </w:pPr>
    </w:p>
    <w:p w14:paraId="37455D72" w14:textId="2813108C" w:rsidR="00DD29A6" w:rsidRDefault="00DD29A6" w:rsidP="002838CB">
      <w:pPr>
        <w:spacing w:line="480" w:lineRule="auto"/>
        <w:ind w:left="720" w:hanging="720"/>
        <w:rPr>
          <w:rFonts w:ascii="Arial" w:hAnsi="Arial" w:cs="Arial"/>
        </w:rPr>
      </w:pPr>
      <w:r>
        <w:rPr>
          <w:rFonts w:ascii="Arial" w:hAnsi="Arial" w:cs="Arial"/>
        </w:rPr>
        <w:t>[2</w:t>
      </w:r>
      <w:r w:rsidR="00C439C7">
        <w:rPr>
          <w:rFonts w:ascii="Arial" w:hAnsi="Arial" w:cs="Arial"/>
        </w:rPr>
        <w:t>4</w:t>
      </w:r>
      <w:r>
        <w:rPr>
          <w:rFonts w:ascii="Arial" w:hAnsi="Arial" w:cs="Arial"/>
        </w:rPr>
        <w:t>]</w:t>
      </w:r>
      <w:r>
        <w:rPr>
          <w:rFonts w:ascii="Arial" w:hAnsi="Arial" w:cs="Arial"/>
        </w:rPr>
        <w:tab/>
        <w:t>There is great merit in the BRP</w:t>
      </w:r>
      <w:r w:rsidR="00B23F04">
        <w:rPr>
          <w:rFonts w:ascii="Arial" w:hAnsi="Arial" w:cs="Arial"/>
        </w:rPr>
        <w:t>’</w:t>
      </w:r>
      <w:r>
        <w:rPr>
          <w:rFonts w:ascii="Arial" w:hAnsi="Arial" w:cs="Arial"/>
        </w:rPr>
        <w:t>s contention</w:t>
      </w:r>
      <w:r w:rsidR="00352382">
        <w:rPr>
          <w:rFonts w:ascii="Arial" w:hAnsi="Arial" w:cs="Arial"/>
        </w:rPr>
        <w:t xml:space="preserve">, I may find that they </w:t>
      </w:r>
      <w:r w:rsidR="00020A32">
        <w:rPr>
          <w:rFonts w:ascii="Arial" w:hAnsi="Arial" w:cs="Arial"/>
        </w:rPr>
        <w:t>w</w:t>
      </w:r>
      <w:r w:rsidR="00352382">
        <w:rPr>
          <w:rFonts w:ascii="Arial" w:hAnsi="Arial" w:cs="Arial"/>
        </w:rPr>
        <w:t>ill suffer prejudice.</w:t>
      </w:r>
      <w:r w:rsidR="00537AC4">
        <w:rPr>
          <w:rFonts w:ascii="Arial" w:hAnsi="Arial" w:cs="Arial"/>
        </w:rPr>
        <w:t xml:space="preserve">  While I accept </w:t>
      </w:r>
      <w:r w:rsidR="004406B2">
        <w:rPr>
          <w:rFonts w:ascii="Arial" w:hAnsi="Arial" w:cs="Arial"/>
        </w:rPr>
        <w:t xml:space="preserve">all of this, I believe that the prejudice is immense </w:t>
      </w:r>
      <w:r w:rsidR="00C91FF9">
        <w:rPr>
          <w:rFonts w:ascii="Arial" w:hAnsi="Arial" w:cs="Arial"/>
        </w:rPr>
        <w:t xml:space="preserve">and irreparable and accordingly I conclude that </w:t>
      </w:r>
      <w:proofErr w:type="spellStart"/>
      <w:r w:rsidR="00C91FF9">
        <w:rPr>
          <w:rFonts w:ascii="Arial" w:hAnsi="Arial" w:cs="Arial"/>
        </w:rPr>
        <w:t>Lo</w:t>
      </w:r>
      <w:r w:rsidR="000E6685">
        <w:rPr>
          <w:rFonts w:ascii="Arial" w:hAnsi="Arial" w:cs="Arial"/>
        </w:rPr>
        <w:t>ckstock</w:t>
      </w:r>
      <w:proofErr w:type="spellEnd"/>
      <w:r w:rsidR="000E6685">
        <w:rPr>
          <w:rFonts w:ascii="Arial" w:hAnsi="Arial" w:cs="Arial"/>
        </w:rPr>
        <w:t xml:space="preserve"> must first acquire the permission of the court</w:t>
      </w:r>
      <w:r w:rsidR="00E341F2">
        <w:rPr>
          <w:rFonts w:ascii="Arial" w:hAnsi="Arial" w:cs="Arial"/>
        </w:rPr>
        <w:t xml:space="preserve">, </w:t>
      </w:r>
      <w:r w:rsidR="00404854">
        <w:rPr>
          <w:rFonts w:ascii="Arial" w:hAnsi="Arial" w:cs="Arial"/>
        </w:rPr>
        <w:t xml:space="preserve">where section 133 provides </w:t>
      </w:r>
      <w:r w:rsidR="006655B4">
        <w:rPr>
          <w:rFonts w:ascii="Arial" w:hAnsi="Arial" w:cs="Arial"/>
        </w:rPr>
        <w:t xml:space="preserve">“with the leave of the court and in accordance with any terms </w:t>
      </w:r>
      <w:r w:rsidR="00625EF0">
        <w:rPr>
          <w:rFonts w:ascii="Arial" w:hAnsi="Arial" w:cs="Arial"/>
        </w:rPr>
        <w:t xml:space="preserve">the court considers suitable”. </w:t>
      </w:r>
      <w:r w:rsidR="009824D6">
        <w:rPr>
          <w:rFonts w:ascii="Arial" w:hAnsi="Arial" w:cs="Arial"/>
        </w:rPr>
        <w:t>U</w:t>
      </w:r>
      <w:r w:rsidR="003E0E0C">
        <w:rPr>
          <w:rFonts w:ascii="Arial" w:hAnsi="Arial" w:cs="Arial"/>
        </w:rPr>
        <w:t>ntil</w:t>
      </w:r>
      <w:r w:rsidR="00625EF0">
        <w:rPr>
          <w:rFonts w:ascii="Arial" w:hAnsi="Arial" w:cs="Arial"/>
        </w:rPr>
        <w:t xml:space="preserve"> </w:t>
      </w:r>
      <w:proofErr w:type="spellStart"/>
      <w:r w:rsidR="00DC2B61">
        <w:rPr>
          <w:rFonts w:ascii="Arial" w:hAnsi="Arial" w:cs="Arial"/>
        </w:rPr>
        <w:t>Lockstock</w:t>
      </w:r>
      <w:proofErr w:type="spellEnd"/>
      <w:r w:rsidR="00DC2B61">
        <w:rPr>
          <w:rFonts w:ascii="Arial" w:hAnsi="Arial" w:cs="Arial"/>
        </w:rPr>
        <w:t xml:space="preserve"> ha</w:t>
      </w:r>
      <w:r w:rsidR="003B708B">
        <w:rPr>
          <w:rFonts w:ascii="Arial" w:hAnsi="Arial" w:cs="Arial"/>
        </w:rPr>
        <w:t xml:space="preserve">ve done so, the BRPs are </w:t>
      </w:r>
      <w:r w:rsidR="00CF1470">
        <w:rPr>
          <w:rFonts w:ascii="Arial" w:hAnsi="Arial" w:cs="Arial"/>
        </w:rPr>
        <w:t xml:space="preserve">not </w:t>
      </w:r>
      <w:r w:rsidR="003B708B">
        <w:rPr>
          <w:rFonts w:ascii="Arial" w:hAnsi="Arial" w:cs="Arial"/>
        </w:rPr>
        <w:t xml:space="preserve">required </w:t>
      </w:r>
      <w:r w:rsidR="00CF1470">
        <w:rPr>
          <w:rFonts w:ascii="Arial" w:hAnsi="Arial" w:cs="Arial"/>
        </w:rPr>
        <w:t xml:space="preserve">to file their answering </w:t>
      </w:r>
      <w:r w:rsidR="00CF1470">
        <w:rPr>
          <w:rFonts w:ascii="Arial" w:hAnsi="Arial" w:cs="Arial"/>
        </w:rPr>
        <w:lastRenderedPageBreak/>
        <w:t xml:space="preserve">affidavits.  The Order will reflect this.  </w:t>
      </w:r>
      <w:r w:rsidR="00B903F1">
        <w:rPr>
          <w:rFonts w:ascii="Arial" w:hAnsi="Arial" w:cs="Arial"/>
        </w:rPr>
        <w:t xml:space="preserve"> </w:t>
      </w:r>
    </w:p>
    <w:p w14:paraId="0845FAAB" w14:textId="77777777" w:rsidR="00C46212" w:rsidRDefault="00C46212" w:rsidP="008068B8">
      <w:pPr>
        <w:spacing w:line="480" w:lineRule="auto"/>
        <w:rPr>
          <w:rFonts w:ascii="Arial" w:hAnsi="Arial" w:cs="Arial"/>
        </w:rPr>
      </w:pPr>
    </w:p>
    <w:p w14:paraId="1A8F6892" w14:textId="7127ECF2" w:rsidR="008B3E09" w:rsidRDefault="00691AFE" w:rsidP="00691AFE">
      <w:pPr>
        <w:spacing w:line="480" w:lineRule="auto"/>
        <w:ind w:left="720" w:hanging="720"/>
        <w:rPr>
          <w:rFonts w:ascii="Arial" w:hAnsi="Arial" w:cs="Arial"/>
        </w:rPr>
      </w:pPr>
      <w:r>
        <w:rPr>
          <w:rFonts w:ascii="Arial" w:hAnsi="Arial" w:cs="Arial"/>
        </w:rPr>
        <w:t>[2</w:t>
      </w:r>
      <w:r w:rsidR="00C439C7">
        <w:rPr>
          <w:rFonts w:ascii="Arial" w:hAnsi="Arial" w:cs="Arial"/>
        </w:rPr>
        <w:t>5</w:t>
      </w:r>
      <w:r>
        <w:rPr>
          <w:rFonts w:ascii="Arial" w:hAnsi="Arial" w:cs="Arial"/>
        </w:rPr>
        <w:t>]</w:t>
      </w:r>
      <w:r>
        <w:rPr>
          <w:rFonts w:ascii="Arial" w:hAnsi="Arial" w:cs="Arial"/>
        </w:rPr>
        <w:tab/>
      </w:r>
      <w:proofErr w:type="spellStart"/>
      <w:r w:rsidR="00A17AAF">
        <w:rPr>
          <w:rFonts w:ascii="Arial" w:hAnsi="Arial" w:cs="Arial"/>
        </w:rPr>
        <w:t>Lockstock</w:t>
      </w:r>
      <w:proofErr w:type="spellEnd"/>
      <w:r w:rsidR="00D952EB">
        <w:rPr>
          <w:rFonts w:ascii="Arial" w:hAnsi="Arial" w:cs="Arial"/>
        </w:rPr>
        <w:t xml:space="preserve"> </w:t>
      </w:r>
      <w:r w:rsidR="002E194E">
        <w:rPr>
          <w:rFonts w:ascii="Arial" w:hAnsi="Arial" w:cs="Arial"/>
        </w:rPr>
        <w:t xml:space="preserve">have not set out, in detail, reasons for applying for leave at the main hearing. </w:t>
      </w:r>
      <w:r w:rsidR="00C43A72">
        <w:rPr>
          <w:rFonts w:ascii="Arial" w:hAnsi="Arial" w:cs="Arial"/>
        </w:rPr>
        <w:t>They wish to approach the court at the main hearing as of right</w:t>
      </w:r>
      <w:r w:rsidR="0028082E">
        <w:rPr>
          <w:rFonts w:ascii="Arial" w:hAnsi="Arial" w:cs="Arial"/>
        </w:rPr>
        <w:t xml:space="preserve">.  </w:t>
      </w:r>
      <w:proofErr w:type="spellStart"/>
      <w:r w:rsidR="006120F4">
        <w:rPr>
          <w:rFonts w:ascii="Arial" w:hAnsi="Arial" w:cs="Arial"/>
        </w:rPr>
        <w:t>Lockstock</w:t>
      </w:r>
      <w:proofErr w:type="spellEnd"/>
      <w:r w:rsidR="006120F4">
        <w:rPr>
          <w:rFonts w:ascii="Arial" w:hAnsi="Arial" w:cs="Arial"/>
        </w:rPr>
        <w:t xml:space="preserve"> </w:t>
      </w:r>
      <w:r w:rsidR="00613D04">
        <w:rPr>
          <w:rFonts w:ascii="Arial" w:hAnsi="Arial" w:cs="Arial"/>
        </w:rPr>
        <w:t xml:space="preserve">have not properly </w:t>
      </w:r>
      <w:r w:rsidR="0059190C">
        <w:rPr>
          <w:rFonts w:ascii="Arial" w:hAnsi="Arial" w:cs="Arial"/>
        </w:rPr>
        <w:t>canvassed the rights of the business rescue practitioners</w:t>
      </w:r>
      <w:r w:rsidR="008B3E09">
        <w:rPr>
          <w:rFonts w:ascii="Arial" w:hAnsi="Arial" w:cs="Arial"/>
        </w:rPr>
        <w:t xml:space="preserve">, the rights of the company and the rights of the affected parties. </w:t>
      </w:r>
    </w:p>
    <w:p w14:paraId="6D5C0ADA" w14:textId="77777777" w:rsidR="008B3E09" w:rsidRDefault="008B3E09" w:rsidP="008068B8">
      <w:pPr>
        <w:spacing w:line="480" w:lineRule="auto"/>
        <w:rPr>
          <w:rFonts w:ascii="Arial" w:hAnsi="Arial" w:cs="Arial"/>
        </w:rPr>
      </w:pPr>
    </w:p>
    <w:p w14:paraId="0870B352" w14:textId="2E2278FF" w:rsidR="004643B7" w:rsidRPr="00275A8B" w:rsidRDefault="00404154" w:rsidP="00644DF4">
      <w:pPr>
        <w:spacing w:line="480" w:lineRule="auto"/>
        <w:ind w:left="720" w:hanging="720"/>
        <w:rPr>
          <w:rFonts w:ascii="Arial" w:hAnsi="Arial" w:cs="Arial"/>
          <w:i/>
          <w:iCs/>
        </w:rPr>
      </w:pPr>
      <w:r>
        <w:rPr>
          <w:rFonts w:ascii="Arial" w:hAnsi="Arial" w:cs="Arial"/>
        </w:rPr>
        <w:t>[2</w:t>
      </w:r>
      <w:r w:rsidR="00C439C7">
        <w:rPr>
          <w:rFonts w:ascii="Arial" w:hAnsi="Arial" w:cs="Arial"/>
        </w:rPr>
        <w:t>6</w:t>
      </w:r>
      <w:r>
        <w:rPr>
          <w:rFonts w:ascii="Arial" w:hAnsi="Arial" w:cs="Arial"/>
        </w:rPr>
        <w:t>]</w:t>
      </w:r>
      <w:r>
        <w:rPr>
          <w:rFonts w:ascii="Arial" w:hAnsi="Arial" w:cs="Arial"/>
        </w:rPr>
        <w:tab/>
      </w:r>
      <w:r w:rsidR="00275A8B">
        <w:rPr>
          <w:rFonts w:ascii="Arial" w:hAnsi="Arial" w:cs="Arial"/>
        </w:rPr>
        <w:t>A further consideration to b</w:t>
      </w:r>
      <w:r w:rsidR="004643B7">
        <w:rPr>
          <w:rFonts w:ascii="Arial" w:hAnsi="Arial" w:cs="Arial"/>
        </w:rPr>
        <w:t xml:space="preserve">ear in mind </w:t>
      </w:r>
      <w:r w:rsidR="00C24BDA">
        <w:rPr>
          <w:rFonts w:ascii="Arial" w:hAnsi="Arial" w:cs="Arial"/>
        </w:rPr>
        <w:t>is that whenever relaxation is sought, the rights of the company</w:t>
      </w:r>
      <w:r w:rsidR="0040504B">
        <w:rPr>
          <w:rFonts w:ascii="Arial" w:hAnsi="Arial" w:cs="Arial"/>
        </w:rPr>
        <w:t>, affected persons and the practitioner must be protected.</w:t>
      </w:r>
      <w:r w:rsidR="0040504B">
        <w:rPr>
          <w:rStyle w:val="FootnoteReference"/>
          <w:rFonts w:ascii="Arial" w:hAnsi="Arial" w:cs="Arial"/>
        </w:rPr>
        <w:footnoteReference w:id="7"/>
      </w:r>
      <w:r w:rsidR="005F14C3">
        <w:rPr>
          <w:rFonts w:ascii="Arial" w:hAnsi="Arial" w:cs="Arial"/>
        </w:rPr>
        <w:t xml:space="preserve"> </w:t>
      </w:r>
    </w:p>
    <w:p w14:paraId="33EBD601" w14:textId="6853F7DF" w:rsidR="00DE08B2" w:rsidRDefault="00DE08B2" w:rsidP="008068B8">
      <w:pPr>
        <w:spacing w:line="480" w:lineRule="auto"/>
        <w:rPr>
          <w:rFonts w:ascii="Arial" w:hAnsi="Arial" w:cs="Arial"/>
        </w:rPr>
      </w:pPr>
    </w:p>
    <w:p w14:paraId="785907B7" w14:textId="42E556D0" w:rsidR="00B33C13" w:rsidRDefault="00644DF4" w:rsidP="00644DF4">
      <w:pPr>
        <w:spacing w:line="480" w:lineRule="auto"/>
        <w:ind w:left="720" w:hanging="720"/>
        <w:rPr>
          <w:rFonts w:ascii="Arial" w:hAnsi="Arial" w:cs="Arial"/>
        </w:rPr>
      </w:pPr>
      <w:r>
        <w:rPr>
          <w:rFonts w:ascii="Arial" w:hAnsi="Arial" w:cs="Arial"/>
        </w:rPr>
        <w:t>[2</w:t>
      </w:r>
      <w:r w:rsidR="00C439C7">
        <w:rPr>
          <w:rFonts w:ascii="Arial" w:hAnsi="Arial" w:cs="Arial"/>
        </w:rPr>
        <w:t>7</w:t>
      </w:r>
      <w:r>
        <w:rPr>
          <w:rFonts w:ascii="Arial" w:hAnsi="Arial" w:cs="Arial"/>
        </w:rPr>
        <w:t>]</w:t>
      </w:r>
      <w:r>
        <w:rPr>
          <w:rFonts w:ascii="Arial" w:hAnsi="Arial" w:cs="Arial"/>
        </w:rPr>
        <w:tab/>
      </w:r>
      <w:r w:rsidR="00B33C13">
        <w:rPr>
          <w:rFonts w:ascii="Arial" w:hAnsi="Arial" w:cs="Arial"/>
        </w:rPr>
        <w:t>In light of the above</w:t>
      </w:r>
      <w:r w:rsidR="00B01384">
        <w:rPr>
          <w:rFonts w:ascii="Arial" w:hAnsi="Arial" w:cs="Arial"/>
        </w:rPr>
        <w:t xml:space="preserve">, </w:t>
      </w:r>
      <w:r w:rsidR="00944826">
        <w:rPr>
          <w:rFonts w:ascii="Arial" w:hAnsi="Arial" w:cs="Arial"/>
        </w:rPr>
        <w:t>the rights of the affected persons are n</w:t>
      </w:r>
      <w:r w:rsidR="00154554">
        <w:rPr>
          <w:rFonts w:ascii="Arial" w:hAnsi="Arial" w:cs="Arial"/>
        </w:rPr>
        <w:t xml:space="preserve">ot raised as the </w:t>
      </w:r>
      <w:r w:rsidR="00586C16">
        <w:rPr>
          <w:rFonts w:ascii="Arial" w:hAnsi="Arial" w:cs="Arial"/>
        </w:rPr>
        <w:t xml:space="preserve">service of the main </w:t>
      </w:r>
      <w:r w:rsidR="00154554">
        <w:rPr>
          <w:rFonts w:ascii="Arial" w:hAnsi="Arial" w:cs="Arial"/>
        </w:rPr>
        <w:t>applicat</w:t>
      </w:r>
      <w:r w:rsidR="00586C16">
        <w:rPr>
          <w:rFonts w:ascii="Arial" w:hAnsi="Arial" w:cs="Arial"/>
        </w:rPr>
        <w:t>ion ha</w:t>
      </w:r>
      <w:r w:rsidR="00154554">
        <w:rPr>
          <w:rFonts w:ascii="Arial" w:hAnsi="Arial" w:cs="Arial"/>
        </w:rPr>
        <w:t xml:space="preserve">s </w:t>
      </w:r>
      <w:r w:rsidR="00586C16">
        <w:rPr>
          <w:rFonts w:ascii="Arial" w:hAnsi="Arial" w:cs="Arial"/>
        </w:rPr>
        <w:t>not been finalised</w:t>
      </w:r>
      <w:r w:rsidR="002F3558">
        <w:rPr>
          <w:rFonts w:ascii="Arial" w:hAnsi="Arial" w:cs="Arial"/>
        </w:rPr>
        <w:t>, alternatively that the service of the main application is in the process of reaching finality</w:t>
      </w:r>
      <w:r w:rsidR="00586C16">
        <w:rPr>
          <w:rFonts w:ascii="Arial" w:hAnsi="Arial" w:cs="Arial"/>
        </w:rPr>
        <w:t xml:space="preserve">. </w:t>
      </w:r>
      <w:r w:rsidR="00DF1F36">
        <w:rPr>
          <w:rFonts w:ascii="Arial" w:hAnsi="Arial" w:cs="Arial"/>
        </w:rPr>
        <w:t xml:space="preserve">The rights of the affected persons </w:t>
      </w:r>
      <w:r w:rsidR="00942AC7">
        <w:rPr>
          <w:rFonts w:ascii="Arial" w:hAnsi="Arial" w:cs="Arial"/>
        </w:rPr>
        <w:t xml:space="preserve">have not been set </w:t>
      </w:r>
      <w:r w:rsidR="00E41ECD">
        <w:rPr>
          <w:rFonts w:ascii="Arial" w:hAnsi="Arial" w:cs="Arial"/>
        </w:rPr>
        <w:t xml:space="preserve">out at all </w:t>
      </w:r>
      <w:r w:rsidR="00DF1F36">
        <w:rPr>
          <w:rFonts w:ascii="Arial" w:hAnsi="Arial" w:cs="Arial"/>
        </w:rPr>
        <w:t>in the main application</w:t>
      </w:r>
      <w:r w:rsidR="00E41ECD">
        <w:rPr>
          <w:rFonts w:ascii="Arial" w:hAnsi="Arial" w:cs="Arial"/>
        </w:rPr>
        <w:t>.</w:t>
      </w:r>
    </w:p>
    <w:p w14:paraId="6523E13A" w14:textId="77777777" w:rsidR="00E41ECD" w:rsidRDefault="00E41ECD" w:rsidP="008068B8">
      <w:pPr>
        <w:spacing w:line="480" w:lineRule="auto"/>
        <w:rPr>
          <w:rFonts w:ascii="Arial" w:hAnsi="Arial" w:cs="Arial"/>
        </w:rPr>
      </w:pPr>
    </w:p>
    <w:p w14:paraId="782F0659" w14:textId="050A4536" w:rsidR="00EA1AC9" w:rsidRDefault="00B70A98" w:rsidP="002954B7">
      <w:pPr>
        <w:spacing w:line="480" w:lineRule="auto"/>
        <w:ind w:left="720" w:hanging="720"/>
        <w:rPr>
          <w:rFonts w:ascii="Arial" w:hAnsi="Arial" w:cs="Arial"/>
        </w:rPr>
      </w:pPr>
      <w:r>
        <w:rPr>
          <w:rFonts w:ascii="Arial" w:hAnsi="Arial" w:cs="Arial"/>
        </w:rPr>
        <w:t>[2</w:t>
      </w:r>
      <w:r w:rsidR="00C439C7">
        <w:rPr>
          <w:rFonts w:ascii="Arial" w:hAnsi="Arial" w:cs="Arial"/>
        </w:rPr>
        <w:t>8</w:t>
      </w:r>
      <w:r>
        <w:rPr>
          <w:rFonts w:ascii="Arial" w:hAnsi="Arial" w:cs="Arial"/>
        </w:rPr>
        <w:t>]</w:t>
      </w:r>
      <w:r>
        <w:rPr>
          <w:rFonts w:ascii="Arial" w:hAnsi="Arial" w:cs="Arial"/>
        </w:rPr>
        <w:tab/>
      </w:r>
      <w:r w:rsidR="00211970">
        <w:rPr>
          <w:rFonts w:ascii="Arial" w:hAnsi="Arial" w:cs="Arial"/>
        </w:rPr>
        <w:t xml:space="preserve">Insofar as the contention raised by </w:t>
      </w:r>
      <w:proofErr w:type="spellStart"/>
      <w:r w:rsidR="00C236BB">
        <w:rPr>
          <w:rFonts w:ascii="Arial" w:hAnsi="Arial" w:cs="Arial"/>
        </w:rPr>
        <w:t>Lockstock</w:t>
      </w:r>
      <w:proofErr w:type="spellEnd"/>
      <w:r w:rsidR="00C236BB">
        <w:rPr>
          <w:rFonts w:ascii="Arial" w:hAnsi="Arial" w:cs="Arial"/>
        </w:rPr>
        <w:t xml:space="preserve"> </w:t>
      </w:r>
      <w:r w:rsidR="00211970">
        <w:rPr>
          <w:rFonts w:ascii="Arial" w:hAnsi="Arial" w:cs="Arial"/>
        </w:rPr>
        <w:t xml:space="preserve">that </w:t>
      </w:r>
      <w:r w:rsidR="00DA48EE">
        <w:rPr>
          <w:rFonts w:ascii="Arial" w:hAnsi="Arial" w:cs="Arial"/>
        </w:rPr>
        <w:t>rule 30 does not apply to omissions but to positive steps or proceedings and as a result rule 30 has no</w:t>
      </w:r>
      <w:r w:rsidR="004A4C18">
        <w:rPr>
          <w:rFonts w:ascii="Arial" w:hAnsi="Arial" w:cs="Arial"/>
        </w:rPr>
        <w:t xml:space="preserve"> place in this application. </w:t>
      </w:r>
      <w:r>
        <w:rPr>
          <w:rFonts w:ascii="Arial" w:hAnsi="Arial" w:cs="Arial"/>
        </w:rPr>
        <w:t xml:space="preserve">My view is to adopt the approach </w:t>
      </w:r>
      <w:r w:rsidR="0089406D">
        <w:rPr>
          <w:rFonts w:ascii="Arial" w:hAnsi="Arial" w:cs="Arial"/>
        </w:rPr>
        <w:t xml:space="preserve">set out by </w:t>
      </w:r>
      <w:proofErr w:type="spellStart"/>
      <w:r w:rsidR="0089406D">
        <w:rPr>
          <w:rFonts w:ascii="Arial" w:hAnsi="Arial" w:cs="Arial"/>
        </w:rPr>
        <w:t>Fabricius</w:t>
      </w:r>
      <w:proofErr w:type="spellEnd"/>
      <w:r w:rsidR="0089406D">
        <w:rPr>
          <w:rFonts w:ascii="Arial" w:hAnsi="Arial" w:cs="Arial"/>
        </w:rPr>
        <w:t xml:space="preserve"> J </w:t>
      </w:r>
      <w:r w:rsidR="00824295">
        <w:rPr>
          <w:rFonts w:ascii="Arial" w:hAnsi="Arial" w:cs="Arial"/>
        </w:rPr>
        <w:t xml:space="preserve">in the Cheetah Chrome case, </w:t>
      </w:r>
      <w:r w:rsidR="00824295" w:rsidRPr="00824295">
        <w:rPr>
          <w:rFonts w:ascii="Arial" w:hAnsi="Arial" w:cs="Arial"/>
          <w:i/>
          <w:iCs/>
        </w:rPr>
        <w:t>supra</w:t>
      </w:r>
      <w:r w:rsidR="00824295">
        <w:rPr>
          <w:rFonts w:ascii="Arial" w:hAnsi="Arial" w:cs="Arial"/>
        </w:rPr>
        <w:t xml:space="preserve">, </w:t>
      </w:r>
      <w:r w:rsidR="0089406D">
        <w:rPr>
          <w:rFonts w:ascii="Arial" w:hAnsi="Arial" w:cs="Arial"/>
        </w:rPr>
        <w:t xml:space="preserve">where </w:t>
      </w:r>
      <w:r w:rsidR="00DD1D87">
        <w:rPr>
          <w:rFonts w:ascii="Arial" w:hAnsi="Arial" w:cs="Arial"/>
        </w:rPr>
        <w:t xml:space="preserve">it was </w:t>
      </w:r>
      <w:r w:rsidR="0089406D">
        <w:rPr>
          <w:rFonts w:ascii="Arial" w:hAnsi="Arial" w:cs="Arial"/>
        </w:rPr>
        <w:t xml:space="preserve">held that </w:t>
      </w:r>
      <w:r w:rsidR="009D2A37">
        <w:rPr>
          <w:rFonts w:ascii="Arial" w:hAnsi="Arial" w:cs="Arial"/>
        </w:rPr>
        <w:t xml:space="preserve">a technical approach </w:t>
      </w:r>
      <w:r w:rsidR="004716E0">
        <w:rPr>
          <w:rFonts w:ascii="Arial" w:hAnsi="Arial" w:cs="Arial"/>
        </w:rPr>
        <w:t xml:space="preserve">is to </w:t>
      </w:r>
      <w:r w:rsidR="009D2A37">
        <w:rPr>
          <w:rFonts w:ascii="Arial" w:hAnsi="Arial" w:cs="Arial"/>
        </w:rPr>
        <w:t>be avoided</w:t>
      </w:r>
      <w:r w:rsidR="00B028B1">
        <w:rPr>
          <w:rFonts w:ascii="Arial" w:hAnsi="Arial" w:cs="Arial"/>
        </w:rPr>
        <w:t xml:space="preserve"> nor should </w:t>
      </w:r>
      <w:r w:rsidR="00F069C9">
        <w:rPr>
          <w:rFonts w:ascii="Arial" w:hAnsi="Arial" w:cs="Arial"/>
        </w:rPr>
        <w:t>an excessively formalistic approach in the application of the Rules be adopted.</w:t>
      </w:r>
      <w:r w:rsidR="00DD1D87">
        <w:rPr>
          <w:rFonts w:ascii="Arial" w:hAnsi="Arial" w:cs="Arial"/>
        </w:rPr>
        <w:t xml:space="preserve"> (</w:t>
      </w:r>
      <w:proofErr w:type="gramStart"/>
      <w:r w:rsidR="00DD1D87">
        <w:rPr>
          <w:rFonts w:ascii="Arial" w:hAnsi="Arial" w:cs="Arial"/>
        </w:rPr>
        <w:t>at</w:t>
      </w:r>
      <w:proofErr w:type="gramEnd"/>
      <w:r w:rsidR="00DD1D87">
        <w:rPr>
          <w:rFonts w:ascii="Arial" w:hAnsi="Arial" w:cs="Arial"/>
        </w:rPr>
        <w:t xml:space="preserve"> para 1</w:t>
      </w:r>
      <w:r w:rsidR="002D1D87">
        <w:rPr>
          <w:rFonts w:ascii="Arial" w:hAnsi="Arial" w:cs="Arial"/>
        </w:rPr>
        <w:t>0</w:t>
      </w:r>
      <w:r w:rsidR="00DD1D87">
        <w:rPr>
          <w:rFonts w:ascii="Arial" w:hAnsi="Arial" w:cs="Arial"/>
        </w:rPr>
        <w:t>).</w:t>
      </w:r>
    </w:p>
    <w:p w14:paraId="768121DB" w14:textId="52FCD355" w:rsidR="00D75469" w:rsidRDefault="00D75469" w:rsidP="002954B7">
      <w:pPr>
        <w:spacing w:line="480" w:lineRule="auto"/>
        <w:ind w:left="720" w:hanging="720"/>
        <w:rPr>
          <w:rFonts w:ascii="Arial" w:hAnsi="Arial" w:cs="Arial"/>
        </w:rPr>
      </w:pPr>
    </w:p>
    <w:p w14:paraId="4844389F" w14:textId="3E20AE73" w:rsidR="00D75469" w:rsidRDefault="00D75469" w:rsidP="002954B7">
      <w:pPr>
        <w:spacing w:line="480" w:lineRule="auto"/>
        <w:ind w:left="720" w:hanging="720"/>
        <w:rPr>
          <w:rFonts w:ascii="Arial" w:hAnsi="Arial" w:cs="Arial"/>
        </w:rPr>
      </w:pPr>
      <w:r>
        <w:rPr>
          <w:rFonts w:ascii="Arial" w:hAnsi="Arial" w:cs="Arial"/>
        </w:rPr>
        <w:t>[</w:t>
      </w:r>
      <w:r w:rsidR="00C439C7">
        <w:rPr>
          <w:rFonts w:ascii="Arial" w:hAnsi="Arial" w:cs="Arial"/>
        </w:rPr>
        <w:t>29</w:t>
      </w:r>
      <w:r>
        <w:rPr>
          <w:rFonts w:ascii="Arial" w:hAnsi="Arial" w:cs="Arial"/>
        </w:rPr>
        <w:t>]</w:t>
      </w:r>
      <w:r>
        <w:rPr>
          <w:rFonts w:ascii="Arial" w:hAnsi="Arial" w:cs="Arial"/>
        </w:rPr>
        <w:tab/>
        <w:t xml:space="preserve">In </w:t>
      </w:r>
      <w:r w:rsidR="007C591F">
        <w:rPr>
          <w:rFonts w:ascii="Arial" w:hAnsi="Arial" w:cs="Arial"/>
        </w:rPr>
        <w:t>the result</w:t>
      </w:r>
      <w:r>
        <w:rPr>
          <w:rFonts w:ascii="Arial" w:hAnsi="Arial" w:cs="Arial"/>
        </w:rPr>
        <w:t xml:space="preserve">, I make </w:t>
      </w:r>
      <w:r w:rsidR="00952631">
        <w:rPr>
          <w:rFonts w:ascii="Arial" w:hAnsi="Arial" w:cs="Arial"/>
        </w:rPr>
        <w:t xml:space="preserve">the </w:t>
      </w:r>
      <w:r>
        <w:rPr>
          <w:rFonts w:ascii="Arial" w:hAnsi="Arial" w:cs="Arial"/>
        </w:rPr>
        <w:t>following order:</w:t>
      </w:r>
    </w:p>
    <w:p w14:paraId="67C530BA" w14:textId="77777777" w:rsidR="00CD7723" w:rsidRDefault="00CD7723" w:rsidP="002954B7">
      <w:pPr>
        <w:spacing w:line="480" w:lineRule="auto"/>
        <w:ind w:left="720" w:hanging="720"/>
        <w:rPr>
          <w:rFonts w:ascii="Arial" w:hAnsi="Arial" w:cs="Arial"/>
        </w:rPr>
      </w:pPr>
    </w:p>
    <w:p w14:paraId="1E54AFBC" w14:textId="3149689D" w:rsidR="005C1039" w:rsidRPr="002454BA" w:rsidRDefault="002454BA" w:rsidP="002454BA">
      <w:pPr>
        <w:spacing w:line="480" w:lineRule="auto"/>
        <w:ind w:left="1080" w:hanging="360"/>
        <w:rPr>
          <w:rFonts w:ascii="Arial" w:hAnsi="Arial" w:cs="Arial"/>
        </w:rPr>
      </w:pPr>
      <w:r w:rsidRPr="00357DDE">
        <w:rPr>
          <w:rFonts w:ascii="Arial" w:hAnsi="Arial" w:cs="Arial"/>
        </w:rPr>
        <w:t>1.</w:t>
      </w:r>
      <w:r w:rsidRPr="00357DDE">
        <w:rPr>
          <w:rFonts w:ascii="Arial" w:hAnsi="Arial" w:cs="Arial"/>
        </w:rPr>
        <w:tab/>
      </w:r>
      <w:r w:rsidR="00514D03" w:rsidRPr="002454BA">
        <w:rPr>
          <w:rFonts w:ascii="Arial" w:hAnsi="Arial" w:cs="Arial"/>
        </w:rPr>
        <w:t xml:space="preserve">The first, second and third respondents </w:t>
      </w:r>
      <w:r w:rsidR="00776F57" w:rsidRPr="002454BA">
        <w:rPr>
          <w:rFonts w:ascii="Arial" w:hAnsi="Arial" w:cs="Arial"/>
        </w:rPr>
        <w:t>[</w:t>
      </w:r>
      <w:r w:rsidR="00C45293" w:rsidRPr="002454BA">
        <w:rPr>
          <w:rFonts w:ascii="Arial" w:hAnsi="Arial" w:cs="Arial"/>
        </w:rPr>
        <w:t>“the BRPs</w:t>
      </w:r>
      <w:r w:rsidR="005779CF" w:rsidRPr="002454BA">
        <w:rPr>
          <w:rFonts w:ascii="Arial" w:hAnsi="Arial" w:cs="Arial"/>
        </w:rPr>
        <w:t>”</w:t>
      </w:r>
      <w:r w:rsidR="00C45293" w:rsidRPr="002454BA">
        <w:rPr>
          <w:rFonts w:ascii="Arial" w:hAnsi="Arial" w:cs="Arial"/>
        </w:rPr>
        <w:t xml:space="preserve">] </w:t>
      </w:r>
      <w:r w:rsidR="006B7002" w:rsidRPr="002454BA">
        <w:rPr>
          <w:rFonts w:ascii="Arial" w:hAnsi="Arial" w:cs="Arial"/>
        </w:rPr>
        <w:t xml:space="preserve">need only deliver their answering affidavits </w:t>
      </w:r>
      <w:r w:rsidR="005C1039" w:rsidRPr="002454BA">
        <w:rPr>
          <w:rFonts w:ascii="Arial" w:hAnsi="Arial" w:cs="Arial"/>
        </w:rPr>
        <w:t>within fifteen days of the later of:</w:t>
      </w:r>
    </w:p>
    <w:p w14:paraId="7858A086" w14:textId="747E8732" w:rsidR="00B55F41" w:rsidRDefault="00B91689" w:rsidP="00B91689">
      <w:pPr>
        <w:spacing w:line="480" w:lineRule="auto"/>
        <w:ind w:left="2160" w:hanging="720"/>
        <w:rPr>
          <w:rFonts w:ascii="Arial" w:hAnsi="Arial" w:cs="Arial"/>
        </w:rPr>
      </w:pPr>
      <w:r>
        <w:rPr>
          <w:rFonts w:ascii="Arial" w:hAnsi="Arial" w:cs="Arial"/>
        </w:rPr>
        <w:t>1.1</w:t>
      </w:r>
      <w:r>
        <w:rPr>
          <w:rFonts w:ascii="Arial" w:hAnsi="Arial" w:cs="Arial"/>
        </w:rPr>
        <w:tab/>
      </w:r>
      <w:r w:rsidR="00060B8B">
        <w:rPr>
          <w:rFonts w:ascii="Arial" w:hAnsi="Arial" w:cs="Arial"/>
        </w:rPr>
        <w:t xml:space="preserve">the applicants </w:t>
      </w:r>
      <w:r w:rsidR="00C45293">
        <w:rPr>
          <w:rFonts w:ascii="Arial" w:hAnsi="Arial" w:cs="Arial"/>
        </w:rPr>
        <w:t>[</w:t>
      </w:r>
      <w:proofErr w:type="spellStart"/>
      <w:r w:rsidR="00C45293">
        <w:rPr>
          <w:rFonts w:ascii="Arial" w:hAnsi="Arial" w:cs="Arial"/>
        </w:rPr>
        <w:t>Lockstock</w:t>
      </w:r>
      <w:proofErr w:type="spellEnd"/>
      <w:r w:rsidR="00C45293">
        <w:rPr>
          <w:rFonts w:ascii="Arial" w:hAnsi="Arial" w:cs="Arial"/>
        </w:rPr>
        <w:t xml:space="preserve">] </w:t>
      </w:r>
      <w:r w:rsidR="00060B8B">
        <w:rPr>
          <w:rFonts w:ascii="Arial" w:hAnsi="Arial" w:cs="Arial"/>
        </w:rPr>
        <w:t>being granted leave by the court in terms of section 133(1)(b) of the Companies Act</w:t>
      </w:r>
      <w:r w:rsidR="00DF3820">
        <w:rPr>
          <w:rFonts w:ascii="Arial" w:hAnsi="Arial" w:cs="Arial"/>
        </w:rPr>
        <w:t>, 71 of 2008 to commence and / or proceed with the main applicatio</w:t>
      </w:r>
      <w:r w:rsidR="00312B13">
        <w:rPr>
          <w:rFonts w:ascii="Arial" w:hAnsi="Arial" w:cs="Arial"/>
        </w:rPr>
        <w:t xml:space="preserve">n </w:t>
      </w:r>
      <w:r w:rsidR="00C30E33">
        <w:rPr>
          <w:rFonts w:ascii="Arial" w:hAnsi="Arial" w:cs="Arial"/>
        </w:rPr>
        <w:t>under this case number</w:t>
      </w:r>
      <w:r w:rsidR="00142754">
        <w:rPr>
          <w:rFonts w:ascii="Arial" w:hAnsi="Arial" w:cs="Arial"/>
        </w:rPr>
        <w:t>;</w:t>
      </w:r>
      <w:r w:rsidR="002B50BE">
        <w:rPr>
          <w:rFonts w:ascii="Arial" w:hAnsi="Arial" w:cs="Arial"/>
        </w:rPr>
        <w:t xml:space="preserve"> </w:t>
      </w:r>
    </w:p>
    <w:p w14:paraId="29F4DE74" w14:textId="77777777" w:rsidR="00B55F41" w:rsidRDefault="00B55F41" w:rsidP="00B55F41">
      <w:pPr>
        <w:spacing w:line="276" w:lineRule="auto"/>
        <w:ind w:left="1080"/>
        <w:rPr>
          <w:rFonts w:ascii="Arial" w:hAnsi="Arial" w:cs="Arial"/>
        </w:rPr>
      </w:pPr>
    </w:p>
    <w:p w14:paraId="2DFEC9FA" w14:textId="3575764C" w:rsidR="0094179C" w:rsidRDefault="00B91689" w:rsidP="00B91689">
      <w:pPr>
        <w:spacing w:line="360" w:lineRule="auto"/>
        <w:ind w:left="2160" w:hanging="720"/>
        <w:rPr>
          <w:rFonts w:ascii="Arial" w:hAnsi="Arial" w:cs="Arial"/>
        </w:rPr>
      </w:pPr>
      <w:r>
        <w:rPr>
          <w:rFonts w:ascii="Arial" w:hAnsi="Arial" w:cs="Arial"/>
        </w:rPr>
        <w:t>1.2</w:t>
      </w:r>
      <w:r>
        <w:rPr>
          <w:rFonts w:ascii="Arial" w:hAnsi="Arial" w:cs="Arial"/>
        </w:rPr>
        <w:tab/>
      </w:r>
      <w:proofErr w:type="spellStart"/>
      <w:r w:rsidR="00B53C69">
        <w:rPr>
          <w:rFonts w:ascii="Arial" w:hAnsi="Arial" w:cs="Arial"/>
        </w:rPr>
        <w:t>Lockstock</w:t>
      </w:r>
      <w:proofErr w:type="spellEnd"/>
      <w:r w:rsidR="00B53C69">
        <w:rPr>
          <w:rFonts w:ascii="Arial" w:hAnsi="Arial" w:cs="Arial"/>
        </w:rPr>
        <w:t xml:space="preserve"> </w:t>
      </w:r>
      <w:r w:rsidR="00142754">
        <w:rPr>
          <w:rFonts w:ascii="Arial" w:hAnsi="Arial" w:cs="Arial"/>
        </w:rPr>
        <w:t xml:space="preserve">having attended to effect service </w:t>
      </w:r>
      <w:r w:rsidR="0094179C">
        <w:rPr>
          <w:rFonts w:ascii="Arial" w:hAnsi="Arial" w:cs="Arial"/>
        </w:rPr>
        <w:t>upon each of the remaining affected parties.</w:t>
      </w:r>
    </w:p>
    <w:p w14:paraId="1F9BC2BB" w14:textId="358A4AF0" w:rsidR="003469C1" w:rsidRDefault="003469C1" w:rsidP="003469C1">
      <w:pPr>
        <w:spacing w:line="480" w:lineRule="auto"/>
        <w:rPr>
          <w:rFonts w:ascii="Arial" w:hAnsi="Arial" w:cs="Arial"/>
        </w:rPr>
      </w:pPr>
    </w:p>
    <w:p w14:paraId="676A4CE8" w14:textId="799F2B44" w:rsidR="0094179C" w:rsidRPr="002454BA" w:rsidRDefault="002454BA" w:rsidP="002454BA">
      <w:pPr>
        <w:spacing w:line="480" w:lineRule="auto"/>
        <w:ind w:left="1080" w:hanging="360"/>
        <w:rPr>
          <w:rFonts w:ascii="Arial" w:hAnsi="Arial" w:cs="Arial"/>
        </w:rPr>
      </w:pPr>
      <w:r w:rsidRPr="002C571A">
        <w:rPr>
          <w:rFonts w:ascii="Arial" w:hAnsi="Arial" w:cs="Arial"/>
        </w:rPr>
        <w:t>2.</w:t>
      </w:r>
      <w:r w:rsidRPr="002C571A">
        <w:rPr>
          <w:rFonts w:ascii="Arial" w:hAnsi="Arial" w:cs="Arial"/>
        </w:rPr>
        <w:tab/>
      </w:r>
      <w:r w:rsidR="00B53C69" w:rsidRPr="002454BA">
        <w:rPr>
          <w:rFonts w:ascii="Arial" w:hAnsi="Arial" w:cs="Arial"/>
        </w:rPr>
        <w:t>I believe that t</w:t>
      </w:r>
      <w:r w:rsidR="008E5575" w:rsidRPr="002454BA">
        <w:rPr>
          <w:rFonts w:ascii="Arial" w:hAnsi="Arial" w:cs="Arial"/>
        </w:rPr>
        <w:t xml:space="preserve">he </w:t>
      </w:r>
      <w:r w:rsidR="004D2B00" w:rsidRPr="002454BA">
        <w:rPr>
          <w:rFonts w:ascii="Arial" w:hAnsi="Arial" w:cs="Arial"/>
        </w:rPr>
        <w:t xml:space="preserve">matter does not warrant the </w:t>
      </w:r>
      <w:r w:rsidR="000E57E9" w:rsidRPr="002454BA">
        <w:rPr>
          <w:rFonts w:ascii="Arial" w:hAnsi="Arial" w:cs="Arial"/>
        </w:rPr>
        <w:t xml:space="preserve">employ </w:t>
      </w:r>
      <w:r w:rsidR="00F2359B" w:rsidRPr="002454BA">
        <w:rPr>
          <w:rFonts w:ascii="Arial" w:hAnsi="Arial" w:cs="Arial"/>
        </w:rPr>
        <w:t xml:space="preserve">of 2 counsel. </w:t>
      </w:r>
      <w:proofErr w:type="spellStart"/>
      <w:r w:rsidR="00C35D39" w:rsidRPr="002454BA">
        <w:rPr>
          <w:rFonts w:ascii="Arial" w:hAnsi="Arial" w:cs="Arial"/>
        </w:rPr>
        <w:t>Lockstock</w:t>
      </w:r>
      <w:proofErr w:type="spellEnd"/>
      <w:r w:rsidR="00C35D39" w:rsidRPr="002454BA">
        <w:rPr>
          <w:rFonts w:ascii="Arial" w:hAnsi="Arial" w:cs="Arial"/>
        </w:rPr>
        <w:t xml:space="preserve"> are to pay the costs of one counsel. </w:t>
      </w:r>
    </w:p>
    <w:p w14:paraId="4AA846F0" w14:textId="77777777" w:rsidR="00AB6555" w:rsidRDefault="00AB6555" w:rsidP="0094179C">
      <w:pPr>
        <w:spacing w:line="480" w:lineRule="auto"/>
        <w:rPr>
          <w:rFonts w:ascii="Arial" w:hAnsi="Arial" w:cs="Arial"/>
        </w:rPr>
      </w:pPr>
    </w:p>
    <w:p w14:paraId="4F65F829" w14:textId="77777777" w:rsidR="00AB6555" w:rsidRDefault="00AB6555" w:rsidP="0094179C">
      <w:pPr>
        <w:spacing w:line="480" w:lineRule="auto"/>
        <w:rPr>
          <w:rFonts w:ascii="Arial" w:hAnsi="Arial" w:cs="Arial"/>
        </w:rPr>
      </w:pPr>
    </w:p>
    <w:p w14:paraId="5A3324E0" w14:textId="77777777" w:rsidR="00AB6555" w:rsidRDefault="00AB6555" w:rsidP="0094179C">
      <w:pPr>
        <w:spacing w:line="480" w:lineRule="auto"/>
        <w:rPr>
          <w:rFonts w:ascii="Arial" w:hAnsi="Arial" w:cs="Arial"/>
        </w:rPr>
      </w:pPr>
      <w:r>
        <w:rPr>
          <w:rFonts w:ascii="Arial" w:hAnsi="Arial" w:cs="Arial"/>
        </w:rPr>
        <w:t>_______________</w:t>
      </w:r>
    </w:p>
    <w:p w14:paraId="38ABA450" w14:textId="046FA734" w:rsidR="005F778C" w:rsidRDefault="00AB6555" w:rsidP="0094179C">
      <w:pPr>
        <w:spacing w:line="480" w:lineRule="auto"/>
        <w:rPr>
          <w:rFonts w:ascii="Arial" w:hAnsi="Arial" w:cs="Arial"/>
        </w:rPr>
      </w:pPr>
      <w:r>
        <w:rPr>
          <w:rFonts w:ascii="Arial" w:hAnsi="Arial" w:cs="Arial"/>
        </w:rPr>
        <w:t>N</w:t>
      </w:r>
      <w:r w:rsidR="00F74222">
        <w:rPr>
          <w:rFonts w:ascii="Arial" w:hAnsi="Arial" w:cs="Arial"/>
        </w:rPr>
        <w:t>.</w:t>
      </w:r>
      <w:r w:rsidR="005F778C">
        <w:rPr>
          <w:rFonts w:ascii="Arial" w:hAnsi="Arial" w:cs="Arial"/>
        </w:rPr>
        <w:t xml:space="preserve"> ALI</w:t>
      </w:r>
    </w:p>
    <w:p w14:paraId="6FCDF5E2" w14:textId="77777777" w:rsidR="005F778C" w:rsidRDefault="005F778C" w:rsidP="00F74222">
      <w:pPr>
        <w:spacing w:line="360" w:lineRule="auto"/>
        <w:rPr>
          <w:rFonts w:ascii="Arial" w:hAnsi="Arial" w:cs="Arial"/>
        </w:rPr>
      </w:pPr>
      <w:r>
        <w:rPr>
          <w:rFonts w:ascii="Arial" w:hAnsi="Arial" w:cs="Arial"/>
        </w:rPr>
        <w:t>ACTING JUDGE OF THE HIGH COURT OF SOUTH AFRICA</w:t>
      </w:r>
    </w:p>
    <w:p w14:paraId="23B13D2A" w14:textId="77777777" w:rsidR="00AC4B48" w:rsidRDefault="005F778C" w:rsidP="00F74222">
      <w:pPr>
        <w:spacing w:line="360" w:lineRule="auto"/>
        <w:rPr>
          <w:rFonts w:ascii="Arial" w:hAnsi="Arial" w:cs="Arial"/>
        </w:rPr>
      </w:pPr>
      <w:r>
        <w:rPr>
          <w:rFonts w:ascii="Arial" w:hAnsi="Arial" w:cs="Arial"/>
        </w:rPr>
        <w:t>GAUTENG DIVISION, JOHANNESBURG</w:t>
      </w:r>
    </w:p>
    <w:p w14:paraId="2936C377" w14:textId="75075160" w:rsidR="00AC4B48" w:rsidRDefault="00AC4B48" w:rsidP="0094179C">
      <w:pPr>
        <w:spacing w:line="480" w:lineRule="auto"/>
        <w:rPr>
          <w:rFonts w:ascii="Arial" w:hAnsi="Arial" w:cs="Arial"/>
        </w:rPr>
      </w:pPr>
    </w:p>
    <w:p w14:paraId="59010BC4" w14:textId="5106C09A" w:rsidR="00E568DB" w:rsidRPr="00E568DB" w:rsidRDefault="00E568DB" w:rsidP="00E568DB">
      <w:pPr>
        <w:spacing w:line="480" w:lineRule="auto"/>
        <w:rPr>
          <w:rFonts w:ascii="Arial" w:hAnsi="Arial" w:cs="Arial"/>
          <w:bCs/>
        </w:rPr>
      </w:pPr>
      <w:r w:rsidRPr="00E568DB">
        <w:rPr>
          <w:rFonts w:ascii="Arial" w:hAnsi="Arial" w:cs="Arial"/>
          <w:bCs/>
        </w:rPr>
        <w:t xml:space="preserve">This judgment was prepared and authored by Acting </w:t>
      </w:r>
      <w:r>
        <w:rPr>
          <w:rFonts w:ascii="Arial" w:hAnsi="Arial" w:cs="Arial"/>
          <w:bCs/>
        </w:rPr>
        <w:t>Judge Ali</w:t>
      </w:r>
      <w:r w:rsidRPr="00E568DB">
        <w:rPr>
          <w:rFonts w:ascii="Arial" w:hAnsi="Arial" w:cs="Arial"/>
          <w:bCs/>
        </w:rPr>
        <w:t xml:space="preserve">. It is handed down electronically by circulation to the parties or their legal representatives by email and by uploading it to the electronic file of this matter on </w:t>
      </w:r>
      <w:proofErr w:type="spellStart"/>
      <w:r w:rsidRPr="00E568DB">
        <w:rPr>
          <w:rFonts w:ascii="Arial" w:hAnsi="Arial" w:cs="Arial"/>
          <w:bCs/>
        </w:rPr>
        <w:t>Caselines</w:t>
      </w:r>
      <w:proofErr w:type="spellEnd"/>
      <w:r w:rsidRPr="00E568DB">
        <w:rPr>
          <w:rFonts w:ascii="Arial" w:hAnsi="Arial" w:cs="Arial"/>
          <w:bCs/>
        </w:rPr>
        <w:t>.</w:t>
      </w:r>
    </w:p>
    <w:p w14:paraId="34C9B5B4" w14:textId="77777777" w:rsidR="00E568DB" w:rsidRDefault="00E568DB" w:rsidP="0094179C">
      <w:pPr>
        <w:spacing w:line="480" w:lineRule="auto"/>
        <w:rPr>
          <w:rFonts w:ascii="Arial" w:hAnsi="Arial" w:cs="Arial"/>
        </w:rPr>
      </w:pPr>
    </w:p>
    <w:p w14:paraId="05B247E5" w14:textId="77777777" w:rsidR="00AC4B48" w:rsidRDefault="00AC4B48" w:rsidP="0094179C">
      <w:pPr>
        <w:spacing w:line="480" w:lineRule="auto"/>
        <w:rPr>
          <w:rFonts w:ascii="Arial" w:hAnsi="Arial" w:cs="Arial"/>
        </w:rPr>
      </w:pPr>
      <w:r>
        <w:rPr>
          <w:rFonts w:ascii="Arial" w:hAnsi="Arial" w:cs="Arial"/>
        </w:rPr>
        <w:t>DATE OF HEARING: 28 JULY 2021</w:t>
      </w:r>
    </w:p>
    <w:p w14:paraId="44CB10FC" w14:textId="74A999C0" w:rsidR="00555C5B" w:rsidRDefault="00AC4B48" w:rsidP="0094179C">
      <w:pPr>
        <w:spacing w:line="480" w:lineRule="auto"/>
        <w:rPr>
          <w:rFonts w:ascii="Arial" w:hAnsi="Arial" w:cs="Arial"/>
        </w:rPr>
      </w:pPr>
      <w:r>
        <w:rPr>
          <w:rFonts w:ascii="Arial" w:hAnsi="Arial" w:cs="Arial"/>
        </w:rPr>
        <w:t xml:space="preserve">DATE OF JUDGMENT: </w:t>
      </w:r>
      <w:r w:rsidR="00555C5B">
        <w:rPr>
          <w:rFonts w:ascii="Arial" w:hAnsi="Arial" w:cs="Arial"/>
        </w:rPr>
        <w:t xml:space="preserve">    </w:t>
      </w:r>
      <w:r w:rsidR="00B62246">
        <w:rPr>
          <w:rFonts w:ascii="Arial" w:hAnsi="Arial" w:cs="Arial"/>
        </w:rPr>
        <w:t xml:space="preserve">10 </w:t>
      </w:r>
      <w:r w:rsidR="00555C5B">
        <w:rPr>
          <w:rFonts w:ascii="Arial" w:hAnsi="Arial" w:cs="Arial"/>
        </w:rPr>
        <w:t>AUGUST 2021</w:t>
      </w:r>
    </w:p>
    <w:p w14:paraId="5D4E892C" w14:textId="77777777" w:rsidR="00555C5B" w:rsidRDefault="00555C5B" w:rsidP="0094179C">
      <w:pPr>
        <w:spacing w:line="480" w:lineRule="auto"/>
        <w:rPr>
          <w:rFonts w:ascii="Arial" w:hAnsi="Arial" w:cs="Arial"/>
        </w:rPr>
      </w:pPr>
    </w:p>
    <w:p w14:paraId="04BB05EB" w14:textId="18265EAA" w:rsidR="00555C5B" w:rsidRDefault="00555C5B" w:rsidP="0094179C">
      <w:pPr>
        <w:spacing w:line="480" w:lineRule="auto"/>
        <w:rPr>
          <w:rFonts w:ascii="Arial" w:hAnsi="Arial" w:cs="Arial"/>
        </w:rPr>
      </w:pPr>
      <w:r>
        <w:rPr>
          <w:rFonts w:ascii="Arial" w:hAnsi="Arial" w:cs="Arial"/>
        </w:rPr>
        <w:lastRenderedPageBreak/>
        <w:t>COUNSEL FOR THE APPLICANT:</w:t>
      </w:r>
      <w:r w:rsidR="00D84F51">
        <w:rPr>
          <w:rFonts w:ascii="Arial" w:hAnsi="Arial" w:cs="Arial"/>
        </w:rPr>
        <w:t xml:space="preserve">  J M HOFFMAN</w:t>
      </w:r>
    </w:p>
    <w:p w14:paraId="130A4E84" w14:textId="10D027CB" w:rsidR="0042652F" w:rsidRDefault="0042652F" w:rsidP="0094179C">
      <w:pPr>
        <w:spacing w:line="480" w:lineRule="auto"/>
        <w:rPr>
          <w:rFonts w:ascii="Arial" w:hAnsi="Arial" w:cs="Arial"/>
        </w:rPr>
      </w:pPr>
      <w:r>
        <w:rPr>
          <w:rFonts w:ascii="Arial" w:hAnsi="Arial" w:cs="Arial"/>
        </w:rPr>
        <w:t>INSTRUCTED BY: SWARTZ WEIL VAN DER MERWE</w:t>
      </w:r>
      <w:r w:rsidR="004E3B16">
        <w:rPr>
          <w:rFonts w:ascii="Arial" w:hAnsi="Arial" w:cs="Arial"/>
        </w:rPr>
        <w:t xml:space="preserve"> GREENBERG INC</w:t>
      </w:r>
    </w:p>
    <w:p w14:paraId="1C935E28" w14:textId="5C8FDBFA" w:rsidR="004E3B16" w:rsidRDefault="004E3B16" w:rsidP="0094179C">
      <w:pPr>
        <w:spacing w:line="480" w:lineRule="auto"/>
        <w:rPr>
          <w:rFonts w:ascii="Arial" w:hAnsi="Arial" w:cs="Arial"/>
        </w:rPr>
      </w:pPr>
    </w:p>
    <w:p w14:paraId="15F6EF8C" w14:textId="2484F78E" w:rsidR="004E3B16" w:rsidRDefault="004E3B16" w:rsidP="0094179C">
      <w:pPr>
        <w:spacing w:line="480" w:lineRule="auto"/>
        <w:rPr>
          <w:rFonts w:ascii="Arial" w:hAnsi="Arial" w:cs="Arial"/>
        </w:rPr>
      </w:pPr>
      <w:r>
        <w:rPr>
          <w:rFonts w:ascii="Arial" w:hAnsi="Arial" w:cs="Arial"/>
        </w:rPr>
        <w:t>COUNSEL FOR FIRST TO THIRD RESPONDENTS</w:t>
      </w:r>
      <w:r w:rsidR="005D76D7">
        <w:rPr>
          <w:rFonts w:ascii="Arial" w:hAnsi="Arial" w:cs="Arial"/>
        </w:rPr>
        <w:t>:</w:t>
      </w:r>
    </w:p>
    <w:p w14:paraId="0FAFA878" w14:textId="1C1B4C50" w:rsidR="00683BA9" w:rsidRDefault="001561DB" w:rsidP="0094179C">
      <w:pPr>
        <w:spacing w:line="480" w:lineRule="auto"/>
        <w:rPr>
          <w:rFonts w:ascii="Arial" w:hAnsi="Arial" w:cs="Arial"/>
        </w:rPr>
      </w:pPr>
      <w:r>
        <w:rPr>
          <w:rFonts w:ascii="Arial" w:hAnsi="Arial" w:cs="Arial"/>
        </w:rPr>
        <w:t>A SUBEL SC</w:t>
      </w:r>
      <w:r w:rsidR="00AD39C6">
        <w:rPr>
          <w:rFonts w:ascii="Arial" w:hAnsi="Arial" w:cs="Arial"/>
        </w:rPr>
        <w:t xml:space="preserve"> &amp; </w:t>
      </w:r>
      <w:r w:rsidR="00683BA9">
        <w:rPr>
          <w:rFonts w:ascii="Arial" w:hAnsi="Arial" w:cs="Arial"/>
        </w:rPr>
        <w:t>B M GILBERT</w:t>
      </w:r>
    </w:p>
    <w:p w14:paraId="1157F804" w14:textId="70E26E63" w:rsidR="00683BA9" w:rsidRDefault="00AD39C6" w:rsidP="0094179C">
      <w:pPr>
        <w:spacing w:line="480" w:lineRule="auto"/>
        <w:rPr>
          <w:rFonts w:ascii="Arial" w:hAnsi="Arial" w:cs="Arial"/>
        </w:rPr>
      </w:pPr>
      <w:r>
        <w:rPr>
          <w:rFonts w:ascii="Arial" w:hAnsi="Arial" w:cs="Arial"/>
        </w:rPr>
        <w:t>INSTRUCTED BY: WERKSMANS</w:t>
      </w:r>
    </w:p>
    <w:p w14:paraId="3B246A6C" w14:textId="0048D25E" w:rsidR="00142754" w:rsidRDefault="00142754" w:rsidP="0094179C">
      <w:pPr>
        <w:spacing w:line="480" w:lineRule="auto"/>
        <w:rPr>
          <w:rFonts w:ascii="Arial" w:hAnsi="Arial" w:cs="Arial"/>
        </w:rPr>
      </w:pPr>
      <w:r>
        <w:rPr>
          <w:rFonts w:ascii="Arial" w:hAnsi="Arial" w:cs="Arial"/>
        </w:rPr>
        <w:t xml:space="preserve"> </w:t>
      </w:r>
    </w:p>
    <w:p w14:paraId="29DFF785" w14:textId="77777777" w:rsidR="007C4838" w:rsidRDefault="007C4838" w:rsidP="008068B8">
      <w:pPr>
        <w:spacing w:line="480" w:lineRule="auto"/>
        <w:rPr>
          <w:rFonts w:ascii="Arial" w:hAnsi="Arial" w:cs="Arial"/>
        </w:rPr>
      </w:pPr>
    </w:p>
    <w:p w14:paraId="5336515D" w14:textId="77777777" w:rsidR="007C4838" w:rsidRDefault="007C4838" w:rsidP="008068B8">
      <w:pPr>
        <w:spacing w:line="480" w:lineRule="auto"/>
        <w:rPr>
          <w:rFonts w:ascii="Arial" w:hAnsi="Arial" w:cs="Arial"/>
        </w:rPr>
      </w:pPr>
    </w:p>
    <w:p w14:paraId="4C33E947" w14:textId="77777777" w:rsidR="007C4838" w:rsidRDefault="007C4838" w:rsidP="008068B8">
      <w:pPr>
        <w:spacing w:line="480" w:lineRule="auto"/>
        <w:rPr>
          <w:rFonts w:ascii="Arial" w:hAnsi="Arial" w:cs="Arial"/>
        </w:rPr>
      </w:pPr>
    </w:p>
    <w:p w14:paraId="14DD7F32" w14:textId="77777777" w:rsidR="001C71D1" w:rsidRPr="008068B8" w:rsidRDefault="001C71D1" w:rsidP="008068B8">
      <w:pPr>
        <w:spacing w:line="480" w:lineRule="auto"/>
        <w:rPr>
          <w:rFonts w:ascii="Arial" w:hAnsi="Arial" w:cs="Arial"/>
        </w:rPr>
      </w:pPr>
    </w:p>
    <w:sectPr w:rsidR="001C71D1" w:rsidRPr="008068B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8336B" w14:textId="77777777" w:rsidR="00436A0B" w:rsidRDefault="00436A0B" w:rsidP="00CE7E98">
      <w:r>
        <w:separator/>
      </w:r>
    </w:p>
  </w:endnote>
  <w:endnote w:type="continuationSeparator" w:id="0">
    <w:p w14:paraId="5A2508E3" w14:textId="77777777" w:rsidR="00436A0B" w:rsidRDefault="00436A0B" w:rsidP="00CE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altName w:val="﷽﷽﷽﷽﷽﷽ḳƐ"/>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50085"/>
      <w:docPartObj>
        <w:docPartGallery w:val="Page Numbers (Bottom of Page)"/>
        <w:docPartUnique/>
      </w:docPartObj>
    </w:sdtPr>
    <w:sdtEndPr>
      <w:rPr>
        <w:noProof/>
      </w:rPr>
    </w:sdtEndPr>
    <w:sdtContent>
      <w:p w14:paraId="562BF818" w14:textId="4844F468" w:rsidR="000A491D" w:rsidRDefault="000A491D">
        <w:pPr>
          <w:pStyle w:val="Footer"/>
          <w:jc w:val="right"/>
        </w:pPr>
        <w:r>
          <w:fldChar w:fldCharType="begin"/>
        </w:r>
        <w:r>
          <w:instrText xml:space="preserve"> PAGE   \* MERGEFORMAT </w:instrText>
        </w:r>
        <w:r>
          <w:fldChar w:fldCharType="separate"/>
        </w:r>
        <w:r w:rsidR="007142E8">
          <w:rPr>
            <w:noProof/>
          </w:rPr>
          <w:t>13</w:t>
        </w:r>
        <w:r>
          <w:rPr>
            <w:noProof/>
          </w:rPr>
          <w:fldChar w:fldCharType="end"/>
        </w:r>
      </w:p>
    </w:sdtContent>
  </w:sdt>
  <w:p w14:paraId="4E85AA3B" w14:textId="77777777" w:rsidR="000A491D" w:rsidRDefault="000A4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C0B8B" w14:textId="77777777" w:rsidR="00436A0B" w:rsidRDefault="00436A0B" w:rsidP="00CE7E98">
      <w:r>
        <w:separator/>
      </w:r>
    </w:p>
  </w:footnote>
  <w:footnote w:type="continuationSeparator" w:id="0">
    <w:p w14:paraId="3E6B13CB" w14:textId="77777777" w:rsidR="00436A0B" w:rsidRDefault="00436A0B" w:rsidP="00CE7E98">
      <w:r>
        <w:continuationSeparator/>
      </w:r>
    </w:p>
  </w:footnote>
  <w:footnote w:id="1">
    <w:p w14:paraId="0DBC136E" w14:textId="691FD111" w:rsidR="005E6F49" w:rsidRPr="005E6F49" w:rsidRDefault="005E6F49">
      <w:pPr>
        <w:pStyle w:val="FootnoteText"/>
        <w:rPr>
          <w:lang w:val="en-US"/>
        </w:rPr>
      </w:pPr>
      <w:r>
        <w:rPr>
          <w:rStyle w:val="FootnoteReference"/>
        </w:rPr>
        <w:footnoteRef/>
      </w:r>
      <w:r>
        <w:t xml:space="preserve"> </w:t>
      </w:r>
      <w:r>
        <w:rPr>
          <w:rFonts w:ascii="Arial" w:hAnsi="Arial" w:cs="Arial"/>
          <w:bCs/>
          <w:lang w:val="en-GB"/>
        </w:rPr>
        <w:t>1981 (4) SA 329 (O</w:t>
      </w:r>
      <w:r w:rsidR="00C9400B">
        <w:rPr>
          <w:rFonts w:ascii="Arial" w:hAnsi="Arial" w:cs="Arial"/>
          <w:bCs/>
          <w:lang w:val="en-GB"/>
        </w:rPr>
        <w:t xml:space="preserve">). </w:t>
      </w:r>
    </w:p>
  </w:footnote>
  <w:footnote w:id="2">
    <w:p w14:paraId="0DFC56F7" w14:textId="50770B62" w:rsidR="006C4E8E" w:rsidRPr="006C4E8E" w:rsidRDefault="006C4E8E">
      <w:pPr>
        <w:pStyle w:val="FootnoteText"/>
        <w:rPr>
          <w:lang w:val="en-US"/>
        </w:rPr>
      </w:pPr>
      <w:r>
        <w:rPr>
          <w:rStyle w:val="FootnoteReference"/>
        </w:rPr>
        <w:footnoteRef/>
      </w:r>
      <w:r>
        <w:t xml:space="preserve"> </w:t>
      </w:r>
      <w:r w:rsidR="00315A14">
        <w:rPr>
          <w:lang w:val="en-US"/>
        </w:rPr>
        <w:t xml:space="preserve">[2020]ZASCA </w:t>
      </w:r>
      <w:r w:rsidR="00EC64D0">
        <w:rPr>
          <w:lang w:val="en-US"/>
        </w:rPr>
        <w:t>156 (30 November 2020)</w:t>
      </w:r>
    </w:p>
  </w:footnote>
  <w:footnote w:id="3">
    <w:p w14:paraId="5A67E9F9" w14:textId="7C438741" w:rsidR="00C55F3F" w:rsidRPr="00C55F3F" w:rsidRDefault="00C55F3F">
      <w:pPr>
        <w:pStyle w:val="FootnoteText"/>
        <w:rPr>
          <w:lang w:val="en-US"/>
        </w:rPr>
      </w:pPr>
      <w:r>
        <w:rPr>
          <w:rStyle w:val="FootnoteReference"/>
        </w:rPr>
        <w:footnoteRef/>
      </w:r>
      <w:r>
        <w:t xml:space="preserve"> </w:t>
      </w:r>
      <w:r>
        <w:rPr>
          <w:lang w:val="en-US"/>
        </w:rPr>
        <w:t xml:space="preserve">And </w:t>
      </w:r>
      <w:r>
        <w:rPr>
          <w:lang w:val="en-US"/>
        </w:rPr>
        <w:t xml:space="preserve">Dilokong </w:t>
      </w:r>
      <w:r w:rsidR="005415DB">
        <w:rPr>
          <w:lang w:val="en-US"/>
        </w:rPr>
        <w:t xml:space="preserve">Chrome Mine (Pty) Limited </w:t>
      </w:r>
      <w:r w:rsidR="002D2611">
        <w:rPr>
          <w:lang w:val="en-US"/>
        </w:rPr>
        <w:t xml:space="preserve">(in business rescue) and Others – case no: </w:t>
      </w:r>
      <w:r w:rsidR="00F468E0">
        <w:rPr>
          <w:lang w:val="en-US"/>
        </w:rPr>
        <w:t>45259/2020 GPHC</w:t>
      </w:r>
    </w:p>
  </w:footnote>
  <w:footnote w:id="4">
    <w:p w14:paraId="73D05FE8" w14:textId="77777777" w:rsidR="00B70CDE" w:rsidRPr="002478E1" w:rsidRDefault="00B70CDE" w:rsidP="00B70CDE">
      <w:pPr>
        <w:pStyle w:val="FootnoteText"/>
        <w:rPr>
          <w:lang w:val="en-US"/>
        </w:rPr>
      </w:pPr>
      <w:r>
        <w:rPr>
          <w:rStyle w:val="FootnoteReference"/>
        </w:rPr>
        <w:footnoteRef/>
      </w:r>
      <w:r>
        <w:t xml:space="preserve"> </w:t>
      </w:r>
      <w:r>
        <w:rPr>
          <w:lang w:val="en-US"/>
        </w:rPr>
        <w:t xml:space="preserve">Merchant West Working Capital Solutions (Pty) Ltd v Advanced Technologies and Engineering Co (Pty) Ltd [2016] JOL 36732(GSJ), LA Sport 4 x 4 Outdoor CC v </w:t>
      </w:r>
      <w:r>
        <w:rPr>
          <w:lang w:val="en-US"/>
        </w:rPr>
        <w:t xml:space="preserve">Broadwalk Trading 20 (Pty) Ltd 2015 JDR 8405 GP ( a full bench decision of this division), Arendse and Others v Van der Merwe and Another NNO 2016 (6) SA 490 (GJ), Msunduzi Municipality v Uphill Trading 14 (Pty) Ltd 2015 JDR 0702 CKZP, and Booysen v Jonkheer Boerewynmakery (Pty) Ltd (in business rescue) [2017] 1 All SA 862 (WCC) at para 54  </w:t>
      </w:r>
    </w:p>
  </w:footnote>
  <w:footnote w:id="5">
    <w:p w14:paraId="22434A26" w14:textId="77777777" w:rsidR="00D81B3C" w:rsidRPr="00BA6FAC" w:rsidRDefault="00D81B3C" w:rsidP="00D81B3C">
      <w:pPr>
        <w:pStyle w:val="FootnoteText"/>
        <w:rPr>
          <w:rFonts w:ascii="Arial" w:hAnsi="Arial" w:cs="Arial"/>
          <w:lang w:val="en-US"/>
        </w:rPr>
      </w:pPr>
      <w:r>
        <w:rPr>
          <w:rStyle w:val="FootnoteReference"/>
        </w:rPr>
        <w:footnoteRef/>
      </w:r>
      <w:r>
        <w:t xml:space="preserve"> </w:t>
      </w:r>
      <w:r w:rsidRPr="00BA6FAC">
        <w:rPr>
          <w:rFonts w:ascii="Arial" w:hAnsi="Arial" w:cs="Arial"/>
          <w:lang w:val="en-US"/>
        </w:rPr>
        <w:t>Booysen v Jonkheer Boerewynmakery (Pty) Limited and another 2017 (4) SA 51 (WCC)</w:t>
      </w:r>
    </w:p>
  </w:footnote>
  <w:footnote w:id="6">
    <w:p w14:paraId="0A806302" w14:textId="4F6013BB" w:rsidR="00D81B3C" w:rsidRPr="00BA6FAC" w:rsidRDefault="00D81B3C" w:rsidP="00D81B3C">
      <w:pPr>
        <w:pStyle w:val="FootnoteText"/>
        <w:rPr>
          <w:rFonts w:ascii="Arial" w:hAnsi="Arial" w:cs="Arial"/>
          <w:lang w:val="en-US"/>
        </w:rPr>
      </w:pPr>
      <w:r w:rsidRPr="00BA6FAC">
        <w:rPr>
          <w:rStyle w:val="FootnoteReference"/>
          <w:rFonts w:ascii="Arial" w:hAnsi="Arial" w:cs="Arial"/>
        </w:rPr>
        <w:footnoteRef/>
      </w:r>
      <w:r w:rsidRPr="00BA6FAC">
        <w:rPr>
          <w:rFonts w:ascii="Arial" w:hAnsi="Arial" w:cs="Arial"/>
        </w:rPr>
        <w:t xml:space="preserve"> </w:t>
      </w:r>
      <w:r w:rsidRPr="00BA6FAC">
        <w:rPr>
          <w:rFonts w:ascii="Arial" w:hAnsi="Arial" w:cs="Arial"/>
          <w:lang w:val="en-US"/>
        </w:rPr>
        <w:t>[2015]</w:t>
      </w:r>
      <w:r w:rsidR="00D86243">
        <w:rPr>
          <w:rFonts w:ascii="Arial" w:hAnsi="Arial" w:cs="Arial"/>
          <w:lang w:val="en-US"/>
        </w:rPr>
        <w:t xml:space="preserve"> </w:t>
      </w:r>
      <w:r w:rsidRPr="00BA6FAC">
        <w:rPr>
          <w:rFonts w:ascii="Arial" w:hAnsi="Arial" w:cs="Arial"/>
          <w:lang w:val="en-US"/>
        </w:rPr>
        <w:t xml:space="preserve">ZAPPHC 78 (GP), </w:t>
      </w:r>
      <w:r w:rsidR="000448E0">
        <w:rPr>
          <w:rFonts w:ascii="Arial" w:hAnsi="Arial" w:cs="Arial"/>
          <w:lang w:val="en-US"/>
        </w:rPr>
        <w:t xml:space="preserve">2015 JDR 0405 </w:t>
      </w:r>
      <w:r w:rsidR="001B6964">
        <w:rPr>
          <w:rFonts w:ascii="Arial" w:hAnsi="Arial" w:cs="Arial"/>
          <w:lang w:val="en-US"/>
        </w:rPr>
        <w:t xml:space="preserve">(GP) </w:t>
      </w:r>
    </w:p>
  </w:footnote>
  <w:footnote w:id="7">
    <w:p w14:paraId="5CCD6E93" w14:textId="5BBC83DA" w:rsidR="0040504B" w:rsidRPr="00BA6FAC" w:rsidRDefault="0040504B">
      <w:pPr>
        <w:pStyle w:val="FootnoteText"/>
        <w:rPr>
          <w:rFonts w:ascii="Arial" w:hAnsi="Arial" w:cs="Arial"/>
          <w:lang w:val="en-US"/>
        </w:rPr>
      </w:pPr>
      <w:r w:rsidRPr="00BA6FAC">
        <w:rPr>
          <w:rStyle w:val="FootnoteReference"/>
          <w:rFonts w:ascii="Arial" w:hAnsi="Arial" w:cs="Arial"/>
        </w:rPr>
        <w:footnoteRef/>
      </w:r>
      <w:r w:rsidRPr="00BA6FAC">
        <w:rPr>
          <w:rFonts w:ascii="Arial" w:hAnsi="Arial" w:cs="Arial"/>
        </w:rPr>
        <w:t xml:space="preserve"> LA Sport case, </w:t>
      </w:r>
      <w:r w:rsidRPr="00BA6FAC">
        <w:rPr>
          <w:rFonts w:ascii="Arial" w:hAnsi="Arial" w:cs="Arial"/>
          <w:i/>
          <w:iCs/>
        </w:rPr>
        <w:t>supra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37932F78"/>
    <w:multiLevelType w:val="hybridMultilevel"/>
    <w:tmpl w:val="E4E6F228"/>
    <w:lvl w:ilvl="0" w:tplc="C78E4C92">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3A5E675F"/>
    <w:multiLevelType w:val="hybridMultilevel"/>
    <w:tmpl w:val="63D8F200"/>
    <w:lvl w:ilvl="0" w:tplc="33E2C7BE">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3C053B5D"/>
    <w:multiLevelType w:val="hybridMultilevel"/>
    <w:tmpl w:val="81041E00"/>
    <w:lvl w:ilvl="0" w:tplc="AA480B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4F966C6F"/>
    <w:multiLevelType w:val="hybridMultilevel"/>
    <w:tmpl w:val="318AD3F4"/>
    <w:lvl w:ilvl="0" w:tplc="6E24D7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E7826ED"/>
    <w:multiLevelType w:val="hybridMultilevel"/>
    <w:tmpl w:val="263C59E8"/>
    <w:lvl w:ilvl="0" w:tplc="345AB6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ED"/>
    <w:rsid w:val="000020B9"/>
    <w:rsid w:val="0000353B"/>
    <w:rsid w:val="0000519A"/>
    <w:rsid w:val="0001584D"/>
    <w:rsid w:val="00017C1C"/>
    <w:rsid w:val="00020A32"/>
    <w:rsid w:val="000210A9"/>
    <w:rsid w:val="000255B2"/>
    <w:rsid w:val="00031C64"/>
    <w:rsid w:val="00033B17"/>
    <w:rsid w:val="00035B55"/>
    <w:rsid w:val="00036BD8"/>
    <w:rsid w:val="0004024B"/>
    <w:rsid w:val="000407AB"/>
    <w:rsid w:val="0004172E"/>
    <w:rsid w:val="000417AD"/>
    <w:rsid w:val="00041F65"/>
    <w:rsid w:val="000420F9"/>
    <w:rsid w:val="00044486"/>
    <w:rsid w:val="000448E0"/>
    <w:rsid w:val="000448EA"/>
    <w:rsid w:val="00045081"/>
    <w:rsid w:val="0004541D"/>
    <w:rsid w:val="000467D5"/>
    <w:rsid w:val="000522F7"/>
    <w:rsid w:val="00054ACF"/>
    <w:rsid w:val="0005701F"/>
    <w:rsid w:val="000579C2"/>
    <w:rsid w:val="0006093C"/>
    <w:rsid w:val="00060B8B"/>
    <w:rsid w:val="00060FAC"/>
    <w:rsid w:val="00061A4A"/>
    <w:rsid w:val="000639F0"/>
    <w:rsid w:val="00064554"/>
    <w:rsid w:val="00064E11"/>
    <w:rsid w:val="00064F8B"/>
    <w:rsid w:val="000678FC"/>
    <w:rsid w:val="0007249F"/>
    <w:rsid w:val="0007354F"/>
    <w:rsid w:val="00073A06"/>
    <w:rsid w:val="00074B6E"/>
    <w:rsid w:val="0008127E"/>
    <w:rsid w:val="00081AF3"/>
    <w:rsid w:val="000824C1"/>
    <w:rsid w:val="00082D30"/>
    <w:rsid w:val="00084115"/>
    <w:rsid w:val="00085B96"/>
    <w:rsid w:val="000865F4"/>
    <w:rsid w:val="00092A5F"/>
    <w:rsid w:val="000954E8"/>
    <w:rsid w:val="000A491D"/>
    <w:rsid w:val="000A4963"/>
    <w:rsid w:val="000A5389"/>
    <w:rsid w:val="000A5EBB"/>
    <w:rsid w:val="000A6A58"/>
    <w:rsid w:val="000B5B16"/>
    <w:rsid w:val="000C06B7"/>
    <w:rsid w:val="000C2F38"/>
    <w:rsid w:val="000C5394"/>
    <w:rsid w:val="000D350D"/>
    <w:rsid w:val="000D3733"/>
    <w:rsid w:val="000D4227"/>
    <w:rsid w:val="000D485A"/>
    <w:rsid w:val="000D4C05"/>
    <w:rsid w:val="000D7397"/>
    <w:rsid w:val="000E5471"/>
    <w:rsid w:val="000E57E9"/>
    <w:rsid w:val="000E6685"/>
    <w:rsid w:val="000F047E"/>
    <w:rsid w:val="000F04FD"/>
    <w:rsid w:val="000F3508"/>
    <w:rsid w:val="000F47E3"/>
    <w:rsid w:val="000F4953"/>
    <w:rsid w:val="000F4F31"/>
    <w:rsid w:val="000F5194"/>
    <w:rsid w:val="001004DA"/>
    <w:rsid w:val="00100B1E"/>
    <w:rsid w:val="0010547A"/>
    <w:rsid w:val="001103E3"/>
    <w:rsid w:val="001147B8"/>
    <w:rsid w:val="0011583E"/>
    <w:rsid w:val="00115F1C"/>
    <w:rsid w:val="00116A7D"/>
    <w:rsid w:val="00121EB6"/>
    <w:rsid w:val="00122F94"/>
    <w:rsid w:val="00123A7C"/>
    <w:rsid w:val="00125A48"/>
    <w:rsid w:val="001309DD"/>
    <w:rsid w:val="0013198C"/>
    <w:rsid w:val="001337F6"/>
    <w:rsid w:val="001347E9"/>
    <w:rsid w:val="001379D2"/>
    <w:rsid w:val="00140D01"/>
    <w:rsid w:val="0014160E"/>
    <w:rsid w:val="00141E94"/>
    <w:rsid w:val="00142754"/>
    <w:rsid w:val="00143257"/>
    <w:rsid w:val="00143C6F"/>
    <w:rsid w:val="00146641"/>
    <w:rsid w:val="00146828"/>
    <w:rsid w:val="00150265"/>
    <w:rsid w:val="00151770"/>
    <w:rsid w:val="00154554"/>
    <w:rsid w:val="001561DB"/>
    <w:rsid w:val="0016039C"/>
    <w:rsid w:val="00161D91"/>
    <w:rsid w:val="00162F06"/>
    <w:rsid w:val="001661AB"/>
    <w:rsid w:val="001713CF"/>
    <w:rsid w:val="00171ED0"/>
    <w:rsid w:val="0017459B"/>
    <w:rsid w:val="001764CA"/>
    <w:rsid w:val="00176A5F"/>
    <w:rsid w:val="001804ED"/>
    <w:rsid w:val="00182390"/>
    <w:rsid w:val="00182F16"/>
    <w:rsid w:val="00183486"/>
    <w:rsid w:val="00186A20"/>
    <w:rsid w:val="00190B9C"/>
    <w:rsid w:val="00190F30"/>
    <w:rsid w:val="0019460B"/>
    <w:rsid w:val="00194A03"/>
    <w:rsid w:val="001964E7"/>
    <w:rsid w:val="001975A6"/>
    <w:rsid w:val="001A08E4"/>
    <w:rsid w:val="001A3793"/>
    <w:rsid w:val="001A37D1"/>
    <w:rsid w:val="001A40C0"/>
    <w:rsid w:val="001A4646"/>
    <w:rsid w:val="001A5F67"/>
    <w:rsid w:val="001A6A40"/>
    <w:rsid w:val="001A77D5"/>
    <w:rsid w:val="001B1AD8"/>
    <w:rsid w:val="001B4C7A"/>
    <w:rsid w:val="001B5486"/>
    <w:rsid w:val="001B6964"/>
    <w:rsid w:val="001B7852"/>
    <w:rsid w:val="001C711B"/>
    <w:rsid w:val="001C71D1"/>
    <w:rsid w:val="001D0F0A"/>
    <w:rsid w:val="001D1945"/>
    <w:rsid w:val="001D2DCB"/>
    <w:rsid w:val="001D2FAE"/>
    <w:rsid w:val="001D45FD"/>
    <w:rsid w:val="001D4745"/>
    <w:rsid w:val="001D5AE5"/>
    <w:rsid w:val="001E1227"/>
    <w:rsid w:val="001E14C5"/>
    <w:rsid w:val="001E19C3"/>
    <w:rsid w:val="001E1E1E"/>
    <w:rsid w:val="001E5128"/>
    <w:rsid w:val="001E5A41"/>
    <w:rsid w:val="001E5FBB"/>
    <w:rsid w:val="001E60CF"/>
    <w:rsid w:val="001E6C9B"/>
    <w:rsid w:val="001E6D02"/>
    <w:rsid w:val="001F038E"/>
    <w:rsid w:val="001F0398"/>
    <w:rsid w:val="001F3910"/>
    <w:rsid w:val="001F57ED"/>
    <w:rsid w:val="001F6F5E"/>
    <w:rsid w:val="00200449"/>
    <w:rsid w:val="00200B44"/>
    <w:rsid w:val="00202FE5"/>
    <w:rsid w:val="002034B6"/>
    <w:rsid w:val="00203550"/>
    <w:rsid w:val="00205273"/>
    <w:rsid w:val="002069B6"/>
    <w:rsid w:val="00207080"/>
    <w:rsid w:val="002117ED"/>
    <w:rsid w:val="00211970"/>
    <w:rsid w:val="002203F2"/>
    <w:rsid w:val="00221FB5"/>
    <w:rsid w:val="002231BD"/>
    <w:rsid w:val="0022497E"/>
    <w:rsid w:val="00225A91"/>
    <w:rsid w:val="00227918"/>
    <w:rsid w:val="002307AF"/>
    <w:rsid w:val="00230820"/>
    <w:rsid w:val="002329A1"/>
    <w:rsid w:val="0023303B"/>
    <w:rsid w:val="00236E29"/>
    <w:rsid w:val="0024103F"/>
    <w:rsid w:val="00241ED1"/>
    <w:rsid w:val="00243279"/>
    <w:rsid w:val="0024335D"/>
    <w:rsid w:val="002439AF"/>
    <w:rsid w:val="00244F7C"/>
    <w:rsid w:val="002454BA"/>
    <w:rsid w:val="002469D2"/>
    <w:rsid w:val="00246A19"/>
    <w:rsid w:val="002478E1"/>
    <w:rsid w:val="002508A7"/>
    <w:rsid w:val="00251D12"/>
    <w:rsid w:val="00251E43"/>
    <w:rsid w:val="00251F95"/>
    <w:rsid w:val="002534A6"/>
    <w:rsid w:val="00253721"/>
    <w:rsid w:val="00257445"/>
    <w:rsid w:val="0026125C"/>
    <w:rsid w:val="00262601"/>
    <w:rsid w:val="00262B1E"/>
    <w:rsid w:val="002712B2"/>
    <w:rsid w:val="00272167"/>
    <w:rsid w:val="00272F51"/>
    <w:rsid w:val="00274663"/>
    <w:rsid w:val="00275A8B"/>
    <w:rsid w:val="00276632"/>
    <w:rsid w:val="0028082E"/>
    <w:rsid w:val="00280A32"/>
    <w:rsid w:val="002838CB"/>
    <w:rsid w:val="0028477F"/>
    <w:rsid w:val="00284E9F"/>
    <w:rsid w:val="002863FB"/>
    <w:rsid w:val="00287819"/>
    <w:rsid w:val="00292283"/>
    <w:rsid w:val="002954B7"/>
    <w:rsid w:val="0029562A"/>
    <w:rsid w:val="00295CF2"/>
    <w:rsid w:val="00295CFC"/>
    <w:rsid w:val="00296B4E"/>
    <w:rsid w:val="00296C46"/>
    <w:rsid w:val="00297682"/>
    <w:rsid w:val="002A56D8"/>
    <w:rsid w:val="002B1495"/>
    <w:rsid w:val="002B3A4B"/>
    <w:rsid w:val="002B4EFE"/>
    <w:rsid w:val="002B50BE"/>
    <w:rsid w:val="002B6275"/>
    <w:rsid w:val="002C0317"/>
    <w:rsid w:val="002C0472"/>
    <w:rsid w:val="002C1F9E"/>
    <w:rsid w:val="002C4EA9"/>
    <w:rsid w:val="002C52E6"/>
    <w:rsid w:val="002C54FE"/>
    <w:rsid w:val="002C571A"/>
    <w:rsid w:val="002C6552"/>
    <w:rsid w:val="002D0826"/>
    <w:rsid w:val="002D0956"/>
    <w:rsid w:val="002D1940"/>
    <w:rsid w:val="002D1C0E"/>
    <w:rsid w:val="002D1D87"/>
    <w:rsid w:val="002D2611"/>
    <w:rsid w:val="002D2AAF"/>
    <w:rsid w:val="002E03D4"/>
    <w:rsid w:val="002E0ED9"/>
    <w:rsid w:val="002E1376"/>
    <w:rsid w:val="002E194E"/>
    <w:rsid w:val="002E3C67"/>
    <w:rsid w:val="002E3ED5"/>
    <w:rsid w:val="002E5319"/>
    <w:rsid w:val="002F1F54"/>
    <w:rsid w:val="002F3558"/>
    <w:rsid w:val="002F53A9"/>
    <w:rsid w:val="002F7E6F"/>
    <w:rsid w:val="003001E7"/>
    <w:rsid w:val="00301804"/>
    <w:rsid w:val="0030356A"/>
    <w:rsid w:val="0030441F"/>
    <w:rsid w:val="00305DC3"/>
    <w:rsid w:val="00307806"/>
    <w:rsid w:val="00312B13"/>
    <w:rsid w:val="00314E76"/>
    <w:rsid w:val="00314F93"/>
    <w:rsid w:val="00315A14"/>
    <w:rsid w:val="0031615E"/>
    <w:rsid w:val="0032077A"/>
    <w:rsid w:val="00320991"/>
    <w:rsid w:val="00325ACC"/>
    <w:rsid w:val="0032691E"/>
    <w:rsid w:val="00327E76"/>
    <w:rsid w:val="003367FA"/>
    <w:rsid w:val="00340742"/>
    <w:rsid w:val="00341243"/>
    <w:rsid w:val="003421CA"/>
    <w:rsid w:val="003469C1"/>
    <w:rsid w:val="00346F73"/>
    <w:rsid w:val="0034772C"/>
    <w:rsid w:val="00347AB7"/>
    <w:rsid w:val="003511D3"/>
    <w:rsid w:val="00352249"/>
    <w:rsid w:val="00352382"/>
    <w:rsid w:val="003542E2"/>
    <w:rsid w:val="003549FD"/>
    <w:rsid w:val="00355FE6"/>
    <w:rsid w:val="003562E6"/>
    <w:rsid w:val="0035772C"/>
    <w:rsid w:val="00357DDE"/>
    <w:rsid w:val="00360A23"/>
    <w:rsid w:val="003625B8"/>
    <w:rsid w:val="00366201"/>
    <w:rsid w:val="00366E90"/>
    <w:rsid w:val="00366F28"/>
    <w:rsid w:val="00366FE1"/>
    <w:rsid w:val="00370075"/>
    <w:rsid w:val="0037144C"/>
    <w:rsid w:val="00374570"/>
    <w:rsid w:val="00374580"/>
    <w:rsid w:val="00376CDF"/>
    <w:rsid w:val="0038062E"/>
    <w:rsid w:val="00380D0D"/>
    <w:rsid w:val="003816D4"/>
    <w:rsid w:val="003831CF"/>
    <w:rsid w:val="00384C9A"/>
    <w:rsid w:val="00385452"/>
    <w:rsid w:val="00386917"/>
    <w:rsid w:val="00386F27"/>
    <w:rsid w:val="003874A6"/>
    <w:rsid w:val="00387AF3"/>
    <w:rsid w:val="00390253"/>
    <w:rsid w:val="003932BA"/>
    <w:rsid w:val="003A0E80"/>
    <w:rsid w:val="003A1C4E"/>
    <w:rsid w:val="003A7336"/>
    <w:rsid w:val="003B0A05"/>
    <w:rsid w:val="003B1E96"/>
    <w:rsid w:val="003B250B"/>
    <w:rsid w:val="003B3E24"/>
    <w:rsid w:val="003B4802"/>
    <w:rsid w:val="003B708B"/>
    <w:rsid w:val="003B78A1"/>
    <w:rsid w:val="003C1724"/>
    <w:rsid w:val="003C27E3"/>
    <w:rsid w:val="003C39DB"/>
    <w:rsid w:val="003C5384"/>
    <w:rsid w:val="003D010B"/>
    <w:rsid w:val="003D10E2"/>
    <w:rsid w:val="003D4518"/>
    <w:rsid w:val="003D6E82"/>
    <w:rsid w:val="003D720D"/>
    <w:rsid w:val="003E0115"/>
    <w:rsid w:val="003E0E07"/>
    <w:rsid w:val="003E0E0C"/>
    <w:rsid w:val="003E12FC"/>
    <w:rsid w:val="003E2C39"/>
    <w:rsid w:val="003E43B2"/>
    <w:rsid w:val="003E5505"/>
    <w:rsid w:val="003E5D21"/>
    <w:rsid w:val="003E5E5E"/>
    <w:rsid w:val="003F25DC"/>
    <w:rsid w:val="003F26E9"/>
    <w:rsid w:val="003F270A"/>
    <w:rsid w:val="003F5889"/>
    <w:rsid w:val="003F5E7F"/>
    <w:rsid w:val="00404154"/>
    <w:rsid w:val="004043F6"/>
    <w:rsid w:val="00404667"/>
    <w:rsid w:val="00404854"/>
    <w:rsid w:val="0040504B"/>
    <w:rsid w:val="00405511"/>
    <w:rsid w:val="0041006A"/>
    <w:rsid w:val="0041009E"/>
    <w:rsid w:val="0041138C"/>
    <w:rsid w:val="004115FE"/>
    <w:rsid w:val="00413682"/>
    <w:rsid w:val="00413B2A"/>
    <w:rsid w:val="004142E3"/>
    <w:rsid w:val="00414E8C"/>
    <w:rsid w:val="00415E96"/>
    <w:rsid w:val="0041766E"/>
    <w:rsid w:val="00422523"/>
    <w:rsid w:val="0042312F"/>
    <w:rsid w:val="0042389A"/>
    <w:rsid w:val="00425A94"/>
    <w:rsid w:val="00425D28"/>
    <w:rsid w:val="0042652F"/>
    <w:rsid w:val="00426F96"/>
    <w:rsid w:val="00427B00"/>
    <w:rsid w:val="00430105"/>
    <w:rsid w:val="0043069D"/>
    <w:rsid w:val="00430779"/>
    <w:rsid w:val="00432C2C"/>
    <w:rsid w:val="00434805"/>
    <w:rsid w:val="00436A0B"/>
    <w:rsid w:val="00436DEF"/>
    <w:rsid w:val="004379E1"/>
    <w:rsid w:val="004406B2"/>
    <w:rsid w:val="0044150E"/>
    <w:rsid w:val="004443FF"/>
    <w:rsid w:val="00444E04"/>
    <w:rsid w:val="00450F27"/>
    <w:rsid w:val="00451691"/>
    <w:rsid w:val="0045421F"/>
    <w:rsid w:val="00454E52"/>
    <w:rsid w:val="00455CA0"/>
    <w:rsid w:val="00457CF4"/>
    <w:rsid w:val="00461CF6"/>
    <w:rsid w:val="00462332"/>
    <w:rsid w:val="004625AC"/>
    <w:rsid w:val="004643B7"/>
    <w:rsid w:val="00466DFA"/>
    <w:rsid w:val="00466F7C"/>
    <w:rsid w:val="00470EC7"/>
    <w:rsid w:val="004716E0"/>
    <w:rsid w:val="004717C8"/>
    <w:rsid w:val="00474C05"/>
    <w:rsid w:val="004750B5"/>
    <w:rsid w:val="00475983"/>
    <w:rsid w:val="004778B4"/>
    <w:rsid w:val="0048001D"/>
    <w:rsid w:val="00481A97"/>
    <w:rsid w:val="00482115"/>
    <w:rsid w:val="00486EE5"/>
    <w:rsid w:val="00487938"/>
    <w:rsid w:val="00487DF2"/>
    <w:rsid w:val="00491C15"/>
    <w:rsid w:val="004921C7"/>
    <w:rsid w:val="00493897"/>
    <w:rsid w:val="0049409D"/>
    <w:rsid w:val="00496479"/>
    <w:rsid w:val="00497417"/>
    <w:rsid w:val="0049768C"/>
    <w:rsid w:val="004A082C"/>
    <w:rsid w:val="004A0C35"/>
    <w:rsid w:val="004A4C18"/>
    <w:rsid w:val="004A5A1C"/>
    <w:rsid w:val="004B3ACB"/>
    <w:rsid w:val="004B64ED"/>
    <w:rsid w:val="004B69C6"/>
    <w:rsid w:val="004B6EA0"/>
    <w:rsid w:val="004B7929"/>
    <w:rsid w:val="004C0A6A"/>
    <w:rsid w:val="004C7267"/>
    <w:rsid w:val="004D2B00"/>
    <w:rsid w:val="004D6215"/>
    <w:rsid w:val="004E068D"/>
    <w:rsid w:val="004E2D8F"/>
    <w:rsid w:val="004E3624"/>
    <w:rsid w:val="004E3731"/>
    <w:rsid w:val="004E3B16"/>
    <w:rsid w:val="004E7D60"/>
    <w:rsid w:val="004F21BA"/>
    <w:rsid w:val="004F30E6"/>
    <w:rsid w:val="004F378D"/>
    <w:rsid w:val="004F42C7"/>
    <w:rsid w:val="004F448C"/>
    <w:rsid w:val="004F588F"/>
    <w:rsid w:val="005025C4"/>
    <w:rsid w:val="00502E01"/>
    <w:rsid w:val="00502E6D"/>
    <w:rsid w:val="0050321F"/>
    <w:rsid w:val="00506FE3"/>
    <w:rsid w:val="0050733B"/>
    <w:rsid w:val="00512EA6"/>
    <w:rsid w:val="00514B48"/>
    <w:rsid w:val="00514D03"/>
    <w:rsid w:val="00517068"/>
    <w:rsid w:val="00521010"/>
    <w:rsid w:val="00522EA3"/>
    <w:rsid w:val="0052352A"/>
    <w:rsid w:val="005261F1"/>
    <w:rsid w:val="00527DFA"/>
    <w:rsid w:val="0053187A"/>
    <w:rsid w:val="00532B87"/>
    <w:rsid w:val="00535CF7"/>
    <w:rsid w:val="00537AC4"/>
    <w:rsid w:val="005407F3"/>
    <w:rsid w:val="005408E5"/>
    <w:rsid w:val="005415DB"/>
    <w:rsid w:val="00542CE9"/>
    <w:rsid w:val="00542D65"/>
    <w:rsid w:val="005430C4"/>
    <w:rsid w:val="00544698"/>
    <w:rsid w:val="00545558"/>
    <w:rsid w:val="00550069"/>
    <w:rsid w:val="005512DB"/>
    <w:rsid w:val="00552EF5"/>
    <w:rsid w:val="00555C5B"/>
    <w:rsid w:val="00556B52"/>
    <w:rsid w:val="0056325A"/>
    <w:rsid w:val="00565E30"/>
    <w:rsid w:val="00572384"/>
    <w:rsid w:val="00573360"/>
    <w:rsid w:val="00573823"/>
    <w:rsid w:val="00575A36"/>
    <w:rsid w:val="005779CF"/>
    <w:rsid w:val="005805F7"/>
    <w:rsid w:val="0058327E"/>
    <w:rsid w:val="005836C8"/>
    <w:rsid w:val="00583AA5"/>
    <w:rsid w:val="00586C16"/>
    <w:rsid w:val="00587206"/>
    <w:rsid w:val="0059190C"/>
    <w:rsid w:val="00594084"/>
    <w:rsid w:val="005940F6"/>
    <w:rsid w:val="00594C16"/>
    <w:rsid w:val="00594C63"/>
    <w:rsid w:val="00595DF7"/>
    <w:rsid w:val="0059781F"/>
    <w:rsid w:val="005A215E"/>
    <w:rsid w:val="005A3A59"/>
    <w:rsid w:val="005A64C3"/>
    <w:rsid w:val="005A7A0C"/>
    <w:rsid w:val="005B009F"/>
    <w:rsid w:val="005B1BCF"/>
    <w:rsid w:val="005B21EB"/>
    <w:rsid w:val="005B3154"/>
    <w:rsid w:val="005B3487"/>
    <w:rsid w:val="005B4790"/>
    <w:rsid w:val="005B6C73"/>
    <w:rsid w:val="005B6FF0"/>
    <w:rsid w:val="005B75BE"/>
    <w:rsid w:val="005B7BA0"/>
    <w:rsid w:val="005C1039"/>
    <w:rsid w:val="005C5D68"/>
    <w:rsid w:val="005C6803"/>
    <w:rsid w:val="005D0927"/>
    <w:rsid w:val="005D20D7"/>
    <w:rsid w:val="005D30DA"/>
    <w:rsid w:val="005D3C63"/>
    <w:rsid w:val="005D4B2A"/>
    <w:rsid w:val="005D5240"/>
    <w:rsid w:val="005D6902"/>
    <w:rsid w:val="005D76D7"/>
    <w:rsid w:val="005E15D7"/>
    <w:rsid w:val="005E1F8D"/>
    <w:rsid w:val="005E2898"/>
    <w:rsid w:val="005E6F49"/>
    <w:rsid w:val="005F094E"/>
    <w:rsid w:val="005F1072"/>
    <w:rsid w:val="005F14C3"/>
    <w:rsid w:val="005F26C7"/>
    <w:rsid w:val="005F3096"/>
    <w:rsid w:val="005F32D0"/>
    <w:rsid w:val="005F3B70"/>
    <w:rsid w:val="005F3D81"/>
    <w:rsid w:val="005F72F9"/>
    <w:rsid w:val="005F778C"/>
    <w:rsid w:val="0060032C"/>
    <w:rsid w:val="006009C9"/>
    <w:rsid w:val="00601395"/>
    <w:rsid w:val="00605263"/>
    <w:rsid w:val="00606285"/>
    <w:rsid w:val="00606734"/>
    <w:rsid w:val="00607473"/>
    <w:rsid w:val="006120F4"/>
    <w:rsid w:val="00612A5D"/>
    <w:rsid w:val="006136CF"/>
    <w:rsid w:val="00613D04"/>
    <w:rsid w:val="00613FE9"/>
    <w:rsid w:val="006163AB"/>
    <w:rsid w:val="006165EE"/>
    <w:rsid w:val="00616620"/>
    <w:rsid w:val="0061729C"/>
    <w:rsid w:val="006208F9"/>
    <w:rsid w:val="00620E73"/>
    <w:rsid w:val="00621125"/>
    <w:rsid w:val="00622636"/>
    <w:rsid w:val="0062391B"/>
    <w:rsid w:val="00625EF0"/>
    <w:rsid w:val="00626594"/>
    <w:rsid w:val="00627011"/>
    <w:rsid w:val="0063041E"/>
    <w:rsid w:val="006314AD"/>
    <w:rsid w:val="00632528"/>
    <w:rsid w:val="00632F98"/>
    <w:rsid w:val="006364E2"/>
    <w:rsid w:val="006367DA"/>
    <w:rsid w:val="00636F32"/>
    <w:rsid w:val="00637D82"/>
    <w:rsid w:val="006405C1"/>
    <w:rsid w:val="00644373"/>
    <w:rsid w:val="00644DF4"/>
    <w:rsid w:val="00645C46"/>
    <w:rsid w:val="00646121"/>
    <w:rsid w:val="00650902"/>
    <w:rsid w:val="006532D4"/>
    <w:rsid w:val="00654CE8"/>
    <w:rsid w:val="006555CD"/>
    <w:rsid w:val="00655FC1"/>
    <w:rsid w:val="006655B4"/>
    <w:rsid w:val="00665FDE"/>
    <w:rsid w:val="006703A5"/>
    <w:rsid w:val="00670728"/>
    <w:rsid w:val="00671603"/>
    <w:rsid w:val="00681653"/>
    <w:rsid w:val="0068199E"/>
    <w:rsid w:val="00682B2C"/>
    <w:rsid w:val="00683BA9"/>
    <w:rsid w:val="0069048F"/>
    <w:rsid w:val="006906C9"/>
    <w:rsid w:val="00691AFE"/>
    <w:rsid w:val="006924C5"/>
    <w:rsid w:val="00692C76"/>
    <w:rsid w:val="00695544"/>
    <w:rsid w:val="00696585"/>
    <w:rsid w:val="006A1596"/>
    <w:rsid w:val="006A15A7"/>
    <w:rsid w:val="006A224D"/>
    <w:rsid w:val="006A23CF"/>
    <w:rsid w:val="006A460D"/>
    <w:rsid w:val="006A48BE"/>
    <w:rsid w:val="006A60E1"/>
    <w:rsid w:val="006A689C"/>
    <w:rsid w:val="006B510B"/>
    <w:rsid w:val="006B7002"/>
    <w:rsid w:val="006B73FB"/>
    <w:rsid w:val="006C11F7"/>
    <w:rsid w:val="006C3179"/>
    <w:rsid w:val="006C34C1"/>
    <w:rsid w:val="006C4E8E"/>
    <w:rsid w:val="006C71CF"/>
    <w:rsid w:val="006C76D9"/>
    <w:rsid w:val="006D00F4"/>
    <w:rsid w:val="006D30F1"/>
    <w:rsid w:val="006D3514"/>
    <w:rsid w:val="006E2CE6"/>
    <w:rsid w:val="006E682F"/>
    <w:rsid w:val="006F06C9"/>
    <w:rsid w:val="006F110F"/>
    <w:rsid w:val="006F4AB3"/>
    <w:rsid w:val="006F5180"/>
    <w:rsid w:val="006F6822"/>
    <w:rsid w:val="006F6A92"/>
    <w:rsid w:val="006F77C4"/>
    <w:rsid w:val="006F78BC"/>
    <w:rsid w:val="0070045D"/>
    <w:rsid w:val="007045AD"/>
    <w:rsid w:val="0070507E"/>
    <w:rsid w:val="007053EA"/>
    <w:rsid w:val="00710170"/>
    <w:rsid w:val="00710FEE"/>
    <w:rsid w:val="007129EE"/>
    <w:rsid w:val="00712C2B"/>
    <w:rsid w:val="00713811"/>
    <w:rsid w:val="007142E8"/>
    <w:rsid w:val="00714A9D"/>
    <w:rsid w:val="00715196"/>
    <w:rsid w:val="0071670C"/>
    <w:rsid w:val="00716FB3"/>
    <w:rsid w:val="00720353"/>
    <w:rsid w:val="007214CA"/>
    <w:rsid w:val="00722744"/>
    <w:rsid w:val="00723382"/>
    <w:rsid w:val="00724AFB"/>
    <w:rsid w:val="007275A0"/>
    <w:rsid w:val="00732745"/>
    <w:rsid w:val="007367C8"/>
    <w:rsid w:val="00737008"/>
    <w:rsid w:val="00737615"/>
    <w:rsid w:val="00741220"/>
    <w:rsid w:val="00743568"/>
    <w:rsid w:val="0074441D"/>
    <w:rsid w:val="00745F68"/>
    <w:rsid w:val="0075203A"/>
    <w:rsid w:val="007543D1"/>
    <w:rsid w:val="00754424"/>
    <w:rsid w:val="00754476"/>
    <w:rsid w:val="00755A8F"/>
    <w:rsid w:val="00762C73"/>
    <w:rsid w:val="00763263"/>
    <w:rsid w:val="0077154A"/>
    <w:rsid w:val="007717A0"/>
    <w:rsid w:val="00771B03"/>
    <w:rsid w:val="00772469"/>
    <w:rsid w:val="00772A78"/>
    <w:rsid w:val="00775488"/>
    <w:rsid w:val="007768B0"/>
    <w:rsid w:val="00776F57"/>
    <w:rsid w:val="00777DC9"/>
    <w:rsid w:val="007819B2"/>
    <w:rsid w:val="00781B03"/>
    <w:rsid w:val="00784BAC"/>
    <w:rsid w:val="00791403"/>
    <w:rsid w:val="00791711"/>
    <w:rsid w:val="00792A2D"/>
    <w:rsid w:val="0079511A"/>
    <w:rsid w:val="00795E60"/>
    <w:rsid w:val="007A0155"/>
    <w:rsid w:val="007A055A"/>
    <w:rsid w:val="007A1E2C"/>
    <w:rsid w:val="007A3C67"/>
    <w:rsid w:val="007A4E7E"/>
    <w:rsid w:val="007A5463"/>
    <w:rsid w:val="007A73A9"/>
    <w:rsid w:val="007A758B"/>
    <w:rsid w:val="007A7840"/>
    <w:rsid w:val="007B144A"/>
    <w:rsid w:val="007B2055"/>
    <w:rsid w:val="007B2340"/>
    <w:rsid w:val="007B246E"/>
    <w:rsid w:val="007B39C4"/>
    <w:rsid w:val="007B3BD1"/>
    <w:rsid w:val="007B4D55"/>
    <w:rsid w:val="007C4838"/>
    <w:rsid w:val="007C591F"/>
    <w:rsid w:val="007C5971"/>
    <w:rsid w:val="007C7B43"/>
    <w:rsid w:val="007D0172"/>
    <w:rsid w:val="007D333A"/>
    <w:rsid w:val="007D33D4"/>
    <w:rsid w:val="007D4C57"/>
    <w:rsid w:val="007D5FBE"/>
    <w:rsid w:val="007D7D75"/>
    <w:rsid w:val="007E2B5C"/>
    <w:rsid w:val="007E3B98"/>
    <w:rsid w:val="007F01CC"/>
    <w:rsid w:val="007F10DD"/>
    <w:rsid w:val="007F51EE"/>
    <w:rsid w:val="008068B8"/>
    <w:rsid w:val="008124F1"/>
    <w:rsid w:val="00812D45"/>
    <w:rsid w:val="00813C61"/>
    <w:rsid w:val="00814745"/>
    <w:rsid w:val="008160F6"/>
    <w:rsid w:val="00817539"/>
    <w:rsid w:val="00820E59"/>
    <w:rsid w:val="00822A16"/>
    <w:rsid w:val="00823AC9"/>
    <w:rsid w:val="00824295"/>
    <w:rsid w:val="00825FDF"/>
    <w:rsid w:val="008273F3"/>
    <w:rsid w:val="00830432"/>
    <w:rsid w:val="0083566B"/>
    <w:rsid w:val="00835FA4"/>
    <w:rsid w:val="0083642A"/>
    <w:rsid w:val="0083672E"/>
    <w:rsid w:val="00836C4B"/>
    <w:rsid w:val="0084080F"/>
    <w:rsid w:val="00841EB9"/>
    <w:rsid w:val="00842291"/>
    <w:rsid w:val="0084329C"/>
    <w:rsid w:val="0084536E"/>
    <w:rsid w:val="00846C83"/>
    <w:rsid w:val="00847A2A"/>
    <w:rsid w:val="00854E0E"/>
    <w:rsid w:val="00857215"/>
    <w:rsid w:val="00860B45"/>
    <w:rsid w:val="00861CB5"/>
    <w:rsid w:val="008657CF"/>
    <w:rsid w:val="0087073D"/>
    <w:rsid w:val="008726A5"/>
    <w:rsid w:val="00876397"/>
    <w:rsid w:val="00876A8E"/>
    <w:rsid w:val="0087774F"/>
    <w:rsid w:val="00885429"/>
    <w:rsid w:val="00885F38"/>
    <w:rsid w:val="00887C60"/>
    <w:rsid w:val="0089151C"/>
    <w:rsid w:val="0089406D"/>
    <w:rsid w:val="008A1D4B"/>
    <w:rsid w:val="008A1E7E"/>
    <w:rsid w:val="008A268E"/>
    <w:rsid w:val="008A2AA5"/>
    <w:rsid w:val="008A301F"/>
    <w:rsid w:val="008A607D"/>
    <w:rsid w:val="008A7394"/>
    <w:rsid w:val="008A7FD2"/>
    <w:rsid w:val="008B3604"/>
    <w:rsid w:val="008B3E09"/>
    <w:rsid w:val="008B4C72"/>
    <w:rsid w:val="008B55F3"/>
    <w:rsid w:val="008B6796"/>
    <w:rsid w:val="008C03AF"/>
    <w:rsid w:val="008C2226"/>
    <w:rsid w:val="008C2233"/>
    <w:rsid w:val="008C489B"/>
    <w:rsid w:val="008D555A"/>
    <w:rsid w:val="008D5D45"/>
    <w:rsid w:val="008E4051"/>
    <w:rsid w:val="008E4381"/>
    <w:rsid w:val="008E503B"/>
    <w:rsid w:val="008E5575"/>
    <w:rsid w:val="008E5B54"/>
    <w:rsid w:val="008E7394"/>
    <w:rsid w:val="008F021D"/>
    <w:rsid w:val="008F24AB"/>
    <w:rsid w:val="008F3726"/>
    <w:rsid w:val="008F4C0D"/>
    <w:rsid w:val="008F4CEB"/>
    <w:rsid w:val="00910190"/>
    <w:rsid w:val="00911FB0"/>
    <w:rsid w:val="00912D32"/>
    <w:rsid w:val="00912EE2"/>
    <w:rsid w:val="00915A1B"/>
    <w:rsid w:val="00916773"/>
    <w:rsid w:val="0092337A"/>
    <w:rsid w:val="009236F7"/>
    <w:rsid w:val="009268F4"/>
    <w:rsid w:val="00926F81"/>
    <w:rsid w:val="00927B06"/>
    <w:rsid w:val="00931835"/>
    <w:rsid w:val="00932CF5"/>
    <w:rsid w:val="00934D65"/>
    <w:rsid w:val="00935930"/>
    <w:rsid w:val="009366D3"/>
    <w:rsid w:val="0094179C"/>
    <w:rsid w:val="00942AC7"/>
    <w:rsid w:val="00942EFA"/>
    <w:rsid w:val="009432DF"/>
    <w:rsid w:val="00944826"/>
    <w:rsid w:val="00945D0C"/>
    <w:rsid w:val="0094731E"/>
    <w:rsid w:val="009506F3"/>
    <w:rsid w:val="00950990"/>
    <w:rsid w:val="00952631"/>
    <w:rsid w:val="009553D0"/>
    <w:rsid w:val="00956BF2"/>
    <w:rsid w:val="009657E3"/>
    <w:rsid w:val="00966A84"/>
    <w:rsid w:val="00966B3A"/>
    <w:rsid w:val="009679E7"/>
    <w:rsid w:val="00970122"/>
    <w:rsid w:val="00970DFC"/>
    <w:rsid w:val="0097483D"/>
    <w:rsid w:val="00980E2D"/>
    <w:rsid w:val="00981A08"/>
    <w:rsid w:val="009824D6"/>
    <w:rsid w:val="00985D15"/>
    <w:rsid w:val="00985FA6"/>
    <w:rsid w:val="009873E0"/>
    <w:rsid w:val="009912F8"/>
    <w:rsid w:val="00991526"/>
    <w:rsid w:val="0099495E"/>
    <w:rsid w:val="00995AB8"/>
    <w:rsid w:val="009A0517"/>
    <w:rsid w:val="009A150A"/>
    <w:rsid w:val="009A3883"/>
    <w:rsid w:val="009A437E"/>
    <w:rsid w:val="009A4E08"/>
    <w:rsid w:val="009A7C4F"/>
    <w:rsid w:val="009B0761"/>
    <w:rsid w:val="009B0B3E"/>
    <w:rsid w:val="009B5A10"/>
    <w:rsid w:val="009B5CF7"/>
    <w:rsid w:val="009B7DB0"/>
    <w:rsid w:val="009B7E39"/>
    <w:rsid w:val="009C0A1D"/>
    <w:rsid w:val="009C16E9"/>
    <w:rsid w:val="009C644C"/>
    <w:rsid w:val="009C6723"/>
    <w:rsid w:val="009C7F6B"/>
    <w:rsid w:val="009D1114"/>
    <w:rsid w:val="009D2A37"/>
    <w:rsid w:val="009D5D6C"/>
    <w:rsid w:val="009E2955"/>
    <w:rsid w:val="009E32A7"/>
    <w:rsid w:val="009E38D4"/>
    <w:rsid w:val="009E617B"/>
    <w:rsid w:val="009F0741"/>
    <w:rsid w:val="009F0BDA"/>
    <w:rsid w:val="009F18D9"/>
    <w:rsid w:val="009F3D2F"/>
    <w:rsid w:val="009F43C0"/>
    <w:rsid w:val="009F568A"/>
    <w:rsid w:val="009F6D9D"/>
    <w:rsid w:val="00A01386"/>
    <w:rsid w:val="00A03B0D"/>
    <w:rsid w:val="00A05B47"/>
    <w:rsid w:val="00A117F3"/>
    <w:rsid w:val="00A119AA"/>
    <w:rsid w:val="00A13A45"/>
    <w:rsid w:val="00A1413E"/>
    <w:rsid w:val="00A17AAF"/>
    <w:rsid w:val="00A23722"/>
    <w:rsid w:val="00A247F6"/>
    <w:rsid w:val="00A25E4E"/>
    <w:rsid w:val="00A2767A"/>
    <w:rsid w:val="00A27E0C"/>
    <w:rsid w:val="00A33DFB"/>
    <w:rsid w:val="00A36BDA"/>
    <w:rsid w:val="00A47FE3"/>
    <w:rsid w:val="00A56AE9"/>
    <w:rsid w:val="00A65237"/>
    <w:rsid w:val="00A6562D"/>
    <w:rsid w:val="00A66DB4"/>
    <w:rsid w:val="00A718F8"/>
    <w:rsid w:val="00A722EF"/>
    <w:rsid w:val="00A74B58"/>
    <w:rsid w:val="00A812B6"/>
    <w:rsid w:val="00A82B3D"/>
    <w:rsid w:val="00A86895"/>
    <w:rsid w:val="00A94EE1"/>
    <w:rsid w:val="00A9761A"/>
    <w:rsid w:val="00AA36BA"/>
    <w:rsid w:val="00AA4975"/>
    <w:rsid w:val="00AA56A0"/>
    <w:rsid w:val="00AB11A5"/>
    <w:rsid w:val="00AB5A4D"/>
    <w:rsid w:val="00AB6555"/>
    <w:rsid w:val="00AC0479"/>
    <w:rsid w:val="00AC086A"/>
    <w:rsid w:val="00AC4B48"/>
    <w:rsid w:val="00AD0547"/>
    <w:rsid w:val="00AD39C6"/>
    <w:rsid w:val="00AD5EFB"/>
    <w:rsid w:val="00AD764F"/>
    <w:rsid w:val="00AD7FF8"/>
    <w:rsid w:val="00AE091C"/>
    <w:rsid w:val="00AE433B"/>
    <w:rsid w:val="00AE5564"/>
    <w:rsid w:val="00AE7C20"/>
    <w:rsid w:val="00AF552C"/>
    <w:rsid w:val="00AF62E7"/>
    <w:rsid w:val="00AF7D85"/>
    <w:rsid w:val="00B004F2"/>
    <w:rsid w:val="00B01384"/>
    <w:rsid w:val="00B028B1"/>
    <w:rsid w:val="00B0461B"/>
    <w:rsid w:val="00B14A63"/>
    <w:rsid w:val="00B16072"/>
    <w:rsid w:val="00B16118"/>
    <w:rsid w:val="00B2036E"/>
    <w:rsid w:val="00B2161B"/>
    <w:rsid w:val="00B224AE"/>
    <w:rsid w:val="00B23F04"/>
    <w:rsid w:val="00B26385"/>
    <w:rsid w:val="00B26ECF"/>
    <w:rsid w:val="00B33094"/>
    <w:rsid w:val="00B33C13"/>
    <w:rsid w:val="00B353D9"/>
    <w:rsid w:val="00B365B4"/>
    <w:rsid w:val="00B368B2"/>
    <w:rsid w:val="00B37F9A"/>
    <w:rsid w:val="00B40479"/>
    <w:rsid w:val="00B43BE6"/>
    <w:rsid w:val="00B45D57"/>
    <w:rsid w:val="00B466E5"/>
    <w:rsid w:val="00B46C2F"/>
    <w:rsid w:val="00B471B4"/>
    <w:rsid w:val="00B511FC"/>
    <w:rsid w:val="00B5363B"/>
    <w:rsid w:val="00B53C69"/>
    <w:rsid w:val="00B5498C"/>
    <w:rsid w:val="00B5516D"/>
    <w:rsid w:val="00B55A40"/>
    <w:rsid w:val="00B55F41"/>
    <w:rsid w:val="00B5760A"/>
    <w:rsid w:val="00B62246"/>
    <w:rsid w:val="00B65B79"/>
    <w:rsid w:val="00B7053E"/>
    <w:rsid w:val="00B7084F"/>
    <w:rsid w:val="00B70A98"/>
    <w:rsid w:val="00B70CDE"/>
    <w:rsid w:val="00B71335"/>
    <w:rsid w:val="00B720C9"/>
    <w:rsid w:val="00B72112"/>
    <w:rsid w:val="00B72554"/>
    <w:rsid w:val="00B76BB6"/>
    <w:rsid w:val="00B76CDE"/>
    <w:rsid w:val="00B76DFB"/>
    <w:rsid w:val="00B77938"/>
    <w:rsid w:val="00B82091"/>
    <w:rsid w:val="00B903F1"/>
    <w:rsid w:val="00B9084D"/>
    <w:rsid w:val="00B91689"/>
    <w:rsid w:val="00B917E6"/>
    <w:rsid w:val="00B92702"/>
    <w:rsid w:val="00B94292"/>
    <w:rsid w:val="00B95B56"/>
    <w:rsid w:val="00BA2D60"/>
    <w:rsid w:val="00BA33D9"/>
    <w:rsid w:val="00BA3415"/>
    <w:rsid w:val="00BA3FB5"/>
    <w:rsid w:val="00BA4D5F"/>
    <w:rsid w:val="00BA6FAC"/>
    <w:rsid w:val="00BA7A20"/>
    <w:rsid w:val="00BB18B1"/>
    <w:rsid w:val="00BB2000"/>
    <w:rsid w:val="00BB41FB"/>
    <w:rsid w:val="00BB4E5D"/>
    <w:rsid w:val="00BC169F"/>
    <w:rsid w:val="00BC35B8"/>
    <w:rsid w:val="00BC3E9A"/>
    <w:rsid w:val="00BC5B31"/>
    <w:rsid w:val="00BC6105"/>
    <w:rsid w:val="00BD21F9"/>
    <w:rsid w:val="00BD2446"/>
    <w:rsid w:val="00BD5670"/>
    <w:rsid w:val="00BD620F"/>
    <w:rsid w:val="00BD64D0"/>
    <w:rsid w:val="00BD6633"/>
    <w:rsid w:val="00BE3CEC"/>
    <w:rsid w:val="00BE3FCC"/>
    <w:rsid w:val="00BE5200"/>
    <w:rsid w:val="00BE69CD"/>
    <w:rsid w:val="00BF147C"/>
    <w:rsid w:val="00BF274E"/>
    <w:rsid w:val="00BF688D"/>
    <w:rsid w:val="00C052D2"/>
    <w:rsid w:val="00C10363"/>
    <w:rsid w:val="00C126DA"/>
    <w:rsid w:val="00C15C69"/>
    <w:rsid w:val="00C2363A"/>
    <w:rsid w:val="00C236BB"/>
    <w:rsid w:val="00C24BDA"/>
    <w:rsid w:val="00C24D66"/>
    <w:rsid w:val="00C27C76"/>
    <w:rsid w:val="00C30E33"/>
    <w:rsid w:val="00C33FBA"/>
    <w:rsid w:val="00C34057"/>
    <w:rsid w:val="00C3450B"/>
    <w:rsid w:val="00C350F6"/>
    <w:rsid w:val="00C3588F"/>
    <w:rsid w:val="00C35D39"/>
    <w:rsid w:val="00C36467"/>
    <w:rsid w:val="00C3695F"/>
    <w:rsid w:val="00C37BD8"/>
    <w:rsid w:val="00C417DE"/>
    <w:rsid w:val="00C41B94"/>
    <w:rsid w:val="00C4268B"/>
    <w:rsid w:val="00C439C7"/>
    <w:rsid w:val="00C43A72"/>
    <w:rsid w:val="00C448BC"/>
    <w:rsid w:val="00C45293"/>
    <w:rsid w:val="00C46212"/>
    <w:rsid w:val="00C50561"/>
    <w:rsid w:val="00C533F8"/>
    <w:rsid w:val="00C544CB"/>
    <w:rsid w:val="00C55F3F"/>
    <w:rsid w:val="00C57C39"/>
    <w:rsid w:val="00C57D7E"/>
    <w:rsid w:val="00C62CE5"/>
    <w:rsid w:val="00C63018"/>
    <w:rsid w:val="00C64954"/>
    <w:rsid w:val="00C70B19"/>
    <w:rsid w:val="00C71E72"/>
    <w:rsid w:val="00C744C6"/>
    <w:rsid w:val="00C752F9"/>
    <w:rsid w:val="00C755FF"/>
    <w:rsid w:val="00C76405"/>
    <w:rsid w:val="00C815E1"/>
    <w:rsid w:val="00C8596B"/>
    <w:rsid w:val="00C85B3D"/>
    <w:rsid w:val="00C87759"/>
    <w:rsid w:val="00C91FF9"/>
    <w:rsid w:val="00C92606"/>
    <w:rsid w:val="00C9400B"/>
    <w:rsid w:val="00CA1A0D"/>
    <w:rsid w:val="00CA6113"/>
    <w:rsid w:val="00CB2465"/>
    <w:rsid w:val="00CB3297"/>
    <w:rsid w:val="00CB39D6"/>
    <w:rsid w:val="00CB3E55"/>
    <w:rsid w:val="00CB6B72"/>
    <w:rsid w:val="00CC061D"/>
    <w:rsid w:val="00CC122C"/>
    <w:rsid w:val="00CC26F0"/>
    <w:rsid w:val="00CC47EF"/>
    <w:rsid w:val="00CC6374"/>
    <w:rsid w:val="00CD000F"/>
    <w:rsid w:val="00CD11D4"/>
    <w:rsid w:val="00CD4961"/>
    <w:rsid w:val="00CD7723"/>
    <w:rsid w:val="00CE110D"/>
    <w:rsid w:val="00CE1448"/>
    <w:rsid w:val="00CE2630"/>
    <w:rsid w:val="00CE2BE0"/>
    <w:rsid w:val="00CE3CE9"/>
    <w:rsid w:val="00CE3D51"/>
    <w:rsid w:val="00CE52F9"/>
    <w:rsid w:val="00CE7E98"/>
    <w:rsid w:val="00CF1470"/>
    <w:rsid w:val="00CF31A7"/>
    <w:rsid w:val="00CF45E9"/>
    <w:rsid w:val="00CF6749"/>
    <w:rsid w:val="00CF6864"/>
    <w:rsid w:val="00CF7CD9"/>
    <w:rsid w:val="00D005C5"/>
    <w:rsid w:val="00D00AC9"/>
    <w:rsid w:val="00D01A6A"/>
    <w:rsid w:val="00D032CB"/>
    <w:rsid w:val="00D03E07"/>
    <w:rsid w:val="00D05663"/>
    <w:rsid w:val="00D13274"/>
    <w:rsid w:val="00D15439"/>
    <w:rsid w:val="00D1576B"/>
    <w:rsid w:val="00D16934"/>
    <w:rsid w:val="00D2122C"/>
    <w:rsid w:val="00D23E61"/>
    <w:rsid w:val="00D26073"/>
    <w:rsid w:val="00D27B04"/>
    <w:rsid w:val="00D31769"/>
    <w:rsid w:val="00D32516"/>
    <w:rsid w:val="00D35ED4"/>
    <w:rsid w:val="00D372B2"/>
    <w:rsid w:val="00D37362"/>
    <w:rsid w:val="00D378D7"/>
    <w:rsid w:val="00D40893"/>
    <w:rsid w:val="00D4220B"/>
    <w:rsid w:val="00D44B36"/>
    <w:rsid w:val="00D45849"/>
    <w:rsid w:val="00D471AE"/>
    <w:rsid w:val="00D50217"/>
    <w:rsid w:val="00D50EA5"/>
    <w:rsid w:val="00D5259E"/>
    <w:rsid w:val="00D53EAB"/>
    <w:rsid w:val="00D544D2"/>
    <w:rsid w:val="00D54FE5"/>
    <w:rsid w:val="00D55290"/>
    <w:rsid w:val="00D56C39"/>
    <w:rsid w:val="00D65D0C"/>
    <w:rsid w:val="00D65EE0"/>
    <w:rsid w:val="00D7110F"/>
    <w:rsid w:val="00D74790"/>
    <w:rsid w:val="00D75469"/>
    <w:rsid w:val="00D76488"/>
    <w:rsid w:val="00D812EB"/>
    <w:rsid w:val="00D81B3C"/>
    <w:rsid w:val="00D82455"/>
    <w:rsid w:val="00D82752"/>
    <w:rsid w:val="00D83616"/>
    <w:rsid w:val="00D83647"/>
    <w:rsid w:val="00D83A2F"/>
    <w:rsid w:val="00D841BF"/>
    <w:rsid w:val="00D84F51"/>
    <w:rsid w:val="00D86243"/>
    <w:rsid w:val="00D873AE"/>
    <w:rsid w:val="00D87537"/>
    <w:rsid w:val="00D937F6"/>
    <w:rsid w:val="00D952EB"/>
    <w:rsid w:val="00DA2F33"/>
    <w:rsid w:val="00DA44C4"/>
    <w:rsid w:val="00DA48EE"/>
    <w:rsid w:val="00DB4D1D"/>
    <w:rsid w:val="00DB7088"/>
    <w:rsid w:val="00DC2B61"/>
    <w:rsid w:val="00DC5A66"/>
    <w:rsid w:val="00DC5CEB"/>
    <w:rsid w:val="00DC71AB"/>
    <w:rsid w:val="00DD0395"/>
    <w:rsid w:val="00DD0BB3"/>
    <w:rsid w:val="00DD1C4E"/>
    <w:rsid w:val="00DD1D87"/>
    <w:rsid w:val="00DD29A6"/>
    <w:rsid w:val="00DD3413"/>
    <w:rsid w:val="00DD6549"/>
    <w:rsid w:val="00DD7BF4"/>
    <w:rsid w:val="00DE05AF"/>
    <w:rsid w:val="00DE065B"/>
    <w:rsid w:val="00DE08B2"/>
    <w:rsid w:val="00DE2D00"/>
    <w:rsid w:val="00DE330D"/>
    <w:rsid w:val="00DE7086"/>
    <w:rsid w:val="00DE7A24"/>
    <w:rsid w:val="00DF10D1"/>
    <w:rsid w:val="00DF1670"/>
    <w:rsid w:val="00DF1F36"/>
    <w:rsid w:val="00DF3820"/>
    <w:rsid w:val="00DF4288"/>
    <w:rsid w:val="00DF55AC"/>
    <w:rsid w:val="00E013CC"/>
    <w:rsid w:val="00E01878"/>
    <w:rsid w:val="00E01C43"/>
    <w:rsid w:val="00E032A9"/>
    <w:rsid w:val="00E055A2"/>
    <w:rsid w:val="00E059E2"/>
    <w:rsid w:val="00E06B17"/>
    <w:rsid w:val="00E10CD4"/>
    <w:rsid w:val="00E11BCA"/>
    <w:rsid w:val="00E12CA9"/>
    <w:rsid w:val="00E133CE"/>
    <w:rsid w:val="00E14196"/>
    <w:rsid w:val="00E17120"/>
    <w:rsid w:val="00E17132"/>
    <w:rsid w:val="00E174E0"/>
    <w:rsid w:val="00E17E6B"/>
    <w:rsid w:val="00E21678"/>
    <w:rsid w:val="00E21CF0"/>
    <w:rsid w:val="00E30652"/>
    <w:rsid w:val="00E324E3"/>
    <w:rsid w:val="00E32DAA"/>
    <w:rsid w:val="00E33012"/>
    <w:rsid w:val="00E341F2"/>
    <w:rsid w:val="00E413B2"/>
    <w:rsid w:val="00E41ECD"/>
    <w:rsid w:val="00E444EA"/>
    <w:rsid w:val="00E45489"/>
    <w:rsid w:val="00E45C3B"/>
    <w:rsid w:val="00E45DA3"/>
    <w:rsid w:val="00E528F1"/>
    <w:rsid w:val="00E542AB"/>
    <w:rsid w:val="00E54443"/>
    <w:rsid w:val="00E55E6E"/>
    <w:rsid w:val="00E568DB"/>
    <w:rsid w:val="00E57255"/>
    <w:rsid w:val="00E57530"/>
    <w:rsid w:val="00E60437"/>
    <w:rsid w:val="00E6179D"/>
    <w:rsid w:val="00E63012"/>
    <w:rsid w:val="00E64778"/>
    <w:rsid w:val="00E64A52"/>
    <w:rsid w:val="00E66A2B"/>
    <w:rsid w:val="00E66D3B"/>
    <w:rsid w:val="00E71955"/>
    <w:rsid w:val="00E73AF2"/>
    <w:rsid w:val="00E745AD"/>
    <w:rsid w:val="00E75406"/>
    <w:rsid w:val="00E768AA"/>
    <w:rsid w:val="00E805D6"/>
    <w:rsid w:val="00E814C4"/>
    <w:rsid w:val="00E82164"/>
    <w:rsid w:val="00E82C66"/>
    <w:rsid w:val="00E850BF"/>
    <w:rsid w:val="00E909E9"/>
    <w:rsid w:val="00E91618"/>
    <w:rsid w:val="00E918EC"/>
    <w:rsid w:val="00E933E1"/>
    <w:rsid w:val="00E95240"/>
    <w:rsid w:val="00E9664C"/>
    <w:rsid w:val="00EA1AC9"/>
    <w:rsid w:val="00EB3796"/>
    <w:rsid w:val="00EB7577"/>
    <w:rsid w:val="00EB77C7"/>
    <w:rsid w:val="00EC00AC"/>
    <w:rsid w:val="00EC2D48"/>
    <w:rsid w:val="00EC3DE4"/>
    <w:rsid w:val="00EC3E7B"/>
    <w:rsid w:val="00EC4227"/>
    <w:rsid w:val="00EC42B9"/>
    <w:rsid w:val="00EC5833"/>
    <w:rsid w:val="00EC5EFE"/>
    <w:rsid w:val="00EC5F07"/>
    <w:rsid w:val="00EC64D0"/>
    <w:rsid w:val="00EC70ED"/>
    <w:rsid w:val="00EC7FA6"/>
    <w:rsid w:val="00ED0B95"/>
    <w:rsid w:val="00ED0ED0"/>
    <w:rsid w:val="00ED2606"/>
    <w:rsid w:val="00ED2AFF"/>
    <w:rsid w:val="00ED3914"/>
    <w:rsid w:val="00EE1B7B"/>
    <w:rsid w:val="00EE4288"/>
    <w:rsid w:val="00EF0E67"/>
    <w:rsid w:val="00EF5A97"/>
    <w:rsid w:val="00EF6B87"/>
    <w:rsid w:val="00F0109D"/>
    <w:rsid w:val="00F035DC"/>
    <w:rsid w:val="00F05483"/>
    <w:rsid w:val="00F069C9"/>
    <w:rsid w:val="00F07E9B"/>
    <w:rsid w:val="00F11608"/>
    <w:rsid w:val="00F13BC9"/>
    <w:rsid w:val="00F14D90"/>
    <w:rsid w:val="00F169FE"/>
    <w:rsid w:val="00F21E2C"/>
    <w:rsid w:val="00F2359B"/>
    <w:rsid w:val="00F2389B"/>
    <w:rsid w:val="00F25D2C"/>
    <w:rsid w:val="00F264DD"/>
    <w:rsid w:val="00F2652A"/>
    <w:rsid w:val="00F31078"/>
    <w:rsid w:val="00F3158C"/>
    <w:rsid w:val="00F3250B"/>
    <w:rsid w:val="00F33C75"/>
    <w:rsid w:val="00F33EC3"/>
    <w:rsid w:val="00F37012"/>
    <w:rsid w:val="00F4309B"/>
    <w:rsid w:val="00F43797"/>
    <w:rsid w:val="00F45823"/>
    <w:rsid w:val="00F468E0"/>
    <w:rsid w:val="00F507CF"/>
    <w:rsid w:val="00F50AD9"/>
    <w:rsid w:val="00F50DFC"/>
    <w:rsid w:val="00F530F7"/>
    <w:rsid w:val="00F5528B"/>
    <w:rsid w:val="00F5584B"/>
    <w:rsid w:val="00F614BF"/>
    <w:rsid w:val="00F62890"/>
    <w:rsid w:val="00F63E9A"/>
    <w:rsid w:val="00F6485F"/>
    <w:rsid w:val="00F67904"/>
    <w:rsid w:val="00F67C64"/>
    <w:rsid w:val="00F7272A"/>
    <w:rsid w:val="00F73148"/>
    <w:rsid w:val="00F74222"/>
    <w:rsid w:val="00F7499C"/>
    <w:rsid w:val="00F74B76"/>
    <w:rsid w:val="00F8004E"/>
    <w:rsid w:val="00F818DF"/>
    <w:rsid w:val="00F879C5"/>
    <w:rsid w:val="00F928FC"/>
    <w:rsid w:val="00F92DCC"/>
    <w:rsid w:val="00F94584"/>
    <w:rsid w:val="00F97218"/>
    <w:rsid w:val="00FA047F"/>
    <w:rsid w:val="00FA0EA2"/>
    <w:rsid w:val="00FA1479"/>
    <w:rsid w:val="00FA2A81"/>
    <w:rsid w:val="00FA4444"/>
    <w:rsid w:val="00FB24BF"/>
    <w:rsid w:val="00FB5463"/>
    <w:rsid w:val="00FB66D5"/>
    <w:rsid w:val="00FB6FF4"/>
    <w:rsid w:val="00FC21A7"/>
    <w:rsid w:val="00FC26DF"/>
    <w:rsid w:val="00FD4E10"/>
    <w:rsid w:val="00FD74D5"/>
    <w:rsid w:val="00FE23D4"/>
    <w:rsid w:val="00FE6F6B"/>
    <w:rsid w:val="00FF0F0E"/>
    <w:rsid w:val="00FF16B5"/>
    <w:rsid w:val="00FF3D09"/>
    <w:rsid w:val="00FF555E"/>
    <w:rsid w:val="00FF5F50"/>
    <w:rsid w:val="00FF69B5"/>
    <w:rsid w:val="00FF7F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D4F8"/>
  <w15:chartTrackingRefBased/>
  <w15:docId w15:val="{0C0528D2-FC17-41CC-8AD7-79BBC039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7E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own">
    <w:name w:val="My own"/>
    <w:basedOn w:val="Normal"/>
    <w:rsid w:val="001F57ED"/>
    <w:pPr>
      <w:widowControl/>
      <w:tabs>
        <w:tab w:val="num" w:pos="360"/>
      </w:tabs>
      <w:autoSpaceDE/>
      <w:autoSpaceDN/>
      <w:adjustRightInd/>
      <w:spacing w:before="240" w:after="240" w:line="480" w:lineRule="auto"/>
      <w:ind w:left="706" w:hanging="706"/>
      <w:jc w:val="both"/>
    </w:pPr>
    <w:rPr>
      <w:rFonts w:ascii="Arial" w:hAnsi="Arial"/>
    </w:rPr>
  </w:style>
  <w:style w:type="paragraph" w:styleId="FootnoteText">
    <w:name w:val="footnote text"/>
    <w:basedOn w:val="Normal"/>
    <w:link w:val="FootnoteTextChar"/>
    <w:uiPriority w:val="99"/>
    <w:semiHidden/>
    <w:unhideWhenUsed/>
    <w:rsid w:val="00CE7E98"/>
    <w:rPr>
      <w:sz w:val="20"/>
      <w:szCs w:val="20"/>
    </w:rPr>
  </w:style>
  <w:style w:type="character" w:customStyle="1" w:styleId="FootnoteTextChar">
    <w:name w:val="Footnote Text Char"/>
    <w:basedOn w:val="DefaultParagraphFont"/>
    <w:link w:val="FootnoteText"/>
    <w:uiPriority w:val="99"/>
    <w:semiHidden/>
    <w:rsid w:val="00CE7E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E7E98"/>
    <w:rPr>
      <w:vertAlign w:val="superscript"/>
    </w:rPr>
  </w:style>
  <w:style w:type="paragraph" w:styleId="Header">
    <w:name w:val="header"/>
    <w:basedOn w:val="Normal"/>
    <w:link w:val="HeaderChar"/>
    <w:uiPriority w:val="99"/>
    <w:unhideWhenUsed/>
    <w:rsid w:val="000A491D"/>
    <w:pPr>
      <w:tabs>
        <w:tab w:val="center" w:pos="4513"/>
        <w:tab w:val="right" w:pos="9026"/>
      </w:tabs>
    </w:pPr>
  </w:style>
  <w:style w:type="character" w:customStyle="1" w:styleId="HeaderChar">
    <w:name w:val="Header Char"/>
    <w:basedOn w:val="DefaultParagraphFont"/>
    <w:link w:val="Header"/>
    <w:uiPriority w:val="99"/>
    <w:rsid w:val="000A49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491D"/>
    <w:pPr>
      <w:tabs>
        <w:tab w:val="center" w:pos="4513"/>
        <w:tab w:val="right" w:pos="9026"/>
      </w:tabs>
    </w:pPr>
  </w:style>
  <w:style w:type="character" w:customStyle="1" w:styleId="FooterChar">
    <w:name w:val="Footer Char"/>
    <w:basedOn w:val="DefaultParagraphFont"/>
    <w:link w:val="Footer"/>
    <w:uiPriority w:val="99"/>
    <w:rsid w:val="000A491D"/>
    <w:rPr>
      <w:rFonts w:ascii="Times New Roman" w:eastAsia="Times New Roman" w:hAnsi="Times New Roman" w:cs="Times New Roman"/>
      <w:sz w:val="24"/>
      <w:szCs w:val="24"/>
    </w:rPr>
  </w:style>
  <w:style w:type="paragraph" w:styleId="ListParagraph">
    <w:name w:val="List Paragraph"/>
    <w:basedOn w:val="Normal"/>
    <w:uiPriority w:val="34"/>
    <w:qFormat/>
    <w:rsid w:val="002E03D4"/>
    <w:pPr>
      <w:ind w:left="720"/>
      <w:contextualSpacing/>
    </w:pPr>
  </w:style>
  <w:style w:type="paragraph" w:styleId="Title">
    <w:name w:val="Title"/>
    <w:basedOn w:val="Normal"/>
    <w:link w:val="TitleChar"/>
    <w:qFormat/>
    <w:rsid w:val="00E568DB"/>
    <w:pPr>
      <w:widowControl/>
      <w:autoSpaceDE/>
      <w:autoSpaceDN/>
      <w:adjustRightInd/>
      <w:jc w:val="center"/>
    </w:pPr>
    <w:rPr>
      <w:rFonts w:ascii="Arial" w:hAnsi="Arial"/>
      <w:b/>
      <w:sz w:val="20"/>
      <w:szCs w:val="20"/>
      <w:lang w:eastAsia="ja-JP"/>
    </w:rPr>
  </w:style>
  <w:style w:type="character" w:customStyle="1" w:styleId="TitleChar">
    <w:name w:val="Title Char"/>
    <w:basedOn w:val="DefaultParagraphFont"/>
    <w:link w:val="Title"/>
    <w:rsid w:val="00E568DB"/>
    <w:rPr>
      <w:rFonts w:ascii="Arial" w:eastAsia="Times New Roman" w:hAnsi="Arial" w:cs="Times New Roman"/>
      <w:b/>
      <w:sz w:val="20"/>
      <w:szCs w:val="20"/>
      <w:lang w:eastAsia="ja-JP"/>
    </w:rPr>
  </w:style>
  <w:style w:type="paragraph" w:customStyle="1" w:styleId="Bold">
    <w:name w:val="Bold"/>
    <w:aliases w:val="underline &amp; Centre"/>
    <w:basedOn w:val="Normal"/>
    <w:rsid w:val="00E568DB"/>
    <w:pPr>
      <w:widowControl/>
      <w:autoSpaceDE/>
      <w:autoSpaceDN/>
      <w:adjustRightInd/>
      <w:spacing w:before="120" w:after="360" w:line="480" w:lineRule="auto"/>
      <w:jc w:val="center"/>
    </w:pPr>
    <w:rPr>
      <w:rFonts w:ascii="Arial" w:hAnsi="Arial"/>
      <w:b/>
      <w:kern w:val="25"/>
      <w:sz w:val="22"/>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0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99D4-0C81-4106-8B50-F1C4B844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Naseera Ali</dc:creator>
  <cp:keywords/>
  <dc:description/>
  <cp:lastModifiedBy>Graeme Rennie</cp:lastModifiedBy>
  <cp:revision>2</cp:revision>
  <cp:lastPrinted>2021-08-10T09:15:00Z</cp:lastPrinted>
  <dcterms:created xsi:type="dcterms:W3CDTF">2021-11-26T09:09:00Z</dcterms:created>
  <dcterms:modified xsi:type="dcterms:W3CDTF">2021-11-26T09:09:00Z</dcterms:modified>
</cp:coreProperties>
</file>