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602F0" w14:textId="77777777" w:rsidR="00F11FF9" w:rsidRPr="002B5823" w:rsidRDefault="00F11FF9" w:rsidP="00F11FF9">
      <w:pPr>
        <w:jc w:val="center"/>
        <w:rPr>
          <w:rFonts w:ascii="Arial" w:hAnsi="Arial" w:cs="Arial"/>
          <w:b/>
          <w:bCs/>
          <w:color w:val="000000" w:themeColor="text1"/>
        </w:rPr>
      </w:pPr>
      <w:r w:rsidRPr="002B5823">
        <w:rPr>
          <w:rFonts w:ascii="Arial" w:hAnsi="Arial" w:cs="Arial"/>
          <w:b/>
          <w:bCs/>
          <w:noProof/>
          <w:color w:val="000000" w:themeColor="text1"/>
          <w:lang w:eastAsia="en-ZA"/>
        </w:rPr>
        <w:drawing>
          <wp:inline distT="0" distB="0" distL="0" distR="0" wp14:anchorId="37AAC7BA" wp14:editId="2DBCF2CD">
            <wp:extent cx="1543050" cy="1552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Rot="1" noChangeAspect="1" noEditPoints="1" noChangeArrowheads="1" noCrop="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3050" cy="1552575"/>
                    </a:xfrm>
                    <a:prstGeom prst="rect">
                      <a:avLst/>
                    </a:prstGeom>
                    <a:noFill/>
                    <a:ln>
                      <a:noFill/>
                    </a:ln>
                  </pic:spPr>
                </pic:pic>
              </a:graphicData>
            </a:graphic>
          </wp:inline>
        </w:drawing>
      </w:r>
    </w:p>
    <w:p w14:paraId="1A4B70A8" w14:textId="77777777" w:rsidR="00F11FF9" w:rsidRPr="002B5823" w:rsidRDefault="00F11FF9" w:rsidP="00F11FF9">
      <w:pPr>
        <w:jc w:val="center"/>
        <w:rPr>
          <w:rFonts w:ascii="Arial" w:hAnsi="Arial" w:cs="Arial"/>
          <w:b/>
          <w:color w:val="000000" w:themeColor="text1"/>
        </w:rPr>
      </w:pPr>
      <w:r w:rsidRPr="002B5823">
        <w:rPr>
          <w:rFonts w:ascii="Arial" w:hAnsi="Arial" w:cs="Arial"/>
          <w:b/>
          <w:color w:val="000000" w:themeColor="text1"/>
        </w:rPr>
        <w:t>IN THE HIGH COURT OF SOUTH AFRICA,</w:t>
      </w:r>
    </w:p>
    <w:p w14:paraId="5B2D8ABC" w14:textId="77777777" w:rsidR="00F11FF9" w:rsidRPr="002B5823" w:rsidRDefault="00F11FF9" w:rsidP="00F11FF9">
      <w:pPr>
        <w:jc w:val="center"/>
        <w:rPr>
          <w:rFonts w:ascii="Arial" w:hAnsi="Arial" w:cs="Arial"/>
          <w:b/>
          <w:color w:val="000000" w:themeColor="text1"/>
        </w:rPr>
      </w:pPr>
      <w:r w:rsidRPr="002B5823">
        <w:rPr>
          <w:rFonts w:ascii="Arial" w:hAnsi="Arial" w:cs="Arial"/>
          <w:b/>
          <w:color w:val="000000" w:themeColor="text1"/>
        </w:rPr>
        <w:t>GAUTENG DIVISION, JOHANNESBURG</w:t>
      </w:r>
    </w:p>
    <w:p w14:paraId="7D3046DA" w14:textId="77777777" w:rsidR="00F11FF9" w:rsidRPr="002B5823" w:rsidRDefault="00F11FF9" w:rsidP="00F11FF9">
      <w:pPr>
        <w:jc w:val="right"/>
        <w:rPr>
          <w:rFonts w:ascii="Arial" w:hAnsi="Arial" w:cs="Arial"/>
          <w:b/>
          <w:color w:val="000000" w:themeColor="text1"/>
        </w:rPr>
      </w:pPr>
    </w:p>
    <w:p w14:paraId="401B235D" w14:textId="77777777" w:rsidR="00943909" w:rsidRPr="00943909" w:rsidRDefault="00943909" w:rsidP="00943909">
      <w:pPr>
        <w:ind w:left="4320"/>
        <w:rPr>
          <w:rFonts w:ascii="Arial" w:hAnsi="Arial" w:cs="Arial"/>
          <w:b/>
          <w:bCs/>
          <w:color w:val="000000" w:themeColor="text1"/>
          <w:lang w:val="en-US"/>
        </w:rPr>
      </w:pPr>
      <w:r>
        <w:rPr>
          <w:rFonts w:ascii="Arial" w:hAnsi="Arial" w:cs="Arial"/>
          <w:b/>
          <w:color w:val="000000" w:themeColor="text1"/>
        </w:rPr>
        <w:t xml:space="preserve">CASE NO:  </w:t>
      </w:r>
      <w:r w:rsidRPr="00943909">
        <w:rPr>
          <w:rFonts w:ascii="Arial" w:eastAsia="Calibri" w:hAnsi="Arial" w:cs="Arial"/>
          <w:lang w:val="en-GB"/>
        </w:rPr>
        <w:t>2021/10643</w:t>
      </w:r>
    </w:p>
    <w:p w14:paraId="6C287E86" w14:textId="77777777" w:rsidR="00F11FF9" w:rsidRPr="002B5823" w:rsidRDefault="00EB179B" w:rsidP="00D221C4">
      <w:pPr>
        <w:ind w:left="4320" w:firstLine="720"/>
        <w:jc w:val="center"/>
        <w:rPr>
          <w:rFonts w:ascii="Arial" w:hAnsi="Arial" w:cs="Arial"/>
          <w:b/>
          <w:color w:val="000000" w:themeColor="text1"/>
        </w:rPr>
      </w:pPr>
      <w:r w:rsidRPr="002B5823">
        <w:rPr>
          <w:rFonts w:ascii="Arial" w:hAnsi="Arial" w:cs="Arial"/>
          <w:noProof/>
          <w:color w:val="000000" w:themeColor="text1"/>
          <w:lang w:eastAsia="en-ZA"/>
        </w:rPr>
        <mc:AlternateContent>
          <mc:Choice Requires="wps">
            <w:drawing>
              <wp:anchor distT="0" distB="0" distL="114300" distR="114300" simplePos="0" relativeHeight="251659264" behindDoc="0" locked="0" layoutInCell="1" allowOverlap="1" wp14:anchorId="44BB8035" wp14:editId="68325402">
                <wp:simplePos x="0" y="0"/>
                <wp:positionH relativeFrom="margin">
                  <wp:posOffset>-55605</wp:posOffset>
                </wp:positionH>
                <wp:positionV relativeFrom="paragraph">
                  <wp:posOffset>66195</wp:posOffset>
                </wp:positionV>
                <wp:extent cx="3200400" cy="1247775"/>
                <wp:effectExtent l="0" t="0" r="1905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247775"/>
                        </a:xfrm>
                        <a:prstGeom prst="rect">
                          <a:avLst/>
                        </a:prstGeom>
                        <a:solidFill>
                          <a:srgbClr val="FFFFFF"/>
                        </a:solidFill>
                        <a:ln w="9525">
                          <a:solidFill>
                            <a:srgbClr val="000000"/>
                          </a:solidFill>
                          <a:miter lim="800000"/>
                          <a:headEnd/>
                          <a:tailEnd/>
                        </a:ln>
                      </wps:spPr>
                      <wps:txbx>
                        <w:txbxContent>
                          <w:p w14:paraId="47C06A8A" w14:textId="77777777" w:rsidR="00F11FF9" w:rsidRPr="00913F95" w:rsidRDefault="00F11FF9" w:rsidP="00F11FF9">
                            <w:pPr>
                              <w:jc w:val="center"/>
                              <w:rPr>
                                <w:rFonts w:ascii="Century Gothic" w:hAnsi="Century Gothic"/>
                                <w:b/>
                                <w:sz w:val="20"/>
                                <w:szCs w:val="20"/>
                              </w:rPr>
                            </w:pPr>
                          </w:p>
                          <w:p w14:paraId="3BC402EE" w14:textId="7C53377C" w:rsidR="00F11FF9" w:rsidRDefault="00E35C82" w:rsidP="00E35C82">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F11FF9" w:rsidRPr="00913F95">
                              <w:rPr>
                                <w:rFonts w:ascii="Century Gothic" w:hAnsi="Century Gothic"/>
                                <w:sz w:val="20"/>
                                <w:szCs w:val="20"/>
                              </w:rPr>
                              <w:t xml:space="preserve">REPORTABLE: </w:t>
                            </w:r>
                            <w:r w:rsidR="00F11FF9">
                              <w:rPr>
                                <w:rFonts w:ascii="Century Gothic" w:hAnsi="Century Gothic"/>
                                <w:sz w:val="20"/>
                                <w:szCs w:val="20"/>
                              </w:rPr>
                              <w:t xml:space="preserve"> </w:t>
                            </w:r>
                            <w:r w:rsidR="0047188A">
                              <w:rPr>
                                <w:rFonts w:ascii="Century Gothic" w:hAnsi="Century Gothic"/>
                                <w:sz w:val="20"/>
                                <w:szCs w:val="20"/>
                              </w:rPr>
                              <w:t>NO</w:t>
                            </w:r>
                          </w:p>
                          <w:p w14:paraId="69B13349" w14:textId="524D58C4" w:rsidR="00F11FF9" w:rsidRPr="00913F95" w:rsidRDefault="00E35C82" w:rsidP="00E35C82">
                            <w:pPr>
                              <w:tabs>
                                <w:tab w:val="left" w:pos="900"/>
                              </w:tabs>
                              <w:ind w:left="900" w:hanging="720"/>
                              <w:rPr>
                                <w:rFonts w:ascii="Century Gothic" w:hAnsi="Century Gothic"/>
                                <w:sz w:val="20"/>
                                <w:szCs w:val="20"/>
                              </w:rPr>
                            </w:pPr>
                            <w:r w:rsidRPr="00913F95">
                              <w:rPr>
                                <w:rFonts w:ascii="Century Gothic" w:hAnsi="Century Gothic"/>
                                <w:sz w:val="20"/>
                                <w:szCs w:val="20"/>
                              </w:rPr>
                              <w:t>(2)</w:t>
                            </w:r>
                            <w:r w:rsidRPr="00913F95">
                              <w:rPr>
                                <w:rFonts w:ascii="Century Gothic" w:hAnsi="Century Gothic"/>
                                <w:sz w:val="20"/>
                                <w:szCs w:val="20"/>
                              </w:rPr>
                              <w:tab/>
                            </w:r>
                            <w:r w:rsidR="00F11FF9" w:rsidRPr="00913F95">
                              <w:rPr>
                                <w:rFonts w:ascii="Century Gothic" w:hAnsi="Century Gothic"/>
                                <w:sz w:val="20"/>
                                <w:szCs w:val="20"/>
                              </w:rPr>
                              <w:t xml:space="preserve">OF INTEREST TO </w:t>
                            </w:r>
                            <w:r w:rsidR="00F11FF9">
                              <w:rPr>
                                <w:rFonts w:ascii="Century Gothic" w:hAnsi="Century Gothic"/>
                                <w:sz w:val="20"/>
                                <w:szCs w:val="20"/>
                              </w:rPr>
                              <w:t xml:space="preserve">OTHER JUDGES: </w:t>
                            </w:r>
                            <w:r w:rsidR="0047188A">
                              <w:rPr>
                                <w:rFonts w:ascii="Century Gothic" w:hAnsi="Century Gothic"/>
                                <w:sz w:val="20"/>
                                <w:szCs w:val="20"/>
                              </w:rPr>
                              <w:t>NO</w:t>
                            </w:r>
                          </w:p>
                          <w:p w14:paraId="4E0954A8" w14:textId="3C8B97DA" w:rsidR="00F11FF9" w:rsidRPr="00913F95" w:rsidRDefault="00E35C82" w:rsidP="00E35C82">
                            <w:pPr>
                              <w:tabs>
                                <w:tab w:val="left" w:pos="900"/>
                              </w:tabs>
                              <w:ind w:left="900" w:hanging="720"/>
                              <w:rPr>
                                <w:rFonts w:ascii="Century Gothic" w:hAnsi="Century Gothic"/>
                                <w:sz w:val="20"/>
                                <w:szCs w:val="20"/>
                              </w:rPr>
                            </w:pPr>
                            <w:r w:rsidRPr="00913F95">
                              <w:rPr>
                                <w:rFonts w:ascii="Century Gothic" w:hAnsi="Century Gothic"/>
                                <w:sz w:val="20"/>
                                <w:szCs w:val="20"/>
                              </w:rPr>
                              <w:t>(3)</w:t>
                            </w:r>
                            <w:r w:rsidRPr="00913F95">
                              <w:rPr>
                                <w:rFonts w:ascii="Century Gothic" w:hAnsi="Century Gothic"/>
                                <w:sz w:val="20"/>
                                <w:szCs w:val="20"/>
                              </w:rPr>
                              <w:tab/>
                            </w:r>
                            <w:r w:rsidR="00F11FF9" w:rsidRPr="00913F95">
                              <w:rPr>
                                <w:rFonts w:ascii="Century Gothic" w:hAnsi="Century Gothic"/>
                                <w:sz w:val="20"/>
                                <w:szCs w:val="20"/>
                              </w:rPr>
                              <w:t>REVISED</w:t>
                            </w:r>
                            <w:r w:rsidR="00F11FF9">
                              <w:rPr>
                                <w:rFonts w:ascii="Century Gothic" w:hAnsi="Century Gothic"/>
                                <w:sz w:val="20"/>
                                <w:szCs w:val="20"/>
                              </w:rPr>
                              <w:t xml:space="preserve">. </w:t>
                            </w:r>
                          </w:p>
                          <w:p w14:paraId="57018267" w14:textId="77777777" w:rsidR="00F11FF9" w:rsidRDefault="00F11FF9" w:rsidP="00F11FF9">
                            <w:pPr>
                              <w:rPr>
                                <w:rFonts w:ascii="Century Gothic" w:hAnsi="Century Gothic"/>
                                <w:b/>
                                <w:sz w:val="18"/>
                                <w:szCs w:val="18"/>
                              </w:rPr>
                            </w:pPr>
                          </w:p>
                          <w:p w14:paraId="6FF48D4B" w14:textId="77777777" w:rsidR="00873D8D" w:rsidRDefault="003B36FA" w:rsidP="00F11FF9">
                            <w:pPr>
                              <w:rPr>
                                <w:rFonts w:ascii="Century Gothic" w:hAnsi="Century Gothic"/>
                                <w:b/>
                                <w:sz w:val="18"/>
                                <w:szCs w:val="18"/>
                              </w:rPr>
                            </w:pPr>
                            <w:r>
                              <w:rPr>
                                <w:rFonts w:ascii="Century Gothic" w:hAnsi="Century Gothic"/>
                                <w:b/>
                                <w:sz w:val="18"/>
                                <w:szCs w:val="18"/>
                              </w:rPr>
                              <w:t xml:space="preserve">      </w:t>
                            </w:r>
                            <w:r w:rsidR="00873D8D">
                              <w:rPr>
                                <w:rFonts w:ascii="Century Gothic" w:hAnsi="Century Gothic"/>
                                <w:b/>
                                <w:sz w:val="18"/>
                                <w:szCs w:val="18"/>
                              </w:rPr>
                              <w:t xml:space="preserve"> </w:t>
                            </w:r>
                            <w:r>
                              <w:rPr>
                                <w:rFonts w:ascii="Century Gothic" w:hAnsi="Century Gothic"/>
                                <w:b/>
                                <w:sz w:val="18"/>
                                <w:szCs w:val="18"/>
                              </w:rPr>
                              <w:t xml:space="preserve"> </w:t>
                            </w:r>
                            <w:r w:rsidR="00D221C4">
                              <w:rPr>
                                <w:rFonts w:ascii="Century Gothic" w:hAnsi="Century Gothic"/>
                                <w:b/>
                                <w:sz w:val="18"/>
                                <w:szCs w:val="18"/>
                              </w:rPr>
                              <w:t>……………………</w:t>
                            </w:r>
                            <w:r>
                              <w:rPr>
                                <w:rFonts w:ascii="Century Gothic" w:hAnsi="Century Gothic"/>
                                <w:b/>
                                <w:sz w:val="18"/>
                                <w:szCs w:val="18"/>
                              </w:rPr>
                              <w:t xml:space="preserve">                      ……………………….</w:t>
                            </w:r>
                          </w:p>
                          <w:p w14:paraId="13DD7B52" w14:textId="77777777" w:rsidR="00F11FF9" w:rsidRPr="00F11FF9" w:rsidRDefault="00F11FF9" w:rsidP="00F11FF9">
                            <w:pPr>
                              <w:rPr>
                                <w:rFonts w:ascii="Century Gothic" w:hAnsi="Century Gothic"/>
                                <w:sz w:val="18"/>
                                <w:szCs w:val="18"/>
                              </w:rPr>
                            </w:pPr>
                            <w:r>
                              <w:rPr>
                                <w:rFonts w:ascii="Century Gothic" w:hAnsi="Century Gothic"/>
                                <w:b/>
                                <w:sz w:val="18"/>
                                <w:szCs w:val="18"/>
                              </w:rPr>
                              <w:t xml:space="preserve">        </w:t>
                            </w:r>
                            <w:r w:rsidRPr="00E55F79">
                              <w:rPr>
                                <w:rFonts w:ascii="Century Gothic" w:hAnsi="Century Gothic"/>
                                <w:sz w:val="18"/>
                                <w:szCs w:val="18"/>
                              </w:rPr>
                              <w:t xml:space="preserve">         DATE</w:t>
                            </w:r>
                            <w:r w:rsidRPr="00E55F79">
                              <w:rPr>
                                <w:rFonts w:ascii="Century Gothic" w:hAnsi="Century Gothic"/>
                                <w:sz w:val="18"/>
                                <w:szCs w:val="18"/>
                              </w:rPr>
                              <w:tab/>
                            </w:r>
                            <w:r w:rsidRPr="00E55F79">
                              <w:rPr>
                                <w:rFonts w:ascii="Century Gothic" w:hAnsi="Century Gothic"/>
                                <w:sz w:val="18"/>
                                <w:szCs w:val="18"/>
                              </w:rPr>
                              <w:tab/>
                            </w:r>
                            <w:r w:rsidRPr="00E55F79">
                              <w:rPr>
                                <w:rFonts w:ascii="Century Gothic" w:hAnsi="Century Gothic"/>
                                <w:sz w:val="18"/>
                                <w:szCs w:val="18"/>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BB8035" id="_x0000_t202" coordsize="21600,21600" o:spt="202" path="m,l,21600r21600,l21600,xe">
                <v:stroke joinstyle="miter"/>
                <v:path gradientshapeok="t" o:connecttype="rect"/>
              </v:shapetype>
              <v:shape id="Text Box 3" o:spid="_x0000_s1026" type="#_x0000_t202" style="position:absolute;left:0;text-align:left;margin-left:-4.4pt;margin-top:5.2pt;width:252pt;height:98.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">
                <v:textbox>
                  <w:txbxContent>
                    <w:p w14:paraId="47C06A8A" w14:textId="77777777" w:rsidR="00F11FF9" w:rsidRPr="00913F95" w:rsidRDefault="00F11FF9" w:rsidP="00F11FF9">
                      <w:pPr>
                        <w:jc w:val="center"/>
                        <w:rPr>
                          <w:rFonts w:ascii="Century Gothic" w:hAnsi="Century Gothic"/>
                          <w:b/>
                          <w:sz w:val="20"/>
                          <w:szCs w:val="20"/>
                        </w:rPr>
                      </w:pPr>
                    </w:p>
                    <w:p w14:paraId="3BC402EE" w14:textId="7C53377C" w:rsidR="00F11FF9" w:rsidRDefault="00E35C82" w:rsidP="00E35C82">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F11FF9" w:rsidRPr="00913F95">
                        <w:rPr>
                          <w:rFonts w:ascii="Century Gothic" w:hAnsi="Century Gothic"/>
                          <w:sz w:val="20"/>
                          <w:szCs w:val="20"/>
                        </w:rPr>
                        <w:t xml:space="preserve">REPORTABLE: </w:t>
                      </w:r>
                      <w:r w:rsidR="00F11FF9">
                        <w:rPr>
                          <w:rFonts w:ascii="Century Gothic" w:hAnsi="Century Gothic"/>
                          <w:sz w:val="20"/>
                          <w:szCs w:val="20"/>
                        </w:rPr>
                        <w:t xml:space="preserve"> </w:t>
                      </w:r>
                      <w:r w:rsidR="0047188A">
                        <w:rPr>
                          <w:rFonts w:ascii="Century Gothic" w:hAnsi="Century Gothic"/>
                          <w:sz w:val="20"/>
                          <w:szCs w:val="20"/>
                        </w:rPr>
                        <w:t>NO</w:t>
                      </w:r>
                    </w:p>
                    <w:p w14:paraId="69B13349" w14:textId="524D58C4" w:rsidR="00F11FF9" w:rsidRPr="00913F95" w:rsidRDefault="00E35C82" w:rsidP="00E35C82">
                      <w:pPr>
                        <w:tabs>
                          <w:tab w:val="left" w:pos="900"/>
                        </w:tabs>
                        <w:ind w:left="900" w:hanging="720"/>
                        <w:rPr>
                          <w:rFonts w:ascii="Century Gothic" w:hAnsi="Century Gothic"/>
                          <w:sz w:val="20"/>
                          <w:szCs w:val="20"/>
                        </w:rPr>
                      </w:pPr>
                      <w:r w:rsidRPr="00913F95">
                        <w:rPr>
                          <w:rFonts w:ascii="Century Gothic" w:hAnsi="Century Gothic"/>
                          <w:sz w:val="20"/>
                          <w:szCs w:val="20"/>
                        </w:rPr>
                        <w:t>(2)</w:t>
                      </w:r>
                      <w:r w:rsidRPr="00913F95">
                        <w:rPr>
                          <w:rFonts w:ascii="Century Gothic" w:hAnsi="Century Gothic"/>
                          <w:sz w:val="20"/>
                          <w:szCs w:val="20"/>
                        </w:rPr>
                        <w:tab/>
                      </w:r>
                      <w:r w:rsidR="00F11FF9" w:rsidRPr="00913F95">
                        <w:rPr>
                          <w:rFonts w:ascii="Century Gothic" w:hAnsi="Century Gothic"/>
                          <w:sz w:val="20"/>
                          <w:szCs w:val="20"/>
                        </w:rPr>
                        <w:t xml:space="preserve">OF INTEREST TO </w:t>
                      </w:r>
                      <w:r w:rsidR="00F11FF9">
                        <w:rPr>
                          <w:rFonts w:ascii="Century Gothic" w:hAnsi="Century Gothic"/>
                          <w:sz w:val="20"/>
                          <w:szCs w:val="20"/>
                        </w:rPr>
                        <w:t xml:space="preserve">OTHER JUDGES: </w:t>
                      </w:r>
                      <w:r w:rsidR="0047188A">
                        <w:rPr>
                          <w:rFonts w:ascii="Century Gothic" w:hAnsi="Century Gothic"/>
                          <w:sz w:val="20"/>
                          <w:szCs w:val="20"/>
                        </w:rPr>
                        <w:t>NO</w:t>
                      </w:r>
                    </w:p>
                    <w:p w14:paraId="4E0954A8" w14:textId="3C8B97DA" w:rsidR="00F11FF9" w:rsidRPr="00913F95" w:rsidRDefault="00E35C82" w:rsidP="00E35C82">
                      <w:pPr>
                        <w:tabs>
                          <w:tab w:val="left" w:pos="900"/>
                        </w:tabs>
                        <w:ind w:left="900" w:hanging="720"/>
                        <w:rPr>
                          <w:rFonts w:ascii="Century Gothic" w:hAnsi="Century Gothic"/>
                          <w:sz w:val="20"/>
                          <w:szCs w:val="20"/>
                        </w:rPr>
                      </w:pPr>
                      <w:r w:rsidRPr="00913F95">
                        <w:rPr>
                          <w:rFonts w:ascii="Century Gothic" w:hAnsi="Century Gothic"/>
                          <w:sz w:val="20"/>
                          <w:szCs w:val="20"/>
                        </w:rPr>
                        <w:t>(3)</w:t>
                      </w:r>
                      <w:r w:rsidRPr="00913F95">
                        <w:rPr>
                          <w:rFonts w:ascii="Century Gothic" w:hAnsi="Century Gothic"/>
                          <w:sz w:val="20"/>
                          <w:szCs w:val="20"/>
                        </w:rPr>
                        <w:tab/>
                      </w:r>
                      <w:r w:rsidR="00F11FF9" w:rsidRPr="00913F95">
                        <w:rPr>
                          <w:rFonts w:ascii="Century Gothic" w:hAnsi="Century Gothic"/>
                          <w:sz w:val="20"/>
                          <w:szCs w:val="20"/>
                        </w:rPr>
                        <w:t>REVISED</w:t>
                      </w:r>
                      <w:r w:rsidR="00F11FF9">
                        <w:rPr>
                          <w:rFonts w:ascii="Century Gothic" w:hAnsi="Century Gothic"/>
                          <w:sz w:val="20"/>
                          <w:szCs w:val="20"/>
                        </w:rPr>
                        <w:t xml:space="preserve">. </w:t>
                      </w:r>
                    </w:p>
                    <w:p w14:paraId="57018267" w14:textId="77777777" w:rsidR="00F11FF9" w:rsidRDefault="00F11FF9" w:rsidP="00F11FF9">
                      <w:pPr>
                        <w:rPr>
                          <w:rFonts w:ascii="Century Gothic" w:hAnsi="Century Gothic"/>
                          <w:b/>
                          <w:sz w:val="18"/>
                          <w:szCs w:val="18"/>
                        </w:rPr>
                      </w:pPr>
                    </w:p>
                    <w:p w14:paraId="6FF48D4B" w14:textId="77777777" w:rsidR="00873D8D" w:rsidRDefault="003B36FA" w:rsidP="00F11FF9">
                      <w:pPr>
                        <w:rPr>
                          <w:rFonts w:ascii="Century Gothic" w:hAnsi="Century Gothic"/>
                          <w:b/>
                          <w:sz w:val="18"/>
                          <w:szCs w:val="18"/>
                        </w:rPr>
                      </w:pPr>
                      <w:r>
                        <w:rPr>
                          <w:rFonts w:ascii="Century Gothic" w:hAnsi="Century Gothic"/>
                          <w:b/>
                          <w:sz w:val="18"/>
                          <w:szCs w:val="18"/>
                        </w:rPr>
                        <w:t xml:space="preserve">      </w:t>
                      </w:r>
                      <w:r w:rsidR="00873D8D">
                        <w:rPr>
                          <w:rFonts w:ascii="Century Gothic" w:hAnsi="Century Gothic"/>
                          <w:b/>
                          <w:sz w:val="18"/>
                          <w:szCs w:val="18"/>
                        </w:rPr>
                        <w:t xml:space="preserve"> </w:t>
                      </w:r>
                      <w:r>
                        <w:rPr>
                          <w:rFonts w:ascii="Century Gothic" w:hAnsi="Century Gothic"/>
                          <w:b/>
                          <w:sz w:val="18"/>
                          <w:szCs w:val="18"/>
                        </w:rPr>
                        <w:t xml:space="preserve"> </w:t>
                      </w:r>
                      <w:r w:rsidR="00D221C4">
                        <w:rPr>
                          <w:rFonts w:ascii="Century Gothic" w:hAnsi="Century Gothic"/>
                          <w:b/>
                          <w:sz w:val="18"/>
                          <w:szCs w:val="18"/>
                        </w:rPr>
                        <w:t>……………………</w:t>
                      </w:r>
                      <w:r>
                        <w:rPr>
                          <w:rFonts w:ascii="Century Gothic" w:hAnsi="Century Gothic"/>
                          <w:b/>
                          <w:sz w:val="18"/>
                          <w:szCs w:val="18"/>
                        </w:rPr>
                        <w:t xml:space="preserve">                      ……………………….</w:t>
                      </w:r>
                    </w:p>
                    <w:p w14:paraId="13DD7B52" w14:textId="77777777" w:rsidR="00F11FF9" w:rsidRPr="00F11FF9" w:rsidRDefault="00F11FF9" w:rsidP="00F11FF9">
                      <w:pPr>
                        <w:rPr>
                          <w:rFonts w:ascii="Century Gothic" w:hAnsi="Century Gothic"/>
                          <w:sz w:val="18"/>
                          <w:szCs w:val="18"/>
                        </w:rPr>
                      </w:pPr>
                      <w:r>
                        <w:rPr>
                          <w:rFonts w:ascii="Century Gothic" w:hAnsi="Century Gothic"/>
                          <w:b/>
                          <w:sz w:val="18"/>
                          <w:szCs w:val="18"/>
                        </w:rPr>
                        <w:t xml:space="preserve">        </w:t>
                      </w:r>
                      <w:r w:rsidRPr="00E55F79">
                        <w:rPr>
                          <w:rFonts w:ascii="Century Gothic" w:hAnsi="Century Gothic"/>
                          <w:sz w:val="18"/>
                          <w:szCs w:val="18"/>
                        </w:rPr>
                        <w:t xml:space="preserve">         DATE</w:t>
                      </w:r>
                      <w:r w:rsidRPr="00E55F79">
                        <w:rPr>
                          <w:rFonts w:ascii="Century Gothic" w:hAnsi="Century Gothic"/>
                          <w:sz w:val="18"/>
                          <w:szCs w:val="18"/>
                        </w:rPr>
                        <w:tab/>
                      </w:r>
                      <w:r w:rsidRPr="00E55F79">
                        <w:rPr>
                          <w:rFonts w:ascii="Century Gothic" w:hAnsi="Century Gothic"/>
                          <w:sz w:val="18"/>
                          <w:szCs w:val="18"/>
                        </w:rPr>
                        <w:tab/>
                      </w:r>
                      <w:r w:rsidRPr="00E55F79">
                        <w:rPr>
                          <w:rFonts w:ascii="Century Gothic" w:hAnsi="Century Gothic"/>
                          <w:sz w:val="18"/>
                          <w:szCs w:val="18"/>
                        </w:rPr>
                        <w:tab/>
                        <w:t xml:space="preserve">        SIGNATURE</w:t>
                      </w:r>
                    </w:p>
                  </w:txbxContent>
                </v:textbox>
                <w10:wrap anchorx="margin"/>
              </v:shape>
            </w:pict>
          </mc:Fallback>
        </mc:AlternateContent>
      </w:r>
    </w:p>
    <w:p w14:paraId="688ACF6A" w14:textId="77777777" w:rsidR="00F11FF9" w:rsidRPr="002B5823" w:rsidRDefault="00F11FF9" w:rsidP="00F11FF9">
      <w:pPr>
        <w:rPr>
          <w:rFonts w:ascii="Arial" w:hAnsi="Arial" w:cs="Arial"/>
          <w:b/>
          <w:color w:val="000000" w:themeColor="text1"/>
        </w:rPr>
      </w:pPr>
    </w:p>
    <w:p w14:paraId="304415B6" w14:textId="77777777" w:rsidR="00F11FF9" w:rsidRPr="002B5823" w:rsidRDefault="00F11FF9" w:rsidP="00F11FF9">
      <w:pPr>
        <w:rPr>
          <w:rFonts w:ascii="Arial" w:hAnsi="Arial" w:cs="Arial"/>
          <w:color w:val="000000" w:themeColor="text1"/>
        </w:rPr>
      </w:pPr>
    </w:p>
    <w:p w14:paraId="3F01B8CA" w14:textId="77777777" w:rsidR="00F11FF9" w:rsidRPr="002B5823" w:rsidRDefault="00F11FF9" w:rsidP="00F11FF9">
      <w:pPr>
        <w:rPr>
          <w:rFonts w:ascii="Arial" w:hAnsi="Arial" w:cs="Arial"/>
          <w:color w:val="000000" w:themeColor="text1"/>
        </w:rPr>
      </w:pPr>
    </w:p>
    <w:p w14:paraId="401AF6C6" w14:textId="77777777" w:rsidR="00F11FF9" w:rsidRPr="002B5823" w:rsidRDefault="00F11FF9" w:rsidP="00F11FF9">
      <w:pPr>
        <w:rPr>
          <w:rFonts w:ascii="Arial" w:hAnsi="Arial" w:cs="Arial"/>
          <w:color w:val="000000" w:themeColor="text1"/>
        </w:rPr>
      </w:pPr>
    </w:p>
    <w:p w14:paraId="6579D827" w14:textId="77777777" w:rsidR="00F11FF9" w:rsidRPr="002B5823" w:rsidRDefault="00F11FF9" w:rsidP="00F11FF9">
      <w:pPr>
        <w:rPr>
          <w:rFonts w:ascii="Arial" w:hAnsi="Arial" w:cs="Arial"/>
          <w:color w:val="000000" w:themeColor="text1"/>
        </w:rPr>
      </w:pPr>
    </w:p>
    <w:p w14:paraId="0E664249" w14:textId="77777777" w:rsidR="00F11FF9" w:rsidRPr="002B5823" w:rsidRDefault="00F11FF9" w:rsidP="00F11FF9">
      <w:pPr>
        <w:rPr>
          <w:rFonts w:ascii="Arial" w:hAnsi="Arial" w:cs="Arial"/>
          <w:color w:val="000000" w:themeColor="text1"/>
        </w:rPr>
      </w:pPr>
    </w:p>
    <w:p w14:paraId="0409B680" w14:textId="77777777" w:rsidR="004B230B" w:rsidRPr="002B5823" w:rsidRDefault="004B230B">
      <w:pPr>
        <w:rPr>
          <w:rFonts w:ascii="Arial" w:hAnsi="Arial" w:cs="Arial"/>
          <w:color w:val="000000" w:themeColor="text1"/>
        </w:rPr>
      </w:pPr>
    </w:p>
    <w:tbl>
      <w:tblPr>
        <w:tblStyle w:val="TableGrid"/>
        <w:tblW w:w="92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5"/>
        <w:gridCol w:w="4505"/>
        <w:gridCol w:w="220"/>
      </w:tblGrid>
      <w:tr w:rsidR="00E774E7" w:rsidRPr="002B5823" w14:paraId="5E01B62D" w14:textId="77777777" w:rsidTr="008D200F">
        <w:trPr>
          <w:gridAfter w:val="1"/>
          <w:wAfter w:w="220" w:type="dxa"/>
        </w:trPr>
        <w:tc>
          <w:tcPr>
            <w:tcW w:w="4505" w:type="dxa"/>
          </w:tcPr>
          <w:p w14:paraId="03AB0706" w14:textId="77777777" w:rsidR="008D200F" w:rsidRPr="002B5823" w:rsidRDefault="008D200F" w:rsidP="00116119">
            <w:pPr>
              <w:rPr>
                <w:rFonts w:ascii="Arial" w:hAnsi="Arial" w:cs="Arial"/>
                <w:color w:val="000000" w:themeColor="text1"/>
                <w:lang w:val="en-US"/>
              </w:rPr>
            </w:pPr>
            <w:r w:rsidRPr="002B5823">
              <w:rPr>
                <w:rFonts w:ascii="Arial" w:hAnsi="Arial" w:cs="Arial"/>
                <w:color w:val="000000" w:themeColor="text1"/>
                <w:lang w:val="en-US"/>
              </w:rPr>
              <w:t>In the matter between:</w:t>
            </w:r>
          </w:p>
          <w:p w14:paraId="53391F56" w14:textId="77777777" w:rsidR="008D200F" w:rsidRPr="002B5823" w:rsidRDefault="008D200F" w:rsidP="00116119">
            <w:pPr>
              <w:rPr>
                <w:rFonts w:ascii="Arial" w:hAnsi="Arial" w:cs="Arial"/>
                <w:b/>
                <w:bCs/>
                <w:color w:val="000000" w:themeColor="text1"/>
                <w:lang w:val="en-US"/>
              </w:rPr>
            </w:pPr>
          </w:p>
          <w:p w14:paraId="5173FBE2" w14:textId="77777777" w:rsidR="008D200F" w:rsidRPr="002B5823" w:rsidRDefault="0047188A" w:rsidP="00116119">
            <w:pPr>
              <w:rPr>
                <w:rFonts w:ascii="Arial" w:hAnsi="Arial" w:cs="Arial"/>
                <w:b/>
                <w:bCs/>
                <w:color w:val="000000" w:themeColor="text1"/>
                <w:lang w:val="en-US"/>
              </w:rPr>
            </w:pPr>
            <w:r w:rsidRPr="002B5823">
              <w:rPr>
                <w:rFonts w:ascii="Arial" w:hAnsi="Arial" w:cs="Arial"/>
                <w:b/>
                <w:bCs/>
                <w:color w:val="000000" w:themeColor="text1"/>
                <w:lang w:val="en-US"/>
              </w:rPr>
              <w:t>IKENANANUO OGECHUKUO BRIGHT</w:t>
            </w:r>
          </w:p>
        </w:tc>
        <w:tc>
          <w:tcPr>
            <w:tcW w:w="4505" w:type="dxa"/>
          </w:tcPr>
          <w:p w14:paraId="6992FE8A" w14:textId="77777777" w:rsidR="008D200F" w:rsidRPr="002B5823" w:rsidRDefault="008D200F" w:rsidP="00116119">
            <w:pPr>
              <w:jc w:val="right"/>
              <w:rPr>
                <w:rFonts w:ascii="Arial" w:hAnsi="Arial" w:cs="Arial"/>
                <w:color w:val="000000" w:themeColor="text1"/>
                <w:lang w:val="en-US"/>
              </w:rPr>
            </w:pPr>
          </w:p>
          <w:p w14:paraId="473BF47C" w14:textId="77777777" w:rsidR="008D200F" w:rsidRPr="002B5823" w:rsidRDefault="008D200F" w:rsidP="00116119">
            <w:pPr>
              <w:jc w:val="right"/>
              <w:rPr>
                <w:rFonts w:ascii="Arial" w:hAnsi="Arial" w:cs="Arial"/>
                <w:color w:val="000000" w:themeColor="text1"/>
                <w:lang w:val="en-US"/>
              </w:rPr>
            </w:pPr>
          </w:p>
          <w:p w14:paraId="621F18A7" w14:textId="77777777" w:rsidR="008D200F" w:rsidRPr="002B5823" w:rsidRDefault="00EB179B" w:rsidP="00116119">
            <w:pPr>
              <w:jc w:val="right"/>
              <w:rPr>
                <w:rFonts w:ascii="Arial" w:hAnsi="Arial" w:cs="Arial"/>
                <w:color w:val="000000" w:themeColor="text1"/>
                <w:lang w:val="en-US"/>
              </w:rPr>
            </w:pPr>
            <w:r w:rsidRPr="002B5823">
              <w:rPr>
                <w:rFonts w:ascii="Arial" w:hAnsi="Arial" w:cs="Arial"/>
                <w:color w:val="000000" w:themeColor="text1"/>
                <w:lang w:val="en-US"/>
              </w:rPr>
              <w:t>A</w:t>
            </w:r>
            <w:r w:rsidR="008D200F" w:rsidRPr="002B5823">
              <w:rPr>
                <w:rFonts w:ascii="Arial" w:hAnsi="Arial" w:cs="Arial"/>
                <w:color w:val="000000" w:themeColor="text1"/>
                <w:lang w:val="en-US"/>
              </w:rPr>
              <w:t>pplicant</w:t>
            </w:r>
          </w:p>
        </w:tc>
      </w:tr>
      <w:tr w:rsidR="00E774E7" w:rsidRPr="002B5823" w14:paraId="3CD3949B" w14:textId="77777777" w:rsidTr="008D200F">
        <w:trPr>
          <w:gridAfter w:val="1"/>
          <w:wAfter w:w="220" w:type="dxa"/>
        </w:trPr>
        <w:tc>
          <w:tcPr>
            <w:tcW w:w="4505" w:type="dxa"/>
          </w:tcPr>
          <w:p w14:paraId="02B6D1B0" w14:textId="77777777" w:rsidR="00EB179B" w:rsidRPr="002B5823" w:rsidRDefault="00EB179B" w:rsidP="00116119">
            <w:pPr>
              <w:rPr>
                <w:rFonts w:ascii="Arial" w:hAnsi="Arial" w:cs="Arial"/>
                <w:color w:val="000000" w:themeColor="text1"/>
                <w:lang w:val="en-US"/>
              </w:rPr>
            </w:pPr>
          </w:p>
          <w:p w14:paraId="3A9711A6" w14:textId="77777777" w:rsidR="008D200F" w:rsidRPr="002B5823" w:rsidRDefault="00EB179B" w:rsidP="00116119">
            <w:pPr>
              <w:rPr>
                <w:rFonts w:ascii="Arial" w:hAnsi="Arial" w:cs="Arial"/>
                <w:color w:val="000000" w:themeColor="text1"/>
                <w:lang w:val="en-US"/>
              </w:rPr>
            </w:pPr>
            <w:r w:rsidRPr="002B5823">
              <w:rPr>
                <w:rFonts w:ascii="Arial" w:hAnsi="Arial" w:cs="Arial"/>
                <w:color w:val="000000" w:themeColor="text1"/>
                <w:lang w:val="en-US"/>
              </w:rPr>
              <w:t>a</w:t>
            </w:r>
            <w:r w:rsidR="008D200F" w:rsidRPr="002B5823">
              <w:rPr>
                <w:rFonts w:ascii="Arial" w:hAnsi="Arial" w:cs="Arial"/>
                <w:color w:val="000000" w:themeColor="text1"/>
                <w:lang w:val="en-US"/>
              </w:rPr>
              <w:t>nd</w:t>
            </w:r>
          </w:p>
          <w:p w14:paraId="508CD670" w14:textId="77777777" w:rsidR="008D200F" w:rsidRPr="002B5823" w:rsidRDefault="008D200F" w:rsidP="00116119">
            <w:pPr>
              <w:rPr>
                <w:rFonts w:ascii="Arial" w:hAnsi="Arial" w:cs="Arial"/>
                <w:color w:val="000000" w:themeColor="text1"/>
                <w:lang w:val="en-US"/>
              </w:rPr>
            </w:pPr>
          </w:p>
        </w:tc>
        <w:tc>
          <w:tcPr>
            <w:tcW w:w="4505" w:type="dxa"/>
          </w:tcPr>
          <w:p w14:paraId="460B5BF5" w14:textId="77777777" w:rsidR="008D200F" w:rsidRPr="002B5823" w:rsidRDefault="008D200F" w:rsidP="00116119">
            <w:pPr>
              <w:rPr>
                <w:rFonts w:ascii="Arial" w:hAnsi="Arial" w:cs="Arial"/>
                <w:color w:val="000000" w:themeColor="text1"/>
                <w:lang w:val="en-US"/>
              </w:rPr>
            </w:pPr>
          </w:p>
        </w:tc>
      </w:tr>
      <w:tr w:rsidR="00E774E7" w:rsidRPr="002B5823" w14:paraId="4B811C67" w14:textId="77777777" w:rsidTr="008D200F">
        <w:trPr>
          <w:gridAfter w:val="1"/>
          <w:wAfter w:w="220" w:type="dxa"/>
        </w:trPr>
        <w:tc>
          <w:tcPr>
            <w:tcW w:w="4505" w:type="dxa"/>
          </w:tcPr>
          <w:p w14:paraId="1BF8C68B" w14:textId="77777777" w:rsidR="008D200F" w:rsidRPr="002B5823" w:rsidRDefault="0047188A" w:rsidP="00116119">
            <w:pPr>
              <w:rPr>
                <w:rFonts w:ascii="Arial" w:hAnsi="Arial" w:cs="Arial"/>
                <w:b/>
                <w:bCs/>
                <w:color w:val="000000" w:themeColor="text1"/>
                <w:lang w:val="en-US"/>
              </w:rPr>
            </w:pPr>
            <w:r w:rsidRPr="002B5823">
              <w:rPr>
                <w:rFonts w:ascii="Arial" w:hAnsi="Arial" w:cs="Arial"/>
                <w:b/>
                <w:bCs/>
                <w:color w:val="000000" w:themeColor="text1"/>
                <w:lang w:val="en-US"/>
              </w:rPr>
              <w:t>KINGS AND QUEENS REAL FUNERAL SERVICES</w:t>
            </w:r>
          </w:p>
        </w:tc>
        <w:tc>
          <w:tcPr>
            <w:tcW w:w="4505" w:type="dxa"/>
          </w:tcPr>
          <w:p w14:paraId="31E579DF" w14:textId="77777777" w:rsidR="008D200F" w:rsidRPr="002B5823" w:rsidRDefault="0047188A" w:rsidP="00116119">
            <w:pPr>
              <w:jc w:val="right"/>
              <w:rPr>
                <w:rFonts w:ascii="Arial" w:hAnsi="Arial" w:cs="Arial"/>
                <w:color w:val="000000" w:themeColor="text1"/>
                <w:lang w:val="en-US"/>
              </w:rPr>
            </w:pPr>
            <w:r w:rsidRPr="002B5823">
              <w:rPr>
                <w:rFonts w:ascii="Arial" w:hAnsi="Arial" w:cs="Arial"/>
                <w:color w:val="000000" w:themeColor="text1"/>
                <w:lang w:val="en-US"/>
              </w:rPr>
              <w:t>First r</w:t>
            </w:r>
            <w:r w:rsidR="008D200F" w:rsidRPr="002B5823">
              <w:rPr>
                <w:rFonts w:ascii="Arial" w:hAnsi="Arial" w:cs="Arial"/>
                <w:color w:val="000000" w:themeColor="text1"/>
                <w:lang w:val="en-US"/>
              </w:rPr>
              <w:t>espondent</w:t>
            </w:r>
          </w:p>
        </w:tc>
      </w:tr>
      <w:tr w:rsidR="00E774E7" w:rsidRPr="002B5823" w14:paraId="5DD9D1D5" w14:textId="77777777" w:rsidTr="008D200F">
        <w:trPr>
          <w:gridAfter w:val="1"/>
          <w:wAfter w:w="220" w:type="dxa"/>
        </w:trPr>
        <w:tc>
          <w:tcPr>
            <w:tcW w:w="4505" w:type="dxa"/>
          </w:tcPr>
          <w:p w14:paraId="332B84B1" w14:textId="77777777" w:rsidR="00EB179B" w:rsidRPr="002B5823" w:rsidRDefault="00EB179B" w:rsidP="00116119">
            <w:pPr>
              <w:rPr>
                <w:rFonts w:ascii="Arial" w:hAnsi="Arial" w:cs="Arial"/>
                <w:b/>
                <w:bCs/>
                <w:color w:val="000000" w:themeColor="text1"/>
                <w:lang w:val="en-US"/>
              </w:rPr>
            </w:pPr>
          </w:p>
          <w:p w14:paraId="278E5C02" w14:textId="77777777" w:rsidR="008D200F" w:rsidRPr="002B5823" w:rsidRDefault="0047188A" w:rsidP="00116119">
            <w:pPr>
              <w:rPr>
                <w:rFonts w:ascii="Arial" w:hAnsi="Arial" w:cs="Arial"/>
                <w:b/>
                <w:bCs/>
                <w:color w:val="000000" w:themeColor="text1"/>
                <w:lang w:val="en-US"/>
              </w:rPr>
            </w:pPr>
            <w:r w:rsidRPr="002B5823">
              <w:rPr>
                <w:rFonts w:ascii="Arial" w:hAnsi="Arial" w:cs="Arial"/>
                <w:b/>
                <w:bCs/>
                <w:color w:val="000000" w:themeColor="text1"/>
                <w:lang w:val="en-US"/>
              </w:rPr>
              <w:t>G3 HOLDINGS T/A G3 INVESTIGATIONS AND SECURITY SERVICES</w:t>
            </w:r>
          </w:p>
          <w:p w14:paraId="1B6C8D2C" w14:textId="77777777" w:rsidR="00EB179B" w:rsidRPr="002B5823" w:rsidRDefault="00EB179B" w:rsidP="00116119">
            <w:pPr>
              <w:rPr>
                <w:rFonts w:ascii="Arial" w:hAnsi="Arial" w:cs="Arial"/>
                <w:color w:val="000000" w:themeColor="text1"/>
                <w:lang w:val="en-US"/>
              </w:rPr>
            </w:pPr>
          </w:p>
        </w:tc>
        <w:tc>
          <w:tcPr>
            <w:tcW w:w="4505" w:type="dxa"/>
          </w:tcPr>
          <w:p w14:paraId="2E709FA9" w14:textId="77777777" w:rsidR="008D200F" w:rsidRPr="002B5823" w:rsidRDefault="008D200F" w:rsidP="00116119">
            <w:pPr>
              <w:jc w:val="right"/>
              <w:rPr>
                <w:rFonts w:ascii="Arial" w:hAnsi="Arial" w:cs="Arial"/>
                <w:color w:val="000000" w:themeColor="text1"/>
                <w:lang w:val="en-US"/>
              </w:rPr>
            </w:pPr>
          </w:p>
          <w:p w14:paraId="31A9E598" w14:textId="77777777" w:rsidR="0047188A" w:rsidRPr="002B5823" w:rsidRDefault="0047188A" w:rsidP="00116119">
            <w:pPr>
              <w:jc w:val="right"/>
              <w:rPr>
                <w:rFonts w:ascii="Arial" w:hAnsi="Arial" w:cs="Arial"/>
                <w:color w:val="000000" w:themeColor="text1"/>
                <w:lang w:val="en-US"/>
              </w:rPr>
            </w:pPr>
            <w:r w:rsidRPr="002B5823">
              <w:rPr>
                <w:rFonts w:ascii="Arial" w:hAnsi="Arial" w:cs="Arial"/>
                <w:color w:val="000000" w:themeColor="text1"/>
                <w:lang w:val="en-US"/>
              </w:rPr>
              <w:t>Second respondent</w:t>
            </w:r>
          </w:p>
        </w:tc>
      </w:tr>
      <w:tr w:rsidR="00E774E7" w:rsidRPr="002B5823" w14:paraId="002A4FD7" w14:textId="77777777" w:rsidTr="008D200F">
        <w:trPr>
          <w:gridAfter w:val="1"/>
          <w:wAfter w:w="220" w:type="dxa"/>
        </w:trPr>
        <w:tc>
          <w:tcPr>
            <w:tcW w:w="4505" w:type="dxa"/>
          </w:tcPr>
          <w:p w14:paraId="0853BB83" w14:textId="77777777" w:rsidR="008D200F" w:rsidRPr="002B5823" w:rsidRDefault="0047188A" w:rsidP="00116119">
            <w:pPr>
              <w:rPr>
                <w:rFonts w:ascii="Arial" w:hAnsi="Arial" w:cs="Arial"/>
                <w:b/>
                <w:bCs/>
                <w:color w:val="000000" w:themeColor="text1"/>
                <w:lang w:val="en-US"/>
              </w:rPr>
            </w:pPr>
            <w:r w:rsidRPr="002B5823">
              <w:rPr>
                <w:rFonts w:ascii="Arial" w:hAnsi="Arial" w:cs="Arial"/>
                <w:b/>
                <w:bCs/>
                <w:color w:val="000000" w:themeColor="text1"/>
                <w:lang w:val="en-US"/>
              </w:rPr>
              <w:t>TIMER ESTATES (PTY) LTD</w:t>
            </w:r>
          </w:p>
        </w:tc>
        <w:tc>
          <w:tcPr>
            <w:tcW w:w="4505" w:type="dxa"/>
          </w:tcPr>
          <w:p w14:paraId="0F4D4FFC" w14:textId="77777777" w:rsidR="008D200F" w:rsidRPr="002B5823" w:rsidRDefault="0047188A" w:rsidP="00116119">
            <w:pPr>
              <w:jc w:val="right"/>
              <w:rPr>
                <w:rFonts w:ascii="Arial" w:hAnsi="Arial" w:cs="Arial"/>
                <w:color w:val="000000" w:themeColor="text1"/>
                <w:lang w:val="en-US"/>
              </w:rPr>
            </w:pPr>
            <w:r w:rsidRPr="002B5823">
              <w:rPr>
                <w:rFonts w:ascii="Arial" w:hAnsi="Arial" w:cs="Arial"/>
                <w:color w:val="000000" w:themeColor="text1"/>
                <w:lang w:val="en-US"/>
              </w:rPr>
              <w:t>Third respondent</w:t>
            </w:r>
          </w:p>
          <w:p w14:paraId="24021D49" w14:textId="77777777" w:rsidR="00EB179B" w:rsidRPr="002B5823" w:rsidRDefault="00EB179B" w:rsidP="00116119">
            <w:pPr>
              <w:jc w:val="right"/>
              <w:rPr>
                <w:rFonts w:ascii="Arial" w:hAnsi="Arial" w:cs="Arial"/>
                <w:color w:val="000000" w:themeColor="text1"/>
                <w:lang w:val="en-US"/>
              </w:rPr>
            </w:pPr>
          </w:p>
        </w:tc>
      </w:tr>
      <w:tr w:rsidR="00E774E7" w:rsidRPr="002B5823" w14:paraId="4E8CBDB5" w14:textId="77777777" w:rsidTr="008D200F">
        <w:trPr>
          <w:gridAfter w:val="1"/>
          <w:wAfter w:w="220" w:type="dxa"/>
        </w:trPr>
        <w:tc>
          <w:tcPr>
            <w:tcW w:w="4505" w:type="dxa"/>
          </w:tcPr>
          <w:p w14:paraId="7245A82B" w14:textId="77777777" w:rsidR="008D200F" w:rsidRPr="002B5823" w:rsidRDefault="008D200F" w:rsidP="00116119">
            <w:pPr>
              <w:rPr>
                <w:rFonts w:ascii="Arial" w:hAnsi="Arial" w:cs="Arial"/>
                <w:b/>
                <w:bCs/>
                <w:color w:val="000000" w:themeColor="text1"/>
                <w:lang w:val="en-US"/>
              </w:rPr>
            </w:pPr>
          </w:p>
          <w:p w14:paraId="75517B3F" w14:textId="77777777" w:rsidR="008D200F" w:rsidRPr="002B5823" w:rsidRDefault="008D200F" w:rsidP="00116119">
            <w:pPr>
              <w:rPr>
                <w:rFonts w:ascii="Arial" w:hAnsi="Arial" w:cs="Arial"/>
                <w:b/>
                <w:bCs/>
                <w:color w:val="000000" w:themeColor="text1"/>
                <w:lang w:val="en-US"/>
              </w:rPr>
            </w:pPr>
          </w:p>
        </w:tc>
        <w:tc>
          <w:tcPr>
            <w:tcW w:w="4505" w:type="dxa"/>
          </w:tcPr>
          <w:p w14:paraId="51F21141" w14:textId="77777777" w:rsidR="008D200F" w:rsidRPr="002B5823" w:rsidRDefault="008D200F" w:rsidP="00116119">
            <w:pPr>
              <w:jc w:val="right"/>
              <w:rPr>
                <w:rFonts w:ascii="Arial" w:hAnsi="Arial" w:cs="Arial"/>
                <w:color w:val="000000" w:themeColor="text1"/>
                <w:lang w:val="en-US"/>
              </w:rPr>
            </w:pPr>
          </w:p>
        </w:tc>
      </w:tr>
      <w:tr w:rsidR="00E774E7" w:rsidRPr="002B5823" w14:paraId="383FA631" w14:textId="77777777" w:rsidTr="008D200F">
        <w:tc>
          <w:tcPr>
            <w:tcW w:w="9230" w:type="dxa"/>
            <w:gridSpan w:val="3"/>
            <w:tcBorders>
              <w:top w:val="single" w:sz="4" w:space="0" w:color="auto"/>
              <w:bottom w:val="single" w:sz="4" w:space="0" w:color="auto"/>
            </w:tcBorders>
          </w:tcPr>
          <w:p w14:paraId="0856B375" w14:textId="77777777" w:rsidR="00122B14" w:rsidRPr="002B5823" w:rsidRDefault="00122B14" w:rsidP="00122B14">
            <w:pPr>
              <w:spacing w:after="240"/>
              <w:jc w:val="center"/>
              <w:rPr>
                <w:rFonts w:ascii="Arial" w:hAnsi="Arial" w:cs="Arial"/>
                <w:b/>
                <w:bCs/>
                <w:color w:val="000000" w:themeColor="text1"/>
              </w:rPr>
            </w:pPr>
          </w:p>
          <w:p w14:paraId="012F35CC" w14:textId="77777777" w:rsidR="00652309" w:rsidRPr="002B5823" w:rsidRDefault="00652309" w:rsidP="00122B14">
            <w:pPr>
              <w:spacing w:after="240"/>
              <w:jc w:val="center"/>
              <w:rPr>
                <w:rFonts w:ascii="Arial" w:hAnsi="Arial" w:cs="Arial"/>
                <w:b/>
                <w:bCs/>
                <w:color w:val="000000" w:themeColor="text1"/>
              </w:rPr>
            </w:pPr>
            <w:r w:rsidRPr="002B5823">
              <w:rPr>
                <w:rFonts w:ascii="Arial" w:hAnsi="Arial" w:cs="Arial"/>
                <w:b/>
                <w:bCs/>
                <w:color w:val="000000" w:themeColor="text1"/>
              </w:rPr>
              <w:t>JUDGMENT</w:t>
            </w:r>
          </w:p>
          <w:p w14:paraId="0B2F7F9F" w14:textId="77777777" w:rsidR="0047188A" w:rsidRPr="002B5823" w:rsidRDefault="0047188A" w:rsidP="00122B14">
            <w:pPr>
              <w:spacing w:after="240"/>
              <w:jc w:val="center"/>
              <w:rPr>
                <w:rFonts w:ascii="Arial" w:hAnsi="Arial" w:cs="Arial"/>
                <w:b/>
                <w:bCs/>
                <w:color w:val="000000" w:themeColor="text1"/>
              </w:rPr>
            </w:pPr>
          </w:p>
        </w:tc>
      </w:tr>
    </w:tbl>
    <w:p w14:paraId="7CD78A50" w14:textId="77777777" w:rsidR="00F11FF9" w:rsidRPr="002B5823" w:rsidRDefault="003E2BFF" w:rsidP="00330C8A">
      <w:pPr>
        <w:pStyle w:val="Heading1"/>
        <w:spacing w:before="600"/>
        <w:rPr>
          <w:rFonts w:cs="Arial"/>
          <w:color w:val="000000" w:themeColor="text1"/>
          <w:szCs w:val="24"/>
          <w:u w:val="single"/>
          <w:lang w:val="en-US"/>
        </w:rPr>
      </w:pPr>
      <w:r w:rsidRPr="002B5823">
        <w:rPr>
          <w:rFonts w:cs="Arial"/>
          <w:color w:val="000000" w:themeColor="text1"/>
          <w:szCs w:val="24"/>
          <w:u w:val="single"/>
          <w:lang w:val="en-US"/>
        </w:rPr>
        <w:lastRenderedPageBreak/>
        <w:t>engelbrecht</w:t>
      </w:r>
      <w:r w:rsidR="00F11FF9" w:rsidRPr="002B5823">
        <w:rPr>
          <w:rFonts w:cs="Arial"/>
          <w:color w:val="000000" w:themeColor="text1"/>
          <w:szCs w:val="24"/>
          <w:u w:val="single"/>
          <w:lang w:val="en-US"/>
        </w:rPr>
        <w:t>, AJ:</w:t>
      </w:r>
    </w:p>
    <w:p w14:paraId="73E225C8" w14:textId="77777777" w:rsidR="0054041C" w:rsidRPr="002B5823" w:rsidRDefault="0054041C" w:rsidP="00097C50">
      <w:pPr>
        <w:keepNext/>
        <w:spacing w:line="480" w:lineRule="auto"/>
        <w:rPr>
          <w:rFonts w:ascii="Arial" w:hAnsi="Arial" w:cs="Arial"/>
          <w:u w:val="single"/>
          <w:lang w:val="en-US"/>
        </w:rPr>
      </w:pPr>
      <w:r w:rsidRPr="002B5823">
        <w:rPr>
          <w:rFonts w:ascii="Arial" w:hAnsi="Arial" w:cs="Arial"/>
          <w:u w:val="single"/>
          <w:lang w:val="en-US"/>
        </w:rPr>
        <w:t>Introduction</w:t>
      </w:r>
    </w:p>
    <w:p w14:paraId="45D05A46" w14:textId="17EEBB13" w:rsidR="0054041C" w:rsidRPr="00E35C82" w:rsidRDefault="00E35C82" w:rsidP="00E35C82">
      <w:pPr>
        <w:tabs>
          <w:tab w:val="left" w:pos="851"/>
        </w:tabs>
        <w:spacing w:after="480" w:line="480" w:lineRule="auto"/>
        <w:ind w:left="851" w:hanging="851"/>
        <w:jc w:val="both"/>
        <w:rPr>
          <w:rFonts w:ascii="Arial" w:hAnsi="Arial" w:cs="Arial"/>
          <w:color w:val="000000" w:themeColor="text1"/>
        </w:rPr>
      </w:pPr>
      <w:r w:rsidRPr="002B5823">
        <w:rPr>
          <w:rFonts w:asciiTheme="minorHAnsi" w:hAnsiTheme="minorHAnsi" w:cs="Arial"/>
          <w:color w:val="000000" w:themeColor="text1"/>
        </w:rPr>
        <w:t>1.</w:t>
      </w:r>
      <w:r w:rsidRPr="002B5823">
        <w:rPr>
          <w:rFonts w:asciiTheme="minorHAnsi" w:hAnsiTheme="minorHAnsi" w:cs="Arial"/>
          <w:color w:val="000000" w:themeColor="text1"/>
        </w:rPr>
        <w:tab/>
      </w:r>
      <w:r w:rsidR="005F77DA" w:rsidRPr="00E35C82">
        <w:rPr>
          <w:rFonts w:ascii="Arial" w:hAnsi="Arial" w:cs="Arial"/>
          <w:color w:val="000000" w:themeColor="text1"/>
        </w:rPr>
        <w:t xml:space="preserve"> </w:t>
      </w:r>
      <w:r w:rsidR="0047188A" w:rsidRPr="00E35C82">
        <w:rPr>
          <w:rFonts w:ascii="Arial" w:hAnsi="Arial" w:cs="Arial"/>
          <w:color w:val="000000" w:themeColor="text1"/>
        </w:rPr>
        <w:t>On 3 March 2021, the applicant launched an urgent spoliation application.</w:t>
      </w:r>
      <w:r w:rsidR="0054041C" w:rsidRPr="00E35C82">
        <w:rPr>
          <w:rFonts w:ascii="Arial" w:hAnsi="Arial" w:cs="Arial"/>
          <w:color w:val="000000" w:themeColor="text1"/>
        </w:rPr>
        <w:t xml:space="preserve"> to restore his occupation and possession of Edge Bar Restaurant, situated at Stand 18, New Doornfontein, Johannesburg (the Restaurant).  </w:t>
      </w:r>
      <w:r w:rsidR="0047188A" w:rsidRPr="00E35C82">
        <w:rPr>
          <w:rFonts w:ascii="Arial" w:hAnsi="Arial" w:cs="Arial"/>
          <w:color w:val="000000" w:themeColor="text1"/>
        </w:rPr>
        <w:t xml:space="preserve"> </w:t>
      </w:r>
      <w:r w:rsidR="000E7A1E" w:rsidRPr="00E35C82">
        <w:rPr>
          <w:rFonts w:ascii="Arial" w:hAnsi="Arial" w:cs="Arial"/>
          <w:color w:val="000000" w:themeColor="text1"/>
        </w:rPr>
        <w:t>The Notice of Motion set the same day as the hearing date, although calling for notice of opposition within three days and an answering affidavit by 9 March 2021.</w:t>
      </w:r>
    </w:p>
    <w:p w14:paraId="65240991" w14:textId="130EB4B6" w:rsidR="005F77DA" w:rsidRPr="00E35C82" w:rsidRDefault="00E35C82" w:rsidP="00E35C82">
      <w:pPr>
        <w:tabs>
          <w:tab w:val="left" w:pos="851"/>
        </w:tabs>
        <w:spacing w:after="480" w:line="480" w:lineRule="auto"/>
        <w:ind w:left="851" w:hanging="851"/>
        <w:jc w:val="both"/>
        <w:rPr>
          <w:rFonts w:ascii="Arial" w:hAnsi="Arial" w:cs="Arial"/>
          <w:color w:val="000000" w:themeColor="text1"/>
        </w:rPr>
      </w:pPr>
      <w:r w:rsidRPr="002B5823">
        <w:rPr>
          <w:rFonts w:asciiTheme="minorHAnsi" w:hAnsiTheme="minorHAnsi" w:cs="Arial"/>
          <w:color w:val="000000" w:themeColor="text1"/>
        </w:rPr>
        <w:t>2.</w:t>
      </w:r>
      <w:r w:rsidRPr="002B5823">
        <w:rPr>
          <w:rFonts w:asciiTheme="minorHAnsi" w:hAnsiTheme="minorHAnsi" w:cs="Arial"/>
          <w:color w:val="000000" w:themeColor="text1"/>
        </w:rPr>
        <w:tab/>
      </w:r>
      <w:r w:rsidR="0047188A" w:rsidRPr="00E35C82">
        <w:rPr>
          <w:rFonts w:ascii="Arial" w:hAnsi="Arial" w:cs="Arial"/>
          <w:color w:val="000000" w:themeColor="text1"/>
        </w:rPr>
        <w:t xml:space="preserve">My sister </w:t>
      </w:r>
      <w:proofErr w:type="spellStart"/>
      <w:r w:rsidR="0047188A" w:rsidRPr="00E35C82">
        <w:rPr>
          <w:rFonts w:ascii="Arial" w:hAnsi="Arial" w:cs="Arial"/>
          <w:color w:val="000000" w:themeColor="text1"/>
        </w:rPr>
        <w:t>Kathree-Setiloane</w:t>
      </w:r>
      <w:proofErr w:type="spellEnd"/>
      <w:r w:rsidR="0047188A" w:rsidRPr="00E35C82">
        <w:rPr>
          <w:rFonts w:ascii="Arial" w:hAnsi="Arial" w:cs="Arial"/>
          <w:color w:val="000000" w:themeColor="text1"/>
        </w:rPr>
        <w:t xml:space="preserve"> J</w:t>
      </w:r>
      <w:r w:rsidR="0054041C" w:rsidRPr="00E35C82">
        <w:rPr>
          <w:rFonts w:ascii="Arial" w:hAnsi="Arial" w:cs="Arial"/>
          <w:color w:val="000000" w:themeColor="text1"/>
        </w:rPr>
        <w:t>, enrolled the matter as urgent</w:t>
      </w:r>
      <w:r w:rsidR="00097C50" w:rsidRPr="00E35C82">
        <w:rPr>
          <w:rFonts w:ascii="Arial" w:hAnsi="Arial" w:cs="Arial"/>
          <w:color w:val="000000" w:themeColor="text1"/>
        </w:rPr>
        <w:t>.  In the absence of the respondents, she</w:t>
      </w:r>
      <w:r w:rsidR="0054041C" w:rsidRPr="00E35C82">
        <w:rPr>
          <w:rFonts w:ascii="Arial" w:hAnsi="Arial" w:cs="Arial"/>
          <w:color w:val="000000" w:themeColor="text1"/>
        </w:rPr>
        <w:t xml:space="preserve"> issued a rule </w:t>
      </w:r>
      <w:r w:rsidR="0054041C" w:rsidRPr="00E35C82">
        <w:rPr>
          <w:rFonts w:ascii="Arial" w:hAnsi="Arial" w:cs="Arial"/>
          <w:i/>
          <w:iCs/>
          <w:color w:val="000000" w:themeColor="text1"/>
        </w:rPr>
        <w:t>nisi</w:t>
      </w:r>
      <w:r w:rsidR="0054041C" w:rsidRPr="00E35C82">
        <w:rPr>
          <w:rFonts w:ascii="Arial" w:hAnsi="Arial" w:cs="Arial"/>
          <w:color w:val="000000" w:themeColor="text1"/>
        </w:rPr>
        <w:t xml:space="preserve"> returnable on 23 March 2021, calling upon the respondents to show cause why a final order should not be issued (</w:t>
      </w:r>
      <w:proofErr w:type="spellStart"/>
      <w:r w:rsidR="0054041C" w:rsidRPr="00E35C82">
        <w:rPr>
          <w:rFonts w:ascii="Arial" w:hAnsi="Arial" w:cs="Arial"/>
          <w:color w:val="000000" w:themeColor="text1"/>
        </w:rPr>
        <w:t>i</w:t>
      </w:r>
      <w:proofErr w:type="spellEnd"/>
      <w:r w:rsidR="0054041C" w:rsidRPr="00E35C82">
        <w:rPr>
          <w:rFonts w:ascii="Arial" w:hAnsi="Arial" w:cs="Arial"/>
          <w:color w:val="000000" w:themeColor="text1"/>
        </w:rPr>
        <w:t xml:space="preserve">) compelling the respondents to return the Restaurant to the applicant’s possession; and (ii) interdicting the respondents from unlawfully dispossessing the applicant from the Restaurant.  Pending the return day, the respondents were interdicted from dispossessing the applicant of his possession of the Restaurant.  The respondents were given leave to anticipate the return day.  </w:t>
      </w:r>
    </w:p>
    <w:p w14:paraId="328FED39" w14:textId="49D5A4EC" w:rsidR="0054041C" w:rsidRPr="00E35C82" w:rsidRDefault="00E35C82" w:rsidP="00E35C82">
      <w:pPr>
        <w:tabs>
          <w:tab w:val="left" w:pos="851"/>
        </w:tabs>
        <w:spacing w:after="480" w:line="480" w:lineRule="auto"/>
        <w:ind w:left="851" w:hanging="851"/>
        <w:jc w:val="both"/>
        <w:rPr>
          <w:rFonts w:ascii="Arial" w:hAnsi="Arial" w:cs="Arial"/>
          <w:color w:val="000000" w:themeColor="text1"/>
        </w:rPr>
      </w:pPr>
      <w:r w:rsidRPr="002B5823">
        <w:rPr>
          <w:rFonts w:asciiTheme="minorHAnsi" w:hAnsiTheme="minorHAnsi" w:cs="Arial"/>
          <w:color w:val="000000" w:themeColor="text1"/>
        </w:rPr>
        <w:t>3.</w:t>
      </w:r>
      <w:r w:rsidRPr="002B5823">
        <w:rPr>
          <w:rFonts w:asciiTheme="minorHAnsi" w:hAnsiTheme="minorHAnsi" w:cs="Arial"/>
          <w:color w:val="000000" w:themeColor="text1"/>
        </w:rPr>
        <w:tab/>
      </w:r>
      <w:r w:rsidR="0054041C" w:rsidRPr="00E35C82">
        <w:rPr>
          <w:rFonts w:ascii="Arial" w:hAnsi="Arial" w:cs="Arial"/>
          <w:color w:val="000000" w:themeColor="text1"/>
        </w:rPr>
        <w:t xml:space="preserve">On 23 March 2021, the matter came before Twala J in the urgent court, who removed it from the urgent roll and directed that it be enrolled on the ordinary roll.  </w:t>
      </w:r>
    </w:p>
    <w:p w14:paraId="568C6C9C" w14:textId="04836105" w:rsidR="000E7A1E" w:rsidRPr="00E35C82" w:rsidRDefault="00E35C82" w:rsidP="00E35C82">
      <w:pPr>
        <w:tabs>
          <w:tab w:val="left" w:pos="851"/>
        </w:tabs>
        <w:spacing w:after="480" w:line="480" w:lineRule="auto"/>
        <w:ind w:left="851" w:hanging="851"/>
        <w:jc w:val="both"/>
        <w:rPr>
          <w:rFonts w:ascii="Arial" w:hAnsi="Arial" w:cs="Arial"/>
          <w:color w:val="000000" w:themeColor="text1"/>
        </w:rPr>
      </w:pPr>
      <w:r w:rsidRPr="002B5823">
        <w:rPr>
          <w:rFonts w:asciiTheme="minorHAnsi" w:hAnsiTheme="minorHAnsi" w:cs="Arial"/>
          <w:color w:val="000000" w:themeColor="text1"/>
        </w:rPr>
        <w:t>4.</w:t>
      </w:r>
      <w:r w:rsidRPr="002B5823">
        <w:rPr>
          <w:rFonts w:asciiTheme="minorHAnsi" w:hAnsiTheme="minorHAnsi" w:cs="Arial"/>
          <w:color w:val="000000" w:themeColor="text1"/>
        </w:rPr>
        <w:tab/>
      </w:r>
      <w:r w:rsidR="000E7A1E" w:rsidRPr="00E35C82">
        <w:rPr>
          <w:rFonts w:ascii="Arial" w:hAnsi="Arial" w:cs="Arial"/>
          <w:color w:val="000000" w:themeColor="text1"/>
        </w:rPr>
        <w:t xml:space="preserve">And </w:t>
      </w:r>
      <w:proofErr w:type="gramStart"/>
      <w:r w:rsidR="000E7A1E" w:rsidRPr="00E35C82">
        <w:rPr>
          <w:rFonts w:ascii="Arial" w:hAnsi="Arial" w:cs="Arial"/>
          <w:color w:val="000000" w:themeColor="text1"/>
        </w:rPr>
        <w:t>so</w:t>
      </w:r>
      <w:proofErr w:type="gramEnd"/>
      <w:r w:rsidR="000E7A1E" w:rsidRPr="00E35C82">
        <w:rPr>
          <w:rFonts w:ascii="Arial" w:hAnsi="Arial" w:cs="Arial"/>
          <w:color w:val="000000" w:themeColor="text1"/>
        </w:rPr>
        <w:t xml:space="preserve"> the matter came before me.  </w:t>
      </w:r>
    </w:p>
    <w:p w14:paraId="642F92C2" w14:textId="77777777" w:rsidR="0054041C" w:rsidRPr="002B5823" w:rsidRDefault="0054041C" w:rsidP="0054041C">
      <w:pPr>
        <w:spacing w:after="480" w:line="480" w:lineRule="auto"/>
        <w:jc w:val="both"/>
        <w:rPr>
          <w:rFonts w:ascii="Arial" w:hAnsi="Arial" w:cs="Arial"/>
          <w:color w:val="000000" w:themeColor="text1"/>
          <w:u w:val="single"/>
        </w:rPr>
      </w:pPr>
      <w:r w:rsidRPr="002B5823">
        <w:rPr>
          <w:rFonts w:ascii="Arial" w:hAnsi="Arial" w:cs="Arial"/>
          <w:color w:val="000000" w:themeColor="text1"/>
          <w:u w:val="single"/>
        </w:rPr>
        <w:t xml:space="preserve">The </w:t>
      </w:r>
      <w:r w:rsidR="000E7A1E" w:rsidRPr="002B5823">
        <w:rPr>
          <w:rFonts w:ascii="Arial" w:hAnsi="Arial" w:cs="Arial"/>
          <w:color w:val="000000" w:themeColor="text1"/>
          <w:u w:val="single"/>
        </w:rPr>
        <w:t>facts</w:t>
      </w:r>
    </w:p>
    <w:p w14:paraId="101E0082" w14:textId="4B29EE1D" w:rsidR="00F476F5" w:rsidRPr="00E35C82" w:rsidRDefault="00E35C82" w:rsidP="00E35C82">
      <w:pPr>
        <w:tabs>
          <w:tab w:val="left" w:pos="851"/>
        </w:tabs>
        <w:spacing w:after="480" w:line="480" w:lineRule="auto"/>
        <w:ind w:left="851" w:hanging="851"/>
        <w:jc w:val="both"/>
        <w:rPr>
          <w:rFonts w:ascii="Arial" w:hAnsi="Arial" w:cs="Arial"/>
          <w:color w:val="000000" w:themeColor="text1"/>
          <w:u w:val="single"/>
        </w:rPr>
      </w:pPr>
      <w:r w:rsidRPr="002B5823">
        <w:rPr>
          <w:rFonts w:asciiTheme="minorHAnsi" w:hAnsiTheme="minorHAnsi" w:cs="Arial"/>
          <w:color w:val="000000" w:themeColor="text1"/>
        </w:rPr>
        <w:lastRenderedPageBreak/>
        <w:t>5.</w:t>
      </w:r>
      <w:r w:rsidRPr="002B5823">
        <w:rPr>
          <w:rFonts w:asciiTheme="minorHAnsi" w:hAnsiTheme="minorHAnsi" w:cs="Arial"/>
          <w:color w:val="000000" w:themeColor="text1"/>
        </w:rPr>
        <w:tab/>
      </w:r>
      <w:r w:rsidR="000E7A1E" w:rsidRPr="00E35C82">
        <w:rPr>
          <w:rFonts w:ascii="Arial" w:hAnsi="Arial" w:cs="Arial"/>
          <w:color w:val="000000" w:themeColor="text1"/>
        </w:rPr>
        <w:t>In the founding affidavit, the applicant asserts that in 2011 he entered into a five-year lease agreement with the late Mr Max Hodes</w:t>
      </w:r>
      <w:r w:rsidR="00F476F5" w:rsidRPr="00E35C82">
        <w:rPr>
          <w:rFonts w:ascii="Arial" w:hAnsi="Arial" w:cs="Arial"/>
          <w:color w:val="000000" w:themeColor="text1"/>
        </w:rPr>
        <w:t xml:space="preserve"> (Mr Hodes)</w:t>
      </w:r>
      <w:r w:rsidR="000E7A1E" w:rsidRPr="00E35C82">
        <w:rPr>
          <w:rFonts w:ascii="Arial" w:hAnsi="Arial" w:cs="Arial"/>
          <w:color w:val="000000" w:themeColor="text1"/>
        </w:rPr>
        <w:t xml:space="preserve">, in respect of the premises on which the Restaurant are situated. </w:t>
      </w:r>
      <w:r w:rsidR="00F476F5" w:rsidRPr="00E35C82">
        <w:rPr>
          <w:rFonts w:ascii="Arial" w:hAnsi="Arial" w:cs="Arial"/>
          <w:color w:val="000000" w:themeColor="text1"/>
        </w:rPr>
        <w:t xml:space="preserve"> </w:t>
      </w:r>
      <w:r w:rsidR="00B54FC3" w:rsidRPr="00E35C82">
        <w:rPr>
          <w:rFonts w:ascii="Arial" w:hAnsi="Arial" w:cs="Arial"/>
          <w:color w:val="000000" w:themeColor="text1"/>
        </w:rPr>
        <w:t xml:space="preserve">A signed copy of the lease agreement sent from Mr Hodes’ facsimile is indeed attached.  </w:t>
      </w:r>
    </w:p>
    <w:p w14:paraId="6A064182" w14:textId="080F5A42" w:rsidR="000E7A1E" w:rsidRPr="00E35C82" w:rsidRDefault="00E35C82" w:rsidP="00E35C82">
      <w:pPr>
        <w:tabs>
          <w:tab w:val="left" w:pos="851"/>
        </w:tabs>
        <w:spacing w:after="480" w:line="480" w:lineRule="auto"/>
        <w:ind w:left="851" w:hanging="851"/>
        <w:jc w:val="both"/>
        <w:rPr>
          <w:rFonts w:ascii="Arial" w:hAnsi="Arial" w:cs="Arial"/>
          <w:color w:val="000000" w:themeColor="text1"/>
          <w:u w:val="single"/>
        </w:rPr>
      </w:pPr>
      <w:r w:rsidRPr="002B5823">
        <w:rPr>
          <w:rFonts w:asciiTheme="minorHAnsi" w:hAnsiTheme="minorHAnsi" w:cs="Arial"/>
          <w:color w:val="000000" w:themeColor="text1"/>
        </w:rPr>
        <w:t>6.</w:t>
      </w:r>
      <w:r w:rsidRPr="002B5823">
        <w:rPr>
          <w:rFonts w:asciiTheme="minorHAnsi" w:hAnsiTheme="minorHAnsi" w:cs="Arial"/>
          <w:color w:val="000000" w:themeColor="text1"/>
        </w:rPr>
        <w:tab/>
      </w:r>
      <w:r w:rsidR="000E7A1E" w:rsidRPr="00E35C82">
        <w:rPr>
          <w:rFonts w:ascii="Arial" w:hAnsi="Arial" w:cs="Arial"/>
          <w:color w:val="000000" w:themeColor="text1"/>
        </w:rPr>
        <w:t>Then, in October 2015 t</w:t>
      </w:r>
      <w:r w:rsidR="00F476F5" w:rsidRPr="00E35C82">
        <w:rPr>
          <w:rFonts w:ascii="Arial" w:hAnsi="Arial" w:cs="Arial"/>
          <w:color w:val="000000" w:themeColor="text1"/>
        </w:rPr>
        <w:t>he applicant and Mr Hodes</w:t>
      </w:r>
      <w:r w:rsidR="000E7A1E" w:rsidRPr="00E35C82">
        <w:rPr>
          <w:rFonts w:ascii="Arial" w:hAnsi="Arial" w:cs="Arial"/>
          <w:color w:val="000000" w:themeColor="text1"/>
        </w:rPr>
        <w:t xml:space="preserve"> are said to have entered into a new lease agreement for a period of 9 years.  </w:t>
      </w:r>
      <w:r w:rsidR="00B54FC3" w:rsidRPr="00E35C82">
        <w:rPr>
          <w:rFonts w:ascii="Arial" w:hAnsi="Arial" w:cs="Arial"/>
          <w:color w:val="000000" w:themeColor="text1"/>
        </w:rPr>
        <w:t xml:space="preserve">A signed copy of the second lease agreement is attached to the founding papers. </w:t>
      </w:r>
      <w:r w:rsidR="000E7A1E" w:rsidRPr="00E35C82">
        <w:rPr>
          <w:rFonts w:ascii="Arial" w:hAnsi="Arial" w:cs="Arial"/>
          <w:color w:val="000000" w:themeColor="text1"/>
        </w:rPr>
        <w:t xml:space="preserve">Part of the applicant’s obligations under the second lease agreement are said to have been to make improvements to the Restaurant, which the applicant asserts was done.  </w:t>
      </w:r>
      <w:r w:rsidR="00B54FC3" w:rsidRPr="00E35C82">
        <w:rPr>
          <w:rFonts w:ascii="Arial" w:hAnsi="Arial" w:cs="Arial"/>
          <w:color w:val="000000" w:themeColor="text1"/>
        </w:rPr>
        <w:t xml:space="preserve">However, such a term does not appear from the agreement itself.  Be that as it may. </w:t>
      </w:r>
      <w:r w:rsidR="00ED37F4" w:rsidRPr="00E35C82">
        <w:rPr>
          <w:rFonts w:ascii="Arial" w:hAnsi="Arial" w:cs="Arial"/>
          <w:color w:val="000000" w:themeColor="text1"/>
        </w:rPr>
        <w:t xml:space="preserve"> </w:t>
      </w:r>
      <w:r w:rsidR="000E7A1E" w:rsidRPr="00E35C82">
        <w:rPr>
          <w:rFonts w:ascii="Arial" w:hAnsi="Arial" w:cs="Arial"/>
          <w:color w:val="000000" w:themeColor="text1"/>
        </w:rPr>
        <w:t xml:space="preserve">Allegedly in consequence of non-payment of monies due to the City of Johannesburg Metropolitan Municipality (the </w:t>
      </w:r>
      <w:proofErr w:type="gramStart"/>
      <w:r w:rsidR="000E7A1E" w:rsidRPr="00E35C82">
        <w:rPr>
          <w:rFonts w:ascii="Arial" w:hAnsi="Arial" w:cs="Arial"/>
          <w:color w:val="000000" w:themeColor="text1"/>
        </w:rPr>
        <w:t>City</w:t>
      </w:r>
      <w:proofErr w:type="gramEnd"/>
      <w:r w:rsidR="000E7A1E" w:rsidRPr="00E35C82">
        <w:rPr>
          <w:rFonts w:ascii="Arial" w:hAnsi="Arial" w:cs="Arial"/>
          <w:color w:val="000000" w:themeColor="text1"/>
        </w:rPr>
        <w:t xml:space="preserve">), the City terminated electricity supply to the Restaurant for a period of about 8 months, with obvious adverse consequences for the applicant.  </w:t>
      </w:r>
      <w:r w:rsidR="00972CBA" w:rsidRPr="00E35C82">
        <w:rPr>
          <w:rFonts w:ascii="Arial" w:hAnsi="Arial" w:cs="Arial"/>
          <w:color w:val="000000" w:themeColor="text1"/>
        </w:rPr>
        <w:t xml:space="preserve">The applicant </w:t>
      </w:r>
      <w:r w:rsidR="00020282" w:rsidRPr="00E35C82">
        <w:rPr>
          <w:rFonts w:ascii="Arial" w:hAnsi="Arial" w:cs="Arial"/>
          <w:color w:val="000000" w:themeColor="text1"/>
        </w:rPr>
        <w:t>f</w:t>
      </w:r>
      <w:r w:rsidR="00972CBA" w:rsidRPr="00E35C82">
        <w:rPr>
          <w:rFonts w:ascii="Arial" w:hAnsi="Arial" w:cs="Arial"/>
          <w:color w:val="000000" w:themeColor="text1"/>
        </w:rPr>
        <w:t>ell into arrears with payment of rental amounts.</w:t>
      </w:r>
    </w:p>
    <w:p w14:paraId="0D0C009B" w14:textId="723FE0B5" w:rsidR="00D91D08" w:rsidRPr="00E35C82" w:rsidRDefault="00E35C82" w:rsidP="00E35C82">
      <w:pPr>
        <w:tabs>
          <w:tab w:val="left" w:pos="851"/>
        </w:tabs>
        <w:spacing w:after="480" w:line="480" w:lineRule="auto"/>
        <w:ind w:left="851" w:hanging="851"/>
        <w:jc w:val="both"/>
        <w:rPr>
          <w:rFonts w:ascii="Arial" w:hAnsi="Arial" w:cs="Arial"/>
          <w:color w:val="000000" w:themeColor="text1"/>
        </w:rPr>
      </w:pPr>
      <w:r w:rsidRPr="002B5823">
        <w:rPr>
          <w:rFonts w:asciiTheme="minorHAnsi" w:hAnsiTheme="minorHAnsi" w:cs="Arial"/>
          <w:color w:val="000000" w:themeColor="text1"/>
        </w:rPr>
        <w:t>7.</w:t>
      </w:r>
      <w:r w:rsidRPr="002B5823">
        <w:rPr>
          <w:rFonts w:asciiTheme="minorHAnsi" w:hAnsiTheme="minorHAnsi" w:cs="Arial"/>
          <w:color w:val="000000" w:themeColor="text1"/>
        </w:rPr>
        <w:tab/>
      </w:r>
      <w:r w:rsidR="00D91D08" w:rsidRPr="00E35C82">
        <w:rPr>
          <w:rFonts w:ascii="Arial" w:hAnsi="Arial" w:cs="Arial"/>
          <w:color w:val="000000" w:themeColor="text1"/>
        </w:rPr>
        <w:t>According to the answering affidavit, the applicant was placed in breach by way of a letter of 5 July 2019 and “</w:t>
      </w:r>
      <w:r w:rsidR="00D91D08" w:rsidRPr="00E35C82">
        <w:rPr>
          <w:rFonts w:ascii="Arial" w:hAnsi="Arial" w:cs="Arial"/>
          <w:i/>
          <w:iCs/>
          <w:color w:val="000000" w:themeColor="text1"/>
        </w:rPr>
        <w:t>the lease agreement was thereafter cancelled orally when the Applicant did not remedy his breach”</w:t>
      </w:r>
      <w:r w:rsidR="00D91D08" w:rsidRPr="00E35C82">
        <w:rPr>
          <w:rFonts w:ascii="Arial" w:hAnsi="Arial" w:cs="Arial"/>
          <w:color w:val="000000" w:themeColor="text1"/>
        </w:rPr>
        <w:t>.  The letter forms part of the annexures to the answer.   The applicant denies receipt of this letter.</w:t>
      </w:r>
      <w:r w:rsidR="00810C4B" w:rsidRPr="00E35C82">
        <w:rPr>
          <w:rFonts w:ascii="Arial" w:hAnsi="Arial" w:cs="Arial"/>
          <w:color w:val="000000" w:themeColor="text1"/>
        </w:rPr>
        <w:t xml:space="preserve">  Notably, in the affidavit in response to the rescission application, Mr Hodes does not explain in what way the letter was dispatched to the applicant: he asserts that “</w:t>
      </w:r>
      <w:r w:rsidR="00810C4B" w:rsidRPr="00E35C82">
        <w:rPr>
          <w:rFonts w:ascii="Arial" w:hAnsi="Arial" w:cs="Arial"/>
          <w:i/>
          <w:iCs/>
          <w:color w:val="000000" w:themeColor="text1"/>
        </w:rPr>
        <w:t xml:space="preserve">A copy of the letter placing the Applicant </w:t>
      </w:r>
      <w:proofErr w:type="spellStart"/>
      <w:r w:rsidR="00810C4B" w:rsidRPr="00E35C82">
        <w:rPr>
          <w:rFonts w:ascii="Arial" w:hAnsi="Arial" w:cs="Arial"/>
          <w:i/>
          <w:iCs/>
          <w:color w:val="000000" w:themeColor="text1"/>
        </w:rPr>
        <w:t>ni</w:t>
      </w:r>
      <w:proofErr w:type="spellEnd"/>
      <w:r w:rsidR="00810C4B" w:rsidRPr="00E35C82">
        <w:rPr>
          <w:rFonts w:ascii="Arial" w:hAnsi="Arial" w:cs="Arial"/>
          <w:i/>
          <w:iCs/>
          <w:color w:val="000000" w:themeColor="text1"/>
        </w:rPr>
        <w:t xml:space="preserve"> breach dated 5 July 2019 is attached to the founding affidavit in his rescission application marked LD</w:t>
      </w:r>
      <w:r w:rsidR="00810C4B" w:rsidRPr="00E35C82">
        <w:rPr>
          <w:rFonts w:ascii="Arial" w:hAnsi="Arial" w:cs="Arial"/>
          <w:color w:val="000000" w:themeColor="text1"/>
        </w:rPr>
        <w:t>”.</w:t>
      </w:r>
    </w:p>
    <w:p w14:paraId="207FEEC3" w14:textId="2431F9C7" w:rsidR="00972CBA" w:rsidRPr="00E35C82" w:rsidRDefault="00E35C82" w:rsidP="00E35C82">
      <w:pPr>
        <w:tabs>
          <w:tab w:val="left" w:pos="851"/>
        </w:tabs>
        <w:spacing w:after="480" w:line="480" w:lineRule="auto"/>
        <w:ind w:left="851" w:hanging="851"/>
        <w:jc w:val="both"/>
        <w:rPr>
          <w:rFonts w:ascii="Arial" w:hAnsi="Arial" w:cs="Arial"/>
          <w:color w:val="000000" w:themeColor="text1"/>
          <w:u w:val="single"/>
        </w:rPr>
      </w:pPr>
      <w:r w:rsidRPr="002B5823">
        <w:rPr>
          <w:rFonts w:asciiTheme="minorHAnsi" w:hAnsiTheme="minorHAnsi" w:cs="Arial"/>
          <w:color w:val="000000" w:themeColor="text1"/>
        </w:rPr>
        <w:lastRenderedPageBreak/>
        <w:t>8.</w:t>
      </w:r>
      <w:r w:rsidRPr="002B5823">
        <w:rPr>
          <w:rFonts w:asciiTheme="minorHAnsi" w:hAnsiTheme="minorHAnsi" w:cs="Arial"/>
          <w:color w:val="000000" w:themeColor="text1"/>
        </w:rPr>
        <w:tab/>
      </w:r>
      <w:r w:rsidR="00972CBA" w:rsidRPr="00E35C82">
        <w:rPr>
          <w:rFonts w:ascii="Arial" w:hAnsi="Arial" w:cs="Arial"/>
          <w:color w:val="000000" w:themeColor="text1"/>
        </w:rPr>
        <w:t>Mr Hodes issued summons in the Johannesburg Magistrates Court on 8 January 2020, alleging conclusion of an oral “</w:t>
      </w:r>
      <w:r w:rsidR="00972CBA" w:rsidRPr="00E35C82">
        <w:rPr>
          <w:rFonts w:ascii="Arial" w:hAnsi="Arial" w:cs="Arial"/>
          <w:i/>
          <w:iCs/>
          <w:color w:val="000000" w:themeColor="text1"/>
        </w:rPr>
        <w:t>monthly lease agreement”</w:t>
      </w:r>
      <w:r w:rsidR="00972CBA" w:rsidRPr="00E35C82">
        <w:rPr>
          <w:rFonts w:ascii="Arial" w:hAnsi="Arial" w:cs="Arial"/>
          <w:color w:val="000000" w:themeColor="text1"/>
        </w:rPr>
        <w:t xml:space="preserve"> with the applicant “</w:t>
      </w:r>
      <w:r w:rsidR="00972CBA" w:rsidRPr="00E35C82">
        <w:rPr>
          <w:rFonts w:ascii="Arial" w:hAnsi="Arial" w:cs="Arial"/>
          <w:i/>
          <w:iCs/>
          <w:color w:val="000000" w:themeColor="text1"/>
        </w:rPr>
        <w:t>during or about 2013”</w:t>
      </w:r>
      <w:r w:rsidR="00972CBA" w:rsidRPr="00E35C82">
        <w:rPr>
          <w:rFonts w:ascii="Arial" w:hAnsi="Arial" w:cs="Arial"/>
          <w:color w:val="000000" w:themeColor="text1"/>
        </w:rPr>
        <w:t xml:space="preserve">.  Mr Hodes pleaded that the applicant was in arrears with payments in an amount of almost R40 000 and that he had breached the agreement, having apportioned part of the premises to a tyre shop, which it is said he was not authorised to do.  </w:t>
      </w:r>
      <w:r w:rsidR="00D91D08" w:rsidRPr="00E35C82">
        <w:rPr>
          <w:rFonts w:ascii="Arial" w:hAnsi="Arial" w:cs="Arial"/>
          <w:color w:val="000000" w:themeColor="text1"/>
        </w:rPr>
        <w:t>According to the particulars of claim, “</w:t>
      </w:r>
      <w:r w:rsidR="00D91D08" w:rsidRPr="00E35C82">
        <w:rPr>
          <w:rFonts w:ascii="Arial" w:hAnsi="Arial" w:cs="Arial"/>
          <w:i/>
          <w:iCs/>
          <w:color w:val="000000" w:themeColor="text1"/>
        </w:rPr>
        <w:t>As a consequence of the material breach, the Plaintiff is entitled to cancel the lease which he hereby duly does”</w:t>
      </w:r>
      <w:r w:rsidR="00D91D08" w:rsidRPr="00E35C82">
        <w:rPr>
          <w:rFonts w:ascii="Arial" w:hAnsi="Arial" w:cs="Arial"/>
          <w:color w:val="000000" w:themeColor="text1"/>
        </w:rPr>
        <w:t>.  The prayers included an order (</w:t>
      </w:r>
      <w:proofErr w:type="spellStart"/>
      <w:r w:rsidR="00D91D08" w:rsidRPr="00E35C82">
        <w:rPr>
          <w:rFonts w:ascii="Arial" w:hAnsi="Arial" w:cs="Arial"/>
          <w:color w:val="000000" w:themeColor="text1"/>
        </w:rPr>
        <w:t>i</w:t>
      </w:r>
      <w:proofErr w:type="spellEnd"/>
      <w:r w:rsidR="00D91D08" w:rsidRPr="00E35C82">
        <w:rPr>
          <w:rFonts w:ascii="Arial" w:hAnsi="Arial" w:cs="Arial"/>
          <w:color w:val="000000" w:themeColor="text1"/>
        </w:rPr>
        <w:t>) cancelling the lease agreement; (ii) ordering the applicant to make payment of the arrears amount and interest thereon; and (iii) ejectment from the premises.</w:t>
      </w:r>
      <w:r w:rsidR="002656C2" w:rsidRPr="00E35C82">
        <w:rPr>
          <w:rFonts w:ascii="Arial" w:hAnsi="Arial" w:cs="Arial"/>
          <w:color w:val="000000" w:themeColor="text1"/>
        </w:rPr>
        <w:t xml:space="preserve"> (In answer to a rescission application of May 2021, Mr Hodes asserted on oath that the agreement was in fact a written one, but that the arrangement became an oral month-to-month arrangement after</w:t>
      </w:r>
      <w:r w:rsidR="000B3898" w:rsidRPr="00E35C82">
        <w:rPr>
          <w:rFonts w:ascii="Arial" w:hAnsi="Arial" w:cs="Arial"/>
          <w:color w:val="000000" w:themeColor="text1"/>
        </w:rPr>
        <w:t xml:space="preserve"> cancellation of the written agreement pursuant to the applicant not rectifying his default as set out in the July 2019 correspondence.</w:t>
      </w:r>
      <w:r w:rsidR="002656C2" w:rsidRPr="00E35C82">
        <w:rPr>
          <w:rFonts w:ascii="Arial" w:hAnsi="Arial" w:cs="Arial"/>
          <w:color w:val="000000" w:themeColor="text1"/>
        </w:rPr>
        <w:t>)</w:t>
      </w:r>
    </w:p>
    <w:p w14:paraId="66F76802" w14:textId="417E0497" w:rsidR="00D9448F" w:rsidRPr="00E35C82" w:rsidRDefault="00E35C82" w:rsidP="00E35C82">
      <w:pPr>
        <w:tabs>
          <w:tab w:val="left" w:pos="851"/>
        </w:tabs>
        <w:spacing w:after="480" w:line="480" w:lineRule="auto"/>
        <w:ind w:left="851" w:hanging="851"/>
        <w:jc w:val="both"/>
        <w:rPr>
          <w:rFonts w:ascii="Arial" w:hAnsi="Arial" w:cs="Arial"/>
          <w:color w:val="000000" w:themeColor="text1"/>
        </w:rPr>
      </w:pPr>
      <w:r w:rsidRPr="002B5823">
        <w:rPr>
          <w:rFonts w:asciiTheme="minorHAnsi" w:hAnsiTheme="minorHAnsi" w:cs="Arial"/>
          <w:color w:val="000000" w:themeColor="text1"/>
        </w:rPr>
        <w:t>9.</w:t>
      </w:r>
      <w:r w:rsidRPr="002B5823">
        <w:rPr>
          <w:rFonts w:asciiTheme="minorHAnsi" w:hAnsiTheme="minorHAnsi" w:cs="Arial"/>
          <w:color w:val="000000" w:themeColor="text1"/>
        </w:rPr>
        <w:tab/>
      </w:r>
      <w:r w:rsidR="00020282" w:rsidRPr="00E35C82">
        <w:rPr>
          <w:rFonts w:ascii="Arial" w:hAnsi="Arial" w:cs="Arial"/>
          <w:color w:val="000000" w:themeColor="text1"/>
        </w:rPr>
        <w:t xml:space="preserve">When Mr Hodes sought judgment by default, the Magistrate raised queries in February 2020 and those were eventually answered on 8 October 2020.  </w:t>
      </w:r>
      <w:r w:rsidR="00D91D08" w:rsidRPr="00E35C82">
        <w:rPr>
          <w:rFonts w:ascii="Arial" w:hAnsi="Arial" w:cs="Arial"/>
          <w:color w:val="000000" w:themeColor="text1"/>
        </w:rPr>
        <w:t>Mr Hodes obtained judgment by default against the applicant on 1</w:t>
      </w:r>
      <w:r w:rsidR="00810C4B" w:rsidRPr="00E35C82">
        <w:rPr>
          <w:rFonts w:ascii="Arial" w:hAnsi="Arial" w:cs="Arial"/>
          <w:color w:val="000000" w:themeColor="text1"/>
        </w:rPr>
        <w:t>0</w:t>
      </w:r>
      <w:r w:rsidR="00D91D08" w:rsidRPr="00E35C82">
        <w:rPr>
          <w:rFonts w:ascii="Arial" w:hAnsi="Arial" w:cs="Arial"/>
          <w:color w:val="000000" w:themeColor="text1"/>
        </w:rPr>
        <w:t xml:space="preserve"> October 2020.  The applicant was ordered to make payment and to vacate the premises, failing which a warrant of ejectment could be carried out.  </w:t>
      </w:r>
    </w:p>
    <w:p w14:paraId="3C5E0545" w14:textId="5FF7F9E9" w:rsidR="001B53C9" w:rsidRPr="00E35C82" w:rsidRDefault="00E35C82" w:rsidP="00E35C82">
      <w:pPr>
        <w:tabs>
          <w:tab w:val="left" w:pos="851"/>
        </w:tabs>
        <w:spacing w:after="480" w:line="480" w:lineRule="auto"/>
        <w:ind w:left="851" w:hanging="851"/>
        <w:jc w:val="both"/>
        <w:rPr>
          <w:rFonts w:ascii="Arial" w:hAnsi="Arial" w:cs="Arial"/>
          <w:color w:val="000000" w:themeColor="text1"/>
        </w:rPr>
      </w:pPr>
      <w:r w:rsidRPr="002B5823">
        <w:rPr>
          <w:rFonts w:asciiTheme="minorHAnsi" w:hAnsiTheme="minorHAnsi" w:cs="Arial"/>
          <w:color w:val="000000" w:themeColor="text1"/>
        </w:rPr>
        <w:t>10.</w:t>
      </w:r>
      <w:r w:rsidRPr="002B5823">
        <w:rPr>
          <w:rFonts w:asciiTheme="minorHAnsi" w:hAnsiTheme="minorHAnsi" w:cs="Arial"/>
          <w:color w:val="000000" w:themeColor="text1"/>
        </w:rPr>
        <w:tab/>
      </w:r>
      <w:r w:rsidR="001C5D4E" w:rsidRPr="00E35C82">
        <w:rPr>
          <w:rFonts w:ascii="Arial" w:hAnsi="Arial" w:cs="Arial"/>
          <w:color w:val="000000" w:themeColor="text1"/>
        </w:rPr>
        <w:t xml:space="preserve">Attached to the answering affidavit is a letter of 30 </w:t>
      </w:r>
      <w:r w:rsidR="001B53C9" w:rsidRPr="00E35C82">
        <w:rPr>
          <w:rFonts w:ascii="Arial" w:hAnsi="Arial" w:cs="Arial"/>
          <w:color w:val="000000" w:themeColor="text1"/>
        </w:rPr>
        <w:t>November 2020</w:t>
      </w:r>
      <w:r w:rsidR="001C5D4E" w:rsidRPr="00E35C82">
        <w:rPr>
          <w:rFonts w:ascii="Arial" w:hAnsi="Arial" w:cs="Arial"/>
          <w:color w:val="000000" w:themeColor="text1"/>
        </w:rPr>
        <w:t xml:space="preserve"> from Mr Hodes’ attorney to the applicant, (</w:t>
      </w:r>
      <w:proofErr w:type="spellStart"/>
      <w:r w:rsidR="001C5D4E" w:rsidRPr="00E35C82">
        <w:rPr>
          <w:rFonts w:ascii="Arial" w:hAnsi="Arial" w:cs="Arial"/>
          <w:color w:val="000000" w:themeColor="text1"/>
        </w:rPr>
        <w:t>i</w:t>
      </w:r>
      <w:proofErr w:type="spellEnd"/>
      <w:r w:rsidR="001C5D4E" w:rsidRPr="00E35C82">
        <w:rPr>
          <w:rFonts w:ascii="Arial" w:hAnsi="Arial" w:cs="Arial"/>
          <w:color w:val="000000" w:themeColor="text1"/>
        </w:rPr>
        <w:t xml:space="preserve">) asserting that the applicant had entered into a lease agreement </w:t>
      </w:r>
      <w:r w:rsidR="00947163" w:rsidRPr="00E35C82">
        <w:rPr>
          <w:rFonts w:ascii="Arial" w:hAnsi="Arial" w:cs="Arial"/>
          <w:color w:val="000000" w:themeColor="text1"/>
        </w:rPr>
        <w:t>o</w:t>
      </w:r>
      <w:r w:rsidR="001C5D4E" w:rsidRPr="00E35C82">
        <w:rPr>
          <w:rFonts w:ascii="Arial" w:hAnsi="Arial" w:cs="Arial"/>
          <w:color w:val="000000" w:themeColor="text1"/>
        </w:rPr>
        <w:t>n a “</w:t>
      </w:r>
      <w:r w:rsidR="001C5D4E" w:rsidRPr="00E35C82">
        <w:rPr>
          <w:rFonts w:ascii="Arial" w:hAnsi="Arial" w:cs="Arial"/>
          <w:i/>
          <w:iCs/>
          <w:color w:val="000000" w:themeColor="text1"/>
        </w:rPr>
        <w:t>month-to-month”</w:t>
      </w:r>
      <w:r w:rsidR="001C5D4E" w:rsidRPr="00E35C82">
        <w:rPr>
          <w:rFonts w:ascii="Arial" w:hAnsi="Arial" w:cs="Arial"/>
          <w:color w:val="000000" w:themeColor="text1"/>
        </w:rPr>
        <w:t xml:space="preserve"> basis and had failed to make rental payment timeously or at all; (ii) giving notice of termination of the lease </w:t>
      </w:r>
      <w:r w:rsidR="001C5D4E" w:rsidRPr="00E35C82">
        <w:rPr>
          <w:rFonts w:ascii="Arial" w:hAnsi="Arial" w:cs="Arial"/>
          <w:color w:val="000000" w:themeColor="text1"/>
        </w:rPr>
        <w:lastRenderedPageBreak/>
        <w:t>agreement and (iii) advising the applicant to vacate the premises by 30 December 2020.</w:t>
      </w:r>
      <w:r w:rsidR="00D9448F" w:rsidRPr="00E35C82">
        <w:rPr>
          <w:rFonts w:ascii="Arial" w:hAnsi="Arial" w:cs="Arial"/>
          <w:color w:val="000000" w:themeColor="text1"/>
        </w:rPr>
        <w:t xml:space="preserve">  </w:t>
      </w:r>
      <w:r w:rsidR="00810C4B" w:rsidRPr="00E35C82">
        <w:rPr>
          <w:rFonts w:ascii="Arial" w:hAnsi="Arial" w:cs="Arial"/>
          <w:color w:val="000000" w:themeColor="text1"/>
        </w:rPr>
        <w:t xml:space="preserve">The date of the alleged agreement (and whether reference is made to a written or oral agreement) is not revealed in the letter. </w:t>
      </w:r>
      <w:r w:rsidR="00D9448F" w:rsidRPr="00E35C82">
        <w:rPr>
          <w:rFonts w:ascii="Arial" w:hAnsi="Arial" w:cs="Arial"/>
          <w:color w:val="000000" w:themeColor="text1"/>
        </w:rPr>
        <w:t xml:space="preserve">No mention is made of any order.  </w:t>
      </w:r>
    </w:p>
    <w:p w14:paraId="7DFCFB29" w14:textId="4AD02A57" w:rsidR="000E7A1E" w:rsidRPr="00E35C82" w:rsidRDefault="00E35C82" w:rsidP="00E35C82">
      <w:pPr>
        <w:tabs>
          <w:tab w:val="left" w:pos="851"/>
        </w:tabs>
        <w:spacing w:after="480" w:line="480" w:lineRule="auto"/>
        <w:ind w:left="851" w:hanging="851"/>
        <w:jc w:val="both"/>
        <w:rPr>
          <w:rFonts w:ascii="Arial" w:hAnsi="Arial" w:cs="Arial"/>
          <w:color w:val="000000" w:themeColor="text1"/>
          <w:u w:val="single"/>
        </w:rPr>
      </w:pPr>
      <w:r w:rsidRPr="002B5823">
        <w:rPr>
          <w:rFonts w:asciiTheme="minorHAnsi" w:hAnsiTheme="minorHAnsi" w:cs="Arial"/>
          <w:color w:val="000000" w:themeColor="text1"/>
        </w:rPr>
        <w:t>11.</w:t>
      </w:r>
      <w:r w:rsidRPr="002B5823">
        <w:rPr>
          <w:rFonts w:asciiTheme="minorHAnsi" w:hAnsiTheme="minorHAnsi" w:cs="Arial"/>
          <w:color w:val="000000" w:themeColor="text1"/>
        </w:rPr>
        <w:tab/>
      </w:r>
      <w:r w:rsidR="00B54FC3" w:rsidRPr="00E35C82">
        <w:rPr>
          <w:rFonts w:ascii="Arial" w:hAnsi="Arial" w:cs="Arial"/>
          <w:color w:val="000000" w:themeColor="text1"/>
        </w:rPr>
        <w:t>The applicant accepts that an order was obtained by default for payment of money, cancellation of his lease and for his eviction.  In the founding affidavit it is said that such order was obtained by the first respondent (Kings &amp; Queens)</w:t>
      </w:r>
      <w:r w:rsidR="002656C2" w:rsidRPr="00E35C82">
        <w:rPr>
          <w:rFonts w:ascii="Arial" w:hAnsi="Arial" w:cs="Arial"/>
          <w:color w:val="000000" w:themeColor="text1"/>
        </w:rPr>
        <w:t>, but that is patently a mistake</w:t>
      </w:r>
      <w:r w:rsidR="005C2F2C" w:rsidRPr="00E35C82">
        <w:rPr>
          <w:rFonts w:ascii="Arial" w:hAnsi="Arial" w:cs="Arial"/>
          <w:color w:val="000000" w:themeColor="text1"/>
        </w:rPr>
        <w:t xml:space="preserve"> that derived from copying and pasting from the Magistrates’ Court application where Mr Hodes was the respondent</w:t>
      </w:r>
      <w:r w:rsidR="00B54FC3" w:rsidRPr="00E35C82">
        <w:rPr>
          <w:rFonts w:ascii="Arial" w:hAnsi="Arial" w:cs="Arial"/>
          <w:color w:val="000000" w:themeColor="text1"/>
        </w:rPr>
        <w:t xml:space="preserve">.  He also accepts that a warrant of execution was issued on 26 January 2021, although apparently only served upon the Restaurant on 22 or 23 February 2021.  </w:t>
      </w:r>
      <w:r w:rsidR="002656C2" w:rsidRPr="00E35C82">
        <w:rPr>
          <w:rFonts w:ascii="Arial" w:hAnsi="Arial" w:cs="Arial"/>
          <w:color w:val="000000" w:themeColor="text1"/>
        </w:rPr>
        <w:t>According to an affidavit filed by Mr Hodes in the Magistrates’ Court proceedings, the default judgment had been transmitted to the applicant’s erstwhile attorney on 16 February 2021</w:t>
      </w:r>
      <w:r w:rsidR="00810C4B" w:rsidRPr="00E35C82">
        <w:rPr>
          <w:rFonts w:ascii="Arial" w:hAnsi="Arial" w:cs="Arial"/>
          <w:color w:val="000000" w:themeColor="text1"/>
        </w:rPr>
        <w:t xml:space="preserve"> (</w:t>
      </w:r>
      <w:proofErr w:type="spellStart"/>
      <w:r w:rsidR="00810C4B" w:rsidRPr="00E35C82">
        <w:rPr>
          <w:rFonts w:ascii="Arial" w:hAnsi="Arial" w:cs="Arial"/>
          <w:color w:val="000000" w:themeColor="text1"/>
        </w:rPr>
        <w:t>i.e</w:t>
      </w:r>
      <w:proofErr w:type="spellEnd"/>
      <w:r w:rsidR="00810C4B" w:rsidRPr="00E35C82">
        <w:rPr>
          <w:rFonts w:ascii="Arial" w:hAnsi="Arial" w:cs="Arial"/>
          <w:color w:val="000000" w:themeColor="text1"/>
        </w:rPr>
        <w:t xml:space="preserve"> some four months after it had been obtained and about two and a half months after the 30 November letter)</w:t>
      </w:r>
      <w:r w:rsidR="002656C2" w:rsidRPr="00E35C82">
        <w:rPr>
          <w:rFonts w:ascii="Arial" w:hAnsi="Arial" w:cs="Arial"/>
          <w:color w:val="000000" w:themeColor="text1"/>
        </w:rPr>
        <w:t>.</w:t>
      </w:r>
    </w:p>
    <w:p w14:paraId="6D3C3E97" w14:textId="594396CA" w:rsidR="006367D8" w:rsidRPr="00E35C82" w:rsidRDefault="00E35C82" w:rsidP="00E35C82">
      <w:pPr>
        <w:tabs>
          <w:tab w:val="left" w:pos="851"/>
        </w:tabs>
        <w:spacing w:after="480" w:line="480" w:lineRule="auto"/>
        <w:ind w:left="851" w:hanging="851"/>
        <w:jc w:val="both"/>
        <w:rPr>
          <w:rFonts w:ascii="Arial" w:hAnsi="Arial" w:cs="Arial"/>
          <w:color w:val="000000" w:themeColor="text1"/>
          <w:u w:val="single"/>
        </w:rPr>
      </w:pPr>
      <w:r w:rsidRPr="002B5823">
        <w:rPr>
          <w:rFonts w:asciiTheme="minorHAnsi" w:hAnsiTheme="minorHAnsi" w:cs="Arial"/>
          <w:color w:val="000000" w:themeColor="text1"/>
        </w:rPr>
        <w:t>12.</w:t>
      </w:r>
      <w:r w:rsidRPr="002B5823">
        <w:rPr>
          <w:rFonts w:asciiTheme="minorHAnsi" w:hAnsiTheme="minorHAnsi" w:cs="Arial"/>
          <w:color w:val="000000" w:themeColor="text1"/>
        </w:rPr>
        <w:tab/>
      </w:r>
      <w:r w:rsidR="00764C6E" w:rsidRPr="00E35C82">
        <w:rPr>
          <w:rFonts w:ascii="Arial" w:hAnsi="Arial" w:cs="Arial"/>
          <w:color w:val="000000" w:themeColor="text1"/>
        </w:rPr>
        <w:t>The applicant says that, during January 2021, “</w:t>
      </w:r>
      <w:r w:rsidR="00764C6E" w:rsidRPr="00E35C82">
        <w:rPr>
          <w:rFonts w:ascii="Arial" w:hAnsi="Arial" w:cs="Arial"/>
          <w:i/>
          <w:iCs/>
          <w:color w:val="000000" w:themeColor="text1"/>
        </w:rPr>
        <w:t>the third respondent”</w:t>
      </w:r>
      <w:r w:rsidR="00764C6E" w:rsidRPr="00E35C82">
        <w:rPr>
          <w:rFonts w:ascii="Arial" w:hAnsi="Arial" w:cs="Arial"/>
          <w:color w:val="000000" w:themeColor="text1"/>
        </w:rPr>
        <w:t xml:space="preserve"> presented him with a new lease agreement, demanding that he should sign it.  </w:t>
      </w:r>
      <w:r w:rsidR="00F476F5" w:rsidRPr="00E35C82">
        <w:rPr>
          <w:rFonts w:ascii="Arial" w:hAnsi="Arial" w:cs="Arial"/>
          <w:color w:val="000000" w:themeColor="text1"/>
        </w:rPr>
        <w:t xml:space="preserve">This must be taken to be an unidentified representative of the third respondent (Timer Estates). </w:t>
      </w:r>
      <w:r w:rsidR="00ED37F4" w:rsidRPr="00E35C82">
        <w:rPr>
          <w:rFonts w:ascii="Arial" w:hAnsi="Arial" w:cs="Arial"/>
          <w:color w:val="000000" w:themeColor="text1"/>
        </w:rPr>
        <w:t xml:space="preserve">A copy of the new lease agreement to be entered into with Timer Estates is also attached to the application. </w:t>
      </w:r>
      <w:r w:rsidR="00F476F5" w:rsidRPr="00E35C82">
        <w:rPr>
          <w:rFonts w:ascii="Arial" w:hAnsi="Arial" w:cs="Arial"/>
          <w:color w:val="000000" w:themeColor="text1"/>
        </w:rPr>
        <w:t>Apparently at th</w:t>
      </w:r>
      <w:r w:rsidR="00ED37F4" w:rsidRPr="00E35C82">
        <w:rPr>
          <w:rFonts w:ascii="Arial" w:hAnsi="Arial" w:cs="Arial"/>
          <w:color w:val="000000" w:themeColor="text1"/>
        </w:rPr>
        <w:t>e</w:t>
      </w:r>
      <w:r w:rsidR="00F476F5" w:rsidRPr="00E35C82">
        <w:rPr>
          <w:rFonts w:ascii="Arial" w:hAnsi="Arial" w:cs="Arial"/>
          <w:color w:val="000000" w:themeColor="text1"/>
        </w:rPr>
        <w:t xml:space="preserve"> time</w:t>
      </w:r>
      <w:r w:rsidR="00ED37F4" w:rsidRPr="00E35C82">
        <w:rPr>
          <w:rFonts w:ascii="Arial" w:hAnsi="Arial" w:cs="Arial"/>
          <w:color w:val="000000" w:themeColor="text1"/>
        </w:rPr>
        <w:t xml:space="preserve"> when the lease agreement was presented to the applicant</w:t>
      </w:r>
      <w:r w:rsidR="00F476F5" w:rsidRPr="00E35C82">
        <w:rPr>
          <w:rFonts w:ascii="Arial" w:hAnsi="Arial" w:cs="Arial"/>
          <w:color w:val="000000" w:themeColor="text1"/>
        </w:rPr>
        <w:t>, the representative of Timer Estates also informed the applicant that the building in which the Restaurant is housed had been sold</w:t>
      </w:r>
      <w:r w:rsidR="00B45ECF" w:rsidRPr="00E35C82">
        <w:rPr>
          <w:rFonts w:ascii="Arial" w:hAnsi="Arial" w:cs="Arial"/>
          <w:color w:val="000000" w:themeColor="text1"/>
        </w:rPr>
        <w:t>, although the respondents say Mr Hodes had told the applicant in December 2020.</w:t>
      </w:r>
      <w:r w:rsidR="00F476F5" w:rsidRPr="00E35C82">
        <w:rPr>
          <w:rFonts w:ascii="Arial" w:hAnsi="Arial" w:cs="Arial"/>
          <w:color w:val="000000" w:themeColor="text1"/>
        </w:rPr>
        <w:t xml:space="preserve"> </w:t>
      </w:r>
      <w:r w:rsidR="00B45ECF" w:rsidRPr="00E35C82">
        <w:rPr>
          <w:rFonts w:ascii="Arial" w:hAnsi="Arial" w:cs="Arial"/>
          <w:color w:val="000000" w:themeColor="text1"/>
        </w:rPr>
        <w:t>Whatever the case may be</w:t>
      </w:r>
      <w:r w:rsidR="006367D8" w:rsidRPr="00E35C82">
        <w:rPr>
          <w:rFonts w:ascii="Arial" w:hAnsi="Arial" w:cs="Arial"/>
          <w:color w:val="000000" w:themeColor="text1"/>
        </w:rPr>
        <w:t xml:space="preserve">, </w:t>
      </w:r>
      <w:r w:rsidR="006367D8" w:rsidRPr="00E35C82">
        <w:rPr>
          <w:rFonts w:ascii="Arial" w:hAnsi="Arial" w:cs="Arial"/>
          <w:color w:val="000000" w:themeColor="text1"/>
        </w:rPr>
        <w:lastRenderedPageBreak/>
        <w:t>according to the answering affidavit, at the time the affidavit was deposed to in March 2021, Kings &amp; Queens was “</w:t>
      </w:r>
      <w:r w:rsidR="006367D8" w:rsidRPr="00E35C82">
        <w:rPr>
          <w:rFonts w:ascii="Arial" w:hAnsi="Arial" w:cs="Arial"/>
          <w:i/>
          <w:iCs/>
          <w:color w:val="000000" w:themeColor="text1"/>
        </w:rPr>
        <w:t>in the process of purchasing the building … from Hodes in terms of an agreement dated 30 November 2020.  Pursuant to the intended sale and transfer of the property, [Kings &amp; Queens] was provided with occupation of the property prior to registration of transfer of the property occurring”</w:t>
      </w:r>
      <w:r w:rsidR="006367D8" w:rsidRPr="00E35C82">
        <w:rPr>
          <w:rFonts w:ascii="Arial" w:hAnsi="Arial" w:cs="Arial"/>
          <w:color w:val="000000" w:themeColor="text1"/>
        </w:rPr>
        <w:t>.</w:t>
      </w:r>
    </w:p>
    <w:p w14:paraId="3B3A19DF" w14:textId="5A514693" w:rsidR="00764C6E" w:rsidRPr="00E35C82" w:rsidRDefault="00E35C82" w:rsidP="00E35C82">
      <w:pPr>
        <w:tabs>
          <w:tab w:val="left" w:pos="851"/>
        </w:tabs>
        <w:spacing w:after="480" w:line="480" w:lineRule="auto"/>
        <w:ind w:left="851" w:hanging="851"/>
        <w:jc w:val="both"/>
        <w:rPr>
          <w:rFonts w:ascii="Arial" w:hAnsi="Arial" w:cs="Arial"/>
          <w:color w:val="000000" w:themeColor="text1"/>
          <w:u w:val="single"/>
        </w:rPr>
      </w:pPr>
      <w:r w:rsidRPr="002B5823">
        <w:rPr>
          <w:rFonts w:asciiTheme="minorHAnsi" w:hAnsiTheme="minorHAnsi" w:cs="Arial"/>
          <w:color w:val="000000" w:themeColor="text1"/>
        </w:rPr>
        <w:t>13.</w:t>
      </w:r>
      <w:r w:rsidRPr="002B5823">
        <w:rPr>
          <w:rFonts w:asciiTheme="minorHAnsi" w:hAnsiTheme="minorHAnsi" w:cs="Arial"/>
          <w:color w:val="000000" w:themeColor="text1"/>
        </w:rPr>
        <w:tab/>
      </w:r>
      <w:r w:rsidR="00F476F5" w:rsidRPr="00E35C82">
        <w:rPr>
          <w:rFonts w:ascii="Arial" w:hAnsi="Arial" w:cs="Arial"/>
          <w:color w:val="000000" w:themeColor="text1"/>
        </w:rPr>
        <w:t>The applicant</w:t>
      </w:r>
      <w:r w:rsidR="00764C6E" w:rsidRPr="00E35C82">
        <w:rPr>
          <w:rFonts w:ascii="Arial" w:hAnsi="Arial" w:cs="Arial"/>
          <w:color w:val="000000" w:themeColor="text1"/>
        </w:rPr>
        <w:t xml:space="preserve"> refused to sign </w:t>
      </w:r>
      <w:r w:rsidR="006367D8" w:rsidRPr="00E35C82">
        <w:rPr>
          <w:rFonts w:ascii="Arial" w:hAnsi="Arial" w:cs="Arial"/>
          <w:color w:val="000000" w:themeColor="text1"/>
        </w:rPr>
        <w:t>the new lease agreement</w:t>
      </w:r>
      <w:r w:rsidR="00764C6E" w:rsidRPr="00E35C82">
        <w:rPr>
          <w:rFonts w:ascii="Arial" w:hAnsi="Arial" w:cs="Arial"/>
          <w:color w:val="000000" w:themeColor="text1"/>
        </w:rPr>
        <w:t xml:space="preserve"> because, on his version, he still had a valid lease agreement in place.</w:t>
      </w:r>
      <w:r w:rsidR="001B53C9" w:rsidRPr="00E35C82">
        <w:rPr>
          <w:rFonts w:ascii="Arial" w:hAnsi="Arial" w:cs="Arial"/>
          <w:color w:val="000000" w:themeColor="text1"/>
        </w:rPr>
        <w:t xml:space="preserve">  Accordingly, so asserts the applicant, he continued to pay rentals under the existing lease agreement in the months of January and February 2021.  Kings &amp; Queens, however state in the answering affidavit that they had been assured at the time when the sale agreement was signed that the applicant did not have a written lease agreement.  The deponent to the answer says that the applicant provided no reason for not signing the new lease agreement, but inconsistently with that allegation asserts that the applicant’s then attorney contended that the </w:t>
      </w:r>
      <w:r w:rsidR="00D35238" w:rsidRPr="00E35C82">
        <w:rPr>
          <w:rFonts w:ascii="Arial" w:hAnsi="Arial" w:cs="Arial"/>
          <w:color w:val="000000" w:themeColor="text1"/>
        </w:rPr>
        <w:t>“</w:t>
      </w:r>
      <w:r w:rsidR="00D35238" w:rsidRPr="00E35C82">
        <w:rPr>
          <w:rFonts w:ascii="Arial" w:hAnsi="Arial" w:cs="Arial"/>
          <w:i/>
          <w:iCs/>
          <w:color w:val="000000" w:themeColor="text1"/>
        </w:rPr>
        <w:t xml:space="preserve">previous </w:t>
      </w:r>
      <w:r w:rsidR="001B53C9" w:rsidRPr="00E35C82">
        <w:rPr>
          <w:rFonts w:ascii="Arial" w:hAnsi="Arial" w:cs="Arial"/>
          <w:i/>
          <w:iCs/>
          <w:color w:val="000000" w:themeColor="text1"/>
        </w:rPr>
        <w:t>written lease</w:t>
      </w:r>
      <w:r w:rsidR="00D35238" w:rsidRPr="00E35C82">
        <w:rPr>
          <w:rFonts w:ascii="Arial" w:hAnsi="Arial" w:cs="Arial"/>
          <w:color w:val="000000" w:themeColor="text1"/>
        </w:rPr>
        <w:t>”</w:t>
      </w:r>
      <w:r w:rsidR="001B53C9" w:rsidRPr="00E35C82">
        <w:rPr>
          <w:rFonts w:ascii="Arial" w:hAnsi="Arial" w:cs="Arial"/>
          <w:color w:val="000000" w:themeColor="text1"/>
        </w:rPr>
        <w:t xml:space="preserve"> was valid on the basis of the principle “</w:t>
      </w:r>
      <w:proofErr w:type="spellStart"/>
      <w:r w:rsidR="001B53C9" w:rsidRPr="00E35C82">
        <w:rPr>
          <w:rFonts w:ascii="Arial" w:hAnsi="Arial" w:cs="Arial"/>
          <w:i/>
          <w:iCs/>
          <w:color w:val="000000" w:themeColor="text1"/>
        </w:rPr>
        <w:t>huur</w:t>
      </w:r>
      <w:proofErr w:type="spellEnd"/>
      <w:r w:rsidR="001B53C9" w:rsidRPr="00E35C82">
        <w:rPr>
          <w:rFonts w:ascii="Arial" w:hAnsi="Arial" w:cs="Arial"/>
          <w:i/>
          <w:iCs/>
          <w:color w:val="000000" w:themeColor="text1"/>
        </w:rPr>
        <w:t xml:space="preserve"> </w:t>
      </w:r>
      <w:proofErr w:type="spellStart"/>
      <w:r w:rsidR="001B53C9" w:rsidRPr="00E35C82">
        <w:rPr>
          <w:rFonts w:ascii="Arial" w:hAnsi="Arial" w:cs="Arial"/>
          <w:i/>
          <w:iCs/>
          <w:color w:val="000000" w:themeColor="text1"/>
        </w:rPr>
        <w:t>gaat</w:t>
      </w:r>
      <w:proofErr w:type="spellEnd"/>
      <w:r w:rsidR="001B53C9" w:rsidRPr="00E35C82">
        <w:rPr>
          <w:rFonts w:ascii="Arial" w:hAnsi="Arial" w:cs="Arial"/>
          <w:i/>
          <w:iCs/>
          <w:color w:val="000000" w:themeColor="text1"/>
        </w:rPr>
        <w:t xml:space="preserve"> </w:t>
      </w:r>
      <w:proofErr w:type="spellStart"/>
      <w:r w:rsidR="001B53C9" w:rsidRPr="00E35C82">
        <w:rPr>
          <w:rFonts w:ascii="Arial" w:hAnsi="Arial" w:cs="Arial"/>
          <w:i/>
          <w:iCs/>
          <w:color w:val="000000" w:themeColor="text1"/>
        </w:rPr>
        <w:t>voor</w:t>
      </w:r>
      <w:proofErr w:type="spellEnd"/>
      <w:r w:rsidR="001B53C9" w:rsidRPr="00E35C82">
        <w:rPr>
          <w:rFonts w:ascii="Arial" w:hAnsi="Arial" w:cs="Arial"/>
          <w:i/>
          <w:iCs/>
          <w:color w:val="000000" w:themeColor="text1"/>
        </w:rPr>
        <w:t xml:space="preserve"> </w:t>
      </w:r>
      <w:proofErr w:type="spellStart"/>
      <w:r w:rsidR="001B53C9" w:rsidRPr="00E35C82">
        <w:rPr>
          <w:rFonts w:ascii="Arial" w:hAnsi="Arial" w:cs="Arial"/>
          <w:i/>
          <w:iCs/>
          <w:color w:val="000000" w:themeColor="text1"/>
        </w:rPr>
        <w:t>koop</w:t>
      </w:r>
      <w:proofErr w:type="spellEnd"/>
      <w:r w:rsidR="001B53C9" w:rsidRPr="00E35C82">
        <w:rPr>
          <w:rFonts w:ascii="Arial" w:hAnsi="Arial" w:cs="Arial"/>
          <w:i/>
          <w:iCs/>
          <w:color w:val="000000" w:themeColor="text1"/>
        </w:rPr>
        <w:t>”</w:t>
      </w:r>
      <w:r w:rsidR="001B53C9" w:rsidRPr="00E35C82">
        <w:rPr>
          <w:rFonts w:ascii="Arial" w:hAnsi="Arial" w:cs="Arial"/>
          <w:color w:val="000000" w:themeColor="text1"/>
        </w:rPr>
        <w:t>, as is indeed evident from an annexure to the answer.</w:t>
      </w:r>
      <w:r w:rsidR="00D35238" w:rsidRPr="00E35C82">
        <w:rPr>
          <w:rFonts w:ascii="Arial" w:hAnsi="Arial" w:cs="Arial"/>
          <w:color w:val="000000" w:themeColor="text1"/>
        </w:rPr>
        <w:t xml:space="preserve">  Notwithstanding this, the respondents say that the applicant only made reference to a prior written lease agreement when he was requested to vacate the premises. </w:t>
      </w:r>
    </w:p>
    <w:p w14:paraId="3EFF52F5" w14:textId="0E295D90" w:rsidR="001B53C9" w:rsidRPr="00E35C82" w:rsidRDefault="00E35C82" w:rsidP="00E35C82">
      <w:pPr>
        <w:tabs>
          <w:tab w:val="left" w:pos="851"/>
        </w:tabs>
        <w:spacing w:after="480" w:line="480" w:lineRule="auto"/>
        <w:ind w:left="851" w:hanging="851"/>
        <w:jc w:val="both"/>
        <w:rPr>
          <w:rFonts w:ascii="Arial" w:hAnsi="Arial" w:cs="Arial"/>
          <w:color w:val="000000" w:themeColor="text1"/>
          <w:u w:val="single"/>
        </w:rPr>
      </w:pPr>
      <w:r w:rsidRPr="002B5823">
        <w:rPr>
          <w:rFonts w:asciiTheme="minorHAnsi" w:hAnsiTheme="minorHAnsi" w:cs="Arial"/>
          <w:color w:val="000000" w:themeColor="text1"/>
        </w:rPr>
        <w:t>14.</w:t>
      </w:r>
      <w:r w:rsidRPr="002B5823">
        <w:rPr>
          <w:rFonts w:asciiTheme="minorHAnsi" w:hAnsiTheme="minorHAnsi" w:cs="Arial"/>
          <w:color w:val="000000" w:themeColor="text1"/>
        </w:rPr>
        <w:tab/>
      </w:r>
      <w:r w:rsidR="001B53C9" w:rsidRPr="00E35C82">
        <w:rPr>
          <w:rFonts w:ascii="Arial" w:hAnsi="Arial" w:cs="Arial"/>
          <w:color w:val="000000" w:themeColor="text1"/>
        </w:rPr>
        <w:t>The deponent to the answering affidavit says that the respondents’ attorney responded to this correspondence, asserting that the lease had been cancelled, resulting in the applicant being required to leave the premises.  That correspondence is not attached to the answering affidavit.</w:t>
      </w:r>
    </w:p>
    <w:p w14:paraId="641E5DC3" w14:textId="77ED3B03" w:rsidR="00D9448F" w:rsidRPr="00E35C82" w:rsidRDefault="00E35C82" w:rsidP="00E35C82">
      <w:pPr>
        <w:tabs>
          <w:tab w:val="left" w:pos="851"/>
        </w:tabs>
        <w:spacing w:after="480" w:line="480" w:lineRule="auto"/>
        <w:ind w:left="851" w:hanging="851"/>
        <w:jc w:val="both"/>
        <w:rPr>
          <w:rFonts w:ascii="Arial" w:hAnsi="Arial" w:cs="Arial"/>
          <w:color w:val="000000" w:themeColor="text1"/>
        </w:rPr>
      </w:pPr>
      <w:r w:rsidRPr="002B5823">
        <w:rPr>
          <w:rFonts w:asciiTheme="minorHAnsi" w:hAnsiTheme="minorHAnsi" w:cs="Arial"/>
          <w:color w:val="000000" w:themeColor="text1"/>
        </w:rPr>
        <w:lastRenderedPageBreak/>
        <w:t>15.</w:t>
      </w:r>
      <w:r w:rsidRPr="002B5823">
        <w:rPr>
          <w:rFonts w:asciiTheme="minorHAnsi" w:hAnsiTheme="minorHAnsi" w:cs="Arial"/>
          <w:color w:val="000000" w:themeColor="text1"/>
        </w:rPr>
        <w:tab/>
      </w:r>
      <w:r w:rsidR="00D9448F" w:rsidRPr="00E35C82">
        <w:rPr>
          <w:rFonts w:ascii="Arial" w:hAnsi="Arial" w:cs="Arial"/>
          <w:color w:val="000000" w:themeColor="text1"/>
        </w:rPr>
        <w:t xml:space="preserve">Apparently, a warrant of execution was then served on the applicant’s premises towards the end of February, prompting him to seek legal advice.  He says this was when he learnt of the judgment by default obtained against him.  </w:t>
      </w:r>
    </w:p>
    <w:p w14:paraId="7BFFFD18" w14:textId="0A3BB428" w:rsidR="00F476F5" w:rsidRPr="00E35C82" w:rsidRDefault="00E35C82" w:rsidP="00E35C82">
      <w:pPr>
        <w:tabs>
          <w:tab w:val="left" w:pos="851"/>
        </w:tabs>
        <w:spacing w:after="480" w:line="480" w:lineRule="auto"/>
        <w:ind w:left="851" w:hanging="851"/>
        <w:jc w:val="both"/>
        <w:rPr>
          <w:rFonts w:ascii="Arial" w:hAnsi="Arial" w:cs="Arial"/>
          <w:color w:val="000000" w:themeColor="text1"/>
          <w:u w:val="single"/>
        </w:rPr>
      </w:pPr>
      <w:r w:rsidRPr="002B5823">
        <w:rPr>
          <w:rFonts w:asciiTheme="minorHAnsi" w:hAnsiTheme="minorHAnsi" w:cs="Arial"/>
          <w:color w:val="000000" w:themeColor="text1"/>
        </w:rPr>
        <w:t>16.</w:t>
      </w:r>
      <w:r w:rsidRPr="002B5823">
        <w:rPr>
          <w:rFonts w:asciiTheme="minorHAnsi" w:hAnsiTheme="minorHAnsi" w:cs="Arial"/>
          <w:color w:val="000000" w:themeColor="text1"/>
        </w:rPr>
        <w:tab/>
      </w:r>
      <w:r w:rsidR="00764C6E" w:rsidRPr="00E35C82">
        <w:rPr>
          <w:rFonts w:ascii="Arial" w:hAnsi="Arial" w:cs="Arial"/>
          <w:color w:val="000000" w:themeColor="text1"/>
        </w:rPr>
        <w:t xml:space="preserve">Then, according to the applicant’s version, on 2 March 2021 about 15 security personnel </w:t>
      </w:r>
      <w:r w:rsidR="00F476F5" w:rsidRPr="00E35C82">
        <w:rPr>
          <w:rFonts w:ascii="Arial" w:hAnsi="Arial" w:cs="Arial"/>
          <w:color w:val="000000" w:themeColor="text1"/>
        </w:rPr>
        <w:t>employed by the second respondent (G3) came to the Restaurant and locked the premises.  They apparently informed the applicant that they were “</w:t>
      </w:r>
      <w:r w:rsidR="00F476F5" w:rsidRPr="00E35C82">
        <w:rPr>
          <w:rFonts w:ascii="Arial" w:hAnsi="Arial" w:cs="Arial"/>
          <w:i/>
          <w:iCs/>
          <w:color w:val="000000" w:themeColor="text1"/>
        </w:rPr>
        <w:t>sent”</w:t>
      </w:r>
      <w:r w:rsidR="00F476F5" w:rsidRPr="00E35C82">
        <w:rPr>
          <w:rFonts w:ascii="Arial" w:hAnsi="Arial" w:cs="Arial"/>
          <w:color w:val="000000" w:themeColor="text1"/>
        </w:rPr>
        <w:t xml:space="preserve"> by Kings &amp; Queens, who instructed them to lock the premises.  Considerable force is said to have been used in evacuating those persons then on the premises.</w:t>
      </w:r>
    </w:p>
    <w:p w14:paraId="269D7A35" w14:textId="6F296A80" w:rsidR="00F476F5" w:rsidRPr="00E35C82" w:rsidRDefault="00E35C82" w:rsidP="00E35C82">
      <w:pPr>
        <w:tabs>
          <w:tab w:val="left" w:pos="851"/>
        </w:tabs>
        <w:spacing w:after="480" w:line="480" w:lineRule="auto"/>
        <w:ind w:left="851" w:hanging="851"/>
        <w:jc w:val="both"/>
        <w:rPr>
          <w:rFonts w:ascii="Arial" w:hAnsi="Arial" w:cs="Arial"/>
          <w:color w:val="000000" w:themeColor="text1"/>
          <w:u w:val="single"/>
        </w:rPr>
      </w:pPr>
      <w:r w:rsidRPr="002B5823">
        <w:rPr>
          <w:rFonts w:asciiTheme="minorHAnsi" w:hAnsiTheme="minorHAnsi" w:cs="Arial"/>
          <w:color w:val="000000" w:themeColor="text1"/>
        </w:rPr>
        <w:t>17.</w:t>
      </w:r>
      <w:r w:rsidRPr="002B5823">
        <w:rPr>
          <w:rFonts w:asciiTheme="minorHAnsi" w:hAnsiTheme="minorHAnsi" w:cs="Arial"/>
          <w:color w:val="000000" w:themeColor="text1"/>
        </w:rPr>
        <w:tab/>
      </w:r>
      <w:r w:rsidR="00F476F5" w:rsidRPr="00E35C82">
        <w:rPr>
          <w:rFonts w:ascii="Arial" w:hAnsi="Arial" w:cs="Arial"/>
          <w:color w:val="000000" w:themeColor="text1"/>
        </w:rPr>
        <w:t xml:space="preserve">On 3 March 2021, a senior security staff member of G3 is alleged to have told the applicant that all of his property (stock, furniture, alcohol etc) with a combined value of about R500 000 would be moved onto the street by close of business on that day.   </w:t>
      </w:r>
    </w:p>
    <w:p w14:paraId="0265F9BB" w14:textId="524A28EB" w:rsidR="00764C6E" w:rsidRPr="00E35C82" w:rsidRDefault="00E35C82" w:rsidP="00E35C82">
      <w:pPr>
        <w:tabs>
          <w:tab w:val="left" w:pos="851"/>
        </w:tabs>
        <w:spacing w:after="480" w:line="480" w:lineRule="auto"/>
        <w:ind w:left="851" w:hanging="851"/>
        <w:jc w:val="both"/>
        <w:rPr>
          <w:rFonts w:ascii="Arial" w:hAnsi="Arial" w:cs="Arial"/>
          <w:color w:val="000000" w:themeColor="text1"/>
          <w:u w:val="single"/>
        </w:rPr>
      </w:pPr>
      <w:r w:rsidRPr="002B5823">
        <w:rPr>
          <w:rFonts w:asciiTheme="minorHAnsi" w:hAnsiTheme="minorHAnsi" w:cs="Arial"/>
          <w:color w:val="000000" w:themeColor="text1"/>
        </w:rPr>
        <w:t>18.</w:t>
      </w:r>
      <w:r w:rsidRPr="002B5823">
        <w:rPr>
          <w:rFonts w:asciiTheme="minorHAnsi" w:hAnsiTheme="minorHAnsi" w:cs="Arial"/>
          <w:color w:val="000000" w:themeColor="text1"/>
        </w:rPr>
        <w:tab/>
      </w:r>
      <w:r w:rsidR="00F476F5" w:rsidRPr="00E35C82">
        <w:rPr>
          <w:rFonts w:ascii="Arial" w:hAnsi="Arial" w:cs="Arial"/>
          <w:color w:val="000000" w:themeColor="text1"/>
        </w:rPr>
        <w:t>It is common cause that all of this was done without the benefit of a court order</w:t>
      </w:r>
      <w:r w:rsidR="00097C50" w:rsidRPr="00E35C82">
        <w:rPr>
          <w:rFonts w:ascii="Arial" w:hAnsi="Arial" w:cs="Arial"/>
          <w:color w:val="000000" w:themeColor="text1"/>
        </w:rPr>
        <w:t xml:space="preserve"> authorising any of the respondents to </w:t>
      </w:r>
      <w:proofErr w:type="gramStart"/>
      <w:r w:rsidR="00097C50" w:rsidRPr="00E35C82">
        <w:rPr>
          <w:rFonts w:ascii="Arial" w:hAnsi="Arial" w:cs="Arial"/>
          <w:color w:val="000000" w:themeColor="text1"/>
        </w:rPr>
        <w:t>effect</w:t>
      </w:r>
      <w:proofErr w:type="gramEnd"/>
      <w:r w:rsidR="00097C50" w:rsidRPr="00E35C82">
        <w:rPr>
          <w:rFonts w:ascii="Arial" w:hAnsi="Arial" w:cs="Arial"/>
          <w:color w:val="000000" w:themeColor="text1"/>
        </w:rPr>
        <w:t xml:space="preserve"> such ejectment</w:t>
      </w:r>
      <w:r w:rsidR="00F476F5" w:rsidRPr="00E35C82">
        <w:rPr>
          <w:rFonts w:ascii="Arial" w:hAnsi="Arial" w:cs="Arial"/>
          <w:color w:val="000000" w:themeColor="text1"/>
        </w:rPr>
        <w:t xml:space="preserve">. </w:t>
      </w:r>
      <w:r w:rsidR="00764C6E" w:rsidRPr="00E35C82">
        <w:rPr>
          <w:rFonts w:ascii="Arial" w:hAnsi="Arial" w:cs="Arial"/>
          <w:color w:val="000000" w:themeColor="text1"/>
        </w:rPr>
        <w:t xml:space="preserve"> </w:t>
      </w:r>
      <w:r w:rsidR="00D35238" w:rsidRPr="00E35C82">
        <w:rPr>
          <w:rFonts w:ascii="Arial" w:hAnsi="Arial" w:cs="Arial"/>
          <w:color w:val="000000" w:themeColor="text1"/>
        </w:rPr>
        <w:t xml:space="preserve">That provided the basis for the urgent approach to this Court and the order of </w:t>
      </w:r>
      <w:proofErr w:type="spellStart"/>
      <w:r w:rsidR="00D35238" w:rsidRPr="00E35C82">
        <w:rPr>
          <w:rFonts w:ascii="Arial" w:hAnsi="Arial" w:cs="Arial"/>
          <w:color w:val="000000" w:themeColor="text1"/>
        </w:rPr>
        <w:t>Kathree-Setiloane</w:t>
      </w:r>
      <w:proofErr w:type="spellEnd"/>
      <w:r w:rsidR="00D35238" w:rsidRPr="00E35C82">
        <w:rPr>
          <w:rFonts w:ascii="Arial" w:hAnsi="Arial" w:cs="Arial"/>
          <w:color w:val="000000" w:themeColor="text1"/>
        </w:rPr>
        <w:t xml:space="preserve"> J on 3 March 2021.  </w:t>
      </w:r>
    </w:p>
    <w:p w14:paraId="1D2A306F" w14:textId="50EFFC7B" w:rsidR="003E6B54" w:rsidRPr="00E35C82" w:rsidRDefault="00E35C82" w:rsidP="00E35C82">
      <w:pPr>
        <w:tabs>
          <w:tab w:val="left" w:pos="851"/>
        </w:tabs>
        <w:spacing w:after="480" w:line="480" w:lineRule="auto"/>
        <w:ind w:left="851" w:hanging="851"/>
        <w:jc w:val="both"/>
        <w:rPr>
          <w:rFonts w:ascii="Arial" w:hAnsi="Arial" w:cs="Arial"/>
          <w:color w:val="000000" w:themeColor="text1"/>
          <w:u w:val="single"/>
        </w:rPr>
      </w:pPr>
      <w:r w:rsidRPr="003E6B54">
        <w:rPr>
          <w:rFonts w:asciiTheme="minorHAnsi" w:hAnsiTheme="minorHAnsi" w:cs="Arial"/>
          <w:color w:val="000000" w:themeColor="text1"/>
        </w:rPr>
        <w:t>19.</w:t>
      </w:r>
      <w:r w:rsidRPr="003E6B54">
        <w:rPr>
          <w:rFonts w:asciiTheme="minorHAnsi" w:hAnsiTheme="minorHAnsi" w:cs="Arial"/>
          <w:color w:val="000000" w:themeColor="text1"/>
        </w:rPr>
        <w:tab/>
      </w:r>
      <w:r w:rsidR="00D35238" w:rsidRPr="00E35C82">
        <w:rPr>
          <w:rFonts w:ascii="Arial" w:hAnsi="Arial" w:cs="Arial"/>
          <w:color w:val="000000" w:themeColor="text1"/>
        </w:rPr>
        <w:t>On 9 March 2021, the applicant launched a related urgent application</w:t>
      </w:r>
      <w:r w:rsidR="002656C2" w:rsidRPr="00E35C82">
        <w:rPr>
          <w:rFonts w:ascii="Arial" w:hAnsi="Arial" w:cs="Arial"/>
          <w:color w:val="000000" w:themeColor="text1"/>
        </w:rPr>
        <w:t xml:space="preserve"> for stay of execution</w:t>
      </w:r>
      <w:r w:rsidR="00D35238" w:rsidRPr="00E35C82">
        <w:rPr>
          <w:rFonts w:ascii="Arial" w:hAnsi="Arial" w:cs="Arial"/>
          <w:color w:val="000000" w:themeColor="text1"/>
        </w:rPr>
        <w:t xml:space="preserve"> in the Johannesburg Magistrate’s Court.  </w:t>
      </w:r>
    </w:p>
    <w:p w14:paraId="7690E053" w14:textId="0977E00E" w:rsidR="00D35238" w:rsidRPr="00E35C82" w:rsidRDefault="00E35C82" w:rsidP="00E35C82">
      <w:pPr>
        <w:tabs>
          <w:tab w:val="left" w:pos="851"/>
        </w:tabs>
        <w:spacing w:after="480" w:line="480" w:lineRule="auto"/>
        <w:ind w:left="851" w:hanging="851"/>
        <w:jc w:val="both"/>
        <w:rPr>
          <w:rFonts w:ascii="Arial" w:hAnsi="Arial" w:cs="Arial"/>
          <w:color w:val="000000" w:themeColor="text1"/>
          <w:u w:val="single"/>
        </w:rPr>
      </w:pPr>
      <w:r w:rsidRPr="002B5823">
        <w:rPr>
          <w:rFonts w:asciiTheme="minorHAnsi" w:hAnsiTheme="minorHAnsi" w:cs="Arial"/>
          <w:color w:val="000000" w:themeColor="text1"/>
        </w:rPr>
        <w:lastRenderedPageBreak/>
        <w:t>20.</w:t>
      </w:r>
      <w:r w:rsidRPr="002B5823">
        <w:rPr>
          <w:rFonts w:asciiTheme="minorHAnsi" w:hAnsiTheme="minorHAnsi" w:cs="Arial"/>
          <w:color w:val="000000" w:themeColor="text1"/>
        </w:rPr>
        <w:tab/>
      </w:r>
      <w:r w:rsidR="00D35238" w:rsidRPr="00E35C82">
        <w:rPr>
          <w:rFonts w:ascii="Arial" w:hAnsi="Arial" w:cs="Arial"/>
          <w:color w:val="000000" w:themeColor="text1"/>
        </w:rPr>
        <w:t>The respondents say that a letter from the applicant’s attorney pursuant to without prejudice negot</w:t>
      </w:r>
      <w:r w:rsidR="00B45ECF" w:rsidRPr="00E35C82">
        <w:rPr>
          <w:rFonts w:ascii="Arial" w:hAnsi="Arial" w:cs="Arial"/>
          <w:color w:val="000000" w:themeColor="text1"/>
        </w:rPr>
        <w:t>i</w:t>
      </w:r>
      <w:r w:rsidR="00D35238" w:rsidRPr="00E35C82">
        <w:rPr>
          <w:rFonts w:ascii="Arial" w:hAnsi="Arial" w:cs="Arial"/>
          <w:color w:val="000000" w:themeColor="text1"/>
        </w:rPr>
        <w:t>ations between the parties</w:t>
      </w:r>
      <w:r w:rsidR="003E6B54" w:rsidRPr="00E35C82">
        <w:rPr>
          <w:rFonts w:ascii="Arial" w:hAnsi="Arial" w:cs="Arial"/>
          <w:color w:val="000000" w:themeColor="text1"/>
        </w:rPr>
        <w:t xml:space="preserve"> that followed this</w:t>
      </w:r>
      <w:r w:rsidR="00D35238" w:rsidRPr="00E35C82">
        <w:rPr>
          <w:rFonts w:ascii="Arial" w:hAnsi="Arial" w:cs="Arial"/>
          <w:color w:val="000000" w:themeColor="text1"/>
        </w:rPr>
        <w:t xml:space="preserve"> “</w:t>
      </w:r>
      <w:r w:rsidR="00D35238" w:rsidRPr="00E35C82">
        <w:rPr>
          <w:rFonts w:ascii="Arial" w:hAnsi="Arial" w:cs="Arial"/>
          <w:i/>
          <w:iCs/>
          <w:color w:val="000000" w:themeColor="text1"/>
        </w:rPr>
        <w:t>makes it clear that the Applicant has not in the past complied with and currently refuses to comply with either the written or oral agreement which he purports to rely upon in this matter”</w:t>
      </w:r>
      <w:r w:rsidR="00D35238" w:rsidRPr="00E35C82">
        <w:rPr>
          <w:rFonts w:ascii="Arial" w:hAnsi="Arial" w:cs="Arial"/>
          <w:color w:val="000000" w:themeColor="text1"/>
        </w:rPr>
        <w:t>.</w:t>
      </w:r>
      <w:r w:rsidR="00097C50" w:rsidRPr="00E35C82">
        <w:rPr>
          <w:rFonts w:ascii="Arial" w:hAnsi="Arial" w:cs="Arial"/>
          <w:color w:val="000000" w:themeColor="text1"/>
        </w:rPr>
        <w:t xml:space="preserve">  </w:t>
      </w:r>
      <w:r w:rsidR="000461CB" w:rsidRPr="00E35C82">
        <w:rPr>
          <w:rFonts w:ascii="Arial" w:hAnsi="Arial" w:cs="Arial"/>
          <w:color w:val="000000" w:themeColor="text1"/>
        </w:rPr>
        <w:t xml:space="preserve">What the letter in fact asks for is a rental statement from Kings &amp; Queens or Timers Estates.  The indebtedness to Mr Hodes is said to be an issue to be resolved with him, unrelated to the spoliation application.  How the deponent to the answering affidavit reaches the conclusion pleaded, I am not sure.  </w:t>
      </w:r>
    </w:p>
    <w:p w14:paraId="2EFAC45E" w14:textId="02427D0E" w:rsidR="002656C2" w:rsidRPr="00E35C82" w:rsidRDefault="00E35C82" w:rsidP="00E35C82">
      <w:pPr>
        <w:tabs>
          <w:tab w:val="left" w:pos="851"/>
        </w:tabs>
        <w:spacing w:after="480" w:line="480" w:lineRule="auto"/>
        <w:ind w:left="851" w:hanging="851"/>
        <w:jc w:val="both"/>
        <w:rPr>
          <w:rFonts w:ascii="Arial" w:hAnsi="Arial" w:cs="Arial"/>
          <w:color w:val="000000" w:themeColor="text1"/>
          <w:u w:val="single"/>
        </w:rPr>
      </w:pPr>
      <w:r w:rsidRPr="002B5823">
        <w:rPr>
          <w:rFonts w:asciiTheme="minorHAnsi" w:hAnsiTheme="minorHAnsi" w:cs="Arial"/>
          <w:color w:val="000000" w:themeColor="text1"/>
        </w:rPr>
        <w:t>21.</w:t>
      </w:r>
      <w:r w:rsidRPr="002B5823">
        <w:rPr>
          <w:rFonts w:asciiTheme="minorHAnsi" w:hAnsiTheme="minorHAnsi" w:cs="Arial"/>
          <w:color w:val="000000" w:themeColor="text1"/>
        </w:rPr>
        <w:tab/>
      </w:r>
      <w:r w:rsidR="002656C2" w:rsidRPr="00E35C82">
        <w:rPr>
          <w:rFonts w:ascii="Arial" w:hAnsi="Arial" w:cs="Arial"/>
          <w:color w:val="000000" w:themeColor="text1"/>
        </w:rPr>
        <w:t xml:space="preserve">On 11 May 2021, the applicant served a rescission application in respect of the default judgment on Mr Hodes. </w:t>
      </w:r>
      <w:r w:rsidR="00810C4B" w:rsidRPr="00E35C82">
        <w:rPr>
          <w:rFonts w:ascii="Arial" w:hAnsi="Arial" w:cs="Arial"/>
          <w:color w:val="000000" w:themeColor="text1"/>
        </w:rPr>
        <w:t xml:space="preserve"> Mr Hodes filed an answering affidavit in the Magistrates’ Court on 18 June 2021.</w:t>
      </w:r>
      <w:r w:rsidR="002656C2" w:rsidRPr="00E35C82">
        <w:rPr>
          <w:rFonts w:ascii="Arial" w:hAnsi="Arial" w:cs="Arial"/>
          <w:color w:val="000000" w:themeColor="text1"/>
        </w:rPr>
        <w:t xml:space="preserve"> </w:t>
      </w:r>
      <w:r w:rsidR="00020282" w:rsidRPr="00E35C82">
        <w:rPr>
          <w:rFonts w:ascii="Arial" w:hAnsi="Arial" w:cs="Arial"/>
          <w:color w:val="000000" w:themeColor="text1"/>
        </w:rPr>
        <w:t>In the meantime, Mr Hodes has sadly passed on.  I am advised that the rescission application was due to be heard on 3 August 2021 (</w:t>
      </w:r>
      <w:proofErr w:type="gramStart"/>
      <w:r w:rsidR="00020282" w:rsidRPr="00E35C82">
        <w:rPr>
          <w:rFonts w:ascii="Arial" w:hAnsi="Arial" w:cs="Arial"/>
          <w:color w:val="000000" w:themeColor="text1"/>
        </w:rPr>
        <w:t>i.e.</w:t>
      </w:r>
      <w:proofErr w:type="gramEnd"/>
      <w:r w:rsidR="00020282" w:rsidRPr="00E35C82">
        <w:rPr>
          <w:rFonts w:ascii="Arial" w:hAnsi="Arial" w:cs="Arial"/>
          <w:color w:val="000000" w:themeColor="text1"/>
        </w:rPr>
        <w:t xml:space="preserve"> some 6 court days before the present application came before me).  However, the matter was removed from the roll and remains pending in the Magistrates’ Court. </w:t>
      </w:r>
      <w:r w:rsidR="00964768" w:rsidRPr="00E35C82">
        <w:rPr>
          <w:rFonts w:ascii="Arial" w:hAnsi="Arial" w:cs="Arial"/>
          <w:color w:val="000000" w:themeColor="text1"/>
        </w:rPr>
        <w:t xml:space="preserve"> The respondents’ counsel asserted before me that the removal from the roll in the Magistrates’ Court formed part of the applicant’s alleged “</w:t>
      </w:r>
      <w:r w:rsidR="00964768" w:rsidRPr="00E35C82">
        <w:rPr>
          <w:rFonts w:ascii="Arial" w:hAnsi="Arial" w:cs="Arial"/>
          <w:i/>
          <w:iCs/>
          <w:color w:val="000000" w:themeColor="text1"/>
        </w:rPr>
        <w:t>Stalingrad approach”</w:t>
      </w:r>
      <w:r w:rsidR="00964768" w:rsidRPr="00E35C82">
        <w:rPr>
          <w:rFonts w:ascii="Arial" w:hAnsi="Arial" w:cs="Arial"/>
          <w:color w:val="000000" w:themeColor="text1"/>
        </w:rPr>
        <w:t xml:space="preserve"> to delay finalisation of the matter. </w:t>
      </w:r>
    </w:p>
    <w:p w14:paraId="654C197F" w14:textId="77777777" w:rsidR="00ED37F4" w:rsidRPr="002B5823" w:rsidRDefault="00ED37F4" w:rsidP="00ED37F4">
      <w:pPr>
        <w:spacing w:after="480" w:line="480" w:lineRule="auto"/>
        <w:jc w:val="both"/>
        <w:rPr>
          <w:rFonts w:ascii="Arial" w:hAnsi="Arial" w:cs="Arial"/>
          <w:color w:val="000000" w:themeColor="text1"/>
          <w:u w:val="single"/>
        </w:rPr>
      </w:pPr>
      <w:r w:rsidRPr="002B5823">
        <w:rPr>
          <w:rFonts w:ascii="Arial" w:hAnsi="Arial" w:cs="Arial"/>
          <w:color w:val="000000" w:themeColor="text1"/>
          <w:u w:val="single"/>
        </w:rPr>
        <w:t>Pleadings</w:t>
      </w:r>
      <w:r w:rsidR="00330C8A" w:rsidRPr="002B5823">
        <w:rPr>
          <w:rFonts w:ascii="Arial" w:hAnsi="Arial" w:cs="Arial"/>
          <w:color w:val="000000" w:themeColor="text1"/>
          <w:u w:val="single"/>
        </w:rPr>
        <w:t xml:space="preserve"> and points </w:t>
      </w:r>
      <w:r w:rsidR="00330C8A" w:rsidRPr="002B5823">
        <w:rPr>
          <w:rFonts w:ascii="Arial" w:hAnsi="Arial" w:cs="Arial"/>
          <w:i/>
          <w:iCs/>
          <w:color w:val="000000" w:themeColor="text1"/>
          <w:u w:val="single"/>
        </w:rPr>
        <w:t xml:space="preserve">in </w:t>
      </w:r>
      <w:proofErr w:type="spellStart"/>
      <w:r w:rsidR="00330C8A" w:rsidRPr="002B5823">
        <w:rPr>
          <w:rFonts w:ascii="Arial" w:hAnsi="Arial" w:cs="Arial"/>
          <w:i/>
          <w:iCs/>
          <w:color w:val="000000" w:themeColor="text1"/>
          <w:u w:val="single"/>
        </w:rPr>
        <w:t>limine</w:t>
      </w:r>
      <w:proofErr w:type="spellEnd"/>
    </w:p>
    <w:p w14:paraId="337B04B0" w14:textId="02465EEE" w:rsidR="00ED37F4" w:rsidRPr="00E35C82" w:rsidRDefault="00E35C82" w:rsidP="00E35C82">
      <w:pPr>
        <w:tabs>
          <w:tab w:val="left" w:pos="851"/>
        </w:tabs>
        <w:spacing w:after="480" w:line="480" w:lineRule="auto"/>
        <w:ind w:left="851" w:hanging="851"/>
        <w:jc w:val="both"/>
        <w:rPr>
          <w:rFonts w:ascii="Arial" w:hAnsi="Arial" w:cs="Arial"/>
          <w:color w:val="000000" w:themeColor="text1"/>
          <w:u w:val="single"/>
        </w:rPr>
      </w:pPr>
      <w:r w:rsidRPr="002B5823">
        <w:rPr>
          <w:rFonts w:asciiTheme="minorHAnsi" w:hAnsiTheme="minorHAnsi" w:cs="Arial"/>
          <w:color w:val="000000" w:themeColor="text1"/>
        </w:rPr>
        <w:t>22.</w:t>
      </w:r>
      <w:r w:rsidRPr="002B5823">
        <w:rPr>
          <w:rFonts w:asciiTheme="minorHAnsi" w:hAnsiTheme="minorHAnsi" w:cs="Arial"/>
          <w:color w:val="000000" w:themeColor="text1"/>
        </w:rPr>
        <w:tab/>
      </w:r>
      <w:r w:rsidR="00ED37F4" w:rsidRPr="00E35C82">
        <w:rPr>
          <w:rFonts w:ascii="Arial" w:hAnsi="Arial" w:cs="Arial"/>
          <w:color w:val="000000" w:themeColor="text1"/>
        </w:rPr>
        <w:t xml:space="preserve">As indicated hereinbefore, the application was launched on 3 March 2021.  </w:t>
      </w:r>
    </w:p>
    <w:p w14:paraId="116FAED4" w14:textId="74ADE875" w:rsidR="00330C8A" w:rsidRPr="00E35C82" w:rsidRDefault="00E35C82" w:rsidP="00E35C82">
      <w:pPr>
        <w:tabs>
          <w:tab w:val="left" w:pos="851"/>
        </w:tabs>
        <w:spacing w:after="480" w:line="480" w:lineRule="auto"/>
        <w:ind w:left="851" w:hanging="851"/>
        <w:jc w:val="both"/>
        <w:rPr>
          <w:rFonts w:ascii="Arial" w:hAnsi="Arial" w:cs="Arial"/>
          <w:color w:val="000000" w:themeColor="text1"/>
          <w:u w:val="single"/>
        </w:rPr>
      </w:pPr>
      <w:r w:rsidRPr="002B5823">
        <w:rPr>
          <w:rFonts w:asciiTheme="minorHAnsi" w:hAnsiTheme="minorHAnsi" w:cs="Arial"/>
          <w:color w:val="000000" w:themeColor="text1"/>
        </w:rPr>
        <w:lastRenderedPageBreak/>
        <w:t>23.</w:t>
      </w:r>
      <w:r w:rsidRPr="002B5823">
        <w:rPr>
          <w:rFonts w:asciiTheme="minorHAnsi" w:hAnsiTheme="minorHAnsi" w:cs="Arial"/>
          <w:color w:val="000000" w:themeColor="text1"/>
        </w:rPr>
        <w:tab/>
      </w:r>
      <w:r w:rsidR="00A51E11" w:rsidRPr="00E35C82">
        <w:rPr>
          <w:rFonts w:ascii="Arial" w:hAnsi="Arial" w:cs="Arial"/>
          <w:color w:val="000000" w:themeColor="text1"/>
        </w:rPr>
        <w:t>Kings &amp; Queens and Timer Estates</w:t>
      </w:r>
      <w:r w:rsidR="00ED37F4" w:rsidRPr="00E35C82">
        <w:rPr>
          <w:rFonts w:ascii="Arial" w:hAnsi="Arial" w:cs="Arial"/>
          <w:color w:val="000000" w:themeColor="text1"/>
        </w:rPr>
        <w:t xml:space="preserve"> gave notice to oppose on 8</w:t>
      </w:r>
      <w:r w:rsidR="00A51E11" w:rsidRPr="00E35C82">
        <w:rPr>
          <w:rFonts w:ascii="Arial" w:hAnsi="Arial" w:cs="Arial"/>
          <w:color w:val="000000" w:themeColor="text1"/>
        </w:rPr>
        <w:t xml:space="preserve"> or 9</w:t>
      </w:r>
      <w:r w:rsidR="00ED37F4" w:rsidRPr="00E35C82">
        <w:rPr>
          <w:rFonts w:ascii="Arial" w:hAnsi="Arial" w:cs="Arial"/>
          <w:color w:val="000000" w:themeColor="text1"/>
        </w:rPr>
        <w:t xml:space="preserve"> March 2021, and filed </w:t>
      </w:r>
      <w:r w:rsidR="00A51E11" w:rsidRPr="00E35C82">
        <w:rPr>
          <w:rFonts w:ascii="Arial" w:hAnsi="Arial" w:cs="Arial"/>
          <w:color w:val="000000" w:themeColor="text1"/>
        </w:rPr>
        <w:t>their</w:t>
      </w:r>
      <w:r w:rsidR="00ED37F4" w:rsidRPr="00E35C82">
        <w:rPr>
          <w:rFonts w:ascii="Arial" w:hAnsi="Arial" w:cs="Arial"/>
          <w:color w:val="000000" w:themeColor="text1"/>
        </w:rPr>
        <w:t xml:space="preserve"> answer on</w:t>
      </w:r>
      <w:r w:rsidR="00A51E11" w:rsidRPr="00E35C82">
        <w:rPr>
          <w:rFonts w:ascii="Arial" w:hAnsi="Arial" w:cs="Arial"/>
          <w:color w:val="000000" w:themeColor="text1"/>
        </w:rPr>
        <w:t xml:space="preserve"> 16 March 2021.  G3 also gave notice of intention to </w:t>
      </w:r>
      <w:proofErr w:type="gramStart"/>
      <w:r w:rsidR="00A51E11" w:rsidRPr="00E35C82">
        <w:rPr>
          <w:rFonts w:ascii="Arial" w:hAnsi="Arial" w:cs="Arial"/>
          <w:color w:val="000000" w:themeColor="text1"/>
        </w:rPr>
        <w:t>oppose</w:t>
      </w:r>
      <w:r w:rsidR="00ED37F4" w:rsidRPr="00E35C82">
        <w:rPr>
          <w:rFonts w:ascii="Arial" w:hAnsi="Arial" w:cs="Arial"/>
          <w:color w:val="000000" w:themeColor="text1"/>
        </w:rPr>
        <w:t xml:space="preserve"> </w:t>
      </w:r>
      <w:r w:rsidR="00A51E11" w:rsidRPr="00E35C82">
        <w:rPr>
          <w:rFonts w:ascii="Arial" w:hAnsi="Arial" w:cs="Arial"/>
          <w:color w:val="000000" w:themeColor="text1"/>
        </w:rPr>
        <w:t xml:space="preserve"> on</w:t>
      </w:r>
      <w:proofErr w:type="gramEnd"/>
      <w:r w:rsidR="00A51E11" w:rsidRPr="00E35C82">
        <w:rPr>
          <w:rFonts w:ascii="Arial" w:hAnsi="Arial" w:cs="Arial"/>
          <w:color w:val="000000" w:themeColor="text1"/>
        </w:rPr>
        <w:t xml:space="preserve"> 11 March 2021.  It filed no answer.  </w:t>
      </w:r>
      <w:r w:rsidR="00ED37F4" w:rsidRPr="00E35C82">
        <w:rPr>
          <w:rFonts w:ascii="Arial" w:hAnsi="Arial" w:cs="Arial"/>
          <w:color w:val="000000" w:themeColor="text1"/>
        </w:rPr>
        <w:t xml:space="preserve"> </w:t>
      </w:r>
    </w:p>
    <w:p w14:paraId="0492BB28" w14:textId="623BCF6A" w:rsidR="00330C8A" w:rsidRPr="00E35C82" w:rsidRDefault="00E35C82" w:rsidP="00E35C82">
      <w:pPr>
        <w:tabs>
          <w:tab w:val="left" w:pos="851"/>
        </w:tabs>
        <w:spacing w:after="480" w:line="480" w:lineRule="auto"/>
        <w:ind w:left="851" w:hanging="851"/>
        <w:jc w:val="both"/>
        <w:rPr>
          <w:rFonts w:ascii="Arial" w:hAnsi="Arial" w:cs="Arial"/>
          <w:color w:val="000000" w:themeColor="text1"/>
          <w:u w:val="single"/>
        </w:rPr>
      </w:pPr>
      <w:r w:rsidRPr="002B5823">
        <w:rPr>
          <w:rFonts w:asciiTheme="minorHAnsi" w:hAnsiTheme="minorHAnsi" w:cs="Arial"/>
          <w:color w:val="000000" w:themeColor="text1"/>
        </w:rPr>
        <w:t>24.</w:t>
      </w:r>
      <w:r w:rsidRPr="002B5823">
        <w:rPr>
          <w:rFonts w:asciiTheme="minorHAnsi" w:hAnsiTheme="minorHAnsi" w:cs="Arial"/>
          <w:color w:val="000000" w:themeColor="text1"/>
        </w:rPr>
        <w:tab/>
      </w:r>
      <w:r w:rsidR="00330C8A" w:rsidRPr="00E35C82">
        <w:rPr>
          <w:rFonts w:ascii="Arial" w:hAnsi="Arial" w:cs="Arial"/>
          <w:color w:val="000000" w:themeColor="text1"/>
        </w:rPr>
        <w:t>The applicant replied on</w:t>
      </w:r>
      <w:r w:rsidR="003E6B54" w:rsidRPr="00E35C82">
        <w:rPr>
          <w:rFonts w:ascii="Arial" w:hAnsi="Arial" w:cs="Arial"/>
          <w:color w:val="000000" w:themeColor="text1"/>
        </w:rPr>
        <w:t xml:space="preserve"> or about 19 March 2021.</w:t>
      </w:r>
    </w:p>
    <w:p w14:paraId="0C22B398" w14:textId="3FCAAD03" w:rsidR="00ED37F4" w:rsidRPr="00E35C82" w:rsidRDefault="00E35C82" w:rsidP="00E35C82">
      <w:pPr>
        <w:tabs>
          <w:tab w:val="left" w:pos="851"/>
        </w:tabs>
        <w:spacing w:after="480" w:line="480" w:lineRule="auto"/>
        <w:ind w:left="851" w:hanging="851"/>
        <w:jc w:val="both"/>
        <w:rPr>
          <w:rFonts w:ascii="Arial" w:hAnsi="Arial" w:cs="Arial"/>
          <w:color w:val="000000" w:themeColor="text1"/>
          <w:u w:val="single"/>
        </w:rPr>
      </w:pPr>
      <w:r w:rsidRPr="002B5823">
        <w:rPr>
          <w:rFonts w:asciiTheme="minorHAnsi" w:hAnsiTheme="minorHAnsi" w:cs="Arial"/>
          <w:color w:val="000000" w:themeColor="text1"/>
        </w:rPr>
        <w:t>25.</w:t>
      </w:r>
      <w:r w:rsidRPr="002B5823">
        <w:rPr>
          <w:rFonts w:asciiTheme="minorHAnsi" w:hAnsiTheme="minorHAnsi" w:cs="Arial"/>
          <w:color w:val="000000" w:themeColor="text1"/>
        </w:rPr>
        <w:tab/>
      </w:r>
      <w:r w:rsidR="00330C8A" w:rsidRPr="00E35C82">
        <w:rPr>
          <w:rFonts w:ascii="Arial" w:hAnsi="Arial" w:cs="Arial"/>
          <w:color w:val="000000" w:themeColor="text1"/>
        </w:rPr>
        <w:t>In the answer, Kings &amp; Queens and Timer Estates raised three “</w:t>
      </w:r>
      <w:r w:rsidR="00330C8A" w:rsidRPr="00E35C82">
        <w:rPr>
          <w:rFonts w:ascii="Arial" w:hAnsi="Arial" w:cs="Arial"/>
          <w:i/>
          <w:iCs/>
          <w:color w:val="000000" w:themeColor="text1"/>
        </w:rPr>
        <w:t xml:space="preserve">points in </w:t>
      </w:r>
      <w:proofErr w:type="spellStart"/>
      <w:r w:rsidR="00330C8A" w:rsidRPr="00E35C82">
        <w:rPr>
          <w:rFonts w:ascii="Arial" w:hAnsi="Arial" w:cs="Arial"/>
          <w:i/>
          <w:iCs/>
          <w:color w:val="000000" w:themeColor="text1"/>
        </w:rPr>
        <w:t>limine</w:t>
      </w:r>
      <w:proofErr w:type="spellEnd"/>
      <w:r w:rsidR="00330C8A" w:rsidRPr="00E35C82">
        <w:rPr>
          <w:rFonts w:ascii="Arial" w:hAnsi="Arial" w:cs="Arial"/>
          <w:i/>
          <w:iCs/>
          <w:color w:val="000000" w:themeColor="text1"/>
        </w:rPr>
        <w:t>”</w:t>
      </w:r>
      <w:r w:rsidR="00330C8A" w:rsidRPr="00E35C82">
        <w:rPr>
          <w:rFonts w:ascii="Arial" w:hAnsi="Arial" w:cs="Arial"/>
          <w:color w:val="000000" w:themeColor="text1"/>
        </w:rPr>
        <w:t>, being (</w:t>
      </w:r>
      <w:proofErr w:type="spellStart"/>
      <w:r w:rsidR="00330C8A" w:rsidRPr="00E35C82">
        <w:rPr>
          <w:rFonts w:ascii="Arial" w:hAnsi="Arial" w:cs="Arial"/>
          <w:color w:val="000000" w:themeColor="text1"/>
        </w:rPr>
        <w:t>i</w:t>
      </w:r>
      <w:proofErr w:type="spellEnd"/>
      <w:r w:rsidR="00330C8A" w:rsidRPr="00E35C82">
        <w:rPr>
          <w:rFonts w:ascii="Arial" w:hAnsi="Arial" w:cs="Arial"/>
          <w:color w:val="000000" w:themeColor="text1"/>
        </w:rPr>
        <w:t>) the non-joinder of Mr Hodes; (ii) the applicant approaching</w:t>
      </w:r>
      <w:r w:rsidR="00ED37F4" w:rsidRPr="00E35C82">
        <w:rPr>
          <w:rFonts w:ascii="Arial" w:hAnsi="Arial" w:cs="Arial"/>
          <w:color w:val="000000" w:themeColor="text1"/>
        </w:rPr>
        <w:t xml:space="preserve"> </w:t>
      </w:r>
      <w:r w:rsidR="00330C8A" w:rsidRPr="00E35C82">
        <w:rPr>
          <w:rFonts w:ascii="Arial" w:hAnsi="Arial" w:cs="Arial"/>
          <w:color w:val="000000" w:themeColor="text1"/>
        </w:rPr>
        <w:t xml:space="preserve">this Court in motion proceedings where disputes of fact exist; and (iii) the applicant having misled the Court.  </w:t>
      </w:r>
    </w:p>
    <w:p w14:paraId="2A507B54" w14:textId="2902F93A" w:rsidR="00330C8A" w:rsidRPr="00E35C82" w:rsidRDefault="00E35C82" w:rsidP="00E35C82">
      <w:pPr>
        <w:tabs>
          <w:tab w:val="left" w:pos="851"/>
        </w:tabs>
        <w:spacing w:after="480" w:line="480" w:lineRule="auto"/>
        <w:ind w:left="851" w:hanging="851"/>
        <w:jc w:val="both"/>
        <w:rPr>
          <w:rFonts w:ascii="Arial" w:hAnsi="Arial" w:cs="Arial"/>
          <w:color w:val="000000" w:themeColor="text1"/>
          <w:u w:val="single"/>
        </w:rPr>
      </w:pPr>
      <w:r w:rsidRPr="002B5823">
        <w:rPr>
          <w:rFonts w:asciiTheme="minorHAnsi" w:hAnsiTheme="minorHAnsi" w:cs="Arial"/>
          <w:color w:val="000000" w:themeColor="text1"/>
        </w:rPr>
        <w:t>26.</w:t>
      </w:r>
      <w:r w:rsidRPr="002B5823">
        <w:rPr>
          <w:rFonts w:asciiTheme="minorHAnsi" w:hAnsiTheme="minorHAnsi" w:cs="Arial"/>
          <w:color w:val="000000" w:themeColor="text1"/>
        </w:rPr>
        <w:tab/>
      </w:r>
      <w:r w:rsidR="00330C8A" w:rsidRPr="00E35C82">
        <w:rPr>
          <w:rFonts w:ascii="Arial" w:hAnsi="Arial" w:cs="Arial"/>
          <w:color w:val="000000" w:themeColor="text1"/>
        </w:rPr>
        <w:t>In reply, the applicant raised as preliminary points (</w:t>
      </w:r>
      <w:proofErr w:type="spellStart"/>
      <w:r w:rsidR="00330C8A" w:rsidRPr="00E35C82">
        <w:rPr>
          <w:rFonts w:ascii="Arial" w:hAnsi="Arial" w:cs="Arial"/>
          <w:color w:val="000000" w:themeColor="text1"/>
        </w:rPr>
        <w:t>i</w:t>
      </w:r>
      <w:proofErr w:type="spellEnd"/>
      <w:r w:rsidR="00330C8A" w:rsidRPr="00E35C82">
        <w:rPr>
          <w:rFonts w:ascii="Arial" w:hAnsi="Arial" w:cs="Arial"/>
          <w:color w:val="000000" w:themeColor="text1"/>
        </w:rPr>
        <w:t xml:space="preserve">) reference to the wrong case number in the resolution attached to the answering affidavit; and (ii) the commissioner of oaths administering the oath for the deponent to the answering affidavit sharing an address with the attorney for the respondents.  </w:t>
      </w:r>
    </w:p>
    <w:p w14:paraId="6C980654" w14:textId="0B82323F" w:rsidR="00330C8A" w:rsidRPr="00E35C82" w:rsidRDefault="00E35C82" w:rsidP="00E35C82">
      <w:pPr>
        <w:tabs>
          <w:tab w:val="left" w:pos="851"/>
        </w:tabs>
        <w:spacing w:after="480" w:line="480" w:lineRule="auto"/>
        <w:ind w:left="851" w:hanging="851"/>
        <w:jc w:val="both"/>
        <w:rPr>
          <w:rFonts w:ascii="Arial" w:hAnsi="Arial" w:cs="Arial"/>
          <w:color w:val="000000" w:themeColor="text1"/>
          <w:u w:val="single"/>
        </w:rPr>
      </w:pPr>
      <w:r w:rsidRPr="002B5823">
        <w:rPr>
          <w:rFonts w:asciiTheme="minorHAnsi" w:hAnsiTheme="minorHAnsi" w:cs="Arial"/>
          <w:color w:val="000000" w:themeColor="text1"/>
        </w:rPr>
        <w:t>27.</w:t>
      </w:r>
      <w:r w:rsidRPr="002B5823">
        <w:rPr>
          <w:rFonts w:asciiTheme="minorHAnsi" w:hAnsiTheme="minorHAnsi" w:cs="Arial"/>
          <w:color w:val="000000" w:themeColor="text1"/>
        </w:rPr>
        <w:tab/>
      </w:r>
      <w:r w:rsidR="00330C8A" w:rsidRPr="00E35C82">
        <w:rPr>
          <w:rFonts w:ascii="Arial" w:hAnsi="Arial" w:cs="Arial"/>
          <w:color w:val="000000" w:themeColor="text1"/>
        </w:rPr>
        <w:t xml:space="preserve">I shall deal with these matters first.  </w:t>
      </w:r>
    </w:p>
    <w:p w14:paraId="1F37A2ED" w14:textId="77777777" w:rsidR="00A51E11" w:rsidRPr="002B5823" w:rsidRDefault="00A51E11" w:rsidP="00BB7D7E">
      <w:pPr>
        <w:keepNext/>
        <w:spacing w:after="480" w:line="480" w:lineRule="auto"/>
        <w:jc w:val="both"/>
        <w:rPr>
          <w:rFonts w:ascii="Arial" w:hAnsi="Arial" w:cs="Arial"/>
          <w:i/>
          <w:iCs/>
          <w:color w:val="000000" w:themeColor="text1"/>
        </w:rPr>
      </w:pPr>
      <w:r w:rsidRPr="002B5823">
        <w:rPr>
          <w:rFonts w:ascii="Arial" w:hAnsi="Arial" w:cs="Arial"/>
          <w:i/>
          <w:iCs/>
          <w:color w:val="000000" w:themeColor="text1"/>
        </w:rPr>
        <w:t>Non-joinder of Mr Hodes</w:t>
      </w:r>
    </w:p>
    <w:p w14:paraId="347232D8" w14:textId="1F0DF360" w:rsidR="000C186B" w:rsidRPr="00E35C82" w:rsidRDefault="00E35C82" w:rsidP="00E35C82">
      <w:pPr>
        <w:tabs>
          <w:tab w:val="left" w:pos="851"/>
        </w:tabs>
        <w:spacing w:after="480" w:line="480" w:lineRule="auto"/>
        <w:ind w:left="851" w:hanging="851"/>
        <w:jc w:val="both"/>
        <w:rPr>
          <w:rFonts w:ascii="Arial" w:hAnsi="Arial" w:cs="Arial"/>
          <w:color w:val="000000" w:themeColor="text1"/>
          <w:u w:val="single"/>
        </w:rPr>
      </w:pPr>
      <w:r w:rsidRPr="002B5823">
        <w:rPr>
          <w:rFonts w:asciiTheme="minorHAnsi" w:hAnsiTheme="minorHAnsi" w:cs="Arial"/>
          <w:color w:val="000000" w:themeColor="text1"/>
        </w:rPr>
        <w:t>28.</w:t>
      </w:r>
      <w:r w:rsidRPr="002B5823">
        <w:rPr>
          <w:rFonts w:asciiTheme="minorHAnsi" w:hAnsiTheme="minorHAnsi" w:cs="Arial"/>
          <w:color w:val="000000" w:themeColor="text1"/>
        </w:rPr>
        <w:tab/>
      </w:r>
      <w:r w:rsidR="00A51E11" w:rsidRPr="00E35C82">
        <w:rPr>
          <w:rFonts w:ascii="Arial" w:hAnsi="Arial" w:cs="Arial"/>
          <w:color w:val="000000" w:themeColor="text1"/>
        </w:rPr>
        <w:t>A</w:t>
      </w:r>
      <w:r w:rsidR="00ED37F4" w:rsidRPr="00E35C82">
        <w:rPr>
          <w:rFonts w:ascii="Arial" w:hAnsi="Arial" w:cs="Arial"/>
          <w:color w:val="000000" w:themeColor="text1"/>
        </w:rPr>
        <w:t xml:space="preserve"> point </w:t>
      </w:r>
      <w:r w:rsidR="00ED37F4" w:rsidRPr="00E35C82">
        <w:rPr>
          <w:rFonts w:ascii="Arial" w:hAnsi="Arial" w:cs="Arial"/>
          <w:i/>
          <w:iCs/>
          <w:color w:val="000000" w:themeColor="text1"/>
        </w:rPr>
        <w:t xml:space="preserve">in </w:t>
      </w:r>
      <w:proofErr w:type="spellStart"/>
      <w:r w:rsidR="00ED37F4" w:rsidRPr="00E35C82">
        <w:rPr>
          <w:rFonts w:ascii="Arial" w:hAnsi="Arial" w:cs="Arial"/>
          <w:i/>
          <w:iCs/>
          <w:color w:val="000000" w:themeColor="text1"/>
        </w:rPr>
        <w:t>limine</w:t>
      </w:r>
      <w:proofErr w:type="spellEnd"/>
      <w:r w:rsidR="00ED37F4" w:rsidRPr="00E35C82">
        <w:rPr>
          <w:rFonts w:ascii="Arial" w:hAnsi="Arial" w:cs="Arial"/>
          <w:color w:val="000000" w:themeColor="text1"/>
        </w:rPr>
        <w:t xml:space="preserve"> </w:t>
      </w:r>
      <w:r w:rsidR="00A51E11" w:rsidRPr="00E35C82">
        <w:rPr>
          <w:rFonts w:ascii="Arial" w:hAnsi="Arial" w:cs="Arial"/>
          <w:color w:val="000000" w:themeColor="text1"/>
        </w:rPr>
        <w:t>was r</w:t>
      </w:r>
      <w:r w:rsidR="00ED37F4" w:rsidRPr="00E35C82">
        <w:rPr>
          <w:rFonts w:ascii="Arial" w:hAnsi="Arial" w:cs="Arial"/>
          <w:color w:val="000000" w:themeColor="text1"/>
        </w:rPr>
        <w:t xml:space="preserve">aised </w:t>
      </w:r>
      <w:r w:rsidR="00A51E11" w:rsidRPr="00E35C82">
        <w:rPr>
          <w:rFonts w:ascii="Arial" w:hAnsi="Arial" w:cs="Arial"/>
          <w:color w:val="000000" w:themeColor="text1"/>
        </w:rPr>
        <w:t>on the basis</w:t>
      </w:r>
      <w:r w:rsidR="00ED37F4" w:rsidRPr="00E35C82">
        <w:rPr>
          <w:rFonts w:ascii="Arial" w:hAnsi="Arial" w:cs="Arial"/>
          <w:color w:val="000000" w:themeColor="text1"/>
        </w:rPr>
        <w:t xml:space="preserve"> that Mr Hodes had not been cited, even though the applicant relies on his lease agreement concluded with Mr Hodes.  This was said to be a material non-joinder.  </w:t>
      </w:r>
    </w:p>
    <w:p w14:paraId="1C154CA8" w14:textId="68C819E5" w:rsidR="000C186B" w:rsidRPr="00E35C82" w:rsidRDefault="00E35C82" w:rsidP="00E35C82">
      <w:pPr>
        <w:tabs>
          <w:tab w:val="left" w:pos="851"/>
        </w:tabs>
        <w:spacing w:line="480" w:lineRule="auto"/>
        <w:ind w:left="851" w:hanging="851"/>
        <w:jc w:val="both"/>
        <w:rPr>
          <w:rFonts w:ascii="Arial" w:hAnsi="Arial" w:cs="Arial"/>
          <w:color w:val="000000" w:themeColor="text1"/>
        </w:rPr>
      </w:pPr>
      <w:r w:rsidRPr="002B5823">
        <w:rPr>
          <w:rFonts w:asciiTheme="minorHAnsi" w:hAnsiTheme="minorHAnsi" w:cs="Arial"/>
          <w:color w:val="000000" w:themeColor="text1"/>
        </w:rPr>
        <w:t>29.</w:t>
      </w:r>
      <w:r w:rsidRPr="002B5823">
        <w:rPr>
          <w:rFonts w:asciiTheme="minorHAnsi" w:hAnsiTheme="minorHAnsi" w:cs="Arial"/>
          <w:color w:val="000000" w:themeColor="text1"/>
        </w:rPr>
        <w:tab/>
      </w:r>
      <w:r w:rsidR="00D300B8" w:rsidRPr="00E35C82">
        <w:rPr>
          <w:rFonts w:ascii="Arial" w:hAnsi="Arial" w:cs="Arial"/>
          <w:color w:val="000000" w:themeColor="text1"/>
          <w:shd w:val="clear" w:color="auto" w:fill="FFFFFF"/>
        </w:rPr>
        <w:t>T</w:t>
      </w:r>
      <w:r w:rsidR="000C186B" w:rsidRPr="00E35C82">
        <w:rPr>
          <w:rFonts w:ascii="Arial" w:hAnsi="Arial" w:cs="Arial"/>
          <w:color w:val="000000" w:themeColor="text1"/>
          <w:shd w:val="clear" w:color="auto" w:fill="FFFFFF"/>
        </w:rPr>
        <w:t xml:space="preserve">he question as to whether all necessary parties had been joined does not depend upon the nature of the subject matter of the suit, but upon the manner in which, and the extent to which, the court's order may affect the interests of </w:t>
      </w:r>
      <w:r w:rsidR="000C186B" w:rsidRPr="00E35C82">
        <w:rPr>
          <w:rFonts w:ascii="Arial" w:hAnsi="Arial" w:cs="Arial"/>
          <w:color w:val="000000" w:themeColor="text1"/>
          <w:shd w:val="clear" w:color="auto" w:fill="FFFFFF"/>
        </w:rPr>
        <w:lastRenderedPageBreak/>
        <w:t>third parties.</w:t>
      </w:r>
      <w:r w:rsidR="000C186B" w:rsidRPr="002B5823">
        <w:rPr>
          <w:rStyle w:val="FootnoteReference"/>
          <w:rFonts w:cs="Arial"/>
          <w:color w:val="000000" w:themeColor="text1"/>
          <w:shd w:val="clear" w:color="auto" w:fill="FFFFFF"/>
        </w:rPr>
        <w:footnoteReference w:id="1"/>
      </w:r>
      <w:r w:rsidR="00D300B8" w:rsidRPr="00E35C82">
        <w:rPr>
          <w:rFonts w:ascii="Arial" w:hAnsi="Arial" w:cs="Arial"/>
          <w:color w:val="000000" w:themeColor="text1"/>
          <w:shd w:val="clear" w:color="auto" w:fill="FFFFFF"/>
        </w:rPr>
        <w:t xml:space="preserve">  </w:t>
      </w:r>
      <w:r w:rsidR="000C186B" w:rsidRPr="00E35C82">
        <w:rPr>
          <w:rFonts w:ascii="Arial" w:hAnsi="Arial" w:cs="Arial"/>
          <w:color w:val="000000" w:themeColor="text1"/>
          <w:shd w:val="clear" w:color="auto" w:fill="FFFFFF"/>
        </w:rPr>
        <w:t xml:space="preserve">The test is whether or not a party has a </w:t>
      </w:r>
      <w:r w:rsidR="00D300B8" w:rsidRPr="00E35C82">
        <w:rPr>
          <w:rFonts w:ascii="Arial" w:hAnsi="Arial" w:cs="Arial"/>
          <w:color w:val="000000" w:themeColor="text1"/>
          <w:shd w:val="clear" w:color="auto" w:fill="FFFFFF"/>
        </w:rPr>
        <w:t>“</w:t>
      </w:r>
      <w:r w:rsidR="000C186B" w:rsidRPr="00E35C82">
        <w:rPr>
          <w:rFonts w:ascii="Arial" w:hAnsi="Arial" w:cs="Arial"/>
          <w:i/>
          <w:iCs/>
          <w:color w:val="000000" w:themeColor="text1"/>
          <w:shd w:val="clear" w:color="auto" w:fill="FFFFFF"/>
        </w:rPr>
        <w:t>direct and substantial interest</w:t>
      </w:r>
      <w:r w:rsidR="00D300B8" w:rsidRPr="00E35C82">
        <w:rPr>
          <w:rFonts w:ascii="Arial" w:hAnsi="Arial" w:cs="Arial"/>
          <w:color w:val="000000" w:themeColor="text1"/>
          <w:shd w:val="clear" w:color="auto" w:fill="FFFFFF"/>
        </w:rPr>
        <w:t>”</w:t>
      </w:r>
      <w:r w:rsidR="000C186B" w:rsidRPr="00E35C82">
        <w:rPr>
          <w:rFonts w:ascii="Arial" w:hAnsi="Arial" w:cs="Arial"/>
          <w:color w:val="000000" w:themeColor="text1"/>
          <w:shd w:val="clear" w:color="auto" w:fill="FFFFFF"/>
        </w:rPr>
        <w:t xml:space="preserve"> in the subject matter of the action, that is, a legal interest in the subject matter of the litigation which may be affected prejudicially by the judgment of the court.</w:t>
      </w:r>
      <w:r w:rsidR="000C186B" w:rsidRPr="002B5823">
        <w:rPr>
          <w:rStyle w:val="FootnoteReference"/>
          <w:rFonts w:cs="Arial"/>
          <w:color w:val="000000" w:themeColor="text1"/>
          <w:shd w:val="clear" w:color="auto" w:fill="FFFFFF"/>
        </w:rPr>
        <w:footnoteReference w:id="2"/>
      </w:r>
      <w:r w:rsidR="00D300B8" w:rsidRPr="00E35C82">
        <w:rPr>
          <w:rFonts w:ascii="Arial" w:hAnsi="Arial" w:cs="Arial"/>
          <w:color w:val="000000" w:themeColor="text1"/>
          <w:shd w:val="clear" w:color="auto" w:fill="FFFFFF"/>
        </w:rPr>
        <w:t xml:space="preserve">  </w:t>
      </w:r>
    </w:p>
    <w:p w14:paraId="782A87BE" w14:textId="09EC5C7C" w:rsidR="00D300B8" w:rsidRPr="00E35C82" w:rsidRDefault="00E35C82" w:rsidP="00E35C82">
      <w:pPr>
        <w:tabs>
          <w:tab w:val="left" w:pos="851"/>
        </w:tabs>
        <w:spacing w:line="480" w:lineRule="auto"/>
        <w:ind w:left="851" w:hanging="851"/>
        <w:jc w:val="both"/>
        <w:rPr>
          <w:rFonts w:ascii="Arial" w:hAnsi="Arial" w:cs="Arial"/>
          <w:color w:val="000000" w:themeColor="text1"/>
        </w:rPr>
      </w:pPr>
      <w:r w:rsidRPr="002B5823">
        <w:rPr>
          <w:rFonts w:asciiTheme="minorHAnsi" w:hAnsiTheme="minorHAnsi" w:cs="Arial"/>
          <w:color w:val="000000" w:themeColor="text1"/>
        </w:rPr>
        <w:t>30.</w:t>
      </w:r>
      <w:r w:rsidRPr="002B5823">
        <w:rPr>
          <w:rFonts w:asciiTheme="minorHAnsi" w:hAnsiTheme="minorHAnsi" w:cs="Arial"/>
          <w:color w:val="000000" w:themeColor="text1"/>
        </w:rPr>
        <w:tab/>
      </w:r>
      <w:r w:rsidR="00D300B8" w:rsidRPr="00E35C82">
        <w:rPr>
          <w:rFonts w:ascii="Arial" w:hAnsi="Arial" w:cs="Arial"/>
          <w:color w:val="000000" w:themeColor="text1"/>
          <w:shd w:val="clear" w:color="auto" w:fill="FFFFFF"/>
        </w:rPr>
        <w:t>The mere fact that a party may have an interest in the outcome of the litigation does not warrant a non-joinder plea.</w:t>
      </w:r>
      <w:r w:rsidR="00D300B8" w:rsidRPr="002B5823">
        <w:rPr>
          <w:rStyle w:val="FootnoteReference"/>
          <w:rFonts w:cs="Arial"/>
          <w:color w:val="000000" w:themeColor="text1"/>
          <w:shd w:val="clear" w:color="auto" w:fill="FFFFFF"/>
        </w:rPr>
        <w:footnoteReference w:id="3"/>
      </w:r>
      <w:r w:rsidR="00D300B8" w:rsidRPr="00E35C82">
        <w:rPr>
          <w:rFonts w:ascii="Arial" w:hAnsi="Arial" w:cs="Arial"/>
          <w:color w:val="000000" w:themeColor="text1"/>
          <w:shd w:val="clear" w:color="auto" w:fill="FFFFFF"/>
        </w:rPr>
        <w:t xml:space="preserve">  The rule is that any person is a necessary party and should be joined if such person has a direct and substantial interest in any order the court might make, or if such an order cannot be sustained or carried into effect without prejudicing that party.</w:t>
      </w:r>
      <w:r w:rsidR="00D300B8" w:rsidRPr="002B5823">
        <w:rPr>
          <w:rStyle w:val="FootnoteReference"/>
          <w:rFonts w:cs="Arial"/>
          <w:color w:val="000000" w:themeColor="text1"/>
          <w:shd w:val="clear" w:color="auto" w:fill="FFFFFF"/>
        </w:rPr>
        <w:footnoteReference w:id="4"/>
      </w:r>
    </w:p>
    <w:p w14:paraId="12A68581" w14:textId="7F996B4A" w:rsidR="00D300B8" w:rsidRPr="00E35C82" w:rsidRDefault="00E35C82" w:rsidP="00E35C82">
      <w:pPr>
        <w:tabs>
          <w:tab w:val="left" w:pos="851"/>
        </w:tabs>
        <w:spacing w:line="480" w:lineRule="auto"/>
        <w:ind w:left="851" w:hanging="851"/>
        <w:jc w:val="both"/>
        <w:rPr>
          <w:rFonts w:ascii="Arial" w:hAnsi="Arial" w:cs="Arial"/>
          <w:color w:val="000000" w:themeColor="text1"/>
        </w:rPr>
      </w:pPr>
      <w:r w:rsidRPr="002B5823">
        <w:rPr>
          <w:rFonts w:asciiTheme="minorHAnsi" w:hAnsiTheme="minorHAnsi" w:cs="Arial"/>
          <w:color w:val="000000" w:themeColor="text1"/>
        </w:rPr>
        <w:t>31.</w:t>
      </w:r>
      <w:r w:rsidRPr="002B5823">
        <w:rPr>
          <w:rFonts w:asciiTheme="minorHAnsi" w:hAnsiTheme="minorHAnsi" w:cs="Arial"/>
          <w:color w:val="000000" w:themeColor="text1"/>
        </w:rPr>
        <w:tab/>
      </w:r>
      <w:r w:rsidR="00D300B8" w:rsidRPr="00E35C82">
        <w:rPr>
          <w:rFonts w:ascii="Arial" w:hAnsi="Arial" w:cs="Arial"/>
          <w:color w:val="000000" w:themeColor="text1"/>
          <w:shd w:val="clear" w:color="auto" w:fill="FFFFFF"/>
        </w:rPr>
        <w:t xml:space="preserve">The present application was based in the spoliation effected by Kings &amp; Queens, through the agency of G3.  The relief sought concerned restoration of the applicant’s occupation of the Restaurant and prevention of further efforts by the cited respondents to interfere with the applicant’s occupation of the Restaurant.  </w:t>
      </w:r>
    </w:p>
    <w:p w14:paraId="195C548C" w14:textId="2544DC13" w:rsidR="003B14D1" w:rsidRPr="00E35C82" w:rsidRDefault="00E35C82" w:rsidP="00E35C82">
      <w:pPr>
        <w:tabs>
          <w:tab w:val="left" w:pos="851"/>
        </w:tabs>
        <w:spacing w:line="480" w:lineRule="auto"/>
        <w:ind w:left="851" w:hanging="851"/>
        <w:jc w:val="both"/>
        <w:rPr>
          <w:rFonts w:ascii="Arial" w:hAnsi="Arial" w:cs="Arial"/>
          <w:color w:val="000000" w:themeColor="text1"/>
        </w:rPr>
      </w:pPr>
      <w:r w:rsidRPr="003E6B54">
        <w:rPr>
          <w:rFonts w:asciiTheme="minorHAnsi" w:hAnsiTheme="minorHAnsi" w:cs="Arial"/>
          <w:color w:val="000000" w:themeColor="text1"/>
        </w:rPr>
        <w:t>32.</w:t>
      </w:r>
      <w:r w:rsidRPr="003E6B54">
        <w:rPr>
          <w:rFonts w:asciiTheme="minorHAnsi" w:hAnsiTheme="minorHAnsi" w:cs="Arial"/>
          <w:color w:val="000000" w:themeColor="text1"/>
        </w:rPr>
        <w:tab/>
      </w:r>
      <w:r w:rsidR="00D300B8" w:rsidRPr="00E35C82">
        <w:rPr>
          <w:rFonts w:ascii="Arial" w:hAnsi="Arial" w:cs="Arial"/>
          <w:color w:val="000000" w:themeColor="text1"/>
          <w:shd w:val="clear" w:color="auto" w:fill="FFFFFF"/>
        </w:rPr>
        <w:t xml:space="preserve">It is true that Mr Hodes and his wife are the registered owners of the premises from which the Restaurant is operated.  However, on the respondents’ version, the Hodes’ sold the property to </w:t>
      </w:r>
      <w:r w:rsidR="003B14D1" w:rsidRPr="00E35C82">
        <w:rPr>
          <w:rFonts w:ascii="Arial" w:hAnsi="Arial" w:cs="Arial"/>
          <w:color w:val="000000" w:themeColor="text1"/>
          <w:shd w:val="clear" w:color="auto" w:fill="FFFFFF"/>
        </w:rPr>
        <w:t>Kings &amp; Queens</w:t>
      </w:r>
      <w:r w:rsidR="00D300B8" w:rsidRPr="00E35C82">
        <w:rPr>
          <w:rFonts w:ascii="Arial" w:hAnsi="Arial" w:cs="Arial"/>
          <w:color w:val="000000" w:themeColor="text1"/>
          <w:shd w:val="clear" w:color="auto" w:fill="FFFFFF"/>
        </w:rPr>
        <w:t xml:space="preserve"> in terms of an agreement concluded </w:t>
      </w:r>
      <w:r w:rsidR="003B14D1" w:rsidRPr="00E35C82">
        <w:rPr>
          <w:rFonts w:ascii="Arial" w:hAnsi="Arial" w:cs="Arial"/>
          <w:color w:val="000000" w:themeColor="text1"/>
          <w:shd w:val="clear" w:color="auto" w:fill="FFFFFF"/>
        </w:rPr>
        <w:t>on 30 November 2020</w:t>
      </w:r>
      <w:r w:rsidR="00D300B8" w:rsidRPr="00E35C82">
        <w:rPr>
          <w:rFonts w:ascii="Arial" w:hAnsi="Arial" w:cs="Arial"/>
          <w:color w:val="000000" w:themeColor="text1"/>
          <w:shd w:val="clear" w:color="auto" w:fill="FFFFFF"/>
        </w:rPr>
        <w:t xml:space="preserve"> </w:t>
      </w:r>
      <w:r w:rsidR="003B14D1" w:rsidRPr="00E35C82">
        <w:rPr>
          <w:rFonts w:ascii="Arial" w:hAnsi="Arial" w:cs="Arial"/>
          <w:color w:val="000000" w:themeColor="text1"/>
          <w:shd w:val="clear" w:color="auto" w:fill="FFFFFF"/>
        </w:rPr>
        <w:t>and Kings &amp; Queens was given “</w:t>
      </w:r>
      <w:r w:rsidR="003B14D1" w:rsidRPr="00E35C82">
        <w:rPr>
          <w:rFonts w:ascii="Arial" w:hAnsi="Arial" w:cs="Arial"/>
          <w:i/>
          <w:iCs/>
          <w:color w:val="000000" w:themeColor="text1"/>
          <w:shd w:val="clear" w:color="auto" w:fill="FFFFFF"/>
        </w:rPr>
        <w:t>occupation”</w:t>
      </w:r>
      <w:r w:rsidR="003B14D1" w:rsidRPr="00E35C82">
        <w:rPr>
          <w:rFonts w:ascii="Arial" w:hAnsi="Arial" w:cs="Arial"/>
          <w:color w:val="000000" w:themeColor="text1"/>
          <w:shd w:val="clear" w:color="auto" w:fill="FFFFFF"/>
        </w:rPr>
        <w:t xml:space="preserve"> of the property.  Indeed, it appears to be on this basis that Timer Estates approached the applicant in January 2021 to request signature of the new </w:t>
      </w:r>
      <w:r w:rsidR="003B14D1" w:rsidRPr="00E35C82">
        <w:rPr>
          <w:rFonts w:ascii="Arial" w:hAnsi="Arial" w:cs="Arial"/>
          <w:color w:val="000000" w:themeColor="text1"/>
          <w:shd w:val="clear" w:color="auto" w:fill="FFFFFF"/>
        </w:rPr>
        <w:lastRenderedPageBreak/>
        <w:t xml:space="preserve">lease agreement.  On no version before me was Mr Hodes a party to the spoliation.  I cannot conceive what legal interest he might have had in an order against the party in charge of the property that had </w:t>
      </w:r>
      <w:proofErr w:type="gramStart"/>
      <w:r w:rsidR="003B14D1" w:rsidRPr="00E35C82">
        <w:rPr>
          <w:rFonts w:ascii="Arial" w:hAnsi="Arial" w:cs="Arial"/>
          <w:color w:val="000000" w:themeColor="text1"/>
          <w:shd w:val="clear" w:color="auto" w:fill="FFFFFF"/>
        </w:rPr>
        <w:t>effected</w:t>
      </w:r>
      <w:proofErr w:type="gramEnd"/>
      <w:r w:rsidR="003B14D1" w:rsidRPr="00E35C82">
        <w:rPr>
          <w:rFonts w:ascii="Arial" w:hAnsi="Arial" w:cs="Arial"/>
          <w:color w:val="000000" w:themeColor="text1"/>
          <w:shd w:val="clear" w:color="auto" w:fill="FFFFFF"/>
        </w:rPr>
        <w:t xml:space="preserve"> the spoliation.  </w:t>
      </w:r>
      <w:r w:rsidR="001F091D" w:rsidRPr="00E35C82">
        <w:rPr>
          <w:rFonts w:ascii="Arial" w:hAnsi="Arial" w:cs="Arial"/>
          <w:color w:val="000000" w:themeColor="text1"/>
          <w:shd w:val="clear" w:color="auto" w:fill="FFFFFF"/>
        </w:rPr>
        <w:t xml:space="preserve">The respondents assert that the legal interest lies in the effect upon the sale agreement, because apparently Mr Hodes had assured Kings &amp; Queens that there was no written agreement between with the applicant. </w:t>
      </w:r>
      <w:r w:rsidR="00330C8A" w:rsidRPr="00E35C82">
        <w:rPr>
          <w:rFonts w:ascii="Arial" w:hAnsi="Arial" w:cs="Arial"/>
          <w:color w:val="000000" w:themeColor="text1"/>
          <w:shd w:val="clear" w:color="auto" w:fill="FFFFFF"/>
        </w:rPr>
        <w:t>I find this point unpersuasive.</w:t>
      </w:r>
      <w:r w:rsidR="001F091D" w:rsidRPr="00E35C82">
        <w:rPr>
          <w:rFonts w:ascii="Arial" w:hAnsi="Arial" w:cs="Arial"/>
          <w:color w:val="000000" w:themeColor="text1"/>
          <w:shd w:val="clear" w:color="auto" w:fill="FFFFFF"/>
        </w:rPr>
        <w:t xml:space="preserve"> </w:t>
      </w:r>
      <w:r w:rsidR="003E6B54" w:rsidRPr="00E35C82">
        <w:rPr>
          <w:rFonts w:ascii="Arial" w:hAnsi="Arial" w:cs="Arial"/>
          <w:color w:val="000000" w:themeColor="text1"/>
          <w:shd w:val="clear" w:color="auto" w:fill="FFFFFF"/>
        </w:rPr>
        <w:t xml:space="preserve">Mr Hodes (or his estate, post him having passed on) may be impacted by any action that Kings &amp; Queens elects to take if it is found that the position adopted by Mr Hodes in his negotiations with Kings &amp; Queens was incorrect, but that does not mean that Mr Hodes (or his estate) has a legal interest in the relief sought.  </w:t>
      </w:r>
      <w:r w:rsidR="00947163" w:rsidRPr="00E35C82">
        <w:rPr>
          <w:rFonts w:ascii="Arial" w:hAnsi="Arial" w:cs="Arial"/>
          <w:color w:val="000000" w:themeColor="text1"/>
          <w:shd w:val="clear" w:color="auto" w:fill="FFFFFF"/>
        </w:rPr>
        <w:t xml:space="preserve">Any interest may at best be indirect. </w:t>
      </w:r>
      <w:r w:rsidR="003E6B54" w:rsidRPr="00E35C82">
        <w:rPr>
          <w:rFonts w:ascii="Arial" w:hAnsi="Arial" w:cs="Arial"/>
          <w:color w:val="000000" w:themeColor="text1"/>
          <w:shd w:val="clear" w:color="auto" w:fill="FFFFFF"/>
        </w:rPr>
        <w:t xml:space="preserve">This case is about whether the </w:t>
      </w:r>
      <w:r w:rsidR="001F091D" w:rsidRPr="00E35C82">
        <w:rPr>
          <w:rFonts w:ascii="Arial" w:hAnsi="Arial" w:cs="Arial"/>
          <w:color w:val="000000" w:themeColor="text1"/>
          <w:shd w:val="clear" w:color="auto" w:fill="FFFFFF"/>
        </w:rPr>
        <w:t>spoliation was lawful</w:t>
      </w:r>
      <w:r w:rsidR="0016108A" w:rsidRPr="00E35C82">
        <w:rPr>
          <w:rFonts w:ascii="Arial" w:hAnsi="Arial" w:cs="Arial"/>
          <w:color w:val="000000" w:themeColor="text1"/>
          <w:shd w:val="clear" w:color="auto" w:fill="FFFFFF"/>
        </w:rPr>
        <w:t xml:space="preserve">, and given that Kings &amp; Queens has been placed in control of the premises in consequence of the arrangements contained in the sale agreement and authorised the spoliation, it is the party appropriately cited, to the exclusion of Mr Hodes.  </w:t>
      </w:r>
    </w:p>
    <w:p w14:paraId="0624388F" w14:textId="75033034" w:rsidR="00D300B8" w:rsidRPr="00E35C82" w:rsidRDefault="00E35C82" w:rsidP="00E35C82">
      <w:pPr>
        <w:tabs>
          <w:tab w:val="left" w:pos="851"/>
        </w:tabs>
        <w:spacing w:line="480" w:lineRule="auto"/>
        <w:ind w:left="851" w:hanging="851"/>
        <w:jc w:val="both"/>
        <w:rPr>
          <w:rFonts w:ascii="Arial" w:hAnsi="Arial" w:cs="Arial"/>
          <w:color w:val="000000" w:themeColor="text1"/>
        </w:rPr>
      </w:pPr>
      <w:r w:rsidRPr="002B5823">
        <w:rPr>
          <w:rFonts w:asciiTheme="minorHAnsi" w:hAnsiTheme="minorHAnsi" w:cs="Arial"/>
          <w:color w:val="000000" w:themeColor="text1"/>
        </w:rPr>
        <w:t>33.</w:t>
      </w:r>
      <w:r w:rsidRPr="002B5823">
        <w:rPr>
          <w:rFonts w:asciiTheme="minorHAnsi" w:hAnsiTheme="minorHAnsi" w:cs="Arial"/>
          <w:color w:val="000000" w:themeColor="text1"/>
        </w:rPr>
        <w:tab/>
      </w:r>
      <w:r w:rsidR="003B14D1" w:rsidRPr="00E35C82">
        <w:rPr>
          <w:rFonts w:ascii="Arial" w:hAnsi="Arial" w:cs="Arial"/>
          <w:color w:val="000000" w:themeColor="text1"/>
          <w:shd w:val="clear" w:color="auto" w:fill="FFFFFF"/>
        </w:rPr>
        <w:t xml:space="preserve">The point </w:t>
      </w:r>
      <w:r w:rsidR="003B14D1" w:rsidRPr="00E35C82">
        <w:rPr>
          <w:rFonts w:ascii="Arial" w:hAnsi="Arial" w:cs="Arial"/>
          <w:i/>
          <w:iCs/>
          <w:color w:val="000000" w:themeColor="text1"/>
          <w:shd w:val="clear" w:color="auto" w:fill="FFFFFF"/>
        </w:rPr>
        <w:t xml:space="preserve">in </w:t>
      </w:r>
      <w:proofErr w:type="spellStart"/>
      <w:r w:rsidR="003B14D1" w:rsidRPr="00E35C82">
        <w:rPr>
          <w:rFonts w:ascii="Arial" w:hAnsi="Arial" w:cs="Arial"/>
          <w:i/>
          <w:iCs/>
          <w:color w:val="000000" w:themeColor="text1"/>
          <w:shd w:val="clear" w:color="auto" w:fill="FFFFFF"/>
        </w:rPr>
        <w:t>limine</w:t>
      </w:r>
      <w:proofErr w:type="spellEnd"/>
      <w:r w:rsidR="003B14D1" w:rsidRPr="00E35C82">
        <w:rPr>
          <w:rFonts w:ascii="Arial" w:hAnsi="Arial" w:cs="Arial"/>
          <w:color w:val="000000" w:themeColor="text1"/>
          <w:shd w:val="clear" w:color="auto" w:fill="FFFFFF"/>
        </w:rPr>
        <w:t xml:space="preserve"> based in the alleged material non-joinder of Mr Hodes falls to be dismissed.  </w:t>
      </w:r>
    </w:p>
    <w:p w14:paraId="369A742E" w14:textId="77777777" w:rsidR="000C186B" w:rsidRPr="002B5823" w:rsidRDefault="000C186B" w:rsidP="00330C8A">
      <w:pPr>
        <w:rPr>
          <w:rFonts w:ascii="Arial" w:hAnsi="Arial" w:cs="Arial"/>
        </w:rPr>
      </w:pPr>
    </w:p>
    <w:p w14:paraId="5E67E552" w14:textId="77777777" w:rsidR="007C5843" w:rsidRPr="002B5823" w:rsidRDefault="007C5843" w:rsidP="007C5843">
      <w:pPr>
        <w:spacing w:after="480" w:line="480" w:lineRule="auto"/>
        <w:jc w:val="both"/>
        <w:rPr>
          <w:rFonts w:ascii="Arial" w:hAnsi="Arial" w:cs="Arial"/>
          <w:i/>
          <w:iCs/>
          <w:color w:val="000000" w:themeColor="text1"/>
        </w:rPr>
      </w:pPr>
      <w:r w:rsidRPr="002B5823">
        <w:rPr>
          <w:rFonts w:ascii="Arial" w:hAnsi="Arial" w:cs="Arial"/>
          <w:i/>
          <w:iCs/>
          <w:color w:val="000000" w:themeColor="text1"/>
        </w:rPr>
        <w:t>Disputes of fact</w:t>
      </w:r>
    </w:p>
    <w:p w14:paraId="52D5681C" w14:textId="1864F950" w:rsidR="007C5843" w:rsidRPr="00E35C82" w:rsidRDefault="00E35C82" w:rsidP="00E35C82">
      <w:pPr>
        <w:tabs>
          <w:tab w:val="left" w:pos="851"/>
        </w:tabs>
        <w:spacing w:after="480" w:line="480" w:lineRule="auto"/>
        <w:ind w:left="851" w:hanging="851"/>
        <w:jc w:val="both"/>
        <w:rPr>
          <w:rFonts w:ascii="Arial" w:hAnsi="Arial" w:cs="Arial"/>
          <w:color w:val="000000" w:themeColor="text1"/>
          <w:u w:val="single"/>
        </w:rPr>
      </w:pPr>
      <w:r w:rsidRPr="002B5823">
        <w:rPr>
          <w:rFonts w:asciiTheme="minorHAnsi" w:hAnsiTheme="minorHAnsi" w:cs="Arial"/>
          <w:color w:val="000000" w:themeColor="text1"/>
        </w:rPr>
        <w:t>34.</w:t>
      </w:r>
      <w:r w:rsidRPr="002B5823">
        <w:rPr>
          <w:rFonts w:asciiTheme="minorHAnsi" w:hAnsiTheme="minorHAnsi" w:cs="Arial"/>
          <w:color w:val="000000" w:themeColor="text1"/>
        </w:rPr>
        <w:tab/>
      </w:r>
      <w:r w:rsidR="007C5843" w:rsidRPr="00E35C82">
        <w:rPr>
          <w:rFonts w:ascii="Arial" w:hAnsi="Arial" w:cs="Arial"/>
          <w:color w:val="000000" w:themeColor="text1"/>
        </w:rPr>
        <w:t>The respondents assert that the applicant has come to this Court with “</w:t>
      </w:r>
      <w:r w:rsidR="007C5843" w:rsidRPr="00E35C82">
        <w:rPr>
          <w:rFonts w:ascii="Arial" w:hAnsi="Arial" w:cs="Arial"/>
          <w:i/>
          <w:iCs/>
          <w:color w:val="000000" w:themeColor="text1"/>
        </w:rPr>
        <w:t>disputes of fact</w:t>
      </w:r>
      <w:proofErr w:type="gramStart"/>
      <w:r w:rsidR="007C5843" w:rsidRPr="00E35C82">
        <w:rPr>
          <w:rFonts w:ascii="Arial" w:hAnsi="Arial" w:cs="Arial"/>
          <w:i/>
          <w:iCs/>
          <w:color w:val="000000" w:themeColor="text1"/>
        </w:rPr>
        <w:t xml:space="preserve">”, </w:t>
      </w:r>
      <w:r w:rsidR="007C5843" w:rsidRPr="00E35C82">
        <w:rPr>
          <w:rFonts w:ascii="Arial" w:hAnsi="Arial" w:cs="Arial"/>
          <w:color w:val="000000" w:themeColor="text1"/>
        </w:rPr>
        <w:t xml:space="preserve"> which</w:t>
      </w:r>
      <w:proofErr w:type="gramEnd"/>
      <w:r w:rsidR="007C5843" w:rsidRPr="00E35C82">
        <w:rPr>
          <w:rFonts w:ascii="Arial" w:hAnsi="Arial" w:cs="Arial"/>
          <w:color w:val="000000" w:themeColor="text1"/>
        </w:rPr>
        <w:t xml:space="preserve"> he ought not to have done in motion proceedings, and therefore that the application falls to be dismissed.  </w:t>
      </w:r>
    </w:p>
    <w:p w14:paraId="6007D489" w14:textId="64F61B08" w:rsidR="0016108A" w:rsidRPr="00E35C82" w:rsidRDefault="00E35C82" w:rsidP="00E35C82">
      <w:pPr>
        <w:tabs>
          <w:tab w:val="left" w:pos="851"/>
        </w:tabs>
        <w:spacing w:after="480" w:line="480" w:lineRule="auto"/>
        <w:ind w:left="851" w:hanging="851"/>
        <w:jc w:val="both"/>
        <w:rPr>
          <w:rFonts w:ascii="Arial" w:hAnsi="Arial" w:cs="Arial"/>
          <w:color w:val="000000" w:themeColor="text1"/>
          <w:u w:val="single"/>
        </w:rPr>
      </w:pPr>
      <w:r w:rsidRPr="0016108A">
        <w:rPr>
          <w:rFonts w:asciiTheme="minorHAnsi" w:hAnsiTheme="minorHAnsi" w:cs="Arial"/>
          <w:color w:val="000000" w:themeColor="text1"/>
        </w:rPr>
        <w:t>35.</w:t>
      </w:r>
      <w:r w:rsidRPr="0016108A">
        <w:rPr>
          <w:rFonts w:asciiTheme="minorHAnsi" w:hAnsiTheme="minorHAnsi" w:cs="Arial"/>
          <w:color w:val="000000" w:themeColor="text1"/>
        </w:rPr>
        <w:tab/>
      </w:r>
      <w:r w:rsidR="00981F28" w:rsidRPr="00E35C82">
        <w:rPr>
          <w:rFonts w:ascii="Arial" w:hAnsi="Arial" w:cs="Arial"/>
          <w:color w:val="000000" w:themeColor="text1"/>
        </w:rPr>
        <w:t xml:space="preserve">It is trite that the </w:t>
      </w:r>
      <w:proofErr w:type="spellStart"/>
      <w:r w:rsidR="00981F28" w:rsidRPr="00E35C82">
        <w:rPr>
          <w:rFonts w:ascii="Arial" w:hAnsi="Arial" w:cs="Arial"/>
          <w:i/>
          <w:iCs/>
          <w:color w:val="000000" w:themeColor="text1"/>
        </w:rPr>
        <w:t>mandament</w:t>
      </w:r>
      <w:proofErr w:type="spellEnd"/>
      <w:r w:rsidR="008F5D05" w:rsidRPr="00E35C82">
        <w:rPr>
          <w:rFonts w:ascii="Arial" w:hAnsi="Arial" w:cs="Arial"/>
          <w:i/>
          <w:iCs/>
          <w:color w:val="000000" w:themeColor="text1"/>
        </w:rPr>
        <w:t xml:space="preserve"> van </w:t>
      </w:r>
      <w:proofErr w:type="spellStart"/>
      <w:r w:rsidR="008F5D05" w:rsidRPr="00E35C82">
        <w:rPr>
          <w:rFonts w:ascii="Arial" w:hAnsi="Arial" w:cs="Arial"/>
          <w:i/>
          <w:iCs/>
          <w:color w:val="000000" w:themeColor="text1"/>
        </w:rPr>
        <w:t>spolie</w:t>
      </w:r>
      <w:proofErr w:type="spellEnd"/>
      <w:r w:rsidR="008F5D05" w:rsidRPr="00E35C82">
        <w:rPr>
          <w:rFonts w:ascii="Arial" w:hAnsi="Arial" w:cs="Arial"/>
          <w:color w:val="000000" w:themeColor="text1"/>
        </w:rPr>
        <w:t xml:space="preserve"> is intended to be a speedy and robust remedy, aimed at restoring the </w:t>
      </w:r>
      <w:r w:rsidR="008F5D05" w:rsidRPr="00E35C82">
        <w:rPr>
          <w:rFonts w:ascii="Arial" w:hAnsi="Arial" w:cs="Arial"/>
          <w:i/>
          <w:iCs/>
          <w:color w:val="000000" w:themeColor="text1"/>
        </w:rPr>
        <w:t>status quo ante</w:t>
      </w:r>
      <w:r w:rsidR="008F5D05" w:rsidRPr="00E35C82">
        <w:rPr>
          <w:rFonts w:ascii="Arial" w:hAnsi="Arial" w:cs="Arial"/>
          <w:color w:val="000000" w:themeColor="text1"/>
        </w:rPr>
        <w:t xml:space="preserve"> pending determination of possessory rights.  To suggest that the applicant ought not to have </w:t>
      </w:r>
      <w:r w:rsidR="008F5D05" w:rsidRPr="00E35C82">
        <w:rPr>
          <w:rFonts w:ascii="Arial" w:hAnsi="Arial" w:cs="Arial"/>
          <w:color w:val="000000" w:themeColor="text1"/>
        </w:rPr>
        <w:lastRenderedPageBreak/>
        <w:t xml:space="preserve">approached the Court on motion (or on an urgent basis) is </w:t>
      </w:r>
      <w:r w:rsidR="00947163" w:rsidRPr="00E35C82">
        <w:rPr>
          <w:rFonts w:ascii="Arial" w:hAnsi="Arial" w:cs="Arial"/>
          <w:color w:val="000000" w:themeColor="text1"/>
        </w:rPr>
        <w:t>wrong</w:t>
      </w:r>
      <w:r w:rsidR="008F5D05" w:rsidRPr="00E35C82">
        <w:rPr>
          <w:rFonts w:ascii="Arial" w:hAnsi="Arial" w:cs="Arial"/>
          <w:color w:val="000000" w:themeColor="text1"/>
        </w:rPr>
        <w:t xml:space="preserve"> in the circumstances.  The appropriate procedure to launch spoliation proceedings is to do so by way of application.  </w:t>
      </w:r>
    </w:p>
    <w:p w14:paraId="277167DC" w14:textId="26B0658B" w:rsidR="0016108A" w:rsidRPr="00E35C82" w:rsidRDefault="00E35C82" w:rsidP="00E35C82">
      <w:pPr>
        <w:tabs>
          <w:tab w:val="left" w:pos="851"/>
        </w:tabs>
        <w:spacing w:after="480" w:line="480" w:lineRule="auto"/>
        <w:ind w:left="851" w:hanging="851"/>
        <w:jc w:val="both"/>
        <w:rPr>
          <w:rFonts w:ascii="Arial" w:hAnsi="Arial" w:cs="Arial"/>
          <w:color w:val="000000" w:themeColor="text1"/>
          <w:u w:val="single"/>
        </w:rPr>
      </w:pPr>
      <w:r w:rsidRPr="00B54FAD">
        <w:rPr>
          <w:rFonts w:asciiTheme="minorHAnsi" w:hAnsiTheme="minorHAnsi" w:cs="Arial"/>
          <w:color w:val="000000" w:themeColor="text1"/>
        </w:rPr>
        <w:t>36.</w:t>
      </w:r>
      <w:r w:rsidRPr="00B54FAD">
        <w:rPr>
          <w:rFonts w:asciiTheme="minorHAnsi" w:hAnsiTheme="minorHAnsi" w:cs="Arial"/>
          <w:color w:val="000000" w:themeColor="text1"/>
        </w:rPr>
        <w:tab/>
      </w:r>
      <w:r w:rsidR="0016108A" w:rsidRPr="00E35C82">
        <w:rPr>
          <w:rFonts w:ascii="Arial" w:hAnsi="Arial" w:cs="Arial"/>
          <w:color w:val="000000" w:themeColor="text1"/>
        </w:rPr>
        <w:t xml:space="preserve">As to the treatment of disputes of fact, it is important to note that, </w:t>
      </w:r>
      <w:r w:rsidR="00120505" w:rsidRPr="00E35C82">
        <w:rPr>
          <w:rFonts w:ascii="Arial" w:hAnsi="Arial" w:cs="Arial"/>
          <w:color w:val="000000" w:themeColor="text1"/>
        </w:rPr>
        <w:t>if material facts are in dispute and there is no request for the referral to oral evidence, a final order may be granted on notice of motion if the facts stated by the respondent together with the facts alleged by the applicant that are admitted by the respondent, justify such an order.</w:t>
      </w:r>
      <w:r w:rsidR="00120505">
        <w:rPr>
          <w:rStyle w:val="FootnoteReference"/>
          <w:rFonts w:cs="Arial"/>
        </w:rPr>
        <w:footnoteReference w:id="5"/>
      </w:r>
      <w:r w:rsidR="00120505" w:rsidRPr="00E35C82">
        <w:rPr>
          <w:rFonts w:ascii="Arial" w:hAnsi="Arial" w:cs="Arial"/>
          <w:color w:val="000000" w:themeColor="text1"/>
        </w:rPr>
        <w:t xml:space="preserve">  In the present case, the facts stated by the respondents include the facts stated by Mr Hodes in the affidavit in Magistrates’ Court proceedings on which the respondents rely.</w:t>
      </w:r>
    </w:p>
    <w:p w14:paraId="44AA1F77" w14:textId="285905B9" w:rsidR="00B54FAD" w:rsidRPr="00E35C82" w:rsidRDefault="00E35C82" w:rsidP="00E35C82">
      <w:pPr>
        <w:tabs>
          <w:tab w:val="left" w:pos="851"/>
        </w:tabs>
        <w:spacing w:after="480" w:line="480" w:lineRule="auto"/>
        <w:ind w:left="851" w:hanging="851"/>
        <w:jc w:val="both"/>
        <w:rPr>
          <w:rFonts w:ascii="Arial" w:hAnsi="Arial" w:cs="Arial"/>
          <w:color w:val="000000" w:themeColor="text1"/>
          <w:u w:val="single"/>
        </w:rPr>
      </w:pPr>
      <w:r w:rsidRPr="00B54FAD">
        <w:rPr>
          <w:rFonts w:asciiTheme="minorHAnsi" w:hAnsiTheme="minorHAnsi" w:cs="Arial"/>
          <w:color w:val="000000" w:themeColor="text1"/>
        </w:rPr>
        <w:t>37.</w:t>
      </w:r>
      <w:r w:rsidRPr="00B54FAD">
        <w:rPr>
          <w:rFonts w:asciiTheme="minorHAnsi" w:hAnsiTheme="minorHAnsi" w:cs="Arial"/>
          <w:color w:val="000000" w:themeColor="text1"/>
        </w:rPr>
        <w:tab/>
      </w:r>
      <w:r w:rsidR="00B54FAD" w:rsidRPr="00E35C82">
        <w:rPr>
          <w:rFonts w:ascii="Arial" w:hAnsi="Arial" w:cs="Arial"/>
          <w:color w:val="000000" w:themeColor="text1"/>
        </w:rPr>
        <w:t>In every case the Court must examine the alleged dispute of fact and see whether in truth there is a real dispute of fact which cannot be satisfactorily determined without the aid of oral evidence.</w:t>
      </w:r>
      <w:r w:rsidR="00B54FAD">
        <w:rPr>
          <w:rStyle w:val="FootnoteReference"/>
          <w:rFonts w:cs="Arial"/>
        </w:rPr>
        <w:footnoteReference w:id="6"/>
      </w:r>
    </w:p>
    <w:p w14:paraId="4D85E914" w14:textId="150B23DC" w:rsidR="00B54FAD" w:rsidRPr="00E35C82" w:rsidRDefault="00E35C82" w:rsidP="00E35C82">
      <w:pPr>
        <w:tabs>
          <w:tab w:val="left" w:pos="851"/>
        </w:tabs>
        <w:spacing w:after="480" w:line="480" w:lineRule="auto"/>
        <w:ind w:left="851" w:hanging="851"/>
        <w:jc w:val="both"/>
        <w:rPr>
          <w:rFonts w:ascii="Arial" w:hAnsi="Arial" w:cs="Arial"/>
          <w:color w:val="000000" w:themeColor="text1"/>
          <w:u w:val="single"/>
        </w:rPr>
      </w:pPr>
      <w:r w:rsidRPr="0016108A">
        <w:rPr>
          <w:rFonts w:asciiTheme="minorHAnsi" w:hAnsiTheme="minorHAnsi" w:cs="Arial"/>
          <w:color w:val="000000" w:themeColor="text1"/>
        </w:rPr>
        <w:t>38.</w:t>
      </w:r>
      <w:r w:rsidRPr="0016108A">
        <w:rPr>
          <w:rFonts w:asciiTheme="minorHAnsi" w:hAnsiTheme="minorHAnsi" w:cs="Arial"/>
          <w:color w:val="000000" w:themeColor="text1"/>
        </w:rPr>
        <w:tab/>
      </w:r>
      <w:r w:rsidR="00B54FAD" w:rsidRPr="00E35C82">
        <w:rPr>
          <w:rFonts w:ascii="Arial" w:hAnsi="Arial" w:cs="Arial"/>
          <w:color w:val="000000" w:themeColor="text1"/>
        </w:rPr>
        <w:t>To put it plainly, the Court must take a “</w:t>
      </w:r>
      <w:r w:rsidR="00B54FAD" w:rsidRPr="00E35C82">
        <w:rPr>
          <w:rFonts w:ascii="Arial" w:hAnsi="Arial" w:cs="Arial"/>
          <w:i/>
          <w:iCs/>
          <w:color w:val="000000" w:themeColor="text1"/>
        </w:rPr>
        <w:t xml:space="preserve">robust, </w:t>
      </w:r>
      <w:proofErr w:type="gramStart"/>
      <w:r w:rsidR="00B54FAD" w:rsidRPr="00E35C82">
        <w:rPr>
          <w:rFonts w:ascii="Arial" w:hAnsi="Arial" w:cs="Arial"/>
          <w:i/>
          <w:iCs/>
          <w:color w:val="000000" w:themeColor="text1"/>
        </w:rPr>
        <w:t>common sense</w:t>
      </w:r>
      <w:proofErr w:type="gramEnd"/>
      <w:r w:rsidR="00B54FAD" w:rsidRPr="00E35C82">
        <w:rPr>
          <w:rFonts w:ascii="Arial" w:hAnsi="Arial" w:cs="Arial"/>
          <w:i/>
          <w:iCs/>
          <w:color w:val="000000" w:themeColor="text1"/>
        </w:rPr>
        <w:t xml:space="preserve"> approach”</w:t>
      </w:r>
      <w:r w:rsidR="00B54FAD" w:rsidRPr="00E35C82">
        <w:rPr>
          <w:rFonts w:ascii="Arial" w:hAnsi="Arial" w:cs="Arial"/>
          <w:color w:val="000000" w:themeColor="text1"/>
        </w:rPr>
        <w:t xml:space="preserve"> to a dispute on motion and not hesitate to decide an issue on affidavit merely it may be difficult to do so.</w:t>
      </w:r>
      <w:r w:rsidR="00B54FAD">
        <w:rPr>
          <w:rStyle w:val="FootnoteReference"/>
          <w:rFonts w:cs="Arial"/>
        </w:rPr>
        <w:footnoteReference w:id="7"/>
      </w:r>
    </w:p>
    <w:p w14:paraId="254B7DBB" w14:textId="3850CCEB" w:rsidR="00981F28" w:rsidRPr="00E35C82" w:rsidRDefault="00E35C82" w:rsidP="00E35C82">
      <w:pPr>
        <w:tabs>
          <w:tab w:val="left" w:pos="851"/>
        </w:tabs>
        <w:spacing w:after="480" w:line="480" w:lineRule="auto"/>
        <w:ind w:left="851" w:hanging="851"/>
        <w:jc w:val="both"/>
        <w:rPr>
          <w:rFonts w:ascii="Arial" w:hAnsi="Arial" w:cs="Arial"/>
          <w:color w:val="000000" w:themeColor="text1"/>
          <w:u w:val="single"/>
        </w:rPr>
      </w:pPr>
      <w:r w:rsidRPr="0016108A">
        <w:rPr>
          <w:rFonts w:asciiTheme="minorHAnsi" w:hAnsiTheme="minorHAnsi" w:cs="Arial"/>
          <w:color w:val="000000" w:themeColor="text1"/>
        </w:rPr>
        <w:t>39.</w:t>
      </w:r>
      <w:r w:rsidRPr="0016108A">
        <w:rPr>
          <w:rFonts w:asciiTheme="minorHAnsi" w:hAnsiTheme="minorHAnsi" w:cs="Arial"/>
          <w:color w:val="000000" w:themeColor="text1"/>
        </w:rPr>
        <w:tab/>
      </w:r>
      <w:r w:rsidR="008F5D05" w:rsidRPr="00E35C82">
        <w:rPr>
          <w:rFonts w:ascii="Arial" w:hAnsi="Arial" w:cs="Arial"/>
          <w:color w:val="000000" w:themeColor="text1"/>
        </w:rPr>
        <w:t xml:space="preserve">No point </w:t>
      </w:r>
      <w:r w:rsidR="008F5D05" w:rsidRPr="00E35C82">
        <w:rPr>
          <w:rFonts w:ascii="Arial" w:hAnsi="Arial" w:cs="Arial"/>
          <w:i/>
          <w:iCs/>
          <w:color w:val="000000" w:themeColor="text1"/>
        </w:rPr>
        <w:t xml:space="preserve">in </w:t>
      </w:r>
      <w:proofErr w:type="spellStart"/>
      <w:r w:rsidR="008F5D05" w:rsidRPr="00E35C82">
        <w:rPr>
          <w:rFonts w:ascii="Arial" w:hAnsi="Arial" w:cs="Arial"/>
          <w:i/>
          <w:iCs/>
          <w:color w:val="000000" w:themeColor="text1"/>
        </w:rPr>
        <w:t>limine</w:t>
      </w:r>
      <w:proofErr w:type="spellEnd"/>
      <w:r w:rsidR="008F5D05" w:rsidRPr="00E35C82">
        <w:rPr>
          <w:rFonts w:ascii="Arial" w:hAnsi="Arial" w:cs="Arial"/>
          <w:color w:val="000000" w:themeColor="text1"/>
        </w:rPr>
        <w:t xml:space="preserve"> ca</w:t>
      </w:r>
      <w:r w:rsidR="0016108A" w:rsidRPr="00E35C82">
        <w:rPr>
          <w:rFonts w:ascii="Arial" w:hAnsi="Arial" w:cs="Arial"/>
          <w:color w:val="000000" w:themeColor="text1"/>
        </w:rPr>
        <w:t>n</w:t>
      </w:r>
      <w:r w:rsidR="008F5D05" w:rsidRPr="00E35C82">
        <w:rPr>
          <w:rFonts w:ascii="Arial" w:hAnsi="Arial" w:cs="Arial"/>
          <w:color w:val="000000" w:themeColor="text1"/>
        </w:rPr>
        <w:t xml:space="preserve"> be upheld on </w:t>
      </w:r>
      <w:r w:rsidR="00B54FAD" w:rsidRPr="00E35C82">
        <w:rPr>
          <w:rFonts w:ascii="Arial" w:hAnsi="Arial" w:cs="Arial"/>
          <w:color w:val="000000" w:themeColor="text1"/>
        </w:rPr>
        <w:t xml:space="preserve">the basis that the process used was motion proceedings.   </w:t>
      </w:r>
      <w:r w:rsidR="008F5D05" w:rsidRPr="00E35C82">
        <w:rPr>
          <w:rFonts w:ascii="Arial" w:hAnsi="Arial" w:cs="Arial"/>
          <w:color w:val="000000" w:themeColor="text1"/>
        </w:rPr>
        <w:t xml:space="preserve"> </w:t>
      </w:r>
    </w:p>
    <w:p w14:paraId="5C234420" w14:textId="77777777" w:rsidR="007C5843" w:rsidRPr="002B5823" w:rsidRDefault="007C5843" w:rsidP="00E14866">
      <w:pPr>
        <w:keepNext/>
        <w:spacing w:after="480" w:line="480" w:lineRule="auto"/>
        <w:jc w:val="both"/>
        <w:rPr>
          <w:rFonts w:ascii="Arial" w:hAnsi="Arial" w:cs="Arial"/>
          <w:i/>
          <w:iCs/>
          <w:color w:val="000000" w:themeColor="text1"/>
        </w:rPr>
      </w:pPr>
      <w:r w:rsidRPr="002B5823">
        <w:rPr>
          <w:rFonts w:ascii="Arial" w:hAnsi="Arial" w:cs="Arial"/>
          <w:i/>
          <w:iCs/>
          <w:color w:val="000000" w:themeColor="text1"/>
        </w:rPr>
        <w:lastRenderedPageBreak/>
        <w:t>Misleading the Court</w:t>
      </w:r>
    </w:p>
    <w:p w14:paraId="4FF96D9E" w14:textId="707FBC81" w:rsidR="007C5843" w:rsidRPr="00E35C82" w:rsidRDefault="00E35C82" w:rsidP="00E35C82">
      <w:pPr>
        <w:tabs>
          <w:tab w:val="left" w:pos="851"/>
        </w:tabs>
        <w:spacing w:after="480" w:line="480" w:lineRule="auto"/>
        <w:ind w:left="851" w:hanging="851"/>
        <w:jc w:val="both"/>
        <w:rPr>
          <w:rFonts w:ascii="Arial" w:hAnsi="Arial" w:cs="Arial"/>
          <w:color w:val="000000" w:themeColor="text1"/>
          <w:u w:val="single"/>
        </w:rPr>
      </w:pPr>
      <w:r w:rsidRPr="002B5823">
        <w:rPr>
          <w:rFonts w:asciiTheme="minorHAnsi" w:hAnsiTheme="minorHAnsi" w:cs="Arial"/>
          <w:color w:val="000000" w:themeColor="text1"/>
        </w:rPr>
        <w:t>40.</w:t>
      </w:r>
      <w:r w:rsidRPr="002B5823">
        <w:rPr>
          <w:rFonts w:asciiTheme="minorHAnsi" w:hAnsiTheme="minorHAnsi" w:cs="Arial"/>
          <w:color w:val="000000" w:themeColor="text1"/>
        </w:rPr>
        <w:tab/>
      </w:r>
      <w:r w:rsidR="007C5843" w:rsidRPr="00E35C82">
        <w:rPr>
          <w:rFonts w:ascii="Arial" w:hAnsi="Arial" w:cs="Arial"/>
          <w:color w:val="000000" w:themeColor="text1"/>
        </w:rPr>
        <w:t xml:space="preserve">The third so-called point </w:t>
      </w:r>
      <w:r w:rsidR="007C5843" w:rsidRPr="00E35C82">
        <w:rPr>
          <w:rFonts w:ascii="Arial" w:hAnsi="Arial" w:cs="Arial"/>
          <w:i/>
          <w:iCs/>
          <w:color w:val="000000" w:themeColor="text1"/>
        </w:rPr>
        <w:t xml:space="preserve">in </w:t>
      </w:r>
      <w:proofErr w:type="spellStart"/>
      <w:r w:rsidR="007C5843" w:rsidRPr="00E35C82">
        <w:rPr>
          <w:rFonts w:ascii="Arial" w:hAnsi="Arial" w:cs="Arial"/>
          <w:i/>
          <w:iCs/>
          <w:color w:val="000000" w:themeColor="text1"/>
        </w:rPr>
        <w:t>limine</w:t>
      </w:r>
      <w:proofErr w:type="spellEnd"/>
      <w:r w:rsidR="007C5843" w:rsidRPr="00E35C82">
        <w:rPr>
          <w:rFonts w:ascii="Arial" w:hAnsi="Arial" w:cs="Arial"/>
          <w:color w:val="000000" w:themeColor="text1"/>
        </w:rPr>
        <w:t xml:space="preserve"> taken is that the applicant has misled the Court, warranting dismissal of the application</w:t>
      </w:r>
      <w:r w:rsidR="001B704F" w:rsidRPr="00E35C82">
        <w:rPr>
          <w:rFonts w:ascii="Arial" w:hAnsi="Arial" w:cs="Arial"/>
          <w:color w:val="000000" w:themeColor="text1"/>
        </w:rPr>
        <w:t xml:space="preserve">.  </w:t>
      </w:r>
    </w:p>
    <w:p w14:paraId="2EEF391D" w14:textId="54FEB0AE" w:rsidR="00B54FAD" w:rsidRPr="00E35C82" w:rsidRDefault="00E35C82" w:rsidP="00E35C82">
      <w:pPr>
        <w:tabs>
          <w:tab w:val="left" w:pos="851"/>
        </w:tabs>
        <w:spacing w:after="480" w:line="480" w:lineRule="auto"/>
        <w:ind w:left="851" w:hanging="851"/>
        <w:jc w:val="both"/>
        <w:rPr>
          <w:rFonts w:ascii="Arial" w:hAnsi="Arial" w:cs="Arial"/>
          <w:color w:val="000000" w:themeColor="text1"/>
          <w:u w:val="single"/>
        </w:rPr>
      </w:pPr>
      <w:r w:rsidRPr="00B54FAD">
        <w:rPr>
          <w:rFonts w:asciiTheme="minorHAnsi" w:hAnsiTheme="minorHAnsi" w:cs="Arial"/>
          <w:color w:val="000000" w:themeColor="text1"/>
        </w:rPr>
        <w:t>41.</w:t>
      </w:r>
      <w:r w:rsidRPr="00B54FAD">
        <w:rPr>
          <w:rFonts w:asciiTheme="minorHAnsi" w:hAnsiTheme="minorHAnsi" w:cs="Arial"/>
          <w:color w:val="000000" w:themeColor="text1"/>
        </w:rPr>
        <w:tab/>
      </w:r>
      <w:r w:rsidR="008B0CBD" w:rsidRPr="00E35C82">
        <w:rPr>
          <w:rFonts w:ascii="Arial" w:hAnsi="Arial" w:cs="Arial"/>
          <w:color w:val="000000" w:themeColor="text1"/>
        </w:rPr>
        <w:t xml:space="preserve">It is unfortunate that parties continue to make all sorts of assertions about their counter-parties misleading the Court, or perjuring themselves.  The proper approach is to deny averments, set up positive facts that disprove the allegations of the counterparty and leave it to the Court to decide.  </w:t>
      </w:r>
      <w:r w:rsidR="006A5E30" w:rsidRPr="00E35C82">
        <w:rPr>
          <w:rFonts w:ascii="Arial" w:hAnsi="Arial" w:cs="Arial"/>
          <w:color w:val="000000" w:themeColor="text1"/>
        </w:rPr>
        <w:t xml:space="preserve">That also serves the </w:t>
      </w:r>
      <w:r w:rsidR="006A5E30" w:rsidRPr="00E35C82">
        <w:rPr>
          <w:rFonts w:ascii="Arial" w:hAnsi="Arial" w:cs="Arial"/>
          <w:i/>
          <w:iCs/>
          <w:color w:val="000000" w:themeColor="text1"/>
        </w:rPr>
        <w:t xml:space="preserve">decorum </w:t>
      </w:r>
      <w:r w:rsidR="006A5E30" w:rsidRPr="00E35C82">
        <w:rPr>
          <w:rFonts w:ascii="Arial" w:hAnsi="Arial" w:cs="Arial"/>
          <w:color w:val="000000" w:themeColor="text1"/>
        </w:rPr>
        <w:t xml:space="preserve">of the Court. </w:t>
      </w:r>
      <w:r w:rsidR="008F5D05" w:rsidRPr="00E35C82">
        <w:rPr>
          <w:rFonts w:ascii="Arial" w:hAnsi="Arial" w:cs="Arial"/>
          <w:color w:val="000000" w:themeColor="text1"/>
        </w:rPr>
        <w:t xml:space="preserve">Be that as it may, I do not consider this issue appropriately to be raised or dealt with as a preliminary point.  </w:t>
      </w:r>
      <w:r w:rsidR="00E14866" w:rsidRPr="00E35C82">
        <w:rPr>
          <w:rFonts w:ascii="Arial" w:hAnsi="Arial" w:cs="Arial"/>
          <w:color w:val="000000" w:themeColor="text1"/>
        </w:rPr>
        <w:t>What is required of the Court is to engage with all of the facts placed before it in order to reach a conclusion on the veracity of the facts relied on by the parties as discussed under the previous heading.</w:t>
      </w:r>
    </w:p>
    <w:p w14:paraId="2A6EEAE6" w14:textId="5CD2939B" w:rsidR="007C5843" w:rsidRPr="00E35C82" w:rsidRDefault="00E35C82" w:rsidP="00E35C82">
      <w:pPr>
        <w:tabs>
          <w:tab w:val="left" w:pos="851"/>
        </w:tabs>
        <w:spacing w:after="480" w:line="480" w:lineRule="auto"/>
        <w:ind w:left="851" w:hanging="851"/>
        <w:jc w:val="both"/>
        <w:rPr>
          <w:rFonts w:ascii="Arial" w:hAnsi="Arial" w:cs="Arial"/>
          <w:color w:val="000000" w:themeColor="text1"/>
          <w:u w:val="single"/>
        </w:rPr>
      </w:pPr>
      <w:r w:rsidRPr="002B5823">
        <w:rPr>
          <w:rFonts w:asciiTheme="minorHAnsi" w:hAnsiTheme="minorHAnsi" w:cs="Arial"/>
          <w:color w:val="000000" w:themeColor="text1"/>
        </w:rPr>
        <w:t>42.</w:t>
      </w:r>
      <w:r w:rsidRPr="002B5823">
        <w:rPr>
          <w:rFonts w:asciiTheme="minorHAnsi" w:hAnsiTheme="minorHAnsi" w:cs="Arial"/>
          <w:color w:val="000000" w:themeColor="text1"/>
        </w:rPr>
        <w:tab/>
      </w:r>
      <w:r w:rsidR="006A5E30" w:rsidRPr="00E35C82">
        <w:rPr>
          <w:rFonts w:ascii="Arial" w:hAnsi="Arial" w:cs="Arial"/>
          <w:color w:val="000000" w:themeColor="text1"/>
        </w:rPr>
        <w:t>No preliminary objection in this regard can be upheld.</w:t>
      </w:r>
    </w:p>
    <w:p w14:paraId="7C363977" w14:textId="77777777" w:rsidR="00A51E11" w:rsidRPr="002B5823" w:rsidRDefault="00A51E11" w:rsidP="00A51E11">
      <w:pPr>
        <w:spacing w:after="480" w:line="480" w:lineRule="auto"/>
        <w:jc w:val="both"/>
        <w:rPr>
          <w:rFonts w:ascii="Arial" w:hAnsi="Arial" w:cs="Arial"/>
          <w:i/>
          <w:iCs/>
          <w:color w:val="000000" w:themeColor="text1"/>
        </w:rPr>
      </w:pPr>
      <w:r w:rsidRPr="002B5823">
        <w:rPr>
          <w:rFonts w:ascii="Arial" w:hAnsi="Arial" w:cs="Arial"/>
          <w:i/>
          <w:iCs/>
          <w:color w:val="000000" w:themeColor="text1"/>
        </w:rPr>
        <w:t>Commissioner of Oaths at same address</w:t>
      </w:r>
    </w:p>
    <w:p w14:paraId="4747881C" w14:textId="0AB286EE" w:rsidR="00A51E11" w:rsidRPr="00E35C82" w:rsidRDefault="00E35C82" w:rsidP="00E35C82">
      <w:pPr>
        <w:tabs>
          <w:tab w:val="left" w:pos="851"/>
        </w:tabs>
        <w:spacing w:after="480" w:line="480" w:lineRule="auto"/>
        <w:ind w:left="851" w:hanging="851"/>
        <w:jc w:val="both"/>
        <w:rPr>
          <w:rFonts w:ascii="Arial" w:hAnsi="Arial" w:cs="Arial"/>
          <w:color w:val="000000" w:themeColor="text1"/>
          <w:u w:val="single"/>
        </w:rPr>
      </w:pPr>
      <w:r w:rsidRPr="002B5823">
        <w:rPr>
          <w:rFonts w:asciiTheme="minorHAnsi" w:hAnsiTheme="minorHAnsi" w:cs="Arial"/>
          <w:color w:val="000000" w:themeColor="text1"/>
        </w:rPr>
        <w:t>43.</w:t>
      </w:r>
      <w:r w:rsidRPr="002B5823">
        <w:rPr>
          <w:rFonts w:asciiTheme="minorHAnsi" w:hAnsiTheme="minorHAnsi" w:cs="Arial"/>
          <w:color w:val="000000" w:themeColor="text1"/>
        </w:rPr>
        <w:tab/>
      </w:r>
      <w:r w:rsidR="00A51E11" w:rsidRPr="00E35C82">
        <w:rPr>
          <w:rFonts w:ascii="Arial" w:hAnsi="Arial" w:cs="Arial"/>
          <w:color w:val="000000" w:themeColor="text1"/>
        </w:rPr>
        <w:t>In his reply, the applicant complained that the Commissioner of Oaths before whom the answering affidavit had been deposed to apparently has the same address as the attorneys for the respondents.  He wanted the entire answer to be struck for that reason, apparently forgetting that the Commissioner who</w:t>
      </w:r>
      <w:r w:rsidR="007C5843" w:rsidRPr="00E35C82">
        <w:rPr>
          <w:rFonts w:ascii="Arial" w:hAnsi="Arial" w:cs="Arial"/>
          <w:color w:val="000000" w:themeColor="text1"/>
        </w:rPr>
        <w:t xml:space="preserve"> administered the oath when he signed his founding papers were signed shares an address with his attorney.  </w:t>
      </w:r>
    </w:p>
    <w:p w14:paraId="1E3D7A02" w14:textId="7C055635" w:rsidR="003D7F99" w:rsidRPr="00E35C82" w:rsidRDefault="00E35C82" w:rsidP="00E35C82">
      <w:pPr>
        <w:tabs>
          <w:tab w:val="left" w:pos="851"/>
        </w:tabs>
        <w:spacing w:after="480" w:line="480" w:lineRule="auto"/>
        <w:ind w:left="851" w:hanging="851"/>
        <w:jc w:val="both"/>
        <w:rPr>
          <w:rFonts w:ascii="Arial" w:hAnsi="Arial" w:cs="Arial"/>
          <w:color w:val="000000" w:themeColor="text1"/>
          <w:u w:val="single"/>
        </w:rPr>
      </w:pPr>
      <w:r w:rsidRPr="002B5823">
        <w:rPr>
          <w:rFonts w:asciiTheme="minorHAnsi" w:hAnsiTheme="minorHAnsi" w:cs="Arial"/>
          <w:color w:val="000000" w:themeColor="text1"/>
        </w:rPr>
        <w:lastRenderedPageBreak/>
        <w:t>44.</w:t>
      </w:r>
      <w:r w:rsidRPr="002B5823">
        <w:rPr>
          <w:rFonts w:asciiTheme="minorHAnsi" w:hAnsiTheme="minorHAnsi" w:cs="Arial"/>
          <w:color w:val="000000" w:themeColor="text1"/>
        </w:rPr>
        <w:tab/>
      </w:r>
      <w:r w:rsidR="001B704F" w:rsidRPr="00E35C82">
        <w:rPr>
          <w:rFonts w:ascii="Arial" w:hAnsi="Arial" w:cs="Arial"/>
          <w:color w:val="000000" w:themeColor="text1"/>
        </w:rPr>
        <w:t>There is no merit to this point.</w:t>
      </w:r>
      <w:r w:rsidR="003D7F99" w:rsidRPr="00E35C82">
        <w:rPr>
          <w:rFonts w:ascii="Arial" w:hAnsi="Arial" w:cs="Arial"/>
          <w:color w:val="000000" w:themeColor="text1"/>
        </w:rPr>
        <w:t xml:space="preserve">  The Regulations Governing the Administration of an Oath</w:t>
      </w:r>
      <w:r w:rsidR="000C186B" w:rsidRPr="00E35C82">
        <w:rPr>
          <w:rFonts w:ascii="Arial" w:hAnsi="Arial" w:cs="Arial"/>
          <w:color w:val="000000" w:themeColor="text1"/>
        </w:rPr>
        <w:t xml:space="preserve"> or Affirmation</w:t>
      </w:r>
      <w:r w:rsidR="003D7F99" w:rsidRPr="002B5823">
        <w:rPr>
          <w:rStyle w:val="FootnoteReference"/>
          <w:rFonts w:cs="Arial"/>
        </w:rPr>
        <w:footnoteReference w:id="8"/>
      </w:r>
      <w:r w:rsidR="003D7F99" w:rsidRPr="00E35C82">
        <w:rPr>
          <w:rFonts w:ascii="Arial" w:hAnsi="Arial" w:cs="Arial"/>
          <w:color w:val="000000" w:themeColor="text1"/>
        </w:rPr>
        <w:t xml:space="preserve"> provide in Regulation 7(1) that a “</w:t>
      </w:r>
      <w:r w:rsidR="003D7F99" w:rsidRPr="00E35C82">
        <w:rPr>
          <w:rFonts w:ascii="Arial" w:hAnsi="Arial" w:cs="Arial"/>
          <w:i/>
          <w:iCs/>
        </w:rPr>
        <w:t>commissioner of oaths shall not administer an oath or affirmation relating to a matter in which he has an interest</w:t>
      </w:r>
      <w:r w:rsidR="003D7F99" w:rsidRPr="00E35C82">
        <w:rPr>
          <w:rFonts w:ascii="Arial" w:hAnsi="Arial" w:cs="Arial"/>
        </w:rPr>
        <w:t xml:space="preserve">”.  There is no prohibition on a commissioner of oaths having the same address as the attorney acting for a party.  As a matter of practice and convenience, it may be expected that a commissioner of oaths having their business in the same building as a party’s attorneys may be approached when an affidavit is to be deposed to.  There is nothing untoward unless that commissioner of oaths has an interest in the matter. If the applicant wanted to raise an objection, he had to make a positive averment that the commissioner of oaths had an interest in the matter.  He did not.  This point cannot be entertained.  </w:t>
      </w:r>
    </w:p>
    <w:p w14:paraId="377E5E6B" w14:textId="77777777" w:rsidR="00A51E11" w:rsidRPr="002B5823" w:rsidRDefault="00A51E11" w:rsidP="00A51E11">
      <w:pPr>
        <w:spacing w:after="480" w:line="480" w:lineRule="auto"/>
        <w:jc w:val="both"/>
        <w:rPr>
          <w:rFonts w:ascii="Arial" w:hAnsi="Arial" w:cs="Arial"/>
          <w:i/>
          <w:iCs/>
          <w:color w:val="000000" w:themeColor="text1"/>
        </w:rPr>
      </w:pPr>
      <w:r w:rsidRPr="002B5823">
        <w:rPr>
          <w:rFonts w:ascii="Arial" w:hAnsi="Arial" w:cs="Arial"/>
          <w:i/>
          <w:iCs/>
          <w:color w:val="000000" w:themeColor="text1"/>
        </w:rPr>
        <w:t>Resolution</w:t>
      </w:r>
    </w:p>
    <w:p w14:paraId="05F8F17C" w14:textId="5FCB45E9" w:rsidR="00A51E11" w:rsidRPr="00E35C82" w:rsidRDefault="00E35C82" w:rsidP="00E35C82">
      <w:pPr>
        <w:tabs>
          <w:tab w:val="left" w:pos="851"/>
        </w:tabs>
        <w:spacing w:after="480" w:line="480" w:lineRule="auto"/>
        <w:ind w:left="851" w:hanging="851"/>
        <w:jc w:val="both"/>
        <w:rPr>
          <w:rFonts w:ascii="Arial" w:hAnsi="Arial" w:cs="Arial"/>
          <w:color w:val="000000" w:themeColor="text1"/>
        </w:rPr>
      </w:pPr>
      <w:r w:rsidRPr="002B5823">
        <w:rPr>
          <w:rFonts w:asciiTheme="minorHAnsi" w:hAnsiTheme="minorHAnsi" w:cs="Arial"/>
          <w:color w:val="000000" w:themeColor="text1"/>
        </w:rPr>
        <w:t>45.</w:t>
      </w:r>
      <w:r w:rsidRPr="002B5823">
        <w:rPr>
          <w:rFonts w:asciiTheme="minorHAnsi" w:hAnsiTheme="minorHAnsi" w:cs="Arial"/>
          <w:color w:val="000000" w:themeColor="text1"/>
        </w:rPr>
        <w:tab/>
      </w:r>
      <w:r w:rsidR="001B704F" w:rsidRPr="00E35C82">
        <w:rPr>
          <w:rFonts w:ascii="Arial" w:hAnsi="Arial" w:cs="Arial"/>
          <w:color w:val="000000" w:themeColor="text1"/>
        </w:rPr>
        <w:t>The applicant raises an objection to the authority of the deponent on the basis that the resolution attached to the answer refers to the wrong case number.  The “</w:t>
      </w:r>
      <w:r w:rsidR="001B704F" w:rsidRPr="00E35C82">
        <w:rPr>
          <w:rFonts w:ascii="Arial" w:hAnsi="Arial" w:cs="Arial"/>
          <w:i/>
          <w:iCs/>
          <w:color w:val="000000" w:themeColor="text1"/>
        </w:rPr>
        <w:t>wrong case number”</w:t>
      </w:r>
      <w:r w:rsidR="001B704F" w:rsidRPr="00E35C82">
        <w:rPr>
          <w:rFonts w:ascii="Arial" w:hAnsi="Arial" w:cs="Arial"/>
          <w:color w:val="000000" w:themeColor="text1"/>
        </w:rPr>
        <w:t xml:space="preserve"> is patently a typographical error, where “</w:t>
      </w:r>
      <w:r w:rsidR="001B704F" w:rsidRPr="00E35C82">
        <w:rPr>
          <w:rFonts w:ascii="Arial" w:hAnsi="Arial" w:cs="Arial"/>
          <w:i/>
          <w:iCs/>
          <w:color w:val="000000" w:themeColor="text1"/>
        </w:rPr>
        <w:t>2021”</w:t>
      </w:r>
      <w:r w:rsidR="001B704F" w:rsidRPr="00E35C82">
        <w:rPr>
          <w:rFonts w:ascii="Arial" w:hAnsi="Arial" w:cs="Arial"/>
          <w:color w:val="000000" w:themeColor="text1"/>
        </w:rPr>
        <w:t xml:space="preserve"> was typed as “</w:t>
      </w:r>
      <w:r w:rsidR="001B704F" w:rsidRPr="00E35C82">
        <w:rPr>
          <w:rFonts w:ascii="Arial" w:hAnsi="Arial" w:cs="Arial"/>
          <w:i/>
          <w:iCs/>
          <w:color w:val="000000" w:themeColor="text1"/>
        </w:rPr>
        <w:t>2020”</w:t>
      </w:r>
      <w:r w:rsidR="001B704F" w:rsidRPr="00E35C82">
        <w:rPr>
          <w:rFonts w:ascii="Arial" w:hAnsi="Arial" w:cs="Arial"/>
          <w:color w:val="000000" w:themeColor="text1"/>
        </w:rPr>
        <w:t>.  There is no good reason to take a point like this</w:t>
      </w:r>
      <w:r w:rsidR="00B577E4" w:rsidRPr="00E35C82">
        <w:rPr>
          <w:rFonts w:ascii="Arial" w:hAnsi="Arial" w:cs="Arial"/>
          <w:color w:val="000000" w:themeColor="text1"/>
        </w:rPr>
        <w:t>, where manifestly an honest mistake was made.</w:t>
      </w:r>
      <w:r w:rsidR="001B704F" w:rsidRPr="00E35C82">
        <w:rPr>
          <w:rFonts w:ascii="Arial" w:hAnsi="Arial" w:cs="Arial"/>
          <w:color w:val="000000" w:themeColor="text1"/>
        </w:rPr>
        <w:t xml:space="preserve"> </w:t>
      </w:r>
    </w:p>
    <w:p w14:paraId="3A54E7E1" w14:textId="2A0FE4B9" w:rsidR="00B577E4" w:rsidRPr="00E35C82" w:rsidRDefault="00E35C82" w:rsidP="00E35C82">
      <w:pPr>
        <w:tabs>
          <w:tab w:val="left" w:pos="851"/>
        </w:tabs>
        <w:spacing w:after="480" w:line="480" w:lineRule="auto"/>
        <w:ind w:left="851" w:hanging="851"/>
        <w:jc w:val="both"/>
        <w:rPr>
          <w:rFonts w:ascii="Arial" w:hAnsi="Arial" w:cs="Arial"/>
          <w:color w:val="000000" w:themeColor="text1"/>
        </w:rPr>
      </w:pPr>
      <w:r w:rsidRPr="002B5823">
        <w:rPr>
          <w:rFonts w:asciiTheme="minorHAnsi" w:hAnsiTheme="minorHAnsi" w:cs="Arial"/>
          <w:color w:val="000000" w:themeColor="text1"/>
        </w:rPr>
        <w:t>46.</w:t>
      </w:r>
      <w:r w:rsidRPr="002B5823">
        <w:rPr>
          <w:rFonts w:asciiTheme="minorHAnsi" w:hAnsiTheme="minorHAnsi" w:cs="Arial"/>
          <w:color w:val="000000" w:themeColor="text1"/>
        </w:rPr>
        <w:tab/>
      </w:r>
      <w:r w:rsidR="00B577E4" w:rsidRPr="00E35C82">
        <w:rPr>
          <w:rFonts w:ascii="Arial" w:hAnsi="Arial" w:cs="Arial"/>
          <w:color w:val="000000" w:themeColor="text1"/>
        </w:rPr>
        <w:t xml:space="preserve">In any event, as </w:t>
      </w:r>
      <w:proofErr w:type="spellStart"/>
      <w:r w:rsidR="00B577E4" w:rsidRPr="00E35C82">
        <w:rPr>
          <w:rFonts w:ascii="Arial" w:hAnsi="Arial" w:cs="Arial"/>
          <w:color w:val="000000" w:themeColor="text1"/>
        </w:rPr>
        <w:t>Flemming</w:t>
      </w:r>
      <w:proofErr w:type="spellEnd"/>
      <w:r w:rsidR="00B577E4" w:rsidRPr="00E35C82">
        <w:rPr>
          <w:rFonts w:ascii="Arial" w:hAnsi="Arial" w:cs="Arial"/>
          <w:color w:val="000000" w:themeColor="text1"/>
        </w:rPr>
        <w:t xml:space="preserve"> DJP pointed out in </w:t>
      </w:r>
      <w:r w:rsidR="00B577E4" w:rsidRPr="00E35C82">
        <w:rPr>
          <w:rFonts w:ascii="Arial" w:hAnsi="Arial" w:cs="Arial"/>
          <w:i/>
          <w:iCs/>
          <w:color w:val="000000" w:themeColor="text1"/>
        </w:rPr>
        <w:t>Eskom v Soweto City Council</w:t>
      </w:r>
      <w:r w:rsidR="00B577E4" w:rsidRPr="00E35C82">
        <w:rPr>
          <w:rFonts w:ascii="Arial" w:hAnsi="Arial" w:cs="Arial"/>
          <w:color w:val="000000" w:themeColor="text1"/>
        </w:rPr>
        <w:t>,</w:t>
      </w:r>
      <w:r w:rsidR="00B577E4" w:rsidRPr="002B5823">
        <w:rPr>
          <w:rStyle w:val="FootnoteReference"/>
          <w:rFonts w:cs="Arial"/>
        </w:rPr>
        <w:footnoteReference w:id="9"/>
      </w:r>
      <w:r w:rsidR="00B577E4" w:rsidRPr="00E35C82">
        <w:rPr>
          <w:rFonts w:ascii="Arial" w:hAnsi="Arial" w:cs="Arial"/>
          <w:color w:val="000000" w:themeColor="text1"/>
        </w:rPr>
        <w:t xml:space="preserve"> insistence on proof of authority is based in the fear that a person may deny </w:t>
      </w:r>
      <w:r w:rsidR="00B577E4" w:rsidRPr="00E35C82">
        <w:rPr>
          <w:rFonts w:ascii="Arial" w:hAnsi="Arial" w:cs="Arial"/>
          <w:color w:val="000000" w:themeColor="text1"/>
        </w:rPr>
        <w:lastRenderedPageBreak/>
        <w:t xml:space="preserve">that he was a party to litigation carried on in his name.  Formal proof of authority avoids undue risk to the opposite party.  However, with the advent of Rule 7(1) of the Uniform Rules, that risk is now differently managed: </w:t>
      </w:r>
    </w:p>
    <w:p w14:paraId="665087AA" w14:textId="77777777" w:rsidR="00B577E4" w:rsidRPr="002B5823" w:rsidRDefault="00B577E4" w:rsidP="00B577E4">
      <w:pPr>
        <w:spacing w:after="480" w:line="480" w:lineRule="auto"/>
        <w:ind w:left="851"/>
        <w:jc w:val="both"/>
        <w:rPr>
          <w:rFonts w:ascii="Arial" w:hAnsi="Arial" w:cs="Arial"/>
          <w:i/>
          <w:iCs/>
          <w:color w:val="000000" w:themeColor="text1"/>
        </w:rPr>
      </w:pPr>
      <w:r w:rsidRPr="002B5823">
        <w:rPr>
          <w:rFonts w:ascii="Arial" w:hAnsi="Arial" w:cs="Arial"/>
          <w:color w:val="000000" w:themeColor="text1"/>
        </w:rPr>
        <w:t>“</w:t>
      </w:r>
      <w:r w:rsidRPr="002B5823">
        <w:rPr>
          <w:rFonts w:ascii="Arial" w:hAnsi="Arial" w:cs="Arial"/>
          <w:i/>
          <w:iCs/>
          <w:color w:val="000000" w:themeColor="text1"/>
        </w:rPr>
        <w:t xml:space="preserve">If the attorney is authorised to bring the application on behalf of the applicant, the application is necessarily that of the applicant. There is no need to say that any other person, whether he be a witness or someone who becomes involved especially in the context of authority, should additionally be authorised.  It is therefore sufficient to know that the attorney acts with authority. </w:t>
      </w:r>
    </w:p>
    <w:p w14:paraId="3A71784C" w14:textId="77777777" w:rsidR="00B577E4" w:rsidRPr="002B5823" w:rsidRDefault="00B577E4" w:rsidP="00B577E4">
      <w:pPr>
        <w:spacing w:after="480" w:line="480" w:lineRule="auto"/>
        <w:ind w:left="851"/>
        <w:jc w:val="both"/>
        <w:rPr>
          <w:rFonts w:ascii="Arial" w:hAnsi="Arial" w:cs="Arial"/>
          <w:i/>
          <w:iCs/>
          <w:color w:val="000000" w:themeColor="text1"/>
        </w:rPr>
      </w:pPr>
      <w:r w:rsidRPr="002B5823">
        <w:rPr>
          <w:rFonts w:ascii="Arial" w:hAnsi="Arial" w:cs="Arial"/>
          <w:i/>
          <w:iCs/>
          <w:color w:val="000000" w:themeColor="text1"/>
        </w:rPr>
        <w:t>As to when and how the attorney’s authority should be proved, the Rule-maker made a policy decision. Perhaps because the risk is minimal that an attorney will act for a person without authority to do so, proof is dispensed with except only if the other party challenges the authority. See Rule 7(1). Courts should honour that approach. Properly applied, that should lead to the elimination of the many pages of resolutions, delegations and substitutions still attached to applications by some litigants, especially certain financial institutions.”</w:t>
      </w:r>
    </w:p>
    <w:p w14:paraId="2E20D8E6" w14:textId="50B0437F" w:rsidR="008B0CBD" w:rsidRPr="00E35C82" w:rsidRDefault="00E35C82" w:rsidP="00E35C82">
      <w:pPr>
        <w:tabs>
          <w:tab w:val="left" w:pos="851"/>
        </w:tabs>
        <w:spacing w:after="480" w:line="480" w:lineRule="auto"/>
        <w:ind w:left="851" w:hanging="851"/>
        <w:jc w:val="both"/>
        <w:rPr>
          <w:rFonts w:ascii="Arial" w:hAnsi="Arial" w:cs="Arial"/>
          <w:color w:val="2C3E50"/>
        </w:rPr>
      </w:pPr>
      <w:r w:rsidRPr="002B5823">
        <w:rPr>
          <w:rFonts w:asciiTheme="minorHAnsi" w:hAnsiTheme="minorHAnsi" w:cs="Arial"/>
          <w:color w:val="2C3E50"/>
        </w:rPr>
        <w:t>47.</w:t>
      </w:r>
      <w:r w:rsidRPr="002B5823">
        <w:rPr>
          <w:rFonts w:asciiTheme="minorHAnsi" w:hAnsiTheme="minorHAnsi" w:cs="Arial"/>
          <w:color w:val="2C3E50"/>
        </w:rPr>
        <w:tab/>
      </w:r>
      <w:r w:rsidR="008B0CBD" w:rsidRPr="00E35C82">
        <w:rPr>
          <w:rFonts w:ascii="Arial" w:hAnsi="Arial" w:cs="Arial"/>
          <w:color w:val="000000" w:themeColor="text1"/>
        </w:rPr>
        <w:t>In</w:t>
      </w:r>
      <w:r w:rsidR="008B0CBD" w:rsidRPr="00E35C82">
        <w:rPr>
          <w:rStyle w:val="apple-converted-space"/>
          <w:rFonts w:ascii="Arial" w:hAnsi="Arial" w:cs="Arial"/>
          <w:color w:val="2C3E50"/>
        </w:rPr>
        <w:t> </w:t>
      </w:r>
      <w:r w:rsidR="008B0CBD" w:rsidRPr="00E35C82">
        <w:rPr>
          <w:rFonts w:ascii="Arial" w:hAnsi="Arial" w:cs="Arial"/>
          <w:i/>
          <w:iCs/>
          <w:color w:val="000000" w:themeColor="text1"/>
        </w:rPr>
        <w:t>Unlawful Occupiers, School Site v City of Johannesburg</w:t>
      </w:r>
      <w:r w:rsidR="008B0CBD" w:rsidRPr="00E14866">
        <w:rPr>
          <w:rStyle w:val="FootnoteReference"/>
          <w:rFonts w:cs="Arial"/>
          <w:color w:val="000000" w:themeColor="text1"/>
        </w:rPr>
        <w:footnoteReference w:id="10"/>
      </w:r>
      <w:r w:rsidR="008B0CBD" w:rsidRPr="00E35C82">
        <w:rPr>
          <w:rFonts w:ascii="Arial" w:hAnsi="Arial" w:cs="Arial"/>
          <w:color w:val="000000" w:themeColor="text1"/>
        </w:rPr>
        <w:t xml:space="preserve">  one of the issues raised by the appellant was that the respondent had failed to prove that the deponent to its founding affidavit had the requisite authority to institute the application on its behalf.  The Supreme Court of Appeal (SCA) pointed out that the </w:t>
      </w:r>
      <w:r w:rsidR="008B0CBD" w:rsidRPr="00E35C82">
        <w:rPr>
          <w:rFonts w:ascii="Arial" w:hAnsi="Arial" w:cs="Arial"/>
          <w:i/>
          <w:iCs/>
          <w:color w:val="000000" w:themeColor="text1"/>
        </w:rPr>
        <w:t>Eskom</w:t>
      </w:r>
      <w:r w:rsidR="008B0CBD" w:rsidRPr="00E35C82">
        <w:rPr>
          <w:rFonts w:ascii="Arial" w:hAnsi="Arial" w:cs="Arial"/>
          <w:color w:val="000000" w:themeColor="text1"/>
        </w:rPr>
        <w:t xml:space="preserve"> decision had been cited with approval inn </w:t>
      </w:r>
      <w:proofErr w:type="spellStart"/>
      <w:r w:rsidR="008B0CBD" w:rsidRPr="00E35C82">
        <w:rPr>
          <w:rFonts w:ascii="Arial" w:hAnsi="Arial" w:cs="Arial"/>
          <w:i/>
          <w:iCs/>
          <w:color w:val="000000" w:themeColor="text1"/>
        </w:rPr>
        <w:t>Ganes</w:t>
      </w:r>
      <w:proofErr w:type="spellEnd"/>
      <w:r w:rsidR="008B0CBD" w:rsidRPr="00E35C82">
        <w:rPr>
          <w:rFonts w:ascii="Arial" w:hAnsi="Arial" w:cs="Arial"/>
          <w:i/>
          <w:iCs/>
          <w:color w:val="000000" w:themeColor="text1"/>
        </w:rPr>
        <w:t xml:space="preserve"> v Telecom Namibia Ltd,</w:t>
      </w:r>
      <w:r w:rsidR="008B0CBD" w:rsidRPr="002B5823">
        <w:rPr>
          <w:rStyle w:val="FootnoteReference"/>
          <w:rFonts w:cs="Arial"/>
          <w:i/>
          <w:iCs/>
        </w:rPr>
        <w:footnoteReference w:id="11"/>
      </w:r>
      <w:r w:rsidR="008B0CBD" w:rsidRPr="00E35C82">
        <w:rPr>
          <w:rFonts w:ascii="Arial" w:hAnsi="Arial" w:cs="Arial"/>
          <w:color w:val="000000" w:themeColor="text1"/>
        </w:rPr>
        <w:t xml:space="preserve"> and had held that the issue of authority as raised had been </w:t>
      </w:r>
      <w:r w:rsidR="008B0CBD" w:rsidRPr="00E35C82">
        <w:rPr>
          <w:rFonts w:ascii="Arial" w:hAnsi="Arial" w:cs="Arial"/>
          <w:color w:val="000000" w:themeColor="text1"/>
        </w:rPr>
        <w:lastRenderedPageBreak/>
        <w:t xml:space="preserve">decided conclusively in </w:t>
      </w:r>
      <w:r w:rsidR="008B0CBD" w:rsidRPr="00E35C82">
        <w:rPr>
          <w:rFonts w:ascii="Arial" w:hAnsi="Arial" w:cs="Arial"/>
          <w:i/>
          <w:iCs/>
          <w:color w:val="000000" w:themeColor="text1"/>
        </w:rPr>
        <w:t>Eskom.</w:t>
      </w:r>
      <w:r w:rsidR="008B0CBD" w:rsidRPr="00E35C82">
        <w:rPr>
          <w:rFonts w:ascii="Arial" w:hAnsi="Arial" w:cs="Arial"/>
          <w:color w:val="000000" w:themeColor="text1"/>
        </w:rPr>
        <w:t xml:space="preserve"> The import of that was that the remedy of a respondent who wished to challenge the authority of a person allegedly acting was now provided for in Rule 7(1). </w:t>
      </w:r>
    </w:p>
    <w:p w14:paraId="3D2DA880" w14:textId="36B5E428" w:rsidR="00B577E4" w:rsidRPr="00E35C82" w:rsidRDefault="00E35C82" w:rsidP="00E35C82">
      <w:pPr>
        <w:tabs>
          <w:tab w:val="left" w:pos="851"/>
        </w:tabs>
        <w:spacing w:after="480" w:line="480" w:lineRule="auto"/>
        <w:ind w:left="851" w:hanging="851"/>
        <w:jc w:val="both"/>
        <w:rPr>
          <w:rFonts w:ascii="Arial" w:hAnsi="Arial" w:cs="Arial"/>
          <w:color w:val="000000" w:themeColor="text1"/>
        </w:rPr>
      </w:pPr>
      <w:r>
        <w:rPr>
          <w:rFonts w:asciiTheme="minorHAnsi" w:hAnsiTheme="minorHAnsi" w:cs="Arial"/>
          <w:color w:val="000000" w:themeColor="text1"/>
        </w:rPr>
        <w:t>48.</w:t>
      </w:r>
      <w:r>
        <w:rPr>
          <w:rFonts w:asciiTheme="minorHAnsi" w:hAnsiTheme="minorHAnsi" w:cs="Arial"/>
          <w:color w:val="000000" w:themeColor="text1"/>
        </w:rPr>
        <w:tab/>
      </w:r>
      <w:r w:rsidR="00B577E4" w:rsidRPr="00E35C82">
        <w:rPr>
          <w:rFonts w:ascii="Arial" w:hAnsi="Arial" w:cs="Arial"/>
          <w:color w:val="000000" w:themeColor="text1"/>
        </w:rPr>
        <w:t>The simple point is this: the respondents were no</w:t>
      </w:r>
      <w:r w:rsidR="008B0CBD" w:rsidRPr="00E35C82">
        <w:rPr>
          <w:rFonts w:ascii="Arial" w:hAnsi="Arial" w:cs="Arial"/>
          <w:color w:val="000000" w:themeColor="text1"/>
        </w:rPr>
        <w:t>t</w:t>
      </w:r>
      <w:r w:rsidR="00B577E4" w:rsidRPr="00E35C82">
        <w:rPr>
          <w:rFonts w:ascii="Arial" w:hAnsi="Arial" w:cs="Arial"/>
          <w:color w:val="000000" w:themeColor="text1"/>
        </w:rPr>
        <w:t xml:space="preserve"> even required to attach a resolution.  If the applicant wished to challenge authority, that ought to have been done by way of a Rule 7(1) notice challenging authority of the attorney to act.  This was not done, and so no proper objection to authority is before this Court.  </w:t>
      </w:r>
    </w:p>
    <w:p w14:paraId="2568C24D" w14:textId="595107D5" w:rsidR="00E14866" w:rsidRPr="00E35C82" w:rsidRDefault="00E35C82" w:rsidP="00E35C82">
      <w:pPr>
        <w:tabs>
          <w:tab w:val="left" w:pos="851"/>
        </w:tabs>
        <w:spacing w:after="480" w:line="480" w:lineRule="auto"/>
        <w:ind w:left="851" w:hanging="851"/>
        <w:jc w:val="both"/>
        <w:rPr>
          <w:rFonts w:ascii="Arial" w:hAnsi="Arial" w:cs="Arial"/>
          <w:color w:val="000000" w:themeColor="text1"/>
        </w:rPr>
      </w:pPr>
      <w:r w:rsidRPr="002B5823">
        <w:rPr>
          <w:rFonts w:asciiTheme="minorHAnsi" w:hAnsiTheme="minorHAnsi" w:cs="Arial"/>
          <w:color w:val="000000" w:themeColor="text1"/>
        </w:rPr>
        <w:t>49.</w:t>
      </w:r>
      <w:r w:rsidRPr="002B5823">
        <w:rPr>
          <w:rFonts w:asciiTheme="minorHAnsi" w:hAnsiTheme="minorHAnsi" w:cs="Arial"/>
          <w:color w:val="000000" w:themeColor="text1"/>
        </w:rPr>
        <w:tab/>
      </w:r>
      <w:r w:rsidR="00E14866" w:rsidRPr="00E35C82">
        <w:rPr>
          <w:rFonts w:ascii="Arial" w:hAnsi="Arial" w:cs="Arial"/>
          <w:color w:val="000000" w:themeColor="text1"/>
        </w:rPr>
        <w:t xml:space="preserve">This preliminary objection falls to be dismissed.  </w:t>
      </w:r>
    </w:p>
    <w:p w14:paraId="1BA61224" w14:textId="77777777" w:rsidR="008F5D05" w:rsidRPr="002B5823" w:rsidRDefault="008F5D05" w:rsidP="008F5D05">
      <w:pPr>
        <w:spacing w:after="480" w:line="480" w:lineRule="auto"/>
        <w:jc w:val="both"/>
        <w:rPr>
          <w:rFonts w:ascii="Arial" w:hAnsi="Arial" w:cs="Arial"/>
          <w:i/>
          <w:iCs/>
          <w:color w:val="000000" w:themeColor="text1"/>
        </w:rPr>
      </w:pPr>
      <w:r w:rsidRPr="002B5823">
        <w:rPr>
          <w:rFonts w:ascii="Arial" w:hAnsi="Arial" w:cs="Arial"/>
          <w:i/>
          <w:iCs/>
          <w:color w:val="000000" w:themeColor="text1"/>
        </w:rPr>
        <w:t>Conclusion</w:t>
      </w:r>
    </w:p>
    <w:p w14:paraId="4D12A82C" w14:textId="245D8043" w:rsidR="00B577E4" w:rsidRPr="00E35C82" w:rsidRDefault="00E35C82" w:rsidP="00E35C82">
      <w:pPr>
        <w:tabs>
          <w:tab w:val="left" w:pos="851"/>
        </w:tabs>
        <w:spacing w:after="480" w:line="480" w:lineRule="auto"/>
        <w:ind w:left="851" w:hanging="851"/>
        <w:jc w:val="both"/>
        <w:rPr>
          <w:rFonts w:ascii="Arial" w:hAnsi="Arial" w:cs="Arial"/>
          <w:color w:val="000000" w:themeColor="text1"/>
        </w:rPr>
      </w:pPr>
      <w:r w:rsidRPr="002B5823">
        <w:rPr>
          <w:rFonts w:asciiTheme="minorHAnsi" w:hAnsiTheme="minorHAnsi" w:cs="Arial"/>
          <w:color w:val="000000" w:themeColor="text1"/>
        </w:rPr>
        <w:t>50.</w:t>
      </w:r>
      <w:r w:rsidRPr="002B5823">
        <w:rPr>
          <w:rFonts w:asciiTheme="minorHAnsi" w:hAnsiTheme="minorHAnsi" w:cs="Arial"/>
          <w:color w:val="000000" w:themeColor="text1"/>
        </w:rPr>
        <w:tab/>
      </w:r>
      <w:r w:rsidR="008F5D05" w:rsidRPr="00E35C82">
        <w:rPr>
          <w:rFonts w:ascii="Arial" w:hAnsi="Arial" w:cs="Arial"/>
          <w:color w:val="000000" w:themeColor="text1"/>
        </w:rPr>
        <w:t>None of the preliminary points raised</w:t>
      </w:r>
      <w:r w:rsidR="00B54FAD" w:rsidRPr="00E35C82">
        <w:rPr>
          <w:rFonts w:ascii="Arial" w:hAnsi="Arial" w:cs="Arial"/>
          <w:color w:val="000000" w:themeColor="text1"/>
        </w:rPr>
        <w:t xml:space="preserve"> by either of the parties</w:t>
      </w:r>
      <w:r w:rsidR="008F5D05" w:rsidRPr="00E35C82">
        <w:rPr>
          <w:rFonts w:ascii="Arial" w:hAnsi="Arial" w:cs="Arial"/>
          <w:color w:val="000000" w:themeColor="text1"/>
        </w:rPr>
        <w:t xml:space="preserve"> are upheld</w:t>
      </w:r>
      <w:r w:rsidR="00097C50" w:rsidRPr="00E35C82">
        <w:rPr>
          <w:rFonts w:ascii="Arial" w:hAnsi="Arial" w:cs="Arial"/>
          <w:color w:val="000000" w:themeColor="text1"/>
        </w:rPr>
        <w:t xml:space="preserve"> in the circumstances</w:t>
      </w:r>
      <w:r w:rsidR="008F5D05" w:rsidRPr="00E35C82">
        <w:rPr>
          <w:rFonts w:ascii="Arial" w:hAnsi="Arial" w:cs="Arial"/>
          <w:color w:val="000000" w:themeColor="text1"/>
        </w:rPr>
        <w:t xml:space="preserve">.  </w:t>
      </w:r>
      <w:r w:rsidR="00097C50" w:rsidRPr="00E35C82">
        <w:rPr>
          <w:rFonts w:ascii="Arial" w:hAnsi="Arial" w:cs="Arial"/>
          <w:color w:val="000000" w:themeColor="text1"/>
        </w:rPr>
        <w:t>Accordingly</w:t>
      </w:r>
      <w:r w:rsidR="008F5D05" w:rsidRPr="00E35C82">
        <w:rPr>
          <w:rFonts w:ascii="Arial" w:hAnsi="Arial" w:cs="Arial"/>
          <w:color w:val="000000" w:themeColor="text1"/>
        </w:rPr>
        <w:t xml:space="preserve">, I proceed to deal with the merits.  </w:t>
      </w:r>
    </w:p>
    <w:p w14:paraId="5FCA898F" w14:textId="77777777" w:rsidR="000E7A1E" w:rsidRPr="002B5823" w:rsidRDefault="00764C6E" w:rsidP="000E7A1E">
      <w:pPr>
        <w:spacing w:after="480" w:line="480" w:lineRule="auto"/>
        <w:jc w:val="both"/>
        <w:rPr>
          <w:rFonts w:ascii="Arial" w:hAnsi="Arial" w:cs="Arial"/>
          <w:color w:val="000000" w:themeColor="text1"/>
          <w:u w:val="single"/>
        </w:rPr>
      </w:pPr>
      <w:proofErr w:type="spellStart"/>
      <w:r w:rsidRPr="002B5823">
        <w:rPr>
          <w:rFonts w:ascii="Arial" w:hAnsi="Arial" w:cs="Arial"/>
          <w:i/>
          <w:iCs/>
          <w:color w:val="000000" w:themeColor="text1"/>
          <w:u w:val="single"/>
        </w:rPr>
        <w:t>M</w:t>
      </w:r>
      <w:r w:rsidR="000E7A1E" w:rsidRPr="002B5823">
        <w:rPr>
          <w:rFonts w:ascii="Arial" w:hAnsi="Arial" w:cs="Arial"/>
          <w:i/>
          <w:iCs/>
          <w:color w:val="000000" w:themeColor="text1"/>
          <w:u w:val="single"/>
        </w:rPr>
        <w:t>andament</w:t>
      </w:r>
      <w:proofErr w:type="spellEnd"/>
      <w:r w:rsidR="000E7A1E" w:rsidRPr="002B5823">
        <w:rPr>
          <w:rFonts w:ascii="Arial" w:hAnsi="Arial" w:cs="Arial"/>
          <w:i/>
          <w:iCs/>
          <w:color w:val="000000" w:themeColor="text1"/>
          <w:u w:val="single"/>
        </w:rPr>
        <w:t xml:space="preserve"> </w:t>
      </w:r>
      <w:r w:rsidRPr="002B5823">
        <w:rPr>
          <w:rFonts w:ascii="Arial" w:hAnsi="Arial" w:cs="Arial"/>
          <w:i/>
          <w:iCs/>
          <w:color w:val="000000" w:themeColor="text1"/>
          <w:u w:val="single"/>
        </w:rPr>
        <w:t xml:space="preserve">van </w:t>
      </w:r>
      <w:proofErr w:type="spellStart"/>
      <w:r w:rsidRPr="002B5823">
        <w:rPr>
          <w:rFonts w:ascii="Arial" w:hAnsi="Arial" w:cs="Arial"/>
          <w:i/>
          <w:iCs/>
          <w:color w:val="000000" w:themeColor="text1"/>
          <w:u w:val="single"/>
        </w:rPr>
        <w:t>spolie</w:t>
      </w:r>
      <w:proofErr w:type="spellEnd"/>
      <w:r w:rsidRPr="002B5823">
        <w:rPr>
          <w:rFonts w:ascii="Arial" w:hAnsi="Arial" w:cs="Arial"/>
          <w:color w:val="000000" w:themeColor="text1"/>
          <w:u w:val="single"/>
        </w:rPr>
        <w:t>: Principles</w:t>
      </w:r>
    </w:p>
    <w:p w14:paraId="780C0A2A" w14:textId="079CD4D6" w:rsidR="00764C6E" w:rsidRPr="00E35C82" w:rsidRDefault="00E35C82" w:rsidP="00E35C82">
      <w:pPr>
        <w:tabs>
          <w:tab w:val="left" w:pos="851"/>
        </w:tabs>
        <w:spacing w:after="480" w:line="480" w:lineRule="auto"/>
        <w:ind w:left="851" w:hanging="851"/>
        <w:jc w:val="both"/>
        <w:rPr>
          <w:rFonts w:ascii="Arial" w:hAnsi="Arial" w:cs="Arial"/>
          <w:b/>
          <w:bCs/>
          <w:u w:val="single"/>
        </w:rPr>
      </w:pPr>
      <w:r w:rsidRPr="002B5823">
        <w:rPr>
          <w:rFonts w:asciiTheme="minorHAnsi" w:hAnsiTheme="minorHAnsi" w:cs="Arial"/>
          <w:b/>
          <w:bCs/>
        </w:rPr>
        <w:t>51.</w:t>
      </w:r>
      <w:r w:rsidRPr="002B5823">
        <w:rPr>
          <w:rFonts w:asciiTheme="minorHAnsi" w:hAnsiTheme="minorHAnsi" w:cs="Arial"/>
          <w:b/>
          <w:bCs/>
        </w:rPr>
        <w:tab/>
      </w:r>
      <w:r w:rsidR="00764C6E" w:rsidRPr="00E35C82">
        <w:rPr>
          <w:rFonts w:ascii="Arial" w:hAnsi="Arial" w:cs="Arial"/>
        </w:rPr>
        <w:t xml:space="preserve">In </w:t>
      </w:r>
      <w:r w:rsidR="00764C6E" w:rsidRPr="00E35C82">
        <w:rPr>
          <w:rFonts w:ascii="Arial" w:hAnsi="Arial" w:cs="Arial"/>
          <w:i/>
          <w:iCs/>
        </w:rPr>
        <w:t>Sithole v Native Resettlement Board</w:t>
      </w:r>
      <w:r w:rsidR="00764C6E" w:rsidRPr="00E35C82">
        <w:rPr>
          <w:rFonts w:ascii="Arial" w:hAnsi="Arial" w:cs="Arial"/>
        </w:rPr>
        <w:t>,</w:t>
      </w:r>
      <w:r w:rsidR="00764C6E" w:rsidRPr="002B5823">
        <w:rPr>
          <w:rStyle w:val="FootnoteReference"/>
          <w:rFonts w:cs="Arial"/>
        </w:rPr>
        <w:footnoteReference w:id="12"/>
      </w:r>
      <w:r w:rsidR="00764C6E" w:rsidRPr="00E35C82">
        <w:rPr>
          <w:rFonts w:ascii="Arial" w:hAnsi="Arial" w:cs="Arial"/>
        </w:rPr>
        <w:t xml:space="preserve"> it was held that:</w:t>
      </w:r>
    </w:p>
    <w:p w14:paraId="00EED796" w14:textId="77777777" w:rsidR="00764C6E" w:rsidRPr="002B5823" w:rsidRDefault="00764C6E" w:rsidP="00764C6E">
      <w:pPr>
        <w:pStyle w:val="ListParagraph"/>
        <w:rPr>
          <w:rFonts w:ascii="Arial" w:hAnsi="Arial" w:cs="Arial"/>
          <w:b/>
          <w:bCs/>
          <w:u w:val="single"/>
        </w:rPr>
      </w:pPr>
    </w:p>
    <w:p w14:paraId="65D13F60" w14:textId="77777777" w:rsidR="00764C6E" w:rsidRPr="002B5823" w:rsidRDefault="00764C6E" w:rsidP="00764C6E">
      <w:pPr>
        <w:autoSpaceDE w:val="0"/>
        <w:autoSpaceDN w:val="0"/>
        <w:adjustRightInd w:val="0"/>
        <w:spacing w:line="480" w:lineRule="auto"/>
        <w:ind w:left="851"/>
        <w:jc w:val="both"/>
        <w:rPr>
          <w:rFonts w:ascii="Arial" w:hAnsi="Arial" w:cs="Arial"/>
          <w:i/>
          <w:iCs/>
          <w:lang w:val="en-US"/>
        </w:rPr>
      </w:pPr>
      <w:r w:rsidRPr="002B5823">
        <w:rPr>
          <w:rFonts w:ascii="Arial" w:hAnsi="Arial" w:cs="Arial"/>
          <w:i/>
          <w:iCs/>
          <w:lang w:val="en-US"/>
        </w:rPr>
        <w:t xml:space="preserve">“… the clear principle of our law is that, ordinarily speaking, persons are not entitled to take the law into their own hands to enforce their rights. There is a legal process by which the enforcement of rights is carried out. Normally speaking, it is carried out as a result of an order of Court being put into effect </w:t>
      </w:r>
      <w:r w:rsidRPr="002B5823">
        <w:rPr>
          <w:rFonts w:ascii="Arial" w:hAnsi="Arial" w:cs="Arial"/>
          <w:i/>
          <w:iCs/>
          <w:lang w:val="en-US"/>
        </w:rPr>
        <w:lastRenderedPageBreak/>
        <w:t xml:space="preserve">through the proper officers of the law such as the Sheriff, deputy sheriff, messenger of the magistrate's Court or his deputies, </w:t>
      </w:r>
      <w:proofErr w:type="gramStart"/>
      <w:r w:rsidRPr="002B5823">
        <w:rPr>
          <w:rFonts w:ascii="Arial" w:hAnsi="Arial" w:cs="Arial"/>
          <w:i/>
          <w:iCs/>
          <w:lang w:val="en-US"/>
        </w:rPr>
        <w:t>reinforced</w:t>
      </w:r>
      <w:proofErr w:type="gramEnd"/>
      <w:r w:rsidRPr="002B5823">
        <w:rPr>
          <w:rFonts w:ascii="Arial" w:hAnsi="Arial" w:cs="Arial"/>
          <w:i/>
          <w:iCs/>
          <w:lang w:val="en-US"/>
        </w:rPr>
        <w:t xml:space="preserve"> if necessary, by the aid of the police or some such authority; in most </w:t>
      </w:r>
      <w:proofErr w:type="spellStart"/>
      <w:r w:rsidRPr="002B5823">
        <w:rPr>
          <w:rFonts w:ascii="Arial" w:hAnsi="Arial" w:cs="Arial"/>
          <w:i/>
          <w:iCs/>
          <w:lang w:val="en-US"/>
        </w:rPr>
        <w:t>civilised</w:t>
      </w:r>
      <w:proofErr w:type="spellEnd"/>
      <w:r w:rsidRPr="002B5823">
        <w:rPr>
          <w:rFonts w:ascii="Arial" w:hAnsi="Arial" w:cs="Arial"/>
          <w:i/>
          <w:iCs/>
          <w:lang w:val="en-US"/>
        </w:rPr>
        <w:t xml:space="preserve"> countries there exists the same principle that no person enforces his legal rights himself. For very obvious reasons that is so; if it were not so, breaches of the peace, for instance, would be very common. It is clear, therefore, that if you want to enforce a right you must get the officers of the law to assist you in the attainment of your rights.” </w:t>
      </w:r>
    </w:p>
    <w:p w14:paraId="27793453" w14:textId="3FD7CC28" w:rsidR="00764C6E" w:rsidRPr="00E35C82" w:rsidRDefault="00E35C82" w:rsidP="00E35C82">
      <w:pPr>
        <w:tabs>
          <w:tab w:val="left" w:pos="851"/>
        </w:tabs>
        <w:spacing w:after="480" w:line="480" w:lineRule="auto"/>
        <w:ind w:left="851" w:hanging="851"/>
        <w:jc w:val="both"/>
        <w:rPr>
          <w:rFonts w:ascii="Arial" w:hAnsi="Arial" w:cs="Arial"/>
        </w:rPr>
      </w:pPr>
      <w:r w:rsidRPr="002B5823">
        <w:rPr>
          <w:rFonts w:asciiTheme="minorHAnsi" w:hAnsiTheme="minorHAnsi" w:cs="Arial"/>
        </w:rPr>
        <w:t>52.</w:t>
      </w:r>
      <w:r w:rsidRPr="002B5823">
        <w:rPr>
          <w:rFonts w:asciiTheme="minorHAnsi" w:hAnsiTheme="minorHAnsi" w:cs="Arial"/>
        </w:rPr>
        <w:tab/>
      </w:r>
      <w:r w:rsidR="00764C6E" w:rsidRPr="00E35C82">
        <w:rPr>
          <w:rFonts w:ascii="Arial" w:hAnsi="Arial" w:cs="Arial"/>
        </w:rPr>
        <w:t xml:space="preserve">In the recent decision of </w:t>
      </w:r>
      <w:bookmarkStart w:id="0" w:name="_Hlk76307480"/>
      <w:proofErr w:type="spellStart"/>
      <w:r w:rsidR="00764C6E" w:rsidRPr="00E35C82">
        <w:rPr>
          <w:rFonts w:ascii="Arial" w:hAnsi="Arial" w:cs="Arial"/>
          <w:i/>
          <w:iCs/>
        </w:rPr>
        <w:t>Blendrite</w:t>
      </w:r>
      <w:proofErr w:type="spellEnd"/>
      <w:r w:rsidR="00764C6E" w:rsidRPr="00E35C82">
        <w:rPr>
          <w:rFonts w:ascii="Arial" w:hAnsi="Arial" w:cs="Arial"/>
          <w:i/>
          <w:iCs/>
        </w:rPr>
        <w:t xml:space="preserve"> (Pty) Ltd and Another v </w:t>
      </w:r>
      <w:proofErr w:type="spellStart"/>
      <w:r w:rsidR="00764C6E" w:rsidRPr="00E35C82">
        <w:rPr>
          <w:rFonts w:ascii="Arial" w:hAnsi="Arial" w:cs="Arial"/>
          <w:i/>
          <w:iCs/>
        </w:rPr>
        <w:t>Moonisami</w:t>
      </w:r>
      <w:proofErr w:type="spellEnd"/>
      <w:r w:rsidR="00764C6E" w:rsidRPr="00E35C82">
        <w:rPr>
          <w:rFonts w:ascii="Arial" w:hAnsi="Arial" w:cs="Arial"/>
          <w:i/>
          <w:iCs/>
        </w:rPr>
        <w:t xml:space="preserve"> and Another</w:t>
      </w:r>
      <w:bookmarkEnd w:id="0"/>
      <w:r w:rsidR="00764C6E" w:rsidRPr="00E35C82">
        <w:rPr>
          <w:rFonts w:ascii="Arial" w:hAnsi="Arial" w:cs="Arial"/>
        </w:rPr>
        <w:t>,</w:t>
      </w:r>
      <w:r w:rsidR="00764C6E" w:rsidRPr="002B5823">
        <w:rPr>
          <w:rStyle w:val="FootnoteReference"/>
          <w:rFonts w:cs="Arial"/>
        </w:rPr>
        <w:footnoteReference w:id="13"/>
      </w:r>
      <w:r w:rsidR="00764C6E" w:rsidRPr="00E35C82">
        <w:rPr>
          <w:rFonts w:ascii="Arial" w:hAnsi="Arial" w:cs="Arial"/>
        </w:rPr>
        <w:t xml:space="preserve"> the Supreme Court of Appeal (SCA) summarised the relevant principles as follows:</w:t>
      </w:r>
      <w:r w:rsidR="00764C6E" w:rsidRPr="002B5823">
        <w:rPr>
          <w:rStyle w:val="FootnoteReference"/>
          <w:rFonts w:cs="Arial"/>
        </w:rPr>
        <w:footnoteReference w:id="14"/>
      </w:r>
    </w:p>
    <w:p w14:paraId="6FD9090D" w14:textId="77777777" w:rsidR="00764C6E" w:rsidRPr="002B5823" w:rsidRDefault="00764C6E" w:rsidP="00764C6E">
      <w:pPr>
        <w:pStyle w:val="ListParagraph"/>
        <w:widowControl w:val="0"/>
        <w:spacing w:after="480" w:line="480" w:lineRule="auto"/>
        <w:ind w:left="1021"/>
        <w:jc w:val="both"/>
        <w:rPr>
          <w:rFonts w:ascii="Arial" w:hAnsi="Arial" w:cs="Arial"/>
        </w:rPr>
      </w:pPr>
    </w:p>
    <w:p w14:paraId="743D1AB3" w14:textId="1EFAAB66" w:rsidR="00764C6E" w:rsidRPr="00E35C82" w:rsidRDefault="00E35C82" w:rsidP="00E35C82">
      <w:pPr>
        <w:spacing w:after="480" w:line="480" w:lineRule="auto"/>
        <w:ind w:left="1701" w:hanging="850"/>
        <w:jc w:val="both"/>
        <w:rPr>
          <w:rFonts w:ascii="Arial" w:hAnsi="Arial" w:cs="Arial"/>
        </w:rPr>
      </w:pPr>
      <w:r w:rsidRPr="002B5823">
        <w:rPr>
          <w:rFonts w:asciiTheme="minorHAnsi" w:hAnsiTheme="minorHAnsi" w:cs="Arial"/>
        </w:rPr>
        <w:t>52.1.</w:t>
      </w:r>
      <w:r w:rsidRPr="002B5823">
        <w:rPr>
          <w:rFonts w:asciiTheme="minorHAnsi" w:hAnsiTheme="minorHAnsi" w:cs="Arial"/>
        </w:rPr>
        <w:tab/>
      </w:r>
      <w:r w:rsidR="00764C6E" w:rsidRPr="00E35C82">
        <w:rPr>
          <w:rFonts w:ascii="Arial" w:hAnsi="Arial" w:cs="Arial"/>
        </w:rPr>
        <w:t xml:space="preserve">The </w:t>
      </w:r>
      <w:proofErr w:type="spellStart"/>
      <w:r w:rsidR="00764C6E" w:rsidRPr="00E35C82">
        <w:rPr>
          <w:rFonts w:ascii="Arial" w:hAnsi="Arial" w:cs="Arial"/>
          <w:i/>
          <w:iCs/>
        </w:rPr>
        <w:t>mandament</w:t>
      </w:r>
      <w:proofErr w:type="spellEnd"/>
      <w:r w:rsidR="00764C6E" w:rsidRPr="00E35C82">
        <w:rPr>
          <w:rFonts w:ascii="Arial" w:hAnsi="Arial" w:cs="Arial"/>
          <w:i/>
          <w:iCs/>
        </w:rPr>
        <w:t xml:space="preserve"> van </w:t>
      </w:r>
      <w:proofErr w:type="spellStart"/>
      <w:r w:rsidR="00764C6E" w:rsidRPr="00E35C82">
        <w:rPr>
          <w:rFonts w:ascii="Arial" w:hAnsi="Arial" w:cs="Arial"/>
          <w:i/>
          <w:iCs/>
        </w:rPr>
        <w:t>spolie</w:t>
      </w:r>
      <w:proofErr w:type="spellEnd"/>
      <w:r w:rsidR="00764C6E" w:rsidRPr="00E35C82">
        <w:rPr>
          <w:rFonts w:ascii="Arial" w:hAnsi="Arial" w:cs="Arial"/>
        </w:rPr>
        <w:t xml:space="preserve"> relates to possession. Possession is the combination of the factual control or detention of a thing and the will to possess the thing.</w:t>
      </w:r>
    </w:p>
    <w:p w14:paraId="67364348" w14:textId="77777777" w:rsidR="00764C6E" w:rsidRPr="002B5823" w:rsidRDefault="00764C6E" w:rsidP="00764C6E">
      <w:pPr>
        <w:pStyle w:val="ListParagraph"/>
        <w:widowControl w:val="0"/>
        <w:spacing w:after="480" w:line="480" w:lineRule="auto"/>
        <w:ind w:left="1928"/>
        <w:jc w:val="both"/>
        <w:rPr>
          <w:rFonts w:ascii="Arial" w:hAnsi="Arial" w:cs="Arial"/>
        </w:rPr>
      </w:pPr>
    </w:p>
    <w:p w14:paraId="27BFFD8B" w14:textId="5A12A936" w:rsidR="00764C6E" w:rsidRPr="00E35C82" w:rsidRDefault="00E35C82" w:rsidP="00E35C82">
      <w:pPr>
        <w:spacing w:after="480" w:line="480" w:lineRule="auto"/>
        <w:ind w:left="1701" w:hanging="850"/>
        <w:jc w:val="both"/>
        <w:rPr>
          <w:rFonts w:ascii="Arial" w:hAnsi="Arial" w:cs="Arial"/>
        </w:rPr>
      </w:pPr>
      <w:r w:rsidRPr="002B5823">
        <w:rPr>
          <w:rFonts w:asciiTheme="minorHAnsi" w:hAnsiTheme="minorHAnsi" w:cs="Arial"/>
        </w:rPr>
        <w:t>52.2.</w:t>
      </w:r>
      <w:r w:rsidRPr="002B5823">
        <w:rPr>
          <w:rFonts w:asciiTheme="minorHAnsi" w:hAnsiTheme="minorHAnsi" w:cs="Arial"/>
        </w:rPr>
        <w:tab/>
      </w:r>
      <w:r w:rsidR="00764C6E" w:rsidRPr="00E35C82">
        <w:rPr>
          <w:rFonts w:ascii="Arial" w:hAnsi="Arial" w:cs="Arial"/>
        </w:rPr>
        <w:t>Spoliation is any illicit deprivation of another of the right of possession which he or she has, whether in regard to movable or immovable property or even in regard to a legal right.</w:t>
      </w:r>
    </w:p>
    <w:p w14:paraId="0B6E95EA" w14:textId="77777777" w:rsidR="00764C6E" w:rsidRPr="002B5823" w:rsidRDefault="00764C6E" w:rsidP="00764C6E">
      <w:pPr>
        <w:pStyle w:val="ListParagraph"/>
        <w:widowControl w:val="0"/>
        <w:rPr>
          <w:rFonts w:ascii="Arial" w:hAnsi="Arial" w:cs="Arial"/>
        </w:rPr>
      </w:pPr>
    </w:p>
    <w:p w14:paraId="2C79F25F" w14:textId="5215ADEA" w:rsidR="00764C6E" w:rsidRPr="00E35C82" w:rsidRDefault="00E35C82" w:rsidP="00E35C82">
      <w:pPr>
        <w:spacing w:after="480" w:line="480" w:lineRule="auto"/>
        <w:ind w:left="1701" w:hanging="850"/>
        <w:jc w:val="both"/>
        <w:rPr>
          <w:rFonts w:ascii="Arial" w:hAnsi="Arial" w:cs="Arial"/>
        </w:rPr>
      </w:pPr>
      <w:r w:rsidRPr="002B5823">
        <w:rPr>
          <w:rFonts w:asciiTheme="minorHAnsi" w:hAnsiTheme="minorHAnsi" w:cs="Arial"/>
        </w:rPr>
        <w:lastRenderedPageBreak/>
        <w:t>52.3.</w:t>
      </w:r>
      <w:r w:rsidRPr="002B5823">
        <w:rPr>
          <w:rFonts w:asciiTheme="minorHAnsi" w:hAnsiTheme="minorHAnsi" w:cs="Arial"/>
        </w:rPr>
        <w:tab/>
      </w:r>
      <w:r w:rsidR="00764C6E" w:rsidRPr="00E35C82">
        <w:rPr>
          <w:rFonts w:ascii="Arial" w:hAnsi="Arial" w:cs="Arial"/>
        </w:rPr>
        <w:t xml:space="preserve">The </w:t>
      </w:r>
      <w:proofErr w:type="spellStart"/>
      <w:r w:rsidR="00764C6E" w:rsidRPr="00E35C82">
        <w:rPr>
          <w:rFonts w:ascii="Arial" w:hAnsi="Arial" w:cs="Arial"/>
          <w:i/>
          <w:iCs/>
        </w:rPr>
        <w:t>mandament</w:t>
      </w:r>
      <w:proofErr w:type="spellEnd"/>
      <w:r w:rsidR="00764C6E" w:rsidRPr="00E35C82">
        <w:rPr>
          <w:rFonts w:ascii="Arial" w:hAnsi="Arial" w:cs="Arial"/>
          <w:i/>
          <w:iCs/>
        </w:rPr>
        <w:t xml:space="preserve"> van </w:t>
      </w:r>
      <w:proofErr w:type="spellStart"/>
      <w:r w:rsidR="00764C6E" w:rsidRPr="00E35C82">
        <w:rPr>
          <w:rFonts w:ascii="Arial" w:hAnsi="Arial" w:cs="Arial"/>
          <w:i/>
          <w:iCs/>
        </w:rPr>
        <w:t>spolie</w:t>
      </w:r>
      <w:proofErr w:type="spellEnd"/>
      <w:r w:rsidR="00764C6E" w:rsidRPr="00E35C82">
        <w:rPr>
          <w:rFonts w:ascii="Arial" w:hAnsi="Arial" w:cs="Arial"/>
        </w:rPr>
        <w:t xml:space="preserve"> is designed to be a robust, speedy remedy which serves to prevent recourse to self-help.</w:t>
      </w:r>
    </w:p>
    <w:p w14:paraId="5D540179" w14:textId="77777777" w:rsidR="00764C6E" w:rsidRPr="002B5823" w:rsidRDefault="00764C6E" w:rsidP="00764C6E">
      <w:pPr>
        <w:pStyle w:val="ListParagraph"/>
        <w:widowControl w:val="0"/>
        <w:rPr>
          <w:rFonts w:ascii="Arial" w:hAnsi="Arial" w:cs="Arial"/>
        </w:rPr>
      </w:pPr>
    </w:p>
    <w:p w14:paraId="7AC96C6D" w14:textId="6D2E44C5" w:rsidR="00764C6E" w:rsidRPr="00E35C82" w:rsidRDefault="00E35C82" w:rsidP="00E35C82">
      <w:pPr>
        <w:spacing w:after="480" w:line="480" w:lineRule="auto"/>
        <w:ind w:left="1701" w:hanging="850"/>
        <w:jc w:val="both"/>
        <w:rPr>
          <w:rFonts w:ascii="Arial" w:hAnsi="Arial" w:cs="Arial"/>
        </w:rPr>
      </w:pPr>
      <w:r w:rsidRPr="002B5823">
        <w:rPr>
          <w:rFonts w:asciiTheme="minorHAnsi" w:hAnsiTheme="minorHAnsi" w:cs="Arial"/>
        </w:rPr>
        <w:t>52.4.</w:t>
      </w:r>
      <w:r w:rsidRPr="002B5823">
        <w:rPr>
          <w:rFonts w:asciiTheme="minorHAnsi" w:hAnsiTheme="minorHAnsi" w:cs="Arial"/>
        </w:rPr>
        <w:tab/>
      </w:r>
      <w:r w:rsidR="00764C6E" w:rsidRPr="00E35C82">
        <w:rPr>
          <w:rFonts w:ascii="Arial" w:hAnsi="Arial" w:cs="Arial"/>
        </w:rPr>
        <w:t>The sole requirements are that the dispossessed person had possession of a kind which warrants the protection afforded by the remedy, and that he or she was unlawfully ousted. All that must be proved is: (1) the fact of prior possession and (2) that the possessor was deprived of that possession unlawfully (</w:t>
      </w:r>
      <w:proofErr w:type="gramStart"/>
      <w:r w:rsidR="00764C6E" w:rsidRPr="00E35C82">
        <w:rPr>
          <w:rFonts w:ascii="Arial" w:hAnsi="Arial" w:cs="Arial"/>
        </w:rPr>
        <w:t>i.e.</w:t>
      </w:r>
      <w:proofErr w:type="gramEnd"/>
      <w:r w:rsidR="00764C6E" w:rsidRPr="00E35C82">
        <w:rPr>
          <w:rFonts w:ascii="Arial" w:hAnsi="Arial" w:cs="Arial"/>
        </w:rPr>
        <w:t xml:space="preserve"> without agreement or recourse to law).</w:t>
      </w:r>
    </w:p>
    <w:p w14:paraId="1C5179E6" w14:textId="77777777" w:rsidR="00764C6E" w:rsidRPr="002B5823" w:rsidRDefault="00764C6E" w:rsidP="00764C6E">
      <w:pPr>
        <w:pStyle w:val="ListParagraph"/>
        <w:widowControl w:val="0"/>
        <w:rPr>
          <w:rFonts w:ascii="Arial" w:hAnsi="Arial" w:cs="Arial"/>
        </w:rPr>
      </w:pPr>
    </w:p>
    <w:p w14:paraId="7CBE4065" w14:textId="3075FB5B" w:rsidR="00764C6E" w:rsidRPr="00E35C82" w:rsidRDefault="00E35C82" w:rsidP="00E35C82">
      <w:pPr>
        <w:spacing w:after="480" w:line="480" w:lineRule="auto"/>
        <w:ind w:left="1701" w:hanging="850"/>
        <w:jc w:val="both"/>
        <w:rPr>
          <w:rFonts w:ascii="Arial" w:hAnsi="Arial" w:cs="Arial"/>
        </w:rPr>
      </w:pPr>
      <w:r w:rsidRPr="002B5823">
        <w:rPr>
          <w:rFonts w:asciiTheme="minorHAnsi" w:hAnsiTheme="minorHAnsi" w:cs="Arial"/>
        </w:rPr>
        <w:t>52.5.</w:t>
      </w:r>
      <w:r w:rsidRPr="002B5823">
        <w:rPr>
          <w:rFonts w:asciiTheme="minorHAnsi" w:hAnsiTheme="minorHAnsi" w:cs="Arial"/>
        </w:rPr>
        <w:tab/>
      </w:r>
      <w:r w:rsidR="00764C6E" w:rsidRPr="00E35C82">
        <w:rPr>
          <w:rFonts w:ascii="Arial" w:hAnsi="Arial" w:cs="Arial"/>
        </w:rPr>
        <w:t xml:space="preserve">The </w:t>
      </w:r>
      <w:proofErr w:type="spellStart"/>
      <w:r w:rsidR="00764C6E" w:rsidRPr="00E35C82">
        <w:rPr>
          <w:rFonts w:ascii="Arial" w:hAnsi="Arial" w:cs="Arial"/>
          <w:i/>
          <w:iCs/>
        </w:rPr>
        <w:t>mandament</w:t>
      </w:r>
      <w:proofErr w:type="spellEnd"/>
      <w:r w:rsidR="00764C6E" w:rsidRPr="00E35C82">
        <w:rPr>
          <w:rFonts w:ascii="Arial" w:hAnsi="Arial" w:cs="Arial"/>
        </w:rPr>
        <w:t xml:space="preserve"> provides for the immediate restoration of possession regardless of, and before determining, the rights of the parties to the thing possessed. It is the fact of possession that is material, not the basis of possession. The prior lawfulness or otherwise of the possession is of no moment. The fundamental principle of the remedy is that no one is allowed to take the law into his or her own hands. The respective legal rights of the parties to possess the property in question does not enter into consideration.</w:t>
      </w:r>
    </w:p>
    <w:p w14:paraId="29B96CB6" w14:textId="77777777" w:rsidR="00764C6E" w:rsidRPr="002B5823" w:rsidRDefault="00764C6E" w:rsidP="00764C6E">
      <w:pPr>
        <w:pStyle w:val="ListParagraph"/>
        <w:widowControl w:val="0"/>
        <w:rPr>
          <w:rFonts w:ascii="Arial" w:hAnsi="Arial" w:cs="Arial"/>
        </w:rPr>
      </w:pPr>
    </w:p>
    <w:p w14:paraId="498C4C12" w14:textId="74A751E6" w:rsidR="003B14D1" w:rsidRPr="00E35C82" w:rsidRDefault="00E35C82" w:rsidP="00E35C82">
      <w:pPr>
        <w:tabs>
          <w:tab w:val="left" w:pos="851"/>
        </w:tabs>
        <w:spacing w:after="480" w:line="480" w:lineRule="auto"/>
        <w:ind w:left="851" w:hanging="851"/>
        <w:jc w:val="both"/>
        <w:rPr>
          <w:rFonts w:ascii="Arial" w:hAnsi="Arial" w:cs="Arial"/>
          <w:i/>
          <w:iCs/>
          <w:lang w:val="en-US"/>
        </w:rPr>
      </w:pPr>
      <w:r w:rsidRPr="002B5823">
        <w:rPr>
          <w:rFonts w:asciiTheme="minorHAnsi" w:hAnsiTheme="minorHAnsi" w:cs="Arial"/>
          <w:i/>
          <w:iCs/>
          <w:lang w:val="en-US"/>
        </w:rPr>
        <w:t>53.</w:t>
      </w:r>
      <w:r w:rsidRPr="002B5823">
        <w:rPr>
          <w:rFonts w:asciiTheme="minorHAnsi" w:hAnsiTheme="minorHAnsi" w:cs="Arial"/>
          <w:i/>
          <w:iCs/>
          <w:lang w:val="en-US"/>
        </w:rPr>
        <w:tab/>
      </w:r>
      <w:r w:rsidR="00097C50" w:rsidRPr="00E35C82">
        <w:rPr>
          <w:rFonts w:ascii="Arial" w:hAnsi="Arial" w:cs="Arial"/>
          <w:lang w:val="en-US"/>
        </w:rPr>
        <w:t xml:space="preserve">The judgment must, however, be read with </w:t>
      </w:r>
      <w:r w:rsidR="003B14D1" w:rsidRPr="00E35C82">
        <w:rPr>
          <w:rFonts w:ascii="Arial" w:hAnsi="Arial" w:cs="Arial"/>
          <w:i/>
          <w:iCs/>
          <w:lang w:val="en-US"/>
        </w:rPr>
        <w:t xml:space="preserve">Street Pole Ads Durban (Pty) Ltd &amp; Another v </w:t>
      </w:r>
      <w:proofErr w:type="spellStart"/>
      <w:r w:rsidR="003B14D1" w:rsidRPr="00E35C82">
        <w:rPr>
          <w:rFonts w:ascii="Arial" w:hAnsi="Arial" w:cs="Arial"/>
          <w:i/>
          <w:iCs/>
          <w:lang w:val="en-US"/>
        </w:rPr>
        <w:t>Ethekwini</w:t>
      </w:r>
      <w:proofErr w:type="spellEnd"/>
      <w:r w:rsidR="003B14D1" w:rsidRPr="00E35C82">
        <w:rPr>
          <w:rFonts w:ascii="Arial" w:hAnsi="Arial" w:cs="Arial"/>
          <w:i/>
          <w:iCs/>
          <w:lang w:val="en-US"/>
        </w:rPr>
        <w:t xml:space="preserve"> Municipality</w:t>
      </w:r>
      <w:r w:rsidR="00BB7D7E" w:rsidRPr="002B5823">
        <w:rPr>
          <w:rStyle w:val="FootnoteReference"/>
          <w:rFonts w:cs="Arial"/>
          <w:i/>
          <w:iCs/>
        </w:rPr>
        <w:footnoteReference w:id="15"/>
      </w:r>
      <w:r w:rsidR="00330C8A" w:rsidRPr="00E35C82">
        <w:rPr>
          <w:rFonts w:ascii="Arial" w:hAnsi="Arial" w:cs="Arial"/>
          <w:lang w:val="en-US"/>
        </w:rPr>
        <w:t xml:space="preserve"> where Cameron JA held that:</w:t>
      </w:r>
    </w:p>
    <w:p w14:paraId="264F3318" w14:textId="77777777" w:rsidR="00764C6E" w:rsidRPr="002B5823" w:rsidRDefault="003B14D1" w:rsidP="00330C8A">
      <w:pPr>
        <w:autoSpaceDE w:val="0"/>
        <w:autoSpaceDN w:val="0"/>
        <w:adjustRightInd w:val="0"/>
        <w:spacing w:line="480" w:lineRule="auto"/>
        <w:ind w:left="851"/>
        <w:jc w:val="both"/>
        <w:rPr>
          <w:rFonts w:ascii="Arial" w:hAnsi="Arial" w:cs="Arial"/>
          <w:lang w:val="en-US"/>
        </w:rPr>
      </w:pPr>
      <w:r w:rsidRPr="002B5823">
        <w:rPr>
          <w:rFonts w:ascii="Arial" w:hAnsi="Arial" w:cs="Arial"/>
          <w:lang w:val="en-US"/>
        </w:rPr>
        <w:lastRenderedPageBreak/>
        <w:t>"</w:t>
      </w:r>
      <w:r w:rsidR="00097C50" w:rsidRPr="002B5823">
        <w:rPr>
          <w:rFonts w:ascii="Arial" w:hAnsi="Arial" w:cs="Arial"/>
          <w:i/>
          <w:iCs/>
          <w:lang w:val="en-US"/>
        </w:rPr>
        <w:t xml:space="preserve">… </w:t>
      </w:r>
      <w:r w:rsidRPr="002B5823">
        <w:rPr>
          <w:rFonts w:ascii="Arial" w:hAnsi="Arial" w:cs="Arial"/>
          <w:i/>
          <w:iCs/>
          <w:lang w:val="en-US"/>
        </w:rPr>
        <w:t xml:space="preserve">good title is irrelevant: the claim to </w:t>
      </w:r>
      <w:proofErr w:type="spellStart"/>
      <w:r w:rsidRPr="002B5823">
        <w:rPr>
          <w:rFonts w:ascii="Arial" w:hAnsi="Arial" w:cs="Arial"/>
          <w:i/>
          <w:iCs/>
          <w:lang w:val="en-US"/>
        </w:rPr>
        <w:t>spoliatory</w:t>
      </w:r>
      <w:proofErr w:type="spellEnd"/>
      <w:r w:rsidRPr="002B5823">
        <w:rPr>
          <w:rFonts w:ascii="Arial" w:hAnsi="Arial" w:cs="Arial"/>
          <w:i/>
          <w:iCs/>
          <w:lang w:val="en-US"/>
        </w:rPr>
        <w:t xml:space="preserve"> relief arises solely from</w:t>
      </w:r>
      <w:r w:rsidR="00330C8A" w:rsidRPr="002B5823">
        <w:rPr>
          <w:rFonts w:ascii="Arial" w:hAnsi="Arial" w:cs="Arial"/>
          <w:i/>
          <w:iCs/>
          <w:lang w:val="en-US"/>
        </w:rPr>
        <w:t xml:space="preserve"> </w:t>
      </w:r>
      <w:r w:rsidRPr="002B5823">
        <w:rPr>
          <w:rFonts w:ascii="Arial" w:hAnsi="Arial" w:cs="Arial"/>
          <w:i/>
          <w:iCs/>
          <w:lang w:val="en-US"/>
        </w:rPr>
        <w:t>an unprocedural deprivation of possession. There is a qualification, however, if the</w:t>
      </w:r>
      <w:r w:rsidR="00330C8A" w:rsidRPr="002B5823">
        <w:rPr>
          <w:rFonts w:ascii="Arial" w:hAnsi="Arial" w:cs="Arial"/>
          <w:i/>
          <w:iCs/>
          <w:lang w:val="en-US"/>
        </w:rPr>
        <w:t xml:space="preserve"> </w:t>
      </w:r>
      <w:r w:rsidRPr="002B5823">
        <w:rPr>
          <w:rFonts w:ascii="Arial" w:hAnsi="Arial" w:cs="Arial"/>
          <w:i/>
          <w:iCs/>
          <w:lang w:val="en-US"/>
        </w:rPr>
        <w:t>applicant goes further and claims a substantive right to possession, whether based</w:t>
      </w:r>
      <w:r w:rsidR="00330C8A" w:rsidRPr="002B5823">
        <w:rPr>
          <w:rFonts w:ascii="Arial" w:hAnsi="Arial" w:cs="Arial"/>
          <w:i/>
          <w:iCs/>
          <w:lang w:val="en-US"/>
        </w:rPr>
        <w:t xml:space="preserve"> </w:t>
      </w:r>
      <w:r w:rsidRPr="002B5823">
        <w:rPr>
          <w:rFonts w:ascii="Arial" w:hAnsi="Arial" w:cs="Arial"/>
          <w:i/>
          <w:iCs/>
          <w:lang w:val="en-US"/>
        </w:rPr>
        <w:t xml:space="preserve">on title of ownership or on contract. In that case, </w:t>
      </w:r>
      <w:r w:rsidR="00097C50" w:rsidRPr="002B5823">
        <w:rPr>
          <w:rFonts w:ascii="Arial" w:hAnsi="Arial" w:cs="Arial"/>
          <w:i/>
          <w:iCs/>
          <w:lang w:val="en-US"/>
        </w:rPr>
        <w:t>‘</w:t>
      </w:r>
      <w:r w:rsidRPr="002B5823">
        <w:rPr>
          <w:rFonts w:ascii="Arial" w:hAnsi="Arial" w:cs="Arial"/>
          <w:i/>
          <w:iCs/>
          <w:lang w:val="en-US"/>
        </w:rPr>
        <w:t>the respondent may answer such</w:t>
      </w:r>
      <w:r w:rsidR="00330C8A" w:rsidRPr="002B5823">
        <w:rPr>
          <w:rFonts w:ascii="Arial" w:hAnsi="Arial" w:cs="Arial"/>
          <w:i/>
          <w:iCs/>
          <w:lang w:val="en-US"/>
        </w:rPr>
        <w:t xml:space="preserve"> </w:t>
      </w:r>
      <w:r w:rsidRPr="002B5823">
        <w:rPr>
          <w:rFonts w:ascii="Arial" w:hAnsi="Arial" w:cs="Arial"/>
          <w:i/>
          <w:iCs/>
          <w:lang w:val="en-US"/>
        </w:rPr>
        <w:t>additional claim of right and may demonstrate, if he can, that applicant does not have</w:t>
      </w:r>
      <w:r w:rsidR="00330C8A" w:rsidRPr="002B5823">
        <w:rPr>
          <w:rFonts w:ascii="Arial" w:hAnsi="Arial" w:cs="Arial"/>
          <w:i/>
          <w:iCs/>
          <w:lang w:val="en-US"/>
        </w:rPr>
        <w:t xml:space="preserve"> </w:t>
      </w:r>
      <w:r w:rsidRPr="002B5823">
        <w:rPr>
          <w:rFonts w:ascii="Arial" w:hAnsi="Arial" w:cs="Arial"/>
          <w:i/>
          <w:iCs/>
          <w:lang w:val="en-US"/>
        </w:rPr>
        <w:t xml:space="preserve">the right to possession which </w:t>
      </w:r>
      <w:proofErr w:type="gramStart"/>
      <w:r w:rsidRPr="002B5823">
        <w:rPr>
          <w:rFonts w:ascii="Arial" w:hAnsi="Arial" w:cs="Arial"/>
          <w:i/>
          <w:iCs/>
          <w:lang w:val="en-US"/>
        </w:rPr>
        <w:t>it</w:t>
      </w:r>
      <w:proofErr w:type="gramEnd"/>
      <w:r w:rsidRPr="002B5823">
        <w:rPr>
          <w:rFonts w:ascii="Arial" w:hAnsi="Arial" w:cs="Arial"/>
          <w:i/>
          <w:iCs/>
          <w:lang w:val="en-US"/>
        </w:rPr>
        <w:t xml:space="preserve"> claims</w:t>
      </w:r>
      <w:r w:rsidR="00097C50" w:rsidRPr="002B5823">
        <w:rPr>
          <w:rFonts w:ascii="Arial" w:hAnsi="Arial" w:cs="Arial"/>
          <w:i/>
          <w:iCs/>
          <w:lang w:val="en-US"/>
        </w:rPr>
        <w:t>’.</w:t>
      </w:r>
      <w:r w:rsidRPr="002B5823">
        <w:rPr>
          <w:rFonts w:ascii="Arial" w:hAnsi="Arial" w:cs="Arial"/>
          <w:i/>
          <w:iCs/>
          <w:lang w:val="en-US"/>
        </w:rPr>
        <w:t xml:space="preserve"> This is because such an applicant 'in effect</w:t>
      </w:r>
      <w:r w:rsidR="00330C8A" w:rsidRPr="002B5823">
        <w:rPr>
          <w:rFonts w:ascii="Arial" w:hAnsi="Arial" w:cs="Arial"/>
          <w:i/>
          <w:iCs/>
          <w:lang w:val="en-US"/>
        </w:rPr>
        <w:t xml:space="preserve"> </w:t>
      </w:r>
      <w:r w:rsidRPr="002B5823">
        <w:rPr>
          <w:rFonts w:ascii="Arial" w:hAnsi="Arial" w:cs="Arial"/>
          <w:i/>
          <w:iCs/>
          <w:lang w:val="en-US"/>
        </w:rPr>
        <w:t>forces an investigation of the issues relevant to the further relief he claims. Once</w:t>
      </w:r>
      <w:r w:rsidR="00330C8A" w:rsidRPr="002B5823">
        <w:rPr>
          <w:rFonts w:ascii="Arial" w:hAnsi="Arial" w:cs="Arial"/>
          <w:i/>
          <w:iCs/>
          <w:lang w:val="en-US"/>
        </w:rPr>
        <w:t xml:space="preserve"> </w:t>
      </w:r>
      <w:r w:rsidRPr="002B5823">
        <w:rPr>
          <w:rFonts w:ascii="Arial" w:hAnsi="Arial" w:cs="Arial"/>
          <w:i/>
          <w:iCs/>
          <w:lang w:val="en-US"/>
        </w:rPr>
        <w:t xml:space="preserve">he does this, the respondent's </w:t>
      </w:r>
      <w:proofErr w:type="spellStart"/>
      <w:r w:rsidRPr="002B5823">
        <w:rPr>
          <w:rFonts w:ascii="Arial" w:hAnsi="Arial" w:cs="Arial"/>
          <w:i/>
          <w:iCs/>
          <w:lang w:val="en-US"/>
        </w:rPr>
        <w:t>defence</w:t>
      </w:r>
      <w:proofErr w:type="spellEnd"/>
      <w:r w:rsidRPr="002B5823">
        <w:rPr>
          <w:rFonts w:ascii="Arial" w:hAnsi="Arial" w:cs="Arial"/>
          <w:i/>
          <w:iCs/>
          <w:lang w:val="en-US"/>
        </w:rPr>
        <w:t xml:space="preserve"> in regard thereto has to be considered</w:t>
      </w:r>
      <w:r w:rsidRPr="002B5823">
        <w:rPr>
          <w:rFonts w:ascii="Arial" w:hAnsi="Arial" w:cs="Arial"/>
          <w:lang w:val="en-US"/>
        </w:rPr>
        <w:t>."</w:t>
      </w:r>
    </w:p>
    <w:p w14:paraId="4767F06B" w14:textId="77777777" w:rsidR="00BB7D7E" w:rsidRPr="002B5823" w:rsidRDefault="00BB7D7E" w:rsidP="00D24980">
      <w:pPr>
        <w:keepNext/>
        <w:autoSpaceDE w:val="0"/>
        <w:autoSpaceDN w:val="0"/>
        <w:adjustRightInd w:val="0"/>
        <w:spacing w:line="480" w:lineRule="auto"/>
        <w:jc w:val="both"/>
        <w:rPr>
          <w:rFonts w:ascii="Arial" w:hAnsi="Arial" w:cs="Arial"/>
          <w:u w:val="single"/>
          <w:lang w:val="en-US"/>
        </w:rPr>
      </w:pPr>
      <w:r w:rsidRPr="002B5823">
        <w:rPr>
          <w:rFonts w:ascii="Arial" w:hAnsi="Arial" w:cs="Arial"/>
          <w:u w:val="single"/>
          <w:lang w:val="en-US"/>
        </w:rPr>
        <w:t>Discussion</w:t>
      </w:r>
    </w:p>
    <w:p w14:paraId="797F0465" w14:textId="77777777" w:rsidR="00BB7D7E" w:rsidRPr="002B5823" w:rsidRDefault="00BB7D7E" w:rsidP="00D24980">
      <w:pPr>
        <w:keepNext/>
        <w:autoSpaceDE w:val="0"/>
        <w:autoSpaceDN w:val="0"/>
        <w:adjustRightInd w:val="0"/>
        <w:spacing w:line="480" w:lineRule="auto"/>
        <w:jc w:val="both"/>
        <w:rPr>
          <w:rFonts w:ascii="Arial" w:hAnsi="Arial" w:cs="Arial"/>
          <w:i/>
          <w:iCs/>
          <w:lang w:val="en-US"/>
        </w:rPr>
      </w:pPr>
      <w:r w:rsidRPr="002B5823">
        <w:rPr>
          <w:rFonts w:ascii="Arial" w:hAnsi="Arial" w:cs="Arial"/>
          <w:i/>
          <w:iCs/>
          <w:lang w:val="en-US"/>
        </w:rPr>
        <w:t>Introduction</w:t>
      </w:r>
    </w:p>
    <w:p w14:paraId="18D89A7E" w14:textId="0D2ACA81" w:rsidR="00D24980" w:rsidRPr="00E35C82" w:rsidRDefault="00E35C82" w:rsidP="00E35C82">
      <w:pPr>
        <w:tabs>
          <w:tab w:val="left" w:pos="851"/>
        </w:tabs>
        <w:spacing w:after="480" w:line="480" w:lineRule="auto"/>
        <w:ind w:left="851" w:hanging="851"/>
        <w:jc w:val="both"/>
        <w:rPr>
          <w:rFonts w:ascii="Arial" w:hAnsi="Arial" w:cs="Arial"/>
          <w:lang w:val="en-US"/>
        </w:rPr>
      </w:pPr>
      <w:r w:rsidRPr="002B5823">
        <w:rPr>
          <w:rFonts w:asciiTheme="minorHAnsi" w:hAnsiTheme="minorHAnsi" w:cs="Arial"/>
          <w:lang w:val="en-US"/>
        </w:rPr>
        <w:t>54.</w:t>
      </w:r>
      <w:r w:rsidRPr="002B5823">
        <w:rPr>
          <w:rFonts w:asciiTheme="minorHAnsi" w:hAnsiTheme="minorHAnsi" w:cs="Arial"/>
          <w:lang w:val="en-US"/>
        </w:rPr>
        <w:tab/>
      </w:r>
      <w:r w:rsidR="00BB7D7E" w:rsidRPr="00E35C82">
        <w:rPr>
          <w:rFonts w:ascii="Arial" w:hAnsi="Arial" w:cs="Arial"/>
          <w:lang w:val="en-US"/>
        </w:rPr>
        <w:t xml:space="preserve">In the present instance, the applicant sought to rely on the </w:t>
      </w:r>
      <w:proofErr w:type="spellStart"/>
      <w:r w:rsidR="00BB7D7E" w:rsidRPr="00E35C82">
        <w:rPr>
          <w:rFonts w:ascii="Arial" w:hAnsi="Arial" w:cs="Arial"/>
          <w:i/>
          <w:iCs/>
          <w:lang w:val="en-US"/>
        </w:rPr>
        <w:t>mandament</w:t>
      </w:r>
      <w:proofErr w:type="spellEnd"/>
      <w:r w:rsidR="00BB7D7E" w:rsidRPr="00E35C82">
        <w:rPr>
          <w:rFonts w:ascii="Arial" w:hAnsi="Arial" w:cs="Arial"/>
          <w:lang w:val="en-US"/>
        </w:rPr>
        <w:t>.  He had no obligation other than to show possession and</w:t>
      </w:r>
      <w:r w:rsidR="00D24980" w:rsidRPr="00E35C82">
        <w:rPr>
          <w:rFonts w:ascii="Arial" w:hAnsi="Arial" w:cs="Arial"/>
          <w:lang w:val="en-US"/>
        </w:rPr>
        <w:t xml:space="preserve"> unlawful dispossession at the hands of the respondents.  However, he elected to raise in his founding affidavit a lengthy description of the basis upon which he possessed the property.  This may have been the consequence of him using the same material as had been used in the stay application that was ostensibly prepared on the same day, given the urgency of the matter and his desire to reach the Court without delay.  </w:t>
      </w:r>
    </w:p>
    <w:p w14:paraId="48AB9ABB" w14:textId="436795A5" w:rsidR="00BB7D7E" w:rsidRPr="00E35C82" w:rsidRDefault="00E35C82" w:rsidP="00E35C82">
      <w:pPr>
        <w:tabs>
          <w:tab w:val="left" w:pos="851"/>
        </w:tabs>
        <w:spacing w:after="480" w:line="480" w:lineRule="auto"/>
        <w:ind w:left="851" w:hanging="851"/>
        <w:jc w:val="both"/>
        <w:rPr>
          <w:rFonts w:ascii="Arial" w:hAnsi="Arial" w:cs="Arial"/>
          <w:lang w:val="en-US"/>
        </w:rPr>
      </w:pPr>
      <w:r w:rsidRPr="002B5823">
        <w:rPr>
          <w:rFonts w:asciiTheme="minorHAnsi" w:hAnsiTheme="minorHAnsi" w:cs="Arial"/>
          <w:lang w:val="en-US"/>
        </w:rPr>
        <w:t>55.</w:t>
      </w:r>
      <w:r w:rsidRPr="002B5823">
        <w:rPr>
          <w:rFonts w:asciiTheme="minorHAnsi" w:hAnsiTheme="minorHAnsi" w:cs="Arial"/>
          <w:lang w:val="en-US"/>
        </w:rPr>
        <w:tab/>
      </w:r>
      <w:r w:rsidR="00D24980" w:rsidRPr="00E35C82">
        <w:rPr>
          <w:rFonts w:ascii="Arial" w:hAnsi="Arial" w:cs="Arial"/>
          <w:color w:val="000000" w:themeColor="text1"/>
        </w:rPr>
        <w:t>In his reply the applicant asserts that he “</w:t>
      </w:r>
      <w:r w:rsidR="00D24980" w:rsidRPr="00E35C82">
        <w:rPr>
          <w:rFonts w:ascii="Arial" w:hAnsi="Arial" w:cs="Arial"/>
          <w:i/>
          <w:iCs/>
          <w:color w:val="000000" w:themeColor="text1"/>
        </w:rPr>
        <w:t>merely mentioned</w:t>
      </w:r>
      <w:r w:rsidR="00D24980" w:rsidRPr="00E35C82">
        <w:rPr>
          <w:rFonts w:ascii="Arial" w:hAnsi="Arial" w:cs="Arial"/>
          <w:color w:val="000000" w:themeColor="text1"/>
        </w:rPr>
        <w:t xml:space="preserve">” the lease agreement to show the Court that he had a right of access to the Restaurant.  But therein lies the rub: the applicant essentially claimed a substantive right to possession.  In doing so, he spoilt for a fight over whether he had such a substantive right, and he activated the entitlement of the respondents to dispute such substantive right.  The respondents accepted the applicant’s </w:t>
      </w:r>
      <w:r w:rsidR="00D24980" w:rsidRPr="00E35C82">
        <w:rPr>
          <w:rFonts w:ascii="Arial" w:hAnsi="Arial" w:cs="Arial"/>
          <w:color w:val="000000" w:themeColor="text1"/>
        </w:rPr>
        <w:lastRenderedPageBreak/>
        <w:t xml:space="preserve">invitation to engage with his substantive rights, and therefore this Court must, in addition to consideration of the ordinary requirements of possession and unlawful deprivation of possession also engage with the issue of the applicant’s substantive rights.  </w:t>
      </w:r>
    </w:p>
    <w:p w14:paraId="7A5BD24B" w14:textId="77777777" w:rsidR="00097C50" w:rsidRPr="002B5823" w:rsidRDefault="00097C50" w:rsidP="00097C50">
      <w:pPr>
        <w:spacing w:after="480" w:line="480" w:lineRule="auto"/>
        <w:jc w:val="both"/>
        <w:rPr>
          <w:rFonts w:ascii="Arial" w:hAnsi="Arial" w:cs="Arial"/>
          <w:i/>
          <w:iCs/>
          <w:color w:val="000000" w:themeColor="text1"/>
        </w:rPr>
      </w:pPr>
      <w:r w:rsidRPr="002B5823">
        <w:rPr>
          <w:rFonts w:ascii="Arial" w:hAnsi="Arial" w:cs="Arial"/>
          <w:i/>
          <w:iCs/>
          <w:color w:val="000000" w:themeColor="text1"/>
        </w:rPr>
        <w:t>Possession and unlawful deprivation of possession</w:t>
      </w:r>
    </w:p>
    <w:p w14:paraId="2F9F89B3" w14:textId="6CE947F3" w:rsidR="000E7A1E" w:rsidRPr="00E35C82" w:rsidRDefault="00E35C82" w:rsidP="00E35C82">
      <w:pPr>
        <w:tabs>
          <w:tab w:val="left" w:pos="851"/>
        </w:tabs>
        <w:spacing w:after="480" w:line="480" w:lineRule="auto"/>
        <w:ind w:left="851" w:hanging="851"/>
        <w:jc w:val="both"/>
        <w:rPr>
          <w:rFonts w:ascii="Arial" w:hAnsi="Arial" w:cs="Arial"/>
          <w:color w:val="000000" w:themeColor="text1"/>
          <w:u w:val="single"/>
        </w:rPr>
      </w:pPr>
      <w:r w:rsidRPr="002B5823">
        <w:rPr>
          <w:rFonts w:asciiTheme="minorHAnsi" w:hAnsiTheme="minorHAnsi" w:cs="Arial"/>
          <w:color w:val="000000" w:themeColor="text1"/>
        </w:rPr>
        <w:t>56.</w:t>
      </w:r>
      <w:r w:rsidRPr="002B5823">
        <w:rPr>
          <w:rFonts w:asciiTheme="minorHAnsi" w:hAnsiTheme="minorHAnsi" w:cs="Arial"/>
          <w:color w:val="000000" w:themeColor="text1"/>
        </w:rPr>
        <w:tab/>
      </w:r>
      <w:r w:rsidR="00D24980" w:rsidRPr="00E35C82">
        <w:rPr>
          <w:rFonts w:ascii="Arial" w:hAnsi="Arial" w:cs="Arial"/>
          <w:color w:val="000000" w:themeColor="text1"/>
        </w:rPr>
        <w:t xml:space="preserve">There is no dispute before me that the application had undisturbed possession of the Restaurant prior to the events that gave rise to these proceedings.  </w:t>
      </w:r>
    </w:p>
    <w:p w14:paraId="167254A6" w14:textId="2107178D" w:rsidR="00EA230B" w:rsidRPr="00E35C82" w:rsidRDefault="00E35C82" w:rsidP="00E35C82">
      <w:pPr>
        <w:tabs>
          <w:tab w:val="left" w:pos="851"/>
        </w:tabs>
        <w:spacing w:after="480" w:line="480" w:lineRule="auto"/>
        <w:ind w:left="851" w:hanging="851"/>
        <w:jc w:val="both"/>
        <w:rPr>
          <w:rFonts w:ascii="Arial" w:hAnsi="Arial" w:cs="Arial"/>
          <w:color w:val="000000" w:themeColor="text1"/>
          <w:u w:val="single"/>
        </w:rPr>
      </w:pPr>
      <w:r w:rsidRPr="002B5823">
        <w:rPr>
          <w:rFonts w:asciiTheme="minorHAnsi" w:hAnsiTheme="minorHAnsi" w:cs="Arial"/>
          <w:color w:val="000000" w:themeColor="text1"/>
        </w:rPr>
        <w:t>57.</w:t>
      </w:r>
      <w:r w:rsidRPr="002B5823">
        <w:rPr>
          <w:rFonts w:asciiTheme="minorHAnsi" w:hAnsiTheme="minorHAnsi" w:cs="Arial"/>
          <w:color w:val="000000" w:themeColor="text1"/>
        </w:rPr>
        <w:tab/>
      </w:r>
      <w:r w:rsidR="00EA230B" w:rsidRPr="00E35C82">
        <w:rPr>
          <w:rFonts w:ascii="Arial" w:hAnsi="Arial" w:cs="Arial"/>
          <w:color w:val="000000" w:themeColor="text1"/>
        </w:rPr>
        <w:t xml:space="preserve">On the facts before this Court, it cannot be disputed that Kings &amp; Queens had instructed G3 to lock the Restaurant and so deprive the applicant of possession without having taken any steps lawfully to allow it to eject the applicant.  It is true that Mr Hodes had obtained a judgment by default and had secured a warrant of execution in January 2021, which was served upon the applicant in the latter part of February 2021.  However, G3 was not acting for Mr Hodes, it was acting for and on behalf of Kings &amp; Queens, an entity that enjoyed no legal right to evict.  </w:t>
      </w:r>
      <w:r w:rsidR="00964768" w:rsidRPr="00E35C82">
        <w:rPr>
          <w:rFonts w:ascii="Arial" w:hAnsi="Arial" w:cs="Arial"/>
          <w:color w:val="000000" w:themeColor="text1"/>
        </w:rPr>
        <w:t>As the applicant points out in his replying affidavit, no warrant of ejectment was obtained in consequence of the Court order</w:t>
      </w:r>
      <w:r w:rsidR="00E14866" w:rsidRPr="00E35C82">
        <w:rPr>
          <w:rFonts w:ascii="Arial" w:hAnsi="Arial" w:cs="Arial"/>
          <w:color w:val="000000" w:themeColor="text1"/>
        </w:rPr>
        <w:t xml:space="preserve"> granted in favour of Mr Hodes</w:t>
      </w:r>
      <w:r w:rsidR="00964768" w:rsidRPr="00E35C82">
        <w:rPr>
          <w:rFonts w:ascii="Arial" w:hAnsi="Arial" w:cs="Arial"/>
          <w:color w:val="000000" w:themeColor="text1"/>
        </w:rPr>
        <w:t xml:space="preserve">.  Even if it had, it would have not been within the province of Kings &amp; Queens or G3 to evict the applicant. </w:t>
      </w:r>
      <w:r w:rsidR="00EA230B" w:rsidRPr="00E35C82">
        <w:rPr>
          <w:rFonts w:ascii="Arial" w:hAnsi="Arial" w:cs="Arial"/>
          <w:color w:val="000000" w:themeColor="text1"/>
        </w:rPr>
        <w:t xml:space="preserve">The dispossession was unlawful. </w:t>
      </w:r>
    </w:p>
    <w:p w14:paraId="3B2615C2" w14:textId="77777777" w:rsidR="00097C50" w:rsidRPr="002B5823" w:rsidRDefault="00097C50" w:rsidP="00964768">
      <w:pPr>
        <w:keepNext/>
        <w:spacing w:after="480" w:line="480" w:lineRule="auto"/>
        <w:jc w:val="both"/>
        <w:rPr>
          <w:rFonts w:ascii="Arial" w:hAnsi="Arial" w:cs="Arial"/>
          <w:i/>
          <w:iCs/>
          <w:color w:val="000000" w:themeColor="text1"/>
        </w:rPr>
      </w:pPr>
      <w:r w:rsidRPr="002B5823">
        <w:rPr>
          <w:rFonts w:ascii="Arial" w:hAnsi="Arial" w:cs="Arial"/>
          <w:i/>
          <w:iCs/>
          <w:color w:val="000000" w:themeColor="text1"/>
        </w:rPr>
        <w:lastRenderedPageBreak/>
        <w:t>Substantive right to possession</w:t>
      </w:r>
    </w:p>
    <w:p w14:paraId="3F1D88D2" w14:textId="79240573" w:rsidR="00097C50" w:rsidRPr="00E35C82" w:rsidRDefault="00E35C82" w:rsidP="00E35C82">
      <w:pPr>
        <w:tabs>
          <w:tab w:val="left" w:pos="851"/>
        </w:tabs>
        <w:spacing w:after="480" w:line="480" w:lineRule="auto"/>
        <w:ind w:left="851" w:hanging="851"/>
        <w:jc w:val="both"/>
        <w:rPr>
          <w:rFonts w:ascii="Arial" w:hAnsi="Arial" w:cs="Arial"/>
          <w:color w:val="000000" w:themeColor="text1"/>
        </w:rPr>
      </w:pPr>
      <w:r w:rsidRPr="002B5823">
        <w:rPr>
          <w:rFonts w:asciiTheme="minorHAnsi" w:hAnsiTheme="minorHAnsi" w:cs="Arial"/>
          <w:color w:val="000000" w:themeColor="text1"/>
        </w:rPr>
        <w:t>58.</w:t>
      </w:r>
      <w:r w:rsidRPr="002B5823">
        <w:rPr>
          <w:rFonts w:asciiTheme="minorHAnsi" w:hAnsiTheme="minorHAnsi" w:cs="Arial"/>
          <w:color w:val="000000" w:themeColor="text1"/>
        </w:rPr>
        <w:tab/>
      </w:r>
      <w:r w:rsidR="00EA230B" w:rsidRPr="00E35C82">
        <w:rPr>
          <w:rFonts w:ascii="Arial" w:hAnsi="Arial" w:cs="Arial"/>
          <w:color w:val="000000" w:themeColor="text1"/>
        </w:rPr>
        <w:t>Given the pleading in this matter,</w:t>
      </w:r>
      <w:r w:rsidR="006A5E30" w:rsidRPr="00E35C82">
        <w:rPr>
          <w:rFonts w:ascii="Arial" w:hAnsi="Arial" w:cs="Arial"/>
          <w:color w:val="000000" w:themeColor="text1"/>
        </w:rPr>
        <w:t xml:space="preserve"> and the judgment in </w:t>
      </w:r>
      <w:r w:rsidR="006A5E30" w:rsidRPr="00E35C82">
        <w:rPr>
          <w:rFonts w:ascii="Arial" w:hAnsi="Arial" w:cs="Arial"/>
          <w:i/>
          <w:iCs/>
          <w:color w:val="000000" w:themeColor="text1"/>
        </w:rPr>
        <w:t>Street Pole Ads</w:t>
      </w:r>
      <w:r w:rsidR="006A5E30">
        <w:rPr>
          <w:rStyle w:val="FootnoteReference"/>
          <w:rFonts w:cs="Arial"/>
          <w:i/>
          <w:iCs/>
        </w:rPr>
        <w:footnoteReference w:id="16"/>
      </w:r>
      <w:r w:rsidR="00EA230B" w:rsidRPr="00E35C82">
        <w:rPr>
          <w:rFonts w:ascii="Arial" w:hAnsi="Arial" w:cs="Arial"/>
          <w:color w:val="000000" w:themeColor="text1"/>
        </w:rPr>
        <w:t xml:space="preserve"> I have no choice but to engage upon the question of the applicant’s substantive rights.  In essence, that boils down to the question whether the written agreement concluded in October 2015 was still extant or whether it had been terminated.  </w:t>
      </w:r>
    </w:p>
    <w:p w14:paraId="6B16B5DB" w14:textId="1D06CB5F" w:rsidR="00EA230B" w:rsidRPr="00E35C82" w:rsidRDefault="00E35C82" w:rsidP="00E35C82">
      <w:pPr>
        <w:tabs>
          <w:tab w:val="left" w:pos="851"/>
        </w:tabs>
        <w:spacing w:after="480" w:line="480" w:lineRule="auto"/>
        <w:ind w:left="851" w:hanging="851"/>
        <w:jc w:val="both"/>
        <w:rPr>
          <w:rFonts w:ascii="Arial" w:hAnsi="Arial" w:cs="Arial"/>
          <w:color w:val="000000" w:themeColor="text1"/>
        </w:rPr>
      </w:pPr>
      <w:r w:rsidRPr="002B5823">
        <w:rPr>
          <w:rFonts w:asciiTheme="minorHAnsi" w:hAnsiTheme="minorHAnsi" w:cs="Arial"/>
          <w:color w:val="000000" w:themeColor="text1"/>
        </w:rPr>
        <w:t>59.</w:t>
      </w:r>
      <w:r w:rsidRPr="002B5823">
        <w:rPr>
          <w:rFonts w:asciiTheme="minorHAnsi" w:hAnsiTheme="minorHAnsi" w:cs="Arial"/>
          <w:color w:val="000000" w:themeColor="text1"/>
        </w:rPr>
        <w:tab/>
      </w:r>
      <w:r w:rsidR="00EA230B" w:rsidRPr="00E35C82">
        <w:rPr>
          <w:rFonts w:ascii="Arial" w:hAnsi="Arial" w:cs="Arial"/>
          <w:color w:val="000000" w:themeColor="text1"/>
        </w:rPr>
        <w:t xml:space="preserve">In making the evaluation, this Court must rely on the versions put up by the applicant and the respondents, respectively.  In the present case, </w:t>
      </w:r>
      <w:r w:rsidR="005870FC" w:rsidRPr="00E35C82">
        <w:rPr>
          <w:rFonts w:ascii="Arial" w:hAnsi="Arial" w:cs="Arial"/>
          <w:color w:val="000000" w:themeColor="text1"/>
        </w:rPr>
        <w:t xml:space="preserve">the applicant relies on the second written lease agreement and his version in relation to that.  The respondents do not have, nor can they be expected to have, personal knowledge of the engagements between the applicant and Mr Hodes.  They must rely on what Mr Hodes tells them.  </w:t>
      </w:r>
      <w:r w:rsidR="006A5E30" w:rsidRPr="00E35C82">
        <w:rPr>
          <w:rFonts w:ascii="Arial" w:hAnsi="Arial" w:cs="Arial"/>
          <w:color w:val="000000" w:themeColor="text1"/>
        </w:rPr>
        <w:t>Here</w:t>
      </w:r>
      <w:r w:rsidR="005870FC" w:rsidRPr="00E35C82">
        <w:rPr>
          <w:rFonts w:ascii="Arial" w:hAnsi="Arial" w:cs="Arial"/>
          <w:color w:val="000000" w:themeColor="text1"/>
        </w:rPr>
        <w:t xml:space="preserve">, they have the benefit of versions presented by Mr Hodes in the Magistrates’ Court in his particulars of claim and also in an answering affidavit in the rescission application.  </w:t>
      </w:r>
      <w:r w:rsidR="00964768" w:rsidRPr="00E35C82">
        <w:rPr>
          <w:rFonts w:ascii="Arial" w:hAnsi="Arial" w:cs="Arial"/>
          <w:color w:val="000000" w:themeColor="text1"/>
        </w:rPr>
        <w:t xml:space="preserve">These papers form part of the papers before this Court.  </w:t>
      </w:r>
    </w:p>
    <w:p w14:paraId="614B7D08" w14:textId="7E78F70A" w:rsidR="002B5823" w:rsidRPr="00E35C82" w:rsidRDefault="00E35C82" w:rsidP="00E35C82">
      <w:pPr>
        <w:tabs>
          <w:tab w:val="left" w:pos="851"/>
        </w:tabs>
        <w:spacing w:after="480" w:line="480" w:lineRule="auto"/>
        <w:ind w:left="851" w:hanging="851"/>
        <w:jc w:val="both"/>
        <w:rPr>
          <w:rFonts w:ascii="Arial" w:hAnsi="Arial" w:cs="Arial"/>
          <w:color w:val="000000" w:themeColor="text1"/>
        </w:rPr>
      </w:pPr>
      <w:r>
        <w:rPr>
          <w:rFonts w:asciiTheme="minorHAnsi" w:hAnsiTheme="minorHAnsi" w:cs="Arial"/>
          <w:color w:val="000000" w:themeColor="text1"/>
        </w:rPr>
        <w:t>60.</w:t>
      </w:r>
      <w:r>
        <w:rPr>
          <w:rFonts w:asciiTheme="minorHAnsi" w:hAnsiTheme="minorHAnsi" w:cs="Arial"/>
          <w:color w:val="000000" w:themeColor="text1"/>
        </w:rPr>
        <w:tab/>
      </w:r>
      <w:r w:rsidR="005870FC" w:rsidRPr="00E35C82">
        <w:rPr>
          <w:rFonts w:ascii="Arial" w:hAnsi="Arial" w:cs="Arial"/>
          <w:color w:val="000000" w:themeColor="text1"/>
        </w:rPr>
        <w:t xml:space="preserve">It is a notable feature of the particulars of claim in the Magistrates’ Court that Mr Hodes placed reliance on an oral agreement alleged to have been concluded in or about 2013.  This date is before the period of the first lease agreement had run out and before the second lease agreement had been entered into.  </w:t>
      </w:r>
      <w:r w:rsidR="005C2F2C" w:rsidRPr="00E35C82">
        <w:rPr>
          <w:rFonts w:ascii="Arial" w:hAnsi="Arial" w:cs="Arial"/>
          <w:color w:val="000000" w:themeColor="text1"/>
        </w:rPr>
        <w:t xml:space="preserve">As I indicated in the summary of facts, Mr Hodes in answer to the rescission application then said on oath that the agreement was in fact a written one, but that the arrangement became an oral month-to-month </w:t>
      </w:r>
      <w:r w:rsidR="005C2F2C" w:rsidRPr="00E35C82">
        <w:rPr>
          <w:rFonts w:ascii="Arial" w:hAnsi="Arial" w:cs="Arial"/>
          <w:color w:val="000000" w:themeColor="text1"/>
        </w:rPr>
        <w:lastRenderedPageBreak/>
        <w:t xml:space="preserve">arrangement after cancellation of the written agreement pursuant to the applicant not rectifying his default as set out in the July 2019 correspondence.  That allegation is patently inconsistent with the version presented to the Magistrates’ Court in the particulars of claim, which dated the oral arrangement back to 2013.  </w:t>
      </w:r>
      <w:r w:rsidR="00964768" w:rsidRPr="00E35C82">
        <w:rPr>
          <w:rFonts w:ascii="Arial" w:hAnsi="Arial" w:cs="Arial"/>
          <w:color w:val="000000" w:themeColor="text1"/>
        </w:rPr>
        <w:t xml:space="preserve">Any oral agreement, as alleged, could only have hailed from after the July 2019 letter.  </w:t>
      </w:r>
    </w:p>
    <w:p w14:paraId="28087A18" w14:textId="2E12CADF" w:rsidR="00AC7535" w:rsidRPr="00E35C82" w:rsidRDefault="00E35C82" w:rsidP="00E35C82">
      <w:pPr>
        <w:tabs>
          <w:tab w:val="left" w:pos="851"/>
        </w:tabs>
        <w:spacing w:after="480" w:line="480" w:lineRule="auto"/>
        <w:ind w:left="851" w:hanging="851"/>
        <w:jc w:val="both"/>
        <w:rPr>
          <w:rFonts w:ascii="Arial" w:hAnsi="Arial" w:cs="Arial"/>
          <w:color w:val="000000" w:themeColor="text1"/>
        </w:rPr>
      </w:pPr>
      <w:r>
        <w:rPr>
          <w:rFonts w:asciiTheme="minorHAnsi" w:hAnsiTheme="minorHAnsi" w:cs="Arial"/>
          <w:color w:val="000000" w:themeColor="text1"/>
        </w:rPr>
        <w:t>61.</w:t>
      </w:r>
      <w:r>
        <w:rPr>
          <w:rFonts w:asciiTheme="minorHAnsi" w:hAnsiTheme="minorHAnsi" w:cs="Arial"/>
          <w:color w:val="000000" w:themeColor="text1"/>
        </w:rPr>
        <w:tab/>
      </w:r>
      <w:r w:rsidR="002B5823" w:rsidRPr="00E35C82">
        <w:rPr>
          <w:rFonts w:ascii="Arial" w:hAnsi="Arial" w:cs="Arial"/>
          <w:color w:val="000000" w:themeColor="text1"/>
        </w:rPr>
        <w:t>This</w:t>
      </w:r>
      <w:r w:rsidR="005C2F2C" w:rsidRPr="00E35C82">
        <w:rPr>
          <w:rFonts w:ascii="Arial" w:hAnsi="Arial" w:cs="Arial"/>
          <w:color w:val="000000" w:themeColor="text1"/>
        </w:rPr>
        <w:t xml:space="preserve"> begs a different question: how and when was the second lease agreement cancelled?  </w:t>
      </w:r>
    </w:p>
    <w:p w14:paraId="6840AA8E" w14:textId="5E5AC87D" w:rsidR="00AC7535" w:rsidRPr="00E35C82" w:rsidRDefault="00E35C82" w:rsidP="00E35C82">
      <w:pPr>
        <w:tabs>
          <w:tab w:val="left" w:pos="851"/>
        </w:tabs>
        <w:spacing w:after="480" w:line="480" w:lineRule="auto"/>
        <w:ind w:left="851" w:hanging="851"/>
        <w:jc w:val="both"/>
        <w:rPr>
          <w:rFonts w:ascii="Arial" w:hAnsi="Arial" w:cs="Arial"/>
          <w:color w:val="000000" w:themeColor="text1"/>
        </w:rPr>
      </w:pPr>
      <w:r>
        <w:rPr>
          <w:rFonts w:asciiTheme="minorHAnsi" w:hAnsiTheme="minorHAnsi" w:cs="Arial"/>
          <w:color w:val="000000" w:themeColor="text1"/>
        </w:rPr>
        <w:t>62.</w:t>
      </w:r>
      <w:r>
        <w:rPr>
          <w:rFonts w:asciiTheme="minorHAnsi" w:hAnsiTheme="minorHAnsi" w:cs="Arial"/>
          <w:color w:val="000000" w:themeColor="text1"/>
        </w:rPr>
        <w:tab/>
      </w:r>
      <w:r w:rsidR="005C2F2C" w:rsidRPr="00E35C82">
        <w:rPr>
          <w:rFonts w:ascii="Arial" w:hAnsi="Arial" w:cs="Arial"/>
          <w:color w:val="000000" w:themeColor="text1"/>
        </w:rPr>
        <w:t xml:space="preserve">It is true that Mr Hodes </w:t>
      </w:r>
      <w:r w:rsidR="00964768" w:rsidRPr="00E35C82">
        <w:rPr>
          <w:rFonts w:ascii="Arial" w:hAnsi="Arial" w:cs="Arial"/>
          <w:color w:val="000000" w:themeColor="text1"/>
        </w:rPr>
        <w:t xml:space="preserve">purportedly </w:t>
      </w:r>
      <w:r w:rsidR="005C2F2C" w:rsidRPr="00E35C82">
        <w:rPr>
          <w:rFonts w:ascii="Arial" w:hAnsi="Arial" w:cs="Arial"/>
          <w:color w:val="000000" w:themeColor="text1"/>
        </w:rPr>
        <w:t xml:space="preserve">sent a letter </w:t>
      </w:r>
      <w:r w:rsidR="000461CB" w:rsidRPr="00E35C82">
        <w:rPr>
          <w:rFonts w:ascii="Arial" w:hAnsi="Arial" w:cs="Arial"/>
          <w:color w:val="000000" w:themeColor="text1"/>
        </w:rPr>
        <w:t>o</w:t>
      </w:r>
      <w:r w:rsidR="005C2F2C" w:rsidRPr="00E35C82">
        <w:rPr>
          <w:rFonts w:ascii="Arial" w:hAnsi="Arial" w:cs="Arial"/>
          <w:color w:val="000000" w:themeColor="text1"/>
        </w:rPr>
        <w:t>n</w:t>
      </w:r>
      <w:r w:rsidR="00964768" w:rsidRPr="00E35C82">
        <w:rPr>
          <w:rFonts w:ascii="Arial" w:hAnsi="Arial" w:cs="Arial"/>
          <w:color w:val="000000" w:themeColor="text1"/>
        </w:rPr>
        <w:t xml:space="preserve"> 5</w:t>
      </w:r>
      <w:r w:rsidR="005C2F2C" w:rsidRPr="00E35C82">
        <w:rPr>
          <w:rFonts w:ascii="Arial" w:hAnsi="Arial" w:cs="Arial"/>
          <w:color w:val="000000" w:themeColor="text1"/>
        </w:rPr>
        <w:t xml:space="preserve"> July 2019, </w:t>
      </w:r>
      <w:r w:rsidR="000461CB" w:rsidRPr="00E35C82">
        <w:rPr>
          <w:rFonts w:ascii="Arial" w:hAnsi="Arial" w:cs="Arial"/>
          <w:color w:val="000000" w:themeColor="text1"/>
        </w:rPr>
        <w:t xml:space="preserve">demanding payment, failing which he would proceed to court to seek payment and also eviction.  </w:t>
      </w:r>
      <w:r w:rsidR="00964768" w:rsidRPr="00E35C82">
        <w:rPr>
          <w:rFonts w:ascii="Arial" w:hAnsi="Arial" w:cs="Arial"/>
          <w:color w:val="000000" w:themeColor="text1"/>
        </w:rPr>
        <w:t xml:space="preserve">As I indicated in the summary of facts, </w:t>
      </w:r>
      <w:r w:rsidR="00AC7535" w:rsidRPr="00E35C82">
        <w:rPr>
          <w:rFonts w:ascii="Arial" w:hAnsi="Arial" w:cs="Arial"/>
          <w:color w:val="000000" w:themeColor="text1"/>
        </w:rPr>
        <w:t xml:space="preserve">Mr Hodes has not told the Court how and when that letter was delivered, and the applicant denies receipt.  </w:t>
      </w:r>
    </w:p>
    <w:p w14:paraId="13DC0080" w14:textId="16DD103D" w:rsidR="002B5823" w:rsidRPr="00E35C82" w:rsidRDefault="00E35C82" w:rsidP="00E35C82">
      <w:pPr>
        <w:tabs>
          <w:tab w:val="left" w:pos="851"/>
        </w:tabs>
        <w:spacing w:after="480" w:line="480" w:lineRule="auto"/>
        <w:ind w:left="851" w:hanging="851"/>
        <w:jc w:val="both"/>
        <w:rPr>
          <w:rFonts w:ascii="Arial" w:hAnsi="Arial" w:cs="Arial"/>
          <w:color w:val="000000" w:themeColor="text1"/>
        </w:rPr>
      </w:pPr>
      <w:r w:rsidRPr="00A35593">
        <w:rPr>
          <w:rFonts w:asciiTheme="minorHAnsi" w:hAnsiTheme="minorHAnsi" w:cs="Arial"/>
          <w:color w:val="000000" w:themeColor="text1"/>
        </w:rPr>
        <w:t>63.</w:t>
      </w:r>
      <w:r w:rsidRPr="00A35593">
        <w:rPr>
          <w:rFonts w:asciiTheme="minorHAnsi" w:hAnsiTheme="minorHAnsi" w:cs="Arial"/>
          <w:color w:val="000000" w:themeColor="text1"/>
        </w:rPr>
        <w:tab/>
      </w:r>
      <w:r w:rsidR="00A35593" w:rsidRPr="00E35C82">
        <w:rPr>
          <w:rFonts w:ascii="Arial" w:hAnsi="Arial" w:cs="Arial"/>
          <w:color w:val="000000" w:themeColor="text1"/>
        </w:rPr>
        <w:t>But</w:t>
      </w:r>
      <w:r w:rsidR="00AC7535" w:rsidRPr="00E35C82">
        <w:rPr>
          <w:rFonts w:ascii="Arial" w:hAnsi="Arial" w:cs="Arial"/>
          <w:color w:val="000000" w:themeColor="text1"/>
        </w:rPr>
        <w:t xml:space="preserve"> even if I proceed on the assumption in favour of the respondents that the letter was indeed received on 5 July 2019 or shortly thereafter,</w:t>
      </w:r>
      <w:r w:rsidR="00A35593" w:rsidRPr="00E35C82">
        <w:rPr>
          <w:rFonts w:ascii="Arial" w:hAnsi="Arial" w:cs="Arial"/>
          <w:color w:val="000000" w:themeColor="text1"/>
        </w:rPr>
        <w:t xml:space="preserve"> t</w:t>
      </w:r>
      <w:r w:rsidR="000461CB" w:rsidRPr="00E35C82">
        <w:rPr>
          <w:rFonts w:ascii="Arial" w:hAnsi="Arial" w:cs="Arial"/>
          <w:color w:val="000000" w:themeColor="text1"/>
        </w:rPr>
        <w:t>he letter does not say anything about cancellation of the agreement</w:t>
      </w:r>
      <w:r w:rsidR="00A35593" w:rsidRPr="00E35C82">
        <w:rPr>
          <w:rFonts w:ascii="Arial" w:hAnsi="Arial" w:cs="Arial"/>
          <w:color w:val="000000" w:themeColor="text1"/>
        </w:rPr>
        <w:t xml:space="preserve">, and Mr Hodes did not in the Magistrates’ Court answer </w:t>
      </w:r>
      <w:r w:rsidR="00AC7535" w:rsidRPr="00E35C82">
        <w:rPr>
          <w:rFonts w:ascii="Arial" w:hAnsi="Arial" w:cs="Arial"/>
          <w:color w:val="000000" w:themeColor="text1"/>
        </w:rPr>
        <w:t xml:space="preserve">purport </w:t>
      </w:r>
      <w:r w:rsidR="00A35593" w:rsidRPr="00E35C82">
        <w:rPr>
          <w:rFonts w:ascii="Arial" w:hAnsi="Arial" w:cs="Arial"/>
          <w:color w:val="000000" w:themeColor="text1"/>
        </w:rPr>
        <w:t xml:space="preserve">to suggest that this letter constituted cancellation.  </w:t>
      </w:r>
      <w:r w:rsidR="002B5823" w:rsidRPr="00E35C82">
        <w:rPr>
          <w:rFonts w:ascii="Arial" w:hAnsi="Arial" w:cs="Arial"/>
          <w:color w:val="000000" w:themeColor="text1"/>
        </w:rPr>
        <w:t>What is said by Mr Hodes in the affidavit in the rescission application is that, “</w:t>
      </w:r>
      <w:r w:rsidR="002B5823" w:rsidRPr="00E35C82">
        <w:rPr>
          <w:rFonts w:ascii="Arial" w:hAnsi="Arial" w:cs="Arial"/>
          <w:i/>
          <w:iCs/>
          <w:color w:val="000000" w:themeColor="text1"/>
        </w:rPr>
        <w:t xml:space="preserve">Pursuant to the applicant’s breach and his failure to rectify his breach the </w:t>
      </w:r>
      <w:r w:rsidR="002B5823" w:rsidRPr="00E35C82">
        <w:rPr>
          <w:rFonts w:ascii="Arial" w:hAnsi="Arial" w:cs="Arial"/>
          <w:i/>
          <w:iCs/>
          <w:color w:val="000000" w:themeColor="text1"/>
          <w:u w:val="single"/>
        </w:rPr>
        <w:t>written lease was cancelled orally</w:t>
      </w:r>
      <w:r w:rsidR="002B5823" w:rsidRPr="00E35C82">
        <w:rPr>
          <w:rFonts w:ascii="Arial" w:hAnsi="Arial" w:cs="Arial"/>
          <w:i/>
          <w:iCs/>
          <w:color w:val="000000" w:themeColor="text1"/>
        </w:rPr>
        <w:t xml:space="preserve"> once the time allowed for him to rectify</w:t>
      </w:r>
      <w:r w:rsidR="00A35593" w:rsidRPr="00E35C82">
        <w:rPr>
          <w:rFonts w:ascii="Arial" w:hAnsi="Arial" w:cs="Arial"/>
          <w:i/>
          <w:iCs/>
          <w:color w:val="000000" w:themeColor="text1"/>
        </w:rPr>
        <w:t xml:space="preserve"> his breached had lapsed”.</w:t>
      </w:r>
      <w:r w:rsidR="00A35593">
        <w:rPr>
          <w:rStyle w:val="FootnoteReference"/>
          <w:rFonts w:cs="Arial"/>
          <w:i/>
          <w:iCs/>
        </w:rPr>
        <w:footnoteReference w:id="17"/>
      </w:r>
      <w:r w:rsidR="002B5823" w:rsidRPr="00E35C82">
        <w:rPr>
          <w:rFonts w:ascii="Arial" w:hAnsi="Arial" w:cs="Arial"/>
          <w:color w:val="000000" w:themeColor="text1"/>
        </w:rPr>
        <w:t xml:space="preserve">  That presents a problem, because clause 7 of the second lease agreement is explicit: “</w:t>
      </w:r>
      <w:r w:rsidR="002B5823" w:rsidRPr="00E35C82">
        <w:rPr>
          <w:rFonts w:ascii="Arial" w:hAnsi="Arial" w:cs="Arial"/>
          <w:i/>
          <w:iCs/>
          <w:color w:val="000000" w:themeColor="text1"/>
        </w:rPr>
        <w:t xml:space="preserve">Should the tenant fail to </w:t>
      </w:r>
      <w:r w:rsidR="002B5823" w:rsidRPr="00E35C82">
        <w:rPr>
          <w:rFonts w:ascii="Arial" w:hAnsi="Arial" w:cs="Arial"/>
          <w:i/>
          <w:iCs/>
          <w:color w:val="000000" w:themeColor="text1"/>
        </w:rPr>
        <w:lastRenderedPageBreak/>
        <w:t>pay the rent by the 7</w:t>
      </w:r>
      <w:r w:rsidR="002B5823" w:rsidRPr="00E35C82">
        <w:rPr>
          <w:rFonts w:ascii="Arial" w:hAnsi="Arial" w:cs="Arial"/>
          <w:i/>
          <w:iCs/>
          <w:color w:val="000000" w:themeColor="text1"/>
          <w:vertAlign w:val="superscript"/>
        </w:rPr>
        <w:t>th</w:t>
      </w:r>
      <w:r w:rsidR="002B5823" w:rsidRPr="00E35C82">
        <w:rPr>
          <w:rFonts w:ascii="Arial" w:hAnsi="Arial" w:cs="Arial"/>
          <w:i/>
          <w:iCs/>
          <w:color w:val="000000" w:themeColor="text1"/>
        </w:rPr>
        <w:t xml:space="preserve"> of each succeeding month, then the landlords are automatically entitled to cancel the lease forthwith </w:t>
      </w:r>
      <w:r w:rsidR="002B5823" w:rsidRPr="00E35C82">
        <w:rPr>
          <w:rFonts w:ascii="Arial" w:hAnsi="Arial" w:cs="Arial"/>
          <w:i/>
          <w:iCs/>
          <w:color w:val="000000" w:themeColor="text1"/>
          <w:u w:val="single"/>
        </w:rPr>
        <w:t>by written notice</w:t>
      </w:r>
      <w:r w:rsidR="002B5823" w:rsidRPr="00E35C82">
        <w:rPr>
          <w:rFonts w:ascii="Arial" w:hAnsi="Arial" w:cs="Arial"/>
          <w:i/>
          <w:iCs/>
          <w:color w:val="000000" w:themeColor="text1"/>
        </w:rPr>
        <w:t xml:space="preserve"> served at the premises in question”</w:t>
      </w:r>
      <w:r w:rsidR="002B5823" w:rsidRPr="00E35C82">
        <w:rPr>
          <w:rFonts w:ascii="Arial" w:hAnsi="Arial" w:cs="Arial"/>
          <w:color w:val="000000" w:themeColor="text1"/>
        </w:rPr>
        <w:t>.</w:t>
      </w:r>
      <w:r w:rsidR="002B5823">
        <w:rPr>
          <w:rStyle w:val="FootnoteReference"/>
          <w:rFonts w:cs="Arial"/>
        </w:rPr>
        <w:footnoteReference w:id="18"/>
      </w:r>
      <w:r w:rsidR="002B5823" w:rsidRPr="00E35C82">
        <w:rPr>
          <w:rFonts w:ascii="Arial" w:hAnsi="Arial" w:cs="Arial"/>
          <w:color w:val="000000" w:themeColor="text1"/>
        </w:rPr>
        <w:t xml:space="preserve">  </w:t>
      </w:r>
      <w:r w:rsidR="00A35593" w:rsidRPr="00E35C82">
        <w:rPr>
          <w:rFonts w:ascii="Arial" w:hAnsi="Arial" w:cs="Arial"/>
          <w:color w:val="000000" w:themeColor="text1"/>
        </w:rPr>
        <w:t xml:space="preserve">On the basis of Mr Hodes’ version, presented on oath, the terms of the second lease agreement insofar as they relate to cancellation, had not been complied with.  </w:t>
      </w:r>
      <w:r w:rsidR="00AC7535" w:rsidRPr="00E35C82">
        <w:rPr>
          <w:rFonts w:ascii="Arial" w:hAnsi="Arial" w:cs="Arial"/>
          <w:color w:val="000000" w:themeColor="text1"/>
        </w:rPr>
        <w:t xml:space="preserve">The cancellation was invalid for that reason.  </w:t>
      </w:r>
      <w:r w:rsidR="00414A89" w:rsidRPr="00E35C82">
        <w:rPr>
          <w:rFonts w:ascii="Arial" w:hAnsi="Arial" w:cs="Arial"/>
          <w:color w:val="000000" w:themeColor="text1"/>
        </w:rPr>
        <w:t>Moreover, this Court takes notice that on 30 November 2020, purportedly in respect of an oral agreement for a “</w:t>
      </w:r>
      <w:r w:rsidR="00414A89" w:rsidRPr="00E35C82">
        <w:rPr>
          <w:rFonts w:ascii="Arial" w:hAnsi="Arial" w:cs="Arial"/>
          <w:i/>
          <w:iCs/>
          <w:color w:val="000000" w:themeColor="text1"/>
        </w:rPr>
        <w:t>month-to-month”</w:t>
      </w:r>
      <w:r w:rsidR="00414A89" w:rsidRPr="00E35C82">
        <w:rPr>
          <w:rFonts w:ascii="Arial" w:hAnsi="Arial" w:cs="Arial"/>
          <w:color w:val="000000" w:themeColor="text1"/>
        </w:rPr>
        <w:t xml:space="preserve"> lease, Mr Hodes had gone to the trouble of issuing a written notice of cancellation in stark contrast to allegedly cancelling the second lease agreement orally, despite its terms requiring written notice.  </w:t>
      </w:r>
    </w:p>
    <w:p w14:paraId="7A0BEC16" w14:textId="1A02BF08" w:rsidR="003067F3" w:rsidRPr="00E35C82" w:rsidRDefault="00E35C82" w:rsidP="00E35C82">
      <w:pPr>
        <w:tabs>
          <w:tab w:val="left" w:pos="851"/>
        </w:tabs>
        <w:spacing w:after="480" w:line="480" w:lineRule="auto"/>
        <w:ind w:left="851" w:hanging="851"/>
        <w:jc w:val="both"/>
        <w:rPr>
          <w:rFonts w:ascii="Arial" w:hAnsi="Arial" w:cs="Arial"/>
          <w:color w:val="000000" w:themeColor="text1"/>
        </w:rPr>
      </w:pPr>
      <w:r>
        <w:rPr>
          <w:rFonts w:asciiTheme="minorHAnsi" w:hAnsiTheme="minorHAnsi" w:cs="Arial"/>
          <w:color w:val="000000" w:themeColor="text1"/>
        </w:rPr>
        <w:t>64.</w:t>
      </w:r>
      <w:r>
        <w:rPr>
          <w:rFonts w:asciiTheme="minorHAnsi" w:hAnsiTheme="minorHAnsi" w:cs="Arial"/>
          <w:color w:val="000000" w:themeColor="text1"/>
        </w:rPr>
        <w:tab/>
      </w:r>
      <w:r w:rsidR="00A35593" w:rsidRPr="00E35C82">
        <w:rPr>
          <w:rFonts w:ascii="Arial" w:hAnsi="Arial" w:cs="Arial"/>
          <w:color w:val="000000" w:themeColor="text1"/>
        </w:rPr>
        <w:t>I</w:t>
      </w:r>
      <w:r w:rsidR="007F1CB5" w:rsidRPr="00E35C82">
        <w:rPr>
          <w:rFonts w:ascii="Arial" w:hAnsi="Arial" w:cs="Arial"/>
          <w:color w:val="000000" w:themeColor="text1"/>
        </w:rPr>
        <w:t xml:space="preserve">n </w:t>
      </w:r>
      <w:r w:rsidR="007F1CB5" w:rsidRPr="00E35C82">
        <w:rPr>
          <w:rFonts w:ascii="Arial" w:hAnsi="Arial" w:cs="Arial"/>
          <w:i/>
          <w:iCs/>
          <w:color w:val="000000" w:themeColor="text1"/>
        </w:rPr>
        <w:t>Truter v Smith</w:t>
      </w:r>
      <w:r w:rsidR="00C853D5" w:rsidRPr="002B5823">
        <w:rPr>
          <w:rStyle w:val="FootnoteReference"/>
          <w:rFonts w:cs="Arial"/>
        </w:rPr>
        <w:footnoteReference w:id="19"/>
      </w:r>
      <w:r w:rsidR="003F6D39" w:rsidRPr="00E35C82">
        <w:rPr>
          <w:rFonts w:ascii="Arial" w:hAnsi="Arial" w:cs="Arial"/>
          <w:i/>
          <w:iCs/>
          <w:color w:val="000000" w:themeColor="text1"/>
        </w:rPr>
        <w:t xml:space="preserve"> </w:t>
      </w:r>
      <w:r w:rsidR="003F6D39" w:rsidRPr="00E35C82">
        <w:rPr>
          <w:rFonts w:ascii="Arial" w:hAnsi="Arial" w:cs="Arial"/>
          <w:color w:val="000000" w:themeColor="text1"/>
        </w:rPr>
        <w:t>it was held that “</w:t>
      </w:r>
      <w:r w:rsidR="003F6D39" w:rsidRPr="00E35C82">
        <w:rPr>
          <w:rFonts w:ascii="Arial" w:hAnsi="Arial" w:cs="Arial"/>
          <w:i/>
          <w:iCs/>
          <w:color w:val="000000" w:themeColor="text1"/>
        </w:rPr>
        <w:t>The Court requires the act of cancellation of an otherwise valid agreement to be clear and unambiguous”</w:t>
      </w:r>
      <w:r w:rsidR="003F6D39" w:rsidRPr="00E35C82">
        <w:rPr>
          <w:rFonts w:ascii="Arial" w:hAnsi="Arial" w:cs="Arial"/>
          <w:color w:val="000000" w:themeColor="text1"/>
        </w:rPr>
        <w:t>.</w:t>
      </w:r>
      <w:r w:rsidR="00A35593" w:rsidRPr="00E35C82">
        <w:rPr>
          <w:rFonts w:ascii="Arial" w:hAnsi="Arial" w:cs="Arial"/>
          <w:color w:val="000000" w:themeColor="text1"/>
        </w:rPr>
        <w:t xml:space="preserve">  </w:t>
      </w:r>
      <w:r w:rsidR="003067F3" w:rsidRPr="00E35C82">
        <w:rPr>
          <w:rFonts w:ascii="Arial" w:hAnsi="Arial" w:cs="Arial"/>
          <w:color w:val="000000" w:themeColor="text1"/>
        </w:rPr>
        <w:t>In our law, a party to a contract who exercises his right to cancel must convey his decision to the other party and cancellation does not take place until that happens.</w:t>
      </w:r>
      <w:r w:rsidR="003067F3" w:rsidRPr="002B5823">
        <w:rPr>
          <w:rStyle w:val="FootnoteReference"/>
          <w:rFonts w:cs="Arial"/>
        </w:rPr>
        <w:footnoteReference w:id="20"/>
      </w:r>
      <w:r w:rsidR="00A35593" w:rsidRPr="00E35C82">
        <w:rPr>
          <w:rFonts w:ascii="Arial" w:hAnsi="Arial" w:cs="Arial"/>
          <w:color w:val="000000" w:themeColor="text1"/>
        </w:rPr>
        <w:t xml:space="preserve">  Where, as here, the contract requires such cancellation to be in writing, cancellation cannot be said to have been clear and unambiguous</w:t>
      </w:r>
      <w:r w:rsidR="00AC7535" w:rsidRPr="00E35C82">
        <w:rPr>
          <w:rFonts w:ascii="Arial" w:hAnsi="Arial" w:cs="Arial"/>
          <w:color w:val="000000" w:themeColor="text1"/>
        </w:rPr>
        <w:t xml:space="preserve"> when it is said to have been done orally</w:t>
      </w:r>
      <w:r w:rsidR="00A35593" w:rsidRPr="00E35C82">
        <w:rPr>
          <w:rFonts w:ascii="Arial" w:hAnsi="Arial" w:cs="Arial"/>
          <w:color w:val="000000" w:themeColor="text1"/>
        </w:rPr>
        <w:t xml:space="preserve">.  Even if Mr Hodes had said to the applicant that he intended to, or was cancelling the second lease agreement, the applicant would have been entitled to expect confirmation in writing of that fact, in terms of the agreement that he signed.  </w:t>
      </w:r>
      <w:r w:rsidR="00AC7535" w:rsidRPr="00E35C82">
        <w:rPr>
          <w:rFonts w:ascii="Arial" w:hAnsi="Arial" w:cs="Arial"/>
          <w:color w:val="000000" w:themeColor="text1"/>
        </w:rPr>
        <w:t xml:space="preserve">Mr Hodes, who in life was an advocate upon whom senior counsel status had been conferred, would surely have known that a valid cancellation under the written agreement and in accordance with </w:t>
      </w:r>
      <w:r w:rsidR="00AC7535" w:rsidRPr="00E35C82">
        <w:rPr>
          <w:rFonts w:ascii="Arial" w:hAnsi="Arial" w:cs="Arial"/>
          <w:color w:val="000000" w:themeColor="text1"/>
        </w:rPr>
        <w:lastRenderedPageBreak/>
        <w:t>the principles applicable to cancellation of contract demanded of him to make cancellation in writing.</w:t>
      </w:r>
    </w:p>
    <w:p w14:paraId="366D1409" w14:textId="507CE288" w:rsidR="00AC7535" w:rsidRPr="00E35C82" w:rsidRDefault="00E35C82" w:rsidP="00E35C82">
      <w:pPr>
        <w:tabs>
          <w:tab w:val="left" w:pos="851"/>
        </w:tabs>
        <w:spacing w:after="480" w:line="480" w:lineRule="auto"/>
        <w:ind w:left="851" w:hanging="851"/>
        <w:jc w:val="both"/>
        <w:rPr>
          <w:rFonts w:ascii="Arial" w:hAnsi="Arial" w:cs="Arial"/>
          <w:color w:val="000000" w:themeColor="text1"/>
        </w:rPr>
      </w:pPr>
      <w:r>
        <w:rPr>
          <w:rFonts w:asciiTheme="minorHAnsi" w:hAnsiTheme="minorHAnsi" w:cs="Arial"/>
          <w:color w:val="000000" w:themeColor="text1"/>
        </w:rPr>
        <w:t>65.</w:t>
      </w:r>
      <w:r>
        <w:rPr>
          <w:rFonts w:asciiTheme="minorHAnsi" w:hAnsiTheme="minorHAnsi" w:cs="Arial"/>
          <w:color w:val="000000" w:themeColor="text1"/>
        </w:rPr>
        <w:tab/>
      </w:r>
      <w:r w:rsidR="00A35593" w:rsidRPr="00E35C82">
        <w:rPr>
          <w:rFonts w:ascii="Arial" w:hAnsi="Arial" w:cs="Arial"/>
          <w:color w:val="000000" w:themeColor="text1"/>
        </w:rPr>
        <w:t xml:space="preserve">The other difficulty that this Court has is that, on Mr Hodes’ version, he cancelled the written agreement as a result of breach in the form of failure to pay.  </w:t>
      </w:r>
      <w:r w:rsidR="009515FC" w:rsidRPr="00E35C82">
        <w:rPr>
          <w:rFonts w:ascii="Arial" w:hAnsi="Arial" w:cs="Arial"/>
          <w:color w:val="000000" w:themeColor="text1"/>
        </w:rPr>
        <w:t xml:space="preserve">It is odd, then, for Mr Hodes to have entered into an oral </w:t>
      </w:r>
      <w:proofErr w:type="gramStart"/>
      <w:r w:rsidR="009515FC" w:rsidRPr="00E35C82">
        <w:rPr>
          <w:rFonts w:ascii="Arial" w:hAnsi="Arial" w:cs="Arial"/>
          <w:color w:val="000000" w:themeColor="text1"/>
        </w:rPr>
        <w:t xml:space="preserve">agreement </w:t>
      </w:r>
      <w:r w:rsidR="00A35593" w:rsidRPr="00E35C82">
        <w:rPr>
          <w:rFonts w:ascii="Arial" w:hAnsi="Arial" w:cs="Arial"/>
          <w:color w:val="000000" w:themeColor="text1"/>
        </w:rPr>
        <w:t xml:space="preserve"> with</w:t>
      </w:r>
      <w:proofErr w:type="gramEnd"/>
      <w:r w:rsidR="00A35593" w:rsidRPr="00E35C82">
        <w:rPr>
          <w:rFonts w:ascii="Arial" w:hAnsi="Arial" w:cs="Arial"/>
          <w:color w:val="000000" w:themeColor="text1"/>
        </w:rPr>
        <w:t xml:space="preserve"> the same tenant on the same terms immediately thereafter</w:t>
      </w:r>
      <w:r w:rsidR="00AC7535" w:rsidRPr="00E35C82">
        <w:rPr>
          <w:rFonts w:ascii="Arial" w:hAnsi="Arial" w:cs="Arial"/>
          <w:color w:val="000000" w:themeColor="text1"/>
        </w:rPr>
        <w:t>, with the only alteration being to change the long-term agreement to a “</w:t>
      </w:r>
      <w:r w:rsidR="00AC7535" w:rsidRPr="00E35C82">
        <w:rPr>
          <w:rFonts w:ascii="Arial" w:hAnsi="Arial" w:cs="Arial"/>
          <w:i/>
          <w:iCs/>
          <w:color w:val="000000" w:themeColor="text1"/>
        </w:rPr>
        <w:t>month-to-month”</w:t>
      </w:r>
      <w:r w:rsidR="00AC7535" w:rsidRPr="00E35C82">
        <w:rPr>
          <w:rFonts w:ascii="Arial" w:hAnsi="Arial" w:cs="Arial"/>
          <w:color w:val="000000" w:themeColor="text1"/>
        </w:rPr>
        <w:t xml:space="preserve"> arrangement.</w:t>
      </w:r>
      <w:r w:rsidR="00A35593" w:rsidRPr="00E35C82">
        <w:rPr>
          <w:rFonts w:ascii="Arial" w:hAnsi="Arial" w:cs="Arial"/>
          <w:color w:val="000000" w:themeColor="text1"/>
        </w:rPr>
        <w:t xml:space="preserve">  Surely, a lay person</w:t>
      </w:r>
      <w:r w:rsidR="009515FC" w:rsidRPr="00E35C82">
        <w:rPr>
          <w:rFonts w:ascii="Arial" w:hAnsi="Arial" w:cs="Arial"/>
          <w:color w:val="000000" w:themeColor="text1"/>
        </w:rPr>
        <w:t xml:space="preserve"> like the applicant in the circumstances</w:t>
      </w:r>
      <w:r w:rsidR="00AC7535" w:rsidRPr="00E35C82">
        <w:rPr>
          <w:rFonts w:ascii="Arial" w:hAnsi="Arial" w:cs="Arial"/>
          <w:color w:val="000000" w:themeColor="text1"/>
        </w:rPr>
        <w:t xml:space="preserve"> could not be said to have been clearly and unambiguously informed of cancellation of the written agreement? Put differently, Mr Hodes’ </w:t>
      </w:r>
      <w:r w:rsidR="00917246" w:rsidRPr="00E35C82">
        <w:rPr>
          <w:rFonts w:ascii="Arial" w:hAnsi="Arial" w:cs="Arial"/>
          <w:color w:val="000000" w:themeColor="text1"/>
        </w:rPr>
        <w:t xml:space="preserve">conduct in allowing the applicant to remain as a tenant is inconsistent with a clear and unambiguous intention to cancel the </w:t>
      </w:r>
      <w:r w:rsidR="00AC7535" w:rsidRPr="00E35C82">
        <w:rPr>
          <w:rFonts w:ascii="Arial" w:hAnsi="Arial" w:cs="Arial"/>
          <w:color w:val="000000" w:themeColor="text1"/>
        </w:rPr>
        <w:t xml:space="preserve">then existing </w:t>
      </w:r>
      <w:r w:rsidR="00917246" w:rsidRPr="00E35C82">
        <w:rPr>
          <w:rFonts w:ascii="Arial" w:hAnsi="Arial" w:cs="Arial"/>
          <w:color w:val="000000" w:themeColor="text1"/>
        </w:rPr>
        <w:t>arrangement between the parties</w:t>
      </w:r>
      <w:r w:rsidR="00E14866" w:rsidRPr="00E35C82">
        <w:rPr>
          <w:rFonts w:ascii="Arial" w:hAnsi="Arial" w:cs="Arial"/>
          <w:color w:val="000000" w:themeColor="text1"/>
        </w:rPr>
        <w:t>, on the basis of non-payment and other alleged breaches</w:t>
      </w:r>
      <w:r w:rsidR="00917246" w:rsidRPr="00E35C82">
        <w:rPr>
          <w:rFonts w:ascii="Arial" w:hAnsi="Arial" w:cs="Arial"/>
          <w:color w:val="000000" w:themeColor="text1"/>
        </w:rPr>
        <w:t xml:space="preserve">.  </w:t>
      </w:r>
    </w:p>
    <w:p w14:paraId="11A6637B" w14:textId="3599A12A" w:rsidR="00414A89" w:rsidRPr="00E35C82" w:rsidRDefault="00E35C82" w:rsidP="00E35C82">
      <w:pPr>
        <w:tabs>
          <w:tab w:val="left" w:pos="851"/>
        </w:tabs>
        <w:spacing w:after="480" w:line="480" w:lineRule="auto"/>
        <w:ind w:left="851" w:hanging="851"/>
        <w:jc w:val="both"/>
        <w:rPr>
          <w:rFonts w:ascii="Arial" w:hAnsi="Arial" w:cs="Arial"/>
          <w:color w:val="000000" w:themeColor="text1"/>
        </w:rPr>
      </w:pPr>
      <w:r>
        <w:rPr>
          <w:rFonts w:asciiTheme="minorHAnsi" w:hAnsiTheme="minorHAnsi" w:cs="Arial"/>
          <w:color w:val="000000" w:themeColor="text1"/>
        </w:rPr>
        <w:t>66.</w:t>
      </w:r>
      <w:r>
        <w:rPr>
          <w:rFonts w:asciiTheme="minorHAnsi" w:hAnsiTheme="minorHAnsi" w:cs="Arial"/>
          <w:color w:val="000000" w:themeColor="text1"/>
        </w:rPr>
        <w:tab/>
      </w:r>
      <w:r w:rsidR="00917246" w:rsidRPr="00E35C82">
        <w:rPr>
          <w:rFonts w:ascii="Arial" w:hAnsi="Arial" w:cs="Arial"/>
          <w:color w:val="000000" w:themeColor="text1"/>
        </w:rPr>
        <w:t>The issue of summons – assuming in favour of the respondents that the summons was indeed received – m</w:t>
      </w:r>
      <w:r w:rsidR="00AC7535" w:rsidRPr="00E35C82">
        <w:rPr>
          <w:rFonts w:ascii="Arial" w:hAnsi="Arial" w:cs="Arial"/>
          <w:color w:val="000000" w:themeColor="text1"/>
        </w:rPr>
        <w:t>i</w:t>
      </w:r>
      <w:r w:rsidR="00917246" w:rsidRPr="00E35C82">
        <w:rPr>
          <w:rFonts w:ascii="Arial" w:hAnsi="Arial" w:cs="Arial"/>
          <w:color w:val="000000" w:themeColor="text1"/>
        </w:rPr>
        <w:t>ght have been taken to constitute cancellation of the agreement.  But the problem is this: Mr Hodes did not seek cancellation of the written agreement, he sought cancellation of an oral agreement purportedly entered into in 2013,</w:t>
      </w:r>
      <w:r w:rsidR="00AC7535" w:rsidRPr="00E35C82">
        <w:rPr>
          <w:rFonts w:ascii="Arial" w:hAnsi="Arial" w:cs="Arial"/>
          <w:color w:val="000000" w:themeColor="text1"/>
        </w:rPr>
        <w:t xml:space="preserve"> before the applicant had entered into a written agreement with Mr </w:t>
      </w:r>
      <w:proofErr w:type="gramStart"/>
      <w:r w:rsidR="00AC7535" w:rsidRPr="00E35C82">
        <w:rPr>
          <w:rFonts w:ascii="Arial" w:hAnsi="Arial" w:cs="Arial"/>
          <w:color w:val="000000" w:themeColor="text1"/>
        </w:rPr>
        <w:t xml:space="preserve">Hodes, </w:t>
      </w:r>
      <w:r w:rsidR="00917246" w:rsidRPr="00E35C82">
        <w:rPr>
          <w:rFonts w:ascii="Arial" w:hAnsi="Arial" w:cs="Arial"/>
          <w:color w:val="000000" w:themeColor="text1"/>
        </w:rPr>
        <w:t xml:space="preserve"> so</w:t>
      </w:r>
      <w:proofErr w:type="gramEnd"/>
      <w:r w:rsidR="00917246" w:rsidRPr="00E35C82">
        <w:rPr>
          <w:rFonts w:ascii="Arial" w:hAnsi="Arial" w:cs="Arial"/>
          <w:color w:val="000000" w:themeColor="text1"/>
        </w:rPr>
        <w:t xml:space="preserve"> that the issue of summons in the Magistrates’ Court in January 2020 equally could not have constituted a clear and unambiguous intention to cancel the second lease agreement which, on the face of it, was concluded only in 2015.  Mr Hodes’ about-turn in the answering affidavit to the rescission application that the oral agreement was </w:t>
      </w:r>
      <w:r w:rsidR="00917246" w:rsidRPr="00E35C82">
        <w:rPr>
          <w:rFonts w:ascii="Arial" w:hAnsi="Arial" w:cs="Arial"/>
          <w:color w:val="000000" w:themeColor="text1"/>
        </w:rPr>
        <w:lastRenderedPageBreak/>
        <w:t xml:space="preserve">actually concluded after the cancellation of the second lease agreement does not alter this conclusion.  </w:t>
      </w:r>
    </w:p>
    <w:p w14:paraId="374320BA" w14:textId="09BB5F5E" w:rsidR="00414A89" w:rsidRPr="00E35C82" w:rsidRDefault="00E35C82" w:rsidP="00E35C82">
      <w:pPr>
        <w:tabs>
          <w:tab w:val="left" w:pos="851"/>
        </w:tabs>
        <w:spacing w:after="480" w:line="480" w:lineRule="auto"/>
        <w:ind w:left="851" w:hanging="851"/>
        <w:jc w:val="both"/>
        <w:rPr>
          <w:rFonts w:ascii="Arial" w:hAnsi="Arial" w:cs="Arial"/>
          <w:color w:val="000000" w:themeColor="text1"/>
        </w:rPr>
      </w:pPr>
      <w:r>
        <w:rPr>
          <w:rFonts w:asciiTheme="minorHAnsi" w:hAnsiTheme="minorHAnsi" w:cs="Arial"/>
          <w:color w:val="000000" w:themeColor="text1"/>
        </w:rPr>
        <w:t>67.</w:t>
      </w:r>
      <w:r>
        <w:rPr>
          <w:rFonts w:asciiTheme="minorHAnsi" w:hAnsiTheme="minorHAnsi" w:cs="Arial"/>
          <w:color w:val="000000" w:themeColor="text1"/>
        </w:rPr>
        <w:tab/>
      </w:r>
      <w:r w:rsidR="00414A89" w:rsidRPr="00E35C82">
        <w:rPr>
          <w:rFonts w:ascii="Arial" w:hAnsi="Arial" w:cs="Arial"/>
          <w:color w:val="000000" w:themeColor="text1"/>
        </w:rPr>
        <w:t>Since the cancellation sought and granted in the Magistrates’ Court was of a</w:t>
      </w:r>
      <w:r w:rsidR="008F18C0" w:rsidRPr="00E35C82">
        <w:rPr>
          <w:rFonts w:ascii="Arial" w:hAnsi="Arial" w:cs="Arial"/>
          <w:color w:val="000000" w:themeColor="text1"/>
        </w:rPr>
        <w:t xml:space="preserve">n oral agreement allegedly concluded in 2013, the Order of that Court (even if not rescinded) cannot constitute cancellation of the second lease agreement.  </w:t>
      </w:r>
    </w:p>
    <w:p w14:paraId="254B5E82" w14:textId="21C4D660" w:rsidR="00414A89" w:rsidRPr="00E35C82" w:rsidRDefault="00E35C82" w:rsidP="00E35C82">
      <w:pPr>
        <w:tabs>
          <w:tab w:val="left" w:pos="851"/>
        </w:tabs>
        <w:spacing w:after="480" w:line="480" w:lineRule="auto"/>
        <w:ind w:left="851" w:hanging="851"/>
        <w:jc w:val="both"/>
        <w:rPr>
          <w:rFonts w:ascii="Arial" w:hAnsi="Arial" w:cs="Arial"/>
          <w:color w:val="000000" w:themeColor="text1"/>
        </w:rPr>
      </w:pPr>
      <w:r>
        <w:rPr>
          <w:rFonts w:asciiTheme="minorHAnsi" w:hAnsiTheme="minorHAnsi" w:cs="Arial"/>
          <w:color w:val="000000" w:themeColor="text1"/>
        </w:rPr>
        <w:t>68.</w:t>
      </w:r>
      <w:r>
        <w:rPr>
          <w:rFonts w:asciiTheme="minorHAnsi" w:hAnsiTheme="minorHAnsi" w:cs="Arial"/>
          <w:color w:val="000000" w:themeColor="text1"/>
        </w:rPr>
        <w:tab/>
      </w:r>
      <w:r w:rsidR="00414A89" w:rsidRPr="00E35C82">
        <w:rPr>
          <w:rFonts w:ascii="Arial" w:hAnsi="Arial" w:cs="Arial"/>
          <w:color w:val="000000" w:themeColor="text1"/>
        </w:rPr>
        <w:t>The only other potential source of cancellation was the 30 November 2020 letter from Mr Hodes’ attorney to the applicant.  However, that purports to be a cancellation of a “</w:t>
      </w:r>
      <w:r w:rsidR="00414A89" w:rsidRPr="00E35C82">
        <w:rPr>
          <w:rFonts w:ascii="Arial" w:hAnsi="Arial" w:cs="Arial"/>
          <w:i/>
          <w:iCs/>
          <w:color w:val="000000" w:themeColor="text1"/>
        </w:rPr>
        <w:t>month-to-month agreement”</w:t>
      </w:r>
      <w:r w:rsidR="00414A89" w:rsidRPr="00E35C82">
        <w:rPr>
          <w:rFonts w:ascii="Arial" w:hAnsi="Arial" w:cs="Arial"/>
          <w:color w:val="000000" w:themeColor="text1"/>
        </w:rPr>
        <w:t xml:space="preserve"> that is not identified.  I am of the view that, on no construction, that letter can constitute clear and unambiguous notice of cancellation of the second lease agreement.  Indeed, Mr Hodes did not intend it to be so, given his adopted stance (on affidavit) that the second lease agreement had been cancelled more than a year before.  This letter equally cannot stand as a valid cancellation of the second lease agreement.   </w:t>
      </w:r>
    </w:p>
    <w:p w14:paraId="521870A8" w14:textId="0D7A5FBC" w:rsidR="004B0009" w:rsidRPr="00E35C82" w:rsidRDefault="00E35C82" w:rsidP="00E35C82">
      <w:pPr>
        <w:tabs>
          <w:tab w:val="left" w:pos="851"/>
        </w:tabs>
        <w:spacing w:after="480" w:line="480" w:lineRule="auto"/>
        <w:ind w:left="851" w:hanging="851"/>
        <w:jc w:val="both"/>
        <w:rPr>
          <w:rFonts w:ascii="Arial" w:hAnsi="Arial" w:cs="Arial"/>
          <w:color w:val="000000" w:themeColor="text1"/>
        </w:rPr>
      </w:pPr>
      <w:r>
        <w:rPr>
          <w:rFonts w:asciiTheme="minorHAnsi" w:hAnsiTheme="minorHAnsi" w:cs="Arial"/>
          <w:color w:val="000000" w:themeColor="text1"/>
        </w:rPr>
        <w:t>69.</w:t>
      </w:r>
      <w:r>
        <w:rPr>
          <w:rFonts w:asciiTheme="minorHAnsi" w:hAnsiTheme="minorHAnsi" w:cs="Arial"/>
          <w:color w:val="000000" w:themeColor="text1"/>
        </w:rPr>
        <w:tab/>
      </w:r>
      <w:r w:rsidR="00917246" w:rsidRPr="00E35C82">
        <w:rPr>
          <w:rFonts w:ascii="Arial" w:hAnsi="Arial" w:cs="Arial"/>
          <w:color w:val="000000" w:themeColor="text1"/>
        </w:rPr>
        <w:t>The bottom line is, I find no evidence of a clear and unambiguous cancellation of the second lease agreement</w:t>
      </w:r>
      <w:r w:rsidR="008F18C0" w:rsidRPr="00E35C82">
        <w:rPr>
          <w:rFonts w:ascii="Arial" w:hAnsi="Arial" w:cs="Arial"/>
          <w:color w:val="000000" w:themeColor="text1"/>
        </w:rPr>
        <w:t>, and most certainly no such cancellation in the written form required in terms of the agreement</w:t>
      </w:r>
      <w:r w:rsidR="00917246" w:rsidRPr="00E35C82">
        <w:rPr>
          <w:rFonts w:ascii="Arial" w:hAnsi="Arial" w:cs="Arial"/>
          <w:color w:val="000000" w:themeColor="text1"/>
        </w:rPr>
        <w:t xml:space="preserve">.  </w:t>
      </w:r>
      <w:r w:rsidR="00414A89" w:rsidRPr="00E35C82">
        <w:rPr>
          <w:rFonts w:ascii="Arial" w:hAnsi="Arial" w:cs="Arial"/>
          <w:color w:val="000000" w:themeColor="text1"/>
        </w:rPr>
        <w:t>That means it is still extant</w:t>
      </w:r>
      <w:r w:rsidR="004B0009" w:rsidRPr="00E35C82">
        <w:rPr>
          <w:rFonts w:ascii="Arial" w:hAnsi="Arial" w:cs="Arial"/>
          <w:color w:val="000000" w:themeColor="text1"/>
        </w:rPr>
        <w:t xml:space="preserve">.  </w:t>
      </w:r>
    </w:p>
    <w:p w14:paraId="57755A05" w14:textId="02AF624C" w:rsidR="00917246" w:rsidRPr="00E35C82" w:rsidRDefault="00E35C82" w:rsidP="00E35C82">
      <w:pPr>
        <w:tabs>
          <w:tab w:val="left" w:pos="851"/>
        </w:tabs>
        <w:spacing w:line="480" w:lineRule="auto"/>
        <w:ind w:left="851" w:hanging="851"/>
        <w:jc w:val="both"/>
        <w:rPr>
          <w:color w:val="000000" w:themeColor="text1"/>
        </w:rPr>
      </w:pPr>
      <w:r w:rsidRPr="004B0009">
        <w:rPr>
          <w:rFonts w:asciiTheme="minorHAnsi" w:hAnsiTheme="minorHAnsi"/>
          <w:color w:val="000000" w:themeColor="text1"/>
        </w:rPr>
        <w:t>70.</w:t>
      </w:r>
      <w:r w:rsidRPr="004B0009">
        <w:rPr>
          <w:rFonts w:asciiTheme="minorHAnsi" w:hAnsiTheme="minorHAnsi"/>
          <w:color w:val="000000" w:themeColor="text1"/>
        </w:rPr>
        <w:tab/>
      </w:r>
      <w:r w:rsidR="004B0009" w:rsidRPr="00E35C82">
        <w:rPr>
          <w:rFonts w:ascii="Arial" w:hAnsi="Arial" w:cs="Arial"/>
          <w:color w:val="000000" w:themeColor="text1"/>
          <w:shd w:val="clear" w:color="auto" w:fill="FFFFFF"/>
        </w:rPr>
        <w:t>The “</w:t>
      </w:r>
      <w:proofErr w:type="spellStart"/>
      <w:r w:rsidR="004B0009" w:rsidRPr="00E35C82">
        <w:rPr>
          <w:rFonts w:ascii="Arial" w:hAnsi="Arial" w:cs="Arial"/>
          <w:i/>
          <w:iCs/>
          <w:color w:val="000000" w:themeColor="text1"/>
          <w:shd w:val="clear" w:color="auto" w:fill="FFFFFF"/>
        </w:rPr>
        <w:t>huur</w:t>
      </w:r>
      <w:proofErr w:type="spellEnd"/>
      <w:r w:rsidR="004B0009" w:rsidRPr="00E35C82">
        <w:rPr>
          <w:rFonts w:ascii="Arial" w:hAnsi="Arial" w:cs="Arial"/>
          <w:i/>
          <w:iCs/>
          <w:color w:val="000000" w:themeColor="text1"/>
          <w:shd w:val="clear" w:color="auto" w:fill="FFFFFF"/>
        </w:rPr>
        <w:t xml:space="preserve"> </w:t>
      </w:r>
      <w:proofErr w:type="spellStart"/>
      <w:r w:rsidR="004B0009" w:rsidRPr="00E35C82">
        <w:rPr>
          <w:rFonts w:ascii="Arial" w:hAnsi="Arial" w:cs="Arial"/>
          <w:i/>
          <w:iCs/>
          <w:color w:val="000000" w:themeColor="text1"/>
          <w:shd w:val="clear" w:color="auto" w:fill="FFFFFF"/>
        </w:rPr>
        <w:t>gaat</w:t>
      </w:r>
      <w:proofErr w:type="spellEnd"/>
      <w:r w:rsidR="004B0009" w:rsidRPr="00E35C82">
        <w:rPr>
          <w:rFonts w:ascii="Arial" w:hAnsi="Arial" w:cs="Arial"/>
          <w:i/>
          <w:iCs/>
          <w:color w:val="000000" w:themeColor="text1"/>
          <w:shd w:val="clear" w:color="auto" w:fill="FFFFFF"/>
        </w:rPr>
        <w:t xml:space="preserve"> </w:t>
      </w:r>
      <w:proofErr w:type="spellStart"/>
      <w:r w:rsidR="004B0009" w:rsidRPr="00E35C82">
        <w:rPr>
          <w:rFonts w:ascii="Arial" w:hAnsi="Arial" w:cs="Arial"/>
          <w:i/>
          <w:iCs/>
          <w:color w:val="000000" w:themeColor="text1"/>
          <w:shd w:val="clear" w:color="auto" w:fill="FFFFFF"/>
        </w:rPr>
        <w:t>voor</w:t>
      </w:r>
      <w:proofErr w:type="spellEnd"/>
      <w:r w:rsidR="004B0009" w:rsidRPr="00E35C82">
        <w:rPr>
          <w:rFonts w:ascii="Arial" w:hAnsi="Arial" w:cs="Arial"/>
          <w:i/>
          <w:iCs/>
          <w:color w:val="000000" w:themeColor="text1"/>
          <w:shd w:val="clear" w:color="auto" w:fill="FFFFFF"/>
        </w:rPr>
        <w:t xml:space="preserve"> </w:t>
      </w:r>
      <w:proofErr w:type="spellStart"/>
      <w:r w:rsidR="004B0009" w:rsidRPr="00E35C82">
        <w:rPr>
          <w:rFonts w:ascii="Arial" w:hAnsi="Arial" w:cs="Arial"/>
          <w:i/>
          <w:iCs/>
          <w:color w:val="000000" w:themeColor="text1"/>
          <w:shd w:val="clear" w:color="auto" w:fill="FFFFFF"/>
        </w:rPr>
        <w:t>koop</w:t>
      </w:r>
      <w:proofErr w:type="spellEnd"/>
      <w:r w:rsidR="004B0009" w:rsidRPr="00E35C82">
        <w:rPr>
          <w:rFonts w:ascii="Arial" w:hAnsi="Arial" w:cs="Arial"/>
          <w:color w:val="000000" w:themeColor="text1"/>
          <w:shd w:val="clear" w:color="auto" w:fill="FFFFFF"/>
        </w:rPr>
        <w:t xml:space="preserve">” principle ensures that any contract with a tenant, whose lease has not yet expired must be honoured if and when the property is sold.  This applies whether or not </w:t>
      </w:r>
      <w:proofErr w:type="gramStart"/>
      <w:r w:rsidR="004B0009" w:rsidRPr="00E35C82">
        <w:rPr>
          <w:rFonts w:ascii="Arial" w:hAnsi="Arial" w:cs="Arial"/>
          <w:color w:val="000000" w:themeColor="text1"/>
          <w:shd w:val="clear" w:color="auto" w:fill="FFFFFF"/>
        </w:rPr>
        <w:t>he</w:t>
      </w:r>
      <w:proofErr w:type="gramEnd"/>
      <w:r w:rsidR="004B0009" w:rsidRPr="00E35C82">
        <w:rPr>
          <w:rFonts w:ascii="Arial" w:hAnsi="Arial" w:cs="Arial"/>
          <w:color w:val="000000" w:themeColor="text1"/>
          <w:shd w:val="clear" w:color="auto" w:fill="FFFFFF"/>
        </w:rPr>
        <w:t xml:space="preserve"> purchaser knew of the lease when he signed the deed of sale.   That means that </w:t>
      </w:r>
      <w:r w:rsidR="00414A89" w:rsidRPr="00E35C82">
        <w:rPr>
          <w:rFonts w:ascii="Arial" w:hAnsi="Arial" w:cs="Arial"/>
          <w:color w:val="000000" w:themeColor="text1"/>
        </w:rPr>
        <w:t xml:space="preserve">the applicant does lawfully occupy the premises on which the Restaurant is situated.  </w:t>
      </w:r>
    </w:p>
    <w:p w14:paraId="03473211" w14:textId="1F9ACE48" w:rsidR="004B0009" w:rsidRPr="00E35C82" w:rsidRDefault="00E35C82" w:rsidP="00E35C82">
      <w:pPr>
        <w:tabs>
          <w:tab w:val="left" w:pos="851"/>
        </w:tabs>
        <w:spacing w:after="480" w:line="480" w:lineRule="auto"/>
        <w:ind w:left="851" w:hanging="851"/>
        <w:jc w:val="both"/>
        <w:rPr>
          <w:rFonts w:ascii="Arial" w:hAnsi="Arial" w:cs="Arial"/>
          <w:color w:val="000000" w:themeColor="text1"/>
        </w:rPr>
      </w:pPr>
      <w:r>
        <w:rPr>
          <w:rFonts w:asciiTheme="minorHAnsi" w:hAnsiTheme="minorHAnsi" w:cs="Arial"/>
          <w:color w:val="000000" w:themeColor="text1"/>
        </w:rPr>
        <w:lastRenderedPageBreak/>
        <w:t>71.</w:t>
      </w:r>
      <w:r>
        <w:rPr>
          <w:rFonts w:asciiTheme="minorHAnsi" w:hAnsiTheme="minorHAnsi" w:cs="Arial"/>
          <w:color w:val="000000" w:themeColor="text1"/>
        </w:rPr>
        <w:tab/>
      </w:r>
      <w:r w:rsidR="008F18C0" w:rsidRPr="00E35C82">
        <w:rPr>
          <w:rFonts w:ascii="Arial" w:hAnsi="Arial" w:cs="Arial"/>
          <w:color w:val="000000" w:themeColor="text1"/>
        </w:rPr>
        <w:t xml:space="preserve">In the circumstances, I come to the conclusion that the applicant remains lawfully entitled to occupy the premises under the second lease agreement and that the unlawful dispossession of his undisturbed possession cannot be sanctioned.  </w:t>
      </w:r>
    </w:p>
    <w:p w14:paraId="4C0B65E1" w14:textId="74BBECC2" w:rsidR="00AC7535" w:rsidRPr="00E35C82" w:rsidRDefault="00E35C82" w:rsidP="00E35C82">
      <w:pPr>
        <w:tabs>
          <w:tab w:val="left" w:pos="851"/>
        </w:tabs>
        <w:spacing w:after="480" w:line="480" w:lineRule="auto"/>
        <w:ind w:left="851" w:hanging="851"/>
        <w:jc w:val="both"/>
        <w:rPr>
          <w:rFonts w:ascii="Arial" w:hAnsi="Arial" w:cs="Arial"/>
          <w:color w:val="000000" w:themeColor="text1"/>
        </w:rPr>
      </w:pPr>
      <w:r>
        <w:rPr>
          <w:rFonts w:asciiTheme="minorHAnsi" w:hAnsiTheme="minorHAnsi" w:cs="Arial"/>
          <w:color w:val="000000" w:themeColor="text1"/>
        </w:rPr>
        <w:t>72.</w:t>
      </w:r>
      <w:r>
        <w:rPr>
          <w:rFonts w:asciiTheme="minorHAnsi" w:hAnsiTheme="minorHAnsi" w:cs="Arial"/>
          <w:color w:val="000000" w:themeColor="text1"/>
        </w:rPr>
        <w:tab/>
      </w:r>
      <w:r w:rsidR="008F18C0" w:rsidRPr="00E35C82">
        <w:rPr>
          <w:rFonts w:ascii="Arial" w:hAnsi="Arial" w:cs="Arial"/>
          <w:color w:val="000000" w:themeColor="text1"/>
        </w:rPr>
        <w:t>Unless the second lease agreement is validly cancelled, and the appropriate procedures followed, the respondents cannot deprive the applicant of possession.  The respondents ought to refrain from taking the law into their own hands.</w:t>
      </w:r>
    </w:p>
    <w:p w14:paraId="262A22B4" w14:textId="5FD6E876" w:rsidR="004B0009" w:rsidRPr="00E35C82" w:rsidRDefault="00E35C82" w:rsidP="00E35C82">
      <w:pPr>
        <w:tabs>
          <w:tab w:val="left" w:pos="851"/>
        </w:tabs>
        <w:spacing w:after="480" w:line="480" w:lineRule="auto"/>
        <w:ind w:left="851" w:hanging="851"/>
        <w:jc w:val="both"/>
        <w:rPr>
          <w:rFonts w:ascii="Arial" w:hAnsi="Arial" w:cs="Arial"/>
          <w:color w:val="000000" w:themeColor="text1"/>
        </w:rPr>
      </w:pPr>
      <w:r w:rsidRPr="00AC7535">
        <w:rPr>
          <w:rFonts w:asciiTheme="minorHAnsi" w:hAnsiTheme="minorHAnsi" w:cs="Arial"/>
          <w:color w:val="000000" w:themeColor="text1"/>
        </w:rPr>
        <w:t>73.</w:t>
      </w:r>
      <w:r w:rsidRPr="00AC7535">
        <w:rPr>
          <w:rFonts w:asciiTheme="minorHAnsi" w:hAnsiTheme="minorHAnsi" w:cs="Arial"/>
          <w:color w:val="000000" w:themeColor="text1"/>
        </w:rPr>
        <w:tab/>
      </w:r>
      <w:r w:rsidR="004B0009" w:rsidRPr="00E35C82">
        <w:rPr>
          <w:rFonts w:ascii="Arial" w:hAnsi="Arial" w:cs="Arial"/>
          <w:color w:val="000000" w:themeColor="text1"/>
        </w:rPr>
        <w:t xml:space="preserve">A word of caution to the applicant, however.  The judgment herein and the order that I propose to make do not insulate the applicant from valid cancellation for breach, and steps pursuant to such valid cancellation.  The applicant cannot expect to be and remain in default without consequences.  The judgment herein is no sanction of the applicant’s breach of contract.  </w:t>
      </w:r>
      <w:r w:rsidR="00D32359" w:rsidRPr="00E35C82">
        <w:rPr>
          <w:rFonts w:ascii="Arial" w:hAnsi="Arial" w:cs="Arial"/>
          <w:color w:val="000000" w:themeColor="text1"/>
        </w:rPr>
        <w:t xml:space="preserve">The Court is not here to dispense advice, but it does seem to me to be undesirable, if the applicant wants to continue operating the Restaurant from which he derives his livelihood, that he should take a hard stance in law and decline to engage with those now controlling the premises.  The costs devoted to endless litigation could be better employed towards satisfying the judgment debt and payment of current rental obligations.   </w:t>
      </w:r>
    </w:p>
    <w:p w14:paraId="6C505070" w14:textId="77777777" w:rsidR="00097C50" w:rsidRPr="002B5823" w:rsidRDefault="00097C50" w:rsidP="00B54FAD">
      <w:pPr>
        <w:keepNext/>
        <w:spacing w:after="480" w:line="480" w:lineRule="auto"/>
        <w:jc w:val="both"/>
        <w:rPr>
          <w:rFonts w:ascii="Arial" w:hAnsi="Arial" w:cs="Arial"/>
          <w:color w:val="000000" w:themeColor="text1"/>
          <w:u w:val="single"/>
        </w:rPr>
      </w:pPr>
      <w:r w:rsidRPr="002B5823">
        <w:rPr>
          <w:rFonts w:ascii="Arial" w:hAnsi="Arial" w:cs="Arial"/>
          <w:color w:val="000000" w:themeColor="text1"/>
          <w:u w:val="single"/>
        </w:rPr>
        <w:lastRenderedPageBreak/>
        <w:t>Costs</w:t>
      </w:r>
    </w:p>
    <w:p w14:paraId="602AC183" w14:textId="37E8D4D7" w:rsidR="008F18C0" w:rsidRPr="00E35C82" w:rsidRDefault="00E35C82" w:rsidP="00E35C82">
      <w:pPr>
        <w:tabs>
          <w:tab w:val="left" w:pos="851"/>
        </w:tabs>
        <w:spacing w:after="480" w:line="480" w:lineRule="auto"/>
        <w:ind w:left="851" w:hanging="851"/>
        <w:jc w:val="both"/>
        <w:rPr>
          <w:rFonts w:ascii="Arial" w:hAnsi="Arial" w:cs="Arial"/>
          <w:color w:val="000000" w:themeColor="text1"/>
          <w:u w:val="single"/>
        </w:rPr>
      </w:pPr>
      <w:r w:rsidRPr="006A5E30">
        <w:rPr>
          <w:rFonts w:asciiTheme="minorHAnsi" w:hAnsiTheme="minorHAnsi" w:cs="Arial"/>
          <w:color w:val="000000" w:themeColor="text1"/>
        </w:rPr>
        <w:t>74.</w:t>
      </w:r>
      <w:r w:rsidRPr="006A5E30">
        <w:rPr>
          <w:rFonts w:asciiTheme="minorHAnsi" w:hAnsiTheme="minorHAnsi" w:cs="Arial"/>
          <w:color w:val="000000" w:themeColor="text1"/>
        </w:rPr>
        <w:tab/>
      </w:r>
      <w:r w:rsidR="008F18C0" w:rsidRPr="00E35C82">
        <w:rPr>
          <w:rFonts w:ascii="Arial" w:hAnsi="Arial" w:cs="Arial"/>
          <w:color w:val="000000" w:themeColor="text1"/>
        </w:rPr>
        <w:t xml:space="preserve">Costs must follow the result.  </w:t>
      </w:r>
      <w:r w:rsidR="006A5E30" w:rsidRPr="00E35C82">
        <w:rPr>
          <w:rFonts w:ascii="Arial" w:hAnsi="Arial" w:cs="Arial"/>
          <w:color w:val="000000" w:themeColor="text1"/>
        </w:rPr>
        <w:t xml:space="preserve">There is no reason to depart from this general principle.  There is however no basis in the present case to award costs on a punitive scale.  </w:t>
      </w:r>
    </w:p>
    <w:p w14:paraId="634E9CEC" w14:textId="77777777" w:rsidR="0054041C" w:rsidRPr="002B5823" w:rsidRDefault="0054041C" w:rsidP="0054041C">
      <w:pPr>
        <w:spacing w:after="480" w:line="480" w:lineRule="auto"/>
        <w:jc w:val="both"/>
        <w:rPr>
          <w:rFonts w:ascii="Arial" w:hAnsi="Arial" w:cs="Arial"/>
          <w:color w:val="000000" w:themeColor="text1"/>
          <w:u w:val="single"/>
        </w:rPr>
      </w:pPr>
      <w:r w:rsidRPr="002B5823">
        <w:rPr>
          <w:rFonts w:ascii="Arial" w:hAnsi="Arial" w:cs="Arial"/>
          <w:color w:val="000000" w:themeColor="text1"/>
          <w:u w:val="single"/>
        </w:rPr>
        <w:t>Conclusion</w:t>
      </w:r>
    </w:p>
    <w:p w14:paraId="59E6FDDF" w14:textId="3F0F4839" w:rsidR="00416B43" w:rsidRPr="00E35C82" w:rsidRDefault="00E35C82" w:rsidP="00E35C82">
      <w:pPr>
        <w:tabs>
          <w:tab w:val="left" w:pos="851"/>
        </w:tabs>
        <w:spacing w:after="480" w:line="480" w:lineRule="auto"/>
        <w:ind w:left="851" w:hanging="851"/>
        <w:jc w:val="both"/>
        <w:rPr>
          <w:rFonts w:ascii="Arial" w:hAnsi="Arial" w:cs="Arial"/>
          <w:color w:val="000000" w:themeColor="text1"/>
        </w:rPr>
      </w:pPr>
      <w:r>
        <w:rPr>
          <w:rFonts w:asciiTheme="minorHAnsi" w:hAnsiTheme="minorHAnsi" w:cs="Arial"/>
          <w:color w:val="000000" w:themeColor="text1"/>
        </w:rPr>
        <w:t>75.</w:t>
      </w:r>
      <w:r>
        <w:rPr>
          <w:rFonts w:asciiTheme="minorHAnsi" w:hAnsiTheme="minorHAnsi" w:cs="Arial"/>
          <w:color w:val="000000" w:themeColor="text1"/>
        </w:rPr>
        <w:tab/>
      </w:r>
      <w:r w:rsidR="00416B43" w:rsidRPr="00E35C82">
        <w:rPr>
          <w:rFonts w:ascii="Arial" w:hAnsi="Arial" w:cs="Arial"/>
          <w:color w:val="000000" w:themeColor="text1"/>
        </w:rPr>
        <w:t>In the circumstances, I make the following order:</w:t>
      </w:r>
    </w:p>
    <w:p w14:paraId="0DA642AF" w14:textId="3813B358" w:rsidR="006A5E30" w:rsidRPr="00E35C82" w:rsidRDefault="00E35C82" w:rsidP="00E35C82">
      <w:pPr>
        <w:spacing w:after="480" w:line="480" w:lineRule="auto"/>
        <w:ind w:left="1701" w:hanging="850"/>
        <w:jc w:val="both"/>
        <w:rPr>
          <w:rFonts w:ascii="Arial" w:hAnsi="Arial" w:cs="Arial"/>
          <w:color w:val="000000" w:themeColor="text1"/>
        </w:rPr>
      </w:pPr>
      <w:r>
        <w:rPr>
          <w:rFonts w:asciiTheme="minorHAnsi" w:hAnsiTheme="minorHAnsi" w:cs="Arial"/>
          <w:color w:val="000000" w:themeColor="text1"/>
        </w:rPr>
        <w:t>75.1.</w:t>
      </w:r>
      <w:r>
        <w:rPr>
          <w:rFonts w:asciiTheme="minorHAnsi" w:hAnsiTheme="minorHAnsi" w:cs="Arial"/>
          <w:color w:val="000000" w:themeColor="text1"/>
        </w:rPr>
        <w:tab/>
      </w:r>
      <w:r w:rsidR="006A5E30" w:rsidRPr="00E35C82">
        <w:rPr>
          <w:rFonts w:ascii="Arial" w:hAnsi="Arial" w:cs="Arial"/>
          <w:color w:val="000000" w:themeColor="text1"/>
        </w:rPr>
        <w:t xml:space="preserve">That the rule </w:t>
      </w:r>
      <w:r w:rsidR="006A5E30" w:rsidRPr="00E35C82">
        <w:rPr>
          <w:rFonts w:ascii="Arial" w:hAnsi="Arial" w:cs="Arial"/>
          <w:i/>
          <w:iCs/>
          <w:color w:val="000000" w:themeColor="text1"/>
        </w:rPr>
        <w:t>nisi</w:t>
      </w:r>
      <w:r w:rsidR="006A5E30" w:rsidRPr="00E35C82">
        <w:rPr>
          <w:rFonts w:ascii="Arial" w:hAnsi="Arial" w:cs="Arial"/>
          <w:color w:val="000000" w:themeColor="text1"/>
        </w:rPr>
        <w:t xml:space="preserve"> granted by this Court on 3 March 2021 be and is hereby confirmed.</w:t>
      </w:r>
    </w:p>
    <w:p w14:paraId="3E58F1EA" w14:textId="26F01097" w:rsidR="006A5E30" w:rsidRPr="00E35C82" w:rsidRDefault="00E35C82" w:rsidP="00E35C82">
      <w:pPr>
        <w:spacing w:after="480" w:line="480" w:lineRule="auto"/>
        <w:ind w:left="1701" w:hanging="850"/>
        <w:jc w:val="both"/>
        <w:rPr>
          <w:rFonts w:ascii="Arial" w:hAnsi="Arial" w:cs="Arial"/>
          <w:color w:val="000000" w:themeColor="text1"/>
        </w:rPr>
      </w:pPr>
      <w:r w:rsidRPr="002B5823">
        <w:rPr>
          <w:rFonts w:asciiTheme="minorHAnsi" w:hAnsiTheme="minorHAnsi" w:cs="Arial"/>
          <w:color w:val="000000" w:themeColor="text1"/>
        </w:rPr>
        <w:t>75.2.</w:t>
      </w:r>
      <w:r w:rsidRPr="002B5823">
        <w:rPr>
          <w:rFonts w:asciiTheme="minorHAnsi" w:hAnsiTheme="minorHAnsi" w:cs="Arial"/>
          <w:color w:val="000000" w:themeColor="text1"/>
        </w:rPr>
        <w:tab/>
      </w:r>
      <w:r w:rsidR="006A5E30" w:rsidRPr="00E35C82">
        <w:rPr>
          <w:rFonts w:ascii="Arial" w:hAnsi="Arial" w:cs="Arial"/>
          <w:color w:val="000000" w:themeColor="text1"/>
        </w:rPr>
        <w:t>That the first respondents pay the applicant’s costs in this application</w:t>
      </w:r>
      <w:r w:rsidR="00120505" w:rsidRPr="00E35C82">
        <w:rPr>
          <w:rFonts w:ascii="Arial" w:hAnsi="Arial" w:cs="Arial"/>
          <w:color w:val="000000" w:themeColor="text1"/>
        </w:rPr>
        <w:t xml:space="preserve">.  </w:t>
      </w:r>
    </w:p>
    <w:p w14:paraId="75457CA4" w14:textId="77777777" w:rsidR="00D40C62" w:rsidRPr="002B5823" w:rsidRDefault="00D40C62" w:rsidP="00416B43">
      <w:pPr>
        <w:spacing w:after="480" w:line="480" w:lineRule="auto"/>
        <w:ind w:left="851"/>
        <w:jc w:val="both"/>
        <w:rPr>
          <w:rFonts w:ascii="Arial" w:hAnsi="Arial" w:cs="Arial"/>
          <w:color w:val="000000" w:themeColor="text1"/>
        </w:rPr>
      </w:pPr>
    </w:p>
    <w:p w14:paraId="05CB893B" w14:textId="77777777" w:rsidR="005F0A94" w:rsidRPr="002B5823" w:rsidRDefault="005F0A94" w:rsidP="005F0A94">
      <w:pPr>
        <w:spacing w:before="240" w:after="360" w:line="480" w:lineRule="auto"/>
        <w:jc w:val="both"/>
        <w:rPr>
          <w:rFonts w:ascii="Arial" w:hAnsi="Arial" w:cs="Arial"/>
          <w:color w:val="000000" w:themeColor="text1"/>
        </w:rPr>
      </w:pPr>
    </w:p>
    <w:p w14:paraId="6C5C5467" w14:textId="77777777" w:rsidR="00E5367A" w:rsidRPr="002B5823" w:rsidRDefault="00E5367A" w:rsidP="00E5367A">
      <w:pPr>
        <w:pStyle w:val="ListParagraph"/>
        <w:spacing w:line="360" w:lineRule="auto"/>
        <w:ind w:left="2880" w:firstLine="720"/>
        <w:contextualSpacing w:val="0"/>
        <w:jc w:val="center"/>
        <w:rPr>
          <w:rFonts w:ascii="Arial" w:hAnsi="Arial" w:cs="Arial"/>
          <w:b/>
          <w:color w:val="000000" w:themeColor="text1"/>
        </w:rPr>
      </w:pPr>
      <w:r w:rsidRPr="002B5823">
        <w:rPr>
          <w:rFonts w:ascii="Arial" w:hAnsi="Arial" w:cs="Arial"/>
          <w:b/>
          <w:color w:val="000000" w:themeColor="text1"/>
        </w:rPr>
        <w:t>_____________________________________</w:t>
      </w:r>
      <w:r w:rsidR="007C02BD" w:rsidRPr="002B5823">
        <w:rPr>
          <w:rFonts w:ascii="Arial" w:hAnsi="Arial" w:cs="Arial"/>
          <w:b/>
          <w:color w:val="000000" w:themeColor="text1"/>
        </w:rPr>
        <w:t>___</w:t>
      </w:r>
    </w:p>
    <w:p w14:paraId="2D1EE78F" w14:textId="77777777" w:rsidR="00D221C4" w:rsidRPr="002B5823" w:rsidRDefault="003E2BFF" w:rsidP="00D221C4">
      <w:pPr>
        <w:pStyle w:val="ListParagraph"/>
        <w:spacing w:line="276" w:lineRule="auto"/>
        <w:ind w:left="2880" w:firstLine="720"/>
        <w:contextualSpacing w:val="0"/>
        <w:jc w:val="right"/>
        <w:rPr>
          <w:rFonts w:ascii="Arial" w:hAnsi="Arial" w:cs="Arial"/>
          <w:b/>
          <w:color w:val="000000" w:themeColor="text1"/>
        </w:rPr>
      </w:pPr>
      <w:r w:rsidRPr="002B5823">
        <w:rPr>
          <w:rFonts w:ascii="Arial" w:hAnsi="Arial" w:cs="Arial"/>
          <w:b/>
          <w:color w:val="000000" w:themeColor="text1"/>
        </w:rPr>
        <w:t>M</w:t>
      </w:r>
      <w:r w:rsidR="0047188A" w:rsidRPr="002B5823">
        <w:rPr>
          <w:rFonts w:ascii="Arial" w:hAnsi="Arial" w:cs="Arial"/>
          <w:b/>
          <w:color w:val="000000" w:themeColor="text1"/>
        </w:rPr>
        <w:t>J</w:t>
      </w:r>
      <w:r w:rsidRPr="002B5823">
        <w:rPr>
          <w:rFonts w:ascii="Arial" w:hAnsi="Arial" w:cs="Arial"/>
          <w:b/>
          <w:color w:val="000000" w:themeColor="text1"/>
        </w:rPr>
        <w:t xml:space="preserve"> ENGELBRECHT</w:t>
      </w:r>
    </w:p>
    <w:p w14:paraId="15A62168" w14:textId="77777777" w:rsidR="00E5367A" w:rsidRPr="002B5823" w:rsidRDefault="00E5367A" w:rsidP="007C02BD">
      <w:pPr>
        <w:pStyle w:val="ListParagraph"/>
        <w:spacing w:line="276" w:lineRule="auto"/>
        <w:ind w:left="2880" w:firstLine="720"/>
        <w:contextualSpacing w:val="0"/>
        <w:jc w:val="right"/>
        <w:rPr>
          <w:rFonts w:ascii="Arial" w:hAnsi="Arial" w:cs="Arial"/>
          <w:b/>
          <w:color w:val="000000" w:themeColor="text1"/>
        </w:rPr>
      </w:pPr>
      <w:r w:rsidRPr="002B5823">
        <w:rPr>
          <w:rFonts w:ascii="Arial" w:hAnsi="Arial" w:cs="Arial"/>
          <w:b/>
          <w:color w:val="000000" w:themeColor="text1"/>
        </w:rPr>
        <w:t>ACTING JUDGE OF THE HIGH COURT</w:t>
      </w:r>
    </w:p>
    <w:p w14:paraId="215C5F0F" w14:textId="77777777" w:rsidR="00E5367A" w:rsidRPr="002B5823" w:rsidRDefault="00E5367A" w:rsidP="007C02BD">
      <w:pPr>
        <w:pStyle w:val="ListParagraph"/>
        <w:spacing w:line="276" w:lineRule="auto"/>
        <w:ind w:left="2880" w:firstLine="720"/>
        <w:contextualSpacing w:val="0"/>
        <w:jc w:val="right"/>
        <w:rPr>
          <w:rFonts w:ascii="Arial" w:hAnsi="Arial" w:cs="Arial"/>
          <w:b/>
          <w:color w:val="000000" w:themeColor="text1"/>
        </w:rPr>
      </w:pPr>
      <w:r w:rsidRPr="002B5823">
        <w:rPr>
          <w:rFonts w:ascii="Arial" w:hAnsi="Arial" w:cs="Arial"/>
          <w:b/>
          <w:color w:val="000000" w:themeColor="text1"/>
        </w:rPr>
        <w:t>GAUTENG LOCAL DIVISION, JOHANNESBURG</w:t>
      </w:r>
    </w:p>
    <w:p w14:paraId="6FB798D7" w14:textId="77777777" w:rsidR="00E5367A" w:rsidRPr="002B5823" w:rsidRDefault="00E5367A" w:rsidP="00E5367A">
      <w:pPr>
        <w:pStyle w:val="ListParagraph"/>
        <w:spacing w:line="360" w:lineRule="auto"/>
        <w:ind w:left="2880" w:firstLine="720"/>
        <w:contextualSpacing w:val="0"/>
        <w:jc w:val="center"/>
        <w:rPr>
          <w:rFonts w:ascii="Arial" w:hAnsi="Arial" w:cs="Arial"/>
          <w:b/>
          <w:color w:val="000000" w:themeColor="text1"/>
        </w:rPr>
      </w:pPr>
    </w:p>
    <w:p w14:paraId="716F5A80" w14:textId="77777777" w:rsidR="003228F8" w:rsidRPr="002B5823" w:rsidRDefault="003228F8" w:rsidP="003228F8">
      <w:pPr>
        <w:pStyle w:val="ListParagraph"/>
        <w:spacing w:after="200" w:line="480" w:lineRule="auto"/>
        <w:ind w:left="0"/>
        <w:jc w:val="right"/>
        <w:rPr>
          <w:rFonts w:ascii="Arial" w:hAnsi="Arial" w:cs="Arial"/>
          <w:b/>
          <w:i/>
          <w:iCs/>
          <w:color w:val="000000" w:themeColor="text1"/>
        </w:rPr>
      </w:pPr>
      <w:r w:rsidRPr="002B5823">
        <w:rPr>
          <w:rFonts w:ascii="Arial" w:hAnsi="Arial" w:cs="Arial"/>
          <w:b/>
          <w:i/>
          <w:iCs/>
          <w:color w:val="000000" w:themeColor="text1"/>
        </w:rPr>
        <w:t>Electronically submitted therefore unsigned</w:t>
      </w:r>
    </w:p>
    <w:p w14:paraId="57EFDE01" w14:textId="77777777" w:rsidR="003228F8" w:rsidRPr="002B5823" w:rsidRDefault="003228F8" w:rsidP="003228F8">
      <w:pPr>
        <w:pStyle w:val="ListParagraph"/>
        <w:spacing w:after="200"/>
        <w:ind w:left="0"/>
        <w:rPr>
          <w:rFonts w:ascii="Arial" w:eastAsia="Arial Unicode MS" w:hAnsi="Arial" w:cs="Arial"/>
          <w:bCs/>
          <w:color w:val="000000" w:themeColor="text1"/>
        </w:rPr>
      </w:pPr>
    </w:p>
    <w:p w14:paraId="2824AFCB" w14:textId="77777777" w:rsidR="003228F8" w:rsidRPr="002B5823" w:rsidRDefault="003228F8" w:rsidP="003228F8">
      <w:pPr>
        <w:pStyle w:val="ListParagraph"/>
        <w:spacing w:after="200"/>
        <w:ind w:left="0"/>
        <w:rPr>
          <w:rFonts w:ascii="Arial" w:eastAsia="Arial Unicode MS" w:hAnsi="Arial" w:cs="Arial"/>
          <w:bCs/>
          <w:color w:val="000000" w:themeColor="text1"/>
        </w:rPr>
      </w:pPr>
    </w:p>
    <w:p w14:paraId="2278DA03" w14:textId="77777777" w:rsidR="003228F8" w:rsidRPr="002B5823" w:rsidRDefault="003228F8" w:rsidP="003228F8">
      <w:pPr>
        <w:pStyle w:val="ListParagraph"/>
        <w:spacing w:after="200"/>
        <w:ind w:left="0"/>
        <w:jc w:val="both"/>
        <w:rPr>
          <w:rFonts w:ascii="Arial" w:hAnsi="Arial" w:cs="Arial"/>
          <w:b/>
          <w:i/>
          <w:iCs/>
          <w:color w:val="000000" w:themeColor="text1"/>
        </w:rPr>
      </w:pPr>
      <w:r w:rsidRPr="002B5823">
        <w:rPr>
          <w:rFonts w:ascii="Arial" w:eastAsia="Arial Unicode MS" w:hAnsi="Arial" w:cs="Arial"/>
          <w:bCs/>
          <w:color w:val="000000" w:themeColor="text1"/>
        </w:rPr>
        <w:t xml:space="preserve">Delivered:  This judgement was prepared and authored by the Judge whose name is reflected and is handed down electronically by circulation to the Parties/their legal representatives by email and by uploading it to the electronic file of this matter on </w:t>
      </w:r>
      <w:proofErr w:type="spellStart"/>
      <w:r w:rsidRPr="002B5823">
        <w:rPr>
          <w:rFonts w:ascii="Arial" w:eastAsia="Arial Unicode MS" w:hAnsi="Arial" w:cs="Arial"/>
          <w:bCs/>
          <w:color w:val="000000" w:themeColor="text1"/>
        </w:rPr>
        <w:t>CaseLines</w:t>
      </w:r>
      <w:proofErr w:type="spellEnd"/>
      <w:r w:rsidRPr="002B5823">
        <w:rPr>
          <w:rFonts w:ascii="Arial" w:eastAsia="Arial Unicode MS" w:hAnsi="Arial" w:cs="Arial"/>
          <w:bCs/>
          <w:color w:val="000000" w:themeColor="text1"/>
        </w:rPr>
        <w:t xml:space="preserve">.  The date for hand-down is deemed to be </w:t>
      </w:r>
      <w:r w:rsidR="00097C50" w:rsidRPr="002B5823">
        <w:rPr>
          <w:rFonts w:ascii="Arial" w:eastAsia="Arial Unicode MS" w:hAnsi="Arial" w:cs="Arial"/>
          <w:bCs/>
          <w:color w:val="000000" w:themeColor="text1"/>
        </w:rPr>
        <w:t>13</w:t>
      </w:r>
      <w:r w:rsidR="00EB179B" w:rsidRPr="002B5823">
        <w:rPr>
          <w:rFonts w:ascii="Arial" w:eastAsia="Arial Unicode MS" w:hAnsi="Arial" w:cs="Arial"/>
          <w:bCs/>
          <w:color w:val="000000" w:themeColor="text1"/>
        </w:rPr>
        <w:t xml:space="preserve"> AUGUST</w:t>
      </w:r>
      <w:r w:rsidRPr="002B5823">
        <w:rPr>
          <w:rFonts w:ascii="Arial" w:eastAsia="Arial Unicode MS" w:hAnsi="Arial" w:cs="Arial"/>
          <w:bCs/>
          <w:color w:val="000000" w:themeColor="text1"/>
        </w:rPr>
        <w:t xml:space="preserve"> 2021.</w:t>
      </w:r>
    </w:p>
    <w:p w14:paraId="115061B6" w14:textId="77777777" w:rsidR="003228F8" w:rsidRPr="002B5823" w:rsidRDefault="003228F8" w:rsidP="003228F8">
      <w:pPr>
        <w:pStyle w:val="ListParagraph"/>
        <w:spacing w:line="276" w:lineRule="auto"/>
        <w:ind w:left="2880" w:firstLine="720"/>
        <w:contextualSpacing w:val="0"/>
        <w:jc w:val="right"/>
        <w:rPr>
          <w:rFonts w:ascii="Arial" w:hAnsi="Arial" w:cs="Arial"/>
          <w:b/>
          <w:color w:val="000000" w:themeColor="text1"/>
        </w:rPr>
      </w:pPr>
    </w:p>
    <w:p w14:paraId="53C13492" w14:textId="77777777" w:rsidR="003228F8" w:rsidRPr="002B5823" w:rsidRDefault="003228F8" w:rsidP="003228F8">
      <w:pPr>
        <w:pStyle w:val="ListParagraph"/>
        <w:spacing w:line="360" w:lineRule="auto"/>
        <w:ind w:left="2880" w:firstLine="720"/>
        <w:contextualSpacing w:val="0"/>
        <w:jc w:val="center"/>
        <w:rPr>
          <w:rFonts w:ascii="Arial" w:hAnsi="Arial" w:cs="Arial"/>
          <w:b/>
          <w:color w:val="000000" w:themeColor="text1"/>
        </w:rPr>
      </w:pPr>
    </w:p>
    <w:p w14:paraId="360A9A62" w14:textId="77777777" w:rsidR="003228F8" w:rsidRPr="002B5823" w:rsidRDefault="003228F8" w:rsidP="003228F8">
      <w:pPr>
        <w:spacing w:line="360" w:lineRule="auto"/>
        <w:jc w:val="both"/>
        <w:rPr>
          <w:rFonts w:ascii="Arial" w:hAnsi="Arial" w:cs="Arial"/>
          <w:color w:val="000000" w:themeColor="text1"/>
        </w:rPr>
      </w:pPr>
      <w:r w:rsidRPr="002B5823">
        <w:rPr>
          <w:rFonts w:ascii="Arial" w:hAnsi="Arial" w:cs="Arial"/>
          <w:color w:val="000000" w:themeColor="text1"/>
        </w:rPr>
        <w:t>Date of hearing:</w:t>
      </w:r>
      <w:r w:rsidRPr="002B5823">
        <w:rPr>
          <w:rFonts w:ascii="Arial" w:hAnsi="Arial" w:cs="Arial"/>
          <w:color w:val="000000" w:themeColor="text1"/>
        </w:rPr>
        <w:tab/>
      </w:r>
      <w:r w:rsidRPr="002B5823">
        <w:rPr>
          <w:rFonts w:ascii="Arial" w:hAnsi="Arial" w:cs="Arial"/>
          <w:color w:val="000000" w:themeColor="text1"/>
        </w:rPr>
        <w:tab/>
      </w:r>
      <w:r w:rsidR="00EB179B" w:rsidRPr="002B5823">
        <w:rPr>
          <w:rFonts w:ascii="Arial" w:hAnsi="Arial" w:cs="Arial"/>
          <w:color w:val="000000" w:themeColor="text1"/>
        </w:rPr>
        <w:t>1</w:t>
      </w:r>
      <w:r w:rsidR="0047188A" w:rsidRPr="002B5823">
        <w:rPr>
          <w:rFonts w:ascii="Arial" w:hAnsi="Arial" w:cs="Arial"/>
          <w:color w:val="000000" w:themeColor="text1"/>
        </w:rPr>
        <w:t>1</w:t>
      </w:r>
      <w:r w:rsidR="00EB179B" w:rsidRPr="002B5823">
        <w:rPr>
          <w:rFonts w:ascii="Arial" w:hAnsi="Arial" w:cs="Arial"/>
          <w:color w:val="000000" w:themeColor="text1"/>
        </w:rPr>
        <w:t xml:space="preserve"> August</w:t>
      </w:r>
      <w:r w:rsidRPr="002B5823">
        <w:rPr>
          <w:rFonts w:ascii="Arial" w:hAnsi="Arial" w:cs="Arial"/>
          <w:color w:val="000000" w:themeColor="text1"/>
        </w:rPr>
        <w:t xml:space="preserve"> 2021</w:t>
      </w:r>
    </w:p>
    <w:p w14:paraId="4FD1772B" w14:textId="77777777" w:rsidR="003228F8" w:rsidRPr="002B5823" w:rsidRDefault="003228F8" w:rsidP="003228F8">
      <w:pPr>
        <w:spacing w:line="360" w:lineRule="auto"/>
        <w:jc w:val="both"/>
        <w:rPr>
          <w:rFonts w:ascii="Arial" w:hAnsi="Arial" w:cs="Arial"/>
          <w:color w:val="000000" w:themeColor="text1"/>
        </w:rPr>
      </w:pPr>
      <w:r w:rsidRPr="002B5823">
        <w:rPr>
          <w:rFonts w:ascii="Arial" w:hAnsi="Arial" w:cs="Arial"/>
          <w:color w:val="000000" w:themeColor="text1"/>
        </w:rPr>
        <w:t>Date of judgment:</w:t>
      </w:r>
      <w:r w:rsidRPr="002B5823">
        <w:rPr>
          <w:rFonts w:ascii="Arial" w:hAnsi="Arial" w:cs="Arial"/>
          <w:color w:val="000000" w:themeColor="text1"/>
        </w:rPr>
        <w:tab/>
      </w:r>
      <w:r w:rsidRPr="002B5823">
        <w:rPr>
          <w:rFonts w:ascii="Arial" w:hAnsi="Arial" w:cs="Arial"/>
          <w:color w:val="000000" w:themeColor="text1"/>
        </w:rPr>
        <w:tab/>
      </w:r>
      <w:r w:rsidR="00097C50" w:rsidRPr="002B5823">
        <w:rPr>
          <w:rFonts w:ascii="Arial" w:hAnsi="Arial" w:cs="Arial"/>
          <w:color w:val="000000" w:themeColor="text1"/>
        </w:rPr>
        <w:t xml:space="preserve">13 </w:t>
      </w:r>
      <w:r w:rsidR="00EB179B" w:rsidRPr="002B5823">
        <w:rPr>
          <w:rFonts w:ascii="Arial" w:hAnsi="Arial" w:cs="Arial"/>
          <w:color w:val="000000" w:themeColor="text1"/>
        </w:rPr>
        <w:t>August</w:t>
      </w:r>
      <w:r w:rsidRPr="002B5823">
        <w:rPr>
          <w:rFonts w:ascii="Arial" w:hAnsi="Arial" w:cs="Arial"/>
          <w:color w:val="000000" w:themeColor="text1"/>
        </w:rPr>
        <w:t xml:space="preserve"> 2021</w:t>
      </w:r>
    </w:p>
    <w:p w14:paraId="31D59718" w14:textId="77777777" w:rsidR="003228F8" w:rsidRPr="002B5823" w:rsidRDefault="003228F8" w:rsidP="00D40C62">
      <w:pPr>
        <w:spacing w:line="360" w:lineRule="auto"/>
        <w:jc w:val="both"/>
        <w:rPr>
          <w:rFonts w:ascii="Arial" w:hAnsi="Arial" w:cs="Arial"/>
          <w:color w:val="000000" w:themeColor="text1"/>
          <w:u w:val="single"/>
        </w:rPr>
      </w:pPr>
    </w:p>
    <w:p w14:paraId="6A1251D4" w14:textId="77777777" w:rsidR="00E5367A" w:rsidRPr="002B5823" w:rsidRDefault="00E5367A" w:rsidP="00D40C62">
      <w:pPr>
        <w:spacing w:line="360" w:lineRule="auto"/>
        <w:jc w:val="both"/>
        <w:rPr>
          <w:rFonts w:ascii="Arial" w:hAnsi="Arial" w:cs="Arial"/>
          <w:color w:val="000000" w:themeColor="text1"/>
          <w:u w:val="single"/>
        </w:rPr>
      </w:pPr>
      <w:r w:rsidRPr="002B5823">
        <w:rPr>
          <w:rFonts w:ascii="Arial" w:hAnsi="Arial" w:cs="Arial"/>
          <w:color w:val="000000" w:themeColor="text1"/>
          <w:u w:val="single"/>
        </w:rPr>
        <w:t>Appearances</w:t>
      </w:r>
    </w:p>
    <w:p w14:paraId="5BDA1140" w14:textId="33224BF0" w:rsidR="00E5367A" w:rsidRPr="002B5823" w:rsidRDefault="00E5367A" w:rsidP="00D40C62">
      <w:pPr>
        <w:spacing w:line="360" w:lineRule="auto"/>
        <w:jc w:val="both"/>
        <w:rPr>
          <w:rFonts w:ascii="Arial" w:hAnsi="Arial" w:cs="Arial"/>
          <w:color w:val="000000" w:themeColor="text1"/>
        </w:rPr>
      </w:pPr>
      <w:r w:rsidRPr="002B5823">
        <w:rPr>
          <w:rFonts w:ascii="Arial" w:hAnsi="Arial" w:cs="Arial"/>
          <w:color w:val="000000" w:themeColor="text1"/>
        </w:rPr>
        <w:t>For the applicant:</w:t>
      </w:r>
      <w:r w:rsidR="007C02BD" w:rsidRPr="002B5823">
        <w:rPr>
          <w:rFonts w:ascii="Arial" w:hAnsi="Arial" w:cs="Arial"/>
          <w:color w:val="000000" w:themeColor="text1"/>
        </w:rPr>
        <w:t xml:space="preserve"> </w:t>
      </w:r>
      <w:r w:rsidR="00C6462E" w:rsidRPr="002B5823">
        <w:rPr>
          <w:rFonts w:ascii="Arial" w:hAnsi="Arial" w:cs="Arial"/>
          <w:color w:val="000000" w:themeColor="text1"/>
        </w:rPr>
        <w:tab/>
      </w:r>
      <w:r w:rsidR="00D32359">
        <w:rPr>
          <w:rFonts w:ascii="Arial" w:hAnsi="Arial" w:cs="Arial"/>
          <w:color w:val="000000" w:themeColor="text1"/>
        </w:rPr>
        <w:tab/>
      </w:r>
      <w:r w:rsidR="00334F1C" w:rsidRPr="00334F1C">
        <w:rPr>
          <w:rFonts w:ascii="Arial" w:hAnsi="Arial" w:cs="Arial"/>
        </w:rPr>
        <w:t xml:space="preserve">Mr V.O.M </w:t>
      </w:r>
      <w:proofErr w:type="spellStart"/>
      <w:r w:rsidR="00334F1C" w:rsidRPr="00334F1C">
        <w:rPr>
          <w:rFonts w:ascii="Arial" w:hAnsi="Arial" w:cs="Arial"/>
        </w:rPr>
        <w:t>Seloane</w:t>
      </w:r>
      <w:proofErr w:type="spellEnd"/>
      <w:r w:rsidR="00C6462E" w:rsidRPr="002B5823">
        <w:rPr>
          <w:rFonts w:ascii="Arial" w:hAnsi="Arial" w:cs="Arial"/>
          <w:color w:val="000000" w:themeColor="text1"/>
        </w:rPr>
        <w:tab/>
      </w:r>
    </w:p>
    <w:p w14:paraId="57D498EB" w14:textId="2452CE4A" w:rsidR="00E5367A" w:rsidRPr="002B5823" w:rsidRDefault="00E5367A" w:rsidP="00D40C62">
      <w:pPr>
        <w:spacing w:line="360" w:lineRule="auto"/>
        <w:jc w:val="both"/>
        <w:rPr>
          <w:rFonts w:ascii="Arial" w:hAnsi="Arial" w:cs="Arial"/>
          <w:color w:val="000000" w:themeColor="text1"/>
        </w:rPr>
      </w:pPr>
      <w:r w:rsidRPr="002B5823">
        <w:rPr>
          <w:rFonts w:ascii="Arial" w:hAnsi="Arial" w:cs="Arial"/>
          <w:color w:val="000000" w:themeColor="text1"/>
        </w:rPr>
        <w:t>Instructed by:</w:t>
      </w:r>
      <w:r w:rsidR="00C6462E" w:rsidRPr="002B5823">
        <w:rPr>
          <w:rFonts w:ascii="Arial" w:hAnsi="Arial" w:cs="Arial"/>
          <w:color w:val="000000" w:themeColor="text1"/>
        </w:rPr>
        <w:t xml:space="preserve"> </w:t>
      </w:r>
      <w:r w:rsidR="00D32359">
        <w:rPr>
          <w:rFonts w:ascii="Arial" w:hAnsi="Arial" w:cs="Arial"/>
          <w:color w:val="000000" w:themeColor="text1"/>
        </w:rPr>
        <w:tab/>
      </w:r>
      <w:r w:rsidR="00D32359">
        <w:rPr>
          <w:rFonts w:ascii="Arial" w:hAnsi="Arial" w:cs="Arial"/>
          <w:color w:val="000000" w:themeColor="text1"/>
        </w:rPr>
        <w:tab/>
      </w:r>
      <w:proofErr w:type="spellStart"/>
      <w:r w:rsidR="00334F1C" w:rsidRPr="00334F1C">
        <w:rPr>
          <w:rFonts w:ascii="Arial" w:hAnsi="Arial" w:cs="Arial"/>
        </w:rPr>
        <w:t>Seloane</w:t>
      </w:r>
      <w:proofErr w:type="spellEnd"/>
      <w:r w:rsidR="00334F1C" w:rsidRPr="00334F1C">
        <w:rPr>
          <w:rFonts w:ascii="Arial" w:hAnsi="Arial" w:cs="Arial"/>
        </w:rPr>
        <w:t xml:space="preserve"> Vincent Attorneys</w:t>
      </w:r>
      <w:r w:rsidR="00C6462E" w:rsidRPr="002B5823">
        <w:rPr>
          <w:rFonts w:ascii="Arial" w:hAnsi="Arial" w:cs="Arial"/>
          <w:color w:val="000000" w:themeColor="text1"/>
        </w:rPr>
        <w:tab/>
      </w:r>
      <w:r w:rsidR="00C6462E" w:rsidRPr="002B5823">
        <w:rPr>
          <w:rFonts w:ascii="Arial" w:hAnsi="Arial" w:cs="Arial"/>
          <w:color w:val="000000" w:themeColor="text1"/>
        </w:rPr>
        <w:tab/>
      </w:r>
      <w:r w:rsidR="00EB179B" w:rsidRPr="002B5823">
        <w:rPr>
          <w:rFonts w:ascii="Arial" w:hAnsi="Arial" w:cs="Arial"/>
          <w:color w:val="000000" w:themeColor="text1"/>
        </w:rPr>
        <w:tab/>
      </w:r>
    </w:p>
    <w:p w14:paraId="11FB52F4" w14:textId="77777777" w:rsidR="005F0A94" w:rsidRPr="002B5823" w:rsidRDefault="005F0A94" w:rsidP="00D40C62">
      <w:pPr>
        <w:spacing w:line="360" w:lineRule="auto"/>
        <w:jc w:val="both"/>
        <w:rPr>
          <w:rFonts w:ascii="Arial" w:hAnsi="Arial" w:cs="Arial"/>
          <w:color w:val="000000" w:themeColor="text1"/>
        </w:rPr>
      </w:pPr>
    </w:p>
    <w:p w14:paraId="71AA1D79" w14:textId="17C0B87D" w:rsidR="00E5367A" w:rsidRPr="002B5823" w:rsidRDefault="00E5367A" w:rsidP="00D40C62">
      <w:pPr>
        <w:spacing w:line="360" w:lineRule="auto"/>
        <w:jc w:val="both"/>
        <w:rPr>
          <w:rFonts w:ascii="Arial" w:hAnsi="Arial" w:cs="Arial"/>
          <w:color w:val="000000" w:themeColor="text1"/>
        </w:rPr>
      </w:pPr>
      <w:r w:rsidRPr="002B5823">
        <w:rPr>
          <w:rFonts w:ascii="Arial" w:hAnsi="Arial" w:cs="Arial"/>
          <w:color w:val="000000" w:themeColor="text1"/>
        </w:rPr>
        <w:t>For the respondent</w:t>
      </w:r>
      <w:r w:rsidR="007C02BD" w:rsidRPr="002B5823">
        <w:rPr>
          <w:rFonts w:ascii="Arial" w:hAnsi="Arial" w:cs="Arial"/>
          <w:color w:val="000000" w:themeColor="text1"/>
        </w:rPr>
        <w:t xml:space="preserve">s: </w:t>
      </w:r>
      <w:r w:rsidR="00D32359">
        <w:rPr>
          <w:rFonts w:ascii="Arial" w:hAnsi="Arial" w:cs="Arial"/>
          <w:color w:val="000000" w:themeColor="text1"/>
        </w:rPr>
        <w:tab/>
      </w:r>
      <w:r w:rsidR="00334F1C" w:rsidRPr="00334F1C">
        <w:rPr>
          <w:rFonts w:ascii="Arial" w:hAnsi="Arial" w:cs="Arial"/>
          <w:color w:val="000000" w:themeColor="text1"/>
        </w:rPr>
        <w:t xml:space="preserve">Ms </w:t>
      </w:r>
      <w:proofErr w:type="spellStart"/>
      <w:r w:rsidR="00334F1C" w:rsidRPr="00334F1C">
        <w:rPr>
          <w:rFonts w:ascii="Arial" w:hAnsi="Arial" w:cs="Arial"/>
          <w:color w:val="000000" w:themeColor="text1"/>
        </w:rPr>
        <w:t>Teneille</w:t>
      </w:r>
      <w:proofErr w:type="spellEnd"/>
      <w:r w:rsidR="00334F1C" w:rsidRPr="00334F1C">
        <w:rPr>
          <w:rFonts w:ascii="Arial" w:hAnsi="Arial" w:cs="Arial"/>
          <w:color w:val="000000" w:themeColor="text1"/>
        </w:rPr>
        <w:t xml:space="preserve"> Govender</w:t>
      </w:r>
      <w:r w:rsidR="00C6462E" w:rsidRPr="002B5823">
        <w:rPr>
          <w:rFonts w:ascii="Arial" w:hAnsi="Arial" w:cs="Arial"/>
          <w:color w:val="000000" w:themeColor="text1"/>
        </w:rPr>
        <w:tab/>
      </w:r>
      <w:r w:rsidR="00EB179B" w:rsidRPr="002B5823">
        <w:rPr>
          <w:rFonts w:ascii="Arial" w:hAnsi="Arial" w:cs="Arial"/>
          <w:color w:val="000000" w:themeColor="text1"/>
        </w:rPr>
        <w:tab/>
      </w:r>
      <w:r w:rsidR="005F0A94" w:rsidRPr="002B5823">
        <w:rPr>
          <w:rFonts w:ascii="Arial" w:hAnsi="Arial" w:cs="Arial"/>
          <w:color w:val="000000" w:themeColor="text1"/>
        </w:rPr>
        <w:t xml:space="preserve"> </w:t>
      </w:r>
    </w:p>
    <w:p w14:paraId="2639AC0F" w14:textId="57AB91E7" w:rsidR="005F0A94" w:rsidRPr="002B5823" w:rsidRDefault="00C6462E" w:rsidP="00D40C62">
      <w:pPr>
        <w:spacing w:line="360" w:lineRule="auto"/>
        <w:jc w:val="both"/>
        <w:rPr>
          <w:rFonts w:ascii="Arial" w:hAnsi="Arial" w:cs="Arial"/>
          <w:color w:val="000000" w:themeColor="text1"/>
        </w:rPr>
      </w:pPr>
      <w:r w:rsidRPr="002B5823">
        <w:rPr>
          <w:rFonts w:ascii="Arial" w:hAnsi="Arial" w:cs="Arial"/>
          <w:color w:val="000000" w:themeColor="text1"/>
        </w:rPr>
        <w:t xml:space="preserve">Instructed by: </w:t>
      </w:r>
      <w:r w:rsidR="00D32359">
        <w:rPr>
          <w:rFonts w:ascii="Arial" w:hAnsi="Arial" w:cs="Arial"/>
          <w:color w:val="000000" w:themeColor="text1"/>
        </w:rPr>
        <w:tab/>
      </w:r>
      <w:r w:rsidR="00D32359">
        <w:rPr>
          <w:rFonts w:ascii="Arial" w:hAnsi="Arial" w:cs="Arial"/>
          <w:color w:val="000000" w:themeColor="text1"/>
        </w:rPr>
        <w:tab/>
      </w:r>
      <w:r w:rsidR="00334F1C" w:rsidRPr="00334F1C">
        <w:rPr>
          <w:rFonts w:ascii="Arial" w:hAnsi="Arial" w:cs="Arial"/>
          <w:color w:val="000000" w:themeColor="text1"/>
        </w:rPr>
        <w:t>RHK Attorneys</w:t>
      </w:r>
      <w:r w:rsidRPr="002B5823">
        <w:rPr>
          <w:rFonts w:ascii="Arial" w:hAnsi="Arial" w:cs="Arial"/>
          <w:color w:val="000000" w:themeColor="text1"/>
        </w:rPr>
        <w:tab/>
      </w:r>
      <w:r w:rsidR="005F0A94" w:rsidRPr="002B5823">
        <w:rPr>
          <w:rFonts w:ascii="Arial" w:hAnsi="Arial" w:cs="Arial"/>
          <w:color w:val="000000" w:themeColor="text1"/>
        </w:rPr>
        <w:tab/>
      </w:r>
      <w:r w:rsidR="00EB179B" w:rsidRPr="002B5823">
        <w:rPr>
          <w:rFonts w:ascii="Arial" w:hAnsi="Arial" w:cs="Arial"/>
          <w:color w:val="000000" w:themeColor="text1"/>
        </w:rPr>
        <w:tab/>
      </w:r>
    </w:p>
    <w:p w14:paraId="0D8A9418" w14:textId="77777777" w:rsidR="00C6462E" w:rsidRPr="002B5823" w:rsidRDefault="00C6462E" w:rsidP="00D40C62">
      <w:pPr>
        <w:spacing w:line="360" w:lineRule="auto"/>
        <w:jc w:val="both"/>
        <w:rPr>
          <w:rFonts w:ascii="Arial" w:hAnsi="Arial" w:cs="Arial"/>
          <w:color w:val="000000" w:themeColor="text1"/>
        </w:rPr>
      </w:pPr>
      <w:r w:rsidRPr="002B5823">
        <w:rPr>
          <w:rFonts w:ascii="Arial" w:hAnsi="Arial" w:cs="Arial"/>
          <w:color w:val="000000" w:themeColor="text1"/>
        </w:rPr>
        <w:tab/>
      </w:r>
    </w:p>
    <w:p w14:paraId="18600BA0" w14:textId="77777777" w:rsidR="00C6462E" w:rsidRPr="002B5823" w:rsidRDefault="00C6462E" w:rsidP="00D40C62">
      <w:pPr>
        <w:spacing w:line="360" w:lineRule="auto"/>
        <w:jc w:val="both"/>
        <w:rPr>
          <w:rFonts w:ascii="Arial" w:hAnsi="Arial" w:cs="Arial"/>
          <w:color w:val="000000" w:themeColor="text1"/>
        </w:rPr>
      </w:pPr>
    </w:p>
    <w:sectPr w:rsidR="00C6462E" w:rsidRPr="002B5823" w:rsidSect="00F369A3">
      <w:headerReference w:type="even" r:id="rId9"/>
      <w:headerReference w:type="default" r:id="rId10"/>
      <w:pgSz w:w="11900" w:h="16840"/>
      <w:pgMar w:top="1426" w:right="1440" w:bottom="1019"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676FA" w14:textId="77777777" w:rsidR="0094689E" w:rsidRDefault="0094689E" w:rsidP="00F7273F">
      <w:r>
        <w:separator/>
      </w:r>
    </w:p>
  </w:endnote>
  <w:endnote w:type="continuationSeparator" w:id="0">
    <w:p w14:paraId="6A78660A" w14:textId="77777777" w:rsidR="0094689E" w:rsidRDefault="0094689E" w:rsidP="00F72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A8771" w14:textId="77777777" w:rsidR="0094689E" w:rsidRDefault="0094689E" w:rsidP="00F7273F">
      <w:r>
        <w:separator/>
      </w:r>
    </w:p>
  </w:footnote>
  <w:footnote w:type="continuationSeparator" w:id="0">
    <w:p w14:paraId="4522D43D" w14:textId="77777777" w:rsidR="0094689E" w:rsidRDefault="0094689E" w:rsidP="00F7273F">
      <w:r>
        <w:continuationSeparator/>
      </w:r>
    </w:p>
  </w:footnote>
  <w:footnote w:id="1">
    <w:p w14:paraId="39317A54" w14:textId="71AB86E9" w:rsidR="000C186B" w:rsidRPr="00D300B8" w:rsidRDefault="000C186B" w:rsidP="00D300B8">
      <w:pPr>
        <w:jc w:val="both"/>
        <w:rPr>
          <w:rFonts w:asciiTheme="minorHAnsi" w:hAnsiTheme="minorHAnsi" w:cstheme="minorHAnsi"/>
          <w:color w:val="000000" w:themeColor="text1"/>
          <w:sz w:val="20"/>
          <w:szCs w:val="20"/>
        </w:rPr>
      </w:pPr>
      <w:r w:rsidRPr="00D300B8">
        <w:rPr>
          <w:rStyle w:val="FootnoteReference"/>
          <w:rFonts w:asciiTheme="minorHAnsi" w:hAnsiTheme="minorHAnsi" w:cstheme="minorHAnsi"/>
          <w:color w:val="000000" w:themeColor="text1"/>
          <w:sz w:val="20"/>
          <w:szCs w:val="20"/>
        </w:rPr>
        <w:footnoteRef/>
      </w:r>
      <w:r w:rsidRPr="00D300B8">
        <w:rPr>
          <w:rFonts w:asciiTheme="minorHAnsi" w:hAnsiTheme="minorHAnsi" w:cstheme="minorHAnsi"/>
          <w:color w:val="000000" w:themeColor="text1"/>
          <w:sz w:val="20"/>
          <w:szCs w:val="20"/>
        </w:rPr>
        <w:t xml:space="preserve"> </w:t>
      </w:r>
      <w:r w:rsidRPr="00D300B8">
        <w:rPr>
          <w:rFonts w:asciiTheme="minorHAnsi" w:hAnsiTheme="minorHAnsi" w:cstheme="minorHAnsi"/>
          <w:i/>
          <w:iCs/>
          <w:color w:val="000000" w:themeColor="text1"/>
          <w:sz w:val="20"/>
          <w:szCs w:val="20"/>
        </w:rPr>
        <w:t>Amalgamated Engineering Union v Minister of Labour</w:t>
      </w:r>
      <w:r w:rsidRPr="00D300B8">
        <w:rPr>
          <w:rFonts w:asciiTheme="minorHAnsi" w:hAnsiTheme="minorHAnsi" w:cstheme="minorHAnsi"/>
          <w:color w:val="000000" w:themeColor="text1"/>
          <w:sz w:val="20"/>
          <w:szCs w:val="20"/>
          <w:shd w:val="clear" w:color="auto" w:fill="FFFFFF"/>
        </w:rPr>
        <w:t> </w:t>
      </w:r>
      <w:hyperlink r:id="rId1" w:anchor="y1949v3SApg637" w:history="1">
        <w:r w:rsidRPr="00D300B8">
          <w:rPr>
            <w:rStyle w:val="Hyperlink"/>
            <w:rFonts w:asciiTheme="minorHAnsi" w:hAnsiTheme="minorHAnsi" w:cstheme="minorHAnsi"/>
            <w:color w:val="000000" w:themeColor="text1"/>
            <w:sz w:val="20"/>
            <w:szCs w:val="20"/>
            <w:u w:val="none"/>
          </w:rPr>
          <w:t>1949 (3) SA 637 (A)</w:t>
        </w:r>
      </w:hyperlink>
      <w:r w:rsidRPr="00D300B8">
        <w:rPr>
          <w:rFonts w:asciiTheme="minorHAnsi" w:hAnsiTheme="minorHAnsi" w:cstheme="minorHAnsi"/>
          <w:color w:val="000000" w:themeColor="text1"/>
          <w:sz w:val="20"/>
          <w:szCs w:val="20"/>
          <w:shd w:val="clear" w:color="auto" w:fill="FFFFFF"/>
        </w:rPr>
        <w:t> at 657. See also</w:t>
      </w:r>
      <w:r w:rsidRPr="00D300B8">
        <w:rPr>
          <w:rStyle w:val="apple-converted-space"/>
          <w:rFonts w:asciiTheme="minorHAnsi" w:eastAsiaTheme="majorEastAsia" w:hAnsiTheme="minorHAnsi" w:cstheme="minorHAnsi"/>
          <w:color w:val="000000" w:themeColor="text1"/>
          <w:sz w:val="20"/>
          <w:szCs w:val="20"/>
          <w:shd w:val="clear" w:color="auto" w:fill="FFFFFF"/>
        </w:rPr>
        <w:t> </w:t>
      </w:r>
      <w:r w:rsidRPr="00D300B8">
        <w:rPr>
          <w:rFonts w:asciiTheme="minorHAnsi" w:hAnsiTheme="minorHAnsi" w:cstheme="minorHAnsi"/>
          <w:i/>
          <w:iCs/>
          <w:color w:val="000000" w:themeColor="text1"/>
          <w:sz w:val="20"/>
          <w:szCs w:val="20"/>
        </w:rPr>
        <w:t>Collin v Toffie</w:t>
      </w:r>
      <w:r w:rsidRPr="00D300B8">
        <w:rPr>
          <w:rFonts w:asciiTheme="minorHAnsi" w:hAnsiTheme="minorHAnsi" w:cstheme="minorHAnsi"/>
          <w:color w:val="000000" w:themeColor="text1"/>
          <w:sz w:val="20"/>
          <w:szCs w:val="20"/>
          <w:shd w:val="clear" w:color="auto" w:fill="FFFFFF"/>
        </w:rPr>
        <w:t> </w:t>
      </w:r>
      <w:hyperlink r:id="rId2" w:anchor="y1944ADpg456" w:history="1">
        <w:r w:rsidRPr="00D300B8">
          <w:rPr>
            <w:rStyle w:val="Hyperlink"/>
            <w:rFonts w:asciiTheme="minorHAnsi" w:hAnsiTheme="minorHAnsi" w:cstheme="minorHAnsi"/>
            <w:color w:val="000000" w:themeColor="text1"/>
            <w:sz w:val="20"/>
            <w:szCs w:val="20"/>
            <w:u w:val="none"/>
          </w:rPr>
          <w:t>1944 AD 456</w:t>
        </w:r>
      </w:hyperlink>
      <w:r w:rsidRPr="00D300B8">
        <w:rPr>
          <w:rFonts w:asciiTheme="minorHAnsi" w:hAnsiTheme="minorHAnsi" w:cstheme="minorHAnsi"/>
          <w:color w:val="000000" w:themeColor="text1"/>
          <w:sz w:val="20"/>
          <w:szCs w:val="20"/>
          <w:shd w:val="clear" w:color="auto" w:fill="FFFFFF"/>
        </w:rPr>
        <w:t> at 464;</w:t>
      </w:r>
      <w:r w:rsidRPr="00D300B8">
        <w:rPr>
          <w:rStyle w:val="apple-converted-space"/>
          <w:rFonts w:asciiTheme="minorHAnsi" w:eastAsiaTheme="majorEastAsia" w:hAnsiTheme="minorHAnsi" w:cstheme="minorHAnsi"/>
          <w:color w:val="000000" w:themeColor="text1"/>
          <w:sz w:val="20"/>
          <w:szCs w:val="20"/>
          <w:shd w:val="clear" w:color="auto" w:fill="FFFFFF"/>
        </w:rPr>
        <w:t> </w:t>
      </w:r>
      <w:r w:rsidRPr="00D300B8">
        <w:rPr>
          <w:rFonts w:asciiTheme="minorHAnsi" w:hAnsiTheme="minorHAnsi" w:cstheme="minorHAnsi"/>
          <w:i/>
          <w:iCs/>
          <w:color w:val="000000" w:themeColor="text1"/>
          <w:sz w:val="20"/>
          <w:szCs w:val="20"/>
        </w:rPr>
        <w:t>Tshandu v Swan</w:t>
      </w:r>
      <w:r w:rsidRPr="00D300B8">
        <w:rPr>
          <w:rFonts w:asciiTheme="minorHAnsi" w:hAnsiTheme="minorHAnsi" w:cstheme="minorHAnsi"/>
          <w:color w:val="000000" w:themeColor="text1"/>
          <w:sz w:val="20"/>
          <w:szCs w:val="20"/>
          <w:shd w:val="clear" w:color="auto" w:fill="FFFFFF"/>
        </w:rPr>
        <w:t> </w:t>
      </w:r>
      <w:hyperlink r:id="rId3" w:anchor="y1946ADpg10" w:history="1">
        <w:r w:rsidRPr="00D300B8">
          <w:rPr>
            <w:rStyle w:val="Hyperlink"/>
            <w:rFonts w:asciiTheme="minorHAnsi" w:hAnsiTheme="minorHAnsi" w:cstheme="minorHAnsi"/>
            <w:color w:val="000000" w:themeColor="text1"/>
            <w:sz w:val="20"/>
            <w:szCs w:val="20"/>
            <w:u w:val="none"/>
          </w:rPr>
          <w:t>1946 AD 10</w:t>
        </w:r>
      </w:hyperlink>
      <w:r w:rsidRPr="00D300B8">
        <w:rPr>
          <w:rFonts w:asciiTheme="minorHAnsi" w:hAnsiTheme="minorHAnsi" w:cstheme="minorHAnsi"/>
          <w:color w:val="000000" w:themeColor="text1"/>
          <w:sz w:val="20"/>
          <w:szCs w:val="20"/>
          <w:shd w:val="clear" w:color="auto" w:fill="FFFFFF"/>
        </w:rPr>
        <w:t> at 24–5;</w:t>
      </w:r>
      <w:r w:rsidRPr="00D300B8">
        <w:rPr>
          <w:rStyle w:val="apple-converted-space"/>
          <w:rFonts w:asciiTheme="minorHAnsi" w:eastAsiaTheme="majorEastAsia" w:hAnsiTheme="minorHAnsi" w:cstheme="minorHAnsi"/>
          <w:color w:val="000000" w:themeColor="text1"/>
          <w:sz w:val="20"/>
          <w:szCs w:val="20"/>
          <w:shd w:val="clear" w:color="auto" w:fill="FFFFFF"/>
        </w:rPr>
        <w:t> </w:t>
      </w:r>
      <w:r w:rsidRPr="00D300B8">
        <w:rPr>
          <w:rFonts w:asciiTheme="minorHAnsi" w:hAnsiTheme="minorHAnsi" w:cstheme="minorHAnsi"/>
          <w:i/>
          <w:iCs/>
          <w:color w:val="000000" w:themeColor="text1"/>
          <w:sz w:val="20"/>
          <w:szCs w:val="20"/>
        </w:rPr>
        <w:t>Home Sites (Pty) Ltd v Senekal</w:t>
      </w:r>
      <w:r w:rsidRPr="00D300B8">
        <w:rPr>
          <w:rFonts w:asciiTheme="minorHAnsi" w:hAnsiTheme="minorHAnsi" w:cstheme="minorHAnsi"/>
          <w:color w:val="000000" w:themeColor="text1"/>
          <w:sz w:val="20"/>
          <w:szCs w:val="20"/>
          <w:shd w:val="clear" w:color="auto" w:fill="FFFFFF"/>
        </w:rPr>
        <w:t> </w:t>
      </w:r>
      <w:hyperlink r:id="rId4" w:anchor="y1948v3SApg514" w:history="1">
        <w:r w:rsidRPr="00D300B8">
          <w:rPr>
            <w:rStyle w:val="Hyperlink"/>
            <w:rFonts w:asciiTheme="minorHAnsi" w:hAnsiTheme="minorHAnsi" w:cstheme="minorHAnsi"/>
            <w:color w:val="000000" w:themeColor="text1"/>
            <w:sz w:val="20"/>
            <w:szCs w:val="20"/>
            <w:u w:val="none"/>
          </w:rPr>
          <w:t>1948 (3) SA 514 (A)</w:t>
        </w:r>
      </w:hyperlink>
      <w:r w:rsidRPr="00D300B8">
        <w:rPr>
          <w:rFonts w:asciiTheme="minorHAnsi" w:hAnsiTheme="minorHAnsi" w:cstheme="minorHAnsi"/>
          <w:color w:val="000000" w:themeColor="text1"/>
          <w:sz w:val="20"/>
          <w:szCs w:val="20"/>
          <w:shd w:val="clear" w:color="auto" w:fill="FFFFFF"/>
        </w:rPr>
        <w:t> at 521;</w:t>
      </w:r>
      <w:r w:rsidRPr="00D300B8">
        <w:rPr>
          <w:rStyle w:val="apple-converted-space"/>
          <w:rFonts w:asciiTheme="minorHAnsi" w:eastAsiaTheme="majorEastAsia" w:hAnsiTheme="minorHAnsi" w:cstheme="minorHAnsi"/>
          <w:color w:val="000000" w:themeColor="text1"/>
          <w:sz w:val="20"/>
          <w:szCs w:val="20"/>
          <w:shd w:val="clear" w:color="auto" w:fill="FFFFFF"/>
        </w:rPr>
        <w:t> </w:t>
      </w:r>
      <w:r w:rsidRPr="00D300B8">
        <w:rPr>
          <w:rFonts w:asciiTheme="minorHAnsi" w:hAnsiTheme="minorHAnsi" w:cstheme="minorHAnsi"/>
          <w:i/>
          <w:iCs/>
          <w:color w:val="000000" w:themeColor="text1"/>
          <w:sz w:val="20"/>
          <w:szCs w:val="20"/>
        </w:rPr>
        <w:t>Benson v Joelson</w:t>
      </w:r>
      <w:r w:rsidRPr="00D300B8">
        <w:rPr>
          <w:rFonts w:asciiTheme="minorHAnsi" w:hAnsiTheme="minorHAnsi" w:cstheme="minorHAnsi"/>
          <w:color w:val="000000" w:themeColor="text1"/>
          <w:sz w:val="20"/>
          <w:szCs w:val="20"/>
          <w:shd w:val="clear" w:color="auto" w:fill="FFFFFF"/>
        </w:rPr>
        <w:t> </w:t>
      </w:r>
      <w:hyperlink r:id="rId5" w:anchor="y1985v3SApg566" w:history="1">
        <w:r w:rsidRPr="00D300B8">
          <w:rPr>
            <w:rStyle w:val="Hyperlink"/>
            <w:rFonts w:asciiTheme="minorHAnsi" w:hAnsiTheme="minorHAnsi" w:cstheme="minorHAnsi"/>
            <w:color w:val="000000" w:themeColor="text1"/>
            <w:sz w:val="20"/>
            <w:szCs w:val="20"/>
            <w:u w:val="none"/>
          </w:rPr>
          <w:t>1985 (3) SA 566 (C)</w:t>
        </w:r>
      </w:hyperlink>
      <w:r w:rsidRPr="00D300B8">
        <w:rPr>
          <w:rFonts w:asciiTheme="minorHAnsi" w:hAnsiTheme="minorHAnsi" w:cstheme="minorHAnsi"/>
          <w:color w:val="000000" w:themeColor="text1"/>
          <w:sz w:val="20"/>
          <w:szCs w:val="20"/>
          <w:shd w:val="clear" w:color="auto" w:fill="FFFFFF"/>
        </w:rPr>
        <w:t> at 569F–570B;</w:t>
      </w:r>
      <w:r w:rsidRPr="00D300B8">
        <w:rPr>
          <w:rStyle w:val="apple-converted-space"/>
          <w:rFonts w:asciiTheme="minorHAnsi" w:eastAsiaTheme="majorEastAsia" w:hAnsiTheme="minorHAnsi" w:cstheme="minorHAnsi"/>
          <w:color w:val="000000" w:themeColor="text1"/>
          <w:sz w:val="20"/>
          <w:szCs w:val="20"/>
          <w:shd w:val="clear" w:color="auto" w:fill="FFFFFF"/>
        </w:rPr>
        <w:t> </w:t>
      </w:r>
      <w:r w:rsidRPr="00D300B8">
        <w:rPr>
          <w:rFonts w:asciiTheme="minorHAnsi" w:hAnsiTheme="minorHAnsi" w:cstheme="minorHAnsi"/>
          <w:i/>
          <w:iCs/>
          <w:color w:val="000000" w:themeColor="text1"/>
          <w:sz w:val="20"/>
          <w:szCs w:val="20"/>
        </w:rPr>
        <w:t>Segal v Segil</w:t>
      </w:r>
      <w:r w:rsidRPr="00D300B8">
        <w:rPr>
          <w:rFonts w:asciiTheme="minorHAnsi" w:hAnsiTheme="minorHAnsi" w:cstheme="minorHAnsi"/>
          <w:color w:val="000000" w:themeColor="text1"/>
          <w:sz w:val="20"/>
          <w:szCs w:val="20"/>
          <w:shd w:val="clear" w:color="auto" w:fill="FFFFFF"/>
        </w:rPr>
        <w:t> </w:t>
      </w:r>
      <w:hyperlink r:id="rId6" w:anchor="y1992v3SApg136" w:history="1">
        <w:r w:rsidRPr="00D300B8">
          <w:rPr>
            <w:rStyle w:val="Hyperlink"/>
            <w:rFonts w:asciiTheme="minorHAnsi" w:hAnsiTheme="minorHAnsi" w:cstheme="minorHAnsi"/>
            <w:color w:val="000000" w:themeColor="text1"/>
            <w:sz w:val="20"/>
            <w:szCs w:val="20"/>
            <w:u w:val="none"/>
          </w:rPr>
          <w:t>1992 (3) SA 136 (C)</w:t>
        </w:r>
      </w:hyperlink>
      <w:r w:rsidRPr="00D300B8">
        <w:rPr>
          <w:rFonts w:asciiTheme="minorHAnsi" w:hAnsiTheme="minorHAnsi" w:cstheme="minorHAnsi"/>
          <w:color w:val="000000" w:themeColor="text1"/>
          <w:sz w:val="20"/>
          <w:szCs w:val="20"/>
          <w:shd w:val="clear" w:color="auto" w:fill="FFFFFF"/>
        </w:rPr>
        <w:t> at 141A–C;</w:t>
      </w:r>
      <w:r w:rsidRPr="00D300B8">
        <w:rPr>
          <w:rStyle w:val="apple-converted-space"/>
          <w:rFonts w:asciiTheme="minorHAnsi" w:eastAsiaTheme="majorEastAsia" w:hAnsiTheme="minorHAnsi" w:cstheme="minorHAnsi"/>
          <w:color w:val="000000" w:themeColor="text1"/>
          <w:sz w:val="20"/>
          <w:szCs w:val="20"/>
          <w:shd w:val="clear" w:color="auto" w:fill="FFFFFF"/>
        </w:rPr>
        <w:t> </w:t>
      </w:r>
      <w:r w:rsidRPr="00D300B8">
        <w:rPr>
          <w:rFonts w:asciiTheme="minorHAnsi" w:hAnsiTheme="minorHAnsi" w:cstheme="minorHAnsi"/>
          <w:i/>
          <w:iCs/>
          <w:color w:val="000000" w:themeColor="text1"/>
          <w:sz w:val="20"/>
          <w:szCs w:val="20"/>
        </w:rPr>
        <w:t>New Garden Cities Incorporated Association Not for Gain v Adhikarie</w:t>
      </w:r>
      <w:r w:rsidRPr="00D300B8">
        <w:rPr>
          <w:rFonts w:asciiTheme="minorHAnsi" w:hAnsiTheme="minorHAnsi" w:cstheme="minorHAnsi"/>
          <w:color w:val="000000" w:themeColor="text1"/>
          <w:sz w:val="20"/>
          <w:szCs w:val="20"/>
          <w:shd w:val="clear" w:color="auto" w:fill="FFFFFF"/>
        </w:rPr>
        <w:t> </w:t>
      </w:r>
      <w:hyperlink r:id="rId7" w:anchor="y1998v3SApg626" w:history="1">
        <w:r w:rsidRPr="00D300B8">
          <w:rPr>
            <w:rStyle w:val="Hyperlink"/>
            <w:rFonts w:asciiTheme="minorHAnsi" w:hAnsiTheme="minorHAnsi" w:cstheme="minorHAnsi"/>
            <w:color w:val="000000" w:themeColor="text1"/>
            <w:sz w:val="20"/>
            <w:szCs w:val="20"/>
            <w:u w:val="none"/>
          </w:rPr>
          <w:t>1998 (3) SA 626 (C)</w:t>
        </w:r>
      </w:hyperlink>
      <w:r w:rsidRPr="00D300B8">
        <w:rPr>
          <w:rFonts w:asciiTheme="minorHAnsi" w:hAnsiTheme="minorHAnsi" w:cstheme="minorHAnsi"/>
          <w:color w:val="000000" w:themeColor="text1"/>
          <w:sz w:val="20"/>
          <w:szCs w:val="20"/>
          <w:shd w:val="clear" w:color="auto" w:fill="FFFFFF"/>
        </w:rPr>
        <w:t> at 631C;</w:t>
      </w:r>
      <w:r w:rsidRPr="00D300B8">
        <w:rPr>
          <w:rStyle w:val="apple-converted-space"/>
          <w:rFonts w:asciiTheme="minorHAnsi" w:eastAsiaTheme="majorEastAsia" w:hAnsiTheme="minorHAnsi" w:cstheme="minorHAnsi"/>
          <w:color w:val="000000" w:themeColor="text1"/>
          <w:sz w:val="20"/>
          <w:szCs w:val="20"/>
          <w:shd w:val="clear" w:color="auto" w:fill="FFFFFF"/>
        </w:rPr>
        <w:t> </w:t>
      </w:r>
      <w:r w:rsidRPr="00D300B8">
        <w:rPr>
          <w:rFonts w:asciiTheme="minorHAnsi" w:hAnsiTheme="minorHAnsi" w:cstheme="minorHAnsi"/>
          <w:i/>
          <w:iCs/>
          <w:color w:val="000000" w:themeColor="text1"/>
          <w:sz w:val="20"/>
          <w:szCs w:val="20"/>
        </w:rPr>
        <w:t>Transvaal Agricultural Union v Minister of Agriculture and Land Affairs</w:t>
      </w:r>
      <w:r w:rsidRPr="00D300B8">
        <w:rPr>
          <w:rFonts w:asciiTheme="minorHAnsi" w:hAnsiTheme="minorHAnsi" w:cstheme="minorHAnsi"/>
          <w:color w:val="000000" w:themeColor="text1"/>
          <w:sz w:val="20"/>
          <w:szCs w:val="20"/>
          <w:shd w:val="clear" w:color="auto" w:fill="FFFFFF"/>
        </w:rPr>
        <w:t> </w:t>
      </w:r>
      <w:hyperlink r:id="rId8" w:anchor="y2005v4SApg212" w:history="1">
        <w:r w:rsidRPr="00D300B8">
          <w:rPr>
            <w:rStyle w:val="Hyperlink"/>
            <w:rFonts w:asciiTheme="minorHAnsi" w:hAnsiTheme="minorHAnsi" w:cstheme="minorHAnsi"/>
            <w:color w:val="000000" w:themeColor="text1"/>
            <w:sz w:val="20"/>
            <w:szCs w:val="20"/>
            <w:u w:val="none"/>
          </w:rPr>
          <w:t>2005 (4) SA 212 (SCA)</w:t>
        </w:r>
      </w:hyperlink>
      <w:r w:rsidRPr="00D300B8">
        <w:rPr>
          <w:rFonts w:asciiTheme="minorHAnsi" w:hAnsiTheme="minorHAnsi" w:cstheme="minorHAnsi"/>
          <w:color w:val="000000" w:themeColor="text1"/>
          <w:sz w:val="20"/>
          <w:szCs w:val="20"/>
          <w:shd w:val="clear" w:color="auto" w:fill="FFFFFF"/>
        </w:rPr>
        <w:t> at 226F–227F;</w:t>
      </w:r>
      <w:r w:rsidRPr="00D300B8">
        <w:rPr>
          <w:rStyle w:val="apple-converted-space"/>
          <w:rFonts w:asciiTheme="minorHAnsi" w:eastAsiaTheme="majorEastAsia" w:hAnsiTheme="minorHAnsi" w:cstheme="minorHAnsi"/>
          <w:color w:val="000000" w:themeColor="text1"/>
          <w:sz w:val="20"/>
          <w:szCs w:val="20"/>
          <w:shd w:val="clear" w:color="auto" w:fill="FFFFFF"/>
        </w:rPr>
        <w:t> </w:t>
      </w:r>
      <w:r w:rsidRPr="00D300B8">
        <w:rPr>
          <w:rFonts w:asciiTheme="minorHAnsi" w:hAnsiTheme="minorHAnsi" w:cstheme="minorHAnsi"/>
          <w:i/>
          <w:iCs/>
          <w:color w:val="000000" w:themeColor="text1"/>
          <w:sz w:val="20"/>
          <w:szCs w:val="20"/>
        </w:rPr>
        <w:t>Davids v Van Straaten</w:t>
      </w:r>
      <w:r w:rsidRPr="00D300B8">
        <w:rPr>
          <w:rFonts w:asciiTheme="minorHAnsi" w:hAnsiTheme="minorHAnsi" w:cstheme="minorHAnsi"/>
          <w:color w:val="000000" w:themeColor="text1"/>
          <w:sz w:val="20"/>
          <w:szCs w:val="20"/>
          <w:shd w:val="clear" w:color="auto" w:fill="FFFFFF"/>
        </w:rPr>
        <w:t> </w:t>
      </w:r>
      <w:hyperlink r:id="rId9" w:anchor="y2005v4SApg468" w:history="1">
        <w:r w:rsidRPr="00D300B8">
          <w:rPr>
            <w:rStyle w:val="Hyperlink"/>
            <w:rFonts w:asciiTheme="minorHAnsi" w:hAnsiTheme="minorHAnsi" w:cstheme="minorHAnsi"/>
            <w:color w:val="000000" w:themeColor="text1"/>
            <w:sz w:val="20"/>
            <w:szCs w:val="20"/>
            <w:u w:val="none"/>
          </w:rPr>
          <w:t>2005 (4) SA 468 (C)</w:t>
        </w:r>
      </w:hyperlink>
      <w:r w:rsidRPr="00D300B8">
        <w:rPr>
          <w:rFonts w:asciiTheme="minorHAnsi" w:hAnsiTheme="minorHAnsi" w:cstheme="minorHAnsi"/>
          <w:color w:val="000000" w:themeColor="text1"/>
          <w:sz w:val="20"/>
          <w:szCs w:val="20"/>
          <w:shd w:val="clear" w:color="auto" w:fill="FFFFFF"/>
        </w:rPr>
        <w:t> at 487B–C;</w:t>
      </w:r>
      <w:r w:rsidRPr="00D300B8">
        <w:rPr>
          <w:rStyle w:val="apple-converted-space"/>
          <w:rFonts w:asciiTheme="minorHAnsi" w:eastAsiaTheme="majorEastAsia" w:hAnsiTheme="minorHAnsi" w:cstheme="minorHAnsi"/>
          <w:color w:val="000000" w:themeColor="text1"/>
          <w:sz w:val="20"/>
          <w:szCs w:val="20"/>
          <w:shd w:val="clear" w:color="auto" w:fill="FFFFFF"/>
        </w:rPr>
        <w:t> </w:t>
      </w:r>
      <w:r w:rsidRPr="00D300B8">
        <w:rPr>
          <w:rFonts w:asciiTheme="minorHAnsi" w:hAnsiTheme="minorHAnsi" w:cstheme="minorHAnsi"/>
          <w:i/>
          <w:iCs/>
          <w:color w:val="000000" w:themeColor="text1"/>
          <w:sz w:val="20"/>
          <w:szCs w:val="20"/>
        </w:rPr>
        <w:t>Sikutshwa v MEC for Social Development, Eastern Cape</w:t>
      </w:r>
      <w:r w:rsidRPr="00D300B8">
        <w:rPr>
          <w:rFonts w:asciiTheme="minorHAnsi" w:hAnsiTheme="minorHAnsi" w:cstheme="minorHAnsi"/>
          <w:color w:val="000000" w:themeColor="text1"/>
          <w:sz w:val="20"/>
          <w:szCs w:val="20"/>
          <w:shd w:val="clear" w:color="auto" w:fill="FFFFFF"/>
        </w:rPr>
        <w:t> </w:t>
      </w:r>
      <w:hyperlink r:id="rId10" w:anchor="y2009v3SApg47" w:history="1">
        <w:r w:rsidRPr="00D300B8">
          <w:rPr>
            <w:rStyle w:val="Hyperlink"/>
            <w:rFonts w:asciiTheme="minorHAnsi" w:hAnsiTheme="minorHAnsi" w:cstheme="minorHAnsi"/>
            <w:color w:val="000000" w:themeColor="text1"/>
            <w:sz w:val="20"/>
            <w:szCs w:val="20"/>
            <w:u w:val="none"/>
          </w:rPr>
          <w:t>2009 (3) SA 47 (TkHC)</w:t>
        </w:r>
      </w:hyperlink>
      <w:r w:rsidRPr="00D300B8">
        <w:rPr>
          <w:rFonts w:asciiTheme="minorHAnsi" w:hAnsiTheme="minorHAnsi" w:cstheme="minorHAnsi"/>
          <w:color w:val="000000" w:themeColor="text1"/>
          <w:sz w:val="20"/>
          <w:szCs w:val="20"/>
          <w:shd w:val="clear" w:color="auto" w:fill="FFFFFF"/>
        </w:rPr>
        <w:t> at 56I–57A.</w:t>
      </w:r>
    </w:p>
  </w:footnote>
  <w:footnote w:id="2">
    <w:p w14:paraId="3A2EACA0" w14:textId="61795978" w:rsidR="000C186B" w:rsidRPr="00330C8A" w:rsidRDefault="000C186B" w:rsidP="00330C8A">
      <w:pPr>
        <w:jc w:val="both"/>
        <w:rPr>
          <w:rFonts w:asciiTheme="minorHAnsi" w:hAnsiTheme="minorHAnsi" w:cstheme="minorHAnsi"/>
          <w:color w:val="000000" w:themeColor="text1"/>
          <w:sz w:val="20"/>
          <w:szCs w:val="20"/>
        </w:rPr>
      </w:pPr>
      <w:r w:rsidRPr="00D300B8">
        <w:rPr>
          <w:rStyle w:val="FootnoteReference"/>
          <w:rFonts w:asciiTheme="minorHAnsi" w:hAnsiTheme="minorHAnsi" w:cstheme="minorHAnsi"/>
          <w:color w:val="000000" w:themeColor="text1"/>
          <w:sz w:val="20"/>
          <w:szCs w:val="20"/>
        </w:rPr>
        <w:footnoteRef/>
      </w:r>
      <w:r w:rsidRPr="00D300B8">
        <w:rPr>
          <w:rFonts w:asciiTheme="minorHAnsi" w:hAnsiTheme="minorHAnsi" w:cstheme="minorHAnsi"/>
          <w:color w:val="000000" w:themeColor="text1"/>
          <w:sz w:val="20"/>
          <w:szCs w:val="20"/>
        </w:rPr>
        <w:t xml:space="preserve"> </w:t>
      </w:r>
      <w:r w:rsidRPr="00D300B8">
        <w:rPr>
          <w:rFonts w:asciiTheme="minorHAnsi" w:hAnsiTheme="minorHAnsi" w:cstheme="minorHAnsi"/>
          <w:i/>
          <w:iCs/>
          <w:color w:val="000000" w:themeColor="text1"/>
          <w:sz w:val="20"/>
          <w:szCs w:val="20"/>
        </w:rPr>
        <w:t>Henri Viljoen (Pty) Ltd v Awerbuch Bros</w:t>
      </w:r>
      <w:r w:rsidRPr="00D300B8">
        <w:rPr>
          <w:rFonts w:asciiTheme="minorHAnsi" w:hAnsiTheme="minorHAnsi" w:cstheme="minorHAnsi"/>
          <w:color w:val="000000" w:themeColor="text1"/>
          <w:sz w:val="20"/>
          <w:szCs w:val="20"/>
          <w:shd w:val="clear" w:color="auto" w:fill="FFFFFF"/>
        </w:rPr>
        <w:t> </w:t>
      </w:r>
      <w:hyperlink r:id="rId11" w:anchor="y1953v2SApg151" w:history="1">
        <w:r w:rsidRPr="00D300B8">
          <w:rPr>
            <w:rStyle w:val="Hyperlink"/>
            <w:rFonts w:asciiTheme="minorHAnsi" w:hAnsiTheme="minorHAnsi" w:cstheme="minorHAnsi"/>
            <w:color w:val="000000" w:themeColor="text1"/>
            <w:sz w:val="20"/>
            <w:szCs w:val="20"/>
            <w:u w:val="none"/>
          </w:rPr>
          <w:t>1953 (2) SA 151 (O)</w:t>
        </w:r>
      </w:hyperlink>
      <w:r w:rsidRPr="00D300B8">
        <w:rPr>
          <w:rFonts w:asciiTheme="minorHAnsi" w:hAnsiTheme="minorHAnsi" w:cstheme="minorHAnsi"/>
          <w:color w:val="000000" w:themeColor="text1"/>
          <w:sz w:val="20"/>
          <w:szCs w:val="20"/>
          <w:shd w:val="clear" w:color="auto" w:fill="FFFFFF"/>
        </w:rPr>
        <w:t> at 168–70.</w:t>
      </w:r>
    </w:p>
  </w:footnote>
  <w:footnote w:id="3">
    <w:p w14:paraId="2BA1543D" w14:textId="2270209A" w:rsidR="00D300B8" w:rsidRPr="00330C8A" w:rsidRDefault="00D300B8" w:rsidP="00330C8A">
      <w:pPr>
        <w:jc w:val="both"/>
        <w:rPr>
          <w:rFonts w:asciiTheme="minorHAnsi" w:hAnsiTheme="minorHAnsi" w:cstheme="minorHAnsi"/>
          <w:color w:val="000000" w:themeColor="text1"/>
          <w:sz w:val="20"/>
          <w:szCs w:val="20"/>
        </w:rPr>
      </w:pPr>
      <w:r w:rsidRPr="00D300B8">
        <w:rPr>
          <w:rStyle w:val="FootnoteReference"/>
          <w:rFonts w:asciiTheme="minorHAnsi" w:hAnsiTheme="minorHAnsi" w:cstheme="minorHAnsi"/>
          <w:color w:val="000000" w:themeColor="text1"/>
          <w:sz w:val="20"/>
          <w:szCs w:val="20"/>
        </w:rPr>
        <w:footnoteRef/>
      </w:r>
      <w:r w:rsidRPr="00D300B8">
        <w:rPr>
          <w:rFonts w:asciiTheme="minorHAnsi" w:hAnsiTheme="minorHAnsi" w:cstheme="minorHAnsi"/>
          <w:color w:val="000000" w:themeColor="text1"/>
          <w:sz w:val="20"/>
          <w:szCs w:val="20"/>
        </w:rPr>
        <w:t xml:space="preserve"> </w:t>
      </w:r>
      <w:r w:rsidRPr="00D300B8">
        <w:rPr>
          <w:rStyle w:val="italic"/>
          <w:rFonts w:asciiTheme="minorHAnsi" w:hAnsiTheme="minorHAnsi" w:cstheme="minorHAnsi"/>
          <w:i/>
          <w:iCs/>
          <w:color w:val="000000" w:themeColor="text1"/>
          <w:sz w:val="20"/>
          <w:szCs w:val="20"/>
        </w:rPr>
        <w:t>Judicial Service Commission v Cape Bar Council</w:t>
      </w:r>
      <w:r w:rsidRPr="00D300B8">
        <w:rPr>
          <w:rStyle w:val="apple-converted-space"/>
          <w:rFonts w:asciiTheme="minorHAnsi" w:hAnsiTheme="minorHAnsi" w:cstheme="minorHAnsi"/>
          <w:color w:val="000000" w:themeColor="text1"/>
          <w:sz w:val="20"/>
          <w:szCs w:val="20"/>
        </w:rPr>
        <w:t> </w:t>
      </w:r>
      <w:hyperlink r:id="rId12" w:anchor="y2013v1SApg170" w:history="1">
        <w:r w:rsidRPr="00D300B8">
          <w:rPr>
            <w:rStyle w:val="Hyperlink"/>
            <w:rFonts w:asciiTheme="minorHAnsi" w:eastAsiaTheme="majorEastAsia" w:hAnsiTheme="minorHAnsi" w:cstheme="minorHAnsi"/>
            <w:color w:val="000000" w:themeColor="text1"/>
            <w:sz w:val="20"/>
            <w:szCs w:val="20"/>
            <w:u w:val="none"/>
          </w:rPr>
          <w:t>2013 (1) SA 170 (SCA)</w:t>
        </w:r>
      </w:hyperlink>
      <w:r w:rsidRPr="00D300B8">
        <w:rPr>
          <w:rFonts w:asciiTheme="minorHAnsi" w:hAnsiTheme="minorHAnsi" w:cstheme="minorHAnsi"/>
          <w:color w:val="000000" w:themeColor="text1"/>
          <w:sz w:val="20"/>
          <w:szCs w:val="20"/>
          <w:shd w:val="clear" w:color="auto" w:fill="FFFFFF"/>
        </w:rPr>
        <w:t> at 176I–177A;</w:t>
      </w:r>
      <w:r w:rsidRPr="00D300B8">
        <w:rPr>
          <w:rStyle w:val="apple-converted-space"/>
          <w:rFonts w:asciiTheme="minorHAnsi" w:hAnsiTheme="minorHAnsi" w:cstheme="minorHAnsi"/>
          <w:color w:val="000000" w:themeColor="text1"/>
          <w:sz w:val="20"/>
          <w:szCs w:val="20"/>
          <w:shd w:val="clear" w:color="auto" w:fill="FFFFFF"/>
        </w:rPr>
        <w:t> </w:t>
      </w:r>
      <w:r w:rsidRPr="00D300B8">
        <w:rPr>
          <w:rStyle w:val="italic"/>
          <w:rFonts w:asciiTheme="minorHAnsi" w:hAnsiTheme="minorHAnsi" w:cstheme="minorHAnsi"/>
          <w:i/>
          <w:iCs/>
          <w:color w:val="000000" w:themeColor="text1"/>
          <w:sz w:val="20"/>
          <w:szCs w:val="20"/>
        </w:rPr>
        <w:t>Lawrence v Magistrates Commission</w:t>
      </w:r>
      <w:r w:rsidRPr="00D300B8">
        <w:rPr>
          <w:rFonts w:asciiTheme="minorHAnsi" w:hAnsiTheme="minorHAnsi" w:cstheme="minorHAnsi"/>
          <w:color w:val="000000" w:themeColor="text1"/>
          <w:sz w:val="20"/>
          <w:szCs w:val="20"/>
          <w:shd w:val="clear" w:color="auto" w:fill="FFFFFF"/>
        </w:rPr>
        <w:t> </w:t>
      </w:r>
      <w:hyperlink r:id="rId13" w:anchor="y2020v2SApg526" w:history="1">
        <w:r w:rsidRPr="00D300B8">
          <w:rPr>
            <w:rStyle w:val="Hyperlink"/>
            <w:rFonts w:asciiTheme="minorHAnsi" w:eastAsiaTheme="majorEastAsia" w:hAnsiTheme="minorHAnsi" w:cstheme="minorHAnsi"/>
            <w:color w:val="000000" w:themeColor="text1"/>
            <w:sz w:val="20"/>
            <w:szCs w:val="20"/>
            <w:u w:val="none"/>
          </w:rPr>
          <w:t>2020 (2) SA 526 (FB)</w:t>
        </w:r>
      </w:hyperlink>
      <w:r w:rsidRPr="00D300B8">
        <w:rPr>
          <w:rFonts w:asciiTheme="minorHAnsi" w:hAnsiTheme="minorHAnsi" w:cstheme="minorHAnsi"/>
          <w:color w:val="000000" w:themeColor="text1"/>
          <w:sz w:val="20"/>
          <w:szCs w:val="20"/>
          <w:shd w:val="clear" w:color="auto" w:fill="FFFFFF"/>
        </w:rPr>
        <w:t> at para 27</w:t>
      </w:r>
    </w:p>
  </w:footnote>
  <w:footnote w:id="4">
    <w:p w14:paraId="67296107" w14:textId="3A293C43" w:rsidR="00D300B8" w:rsidRPr="00D300B8" w:rsidRDefault="00D300B8" w:rsidP="00D300B8">
      <w:pPr>
        <w:jc w:val="both"/>
        <w:rPr>
          <w:rFonts w:asciiTheme="minorHAnsi" w:hAnsiTheme="minorHAnsi" w:cstheme="minorHAnsi"/>
          <w:sz w:val="20"/>
          <w:szCs w:val="20"/>
        </w:rPr>
      </w:pPr>
      <w:r w:rsidRPr="00D300B8">
        <w:rPr>
          <w:rStyle w:val="FootnoteReference"/>
          <w:rFonts w:asciiTheme="minorHAnsi" w:hAnsiTheme="minorHAnsi" w:cstheme="minorHAnsi"/>
          <w:sz w:val="20"/>
          <w:szCs w:val="20"/>
        </w:rPr>
        <w:footnoteRef/>
      </w:r>
      <w:r w:rsidRPr="00D300B8">
        <w:rPr>
          <w:rFonts w:asciiTheme="minorHAnsi" w:hAnsiTheme="minorHAnsi" w:cstheme="minorHAnsi"/>
          <w:sz w:val="20"/>
          <w:szCs w:val="20"/>
        </w:rPr>
        <w:t xml:space="preserve"> </w:t>
      </w:r>
      <w:r w:rsidRPr="00330C8A">
        <w:rPr>
          <w:rStyle w:val="italic"/>
          <w:rFonts w:asciiTheme="minorHAnsi" w:hAnsiTheme="minorHAnsi" w:cstheme="minorHAnsi"/>
          <w:i/>
          <w:iCs/>
          <w:color w:val="000000" w:themeColor="text1"/>
          <w:sz w:val="20"/>
          <w:szCs w:val="20"/>
        </w:rPr>
        <w:t>One South Africa Movement v President of the RSA</w:t>
      </w:r>
      <w:r w:rsidRPr="00330C8A">
        <w:rPr>
          <w:rFonts w:asciiTheme="minorHAnsi" w:hAnsiTheme="minorHAnsi" w:cstheme="minorHAnsi"/>
          <w:color w:val="000000" w:themeColor="text1"/>
          <w:sz w:val="20"/>
          <w:szCs w:val="20"/>
          <w:shd w:val="clear" w:color="auto" w:fill="FFFFFF"/>
        </w:rPr>
        <w:t> </w:t>
      </w:r>
      <w:hyperlink r:id="rId14" w:anchor="y2020v5SApg576" w:history="1">
        <w:r w:rsidRPr="00D300B8">
          <w:rPr>
            <w:rStyle w:val="Hyperlink"/>
            <w:rFonts w:asciiTheme="minorHAnsi" w:hAnsiTheme="minorHAnsi" w:cstheme="minorHAnsi"/>
            <w:color w:val="000000" w:themeColor="text1"/>
            <w:sz w:val="20"/>
            <w:szCs w:val="20"/>
            <w:u w:val="none"/>
          </w:rPr>
          <w:t>2020 (5) SA 576 (GP)</w:t>
        </w:r>
      </w:hyperlink>
      <w:r w:rsidRPr="00D300B8">
        <w:rPr>
          <w:rFonts w:asciiTheme="minorHAnsi" w:hAnsiTheme="minorHAnsi" w:cstheme="minorHAnsi"/>
          <w:color w:val="2C3E50"/>
          <w:sz w:val="20"/>
          <w:szCs w:val="20"/>
          <w:shd w:val="clear" w:color="auto" w:fill="FFFFFF"/>
        </w:rPr>
        <w:t> at para 22.</w:t>
      </w:r>
      <w:r w:rsidRPr="00D300B8">
        <w:rPr>
          <w:rStyle w:val="apple-converted-space"/>
          <w:rFonts w:asciiTheme="minorHAnsi" w:hAnsiTheme="minorHAnsi" w:cstheme="minorHAnsi"/>
          <w:color w:val="2C3E50"/>
          <w:sz w:val="20"/>
          <w:szCs w:val="20"/>
          <w:shd w:val="clear" w:color="auto" w:fill="FFFFFF"/>
        </w:rPr>
        <w:t> </w:t>
      </w:r>
    </w:p>
  </w:footnote>
  <w:footnote w:id="5">
    <w:p w14:paraId="397C4493" w14:textId="77777777" w:rsidR="00120505" w:rsidRPr="00B54FAD" w:rsidRDefault="00120505">
      <w:pPr>
        <w:pStyle w:val="FootnoteText"/>
        <w:rPr>
          <w:lang w:val="en-US"/>
        </w:rPr>
      </w:pPr>
      <w:r>
        <w:rPr>
          <w:rStyle w:val="FootnoteReference"/>
        </w:rPr>
        <w:footnoteRef/>
      </w:r>
      <w:r>
        <w:t xml:space="preserve"> </w:t>
      </w:r>
      <w:r w:rsidR="00B54FAD">
        <w:rPr>
          <w:i/>
          <w:iCs/>
          <w:lang w:val="en-US"/>
        </w:rPr>
        <w:t>Stellenbosch Farmers Winery Ltd v Stellenvale Winery (Pty) Ltd</w:t>
      </w:r>
      <w:r w:rsidR="00B54FAD">
        <w:rPr>
          <w:lang w:val="en-US"/>
        </w:rPr>
        <w:t xml:space="preserve"> 1957 (4) SA 234 (C) at 235.  </w:t>
      </w:r>
    </w:p>
  </w:footnote>
  <w:footnote w:id="6">
    <w:p w14:paraId="6F5F9EFB" w14:textId="77777777" w:rsidR="00B54FAD" w:rsidRPr="00B54FAD" w:rsidRDefault="00B54FAD">
      <w:pPr>
        <w:pStyle w:val="FootnoteText"/>
        <w:rPr>
          <w:lang w:val="en-US"/>
        </w:rPr>
      </w:pPr>
      <w:r>
        <w:rPr>
          <w:rStyle w:val="FootnoteReference"/>
        </w:rPr>
        <w:footnoteRef/>
      </w:r>
      <w:r>
        <w:t xml:space="preserve"> </w:t>
      </w:r>
      <w:r>
        <w:rPr>
          <w:i/>
          <w:iCs/>
          <w:lang w:val="en-US"/>
        </w:rPr>
        <w:t>NDPP v Zuma</w:t>
      </w:r>
      <w:r>
        <w:rPr>
          <w:lang w:val="en-US"/>
        </w:rPr>
        <w:t xml:space="preserve"> 2009 (2) SA 277 (SCA) at 290F. </w:t>
      </w:r>
    </w:p>
  </w:footnote>
  <w:footnote w:id="7">
    <w:p w14:paraId="4262EC62" w14:textId="77777777" w:rsidR="00B54FAD" w:rsidRPr="00B54FAD" w:rsidRDefault="00B54FAD">
      <w:pPr>
        <w:pStyle w:val="FootnoteText"/>
        <w:rPr>
          <w:lang w:val="en-US"/>
        </w:rPr>
      </w:pPr>
      <w:r>
        <w:rPr>
          <w:rStyle w:val="FootnoteReference"/>
        </w:rPr>
        <w:footnoteRef/>
      </w:r>
      <w:r>
        <w:t xml:space="preserve"> </w:t>
      </w:r>
      <w:r>
        <w:rPr>
          <w:i/>
          <w:iCs/>
          <w:lang w:val="en-US"/>
        </w:rPr>
        <w:t>Soffiantini v Mould</w:t>
      </w:r>
      <w:r>
        <w:rPr>
          <w:lang w:val="en-US"/>
        </w:rPr>
        <w:t xml:space="preserve"> 1956 (4) SA 150 (E) at 154G; </w:t>
      </w:r>
      <w:r>
        <w:rPr>
          <w:i/>
          <w:iCs/>
          <w:lang w:val="en-US"/>
        </w:rPr>
        <w:t>Reed v Witrup</w:t>
      </w:r>
      <w:r>
        <w:rPr>
          <w:lang w:val="en-US"/>
        </w:rPr>
        <w:t xml:space="preserve"> 1962 (4) SA 437 (D) at 433G; </w:t>
      </w:r>
      <w:r>
        <w:rPr>
          <w:i/>
          <w:iCs/>
          <w:lang w:val="en-US"/>
        </w:rPr>
        <w:t>Western Bankn Bpk v Trust Bank van Afrika Bpk</w:t>
      </w:r>
      <w:r>
        <w:rPr>
          <w:lang w:val="en-US"/>
        </w:rPr>
        <w:t xml:space="preserve"> 1977 (2) SA 1008 (O) at 1017E-H; </w:t>
      </w:r>
      <w:r>
        <w:rPr>
          <w:i/>
          <w:iCs/>
          <w:lang w:val="en-US"/>
        </w:rPr>
        <w:t>Techmed (Pty) Ltd v Hunter</w:t>
      </w:r>
      <w:r>
        <w:rPr>
          <w:lang w:val="en-US"/>
        </w:rPr>
        <w:t xml:space="preserve"> 2008 (6) SA 210 (W) at 217I – 218B.  </w:t>
      </w:r>
    </w:p>
  </w:footnote>
  <w:footnote w:id="8">
    <w:p w14:paraId="68134656" w14:textId="77777777" w:rsidR="003D7F99" w:rsidRPr="00D300B8" w:rsidRDefault="003D7F99" w:rsidP="00D300B8">
      <w:pPr>
        <w:jc w:val="both"/>
        <w:rPr>
          <w:rFonts w:asciiTheme="minorHAnsi" w:hAnsiTheme="minorHAnsi" w:cstheme="minorHAnsi"/>
          <w:color w:val="000000" w:themeColor="text1"/>
          <w:sz w:val="20"/>
          <w:szCs w:val="20"/>
        </w:rPr>
      </w:pPr>
      <w:r w:rsidRPr="00D300B8">
        <w:rPr>
          <w:rStyle w:val="FootnoteReference"/>
          <w:rFonts w:asciiTheme="minorHAnsi" w:hAnsiTheme="minorHAnsi" w:cstheme="minorHAnsi"/>
          <w:color w:val="000000" w:themeColor="text1"/>
          <w:sz w:val="20"/>
          <w:szCs w:val="20"/>
        </w:rPr>
        <w:footnoteRef/>
      </w:r>
      <w:r w:rsidRPr="00D300B8">
        <w:rPr>
          <w:rFonts w:asciiTheme="minorHAnsi" w:hAnsiTheme="minorHAnsi" w:cstheme="minorHAnsi"/>
          <w:color w:val="000000" w:themeColor="text1"/>
          <w:sz w:val="20"/>
          <w:szCs w:val="20"/>
        </w:rPr>
        <w:t xml:space="preserve"> </w:t>
      </w:r>
      <w:hyperlink r:id="rId15" w:history="1">
        <w:r w:rsidRPr="00D300B8">
          <w:rPr>
            <w:rStyle w:val="Hyperlink"/>
            <w:rFonts w:asciiTheme="minorHAnsi" w:hAnsiTheme="minorHAnsi" w:cstheme="minorHAnsi"/>
            <w:color w:val="000000" w:themeColor="text1"/>
            <w:sz w:val="20"/>
            <w:szCs w:val="20"/>
            <w:u w:val="none"/>
          </w:rPr>
          <w:t>GN R1258</w:t>
        </w:r>
      </w:hyperlink>
      <w:r w:rsidRPr="00D300B8">
        <w:rPr>
          <w:rFonts w:asciiTheme="minorHAnsi" w:hAnsiTheme="minorHAnsi" w:cstheme="minorHAnsi"/>
          <w:color w:val="000000" w:themeColor="text1"/>
          <w:sz w:val="20"/>
          <w:szCs w:val="20"/>
          <w:shd w:val="clear" w:color="auto" w:fill="FFFFFF"/>
        </w:rPr>
        <w:t> of 21 July 1972, amended by GN R1648 of 19 August 1977, by GN R1428 of 11 July 1980 and by GN R774 of 23 April 1982.</w:t>
      </w:r>
    </w:p>
    <w:p w14:paraId="467E502C" w14:textId="77777777" w:rsidR="003D7F99" w:rsidRPr="00D300B8" w:rsidRDefault="003D7F99" w:rsidP="00D300B8">
      <w:pPr>
        <w:pStyle w:val="FootnoteText"/>
        <w:rPr>
          <w:rFonts w:asciiTheme="minorHAnsi" w:hAnsiTheme="minorHAnsi" w:cstheme="minorHAnsi"/>
          <w:color w:val="000000" w:themeColor="text1"/>
          <w:lang w:val="en-US"/>
        </w:rPr>
      </w:pPr>
    </w:p>
  </w:footnote>
  <w:footnote w:id="9">
    <w:p w14:paraId="76D67648" w14:textId="77777777" w:rsidR="00B577E4" w:rsidRPr="00D300B8" w:rsidRDefault="00B577E4" w:rsidP="00D300B8">
      <w:pPr>
        <w:pStyle w:val="FootnoteText"/>
        <w:rPr>
          <w:rFonts w:asciiTheme="minorHAnsi" w:hAnsiTheme="minorHAnsi" w:cstheme="minorHAnsi"/>
          <w:color w:val="000000" w:themeColor="text1"/>
          <w:lang w:val="en-US"/>
        </w:rPr>
      </w:pPr>
      <w:r w:rsidRPr="00D300B8">
        <w:rPr>
          <w:rStyle w:val="FootnoteReference"/>
          <w:rFonts w:asciiTheme="minorHAnsi" w:hAnsiTheme="minorHAnsi" w:cstheme="minorHAnsi"/>
          <w:color w:val="000000" w:themeColor="text1"/>
          <w:sz w:val="20"/>
        </w:rPr>
        <w:footnoteRef/>
      </w:r>
      <w:r w:rsidRPr="00D300B8">
        <w:rPr>
          <w:rFonts w:asciiTheme="minorHAnsi" w:hAnsiTheme="minorHAnsi" w:cstheme="minorHAnsi"/>
          <w:color w:val="000000" w:themeColor="text1"/>
        </w:rPr>
        <w:t xml:space="preserve"> </w:t>
      </w:r>
      <w:r w:rsidRPr="00D300B8">
        <w:rPr>
          <w:rFonts w:asciiTheme="minorHAnsi" w:hAnsiTheme="minorHAnsi" w:cstheme="minorHAnsi"/>
          <w:color w:val="000000" w:themeColor="text1"/>
          <w:lang w:val="en-US"/>
        </w:rPr>
        <w:t>1992 (2) SA 703</w:t>
      </w:r>
      <w:r w:rsidR="008B0CBD" w:rsidRPr="00D300B8">
        <w:rPr>
          <w:rFonts w:asciiTheme="minorHAnsi" w:hAnsiTheme="minorHAnsi" w:cstheme="minorHAnsi"/>
          <w:color w:val="000000" w:themeColor="text1"/>
          <w:lang w:val="en-US"/>
        </w:rPr>
        <w:t xml:space="preserve"> (W).  </w:t>
      </w:r>
    </w:p>
  </w:footnote>
  <w:footnote w:id="10">
    <w:p w14:paraId="1C84A13E" w14:textId="77777777" w:rsidR="008B0CBD" w:rsidRPr="00D300B8" w:rsidRDefault="008B0CBD" w:rsidP="00D300B8">
      <w:pPr>
        <w:pStyle w:val="FootnoteText"/>
        <w:rPr>
          <w:rFonts w:asciiTheme="minorHAnsi" w:hAnsiTheme="minorHAnsi" w:cstheme="minorHAnsi"/>
          <w:color w:val="000000" w:themeColor="text1"/>
          <w:lang w:val="en-US"/>
        </w:rPr>
      </w:pPr>
      <w:r w:rsidRPr="00D300B8">
        <w:rPr>
          <w:rStyle w:val="FootnoteReference"/>
          <w:rFonts w:asciiTheme="minorHAnsi" w:hAnsiTheme="minorHAnsi" w:cstheme="minorHAnsi"/>
          <w:color w:val="000000" w:themeColor="text1"/>
          <w:sz w:val="20"/>
        </w:rPr>
        <w:footnoteRef/>
      </w:r>
      <w:r w:rsidRPr="00D300B8">
        <w:rPr>
          <w:rFonts w:asciiTheme="minorHAnsi" w:hAnsiTheme="minorHAnsi" w:cstheme="minorHAnsi"/>
          <w:color w:val="000000" w:themeColor="text1"/>
        </w:rPr>
        <w:t xml:space="preserve"> </w:t>
      </w:r>
      <w:r w:rsidRPr="00D300B8">
        <w:rPr>
          <w:rFonts w:asciiTheme="minorHAnsi" w:hAnsiTheme="minorHAnsi" w:cstheme="minorHAnsi"/>
          <w:color w:val="000000" w:themeColor="text1"/>
          <w:lang w:val="en-US"/>
        </w:rPr>
        <w:t xml:space="preserve">2005 (4) SA 199 (SCA).  </w:t>
      </w:r>
    </w:p>
  </w:footnote>
  <w:footnote w:id="11">
    <w:p w14:paraId="272A8F62" w14:textId="77777777" w:rsidR="008B0CBD" w:rsidRPr="00D300B8" w:rsidRDefault="008B0CBD" w:rsidP="00D300B8">
      <w:pPr>
        <w:pStyle w:val="FootnoteText"/>
        <w:rPr>
          <w:rFonts w:asciiTheme="minorHAnsi" w:hAnsiTheme="minorHAnsi" w:cstheme="minorHAnsi"/>
          <w:color w:val="000000" w:themeColor="text1"/>
          <w:lang w:val="en-US"/>
        </w:rPr>
      </w:pPr>
      <w:r w:rsidRPr="00D300B8">
        <w:rPr>
          <w:rStyle w:val="FootnoteReference"/>
          <w:rFonts w:asciiTheme="minorHAnsi" w:hAnsiTheme="minorHAnsi" w:cstheme="minorHAnsi"/>
          <w:color w:val="000000" w:themeColor="text1"/>
          <w:sz w:val="20"/>
        </w:rPr>
        <w:footnoteRef/>
      </w:r>
      <w:r w:rsidRPr="00D300B8">
        <w:rPr>
          <w:rFonts w:asciiTheme="minorHAnsi" w:hAnsiTheme="minorHAnsi" w:cstheme="minorHAnsi"/>
          <w:color w:val="000000" w:themeColor="text1"/>
        </w:rPr>
        <w:t xml:space="preserve"> </w:t>
      </w:r>
      <w:r w:rsidRPr="00D300B8">
        <w:rPr>
          <w:rFonts w:asciiTheme="minorHAnsi" w:hAnsiTheme="minorHAnsi" w:cstheme="minorHAnsi"/>
          <w:color w:val="000000" w:themeColor="text1"/>
          <w:lang w:val="en-US"/>
        </w:rPr>
        <w:t xml:space="preserve">2004 (4) SA 615 (SCA) at 624I – 625A.  </w:t>
      </w:r>
    </w:p>
  </w:footnote>
  <w:footnote w:id="12">
    <w:p w14:paraId="26CB5D7F" w14:textId="77777777" w:rsidR="00764C6E" w:rsidRPr="00D300B8" w:rsidRDefault="00764C6E" w:rsidP="00D300B8">
      <w:pPr>
        <w:pStyle w:val="FootnoteText"/>
        <w:rPr>
          <w:rFonts w:asciiTheme="minorHAnsi" w:hAnsiTheme="minorHAnsi" w:cstheme="minorHAnsi"/>
          <w:color w:val="000000" w:themeColor="text1"/>
          <w:lang w:val="en-US"/>
        </w:rPr>
      </w:pPr>
      <w:r w:rsidRPr="00D300B8">
        <w:rPr>
          <w:rStyle w:val="FootnoteReference"/>
          <w:rFonts w:asciiTheme="minorHAnsi" w:hAnsiTheme="minorHAnsi" w:cstheme="minorHAnsi"/>
          <w:color w:val="000000" w:themeColor="text1"/>
          <w:sz w:val="20"/>
        </w:rPr>
        <w:footnoteRef/>
      </w:r>
      <w:r w:rsidRPr="00D300B8">
        <w:rPr>
          <w:rFonts w:asciiTheme="minorHAnsi" w:hAnsiTheme="minorHAnsi" w:cstheme="minorHAnsi"/>
          <w:color w:val="000000" w:themeColor="text1"/>
        </w:rPr>
        <w:t xml:space="preserve"> </w:t>
      </w:r>
      <w:r w:rsidRPr="00D300B8">
        <w:rPr>
          <w:rFonts w:asciiTheme="minorHAnsi" w:hAnsiTheme="minorHAnsi" w:cstheme="minorHAnsi"/>
          <w:color w:val="000000" w:themeColor="text1"/>
          <w:lang w:val="en-US"/>
        </w:rPr>
        <w:t>1959 (4) SA 115 (W) at 117C-G.</w:t>
      </w:r>
    </w:p>
  </w:footnote>
  <w:footnote w:id="13">
    <w:p w14:paraId="62CEA222" w14:textId="77777777" w:rsidR="00764C6E" w:rsidRPr="00D300B8" w:rsidRDefault="00764C6E" w:rsidP="00D300B8">
      <w:pPr>
        <w:pStyle w:val="FootnoteText"/>
        <w:rPr>
          <w:rFonts w:asciiTheme="minorHAnsi" w:hAnsiTheme="minorHAnsi" w:cstheme="minorHAnsi"/>
          <w:color w:val="000000" w:themeColor="text1"/>
          <w:lang w:val="en-US"/>
        </w:rPr>
      </w:pPr>
      <w:r w:rsidRPr="00D300B8">
        <w:rPr>
          <w:rStyle w:val="FootnoteReference"/>
          <w:rFonts w:asciiTheme="minorHAnsi" w:hAnsiTheme="minorHAnsi" w:cstheme="minorHAnsi"/>
          <w:color w:val="000000" w:themeColor="text1"/>
          <w:sz w:val="20"/>
        </w:rPr>
        <w:footnoteRef/>
      </w:r>
      <w:r w:rsidRPr="00D300B8">
        <w:rPr>
          <w:rFonts w:asciiTheme="minorHAnsi" w:hAnsiTheme="minorHAnsi" w:cstheme="minorHAnsi"/>
          <w:color w:val="000000" w:themeColor="text1"/>
        </w:rPr>
        <w:t xml:space="preserve"> </w:t>
      </w:r>
      <w:bookmarkStart w:id="1" w:name="_Hlk76307518"/>
      <w:r w:rsidRPr="00D300B8">
        <w:rPr>
          <w:rFonts w:asciiTheme="minorHAnsi" w:hAnsiTheme="minorHAnsi" w:cstheme="minorHAnsi"/>
          <w:color w:val="000000" w:themeColor="text1"/>
          <w:lang w:val="en-US"/>
        </w:rPr>
        <w:t>Case no 227/2020 [2021] ZASCA 77 (10 June 2021)</w:t>
      </w:r>
      <w:bookmarkEnd w:id="1"/>
      <w:r w:rsidRPr="00D300B8">
        <w:rPr>
          <w:rFonts w:asciiTheme="minorHAnsi" w:hAnsiTheme="minorHAnsi" w:cstheme="minorHAnsi"/>
          <w:color w:val="000000" w:themeColor="text1"/>
          <w:lang w:val="en-US"/>
        </w:rPr>
        <w:t>.</w:t>
      </w:r>
    </w:p>
  </w:footnote>
  <w:footnote w:id="14">
    <w:p w14:paraId="2C2ED9C1" w14:textId="77777777" w:rsidR="00764C6E" w:rsidRPr="00D300B8" w:rsidRDefault="00764C6E" w:rsidP="00D300B8">
      <w:pPr>
        <w:pStyle w:val="FootnoteText"/>
        <w:rPr>
          <w:rFonts w:asciiTheme="minorHAnsi" w:hAnsiTheme="minorHAnsi" w:cstheme="minorHAnsi"/>
          <w:color w:val="000000" w:themeColor="text1"/>
          <w:lang w:val="en-US"/>
        </w:rPr>
      </w:pPr>
      <w:r w:rsidRPr="00D300B8">
        <w:rPr>
          <w:rStyle w:val="FootnoteReference"/>
          <w:rFonts w:asciiTheme="minorHAnsi" w:hAnsiTheme="minorHAnsi" w:cstheme="minorHAnsi"/>
          <w:color w:val="000000" w:themeColor="text1"/>
          <w:sz w:val="20"/>
        </w:rPr>
        <w:footnoteRef/>
      </w:r>
      <w:r w:rsidRPr="00D300B8">
        <w:rPr>
          <w:rFonts w:asciiTheme="minorHAnsi" w:hAnsiTheme="minorHAnsi" w:cstheme="minorHAnsi"/>
          <w:color w:val="000000" w:themeColor="text1"/>
        </w:rPr>
        <w:t xml:space="preserve"> </w:t>
      </w:r>
      <w:r w:rsidRPr="00D300B8">
        <w:rPr>
          <w:rFonts w:asciiTheme="minorHAnsi" w:hAnsiTheme="minorHAnsi" w:cstheme="minorHAnsi"/>
          <w:color w:val="000000" w:themeColor="text1"/>
          <w:lang w:val="en-US"/>
        </w:rPr>
        <w:t>See at paras 5 – 9 (references to case law relied on by the SCA is omitted).</w:t>
      </w:r>
    </w:p>
  </w:footnote>
  <w:footnote w:id="15">
    <w:p w14:paraId="1C648E11" w14:textId="77777777" w:rsidR="00BB7D7E" w:rsidRPr="00BB7D7E" w:rsidRDefault="00BB7D7E" w:rsidP="00BB7D7E">
      <w:pPr>
        <w:pStyle w:val="Heading2"/>
        <w:spacing w:after="180" w:line="288" w:lineRule="atLeast"/>
        <w:rPr>
          <w:rFonts w:cs="Arial"/>
          <w:b w:val="0"/>
          <w:bCs/>
          <w:i w:val="0"/>
          <w:iCs/>
          <w:color w:val="64473A"/>
        </w:rPr>
      </w:pPr>
      <w:r w:rsidRPr="00BB7D7E">
        <w:rPr>
          <w:rStyle w:val="FootnoteReference"/>
          <w:b w:val="0"/>
          <w:bCs/>
          <w:i w:val="0"/>
          <w:iCs/>
          <w:color w:val="000000" w:themeColor="text1"/>
        </w:rPr>
        <w:footnoteRef/>
      </w:r>
      <w:r w:rsidRPr="00BB7D7E">
        <w:rPr>
          <w:color w:val="000000" w:themeColor="text1"/>
        </w:rPr>
        <w:t xml:space="preserve"> </w:t>
      </w:r>
      <w:r w:rsidRPr="00BB7D7E">
        <w:rPr>
          <w:rFonts w:cs="Arial"/>
          <w:b w:val="0"/>
          <w:bCs/>
          <w:i w:val="0"/>
          <w:iCs/>
          <w:color w:val="000000" w:themeColor="text1"/>
        </w:rPr>
        <w:t>2008 (5) SA 290 (SCA)</w:t>
      </w:r>
      <w:r w:rsidRPr="00BB7D7E">
        <w:rPr>
          <w:rStyle w:val="apple-converted-space"/>
          <w:rFonts w:cs="Arial"/>
          <w:b w:val="0"/>
          <w:bCs/>
          <w:i w:val="0"/>
          <w:iCs/>
          <w:color w:val="000000" w:themeColor="text1"/>
        </w:rPr>
        <w:t>.</w:t>
      </w:r>
    </w:p>
  </w:footnote>
  <w:footnote w:id="16">
    <w:p w14:paraId="58AAEA8E" w14:textId="77777777" w:rsidR="006A5E30" w:rsidRPr="006A5E30" w:rsidRDefault="006A5E30">
      <w:pPr>
        <w:pStyle w:val="FootnoteText"/>
        <w:rPr>
          <w:lang w:val="en-US"/>
        </w:rPr>
      </w:pPr>
      <w:r>
        <w:rPr>
          <w:rStyle w:val="FootnoteReference"/>
        </w:rPr>
        <w:footnoteRef/>
      </w:r>
      <w:r>
        <w:t xml:space="preserve"> </w:t>
      </w:r>
      <w:r>
        <w:rPr>
          <w:i/>
          <w:iCs/>
          <w:lang w:val="en-US"/>
        </w:rPr>
        <w:t>Supra</w:t>
      </w:r>
      <w:r>
        <w:rPr>
          <w:lang w:val="en-US"/>
        </w:rPr>
        <w:t>.</w:t>
      </w:r>
    </w:p>
  </w:footnote>
  <w:footnote w:id="17">
    <w:p w14:paraId="2FF53542" w14:textId="77777777" w:rsidR="00A35593" w:rsidRPr="00A35593" w:rsidRDefault="00A35593">
      <w:pPr>
        <w:pStyle w:val="FootnoteText"/>
        <w:rPr>
          <w:lang w:val="en-US"/>
        </w:rPr>
      </w:pPr>
      <w:r>
        <w:rPr>
          <w:rStyle w:val="FootnoteReference"/>
        </w:rPr>
        <w:footnoteRef/>
      </w:r>
      <w:r>
        <w:t xml:space="preserve"> </w:t>
      </w:r>
      <w:r>
        <w:rPr>
          <w:lang w:val="en-US"/>
        </w:rPr>
        <w:t xml:space="preserve">Emphasis supplied.  </w:t>
      </w:r>
    </w:p>
  </w:footnote>
  <w:footnote w:id="18">
    <w:p w14:paraId="6D08FF7D" w14:textId="77777777" w:rsidR="002B5823" w:rsidRPr="002B5823" w:rsidRDefault="002B5823">
      <w:pPr>
        <w:pStyle w:val="FootnoteText"/>
        <w:rPr>
          <w:lang w:val="en-US"/>
        </w:rPr>
      </w:pPr>
      <w:r>
        <w:rPr>
          <w:rStyle w:val="FootnoteReference"/>
        </w:rPr>
        <w:footnoteRef/>
      </w:r>
      <w:r>
        <w:t xml:space="preserve"> </w:t>
      </w:r>
      <w:r>
        <w:rPr>
          <w:lang w:val="en-US"/>
        </w:rPr>
        <w:t xml:space="preserve">Emphasis supplied.  </w:t>
      </w:r>
    </w:p>
  </w:footnote>
  <w:footnote w:id="19">
    <w:p w14:paraId="0D3E4870" w14:textId="77777777" w:rsidR="00C853D5" w:rsidRPr="00C853D5" w:rsidRDefault="00C853D5">
      <w:pPr>
        <w:pStyle w:val="FootnoteText"/>
        <w:rPr>
          <w:lang w:val="en-US"/>
        </w:rPr>
      </w:pPr>
      <w:r>
        <w:rPr>
          <w:rStyle w:val="FootnoteReference"/>
        </w:rPr>
        <w:footnoteRef/>
      </w:r>
      <w:r>
        <w:t xml:space="preserve"> </w:t>
      </w:r>
      <w:r>
        <w:rPr>
          <w:lang w:val="en-US"/>
        </w:rPr>
        <w:t>1971 (1) SA 453 (E)</w:t>
      </w:r>
      <w:r w:rsidR="003F6D39">
        <w:rPr>
          <w:lang w:val="en-US"/>
        </w:rPr>
        <w:t xml:space="preserve">.  </w:t>
      </w:r>
    </w:p>
  </w:footnote>
  <w:footnote w:id="20">
    <w:p w14:paraId="296DA510" w14:textId="77777777" w:rsidR="003067F3" w:rsidRPr="003067F3" w:rsidRDefault="003067F3">
      <w:pPr>
        <w:pStyle w:val="FootnoteText"/>
        <w:rPr>
          <w:lang w:val="en-US"/>
        </w:rPr>
      </w:pPr>
      <w:r>
        <w:rPr>
          <w:rStyle w:val="FootnoteReference"/>
        </w:rPr>
        <w:footnoteRef/>
      </w:r>
      <w:r>
        <w:t xml:space="preserve"> </w:t>
      </w:r>
      <w:r>
        <w:rPr>
          <w:rFonts w:ascii="Verdana" w:hAnsi="Verdana"/>
          <w:i/>
          <w:iCs/>
          <w:color w:val="000000"/>
          <w:sz w:val="18"/>
          <w:szCs w:val="18"/>
        </w:rPr>
        <w:t>Miller and Miller v Dickinson</w:t>
      </w:r>
      <w:r>
        <w:rPr>
          <w:rStyle w:val="apple-converted-space"/>
          <w:rFonts w:ascii="Verdana" w:hAnsi="Verdana"/>
          <w:i/>
          <w:iCs/>
          <w:color w:val="000000"/>
          <w:sz w:val="18"/>
          <w:szCs w:val="18"/>
        </w:rPr>
        <w:t> </w:t>
      </w:r>
      <w:r>
        <w:rPr>
          <w:rFonts w:ascii="Verdana" w:hAnsi="Verdana"/>
          <w:color w:val="000000"/>
          <w:sz w:val="18"/>
          <w:szCs w:val="18"/>
        </w:rPr>
        <w:t>1971 (3) SA 581</w:t>
      </w:r>
      <w:r>
        <w:rPr>
          <w:rStyle w:val="apple-converted-space"/>
          <w:rFonts w:ascii="Verdana" w:hAnsi="Verdana"/>
          <w:color w:val="000000"/>
          <w:sz w:val="18"/>
          <w:szCs w:val="18"/>
        </w:rPr>
        <w:t> </w:t>
      </w:r>
      <w:r>
        <w:rPr>
          <w:rFonts w:ascii="Verdana" w:hAnsi="Verdana"/>
          <w:color w:val="000000"/>
          <w:sz w:val="18"/>
          <w:szCs w:val="18"/>
        </w:rPr>
        <w:t xml:space="preserve">(A) at 587H–588A.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75520645"/>
      <w:docPartObj>
        <w:docPartGallery w:val="Page Numbers (Top of Page)"/>
        <w:docPartUnique/>
      </w:docPartObj>
    </w:sdtPr>
    <w:sdtEndPr>
      <w:rPr>
        <w:rStyle w:val="PageNumber"/>
      </w:rPr>
    </w:sdtEndPr>
    <w:sdtContent>
      <w:p w14:paraId="7A774BF7" w14:textId="77777777" w:rsidR="00026624" w:rsidRDefault="00026624" w:rsidP="0002662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AA3F69" w14:textId="77777777" w:rsidR="00026624" w:rsidRDefault="00026624" w:rsidP="00F7273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041787093"/>
      <w:docPartObj>
        <w:docPartGallery w:val="Page Numbers (Top of Page)"/>
        <w:docPartUnique/>
      </w:docPartObj>
    </w:sdtPr>
    <w:sdtEndPr>
      <w:rPr>
        <w:rStyle w:val="PageNumber"/>
      </w:rPr>
    </w:sdtEndPr>
    <w:sdtContent>
      <w:p w14:paraId="60511CAA" w14:textId="3DE9533F" w:rsidR="00026624" w:rsidRPr="00977603" w:rsidRDefault="00026624" w:rsidP="00026624">
        <w:pPr>
          <w:pStyle w:val="Header"/>
          <w:framePr w:wrap="none" w:vAnchor="text" w:hAnchor="margin" w:xAlign="right" w:y="1"/>
          <w:rPr>
            <w:rStyle w:val="PageNumber"/>
            <w:rFonts w:ascii="Arial" w:hAnsi="Arial" w:cs="Arial"/>
          </w:rPr>
        </w:pPr>
        <w:r w:rsidRPr="00977603">
          <w:rPr>
            <w:rStyle w:val="PageNumber"/>
            <w:rFonts w:ascii="Arial" w:hAnsi="Arial" w:cs="Arial"/>
          </w:rPr>
          <w:fldChar w:fldCharType="begin"/>
        </w:r>
        <w:r w:rsidRPr="00977603">
          <w:rPr>
            <w:rStyle w:val="PageNumber"/>
            <w:rFonts w:ascii="Arial" w:hAnsi="Arial" w:cs="Arial"/>
          </w:rPr>
          <w:instrText xml:space="preserve"> PAGE </w:instrText>
        </w:r>
        <w:r w:rsidRPr="00977603">
          <w:rPr>
            <w:rStyle w:val="PageNumber"/>
            <w:rFonts w:ascii="Arial" w:hAnsi="Arial" w:cs="Arial"/>
          </w:rPr>
          <w:fldChar w:fldCharType="separate"/>
        </w:r>
        <w:r w:rsidR="00494B32">
          <w:rPr>
            <w:rStyle w:val="PageNumber"/>
            <w:rFonts w:ascii="Arial" w:hAnsi="Arial" w:cs="Arial"/>
            <w:noProof/>
          </w:rPr>
          <w:t>25</w:t>
        </w:r>
        <w:r w:rsidRPr="00977603">
          <w:rPr>
            <w:rStyle w:val="PageNumber"/>
            <w:rFonts w:ascii="Arial" w:hAnsi="Arial" w:cs="Arial"/>
          </w:rPr>
          <w:fldChar w:fldCharType="end"/>
        </w:r>
      </w:p>
    </w:sdtContent>
  </w:sdt>
  <w:p w14:paraId="22C588BD" w14:textId="77777777" w:rsidR="00026624" w:rsidRDefault="00026624" w:rsidP="00F7273F">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82F3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FE5920"/>
    <w:multiLevelType w:val="hybridMultilevel"/>
    <w:tmpl w:val="EB409926"/>
    <w:lvl w:ilvl="0" w:tplc="25185A32">
      <w:start w:val="1"/>
      <w:numFmt w:val="decimal"/>
      <w:lvlText w:val="%1"/>
      <w:lvlJc w:val="left"/>
      <w:pPr>
        <w:ind w:left="720"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3" w15:restartNumberingAfterBreak="0">
    <w:nsid w:val="18897C44"/>
    <w:multiLevelType w:val="hybridMultilevel"/>
    <w:tmpl w:val="281E511A"/>
    <w:lvl w:ilvl="0" w:tplc="25185A32">
      <w:start w:val="1"/>
      <w:numFmt w:val="decimal"/>
      <w:lvlText w:val="%1"/>
      <w:lvlJc w:val="left"/>
      <w:pPr>
        <w:ind w:left="720" w:hanging="360"/>
      </w:pPr>
      <w:rPr>
        <w:rFonts w:hint="default"/>
      </w:rPr>
    </w:lvl>
    <w:lvl w:ilvl="1" w:tplc="08090019" w:tentative="1">
      <w:start w:val="1"/>
      <w:numFmt w:val="lowerLetter"/>
      <w:lvlText w:val="%2."/>
      <w:lvlJc w:val="left"/>
      <w:pPr>
        <w:ind w:left="2168" w:hanging="360"/>
      </w:pPr>
    </w:lvl>
    <w:lvl w:ilvl="2" w:tplc="0809001B" w:tentative="1">
      <w:start w:val="1"/>
      <w:numFmt w:val="lowerRoman"/>
      <w:lvlText w:val="%3."/>
      <w:lvlJc w:val="right"/>
      <w:pPr>
        <w:ind w:left="2888" w:hanging="180"/>
      </w:pPr>
    </w:lvl>
    <w:lvl w:ilvl="3" w:tplc="0809000F" w:tentative="1">
      <w:start w:val="1"/>
      <w:numFmt w:val="decimal"/>
      <w:lvlText w:val="%4."/>
      <w:lvlJc w:val="left"/>
      <w:pPr>
        <w:ind w:left="3608" w:hanging="360"/>
      </w:pPr>
    </w:lvl>
    <w:lvl w:ilvl="4" w:tplc="08090019" w:tentative="1">
      <w:start w:val="1"/>
      <w:numFmt w:val="lowerLetter"/>
      <w:lvlText w:val="%5."/>
      <w:lvlJc w:val="left"/>
      <w:pPr>
        <w:ind w:left="4328" w:hanging="360"/>
      </w:pPr>
    </w:lvl>
    <w:lvl w:ilvl="5" w:tplc="0809001B" w:tentative="1">
      <w:start w:val="1"/>
      <w:numFmt w:val="lowerRoman"/>
      <w:lvlText w:val="%6."/>
      <w:lvlJc w:val="right"/>
      <w:pPr>
        <w:ind w:left="5048" w:hanging="180"/>
      </w:pPr>
    </w:lvl>
    <w:lvl w:ilvl="6" w:tplc="0809000F" w:tentative="1">
      <w:start w:val="1"/>
      <w:numFmt w:val="decimal"/>
      <w:lvlText w:val="%7."/>
      <w:lvlJc w:val="left"/>
      <w:pPr>
        <w:ind w:left="5768" w:hanging="360"/>
      </w:pPr>
    </w:lvl>
    <w:lvl w:ilvl="7" w:tplc="08090019" w:tentative="1">
      <w:start w:val="1"/>
      <w:numFmt w:val="lowerLetter"/>
      <w:lvlText w:val="%8."/>
      <w:lvlJc w:val="left"/>
      <w:pPr>
        <w:ind w:left="6488" w:hanging="360"/>
      </w:pPr>
    </w:lvl>
    <w:lvl w:ilvl="8" w:tplc="0809001B" w:tentative="1">
      <w:start w:val="1"/>
      <w:numFmt w:val="lowerRoman"/>
      <w:lvlText w:val="%9."/>
      <w:lvlJc w:val="right"/>
      <w:pPr>
        <w:ind w:left="7208" w:hanging="180"/>
      </w:pPr>
    </w:lvl>
  </w:abstractNum>
  <w:abstractNum w:abstractNumId="4" w15:restartNumberingAfterBreak="0">
    <w:nsid w:val="1F826855"/>
    <w:multiLevelType w:val="hybridMultilevel"/>
    <w:tmpl w:val="810045D8"/>
    <w:lvl w:ilvl="0" w:tplc="25185A32">
      <w:start w:val="1"/>
      <w:numFmt w:val="decimal"/>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15:restartNumberingAfterBreak="0">
    <w:nsid w:val="200513CC"/>
    <w:multiLevelType w:val="multilevel"/>
    <w:tmpl w:val="0DCA66D6"/>
    <w:styleLink w:val="CurrentList2"/>
    <w:lvl w:ilvl="0">
      <w:start w:val="1"/>
      <w:numFmt w:val="decimal"/>
      <w:lvlText w:val="%1."/>
      <w:lvlJc w:val="left"/>
      <w:pPr>
        <w:tabs>
          <w:tab w:val="num" w:pos="851"/>
        </w:tabs>
        <w:ind w:left="851" w:hanging="851"/>
      </w:pPr>
      <w:rPr>
        <w:rFonts w:asciiTheme="minorHAnsi" w:hAnsiTheme="minorHAnsi" w:hint="default"/>
      </w:rPr>
    </w:lvl>
    <w:lvl w:ilvl="1">
      <w:start w:val="1"/>
      <w:numFmt w:val="decimal"/>
      <w:lvlText w:val="%1.%2."/>
      <w:lvlJc w:val="left"/>
      <w:pPr>
        <w:ind w:left="1701" w:hanging="850"/>
      </w:pPr>
      <w:rPr>
        <w:rFonts w:asciiTheme="minorHAnsi" w:hAnsiTheme="minorHAnsi" w:hint="default"/>
      </w:rPr>
    </w:lvl>
    <w:lvl w:ilvl="2">
      <w:start w:val="1"/>
      <w:numFmt w:val="decimal"/>
      <w:lvlText w:val="%1.%2.%3."/>
      <w:lvlJc w:val="left"/>
      <w:pPr>
        <w:tabs>
          <w:tab w:val="num" w:pos="2552"/>
        </w:tabs>
        <w:ind w:left="2552"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2AC5699"/>
    <w:multiLevelType w:val="multilevel"/>
    <w:tmpl w:val="C3B80584"/>
    <w:lvl w:ilvl="0">
      <w:start w:val="1"/>
      <w:numFmt w:val="decimal"/>
      <w:lvlText w:val="%1."/>
      <w:lvlJc w:val="left"/>
      <w:pPr>
        <w:tabs>
          <w:tab w:val="num" w:pos="1021"/>
        </w:tabs>
        <w:ind w:left="1021" w:hanging="1021"/>
      </w:pPr>
      <w:rPr>
        <w:rFonts w:ascii="Arial" w:hAnsi="Arial" w:hint="default"/>
        <w:b w:val="0"/>
        <w:i w:val="0"/>
      </w:rPr>
    </w:lvl>
    <w:lvl w:ilvl="1">
      <w:start w:val="1"/>
      <w:numFmt w:val="decimal"/>
      <w:lvlText w:val="%1.%2."/>
      <w:lvlJc w:val="left"/>
      <w:pPr>
        <w:tabs>
          <w:tab w:val="num" w:pos="1928"/>
        </w:tabs>
        <w:ind w:left="1928" w:hanging="907"/>
      </w:pPr>
      <w:rPr>
        <w:rFonts w:ascii="Arial" w:hAnsi="Arial" w:hint="default"/>
        <w:b w:val="0"/>
        <w:i w:val="0"/>
      </w:rPr>
    </w:lvl>
    <w:lvl w:ilvl="2">
      <w:start w:val="1"/>
      <w:numFmt w:val="decimal"/>
      <w:lvlText w:val="%1.%2.%3."/>
      <w:lvlJc w:val="left"/>
      <w:pPr>
        <w:tabs>
          <w:tab w:val="num" w:pos="3402"/>
        </w:tabs>
        <w:ind w:left="3402" w:hanging="1474"/>
      </w:pPr>
      <w:rPr>
        <w:rFonts w:ascii="Arial" w:hAnsi="Arial" w:hint="default"/>
        <w:b w:val="0"/>
        <w:i w:val="0"/>
      </w:rPr>
    </w:lvl>
    <w:lvl w:ilvl="3">
      <w:start w:val="1"/>
      <w:numFmt w:val="decimal"/>
      <w:lvlText w:val="%1.%2.%3.%4."/>
      <w:lvlJc w:val="left"/>
      <w:pPr>
        <w:tabs>
          <w:tab w:val="num" w:pos="4820"/>
        </w:tabs>
        <w:ind w:left="4820" w:hanging="141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3378383C"/>
    <w:multiLevelType w:val="hybridMultilevel"/>
    <w:tmpl w:val="336AC9C0"/>
    <w:lvl w:ilvl="0" w:tplc="25185A32">
      <w:start w:val="1"/>
      <w:numFmt w:val="decimal"/>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8" w15:restartNumberingAfterBreak="0">
    <w:nsid w:val="39756A5A"/>
    <w:multiLevelType w:val="multilevel"/>
    <w:tmpl w:val="DCCE8E98"/>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701"/>
        </w:tabs>
        <w:ind w:left="1701" w:hanging="850"/>
      </w:pPr>
      <w:rPr>
        <w:rFonts w:hint="default"/>
      </w:rPr>
    </w:lvl>
    <w:lvl w:ilvl="2">
      <w:start w:val="1"/>
      <w:numFmt w:val="decimal"/>
      <w:lvlText w:val="%1.%2.%3."/>
      <w:lvlJc w:val="left"/>
      <w:pPr>
        <w:tabs>
          <w:tab w:val="num" w:pos="2552"/>
        </w:tabs>
        <w:ind w:left="2552"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E296834"/>
    <w:multiLevelType w:val="multilevel"/>
    <w:tmpl w:val="0409001F"/>
    <w:styleLink w:val="CurrentList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FF5565D"/>
    <w:multiLevelType w:val="hybridMultilevel"/>
    <w:tmpl w:val="5510DCAE"/>
    <w:lvl w:ilvl="0" w:tplc="AFFA7C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1AB3681"/>
    <w:multiLevelType w:val="hybridMultilevel"/>
    <w:tmpl w:val="531CCB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53A057D"/>
    <w:multiLevelType w:val="hybridMultilevel"/>
    <w:tmpl w:val="BBDA2482"/>
    <w:lvl w:ilvl="0" w:tplc="25185A3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9050CA4"/>
    <w:multiLevelType w:val="multilevel"/>
    <w:tmpl w:val="0DCA66D6"/>
    <w:lvl w:ilvl="0">
      <w:start w:val="1"/>
      <w:numFmt w:val="decimal"/>
      <w:lvlText w:val="%1."/>
      <w:lvlJc w:val="left"/>
      <w:pPr>
        <w:tabs>
          <w:tab w:val="num" w:pos="851"/>
        </w:tabs>
        <w:ind w:left="851" w:hanging="851"/>
      </w:pPr>
      <w:rPr>
        <w:rFonts w:asciiTheme="minorHAnsi" w:hAnsiTheme="minorHAnsi" w:hint="default"/>
      </w:rPr>
    </w:lvl>
    <w:lvl w:ilvl="1">
      <w:start w:val="1"/>
      <w:numFmt w:val="decimal"/>
      <w:lvlText w:val="%1.%2."/>
      <w:lvlJc w:val="left"/>
      <w:pPr>
        <w:ind w:left="1701" w:hanging="850"/>
      </w:pPr>
      <w:rPr>
        <w:rFonts w:asciiTheme="minorHAnsi" w:hAnsiTheme="minorHAnsi" w:hint="default"/>
      </w:rPr>
    </w:lvl>
    <w:lvl w:ilvl="2">
      <w:start w:val="1"/>
      <w:numFmt w:val="decimal"/>
      <w:lvlText w:val="%1.%2.%3."/>
      <w:lvlJc w:val="left"/>
      <w:pPr>
        <w:tabs>
          <w:tab w:val="num" w:pos="2552"/>
        </w:tabs>
        <w:ind w:left="2552"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2"/>
  </w:num>
  <w:num w:numId="2">
    <w:abstractNumId w:val="11"/>
  </w:num>
  <w:num w:numId="3">
    <w:abstractNumId w:val="10"/>
  </w:num>
  <w:num w:numId="4">
    <w:abstractNumId w:val="1"/>
  </w:num>
  <w:num w:numId="5">
    <w:abstractNumId w:val="7"/>
  </w:num>
  <w:num w:numId="6">
    <w:abstractNumId w:val="4"/>
  </w:num>
  <w:num w:numId="7">
    <w:abstractNumId w:val="3"/>
  </w:num>
  <w:num w:numId="8">
    <w:abstractNumId w:val="2"/>
  </w:num>
  <w:num w:numId="9">
    <w:abstractNumId w:val="8"/>
  </w:num>
  <w:num w:numId="10">
    <w:abstractNumId w:val="13"/>
  </w:num>
  <w:num w:numId="11">
    <w:abstractNumId w:val="0"/>
  </w:num>
  <w:num w:numId="12">
    <w:abstractNumId w:val="9"/>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30B"/>
    <w:rsid w:val="000014E8"/>
    <w:rsid w:val="00002AEC"/>
    <w:rsid w:val="00004AEA"/>
    <w:rsid w:val="00006878"/>
    <w:rsid w:val="00012EE8"/>
    <w:rsid w:val="00020027"/>
    <w:rsid w:val="00020282"/>
    <w:rsid w:val="00024B03"/>
    <w:rsid w:val="00026624"/>
    <w:rsid w:val="00026CB6"/>
    <w:rsid w:val="000318EF"/>
    <w:rsid w:val="000332DE"/>
    <w:rsid w:val="000461CB"/>
    <w:rsid w:val="00046EE9"/>
    <w:rsid w:val="0004755C"/>
    <w:rsid w:val="000532DB"/>
    <w:rsid w:val="00063EB4"/>
    <w:rsid w:val="000656F6"/>
    <w:rsid w:val="0007487A"/>
    <w:rsid w:val="000814AE"/>
    <w:rsid w:val="0008363A"/>
    <w:rsid w:val="00084E8C"/>
    <w:rsid w:val="00091BDD"/>
    <w:rsid w:val="000938A5"/>
    <w:rsid w:val="00097C50"/>
    <w:rsid w:val="000B30DA"/>
    <w:rsid w:val="000B3898"/>
    <w:rsid w:val="000B7DAE"/>
    <w:rsid w:val="000C186B"/>
    <w:rsid w:val="000C6479"/>
    <w:rsid w:val="000E074F"/>
    <w:rsid w:val="000E7A1E"/>
    <w:rsid w:val="00101054"/>
    <w:rsid w:val="00104C3C"/>
    <w:rsid w:val="00120505"/>
    <w:rsid w:val="00122B14"/>
    <w:rsid w:val="00134B53"/>
    <w:rsid w:val="00135AAC"/>
    <w:rsid w:val="00143352"/>
    <w:rsid w:val="00153DCE"/>
    <w:rsid w:val="00153EE7"/>
    <w:rsid w:val="00160F89"/>
    <w:rsid w:val="0016108A"/>
    <w:rsid w:val="001631A3"/>
    <w:rsid w:val="00172F9C"/>
    <w:rsid w:val="00184466"/>
    <w:rsid w:val="00191E7D"/>
    <w:rsid w:val="001B53C9"/>
    <w:rsid w:val="001B704F"/>
    <w:rsid w:val="001C5D4E"/>
    <w:rsid w:val="001E7EF6"/>
    <w:rsid w:val="001F091D"/>
    <w:rsid w:val="001F67AE"/>
    <w:rsid w:val="002022B0"/>
    <w:rsid w:val="00203281"/>
    <w:rsid w:val="002033C1"/>
    <w:rsid w:val="00212F8C"/>
    <w:rsid w:val="00215127"/>
    <w:rsid w:val="002156FC"/>
    <w:rsid w:val="002163D4"/>
    <w:rsid w:val="0022120A"/>
    <w:rsid w:val="0022509F"/>
    <w:rsid w:val="00232228"/>
    <w:rsid w:val="0024086D"/>
    <w:rsid w:val="002417CC"/>
    <w:rsid w:val="00245E40"/>
    <w:rsid w:val="00247D2A"/>
    <w:rsid w:val="00254075"/>
    <w:rsid w:val="002656C2"/>
    <w:rsid w:val="00265C67"/>
    <w:rsid w:val="002753FC"/>
    <w:rsid w:val="00276A82"/>
    <w:rsid w:val="00280C1A"/>
    <w:rsid w:val="00282D59"/>
    <w:rsid w:val="002871F0"/>
    <w:rsid w:val="002B5823"/>
    <w:rsid w:val="002E6076"/>
    <w:rsid w:val="002E64F1"/>
    <w:rsid w:val="002F2278"/>
    <w:rsid w:val="00302390"/>
    <w:rsid w:val="003067F3"/>
    <w:rsid w:val="00313004"/>
    <w:rsid w:val="003137D3"/>
    <w:rsid w:val="00315D07"/>
    <w:rsid w:val="00317C8A"/>
    <w:rsid w:val="003228F8"/>
    <w:rsid w:val="003266BA"/>
    <w:rsid w:val="00330C8A"/>
    <w:rsid w:val="003336CE"/>
    <w:rsid w:val="00334F1C"/>
    <w:rsid w:val="003425D3"/>
    <w:rsid w:val="00345FD3"/>
    <w:rsid w:val="0037709B"/>
    <w:rsid w:val="00381A88"/>
    <w:rsid w:val="00382212"/>
    <w:rsid w:val="0039028C"/>
    <w:rsid w:val="003B14D1"/>
    <w:rsid w:val="003B3478"/>
    <w:rsid w:val="003B36FA"/>
    <w:rsid w:val="003C00E4"/>
    <w:rsid w:val="003C2BAD"/>
    <w:rsid w:val="003C2C10"/>
    <w:rsid w:val="003C5257"/>
    <w:rsid w:val="003D7F99"/>
    <w:rsid w:val="003E0160"/>
    <w:rsid w:val="003E2BFF"/>
    <w:rsid w:val="003E2DD3"/>
    <w:rsid w:val="003E6B54"/>
    <w:rsid w:val="003F3491"/>
    <w:rsid w:val="003F6D39"/>
    <w:rsid w:val="004036A5"/>
    <w:rsid w:val="00405F12"/>
    <w:rsid w:val="0041148D"/>
    <w:rsid w:val="00414A89"/>
    <w:rsid w:val="00416377"/>
    <w:rsid w:val="00416B43"/>
    <w:rsid w:val="0041761F"/>
    <w:rsid w:val="00427306"/>
    <w:rsid w:val="00437C07"/>
    <w:rsid w:val="004420AD"/>
    <w:rsid w:val="0044614A"/>
    <w:rsid w:val="00452E95"/>
    <w:rsid w:val="004539DC"/>
    <w:rsid w:val="00467CD8"/>
    <w:rsid w:val="004701E8"/>
    <w:rsid w:val="004714A0"/>
    <w:rsid w:val="0047188A"/>
    <w:rsid w:val="00472812"/>
    <w:rsid w:val="0048523C"/>
    <w:rsid w:val="00486AD5"/>
    <w:rsid w:val="004909D1"/>
    <w:rsid w:val="00494B32"/>
    <w:rsid w:val="0049756F"/>
    <w:rsid w:val="004A0647"/>
    <w:rsid w:val="004A3D93"/>
    <w:rsid w:val="004A64E0"/>
    <w:rsid w:val="004B0009"/>
    <w:rsid w:val="004B230B"/>
    <w:rsid w:val="004B24D3"/>
    <w:rsid w:val="004B3826"/>
    <w:rsid w:val="004E3412"/>
    <w:rsid w:val="004E561E"/>
    <w:rsid w:val="004F27B8"/>
    <w:rsid w:val="00504B9B"/>
    <w:rsid w:val="00510119"/>
    <w:rsid w:val="00510AA9"/>
    <w:rsid w:val="00526205"/>
    <w:rsid w:val="00526828"/>
    <w:rsid w:val="0053422F"/>
    <w:rsid w:val="0054041C"/>
    <w:rsid w:val="00545690"/>
    <w:rsid w:val="00561359"/>
    <w:rsid w:val="0056489F"/>
    <w:rsid w:val="005760A6"/>
    <w:rsid w:val="00586358"/>
    <w:rsid w:val="005870FC"/>
    <w:rsid w:val="00590961"/>
    <w:rsid w:val="00591679"/>
    <w:rsid w:val="0059379D"/>
    <w:rsid w:val="005A250F"/>
    <w:rsid w:val="005C16F7"/>
    <w:rsid w:val="005C2F2C"/>
    <w:rsid w:val="005C377F"/>
    <w:rsid w:val="005C3FA9"/>
    <w:rsid w:val="005C4F42"/>
    <w:rsid w:val="005D0755"/>
    <w:rsid w:val="005D796F"/>
    <w:rsid w:val="005E301B"/>
    <w:rsid w:val="005E44DE"/>
    <w:rsid w:val="005F0A94"/>
    <w:rsid w:val="005F77DA"/>
    <w:rsid w:val="00600D0B"/>
    <w:rsid w:val="00607806"/>
    <w:rsid w:val="00611B26"/>
    <w:rsid w:val="006201A0"/>
    <w:rsid w:val="00620F02"/>
    <w:rsid w:val="00626771"/>
    <w:rsid w:val="006367D8"/>
    <w:rsid w:val="00641CC7"/>
    <w:rsid w:val="00647FCB"/>
    <w:rsid w:val="00652309"/>
    <w:rsid w:val="00657B5C"/>
    <w:rsid w:val="00663511"/>
    <w:rsid w:val="00666606"/>
    <w:rsid w:val="0067708C"/>
    <w:rsid w:val="006805C9"/>
    <w:rsid w:val="00691973"/>
    <w:rsid w:val="00691D9E"/>
    <w:rsid w:val="006A0C53"/>
    <w:rsid w:val="006A166F"/>
    <w:rsid w:val="006A5E30"/>
    <w:rsid w:val="006B4FA8"/>
    <w:rsid w:val="006B5D13"/>
    <w:rsid w:val="006B6EC0"/>
    <w:rsid w:val="006B73E1"/>
    <w:rsid w:val="006C77E6"/>
    <w:rsid w:val="006D0048"/>
    <w:rsid w:val="006D1FB1"/>
    <w:rsid w:val="006F40A2"/>
    <w:rsid w:val="006F67CB"/>
    <w:rsid w:val="007043EE"/>
    <w:rsid w:val="00705408"/>
    <w:rsid w:val="00707EF9"/>
    <w:rsid w:val="007164F4"/>
    <w:rsid w:val="0074201B"/>
    <w:rsid w:val="00752B67"/>
    <w:rsid w:val="00762344"/>
    <w:rsid w:val="00764C6E"/>
    <w:rsid w:val="00765B6D"/>
    <w:rsid w:val="007751BD"/>
    <w:rsid w:val="00777A59"/>
    <w:rsid w:val="007A3AF1"/>
    <w:rsid w:val="007A4347"/>
    <w:rsid w:val="007B4815"/>
    <w:rsid w:val="007B7245"/>
    <w:rsid w:val="007C02BD"/>
    <w:rsid w:val="007C4E4F"/>
    <w:rsid w:val="007C523E"/>
    <w:rsid w:val="007C5843"/>
    <w:rsid w:val="007D34F6"/>
    <w:rsid w:val="007D4BCF"/>
    <w:rsid w:val="007E306A"/>
    <w:rsid w:val="007F1CB5"/>
    <w:rsid w:val="007F3FA2"/>
    <w:rsid w:val="007F7F24"/>
    <w:rsid w:val="00810C4B"/>
    <w:rsid w:val="008121C3"/>
    <w:rsid w:val="0083106B"/>
    <w:rsid w:val="00833CE8"/>
    <w:rsid w:val="00834B68"/>
    <w:rsid w:val="008369A7"/>
    <w:rsid w:val="0086110C"/>
    <w:rsid w:val="00863246"/>
    <w:rsid w:val="0086366D"/>
    <w:rsid w:val="0086405A"/>
    <w:rsid w:val="00873D8D"/>
    <w:rsid w:val="00873EC5"/>
    <w:rsid w:val="008752D7"/>
    <w:rsid w:val="008764EB"/>
    <w:rsid w:val="008810F2"/>
    <w:rsid w:val="00886DD7"/>
    <w:rsid w:val="00893F47"/>
    <w:rsid w:val="008964B0"/>
    <w:rsid w:val="008968B5"/>
    <w:rsid w:val="008B07F0"/>
    <w:rsid w:val="008B0CBD"/>
    <w:rsid w:val="008C113D"/>
    <w:rsid w:val="008D1415"/>
    <w:rsid w:val="008D200F"/>
    <w:rsid w:val="008E4699"/>
    <w:rsid w:val="008E490C"/>
    <w:rsid w:val="008F18C0"/>
    <w:rsid w:val="008F1D84"/>
    <w:rsid w:val="008F2F77"/>
    <w:rsid w:val="008F47EE"/>
    <w:rsid w:val="008F5D05"/>
    <w:rsid w:val="00900726"/>
    <w:rsid w:val="009025C1"/>
    <w:rsid w:val="009149E7"/>
    <w:rsid w:val="00917246"/>
    <w:rsid w:val="0094122B"/>
    <w:rsid w:val="00943909"/>
    <w:rsid w:val="0094689E"/>
    <w:rsid w:val="00947163"/>
    <w:rsid w:val="0095030F"/>
    <w:rsid w:val="009515FC"/>
    <w:rsid w:val="00964768"/>
    <w:rsid w:val="009715DC"/>
    <w:rsid w:val="00972CBA"/>
    <w:rsid w:val="00977603"/>
    <w:rsid w:val="00981F28"/>
    <w:rsid w:val="00982F05"/>
    <w:rsid w:val="009A3F2C"/>
    <w:rsid w:val="009A4B80"/>
    <w:rsid w:val="009C7758"/>
    <w:rsid w:val="009D1600"/>
    <w:rsid w:val="009E6651"/>
    <w:rsid w:val="009F2D92"/>
    <w:rsid w:val="00A21E6E"/>
    <w:rsid w:val="00A23D94"/>
    <w:rsid w:val="00A31E4E"/>
    <w:rsid w:val="00A32414"/>
    <w:rsid w:val="00A35593"/>
    <w:rsid w:val="00A40949"/>
    <w:rsid w:val="00A4146B"/>
    <w:rsid w:val="00A45EC1"/>
    <w:rsid w:val="00A51E11"/>
    <w:rsid w:val="00A609BB"/>
    <w:rsid w:val="00A90822"/>
    <w:rsid w:val="00AA2C33"/>
    <w:rsid w:val="00AA37BB"/>
    <w:rsid w:val="00AC0CEB"/>
    <w:rsid w:val="00AC7535"/>
    <w:rsid w:val="00AD3140"/>
    <w:rsid w:val="00AE5C32"/>
    <w:rsid w:val="00AE77FB"/>
    <w:rsid w:val="00AF108F"/>
    <w:rsid w:val="00AF3274"/>
    <w:rsid w:val="00AF6D66"/>
    <w:rsid w:val="00B00E01"/>
    <w:rsid w:val="00B030C7"/>
    <w:rsid w:val="00B23A19"/>
    <w:rsid w:val="00B344A3"/>
    <w:rsid w:val="00B44A56"/>
    <w:rsid w:val="00B45ECF"/>
    <w:rsid w:val="00B54FAD"/>
    <w:rsid w:val="00B54FC3"/>
    <w:rsid w:val="00B57741"/>
    <w:rsid w:val="00B577E4"/>
    <w:rsid w:val="00B64957"/>
    <w:rsid w:val="00B81C19"/>
    <w:rsid w:val="00B92FA7"/>
    <w:rsid w:val="00BA3363"/>
    <w:rsid w:val="00BB7D7E"/>
    <w:rsid w:val="00BC213A"/>
    <w:rsid w:val="00BC3E09"/>
    <w:rsid w:val="00BE01A9"/>
    <w:rsid w:val="00BE2871"/>
    <w:rsid w:val="00BE2F8D"/>
    <w:rsid w:val="00BE3990"/>
    <w:rsid w:val="00BF3F7D"/>
    <w:rsid w:val="00C04DB7"/>
    <w:rsid w:val="00C16D3E"/>
    <w:rsid w:val="00C2316A"/>
    <w:rsid w:val="00C34066"/>
    <w:rsid w:val="00C3546C"/>
    <w:rsid w:val="00C416A2"/>
    <w:rsid w:val="00C455CC"/>
    <w:rsid w:val="00C54715"/>
    <w:rsid w:val="00C557E8"/>
    <w:rsid w:val="00C55A59"/>
    <w:rsid w:val="00C6462E"/>
    <w:rsid w:val="00C7113F"/>
    <w:rsid w:val="00C81489"/>
    <w:rsid w:val="00C85359"/>
    <w:rsid w:val="00C853D5"/>
    <w:rsid w:val="00C86B04"/>
    <w:rsid w:val="00C87FCD"/>
    <w:rsid w:val="00C956D1"/>
    <w:rsid w:val="00CA21FC"/>
    <w:rsid w:val="00CA74CB"/>
    <w:rsid w:val="00CC4060"/>
    <w:rsid w:val="00CC4373"/>
    <w:rsid w:val="00CD7B84"/>
    <w:rsid w:val="00CE285B"/>
    <w:rsid w:val="00CE32F4"/>
    <w:rsid w:val="00CE7E91"/>
    <w:rsid w:val="00CF1252"/>
    <w:rsid w:val="00D058F0"/>
    <w:rsid w:val="00D07A45"/>
    <w:rsid w:val="00D10DD8"/>
    <w:rsid w:val="00D14E56"/>
    <w:rsid w:val="00D221C4"/>
    <w:rsid w:val="00D24980"/>
    <w:rsid w:val="00D262DE"/>
    <w:rsid w:val="00D300B8"/>
    <w:rsid w:val="00D32296"/>
    <w:rsid w:val="00D32359"/>
    <w:rsid w:val="00D32C24"/>
    <w:rsid w:val="00D35238"/>
    <w:rsid w:val="00D37D50"/>
    <w:rsid w:val="00D40C62"/>
    <w:rsid w:val="00D45E3A"/>
    <w:rsid w:val="00D45F9C"/>
    <w:rsid w:val="00D46EE2"/>
    <w:rsid w:val="00D54AB4"/>
    <w:rsid w:val="00D672E8"/>
    <w:rsid w:val="00D70EAA"/>
    <w:rsid w:val="00D74E20"/>
    <w:rsid w:val="00D86000"/>
    <w:rsid w:val="00D86D83"/>
    <w:rsid w:val="00D91D08"/>
    <w:rsid w:val="00D9448F"/>
    <w:rsid w:val="00D9646A"/>
    <w:rsid w:val="00DB293D"/>
    <w:rsid w:val="00DB5058"/>
    <w:rsid w:val="00DE5DEA"/>
    <w:rsid w:val="00E05CD0"/>
    <w:rsid w:val="00E14866"/>
    <w:rsid w:val="00E20250"/>
    <w:rsid w:val="00E25809"/>
    <w:rsid w:val="00E260A8"/>
    <w:rsid w:val="00E27B6D"/>
    <w:rsid w:val="00E35C82"/>
    <w:rsid w:val="00E45742"/>
    <w:rsid w:val="00E53594"/>
    <w:rsid w:val="00E5367A"/>
    <w:rsid w:val="00E54A27"/>
    <w:rsid w:val="00E55C1E"/>
    <w:rsid w:val="00E61A02"/>
    <w:rsid w:val="00E6297F"/>
    <w:rsid w:val="00E67746"/>
    <w:rsid w:val="00E73125"/>
    <w:rsid w:val="00E774E7"/>
    <w:rsid w:val="00E8350A"/>
    <w:rsid w:val="00E92413"/>
    <w:rsid w:val="00E93221"/>
    <w:rsid w:val="00E97700"/>
    <w:rsid w:val="00EA230B"/>
    <w:rsid w:val="00EB1471"/>
    <w:rsid w:val="00EB179B"/>
    <w:rsid w:val="00EB7952"/>
    <w:rsid w:val="00ED37F4"/>
    <w:rsid w:val="00ED50AF"/>
    <w:rsid w:val="00EE64EB"/>
    <w:rsid w:val="00F10784"/>
    <w:rsid w:val="00F11FF9"/>
    <w:rsid w:val="00F15AB0"/>
    <w:rsid w:val="00F17A77"/>
    <w:rsid w:val="00F2374C"/>
    <w:rsid w:val="00F2520D"/>
    <w:rsid w:val="00F26C85"/>
    <w:rsid w:val="00F369A3"/>
    <w:rsid w:val="00F455B7"/>
    <w:rsid w:val="00F476F5"/>
    <w:rsid w:val="00F51ABE"/>
    <w:rsid w:val="00F7273F"/>
    <w:rsid w:val="00F7539A"/>
    <w:rsid w:val="00F8303C"/>
    <w:rsid w:val="00FB2177"/>
    <w:rsid w:val="00FB21C8"/>
    <w:rsid w:val="00FC0CAA"/>
    <w:rsid w:val="00FD5C37"/>
    <w:rsid w:val="00FE1BE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0F691"/>
  <w15:chartTrackingRefBased/>
  <w15:docId w15:val="{AD483362-058F-D944-8A0B-BFDB06245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F2C"/>
    <w:rPr>
      <w:rFonts w:ascii="Times New Roman" w:eastAsia="Times New Roman" w:hAnsi="Times New Roman" w:cs="Times New Roman"/>
    </w:rPr>
  </w:style>
  <w:style w:type="paragraph" w:styleId="Heading1">
    <w:name w:val="heading 1"/>
    <w:basedOn w:val="Normal"/>
    <w:next w:val="Normal"/>
    <w:link w:val="Heading1Char"/>
    <w:uiPriority w:val="9"/>
    <w:qFormat/>
    <w:rsid w:val="00416377"/>
    <w:pPr>
      <w:keepNext/>
      <w:keepLines/>
      <w:spacing w:before="360" w:after="360"/>
      <w:outlineLvl w:val="0"/>
    </w:pPr>
    <w:rPr>
      <w:rFonts w:ascii="Arial" w:eastAsiaTheme="majorEastAsia" w:hAnsi="Arial" w:cs="Times New Roman (Headings CS)"/>
      <w:b/>
      <w:caps/>
      <w:szCs w:val="32"/>
    </w:rPr>
  </w:style>
  <w:style w:type="paragraph" w:styleId="Heading2">
    <w:name w:val="heading 2"/>
    <w:basedOn w:val="Normal"/>
    <w:next w:val="Normal"/>
    <w:link w:val="Heading2Char"/>
    <w:uiPriority w:val="9"/>
    <w:unhideWhenUsed/>
    <w:qFormat/>
    <w:rsid w:val="003E0160"/>
    <w:pPr>
      <w:keepNext/>
      <w:keepLines/>
      <w:spacing w:before="240" w:after="240"/>
      <w:outlineLvl w:val="1"/>
    </w:pPr>
    <w:rPr>
      <w:rFonts w:ascii="Arial" w:eastAsiaTheme="majorEastAsia" w:hAnsi="Arial" w:cstheme="majorBidi"/>
      <w:b/>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unhideWhenUsed/>
    <w:rsid w:val="00A45EC1"/>
    <w:rPr>
      <w:rFonts w:ascii="Arial" w:hAnsi="Arial"/>
      <w:color w:val="auto"/>
      <w:sz w:val="24"/>
      <w:vertAlign w:val="superscript"/>
      <w:lang w:val="en-GB"/>
    </w:rPr>
  </w:style>
  <w:style w:type="table" w:styleId="TableGrid">
    <w:name w:val="Table Grid"/>
    <w:basedOn w:val="TableNormal"/>
    <w:uiPriority w:val="39"/>
    <w:rsid w:val="004B23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230B"/>
    <w:pPr>
      <w:ind w:left="720"/>
      <w:contextualSpacing/>
    </w:pPr>
  </w:style>
  <w:style w:type="character" w:customStyle="1" w:styleId="Heading1Char">
    <w:name w:val="Heading 1 Char"/>
    <w:basedOn w:val="DefaultParagraphFont"/>
    <w:link w:val="Heading1"/>
    <w:uiPriority w:val="9"/>
    <w:rsid w:val="00416377"/>
    <w:rPr>
      <w:rFonts w:ascii="Arial" w:eastAsiaTheme="majorEastAsia" w:hAnsi="Arial" w:cs="Times New Roman (Headings CS)"/>
      <w:b/>
      <w:caps/>
      <w:szCs w:val="32"/>
      <w:lang w:val="en-GB"/>
    </w:rPr>
  </w:style>
  <w:style w:type="paragraph" w:styleId="Header">
    <w:name w:val="header"/>
    <w:basedOn w:val="Normal"/>
    <w:link w:val="HeaderChar"/>
    <w:uiPriority w:val="99"/>
    <w:unhideWhenUsed/>
    <w:rsid w:val="00F7273F"/>
    <w:pPr>
      <w:tabs>
        <w:tab w:val="center" w:pos="4513"/>
        <w:tab w:val="right" w:pos="9026"/>
      </w:tabs>
    </w:pPr>
  </w:style>
  <w:style w:type="character" w:customStyle="1" w:styleId="HeaderChar">
    <w:name w:val="Header Char"/>
    <w:basedOn w:val="DefaultParagraphFont"/>
    <w:link w:val="Header"/>
    <w:uiPriority w:val="99"/>
    <w:rsid w:val="00F7273F"/>
    <w:rPr>
      <w:lang w:val="en-GB"/>
    </w:rPr>
  </w:style>
  <w:style w:type="paragraph" w:styleId="Footer">
    <w:name w:val="footer"/>
    <w:basedOn w:val="Normal"/>
    <w:link w:val="FooterChar"/>
    <w:uiPriority w:val="99"/>
    <w:unhideWhenUsed/>
    <w:rsid w:val="00F7273F"/>
    <w:pPr>
      <w:tabs>
        <w:tab w:val="center" w:pos="4513"/>
        <w:tab w:val="right" w:pos="9026"/>
      </w:tabs>
    </w:pPr>
  </w:style>
  <w:style w:type="character" w:customStyle="1" w:styleId="FooterChar">
    <w:name w:val="Footer Char"/>
    <w:basedOn w:val="DefaultParagraphFont"/>
    <w:link w:val="Footer"/>
    <w:uiPriority w:val="99"/>
    <w:rsid w:val="00F7273F"/>
    <w:rPr>
      <w:lang w:val="en-GB"/>
    </w:rPr>
  </w:style>
  <w:style w:type="character" w:styleId="PageNumber">
    <w:name w:val="page number"/>
    <w:basedOn w:val="DefaultParagraphFont"/>
    <w:uiPriority w:val="99"/>
    <w:semiHidden/>
    <w:unhideWhenUsed/>
    <w:rsid w:val="00F7273F"/>
  </w:style>
  <w:style w:type="paragraph" w:styleId="FootnoteText">
    <w:name w:val="footnote text"/>
    <w:basedOn w:val="Normal"/>
    <w:link w:val="FootnoteTextChar"/>
    <w:uiPriority w:val="99"/>
    <w:semiHidden/>
    <w:unhideWhenUsed/>
    <w:rsid w:val="00A45EC1"/>
    <w:pPr>
      <w:spacing w:after="120"/>
      <w:jc w:val="both"/>
    </w:pPr>
    <w:rPr>
      <w:rFonts w:ascii="Arial" w:hAnsi="Arial"/>
      <w:sz w:val="20"/>
      <w:szCs w:val="20"/>
    </w:rPr>
  </w:style>
  <w:style w:type="character" w:customStyle="1" w:styleId="FootnoteTextChar">
    <w:name w:val="Footnote Text Char"/>
    <w:basedOn w:val="DefaultParagraphFont"/>
    <w:link w:val="FootnoteText"/>
    <w:uiPriority w:val="99"/>
    <w:semiHidden/>
    <w:rsid w:val="00A45EC1"/>
    <w:rPr>
      <w:rFonts w:ascii="Arial" w:hAnsi="Arial"/>
      <w:sz w:val="20"/>
      <w:szCs w:val="20"/>
      <w:lang w:val="en-GB"/>
    </w:rPr>
  </w:style>
  <w:style w:type="paragraph" w:styleId="Quote">
    <w:name w:val="Quote"/>
    <w:basedOn w:val="Normal"/>
    <w:next w:val="Normal"/>
    <w:link w:val="QuoteChar"/>
    <w:uiPriority w:val="29"/>
    <w:qFormat/>
    <w:rsid w:val="0086110C"/>
    <w:pPr>
      <w:spacing w:before="120" w:after="480"/>
      <w:ind w:left="862" w:right="862"/>
      <w:jc w:val="both"/>
    </w:pPr>
    <w:rPr>
      <w:rFonts w:ascii="Arial" w:hAnsi="Arial"/>
      <w:iCs/>
      <w:sz w:val="22"/>
    </w:rPr>
  </w:style>
  <w:style w:type="character" w:customStyle="1" w:styleId="QuoteChar">
    <w:name w:val="Quote Char"/>
    <w:basedOn w:val="DefaultParagraphFont"/>
    <w:link w:val="Quote"/>
    <w:uiPriority w:val="29"/>
    <w:rsid w:val="0086110C"/>
    <w:rPr>
      <w:rFonts w:ascii="Arial" w:hAnsi="Arial"/>
      <w:iCs/>
      <w:sz w:val="22"/>
      <w:lang w:val="en-GB"/>
    </w:rPr>
  </w:style>
  <w:style w:type="paragraph" w:styleId="BalloonText">
    <w:name w:val="Balloon Text"/>
    <w:basedOn w:val="Normal"/>
    <w:link w:val="BalloonTextChar"/>
    <w:uiPriority w:val="99"/>
    <w:semiHidden/>
    <w:unhideWhenUsed/>
    <w:rsid w:val="009149E7"/>
    <w:rPr>
      <w:sz w:val="18"/>
      <w:szCs w:val="18"/>
    </w:rPr>
  </w:style>
  <w:style w:type="character" w:customStyle="1" w:styleId="BalloonTextChar">
    <w:name w:val="Balloon Text Char"/>
    <w:basedOn w:val="DefaultParagraphFont"/>
    <w:link w:val="BalloonText"/>
    <w:uiPriority w:val="99"/>
    <w:semiHidden/>
    <w:rsid w:val="009149E7"/>
    <w:rPr>
      <w:rFonts w:ascii="Times New Roman" w:hAnsi="Times New Roman" w:cs="Times New Roman"/>
      <w:sz w:val="18"/>
      <w:szCs w:val="18"/>
      <w:lang w:val="en-GB"/>
    </w:rPr>
  </w:style>
  <w:style w:type="character" w:customStyle="1" w:styleId="Heading2Char">
    <w:name w:val="Heading 2 Char"/>
    <w:basedOn w:val="DefaultParagraphFont"/>
    <w:link w:val="Heading2"/>
    <w:uiPriority w:val="9"/>
    <w:rsid w:val="003E0160"/>
    <w:rPr>
      <w:rFonts w:ascii="Arial" w:eastAsiaTheme="majorEastAsia" w:hAnsi="Arial" w:cstheme="majorBidi"/>
      <w:b/>
      <w:i/>
      <w:szCs w:val="26"/>
      <w:lang w:val="en-GB"/>
    </w:rPr>
  </w:style>
  <w:style w:type="character" w:styleId="Hyperlink">
    <w:name w:val="Hyperlink"/>
    <w:basedOn w:val="DefaultParagraphFont"/>
    <w:uiPriority w:val="99"/>
    <w:unhideWhenUsed/>
    <w:rsid w:val="008D200F"/>
    <w:rPr>
      <w:color w:val="0563C1" w:themeColor="hyperlink"/>
      <w:u w:val="single"/>
    </w:rPr>
  </w:style>
  <w:style w:type="character" w:customStyle="1" w:styleId="UnresolvedMention1">
    <w:name w:val="Unresolved Mention1"/>
    <w:basedOn w:val="DefaultParagraphFont"/>
    <w:uiPriority w:val="99"/>
    <w:semiHidden/>
    <w:unhideWhenUsed/>
    <w:rsid w:val="008D200F"/>
    <w:rPr>
      <w:color w:val="605E5C"/>
      <w:shd w:val="clear" w:color="auto" w:fill="E1DFDD"/>
    </w:rPr>
  </w:style>
  <w:style w:type="paragraph" w:styleId="NormalWeb">
    <w:name w:val="Normal (Web)"/>
    <w:basedOn w:val="Normal"/>
    <w:uiPriority w:val="99"/>
    <w:semiHidden/>
    <w:unhideWhenUsed/>
    <w:rsid w:val="00C455CC"/>
    <w:pPr>
      <w:spacing w:before="100" w:beforeAutospacing="1" w:after="100" w:afterAutospacing="1"/>
    </w:pPr>
  </w:style>
  <w:style w:type="numbering" w:customStyle="1" w:styleId="CurrentList1">
    <w:name w:val="Current List1"/>
    <w:uiPriority w:val="99"/>
    <w:rsid w:val="00526828"/>
    <w:pPr>
      <w:numPr>
        <w:numId w:val="12"/>
      </w:numPr>
    </w:pPr>
  </w:style>
  <w:style w:type="character" w:customStyle="1" w:styleId="apple-converted-space">
    <w:name w:val="apple-converted-space"/>
    <w:basedOn w:val="DefaultParagraphFont"/>
    <w:rsid w:val="005C3FA9"/>
  </w:style>
  <w:style w:type="numbering" w:customStyle="1" w:styleId="CurrentList2">
    <w:name w:val="Current List2"/>
    <w:uiPriority w:val="99"/>
    <w:rsid w:val="006A166F"/>
    <w:pPr>
      <w:numPr>
        <w:numId w:val="13"/>
      </w:numPr>
    </w:pPr>
  </w:style>
  <w:style w:type="paragraph" w:customStyle="1" w:styleId="western">
    <w:name w:val="western"/>
    <w:basedOn w:val="Normal"/>
    <w:rsid w:val="004A0647"/>
    <w:pPr>
      <w:spacing w:before="100" w:beforeAutospacing="1" w:after="100" w:afterAutospacing="1"/>
    </w:pPr>
  </w:style>
  <w:style w:type="character" w:customStyle="1" w:styleId="mc">
    <w:name w:val="mc"/>
    <w:basedOn w:val="DefaultParagraphFont"/>
    <w:rsid w:val="00CE285B"/>
  </w:style>
  <w:style w:type="character" w:customStyle="1" w:styleId="italic">
    <w:name w:val="italic"/>
    <w:basedOn w:val="DefaultParagraphFont"/>
    <w:rsid w:val="00D300B8"/>
  </w:style>
  <w:style w:type="paragraph" w:customStyle="1" w:styleId="parafullout-6pt">
    <w:name w:val="parafullout-6pt"/>
    <w:basedOn w:val="Normal"/>
    <w:rsid w:val="005C2F2C"/>
    <w:pPr>
      <w:spacing w:before="100" w:beforeAutospacing="1" w:after="100" w:afterAutospacing="1"/>
    </w:pPr>
  </w:style>
  <w:style w:type="paragraph" w:customStyle="1" w:styleId="Quote1">
    <w:name w:val="Quote1"/>
    <w:basedOn w:val="Normal"/>
    <w:rsid w:val="005C2F2C"/>
    <w:pPr>
      <w:spacing w:before="100" w:beforeAutospacing="1" w:after="100" w:afterAutospacing="1"/>
    </w:pPr>
  </w:style>
  <w:style w:type="paragraph" w:customStyle="1" w:styleId="allsa-para10">
    <w:name w:val="allsa-para10"/>
    <w:basedOn w:val="Normal"/>
    <w:rsid w:val="003067F3"/>
    <w:pPr>
      <w:spacing w:before="100" w:beforeAutospacing="1" w:after="100" w:afterAutospacing="1"/>
    </w:pPr>
  </w:style>
  <w:style w:type="paragraph" w:customStyle="1" w:styleId="arunninghead">
    <w:name w:val="arunninghead"/>
    <w:basedOn w:val="Normal"/>
    <w:rsid w:val="003067F3"/>
    <w:pPr>
      <w:spacing w:before="100" w:beforeAutospacing="1" w:after="100" w:afterAutospacing="1"/>
    </w:pPr>
  </w:style>
  <w:style w:type="paragraph" w:customStyle="1" w:styleId="normaltext">
    <w:name w:val="normaltext"/>
    <w:basedOn w:val="Normal"/>
    <w:rsid w:val="006A5E30"/>
    <w:pPr>
      <w:spacing w:before="100" w:beforeAutospacing="1" w:after="100" w:afterAutospacing="1"/>
    </w:pPr>
  </w:style>
  <w:style w:type="character" w:customStyle="1" w:styleId="lphit">
    <w:name w:val="lphit"/>
    <w:basedOn w:val="DefaultParagraphFont"/>
    <w:rsid w:val="006A5E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591677">
      <w:bodyDiv w:val="1"/>
      <w:marLeft w:val="0"/>
      <w:marRight w:val="0"/>
      <w:marTop w:val="0"/>
      <w:marBottom w:val="0"/>
      <w:divBdr>
        <w:top w:val="none" w:sz="0" w:space="0" w:color="auto"/>
        <w:left w:val="none" w:sz="0" w:space="0" w:color="auto"/>
        <w:bottom w:val="none" w:sz="0" w:space="0" w:color="auto"/>
        <w:right w:val="none" w:sz="0" w:space="0" w:color="auto"/>
      </w:divBdr>
      <w:divsChild>
        <w:div w:id="1611889489">
          <w:marLeft w:val="0"/>
          <w:marRight w:val="0"/>
          <w:marTop w:val="120"/>
          <w:marBottom w:val="0"/>
          <w:divBdr>
            <w:top w:val="none" w:sz="0" w:space="0" w:color="auto"/>
            <w:left w:val="none" w:sz="0" w:space="0" w:color="auto"/>
            <w:bottom w:val="none" w:sz="0" w:space="0" w:color="auto"/>
            <w:right w:val="none" w:sz="0" w:space="0" w:color="auto"/>
          </w:divBdr>
        </w:div>
        <w:div w:id="189150689">
          <w:marLeft w:val="0"/>
          <w:marRight w:val="0"/>
          <w:marTop w:val="120"/>
          <w:marBottom w:val="0"/>
          <w:divBdr>
            <w:top w:val="none" w:sz="0" w:space="0" w:color="auto"/>
            <w:left w:val="none" w:sz="0" w:space="0" w:color="auto"/>
            <w:bottom w:val="none" w:sz="0" w:space="0" w:color="auto"/>
            <w:right w:val="none" w:sz="0" w:space="0" w:color="auto"/>
          </w:divBdr>
        </w:div>
      </w:divsChild>
    </w:div>
    <w:div w:id="308244376">
      <w:bodyDiv w:val="1"/>
      <w:marLeft w:val="0"/>
      <w:marRight w:val="0"/>
      <w:marTop w:val="0"/>
      <w:marBottom w:val="0"/>
      <w:divBdr>
        <w:top w:val="none" w:sz="0" w:space="0" w:color="auto"/>
        <w:left w:val="none" w:sz="0" w:space="0" w:color="auto"/>
        <w:bottom w:val="none" w:sz="0" w:space="0" w:color="auto"/>
        <w:right w:val="none" w:sz="0" w:space="0" w:color="auto"/>
      </w:divBdr>
    </w:div>
    <w:div w:id="340476231">
      <w:bodyDiv w:val="1"/>
      <w:marLeft w:val="0"/>
      <w:marRight w:val="0"/>
      <w:marTop w:val="0"/>
      <w:marBottom w:val="0"/>
      <w:divBdr>
        <w:top w:val="none" w:sz="0" w:space="0" w:color="auto"/>
        <w:left w:val="none" w:sz="0" w:space="0" w:color="auto"/>
        <w:bottom w:val="none" w:sz="0" w:space="0" w:color="auto"/>
        <w:right w:val="none" w:sz="0" w:space="0" w:color="auto"/>
      </w:divBdr>
    </w:div>
    <w:div w:id="349380227">
      <w:bodyDiv w:val="1"/>
      <w:marLeft w:val="0"/>
      <w:marRight w:val="0"/>
      <w:marTop w:val="0"/>
      <w:marBottom w:val="0"/>
      <w:divBdr>
        <w:top w:val="none" w:sz="0" w:space="0" w:color="auto"/>
        <w:left w:val="none" w:sz="0" w:space="0" w:color="auto"/>
        <w:bottom w:val="none" w:sz="0" w:space="0" w:color="auto"/>
        <w:right w:val="none" w:sz="0" w:space="0" w:color="auto"/>
      </w:divBdr>
      <w:divsChild>
        <w:div w:id="1823546937">
          <w:marLeft w:val="0"/>
          <w:marRight w:val="0"/>
          <w:marTop w:val="120"/>
          <w:marBottom w:val="0"/>
          <w:divBdr>
            <w:top w:val="none" w:sz="0" w:space="0" w:color="auto"/>
            <w:left w:val="none" w:sz="0" w:space="0" w:color="auto"/>
            <w:bottom w:val="none" w:sz="0" w:space="0" w:color="auto"/>
            <w:right w:val="none" w:sz="0" w:space="0" w:color="auto"/>
          </w:divBdr>
        </w:div>
        <w:div w:id="153843721">
          <w:marLeft w:val="0"/>
          <w:marRight w:val="0"/>
          <w:marTop w:val="120"/>
          <w:marBottom w:val="0"/>
          <w:divBdr>
            <w:top w:val="none" w:sz="0" w:space="0" w:color="auto"/>
            <w:left w:val="none" w:sz="0" w:space="0" w:color="auto"/>
            <w:bottom w:val="none" w:sz="0" w:space="0" w:color="auto"/>
            <w:right w:val="none" w:sz="0" w:space="0" w:color="auto"/>
          </w:divBdr>
        </w:div>
      </w:divsChild>
    </w:div>
    <w:div w:id="502090420">
      <w:bodyDiv w:val="1"/>
      <w:marLeft w:val="0"/>
      <w:marRight w:val="0"/>
      <w:marTop w:val="0"/>
      <w:marBottom w:val="0"/>
      <w:divBdr>
        <w:top w:val="none" w:sz="0" w:space="0" w:color="auto"/>
        <w:left w:val="none" w:sz="0" w:space="0" w:color="auto"/>
        <w:bottom w:val="none" w:sz="0" w:space="0" w:color="auto"/>
        <w:right w:val="none" w:sz="0" w:space="0" w:color="auto"/>
      </w:divBdr>
    </w:div>
    <w:div w:id="545989750">
      <w:bodyDiv w:val="1"/>
      <w:marLeft w:val="0"/>
      <w:marRight w:val="0"/>
      <w:marTop w:val="0"/>
      <w:marBottom w:val="0"/>
      <w:divBdr>
        <w:top w:val="none" w:sz="0" w:space="0" w:color="auto"/>
        <w:left w:val="none" w:sz="0" w:space="0" w:color="auto"/>
        <w:bottom w:val="none" w:sz="0" w:space="0" w:color="auto"/>
        <w:right w:val="none" w:sz="0" w:space="0" w:color="auto"/>
      </w:divBdr>
    </w:div>
    <w:div w:id="579412496">
      <w:bodyDiv w:val="1"/>
      <w:marLeft w:val="0"/>
      <w:marRight w:val="0"/>
      <w:marTop w:val="0"/>
      <w:marBottom w:val="0"/>
      <w:divBdr>
        <w:top w:val="none" w:sz="0" w:space="0" w:color="auto"/>
        <w:left w:val="none" w:sz="0" w:space="0" w:color="auto"/>
        <w:bottom w:val="none" w:sz="0" w:space="0" w:color="auto"/>
        <w:right w:val="none" w:sz="0" w:space="0" w:color="auto"/>
      </w:divBdr>
    </w:div>
    <w:div w:id="621576003">
      <w:bodyDiv w:val="1"/>
      <w:marLeft w:val="0"/>
      <w:marRight w:val="0"/>
      <w:marTop w:val="0"/>
      <w:marBottom w:val="0"/>
      <w:divBdr>
        <w:top w:val="none" w:sz="0" w:space="0" w:color="auto"/>
        <w:left w:val="none" w:sz="0" w:space="0" w:color="auto"/>
        <w:bottom w:val="none" w:sz="0" w:space="0" w:color="auto"/>
        <w:right w:val="none" w:sz="0" w:space="0" w:color="auto"/>
      </w:divBdr>
    </w:div>
    <w:div w:id="628632047">
      <w:bodyDiv w:val="1"/>
      <w:marLeft w:val="0"/>
      <w:marRight w:val="0"/>
      <w:marTop w:val="0"/>
      <w:marBottom w:val="0"/>
      <w:divBdr>
        <w:top w:val="none" w:sz="0" w:space="0" w:color="auto"/>
        <w:left w:val="none" w:sz="0" w:space="0" w:color="auto"/>
        <w:bottom w:val="none" w:sz="0" w:space="0" w:color="auto"/>
        <w:right w:val="none" w:sz="0" w:space="0" w:color="auto"/>
      </w:divBdr>
      <w:divsChild>
        <w:div w:id="483476279">
          <w:marLeft w:val="0"/>
          <w:marRight w:val="0"/>
          <w:marTop w:val="120"/>
          <w:marBottom w:val="0"/>
          <w:divBdr>
            <w:top w:val="none" w:sz="0" w:space="0" w:color="auto"/>
            <w:left w:val="none" w:sz="0" w:space="0" w:color="auto"/>
            <w:bottom w:val="none" w:sz="0" w:space="0" w:color="auto"/>
            <w:right w:val="none" w:sz="0" w:space="0" w:color="auto"/>
          </w:divBdr>
        </w:div>
        <w:div w:id="777914567">
          <w:marLeft w:val="567"/>
          <w:marRight w:val="0"/>
          <w:marTop w:val="60"/>
          <w:marBottom w:val="0"/>
          <w:divBdr>
            <w:top w:val="none" w:sz="0" w:space="0" w:color="auto"/>
            <w:left w:val="none" w:sz="0" w:space="0" w:color="auto"/>
            <w:bottom w:val="none" w:sz="0" w:space="0" w:color="auto"/>
            <w:right w:val="none" w:sz="0" w:space="0" w:color="auto"/>
          </w:divBdr>
        </w:div>
        <w:div w:id="1352105374">
          <w:marLeft w:val="0"/>
          <w:marRight w:val="0"/>
          <w:marTop w:val="120"/>
          <w:marBottom w:val="0"/>
          <w:divBdr>
            <w:top w:val="none" w:sz="0" w:space="0" w:color="auto"/>
            <w:left w:val="none" w:sz="0" w:space="0" w:color="auto"/>
            <w:bottom w:val="none" w:sz="0" w:space="0" w:color="auto"/>
            <w:right w:val="none" w:sz="0" w:space="0" w:color="auto"/>
          </w:divBdr>
        </w:div>
        <w:div w:id="934247758">
          <w:marLeft w:val="567"/>
          <w:marRight w:val="0"/>
          <w:marTop w:val="60"/>
          <w:marBottom w:val="0"/>
          <w:divBdr>
            <w:top w:val="none" w:sz="0" w:space="0" w:color="auto"/>
            <w:left w:val="none" w:sz="0" w:space="0" w:color="auto"/>
            <w:bottom w:val="none" w:sz="0" w:space="0" w:color="auto"/>
            <w:right w:val="none" w:sz="0" w:space="0" w:color="auto"/>
          </w:divBdr>
        </w:div>
        <w:div w:id="1438402541">
          <w:marLeft w:val="0"/>
          <w:marRight w:val="0"/>
          <w:marTop w:val="180"/>
          <w:marBottom w:val="60"/>
          <w:divBdr>
            <w:top w:val="single" w:sz="8" w:space="1" w:color="808080"/>
            <w:left w:val="none" w:sz="0" w:space="0" w:color="auto"/>
            <w:bottom w:val="none" w:sz="0" w:space="0" w:color="auto"/>
            <w:right w:val="none" w:sz="0" w:space="0" w:color="auto"/>
          </w:divBdr>
        </w:div>
        <w:div w:id="2099791889">
          <w:marLeft w:val="0"/>
          <w:marRight w:val="0"/>
          <w:marTop w:val="120"/>
          <w:marBottom w:val="0"/>
          <w:divBdr>
            <w:top w:val="none" w:sz="0" w:space="0" w:color="auto"/>
            <w:left w:val="none" w:sz="0" w:space="0" w:color="auto"/>
            <w:bottom w:val="none" w:sz="0" w:space="0" w:color="auto"/>
            <w:right w:val="none" w:sz="0" w:space="0" w:color="auto"/>
          </w:divBdr>
        </w:div>
        <w:div w:id="1598446144">
          <w:marLeft w:val="0"/>
          <w:marRight w:val="0"/>
          <w:marTop w:val="120"/>
          <w:marBottom w:val="0"/>
          <w:divBdr>
            <w:top w:val="none" w:sz="0" w:space="0" w:color="auto"/>
            <w:left w:val="none" w:sz="0" w:space="0" w:color="auto"/>
            <w:bottom w:val="none" w:sz="0" w:space="0" w:color="auto"/>
            <w:right w:val="none" w:sz="0" w:space="0" w:color="auto"/>
          </w:divBdr>
        </w:div>
        <w:div w:id="2101022508">
          <w:marLeft w:val="567"/>
          <w:marRight w:val="0"/>
          <w:marTop w:val="60"/>
          <w:marBottom w:val="0"/>
          <w:divBdr>
            <w:top w:val="none" w:sz="0" w:space="0" w:color="auto"/>
            <w:left w:val="none" w:sz="0" w:space="0" w:color="auto"/>
            <w:bottom w:val="none" w:sz="0" w:space="0" w:color="auto"/>
            <w:right w:val="none" w:sz="0" w:space="0" w:color="auto"/>
          </w:divBdr>
        </w:div>
      </w:divsChild>
    </w:div>
    <w:div w:id="654574247">
      <w:bodyDiv w:val="1"/>
      <w:marLeft w:val="0"/>
      <w:marRight w:val="0"/>
      <w:marTop w:val="0"/>
      <w:marBottom w:val="0"/>
      <w:divBdr>
        <w:top w:val="none" w:sz="0" w:space="0" w:color="auto"/>
        <w:left w:val="none" w:sz="0" w:space="0" w:color="auto"/>
        <w:bottom w:val="none" w:sz="0" w:space="0" w:color="auto"/>
        <w:right w:val="none" w:sz="0" w:space="0" w:color="auto"/>
      </w:divBdr>
    </w:div>
    <w:div w:id="661856796">
      <w:bodyDiv w:val="1"/>
      <w:marLeft w:val="0"/>
      <w:marRight w:val="0"/>
      <w:marTop w:val="0"/>
      <w:marBottom w:val="0"/>
      <w:divBdr>
        <w:top w:val="none" w:sz="0" w:space="0" w:color="auto"/>
        <w:left w:val="none" w:sz="0" w:space="0" w:color="auto"/>
        <w:bottom w:val="none" w:sz="0" w:space="0" w:color="auto"/>
        <w:right w:val="none" w:sz="0" w:space="0" w:color="auto"/>
      </w:divBdr>
      <w:divsChild>
        <w:div w:id="1624726874">
          <w:marLeft w:val="0"/>
          <w:marRight w:val="0"/>
          <w:marTop w:val="120"/>
          <w:marBottom w:val="0"/>
          <w:divBdr>
            <w:top w:val="none" w:sz="0" w:space="0" w:color="auto"/>
            <w:left w:val="none" w:sz="0" w:space="0" w:color="auto"/>
            <w:bottom w:val="none" w:sz="0" w:space="0" w:color="auto"/>
            <w:right w:val="none" w:sz="0" w:space="0" w:color="auto"/>
          </w:divBdr>
        </w:div>
        <w:div w:id="1669746301">
          <w:marLeft w:val="567"/>
          <w:marRight w:val="0"/>
          <w:marTop w:val="120"/>
          <w:marBottom w:val="0"/>
          <w:divBdr>
            <w:top w:val="none" w:sz="0" w:space="0" w:color="auto"/>
            <w:left w:val="none" w:sz="0" w:space="0" w:color="auto"/>
            <w:bottom w:val="none" w:sz="0" w:space="0" w:color="auto"/>
            <w:right w:val="none" w:sz="0" w:space="0" w:color="auto"/>
          </w:divBdr>
        </w:div>
        <w:div w:id="756484376">
          <w:marLeft w:val="0"/>
          <w:marRight w:val="0"/>
          <w:marTop w:val="120"/>
          <w:marBottom w:val="0"/>
          <w:divBdr>
            <w:top w:val="none" w:sz="0" w:space="0" w:color="auto"/>
            <w:left w:val="none" w:sz="0" w:space="0" w:color="auto"/>
            <w:bottom w:val="none" w:sz="0" w:space="0" w:color="auto"/>
            <w:right w:val="none" w:sz="0" w:space="0" w:color="auto"/>
          </w:divBdr>
        </w:div>
        <w:div w:id="1570534536">
          <w:marLeft w:val="0"/>
          <w:marRight w:val="0"/>
          <w:marTop w:val="120"/>
          <w:marBottom w:val="0"/>
          <w:divBdr>
            <w:top w:val="none" w:sz="0" w:space="0" w:color="auto"/>
            <w:left w:val="none" w:sz="0" w:space="0" w:color="auto"/>
            <w:bottom w:val="none" w:sz="0" w:space="0" w:color="auto"/>
            <w:right w:val="none" w:sz="0" w:space="0" w:color="auto"/>
          </w:divBdr>
        </w:div>
      </w:divsChild>
    </w:div>
    <w:div w:id="672143294">
      <w:bodyDiv w:val="1"/>
      <w:marLeft w:val="0"/>
      <w:marRight w:val="0"/>
      <w:marTop w:val="0"/>
      <w:marBottom w:val="0"/>
      <w:divBdr>
        <w:top w:val="none" w:sz="0" w:space="0" w:color="auto"/>
        <w:left w:val="none" w:sz="0" w:space="0" w:color="auto"/>
        <w:bottom w:val="none" w:sz="0" w:space="0" w:color="auto"/>
        <w:right w:val="none" w:sz="0" w:space="0" w:color="auto"/>
      </w:divBdr>
    </w:div>
    <w:div w:id="737629134">
      <w:bodyDiv w:val="1"/>
      <w:marLeft w:val="0"/>
      <w:marRight w:val="0"/>
      <w:marTop w:val="0"/>
      <w:marBottom w:val="0"/>
      <w:divBdr>
        <w:top w:val="none" w:sz="0" w:space="0" w:color="auto"/>
        <w:left w:val="none" w:sz="0" w:space="0" w:color="auto"/>
        <w:bottom w:val="none" w:sz="0" w:space="0" w:color="auto"/>
        <w:right w:val="none" w:sz="0" w:space="0" w:color="auto"/>
      </w:divBdr>
    </w:div>
    <w:div w:id="812134833">
      <w:bodyDiv w:val="1"/>
      <w:marLeft w:val="0"/>
      <w:marRight w:val="0"/>
      <w:marTop w:val="0"/>
      <w:marBottom w:val="0"/>
      <w:divBdr>
        <w:top w:val="none" w:sz="0" w:space="0" w:color="auto"/>
        <w:left w:val="none" w:sz="0" w:space="0" w:color="auto"/>
        <w:bottom w:val="none" w:sz="0" w:space="0" w:color="auto"/>
        <w:right w:val="none" w:sz="0" w:space="0" w:color="auto"/>
      </w:divBdr>
    </w:div>
    <w:div w:id="871572028">
      <w:bodyDiv w:val="1"/>
      <w:marLeft w:val="0"/>
      <w:marRight w:val="0"/>
      <w:marTop w:val="0"/>
      <w:marBottom w:val="0"/>
      <w:divBdr>
        <w:top w:val="none" w:sz="0" w:space="0" w:color="auto"/>
        <w:left w:val="none" w:sz="0" w:space="0" w:color="auto"/>
        <w:bottom w:val="none" w:sz="0" w:space="0" w:color="auto"/>
        <w:right w:val="none" w:sz="0" w:space="0" w:color="auto"/>
      </w:divBdr>
    </w:div>
    <w:div w:id="875966135">
      <w:bodyDiv w:val="1"/>
      <w:marLeft w:val="0"/>
      <w:marRight w:val="0"/>
      <w:marTop w:val="0"/>
      <w:marBottom w:val="0"/>
      <w:divBdr>
        <w:top w:val="none" w:sz="0" w:space="0" w:color="auto"/>
        <w:left w:val="none" w:sz="0" w:space="0" w:color="auto"/>
        <w:bottom w:val="none" w:sz="0" w:space="0" w:color="auto"/>
        <w:right w:val="none" w:sz="0" w:space="0" w:color="auto"/>
      </w:divBdr>
      <w:divsChild>
        <w:div w:id="959603760">
          <w:marLeft w:val="0"/>
          <w:marRight w:val="0"/>
          <w:marTop w:val="0"/>
          <w:marBottom w:val="0"/>
          <w:divBdr>
            <w:top w:val="none" w:sz="0" w:space="0" w:color="auto"/>
            <w:left w:val="none" w:sz="0" w:space="0" w:color="auto"/>
            <w:bottom w:val="none" w:sz="0" w:space="0" w:color="auto"/>
            <w:right w:val="none" w:sz="0" w:space="0" w:color="auto"/>
          </w:divBdr>
          <w:divsChild>
            <w:div w:id="1649551968">
              <w:marLeft w:val="0"/>
              <w:marRight w:val="0"/>
              <w:marTop w:val="0"/>
              <w:marBottom w:val="0"/>
              <w:divBdr>
                <w:top w:val="none" w:sz="0" w:space="0" w:color="auto"/>
                <w:left w:val="none" w:sz="0" w:space="0" w:color="auto"/>
                <w:bottom w:val="none" w:sz="0" w:space="0" w:color="auto"/>
                <w:right w:val="none" w:sz="0" w:space="0" w:color="auto"/>
              </w:divBdr>
              <w:divsChild>
                <w:div w:id="136814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269752">
      <w:bodyDiv w:val="1"/>
      <w:marLeft w:val="0"/>
      <w:marRight w:val="0"/>
      <w:marTop w:val="0"/>
      <w:marBottom w:val="0"/>
      <w:divBdr>
        <w:top w:val="none" w:sz="0" w:space="0" w:color="auto"/>
        <w:left w:val="none" w:sz="0" w:space="0" w:color="auto"/>
        <w:bottom w:val="none" w:sz="0" w:space="0" w:color="auto"/>
        <w:right w:val="none" w:sz="0" w:space="0" w:color="auto"/>
      </w:divBdr>
      <w:divsChild>
        <w:div w:id="31419238">
          <w:marLeft w:val="0"/>
          <w:marRight w:val="0"/>
          <w:marTop w:val="0"/>
          <w:marBottom w:val="0"/>
          <w:divBdr>
            <w:top w:val="none" w:sz="0" w:space="0" w:color="auto"/>
            <w:left w:val="none" w:sz="0" w:space="0" w:color="auto"/>
            <w:bottom w:val="none" w:sz="0" w:space="0" w:color="auto"/>
            <w:right w:val="none" w:sz="0" w:space="0" w:color="auto"/>
          </w:divBdr>
          <w:divsChild>
            <w:div w:id="1207915562">
              <w:marLeft w:val="0"/>
              <w:marRight w:val="0"/>
              <w:marTop w:val="0"/>
              <w:marBottom w:val="0"/>
              <w:divBdr>
                <w:top w:val="none" w:sz="0" w:space="0" w:color="auto"/>
                <w:left w:val="none" w:sz="0" w:space="0" w:color="auto"/>
                <w:bottom w:val="none" w:sz="0" w:space="0" w:color="auto"/>
                <w:right w:val="none" w:sz="0" w:space="0" w:color="auto"/>
              </w:divBdr>
              <w:divsChild>
                <w:div w:id="168142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638684">
      <w:bodyDiv w:val="1"/>
      <w:marLeft w:val="0"/>
      <w:marRight w:val="0"/>
      <w:marTop w:val="0"/>
      <w:marBottom w:val="0"/>
      <w:divBdr>
        <w:top w:val="none" w:sz="0" w:space="0" w:color="auto"/>
        <w:left w:val="none" w:sz="0" w:space="0" w:color="auto"/>
        <w:bottom w:val="none" w:sz="0" w:space="0" w:color="auto"/>
        <w:right w:val="none" w:sz="0" w:space="0" w:color="auto"/>
      </w:divBdr>
    </w:div>
    <w:div w:id="1221014192">
      <w:bodyDiv w:val="1"/>
      <w:marLeft w:val="0"/>
      <w:marRight w:val="0"/>
      <w:marTop w:val="0"/>
      <w:marBottom w:val="0"/>
      <w:divBdr>
        <w:top w:val="none" w:sz="0" w:space="0" w:color="auto"/>
        <w:left w:val="none" w:sz="0" w:space="0" w:color="auto"/>
        <w:bottom w:val="none" w:sz="0" w:space="0" w:color="auto"/>
        <w:right w:val="none" w:sz="0" w:space="0" w:color="auto"/>
      </w:divBdr>
    </w:div>
    <w:div w:id="1280993949">
      <w:bodyDiv w:val="1"/>
      <w:marLeft w:val="0"/>
      <w:marRight w:val="0"/>
      <w:marTop w:val="0"/>
      <w:marBottom w:val="0"/>
      <w:divBdr>
        <w:top w:val="none" w:sz="0" w:space="0" w:color="auto"/>
        <w:left w:val="none" w:sz="0" w:space="0" w:color="auto"/>
        <w:bottom w:val="none" w:sz="0" w:space="0" w:color="auto"/>
        <w:right w:val="none" w:sz="0" w:space="0" w:color="auto"/>
      </w:divBdr>
    </w:div>
    <w:div w:id="1283727081">
      <w:bodyDiv w:val="1"/>
      <w:marLeft w:val="0"/>
      <w:marRight w:val="0"/>
      <w:marTop w:val="0"/>
      <w:marBottom w:val="0"/>
      <w:divBdr>
        <w:top w:val="none" w:sz="0" w:space="0" w:color="auto"/>
        <w:left w:val="none" w:sz="0" w:space="0" w:color="auto"/>
        <w:bottom w:val="none" w:sz="0" w:space="0" w:color="auto"/>
        <w:right w:val="none" w:sz="0" w:space="0" w:color="auto"/>
      </w:divBdr>
    </w:div>
    <w:div w:id="1397363659">
      <w:bodyDiv w:val="1"/>
      <w:marLeft w:val="0"/>
      <w:marRight w:val="0"/>
      <w:marTop w:val="0"/>
      <w:marBottom w:val="0"/>
      <w:divBdr>
        <w:top w:val="none" w:sz="0" w:space="0" w:color="auto"/>
        <w:left w:val="none" w:sz="0" w:space="0" w:color="auto"/>
        <w:bottom w:val="none" w:sz="0" w:space="0" w:color="auto"/>
        <w:right w:val="none" w:sz="0" w:space="0" w:color="auto"/>
      </w:divBdr>
    </w:div>
    <w:div w:id="1426224330">
      <w:bodyDiv w:val="1"/>
      <w:marLeft w:val="0"/>
      <w:marRight w:val="0"/>
      <w:marTop w:val="0"/>
      <w:marBottom w:val="0"/>
      <w:divBdr>
        <w:top w:val="none" w:sz="0" w:space="0" w:color="auto"/>
        <w:left w:val="none" w:sz="0" w:space="0" w:color="auto"/>
        <w:bottom w:val="none" w:sz="0" w:space="0" w:color="auto"/>
        <w:right w:val="none" w:sz="0" w:space="0" w:color="auto"/>
      </w:divBdr>
    </w:div>
    <w:div w:id="1488133000">
      <w:bodyDiv w:val="1"/>
      <w:marLeft w:val="0"/>
      <w:marRight w:val="0"/>
      <w:marTop w:val="0"/>
      <w:marBottom w:val="0"/>
      <w:divBdr>
        <w:top w:val="none" w:sz="0" w:space="0" w:color="auto"/>
        <w:left w:val="none" w:sz="0" w:space="0" w:color="auto"/>
        <w:bottom w:val="none" w:sz="0" w:space="0" w:color="auto"/>
        <w:right w:val="none" w:sz="0" w:space="0" w:color="auto"/>
      </w:divBdr>
      <w:divsChild>
        <w:div w:id="1637876140">
          <w:marLeft w:val="0"/>
          <w:marRight w:val="0"/>
          <w:marTop w:val="120"/>
          <w:marBottom w:val="0"/>
          <w:divBdr>
            <w:top w:val="none" w:sz="0" w:space="0" w:color="auto"/>
            <w:left w:val="none" w:sz="0" w:space="0" w:color="auto"/>
            <w:bottom w:val="none" w:sz="0" w:space="0" w:color="auto"/>
            <w:right w:val="none" w:sz="0" w:space="0" w:color="auto"/>
          </w:divBdr>
        </w:div>
        <w:div w:id="755858128">
          <w:marLeft w:val="567"/>
          <w:marRight w:val="0"/>
          <w:marTop w:val="60"/>
          <w:marBottom w:val="0"/>
          <w:divBdr>
            <w:top w:val="none" w:sz="0" w:space="0" w:color="auto"/>
            <w:left w:val="none" w:sz="0" w:space="0" w:color="auto"/>
            <w:bottom w:val="none" w:sz="0" w:space="0" w:color="auto"/>
            <w:right w:val="none" w:sz="0" w:space="0" w:color="auto"/>
          </w:divBdr>
        </w:div>
        <w:div w:id="664747305">
          <w:marLeft w:val="567"/>
          <w:marRight w:val="0"/>
          <w:marTop w:val="60"/>
          <w:marBottom w:val="0"/>
          <w:divBdr>
            <w:top w:val="none" w:sz="0" w:space="0" w:color="auto"/>
            <w:left w:val="none" w:sz="0" w:space="0" w:color="auto"/>
            <w:bottom w:val="none" w:sz="0" w:space="0" w:color="auto"/>
            <w:right w:val="none" w:sz="0" w:space="0" w:color="auto"/>
          </w:divBdr>
        </w:div>
        <w:div w:id="1920751991">
          <w:marLeft w:val="567"/>
          <w:marRight w:val="0"/>
          <w:marTop w:val="60"/>
          <w:marBottom w:val="0"/>
          <w:divBdr>
            <w:top w:val="none" w:sz="0" w:space="0" w:color="auto"/>
            <w:left w:val="none" w:sz="0" w:space="0" w:color="auto"/>
            <w:bottom w:val="none" w:sz="0" w:space="0" w:color="auto"/>
            <w:right w:val="none" w:sz="0" w:space="0" w:color="auto"/>
          </w:divBdr>
        </w:div>
      </w:divsChild>
    </w:div>
    <w:div w:id="1546328936">
      <w:bodyDiv w:val="1"/>
      <w:marLeft w:val="0"/>
      <w:marRight w:val="0"/>
      <w:marTop w:val="0"/>
      <w:marBottom w:val="0"/>
      <w:divBdr>
        <w:top w:val="none" w:sz="0" w:space="0" w:color="auto"/>
        <w:left w:val="none" w:sz="0" w:space="0" w:color="auto"/>
        <w:bottom w:val="none" w:sz="0" w:space="0" w:color="auto"/>
        <w:right w:val="none" w:sz="0" w:space="0" w:color="auto"/>
      </w:divBdr>
    </w:div>
    <w:div w:id="1638611176">
      <w:bodyDiv w:val="1"/>
      <w:marLeft w:val="0"/>
      <w:marRight w:val="0"/>
      <w:marTop w:val="0"/>
      <w:marBottom w:val="0"/>
      <w:divBdr>
        <w:top w:val="none" w:sz="0" w:space="0" w:color="auto"/>
        <w:left w:val="none" w:sz="0" w:space="0" w:color="auto"/>
        <w:bottom w:val="none" w:sz="0" w:space="0" w:color="auto"/>
        <w:right w:val="none" w:sz="0" w:space="0" w:color="auto"/>
      </w:divBdr>
    </w:div>
    <w:div w:id="1649049254">
      <w:bodyDiv w:val="1"/>
      <w:marLeft w:val="0"/>
      <w:marRight w:val="0"/>
      <w:marTop w:val="0"/>
      <w:marBottom w:val="0"/>
      <w:divBdr>
        <w:top w:val="none" w:sz="0" w:space="0" w:color="auto"/>
        <w:left w:val="none" w:sz="0" w:space="0" w:color="auto"/>
        <w:bottom w:val="none" w:sz="0" w:space="0" w:color="auto"/>
        <w:right w:val="none" w:sz="0" w:space="0" w:color="auto"/>
      </w:divBdr>
    </w:div>
    <w:div w:id="1730376438">
      <w:bodyDiv w:val="1"/>
      <w:marLeft w:val="0"/>
      <w:marRight w:val="0"/>
      <w:marTop w:val="0"/>
      <w:marBottom w:val="0"/>
      <w:divBdr>
        <w:top w:val="none" w:sz="0" w:space="0" w:color="auto"/>
        <w:left w:val="none" w:sz="0" w:space="0" w:color="auto"/>
        <w:bottom w:val="none" w:sz="0" w:space="0" w:color="auto"/>
        <w:right w:val="none" w:sz="0" w:space="0" w:color="auto"/>
      </w:divBdr>
    </w:div>
    <w:div w:id="1796631654">
      <w:bodyDiv w:val="1"/>
      <w:marLeft w:val="0"/>
      <w:marRight w:val="0"/>
      <w:marTop w:val="0"/>
      <w:marBottom w:val="0"/>
      <w:divBdr>
        <w:top w:val="none" w:sz="0" w:space="0" w:color="auto"/>
        <w:left w:val="none" w:sz="0" w:space="0" w:color="auto"/>
        <w:bottom w:val="none" w:sz="0" w:space="0" w:color="auto"/>
        <w:right w:val="none" w:sz="0" w:space="0" w:color="auto"/>
      </w:divBdr>
    </w:div>
    <w:div w:id="1804079064">
      <w:bodyDiv w:val="1"/>
      <w:marLeft w:val="0"/>
      <w:marRight w:val="0"/>
      <w:marTop w:val="0"/>
      <w:marBottom w:val="0"/>
      <w:divBdr>
        <w:top w:val="none" w:sz="0" w:space="0" w:color="auto"/>
        <w:left w:val="none" w:sz="0" w:space="0" w:color="auto"/>
        <w:bottom w:val="none" w:sz="0" w:space="0" w:color="auto"/>
        <w:right w:val="none" w:sz="0" w:space="0" w:color="auto"/>
      </w:divBdr>
    </w:div>
    <w:div w:id="1920747761">
      <w:bodyDiv w:val="1"/>
      <w:marLeft w:val="0"/>
      <w:marRight w:val="0"/>
      <w:marTop w:val="0"/>
      <w:marBottom w:val="0"/>
      <w:divBdr>
        <w:top w:val="none" w:sz="0" w:space="0" w:color="auto"/>
        <w:left w:val="none" w:sz="0" w:space="0" w:color="auto"/>
        <w:bottom w:val="none" w:sz="0" w:space="0" w:color="auto"/>
        <w:right w:val="none" w:sz="0" w:space="0" w:color="auto"/>
      </w:divBdr>
    </w:div>
    <w:div w:id="1952514977">
      <w:bodyDiv w:val="1"/>
      <w:marLeft w:val="0"/>
      <w:marRight w:val="0"/>
      <w:marTop w:val="0"/>
      <w:marBottom w:val="0"/>
      <w:divBdr>
        <w:top w:val="none" w:sz="0" w:space="0" w:color="auto"/>
        <w:left w:val="none" w:sz="0" w:space="0" w:color="auto"/>
        <w:bottom w:val="none" w:sz="0" w:space="0" w:color="auto"/>
        <w:right w:val="none" w:sz="0" w:space="0" w:color="auto"/>
      </w:divBdr>
    </w:div>
    <w:div w:id="1993244028">
      <w:bodyDiv w:val="1"/>
      <w:marLeft w:val="0"/>
      <w:marRight w:val="0"/>
      <w:marTop w:val="0"/>
      <w:marBottom w:val="0"/>
      <w:divBdr>
        <w:top w:val="none" w:sz="0" w:space="0" w:color="auto"/>
        <w:left w:val="none" w:sz="0" w:space="0" w:color="auto"/>
        <w:bottom w:val="none" w:sz="0" w:space="0" w:color="auto"/>
        <w:right w:val="none" w:sz="0" w:space="0" w:color="auto"/>
      </w:divBdr>
    </w:div>
    <w:div w:id="2023118198">
      <w:bodyDiv w:val="1"/>
      <w:marLeft w:val="0"/>
      <w:marRight w:val="0"/>
      <w:marTop w:val="0"/>
      <w:marBottom w:val="0"/>
      <w:divBdr>
        <w:top w:val="none" w:sz="0" w:space="0" w:color="auto"/>
        <w:left w:val="none" w:sz="0" w:space="0" w:color="auto"/>
        <w:bottom w:val="none" w:sz="0" w:space="0" w:color="auto"/>
        <w:right w:val="none" w:sz="0" w:space="0" w:color="auto"/>
      </w:divBdr>
    </w:div>
    <w:div w:id="2038235608">
      <w:bodyDiv w:val="1"/>
      <w:marLeft w:val="0"/>
      <w:marRight w:val="0"/>
      <w:marTop w:val="0"/>
      <w:marBottom w:val="0"/>
      <w:divBdr>
        <w:top w:val="none" w:sz="0" w:space="0" w:color="auto"/>
        <w:left w:val="none" w:sz="0" w:space="0" w:color="auto"/>
        <w:bottom w:val="none" w:sz="0" w:space="0" w:color="auto"/>
        <w:right w:val="none" w:sz="0" w:space="0" w:color="auto"/>
      </w:divBdr>
    </w:div>
    <w:div w:id="2069692881">
      <w:bodyDiv w:val="1"/>
      <w:marLeft w:val="0"/>
      <w:marRight w:val="0"/>
      <w:marTop w:val="0"/>
      <w:marBottom w:val="0"/>
      <w:divBdr>
        <w:top w:val="none" w:sz="0" w:space="0" w:color="auto"/>
        <w:left w:val="none" w:sz="0" w:space="0" w:color="auto"/>
        <w:bottom w:val="none" w:sz="0" w:space="0" w:color="auto"/>
        <w:right w:val="none" w:sz="0" w:space="0" w:color="auto"/>
      </w:divBdr>
    </w:div>
    <w:div w:id="2124956613">
      <w:bodyDiv w:val="1"/>
      <w:marLeft w:val="0"/>
      <w:marRight w:val="0"/>
      <w:marTop w:val="0"/>
      <w:marBottom w:val="0"/>
      <w:divBdr>
        <w:top w:val="none" w:sz="0" w:space="0" w:color="auto"/>
        <w:left w:val="none" w:sz="0" w:space="0" w:color="auto"/>
        <w:bottom w:val="none" w:sz="0" w:space="0" w:color="auto"/>
        <w:right w:val="none" w:sz="0" w:space="0" w:color="auto"/>
      </w:divBdr>
      <w:divsChild>
        <w:div w:id="217472684">
          <w:marLeft w:val="0"/>
          <w:marRight w:val="0"/>
          <w:marTop w:val="0"/>
          <w:marBottom w:val="0"/>
          <w:divBdr>
            <w:top w:val="none" w:sz="0" w:space="0" w:color="auto"/>
            <w:left w:val="none" w:sz="0" w:space="0" w:color="auto"/>
            <w:bottom w:val="none" w:sz="0" w:space="0" w:color="auto"/>
            <w:right w:val="none" w:sz="0" w:space="0" w:color="auto"/>
          </w:divBdr>
          <w:divsChild>
            <w:div w:id="816914454">
              <w:marLeft w:val="0"/>
              <w:marRight w:val="0"/>
              <w:marTop w:val="0"/>
              <w:marBottom w:val="0"/>
              <w:divBdr>
                <w:top w:val="none" w:sz="0" w:space="0" w:color="auto"/>
                <w:left w:val="none" w:sz="0" w:space="0" w:color="auto"/>
                <w:bottom w:val="none" w:sz="0" w:space="0" w:color="auto"/>
                <w:right w:val="none" w:sz="0" w:space="0" w:color="auto"/>
              </w:divBdr>
              <w:divsChild>
                <w:div w:id="88055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file:////Users/Engelkok%201%202/Library/Containers/com.apple.mail/Data/Library/Mail%20Downloads/8289B2A4-337D-4C95-AFD5-71D14E98785F/y2005v4SApg212%250a" TargetMode="External"/><Relationship Id="rId13" Type="http://schemas.openxmlformats.org/officeDocument/2006/relationships/hyperlink" Target="file:////Users/Engelkok%201%202/Library/Containers/com.apple.mail/Data/Library/Mail%20Downloads/8289B2A4-337D-4C95-AFD5-71D14E98785F/y2020v2SApg526%250a" TargetMode="External"/><Relationship Id="rId3" Type="http://schemas.openxmlformats.org/officeDocument/2006/relationships/hyperlink" Target="file:////Users/Engelkok%201%202/Library/Containers/com.apple.mail/Data/Library/Mail%20Downloads/8289B2A4-337D-4C95-AFD5-71D14E98785F/y1946ADpg10%250a" TargetMode="External"/><Relationship Id="rId7" Type="http://schemas.openxmlformats.org/officeDocument/2006/relationships/hyperlink" Target="file:////Users/Engelkok%201%202/Library/Containers/com.apple.mail/Data/Library/Mail%20Downloads/8289B2A4-337D-4C95-AFD5-71D14E98785F/y1998v3SApg626%250a" TargetMode="External"/><Relationship Id="rId12" Type="http://schemas.openxmlformats.org/officeDocument/2006/relationships/hyperlink" Target="file:////Users/Engelkok%201%202/Library/Containers/com.apple.mail/Data/Library/Mail%20Downloads/8289B2A4-337D-4C95-AFD5-71D14E98785F/y2013v1SApg170%250a" TargetMode="External"/><Relationship Id="rId2" Type="http://schemas.openxmlformats.org/officeDocument/2006/relationships/hyperlink" Target="file:////Users/Engelkok%201%202/Library/Containers/com.apple.mail/Data/Library/Mail%20Downloads/8289B2A4-337D-4C95-AFD5-71D14E98785F/y1944ADpg456%250a" TargetMode="External"/><Relationship Id="rId1" Type="http://schemas.openxmlformats.org/officeDocument/2006/relationships/hyperlink" Target="file:////Users/Engelkok%201%202/Library/Containers/com.apple.mail/Data/Library/Mail%20Downloads/8289B2A4-337D-4C95-AFD5-71D14E98785F/y1949v3SApg637%250a" TargetMode="External"/><Relationship Id="rId6" Type="http://schemas.openxmlformats.org/officeDocument/2006/relationships/hyperlink" Target="file:////Users/Engelkok%201%202/Library/Containers/com.apple.mail/Data/Library/Mail%20Downloads/8289B2A4-337D-4C95-AFD5-71D14E98785F/y1992v3SApg136%250a" TargetMode="External"/><Relationship Id="rId11" Type="http://schemas.openxmlformats.org/officeDocument/2006/relationships/hyperlink" Target="file:////Users/Engelkok%201%202/Library/Containers/com.apple.mail/Data/Library/Mail%20Downloads/8289B2A4-337D-4C95-AFD5-71D14E98785F/y1953v2SApg151%250a" TargetMode="External"/><Relationship Id="rId5" Type="http://schemas.openxmlformats.org/officeDocument/2006/relationships/hyperlink" Target="file:////Users/Engelkok%201%202/Library/Containers/com.apple.mail/Data/Library/Mail%20Downloads/8289B2A4-337D-4C95-AFD5-71D14E98785F/y1985v3SApg566%250a" TargetMode="External"/><Relationship Id="rId15" Type="http://schemas.openxmlformats.org/officeDocument/2006/relationships/hyperlink" Target="https://app.jutastatevolve.co.za/researcher/gnr1258y1972" TargetMode="External"/><Relationship Id="rId10" Type="http://schemas.openxmlformats.org/officeDocument/2006/relationships/hyperlink" Target="file:////Users/Engelkok%201%202/Library/Containers/com.apple.mail/Data/Library/Mail%20Downloads/8289B2A4-337D-4C95-AFD5-71D14E98785F/y2009v3SApg47%250a" TargetMode="External"/><Relationship Id="rId4" Type="http://schemas.openxmlformats.org/officeDocument/2006/relationships/hyperlink" Target="file:////Users/Engelkok%201%202/Library/Containers/com.apple.mail/Data/Library/Mail%20Downloads/8289B2A4-337D-4C95-AFD5-71D14E98785F/y1948v3SApg514%250a" TargetMode="External"/><Relationship Id="rId9" Type="http://schemas.openxmlformats.org/officeDocument/2006/relationships/hyperlink" Target="file:////Users/Engelkok%201%202/Library/Containers/com.apple.mail/Data/Library/Mail%20Downloads/8289B2A4-337D-4C95-AFD5-71D14E98785F/y2005v4SApg468%250a" TargetMode="External"/><Relationship Id="rId14" Type="http://schemas.openxmlformats.org/officeDocument/2006/relationships/hyperlink" Target="file:////Users/Engelkok%201%202/Library/Containers/com.apple.mail/Data/Library/Mail%20Downloads/8289B2A4-337D-4C95-AFD5-71D14E98785F/y2020v5SApg576%250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ECCF86-77B5-4992-A307-61EA95E4A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5705</Words>
  <Characters>32524</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Sechaba Mohapi</dc:creator>
  <cp:keywords/>
  <dc:description/>
  <cp:lastModifiedBy>Graeme Rennie</cp:lastModifiedBy>
  <cp:revision>2</cp:revision>
  <cp:lastPrinted>2021-08-13T03:41:00Z</cp:lastPrinted>
  <dcterms:created xsi:type="dcterms:W3CDTF">2021-11-28T12:16:00Z</dcterms:created>
  <dcterms:modified xsi:type="dcterms:W3CDTF">2021-11-28T12:16:00Z</dcterms:modified>
</cp:coreProperties>
</file>