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793A" w14:textId="16E1AA39" w:rsidR="001A097C" w:rsidRDefault="00557290" w:rsidP="001A097C">
      <w:pPr>
        <w:jc w:val="center"/>
        <w:rPr>
          <w:rFonts w:cs="Arial"/>
          <w:b/>
        </w:rPr>
      </w:pPr>
      <w:r>
        <w:rPr>
          <w:noProof/>
          <w:color w:val="0D0D0D" w:themeColor="text1" w:themeTint="F2"/>
          <w:lang w:eastAsia="en-ZA"/>
        </w:rPr>
        <w:t>-</w:t>
      </w:r>
      <w:r w:rsidR="001A097C" w:rsidRPr="00204576">
        <w:rPr>
          <w:noProof/>
          <w:color w:val="0D0D0D" w:themeColor="text1" w:themeTint="F2"/>
          <w:lang w:eastAsia="en-ZA"/>
        </w:rPr>
        <w:drawing>
          <wp:inline distT="0" distB="0" distL="0" distR="0" wp14:anchorId="6A88F6F0" wp14:editId="237649B4">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31657366" w14:textId="77777777" w:rsidR="001A097C" w:rsidRPr="0085520D" w:rsidRDefault="001A097C" w:rsidP="001A097C">
      <w:pPr>
        <w:jc w:val="center"/>
        <w:rPr>
          <w:rFonts w:cs="Arial"/>
          <w:b/>
        </w:rPr>
      </w:pPr>
      <w:r w:rsidRPr="0085520D">
        <w:rPr>
          <w:rFonts w:cs="Arial"/>
          <w:b/>
        </w:rPr>
        <w:t>IN THE HIGH COURT OF SOUTH AFRICA</w:t>
      </w:r>
    </w:p>
    <w:p w14:paraId="1C08D4EB" w14:textId="77777777" w:rsidR="001A097C" w:rsidRPr="0085520D" w:rsidRDefault="001A097C" w:rsidP="001A097C">
      <w:pPr>
        <w:jc w:val="center"/>
        <w:rPr>
          <w:rFonts w:cs="Arial"/>
          <w:b/>
        </w:rPr>
      </w:pPr>
      <w:r w:rsidRPr="0085520D">
        <w:rPr>
          <w:rFonts w:cs="Arial"/>
          <w:b/>
        </w:rPr>
        <w:t xml:space="preserve"> (GAUTENG LOCAL DIVISION:  JOHANNESBURG)</w:t>
      </w:r>
    </w:p>
    <w:p w14:paraId="33781158" w14:textId="77777777" w:rsidR="004D0B01" w:rsidRDefault="004D0B01" w:rsidP="004D0B01">
      <w:pPr>
        <w:spacing w:before="120" w:after="120" w:line="240" w:lineRule="auto"/>
        <w:ind w:right="-46"/>
        <w:jc w:val="right"/>
        <w:rPr>
          <w:rFonts w:eastAsia="Times New Roman" w:cs="Arial"/>
          <w:b/>
          <w:szCs w:val="24"/>
          <w:lang w:val="en-GB" w:eastAsia="en-GB"/>
        </w:rPr>
      </w:pPr>
    </w:p>
    <w:p w14:paraId="47DC9D69" w14:textId="3DEE7769" w:rsidR="004D0B01" w:rsidRPr="00F212E7" w:rsidRDefault="004D0B01" w:rsidP="00F26D68">
      <w:pPr>
        <w:spacing w:before="120" w:after="120" w:line="240" w:lineRule="auto"/>
        <w:ind w:right="-46"/>
        <w:jc w:val="center"/>
        <w:rPr>
          <w:rFonts w:eastAsia="Times New Roman" w:cs="Arial"/>
          <w:b/>
          <w:szCs w:val="24"/>
          <w:lang w:val="en-GB" w:eastAsia="en-GB"/>
        </w:rPr>
      </w:pPr>
      <w:r w:rsidRPr="00F212E7">
        <w:rPr>
          <w:rFonts w:eastAsia="Times New Roman" w:cs="Arial"/>
          <w:b/>
          <w:noProof/>
          <w:szCs w:val="24"/>
          <w:lang w:eastAsia="en-ZA"/>
        </w:rPr>
        <mc:AlternateContent>
          <mc:Choice Requires="wps">
            <w:drawing>
              <wp:anchor distT="0" distB="0" distL="114300" distR="114300" simplePos="0" relativeHeight="251659264" behindDoc="0" locked="0" layoutInCell="1" allowOverlap="1" wp14:anchorId="316D24A7" wp14:editId="4323F661">
                <wp:simplePos x="0" y="0"/>
                <wp:positionH relativeFrom="margin">
                  <wp:posOffset>9525</wp:posOffset>
                </wp:positionH>
                <wp:positionV relativeFrom="paragraph">
                  <wp:posOffset>272415</wp:posOffset>
                </wp:positionV>
                <wp:extent cx="3314700" cy="1457325"/>
                <wp:effectExtent l="0" t="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1E4527CE" w14:textId="77777777" w:rsidR="004D0B01" w:rsidRPr="004120A8" w:rsidRDefault="004D0B01" w:rsidP="004D0B01">
                            <w:pPr>
                              <w:spacing w:after="120"/>
                              <w:ind w:right="28"/>
                              <w:jc w:val="center"/>
                              <w:rPr>
                                <w:rFonts w:ascii="Century Gothic" w:hAnsi="Century Gothic"/>
                                <w:b/>
                                <w:sz w:val="2"/>
                                <w:szCs w:val="18"/>
                              </w:rPr>
                            </w:pPr>
                          </w:p>
                          <w:p w14:paraId="5E14D297" w14:textId="7DDFE120" w:rsidR="004D0B01" w:rsidRPr="004120A8" w:rsidRDefault="00A114CA" w:rsidP="00A114CA">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4D0B01">
                              <w:rPr>
                                <w:rFonts w:ascii="Century Gothic" w:hAnsi="Century Gothic"/>
                                <w:sz w:val="18"/>
                                <w:szCs w:val="18"/>
                              </w:rPr>
                              <w:t>REPORTABLE: NO</w:t>
                            </w:r>
                          </w:p>
                          <w:p w14:paraId="5FDFD301" w14:textId="17A707B8" w:rsidR="004D0B01" w:rsidRPr="004120A8" w:rsidRDefault="00A114CA" w:rsidP="00A114CA">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4D0B01" w:rsidRPr="004120A8">
                              <w:rPr>
                                <w:rFonts w:ascii="Century Gothic" w:hAnsi="Century Gothic"/>
                                <w:sz w:val="18"/>
                                <w:szCs w:val="18"/>
                              </w:rPr>
                              <w:t>O</w:t>
                            </w:r>
                            <w:r w:rsidR="004D0B01">
                              <w:rPr>
                                <w:rFonts w:ascii="Century Gothic" w:hAnsi="Century Gothic"/>
                                <w:sz w:val="18"/>
                                <w:szCs w:val="18"/>
                              </w:rPr>
                              <w:t>F INTEREST TO OTHER JUDGES: NO</w:t>
                            </w:r>
                          </w:p>
                          <w:p w14:paraId="28AEB9A3" w14:textId="3F757219" w:rsidR="004D0B01" w:rsidRPr="00D257A8" w:rsidRDefault="00A114CA" w:rsidP="00A114CA">
                            <w:pPr>
                              <w:tabs>
                                <w:tab w:val="left" w:pos="900"/>
                              </w:tabs>
                              <w:spacing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4D0B01" w:rsidRPr="004120A8">
                              <w:rPr>
                                <w:rFonts w:ascii="Century Gothic" w:hAnsi="Century Gothic"/>
                                <w:sz w:val="18"/>
                                <w:szCs w:val="18"/>
                              </w:rPr>
                              <w:t xml:space="preserve">REVISED. </w:t>
                            </w:r>
                            <w:r w:rsidR="004D0B01">
                              <w:rPr>
                                <w:rFonts w:ascii="Century Gothic" w:hAnsi="Century Gothic"/>
                                <w:sz w:val="18"/>
                                <w:szCs w:val="18"/>
                              </w:rPr>
                              <w:t>NO</w:t>
                            </w:r>
                          </w:p>
                          <w:p w14:paraId="521467BF" w14:textId="77777777" w:rsidR="004D0B01" w:rsidRDefault="004D0B01" w:rsidP="004D0B01">
                            <w:pPr>
                              <w:spacing w:after="0" w:line="240" w:lineRule="auto"/>
                              <w:rPr>
                                <w:noProof/>
                              </w:rPr>
                            </w:pPr>
                          </w:p>
                          <w:p w14:paraId="73DCF9CD" w14:textId="77777777" w:rsidR="004D0B01" w:rsidRDefault="004D0B01" w:rsidP="004D0B01">
                            <w:pPr>
                              <w:spacing w:after="0" w:line="240" w:lineRule="auto"/>
                              <w:rPr>
                                <w:noProof/>
                              </w:rPr>
                            </w:pPr>
                          </w:p>
                          <w:p w14:paraId="7F68317E" w14:textId="77777777" w:rsidR="004D0B01" w:rsidRPr="00FD1FCB" w:rsidRDefault="004D0B01" w:rsidP="004D0B01">
                            <w:pPr>
                              <w:spacing w:after="0" w:line="240" w:lineRule="auto"/>
                              <w:rPr>
                                <w:rFonts w:ascii="Century Gothic" w:hAnsi="Century Gothic"/>
                                <w:sz w:val="18"/>
                                <w:szCs w:val="18"/>
                              </w:rPr>
                            </w:pPr>
                          </w:p>
                          <w:p w14:paraId="5B3FB113" w14:textId="77777777" w:rsidR="004D0B01" w:rsidRPr="004120A8" w:rsidRDefault="004D0B01" w:rsidP="004D0B01">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3578FAF2" w14:textId="3D99775F" w:rsidR="004D0B01" w:rsidRPr="004120A8" w:rsidRDefault="004D0B01" w:rsidP="004D0B01">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006E4549">
                              <w:rPr>
                                <w:rFonts w:ascii="Century Gothic" w:hAnsi="Century Gothic"/>
                                <w:b/>
                                <w:sz w:val="18"/>
                                <w:szCs w:val="18"/>
                              </w:rPr>
                              <w:t xml:space="preserve">                        </w:t>
                            </w:r>
                            <w:r w:rsidRPr="002D36AD">
                              <w:rPr>
                                <w:rFonts w:ascii="Century Gothic" w:hAnsi="Century Gothic"/>
                                <w:b/>
                                <w:sz w:val="18"/>
                                <w:szCs w:val="18"/>
                              </w:rPr>
                              <w:t>DATE</w:t>
                            </w:r>
                            <w:r>
                              <w:rPr>
                                <w:rFonts w:ascii="Century Gothic" w:hAnsi="Century Gothic"/>
                                <w:b/>
                                <w:sz w:val="18"/>
                                <w:szCs w:val="18"/>
                              </w:rPr>
                              <w:t xml:space="preserve">: </w:t>
                            </w:r>
                            <w:r w:rsidR="003B22B6">
                              <w:rPr>
                                <w:rFonts w:ascii="Century Gothic" w:hAnsi="Century Gothic"/>
                                <w:bCs/>
                                <w:sz w:val="18"/>
                                <w:szCs w:val="18"/>
                              </w:rPr>
                              <w:t>23</w:t>
                            </w:r>
                            <w:r w:rsidR="003B4C27">
                              <w:rPr>
                                <w:rFonts w:ascii="Century Gothic" w:hAnsi="Century Gothic"/>
                                <w:bCs/>
                                <w:sz w:val="18"/>
                                <w:szCs w:val="18"/>
                              </w:rPr>
                              <w:t xml:space="preserve"> </w:t>
                            </w:r>
                            <w:r w:rsidR="006B707F">
                              <w:rPr>
                                <w:rFonts w:ascii="Century Gothic" w:hAnsi="Century Gothic"/>
                                <w:bCs/>
                                <w:sz w:val="18"/>
                                <w:szCs w:val="18"/>
                              </w:rPr>
                              <w:t xml:space="preserve">November </w:t>
                            </w:r>
                            <w:r w:rsidR="0052311B">
                              <w:rPr>
                                <w:rFonts w:ascii="Century Gothic" w:hAnsi="Century Gothic"/>
                                <w:bCs/>
                                <w:sz w:val="18"/>
                                <w:szCs w:val="18"/>
                              </w:rPr>
                              <w:t>2021</w:t>
                            </w:r>
                          </w:p>
                          <w:p w14:paraId="7D3FF5F8" w14:textId="77777777" w:rsidR="004D0B01" w:rsidRPr="004120A8" w:rsidRDefault="004D0B01" w:rsidP="004D0B0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D24A7" id="_x0000_t202" coordsize="21600,21600" o:spt="202" path="m,l,21600r21600,l21600,xe">
                <v:stroke joinstyle="miter"/>
                <v:path gradientshapeok="t" o:connecttype="rect"/>
              </v:shapetype>
              <v:shape id="Text Box 1" o:spid="_x0000_s1026" type="#_x0000_t202" style="position:absolute;left:0;text-align:left;margin-left:.75pt;margin-top:21.45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">
                <v:textbox>
                  <w:txbxContent>
                    <w:p w14:paraId="1E4527CE" w14:textId="77777777" w:rsidR="004D0B01" w:rsidRPr="004120A8" w:rsidRDefault="004D0B01" w:rsidP="004D0B01">
                      <w:pPr>
                        <w:spacing w:after="120"/>
                        <w:ind w:right="28"/>
                        <w:jc w:val="center"/>
                        <w:rPr>
                          <w:rFonts w:ascii="Century Gothic" w:hAnsi="Century Gothic"/>
                          <w:b/>
                          <w:sz w:val="2"/>
                          <w:szCs w:val="18"/>
                        </w:rPr>
                      </w:pPr>
                    </w:p>
                    <w:p w14:paraId="5E14D297" w14:textId="7DDFE120" w:rsidR="004D0B01" w:rsidRPr="004120A8" w:rsidRDefault="00A114CA" w:rsidP="00A114CA">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4D0B01">
                        <w:rPr>
                          <w:rFonts w:ascii="Century Gothic" w:hAnsi="Century Gothic"/>
                          <w:sz w:val="18"/>
                          <w:szCs w:val="18"/>
                        </w:rPr>
                        <w:t>REPORTABLE: NO</w:t>
                      </w:r>
                    </w:p>
                    <w:p w14:paraId="5FDFD301" w14:textId="17A707B8" w:rsidR="004D0B01" w:rsidRPr="004120A8" w:rsidRDefault="00A114CA" w:rsidP="00A114CA">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4D0B01" w:rsidRPr="004120A8">
                        <w:rPr>
                          <w:rFonts w:ascii="Century Gothic" w:hAnsi="Century Gothic"/>
                          <w:sz w:val="18"/>
                          <w:szCs w:val="18"/>
                        </w:rPr>
                        <w:t>O</w:t>
                      </w:r>
                      <w:r w:rsidR="004D0B01">
                        <w:rPr>
                          <w:rFonts w:ascii="Century Gothic" w:hAnsi="Century Gothic"/>
                          <w:sz w:val="18"/>
                          <w:szCs w:val="18"/>
                        </w:rPr>
                        <w:t>F INTEREST TO OTHER JUDGES: NO</w:t>
                      </w:r>
                    </w:p>
                    <w:p w14:paraId="28AEB9A3" w14:textId="3F757219" w:rsidR="004D0B01" w:rsidRPr="00D257A8" w:rsidRDefault="00A114CA" w:rsidP="00A114CA">
                      <w:pPr>
                        <w:tabs>
                          <w:tab w:val="left" w:pos="900"/>
                        </w:tabs>
                        <w:spacing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4D0B01" w:rsidRPr="004120A8">
                        <w:rPr>
                          <w:rFonts w:ascii="Century Gothic" w:hAnsi="Century Gothic"/>
                          <w:sz w:val="18"/>
                          <w:szCs w:val="18"/>
                        </w:rPr>
                        <w:t xml:space="preserve">REVISED. </w:t>
                      </w:r>
                      <w:r w:rsidR="004D0B01">
                        <w:rPr>
                          <w:rFonts w:ascii="Century Gothic" w:hAnsi="Century Gothic"/>
                          <w:sz w:val="18"/>
                          <w:szCs w:val="18"/>
                        </w:rPr>
                        <w:t>NO</w:t>
                      </w:r>
                    </w:p>
                    <w:p w14:paraId="521467BF" w14:textId="77777777" w:rsidR="004D0B01" w:rsidRDefault="004D0B01" w:rsidP="004D0B01">
                      <w:pPr>
                        <w:spacing w:after="0" w:line="240" w:lineRule="auto"/>
                        <w:rPr>
                          <w:noProof/>
                        </w:rPr>
                      </w:pPr>
                    </w:p>
                    <w:p w14:paraId="73DCF9CD" w14:textId="77777777" w:rsidR="004D0B01" w:rsidRDefault="004D0B01" w:rsidP="004D0B01">
                      <w:pPr>
                        <w:spacing w:after="0" w:line="240" w:lineRule="auto"/>
                        <w:rPr>
                          <w:noProof/>
                        </w:rPr>
                      </w:pPr>
                    </w:p>
                    <w:p w14:paraId="7F68317E" w14:textId="77777777" w:rsidR="004D0B01" w:rsidRPr="00FD1FCB" w:rsidRDefault="004D0B01" w:rsidP="004D0B01">
                      <w:pPr>
                        <w:spacing w:after="0" w:line="240" w:lineRule="auto"/>
                        <w:rPr>
                          <w:rFonts w:ascii="Century Gothic" w:hAnsi="Century Gothic"/>
                          <w:sz w:val="18"/>
                          <w:szCs w:val="18"/>
                        </w:rPr>
                      </w:pPr>
                    </w:p>
                    <w:p w14:paraId="5B3FB113" w14:textId="77777777" w:rsidR="004D0B01" w:rsidRPr="004120A8" w:rsidRDefault="004D0B01" w:rsidP="004D0B01">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3578FAF2" w14:textId="3D99775F" w:rsidR="004D0B01" w:rsidRPr="004120A8" w:rsidRDefault="004D0B01" w:rsidP="004D0B01">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006E4549">
                        <w:rPr>
                          <w:rFonts w:ascii="Century Gothic" w:hAnsi="Century Gothic"/>
                          <w:b/>
                          <w:sz w:val="18"/>
                          <w:szCs w:val="18"/>
                        </w:rPr>
                        <w:t xml:space="preserve">                        </w:t>
                      </w:r>
                      <w:r w:rsidRPr="002D36AD">
                        <w:rPr>
                          <w:rFonts w:ascii="Century Gothic" w:hAnsi="Century Gothic"/>
                          <w:b/>
                          <w:sz w:val="18"/>
                          <w:szCs w:val="18"/>
                        </w:rPr>
                        <w:t>DATE</w:t>
                      </w:r>
                      <w:r>
                        <w:rPr>
                          <w:rFonts w:ascii="Century Gothic" w:hAnsi="Century Gothic"/>
                          <w:b/>
                          <w:sz w:val="18"/>
                          <w:szCs w:val="18"/>
                        </w:rPr>
                        <w:t xml:space="preserve">: </w:t>
                      </w:r>
                      <w:r w:rsidR="003B22B6">
                        <w:rPr>
                          <w:rFonts w:ascii="Century Gothic" w:hAnsi="Century Gothic"/>
                          <w:bCs/>
                          <w:sz w:val="18"/>
                          <w:szCs w:val="18"/>
                        </w:rPr>
                        <w:t>23</w:t>
                      </w:r>
                      <w:r w:rsidR="003B4C27">
                        <w:rPr>
                          <w:rFonts w:ascii="Century Gothic" w:hAnsi="Century Gothic"/>
                          <w:bCs/>
                          <w:sz w:val="18"/>
                          <w:szCs w:val="18"/>
                        </w:rPr>
                        <w:t xml:space="preserve"> </w:t>
                      </w:r>
                      <w:r w:rsidR="006B707F">
                        <w:rPr>
                          <w:rFonts w:ascii="Century Gothic" w:hAnsi="Century Gothic"/>
                          <w:bCs/>
                          <w:sz w:val="18"/>
                          <w:szCs w:val="18"/>
                        </w:rPr>
                        <w:t xml:space="preserve">November </w:t>
                      </w:r>
                      <w:r w:rsidR="0052311B">
                        <w:rPr>
                          <w:rFonts w:ascii="Century Gothic" w:hAnsi="Century Gothic"/>
                          <w:bCs/>
                          <w:sz w:val="18"/>
                          <w:szCs w:val="18"/>
                        </w:rPr>
                        <w:t>2021</w:t>
                      </w:r>
                    </w:p>
                    <w:p w14:paraId="7D3FF5F8" w14:textId="77777777" w:rsidR="004D0B01" w:rsidRPr="004120A8" w:rsidRDefault="004D0B01" w:rsidP="004D0B01">
                      <w:pPr>
                        <w:rPr>
                          <w:rFonts w:ascii="Century Gothic" w:hAnsi="Century Gothic"/>
                          <w:b/>
                          <w:sz w:val="2"/>
                          <w:szCs w:val="18"/>
                        </w:rPr>
                      </w:pPr>
                    </w:p>
                  </w:txbxContent>
                </v:textbox>
                <w10:wrap type="topAndBottom" anchorx="margin"/>
              </v:shape>
            </w:pict>
          </mc:Fallback>
        </mc:AlternateContent>
      </w:r>
      <w:r w:rsidR="00687926">
        <w:rPr>
          <w:rFonts w:eastAsia="Times New Roman" w:cs="Arial"/>
          <w:b/>
          <w:szCs w:val="24"/>
          <w:lang w:val="en-GB" w:eastAsia="en-GB"/>
        </w:rPr>
        <w:t xml:space="preserve">                                                                                                      </w:t>
      </w:r>
      <w:r w:rsidRPr="00F212E7">
        <w:rPr>
          <w:rFonts w:eastAsia="Times New Roman" w:cs="Arial"/>
          <w:b/>
          <w:szCs w:val="24"/>
          <w:lang w:val="en-GB" w:eastAsia="en-GB"/>
        </w:rPr>
        <w:t xml:space="preserve">CASE NO: </w:t>
      </w:r>
      <w:r w:rsidR="00F26D68">
        <w:rPr>
          <w:rFonts w:eastAsia="Times New Roman" w:cs="Arial"/>
          <w:b/>
          <w:szCs w:val="24"/>
          <w:lang w:val="en-GB" w:eastAsia="en-GB"/>
        </w:rPr>
        <w:t>2019/12874</w:t>
      </w:r>
    </w:p>
    <w:tbl>
      <w:tblPr>
        <w:tblW w:w="9309" w:type="dxa"/>
        <w:tblInd w:w="-95" w:type="dxa"/>
        <w:tblLook w:val="04A0" w:firstRow="1" w:lastRow="0" w:firstColumn="1" w:lastColumn="0" w:noHBand="0" w:noVBand="1"/>
      </w:tblPr>
      <w:tblGrid>
        <w:gridCol w:w="5624"/>
        <w:gridCol w:w="3685"/>
      </w:tblGrid>
      <w:tr w:rsidR="004D0B01" w:rsidRPr="00F212E7" w14:paraId="23814628" w14:textId="77777777" w:rsidTr="00242277">
        <w:tc>
          <w:tcPr>
            <w:tcW w:w="5624" w:type="dxa"/>
            <w:hideMark/>
          </w:tcPr>
          <w:p w14:paraId="758F9311" w14:textId="77777777" w:rsidR="004D0B01" w:rsidRPr="00F212E7" w:rsidRDefault="004D0B01" w:rsidP="00242277">
            <w:pPr>
              <w:spacing w:before="200" w:after="200" w:line="240" w:lineRule="exact"/>
              <w:ind w:right="28"/>
              <w:jc w:val="both"/>
              <w:rPr>
                <w:rFonts w:eastAsia="Times New Roman" w:cs="Arial"/>
                <w:szCs w:val="24"/>
                <w:lang w:val="en-GB"/>
              </w:rPr>
            </w:pPr>
          </w:p>
          <w:p w14:paraId="2009EFC9" w14:textId="77777777" w:rsidR="004D0B01" w:rsidRPr="00F212E7" w:rsidRDefault="004D0B01" w:rsidP="00242277">
            <w:pPr>
              <w:spacing w:before="200" w:after="200" w:line="240" w:lineRule="exact"/>
              <w:ind w:right="28"/>
              <w:jc w:val="both"/>
              <w:rPr>
                <w:rFonts w:eastAsia="Times New Roman" w:cs="Arial"/>
                <w:szCs w:val="24"/>
                <w:lang w:val="en-GB"/>
              </w:rPr>
            </w:pPr>
            <w:r w:rsidRPr="00F212E7">
              <w:rPr>
                <w:rFonts w:eastAsia="Times New Roman" w:cs="Arial"/>
                <w:szCs w:val="24"/>
                <w:lang w:val="en-GB"/>
              </w:rPr>
              <w:t>In the matter between:</w:t>
            </w:r>
          </w:p>
        </w:tc>
        <w:tc>
          <w:tcPr>
            <w:tcW w:w="3685" w:type="dxa"/>
          </w:tcPr>
          <w:p w14:paraId="3840A832" w14:textId="77777777" w:rsidR="004D0B01" w:rsidRPr="00F212E7" w:rsidRDefault="004D0B01" w:rsidP="00242277">
            <w:pPr>
              <w:spacing w:before="200" w:after="200" w:line="240" w:lineRule="exact"/>
              <w:ind w:right="28"/>
              <w:jc w:val="both"/>
              <w:rPr>
                <w:rFonts w:eastAsia="Times New Roman" w:cs="Arial"/>
                <w:szCs w:val="24"/>
                <w:lang w:val="en-GB"/>
              </w:rPr>
            </w:pPr>
          </w:p>
        </w:tc>
      </w:tr>
    </w:tbl>
    <w:p w14:paraId="1D05B0DA" w14:textId="77777777" w:rsidR="00B04874" w:rsidRDefault="00B04874" w:rsidP="00B04874">
      <w:pPr>
        <w:rPr>
          <w:rFonts w:cs="Arial"/>
          <w:b/>
        </w:rPr>
      </w:pPr>
    </w:p>
    <w:p w14:paraId="4C2D7C34" w14:textId="74D892D9" w:rsidR="001A097C" w:rsidRPr="00A523AD" w:rsidRDefault="00662240" w:rsidP="00F43DF6">
      <w:pPr>
        <w:rPr>
          <w:rFonts w:cs="Arial"/>
        </w:rPr>
      </w:pPr>
      <w:r>
        <w:rPr>
          <w:rFonts w:cs="Arial"/>
          <w:b/>
        </w:rPr>
        <w:t xml:space="preserve">THINA </w:t>
      </w:r>
      <w:r w:rsidR="00F85EA2">
        <w:rPr>
          <w:rFonts w:cs="Arial"/>
          <w:b/>
        </w:rPr>
        <w:t>BAM</w:t>
      </w:r>
      <w:r w:rsidR="00F43DF6">
        <w:rPr>
          <w:rFonts w:cs="Arial"/>
          <w:b/>
          <w:bCs/>
        </w:rPr>
        <w:t xml:space="preserve">BENI                                               </w:t>
      </w:r>
      <w:r w:rsidR="00864A5B">
        <w:rPr>
          <w:rFonts w:cs="Arial"/>
          <w:b/>
          <w:bCs/>
        </w:rPr>
        <w:t xml:space="preserve">                                           APPLICANT </w:t>
      </w:r>
      <w:r w:rsidR="00F43DF6">
        <w:rPr>
          <w:rFonts w:cs="Arial"/>
          <w:b/>
          <w:bCs/>
        </w:rPr>
        <w:t xml:space="preserve">                </w:t>
      </w:r>
      <w:r w:rsidR="001A097C">
        <w:rPr>
          <w:rFonts w:cs="Arial"/>
          <w:b/>
        </w:rPr>
        <w:tab/>
      </w:r>
      <w:r w:rsidR="001A097C">
        <w:rPr>
          <w:rFonts w:cs="Arial"/>
          <w:b/>
        </w:rPr>
        <w:tab/>
      </w:r>
      <w:r w:rsidR="001A097C">
        <w:rPr>
          <w:rFonts w:cs="Arial"/>
          <w:b/>
        </w:rPr>
        <w:tab/>
      </w:r>
      <w:r w:rsidR="001A097C">
        <w:rPr>
          <w:rFonts w:cs="Arial"/>
          <w:b/>
        </w:rPr>
        <w:tab/>
      </w:r>
      <w:r w:rsidR="001A097C" w:rsidRPr="00A523AD">
        <w:rPr>
          <w:rFonts w:cs="Arial"/>
          <w:b/>
        </w:rPr>
        <w:tab/>
      </w:r>
      <w:r w:rsidR="001A097C" w:rsidRPr="00A523AD">
        <w:rPr>
          <w:rFonts w:cs="Arial"/>
        </w:rPr>
        <w:tab/>
      </w:r>
      <w:r w:rsidR="001A097C">
        <w:rPr>
          <w:rFonts w:cs="Arial"/>
        </w:rPr>
        <w:tab/>
      </w:r>
      <w:r w:rsidR="00F85EA2">
        <w:rPr>
          <w:rFonts w:cs="Arial"/>
        </w:rPr>
        <w:t xml:space="preserve">                                  </w:t>
      </w:r>
    </w:p>
    <w:p w14:paraId="253CF9FC" w14:textId="77777777" w:rsidR="000D7370" w:rsidRDefault="000D7370" w:rsidP="001A097C">
      <w:pPr>
        <w:spacing w:line="480" w:lineRule="auto"/>
        <w:rPr>
          <w:rFonts w:cs="Arial"/>
        </w:rPr>
      </w:pPr>
    </w:p>
    <w:p w14:paraId="0802C45E" w14:textId="7A8396CC" w:rsidR="001A097C" w:rsidRDefault="00170D5C" w:rsidP="001A097C">
      <w:pPr>
        <w:spacing w:line="480" w:lineRule="auto"/>
        <w:rPr>
          <w:rFonts w:cs="Arial"/>
        </w:rPr>
      </w:pPr>
      <w:r>
        <w:rPr>
          <w:rFonts w:cs="Arial"/>
        </w:rPr>
        <w:t>a</w:t>
      </w:r>
      <w:r w:rsidR="001A097C" w:rsidRPr="00A523AD">
        <w:rPr>
          <w:rFonts w:cs="Arial"/>
        </w:rPr>
        <w:t>nd</w:t>
      </w:r>
    </w:p>
    <w:p w14:paraId="6D33F12F" w14:textId="40364065" w:rsidR="001A097C" w:rsidRPr="00A523AD" w:rsidRDefault="00F85EA2" w:rsidP="001A097C">
      <w:pPr>
        <w:spacing w:line="480" w:lineRule="auto"/>
        <w:rPr>
          <w:rFonts w:cs="Arial"/>
        </w:rPr>
      </w:pPr>
      <w:r>
        <w:rPr>
          <w:rFonts w:cs="Arial"/>
          <w:b/>
        </w:rPr>
        <w:t>DEMOCRATIC ALLIANCE</w:t>
      </w:r>
      <w:r w:rsidR="001A097C" w:rsidRPr="001C6971">
        <w:rPr>
          <w:rFonts w:cs="Arial"/>
          <w:b/>
        </w:rPr>
        <w:tab/>
      </w:r>
      <w:r w:rsidR="001A097C" w:rsidRPr="001C6971">
        <w:rPr>
          <w:rFonts w:cs="Arial"/>
          <w:b/>
        </w:rPr>
        <w:tab/>
      </w:r>
      <w:r w:rsidR="001A097C" w:rsidRPr="001C6971">
        <w:rPr>
          <w:rFonts w:cs="Arial"/>
          <w:b/>
        </w:rPr>
        <w:tab/>
      </w:r>
      <w:r w:rsidR="001A097C" w:rsidRPr="001C6971">
        <w:rPr>
          <w:rFonts w:cs="Arial"/>
          <w:b/>
        </w:rPr>
        <w:tab/>
      </w:r>
      <w:r w:rsidR="001A097C" w:rsidRPr="001C6971">
        <w:rPr>
          <w:rFonts w:cs="Arial"/>
          <w:b/>
        </w:rPr>
        <w:tab/>
      </w:r>
      <w:r w:rsidR="001A097C">
        <w:rPr>
          <w:rFonts w:cs="Arial"/>
        </w:rPr>
        <w:tab/>
      </w:r>
      <w:r w:rsidR="00864A5B">
        <w:rPr>
          <w:rFonts w:cs="Arial"/>
        </w:rPr>
        <w:t xml:space="preserve">     </w:t>
      </w:r>
      <w:r w:rsidR="00864A5B" w:rsidRPr="00864A5B">
        <w:rPr>
          <w:rFonts w:cs="Arial"/>
          <w:b/>
          <w:bCs/>
        </w:rPr>
        <w:t>RESPONDENT</w:t>
      </w:r>
    </w:p>
    <w:p w14:paraId="7CB88A43" w14:textId="77777777" w:rsidR="001A097C" w:rsidRDefault="001A097C" w:rsidP="00F43DF6">
      <w:pPr>
        <w:spacing w:line="480" w:lineRule="auto"/>
        <w:jc w:val="both"/>
        <w:rPr>
          <w:rFonts w:cs="Arial"/>
          <w:u w:val="single"/>
        </w:rPr>
      </w:pPr>
    </w:p>
    <w:p w14:paraId="4E9D25A6" w14:textId="77777777" w:rsidR="001A097C" w:rsidRPr="00864A5B" w:rsidRDefault="001A097C" w:rsidP="001A097C">
      <w:pPr>
        <w:pStyle w:val="Style1"/>
        <w:rPr>
          <w:b/>
          <w:bCs w:val="0"/>
          <w:color w:val="auto"/>
        </w:rPr>
      </w:pPr>
      <w:r w:rsidRPr="00864A5B">
        <w:rPr>
          <w:b/>
          <w:bCs w:val="0"/>
          <w:color w:val="auto"/>
        </w:rPr>
        <w:lastRenderedPageBreak/>
        <w:t>JUDGMENT</w:t>
      </w:r>
    </w:p>
    <w:p w14:paraId="7DBA2E23" w14:textId="77777777" w:rsidR="001A097C" w:rsidRPr="009527E8" w:rsidRDefault="001A097C" w:rsidP="001A097C">
      <w:pPr>
        <w:spacing w:line="480" w:lineRule="auto"/>
        <w:jc w:val="both"/>
        <w:rPr>
          <w:rFonts w:cs="Arial"/>
          <w:b/>
          <w:bCs/>
          <w:szCs w:val="24"/>
        </w:rPr>
      </w:pPr>
      <w:r w:rsidRPr="009527E8">
        <w:rPr>
          <w:rFonts w:cs="Arial"/>
          <w:b/>
          <w:bCs/>
          <w:szCs w:val="24"/>
        </w:rPr>
        <w:t xml:space="preserve">MANOIM J </w:t>
      </w:r>
    </w:p>
    <w:p w14:paraId="0F01BDB3" w14:textId="77777777" w:rsidR="001A097C" w:rsidRDefault="001A097C">
      <w:pPr>
        <w:rPr>
          <w:b/>
          <w:bCs/>
          <w:color w:val="0D0D0D" w:themeColor="text1" w:themeTint="F2"/>
        </w:rPr>
      </w:pPr>
    </w:p>
    <w:p w14:paraId="419ABA29" w14:textId="1EE482AA" w:rsidR="008019CF" w:rsidRPr="00A114CA" w:rsidRDefault="00A114CA" w:rsidP="00A114CA">
      <w:pPr>
        <w:spacing w:line="360" w:lineRule="auto"/>
        <w:ind w:left="360" w:hanging="360"/>
        <w:jc w:val="both"/>
        <w:rPr>
          <w:color w:val="0D0D0D" w:themeColor="text1" w:themeTint="F2"/>
        </w:rPr>
      </w:pPr>
      <w:r w:rsidRPr="00864A5B">
        <w:rPr>
          <w:color w:val="0D0D0D" w:themeColor="text1" w:themeTint="F2"/>
        </w:rPr>
        <w:t>[1]</w:t>
      </w:r>
      <w:r w:rsidRPr="00864A5B">
        <w:rPr>
          <w:color w:val="0D0D0D" w:themeColor="text1" w:themeTint="F2"/>
        </w:rPr>
        <w:tab/>
      </w:r>
      <w:r w:rsidR="008019CF" w:rsidRPr="00A114CA">
        <w:rPr>
          <w:color w:val="0D0D0D" w:themeColor="text1" w:themeTint="F2"/>
        </w:rPr>
        <w:t xml:space="preserve">On </w:t>
      </w:r>
      <w:r w:rsidR="00EF0F59" w:rsidRPr="00A114CA">
        <w:rPr>
          <w:color w:val="0D0D0D" w:themeColor="text1" w:themeTint="F2"/>
        </w:rPr>
        <w:t>24 July 2018, a</w:t>
      </w:r>
      <w:r w:rsidR="007E5391" w:rsidRPr="00A114CA">
        <w:rPr>
          <w:color w:val="0D0D0D" w:themeColor="text1" w:themeTint="F2"/>
        </w:rPr>
        <w:t xml:space="preserve"> Democratic Alliance (DA) </w:t>
      </w:r>
      <w:r w:rsidR="005E496E" w:rsidRPr="00A114CA">
        <w:rPr>
          <w:color w:val="0D0D0D" w:themeColor="text1" w:themeTint="F2"/>
        </w:rPr>
        <w:t xml:space="preserve">city councillor </w:t>
      </w:r>
      <w:r w:rsidR="007E5391" w:rsidRPr="00A114CA">
        <w:rPr>
          <w:color w:val="0D0D0D" w:themeColor="text1" w:themeTint="F2"/>
        </w:rPr>
        <w:t xml:space="preserve">in the </w:t>
      </w:r>
      <w:r w:rsidR="00EF0F59" w:rsidRPr="00A114CA">
        <w:rPr>
          <w:color w:val="0D0D0D" w:themeColor="text1" w:themeTint="F2"/>
        </w:rPr>
        <w:t>Ekurhuleni Metropolitan</w:t>
      </w:r>
      <w:r w:rsidR="007E5391" w:rsidRPr="00A114CA">
        <w:rPr>
          <w:color w:val="0D0D0D" w:themeColor="text1" w:themeTint="F2"/>
        </w:rPr>
        <w:t xml:space="preserve"> Municipality</w:t>
      </w:r>
      <w:r w:rsidR="005E496E" w:rsidRPr="00A114CA">
        <w:rPr>
          <w:color w:val="0D0D0D" w:themeColor="text1" w:themeTint="F2"/>
        </w:rPr>
        <w:t>,</w:t>
      </w:r>
      <w:r w:rsidR="008019CF" w:rsidRPr="00A114CA">
        <w:rPr>
          <w:color w:val="0D0D0D" w:themeColor="text1" w:themeTint="F2"/>
        </w:rPr>
        <w:t xml:space="preserve"> put up her hand to speak </w:t>
      </w:r>
      <w:r w:rsidR="007E5391" w:rsidRPr="00A114CA">
        <w:rPr>
          <w:color w:val="0D0D0D" w:themeColor="text1" w:themeTint="F2"/>
        </w:rPr>
        <w:t xml:space="preserve">at a meeting of her </w:t>
      </w:r>
      <w:r w:rsidR="00EF0F59" w:rsidRPr="00A114CA">
        <w:rPr>
          <w:color w:val="0D0D0D" w:themeColor="text1" w:themeTint="F2"/>
        </w:rPr>
        <w:t>party’s</w:t>
      </w:r>
      <w:r w:rsidR="007E5391" w:rsidRPr="00A114CA">
        <w:rPr>
          <w:color w:val="0D0D0D" w:themeColor="text1" w:themeTint="F2"/>
        </w:rPr>
        <w:t xml:space="preserve">’ council caucus. The agenda item then being discussed was known as the </w:t>
      </w:r>
      <w:r w:rsidR="0007397F" w:rsidRPr="00A114CA">
        <w:rPr>
          <w:color w:val="0D0D0D" w:themeColor="text1" w:themeTint="F2"/>
        </w:rPr>
        <w:t xml:space="preserve">congratulations and condolences segment. But the councillor </w:t>
      </w:r>
      <w:r w:rsidR="0075731B" w:rsidRPr="00A114CA">
        <w:rPr>
          <w:color w:val="0D0D0D" w:themeColor="text1" w:themeTint="F2"/>
        </w:rPr>
        <w:t xml:space="preserve">who rose </w:t>
      </w:r>
      <w:r w:rsidR="0007397F" w:rsidRPr="00A114CA">
        <w:rPr>
          <w:color w:val="0D0D0D" w:themeColor="text1" w:themeTint="F2"/>
        </w:rPr>
        <w:t xml:space="preserve">spoke to neither of these topics. Instead to the surprise of all </w:t>
      </w:r>
      <w:r w:rsidR="00EF0F59" w:rsidRPr="00A114CA">
        <w:rPr>
          <w:color w:val="0D0D0D" w:themeColor="text1" w:themeTint="F2"/>
        </w:rPr>
        <w:t>present she</w:t>
      </w:r>
      <w:r w:rsidR="008019CF" w:rsidRPr="00A114CA">
        <w:rPr>
          <w:color w:val="0D0D0D" w:themeColor="text1" w:themeTint="F2"/>
        </w:rPr>
        <w:t xml:space="preserve"> used the occasion </w:t>
      </w:r>
      <w:r w:rsidR="0075731B" w:rsidRPr="00A114CA">
        <w:rPr>
          <w:color w:val="0D0D0D" w:themeColor="text1" w:themeTint="F2"/>
        </w:rPr>
        <w:t>to say that the chairperson of the caucus had on four prior occasions sexually harassed her.</w:t>
      </w:r>
      <w:r w:rsidR="008019CF" w:rsidRPr="00A114CA">
        <w:rPr>
          <w:color w:val="0D0D0D" w:themeColor="text1" w:themeTint="F2"/>
        </w:rPr>
        <w:t xml:space="preserve"> </w:t>
      </w:r>
    </w:p>
    <w:p w14:paraId="446D004D" w14:textId="4664FE1B" w:rsidR="008019CF" w:rsidRPr="00A114CA" w:rsidRDefault="00A114CA" w:rsidP="00A114CA">
      <w:pPr>
        <w:spacing w:line="360" w:lineRule="auto"/>
        <w:ind w:left="360" w:hanging="360"/>
        <w:jc w:val="both"/>
        <w:rPr>
          <w:color w:val="0D0D0D" w:themeColor="text1" w:themeTint="F2"/>
        </w:rPr>
      </w:pPr>
      <w:r w:rsidRPr="00F43DF6">
        <w:rPr>
          <w:color w:val="0D0D0D" w:themeColor="text1" w:themeTint="F2"/>
        </w:rPr>
        <w:t>[2]</w:t>
      </w:r>
      <w:r w:rsidRPr="00F43DF6">
        <w:rPr>
          <w:color w:val="0D0D0D" w:themeColor="text1" w:themeTint="F2"/>
        </w:rPr>
        <w:tab/>
      </w:r>
      <w:r w:rsidR="008019CF" w:rsidRPr="00A114CA">
        <w:rPr>
          <w:color w:val="0D0D0D" w:themeColor="text1" w:themeTint="F2"/>
        </w:rPr>
        <w:t>That address and how the party dealt with its consequences are the subject matter of the relief sought in the matter. The applicant is the member who put up her hand to speak on that day. The party</w:t>
      </w:r>
      <w:r w:rsidR="00EF0F59" w:rsidRPr="00A114CA">
        <w:rPr>
          <w:color w:val="0D0D0D" w:themeColor="text1" w:themeTint="F2"/>
        </w:rPr>
        <w:t>,</w:t>
      </w:r>
      <w:r w:rsidR="008019CF" w:rsidRPr="00A114CA">
        <w:rPr>
          <w:color w:val="0D0D0D" w:themeColor="text1" w:themeTint="F2"/>
        </w:rPr>
        <w:t xml:space="preserve"> some of whose members heard her on that day</w:t>
      </w:r>
      <w:r w:rsidR="00EF0F59" w:rsidRPr="00A114CA">
        <w:rPr>
          <w:color w:val="0D0D0D" w:themeColor="text1" w:themeTint="F2"/>
        </w:rPr>
        <w:t>,</w:t>
      </w:r>
      <w:r w:rsidR="008019CF" w:rsidRPr="00A114CA">
        <w:rPr>
          <w:color w:val="0D0D0D" w:themeColor="text1" w:themeTint="F2"/>
        </w:rPr>
        <w:t xml:space="preserve"> is the respondent. </w:t>
      </w:r>
    </w:p>
    <w:p w14:paraId="2FB6BABB" w14:textId="25F7E8F1" w:rsidR="008019CF" w:rsidRPr="00A114CA" w:rsidRDefault="00A114CA" w:rsidP="00A114CA">
      <w:pPr>
        <w:spacing w:line="360" w:lineRule="auto"/>
        <w:ind w:left="360" w:hanging="360"/>
        <w:jc w:val="both"/>
        <w:rPr>
          <w:color w:val="0D0D0D" w:themeColor="text1" w:themeTint="F2"/>
        </w:rPr>
      </w:pPr>
      <w:r w:rsidRPr="00483F29">
        <w:rPr>
          <w:color w:val="0D0D0D" w:themeColor="text1" w:themeTint="F2"/>
        </w:rPr>
        <w:t>[3]</w:t>
      </w:r>
      <w:r w:rsidRPr="00483F29">
        <w:rPr>
          <w:color w:val="0D0D0D" w:themeColor="text1" w:themeTint="F2"/>
        </w:rPr>
        <w:tab/>
      </w:r>
      <w:r w:rsidR="00864A5B" w:rsidRPr="00A114CA">
        <w:rPr>
          <w:color w:val="0D0D0D" w:themeColor="text1" w:themeTint="F2"/>
        </w:rPr>
        <w:t>S</w:t>
      </w:r>
      <w:r w:rsidR="008019CF" w:rsidRPr="00A114CA">
        <w:rPr>
          <w:color w:val="0D0D0D" w:themeColor="text1" w:themeTint="F2"/>
        </w:rPr>
        <w:t>he alleges is that her complaint was not properly dealt with and ultimately dismissed</w:t>
      </w:r>
      <w:r w:rsidR="00864A5B" w:rsidRPr="00A114CA">
        <w:rPr>
          <w:color w:val="0D0D0D" w:themeColor="text1" w:themeTint="F2"/>
        </w:rPr>
        <w:t>.</w:t>
      </w:r>
      <w:r w:rsidR="008019CF" w:rsidRPr="00A114CA">
        <w:rPr>
          <w:color w:val="0D0D0D" w:themeColor="text1" w:themeTint="F2"/>
        </w:rPr>
        <w:t xml:space="preserve"> </w:t>
      </w:r>
      <w:r w:rsidR="00864A5B" w:rsidRPr="00A114CA">
        <w:rPr>
          <w:color w:val="0D0D0D" w:themeColor="text1" w:themeTint="F2"/>
        </w:rPr>
        <w:t>I</w:t>
      </w:r>
      <w:r w:rsidR="008019CF" w:rsidRPr="00A114CA">
        <w:rPr>
          <w:color w:val="0D0D0D" w:themeColor="text1" w:themeTint="F2"/>
        </w:rPr>
        <w:t>nstead</w:t>
      </w:r>
      <w:r w:rsidR="00864A5B" w:rsidRPr="00A114CA">
        <w:rPr>
          <w:color w:val="0D0D0D" w:themeColor="text1" w:themeTint="F2"/>
        </w:rPr>
        <w:t>,</w:t>
      </w:r>
      <w:r w:rsidR="008019CF" w:rsidRPr="00A114CA">
        <w:rPr>
          <w:color w:val="0D0D0D" w:themeColor="text1" w:themeTint="F2"/>
        </w:rPr>
        <w:t xml:space="preserve"> </w:t>
      </w:r>
      <w:r w:rsidR="00864A5B" w:rsidRPr="00A114CA">
        <w:rPr>
          <w:color w:val="0D0D0D" w:themeColor="text1" w:themeTint="F2"/>
        </w:rPr>
        <w:t xml:space="preserve">it </w:t>
      </w:r>
      <w:r w:rsidR="008019CF" w:rsidRPr="00A114CA">
        <w:rPr>
          <w:color w:val="0D0D0D" w:themeColor="text1" w:themeTint="F2"/>
        </w:rPr>
        <w:t>led to her as the complainant becoming the victim</w:t>
      </w:r>
      <w:r w:rsidR="00864A5B" w:rsidRPr="00A114CA">
        <w:rPr>
          <w:color w:val="0D0D0D" w:themeColor="text1" w:themeTint="F2"/>
        </w:rPr>
        <w:t>,</w:t>
      </w:r>
      <w:r w:rsidR="008019CF" w:rsidRPr="00A114CA">
        <w:rPr>
          <w:color w:val="0D0D0D" w:themeColor="text1" w:themeTint="F2"/>
        </w:rPr>
        <w:t xml:space="preserve"> as she faced subsequent disciplinary action to remove her from the caucus.</w:t>
      </w:r>
      <w:r w:rsidR="005E77AA" w:rsidRPr="00A114CA">
        <w:rPr>
          <w:color w:val="0D0D0D" w:themeColor="text1" w:themeTint="F2"/>
        </w:rPr>
        <w:t xml:space="preserve"> The disciplinary process against her has yet to be concluded</w:t>
      </w:r>
      <w:r w:rsidR="00864A5B" w:rsidRPr="00A114CA">
        <w:rPr>
          <w:color w:val="0D0D0D" w:themeColor="text1" w:themeTint="F2"/>
        </w:rPr>
        <w:t>,</w:t>
      </w:r>
      <w:r w:rsidR="005E77AA" w:rsidRPr="00A114CA">
        <w:rPr>
          <w:color w:val="0D0D0D" w:themeColor="text1" w:themeTint="F2"/>
        </w:rPr>
        <w:t xml:space="preserve"> as I explain later.</w:t>
      </w:r>
    </w:p>
    <w:p w14:paraId="67B7A2AD" w14:textId="60BACE05" w:rsidR="008019CF" w:rsidRPr="00A114CA" w:rsidRDefault="00A114CA" w:rsidP="00A114CA">
      <w:pPr>
        <w:spacing w:line="360" w:lineRule="auto"/>
        <w:ind w:left="360" w:hanging="360"/>
        <w:jc w:val="both"/>
        <w:rPr>
          <w:color w:val="0D0D0D" w:themeColor="text1" w:themeTint="F2"/>
        </w:rPr>
      </w:pPr>
      <w:r w:rsidRPr="00483F29">
        <w:rPr>
          <w:color w:val="0D0D0D" w:themeColor="text1" w:themeTint="F2"/>
        </w:rPr>
        <w:t>[4]</w:t>
      </w:r>
      <w:r w:rsidRPr="00483F29">
        <w:rPr>
          <w:color w:val="0D0D0D" w:themeColor="text1" w:themeTint="F2"/>
        </w:rPr>
        <w:tab/>
      </w:r>
      <w:r w:rsidR="008019CF" w:rsidRPr="00A114CA">
        <w:rPr>
          <w:color w:val="0D0D0D" w:themeColor="text1" w:themeTint="F2"/>
        </w:rPr>
        <w:t>T</w:t>
      </w:r>
      <w:r w:rsidR="009D62DC" w:rsidRPr="00A114CA">
        <w:rPr>
          <w:color w:val="0D0D0D" w:themeColor="text1" w:themeTint="F2"/>
        </w:rPr>
        <w:t xml:space="preserve">he story of subsequent events is much lengthier than that and has led to several internal party enquiries, magistrate court </w:t>
      </w:r>
      <w:r w:rsidR="005E496E" w:rsidRPr="00A114CA">
        <w:rPr>
          <w:color w:val="0D0D0D" w:themeColor="text1" w:themeTint="F2"/>
        </w:rPr>
        <w:t>proceedings</w:t>
      </w:r>
      <w:r w:rsidR="0051430E" w:rsidRPr="00A114CA">
        <w:rPr>
          <w:color w:val="0D0D0D" w:themeColor="text1" w:themeTint="F2"/>
        </w:rPr>
        <w:t xml:space="preserve"> brought by the applicant against five DA councillors for protection orders,</w:t>
      </w:r>
      <w:r w:rsidR="009D62DC" w:rsidRPr="00A114CA">
        <w:rPr>
          <w:color w:val="0D0D0D" w:themeColor="text1" w:themeTint="F2"/>
        </w:rPr>
        <w:t xml:space="preserve"> two urgent applications in this court</w:t>
      </w:r>
      <w:r w:rsidR="0051430E" w:rsidRPr="00A114CA">
        <w:rPr>
          <w:color w:val="0D0D0D" w:themeColor="text1" w:themeTint="F2"/>
        </w:rPr>
        <w:t xml:space="preserve"> to suspend the disciplinary enquiries against her </w:t>
      </w:r>
      <w:r w:rsidR="009D62DC" w:rsidRPr="00A114CA">
        <w:rPr>
          <w:color w:val="0D0D0D" w:themeColor="text1" w:themeTint="F2"/>
        </w:rPr>
        <w:t xml:space="preserve">and two others related to the magistrate court </w:t>
      </w:r>
      <w:r w:rsidR="0051430E" w:rsidRPr="00A114CA">
        <w:rPr>
          <w:color w:val="0D0D0D" w:themeColor="text1" w:themeTint="F2"/>
        </w:rPr>
        <w:t xml:space="preserve">protection order </w:t>
      </w:r>
      <w:r w:rsidR="005E496E" w:rsidRPr="00A114CA">
        <w:rPr>
          <w:color w:val="0D0D0D" w:themeColor="text1" w:themeTint="F2"/>
        </w:rPr>
        <w:t>processes</w:t>
      </w:r>
      <w:r w:rsidR="009D62DC" w:rsidRPr="00A114CA">
        <w:rPr>
          <w:color w:val="0D0D0D" w:themeColor="text1" w:themeTint="F2"/>
        </w:rPr>
        <w:t>.</w:t>
      </w:r>
    </w:p>
    <w:p w14:paraId="60EF2B97" w14:textId="7F12844A" w:rsidR="009D62DC" w:rsidRPr="00A114CA" w:rsidRDefault="00A114CA" w:rsidP="00A114CA">
      <w:pPr>
        <w:spacing w:line="360" w:lineRule="auto"/>
        <w:ind w:left="360" w:hanging="360"/>
        <w:jc w:val="both"/>
        <w:rPr>
          <w:color w:val="0D0D0D" w:themeColor="text1" w:themeTint="F2"/>
        </w:rPr>
      </w:pPr>
      <w:r w:rsidRPr="00483F29">
        <w:rPr>
          <w:color w:val="0D0D0D" w:themeColor="text1" w:themeTint="F2"/>
        </w:rPr>
        <w:t>[5]</w:t>
      </w:r>
      <w:r w:rsidRPr="00483F29">
        <w:rPr>
          <w:color w:val="0D0D0D" w:themeColor="text1" w:themeTint="F2"/>
        </w:rPr>
        <w:tab/>
      </w:r>
      <w:r w:rsidR="009D62DC" w:rsidRPr="00A114CA">
        <w:rPr>
          <w:color w:val="0D0D0D" w:themeColor="text1" w:themeTint="F2"/>
        </w:rPr>
        <w:t>The present proceedings</w:t>
      </w:r>
      <w:r w:rsidR="0051430E" w:rsidRPr="00A114CA">
        <w:rPr>
          <w:color w:val="0D0D0D" w:themeColor="text1" w:themeTint="F2"/>
        </w:rPr>
        <w:t xml:space="preserve"> however</w:t>
      </w:r>
      <w:r w:rsidR="009D62DC" w:rsidRPr="00A114CA">
        <w:rPr>
          <w:color w:val="0D0D0D" w:themeColor="text1" w:themeTint="F2"/>
        </w:rPr>
        <w:t xml:space="preserve"> are confined to </w:t>
      </w:r>
      <w:r w:rsidR="005E496E" w:rsidRPr="00A114CA">
        <w:rPr>
          <w:color w:val="0D0D0D" w:themeColor="text1" w:themeTint="F2"/>
        </w:rPr>
        <w:t>determining</w:t>
      </w:r>
      <w:r w:rsidR="009D62DC" w:rsidRPr="00A114CA">
        <w:rPr>
          <w:color w:val="0D0D0D" w:themeColor="text1" w:themeTint="F2"/>
        </w:rPr>
        <w:t xml:space="preserve"> the relief the applicant now seeks against the party. </w:t>
      </w:r>
      <w:r w:rsidR="005E496E" w:rsidRPr="00A114CA">
        <w:rPr>
          <w:color w:val="0D0D0D" w:themeColor="text1" w:themeTint="F2"/>
        </w:rPr>
        <w:t>Although</w:t>
      </w:r>
      <w:r w:rsidR="009D62DC" w:rsidRPr="00A114CA">
        <w:rPr>
          <w:color w:val="0D0D0D" w:themeColor="text1" w:themeTint="F2"/>
        </w:rPr>
        <w:t xml:space="preserve"> the original relief claimed </w:t>
      </w:r>
      <w:r w:rsidR="005E496E" w:rsidRPr="00A114CA">
        <w:rPr>
          <w:color w:val="0D0D0D" w:themeColor="text1" w:themeTint="F2"/>
        </w:rPr>
        <w:t xml:space="preserve">in her notice of motion </w:t>
      </w:r>
      <w:r w:rsidR="009D62DC" w:rsidRPr="00A114CA">
        <w:rPr>
          <w:color w:val="0D0D0D" w:themeColor="text1" w:themeTint="F2"/>
        </w:rPr>
        <w:t>was much more extensive the applicant now</w:t>
      </w:r>
      <w:r w:rsidR="005E496E" w:rsidRPr="00A114CA">
        <w:rPr>
          <w:color w:val="0D0D0D" w:themeColor="text1" w:themeTint="F2"/>
        </w:rPr>
        <w:t xml:space="preserve"> limits </w:t>
      </w:r>
      <w:r w:rsidR="007E5391" w:rsidRPr="00A114CA">
        <w:rPr>
          <w:color w:val="0D0D0D" w:themeColor="text1" w:themeTint="F2"/>
        </w:rPr>
        <w:t>her claims</w:t>
      </w:r>
      <w:r w:rsidR="009D62DC" w:rsidRPr="00A114CA">
        <w:rPr>
          <w:color w:val="0D0D0D" w:themeColor="text1" w:themeTint="F2"/>
        </w:rPr>
        <w:t xml:space="preserve"> </w:t>
      </w:r>
      <w:r w:rsidR="005E496E" w:rsidRPr="00A114CA">
        <w:rPr>
          <w:color w:val="0D0D0D" w:themeColor="text1" w:themeTint="F2"/>
        </w:rPr>
        <w:t xml:space="preserve">to </w:t>
      </w:r>
      <w:r w:rsidR="009D62DC" w:rsidRPr="00A114CA">
        <w:rPr>
          <w:color w:val="0D0D0D" w:themeColor="text1" w:themeTint="F2"/>
        </w:rPr>
        <w:t>the following five points of relief:</w:t>
      </w:r>
    </w:p>
    <w:p w14:paraId="268798A8" w14:textId="5101E1A5" w:rsidR="004003CD" w:rsidRPr="00A114CA" w:rsidRDefault="00A114CA" w:rsidP="00A114CA">
      <w:pPr>
        <w:spacing w:line="360" w:lineRule="auto"/>
        <w:ind w:left="1080" w:hanging="360"/>
        <w:jc w:val="both"/>
        <w:rPr>
          <w:i/>
          <w:iCs/>
          <w:color w:val="0D0D0D" w:themeColor="text1" w:themeTint="F2"/>
        </w:rPr>
      </w:pPr>
      <w:r w:rsidRPr="00483F29">
        <w:rPr>
          <w:i/>
          <w:iCs/>
          <w:color w:val="0D0D0D" w:themeColor="text1" w:themeTint="F2"/>
        </w:rPr>
        <w:lastRenderedPageBreak/>
        <w:t>a.</w:t>
      </w:r>
      <w:r w:rsidRPr="00483F29">
        <w:rPr>
          <w:i/>
          <w:iCs/>
          <w:color w:val="0D0D0D" w:themeColor="text1" w:themeTint="F2"/>
        </w:rPr>
        <w:tab/>
      </w:r>
      <w:r w:rsidR="005E496E" w:rsidRPr="00A114CA">
        <w:rPr>
          <w:color w:val="0D0D0D" w:themeColor="text1" w:themeTint="F2"/>
        </w:rPr>
        <w:t>“</w:t>
      </w:r>
      <w:r w:rsidR="004003CD" w:rsidRPr="00A114CA">
        <w:rPr>
          <w:i/>
          <w:iCs/>
          <w:color w:val="0D0D0D" w:themeColor="text1" w:themeTint="F2"/>
        </w:rPr>
        <w:t xml:space="preserve">The decision taken by the Respondent to suspend the Applicant is reviewed and set aside. </w:t>
      </w:r>
    </w:p>
    <w:p w14:paraId="6FA5C260" w14:textId="137FC83F" w:rsidR="004003CD" w:rsidRPr="00A114CA" w:rsidRDefault="00A114CA" w:rsidP="00A114CA">
      <w:pPr>
        <w:spacing w:line="360" w:lineRule="auto"/>
        <w:ind w:left="1080" w:hanging="360"/>
        <w:jc w:val="both"/>
        <w:rPr>
          <w:i/>
          <w:iCs/>
          <w:color w:val="0D0D0D" w:themeColor="text1" w:themeTint="F2"/>
        </w:rPr>
      </w:pPr>
      <w:r w:rsidRPr="00483F29">
        <w:rPr>
          <w:i/>
          <w:iCs/>
          <w:color w:val="0D0D0D" w:themeColor="text1" w:themeTint="F2"/>
        </w:rPr>
        <w:t>b.</w:t>
      </w:r>
      <w:r w:rsidRPr="00483F29">
        <w:rPr>
          <w:i/>
          <w:iCs/>
          <w:color w:val="0D0D0D" w:themeColor="text1" w:themeTint="F2"/>
        </w:rPr>
        <w:tab/>
      </w:r>
      <w:r w:rsidR="004003CD" w:rsidRPr="00A114CA">
        <w:rPr>
          <w:i/>
          <w:iCs/>
          <w:color w:val="0D0D0D" w:themeColor="text1" w:themeTint="F2"/>
        </w:rPr>
        <w:t>The suspension of the Applicant be uplifted thereby restoring the status quo ante, prior to suspension.</w:t>
      </w:r>
    </w:p>
    <w:p w14:paraId="6A424133" w14:textId="16DB0C94" w:rsidR="004003CD" w:rsidRPr="00A114CA" w:rsidRDefault="00A114CA" w:rsidP="00A114CA">
      <w:pPr>
        <w:spacing w:line="360" w:lineRule="auto"/>
        <w:ind w:left="1080" w:hanging="360"/>
        <w:jc w:val="both"/>
        <w:rPr>
          <w:i/>
          <w:iCs/>
          <w:color w:val="0D0D0D" w:themeColor="text1" w:themeTint="F2"/>
        </w:rPr>
      </w:pPr>
      <w:r w:rsidRPr="00483F29">
        <w:rPr>
          <w:i/>
          <w:iCs/>
          <w:color w:val="0D0D0D" w:themeColor="text1" w:themeTint="F2"/>
        </w:rPr>
        <w:t>c.</w:t>
      </w:r>
      <w:r w:rsidRPr="00483F29">
        <w:rPr>
          <w:i/>
          <w:iCs/>
          <w:color w:val="0D0D0D" w:themeColor="text1" w:themeTint="F2"/>
        </w:rPr>
        <w:tab/>
      </w:r>
      <w:r w:rsidR="004003CD" w:rsidRPr="00A114CA">
        <w:rPr>
          <w:i/>
          <w:iCs/>
          <w:color w:val="0D0D0D" w:themeColor="text1" w:themeTint="F2"/>
        </w:rPr>
        <w:t xml:space="preserve">The Respondent be interdicted and restrained from victimising the Applicant with the disciplinary actions it instituted in the past as a consequence of the Applicant lodging a complaint of sexual harassment, and any further disciplinary action and/or forms of victimisation or retaliation the Respondent might wish to invoke against the Applicant. </w:t>
      </w:r>
    </w:p>
    <w:p w14:paraId="5D71A6A2" w14:textId="5A6A0924" w:rsidR="004003CD" w:rsidRPr="00A114CA" w:rsidRDefault="00A114CA" w:rsidP="00A114CA">
      <w:pPr>
        <w:spacing w:line="360" w:lineRule="auto"/>
        <w:ind w:left="1080" w:hanging="360"/>
        <w:jc w:val="both"/>
        <w:rPr>
          <w:i/>
          <w:iCs/>
          <w:color w:val="0D0D0D" w:themeColor="text1" w:themeTint="F2"/>
        </w:rPr>
      </w:pPr>
      <w:r w:rsidRPr="00483F29">
        <w:rPr>
          <w:i/>
          <w:iCs/>
          <w:color w:val="0D0D0D" w:themeColor="text1" w:themeTint="F2"/>
        </w:rPr>
        <w:t>d.</w:t>
      </w:r>
      <w:r w:rsidRPr="00483F29">
        <w:rPr>
          <w:i/>
          <w:iCs/>
          <w:color w:val="0D0D0D" w:themeColor="text1" w:themeTint="F2"/>
        </w:rPr>
        <w:tab/>
      </w:r>
      <w:r w:rsidR="004003CD" w:rsidRPr="00A114CA">
        <w:rPr>
          <w:i/>
          <w:iCs/>
          <w:color w:val="0D0D0D" w:themeColor="text1" w:themeTint="F2"/>
        </w:rPr>
        <w:t xml:space="preserve"> That the Applicant's membership or participation in the "DA Official Contents 9" </w:t>
      </w:r>
      <w:r w:rsidR="00EF0F59" w:rsidRPr="00A114CA">
        <w:rPr>
          <w:i/>
          <w:iCs/>
          <w:color w:val="0D0D0D" w:themeColor="text1" w:themeTint="F2"/>
        </w:rPr>
        <w:t>WhatsApp</w:t>
      </w:r>
      <w:r w:rsidR="004003CD" w:rsidRPr="00A114CA">
        <w:rPr>
          <w:i/>
          <w:iCs/>
          <w:color w:val="0D0D0D" w:themeColor="text1" w:themeTint="F2"/>
        </w:rPr>
        <w:t xml:space="preserve"> group that was removed by Mr </w:t>
      </w:r>
      <w:proofErr w:type="spellStart"/>
      <w:r w:rsidR="004003CD" w:rsidRPr="00A114CA">
        <w:rPr>
          <w:i/>
          <w:iCs/>
          <w:color w:val="0D0D0D" w:themeColor="text1" w:themeTint="F2"/>
        </w:rPr>
        <w:t>Ashor</w:t>
      </w:r>
      <w:proofErr w:type="spellEnd"/>
      <w:r w:rsidR="004003CD" w:rsidRPr="00A114CA">
        <w:rPr>
          <w:i/>
          <w:iCs/>
          <w:color w:val="0D0D0D" w:themeColor="text1" w:themeTint="F2"/>
        </w:rPr>
        <w:t xml:space="preserve"> </w:t>
      </w:r>
      <w:proofErr w:type="spellStart"/>
      <w:r w:rsidR="004003CD" w:rsidRPr="00A114CA">
        <w:rPr>
          <w:i/>
          <w:iCs/>
          <w:color w:val="0D0D0D" w:themeColor="text1" w:themeTint="F2"/>
        </w:rPr>
        <w:t>Sarupen</w:t>
      </w:r>
      <w:proofErr w:type="spellEnd"/>
      <w:r w:rsidR="004003CD" w:rsidRPr="00A114CA">
        <w:rPr>
          <w:i/>
          <w:iCs/>
          <w:color w:val="0D0D0D" w:themeColor="text1" w:themeTint="F2"/>
        </w:rPr>
        <w:t xml:space="preserve"> MPL on Friday, 12 February 2021 restoring the Applicant's status quo </w:t>
      </w:r>
      <w:r w:rsidR="00EF0F59" w:rsidRPr="00A114CA">
        <w:rPr>
          <w:i/>
          <w:iCs/>
          <w:color w:val="0D0D0D" w:themeColor="text1" w:themeTint="F2"/>
        </w:rPr>
        <w:t>ante</w:t>
      </w:r>
      <w:r w:rsidR="00EF0F59" w:rsidRPr="00A114CA">
        <w:rPr>
          <w:color w:val="0D0D0D" w:themeColor="text1" w:themeTint="F2"/>
        </w:rPr>
        <w:t>. (</w:t>
      </w:r>
      <w:r w:rsidR="004102CE" w:rsidRPr="00A114CA">
        <w:rPr>
          <w:color w:val="0D0D0D" w:themeColor="text1" w:themeTint="F2"/>
        </w:rPr>
        <w:t>Sic)</w:t>
      </w:r>
      <w:r w:rsidR="004102CE" w:rsidRPr="00A114CA">
        <w:rPr>
          <w:i/>
          <w:iCs/>
          <w:color w:val="0D0D0D" w:themeColor="text1" w:themeTint="F2"/>
        </w:rPr>
        <w:t xml:space="preserve"> </w:t>
      </w:r>
    </w:p>
    <w:p w14:paraId="586A1B75" w14:textId="253DDB60" w:rsidR="004003CD" w:rsidRPr="00A114CA" w:rsidRDefault="00A114CA" w:rsidP="00A114CA">
      <w:pPr>
        <w:spacing w:line="360" w:lineRule="auto"/>
        <w:ind w:left="1080" w:hanging="360"/>
        <w:jc w:val="both"/>
        <w:rPr>
          <w:i/>
          <w:iCs/>
          <w:color w:val="0D0D0D" w:themeColor="text1" w:themeTint="F2"/>
        </w:rPr>
      </w:pPr>
      <w:r w:rsidRPr="00483F29">
        <w:rPr>
          <w:i/>
          <w:iCs/>
          <w:color w:val="0D0D0D" w:themeColor="text1" w:themeTint="F2"/>
        </w:rPr>
        <w:t>e.</w:t>
      </w:r>
      <w:r w:rsidRPr="00483F29">
        <w:rPr>
          <w:i/>
          <w:iCs/>
          <w:color w:val="0D0D0D" w:themeColor="text1" w:themeTint="F2"/>
        </w:rPr>
        <w:tab/>
      </w:r>
      <w:r w:rsidR="004003CD" w:rsidRPr="00A114CA">
        <w:rPr>
          <w:i/>
          <w:iCs/>
          <w:color w:val="0D0D0D" w:themeColor="text1" w:themeTint="F2"/>
        </w:rPr>
        <w:t>That leaders of the relevant structures of the Respondent where the Applicant's sexual harassment complaint was discussed issue unreserved apologies in writing to the Applicant, as well as in the presence of the Applicant in attendance at the meeting of each such structure of the Respondent.</w:t>
      </w:r>
    </w:p>
    <w:p w14:paraId="54132101" w14:textId="06B418FA" w:rsidR="009D62DC" w:rsidRPr="00483F29" w:rsidRDefault="009D62DC" w:rsidP="008645BE">
      <w:pPr>
        <w:pStyle w:val="ListParagraph"/>
        <w:spacing w:line="360" w:lineRule="auto"/>
        <w:ind w:left="360"/>
        <w:jc w:val="both"/>
        <w:rPr>
          <w:color w:val="0D0D0D" w:themeColor="text1" w:themeTint="F2"/>
        </w:rPr>
      </w:pPr>
    </w:p>
    <w:p w14:paraId="49E7C314" w14:textId="0BD6717A" w:rsidR="004102CE" w:rsidRPr="00483F29" w:rsidRDefault="004102CE" w:rsidP="00F43DF6">
      <w:pPr>
        <w:pStyle w:val="ListParagraph"/>
        <w:spacing w:line="360" w:lineRule="auto"/>
        <w:ind w:left="0"/>
        <w:rPr>
          <w:b/>
          <w:bCs/>
          <w:color w:val="0D0D0D" w:themeColor="text1" w:themeTint="F2"/>
        </w:rPr>
      </w:pPr>
      <w:r w:rsidRPr="00483F29">
        <w:rPr>
          <w:b/>
          <w:bCs/>
          <w:color w:val="0D0D0D" w:themeColor="text1" w:themeTint="F2"/>
        </w:rPr>
        <w:t xml:space="preserve">Background </w:t>
      </w:r>
    </w:p>
    <w:p w14:paraId="3CCC0B7E" w14:textId="6AEBE066" w:rsidR="00842BC9" w:rsidRPr="00A114CA" w:rsidRDefault="00A114CA" w:rsidP="00A114CA">
      <w:pPr>
        <w:spacing w:line="360" w:lineRule="auto"/>
        <w:ind w:left="360" w:hanging="360"/>
        <w:jc w:val="both"/>
        <w:rPr>
          <w:color w:val="0D0D0D" w:themeColor="text1" w:themeTint="F2"/>
        </w:rPr>
      </w:pPr>
      <w:r w:rsidRPr="00483F29">
        <w:rPr>
          <w:color w:val="0D0D0D" w:themeColor="text1" w:themeTint="F2"/>
        </w:rPr>
        <w:t>[6]</w:t>
      </w:r>
      <w:r w:rsidRPr="00483F29">
        <w:rPr>
          <w:color w:val="0D0D0D" w:themeColor="text1" w:themeTint="F2"/>
        </w:rPr>
        <w:tab/>
      </w:r>
      <w:r w:rsidR="00842BC9" w:rsidRPr="00A114CA">
        <w:rPr>
          <w:color w:val="0D0D0D" w:themeColor="text1" w:themeTint="F2"/>
        </w:rPr>
        <w:t xml:space="preserve">The papers in this matter are lengthy and include two urgent applications. </w:t>
      </w:r>
      <w:r w:rsidR="00040AF8" w:rsidRPr="00A114CA">
        <w:rPr>
          <w:color w:val="0D0D0D" w:themeColor="text1" w:themeTint="F2"/>
        </w:rPr>
        <w:t>Despite their length there is much repetition. The salient points relevant to this application can be set out briefly and</w:t>
      </w:r>
      <w:r w:rsidR="00DA4111" w:rsidRPr="00A114CA">
        <w:rPr>
          <w:color w:val="0D0D0D" w:themeColor="text1" w:themeTint="F2"/>
        </w:rPr>
        <w:t xml:space="preserve"> I do not need to go into them in any great detail</w:t>
      </w:r>
      <w:r w:rsidR="00AF6E69" w:rsidRPr="00A114CA">
        <w:rPr>
          <w:color w:val="0D0D0D" w:themeColor="text1" w:themeTint="F2"/>
        </w:rPr>
        <w:t>,</w:t>
      </w:r>
      <w:r w:rsidR="00DA4111" w:rsidRPr="00A114CA">
        <w:rPr>
          <w:color w:val="0D0D0D" w:themeColor="text1" w:themeTint="F2"/>
        </w:rPr>
        <w:t xml:space="preserve"> given the legal conclusions I have reached in this matter</w:t>
      </w:r>
      <w:r w:rsidR="00040AF8" w:rsidRPr="00A114CA">
        <w:rPr>
          <w:color w:val="0D0D0D" w:themeColor="text1" w:themeTint="F2"/>
        </w:rPr>
        <w:t>,</w:t>
      </w:r>
      <w:r w:rsidR="00DA4111" w:rsidRPr="00A114CA">
        <w:rPr>
          <w:color w:val="0D0D0D" w:themeColor="text1" w:themeTint="F2"/>
        </w:rPr>
        <w:t xml:space="preserve"> as I explain in the next section</w:t>
      </w:r>
      <w:r w:rsidR="00842BC9" w:rsidRPr="00A114CA">
        <w:rPr>
          <w:color w:val="0D0D0D" w:themeColor="text1" w:themeTint="F2"/>
        </w:rPr>
        <w:t xml:space="preserve">. </w:t>
      </w:r>
    </w:p>
    <w:p w14:paraId="214615AC" w14:textId="6FA2139C" w:rsidR="00B0243C" w:rsidRPr="00A114CA" w:rsidRDefault="00A114CA" w:rsidP="00A114CA">
      <w:pPr>
        <w:spacing w:line="360" w:lineRule="auto"/>
        <w:ind w:left="360" w:hanging="360"/>
        <w:jc w:val="both"/>
        <w:rPr>
          <w:color w:val="0D0D0D" w:themeColor="text1" w:themeTint="F2"/>
        </w:rPr>
      </w:pPr>
      <w:r w:rsidRPr="00483F29">
        <w:rPr>
          <w:color w:val="0D0D0D" w:themeColor="text1" w:themeTint="F2"/>
        </w:rPr>
        <w:t>[7]</w:t>
      </w:r>
      <w:r w:rsidRPr="00483F29">
        <w:rPr>
          <w:color w:val="0D0D0D" w:themeColor="text1" w:themeTint="F2"/>
        </w:rPr>
        <w:tab/>
      </w:r>
      <w:r w:rsidR="00B0243C" w:rsidRPr="00A114CA">
        <w:rPr>
          <w:color w:val="0D0D0D" w:themeColor="text1" w:themeTint="F2"/>
        </w:rPr>
        <w:t>The applicant</w:t>
      </w:r>
      <w:r w:rsidR="00B93E0E" w:rsidRPr="00A114CA">
        <w:rPr>
          <w:color w:val="0D0D0D" w:themeColor="text1" w:themeTint="F2"/>
        </w:rPr>
        <w:t>, who appears for herself,</w:t>
      </w:r>
      <w:r w:rsidR="00B0243C" w:rsidRPr="00A114CA">
        <w:rPr>
          <w:color w:val="0D0D0D" w:themeColor="text1" w:themeTint="F2"/>
        </w:rPr>
        <w:t xml:space="preserve"> and the respondent have </w:t>
      </w:r>
      <w:r w:rsidR="005E77AA" w:rsidRPr="00A114CA">
        <w:rPr>
          <w:color w:val="0D0D0D" w:themeColor="text1" w:themeTint="F2"/>
        </w:rPr>
        <w:t xml:space="preserve">usefully </w:t>
      </w:r>
      <w:r w:rsidR="00B0243C" w:rsidRPr="00A114CA">
        <w:rPr>
          <w:color w:val="0D0D0D" w:themeColor="text1" w:themeTint="F2"/>
        </w:rPr>
        <w:t>agreed upon a common cause chronology of the events</w:t>
      </w:r>
      <w:r w:rsidR="00040AF8" w:rsidRPr="00A114CA">
        <w:rPr>
          <w:color w:val="0D0D0D" w:themeColor="text1" w:themeTint="F2"/>
        </w:rPr>
        <w:t>,</w:t>
      </w:r>
      <w:r w:rsidR="00B0243C" w:rsidRPr="00A114CA">
        <w:rPr>
          <w:color w:val="0D0D0D" w:themeColor="text1" w:themeTint="F2"/>
        </w:rPr>
        <w:t xml:space="preserve"> and it is to this I now turn in sket</w:t>
      </w:r>
      <w:r w:rsidR="009C116D" w:rsidRPr="00A114CA">
        <w:rPr>
          <w:color w:val="0D0D0D" w:themeColor="text1" w:themeTint="F2"/>
        </w:rPr>
        <w:t>ching the background facts.</w:t>
      </w:r>
    </w:p>
    <w:p w14:paraId="3BFE521C" w14:textId="47911D09" w:rsidR="00842BC9" w:rsidRPr="00A114CA" w:rsidRDefault="00A114CA" w:rsidP="00A114CA">
      <w:pPr>
        <w:spacing w:line="360" w:lineRule="auto"/>
        <w:ind w:left="360" w:hanging="360"/>
        <w:jc w:val="both"/>
        <w:rPr>
          <w:color w:val="0D0D0D" w:themeColor="text1" w:themeTint="F2"/>
        </w:rPr>
      </w:pPr>
      <w:r w:rsidRPr="00483F29">
        <w:rPr>
          <w:color w:val="0D0D0D" w:themeColor="text1" w:themeTint="F2"/>
        </w:rPr>
        <w:t>[8]</w:t>
      </w:r>
      <w:r w:rsidRPr="00483F29">
        <w:rPr>
          <w:color w:val="0D0D0D" w:themeColor="text1" w:themeTint="F2"/>
        </w:rPr>
        <w:tab/>
      </w:r>
      <w:r w:rsidR="00842BC9" w:rsidRPr="00A114CA">
        <w:rPr>
          <w:color w:val="0D0D0D" w:themeColor="text1" w:themeTint="F2"/>
        </w:rPr>
        <w:t>Th</w:t>
      </w:r>
      <w:r w:rsidR="00DA4111" w:rsidRPr="00A114CA">
        <w:rPr>
          <w:color w:val="0D0D0D" w:themeColor="text1" w:themeTint="F2"/>
        </w:rPr>
        <w:t>e applicant alleges that on four separate occasions between 19 November 2016 and 15 September 2017</w:t>
      </w:r>
      <w:r w:rsidR="005E77AA" w:rsidRPr="00A114CA">
        <w:rPr>
          <w:color w:val="0D0D0D" w:themeColor="text1" w:themeTint="F2"/>
        </w:rPr>
        <w:t>,</w:t>
      </w:r>
      <w:r w:rsidR="00DA4111" w:rsidRPr="00A114CA">
        <w:rPr>
          <w:color w:val="0D0D0D" w:themeColor="text1" w:themeTint="F2"/>
        </w:rPr>
        <w:t xml:space="preserve"> Shadow </w:t>
      </w:r>
      <w:proofErr w:type="spellStart"/>
      <w:r w:rsidR="00DA4111" w:rsidRPr="00A114CA">
        <w:rPr>
          <w:color w:val="0D0D0D" w:themeColor="text1" w:themeTint="F2"/>
        </w:rPr>
        <w:t>Shabangu</w:t>
      </w:r>
      <w:proofErr w:type="spellEnd"/>
      <w:r w:rsidR="00DA4111" w:rsidRPr="00A114CA">
        <w:rPr>
          <w:color w:val="0D0D0D" w:themeColor="text1" w:themeTint="F2"/>
        </w:rPr>
        <w:t xml:space="preserve"> a DA councillor </w:t>
      </w:r>
      <w:r w:rsidR="005E77AA" w:rsidRPr="00A114CA">
        <w:rPr>
          <w:color w:val="0D0D0D" w:themeColor="text1" w:themeTint="F2"/>
        </w:rPr>
        <w:t xml:space="preserve">and the caucus chair </w:t>
      </w:r>
      <w:r w:rsidR="00DA4111" w:rsidRPr="00A114CA">
        <w:rPr>
          <w:color w:val="0D0D0D" w:themeColor="text1" w:themeTint="F2"/>
        </w:rPr>
        <w:t xml:space="preserve">sexually harassed her. The harassment comprised of remarks made to her which on </w:t>
      </w:r>
      <w:r w:rsidR="00DA4111" w:rsidRPr="00A114CA">
        <w:rPr>
          <w:color w:val="0D0D0D" w:themeColor="text1" w:themeTint="F2"/>
        </w:rPr>
        <w:lastRenderedPageBreak/>
        <w:t xml:space="preserve">some of these occasions had been made in the presence of others. On three of these occasions </w:t>
      </w:r>
      <w:proofErr w:type="spellStart"/>
      <w:r w:rsidR="00DA4111" w:rsidRPr="00A114CA">
        <w:rPr>
          <w:color w:val="0D0D0D" w:themeColor="text1" w:themeTint="F2"/>
        </w:rPr>
        <w:t>Shabangu</w:t>
      </w:r>
      <w:proofErr w:type="spellEnd"/>
      <w:r w:rsidR="00DA4111" w:rsidRPr="00A114CA">
        <w:rPr>
          <w:color w:val="0D0D0D" w:themeColor="text1" w:themeTint="F2"/>
        </w:rPr>
        <w:t xml:space="preserve"> is alleged to have made known his feelings towards her in what she regarded as a sexually predatory manner. On the fourth and most recent </w:t>
      </w:r>
      <w:r w:rsidR="00EF0F59" w:rsidRPr="00A114CA">
        <w:rPr>
          <w:color w:val="0D0D0D" w:themeColor="text1" w:themeTint="F2"/>
        </w:rPr>
        <w:t>occasion at</w:t>
      </w:r>
      <w:r w:rsidR="00DA4111" w:rsidRPr="00A114CA">
        <w:rPr>
          <w:color w:val="0D0D0D" w:themeColor="text1" w:themeTint="F2"/>
        </w:rPr>
        <w:t xml:space="preserve"> </w:t>
      </w:r>
      <w:r w:rsidR="00040AF8" w:rsidRPr="00A114CA">
        <w:rPr>
          <w:color w:val="0D0D0D" w:themeColor="text1" w:themeTint="F2"/>
        </w:rPr>
        <w:t xml:space="preserve">a </w:t>
      </w:r>
      <w:r w:rsidR="00DA4111" w:rsidRPr="00A114CA">
        <w:rPr>
          <w:color w:val="0D0D0D" w:themeColor="text1" w:themeTint="F2"/>
        </w:rPr>
        <w:t>conference of the party</w:t>
      </w:r>
      <w:r w:rsidR="00040AF8" w:rsidRPr="00A114CA">
        <w:rPr>
          <w:color w:val="0D0D0D" w:themeColor="text1" w:themeTint="F2"/>
        </w:rPr>
        <w:t>,</w:t>
      </w:r>
      <w:r w:rsidR="00DA4111" w:rsidRPr="00A114CA">
        <w:rPr>
          <w:color w:val="0D0D0D" w:themeColor="text1" w:themeTint="F2"/>
        </w:rPr>
        <w:t xml:space="preserve"> he had in</w:t>
      </w:r>
      <w:r w:rsidR="00F242A7" w:rsidRPr="00A114CA">
        <w:rPr>
          <w:color w:val="0D0D0D" w:themeColor="text1" w:themeTint="F2"/>
        </w:rPr>
        <w:t xml:space="preserve"> within earshot</w:t>
      </w:r>
      <w:r w:rsidR="00DA4111" w:rsidRPr="00A114CA">
        <w:rPr>
          <w:color w:val="0D0D0D" w:themeColor="text1" w:themeTint="F2"/>
        </w:rPr>
        <w:t xml:space="preserve"> of other</w:t>
      </w:r>
      <w:r w:rsidR="00BE0FA9" w:rsidRPr="00A114CA">
        <w:rPr>
          <w:color w:val="0D0D0D" w:themeColor="text1" w:themeTint="F2"/>
        </w:rPr>
        <w:t>s</w:t>
      </w:r>
      <w:r w:rsidR="00040AF8" w:rsidRPr="00A114CA">
        <w:rPr>
          <w:color w:val="0D0D0D" w:themeColor="text1" w:themeTint="F2"/>
        </w:rPr>
        <w:t>,</w:t>
      </w:r>
      <w:r w:rsidR="00DA4111" w:rsidRPr="00A114CA">
        <w:rPr>
          <w:color w:val="0D0D0D" w:themeColor="text1" w:themeTint="F2"/>
        </w:rPr>
        <w:t xml:space="preserve"> shouted </w:t>
      </w:r>
      <w:r w:rsidR="00F242A7" w:rsidRPr="00A114CA">
        <w:rPr>
          <w:color w:val="0D0D0D" w:themeColor="text1" w:themeTint="F2"/>
        </w:rPr>
        <w:t xml:space="preserve">out to </w:t>
      </w:r>
      <w:r w:rsidR="00DA4111" w:rsidRPr="00A114CA">
        <w:rPr>
          <w:color w:val="0D0D0D" w:themeColor="text1" w:themeTint="F2"/>
        </w:rPr>
        <w:t xml:space="preserve">her to give him her room number. </w:t>
      </w:r>
    </w:p>
    <w:p w14:paraId="6BC95F9F" w14:textId="268EDF8C" w:rsidR="004102CE" w:rsidRPr="00A114CA" w:rsidRDefault="00A114CA" w:rsidP="00A114CA">
      <w:pPr>
        <w:spacing w:line="360" w:lineRule="auto"/>
        <w:ind w:left="360" w:hanging="360"/>
        <w:jc w:val="both"/>
        <w:rPr>
          <w:color w:val="0D0D0D" w:themeColor="text1" w:themeTint="F2"/>
        </w:rPr>
      </w:pPr>
      <w:r w:rsidRPr="00483F29">
        <w:rPr>
          <w:color w:val="0D0D0D" w:themeColor="text1" w:themeTint="F2"/>
        </w:rPr>
        <w:t>[9]</w:t>
      </w:r>
      <w:r w:rsidRPr="00483F29">
        <w:rPr>
          <w:color w:val="0D0D0D" w:themeColor="text1" w:themeTint="F2"/>
        </w:rPr>
        <w:tab/>
      </w:r>
      <w:r w:rsidR="00BE0FA9" w:rsidRPr="00A114CA">
        <w:rPr>
          <w:color w:val="0D0D0D" w:themeColor="text1" w:themeTint="F2"/>
        </w:rPr>
        <w:t xml:space="preserve">The applicant lodged a complaint in writing against </w:t>
      </w:r>
      <w:proofErr w:type="spellStart"/>
      <w:r w:rsidR="00BE0FA9" w:rsidRPr="00A114CA">
        <w:rPr>
          <w:color w:val="0D0D0D" w:themeColor="text1" w:themeTint="F2"/>
        </w:rPr>
        <w:t>Shabangu</w:t>
      </w:r>
      <w:proofErr w:type="spellEnd"/>
      <w:r w:rsidR="00BE0FA9" w:rsidRPr="00A114CA">
        <w:rPr>
          <w:color w:val="0D0D0D" w:themeColor="text1" w:themeTint="F2"/>
        </w:rPr>
        <w:t xml:space="preserve"> with senior members of the DA on the same day she rose to speak at the caucus meeting, 2</w:t>
      </w:r>
      <w:r w:rsidR="00F242A7" w:rsidRPr="00A114CA">
        <w:rPr>
          <w:color w:val="0D0D0D" w:themeColor="text1" w:themeTint="F2"/>
        </w:rPr>
        <w:t>4</w:t>
      </w:r>
      <w:r w:rsidR="00BE0FA9" w:rsidRPr="00A114CA">
        <w:rPr>
          <w:color w:val="0D0D0D" w:themeColor="text1" w:themeTint="F2"/>
        </w:rPr>
        <w:t xml:space="preserve"> July 2018.</w:t>
      </w:r>
    </w:p>
    <w:p w14:paraId="405B0802" w14:textId="7BE236F1" w:rsidR="00BE0FA9" w:rsidRPr="00A114CA" w:rsidRDefault="00A114CA" w:rsidP="00A114CA">
      <w:pPr>
        <w:spacing w:line="360" w:lineRule="auto"/>
        <w:ind w:left="360" w:hanging="360"/>
        <w:jc w:val="both"/>
        <w:rPr>
          <w:color w:val="0D0D0D" w:themeColor="text1" w:themeTint="F2"/>
        </w:rPr>
      </w:pPr>
      <w:r w:rsidRPr="00483F29">
        <w:rPr>
          <w:color w:val="0D0D0D" w:themeColor="text1" w:themeTint="F2"/>
        </w:rPr>
        <w:t>[10]</w:t>
      </w:r>
      <w:r w:rsidRPr="00483F29">
        <w:rPr>
          <w:color w:val="0D0D0D" w:themeColor="text1" w:themeTint="F2"/>
        </w:rPr>
        <w:tab/>
      </w:r>
      <w:r w:rsidR="00BE0FA9" w:rsidRPr="00A114CA">
        <w:rPr>
          <w:color w:val="0D0D0D" w:themeColor="text1" w:themeTint="F2"/>
        </w:rPr>
        <w:t>Two days later what is called the first disciplinary committee convened and interview</w:t>
      </w:r>
      <w:r w:rsidR="00F242A7" w:rsidRPr="00A114CA">
        <w:rPr>
          <w:color w:val="0D0D0D" w:themeColor="text1" w:themeTint="F2"/>
        </w:rPr>
        <w:t>ed</w:t>
      </w:r>
      <w:r w:rsidR="00BE0FA9" w:rsidRPr="00A114CA">
        <w:rPr>
          <w:color w:val="0D0D0D" w:themeColor="text1" w:themeTint="F2"/>
        </w:rPr>
        <w:t xml:space="preserve"> both the applicant and </w:t>
      </w:r>
      <w:proofErr w:type="spellStart"/>
      <w:r w:rsidR="00BE0FA9" w:rsidRPr="00A114CA">
        <w:rPr>
          <w:color w:val="0D0D0D" w:themeColor="text1" w:themeTint="F2"/>
        </w:rPr>
        <w:t>Shabangu</w:t>
      </w:r>
      <w:proofErr w:type="spellEnd"/>
      <w:r w:rsidR="00BE0FA9" w:rsidRPr="00A114CA">
        <w:rPr>
          <w:color w:val="0D0D0D" w:themeColor="text1" w:themeTint="F2"/>
        </w:rPr>
        <w:t xml:space="preserve"> concerning the complaint.</w:t>
      </w:r>
      <w:r w:rsidR="00176FC4" w:rsidRPr="00A114CA">
        <w:rPr>
          <w:color w:val="0D0D0D" w:themeColor="text1" w:themeTint="F2"/>
        </w:rPr>
        <w:t xml:space="preserve"> The panel recommended mediation but both the applicant and </w:t>
      </w:r>
      <w:proofErr w:type="spellStart"/>
      <w:r w:rsidR="00176FC4" w:rsidRPr="00A114CA">
        <w:rPr>
          <w:color w:val="0D0D0D" w:themeColor="text1" w:themeTint="F2"/>
        </w:rPr>
        <w:t>Shabangu</w:t>
      </w:r>
      <w:proofErr w:type="spellEnd"/>
      <w:r w:rsidR="00176FC4" w:rsidRPr="00A114CA">
        <w:rPr>
          <w:color w:val="0D0D0D" w:themeColor="text1" w:themeTint="F2"/>
        </w:rPr>
        <w:t xml:space="preserve"> rejected this proposal.</w:t>
      </w:r>
    </w:p>
    <w:p w14:paraId="24DF66F4" w14:textId="24A5375F" w:rsidR="00BE0FA9" w:rsidRPr="00A114CA" w:rsidRDefault="00A114CA" w:rsidP="00A114CA">
      <w:pPr>
        <w:spacing w:line="360" w:lineRule="auto"/>
        <w:ind w:left="360" w:hanging="360"/>
        <w:jc w:val="both"/>
        <w:rPr>
          <w:color w:val="0D0D0D" w:themeColor="text1" w:themeTint="F2"/>
        </w:rPr>
      </w:pPr>
      <w:r w:rsidRPr="00483F29">
        <w:rPr>
          <w:color w:val="0D0D0D" w:themeColor="text1" w:themeTint="F2"/>
        </w:rPr>
        <w:t>[11]</w:t>
      </w:r>
      <w:r w:rsidRPr="00483F29">
        <w:rPr>
          <w:color w:val="0D0D0D" w:themeColor="text1" w:themeTint="F2"/>
        </w:rPr>
        <w:tab/>
      </w:r>
      <w:r w:rsidR="00BE0FA9" w:rsidRPr="00A114CA">
        <w:rPr>
          <w:color w:val="0D0D0D" w:themeColor="text1" w:themeTint="F2"/>
        </w:rPr>
        <w:t>On 22</w:t>
      </w:r>
      <w:r w:rsidR="00BE0FA9" w:rsidRPr="00A114CA">
        <w:rPr>
          <w:color w:val="0D0D0D" w:themeColor="text1" w:themeTint="F2"/>
          <w:vertAlign w:val="superscript"/>
        </w:rPr>
        <w:t>nd</w:t>
      </w:r>
      <w:r w:rsidR="00BE0FA9" w:rsidRPr="00A114CA">
        <w:rPr>
          <w:color w:val="0D0D0D" w:themeColor="text1" w:themeTint="F2"/>
        </w:rPr>
        <w:t xml:space="preserve"> and 24</w:t>
      </w:r>
      <w:r w:rsidR="00BE0FA9" w:rsidRPr="00A114CA">
        <w:rPr>
          <w:color w:val="0D0D0D" w:themeColor="text1" w:themeTint="F2"/>
          <w:vertAlign w:val="superscript"/>
        </w:rPr>
        <w:t>th</w:t>
      </w:r>
      <w:r w:rsidR="00BE0FA9" w:rsidRPr="00A114CA">
        <w:rPr>
          <w:color w:val="0D0D0D" w:themeColor="text1" w:themeTint="F2"/>
        </w:rPr>
        <w:t xml:space="preserve"> August a second panel was convened to investigate the complaint. This panel embarked on interviews with all the witnesses who the applicant had alleged would have overheard </w:t>
      </w:r>
      <w:proofErr w:type="spellStart"/>
      <w:r w:rsidR="00BE0FA9" w:rsidRPr="00A114CA">
        <w:rPr>
          <w:color w:val="0D0D0D" w:themeColor="text1" w:themeTint="F2"/>
        </w:rPr>
        <w:t>Shabangu’s</w:t>
      </w:r>
      <w:proofErr w:type="spellEnd"/>
      <w:r w:rsidR="00BE0FA9" w:rsidRPr="00A114CA">
        <w:rPr>
          <w:color w:val="0D0D0D" w:themeColor="text1" w:themeTint="F2"/>
        </w:rPr>
        <w:t xml:space="preserve"> remarks. According to the respondent none of these witnesses confirmed the applicant’s version. </w:t>
      </w:r>
    </w:p>
    <w:p w14:paraId="7BFEEC17" w14:textId="2B7E919D" w:rsidR="00176FC4" w:rsidRPr="00A114CA" w:rsidRDefault="00A114CA" w:rsidP="00A114CA">
      <w:pPr>
        <w:spacing w:line="360" w:lineRule="auto"/>
        <w:ind w:left="360" w:hanging="360"/>
        <w:jc w:val="both"/>
        <w:rPr>
          <w:color w:val="0D0D0D" w:themeColor="text1" w:themeTint="F2"/>
        </w:rPr>
      </w:pPr>
      <w:r w:rsidRPr="00483F29">
        <w:rPr>
          <w:color w:val="0D0D0D" w:themeColor="text1" w:themeTint="F2"/>
        </w:rPr>
        <w:t>[12]</w:t>
      </w:r>
      <w:r w:rsidRPr="00483F29">
        <w:rPr>
          <w:color w:val="0D0D0D" w:themeColor="text1" w:themeTint="F2"/>
        </w:rPr>
        <w:tab/>
      </w:r>
      <w:r w:rsidR="00176FC4" w:rsidRPr="00A114CA">
        <w:rPr>
          <w:color w:val="0D0D0D" w:themeColor="text1" w:themeTint="F2"/>
        </w:rPr>
        <w:t>In relation to the fourth incident</w:t>
      </w:r>
      <w:r w:rsidR="00040AF8" w:rsidRPr="00A114CA">
        <w:rPr>
          <w:color w:val="0D0D0D" w:themeColor="text1" w:themeTint="F2"/>
        </w:rPr>
        <w:t>,</w:t>
      </w:r>
      <w:r w:rsidR="00176FC4" w:rsidRPr="00A114CA">
        <w:rPr>
          <w:color w:val="0D0D0D" w:themeColor="text1" w:themeTint="F2"/>
        </w:rPr>
        <w:t xml:space="preserve"> </w:t>
      </w:r>
      <w:proofErr w:type="spellStart"/>
      <w:r w:rsidR="00176FC4" w:rsidRPr="00A114CA">
        <w:rPr>
          <w:color w:val="0D0D0D" w:themeColor="text1" w:themeTint="F2"/>
        </w:rPr>
        <w:t>Shabangu</w:t>
      </w:r>
      <w:proofErr w:type="spellEnd"/>
      <w:r w:rsidR="00176FC4" w:rsidRPr="00A114CA">
        <w:rPr>
          <w:color w:val="0D0D0D" w:themeColor="text1" w:themeTint="F2"/>
        </w:rPr>
        <w:t xml:space="preserve"> admitted making remarks about the room </w:t>
      </w:r>
      <w:r w:rsidR="00EF0F59" w:rsidRPr="00A114CA">
        <w:rPr>
          <w:color w:val="0D0D0D" w:themeColor="text1" w:themeTint="F2"/>
        </w:rPr>
        <w:t>numbers,</w:t>
      </w:r>
      <w:r w:rsidR="00176FC4" w:rsidRPr="00A114CA">
        <w:rPr>
          <w:color w:val="0D0D0D" w:themeColor="text1" w:themeTint="F2"/>
        </w:rPr>
        <w:t xml:space="preserve"> but he said his remarks were not shouted out and were made as friendly banter with the applicant and other female delegates present. The second panel came to the conclusion that there was no evidence for the applicant’s complaint. </w:t>
      </w:r>
    </w:p>
    <w:p w14:paraId="4BB4C9D4" w14:textId="49EF5163" w:rsidR="00176FC4" w:rsidRPr="00A114CA" w:rsidRDefault="00A114CA" w:rsidP="00A114CA">
      <w:pPr>
        <w:spacing w:line="360" w:lineRule="auto"/>
        <w:ind w:left="360" w:hanging="360"/>
        <w:jc w:val="both"/>
        <w:rPr>
          <w:color w:val="0D0D0D" w:themeColor="text1" w:themeTint="F2"/>
        </w:rPr>
      </w:pPr>
      <w:r w:rsidRPr="00483F29">
        <w:rPr>
          <w:color w:val="0D0D0D" w:themeColor="text1" w:themeTint="F2"/>
        </w:rPr>
        <w:t>[13]</w:t>
      </w:r>
      <w:r w:rsidRPr="00483F29">
        <w:rPr>
          <w:color w:val="0D0D0D" w:themeColor="text1" w:themeTint="F2"/>
        </w:rPr>
        <w:tab/>
      </w:r>
      <w:r w:rsidR="00176FC4" w:rsidRPr="00A114CA">
        <w:rPr>
          <w:color w:val="0D0D0D" w:themeColor="text1" w:themeTint="F2"/>
        </w:rPr>
        <w:t>A third panel was then convened to report back the outcome of the second panel’s investigation to the applicant. This panel recommended that the applicant be given a chance to draft a second affidavit and that mediation be attempted again.</w:t>
      </w:r>
    </w:p>
    <w:p w14:paraId="50ABEF47" w14:textId="2849ACD9" w:rsidR="00176FC4" w:rsidRPr="00A114CA" w:rsidRDefault="00A114CA" w:rsidP="00A114CA">
      <w:pPr>
        <w:spacing w:line="360" w:lineRule="auto"/>
        <w:ind w:left="360" w:hanging="360"/>
        <w:jc w:val="both"/>
        <w:rPr>
          <w:color w:val="0D0D0D" w:themeColor="text1" w:themeTint="F2"/>
        </w:rPr>
      </w:pPr>
      <w:r w:rsidRPr="00483F29">
        <w:rPr>
          <w:color w:val="0D0D0D" w:themeColor="text1" w:themeTint="F2"/>
        </w:rPr>
        <w:t>[14]</w:t>
      </w:r>
      <w:r w:rsidRPr="00483F29">
        <w:rPr>
          <w:color w:val="0D0D0D" w:themeColor="text1" w:themeTint="F2"/>
        </w:rPr>
        <w:tab/>
      </w:r>
      <w:r w:rsidR="00176FC4" w:rsidRPr="00A114CA">
        <w:rPr>
          <w:color w:val="0D0D0D" w:themeColor="text1" w:themeTint="F2"/>
        </w:rPr>
        <w:t>The second panel however disagreed with this proposal</w:t>
      </w:r>
      <w:r w:rsidR="00F258C4" w:rsidRPr="00A114CA">
        <w:rPr>
          <w:color w:val="0D0D0D" w:themeColor="text1" w:themeTint="F2"/>
        </w:rPr>
        <w:t xml:space="preserve">. It </w:t>
      </w:r>
      <w:r w:rsidR="00176FC4" w:rsidRPr="00A114CA">
        <w:rPr>
          <w:color w:val="0D0D0D" w:themeColor="text1" w:themeTint="F2"/>
        </w:rPr>
        <w:t>did not consider there was a</w:t>
      </w:r>
      <w:r w:rsidR="00F258C4" w:rsidRPr="00A114CA">
        <w:rPr>
          <w:color w:val="0D0D0D" w:themeColor="text1" w:themeTint="F2"/>
        </w:rPr>
        <w:t>ny</w:t>
      </w:r>
      <w:r w:rsidR="00176FC4" w:rsidRPr="00A114CA">
        <w:rPr>
          <w:color w:val="0D0D0D" w:themeColor="text1" w:themeTint="F2"/>
        </w:rPr>
        <w:t xml:space="preserve"> need for a second affidavit. Instead</w:t>
      </w:r>
      <w:r w:rsidR="00B142FA" w:rsidRPr="00A114CA">
        <w:rPr>
          <w:color w:val="0D0D0D" w:themeColor="text1" w:themeTint="F2"/>
        </w:rPr>
        <w:t>,</w:t>
      </w:r>
      <w:r w:rsidR="00176FC4" w:rsidRPr="00A114CA">
        <w:rPr>
          <w:color w:val="0D0D0D" w:themeColor="text1" w:themeTint="F2"/>
        </w:rPr>
        <w:t xml:space="preserve"> they proposed the matter be sent to the DA’s Federal Legal Commission (FLC). </w:t>
      </w:r>
    </w:p>
    <w:p w14:paraId="3B698B27" w14:textId="25BC94C3" w:rsidR="00176FC4" w:rsidRPr="00A114CA" w:rsidRDefault="00A114CA" w:rsidP="00A114CA">
      <w:pPr>
        <w:spacing w:line="360" w:lineRule="auto"/>
        <w:ind w:left="360" w:hanging="360"/>
        <w:jc w:val="both"/>
        <w:rPr>
          <w:color w:val="0D0D0D" w:themeColor="text1" w:themeTint="F2"/>
        </w:rPr>
      </w:pPr>
      <w:r w:rsidRPr="00483F29">
        <w:rPr>
          <w:color w:val="0D0D0D" w:themeColor="text1" w:themeTint="F2"/>
        </w:rPr>
        <w:t>[15]</w:t>
      </w:r>
      <w:r w:rsidRPr="00483F29">
        <w:rPr>
          <w:color w:val="0D0D0D" w:themeColor="text1" w:themeTint="F2"/>
        </w:rPr>
        <w:tab/>
      </w:r>
      <w:r w:rsidR="00176FC4" w:rsidRPr="00A114CA">
        <w:rPr>
          <w:color w:val="0D0D0D" w:themeColor="text1" w:themeTint="F2"/>
        </w:rPr>
        <w:t xml:space="preserve">Prior to the FLC taking further steps a second track started. On </w:t>
      </w:r>
      <w:r w:rsidR="00EF0F59" w:rsidRPr="00A114CA">
        <w:rPr>
          <w:color w:val="0D0D0D" w:themeColor="text1" w:themeTint="F2"/>
        </w:rPr>
        <w:t>6 February 2019,</w:t>
      </w:r>
      <w:r w:rsidR="00176FC4" w:rsidRPr="00A114CA">
        <w:rPr>
          <w:color w:val="0D0D0D" w:themeColor="text1" w:themeTint="F2"/>
        </w:rPr>
        <w:t xml:space="preserve"> the applicant was informed that she must appear before a disciplinary committee to face a charge of laying a false complaint. A month later on 20 March 2019 she received a notice telling her she had been suspended from caucus activities.</w:t>
      </w:r>
    </w:p>
    <w:p w14:paraId="283155AB" w14:textId="1E46117F" w:rsidR="00176FC4" w:rsidRPr="00A114CA" w:rsidRDefault="00A114CA" w:rsidP="00A114CA">
      <w:pPr>
        <w:spacing w:line="360" w:lineRule="auto"/>
        <w:ind w:left="360" w:hanging="360"/>
        <w:jc w:val="both"/>
        <w:rPr>
          <w:color w:val="0D0D0D" w:themeColor="text1" w:themeTint="F2"/>
        </w:rPr>
      </w:pPr>
      <w:r w:rsidRPr="00483F29">
        <w:rPr>
          <w:color w:val="0D0D0D" w:themeColor="text1" w:themeTint="F2"/>
        </w:rPr>
        <w:lastRenderedPageBreak/>
        <w:t>[16]</w:t>
      </w:r>
      <w:r w:rsidRPr="00483F29">
        <w:rPr>
          <w:color w:val="0D0D0D" w:themeColor="text1" w:themeTint="F2"/>
        </w:rPr>
        <w:tab/>
      </w:r>
      <w:r w:rsidR="00176FC4" w:rsidRPr="00A114CA">
        <w:rPr>
          <w:color w:val="0D0D0D" w:themeColor="text1" w:themeTint="F2"/>
        </w:rPr>
        <w:t xml:space="preserve">On </w:t>
      </w:r>
      <w:r w:rsidR="00EF0F59" w:rsidRPr="00A114CA">
        <w:rPr>
          <w:color w:val="0D0D0D" w:themeColor="text1" w:themeTint="F2"/>
        </w:rPr>
        <w:t>1 April,</w:t>
      </w:r>
      <w:r w:rsidR="00176FC4" w:rsidRPr="00A114CA">
        <w:rPr>
          <w:color w:val="0D0D0D" w:themeColor="text1" w:themeTint="F2"/>
        </w:rPr>
        <w:t xml:space="preserve"> the DA caucus met to consider her suspension. Prior to this she had been asked to make representations and then further representations. She acceded to the first invitation but not the second. She then asked to make oral representations to the </w:t>
      </w:r>
      <w:r w:rsidR="00EF0F59" w:rsidRPr="00A114CA">
        <w:rPr>
          <w:color w:val="0D0D0D" w:themeColor="text1" w:themeTint="F2"/>
        </w:rPr>
        <w:t>caucus,</w:t>
      </w:r>
      <w:r w:rsidR="00176FC4" w:rsidRPr="00A114CA">
        <w:rPr>
          <w:color w:val="0D0D0D" w:themeColor="text1" w:themeTint="F2"/>
        </w:rPr>
        <w:t xml:space="preserve"> but this was refused. </w:t>
      </w:r>
    </w:p>
    <w:p w14:paraId="5CF2DC73" w14:textId="3FFB843C" w:rsidR="00176FC4" w:rsidRPr="00A114CA" w:rsidRDefault="00A114CA" w:rsidP="00A114CA">
      <w:pPr>
        <w:spacing w:line="360" w:lineRule="auto"/>
        <w:ind w:left="360" w:hanging="360"/>
        <w:jc w:val="both"/>
        <w:rPr>
          <w:color w:val="0D0D0D" w:themeColor="text1" w:themeTint="F2"/>
        </w:rPr>
      </w:pPr>
      <w:r w:rsidRPr="00483F29">
        <w:rPr>
          <w:color w:val="0D0D0D" w:themeColor="text1" w:themeTint="F2"/>
        </w:rPr>
        <w:t>[17]</w:t>
      </w:r>
      <w:r w:rsidRPr="00483F29">
        <w:rPr>
          <w:color w:val="0D0D0D" w:themeColor="text1" w:themeTint="F2"/>
        </w:rPr>
        <w:tab/>
      </w:r>
      <w:r w:rsidR="005D39C3" w:rsidRPr="00A114CA">
        <w:rPr>
          <w:color w:val="0D0D0D" w:themeColor="text1" w:themeTint="F2"/>
        </w:rPr>
        <w:t>At the caucus meeting her repres</w:t>
      </w:r>
      <w:r w:rsidR="00B142FA" w:rsidRPr="00A114CA">
        <w:rPr>
          <w:color w:val="0D0D0D" w:themeColor="text1" w:themeTint="F2"/>
        </w:rPr>
        <w:t>en</w:t>
      </w:r>
      <w:r w:rsidR="005D39C3" w:rsidRPr="00A114CA">
        <w:rPr>
          <w:color w:val="0D0D0D" w:themeColor="text1" w:themeTint="F2"/>
        </w:rPr>
        <w:t>tations were shown on an overhead projector</w:t>
      </w:r>
      <w:r w:rsidR="00EF0F59" w:rsidRPr="00A114CA">
        <w:rPr>
          <w:color w:val="0D0D0D" w:themeColor="text1" w:themeTint="F2"/>
        </w:rPr>
        <w:t>;</w:t>
      </w:r>
      <w:r w:rsidR="005D39C3" w:rsidRPr="00A114CA">
        <w:rPr>
          <w:color w:val="0D0D0D" w:themeColor="text1" w:themeTint="F2"/>
        </w:rPr>
        <w:t xml:space="preserve"> a vote</w:t>
      </w:r>
      <w:r w:rsidR="00F258C4" w:rsidRPr="00A114CA">
        <w:rPr>
          <w:color w:val="0D0D0D" w:themeColor="text1" w:themeTint="F2"/>
        </w:rPr>
        <w:t xml:space="preserve"> followed after discussion</w:t>
      </w:r>
      <w:r w:rsidR="005D39C3" w:rsidRPr="00A114CA">
        <w:rPr>
          <w:color w:val="0D0D0D" w:themeColor="text1" w:themeTint="F2"/>
        </w:rPr>
        <w:t>. The caucus voted 51 – 9 to suspend her</w:t>
      </w:r>
      <w:r w:rsidR="00F258C4" w:rsidRPr="00A114CA">
        <w:rPr>
          <w:color w:val="0D0D0D" w:themeColor="text1" w:themeTint="F2"/>
        </w:rPr>
        <w:t>,</w:t>
      </w:r>
      <w:r w:rsidR="005D39C3" w:rsidRPr="00A114CA">
        <w:rPr>
          <w:color w:val="0D0D0D" w:themeColor="text1" w:themeTint="F2"/>
        </w:rPr>
        <w:t xml:space="preserve"> with 8 abstentions. This then triggered her suspension.</w:t>
      </w:r>
    </w:p>
    <w:p w14:paraId="167A9313" w14:textId="7A461FF4" w:rsidR="005D39C3" w:rsidRPr="00A114CA" w:rsidRDefault="00A114CA" w:rsidP="00A114CA">
      <w:pPr>
        <w:spacing w:line="360" w:lineRule="auto"/>
        <w:ind w:left="360" w:hanging="360"/>
        <w:jc w:val="both"/>
        <w:rPr>
          <w:color w:val="0D0D0D" w:themeColor="text1" w:themeTint="F2"/>
        </w:rPr>
      </w:pPr>
      <w:r w:rsidRPr="00483F29">
        <w:rPr>
          <w:color w:val="0D0D0D" w:themeColor="text1" w:themeTint="F2"/>
        </w:rPr>
        <w:t>[18]</w:t>
      </w:r>
      <w:r w:rsidRPr="00483F29">
        <w:rPr>
          <w:color w:val="0D0D0D" w:themeColor="text1" w:themeTint="F2"/>
        </w:rPr>
        <w:tab/>
      </w:r>
      <w:r w:rsidR="005D39C3" w:rsidRPr="00A114CA">
        <w:rPr>
          <w:color w:val="0D0D0D" w:themeColor="text1" w:themeTint="F2"/>
        </w:rPr>
        <w:t xml:space="preserve">In the </w:t>
      </w:r>
      <w:r w:rsidR="00EF0F59" w:rsidRPr="00A114CA">
        <w:rPr>
          <w:color w:val="0D0D0D" w:themeColor="text1" w:themeTint="F2"/>
        </w:rPr>
        <w:t>meantime,</w:t>
      </w:r>
      <w:r w:rsidR="005D39C3" w:rsidRPr="00A114CA">
        <w:rPr>
          <w:color w:val="0D0D0D" w:themeColor="text1" w:themeTint="F2"/>
        </w:rPr>
        <w:t xml:space="preserve"> four days </w:t>
      </w:r>
      <w:r w:rsidR="00EF0F59" w:rsidRPr="00A114CA">
        <w:rPr>
          <w:color w:val="0D0D0D" w:themeColor="text1" w:themeTint="F2"/>
        </w:rPr>
        <w:t>later,</w:t>
      </w:r>
      <w:r w:rsidR="005D39C3" w:rsidRPr="00A114CA">
        <w:rPr>
          <w:color w:val="0D0D0D" w:themeColor="text1" w:themeTint="F2"/>
        </w:rPr>
        <w:t xml:space="preserve"> the </w:t>
      </w:r>
      <w:r w:rsidR="00A569FF" w:rsidRPr="00A114CA">
        <w:rPr>
          <w:color w:val="0D0D0D" w:themeColor="text1" w:themeTint="F2"/>
        </w:rPr>
        <w:t>first</w:t>
      </w:r>
      <w:r w:rsidR="005D39C3" w:rsidRPr="00A114CA">
        <w:rPr>
          <w:color w:val="0D0D0D" w:themeColor="text1" w:themeTint="F2"/>
        </w:rPr>
        <w:t xml:space="preserve"> track</w:t>
      </w:r>
      <w:r w:rsidR="00A569FF" w:rsidRPr="00A114CA">
        <w:rPr>
          <w:color w:val="0D0D0D" w:themeColor="text1" w:themeTint="F2"/>
        </w:rPr>
        <w:t xml:space="preserve"> (her complaint against </w:t>
      </w:r>
      <w:proofErr w:type="spellStart"/>
      <w:r w:rsidR="00A569FF" w:rsidRPr="00A114CA">
        <w:rPr>
          <w:color w:val="0D0D0D" w:themeColor="text1" w:themeTint="F2"/>
        </w:rPr>
        <w:t>Shabangu</w:t>
      </w:r>
      <w:proofErr w:type="spellEnd"/>
      <w:r w:rsidR="00A569FF" w:rsidRPr="00A114CA">
        <w:rPr>
          <w:color w:val="0D0D0D" w:themeColor="text1" w:themeTint="F2"/>
        </w:rPr>
        <w:t>)</w:t>
      </w:r>
      <w:r w:rsidR="005D39C3" w:rsidRPr="00A114CA">
        <w:rPr>
          <w:color w:val="0D0D0D" w:themeColor="text1" w:themeTint="F2"/>
        </w:rPr>
        <w:t xml:space="preserve"> resumed. The FLC convened on 5 April 2019 and interviewed various </w:t>
      </w:r>
      <w:r w:rsidR="00B142FA" w:rsidRPr="00A114CA">
        <w:rPr>
          <w:color w:val="0D0D0D" w:themeColor="text1" w:themeTint="F2"/>
        </w:rPr>
        <w:t>witnesses. The</w:t>
      </w:r>
      <w:r w:rsidR="005D39C3" w:rsidRPr="00A114CA">
        <w:rPr>
          <w:color w:val="0D0D0D" w:themeColor="text1" w:themeTint="F2"/>
        </w:rPr>
        <w:t xml:space="preserve"> applicant declined to be interviewed. </w:t>
      </w:r>
    </w:p>
    <w:p w14:paraId="15B47773" w14:textId="4314856B" w:rsidR="005D39C3" w:rsidRPr="00A114CA" w:rsidRDefault="00A114CA" w:rsidP="00A114CA">
      <w:pPr>
        <w:spacing w:line="360" w:lineRule="auto"/>
        <w:ind w:left="360" w:hanging="360"/>
        <w:jc w:val="both"/>
        <w:rPr>
          <w:color w:val="0D0D0D" w:themeColor="text1" w:themeTint="F2"/>
        </w:rPr>
      </w:pPr>
      <w:r w:rsidRPr="00483F29">
        <w:rPr>
          <w:color w:val="0D0D0D" w:themeColor="text1" w:themeTint="F2"/>
        </w:rPr>
        <w:t>[19]</w:t>
      </w:r>
      <w:r w:rsidRPr="00483F29">
        <w:rPr>
          <w:color w:val="0D0D0D" w:themeColor="text1" w:themeTint="F2"/>
        </w:rPr>
        <w:tab/>
      </w:r>
      <w:r w:rsidR="005D39C3" w:rsidRPr="00A114CA">
        <w:rPr>
          <w:color w:val="0D0D0D" w:themeColor="text1" w:themeTint="F2"/>
        </w:rPr>
        <w:t xml:space="preserve">On </w:t>
      </w:r>
      <w:r w:rsidR="00EF0F59" w:rsidRPr="00A114CA">
        <w:rPr>
          <w:color w:val="0D0D0D" w:themeColor="text1" w:themeTint="F2"/>
        </w:rPr>
        <w:t>23 April,</w:t>
      </w:r>
      <w:r w:rsidR="005D39C3" w:rsidRPr="00A114CA">
        <w:rPr>
          <w:color w:val="0D0D0D" w:themeColor="text1" w:themeTint="F2"/>
        </w:rPr>
        <w:t xml:space="preserve"> the FLC concluded that there was no basis to her complaint against </w:t>
      </w:r>
      <w:proofErr w:type="spellStart"/>
      <w:r w:rsidR="005D39C3" w:rsidRPr="00A114CA">
        <w:rPr>
          <w:color w:val="0D0D0D" w:themeColor="text1" w:themeTint="F2"/>
        </w:rPr>
        <w:t>Shabangu</w:t>
      </w:r>
      <w:proofErr w:type="spellEnd"/>
      <w:r w:rsidR="005D39C3" w:rsidRPr="00A114CA">
        <w:rPr>
          <w:color w:val="0D0D0D" w:themeColor="text1" w:themeTint="F2"/>
        </w:rPr>
        <w:t>.</w:t>
      </w:r>
    </w:p>
    <w:p w14:paraId="0148122B" w14:textId="66D6AD43" w:rsidR="005D39C3" w:rsidRPr="00A114CA" w:rsidRDefault="00A114CA" w:rsidP="00A114CA">
      <w:pPr>
        <w:spacing w:line="360" w:lineRule="auto"/>
        <w:ind w:left="360" w:hanging="360"/>
        <w:jc w:val="both"/>
        <w:rPr>
          <w:color w:val="0D0D0D" w:themeColor="text1" w:themeTint="F2"/>
        </w:rPr>
      </w:pPr>
      <w:r w:rsidRPr="00483F29">
        <w:rPr>
          <w:color w:val="0D0D0D" w:themeColor="text1" w:themeTint="F2"/>
        </w:rPr>
        <w:t>[20]</w:t>
      </w:r>
      <w:r w:rsidRPr="00483F29">
        <w:rPr>
          <w:color w:val="0D0D0D" w:themeColor="text1" w:themeTint="F2"/>
        </w:rPr>
        <w:tab/>
      </w:r>
      <w:r w:rsidR="005D39C3" w:rsidRPr="00A114CA">
        <w:rPr>
          <w:color w:val="0D0D0D" w:themeColor="text1" w:themeTint="F2"/>
        </w:rPr>
        <w:t>Meanwhile a third track had started just before the FLC finding was made known. The applicant had on 8 April 2019 filed her first notice of motion for review.</w:t>
      </w:r>
    </w:p>
    <w:p w14:paraId="46C4BF8E" w14:textId="0A6086E8" w:rsidR="005D39C3" w:rsidRPr="00A114CA" w:rsidRDefault="00A114CA" w:rsidP="00A114CA">
      <w:pPr>
        <w:spacing w:line="360" w:lineRule="auto"/>
        <w:ind w:left="360" w:hanging="360"/>
        <w:jc w:val="both"/>
        <w:rPr>
          <w:color w:val="0D0D0D" w:themeColor="text1" w:themeTint="F2"/>
        </w:rPr>
      </w:pPr>
      <w:r w:rsidRPr="00483F29">
        <w:rPr>
          <w:color w:val="0D0D0D" w:themeColor="text1" w:themeTint="F2"/>
        </w:rPr>
        <w:t>[21]</w:t>
      </w:r>
      <w:r w:rsidRPr="00483F29">
        <w:rPr>
          <w:color w:val="0D0D0D" w:themeColor="text1" w:themeTint="F2"/>
        </w:rPr>
        <w:tab/>
      </w:r>
      <w:r w:rsidR="00FD3668" w:rsidRPr="00A114CA">
        <w:rPr>
          <w:color w:val="0D0D0D" w:themeColor="text1" w:themeTint="F2"/>
        </w:rPr>
        <w:t>O</w:t>
      </w:r>
      <w:r w:rsidR="005D39C3" w:rsidRPr="00A114CA">
        <w:rPr>
          <w:color w:val="0D0D0D" w:themeColor="text1" w:themeTint="F2"/>
        </w:rPr>
        <w:t xml:space="preserve">ver the next few </w:t>
      </w:r>
      <w:r w:rsidR="00FD3668" w:rsidRPr="00A114CA">
        <w:rPr>
          <w:color w:val="0D0D0D" w:themeColor="text1" w:themeTint="F2"/>
        </w:rPr>
        <w:t>months,</w:t>
      </w:r>
      <w:r w:rsidR="005D39C3" w:rsidRPr="00A114CA">
        <w:rPr>
          <w:color w:val="0D0D0D" w:themeColor="text1" w:themeTint="F2"/>
        </w:rPr>
        <w:t xml:space="preserve"> the parties </w:t>
      </w:r>
      <w:r w:rsidR="00FD3668" w:rsidRPr="00A114CA">
        <w:rPr>
          <w:color w:val="0D0D0D" w:themeColor="text1" w:themeTint="F2"/>
        </w:rPr>
        <w:t xml:space="preserve">were engaged in litigation. It involved </w:t>
      </w:r>
      <w:r w:rsidR="00EF0F59" w:rsidRPr="00A114CA">
        <w:rPr>
          <w:color w:val="0D0D0D" w:themeColor="text1" w:themeTint="F2"/>
        </w:rPr>
        <w:t>a second</w:t>
      </w:r>
      <w:r w:rsidR="00406D30" w:rsidRPr="00A114CA">
        <w:rPr>
          <w:color w:val="0D0D0D" w:themeColor="text1" w:themeTint="F2"/>
        </w:rPr>
        <w:t>,</w:t>
      </w:r>
      <w:r w:rsidR="005D39C3" w:rsidRPr="00A114CA">
        <w:rPr>
          <w:color w:val="0D0D0D" w:themeColor="text1" w:themeTint="F2"/>
        </w:rPr>
        <w:t xml:space="preserve"> </w:t>
      </w:r>
      <w:r w:rsidR="00DB6092" w:rsidRPr="00A114CA">
        <w:rPr>
          <w:color w:val="0D0D0D" w:themeColor="text1" w:themeTint="F2"/>
        </w:rPr>
        <w:t xml:space="preserve">and then third </w:t>
      </w:r>
      <w:r w:rsidR="005D39C3" w:rsidRPr="00A114CA">
        <w:rPr>
          <w:color w:val="0D0D0D" w:themeColor="text1" w:themeTint="F2"/>
        </w:rPr>
        <w:t xml:space="preserve">notice of motion in the review, an </w:t>
      </w:r>
      <w:r w:rsidR="00B142FA" w:rsidRPr="00A114CA">
        <w:rPr>
          <w:color w:val="0D0D0D" w:themeColor="text1" w:themeTint="F2"/>
        </w:rPr>
        <w:t>application</w:t>
      </w:r>
      <w:r w:rsidR="005D39C3" w:rsidRPr="00A114CA">
        <w:rPr>
          <w:color w:val="0D0D0D" w:themeColor="text1" w:themeTint="F2"/>
        </w:rPr>
        <w:t xml:space="preserve"> for the record in terms of Rule 53, and in August 2019</w:t>
      </w:r>
      <w:r w:rsidR="00406D30" w:rsidRPr="00A114CA">
        <w:rPr>
          <w:color w:val="0D0D0D" w:themeColor="text1" w:themeTint="F2"/>
        </w:rPr>
        <w:t>,</w:t>
      </w:r>
      <w:r w:rsidR="005D39C3" w:rsidRPr="00A114CA">
        <w:rPr>
          <w:color w:val="0D0D0D" w:themeColor="text1" w:themeTint="F2"/>
        </w:rPr>
        <w:t xml:space="preserve"> </w:t>
      </w:r>
      <w:r w:rsidR="0049000B" w:rsidRPr="00A114CA">
        <w:rPr>
          <w:color w:val="0D0D0D" w:themeColor="text1" w:themeTint="F2"/>
        </w:rPr>
        <w:t>an urgent application. The latter application</w:t>
      </w:r>
      <w:r w:rsidR="00B142FA" w:rsidRPr="00A114CA">
        <w:rPr>
          <w:color w:val="0D0D0D" w:themeColor="text1" w:themeTint="F2"/>
        </w:rPr>
        <w:t>,</w:t>
      </w:r>
      <w:r w:rsidR="0049000B" w:rsidRPr="00A114CA">
        <w:rPr>
          <w:color w:val="0D0D0D" w:themeColor="text1" w:themeTint="F2"/>
        </w:rPr>
        <w:t xml:space="preserve"> </w:t>
      </w:r>
      <w:r w:rsidR="00DB6092" w:rsidRPr="00A114CA">
        <w:rPr>
          <w:color w:val="0D0D0D" w:themeColor="text1" w:themeTint="F2"/>
        </w:rPr>
        <w:t xml:space="preserve">which served </w:t>
      </w:r>
      <w:r w:rsidR="0049000B" w:rsidRPr="00A114CA">
        <w:rPr>
          <w:color w:val="0D0D0D" w:themeColor="text1" w:themeTint="F2"/>
        </w:rPr>
        <w:t>before Yacoob J, in which the applicant succeeded, interdicted the further disciplinary proceedings against her pending the outcome of the present review. A second application of a similar nature was obtained in October 2019 from Van der Linde J</w:t>
      </w:r>
      <w:r w:rsidR="00B142FA" w:rsidRPr="00A114CA">
        <w:rPr>
          <w:color w:val="0D0D0D" w:themeColor="text1" w:themeTint="F2"/>
        </w:rPr>
        <w:t xml:space="preserve"> on 21 October 2019. The final event of relevance to the relief sought came about on 12 February 2021 when the applicant was removed as a member of a </w:t>
      </w:r>
      <w:r w:rsidR="00EF0F59" w:rsidRPr="00A114CA">
        <w:rPr>
          <w:color w:val="0D0D0D" w:themeColor="text1" w:themeTint="F2"/>
        </w:rPr>
        <w:t>WhatsApp</w:t>
      </w:r>
      <w:r w:rsidR="00B142FA" w:rsidRPr="00A114CA">
        <w:rPr>
          <w:color w:val="0D0D0D" w:themeColor="text1" w:themeTint="F2"/>
        </w:rPr>
        <w:t xml:space="preserve"> group bearing the name </w:t>
      </w:r>
      <w:r w:rsidR="00EF0F59" w:rsidRPr="00A114CA">
        <w:rPr>
          <w:color w:val="0D0D0D" w:themeColor="text1" w:themeTint="F2"/>
        </w:rPr>
        <w:t>“DA</w:t>
      </w:r>
      <w:r w:rsidR="00B142FA" w:rsidRPr="00A114CA">
        <w:rPr>
          <w:color w:val="0D0D0D" w:themeColor="text1" w:themeTint="F2"/>
        </w:rPr>
        <w:t xml:space="preserve"> official contents 9”. This group is an information sharing platform to enable the leadership of the party to disseminate information to its public representatives who can then in turn disseminate the information to the branches they are responsible for.</w:t>
      </w:r>
    </w:p>
    <w:p w14:paraId="48A7E2A8" w14:textId="77777777" w:rsidR="009C116D" w:rsidRPr="00483F29" w:rsidRDefault="009C116D" w:rsidP="00A16074">
      <w:pPr>
        <w:pStyle w:val="ListParagraph"/>
        <w:spacing w:line="360" w:lineRule="auto"/>
        <w:ind w:left="360"/>
        <w:jc w:val="both"/>
        <w:rPr>
          <w:b/>
          <w:bCs/>
          <w:color w:val="0D0D0D" w:themeColor="text1" w:themeTint="F2"/>
        </w:rPr>
      </w:pPr>
    </w:p>
    <w:p w14:paraId="6211798C" w14:textId="5D32B94E" w:rsidR="009C116D" w:rsidRPr="00483F29" w:rsidRDefault="009C116D" w:rsidP="00A16074">
      <w:pPr>
        <w:pStyle w:val="ListParagraph"/>
        <w:spacing w:line="360" w:lineRule="auto"/>
        <w:ind w:left="360"/>
        <w:jc w:val="both"/>
        <w:rPr>
          <w:color w:val="0D0D0D" w:themeColor="text1" w:themeTint="F2"/>
        </w:rPr>
      </w:pPr>
      <w:r w:rsidRPr="00483F29">
        <w:rPr>
          <w:b/>
          <w:bCs/>
          <w:color w:val="0D0D0D" w:themeColor="text1" w:themeTint="F2"/>
        </w:rPr>
        <w:t>Comment on the background facts</w:t>
      </w:r>
    </w:p>
    <w:p w14:paraId="4BE1582E" w14:textId="48E06867" w:rsidR="009C116D" w:rsidRPr="00A114CA" w:rsidRDefault="00A114CA" w:rsidP="00A114CA">
      <w:pPr>
        <w:spacing w:line="360" w:lineRule="auto"/>
        <w:ind w:left="360" w:hanging="360"/>
        <w:jc w:val="both"/>
        <w:rPr>
          <w:color w:val="0D0D0D" w:themeColor="text1" w:themeTint="F2"/>
        </w:rPr>
      </w:pPr>
      <w:r w:rsidRPr="00483F29">
        <w:rPr>
          <w:color w:val="0D0D0D" w:themeColor="text1" w:themeTint="F2"/>
        </w:rPr>
        <w:lastRenderedPageBreak/>
        <w:t>[22]</w:t>
      </w:r>
      <w:r w:rsidRPr="00483F29">
        <w:rPr>
          <w:color w:val="0D0D0D" w:themeColor="text1" w:themeTint="F2"/>
        </w:rPr>
        <w:tab/>
      </w:r>
      <w:r w:rsidR="009C116D" w:rsidRPr="00A114CA">
        <w:rPr>
          <w:color w:val="0D0D0D" w:themeColor="text1" w:themeTint="F2"/>
        </w:rPr>
        <w:t xml:space="preserve">The applicant maintains her complaint into </w:t>
      </w:r>
      <w:proofErr w:type="spellStart"/>
      <w:r w:rsidR="009C116D" w:rsidRPr="00A114CA">
        <w:rPr>
          <w:color w:val="0D0D0D" w:themeColor="text1" w:themeTint="F2"/>
        </w:rPr>
        <w:t>Shabangu’s</w:t>
      </w:r>
      <w:proofErr w:type="spellEnd"/>
      <w:r w:rsidR="009C116D" w:rsidRPr="00A114CA">
        <w:rPr>
          <w:color w:val="0D0D0D" w:themeColor="text1" w:themeTint="F2"/>
        </w:rPr>
        <w:t xml:space="preserve"> conduct was </w:t>
      </w:r>
      <w:r w:rsidR="00D86420" w:rsidRPr="00A114CA">
        <w:rPr>
          <w:color w:val="0D0D0D" w:themeColor="text1" w:themeTint="F2"/>
        </w:rPr>
        <w:t>managed</w:t>
      </w:r>
      <w:r w:rsidR="009C116D" w:rsidRPr="00A114CA">
        <w:rPr>
          <w:color w:val="0D0D0D" w:themeColor="text1" w:themeTint="F2"/>
        </w:rPr>
        <w:t xml:space="preserve"> insensitively and without due regard to her feelings. </w:t>
      </w:r>
      <w:r w:rsidR="00D86420" w:rsidRPr="00A114CA">
        <w:rPr>
          <w:color w:val="0D0D0D" w:themeColor="text1" w:themeTint="F2"/>
        </w:rPr>
        <w:t>She considers the party d</w:t>
      </w:r>
      <w:r w:rsidR="00A569FF" w:rsidRPr="00A114CA">
        <w:rPr>
          <w:color w:val="0D0D0D" w:themeColor="text1" w:themeTint="F2"/>
        </w:rPr>
        <w:t>id</w:t>
      </w:r>
      <w:r w:rsidR="00D86420" w:rsidRPr="00A114CA">
        <w:rPr>
          <w:color w:val="0D0D0D" w:themeColor="text1" w:themeTint="F2"/>
        </w:rPr>
        <w:t xml:space="preserve"> not approach the issue in the manner in which our courts have said they should.</w:t>
      </w:r>
      <w:r w:rsidR="00D86420" w:rsidRPr="00483F29">
        <w:rPr>
          <w:rStyle w:val="FootnoteReference"/>
          <w:color w:val="0D0D0D" w:themeColor="text1" w:themeTint="F2"/>
        </w:rPr>
        <w:footnoteReference w:id="1"/>
      </w:r>
      <w:r w:rsidR="00D86420" w:rsidRPr="00A114CA">
        <w:rPr>
          <w:color w:val="0D0D0D" w:themeColor="text1" w:themeTint="F2"/>
        </w:rPr>
        <w:t xml:space="preserve"> The party approached the matter as one of establishing whether there was objective external evidence and finding none</w:t>
      </w:r>
      <w:r w:rsidR="00406D30" w:rsidRPr="00A114CA">
        <w:rPr>
          <w:color w:val="0D0D0D" w:themeColor="text1" w:themeTint="F2"/>
        </w:rPr>
        <w:t>,</w:t>
      </w:r>
      <w:r w:rsidR="00D86420" w:rsidRPr="00A114CA">
        <w:rPr>
          <w:color w:val="0D0D0D" w:themeColor="text1" w:themeTint="F2"/>
        </w:rPr>
        <w:t xml:space="preserve"> considered the complaint was false</w:t>
      </w:r>
      <w:r w:rsidR="00CF54D8" w:rsidRPr="00A114CA">
        <w:rPr>
          <w:color w:val="0D0D0D" w:themeColor="text1" w:themeTint="F2"/>
        </w:rPr>
        <w:t>.</w:t>
      </w:r>
      <w:r w:rsidR="00D86420" w:rsidRPr="00A114CA">
        <w:rPr>
          <w:color w:val="0D0D0D" w:themeColor="text1" w:themeTint="F2"/>
        </w:rPr>
        <w:t xml:space="preserve"> </w:t>
      </w:r>
      <w:r w:rsidR="009C116D" w:rsidRPr="00A114CA">
        <w:rPr>
          <w:color w:val="0D0D0D" w:themeColor="text1" w:themeTint="F2"/>
        </w:rPr>
        <w:t>She objects to the fact that the party</w:t>
      </w:r>
      <w:r w:rsidR="00D86420" w:rsidRPr="00A114CA">
        <w:rPr>
          <w:color w:val="0D0D0D" w:themeColor="text1" w:themeTint="F2"/>
        </w:rPr>
        <w:t xml:space="preserve"> then</w:t>
      </w:r>
      <w:r w:rsidR="009C116D" w:rsidRPr="00A114CA">
        <w:rPr>
          <w:color w:val="0D0D0D" w:themeColor="text1" w:themeTint="F2"/>
        </w:rPr>
        <w:t xml:space="preserve"> turned her from a complainant into an accused. This as the chronology shows came about </w:t>
      </w:r>
      <w:r w:rsidR="00D86420" w:rsidRPr="00A114CA">
        <w:rPr>
          <w:color w:val="0D0D0D" w:themeColor="text1" w:themeTint="F2"/>
        </w:rPr>
        <w:t xml:space="preserve">even </w:t>
      </w:r>
      <w:r w:rsidR="009C116D" w:rsidRPr="00A114CA">
        <w:rPr>
          <w:color w:val="0D0D0D" w:themeColor="text1" w:themeTint="F2"/>
        </w:rPr>
        <w:t xml:space="preserve">before her complaint had finally been decided </w:t>
      </w:r>
      <w:r w:rsidR="00406D30" w:rsidRPr="00A114CA">
        <w:rPr>
          <w:color w:val="0D0D0D" w:themeColor="text1" w:themeTint="F2"/>
        </w:rPr>
        <w:t xml:space="preserve">upon </w:t>
      </w:r>
      <w:r w:rsidR="009C116D" w:rsidRPr="00A114CA">
        <w:rPr>
          <w:color w:val="0D0D0D" w:themeColor="text1" w:themeTint="F2"/>
        </w:rPr>
        <w:t xml:space="preserve">by the FLC. The party, in her view, was tone deaf about sexual harassment considering that </w:t>
      </w:r>
      <w:proofErr w:type="spellStart"/>
      <w:r w:rsidR="009C116D" w:rsidRPr="00A114CA">
        <w:rPr>
          <w:color w:val="0D0D0D" w:themeColor="text1" w:themeTint="F2"/>
        </w:rPr>
        <w:t>Shabangu</w:t>
      </w:r>
      <w:proofErr w:type="spellEnd"/>
      <w:r w:rsidR="009C116D" w:rsidRPr="00A114CA">
        <w:rPr>
          <w:color w:val="0D0D0D" w:themeColor="text1" w:themeTint="F2"/>
        </w:rPr>
        <w:t xml:space="preserve"> was both an older man and senior to her in the party which should have placed a different context on his remarks. </w:t>
      </w:r>
    </w:p>
    <w:p w14:paraId="241EF6F2" w14:textId="35D44FF5" w:rsidR="009C116D" w:rsidRPr="00A114CA" w:rsidRDefault="00A114CA" w:rsidP="00A114CA">
      <w:pPr>
        <w:spacing w:line="360" w:lineRule="auto"/>
        <w:ind w:left="360" w:hanging="360"/>
        <w:jc w:val="both"/>
        <w:rPr>
          <w:color w:val="0D0D0D" w:themeColor="text1" w:themeTint="F2"/>
        </w:rPr>
      </w:pPr>
      <w:r w:rsidRPr="00483F29">
        <w:rPr>
          <w:color w:val="0D0D0D" w:themeColor="text1" w:themeTint="F2"/>
        </w:rPr>
        <w:t>[23]</w:t>
      </w:r>
      <w:r w:rsidRPr="00483F29">
        <w:rPr>
          <w:color w:val="0D0D0D" w:themeColor="text1" w:themeTint="F2"/>
        </w:rPr>
        <w:tab/>
      </w:r>
      <w:r w:rsidR="009C116D" w:rsidRPr="00A114CA">
        <w:rPr>
          <w:color w:val="0D0D0D" w:themeColor="text1" w:themeTint="F2"/>
        </w:rPr>
        <w:t>The respondent maintains that the applicant was the author of her own misfortune</w:t>
      </w:r>
      <w:r w:rsidR="00FD3668" w:rsidRPr="00A114CA">
        <w:rPr>
          <w:color w:val="0D0D0D" w:themeColor="text1" w:themeTint="F2"/>
        </w:rPr>
        <w:t>,</w:t>
      </w:r>
      <w:r w:rsidR="009C116D" w:rsidRPr="00A114CA">
        <w:rPr>
          <w:color w:val="0D0D0D" w:themeColor="text1" w:themeTint="F2"/>
        </w:rPr>
        <w:t xml:space="preserve"> both </w:t>
      </w:r>
      <w:r w:rsidR="00D86420" w:rsidRPr="00A114CA">
        <w:rPr>
          <w:color w:val="0D0D0D" w:themeColor="text1" w:themeTint="F2"/>
        </w:rPr>
        <w:t xml:space="preserve">by </w:t>
      </w:r>
      <w:r w:rsidR="009C116D" w:rsidRPr="00A114CA">
        <w:rPr>
          <w:color w:val="0D0D0D" w:themeColor="text1" w:themeTint="F2"/>
        </w:rPr>
        <w:t xml:space="preserve">exaggerating </w:t>
      </w:r>
      <w:r w:rsidR="00D86420" w:rsidRPr="00A114CA">
        <w:rPr>
          <w:color w:val="0D0D0D" w:themeColor="text1" w:themeTint="F2"/>
        </w:rPr>
        <w:t xml:space="preserve">the </w:t>
      </w:r>
      <w:r w:rsidR="009C116D" w:rsidRPr="00A114CA">
        <w:rPr>
          <w:color w:val="0D0D0D" w:themeColor="text1" w:themeTint="F2"/>
        </w:rPr>
        <w:t xml:space="preserve">facts and how she handled the matter. It is not necessary for me to go into which gloss on the factual history is correct. Neither view is relevant at present to what I have to decide. </w:t>
      </w:r>
    </w:p>
    <w:p w14:paraId="2F862F6A" w14:textId="77777777" w:rsidR="00B142FA" w:rsidRPr="00483F29" w:rsidRDefault="00B142FA" w:rsidP="00A16074">
      <w:pPr>
        <w:pStyle w:val="ListParagraph"/>
        <w:spacing w:line="360" w:lineRule="auto"/>
        <w:ind w:left="0"/>
        <w:jc w:val="both"/>
        <w:rPr>
          <w:b/>
          <w:bCs/>
          <w:color w:val="0D0D0D" w:themeColor="text1" w:themeTint="F2"/>
        </w:rPr>
      </w:pPr>
    </w:p>
    <w:p w14:paraId="0A592E27" w14:textId="6479CBA4" w:rsidR="009D62DC" w:rsidRPr="00483F29" w:rsidRDefault="00156325" w:rsidP="00A16074">
      <w:pPr>
        <w:pStyle w:val="ListParagraph"/>
        <w:spacing w:line="360" w:lineRule="auto"/>
        <w:ind w:left="0"/>
        <w:jc w:val="both"/>
        <w:rPr>
          <w:b/>
          <w:bCs/>
          <w:color w:val="0D0D0D" w:themeColor="text1" w:themeTint="F2"/>
        </w:rPr>
      </w:pPr>
      <w:r w:rsidRPr="00483F29">
        <w:rPr>
          <w:b/>
          <w:bCs/>
          <w:color w:val="0D0D0D" w:themeColor="text1" w:themeTint="F2"/>
        </w:rPr>
        <w:t xml:space="preserve">Legal basis for review </w:t>
      </w:r>
    </w:p>
    <w:p w14:paraId="7BFE96C9" w14:textId="160782DF" w:rsidR="004102CE" w:rsidRPr="00A114CA" w:rsidRDefault="00A114CA" w:rsidP="00A114CA">
      <w:pPr>
        <w:spacing w:line="360" w:lineRule="auto"/>
        <w:ind w:left="360" w:hanging="360"/>
        <w:jc w:val="both"/>
        <w:rPr>
          <w:color w:val="0D0D0D" w:themeColor="text1" w:themeTint="F2"/>
        </w:rPr>
      </w:pPr>
      <w:r w:rsidRPr="00483F29">
        <w:rPr>
          <w:color w:val="0D0D0D" w:themeColor="text1" w:themeTint="F2"/>
        </w:rPr>
        <w:t>[24]</w:t>
      </w:r>
      <w:r w:rsidRPr="00483F29">
        <w:rPr>
          <w:color w:val="0D0D0D" w:themeColor="text1" w:themeTint="F2"/>
        </w:rPr>
        <w:tab/>
      </w:r>
      <w:r w:rsidR="004102CE" w:rsidRPr="00A114CA">
        <w:rPr>
          <w:color w:val="0D0D0D" w:themeColor="text1" w:themeTint="F2"/>
        </w:rPr>
        <w:t xml:space="preserve">In her founding affidavit the applicant had </w:t>
      </w:r>
      <w:r w:rsidR="00E703AC" w:rsidRPr="00A114CA">
        <w:rPr>
          <w:color w:val="0D0D0D" w:themeColor="text1" w:themeTint="F2"/>
        </w:rPr>
        <w:t xml:space="preserve">founded her </w:t>
      </w:r>
      <w:r w:rsidR="004102CE" w:rsidRPr="00A114CA">
        <w:rPr>
          <w:color w:val="0D0D0D" w:themeColor="text1" w:themeTint="F2"/>
        </w:rPr>
        <w:t xml:space="preserve">relief on </w:t>
      </w:r>
      <w:r w:rsidR="00193530" w:rsidRPr="00A114CA">
        <w:rPr>
          <w:color w:val="0D0D0D" w:themeColor="text1" w:themeTint="F2"/>
        </w:rPr>
        <w:t>the Promotion of Administrative Justice Act 3 of 2000 (</w:t>
      </w:r>
      <w:r w:rsidR="004102CE" w:rsidRPr="00A114CA">
        <w:rPr>
          <w:color w:val="0D0D0D" w:themeColor="text1" w:themeTint="F2"/>
        </w:rPr>
        <w:t>PAJA</w:t>
      </w:r>
      <w:r w:rsidR="00193530" w:rsidRPr="00A114CA">
        <w:rPr>
          <w:color w:val="0D0D0D" w:themeColor="text1" w:themeTint="F2"/>
        </w:rPr>
        <w:t>)</w:t>
      </w:r>
      <w:r w:rsidR="004102CE" w:rsidRPr="00A114CA">
        <w:rPr>
          <w:color w:val="0D0D0D" w:themeColor="text1" w:themeTint="F2"/>
        </w:rPr>
        <w:t>. She has now clarified that she does not do so</w:t>
      </w:r>
      <w:r w:rsidR="00B142FA" w:rsidRPr="00A114CA">
        <w:rPr>
          <w:color w:val="0D0D0D" w:themeColor="text1" w:themeTint="F2"/>
        </w:rPr>
        <w:t>,</w:t>
      </w:r>
      <w:r w:rsidR="004102CE" w:rsidRPr="00A114CA">
        <w:rPr>
          <w:color w:val="0D0D0D" w:themeColor="text1" w:themeTint="F2"/>
        </w:rPr>
        <w:t xml:space="preserve"> and the review part of her relief is based on the common law. </w:t>
      </w:r>
    </w:p>
    <w:p w14:paraId="471D7149" w14:textId="2DB1780D" w:rsidR="00173E0D" w:rsidRPr="00A114CA" w:rsidRDefault="00A114CA" w:rsidP="00A114CA">
      <w:pPr>
        <w:spacing w:line="360" w:lineRule="auto"/>
        <w:ind w:left="360" w:hanging="360"/>
        <w:jc w:val="both"/>
        <w:rPr>
          <w:color w:val="0D0D0D" w:themeColor="text1" w:themeTint="F2"/>
        </w:rPr>
      </w:pPr>
      <w:r w:rsidRPr="00483F29">
        <w:rPr>
          <w:color w:val="0D0D0D" w:themeColor="text1" w:themeTint="F2"/>
        </w:rPr>
        <w:t>[25]</w:t>
      </w:r>
      <w:r w:rsidRPr="00483F29">
        <w:rPr>
          <w:color w:val="0D0D0D" w:themeColor="text1" w:themeTint="F2"/>
        </w:rPr>
        <w:tab/>
      </w:r>
      <w:r w:rsidR="00173E0D" w:rsidRPr="00A114CA">
        <w:rPr>
          <w:color w:val="0D0D0D" w:themeColor="text1" w:themeTint="F2"/>
        </w:rPr>
        <w:t xml:space="preserve">This limits her review in several ways. In the first place </w:t>
      </w:r>
      <w:r w:rsidR="00E703AC" w:rsidRPr="00A114CA">
        <w:rPr>
          <w:color w:val="0D0D0D" w:themeColor="text1" w:themeTint="F2"/>
        </w:rPr>
        <w:t>an</w:t>
      </w:r>
      <w:r w:rsidR="00173E0D" w:rsidRPr="00A114CA">
        <w:rPr>
          <w:color w:val="0D0D0D" w:themeColor="text1" w:themeTint="F2"/>
        </w:rPr>
        <w:t xml:space="preserve"> applicant seeking to rely on the common law to review decisions made by a voluntary association such as the respondent need</w:t>
      </w:r>
      <w:r w:rsidR="00E703AC" w:rsidRPr="00A114CA">
        <w:rPr>
          <w:color w:val="0D0D0D" w:themeColor="text1" w:themeTint="F2"/>
        </w:rPr>
        <w:t>s</w:t>
      </w:r>
      <w:r w:rsidR="00173E0D" w:rsidRPr="00A114CA">
        <w:rPr>
          <w:color w:val="0D0D0D" w:themeColor="text1" w:themeTint="F2"/>
        </w:rPr>
        <w:t xml:space="preserve"> to make out a case in contract. In brief she needs to make out a </w:t>
      </w:r>
      <w:r w:rsidR="00173E0D" w:rsidRPr="00A114CA">
        <w:rPr>
          <w:color w:val="0D0D0D" w:themeColor="text1" w:themeTint="F2"/>
        </w:rPr>
        <w:lastRenderedPageBreak/>
        <w:t xml:space="preserve">case that the respondent has by instituting disciplinary action not done so in accordance with its constitution. </w:t>
      </w:r>
    </w:p>
    <w:p w14:paraId="4E0D9B54" w14:textId="09C8B4CF" w:rsidR="00813401" w:rsidRPr="00A114CA" w:rsidRDefault="00A114CA" w:rsidP="00A114CA">
      <w:pPr>
        <w:spacing w:line="360" w:lineRule="auto"/>
        <w:ind w:left="360" w:hanging="360"/>
        <w:jc w:val="both"/>
        <w:rPr>
          <w:color w:val="0D0D0D" w:themeColor="text1" w:themeTint="F2"/>
        </w:rPr>
      </w:pPr>
      <w:r w:rsidRPr="00483F29">
        <w:rPr>
          <w:color w:val="0D0D0D" w:themeColor="text1" w:themeTint="F2"/>
        </w:rPr>
        <w:t>[26]</w:t>
      </w:r>
      <w:r w:rsidRPr="00483F29">
        <w:rPr>
          <w:color w:val="0D0D0D" w:themeColor="text1" w:themeTint="F2"/>
        </w:rPr>
        <w:tab/>
      </w:r>
      <w:r w:rsidR="00EF0F59" w:rsidRPr="00A114CA">
        <w:rPr>
          <w:color w:val="0D0D0D" w:themeColor="text1" w:themeTint="F2"/>
        </w:rPr>
        <w:t>Thus,</w:t>
      </w:r>
      <w:r w:rsidR="00813401" w:rsidRPr="00A114CA">
        <w:rPr>
          <w:color w:val="0D0D0D" w:themeColor="text1" w:themeTint="F2"/>
        </w:rPr>
        <w:t xml:space="preserve"> in the leading case on the subject </w:t>
      </w:r>
      <w:r w:rsidR="00813401" w:rsidRPr="00A114CA">
        <w:rPr>
          <w:i/>
          <w:iCs/>
          <w:color w:val="0D0D0D" w:themeColor="text1" w:themeTint="F2"/>
        </w:rPr>
        <w:t>Turner v Jockey Club of South Africa</w:t>
      </w:r>
      <w:r w:rsidR="00E703AC" w:rsidRPr="00A114CA">
        <w:rPr>
          <w:i/>
          <w:iCs/>
          <w:color w:val="0D0D0D" w:themeColor="text1" w:themeTint="F2"/>
        </w:rPr>
        <w:t xml:space="preserve"> </w:t>
      </w:r>
      <w:r w:rsidR="00813401" w:rsidRPr="00A114CA">
        <w:rPr>
          <w:color w:val="0D0D0D" w:themeColor="text1" w:themeTint="F2"/>
        </w:rPr>
        <w:t>the court held that the decisions of disciplinary tribunals of voluntary associations are final</w:t>
      </w:r>
      <w:r w:rsidR="00F56985" w:rsidRPr="00A114CA">
        <w:rPr>
          <w:color w:val="0D0D0D" w:themeColor="text1" w:themeTint="F2"/>
        </w:rPr>
        <w:t>:</w:t>
      </w:r>
      <w:r w:rsidR="00813401" w:rsidRPr="00A114CA">
        <w:rPr>
          <w:color w:val="0D0D0D" w:themeColor="text1" w:themeTint="F2"/>
        </w:rPr>
        <w:t xml:space="preserve"> </w:t>
      </w:r>
      <w:r w:rsidR="00EF0F59" w:rsidRPr="00A114CA">
        <w:rPr>
          <w:i/>
          <w:iCs/>
          <w:color w:val="0D0D0D" w:themeColor="text1" w:themeTint="F2"/>
        </w:rPr>
        <w:t>“but</w:t>
      </w:r>
      <w:r w:rsidR="00813401" w:rsidRPr="00A114CA">
        <w:rPr>
          <w:i/>
          <w:iCs/>
          <w:color w:val="0D0D0D" w:themeColor="text1" w:themeTint="F2"/>
        </w:rPr>
        <w:t xml:space="preserve"> if the Tribunal has disregarded its own rules or the fundamental principles of fairness the court can intervene.”</w:t>
      </w:r>
      <w:r w:rsidR="00F56985">
        <w:rPr>
          <w:rStyle w:val="FootnoteReference"/>
          <w:i/>
          <w:iCs/>
          <w:color w:val="0D0D0D" w:themeColor="text1" w:themeTint="F2"/>
        </w:rPr>
        <w:footnoteReference w:id="2"/>
      </w:r>
    </w:p>
    <w:p w14:paraId="76766E80" w14:textId="36E28301" w:rsidR="00813401" w:rsidRPr="00A114CA" w:rsidRDefault="00A114CA" w:rsidP="00A114CA">
      <w:pPr>
        <w:spacing w:line="360" w:lineRule="auto"/>
        <w:ind w:left="360" w:hanging="360"/>
        <w:jc w:val="both"/>
        <w:rPr>
          <w:color w:val="0D0D0D" w:themeColor="text1" w:themeTint="F2"/>
        </w:rPr>
      </w:pPr>
      <w:r w:rsidRPr="00483F29">
        <w:rPr>
          <w:color w:val="0D0D0D" w:themeColor="text1" w:themeTint="F2"/>
        </w:rPr>
        <w:t>[27]</w:t>
      </w:r>
      <w:r w:rsidRPr="00483F29">
        <w:rPr>
          <w:color w:val="0D0D0D" w:themeColor="text1" w:themeTint="F2"/>
        </w:rPr>
        <w:tab/>
      </w:r>
      <w:r w:rsidR="00813401" w:rsidRPr="00A114CA">
        <w:rPr>
          <w:color w:val="0D0D0D" w:themeColor="text1" w:themeTint="F2"/>
        </w:rPr>
        <w:t>On this aspect the applicant has not made out any case. She has not pointed to any provision in respondent’s constitution that was not complied with. The respondent in turn has established that it has complied with its constitution by quoting the various provisions that would entitle it to make the charges it has and the process it has followed in doing so.</w:t>
      </w:r>
    </w:p>
    <w:p w14:paraId="02B9CEE6" w14:textId="256CBD72" w:rsidR="00FC0A73" w:rsidRPr="00A114CA" w:rsidRDefault="00A114CA" w:rsidP="00A114CA">
      <w:pPr>
        <w:spacing w:line="360" w:lineRule="auto"/>
        <w:ind w:left="360" w:hanging="360"/>
        <w:jc w:val="both"/>
        <w:rPr>
          <w:color w:val="0D0D0D" w:themeColor="text1" w:themeTint="F2"/>
        </w:rPr>
      </w:pPr>
      <w:r w:rsidRPr="00483F29">
        <w:rPr>
          <w:color w:val="0D0D0D" w:themeColor="text1" w:themeTint="F2"/>
        </w:rPr>
        <w:t>[28]</w:t>
      </w:r>
      <w:r w:rsidRPr="00483F29">
        <w:rPr>
          <w:color w:val="0D0D0D" w:themeColor="text1" w:themeTint="F2"/>
        </w:rPr>
        <w:tab/>
      </w:r>
      <w:r w:rsidR="00813401" w:rsidRPr="00A114CA">
        <w:rPr>
          <w:color w:val="0D0D0D" w:themeColor="text1" w:themeTint="F2"/>
        </w:rPr>
        <w:t xml:space="preserve">At best following the </w:t>
      </w:r>
      <w:r w:rsidR="00813401" w:rsidRPr="00A114CA">
        <w:rPr>
          <w:i/>
          <w:iCs/>
          <w:color w:val="0D0D0D" w:themeColor="text1" w:themeTint="F2"/>
        </w:rPr>
        <w:t>Turner</w:t>
      </w:r>
      <w:r w:rsidR="00813401" w:rsidRPr="00A114CA">
        <w:rPr>
          <w:color w:val="0D0D0D" w:themeColor="text1" w:themeTint="F2"/>
        </w:rPr>
        <w:t xml:space="preserve"> case the applicant may have a case in relation to fairness</w:t>
      </w:r>
      <w:r w:rsidR="00FD3668" w:rsidRPr="00A114CA">
        <w:rPr>
          <w:color w:val="0D0D0D" w:themeColor="text1" w:themeTint="F2"/>
        </w:rPr>
        <w:t>,</w:t>
      </w:r>
      <w:r w:rsidR="00813401" w:rsidRPr="00A114CA">
        <w:rPr>
          <w:color w:val="0D0D0D" w:themeColor="text1" w:themeTint="F2"/>
        </w:rPr>
        <w:t xml:space="preserve"> in respect of the roll of Mr Mervyn </w:t>
      </w:r>
      <w:proofErr w:type="spellStart"/>
      <w:r w:rsidR="00813401" w:rsidRPr="00A114CA">
        <w:rPr>
          <w:color w:val="0D0D0D" w:themeColor="text1" w:themeTint="F2"/>
        </w:rPr>
        <w:t>Cirota</w:t>
      </w:r>
      <w:proofErr w:type="spellEnd"/>
      <w:r w:rsidR="00813401" w:rsidRPr="00A114CA">
        <w:rPr>
          <w:color w:val="0D0D0D" w:themeColor="text1" w:themeTint="F2"/>
        </w:rPr>
        <w:t xml:space="preserve"> who is the party official responsible for the appointment of disciplinary panels. According to the applicant Mr. </w:t>
      </w:r>
      <w:proofErr w:type="spellStart"/>
      <w:r w:rsidR="00813401" w:rsidRPr="00A114CA">
        <w:rPr>
          <w:color w:val="0D0D0D" w:themeColor="text1" w:themeTint="F2"/>
        </w:rPr>
        <w:t>Cirota</w:t>
      </w:r>
      <w:proofErr w:type="spellEnd"/>
      <w:r w:rsidR="00813401" w:rsidRPr="00A114CA">
        <w:rPr>
          <w:color w:val="0D0D0D" w:themeColor="text1" w:themeTint="F2"/>
        </w:rPr>
        <w:t xml:space="preserve"> was the attorney </w:t>
      </w:r>
      <w:r w:rsidR="00FC0A73" w:rsidRPr="00A114CA">
        <w:rPr>
          <w:color w:val="0D0D0D" w:themeColor="text1" w:themeTint="F2"/>
        </w:rPr>
        <w:t xml:space="preserve">who represented </w:t>
      </w:r>
      <w:proofErr w:type="spellStart"/>
      <w:r w:rsidR="00FC0A73" w:rsidRPr="00A114CA">
        <w:rPr>
          <w:color w:val="0D0D0D" w:themeColor="text1" w:themeTint="F2"/>
        </w:rPr>
        <w:t>Shabangu</w:t>
      </w:r>
      <w:proofErr w:type="spellEnd"/>
      <w:r w:rsidR="00FC0A73" w:rsidRPr="00A114CA">
        <w:rPr>
          <w:color w:val="0D0D0D" w:themeColor="text1" w:themeTint="F2"/>
        </w:rPr>
        <w:t xml:space="preserve"> in her complaint </w:t>
      </w:r>
      <w:r w:rsidR="00F92F22" w:rsidRPr="00A114CA">
        <w:rPr>
          <w:color w:val="0D0D0D" w:themeColor="text1" w:themeTint="F2"/>
        </w:rPr>
        <w:t xml:space="preserve">seeking a protection order in </w:t>
      </w:r>
      <w:r w:rsidR="00FC0A73" w:rsidRPr="00A114CA">
        <w:rPr>
          <w:color w:val="0D0D0D" w:themeColor="text1" w:themeTint="F2"/>
        </w:rPr>
        <w:t xml:space="preserve">the </w:t>
      </w:r>
      <w:proofErr w:type="gramStart"/>
      <w:r w:rsidR="00FC0A73" w:rsidRPr="00A114CA">
        <w:rPr>
          <w:color w:val="0D0D0D" w:themeColor="text1" w:themeTint="F2"/>
        </w:rPr>
        <w:t>magistrates</w:t>
      </w:r>
      <w:proofErr w:type="gramEnd"/>
      <w:r w:rsidR="00FC0A73" w:rsidRPr="00A114CA">
        <w:rPr>
          <w:color w:val="0D0D0D" w:themeColor="text1" w:themeTint="F2"/>
        </w:rPr>
        <w:t xml:space="preserve"> court. She describes </w:t>
      </w:r>
      <w:proofErr w:type="spellStart"/>
      <w:r w:rsidR="00FC0A73" w:rsidRPr="00A114CA">
        <w:rPr>
          <w:color w:val="0D0D0D" w:themeColor="text1" w:themeTint="F2"/>
        </w:rPr>
        <w:t>Cirota</w:t>
      </w:r>
      <w:proofErr w:type="spellEnd"/>
      <w:r w:rsidR="00FC0A73" w:rsidRPr="00A114CA">
        <w:rPr>
          <w:color w:val="0D0D0D" w:themeColor="text1" w:themeTint="F2"/>
        </w:rPr>
        <w:t xml:space="preserve"> as </w:t>
      </w:r>
      <w:proofErr w:type="spellStart"/>
      <w:r w:rsidR="00FC0A73" w:rsidRPr="00A114CA">
        <w:rPr>
          <w:color w:val="0D0D0D" w:themeColor="text1" w:themeTint="F2"/>
        </w:rPr>
        <w:t>Shabangu’s</w:t>
      </w:r>
      <w:proofErr w:type="spellEnd"/>
      <w:r w:rsidR="00FC0A73" w:rsidRPr="00A114CA">
        <w:rPr>
          <w:color w:val="0D0D0D" w:themeColor="text1" w:themeTint="F2"/>
        </w:rPr>
        <w:t xml:space="preserve"> attorney</w:t>
      </w:r>
    </w:p>
    <w:p w14:paraId="4F4B634C" w14:textId="60B0270C" w:rsidR="00FC0A73" w:rsidRPr="00A114CA" w:rsidRDefault="00A114CA" w:rsidP="00A114CA">
      <w:pPr>
        <w:spacing w:line="360" w:lineRule="auto"/>
        <w:ind w:left="360" w:hanging="360"/>
        <w:jc w:val="both"/>
        <w:rPr>
          <w:color w:val="0D0D0D" w:themeColor="text1" w:themeTint="F2"/>
        </w:rPr>
      </w:pPr>
      <w:r w:rsidRPr="00483F29">
        <w:rPr>
          <w:color w:val="0D0D0D" w:themeColor="text1" w:themeTint="F2"/>
        </w:rPr>
        <w:t>[29]</w:t>
      </w:r>
      <w:r w:rsidRPr="00483F29">
        <w:rPr>
          <w:color w:val="0D0D0D" w:themeColor="text1" w:themeTint="F2"/>
        </w:rPr>
        <w:tab/>
      </w:r>
      <w:proofErr w:type="spellStart"/>
      <w:r w:rsidR="00FC0A73" w:rsidRPr="00A114CA">
        <w:rPr>
          <w:color w:val="0D0D0D" w:themeColor="text1" w:themeTint="F2"/>
        </w:rPr>
        <w:t>Cirota</w:t>
      </w:r>
      <w:proofErr w:type="spellEnd"/>
      <w:r w:rsidR="00FC0A73" w:rsidRPr="00A114CA">
        <w:rPr>
          <w:color w:val="0D0D0D" w:themeColor="text1" w:themeTint="F2"/>
        </w:rPr>
        <w:t xml:space="preserve"> minimizes his role saying he appeared for </w:t>
      </w:r>
      <w:proofErr w:type="spellStart"/>
      <w:r w:rsidR="00FC0A73" w:rsidRPr="00A114CA">
        <w:rPr>
          <w:color w:val="0D0D0D" w:themeColor="text1" w:themeTint="F2"/>
        </w:rPr>
        <w:t>Shabangu</w:t>
      </w:r>
      <w:proofErr w:type="spellEnd"/>
      <w:r w:rsidR="00FC0A73" w:rsidRPr="00A114CA">
        <w:rPr>
          <w:color w:val="0D0D0D" w:themeColor="text1" w:themeTint="F2"/>
        </w:rPr>
        <w:t xml:space="preserve"> as the hearing was at short </w:t>
      </w:r>
      <w:r w:rsidR="00EF0F59" w:rsidRPr="00A114CA">
        <w:rPr>
          <w:color w:val="0D0D0D" w:themeColor="text1" w:themeTint="F2"/>
        </w:rPr>
        <w:t>notice,</w:t>
      </w:r>
      <w:r w:rsidR="00FC0A73" w:rsidRPr="00A114CA">
        <w:rPr>
          <w:color w:val="0D0D0D" w:themeColor="text1" w:themeTint="F2"/>
        </w:rPr>
        <w:t xml:space="preserve"> but he is otherwise not his attorney. Whether this deals with her concerns</w:t>
      </w:r>
      <w:r w:rsidR="00EF0F59" w:rsidRPr="00A114CA">
        <w:rPr>
          <w:color w:val="0D0D0D" w:themeColor="text1" w:themeTint="F2"/>
        </w:rPr>
        <w:t>,</w:t>
      </w:r>
      <w:r w:rsidR="00FC0A73" w:rsidRPr="00A114CA">
        <w:rPr>
          <w:color w:val="0D0D0D" w:themeColor="text1" w:themeTint="F2"/>
        </w:rPr>
        <w:t xml:space="preserve"> is open to some doubt</w:t>
      </w:r>
      <w:r w:rsidR="00EF0F59" w:rsidRPr="00A114CA">
        <w:rPr>
          <w:color w:val="0D0D0D" w:themeColor="text1" w:themeTint="F2"/>
        </w:rPr>
        <w:t>,</w:t>
      </w:r>
      <w:r w:rsidR="00FC0A73" w:rsidRPr="00A114CA">
        <w:rPr>
          <w:color w:val="0D0D0D" w:themeColor="text1" w:themeTint="F2"/>
        </w:rPr>
        <w:t xml:space="preserve"> but this </w:t>
      </w:r>
      <w:r w:rsidR="00EF0F59" w:rsidRPr="00A114CA">
        <w:rPr>
          <w:color w:val="0D0D0D" w:themeColor="text1" w:themeTint="F2"/>
        </w:rPr>
        <w:t>aspect does</w:t>
      </w:r>
      <w:r w:rsidR="00FC0A73" w:rsidRPr="00A114CA">
        <w:rPr>
          <w:color w:val="0D0D0D" w:themeColor="text1" w:themeTint="F2"/>
        </w:rPr>
        <w:t xml:space="preserve"> not need to be decided at </w:t>
      </w:r>
      <w:r w:rsidR="00EF0F59" w:rsidRPr="00A114CA">
        <w:rPr>
          <w:color w:val="0D0D0D" w:themeColor="text1" w:themeTint="F2"/>
        </w:rPr>
        <w:t>this</w:t>
      </w:r>
      <w:r w:rsidR="00FC0A73" w:rsidRPr="00A114CA">
        <w:rPr>
          <w:color w:val="0D0D0D" w:themeColor="text1" w:themeTint="F2"/>
        </w:rPr>
        <w:t xml:space="preserve"> point. This is because </w:t>
      </w:r>
      <w:proofErr w:type="spellStart"/>
      <w:r w:rsidR="00FC0A73" w:rsidRPr="00A114CA">
        <w:rPr>
          <w:color w:val="0D0D0D" w:themeColor="text1" w:themeTint="F2"/>
        </w:rPr>
        <w:t>Cirota</w:t>
      </w:r>
      <w:proofErr w:type="spellEnd"/>
      <w:r w:rsidR="00FC0A73" w:rsidRPr="00A114CA">
        <w:rPr>
          <w:color w:val="0D0D0D" w:themeColor="text1" w:themeTint="F2"/>
        </w:rPr>
        <w:t xml:space="preserve"> says he has had no role in the choice of disciplinary panels. Applying </w:t>
      </w:r>
      <w:r w:rsidR="00E703AC" w:rsidRPr="00A114CA">
        <w:rPr>
          <w:color w:val="0D0D0D" w:themeColor="text1" w:themeTint="F2"/>
        </w:rPr>
        <w:t xml:space="preserve">the rule in </w:t>
      </w:r>
      <w:proofErr w:type="spellStart"/>
      <w:r w:rsidR="00FC0A73" w:rsidRPr="00A114CA">
        <w:rPr>
          <w:i/>
          <w:iCs/>
          <w:color w:val="0D0D0D" w:themeColor="text1" w:themeTint="F2"/>
        </w:rPr>
        <w:t>Plascon</w:t>
      </w:r>
      <w:proofErr w:type="spellEnd"/>
      <w:r w:rsidR="00FC0A73" w:rsidRPr="00A114CA">
        <w:rPr>
          <w:i/>
          <w:iCs/>
          <w:color w:val="0D0D0D" w:themeColor="text1" w:themeTint="F2"/>
        </w:rPr>
        <w:t xml:space="preserve"> Evans</w:t>
      </w:r>
      <w:r w:rsidR="00547702">
        <w:rPr>
          <w:rStyle w:val="FootnoteReference"/>
          <w:i/>
          <w:iCs/>
          <w:color w:val="0D0D0D" w:themeColor="text1" w:themeTint="F2"/>
        </w:rPr>
        <w:footnoteReference w:id="3"/>
      </w:r>
      <w:r w:rsidR="00FC0A73" w:rsidRPr="00A114CA">
        <w:rPr>
          <w:color w:val="0D0D0D" w:themeColor="text1" w:themeTint="F2"/>
        </w:rPr>
        <w:t xml:space="preserve"> his version on this aspect must be accepted. Thus far then there is no basis to say that </w:t>
      </w:r>
      <w:r w:rsidR="00EF0F59" w:rsidRPr="00A114CA">
        <w:rPr>
          <w:color w:val="0D0D0D" w:themeColor="text1" w:themeTint="F2"/>
        </w:rPr>
        <w:t>applying</w:t>
      </w:r>
      <w:r w:rsidR="00FC0A73" w:rsidRPr="00A114CA">
        <w:rPr>
          <w:color w:val="0D0D0D" w:themeColor="text1" w:themeTint="F2"/>
        </w:rPr>
        <w:t xml:space="preserve"> a fairness standard the roll of </w:t>
      </w:r>
      <w:proofErr w:type="spellStart"/>
      <w:r w:rsidR="00FC0A73" w:rsidRPr="00A114CA">
        <w:rPr>
          <w:color w:val="0D0D0D" w:themeColor="text1" w:themeTint="F2"/>
        </w:rPr>
        <w:t>Cirota</w:t>
      </w:r>
      <w:proofErr w:type="spellEnd"/>
      <w:r w:rsidR="00FC0A73" w:rsidRPr="00A114CA">
        <w:rPr>
          <w:color w:val="0D0D0D" w:themeColor="text1" w:themeTint="F2"/>
        </w:rPr>
        <w:t xml:space="preserve"> as being open to suggestion of bias has infected the process</w:t>
      </w:r>
      <w:r w:rsidR="00E3699F" w:rsidRPr="00A114CA">
        <w:rPr>
          <w:color w:val="0D0D0D" w:themeColor="text1" w:themeTint="F2"/>
        </w:rPr>
        <w:t xml:space="preserve"> against the applicant</w:t>
      </w:r>
      <w:r w:rsidR="00FC0A73" w:rsidRPr="00A114CA">
        <w:rPr>
          <w:color w:val="0D0D0D" w:themeColor="text1" w:themeTint="F2"/>
        </w:rPr>
        <w:t>.</w:t>
      </w:r>
    </w:p>
    <w:p w14:paraId="3D6184A1" w14:textId="03ED1275" w:rsidR="00FC0A73" w:rsidRPr="00A114CA" w:rsidRDefault="00A114CA" w:rsidP="00A114CA">
      <w:pPr>
        <w:spacing w:line="360" w:lineRule="auto"/>
        <w:ind w:left="360" w:hanging="360"/>
        <w:jc w:val="both"/>
        <w:rPr>
          <w:color w:val="0D0D0D" w:themeColor="text1" w:themeTint="F2"/>
        </w:rPr>
      </w:pPr>
      <w:r w:rsidRPr="00483F29">
        <w:rPr>
          <w:color w:val="0D0D0D" w:themeColor="text1" w:themeTint="F2"/>
        </w:rPr>
        <w:t>[30]</w:t>
      </w:r>
      <w:r w:rsidRPr="00483F29">
        <w:rPr>
          <w:color w:val="0D0D0D" w:themeColor="text1" w:themeTint="F2"/>
        </w:rPr>
        <w:tab/>
      </w:r>
      <w:r w:rsidR="00E3699F" w:rsidRPr="00A114CA">
        <w:rPr>
          <w:color w:val="0D0D0D" w:themeColor="text1" w:themeTint="F2"/>
        </w:rPr>
        <w:t xml:space="preserve">Although the </w:t>
      </w:r>
      <w:r w:rsidR="00FC0A73" w:rsidRPr="00A114CA">
        <w:rPr>
          <w:color w:val="0D0D0D" w:themeColor="text1" w:themeTint="F2"/>
        </w:rPr>
        <w:t xml:space="preserve">applicant </w:t>
      </w:r>
      <w:r w:rsidR="00E3699F" w:rsidRPr="00A114CA">
        <w:rPr>
          <w:color w:val="0D0D0D" w:themeColor="text1" w:themeTint="F2"/>
        </w:rPr>
        <w:t xml:space="preserve">has now </w:t>
      </w:r>
      <w:r w:rsidR="00FC0A73" w:rsidRPr="00A114CA">
        <w:rPr>
          <w:color w:val="0D0D0D" w:themeColor="text1" w:themeTint="F2"/>
        </w:rPr>
        <w:t>been placed on cautionary suspension</w:t>
      </w:r>
      <w:r w:rsidR="00E3699F" w:rsidRPr="00A114CA">
        <w:rPr>
          <w:color w:val="0D0D0D" w:themeColor="text1" w:themeTint="F2"/>
        </w:rPr>
        <w:t xml:space="preserve"> she</w:t>
      </w:r>
      <w:r w:rsidR="00FC0A73" w:rsidRPr="00A114CA">
        <w:rPr>
          <w:color w:val="0D0D0D" w:themeColor="text1" w:themeTint="F2"/>
        </w:rPr>
        <w:t xml:space="preserve"> has not been removed as councillor and still is paid as a councillor. She was not paid by the </w:t>
      </w:r>
      <w:r w:rsidR="00EF0F59" w:rsidRPr="00A114CA">
        <w:rPr>
          <w:color w:val="0D0D0D" w:themeColor="text1" w:themeTint="F2"/>
        </w:rPr>
        <w:t>DA,</w:t>
      </w:r>
      <w:r w:rsidR="00FC0A73" w:rsidRPr="00A114CA">
        <w:rPr>
          <w:color w:val="0D0D0D" w:themeColor="text1" w:themeTint="F2"/>
        </w:rPr>
        <w:t xml:space="preserve"> so the suspension has not </w:t>
      </w:r>
      <w:r w:rsidR="00604A96" w:rsidRPr="00A114CA">
        <w:rPr>
          <w:color w:val="0D0D0D" w:themeColor="text1" w:themeTint="F2"/>
        </w:rPr>
        <w:t>had a financial impact on her.</w:t>
      </w:r>
    </w:p>
    <w:p w14:paraId="1175CE1B" w14:textId="6007AF00" w:rsidR="00656800" w:rsidRPr="00A114CA" w:rsidRDefault="00A114CA" w:rsidP="00A114CA">
      <w:pPr>
        <w:spacing w:line="360" w:lineRule="auto"/>
        <w:ind w:left="360" w:hanging="360"/>
        <w:jc w:val="both"/>
        <w:rPr>
          <w:color w:val="0D0D0D" w:themeColor="text1" w:themeTint="F2"/>
        </w:rPr>
      </w:pPr>
      <w:r w:rsidRPr="00483F29">
        <w:rPr>
          <w:color w:val="0D0D0D" w:themeColor="text1" w:themeTint="F2"/>
        </w:rPr>
        <w:lastRenderedPageBreak/>
        <w:t>[31]</w:t>
      </w:r>
      <w:r w:rsidRPr="00483F29">
        <w:rPr>
          <w:color w:val="0D0D0D" w:themeColor="text1" w:themeTint="F2"/>
        </w:rPr>
        <w:tab/>
      </w:r>
      <w:r w:rsidR="00713A63" w:rsidRPr="00A114CA">
        <w:rPr>
          <w:color w:val="0D0D0D" w:themeColor="text1" w:themeTint="F2"/>
        </w:rPr>
        <w:t xml:space="preserve">In the </w:t>
      </w:r>
      <w:proofErr w:type="spellStart"/>
      <w:r w:rsidR="00713A63" w:rsidRPr="00A114CA">
        <w:rPr>
          <w:i/>
          <w:iCs/>
          <w:color w:val="0D0D0D" w:themeColor="text1" w:themeTint="F2"/>
        </w:rPr>
        <w:t>Magashule</w:t>
      </w:r>
      <w:proofErr w:type="spellEnd"/>
      <w:r w:rsidR="00713A63" w:rsidRPr="00A114CA">
        <w:rPr>
          <w:color w:val="0D0D0D" w:themeColor="text1" w:themeTint="F2"/>
        </w:rPr>
        <w:t xml:space="preserve"> case the court noted that there is a difference in consequence between precautionary suspensions and punitive suspensions. This affects the requirement for </w:t>
      </w:r>
      <w:proofErr w:type="spellStart"/>
      <w:r w:rsidR="004535E4" w:rsidRPr="00A114CA">
        <w:rPr>
          <w:i/>
          <w:iCs/>
          <w:color w:val="0D0D0D" w:themeColor="text1" w:themeTint="F2"/>
        </w:rPr>
        <w:t>audi</w:t>
      </w:r>
      <w:proofErr w:type="spellEnd"/>
      <w:r w:rsidR="004535E4" w:rsidRPr="00A114CA">
        <w:rPr>
          <w:color w:val="0D0D0D" w:themeColor="text1" w:themeTint="F2"/>
        </w:rPr>
        <w:t>.</w:t>
      </w:r>
      <w:r w:rsidR="00656800" w:rsidRPr="00A114CA">
        <w:rPr>
          <w:color w:val="0D0D0D" w:themeColor="text1" w:themeTint="F2"/>
        </w:rPr>
        <w:t xml:space="preserve"> As the court put it</w:t>
      </w:r>
      <w:r w:rsidR="00FC3DCB" w:rsidRPr="00A114CA">
        <w:rPr>
          <w:color w:val="0D0D0D" w:themeColor="text1" w:themeTint="F2"/>
        </w:rPr>
        <w:t xml:space="preserve"> after</w:t>
      </w:r>
      <w:r w:rsidR="00656800" w:rsidRPr="00A114CA">
        <w:rPr>
          <w:color w:val="0D0D0D" w:themeColor="text1" w:themeTint="F2"/>
        </w:rPr>
        <w:t xml:space="preserve"> considering </w:t>
      </w:r>
      <w:r w:rsidR="00E3699F" w:rsidRPr="00A114CA">
        <w:rPr>
          <w:color w:val="0D0D0D" w:themeColor="text1" w:themeTint="F2"/>
        </w:rPr>
        <w:t xml:space="preserve">certain </w:t>
      </w:r>
      <w:r w:rsidR="00656800" w:rsidRPr="00A114CA">
        <w:rPr>
          <w:color w:val="0D0D0D" w:themeColor="text1" w:themeTint="F2"/>
        </w:rPr>
        <w:t>labour law cases:</w:t>
      </w:r>
    </w:p>
    <w:p w14:paraId="32376586" w14:textId="689EF1BD" w:rsidR="00656800" w:rsidRPr="00483F29" w:rsidRDefault="00656800" w:rsidP="00A16074">
      <w:pPr>
        <w:pStyle w:val="ListParagraph"/>
        <w:spacing w:line="360" w:lineRule="auto"/>
        <w:ind w:left="360"/>
        <w:jc w:val="both"/>
        <w:rPr>
          <w:rFonts w:cs="Arial"/>
          <w:i/>
          <w:iCs/>
          <w:color w:val="0D0D0D" w:themeColor="text1" w:themeTint="F2"/>
          <w:szCs w:val="24"/>
        </w:rPr>
      </w:pPr>
      <w:r w:rsidRPr="00483F29">
        <w:rPr>
          <w:rFonts w:cs="Arial"/>
          <w:i/>
          <w:iCs/>
          <w:color w:val="0D0D0D" w:themeColor="text1" w:themeTint="F2"/>
          <w:szCs w:val="24"/>
        </w:rPr>
        <w:t>The above approach deals largely with the operation of the principle of natural justice in the setting of disciplinary proceedings, as opposed to a decision to suspend as contemplated in rule 25.70. For the reasons we have already given, a decision to suspend is not a disciplinary proceeding and therefore does not automatically attract the operation of the principles of natural justice</w:t>
      </w:r>
      <w:r w:rsidR="0077741F" w:rsidRPr="00483F29">
        <w:rPr>
          <w:rFonts w:cs="Arial"/>
          <w:i/>
          <w:iCs/>
          <w:color w:val="0D0D0D" w:themeColor="text1" w:themeTint="F2"/>
          <w:szCs w:val="24"/>
        </w:rPr>
        <w:t>.”</w:t>
      </w:r>
      <w:r w:rsidR="00F92F22" w:rsidRPr="00483F29">
        <w:rPr>
          <w:rStyle w:val="FootnoteReference"/>
          <w:rFonts w:cs="Arial"/>
          <w:i/>
          <w:iCs/>
          <w:color w:val="0D0D0D" w:themeColor="text1" w:themeTint="F2"/>
          <w:szCs w:val="24"/>
        </w:rPr>
        <w:footnoteReference w:id="4"/>
      </w:r>
    </w:p>
    <w:p w14:paraId="11251FD8" w14:textId="1B9714DC" w:rsidR="00656800" w:rsidRPr="00A114CA" w:rsidRDefault="00A114CA" w:rsidP="00A114CA">
      <w:pPr>
        <w:spacing w:line="360" w:lineRule="auto"/>
        <w:ind w:left="360" w:hanging="360"/>
        <w:jc w:val="both"/>
        <w:rPr>
          <w:rFonts w:cs="Arial"/>
          <w:color w:val="0D0D0D" w:themeColor="text1" w:themeTint="F2"/>
          <w:szCs w:val="24"/>
        </w:rPr>
      </w:pPr>
      <w:r w:rsidRPr="00483F29">
        <w:rPr>
          <w:rFonts w:cs="Arial"/>
          <w:color w:val="0D0D0D" w:themeColor="text1" w:themeTint="F2"/>
          <w:szCs w:val="24"/>
        </w:rPr>
        <w:t>[32]</w:t>
      </w:r>
      <w:r w:rsidRPr="00483F29">
        <w:rPr>
          <w:rFonts w:cs="Arial"/>
          <w:color w:val="0D0D0D" w:themeColor="text1" w:themeTint="F2"/>
          <w:szCs w:val="24"/>
        </w:rPr>
        <w:tab/>
      </w:r>
      <w:r w:rsidR="00656800" w:rsidRPr="00A114CA">
        <w:rPr>
          <w:rFonts w:cs="Arial"/>
          <w:color w:val="0D0D0D" w:themeColor="text1" w:themeTint="F2"/>
          <w:szCs w:val="24"/>
        </w:rPr>
        <w:t xml:space="preserve">Despite this applying in an employment context the court </w:t>
      </w:r>
      <w:r w:rsidR="00E3699F" w:rsidRPr="00A114CA">
        <w:rPr>
          <w:rFonts w:cs="Arial"/>
          <w:color w:val="0D0D0D" w:themeColor="text1" w:themeTint="F2"/>
          <w:szCs w:val="24"/>
        </w:rPr>
        <w:t>in</w:t>
      </w:r>
      <w:r w:rsidR="00E3699F" w:rsidRPr="00A114CA">
        <w:rPr>
          <w:rFonts w:cs="Arial"/>
          <w:i/>
          <w:iCs/>
          <w:color w:val="0D0D0D" w:themeColor="text1" w:themeTint="F2"/>
          <w:szCs w:val="24"/>
        </w:rPr>
        <w:t xml:space="preserve"> </w:t>
      </w:r>
      <w:proofErr w:type="spellStart"/>
      <w:r w:rsidR="00E3699F" w:rsidRPr="00A114CA">
        <w:rPr>
          <w:rFonts w:cs="Arial"/>
          <w:i/>
          <w:iCs/>
          <w:color w:val="0D0D0D" w:themeColor="text1" w:themeTint="F2"/>
          <w:szCs w:val="24"/>
        </w:rPr>
        <w:t>Magashule</w:t>
      </w:r>
      <w:proofErr w:type="spellEnd"/>
      <w:r w:rsidR="00E3699F" w:rsidRPr="00A114CA">
        <w:rPr>
          <w:rFonts w:cs="Arial"/>
          <w:i/>
          <w:iCs/>
          <w:color w:val="0D0D0D" w:themeColor="text1" w:themeTint="F2"/>
          <w:szCs w:val="24"/>
        </w:rPr>
        <w:t xml:space="preserve"> </w:t>
      </w:r>
      <w:r w:rsidR="00656800" w:rsidRPr="00A114CA">
        <w:rPr>
          <w:rFonts w:cs="Arial"/>
          <w:color w:val="0D0D0D" w:themeColor="text1" w:themeTint="F2"/>
          <w:szCs w:val="24"/>
        </w:rPr>
        <w:t>noted further that</w:t>
      </w:r>
      <w:r w:rsidR="00B0243C" w:rsidRPr="00A114CA">
        <w:rPr>
          <w:rFonts w:cs="Arial"/>
          <w:color w:val="0D0D0D" w:themeColor="text1" w:themeTint="F2"/>
          <w:szCs w:val="24"/>
        </w:rPr>
        <w:t>:</w:t>
      </w:r>
      <w:r w:rsidR="00656800" w:rsidRPr="00A114CA">
        <w:rPr>
          <w:rFonts w:cs="Arial"/>
          <w:color w:val="0D0D0D" w:themeColor="text1" w:themeTint="F2"/>
          <w:szCs w:val="24"/>
        </w:rPr>
        <w:t xml:space="preserve"> </w:t>
      </w:r>
    </w:p>
    <w:p w14:paraId="5560403B" w14:textId="650F6C43" w:rsidR="00713A63" w:rsidRPr="00483F29" w:rsidRDefault="00B0243C" w:rsidP="00A16074">
      <w:pPr>
        <w:pStyle w:val="ListParagraph"/>
        <w:spacing w:line="360" w:lineRule="auto"/>
        <w:ind w:left="360"/>
        <w:jc w:val="both"/>
        <w:rPr>
          <w:i/>
          <w:iCs/>
          <w:color w:val="0D0D0D" w:themeColor="text1" w:themeTint="F2"/>
        </w:rPr>
      </w:pPr>
      <w:r w:rsidRPr="00483F29">
        <w:rPr>
          <w:rFonts w:cs="Arial"/>
          <w:i/>
          <w:iCs/>
          <w:color w:val="0D0D0D" w:themeColor="text1" w:themeTint="F2"/>
          <w:szCs w:val="24"/>
        </w:rPr>
        <w:t>“</w:t>
      </w:r>
      <w:r w:rsidR="00656800" w:rsidRPr="00483F29">
        <w:rPr>
          <w:rFonts w:cs="Arial"/>
          <w:i/>
          <w:iCs/>
          <w:color w:val="0D0D0D" w:themeColor="text1" w:themeTint="F2"/>
          <w:szCs w:val="24"/>
        </w:rPr>
        <w:t xml:space="preserve">While Long deals with precautionary suspensions in an employment context, precautionary suspensions within a political party were dealt with on a similar basis in Lewis v </w:t>
      </w:r>
      <w:proofErr w:type="spellStart"/>
      <w:r w:rsidR="00656800" w:rsidRPr="00483F29">
        <w:rPr>
          <w:rFonts w:cs="Arial"/>
          <w:i/>
          <w:iCs/>
          <w:color w:val="0D0D0D" w:themeColor="text1" w:themeTint="F2"/>
          <w:szCs w:val="24"/>
        </w:rPr>
        <w:t>Heffer</w:t>
      </w:r>
      <w:proofErr w:type="spellEnd"/>
      <w:r w:rsidR="00656800" w:rsidRPr="00483F29">
        <w:rPr>
          <w:rFonts w:cs="Arial"/>
          <w:i/>
          <w:iCs/>
          <w:color w:val="0D0D0D" w:themeColor="text1" w:themeTint="F2"/>
          <w:szCs w:val="24"/>
        </w:rPr>
        <w:t xml:space="preserve"> and others</w:t>
      </w:r>
      <w:r w:rsidRPr="00483F29">
        <w:rPr>
          <w:i/>
          <w:iCs/>
          <w:color w:val="0D0D0D" w:themeColor="text1" w:themeTint="F2"/>
          <w:sz w:val="18"/>
          <w:szCs w:val="18"/>
        </w:rPr>
        <w:t>.”</w:t>
      </w:r>
      <w:r w:rsidR="00F92F22" w:rsidRPr="00483F29">
        <w:rPr>
          <w:rStyle w:val="FootnoteReference"/>
          <w:i/>
          <w:iCs/>
          <w:color w:val="0D0D0D" w:themeColor="text1" w:themeTint="F2"/>
          <w:sz w:val="18"/>
          <w:szCs w:val="18"/>
        </w:rPr>
        <w:footnoteReference w:id="5"/>
      </w:r>
    </w:p>
    <w:p w14:paraId="1567D4D1" w14:textId="7A5E229B" w:rsidR="00813401" w:rsidRPr="00483F29" w:rsidRDefault="00B0243C" w:rsidP="00A16074">
      <w:pPr>
        <w:pStyle w:val="ListParagraph"/>
        <w:spacing w:line="360" w:lineRule="auto"/>
        <w:ind w:left="360"/>
        <w:jc w:val="both"/>
        <w:rPr>
          <w:b/>
          <w:bCs/>
          <w:color w:val="0D0D0D" w:themeColor="text1" w:themeTint="F2"/>
        </w:rPr>
      </w:pPr>
      <w:r w:rsidRPr="00483F29">
        <w:rPr>
          <w:b/>
          <w:bCs/>
          <w:color w:val="0D0D0D" w:themeColor="text1" w:themeTint="F2"/>
        </w:rPr>
        <w:t>Conclusion</w:t>
      </w:r>
    </w:p>
    <w:p w14:paraId="63AC9E32" w14:textId="2D765C97" w:rsidR="00FF4BF1" w:rsidRPr="00A114CA" w:rsidRDefault="00A114CA" w:rsidP="00A114CA">
      <w:pPr>
        <w:spacing w:line="360" w:lineRule="auto"/>
        <w:ind w:left="360" w:hanging="360"/>
        <w:jc w:val="both"/>
        <w:rPr>
          <w:color w:val="0D0D0D" w:themeColor="text1" w:themeTint="F2"/>
        </w:rPr>
      </w:pPr>
      <w:r w:rsidRPr="00483F29">
        <w:rPr>
          <w:color w:val="0D0D0D" w:themeColor="text1" w:themeTint="F2"/>
        </w:rPr>
        <w:t>[33]</w:t>
      </w:r>
      <w:r w:rsidRPr="00483F29">
        <w:rPr>
          <w:color w:val="0D0D0D" w:themeColor="text1" w:themeTint="F2"/>
        </w:rPr>
        <w:tab/>
      </w:r>
      <w:r w:rsidR="00FF4BF1" w:rsidRPr="00A114CA">
        <w:rPr>
          <w:color w:val="0D0D0D" w:themeColor="text1" w:themeTint="F2"/>
        </w:rPr>
        <w:t>In summary the applicant has not made a basis at this stage for the first ground of her relief that the disciplinary proceedings be re</w:t>
      </w:r>
      <w:r w:rsidR="00FC3DCB" w:rsidRPr="00A114CA">
        <w:rPr>
          <w:color w:val="0D0D0D" w:themeColor="text1" w:themeTint="F2"/>
        </w:rPr>
        <w:t>vi</w:t>
      </w:r>
      <w:r w:rsidR="00FF4BF1" w:rsidRPr="00A114CA">
        <w:rPr>
          <w:color w:val="0D0D0D" w:themeColor="text1" w:themeTint="F2"/>
        </w:rPr>
        <w:t>e</w:t>
      </w:r>
      <w:r w:rsidR="00FC3DCB" w:rsidRPr="00A114CA">
        <w:rPr>
          <w:color w:val="0D0D0D" w:themeColor="text1" w:themeTint="F2"/>
        </w:rPr>
        <w:t>we</w:t>
      </w:r>
      <w:r w:rsidR="00FF4BF1" w:rsidRPr="00A114CA">
        <w:rPr>
          <w:color w:val="0D0D0D" w:themeColor="text1" w:themeTint="F2"/>
        </w:rPr>
        <w:t xml:space="preserve">d. These proceedings have not been finalised and such relief is premature. Nor does the fact that she was suspended pending the outcome </w:t>
      </w:r>
      <w:r w:rsidR="00B0243C" w:rsidRPr="00A114CA">
        <w:rPr>
          <w:color w:val="0D0D0D" w:themeColor="text1" w:themeTint="F2"/>
        </w:rPr>
        <w:t xml:space="preserve">of </w:t>
      </w:r>
      <w:r w:rsidR="00FF4BF1" w:rsidRPr="00A114CA">
        <w:rPr>
          <w:color w:val="0D0D0D" w:themeColor="text1" w:themeTint="F2"/>
        </w:rPr>
        <w:t xml:space="preserve">the enquiry change that matter. The law is clear that unless the suspension was punitive </w:t>
      </w:r>
      <w:r w:rsidR="00FC3DCB" w:rsidRPr="00A114CA">
        <w:rPr>
          <w:color w:val="0D0D0D" w:themeColor="text1" w:themeTint="F2"/>
        </w:rPr>
        <w:t>the party</w:t>
      </w:r>
      <w:r w:rsidR="00FF4BF1" w:rsidRPr="00A114CA">
        <w:rPr>
          <w:color w:val="0D0D0D" w:themeColor="text1" w:themeTint="F2"/>
        </w:rPr>
        <w:t xml:space="preserve"> does not need to comply with the principle</w:t>
      </w:r>
      <w:r w:rsidR="00FC3DCB" w:rsidRPr="00A114CA">
        <w:rPr>
          <w:color w:val="0D0D0D" w:themeColor="text1" w:themeTint="F2"/>
        </w:rPr>
        <w:t>s</w:t>
      </w:r>
      <w:r w:rsidR="00FF4BF1" w:rsidRPr="00A114CA">
        <w:rPr>
          <w:color w:val="0D0D0D" w:themeColor="text1" w:themeTint="F2"/>
        </w:rPr>
        <w:t xml:space="preserve"> of natural justice. He suspension was not punitive as she remains a </w:t>
      </w:r>
      <w:r w:rsidR="00EF0F59" w:rsidRPr="00A114CA">
        <w:rPr>
          <w:color w:val="0D0D0D" w:themeColor="text1" w:themeTint="F2"/>
        </w:rPr>
        <w:t>councillor</w:t>
      </w:r>
      <w:r w:rsidR="00FF4BF1" w:rsidRPr="00A114CA">
        <w:rPr>
          <w:color w:val="0D0D0D" w:themeColor="text1" w:themeTint="F2"/>
        </w:rPr>
        <w:t xml:space="preserve"> and receives her full remuneration.</w:t>
      </w:r>
    </w:p>
    <w:p w14:paraId="72B5EF60" w14:textId="0BDB45E7" w:rsidR="00FF4BF1" w:rsidRPr="00A114CA" w:rsidRDefault="00A114CA" w:rsidP="00A114CA">
      <w:pPr>
        <w:spacing w:line="360" w:lineRule="auto"/>
        <w:ind w:left="360" w:hanging="360"/>
        <w:jc w:val="both"/>
        <w:rPr>
          <w:color w:val="0D0D0D" w:themeColor="text1" w:themeTint="F2"/>
        </w:rPr>
      </w:pPr>
      <w:r w:rsidRPr="00483F29">
        <w:rPr>
          <w:color w:val="0D0D0D" w:themeColor="text1" w:themeTint="F2"/>
        </w:rPr>
        <w:t>[34]</w:t>
      </w:r>
      <w:r w:rsidRPr="00483F29">
        <w:rPr>
          <w:color w:val="0D0D0D" w:themeColor="text1" w:themeTint="F2"/>
        </w:rPr>
        <w:tab/>
      </w:r>
      <w:r w:rsidR="00FF4BF1" w:rsidRPr="00A114CA">
        <w:rPr>
          <w:color w:val="0D0D0D" w:themeColor="text1" w:themeTint="F2"/>
        </w:rPr>
        <w:t xml:space="preserve">This means that regardless of her contentions </w:t>
      </w:r>
      <w:r w:rsidR="00B0243C" w:rsidRPr="00A114CA">
        <w:rPr>
          <w:color w:val="0D0D0D" w:themeColor="text1" w:themeTint="F2"/>
        </w:rPr>
        <w:t>about</w:t>
      </w:r>
      <w:r w:rsidR="00FF4BF1" w:rsidRPr="00A114CA">
        <w:rPr>
          <w:color w:val="0D0D0D" w:themeColor="text1" w:themeTint="F2"/>
        </w:rPr>
        <w:t xml:space="preserve"> the role of Mr. </w:t>
      </w:r>
      <w:proofErr w:type="spellStart"/>
      <w:r w:rsidR="00FF4BF1" w:rsidRPr="00A114CA">
        <w:rPr>
          <w:color w:val="0D0D0D" w:themeColor="text1" w:themeTint="F2"/>
        </w:rPr>
        <w:t>Cirota</w:t>
      </w:r>
      <w:proofErr w:type="spellEnd"/>
      <w:r w:rsidR="00FF4BF1" w:rsidRPr="00A114CA">
        <w:rPr>
          <w:color w:val="0D0D0D" w:themeColor="text1" w:themeTint="F2"/>
        </w:rPr>
        <w:t xml:space="preserve"> (which in any event ha</w:t>
      </w:r>
      <w:r w:rsidR="00FC3DCB" w:rsidRPr="00A114CA">
        <w:rPr>
          <w:color w:val="0D0D0D" w:themeColor="text1" w:themeTint="F2"/>
        </w:rPr>
        <w:t>ve</w:t>
      </w:r>
      <w:r w:rsidR="00FF4BF1" w:rsidRPr="00A114CA">
        <w:rPr>
          <w:color w:val="0D0D0D" w:themeColor="text1" w:themeTint="F2"/>
        </w:rPr>
        <w:t xml:space="preserve"> been denied) this point too has been made prematurely. The applicant has not made out a basis for review of the pending disciplinary enquiry at this stage.</w:t>
      </w:r>
    </w:p>
    <w:p w14:paraId="5EE026BD" w14:textId="76C43368" w:rsidR="00FF4BF1" w:rsidRPr="00A114CA" w:rsidRDefault="00A114CA" w:rsidP="00A114CA">
      <w:pPr>
        <w:spacing w:line="360" w:lineRule="auto"/>
        <w:ind w:left="360" w:hanging="360"/>
        <w:jc w:val="both"/>
        <w:rPr>
          <w:color w:val="0D0D0D" w:themeColor="text1" w:themeTint="F2"/>
        </w:rPr>
      </w:pPr>
      <w:r w:rsidRPr="00483F29">
        <w:rPr>
          <w:color w:val="0D0D0D" w:themeColor="text1" w:themeTint="F2"/>
        </w:rPr>
        <w:t>[35]</w:t>
      </w:r>
      <w:r w:rsidRPr="00483F29">
        <w:rPr>
          <w:color w:val="0D0D0D" w:themeColor="text1" w:themeTint="F2"/>
        </w:rPr>
        <w:tab/>
      </w:r>
      <w:r w:rsidR="00FF4BF1" w:rsidRPr="00A114CA">
        <w:rPr>
          <w:color w:val="0D0D0D" w:themeColor="text1" w:themeTint="F2"/>
        </w:rPr>
        <w:t>I now turn to the remaining relief sought.</w:t>
      </w:r>
    </w:p>
    <w:p w14:paraId="15BC88CD" w14:textId="6AA4C817" w:rsidR="00FF4BF1" w:rsidRPr="00A114CA" w:rsidRDefault="00A114CA" w:rsidP="00A114CA">
      <w:pPr>
        <w:spacing w:line="360" w:lineRule="auto"/>
        <w:ind w:left="360" w:hanging="360"/>
        <w:jc w:val="both"/>
        <w:rPr>
          <w:color w:val="0D0D0D" w:themeColor="text1" w:themeTint="F2"/>
        </w:rPr>
      </w:pPr>
      <w:r w:rsidRPr="00483F29">
        <w:rPr>
          <w:color w:val="0D0D0D" w:themeColor="text1" w:themeTint="F2"/>
        </w:rPr>
        <w:lastRenderedPageBreak/>
        <w:t>[36]</w:t>
      </w:r>
      <w:r w:rsidRPr="00483F29">
        <w:rPr>
          <w:color w:val="0D0D0D" w:themeColor="text1" w:themeTint="F2"/>
        </w:rPr>
        <w:tab/>
      </w:r>
      <w:r w:rsidR="00FF4BF1" w:rsidRPr="00A114CA">
        <w:rPr>
          <w:color w:val="0D0D0D" w:themeColor="text1" w:themeTint="F2"/>
        </w:rPr>
        <w:t>The same conclusion applies to the remainder of her relief.</w:t>
      </w:r>
      <w:r w:rsidR="00842BC9" w:rsidRPr="00A114CA">
        <w:rPr>
          <w:color w:val="0D0D0D" w:themeColor="text1" w:themeTint="F2"/>
        </w:rPr>
        <w:t xml:space="preserve"> It is premature to conclude that she is being victimised in terms of this disciplinary enquiry nor is there any legal basis to interdict the respondent from disciplining her in future enquires. </w:t>
      </w:r>
    </w:p>
    <w:p w14:paraId="2D65CB46" w14:textId="1C7AC4AB" w:rsidR="00842BC9" w:rsidRPr="00A114CA" w:rsidRDefault="00A114CA" w:rsidP="00A114CA">
      <w:pPr>
        <w:spacing w:line="360" w:lineRule="auto"/>
        <w:ind w:left="360" w:hanging="360"/>
        <w:jc w:val="both"/>
        <w:rPr>
          <w:color w:val="0D0D0D" w:themeColor="text1" w:themeTint="F2"/>
        </w:rPr>
      </w:pPr>
      <w:r w:rsidRPr="00483F29">
        <w:rPr>
          <w:color w:val="0D0D0D" w:themeColor="text1" w:themeTint="F2"/>
        </w:rPr>
        <w:t>[37]</w:t>
      </w:r>
      <w:r w:rsidRPr="00483F29">
        <w:rPr>
          <w:color w:val="0D0D0D" w:themeColor="text1" w:themeTint="F2"/>
        </w:rPr>
        <w:tab/>
      </w:r>
      <w:r w:rsidR="00842BC9" w:rsidRPr="00A114CA">
        <w:rPr>
          <w:color w:val="0D0D0D" w:themeColor="text1" w:themeTint="F2"/>
        </w:rPr>
        <w:t xml:space="preserve">Her removal from the </w:t>
      </w:r>
      <w:r w:rsidR="00EF0F59" w:rsidRPr="00A114CA">
        <w:rPr>
          <w:color w:val="0D0D0D" w:themeColor="text1" w:themeTint="F2"/>
        </w:rPr>
        <w:t>WhatsApp</w:t>
      </w:r>
      <w:r w:rsidR="00842BC9" w:rsidRPr="00A114CA">
        <w:rPr>
          <w:color w:val="0D0D0D" w:themeColor="text1" w:themeTint="F2"/>
        </w:rPr>
        <w:t xml:space="preserve"> group is consequent on the suspension and for reasons stated above</w:t>
      </w:r>
      <w:r w:rsidR="00F92F22" w:rsidRPr="00A114CA">
        <w:rPr>
          <w:color w:val="0D0D0D" w:themeColor="text1" w:themeTint="F2"/>
        </w:rPr>
        <w:t xml:space="preserve"> it,</w:t>
      </w:r>
      <w:r w:rsidR="00842BC9" w:rsidRPr="00A114CA">
        <w:rPr>
          <w:color w:val="0D0D0D" w:themeColor="text1" w:themeTint="F2"/>
        </w:rPr>
        <w:t xml:space="preserve"> like the enquiry</w:t>
      </w:r>
      <w:r w:rsidR="00F92F22" w:rsidRPr="00A114CA">
        <w:rPr>
          <w:color w:val="0D0D0D" w:themeColor="text1" w:themeTint="F2"/>
        </w:rPr>
        <w:t>,</w:t>
      </w:r>
      <w:r w:rsidR="00842BC9" w:rsidRPr="00A114CA">
        <w:rPr>
          <w:color w:val="0D0D0D" w:themeColor="text1" w:themeTint="F2"/>
        </w:rPr>
        <w:t xml:space="preserve"> is not reviewable at this stage. </w:t>
      </w:r>
    </w:p>
    <w:p w14:paraId="7D2E1BB5" w14:textId="37C298FA" w:rsidR="00842BC9" w:rsidRPr="00A114CA" w:rsidRDefault="00A114CA" w:rsidP="00A114CA">
      <w:pPr>
        <w:spacing w:line="360" w:lineRule="auto"/>
        <w:ind w:left="360" w:hanging="360"/>
        <w:jc w:val="both"/>
        <w:rPr>
          <w:color w:val="0D0D0D" w:themeColor="text1" w:themeTint="F2"/>
        </w:rPr>
      </w:pPr>
      <w:r w:rsidRPr="00483F29">
        <w:rPr>
          <w:color w:val="0D0D0D" w:themeColor="text1" w:themeTint="F2"/>
        </w:rPr>
        <w:t>[38]</w:t>
      </w:r>
      <w:r w:rsidRPr="00483F29">
        <w:rPr>
          <w:color w:val="0D0D0D" w:themeColor="text1" w:themeTint="F2"/>
        </w:rPr>
        <w:tab/>
      </w:r>
      <w:r w:rsidR="00EF0F59" w:rsidRPr="00A114CA">
        <w:rPr>
          <w:color w:val="0D0D0D" w:themeColor="text1" w:themeTint="F2"/>
        </w:rPr>
        <w:t>Finally,</w:t>
      </w:r>
      <w:r w:rsidR="00842BC9" w:rsidRPr="00A114CA">
        <w:rPr>
          <w:color w:val="0D0D0D" w:themeColor="text1" w:themeTint="F2"/>
        </w:rPr>
        <w:t xml:space="preserve"> a requirement f</w:t>
      </w:r>
      <w:r w:rsidR="00F92F22" w:rsidRPr="00A114CA">
        <w:rPr>
          <w:color w:val="0D0D0D" w:themeColor="text1" w:themeTint="F2"/>
        </w:rPr>
        <w:t>or</w:t>
      </w:r>
      <w:r w:rsidR="00842BC9" w:rsidRPr="00A114CA">
        <w:rPr>
          <w:color w:val="0D0D0D" w:themeColor="text1" w:themeTint="F2"/>
        </w:rPr>
        <w:t xml:space="preserve"> the </w:t>
      </w:r>
      <w:r w:rsidR="00F92F22" w:rsidRPr="00A114CA">
        <w:rPr>
          <w:color w:val="0D0D0D" w:themeColor="text1" w:themeTint="F2"/>
        </w:rPr>
        <w:t xml:space="preserve">relevant </w:t>
      </w:r>
      <w:r w:rsidR="00842BC9" w:rsidRPr="00A114CA">
        <w:rPr>
          <w:color w:val="0D0D0D" w:themeColor="text1" w:themeTint="F2"/>
        </w:rPr>
        <w:t xml:space="preserve">party members to be ordered to apologise is deficient in several respects; it is premature, the party members </w:t>
      </w:r>
      <w:r w:rsidR="00EF0F59" w:rsidRPr="00A114CA">
        <w:rPr>
          <w:color w:val="0D0D0D" w:themeColor="text1" w:themeTint="F2"/>
        </w:rPr>
        <w:t>are not</w:t>
      </w:r>
      <w:r w:rsidR="00842BC9" w:rsidRPr="00A114CA">
        <w:rPr>
          <w:color w:val="0D0D0D" w:themeColor="text1" w:themeTint="F2"/>
        </w:rPr>
        <w:t xml:space="preserve"> identified and have not been joined.</w:t>
      </w:r>
    </w:p>
    <w:p w14:paraId="1BA0A0B0" w14:textId="15DE064D" w:rsidR="00842BC9" w:rsidRPr="00A114CA" w:rsidRDefault="00A114CA" w:rsidP="00A114CA">
      <w:pPr>
        <w:spacing w:line="360" w:lineRule="auto"/>
        <w:ind w:left="360" w:hanging="360"/>
        <w:jc w:val="both"/>
        <w:rPr>
          <w:color w:val="0D0D0D" w:themeColor="text1" w:themeTint="F2"/>
        </w:rPr>
      </w:pPr>
      <w:r w:rsidRPr="00483F29">
        <w:rPr>
          <w:color w:val="0D0D0D" w:themeColor="text1" w:themeTint="F2"/>
        </w:rPr>
        <w:t>[39]</w:t>
      </w:r>
      <w:r w:rsidRPr="00483F29">
        <w:rPr>
          <w:color w:val="0D0D0D" w:themeColor="text1" w:themeTint="F2"/>
        </w:rPr>
        <w:tab/>
      </w:r>
      <w:r w:rsidR="00842BC9" w:rsidRPr="00A114CA">
        <w:rPr>
          <w:color w:val="0D0D0D" w:themeColor="text1" w:themeTint="F2"/>
        </w:rPr>
        <w:t xml:space="preserve">For these </w:t>
      </w:r>
      <w:r w:rsidR="00EF0F59" w:rsidRPr="00A114CA">
        <w:rPr>
          <w:color w:val="0D0D0D" w:themeColor="text1" w:themeTint="F2"/>
        </w:rPr>
        <w:t>reasons,</w:t>
      </w:r>
      <w:r w:rsidR="00842BC9" w:rsidRPr="00A114CA">
        <w:rPr>
          <w:color w:val="0D0D0D" w:themeColor="text1" w:themeTint="F2"/>
        </w:rPr>
        <w:t xml:space="preserve"> the application must be dismissed. In the interests of </w:t>
      </w:r>
      <w:r w:rsidR="00EF0F59" w:rsidRPr="00A114CA">
        <w:rPr>
          <w:color w:val="0D0D0D" w:themeColor="text1" w:themeTint="F2"/>
        </w:rPr>
        <w:t>certainty,</w:t>
      </w:r>
      <w:r w:rsidR="00842BC9" w:rsidRPr="00A114CA">
        <w:rPr>
          <w:color w:val="0D0D0D" w:themeColor="text1" w:themeTint="F2"/>
        </w:rPr>
        <w:t xml:space="preserve"> I have also clarified that the interim relief has been discharged. </w:t>
      </w:r>
    </w:p>
    <w:p w14:paraId="727260FF" w14:textId="222EB28B" w:rsidR="00842BC9" w:rsidRPr="00483F29" w:rsidRDefault="00842BC9" w:rsidP="00A16074">
      <w:pPr>
        <w:pStyle w:val="ListParagraph"/>
        <w:spacing w:line="360" w:lineRule="auto"/>
        <w:ind w:left="360"/>
        <w:jc w:val="both"/>
        <w:rPr>
          <w:b/>
          <w:bCs/>
          <w:color w:val="0D0D0D" w:themeColor="text1" w:themeTint="F2"/>
        </w:rPr>
      </w:pPr>
      <w:r w:rsidRPr="00483F29">
        <w:rPr>
          <w:b/>
          <w:bCs/>
          <w:color w:val="0D0D0D" w:themeColor="text1" w:themeTint="F2"/>
        </w:rPr>
        <w:t>Costs</w:t>
      </w:r>
    </w:p>
    <w:p w14:paraId="7484344B" w14:textId="58268D87" w:rsidR="00842BC9" w:rsidRPr="00A114CA" w:rsidRDefault="00A114CA" w:rsidP="00A114CA">
      <w:pPr>
        <w:spacing w:line="360" w:lineRule="auto"/>
        <w:ind w:left="360" w:hanging="360"/>
        <w:jc w:val="both"/>
        <w:rPr>
          <w:color w:val="0D0D0D" w:themeColor="text1" w:themeTint="F2"/>
        </w:rPr>
      </w:pPr>
      <w:r w:rsidRPr="00483F29">
        <w:rPr>
          <w:color w:val="0D0D0D" w:themeColor="text1" w:themeTint="F2"/>
        </w:rPr>
        <w:t>[40]</w:t>
      </w:r>
      <w:r w:rsidRPr="00483F29">
        <w:rPr>
          <w:color w:val="0D0D0D" w:themeColor="text1" w:themeTint="F2"/>
        </w:rPr>
        <w:tab/>
      </w:r>
      <w:r w:rsidR="00842BC9" w:rsidRPr="00A114CA">
        <w:rPr>
          <w:color w:val="0D0D0D" w:themeColor="text1" w:themeTint="F2"/>
        </w:rPr>
        <w:t xml:space="preserve">The applicant must pay the costs of this application as she has been </w:t>
      </w:r>
      <w:r w:rsidR="004535E4" w:rsidRPr="00A114CA">
        <w:rPr>
          <w:color w:val="0D0D0D" w:themeColor="text1" w:themeTint="F2"/>
        </w:rPr>
        <w:t>unsuccessful</w:t>
      </w:r>
      <w:r w:rsidR="00FC3DCB" w:rsidRPr="00A114CA">
        <w:rPr>
          <w:color w:val="0D0D0D" w:themeColor="text1" w:themeTint="F2"/>
        </w:rPr>
        <w:t>.</w:t>
      </w:r>
    </w:p>
    <w:p w14:paraId="26AEA4BD" w14:textId="3E75CEB6" w:rsidR="00173E0D" w:rsidRPr="00483F29" w:rsidRDefault="004535E4" w:rsidP="00A16074">
      <w:pPr>
        <w:spacing w:line="360" w:lineRule="auto"/>
        <w:jc w:val="both"/>
        <w:rPr>
          <w:b/>
          <w:bCs/>
          <w:color w:val="0D0D0D" w:themeColor="text1" w:themeTint="F2"/>
        </w:rPr>
      </w:pPr>
      <w:r w:rsidRPr="00483F29">
        <w:rPr>
          <w:b/>
          <w:bCs/>
          <w:color w:val="0D0D0D" w:themeColor="text1" w:themeTint="F2"/>
        </w:rPr>
        <w:t>ORDER</w:t>
      </w:r>
    </w:p>
    <w:p w14:paraId="4887E9AB" w14:textId="4B877806" w:rsidR="004535E4" w:rsidRPr="00F56985" w:rsidRDefault="00F92F22" w:rsidP="00A16074">
      <w:pPr>
        <w:spacing w:line="360" w:lineRule="auto"/>
        <w:jc w:val="both"/>
        <w:rPr>
          <w:color w:val="0D0D0D" w:themeColor="text1" w:themeTint="F2"/>
        </w:rPr>
      </w:pPr>
      <w:r w:rsidRPr="00F56985">
        <w:rPr>
          <w:color w:val="0D0D0D" w:themeColor="text1" w:themeTint="F2"/>
        </w:rPr>
        <w:t>I make the following order:</w:t>
      </w:r>
    </w:p>
    <w:p w14:paraId="2C03199A" w14:textId="08B4ED75" w:rsidR="004535E4" w:rsidRPr="00483F29" w:rsidRDefault="00EF0F59" w:rsidP="00A16074">
      <w:pPr>
        <w:spacing w:line="360" w:lineRule="auto"/>
        <w:jc w:val="both"/>
        <w:rPr>
          <w:color w:val="0D0D0D" w:themeColor="text1" w:themeTint="F2"/>
        </w:rPr>
      </w:pPr>
      <w:r w:rsidRPr="00483F29">
        <w:rPr>
          <w:color w:val="0D0D0D" w:themeColor="text1" w:themeTint="F2"/>
        </w:rPr>
        <w:t xml:space="preserve">1. The application brought by the applicant under the above case number and comprising her notice of </w:t>
      </w:r>
      <w:r w:rsidR="00CF54D8" w:rsidRPr="00483F29">
        <w:rPr>
          <w:color w:val="0D0D0D" w:themeColor="text1" w:themeTint="F2"/>
        </w:rPr>
        <w:t>m</w:t>
      </w:r>
      <w:r w:rsidRPr="00483F29">
        <w:rPr>
          <w:color w:val="0D0D0D" w:themeColor="text1" w:themeTint="F2"/>
        </w:rPr>
        <w:t>otion dated 8 April 2019, her supplementary notice of motion dated 7 May 2019, and her second supplementary notice of motion dated 26 February 2021 (together the review application)</w:t>
      </w:r>
      <w:r w:rsidR="00CF54D8" w:rsidRPr="00483F29">
        <w:rPr>
          <w:color w:val="0D0D0D" w:themeColor="text1" w:themeTint="F2"/>
        </w:rPr>
        <w:t>,</w:t>
      </w:r>
      <w:r w:rsidRPr="00483F29">
        <w:rPr>
          <w:color w:val="0D0D0D" w:themeColor="text1" w:themeTint="F2"/>
        </w:rPr>
        <w:t xml:space="preserve"> is dismissed</w:t>
      </w:r>
      <w:r w:rsidR="00B0243C" w:rsidRPr="00483F29">
        <w:rPr>
          <w:color w:val="0D0D0D" w:themeColor="text1" w:themeTint="F2"/>
        </w:rPr>
        <w:t>.:</w:t>
      </w:r>
    </w:p>
    <w:p w14:paraId="197AEDC2" w14:textId="3E3DDDA2" w:rsidR="00B0243C" w:rsidRPr="00483F29" w:rsidRDefault="00B0243C" w:rsidP="00A16074">
      <w:pPr>
        <w:spacing w:line="360" w:lineRule="auto"/>
        <w:jc w:val="both"/>
        <w:rPr>
          <w:color w:val="0D0D0D" w:themeColor="text1" w:themeTint="F2"/>
        </w:rPr>
      </w:pPr>
      <w:r w:rsidRPr="00483F29">
        <w:rPr>
          <w:color w:val="0D0D0D" w:themeColor="text1" w:themeTint="F2"/>
        </w:rPr>
        <w:t>2. The interim interdict</w:t>
      </w:r>
      <w:r w:rsidR="00CF54D8" w:rsidRPr="00483F29">
        <w:rPr>
          <w:color w:val="0D0D0D" w:themeColor="text1" w:themeTint="F2"/>
        </w:rPr>
        <w:t>s</w:t>
      </w:r>
      <w:r w:rsidRPr="00483F29">
        <w:rPr>
          <w:color w:val="0D0D0D" w:themeColor="text1" w:themeTint="F2"/>
        </w:rPr>
        <w:t xml:space="preserve"> granted by Yacoob J on 21 August 2019</w:t>
      </w:r>
      <w:r w:rsidR="00CF54D8" w:rsidRPr="00483F29">
        <w:rPr>
          <w:color w:val="0D0D0D" w:themeColor="text1" w:themeTint="F2"/>
        </w:rPr>
        <w:t>,</w:t>
      </w:r>
      <w:r w:rsidRPr="00483F29">
        <w:rPr>
          <w:color w:val="0D0D0D" w:themeColor="text1" w:themeTint="F2"/>
        </w:rPr>
        <w:t xml:space="preserve"> and by Van der Linde J on 21 October</w:t>
      </w:r>
      <w:r w:rsidR="00F56985">
        <w:rPr>
          <w:color w:val="0D0D0D" w:themeColor="text1" w:themeTint="F2"/>
        </w:rPr>
        <w:t>,</w:t>
      </w:r>
      <w:r w:rsidRPr="00483F29">
        <w:rPr>
          <w:color w:val="0D0D0D" w:themeColor="text1" w:themeTint="F2"/>
        </w:rPr>
        <w:t xml:space="preserve"> both under the above case number, are both discharged.</w:t>
      </w:r>
    </w:p>
    <w:p w14:paraId="177912AB" w14:textId="7401D0E1" w:rsidR="00B0243C" w:rsidRPr="00483F29" w:rsidRDefault="00B0243C" w:rsidP="00A16074">
      <w:pPr>
        <w:spacing w:line="360" w:lineRule="auto"/>
        <w:jc w:val="both"/>
        <w:rPr>
          <w:color w:val="0D0D0D" w:themeColor="text1" w:themeTint="F2"/>
        </w:rPr>
      </w:pPr>
      <w:r w:rsidRPr="00483F29">
        <w:rPr>
          <w:color w:val="0D0D0D" w:themeColor="text1" w:themeTint="F2"/>
        </w:rPr>
        <w:t>3.The applicant shall pay the cost of the respondent in opposing the application</w:t>
      </w:r>
      <w:r w:rsidR="00F92F22" w:rsidRPr="00483F29">
        <w:rPr>
          <w:color w:val="0D0D0D" w:themeColor="text1" w:themeTint="F2"/>
        </w:rPr>
        <w:t xml:space="preserve"> on a party and party basis</w:t>
      </w:r>
      <w:r w:rsidRPr="00483F29">
        <w:rPr>
          <w:color w:val="0D0D0D" w:themeColor="text1" w:themeTint="F2"/>
        </w:rPr>
        <w:t xml:space="preserve">. </w:t>
      </w:r>
    </w:p>
    <w:p w14:paraId="3CEA218A" w14:textId="6438A099" w:rsidR="00173E0D" w:rsidRDefault="00173E0D" w:rsidP="00A16074">
      <w:pPr>
        <w:spacing w:line="360" w:lineRule="auto"/>
        <w:jc w:val="both"/>
        <w:rPr>
          <w:color w:val="0D0D0D" w:themeColor="text1" w:themeTint="F2"/>
        </w:rPr>
      </w:pPr>
    </w:p>
    <w:p w14:paraId="79AF9DE2" w14:textId="77777777" w:rsidR="001D33BE" w:rsidRPr="00F212E7" w:rsidRDefault="001D33BE" w:rsidP="001D33BE">
      <w:pPr>
        <w:pStyle w:val="ListParagraph"/>
        <w:spacing w:before="240" w:after="240" w:line="360" w:lineRule="auto"/>
        <w:ind w:left="0"/>
        <w:contextualSpacing w:val="0"/>
        <w:jc w:val="both"/>
        <w:rPr>
          <w:rFonts w:cs="Arial"/>
          <w:iCs/>
          <w:szCs w:val="24"/>
          <w:lang w:val="en-GB"/>
        </w:rPr>
      </w:pPr>
    </w:p>
    <w:p w14:paraId="6148D086" w14:textId="77777777" w:rsidR="001D33BE" w:rsidRPr="00F212E7" w:rsidRDefault="001D33BE" w:rsidP="001D33BE">
      <w:pPr>
        <w:autoSpaceDE w:val="0"/>
        <w:autoSpaceDN w:val="0"/>
        <w:adjustRightInd w:val="0"/>
        <w:spacing w:after="0" w:line="240" w:lineRule="auto"/>
        <w:ind w:firstLine="709"/>
        <w:jc w:val="right"/>
        <w:rPr>
          <w:rFonts w:eastAsia="Times New Roman" w:cs="Arial"/>
          <w:color w:val="000000"/>
          <w:szCs w:val="24"/>
          <w:lang w:val="en-GB"/>
        </w:rPr>
      </w:pPr>
      <w:r w:rsidRPr="00F212E7">
        <w:rPr>
          <w:rFonts w:cs="Arial"/>
          <w:szCs w:val="24"/>
          <w:lang w:val="en-GB"/>
        </w:rPr>
        <w:t xml:space="preserve">  </w:t>
      </w:r>
      <w:r w:rsidRPr="00F212E7">
        <w:rPr>
          <w:rFonts w:eastAsia="Times New Roman" w:cs="Arial"/>
          <w:color w:val="000000"/>
          <w:szCs w:val="24"/>
          <w:lang w:val="en-GB"/>
        </w:rPr>
        <w:t>_____________________________</w:t>
      </w:r>
    </w:p>
    <w:p w14:paraId="41749466" w14:textId="77777777" w:rsidR="001D33BE" w:rsidRPr="00F212E7" w:rsidRDefault="001D33BE" w:rsidP="001D33BE">
      <w:pPr>
        <w:autoSpaceDE w:val="0"/>
        <w:autoSpaceDN w:val="0"/>
        <w:adjustRightInd w:val="0"/>
        <w:spacing w:before="120" w:after="0" w:line="240" w:lineRule="auto"/>
        <w:ind w:left="709"/>
        <w:jc w:val="right"/>
        <w:rPr>
          <w:rFonts w:eastAsia="Times New Roman" w:cs="Arial"/>
          <w:b/>
          <w:color w:val="000000"/>
          <w:szCs w:val="24"/>
          <w:lang w:val="en-GB"/>
        </w:rPr>
      </w:pPr>
      <w:r>
        <w:rPr>
          <w:rFonts w:eastAsia="Times New Roman" w:cs="Arial"/>
          <w:b/>
          <w:color w:val="000000"/>
          <w:szCs w:val="24"/>
          <w:lang w:val="en-GB"/>
        </w:rPr>
        <w:t xml:space="preserve">N MANOIM </w:t>
      </w:r>
    </w:p>
    <w:p w14:paraId="306DE03A" w14:textId="77777777" w:rsidR="001D33BE" w:rsidRPr="00F212E7" w:rsidRDefault="001D33BE" w:rsidP="001D33BE">
      <w:pPr>
        <w:autoSpaceDE w:val="0"/>
        <w:autoSpaceDN w:val="0"/>
        <w:adjustRightInd w:val="0"/>
        <w:spacing w:before="120" w:after="0" w:line="240" w:lineRule="auto"/>
        <w:ind w:left="709"/>
        <w:jc w:val="right"/>
        <w:rPr>
          <w:rFonts w:eastAsia="Times New Roman" w:cs="Arial"/>
          <w:color w:val="000000"/>
          <w:szCs w:val="24"/>
          <w:lang w:val="en-GB"/>
        </w:rPr>
      </w:pPr>
      <w:r w:rsidRPr="00F212E7">
        <w:rPr>
          <w:rFonts w:eastAsia="Times New Roman" w:cs="Arial"/>
          <w:color w:val="000000"/>
          <w:szCs w:val="24"/>
          <w:lang w:val="en-GB"/>
        </w:rPr>
        <w:lastRenderedPageBreak/>
        <w:t xml:space="preserve">JUDGE OF THE HIGH COURT </w:t>
      </w:r>
    </w:p>
    <w:p w14:paraId="023FDC61" w14:textId="77777777" w:rsidR="001D33BE" w:rsidRPr="00F212E7" w:rsidRDefault="001D33BE" w:rsidP="001D33BE">
      <w:pPr>
        <w:autoSpaceDE w:val="0"/>
        <w:autoSpaceDN w:val="0"/>
        <w:adjustRightInd w:val="0"/>
        <w:spacing w:before="120" w:after="0" w:line="240" w:lineRule="auto"/>
        <w:ind w:left="709"/>
        <w:jc w:val="right"/>
        <w:rPr>
          <w:rFonts w:eastAsia="Times New Roman" w:cs="Arial"/>
          <w:color w:val="000000"/>
          <w:szCs w:val="24"/>
          <w:lang w:val="en-GB"/>
        </w:rPr>
      </w:pPr>
      <w:r w:rsidRPr="00F212E7">
        <w:rPr>
          <w:rFonts w:eastAsia="Times New Roman" w:cs="Arial"/>
          <w:color w:val="000000"/>
          <w:szCs w:val="24"/>
          <w:lang w:val="en-GB"/>
        </w:rPr>
        <w:t>GAUTENG LOCAL DIVISION, JOHANNESBURG</w:t>
      </w:r>
    </w:p>
    <w:p w14:paraId="66F61767" w14:textId="77777777" w:rsidR="001D33BE" w:rsidRPr="00F212E7" w:rsidRDefault="001D33BE" w:rsidP="001D33BE">
      <w:pPr>
        <w:autoSpaceDE w:val="0"/>
        <w:autoSpaceDN w:val="0"/>
        <w:adjustRightInd w:val="0"/>
        <w:spacing w:before="120" w:after="0" w:line="240" w:lineRule="auto"/>
        <w:ind w:left="709"/>
        <w:jc w:val="right"/>
        <w:rPr>
          <w:rFonts w:eastAsia="Times New Roman" w:cs="Arial"/>
          <w:color w:val="000000"/>
          <w:szCs w:val="24"/>
          <w:lang w:val="en-GB"/>
        </w:rPr>
      </w:pPr>
    </w:p>
    <w:p w14:paraId="09ECC408" w14:textId="312DA759" w:rsidR="001D33BE" w:rsidRPr="00F5528B" w:rsidRDefault="001D33BE" w:rsidP="001D33BE">
      <w:pPr>
        <w:spacing w:before="360" w:after="240" w:line="360" w:lineRule="auto"/>
        <w:ind w:right="28"/>
        <w:jc w:val="both"/>
        <w:rPr>
          <w:rFonts w:eastAsia="Times New Roman" w:cs="Arial"/>
          <w:i/>
          <w:szCs w:val="24"/>
        </w:rPr>
      </w:pPr>
      <w:r w:rsidRPr="00F5528B">
        <w:rPr>
          <w:rFonts w:eastAsia="Calibri" w:cs="Arial"/>
          <w:i/>
          <w:szCs w:val="24"/>
        </w:rPr>
        <w:t xml:space="preserve">This judgment was handed down electronically by circulation to the parties’ and/or parties’ representatives by email and by being uploaded to </w:t>
      </w:r>
      <w:proofErr w:type="spellStart"/>
      <w:r w:rsidRPr="00F5528B">
        <w:rPr>
          <w:rFonts w:eastAsia="Calibri" w:cs="Arial"/>
          <w:i/>
          <w:szCs w:val="24"/>
        </w:rPr>
        <w:t>CaseLines</w:t>
      </w:r>
      <w:proofErr w:type="spellEnd"/>
      <w:r w:rsidRPr="00F5528B">
        <w:rPr>
          <w:rFonts w:eastAsia="Calibri" w:cs="Arial"/>
          <w:i/>
          <w:szCs w:val="24"/>
        </w:rPr>
        <w:t xml:space="preserve">. The date and time for hand-down is deemed to be 10h00 on </w:t>
      </w:r>
      <w:r w:rsidR="00FC3DCB">
        <w:rPr>
          <w:rFonts w:eastAsia="Calibri" w:cs="Arial"/>
          <w:i/>
          <w:szCs w:val="24"/>
        </w:rPr>
        <w:t xml:space="preserve">23 </w:t>
      </w:r>
      <w:r>
        <w:rPr>
          <w:rFonts w:eastAsia="Calibri" w:cs="Arial"/>
          <w:i/>
          <w:iCs/>
          <w:szCs w:val="24"/>
          <w:lang w:val="en-GB"/>
        </w:rPr>
        <w:t xml:space="preserve">November </w:t>
      </w:r>
      <w:r w:rsidRPr="00F212E7">
        <w:rPr>
          <w:rFonts w:eastAsia="Calibri" w:cs="Arial"/>
          <w:i/>
          <w:iCs/>
          <w:szCs w:val="24"/>
          <w:lang w:val="en-GB"/>
        </w:rPr>
        <w:t>2021.</w:t>
      </w:r>
    </w:p>
    <w:p w14:paraId="5B2929D1" w14:textId="31825867" w:rsidR="001D33BE" w:rsidRDefault="001D33BE" w:rsidP="001D33BE">
      <w:pPr>
        <w:tabs>
          <w:tab w:val="left" w:pos="3402"/>
        </w:tabs>
        <w:spacing w:before="120" w:after="120" w:line="360" w:lineRule="auto"/>
        <w:jc w:val="both"/>
        <w:rPr>
          <w:rFonts w:eastAsia="Calibri" w:cs="Arial"/>
          <w:szCs w:val="24"/>
          <w:lang w:val="en-GB"/>
        </w:rPr>
      </w:pPr>
    </w:p>
    <w:p w14:paraId="708624A2" w14:textId="77777777" w:rsidR="00EC6F75" w:rsidRPr="00F212E7" w:rsidRDefault="00EC6F75" w:rsidP="001D33BE">
      <w:pPr>
        <w:tabs>
          <w:tab w:val="left" w:pos="3402"/>
        </w:tabs>
        <w:spacing w:before="120" w:after="120" w:line="360" w:lineRule="auto"/>
        <w:jc w:val="both"/>
        <w:rPr>
          <w:rFonts w:eastAsia="Calibri" w:cs="Arial"/>
          <w:szCs w:val="24"/>
          <w:lang w:val="en-GB"/>
        </w:rPr>
      </w:pPr>
    </w:p>
    <w:p w14:paraId="553618A2" w14:textId="67E5E395" w:rsidR="001D33BE" w:rsidRPr="00F212E7" w:rsidRDefault="001D33BE" w:rsidP="001D33BE">
      <w:pPr>
        <w:tabs>
          <w:tab w:val="left" w:pos="3402"/>
        </w:tabs>
        <w:spacing w:before="120" w:after="120" w:line="360" w:lineRule="auto"/>
        <w:ind w:left="4320" w:hanging="4320"/>
        <w:jc w:val="both"/>
        <w:rPr>
          <w:rFonts w:eastAsia="Calibri" w:cs="Arial"/>
          <w:szCs w:val="24"/>
          <w:lang w:val="en-GB"/>
        </w:rPr>
      </w:pPr>
      <w:r w:rsidRPr="00F212E7">
        <w:rPr>
          <w:rFonts w:eastAsia="Calibri" w:cs="Arial"/>
          <w:szCs w:val="24"/>
          <w:lang w:val="en-GB"/>
        </w:rPr>
        <w:t>Date of hearing:</w:t>
      </w:r>
      <w:r w:rsidRPr="00F212E7">
        <w:rPr>
          <w:rFonts w:eastAsia="Calibri" w:cs="Arial"/>
          <w:szCs w:val="24"/>
          <w:lang w:val="en-GB"/>
        </w:rPr>
        <w:tab/>
      </w:r>
      <w:r w:rsidRPr="00F212E7">
        <w:rPr>
          <w:rFonts w:eastAsia="Calibri" w:cs="Arial"/>
          <w:szCs w:val="24"/>
          <w:lang w:val="en-GB"/>
        </w:rPr>
        <w:tab/>
      </w:r>
      <w:r w:rsidR="0035136E">
        <w:rPr>
          <w:rFonts w:eastAsia="Calibri" w:cs="Arial"/>
          <w:szCs w:val="24"/>
          <w:lang w:val="en-GB"/>
        </w:rPr>
        <w:t>11 October 2021</w:t>
      </w:r>
      <w:r w:rsidR="00B42A07">
        <w:rPr>
          <w:rFonts w:eastAsia="Calibri" w:cs="Arial"/>
          <w:szCs w:val="24"/>
          <w:lang w:val="en-GB"/>
        </w:rPr>
        <w:t xml:space="preserve"> </w:t>
      </w:r>
    </w:p>
    <w:p w14:paraId="175BD34C" w14:textId="7FCEDE94" w:rsidR="001D33BE" w:rsidRPr="00F212E7" w:rsidRDefault="001D33BE" w:rsidP="001D33BE">
      <w:pPr>
        <w:tabs>
          <w:tab w:val="left" w:pos="3402"/>
        </w:tabs>
        <w:spacing w:before="120" w:after="120" w:line="360" w:lineRule="auto"/>
        <w:jc w:val="both"/>
        <w:rPr>
          <w:rFonts w:eastAsia="Calibri" w:cs="Arial"/>
          <w:szCs w:val="24"/>
          <w:lang w:val="en-GB"/>
        </w:rPr>
      </w:pPr>
      <w:r w:rsidRPr="00F212E7">
        <w:rPr>
          <w:rFonts w:eastAsia="Calibri" w:cs="Arial"/>
          <w:szCs w:val="24"/>
          <w:lang w:val="en-GB"/>
        </w:rPr>
        <w:t>Date of judgment:</w:t>
      </w:r>
      <w:r w:rsidRPr="00F212E7">
        <w:rPr>
          <w:rFonts w:eastAsia="Calibri" w:cs="Arial"/>
          <w:szCs w:val="24"/>
          <w:lang w:val="en-GB"/>
        </w:rPr>
        <w:tab/>
      </w:r>
      <w:r w:rsidRPr="00F212E7">
        <w:rPr>
          <w:rFonts w:eastAsia="Calibri" w:cs="Arial"/>
          <w:szCs w:val="24"/>
          <w:lang w:val="en-GB"/>
        </w:rPr>
        <w:tab/>
      </w:r>
      <w:r w:rsidRPr="00F212E7">
        <w:rPr>
          <w:rFonts w:eastAsia="Calibri" w:cs="Arial"/>
          <w:szCs w:val="24"/>
          <w:lang w:val="en-GB"/>
        </w:rPr>
        <w:tab/>
      </w:r>
      <w:r w:rsidR="00F56985">
        <w:rPr>
          <w:rFonts w:eastAsia="Calibri" w:cs="Arial"/>
          <w:szCs w:val="24"/>
          <w:lang w:val="en-GB"/>
        </w:rPr>
        <w:t>23</w:t>
      </w:r>
      <w:r w:rsidR="000373E1">
        <w:rPr>
          <w:rFonts w:eastAsia="Calibri" w:cs="Arial"/>
          <w:szCs w:val="24"/>
          <w:lang w:val="en-GB"/>
        </w:rPr>
        <w:t xml:space="preserve"> November </w:t>
      </w:r>
    </w:p>
    <w:p w14:paraId="38C5D949" w14:textId="77777777" w:rsidR="001D33BE" w:rsidRPr="00F212E7" w:rsidRDefault="001D33BE" w:rsidP="001D33BE">
      <w:pPr>
        <w:spacing w:before="360" w:after="360" w:line="360" w:lineRule="auto"/>
        <w:jc w:val="both"/>
        <w:rPr>
          <w:rFonts w:eastAsia="Calibri" w:cs="Arial"/>
          <w:b/>
          <w:szCs w:val="24"/>
          <w:lang w:val="en-GB"/>
        </w:rPr>
      </w:pPr>
      <w:r w:rsidRPr="00F212E7">
        <w:rPr>
          <w:rFonts w:eastAsia="Calibri" w:cs="Arial"/>
          <w:b/>
          <w:szCs w:val="24"/>
          <w:lang w:val="en-GB"/>
        </w:rPr>
        <w:t>Appearances:</w:t>
      </w:r>
    </w:p>
    <w:p w14:paraId="192D94B9" w14:textId="65F39773" w:rsidR="001D33BE" w:rsidRPr="00F212E7" w:rsidRDefault="001D33BE" w:rsidP="001D33BE">
      <w:pPr>
        <w:spacing w:line="360" w:lineRule="auto"/>
        <w:jc w:val="both"/>
        <w:rPr>
          <w:rFonts w:eastAsia="Calibri" w:cs="Arial"/>
          <w:szCs w:val="24"/>
          <w:lang w:val="en-GB"/>
        </w:rPr>
      </w:pPr>
      <w:r w:rsidRPr="00F212E7">
        <w:rPr>
          <w:rFonts w:eastAsia="Calibri" w:cs="Arial"/>
          <w:szCs w:val="24"/>
          <w:lang w:val="en-GB"/>
        </w:rPr>
        <w:t xml:space="preserve">Counsel for the </w:t>
      </w:r>
      <w:r w:rsidR="00FC3DCB">
        <w:rPr>
          <w:rFonts w:eastAsia="Calibri" w:cs="Arial"/>
          <w:szCs w:val="24"/>
          <w:lang w:val="en-GB"/>
        </w:rPr>
        <w:t>applicant</w:t>
      </w:r>
      <w:r w:rsidRPr="00F212E7">
        <w:rPr>
          <w:rFonts w:eastAsia="Calibri" w:cs="Arial"/>
          <w:szCs w:val="24"/>
          <w:lang w:val="en-GB"/>
        </w:rPr>
        <w:t>:</w:t>
      </w:r>
      <w:r w:rsidR="00FC3DCB">
        <w:rPr>
          <w:rFonts w:eastAsia="Calibri" w:cs="Arial"/>
          <w:szCs w:val="24"/>
          <w:lang w:val="en-GB"/>
        </w:rPr>
        <w:t xml:space="preserve"> Applicant appeared in </w:t>
      </w:r>
      <w:proofErr w:type="spellStart"/>
      <w:r w:rsidR="00FC3DCB">
        <w:rPr>
          <w:rFonts w:eastAsia="Calibri" w:cs="Arial"/>
          <w:szCs w:val="24"/>
          <w:lang w:val="en-GB"/>
        </w:rPr>
        <w:t>persoin</w:t>
      </w:r>
      <w:proofErr w:type="spellEnd"/>
      <w:r w:rsidRPr="00F212E7">
        <w:rPr>
          <w:rFonts w:eastAsia="Calibri" w:cs="Arial"/>
          <w:szCs w:val="24"/>
          <w:lang w:val="en-GB"/>
        </w:rPr>
        <w:tab/>
      </w:r>
      <w:r w:rsidRPr="00F212E7">
        <w:rPr>
          <w:rFonts w:eastAsia="Calibri" w:cs="Arial"/>
          <w:szCs w:val="24"/>
          <w:lang w:val="en-GB"/>
        </w:rPr>
        <w:tab/>
      </w:r>
      <w:r w:rsidRPr="00F212E7">
        <w:rPr>
          <w:rFonts w:eastAsia="Calibri" w:cs="Arial"/>
          <w:szCs w:val="24"/>
          <w:lang w:val="en-GB"/>
        </w:rPr>
        <w:tab/>
      </w:r>
      <w:r w:rsidR="006D596E">
        <w:rPr>
          <w:rFonts w:eastAsia="Calibri" w:cs="Arial"/>
          <w:szCs w:val="24"/>
          <w:lang w:val="en-GB"/>
        </w:rPr>
        <w:t xml:space="preserve"> </w:t>
      </w:r>
    </w:p>
    <w:p w14:paraId="04AF3076" w14:textId="231DA858" w:rsidR="001D33BE" w:rsidRPr="00F212E7" w:rsidRDefault="001D33BE" w:rsidP="001D33BE">
      <w:pPr>
        <w:spacing w:line="360" w:lineRule="auto"/>
        <w:jc w:val="both"/>
        <w:rPr>
          <w:rFonts w:eastAsia="Calibri" w:cs="Arial"/>
          <w:szCs w:val="24"/>
          <w:lang w:val="en-GB"/>
        </w:rPr>
      </w:pPr>
      <w:r w:rsidRPr="00F212E7">
        <w:rPr>
          <w:rFonts w:eastAsia="Calibri" w:cs="Arial"/>
          <w:szCs w:val="24"/>
          <w:lang w:val="en-GB"/>
        </w:rPr>
        <w:t>Attorney for the</w:t>
      </w:r>
      <w:r w:rsidR="00FC3DCB">
        <w:rPr>
          <w:rFonts w:eastAsia="Calibri" w:cs="Arial"/>
          <w:szCs w:val="24"/>
          <w:lang w:val="en-GB"/>
        </w:rPr>
        <w:t xml:space="preserve"> applicant</w:t>
      </w:r>
      <w:r w:rsidRPr="00F212E7">
        <w:rPr>
          <w:rFonts w:eastAsia="Calibri" w:cs="Arial"/>
          <w:szCs w:val="24"/>
          <w:lang w:val="en-GB"/>
        </w:rPr>
        <w:t>:</w:t>
      </w:r>
      <w:r w:rsidR="00FC3DCB">
        <w:rPr>
          <w:rFonts w:eastAsia="Calibri" w:cs="Arial"/>
          <w:szCs w:val="24"/>
          <w:lang w:val="en-GB"/>
        </w:rPr>
        <w:t xml:space="preserve"> </w:t>
      </w:r>
      <w:proofErr w:type="spellStart"/>
      <w:r w:rsidR="00FC3DCB">
        <w:rPr>
          <w:rFonts w:eastAsia="Calibri" w:cs="Arial"/>
          <w:szCs w:val="24"/>
          <w:lang w:val="en-GB"/>
        </w:rPr>
        <w:t>Bambeni</w:t>
      </w:r>
      <w:proofErr w:type="spellEnd"/>
      <w:r w:rsidR="00FC3DCB">
        <w:rPr>
          <w:rFonts w:eastAsia="Calibri" w:cs="Arial"/>
          <w:szCs w:val="24"/>
          <w:lang w:val="en-GB"/>
        </w:rPr>
        <w:t xml:space="preserve"> Attorneys</w:t>
      </w:r>
      <w:r w:rsidRPr="00F212E7">
        <w:rPr>
          <w:rFonts w:eastAsia="Calibri" w:cs="Arial"/>
          <w:szCs w:val="24"/>
          <w:lang w:val="en-GB"/>
        </w:rPr>
        <w:tab/>
      </w:r>
      <w:r w:rsidRPr="00F212E7">
        <w:rPr>
          <w:rFonts w:eastAsia="Calibri" w:cs="Arial"/>
          <w:szCs w:val="24"/>
          <w:lang w:val="en-GB"/>
        </w:rPr>
        <w:tab/>
      </w:r>
      <w:r w:rsidRPr="00F212E7">
        <w:rPr>
          <w:rFonts w:eastAsia="Calibri" w:cs="Arial"/>
          <w:szCs w:val="24"/>
          <w:lang w:val="en-GB"/>
        </w:rPr>
        <w:tab/>
      </w:r>
      <w:r w:rsidR="006D596E">
        <w:rPr>
          <w:rFonts w:eastAsia="Calibri" w:cs="Arial"/>
          <w:szCs w:val="24"/>
          <w:lang w:val="en-GB"/>
        </w:rPr>
        <w:t xml:space="preserve"> </w:t>
      </w:r>
    </w:p>
    <w:p w14:paraId="4FE2DBA2" w14:textId="729A1DE1" w:rsidR="001D33BE" w:rsidRPr="00F212E7" w:rsidRDefault="001D33BE" w:rsidP="001D33BE">
      <w:pPr>
        <w:spacing w:line="360" w:lineRule="auto"/>
        <w:jc w:val="both"/>
        <w:rPr>
          <w:rFonts w:eastAsia="Calibri" w:cs="Arial"/>
          <w:szCs w:val="24"/>
          <w:lang w:val="en-GB"/>
        </w:rPr>
      </w:pPr>
      <w:r w:rsidRPr="00F212E7">
        <w:rPr>
          <w:rFonts w:eastAsia="Calibri" w:cs="Arial"/>
          <w:szCs w:val="24"/>
          <w:lang w:val="en-GB"/>
        </w:rPr>
        <w:t xml:space="preserve">Counsel for the </w:t>
      </w:r>
      <w:r w:rsidR="00FC3DCB">
        <w:rPr>
          <w:rFonts w:eastAsia="Calibri" w:cs="Arial"/>
          <w:szCs w:val="24"/>
          <w:lang w:val="en-GB"/>
        </w:rPr>
        <w:t>respondent</w:t>
      </w:r>
      <w:r w:rsidRPr="00F212E7">
        <w:rPr>
          <w:rFonts w:eastAsia="Calibri" w:cs="Arial"/>
          <w:szCs w:val="24"/>
          <w:lang w:val="en-GB"/>
        </w:rPr>
        <w:t>:</w:t>
      </w:r>
      <w:r w:rsidR="00FC3DCB">
        <w:rPr>
          <w:rFonts w:eastAsia="Calibri" w:cs="Arial"/>
          <w:szCs w:val="24"/>
          <w:lang w:val="en-GB"/>
        </w:rPr>
        <w:t xml:space="preserve"> Advocate P Olivier.</w:t>
      </w:r>
      <w:r w:rsidRPr="00F212E7">
        <w:rPr>
          <w:rFonts w:eastAsia="Calibri" w:cs="Arial"/>
          <w:szCs w:val="24"/>
          <w:lang w:val="en-GB"/>
        </w:rPr>
        <w:tab/>
      </w:r>
      <w:r w:rsidRPr="00F212E7">
        <w:rPr>
          <w:rFonts w:eastAsia="Calibri" w:cs="Arial"/>
          <w:szCs w:val="24"/>
          <w:lang w:val="en-GB"/>
        </w:rPr>
        <w:tab/>
      </w:r>
      <w:r w:rsidRPr="00F212E7">
        <w:rPr>
          <w:rFonts w:eastAsia="Calibri" w:cs="Arial"/>
          <w:szCs w:val="24"/>
          <w:lang w:val="en-GB"/>
        </w:rPr>
        <w:tab/>
      </w:r>
      <w:r w:rsidR="006D596E">
        <w:rPr>
          <w:rFonts w:eastAsia="Calibri" w:cs="Arial"/>
          <w:szCs w:val="24"/>
          <w:lang w:val="en-GB"/>
        </w:rPr>
        <w:t xml:space="preserve"> </w:t>
      </w:r>
    </w:p>
    <w:p w14:paraId="15F9F66A" w14:textId="1CD16758" w:rsidR="001D33BE" w:rsidRPr="00F212E7" w:rsidRDefault="001D33BE" w:rsidP="00F56985">
      <w:pPr>
        <w:spacing w:line="360" w:lineRule="auto"/>
        <w:jc w:val="both"/>
        <w:rPr>
          <w:rFonts w:cs="Arial"/>
          <w:b/>
          <w:bCs/>
          <w:szCs w:val="24"/>
          <w:lang w:val="en-GB"/>
        </w:rPr>
      </w:pPr>
      <w:r w:rsidRPr="00F212E7">
        <w:rPr>
          <w:rFonts w:eastAsia="Calibri" w:cs="Arial"/>
          <w:szCs w:val="24"/>
          <w:lang w:val="en-GB"/>
        </w:rPr>
        <w:t>Attorney</w:t>
      </w:r>
      <w:r w:rsidR="00F56985">
        <w:rPr>
          <w:rFonts w:eastAsia="Calibri" w:cs="Arial"/>
          <w:szCs w:val="24"/>
          <w:lang w:val="en-GB"/>
        </w:rPr>
        <w:t>s</w:t>
      </w:r>
      <w:r w:rsidRPr="00F212E7">
        <w:rPr>
          <w:rFonts w:eastAsia="Calibri" w:cs="Arial"/>
          <w:szCs w:val="24"/>
          <w:lang w:val="en-GB"/>
        </w:rPr>
        <w:t xml:space="preserve"> for the </w:t>
      </w:r>
      <w:r w:rsidR="00F56985">
        <w:rPr>
          <w:rFonts w:eastAsia="Calibri" w:cs="Arial"/>
          <w:szCs w:val="24"/>
          <w:lang w:val="en-GB"/>
        </w:rPr>
        <w:t xml:space="preserve">respondent: </w:t>
      </w:r>
      <w:proofErr w:type="spellStart"/>
      <w:r w:rsidR="00F56985">
        <w:rPr>
          <w:rFonts w:eastAsia="Calibri" w:cs="Arial"/>
          <w:szCs w:val="24"/>
          <w:lang w:val="en-GB"/>
        </w:rPr>
        <w:t>Minde</w:t>
      </w:r>
      <w:proofErr w:type="spellEnd"/>
      <w:r w:rsidR="00F56985">
        <w:rPr>
          <w:rFonts w:eastAsia="Calibri" w:cs="Arial"/>
          <w:szCs w:val="24"/>
          <w:lang w:val="en-GB"/>
        </w:rPr>
        <w:t xml:space="preserve"> Shapiro and Smith.</w:t>
      </w:r>
    </w:p>
    <w:p w14:paraId="6B75F1AF" w14:textId="77777777" w:rsidR="001D33BE" w:rsidRPr="00483F29" w:rsidRDefault="001D33BE" w:rsidP="00A16074">
      <w:pPr>
        <w:spacing w:line="360" w:lineRule="auto"/>
        <w:jc w:val="both"/>
        <w:rPr>
          <w:color w:val="0D0D0D" w:themeColor="text1" w:themeTint="F2"/>
        </w:rPr>
      </w:pPr>
    </w:p>
    <w:sectPr w:rsidR="001D33BE" w:rsidRPr="00483F29" w:rsidSect="00FF34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6C45" w14:textId="77777777" w:rsidR="0044783F" w:rsidRDefault="0044783F" w:rsidP="00D86420">
      <w:pPr>
        <w:spacing w:after="0" w:line="240" w:lineRule="auto"/>
      </w:pPr>
      <w:r>
        <w:separator/>
      </w:r>
    </w:p>
  </w:endnote>
  <w:endnote w:type="continuationSeparator" w:id="0">
    <w:p w14:paraId="1C7829E6" w14:textId="77777777" w:rsidR="0044783F" w:rsidRDefault="0044783F" w:rsidP="00D8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25F3" w14:textId="77777777" w:rsidR="0044783F" w:rsidRDefault="0044783F" w:rsidP="00D86420">
      <w:pPr>
        <w:spacing w:after="0" w:line="240" w:lineRule="auto"/>
      </w:pPr>
      <w:r>
        <w:separator/>
      </w:r>
    </w:p>
  </w:footnote>
  <w:footnote w:type="continuationSeparator" w:id="0">
    <w:p w14:paraId="68B49742" w14:textId="77777777" w:rsidR="0044783F" w:rsidRDefault="0044783F" w:rsidP="00D86420">
      <w:pPr>
        <w:spacing w:after="0" w:line="240" w:lineRule="auto"/>
      </w:pPr>
      <w:r>
        <w:continuationSeparator/>
      </w:r>
    </w:p>
  </w:footnote>
  <w:footnote w:id="1">
    <w:p w14:paraId="7E8446A1" w14:textId="58DD5459" w:rsidR="00D86420" w:rsidRPr="00D86420" w:rsidRDefault="00D86420" w:rsidP="00F43DF6">
      <w:pPr>
        <w:pStyle w:val="FootnoteText"/>
        <w:rPr>
          <w:lang w:val="en-US"/>
        </w:rPr>
      </w:pPr>
      <w:r>
        <w:rPr>
          <w:rStyle w:val="FootnoteReference"/>
        </w:rPr>
        <w:footnoteRef/>
      </w:r>
      <w:r>
        <w:t xml:space="preserve"> </w:t>
      </w:r>
      <w:r>
        <w:rPr>
          <w:lang w:val="en-US"/>
        </w:rPr>
        <w:t xml:space="preserve">See for instance </w:t>
      </w:r>
      <w:r w:rsidRPr="000E4A08">
        <w:rPr>
          <w:i/>
          <w:iCs/>
          <w:lang w:val="en-US"/>
        </w:rPr>
        <w:t>McGregor v Public Health and Social Development Sectoral Bargaining Council and others</w:t>
      </w:r>
      <w:r>
        <w:rPr>
          <w:lang w:val="en-US"/>
        </w:rPr>
        <w:t xml:space="preserve"> </w:t>
      </w:r>
      <w:r w:rsidR="000E4A08">
        <w:rPr>
          <w:lang w:val="en-US"/>
        </w:rPr>
        <w:t>[</w:t>
      </w:r>
      <w:r>
        <w:rPr>
          <w:lang w:val="en-US"/>
        </w:rPr>
        <w:t>2021</w:t>
      </w:r>
      <w:r w:rsidR="000E4A08">
        <w:rPr>
          <w:lang w:val="en-US"/>
        </w:rPr>
        <w:t>]</w:t>
      </w:r>
      <w:r>
        <w:rPr>
          <w:lang w:val="en-US"/>
        </w:rPr>
        <w:t xml:space="preserve"> ZACC 14</w:t>
      </w:r>
      <w:r w:rsidR="000E4A08">
        <w:rPr>
          <w:lang w:val="en-US"/>
        </w:rPr>
        <w:t xml:space="preserve"> and 2021 (5) SA 425 (CC) where Khampepe J stated</w:t>
      </w:r>
      <w:r w:rsidR="00CF54D8">
        <w:rPr>
          <w:lang w:val="en-US"/>
        </w:rPr>
        <w:t xml:space="preserve"> at paragraphs 42-3</w:t>
      </w:r>
      <w:r w:rsidR="00CF54D8" w:rsidRPr="00CF54D8">
        <w:rPr>
          <w:i/>
          <w:iCs/>
        </w:rPr>
        <w:t xml:space="preserve"> </w:t>
      </w:r>
      <w:r w:rsidR="00CF54D8">
        <w:rPr>
          <w:i/>
          <w:iCs/>
        </w:rPr>
        <w:t>“</w:t>
      </w:r>
      <w:r w:rsidR="00CF54D8" w:rsidRPr="00CF54D8">
        <w:rPr>
          <w:i/>
          <w:iCs/>
          <w:lang w:val="en-US"/>
        </w:rPr>
        <w:t>Yet sexual harassment strips away at the core of a person's dignity and is the antithesis of substantive equality in the workplace.  It also promotes a culture of gender-based violence that dictates the lived experiences of women and men within public and private spaces and across personal and professional latitudes</w:t>
      </w:r>
      <w:r w:rsidR="00CF54D8">
        <w:rPr>
          <w:i/>
          <w:iCs/>
          <w:lang w:val="en-US"/>
        </w:rPr>
        <w:t xml:space="preserve"> </w:t>
      </w:r>
      <w:r w:rsidR="00CF54D8" w:rsidRPr="00CF54D8">
        <w:rPr>
          <w:i/>
          <w:iCs/>
          <w:lang w:val="en-US"/>
        </w:rPr>
        <w:t>.Furthermore, we know that '(a)t its core, sexual harassment is concerned with the exercise of power and in the main reflects the power relations that exist both in society generally and specifically within a particular workplace'. Indeed, between Dr McGregor and his victim crouched an indisp</w:t>
      </w:r>
      <w:r w:rsidR="00CF54D8" w:rsidRPr="00CF54D8">
        <w:rPr>
          <w:lang w:val="en-US"/>
        </w:rPr>
        <w:t xml:space="preserve">utable </w:t>
      </w:r>
      <w:r w:rsidR="00CF54D8" w:rsidRPr="00CF54D8">
        <w:rPr>
          <w:i/>
          <w:iCs/>
          <w:lang w:val="en-US"/>
        </w:rPr>
        <w:t>power imbalance that has to be understood as underpinning this entire matter. Dr McGregor was 30 years the victim's senior and in a position of authority. Not only does the power imbalance tip according to the professional positions, but it topples in terms of gender at the intersection of age.</w:t>
      </w:r>
      <w:r w:rsidR="00CF54D8">
        <w:rPr>
          <w:i/>
          <w:iCs/>
          <w:lang w:val="en-US"/>
        </w:rPr>
        <w:t>”</w:t>
      </w:r>
    </w:p>
  </w:footnote>
  <w:footnote w:id="2">
    <w:p w14:paraId="41630F64" w14:textId="35351C01" w:rsidR="00F56985" w:rsidRPr="00F56985" w:rsidRDefault="00F56985">
      <w:pPr>
        <w:pStyle w:val="FootnoteText"/>
        <w:rPr>
          <w:lang w:val="en-US"/>
        </w:rPr>
      </w:pPr>
      <w:r>
        <w:rPr>
          <w:rStyle w:val="FootnoteReference"/>
        </w:rPr>
        <w:footnoteRef/>
      </w:r>
      <w:r>
        <w:t xml:space="preserve"> </w:t>
      </w:r>
      <w:r w:rsidRPr="00F56985">
        <w:t>1974(3</w:t>
      </w:r>
      <w:r w:rsidRPr="00F56985">
        <w:t>)SA 633(A)</w:t>
      </w:r>
      <w:r>
        <w:t>.</w:t>
      </w:r>
    </w:p>
  </w:footnote>
  <w:footnote w:id="3">
    <w:p w14:paraId="1EB37B1F" w14:textId="7B8B3B89" w:rsidR="00547702" w:rsidRPr="00547702" w:rsidRDefault="00547702">
      <w:pPr>
        <w:pStyle w:val="FootnoteText"/>
        <w:rPr>
          <w:lang w:val="en-US"/>
        </w:rPr>
      </w:pPr>
      <w:r>
        <w:rPr>
          <w:rStyle w:val="FootnoteReference"/>
        </w:rPr>
        <w:footnoteRef/>
      </w:r>
      <w:r>
        <w:t xml:space="preserve"> </w:t>
      </w:r>
      <w:r>
        <w:rPr>
          <w:lang w:val="en-US"/>
        </w:rPr>
        <w:t>1984(3) SA 623(A) at 634</w:t>
      </w:r>
      <w:r w:rsidR="00AF6E69">
        <w:rPr>
          <w:lang w:val="en-US"/>
        </w:rPr>
        <w:t>.</w:t>
      </w:r>
    </w:p>
  </w:footnote>
  <w:footnote w:id="4">
    <w:p w14:paraId="34ACBD79" w14:textId="0D45F39A" w:rsidR="00F92F22" w:rsidRPr="00F92F22" w:rsidRDefault="00F92F22" w:rsidP="00F43DF6">
      <w:pPr>
        <w:pStyle w:val="FootnoteText"/>
        <w:rPr>
          <w:lang w:val="en-US"/>
        </w:rPr>
      </w:pPr>
      <w:r>
        <w:rPr>
          <w:rStyle w:val="FootnoteReference"/>
        </w:rPr>
        <w:footnoteRef/>
      </w:r>
      <w:r>
        <w:t xml:space="preserve"> </w:t>
      </w:r>
      <w:r w:rsidRPr="00FC3DCB">
        <w:rPr>
          <w:i/>
          <w:iCs/>
        </w:rPr>
        <w:t xml:space="preserve">Magashule v Ramaphosa and </w:t>
      </w:r>
      <w:r w:rsidRPr="00FC3DCB">
        <w:rPr>
          <w:i/>
          <w:iCs/>
        </w:rPr>
        <w:t>Others</w:t>
      </w:r>
      <w:r w:rsidRPr="00F92F22">
        <w:t xml:space="preserve"> (2021/23795) [2021] ZAGPJHC 88; [2021] 3 All SA 887 (GJ) (9 July 2021)</w:t>
      </w:r>
      <w:r>
        <w:t xml:space="preserve"> </w:t>
      </w:r>
      <w:r>
        <w:rPr>
          <w:lang w:val="en-US"/>
        </w:rPr>
        <w:t>Paragraph 111.</w:t>
      </w:r>
    </w:p>
  </w:footnote>
  <w:footnote w:id="5">
    <w:p w14:paraId="1BB926A0" w14:textId="46C3A514" w:rsidR="00F92F22" w:rsidRPr="00F92F22" w:rsidRDefault="00F92F22" w:rsidP="00F43DF6">
      <w:pPr>
        <w:pStyle w:val="FootnoteText"/>
        <w:rPr>
          <w:lang w:val="en-US"/>
        </w:rPr>
      </w:pPr>
      <w:r>
        <w:rPr>
          <w:rStyle w:val="FootnoteReference"/>
        </w:rPr>
        <w:footnoteRef/>
      </w:r>
      <w:r>
        <w:t xml:space="preserve"> </w:t>
      </w:r>
      <w:r>
        <w:rPr>
          <w:lang w:val="en-US"/>
        </w:rPr>
        <w:t>Ibid</w:t>
      </w:r>
      <w:r w:rsidR="00FC3DCB">
        <w:rPr>
          <w:lang w:val="en-US"/>
        </w:rPr>
        <w:t>,</w:t>
      </w:r>
      <w:r>
        <w:rPr>
          <w:lang w:val="en-US"/>
        </w:rPr>
        <w:t xml:space="preserve"> paragraph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07640"/>
      <w:docPartObj>
        <w:docPartGallery w:val="Page Numbers (Top of Page)"/>
        <w:docPartUnique/>
      </w:docPartObj>
    </w:sdtPr>
    <w:sdtEndPr>
      <w:rPr>
        <w:noProof/>
      </w:rPr>
    </w:sdtEndPr>
    <w:sdtContent>
      <w:p w14:paraId="406B6917" w14:textId="748D81C6" w:rsidR="00F92F22" w:rsidRDefault="00F92F22">
        <w:pPr>
          <w:pStyle w:val="Header"/>
          <w:jc w:val="right"/>
        </w:pPr>
        <w:r>
          <w:fldChar w:fldCharType="begin"/>
        </w:r>
        <w:r>
          <w:instrText xml:space="preserve"> PAGE   \* MERGEFORMAT </w:instrText>
        </w:r>
        <w:r>
          <w:fldChar w:fldCharType="separate"/>
        </w:r>
        <w:r w:rsidR="00A863A1">
          <w:rPr>
            <w:noProof/>
          </w:rPr>
          <w:t>9</w:t>
        </w:r>
        <w:r>
          <w:rPr>
            <w:noProof/>
          </w:rPr>
          <w:fldChar w:fldCharType="end"/>
        </w:r>
      </w:p>
    </w:sdtContent>
  </w:sdt>
  <w:p w14:paraId="17615438" w14:textId="77777777" w:rsidR="00F92F22" w:rsidRDefault="00F92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27661B90"/>
    <w:multiLevelType w:val="hybridMultilevel"/>
    <w:tmpl w:val="17FC8DA4"/>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9562899"/>
    <w:multiLevelType w:val="hybridMultilevel"/>
    <w:tmpl w:val="7CA439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EE4E15"/>
    <w:multiLevelType w:val="hybridMultilevel"/>
    <w:tmpl w:val="72442428"/>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B4B173F"/>
    <w:multiLevelType w:val="hybridMultilevel"/>
    <w:tmpl w:val="35A2EBCA"/>
    <w:lvl w:ilvl="0" w:tplc="B8A4DA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0EA1906"/>
    <w:multiLevelType w:val="hybridMultilevel"/>
    <w:tmpl w:val="3F423E10"/>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E042A0"/>
    <w:multiLevelType w:val="hybridMultilevel"/>
    <w:tmpl w:val="4FE2E056"/>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C50519A"/>
    <w:multiLevelType w:val="hybridMultilevel"/>
    <w:tmpl w:val="6E5E89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FE"/>
    <w:rsid w:val="00037257"/>
    <w:rsid w:val="000373E1"/>
    <w:rsid w:val="00040AF8"/>
    <w:rsid w:val="000467C6"/>
    <w:rsid w:val="000573E3"/>
    <w:rsid w:val="0007397F"/>
    <w:rsid w:val="000753F0"/>
    <w:rsid w:val="00083E4D"/>
    <w:rsid w:val="000A73BE"/>
    <w:rsid w:val="000A7FF8"/>
    <w:rsid w:val="000B6A3F"/>
    <w:rsid w:val="000C0C2A"/>
    <w:rsid w:val="000D56D2"/>
    <w:rsid w:val="000D7370"/>
    <w:rsid w:val="000E4A08"/>
    <w:rsid w:val="00134820"/>
    <w:rsid w:val="00141F68"/>
    <w:rsid w:val="00156325"/>
    <w:rsid w:val="00170D5C"/>
    <w:rsid w:val="00173E0D"/>
    <w:rsid w:val="00176FC4"/>
    <w:rsid w:val="00193530"/>
    <w:rsid w:val="0019690D"/>
    <w:rsid w:val="001A097C"/>
    <w:rsid w:val="001B3636"/>
    <w:rsid w:val="001B57D5"/>
    <w:rsid w:val="001C0581"/>
    <w:rsid w:val="001D33BE"/>
    <w:rsid w:val="001D4CAE"/>
    <w:rsid w:val="00203CBF"/>
    <w:rsid w:val="0021012E"/>
    <w:rsid w:val="0025289C"/>
    <w:rsid w:val="002544AE"/>
    <w:rsid w:val="00293EC5"/>
    <w:rsid w:val="002D7133"/>
    <w:rsid w:val="002E1973"/>
    <w:rsid w:val="002E4C22"/>
    <w:rsid w:val="00333DB4"/>
    <w:rsid w:val="00337D7D"/>
    <w:rsid w:val="003512AA"/>
    <w:rsid w:val="0035136E"/>
    <w:rsid w:val="003514B5"/>
    <w:rsid w:val="00357D6F"/>
    <w:rsid w:val="00360944"/>
    <w:rsid w:val="003639AA"/>
    <w:rsid w:val="00393D24"/>
    <w:rsid w:val="003A5C8B"/>
    <w:rsid w:val="003B22B6"/>
    <w:rsid w:val="003B4C27"/>
    <w:rsid w:val="003D2398"/>
    <w:rsid w:val="004003CD"/>
    <w:rsid w:val="00406D30"/>
    <w:rsid w:val="004102CE"/>
    <w:rsid w:val="004116B4"/>
    <w:rsid w:val="00424ED6"/>
    <w:rsid w:val="0044783F"/>
    <w:rsid w:val="004535E4"/>
    <w:rsid w:val="00483F29"/>
    <w:rsid w:val="00485C90"/>
    <w:rsid w:val="0049000B"/>
    <w:rsid w:val="004D0B01"/>
    <w:rsid w:val="004D2BCD"/>
    <w:rsid w:val="004D75EE"/>
    <w:rsid w:val="004F33DC"/>
    <w:rsid w:val="004F762A"/>
    <w:rsid w:val="0051430E"/>
    <w:rsid w:val="0052311B"/>
    <w:rsid w:val="00547702"/>
    <w:rsid w:val="00557290"/>
    <w:rsid w:val="00560D01"/>
    <w:rsid w:val="00570BDC"/>
    <w:rsid w:val="00573A04"/>
    <w:rsid w:val="005C33F0"/>
    <w:rsid w:val="005D39C3"/>
    <w:rsid w:val="005E496E"/>
    <w:rsid w:val="005E77AA"/>
    <w:rsid w:val="00604A96"/>
    <w:rsid w:val="006216A9"/>
    <w:rsid w:val="00656800"/>
    <w:rsid w:val="00662240"/>
    <w:rsid w:val="00687926"/>
    <w:rsid w:val="00695192"/>
    <w:rsid w:val="006B707F"/>
    <w:rsid w:val="006D596E"/>
    <w:rsid w:val="006E4549"/>
    <w:rsid w:val="006E5E83"/>
    <w:rsid w:val="006E7C7D"/>
    <w:rsid w:val="00713A63"/>
    <w:rsid w:val="00722EDB"/>
    <w:rsid w:val="0075731B"/>
    <w:rsid w:val="00757F01"/>
    <w:rsid w:val="0077741F"/>
    <w:rsid w:val="00780F25"/>
    <w:rsid w:val="00795E92"/>
    <w:rsid w:val="007A3648"/>
    <w:rsid w:val="007E5391"/>
    <w:rsid w:val="008019CF"/>
    <w:rsid w:val="00813401"/>
    <w:rsid w:val="008164A2"/>
    <w:rsid w:val="008255FE"/>
    <w:rsid w:val="00834FA7"/>
    <w:rsid w:val="00842BC9"/>
    <w:rsid w:val="00852D74"/>
    <w:rsid w:val="00857709"/>
    <w:rsid w:val="008645BE"/>
    <w:rsid w:val="00864A5B"/>
    <w:rsid w:val="0087077C"/>
    <w:rsid w:val="00884404"/>
    <w:rsid w:val="008B1DE8"/>
    <w:rsid w:val="008C4A1C"/>
    <w:rsid w:val="008D32F9"/>
    <w:rsid w:val="00905FBF"/>
    <w:rsid w:val="00940FD6"/>
    <w:rsid w:val="009A59BE"/>
    <w:rsid w:val="009B2B14"/>
    <w:rsid w:val="009B7ECA"/>
    <w:rsid w:val="009C116D"/>
    <w:rsid w:val="009D3446"/>
    <w:rsid w:val="009D62DC"/>
    <w:rsid w:val="009E4AC7"/>
    <w:rsid w:val="00A114CA"/>
    <w:rsid w:val="00A16074"/>
    <w:rsid w:val="00A569FF"/>
    <w:rsid w:val="00A70106"/>
    <w:rsid w:val="00A863A1"/>
    <w:rsid w:val="00A95074"/>
    <w:rsid w:val="00AA7233"/>
    <w:rsid w:val="00AC03B3"/>
    <w:rsid w:val="00AD48A2"/>
    <w:rsid w:val="00AE6E5F"/>
    <w:rsid w:val="00AF6440"/>
    <w:rsid w:val="00AF6E69"/>
    <w:rsid w:val="00B0243C"/>
    <w:rsid w:val="00B04874"/>
    <w:rsid w:val="00B0505C"/>
    <w:rsid w:val="00B124E2"/>
    <w:rsid w:val="00B142FA"/>
    <w:rsid w:val="00B2652D"/>
    <w:rsid w:val="00B30244"/>
    <w:rsid w:val="00B3630A"/>
    <w:rsid w:val="00B40B3D"/>
    <w:rsid w:val="00B42A07"/>
    <w:rsid w:val="00B53047"/>
    <w:rsid w:val="00B657D8"/>
    <w:rsid w:val="00B70368"/>
    <w:rsid w:val="00B7384A"/>
    <w:rsid w:val="00B93E0E"/>
    <w:rsid w:val="00BB0313"/>
    <w:rsid w:val="00BC639A"/>
    <w:rsid w:val="00BE0FA9"/>
    <w:rsid w:val="00C01827"/>
    <w:rsid w:val="00C4019F"/>
    <w:rsid w:val="00C92A3E"/>
    <w:rsid w:val="00CB1BCC"/>
    <w:rsid w:val="00CB71EA"/>
    <w:rsid w:val="00CD02E0"/>
    <w:rsid w:val="00CF4087"/>
    <w:rsid w:val="00CF54D8"/>
    <w:rsid w:val="00CF773E"/>
    <w:rsid w:val="00D20B90"/>
    <w:rsid w:val="00D727C2"/>
    <w:rsid w:val="00D86420"/>
    <w:rsid w:val="00D8743C"/>
    <w:rsid w:val="00D92B2D"/>
    <w:rsid w:val="00DA4111"/>
    <w:rsid w:val="00DB6092"/>
    <w:rsid w:val="00DC35FC"/>
    <w:rsid w:val="00E3699F"/>
    <w:rsid w:val="00E703AC"/>
    <w:rsid w:val="00E938F6"/>
    <w:rsid w:val="00EC6F75"/>
    <w:rsid w:val="00EE6235"/>
    <w:rsid w:val="00EF0F59"/>
    <w:rsid w:val="00EF4CDA"/>
    <w:rsid w:val="00F242A7"/>
    <w:rsid w:val="00F258C4"/>
    <w:rsid w:val="00F26D68"/>
    <w:rsid w:val="00F43DF6"/>
    <w:rsid w:val="00F56985"/>
    <w:rsid w:val="00F75936"/>
    <w:rsid w:val="00F85EA2"/>
    <w:rsid w:val="00F92F22"/>
    <w:rsid w:val="00F96740"/>
    <w:rsid w:val="00FC0A73"/>
    <w:rsid w:val="00FC3DCB"/>
    <w:rsid w:val="00FC5F72"/>
    <w:rsid w:val="00FD3668"/>
    <w:rsid w:val="00FF34C0"/>
    <w:rsid w:val="00FF4BF1"/>
    <w:rsid w:val="00FF5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CFD0"/>
  <w15:chartTrackingRefBased/>
  <w15:docId w15:val="{B972AEDA-805B-4E87-B031-CA867B13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qFormat/>
    <w:rsid w:val="00C4019F"/>
    <w:pPr>
      <w:spacing w:line="259" w:lineRule="auto"/>
    </w:pPr>
    <w:rPr>
      <w:rFonts w:ascii="Arial" w:eastAsiaTheme="minorHAnsi" w:hAnsi="Arial" w:cs="Arial"/>
      <w:bCs/>
      <w:iCs w:val="0"/>
      <w:color w:val="4472C4" w:themeColor="accent1"/>
      <w:szCs w:val="22"/>
      <w:lang w:val="en-ZA"/>
    </w:rPr>
  </w:style>
  <w:style w:type="character" w:customStyle="1" w:styleId="Style1Char">
    <w:name w:val="Style1 Char"/>
    <w:basedOn w:val="IntenseQuoteChar"/>
    <w:link w:val="Style1"/>
    <w:rsid w:val="00C4019F"/>
    <w:rPr>
      <w:rFonts w:ascii="Times New Roman" w:eastAsia="Times New Roman" w:hAnsi="Times New Roman" w:cs="Arial"/>
      <w:bCs/>
      <w:iCs w:val="0"/>
      <w:color w:val="4472C4" w:themeColor="accent1"/>
      <w:szCs w:val="24"/>
      <w:lang w:val="en-US"/>
    </w:rPr>
  </w:style>
  <w:style w:type="paragraph" w:styleId="ListParagraph">
    <w:name w:val="List Paragraph"/>
    <w:basedOn w:val="Normal"/>
    <w:uiPriority w:val="34"/>
    <w:qFormat/>
    <w:rsid w:val="008019CF"/>
    <w:pPr>
      <w:ind w:left="720"/>
      <w:contextualSpacing/>
    </w:pPr>
  </w:style>
  <w:style w:type="paragraph" w:styleId="FootnoteText">
    <w:name w:val="footnote text"/>
    <w:basedOn w:val="Normal"/>
    <w:link w:val="FootnoteTextChar"/>
    <w:uiPriority w:val="99"/>
    <w:semiHidden/>
    <w:unhideWhenUsed/>
    <w:rsid w:val="00D86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420"/>
    <w:rPr>
      <w:sz w:val="20"/>
      <w:szCs w:val="20"/>
    </w:rPr>
  </w:style>
  <w:style w:type="character" w:styleId="FootnoteReference">
    <w:name w:val="footnote reference"/>
    <w:basedOn w:val="DefaultParagraphFont"/>
    <w:uiPriority w:val="99"/>
    <w:semiHidden/>
    <w:unhideWhenUsed/>
    <w:rsid w:val="00D86420"/>
    <w:rPr>
      <w:vertAlign w:val="superscript"/>
    </w:rPr>
  </w:style>
  <w:style w:type="paragraph" w:styleId="Header">
    <w:name w:val="header"/>
    <w:basedOn w:val="Normal"/>
    <w:link w:val="HeaderChar"/>
    <w:uiPriority w:val="99"/>
    <w:unhideWhenUsed/>
    <w:rsid w:val="00F9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22"/>
  </w:style>
  <w:style w:type="paragraph" w:styleId="Footer">
    <w:name w:val="footer"/>
    <w:basedOn w:val="Normal"/>
    <w:link w:val="FooterChar"/>
    <w:uiPriority w:val="99"/>
    <w:unhideWhenUsed/>
    <w:rsid w:val="00F9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22"/>
  </w:style>
  <w:style w:type="paragraph" w:styleId="BalloonText">
    <w:name w:val="Balloon Text"/>
    <w:basedOn w:val="Normal"/>
    <w:link w:val="BalloonTextChar"/>
    <w:uiPriority w:val="99"/>
    <w:semiHidden/>
    <w:unhideWhenUsed/>
    <w:rsid w:val="00F9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40"/>
    <w:rPr>
      <w:rFonts w:ascii="Segoe UI" w:hAnsi="Segoe UI" w:cs="Segoe UI"/>
      <w:sz w:val="18"/>
      <w:szCs w:val="18"/>
    </w:rPr>
  </w:style>
  <w:style w:type="paragraph" w:styleId="Revision">
    <w:name w:val="Revision"/>
    <w:hidden/>
    <w:uiPriority w:val="99"/>
    <w:semiHidden/>
    <w:rsid w:val="003B2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5715">
      <w:bodyDiv w:val="1"/>
      <w:marLeft w:val="0"/>
      <w:marRight w:val="0"/>
      <w:marTop w:val="0"/>
      <w:marBottom w:val="0"/>
      <w:divBdr>
        <w:top w:val="none" w:sz="0" w:space="0" w:color="auto"/>
        <w:left w:val="none" w:sz="0" w:space="0" w:color="auto"/>
        <w:bottom w:val="none" w:sz="0" w:space="0" w:color="auto"/>
        <w:right w:val="none" w:sz="0" w:space="0" w:color="auto"/>
      </w:divBdr>
    </w:div>
    <w:div w:id="1064989773">
      <w:bodyDiv w:val="1"/>
      <w:marLeft w:val="0"/>
      <w:marRight w:val="0"/>
      <w:marTop w:val="0"/>
      <w:marBottom w:val="0"/>
      <w:divBdr>
        <w:top w:val="none" w:sz="0" w:space="0" w:color="auto"/>
        <w:left w:val="none" w:sz="0" w:space="0" w:color="auto"/>
        <w:bottom w:val="none" w:sz="0" w:space="0" w:color="auto"/>
        <w:right w:val="none" w:sz="0" w:space="0" w:color="auto"/>
      </w:divBdr>
    </w:div>
    <w:div w:id="1287153507">
      <w:bodyDiv w:val="1"/>
      <w:marLeft w:val="0"/>
      <w:marRight w:val="0"/>
      <w:marTop w:val="0"/>
      <w:marBottom w:val="0"/>
      <w:divBdr>
        <w:top w:val="none" w:sz="0" w:space="0" w:color="auto"/>
        <w:left w:val="none" w:sz="0" w:space="0" w:color="auto"/>
        <w:bottom w:val="none" w:sz="0" w:space="0" w:color="auto"/>
        <w:right w:val="none" w:sz="0" w:space="0" w:color="auto"/>
      </w:divBdr>
    </w:div>
    <w:div w:id="14542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1AFB-E38D-4E3D-BF2B-E5CADB82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Graeme Rennie</cp:lastModifiedBy>
  <cp:revision>2</cp:revision>
  <cp:lastPrinted>2021-11-23T07:24:00Z</cp:lastPrinted>
  <dcterms:created xsi:type="dcterms:W3CDTF">2021-11-29T08:14:00Z</dcterms:created>
  <dcterms:modified xsi:type="dcterms:W3CDTF">2021-11-29T08:14:00Z</dcterms:modified>
</cp:coreProperties>
</file>