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BE" w:rsidRDefault="00C326BE" w:rsidP="00C326BE">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79222A" w:rsidP="0079222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79222A" w:rsidP="0079222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79222A" w:rsidP="0079222A">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9E687E">
                              <w:rPr>
                                <w:rFonts w:ascii="Century Gothic" w:hAnsi="Century Gothic"/>
                                <w:b/>
                                <w:i/>
                                <w:sz w:val="22"/>
                                <w:szCs w:val="22"/>
                                <w:u w:val="single"/>
                              </w:rPr>
                              <w:t>2</w:t>
                            </w:r>
                            <w:r w:rsidR="00DC6679">
                              <w:rPr>
                                <w:rFonts w:ascii="Century Gothic" w:hAnsi="Century Gothic"/>
                                <w:b/>
                                <w:i/>
                                <w:sz w:val="22"/>
                                <w:szCs w:val="22"/>
                                <w:u w:val="single"/>
                              </w:rPr>
                              <w:t xml:space="preserve"> </w:t>
                            </w:r>
                            <w:r w:rsidR="002D10E9">
                              <w:rPr>
                                <w:rFonts w:ascii="Century Gothic" w:hAnsi="Century Gothic"/>
                                <w:b/>
                                <w:i/>
                                <w:sz w:val="22"/>
                                <w:szCs w:val="22"/>
                                <w:u w:val="single"/>
                              </w:rPr>
                              <w:t>December</w:t>
                            </w:r>
                            <w:r>
                              <w:rPr>
                                <w:rFonts w:ascii="Century Gothic" w:hAnsi="Century Gothic"/>
                                <w:b/>
                                <w:i/>
                                <w:sz w:val="22"/>
                                <w:szCs w:val="22"/>
                                <w:u w:val="single"/>
                              </w:rPr>
                              <w:t xml:space="preserve"> 202</w:t>
                            </w:r>
                            <w:r w:rsidR="00C326BE">
                              <w:rPr>
                                <w:rFonts w:ascii="Century Gothic" w:hAnsi="Century Gothic"/>
                                <w:b/>
                                <w:i/>
                                <w:sz w:val="22"/>
                                <w:szCs w:val="22"/>
                                <w:u w:val="single"/>
                              </w:rPr>
                              <w:t>1</w:t>
                            </w:r>
                            <w:r>
                              <w:rPr>
                                <w:rFonts w:ascii="Century Gothic" w:hAnsi="Century Gothic"/>
                                <w:sz w:val="22"/>
                                <w:szCs w:val="22"/>
                              </w:rPr>
                              <w:t xml:space="preserve"> Signature: ___</w:t>
                            </w:r>
                            <w:r w:rsidR="0074779C">
                              <w:rPr>
                                <w:rFonts w:ascii="Century Gothic" w:hAnsi="Century Gothic"/>
                                <w:sz w:val="22"/>
                                <w:szCs w:val="22"/>
                              </w:rPr>
                              <w:t>___</w:t>
                            </w:r>
                            <w:r>
                              <w:rPr>
                                <w:rFonts w:ascii="Century Gothic" w:hAnsi="Century Gothic"/>
                                <w:sz w:val="22"/>
                                <w:szCs w:val="22"/>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79222A" w:rsidP="0079222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79222A" w:rsidP="0079222A">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79222A" w:rsidP="0079222A">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9E687E">
                        <w:rPr>
                          <w:rFonts w:ascii="Century Gothic" w:hAnsi="Century Gothic"/>
                          <w:b/>
                          <w:i/>
                          <w:sz w:val="22"/>
                          <w:szCs w:val="22"/>
                          <w:u w:val="single"/>
                        </w:rPr>
                        <w:t>2</w:t>
                      </w:r>
                      <w:r w:rsidR="00DC6679">
                        <w:rPr>
                          <w:rFonts w:ascii="Century Gothic" w:hAnsi="Century Gothic"/>
                          <w:b/>
                          <w:i/>
                          <w:sz w:val="22"/>
                          <w:szCs w:val="22"/>
                          <w:u w:val="single"/>
                        </w:rPr>
                        <w:t xml:space="preserve"> </w:t>
                      </w:r>
                      <w:r w:rsidR="002D10E9">
                        <w:rPr>
                          <w:rFonts w:ascii="Century Gothic" w:hAnsi="Century Gothic"/>
                          <w:b/>
                          <w:i/>
                          <w:sz w:val="22"/>
                          <w:szCs w:val="22"/>
                          <w:u w:val="single"/>
                        </w:rPr>
                        <w:t>December</w:t>
                      </w:r>
                      <w:r>
                        <w:rPr>
                          <w:rFonts w:ascii="Century Gothic" w:hAnsi="Century Gothic"/>
                          <w:b/>
                          <w:i/>
                          <w:sz w:val="22"/>
                          <w:szCs w:val="22"/>
                          <w:u w:val="single"/>
                        </w:rPr>
                        <w:t xml:space="preserve"> 202</w:t>
                      </w:r>
                      <w:r w:rsidR="00C326BE">
                        <w:rPr>
                          <w:rFonts w:ascii="Century Gothic" w:hAnsi="Century Gothic"/>
                          <w:b/>
                          <w:i/>
                          <w:sz w:val="22"/>
                          <w:szCs w:val="22"/>
                          <w:u w:val="single"/>
                        </w:rPr>
                        <w:t>1</w:t>
                      </w:r>
                      <w:r>
                        <w:rPr>
                          <w:rFonts w:ascii="Century Gothic" w:hAnsi="Century Gothic"/>
                          <w:sz w:val="22"/>
                          <w:szCs w:val="22"/>
                        </w:rPr>
                        <w:t xml:space="preserve"> Signature: ___</w:t>
                      </w:r>
                      <w:r w:rsidR="0074779C">
                        <w:rPr>
                          <w:rFonts w:ascii="Century Gothic" w:hAnsi="Century Gothic"/>
                          <w:sz w:val="22"/>
                          <w:szCs w:val="22"/>
                        </w:rPr>
                        <w:t>___</w:t>
                      </w:r>
                      <w:r>
                        <w:rPr>
                          <w:rFonts w:ascii="Century Gothic" w:hAnsi="Century Gothic"/>
                          <w:sz w:val="22"/>
                          <w:szCs w:val="22"/>
                        </w:rPr>
                        <w:t>_________</w:t>
                      </w:r>
                    </w:p>
                  </w:txbxContent>
                </v:textbox>
              </v:shape>
            </w:pict>
          </mc:Fallback>
        </mc:AlternateContent>
      </w:r>
      <w:r w:rsidR="00520591" w:rsidRPr="00520591">
        <w:rPr>
          <w:u w:val="single"/>
        </w:rPr>
        <w:t xml:space="preserve">GAUTENG </w:t>
      </w:r>
      <w:r w:rsidR="00027B5A">
        <w:rPr>
          <w:u w:val="single"/>
        </w:rPr>
        <w:t xml:space="preserve">LOCAL </w:t>
      </w:r>
      <w:r w:rsidR="00520591" w:rsidRPr="00520591">
        <w:rPr>
          <w:u w:val="single"/>
        </w:rPr>
        <w:t xml:space="preserve">DIVISION, </w:t>
      </w:r>
      <w:r w:rsidR="00027B5A">
        <w:rPr>
          <w:u w:val="single"/>
        </w:rPr>
        <w:t>JOHANNESBURG</w:t>
      </w:r>
    </w:p>
    <w:p w:rsidR="00781994" w:rsidRDefault="00781994" w:rsidP="00592459">
      <w:pPr>
        <w:pStyle w:val="LegalAnnexure"/>
        <w:spacing w:after="480"/>
        <w:rPr>
          <w:u w:val="single"/>
        </w:rPr>
      </w:pPr>
    </w:p>
    <w:p w:rsidR="0074779C" w:rsidRDefault="0074779C" w:rsidP="00D16C7E">
      <w:pPr>
        <w:pStyle w:val="LegalAnnexure"/>
        <w:spacing w:after="120" w:line="360" w:lineRule="auto"/>
      </w:pPr>
      <w:r w:rsidRPr="00A84826">
        <w:rPr>
          <w:u w:val="single"/>
        </w:rPr>
        <w:t>CASE NO</w:t>
      </w:r>
      <w:r w:rsidRPr="0080126D">
        <w:t>:</w:t>
      </w:r>
      <w:r>
        <w:t xml:space="preserve"> </w:t>
      </w:r>
      <w:r w:rsidR="002D10E9">
        <w:rPr>
          <w:b w:val="0"/>
        </w:rPr>
        <w:t>24667</w:t>
      </w:r>
      <w:r w:rsidRPr="004E00FA">
        <w:rPr>
          <w:b w:val="0"/>
        </w:rPr>
        <w:t>/</w:t>
      </w:r>
      <w:r w:rsidR="00D16C7E">
        <w:rPr>
          <w:b w:val="0"/>
        </w:rPr>
        <w:t>202</w:t>
      </w:r>
      <w:r w:rsidR="002D10E9">
        <w:rPr>
          <w:b w:val="0"/>
        </w:rPr>
        <w:t>0</w:t>
      </w:r>
    </w:p>
    <w:p w:rsidR="004E00FA" w:rsidRDefault="004E00FA" w:rsidP="004E00FA">
      <w:pPr>
        <w:pStyle w:val="LegalAnnexure"/>
        <w:spacing w:after="0" w:line="360" w:lineRule="auto"/>
      </w:pPr>
      <w:r>
        <w:rPr>
          <w:u w:val="single"/>
        </w:rPr>
        <w:t>DATE</w:t>
      </w:r>
      <w:r w:rsidRPr="0080126D">
        <w:t>:</w:t>
      </w:r>
      <w:r>
        <w:t xml:space="preserve"> </w:t>
      </w:r>
      <w:r w:rsidR="009E687E">
        <w:rPr>
          <w:b w:val="0"/>
        </w:rPr>
        <w:t>2</w:t>
      </w:r>
      <w:r w:rsidR="009E687E" w:rsidRPr="009E687E">
        <w:rPr>
          <w:b w:val="0"/>
          <w:vertAlign w:val="superscript"/>
        </w:rPr>
        <w:t>nd</w:t>
      </w:r>
      <w:r w:rsidR="002D10E9">
        <w:rPr>
          <w:b w:val="0"/>
        </w:rPr>
        <w:t xml:space="preserve"> December</w:t>
      </w:r>
      <w:r w:rsidR="00592459">
        <w:rPr>
          <w:b w:val="0"/>
        </w:rPr>
        <w:t xml:space="preserve"> </w:t>
      </w:r>
      <w:r w:rsidR="0062393B">
        <w:rPr>
          <w:b w:val="0"/>
        </w:rPr>
        <w:t>20</w:t>
      </w:r>
      <w:r w:rsidR="00BE3209">
        <w:rPr>
          <w:b w:val="0"/>
        </w:rPr>
        <w:t>2</w:t>
      </w:r>
      <w:r w:rsidR="00D16C7E">
        <w:rPr>
          <w:b w:val="0"/>
        </w:rPr>
        <w:t>1</w:t>
      </w:r>
    </w:p>
    <w:p w:rsidR="009314F3" w:rsidRPr="00A84826" w:rsidRDefault="009314F3" w:rsidP="0081199F">
      <w:pPr>
        <w:pStyle w:val="LegalNormal"/>
        <w:spacing w:after="120" w:line="360" w:lineRule="auto"/>
      </w:pPr>
      <w:r w:rsidRPr="00A84826">
        <w:t>In the matter between:</w:t>
      </w:r>
    </w:p>
    <w:p w:rsidR="00027B5A" w:rsidRDefault="002D10E9" w:rsidP="0081199F">
      <w:pPr>
        <w:pStyle w:val="LegalPlainDef"/>
        <w:spacing w:after="120" w:line="360" w:lineRule="auto"/>
      </w:pPr>
      <w:r>
        <w:rPr>
          <w:b/>
        </w:rPr>
        <w:t xml:space="preserve">MATATIELE LOCAL </w:t>
      </w:r>
      <w:r w:rsidR="008F7E5D">
        <w:rPr>
          <w:b/>
        </w:rPr>
        <w:t>MUNICIPALITY</w:t>
      </w:r>
      <w:r w:rsidR="00027B5A">
        <w:rPr>
          <w:b/>
        </w:rPr>
        <w:tab/>
      </w:r>
      <w:r w:rsidR="00D16C7E">
        <w:t>Applicant</w:t>
      </w:r>
    </w:p>
    <w:p w:rsidR="009314F3" w:rsidRPr="00A84826" w:rsidRDefault="009314F3" w:rsidP="0081199F">
      <w:pPr>
        <w:pStyle w:val="LegalNormal"/>
        <w:spacing w:after="120" w:line="360" w:lineRule="auto"/>
      </w:pPr>
      <w:proofErr w:type="gramStart"/>
      <w:r w:rsidRPr="00A84826">
        <w:t>and</w:t>
      </w:r>
      <w:proofErr w:type="gramEnd"/>
    </w:p>
    <w:p w:rsidR="007D4738" w:rsidRDefault="002D10E9" w:rsidP="002D10E9">
      <w:pPr>
        <w:pStyle w:val="LegalPlainDef"/>
        <w:spacing w:after="240" w:line="360" w:lineRule="auto"/>
      </w:pPr>
      <w:r>
        <w:rPr>
          <w:b/>
          <w:bCs/>
          <w:lang w:val="en-US"/>
        </w:rPr>
        <w:t>LUBBE CONSTRUCTION (PTY) LIMITED</w:t>
      </w:r>
      <w:r w:rsidR="00592459">
        <w:rPr>
          <w:b/>
          <w:bCs/>
          <w:lang w:val="en-US"/>
        </w:rPr>
        <w:t xml:space="preserve"> </w:t>
      </w:r>
      <w:r w:rsidR="007D4738" w:rsidRPr="00DE6787">
        <w:rPr>
          <w:b/>
        </w:rPr>
        <w:tab/>
      </w:r>
      <w:r w:rsidR="00D16C7E">
        <w:t>Respondent</w:t>
      </w:r>
    </w:p>
    <w:p w:rsidR="0061224F" w:rsidRDefault="0061224F" w:rsidP="0061224F">
      <w:pPr>
        <w:suppressAutoHyphens w:val="0"/>
        <w:spacing w:after="120" w:line="360" w:lineRule="auto"/>
        <w:ind w:left="1418" w:hanging="1418"/>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2D10E9">
        <w:rPr>
          <w:rFonts w:cs="Arial"/>
          <w:lang w:val="en-ZA" w:eastAsia="en-US"/>
        </w:rPr>
        <w:t>23</w:t>
      </w:r>
      <w:r>
        <w:rPr>
          <w:rFonts w:cs="Arial"/>
          <w:lang w:val="en-ZA" w:eastAsia="en-US"/>
        </w:rPr>
        <w:t xml:space="preserve"> </w:t>
      </w:r>
      <w:r w:rsidR="0081199F">
        <w:rPr>
          <w:rFonts w:cs="Arial"/>
          <w:lang w:val="en-ZA" w:eastAsia="en-US"/>
        </w:rPr>
        <w:t>November</w:t>
      </w:r>
      <w:r>
        <w:rPr>
          <w:rFonts w:cs="Arial"/>
          <w:lang w:val="en-ZA" w:eastAsia="en-US"/>
        </w:rPr>
        <w:t xml:space="preserve"> 2021 - The ‘virtual hearing’ of the </w:t>
      </w:r>
      <w:r w:rsidR="0081199F">
        <w:rPr>
          <w:rFonts w:cs="Arial"/>
          <w:lang w:val="en-ZA" w:eastAsia="en-US"/>
        </w:rPr>
        <w:t>Opposed</w:t>
      </w:r>
      <w:r>
        <w:rPr>
          <w:rFonts w:cs="Arial"/>
          <w:lang w:val="en-ZA" w:eastAsia="en-US"/>
        </w:rPr>
        <w:t xml:space="preserve"> Application was conducted as a videoconference on </w:t>
      </w:r>
      <w:r>
        <w:rPr>
          <w:rFonts w:cs="Arial"/>
          <w:i/>
          <w:lang w:val="en-ZA" w:eastAsia="en-US"/>
        </w:rPr>
        <w:t>Microsoft Teams</w:t>
      </w:r>
      <w:r>
        <w:rPr>
          <w:rFonts w:cs="Arial"/>
          <w:lang w:val="en-ZA" w:eastAsia="en-US"/>
        </w:rPr>
        <w:t>.</w:t>
      </w:r>
    </w:p>
    <w:p w:rsidR="0061224F" w:rsidRDefault="0061224F" w:rsidP="0061224F">
      <w:pPr>
        <w:suppressAutoHyphens w:val="0"/>
        <w:spacing w:after="120" w:line="360" w:lineRule="auto"/>
        <w:ind w:left="1418" w:hanging="1418"/>
        <w:jc w:val="both"/>
        <w:rPr>
          <w:rFonts w:cs="Arial"/>
          <w:lang w:val="en-ZA" w:eastAsia="en-US"/>
        </w:rPr>
      </w:pPr>
      <w:r>
        <w:rPr>
          <w:rFonts w:cs="Arial"/>
          <w:b/>
          <w:lang w:val="en-ZA" w:eastAsia="en-US"/>
        </w:rPr>
        <w:t>Delivered:</w:t>
      </w:r>
      <w:r>
        <w:rPr>
          <w:rFonts w:cs="Arial"/>
          <w:b/>
          <w:lang w:val="en-ZA" w:eastAsia="en-US"/>
        </w:rPr>
        <w:tab/>
      </w:r>
      <w:r w:rsidR="009E687E">
        <w:rPr>
          <w:rFonts w:cs="Arial"/>
          <w:lang w:val="en-ZA" w:eastAsia="en-US"/>
        </w:rPr>
        <w:t>02</w:t>
      </w:r>
      <w:r>
        <w:rPr>
          <w:rFonts w:cs="Arial"/>
          <w:lang w:val="en-ZA" w:eastAsia="en-US"/>
        </w:rPr>
        <w:t xml:space="preserve"> </w:t>
      </w:r>
      <w:r w:rsidR="002D10E9">
        <w:rPr>
          <w:rFonts w:cs="Arial"/>
          <w:lang w:val="en-ZA" w:eastAsia="en-US"/>
        </w:rPr>
        <w:t>December</w:t>
      </w:r>
      <w:r w:rsidR="0081199F">
        <w:rPr>
          <w:rFonts w:cs="Arial"/>
          <w:lang w:val="en-ZA" w:eastAsia="en-US"/>
        </w:rPr>
        <w:t xml:space="preserve"> </w:t>
      </w:r>
      <w:r>
        <w:rPr>
          <w:rFonts w:cs="Arial"/>
          <w:lang w:val="en-ZA" w:eastAsia="en-US"/>
        </w:rPr>
        <w:t xml:space="preserve">2021 – This judgment was handed down electronically by circulation to the parties' representatives by email, by being uploaded to </w:t>
      </w:r>
      <w:proofErr w:type="spellStart"/>
      <w:r>
        <w:rPr>
          <w:rFonts w:cs="Arial"/>
          <w:i/>
          <w:lang w:val="en-ZA" w:eastAsia="en-US"/>
        </w:rPr>
        <w:t>CaseLines</w:t>
      </w:r>
      <w:proofErr w:type="spellEnd"/>
      <w:r>
        <w:rPr>
          <w:rFonts w:cs="Arial"/>
          <w:lang w:val="en-ZA" w:eastAsia="en-US"/>
        </w:rPr>
        <w:t xml:space="preserve"> and by release to SAFLII. The date and time </w:t>
      </w:r>
      <w:r w:rsidR="00784718">
        <w:rPr>
          <w:rFonts w:cs="Arial"/>
          <w:lang w:val="en-ZA" w:eastAsia="en-US"/>
        </w:rPr>
        <w:t>for hand-down is deemed to be 12</w:t>
      </w:r>
      <w:r w:rsidR="009E687E">
        <w:rPr>
          <w:rFonts w:cs="Arial"/>
          <w:lang w:val="en-ZA" w:eastAsia="en-US"/>
        </w:rPr>
        <w:t>:0</w:t>
      </w:r>
      <w:r>
        <w:rPr>
          <w:rFonts w:cs="Arial"/>
          <w:lang w:val="en-ZA" w:eastAsia="en-US"/>
        </w:rPr>
        <w:t xml:space="preserve">0 on </w:t>
      </w:r>
      <w:r w:rsidR="009E687E">
        <w:rPr>
          <w:rFonts w:cs="Arial"/>
          <w:lang w:val="en-ZA" w:eastAsia="en-US"/>
        </w:rPr>
        <w:t>02</w:t>
      </w:r>
      <w:r>
        <w:rPr>
          <w:rFonts w:cs="Arial"/>
          <w:lang w:val="en-ZA" w:eastAsia="en-US"/>
        </w:rPr>
        <w:t xml:space="preserve"> </w:t>
      </w:r>
      <w:r w:rsidR="002D10E9">
        <w:rPr>
          <w:rFonts w:cs="Arial"/>
          <w:lang w:val="en-ZA" w:eastAsia="en-US"/>
        </w:rPr>
        <w:t>December</w:t>
      </w:r>
      <w:r>
        <w:rPr>
          <w:rFonts w:cs="Arial"/>
          <w:lang w:val="en-ZA" w:eastAsia="en-US"/>
        </w:rPr>
        <w:t xml:space="preserve"> 2021.</w:t>
      </w:r>
    </w:p>
    <w:p w:rsidR="001B7F09" w:rsidRDefault="0061224F" w:rsidP="00803AD0">
      <w:pPr>
        <w:spacing w:after="240" w:line="360" w:lineRule="auto"/>
        <w:jc w:val="both"/>
        <w:rPr>
          <w:rFonts w:cs="Arial"/>
        </w:rPr>
      </w:pPr>
      <w:r>
        <w:rPr>
          <w:rFonts w:cs="Arial"/>
          <w:b/>
          <w:bCs/>
          <w:lang w:val="en-ZA" w:eastAsia="en-US"/>
        </w:rPr>
        <w:t>Summary:</w:t>
      </w:r>
      <w:r w:rsidR="00803AD0">
        <w:rPr>
          <w:rFonts w:cs="Arial"/>
          <w:b/>
          <w:bCs/>
          <w:lang w:val="en-ZA" w:eastAsia="en-US"/>
        </w:rPr>
        <w:t xml:space="preserve"> </w:t>
      </w:r>
      <w:r w:rsidR="00803AD0">
        <w:rPr>
          <w:rFonts w:cs="Arial"/>
        </w:rPr>
        <w:t xml:space="preserve">Arbitration – </w:t>
      </w:r>
      <w:r w:rsidR="00784718">
        <w:rPr>
          <w:rFonts w:cs="Arial"/>
        </w:rPr>
        <w:t>a</w:t>
      </w:r>
      <w:r w:rsidR="00803AD0" w:rsidRPr="00803AD0">
        <w:rPr>
          <w:rFonts w:cs="Arial"/>
        </w:rPr>
        <w:t>ward</w:t>
      </w:r>
      <w:r w:rsidR="00784718">
        <w:rPr>
          <w:rFonts w:cs="Arial"/>
        </w:rPr>
        <w:t xml:space="preserve"> - w</w:t>
      </w:r>
      <w:r w:rsidR="00803AD0">
        <w:rPr>
          <w:rFonts w:cs="Arial"/>
        </w:rPr>
        <w:t xml:space="preserve">hether </w:t>
      </w:r>
      <w:r w:rsidR="00784718">
        <w:rPr>
          <w:rFonts w:cs="Arial"/>
        </w:rPr>
        <w:t xml:space="preserve">it </w:t>
      </w:r>
      <w:r w:rsidR="00803AD0">
        <w:rPr>
          <w:rFonts w:cs="Arial"/>
        </w:rPr>
        <w:t xml:space="preserve">creates new debt – </w:t>
      </w:r>
      <w:r w:rsidR="00784718">
        <w:rPr>
          <w:rFonts w:cs="Arial"/>
        </w:rPr>
        <w:t>r</w:t>
      </w:r>
      <w:r w:rsidR="00803AD0" w:rsidRPr="00803AD0">
        <w:rPr>
          <w:rFonts w:cs="Arial"/>
        </w:rPr>
        <w:t>ight</w:t>
      </w:r>
      <w:r w:rsidR="00803AD0">
        <w:rPr>
          <w:rFonts w:cs="Arial"/>
        </w:rPr>
        <w:t xml:space="preserve"> to make award order of court – </w:t>
      </w:r>
      <w:r w:rsidR="00784718">
        <w:rPr>
          <w:rFonts w:cs="Arial"/>
        </w:rPr>
        <w:t>w</w:t>
      </w:r>
      <w:r w:rsidR="00803AD0" w:rsidRPr="00803AD0">
        <w:rPr>
          <w:rFonts w:cs="Arial"/>
        </w:rPr>
        <w:t>hether</w:t>
      </w:r>
      <w:r w:rsidR="00803AD0">
        <w:rPr>
          <w:rFonts w:cs="Arial"/>
        </w:rPr>
        <w:t xml:space="preserve"> </w:t>
      </w:r>
      <w:r w:rsidR="0007519F">
        <w:rPr>
          <w:rFonts w:cs="Arial"/>
        </w:rPr>
        <w:t xml:space="preserve">‘judgment debt’ or </w:t>
      </w:r>
      <w:r w:rsidR="00784718">
        <w:rPr>
          <w:rFonts w:cs="Arial"/>
        </w:rPr>
        <w:t>‘debt’ in P</w:t>
      </w:r>
      <w:r w:rsidR="00803AD0">
        <w:rPr>
          <w:rFonts w:cs="Arial"/>
        </w:rPr>
        <w:t xml:space="preserve">rescription Act – </w:t>
      </w:r>
      <w:r w:rsidR="00784718">
        <w:rPr>
          <w:rFonts w:cs="Arial"/>
        </w:rPr>
        <w:t>a</w:t>
      </w:r>
      <w:r w:rsidR="00803AD0" w:rsidRPr="00803AD0">
        <w:rPr>
          <w:rFonts w:cs="Arial"/>
        </w:rPr>
        <w:t xml:space="preserve">n </w:t>
      </w:r>
      <w:r w:rsidR="00803AD0" w:rsidRPr="00803AD0">
        <w:rPr>
          <w:rFonts w:cs="Arial"/>
        </w:rPr>
        <w:lastRenderedPageBreak/>
        <w:t xml:space="preserve">arbitration award does not create a new debt: it merely affirms </w:t>
      </w:r>
      <w:r w:rsidR="00784718">
        <w:rPr>
          <w:rFonts w:cs="Arial"/>
        </w:rPr>
        <w:t xml:space="preserve">and/or liquidates </w:t>
      </w:r>
      <w:r w:rsidR="00803AD0" w:rsidRPr="00803AD0">
        <w:rPr>
          <w:rFonts w:cs="Arial"/>
        </w:rPr>
        <w:t>the existing debt that was in dispute</w:t>
      </w:r>
      <w:r w:rsidR="001D51B5">
        <w:rPr>
          <w:rFonts w:cs="Arial"/>
        </w:rPr>
        <w:t xml:space="preserve"> – </w:t>
      </w:r>
      <w:r w:rsidR="00784718">
        <w:rPr>
          <w:rFonts w:cs="Arial"/>
        </w:rPr>
        <w:t xml:space="preserve">applicable period of prescription based on ‘debt’ underlying the arbitration award (three years) – arbitration delays completion of period of prescription in terms of s 13(1) </w:t>
      </w:r>
      <w:r w:rsidR="001B7F09">
        <w:rPr>
          <w:rFonts w:cs="Arial"/>
        </w:rPr>
        <w:t xml:space="preserve">– </w:t>
      </w:r>
      <w:r w:rsidR="001D51B5">
        <w:rPr>
          <w:rFonts w:cs="Arial"/>
        </w:rPr>
        <w:t>review</w:t>
      </w:r>
      <w:r w:rsidR="001B7F09">
        <w:rPr>
          <w:rFonts w:cs="Arial"/>
        </w:rPr>
        <w:t xml:space="preserve"> </w:t>
      </w:r>
      <w:r w:rsidR="001D51B5">
        <w:rPr>
          <w:rFonts w:cs="Arial"/>
        </w:rPr>
        <w:t>application to set aside Arbitrator’s award does not delay completion of period of prescription – section</w:t>
      </w:r>
      <w:r w:rsidR="001B7F09">
        <w:rPr>
          <w:rFonts w:cs="Arial"/>
        </w:rPr>
        <w:t xml:space="preserve"> 13(1</w:t>
      </w:r>
      <w:bookmarkStart w:id="0" w:name="_GoBack"/>
      <w:bookmarkEnd w:id="0"/>
      <w:r w:rsidR="001B7F09">
        <w:rPr>
          <w:rFonts w:cs="Arial"/>
        </w:rPr>
        <w:t xml:space="preserve">) of the Prescription Act – applicant’s claim prescribed – therefore dismissed. </w:t>
      </w:r>
    </w:p>
    <w:p w:rsidR="00DA3FFC" w:rsidRPr="00DA3FFC" w:rsidRDefault="00DA3FFC" w:rsidP="00C876B8">
      <w:pPr>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rsidR="002C1A39" w:rsidRPr="002C1A39" w:rsidRDefault="0079222A" w:rsidP="0079222A">
      <w:pPr>
        <w:spacing w:after="240" w:line="360" w:lineRule="auto"/>
        <w:ind w:left="567" w:hanging="567"/>
        <w:jc w:val="both"/>
        <w:outlineLvl w:val="0"/>
        <w:rPr>
          <w:rFonts w:cs="Arial"/>
        </w:rPr>
      </w:pPr>
      <w:r w:rsidRPr="002C1A39">
        <w:t>(1)</w:t>
      </w:r>
      <w:r w:rsidRPr="002C1A39">
        <w:tab/>
      </w:r>
      <w:r w:rsidR="002C1A39" w:rsidRPr="002C1A39">
        <w:rPr>
          <w:rFonts w:cs="Arial"/>
          <w:lang w:val="en-US"/>
        </w:rPr>
        <w:t>The applicant’s application in terms of section 31(1) of the Arbitration Act, Act 42 of 1965, be and is hereby dismissed with costs.</w:t>
      </w:r>
    </w:p>
    <w:p w:rsidR="009314F3" w:rsidRPr="00A84826" w:rsidRDefault="00F86558" w:rsidP="005E4696">
      <w:pPr>
        <w:pStyle w:val="LegalTramLines"/>
        <w:keepNext/>
        <w:spacing w:after="240"/>
      </w:pPr>
      <w:r>
        <w:t xml:space="preserve">JUDGMENT </w:t>
      </w:r>
    </w:p>
    <w:p w:rsidR="00D63801" w:rsidRPr="009D5EA2" w:rsidRDefault="009D5EA2" w:rsidP="009D5EA2">
      <w:pPr>
        <w:pStyle w:val="LegalMAINHEADING"/>
        <w:spacing w:before="0" w:after="120" w:line="360" w:lineRule="auto"/>
      </w:pPr>
      <w:r w:rsidRPr="009D5EA2">
        <w:rPr>
          <w:caps w:val="0"/>
        </w:rPr>
        <w:t>Adams J:</w:t>
      </w:r>
    </w:p>
    <w:p w:rsidR="00F01EDB" w:rsidRDefault="0079222A" w:rsidP="0079222A">
      <w:pPr>
        <w:pStyle w:val="LegalList1"/>
        <w:numPr>
          <w:ilvl w:val="0"/>
          <w:numId w:val="0"/>
        </w:numPr>
        <w:spacing w:after="120" w:line="360" w:lineRule="auto"/>
        <w:rPr>
          <w:color w:val="000000"/>
        </w:rPr>
      </w:pPr>
      <w:r>
        <w:rPr>
          <w:color w:val="000000"/>
        </w:rPr>
        <w:t>[1].</w:t>
      </w:r>
      <w:r>
        <w:rPr>
          <w:color w:val="000000"/>
        </w:rPr>
        <w:tab/>
      </w:r>
      <w:r w:rsidR="00582BAE" w:rsidRPr="00582BAE">
        <w:rPr>
          <w:color w:val="000000"/>
        </w:rPr>
        <w:t xml:space="preserve">In terms of </w:t>
      </w:r>
      <w:r w:rsidR="00582BAE">
        <w:rPr>
          <w:color w:val="000000"/>
        </w:rPr>
        <w:t>its</w:t>
      </w:r>
      <w:r w:rsidR="00582BAE" w:rsidRPr="00582BAE">
        <w:rPr>
          <w:color w:val="000000"/>
        </w:rPr>
        <w:t xml:space="preserve"> notice of motion dated </w:t>
      </w:r>
      <w:r w:rsidR="00582BAE">
        <w:rPr>
          <w:color w:val="000000"/>
        </w:rPr>
        <w:t>10</w:t>
      </w:r>
      <w:r w:rsidR="00582BAE" w:rsidRPr="00582BAE">
        <w:rPr>
          <w:color w:val="000000"/>
        </w:rPr>
        <w:t xml:space="preserve"> </w:t>
      </w:r>
      <w:r w:rsidR="00582BAE">
        <w:rPr>
          <w:color w:val="000000"/>
        </w:rPr>
        <w:t>September</w:t>
      </w:r>
      <w:r w:rsidR="00582BAE" w:rsidRPr="00582BAE">
        <w:rPr>
          <w:color w:val="000000"/>
        </w:rPr>
        <w:t xml:space="preserve"> </w:t>
      </w:r>
      <w:r w:rsidR="00582BAE">
        <w:rPr>
          <w:color w:val="000000"/>
        </w:rPr>
        <w:t>2020,</w:t>
      </w:r>
      <w:r w:rsidR="00582BAE" w:rsidRPr="00582BAE">
        <w:rPr>
          <w:color w:val="000000"/>
        </w:rPr>
        <w:t xml:space="preserve"> the applicant </w:t>
      </w:r>
      <w:r w:rsidR="00582BAE">
        <w:rPr>
          <w:color w:val="000000"/>
        </w:rPr>
        <w:t>(</w:t>
      </w:r>
      <w:proofErr w:type="spellStart"/>
      <w:r w:rsidR="00582BAE">
        <w:rPr>
          <w:color w:val="000000"/>
        </w:rPr>
        <w:t>Matatiele</w:t>
      </w:r>
      <w:proofErr w:type="spellEnd"/>
      <w:r w:rsidR="00582BAE">
        <w:rPr>
          <w:color w:val="000000"/>
        </w:rPr>
        <w:t xml:space="preserve"> Local </w:t>
      </w:r>
      <w:r w:rsidR="008672A9">
        <w:rPr>
          <w:color w:val="000000"/>
        </w:rPr>
        <w:t>Municipality or the Municipality</w:t>
      </w:r>
      <w:r w:rsidR="00582BAE">
        <w:rPr>
          <w:color w:val="000000"/>
        </w:rPr>
        <w:t xml:space="preserve">) </w:t>
      </w:r>
      <w:r w:rsidR="00582BAE" w:rsidRPr="00582BAE">
        <w:rPr>
          <w:color w:val="000000"/>
        </w:rPr>
        <w:t xml:space="preserve">seeks an order to have an arbitration award of </w:t>
      </w:r>
      <w:r w:rsidR="00582BAE">
        <w:rPr>
          <w:color w:val="000000"/>
        </w:rPr>
        <w:t>3</w:t>
      </w:r>
      <w:r w:rsidR="00F01EDB">
        <w:rPr>
          <w:color w:val="000000"/>
        </w:rPr>
        <w:t> </w:t>
      </w:r>
      <w:r w:rsidR="00582BAE">
        <w:rPr>
          <w:color w:val="000000"/>
        </w:rPr>
        <w:t>October</w:t>
      </w:r>
      <w:r w:rsidR="00582BAE" w:rsidRPr="00582BAE">
        <w:rPr>
          <w:color w:val="000000"/>
        </w:rPr>
        <w:t xml:space="preserve"> </w:t>
      </w:r>
      <w:r w:rsidR="00582BAE">
        <w:rPr>
          <w:color w:val="000000"/>
        </w:rPr>
        <w:t>2017</w:t>
      </w:r>
      <w:r w:rsidR="00582BAE" w:rsidRPr="00582BAE">
        <w:rPr>
          <w:color w:val="000000"/>
        </w:rPr>
        <w:t xml:space="preserve"> made an order of Court. </w:t>
      </w:r>
      <w:r w:rsidR="00582BAE">
        <w:rPr>
          <w:color w:val="000000"/>
        </w:rPr>
        <w:t>The application was served on 9 October 2020 on t</w:t>
      </w:r>
      <w:r w:rsidR="00582BAE" w:rsidRPr="00582BAE">
        <w:rPr>
          <w:color w:val="000000"/>
        </w:rPr>
        <w:t>he respondent</w:t>
      </w:r>
      <w:r w:rsidR="00582BAE">
        <w:rPr>
          <w:color w:val="000000"/>
        </w:rPr>
        <w:t xml:space="preserve"> (</w:t>
      </w:r>
      <w:proofErr w:type="spellStart"/>
      <w:r w:rsidR="00582BAE">
        <w:rPr>
          <w:color w:val="000000"/>
        </w:rPr>
        <w:t>Lubbe</w:t>
      </w:r>
      <w:proofErr w:type="spellEnd"/>
      <w:r w:rsidR="00582BAE">
        <w:rPr>
          <w:color w:val="000000"/>
        </w:rPr>
        <w:t xml:space="preserve"> Construction</w:t>
      </w:r>
      <w:r w:rsidR="0007519F">
        <w:rPr>
          <w:color w:val="000000"/>
        </w:rPr>
        <w:t xml:space="preserve"> or </w:t>
      </w:r>
      <w:proofErr w:type="spellStart"/>
      <w:r w:rsidR="0007519F">
        <w:rPr>
          <w:color w:val="000000"/>
        </w:rPr>
        <w:t>Lubbe</w:t>
      </w:r>
      <w:proofErr w:type="spellEnd"/>
      <w:r w:rsidR="00582BAE">
        <w:rPr>
          <w:color w:val="000000"/>
        </w:rPr>
        <w:t xml:space="preserve">), who </w:t>
      </w:r>
      <w:r w:rsidR="00582BAE" w:rsidRPr="00582BAE">
        <w:rPr>
          <w:color w:val="000000"/>
        </w:rPr>
        <w:t xml:space="preserve">reacted thereto </w:t>
      </w:r>
      <w:r w:rsidR="00F01EDB">
        <w:rPr>
          <w:color w:val="000000"/>
        </w:rPr>
        <w:t>in its answering affidavit</w:t>
      </w:r>
      <w:r w:rsidR="00582BAE" w:rsidRPr="00582BAE">
        <w:rPr>
          <w:color w:val="000000"/>
        </w:rPr>
        <w:t xml:space="preserve">, which is dated </w:t>
      </w:r>
      <w:r w:rsidR="00F01EDB">
        <w:rPr>
          <w:color w:val="000000"/>
        </w:rPr>
        <w:t>6</w:t>
      </w:r>
      <w:r w:rsidR="00582BAE" w:rsidRPr="00582BAE">
        <w:rPr>
          <w:color w:val="000000"/>
        </w:rPr>
        <w:t xml:space="preserve"> </w:t>
      </w:r>
      <w:r w:rsidR="00F01EDB">
        <w:rPr>
          <w:color w:val="000000"/>
        </w:rPr>
        <w:t>November</w:t>
      </w:r>
      <w:r w:rsidR="00582BAE" w:rsidRPr="00582BAE">
        <w:rPr>
          <w:color w:val="000000"/>
        </w:rPr>
        <w:t xml:space="preserve"> </w:t>
      </w:r>
      <w:r w:rsidR="00F01EDB">
        <w:rPr>
          <w:color w:val="000000"/>
        </w:rPr>
        <w:t>2020</w:t>
      </w:r>
      <w:r w:rsidR="00582BAE" w:rsidRPr="00582BAE">
        <w:rPr>
          <w:color w:val="000000"/>
        </w:rPr>
        <w:t xml:space="preserve">. </w:t>
      </w:r>
      <w:r w:rsidR="00F01EDB">
        <w:rPr>
          <w:color w:val="000000"/>
        </w:rPr>
        <w:t xml:space="preserve">The </w:t>
      </w:r>
      <w:r w:rsidR="00582BAE" w:rsidRPr="00582BAE">
        <w:rPr>
          <w:color w:val="000000"/>
        </w:rPr>
        <w:t xml:space="preserve">main complaint </w:t>
      </w:r>
      <w:r w:rsidR="00F01EDB">
        <w:rPr>
          <w:color w:val="000000"/>
        </w:rPr>
        <w:t xml:space="preserve">of </w:t>
      </w:r>
      <w:proofErr w:type="spellStart"/>
      <w:r w:rsidR="00F01EDB">
        <w:rPr>
          <w:color w:val="000000"/>
        </w:rPr>
        <w:t>Lubbe</w:t>
      </w:r>
      <w:proofErr w:type="spellEnd"/>
      <w:r w:rsidR="00F01EDB">
        <w:rPr>
          <w:color w:val="000000"/>
        </w:rPr>
        <w:t xml:space="preserve"> Construction is that </w:t>
      </w:r>
      <w:r w:rsidR="00582BAE" w:rsidRPr="00582BAE">
        <w:rPr>
          <w:color w:val="000000"/>
        </w:rPr>
        <w:t xml:space="preserve">the award ordering </w:t>
      </w:r>
      <w:r w:rsidR="00F01EDB">
        <w:rPr>
          <w:color w:val="000000"/>
        </w:rPr>
        <w:t xml:space="preserve">it </w:t>
      </w:r>
      <w:r w:rsidR="00582BAE" w:rsidRPr="00582BAE">
        <w:rPr>
          <w:color w:val="000000"/>
        </w:rPr>
        <w:t>to pay</w:t>
      </w:r>
      <w:r w:rsidR="00F01EDB">
        <w:rPr>
          <w:color w:val="000000"/>
        </w:rPr>
        <w:t xml:space="preserve"> to the </w:t>
      </w:r>
      <w:proofErr w:type="spellStart"/>
      <w:r w:rsidR="00F01EDB">
        <w:rPr>
          <w:color w:val="000000"/>
        </w:rPr>
        <w:t>Matatiele</w:t>
      </w:r>
      <w:proofErr w:type="spellEnd"/>
      <w:r w:rsidR="00F01EDB">
        <w:rPr>
          <w:color w:val="000000"/>
        </w:rPr>
        <w:t xml:space="preserve"> Local </w:t>
      </w:r>
      <w:r w:rsidR="008672A9">
        <w:rPr>
          <w:color w:val="000000"/>
        </w:rPr>
        <w:t>Municipality</w:t>
      </w:r>
      <w:r w:rsidR="00F01EDB">
        <w:rPr>
          <w:color w:val="000000"/>
        </w:rPr>
        <w:t xml:space="preserve"> </w:t>
      </w:r>
      <w:r w:rsidR="00582BAE" w:rsidRPr="00582BAE">
        <w:rPr>
          <w:color w:val="000000"/>
        </w:rPr>
        <w:t xml:space="preserve">an amount of </w:t>
      </w:r>
      <w:r w:rsidR="00F01EDB" w:rsidRPr="00C876B8">
        <w:rPr>
          <w:rFonts w:cs="Arial"/>
          <w:lang w:val="en-US"/>
        </w:rPr>
        <w:t>R22 173 329.31</w:t>
      </w:r>
      <w:r w:rsidR="00F01EDB">
        <w:rPr>
          <w:rFonts w:cs="Arial"/>
          <w:lang w:val="en-US"/>
        </w:rPr>
        <w:t>,</w:t>
      </w:r>
      <w:r w:rsidR="00582BAE" w:rsidRPr="00582BAE">
        <w:rPr>
          <w:color w:val="000000"/>
        </w:rPr>
        <w:t xml:space="preserve"> with interest and costs</w:t>
      </w:r>
      <w:r w:rsidR="00723995">
        <w:rPr>
          <w:color w:val="000000"/>
        </w:rPr>
        <w:t xml:space="preserve">, is a debt, </w:t>
      </w:r>
      <w:r w:rsidR="009E687E">
        <w:rPr>
          <w:color w:val="000000"/>
        </w:rPr>
        <w:t xml:space="preserve">which </w:t>
      </w:r>
      <w:r w:rsidR="00723995">
        <w:rPr>
          <w:color w:val="000000"/>
        </w:rPr>
        <w:t xml:space="preserve">has become prescribed in terms of the Prescription Act </w:t>
      </w:r>
      <w:r w:rsidR="00723995" w:rsidRPr="00723995">
        <w:rPr>
          <w:color w:val="000000"/>
        </w:rPr>
        <w:t>68 of 1969</w:t>
      </w:r>
      <w:r w:rsidR="00723995">
        <w:rPr>
          <w:color w:val="000000"/>
        </w:rPr>
        <w:t xml:space="preserve"> (the Prescription Act).</w:t>
      </w:r>
    </w:p>
    <w:p w:rsidR="000D393A" w:rsidRDefault="0079222A" w:rsidP="0079222A">
      <w:pPr>
        <w:pStyle w:val="LegalList1"/>
        <w:numPr>
          <w:ilvl w:val="0"/>
          <w:numId w:val="0"/>
        </w:numPr>
        <w:spacing w:after="120" w:line="360" w:lineRule="auto"/>
        <w:rPr>
          <w:color w:val="000000"/>
        </w:rPr>
      </w:pPr>
      <w:r>
        <w:rPr>
          <w:color w:val="000000"/>
        </w:rPr>
        <w:t>[2].</w:t>
      </w:r>
      <w:r>
        <w:rPr>
          <w:color w:val="000000"/>
        </w:rPr>
        <w:tab/>
      </w:r>
      <w:r w:rsidR="000D393A">
        <w:rPr>
          <w:color w:val="000000"/>
        </w:rPr>
        <w:t xml:space="preserve">The arbitration award was based on a written </w:t>
      </w:r>
      <w:r w:rsidR="00A17F08">
        <w:rPr>
          <w:color w:val="000000"/>
        </w:rPr>
        <w:t xml:space="preserve">construction </w:t>
      </w:r>
      <w:r w:rsidR="000D393A">
        <w:rPr>
          <w:color w:val="000000"/>
        </w:rPr>
        <w:t>agreement concluded between the parties on 21</w:t>
      </w:r>
      <w:r w:rsidR="000D393A" w:rsidRPr="000D393A">
        <w:rPr>
          <w:color w:val="000000"/>
        </w:rPr>
        <w:t xml:space="preserve"> August 2014</w:t>
      </w:r>
      <w:r w:rsidR="000D393A">
        <w:rPr>
          <w:color w:val="000000"/>
        </w:rPr>
        <w:t xml:space="preserve"> </w:t>
      </w:r>
      <w:r w:rsidR="000D393A" w:rsidRPr="000D393A">
        <w:rPr>
          <w:color w:val="000000"/>
        </w:rPr>
        <w:t xml:space="preserve">for the construction of municipal offices and council chambers in the town of </w:t>
      </w:r>
      <w:proofErr w:type="spellStart"/>
      <w:r w:rsidR="000D393A" w:rsidRPr="000D393A">
        <w:rPr>
          <w:color w:val="000000"/>
        </w:rPr>
        <w:t>Matatiele</w:t>
      </w:r>
      <w:proofErr w:type="spellEnd"/>
      <w:r w:rsidR="000D393A" w:rsidRPr="000D393A">
        <w:rPr>
          <w:color w:val="000000"/>
        </w:rPr>
        <w:t xml:space="preserve"> in the Eastern Cape</w:t>
      </w:r>
      <w:r w:rsidR="000D393A">
        <w:rPr>
          <w:color w:val="000000"/>
        </w:rPr>
        <w:t>.</w:t>
      </w:r>
      <w:r w:rsidR="00DD0B56">
        <w:rPr>
          <w:color w:val="000000"/>
        </w:rPr>
        <w:t xml:space="preserve"> Because of material breaches by </w:t>
      </w:r>
      <w:proofErr w:type="spellStart"/>
      <w:r w:rsidR="00DD0B56">
        <w:rPr>
          <w:color w:val="000000"/>
        </w:rPr>
        <w:t>Lubbe</w:t>
      </w:r>
      <w:proofErr w:type="spellEnd"/>
      <w:r w:rsidR="00DD0B56">
        <w:rPr>
          <w:color w:val="000000"/>
        </w:rPr>
        <w:t xml:space="preserve"> Construction of the agreement, the </w:t>
      </w:r>
      <w:proofErr w:type="spellStart"/>
      <w:r w:rsidR="00DD0B56">
        <w:rPr>
          <w:color w:val="000000"/>
        </w:rPr>
        <w:t>Matatiele</w:t>
      </w:r>
      <w:proofErr w:type="spellEnd"/>
      <w:r w:rsidR="00DD0B56">
        <w:rPr>
          <w:color w:val="000000"/>
        </w:rPr>
        <w:t xml:space="preserve"> Local </w:t>
      </w:r>
      <w:r w:rsidR="008672A9">
        <w:rPr>
          <w:color w:val="000000"/>
        </w:rPr>
        <w:t>Municipality</w:t>
      </w:r>
      <w:r w:rsidR="00DD0B56">
        <w:rPr>
          <w:color w:val="000000"/>
        </w:rPr>
        <w:t xml:space="preserve">, by written notice to </w:t>
      </w:r>
      <w:proofErr w:type="spellStart"/>
      <w:r w:rsidR="00DD0B56">
        <w:rPr>
          <w:color w:val="000000"/>
        </w:rPr>
        <w:t>Lubbe</w:t>
      </w:r>
      <w:proofErr w:type="spellEnd"/>
      <w:r w:rsidR="00DD0B56">
        <w:rPr>
          <w:color w:val="000000"/>
        </w:rPr>
        <w:t xml:space="preserve"> Construction, lawfully </w:t>
      </w:r>
      <w:r w:rsidR="00DD0B56">
        <w:rPr>
          <w:color w:val="000000"/>
        </w:rPr>
        <w:lastRenderedPageBreak/>
        <w:t xml:space="preserve">cancelled the agreement on 01 July 2016 and claimed damages from the construction </w:t>
      </w:r>
      <w:r w:rsidR="00A17F08">
        <w:rPr>
          <w:color w:val="000000"/>
        </w:rPr>
        <w:t xml:space="preserve">company </w:t>
      </w:r>
      <w:r w:rsidR="0007519F">
        <w:rPr>
          <w:color w:val="000000"/>
        </w:rPr>
        <w:t xml:space="preserve">allegedly arising from </w:t>
      </w:r>
      <w:r w:rsidR="00DD0B56">
        <w:rPr>
          <w:color w:val="000000"/>
        </w:rPr>
        <w:t>its material breaches of the agreement. It is this claim for damages which formed the subject of the arbitration proceedings which were in</w:t>
      </w:r>
      <w:r w:rsidR="00E84E49">
        <w:rPr>
          <w:color w:val="000000"/>
        </w:rPr>
        <w:t>stituted during November 2016 by agreement between and at the behest of both parties. The hearing of the arbitration proceeded before the Arbitrator on 5 June 2017, and, as already indicated, the arbitration award, although dated 14 July 2017, was onl</w:t>
      </w:r>
      <w:r w:rsidR="00A17F08">
        <w:rPr>
          <w:color w:val="000000"/>
        </w:rPr>
        <w:t xml:space="preserve">y published on 3 October 2017. A subsequent application by </w:t>
      </w:r>
      <w:proofErr w:type="spellStart"/>
      <w:r w:rsidR="00A17F08">
        <w:rPr>
          <w:color w:val="000000"/>
        </w:rPr>
        <w:t>Lubbe</w:t>
      </w:r>
      <w:proofErr w:type="spellEnd"/>
      <w:r w:rsidR="00A17F08">
        <w:rPr>
          <w:color w:val="000000"/>
        </w:rPr>
        <w:t xml:space="preserve"> Construction for the review and </w:t>
      </w:r>
      <w:r w:rsidR="0007519F">
        <w:rPr>
          <w:color w:val="000000"/>
        </w:rPr>
        <w:t xml:space="preserve">the </w:t>
      </w:r>
      <w:r w:rsidR="00A17F08">
        <w:rPr>
          <w:color w:val="000000"/>
        </w:rPr>
        <w:t xml:space="preserve">setting aside of the Arbitrator’s award was dismissed on 23 April 2020 by this Court (per </w:t>
      </w:r>
      <w:proofErr w:type="spellStart"/>
      <w:r w:rsidR="00A17F08">
        <w:rPr>
          <w:color w:val="000000"/>
        </w:rPr>
        <w:t>Vally</w:t>
      </w:r>
      <w:proofErr w:type="spellEnd"/>
      <w:r w:rsidR="00A17F08">
        <w:rPr>
          <w:color w:val="000000"/>
        </w:rPr>
        <w:t xml:space="preserve"> J). </w:t>
      </w:r>
    </w:p>
    <w:p w:rsidR="00251370" w:rsidRDefault="0079222A" w:rsidP="0079222A">
      <w:pPr>
        <w:pStyle w:val="LegalList1"/>
        <w:numPr>
          <w:ilvl w:val="0"/>
          <w:numId w:val="0"/>
        </w:numPr>
        <w:spacing w:after="120" w:line="360" w:lineRule="auto"/>
        <w:rPr>
          <w:color w:val="000000"/>
        </w:rPr>
      </w:pPr>
      <w:r>
        <w:rPr>
          <w:color w:val="000000"/>
        </w:rPr>
        <w:t>[3].</w:t>
      </w:r>
      <w:r>
        <w:rPr>
          <w:color w:val="000000"/>
        </w:rPr>
        <w:tab/>
      </w:r>
      <w:r w:rsidR="00A17F08">
        <w:rPr>
          <w:color w:val="000000"/>
        </w:rPr>
        <w:t xml:space="preserve">The question to be answered in this opposed application is whether the </w:t>
      </w:r>
      <w:proofErr w:type="spellStart"/>
      <w:r w:rsidR="00A17F08">
        <w:rPr>
          <w:color w:val="000000"/>
        </w:rPr>
        <w:t>Matatiele</w:t>
      </w:r>
      <w:proofErr w:type="spellEnd"/>
      <w:r w:rsidR="00A17F08">
        <w:rPr>
          <w:color w:val="000000"/>
        </w:rPr>
        <w:t xml:space="preserve"> Local </w:t>
      </w:r>
      <w:r w:rsidR="008672A9">
        <w:rPr>
          <w:color w:val="000000"/>
        </w:rPr>
        <w:t>Municipality’s</w:t>
      </w:r>
      <w:r w:rsidR="00A17F08">
        <w:rPr>
          <w:color w:val="000000"/>
        </w:rPr>
        <w:t xml:space="preserve"> claim to have the arbitration award made an order of this Court, has prescribed. The applicable legal principles relating to this issue</w:t>
      </w:r>
      <w:r w:rsidR="0007519F">
        <w:rPr>
          <w:color w:val="000000"/>
        </w:rPr>
        <w:t xml:space="preserve"> – harsh as they may seem – </w:t>
      </w:r>
      <w:r w:rsidR="00A17F08">
        <w:rPr>
          <w:color w:val="000000"/>
        </w:rPr>
        <w:t>are</w:t>
      </w:r>
      <w:r w:rsidR="0007519F">
        <w:rPr>
          <w:color w:val="000000"/>
        </w:rPr>
        <w:t xml:space="preserve"> </w:t>
      </w:r>
      <w:r w:rsidR="00A17F08">
        <w:rPr>
          <w:color w:val="000000"/>
        </w:rPr>
        <w:t xml:space="preserve">fairly settled. They are regulated by the </w:t>
      </w:r>
      <w:r w:rsidR="00251370">
        <w:rPr>
          <w:color w:val="000000"/>
        </w:rPr>
        <w:t xml:space="preserve">provisions of </w:t>
      </w:r>
      <w:r w:rsidR="008672A9">
        <w:rPr>
          <w:color w:val="000000"/>
        </w:rPr>
        <w:t xml:space="preserve">the </w:t>
      </w:r>
      <w:r w:rsidR="00251370">
        <w:rPr>
          <w:color w:val="000000"/>
        </w:rPr>
        <w:t xml:space="preserve">Prescription Act and the Arbitration Act </w:t>
      </w:r>
      <w:r w:rsidR="00251370" w:rsidRPr="00251370">
        <w:rPr>
          <w:color w:val="000000"/>
        </w:rPr>
        <w:t>42 of 1965</w:t>
      </w:r>
      <w:r w:rsidR="00251370">
        <w:rPr>
          <w:color w:val="000000"/>
        </w:rPr>
        <w:t xml:space="preserve"> (the Arbitration Act). As already indicated, </w:t>
      </w:r>
      <w:r w:rsidR="0007519F">
        <w:rPr>
          <w:color w:val="000000"/>
        </w:rPr>
        <w:t xml:space="preserve">in this application, </w:t>
      </w:r>
      <w:proofErr w:type="spellStart"/>
      <w:r w:rsidR="00251370">
        <w:rPr>
          <w:color w:val="000000"/>
        </w:rPr>
        <w:t>Lubbe</w:t>
      </w:r>
      <w:proofErr w:type="spellEnd"/>
      <w:r w:rsidR="00251370">
        <w:rPr>
          <w:color w:val="000000"/>
        </w:rPr>
        <w:t xml:space="preserve"> Construction raises the defence of prescription and contends that the claim by the Municipality has become prescribed in terms of s 15 (3) of the Prescription Act. </w:t>
      </w:r>
      <w:r w:rsidR="0095667F" w:rsidRPr="00251370">
        <w:rPr>
          <w:color w:val="000000"/>
        </w:rPr>
        <w:t xml:space="preserve">The </w:t>
      </w:r>
      <w:proofErr w:type="spellStart"/>
      <w:r w:rsidR="00251370">
        <w:rPr>
          <w:color w:val="000000"/>
        </w:rPr>
        <w:t>Matatiele</w:t>
      </w:r>
      <w:proofErr w:type="spellEnd"/>
      <w:r w:rsidR="00251370">
        <w:rPr>
          <w:color w:val="000000"/>
        </w:rPr>
        <w:t xml:space="preserve"> Local Authority submits that this defence is bad in law and should be rejected.</w:t>
      </w:r>
    </w:p>
    <w:p w:rsidR="00251370" w:rsidRDefault="0079222A" w:rsidP="0079222A">
      <w:pPr>
        <w:pStyle w:val="LegalList1"/>
        <w:numPr>
          <w:ilvl w:val="0"/>
          <w:numId w:val="0"/>
        </w:numPr>
        <w:spacing w:after="0" w:line="360" w:lineRule="auto"/>
        <w:rPr>
          <w:color w:val="000000"/>
        </w:rPr>
      </w:pPr>
      <w:r>
        <w:rPr>
          <w:color w:val="000000"/>
        </w:rPr>
        <w:t>[4].</w:t>
      </w:r>
      <w:r>
        <w:rPr>
          <w:color w:val="000000"/>
        </w:rPr>
        <w:tab/>
      </w:r>
      <w:r w:rsidR="00251370">
        <w:rPr>
          <w:color w:val="000000"/>
        </w:rPr>
        <w:t>S</w:t>
      </w:r>
      <w:r w:rsidR="0095667F" w:rsidRPr="004A0BBB">
        <w:rPr>
          <w:color w:val="000000"/>
        </w:rPr>
        <w:t xml:space="preserve">ection 31(1) of the Arbitration Act, which provides </w:t>
      </w:r>
      <w:r w:rsidR="00251370">
        <w:rPr>
          <w:color w:val="000000"/>
        </w:rPr>
        <w:t>that an arbitral award can be made an order of Court</w:t>
      </w:r>
      <w:r w:rsidR="008672A9">
        <w:rPr>
          <w:color w:val="000000"/>
        </w:rPr>
        <w:t>, reads</w:t>
      </w:r>
      <w:r w:rsidR="00251370">
        <w:rPr>
          <w:color w:val="000000"/>
        </w:rPr>
        <w:t xml:space="preserve"> as follows: -</w:t>
      </w:r>
    </w:p>
    <w:p w:rsidR="0095667F" w:rsidRPr="00251370" w:rsidRDefault="00251370" w:rsidP="00251370">
      <w:pPr>
        <w:pStyle w:val="LegalList1"/>
        <w:numPr>
          <w:ilvl w:val="0"/>
          <w:numId w:val="0"/>
        </w:numPr>
        <w:spacing w:after="120" w:line="360" w:lineRule="auto"/>
        <w:rPr>
          <w:color w:val="000000"/>
          <w:sz w:val="22"/>
          <w:szCs w:val="22"/>
        </w:rPr>
      </w:pPr>
      <w:r w:rsidRPr="00251370">
        <w:rPr>
          <w:color w:val="000000"/>
          <w:sz w:val="22"/>
          <w:szCs w:val="22"/>
        </w:rPr>
        <w:t>‘</w:t>
      </w:r>
      <w:r w:rsidR="0095667F" w:rsidRPr="00251370">
        <w:rPr>
          <w:color w:val="000000"/>
          <w:sz w:val="22"/>
          <w:szCs w:val="22"/>
        </w:rPr>
        <w:t xml:space="preserve">An award may, on the application to a court of competent jurisdiction by any party to the reference after due notice to the other party or parties, be made an order </w:t>
      </w:r>
      <w:r w:rsidRPr="00251370">
        <w:rPr>
          <w:color w:val="000000"/>
          <w:sz w:val="22"/>
          <w:szCs w:val="22"/>
        </w:rPr>
        <w:t>of court.’</w:t>
      </w:r>
    </w:p>
    <w:p w:rsidR="00606321" w:rsidRDefault="0079222A" w:rsidP="0079222A">
      <w:pPr>
        <w:pStyle w:val="LegalList1"/>
        <w:numPr>
          <w:ilvl w:val="0"/>
          <w:numId w:val="0"/>
        </w:numPr>
        <w:spacing w:after="0" w:line="360" w:lineRule="auto"/>
        <w:rPr>
          <w:color w:val="000000"/>
        </w:rPr>
      </w:pPr>
      <w:r>
        <w:rPr>
          <w:color w:val="000000"/>
        </w:rPr>
        <w:t>[5].</w:t>
      </w:r>
      <w:r>
        <w:rPr>
          <w:color w:val="000000"/>
        </w:rPr>
        <w:tab/>
      </w:r>
      <w:r w:rsidR="002C0326">
        <w:rPr>
          <w:color w:val="000000"/>
        </w:rPr>
        <w:t xml:space="preserve">It may be apposite at this juncture to get out of the way an issue raised by </w:t>
      </w:r>
      <w:proofErr w:type="spellStart"/>
      <w:r w:rsidR="002C0326">
        <w:rPr>
          <w:color w:val="000000"/>
        </w:rPr>
        <w:t>Lubbe</w:t>
      </w:r>
      <w:proofErr w:type="spellEnd"/>
      <w:r w:rsidR="002C0326">
        <w:rPr>
          <w:color w:val="000000"/>
        </w:rPr>
        <w:t xml:space="preserve"> Construction, which is vehemently disputed by the Local Authority. That relates to </w:t>
      </w:r>
      <w:proofErr w:type="spellStart"/>
      <w:r w:rsidR="002C0326">
        <w:rPr>
          <w:color w:val="000000"/>
        </w:rPr>
        <w:t>Lubbe</w:t>
      </w:r>
      <w:proofErr w:type="spellEnd"/>
      <w:r w:rsidR="002C0326">
        <w:rPr>
          <w:color w:val="000000"/>
        </w:rPr>
        <w:t xml:space="preserve"> Construction’s contention that the award by the Arbitrator is a debt. This issue was dealt with authoritatively by the Supreme Court of Appeal in</w:t>
      </w:r>
      <w:r w:rsidR="0095667F" w:rsidRPr="0095667F">
        <w:rPr>
          <w:color w:val="000000"/>
        </w:rPr>
        <w:t xml:space="preserve"> </w:t>
      </w:r>
      <w:r w:rsidR="0095667F" w:rsidRPr="00606321">
        <w:rPr>
          <w:i/>
          <w:color w:val="000000"/>
        </w:rPr>
        <w:t xml:space="preserve">Brompton Court Body Corporate v </w:t>
      </w:r>
      <w:proofErr w:type="spellStart"/>
      <w:r w:rsidR="0095667F" w:rsidRPr="00606321">
        <w:rPr>
          <w:i/>
          <w:color w:val="000000"/>
        </w:rPr>
        <w:t>Khumalo</w:t>
      </w:r>
      <w:proofErr w:type="spellEnd"/>
      <w:r w:rsidR="00606321">
        <w:rPr>
          <w:rStyle w:val="FootnoteReference"/>
          <w:i/>
          <w:color w:val="000000"/>
        </w:rPr>
        <w:footnoteReference w:id="1"/>
      </w:r>
      <w:r w:rsidR="00F37715">
        <w:rPr>
          <w:color w:val="000000"/>
        </w:rPr>
        <w:t xml:space="preserve">, </w:t>
      </w:r>
      <w:r w:rsidR="00606321">
        <w:rPr>
          <w:color w:val="000000"/>
        </w:rPr>
        <w:t>in which Van der Merwe JA held as follows: -</w:t>
      </w:r>
    </w:p>
    <w:p w:rsidR="0095667F" w:rsidRPr="00606321" w:rsidRDefault="00606321" w:rsidP="00606321">
      <w:pPr>
        <w:pStyle w:val="LegalList1"/>
        <w:numPr>
          <w:ilvl w:val="0"/>
          <w:numId w:val="0"/>
        </w:numPr>
        <w:spacing w:after="120" w:line="360" w:lineRule="auto"/>
        <w:rPr>
          <w:color w:val="000000"/>
          <w:sz w:val="22"/>
          <w:szCs w:val="22"/>
        </w:rPr>
      </w:pPr>
      <w:r w:rsidRPr="00606321">
        <w:rPr>
          <w:color w:val="000000"/>
          <w:sz w:val="22"/>
          <w:szCs w:val="22"/>
        </w:rPr>
        <w:lastRenderedPageBreak/>
        <w:t>‘</w:t>
      </w:r>
      <w:r w:rsidR="0095667F" w:rsidRPr="00606321">
        <w:rPr>
          <w:color w:val="000000"/>
          <w:sz w:val="22"/>
          <w:szCs w:val="22"/>
        </w:rPr>
        <w:t>Even a judgment of a court of law generally does not create a new debt. It serves to affirm and/or liquidate an existing debt which was disputed. What the judgment does in relation to prescription of a debt, is to give rise to a new period of prescription of 30 years in terms of s 11(a</w:t>
      </w:r>
      <w:proofErr w:type="gramStart"/>
      <w:r w:rsidR="0095667F" w:rsidRPr="00606321">
        <w:rPr>
          <w:color w:val="000000"/>
          <w:sz w:val="22"/>
          <w:szCs w:val="22"/>
        </w:rPr>
        <w:t>)(</w:t>
      </w:r>
      <w:proofErr w:type="gramEnd"/>
      <w:r w:rsidR="0095667F" w:rsidRPr="00606321">
        <w:rPr>
          <w:color w:val="000000"/>
          <w:sz w:val="22"/>
          <w:szCs w:val="22"/>
        </w:rPr>
        <w:t>ii) of the Act. The same must generally apply to an arbitration award, save that it does not attract a new prescriptive peri</w:t>
      </w:r>
      <w:r w:rsidRPr="00606321">
        <w:rPr>
          <w:color w:val="000000"/>
          <w:sz w:val="22"/>
          <w:szCs w:val="22"/>
        </w:rPr>
        <w:t>od in terms of s 11 of the Act.’</w:t>
      </w:r>
    </w:p>
    <w:p w:rsidR="0095667F" w:rsidRPr="0095667F" w:rsidRDefault="0079222A" w:rsidP="0079222A">
      <w:pPr>
        <w:pStyle w:val="LegalList1"/>
        <w:numPr>
          <w:ilvl w:val="0"/>
          <w:numId w:val="0"/>
        </w:numPr>
        <w:spacing w:after="0" w:line="360" w:lineRule="auto"/>
        <w:rPr>
          <w:color w:val="000000"/>
        </w:rPr>
      </w:pPr>
      <w:r w:rsidRPr="0095667F">
        <w:rPr>
          <w:color w:val="000000"/>
        </w:rPr>
        <w:t>[6].</w:t>
      </w:r>
      <w:r w:rsidRPr="0095667F">
        <w:rPr>
          <w:color w:val="000000"/>
        </w:rPr>
        <w:tab/>
      </w:r>
      <w:r w:rsidR="00606321">
        <w:rPr>
          <w:color w:val="000000"/>
        </w:rPr>
        <w:t xml:space="preserve">It is therefore clear from this judgment that an Arbitrator’s award does not create a new ‘debt’ as envisaged in the Prescription Act. It is simply an affirmation or a liquidation of an existing debt. This much is clear also from a reading of a further extract from </w:t>
      </w:r>
      <w:r w:rsidR="00606321" w:rsidRPr="004E3EFE">
        <w:rPr>
          <w:i/>
          <w:color w:val="000000"/>
        </w:rPr>
        <w:t>Brompton</w:t>
      </w:r>
      <w:r w:rsidR="0007519F">
        <w:rPr>
          <w:i/>
          <w:color w:val="000000"/>
        </w:rPr>
        <w:t>,</w:t>
      </w:r>
      <w:r w:rsidR="00606321">
        <w:rPr>
          <w:color w:val="000000"/>
        </w:rPr>
        <w:t xml:space="preserve"> where Van der Merwe JA has this to say:</w:t>
      </w:r>
    </w:p>
    <w:p w:rsidR="00606321" w:rsidRDefault="00606321" w:rsidP="00606321">
      <w:pPr>
        <w:pStyle w:val="LegalList1"/>
        <w:numPr>
          <w:ilvl w:val="0"/>
          <w:numId w:val="0"/>
        </w:numPr>
        <w:spacing w:after="0" w:line="360" w:lineRule="auto"/>
        <w:rPr>
          <w:color w:val="000000"/>
          <w:sz w:val="22"/>
          <w:szCs w:val="22"/>
        </w:rPr>
      </w:pPr>
      <w:r w:rsidRPr="00606321">
        <w:rPr>
          <w:color w:val="000000"/>
          <w:sz w:val="22"/>
          <w:szCs w:val="22"/>
        </w:rPr>
        <w:t>‘</w:t>
      </w:r>
      <w:r w:rsidR="0095667F" w:rsidRPr="00606321">
        <w:rPr>
          <w:color w:val="000000"/>
          <w:sz w:val="22"/>
          <w:szCs w:val="22"/>
        </w:rPr>
        <w:t xml:space="preserve">I am also unable to agree with the second statement, namely that the claim to make an arbitration award an order of court is a debt that prescribes after three years. A claim that an arbitration award be made an order of court is not a ‘debt’ in terms of the Act. In this regard the Constitutional Court has clearly endorsed the decision of this court in </w:t>
      </w:r>
      <w:r w:rsidR="0095667F" w:rsidRPr="00606321">
        <w:rPr>
          <w:i/>
          <w:color w:val="000000"/>
          <w:sz w:val="22"/>
          <w:szCs w:val="22"/>
        </w:rPr>
        <w:t>Electricity Supply Commission v Stewarts &amp; Lloyds of SA (Pty) Ltd</w:t>
      </w:r>
      <w:r w:rsidR="0095667F" w:rsidRPr="00606321">
        <w:rPr>
          <w:color w:val="000000"/>
          <w:sz w:val="22"/>
          <w:szCs w:val="22"/>
        </w:rPr>
        <w:t xml:space="preserve"> 1981 (3) SA 340 (A) at 344E-G, namely that a debt in terms of the Act is an obligation to pay money, deliver goods or render services</w:t>
      </w:r>
      <w:r w:rsidRPr="00606321">
        <w:rPr>
          <w:color w:val="000000"/>
          <w:sz w:val="22"/>
          <w:szCs w:val="22"/>
        </w:rPr>
        <w:t xml:space="preserve"> </w:t>
      </w:r>
      <w:r w:rsidR="0095667F" w:rsidRPr="00606321">
        <w:rPr>
          <w:color w:val="000000"/>
          <w:sz w:val="22"/>
          <w:szCs w:val="22"/>
        </w:rPr>
        <w:t xml:space="preserve">... </w:t>
      </w:r>
      <w:r w:rsidRPr="00606321">
        <w:rPr>
          <w:color w:val="000000"/>
          <w:sz w:val="22"/>
          <w:szCs w:val="22"/>
        </w:rPr>
        <w:t xml:space="preserve">… </w:t>
      </w:r>
    </w:p>
    <w:p w:rsidR="0095667F" w:rsidRPr="00606321" w:rsidRDefault="0095667F" w:rsidP="00606321">
      <w:pPr>
        <w:pStyle w:val="LegalList1"/>
        <w:numPr>
          <w:ilvl w:val="0"/>
          <w:numId w:val="0"/>
        </w:numPr>
        <w:spacing w:after="120" w:line="360" w:lineRule="auto"/>
        <w:rPr>
          <w:color w:val="000000"/>
          <w:sz w:val="22"/>
          <w:szCs w:val="22"/>
        </w:rPr>
      </w:pPr>
      <w:r w:rsidRPr="00606321">
        <w:rPr>
          <w:color w:val="000000"/>
          <w:sz w:val="22"/>
          <w:szCs w:val="22"/>
        </w:rPr>
        <w:t>The</w:t>
      </w:r>
      <w:r w:rsidR="00606321" w:rsidRPr="00606321">
        <w:rPr>
          <w:color w:val="000000"/>
          <w:sz w:val="22"/>
          <w:szCs w:val="22"/>
        </w:rPr>
        <w:t> </w:t>
      </w:r>
      <w:r w:rsidRPr="00606321">
        <w:rPr>
          <w:color w:val="000000"/>
          <w:sz w:val="22"/>
          <w:szCs w:val="22"/>
        </w:rPr>
        <w:t>appellant’s claim to make the arbitration award an order of court did not require the respondent to perform any obligation at all, let alone one to pay money, deliver goods or render services. The appellant merely employed a statutory remedy available to it. This is not entirely dissimilar to a claim for rectification of a contract, which this cour</w:t>
      </w:r>
      <w:r w:rsidR="0007519F">
        <w:rPr>
          <w:color w:val="000000"/>
          <w:sz w:val="22"/>
          <w:szCs w:val="22"/>
        </w:rPr>
        <w:t>t has held not to constitute a “debt”</w:t>
      </w:r>
      <w:r w:rsidRPr="00606321">
        <w:rPr>
          <w:color w:val="000000"/>
          <w:sz w:val="22"/>
          <w:szCs w:val="22"/>
        </w:rPr>
        <w:t xml:space="preserve"> in t</w:t>
      </w:r>
      <w:r w:rsidR="00606321" w:rsidRPr="00606321">
        <w:rPr>
          <w:color w:val="000000"/>
          <w:sz w:val="22"/>
          <w:szCs w:val="22"/>
        </w:rPr>
        <w:t>erms of the Act.’</w:t>
      </w:r>
    </w:p>
    <w:p w:rsidR="00A97DF8" w:rsidRDefault="0079222A" w:rsidP="0079222A">
      <w:pPr>
        <w:pStyle w:val="LegalList1"/>
        <w:numPr>
          <w:ilvl w:val="0"/>
          <w:numId w:val="0"/>
        </w:numPr>
        <w:spacing w:after="120" w:line="360" w:lineRule="auto"/>
        <w:rPr>
          <w:color w:val="000000"/>
        </w:rPr>
      </w:pPr>
      <w:r>
        <w:rPr>
          <w:color w:val="000000"/>
        </w:rPr>
        <w:t>[7].</w:t>
      </w:r>
      <w:r>
        <w:rPr>
          <w:color w:val="000000"/>
        </w:rPr>
        <w:tab/>
      </w:r>
      <w:r w:rsidR="00A97DF8">
        <w:rPr>
          <w:color w:val="000000"/>
        </w:rPr>
        <w:t xml:space="preserve">I read the </w:t>
      </w:r>
      <w:r w:rsidR="00A97DF8" w:rsidRPr="00A97DF8">
        <w:rPr>
          <w:i/>
          <w:color w:val="000000"/>
        </w:rPr>
        <w:t>Brompton</w:t>
      </w:r>
      <w:r w:rsidR="00A97DF8">
        <w:rPr>
          <w:color w:val="000000"/>
        </w:rPr>
        <w:t xml:space="preserve"> judgment as authority for the proposition</w:t>
      </w:r>
      <w:r w:rsidR="002F043F">
        <w:rPr>
          <w:color w:val="000000"/>
        </w:rPr>
        <w:t xml:space="preserve">, firstly, that </w:t>
      </w:r>
      <w:r w:rsidR="00A97DF8">
        <w:rPr>
          <w:color w:val="000000"/>
        </w:rPr>
        <w:t xml:space="preserve">an arbitration award is not a ‘judgment debt’ and </w:t>
      </w:r>
      <w:r w:rsidR="00A01B01">
        <w:rPr>
          <w:color w:val="000000"/>
        </w:rPr>
        <w:t xml:space="preserve">that </w:t>
      </w:r>
      <w:r w:rsidR="00A97DF8">
        <w:rPr>
          <w:color w:val="000000"/>
        </w:rPr>
        <w:t>the thirty-year prescription period applicable to judgment debts in terms of s 11</w:t>
      </w:r>
      <w:r w:rsidR="002F043F">
        <w:rPr>
          <w:color w:val="000000"/>
        </w:rPr>
        <w:t xml:space="preserve">(a)(ii) of the Prescription Act, does not apply to it. </w:t>
      </w:r>
      <w:r w:rsidR="00A24CBE">
        <w:rPr>
          <w:color w:val="000000"/>
        </w:rPr>
        <w:t>The judgment says so in as many words. It held that, whilst an arbitral award, like a judgment, merel</w:t>
      </w:r>
      <w:r w:rsidR="005A6B81">
        <w:rPr>
          <w:color w:val="000000"/>
        </w:rPr>
        <w:t>y confirms and/or liquidates an</w:t>
      </w:r>
      <w:r w:rsidR="00A24CBE">
        <w:rPr>
          <w:color w:val="000000"/>
        </w:rPr>
        <w:t xml:space="preserve"> existing debt, it does not carry the period of prescription of a judgment as per the Prescription Act.  </w:t>
      </w:r>
      <w:r w:rsidR="002F043F">
        <w:rPr>
          <w:color w:val="000000"/>
        </w:rPr>
        <w:t xml:space="preserve">Second, an arbitration award is not a ‘debt’ as envisaged by the Prescription Act, but it merely affirms or liquidates a ‘debt’. And thirdly that, subject to the provisions of the Prescription Act, the prescription period applicable to the debt underlying </w:t>
      </w:r>
      <w:r w:rsidR="00A01B01">
        <w:rPr>
          <w:color w:val="000000"/>
        </w:rPr>
        <w:t xml:space="preserve">the arbitration award determines when the claim prescribes. I will return to this </w:t>
      </w:r>
      <w:r w:rsidR="00A24CBE">
        <w:rPr>
          <w:color w:val="000000"/>
        </w:rPr>
        <w:t>aspect later on in the judgment.</w:t>
      </w:r>
    </w:p>
    <w:p w:rsidR="005F1165" w:rsidRDefault="0079222A" w:rsidP="0079222A">
      <w:pPr>
        <w:pStyle w:val="LegalList1"/>
        <w:numPr>
          <w:ilvl w:val="0"/>
          <w:numId w:val="0"/>
        </w:numPr>
        <w:spacing w:after="120" w:line="360" w:lineRule="auto"/>
        <w:rPr>
          <w:color w:val="000000"/>
        </w:rPr>
      </w:pPr>
      <w:r>
        <w:rPr>
          <w:color w:val="000000"/>
        </w:rPr>
        <w:lastRenderedPageBreak/>
        <w:t>[8].</w:t>
      </w:r>
      <w:r>
        <w:rPr>
          <w:color w:val="000000"/>
        </w:rPr>
        <w:tab/>
      </w:r>
      <w:r w:rsidR="00A24CBE">
        <w:rPr>
          <w:color w:val="000000"/>
        </w:rPr>
        <w:t>There is a preliminary issue raised by the Municipality</w:t>
      </w:r>
      <w:r w:rsidR="005F1165">
        <w:rPr>
          <w:color w:val="000000"/>
        </w:rPr>
        <w:t xml:space="preserve">, which </w:t>
      </w:r>
      <w:r w:rsidR="00A24CBE">
        <w:rPr>
          <w:color w:val="000000"/>
        </w:rPr>
        <w:t xml:space="preserve">relates to the authority of the deponent </w:t>
      </w:r>
      <w:r w:rsidR="005F1165">
        <w:rPr>
          <w:color w:val="000000"/>
        </w:rPr>
        <w:t>to</w:t>
      </w:r>
      <w:r w:rsidR="00A24CBE">
        <w:rPr>
          <w:color w:val="000000"/>
        </w:rPr>
        <w:t xml:space="preserve"> the answering affidavit to represent </w:t>
      </w:r>
      <w:proofErr w:type="spellStart"/>
      <w:r w:rsidR="00A24CBE">
        <w:rPr>
          <w:color w:val="000000"/>
        </w:rPr>
        <w:t>Lubbe</w:t>
      </w:r>
      <w:proofErr w:type="spellEnd"/>
      <w:r w:rsidR="00A24CBE">
        <w:rPr>
          <w:color w:val="000000"/>
        </w:rPr>
        <w:t xml:space="preserve"> Construction in these proceedings. </w:t>
      </w:r>
      <w:r w:rsidR="005F1165">
        <w:rPr>
          <w:color w:val="000000"/>
        </w:rPr>
        <w:t>It is alleged by the Municipality that, although t</w:t>
      </w:r>
      <w:r w:rsidR="005F1165" w:rsidRPr="005F1165">
        <w:rPr>
          <w:color w:val="000000"/>
        </w:rPr>
        <w:t>he deponent claims that he is authorised to depose to the affidavit</w:t>
      </w:r>
      <w:r w:rsidR="005F1165">
        <w:rPr>
          <w:color w:val="000000"/>
        </w:rPr>
        <w:t>,</w:t>
      </w:r>
      <w:r w:rsidR="005F1165" w:rsidRPr="005F1165">
        <w:rPr>
          <w:color w:val="000000"/>
        </w:rPr>
        <w:t xml:space="preserve"> </w:t>
      </w:r>
      <w:r w:rsidR="005F1165">
        <w:rPr>
          <w:color w:val="000000"/>
        </w:rPr>
        <w:t>h</w:t>
      </w:r>
      <w:r w:rsidR="005F1165" w:rsidRPr="005F1165">
        <w:rPr>
          <w:color w:val="000000"/>
        </w:rPr>
        <w:t>e fails to attach any such authorisation to the affidavit.</w:t>
      </w:r>
      <w:r w:rsidR="005F1165">
        <w:rPr>
          <w:color w:val="000000"/>
        </w:rPr>
        <w:t xml:space="preserve"> </w:t>
      </w:r>
      <w:r w:rsidR="005F1165" w:rsidRPr="005F1165">
        <w:rPr>
          <w:color w:val="000000"/>
        </w:rPr>
        <w:t xml:space="preserve">The </w:t>
      </w:r>
      <w:r w:rsidR="005F1165">
        <w:rPr>
          <w:color w:val="000000"/>
        </w:rPr>
        <w:t>Municipality</w:t>
      </w:r>
      <w:r w:rsidR="005F1165" w:rsidRPr="005F1165">
        <w:rPr>
          <w:color w:val="000000"/>
        </w:rPr>
        <w:t xml:space="preserve"> disputes that </w:t>
      </w:r>
      <w:r w:rsidR="005F1165">
        <w:rPr>
          <w:color w:val="000000"/>
        </w:rPr>
        <w:t>he</w:t>
      </w:r>
      <w:r w:rsidR="005F1165" w:rsidRPr="005F1165">
        <w:rPr>
          <w:color w:val="000000"/>
        </w:rPr>
        <w:t xml:space="preserve"> is authorised to depose to the</w:t>
      </w:r>
      <w:r w:rsidR="005F1165">
        <w:rPr>
          <w:color w:val="000000"/>
        </w:rPr>
        <w:t xml:space="preserve"> </w:t>
      </w:r>
      <w:r w:rsidR="005F1165" w:rsidRPr="005F1165">
        <w:rPr>
          <w:color w:val="000000"/>
        </w:rPr>
        <w:t xml:space="preserve">answering affidavit on behalf of </w:t>
      </w:r>
      <w:proofErr w:type="spellStart"/>
      <w:r w:rsidR="005F1165">
        <w:rPr>
          <w:color w:val="000000"/>
        </w:rPr>
        <w:t>Lubbe</w:t>
      </w:r>
      <w:proofErr w:type="spellEnd"/>
      <w:r w:rsidR="005F1165">
        <w:rPr>
          <w:color w:val="000000"/>
        </w:rPr>
        <w:t xml:space="preserve"> </w:t>
      </w:r>
      <w:r w:rsidR="005F1165" w:rsidRPr="005F1165">
        <w:rPr>
          <w:color w:val="000000"/>
        </w:rPr>
        <w:t>and accordingly requests the Court to di</w:t>
      </w:r>
      <w:r w:rsidR="005F1165">
        <w:rPr>
          <w:color w:val="000000"/>
        </w:rPr>
        <w:t xml:space="preserve">sregard the answering affidavit and </w:t>
      </w:r>
      <w:r w:rsidR="005A6B81">
        <w:rPr>
          <w:color w:val="000000"/>
        </w:rPr>
        <w:t xml:space="preserve">to </w:t>
      </w:r>
      <w:r w:rsidR="005F1165">
        <w:rPr>
          <w:color w:val="000000"/>
        </w:rPr>
        <w:t>allow the application to proceed on an unopposed basis.</w:t>
      </w:r>
    </w:p>
    <w:p w:rsidR="00997AFB" w:rsidRDefault="0079222A" w:rsidP="0079222A">
      <w:pPr>
        <w:pStyle w:val="LegalList1"/>
        <w:numPr>
          <w:ilvl w:val="0"/>
          <w:numId w:val="0"/>
        </w:numPr>
        <w:spacing w:after="120" w:line="360" w:lineRule="auto"/>
        <w:rPr>
          <w:color w:val="000000"/>
        </w:rPr>
      </w:pPr>
      <w:r>
        <w:rPr>
          <w:color w:val="000000"/>
        </w:rPr>
        <w:t>[9].</w:t>
      </w:r>
      <w:r>
        <w:rPr>
          <w:color w:val="000000"/>
        </w:rPr>
        <w:tab/>
      </w:r>
      <w:proofErr w:type="gramStart"/>
      <w:r w:rsidR="005F1165">
        <w:rPr>
          <w:color w:val="000000"/>
        </w:rPr>
        <w:t>In</w:t>
      </w:r>
      <w:proofErr w:type="gramEnd"/>
      <w:r w:rsidR="005F1165">
        <w:rPr>
          <w:color w:val="000000"/>
        </w:rPr>
        <w:t xml:space="preserve"> intend giving short thrift to this point as it lacks merit.</w:t>
      </w:r>
      <w:r w:rsidR="00997AFB">
        <w:rPr>
          <w:color w:val="000000"/>
        </w:rPr>
        <w:t xml:space="preserve"> </w:t>
      </w:r>
      <w:r w:rsidR="005F1165" w:rsidRPr="00997AFB">
        <w:rPr>
          <w:color w:val="000000"/>
        </w:rPr>
        <w:t>The starting point</w:t>
      </w:r>
      <w:r w:rsidR="005A6B81">
        <w:rPr>
          <w:color w:val="000000"/>
        </w:rPr>
        <w:t>,</w:t>
      </w:r>
      <w:r w:rsidR="005F1165" w:rsidRPr="00997AFB">
        <w:rPr>
          <w:color w:val="000000"/>
        </w:rPr>
        <w:t xml:space="preserve"> as regards this issue</w:t>
      </w:r>
      <w:r w:rsidR="005A6B81">
        <w:rPr>
          <w:color w:val="000000"/>
        </w:rPr>
        <w:t>,</w:t>
      </w:r>
      <w:r w:rsidR="005F1165" w:rsidRPr="00997AFB">
        <w:rPr>
          <w:color w:val="000000"/>
        </w:rPr>
        <w:t xml:space="preserve"> is the fact that </w:t>
      </w:r>
      <w:r w:rsidR="00997AFB">
        <w:rPr>
          <w:color w:val="000000"/>
        </w:rPr>
        <w:t>the deponent to the answering affidavit, Mr </w:t>
      </w:r>
      <w:proofErr w:type="spellStart"/>
      <w:r w:rsidR="00997AFB">
        <w:rPr>
          <w:color w:val="000000"/>
        </w:rPr>
        <w:t>Mandla</w:t>
      </w:r>
      <w:proofErr w:type="spellEnd"/>
      <w:r w:rsidR="00997AFB">
        <w:rPr>
          <w:color w:val="000000"/>
        </w:rPr>
        <w:t xml:space="preserve"> Samuel </w:t>
      </w:r>
      <w:proofErr w:type="spellStart"/>
      <w:r w:rsidR="00997AFB">
        <w:rPr>
          <w:color w:val="000000"/>
        </w:rPr>
        <w:t>Lubbe</w:t>
      </w:r>
      <w:proofErr w:type="spellEnd"/>
      <w:r w:rsidR="00997AFB">
        <w:rPr>
          <w:color w:val="000000"/>
        </w:rPr>
        <w:t xml:space="preserve">, </w:t>
      </w:r>
      <w:r w:rsidR="005F1165" w:rsidRPr="00997AFB">
        <w:rPr>
          <w:color w:val="000000"/>
        </w:rPr>
        <w:t xml:space="preserve">under oath, confirms that </w:t>
      </w:r>
      <w:r w:rsidR="00997AFB">
        <w:rPr>
          <w:color w:val="000000"/>
        </w:rPr>
        <w:t xml:space="preserve">he had been mandated by </w:t>
      </w:r>
      <w:proofErr w:type="spellStart"/>
      <w:r w:rsidR="00997AFB">
        <w:rPr>
          <w:color w:val="000000"/>
        </w:rPr>
        <w:t>Lubbe</w:t>
      </w:r>
      <w:proofErr w:type="spellEnd"/>
      <w:r w:rsidR="00997AFB">
        <w:rPr>
          <w:color w:val="000000"/>
        </w:rPr>
        <w:t xml:space="preserve"> Construction </w:t>
      </w:r>
      <w:r w:rsidR="005F1165" w:rsidRPr="00997AFB">
        <w:rPr>
          <w:color w:val="000000"/>
        </w:rPr>
        <w:t xml:space="preserve">to </w:t>
      </w:r>
      <w:r w:rsidR="00997AFB">
        <w:rPr>
          <w:color w:val="000000"/>
        </w:rPr>
        <w:t xml:space="preserve">oppose the application by the </w:t>
      </w:r>
      <w:proofErr w:type="spellStart"/>
      <w:r w:rsidR="00997AFB">
        <w:rPr>
          <w:color w:val="000000"/>
        </w:rPr>
        <w:t>Matatiele</w:t>
      </w:r>
      <w:proofErr w:type="spellEnd"/>
      <w:r w:rsidR="00997AFB">
        <w:rPr>
          <w:color w:val="000000"/>
        </w:rPr>
        <w:t xml:space="preserve"> Local Municipality.</w:t>
      </w:r>
    </w:p>
    <w:p w:rsidR="00997AFB" w:rsidRDefault="0079222A" w:rsidP="0079222A">
      <w:pPr>
        <w:pStyle w:val="LegalList1"/>
        <w:numPr>
          <w:ilvl w:val="0"/>
          <w:numId w:val="0"/>
        </w:numPr>
        <w:spacing w:after="120" w:line="360" w:lineRule="auto"/>
        <w:rPr>
          <w:color w:val="000000"/>
        </w:rPr>
      </w:pPr>
      <w:r>
        <w:rPr>
          <w:color w:val="000000"/>
        </w:rPr>
        <w:t>[10].</w:t>
      </w:r>
      <w:r>
        <w:rPr>
          <w:color w:val="000000"/>
        </w:rPr>
        <w:tab/>
      </w:r>
      <w:r w:rsidR="00997AFB">
        <w:rPr>
          <w:color w:val="000000"/>
        </w:rPr>
        <w:t xml:space="preserve">Moreover, as was held by </w:t>
      </w:r>
      <w:proofErr w:type="spellStart"/>
      <w:r w:rsidR="00997AFB">
        <w:rPr>
          <w:color w:val="000000"/>
        </w:rPr>
        <w:t>Flemming</w:t>
      </w:r>
      <w:proofErr w:type="spellEnd"/>
      <w:r w:rsidR="00997AFB">
        <w:rPr>
          <w:color w:val="000000"/>
        </w:rPr>
        <w:t xml:space="preserve"> DJP </w:t>
      </w:r>
      <w:r w:rsidR="00997AFB" w:rsidRPr="00BF7E1C">
        <w:rPr>
          <w:color w:val="000000"/>
        </w:rPr>
        <w:t xml:space="preserve">in </w:t>
      </w:r>
      <w:r w:rsidR="00997AFB" w:rsidRPr="00BF7E1C">
        <w:rPr>
          <w:i/>
          <w:color w:val="000000"/>
        </w:rPr>
        <w:t xml:space="preserve">Eskom v Soweto City </w:t>
      </w:r>
      <w:proofErr w:type="gramStart"/>
      <w:r w:rsidR="00997AFB" w:rsidRPr="00BF7E1C">
        <w:rPr>
          <w:i/>
          <w:color w:val="000000"/>
        </w:rPr>
        <w:t>Council</w:t>
      </w:r>
      <w:r w:rsidR="00997AFB">
        <w:rPr>
          <w:i/>
          <w:color w:val="000000"/>
        </w:rPr>
        <w:t> </w:t>
      </w:r>
      <w:proofErr w:type="gramEnd"/>
      <w:r w:rsidR="00997AFB">
        <w:rPr>
          <w:rStyle w:val="FootnoteReference"/>
          <w:color w:val="000000"/>
        </w:rPr>
        <w:footnoteReference w:id="2"/>
      </w:r>
      <w:r w:rsidR="00997AFB" w:rsidRPr="00BF7E1C">
        <w:rPr>
          <w:i/>
          <w:color w:val="000000"/>
        </w:rPr>
        <w:t>,</w:t>
      </w:r>
      <w:r w:rsidR="00997AFB" w:rsidRPr="00BF7E1C">
        <w:rPr>
          <w:color w:val="000000"/>
        </w:rPr>
        <w:t xml:space="preserve"> </w:t>
      </w:r>
      <w:r w:rsidR="00997AFB">
        <w:rPr>
          <w:color w:val="000000"/>
        </w:rPr>
        <w:t>w</w:t>
      </w:r>
      <w:r w:rsidR="00997AFB" w:rsidRPr="00BF7E1C">
        <w:rPr>
          <w:color w:val="000000"/>
        </w:rPr>
        <w:t>here an interlocutory application had been delivered under the name and signature of the r</w:t>
      </w:r>
      <w:r w:rsidR="00997AFB">
        <w:rPr>
          <w:color w:val="000000"/>
        </w:rPr>
        <w:t xml:space="preserve">espondent's </w:t>
      </w:r>
      <w:r w:rsidR="00997AFB" w:rsidRPr="00BF7E1C">
        <w:rPr>
          <w:color w:val="000000"/>
        </w:rPr>
        <w:t xml:space="preserve">attorney, if the attorney had been authorised to bring the application on the respondent's behalf, then the application was that of the respondent, irrespective of whether the deponent to the supporting affidavit had also been authorised 'to bring this application'. The Court held, further, that the deponent's evidence could not be ignored because he had not been 'authorised': if the attorney had authority to act on the respondent's behalf, then the attorney was entitled to use any witness who, in his opinion, would advance the respondent's case </w:t>
      </w:r>
      <w:r w:rsidR="00997AFB">
        <w:rPr>
          <w:color w:val="000000"/>
        </w:rPr>
        <w:t>–</w:t>
      </w:r>
      <w:r w:rsidR="00997AFB" w:rsidRPr="00BF7E1C">
        <w:rPr>
          <w:color w:val="000000"/>
        </w:rPr>
        <w:t xml:space="preserve"> a witness may testify even if (s</w:t>
      </w:r>
      <w:proofErr w:type="gramStart"/>
      <w:r w:rsidR="00997AFB" w:rsidRPr="00BF7E1C">
        <w:rPr>
          <w:color w:val="000000"/>
        </w:rPr>
        <w:t>)he</w:t>
      </w:r>
      <w:proofErr w:type="gramEnd"/>
      <w:r w:rsidR="00997AFB" w:rsidRPr="00BF7E1C">
        <w:rPr>
          <w:color w:val="000000"/>
        </w:rPr>
        <w:t xml:space="preserve"> has no authority to bring, withdraw or otherwise deal with the application itself</w:t>
      </w:r>
      <w:r w:rsidR="00997AFB">
        <w:rPr>
          <w:color w:val="000000"/>
        </w:rPr>
        <w:t>.</w:t>
      </w:r>
    </w:p>
    <w:p w:rsidR="005F1165" w:rsidRPr="005F1165" w:rsidRDefault="0079222A" w:rsidP="0079222A">
      <w:pPr>
        <w:pStyle w:val="LegalList1"/>
        <w:numPr>
          <w:ilvl w:val="0"/>
          <w:numId w:val="0"/>
        </w:numPr>
        <w:spacing w:after="120" w:line="360" w:lineRule="auto"/>
        <w:rPr>
          <w:color w:val="000000"/>
        </w:rPr>
      </w:pPr>
      <w:r w:rsidRPr="005F1165">
        <w:rPr>
          <w:color w:val="000000"/>
        </w:rPr>
        <w:t>[11].</w:t>
      </w:r>
      <w:r w:rsidRPr="005F1165">
        <w:rPr>
          <w:color w:val="000000"/>
        </w:rPr>
        <w:tab/>
      </w:r>
      <w:r w:rsidR="00997AFB">
        <w:rPr>
          <w:color w:val="000000"/>
        </w:rPr>
        <w:t xml:space="preserve">That, in my view, is the end of the preliminary point relating to the authority </w:t>
      </w:r>
      <w:r w:rsidR="005A6B81">
        <w:rPr>
          <w:color w:val="000000"/>
        </w:rPr>
        <w:t xml:space="preserve">of Mr </w:t>
      </w:r>
      <w:proofErr w:type="spellStart"/>
      <w:r w:rsidR="005A6B81">
        <w:rPr>
          <w:color w:val="000000"/>
        </w:rPr>
        <w:t>Lubbe</w:t>
      </w:r>
      <w:proofErr w:type="spellEnd"/>
      <w:r w:rsidR="005A6B81">
        <w:rPr>
          <w:color w:val="000000"/>
        </w:rPr>
        <w:t xml:space="preserve"> </w:t>
      </w:r>
      <w:r w:rsidR="00997AFB">
        <w:rPr>
          <w:color w:val="000000"/>
        </w:rPr>
        <w:t>to act, which point, as I have already indicated, is void of any merit.</w:t>
      </w:r>
    </w:p>
    <w:p w:rsidR="0095667F" w:rsidRPr="00E26EE0" w:rsidRDefault="0079222A" w:rsidP="0079222A">
      <w:pPr>
        <w:pStyle w:val="LegalList1"/>
        <w:numPr>
          <w:ilvl w:val="0"/>
          <w:numId w:val="0"/>
        </w:numPr>
        <w:spacing w:after="120" w:line="360" w:lineRule="auto"/>
        <w:rPr>
          <w:color w:val="000000"/>
        </w:rPr>
      </w:pPr>
      <w:r w:rsidRPr="00E26EE0">
        <w:rPr>
          <w:color w:val="000000"/>
        </w:rPr>
        <w:t>[12].</w:t>
      </w:r>
      <w:r w:rsidRPr="00E26EE0">
        <w:rPr>
          <w:color w:val="000000"/>
        </w:rPr>
        <w:tab/>
      </w:r>
      <w:proofErr w:type="gramStart"/>
      <w:r w:rsidR="00606321">
        <w:rPr>
          <w:color w:val="000000"/>
        </w:rPr>
        <w:t>That</w:t>
      </w:r>
      <w:proofErr w:type="gramEnd"/>
      <w:r w:rsidR="00606321">
        <w:rPr>
          <w:color w:val="000000"/>
        </w:rPr>
        <w:t xml:space="preserve"> brings me back to the relevant legal principles and the applicable regulatory framework. </w:t>
      </w:r>
      <w:r w:rsidR="00B536C3">
        <w:rPr>
          <w:color w:val="000000"/>
        </w:rPr>
        <w:t xml:space="preserve">In terms </w:t>
      </w:r>
      <w:r w:rsidR="005A6B81">
        <w:rPr>
          <w:color w:val="000000"/>
        </w:rPr>
        <w:t xml:space="preserve">of </w:t>
      </w:r>
      <w:r w:rsidR="00B536C3">
        <w:rPr>
          <w:color w:val="000000"/>
        </w:rPr>
        <w:t xml:space="preserve">s 11 of the Prescription Act, </w:t>
      </w:r>
      <w:r w:rsidR="00E96EC9">
        <w:rPr>
          <w:color w:val="000000"/>
        </w:rPr>
        <w:t xml:space="preserve">the period of prescription in respect of </w:t>
      </w:r>
      <w:r w:rsidR="00B536C3">
        <w:rPr>
          <w:color w:val="000000"/>
        </w:rPr>
        <w:t xml:space="preserve">a debt, such as the one which is the subject of the arbitration award </w:t>
      </w:r>
      <w:r w:rsidR="00B536C3" w:rsidRPr="00E96EC9">
        <w:rPr>
          <w:i/>
          <w:color w:val="000000"/>
        </w:rPr>
        <w:t xml:space="preserve">in </w:t>
      </w:r>
      <w:proofErr w:type="spellStart"/>
      <w:r w:rsidR="00B536C3" w:rsidRPr="00E96EC9">
        <w:rPr>
          <w:i/>
          <w:color w:val="000000"/>
        </w:rPr>
        <w:t>casu</w:t>
      </w:r>
      <w:proofErr w:type="spellEnd"/>
      <w:r w:rsidR="00B536C3">
        <w:rPr>
          <w:color w:val="000000"/>
        </w:rPr>
        <w:t xml:space="preserve">, </w:t>
      </w:r>
      <w:r w:rsidR="00E96EC9">
        <w:rPr>
          <w:color w:val="000000"/>
        </w:rPr>
        <w:t xml:space="preserve">is three years, which period shall in the normal course </w:t>
      </w:r>
      <w:r w:rsidR="00E96EC9">
        <w:rPr>
          <w:color w:val="000000"/>
        </w:rPr>
        <w:lastRenderedPageBreak/>
        <w:t>of events</w:t>
      </w:r>
      <w:r w:rsidR="00E96EC9" w:rsidRPr="00E96EC9">
        <w:rPr>
          <w:color w:val="000000"/>
        </w:rPr>
        <w:t xml:space="preserve"> commence to run as soon as the debt is due</w:t>
      </w:r>
      <w:r w:rsidR="00E96EC9">
        <w:rPr>
          <w:color w:val="000000"/>
        </w:rPr>
        <w:t>. Applying this provision to the facts in this matter, it has to be accepted that the prescription period started running on 1 July 2016, which is the date on which the Municipality cancelled the contract. Therefore, if nothing else occurred in the interim</w:t>
      </w:r>
      <w:r w:rsidR="000F39F8">
        <w:rPr>
          <w:color w:val="000000"/>
        </w:rPr>
        <w:t>,</w:t>
      </w:r>
      <w:r w:rsidR="00E96EC9">
        <w:rPr>
          <w:color w:val="000000"/>
        </w:rPr>
        <w:t xml:space="preserve"> the debt would have become time-barred on 30 June 2019.</w:t>
      </w:r>
    </w:p>
    <w:p w:rsidR="000F39F8" w:rsidRPr="000F39F8" w:rsidRDefault="0079222A" w:rsidP="0079222A">
      <w:pPr>
        <w:pStyle w:val="LegalList1"/>
        <w:numPr>
          <w:ilvl w:val="0"/>
          <w:numId w:val="0"/>
        </w:numPr>
        <w:spacing w:after="0" w:line="360" w:lineRule="auto"/>
        <w:rPr>
          <w:color w:val="000000"/>
        </w:rPr>
      </w:pPr>
      <w:r w:rsidRPr="000F39F8">
        <w:rPr>
          <w:color w:val="000000"/>
        </w:rPr>
        <w:t>[13].</w:t>
      </w:r>
      <w:r w:rsidRPr="000F39F8">
        <w:rPr>
          <w:color w:val="000000"/>
        </w:rPr>
        <w:tab/>
      </w:r>
      <w:r w:rsidR="000F39F8">
        <w:rPr>
          <w:color w:val="000000"/>
        </w:rPr>
        <w:t>However, as we already know, during November 2016 the parties referred the dispute between them to arbitration and</w:t>
      </w:r>
      <w:r w:rsidR="005A6B81">
        <w:rPr>
          <w:color w:val="000000"/>
        </w:rPr>
        <w:t>,</w:t>
      </w:r>
      <w:r w:rsidR="000F39F8">
        <w:rPr>
          <w:color w:val="000000"/>
        </w:rPr>
        <w:t xml:space="preserve"> on 24 November 2016</w:t>
      </w:r>
      <w:r w:rsidR="005A6B81">
        <w:rPr>
          <w:color w:val="000000"/>
        </w:rPr>
        <w:t>,</w:t>
      </w:r>
      <w:r w:rsidR="000F39F8">
        <w:rPr>
          <w:color w:val="000000"/>
        </w:rPr>
        <w:t xml:space="preserve"> Attorney Terry Mahon was appointed by the parties as the arbitrator. This then </w:t>
      </w:r>
      <w:r w:rsidR="00A01B01">
        <w:rPr>
          <w:color w:val="000000"/>
        </w:rPr>
        <w:t xml:space="preserve">raises </w:t>
      </w:r>
      <w:r w:rsidR="000F39F8">
        <w:rPr>
          <w:color w:val="000000"/>
        </w:rPr>
        <w:t>the</w:t>
      </w:r>
      <w:r w:rsidR="00A01B01">
        <w:rPr>
          <w:color w:val="000000"/>
        </w:rPr>
        <w:t xml:space="preserve"> question whether the</w:t>
      </w:r>
      <w:r w:rsidR="000F39F8">
        <w:rPr>
          <w:color w:val="000000"/>
        </w:rPr>
        <w:t xml:space="preserve"> prescription of the debt was delayed in terms of s 13</w:t>
      </w:r>
      <w:r w:rsidR="008672A9">
        <w:rPr>
          <w:color w:val="000000"/>
        </w:rPr>
        <w:t xml:space="preserve">(1) </w:t>
      </w:r>
      <w:r w:rsidR="000F39F8">
        <w:rPr>
          <w:color w:val="000000"/>
        </w:rPr>
        <w:t xml:space="preserve">of the Prescription Act, </w:t>
      </w:r>
      <w:r w:rsidR="00155521">
        <w:rPr>
          <w:color w:val="000000"/>
        </w:rPr>
        <w:t xml:space="preserve">the relevant portion of which </w:t>
      </w:r>
      <w:r w:rsidR="000F39F8">
        <w:rPr>
          <w:color w:val="000000"/>
        </w:rPr>
        <w:t>provides as follows:</w:t>
      </w:r>
    </w:p>
    <w:p w:rsidR="000F39F8" w:rsidRPr="00155521" w:rsidRDefault="00155521" w:rsidP="00155521">
      <w:pPr>
        <w:pStyle w:val="LegalList1"/>
        <w:numPr>
          <w:ilvl w:val="0"/>
          <w:numId w:val="0"/>
        </w:numPr>
        <w:spacing w:after="0" w:line="360" w:lineRule="auto"/>
        <w:rPr>
          <w:color w:val="000000"/>
          <w:sz w:val="22"/>
          <w:szCs w:val="22"/>
        </w:rPr>
      </w:pPr>
      <w:r>
        <w:rPr>
          <w:color w:val="000000"/>
          <w:sz w:val="22"/>
          <w:szCs w:val="22"/>
        </w:rPr>
        <w:t>’13</w:t>
      </w:r>
      <w:r>
        <w:rPr>
          <w:color w:val="000000"/>
          <w:sz w:val="22"/>
          <w:szCs w:val="22"/>
        </w:rPr>
        <w:tab/>
      </w:r>
      <w:r w:rsidR="000F39F8" w:rsidRPr="00155521">
        <w:rPr>
          <w:b/>
          <w:color w:val="000000"/>
          <w:sz w:val="22"/>
          <w:szCs w:val="22"/>
        </w:rPr>
        <w:t>Completion of prescription delayed in certain circumstances</w:t>
      </w:r>
    </w:p>
    <w:p w:rsidR="000F39F8" w:rsidRPr="00155521" w:rsidRDefault="0079222A" w:rsidP="0079222A">
      <w:pPr>
        <w:pStyle w:val="LegalList1"/>
        <w:numPr>
          <w:ilvl w:val="0"/>
          <w:numId w:val="0"/>
        </w:numPr>
        <w:spacing w:after="0" w:line="360" w:lineRule="auto"/>
        <w:ind w:left="567" w:hanging="567"/>
        <w:rPr>
          <w:color w:val="000000"/>
          <w:sz w:val="22"/>
          <w:szCs w:val="22"/>
        </w:rPr>
      </w:pPr>
      <w:r w:rsidRPr="00155521">
        <w:rPr>
          <w:color w:val="000000"/>
          <w:sz w:val="22"/>
          <w:szCs w:val="22"/>
        </w:rPr>
        <w:t>(1)</w:t>
      </w:r>
      <w:r w:rsidRPr="00155521">
        <w:rPr>
          <w:color w:val="000000"/>
          <w:sz w:val="22"/>
          <w:szCs w:val="22"/>
        </w:rPr>
        <w:tab/>
      </w:r>
      <w:r w:rsidR="000F39F8" w:rsidRPr="00155521">
        <w:rPr>
          <w:color w:val="000000"/>
          <w:sz w:val="22"/>
          <w:szCs w:val="22"/>
        </w:rPr>
        <w:t>If</w:t>
      </w:r>
      <w:r w:rsidR="00155521">
        <w:rPr>
          <w:color w:val="000000"/>
          <w:sz w:val="22"/>
          <w:szCs w:val="22"/>
        </w:rPr>
        <w:t xml:space="preserve"> – </w:t>
      </w:r>
    </w:p>
    <w:p w:rsidR="000F39F8" w:rsidRDefault="0079222A" w:rsidP="0079222A">
      <w:pPr>
        <w:pStyle w:val="LegalList1"/>
        <w:numPr>
          <w:ilvl w:val="0"/>
          <w:numId w:val="0"/>
        </w:numPr>
        <w:spacing w:after="0" w:line="360" w:lineRule="auto"/>
        <w:ind w:left="851" w:hanging="851"/>
        <w:rPr>
          <w:color w:val="000000"/>
          <w:sz w:val="22"/>
          <w:szCs w:val="22"/>
        </w:rPr>
      </w:pPr>
      <w:r>
        <w:rPr>
          <w:color w:val="000000"/>
          <w:sz w:val="22"/>
          <w:szCs w:val="22"/>
        </w:rPr>
        <w:t>(a)</w:t>
      </w:r>
      <w:r>
        <w:rPr>
          <w:color w:val="000000"/>
          <w:sz w:val="22"/>
          <w:szCs w:val="22"/>
        </w:rPr>
        <w:tab/>
      </w:r>
      <w:r w:rsidR="00155521">
        <w:rPr>
          <w:color w:val="000000"/>
          <w:sz w:val="22"/>
          <w:szCs w:val="22"/>
        </w:rPr>
        <w:t>… … …</w:t>
      </w:r>
      <w:r w:rsidR="000F39F8" w:rsidRPr="00155521">
        <w:rPr>
          <w:color w:val="000000"/>
          <w:sz w:val="22"/>
          <w:szCs w:val="22"/>
        </w:rPr>
        <w:t>; or</w:t>
      </w:r>
    </w:p>
    <w:p w:rsidR="00155521" w:rsidRDefault="00155521" w:rsidP="00155521">
      <w:pPr>
        <w:pStyle w:val="LegalList1"/>
        <w:numPr>
          <w:ilvl w:val="0"/>
          <w:numId w:val="0"/>
        </w:numPr>
        <w:spacing w:after="0" w:line="360" w:lineRule="auto"/>
        <w:ind w:left="851"/>
        <w:rPr>
          <w:color w:val="000000"/>
          <w:sz w:val="22"/>
          <w:szCs w:val="22"/>
        </w:rPr>
      </w:pPr>
      <w:r>
        <w:rPr>
          <w:color w:val="000000"/>
          <w:sz w:val="22"/>
          <w:szCs w:val="22"/>
        </w:rPr>
        <w:t xml:space="preserve">… … … </w:t>
      </w:r>
    </w:p>
    <w:p w:rsidR="000F39F8" w:rsidRDefault="0079222A" w:rsidP="0079222A">
      <w:pPr>
        <w:pStyle w:val="LegalList1"/>
        <w:numPr>
          <w:ilvl w:val="0"/>
          <w:numId w:val="0"/>
        </w:numPr>
        <w:spacing w:after="0" w:line="360" w:lineRule="auto"/>
        <w:ind w:left="851" w:hanging="851"/>
        <w:rPr>
          <w:color w:val="000000"/>
          <w:sz w:val="22"/>
          <w:szCs w:val="22"/>
        </w:rPr>
      </w:pPr>
      <w:r>
        <w:rPr>
          <w:color w:val="000000"/>
          <w:sz w:val="22"/>
          <w:szCs w:val="22"/>
        </w:rPr>
        <w:t>(f)</w:t>
      </w:r>
      <w:r>
        <w:rPr>
          <w:color w:val="000000"/>
          <w:sz w:val="22"/>
          <w:szCs w:val="22"/>
        </w:rPr>
        <w:tab/>
      </w:r>
      <w:proofErr w:type="gramStart"/>
      <w:r w:rsidR="000F39F8" w:rsidRPr="00155521">
        <w:rPr>
          <w:color w:val="000000"/>
          <w:sz w:val="22"/>
          <w:szCs w:val="22"/>
        </w:rPr>
        <w:t>the</w:t>
      </w:r>
      <w:proofErr w:type="gramEnd"/>
      <w:r w:rsidR="000F39F8" w:rsidRPr="00155521">
        <w:rPr>
          <w:color w:val="000000"/>
          <w:sz w:val="22"/>
          <w:szCs w:val="22"/>
        </w:rPr>
        <w:t xml:space="preserve"> debt is the object of a dispute subjected to arbitration; or</w:t>
      </w:r>
    </w:p>
    <w:p w:rsidR="00765CBD" w:rsidRDefault="0079222A" w:rsidP="0079222A">
      <w:pPr>
        <w:pStyle w:val="LegalList1"/>
        <w:numPr>
          <w:ilvl w:val="0"/>
          <w:numId w:val="0"/>
        </w:numPr>
        <w:spacing w:after="0" w:line="360" w:lineRule="auto"/>
        <w:ind w:left="851" w:hanging="851"/>
        <w:rPr>
          <w:color w:val="000000"/>
          <w:sz w:val="22"/>
          <w:szCs w:val="22"/>
        </w:rPr>
      </w:pPr>
      <w:r>
        <w:rPr>
          <w:color w:val="000000"/>
          <w:sz w:val="22"/>
          <w:szCs w:val="22"/>
        </w:rPr>
        <w:t>(g)</w:t>
      </w:r>
      <w:r>
        <w:rPr>
          <w:color w:val="000000"/>
          <w:sz w:val="22"/>
          <w:szCs w:val="22"/>
        </w:rPr>
        <w:tab/>
      </w:r>
      <w:r w:rsidR="00765CBD">
        <w:rPr>
          <w:color w:val="000000"/>
          <w:sz w:val="22"/>
          <w:szCs w:val="22"/>
        </w:rPr>
        <w:t>… … …; or</w:t>
      </w:r>
    </w:p>
    <w:p w:rsidR="000F39F8" w:rsidRDefault="0079222A" w:rsidP="0079222A">
      <w:pPr>
        <w:pStyle w:val="LegalList1"/>
        <w:numPr>
          <w:ilvl w:val="0"/>
          <w:numId w:val="0"/>
        </w:numPr>
        <w:spacing w:after="0" w:line="360" w:lineRule="auto"/>
        <w:ind w:left="851" w:hanging="851"/>
        <w:rPr>
          <w:color w:val="000000"/>
          <w:sz w:val="22"/>
          <w:szCs w:val="22"/>
        </w:rPr>
      </w:pPr>
      <w:r>
        <w:rPr>
          <w:color w:val="000000"/>
          <w:sz w:val="22"/>
          <w:szCs w:val="22"/>
        </w:rPr>
        <w:t>(h)</w:t>
      </w:r>
      <w:r>
        <w:rPr>
          <w:color w:val="000000"/>
          <w:sz w:val="22"/>
          <w:szCs w:val="22"/>
        </w:rPr>
        <w:tab/>
      </w:r>
      <w:proofErr w:type="gramStart"/>
      <w:r w:rsidR="000F39F8" w:rsidRPr="00765CBD">
        <w:rPr>
          <w:color w:val="000000"/>
          <w:sz w:val="22"/>
          <w:szCs w:val="22"/>
        </w:rPr>
        <w:t>the</w:t>
      </w:r>
      <w:proofErr w:type="gramEnd"/>
      <w:r w:rsidR="000F39F8" w:rsidRPr="00765CBD">
        <w:rPr>
          <w:color w:val="000000"/>
          <w:sz w:val="22"/>
          <w:szCs w:val="22"/>
        </w:rPr>
        <w:t xml:space="preserve"> creditor or the debtor is deceased and an executor of the estate in question has not yet been appointed; and</w:t>
      </w:r>
    </w:p>
    <w:p w:rsidR="000F39F8" w:rsidRPr="00765CBD" w:rsidRDefault="0079222A" w:rsidP="0079222A">
      <w:pPr>
        <w:pStyle w:val="LegalList1"/>
        <w:numPr>
          <w:ilvl w:val="0"/>
          <w:numId w:val="0"/>
        </w:numPr>
        <w:spacing w:after="0" w:line="360" w:lineRule="auto"/>
        <w:ind w:left="851" w:hanging="851"/>
        <w:rPr>
          <w:color w:val="000000"/>
          <w:sz w:val="22"/>
          <w:szCs w:val="22"/>
        </w:rPr>
      </w:pPr>
      <w:r w:rsidRPr="00765CBD">
        <w:rPr>
          <w:color w:val="000000"/>
          <w:sz w:val="22"/>
          <w:szCs w:val="22"/>
        </w:rPr>
        <w:t>(</w:t>
      </w:r>
      <w:proofErr w:type="spellStart"/>
      <w:r w:rsidRPr="00765CBD">
        <w:rPr>
          <w:color w:val="000000"/>
          <w:sz w:val="22"/>
          <w:szCs w:val="22"/>
        </w:rPr>
        <w:t>i</w:t>
      </w:r>
      <w:proofErr w:type="spellEnd"/>
      <w:r w:rsidRPr="00765CBD">
        <w:rPr>
          <w:color w:val="000000"/>
          <w:sz w:val="22"/>
          <w:szCs w:val="22"/>
        </w:rPr>
        <w:t>)</w:t>
      </w:r>
      <w:r w:rsidRPr="00765CBD">
        <w:rPr>
          <w:color w:val="000000"/>
          <w:sz w:val="22"/>
          <w:szCs w:val="22"/>
        </w:rPr>
        <w:tab/>
      </w:r>
      <w:r w:rsidR="000F39F8" w:rsidRPr="00765CBD">
        <w:rPr>
          <w:color w:val="000000"/>
          <w:sz w:val="22"/>
          <w:szCs w:val="22"/>
        </w:rPr>
        <w:t>the relevant period of prescription would, but for the provisions of this subsection, be completed before or on, or within one year after, the day on which the relevant impediment referred to in paragraph (a), (b), (c), (d), (e), (f), (g) or (h) has ceased to exist,</w:t>
      </w:r>
    </w:p>
    <w:p w:rsidR="00155521" w:rsidRPr="00155521" w:rsidRDefault="000F39F8" w:rsidP="00765CBD">
      <w:pPr>
        <w:pStyle w:val="LegalList1"/>
        <w:numPr>
          <w:ilvl w:val="0"/>
          <w:numId w:val="0"/>
        </w:numPr>
        <w:spacing w:after="120" w:line="360" w:lineRule="auto"/>
        <w:ind w:left="567"/>
        <w:rPr>
          <w:color w:val="000000"/>
          <w:sz w:val="22"/>
          <w:szCs w:val="22"/>
        </w:rPr>
      </w:pPr>
      <w:proofErr w:type="gramStart"/>
      <w:r w:rsidRPr="00155521">
        <w:rPr>
          <w:color w:val="000000"/>
          <w:sz w:val="22"/>
          <w:szCs w:val="22"/>
        </w:rPr>
        <w:t>the</w:t>
      </w:r>
      <w:proofErr w:type="gramEnd"/>
      <w:r w:rsidRPr="00155521">
        <w:rPr>
          <w:color w:val="000000"/>
          <w:sz w:val="22"/>
          <w:szCs w:val="22"/>
        </w:rPr>
        <w:t xml:space="preserve"> period of prescription shall not be completed before a year has elapsed after the day referred to in paragraph (</w:t>
      </w:r>
      <w:proofErr w:type="spellStart"/>
      <w:r w:rsidRPr="00155521">
        <w:rPr>
          <w:color w:val="000000"/>
          <w:sz w:val="22"/>
          <w:szCs w:val="22"/>
        </w:rPr>
        <w:t>i</w:t>
      </w:r>
      <w:proofErr w:type="spellEnd"/>
      <w:r w:rsidRPr="00155521">
        <w:rPr>
          <w:color w:val="000000"/>
          <w:sz w:val="22"/>
          <w:szCs w:val="22"/>
        </w:rPr>
        <w:t>).</w:t>
      </w:r>
      <w:r w:rsidR="00765CBD">
        <w:rPr>
          <w:color w:val="000000"/>
          <w:sz w:val="22"/>
          <w:szCs w:val="22"/>
        </w:rPr>
        <w:t>’</w:t>
      </w:r>
    </w:p>
    <w:p w:rsidR="00E63305" w:rsidRDefault="0079222A" w:rsidP="0079222A">
      <w:pPr>
        <w:pStyle w:val="LegalList1"/>
        <w:numPr>
          <w:ilvl w:val="0"/>
          <w:numId w:val="0"/>
        </w:numPr>
        <w:spacing w:after="120" w:line="360" w:lineRule="auto"/>
        <w:rPr>
          <w:color w:val="000000"/>
        </w:rPr>
      </w:pPr>
      <w:r>
        <w:rPr>
          <w:color w:val="000000"/>
        </w:rPr>
        <w:t>[14].</w:t>
      </w:r>
      <w:r>
        <w:rPr>
          <w:color w:val="000000"/>
        </w:rPr>
        <w:tab/>
      </w:r>
      <w:r w:rsidR="00A01B01">
        <w:rPr>
          <w:color w:val="000000"/>
        </w:rPr>
        <w:t xml:space="preserve">The answer to the above question depends on </w:t>
      </w:r>
      <w:r w:rsidR="004833E4">
        <w:rPr>
          <w:color w:val="000000"/>
        </w:rPr>
        <w:t>the correct</w:t>
      </w:r>
      <w:r w:rsidR="00A01B01">
        <w:rPr>
          <w:color w:val="000000"/>
        </w:rPr>
        <w:t xml:space="preserve"> interpretation of </w:t>
      </w:r>
      <w:proofErr w:type="spellStart"/>
      <w:r w:rsidR="00A01B01">
        <w:rPr>
          <w:color w:val="000000"/>
        </w:rPr>
        <w:t>ss</w:t>
      </w:r>
      <w:proofErr w:type="spellEnd"/>
      <w:r w:rsidR="004833E4">
        <w:rPr>
          <w:color w:val="000000"/>
        </w:rPr>
        <w:t xml:space="preserve"> (1</w:t>
      </w:r>
      <w:proofErr w:type="gramStart"/>
      <w:r w:rsidR="004833E4">
        <w:rPr>
          <w:color w:val="000000"/>
        </w:rPr>
        <w:t>)(</w:t>
      </w:r>
      <w:proofErr w:type="spellStart"/>
      <w:proofErr w:type="gramEnd"/>
      <w:r w:rsidR="004833E4">
        <w:rPr>
          <w:color w:val="000000"/>
        </w:rPr>
        <w:t>i</w:t>
      </w:r>
      <w:proofErr w:type="spellEnd"/>
      <w:r w:rsidR="004833E4">
        <w:rPr>
          <w:color w:val="000000"/>
        </w:rPr>
        <w:t>) – in particular what constitutes ‘the relevant impediment referred to in paragraph (f)’ – and the application of such interpretation to the facts in the matter before me.</w:t>
      </w:r>
      <w:r w:rsidR="00A01B01">
        <w:rPr>
          <w:color w:val="000000"/>
        </w:rPr>
        <w:t xml:space="preserve"> </w:t>
      </w:r>
      <w:r w:rsidR="004833E4">
        <w:rPr>
          <w:color w:val="000000"/>
        </w:rPr>
        <w:t xml:space="preserve">If it is accepted that the debt is ‘subjected to the arbitration’, in accordance with </w:t>
      </w:r>
      <w:proofErr w:type="spellStart"/>
      <w:r w:rsidR="004833E4">
        <w:rPr>
          <w:color w:val="000000"/>
        </w:rPr>
        <w:t>ss</w:t>
      </w:r>
      <w:proofErr w:type="spellEnd"/>
      <w:r w:rsidR="004833E4">
        <w:rPr>
          <w:color w:val="000000"/>
        </w:rPr>
        <w:t xml:space="preserve"> (1) (f), only until the arbitration award is handed down, then the position is that the Municipality’s claim would still have prescribed by 30 June 2019. This is so </w:t>
      </w:r>
      <w:r w:rsidR="002E6B27">
        <w:rPr>
          <w:color w:val="000000"/>
        </w:rPr>
        <w:t xml:space="preserve">because, with the arbitration award published on 3 October 2017 and the debt prescribing on 30 June 2019, it cannot be said that the relevant period of prescription would have been completed within one year after the day </w:t>
      </w:r>
      <w:r w:rsidR="002E6B27">
        <w:rPr>
          <w:color w:val="000000"/>
        </w:rPr>
        <w:lastRenderedPageBreak/>
        <w:t xml:space="preserve">on which the impediment had ceased to exist. In other words, in order for </w:t>
      </w:r>
      <w:proofErr w:type="spellStart"/>
      <w:r w:rsidR="002E6B27">
        <w:rPr>
          <w:color w:val="000000"/>
        </w:rPr>
        <w:t>ss</w:t>
      </w:r>
      <w:proofErr w:type="spellEnd"/>
      <w:r w:rsidR="002E6B27">
        <w:rPr>
          <w:color w:val="000000"/>
        </w:rPr>
        <w:t xml:space="preserve"> 1(f) to find application </w:t>
      </w:r>
      <w:r w:rsidR="002E6B27" w:rsidRPr="002E6B27">
        <w:rPr>
          <w:i/>
          <w:color w:val="000000"/>
        </w:rPr>
        <w:t xml:space="preserve">in </w:t>
      </w:r>
      <w:proofErr w:type="spellStart"/>
      <w:r w:rsidR="002E6B27" w:rsidRPr="002E6B27">
        <w:rPr>
          <w:i/>
          <w:color w:val="000000"/>
        </w:rPr>
        <w:t>casu</w:t>
      </w:r>
      <w:proofErr w:type="spellEnd"/>
      <w:r w:rsidR="002E6B27">
        <w:rPr>
          <w:color w:val="000000"/>
        </w:rPr>
        <w:t xml:space="preserve">, the debt ought ordinarily to have prescribed on or before </w:t>
      </w:r>
      <w:r w:rsidR="00E63305">
        <w:rPr>
          <w:color w:val="000000"/>
        </w:rPr>
        <w:t xml:space="preserve">2 October 2018. Therefore, in this matter and on the assumption that the ‘impediment’ ceased to exist when the award was published, the arbitration proceedings and the subsequent arbitration award have no effect on the period of prescription which ran from 1 July 2016 to 30 June 2019. </w:t>
      </w:r>
    </w:p>
    <w:p w:rsidR="004833E4" w:rsidRDefault="0079222A" w:rsidP="0079222A">
      <w:pPr>
        <w:pStyle w:val="LegalList1"/>
        <w:numPr>
          <w:ilvl w:val="0"/>
          <w:numId w:val="0"/>
        </w:numPr>
        <w:spacing w:after="120" w:line="360" w:lineRule="auto"/>
        <w:rPr>
          <w:color w:val="000000"/>
        </w:rPr>
      </w:pPr>
      <w:r>
        <w:rPr>
          <w:color w:val="000000"/>
        </w:rPr>
        <w:t>[15].</w:t>
      </w:r>
      <w:r>
        <w:rPr>
          <w:color w:val="000000"/>
        </w:rPr>
        <w:tab/>
      </w:r>
      <w:r w:rsidR="005A6B81">
        <w:rPr>
          <w:color w:val="000000"/>
        </w:rPr>
        <w:t xml:space="preserve">It therefore follows </w:t>
      </w:r>
      <w:r w:rsidR="00E63305">
        <w:rPr>
          <w:color w:val="000000"/>
        </w:rPr>
        <w:t xml:space="preserve">that on the </w:t>
      </w:r>
      <w:proofErr w:type="spellStart"/>
      <w:r w:rsidR="00E63305">
        <w:rPr>
          <w:color w:val="000000"/>
        </w:rPr>
        <w:t>aforegoing</w:t>
      </w:r>
      <w:proofErr w:type="spellEnd"/>
      <w:r w:rsidR="00E63305">
        <w:rPr>
          <w:color w:val="000000"/>
        </w:rPr>
        <w:t xml:space="preserve"> interpretation and construction, as contended for by </w:t>
      </w:r>
      <w:proofErr w:type="spellStart"/>
      <w:r w:rsidR="00E63305">
        <w:rPr>
          <w:color w:val="000000"/>
        </w:rPr>
        <w:t>Lubbe</w:t>
      </w:r>
      <w:proofErr w:type="spellEnd"/>
      <w:r w:rsidR="00E63305">
        <w:rPr>
          <w:color w:val="000000"/>
        </w:rPr>
        <w:t xml:space="preserve"> Construction, the Municipality’s claim to have the arbitrator’s award made an order of court, had become prescribed by the time the application in terms of s 31(1) of the Arbitration A</w:t>
      </w:r>
      <w:r w:rsidR="008F0052">
        <w:rPr>
          <w:color w:val="000000"/>
        </w:rPr>
        <w:t xml:space="preserve">ct, was issued and served on </w:t>
      </w:r>
      <w:proofErr w:type="spellStart"/>
      <w:r w:rsidR="008F0052">
        <w:rPr>
          <w:color w:val="000000"/>
        </w:rPr>
        <w:t>Lubbe</w:t>
      </w:r>
      <w:proofErr w:type="spellEnd"/>
      <w:r w:rsidR="008F0052">
        <w:rPr>
          <w:color w:val="000000"/>
        </w:rPr>
        <w:t xml:space="preserve"> on 9 October 2020. </w:t>
      </w:r>
    </w:p>
    <w:p w:rsidR="004E3EFE" w:rsidRDefault="0079222A" w:rsidP="0079222A">
      <w:pPr>
        <w:pStyle w:val="LegalList1"/>
        <w:numPr>
          <w:ilvl w:val="0"/>
          <w:numId w:val="0"/>
        </w:numPr>
        <w:spacing w:after="120" w:line="360" w:lineRule="auto"/>
        <w:rPr>
          <w:color w:val="000000"/>
        </w:rPr>
      </w:pPr>
      <w:r>
        <w:rPr>
          <w:color w:val="000000"/>
        </w:rPr>
        <w:t>[16].</w:t>
      </w:r>
      <w:r>
        <w:rPr>
          <w:color w:val="000000"/>
        </w:rPr>
        <w:tab/>
      </w:r>
      <w:r w:rsidR="008F0052">
        <w:rPr>
          <w:color w:val="000000"/>
        </w:rPr>
        <w:t xml:space="preserve">Conversely, if it is to be accepted </w:t>
      </w:r>
      <w:r w:rsidR="00765CBD">
        <w:rPr>
          <w:color w:val="000000"/>
        </w:rPr>
        <w:t>that the debt became the ‘object of a dispute subjected to arbitration’ on 24 November 2016</w:t>
      </w:r>
      <w:r w:rsidR="00BF4D85">
        <w:rPr>
          <w:color w:val="000000"/>
        </w:rPr>
        <w:t>, when the Arbitrator was appointed</w:t>
      </w:r>
      <w:r w:rsidR="008F0052">
        <w:rPr>
          <w:color w:val="000000"/>
        </w:rPr>
        <w:t>, and t</w:t>
      </w:r>
      <w:r w:rsidR="00765CBD">
        <w:rPr>
          <w:color w:val="000000"/>
        </w:rPr>
        <w:t xml:space="preserve">he </w:t>
      </w:r>
      <w:r w:rsidR="008672A9">
        <w:rPr>
          <w:color w:val="000000"/>
        </w:rPr>
        <w:t>‘</w:t>
      </w:r>
      <w:r w:rsidR="00765CBD">
        <w:rPr>
          <w:color w:val="000000"/>
        </w:rPr>
        <w:t>impediment</w:t>
      </w:r>
      <w:r w:rsidR="008672A9">
        <w:rPr>
          <w:color w:val="000000"/>
        </w:rPr>
        <w:t>’</w:t>
      </w:r>
      <w:r w:rsidR="00765CBD">
        <w:rPr>
          <w:color w:val="000000"/>
        </w:rPr>
        <w:t xml:space="preserve">, being the arbitration, ceased to exist on the date on which the application by </w:t>
      </w:r>
      <w:proofErr w:type="spellStart"/>
      <w:r w:rsidR="00765CBD">
        <w:rPr>
          <w:color w:val="000000"/>
        </w:rPr>
        <w:t>Lubbe</w:t>
      </w:r>
      <w:proofErr w:type="spellEnd"/>
      <w:r w:rsidR="00765CBD">
        <w:rPr>
          <w:color w:val="000000"/>
        </w:rPr>
        <w:t xml:space="preserve"> Construction to review and set aside the arbitration award, was dismissed by </w:t>
      </w:r>
      <w:proofErr w:type="spellStart"/>
      <w:r w:rsidR="00765CBD">
        <w:rPr>
          <w:color w:val="000000"/>
        </w:rPr>
        <w:t>Vally</w:t>
      </w:r>
      <w:proofErr w:type="spellEnd"/>
      <w:r w:rsidR="00765CBD">
        <w:rPr>
          <w:color w:val="000000"/>
        </w:rPr>
        <w:t xml:space="preserve"> J, that being </w:t>
      </w:r>
      <w:r w:rsidR="007A0E3D">
        <w:rPr>
          <w:color w:val="000000"/>
        </w:rPr>
        <w:t>23</w:t>
      </w:r>
      <w:r w:rsidR="00BF4D85">
        <w:rPr>
          <w:color w:val="000000"/>
        </w:rPr>
        <w:t xml:space="preserve"> </w:t>
      </w:r>
      <w:r w:rsidR="007A0E3D">
        <w:rPr>
          <w:color w:val="000000"/>
        </w:rPr>
        <w:t>April</w:t>
      </w:r>
      <w:r w:rsidR="00BF4D85">
        <w:rPr>
          <w:color w:val="000000"/>
        </w:rPr>
        <w:t xml:space="preserve"> 2020</w:t>
      </w:r>
      <w:r w:rsidR="008F0052">
        <w:rPr>
          <w:color w:val="000000"/>
        </w:rPr>
        <w:t>, then the position would be as follows</w:t>
      </w:r>
      <w:r w:rsidR="00BF4D85">
        <w:rPr>
          <w:color w:val="000000"/>
        </w:rPr>
        <w:t xml:space="preserve">. </w:t>
      </w:r>
      <w:r w:rsidR="00F12331">
        <w:rPr>
          <w:color w:val="000000"/>
        </w:rPr>
        <w:t>In the ordinary course, t</w:t>
      </w:r>
      <w:r w:rsidR="00BF4D85">
        <w:rPr>
          <w:color w:val="000000"/>
        </w:rPr>
        <w:t xml:space="preserve">he debt would have become prescribed on 30 June 2019, which falls squarely within the period mentioned in </w:t>
      </w:r>
      <w:proofErr w:type="spellStart"/>
      <w:r w:rsidR="00BF4D85">
        <w:rPr>
          <w:color w:val="000000"/>
        </w:rPr>
        <w:t>ss</w:t>
      </w:r>
      <w:proofErr w:type="spellEnd"/>
      <w:r w:rsidR="00BF4D85">
        <w:rPr>
          <w:color w:val="000000"/>
        </w:rPr>
        <w:t xml:space="preserve"> (1</w:t>
      </w:r>
      <w:proofErr w:type="gramStart"/>
      <w:r w:rsidR="00BF4D85">
        <w:rPr>
          <w:color w:val="000000"/>
        </w:rPr>
        <w:t>)(</w:t>
      </w:r>
      <w:proofErr w:type="spellStart"/>
      <w:proofErr w:type="gramEnd"/>
      <w:r w:rsidR="00BF4D85">
        <w:rPr>
          <w:color w:val="000000"/>
        </w:rPr>
        <w:t>i</w:t>
      </w:r>
      <w:proofErr w:type="spellEnd"/>
      <w:r w:rsidR="00BF4D85">
        <w:rPr>
          <w:color w:val="000000"/>
        </w:rPr>
        <w:t>), which, in turn, means that the prescription</w:t>
      </w:r>
      <w:r w:rsidR="004E3EFE">
        <w:rPr>
          <w:color w:val="000000"/>
        </w:rPr>
        <w:t xml:space="preserve"> of the debt would have been delayed by one year from </w:t>
      </w:r>
      <w:r w:rsidR="007A0E3D">
        <w:rPr>
          <w:color w:val="000000"/>
        </w:rPr>
        <w:t>23</w:t>
      </w:r>
      <w:r w:rsidR="004E3EFE">
        <w:rPr>
          <w:color w:val="000000"/>
        </w:rPr>
        <w:t xml:space="preserve"> </w:t>
      </w:r>
      <w:r w:rsidR="007A0E3D">
        <w:rPr>
          <w:color w:val="000000"/>
        </w:rPr>
        <w:t xml:space="preserve">April </w:t>
      </w:r>
      <w:r w:rsidR="004E3EFE">
        <w:rPr>
          <w:color w:val="000000"/>
        </w:rPr>
        <w:t xml:space="preserve">2020, which means that the </w:t>
      </w:r>
      <w:proofErr w:type="spellStart"/>
      <w:r w:rsidR="004E3EFE">
        <w:rPr>
          <w:color w:val="000000"/>
        </w:rPr>
        <w:t>Matatiele</w:t>
      </w:r>
      <w:proofErr w:type="spellEnd"/>
      <w:r w:rsidR="004E3EFE">
        <w:rPr>
          <w:color w:val="000000"/>
        </w:rPr>
        <w:t xml:space="preserve"> Local </w:t>
      </w:r>
      <w:r w:rsidR="007A0E3D">
        <w:rPr>
          <w:color w:val="000000"/>
        </w:rPr>
        <w:t>Municipality</w:t>
      </w:r>
      <w:r w:rsidR="004E3EFE">
        <w:rPr>
          <w:color w:val="000000"/>
        </w:rPr>
        <w:t xml:space="preserve"> would have had until </w:t>
      </w:r>
      <w:r w:rsidR="007A0E3D">
        <w:rPr>
          <w:color w:val="000000"/>
        </w:rPr>
        <w:t>22</w:t>
      </w:r>
      <w:r w:rsidR="00722FC1">
        <w:rPr>
          <w:color w:val="000000"/>
        </w:rPr>
        <w:t> </w:t>
      </w:r>
      <w:r w:rsidR="007A0E3D">
        <w:rPr>
          <w:color w:val="000000"/>
        </w:rPr>
        <w:t>April</w:t>
      </w:r>
      <w:r w:rsidR="004E3EFE">
        <w:rPr>
          <w:color w:val="000000"/>
        </w:rPr>
        <w:t xml:space="preserve"> 2021 to launch its application to have the award made an order of Court. They did that well before the due date. Therefore, </w:t>
      </w:r>
      <w:r w:rsidR="008F0052">
        <w:rPr>
          <w:color w:val="000000"/>
        </w:rPr>
        <w:t xml:space="preserve">on this scenario – which is the one contended for by the Municipality – </w:t>
      </w:r>
      <w:r w:rsidR="004E3EFE">
        <w:rPr>
          <w:color w:val="000000"/>
        </w:rPr>
        <w:t>the</w:t>
      </w:r>
      <w:r w:rsidR="008F0052">
        <w:rPr>
          <w:color w:val="000000"/>
        </w:rPr>
        <w:t xml:space="preserve"> </w:t>
      </w:r>
      <w:r w:rsidR="004E3EFE">
        <w:rPr>
          <w:color w:val="000000"/>
        </w:rPr>
        <w:t xml:space="preserve">prescription point raised </w:t>
      </w:r>
      <w:r w:rsidR="007A0E3D" w:rsidRPr="007A0E3D">
        <w:rPr>
          <w:i/>
          <w:color w:val="000000"/>
        </w:rPr>
        <w:t xml:space="preserve">in </w:t>
      </w:r>
      <w:proofErr w:type="spellStart"/>
      <w:r w:rsidR="007A0E3D" w:rsidRPr="007A0E3D">
        <w:rPr>
          <w:i/>
          <w:color w:val="000000"/>
        </w:rPr>
        <w:t>limine</w:t>
      </w:r>
      <w:proofErr w:type="spellEnd"/>
      <w:r w:rsidR="007A0E3D">
        <w:rPr>
          <w:color w:val="000000"/>
        </w:rPr>
        <w:t xml:space="preserve"> </w:t>
      </w:r>
      <w:r w:rsidR="004E3EFE">
        <w:rPr>
          <w:color w:val="000000"/>
        </w:rPr>
        <w:t xml:space="preserve">by </w:t>
      </w:r>
      <w:proofErr w:type="spellStart"/>
      <w:r w:rsidR="004E3EFE">
        <w:rPr>
          <w:color w:val="000000"/>
        </w:rPr>
        <w:t>Lubbe</w:t>
      </w:r>
      <w:proofErr w:type="spellEnd"/>
      <w:r w:rsidR="004E3EFE">
        <w:rPr>
          <w:color w:val="000000"/>
        </w:rPr>
        <w:t xml:space="preserve"> Construction </w:t>
      </w:r>
      <w:r w:rsidR="008F0052">
        <w:rPr>
          <w:color w:val="000000"/>
        </w:rPr>
        <w:t xml:space="preserve">would be </w:t>
      </w:r>
      <w:r w:rsidR="004E3EFE">
        <w:rPr>
          <w:color w:val="000000"/>
        </w:rPr>
        <w:t xml:space="preserve">bad in law. </w:t>
      </w:r>
    </w:p>
    <w:p w:rsidR="00BB6A85" w:rsidRDefault="0079222A" w:rsidP="0079222A">
      <w:pPr>
        <w:pStyle w:val="LegalList1"/>
        <w:numPr>
          <w:ilvl w:val="0"/>
          <w:numId w:val="0"/>
        </w:numPr>
        <w:spacing w:after="120" w:line="360" w:lineRule="auto"/>
        <w:rPr>
          <w:color w:val="000000"/>
        </w:rPr>
      </w:pPr>
      <w:r>
        <w:rPr>
          <w:color w:val="000000"/>
        </w:rPr>
        <w:t>[17].</w:t>
      </w:r>
      <w:r>
        <w:rPr>
          <w:color w:val="000000"/>
        </w:rPr>
        <w:tab/>
      </w:r>
      <w:r w:rsidR="005D069A">
        <w:rPr>
          <w:color w:val="000000"/>
        </w:rPr>
        <w:t xml:space="preserve">In its answering affidavit, </w:t>
      </w:r>
      <w:proofErr w:type="spellStart"/>
      <w:r w:rsidR="005D069A">
        <w:rPr>
          <w:color w:val="000000"/>
        </w:rPr>
        <w:t>Lubbe</w:t>
      </w:r>
      <w:proofErr w:type="spellEnd"/>
      <w:r w:rsidR="005D069A">
        <w:rPr>
          <w:color w:val="000000"/>
        </w:rPr>
        <w:t xml:space="preserve"> Construction avers </w:t>
      </w:r>
      <w:r w:rsidR="00BB6A85">
        <w:rPr>
          <w:color w:val="000000"/>
        </w:rPr>
        <w:t>that s</w:t>
      </w:r>
      <w:r w:rsidR="005D069A" w:rsidRPr="00BB6A85">
        <w:rPr>
          <w:color w:val="000000"/>
        </w:rPr>
        <w:t xml:space="preserve"> 15(3) of the Prescription Act </w:t>
      </w:r>
      <w:r w:rsidR="00BB6A85">
        <w:rPr>
          <w:color w:val="000000"/>
        </w:rPr>
        <w:t>finds application in that, on 30 November 2016, an amount of R5 824 </w:t>
      </w:r>
      <w:r w:rsidR="00BB6A85" w:rsidRPr="005D069A">
        <w:rPr>
          <w:color w:val="000000"/>
        </w:rPr>
        <w:t xml:space="preserve">245.96 </w:t>
      </w:r>
      <w:r w:rsidR="00BB6A85">
        <w:rPr>
          <w:color w:val="000000"/>
        </w:rPr>
        <w:t xml:space="preserve">was paid on their behalf on account of their indebtedness to </w:t>
      </w:r>
      <w:r w:rsidR="007A0E3D">
        <w:rPr>
          <w:color w:val="000000"/>
        </w:rPr>
        <w:t xml:space="preserve">the </w:t>
      </w:r>
      <w:proofErr w:type="spellStart"/>
      <w:r w:rsidR="00BB6A85">
        <w:rPr>
          <w:color w:val="000000"/>
        </w:rPr>
        <w:t>Matatiele</w:t>
      </w:r>
      <w:proofErr w:type="spellEnd"/>
      <w:r w:rsidR="00BB6A85">
        <w:rPr>
          <w:color w:val="000000"/>
        </w:rPr>
        <w:t xml:space="preserve"> Local </w:t>
      </w:r>
      <w:r w:rsidR="007A0E3D">
        <w:rPr>
          <w:color w:val="000000"/>
        </w:rPr>
        <w:t>Municipality</w:t>
      </w:r>
      <w:r w:rsidR="00BB6A85">
        <w:rPr>
          <w:color w:val="000000"/>
        </w:rPr>
        <w:t xml:space="preserve">. This, so the argument goes on behalf </w:t>
      </w:r>
      <w:proofErr w:type="spellStart"/>
      <w:r w:rsidR="00BB6A85">
        <w:rPr>
          <w:color w:val="000000"/>
        </w:rPr>
        <w:t>Lubbe</w:t>
      </w:r>
      <w:proofErr w:type="spellEnd"/>
      <w:r w:rsidR="00BB6A85">
        <w:rPr>
          <w:color w:val="000000"/>
        </w:rPr>
        <w:t xml:space="preserve"> Construction, amounts to an admission of liability by it, which in turn means that </w:t>
      </w:r>
      <w:r w:rsidR="00BB6A85">
        <w:rPr>
          <w:color w:val="000000"/>
        </w:rPr>
        <w:lastRenderedPageBreak/>
        <w:t xml:space="preserve">the prescription would have started to run anew from </w:t>
      </w:r>
      <w:r w:rsidR="00BB6A85" w:rsidRPr="005D069A">
        <w:rPr>
          <w:color w:val="000000"/>
        </w:rPr>
        <w:t>30 November 2016</w:t>
      </w:r>
      <w:r w:rsidR="00BB6A85">
        <w:rPr>
          <w:color w:val="000000"/>
        </w:rPr>
        <w:t xml:space="preserve"> and the Municipality’s claim would have become prescribed on 29 November 2019.</w:t>
      </w:r>
    </w:p>
    <w:p w:rsidR="00BB6A85" w:rsidRPr="005D069A" w:rsidRDefault="0079222A" w:rsidP="0079222A">
      <w:pPr>
        <w:pStyle w:val="LegalList1"/>
        <w:numPr>
          <w:ilvl w:val="0"/>
          <w:numId w:val="0"/>
        </w:numPr>
        <w:spacing w:after="0" w:line="360" w:lineRule="auto"/>
        <w:rPr>
          <w:color w:val="000000"/>
        </w:rPr>
      </w:pPr>
      <w:r w:rsidRPr="005D069A">
        <w:rPr>
          <w:color w:val="000000"/>
        </w:rPr>
        <w:t>[18].</w:t>
      </w:r>
      <w:r w:rsidRPr="005D069A">
        <w:rPr>
          <w:color w:val="000000"/>
        </w:rPr>
        <w:tab/>
      </w:r>
      <w:r w:rsidR="00BB6A85">
        <w:rPr>
          <w:color w:val="000000"/>
        </w:rPr>
        <w:t>Section 15(3) provides as follows:</w:t>
      </w:r>
    </w:p>
    <w:p w:rsidR="005D069A" w:rsidRPr="00722FC1" w:rsidRDefault="00722FC1" w:rsidP="00BB6A85">
      <w:pPr>
        <w:pStyle w:val="LegalList1"/>
        <w:numPr>
          <w:ilvl w:val="0"/>
          <w:numId w:val="0"/>
        </w:numPr>
        <w:spacing w:after="120" w:line="360" w:lineRule="auto"/>
        <w:rPr>
          <w:color w:val="000000"/>
          <w:sz w:val="22"/>
          <w:szCs w:val="22"/>
        </w:rPr>
      </w:pPr>
      <w:r w:rsidRPr="00722FC1">
        <w:rPr>
          <w:color w:val="000000"/>
          <w:sz w:val="22"/>
          <w:szCs w:val="22"/>
        </w:rPr>
        <w:t>‘I</w:t>
      </w:r>
      <w:r w:rsidR="005D069A" w:rsidRPr="00722FC1">
        <w:rPr>
          <w:color w:val="000000"/>
          <w:sz w:val="22"/>
          <w:szCs w:val="22"/>
        </w:rPr>
        <w:t xml:space="preserve">f the running of prescription is interrupted as contemplated in subsection (1) and the debtor acknowledges liability, and the creditor does not prosecute his claim to final judgment, prescription shall commence to run </w:t>
      </w:r>
      <w:proofErr w:type="spellStart"/>
      <w:r w:rsidR="005D069A" w:rsidRPr="00722FC1">
        <w:rPr>
          <w:color w:val="000000"/>
          <w:sz w:val="22"/>
          <w:szCs w:val="22"/>
        </w:rPr>
        <w:t>afresh</w:t>
      </w:r>
      <w:proofErr w:type="spellEnd"/>
      <w:r w:rsidR="005D069A" w:rsidRPr="00722FC1">
        <w:rPr>
          <w:color w:val="000000"/>
          <w:sz w:val="22"/>
          <w:szCs w:val="22"/>
        </w:rPr>
        <w:t xml:space="preserve"> from the day on which the debtor acknowledges liability or if at time when the debtor acknowledges liability or at any time thereafter the parties postpone the due date of the debt, from the day upon wh</w:t>
      </w:r>
      <w:r>
        <w:rPr>
          <w:color w:val="000000"/>
          <w:sz w:val="22"/>
          <w:szCs w:val="22"/>
        </w:rPr>
        <w:t>ich the debt again becomes due.’</w:t>
      </w:r>
    </w:p>
    <w:p w:rsidR="008F0052" w:rsidRDefault="0079222A" w:rsidP="0079222A">
      <w:pPr>
        <w:pStyle w:val="LegalList1"/>
        <w:numPr>
          <w:ilvl w:val="0"/>
          <w:numId w:val="0"/>
        </w:numPr>
        <w:spacing w:after="120" w:line="360" w:lineRule="auto"/>
        <w:rPr>
          <w:color w:val="000000"/>
        </w:rPr>
      </w:pPr>
      <w:r>
        <w:rPr>
          <w:color w:val="000000"/>
        </w:rPr>
        <w:t>[19].</w:t>
      </w:r>
      <w:r>
        <w:rPr>
          <w:color w:val="000000"/>
        </w:rPr>
        <w:tab/>
      </w:r>
      <w:r w:rsidR="00722FC1">
        <w:rPr>
          <w:color w:val="000000"/>
        </w:rPr>
        <w:t xml:space="preserve">There are a number of difficulties with this contention on behalf of </w:t>
      </w:r>
      <w:proofErr w:type="spellStart"/>
      <w:r w:rsidR="00722FC1">
        <w:rPr>
          <w:color w:val="000000"/>
        </w:rPr>
        <w:t>Lubbe</w:t>
      </w:r>
      <w:proofErr w:type="spellEnd"/>
      <w:r w:rsidR="00722FC1">
        <w:rPr>
          <w:color w:val="000000"/>
        </w:rPr>
        <w:t xml:space="preserve"> Construction. Firstly, there is no evidence before me that even begins to suggest that </w:t>
      </w:r>
      <w:proofErr w:type="spellStart"/>
      <w:r w:rsidR="00722FC1">
        <w:rPr>
          <w:color w:val="000000"/>
        </w:rPr>
        <w:t>Lubbe</w:t>
      </w:r>
      <w:proofErr w:type="spellEnd"/>
      <w:r w:rsidR="00722FC1">
        <w:rPr>
          <w:color w:val="000000"/>
        </w:rPr>
        <w:t xml:space="preserve"> Construction admitted liability for the debt. On the contrary, the evidence is overwhelmingly in support of a conclusion that the liability was strenuously denied throughout. So much so that when the Arbitrator awarded damages in favour of the Municipality, </w:t>
      </w:r>
      <w:proofErr w:type="spellStart"/>
      <w:r w:rsidR="00722FC1">
        <w:rPr>
          <w:color w:val="000000"/>
        </w:rPr>
        <w:t>Lubbe</w:t>
      </w:r>
      <w:proofErr w:type="spellEnd"/>
      <w:r w:rsidR="00722FC1">
        <w:rPr>
          <w:color w:val="000000"/>
        </w:rPr>
        <w:t xml:space="preserve"> took that decision </w:t>
      </w:r>
      <w:r w:rsidR="007A0E3D">
        <w:rPr>
          <w:color w:val="000000"/>
        </w:rPr>
        <w:t>on</w:t>
      </w:r>
      <w:r w:rsidR="00722FC1">
        <w:rPr>
          <w:color w:val="000000"/>
        </w:rPr>
        <w:t xml:space="preserve"> judicial review. Secondly, even if I am to accept that the prescription period was to commence running afresh on 30 November 2019, it would make no difference to the conclusion reached by me when applying s 13(1) of the Prescription Act </w:t>
      </w:r>
      <w:r w:rsidR="008F0052">
        <w:rPr>
          <w:color w:val="000000"/>
        </w:rPr>
        <w:t xml:space="preserve">on either of the above two possible postulations. The prescription point would be good in the first scenario and </w:t>
      </w:r>
      <w:r w:rsidR="00F12331">
        <w:rPr>
          <w:color w:val="000000"/>
        </w:rPr>
        <w:t>bad</w:t>
      </w:r>
      <w:r w:rsidR="008F0052">
        <w:rPr>
          <w:color w:val="000000"/>
        </w:rPr>
        <w:t xml:space="preserve"> in the second scenario.</w:t>
      </w:r>
    </w:p>
    <w:p w:rsidR="00693BB9" w:rsidRDefault="0079222A" w:rsidP="0079222A">
      <w:pPr>
        <w:pStyle w:val="LegalList1"/>
        <w:numPr>
          <w:ilvl w:val="0"/>
          <w:numId w:val="0"/>
        </w:numPr>
        <w:spacing w:after="120" w:line="360" w:lineRule="auto"/>
        <w:rPr>
          <w:color w:val="000000"/>
        </w:rPr>
      </w:pPr>
      <w:r>
        <w:rPr>
          <w:color w:val="000000"/>
        </w:rPr>
        <w:t>[20].</w:t>
      </w:r>
      <w:r>
        <w:rPr>
          <w:color w:val="000000"/>
        </w:rPr>
        <w:tab/>
      </w:r>
      <w:proofErr w:type="gramStart"/>
      <w:r w:rsidR="008F0052">
        <w:rPr>
          <w:color w:val="000000"/>
        </w:rPr>
        <w:t>The</w:t>
      </w:r>
      <w:proofErr w:type="gramEnd"/>
      <w:r w:rsidR="008F0052">
        <w:rPr>
          <w:color w:val="000000"/>
        </w:rPr>
        <w:t xml:space="preserve"> </w:t>
      </w:r>
      <w:r w:rsidR="001E4C4A">
        <w:rPr>
          <w:color w:val="000000"/>
        </w:rPr>
        <w:t>simple question remains</w:t>
      </w:r>
      <w:r w:rsidR="008F0052">
        <w:rPr>
          <w:color w:val="000000"/>
        </w:rPr>
        <w:t xml:space="preserve">. </w:t>
      </w:r>
      <w:r w:rsidR="001E4C4A">
        <w:rPr>
          <w:color w:val="000000"/>
        </w:rPr>
        <w:t>Did the impediment, namely ‘</w:t>
      </w:r>
      <w:r w:rsidR="001E4C4A" w:rsidRPr="001E4C4A">
        <w:rPr>
          <w:color w:val="000000"/>
        </w:rPr>
        <w:t xml:space="preserve">the debt </w:t>
      </w:r>
      <w:r w:rsidR="001E4C4A">
        <w:rPr>
          <w:color w:val="000000"/>
        </w:rPr>
        <w:t>[being]</w:t>
      </w:r>
      <w:r w:rsidR="001E4C4A" w:rsidRPr="001E4C4A">
        <w:rPr>
          <w:color w:val="000000"/>
        </w:rPr>
        <w:t xml:space="preserve"> the object of a dispute subjected to arbitration</w:t>
      </w:r>
      <w:r w:rsidR="001E4C4A">
        <w:rPr>
          <w:color w:val="000000"/>
        </w:rPr>
        <w:t xml:space="preserve">’, cease to exist on 7 October 2017 (the date on which the arbitration award was published) or on 23 April 2020 (the date on which the review application was dismissed by </w:t>
      </w:r>
      <w:proofErr w:type="spellStart"/>
      <w:r w:rsidR="001E4C4A">
        <w:rPr>
          <w:color w:val="000000"/>
        </w:rPr>
        <w:t>Vally</w:t>
      </w:r>
      <w:proofErr w:type="spellEnd"/>
      <w:r w:rsidR="001E4C4A">
        <w:rPr>
          <w:color w:val="000000"/>
        </w:rPr>
        <w:t xml:space="preserve"> J)? The answer to this question depends on whether one accepts or not that the review proceedings form part of the </w:t>
      </w:r>
      <w:r w:rsidR="00693BB9">
        <w:rPr>
          <w:color w:val="000000"/>
        </w:rPr>
        <w:t xml:space="preserve">arbitration. </w:t>
      </w:r>
    </w:p>
    <w:p w:rsidR="00877CC4" w:rsidRDefault="0079222A" w:rsidP="0079222A">
      <w:pPr>
        <w:pStyle w:val="LegalList1"/>
        <w:numPr>
          <w:ilvl w:val="0"/>
          <w:numId w:val="0"/>
        </w:numPr>
        <w:spacing w:after="120" w:line="360" w:lineRule="auto"/>
        <w:rPr>
          <w:color w:val="000000"/>
        </w:rPr>
      </w:pPr>
      <w:r>
        <w:rPr>
          <w:color w:val="000000"/>
        </w:rPr>
        <w:t>[21].</w:t>
      </w:r>
      <w:r>
        <w:rPr>
          <w:color w:val="000000"/>
        </w:rPr>
        <w:tab/>
      </w:r>
      <w:proofErr w:type="spellStart"/>
      <w:r w:rsidR="00693BB9">
        <w:rPr>
          <w:color w:val="000000"/>
        </w:rPr>
        <w:t>Lubbe</w:t>
      </w:r>
      <w:proofErr w:type="spellEnd"/>
      <w:r w:rsidR="00693BB9">
        <w:rPr>
          <w:color w:val="000000"/>
        </w:rPr>
        <w:t xml:space="preserve"> contends for the interpretation that the review application is not part of the arbitration and therefore did not constitute an ‘impediment’ as contemplated in </w:t>
      </w:r>
      <w:proofErr w:type="spellStart"/>
      <w:r w:rsidR="00693BB9">
        <w:rPr>
          <w:color w:val="000000"/>
        </w:rPr>
        <w:t>ss</w:t>
      </w:r>
      <w:proofErr w:type="spellEnd"/>
      <w:r w:rsidR="00693BB9">
        <w:rPr>
          <w:color w:val="000000"/>
        </w:rPr>
        <w:t xml:space="preserve"> (1</w:t>
      </w:r>
      <w:proofErr w:type="gramStart"/>
      <w:r w:rsidR="00693BB9">
        <w:rPr>
          <w:color w:val="000000"/>
        </w:rPr>
        <w:t>)(</w:t>
      </w:r>
      <w:proofErr w:type="spellStart"/>
      <w:proofErr w:type="gramEnd"/>
      <w:r w:rsidR="00693BB9">
        <w:rPr>
          <w:color w:val="000000"/>
        </w:rPr>
        <w:t>i</w:t>
      </w:r>
      <w:proofErr w:type="spellEnd"/>
      <w:r w:rsidR="00693BB9">
        <w:rPr>
          <w:color w:val="000000"/>
        </w:rPr>
        <w:t xml:space="preserve">). This construction appears to me to be supported by the wording and the context of the relevant provision. The wording of the subsection is clear and </w:t>
      </w:r>
      <w:r w:rsidR="00F45C1D">
        <w:rPr>
          <w:color w:val="000000"/>
        </w:rPr>
        <w:t>unambiguous</w:t>
      </w:r>
      <w:r w:rsidR="00693BB9">
        <w:rPr>
          <w:color w:val="000000"/>
        </w:rPr>
        <w:t xml:space="preserve"> that an impediment is constituted by </w:t>
      </w:r>
      <w:r w:rsidR="00F45C1D">
        <w:rPr>
          <w:color w:val="000000"/>
        </w:rPr>
        <w:t xml:space="preserve">a ‘dispute subjected to arbitration’. It does not, for example, make reference to a review of the arbitration </w:t>
      </w:r>
      <w:r w:rsidR="00F45C1D">
        <w:rPr>
          <w:color w:val="000000"/>
        </w:rPr>
        <w:lastRenderedPageBreak/>
        <w:t xml:space="preserve">award or to related legal proceedings or to litigation arising from or related to the review. If it was the intention of the Legislature that review proceedings and litigation subsequent to and arising from the arbitration </w:t>
      </w:r>
      <w:r w:rsidR="00671278">
        <w:rPr>
          <w:color w:val="000000"/>
        </w:rPr>
        <w:t xml:space="preserve">award </w:t>
      </w:r>
      <w:r w:rsidR="00F45C1D">
        <w:rPr>
          <w:color w:val="000000"/>
        </w:rPr>
        <w:t>should delay the completion of the period of prescription</w:t>
      </w:r>
      <w:r w:rsidR="00F12331">
        <w:rPr>
          <w:color w:val="000000"/>
        </w:rPr>
        <w:t>,</w:t>
      </w:r>
      <w:r w:rsidR="00F45C1D">
        <w:rPr>
          <w:color w:val="000000"/>
        </w:rPr>
        <w:t xml:space="preserve"> it mos</w:t>
      </w:r>
      <w:r w:rsidR="000D7B5A">
        <w:rPr>
          <w:color w:val="000000"/>
        </w:rPr>
        <w:t xml:space="preserve">t certainly would have </w:t>
      </w:r>
      <w:r w:rsidR="00671278">
        <w:rPr>
          <w:color w:val="000000"/>
        </w:rPr>
        <w:t>said</w:t>
      </w:r>
      <w:r w:rsidR="000D7B5A">
        <w:rPr>
          <w:color w:val="000000"/>
        </w:rPr>
        <w:t xml:space="preserve"> so.</w:t>
      </w:r>
    </w:p>
    <w:p w:rsidR="001F25F1" w:rsidRDefault="0079222A" w:rsidP="0079222A">
      <w:pPr>
        <w:pStyle w:val="LegalList1"/>
        <w:numPr>
          <w:ilvl w:val="0"/>
          <w:numId w:val="0"/>
        </w:numPr>
        <w:spacing w:after="120" w:line="360" w:lineRule="auto"/>
        <w:rPr>
          <w:color w:val="000000"/>
        </w:rPr>
      </w:pPr>
      <w:r>
        <w:rPr>
          <w:color w:val="000000"/>
        </w:rPr>
        <w:t>[22].</w:t>
      </w:r>
      <w:r>
        <w:rPr>
          <w:color w:val="000000"/>
        </w:rPr>
        <w:tab/>
      </w:r>
      <w:r w:rsidR="000D7B5A">
        <w:rPr>
          <w:color w:val="000000"/>
        </w:rPr>
        <w:t xml:space="preserve"> </w:t>
      </w:r>
      <w:r w:rsidR="00F12331" w:rsidRPr="00877CC4">
        <w:rPr>
          <w:color w:val="000000"/>
        </w:rPr>
        <w:t xml:space="preserve">A further consideration relevant to the interpretation of </w:t>
      </w:r>
      <w:proofErr w:type="spellStart"/>
      <w:r w:rsidR="00F12331" w:rsidRPr="00877CC4">
        <w:rPr>
          <w:color w:val="000000"/>
        </w:rPr>
        <w:t>ss</w:t>
      </w:r>
      <w:proofErr w:type="spellEnd"/>
      <w:r w:rsidR="00F12331" w:rsidRPr="00877CC4">
        <w:rPr>
          <w:color w:val="000000"/>
        </w:rPr>
        <w:t xml:space="preserve"> </w:t>
      </w:r>
      <w:r w:rsidR="00877CC4" w:rsidRPr="00877CC4">
        <w:rPr>
          <w:color w:val="000000"/>
        </w:rPr>
        <w:t>1(f) and (</w:t>
      </w:r>
      <w:proofErr w:type="spellStart"/>
      <w:r w:rsidR="00877CC4" w:rsidRPr="00877CC4">
        <w:rPr>
          <w:color w:val="000000"/>
        </w:rPr>
        <w:t>i</w:t>
      </w:r>
      <w:proofErr w:type="spellEnd"/>
      <w:r w:rsidR="00877CC4" w:rsidRPr="00877CC4">
        <w:rPr>
          <w:color w:val="000000"/>
        </w:rPr>
        <w:t>) is s 11(d) of the Prescription A</w:t>
      </w:r>
      <w:r w:rsidR="00877CC4">
        <w:rPr>
          <w:color w:val="000000"/>
        </w:rPr>
        <w:t xml:space="preserve">ct, which provides that, </w:t>
      </w:r>
      <w:r w:rsidR="00877CC4" w:rsidRPr="00877CC4">
        <w:rPr>
          <w:color w:val="000000"/>
        </w:rPr>
        <w:t xml:space="preserve">save where an Act of </w:t>
      </w:r>
      <w:r w:rsidR="00877CC4">
        <w:rPr>
          <w:color w:val="000000"/>
        </w:rPr>
        <w:t>Parliament provides otherwise, t</w:t>
      </w:r>
      <w:r w:rsidR="001F25F1">
        <w:rPr>
          <w:color w:val="000000"/>
        </w:rPr>
        <w:t>he period</w:t>
      </w:r>
      <w:r w:rsidR="00877CC4" w:rsidRPr="00877CC4">
        <w:rPr>
          <w:color w:val="000000"/>
        </w:rPr>
        <w:t xml:space="preserve"> of prescription of </w:t>
      </w:r>
      <w:r w:rsidR="00877CC4">
        <w:rPr>
          <w:color w:val="000000"/>
        </w:rPr>
        <w:t xml:space="preserve">‘any other debt’ </w:t>
      </w:r>
      <w:r w:rsidR="00877CC4" w:rsidRPr="00877CC4">
        <w:rPr>
          <w:color w:val="000000"/>
        </w:rPr>
        <w:t xml:space="preserve">shall be </w:t>
      </w:r>
      <w:r w:rsidR="00877CC4">
        <w:rPr>
          <w:color w:val="000000"/>
        </w:rPr>
        <w:t>t</w:t>
      </w:r>
      <w:r w:rsidR="00877CC4" w:rsidRPr="00877CC4">
        <w:rPr>
          <w:color w:val="000000"/>
        </w:rPr>
        <w:t>hree years</w:t>
      </w:r>
      <w:r w:rsidR="00877CC4">
        <w:rPr>
          <w:color w:val="000000"/>
        </w:rPr>
        <w:t xml:space="preserve">. The Arbitration Act does not have a provision relating to </w:t>
      </w:r>
      <w:r w:rsidR="001F25F1">
        <w:rPr>
          <w:color w:val="000000"/>
        </w:rPr>
        <w:t xml:space="preserve">the prescription of </w:t>
      </w:r>
      <w:r w:rsidR="00877CC4">
        <w:rPr>
          <w:color w:val="000000"/>
        </w:rPr>
        <w:t>an arbitral award being made an order of Court</w:t>
      </w:r>
      <w:r w:rsidR="00877CC4" w:rsidRPr="00877CC4">
        <w:rPr>
          <w:color w:val="000000"/>
        </w:rPr>
        <w:t>.</w:t>
      </w:r>
      <w:r w:rsidR="00877CC4">
        <w:rPr>
          <w:color w:val="000000"/>
        </w:rPr>
        <w:t xml:space="preserve"> The point is this: If the Legislature intended for the review of awards to delay the completion of the period of prescription, it would have done so either by writing same into the Prescription Act or by making provision therefore in the Arbitration Act. This has not been done by the Legislature, and the ineluctable conclusion to be drawn is that the intention was simply to exclude the review proceedings as an ‘impediment’ which</w:t>
      </w:r>
      <w:r w:rsidR="001F25F1">
        <w:rPr>
          <w:color w:val="000000"/>
        </w:rPr>
        <w:t xml:space="preserve"> would delay the completion of the prescription period.</w:t>
      </w:r>
    </w:p>
    <w:p w:rsidR="00F9369B" w:rsidRPr="00CD1EEB" w:rsidRDefault="0079222A" w:rsidP="0079222A">
      <w:pPr>
        <w:pStyle w:val="LegalList1"/>
        <w:numPr>
          <w:ilvl w:val="0"/>
          <w:numId w:val="0"/>
        </w:numPr>
        <w:spacing w:after="0" w:line="360" w:lineRule="auto"/>
        <w:rPr>
          <w:color w:val="000000"/>
        </w:rPr>
      </w:pPr>
      <w:r w:rsidRPr="00CD1EEB">
        <w:rPr>
          <w:color w:val="000000"/>
        </w:rPr>
        <w:t>[23].</w:t>
      </w:r>
      <w:r w:rsidRPr="00CD1EEB">
        <w:rPr>
          <w:color w:val="000000"/>
        </w:rPr>
        <w:tab/>
      </w:r>
      <w:r w:rsidR="00F9369B">
        <w:rPr>
          <w:color w:val="000000"/>
        </w:rPr>
        <w:t xml:space="preserve">A comparable situation is to be found </w:t>
      </w:r>
      <w:r w:rsidR="001F25F1">
        <w:rPr>
          <w:color w:val="000000"/>
        </w:rPr>
        <w:t xml:space="preserve">in relation to the Labour </w:t>
      </w:r>
      <w:r w:rsidR="0058711D" w:rsidRPr="0058711D">
        <w:rPr>
          <w:color w:val="000000"/>
        </w:rPr>
        <w:t>Relations Act 66 of 1995</w:t>
      </w:r>
      <w:r w:rsidR="0058711D">
        <w:rPr>
          <w:color w:val="000000"/>
        </w:rPr>
        <w:t xml:space="preserve"> (‘the LRA’)</w:t>
      </w:r>
      <w:r w:rsidR="00F9369B">
        <w:rPr>
          <w:color w:val="000000"/>
        </w:rPr>
        <w:t>, albeit in the context of the interruption of prescription by the issue of a review process. Previously, there was no provision that a review application would interrupt prescription and this was interpret</w:t>
      </w:r>
      <w:r w:rsidR="00CD1EEB">
        <w:rPr>
          <w:color w:val="000000"/>
        </w:rPr>
        <w:t>ed</w:t>
      </w:r>
      <w:r w:rsidR="00F9369B">
        <w:rPr>
          <w:color w:val="000000"/>
        </w:rPr>
        <w:t xml:space="preserve"> as</w:t>
      </w:r>
      <w:r w:rsidR="00CD1EEB">
        <w:rPr>
          <w:color w:val="000000"/>
        </w:rPr>
        <w:t xml:space="preserve"> a review application not interrupting prescription in terms of s 15(1) of the Prescription Act. </w:t>
      </w:r>
      <w:r w:rsidR="00F9369B" w:rsidRPr="00CD1EEB">
        <w:rPr>
          <w:color w:val="000000"/>
        </w:rPr>
        <w:t>An amend</w:t>
      </w:r>
      <w:r w:rsidR="00CD1EEB">
        <w:rPr>
          <w:color w:val="000000"/>
        </w:rPr>
        <w:t>ment to s 145 of the LRA inserted</w:t>
      </w:r>
      <w:r w:rsidR="00F9369B" w:rsidRPr="00CD1EEB">
        <w:rPr>
          <w:color w:val="000000"/>
        </w:rPr>
        <w:t xml:space="preserve"> </w:t>
      </w:r>
      <w:r w:rsidR="00F9369B" w:rsidRPr="00CD1EEB">
        <w:rPr>
          <w:i/>
          <w:color w:val="000000"/>
        </w:rPr>
        <w:t>inter alia</w:t>
      </w:r>
      <w:r w:rsidR="00F9369B" w:rsidRPr="00CD1EEB">
        <w:rPr>
          <w:color w:val="000000"/>
        </w:rPr>
        <w:t xml:space="preserve"> a ne</w:t>
      </w:r>
      <w:r w:rsidR="00CD1EEB">
        <w:rPr>
          <w:color w:val="000000"/>
        </w:rPr>
        <w:t>w s 145(9) which provides that: -</w:t>
      </w:r>
    </w:p>
    <w:p w:rsidR="00F9369B" w:rsidRPr="00CD1EEB" w:rsidRDefault="00CD1EEB" w:rsidP="00CD1EEB">
      <w:pPr>
        <w:pStyle w:val="LegalList1"/>
        <w:numPr>
          <w:ilvl w:val="0"/>
          <w:numId w:val="0"/>
        </w:numPr>
        <w:spacing w:after="120" w:line="360" w:lineRule="auto"/>
        <w:rPr>
          <w:color w:val="000000"/>
          <w:sz w:val="22"/>
          <w:szCs w:val="22"/>
        </w:rPr>
      </w:pPr>
      <w:r w:rsidRPr="00CD1EEB">
        <w:rPr>
          <w:color w:val="000000"/>
          <w:sz w:val="22"/>
          <w:szCs w:val="22"/>
        </w:rPr>
        <w:t>‘A</w:t>
      </w:r>
      <w:r w:rsidR="00F9369B" w:rsidRPr="00CD1EEB">
        <w:rPr>
          <w:color w:val="000000"/>
          <w:sz w:val="22"/>
          <w:szCs w:val="22"/>
        </w:rPr>
        <w:t>n application to set aside an arbitration award in terms of this section interrupts the running of prescription in terms of the Prescription Act, 1969 (Act 68 of 196</w:t>
      </w:r>
      <w:r w:rsidRPr="00CD1EEB">
        <w:rPr>
          <w:color w:val="000000"/>
          <w:sz w:val="22"/>
          <w:szCs w:val="22"/>
        </w:rPr>
        <w:t>9) in respect of that award.’</w:t>
      </w:r>
    </w:p>
    <w:p w:rsidR="00CD1EEB" w:rsidRDefault="0079222A" w:rsidP="0079222A">
      <w:pPr>
        <w:pStyle w:val="LegalList1"/>
        <w:numPr>
          <w:ilvl w:val="0"/>
          <w:numId w:val="0"/>
        </w:numPr>
        <w:spacing w:after="120" w:line="360" w:lineRule="auto"/>
        <w:rPr>
          <w:color w:val="000000"/>
        </w:rPr>
      </w:pPr>
      <w:r>
        <w:rPr>
          <w:color w:val="000000"/>
        </w:rPr>
        <w:t>[24].</w:t>
      </w:r>
      <w:r>
        <w:rPr>
          <w:color w:val="000000"/>
        </w:rPr>
        <w:tab/>
      </w:r>
      <w:proofErr w:type="gramStart"/>
      <w:r w:rsidR="00CD1EEB">
        <w:rPr>
          <w:color w:val="000000"/>
        </w:rPr>
        <w:t>The</w:t>
      </w:r>
      <w:proofErr w:type="gramEnd"/>
      <w:r w:rsidR="00CD1EEB">
        <w:rPr>
          <w:color w:val="000000"/>
        </w:rPr>
        <w:t xml:space="preserve"> point is that, unless the Legislature makes it clear that a particular legal process, such as a review application, shall delay the completion of the prescription period, it should be accepted that the said process does not delay prescription. If needs be, the Legislature will specifically provide for such inclusion by amending the legislation. </w:t>
      </w:r>
    </w:p>
    <w:p w:rsidR="00671278" w:rsidRDefault="0079222A" w:rsidP="0079222A">
      <w:pPr>
        <w:pStyle w:val="LegalList1"/>
        <w:numPr>
          <w:ilvl w:val="0"/>
          <w:numId w:val="0"/>
        </w:numPr>
        <w:spacing w:after="120" w:line="360" w:lineRule="auto"/>
        <w:rPr>
          <w:color w:val="000000"/>
        </w:rPr>
      </w:pPr>
      <w:r>
        <w:rPr>
          <w:color w:val="000000"/>
        </w:rPr>
        <w:lastRenderedPageBreak/>
        <w:t>[25].</w:t>
      </w:r>
      <w:r>
        <w:rPr>
          <w:color w:val="000000"/>
        </w:rPr>
        <w:tab/>
      </w:r>
      <w:r w:rsidR="005027C2">
        <w:rPr>
          <w:color w:val="000000"/>
        </w:rPr>
        <w:t>I reiterate that s 13(1)(f) and (</w:t>
      </w:r>
      <w:proofErr w:type="spellStart"/>
      <w:r w:rsidR="005027C2">
        <w:rPr>
          <w:color w:val="000000"/>
        </w:rPr>
        <w:t>i</w:t>
      </w:r>
      <w:proofErr w:type="spellEnd"/>
      <w:r w:rsidR="005027C2">
        <w:rPr>
          <w:color w:val="000000"/>
        </w:rPr>
        <w:t xml:space="preserve">) </w:t>
      </w:r>
      <w:r w:rsidR="00F9369B" w:rsidRPr="00F9369B">
        <w:rPr>
          <w:color w:val="000000"/>
        </w:rPr>
        <w:t xml:space="preserve">of the Prescription Act is unambiguous and it is plain that a review to set aside an </w:t>
      </w:r>
      <w:r w:rsidR="005027C2">
        <w:rPr>
          <w:color w:val="000000"/>
        </w:rPr>
        <w:t xml:space="preserve">arbitration </w:t>
      </w:r>
      <w:r w:rsidR="00F9369B" w:rsidRPr="00F9369B">
        <w:rPr>
          <w:color w:val="000000"/>
        </w:rPr>
        <w:t>award is not</w:t>
      </w:r>
      <w:r w:rsidR="005027C2">
        <w:rPr>
          <w:color w:val="000000"/>
        </w:rPr>
        <w:t xml:space="preserve"> an</w:t>
      </w:r>
      <w:r w:rsidR="00F9369B" w:rsidRPr="00F9369B">
        <w:rPr>
          <w:color w:val="000000"/>
        </w:rPr>
        <w:t xml:space="preserve"> </w:t>
      </w:r>
      <w:r w:rsidR="005027C2">
        <w:rPr>
          <w:color w:val="000000"/>
        </w:rPr>
        <w:t>‘impediment’</w:t>
      </w:r>
      <w:r w:rsidR="00F9369B" w:rsidRPr="00F9369B">
        <w:rPr>
          <w:color w:val="000000"/>
        </w:rPr>
        <w:t xml:space="preserve"> </w:t>
      </w:r>
      <w:r w:rsidR="005027C2">
        <w:rPr>
          <w:color w:val="000000"/>
        </w:rPr>
        <w:t xml:space="preserve">as envisaged by </w:t>
      </w:r>
      <w:proofErr w:type="spellStart"/>
      <w:r w:rsidR="005027C2">
        <w:rPr>
          <w:color w:val="000000"/>
        </w:rPr>
        <w:t>ss</w:t>
      </w:r>
      <w:proofErr w:type="spellEnd"/>
      <w:r w:rsidR="005027C2">
        <w:rPr>
          <w:color w:val="000000"/>
        </w:rPr>
        <w:t xml:space="preserve"> 1(</w:t>
      </w:r>
      <w:proofErr w:type="spellStart"/>
      <w:r w:rsidR="005027C2">
        <w:rPr>
          <w:color w:val="000000"/>
        </w:rPr>
        <w:t>i</w:t>
      </w:r>
      <w:proofErr w:type="spellEnd"/>
      <w:r w:rsidR="005027C2">
        <w:rPr>
          <w:color w:val="000000"/>
        </w:rPr>
        <w:t>) and s</w:t>
      </w:r>
      <w:r w:rsidR="00F9369B" w:rsidRPr="00F9369B">
        <w:rPr>
          <w:color w:val="000000"/>
        </w:rPr>
        <w:t xml:space="preserve">uch a review, therefore, does not </w:t>
      </w:r>
      <w:r w:rsidR="005027C2">
        <w:rPr>
          <w:color w:val="000000"/>
        </w:rPr>
        <w:t xml:space="preserve">delay the completion of the period of </w:t>
      </w:r>
      <w:r w:rsidR="00F9369B" w:rsidRPr="00F9369B">
        <w:rPr>
          <w:color w:val="000000"/>
        </w:rPr>
        <w:t>prescription.</w:t>
      </w:r>
      <w:r w:rsidR="00671278">
        <w:rPr>
          <w:color w:val="000000"/>
        </w:rPr>
        <w:t xml:space="preserve"> </w:t>
      </w:r>
      <w:r w:rsidR="000D7B5A" w:rsidRPr="00671278">
        <w:rPr>
          <w:color w:val="000000"/>
        </w:rPr>
        <w:t xml:space="preserve">It therefore appears to me that the wording and the context of the relevant provisions, lend itself to </w:t>
      </w:r>
      <w:r w:rsidR="00671278">
        <w:rPr>
          <w:color w:val="000000"/>
        </w:rPr>
        <w:t xml:space="preserve">such </w:t>
      </w:r>
      <w:r w:rsidR="000D7B5A" w:rsidRPr="00671278">
        <w:rPr>
          <w:color w:val="000000"/>
        </w:rPr>
        <w:t>an interpretation</w:t>
      </w:r>
      <w:r w:rsidR="00671278">
        <w:rPr>
          <w:color w:val="000000"/>
        </w:rPr>
        <w:t>.</w:t>
      </w:r>
    </w:p>
    <w:p w:rsidR="00883753" w:rsidRDefault="0079222A" w:rsidP="0079222A">
      <w:pPr>
        <w:pStyle w:val="LegalList1"/>
        <w:numPr>
          <w:ilvl w:val="0"/>
          <w:numId w:val="0"/>
        </w:numPr>
        <w:spacing w:after="0" w:line="360" w:lineRule="auto"/>
        <w:rPr>
          <w:color w:val="000000"/>
        </w:rPr>
      </w:pPr>
      <w:r>
        <w:rPr>
          <w:color w:val="000000"/>
        </w:rPr>
        <w:t>[26].</w:t>
      </w:r>
      <w:r>
        <w:rPr>
          <w:color w:val="000000"/>
        </w:rPr>
        <w:tab/>
      </w:r>
      <w:r w:rsidR="000D7B5A">
        <w:rPr>
          <w:color w:val="000000"/>
        </w:rPr>
        <w:t xml:space="preserve">Moreover, </w:t>
      </w:r>
      <w:r w:rsidR="001459DC">
        <w:rPr>
          <w:color w:val="000000"/>
        </w:rPr>
        <w:t xml:space="preserve">in support of the </w:t>
      </w:r>
      <w:proofErr w:type="spellStart"/>
      <w:r w:rsidR="001459DC">
        <w:rPr>
          <w:color w:val="000000"/>
        </w:rPr>
        <w:t>aforegoing</w:t>
      </w:r>
      <w:proofErr w:type="spellEnd"/>
      <w:r w:rsidR="001459DC">
        <w:rPr>
          <w:color w:val="000000"/>
        </w:rPr>
        <w:t xml:space="preserve"> stance, </w:t>
      </w:r>
      <w:r w:rsidR="009D18B1">
        <w:rPr>
          <w:color w:val="000000"/>
        </w:rPr>
        <w:t xml:space="preserve">Mr Van der </w:t>
      </w:r>
      <w:proofErr w:type="spellStart"/>
      <w:r w:rsidR="009D18B1">
        <w:rPr>
          <w:color w:val="000000"/>
        </w:rPr>
        <w:t>Wath</w:t>
      </w:r>
      <w:proofErr w:type="spellEnd"/>
      <w:r w:rsidR="009D18B1">
        <w:rPr>
          <w:color w:val="000000"/>
        </w:rPr>
        <w:t xml:space="preserve">, who appeared on behalf of </w:t>
      </w:r>
      <w:proofErr w:type="spellStart"/>
      <w:r w:rsidR="009D18B1">
        <w:rPr>
          <w:color w:val="000000"/>
        </w:rPr>
        <w:t>Lubbe</w:t>
      </w:r>
      <w:proofErr w:type="spellEnd"/>
      <w:r w:rsidR="009D18B1">
        <w:rPr>
          <w:color w:val="000000"/>
        </w:rPr>
        <w:t xml:space="preserve"> Construction, relied on </w:t>
      </w:r>
      <w:r w:rsidR="00883753" w:rsidRPr="00883753">
        <w:rPr>
          <w:i/>
          <w:color w:val="000000"/>
        </w:rPr>
        <w:t>SA Transport &amp; Allied Workers Union on behalf of Hani v Fidelity Cash Management Services (Pty) Ltd</w:t>
      </w:r>
      <w:r w:rsidR="00DD1EB6">
        <w:rPr>
          <w:rStyle w:val="FootnoteReference"/>
          <w:i/>
          <w:color w:val="000000"/>
        </w:rPr>
        <w:footnoteReference w:id="3"/>
      </w:r>
      <w:r w:rsidR="00883753">
        <w:rPr>
          <w:color w:val="000000"/>
        </w:rPr>
        <w:t xml:space="preserve">, which, according to Mr Van der </w:t>
      </w:r>
      <w:proofErr w:type="spellStart"/>
      <w:r w:rsidR="00883753">
        <w:rPr>
          <w:color w:val="000000"/>
        </w:rPr>
        <w:t>Wath</w:t>
      </w:r>
      <w:proofErr w:type="spellEnd"/>
      <w:r w:rsidR="00883753">
        <w:rPr>
          <w:color w:val="000000"/>
        </w:rPr>
        <w:t xml:space="preserve">, </w:t>
      </w:r>
      <w:r w:rsidR="00E47DEC" w:rsidRPr="00883753">
        <w:rPr>
          <w:color w:val="000000"/>
        </w:rPr>
        <w:t>has conclusively decided that review proceedin</w:t>
      </w:r>
      <w:r w:rsidR="00883753">
        <w:rPr>
          <w:color w:val="000000"/>
        </w:rPr>
        <w:t>gs are not an impediment to an a</w:t>
      </w:r>
      <w:r w:rsidR="00E47DEC" w:rsidRPr="00883753">
        <w:rPr>
          <w:color w:val="000000"/>
        </w:rPr>
        <w:t xml:space="preserve">pplicant to apply to court to have an arbitration award made an order of court. </w:t>
      </w:r>
      <w:r w:rsidR="00883753">
        <w:rPr>
          <w:color w:val="000000"/>
        </w:rPr>
        <w:t xml:space="preserve">I was specifically referred to </w:t>
      </w:r>
      <w:r w:rsidR="00DD1EB6">
        <w:rPr>
          <w:color w:val="000000"/>
        </w:rPr>
        <w:t>para</w:t>
      </w:r>
      <w:r w:rsidR="00E47DEC" w:rsidRPr="00883753">
        <w:rPr>
          <w:color w:val="000000"/>
        </w:rPr>
        <w:t xml:space="preserve"> </w:t>
      </w:r>
      <w:r w:rsidR="00DD1EB6">
        <w:rPr>
          <w:color w:val="000000"/>
        </w:rPr>
        <w:t>26</w:t>
      </w:r>
      <w:r w:rsidR="00E47DEC" w:rsidRPr="00883753">
        <w:rPr>
          <w:color w:val="000000"/>
        </w:rPr>
        <w:t xml:space="preserve"> of the judgment</w:t>
      </w:r>
      <w:r w:rsidR="00883753">
        <w:rPr>
          <w:color w:val="000000"/>
        </w:rPr>
        <w:t xml:space="preserve">, in which </w:t>
      </w:r>
      <w:proofErr w:type="spellStart"/>
      <w:r w:rsidR="00883753">
        <w:rPr>
          <w:color w:val="000000"/>
        </w:rPr>
        <w:t>Bhoola</w:t>
      </w:r>
      <w:proofErr w:type="spellEnd"/>
      <w:r w:rsidR="00883753">
        <w:rPr>
          <w:color w:val="000000"/>
        </w:rPr>
        <w:t xml:space="preserve"> J held as follows: -</w:t>
      </w:r>
    </w:p>
    <w:p w:rsidR="00883753" w:rsidRPr="00777A55" w:rsidRDefault="00883753" w:rsidP="00777A55">
      <w:pPr>
        <w:pStyle w:val="LegalList1"/>
        <w:numPr>
          <w:ilvl w:val="0"/>
          <w:numId w:val="0"/>
        </w:numPr>
        <w:spacing w:after="0" w:line="360" w:lineRule="auto"/>
        <w:rPr>
          <w:color w:val="000000"/>
          <w:sz w:val="22"/>
          <w:szCs w:val="22"/>
        </w:rPr>
      </w:pPr>
      <w:r w:rsidRPr="00777A55">
        <w:rPr>
          <w:color w:val="000000"/>
          <w:sz w:val="22"/>
          <w:szCs w:val="22"/>
        </w:rPr>
        <w:t>‘</w:t>
      </w:r>
      <w:r w:rsidR="00E47DEC" w:rsidRPr="00777A55">
        <w:rPr>
          <w:color w:val="000000"/>
          <w:sz w:val="22"/>
          <w:szCs w:val="22"/>
        </w:rPr>
        <w:t>Mr Hani’s right to reinstatement in terms of the arbitration award (in other words the debt) came into existence on 2 May 2007. This was when the debt became due and when prescription began to run. The predominant approach in the Labour Court is that prescription is not interrupted by a review and given the applicant’s failure to issue any “process” as envisaged in the Prescription Act the debt would accordingly have prescribed three years later</w:t>
      </w:r>
      <w:r w:rsidRPr="00777A55">
        <w:rPr>
          <w:color w:val="000000"/>
          <w:sz w:val="22"/>
          <w:szCs w:val="22"/>
        </w:rPr>
        <w:t xml:space="preserve">, </w:t>
      </w:r>
      <w:proofErr w:type="spellStart"/>
      <w:r w:rsidRPr="00777A55">
        <w:rPr>
          <w:color w:val="000000"/>
          <w:sz w:val="22"/>
          <w:szCs w:val="22"/>
        </w:rPr>
        <w:t>i</w:t>
      </w:r>
      <w:proofErr w:type="spellEnd"/>
      <w:r w:rsidRPr="00777A55">
        <w:rPr>
          <w:color w:val="000000"/>
          <w:sz w:val="22"/>
          <w:szCs w:val="22"/>
        </w:rPr>
        <w:t> e</w:t>
      </w:r>
      <w:r w:rsidR="00E47DEC" w:rsidRPr="00777A55">
        <w:rPr>
          <w:color w:val="000000"/>
          <w:sz w:val="22"/>
          <w:szCs w:val="22"/>
        </w:rPr>
        <w:t xml:space="preserve"> on 2 May 2010. This application was brought a year and two months after the claim had prescribed. Although the applicant opposed the review the first steps it took to enforce the award were taken four years and 2 months later, on 1 July 2011. Nothing in the respondent’s attempts to set aside the award prevented the applicant from simply filing this application at any stage after the award was issued. This and nothing more would have interrupted prescription and avoided this unfortunate consequence for Mr Hani. In </w:t>
      </w:r>
      <w:r w:rsidR="00E47DEC" w:rsidRPr="00777A55">
        <w:rPr>
          <w:i/>
          <w:color w:val="000000"/>
          <w:sz w:val="22"/>
          <w:szCs w:val="22"/>
        </w:rPr>
        <w:t xml:space="preserve">Solidarity obo </w:t>
      </w:r>
      <w:proofErr w:type="spellStart"/>
      <w:r w:rsidR="00E47DEC" w:rsidRPr="00777A55">
        <w:rPr>
          <w:i/>
          <w:color w:val="000000"/>
          <w:sz w:val="22"/>
          <w:szCs w:val="22"/>
        </w:rPr>
        <w:t>Prins</w:t>
      </w:r>
      <w:proofErr w:type="spellEnd"/>
      <w:r w:rsidR="00E47DEC" w:rsidRPr="00777A55">
        <w:rPr>
          <w:i/>
          <w:color w:val="000000"/>
          <w:sz w:val="22"/>
          <w:szCs w:val="22"/>
        </w:rPr>
        <w:t xml:space="preserve"> and 10 others v </w:t>
      </w:r>
      <w:proofErr w:type="spellStart"/>
      <w:r w:rsidR="00E47DEC" w:rsidRPr="00777A55">
        <w:rPr>
          <w:i/>
          <w:color w:val="000000"/>
          <w:sz w:val="22"/>
          <w:szCs w:val="22"/>
        </w:rPr>
        <w:t>Gijima</w:t>
      </w:r>
      <w:proofErr w:type="spellEnd"/>
      <w:r w:rsidR="00E47DEC" w:rsidRPr="00777A55">
        <w:rPr>
          <w:i/>
          <w:color w:val="000000"/>
          <w:sz w:val="22"/>
          <w:szCs w:val="22"/>
        </w:rPr>
        <w:t xml:space="preserve"> AST (Pty) Ltd</w:t>
      </w:r>
      <w:r w:rsidR="00E47DEC" w:rsidRPr="00777A55">
        <w:rPr>
          <w:color w:val="000000"/>
          <w:sz w:val="22"/>
          <w:szCs w:val="22"/>
        </w:rPr>
        <w:t xml:space="preserve"> (judgment of Van </w:t>
      </w:r>
      <w:proofErr w:type="spellStart"/>
      <w:r w:rsidR="00E47DEC" w:rsidRPr="00777A55">
        <w:rPr>
          <w:color w:val="000000"/>
          <w:sz w:val="22"/>
          <w:szCs w:val="22"/>
        </w:rPr>
        <w:t>Niekerk</w:t>
      </w:r>
      <w:proofErr w:type="spellEnd"/>
      <w:r w:rsidR="00E47DEC" w:rsidRPr="00777A55">
        <w:rPr>
          <w:color w:val="000000"/>
          <w:sz w:val="22"/>
          <w:szCs w:val="22"/>
        </w:rPr>
        <w:t xml:space="preserve"> J in JS 333/08 dated 31 March 2010) Van </w:t>
      </w:r>
      <w:proofErr w:type="spellStart"/>
      <w:r w:rsidR="00E47DEC" w:rsidRPr="00777A55">
        <w:rPr>
          <w:color w:val="000000"/>
          <w:sz w:val="22"/>
          <w:szCs w:val="22"/>
        </w:rPr>
        <w:t>Niekerk</w:t>
      </w:r>
      <w:proofErr w:type="spellEnd"/>
      <w:r w:rsidR="00E47DEC" w:rsidRPr="00777A55">
        <w:rPr>
          <w:color w:val="000000"/>
          <w:sz w:val="22"/>
          <w:szCs w:val="22"/>
        </w:rPr>
        <w:t xml:space="preserve"> J indicated that this was very simply all the applicant needed to do. In dispensing with the argument that a letter from the respondent</w:t>
      </w:r>
      <w:r w:rsidRPr="00777A55">
        <w:rPr>
          <w:color w:val="000000"/>
          <w:sz w:val="22"/>
          <w:szCs w:val="22"/>
        </w:rPr>
        <w:t xml:space="preserve"> </w:t>
      </w:r>
      <w:r w:rsidR="00E47DEC" w:rsidRPr="00777A55">
        <w:rPr>
          <w:color w:val="000000"/>
          <w:sz w:val="22"/>
          <w:szCs w:val="22"/>
        </w:rPr>
        <w:t xml:space="preserve">“suspended” prescription, Van </w:t>
      </w:r>
      <w:proofErr w:type="spellStart"/>
      <w:r w:rsidR="00E47DEC" w:rsidRPr="00777A55">
        <w:rPr>
          <w:color w:val="000000"/>
          <w:sz w:val="22"/>
          <w:szCs w:val="22"/>
        </w:rPr>
        <w:t>Niekerk</w:t>
      </w:r>
      <w:proofErr w:type="spellEnd"/>
      <w:r w:rsidR="00E47DEC" w:rsidRPr="00777A55">
        <w:rPr>
          <w:color w:val="000000"/>
          <w:sz w:val="22"/>
          <w:szCs w:val="22"/>
        </w:rPr>
        <w:t xml:space="preserve"> J </w:t>
      </w:r>
      <w:r w:rsidRPr="00777A55">
        <w:rPr>
          <w:color w:val="000000"/>
          <w:sz w:val="22"/>
          <w:szCs w:val="22"/>
        </w:rPr>
        <w:t>held:</w:t>
      </w:r>
      <w:r w:rsidR="00E47DEC" w:rsidRPr="00777A55">
        <w:rPr>
          <w:color w:val="000000"/>
          <w:sz w:val="22"/>
          <w:szCs w:val="22"/>
        </w:rPr>
        <w:t xml:space="preserve"> </w:t>
      </w:r>
      <w:r w:rsidRPr="00777A55">
        <w:rPr>
          <w:color w:val="000000"/>
          <w:sz w:val="22"/>
          <w:szCs w:val="22"/>
        </w:rPr>
        <w:t>-</w:t>
      </w:r>
    </w:p>
    <w:p w:rsidR="00DD1EB6" w:rsidRDefault="00883753" w:rsidP="00DD1EB6">
      <w:pPr>
        <w:pStyle w:val="LegalList1"/>
        <w:numPr>
          <w:ilvl w:val="0"/>
          <w:numId w:val="0"/>
        </w:numPr>
        <w:spacing w:after="0" w:line="360" w:lineRule="auto"/>
        <w:ind w:left="567"/>
        <w:rPr>
          <w:color w:val="000000"/>
          <w:sz w:val="22"/>
          <w:szCs w:val="22"/>
        </w:rPr>
      </w:pPr>
      <w:r w:rsidRPr="00777A55">
        <w:rPr>
          <w:color w:val="000000"/>
          <w:sz w:val="22"/>
          <w:szCs w:val="22"/>
        </w:rPr>
        <w:t>“[11]</w:t>
      </w:r>
      <w:r w:rsidRPr="00777A55">
        <w:rPr>
          <w:color w:val="000000"/>
          <w:sz w:val="22"/>
          <w:szCs w:val="22"/>
        </w:rPr>
        <w:tab/>
      </w:r>
      <w:r w:rsidR="00E47DEC" w:rsidRPr="00777A55">
        <w:rPr>
          <w:color w:val="000000"/>
          <w:sz w:val="22"/>
          <w:szCs w:val="22"/>
        </w:rPr>
        <w:t xml:space="preserve">There is no merit in this argument. The fact remains that nothing stood in the way of the applicants simply instituting process to stay prescription, as some of them in fact did. As a matter of law, the applicants cannot rely on any explanation, or any allegation about the conduct of the respondent for their inaction </w:t>
      </w:r>
      <w:r w:rsidR="00E47DEC" w:rsidRPr="00777A55">
        <w:rPr>
          <w:color w:val="000000"/>
          <w:sz w:val="22"/>
          <w:szCs w:val="22"/>
        </w:rPr>
        <w:lastRenderedPageBreak/>
        <w:t xml:space="preserve">and in particular, their failure to file proper and prescribed process to stay prescription. In this instance, the claim having prescribed as a matter of legal consequence (see </w:t>
      </w:r>
      <w:proofErr w:type="spellStart"/>
      <w:r w:rsidR="00E47DEC" w:rsidRPr="00777A55">
        <w:rPr>
          <w:i/>
          <w:color w:val="000000"/>
          <w:sz w:val="22"/>
          <w:szCs w:val="22"/>
        </w:rPr>
        <w:t>Phasha</w:t>
      </w:r>
      <w:proofErr w:type="spellEnd"/>
      <w:r w:rsidR="00E47DEC" w:rsidRPr="00777A55">
        <w:rPr>
          <w:i/>
          <w:color w:val="000000"/>
          <w:sz w:val="22"/>
          <w:szCs w:val="22"/>
        </w:rPr>
        <w:t xml:space="preserve"> v Southern Metropolitan Local Council of the Greater Johannesburg Metropolitan Council</w:t>
      </w:r>
      <w:r w:rsidR="00E47DEC" w:rsidRPr="00777A55">
        <w:rPr>
          <w:color w:val="000000"/>
          <w:sz w:val="22"/>
          <w:szCs w:val="22"/>
        </w:rPr>
        <w:t xml:space="preserve"> 2000 (2) SA 455 (W) 469-473). All that was required was a unilateral act by the applicants, in the form of the issuing and service and filing of process, to interrupt prescription. </w:t>
      </w:r>
    </w:p>
    <w:p w:rsidR="00E47DEC" w:rsidRPr="00777A55" w:rsidRDefault="00E47DEC" w:rsidP="00777A55">
      <w:pPr>
        <w:pStyle w:val="LegalList1"/>
        <w:numPr>
          <w:ilvl w:val="0"/>
          <w:numId w:val="0"/>
        </w:numPr>
        <w:spacing w:after="0" w:line="360" w:lineRule="auto"/>
        <w:ind w:left="567"/>
        <w:rPr>
          <w:color w:val="000000"/>
          <w:sz w:val="22"/>
          <w:szCs w:val="22"/>
        </w:rPr>
      </w:pPr>
      <w:r w:rsidRPr="00777A55">
        <w:rPr>
          <w:color w:val="000000"/>
          <w:sz w:val="22"/>
          <w:szCs w:val="22"/>
        </w:rPr>
        <w:t xml:space="preserve">In </w:t>
      </w:r>
      <w:proofErr w:type="spellStart"/>
      <w:r w:rsidRPr="00777A55">
        <w:rPr>
          <w:i/>
          <w:color w:val="000000"/>
          <w:sz w:val="22"/>
          <w:szCs w:val="22"/>
        </w:rPr>
        <w:t>Uitenhage</w:t>
      </w:r>
      <w:proofErr w:type="spellEnd"/>
      <w:r w:rsidRPr="00777A55">
        <w:rPr>
          <w:i/>
          <w:color w:val="000000"/>
          <w:sz w:val="22"/>
          <w:szCs w:val="22"/>
        </w:rPr>
        <w:t xml:space="preserve"> Municipality v Malloy</w:t>
      </w:r>
      <w:r w:rsidRPr="00777A55">
        <w:rPr>
          <w:color w:val="000000"/>
          <w:sz w:val="22"/>
          <w:szCs w:val="22"/>
        </w:rPr>
        <w:t xml:space="preserve"> (1998) 19 ILJ 757 (SCA)</w:t>
      </w:r>
      <w:r w:rsidR="00DD1EB6">
        <w:rPr>
          <w:color w:val="000000"/>
          <w:sz w:val="22"/>
          <w:szCs w:val="22"/>
        </w:rPr>
        <w:t>,</w:t>
      </w:r>
      <w:r w:rsidRPr="00777A55">
        <w:rPr>
          <w:color w:val="000000"/>
          <w:sz w:val="22"/>
          <w:szCs w:val="22"/>
        </w:rPr>
        <w:t xml:space="preserve"> </w:t>
      </w:r>
      <w:proofErr w:type="spellStart"/>
      <w:r w:rsidRPr="00777A55">
        <w:rPr>
          <w:color w:val="000000"/>
          <w:sz w:val="22"/>
          <w:szCs w:val="22"/>
        </w:rPr>
        <w:t>Mahomed</w:t>
      </w:r>
      <w:proofErr w:type="spellEnd"/>
      <w:r w:rsidRPr="00777A55">
        <w:rPr>
          <w:color w:val="000000"/>
          <w:sz w:val="22"/>
          <w:szCs w:val="22"/>
        </w:rPr>
        <w:t xml:space="preserve"> CJ said the following in the context of an employment law dispute, a statement that can equally be applied in this instance having regard to the defence raised by the applicants:</w:t>
      </w:r>
    </w:p>
    <w:p w:rsidR="00E47DEC" w:rsidRPr="00777A55" w:rsidRDefault="00E47DEC" w:rsidP="00777A55">
      <w:pPr>
        <w:pStyle w:val="LegalList1"/>
        <w:numPr>
          <w:ilvl w:val="0"/>
          <w:numId w:val="0"/>
        </w:numPr>
        <w:spacing w:after="120" w:line="360" w:lineRule="auto"/>
        <w:ind w:left="851"/>
        <w:rPr>
          <w:color w:val="000000"/>
          <w:sz w:val="22"/>
          <w:szCs w:val="22"/>
        </w:rPr>
      </w:pPr>
      <w:r w:rsidRPr="00777A55">
        <w:rPr>
          <w:color w:val="000000"/>
          <w:sz w:val="22"/>
          <w:szCs w:val="22"/>
        </w:rPr>
        <w:t>“A creditor against whose claim prescription commences to run, may protect himself or herself from its consequences, by causing the interruption of prescription in terms of s 15 of the Prescription Act through the service of ‘any process, whereby the creditor claims payment</w:t>
      </w:r>
      <w:r w:rsidR="00777A55" w:rsidRPr="00777A55">
        <w:rPr>
          <w:color w:val="000000"/>
          <w:sz w:val="22"/>
          <w:szCs w:val="22"/>
        </w:rPr>
        <w:t xml:space="preserve"> of the debt.’” (</w:t>
      </w:r>
      <w:proofErr w:type="gramStart"/>
      <w:r w:rsidR="00777A55" w:rsidRPr="00777A55">
        <w:rPr>
          <w:color w:val="000000"/>
          <w:sz w:val="22"/>
          <w:szCs w:val="22"/>
        </w:rPr>
        <w:t>at</w:t>
      </w:r>
      <w:proofErr w:type="gramEnd"/>
      <w:r w:rsidR="00777A55" w:rsidRPr="00777A55">
        <w:rPr>
          <w:color w:val="000000"/>
          <w:sz w:val="22"/>
          <w:szCs w:val="22"/>
        </w:rPr>
        <w:t xml:space="preserve"> 760E- 761G).’</w:t>
      </w:r>
    </w:p>
    <w:p w:rsidR="005027C2" w:rsidRDefault="0079222A" w:rsidP="0079222A">
      <w:pPr>
        <w:pStyle w:val="LegalList1"/>
        <w:numPr>
          <w:ilvl w:val="0"/>
          <w:numId w:val="0"/>
        </w:numPr>
        <w:spacing w:after="120" w:line="360" w:lineRule="auto"/>
        <w:rPr>
          <w:color w:val="000000"/>
        </w:rPr>
      </w:pPr>
      <w:r>
        <w:rPr>
          <w:color w:val="000000"/>
        </w:rPr>
        <w:t>[27].</w:t>
      </w:r>
      <w:r>
        <w:rPr>
          <w:color w:val="000000"/>
        </w:rPr>
        <w:tab/>
      </w:r>
      <w:r w:rsidR="001459DC">
        <w:rPr>
          <w:color w:val="000000"/>
        </w:rPr>
        <w:t xml:space="preserve">There are also a number of other cases, albeit in the context of the Labour Relations Act, which support the legal conclusion that the review proceedings do not delay the completion of </w:t>
      </w:r>
      <w:r w:rsidR="00DD759A">
        <w:rPr>
          <w:color w:val="000000"/>
        </w:rPr>
        <w:t xml:space="preserve">the </w:t>
      </w:r>
      <w:r w:rsidR="001459DC">
        <w:rPr>
          <w:color w:val="000000"/>
        </w:rPr>
        <w:t xml:space="preserve">period of prescription. One example of such a case is the Labour Appeal Court judgment in </w:t>
      </w:r>
      <w:proofErr w:type="spellStart"/>
      <w:r w:rsidR="001459DC" w:rsidRPr="001459DC">
        <w:rPr>
          <w:i/>
          <w:color w:val="000000"/>
        </w:rPr>
        <w:t>Myathaza</w:t>
      </w:r>
      <w:proofErr w:type="spellEnd"/>
      <w:r w:rsidR="001459DC" w:rsidRPr="001459DC">
        <w:rPr>
          <w:i/>
          <w:color w:val="000000"/>
        </w:rPr>
        <w:t xml:space="preserve"> v Johannesburg Metropolitan Bus Service SOC Ltd t/a </w:t>
      </w:r>
      <w:proofErr w:type="spellStart"/>
      <w:r w:rsidR="001459DC" w:rsidRPr="001459DC">
        <w:rPr>
          <w:i/>
          <w:color w:val="000000"/>
        </w:rPr>
        <w:t>MetroBus</w:t>
      </w:r>
      <w:proofErr w:type="spellEnd"/>
      <w:r w:rsidR="001459DC">
        <w:rPr>
          <w:rStyle w:val="FootnoteReference"/>
          <w:i/>
          <w:color w:val="000000"/>
        </w:rPr>
        <w:footnoteReference w:id="4"/>
      </w:r>
      <w:r w:rsidR="00DD759A">
        <w:rPr>
          <w:i/>
          <w:color w:val="000000"/>
        </w:rPr>
        <w:t xml:space="preserve">, </w:t>
      </w:r>
      <w:r w:rsidR="00DD759A">
        <w:rPr>
          <w:color w:val="000000"/>
        </w:rPr>
        <w:t xml:space="preserve">in which </w:t>
      </w:r>
      <w:proofErr w:type="spellStart"/>
      <w:r w:rsidR="00DD759A">
        <w:rPr>
          <w:color w:val="000000"/>
        </w:rPr>
        <w:t>Coppin</w:t>
      </w:r>
      <w:proofErr w:type="spellEnd"/>
      <w:r w:rsidR="00DD759A">
        <w:rPr>
          <w:color w:val="000000"/>
        </w:rPr>
        <w:t xml:space="preserve"> JA </w:t>
      </w:r>
      <w:r w:rsidR="00730B50">
        <w:rPr>
          <w:color w:val="000000"/>
        </w:rPr>
        <w:t xml:space="preserve">held that </w:t>
      </w:r>
      <w:r w:rsidR="00DD759A" w:rsidRPr="00730B50">
        <w:rPr>
          <w:color w:val="000000"/>
        </w:rPr>
        <w:t xml:space="preserve">an application to review and set aside an arbitration award </w:t>
      </w:r>
      <w:r w:rsidR="00730B50">
        <w:rPr>
          <w:color w:val="000000"/>
        </w:rPr>
        <w:t xml:space="preserve">does not </w:t>
      </w:r>
      <w:r w:rsidR="005027C2">
        <w:rPr>
          <w:color w:val="000000"/>
        </w:rPr>
        <w:t>interrupt</w:t>
      </w:r>
      <w:r w:rsidR="00DD759A" w:rsidRPr="00730B50">
        <w:rPr>
          <w:color w:val="000000"/>
        </w:rPr>
        <w:t xml:space="preserve"> pres</w:t>
      </w:r>
      <w:r w:rsidR="005027C2">
        <w:rPr>
          <w:color w:val="000000"/>
        </w:rPr>
        <w:t>cription as contemplated in s 15</w:t>
      </w:r>
      <w:r w:rsidR="00DD759A" w:rsidRPr="00730B50">
        <w:rPr>
          <w:color w:val="000000"/>
        </w:rPr>
        <w:t xml:space="preserve"> of the Prescription Act</w:t>
      </w:r>
      <w:r w:rsidR="00730B50">
        <w:rPr>
          <w:color w:val="000000"/>
        </w:rPr>
        <w:t xml:space="preserve"> </w:t>
      </w:r>
      <w:r w:rsidR="005027C2">
        <w:rPr>
          <w:color w:val="000000"/>
        </w:rPr>
        <w:t>because it does not say so.</w:t>
      </w:r>
    </w:p>
    <w:p w:rsidR="00F40BC8" w:rsidRDefault="0079222A" w:rsidP="0079222A">
      <w:pPr>
        <w:pStyle w:val="LegalList1"/>
        <w:numPr>
          <w:ilvl w:val="0"/>
          <w:numId w:val="0"/>
        </w:numPr>
        <w:spacing w:after="120" w:line="360" w:lineRule="auto"/>
        <w:rPr>
          <w:color w:val="000000"/>
        </w:rPr>
      </w:pPr>
      <w:r>
        <w:rPr>
          <w:color w:val="000000"/>
        </w:rPr>
        <w:t>[28].</w:t>
      </w:r>
      <w:r>
        <w:rPr>
          <w:color w:val="000000"/>
        </w:rPr>
        <w:tab/>
      </w:r>
      <w:r w:rsidR="00730B50">
        <w:rPr>
          <w:color w:val="000000"/>
        </w:rPr>
        <w:t xml:space="preserve">Applying the </w:t>
      </w:r>
      <w:proofErr w:type="spellStart"/>
      <w:r w:rsidR="00730B50">
        <w:rPr>
          <w:color w:val="000000"/>
        </w:rPr>
        <w:t>aforegoing</w:t>
      </w:r>
      <w:proofErr w:type="spellEnd"/>
      <w:r w:rsidR="00730B50">
        <w:rPr>
          <w:color w:val="000000"/>
        </w:rPr>
        <w:t xml:space="preserve"> principles to the present matter and having regard to the aforementioned authorities, I can come to no conclusion other than one </w:t>
      </w:r>
      <w:r w:rsidR="005027C2">
        <w:rPr>
          <w:color w:val="000000"/>
        </w:rPr>
        <w:t xml:space="preserve">to the effect </w:t>
      </w:r>
      <w:r w:rsidR="00730B50">
        <w:rPr>
          <w:color w:val="000000"/>
        </w:rPr>
        <w:t xml:space="preserve">that the review application by </w:t>
      </w:r>
      <w:proofErr w:type="spellStart"/>
      <w:r w:rsidR="00730B50">
        <w:rPr>
          <w:color w:val="000000"/>
        </w:rPr>
        <w:t>Lubbe</w:t>
      </w:r>
      <w:proofErr w:type="spellEnd"/>
      <w:r w:rsidR="00730B50">
        <w:rPr>
          <w:color w:val="000000"/>
        </w:rPr>
        <w:t xml:space="preserve"> Construction did not delay the completion of the period of prescription. </w:t>
      </w:r>
    </w:p>
    <w:p w:rsidR="00E47DEC" w:rsidRDefault="0079222A" w:rsidP="0079222A">
      <w:pPr>
        <w:pStyle w:val="LegalList1"/>
        <w:numPr>
          <w:ilvl w:val="0"/>
          <w:numId w:val="0"/>
        </w:numPr>
        <w:spacing w:after="0" w:line="360" w:lineRule="auto"/>
        <w:rPr>
          <w:color w:val="000000"/>
        </w:rPr>
      </w:pPr>
      <w:r>
        <w:rPr>
          <w:color w:val="000000"/>
        </w:rPr>
        <w:t>[29].</w:t>
      </w:r>
      <w:r>
        <w:rPr>
          <w:color w:val="000000"/>
        </w:rPr>
        <w:tab/>
      </w:r>
      <w:r w:rsidR="00730B50">
        <w:rPr>
          <w:color w:val="000000"/>
        </w:rPr>
        <w:t xml:space="preserve">There is also no merit in the contention by </w:t>
      </w:r>
      <w:proofErr w:type="spellStart"/>
      <w:r w:rsidR="00730B50">
        <w:rPr>
          <w:color w:val="000000"/>
        </w:rPr>
        <w:t>Matatiele</w:t>
      </w:r>
      <w:proofErr w:type="spellEnd"/>
      <w:r w:rsidR="00730B50">
        <w:rPr>
          <w:color w:val="000000"/>
        </w:rPr>
        <w:t xml:space="preserve"> Local Municipality that the arbitrator’s award is a ‘judgment debt’ as contemplated in the Prescription Act. </w:t>
      </w:r>
      <w:r w:rsidR="00F40BC8">
        <w:rPr>
          <w:color w:val="000000"/>
        </w:rPr>
        <w:t xml:space="preserve">This in fact seems to be the bastion of the case of the Municipality. However, this contention is misguided. In that regard, </w:t>
      </w:r>
      <w:r w:rsidR="00730B50">
        <w:rPr>
          <w:color w:val="000000"/>
        </w:rPr>
        <w:t xml:space="preserve">I have already referred to the </w:t>
      </w:r>
      <w:r w:rsidR="00730B50" w:rsidRPr="00730B50">
        <w:rPr>
          <w:i/>
          <w:color w:val="000000"/>
        </w:rPr>
        <w:t>Brompton</w:t>
      </w:r>
      <w:r w:rsidR="00730B50">
        <w:rPr>
          <w:color w:val="000000"/>
        </w:rPr>
        <w:t xml:space="preserve"> case (supra), which is authority for this legal principle.</w:t>
      </w:r>
      <w:r w:rsidR="00F40BC8">
        <w:rPr>
          <w:color w:val="000000"/>
        </w:rPr>
        <w:t xml:space="preserve"> Furthermore, in </w:t>
      </w:r>
      <w:proofErr w:type="spellStart"/>
      <w:r w:rsidR="00F40BC8" w:rsidRPr="00F40BC8">
        <w:rPr>
          <w:i/>
          <w:color w:val="000000"/>
        </w:rPr>
        <w:lastRenderedPageBreak/>
        <w:t>Myathaza</w:t>
      </w:r>
      <w:proofErr w:type="spellEnd"/>
      <w:r w:rsidR="00F40BC8">
        <w:rPr>
          <w:color w:val="000000"/>
        </w:rPr>
        <w:t xml:space="preserve">, </w:t>
      </w:r>
      <w:proofErr w:type="spellStart"/>
      <w:r w:rsidR="00F40BC8">
        <w:rPr>
          <w:color w:val="000000"/>
        </w:rPr>
        <w:t>Coppin</w:t>
      </w:r>
      <w:proofErr w:type="spellEnd"/>
      <w:r w:rsidR="00F40BC8">
        <w:rPr>
          <w:color w:val="000000"/>
        </w:rPr>
        <w:t xml:space="preserve"> JA dealt with this issue</w:t>
      </w:r>
      <w:r w:rsidR="00CC7164">
        <w:rPr>
          <w:color w:val="000000"/>
        </w:rPr>
        <w:t xml:space="preserve"> – again albeit in the context of the LRA, the principles are the same – </w:t>
      </w:r>
      <w:r w:rsidR="00F40BC8">
        <w:rPr>
          <w:color w:val="000000"/>
        </w:rPr>
        <w:t>as</w:t>
      </w:r>
      <w:r w:rsidR="00CC7164">
        <w:rPr>
          <w:color w:val="000000"/>
        </w:rPr>
        <w:t xml:space="preserve"> </w:t>
      </w:r>
      <w:r w:rsidR="00F40BC8">
        <w:rPr>
          <w:color w:val="000000"/>
        </w:rPr>
        <w:t>follows:</w:t>
      </w:r>
      <w:r w:rsidR="00730B50">
        <w:rPr>
          <w:color w:val="000000"/>
        </w:rPr>
        <w:t xml:space="preserve">  </w:t>
      </w:r>
    </w:p>
    <w:p w:rsidR="00F40BC8" w:rsidRDefault="00CC7164" w:rsidP="00CC7164">
      <w:pPr>
        <w:pStyle w:val="LegalList1"/>
        <w:numPr>
          <w:ilvl w:val="0"/>
          <w:numId w:val="0"/>
        </w:numPr>
        <w:spacing w:after="0" w:line="360" w:lineRule="auto"/>
        <w:ind w:left="567" w:hanging="567"/>
        <w:rPr>
          <w:color w:val="000000"/>
          <w:sz w:val="22"/>
          <w:szCs w:val="22"/>
        </w:rPr>
      </w:pPr>
      <w:r w:rsidRPr="00CC7164">
        <w:rPr>
          <w:color w:val="000000"/>
          <w:sz w:val="22"/>
          <w:szCs w:val="22"/>
        </w:rPr>
        <w:t>[46]</w:t>
      </w:r>
      <w:r w:rsidRPr="00CC7164">
        <w:rPr>
          <w:color w:val="000000"/>
          <w:sz w:val="22"/>
          <w:szCs w:val="22"/>
        </w:rPr>
        <w:tab/>
      </w:r>
      <w:r w:rsidR="00F40BC8" w:rsidRPr="00CC7164">
        <w:rPr>
          <w:color w:val="000000"/>
          <w:sz w:val="22"/>
          <w:szCs w:val="22"/>
        </w:rPr>
        <w:t>The period is dependent on whether an arbitration award constitutes “a judgment debt”, in which case a 30-year prescription period would be applicable, or a simple 'debt', in which case a three-year prescriptive period would be applicable.</w:t>
      </w:r>
    </w:p>
    <w:p w:rsidR="00CC7164" w:rsidRPr="00CC7164" w:rsidRDefault="00CC7164" w:rsidP="00CC7164">
      <w:pPr>
        <w:pStyle w:val="LegalList1"/>
        <w:numPr>
          <w:ilvl w:val="0"/>
          <w:numId w:val="0"/>
        </w:numPr>
        <w:spacing w:after="0" w:line="360" w:lineRule="auto"/>
        <w:ind w:left="567" w:hanging="567"/>
        <w:rPr>
          <w:color w:val="000000"/>
          <w:sz w:val="22"/>
          <w:szCs w:val="22"/>
        </w:rPr>
      </w:pPr>
      <w:r>
        <w:rPr>
          <w:color w:val="000000"/>
          <w:sz w:val="22"/>
          <w:szCs w:val="22"/>
        </w:rPr>
        <w:tab/>
        <w:t xml:space="preserve">… … … </w:t>
      </w:r>
    </w:p>
    <w:p w:rsidR="00F40BC8" w:rsidRPr="00CC7164" w:rsidRDefault="00CC7164" w:rsidP="00CC7164">
      <w:pPr>
        <w:pStyle w:val="LegalList1"/>
        <w:numPr>
          <w:ilvl w:val="0"/>
          <w:numId w:val="0"/>
        </w:numPr>
        <w:spacing w:after="0" w:line="360" w:lineRule="auto"/>
        <w:ind w:left="567" w:hanging="567"/>
        <w:rPr>
          <w:color w:val="000000"/>
          <w:sz w:val="22"/>
          <w:szCs w:val="22"/>
        </w:rPr>
      </w:pPr>
      <w:r w:rsidRPr="00CC7164">
        <w:rPr>
          <w:color w:val="000000"/>
          <w:sz w:val="22"/>
          <w:szCs w:val="22"/>
        </w:rPr>
        <w:t>[52]</w:t>
      </w:r>
      <w:r w:rsidRPr="00CC7164">
        <w:rPr>
          <w:color w:val="000000"/>
          <w:sz w:val="22"/>
          <w:szCs w:val="22"/>
        </w:rPr>
        <w:tab/>
      </w:r>
      <w:r w:rsidR="00F40BC8" w:rsidRPr="00CC7164">
        <w:rPr>
          <w:color w:val="000000"/>
          <w:sz w:val="22"/>
          <w:szCs w:val="22"/>
        </w:rPr>
        <w:t>Furthermore an arbitration award in terms of the LRA is not subject to an appeal like a judgment or order of the Labour Court, but it is subject to review. In contrast, an order of judgment of the Labour Cour</w:t>
      </w:r>
      <w:r w:rsidRPr="00CC7164">
        <w:rPr>
          <w:color w:val="000000"/>
          <w:sz w:val="22"/>
          <w:szCs w:val="22"/>
        </w:rPr>
        <w:t xml:space="preserve">t is not subject to review. </w:t>
      </w:r>
      <w:r w:rsidR="00F40BC8" w:rsidRPr="00CC7164">
        <w:rPr>
          <w:color w:val="000000"/>
          <w:sz w:val="22"/>
          <w:szCs w:val="22"/>
        </w:rPr>
        <w:t>A court order</w:t>
      </w:r>
      <w:r w:rsidRPr="00CC7164">
        <w:rPr>
          <w:color w:val="000000"/>
          <w:sz w:val="22"/>
          <w:szCs w:val="22"/>
        </w:rPr>
        <w:t xml:space="preserve"> or a judgment also does not </w:t>
      </w:r>
      <w:r w:rsidR="00F40BC8" w:rsidRPr="00CC7164">
        <w:rPr>
          <w:color w:val="000000"/>
          <w:sz w:val="22"/>
          <w:szCs w:val="22"/>
        </w:rPr>
        <w:t>require certification for its execution.</w:t>
      </w:r>
    </w:p>
    <w:p w:rsidR="00F40BC8" w:rsidRPr="00CC7164" w:rsidRDefault="00CC7164" w:rsidP="00CC7164">
      <w:pPr>
        <w:pStyle w:val="LegalList1"/>
        <w:numPr>
          <w:ilvl w:val="0"/>
          <w:numId w:val="0"/>
        </w:numPr>
        <w:spacing w:after="0" w:line="360" w:lineRule="auto"/>
        <w:ind w:left="567" w:hanging="567"/>
        <w:rPr>
          <w:color w:val="000000"/>
          <w:sz w:val="22"/>
          <w:szCs w:val="22"/>
        </w:rPr>
      </w:pPr>
      <w:r w:rsidRPr="00CC7164">
        <w:rPr>
          <w:color w:val="000000"/>
          <w:sz w:val="22"/>
          <w:szCs w:val="22"/>
        </w:rPr>
        <w:t>[53]</w:t>
      </w:r>
      <w:r w:rsidRPr="00CC7164">
        <w:rPr>
          <w:color w:val="000000"/>
          <w:sz w:val="22"/>
          <w:szCs w:val="22"/>
        </w:rPr>
        <w:tab/>
      </w:r>
      <w:r w:rsidR="00F40BC8" w:rsidRPr="00CC7164">
        <w:rPr>
          <w:color w:val="000000"/>
          <w:sz w:val="22"/>
          <w:szCs w:val="22"/>
        </w:rPr>
        <w:t>Unequivocal confirmation that an arbit</w:t>
      </w:r>
      <w:r w:rsidRPr="00CC7164">
        <w:rPr>
          <w:color w:val="000000"/>
          <w:sz w:val="22"/>
          <w:szCs w:val="22"/>
        </w:rPr>
        <w:t xml:space="preserve">ration award is not equal to </w:t>
      </w:r>
      <w:r w:rsidR="00F40BC8" w:rsidRPr="00CC7164">
        <w:rPr>
          <w:color w:val="000000"/>
          <w:sz w:val="22"/>
          <w:szCs w:val="22"/>
        </w:rPr>
        <w:t>(or equivalent to) an order or judgment of the Labour Court is provided by s 158(1</w:t>
      </w:r>
      <w:proofErr w:type="gramStart"/>
      <w:r w:rsidR="00F40BC8" w:rsidRPr="00CC7164">
        <w:rPr>
          <w:color w:val="000000"/>
          <w:sz w:val="22"/>
          <w:szCs w:val="22"/>
        </w:rPr>
        <w:t>)(</w:t>
      </w:r>
      <w:proofErr w:type="gramEnd"/>
      <w:r w:rsidR="00F40BC8" w:rsidRPr="00CC7164">
        <w:rPr>
          <w:color w:val="000000"/>
          <w:sz w:val="22"/>
          <w:szCs w:val="22"/>
        </w:rPr>
        <w:t>c) of the LRA, which emp</w:t>
      </w:r>
      <w:r w:rsidRPr="00CC7164">
        <w:rPr>
          <w:color w:val="000000"/>
          <w:sz w:val="22"/>
          <w:szCs w:val="22"/>
        </w:rPr>
        <w:t>owers the Labour Court to make “</w:t>
      </w:r>
      <w:r w:rsidR="00F40BC8" w:rsidRPr="00CC7164">
        <w:rPr>
          <w:color w:val="000000"/>
          <w:sz w:val="22"/>
          <w:szCs w:val="22"/>
        </w:rPr>
        <w:t>any arbi</w:t>
      </w:r>
      <w:r w:rsidRPr="00CC7164">
        <w:rPr>
          <w:color w:val="000000"/>
          <w:sz w:val="22"/>
          <w:szCs w:val="22"/>
        </w:rPr>
        <w:t>tration award an order of court”</w:t>
      </w:r>
      <w:r w:rsidR="00F40BC8" w:rsidRPr="00CC7164">
        <w:rPr>
          <w:color w:val="000000"/>
          <w:sz w:val="22"/>
          <w:szCs w:val="22"/>
        </w:rPr>
        <w:t>. If they were the same thing, s 158(1</w:t>
      </w:r>
      <w:proofErr w:type="gramStart"/>
      <w:r w:rsidR="00F40BC8" w:rsidRPr="00CC7164">
        <w:rPr>
          <w:color w:val="000000"/>
          <w:sz w:val="22"/>
          <w:szCs w:val="22"/>
        </w:rPr>
        <w:t>)(</w:t>
      </w:r>
      <w:proofErr w:type="gramEnd"/>
      <w:r w:rsidR="00F40BC8" w:rsidRPr="00CC7164">
        <w:rPr>
          <w:color w:val="000000"/>
          <w:sz w:val="22"/>
          <w:szCs w:val="22"/>
        </w:rPr>
        <w:t>c) would be totally superfluous.</w:t>
      </w:r>
    </w:p>
    <w:p w:rsidR="00F40BC8" w:rsidRPr="00CC7164" w:rsidRDefault="00CC7164" w:rsidP="00CC7164">
      <w:pPr>
        <w:pStyle w:val="LegalList1"/>
        <w:numPr>
          <w:ilvl w:val="0"/>
          <w:numId w:val="0"/>
        </w:numPr>
        <w:spacing w:after="120" w:line="360" w:lineRule="auto"/>
        <w:ind w:left="567" w:hanging="567"/>
        <w:rPr>
          <w:color w:val="000000"/>
          <w:sz w:val="22"/>
          <w:szCs w:val="22"/>
        </w:rPr>
      </w:pPr>
      <w:r w:rsidRPr="00CC7164">
        <w:rPr>
          <w:color w:val="000000"/>
          <w:sz w:val="22"/>
          <w:szCs w:val="22"/>
        </w:rPr>
        <w:t>[54]</w:t>
      </w:r>
      <w:r w:rsidRPr="00CC7164">
        <w:rPr>
          <w:color w:val="000000"/>
          <w:sz w:val="22"/>
          <w:szCs w:val="22"/>
        </w:rPr>
        <w:tab/>
      </w:r>
      <w:r w:rsidR="00F40BC8" w:rsidRPr="00CC7164">
        <w:rPr>
          <w:color w:val="000000"/>
          <w:sz w:val="22"/>
          <w:szCs w:val="22"/>
        </w:rPr>
        <w:t>In the c</w:t>
      </w:r>
      <w:r w:rsidRPr="00CC7164">
        <w:rPr>
          <w:color w:val="000000"/>
          <w:sz w:val="22"/>
          <w:szCs w:val="22"/>
        </w:rPr>
        <w:t>ircumstances, to give the term “judgment debt”</w:t>
      </w:r>
      <w:r w:rsidR="00F40BC8" w:rsidRPr="00CC7164">
        <w:rPr>
          <w:color w:val="000000"/>
          <w:sz w:val="22"/>
          <w:szCs w:val="22"/>
        </w:rPr>
        <w:t xml:space="preserve"> in the</w:t>
      </w:r>
      <w:r w:rsidRPr="00CC7164">
        <w:rPr>
          <w:color w:val="000000"/>
          <w:sz w:val="22"/>
          <w:szCs w:val="22"/>
        </w:rPr>
        <w:t xml:space="preserve"> </w:t>
      </w:r>
      <w:r w:rsidR="00F40BC8" w:rsidRPr="00CC7164">
        <w:rPr>
          <w:color w:val="000000"/>
          <w:sz w:val="22"/>
          <w:szCs w:val="22"/>
        </w:rPr>
        <w:t>Prescriptio</w:t>
      </w:r>
      <w:r w:rsidRPr="00CC7164">
        <w:rPr>
          <w:color w:val="000000"/>
          <w:sz w:val="22"/>
          <w:szCs w:val="22"/>
        </w:rPr>
        <w:t>n Act a meaning which includes “arbitration awards”</w:t>
      </w:r>
      <w:r w:rsidR="00F40BC8" w:rsidRPr="00CC7164">
        <w:rPr>
          <w:color w:val="000000"/>
          <w:sz w:val="22"/>
          <w:szCs w:val="22"/>
        </w:rPr>
        <w:t xml:space="preserve"> made under the LRA, would unduly strain the language of the Prescription Act. Orders or judgments of the Labour Court would clearly fall within that meaning, but not arbitration awards made under the LRA, which differ from Labour Court orders and judgm</w:t>
      </w:r>
      <w:r w:rsidRPr="00CC7164">
        <w:rPr>
          <w:color w:val="000000"/>
          <w:sz w:val="22"/>
          <w:szCs w:val="22"/>
        </w:rPr>
        <w:t>ents in significant respects.’</w:t>
      </w:r>
    </w:p>
    <w:p w:rsidR="00CC7164" w:rsidRDefault="0079222A" w:rsidP="0079222A">
      <w:pPr>
        <w:pStyle w:val="LegalList1"/>
        <w:numPr>
          <w:ilvl w:val="0"/>
          <w:numId w:val="0"/>
        </w:numPr>
        <w:spacing w:after="120" w:line="360" w:lineRule="auto"/>
        <w:rPr>
          <w:color w:val="000000"/>
        </w:rPr>
      </w:pPr>
      <w:r>
        <w:rPr>
          <w:color w:val="000000"/>
        </w:rPr>
        <w:t>[30].</w:t>
      </w:r>
      <w:r>
        <w:rPr>
          <w:color w:val="000000"/>
        </w:rPr>
        <w:tab/>
      </w:r>
      <w:r w:rsidR="00CC7164">
        <w:rPr>
          <w:color w:val="000000"/>
        </w:rPr>
        <w:t xml:space="preserve">In the context of this matter and the provisions of the Arbitration Act, the question to be asked, borrowing from </w:t>
      </w:r>
      <w:proofErr w:type="spellStart"/>
      <w:r w:rsidR="00CC7164">
        <w:rPr>
          <w:color w:val="000000"/>
        </w:rPr>
        <w:t>Coppin</w:t>
      </w:r>
      <w:proofErr w:type="spellEnd"/>
      <w:r w:rsidR="00CC7164">
        <w:rPr>
          <w:color w:val="000000"/>
        </w:rPr>
        <w:t xml:space="preserve"> JA, is this:</w:t>
      </w:r>
      <w:r w:rsidR="00784718">
        <w:rPr>
          <w:color w:val="000000"/>
        </w:rPr>
        <w:t xml:space="preserve"> If a ‘judgment debt’ and an ‘arbitration award’ were the same thing, why does s 31(1) empowers this Court to make an arbitration award an Order of Court? If they were the same thing, s</w:t>
      </w:r>
      <w:r w:rsidR="00671278">
        <w:rPr>
          <w:color w:val="000000"/>
        </w:rPr>
        <w:t> </w:t>
      </w:r>
      <w:r w:rsidR="00784718">
        <w:rPr>
          <w:color w:val="000000"/>
        </w:rPr>
        <w:t xml:space="preserve">31(1) would be superfluous. </w:t>
      </w:r>
      <w:r w:rsidR="00CC7164">
        <w:rPr>
          <w:color w:val="000000"/>
        </w:rPr>
        <w:t xml:space="preserve">  </w:t>
      </w:r>
    </w:p>
    <w:p w:rsidR="008F7E5D" w:rsidRPr="00784718" w:rsidRDefault="0079222A" w:rsidP="0079222A">
      <w:pPr>
        <w:pStyle w:val="LegalList1"/>
        <w:numPr>
          <w:ilvl w:val="0"/>
          <w:numId w:val="0"/>
        </w:numPr>
        <w:spacing w:after="120" w:line="360" w:lineRule="auto"/>
        <w:rPr>
          <w:color w:val="000000"/>
        </w:rPr>
      </w:pPr>
      <w:r w:rsidRPr="00784718">
        <w:rPr>
          <w:color w:val="000000"/>
        </w:rPr>
        <w:t>[31].</w:t>
      </w:r>
      <w:r w:rsidRPr="00784718">
        <w:rPr>
          <w:color w:val="000000"/>
        </w:rPr>
        <w:tab/>
      </w:r>
      <w:proofErr w:type="gramStart"/>
      <w:r w:rsidR="008F7E5D">
        <w:rPr>
          <w:color w:val="000000"/>
        </w:rPr>
        <w:t>In</w:t>
      </w:r>
      <w:proofErr w:type="gramEnd"/>
      <w:r w:rsidR="008F7E5D">
        <w:rPr>
          <w:color w:val="000000"/>
        </w:rPr>
        <w:t xml:space="preserve"> the circumstances, </w:t>
      </w:r>
      <w:r w:rsidR="002C1A39">
        <w:rPr>
          <w:color w:val="000000"/>
        </w:rPr>
        <w:t xml:space="preserve">I am of the view that the prescription legal point raised by </w:t>
      </w:r>
      <w:proofErr w:type="spellStart"/>
      <w:r w:rsidR="002C1A39">
        <w:rPr>
          <w:color w:val="000000"/>
        </w:rPr>
        <w:t>Lubbe</w:t>
      </w:r>
      <w:proofErr w:type="spellEnd"/>
      <w:r w:rsidR="002C1A39">
        <w:rPr>
          <w:color w:val="000000"/>
        </w:rPr>
        <w:t xml:space="preserve"> Construction in the application has merit. The Municipality’s claim to have the arbitrator’s award made an Order of Court is time-barred. The debt, which is the subject of the award</w:t>
      </w:r>
      <w:r w:rsidR="00671278">
        <w:rPr>
          <w:color w:val="000000"/>
        </w:rPr>
        <w:t>,</w:t>
      </w:r>
      <w:r w:rsidR="002C1A39">
        <w:rPr>
          <w:color w:val="000000"/>
        </w:rPr>
        <w:t xml:space="preserve"> prescribed on 30 June 2019, which preceded the date on which the proceedings in th</w:t>
      </w:r>
      <w:r w:rsidR="00784718">
        <w:rPr>
          <w:color w:val="000000"/>
        </w:rPr>
        <w:t xml:space="preserve">is application were instituted. </w:t>
      </w:r>
      <w:proofErr w:type="spellStart"/>
      <w:r w:rsidR="008F7E5D" w:rsidRPr="00784718">
        <w:rPr>
          <w:color w:val="000000"/>
        </w:rPr>
        <w:t>Matatiele</w:t>
      </w:r>
      <w:proofErr w:type="spellEnd"/>
      <w:r w:rsidR="008F7E5D" w:rsidRPr="00784718">
        <w:rPr>
          <w:color w:val="000000"/>
        </w:rPr>
        <w:t xml:space="preserve"> Local Municipality’s application </w:t>
      </w:r>
      <w:r w:rsidR="002C1A39" w:rsidRPr="00784718">
        <w:rPr>
          <w:color w:val="000000"/>
        </w:rPr>
        <w:t>therefore stands to be dismissed.</w:t>
      </w:r>
    </w:p>
    <w:p w:rsidR="008F7E5D" w:rsidRDefault="0079222A" w:rsidP="0079222A">
      <w:pPr>
        <w:pStyle w:val="LegalList1"/>
        <w:numPr>
          <w:ilvl w:val="0"/>
          <w:numId w:val="0"/>
        </w:numPr>
        <w:spacing w:after="240" w:line="360" w:lineRule="auto"/>
        <w:rPr>
          <w:color w:val="000000"/>
        </w:rPr>
      </w:pPr>
      <w:r>
        <w:rPr>
          <w:color w:val="000000"/>
        </w:rPr>
        <w:t>[32].</w:t>
      </w:r>
      <w:r>
        <w:rPr>
          <w:color w:val="000000"/>
        </w:rPr>
        <w:tab/>
      </w:r>
      <w:r w:rsidR="008F7E5D">
        <w:rPr>
          <w:color w:val="000000"/>
        </w:rPr>
        <w:t>As regards costs, the general rule that same should</w:t>
      </w:r>
      <w:r w:rsidR="0095667F" w:rsidRPr="0095667F">
        <w:rPr>
          <w:color w:val="000000"/>
        </w:rPr>
        <w:t xml:space="preserve"> follow the result and </w:t>
      </w:r>
      <w:r w:rsidR="008F7E5D">
        <w:rPr>
          <w:color w:val="000000"/>
        </w:rPr>
        <w:t xml:space="preserve">that </w:t>
      </w:r>
      <w:r w:rsidR="0095667F" w:rsidRPr="0095667F">
        <w:rPr>
          <w:color w:val="000000"/>
        </w:rPr>
        <w:t>a</w:t>
      </w:r>
      <w:r w:rsidR="00BF3484">
        <w:rPr>
          <w:color w:val="000000"/>
        </w:rPr>
        <w:t xml:space="preserve"> </w:t>
      </w:r>
      <w:r w:rsidR="0095667F" w:rsidRPr="00BF3484">
        <w:rPr>
          <w:color w:val="000000"/>
        </w:rPr>
        <w:t xml:space="preserve">successful party </w:t>
      </w:r>
      <w:r w:rsidR="008F7E5D">
        <w:rPr>
          <w:color w:val="000000"/>
        </w:rPr>
        <w:t>should be granted his costs, should be applied.</w:t>
      </w:r>
      <w:r w:rsidR="002C1A39">
        <w:rPr>
          <w:color w:val="000000"/>
        </w:rPr>
        <w:t xml:space="preserve"> The costs </w:t>
      </w:r>
      <w:r w:rsidR="002C1A39">
        <w:rPr>
          <w:color w:val="000000"/>
        </w:rPr>
        <w:lastRenderedPageBreak/>
        <w:t>of this application will therefore be awarded against the applicant in favour of the respondent.</w:t>
      </w:r>
    </w:p>
    <w:p w:rsidR="007A138E" w:rsidRPr="008601A9" w:rsidRDefault="00AD41F8" w:rsidP="008601A9">
      <w:pPr>
        <w:suppressAutoHyphens w:val="0"/>
        <w:autoSpaceDE w:val="0"/>
        <w:autoSpaceDN w:val="0"/>
        <w:adjustRightInd w:val="0"/>
        <w:spacing w:after="120" w:line="360" w:lineRule="auto"/>
        <w:jc w:val="both"/>
        <w:rPr>
          <w:rFonts w:cs="Arial"/>
          <w:b/>
        </w:rPr>
      </w:pPr>
      <w:r w:rsidRPr="008601A9">
        <w:rPr>
          <w:b/>
          <w:lang w:val="en-ZA" w:eastAsia="en-ZA"/>
        </w:rPr>
        <w:t>Order</w:t>
      </w:r>
    </w:p>
    <w:p w:rsidR="00775B52" w:rsidRPr="00775B52" w:rsidRDefault="0079222A" w:rsidP="0079222A">
      <w:pPr>
        <w:suppressAutoHyphens w:val="0"/>
        <w:autoSpaceDE w:val="0"/>
        <w:autoSpaceDN w:val="0"/>
        <w:adjustRightInd w:val="0"/>
        <w:spacing w:after="120" w:line="360" w:lineRule="auto"/>
        <w:jc w:val="both"/>
        <w:rPr>
          <w:rFonts w:cs="Arial"/>
        </w:rPr>
      </w:pPr>
      <w:r w:rsidRPr="00775B52">
        <w:rPr>
          <w:rFonts w:cs="Arial"/>
        </w:rPr>
        <w:t>[33].</w:t>
      </w:r>
      <w:r w:rsidRPr="00775B52">
        <w:rPr>
          <w:rFonts w:cs="Arial"/>
        </w:rPr>
        <w:tab/>
      </w:r>
      <w:r w:rsidR="00C422E3">
        <w:t>Accordingly</w:t>
      </w:r>
      <w:r w:rsidR="00CB20C0">
        <w:t xml:space="preserve">, </w:t>
      </w:r>
      <w:r w:rsidR="00775B52">
        <w:t>I make the following order: -</w:t>
      </w:r>
    </w:p>
    <w:p w:rsidR="002C1A39" w:rsidRPr="002C1A39" w:rsidRDefault="0079222A" w:rsidP="0079222A">
      <w:pPr>
        <w:spacing w:after="1200" w:line="360" w:lineRule="auto"/>
        <w:ind w:left="567" w:hanging="567"/>
        <w:jc w:val="both"/>
        <w:outlineLvl w:val="0"/>
        <w:rPr>
          <w:rFonts w:cs="Arial"/>
        </w:rPr>
      </w:pPr>
      <w:r w:rsidRPr="002C1A39">
        <w:t>(1)</w:t>
      </w:r>
      <w:r w:rsidRPr="002C1A39">
        <w:tab/>
      </w:r>
      <w:r w:rsidR="00C876B8" w:rsidRPr="00C876B8">
        <w:rPr>
          <w:rFonts w:cs="Arial"/>
          <w:lang w:val="en-US"/>
        </w:rPr>
        <w:t xml:space="preserve">The </w:t>
      </w:r>
      <w:r w:rsidR="002C1A39">
        <w:rPr>
          <w:rFonts w:cs="Arial"/>
          <w:lang w:val="en-US"/>
        </w:rPr>
        <w:t xml:space="preserve">applicant’s application </w:t>
      </w:r>
      <w:r w:rsidR="00C876B8" w:rsidRPr="00C876B8">
        <w:rPr>
          <w:rFonts w:cs="Arial"/>
          <w:lang w:val="en-US"/>
        </w:rPr>
        <w:t>in terms of section 31</w:t>
      </w:r>
      <w:r w:rsidR="002C1A39">
        <w:rPr>
          <w:rFonts w:cs="Arial"/>
          <w:lang w:val="en-US"/>
        </w:rPr>
        <w:t xml:space="preserve">(1) </w:t>
      </w:r>
      <w:r w:rsidR="00C876B8" w:rsidRPr="00C876B8">
        <w:rPr>
          <w:rFonts w:cs="Arial"/>
          <w:lang w:val="en-US"/>
        </w:rPr>
        <w:t xml:space="preserve">of the Arbitration Act, Act 42 of 1965, </w:t>
      </w:r>
      <w:r w:rsidR="002C1A39">
        <w:rPr>
          <w:rFonts w:cs="Arial"/>
          <w:lang w:val="en-US"/>
        </w:rPr>
        <w:t>be and is hereby dismissed with costs.</w:t>
      </w:r>
    </w:p>
    <w:p w:rsidR="00A93CA5" w:rsidRPr="005C763B" w:rsidRDefault="005C763B" w:rsidP="002B5A8F">
      <w:pPr>
        <w:pStyle w:val="LegalBodyText1"/>
        <w:keepNext/>
        <w:spacing w:after="120" w:line="360" w:lineRule="auto"/>
        <w:ind w:left="0"/>
        <w:jc w:val="right"/>
        <w:rPr>
          <w:b/>
        </w:rPr>
      </w:pPr>
      <w:r>
        <w:rPr>
          <w:b/>
        </w:rPr>
        <w:t>_____________</w:t>
      </w:r>
      <w:r w:rsidR="00A93CA5" w:rsidRPr="005C763B">
        <w:rPr>
          <w:b/>
        </w:rPr>
        <w:t>____________________</w:t>
      </w:r>
    </w:p>
    <w:p w:rsidR="000C3AF7" w:rsidRDefault="00A93CA5" w:rsidP="006A0AA9">
      <w:pPr>
        <w:keepNext/>
        <w:spacing w:line="276" w:lineRule="auto"/>
        <w:jc w:val="right"/>
        <w:rPr>
          <w:rFonts w:cs="Arial"/>
          <w:b/>
        </w:rPr>
      </w:pPr>
      <w:r>
        <w:rPr>
          <w:rFonts w:cs="Arial"/>
          <w:b/>
        </w:rPr>
        <w:t xml:space="preserve">L </w:t>
      </w:r>
      <w:r w:rsidR="00A63DEF">
        <w:rPr>
          <w:rFonts w:cs="Arial"/>
          <w:b/>
        </w:rPr>
        <w:t xml:space="preserve">R </w:t>
      </w:r>
      <w:r>
        <w:rPr>
          <w:rFonts w:cs="Arial"/>
          <w:b/>
        </w:rPr>
        <w:t>ADAMS</w:t>
      </w:r>
      <w:r w:rsidR="000C3AF7">
        <w:rPr>
          <w:rFonts w:cs="Arial"/>
          <w:b/>
        </w:rPr>
        <w:t xml:space="preserve"> </w:t>
      </w:r>
    </w:p>
    <w:p w:rsidR="000C3AF7" w:rsidRPr="0084771B" w:rsidRDefault="000C3AF7" w:rsidP="006A0AA9">
      <w:pPr>
        <w:keepNext/>
        <w:spacing w:line="276" w:lineRule="auto"/>
        <w:jc w:val="right"/>
        <w:rPr>
          <w:rFonts w:cs="Arial"/>
          <w:i/>
        </w:rPr>
      </w:pPr>
      <w:r w:rsidRPr="0084771B">
        <w:rPr>
          <w:rFonts w:cs="Arial"/>
          <w:i/>
        </w:rPr>
        <w:t>Judge of the High Court</w:t>
      </w:r>
    </w:p>
    <w:p w:rsidR="000C3AF7" w:rsidRDefault="00A93CA5" w:rsidP="0084771B">
      <w:pPr>
        <w:pBdr>
          <w:bottom w:val="single" w:sz="6" w:space="1" w:color="auto"/>
        </w:pBdr>
        <w:spacing w:line="276" w:lineRule="auto"/>
        <w:jc w:val="right"/>
        <w:rPr>
          <w:rFonts w:cs="Arial"/>
          <w:i/>
        </w:rPr>
      </w:pPr>
      <w:r w:rsidRPr="0084771B">
        <w:rPr>
          <w:rFonts w:cs="Arial"/>
          <w:i/>
        </w:rPr>
        <w:t xml:space="preserve">Gauteng </w:t>
      </w:r>
      <w:r w:rsidR="0062393B">
        <w:rPr>
          <w:rFonts w:cs="Arial"/>
          <w:i/>
        </w:rPr>
        <w:t xml:space="preserve">Local </w:t>
      </w:r>
      <w:r w:rsidRPr="0084771B">
        <w:rPr>
          <w:rFonts w:cs="Arial"/>
          <w:i/>
        </w:rPr>
        <w:t>Division,</w:t>
      </w:r>
      <w:r w:rsidR="0084771B" w:rsidRPr="0084771B">
        <w:rPr>
          <w:rFonts w:cs="Arial"/>
          <w:i/>
        </w:rPr>
        <w:t xml:space="preserve"> </w:t>
      </w:r>
      <w:r w:rsidR="0062393B">
        <w:rPr>
          <w:rFonts w:cs="Arial"/>
          <w:i/>
        </w:rPr>
        <w:t>Johannesburg</w:t>
      </w:r>
    </w:p>
    <w:p w:rsidR="004F06FE" w:rsidRDefault="004F06FE">
      <w:pPr>
        <w:suppressAutoHyphens w:val="0"/>
      </w:pPr>
    </w:p>
    <w:tbl>
      <w:tblPr>
        <w:tblW w:w="8614" w:type="dxa"/>
        <w:tblLook w:val="04A0" w:firstRow="1" w:lastRow="0" w:firstColumn="1" w:lastColumn="0" w:noHBand="0" w:noVBand="1"/>
      </w:tblPr>
      <w:tblGrid>
        <w:gridCol w:w="4786"/>
        <w:gridCol w:w="3828"/>
      </w:tblGrid>
      <w:tr w:rsidR="00D061E4" w:rsidTr="00D061E4">
        <w:tc>
          <w:tcPr>
            <w:tcW w:w="4786" w:type="dxa"/>
            <w:tcMar>
              <w:top w:w="32" w:type="dxa"/>
              <w:left w:w="108" w:type="dxa"/>
              <w:bottom w:w="32" w:type="dxa"/>
              <w:right w:w="108" w:type="dxa"/>
            </w:tcMar>
            <w:vAlign w:val="center"/>
            <w:hideMark/>
          </w:tcPr>
          <w:p w:rsidR="00D061E4" w:rsidRDefault="00D061E4">
            <w:pPr>
              <w:keepNext/>
              <w:spacing w:before="120" w:after="120"/>
              <w:rPr>
                <w:sz w:val="22"/>
                <w:szCs w:val="22"/>
                <w:lang w:eastAsia="en-US"/>
              </w:rPr>
            </w:pPr>
            <w:r>
              <w:t>HEARD ON: </w:t>
            </w:r>
          </w:p>
        </w:tc>
        <w:tc>
          <w:tcPr>
            <w:tcW w:w="0" w:type="auto"/>
            <w:tcMar>
              <w:top w:w="32" w:type="dxa"/>
              <w:left w:w="108" w:type="dxa"/>
              <w:bottom w:w="32" w:type="dxa"/>
              <w:right w:w="108" w:type="dxa"/>
            </w:tcMar>
            <w:vAlign w:val="center"/>
            <w:hideMark/>
          </w:tcPr>
          <w:p w:rsidR="00D061E4" w:rsidRDefault="002D10E9" w:rsidP="002D10E9">
            <w:pPr>
              <w:keepNext/>
              <w:spacing w:before="120" w:after="120"/>
              <w:ind w:left="-108"/>
              <w:rPr>
                <w:sz w:val="22"/>
                <w:szCs w:val="22"/>
                <w:lang w:eastAsia="en-US"/>
              </w:rPr>
            </w:pPr>
            <w:r>
              <w:t>23</w:t>
            </w:r>
            <w:r w:rsidRPr="002D10E9">
              <w:rPr>
                <w:vertAlign w:val="superscript"/>
              </w:rPr>
              <w:t>rd</w:t>
            </w:r>
            <w:r>
              <w:t xml:space="preserve"> </w:t>
            </w:r>
            <w:r w:rsidR="0081199F">
              <w:t>November</w:t>
            </w:r>
            <w:r w:rsidR="00D061E4">
              <w:t xml:space="preserve"> 2021 – in a ‘virtual hearing’ during a videoconference on </w:t>
            </w:r>
            <w:r w:rsidR="00D061E4">
              <w:rPr>
                <w:i/>
              </w:rPr>
              <w:t>Microsoft Teams</w:t>
            </w:r>
          </w:p>
        </w:tc>
      </w:tr>
      <w:tr w:rsidR="00D061E4" w:rsidTr="00D061E4">
        <w:tc>
          <w:tcPr>
            <w:tcW w:w="4786" w:type="dxa"/>
            <w:tcMar>
              <w:top w:w="32" w:type="dxa"/>
              <w:left w:w="108" w:type="dxa"/>
              <w:bottom w:w="32" w:type="dxa"/>
              <w:right w:w="108" w:type="dxa"/>
            </w:tcMar>
            <w:vAlign w:val="center"/>
            <w:hideMark/>
          </w:tcPr>
          <w:p w:rsidR="00D061E4" w:rsidRDefault="00D061E4">
            <w:pPr>
              <w:keepNext/>
              <w:spacing w:before="120" w:after="120"/>
              <w:rPr>
                <w:sz w:val="22"/>
                <w:szCs w:val="22"/>
                <w:lang w:eastAsia="en-US"/>
              </w:rPr>
            </w:pPr>
            <w:r>
              <w:t>JUDGMENT DATE: </w:t>
            </w:r>
          </w:p>
        </w:tc>
        <w:tc>
          <w:tcPr>
            <w:tcW w:w="0" w:type="auto"/>
            <w:tcMar>
              <w:top w:w="32" w:type="dxa"/>
              <w:left w:w="108" w:type="dxa"/>
              <w:bottom w:w="32" w:type="dxa"/>
              <w:right w:w="108" w:type="dxa"/>
            </w:tcMar>
            <w:vAlign w:val="center"/>
            <w:hideMark/>
          </w:tcPr>
          <w:p w:rsidR="00D061E4" w:rsidRDefault="002C1A39" w:rsidP="002C1A39">
            <w:pPr>
              <w:keepNext/>
              <w:spacing w:before="120" w:after="120"/>
              <w:ind w:left="-108"/>
            </w:pPr>
            <w:r>
              <w:t>2</w:t>
            </w:r>
            <w:r w:rsidRPr="002C1A39">
              <w:rPr>
                <w:vertAlign w:val="superscript"/>
              </w:rPr>
              <w:t>nd</w:t>
            </w:r>
            <w:r>
              <w:t xml:space="preserve"> </w:t>
            </w:r>
            <w:r w:rsidR="002D10E9">
              <w:t>December</w:t>
            </w:r>
            <w:r w:rsidR="00D061E4">
              <w:t xml:space="preserve"> 2021 – judgment handed down electronically</w:t>
            </w:r>
          </w:p>
        </w:tc>
      </w:tr>
      <w:tr w:rsidR="00D061E4" w:rsidTr="00D061E4">
        <w:tc>
          <w:tcPr>
            <w:tcW w:w="4786" w:type="dxa"/>
            <w:tcMar>
              <w:top w:w="32" w:type="dxa"/>
              <w:left w:w="108" w:type="dxa"/>
              <w:bottom w:w="32" w:type="dxa"/>
              <w:right w:w="108" w:type="dxa"/>
            </w:tcMar>
            <w:vAlign w:val="center"/>
            <w:hideMark/>
          </w:tcPr>
          <w:p w:rsidR="00D061E4" w:rsidRDefault="0081199F">
            <w:pPr>
              <w:keepNext/>
              <w:spacing w:before="120" w:after="120"/>
              <w:rPr>
                <w:sz w:val="22"/>
                <w:szCs w:val="22"/>
                <w:lang w:eastAsia="en-US"/>
              </w:rPr>
            </w:pPr>
            <w:r>
              <w:t>FOR THE APPLICANT</w:t>
            </w:r>
            <w:r w:rsidR="00D061E4">
              <w:t>: </w:t>
            </w:r>
          </w:p>
        </w:tc>
        <w:tc>
          <w:tcPr>
            <w:tcW w:w="0" w:type="auto"/>
            <w:tcMar>
              <w:top w:w="32" w:type="dxa"/>
              <w:left w:w="108" w:type="dxa"/>
              <w:bottom w:w="32" w:type="dxa"/>
              <w:right w:w="108" w:type="dxa"/>
            </w:tcMar>
            <w:vAlign w:val="center"/>
            <w:hideMark/>
          </w:tcPr>
          <w:p w:rsidR="00D061E4" w:rsidRDefault="00A82BDB" w:rsidP="00A82BDB">
            <w:pPr>
              <w:keepNext/>
              <w:spacing w:before="120" w:after="120"/>
              <w:ind w:left="-108"/>
              <w:rPr>
                <w:sz w:val="22"/>
                <w:szCs w:val="22"/>
                <w:lang w:eastAsia="en-US"/>
              </w:rPr>
            </w:pPr>
            <w:proofErr w:type="spellStart"/>
            <w:r>
              <w:t>Adv</w:t>
            </w:r>
            <w:proofErr w:type="spellEnd"/>
            <w:r w:rsidR="00D061E4">
              <w:t xml:space="preserve"> </w:t>
            </w:r>
            <w:proofErr w:type="spellStart"/>
            <w:r>
              <w:t>Sinethemba</w:t>
            </w:r>
            <w:proofErr w:type="spellEnd"/>
            <w:r>
              <w:t xml:space="preserve"> Isaac </w:t>
            </w:r>
            <w:proofErr w:type="spellStart"/>
            <w:r>
              <w:t>Vobi</w:t>
            </w:r>
            <w:proofErr w:type="spellEnd"/>
            <w:r w:rsidR="00D061E4">
              <w:t xml:space="preserve"> </w:t>
            </w:r>
          </w:p>
        </w:tc>
      </w:tr>
      <w:tr w:rsidR="00D061E4" w:rsidTr="00D061E4">
        <w:tc>
          <w:tcPr>
            <w:tcW w:w="4786" w:type="dxa"/>
            <w:tcMar>
              <w:top w:w="32" w:type="dxa"/>
              <w:left w:w="108" w:type="dxa"/>
              <w:bottom w:w="32" w:type="dxa"/>
              <w:right w:w="108" w:type="dxa"/>
            </w:tcMar>
            <w:vAlign w:val="center"/>
            <w:hideMark/>
          </w:tcPr>
          <w:p w:rsidR="00D061E4" w:rsidRDefault="00D061E4">
            <w:pPr>
              <w:keepNext/>
              <w:spacing w:before="120" w:after="120"/>
              <w:rPr>
                <w:sz w:val="22"/>
                <w:szCs w:val="22"/>
                <w:lang w:eastAsia="en-US"/>
              </w:rPr>
            </w:pPr>
            <w:r>
              <w:t>INSTRUCTED BY: </w:t>
            </w:r>
          </w:p>
        </w:tc>
        <w:tc>
          <w:tcPr>
            <w:tcW w:w="0" w:type="auto"/>
            <w:tcMar>
              <w:top w:w="32" w:type="dxa"/>
              <w:left w:w="108" w:type="dxa"/>
              <w:bottom w:w="32" w:type="dxa"/>
              <w:right w:w="108" w:type="dxa"/>
            </w:tcMar>
            <w:vAlign w:val="center"/>
            <w:hideMark/>
          </w:tcPr>
          <w:p w:rsidR="00D061E4" w:rsidRDefault="00A82BDB" w:rsidP="00A82BDB">
            <w:pPr>
              <w:keepNext/>
              <w:spacing w:before="120" w:after="120"/>
              <w:ind w:left="-108"/>
              <w:rPr>
                <w:sz w:val="22"/>
                <w:szCs w:val="22"/>
                <w:lang w:eastAsia="en-US"/>
              </w:rPr>
            </w:pPr>
            <w:r>
              <w:t>Matthew Francis Incorporated</w:t>
            </w:r>
            <w:r w:rsidR="00D061E4">
              <w:t xml:space="preserve">, </w:t>
            </w:r>
            <w:r>
              <w:t xml:space="preserve">Pietermaritzburg. </w:t>
            </w:r>
          </w:p>
        </w:tc>
      </w:tr>
      <w:tr w:rsidR="00D061E4" w:rsidTr="00D061E4">
        <w:tc>
          <w:tcPr>
            <w:tcW w:w="4786" w:type="dxa"/>
            <w:tcMar>
              <w:top w:w="32" w:type="dxa"/>
              <w:left w:w="108" w:type="dxa"/>
              <w:bottom w:w="32" w:type="dxa"/>
              <w:right w:w="108" w:type="dxa"/>
            </w:tcMar>
            <w:vAlign w:val="center"/>
            <w:hideMark/>
          </w:tcPr>
          <w:p w:rsidR="00D061E4" w:rsidRDefault="00D061E4" w:rsidP="002D10E9">
            <w:pPr>
              <w:keepNext/>
              <w:spacing w:before="120" w:after="120"/>
              <w:rPr>
                <w:sz w:val="22"/>
                <w:szCs w:val="22"/>
                <w:lang w:eastAsia="en-US"/>
              </w:rPr>
            </w:pPr>
            <w:r>
              <w:t>FOR THE RESPONDENT: </w:t>
            </w:r>
          </w:p>
        </w:tc>
        <w:tc>
          <w:tcPr>
            <w:tcW w:w="0" w:type="auto"/>
            <w:tcMar>
              <w:top w:w="32" w:type="dxa"/>
              <w:left w:w="108" w:type="dxa"/>
              <w:bottom w:w="32" w:type="dxa"/>
              <w:right w:w="108" w:type="dxa"/>
            </w:tcMar>
            <w:vAlign w:val="center"/>
            <w:hideMark/>
          </w:tcPr>
          <w:p w:rsidR="00D061E4" w:rsidRDefault="00A82BDB">
            <w:pPr>
              <w:keepNext/>
              <w:spacing w:before="120" w:after="120"/>
              <w:ind w:left="-108"/>
            </w:pPr>
            <w:r>
              <w:t xml:space="preserve">Attorney S J Van der </w:t>
            </w:r>
            <w:proofErr w:type="spellStart"/>
            <w:r>
              <w:t>Wath</w:t>
            </w:r>
            <w:proofErr w:type="spellEnd"/>
            <w:r w:rsidR="002F2249">
              <w:t xml:space="preserve"> </w:t>
            </w:r>
          </w:p>
        </w:tc>
      </w:tr>
      <w:tr w:rsidR="00D061E4" w:rsidTr="00D061E4">
        <w:tc>
          <w:tcPr>
            <w:tcW w:w="4786" w:type="dxa"/>
            <w:tcMar>
              <w:top w:w="32" w:type="dxa"/>
              <w:left w:w="108" w:type="dxa"/>
              <w:bottom w:w="32" w:type="dxa"/>
              <w:right w:w="108" w:type="dxa"/>
            </w:tcMar>
            <w:vAlign w:val="center"/>
            <w:hideMark/>
          </w:tcPr>
          <w:p w:rsidR="00D061E4" w:rsidRDefault="002D10E9">
            <w:pPr>
              <w:spacing w:before="120" w:after="120"/>
              <w:rPr>
                <w:sz w:val="22"/>
                <w:szCs w:val="22"/>
                <w:lang w:eastAsia="en-US"/>
              </w:rPr>
            </w:pPr>
            <w:r>
              <w:t>INSTRUCTED BY</w:t>
            </w:r>
            <w:r w:rsidR="00D061E4">
              <w:t>: </w:t>
            </w:r>
          </w:p>
        </w:tc>
        <w:tc>
          <w:tcPr>
            <w:tcW w:w="0" w:type="auto"/>
            <w:tcMar>
              <w:top w:w="32" w:type="dxa"/>
              <w:left w:w="108" w:type="dxa"/>
              <w:bottom w:w="32" w:type="dxa"/>
              <w:right w:w="108" w:type="dxa"/>
            </w:tcMar>
            <w:vAlign w:val="center"/>
            <w:hideMark/>
          </w:tcPr>
          <w:p w:rsidR="00D061E4" w:rsidRDefault="00A82BDB">
            <w:pPr>
              <w:spacing w:before="120" w:after="120"/>
              <w:ind w:left="-108"/>
              <w:rPr>
                <w:sz w:val="22"/>
                <w:szCs w:val="22"/>
                <w:lang w:eastAsia="en-US"/>
              </w:rPr>
            </w:pPr>
            <w:proofErr w:type="spellStart"/>
            <w:r>
              <w:t>Roelf</w:t>
            </w:r>
            <w:proofErr w:type="spellEnd"/>
            <w:r>
              <w:t xml:space="preserve"> </w:t>
            </w:r>
            <w:proofErr w:type="spellStart"/>
            <w:r>
              <w:t>Nel</w:t>
            </w:r>
            <w:proofErr w:type="spellEnd"/>
            <w:r>
              <w:t xml:space="preserve"> Incorporate</w:t>
            </w:r>
            <w:r w:rsidR="0061418B">
              <w:t>d</w:t>
            </w:r>
            <w:r>
              <w:t xml:space="preserve"> Attorneys, Pretoria.</w:t>
            </w:r>
            <w:r w:rsidR="002F2249">
              <w:t xml:space="preserve"> </w:t>
            </w:r>
            <w:r w:rsidR="00D061E4">
              <w:t xml:space="preserve">  </w:t>
            </w:r>
          </w:p>
        </w:tc>
      </w:tr>
    </w:tbl>
    <w:p w:rsidR="002F15F5" w:rsidRPr="00D63801" w:rsidRDefault="002F15F5" w:rsidP="00BB6E57">
      <w:pPr>
        <w:keepNext/>
        <w:keepLines/>
        <w:tabs>
          <w:tab w:val="left" w:pos="0"/>
        </w:tabs>
        <w:rPr>
          <w:b/>
        </w:rPr>
      </w:pPr>
    </w:p>
    <w:sectPr w:rsidR="002F15F5" w:rsidRPr="00D63801" w:rsidSect="002B6C0E">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24" w:rsidRDefault="008C6624">
      <w:pPr>
        <w:spacing w:line="20" w:lineRule="exact"/>
      </w:pPr>
    </w:p>
  </w:endnote>
  <w:endnote w:type="continuationSeparator" w:id="0">
    <w:p w:rsidR="008C6624" w:rsidRDefault="008C6624">
      <w:r>
        <w:t xml:space="preserve"> </w:t>
      </w:r>
    </w:p>
  </w:endnote>
  <w:endnote w:type="continuationNotice" w:id="1">
    <w:p w:rsidR="008C6624" w:rsidRDefault="008C66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24" w:rsidRDefault="008C6624">
      <w:r>
        <w:separator/>
      </w:r>
    </w:p>
  </w:footnote>
  <w:footnote w:type="continuationSeparator" w:id="0">
    <w:p w:rsidR="008C6624" w:rsidRDefault="008C6624">
      <w:r>
        <w:continuationSeparator/>
      </w:r>
    </w:p>
  </w:footnote>
  <w:footnote w:id="1">
    <w:p w:rsidR="00606321" w:rsidRDefault="00606321">
      <w:pPr>
        <w:pStyle w:val="FootnoteText"/>
      </w:pPr>
      <w:r>
        <w:rPr>
          <w:rStyle w:val="FootnoteReference"/>
        </w:rPr>
        <w:footnoteRef/>
      </w:r>
      <w:r>
        <w:t xml:space="preserve"> </w:t>
      </w:r>
      <w:r w:rsidRPr="00606321">
        <w:rPr>
          <w:i/>
          <w:color w:val="000000"/>
        </w:rPr>
        <w:t xml:space="preserve">Brompton Court Body Corporate v </w:t>
      </w:r>
      <w:proofErr w:type="spellStart"/>
      <w:r w:rsidRPr="00606321">
        <w:rPr>
          <w:i/>
          <w:color w:val="000000"/>
        </w:rPr>
        <w:t>Khumalo</w:t>
      </w:r>
      <w:proofErr w:type="spellEnd"/>
      <w:r>
        <w:rPr>
          <w:color w:val="000000"/>
        </w:rPr>
        <w:t xml:space="preserve"> </w:t>
      </w:r>
      <w:r w:rsidRPr="002C0326">
        <w:rPr>
          <w:color w:val="000000"/>
        </w:rPr>
        <w:t>2018 (3) SA 347 (SCA)</w:t>
      </w:r>
      <w:r>
        <w:rPr>
          <w:color w:val="000000"/>
        </w:rPr>
        <w:t>.</w:t>
      </w:r>
    </w:p>
  </w:footnote>
  <w:footnote w:id="2">
    <w:p w:rsidR="00997AFB" w:rsidRPr="00BF7E1C" w:rsidRDefault="00997AFB" w:rsidP="00997AFB">
      <w:pPr>
        <w:pStyle w:val="FootnoteText"/>
        <w:rPr>
          <w:lang w:val="en-US"/>
        </w:rPr>
      </w:pPr>
      <w:r>
        <w:rPr>
          <w:rStyle w:val="FootnoteReference"/>
        </w:rPr>
        <w:footnoteRef/>
      </w:r>
      <w:r>
        <w:t xml:space="preserve"> </w:t>
      </w:r>
      <w:r w:rsidRPr="00BF7E1C">
        <w:rPr>
          <w:i/>
          <w:color w:val="000000"/>
        </w:rPr>
        <w:t>Eskom v Soweto City Council</w:t>
      </w:r>
      <w:r>
        <w:rPr>
          <w:i/>
          <w:color w:val="000000"/>
        </w:rPr>
        <w:t xml:space="preserve"> </w:t>
      </w:r>
      <w:r w:rsidRPr="00BF7E1C">
        <w:t>1992 (2) SA 703 (W)</w:t>
      </w:r>
    </w:p>
  </w:footnote>
  <w:footnote w:id="3">
    <w:p w:rsidR="00DD1EB6" w:rsidRDefault="00DD1EB6">
      <w:pPr>
        <w:pStyle w:val="FootnoteText"/>
      </w:pPr>
      <w:r>
        <w:rPr>
          <w:rStyle w:val="FootnoteReference"/>
        </w:rPr>
        <w:footnoteRef/>
      </w:r>
      <w:r>
        <w:t xml:space="preserve"> </w:t>
      </w:r>
      <w:r w:rsidRPr="00883753">
        <w:rPr>
          <w:i/>
          <w:color w:val="000000"/>
        </w:rPr>
        <w:t>SA Transport &amp; Allied Workers Union on behalf of Hani v Fidelity Cash Management Services (Pty) Ltd</w:t>
      </w:r>
      <w:r w:rsidRPr="00883753">
        <w:rPr>
          <w:color w:val="000000"/>
        </w:rPr>
        <w:t xml:space="preserve"> (2012) 33 ILJ 2452 (LC)</w:t>
      </w:r>
      <w:r>
        <w:rPr>
          <w:color w:val="000000"/>
        </w:rPr>
        <w:t>.</w:t>
      </w:r>
    </w:p>
  </w:footnote>
  <w:footnote w:id="4">
    <w:p w:rsidR="001459DC" w:rsidRDefault="001459DC">
      <w:pPr>
        <w:pStyle w:val="FootnoteText"/>
      </w:pPr>
      <w:r>
        <w:rPr>
          <w:rStyle w:val="FootnoteReference"/>
        </w:rPr>
        <w:footnoteRef/>
      </w:r>
      <w:r>
        <w:t xml:space="preserve"> </w:t>
      </w:r>
      <w:proofErr w:type="spellStart"/>
      <w:r w:rsidRPr="001459DC">
        <w:rPr>
          <w:i/>
          <w:color w:val="000000"/>
        </w:rPr>
        <w:t>Myathaza</w:t>
      </w:r>
      <w:proofErr w:type="spellEnd"/>
      <w:r w:rsidRPr="001459DC">
        <w:rPr>
          <w:i/>
          <w:color w:val="000000"/>
        </w:rPr>
        <w:t xml:space="preserve"> v Johannesburg Metropolitan Bus Service SOC Ltd t/a </w:t>
      </w:r>
      <w:proofErr w:type="spellStart"/>
      <w:r w:rsidRPr="001459DC">
        <w:rPr>
          <w:i/>
          <w:color w:val="000000"/>
        </w:rPr>
        <w:t>MetroBus</w:t>
      </w:r>
      <w:proofErr w:type="spellEnd"/>
      <w:r w:rsidRPr="001459DC">
        <w:rPr>
          <w:color w:val="000000"/>
        </w:rPr>
        <w:t xml:space="preserve"> 2016 (3) SA 74 (LAC)</w:t>
      </w:r>
      <w:r>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3B21F3">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110"/>
    <w:multiLevelType w:val="hybridMultilevel"/>
    <w:tmpl w:val="5B0AE946"/>
    <w:lvl w:ilvl="0" w:tplc="B0B6A93C">
      <w:start w:val="2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765AD5"/>
    <w:multiLevelType w:val="hybridMultilevel"/>
    <w:tmpl w:val="80B8816E"/>
    <w:lvl w:ilvl="0" w:tplc="656A1B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3">
    <w:nsid w:val="061533A9"/>
    <w:multiLevelType w:val="singleLevel"/>
    <w:tmpl w:val="4C6F77C6"/>
    <w:lvl w:ilvl="0">
      <w:start w:val="1"/>
      <w:numFmt w:val="decimal"/>
      <w:lvlText w:val="%1."/>
      <w:lvlJc w:val="left"/>
      <w:pPr>
        <w:tabs>
          <w:tab w:val="num" w:pos="288"/>
        </w:tabs>
        <w:ind w:left="360" w:hanging="288"/>
      </w:pPr>
      <w:rPr>
        <w:rFonts w:ascii="Arial" w:hAnsi="Arial" w:cs="Arial"/>
        <w:snapToGrid/>
        <w:sz w:val="19"/>
        <w:szCs w:val="19"/>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EA2D04"/>
    <w:multiLevelType w:val="hybridMultilevel"/>
    <w:tmpl w:val="52089456"/>
    <w:lvl w:ilvl="0" w:tplc="7ECE082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F32124"/>
    <w:multiLevelType w:val="multilevel"/>
    <w:tmpl w:val="8DE2BC24"/>
    <w:lvl w:ilvl="0">
      <w:start w:val="1"/>
      <w:numFmt w:val="decimal"/>
      <w:lvlText w:val="%1."/>
      <w:lvlJc w:val="left"/>
      <w:pPr>
        <w:ind w:left="567" w:hanging="567"/>
      </w:pPr>
      <w:rPr>
        <w:rFonts w:cs="Times New Roman"/>
      </w:rPr>
    </w:lvl>
    <w:lvl w:ilvl="1">
      <w:start w:val="1"/>
      <w:numFmt w:val="decimal"/>
      <w:lvlText w:val="%1.%2."/>
      <w:lvlJc w:val="left"/>
      <w:pPr>
        <w:tabs>
          <w:tab w:val="num" w:pos="1418"/>
        </w:tabs>
        <w:ind w:left="1418" w:hanging="851"/>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7845464"/>
    <w:multiLevelType w:val="hybridMultilevel"/>
    <w:tmpl w:val="812C0BB8"/>
    <w:lvl w:ilvl="0" w:tplc="10B8D918">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866CB0"/>
    <w:multiLevelType w:val="multilevel"/>
    <w:tmpl w:val="E99809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6E42C91"/>
    <w:multiLevelType w:val="hybridMultilevel"/>
    <w:tmpl w:val="C9346D6A"/>
    <w:lvl w:ilvl="0" w:tplc="DD42C0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C22443B"/>
    <w:multiLevelType w:val="hybridMultilevel"/>
    <w:tmpl w:val="763A1F84"/>
    <w:lvl w:ilvl="0" w:tplc="05A4E03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2E4380"/>
    <w:multiLevelType w:val="hybridMultilevel"/>
    <w:tmpl w:val="A4BEBB8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59E9736">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nsid w:val="3205157C"/>
    <w:multiLevelType w:val="hybridMultilevel"/>
    <w:tmpl w:val="D51C4C54"/>
    <w:lvl w:ilvl="0" w:tplc="9B741A1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6B7775"/>
    <w:multiLevelType w:val="hybridMultilevel"/>
    <w:tmpl w:val="E5523F7A"/>
    <w:lvl w:ilvl="0" w:tplc="E23A6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6B3E0A"/>
    <w:multiLevelType w:val="hybridMultilevel"/>
    <w:tmpl w:val="B43287CC"/>
    <w:lvl w:ilvl="0" w:tplc="C68EC1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AE87CEF"/>
    <w:multiLevelType w:val="multilevel"/>
    <w:tmpl w:val="29B0B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BD864F9"/>
    <w:multiLevelType w:val="hybridMultilevel"/>
    <w:tmpl w:val="04940A3C"/>
    <w:lvl w:ilvl="0" w:tplc="DD524C5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nsid w:val="52DD2B1B"/>
    <w:multiLevelType w:val="hybridMultilevel"/>
    <w:tmpl w:val="D0D2C594"/>
    <w:lvl w:ilvl="0" w:tplc="476C5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38021BA"/>
    <w:multiLevelType w:val="hybridMultilevel"/>
    <w:tmpl w:val="2E02735C"/>
    <w:lvl w:ilvl="0" w:tplc="699AD6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9FE33ED"/>
    <w:multiLevelType w:val="hybridMultilevel"/>
    <w:tmpl w:val="4394DF9E"/>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B744120"/>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4433CB"/>
    <w:multiLevelType w:val="hybridMultilevel"/>
    <w:tmpl w:val="0E5E8194"/>
    <w:lvl w:ilvl="0" w:tplc="3FB2F8B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7771CD8"/>
    <w:multiLevelType w:val="hybridMultilevel"/>
    <w:tmpl w:val="6870114A"/>
    <w:lvl w:ilvl="0" w:tplc="D6504C9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BB1D21"/>
    <w:multiLevelType w:val="hybridMultilevel"/>
    <w:tmpl w:val="758AC6F2"/>
    <w:lvl w:ilvl="0" w:tplc="DDC42D8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60F76D4"/>
    <w:multiLevelType w:val="hybridMultilevel"/>
    <w:tmpl w:val="F3F008DE"/>
    <w:lvl w:ilvl="0" w:tplc="B8FC25DC">
      <w:start w:val="3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8DA131C"/>
    <w:multiLevelType w:val="multilevel"/>
    <w:tmpl w:val="B42469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A0C5EEB"/>
    <w:multiLevelType w:val="hybridMultilevel"/>
    <w:tmpl w:val="5E14B79A"/>
    <w:lvl w:ilvl="0" w:tplc="588C80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abstractNum w:abstractNumId="42">
    <w:nsid w:val="7CB63894"/>
    <w:multiLevelType w:val="multilevel"/>
    <w:tmpl w:val="348679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9"/>
  </w:num>
  <w:num w:numId="3">
    <w:abstractNumId w:val="31"/>
  </w:num>
  <w:num w:numId="4">
    <w:abstractNumId w:val="5"/>
    <w:lvlOverride w:ilvl="0">
      <w:startOverride w:val="1"/>
    </w:lvlOverride>
  </w:num>
  <w:num w:numId="5">
    <w:abstractNumId w:val="4"/>
  </w:num>
  <w:num w:numId="6">
    <w:abstractNumId w:val="20"/>
  </w:num>
  <w:num w:numId="7">
    <w:abstractNumId w:val="14"/>
  </w:num>
  <w:num w:numId="8">
    <w:abstractNumId w:val="28"/>
  </w:num>
  <w:num w:numId="9">
    <w:abstractNumId w:val="19"/>
  </w:num>
  <w:num w:numId="10">
    <w:abstractNumId w:val="3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6"/>
  </w:num>
  <w:num w:numId="19">
    <w:abstractNumId w:val="30"/>
  </w:num>
  <w:num w:numId="20">
    <w:abstractNumId w:val="27"/>
  </w:num>
  <w:num w:numId="21">
    <w:abstractNumId w:val="37"/>
  </w:num>
  <w:num w:numId="22">
    <w:abstractNumId w:val="10"/>
  </w:num>
  <w:num w:numId="23">
    <w:abstractNumId w:val="36"/>
  </w:num>
  <w:num w:numId="24">
    <w:abstractNumId w:val="3"/>
  </w:num>
  <w:num w:numId="25">
    <w:abstractNumId w:val="17"/>
  </w:num>
  <w:num w:numId="26">
    <w:abstractNumId w:val="29"/>
  </w:num>
  <w:num w:numId="27">
    <w:abstractNumId w:val="22"/>
  </w:num>
  <w:num w:numId="28">
    <w:abstractNumId w:val="40"/>
  </w:num>
  <w:num w:numId="29">
    <w:abstractNumId w:val="24"/>
  </w:num>
  <w:num w:numId="30">
    <w:abstractNumId w:val="1"/>
  </w:num>
  <w:num w:numId="31">
    <w:abstractNumId w:val="34"/>
  </w:num>
  <w:num w:numId="32">
    <w:abstractNumId w:val="15"/>
  </w:num>
  <w:num w:numId="33">
    <w:abstractNumId w:val="39"/>
  </w:num>
  <w:num w:numId="34">
    <w:abstractNumId w:val="13"/>
  </w:num>
  <w:num w:numId="35">
    <w:abstractNumId w:val="35"/>
  </w:num>
  <w:num w:numId="36">
    <w:abstractNumId w:val="6"/>
  </w:num>
  <w:num w:numId="37">
    <w:abstractNumId w:val="11"/>
  </w:num>
  <w:num w:numId="38">
    <w:abstractNumId w:val="3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42"/>
  </w:num>
  <w:num w:numId="43">
    <w:abstractNumId w:val="0"/>
  </w:num>
  <w:num w:numId="44">
    <w:abstractNumId w:val="12"/>
  </w:num>
  <w:num w:numId="45">
    <w:abstractNumId w:val="16"/>
  </w:num>
  <w:num w:numId="46">
    <w:abstractNumId w:val="25"/>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44DD"/>
    <w:rsid w:val="00006C41"/>
    <w:rsid w:val="00010637"/>
    <w:rsid w:val="000201EB"/>
    <w:rsid w:val="00022583"/>
    <w:rsid w:val="00022C07"/>
    <w:rsid w:val="00022F88"/>
    <w:rsid w:val="00025EA8"/>
    <w:rsid w:val="0002792E"/>
    <w:rsid w:val="00027B5A"/>
    <w:rsid w:val="0003241F"/>
    <w:rsid w:val="0003349A"/>
    <w:rsid w:val="00034856"/>
    <w:rsid w:val="000402A4"/>
    <w:rsid w:val="000445C8"/>
    <w:rsid w:val="000462E1"/>
    <w:rsid w:val="00046699"/>
    <w:rsid w:val="0004728A"/>
    <w:rsid w:val="00053277"/>
    <w:rsid w:val="00053CA7"/>
    <w:rsid w:val="000542A1"/>
    <w:rsid w:val="0005727B"/>
    <w:rsid w:val="0006315B"/>
    <w:rsid w:val="000632FF"/>
    <w:rsid w:val="00070D07"/>
    <w:rsid w:val="00071294"/>
    <w:rsid w:val="00071615"/>
    <w:rsid w:val="000721F2"/>
    <w:rsid w:val="00072E20"/>
    <w:rsid w:val="0007519F"/>
    <w:rsid w:val="00076FF8"/>
    <w:rsid w:val="00081021"/>
    <w:rsid w:val="000814F0"/>
    <w:rsid w:val="00081D5F"/>
    <w:rsid w:val="0008219B"/>
    <w:rsid w:val="00086BE3"/>
    <w:rsid w:val="00090F50"/>
    <w:rsid w:val="00090F90"/>
    <w:rsid w:val="00091ED5"/>
    <w:rsid w:val="00095F0E"/>
    <w:rsid w:val="00096904"/>
    <w:rsid w:val="000A12C2"/>
    <w:rsid w:val="000A12C9"/>
    <w:rsid w:val="000A1606"/>
    <w:rsid w:val="000A3741"/>
    <w:rsid w:val="000A483D"/>
    <w:rsid w:val="000A6942"/>
    <w:rsid w:val="000A779C"/>
    <w:rsid w:val="000A7A01"/>
    <w:rsid w:val="000B53AD"/>
    <w:rsid w:val="000B64EF"/>
    <w:rsid w:val="000C017F"/>
    <w:rsid w:val="000C2C18"/>
    <w:rsid w:val="000C3AF7"/>
    <w:rsid w:val="000C3F2A"/>
    <w:rsid w:val="000C564F"/>
    <w:rsid w:val="000C6C30"/>
    <w:rsid w:val="000D0AF6"/>
    <w:rsid w:val="000D2208"/>
    <w:rsid w:val="000D393A"/>
    <w:rsid w:val="000D3D74"/>
    <w:rsid w:val="000D4539"/>
    <w:rsid w:val="000D5E2F"/>
    <w:rsid w:val="000D7B5A"/>
    <w:rsid w:val="000E01DD"/>
    <w:rsid w:val="000E091F"/>
    <w:rsid w:val="000E1836"/>
    <w:rsid w:val="000E1955"/>
    <w:rsid w:val="000E1E64"/>
    <w:rsid w:val="000E1EAC"/>
    <w:rsid w:val="000E3A95"/>
    <w:rsid w:val="000E3AAB"/>
    <w:rsid w:val="000E7034"/>
    <w:rsid w:val="000F0DCE"/>
    <w:rsid w:val="000F1289"/>
    <w:rsid w:val="000F1D9D"/>
    <w:rsid w:val="000F39F8"/>
    <w:rsid w:val="000F3B88"/>
    <w:rsid w:val="000F574F"/>
    <w:rsid w:val="000F589C"/>
    <w:rsid w:val="00102771"/>
    <w:rsid w:val="00102D9D"/>
    <w:rsid w:val="00105056"/>
    <w:rsid w:val="00106C97"/>
    <w:rsid w:val="00107E81"/>
    <w:rsid w:val="00110BD4"/>
    <w:rsid w:val="001131BF"/>
    <w:rsid w:val="0011424F"/>
    <w:rsid w:val="00114D0F"/>
    <w:rsid w:val="00115783"/>
    <w:rsid w:val="00115E02"/>
    <w:rsid w:val="00116675"/>
    <w:rsid w:val="00116EF2"/>
    <w:rsid w:val="00120DD9"/>
    <w:rsid w:val="00120DE5"/>
    <w:rsid w:val="001218BA"/>
    <w:rsid w:val="00121F44"/>
    <w:rsid w:val="00123BEE"/>
    <w:rsid w:val="00123FBA"/>
    <w:rsid w:val="00124B7A"/>
    <w:rsid w:val="00126288"/>
    <w:rsid w:val="00130E55"/>
    <w:rsid w:val="0013390C"/>
    <w:rsid w:val="00134A4B"/>
    <w:rsid w:val="00140558"/>
    <w:rsid w:val="0014119D"/>
    <w:rsid w:val="0014239A"/>
    <w:rsid w:val="00144978"/>
    <w:rsid w:val="001459DC"/>
    <w:rsid w:val="00147F04"/>
    <w:rsid w:val="00155521"/>
    <w:rsid w:val="00157F64"/>
    <w:rsid w:val="00160E8B"/>
    <w:rsid w:val="00163C01"/>
    <w:rsid w:val="0016529B"/>
    <w:rsid w:val="001654DE"/>
    <w:rsid w:val="00171416"/>
    <w:rsid w:val="001715FC"/>
    <w:rsid w:val="001730A8"/>
    <w:rsid w:val="001751E0"/>
    <w:rsid w:val="00177C74"/>
    <w:rsid w:val="0018024F"/>
    <w:rsid w:val="00183726"/>
    <w:rsid w:val="00184EAB"/>
    <w:rsid w:val="00185055"/>
    <w:rsid w:val="00185298"/>
    <w:rsid w:val="001858C9"/>
    <w:rsid w:val="00193988"/>
    <w:rsid w:val="00195CEF"/>
    <w:rsid w:val="0019694E"/>
    <w:rsid w:val="00196C48"/>
    <w:rsid w:val="00197892"/>
    <w:rsid w:val="001A6747"/>
    <w:rsid w:val="001A7168"/>
    <w:rsid w:val="001A719F"/>
    <w:rsid w:val="001B04D1"/>
    <w:rsid w:val="001B182A"/>
    <w:rsid w:val="001B49F3"/>
    <w:rsid w:val="001B7F09"/>
    <w:rsid w:val="001C0A0D"/>
    <w:rsid w:val="001C1E85"/>
    <w:rsid w:val="001C2344"/>
    <w:rsid w:val="001C2642"/>
    <w:rsid w:val="001C2BAA"/>
    <w:rsid w:val="001C41B0"/>
    <w:rsid w:val="001C453D"/>
    <w:rsid w:val="001D4CB9"/>
    <w:rsid w:val="001D51B5"/>
    <w:rsid w:val="001D5D9C"/>
    <w:rsid w:val="001D5E7A"/>
    <w:rsid w:val="001D6ACD"/>
    <w:rsid w:val="001E2508"/>
    <w:rsid w:val="001E3396"/>
    <w:rsid w:val="001E48C1"/>
    <w:rsid w:val="001E4C4A"/>
    <w:rsid w:val="001E54EE"/>
    <w:rsid w:val="001E6B14"/>
    <w:rsid w:val="001F135C"/>
    <w:rsid w:val="001F25F1"/>
    <w:rsid w:val="001F316B"/>
    <w:rsid w:val="001F57B4"/>
    <w:rsid w:val="001F581D"/>
    <w:rsid w:val="001F5A8E"/>
    <w:rsid w:val="001F6D44"/>
    <w:rsid w:val="001F78C4"/>
    <w:rsid w:val="0020081C"/>
    <w:rsid w:val="00200F5C"/>
    <w:rsid w:val="0020196C"/>
    <w:rsid w:val="002027EC"/>
    <w:rsid w:val="00203F91"/>
    <w:rsid w:val="00204D74"/>
    <w:rsid w:val="0020582F"/>
    <w:rsid w:val="00206218"/>
    <w:rsid w:val="0020664E"/>
    <w:rsid w:val="00210E02"/>
    <w:rsid w:val="00211E4E"/>
    <w:rsid w:val="0021225B"/>
    <w:rsid w:val="00213B9F"/>
    <w:rsid w:val="00213F19"/>
    <w:rsid w:val="00214E3A"/>
    <w:rsid w:val="00214FF0"/>
    <w:rsid w:val="0021531D"/>
    <w:rsid w:val="002178A0"/>
    <w:rsid w:val="00217CF7"/>
    <w:rsid w:val="00220F12"/>
    <w:rsid w:val="0022437C"/>
    <w:rsid w:val="00224EDB"/>
    <w:rsid w:val="002271ED"/>
    <w:rsid w:val="002273D3"/>
    <w:rsid w:val="002302DA"/>
    <w:rsid w:val="00230307"/>
    <w:rsid w:val="00230C36"/>
    <w:rsid w:val="00230DF6"/>
    <w:rsid w:val="00233A6E"/>
    <w:rsid w:val="00234507"/>
    <w:rsid w:val="00235AC0"/>
    <w:rsid w:val="00235EBC"/>
    <w:rsid w:val="00236346"/>
    <w:rsid w:val="00247370"/>
    <w:rsid w:val="00247A06"/>
    <w:rsid w:val="00251370"/>
    <w:rsid w:val="0025189A"/>
    <w:rsid w:val="00252153"/>
    <w:rsid w:val="00253951"/>
    <w:rsid w:val="00257D52"/>
    <w:rsid w:val="00257DCC"/>
    <w:rsid w:val="002601DD"/>
    <w:rsid w:val="00261222"/>
    <w:rsid w:val="00262F54"/>
    <w:rsid w:val="00265026"/>
    <w:rsid w:val="00270461"/>
    <w:rsid w:val="0027069E"/>
    <w:rsid w:val="00271071"/>
    <w:rsid w:val="00272260"/>
    <w:rsid w:val="00273A58"/>
    <w:rsid w:val="00275F90"/>
    <w:rsid w:val="002771E1"/>
    <w:rsid w:val="00277D37"/>
    <w:rsid w:val="0028129B"/>
    <w:rsid w:val="00284903"/>
    <w:rsid w:val="00284D9A"/>
    <w:rsid w:val="00286241"/>
    <w:rsid w:val="00286F5F"/>
    <w:rsid w:val="00290E07"/>
    <w:rsid w:val="002920DC"/>
    <w:rsid w:val="002924A9"/>
    <w:rsid w:val="002924E6"/>
    <w:rsid w:val="00293059"/>
    <w:rsid w:val="00295794"/>
    <w:rsid w:val="00295C76"/>
    <w:rsid w:val="00296B4D"/>
    <w:rsid w:val="002A0339"/>
    <w:rsid w:val="002A2443"/>
    <w:rsid w:val="002A24CE"/>
    <w:rsid w:val="002A4952"/>
    <w:rsid w:val="002A7B19"/>
    <w:rsid w:val="002B0F1B"/>
    <w:rsid w:val="002B1051"/>
    <w:rsid w:val="002B1ABA"/>
    <w:rsid w:val="002B1D92"/>
    <w:rsid w:val="002B262C"/>
    <w:rsid w:val="002B5A8F"/>
    <w:rsid w:val="002B610A"/>
    <w:rsid w:val="002B69C2"/>
    <w:rsid w:val="002B6B65"/>
    <w:rsid w:val="002B6C0E"/>
    <w:rsid w:val="002C0326"/>
    <w:rsid w:val="002C04E8"/>
    <w:rsid w:val="002C0FDD"/>
    <w:rsid w:val="002C15A4"/>
    <w:rsid w:val="002C1A39"/>
    <w:rsid w:val="002C4309"/>
    <w:rsid w:val="002C4603"/>
    <w:rsid w:val="002C4AC3"/>
    <w:rsid w:val="002C583D"/>
    <w:rsid w:val="002C6BC7"/>
    <w:rsid w:val="002C7929"/>
    <w:rsid w:val="002D048D"/>
    <w:rsid w:val="002D10E9"/>
    <w:rsid w:val="002D3126"/>
    <w:rsid w:val="002D5A72"/>
    <w:rsid w:val="002D693C"/>
    <w:rsid w:val="002E0905"/>
    <w:rsid w:val="002E2102"/>
    <w:rsid w:val="002E47C9"/>
    <w:rsid w:val="002E49A9"/>
    <w:rsid w:val="002E5934"/>
    <w:rsid w:val="002E5CDA"/>
    <w:rsid w:val="002E654A"/>
    <w:rsid w:val="002E6B27"/>
    <w:rsid w:val="002F043F"/>
    <w:rsid w:val="002F0534"/>
    <w:rsid w:val="002F15F5"/>
    <w:rsid w:val="002F2249"/>
    <w:rsid w:val="002F3A96"/>
    <w:rsid w:val="002F6D73"/>
    <w:rsid w:val="00300053"/>
    <w:rsid w:val="0030029A"/>
    <w:rsid w:val="003013B9"/>
    <w:rsid w:val="003047A4"/>
    <w:rsid w:val="00304D05"/>
    <w:rsid w:val="00305F71"/>
    <w:rsid w:val="00313408"/>
    <w:rsid w:val="00314694"/>
    <w:rsid w:val="00314B8A"/>
    <w:rsid w:val="00314BF5"/>
    <w:rsid w:val="00314E0C"/>
    <w:rsid w:val="00315F1D"/>
    <w:rsid w:val="00316678"/>
    <w:rsid w:val="00317219"/>
    <w:rsid w:val="00317BE4"/>
    <w:rsid w:val="00320D52"/>
    <w:rsid w:val="00322EE5"/>
    <w:rsid w:val="00322F1E"/>
    <w:rsid w:val="003234D5"/>
    <w:rsid w:val="00323F2A"/>
    <w:rsid w:val="00324E14"/>
    <w:rsid w:val="00330C8B"/>
    <w:rsid w:val="00332023"/>
    <w:rsid w:val="003321FE"/>
    <w:rsid w:val="003339AE"/>
    <w:rsid w:val="00336561"/>
    <w:rsid w:val="00340130"/>
    <w:rsid w:val="00340EBC"/>
    <w:rsid w:val="00341050"/>
    <w:rsid w:val="00342132"/>
    <w:rsid w:val="00342409"/>
    <w:rsid w:val="0034377D"/>
    <w:rsid w:val="00343A76"/>
    <w:rsid w:val="00345903"/>
    <w:rsid w:val="00352BA9"/>
    <w:rsid w:val="00353027"/>
    <w:rsid w:val="00353CE9"/>
    <w:rsid w:val="00353FA4"/>
    <w:rsid w:val="003564AA"/>
    <w:rsid w:val="0035711B"/>
    <w:rsid w:val="00360565"/>
    <w:rsid w:val="00363701"/>
    <w:rsid w:val="00364F91"/>
    <w:rsid w:val="0036670F"/>
    <w:rsid w:val="00366F6B"/>
    <w:rsid w:val="0037249E"/>
    <w:rsid w:val="00374176"/>
    <w:rsid w:val="00374BEE"/>
    <w:rsid w:val="0037738F"/>
    <w:rsid w:val="00381B82"/>
    <w:rsid w:val="003829F1"/>
    <w:rsid w:val="00384277"/>
    <w:rsid w:val="00391F98"/>
    <w:rsid w:val="003926BE"/>
    <w:rsid w:val="00392AC0"/>
    <w:rsid w:val="00392F03"/>
    <w:rsid w:val="00392FF5"/>
    <w:rsid w:val="00395AD7"/>
    <w:rsid w:val="00395E16"/>
    <w:rsid w:val="0039631A"/>
    <w:rsid w:val="003A15C5"/>
    <w:rsid w:val="003A1FE4"/>
    <w:rsid w:val="003A2810"/>
    <w:rsid w:val="003A4D14"/>
    <w:rsid w:val="003A5867"/>
    <w:rsid w:val="003A65DE"/>
    <w:rsid w:val="003A7624"/>
    <w:rsid w:val="003B049D"/>
    <w:rsid w:val="003B12D2"/>
    <w:rsid w:val="003B21F3"/>
    <w:rsid w:val="003B538D"/>
    <w:rsid w:val="003B70CD"/>
    <w:rsid w:val="003C30DF"/>
    <w:rsid w:val="003C38E9"/>
    <w:rsid w:val="003C6237"/>
    <w:rsid w:val="003C6C62"/>
    <w:rsid w:val="003C6D5F"/>
    <w:rsid w:val="003C6EE5"/>
    <w:rsid w:val="003D1632"/>
    <w:rsid w:val="003D1682"/>
    <w:rsid w:val="003D67EE"/>
    <w:rsid w:val="003D7E76"/>
    <w:rsid w:val="003E1497"/>
    <w:rsid w:val="003E23C2"/>
    <w:rsid w:val="003E33C4"/>
    <w:rsid w:val="003E7988"/>
    <w:rsid w:val="003F0384"/>
    <w:rsid w:val="003F22DC"/>
    <w:rsid w:val="003F357D"/>
    <w:rsid w:val="003F57FE"/>
    <w:rsid w:val="003F637D"/>
    <w:rsid w:val="003F687C"/>
    <w:rsid w:val="003F7774"/>
    <w:rsid w:val="004012AE"/>
    <w:rsid w:val="004017DB"/>
    <w:rsid w:val="00401AA7"/>
    <w:rsid w:val="00401ECA"/>
    <w:rsid w:val="004021E5"/>
    <w:rsid w:val="00402D96"/>
    <w:rsid w:val="0040357E"/>
    <w:rsid w:val="00403BD5"/>
    <w:rsid w:val="00407050"/>
    <w:rsid w:val="00407D28"/>
    <w:rsid w:val="00410A52"/>
    <w:rsid w:val="00411C77"/>
    <w:rsid w:val="00412548"/>
    <w:rsid w:val="00412FB1"/>
    <w:rsid w:val="00414CFD"/>
    <w:rsid w:val="00414D64"/>
    <w:rsid w:val="00415DB9"/>
    <w:rsid w:val="00416654"/>
    <w:rsid w:val="004171D1"/>
    <w:rsid w:val="00417F88"/>
    <w:rsid w:val="00422270"/>
    <w:rsid w:val="00422DE9"/>
    <w:rsid w:val="00422E2C"/>
    <w:rsid w:val="004247C9"/>
    <w:rsid w:val="0042486A"/>
    <w:rsid w:val="00424A84"/>
    <w:rsid w:val="00425E0A"/>
    <w:rsid w:val="00426DFD"/>
    <w:rsid w:val="004271FA"/>
    <w:rsid w:val="00427D7F"/>
    <w:rsid w:val="0043118E"/>
    <w:rsid w:val="00431BFE"/>
    <w:rsid w:val="00432213"/>
    <w:rsid w:val="0043381C"/>
    <w:rsid w:val="004341CB"/>
    <w:rsid w:val="00441F8C"/>
    <w:rsid w:val="00442BAE"/>
    <w:rsid w:val="00442DC3"/>
    <w:rsid w:val="0044319C"/>
    <w:rsid w:val="004459C6"/>
    <w:rsid w:val="004460B7"/>
    <w:rsid w:val="00447830"/>
    <w:rsid w:val="00447FD7"/>
    <w:rsid w:val="00451F69"/>
    <w:rsid w:val="00453830"/>
    <w:rsid w:val="00454458"/>
    <w:rsid w:val="00454D4A"/>
    <w:rsid w:val="00456058"/>
    <w:rsid w:val="00460609"/>
    <w:rsid w:val="0046242E"/>
    <w:rsid w:val="00462F0B"/>
    <w:rsid w:val="004630BE"/>
    <w:rsid w:val="00464253"/>
    <w:rsid w:val="004643B3"/>
    <w:rsid w:val="004650A0"/>
    <w:rsid w:val="00470F99"/>
    <w:rsid w:val="004713C0"/>
    <w:rsid w:val="004737A6"/>
    <w:rsid w:val="004738F7"/>
    <w:rsid w:val="00474852"/>
    <w:rsid w:val="00475066"/>
    <w:rsid w:val="004754F7"/>
    <w:rsid w:val="00476EF9"/>
    <w:rsid w:val="00477000"/>
    <w:rsid w:val="0047728D"/>
    <w:rsid w:val="004833E4"/>
    <w:rsid w:val="004836A8"/>
    <w:rsid w:val="0048792B"/>
    <w:rsid w:val="00487D66"/>
    <w:rsid w:val="00490E8F"/>
    <w:rsid w:val="004938E2"/>
    <w:rsid w:val="00494D5B"/>
    <w:rsid w:val="00495DFD"/>
    <w:rsid w:val="004A0022"/>
    <w:rsid w:val="004A0BBB"/>
    <w:rsid w:val="004A0D0A"/>
    <w:rsid w:val="004A2199"/>
    <w:rsid w:val="004A2F22"/>
    <w:rsid w:val="004A64E2"/>
    <w:rsid w:val="004A69D3"/>
    <w:rsid w:val="004B20DB"/>
    <w:rsid w:val="004B4386"/>
    <w:rsid w:val="004B604D"/>
    <w:rsid w:val="004B6987"/>
    <w:rsid w:val="004B6BF6"/>
    <w:rsid w:val="004C0E45"/>
    <w:rsid w:val="004C29D9"/>
    <w:rsid w:val="004C5F94"/>
    <w:rsid w:val="004C672F"/>
    <w:rsid w:val="004D124F"/>
    <w:rsid w:val="004D16C0"/>
    <w:rsid w:val="004D2006"/>
    <w:rsid w:val="004D4CB5"/>
    <w:rsid w:val="004D5D47"/>
    <w:rsid w:val="004D7427"/>
    <w:rsid w:val="004D77DB"/>
    <w:rsid w:val="004D7D69"/>
    <w:rsid w:val="004E00FA"/>
    <w:rsid w:val="004E3EFE"/>
    <w:rsid w:val="004E49A7"/>
    <w:rsid w:val="004E4CEF"/>
    <w:rsid w:val="004E4F3C"/>
    <w:rsid w:val="004E574D"/>
    <w:rsid w:val="004E5DF9"/>
    <w:rsid w:val="004F017E"/>
    <w:rsid w:val="004F06FE"/>
    <w:rsid w:val="004F1C61"/>
    <w:rsid w:val="004F2B4D"/>
    <w:rsid w:val="004F33A2"/>
    <w:rsid w:val="005027C2"/>
    <w:rsid w:val="00503A07"/>
    <w:rsid w:val="00503CE9"/>
    <w:rsid w:val="00504AFC"/>
    <w:rsid w:val="00505572"/>
    <w:rsid w:val="00506A92"/>
    <w:rsid w:val="005118A6"/>
    <w:rsid w:val="00511A0B"/>
    <w:rsid w:val="00511BBC"/>
    <w:rsid w:val="00512916"/>
    <w:rsid w:val="00513653"/>
    <w:rsid w:val="00513719"/>
    <w:rsid w:val="00514B23"/>
    <w:rsid w:val="0052022D"/>
    <w:rsid w:val="00520591"/>
    <w:rsid w:val="00521094"/>
    <w:rsid w:val="005220DE"/>
    <w:rsid w:val="00523855"/>
    <w:rsid w:val="00523F39"/>
    <w:rsid w:val="005240E7"/>
    <w:rsid w:val="00525DA6"/>
    <w:rsid w:val="005261D9"/>
    <w:rsid w:val="005264E8"/>
    <w:rsid w:val="0053107C"/>
    <w:rsid w:val="005330A7"/>
    <w:rsid w:val="00533C08"/>
    <w:rsid w:val="0053743B"/>
    <w:rsid w:val="00540D08"/>
    <w:rsid w:val="00540D76"/>
    <w:rsid w:val="00540EF4"/>
    <w:rsid w:val="00542274"/>
    <w:rsid w:val="005425A5"/>
    <w:rsid w:val="00542869"/>
    <w:rsid w:val="0054483E"/>
    <w:rsid w:val="00546620"/>
    <w:rsid w:val="0055265D"/>
    <w:rsid w:val="0055313D"/>
    <w:rsid w:val="0055464A"/>
    <w:rsid w:val="0055482B"/>
    <w:rsid w:val="005557AD"/>
    <w:rsid w:val="00555901"/>
    <w:rsid w:val="00557477"/>
    <w:rsid w:val="00561B3A"/>
    <w:rsid w:val="005642BB"/>
    <w:rsid w:val="0056589D"/>
    <w:rsid w:val="00565A95"/>
    <w:rsid w:val="005665D4"/>
    <w:rsid w:val="00566CDC"/>
    <w:rsid w:val="005675F3"/>
    <w:rsid w:val="005717F2"/>
    <w:rsid w:val="00572554"/>
    <w:rsid w:val="00572EFF"/>
    <w:rsid w:val="0057429E"/>
    <w:rsid w:val="00580568"/>
    <w:rsid w:val="0058260D"/>
    <w:rsid w:val="00582BAE"/>
    <w:rsid w:val="00582E13"/>
    <w:rsid w:val="00583EF7"/>
    <w:rsid w:val="00586028"/>
    <w:rsid w:val="0058711D"/>
    <w:rsid w:val="005914A4"/>
    <w:rsid w:val="00591596"/>
    <w:rsid w:val="00591A4E"/>
    <w:rsid w:val="00592459"/>
    <w:rsid w:val="00593903"/>
    <w:rsid w:val="005958D4"/>
    <w:rsid w:val="005A0C73"/>
    <w:rsid w:val="005A216A"/>
    <w:rsid w:val="005A22DF"/>
    <w:rsid w:val="005A340F"/>
    <w:rsid w:val="005A43A6"/>
    <w:rsid w:val="005A682B"/>
    <w:rsid w:val="005A6B81"/>
    <w:rsid w:val="005B0A20"/>
    <w:rsid w:val="005B17FC"/>
    <w:rsid w:val="005B1A73"/>
    <w:rsid w:val="005C0303"/>
    <w:rsid w:val="005C1410"/>
    <w:rsid w:val="005C3882"/>
    <w:rsid w:val="005C5220"/>
    <w:rsid w:val="005C53A3"/>
    <w:rsid w:val="005C5505"/>
    <w:rsid w:val="005C6FB7"/>
    <w:rsid w:val="005C763B"/>
    <w:rsid w:val="005C7C82"/>
    <w:rsid w:val="005D069A"/>
    <w:rsid w:val="005D0B52"/>
    <w:rsid w:val="005D0C11"/>
    <w:rsid w:val="005D411C"/>
    <w:rsid w:val="005D7057"/>
    <w:rsid w:val="005E0981"/>
    <w:rsid w:val="005E1975"/>
    <w:rsid w:val="005E2831"/>
    <w:rsid w:val="005E4696"/>
    <w:rsid w:val="005E6CE5"/>
    <w:rsid w:val="005F0306"/>
    <w:rsid w:val="005F0553"/>
    <w:rsid w:val="005F1165"/>
    <w:rsid w:val="005F2312"/>
    <w:rsid w:val="005F49F5"/>
    <w:rsid w:val="005F559E"/>
    <w:rsid w:val="005F68FD"/>
    <w:rsid w:val="005F72E9"/>
    <w:rsid w:val="00600E49"/>
    <w:rsid w:val="00600F23"/>
    <w:rsid w:val="006011FD"/>
    <w:rsid w:val="00606321"/>
    <w:rsid w:val="00611C72"/>
    <w:rsid w:val="006120E9"/>
    <w:rsid w:val="0061224F"/>
    <w:rsid w:val="0061418B"/>
    <w:rsid w:val="0061534E"/>
    <w:rsid w:val="00616DD4"/>
    <w:rsid w:val="0062393B"/>
    <w:rsid w:val="00623FF2"/>
    <w:rsid w:val="00625747"/>
    <w:rsid w:val="00626303"/>
    <w:rsid w:val="0062690C"/>
    <w:rsid w:val="00627C4C"/>
    <w:rsid w:val="006311BA"/>
    <w:rsid w:val="006313C9"/>
    <w:rsid w:val="00632181"/>
    <w:rsid w:val="00635BD5"/>
    <w:rsid w:val="00636119"/>
    <w:rsid w:val="00636A69"/>
    <w:rsid w:val="00640887"/>
    <w:rsid w:val="00640CF7"/>
    <w:rsid w:val="006413C3"/>
    <w:rsid w:val="00642074"/>
    <w:rsid w:val="00642CBF"/>
    <w:rsid w:val="00644813"/>
    <w:rsid w:val="00646160"/>
    <w:rsid w:val="00652E4B"/>
    <w:rsid w:val="00653587"/>
    <w:rsid w:val="0065360E"/>
    <w:rsid w:val="006544BC"/>
    <w:rsid w:val="00657245"/>
    <w:rsid w:val="0066114F"/>
    <w:rsid w:val="006625F0"/>
    <w:rsid w:val="006634A4"/>
    <w:rsid w:val="00665443"/>
    <w:rsid w:val="00665BE8"/>
    <w:rsid w:val="006677B0"/>
    <w:rsid w:val="00670AF7"/>
    <w:rsid w:val="00670BE0"/>
    <w:rsid w:val="00671278"/>
    <w:rsid w:val="00672295"/>
    <w:rsid w:val="006751B5"/>
    <w:rsid w:val="00676D30"/>
    <w:rsid w:val="006815B3"/>
    <w:rsid w:val="00690F32"/>
    <w:rsid w:val="00693BB9"/>
    <w:rsid w:val="006961F7"/>
    <w:rsid w:val="00696C18"/>
    <w:rsid w:val="00696E2A"/>
    <w:rsid w:val="00697F75"/>
    <w:rsid w:val="006A02F1"/>
    <w:rsid w:val="006A0AA9"/>
    <w:rsid w:val="006A0B57"/>
    <w:rsid w:val="006A0FCA"/>
    <w:rsid w:val="006A2937"/>
    <w:rsid w:val="006A4FD0"/>
    <w:rsid w:val="006A7A6C"/>
    <w:rsid w:val="006B013E"/>
    <w:rsid w:val="006B1FB4"/>
    <w:rsid w:val="006B34E1"/>
    <w:rsid w:val="006B45E7"/>
    <w:rsid w:val="006B5760"/>
    <w:rsid w:val="006B5C4C"/>
    <w:rsid w:val="006B6D3A"/>
    <w:rsid w:val="006B7CDD"/>
    <w:rsid w:val="006C06CB"/>
    <w:rsid w:val="006C10F7"/>
    <w:rsid w:val="006C75AB"/>
    <w:rsid w:val="006C7A8B"/>
    <w:rsid w:val="006D0461"/>
    <w:rsid w:val="006D063A"/>
    <w:rsid w:val="006D3A33"/>
    <w:rsid w:val="006D43C4"/>
    <w:rsid w:val="006D4572"/>
    <w:rsid w:val="006D4C72"/>
    <w:rsid w:val="006D67A1"/>
    <w:rsid w:val="006D722B"/>
    <w:rsid w:val="006D7938"/>
    <w:rsid w:val="006E0E17"/>
    <w:rsid w:val="006E2C4F"/>
    <w:rsid w:val="006E4845"/>
    <w:rsid w:val="006F03B0"/>
    <w:rsid w:val="006F16B8"/>
    <w:rsid w:val="006F3208"/>
    <w:rsid w:val="006F3DB5"/>
    <w:rsid w:val="006F6AF8"/>
    <w:rsid w:val="00700254"/>
    <w:rsid w:val="0070328E"/>
    <w:rsid w:val="00705031"/>
    <w:rsid w:val="00705082"/>
    <w:rsid w:val="00705418"/>
    <w:rsid w:val="00705897"/>
    <w:rsid w:val="00705E2F"/>
    <w:rsid w:val="00706D4B"/>
    <w:rsid w:val="00707AC9"/>
    <w:rsid w:val="00710722"/>
    <w:rsid w:val="00711AEF"/>
    <w:rsid w:val="00712BFD"/>
    <w:rsid w:val="00713F36"/>
    <w:rsid w:val="00720193"/>
    <w:rsid w:val="007204C5"/>
    <w:rsid w:val="00720DCC"/>
    <w:rsid w:val="007221E2"/>
    <w:rsid w:val="00722981"/>
    <w:rsid w:val="00722FC1"/>
    <w:rsid w:val="00723995"/>
    <w:rsid w:val="00726606"/>
    <w:rsid w:val="00726A81"/>
    <w:rsid w:val="00726C25"/>
    <w:rsid w:val="00727515"/>
    <w:rsid w:val="00727B75"/>
    <w:rsid w:val="00727C4C"/>
    <w:rsid w:val="00730B50"/>
    <w:rsid w:val="00732BA3"/>
    <w:rsid w:val="00733068"/>
    <w:rsid w:val="007338D1"/>
    <w:rsid w:val="00733E81"/>
    <w:rsid w:val="00735C85"/>
    <w:rsid w:val="007458A7"/>
    <w:rsid w:val="00745C2A"/>
    <w:rsid w:val="0074779C"/>
    <w:rsid w:val="00755318"/>
    <w:rsid w:val="007569B6"/>
    <w:rsid w:val="007571C2"/>
    <w:rsid w:val="00757CF5"/>
    <w:rsid w:val="007610BA"/>
    <w:rsid w:val="00761D9E"/>
    <w:rsid w:val="00761FA7"/>
    <w:rsid w:val="00763355"/>
    <w:rsid w:val="00763D7C"/>
    <w:rsid w:val="0076525B"/>
    <w:rsid w:val="00765CBD"/>
    <w:rsid w:val="0076613E"/>
    <w:rsid w:val="00766386"/>
    <w:rsid w:val="00766BC0"/>
    <w:rsid w:val="00766CF8"/>
    <w:rsid w:val="00770B79"/>
    <w:rsid w:val="00772430"/>
    <w:rsid w:val="0077388E"/>
    <w:rsid w:val="00775826"/>
    <w:rsid w:val="00775B52"/>
    <w:rsid w:val="00777119"/>
    <w:rsid w:val="0077775C"/>
    <w:rsid w:val="00777A55"/>
    <w:rsid w:val="00781994"/>
    <w:rsid w:val="00783E42"/>
    <w:rsid w:val="00784718"/>
    <w:rsid w:val="0078641B"/>
    <w:rsid w:val="00787121"/>
    <w:rsid w:val="00787A4F"/>
    <w:rsid w:val="0079222A"/>
    <w:rsid w:val="007928FD"/>
    <w:rsid w:val="0079381A"/>
    <w:rsid w:val="0079391C"/>
    <w:rsid w:val="007954F2"/>
    <w:rsid w:val="0079585B"/>
    <w:rsid w:val="00795974"/>
    <w:rsid w:val="00797161"/>
    <w:rsid w:val="007A0869"/>
    <w:rsid w:val="007A0E3D"/>
    <w:rsid w:val="007A138E"/>
    <w:rsid w:val="007A1C5A"/>
    <w:rsid w:val="007A287B"/>
    <w:rsid w:val="007A7170"/>
    <w:rsid w:val="007A7B40"/>
    <w:rsid w:val="007B3A9E"/>
    <w:rsid w:val="007B422D"/>
    <w:rsid w:val="007B53BF"/>
    <w:rsid w:val="007B5A0B"/>
    <w:rsid w:val="007C2714"/>
    <w:rsid w:val="007C7EA3"/>
    <w:rsid w:val="007D12AF"/>
    <w:rsid w:val="007D165A"/>
    <w:rsid w:val="007D1A12"/>
    <w:rsid w:val="007D247F"/>
    <w:rsid w:val="007D2A9D"/>
    <w:rsid w:val="007D3873"/>
    <w:rsid w:val="007D4738"/>
    <w:rsid w:val="007D600C"/>
    <w:rsid w:val="007D677C"/>
    <w:rsid w:val="007D7B75"/>
    <w:rsid w:val="007D7CB0"/>
    <w:rsid w:val="007E012D"/>
    <w:rsid w:val="007E2C1A"/>
    <w:rsid w:val="007E2C20"/>
    <w:rsid w:val="007E35AF"/>
    <w:rsid w:val="007E3A9D"/>
    <w:rsid w:val="007E3F4C"/>
    <w:rsid w:val="007E5976"/>
    <w:rsid w:val="007E66CE"/>
    <w:rsid w:val="007E6E8B"/>
    <w:rsid w:val="007E7C12"/>
    <w:rsid w:val="007E7DBC"/>
    <w:rsid w:val="007F049E"/>
    <w:rsid w:val="007F2625"/>
    <w:rsid w:val="007F3DB4"/>
    <w:rsid w:val="007F7AE1"/>
    <w:rsid w:val="008002E0"/>
    <w:rsid w:val="008004D5"/>
    <w:rsid w:val="00800F99"/>
    <w:rsid w:val="0080126D"/>
    <w:rsid w:val="00802904"/>
    <w:rsid w:val="00803AD0"/>
    <w:rsid w:val="00804282"/>
    <w:rsid w:val="00804D29"/>
    <w:rsid w:val="00806FCA"/>
    <w:rsid w:val="008079AD"/>
    <w:rsid w:val="0081170B"/>
    <w:rsid w:val="0081199F"/>
    <w:rsid w:val="00812BA7"/>
    <w:rsid w:val="0081785F"/>
    <w:rsid w:val="0082139E"/>
    <w:rsid w:val="008246AB"/>
    <w:rsid w:val="008274A6"/>
    <w:rsid w:val="00831AB2"/>
    <w:rsid w:val="00834122"/>
    <w:rsid w:val="00834B98"/>
    <w:rsid w:val="00836245"/>
    <w:rsid w:val="00836C74"/>
    <w:rsid w:val="008378A3"/>
    <w:rsid w:val="00841BB6"/>
    <w:rsid w:val="0084771B"/>
    <w:rsid w:val="0085095D"/>
    <w:rsid w:val="00851A68"/>
    <w:rsid w:val="00852383"/>
    <w:rsid w:val="008526BD"/>
    <w:rsid w:val="00854763"/>
    <w:rsid w:val="0085560F"/>
    <w:rsid w:val="00856B35"/>
    <w:rsid w:val="008574FB"/>
    <w:rsid w:val="008601A9"/>
    <w:rsid w:val="0086121B"/>
    <w:rsid w:val="008628C4"/>
    <w:rsid w:val="00865470"/>
    <w:rsid w:val="008672A9"/>
    <w:rsid w:val="00867EAC"/>
    <w:rsid w:val="00872693"/>
    <w:rsid w:val="00873FE7"/>
    <w:rsid w:val="00875F92"/>
    <w:rsid w:val="00876890"/>
    <w:rsid w:val="00876B1D"/>
    <w:rsid w:val="00877CC4"/>
    <w:rsid w:val="00880E23"/>
    <w:rsid w:val="008827A5"/>
    <w:rsid w:val="00883096"/>
    <w:rsid w:val="00883753"/>
    <w:rsid w:val="0088405B"/>
    <w:rsid w:val="008864A5"/>
    <w:rsid w:val="00890603"/>
    <w:rsid w:val="00890D68"/>
    <w:rsid w:val="008928A6"/>
    <w:rsid w:val="008948FF"/>
    <w:rsid w:val="00894D73"/>
    <w:rsid w:val="008958F2"/>
    <w:rsid w:val="008A0E0A"/>
    <w:rsid w:val="008A472E"/>
    <w:rsid w:val="008A4A98"/>
    <w:rsid w:val="008A509C"/>
    <w:rsid w:val="008A69B2"/>
    <w:rsid w:val="008B04BC"/>
    <w:rsid w:val="008B05E6"/>
    <w:rsid w:val="008B1556"/>
    <w:rsid w:val="008B326B"/>
    <w:rsid w:val="008B3FFD"/>
    <w:rsid w:val="008B4094"/>
    <w:rsid w:val="008B4AA8"/>
    <w:rsid w:val="008B5038"/>
    <w:rsid w:val="008B6E91"/>
    <w:rsid w:val="008C19EE"/>
    <w:rsid w:val="008C308C"/>
    <w:rsid w:val="008C388D"/>
    <w:rsid w:val="008C535C"/>
    <w:rsid w:val="008C6624"/>
    <w:rsid w:val="008C7E0F"/>
    <w:rsid w:val="008D03DA"/>
    <w:rsid w:val="008D1209"/>
    <w:rsid w:val="008D2CA9"/>
    <w:rsid w:val="008D2DA8"/>
    <w:rsid w:val="008D2E6F"/>
    <w:rsid w:val="008D4799"/>
    <w:rsid w:val="008E040E"/>
    <w:rsid w:val="008E09B8"/>
    <w:rsid w:val="008E1FFE"/>
    <w:rsid w:val="008E3A95"/>
    <w:rsid w:val="008E4025"/>
    <w:rsid w:val="008E4A54"/>
    <w:rsid w:val="008E4DD4"/>
    <w:rsid w:val="008E527E"/>
    <w:rsid w:val="008E6058"/>
    <w:rsid w:val="008E6A17"/>
    <w:rsid w:val="008F0052"/>
    <w:rsid w:val="008F13D0"/>
    <w:rsid w:val="008F2574"/>
    <w:rsid w:val="008F3A32"/>
    <w:rsid w:val="008F4562"/>
    <w:rsid w:val="008F6ADE"/>
    <w:rsid w:val="008F7E5D"/>
    <w:rsid w:val="0090139D"/>
    <w:rsid w:val="00901DCC"/>
    <w:rsid w:val="009020BE"/>
    <w:rsid w:val="0090343D"/>
    <w:rsid w:val="00903BE2"/>
    <w:rsid w:val="00904BA1"/>
    <w:rsid w:val="00906022"/>
    <w:rsid w:val="009108C5"/>
    <w:rsid w:val="00910CE2"/>
    <w:rsid w:val="0091102F"/>
    <w:rsid w:val="009115DE"/>
    <w:rsid w:val="00913EDB"/>
    <w:rsid w:val="00915507"/>
    <w:rsid w:val="009169B6"/>
    <w:rsid w:val="0091748B"/>
    <w:rsid w:val="00920109"/>
    <w:rsid w:val="009202ED"/>
    <w:rsid w:val="00920875"/>
    <w:rsid w:val="00923A6B"/>
    <w:rsid w:val="009240A7"/>
    <w:rsid w:val="00925739"/>
    <w:rsid w:val="00927C0C"/>
    <w:rsid w:val="009304A4"/>
    <w:rsid w:val="009314F3"/>
    <w:rsid w:val="00931B02"/>
    <w:rsid w:val="00935089"/>
    <w:rsid w:val="00935966"/>
    <w:rsid w:val="00940584"/>
    <w:rsid w:val="009410CD"/>
    <w:rsid w:val="00944F8F"/>
    <w:rsid w:val="0094677D"/>
    <w:rsid w:val="00946F23"/>
    <w:rsid w:val="00946F8A"/>
    <w:rsid w:val="00952064"/>
    <w:rsid w:val="009537B9"/>
    <w:rsid w:val="00953A0B"/>
    <w:rsid w:val="0095667F"/>
    <w:rsid w:val="009603BB"/>
    <w:rsid w:val="00960DCF"/>
    <w:rsid w:val="009610C4"/>
    <w:rsid w:val="00962749"/>
    <w:rsid w:val="0096333F"/>
    <w:rsid w:val="00963AE3"/>
    <w:rsid w:val="009657B4"/>
    <w:rsid w:val="00966386"/>
    <w:rsid w:val="00966B92"/>
    <w:rsid w:val="00967D07"/>
    <w:rsid w:val="009704CC"/>
    <w:rsid w:val="009705BC"/>
    <w:rsid w:val="00971499"/>
    <w:rsid w:val="009716CC"/>
    <w:rsid w:val="00973A1E"/>
    <w:rsid w:val="00973C02"/>
    <w:rsid w:val="009757AD"/>
    <w:rsid w:val="00980229"/>
    <w:rsid w:val="009802BF"/>
    <w:rsid w:val="009816D4"/>
    <w:rsid w:val="00981DAF"/>
    <w:rsid w:val="00984E7A"/>
    <w:rsid w:val="00985B0B"/>
    <w:rsid w:val="009863E5"/>
    <w:rsid w:val="009915D1"/>
    <w:rsid w:val="0099237C"/>
    <w:rsid w:val="0099352B"/>
    <w:rsid w:val="0099460D"/>
    <w:rsid w:val="00995500"/>
    <w:rsid w:val="0099681B"/>
    <w:rsid w:val="00997AFB"/>
    <w:rsid w:val="009A143F"/>
    <w:rsid w:val="009A3E79"/>
    <w:rsid w:val="009A4D51"/>
    <w:rsid w:val="009A5024"/>
    <w:rsid w:val="009A7E98"/>
    <w:rsid w:val="009B1265"/>
    <w:rsid w:val="009B15BA"/>
    <w:rsid w:val="009B1FF9"/>
    <w:rsid w:val="009B2446"/>
    <w:rsid w:val="009B2E80"/>
    <w:rsid w:val="009B43DE"/>
    <w:rsid w:val="009B4BB4"/>
    <w:rsid w:val="009B4DF4"/>
    <w:rsid w:val="009B56E5"/>
    <w:rsid w:val="009B6537"/>
    <w:rsid w:val="009C1CD7"/>
    <w:rsid w:val="009C2505"/>
    <w:rsid w:val="009C5162"/>
    <w:rsid w:val="009C60E5"/>
    <w:rsid w:val="009D15B1"/>
    <w:rsid w:val="009D18B1"/>
    <w:rsid w:val="009D1B99"/>
    <w:rsid w:val="009D57A8"/>
    <w:rsid w:val="009D5AC0"/>
    <w:rsid w:val="009D5EA2"/>
    <w:rsid w:val="009D70B4"/>
    <w:rsid w:val="009D7A09"/>
    <w:rsid w:val="009E07F6"/>
    <w:rsid w:val="009E31C2"/>
    <w:rsid w:val="009E4764"/>
    <w:rsid w:val="009E5CB7"/>
    <w:rsid w:val="009E66E8"/>
    <w:rsid w:val="009E687E"/>
    <w:rsid w:val="009E7B20"/>
    <w:rsid w:val="009F2D0C"/>
    <w:rsid w:val="009F4ED5"/>
    <w:rsid w:val="009F5172"/>
    <w:rsid w:val="009F5D6E"/>
    <w:rsid w:val="009F6C26"/>
    <w:rsid w:val="00A00A33"/>
    <w:rsid w:val="00A01B01"/>
    <w:rsid w:val="00A03AB5"/>
    <w:rsid w:val="00A042B8"/>
    <w:rsid w:val="00A11793"/>
    <w:rsid w:val="00A11FE8"/>
    <w:rsid w:val="00A13D95"/>
    <w:rsid w:val="00A1750E"/>
    <w:rsid w:val="00A17F08"/>
    <w:rsid w:val="00A2171C"/>
    <w:rsid w:val="00A2271E"/>
    <w:rsid w:val="00A2434F"/>
    <w:rsid w:val="00A24CBE"/>
    <w:rsid w:val="00A24FDD"/>
    <w:rsid w:val="00A26A2F"/>
    <w:rsid w:val="00A3003C"/>
    <w:rsid w:val="00A311D3"/>
    <w:rsid w:val="00A32117"/>
    <w:rsid w:val="00A33E7A"/>
    <w:rsid w:val="00A34723"/>
    <w:rsid w:val="00A34777"/>
    <w:rsid w:val="00A3486F"/>
    <w:rsid w:val="00A34C86"/>
    <w:rsid w:val="00A34DD5"/>
    <w:rsid w:val="00A351D9"/>
    <w:rsid w:val="00A36613"/>
    <w:rsid w:val="00A36F01"/>
    <w:rsid w:val="00A37CED"/>
    <w:rsid w:val="00A37F9A"/>
    <w:rsid w:val="00A424FC"/>
    <w:rsid w:val="00A42A8E"/>
    <w:rsid w:val="00A44EFD"/>
    <w:rsid w:val="00A45184"/>
    <w:rsid w:val="00A473D5"/>
    <w:rsid w:val="00A55736"/>
    <w:rsid w:val="00A5695A"/>
    <w:rsid w:val="00A57C8A"/>
    <w:rsid w:val="00A60A7C"/>
    <w:rsid w:val="00A61396"/>
    <w:rsid w:val="00A6157A"/>
    <w:rsid w:val="00A6220C"/>
    <w:rsid w:val="00A62B2F"/>
    <w:rsid w:val="00A63DEF"/>
    <w:rsid w:val="00A64E6B"/>
    <w:rsid w:val="00A67E64"/>
    <w:rsid w:val="00A70430"/>
    <w:rsid w:val="00A70CDF"/>
    <w:rsid w:val="00A70DF6"/>
    <w:rsid w:val="00A71EFE"/>
    <w:rsid w:val="00A73B4D"/>
    <w:rsid w:val="00A7536E"/>
    <w:rsid w:val="00A75FCD"/>
    <w:rsid w:val="00A774F3"/>
    <w:rsid w:val="00A80AE9"/>
    <w:rsid w:val="00A80D38"/>
    <w:rsid w:val="00A811F0"/>
    <w:rsid w:val="00A814AF"/>
    <w:rsid w:val="00A81EFD"/>
    <w:rsid w:val="00A82835"/>
    <w:rsid w:val="00A82BDB"/>
    <w:rsid w:val="00A8327C"/>
    <w:rsid w:val="00A83B32"/>
    <w:rsid w:val="00A84826"/>
    <w:rsid w:val="00A850CE"/>
    <w:rsid w:val="00A8540F"/>
    <w:rsid w:val="00A870AC"/>
    <w:rsid w:val="00A87399"/>
    <w:rsid w:val="00A87C30"/>
    <w:rsid w:val="00A903A4"/>
    <w:rsid w:val="00A90B05"/>
    <w:rsid w:val="00A93CA5"/>
    <w:rsid w:val="00A946DB"/>
    <w:rsid w:val="00A97DF8"/>
    <w:rsid w:val="00AA092F"/>
    <w:rsid w:val="00AA3F32"/>
    <w:rsid w:val="00AA5F6D"/>
    <w:rsid w:val="00AB059C"/>
    <w:rsid w:val="00AB11CA"/>
    <w:rsid w:val="00AB1BD1"/>
    <w:rsid w:val="00AB1EFE"/>
    <w:rsid w:val="00AB49DF"/>
    <w:rsid w:val="00AB6D0D"/>
    <w:rsid w:val="00AB70D9"/>
    <w:rsid w:val="00AB74F0"/>
    <w:rsid w:val="00AC0562"/>
    <w:rsid w:val="00AC0E7E"/>
    <w:rsid w:val="00AC4F0A"/>
    <w:rsid w:val="00AC5A33"/>
    <w:rsid w:val="00AC6ED9"/>
    <w:rsid w:val="00AC6FCA"/>
    <w:rsid w:val="00AC7A58"/>
    <w:rsid w:val="00AD06C4"/>
    <w:rsid w:val="00AD2406"/>
    <w:rsid w:val="00AD32FF"/>
    <w:rsid w:val="00AD3E8F"/>
    <w:rsid w:val="00AD4005"/>
    <w:rsid w:val="00AD41F8"/>
    <w:rsid w:val="00AD4E45"/>
    <w:rsid w:val="00AD7511"/>
    <w:rsid w:val="00AD7CD9"/>
    <w:rsid w:val="00AE4747"/>
    <w:rsid w:val="00AE654D"/>
    <w:rsid w:val="00AF601F"/>
    <w:rsid w:val="00B0058A"/>
    <w:rsid w:val="00B02383"/>
    <w:rsid w:val="00B03E45"/>
    <w:rsid w:val="00B05E39"/>
    <w:rsid w:val="00B07AB3"/>
    <w:rsid w:val="00B07D3A"/>
    <w:rsid w:val="00B07D41"/>
    <w:rsid w:val="00B11188"/>
    <w:rsid w:val="00B11363"/>
    <w:rsid w:val="00B14866"/>
    <w:rsid w:val="00B15028"/>
    <w:rsid w:val="00B162AD"/>
    <w:rsid w:val="00B17416"/>
    <w:rsid w:val="00B17841"/>
    <w:rsid w:val="00B20F4C"/>
    <w:rsid w:val="00B229CB"/>
    <w:rsid w:val="00B24B89"/>
    <w:rsid w:val="00B2528C"/>
    <w:rsid w:val="00B27A7A"/>
    <w:rsid w:val="00B30389"/>
    <w:rsid w:val="00B324BE"/>
    <w:rsid w:val="00B32F36"/>
    <w:rsid w:val="00B33307"/>
    <w:rsid w:val="00B34B54"/>
    <w:rsid w:val="00B36B5A"/>
    <w:rsid w:val="00B37A94"/>
    <w:rsid w:val="00B410AD"/>
    <w:rsid w:val="00B427FF"/>
    <w:rsid w:val="00B429B6"/>
    <w:rsid w:val="00B42D21"/>
    <w:rsid w:val="00B449DC"/>
    <w:rsid w:val="00B45F72"/>
    <w:rsid w:val="00B52DB8"/>
    <w:rsid w:val="00B53100"/>
    <w:rsid w:val="00B536C3"/>
    <w:rsid w:val="00B53C4C"/>
    <w:rsid w:val="00B5477F"/>
    <w:rsid w:val="00B63E74"/>
    <w:rsid w:val="00B64DDB"/>
    <w:rsid w:val="00B713E8"/>
    <w:rsid w:val="00B71A61"/>
    <w:rsid w:val="00B71DC2"/>
    <w:rsid w:val="00B737F9"/>
    <w:rsid w:val="00B7493D"/>
    <w:rsid w:val="00B74B43"/>
    <w:rsid w:val="00B74D6C"/>
    <w:rsid w:val="00B84047"/>
    <w:rsid w:val="00B847F3"/>
    <w:rsid w:val="00B85096"/>
    <w:rsid w:val="00B8552F"/>
    <w:rsid w:val="00B86246"/>
    <w:rsid w:val="00B86D7B"/>
    <w:rsid w:val="00B9020E"/>
    <w:rsid w:val="00B92B7B"/>
    <w:rsid w:val="00B93A86"/>
    <w:rsid w:val="00B9693A"/>
    <w:rsid w:val="00B96E6F"/>
    <w:rsid w:val="00BA3B7F"/>
    <w:rsid w:val="00BA611C"/>
    <w:rsid w:val="00BA63F7"/>
    <w:rsid w:val="00BA79B5"/>
    <w:rsid w:val="00BB05A0"/>
    <w:rsid w:val="00BB26AE"/>
    <w:rsid w:val="00BB3686"/>
    <w:rsid w:val="00BB3A2E"/>
    <w:rsid w:val="00BB4FBB"/>
    <w:rsid w:val="00BB5C9F"/>
    <w:rsid w:val="00BB6A85"/>
    <w:rsid w:val="00BB6E57"/>
    <w:rsid w:val="00BB7341"/>
    <w:rsid w:val="00BB7B48"/>
    <w:rsid w:val="00BC0A98"/>
    <w:rsid w:val="00BC103A"/>
    <w:rsid w:val="00BC125B"/>
    <w:rsid w:val="00BC3764"/>
    <w:rsid w:val="00BD006B"/>
    <w:rsid w:val="00BD2198"/>
    <w:rsid w:val="00BD279E"/>
    <w:rsid w:val="00BD30FE"/>
    <w:rsid w:val="00BD351B"/>
    <w:rsid w:val="00BD5506"/>
    <w:rsid w:val="00BD6AC4"/>
    <w:rsid w:val="00BD6F9F"/>
    <w:rsid w:val="00BD7973"/>
    <w:rsid w:val="00BD7C19"/>
    <w:rsid w:val="00BE253F"/>
    <w:rsid w:val="00BE27E6"/>
    <w:rsid w:val="00BE3209"/>
    <w:rsid w:val="00BE34C3"/>
    <w:rsid w:val="00BE3FF2"/>
    <w:rsid w:val="00BE4BE4"/>
    <w:rsid w:val="00BE5508"/>
    <w:rsid w:val="00BE6294"/>
    <w:rsid w:val="00BE7BC4"/>
    <w:rsid w:val="00BF2076"/>
    <w:rsid w:val="00BF2553"/>
    <w:rsid w:val="00BF3484"/>
    <w:rsid w:val="00BF3770"/>
    <w:rsid w:val="00BF3809"/>
    <w:rsid w:val="00BF38D9"/>
    <w:rsid w:val="00BF415E"/>
    <w:rsid w:val="00BF4192"/>
    <w:rsid w:val="00BF4D85"/>
    <w:rsid w:val="00BF58AB"/>
    <w:rsid w:val="00BF6772"/>
    <w:rsid w:val="00BF6DC1"/>
    <w:rsid w:val="00C019EF"/>
    <w:rsid w:val="00C0232C"/>
    <w:rsid w:val="00C02379"/>
    <w:rsid w:val="00C03EB3"/>
    <w:rsid w:val="00C04027"/>
    <w:rsid w:val="00C07048"/>
    <w:rsid w:val="00C0771D"/>
    <w:rsid w:val="00C12BFC"/>
    <w:rsid w:val="00C1307E"/>
    <w:rsid w:val="00C13A01"/>
    <w:rsid w:val="00C1441D"/>
    <w:rsid w:val="00C14FEF"/>
    <w:rsid w:val="00C175FD"/>
    <w:rsid w:val="00C17A4F"/>
    <w:rsid w:val="00C22A64"/>
    <w:rsid w:val="00C237F1"/>
    <w:rsid w:val="00C243AE"/>
    <w:rsid w:val="00C2576D"/>
    <w:rsid w:val="00C274CB"/>
    <w:rsid w:val="00C27973"/>
    <w:rsid w:val="00C30AB3"/>
    <w:rsid w:val="00C31797"/>
    <w:rsid w:val="00C326BE"/>
    <w:rsid w:val="00C33E37"/>
    <w:rsid w:val="00C33EA9"/>
    <w:rsid w:val="00C36137"/>
    <w:rsid w:val="00C374AB"/>
    <w:rsid w:val="00C41753"/>
    <w:rsid w:val="00C422E3"/>
    <w:rsid w:val="00C4250C"/>
    <w:rsid w:val="00C437FB"/>
    <w:rsid w:val="00C460B6"/>
    <w:rsid w:val="00C46184"/>
    <w:rsid w:val="00C474E5"/>
    <w:rsid w:val="00C54CFF"/>
    <w:rsid w:val="00C561B1"/>
    <w:rsid w:val="00C56E50"/>
    <w:rsid w:val="00C5766D"/>
    <w:rsid w:val="00C57975"/>
    <w:rsid w:val="00C57C9A"/>
    <w:rsid w:val="00C57E35"/>
    <w:rsid w:val="00C60C3E"/>
    <w:rsid w:val="00C61E65"/>
    <w:rsid w:val="00C624EB"/>
    <w:rsid w:val="00C636A9"/>
    <w:rsid w:val="00C642CA"/>
    <w:rsid w:val="00C651D2"/>
    <w:rsid w:val="00C6578F"/>
    <w:rsid w:val="00C66738"/>
    <w:rsid w:val="00C70A93"/>
    <w:rsid w:val="00C71C93"/>
    <w:rsid w:val="00C747C7"/>
    <w:rsid w:val="00C75847"/>
    <w:rsid w:val="00C75943"/>
    <w:rsid w:val="00C77A9F"/>
    <w:rsid w:val="00C8037F"/>
    <w:rsid w:val="00C80A65"/>
    <w:rsid w:val="00C80BAB"/>
    <w:rsid w:val="00C80DDA"/>
    <w:rsid w:val="00C815D7"/>
    <w:rsid w:val="00C82A9F"/>
    <w:rsid w:val="00C82B5B"/>
    <w:rsid w:val="00C82C88"/>
    <w:rsid w:val="00C82ECE"/>
    <w:rsid w:val="00C8419E"/>
    <w:rsid w:val="00C85A0C"/>
    <w:rsid w:val="00C86D50"/>
    <w:rsid w:val="00C870DC"/>
    <w:rsid w:val="00C876B8"/>
    <w:rsid w:val="00C87933"/>
    <w:rsid w:val="00C90F2B"/>
    <w:rsid w:val="00C91766"/>
    <w:rsid w:val="00C91F36"/>
    <w:rsid w:val="00C91F8B"/>
    <w:rsid w:val="00C941AE"/>
    <w:rsid w:val="00C9445F"/>
    <w:rsid w:val="00C963F2"/>
    <w:rsid w:val="00C96903"/>
    <w:rsid w:val="00C96F75"/>
    <w:rsid w:val="00CA137A"/>
    <w:rsid w:val="00CA17AB"/>
    <w:rsid w:val="00CA2132"/>
    <w:rsid w:val="00CA2F29"/>
    <w:rsid w:val="00CA44D3"/>
    <w:rsid w:val="00CA4B4D"/>
    <w:rsid w:val="00CA5215"/>
    <w:rsid w:val="00CB20C0"/>
    <w:rsid w:val="00CB41BB"/>
    <w:rsid w:val="00CB465C"/>
    <w:rsid w:val="00CB5734"/>
    <w:rsid w:val="00CB629C"/>
    <w:rsid w:val="00CC1622"/>
    <w:rsid w:val="00CC1A7F"/>
    <w:rsid w:val="00CC2854"/>
    <w:rsid w:val="00CC37B5"/>
    <w:rsid w:val="00CC40E7"/>
    <w:rsid w:val="00CC6058"/>
    <w:rsid w:val="00CC66F1"/>
    <w:rsid w:val="00CC7164"/>
    <w:rsid w:val="00CC775A"/>
    <w:rsid w:val="00CC7B5B"/>
    <w:rsid w:val="00CD06C7"/>
    <w:rsid w:val="00CD1EEB"/>
    <w:rsid w:val="00CD3C45"/>
    <w:rsid w:val="00CD6E43"/>
    <w:rsid w:val="00CE02E1"/>
    <w:rsid w:val="00CE0657"/>
    <w:rsid w:val="00CE134C"/>
    <w:rsid w:val="00CE3785"/>
    <w:rsid w:val="00CE3B3E"/>
    <w:rsid w:val="00CE3EDF"/>
    <w:rsid w:val="00CE5E10"/>
    <w:rsid w:val="00CE5F0E"/>
    <w:rsid w:val="00CF01CD"/>
    <w:rsid w:val="00CF0D8F"/>
    <w:rsid w:val="00CF27FD"/>
    <w:rsid w:val="00CF4878"/>
    <w:rsid w:val="00CF72F5"/>
    <w:rsid w:val="00D01545"/>
    <w:rsid w:val="00D02032"/>
    <w:rsid w:val="00D02B71"/>
    <w:rsid w:val="00D061E4"/>
    <w:rsid w:val="00D070C7"/>
    <w:rsid w:val="00D07E8F"/>
    <w:rsid w:val="00D10096"/>
    <w:rsid w:val="00D16098"/>
    <w:rsid w:val="00D16505"/>
    <w:rsid w:val="00D16C7E"/>
    <w:rsid w:val="00D23C19"/>
    <w:rsid w:val="00D25AB2"/>
    <w:rsid w:val="00D30A84"/>
    <w:rsid w:val="00D30E9F"/>
    <w:rsid w:val="00D31D26"/>
    <w:rsid w:val="00D33E0D"/>
    <w:rsid w:val="00D3618B"/>
    <w:rsid w:val="00D3646B"/>
    <w:rsid w:val="00D36C6D"/>
    <w:rsid w:val="00D36DD4"/>
    <w:rsid w:val="00D3701B"/>
    <w:rsid w:val="00D37C97"/>
    <w:rsid w:val="00D42513"/>
    <w:rsid w:val="00D44DF6"/>
    <w:rsid w:val="00D460FE"/>
    <w:rsid w:val="00D47D0F"/>
    <w:rsid w:val="00D50608"/>
    <w:rsid w:val="00D537B2"/>
    <w:rsid w:val="00D56B92"/>
    <w:rsid w:val="00D57EC3"/>
    <w:rsid w:val="00D6327C"/>
    <w:rsid w:val="00D63801"/>
    <w:rsid w:val="00D656DA"/>
    <w:rsid w:val="00D66175"/>
    <w:rsid w:val="00D760BA"/>
    <w:rsid w:val="00D812F1"/>
    <w:rsid w:val="00D814DE"/>
    <w:rsid w:val="00D84E91"/>
    <w:rsid w:val="00D9343A"/>
    <w:rsid w:val="00D94C12"/>
    <w:rsid w:val="00D95C4D"/>
    <w:rsid w:val="00D96D5A"/>
    <w:rsid w:val="00DA02E1"/>
    <w:rsid w:val="00DA3FFC"/>
    <w:rsid w:val="00DA434B"/>
    <w:rsid w:val="00DA43FF"/>
    <w:rsid w:val="00DA4DDD"/>
    <w:rsid w:val="00DA6625"/>
    <w:rsid w:val="00DA6EDC"/>
    <w:rsid w:val="00DA7B01"/>
    <w:rsid w:val="00DB1A1D"/>
    <w:rsid w:val="00DB24DB"/>
    <w:rsid w:val="00DB4C5C"/>
    <w:rsid w:val="00DB6966"/>
    <w:rsid w:val="00DC3E47"/>
    <w:rsid w:val="00DC4C5F"/>
    <w:rsid w:val="00DC658B"/>
    <w:rsid w:val="00DC6679"/>
    <w:rsid w:val="00DC766D"/>
    <w:rsid w:val="00DD04BB"/>
    <w:rsid w:val="00DD0B56"/>
    <w:rsid w:val="00DD1EB6"/>
    <w:rsid w:val="00DD2128"/>
    <w:rsid w:val="00DD26CC"/>
    <w:rsid w:val="00DD43A0"/>
    <w:rsid w:val="00DD5D1E"/>
    <w:rsid w:val="00DD649A"/>
    <w:rsid w:val="00DD759A"/>
    <w:rsid w:val="00DE25F1"/>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2691"/>
    <w:rsid w:val="00E149D0"/>
    <w:rsid w:val="00E1634B"/>
    <w:rsid w:val="00E206ED"/>
    <w:rsid w:val="00E20811"/>
    <w:rsid w:val="00E237DC"/>
    <w:rsid w:val="00E257C6"/>
    <w:rsid w:val="00E25867"/>
    <w:rsid w:val="00E2629A"/>
    <w:rsid w:val="00E26EE0"/>
    <w:rsid w:val="00E26F14"/>
    <w:rsid w:val="00E27020"/>
    <w:rsid w:val="00E30837"/>
    <w:rsid w:val="00E311B7"/>
    <w:rsid w:val="00E33321"/>
    <w:rsid w:val="00E3517A"/>
    <w:rsid w:val="00E35C5E"/>
    <w:rsid w:val="00E36644"/>
    <w:rsid w:val="00E378FA"/>
    <w:rsid w:val="00E37B19"/>
    <w:rsid w:val="00E4537D"/>
    <w:rsid w:val="00E454B4"/>
    <w:rsid w:val="00E4575C"/>
    <w:rsid w:val="00E459E5"/>
    <w:rsid w:val="00E46FC6"/>
    <w:rsid w:val="00E47375"/>
    <w:rsid w:val="00E47DEC"/>
    <w:rsid w:val="00E51848"/>
    <w:rsid w:val="00E54DF1"/>
    <w:rsid w:val="00E553C5"/>
    <w:rsid w:val="00E5577D"/>
    <w:rsid w:val="00E55AE4"/>
    <w:rsid w:val="00E55E7E"/>
    <w:rsid w:val="00E563D8"/>
    <w:rsid w:val="00E56911"/>
    <w:rsid w:val="00E56B73"/>
    <w:rsid w:val="00E62017"/>
    <w:rsid w:val="00E623A5"/>
    <w:rsid w:val="00E63305"/>
    <w:rsid w:val="00E639D5"/>
    <w:rsid w:val="00E63A64"/>
    <w:rsid w:val="00E64075"/>
    <w:rsid w:val="00E64577"/>
    <w:rsid w:val="00E673E6"/>
    <w:rsid w:val="00E7139D"/>
    <w:rsid w:val="00E72FD1"/>
    <w:rsid w:val="00E741C6"/>
    <w:rsid w:val="00E750D6"/>
    <w:rsid w:val="00E761D9"/>
    <w:rsid w:val="00E84642"/>
    <w:rsid w:val="00E84E49"/>
    <w:rsid w:val="00E87AC5"/>
    <w:rsid w:val="00E91F60"/>
    <w:rsid w:val="00E92C2C"/>
    <w:rsid w:val="00E92CD7"/>
    <w:rsid w:val="00E9302B"/>
    <w:rsid w:val="00E9448F"/>
    <w:rsid w:val="00E95115"/>
    <w:rsid w:val="00E96407"/>
    <w:rsid w:val="00E96BD7"/>
    <w:rsid w:val="00E96EC9"/>
    <w:rsid w:val="00EA13B5"/>
    <w:rsid w:val="00EA221B"/>
    <w:rsid w:val="00EA25C7"/>
    <w:rsid w:val="00EA26CF"/>
    <w:rsid w:val="00EA3C73"/>
    <w:rsid w:val="00EA4185"/>
    <w:rsid w:val="00EA689F"/>
    <w:rsid w:val="00EA72A9"/>
    <w:rsid w:val="00EA75FF"/>
    <w:rsid w:val="00EB0615"/>
    <w:rsid w:val="00EB0FD8"/>
    <w:rsid w:val="00EB1D98"/>
    <w:rsid w:val="00EB272E"/>
    <w:rsid w:val="00EB2D4C"/>
    <w:rsid w:val="00EB3A65"/>
    <w:rsid w:val="00EB3DD8"/>
    <w:rsid w:val="00EB640C"/>
    <w:rsid w:val="00EB6693"/>
    <w:rsid w:val="00EC1816"/>
    <w:rsid w:val="00EC2428"/>
    <w:rsid w:val="00EC2F7C"/>
    <w:rsid w:val="00EC4264"/>
    <w:rsid w:val="00EC5311"/>
    <w:rsid w:val="00EC59D3"/>
    <w:rsid w:val="00EC692C"/>
    <w:rsid w:val="00EC6E09"/>
    <w:rsid w:val="00EC7316"/>
    <w:rsid w:val="00ED1897"/>
    <w:rsid w:val="00ED3583"/>
    <w:rsid w:val="00ED4AFC"/>
    <w:rsid w:val="00ED51DC"/>
    <w:rsid w:val="00ED671E"/>
    <w:rsid w:val="00EE072E"/>
    <w:rsid w:val="00EE15A1"/>
    <w:rsid w:val="00EE27E7"/>
    <w:rsid w:val="00EE3473"/>
    <w:rsid w:val="00EE3D84"/>
    <w:rsid w:val="00EE6D21"/>
    <w:rsid w:val="00EF0F42"/>
    <w:rsid w:val="00EF187A"/>
    <w:rsid w:val="00EF2AEB"/>
    <w:rsid w:val="00EF2CBE"/>
    <w:rsid w:val="00EF4735"/>
    <w:rsid w:val="00EF5A2C"/>
    <w:rsid w:val="00EF6F21"/>
    <w:rsid w:val="00EF7871"/>
    <w:rsid w:val="00EF7DA4"/>
    <w:rsid w:val="00F01EDB"/>
    <w:rsid w:val="00F02BCE"/>
    <w:rsid w:val="00F0314B"/>
    <w:rsid w:val="00F05559"/>
    <w:rsid w:val="00F06F65"/>
    <w:rsid w:val="00F07AE1"/>
    <w:rsid w:val="00F1065C"/>
    <w:rsid w:val="00F12331"/>
    <w:rsid w:val="00F1707C"/>
    <w:rsid w:val="00F20513"/>
    <w:rsid w:val="00F229F7"/>
    <w:rsid w:val="00F22B4C"/>
    <w:rsid w:val="00F23591"/>
    <w:rsid w:val="00F24F96"/>
    <w:rsid w:val="00F31CF2"/>
    <w:rsid w:val="00F3226A"/>
    <w:rsid w:val="00F32E0B"/>
    <w:rsid w:val="00F33C62"/>
    <w:rsid w:val="00F34E17"/>
    <w:rsid w:val="00F35F53"/>
    <w:rsid w:val="00F36C53"/>
    <w:rsid w:val="00F36F65"/>
    <w:rsid w:val="00F37715"/>
    <w:rsid w:val="00F40BC8"/>
    <w:rsid w:val="00F40E6F"/>
    <w:rsid w:val="00F41882"/>
    <w:rsid w:val="00F45C1D"/>
    <w:rsid w:val="00F46447"/>
    <w:rsid w:val="00F573B4"/>
    <w:rsid w:val="00F578D2"/>
    <w:rsid w:val="00F6005B"/>
    <w:rsid w:val="00F60220"/>
    <w:rsid w:val="00F6060C"/>
    <w:rsid w:val="00F64AB8"/>
    <w:rsid w:val="00F6511D"/>
    <w:rsid w:val="00F70CF8"/>
    <w:rsid w:val="00F76392"/>
    <w:rsid w:val="00F77FCD"/>
    <w:rsid w:val="00F81585"/>
    <w:rsid w:val="00F81DFE"/>
    <w:rsid w:val="00F85578"/>
    <w:rsid w:val="00F85A4F"/>
    <w:rsid w:val="00F86558"/>
    <w:rsid w:val="00F865F1"/>
    <w:rsid w:val="00F86670"/>
    <w:rsid w:val="00F91F56"/>
    <w:rsid w:val="00F92406"/>
    <w:rsid w:val="00F92876"/>
    <w:rsid w:val="00F9369B"/>
    <w:rsid w:val="00F941F3"/>
    <w:rsid w:val="00F95715"/>
    <w:rsid w:val="00F9747E"/>
    <w:rsid w:val="00FA0273"/>
    <w:rsid w:val="00FA0DC7"/>
    <w:rsid w:val="00FA11D9"/>
    <w:rsid w:val="00FA21E7"/>
    <w:rsid w:val="00FA59E0"/>
    <w:rsid w:val="00FB008A"/>
    <w:rsid w:val="00FB0530"/>
    <w:rsid w:val="00FB0FD6"/>
    <w:rsid w:val="00FB3237"/>
    <w:rsid w:val="00FB45CA"/>
    <w:rsid w:val="00FB5DC6"/>
    <w:rsid w:val="00FC02FD"/>
    <w:rsid w:val="00FC0BCD"/>
    <w:rsid w:val="00FC14DF"/>
    <w:rsid w:val="00FC3428"/>
    <w:rsid w:val="00FC7F35"/>
    <w:rsid w:val="00FD0496"/>
    <w:rsid w:val="00FD422A"/>
    <w:rsid w:val="00FD56E5"/>
    <w:rsid w:val="00FD6558"/>
    <w:rsid w:val="00FD6FCF"/>
    <w:rsid w:val="00FD7282"/>
    <w:rsid w:val="00FE2697"/>
    <w:rsid w:val="00FE3403"/>
    <w:rsid w:val="00FE44B6"/>
    <w:rsid w:val="00FE54AE"/>
    <w:rsid w:val="00FE57B0"/>
    <w:rsid w:val="00FE681F"/>
    <w:rsid w:val="00FE7075"/>
    <w:rsid w:val="00FF1891"/>
    <w:rsid w:val="00FF1A23"/>
    <w:rsid w:val="00FF27E6"/>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D9444A-0A1B-4687-8BFC-BD932EA4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187646305">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36605700">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45366995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1990136066">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EE6F8-9A14-4A38-BECE-DE4056EC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12</TotalTime>
  <Pages>13</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26607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3</cp:revision>
  <cp:lastPrinted>2020-06-03T07:55:00Z</cp:lastPrinted>
  <dcterms:created xsi:type="dcterms:W3CDTF">2021-12-14T09:45:00Z</dcterms:created>
  <dcterms:modified xsi:type="dcterms:W3CDTF">2021-12-14T09:57:00Z</dcterms:modified>
</cp:coreProperties>
</file>