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1ABE4" w14:textId="77777777" w:rsidR="0007276D" w:rsidRPr="00F212E7" w:rsidRDefault="0007276D" w:rsidP="0007276D">
      <w:pPr>
        <w:spacing w:before="120" w:after="120" w:line="240" w:lineRule="auto"/>
        <w:ind w:right="29"/>
        <w:jc w:val="center"/>
        <w:rPr>
          <w:rFonts w:eastAsia="Times New Roman" w:cs="Arial"/>
          <w:b/>
          <w:szCs w:val="24"/>
          <w:lang w:val="en-GB" w:eastAsia="en-GB"/>
        </w:rPr>
      </w:pPr>
      <w:r w:rsidRPr="00F212E7">
        <w:rPr>
          <w:rFonts w:eastAsia="Times New Roman" w:cs="Arial"/>
          <w:b/>
          <w:szCs w:val="24"/>
          <w:lang w:val="en-GB" w:eastAsia="en-GB"/>
        </w:rPr>
        <w:t>REPUBLIC OF SOUTH AFRICA</w:t>
      </w:r>
    </w:p>
    <w:p w14:paraId="7ADC0F82" w14:textId="3672A78E" w:rsidR="0007276D" w:rsidRPr="00F212E7" w:rsidRDefault="00B02EFD" w:rsidP="001F3CEB">
      <w:pPr>
        <w:spacing w:before="120" w:after="120" w:line="240" w:lineRule="auto"/>
        <w:ind w:right="29"/>
        <w:rPr>
          <w:rFonts w:eastAsia="Times New Roman" w:cs="Arial"/>
          <w:b/>
          <w:szCs w:val="24"/>
          <w:lang w:val="en-GB" w:eastAsia="en-GB"/>
        </w:rPr>
      </w:pPr>
      <w:r>
        <w:rPr>
          <w:rFonts w:eastAsia="Times New Roman" w:cs="Arial"/>
          <w:b/>
          <w:szCs w:val="24"/>
          <w:lang w:val="en-GB" w:eastAsia="en-GB"/>
        </w:rPr>
        <w:t xml:space="preserve">                       </w:t>
      </w:r>
      <w:r w:rsidR="00257DCC">
        <w:rPr>
          <w:rFonts w:eastAsia="Times New Roman" w:cs="Arial"/>
          <w:b/>
          <w:szCs w:val="24"/>
          <w:lang w:val="en-GB" w:eastAsia="en-GB"/>
        </w:rPr>
        <w:t xml:space="preserve">                                </w:t>
      </w:r>
      <w:r w:rsidR="00865320" w:rsidRPr="009E7D6D">
        <w:rPr>
          <w:noProof/>
          <w:lang w:val="en-US"/>
        </w:rPr>
        <w:drawing>
          <wp:inline distT="0" distB="0" distL="0" distR="0" wp14:anchorId="225C1E23" wp14:editId="42FCD93D">
            <wp:extent cx="1676400"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14:paraId="674BEB94" w14:textId="77777777" w:rsidR="0007276D" w:rsidRPr="00F212E7" w:rsidRDefault="0007276D" w:rsidP="0007276D">
      <w:pPr>
        <w:spacing w:before="120" w:after="120" w:line="240" w:lineRule="auto"/>
        <w:ind w:right="28"/>
        <w:jc w:val="center"/>
        <w:rPr>
          <w:rFonts w:eastAsia="Times New Roman" w:cs="Arial"/>
          <w:b/>
          <w:szCs w:val="24"/>
          <w:lang w:val="en-GB" w:eastAsia="en-GB"/>
        </w:rPr>
      </w:pPr>
      <w:r w:rsidRPr="00F212E7">
        <w:rPr>
          <w:rFonts w:eastAsia="Times New Roman" w:cs="Arial"/>
          <w:b/>
          <w:szCs w:val="24"/>
          <w:lang w:val="en-GB" w:eastAsia="en-GB"/>
        </w:rPr>
        <w:t>IN THE HIGH COURT OF SOUTH AFRICA</w:t>
      </w:r>
    </w:p>
    <w:p w14:paraId="6699889F" w14:textId="77777777" w:rsidR="0007276D" w:rsidRPr="00F212E7" w:rsidRDefault="0007276D" w:rsidP="0007276D">
      <w:pPr>
        <w:spacing w:before="120" w:after="120" w:line="240" w:lineRule="auto"/>
        <w:ind w:right="28"/>
        <w:jc w:val="center"/>
        <w:rPr>
          <w:rFonts w:eastAsia="Times New Roman" w:cs="Arial"/>
          <w:b/>
          <w:szCs w:val="24"/>
          <w:lang w:val="en-GB" w:eastAsia="en-GB"/>
        </w:rPr>
      </w:pPr>
      <w:r w:rsidRPr="00F212E7">
        <w:rPr>
          <w:rFonts w:eastAsia="Times New Roman" w:cs="Arial"/>
          <w:b/>
          <w:szCs w:val="24"/>
          <w:lang w:val="en-GB" w:eastAsia="en-GB"/>
        </w:rPr>
        <w:t>GAUTENG LOCAL DIVISION, JOHANNESBURG</w:t>
      </w:r>
    </w:p>
    <w:p w14:paraId="2B1B1F45" w14:textId="77777777" w:rsidR="0007276D" w:rsidRPr="00F212E7" w:rsidRDefault="0007276D" w:rsidP="0007276D">
      <w:pPr>
        <w:spacing w:before="120" w:after="120" w:line="240" w:lineRule="auto"/>
        <w:ind w:right="364"/>
        <w:jc w:val="right"/>
        <w:rPr>
          <w:rFonts w:eastAsia="Times New Roman" w:cs="Arial"/>
          <w:b/>
          <w:szCs w:val="24"/>
          <w:lang w:val="en-GB" w:eastAsia="en-GB"/>
        </w:rPr>
      </w:pPr>
    </w:p>
    <w:p w14:paraId="4A8B55EF" w14:textId="7EF3A4E4" w:rsidR="0007276D" w:rsidRPr="00F212E7" w:rsidRDefault="0007276D" w:rsidP="0007276D">
      <w:pPr>
        <w:spacing w:before="120" w:after="120" w:line="240" w:lineRule="auto"/>
        <w:ind w:right="-46"/>
        <w:jc w:val="right"/>
        <w:rPr>
          <w:rFonts w:eastAsia="Times New Roman" w:cs="Arial"/>
          <w:b/>
          <w:szCs w:val="24"/>
          <w:lang w:val="en-GB" w:eastAsia="en-GB"/>
        </w:rPr>
      </w:pPr>
      <w:r w:rsidRPr="00F212E7">
        <w:rPr>
          <w:rFonts w:eastAsia="Times New Roman" w:cs="Arial"/>
          <w:b/>
          <w:noProof/>
          <w:szCs w:val="24"/>
          <w:lang w:val="en-US"/>
        </w:rPr>
        <mc:AlternateContent>
          <mc:Choice Requires="wps">
            <w:drawing>
              <wp:anchor distT="0" distB="0" distL="114300" distR="114300" simplePos="0" relativeHeight="251659264" behindDoc="0" locked="0" layoutInCell="1" allowOverlap="1" wp14:anchorId="287EDA7B" wp14:editId="259078CD">
                <wp:simplePos x="0" y="0"/>
                <wp:positionH relativeFrom="margin">
                  <wp:posOffset>9525</wp:posOffset>
                </wp:positionH>
                <wp:positionV relativeFrom="paragraph">
                  <wp:posOffset>272415</wp:posOffset>
                </wp:positionV>
                <wp:extent cx="3314700" cy="1457325"/>
                <wp:effectExtent l="0" t="0" r="1905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57325"/>
                        </a:xfrm>
                        <a:prstGeom prst="rect">
                          <a:avLst/>
                        </a:prstGeom>
                        <a:solidFill>
                          <a:srgbClr val="FFFFFF"/>
                        </a:solidFill>
                        <a:ln w="9525">
                          <a:solidFill>
                            <a:srgbClr val="000000"/>
                          </a:solidFill>
                          <a:miter lim="800000"/>
                          <a:headEnd/>
                          <a:tailEnd/>
                        </a:ln>
                      </wps:spPr>
                      <wps:txbx>
                        <w:txbxContent>
                          <w:p w14:paraId="11004422" w14:textId="77777777" w:rsidR="0007276D" w:rsidRPr="004120A8" w:rsidRDefault="0007276D" w:rsidP="0007276D">
                            <w:pPr>
                              <w:spacing w:after="120"/>
                              <w:ind w:right="28"/>
                              <w:jc w:val="center"/>
                              <w:rPr>
                                <w:rFonts w:ascii="Century Gothic" w:hAnsi="Century Gothic"/>
                                <w:b/>
                                <w:sz w:val="2"/>
                                <w:szCs w:val="18"/>
                              </w:rPr>
                            </w:pPr>
                          </w:p>
                          <w:p w14:paraId="5242842C" w14:textId="6795484E" w:rsidR="0007276D" w:rsidRPr="004120A8" w:rsidRDefault="00867AEE" w:rsidP="00867AEE">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07276D">
                              <w:rPr>
                                <w:rFonts w:ascii="Century Gothic" w:hAnsi="Century Gothic"/>
                                <w:sz w:val="18"/>
                                <w:szCs w:val="18"/>
                              </w:rPr>
                              <w:t>REPORTABLE: NO</w:t>
                            </w:r>
                          </w:p>
                          <w:p w14:paraId="5CD5722F" w14:textId="4FE38C96" w:rsidR="0007276D" w:rsidRPr="004120A8" w:rsidRDefault="00867AEE" w:rsidP="00867AEE">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07276D" w:rsidRPr="004120A8">
                              <w:rPr>
                                <w:rFonts w:ascii="Century Gothic" w:hAnsi="Century Gothic"/>
                                <w:sz w:val="18"/>
                                <w:szCs w:val="18"/>
                              </w:rPr>
                              <w:t>O</w:t>
                            </w:r>
                            <w:r w:rsidR="0007276D">
                              <w:rPr>
                                <w:rFonts w:ascii="Century Gothic" w:hAnsi="Century Gothic"/>
                                <w:sz w:val="18"/>
                                <w:szCs w:val="18"/>
                              </w:rPr>
                              <w:t>F INTEREST TO OTHER JUDGES: NO</w:t>
                            </w:r>
                          </w:p>
                          <w:p w14:paraId="038A6BFD" w14:textId="5DEFB444" w:rsidR="0007276D" w:rsidRPr="00D257A8" w:rsidRDefault="00867AEE" w:rsidP="00867AEE">
                            <w:pPr>
                              <w:tabs>
                                <w:tab w:val="left" w:pos="900"/>
                              </w:tabs>
                              <w:spacing w:after="0" w:line="240" w:lineRule="auto"/>
                              <w:ind w:left="900" w:hanging="720"/>
                              <w:rPr>
                                <w:rFonts w:ascii="Century Gothic" w:hAnsi="Century Gothic"/>
                                <w:sz w:val="18"/>
                                <w:szCs w:val="18"/>
                              </w:rPr>
                            </w:pPr>
                            <w:r w:rsidRPr="00D257A8">
                              <w:rPr>
                                <w:rFonts w:ascii="Century Gothic" w:hAnsi="Century Gothic"/>
                                <w:sz w:val="18"/>
                                <w:szCs w:val="18"/>
                              </w:rPr>
                              <w:t>(3)</w:t>
                            </w:r>
                            <w:r w:rsidRPr="00D257A8">
                              <w:rPr>
                                <w:rFonts w:ascii="Century Gothic" w:hAnsi="Century Gothic"/>
                                <w:sz w:val="18"/>
                                <w:szCs w:val="18"/>
                              </w:rPr>
                              <w:tab/>
                            </w:r>
                            <w:r w:rsidR="0007276D" w:rsidRPr="004120A8">
                              <w:rPr>
                                <w:rFonts w:ascii="Century Gothic" w:hAnsi="Century Gothic"/>
                                <w:sz w:val="18"/>
                                <w:szCs w:val="18"/>
                              </w:rPr>
                              <w:t xml:space="preserve">REVISED. </w:t>
                            </w:r>
                            <w:r w:rsidR="0007276D">
                              <w:rPr>
                                <w:rFonts w:ascii="Century Gothic" w:hAnsi="Century Gothic"/>
                                <w:sz w:val="18"/>
                                <w:szCs w:val="18"/>
                              </w:rPr>
                              <w:t>NO</w:t>
                            </w:r>
                          </w:p>
                          <w:p w14:paraId="705D8680" w14:textId="77777777" w:rsidR="0007276D" w:rsidRDefault="0007276D" w:rsidP="0007276D">
                            <w:pPr>
                              <w:spacing w:after="0" w:line="240" w:lineRule="auto"/>
                              <w:rPr>
                                <w:noProof/>
                              </w:rPr>
                            </w:pPr>
                          </w:p>
                          <w:p w14:paraId="4EFDC22D" w14:textId="77777777" w:rsidR="0007276D" w:rsidRDefault="0007276D" w:rsidP="0007276D">
                            <w:pPr>
                              <w:spacing w:after="0" w:line="240" w:lineRule="auto"/>
                              <w:rPr>
                                <w:noProof/>
                              </w:rPr>
                            </w:pPr>
                          </w:p>
                          <w:p w14:paraId="780F24EA" w14:textId="77777777" w:rsidR="0007276D" w:rsidRPr="00FD1FCB" w:rsidRDefault="0007276D" w:rsidP="0007276D">
                            <w:pPr>
                              <w:spacing w:after="0" w:line="240" w:lineRule="auto"/>
                              <w:rPr>
                                <w:rFonts w:ascii="Century Gothic" w:hAnsi="Century Gothic"/>
                                <w:sz w:val="18"/>
                                <w:szCs w:val="18"/>
                              </w:rPr>
                            </w:pPr>
                          </w:p>
                          <w:p w14:paraId="78082CC6" w14:textId="77777777" w:rsidR="0007276D" w:rsidRPr="004120A8" w:rsidRDefault="0007276D" w:rsidP="0007276D">
                            <w:pPr>
                              <w:spacing w:after="0"/>
                              <w:ind w:right="28"/>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p>
                          <w:p w14:paraId="6CAAAD3A" w14:textId="732FB0D7" w:rsidR="0007276D" w:rsidRPr="004120A8" w:rsidRDefault="0007276D" w:rsidP="0007276D">
                            <w:pPr>
                              <w:ind w:right="28"/>
                              <w:rPr>
                                <w:rFonts w:ascii="Century Gothic" w:hAnsi="Century Gothic"/>
                                <w:b/>
                                <w:sz w:val="18"/>
                                <w:szCs w:val="18"/>
                              </w:rPr>
                            </w:pPr>
                            <w:r>
                              <w:rPr>
                                <w:rFonts w:ascii="Century Gothic" w:hAnsi="Century Gothic"/>
                                <w:b/>
                                <w:sz w:val="18"/>
                                <w:szCs w:val="18"/>
                              </w:rPr>
                              <w:t xml:space="preserve"> SIGNATURE</w:t>
                            </w:r>
                            <w:r>
                              <w:rPr>
                                <w:rFonts w:ascii="Century Gothic" w:hAnsi="Century Gothic"/>
                                <w:b/>
                                <w:sz w:val="18"/>
                                <w:szCs w:val="18"/>
                              </w:rPr>
                              <w:tab/>
                            </w:r>
                            <w:r>
                              <w:rPr>
                                <w:rFonts w:ascii="Century Gothic" w:hAnsi="Century Gothic"/>
                                <w:b/>
                                <w:sz w:val="18"/>
                                <w:szCs w:val="18"/>
                              </w:rPr>
                              <w:tab/>
                              <w:t xml:space="preserve">          </w:t>
                            </w:r>
                            <w:r w:rsidRPr="002D36AD">
                              <w:rPr>
                                <w:rFonts w:ascii="Century Gothic" w:hAnsi="Century Gothic"/>
                                <w:b/>
                                <w:sz w:val="18"/>
                                <w:szCs w:val="18"/>
                              </w:rPr>
                              <w:t>DATE</w:t>
                            </w:r>
                            <w:r>
                              <w:rPr>
                                <w:rFonts w:ascii="Century Gothic" w:hAnsi="Century Gothic"/>
                                <w:b/>
                                <w:sz w:val="18"/>
                                <w:szCs w:val="18"/>
                              </w:rPr>
                              <w:t xml:space="preserve">: </w:t>
                            </w:r>
                            <w:r>
                              <w:rPr>
                                <w:rFonts w:ascii="Century Gothic" w:hAnsi="Century Gothic"/>
                                <w:bCs/>
                                <w:sz w:val="18"/>
                                <w:szCs w:val="18"/>
                              </w:rPr>
                              <w:t xml:space="preserve">2 December  2021 </w:t>
                            </w:r>
                          </w:p>
                          <w:p w14:paraId="6AC4694D" w14:textId="77777777" w:rsidR="0007276D" w:rsidRPr="004120A8" w:rsidRDefault="0007276D" w:rsidP="0007276D">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EDA7B" id="_x0000_t202" coordsize="21600,21600" o:spt="202" path="m,l,21600r21600,l21600,xe">
                <v:stroke joinstyle="miter"/>
                <v:path gradientshapeok="t" o:connecttype="rect"/>
              </v:shapetype>
              <v:shape id="Text Box 2" o:spid="_x0000_s1026" type="#_x0000_t202" style="position:absolute;left:0;text-align:left;margin-left:.75pt;margin-top:21.45pt;width:261pt;height:11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">
                <v:textbox>
                  <w:txbxContent>
                    <w:p w14:paraId="11004422" w14:textId="77777777" w:rsidR="0007276D" w:rsidRPr="004120A8" w:rsidRDefault="0007276D" w:rsidP="0007276D">
                      <w:pPr>
                        <w:spacing w:after="120"/>
                        <w:ind w:right="28"/>
                        <w:jc w:val="center"/>
                        <w:rPr>
                          <w:rFonts w:ascii="Century Gothic" w:hAnsi="Century Gothic"/>
                          <w:b/>
                          <w:sz w:val="2"/>
                          <w:szCs w:val="18"/>
                        </w:rPr>
                      </w:pPr>
                    </w:p>
                    <w:p w14:paraId="5242842C" w14:textId="6795484E" w:rsidR="0007276D" w:rsidRPr="004120A8" w:rsidRDefault="00867AEE" w:rsidP="00867AEE">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07276D">
                        <w:rPr>
                          <w:rFonts w:ascii="Century Gothic" w:hAnsi="Century Gothic"/>
                          <w:sz w:val="18"/>
                          <w:szCs w:val="18"/>
                        </w:rPr>
                        <w:t>REPORTABLE: NO</w:t>
                      </w:r>
                    </w:p>
                    <w:p w14:paraId="5CD5722F" w14:textId="4FE38C96" w:rsidR="0007276D" w:rsidRPr="004120A8" w:rsidRDefault="00867AEE" w:rsidP="00867AEE">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07276D" w:rsidRPr="004120A8">
                        <w:rPr>
                          <w:rFonts w:ascii="Century Gothic" w:hAnsi="Century Gothic"/>
                          <w:sz w:val="18"/>
                          <w:szCs w:val="18"/>
                        </w:rPr>
                        <w:t>O</w:t>
                      </w:r>
                      <w:r w:rsidR="0007276D">
                        <w:rPr>
                          <w:rFonts w:ascii="Century Gothic" w:hAnsi="Century Gothic"/>
                          <w:sz w:val="18"/>
                          <w:szCs w:val="18"/>
                        </w:rPr>
                        <w:t>F INTEREST TO OTHER JUDGES: NO</w:t>
                      </w:r>
                    </w:p>
                    <w:p w14:paraId="038A6BFD" w14:textId="5DEFB444" w:rsidR="0007276D" w:rsidRPr="00D257A8" w:rsidRDefault="00867AEE" w:rsidP="00867AEE">
                      <w:pPr>
                        <w:tabs>
                          <w:tab w:val="left" w:pos="900"/>
                        </w:tabs>
                        <w:spacing w:after="0" w:line="240" w:lineRule="auto"/>
                        <w:ind w:left="900" w:hanging="720"/>
                        <w:rPr>
                          <w:rFonts w:ascii="Century Gothic" w:hAnsi="Century Gothic"/>
                          <w:sz w:val="18"/>
                          <w:szCs w:val="18"/>
                        </w:rPr>
                      </w:pPr>
                      <w:r w:rsidRPr="00D257A8">
                        <w:rPr>
                          <w:rFonts w:ascii="Century Gothic" w:hAnsi="Century Gothic"/>
                          <w:sz w:val="18"/>
                          <w:szCs w:val="18"/>
                        </w:rPr>
                        <w:t>(3)</w:t>
                      </w:r>
                      <w:r w:rsidRPr="00D257A8">
                        <w:rPr>
                          <w:rFonts w:ascii="Century Gothic" w:hAnsi="Century Gothic"/>
                          <w:sz w:val="18"/>
                          <w:szCs w:val="18"/>
                        </w:rPr>
                        <w:tab/>
                      </w:r>
                      <w:r w:rsidR="0007276D" w:rsidRPr="004120A8">
                        <w:rPr>
                          <w:rFonts w:ascii="Century Gothic" w:hAnsi="Century Gothic"/>
                          <w:sz w:val="18"/>
                          <w:szCs w:val="18"/>
                        </w:rPr>
                        <w:t xml:space="preserve">REVISED. </w:t>
                      </w:r>
                      <w:r w:rsidR="0007276D">
                        <w:rPr>
                          <w:rFonts w:ascii="Century Gothic" w:hAnsi="Century Gothic"/>
                          <w:sz w:val="18"/>
                          <w:szCs w:val="18"/>
                        </w:rPr>
                        <w:t>NO</w:t>
                      </w:r>
                    </w:p>
                    <w:p w14:paraId="705D8680" w14:textId="77777777" w:rsidR="0007276D" w:rsidRDefault="0007276D" w:rsidP="0007276D">
                      <w:pPr>
                        <w:spacing w:after="0" w:line="240" w:lineRule="auto"/>
                        <w:rPr>
                          <w:noProof/>
                        </w:rPr>
                      </w:pPr>
                    </w:p>
                    <w:p w14:paraId="4EFDC22D" w14:textId="77777777" w:rsidR="0007276D" w:rsidRDefault="0007276D" w:rsidP="0007276D">
                      <w:pPr>
                        <w:spacing w:after="0" w:line="240" w:lineRule="auto"/>
                        <w:rPr>
                          <w:noProof/>
                        </w:rPr>
                      </w:pPr>
                    </w:p>
                    <w:p w14:paraId="780F24EA" w14:textId="77777777" w:rsidR="0007276D" w:rsidRPr="00FD1FCB" w:rsidRDefault="0007276D" w:rsidP="0007276D">
                      <w:pPr>
                        <w:spacing w:after="0" w:line="240" w:lineRule="auto"/>
                        <w:rPr>
                          <w:rFonts w:ascii="Century Gothic" w:hAnsi="Century Gothic"/>
                          <w:sz w:val="18"/>
                          <w:szCs w:val="18"/>
                        </w:rPr>
                      </w:pPr>
                    </w:p>
                    <w:p w14:paraId="78082CC6" w14:textId="77777777" w:rsidR="0007276D" w:rsidRPr="004120A8" w:rsidRDefault="0007276D" w:rsidP="0007276D">
                      <w:pPr>
                        <w:spacing w:after="0"/>
                        <w:ind w:right="28"/>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p>
                    <w:p w14:paraId="6CAAAD3A" w14:textId="732FB0D7" w:rsidR="0007276D" w:rsidRPr="004120A8" w:rsidRDefault="0007276D" w:rsidP="0007276D">
                      <w:pPr>
                        <w:ind w:right="28"/>
                        <w:rPr>
                          <w:rFonts w:ascii="Century Gothic" w:hAnsi="Century Gothic"/>
                          <w:b/>
                          <w:sz w:val="18"/>
                          <w:szCs w:val="18"/>
                        </w:rPr>
                      </w:pPr>
                      <w:r>
                        <w:rPr>
                          <w:rFonts w:ascii="Century Gothic" w:hAnsi="Century Gothic"/>
                          <w:b/>
                          <w:sz w:val="18"/>
                          <w:szCs w:val="18"/>
                        </w:rPr>
                        <w:t xml:space="preserve"> SIGNATURE</w:t>
                      </w:r>
                      <w:r>
                        <w:rPr>
                          <w:rFonts w:ascii="Century Gothic" w:hAnsi="Century Gothic"/>
                          <w:b/>
                          <w:sz w:val="18"/>
                          <w:szCs w:val="18"/>
                        </w:rPr>
                        <w:tab/>
                      </w:r>
                      <w:r>
                        <w:rPr>
                          <w:rFonts w:ascii="Century Gothic" w:hAnsi="Century Gothic"/>
                          <w:b/>
                          <w:sz w:val="18"/>
                          <w:szCs w:val="18"/>
                        </w:rPr>
                        <w:tab/>
                        <w:t xml:space="preserve">          </w:t>
                      </w:r>
                      <w:r w:rsidRPr="002D36AD">
                        <w:rPr>
                          <w:rFonts w:ascii="Century Gothic" w:hAnsi="Century Gothic"/>
                          <w:b/>
                          <w:sz w:val="18"/>
                          <w:szCs w:val="18"/>
                        </w:rPr>
                        <w:t>DATE</w:t>
                      </w:r>
                      <w:r>
                        <w:rPr>
                          <w:rFonts w:ascii="Century Gothic" w:hAnsi="Century Gothic"/>
                          <w:b/>
                          <w:sz w:val="18"/>
                          <w:szCs w:val="18"/>
                        </w:rPr>
                        <w:t xml:space="preserve">: </w:t>
                      </w:r>
                      <w:r>
                        <w:rPr>
                          <w:rFonts w:ascii="Century Gothic" w:hAnsi="Century Gothic"/>
                          <w:bCs/>
                          <w:sz w:val="18"/>
                          <w:szCs w:val="18"/>
                        </w:rPr>
                        <w:t xml:space="preserve">2 December  2021 </w:t>
                      </w:r>
                    </w:p>
                    <w:p w14:paraId="6AC4694D" w14:textId="77777777" w:rsidR="0007276D" w:rsidRPr="004120A8" w:rsidRDefault="0007276D" w:rsidP="0007276D">
                      <w:pPr>
                        <w:rPr>
                          <w:rFonts w:ascii="Century Gothic" w:hAnsi="Century Gothic"/>
                          <w:b/>
                          <w:sz w:val="2"/>
                          <w:szCs w:val="18"/>
                        </w:rPr>
                      </w:pPr>
                    </w:p>
                  </w:txbxContent>
                </v:textbox>
                <w10:wrap type="topAndBottom" anchorx="margin"/>
              </v:shape>
            </w:pict>
          </mc:Fallback>
        </mc:AlternateContent>
      </w:r>
      <w:r w:rsidRPr="00F212E7">
        <w:rPr>
          <w:rFonts w:eastAsia="Times New Roman" w:cs="Arial"/>
          <w:b/>
          <w:szCs w:val="24"/>
          <w:lang w:val="en-GB" w:eastAsia="en-GB"/>
        </w:rPr>
        <w:t xml:space="preserve">CASE NO: </w:t>
      </w:r>
      <w:r w:rsidRPr="0007276D">
        <w:rPr>
          <w:b/>
          <w:color w:val="333333"/>
          <w:szCs w:val="20"/>
          <w:lang w:eastAsia="en-ZA"/>
        </w:rPr>
        <w:t>48357 / 2021</w:t>
      </w:r>
    </w:p>
    <w:tbl>
      <w:tblPr>
        <w:tblW w:w="9309" w:type="dxa"/>
        <w:tblInd w:w="-95" w:type="dxa"/>
        <w:tblLook w:val="04A0" w:firstRow="1" w:lastRow="0" w:firstColumn="1" w:lastColumn="0" w:noHBand="0" w:noVBand="1"/>
      </w:tblPr>
      <w:tblGrid>
        <w:gridCol w:w="5624"/>
        <w:gridCol w:w="3685"/>
      </w:tblGrid>
      <w:tr w:rsidR="0007276D" w:rsidRPr="00F212E7" w14:paraId="6D7FC381" w14:textId="77777777" w:rsidTr="003D3AAE">
        <w:tc>
          <w:tcPr>
            <w:tcW w:w="5624" w:type="dxa"/>
            <w:hideMark/>
          </w:tcPr>
          <w:p w14:paraId="05F761C5" w14:textId="6B86C9B0" w:rsidR="0007276D" w:rsidRPr="00F212E7" w:rsidRDefault="0007276D" w:rsidP="00B46241">
            <w:pPr>
              <w:spacing w:before="200" w:after="200" w:line="240" w:lineRule="exact"/>
              <w:ind w:right="28"/>
              <w:jc w:val="both"/>
              <w:rPr>
                <w:rFonts w:eastAsia="Times New Roman" w:cs="Arial"/>
                <w:szCs w:val="24"/>
                <w:lang w:val="en-GB"/>
              </w:rPr>
            </w:pPr>
          </w:p>
        </w:tc>
        <w:tc>
          <w:tcPr>
            <w:tcW w:w="3685" w:type="dxa"/>
          </w:tcPr>
          <w:p w14:paraId="7E6E6E05" w14:textId="77777777" w:rsidR="0007276D" w:rsidRPr="00F212E7" w:rsidRDefault="0007276D" w:rsidP="003D3AAE">
            <w:pPr>
              <w:spacing w:before="200" w:after="200" w:line="240" w:lineRule="exact"/>
              <w:ind w:right="28"/>
              <w:jc w:val="both"/>
              <w:rPr>
                <w:rFonts w:eastAsia="Times New Roman" w:cs="Arial"/>
                <w:szCs w:val="24"/>
                <w:lang w:val="en-GB"/>
              </w:rPr>
            </w:pPr>
          </w:p>
        </w:tc>
      </w:tr>
    </w:tbl>
    <w:p w14:paraId="4DF137D0" w14:textId="15289196" w:rsidR="00220E81" w:rsidRPr="001F3CEB" w:rsidRDefault="00B46241" w:rsidP="003C3651">
      <w:pPr>
        <w:spacing w:line="360" w:lineRule="auto"/>
        <w:rPr>
          <w:rFonts w:ascii="Segoe UI" w:hAnsi="Segoe UI" w:cs="Segoe UI"/>
          <w:b/>
          <w:color w:val="000000"/>
          <w:sz w:val="27"/>
          <w:szCs w:val="27"/>
        </w:rPr>
      </w:pPr>
      <w:r w:rsidRPr="001F3CEB">
        <w:rPr>
          <w:rFonts w:ascii="Segoe UI" w:hAnsi="Segoe UI" w:cs="Segoe UI"/>
          <w:b/>
          <w:color w:val="000000"/>
          <w:sz w:val="27"/>
          <w:szCs w:val="27"/>
        </w:rPr>
        <w:t xml:space="preserve">In </w:t>
      </w:r>
      <w:r w:rsidR="00FE1DAB" w:rsidRPr="001F3CEB">
        <w:rPr>
          <w:rFonts w:ascii="Segoe UI" w:hAnsi="Segoe UI" w:cs="Segoe UI"/>
          <w:b/>
          <w:color w:val="000000"/>
          <w:sz w:val="27"/>
          <w:szCs w:val="27"/>
        </w:rPr>
        <w:t>t</w:t>
      </w:r>
      <w:r w:rsidRPr="001F3CEB">
        <w:rPr>
          <w:rFonts w:ascii="Segoe UI" w:hAnsi="Segoe UI" w:cs="Segoe UI"/>
          <w:b/>
          <w:color w:val="000000"/>
          <w:sz w:val="27"/>
          <w:szCs w:val="27"/>
        </w:rPr>
        <w:t xml:space="preserve">he </w:t>
      </w:r>
      <w:r w:rsidR="00FE1DAB" w:rsidRPr="001F3CEB">
        <w:rPr>
          <w:rFonts w:ascii="Segoe UI" w:hAnsi="Segoe UI" w:cs="Segoe UI"/>
          <w:b/>
          <w:color w:val="000000"/>
          <w:sz w:val="27"/>
          <w:szCs w:val="27"/>
        </w:rPr>
        <w:t>m</w:t>
      </w:r>
      <w:r w:rsidRPr="001F3CEB">
        <w:rPr>
          <w:rFonts w:ascii="Segoe UI" w:hAnsi="Segoe UI" w:cs="Segoe UI"/>
          <w:b/>
          <w:color w:val="000000"/>
          <w:sz w:val="27"/>
          <w:szCs w:val="27"/>
        </w:rPr>
        <w:t xml:space="preserve">atter </w:t>
      </w:r>
      <w:r w:rsidR="00FE1DAB" w:rsidRPr="001F3CEB">
        <w:rPr>
          <w:rFonts w:ascii="Segoe UI" w:hAnsi="Segoe UI" w:cs="Segoe UI"/>
          <w:b/>
          <w:color w:val="000000"/>
          <w:sz w:val="27"/>
          <w:szCs w:val="27"/>
        </w:rPr>
        <w:t>b</w:t>
      </w:r>
      <w:r w:rsidRPr="001F3CEB">
        <w:rPr>
          <w:rFonts w:ascii="Segoe UI" w:hAnsi="Segoe UI" w:cs="Segoe UI"/>
          <w:b/>
          <w:color w:val="000000"/>
          <w:sz w:val="27"/>
          <w:szCs w:val="27"/>
        </w:rPr>
        <w:t xml:space="preserve">etween: </w:t>
      </w:r>
    </w:p>
    <w:p w14:paraId="69F38F38" w14:textId="6F239519" w:rsidR="00503807" w:rsidRDefault="00503807" w:rsidP="00503807">
      <w:pPr>
        <w:spacing w:line="360" w:lineRule="auto"/>
        <w:rPr>
          <w:rFonts w:ascii="Segoe UI" w:hAnsi="Segoe UI" w:cs="Segoe UI"/>
          <w:color w:val="000000"/>
          <w:sz w:val="27"/>
          <w:szCs w:val="27"/>
        </w:rPr>
      </w:pPr>
      <w:r>
        <w:rPr>
          <w:rFonts w:ascii="Segoe UI" w:hAnsi="Segoe UI" w:cs="Segoe UI"/>
          <w:color w:val="000000"/>
          <w:sz w:val="27"/>
          <w:szCs w:val="27"/>
        </w:rPr>
        <w:t xml:space="preserve">CNA OPERATIONS (PTY) LTD                                                   </w:t>
      </w:r>
      <w:r w:rsidR="003D0756">
        <w:rPr>
          <w:rFonts w:ascii="Segoe UI" w:hAnsi="Segoe UI" w:cs="Segoe UI"/>
          <w:color w:val="000000"/>
          <w:sz w:val="27"/>
          <w:szCs w:val="27"/>
        </w:rPr>
        <w:tab/>
      </w:r>
      <w:r w:rsidR="00F8310B">
        <w:rPr>
          <w:rFonts w:ascii="Segoe UI" w:hAnsi="Segoe UI" w:cs="Segoe UI"/>
          <w:color w:val="000000"/>
          <w:sz w:val="27"/>
          <w:szCs w:val="27"/>
        </w:rPr>
        <w:t xml:space="preserve">        </w:t>
      </w:r>
      <w:r>
        <w:rPr>
          <w:rFonts w:ascii="Segoe UI" w:hAnsi="Segoe UI" w:cs="Segoe UI"/>
          <w:color w:val="000000"/>
          <w:sz w:val="27"/>
          <w:szCs w:val="27"/>
        </w:rPr>
        <w:t>1</w:t>
      </w:r>
      <w:r>
        <w:rPr>
          <w:rFonts w:ascii="Segoe UI" w:hAnsi="Segoe UI" w:cs="Segoe UI"/>
          <w:color w:val="000000"/>
          <w:sz w:val="27"/>
          <w:szCs w:val="27"/>
          <w:vertAlign w:val="superscript"/>
        </w:rPr>
        <w:t xml:space="preserve">st </w:t>
      </w:r>
      <w:r w:rsidR="00FF5B77">
        <w:rPr>
          <w:rFonts w:ascii="Segoe UI" w:hAnsi="Segoe UI" w:cs="Segoe UI"/>
          <w:color w:val="000000"/>
          <w:sz w:val="27"/>
          <w:szCs w:val="27"/>
        </w:rPr>
        <w:t>Applicant</w:t>
      </w:r>
    </w:p>
    <w:p w14:paraId="3FCA3873" w14:textId="11864523" w:rsidR="00503807" w:rsidRDefault="00503807" w:rsidP="00503807">
      <w:pPr>
        <w:spacing w:line="360" w:lineRule="auto"/>
        <w:rPr>
          <w:rFonts w:ascii="Segoe UI" w:hAnsi="Segoe UI" w:cs="Segoe UI"/>
          <w:color w:val="000000"/>
          <w:sz w:val="27"/>
          <w:szCs w:val="27"/>
        </w:rPr>
      </w:pPr>
      <w:r>
        <w:rPr>
          <w:rFonts w:ascii="Segoe UI" w:hAnsi="Segoe UI" w:cs="Segoe UI"/>
          <w:color w:val="000000"/>
          <w:sz w:val="27"/>
          <w:szCs w:val="27"/>
        </w:rPr>
        <w:t xml:space="preserve">STEPHANUS MARTHINUS JOHANNES STEYN N.O              </w:t>
      </w:r>
      <w:r>
        <w:rPr>
          <w:rFonts w:ascii="Segoe UI" w:hAnsi="Segoe UI" w:cs="Segoe UI"/>
          <w:color w:val="000000"/>
          <w:sz w:val="27"/>
          <w:szCs w:val="27"/>
        </w:rPr>
        <w:tab/>
      </w:r>
      <w:r w:rsidR="003D0756">
        <w:rPr>
          <w:rFonts w:ascii="Segoe UI" w:hAnsi="Segoe UI" w:cs="Segoe UI"/>
          <w:color w:val="000000"/>
          <w:sz w:val="27"/>
          <w:szCs w:val="27"/>
        </w:rPr>
        <w:t xml:space="preserve">       </w:t>
      </w:r>
      <w:r>
        <w:rPr>
          <w:rFonts w:ascii="Segoe UI" w:hAnsi="Segoe UI" w:cs="Segoe UI"/>
          <w:color w:val="000000"/>
          <w:sz w:val="27"/>
          <w:szCs w:val="27"/>
        </w:rPr>
        <w:t>2</w:t>
      </w:r>
      <w:r>
        <w:rPr>
          <w:rFonts w:ascii="Segoe UI" w:hAnsi="Segoe UI" w:cs="Segoe UI"/>
          <w:color w:val="000000"/>
          <w:sz w:val="27"/>
          <w:szCs w:val="27"/>
          <w:vertAlign w:val="superscript"/>
        </w:rPr>
        <w:t xml:space="preserve">nd </w:t>
      </w:r>
      <w:r w:rsidR="00FF5B77">
        <w:rPr>
          <w:rFonts w:ascii="Segoe UI" w:hAnsi="Segoe UI" w:cs="Segoe UI"/>
          <w:color w:val="000000"/>
          <w:sz w:val="27"/>
          <w:szCs w:val="27"/>
        </w:rPr>
        <w:t>Applicant</w:t>
      </w:r>
    </w:p>
    <w:p w14:paraId="17A3FD2C" w14:textId="290AA096" w:rsidR="00503807" w:rsidRDefault="00503807" w:rsidP="00503807">
      <w:pPr>
        <w:spacing w:line="360" w:lineRule="auto"/>
        <w:rPr>
          <w:rFonts w:ascii="Segoe UI" w:hAnsi="Segoe UI" w:cs="Segoe UI"/>
          <w:color w:val="000000"/>
          <w:sz w:val="27"/>
          <w:szCs w:val="27"/>
        </w:rPr>
      </w:pPr>
      <w:r>
        <w:rPr>
          <w:rFonts w:ascii="Segoe UI" w:hAnsi="Segoe UI" w:cs="Segoe UI"/>
          <w:color w:val="000000"/>
          <w:sz w:val="27"/>
          <w:szCs w:val="27"/>
        </w:rPr>
        <w:t xml:space="preserve">DALLIE VAN DER MERWE N.O                                                </w:t>
      </w:r>
      <w:r w:rsidR="002260B9">
        <w:rPr>
          <w:rFonts w:ascii="Segoe UI" w:hAnsi="Segoe UI" w:cs="Segoe UI"/>
          <w:color w:val="000000"/>
          <w:sz w:val="27"/>
          <w:szCs w:val="27"/>
        </w:rPr>
        <w:t xml:space="preserve">        </w:t>
      </w:r>
      <w:r>
        <w:rPr>
          <w:rFonts w:ascii="Segoe UI" w:hAnsi="Segoe UI" w:cs="Segoe UI"/>
          <w:color w:val="000000"/>
          <w:sz w:val="27"/>
          <w:szCs w:val="27"/>
        </w:rPr>
        <w:t>3</w:t>
      </w:r>
      <w:r>
        <w:rPr>
          <w:rFonts w:ascii="Segoe UI" w:hAnsi="Segoe UI" w:cs="Segoe UI"/>
          <w:color w:val="000000"/>
          <w:sz w:val="27"/>
          <w:szCs w:val="27"/>
          <w:vertAlign w:val="superscript"/>
        </w:rPr>
        <w:t xml:space="preserve">rd </w:t>
      </w:r>
      <w:r w:rsidR="00187F33">
        <w:rPr>
          <w:rFonts w:ascii="Segoe UI" w:hAnsi="Segoe UI" w:cs="Segoe UI"/>
          <w:color w:val="000000"/>
          <w:sz w:val="27"/>
          <w:szCs w:val="27"/>
        </w:rPr>
        <w:t xml:space="preserve"> </w:t>
      </w:r>
      <w:r w:rsidR="007E6A77">
        <w:rPr>
          <w:rFonts w:ascii="Segoe UI" w:hAnsi="Segoe UI" w:cs="Segoe UI"/>
          <w:color w:val="000000"/>
          <w:sz w:val="27"/>
          <w:szCs w:val="27"/>
        </w:rPr>
        <w:t xml:space="preserve">Applicant </w:t>
      </w:r>
      <w:r>
        <w:rPr>
          <w:rFonts w:ascii="Segoe UI" w:hAnsi="Segoe UI" w:cs="Segoe UI"/>
          <w:color w:val="000000"/>
          <w:sz w:val="27"/>
          <w:szCs w:val="27"/>
        </w:rPr>
        <w:t xml:space="preserve">SOUTH AFRICAN COMMERCIAL, CATERING AND </w:t>
      </w:r>
    </w:p>
    <w:p w14:paraId="09344D31" w14:textId="15D08075" w:rsidR="00503807" w:rsidRDefault="00503807" w:rsidP="00187F33">
      <w:pPr>
        <w:spacing w:line="360" w:lineRule="auto"/>
        <w:rPr>
          <w:rFonts w:ascii="Segoe UI" w:hAnsi="Segoe UI" w:cs="Segoe UI"/>
          <w:color w:val="000000"/>
          <w:sz w:val="27"/>
          <w:szCs w:val="27"/>
        </w:rPr>
      </w:pPr>
      <w:r>
        <w:rPr>
          <w:rFonts w:ascii="Segoe UI" w:hAnsi="Segoe UI" w:cs="Segoe UI"/>
          <w:color w:val="000000"/>
          <w:sz w:val="27"/>
          <w:szCs w:val="27"/>
        </w:rPr>
        <w:t xml:space="preserve">ALLIED WORKERS UNION   </w:t>
      </w:r>
      <w:r>
        <w:rPr>
          <w:rFonts w:ascii="Segoe UI" w:hAnsi="Segoe UI" w:cs="Segoe UI"/>
          <w:color w:val="000000"/>
          <w:sz w:val="27"/>
          <w:szCs w:val="27"/>
        </w:rPr>
        <w:tab/>
      </w:r>
      <w:r>
        <w:rPr>
          <w:rFonts w:ascii="Segoe UI" w:hAnsi="Segoe UI" w:cs="Segoe UI"/>
          <w:color w:val="000000"/>
          <w:sz w:val="27"/>
          <w:szCs w:val="27"/>
        </w:rPr>
        <w:tab/>
      </w:r>
      <w:r>
        <w:rPr>
          <w:rFonts w:ascii="Segoe UI" w:hAnsi="Segoe UI" w:cs="Segoe UI"/>
          <w:color w:val="000000"/>
          <w:sz w:val="27"/>
          <w:szCs w:val="27"/>
        </w:rPr>
        <w:tab/>
      </w:r>
      <w:r>
        <w:rPr>
          <w:rFonts w:ascii="Segoe UI" w:hAnsi="Segoe UI" w:cs="Segoe UI"/>
          <w:color w:val="000000"/>
          <w:sz w:val="27"/>
          <w:szCs w:val="27"/>
        </w:rPr>
        <w:tab/>
      </w:r>
      <w:r>
        <w:rPr>
          <w:rFonts w:ascii="Segoe UI" w:hAnsi="Segoe UI" w:cs="Segoe UI"/>
          <w:color w:val="000000"/>
          <w:sz w:val="27"/>
          <w:szCs w:val="27"/>
        </w:rPr>
        <w:tab/>
      </w:r>
      <w:r>
        <w:rPr>
          <w:rFonts w:ascii="Segoe UI" w:hAnsi="Segoe UI" w:cs="Segoe UI"/>
          <w:color w:val="000000"/>
          <w:sz w:val="27"/>
          <w:szCs w:val="27"/>
        </w:rPr>
        <w:tab/>
      </w:r>
      <w:r w:rsidR="006024C5">
        <w:rPr>
          <w:rFonts w:ascii="Segoe UI" w:hAnsi="Segoe UI" w:cs="Segoe UI"/>
          <w:color w:val="000000"/>
          <w:sz w:val="27"/>
          <w:szCs w:val="27"/>
        </w:rPr>
        <w:t xml:space="preserve">       </w:t>
      </w:r>
      <w:r>
        <w:rPr>
          <w:rFonts w:ascii="Segoe UI" w:hAnsi="Segoe UI" w:cs="Segoe UI"/>
          <w:color w:val="000000"/>
          <w:sz w:val="27"/>
          <w:szCs w:val="27"/>
        </w:rPr>
        <w:t>4</w:t>
      </w:r>
      <w:r>
        <w:rPr>
          <w:rFonts w:ascii="Segoe UI" w:hAnsi="Segoe UI" w:cs="Segoe UI"/>
          <w:color w:val="000000"/>
          <w:sz w:val="27"/>
          <w:szCs w:val="27"/>
          <w:vertAlign w:val="superscript"/>
        </w:rPr>
        <w:t xml:space="preserve">th </w:t>
      </w:r>
      <w:r w:rsidR="00187F33">
        <w:rPr>
          <w:rFonts w:ascii="Segoe UI" w:hAnsi="Segoe UI" w:cs="Segoe UI"/>
          <w:color w:val="000000"/>
          <w:sz w:val="27"/>
          <w:szCs w:val="27"/>
        </w:rPr>
        <w:t>Applicant</w:t>
      </w:r>
    </w:p>
    <w:p w14:paraId="3681F9DD" w14:textId="2240EA5E" w:rsidR="00503807" w:rsidRDefault="00503807" w:rsidP="00C656ED">
      <w:pPr>
        <w:spacing w:line="360" w:lineRule="auto"/>
        <w:rPr>
          <w:rFonts w:ascii="Segoe UI" w:hAnsi="Segoe UI" w:cs="Segoe UI"/>
          <w:color w:val="000000"/>
          <w:sz w:val="27"/>
          <w:szCs w:val="27"/>
        </w:rPr>
      </w:pPr>
      <w:r>
        <w:rPr>
          <w:rFonts w:ascii="Segoe UI" w:hAnsi="Segoe UI" w:cs="Segoe UI"/>
          <w:color w:val="000000"/>
          <w:sz w:val="27"/>
          <w:szCs w:val="27"/>
        </w:rPr>
        <w:t xml:space="preserve">JOHANNES CHRISTIAAN BOTHA                                           </w:t>
      </w:r>
      <w:r>
        <w:rPr>
          <w:rFonts w:ascii="Segoe UI" w:hAnsi="Segoe UI" w:cs="Segoe UI"/>
          <w:color w:val="000000"/>
          <w:sz w:val="27"/>
          <w:szCs w:val="27"/>
        </w:rPr>
        <w:tab/>
      </w:r>
      <w:r w:rsidR="006024C5">
        <w:rPr>
          <w:rFonts w:ascii="Segoe UI" w:hAnsi="Segoe UI" w:cs="Segoe UI"/>
          <w:color w:val="000000"/>
          <w:sz w:val="27"/>
          <w:szCs w:val="27"/>
        </w:rPr>
        <w:t xml:space="preserve">       </w:t>
      </w:r>
      <w:r>
        <w:rPr>
          <w:rFonts w:ascii="Segoe UI" w:hAnsi="Segoe UI" w:cs="Segoe UI"/>
          <w:color w:val="000000"/>
          <w:sz w:val="27"/>
          <w:szCs w:val="27"/>
        </w:rPr>
        <w:t>5</w:t>
      </w:r>
      <w:r>
        <w:rPr>
          <w:rFonts w:ascii="Segoe UI" w:hAnsi="Segoe UI" w:cs="Segoe UI"/>
          <w:color w:val="000000"/>
          <w:sz w:val="27"/>
          <w:szCs w:val="27"/>
          <w:vertAlign w:val="superscript"/>
        </w:rPr>
        <w:t xml:space="preserve">th </w:t>
      </w:r>
      <w:r w:rsidR="00C656ED">
        <w:rPr>
          <w:rFonts w:ascii="Segoe UI" w:hAnsi="Segoe UI" w:cs="Segoe UI"/>
          <w:color w:val="000000"/>
          <w:sz w:val="27"/>
          <w:szCs w:val="27"/>
        </w:rPr>
        <w:t>Applicant</w:t>
      </w:r>
    </w:p>
    <w:p w14:paraId="335B5B71" w14:textId="15EDBC85" w:rsidR="00503807" w:rsidRDefault="00503807" w:rsidP="00711865">
      <w:pPr>
        <w:spacing w:line="360" w:lineRule="auto"/>
        <w:rPr>
          <w:rFonts w:ascii="Segoe UI" w:hAnsi="Segoe UI" w:cs="Segoe UI"/>
          <w:color w:val="000000"/>
          <w:sz w:val="27"/>
          <w:szCs w:val="27"/>
        </w:rPr>
      </w:pPr>
      <w:r>
        <w:rPr>
          <w:rFonts w:ascii="Segoe UI" w:hAnsi="Segoe UI" w:cs="Segoe UI"/>
          <w:color w:val="000000"/>
          <w:sz w:val="27"/>
          <w:szCs w:val="27"/>
        </w:rPr>
        <w:lastRenderedPageBreak/>
        <w:t>REDEFINE PROPERTIES LTD</w:t>
      </w:r>
      <w:r>
        <w:rPr>
          <w:rFonts w:ascii="Segoe UI" w:hAnsi="Segoe UI" w:cs="Segoe UI"/>
          <w:color w:val="000000"/>
          <w:sz w:val="27"/>
          <w:szCs w:val="27"/>
        </w:rPr>
        <w:tab/>
      </w:r>
      <w:r>
        <w:rPr>
          <w:rFonts w:ascii="Segoe UI" w:hAnsi="Segoe UI" w:cs="Segoe UI"/>
          <w:color w:val="000000"/>
          <w:sz w:val="27"/>
          <w:szCs w:val="27"/>
        </w:rPr>
        <w:tab/>
      </w:r>
      <w:r>
        <w:rPr>
          <w:rFonts w:ascii="Segoe UI" w:hAnsi="Segoe UI" w:cs="Segoe UI"/>
          <w:color w:val="000000"/>
          <w:sz w:val="27"/>
          <w:szCs w:val="27"/>
        </w:rPr>
        <w:tab/>
      </w:r>
      <w:r>
        <w:rPr>
          <w:rFonts w:ascii="Segoe UI" w:hAnsi="Segoe UI" w:cs="Segoe UI"/>
          <w:color w:val="000000"/>
          <w:sz w:val="27"/>
          <w:szCs w:val="27"/>
        </w:rPr>
        <w:tab/>
      </w:r>
      <w:r>
        <w:rPr>
          <w:rFonts w:ascii="Segoe UI" w:hAnsi="Segoe UI" w:cs="Segoe UI"/>
          <w:color w:val="000000"/>
          <w:sz w:val="27"/>
          <w:szCs w:val="27"/>
        </w:rPr>
        <w:tab/>
      </w:r>
      <w:r>
        <w:rPr>
          <w:rFonts w:ascii="Segoe UI" w:hAnsi="Segoe UI" w:cs="Segoe UI"/>
          <w:color w:val="000000"/>
          <w:sz w:val="27"/>
          <w:szCs w:val="27"/>
        </w:rPr>
        <w:tab/>
        <w:t xml:space="preserve"> </w:t>
      </w:r>
      <w:r w:rsidR="009830EE">
        <w:rPr>
          <w:rFonts w:ascii="Segoe UI" w:hAnsi="Segoe UI" w:cs="Segoe UI"/>
          <w:color w:val="000000"/>
          <w:sz w:val="27"/>
          <w:szCs w:val="27"/>
        </w:rPr>
        <w:t xml:space="preserve">      </w:t>
      </w:r>
      <w:r>
        <w:rPr>
          <w:rFonts w:ascii="Segoe UI" w:hAnsi="Segoe UI" w:cs="Segoe UI"/>
          <w:color w:val="000000"/>
          <w:sz w:val="27"/>
          <w:szCs w:val="27"/>
        </w:rPr>
        <w:t>6</w:t>
      </w:r>
      <w:r>
        <w:rPr>
          <w:rFonts w:ascii="Segoe UI" w:hAnsi="Segoe UI" w:cs="Segoe UI"/>
          <w:color w:val="000000"/>
          <w:sz w:val="27"/>
          <w:szCs w:val="27"/>
          <w:vertAlign w:val="superscript"/>
        </w:rPr>
        <w:t xml:space="preserve">th </w:t>
      </w:r>
      <w:r w:rsidR="00711865">
        <w:rPr>
          <w:rFonts w:ascii="Segoe UI" w:hAnsi="Segoe UI" w:cs="Segoe UI"/>
          <w:color w:val="000000"/>
          <w:sz w:val="27"/>
          <w:szCs w:val="27"/>
        </w:rPr>
        <w:t>Applicant</w:t>
      </w:r>
    </w:p>
    <w:p w14:paraId="1C801BE2" w14:textId="330F7D67" w:rsidR="003C3651" w:rsidRPr="00606DD3" w:rsidRDefault="00606DD3" w:rsidP="003C3651">
      <w:pPr>
        <w:spacing w:line="360" w:lineRule="auto"/>
        <w:rPr>
          <w:rFonts w:ascii="Segoe UI" w:hAnsi="Segoe UI" w:cs="Segoe UI"/>
          <w:color w:val="000000"/>
          <w:sz w:val="27"/>
          <w:szCs w:val="27"/>
        </w:rPr>
      </w:pPr>
      <w:r>
        <w:rPr>
          <w:rFonts w:ascii="Segoe UI" w:hAnsi="Segoe UI" w:cs="Segoe UI"/>
          <w:color w:val="000000"/>
          <w:sz w:val="27"/>
          <w:szCs w:val="27"/>
        </w:rPr>
        <w:t xml:space="preserve">and </w:t>
      </w:r>
    </w:p>
    <w:p w14:paraId="51C25B8B" w14:textId="48AF44B2" w:rsidR="00982F09" w:rsidRDefault="00982F09" w:rsidP="00982F09">
      <w:pPr>
        <w:spacing w:line="360" w:lineRule="auto"/>
        <w:rPr>
          <w:rFonts w:ascii="Segoe UI" w:hAnsi="Segoe UI" w:cs="Segoe UI"/>
          <w:color w:val="000000"/>
          <w:sz w:val="27"/>
          <w:szCs w:val="27"/>
        </w:rPr>
      </w:pPr>
      <w:r>
        <w:rPr>
          <w:rFonts w:ascii="Segoe UI" w:hAnsi="Segoe UI" w:cs="Segoe UI"/>
          <w:color w:val="000000"/>
          <w:sz w:val="27"/>
          <w:szCs w:val="27"/>
        </w:rPr>
        <w:t>ANGLOWEALTH SHARIA (PTY) LTD</w:t>
      </w:r>
      <w:r>
        <w:rPr>
          <w:rFonts w:ascii="Segoe UI" w:hAnsi="Segoe UI" w:cs="Segoe UI"/>
          <w:color w:val="000000"/>
          <w:sz w:val="27"/>
          <w:szCs w:val="27"/>
        </w:rPr>
        <w:tab/>
      </w:r>
      <w:r>
        <w:rPr>
          <w:rFonts w:ascii="Segoe UI" w:hAnsi="Segoe UI" w:cs="Segoe UI"/>
          <w:color w:val="000000"/>
          <w:sz w:val="27"/>
          <w:szCs w:val="27"/>
        </w:rPr>
        <w:tab/>
      </w:r>
      <w:r>
        <w:rPr>
          <w:rFonts w:ascii="Segoe UI" w:hAnsi="Segoe UI" w:cs="Segoe UI"/>
          <w:color w:val="000000"/>
          <w:sz w:val="27"/>
          <w:szCs w:val="27"/>
        </w:rPr>
        <w:tab/>
        <w:t xml:space="preserve">       </w:t>
      </w:r>
      <w:r>
        <w:rPr>
          <w:rFonts w:ascii="Segoe UI" w:hAnsi="Segoe UI" w:cs="Segoe UI"/>
          <w:color w:val="000000"/>
          <w:sz w:val="27"/>
          <w:szCs w:val="27"/>
        </w:rPr>
        <w:tab/>
      </w:r>
      <w:r>
        <w:rPr>
          <w:rFonts w:ascii="Segoe UI" w:hAnsi="Segoe UI" w:cs="Segoe UI"/>
          <w:color w:val="000000"/>
          <w:sz w:val="27"/>
          <w:szCs w:val="27"/>
        </w:rPr>
        <w:tab/>
      </w:r>
      <w:r w:rsidR="00EC6E4E">
        <w:rPr>
          <w:rFonts w:ascii="Segoe UI" w:hAnsi="Segoe UI" w:cs="Segoe UI"/>
          <w:color w:val="000000"/>
          <w:sz w:val="27"/>
          <w:szCs w:val="27"/>
        </w:rPr>
        <w:t xml:space="preserve">   </w:t>
      </w:r>
      <w:r>
        <w:rPr>
          <w:rFonts w:ascii="Segoe UI" w:hAnsi="Segoe UI" w:cs="Segoe UI"/>
          <w:color w:val="000000"/>
          <w:sz w:val="27"/>
          <w:szCs w:val="27"/>
        </w:rPr>
        <w:t>1</w:t>
      </w:r>
      <w:r>
        <w:rPr>
          <w:rFonts w:ascii="Segoe UI" w:hAnsi="Segoe UI" w:cs="Segoe UI"/>
          <w:color w:val="000000"/>
          <w:sz w:val="27"/>
          <w:szCs w:val="27"/>
          <w:vertAlign w:val="superscript"/>
        </w:rPr>
        <w:t xml:space="preserve">st </w:t>
      </w:r>
      <w:r w:rsidR="00806D23">
        <w:rPr>
          <w:rFonts w:ascii="Segoe UI" w:hAnsi="Segoe UI" w:cs="Segoe UI"/>
          <w:color w:val="000000"/>
          <w:sz w:val="27"/>
          <w:szCs w:val="27"/>
        </w:rPr>
        <w:t>Respondent</w:t>
      </w:r>
    </w:p>
    <w:p w14:paraId="62D0DAF2" w14:textId="290AC301" w:rsidR="00982F09" w:rsidRDefault="00982F09" w:rsidP="00982F09">
      <w:pPr>
        <w:spacing w:line="360" w:lineRule="auto"/>
        <w:rPr>
          <w:rFonts w:ascii="Segoe UI" w:hAnsi="Segoe UI" w:cs="Segoe UI"/>
          <w:color w:val="000000"/>
          <w:sz w:val="27"/>
          <w:szCs w:val="27"/>
        </w:rPr>
      </w:pPr>
      <w:r>
        <w:rPr>
          <w:rFonts w:ascii="Segoe UI" w:hAnsi="Segoe UI" w:cs="Segoe UI"/>
          <w:color w:val="000000"/>
          <w:sz w:val="27"/>
          <w:szCs w:val="27"/>
        </w:rPr>
        <w:t>TASHYA GIYAPERSAD, N.O</w:t>
      </w:r>
      <w:r>
        <w:rPr>
          <w:rFonts w:ascii="Segoe UI" w:hAnsi="Segoe UI" w:cs="Segoe UI"/>
          <w:color w:val="000000"/>
          <w:sz w:val="27"/>
          <w:szCs w:val="27"/>
        </w:rPr>
        <w:tab/>
      </w:r>
      <w:r>
        <w:rPr>
          <w:rFonts w:ascii="Segoe UI" w:hAnsi="Segoe UI" w:cs="Segoe UI"/>
          <w:color w:val="000000"/>
          <w:sz w:val="27"/>
          <w:szCs w:val="27"/>
        </w:rPr>
        <w:tab/>
      </w:r>
      <w:r>
        <w:rPr>
          <w:rFonts w:ascii="Segoe UI" w:hAnsi="Segoe UI" w:cs="Segoe UI"/>
          <w:color w:val="000000"/>
          <w:sz w:val="27"/>
          <w:szCs w:val="27"/>
        </w:rPr>
        <w:tab/>
      </w:r>
      <w:r>
        <w:rPr>
          <w:rFonts w:ascii="Segoe UI" w:hAnsi="Segoe UI" w:cs="Segoe UI"/>
          <w:color w:val="000000"/>
          <w:sz w:val="27"/>
          <w:szCs w:val="27"/>
        </w:rPr>
        <w:tab/>
      </w:r>
      <w:r>
        <w:rPr>
          <w:rFonts w:ascii="Segoe UI" w:hAnsi="Segoe UI" w:cs="Segoe UI"/>
          <w:color w:val="000000"/>
          <w:sz w:val="27"/>
          <w:szCs w:val="27"/>
        </w:rPr>
        <w:tab/>
        <w:t xml:space="preserve">        </w:t>
      </w:r>
      <w:r>
        <w:rPr>
          <w:rFonts w:ascii="Segoe UI" w:hAnsi="Segoe UI" w:cs="Segoe UI"/>
          <w:color w:val="000000"/>
          <w:sz w:val="27"/>
          <w:szCs w:val="27"/>
        </w:rPr>
        <w:tab/>
      </w:r>
      <w:r w:rsidR="00EC6E4E">
        <w:rPr>
          <w:rFonts w:ascii="Segoe UI" w:hAnsi="Segoe UI" w:cs="Segoe UI"/>
          <w:color w:val="000000"/>
          <w:sz w:val="27"/>
          <w:szCs w:val="27"/>
        </w:rPr>
        <w:t xml:space="preserve">  </w:t>
      </w:r>
      <w:r>
        <w:rPr>
          <w:rFonts w:ascii="Segoe UI" w:hAnsi="Segoe UI" w:cs="Segoe UI"/>
          <w:color w:val="000000"/>
          <w:sz w:val="27"/>
          <w:szCs w:val="27"/>
        </w:rPr>
        <w:t>2</w:t>
      </w:r>
      <w:r>
        <w:rPr>
          <w:rFonts w:ascii="Segoe UI" w:hAnsi="Segoe UI" w:cs="Segoe UI"/>
          <w:color w:val="000000"/>
          <w:sz w:val="27"/>
          <w:szCs w:val="27"/>
          <w:vertAlign w:val="superscript"/>
        </w:rPr>
        <w:t xml:space="preserve">nd </w:t>
      </w:r>
      <w:r w:rsidR="00806D23">
        <w:rPr>
          <w:rFonts w:ascii="Segoe UI" w:hAnsi="Segoe UI" w:cs="Segoe UI"/>
          <w:color w:val="000000"/>
          <w:sz w:val="27"/>
          <w:szCs w:val="27"/>
        </w:rPr>
        <w:t xml:space="preserve">Respondent </w:t>
      </w:r>
      <w:r>
        <w:rPr>
          <w:rFonts w:ascii="Segoe UI" w:hAnsi="Segoe UI" w:cs="Segoe UI"/>
          <w:color w:val="000000"/>
          <w:sz w:val="27"/>
          <w:szCs w:val="27"/>
        </w:rPr>
        <w:t>SIMI MAHARAJ, N.O</w:t>
      </w:r>
      <w:r>
        <w:rPr>
          <w:rFonts w:ascii="Segoe UI" w:hAnsi="Segoe UI" w:cs="Segoe UI"/>
          <w:color w:val="000000"/>
          <w:sz w:val="27"/>
          <w:szCs w:val="27"/>
        </w:rPr>
        <w:tab/>
      </w:r>
      <w:r>
        <w:rPr>
          <w:rFonts w:ascii="Segoe UI" w:hAnsi="Segoe UI" w:cs="Segoe UI"/>
          <w:color w:val="000000"/>
          <w:sz w:val="27"/>
          <w:szCs w:val="27"/>
        </w:rPr>
        <w:tab/>
        <w:t xml:space="preserve">                                               </w:t>
      </w:r>
      <w:r>
        <w:rPr>
          <w:rFonts w:ascii="Segoe UI" w:hAnsi="Segoe UI" w:cs="Segoe UI"/>
          <w:color w:val="000000"/>
          <w:sz w:val="27"/>
          <w:szCs w:val="27"/>
        </w:rPr>
        <w:tab/>
      </w:r>
      <w:r w:rsidR="00EC6E4E">
        <w:rPr>
          <w:rFonts w:ascii="Segoe UI" w:hAnsi="Segoe UI" w:cs="Segoe UI"/>
          <w:color w:val="000000"/>
          <w:sz w:val="27"/>
          <w:szCs w:val="27"/>
        </w:rPr>
        <w:t xml:space="preserve">  </w:t>
      </w:r>
      <w:r>
        <w:rPr>
          <w:rFonts w:ascii="Segoe UI" w:hAnsi="Segoe UI" w:cs="Segoe UI"/>
          <w:color w:val="000000"/>
          <w:sz w:val="27"/>
          <w:szCs w:val="27"/>
        </w:rPr>
        <w:t>3</w:t>
      </w:r>
      <w:r>
        <w:rPr>
          <w:rFonts w:ascii="Segoe UI" w:hAnsi="Segoe UI" w:cs="Segoe UI"/>
          <w:color w:val="000000"/>
          <w:sz w:val="27"/>
          <w:szCs w:val="27"/>
          <w:vertAlign w:val="superscript"/>
        </w:rPr>
        <w:t xml:space="preserve">rd </w:t>
      </w:r>
      <w:r w:rsidR="00BF6341">
        <w:rPr>
          <w:rFonts w:ascii="Segoe UI" w:hAnsi="Segoe UI" w:cs="Segoe UI"/>
          <w:color w:val="000000"/>
          <w:sz w:val="27"/>
          <w:szCs w:val="27"/>
        </w:rPr>
        <w:t>Respondent</w:t>
      </w:r>
    </w:p>
    <w:p w14:paraId="73504735" w14:textId="7358786E" w:rsidR="00D509C5" w:rsidRDefault="00982F09" w:rsidP="00D509C5">
      <w:pPr>
        <w:spacing w:line="360" w:lineRule="auto"/>
        <w:rPr>
          <w:rFonts w:ascii="Segoe UI" w:hAnsi="Segoe UI" w:cs="Segoe UI"/>
          <w:color w:val="000000"/>
          <w:sz w:val="27"/>
          <w:szCs w:val="27"/>
        </w:rPr>
      </w:pPr>
      <w:r>
        <w:rPr>
          <w:rFonts w:ascii="Segoe UI" w:hAnsi="Segoe UI" w:cs="Segoe UI"/>
          <w:color w:val="000000"/>
          <w:sz w:val="27"/>
          <w:szCs w:val="27"/>
        </w:rPr>
        <w:t xml:space="preserve">DR KENNETH MOODLEY, N.O                                             </w:t>
      </w:r>
      <w:r>
        <w:rPr>
          <w:rFonts w:ascii="Segoe UI" w:hAnsi="Segoe UI" w:cs="Segoe UI"/>
          <w:color w:val="000000"/>
          <w:sz w:val="27"/>
          <w:szCs w:val="27"/>
        </w:rPr>
        <w:tab/>
      </w:r>
      <w:r w:rsidR="006F5E31">
        <w:rPr>
          <w:rFonts w:ascii="Segoe UI" w:hAnsi="Segoe UI" w:cs="Segoe UI"/>
          <w:color w:val="000000"/>
          <w:sz w:val="27"/>
          <w:szCs w:val="27"/>
        </w:rPr>
        <w:t xml:space="preserve">  </w:t>
      </w:r>
      <w:r>
        <w:rPr>
          <w:rFonts w:ascii="Segoe UI" w:hAnsi="Segoe UI" w:cs="Segoe UI"/>
          <w:color w:val="000000"/>
          <w:sz w:val="27"/>
          <w:szCs w:val="27"/>
        </w:rPr>
        <w:t>4</w:t>
      </w:r>
      <w:r w:rsidR="00D509C5">
        <w:rPr>
          <w:rFonts w:ascii="Segoe UI" w:hAnsi="Segoe UI" w:cs="Segoe UI"/>
          <w:color w:val="000000"/>
          <w:sz w:val="27"/>
          <w:szCs w:val="27"/>
          <w:vertAlign w:val="superscript"/>
        </w:rPr>
        <w:t xml:space="preserve">th </w:t>
      </w:r>
      <w:r w:rsidR="002774B8">
        <w:rPr>
          <w:rFonts w:ascii="Segoe UI" w:hAnsi="Segoe UI" w:cs="Segoe UI"/>
          <w:color w:val="000000"/>
          <w:sz w:val="27"/>
          <w:szCs w:val="27"/>
        </w:rPr>
        <w:t>Respondent</w:t>
      </w:r>
    </w:p>
    <w:p w14:paraId="12155B18" w14:textId="77777777" w:rsidR="00982F09" w:rsidRDefault="00982F09" w:rsidP="00982F09">
      <w:pPr>
        <w:spacing w:line="360" w:lineRule="auto"/>
        <w:rPr>
          <w:rFonts w:ascii="Segoe UI" w:hAnsi="Segoe UI" w:cs="Segoe UI"/>
          <w:color w:val="000000"/>
          <w:sz w:val="27"/>
          <w:szCs w:val="27"/>
        </w:rPr>
      </w:pPr>
      <w:r>
        <w:rPr>
          <w:rFonts w:ascii="Segoe UI" w:hAnsi="Segoe UI" w:cs="Segoe UI"/>
          <w:color w:val="000000"/>
          <w:sz w:val="27"/>
          <w:szCs w:val="27"/>
        </w:rPr>
        <w:t xml:space="preserve">COMPANIES AND INTELLECTUAL </w:t>
      </w:r>
    </w:p>
    <w:p w14:paraId="15B1922A" w14:textId="2F81834C" w:rsidR="009C5019" w:rsidRDefault="00982F09" w:rsidP="009C5019">
      <w:pPr>
        <w:spacing w:line="360" w:lineRule="auto"/>
        <w:rPr>
          <w:rFonts w:ascii="Segoe UI" w:hAnsi="Segoe UI" w:cs="Segoe UI"/>
          <w:color w:val="000000"/>
          <w:sz w:val="27"/>
          <w:szCs w:val="27"/>
        </w:rPr>
      </w:pPr>
      <w:r>
        <w:rPr>
          <w:rFonts w:ascii="Segoe UI" w:hAnsi="Segoe UI" w:cs="Segoe UI"/>
          <w:color w:val="000000"/>
          <w:sz w:val="27"/>
          <w:szCs w:val="27"/>
        </w:rPr>
        <w:t>PROPERTY COMMISSION</w:t>
      </w:r>
      <w:r>
        <w:rPr>
          <w:rFonts w:ascii="Segoe UI" w:hAnsi="Segoe UI" w:cs="Segoe UI"/>
          <w:color w:val="000000"/>
          <w:sz w:val="27"/>
          <w:szCs w:val="27"/>
        </w:rPr>
        <w:tab/>
      </w:r>
      <w:r>
        <w:rPr>
          <w:rFonts w:ascii="Segoe UI" w:hAnsi="Segoe UI" w:cs="Segoe UI"/>
          <w:color w:val="000000"/>
          <w:sz w:val="27"/>
          <w:szCs w:val="27"/>
        </w:rPr>
        <w:tab/>
      </w:r>
      <w:r>
        <w:rPr>
          <w:rFonts w:ascii="Segoe UI" w:hAnsi="Segoe UI" w:cs="Segoe UI"/>
          <w:color w:val="000000"/>
          <w:sz w:val="27"/>
          <w:szCs w:val="27"/>
        </w:rPr>
        <w:tab/>
      </w:r>
      <w:r>
        <w:rPr>
          <w:rFonts w:ascii="Segoe UI" w:hAnsi="Segoe UI" w:cs="Segoe UI"/>
          <w:color w:val="000000"/>
          <w:sz w:val="27"/>
          <w:szCs w:val="27"/>
        </w:rPr>
        <w:tab/>
      </w:r>
      <w:r>
        <w:rPr>
          <w:rFonts w:ascii="Segoe UI" w:hAnsi="Segoe UI" w:cs="Segoe UI"/>
          <w:color w:val="000000"/>
          <w:sz w:val="27"/>
          <w:szCs w:val="27"/>
        </w:rPr>
        <w:tab/>
        <w:t xml:space="preserve">       </w:t>
      </w:r>
      <w:r>
        <w:rPr>
          <w:rFonts w:ascii="Segoe UI" w:hAnsi="Segoe UI" w:cs="Segoe UI"/>
          <w:color w:val="000000"/>
          <w:sz w:val="27"/>
          <w:szCs w:val="27"/>
        </w:rPr>
        <w:tab/>
      </w:r>
      <w:r w:rsidR="006F5E31">
        <w:rPr>
          <w:rFonts w:ascii="Segoe UI" w:hAnsi="Segoe UI" w:cs="Segoe UI"/>
          <w:color w:val="000000"/>
          <w:sz w:val="27"/>
          <w:szCs w:val="27"/>
        </w:rPr>
        <w:t xml:space="preserve">  </w:t>
      </w:r>
      <w:r>
        <w:rPr>
          <w:rFonts w:ascii="Segoe UI" w:hAnsi="Segoe UI" w:cs="Segoe UI"/>
          <w:color w:val="000000"/>
          <w:sz w:val="27"/>
          <w:szCs w:val="27"/>
        </w:rPr>
        <w:t>5</w:t>
      </w:r>
      <w:r w:rsidR="009C5019">
        <w:rPr>
          <w:rFonts w:ascii="Segoe UI" w:hAnsi="Segoe UI" w:cs="Segoe UI"/>
          <w:color w:val="000000"/>
          <w:sz w:val="27"/>
          <w:szCs w:val="27"/>
          <w:vertAlign w:val="superscript"/>
        </w:rPr>
        <w:t xml:space="preserve">th </w:t>
      </w:r>
      <w:r w:rsidR="00974724">
        <w:rPr>
          <w:rFonts w:ascii="Segoe UI" w:hAnsi="Segoe UI" w:cs="Segoe UI"/>
          <w:color w:val="000000"/>
          <w:sz w:val="27"/>
          <w:szCs w:val="27"/>
        </w:rPr>
        <w:t>Respondent</w:t>
      </w:r>
    </w:p>
    <w:p w14:paraId="1E24FE26" w14:textId="6ED60A88" w:rsidR="00CB4B78" w:rsidRDefault="00C62E2F" w:rsidP="00DA6E2B">
      <w:pPr>
        <w:pStyle w:val="IntenseQuote"/>
        <w:rPr>
          <w:rFonts w:ascii="Arial" w:hAnsi="Arial" w:cs="Arial"/>
          <w:b/>
          <w:sz w:val="28"/>
          <w:szCs w:val="28"/>
        </w:rPr>
      </w:pPr>
      <w:r>
        <w:rPr>
          <w:rFonts w:ascii="Segoe UI" w:hAnsi="Segoe UI" w:cs="Segoe UI"/>
          <w:color w:val="000000"/>
          <w:sz w:val="27"/>
          <w:szCs w:val="27"/>
        </w:rPr>
        <w:t xml:space="preserve"> </w:t>
      </w:r>
      <w:r w:rsidR="003C3651" w:rsidRPr="003C3651">
        <w:rPr>
          <w:rFonts w:ascii="Arial" w:hAnsi="Arial" w:cs="Arial"/>
          <w:b/>
          <w:sz w:val="28"/>
          <w:szCs w:val="28"/>
        </w:rPr>
        <w:t>JUDGMENT – LEAVE TO A</w:t>
      </w:r>
      <w:r w:rsidR="00AE558E">
        <w:rPr>
          <w:rFonts w:ascii="Arial" w:hAnsi="Arial" w:cs="Arial"/>
          <w:b/>
          <w:sz w:val="28"/>
          <w:szCs w:val="28"/>
        </w:rPr>
        <w:t>P</w:t>
      </w:r>
      <w:r w:rsidR="003C3651" w:rsidRPr="003C3651">
        <w:rPr>
          <w:rFonts w:ascii="Arial" w:hAnsi="Arial" w:cs="Arial"/>
          <w:b/>
          <w:sz w:val="28"/>
          <w:szCs w:val="28"/>
        </w:rPr>
        <w:t xml:space="preserve">PEAL AND </w:t>
      </w:r>
    </w:p>
    <w:p w14:paraId="7A81A569" w14:textId="40447ABA" w:rsidR="003C3651" w:rsidRPr="003C3651" w:rsidRDefault="003C3651" w:rsidP="00DA6E2B">
      <w:pPr>
        <w:pStyle w:val="IntenseQuote"/>
        <w:rPr>
          <w:rFonts w:ascii="Arial" w:hAnsi="Arial" w:cs="Arial"/>
          <w:b/>
          <w:color w:val="auto"/>
          <w:sz w:val="28"/>
          <w:szCs w:val="28"/>
        </w:rPr>
      </w:pPr>
      <w:r w:rsidRPr="003C3651">
        <w:rPr>
          <w:rFonts w:ascii="Arial" w:hAnsi="Arial" w:cs="Arial"/>
          <w:b/>
          <w:sz w:val="28"/>
          <w:szCs w:val="28"/>
        </w:rPr>
        <w:t>SECTION 18 APPLICATION</w:t>
      </w:r>
    </w:p>
    <w:p w14:paraId="5AB39D29" w14:textId="77777777" w:rsidR="003C3651" w:rsidRDefault="003C3651" w:rsidP="003C3651">
      <w:pPr>
        <w:spacing w:line="360" w:lineRule="auto"/>
        <w:ind w:left="360" w:hanging="360"/>
        <w:rPr>
          <w:rFonts w:ascii="Segoe UI" w:hAnsi="Segoe UI" w:cs="Segoe UI"/>
          <w:b/>
          <w:color w:val="000000"/>
          <w:sz w:val="27"/>
          <w:szCs w:val="27"/>
        </w:rPr>
      </w:pPr>
      <w:r>
        <w:rPr>
          <w:rFonts w:ascii="Segoe UI" w:hAnsi="Segoe UI" w:cs="Segoe UI"/>
          <w:color w:val="000000"/>
          <w:sz w:val="27"/>
          <w:szCs w:val="27"/>
          <w:lang w:val="en-US"/>
        </w:rPr>
        <w:t xml:space="preserve"> </w:t>
      </w:r>
      <w:r>
        <w:rPr>
          <w:rFonts w:ascii="Segoe UI" w:hAnsi="Segoe UI" w:cs="Segoe UI"/>
          <w:b/>
          <w:color w:val="000000"/>
          <w:sz w:val="27"/>
          <w:szCs w:val="27"/>
        </w:rPr>
        <w:t xml:space="preserve">MANOIM J </w:t>
      </w:r>
    </w:p>
    <w:p w14:paraId="79489642" w14:textId="7C4CEFD4" w:rsidR="00FF37AE" w:rsidRPr="00FF37AE" w:rsidRDefault="00FF37AE" w:rsidP="00FF37AE">
      <w:pPr>
        <w:pStyle w:val="ListParagraph"/>
        <w:spacing w:line="360" w:lineRule="auto"/>
        <w:ind w:left="360"/>
        <w:rPr>
          <w:b/>
          <w:bCs/>
        </w:rPr>
      </w:pPr>
    </w:p>
    <w:p w14:paraId="2C522EB5" w14:textId="38061F68" w:rsidR="007A066D" w:rsidRPr="00867AEE" w:rsidRDefault="00867AEE" w:rsidP="00867AEE">
      <w:pPr>
        <w:spacing w:line="360" w:lineRule="auto"/>
        <w:ind w:left="360" w:hanging="360"/>
        <w:jc w:val="both"/>
        <w:rPr>
          <w:i/>
          <w:iCs/>
        </w:rPr>
      </w:pPr>
      <w:r w:rsidRPr="007A066D">
        <w:rPr>
          <w:i/>
          <w:iCs/>
        </w:rPr>
        <w:t>[1]</w:t>
      </w:r>
      <w:r w:rsidRPr="007A066D">
        <w:rPr>
          <w:i/>
          <w:iCs/>
        </w:rPr>
        <w:tab/>
      </w:r>
      <w:r w:rsidR="007A066D">
        <w:t>On 4</w:t>
      </w:r>
      <w:r w:rsidR="007A066D" w:rsidRPr="00867AEE">
        <w:rPr>
          <w:vertAlign w:val="superscript"/>
        </w:rPr>
        <w:t>th</w:t>
      </w:r>
      <w:r w:rsidR="007A066D">
        <w:t xml:space="preserve"> November 2021</w:t>
      </w:r>
      <w:r w:rsidR="00CE4C52">
        <w:t>,</w:t>
      </w:r>
      <w:r w:rsidR="007A066D">
        <w:t xml:space="preserve"> I granted an order rescinding an earlier judgment involving these parties. Now the one party brings two further applications for me to consider.</w:t>
      </w:r>
    </w:p>
    <w:p w14:paraId="7721F889" w14:textId="4182427B" w:rsidR="003C3651" w:rsidRPr="00867AEE" w:rsidRDefault="00867AEE" w:rsidP="00867AEE">
      <w:pPr>
        <w:spacing w:line="360" w:lineRule="auto"/>
        <w:ind w:left="360" w:hanging="360"/>
        <w:jc w:val="both"/>
        <w:rPr>
          <w:i/>
          <w:iCs/>
        </w:rPr>
      </w:pPr>
      <w:r w:rsidRPr="003C3651">
        <w:rPr>
          <w:i/>
          <w:iCs/>
        </w:rPr>
        <w:t>[2]</w:t>
      </w:r>
      <w:r w:rsidRPr="003C3651">
        <w:rPr>
          <w:i/>
          <w:iCs/>
        </w:rPr>
        <w:tab/>
      </w:r>
      <w:r w:rsidR="00C7741F">
        <w:t xml:space="preserve">The first is an application for leave to appeal </w:t>
      </w:r>
      <w:r w:rsidR="00DA72B3">
        <w:t>my</w:t>
      </w:r>
      <w:r w:rsidR="00C7741F">
        <w:t xml:space="preserve"> </w:t>
      </w:r>
      <w:r w:rsidR="007E1D1C">
        <w:t>rescission</w:t>
      </w:r>
      <w:r w:rsidR="00C7741F">
        <w:t xml:space="preserve"> judgment</w:t>
      </w:r>
      <w:r w:rsidR="00CE4C52">
        <w:t xml:space="preserve">. </w:t>
      </w:r>
      <w:r w:rsidR="00C7741F">
        <w:t xml:space="preserve"> The second</w:t>
      </w:r>
      <w:r w:rsidR="00DA72B3">
        <w:t>,</w:t>
      </w:r>
      <w:r w:rsidR="00C7741F">
        <w:t xml:space="preserve"> is an application in terms of section 18</w:t>
      </w:r>
      <w:r w:rsidR="00135617">
        <w:t xml:space="preserve"> </w:t>
      </w:r>
      <w:r w:rsidR="00C7741F">
        <w:t>of the Superior Courts Act</w:t>
      </w:r>
      <w:r w:rsidR="00F951B2">
        <w:t>,</w:t>
      </w:r>
      <w:r w:rsidR="00C7741F">
        <w:t xml:space="preserve"> </w:t>
      </w:r>
      <w:r w:rsidR="00F951B2">
        <w:t xml:space="preserve">10 of 2013, </w:t>
      </w:r>
      <w:r w:rsidR="00C7741F">
        <w:t>to</w:t>
      </w:r>
      <w:r w:rsidR="00135617">
        <w:t xml:space="preserve"> declare that my </w:t>
      </w:r>
      <w:r w:rsidR="00F951B2">
        <w:t>re</w:t>
      </w:r>
      <w:r w:rsidR="001F3CEB">
        <w:t>s</w:t>
      </w:r>
      <w:r w:rsidR="00F951B2">
        <w:t xml:space="preserve">cission </w:t>
      </w:r>
      <w:r w:rsidR="00135617">
        <w:t>order is</w:t>
      </w:r>
      <w:r w:rsidR="003C3651">
        <w:t>:</w:t>
      </w:r>
      <w:r w:rsidR="00135617">
        <w:t xml:space="preserve"> </w:t>
      </w:r>
    </w:p>
    <w:p w14:paraId="01E59BC0" w14:textId="6C19FFEC" w:rsidR="00135617" w:rsidRPr="003C3651" w:rsidRDefault="00686478" w:rsidP="00656DFA">
      <w:pPr>
        <w:pStyle w:val="ListParagraph"/>
        <w:spacing w:line="360" w:lineRule="auto"/>
        <w:jc w:val="both"/>
        <w:rPr>
          <w:i/>
          <w:iCs/>
        </w:rPr>
      </w:pPr>
      <w:r>
        <w:t>“…</w:t>
      </w:r>
      <w:r w:rsidR="00135617" w:rsidRPr="00135617">
        <w:rPr>
          <w:i/>
          <w:iCs/>
        </w:rPr>
        <w:t xml:space="preserve"> an order envisaged under section 18(1)</w:t>
      </w:r>
      <w:r w:rsidR="00F951B2">
        <w:rPr>
          <w:i/>
          <w:iCs/>
        </w:rPr>
        <w:t xml:space="preserve"> </w:t>
      </w:r>
      <w:r w:rsidR="00135617" w:rsidRPr="00135617">
        <w:rPr>
          <w:i/>
          <w:iCs/>
        </w:rPr>
        <w:t xml:space="preserve">of the Superior Courts Act 10 of 2013, the operation and execution of which is suspended pending the decision of any application for leave to appeal or any appeal; </w:t>
      </w:r>
      <w:r w:rsidR="00135617" w:rsidRPr="003C3651">
        <w:rPr>
          <w:i/>
          <w:iCs/>
        </w:rPr>
        <w:t>Alternatively</w:t>
      </w:r>
    </w:p>
    <w:p w14:paraId="5C1718ED" w14:textId="2F1BEF8B" w:rsidR="00135617" w:rsidRPr="00DA72B3" w:rsidRDefault="00135617" w:rsidP="00656DFA">
      <w:pPr>
        <w:spacing w:line="360" w:lineRule="auto"/>
        <w:ind w:left="720"/>
        <w:jc w:val="both"/>
      </w:pPr>
      <w:r w:rsidRPr="00135617">
        <w:rPr>
          <w:i/>
          <w:iCs/>
        </w:rPr>
        <w:lastRenderedPageBreak/>
        <w:t xml:space="preserve"> 2. Suspending the operation and execution of the Rescission order pending the outcome and final determination of any application for leave to appeal or appeal in terms of section 18(2) of the Superior Courts Act 10 of 2013;</w:t>
      </w:r>
    </w:p>
    <w:p w14:paraId="77E45AE8" w14:textId="560E8A71" w:rsidR="00F951B2" w:rsidRDefault="00867AEE" w:rsidP="00867AEE">
      <w:pPr>
        <w:spacing w:line="360" w:lineRule="auto"/>
        <w:ind w:left="360" w:hanging="360"/>
        <w:jc w:val="both"/>
      </w:pPr>
      <w:r>
        <w:t>[3]</w:t>
      </w:r>
      <w:r>
        <w:tab/>
      </w:r>
      <w:r w:rsidR="009D3B86">
        <w:t>The parties have retained the same nomenclature as they did in the re</w:t>
      </w:r>
      <w:r w:rsidR="001F3CEB">
        <w:t>s</w:t>
      </w:r>
      <w:r w:rsidR="009D3B86">
        <w:t>cission applicatio</w:t>
      </w:r>
      <w:bookmarkStart w:id="0" w:name="_GoBack"/>
      <w:bookmarkEnd w:id="0"/>
      <w:r w:rsidR="009D3B86">
        <w:t xml:space="preserve">n. </w:t>
      </w:r>
      <w:r w:rsidR="00F951B2">
        <w:t>I will follow the same convention.</w:t>
      </w:r>
    </w:p>
    <w:p w14:paraId="04E87E4B" w14:textId="4FE84B1D" w:rsidR="00364ED3" w:rsidRDefault="00867AEE" w:rsidP="00867AEE">
      <w:pPr>
        <w:spacing w:line="360" w:lineRule="auto"/>
        <w:ind w:left="360" w:hanging="360"/>
        <w:jc w:val="both"/>
      </w:pPr>
      <w:r>
        <w:t>[4]</w:t>
      </w:r>
      <w:r>
        <w:tab/>
      </w:r>
      <w:r w:rsidR="00D40A6D">
        <w:t>Thus</w:t>
      </w:r>
      <w:r w:rsidR="002A201C">
        <w:t>,</w:t>
      </w:r>
      <w:r w:rsidR="00D40A6D">
        <w:t xml:space="preserve"> </w:t>
      </w:r>
      <w:r w:rsidR="009D3B86">
        <w:t xml:space="preserve">Anglowealth </w:t>
      </w:r>
      <w:r w:rsidR="00F951B2">
        <w:t xml:space="preserve">continues to be referred to as the first respondent, which is what it was </w:t>
      </w:r>
      <w:r w:rsidR="009D3B86">
        <w:t>in the re</w:t>
      </w:r>
      <w:r w:rsidR="00737F8B">
        <w:t>s</w:t>
      </w:r>
      <w:r w:rsidR="009D3B86">
        <w:t>cission application</w:t>
      </w:r>
      <w:r w:rsidR="00F951B2">
        <w:t>,</w:t>
      </w:r>
      <w:r w:rsidR="009D3B86">
        <w:t xml:space="preserve"> although it is the applicant in both the application for leave to appeal and the section 18 application. The applicants in the re</w:t>
      </w:r>
      <w:r w:rsidR="001F3CEB">
        <w:t>s</w:t>
      </w:r>
      <w:r w:rsidR="009D3B86">
        <w:t>cission application</w:t>
      </w:r>
      <w:r w:rsidR="00F951B2">
        <w:t xml:space="preserve"> will continue to be referred as such</w:t>
      </w:r>
      <w:r w:rsidR="00D40A6D">
        <w:t>,</w:t>
      </w:r>
      <w:r w:rsidR="00F951B2">
        <w:t xml:space="preserve"> although they</w:t>
      </w:r>
      <w:r w:rsidR="009D3B86">
        <w:t xml:space="preserve"> are the respondents in both the latter applications. They are variously, CNA Operations (Pty) Ltd (in business rescue) </w:t>
      </w:r>
      <w:r w:rsidR="00AE558E">
        <w:t xml:space="preserve">or CNA, </w:t>
      </w:r>
      <w:r w:rsidR="00364ED3">
        <w:t xml:space="preserve">the first applicant, Stephanus Steyn N.O. the second applicant, Dallie Van der Merwe, the third </w:t>
      </w:r>
      <w:r w:rsidR="00F951B2">
        <w:t>applicant,</w:t>
      </w:r>
      <w:r w:rsidR="00364ED3">
        <w:t xml:space="preserve"> South African Commercial and Catering and Allied Workers Union, the fourth applicant and Johannes Botha</w:t>
      </w:r>
      <w:r w:rsidR="00AE558E">
        <w:t>,</w:t>
      </w:r>
      <w:r w:rsidR="00364ED3">
        <w:t xml:space="preserve"> the fifth applicant. For convenience I will refer to them collectively as the applicants and where necessary</w:t>
      </w:r>
      <w:r w:rsidR="00D40A6D">
        <w:t>,</w:t>
      </w:r>
      <w:r w:rsidR="00364ED3">
        <w:t xml:space="preserve"> to distinguish them</w:t>
      </w:r>
      <w:r w:rsidR="00D40A6D">
        <w:t>,</w:t>
      </w:r>
      <w:r w:rsidR="00364ED3">
        <w:t xml:space="preserve"> I refer to the first applicant as </w:t>
      </w:r>
      <w:r w:rsidR="00DA72B3">
        <w:t>CNA,</w:t>
      </w:r>
      <w:r w:rsidR="00364ED3">
        <w:t xml:space="preserve"> and the second and third applicants</w:t>
      </w:r>
      <w:r w:rsidR="00AE558E">
        <w:t>,</w:t>
      </w:r>
      <w:r w:rsidR="00364ED3">
        <w:t xml:space="preserve"> who are the</w:t>
      </w:r>
      <w:r w:rsidR="00D61286">
        <w:t xml:space="preserve"> current</w:t>
      </w:r>
      <w:r w:rsidR="00364ED3">
        <w:t xml:space="preserve"> Business Rescue Practitioners of </w:t>
      </w:r>
      <w:r w:rsidR="00AE558E">
        <w:t>CN</w:t>
      </w:r>
      <w:r w:rsidR="00377C4D">
        <w:t>A</w:t>
      </w:r>
      <w:r w:rsidR="00AE558E">
        <w:t>,</w:t>
      </w:r>
      <w:r w:rsidR="009E2ABC">
        <w:t xml:space="preserve"> as the</w:t>
      </w:r>
      <w:r w:rsidR="00364ED3">
        <w:t xml:space="preserve"> BRP’s</w:t>
      </w:r>
      <w:r w:rsidR="00D61286">
        <w:t>.</w:t>
      </w:r>
    </w:p>
    <w:p w14:paraId="261D9096" w14:textId="36061119" w:rsidR="009D3B86" w:rsidRDefault="009D3B86" w:rsidP="00656DFA">
      <w:pPr>
        <w:pStyle w:val="ListParagraph"/>
        <w:spacing w:line="360" w:lineRule="auto"/>
        <w:ind w:left="360"/>
        <w:jc w:val="both"/>
      </w:pPr>
    </w:p>
    <w:p w14:paraId="4792817B" w14:textId="40BBBE32" w:rsidR="008052D0" w:rsidRDefault="00867AEE" w:rsidP="00867AEE">
      <w:pPr>
        <w:spacing w:line="360" w:lineRule="auto"/>
        <w:ind w:left="360" w:hanging="360"/>
        <w:jc w:val="both"/>
      </w:pPr>
      <w:r>
        <w:t>[5]</w:t>
      </w:r>
      <w:r>
        <w:tab/>
      </w:r>
      <w:r w:rsidR="008052D0">
        <w:t xml:space="preserve">The </w:t>
      </w:r>
      <w:r w:rsidR="00D61286">
        <w:t>applicants</w:t>
      </w:r>
      <w:r w:rsidR="008052D0">
        <w:t xml:space="preserve"> oppose both applications.</w:t>
      </w:r>
    </w:p>
    <w:p w14:paraId="6BF9851A" w14:textId="77777777" w:rsidR="00A21A14" w:rsidRDefault="00A21A14" w:rsidP="00656DFA">
      <w:pPr>
        <w:pStyle w:val="ListParagraph"/>
        <w:spacing w:line="360" w:lineRule="auto"/>
        <w:ind w:left="360"/>
        <w:jc w:val="both"/>
        <w:rPr>
          <w:b/>
          <w:bCs/>
        </w:rPr>
      </w:pPr>
    </w:p>
    <w:p w14:paraId="1EF477BE" w14:textId="1F99D7D3" w:rsidR="00494D75" w:rsidRPr="00A21A14" w:rsidRDefault="00494D75" w:rsidP="00656DFA">
      <w:pPr>
        <w:pStyle w:val="ListParagraph"/>
        <w:spacing w:line="360" w:lineRule="auto"/>
        <w:ind w:left="360"/>
        <w:jc w:val="both"/>
        <w:rPr>
          <w:b/>
          <w:bCs/>
        </w:rPr>
      </w:pPr>
      <w:r w:rsidRPr="00A21A14">
        <w:rPr>
          <w:b/>
          <w:bCs/>
        </w:rPr>
        <w:t>Background</w:t>
      </w:r>
    </w:p>
    <w:p w14:paraId="4AA7349B" w14:textId="681C2BA0" w:rsidR="00494D75" w:rsidRDefault="00867AEE" w:rsidP="00867AEE">
      <w:pPr>
        <w:spacing w:line="360" w:lineRule="auto"/>
        <w:ind w:left="360" w:hanging="360"/>
        <w:jc w:val="both"/>
      </w:pPr>
      <w:r>
        <w:t>[6]</w:t>
      </w:r>
      <w:r>
        <w:tab/>
      </w:r>
      <w:r w:rsidR="00B04587">
        <w:t>In January 2021</w:t>
      </w:r>
      <w:r w:rsidR="00D74F6E">
        <w:t>,</w:t>
      </w:r>
      <w:r w:rsidR="00494D75">
        <w:t xml:space="preserve"> Anglowealth </w:t>
      </w:r>
      <w:r w:rsidR="00B04587">
        <w:t xml:space="preserve">extended </w:t>
      </w:r>
      <w:r w:rsidR="00494D75">
        <w:t>R 30million rand</w:t>
      </w:r>
      <w:r w:rsidR="00B04587">
        <w:t xml:space="preserve"> as part of a financing agreement </w:t>
      </w:r>
      <w:r w:rsidR="00494D75">
        <w:t xml:space="preserve">to CNA. </w:t>
      </w:r>
      <w:r w:rsidR="00B04587">
        <w:t xml:space="preserve"> As </w:t>
      </w:r>
      <w:r w:rsidR="00D13220">
        <w:t>security, it</w:t>
      </w:r>
      <w:r w:rsidR="00B04587">
        <w:t xml:space="preserve"> registered a general notarial bond over the movable assets of CNA. </w:t>
      </w:r>
      <w:r w:rsidR="00494D75">
        <w:t xml:space="preserve">At that stage CNA was not </w:t>
      </w:r>
      <w:r w:rsidR="00B04587">
        <w:t xml:space="preserve">yet </w:t>
      </w:r>
      <w:r w:rsidR="00494D75">
        <w:t xml:space="preserve">under business </w:t>
      </w:r>
      <w:r w:rsidR="00D40A6D">
        <w:t>rescue.</w:t>
      </w:r>
      <w:r w:rsidR="00494D75">
        <w:t xml:space="preserve"> </w:t>
      </w:r>
      <w:r w:rsidR="005C6986">
        <w:t>CN</w:t>
      </w:r>
      <w:r w:rsidR="00C323CE">
        <w:t>A</w:t>
      </w:r>
      <w:r w:rsidR="005C6986">
        <w:t xml:space="preserve"> </w:t>
      </w:r>
      <w:r w:rsidR="00494D75">
        <w:t>was placed under business rescue on</w:t>
      </w:r>
      <w:r w:rsidR="00B04587">
        <w:t xml:space="preserve"> 2</w:t>
      </w:r>
      <w:r w:rsidR="00B04587" w:rsidRPr="00867AEE">
        <w:rPr>
          <w:vertAlign w:val="superscript"/>
        </w:rPr>
        <w:t>nd</w:t>
      </w:r>
      <w:r w:rsidR="00B04587">
        <w:t xml:space="preserve"> June 2021</w:t>
      </w:r>
      <w:r w:rsidR="00494D75">
        <w:t xml:space="preserve">.  </w:t>
      </w:r>
    </w:p>
    <w:p w14:paraId="79F96EDF" w14:textId="7F145992" w:rsidR="00D61286" w:rsidRDefault="00867AEE" w:rsidP="00867AEE">
      <w:pPr>
        <w:spacing w:line="360" w:lineRule="auto"/>
        <w:ind w:left="360" w:hanging="360"/>
        <w:jc w:val="both"/>
      </w:pPr>
      <w:r>
        <w:t>[7]</w:t>
      </w:r>
      <w:r>
        <w:tab/>
      </w:r>
      <w:r w:rsidR="003E2C4A">
        <w:t xml:space="preserve">Anglowealth </w:t>
      </w:r>
      <w:r w:rsidR="00B04587">
        <w:t xml:space="preserve">then </w:t>
      </w:r>
      <w:r w:rsidR="003E2C4A">
        <w:t xml:space="preserve">brought an application to perfect its security. This application was granted </w:t>
      </w:r>
      <w:r w:rsidR="00D61286">
        <w:t xml:space="preserve">by Keightley J </w:t>
      </w:r>
      <w:r w:rsidR="003E2C4A">
        <w:t>on</w:t>
      </w:r>
      <w:r w:rsidR="00B04587">
        <w:t xml:space="preserve"> 15 July 2021</w:t>
      </w:r>
      <w:r w:rsidR="00F045A5">
        <w:t xml:space="preserve"> on an </w:t>
      </w:r>
      <w:r w:rsidR="003E2C4A">
        <w:t>unopposed basis</w:t>
      </w:r>
      <w:r w:rsidR="00B04587">
        <w:t>,</w:t>
      </w:r>
      <w:r w:rsidR="003E2C4A">
        <w:t xml:space="preserve"> with the consent of the then BRPs</w:t>
      </w:r>
      <w:r w:rsidR="00B04587">
        <w:t xml:space="preserve"> </w:t>
      </w:r>
      <w:r w:rsidR="00D61286">
        <w:t xml:space="preserve">(all of whom have since resigned and been replaced by the current </w:t>
      </w:r>
      <w:r w:rsidR="00D40A6D">
        <w:lastRenderedPageBreak/>
        <w:t>BRP’s) and</w:t>
      </w:r>
      <w:r w:rsidR="003E2C4A">
        <w:t xml:space="preserve"> CNA’s directors. </w:t>
      </w:r>
      <w:r w:rsidR="00D61286">
        <w:t>From now on I will refer to the order of Keightley J as the perfection order.</w:t>
      </w:r>
    </w:p>
    <w:p w14:paraId="30AB2BE2" w14:textId="0EFA963E" w:rsidR="00494D75" w:rsidRDefault="00867AEE" w:rsidP="00867AEE">
      <w:pPr>
        <w:spacing w:line="360" w:lineRule="auto"/>
        <w:ind w:left="360" w:hanging="360"/>
        <w:jc w:val="both"/>
      </w:pPr>
      <w:r>
        <w:t>[8]</w:t>
      </w:r>
      <w:r>
        <w:tab/>
      </w:r>
      <w:r w:rsidR="003E2C4A">
        <w:t>The effect of the perfection order was to impose stringent conditions on the future operations of the</w:t>
      </w:r>
      <w:r w:rsidR="001F3CEB">
        <w:t xml:space="preserve"> </w:t>
      </w:r>
      <w:r w:rsidR="003E2C4A">
        <w:t xml:space="preserve">company. Effectively without the consent of </w:t>
      </w:r>
      <w:r w:rsidR="00D40A6D">
        <w:t>Anglowealth,</w:t>
      </w:r>
      <w:r w:rsidR="003E2C4A">
        <w:t xml:space="preserve"> CNA then in a parlous financial situation</w:t>
      </w:r>
      <w:r w:rsidR="00D40A6D">
        <w:t>,</w:t>
      </w:r>
      <w:r w:rsidR="003E2C4A">
        <w:t xml:space="preserve"> was starved of the commercial oxygen it required to exit business rescue.</w:t>
      </w:r>
    </w:p>
    <w:p w14:paraId="5ED613DB" w14:textId="29D2DB22" w:rsidR="003E2C4A" w:rsidRDefault="00867AEE" w:rsidP="00867AEE">
      <w:pPr>
        <w:spacing w:line="360" w:lineRule="auto"/>
        <w:ind w:left="360" w:hanging="360"/>
        <w:jc w:val="both"/>
      </w:pPr>
      <w:r>
        <w:t>[9]</w:t>
      </w:r>
      <w:r>
        <w:tab/>
      </w:r>
      <w:r w:rsidR="003E2C4A">
        <w:t xml:space="preserve">New BRPs were appointed on </w:t>
      </w:r>
      <w:r w:rsidR="00B04587">
        <w:t>12 August 2021. T</w:t>
      </w:r>
      <w:r w:rsidR="003E2C4A">
        <w:t xml:space="preserve">hey </w:t>
      </w:r>
      <w:r w:rsidR="002E1B5F">
        <w:t xml:space="preserve">negotiated with Anglowealth for some relaxation of the terms of the </w:t>
      </w:r>
      <w:r w:rsidR="00D40A6D">
        <w:t>order,</w:t>
      </w:r>
      <w:r w:rsidR="002E1B5F">
        <w:t xml:space="preserve"> but </w:t>
      </w:r>
      <w:r w:rsidR="00F108E9">
        <w:t xml:space="preserve">this was a temporary arrangement. </w:t>
      </w:r>
      <w:r w:rsidR="00B835D0">
        <w:t>On 13</w:t>
      </w:r>
      <w:r w:rsidR="00F108E9">
        <w:t xml:space="preserve"> October the new BRP’s launched an application to rescind the </w:t>
      </w:r>
      <w:r w:rsidR="00CD2BE6">
        <w:t xml:space="preserve">perfection </w:t>
      </w:r>
      <w:r w:rsidR="00F108E9">
        <w:t xml:space="preserve">order. The application was supported by the company, a trade union </w:t>
      </w:r>
      <w:r w:rsidR="007F0B34">
        <w:t xml:space="preserve">SACCAWU </w:t>
      </w:r>
      <w:r w:rsidR="00F108E9">
        <w:t xml:space="preserve">and </w:t>
      </w:r>
      <w:r w:rsidR="00AE558E">
        <w:t>Johannes</w:t>
      </w:r>
      <w:r w:rsidR="00F108E9">
        <w:t xml:space="preserve"> </w:t>
      </w:r>
      <w:r w:rsidR="00D40A6D">
        <w:t xml:space="preserve">Botha, an </w:t>
      </w:r>
      <w:r w:rsidR="00F108E9">
        <w:t>employee representative.</w:t>
      </w:r>
    </w:p>
    <w:p w14:paraId="4ADD0BB1" w14:textId="55465152" w:rsidR="00150F99" w:rsidRDefault="00867AEE" w:rsidP="00867AEE">
      <w:pPr>
        <w:spacing w:line="360" w:lineRule="auto"/>
        <w:ind w:left="360" w:hanging="360"/>
        <w:jc w:val="both"/>
      </w:pPr>
      <w:r>
        <w:t>[10]</w:t>
      </w:r>
      <w:r>
        <w:tab/>
      </w:r>
      <w:r w:rsidR="00F108E9">
        <w:t>I heard the application on an urgent basis</w:t>
      </w:r>
      <w:r w:rsidR="001F3CEB">
        <w:t xml:space="preserve"> on 28 October 2021</w:t>
      </w:r>
      <w:r w:rsidR="00F108E9">
        <w:t xml:space="preserve"> and granted an order to rescind the </w:t>
      </w:r>
      <w:r w:rsidR="00CD2BE6">
        <w:t xml:space="preserve">perfection </w:t>
      </w:r>
      <w:r w:rsidR="00D61286">
        <w:t>order</w:t>
      </w:r>
      <w:r w:rsidR="00F108E9">
        <w:t xml:space="preserve"> on </w:t>
      </w:r>
      <w:r w:rsidR="00807D35">
        <w:t>4 November 2021.</w:t>
      </w:r>
      <w:r w:rsidR="00150F99">
        <w:t xml:space="preserve"> In brief</w:t>
      </w:r>
      <w:r w:rsidR="00B835D0">
        <w:t>,</w:t>
      </w:r>
      <w:r w:rsidR="00150F99">
        <w:t xml:space="preserve"> the basis for my decision was that in terms of High Court Uniform </w:t>
      </w:r>
      <w:r w:rsidR="00D40A6D">
        <w:t>R</w:t>
      </w:r>
      <w:r w:rsidR="00150F99">
        <w:t xml:space="preserve">ule </w:t>
      </w:r>
      <w:r w:rsidR="006D1DD7">
        <w:t>42(1)(a)</w:t>
      </w:r>
      <w:r w:rsidR="00D40A6D">
        <w:t>,</w:t>
      </w:r>
      <w:r w:rsidR="00150F99">
        <w:t xml:space="preserve"> the perfection order had been erroneously granted in the absence of </w:t>
      </w:r>
      <w:r w:rsidR="00D40A6D" w:rsidRPr="00867AEE">
        <w:rPr>
          <w:i/>
        </w:rPr>
        <w:t>“</w:t>
      </w:r>
      <w:r w:rsidR="00150F99" w:rsidRPr="00867AEE">
        <w:rPr>
          <w:i/>
        </w:rPr>
        <w:t>any party affected</w:t>
      </w:r>
      <w:r w:rsidR="00D40A6D" w:rsidRPr="00867AEE">
        <w:rPr>
          <w:i/>
        </w:rPr>
        <w:t>”</w:t>
      </w:r>
      <w:r w:rsidR="0037579F" w:rsidRPr="00867AEE">
        <w:rPr>
          <w:iCs/>
        </w:rPr>
        <w:t>. This was</w:t>
      </w:r>
      <w:r w:rsidR="00150F99">
        <w:t xml:space="preserve"> because parties entitled to notice of the proceedings in terms of the Companies Act, viz. employees, </w:t>
      </w:r>
      <w:r w:rsidR="00AE558E">
        <w:t>creditors,</w:t>
      </w:r>
      <w:r w:rsidR="00150F99">
        <w:t xml:space="preserve"> and the holders of issued securities, had not been given this notice</w:t>
      </w:r>
      <w:r w:rsidR="00B835D0">
        <w:t xml:space="preserve"> by the former BRP’s</w:t>
      </w:r>
      <w:r w:rsidR="00150F99">
        <w:t>.</w:t>
      </w:r>
    </w:p>
    <w:p w14:paraId="43D81246" w14:textId="0771042E" w:rsidR="00F108E9" w:rsidRDefault="00867AEE" w:rsidP="00867AEE">
      <w:pPr>
        <w:spacing w:line="360" w:lineRule="auto"/>
        <w:ind w:left="360" w:hanging="360"/>
        <w:jc w:val="both"/>
      </w:pPr>
      <w:r>
        <w:t>[11]</w:t>
      </w:r>
      <w:r>
        <w:tab/>
      </w:r>
      <w:r w:rsidR="00F108E9">
        <w:t>On</w:t>
      </w:r>
      <w:r w:rsidR="00807D35">
        <w:t xml:space="preserve"> 9 </w:t>
      </w:r>
      <w:r w:rsidR="00B835D0">
        <w:t>November</w:t>
      </w:r>
      <w:r w:rsidR="005C2C84">
        <w:t xml:space="preserve"> 2021</w:t>
      </w:r>
      <w:r w:rsidR="00B835D0">
        <w:t>,</w:t>
      </w:r>
      <w:r w:rsidR="00D9034D">
        <w:t xml:space="preserve"> </w:t>
      </w:r>
      <w:r w:rsidR="00B835D0">
        <w:t>Anglowealth</w:t>
      </w:r>
      <w:r w:rsidR="00F108E9">
        <w:t xml:space="preserve"> filed an application for leave to appeal. </w:t>
      </w:r>
      <w:r w:rsidR="00057DF3">
        <w:t xml:space="preserve"> A flurry of correspondence then flowed between the BRP’s attorneys and those of Ang</w:t>
      </w:r>
      <w:r w:rsidR="00B835D0">
        <w:t>l</w:t>
      </w:r>
      <w:r w:rsidR="00057DF3">
        <w:t xml:space="preserve">owealth. The dispute was whether the application for leave to appeal suspended my </w:t>
      </w:r>
      <w:r w:rsidR="00CD2BE6">
        <w:t>re</w:t>
      </w:r>
      <w:r w:rsidR="0053064F">
        <w:t>s</w:t>
      </w:r>
      <w:r w:rsidR="00CD2BE6">
        <w:t>cission</w:t>
      </w:r>
      <w:r w:rsidR="00057DF3">
        <w:t xml:space="preserve"> judgment. </w:t>
      </w:r>
      <w:r w:rsidR="000720DD">
        <w:t xml:space="preserve"> </w:t>
      </w:r>
      <w:r w:rsidR="00B835D0">
        <w:t xml:space="preserve">Anglowealth’s view was that it did. This meant </w:t>
      </w:r>
      <w:r w:rsidR="00057DF3">
        <w:t xml:space="preserve">that the </w:t>
      </w:r>
      <w:r w:rsidR="00057DF3" w:rsidRPr="00867AEE">
        <w:rPr>
          <w:i/>
        </w:rPr>
        <w:t>status</w:t>
      </w:r>
      <w:r w:rsidR="00057DF3">
        <w:t xml:space="preserve"> </w:t>
      </w:r>
      <w:r w:rsidR="00057DF3" w:rsidRPr="00867AEE">
        <w:rPr>
          <w:i/>
        </w:rPr>
        <w:t>quo</w:t>
      </w:r>
      <w:r w:rsidR="00057DF3">
        <w:t xml:space="preserve"> had been returned and the </w:t>
      </w:r>
      <w:r w:rsidR="00CD2BE6">
        <w:t>perfection</w:t>
      </w:r>
      <w:r w:rsidR="00057DF3">
        <w:t xml:space="preserve"> order stood and hence they were entitled to the protection as a secured creditor. The BRPs’ disagreed. Their stance was that the order was not appealable</w:t>
      </w:r>
      <w:r w:rsidR="00B835D0">
        <w:t>.</w:t>
      </w:r>
      <w:r w:rsidR="005716DE">
        <w:t xml:space="preserve"> </w:t>
      </w:r>
      <w:r w:rsidR="00B835D0">
        <w:t xml:space="preserve"> If</w:t>
      </w:r>
      <w:r w:rsidR="00057DF3">
        <w:t xml:space="preserve"> Anglowealth wanted to perfect </w:t>
      </w:r>
      <w:r w:rsidR="00D40A6D">
        <w:t>its</w:t>
      </w:r>
      <w:r w:rsidR="00057DF3">
        <w:t xml:space="preserve"> </w:t>
      </w:r>
      <w:r w:rsidR="003D3F76">
        <w:t>security,</w:t>
      </w:r>
      <w:r w:rsidR="00057DF3">
        <w:t xml:space="preserve"> </w:t>
      </w:r>
      <w:r w:rsidR="00F24241">
        <w:t>it</w:t>
      </w:r>
      <w:r w:rsidR="00057DF3">
        <w:t xml:space="preserve"> needed to </w:t>
      </w:r>
      <w:r w:rsidR="00B26B28">
        <w:t>bring an</w:t>
      </w:r>
      <w:r w:rsidR="00CD2BE6">
        <w:t>other</w:t>
      </w:r>
      <w:r w:rsidR="00B26B28">
        <w:t xml:space="preserve"> application to do so. </w:t>
      </w:r>
    </w:p>
    <w:p w14:paraId="37084FE9" w14:textId="18DE62A7" w:rsidR="00B26B28" w:rsidRDefault="00867AEE" w:rsidP="00867AEE">
      <w:pPr>
        <w:spacing w:line="360" w:lineRule="auto"/>
        <w:ind w:left="360" w:hanging="360"/>
        <w:jc w:val="both"/>
      </w:pPr>
      <w:r>
        <w:t>[12]</w:t>
      </w:r>
      <w:r>
        <w:tab/>
      </w:r>
      <w:r w:rsidR="00CD2BE6">
        <w:t xml:space="preserve">But Anglowealth did not bring another perfection application. Instead </w:t>
      </w:r>
      <w:r w:rsidR="00807D35">
        <w:t>on 22</w:t>
      </w:r>
      <w:r w:rsidR="00807D35" w:rsidRPr="00807D35">
        <w:t>nd</w:t>
      </w:r>
      <w:r w:rsidR="00807D35">
        <w:t xml:space="preserve"> November, its</w:t>
      </w:r>
      <w:r w:rsidR="00CD2BE6">
        <w:t xml:space="preserve"> </w:t>
      </w:r>
      <w:r w:rsidR="00B26B28">
        <w:t>response was to bring an application in terms of section 18(1)</w:t>
      </w:r>
      <w:r w:rsidR="00807D35">
        <w:t>, alternatively section 18(2),</w:t>
      </w:r>
      <w:r w:rsidR="003D3F76">
        <w:t xml:space="preserve"> of the Superior Courts Act</w:t>
      </w:r>
      <w:r w:rsidR="00CD2BE6">
        <w:t xml:space="preserve"> for the court </w:t>
      </w:r>
      <w:r w:rsidR="00B26B28">
        <w:t xml:space="preserve">to declare that the </w:t>
      </w:r>
      <w:r w:rsidR="00B26B28">
        <w:lastRenderedPageBreak/>
        <w:t xml:space="preserve">effect of the leave to appeal was to suspend the operation and execution of the </w:t>
      </w:r>
      <w:r w:rsidR="00CD2BE6">
        <w:t>re</w:t>
      </w:r>
      <w:r w:rsidR="0053064F">
        <w:t>s</w:t>
      </w:r>
      <w:r w:rsidR="00CD2BE6">
        <w:t xml:space="preserve">cission </w:t>
      </w:r>
      <w:r w:rsidR="00B26B28">
        <w:t>order</w:t>
      </w:r>
      <w:r w:rsidR="00CD2BE6">
        <w:t>,</w:t>
      </w:r>
      <w:r w:rsidR="00B26B28">
        <w:t xml:space="preserve"> pending the appeal.</w:t>
      </w:r>
    </w:p>
    <w:p w14:paraId="274F9771" w14:textId="3CD483BA" w:rsidR="00B26B28" w:rsidRDefault="00867AEE" w:rsidP="00867AEE">
      <w:pPr>
        <w:spacing w:line="360" w:lineRule="auto"/>
        <w:ind w:left="360" w:hanging="360"/>
        <w:jc w:val="both"/>
      </w:pPr>
      <w:r>
        <w:t>[13]</w:t>
      </w:r>
      <w:r>
        <w:tab/>
      </w:r>
      <w:r w:rsidR="00B26B28">
        <w:t>I heard both applications at the same time on 30</w:t>
      </w:r>
      <w:r w:rsidR="00B26B28" w:rsidRPr="00867AEE">
        <w:rPr>
          <w:vertAlign w:val="superscript"/>
        </w:rPr>
        <w:t>th</w:t>
      </w:r>
      <w:r w:rsidR="00B26B28">
        <w:t xml:space="preserve"> November</w:t>
      </w:r>
      <w:r w:rsidR="00CD2BE6">
        <w:t xml:space="preserve"> 2021</w:t>
      </w:r>
      <w:r w:rsidR="00B26B28">
        <w:t>.</w:t>
      </w:r>
    </w:p>
    <w:p w14:paraId="5BABA927" w14:textId="77777777" w:rsidR="00377C4D" w:rsidRDefault="00377C4D" w:rsidP="00656DFA">
      <w:pPr>
        <w:pStyle w:val="ListParagraph"/>
        <w:spacing w:line="360" w:lineRule="auto"/>
        <w:ind w:left="360"/>
        <w:jc w:val="both"/>
        <w:rPr>
          <w:b/>
          <w:bCs/>
        </w:rPr>
      </w:pPr>
    </w:p>
    <w:p w14:paraId="0805DCF5" w14:textId="108729CD" w:rsidR="00377C4D" w:rsidRPr="00377C4D" w:rsidRDefault="00377C4D" w:rsidP="00656DFA">
      <w:pPr>
        <w:pStyle w:val="ListParagraph"/>
        <w:spacing w:line="360" w:lineRule="auto"/>
        <w:ind w:left="360"/>
        <w:jc w:val="both"/>
        <w:rPr>
          <w:b/>
          <w:bCs/>
        </w:rPr>
      </w:pPr>
      <w:r w:rsidRPr="00377C4D">
        <w:rPr>
          <w:b/>
          <w:bCs/>
        </w:rPr>
        <w:t>Events after the re</w:t>
      </w:r>
      <w:r w:rsidR="00C323CE">
        <w:rPr>
          <w:b/>
          <w:bCs/>
        </w:rPr>
        <w:t>s</w:t>
      </w:r>
      <w:r w:rsidRPr="00377C4D">
        <w:rPr>
          <w:b/>
          <w:bCs/>
        </w:rPr>
        <w:t>cission order was granted.</w:t>
      </w:r>
    </w:p>
    <w:p w14:paraId="5E88EABB" w14:textId="22B83FF7" w:rsidR="00B26B28" w:rsidRDefault="00867AEE" w:rsidP="00867AEE">
      <w:pPr>
        <w:spacing w:line="360" w:lineRule="auto"/>
        <w:ind w:left="360" w:hanging="360"/>
        <w:jc w:val="both"/>
      </w:pPr>
      <w:r>
        <w:t>[14]</w:t>
      </w:r>
      <w:r>
        <w:tab/>
      </w:r>
      <w:r w:rsidR="00B26B28">
        <w:t xml:space="preserve">Since </w:t>
      </w:r>
      <w:r w:rsidR="00C533A9">
        <w:t xml:space="preserve">I gave my </w:t>
      </w:r>
      <w:r w:rsidR="00CD2BE6">
        <w:t>re</w:t>
      </w:r>
      <w:r w:rsidR="00C323CE">
        <w:t>s</w:t>
      </w:r>
      <w:r w:rsidR="00CD2BE6">
        <w:t xml:space="preserve">cission </w:t>
      </w:r>
      <w:r w:rsidR="00C533A9">
        <w:t xml:space="preserve">order </w:t>
      </w:r>
      <w:r w:rsidR="00D30AA3">
        <w:t>on 4 November 2021</w:t>
      </w:r>
      <w:r w:rsidR="00CD2BE6">
        <w:t>,</w:t>
      </w:r>
      <w:r w:rsidR="00D30AA3">
        <w:t xml:space="preserve"> two </w:t>
      </w:r>
      <w:r w:rsidR="00CD2BE6">
        <w:t xml:space="preserve">events of significance </w:t>
      </w:r>
      <w:r w:rsidR="00D30AA3">
        <w:t>have happened. First</w:t>
      </w:r>
      <w:r w:rsidR="00D61A26">
        <w:t>,</w:t>
      </w:r>
      <w:r w:rsidR="00D30AA3">
        <w:t xml:space="preserve"> the business rescue practitioners have </w:t>
      </w:r>
      <w:r w:rsidR="00A21A14">
        <w:t>identified a</w:t>
      </w:r>
      <w:r w:rsidR="00D30AA3">
        <w:t xml:space="preserve"> third party willing to buy the business as a going concern. Second</w:t>
      </w:r>
      <w:r w:rsidR="00D61A26">
        <w:t>,</w:t>
      </w:r>
      <w:r w:rsidR="00D30AA3">
        <w:t xml:space="preserve"> </w:t>
      </w:r>
      <w:r w:rsidR="00C533A9">
        <w:t>the BRPs published their business rescue plan</w:t>
      </w:r>
      <w:r w:rsidR="00D30AA3">
        <w:t xml:space="preserve"> in the light of this offer. Broadly speaking the BRP’s recommend the acceptance of the offer and attempt to persuade creditors why they would be better off under this scenario then the alternative of liquidation. This plan </w:t>
      </w:r>
      <w:r w:rsidR="00C533A9">
        <w:t>was to be put before creditors to vote on, on the same day I heard the applications</w:t>
      </w:r>
      <w:r w:rsidR="00D30AA3">
        <w:t>,</w:t>
      </w:r>
      <w:r w:rsidR="00C533A9">
        <w:t xml:space="preserve"> </w:t>
      </w:r>
      <w:r w:rsidR="0037693F">
        <w:t>although</w:t>
      </w:r>
      <w:r w:rsidR="00C533A9">
        <w:t xml:space="preserve"> neither party suggested I must decide the matter before this meeting</w:t>
      </w:r>
      <w:r w:rsidR="00D61A26">
        <w:t xml:space="preserve"> took place</w:t>
      </w:r>
      <w:r w:rsidR="00C533A9">
        <w:t>.</w:t>
      </w:r>
      <w:r w:rsidR="00F24241">
        <w:rPr>
          <w:rStyle w:val="FootnoteReference"/>
        </w:rPr>
        <w:footnoteReference w:id="1"/>
      </w:r>
    </w:p>
    <w:p w14:paraId="446EB0D7" w14:textId="42407082" w:rsidR="003D2709" w:rsidRPr="00867AEE" w:rsidRDefault="00867AEE" w:rsidP="00867AEE">
      <w:pPr>
        <w:spacing w:line="360" w:lineRule="auto"/>
        <w:ind w:left="360" w:hanging="360"/>
        <w:jc w:val="both"/>
        <w:rPr>
          <w:b/>
          <w:bCs/>
        </w:rPr>
      </w:pPr>
      <w:r>
        <w:rPr>
          <w:b/>
          <w:bCs/>
        </w:rPr>
        <w:t>[15]</w:t>
      </w:r>
      <w:r>
        <w:rPr>
          <w:b/>
          <w:bCs/>
        </w:rPr>
        <w:tab/>
      </w:r>
      <w:r w:rsidR="00C533A9">
        <w:t>Nevertheless</w:t>
      </w:r>
      <w:r w:rsidR="0037693F">
        <w:t>,</w:t>
      </w:r>
      <w:r w:rsidR="00C533A9">
        <w:t xml:space="preserve"> </w:t>
      </w:r>
      <w:r w:rsidR="00D30AA3">
        <w:t>i</w:t>
      </w:r>
      <w:r w:rsidR="00C533A9">
        <w:t>n terms of that plan creditors such as Anglowealth will get no dividend. However</w:t>
      </w:r>
      <w:r w:rsidR="00372DE0">
        <w:t>,</w:t>
      </w:r>
      <w:r w:rsidR="00C533A9">
        <w:t xml:space="preserve"> if the plan is approved some employees will benefit by keeping their jobs and some creditors</w:t>
      </w:r>
      <w:r w:rsidR="0037693F">
        <w:t>,</w:t>
      </w:r>
      <w:r w:rsidR="00C533A9">
        <w:t xml:space="preserve"> who do ongoing business with the company</w:t>
      </w:r>
      <w:r w:rsidR="00D61A26">
        <w:t>,</w:t>
      </w:r>
      <w:r w:rsidR="00C533A9">
        <w:t xml:space="preserve"> will have </w:t>
      </w:r>
      <w:r w:rsidR="00D61A26">
        <w:t xml:space="preserve">the prospect of </w:t>
      </w:r>
      <w:r w:rsidR="00D30AA3">
        <w:t xml:space="preserve">CNA retained as </w:t>
      </w:r>
      <w:r w:rsidR="00C533A9">
        <w:t>a future customer. Anglowealth</w:t>
      </w:r>
      <w:r w:rsidR="00DD435E">
        <w:t xml:space="preserve"> is still intent on </w:t>
      </w:r>
      <w:r w:rsidR="00C533A9">
        <w:t>perfect</w:t>
      </w:r>
      <w:r w:rsidR="00DD435E">
        <w:t>ing</w:t>
      </w:r>
      <w:r w:rsidR="00C533A9">
        <w:t xml:space="preserve"> its security. Undoubtedly this would lead to the liquidation of the company</w:t>
      </w:r>
      <w:r w:rsidR="00372DE0">
        <w:t>;</w:t>
      </w:r>
      <w:r w:rsidR="00C533A9">
        <w:t xml:space="preserve"> </w:t>
      </w:r>
      <w:r w:rsidR="00686478">
        <w:t>at least that is what the BRP’s believe</w:t>
      </w:r>
      <w:r w:rsidR="00DD435E">
        <w:t>d</w:t>
      </w:r>
      <w:r w:rsidR="00052C6A">
        <w:t xml:space="preserve"> when</w:t>
      </w:r>
      <w:r w:rsidR="00DD435E">
        <w:t xml:space="preserve"> they filed their papers in the re</w:t>
      </w:r>
      <w:r w:rsidR="0053064F">
        <w:t>s</w:t>
      </w:r>
      <w:r w:rsidR="00DD435E">
        <w:t>cission application.</w:t>
      </w:r>
    </w:p>
    <w:p w14:paraId="10971680" w14:textId="77777777" w:rsidR="00DD435E" w:rsidRDefault="00DD435E" w:rsidP="00656DFA">
      <w:pPr>
        <w:pStyle w:val="ListParagraph"/>
        <w:spacing w:line="360" w:lineRule="auto"/>
        <w:ind w:left="360"/>
        <w:jc w:val="both"/>
        <w:rPr>
          <w:b/>
          <w:bCs/>
        </w:rPr>
      </w:pPr>
    </w:p>
    <w:p w14:paraId="0BE274D2" w14:textId="3E7B05B7" w:rsidR="00937B70" w:rsidRDefault="00937B70" w:rsidP="00656DFA">
      <w:pPr>
        <w:pStyle w:val="ListParagraph"/>
        <w:spacing w:line="360" w:lineRule="auto"/>
        <w:ind w:left="360"/>
        <w:jc w:val="both"/>
        <w:rPr>
          <w:b/>
          <w:bCs/>
        </w:rPr>
      </w:pPr>
      <w:r w:rsidRPr="00937B70">
        <w:rPr>
          <w:b/>
          <w:bCs/>
        </w:rPr>
        <w:t xml:space="preserve">Grounds for appeal </w:t>
      </w:r>
    </w:p>
    <w:p w14:paraId="07FCB6AE" w14:textId="77777777" w:rsidR="00DE57EC" w:rsidRPr="00937B70" w:rsidRDefault="00DE57EC" w:rsidP="00656DFA">
      <w:pPr>
        <w:pStyle w:val="ListParagraph"/>
        <w:spacing w:line="360" w:lineRule="auto"/>
        <w:ind w:left="360"/>
        <w:jc w:val="both"/>
        <w:rPr>
          <w:b/>
          <w:bCs/>
        </w:rPr>
      </w:pPr>
    </w:p>
    <w:p w14:paraId="44A14260" w14:textId="4701C55B" w:rsidR="003D2709" w:rsidRDefault="00867AEE" w:rsidP="00867AEE">
      <w:pPr>
        <w:spacing w:line="360" w:lineRule="auto"/>
        <w:ind w:left="360" w:hanging="360"/>
        <w:jc w:val="both"/>
      </w:pPr>
      <w:r>
        <w:t>[16]</w:t>
      </w:r>
      <w:r>
        <w:tab/>
      </w:r>
      <w:r w:rsidR="00043C54">
        <w:t xml:space="preserve">Although several points of appeal </w:t>
      </w:r>
      <w:r w:rsidR="00DE57EC">
        <w:t xml:space="preserve">were </w:t>
      </w:r>
      <w:r w:rsidR="00043C54">
        <w:t>raised</w:t>
      </w:r>
      <w:r w:rsidR="00DE57EC">
        <w:t xml:space="preserve"> in the notice of leave to appeal</w:t>
      </w:r>
      <w:r w:rsidR="0061437B">
        <w:t>,</w:t>
      </w:r>
      <w:r w:rsidR="00DE57EC">
        <w:t xml:space="preserve"> Anglowealth persists with only two</w:t>
      </w:r>
      <w:r w:rsidR="0061437B">
        <w:t>;</w:t>
      </w:r>
      <w:r w:rsidR="003D2709">
        <w:t xml:space="preserve"> they are</w:t>
      </w:r>
      <w:r w:rsidR="0037579F">
        <w:t>:</w:t>
      </w:r>
      <w:r w:rsidR="003D2709">
        <w:t xml:space="preserve"> </w:t>
      </w:r>
      <w:r w:rsidR="0037579F">
        <w:t>(i) that</w:t>
      </w:r>
      <w:r w:rsidR="005716DE">
        <w:t xml:space="preserve"> </w:t>
      </w:r>
      <w:r w:rsidR="003D2709">
        <w:t>the applicants were perempted from brin</w:t>
      </w:r>
      <w:r w:rsidR="0061437B">
        <w:t>g</w:t>
      </w:r>
      <w:r w:rsidR="003D2709">
        <w:t>ing the re</w:t>
      </w:r>
      <w:r w:rsidR="0053064F">
        <w:t>s</w:t>
      </w:r>
      <w:r w:rsidR="003D2709">
        <w:t>cission and</w:t>
      </w:r>
      <w:r w:rsidR="0037579F">
        <w:t>;</w:t>
      </w:r>
      <w:r w:rsidR="003D2709">
        <w:t xml:space="preserve"> </w:t>
      </w:r>
      <w:r w:rsidR="0037579F">
        <w:t>(ii)</w:t>
      </w:r>
      <w:r w:rsidR="000D3509">
        <w:t xml:space="preserve"> that </w:t>
      </w:r>
      <w:r w:rsidR="003D2709">
        <w:t>there has been a</w:t>
      </w:r>
      <w:r w:rsidR="0037579F">
        <w:t>n erroneous</w:t>
      </w:r>
      <w:r w:rsidR="003D2709">
        <w:t xml:space="preserve"> conflation between the notion of what constitutes an affected person for the purpose of Rule </w:t>
      </w:r>
      <w:r w:rsidR="003D2709">
        <w:lastRenderedPageBreak/>
        <w:t>42</w:t>
      </w:r>
      <w:r w:rsidR="006D1DD7">
        <w:t>(1(a)</w:t>
      </w:r>
      <w:r w:rsidR="003D2709">
        <w:t xml:space="preserve"> and an affected person in terms of the Companies Act</w:t>
      </w:r>
      <w:r w:rsidR="00A94478">
        <w:t>, 71 of 2008</w:t>
      </w:r>
      <w:r w:rsidR="003D2709">
        <w:t xml:space="preserve">. I will refer to this as the </w:t>
      </w:r>
      <w:r w:rsidR="00A94478">
        <w:t>‘</w:t>
      </w:r>
      <w:r w:rsidR="003D2709">
        <w:t>conflation</w:t>
      </w:r>
      <w:r w:rsidR="00A94478">
        <w:t>’</w:t>
      </w:r>
      <w:r w:rsidR="003D2709">
        <w:t xml:space="preserve"> point.</w:t>
      </w:r>
    </w:p>
    <w:p w14:paraId="5E653338" w14:textId="0069DBDB" w:rsidR="00E85597" w:rsidRDefault="00867AEE" w:rsidP="00867AEE">
      <w:pPr>
        <w:spacing w:line="360" w:lineRule="auto"/>
        <w:ind w:left="360" w:hanging="360"/>
        <w:jc w:val="both"/>
      </w:pPr>
      <w:r>
        <w:t>[17]</w:t>
      </w:r>
      <w:r>
        <w:tab/>
      </w:r>
      <w:r w:rsidR="00E85597">
        <w:t>The peremption point is only good if the conflation point is good. This is because if the affected parties in terms of the Companies Act</w:t>
      </w:r>
      <w:r w:rsidR="00BE015C">
        <w:t xml:space="preserve"> (those specified in section 144(3),</w:t>
      </w:r>
      <w:r w:rsidR="00A94478">
        <w:t>145(1) and 146)</w:t>
      </w:r>
      <w:r w:rsidR="00E85597">
        <w:t xml:space="preserve"> are entitled to have been given notice of the perfection application</w:t>
      </w:r>
      <w:r w:rsidR="00A94478">
        <w:t>,</w:t>
      </w:r>
      <w:r w:rsidR="00E85597">
        <w:t xml:space="preserve"> then they</w:t>
      </w:r>
      <w:r w:rsidR="00BE015C">
        <w:t>, and</w:t>
      </w:r>
      <w:r w:rsidR="00A94478">
        <w:t>,</w:t>
      </w:r>
      <w:r w:rsidR="00BE015C">
        <w:t xml:space="preserve"> at the very least</w:t>
      </w:r>
      <w:r w:rsidR="00A94478">
        <w:t>,</w:t>
      </w:r>
      <w:r w:rsidR="00BE015C">
        <w:t xml:space="preserve"> the</w:t>
      </w:r>
      <w:r w:rsidR="00A94478">
        <w:t xml:space="preserve"> fourth and fifth applicants in this </w:t>
      </w:r>
      <w:r w:rsidR="001856F1">
        <w:t>matter, cannot</w:t>
      </w:r>
      <w:r w:rsidR="00E85597">
        <w:t xml:space="preserve"> be taken to have acquiesced in its outcome. </w:t>
      </w:r>
      <w:r w:rsidR="00905AC2">
        <w:t>Without acquiescence there cannot be peremption.</w:t>
      </w:r>
    </w:p>
    <w:p w14:paraId="28A88E8F" w14:textId="3F35D21E" w:rsidR="001856F1" w:rsidRDefault="00867AEE" w:rsidP="00867AEE">
      <w:pPr>
        <w:spacing w:line="360" w:lineRule="auto"/>
        <w:ind w:left="360" w:hanging="360"/>
        <w:jc w:val="both"/>
      </w:pPr>
      <w:r>
        <w:t>[18]</w:t>
      </w:r>
      <w:r>
        <w:tab/>
      </w:r>
      <w:r w:rsidR="00E85597">
        <w:t xml:space="preserve">As far as the conflation point is concerned there has been no conflation. The point at issue is whether one follows a </w:t>
      </w:r>
      <w:r w:rsidR="00D546B9">
        <w:t>traditional</w:t>
      </w:r>
      <w:r w:rsidR="00504216">
        <w:t xml:space="preserve"> </w:t>
      </w:r>
      <w:r w:rsidR="00E85597">
        <w:t>common law approach to</w:t>
      </w:r>
      <w:r w:rsidR="001914F9">
        <w:t xml:space="preserve"> interpreting </w:t>
      </w:r>
      <w:r w:rsidR="00E85597">
        <w:t xml:space="preserve"> Rule 42</w:t>
      </w:r>
      <w:r w:rsidR="00D546B9">
        <w:t>(1)(a)</w:t>
      </w:r>
      <w:r w:rsidR="00E85597">
        <w:t xml:space="preserve"> </w:t>
      </w:r>
      <w:r w:rsidR="00A94478">
        <w:t>(the</w:t>
      </w:r>
      <w:r w:rsidR="00E85597">
        <w:t xml:space="preserve"> Anglowealth approach)</w:t>
      </w:r>
      <w:r w:rsidR="001914F9">
        <w:t>,</w:t>
      </w:r>
      <w:r w:rsidR="00E85597">
        <w:t xml:space="preserve"> </w:t>
      </w:r>
      <w:r w:rsidR="00897E19">
        <w:t xml:space="preserve">where the parties applying for a rescission must demonstrate a direct and substantial interest </w:t>
      </w:r>
      <w:r w:rsidR="00E85597">
        <w:t xml:space="preserve">or one has regard to the unique provisions given to </w:t>
      </w:r>
      <w:r w:rsidR="001914F9">
        <w:t>‘</w:t>
      </w:r>
      <w:r w:rsidR="00E85597">
        <w:t>affected p</w:t>
      </w:r>
      <w:r w:rsidR="008D4C24">
        <w:t>ersons’</w:t>
      </w:r>
      <w:r w:rsidR="001914F9">
        <w:t>’</w:t>
      </w:r>
      <w:r w:rsidR="006D1DD7">
        <w:t>,</w:t>
      </w:r>
      <w:r w:rsidR="00E85597">
        <w:t xml:space="preserve"> as they are defined in the Companies Act</w:t>
      </w:r>
      <w:r w:rsidR="001914F9">
        <w:t xml:space="preserve"> ( the applicants approach)</w:t>
      </w:r>
      <w:r w:rsidR="00E85597">
        <w:t>.</w:t>
      </w:r>
      <w:r w:rsidR="001914F9">
        <w:rPr>
          <w:rStyle w:val="FootnoteReference"/>
        </w:rPr>
        <w:footnoteReference w:id="2"/>
      </w:r>
      <w:r w:rsidR="00E85597">
        <w:t xml:space="preserve"> Whilst both the Rule and the Companies Act use the term </w:t>
      </w:r>
      <w:r w:rsidR="006D1DD7">
        <w:t>‘</w:t>
      </w:r>
      <w:r w:rsidR="00E85597">
        <w:t>affected</w:t>
      </w:r>
      <w:r w:rsidR="006D1DD7">
        <w:t>’</w:t>
      </w:r>
      <w:r w:rsidR="001856F1">
        <w:t>,</w:t>
      </w:r>
      <w:r w:rsidR="00E85597">
        <w:t xml:space="preserve"> there is no conflation of the</w:t>
      </w:r>
      <w:r w:rsidR="001856F1">
        <w:t xml:space="preserve"> legal distinction in</w:t>
      </w:r>
      <w:r w:rsidR="006D1DD7">
        <w:t xml:space="preserve"> the use of</w:t>
      </w:r>
      <w:r w:rsidR="001856F1">
        <w:t xml:space="preserve"> these</w:t>
      </w:r>
      <w:r w:rsidR="00E85597">
        <w:t xml:space="preserve"> terms</w:t>
      </w:r>
      <w:r w:rsidR="006D1DD7">
        <w:t xml:space="preserve"> respectively in terms of the Rule and the Act</w:t>
      </w:r>
      <w:r w:rsidR="00E85597">
        <w:t xml:space="preserve">. The question relates to what rights the Companies Act confers to what it defines as </w:t>
      </w:r>
      <w:r w:rsidR="00D546B9">
        <w:t>‘</w:t>
      </w:r>
      <w:r w:rsidR="00E85597" w:rsidRPr="00867AEE">
        <w:rPr>
          <w:i/>
          <w:iCs/>
        </w:rPr>
        <w:t>affected p</w:t>
      </w:r>
      <w:r w:rsidR="008D4C24" w:rsidRPr="00867AEE">
        <w:rPr>
          <w:i/>
          <w:iCs/>
        </w:rPr>
        <w:t>ersons</w:t>
      </w:r>
      <w:r w:rsidR="00D546B9" w:rsidRPr="00867AEE">
        <w:rPr>
          <w:i/>
          <w:iCs/>
        </w:rPr>
        <w:t>’</w:t>
      </w:r>
      <w:r w:rsidR="00E85597">
        <w:t xml:space="preserve"> in terms of the business rescue provisions</w:t>
      </w:r>
      <w:r w:rsidR="00D546B9">
        <w:t xml:space="preserve"> and hence the implications </w:t>
      </w:r>
      <w:r w:rsidR="001914F9">
        <w:t xml:space="preserve">of </w:t>
      </w:r>
      <w:r w:rsidR="00D546B9">
        <w:t xml:space="preserve">this in </w:t>
      </w:r>
      <w:r w:rsidR="008D4C24">
        <w:t xml:space="preserve">how one should approach </w:t>
      </w:r>
      <w:r w:rsidR="00D546B9">
        <w:t>reading Rule 42(1)(a)</w:t>
      </w:r>
      <w:r w:rsidR="008D4C24">
        <w:t>’s  reference to “</w:t>
      </w:r>
      <w:r w:rsidR="008D4C24" w:rsidRPr="00867AEE">
        <w:rPr>
          <w:i/>
          <w:iCs/>
        </w:rPr>
        <w:t>any party affected</w:t>
      </w:r>
      <w:r w:rsidR="008D4C24">
        <w:t>”</w:t>
      </w:r>
      <w:r w:rsidR="00D546B9">
        <w:t>.</w:t>
      </w:r>
      <w:r w:rsidR="001856F1">
        <w:t xml:space="preserve"> </w:t>
      </w:r>
    </w:p>
    <w:p w14:paraId="76CCCE97" w14:textId="3F0DA40D" w:rsidR="00043C54" w:rsidRDefault="00867AEE" w:rsidP="00867AEE">
      <w:pPr>
        <w:spacing w:line="360" w:lineRule="auto"/>
        <w:ind w:left="360" w:hanging="360"/>
        <w:jc w:val="both"/>
      </w:pPr>
      <w:r>
        <w:t>[19]</w:t>
      </w:r>
      <w:r>
        <w:tab/>
      </w:r>
      <w:r w:rsidR="001856F1">
        <w:t>Whilst I stated in my reasons that this point has</w:t>
      </w:r>
      <w:r w:rsidR="006D1DD7">
        <w:t>,</w:t>
      </w:r>
      <w:r w:rsidR="001856F1">
        <w:t xml:space="preserve"> according to both parties</w:t>
      </w:r>
      <w:r w:rsidR="006D1DD7">
        <w:t>,</w:t>
      </w:r>
      <w:r w:rsidR="001856F1">
        <w:t xml:space="preserve"> not previously been decided, there is a prior question to be decided before I can consider if this constitutes a sufficient ground for granting leave to appeal. </w:t>
      </w:r>
      <w:r w:rsidR="00AD1244">
        <w:t xml:space="preserve">I must first consider the argument by the applicants that the </w:t>
      </w:r>
      <w:r w:rsidR="00A13F7C">
        <w:t xml:space="preserve">rescission </w:t>
      </w:r>
      <w:r w:rsidR="00AD1244">
        <w:t>judgment is not appealable.</w:t>
      </w:r>
      <w:r w:rsidR="006D1DD7">
        <w:t xml:space="preserve"> If that is </w:t>
      </w:r>
      <w:r w:rsidR="00AE558E">
        <w:t>correct,</w:t>
      </w:r>
      <w:r w:rsidR="006D1DD7">
        <w:t xml:space="preserve"> then that is decisive of the matter.</w:t>
      </w:r>
    </w:p>
    <w:p w14:paraId="2E3CB822" w14:textId="67E588BE" w:rsidR="00AD1244" w:rsidRDefault="00867AEE" w:rsidP="00867AEE">
      <w:pPr>
        <w:spacing w:line="360" w:lineRule="auto"/>
        <w:ind w:left="360" w:hanging="360"/>
        <w:jc w:val="both"/>
      </w:pPr>
      <w:r>
        <w:t>[20]</w:t>
      </w:r>
      <w:r>
        <w:tab/>
      </w:r>
      <w:r w:rsidR="00AD1244">
        <w:t xml:space="preserve">The applicants argue that </w:t>
      </w:r>
      <w:r w:rsidR="00A13F7C">
        <w:t xml:space="preserve">generally </w:t>
      </w:r>
      <w:r w:rsidR="00AD1244">
        <w:t>a re</w:t>
      </w:r>
      <w:r w:rsidR="0053064F">
        <w:t>s</w:t>
      </w:r>
      <w:r w:rsidR="00AD1244">
        <w:t xml:space="preserve">cission of a judgment is not appealable because it lacks the core element of finality. The leading decision on this point is the </w:t>
      </w:r>
      <w:r w:rsidR="00D969B4">
        <w:t>Supreme Court of Appeal (</w:t>
      </w:r>
      <w:r w:rsidR="00AD1244">
        <w:t>SCA</w:t>
      </w:r>
      <w:r w:rsidR="00D969B4">
        <w:t>)</w:t>
      </w:r>
      <w:r w:rsidR="00AD1244">
        <w:t xml:space="preserve"> decision in </w:t>
      </w:r>
      <w:r w:rsidR="00AD1244" w:rsidRPr="00867AEE">
        <w:rPr>
          <w:b/>
          <w:i/>
          <w:iCs/>
        </w:rPr>
        <w:t>Zweni v Minister of Law and Order</w:t>
      </w:r>
      <w:r w:rsidR="00AD1244">
        <w:t xml:space="preserve"> </w:t>
      </w:r>
      <w:r w:rsidR="00AD1244">
        <w:lastRenderedPageBreak/>
        <w:t xml:space="preserve">where the court explained </w:t>
      </w:r>
      <w:r w:rsidR="00D969B4">
        <w:t>that</w:t>
      </w:r>
      <w:r w:rsidR="00003D45">
        <w:t>,</w:t>
      </w:r>
      <w:r w:rsidR="00D969B4">
        <w:t xml:space="preserve"> what is meant by </w:t>
      </w:r>
      <w:r w:rsidR="00AD1244">
        <w:t xml:space="preserve">finality </w:t>
      </w:r>
      <w:r w:rsidR="00D969B4">
        <w:t xml:space="preserve">is the presence of </w:t>
      </w:r>
      <w:r w:rsidR="00AD1244">
        <w:t>three attributes:</w:t>
      </w:r>
    </w:p>
    <w:p w14:paraId="163ACBD8" w14:textId="1BC7B747" w:rsidR="00AD1244" w:rsidRPr="00BB34AB" w:rsidRDefault="00AD1244" w:rsidP="000C33EE">
      <w:pPr>
        <w:pStyle w:val="ListParagraph"/>
        <w:spacing w:line="360" w:lineRule="auto"/>
        <w:ind w:left="360"/>
        <w:jc w:val="both"/>
      </w:pPr>
      <w:r>
        <w:t>“…</w:t>
      </w:r>
      <w:r w:rsidRPr="00AD1244">
        <w:t xml:space="preserve"> </w:t>
      </w:r>
      <w:r w:rsidRPr="00AD1244">
        <w:rPr>
          <w:i/>
          <w:iCs/>
        </w:rPr>
        <w:t>first, the decision must be final in effect and not susceptible of alteration by the Court of first instance; second, it must be definitive of the rights of the parties; and, third, it must have the effect of disposing of at least a substantial portion of the relief claimed in the main proceedings</w:t>
      </w:r>
      <w:r>
        <w:rPr>
          <w:i/>
          <w:iCs/>
        </w:rPr>
        <w:t>.”</w:t>
      </w:r>
      <w:r w:rsidR="00515341">
        <w:rPr>
          <w:rStyle w:val="FootnoteReference"/>
          <w:i/>
          <w:iCs/>
        </w:rPr>
        <w:footnoteReference w:id="3"/>
      </w:r>
    </w:p>
    <w:p w14:paraId="02A61C1E" w14:textId="0E222543" w:rsidR="0061437B" w:rsidRDefault="00867AEE" w:rsidP="00867AEE">
      <w:pPr>
        <w:spacing w:line="360" w:lineRule="auto"/>
        <w:ind w:left="360" w:hanging="360"/>
        <w:jc w:val="both"/>
      </w:pPr>
      <w:r>
        <w:t>[21]</w:t>
      </w:r>
      <w:r>
        <w:tab/>
      </w:r>
      <w:r w:rsidR="00BB34AB">
        <w:t xml:space="preserve">Anglowealth argued that </w:t>
      </w:r>
      <w:r w:rsidR="00D969B4">
        <w:t xml:space="preserve">recent court decisions indicate a trend in which a strict adherence to </w:t>
      </w:r>
      <w:r w:rsidR="00BB34AB" w:rsidRPr="00867AEE">
        <w:rPr>
          <w:i/>
          <w:iCs/>
        </w:rPr>
        <w:t>Zweni’s</w:t>
      </w:r>
      <w:r w:rsidR="00D969B4" w:rsidRPr="00867AEE">
        <w:rPr>
          <w:i/>
          <w:iCs/>
        </w:rPr>
        <w:t xml:space="preserve"> </w:t>
      </w:r>
      <w:r w:rsidR="00D969B4">
        <w:t xml:space="preserve">three </w:t>
      </w:r>
      <w:r w:rsidR="004A1474">
        <w:t xml:space="preserve">requirements has been superseded by </w:t>
      </w:r>
      <w:r w:rsidR="0061437B">
        <w:t xml:space="preserve">a </w:t>
      </w:r>
      <w:r w:rsidR="00BB34AB">
        <w:t>pragmatic</w:t>
      </w:r>
      <w:r w:rsidR="004A1474">
        <w:t>,</w:t>
      </w:r>
      <w:r w:rsidR="00BB34AB">
        <w:t xml:space="preserve"> </w:t>
      </w:r>
      <w:r w:rsidR="0078372A">
        <w:t>fact-based</w:t>
      </w:r>
      <w:r w:rsidR="00BB34AB">
        <w:t xml:space="preserve"> </w:t>
      </w:r>
      <w:r w:rsidR="0061437B">
        <w:t>approach</w:t>
      </w:r>
      <w:r w:rsidR="00BB34AB">
        <w:t xml:space="preserve">.  </w:t>
      </w:r>
    </w:p>
    <w:p w14:paraId="639328D2" w14:textId="4E63C4D9" w:rsidR="004C738D" w:rsidRDefault="00867AEE" w:rsidP="00867AEE">
      <w:pPr>
        <w:spacing w:line="360" w:lineRule="auto"/>
        <w:ind w:left="360" w:hanging="360"/>
        <w:jc w:val="both"/>
      </w:pPr>
      <w:r>
        <w:t>[22]</w:t>
      </w:r>
      <w:r>
        <w:tab/>
      </w:r>
      <w:r w:rsidR="004C738D">
        <w:t xml:space="preserve">Perhaps the most succinct </w:t>
      </w:r>
      <w:r w:rsidR="006D1DD7">
        <w:t>summation</w:t>
      </w:r>
      <w:r w:rsidR="004C738D">
        <w:t xml:space="preserve"> of this more </w:t>
      </w:r>
      <w:r w:rsidR="004A1474">
        <w:t>flexible</w:t>
      </w:r>
      <w:r w:rsidR="004C738D">
        <w:t xml:space="preserve"> post </w:t>
      </w:r>
      <w:r w:rsidR="004C738D" w:rsidRPr="00867AEE">
        <w:rPr>
          <w:i/>
          <w:iCs/>
        </w:rPr>
        <w:t>Zwen</w:t>
      </w:r>
      <w:r w:rsidR="004C738D">
        <w:t xml:space="preserve">i approach </w:t>
      </w:r>
      <w:r w:rsidR="006D1DD7">
        <w:t xml:space="preserve">come </w:t>
      </w:r>
      <w:r w:rsidR="004C738D">
        <w:t xml:space="preserve">in the remarks of Moseneke DCJ in the </w:t>
      </w:r>
      <w:r w:rsidR="004C738D" w:rsidRPr="00867AEE">
        <w:rPr>
          <w:b/>
          <w:i/>
          <w:iCs/>
        </w:rPr>
        <w:t>OUTA</w:t>
      </w:r>
      <w:r w:rsidR="004C738D">
        <w:t xml:space="preserve"> case where he stated:</w:t>
      </w:r>
    </w:p>
    <w:p w14:paraId="1F91E6CB" w14:textId="3B67B79C" w:rsidR="004C738D" w:rsidRPr="005E17E4" w:rsidRDefault="004C738D" w:rsidP="00656DFA">
      <w:pPr>
        <w:pStyle w:val="ListParagraph"/>
        <w:spacing w:line="360" w:lineRule="auto"/>
        <w:ind w:left="360"/>
        <w:jc w:val="both"/>
        <w:rPr>
          <w:i/>
          <w:iCs/>
        </w:rPr>
      </w:pPr>
      <w:r>
        <w:rPr>
          <w:i/>
          <w:iCs/>
        </w:rPr>
        <w:t>“</w:t>
      </w:r>
      <w:r w:rsidRPr="005E17E4">
        <w:rPr>
          <w:i/>
          <w:iCs/>
        </w:rPr>
        <w:t xml:space="preserve">Whether an interim order has a final effect or disposes of a substantial portion of the relief sought in a pending review is a relevant and important consideration. Yet, it is not the only or always decisive consideration. It is just as important to assess whether the temporary restraining order has an immediate and substantial effect, including whether the harm that flows </w:t>
      </w:r>
      <w:r>
        <w:rPr>
          <w:i/>
          <w:iCs/>
        </w:rPr>
        <w:t>f</w:t>
      </w:r>
      <w:r w:rsidRPr="005E17E4">
        <w:rPr>
          <w:i/>
          <w:iCs/>
        </w:rPr>
        <w:t>rom it is serious, immediate, ongoing and</w:t>
      </w:r>
      <w:r>
        <w:rPr>
          <w:i/>
          <w:iCs/>
        </w:rPr>
        <w:t xml:space="preserve"> irreparable.”</w:t>
      </w:r>
      <w:r w:rsidR="00EF5BDB">
        <w:rPr>
          <w:rStyle w:val="FootnoteReference"/>
          <w:i/>
          <w:iCs/>
        </w:rPr>
        <w:footnoteReference w:id="4"/>
      </w:r>
    </w:p>
    <w:p w14:paraId="55DEE8BB" w14:textId="77777777" w:rsidR="004C738D" w:rsidRDefault="004C738D" w:rsidP="00656DFA">
      <w:pPr>
        <w:pStyle w:val="ListParagraph"/>
        <w:spacing w:line="360" w:lineRule="auto"/>
        <w:ind w:left="360"/>
        <w:jc w:val="both"/>
      </w:pPr>
    </w:p>
    <w:p w14:paraId="7706D92C" w14:textId="35D7B861" w:rsidR="000725B4" w:rsidRDefault="00867AEE" w:rsidP="00867AEE">
      <w:pPr>
        <w:spacing w:line="360" w:lineRule="auto"/>
        <w:ind w:left="360" w:hanging="360"/>
        <w:jc w:val="both"/>
      </w:pPr>
      <w:r>
        <w:t>[23]</w:t>
      </w:r>
      <w:r>
        <w:tab/>
      </w:r>
      <w:r w:rsidR="00666596">
        <w:t>A subsequent example of this more flexible approach</w:t>
      </w:r>
      <w:r w:rsidR="00E13034">
        <w:t xml:space="preserve"> is a decision of a full bench of this division </w:t>
      </w:r>
      <w:r w:rsidR="00BC0913">
        <w:t xml:space="preserve">in </w:t>
      </w:r>
      <w:r w:rsidR="00E13034">
        <w:t>the case of</w:t>
      </w:r>
      <w:r w:rsidR="00E54AB8">
        <w:t xml:space="preserve"> </w:t>
      </w:r>
      <w:r w:rsidR="00E13034" w:rsidRPr="00867AEE">
        <w:rPr>
          <w:b/>
          <w:i/>
          <w:iCs/>
        </w:rPr>
        <w:t>R v R</w:t>
      </w:r>
      <w:r w:rsidR="00E54AB8" w:rsidRPr="00867AEE">
        <w:rPr>
          <w:i/>
          <w:iCs/>
        </w:rPr>
        <w:t xml:space="preserve"> </w:t>
      </w:r>
      <w:r w:rsidR="00AC0A82">
        <w:rPr>
          <w:rStyle w:val="FootnoteReference"/>
          <w:i/>
          <w:iCs/>
        </w:rPr>
        <w:footnoteReference w:id="5"/>
      </w:r>
      <w:r w:rsidR="00E13034" w:rsidRPr="00867AEE">
        <w:rPr>
          <w:i/>
          <w:iCs/>
        </w:rPr>
        <w:t xml:space="preserve"> </w:t>
      </w:r>
      <w:r w:rsidR="00E13034">
        <w:t>. This was an appeal against an interim award of custody. In terms of the interim order</w:t>
      </w:r>
      <w:r w:rsidR="00BC0913">
        <w:t>,</w:t>
      </w:r>
      <w:r w:rsidR="00E13034">
        <w:t xml:space="preserve"> the </w:t>
      </w:r>
      <w:r w:rsidR="00BC0913">
        <w:t xml:space="preserve">care and </w:t>
      </w:r>
      <w:r w:rsidR="00E13034">
        <w:t xml:space="preserve">custody of a minor child </w:t>
      </w:r>
      <w:r w:rsidR="000725B4">
        <w:t>was transferred from the mother to the grandmother</w:t>
      </w:r>
      <w:r w:rsidR="00E54AB8">
        <w:t>,</w:t>
      </w:r>
      <w:r w:rsidR="000725B4">
        <w:t xml:space="preserve"> pending a final award. The mother appealed the interim order unsuccessfully and then petitioned the SCA. Pending that petition she sought to have the order suspended. The full court had to decide whether the order was final in effect despite being an interim order. The court held it was final in effect. Here the court explained:</w:t>
      </w:r>
    </w:p>
    <w:p w14:paraId="3119190E" w14:textId="77777777" w:rsidR="0052578C" w:rsidRDefault="0052578C" w:rsidP="00656DFA">
      <w:pPr>
        <w:pStyle w:val="ListParagraph"/>
        <w:spacing w:line="360" w:lineRule="auto"/>
        <w:ind w:left="360"/>
        <w:jc w:val="both"/>
      </w:pPr>
    </w:p>
    <w:p w14:paraId="6A1F6E4E" w14:textId="49B62D4E" w:rsidR="00E13034" w:rsidRDefault="0052578C" w:rsidP="00A816AD">
      <w:pPr>
        <w:pStyle w:val="ListParagraph"/>
        <w:spacing w:line="360" w:lineRule="auto"/>
        <w:ind w:left="360"/>
        <w:jc w:val="both"/>
        <w:rPr>
          <w:i/>
          <w:iCs/>
        </w:rPr>
      </w:pPr>
      <w:r>
        <w:rPr>
          <w:i/>
          <w:iCs/>
        </w:rPr>
        <w:lastRenderedPageBreak/>
        <w:t>“</w:t>
      </w:r>
      <w:r w:rsidR="009B6E42" w:rsidRPr="00766458">
        <w:rPr>
          <w:i/>
          <w:iCs/>
        </w:rPr>
        <w:t>In general, the attribute of "finality" which may attach itself to a, supposedly, interim order is of course not to be equated with an order which is literally "irreversible". The point at issue is effect not form. However, even with a reversible order, the aspects of the duration that the order is to operate, the likelihood of contingent factors that might provoke a reconsideration of the order and the logistics of a reverse transition from a change brought about by a new status quo created by the implementation of the order all weigh in the assessment of the true "effect" of an order.</w:t>
      </w:r>
      <w:r>
        <w:rPr>
          <w:i/>
          <w:iCs/>
        </w:rPr>
        <w:t>”</w:t>
      </w:r>
      <w:r w:rsidR="000725B4" w:rsidRPr="00766458">
        <w:rPr>
          <w:i/>
          <w:iCs/>
        </w:rPr>
        <w:t xml:space="preserve"> </w:t>
      </w:r>
    </w:p>
    <w:p w14:paraId="63B3B542" w14:textId="77777777" w:rsidR="0052578C" w:rsidRPr="00766458" w:rsidRDefault="0052578C" w:rsidP="00656DFA">
      <w:pPr>
        <w:pStyle w:val="ListParagraph"/>
        <w:spacing w:line="360" w:lineRule="auto"/>
        <w:ind w:left="360"/>
        <w:jc w:val="both"/>
        <w:rPr>
          <w:i/>
          <w:iCs/>
        </w:rPr>
      </w:pPr>
    </w:p>
    <w:p w14:paraId="20BC3DB1" w14:textId="5A41D533" w:rsidR="004C1E2A" w:rsidRPr="001018B5" w:rsidRDefault="00867AEE" w:rsidP="00867AEE">
      <w:pPr>
        <w:spacing w:line="360" w:lineRule="auto"/>
        <w:ind w:left="360" w:hanging="360"/>
        <w:jc w:val="both"/>
      </w:pPr>
      <w:r w:rsidRPr="001018B5">
        <w:t>[24]</w:t>
      </w:r>
      <w:r w:rsidRPr="001018B5">
        <w:tab/>
      </w:r>
      <w:r w:rsidR="00986036" w:rsidRPr="001018B5">
        <w:t xml:space="preserve">These cases indicate that when the facts justify it, a more flexible approach to applying the </w:t>
      </w:r>
      <w:r w:rsidR="00986036" w:rsidRPr="00867AEE">
        <w:rPr>
          <w:i/>
          <w:iCs/>
        </w:rPr>
        <w:t>Zweni</w:t>
      </w:r>
      <w:r w:rsidR="00986036" w:rsidRPr="001018B5">
        <w:t xml:space="preserve"> </w:t>
      </w:r>
      <w:r w:rsidR="004C1E2A" w:rsidRPr="001018B5">
        <w:t>factors has been adopted. But this does not mean</w:t>
      </w:r>
      <w:r w:rsidR="00905AC2">
        <w:t xml:space="preserve"> the</w:t>
      </w:r>
      <w:r w:rsidR="004C1E2A" w:rsidRPr="001018B5">
        <w:t xml:space="preserve"> </w:t>
      </w:r>
      <w:r w:rsidR="004C1E2A" w:rsidRPr="00867AEE">
        <w:rPr>
          <w:i/>
          <w:iCs/>
        </w:rPr>
        <w:t>Zweni</w:t>
      </w:r>
      <w:r w:rsidR="004C1E2A" w:rsidRPr="001018B5">
        <w:t xml:space="preserve"> </w:t>
      </w:r>
      <w:r w:rsidR="00905AC2">
        <w:t>requirements have</w:t>
      </w:r>
      <w:r w:rsidR="004C1E2A" w:rsidRPr="001018B5">
        <w:t xml:space="preserve"> been dispensed with. The question </w:t>
      </w:r>
      <w:r w:rsidR="00905AC2">
        <w:t xml:space="preserve">rather </w:t>
      </w:r>
      <w:r w:rsidR="004C1E2A" w:rsidRPr="001018B5">
        <w:t xml:space="preserve">is whether the facts </w:t>
      </w:r>
      <w:r w:rsidR="00905AC2">
        <w:t xml:space="preserve">of a particular case </w:t>
      </w:r>
      <w:r w:rsidR="004C1E2A" w:rsidRPr="001018B5">
        <w:t xml:space="preserve">justify such a departure. </w:t>
      </w:r>
      <w:r w:rsidR="00986036" w:rsidRPr="001018B5">
        <w:t xml:space="preserve"> </w:t>
      </w:r>
    </w:p>
    <w:p w14:paraId="38E65215" w14:textId="38573C1A" w:rsidR="004C1E2A" w:rsidRPr="001018B5" w:rsidRDefault="00867AEE" w:rsidP="00867AEE">
      <w:pPr>
        <w:spacing w:line="360" w:lineRule="auto"/>
        <w:ind w:left="360" w:hanging="360"/>
        <w:jc w:val="both"/>
      </w:pPr>
      <w:r w:rsidRPr="001018B5">
        <w:t>[25]</w:t>
      </w:r>
      <w:r w:rsidRPr="001018B5">
        <w:tab/>
      </w:r>
      <w:r w:rsidR="004C1E2A" w:rsidRPr="001018B5">
        <w:t>In two recent cases the SCA has</w:t>
      </w:r>
      <w:r w:rsidR="00905AC2">
        <w:t xml:space="preserve"> continued to </w:t>
      </w:r>
      <w:r w:rsidR="004C1E2A" w:rsidRPr="001018B5">
        <w:t xml:space="preserve">follow </w:t>
      </w:r>
      <w:r w:rsidR="004C1E2A" w:rsidRPr="00867AEE">
        <w:rPr>
          <w:i/>
          <w:iCs/>
        </w:rPr>
        <w:t>Zweni</w:t>
      </w:r>
      <w:r w:rsidR="00391406" w:rsidRPr="00867AEE">
        <w:rPr>
          <w:i/>
          <w:iCs/>
        </w:rPr>
        <w:t xml:space="preserve">. </w:t>
      </w:r>
      <w:r w:rsidR="00391406">
        <w:t xml:space="preserve">Moreover, </w:t>
      </w:r>
      <w:r w:rsidR="004C1E2A" w:rsidRPr="001018B5">
        <w:t>they are</w:t>
      </w:r>
      <w:r w:rsidR="007F54C0">
        <w:t xml:space="preserve"> directly</w:t>
      </w:r>
      <w:r w:rsidR="004C1E2A" w:rsidRPr="001018B5">
        <w:t xml:space="preserve"> in point because both involve appeals in respect of re</w:t>
      </w:r>
      <w:r w:rsidR="0053064F">
        <w:t>s</w:t>
      </w:r>
      <w:r w:rsidR="004C1E2A" w:rsidRPr="001018B5">
        <w:t xml:space="preserve">cission orders. </w:t>
      </w:r>
    </w:p>
    <w:p w14:paraId="656B3B86" w14:textId="077108D1" w:rsidR="0099115B" w:rsidRPr="0077458D" w:rsidRDefault="00867AEE" w:rsidP="00867AEE">
      <w:pPr>
        <w:spacing w:line="360" w:lineRule="auto"/>
        <w:ind w:left="360" w:hanging="360"/>
        <w:jc w:val="both"/>
      </w:pPr>
      <w:r w:rsidRPr="0077458D">
        <w:t>[26]</w:t>
      </w:r>
      <w:r w:rsidRPr="0077458D">
        <w:tab/>
      </w:r>
      <w:r w:rsidR="0077458D">
        <w:t xml:space="preserve">In </w:t>
      </w:r>
      <w:r w:rsidR="00183938" w:rsidRPr="00867AEE">
        <w:rPr>
          <w:b/>
          <w:i/>
          <w:iCs/>
        </w:rPr>
        <w:t>FirstRand bank Ltd v McLachlan and Others</w:t>
      </w:r>
      <w:r w:rsidR="007F54C0" w:rsidRPr="00867AEE">
        <w:rPr>
          <w:i/>
          <w:iCs/>
        </w:rPr>
        <w:t xml:space="preserve"> </w:t>
      </w:r>
      <w:r w:rsidR="00AB1EBD">
        <w:rPr>
          <w:rStyle w:val="FootnoteReference"/>
          <w:i/>
          <w:iCs/>
        </w:rPr>
        <w:footnoteReference w:id="6"/>
      </w:r>
      <w:r w:rsidR="0077458D">
        <w:t xml:space="preserve"> the court in the passage I cite below</w:t>
      </w:r>
      <w:r w:rsidR="007F54C0">
        <w:t xml:space="preserve"> held (Note this passage</w:t>
      </w:r>
      <w:r w:rsidR="0077458D">
        <w:t xml:space="preserve"> also quotes from the second case </w:t>
      </w:r>
      <w:r w:rsidR="0052578C">
        <w:t>in point,</w:t>
      </w:r>
      <w:r w:rsidR="0077458D">
        <w:t xml:space="preserve"> </w:t>
      </w:r>
      <w:r w:rsidR="0077458D" w:rsidRPr="00867AEE">
        <w:rPr>
          <w:i/>
          <w:iCs/>
        </w:rPr>
        <w:t>HMI Healthcare Corporation</w:t>
      </w:r>
      <w:r w:rsidR="007F54C0" w:rsidRPr="00867AEE">
        <w:rPr>
          <w:i/>
          <w:iCs/>
        </w:rPr>
        <w:t xml:space="preserve"> </w:t>
      </w:r>
      <w:r w:rsidR="0077458D">
        <w:rPr>
          <w:rStyle w:val="FootnoteReference"/>
          <w:i/>
          <w:iCs/>
        </w:rPr>
        <w:footnoteReference w:id="7"/>
      </w:r>
      <w:r w:rsidR="007F54C0" w:rsidRPr="00867AEE">
        <w:rPr>
          <w:i/>
          <w:iCs/>
        </w:rPr>
        <w:t>)</w:t>
      </w:r>
      <w:r w:rsidR="0077458D">
        <w:t xml:space="preserve">: </w:t>
      </w:r>
    </w:p>
    <w:p w14:paraId="72F47F8C" w14:textId="77777777" w:rsidR="0052578C" w:rsidRDefault="0052578C" w:rsidP="00656DFA">
      <w:pPr>
        <w:pStyle w:val="ListParagraph"/>
        <w:spacing w:line="360" w:lineRule="auto"/>
        <w:ind w:left="360"/>
        <w:jc w:val="both"/>
      </w:pPr>
    </w:p>
    <w:p w14:paraId="1AEE6F91" w14:textId="118ABADE" w:rsidR="0099115B" w:rsidRDefault="000279F4" w:rsidP="00656DFA">
      <w:pPr>
        <w:pStyle w:val="ListParagraph"/>
        <w:spacing w:line="360" w:lineRule="auto"/>
        <w:ind w:left="360"/>
        <w:jc w:val="both"/>
        <w:rPr>
          <w:i/>
          <w:iCs/>
        </w:rPr>
      </w:pPr>
      <w:r>
        <w:t>“</w:t>
      </w:r>
      <w:r w:rsidR="0099115B" w:rsidRPr="0099115B">
        <w:rPr>
          <w:i/>
          <w:iCs/>
        </w:rPr>
        <w:t xml:space="preserve">The law on which judgments are appealable is settled. I am in full agreement with the counsel for the appellant that the rescission order granted by the </w:t>
      </w:r>
      <w:r w:rsidR="0077458D" w:rsidRPr="0099115B">
        <w:rPr>
          <w:i/>
          <w:iCs/>
        </w:rPr>
        <w:t>magistrates court</w:t>
      </w:r>
      <w:r w:rsidR="0099115B" w:rsidRPr="0099115B">
        <w:rPr>
          <w:i/>
          <w:iCs/>
        </w:rPr>
        <w:t xml:space="preserve"> was not appealable in terms of s 83(b) of the </w:t>
      </w:r>
      <w:r w:rsidR="0077458D" w:rsidRPr="0099115B">
        <w:rPr>
          <w:i/>
          <w:iCs/>
        </w:rPr>
        <w:t xml:space="preserve">Magistrates </w:t>
      </w:r>
      <w:r w:rsidR="0077458D">
        <w:rPr>
          <w:i/>
          <w:iCs/>
        </w:rPr>
        <w:t>C</w:t>
      </w:r>
      <w:r w:rsidR="0077458D" w:rsidRPr="0099115B">
        <w:rPr>
          <w:i/>
          <w:iCs/>
        </w:rPr>
        <w:t>ourts</w:t>
      </w:r>
      <w:r w:rsidR="0099115B" w:rsidRPr="0099115B">
        <w:rPr>
          <w:i/>
          <w:iCs/>
        </w:rPr>
        <w:t xml:space="preserve"> Act 32 of 1944. It was an interlocutory order, which placed the parties back in the position in which they were before the rearrangement order was granted. This court in </w:t>
      </w:r>
      <w:bookmarkStart w:id="1" w:name="_Hlk89250342"/>
      <w:r w:rsidR="0099115B" w:rsidRPr="0099115B">
        <w:rPr>
          <w:i/>
          <w:iCs/>
        </w:rPr>
        <w:t>HMI Healthcare Corporation (</w:t>
      </w:r>
      <w:r w:rsidR="0077458D">
        <w:rPr>
          <w:i/>
          <w:iCs/>
        </w:rPr>
        <w:t>P</w:t>
      </w:r>
      <w:r w:rsidR="0099115B" w:rsidRPr="0099115B">
        <w:rPr>
          <w:i/>
          <w:iCs/>
        </w:rPr>
        <w:t xml:space="preserve">ty) Ltd v Medshield Medical Scheme and Others [2017] ZASCA 160 </w:t>
      </w:r>
      <w:bookmarkEnd w:id="1"/>
      <w:r w:rsidR="0099115B" w:rsidRPr="0099115B">
        <w:rPr>
          <w:i/>
          <w:iCs/>
        </w:rPr>
        <w:t>stated in para 18: 'It is plain that a rescission order does not have a final and definitive effect. In De Vos v Cooper &amp; Ferreira this court expressed the view that (s)o 'n bevel [that is, a rescission order] het immers nie enige finale of bes</w:t>
      </w:r>
      <w:r w:rsidR="0077458D">
        <w:rPr>
          <w:i/>
          <w:iCs/>
        </w:rPr>
        <w:t>l</w:t>
      </w:r>
      <w:r w:rsidR="0099115B" w:rsidRPr="0099115B">
        <w:rPr>
          <w:i/>
          <w:iCs/>
        </w:rPr>
        <w:t xml:space="preserve">issende uitwerking op </w:t>
      </w:r>
      <w:r w:rsidR="0099115B" w:rsidRPr="0099115B">
        <w:rPr>
          <w:i/>
          <w:iCs/>
        </w:rPr>
        <w:lastRenderedPageBreak/>
        <w:t>die geskilpunte in die hoofgeding nie. The rescission order simply returns the parties to the positions which they were in prior to the ex parte order being granted.</w:t>
      </w:r>
      <w:r w:rsidR="00AC0A82">
        <w:rPr>
          <w:i/>
          <w:iCs/>
        </w:rPr>
        <w:t>”</w:t>
      </w:r>
      <w:r w:rsidR="0099115B" w:rsidRPr="0099115B">
        <w:rPr>
          <w:i/>
          <w:iCs/>
        </w:rPr>
        <w:t xml:space="preserve"> </w:t>
      </w:r>
      <w:r>
        <w:rPr>
          <w:rStyle w:val="FootnoteReference"/>
          <w:i/>
          <w:iCs/>
        </w:rPr>
        <w:footnoteReference w:id="8"/>
      </w:r>
    </w:p>
    <w:p w14:paraId="122F7E70" w14:textId="77777777" w:rsidR="0052578C" w:rsidRDefault="0052578C" w:rsidP="00656DFA">
      <w:pPr>
        <w:pStyle w:val="ListParagraph"/>
        <w:spacing w:line="360" w:lineRule="auto"/>
        <w:ind w:left="360"/>
        <w:jc w:val="both"/>
        <w:rPr>
          <w:i/>
          <w:iCs/>
        </w:rPr>
      </w:pPr>
    </w:p>
    <w:p w14:paraId="4054B149" w14:textId="257A3F8B" w:rsidR="0021182F" w:rsidRPr="00867AEE" w:rsidRDefault="00867AEE" w:rsidP="00867AEE">
      <w:pPr>
        <w:spacing w:line="360" w:lineRule="auto"/>
        <w:ind w:left="360" w:hanging="360"/>
        <w:jc w:val="both"/>
        <w:rPr>
          <w:i/>
          <w:iCs/>
        </w:rPr>
      </w:pPr>
      <w:r w:rsidRPr="00B05B0F">
        <w:rPr>
          <w:i/>
          <w:iCs/>
        </w:rPr>
        <w:t>[27]</w:t>
      </w:r>
      <w:r w:rsidRPr="00B05B0F">
        <w:rPr>
          <w:i/>
          <w:iCs/>
        </w:rPr>
        <w:tab/>
      </w:r>
      <w:r w:rsidR="0021182F">
        <w:t>Importantly</w:t>
      </w:r>
      <w:r w:rsidR="001018B5">
        <w:t>,</w:t>
      </w:r>
      <w:r w:rsidR="0052578C">
        <w:t xml:space="preserve"> it is apparent from </w:t>
      </w:r>
      <w:r w:rsidR="0021182F">
        <w:t xml:space="preserve">the </w:t>
      </w:r>
      <w:r w:rsidR="0021182F" w:rsidRPr="00867AEE">
        <w:rPr>
          <w:i/>
          <w:iCs/>
        </w:rPr>
        <w:t>HMI</w:t>
      </w:r>
      <w:r w:rsidR="0021182F">
        <w:t xml:space="preserve"> decision that the court was aware of the </w:t>
      </w:r>
      <w:r w:rsidR="00666596">
        <w:t>post-</w:t>
      </w:r>
      <w:r w:rsidR="00666596" w:rsidRPr="00867AEE">
        <w:rPr>
          <w:i/>
          <w:iCs/>
        </w:rPr>
        <w:t>Zweni</w:t>
      </w:r>
      <w:r w:rsidR="00666596">
        <w:t xml:space="preserve"> </w:t>
      </w:r>
      <w:r w:rsidR="0021182F">
        <w:t>chang</w:t>
      </w:r>
      <w:r w:rsidR="00666596">
        <w:t>e of</w:t>
      </w:r>
      <w:r w:rsidR="0021182F">
        <w:t xml:space="preserve"> approach in some </w:t>
      </w:r>
      <w:r w:rsidR="0052578C">
        <w:t xml:space="preserve">court </w:t>
      </w:r>
      <w:r w:rsidR="0021182F">
        <w:t>decisions</w:t>
      </w:r>
      <w:r w:rsidR="0052578C" w:rsidRPr="00867AEE">
        <w:rPr>
          <w:i/>
          <w:iCs/>
        </w:rPr>
        <w:t>,</w:t>
      </w:r>
      <w:r w:rsidR="0021182F">
        <w:t xml:space="preserve"> but</w:t>
      </w:r>
      <w:r w:rsidR="00666596">
        <w:t xml:space="preserve"> nevertheless</w:t>
      </w:r>
      <w:r w:rsidR="0021182F">
        <w:t xml:space="preserve"> this did not cause it to alter its approach to a re</w:t>
      </w:r>
      <w:r w:rsidR="0053064F">
        <w:t>s</w:t>
      </w:r>
      <w:r w:rsidR="0021182F">
        <w:t>cission case:</w:t>
      </w:r>
    </w:p>
    <w:p w14:paraId="1CB0AE24" w14:textId="77777777" w:rsidR="0052578C" w:rsidRDefault="0052578C" w:rsidP="00656DFA">
      <w:pPr>
        <w:pStyle w:val="ListParagraph"/>
        <w:spacing w:line="360" w:lineRule="auto"/>
        <w:ind w:left="360"/>
        <w:jc w:val="both"/>
        <w:rPr>
          <w:i/>
          <w:iCs/>
        </w:rPr>
      </w:pPr>
    </w:p>
    <w:p w14:paraId="6554A481" w14:textId="06621F0F" w:rsidR="00B05B0F" w:rsidRPr="0086126B" w:rsidRDefault="0052578C" w:rsidP="00656DFA">
      <w:pPr>
        <w:pStyle w:val="ListParagraph"/>
        <w:spacing w:line="360" w:lineRule="auto"/>
        <w:ind w:left="360"/>
        <w:jc w:val="both"/>
        <w:rPr>
          <w:i/>
          <w:iCs/>
          <w:sz w:val="20"/>
          <w:szCs w:val="20"/>
        </w:rPr>
      </w:pPr>
      <w:r>
        <w:rPr>
          <w:i/>
          <w:iCs/>
        </w:rPr>
        <w:t>“</w:t>
      </w:r>
      <w:r w:rsidR="00B05B0F" w:rsidRPr="00B05B0F">
        <w:rPr>
          <w:i/>
          <w:iCs/>
        </w:rPr>
        <w:t>More recently, this court and the Constitutional Court have expanded on this test by adapting the general principles on the appealability of interim orders to accord with the equitable and more context-sensitive standard of the interests of justice." A</w:t>
      </w:r>
      <w:r w:rsidR="00B05B0F" w:rsidRPr="00B05B0F">
        <w:t xml:space="preserve"> </w:t>
      </w:r>
      <w:r w:rsidR="00B05B0F" w:rsidRPr="00B05B0F">
        <w:rPr>
          <w:i/>
          <w:iCs/>
        </w:rPr>
        <w:t>consideration of the interests of justice is now of particular importance. But, this does not mean that it is the sole consideration or that one no longer takes into account the factors set out by this court in Zweni. Specifically, this court has held that in deciding what is in the interests of justice, each case has to be considered on its own facts, including whether a judgment is dispositive of the main or real issues between the parties.</w:t>
      </w:r>
      <w:r w:rsidR="00B05B0F">
        <w:rPr>
          <w:i/>
          <w:iCs/>
        </w:rPr>
        <w:t xml:space="preserve"> T</w:t>
      </w:r>
      <w:r w:rsidR="00B05B0F" w:rsidRPr="00B05B0F">
        <w:rPr>
          <w:i/>
          <w:iCs/>
        </w:rPr>
        <w:t xml:space="preserve">he Constitutional Court has elaborated on this as follows: </w:t>
      </w:r>
      <w:r w:rsidR="00B05B0F" w:rsidRPr="00B05B0F">
        <w:rPr>
          <w:i/>
          <w:iCs/>
          <w:sz w:val="20"/>
          <w:szCs w:val="20"/>
        </w:rPr>
        <w:t>'</w:t>
      </w:r>
      <w:r w:rsidR="00B05B0F" w:rsidRPr="0086126B">
        <w:rPr>
          <w:i/>
          <w:iCs/>
          <w:sz w:val="20"/>
          <w:szCs w:val="20"/>
        </w:rPr>
        <w:t>The test of irreparable harm must take its place alongside other important and relevant considerations that speak to what is in the interests of justice, such as the kind and importance of the constitutional issue raised; whether there are prospects of success; whether the decision, although interlocutory, has a final effect; and whether irreparable harm will result if leave to appeal is not granted. It bears repetition that what is in the interests of justice will depend on a careful evaluation of all the relevant considerations in a particular”</w:t>
      </w:r>
      <w:r w:rsidR="00DD435E" w:rsidRPr="0086126B">
        <w:rPr>
          <w:i/>
          <w:iCs/>
          <w:sz w:val="20"/>
          <w:szCs w:val="20"/>
        </w:rPr>
        <w:t xml:space="preserve"> </w:t>
      </w:r>
      <w:r w:rsidR="00B05B0F" w:rsidRPr="0086126B">
        <w:rPr>
          <w:rStyle w:val="FootnoteReference"/>
          <w:i/>
          <w:iCs/>
          <w:sz w:val="20"/>
          <w:szCs w:val="20"/>
        </w:rPr>
        <w:footnoteReference w:id="9"/>
      </w:r>
    </w:p>
    <w:p w14:paraId="511D293B" w14:textId="5BE3FA07" w:rsidR="00183938" w:rsidRPr="00867AEE" w:rsidRDefault="00867AEE" w:rsidP="00867AEE">
      <w:pPr>
        <w:spacing w:line="360" w:lineRule="auto"/>
        <w:ind w:left="360" w:hanging="360"/>
        <w:jc w:val="both"/>
        <w:rPr>
          <w:i/>
          <w:iCs/>
        </w:rPr>
      </w:pPr>
      <w:r w:rsidRPr="00183938">
        <w:rPr>
          <w:i/>
          <w:iCs/>
        </w:rPr>
        <w:t>[28]</w:t>
      </w:r>
      <w:r w:rsidRPr="00183938">
        <w:rPr>
          <w:i/>
          <w:iCs/>
        </w:rPr>
        <w:tab/>
      </w:r>
      <w:r w:rsidR="0084546C">
        <w:t xml:space="preserve">These cases illustrate that </w:t>
      </w:r>
      <w:r w:rsidR="00183938">
        <w:t>there</w:t>
      </w:r>
      <w:r w:rsidR="00AD5C7C">
        <w:t xml:space="preserve"> </w:t>
      </w:r>
      <w:r w:rsidR="00183938">
        <w:t xml:space="preserve">is </w:t>
      </w:r>
      <w:r w:rsidR="00AD5C7C">
        <w:t xml:space="preserve">still </w:t>
      </w:r>
      <w:r w:rsidR="00183938">
        <w:t xml:space="preserve">a strong line of </w:t>
      </w:r>
      <w:r w:rsidR="00AC0A82">
        <w:t xml:space="preserve">recent </w:t>
      </w:r>
      <w:r w:rsidR="00183938">
        <w:t>authority that re</w:t>
      </w:r>
      <w:r w:rsidR="0053064F">
        <w:t>s</w:t>
      </w:r>
      <w:r w:rsidR="00183938">
        <w:t xml:space="preserve">cission orders are not appealable because they simply place parties back to the </w:t>
      </w:r>
      <w:r w:rsidR="00183938" w:rsidRPr="00867AEE">
        <w:rPr>
          <w:i/>
        </w:rPr>
        <w:t>status quo</w:t>
      </w:r>
      <w:r w:rsidR="00183938">
        <w:t xml:space="preserve"> before the impugned order was granted. </w:t>
      </w:r>
    </w:p>
    <w:p w14:paraId="50C5E1A8" w14:textId="45022FE4" w:rsidR="0084546C" w:rsidRPr="00867AEE" w:rsidRDefault="00867AEE" w:rsidP="00867AEE">
      <w:pPr>
        <w:spacing w:line="360" w:lineRule="auto"/>
        <w:ind w:left="360" w:hanging="360"/>
        <w:jc w:val="both"/>
        <w:rPr>
          <w:i/>
          <w:iCs/>
        </w:rPr>
      </w:pPr>
      <w:r w:rsidRPr="0084546C">
        <w:rPr>
          <w:i/>
          <w:iCs/>
        </w:rPr>
        <w:t>[29]</w:t>
      </w:r>
      <w:r w:rsidRPr="0084546C">
        <w:rPr>
          <w:i/>
          <w:iCs/>
        </w:rPr>
        <w:tab/>
      </w:r>
      <w:r w:rsidR="0084546C">
        <w:t xml:space="preserve">The question then before me is whether there are any </w:t>
      </w:r>
      <w:r w:rsidR="00183938">
        <w:t xml:space="preserve">facts in this matter </w:t>
      </w:r>
      <w:r w:rsidR="0084546C">
        <w:t>which would justify departing from this approach and adopting</w:t>
      </w:r>
      <w:r w:rsidR="00391406">
        <w:t xml:space="preserve"> instead</w:t>
      </w:r>
      <w:r w:rsidR="0084546C">
        <w:t xml:space="preserve"> the flexible one followed in cases such as </w:t>
      </w:r>
      <w:r w:rsidR="00E54AB8">
        <w:t>R</w:t>
      </w:r>
      <w:r w:rsidR="0084546C" w:rsidRPr="00867AEE">
        <w:rPr>
          <w:i/>
          <w:iCs/>
        </w:rPr>
        <w:t xml:space="preserve"> v R</w:t>
      </w:r>
      <w:r w:rsidR="006513CD" w:rsidRPr="00867AEE">
        <w:rPr>
          <w:i/>
          <w:iCs/>
        </w:rPr>
        <w:t>?</w:t>
      </w:r>
    </w:p>
    <w:p w14:paraId="7ADA217D" w14:textId="63C7BEDF" w:rsidR="00183938" w:rsidRPr="00867AEE" w:rsidRDefault="00867AEE" w:rsidP="00867AEE">
      <w:pPr>
        <w:spacing w:line="360" w:lineRule="auto"/>
        <w:ind w:left="360" w:hanging="360"/>
        <w:jc w:val="both"/>
        <w:rPr>
          <w:i/>
          <w:iCs/>
        </w:rPr>
      </w:pPr>
      <w:r w:rsidRPr="00AD5C7C">
        <w:rPr>
          <w:i/>
          <w:iCs/>
        </w:rPr>
        <w:lastRenderedPageBreak/>
        <w:t>[30]</w:t>
      </w:r>
      <w:r w:rsidRPr="00AD5C7C">
        <w:rPr>
          <w:i/>
          <w:iCs/>
        </w:rPr>
        <w:tab/>
      </w:r>
      <w:r w:rsidR="00183938">
        <w:t xml:space="preserve">Anglowealth argues that there is. The failure to grant leave and to declare the order suspended would leave </w:t>
      </w:r>
      <w:r w:rsidR="00666596">
        <w:t>it</w:t>
      </w:r>
      <w:r w:rsidR="00183938">
        <w:t xml:space="preserve"> without a remedy</w:t>
      </w:r>
      <w:r w:rsidR="00391406">
        <w:t xml:space="preserve"> it contends,</w:t>
      </w:r>
      <w:r w:rsidR="00183938">
        <w:t xml:space="preserve"> </w:t>
      </w:r>
      <w:r w:rsidR="006513CD">
        <w:t>because with the effluxion of time</w:t>
      </w:r>
      <w:r w:rsidR="00FE30D1">
        <w:t>,</w:t>
      </w:r>
      <w:r w:rsidR="006513CD">
        <w:t xml:space="preserve"> </w:t>
      </w:r>
      <w:r w:rsidR="00666596">
        <w:t>its</w:t>
      </w:r>
      <w:r w:rsidR="00183938">
        <w:t xml:space="preserve"> security would be eviscerated. But this ignores the fact that </w:t>
      </w:r>
      <w:r w:rsidR="00666596">
        <w:t>it</w:t>
      </w:r>
      <w:r w:rsidR="00183938">
        <w:t xml:space="preserve"> can still perfect </w:t>
      </w:r>
      <w:r w:rsidR="00666596">
        <w:t>its</w:t>
      </w:r>
      <w:r w:rsidR="00183938">
        <w:t xml:space="preserve"> security by brin</w:t>
      </w:r>
      <w:r w:rsidR="00AD5C7C">
        <w:t>g</w:t>
      </w:r>
      <w:r w:rsidR="00183938">
        <w:t xml:space="preserve">ing another application. Nothing in the </w:t>
      </w:r>
      <w:r w:rsidR="00C05ED4">
        <w:t>re</w:t>
      </w:r>
      <w:r w:rsidR="00FE30D1">
        <w:t>s</w:t>
      </w:r>
      <w:r w:rsidR="00C05ED4">
        <w:t>cission decision prevents this. Anglowealth says there is no time left. This is not demonstrated on the facts. The application can be brought by way of urgency. Moreover</w:t>
      </w:r>
      <w:r w:rsidR="009C6438">
        <w:t>,</w:t>
      </w:r>
      <w:r w:rsidR="00C05ED4">
        <w:t xml:space="preserve"> it could have been </w:t>
      </w:r>
      <w:r w:rsidR="009C6438">
        <w:t>b</w:t>
      </w:r>
      <w:r w:rsidR="00FE30D1">
        <w:t>r</w:t>
      </w:r>
      <w:r w:rsidR="009C6438">
        <w:t>ought</w:t>
      </w:r>
      <w:r w:rsidR="00C05ED4">
        <w:t xml:space="preserve"> at any time after the </w:t>
      </w:r>
      <w:r w:rsidR="009C6438">
        <w:t>rescission</w:t>
      </w:r>
      <w:r w:rsidR="00C05ED4">
        <w:t xml:space="preserve"> order was delivered on 4</w:t>
      </w:r>
      <w:r w:rsidR="00C05ED4" w:rsidRPr="00867AEE">
        <w:rPr>
          <w:vertAlign w:val="superscript"/>
        </w:rPr>
        <w:t>th</w:t>
      </w:r>
      <w:r w:rsidR="00C05ED4">
        <w:t xml:space="preserve"> November</w:t>
      </w:r>
      <w:r w:rsidR="00FE30D1">
        <w:t xml:space="preserve"> 2021</w:t>
      </w:r>
      <w:r w:rsidR="00C05ED4">
        <w:t xml:space="preserve">. </w:t>
      </w:r>
    </w:p>
    <w:p w14:paraId="260D7A3C" w14:textId="6408104E" w:rsidR="00AD5C7C" w:rsidRPr="00867AEE" w:rsidRDefault="00867AEE" w:rsidP="00867AEE">
      <w:pPr>
        <w:spacing w:line="360" w:lineRule="auto"/>
        <w:ind w:left="360" w:hanging="360"/>
        <w:jc w:val="both"/>
        <w:rPr>
          <w:i/>
          <w:iCs/>
        </w:rPr>
      </w:pPr>
      <w:r w:rsidRPr="00C05ED4">
        <w:rPr>
          <w:i/>
          <w:iCs/>
        </w:rPr>
        <w:t>[31]</w:t>
      </w:r>
      <w:r w:rsidRPr="00C05ED4">
        <w:rPr>
          <w:i/>
          <w:iCs/>
        </w:rPr>
        <w:tab/>
      </w:r>
      <w:r w:rsidR="00AD5C7C">
        <w:t xml:space="preserve">Nor is the perfection of security </w:t>
      </w:r>
      <w:r w:rsidR="000E3689">
        <w:t>analogous</w:t>
      </w:r>
      <w:r w:rsidR="00AD5C7C">
        <w:t xml:space="preserve"> to the effects of a custody order on a young child</w:t>
      </w:r>
      <w:r w:rsidR="000E3689">
        <w:t xml:space="preserve"> where duration was a factor because of its psychological effects. Human beings in this sense are not equivalent to stock in trade.</w:t>
      </w:r>
      <w:r w:rsidR="00AD5C7C">
        <w:t xml:space="preserve"> </w:t>
      </w:r>
      <w:r w:rsidR="00635CF8">
        <w:t xml:space="preserve">This distinguishes the facts of this case from those </w:t>
      </w:r>
      <w:r w:rsidR="00922A3C">
        <w:t xml:space="preserve">described </w:t>
      </w:r>
      <w:r w:rsidR="00635CF8">
        <w:t xml:space="preserve">in </w:t>
      </w:r>
      <w:r w:rsidR="00635CF8" w:rsidRPr="00867AEE">
        <w:rPr>
          <w:i/>
          <w:iCs/>
        </w:rPr>
        <w:t>R v R.</w:t>
      </w:r>
    </w:p>
    <w:p w14:paraId="6D9C2B82" w14:textId="72ECED86" w:rsidR="00C05ED4" w:rsidRPr="00867AEE" w:rsidRDefault="00867AEE" w:rsidP="00867AEE">
      <w:pPr>
        <w:spacing w:line="360" w:lineRule="auto"/>
        <w:ind w:left="360" w:hanging="360"/>
        <w:jc w:val="both"/>
        <w:rPr>
          <w:i/>
          <w:iCs/>
        </w:rPr>
      </w:pPr>
      <w:r w:rsidRPr="00C05ED4">
        <w:rPr>
          <w:i/>
          <w:iCs/>
        </w:rPr>
        <w:t>[32]</w:t>
      </w:r>
      <w:r w:rsidRPr="00C05ED4">
        <w:rPr>
          <w:i/>
          <w:iCs/>
        </w:rPr>
        <w:tab/>
      </w:r>
      <w:r w:rsidR="00C05ED4">
        <w:t xml:space="preserve">Nor does the fact that the judgment </w:t>
      </w:r>
      <w:r w:rsidR="00A13873">
        <w:t>raises</w:t>
      </w:r>
      <w:r w:rsidR="00C05ED4">
        <w:t xml:space="preserve"> a novel point of law make it appealable. </w:t>
      </w:r>
      <w:r w:rsidR="009C6438">
        <w:t>Novelty</w:t>
      </w:r>
      <w:r w:rsidR="00C05ED4">
        <w:t xml:space="preserve"> may be a ground for considering that another court may </w:t>
      </w:r>
      <w:r w:rsidR="009C6438">
        <w:t>decide</w:t>
      </w:r>
      <w:r w:rsidR="00C05ED4">
        <w:t xml:space="preserve"> a case differently</w:t>
      </w:r>
      <w:r w:rsidR="0052578C">
        <w:t>,</w:t>
      </w:r>
      <w:r w:rsidR="00C05ED4">
        <w:t xml:space="preserve"> but the judgment</w:t>
      </w:r>
      <w:r w:rsidR="00A13873">
        <w:t xml:space="preserve"> </w:t>
      </w:r>
      <w:r w:rsidR="00FE30D1">
        <w:t xml:space="preserve">would </w:t>
      </w:r>
      <w:r w:rsidR="009C6438">
        <w:t xml:space="preserve">first </w:t>
      </w:r>
      <w:r w:rsidR="00FE30D1">
        <w:t xml:space="preserve">need </w:t>
      </w:r>
      <w:r w:rsidR="00C05ED4">
        <w:t>to be appealable</w:t>
      </w:r>
      <w:r w:rsidR="009C6438">
        <w:t xml:space="preserve"> before one considers the implications of novelty</w:t>
      </w:r>
      <w:r w:rsidR="00C05ED4">
        <w:t xml:space="preserve">. </w:t>
      </w:r>
    </w:p>
    <w:p w14:paraId="34737CC4" w14:textId="0262EB20" w:rsidR="001018B5" w:rsidRPr="00867AEE" w:rsidRDefault="00867AEE" w:rsidP="00867AEE">
      <w:pPr>
        <w:spacing w:line="360" w:lineRule="auto"/>
        <w:ind w:left="360" w:hanging="360"/>
        <w:jc w:val="both"/>
        <w:rPr>
          <w:i/>
          <w:iCs/>
        </w:rPr>
      </w:pPr>
      <w:r w:rsidRPr="001018B5">
        <w:rPr>
          <w:i/>
          <w:iCs/>
        </w:rPr>
        <w:t>[33]</w:t>
      </w:r>
      <w:r w:rsidRPr="001018B5">
        <w:rPr>
          <w:i/>
          <w:iCs/>
        </w:rPr>
        <w:tab/>
      </w:r>
      <w:r w:rsidR="00C05ED4">
        <w:t>I am satisfied to find that the judgment is not appealable. It follows then that</w:t>
      </w:r>
      <w:r w:rsidR="00FE30D1">
        <w:t>,</w:t>
      </w:r>
      <w:r w:rsidR="00C05ED4">
        <w:t xml:space="preserve"> leave is refused and </w:t>
      </w:r>
      <w:r w:rsidR="00E360CB">
        <w:t>the main</w:t>
      </w:r>
      <w:r w:rsidR="001018B5">
        <w:t xml:space="preserve"> relief </w:t>
      </w:r>
      <w:r w:rsidR="00C05ED4">
        <w:t>terms of section 18</w:t>
      </w:r>
      <w:r w:rsidR="001018B5">
        <w:t>(1)</w:t>
      </w:r>
      <w:r w:rsidR="00A00ED2">
        <w:t xml:space="preserve"> of the Superior Courts Act</w:t>
      </w:r>
      <w:r w:rsidR="00C05ED4">
        <w:t xml:space="preserve"> does not need to be considered</w:t>
      </w:r>
      <w:r w:rsidR="001018B5">
        <w:t xml:space="preserve"> because I have found the order is not final in effect. </w:t>
      </w:r>
    </w:p>
    <w:p w14:paraId="321419E5" w14:textId="15E958AF" w:rsidR="00A00ED2" w:rsidRPr="00867AEE" w:rsidRDefault="00867AEE" w:rsidP="00867AEE">
      <w:pPr>
        <w:spacing w:line="360" w:lineRule="auto"/>
        <w:ind w:left="360" w:hanging="360"/>
        <w:jc w:val="both"/>
        <w:rPr>
          <w:i/>
          <w:iCs/>
        </w:rPr>
      </w:pPr>
      <w:r w:rsidRPr="00A00ED2">
        <w:rPr>
          <w:i/>
          <w:iCs/>
        </w:rPr>
        <w:t>[34]</w:t>
      </w:r>
      <w:r w:rsidRPr="00A00ED2">
        <w:rPr>
          <w:i/>
          <w:iCs/>
        </w:rPr>
        <w:tab/>
      </w:r>
      <w:r w:rsidR="001018B5">
        <w:t xml:space="preserve">It remains for me to consider the alternative relief in terms of section 18(2). </w:t>
      </w:r>
      <w:r w:rsidR="00A00ED2">
        <w:t>Given my conclusion about appealability I am not sure that I need to do so. Nevertheless, out of an abundance of caution I will do so.</w:t>
      </w:r>
    </w:p>
    <w:p w14:paraId="77ACFE28" w14:textId="055C4FFA" w:rsidR="001018B5" w:rsidRPr="00867AEE" w:rsidRDefault="00867AEE" w:rsidP="00867AEE">
      <w:pPr>
        <w:spacing w:line="360" w:lineRule="auto"/>
        <w:ind w:left="360" w:hanging="360"/>
        <w:jc w:val="both"/>
        <w:rPr>
          <w:i/>
          <w:iCs/>
        </w:rPr>
      </w:pPr>
      <w:r w:rsidRPr="0001245C">
        <w:rPr>
          <w:i/>
          <w:iCs/>
        </w:rPr>
        <w:t>[35]</w:t>
      </w:r>
      <w:r w:rsidRPr="0001245C">
        <w:rPr>
          <w:i/>
          <w:iCs/>
        </w:rPr>
        <w:tab/>
      </w:r>
      <w:r w:rsidR="00A00ED2">
        <w:t>Section 18(2)</w:t>
      </w:r>
      <w:r w:rsidR="0001245C">
        <w:t xml:space="preserve"> needs to be read together with 18(1) and 18(3).</w:t>
      </w:r>
      <w:r w:rsidR="00A00ED2">
        <w:t xml:space="preserve"> I quote all of them below.</w:t>
      </w:r>
    </w:p>
    <w:p w14:paraId="6B8F3C3F" w14:textId="3B9082B0" w:rsidR="0001245C" w:rsidRPr="0001245C" w:rsidRDefault="0001245C" w:rsidP="00656DFA">
      <w:pPr>
        <w:pStyle w:val="ListParagraph"/>
        <w:spacing w:line="360" w:lineRule="auto"/>
        <w:ind w:left="360"/>
        <w:jc w:val="both"/>
        <w:rPr>
          <w:rFonts w:cs="Arial"/>
          <w:i/>
          <w:iCs/>
          <w:szCs w:val="24"/>
        </w:rPr>
      </w:pPr>
      <w:r w:rsidRPr="0001245C">
        <w:rPr>
          <w:rFonts w:cs="Arial"/>
          <w:i/>
          <w:iCs/>
          <w:szCs w:val="24"/>
        </w:rPr>
        <w:t xml:space="preserve">Suspension of decision pending appeal </w:t>
      </w:r>
    </w:p>
    <w:p w14:paraId="71073FDC" w14:textId="77777777" w:rsidR="0001245C" w:rsidRPr="0001245C" w:rsidRDefault="0001245C" w:rsidP="00656DFA">
      <w:pPr>
        <w:pStyle w:val="ListParagraph"/>
        <w:spacing w:line="360" w:lineRule="auto"/>
        <w:ind w:left="360"/>
        <w:jc w:val="both"/>
        <w:rPr>
          <w:rFonts w:cs="Arial"/>
          <w:i/>
          <w:iCs/>
          <w:color w:val="000000"/>
          <w:szCs w:val="24"/>
        </w:rPr>
      </w:pPr>
      <w:r w:rsidRPr="0001245C">
        <w:rPr>
          <w:rFonts w:cs="Arial"/>
          <w:i/>
          <w:iCs/>
          <w:color w:val="000000"/>
          <w:szCs w:val="24"/>
        </w:rPr>
        <w:t xml:space="preserve">(1) Subject to subsections (2) and (3), and unless the court under exceptional circumstances orders otherwise, the operation and execution of a decision which is the subject of an application for leave to appeal or of an appeal, is suspended pending the decision of the application or appeal. </w:t>
      </w:r>
    </w:p>
    <w:p w14:paraId="3E29C83E" w14:textId="77777777" w:rsidR="0001245C" w:rsidRPr="0001245C" w:rsidRDefault="0001245C" w:rsidP="00656DFA">
      <w:pPr>
        <w:pStyle w:val="ListParagraph"/>
        <w:spacing w:line="360" w:lineRule="auto"/>
        <w:ind w:left="360"/>
        <w:jc w:val="both"/>
        <w:rPr>
          <w:rFonts w:cs="Arial"/>
          <w:i/>
          <w:iCs/>
          <w:color w:val="000000"/>
          <w:szCs w:val="24"/>
        </w:rPr>
      </w:pPr>
      <w:r w:rsidRPr="0001245C">
        <w:rPr>
          <w:rFonts w:cs="Arial"/>
          <w:i/>
          <w:iCs/>
          <w:color w:val="000000"/>
          <w:szCs w:val="24"/>
        </w:rPr>
        <w:lastRenderedPageBreak/>
        <w:t>(2) Subject to subsection (3), unless the court under exceptional circumstances orders otherwise, the operation and execution of a decision that is an interlocutory order not having the effect of a final judgment, which is the subject of an application for leave to appeal or of an appeal, is not suspended pending the decision of the application or appeal.</w:t>
      </w:r>
    </w:p>
    <w:p w14:paraId="63F3CCF6" w14:textId="77777777" w:rsidR="0001245C" w:rsidRPr="0001245C" w:rsidRDefault="0001245C" w:rsidP="00656DFA">
      <w:pPr>
        <w:pStyle w:val="ListParagraph"/>
        <w:spacing w:line="360" w:lineRule="auto"/>
        <w:ind w:left="360"/>
        <w:jc w:val="both"/>
        <w:rPr>
          <w:rFonts w:cs="Arial"/>
          <w:i/>
          <w:iCs/>
          <w:szCs w:val="24"/>
        </w:rPr>
      </w:pPr>
      <w:r w:rsidRPr="0001245C">
        <w:rPr>
          <w:rFonts w:cs="Arial"/>
          <w:i/>
          <w:iCs/>
          <w:color w:val="000000"/>
          <w:szCs w:val="24"/>
        </w:rPr>
        <w:t xml:space="preserve"> (3) A court may only order otherwise as contemplated in subsection (1) or (2), if the party who applied to the court to order otherwise, in addition proves on a balance of probabilities that he or she will suffer irreparable harm if the court does not so order and that the other party will not suffer irreparable harm if the court so orders.</w:t>
      </w:r>
    </w:p>
    <w:p w14:paraId="329520DC" w14:textId="31332F27" w:rsidR="00635CF8" w:rsidRPr="00867AEE" w:rsidRDefault="00867AEE" w:rsidP="00867AEE">
      <w:pPr>
        <w:spacing w:line="360" w:lineRule="auto"/>
        <w:ind w:left="360" w:hanging="360"/>
        <w:jc w:val="both"/>
        <w:rPr>
          <w:i/>
          <w:iCs/>
        </w:rPr>
      </w:pPr>
      <w:r w:rsidRPr="00635CF8">
        <w:rPr>
          <w:i/>
          <w:iCs/>
        </w:rPr>
        <w:t>[36]</w:t>
      </w:r>
      <w:r w:rsidRPr="00635CF8">
        <w:rPr>
          <w:i/>
          <w:iCs/>
        </w:rPr>
        <w:tab/>
      </w:r>
      <w:r w:rsidR="003B0CB0">
        <w:t>In terms of section 18(2)</w:t>
      </w:r>
      <w:r w:rsidR="00960549">
        <w:t>,</w:t>
      </w:r>
      <w:r w:rsidR="003B0CB0">
        <w:t xml:space="preserve"> if an appeal is of an interlocutory </w:t>
      </w:r>
      <w:r w:rsidR="002A201C">
        <w:t>nature,</w:t>
      </w:r>
      <w:r w:rsidR="003B0CB0">
        <w:t xml:space="preserve"> then any appeal does not automatically suspend the order unless </w:t>
      </w:r>
      <w:r w:rsidR="007744D3">
        <w:t xml:space="preserve">there are </w:t>
      </w:r>
      <w:r w:rsidR="003D3F76" w:rsidRPr="00867AEE">
        <w:rPr>
          <w:i/>
        </w:rPr>
        <w:t>“exceptional</w:t>
      </w:r>
      <w:r w:rsidR="007744D3" w:rsidRPr="00867AEE">
        <w:rPr>
          <w:i/>
        </w:rPr>
        <w:t xml:space="preserve"> circumstances.”</w:t>
      </w:r>
      <w:r w:rsidR="007744D3">
        <w:t xml:space="preserve"> Given my finding that</w:t>
      </w:r>
      <w:r w:rsidR="00960549">
        <w:t>,</w:t>
      </w:r>
      <w:r w:rsidR="007744D3">
        <w:t xml:space="preserve"> at best this order is interlocutory, Anglowealth would </w:t>
      </w:r>
      <w:r w:rsidR="00960549">
        <w:t xml:space="preserve">- </w:t>
      </w:r>
      <w:r w:rsidR="007744D3">
        <w:t xml:space="preserve">as the applicant </w:t>
      </w:r>
      <w:r w:rsidR="003D3F76">
        <w:t>for a</w:t>
      </w:r>
      <w:r w:rsidR="007744D3">
        <w:t xml:space="preserve"> suspension have to establish in addition to its </w:t>
      </w:r>
      <w:r w:rsidR="00511BB6">
        <w:t xml:space="preserve">own </w:t>
      </w:r>
      <w:r w:rsidR="007744D3">
        <w:t xml:space="preserve">irreparable harm that the other party will </w:t>
      </w:r>
      <w:r w:rsidR="00635CF8">
        <w:t xml:space="preserve">also </w:t>
      </w:r>
      <w:r w:rsidR="007744D3">
        <w:t xml:space="preserve">not suffer irreparable harm. </w:t>
      </w:r>
    </w:p>
    <w:p w14:paraId="32F13BC8" w14:textId="0072172B" w:rsidR="0001245C" w:rsidRPr="00867AEE" w:rsidRDefault="00867AEE" w:rsidP="00867AEE">
      <w:pPr>
        <w:spacing w:line="360" w:lineRule="auto"/>
        <w:ind w:left="360" w:hanging="360"/>
        <w:jc w:val="both"/>
        <w:rPr>
          <w:i/>
          <w:iCs/>
        </w:rPr>
      </w:pPr>
      <w:r w:rsidRPr="00635CF8">
        <w:rPr>
          <w:i/>
          <w:iCs/>
        </w:rPr>
        <w:t>[37]</w:t>
      </w:r>
      <w:r w:rsidRPr="00635CF8">
        <w:rPr>
          <w:i/>
          <w:iCs/>
        </w:rPr>
        <w:tab/>
      </w:r>
      <w:r w:rsidR="00635CF8">
        <w:t xml:space="preserve">But </w:t>
      </w:r>
      <w:r w:rsidR="007744D3">
        <w:t>Anglowea</w:t>
      </w:r>
      <w:r w:rsidR="00E54AB8">
        <w:t>l</w:t>
      </w:r>
      <w:r w:rsidR="007744D3">
        <w:t>th has not established</w:t>
      </w:r>
      <w:r w:rsidR="00511BB6">
        <w:t xml:space="preserve"> either. I</w:t>
      </w:r>
      <w:r w:rsidR="007744D3">
        <w:t xml:space="preserve">t will </w:t>
      </w:r>
      <w:r w:rsidR="00511BB6">
        <w:t xml:space="preserve">not </w:t>
      </w:r>
      <w:r w:rsidR="007744D3">
        <w:t>suffer irreparable harm because it is still open to it to apply to perfect its security. Second</w:t>
      </w:r>
      <w:r w:rsidR="00635CF8">
        <w:t>,</w:t>
      </w:r>
      <w:r w:rsidR="007744D3">
        <w:t xml:space="preserve"> it has put up no facts to establish that the other party – which in this case would be both CNA and the affected parties </w:t>
      </w:r>
      <w:r w:rsidR="00635CF8">
        <w:t xml:space="preserve">- </w:t>
      </w:r>
      <w:r w:rsidR="00A00ED2">
        <w:t>would not suffer irreparable harm. In the re</w:t>
      </w:r>
      <w:r w:rsidR="001F3CEB">
        <w:t>s</w:t>
      </w:r>
      <w:r w:rsidR="00A00ED2">
        <w:t>cission application the BRP’s had made out the case for continuing harm from the perfection order.</w:t>
      </w:r>
    </w:p>
    <w:p w14:paraId="62C79D01" w14:textId="1681AB19" w:rsidR="00635CF8" w:rsidRPr="00867AEE" w:rsidRDefault="00867AEE" w:rsidP="00867AEE">
      <w:pPr>
        <w:spacing w:line="360" w:lineRule="auto"/>
        <w:ind w:left="360" w:hanging="360"/>
        <w:jc w:val="both"/>
        <w:rPr>
          <w:i/>
          <w:iCs/>
        </w:rPr>
      </w:pPr>
      <w:r w:rsidRPr="001018B5">
        <w:rPr>
          <w:i/>
          <w:iCs/>
        </w:rPr>
        <w:t>[38]</w:t>
      </w:r>
      <w:r w:rsidRPr="001018B5">
        <w:rPr>
          <w:i/>
          <w:iCs/>
        </w:rPr>
        <w:tab/>
      </w:r>
      <w:r w:rsidR="00AE558E">
        <w:t>Thus,</w:t>
      </w:r>
      <w:r w:rsidR="00635CF8">
        <w:t xml:space="preserve"> Anglowealth’s </w:t>
      </w:r>
      <w:r w:rsidR="002A201C">
        <w:t>application fails</w:t>
      </w:r>
      <w:r w:rsidR="00635CF8">
        <w:t xml:space="preserve"> as well under section 18(2).</w:t>
      </w:r>
    </w:p>
    <w:p w14:paraId="239E8569" w14:textId="14BA41EB" w:rsidR="00C05ED4" w:rsidRPr="00EC303F" w:rsidRDefault="003D3F76" w:rsidP="00656DFA">
      <w:pPr>
        <w:spacing w:line="360" w:lineRule="auto"/>
        <w:jc w:val="both"/>
        <w:rPr>
          <w:b/>
          <w:bCs/>
          <w:i/>
          <w:iCs/>
        </w:rPr>
      </w:pPr>
      <w:r w:rsidRPr="00EC303F">
        <w:rPr>
          <w:b/>
          <w:bCs/>
        </w:rPr>
        <w:t xml:space="preserve">Postscript </w:t>
      </w:r>
    </w:p>
    <w:p w14:paraId="7EE5900B" w14:textId="3313893C" w:rsidR="003D3F76" w:rsidRPr="00EC303F" w:rsidRDefault="00867AEE" w:rsidP="00867AEE">
      <w:pPr>
        <w:spacing w:line="360" w:lineRule="auto"/>
        <w:ind w:left="360" w:hanging="360"/>
        <w:jc w:val="both"/>
      </w:pPr>
      <w:r w:rsidRPr="00EC303F">
        <w:t>[39]</w:t>
      </w:r>
      <w:r w:rsidRPr="00EC303F">
        <w:tab/>
      </w:r>
      <w:r w:rsidR="003D3F76" w:rsidRPr="00EC303F">
        <w:t>Subsequent to the hearing</w:t>
      </w:r>
      <w:r w:rsidR="00EC303F">
        <w:t>,</w:t>
      </w:r>
      <w:r w:rsidR="003D3F76" w:rsidRPr="00EC303F">
        <w:t xml:space="preserve"> and after I had </w:t>
      </w:r>
      <w:r w:rsidR="00EC303F" w:rsidRPr="00EC303F">
        <w:t xml:space="preserve">already </w:t>
      </w:r>
      <w:r w:rsidR="003D3F76" w:rsidRPr="00EC303F">
        <w:t>prepared my reasons</w:t>
      </w:r>
      <w:r w:rsidR="00EC303F" w:rsidRPr="00EC303F">
        <w:t>,</w:t>
      </w:r>
      <w:r w:rsidR="003D3F76" w:rsidRPr="00EC303F">
        <w:t xml:space="preserve"> I received a further affidavit from</w:t>
      </w:r>
      <w:r w:rsidR="0019209C" w:rsidRPr="00EC303F">
        <w:t xml:space="preserve"> the third applicant who is one of the current BRP’s</w:t>
      </w:r>
      <w:r w:rsidR="00EC303F">
        <w:t>,</w:t>
      </w:r>
      <w:r w:rsidR="003C3651" w:rsidRPr="00EC303F">
        <w:t xml:space="preserve"> and </w:t>
      </w:r>
      <w:r w:rsidR="00EC303F" w:rsidRPr="00EC303F">
        <w:t>thereafter</w:t>
      </w:r>
      <w:r w:rsidR="00D438B2">
        <w:t>,</w:t>
      </w:r>
      <w:r w:rsidR="00EC303F" w:rsidRPr="00EC303F">
        <w:t xml:space="preserve"> </w:t>
      </w:r>
      <w:r w:rsidR="003C3651" w:rsidRPr="00EC303F">
        <w:t>correspondence</w:t>
      </w:r>
      <w:r w:rsidR="00EC303F">
        <w:t xml:space="preserve"> in res</w:t>
      </w:r>
      <w:r w:rsidR="00D438B2">
        <w:t>p</w:t>
      </w:r>
      <w:r w:rsidR="00EC303F">
        <w:t>onse</w:t>
      </w:r>
      <w:r w:rsidR="003C3651" w:rsidRPr="00EC303F">
        <w:t xml:space="preserve"> from Anglowealth’s attorneys. Both concerned the outcome of the meeting of creditors. Since this outcome took place after </w:t>
      </w:r>
      <w:r w:rsidR="00EC303F" w:rsidRPr="00EC303F">
        <w:t xml:space="preserve">the </w:t>
      </w:r>
      <w:r w:rsidR="003C3651" w:rsidRPr="00EC303F">
        <w:t xml:space="preserve">hearing </w:t>
      </w:r>
      <w:r w:rsidR="00EC303F" w:rsidRPr="00EC303F">
        <w:t>of argument i</w:t>
      </w:r>
      <w:r w:rsidR="003C3651" w:rsidRPr="00EC303F">
        <w:t>n this matter</w:t>
      </w:r>
      <w:r w:rsidR="00EC303F" w:rsidRPr="00EC303F">
        <w:t xml:space="preserve"> had concluded,</w:t>
      </w:r>
      <w:r w:rsidR="003C3651" w:rsidRPr="00EC303F">
        <w:t xml:space="preserve"> I have not had regard to these filings</w:t>
      </w:r>
      <w:r w:rsidR="00EC303F" w:rsidRPr="00EC303F">
        <w:t>. I point out that neither party had at the hearing requested I postpone the matter pending the outcome of the creditors meeting</w:t>
      </w:r>
      <w:r w:rsidR="00960549">
        <w:t>.</w:t>
      </w:r>
    </w:p>
    <w:p w14:paraId="3BA6D767" w14:textId="77777777" w:rsidR="00960549" w:rsidRDefault="00960549" w:rsidP="00656DFA">
      <w:pPr>
        <w:pStyle w:val="ListParagraph"/>
        <w:spacing w:line="360" w:lineRule="auto"/>
        <w:ind w:left="360"/>
        <w:jc w:val="both"/>
        <w:rPr>
          <w:b/>
          <w:bCs/>
        </w:rPr>
      </w:pPr>
    </w:p>
    <w:p w14:paraId="4E5AEF45" w14:textId="5B93440F" w:rsidR="00987CC1" w:rsidRPr="00987CC1" w:rsidRDefault="00987CC1" w:rsidP="00656DFA">
      <w:pPr>
        <w:pStyle w:val="ListParagraph"/>
        <w:spacing w:line="360" w:lineRule="auto"/>
        <w:ind w:left="360"/>
        <w:jc w:val="both"/>
        <w:rPr>
          <w:b/>
          <w:bCs/>
          <w:i/>
          <w:iCs/>
        </w:rPr>
      </w:pPr>
      <w:r w:rsidRPr="00987CC1">
        <w:rPr>
          <w:b/>
          <w:bCs/>
        </w:rPr>
        <w:lastRenderedPageBreak/>
        <w:t>Costs</w:t>
      </w:r>
    </w:p>
    <w:p w14:paraId="6679D315" w14:textId="0997D95A" w:rsidR="00987CC1" w:rsidRPr="00867AEE" w:rsidRDefault="00867AEE" w:rsidP="00867AEE">
      <w:pPr>
        <w:spacing w:line="360" w:lineRule="auto"/>
        <w:ind w:left="360" w:hanging="360"/>
        <w:jc w:val="both"/>
        <w:rPr>
          <w:i/>
          <w:iCs/>
        </w:rPr>
      </w:pPr>
      <w:r w:rsidRPr="00257DCC">
        <w:rPr>
          <w:i/>
          <w:iCs/>
        </w:rPr>
        <w:t>[40]</w:t>
      </w:r>
      <w:r w:rsidRPr="00257DCC">
        <w:rPr>
          <w:i/>
          <w:iCs/>
        </w:rPr>
        <w:tab/>
      </w:r>
      <w:r w:rsidR="00987CC1">
        <w:t>Costs must follow cause. The applicants are entitled to their costs in respect of opposing both the leave to appeal and the section 18 application.</w:t>
      </w:r>
    </w:p>
    <w:p w14:paraId="4B655313" w14:textId="3A5BBFDB" w:rsidR="002503A9" w:rsidRDefault="002503A9">
      <w:pPr>
        <w:rPr>
          <w:b/>
          <w:bCs/>
        </w:rPr>
      </w:pPr>
    </w:p>
    <w:p w14:paraId="0EA44AB2" w14:textId="0D2176F0" w:rsidR="00987CC1" w:rsidRDefault="00987CC1" w:rsidP="00656DFA">
      <w:pPr>
        <w:pStyle w:val="ListParagraph"/>
        <w:spacing w:line="360" w:lineRule="auto"/>
        <w:ind w:left="360"/>
        <w:jc w:val="both"/>
        <w:rPr>
          <w:b/>
          <w:bCs/>
        </w:rPr>
      </w:pPr>
      <w:r w:rsidRPr="00987CC1">
        <w:rPr>
          <w:b/>
          <w:bCs/>
        </w:rPr>
        <w:t xml:space="preserve">ORDER </w:t>
      </w:r>
    </w:p>
    <w:p w14:paraId="57DC7F99" w14:textId="77777777" w:rsidR="002503A9" w:rsidRPr="00987CC1" w:rsidRDefault="002503A9" w:rsidP="00656DFA">
      <w:pPr>
        <w:pStyle w:val="ListParagraph"/>
        <w:spacing w:line="360" w:lineRule="auto"/>
        <w:ind w:left="360"/>
        <w:jc w:val="both"/>
        <w:rPr>
          <w:b/>
          <w:bCs/>
          <w:i/>
          <w:iCs/>
        </w:rPr>
      </w:pPr>
    </w:p>
    <w:p w14:paraId="4C500522" w14:textId="263D79F7" w:rsidR="00987CC1" w:rsidRPr="00867AEE" w:rsidRDefault="00867AEE" w:rsidP="00867AEE">
      <w:pPr>
        <w:spacing w:line="360" w:lineRule="auto"/>
        <w:ind w:left="360" w:hanging="360"/>
        <w:jc w:val="both"/>
        <w:rPr>
          <w:i/>
          <w:iCs/>
        </w:rPr>
      </w:pPr>
      <w:r w:rsidRPr="00987CC1">
        <w:rPr>
          <w:i/>
          <w:iCs/>
        </w:rPr>
        <w:t>[41]</w:t>
      </w:r>
      <w:r w:rsidRPr="00987CC1">
        <w:rPr>
          <w:i/>
          <w:iCs/>
        </w:rPr>
        <w:tab/>
      </w:r>
      <w:r w:rsidR="00987CC1">
        <w:t>The application for leave to appeal is dismissed.</w:t>
      </w:r>
    </w:p>
    <w:p w14:paraId="21A1B317" w14:textId="011A330A" w:rsidR="00987CC1" w:rsidRPr="00867AEE" w:rsidRDefault="00867AEE" w:rsidP="00867AEE">
      <w:pPr>
        <w:spacing w:line="360" w:lineRule="auto"/>
        <w:ind w:left="360" w:hanging="360"/>
        <w:jc w:val="both"/>
        <w:rPr>
          <w:i/>
          <w:iCs/>
        </w:rPr>
      </w:pPr>
      <w:r w:rsidRPr="00987CC1">
        <w:rPr>
          <w:i/>
          <w:iCs/>
        </w:rPr>
        <w:t>[42]</w:t>
      </w:r>
      <w:r w:rsidRPr="00987CC1">
        <w:rPr>
          <w:i/>
          <w:iCs/>
        </w:rPr>
        <w:tab/>
      </w:r>
      <w:r w:rsidR="00987CC1">
        <w:t>The application for a decla</w:t>
      </w:r>
      <w:r w:rsidR="003D3F76">
        <w:t>ra</w:t>
      </w:r>
      <w:r w:rsidR="00987CC1">
        <w:t>tory order in terms of section 18</w:t>
      </w:r>
      <w:r w:rsidR="003D3F76">
        <w:t>(1)</w:t>
      </w:r>
      <w:r w:rsidR="00DD435E">
        <w:t>,</w:t>
      </w:r>
      <w:r w:rsidR="003D3F76">
        <w:t xml:space="preserve"> alternatively 18(2) </w:t>
      </w:r>
      <w:r w:rsidR="00987CC1">
        <w:t>of the Superior Courts Act is dismissed.</w:t>
      </w:r>
    </w:p>
    <w:p w14:paraId="1CA67A9A" w14:textId="55490AED" w:rsidR="00987CC1" w:rsidRPr="00867AEE" w:rsidRDefault="00867AEE" w:rsidP="00867AEE">
      <w:pPr>
        <w:spacing w:line="360" w:lineRule="auto"/>
        <w:ind w:left="360" w:hanging="360"/>
        <w:jc w:val="both"/>
        <w:rPr>
          <w:i/>
          <w:iCs/>
        </w:rPr>
      </w:pPr>
      <w:r w:rsidRPr="0099115B">
        <w:rPr>
          <w:i/>
          <w:iCs/>
        </w:rPr>
        <w:t>[43]</w:t>
      </w:r>
      <w:r w:rsidRPr="0099115B">
        <w:rPr>
          <w:i/>
          <w:iCs/>
        </w:rPr>
        <w:tab/>
      </w:r>
      <w:r w:rsidR="00987CC1">
        <w:t>The first respondent is liable for the costs of the applicants in respect of opposing the application for leave to appeal and the section 18 application.</w:t>
      </w:r>
    </w:p>
    <w:p w14:paraId="7ABE26A5" w14:textId="7B35B79A" w:rsidR="00BB34AB" w:rsidRDefault="00BB34AB" w:rsidP="002503A9">
      <w:pPr>
        <w:pStyle w:val="ListParagraph"/>
        <w:spacing w:line="360" w:lineRule="auto"/>
        <w:ind w:left="360"/>
        <w:jc w:val="both"/>
      </w:pPr>
    </w:p>
    <w:p w14:paraId="56D18F12" w14:textId="406A96C2" w:rsidR="007A066D" w:rsidRDefault="007A066D" w:rsidP="00656DFA">
      <w:pPr>
        <w:pStyle w:val="ListParagraph"/>
        <w:spacing w:line="360" w:lineRule="auto"/>
        <w:ind w:left="360"/>
        <w:jc w:val="both"/>
      </w:pPr>
    </w:p>
    <w:p w14:paraId="496D7786" w14:textId="77777777" w:rsidR="007A066D" w:rsidRPr="00F212E7" w:rsidRDefault="007A066D" w:rsidP="00656DFA">
      <w:pPr>
        <w:autoSpaceDE w:val="0"/>
        <w:autoSpaceDN w:val="0"/>
        <w:adjustRightInd w:val="0"/>
        <w:spacing w:after="0" w:line="240" w:lineRule="auto"/>
        <w:ind w:left="5040" w:firstLine="720"/>
        <w:jc w:val="both"/>
        <w:rPr>
          <w:rFonts w:eastAsia="Times New Roman" w:cs="Arial"/>
          <w:color w:val="000000"/>
          <w:szCs w:val="24"/>
          <w:lang w:val="en-GB"/>
        </w:rPr>
      </w:pPr>
      <w:r w:rsidRPr="00F212E7">
        <w:rPr>
          <w:rFonts w:eastAsia="Times New Roman" w:cs="Arial"/>
          <w:color w:val="000000"/>
          <w:szCs w:val="24"/>
          <w:lang w:val="en-GB"/>
        </w:rPr>
        <w:t>__________________________</w:t>
      </w:r>
    </w:p>
    <w:p w14:paraId="078F2BC5" w14:textId="77777777" w:rsidR="007A066D" w:rsidRPr="00F212E7" w:rsidRDefault="007A066D" w:rsidP="009F798C">
      <w:pPr>
        <w:autoSpaceDE w:val="0"/>
        <w:autoSpaceDN w:val="0"/>
        <w:adjustRightInd w:val="0"/>
        <w:spacing w:before="120" w:after="0" w:line="240" w:lineRule="auto"/>
        <w:ind w:left="7909" w:firstLine="11"/>
        <w:jc w:val="both"/>
        <w:rPr>
          <w:rFonts w:eastAsia="Times New Roman" w:cs="Arial"/>
          <w:b/>
          <w:color w:val="000000"/>
          <w:szCs w:val="24"/>
          <w:lang w:val="en-GB"/>
        </w:rPr>
      </w:pPr>
      <w:r>
        <w:rPr>
          <w:rFonts w:eastAsia="Times New Roman" w:cs="Arial"/>
          <w:b/>
          <w:color w:val="000000"/>
          <w:szCs w:val="24"/>
          <w:lang w:val="en-GB"/>
        </w:rPr>
        <w:t>N MANOIM</w:t>
      </w:r>
    </w:p>
    <w:p w14:paraId="1A8EE11C" w14:textId="303905B1" w:rsidR="007A066D" w:rsidRPr="00F212E7" w:rsidRDefault="007A066D" w:rsidP="009F798C">
      <w:pPr>
        <w:autoSpaceDE w:val="0"/>
        <w:autoSpaceDN w:val="0"/>
        <w:adjustRightInd w:val="0"/>
        <w:spacing w:before="120" w:after="0" w:line="240" w:lineRule="auto"/>
        <w:ind w:left="5749" w:firstLine="11"/>
        <w:jc w:val="both"/>
        <w:rPr>
          <w:rFonts w:eastAsia="Times New Roman" w:cs="Arial"/>
          <w:color w:val="000000"/>
          <w:szCs w:val="24"/>
          <w:lang w:val="en-GB"/>
        </w:rPr>
      </w:pPr>
      <w:r w:rsidRPr="00F212E7">
        <w:rPr>
          <w:rFonts w:eastAsia="Times New Roman" w:cs="Arial"/>
          <w:color w:val="000000"/>
          <w:szCs w:val="24"/>
          <w:lang w:val="en-GB"/>
        </w:rPr>
        <w:t xml:space="preserve">JUDGE OF THE HIGH COURT </w:t>
      </w:r>
    </w:p>
    <w:p w14:paraId="765EC004" w14:textId="77777777" w:rsidR="007A066D" w:rsidRDefault="007A066D" w:rsidP="009F798C">
      <w:pPr>
        <w:autoSpaceDE w:val="0"/>
        <w:autoSpaceDN w:val="0"/>
        <w:adjustRightInd w:val="0"/>
        <w:spacing w:before="120" w:after="0" w:line="240" w:lineRule="auto"/>
        <w:ind w:left="3661"/>
        <w:jc w:val="both"/>
        <w:rPr>
          <w:rFonts w:eastAsia="Times New Roman" w:cs="Arial"/>
          <w:color w:val="000000"/>
          <w:szCs w:val="24"/>
          <w:lang w:val="en-GB"/>
        </w:rPr>
      </w:pPr>
      <w:r w:rsidRPr="00F212E7">
        <w:rPr>
          <w:rFonts w:eastAsia="Times New Roman" w:cs="Arial"/>
          <w:color w:val="000000"/>
          <w:szCs w:val="24"/>
          <w:lang w:val="en-GB"/>
        </w:rPr>
        <w:t>GAUTENG LOCAL DIVISION, JOHANNESBURG</w:t>
      </w:r>
    </w:p>
    <w:p w14:paraId="2BF95948" w14:textId="75D39D5D" w:rsidR="007A066D" w:rsidRDefault="007A066D" w:rsidP="00656DFA">
      <w:pPr>
        <w:autoSpaceDE w:val="0"/>
        <w:autoSpaceDN w:val="0"/>
        <w:adjustRightInd w:val="0"/>
        <w:spacing w:before="120" w:after="0" w:line="240" w:lineRule="auto"/>
        <w:ind w:left="709"/>
        <w:jc w:val="both"/>
        <w:rPr>
          <w:rFonts w:eastAsia="Times New Roman" w:cs="Arial"/>
          <w:color w:val="000000"/>
          <w:szCs w:val="24"/>
          <w:lang w:val="en-GB"/>
        </w:rPr>
      </w:pPr>
      <w:r>
        <w:rPr>
          <w:rFonts w:eastAsia="Times New Roman" w:cs="Arial"/>
          <w:color w:val="000000"/>
          <w:szCs w:val="24"/>
          <w:lang w:val="en-GB"/>
        </w:rPr>
        <w:t xml:space="preserve"> </w:t>
      </w:r>
    </w:p>
    <w:p w14:paraId="5248E5A8" w14:textId="77777777" w:rsidR="009F798C" w:rsidRPr="00F212E7" w:rsidRDefault="009F798C" w:rsidP="00960549">
      <w:pPr>
        <w:autoSpaceDE w:val="0"/>
        <w:autoSpaceDN w:val="0"/>
        <w:adjustRightInd w:val="0"/>
        <w:spacing w:before="120" w:after="0" w:line="240" w:lineRule="auto"/>
        <w:ind w:left="709"/>
        <w:jc w:val="both"/>
        <w:rPr>
          <w:rFonts w:eastAsia="Times New Roman" w:cs="Arial"/>
          <w:color w:val="000000"/>
          <w:szCs w:val="24"/>
          <w:lang w:val="en-GB"/>
        </w:rPr>
      </w:pPr>
    </w:p>
    <w:p w14:paraId="17E2F481" w14:textId="60F788F5" w:rsidR="007A066D" w:rsidRDefault="007A066D" w:rsidP="00960549">
      <w:pPr>
        <w:pStyle w:val="ListParagraph"/>
        <w:spacing w:line="360" w:lineRule="auto"/>
        <w:ind w:left="792"/>
        <w:jc w:val="both"/>
        <w:rPr>
          <w:rFonts w:eastAsia="Calibri" w:cs="Arial"/>
          <w:i/>
          <w:iCs/>
          <w:szCs w:val="24"/>
          <w:lang w:val="en-GB"/>
        </w:rPr>
      </w:pPr>
      <w:r w:rsidRPr="00F5528B">
        <w:rPr>
          <w:rFonts w:eastAsia="Calibri" w:cs="Arial"/>
          <w:i/>
          <w:szCs w:val="24"/>
        </w:rPr>
        <w:t xml:space="preserve">This judgment was handed down electronically by circulation to the parties’ and/or parties’ representatives by email and by being uploaded to CaseLines. The date and time for hand-down is deemed to be </w:t>
      </w:r>
      <w:r w:rsidR="00656DFA">
        <w:rPr>
          <w:rFonts w:eastAsia="Calibri" w:cs="Arial"/>
          <w:i/>
          <w:szCs w:val="24"/>
        </w:rPr>
        <w:t>1</w:t>
      </w:r>
      <w:r w:rsidR="00922A3C">
        <w:rPr>
          <w:rFonts w:eastAsia="Calibri" w:cs="Arial"/>
          <w:i/>
          <w:szCs w:val="24"/>
        </w:rPr>
        <w:t>6</w:t>
      </w:r>
      <w:r w:rsidR="00656DFA">
        <w:rPr>
          <w:rFonts w:eastAsia="Calibri" w:cs="Arial"/>
          <w:i/>
          <w:szCs w:val="24"/>
        </w:rPr>
        <w:t xml:space="preserve">h00 </w:t>
      </w:r>
      <w:r w:rsidRPr="00F5528B">
        <w:rPr>
          <w:rFonts w:eastAsia="Calibri" w:cs="Arial"/>
          <w:i/>
          <w:szCs w:val="24"/>
        </w:rPr>
        <w:t xml:space="preserve">on </w:t>
      </w:r>
      <w:r>
        <w:rPr>
          <w:rFonts w:eastAsia="Calibri" w:cs="Arial"/>
          <w:i/>
          <w:szCs w:val="24"/>
        </w:rPr>
        <w:t>2</w:t>
      </w:r>
      <w:r w:rsidRPr="007A066D">
        <w:rPr>
          <w:rFonts w:eastAsia="Calibri" w:cs="Arial"/>
          <w:i/>
          <w:szCs w:val="24"/>
          <w:vertAlign w:val="superscript"/>
        </w:rPr>
        <w:t>nd</w:t>
      </w:r>
      <w:r>
        <w:rPr>
          <w:rFonts w:eastAsia="Calibri" w:cs="Arial"/>
          <w:i/>
          <w:szCs w:val="24"/>
        </w:rPr>
        <w:t xml:space="preserve"> December </w:t>
      </w:r>
      <w:r>
        <w:rPr>
          <w:rFonts w:eastAsia="Calibri" w:cs="Arial"/>
          <w:i/>
          <w:iCs/>
          <w:szCs w:val="24"/>
          <w:lang w:val="en-GB"/>
        </w:rPr>
        <w:t xml:space="preserve"> </w:t>
      </w:r>
      <w:r w:rsidRPr="00F212E7">
        <w:rPr>
          <w:rFonts w:eastAsia="Calibri" w:cs="Arial"/>
          <w:i/>
          <w:iCs/>
          <w:szCs w:val="24"/>
          <w:lang w:val="en-GB"/>
        </w:rPr>
        <w:t>2021</w:t>
      </w:r>
    </w:p>
    <w:p w14:paraId="78CAA811" w14:textId="77777777" w:rsidR="007A066D" w:rsidRDefault="007A066D" w:rsidP="00656DFA">
      <w:pPr>
        <w:spacing w:line="360" w:lineRule="auto"/>
        <w:jc w:val="both"/>
        <w:rPr>
          <w:rFonts w:eastAsia="Calibri" w:cs="Arial"/>
          <w:i/>
          <w:iCs/>
          <w:szCs w:val="24"/>
          <w:lang w:val="en-GB"/>
        </w:rPr>
      </w:pPr>
    </w:p>
    <w:p w14:paraId="119E7EA7" w14:textId="77777777" w:rsidR="007A066D" w:rsidRDefault="007A066D" w:rsidP="007A066D">
      <w:pPr>
        <w:spacing w:line="360" w:lineRule="auto"/>
        <w:jc w:val="both"/>
        <w:rPr>
          <w:rFonts w:eastAsia="Calibri" w:cs="Arial"/>
          <w:i/>
          <w:iCs/>
          <w:szCs w:val="24"/>
          <w:lang w:val="en-GB"/>
        </w:rPr>
      </w:pPr>
    </w:p>
    <w:p w14:paraId="086D847E" w14:textId="77777777" w:rsidR="007A066D" w:rsidRDefault="007A066D" w:rsidP="007A066D">
      <w:pPr>
        <w:spacing w:line="360" w:lineRule="auto"/>
        <w:jc w:val="both"/>
        <w:rPr>
          <w:rFonts w:eastAsia="Calibri" w:cs="Arial"/>
          <w:i/>
          <w:iCs/>
          <w:szCs w:val="24"/>
          <w:lang w:val="en-GB"/>
        </w:rPr>
      </w:pPr>
    </w:p>
    <w:p w14:paraId="6C80959C" w14:textId="77777777" w:rsidR="007A066D" w:rsidRDefault="007A066D" w:rsidP="007A066D">
      <w:pPr>
        <w:spacing w:line="360" w:lineRule="auto"/>
        <w:jc w:val="both"/>
        <w:rPr>
          <w:rFonts w:eastAsia="Calibri" w:cs="Arial"/>
          <w:i/>
          <w:iCs/>
          <w:szCs w:val="24"/>
          <w:lang w:val="en-GB"/>
        </w:rPr>
      </w:pPr>
    </w:p>
    <w:p w14:paraId="1BF87896" w14:textId="77777777" w:rsidR="007A066D" w:rsidRPr="00720442" w:rsidRDefault="007A066D" w:rsidP="007A066D">
      <w:pPr>
        <w:spacing w:before="360" w:after="360" w:line="360" w:lineRule="auto"/>
        <w:jc w:val="both"/>
        <w:rPr>
          <w:rFonts w:eastAsia="Calibri" w:cs="Arial"/>
          <w:b/>
          <w:color w:val="0D0D0D" w:themeColor="text1" w:themeTint="F2"/>
          <w:szCs w:val="24"/>
          <w:lang w:val="en-GB"/>
        </w:rPr>
      </w:pPr>
      <w:r w:rsidRPr="00720442">
        <w:rPr>
          <w:rFonts w:eastAsia="Calibri" w:cs="Arial"/>
          <w:b/>
          <w:color w:val="0D0D0D" w:themeColor="text1" w:themeTint="F2"/>
          <w:szCs w:val="24"/>
          <w:lang w:val="en-GB"/>
        </w:rPr>
        <w:lastRenderedPageBreak/>
        <w:t>Appearances:</w:t>
      </w:r>
    </w:p>
    <w:p w14:paraId="2636D029" w14:textId="77777777" w:rsidR="007A066D" w:rsidRDefault="007A066D" w:rsidP="007A066D">
      <w:pPr>
        <w:spacing w:line="360" w:lineRule="auto"/>
        <w:jc w:val="both"/>
        <w:rPr>
          <w:rFonts w:eastAsia="Calibri" w:cs="Arial"/>
          <w:color w:val="0D0D0D" w:themeColor="text1" w:themeTint="F2"/>
          <w:szCs w:val="24"/>
          <w:lang w:val="en-GB"/>
        </w:rPr>
      </w:pPr>
      <w:r w:rsidRPr="00720442">
        <w:rPr>
          <w:rFonts w:eastAsia="Calibri" w:cs="Arial"/>
          <w:color w:val="0D0D0D" w:themeColor="text1" w:themeTint="F2"/>
          <w:szCs w:val="24"/>
          <w:lang w:val="en-GB"/>
        </w:rPr>
        <w:t xml:space="preserve">Counsel for the </w:t>
      </w:r>
      <w:r>
        <w:rPr>
          <w:rFonts w:eastAsia="Calibri" w:cs="Arial"/>
          <w:color w:val="0D0D0D" w:themeColor="text1" w:themeTint="F2"/>
          <w:szCs w:val="24"/>
          <w:lang w:val="en-GB"/>
        </w:rPr>
        <w:t>Applicants</w:t>
      </w:r>
      <w:r w:rsidRPr="00720442">
        <w:rPr>
          <w:rFonts w:eastAsia="Calibri" w:cs="Arial"/>
          <w:color w:val="0D0D0D" w:themeColor="text1" w:themeTint="F2"/>
          <w:szCs w:val="24"/>
          <w:lang w:val="en-GB"/>
        </w:rPr>
        <w:t>:</w:t>
      </w:r>
      <w:r>
        <w:rPr>
          <w:rFonts w:eastAsia="Calibri" w:cs="Arial"/>
          <w:color w:val="0D0D0D" w:themeColor="text1" w:themeTint="F2"/>
          <w:szCs w:val="24"/>
          <w:lang w:val="en-GB"/>
        </w:rPr>
        <w:t xml:space="preserve">  </w:t>
      </w:r>
      <w:r>
        <w:rPr>
          <w:rFonts w:eastAsia="Calibri" w:cs="Arial"/>
          <w:color w:val="0D0D0D" w:themeColor="text1" w:themeTint="F2"/>
          <w:szCs w:val="24"/>
          <w:lang w:val="en-GB"/>
        </w:rPr>
        <w:tab/>
      </w:r>
      <w:r>
        <w:rPr>
          <w:rFonts w:eastAsia="Calibri" w:cs="Arial"/>
          <w:color w:val="0D0D0D" w:themeColor="text1" w:themeTint="F2"/>
          <w:szCs w:val="24"/>
          <w:lang w:val="en-GB"/>
        </w:rPr>
        <w:tab/>
        <w:t>Adv J. E. Smit</w:t>
      </w:r>
    </w:p>
    <w:p w14:paraId="1FDC7B2E" w14:textId="77777777" w:rsidR="007A066D" w:rsidRDefault="007A066D" w:rsidP="007A066D">
      <w:pPr>
        <w:spacing w:line="360" w:lineRule="auto"/>
        <w:jc w:val="both"/>
        <w:rPr>
          <w:rFonts w:eastAsia="Calibri" w:cs="Arial"/>
          <w:color w:val="0D0D0D" w:themeColor="text1" w:themeTint="F2"/>
          <w:szCs w:val="24"/>
          <w:lang w:val="en-GB"/>
        </w:rPr>
      </w:pP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t xml:space="preserve"> </w:t>
      </w:r>
      <w:r>
        <w:rPr>
          <w:rFonts w:eastAsia="Calibri" w:cs="Arial"/>
          <w:color w:val="0D0D0D" w:themeColor="text1" w:themeTint="F2"/>
          <w:szCs w:val="24"/>
          <w:lang w:val="en-GB"/>
        </w:rPr>
        <w:tab/>
      </w:r>
      <w:r>
        <w:rPr>
          <w:rFonts w:eastAsia="Calibri" w:cs="Arial"/>
          <w:color w:val="0D0D0D" w:themeColor="text1" w:themeTint="F2"/>
          <w:szCs w:val="24"/>
          <w:lang w:val="en-GB"/>
        </w:rPr>
        <w:tab/>
        <w:t>082 468 1755</w:t>
      </w:r>
    </w:p>
    <w:p w14:paraId="686E55B8" w14:textId="77777777" w:rsidR="007A066D" w:rsidRDefault="007A066D" w:rsidP="007A066D">
      <w:pPr>
        <w:spacing w:line="360" w:lineRule="auto"/>
        <w:jc w:val="both"/>
        <w:rPr>
          <w:rFonts w:eastAsia="Calibri" w:cs="Arial"/>
          <w:color w:val="0D0D0D" w:themeColor="text1" w:themeTint="F2"/>
          <w:szCs w:val="24"/>
          <w:lang w:val="en-GB"/>
        </w:rPr>
      </w:pP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hyperlink r:id="rId9" w:history="1">
        <w:r w:rsidRPr="00875C09">
          <w:rPr>
            <w:rStyle w:val="Hyperlink"/>
            <w:rFonts w:eastAsia="Calibri" w:cs="Arial"/>
            <w:szCs w:val="24"/>
            <w:lang w:val="en-GB"/>
          </w:rPr>
          <w:t>johan@jesmit.co.za</w:t>
        </w:r>
      </w:hyperlink>
    </w:p>
    <w:p w14:paraId="6BDB7505" w14:textId="77777777" w:rsidR="007A066D" w:rsidRPr="00720442" w:rsidRDefault="007A066D" w:rsidP="007A066D">
      <w:pPr>
        <w:spacing w:line="360" w:lineRule="auto"/>
        <w:jc w:val="both"/>
        <w:rPr>
          <w:rFonts w:eastAsia="Calibri" w:cs="Arial"/>
          <w:color w:val="0D0D0D" w:themeColor="text1" w:themeTint="F2"/>
          <w:szCs w:val="24"/>
          <w:lang w:val="en-GB"/>
        </w:rPr>
      </w:pPr>
      <w:r>
        <w:rPr>
          <w:rFonts w:eastAsia="Calibri" w:cs="Arial"/>
          <w:color w:val="0D0D0D" w:themeColor="text1" w:themeTint="F2"/>
          <w:szCs w:val="24"/>
          <w:lang w:val="en-GB"/>
        </w:rPr>
        <w:t xml:space="preserve">             </w:t>
      </w:r>
    </w:p>
    <w:p w14:paraId="5D252059" w14:textId="77777777" w:rsidR="007A066D" w:rsidRDefault="007A066D" w:rsidP="007A066D">
      <w:pPr>
        <w:spacing w:line="360" w:lineRule="auto"/>
        <w:jc w:val="both"/>
        <w:rPr>
          <w:rFonts w:eastAsia="Calibri" w:cs="Arial"/>
          <w:color w:val="0D0D0D" w:themeColor="text1" w:themeTint="F2"/>
          <w:szCs w:val="24"/>
          <w:lang w:val="en-GB"/>
        </w:rPr>
      </w:pPr>
      <w:r w:rsidRPr="00720442">
        <w:rPr>
          <w:rFonts w:eastAsia="Calibri" w:cs="Arial"/>
          <w:color w:val="0D0D0D" w:themeColor="text1" w:themeTint="F2"/>
          <w:szCs w:val="24"/>
          <w:lang w:val="en-GB"/>
        </w:rPr>
        <w:t>Instructed by</w:t>
      </w:r>
      <w:r>
        <w:rPr>
          <w:rFonts w:eastAsia="Calibri" w:cs="Arial"/>
          <w:color w:val="0D0D0D" w:themeColor="text1" w:themeTint="F2"/>
          <w:szCs w:val="24"/>
          <w:lang w:val="en-GB"/>
        </w:rPr>
        <w:t>:</w:t>
      </w:r>
      <w:r w:rsidRPr="00720442">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t>Elliott Attorneys</w:t>
      </w:r>
    </w:p>
    <w:p w14:paraId="7456E6F2" w14:textId="77777777" w:rsidR="007A066D" w:rsidRDefault="007A066D" w:rsidP="007A066D">
      <w:pPr>
        <w:spacing w:line="360" w:lineRule="auto"/>
        <w:jc w:val="both"/>
        <w:rPr>
          <w:rFonts w:eastAsia="Calibri" w:cs="Arial"/>
          <w:color w:val="0D0D0D" w:themeColor="text1" w:themeTint="F2"/>
          <w:szCs w:val="24"/>
          <w:lang w:val="en-GB"/>
        </w:rPr>
      </w:pP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t>082 904 1758</w:t>
      </w:r>
    </w:p>
    <w:p w14:paraId="44E6D257" w14:textId="77777777" w:rsidR="007A066D" w:rsidRDefault="007A066D" w:rsidP="007A066D">
      <w:pPr>
        <w:spacing w:line="360" w:lineRule="auto"/>
        <w:jc w:val="both"/>
        <w:rPr>
          <w:rFonts w:eastAsia="Calibri" w:cs="Arial"/>
          <w:color w:val="0D0D0D" w:themeColor="text1" w:themeTint="F2"/>
          <w:szCs w:val="24"/>
          <w:lang w:val="en-GB"/>
        </w:rPr>
      </w:pP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hyperlink r:id="rId10" w:history="1">
        <w:r w:rsidRPr="00875C09">
          <w:rPr>
            <w:rStyle w:val="Hyperlink"/>
            <w:rFonts w:eastAsia="Calibri" w:cs="Arial"/>
            <w:szCs w:val="24"/>
            <w:lang w:val="en-GB"/>
          </w:rPr>
          <w:t>alex@blackboxlaw.co.za</w:t>
        </w:r>
      </w:hyperlink>
    </w:p>
    <w:p w14:paraId="66203A55" w14:textId="77777777" w:rsidR="007A066D" w:rsidRDefault="007A066D" w:rsidP="007A066D">
      <w:pPr>
        <w:spacing w:line="360" w:lineRule="auto"/>
        <w:jc w:val="both"/>
        <w:rPr>
          <w:rFonts w:eastAsia="Calibri" w:cs="Arial"/>
          <w:color w:val="0D0D0D" w:themeColor="text1" w:themeTint="F2"/>
          <w:szCs w:val="24"/>
          <w:lang w:val="en-GB"/>
        </w:rPr>
      </w:pP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hyperlink r:id="rId11" w:history="1">
        <w:r w:rsidRPr="00875C09">
          <w:rPr>
            <w:rStyle w:val="Hyperlink"/>
            <w:rFonts w:eastAsia="Calibri" w:cs="Arial"/>
            <w:szCs w:val="24"/>
            <w:lang w:val="en-GB"/>
          </w:rPr>
          <w:t>craig@blackboxlaw.co.za</w:t>
        </w:r>
      </w:hyperlink>
    </w:p>
    <w:p w14:paraId="7D6AA9D7" w14:textId="77777777" w:rsidR="007A066D" w:rsidRPr="00720442" w:rsidRDefault="007A066D" w:rsidP="007A066D">
      <w:pPr>
        <w:spacing w:line="360" w:lineRule="auto"/>
        <w:jc w:val="both"/>
        <w:rPr>
          <w:rFonts w:eastAsia="Calibri" w:cs="Arial"/>
          <w:color w:val="0D0D0D" w:themeColor="text1" w:themeTint="F2"/>
          <w:szCs w:val="24"/>
          <w:lang w:val="en-GB"/>
        </w:rPr>
      </w:pPr>
      <w:r w:rsidRPr="00720442">
        <w:rPr>
          <w:rFonts w:eastAsia="Calibri" w:cs="Arial"/>
          <w:color w:val="0D0D0D" w:themeColor="text1" w:themeTint="F2"/>
          <w:szCs w:val="24"/>
          <w:lang w:val="en-GB"/>
        </w:rPr>
        <w:tab/>
      </w:r>
      <w:r w:rsidRPr="00720442">
        <w:rPr>
          <w:rFonts w:eastAsia="Calibri" w:cs="Arial"/>
          <w:color w:val="0D0D0D" w:themeColor="text1" w:themeTint="F2"/>
          <w:szCs w:val="24"/>
          <w:lang w:val="en-GB"/>
        </w:rPr>
        <w:tab/>
      </w:r>
      <w:r w:rsidRPr="00720442">
        <w:rPr>
          <w:rFonts w:eastAsia="Calibri" w:cs="Arial"/>
          <w:color w:val="0D0D0D" w:themeColor="text1" w:themeTint="F2"/>
          <w:szCs w:val="24"/>
          <w:lang w:val="en-GB"/>
        </w:rPr>
        <w:tab/>
        <w:t xml:space="preserve"> </w:t>
      </w:r>
      <w:r>
        <w:rPr>
          <w:rFonts w:eastAsia="Calibri" w:cs="Arial"/>
          <w:color w:val="0D0D0D" w:themeColor="text1" w:themeTint="F2"/>
          <w:szCs w:val="24"/>
          <w:lang w:val="en-GB"/>
        </w:rPr>
        <w:t xml:space="preserve"> </w:t>
      </w:r>
    </w:p>
    <w:p w14:paraId="00028A94" w14:textId="77777777" w:rsidR="007A066D" w:rsidRDefault="007A066D" w:rsidP="007A066D">
      <w:pPr>
        <w:spacing w:line="360" w:lineRule="auto"/>
        <w:jc w:val="both"/>
        <w:rPr>
          <w:rFonts w:eastAsia="Calibri" w:cs="Arial"/>
          <w:color w:val="0D0D0D" w:themeColor="text1" w:themeTint="F2"/>
          <w:szCs w:val="24"/>
          <w:lang w:val="en-GB"/>
        </w:rPr>
      </w:pPr>
      <w:r>
        <w:rPr>
          <w:rFonts w:eastAsia="Calibri" w:cs="Arial"/>
          <w:color w:val="0D0D0D" w:themeColor="text1" w:themeTint="F2"/>
          <w:szCs w:val="24"/>
          <w:lang w:val="en-GB"/>
        </w:rPr>
        <w:t>Counsel for 1</w:t>
      </w:r>
      <w:r w:rsidRPr="00AB6898">
        <w:rPr>
          <w:rFonts w:eastAsia="Calibri" w:cs="Arial"/>
          <w:color w:val="0D0D0D" w:themeColor="text1" w:themeTint="F2"/>
          <w:szCs w:val="24"/>
          <w:vertAlign w:val="superscript"/>
          <w:lang w:val="en-GB"/>
        </w:rPr>
        <w:t>st</w:t>
      </w:r>
      <w:r>
        <w:rPr>
          <w:rFonts w:eastAsia="Calibri" w:cs="Arial"/>
          <w:color w:val="0D0D0D" w:themeColor="text1" w:themeTint="F2"/>
          <w:szCs w:val="24"/>
          <w:lang w:val="en-GB"/>
        </w:rPr>
        <w:t xml:space="preserve"> Respondent:</w:t>
      </w:r>
      <w:r>
        <w:rPr>
          <w:rFonts w:eastAsia="Calibri" w:cs="Arial"/>
          <w:color w:val="0D0D0D" w:themeColor="text1" w:themeTint="F2"/>
          <w:szCs w:val="24"/>
          <w:lang w:val="en-GB"/>
        </w:rPr>
        <w:tab/>
      </w:r>
      <w:r>
        <w:rPr>
          <w:rFonts w:eastAsia="Calibri" w:cs="Arial"/>
          <w:color w:val="0D0D0D" w:themeColor="text1" w:themeTint="F2"/>
          <w:szCs w:val="24"/>
          <w:lang w:val="en-GB"/>
        </w:rPr>
        <w:tab/>
        <w:t>Adv J Daniells</w:t>
      </w:r>
    </w:p>
    <w:p w14:paraId="7C8B11C6" w14:textId="77777777" w:rsidR="007A066D" w:rsidRDefault="007A066D" w:rsidP="007A066D">
      <w:pPr>
        <w:spacing w:line="360" w:lineRule="auto"/>
        <w:jc w:val="both"/>
        <w:rPr>
          <w:rFonts w:eastAsia="Calibri" w:cs="Arial"/>
          <w:color w:val="0D0D0D" w:themeColor="text1" w:themeTint="F2"/>
          <w:szCs w:val="24"/>
          <w:lang w:val="en-GB"/>
        </w:rPr>
      </w:pP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t>082 853 0189</w:t>
      </w:r>
    </w:p>
    <w:p w14:paraId="7E35DA1B" w14:textId="77777777" w:rsidR="007A066D" w:rsidRDefault="007A066D" w:rsidP="007A066D">
      <w:pPr>
        <w:spacing w:line="360" w:lineRule="auto"/>
        <w:jc w:val="both"/>
        <w:rPr>
          <w:rFonts w:eastAsia="Calibri" w:cs="Arial"/>
          <w:color w:val="0D0D0D" w:themeColor="text1" w:themeTint="F2"/>
          <w:szCs w:val="24"/>
          <w:lang w:val="en-GB"/>
        </w:rPr>
      </w:pPr>
      <w:r>
        <w:rPr>
          <w:rFonts w:eastAsia="Calibri" w:cs="Arial"/>
          <w:color w:val="0D0D0D" w:themeColor="text1" w:themeTint="F2"/>
          <w:szCs w:val="24"/>
          <w:lang w:val="en-GB"/>
        </w:rPr>
        <w:t>Attorneys for First Respondent</w:t>
      </w:r>
      <w:r>
        <w:rPr>
          <w:rFonts w:eastAsia="Calibri" w:cs="Arial"/>
          <w:color w:val="0D0D0D" w:themeColor="text1" w:themeTint="F2"/>
          <w:szCs w:val="24"/>
          <w:lang w:val="en-GB"/>
        </w:rPr>
        <w:tab/>
      </w:r>
      <w:r>
        <w:rPr>
          <w:rFonts w:eastAsia="Calibri" w:cs="Arial"/>
          <w:color w:val="0D0D0D" w:themeColor="text1" w:themeTint="F2"/>
          <w:szCs w:val="24"/>
          <w:lang w:val="en-GB"/>
        </w:rPr>
        <w:tab/>
        <w:t>Shaheed Dollie Inc</w:t>
      </w:r>
    </w:p>
    <w:p w14:paraId="5426558F" w14:textId="6BC7D2EB" w:rsidR="007A066D" w:rsidRDefault="007A066D" w:rsidP="00257DCC">
      <w:pPr>
        <w:spacing w:line="360" w:lineRule="auto"/>
        <w:jc w:val="both"/>
      </w:pP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hyperlink r:id="rId12" w:history="1">
        <w:r w:rsidRPr="00875C09">
          <w:rPr>
            <w:rStyle w:val="Hyperlink"/>
            <w:rFonts w:eastAsia="Calibri" w:cs="Arial"/>
            <w:szCs w:val="24"/>
            <w:lang w:val="en-GB"/>
          </w:rPr>
          <w:t>reception@sdollieinc.co.za</w:t>
        </w:r>
      </w:hyperlink>
    </w:p>
    <w:sectPr w:rsidR="007A066D" w:rsidSect="00FF34C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1EC71" w14:textId="77777777" w:rsidR="009132C2" w:rsidRDefault="009132C2" w:rsidP="00AB1EBD">
      <w:pPr>
        <w:spacing w:after="0" w:line="240" w:lineRule="auto"/>
      </w:pPr>
      <w:r>
        <w:separator/>
      </w:r>
    </w:p>
  </w:endnote>
  <w:endnote w:type="continuationSeparator" w:id="0">
    <w:p w14:paraId="54C2DFD5" w14:textId="77777777" w:rsidR="009132C2" w:rsidRDefault="009132C2" w:rsidP="00AB1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F86C5" w14:textId="77777777" w:rsidR="009132C2" w:rsidRDefault="009132C2" w:rsidP="00AB1EBD">
      <w:pPr>
        <w:spacing w:after="0" w:line="240" w:lineRule="auto"/>
      </w:pPr>
      <w:r>
        <w:separator/>
      </w:r>
    </w:p>
  </w:footnote>
  <w:footnote w:type="continuationSeparator" w:id="0">
    <w:p w14:paraId="69CFFE62" w14:textId="77777777" w:rsidR="009132C2" w:rsidRDefault="009132C2" w:rsidP="00AB1EBD">
      <w:pPr>
        <w:spacing w:after="0" w:line="240" w:lineRule="auto"/>
      </w:pPr>
      <w:r>
        <w:continuationSeparator/>
      </w:r>
    </w:p>
  </w:footnote>
  <w:footnote w:id="1">
    <w:p w14:paraId="686A77E5" w14:textId="12E52792" w:rsidR="00F24241" w:rsidRPr="00F24241" w:rsidRDefault="00F24241">
      <w:pPr>
        <w:pStyle w:val="FootnoteText"/>
        <w:rPr>
          <w:lang w:val="en-US"/>
        </w:rPr>
      </w:pPr>
      <w:r>
        <w:rPr>
          <w:rStyle w:val="FootnoteReference"/>
        </w:rPr>
        <w:footnoteRef/>
      </w:r>
      <w:r>
        <w:t xml:space="preserve"> </w:t>
      </w:r>
      <w:r>
        <w:rPr>
          <w:lang w:val="en-US"/>
        </w:rPr>
        <w:t>See further on this my postscript below.</w:t>
      </w:r>
    </w:p>
  </w:footnote>
  <w:footnote w:id="2">
    <w:p w14:paraId="6F01D380" w14:textId="45724C56" w:rsidR="001914F9" w:rsidRPr="001914F9" w:rsidRDefault="001914F9">
      <w:pPr>
        <w:pStyle w:val="FootnoteText"/>
        <w:rPr>
          <w:lang w:val="en-US"/>
        </w:rPr>
      </w:pPr>
      <w:r>
        <w:rPr>
          <w:rStyle w:val="FootnoteReference"/>
        </w:rPr>
        <w:footnoteRef/>
      </w:r>
      <w:r>
        <w:t xml:space="preserve">  For the traditional approach see </w:t>
      </w:r>
      <w:r w:rsidRPr="001914F9">
        <w:rPr>
          <w:i/>
          <w:iCs/>
        </w:rPr>
        <w:t xml:space="preserve">United Watch &amp; Diamond Co Pt Ltd and Others v Disa Hotels Ltd and Another </w:t>
      </w:r>
      <w:r w:rsidRPr="001914F9">
        <w:t>1972 (4) SA 409 (C) at 415A</w:t>
      </w:r>
    </w:p>
  </w:footnote>
  <w:footnote w:id="3">
    <w:p w14:paraId="57CEE393" w14:textId="07C1228E" w:rsidR="00515341" w:rsidRPr="00515341" w:rsidRDefault="00515341">
      <w:pPr>
        <w:pStyle w:val="FootnoteText"/>
        <w:rPr>
          <w:lang w:val="en-US"/>
        </w:rPr>
      </w:pPr>
      <w:r>
        <w:rPr>
          <w:rStyle w:val="FootnoteReference"/>
        </w:rPr>
        <w:footnoteRef/>
      </w:r>
      <w:r>
        <w:t xml:space="preserve"> </w:t>
      </w:r>
      <w:r w:rsidRPr="00515341">
        <w:t>1993 (</w:t>
      </w:r>
      <w:r>
        <w:t>1</w:t>
      </w:r>
      <w:r w:rsidRPr="00515341">
        <w:t>) SA 523 at 532J -533A</w:t>
      </w:r>
      <w:r>
        <w:t>.</w:t>
      </w:r>
    </w:p>
  </w:footnote>
  <w:footnote w:id="4">
    <w:p w14:paraId="14FBA541" w14:textId="1B2A3008" w:rsidR="00EF5BDB" w:rsidRPr="00EF5BDB" w:rsidRDefault="00EF5BDB">
      <w:pPr>
        <w:pStyle w:val="FootnoteText"/>
        <w:rPr>
          <w:lang w:val="en-US"/>
        </w:rPr>
      </w:pPr>
      <w:r>
        <w:rPr>
          <w:rStyle w:val="FootnoteReference"/>
        </w:rPr>
        <w:footnoteRef/>
      </w:r>
      <w:r>
        <w:t xml:space="preserve"> </w:t>
      </w:r>
      <w:r w:rsidRPr="000279F4">
        <w:rPr>
          <w:i/>
          <w:iCs/>
          <w:lang w:val="en-US"/>
        </w:rPr>
        <w:t>National Treasury and Others v Opposition to Urban Tolling Alliance and others</w:t>
      </w:r>
      <w:r>
        <w:rPr>
          <w:lang w:val="en-US"/>
        </w:rPr>
        <w:t xml:space="preserve"> 2012(6) SA 223(CC) paragraph 25</w:t>
      </w:r>
    </w:p>
  </w:footnote>
  <w:footnote w:id="5">
    <w:p w14:paraId="44518A9F" w14:textId="55889DD8" w:rsidR="00AC0A82" w:rsidRPr="00AC0A82" w:rsidRDefault="00AC0A82">
      <w:pPr>
        <w:pStyle w:val="FootnoteText"/>
        <w:rPr>
          <w:lang w:val="en-US"/>
        </w:rPr>
      </w:pPr>
      <w:r>
        <w:rPr>
          <w:rStyle w:val="FootnoteReference"/>
        </w:rPr>
        <w:footnoteRef/>
      </w:r>
      <w:r w:rsidR="0084546C">
        <w:t xml:space="preserve"> 18 March 2021 case number</w:t>
      </w:r>
      <w:r w:rsidR="0084546C" w:rsidRPr="0084546C">
        <w:t>: 44169/2019</w:t>
      </w:r>
      <w:r w:rsidR="0084546C">
        <w:t xml:space="preserve"> (GDJ) paragraph </w:t>
      </w:r>
      <w:r w:rsidR="007F54C0">
        <w:t>14, unreported</w:t>
      </w:r>
      <w:r w:rsidR="0084546C">
        <w:t>.</w:t>
      </w:r>
    </w:p>
  </w:footnote>
  <w:footnote w:id="6">
    <w:p w14:paraId="03AAE4C5" w14:textId="577251CC" w:rsidR="00AB1EBD" w:rsidRPr="0077458D" w:rsidRDefault="00AB1EBD" w:rsidP="0077458D">
      <w:pPr>
        <w:pStyle w:val="ListParagraph"/>
        <w:spacing w:line="360" w:lineRule="auto"/>
        <w:ind w:left="0"/>
        <w:rPr>
          <w:i/>
          <w:iCs/>
        </w:rPr>
      </w:pPr>
      <w:r>
        <w:rPr>
          <w:rStyle w:val="FootnoteReference"/>
        </w:rPr>
        <w:footnoteRef/>
      </w:r>
      <w:r>
        <w:t xml:space="preserve"> </w:t>
      </w:r>
      <w:r w:rsidRPr="00183938">
        <w:rPr>
          <w:i/>
          <w:iCs/>
        </w:rPr>
        <w:t xml:space="preserve"> </w:t>
      </w:r>
      <w:r w:rsidRPr="0077458D">
        <w:rPr>
          <w:sz w:val="20"/>
          <w:szCs w:val="20"/>
        </w:rPr>
        <w:t>2020 (6) SA 46 (SCA)</w:t>
      </w:r>
    </w:p>
  </w:footnote>
  <w:footnote w:id="7">
    <w:p w14:paraId="57C2483F" w14:textId="0437B3AC" w:rsidR="0077458D" w:rsidRPr="0077458D" w:rsidRDefault="0077458D">
      <w:pPr>
        <w:pStyle w:val="FootnoteText"/>
        <w:rPr>
          <w:lang w:val="en-US"/>
        </w:rPr>
      </w:pPr>
      <w:r>
        <w:rPr>
          <w:rStyle w:val="FootnoteReference"/>
        </w:rPr>
        <w:footnoteRef/>
      </w:r>
      <w:r>
        <w:t xml:space="preserve"> </w:t>
      </w:r>
      <w:r w:rsidRPr="0077458D">
        <w:rPr>
          <w:i/>
          <w:iCs/>
        </w:rPr>
        <w:t>HMI Healthcare Corporation (</w:t>
      </w:r>
      <w:r>
        <w:rPr>
          <w:i/>
          <w:iCs/>
        </w:rPr>
        <w:t>P</w:t>
      </w:r>
      <w:r w:rsidRPr="0077458D">
        <w:rPr>
          <w:i/>
          <w:iCs/>
        </w:rPr>
        <w:t>ty) Ltd v Medshield Medical Scheme and Others</w:t>
      </w:r>
      <w:r w:rsidRPr="0077458D">
        <w:t xml:space="preserve"> [2017] ZASCA 160</w:t>
      </w:r>
    </w:p>
  </w:footnote>
  <w:footnote w:id="8">
    <w:p w14:paraId="4732B34C" w14:textId="16737CAF" w:rsidR="000279F4" w:rsidRPr="000279F4" w:rsidRDefault="000279F4">
      <w:pPr>
        <w:pStyle w:val="FootnoteText"/>
        <w:rPr>
          <w:lang w:val="en-US"/>
        </w:rPr>
      </w:pPr>
      <w:r>
        <w:rPr>
          <w:rStyle w:val="FootnoteReference"/>
        </w:rPr>
        <w:footnoteRef/>
      </w:r>
      <w:r>
        <w:t xml:space="preserve"> </w:t>
      </w:r>
      <w:r w:rsidRPr="000279F4">
        <w:rPr>
          <w:i/>
          <w:iCs/>
        </w:rPr>
        <w:t>McLachlan</w:t>
      </w:r>
      <w:r w:rsidRPr="000279F4">
        <w:rPr>
          <w:i/>
          <w:iCs/>
          <w:lang w:val="en-US"/>
        </w:rPr>
        <w:t xml:space="preserve"> </w:t>
      </w:r>
      <w:r>
        <w:rPr>
          <w:lang w:val="en-US"/>
        </w:rPr>
        <w:t>supra, paragraph 21.</w:t>
      </w:r>
    </w:p>
  </w:footnote>
  <w:footnote w:id="9">
    <w:p w14:paraId="29D103E8" w14:textId="1B6122CA" w:rsidR="00B05B0F" w:rsidRPr="00B05B0F" w:rsidRDefault="00B05B0F" w:rsidP="001F3CEB">
      <w:pPr>
        <w:pStyle w:val="FootnoteText"/>
        <w:jc w:val="both"/>
        <w:rPr>
          <w:lang w:val="en-US"/>
        </w:rPr>
      </w:pPr>
      <w:r>
        <w:rPr>
          <w:rStyle w:val="FootnoteReference"/>
        </w:rPr>
        <w:footnoteRef/>
      </w:r>
      <w:r>
        <w:t xml:space="preserve"> </w:t>
      </w:r>
      <w:r w:rsidR="00711A0B" w:rsidRPr="00711A0B">
        <w:rPr>
          <w:i/>
          <w:iCs/>
          <w:lang w:val="en-US"/>
        </w:rPr>
        <w:t xml:space="preserve">HMI </w:t>
      </w:r>
      <w:r w:rsidR="00711A0B">
        <w:rPr>
          <w:lang w:val="en-US"/>
        </w:rPr>
        <w:t>op. cit.</w:t>
      </w:r>
      <w:r w:rsidR="00AD5C7C">
        <w:rPr>
          <w:lang w:val="en-US"/>
        </w:rPr>
        <w:t>,</w:t>
      </w:r>
      <w:r w:rsidR="00711A0B">
        <w:rPr>
          <w:lang w:val="en-US"/>
        </w:rPr>
        <w:t xml:space="preserve"> paragraph 17. The Constitutional Court decision cited </w:t>
      </w:r>
      <w:r w:rsidR="00AD5C7C">
        <w:rPr>
          <w:lang w:val="en-US"/>
        </w:rPr>
        <w:t xml:space="preserve">in this passage </w:t>
      </w:r>
      <w:r w:rsidR="00711A0B">
        <w:rPr>
          <w:lang w:val="en-US"/>
        </w:rPr>
        <w:t xml:space="preserve">is </w:t>
      </w:r>
      <w:r w:rsidR="00711A0B" w:rsidRPr="00AD5C7C">
        <w:rPr>
          <w:i/>
          <w:iCs/>
          <w:lang w:val="en-US"/>
        </w:rPr>
        <w:t>International Trade Administration Commission v Scaw South Africa Pty Ltd</w:t>
      </w:r>
      <w:r w:rsidR="00711A0B">
        <w:rPr>
          <w:lang w:val="en-US"/>
        </w:rPr>
        <w:t xml:space="preserve"> 2012(4) SA 618 (CC) paragraph 55.</w:t>
      </w:r>
      <w:r w:rsidR="00FE30D1">
        <w:rPr>
          <w:lang w:val="en-US"/>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835847"/>
      <w:docPartObj>
        <w:docPartGallery w:val="Page Numbers (Top of Page)"/>
        <w:docPartUnique/>
      </w:docPartObj>
    </w:sdtPr>
    <w:sdtEndPr>
      <w:rPr>
        <w:noProof/>
      </w:rPr>
    </w:sdtEndPr>
    <w:sdtContent>
      <w:p w14:paraId="30DB2657" w14:textId="0F2F118E" w:rsidR="00AE558E" w:rsidRDefault="00AE558E">
        <w:pPr>
          <w:pStyle w:val="Header"/>
          <w:jc w:val="right"/>
        </w:pPr>
        <w:r>
          <w:fldChar w:fldCharType="begin"/>
        </w:r>
        <w:r>
          <w:instrText xml:space="preserve"> PAGE   \* MERGEFORMAT </w:instrText>
        </w:r>
        <w:r>
          <w:fldChar w:fldCharType="separate"/>
        </w:r>
        <w:r w:rsidR="00867AEE">
          <w:rPr>
            <w:noProof/>
          </w:rPr>
          <w:t>3</w:t>
        </w:r>
        <w:r>
          <w:rPr>
            <w:noProof/>
          </w:rPr>
          <w:fldChar w:fldCharType="end"/>
        </w:r>
      </w:p>
    </w:sdtContent>
  </w:sdt>
  <w:p w14:paraId="263732C3" w14:textId="77777777" w:rsidR="00AE558E" w:rsidRDefault="00AE5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nsid w:val="13B12EAD"/>
    <w:multiLevelType w:val="hybridMultilevel"/>
    <w:tmpl w:val="7082A992"/>
    <w:lvl w:ilvl="0" w:tplc="166EF4D6">
      <w:numFmt w:val="bullet"/>
      <w:lvlText w:val=""/>
      <w:lvlJc w:val="left"/>
      <w:pPr>
        <w:ind w:left="720" w:hanging="360"/>
      </w:pPr>
      <w:rPr>
        <w:rFonts w:ascii="Wingdings" w:eastAsiaTheme="minorHAnsi" w:hAnsi="Wingding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1F16364"/>
    <w:multiLevelType w:val="hybridMultilevel"/>
    <w:tmpl w:val="505415FA"/>
    <w:lvl w:ilvl="0" w:tplc="B8A4DAD6">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3C584C17"/>
    <w:multiLevelType w:val="hybridMultilevel"/>
    <w:tmpl w:val="A22881C0"/>
    <w:lvl w:ilvl="0" w:tplc="B8A4DA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1F"/>
    <w:rsid w:val="00003D45"/>
    <w:rsid w:val="0001245C"/>
    <w:rsid w:val="000279F4"/>
    <w:rsid w:val="0003726D"/>
    <w:rsid w:val="00043C54"/>
    <w:rsid w:val="00052C6A"/>
    <w:rsid w:val="00057DF3"/>
    <w:rsid w:val="00061505"/>
    <w:rsid w:val="000720DD"/>
    <w:rsid w:val="000725B4"/>
    <w:rsid w:val="0007276D"/>
    <w:rsid w:val="00072A76"/>
    <w:rsid w:val="00083732"/>
    <w:rsid w:val="000A73BE"/>
    <w:rsid w:val="000C08EE"/>
    <w:rsid w:val="000C33EE"/>
    <w:rsid w:val="000C5031"/>
    <w:rsid w:val="000C779F"/>
    <w:rsid w:val="000D3509"/>
    <w:rsid w:val="000D4C5A"/>
    <w:rsid w:val="000E3689"/>
    <w:rsid w:val="000F76D6"/>
    <w:rsid w:val="001018B5"/>
    <w:rsid w:val="001211A7"/>
    <w:rsid w:val="00135617"/>
    <w:rsid w:val="00145069"/>
    <w:rsid w:val="00150F99"/>
    <w:rsid w:val="001661DA"/>
    <w:rsid w:val="00183938"/>
    <w:rsid w:val="001856F1"/>
    <w:rsid w:val="00187F33"/>
    <w:rsid w:val="001914F9"/>
    <w:rsid w:val="0019209C"/>
    <w:rsid w:val="001B1604"/>
    <w:rsid w:val="001B57D5"/>
    <w:rsid w:val="001D3C5B"/>
    <w:rsid w:val="001D7CC0"/>
    <w:rsid w:val="001F3CEB"/>
    <w:rsid w:val="0021182F"/>
    <w:rsid w:val="00220E81"/>
    <w:rsid w:val="002215E4"/>
    <w:rsid w:val="002260B9"/>
    <w:rsid w:val="002503A9"/>
    <w:rsid w:val="00257DCC"/>
    <w:rsid w:val="002774B8"/>
    <w:rsid w:val="002833C1"/>
    <w:rsid w:val="00290915"/>
    <w:rsid w:val="002A201C"/>
    <w:rsid w:val="002A6AAB"/>
    <w:rsid w:val="002B1BB8"/>
    <w:rsid w:val="002C7EFE"/>
    <w:rsid w:val="002E1B5F"/>
    <w:rsid w:val="002F4C15"/>
    <w:rsid w:val="00325CA8"/>
    <w:rsid w:val="00337D7D"/>
    <w:rsid w:val="00364ED3"/>
    <w:rsid w:val="00372DE0"/>
    <w:rsid w:val="0037579F"/>
    <w:rsid w:val="0037693F"/>
    <w:rsid w:val="00377C4D"/>
    <w:rsid w:val="00391406"/>
    <w:rsid w:val="00393537"/>
    <w:rsid w:val="003B0CB0"/>
    <w:rsid w:val="003C3651"/>
    <w:rsid w:val="003C37BA"/>
    <w:rsid w:val="003C388B"/>
    <w:rsid w:val="003C63F4"/>
    <w:rsid w:val="003D0756"/>
    <w:rsid w:val="003D2709"/>
    <w:rsid w:val="003D3F76"/>
    <w:rsid w:val="003D6106"/>
    <w:rsid w:val="003E2C4A"/>
    <w:rsid w:val="00404A40"/>
    <w:rsid w:val="00414A00"/>
    <w:rsid w:val="00451DF9"/>
    <w:rsid w:val="0045514E"/>
    <w:rsid w:val="00474F63"/>
    <w:rsid w:val="00480500"/>
    <w:rsid w:val="00494D75"/>
    <w:rsid w:val="004A1474"/>
    <w:rsid w:val="004B6641"/>
    <w:rsid w:val="004C1E2A"/>
    <w:rsid w:val="004C5C8E"/>
    <w:rsid w:val="004C738D"/>
    <w:rsid w:val="004D4F26"/>
    <w:rsid w:val="004E188C"/>
    <w:rsid w:val="004F1C01"/>
    <w:rsid w:val="004F6DB9"/>
    <w:rsid w:val="00503807"/>
    <w:rsid w:val="00504216"/>
    <w:rsid w:val="00511BB6"/>
    <w:rsid w:val="00515341"/>
    <w:rsid w:val="0052578C"/>
    <w:rsid w:val="0053064F"/>
    <w:rsid w:val="005716DE"/>
    <w:rsid w:val="00580312"/>
    <w:rsid w:val="005C2B4D"/>
    <w:rsid w:val="005C2C84"/>
    <w:rsid w:val="005C6986"/>
    <w:rsid w:val="005E17E4"/>
    <w:rsid w:val="006024C5"/>
    <w:rsid w:val="00606DD3"/>
    <w:rsid w:val="0061437B"/>
    <w:rsid w:val="00635CF8"/>
    <w:rsid w:val="006513CD"/>
    <w:rsid w:val="00656DFA"/>
    <w:rsid w:val="006648E3"/>
    <w:rsid w:val="00666596"/>
    <w:rsid w:val="00686478"/>
    <w:rsid w:val="006D1DD7"/>
    <w:rsid w:val="006F4BE0"/>
    <w:rsid w:val="006F5E31"/>
    <w:rsid w:val="00711865"/>
    <w:rsid w:val="00711A0B"/>
    <w:rsid w:val="007317F8"/>
    <w:rsid w:val="00737F8B"/>
    <w:rsid w:val="0076338A"/>
    <w:rsid w:val="00766458"/>
    <w:rsid w:val="007744D3"/>
    <w:rsid w:val="0077458D"/>
    <w:rsid w:val="0078372A"/>
    <w:rsid w:val="007A066D"/>
    <w:rsid w:val="007B0001"/>
    <w:rsid w:val="007E1D1C"/>
    <w:rsid w:val="007E6A77"/>
    <w:rsid w:val="007F0B34"/>
    <w:rsid w:val="007F54C0"/>
    <w:rsid w:val="00802026"/>
    <w:rsid w:val="008046BD"/>
    <w:rsid w:val="008052D0"/>
    <w:rsid w:val="00806D23"/>
    <w:rsid w:val="00807D35"/>
    <w:rsid w:val="0084546C"/>
    <w:rsid w:val="00853F94"/>
    <w:rsid w:val="0086126B"/>
    <w:rsid w:val="00865320"/>
    <w:rsid w:val="00867AEE"/>
    <w:rsid w:val="008728D4"/>
    <w:rsid w:val="00881CC2"/>
    <w:rsid w:val="00897E19"/>
    <w:rsid w:val="008D2350"/>
    <w:rsid w:val="008D32F9"/>
    <w:rsid w:val="008D4C24"/>
    <w:rsid w:val="00905AC2"/>
    <w:rsid w:val="009132C2"/>
    <w:rsid w:val="00922A3C"/>
    <w:rsid w:val="00937B70"/>
    <w:rsid w:val="00960549"/>
    <w:rsid w:val="00963925"/>
    <w:rsid w:val="00974724"/>
    <w:rsid w:val="00980404"/>
    <w:rsid w:val="00982F09"/>
    <w:rsid w:val="009830EE"/>
    <w:rsid w:val="00986036"/>
    <w:rsid w:val="00987CC1"/>
    <w:rsid w:val="0099115B"/>
    <w:rsid w:val="009A25D5"/>
    <w:rsid w:val="009A78EE"/>
    <w:rsid w:val="009B6E42"/>
    <w:rsid w:val="009C5019"/>
    <w:rsid w:val="009C6438"/>
    <w:rsid w:val="009D3B86"/>
    <w:rsid w:val="009E2ABC"/>
    <w:rsid w:val="009F5807"/>
    <w:rsid w:val="009F6B9C"/>
    <w:rsid w:val="009F798C"/>
    <w:rsid w:val="00A00ED2"/>
    <w:rsid w:val="00A0134D"/>
    <w:rsid w:val="00A13873"/>
    <w:rsid w:val="00A13F7C"/>
    <w:rsid w:val="00A21A14"/>
    <w:rsid w:val="00A442F9"/>
    <w:rsid w:val="00A7218C"/>
    <w:rsid w:val="00A816AD"/>
    <w:rsid w:val="00A85F1C"/>
    <w:rsid w:val="00A94478"/>
    <w:rsid w:val="00A96131"/>
    <w:rsid w:val="00AB1EBD"/>
    <w:rsid w:val="00AC0A82"/>
    <w:rsid w:val="00AC6569"/>
    <w:rsid w:val="00AD1244"/>
    <w:rsid w:val="00AD5C7C"/>
    <w:rsid w:val="00AE5321"/>
    <w:rsid w:val="00AE558E"/>
    <w:rsid w:val="00B02EFD"/>
    <w:rsid w:val="00B04587"/>
    <w:rsid w:val="00B05B0F"/>
    <w:rsid w:val="00B26B28"/>
    <w:rsid w:val="00B42A38"/>
    <w:rsid w:val="00B46241"/>
    <w:rsid w:val="00B61C3A"/>
    <w:rsid w:val="00B80E3B"/>
    <w:rsid w:val="00B835D0"/>
    <w:rsid w:val="00BB34AB"/>
    <w:rsid w:val="00BC0913"/>
    <w:rsid w:val="00BE015C"/>
    <w:rsid w:val="00BF6341"/>
    <w:rsid w:val="00C0181C"/>
    <w:rsid w:val="00C05ED4"/>
    <w:rsid w:val="00C06C5F"/>
    <w:rsid w:val="00C323CE"/>
    <w:rsid w:val="00C4019F"/>
    <w:rsid w:val="00C533A9"/>
    <w:rsid w:val="00C62E2F"/>
    <w:rsid w:val="00C656ED"/>
    <w:rsid w:val="00C7741F"/>
    <w:rsid w:val="00C97198"/>
    <w:rsid w:val="00CB4B78"/>
    <w:rsid w:val="00CD2BE6"/>
    <w:rsid w:val="00CD7AA3"/>
    <w:rsid w:val="00CE4C52"/>
    <w:rsid w:val="00CF2C22"/>
    <w:rsid w:val="00D12BAE"/>
    <w:rsid w:val="00D13220"/>
    <w:rsid w:val="00D30AA3"/>
    <w:rsid w:val="00D40838"/>
    <w:rsid w:val="00D40A6D"/>
    <w:rsid w:val="00D438B2"/>
    <w:rsid w:val="00D509C5"/>
    <w:rsid w:val="00D54679"/>
    <w:rsid w:val="00D546B9"/>
    <w:rsid w:val="00D571CA"/>
    <w:rsid w:val="00D61286"/>
    <w:rsid w:val="00D61A26"/>
    <w:rsid w:val="00D74F6E"/>
    <w:rsid w:val="00D9034D"/>
    <w:rsid w:val="00D92B2D"/>
    <w:rsid w:val="00D92CE9"/>
    <w:rsid w:val="00D969B4"/>
    <w:rsid w:val="00DA6B9A"/>
    <w:rsid w:val="00DA6E2B"/>
    <w:rsid w:val="00DA72B3"/>
    <w:rsid w:val="00DD435E"/>
    <w:rsid w:val="00DD7578"/>
    <w:rsid w:val="00DE57EC"/>
    <w:rsid w:val="00DF0C83"/>
    <w:rsid w:val="00E13034"/>
    <w:rsid w:val="00E32AB5"/>
    <w:rsid w:val="00E360CB"/>
    <w:rsid w:val="00E42652"/>
    <w:rsid w:val="00E54AB8"/>
    <w:rsid w:val="00E750EE"/>
    <w:rsid w:val="00E85597"/>
    <w:rsid w:val="00E86EFC"/>
    <w:rsid w:val="00EC303F"/>
    <w:rsid w:val="00EC6E4E"/>
    <w:rsid w:val="00ED5F38"/>
    <w:rsid w:val="00EF5BDB"/>
    <w:rsid w:val="00F045A5"/>
    <w:rsid w:val="00F108E9"/>
    <w:rsid w:val="00F24241"/>
    <w:rsid w:val="00F63A57"/>
    <w:rsid w:val="00F8310B"/>
    <w:rsid w:val="00F951B2"/>
    <w:rsid w:val="00FE1DAB"/>
    <w:rsid w:val="00FE30D1"/>
    <w:rsid w:val="00FF34C0"/>
    <w:rsid w:val="00FF37AE"/>
    <w:rsid w:val="00FF5B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454C"/>
  <w15:chartTrackingRefBased/>
  <w15:docId w15:val="{3572ADC6-921F-4791-8274-E8034E32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92B2D"/>
    <w:pPr>
      <w:pBdr>
        <w:top w:val="single" w:sz="4" w:space="10" w:color="4472C4" w:themeColor="accent1"/>
        <w:bottom w:val="single" w:sz="4" w:space="10" w:color="4472C4" w:themeColor="accent1"/>
      </w:pBdr>
      <w:spacing w:before="360" w:after="360" w:line="240" w:lineRule="auto"/>
      <w:ind w:left="864" w:right="864"/>
      <w:jc w:val="center"/>
    </w:pPr>
    <w:rPr>
      <w:rFonts w:ascii="Times New Roman" w:eastAsia="Times New Roman" w:hAnsi="Times New Roman" w:cs="Times New Roman"/>
      <w:iCs/>
      <w:color w:val="000000" w:themeColor="text1"/>
      <w:szCs w:val="24"/>
      <w:lang w:val="en-US"/>
    </w:rPr>
  </w:style>
  <w:style w:type="character" w:customStyle="1" w:styleId="IntenseQuoteChar">
    <w:name w:val="Intense Quote Char"/>
    <w:basedOn w:val="DefaultParagraphFont"/>
    <w:link w:val="IntenseQuote"/>
    <w:uiPriority w:val="30"/>
    <w:rsid w:val="00D92B2D"/>
    <w:rPr>
      <w:rFonts w:ascii="Times New Roman" w:eastAsia="Times New Roman" w:hAnsi="Times New Roman" w:cs="Times New Roman"/>
      <w:iCs/>
      <w:color w:val="000000" w:themeColor="text1"/>
      <w:szCs w:val="24"/>
      <w:lang w:val="en-US"/>
    </w:rPr>
  </w:style>
  <w:style w:type="paragraph" w:customStyle="1" w:styleId="Style1">
    <w:name w:val="Style1"/>
    <w:basedOn w:val="IntenseQuote"/>
    <w:link w:val="Style1Char"/>
    <w:qFormat/>
    <w:rsid w:val="00C4019F"/>
    <w:pPr>
      <w:spacing w:line="259" w:lineRule="auto"/>
    </w:pPr>
    <w:rPr>
      <w:rFonts w:ascii="Arial" w:eastAsiaTheme="minorHAnsi" w:hAnsi="Arial" w:cs="Arial"/>
      <w:bCs/>
      <w:iCs w:val="0"/>
      <w:color w:val="4472C4" w:themeColor="accent1"/>
      <w:szCs w:val="22"/>
      <w:lang w:val="en-ZA"/>
    </w:rPr>
  </w:style>
  <w:style w:type="character" w:customStyle="1" w:styleId="Style1Char">
    <w:name w:val="Style1 Char"/>
    <w:basedOn w:val="IntenseQuoteChar"/>
    <w:link w:val="Style1"/>
    <w:rsid w:val="00C4019F"/>
    <w:rPr>
      <w:rFonts w:ascii="Times New Roman" w:eastAsia="Times New Roman" w:hAnsi="Times New Roman" w:cs="Arial"/>
      <w:bCs/>
      <w:iCs w:val="0"/>
      <w:color w:val="4472C4" w:themeColor="accent1"/>
      <w:szCs w:val="24"/>
      <w:lang w:val="en-US"/>
    </w:rPr>
  </w:style>
  <w:style w:type="paragraph" w:styleId="ListParagraph">
    <w:name w:val="List Paragraph"/>
    <w:basedOn w:val="Normal"/>
    <w:uiPriority w:val="34"/>
    <w:qFormat/>
    <w:rsid w:val="00043C54"/>
    <w:pPr>
      <w:ind w:left="720"/>
      <w:contextualSpacing/>
    </w:pPr>
  </w:style>
  <w:style w:type="paragraph" w:styleId="FootnoteText">
    <w:name w:val="footnote text"/>
    <w:basedOn w:val="Normal"/>
    <w:link w:val="FootnoteTextChar"/>
    <w:uiPriority w:val="99"/>
    <w:semiHidden/>
    <w:unhideWhenUsed/>
    <w:rsid w:val="00AB1E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EBD"/>
    <w:rPr>
      <w:sz w:val="20"/>
      <w:szCs w:val="20"/>
    </w:rPr>
  </w:style>
  <w:style w:type="character" w:styleId="FootnoteReference">
    <w:name w:val="footnote reference"/>
    <w:basedOn w:val="DefaultParagraphFont"/>
    <w:uiPriority w:val="99"/>
    <w:semiHidden/>
    <w:unhideWhenUsed/>
    <w:rsid w:val="00AB1EBD"/>
    <w:rPr>
      <w:vertAlign w:val="superscript"/>
    </w:rPr>
  </w:style>
  <w:style w:type="paragraph" w:styleId="Header">
    <w:name w:val="header"/>
    <w:basedOn w:val="Normal"/>
    <w:link w:val="HeaderChar"/>
    <w:uiPriority w:val="99"/>
    <w:unhideWhenUsed/>
    <w:rsid w:val="00AE5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58E"/>
  </w:style>
  <w:style w:type="paragraph" w:styleId="Footer">
    <w:name w:val="footer"/>
    <w:basedOn w:val="Normal"/>
    <w:link w:val="FooterChar"/>
    <w:uiPriority w:val="99"/>
    <w:unhideWhenUsed/>
    <w:rsid w:val="00AE5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58E"/>
  </w:style>
  <w:style w:type="character" w:styleId="Hyperlink">
    <w:name w:val="Hyperlink"/>
    <w:basedOn w:val="DefaultParagraphFont"/>
    <w:uiPriority w:val="99"/>
    <w:unhideWhenUsed/>
    <w:rsid w:val="007A066D"/>
    <w:rPr>
      <w:color w:val="0000FF"/>
      <w:u w:val="single"/>
    </w:rPr>
  </w:style>
  <w:style w:type="paragraph" w:styleId="Revision">
    <w:name w:val="Revision"/>
    <w:hidden/>
    <w:uiPriority w:val="99"/>
    <w:semiHidden/>
    <w:rsid w:val="00B46241"/>
    <w:pPr>
      <w:spacing w:after="0" w:line="240" w:lineRule="auto"/>
    </w:pPr>
  </w:style>
  <w:style w:type="paragraph" w:styleId="BalloonText">
    <w:name w:val="Balloon Text"/>
    <w:basedOn w:val="Normal"/>
    <w:link w:val="BalloonTextChar"/>
    <w:uiPriority w:val="99"/>
    <w:semiHidden/>
    <w:unhideWhenUsed/>
    <w:rsid w:val="00B46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241"/>
    <w:rPr>
      <w:rFonts w:ascii="Segoe UI" w:hAnsi="Segoe UI" w:cs="Segoe UI"/>
      <w:sz w:val="18"/>
      <w:szCs w:val="18"/>
    </w:rPr>
  </w:style>
  <w:style w:type="character" w:styleId="CommentReference">
    <w:name w:val="annotation reference"/>
    <w:basedOn w:val="DefaultParagraphFont"/>
    <w:uiPriority w:val="99"/>
    <w:semiHidden/>
    <w:unhideWhenUsed/>
    <w:rsid w:val="008D2350"/>
    <w:rPr>
      <w:sz w:val="16"/>
      <w:szCs w:val="16"/>
    </w:rPr>
  </w:style>
  <w:style w:type="paragraph" w:styleId="CommentText">
    <w:name w:val="annotation text"/>
    <w:basedOn w:val="Normal"/>
    <w:link w:val="CommentTextChar"/>
    <w:uiPriority w:val="99"/>
    <w:semiHidden/>
    <w:unhideWhenUsed/>
    <w:rsid w:val="008D2350"/>
    <w:pPr>
      <w:spacing w:line="240" w:lineRule="auto"/>
    </w:pPr>
    <w:rPr>
      <w:sz w:val="20"/>
      <w:szCs w:val="20"/>
    </w:rPr>
  </w:style>
  <w:style w:type="character" w:customStyle="1" w:styleId="CommentTextChar">
    <w:name w:val="Comment Text Char"/>
    <w:basedOn w:val="DefaultParagraphFont"/>
    <w:link w:val="CommentText"/>
    <w:uiPriority w:val="99"/>
    <w:semiHidden/>
    <w:rsid w:val="008D2350"/>
    <w:rPr>
      <w:sz w:val="20"/>
      <w:szCs w:val="20"/>
    </w:rPr>
  </w:style>
  <w:style w:type="paragraph" w:styleId="CommentSubject">
    <w:name w:val="annotation subject"/>
    <w:basedOn w:val="CommentText"/>
    <w:next w:val="CommentText"/>
    <w:link w:val="CommentSubjectChar"/>
    <w:uiPriority w:val="99"/>
    <w:semiHidden/>
    <w:unhideWhenUsed/>
    <w:rsid w:val="008D2350"/>
    <w:rPr>
      <w:b/>
      <w:bCs/>
    </w:rPr>
  </w:style>
  <w:style w:type="character" w:customStyle="1" w:styleId="CommentSubjectChar">
    <w:name w:val="Comment Subject Char"/>
    <w:basedOn w:val="CommentTextChar"/>
    <w:link w:val="CommentSubject"/>
    <w:uiPriority w:val="99"/>
    <w:semiHidden/>
    <w:rsid w:val="008D23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eption@sdollieinc.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ig@blackboxlaw.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x@blackboxlaw.co.za" TargetMode="External"/><Relationship Id="rId4" Type="http://schemas.openxmlformats.org/officeDocument/2006/relationships/settings" Target="settings.xml"/><Relationship Id="rId9" Type="http://schemas.openxmlformats.org/officeDocument/2006/relationships/hyperlink" Target="mailto:johan@jesmit.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37E58-C036-41DE-A70C-6A3C555E5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3189</Words>
  <Characters>18182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Manoim</dc:creator>
  <cp:keywords/>
  <dc:description/>
  <cp:lastModifiedBy>Mokone</cp:lastModifiedBy>
  <cp:revision>3</cp:revision>
  <cp:lastPrinted>2021-12-02T13:25:00Z</cp:lastPrinted>
  <dcterms:created xsi:type="dcterms:W3CDTF">2021-12-17T07:57:00Z</dcterms:created>
  <dcterms:modified xsi:type="dcterms:W3CDTF">2021-12-17T07:59:00Z</dcterms:modified>
</cp:coreProperties>
</file>