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4D36" w14:textId="77777777" w:rsidR="0086289E" w:rsidRPr="00067BD2" w:rsidRDefault="0086289E" w:rsidP="0086289E">
      <w:pPr>
        <w:spacing w:before="120" w:after="120"/>
        <w:ind w:right="29"/>
        <w:jc w:val="center"/>
        <w:rPr>
          <w:rFonts w:ascii="Arial" w:hAnsi="Arial" w:cs="Arial"/>
          <w:b/>
          <w:lang w:val="en-GB"/>
        </w:rPr>
      </w:pPr>
      <w:r w:rsidRPr="00067BD2">
        <w:rPr>
          <w:rFonts w:ascii="Arial" w:hAnsi="Arial" w:cs="Arial"/>
          <w:b/>
          <w:lang w:val="en-GB"/>
        </w:rPr>
        <w:t>REPUBLIC OF SOUTH AFRICA</w:t>
      </w:r>
    </w:p>
    <w:p w14:paraId="170DF83F" w14:textId="77777777" w:rsidR="0086289E" w:rsidRPr="00067BD2" w:rsidRDefault="0086289E" w:rsidP="0086289E">
      <w:pPr>
        <w:spacing w:before="120" w:after="120"/>
        <w:ind w:right="29"/>
        <w:jc w:val="center"/>
        <w:rPr>
          <w:rFonts w:ascii="Arial" w:hAnsi="Arial" w:cs="Arial"/>
          <w:b/>
          <w:lang w:val="en-GB"/>
        </w:rPr>
      </w:pPr>
      <w:r w:rsidRPr="00067BD2">
        <w:rPr>
          <w:rFonts w:ascii="Arial" w:hAnsi="Arial" w:cs="Arial"/>
          <w:b/>
          <w:noProof/>
          <w:lang w:val="en-US" w:eastAsia="en-US"/>
        </w:rPr>
        <w:drawing>
          <wp:inline distT="0" distB="0" distL="0" distR="0" wp14:anchorId="5E0D1138" wp14:editId="365A7ED1">
            <wp:extent cx="1325880" cy="1325880"/>
            <wp:effectExtent l="0" t="0" r="7620" b="7620"/>
            <wp:docPr id="1" name="Picture 1" descr="judiciary_logo_-_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iciary_logo_-_seal_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14:paraId="0DF94475" w14:textId="77777777" w:rsidR="0086289E" w:rsidRPr="00067BD2" w:rsidRDefault="0086289E" w:rsidP="0086289E">
      <w:pPr>
        <w:spacing w:before="120" w:after="120"/>
        <w:ind w:right="28"/>
        <w:jc w:val="center"/>
        <w:rPr>
          <w:rFonts w:ascii="Arial" w:hAnsi="Arial" w:cs="Arial"/>
          <w:b/>
          <w:lang w:val="en-GB"/>
        </w:rPr>
      </w:pPr>
      <w:r w:rsidRPr="00067BD2">
        <w:rPr>
          <w:rFonts w:ascii="Arial" w:hAnsi="Arial" w:cs="Arial"/>
          <w:b/>
          <w:lang w:val="en-GB"/>
        </w:rPr>
        <w:t>IN THE HIGH COURT OF SOUTH AFRICA</w:t>
      </w:r>
    </w:p>
    <w:p w14:paraId="2EC3FF7E" w14:textId="77777777" w:rsidR="0086289E" w:rsidRPr="00067BD2" w:rsidRDefault="0086289E" w:rsidP="0086289E">
      <w:pPr>
        <w:spacing w:before="120" w:after="120"/>
        <w:ind w:right="28"/>
        <w:jc w:val="center"/>
        <w:rPr>
          <w:rFonts w:ascii="Arial" w:hAnsi="Arial" w:cs="Arial"/>
          <w:b/>
          <w:lang w:val="en-GB"/>
        </w:rPr>
      </w:pPr>
      <w:r w:rsidRPr="00067BD2">
        <w:rPr>
          <w:rFonts w:ascii="Arial" w:hAnsi="Arial" w:cs="Arial"/>
          <w:b/>
          <w:lang w:val="en-GB"/>
        </w:rPr>
        <w:t>GAUTENG LOCAL DIVISION, JOHANNESBURG</w:t>
      </w:r>
    </w:p>
    <w:p w14:paraId="302D4716" w14:textId="77777777" w:rsidR="0086289E" w:rsidRPr="00067BD2" w:rsidRDefault="0086289E" w:rsidP="0086289E">
      <w:pPr>
        <w:spacing w:before="120" w:after="120"/>
        <w:ind w:right="364"/>
        <w:jc w:val="right"/>
        <w:rPr>
          <w:rFonts w:ascii="Arial" w:hAnsi="Arial" w:cs="Arial"/>
          <w:b/>
          <w:lang w:val="en-GB"/>
        </w:rPr>
      </w:pPr>
    </w:p>
    <w:p w14:paraId="540CE750" w14:textId="0AA2B600" w:rsidR="0086289E" w:rsidRPr="00067BD2" w:rsidRDefault="00CE3425" w:rsidP="0086289E">
      <w:pPr>
        <w:spacing w:before="120" w:after="120"/>
        <w:ind w:right="-46"/>
        <w:jc w:val="right"/>
        <w:rPr>
          <w:rFonts w:ascii="Arial" w:hAnsi="Arial" w:cs="Arial"/>
          <w:b/>
          <w:lang w:val="en-GB"/>
        </w:rPr>
      </w:pPr>
      <w:r w:rsidRPr="00067BD2">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48BFD9DD" wp14:editId="50CBD854">
                <wp:simplePos x="0" y="0"/>
                <wp:positionH relativeFrom="margin">
                  <wp:posOffset>10160</wp:posOffset>
                </wp:positionH>
                <wp:positionV relativeFrom="paragraph">
                  <wp:posOffset>271780</wp:posOffset>
                </wp:positionV>
                <wp:extent cx="3510280" cy="1442720"/>
                <wp:effectExtent l="0" t="0" r="76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272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43FD8701" w:rsidR="002C35D7" w:rsidRPr="004120A8" w:rsidRDefault="00E72C0B" w:rsidP="00E72C0B">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24EA1A3E" w:rsidR="002C35D7" w:rsidRPr="004120A8" w:rsidRDefault="00E72C0B" w:rsidP="00E72C0B">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412433F5" w:rsidR="002C35D7" w:rsidRPr="00D257A8" w:rsidRDefault="00E72C0B" w:rsidP="00E72C0B">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2C35D7">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6ED3CFDC"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Pr>
                                <w:rFonts w:ascii="Century Gothic" w:hAnsi="Century Gothic"/>
                                <w:bCs/>
                                <w:sz w:val="18"/>
                                <w:szCs w:val="18"/>
                              </w:rPr>
                              <w:t xml:space="preserve"> </w:t>
                            </w:r>
                            <w:r w:rsidR="00286568">
                              <w:rPr>
                                <w:rFonts w:ascii="Century Gothic" w:hAnsi="Century Gothic"/>
                                <w:bCs/>
                                <w:sz w:val="18"/>
                                <w:szCs w:val="18"/>
                              </w:rPr>
                              <w:t xml:space="preserve">1 December </w:t>
                            </w:r>
                            <w:r>
                              <w:rPr>
                                <w:rFonts w:ascii="Century Gothic" w:hAnsi="Century Gothic"/>
                                <w:bCs/>
                                <w:sz w:val="18"/>
                                <w:szCs w:val="1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43FD8701" w:rsidR="002C35D7" w:rsidRPr="004120A8" w:rsidRDefault="00E72C0B" w:rsidP="00E72C0B">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24EA1A3E" w:rsidR="002C35D7" w:rsidRPr="004120A8" w:rsidRDefault="00E72C0B" w:rsidP="00E72C0B">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412433F5" w:rsidR="002C35D7" w:rsidRPr="00D257A8" w:rsidRDefault="00E72C0B" w:rsidP="00E72C0B">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2C35D7">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6ED3CFDC"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Pr>
                          <w:rFonts w:ascii="Century Gothic" w:hAnsi="Century Gothic"/>
                          <w:bCs/>
                          <w:sz w:val="18"/>
                          <w:szCs w:val="18"/>
                        </w:rPr>
                        <w:t xml:space="preserve"> </w:t>
                      </w:r>
                      <w:r w:rsidR="00286568">
                        <w:rPr>
                          <w:rFonts w:ascii="Century Gothic" w:hAnsi="Century Gothic"/>
                          <w:bCs/>
                          <w:sz w:val="18"/>
                          <w:szCs w:val="18"/>
                        </w:rPr>
                        <w:t xml:space="preserve">1 December </w:t>
                      </w:r>
                      <w:r>
                        <w:rPr>
                          <w:rFonts w:ascii="Century Gothic" w:hAnsi="Century Gothic"/>
                          <w:bCs/>
                          <w:sz w:val="18"/>
                          <w:szCs w:val="18"/>
                        </w:rPr>
                        <w:t>2021</w:t>
                      </w:r>
                    </w:p>
                  </w:txbxContent>
                </v:textbox>
                <w10:wrap type="topAndBottom" anchorx="margin"/>
              </v:shape>
            </w:pict>
          </mc:Fallback>
        </mc:AlternateContent>
      </w:r>
      <w:r w:rsidR="0086289E" w:rsidRPr="00067BD2">
        <w:rPr>
          <w:rFonts w:ascii="Arial" w:hAnsi="Arial" w:cs="Arial"/>
          <w:b/>
          <w:lang w:val="en-GB"/>
        </w:rPr>
        <w:t xml:space="preserve">CASE NO: </w:t>
      </w:r>
      <w:r w:rsidR="002458DA">
        <w:rPr>
          <w:rFonts w:ascii="Arial" w:hAnsi="Arial" w:cs="Arial"/>
          <w:b/>
          <w:bCs/>
        </w:rPr>
        <w:t>9347</w:t>
      </w:r>
      <w:r w:rsidR="006321C1" w:rsidRPr="005B127B">
        <w:rPr>
          <w:rFonts w:ascii="Arial" w:hAnsi="Arial" w:cs="Arial"/>
          <w:b/>
          <w:bCs/>
        </w:rPr>
        <w:t>/202</w:t>
      </w:r>
      <w:r w:rsidR="002458DA">
        <w:rPr>
          <w:rFonts w:ascii="Arial" w:hAnsi="Arial" w:cs="Arial"/>
          <w:b/>
          <w:bCs/>
        </w:rPr>
        <w:t>0</w:t>
      </w:r>
    </w:p>
    <w:p w14:paraId="0E12DD7A" w14:textId="405183FD" w:rsidR="0086289E" w:rsidRPr="00067BD2" w:rsidRDefault="0086289E" w:rsidP="0086289E">
      <w:pPr>
        <w:spacing w:before="120" w:after="120"/>
        <w:ind w:right="-46"/>
        <w:rPr>
          <w:rFonts w:ascii="Arial" w:hAnsi="Arial" w:cs="Arial"/>
          <w:b/>
          <w:lang w:val="en-GB"/>
        </w:rPr>
      </w:pPr>
    </w:p>
    <w:p w14:paraId="6503606B" w14:textId="77777777" w:rsidR="006321C1" w:rsidRPr="005B127B" w:rsidRDefault="006321C1" w:rsidP="00C8261C">
      <w:pPr>
        <w:tabs>
          <w:tab w:val="num" w:pos="691"/>
        </w:tabs>
        <w:spacing w:line="276" w:lineRule="auto"/>
        <w:ind w:left="691" w:hanging="691"/>
        <w:rPr>
          <w:rFonts w:ascii="Arial" w:hAnsi="Arial" w:cs="Arial"/>
        </w:rPr>
      </w:pPr>
      <w:r w:rsidRPr="005B127B">
        <w:rPr>
          <w:rFonts w:ascii="Arial" w:hAnsi="Arial" w:cs="Arial"/>
        </w:rPr>
        <w:t xml:space="preserve">In the matter between: </w:t>
      </w:r>
    </w:p>
    <w:p w14:paraId="4D96C94E" w14:textId="77777777" w:rsidR="006321C1" w:rsidRPr="005B127B" w:rsidRDefault="006321C1" w:rsidP="00C8261C">
      <w:pPr>
        <w:tabs>
          <w:tab w:val="num" w:pos="691"/>
        </w:tabs>
        <w:spacing w:line="276" w:lineRule="auto"/>
        <w:ind w:left="691" w:hanging="691"/>
        <w:rPr>
          <w:rFonts w:ascii="Arial" w:hAnsi="Arial" w:cs="Arial"/>
        </w:rPr>
      </w:pPr>
    </w:p>
    <w:p w14:paraId="2CB58669" w14:textId="015D10BA" w:rsidR="006321C1" w:rsidRPr="005B127B" w:rsidRDefault="002458DA" w:rsidP="00C8261C">
      <w:pPr>
        <w:tabs>
          <w:tab w:val="num" w:pos="691"/>
          <w:tab w:val="right" w:pos="8931"/>
        </w:tabs>
        <w:spacing w:line="276" w:lineRule="auto"/>
        <w:ind w:left="691" w:hanging="691"/>
        <w:rPr>
          <w:rFonts w:ascii="Arial" w:hAnsi="Arial" w:cs="Arial"/>
        </w:rPr>
      </w:pPr>
      <w:r w:rsidRPr="002458DA">
        <w:rPr>
          <w:rFonts w:ascii="Arial" w:hAnsi="Arial" w:cs="Arial"/>
          <w:b/>
          <w:bCs/>
          <w:lang w:val="en-GB"/>
        </w:rPr>
        <w:t>JL EXCAVATORS (PTY) LTD</w:t>
      </w:r>
      <w:r w:rsidR="006321C1" w:rsidRPr="005B127B">
        <w:rPr>
          <w:rFonts w:ascii="Arial" w:hAnsi="Arial" w:cs="Arial"/>
        </w:rPr>
        <w:tab/>
        <w:t xml:space="preserve">Applicant </w:t>
      </w:r>
      <w:r w:rsidR="00850F83">
        <w:rPr>
          <w:rFonts w:ascii="Arial" w:hAnsi="Arial" w:cs="Arial"/>
        </w:rPr>
        <w:tab/>
      </w:r>
      <w:r w:rsidR="00850F83">
        <w:rPr>
          <w:rFonts w:ascii="Arial" w:hAnsi="Arial" w:cs="Arial"/>
        </w:rPr>
        <w:tab/>
        <w:t>(Respondent in the Application for Leave to Appeal)</w:t>
      </w:r>
    </w:p>
    <w:p w14:paraId="4AF23226" w14:textId="77777777" w:rsidR="006321C1" w:rsidRPr="005B127B" w:rsidRDefault="006321C1" w:rsidP="00C8261C">
      <w:pPr>
        <w:tabs>
          <w:tab w:val="num" w:pos="691"/>
          <w:tab w:val="right" w:pos="7936"/>
        </w:tabs>
        <w:spacing w:line="276" w:lineRule="auto"/>
        <w:ind w:left="691" w:hanging="691"/>
        <w:rPr>
          <w:rFonts w:ascii="Arial" w:hAnsi="Arial" w:cs="Arial"/>
        </w:rPr>
      </w:pPr>
    </w:p>
    <w:p w14:paraId="487ACB00" w14:textId="77777777" w:rsidR="006321C1" w:rsidRPr="005B127B" w:rsidRDefault="006321C1" w:rsidP="00C8261C">
      <w:pPr>
        <w:tabs>
          <w:tab w:val="num" w:pos="691"/>
          <w:tab w:val="right" w:pos="7936"/>
        </w:tabs>
        <w:spacing w:line="276" w:lineRule="auto"/>
        <w:ind w:left="691" w:hanging="691"/>
        <w:rPr>
          <w:rFonts w:ascii="Arial" w:hAnsi="Arial" w:cs="Arial"/>
        </w:rPr>
      </w:pPr>
      <w:r w:rsidRPr="005B127B">
        <w:rPr>
          <w:rFonts w:ascii="Arial" w:hAnsi="Arial" w:cs="Arial"/>
        </w:rPr>
        <w:t>and</w:t>
      </w:r>
    </w:p>
    <w:p w14:paraId="29CA87C2" w14:textId="77777777" w:rsidR="006321C1" w:rsidRPr="005B127B" w:rsidRDefault="006321C1" w:rsidP="00C8261C">
      <w:pPr>
        <w:tabs>
          <w:tab w:val="num" w:pos="691"/>
          <w:tab w:val="right" w:pos="7936"/>
        </w:tabs>
        <w:spacing w:line="276" w:lineRule="auto"/>
        <w:ind w:left="691" w:hanging="691"/>
        <w:rPr>
          <w:rFonts w:ascii="Arial" w:hAnsi="Arial" w:cs="Arial"/>
        </w:rPr>
      </w:pPr>
    </w:p>
    <w:p w14:paraId="59C6DF43" w14:textId="141E8655" w:rsidR="006321C1" w:rsidRDefault="002458DA" w:rsidP="00C8261C">
      <w:pPr>
        <w:tabs>
          <w:tab w:val="num" w:pos="691"/>
          <w:tab w:val="right" w:pos="8931"/>
        </w:tabs>
        <w:spacing w:line="276" w:lineRule="auto"/>
        <w:ind w:left="691" w:hanging="691"/>
        <w:rPr>
          <w:rFonts w:ascii="Arial" w:hAnsi="Arial" w:cs="Arial"/>
        </w:rPr>
      </w:pPr>
      <w:r w:rsidRPr="002458DA">
        <w:rPr>
          <w:rFonts w:ascii="Arial" w:hAnsi="Arial" w:cs="Arial"/>
          <w:b/>
          <w:bCs/>
          <w:lang w:val="en-GB"/>
        </w:rPr>
        <w:t>C ROCK MINING (PTY) LTD</w:t>
      </w:r>
      <w:r w:rsidR="006321C1" w:rsidRPr="005B127B">
        <w:rPr>
          <w:rFonts w:ascii="Arial" w:hAnsi="Arial" w:cs="Arial"/>
        </w:rPr>
        <w:tab/>
        <w:t xml:space="preserve">Respondent </w:t>
      </w:r>
    </w:p>
    <w:p w14:paraId="72142B8A" w14:textId="4C34E1F5" w:rsidR="00850F83" w:rsidRPr="005B127B" w:rsidRDefault="00850F83" w:rsidP="00850F83">
      <w:pPr>
        <w:tabs>
          <w:tab w:val="num" w:pos="691"/>
          <w:tab w:val="right" w:pos="8931"/>
        </w:tabs>
        <w:spacing w:line="276" w:lineRule="auto"/>
        <w:ind w:left="691" w:hanging="691"/>
        <w:jc w:val="right"/>
        <w:rPr>
          <w:rFonts w:ascii="Arial" w:hAnsi="Arial" w:cs="Arial"/>
        </w:rPr>
      </w:pPr>
      <w:r>
        <w:rPr>
          <w:rFonts w:ascii="Arial" w:hAnsi="Arial" w:cs="Arial"/>
        </w:rPr>
        <w:t>(Applicant in the Application for Leave to Appeal)</w:t>
      </w:r>
    </w:p>
    <w:p w14:paraId="7A028206" w14:textId="77777777" w:rsidR="006321C1" w:rsidRPr="005B127B" w:rsidRDefault="006321C1" w:rsidP="006321C1">
      <w:pPr>
        <w:pBdr>
          <w:bottom w:val="single" w:sz="12" w:space="1" w:color="auto"/>
        </w:pBdr>
        <w:tabs>
          <w:tab w:val="num" w:pos="691"/>
          <w:tab w:val="right" w:pos="7936"/>
        </w:tabs>
        <w:ind w:left="691" w:hanging="691"/>
        <w:rPr>
          <w:rFonts w:ascii="Arial" w:hAnsi="Arial" w:cs="Arial"/>
        </w:rPr>
      </w:pPr>
    </w:p>
    <w:p w14:paraId="4D430D93" w14:textId="77777777" w:rsidR="006321C1" w:rsidRPr="005B127B" w:rsidRDefault="006321C1" w:rsidP="006321C1">
      <w:pPr>
        <w:tabs>
          <w:tab w:val="num" w:pos="691"/>
          <w:tab w:val="right" w:pos="7936"/>
        </w:tabs>
        <w:ind w:left="691" w:hanging="691"/>
        <w:rPr>
          <w:rFonts w:ascii="Arial" w:hAnsi="Arial" w:cs="Arial"/>
        </w:rPr>
      </w:pPr>
    </w:p>
    <w:p w14:paraId="206CA1BD" w14:textId="77777777" w:rsidR="006321C1" w:rsidRPr="005B127B" w:rsidRDefault="006321C1" w:rsidP="006321C1">
      <w:pPr>
        <w:tabs>
          <w:tab w:val="num" w:pos="691"/>
          <w:tab w:val="right" w:pos="7936"/>
        </w:tabs>
        <w:ind w:left="691" w:hanging="691"/>
        <w:jc w:val="center"/>
        <w:rPr>
          <w:rFonts w:ascii="Arial" w:hAnsi="Arial" w:cs="Arial"/>
        </w:rPr>
      </w:pPr>
      <w:r w:rsidRPr="005B127B">
        <w:rPr>
          <w:rFonts w:ascii="Arial" w:hAnsi="Arial" w:cs="Arial"/>
          <w:b/>
          <w:bCs/>
        </w:rPr>
        <w:t>JUDGMENT</w:t>
      </w:r>
      <w:r w:rsidRPr="005B127B">
        <w:rPr>
          <w:rFonts w:ascii="Arial" w:hAnsi="Arial" w:cs="Arial"/>
        </w:rPr>
        <w:t xml:space="preserve"> </w:t>
      </w:r>
    </w:p>
    <w:p w14:paraId="02858144" w14:textId="77777777" w:rsidR="006321C1" w:rsidRPr="005B127B" w:rsidRDefault="006321C1" w:rsidP="006321C1">
      <w:pPr>
        <w:pBdr>
          <w:bottom w:val="single" w:sz="12" w:space="1" w:color="auto"/>
        </w:pBdr>
        <w:tabs>
          <w:tab w:val="num" w:pos="691"/>
          <w:tab w:val="right" w:pos="7936"/>
        </w:tabs>
        <w:ind w:left="691" w:hanging="691"/>
        <w:rPr>
          <w:rFonts w:ascii="Arial" w:hAnsi="Arial" w:cs="Arial"/>
        </w:rPr>
      </w:pPr>
    </w:p>
    <w:p w14:paraId="56BCCA9E" w14:textId="77777777" w:rsidR="006321C1" w:rsidRPr="005B127B" w:rsidRDefault="006321C1" w:rsidP="006321C1">
      <w:pPr>
        <w:tabs>
          <w:tab w:val="num" w:pos="691"/>
          <w:tab w:val="right" w:pos="7936"/>
        </w:tabs>
        <w:ind w:left="691" w:hanging="691"/>
        <w:rPr>
          <w:rFonts w:ascii="Arial" w:hAnsi="Arial" w:cs="Arial"/>
        </w:rPr>
      </w:pPr>
    </w:p>
    <w:p w14:paraId="23B60318" w14:textId="77777777" w:rsidR="006321C1" w:rsidRPr="005B127B" w:rsidRDefault="006321C1" w:rsidP="006321C1">
      <w:pPr>
        <w:spacing w:before="240" w:after="120" w:line="480" w:lineRule="auto"/>
        <w:jc w:val="both"/>
        <w:rPr>
          <w:rFonts w:ascii="Arial" w:hAnsi="Arial" w:cs="Arial"/>
          <w:u w:val="single"/>
        </w:rPr>
      </w:pPr>
      <w:r w:rsidRPr="005B127B">
        <w:rPr>
          <w:rFonts w:ascii="Arial" w:hAnsi="Arial" w:cs="Arial"/>
          <w:u w:val="single"/>
        </w:rPr>
        <w:t>MAHON AJ</w:t>
      </w:r>
    </w:p>
    <w:p w14:paraId="020D866E" w14:textId="3E50E9C0" w:rsidR="00286568"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w:t>
      </w:r>
      <w:r>
        <w:rPr>
          <w:rFonts w:ascii="Arial" w:hAnsi="Arial" w:cs="Tahoma"/>
          <w:szCs w:val="22"/>
        </w:rPr>
        <w:tab/>
      </w:r>
      <w:r w:rsidR="00797E75">
        <w:rPr>
          <w:rFonts w:ascii="Arial" w:hAnsi="Arial" w:cs="Arial"/>
        </w:rPr>
        <w:t xml:space="preserve">In </w:t>
      </w:r>
      <w:r w:rsidR="00286568">
        <w:rPr>
          <w:rFonts w:ascii="Arial" w:hAnsi="Arial" w:cs="Arial"/>
        </w:rPr>
        <w:t xml:space="preserve">this </w:t>
      </w:r>
      <w:r w:rsidR="003E29CE">
        <w:rPr>
          <w:rFonts w:ascii="Arial" w:hAnsi="Arial" w:cs="Arial"/>
        </w:rPr>
        <w:t>judgment</w:t>
      </w:r>
      <w:r w:rsidR="00286568">
        <w:rPr>
          <w:rFonts w:ascii="Arial" w:hAnsi="Arial" w:cs="Arial"/>
        </w:rPr>
        <w:t xml:space="preserve">, I shall refer to the parties as </w:t>
      </w:r>
      <w:r w:rsidR="00D5247E">
        <w:rPr>
          <w:rFonts w:ascii="Arial" w:hAnsi="Arial" w:cs="Arial"/>
        </w:rPr>
        <w:t>“</w:t>
      </w:r>
      <w:r w:rsidR="00D5247E" w:rsidRPr="00D5247E">
        <w:rPr>
          <w:rFonts w:ascii="Arial" w:hAnsi="Arial" w:cs="Arial"/>
          <w:i/>
          <w:iCs/>
        </w:rPr>
        <w:t>JLE</w:t>
      </w:r>
      <w:r w:rsidR="00D5247E">
        <w:rPr>
          <w:rFonts w:ascii="Arial" w:hAnsi="Arial" w:cs="Arial"/>
        </w:rPr>
        <w:t>” and “</w:t>
      </w:r>
      <w:r w:rsidR="00D5247E" w:rsidRPr="00D5247E">
        <w:rPr>
          <w:rFonts w:ascii="Arial" w:hAnsi="Arial" w:cs="Arial"/>
          <w:i/>
          <w:iCs/>
        </w:rPr>
        <w:t>C Rock</w:t>
      </w:r>
      <w:r w:rsidR="00D5247E">
        <w:rPr>
          <w:rFonts w:ascii="Arial" w:hAnsi="Arial" w:cs="Arial"/>
        </w:rPr>
        <w:t xml:space="preserve">”, respectively. </w:t>
      </w:r>
    </w:p>
    <w:p w14:paraId="42F197DB" w14:textId="03250581" w:rsidR="00D5247E"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lastRenderedPageBreak/>
        <w:t>[2</w:t>
      </w:r>
      <w:bookmarkStart w:id="0" w:name="_GoBack"/>
      <w:bookmarkEnd w:id="0"/>
      <w:r>
        <w:rPr>
          <w:rFonts w:ascii="Arial" w:hAnsi="Arial" w:cs="Tahoma"/>
          <w:szCs w:val="22"/>
        </w:rPr>
        <w:t>]</w:t>
      </w:r>
      <w:r>
        <w:rPr>
          <w:rFonts w:ascii="Arial" w:hAnsi="Arial" w:cs="Tahoma"/>
          <w:szCs w:val="22"/>
        </w:rPr>
        <w:tab/>
      </w:r>
      <w:r w:rsidR="00D5247E">
        <w:rPr>
          <w:rFonts w:ascii="Arial" w:hAnsi="Arial" w:cs="Arial"/>
        </w:rPr>
        <w:t>C Rock</w:t>
      </w:r>
      <w:r w:rsidR="00286568">
        <w:rPr>
          <w:rFonts w:ascii="Arial" w:hAnsi="Arial" w:cs="Arial"/>
        </w:rPr>
        <w:t xml:space="preserve"> seeks leave to appeal against</w:t>
      </w:r>
      <w:r w:rsidR="00D5247E">
        <w:rPr>
          <w:rFonts w:ascii="Arial" w:hAnsi="Arial" w:cs="Arial"/>
        </w:rPr>
        <w:t xml:space="preserve"> the judgment</w:t>
      </w:r>
      <w:r w:rsidR="00286568">
        <w:rPr>
          <w:rFonts w:ascii="Arial" w:hAnsi="Arial" w:cs="Arial"/>
        </w:rPr>
        <w:t xml:space="preserve"> </w:t>
      </w:r>
      <w:r w:rsidR="00D5247E">
        <w:rPr>
          <w:rFonts w:ascii="Arial" w:hAnsi="Arial" w:cs="Arial"/>
        </w:rPr>
        <w:t xml:space="preserve">handed down by me on </w:t>
      </w:r>
      <w:r w:rsidR="003E29CE">
        <w:rPr>
          <w:rFonts w:ascii="Arial" w:hAnsi="Arial" w:cs="Arial"/>
        </w:rPr>
        <w:t>22 September 2021.</w:t>
      </w:r>
    </w:p>
    <w:p w14:paraId="15F462FA" w14:textId="35185FEE" w:rsidR="0033151A"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[3]</w:t>
      </w:r>
      <w:r>
        <w:rPr>
          <w:rFonts w:ascii="Arial" w:hAnsi="Arial" w:cs="Tahoma"/>
          <w:szCs w:val="22"/>
        </w:rPr>
        <w:tab/>
      </w:r>
      <w:r w:rsidR="0033151A">
        <w:rPr>
          <w:rFonts w:ascii="Arial" w:hAnsi="Arial" w:cs="Arial"/>
        </w:rPr>
        <w:t xml:space="preserve">The first basis upon which the judgment is impugned is the submission that I had insufficient regard for certain facts which appear from the papers which are alleged to have given rise to a triable issue or a factual dispute. On this basis, C Rock submits that I ought to have either dismissed the application as a result of these disputes or, at least, ought to have referred the matter to evidence or to trial.  </w:t>
      </w:r>
    </w:p>
    <w:p w14:paraId="01D4F4B4" w14:textId="5BED2E5C" w:rsidR="0033151A"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[4]</w:t>
      </w:r>
      <w:r>
        <w:rPr>
          <w:rFonts w:ascii="Arial" w:hAnsi="Arial" w:cs="Tahoma"/>
          <w:szCs w:val="22"/>
        </w:rPr>
        <w:tab/>
      </w:r>
      <w:r w:rsidR="0033151A">
        <w:rPr>
          <w:rFonts w:ascii="Arial" w:hAnsi="Arial" w:cs="Arial"/>
        </w:rPr>
        <w:t>The averments to which I have been referred are those which relate to conversations which are said to have taken place between certain individuals, during which JLE is said to have been informed that payments made</w:t>
      </w:r>
      <w:r w:rsidR="00E81428">
        <w:rPr>
          <w:rFonts w:ascii="Arial" w:hAnsi="Arial" w:cs="Arial"/>
        </w:rPr>
        <w:t xml:space="preserve"> to it</w:t>
      </w:r>
      <w:r w:rsidR="0033151A">
        <w:rPr>
          <w:rFonts w:ascii="Arial" w:hAnsi="Arial" w:cs="Arial"/>
        </w:rPr>
        <w:t xml:space="preserve"> by Paleo </w:t>
      </w:r>
      <w:r w:rsidR="00F3331D">
        <w:rPr>
          <w:rFonts w:ascii="Arial" w:hAnsi="Arial" w:cs="Arial"/>
        </w:rPr>
        <w:t>Mining (Pty) Ltd</w:t>
      </w:r>
      <w:r w:rsidR="0033151A">
        <w:rPr>
          <w:rFonts w:ascii="Arial" w:hAnsi="Arial" w:cs="Arial"/>
        </w:rPr>
        <w:t xml:space="preserve"> (“Paleo”)</w:t>
      </w:r>
      <w:r w:rsidR="00E81428">
        <w:rPr>
          <w:rFonts w:ascii="Arial" w:hAnsi="Arial" w:cs="Arial"/>
        </w:rPr>
        <w:t xml:space="preserve"> were to be allocated to the debts owed by C Rock and not to the debt owed by Paleo. </w:t>
      </w:r>
    </w:p>
    <w:p w14:paraId="5BB4EC9D" w14:textId="59FD0D1E" w:rsidR="00E81428"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[5]</w:t>
      </w:r>
      <w:r>
        <w:rPr>
          <w:rFonts w:ascii="Arial" w:hAnsi="Arial" w:cs="Tahoma"/>
          <w:szCs w:val="22"/>
        </w:rPr>
        <w:tab/>
      </w:r>
      <w:r w:rsidR="00E81428">
        <w:rPr>
          <w:rFonts w:ascii="Arial" w:hAnsi="Arial" w:cs="Arial"/>
        </w:rPr>
        <w:t>However, these allegations cannot give rise to a material dispute of fact or a triable issue on the papers because, on either part</w:t>
      </w:r>
      <w:r w:rsidR="00F3331D">
        <w:rPr>
          <w:rFonts w:ascii="Arial" w:hAnsi="Arial" w:cs="Arial"/>
        </w:rPr>
        <w:t>y</w:t>
      </w:r>
      <w:r w:rsidR="00E81428">
        <w:rPr>
          <w:rFonts w:ascii="Arial" w:hAnsi="Arial" w:cs="Arial"/>
        </w:rPr>
        <w:t>’</w:t>
      </w:r>
      <w:r w:rsidR="00F3331D">
        <w:rPr>
          <w:rFonts w:ascii="Arial" w:hAnsi="Arial" w:cs="Arial"/>
        </w:rPr>
        <w:t>s</w:t>
      </w:r>
      <w:r w:rsidR="00E81428">
        <w:rPr>
          <w:rFonts w:ascii="Arial" w:hAnsi="Arial" w:cs="Arial"/>
        </w:rPr>
        <w:t xml:space="preserve"> version, these conversations did not take place at the time of the payments but, indeed, at the earliest, some months thereafter. The application</w:t>
      </w:r>
      <w:r w:rsidR="003D32EC">
        <w:rPr>
          <w:rFonts w:ascii="Arial" w:hAnsi="Arial" w:cs="Arial"/>
        </w:rPr>
        <w:t xml:space="preserve"> for leave to appeal does not</w:t>
      </w:r>
      <w:r w:rsidR="00E81428">
        <w:rPr>
          <w:rFonts w:ascii="Arial" w:hAnsi="Arial" w:cs="Arial"/>
        </w:rPr>
        <w:t xml:space="preserve"> attack the principal finding</w:t>
      </w:r>
      <w:r w:rsidR="003D32EC">
        <w:rPr>
          <w:rFonts w:ascii="Arial" w:hAnsi="Arial" w:cs="Arial"/>
        </w:rPr>
        <w:t>s</w:t>
      </w:r>
      <w:r w:rsidR="00E81428">
        <w:rPr>
          <w:rFonts w:ascii="Arial" w:hAnsi="Arial" w:cs="Arial"/>
        </w:rPr>
        <w:t xml:space="preserve"> which I made in my judgment, namely, that</w:t>
      </w:r>
      <w:r w:rsidR="003D32EC">
        <w:rPr>
          <w:rFonts w:ascii="Arial" w:hAnsi="Arial" w:cs="Arial"/>
        </w:rPr>
        <w:t>:</w:t>
      </w:r>
    </w:p>
    <w:p w14:paraId="5E5538FA" w14:textId="2CC142FA" w:rsidR="003D32EC" w:rsidRPr="003D32EC" w:rsidRDefault="003D32EC" w:rsidP="003D32EC">
      <w:pPr>
        <w:spacing w:before="240" w:after="120" w:line="480" w:lineRule="auto"/>
        <w:ind w:left="1431" w:hanging="740"/>
        <w:jc w:val="both"/>
        <w:rPr>
          <w:rFonts w:ascii="Arial" w:hAnsi="Arial" w:cs="Arial"/>
          <w:i/>
          <w:iCs/>
        </w:rPr>
      </w:pPr>
      <w:r w:rsidRPr="003D32EC">
        <w:rPr>
          <w:rFonts w:ascii="Arial" w:hAnsi="Arial" w:cs="Arial"/>
          <w:i/>
          <w:iCs/>
        </w:rPr>
        <w:t>“[15]</w:t>
      </w:r>
      <w:r w:rsidRPr="003D32EC">
        <w:rPr>
          <w:rFonts w:ascii="Arial" w:hAnsi="Arial" w:cs="Arial"/>
          <w:i/>
          <w:iCs/>
        </w:rPr>
        <w:tab/>
        <w:t>Even if it is accepted that Palaeo’s subjective intention in making the payments was to do so, not on its own behalf but on behalf of the respondent, the real question is whether, in the light of Palaeo’s silence, the applicant was entitled to attribute such payments to Palaeo’s debt rather than to the respondent’s debt. This is a legal question and can be disposed of with reference to legal authorities on the point…”</w:t>
      </w:r>
    </w:p>
    <w:p w14:paraId="0D333562" w14:textId="316F6057" w:rsidR="003D32EC" w:rsidRDefault="003D32EC" w:rsidP="003D32EC">
      <w:pPr>
        <w:spacing w:before="240" w:after="120" w:line="480" w:lineRule="auto"/>
        <w:ind w:left="1431" w:hanging="740"/>
        <w:jc w:val="both"/>
        <w:rPr>
          <w:rFonts w:ascii="Arial" w:hAnsi="Arial" w:cs="Arial"/>
        </w:rPr>
      </w:pPr>
      <w:r>
        <w:rPr>
          <w:rFonts w:ascii="Arial" w:hAnsi="Arial" w:cs="Arial"/>
        </w:rPr>
        <w:lastRenderedPageBreak/>
        <w:t>and</w:t>
      </w:r>
    </w:p>
    <w:p w14:paraId="011E075F" w14:textId="1E79A255" w:rsidR="003D32EC" w:rsidRPr="003D32EC" w:rsidRDefault="003D32EC" w:rsidP="003D32EC">
      <w:pPr>
        <w:spacing w:before="240" w:after="120" w:line="480" w:lineRule="auto"/>
        <w:ind w:left="1431" w:hanging="740"/>
        <w:jc w:val="both"/>
        <w:rPr>
          <w:rFonts w:ascii="Arial" w:hAnsi="Arial" w:cs="Arial"/>
          <w:i/>
          <w:iCs/>
        </w:rPr>
      </w:pPr>
      <w:r w:rsidRPr="003D32EC">
        <w:rPr>
          <w:rFonts w:ascii="Arial" w:hAnsi="Arial" w:cs="Arial"/>
          <w:i/>
          <w:iCs/>
        </w:rPr>
        <w:t>“[19]</w:t>
      </w:r>
      <w:r w:rsidRPr="003D32EC">
        <w:rPr>
          <w:rFonts w:ascii="Arial" w:hAnsi="Arial" w:cs="Arial"/>
          <w:i/>
          <w:iCs/>
        </w:rPr>
        <w:tab/>
        <w:t xml:space="preserve">The payment must accordingly have been made in the respondent’s name and in its discharge, whatever the transactor’s subjective intention may have been. From this it appears that the transactor’s subjective intention must give way to the outward manifestation of what his intention may be. </w:t>
      </w:r>
    </w:p>
    <w:p w14:paraId="780D7C55" w14:textId="5BB0082E" w:rsidR="003D32EC" w:rsidRPr="003D32EC" w:rsidRDefault="003D32EC" w:rsidP="003D32EC">
      <w:pPr>
        <w:spacing w:before="240" w:after="120" w:line="480" w:lineRule="auto"/>
        <w:ind w:left="1431" w:hanging="740"/>
        <w:jc w:val="both"/>
        <w:rPr>
          <w:rFonts w:ascii="Arial" w:hAnsi="Arial" w:cs="Arial"/>
          <w:i/>
          <w:iCs/>
        </w:rPr>
      </w:pPr>
      <w:r w:rsidRPr="003D32EC">
        <w:rPr>
          <w:rFonts w:ascii="Arial" w:hAnsi="Arial" w:cs="Arial"/>
          <w:i/>
          <w:iCs/>
        </w:rPr>
        <w:t>[20]</w:t>
      </w:r>
      <w:r w:rsidRPr="003D32EC">
        <w:rPr>
          <w:rFonts w:ascii="Arial" w:hAnsi="Arial" w:cs="Arial"/>
          <w:i/>
          <w:iCs/>
        </w:rPr>
        <w:tab/>
        <w:t>In the present matter, not only did Palaeo not communicate any intention to have made the payment on the respondent’s behalf, it clearly indicated on each proof of payment that the payment was being made by Palaeo when it could, quite easily, have given some indication in the payment reference that it was to be attributed to the debt of the respondent.”</w:t>
      </w:r>
    </w:p>
    <w:p w14:paraId="3A3C201B" w14:textId="7CD3875E" w:rsidR="00E81428"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[6]</w:t>
      </w:r>
      <w:r>
        <w:rPr>
          <w:rFonts w:ascii="Arial" w:hAnsi="Arial" w:cs="Tahoma"/>
          <w:szCs w:val="22"/>
        </w:rPr>
        <w:tab/>
      </w:r>
      <w:r w:rsidR="003D32EC">
        <w:rPr>
          <w:rFonts w:ascii="Arial" w:hAnsi="Arial" w:cs="Arial"/>
        </w:rPr>
        <w:t xml:space="preserve">If these findings are correct, </w:t>
      </w:r>
      <w:r w:rsidR="00CD3614">
        <w:rPr>
          <w:rFonts w:ascii="Arial" w:hAnsi="Arial" w:cs="Arial"/>
        </w:rPr>
        <w:t xml:space="preserve">then </w:t>
      </w:r>
      <w:r w:rsidR="003D32EC">
        <w:rPr>
          <w:rFonts w:ascii="Arial" w:hAnsi="Arial" w:cs="Arial"/>
        </w:rPr>
        <w:t xml:space="preserve">the subsequent conversations </w:t>
      </w:r>
      <w:r w:rsidR="00CD3614">
        <w:rPr>
          <w:rFonts w:ascii="Arial" w:hAnsi="Arial" w:cs="Arial"/>
        </w:rPr>
        <w:t xml:space="preserve">to which I have been </w:t>
      </w:r>
      <w:r w:rsidR="003D32EC">
        <w:rPr>
          <w:rFonts w:ascii="Arial" w:hAnsi="Arial" w:cs="Arial"/>
        </w:rPr>
        <w:t xml:space="preserve">referred </w:t>
      </w:r>
      <w:r w:rsidR="00CD3614">
        <w:rPr>
          <w:rFonts w:ascii="Arial" w:hAnsi="Arial" w:cs="Arial"/>
        </w:rPr>
        <w:t>can</w:t>
      </w:r>
      <w:r w:rsidR="003D32EC">
        <w:rPr>
          <w:rFonts w:ascii="Arial" w:hAnsi="Arial" w:cs="Arial"/>
        </w:rPr>
        <w:t xml:space="preserve"> have </w:t>
      </w:r>
      <w:r w:rsidR="00CD3614">
        <w:rPr>
          <w:rFonts w:ascii="Arial" w:hAnsi="Arial" w:cs="Arial"/>
        </w:rPr>
        <w:t>no</w:t>
      </w:r>
      <w:r w:rsidR="003D32EC">
        <w:rPr>
          <w:rFonts w:ascii="Arial" w:hAnsi="Arial" w:cs="Arial"/>
        </w:rPr>
        <w:t xml:space="preserve"> bearing on the matter. </w:t>
      </w:r>
      <w:r w:rsidR="00CD3614">
        <w:rPr>
          <w:rFonts w:ascii="Arial" w:hAnsi="Arial" w:cs="Arial"/>
        </w:rPr>
        <w:t>Thus, in the absence of any attack on these findings, there is no reasonable prospect of another court holding that the paragraphs referred to introduce any triable issue or material dispute of fact.</w:t>
      </w:r>
    </w:p>
    <w:p w14:paraId="4F2A43B2" w14:textId="1619F4DD" w:rsidR="00CD3614"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[7]</w:t>
      </w:r>
      <w:r>
        <w:rPr>
          <w:rFonts w:ascii="Arial" w:hAnsi="Arial" w:cs="Tahoma"/>
          <w:szCs w:val="22"/>
        </w:rPr>
        <w:tab/>
      </w:r>
      <w:r w:rsidR="00CD3614">
        <w:rPr>
          <w:rFonts w:ascii="Arial" w:hAnsi="Arial" w:cs="Arial"/>
        </w:rPr>
        <w:t xml:space="preserve">Under the heading </w:t>
      </w:r>
      <w:r w:rsidR="00CD3614" w:rsidRPr="00CD3614">
        <w:rPr>
          <w:rFonts w:ascii="Arial" w:hAnsi="Arial" w:cs="Arial"/>
          <w:i/>
          <w:iCs/>
        </w:rPr>
        <w:t>“COMPETING CLAIMS”</w:t>
      </w:r>
      <w:r w:rsidR="00CD3614">
        <w:rPr>
          <w:rFonts w:ascii="Arial" w:hAnsi="Arial" w:cs="Arial"/>
        </w:rPr>
        <w:t>, C Rock submits that I ought to have found that:</w:t>
      </w:r>
    </w:p>
    <w:p w14:paraId="02D45BE5" w14:textId="01EDA513" w:rsidR="00CD3614" w:rsidRPr="003B1884" w:rsidRDefault="00CD3614" w:rsidP="00CD3614">
      <w:pPr>
        <w:tabs>
          <w:tab w:val="num" w:pos="691"/>
        </w:tabs>
        <w:spacing w:before="240" w:after="120" w:line="480" w:lineRule="auto"/>
        <w:ind w:left="1431" w:hanging="740"/>
        <w:jc w:val="both"/>
        <w:rPr>
          <w:rFonts w:ascii="Arial" w:hAnsi="Arial" w:cs="Arial"/>
          <w:i/>
          <w:iCs/>
          <w:lang w:val="en-GB"/>
        </w:rPr>
      </w:pPr>
      <w:r w:rsidRPr="003B1884">
        <w:rPr>
          <w:rFonts w:ascii="Arial" w:hAnsi="Arial" w:cs="Arial"/>
          <w:i/>
          <w:iCs/>
          <w:lang w:val="en-GB"/>
        </w:rPr>
        <w:t>“4.1</w:t>
      </w:r>
      <w:r w:rsidRPr="003B1884">
        <w:rPr>
          <w:rFonts w:ascii="Arial" w:hAnsi="Arial" w:cs="Arial"/>
          <w:i/>
          <w:iCs/>
          <w:lang w:val="en-GB"/>
        </w:rPr>
        <w:tab/>
      </w:r>
      <w:r w:rsidRPr="00CD3614">
        <w:rPr>
          <w:rFonts w:ascii="Arial" w:hAnsi="Arial" w:cs="Arial"/>
          <w:i/>
          <w:iCs/>
          <w:lang w:val="en-GB"/>
        </w:rPr>
        <w:t>The competing claims in the action in the North Gauteng under case</w:t>
      </w:r>
      <w:r w:rsidRPr="003B1884">
        <w:rPr>
          <w:rFonts w:ascii="Arial" w:hAnsi="Arial" w:cs="Arial"/>
          <w:i/>
          <w:iCs/>
          <w:lang w:val="en-GB"/>
        </w:rPr>
        <w:t xml:space="preserve"> </w:t>
      </w:r>
      <w:r w:rsidRPr="00CD3614">
        <w:rPr>
          <w:rFonts w:ascii="Arial" w:hAnsi="Arial" w:cs="Arial"/>
          <w:i/>
          <w:iCs/>
          <w:lang w:val="en-GB"/>
        </w:rPr>
        <w:t>number 2021/12437 would have the effect that the respective claims by</w:t>
      </w:r>
      <w:r w:rsidRPr="003B1884">
        <w:rPr>
          <w:rFonts w:ascii="Arial" w:hAnsi="Arial" w:cs="Arial"/>
          <w:i/>
          <w:iCs/>
          <w:lang w:val="en-GB"/>
        </w:rPr>
        <w:t xml:space="preserve"> </w:t>
      </w:r>
      <w:r w:rsidRPr="00CD3614">
        <w:rPr>
          <w:rFonts w:ascii="Arial" w:hAnsi="Arial" w:cs="Arial"/>
          <w:i/>
          <w:iCs/>
          <w:lang w:val="en-GB"/>
        </w:rPr>
        <w:t>the parties be heard in one action and that one finding would precipitate</w:t>
      </w:r>
      <w:r w:rsidRPr="003B1884">
        <w:rPr>
          <w:rFonts w:ascii="Arial" w:hAnsi="Arial" w:cs="Arial"/>
          <w:i/>
          <w:iCs/>
          <w:lang w:val="en-GB"/>
        </w:rPr>
        <w:t xml:space="preserve"> at the end of such a trial</w:t>
      </w:r>
    </w:p>
    <w:p w14:paraId="14E27CC8" w14:textId="73049362" w:rsidR="00CD3614" w:rsidRPr="003B1884" w:rsidRDefault="00CD3614" w:rsidP="003B1884">
      <w:pPr>
        <w:tabs>
          <w:tab w:val="num" w:pos="691"/>
        </w:tabs>
        <w:spacing w:before="240" w:after="120" w:line="480" w:lineRule="auto"/>
        <w:ind w:left="1431" w:hanging="740"/>
        <w:jc w:val="both"/>
        <w:rPr>
          <w:rFonts w:ascii="Arial" w:hAnsi="Arial" w:cs="Arial"/>
          <w:i/>
          <w:iCs/>
        </w:rPr>
      </w:pPr>
      <w:r w:rsidRPr="003B1884">
        <w:rPr>
          <w:rFonts w:ascii="Arial" w:hAnsi="Arial" w:cs="Arial"/>
          <w:i/>
          <w:iCs/>
          <w:lang w:val="en-GB"/>
        </w:rPr>
        <w:lastRenderedPageBreak/>
        <w:t>4.2</w:t>
      </w:r>
      <w:r w:rsidRPr="003B1884">
        <w:rPr>
          <w:rFonts w:ascii="Arial" w:hAnsi="Arial" w:cs="Arial"/>
          <w:i/>
          <w:iCs/>
          <w:lang w:val="en-GB"/>
        </w:rPr>
        <w:tab/>
      </w:r>
      <w:r w:rsidR="003B1884" w:rsidRPr="003B1884">
        <w:rPr>
          <w:rFonts w:ascii="Arial" w:hAnsi="Arial" w:cs="Arial"/>
          <w:i/>
          <w:iCs/>
          <w:lang w:val="en-GB"/>
        </w:rPr>
        <w:t xml:space="preserve">The Court ought to have had cognisance of the aspects of convenience, </w:t>
      </w:r>
      <w:r w:rsidR="003B1884" w:rsidRPr="003B1884">
        <w:rPr>
          <w:rFonts w:ascii="Arial" w:hAnsi="Arial" w:cs="Arial"/>
          <w:i/>
          <w:iCs/>
          <w:lang w:val="en-GB"/>
        </w:rPr>
        <w:tab/>
        <w:t>the calling of witnesses and costs. The Court ought to have found that there was no prejudice to the respondent that the action be heard in the North Gauteng High Court.”</w:t>
      </w:r>
    </w:p>
    <w:p w14:paraId="6D1BA78C" w14:textId="329EEDEA" w:rsidR="00CD3614"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[8]</w:t>
      </w:r>
      <w:r>
        <w:rPr>
          <w:rFonts w:ascii="Arial" w:hAnsi="Arial" w:cs="Tahoma"/>
          <w:szCs w:val="22"/>
        </w:rPr>
        <w:tab/>
      </w:r>
      <w:r w:rsidR="00635411">
        <w:rPr>
          <w:rFonts w:ascii="Arial" w:hAnsi="Arial" w:cs="Arial"/>
        </w:rPr>
        <w:t>I regret to say that t</w:t>
      </w:r>
      <w:r w:rsidR="003B1884">
        <w:rPr>
          <w:rFonts w:ascii="Arial" w:hAnsi="Arial" w:cs="Arial"/>
        </w:rPr>
        <w:t xml:space="preserve">here is no merit in these submissions. </w:t>
      </w:r>
    </w:p>
    <w:p w14:paraId="6CBB1349" w14:textId="77EBF83B" w:rsidR="00956E90" w:rsidRPr="00956E90" w:rsidRDefault="00E72C0B" w:rsidP="00E72C0B">
      <w:pPr>
        <w:tabs>
          <w:tab w:val="left" w:pos="691"/>
        </w:tabs>
        <w:spacing w:before="240" w:after="120" w:line="480" w:lineRule="auto"/>
        <w:ind w:left="691" w:hanging="691"/>
        <w:jc w:val="both"/>
        <w:rPr>
          <w:rFonts w:ascii="Arial" w:hAnsi="Arial" w:cs="Arial"/>
        </w:rPr>
      </w:pPr>
      <w:r w:rsidRPr="00956E90">
        <w:rPr>
          <w:rFonts w:ascii="Arial" w:hAnsi="Arial" w:cs="Tahoma"/>
          <w:szCs w:val="22"/>
        </w:rPr>
        <w:t>[9]</w:t>
      </w:r>
      <w:r w:rsidRPr="00956E90">
        <w:rPr>
          <w:rFonts w:ascii="Arial" w:hAnsi="Arial" w:cs="Tahoma"/>
          <w:szCs w:val="22"/>
        </w:rPr>
        <w:tab/>
      </w:r>
      <w:r w:rsidR="003B1884" w:rsidRPr="003B1884">
        <w:rPr>
          <w:rFonts w:ascii="Arial" w:hAnsi="Arial" w:cs="Arial"/>
        </w:rPr>
        <w:t xml:space="preserve">Firstly, </w:t>
      </w:r>
      <w:r w:rsidR="003B1884" w:rsidRPr="00CD3614">
        <w:rPr>
          <w:rFonts w:ascii="Arial" w:hAnsi="Arial" w:cs="Arial"/>
          <w:lang w:val="en-GB"/>
        </w:rPr>
        <w:t>the action in the North Gauteng under case</w:t>
      </w:r>
      <w:r w:rsidR="003B1884" w:rsidRPr="003B1884">
        <w:rPr>
          <w:rFonts w:ascii="Arial" w:hAnsi="Arial" w:cs="Arial"/>
          <w:lang w:val="en-GB"/>
        </w:rPr>
        <w:t xml:space="preserve"> </w:t>
      </w:r>
      <w:r w:rsidR="003B1884" w:rsidRPr="00CD3614">
        <w:rPr>
          <w:rFonts w:ascii="Arial" w:hAnsi="Arial" w:cs="Arial"/>
          <w:lang w:val="en-GB"/>
        </w:rPr>
        <w:t>number 2021/12437</w:t>
      </w:r>
      <w:r w:rsidR="003B1884">
        <w:rPr>
          <w:rFonts w:ascii="Arial" w:hAnsi="Arial" w:cs="Arial"/>
          <w:lang w:val="en-GB"/>
        </w:rPr>
        <w:t xml:space="preserve"> was not before me and</w:t>
      </w:r>
      <w:r w:rsidR="00956E90">
        <w:rPr>
          <w:rFonts w:ascii="Arial" w:hAnsi="Arial" w:cs="Arial"/>
          <w:lang w:val="en-GB"/>
        </w:rPr>
        <w:t>, secondly,</w:t>
      </w:r>
      <w:r w:rsidR="003B1884">
        <w:rPr>
          <w:rFonts w:ascii="Arial" w:hAnsi="Arial" w:cs="Arial"/>
          <w:lang w:val="en-GB"/>
        </w:rPr>
        <w:t xml:space="preserve"> no defence of </w:t>
      </w:r>
      <w:r w:rsidR="003B1884">
        <w:rPr>
          <w:rFonts w:ascii="Arial" w:hAnsi="Arial" w:cs="Arial"/>
          <w:i/>
          <w:iCs/>
          <w:lang w:val="en-GB"/>
        </w:rPr>
        <w:t>lis pendens</w:t>
      </w:r>
      <w:r w:rsidR="003B1884">
        <w:rPr>
          <w:rFonts w:ascii="Arial" w:hAnsi="Arial" w:cs="Arial"/>
          <w:lang w:val="en-GB"/>
        </w:rPr>
        <w:t xml:space="preserve"> was raised on the papers. I was thus precluded</w:t>
      </w:r>
      <w:r w:rsidR="00956E90">
        <w:rPr>
          <w:rFonts w:ascii="Arial" w:hAnsi="Arial" w:cs="Arial"/>
          <w:lang w:val="en-GB"/>
        </w:rPr>
        <w:t xml:space="preserve"> from making any finding thereon. </w:t>
      </w:r>
      <w:r w:rsidR="00956E90" w:rsidRPr="00956E90">
        <w:rPr>
          <w:rFonts w:ascii="Arial" w:hAnsi="Arial" w:cs="Arial"/>
        </w:rPr>
        <w:t xml:space="preserve"> </w:t>
      </w:r>
    </w:p>
    <w:p w14:paraId="7BE5BE8C" w14:textId="4F0825F4" w:rsidR="0046079B" w:rsidRPr="0046079B" w:rsidRDefault="0046079B" w:rsidP="0046079B">
      <w:pPr>
        <w:pStyle w:val="ListParagraph"/>
        <w:spacing w:after="120" w:line="480" w:lineRule="auto"/>
        <w:ind w:left="691"/>
        <w:jc w:val="both"/>
        <w:rPr>
          <w:rFonts w:cs="Arial"/>
          <w:b/>
          <w:bCs/>
          <w:lang w:val="en-GB"/>
        </w:rPr>
      </w:pPr>
      <w:r w:rsidRPr="0046079B">
        <w:rPr>
          <w:rFonts w:cs="Arial"/>
          <w:b/>
          <w:bCs/>
          <w:lang w:val="en-GB"/>
        </w:rPr>
        <w:t>See:</w:t>
      </w:r>
      <w:r w:rsidRPr="0046079B">
        <w:rPr>
          <w:rFonts w:cs="Arial"/>
          <w:b/>
          <w:bCs/>
          <w:lang w:val="en-GB"/>
        </w:rPr>
        <w:tab/>
        <w:t>Kerbel v Kerbel 1987 (1) SA 562 (W) at 566G</w:t>
      </w:r>
    </w:p>
    <w:p w14:paraId="199C607A" w14:textId="44A137F1" w:rsidR="003E29CE"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[10]</w:t>
      </w:r>
      <w:r>
        <w:rPr>
          <w:rFonts w:ascii="Arial" w:hAnsi="Arial" w:cs="Tahoma"/>
          <w:szCs w:val="22"/>
        </w:rPr>
        <w:tab/>
      </w:r>
      <w:r w:rsidR="003E29CE">
        <w:rPr>
          <w:rFonts w:ascii="Arial" w:hAnsi="Arial" w:cs="Arial"/>
        </w:rPr>
        <w:t>There was also no application for consolidation of the two matters</w:t>
      </w:r>
      <w:r w:rsidR="00A01B61">
        <w:rPr>
          <w:rFonts w:ascii="Arial" w:hAnsi="Arial" w:cs="Arial"/>
        </w:rPr>
        <w:t xml:space="preserve">. </w:t>
      </w:r>
    </w:p>
    <w:p w14:paraId="4885E00F" w14:textId="32B77F73" w:rsidR="00956E90"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[11]</w:t>
      </w:r>
      <w:r>
        <w:rPr>
          <w:rFonts w:ascii="Arial" w:hAnsi="Arial" w:cs="Tahoma"/>
          <w:szCs w:val="22"/>
        </w:rPr>
        <w:tab/>
      </w:r>
      <w:r w:rsidR="005229B9">
        <w:rPr>
          <w:rFonts w:ascii="Arial" w:hAnsi="Arial" w:cs="Arial"/>
        </w:rPr>
        <w:t>I turn now to</w:t>
      </w:r>
      <w:r w:rsidR="00635411">
        <w:rPr>
          <w:rFonts w:ascii="Arial" w:hAnsi="Arial" w:cs="Arial"/>
        </w:rPr>
        <w:t xml:space="preserve"> C Rock</w:t>
      </w:r>
      <w:r w:rsidR="005229B9">
        <w:rPr>
          <w:rFonts w:ascii="Arial" w:hAnsi="Arial" w:cs="Arial"/>
        </w:rPr>
        <w:t>’s contention</w:t>
      </w:r>
      <w:r w:rsidR="00635411">
        <w:rPr>
          <w:rFonts w:ascii="Arial" w:hAnsi="Arial" w:cs="Arial"/>
        </w:rPr>
        <w:t xml:space="preserve"> that it was not open to JLE to seek a money judgment as an alternative to a liquidation order as, so the argument goes, to do so constitutes an abuse of process. </w:t>
      </w:r>
    </w:p>
    <w:p w14:paraId="2C60D776" w14:textId="55C647A6" w:rsidR="00A341A5"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[12]</w:t>
      </w:r>
      <w:r>
        <w:rPr>
          <w:rFonts w:ascii="Arial" w:hAnsi="Arial" w:cs="Tahoma"/>
          <w:szCs w:val="22"/>
        </w:rPr>
        <w:tab/>
      </w:r>
      <w:r w:rsidR="00A341A5">
        <w:rPr>
          <w:rFonts w:ascii="Arial" w:hAnsi="Arial" w:cs="Arial"/>
        </w:rPr>
        <w:t xml:space="preserve">In argument, C Rock’s counsel referred me to a number of judgments which deal with the differences between liquidation proceedings and proceedings for the recovery of a debt.  </w:t>
      </w:r>
    </w:p>
    <w:p w14:paraId="537F584C" w14:textId="6F3BFAC7" w:rsidR="00B87EA1" w:rsidRPr="00F3331D" w:rsidRDefault="00F3331D" w:rsidP="00F3331D">
      <w:pPr>
        <w:tabs>
          <w:tab w:val="num" w:pos="691"/>
        </w:tabs>
        <w:spacing w:before="240" w:after="120" w:line="480" w:lineRule="auto"/>
        <w:ind w:left="1431" w:hanging="740"/>
        <w:jc w:val="both"/>
        <w:rPr>
          <w:rFonts w:ascii="Arial" w:hAnsi="Arial" w:cs="Arial"/>
          <w:b/>
          <w:bCs/>
        </w:rPr>
      </w:pPr>
      <w:r w:rsidRPr="00F3331D">
        <w:rPr>
          <w:rFonts w:ascii="Arial" w:hAnsi="Arial" w:cs="Arial"/>
          <w:b/>
          <w:bCs/>
          <w:lang w:val="en-GB"/>
        </w:rPr>
        <w:t>See:</w:t>
      </w:r>
      <w:r w:rsidRPr="00F3331D">
        <w:rPr>
          <w:rFonts w:ascii="Arial" w:hAnsi="Arial" w:cs="Arial"/>
          <w:b/>
          <w:bCs/>
          <w:lang w:val="en-GB"/>
        </w:rPr>
        <w:tab/>
      </w:r>
      <w:r w:rsidR="00B87EA1" w:rsidRPr="00F3331D">
        <w:rPr>
          <w:rFonts w:ascii="Arial" w:hAnsi="Arial" w:cs="Arial"/>
          <w:b/>
          <w:bCs/>
          <w:lang w:val="en-GB"/>
        </w:rPr>
        <w:t xml:space="preserve">Investec Bank LTD v Mutemeri and Another 2010 (1) SA 265 (GSJ); </w:t>
      </w:r>
      <w:r w:rsidR="00B87EA1" w:rsidRPr="00B87EA1">
        <w:rPr>
          <w:rFonts w:ascii="Arial" w:hAnsi="Arial" w:cs="Arial"/>
          <w:b/>
          <w:bCs/>
          <w:lang w:val="en-GB"/>
        </w:rPr>
        <w:t>Collett v Priest</w:t>
      </w:r>
      <w:r w:rsidR="00B87EA1" w:rsidRPr="00F3331D">
        <w:rPr>
          <w:rFonts w:ascii="Arial" w:hAnsi="Arial" w:cs="Arial"/>
          <w:b/>
          <w:bCs/>
          <w:lang w:val="en-GB"/>
        </w:rPr>
        <w:t xml:space="preserve"> 1931 AD 290; </w:t>
      </w:r>
      <w:r w:rsidR="00B87EA1" w:rsidRPr="00B87EA1">
        <w:rPr>
          <w:rFonts w:ascii="Arial" w:hAnsi="Arial" w:cs="Arial"/>
          <w:b/>
          <w:bCs/>
          <w:lang w:val="en-GB"/>
        </w:rPr>
        <w:t>Prudential Shippers SA Ltd v Tempest Clothing Co (Ply) Ltd and</w:t>
      </w:r>
      <w:r w:rsidR="00B87EA1" w:rsidRPr="00F3331D">
        <w:rPr>
          <w:rFonts w:ascii="Arial" w:hAnsi="Arial" w:cs="Arial"/>
          <w:b/>
          <w:bCs/>
          <w:lang w:val="en-GB"/>
        </w:rPr>
        <w:t xml:space="preserve"> Others 1976 (2) SA 856 (W)</w:t>
      </w:r>
    </w:p>
    <w:p w14:paraId="6BD64E7C" w14:textId="6F98D8E9" w:rsidR="00A341A5"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[13]</w:t>
      </w:r>
      <w:r>
        <w:rPr>
          <w:rFonts w:ascii="Arial" w:hAnsi="Arial" w:cs="Tahoma"/>
          <w:szCs w:val="22"/>
        </w:rPr>
        <w:tab/>
      </w:r>
      <w:r w:rsidR="00A341A5">
        <w:rPr>
          <w:rFonts w:ascii="Arial" w:hAnsi="Arial" w:cs="Arial"/>
        </w:rPr>
        <w:t>This distinction is, of course, well known and long recognised in our law, as these authorities demonstrate. However, none of the judgments to which I was referred deal</w:t>
      </w:r>
      <w:r w:rsidR="001123AB">
        <w:rPr>
          <w:rFonts w:ascii="Arial" w:hAnsi="Arial" w:cs="Arial"/>
        </w:rPr>
        <w:t>t</w:t>
      </w:r>
      <w:r w:rsidR="00A341A5">
        <w:rPr>
          <w:rFonts w:ascii="Arial" w:hAnsi="Arial" w:cs="Arial"/>
        </w:rPr>
        <w:t xml:space="preserve"> with the question under consideration, namely,</w:t>
      </w:r>
      <w:r w:rsidR="001123AB">
        <w:rPr>
          <w:rFonts w:ascii="Arial" w:hAnsi="Arial" w:cs="Arial"/>
        </w:rPr>
        <w:t xml:space="preserve"> whether or not it </w:t>
      </w:r>
      <w:r w:rsidR="001123AB">
        <w:rPr>
          <w:rFonts w:ascii="Arial" w:hAnsi="Arial" w:cs="Arial"/>
        </w:rPr>
        <w:lastRenderedPageBreak/>
        <w:t xml:space="preserve">is permissible to seek a judgment sounding in money as an alternative to a liquidation. </w:t>
      </w:r>
    </w:p>
    <w:p w14:paraId="6AC62EC1" w14:textId="3A447713" w:rsidR="001123AB" w:rsidRPr="001123AB" w:rsidRDefault="00E72C0B" w:rsidP="00E72C0B">
      <w:pPr>
        <w:tabs>
          <w:tab w:val="left" w:pos="691"/>
        </w:tabs>
        <w:spacing w:before="240" w:after="120" w:line="480" w:lineRule="auto"/>
        <w:ind w:left="691" w:hanging="691"/>
        <w:jc w:val="both"/>
        <w:rPr>
          <w:rFonts w:ascii="Arial" w:hAnsi="Arial" w:cs="Arial"/>
        </w:rPr>
      </w:pPr>
      <w:r w:rsidRPr="001123AB">
        <w:rPr>
          <w:rFonts w:ascii="Arial" w:hAnsi="Arial" w:cs="Tahoma"/>
          <w:szCs w:val="22"/>
        </w:rPr>
        <w:t>[14]</w:t>
      </w:r>
      <w:r w:rsidRPr="001123AB">
        <w:rPr>
          <w:rFonts w:ascii="Arial" w:hAnsi="Arial" w:cs="Tahoma"/>
          <w:szCs w:val="22"/>
        </w:rPr>
        <w:tab/>
      </w:r>
      <w:r w:rsidR="001123AB">
        <w:rPr>
          <w:rFonts w:ascii="Arial" w:hAnsi="Arial" w:cs="Arial"/>
        </w:rPr>
        <w:t xml:space="preserve">Suffice it to say that C Rock was unable to point me to any authority which suggests that such an approach is not competent. As pointed out in my judgment, </w:t>
      </w:r>
      <w:r w:rsidR="00C16EBA">
        <w:rPr>
          <w:rFonts w:ascii="Arial" w:hAnsi="Arial" w:cs="Arial"/>
        </w:rPr>
        <w:t xml:space="preserve">the approach appears to be expressly permitted by </w:t>
      </w:r>
      <w:r w:rsidR="001123AB" w:rsidRPr="001123AB">
        <w:rPr>
          <w:rFonts w:ascii="Arial" w:hAnsi="Arial" w:cs="Arial"/>
        </w:rPr>
        <w:t xml:space="preserve">section 347(1) of the Companies Act 61 of 1973 (which remains of application by virtue of item 9, schedule 5 of the Companies Act 71 of 2008). The section provides that: </w:t>
      </w:r>
    </w:p>
    <w:p w14:paraId="4FFC9C9F" w14:textId="77777777" w:rsidR="001123AB" w:rsidRPr="001123AB" w:rsidRDefault="001123AB" w:rsidP="00C16EBA">
      <w:pPr>
        <w:spacing w:before="240" w:after="120" w:line="480" w:lineRule="auto"/>
        <w:ind w:left="691"/>
        <w:jc w:val="both"/>
        <w:rPr>
          <w:rFonts w:ascii="Arial" w:hAnsi="Arial" w:cs="Arial"/>
        </w:rPr>
      </w:pPr>
      <w:r w:rsidRPr="001123AB">
        <w:rPr>
          <w:rFonts w:ascii="Arial" w:hAnsi="Arial" w:cs="Arial"/>
          <w:i/>
          <w:iCs/>
          <w:lang w:val="en-GB"/>
        </w:rPr>
        <w:t xml:space="preserve">“The Court may grant or dismiss any application under section 346, or adjourn the hearing thereof, conditionally or unconditionally, </w:t>
      </w:r>
      <w:r w:rsidRPr="001123AB">
        <w:rPr>
          <w:rFonts w:ascii="Arial" w:hAnsi="Arial" w:cs="Arial"/>
          <w:i/>
          <w:iCs/>
          <w:u w:val="single"/>
          <w:lang w:val="en-GB"/>
        </w:rPr>
        <w:t>or make any interim order or any other order it may deem just</w:t>
      </w:r>
      <w:r w:rsidRPr="001123AB">
        <w:rPr>
          <w:rFonts w:ascii="Arial" w:hAnsi="Arial" w:cs="Arial"/>
          <w:i/>
          <w:iCs/>
          <w:lang w:val="en-GB"/>
        </w:rPr>
        <w:t>, but the Court shall not refuse to make a winding-up order on the ground only that the assets of the company have been mortgaged to an amount equal to or in excess of those assets or that the company has no assets”</w:t>
      </w:r>
      <w:r w:rsidRPr="001123AB">
        <w:rPr>
          <w:rFonts w:ascii="Arial" w:hAnsi="Arial" w:cs="Arial"/>
          <w:lang w:val="en-GB"/>
        </w:rPr>
        <w:t xml:space="preserve"> (my emphasis).</w:t>
      </w:r>
    </w:p>
    <w:p w14:paraId="1EB00C11" w14:textId="520238A8" w:rsidR="005229B9"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[15]</w:t>
      </w:r>
      <w:r>
        <w:rPr>
          <w:rFonts w:ascii="Arial" w:hAnsi="Arial" w:cs="Tahoma"/>
          <w:szCs w:val="22"/>
        </w:rPr>
        <w:tab/>
      </w:r>
      <w:r w:rsidR="00C16EBA">
        <w:rPr>
          <w:rFonts w:ascii="Arial" w:hAnsi="Arial" w:cs="Arial"/>
        </w:rPr>
        <w:t xml:space="preserve">I am unable to conceive of any reason why such an approach ought not to be permitted. </w:t>
      </w:r>
    </w:p>
    <w:p w14:paraId="7208A78C" w14:textId="5B25BE4B" w:rsidR="005229B9" w:rsidRPr="005229B9" w:rsidRDefault="00E72C0B" w:rsidP="00E72C0B">
      <w:pPr>
        <w:tabs>
          <w:tab w:val="left" w:pos="691"/>
        </w:tabs>
        <w:spacing w:before="240" w:after="120" w:line="480" w:lineRule="auto"/>
        <w:ind w:left="691" w:hanging="691"/>
        <w:jc w:val="both"/>
        <w:rPr>
          <w:rFonts w:ascii="Arial" w:hAnsi="Arial" w:cs="Arial"/>
        </w:rPr>
      </w:pPr>
      <w:r w:rsidRPr="005229B9">
        <w:rPr>
          <w:rFonts w:ascii="Arial" w:hAnsi="Arial" w:cs="Tahoma"/>
          <w:szCs w:val="22"/>
        </w:rPr>
        <w:t>[16]</w:t>
      </w:r>
      <w:r w:rsidRPr="005229B9">
        <w:rPr>
          <w:rFonts w:ascii="Arial" w:hAnsi="Arial" w:cs="Tahoma"/>
          <w:szCs w:val="22"/>
        </w:rPr>
        <w:tab/>
      </w:r>
      <w:r w:rsidR="005229B9" w:rsidRPr="005229B9">
        <w:rPr>
          <w:rFonts w:ascii="Arial" w:hAnsi="Arial" w:cs="Arial"/>
        </w:rPr>
        <w:t>C Rock’s submission in its heads of argument that</w:t>
      </w:r>
      <w:r w:rsidR="005229B9">
        <w:rPr>
          <w:rFonts w:ascii="Arial" w:hAnsi="Arial" w:cs="Arial"/>
        </w:rPr>
        <w:t xml:space="preserve"> t</w:t>
      </w:r>
      <w:r w:rsidR="005229B9" w:rsidRPr="005229B9">
        <w:rPr>
          <w:rFonts w:ascii="Arial" w:hAnsi="Arial" w:cs="Arial"/>
          <w:lang w:val="en-GB"/>
        </w:rPr>
        <w:t xml:space="preserve">he entire founding affidavit attempts to make out a case </w:t>
      </w:r>
      <w:r w:rsidR="005229B9" w:rsidRPr="005229B9">
        <w:rPr>
          <w:rFonts w:ascii="Arial" w:hAnsi="Arial" w:cs="Arial"/>
          <w:i/>
          <w:iCs/>
          <w:lang w:val="en-GB"/>
        </w:rPr>
        <w:t>only</w:t>
      </w:r>
      <w:r w:rsidR="005229B9" w:rsidRPr="005229B9">
        <w:rPr>
          <w:rFonts w:ascii="Arial" w:hAnsi="Arial" w:cs="Arial"/>
          <w:lang w:val="en-GB"/>
        </w:rPr>
        <w:t xml:space="preserve"> for the liquidation of the respondent</w:t>
      </w:r>
      <w:r w:rsidR="005229B9">
        <w:rPr>
          <w:rFonts w:ascii="Arial" w:hAnsi="Arial" w:cs="Arial"/>
          <w:lang w:val="en-GB"/>
        </w:rPr>
        <w:t xml:space="preserve"> and that t</w:t>
      </w:r>
      <w:r w:rsidR="005229B9" w:rsidRPr="005229B9">
        <w:rPr>
          <w:rFonts w:ascii="Arial" w:hAnsi="Arial" w:cs="Arial"/>
          <w:lang w:val="en-GB"/>
        </w:rPr>
        <w:t>he proceedings are therefore not for the recovery of a debt</w:t>
      </w:r>
      <w:r w:rsidR="005229B9">
        <w:rPr>
          <w:rFonts w:ascii="Arial" w:hAnsi="Arial" w:cs="Arial"/>
          <w:lang w:val="en-GB"/>
        </w:rPr>
        <w:t xml:space="preserve">, is not sustainable. </w:t>
      </w:r>
    </w:p>
    <w:p w14:paraId="26A032B6" w14:textId="4024B44D" w:rsidR="001123AB"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[17]</w:t>
      </w:r>
      <w:r>
        <w:rPr>
          <w:rFonts w:ascii="Arial" w:hAnsi="Arial" w:cs="Tahoma"/>
          <w:szCs w:val="22"/>
        </w:rPr>
        <w:tab/>
      </w:r>
      <w:r w:rsidR="00C16EBA">
        <w:rPr>
          <w:rFonts w:ascii="Arial" w:hAnsi="Arial" w:cs="Arial"/>
        </w:rPr>
        <w:t xml:space="preserve">In liquidation proceedings, the applicant is required to establish that it is a creditor of the respondent. </w:t>
      </w:r>
      <w:r w:rsidR="00F3331D">
        <w:rPr>
          <w:rFonts w:ascii="Arial" w:hAnsi="Arial" w:cs="Arial"/>
        </w:rPr>
        <w:t>Proof of this fact, without more</w:t>
      </w:r>
      <w:r w:rsidR="00C16EBA">
        <w:rPr>
          <w:rFonts w:ascii="Arial" w:hAnsi="Arial" w:cs="Arial"/>
        </w:rPr>
        <w:t xml:space="preserve">, would entitle </w:t>
      </w:r>
      <w:r w:rsidR="00F3331D">
        <w:rPr>
          <w:rFonts w:ascii="Arial" w:hAnsi="Arial" w:cs="Arial"/>
        </w:rPr>
        <w:t>a litigant</w:t>
      </w:r>
      <w:r w:rsidR="00C16EBA">
        <w:rPr>
          <w:rFonts w:ascii="Arial" w:hAnsi="Arial" w:cs="Arial"/>
        </w:rPr>
        <w:t xml:space="preserve"> to a money judgment. If a respondent has a valid basis for disputing its indebtedness to the applicant then that defence would redound equally to its </w:t>
      </w:r>
      <w:r w:rsidR="00C16EBA">
        <w:rPr>
          <w:rFonts w:ascii="Arial" w:hAnsi="Arial" w:cs="Arial"/>
        </w:rPr>
        <w:lastRenderedPageBreak/>
        <w:t xml:space="preserve">benefit whether in answer to a liquidation application </w:t>
      </w:r>
      <w:r w:rsidR="00B87EA1">
        <w:rPr>
          <w:rFonts w:ascii="Arial" w:hAnsi="Arial" w:cs="Arial"/>
        </w:rPr>
        <w:t xml:space="preserve">or a claim for payment of money. </w:t>
      </w:r>
    </w:p>
    <w:p w14:paraId="6A7621D6" w14:textId="622F0020" w:rsidR="00B87EA1"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[18]</w:t>
      </w:r>
      <w:r>
        <w:rPr>
          <w:rFonts w:ascii="Arial" w:hAnsi="Arial" w:cs="Tahoma"/>
          <w:szCs w:val="22"/>
        </w:rPr>
        <w:tab/>
      </w:r>
      <w:r w:rsidR="00B87EA1">
        <w:rPr>
          <w:rFonts w:ascii="Arial" w:hAnsi="Arial" w:cs="Arial"/>
        </w:rPr>
        <w:t xml:space="preserve">Moreover, it was at all times abundantly clear to C Rock that a money judgment was being sought in the alternative. Not only was it expressly informed of this fact in JLE’s notice of motion, it also specifically prayed that the alternative claim for judgment be dismissed. </w:t>
      </w:r>
    </w:p>
    <w:p w14:paraId="0A5413A9" w14:textId="0B309774" w:rsidR="009531D7"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[19]</w:t>
      </w:r>
      <w:r>
        <w:rPr>
          <w:rFonts w:ascii="Arial" w:hAnsi="Arial" w:cs="Tahoma"/>
          <w:szCs w:val="22"/>
        </w:rPr>
        <w:tab/>
      </w:r>
      <w:r w:rsidR="00A42EA0">
        <w:rPr>
          <w:rFonts w:ascii="Arial" w:hAnsi="Arial" w:cs="Arial"/>
        </w:rPr>
        <w:t>Finally, C Rock contended that JLE was non-suited because its founding affidavit did not disclose a complete cause of action for the amount claimed. I do not believe that this submission is borne out by the contents of the founding affidavit but, even if it were correct,</w:t>
      </w:r>
      <w:r w:rsidR="00726211">
        <w:rPr>
          <w:rFonts w:ascii="Arial" w:hAnsi="Arial" w:cs="Arial"/>
        </w:rPr>
        <w:t xml:space="preserve"> that does not assist C Rock. </w:t>
      </w:r>
    </w:p>
    <w:p w14:paraId="7B30E673" w14:textId="4EC58949" w:rsidR="00A42EA0"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[20]</w:t>
      </w:r>
      <w:r>
        <w:rPr>
          <w:rFonts w:ascii="Arial" w:hAnsi="Arial" w:cs="Tahoma"/>
          <w:szCs w:val="22"/>
        </w:rPr>
        <w:tab/>
      </w:r>
      <w:r w:rsidR="009531D7">
        <w:rPr>
          <w:rFonts w:ascii="Arial" w:hAnsi="Arial" w:cs="Arial"/>
        </w:rPr>
        <w:t>It is, of course, true</w:t>
      </w:r>
      <w:r w:rsidR="003E29CE">
        <w:rPr>
          <w:rFonts w:ascii="Arial" w:hAnsi="Arial" w:cs="Arial"/>
        </w:rPr>
        <w:t>,</w:t>
      </w:r>
      <w:r w:rsidR="009531D7">
        <w:rPr>
          <w:rFonts w:ascii="Arial" w:hAnsi="Arial" w:cs="Arial"/>
        </w:rPr>
        <w:t xml:space="preserve"> that an applicant </w:t>
      </w:r>
      <w:r w:rsidR="003E29CE">
        <w:rPr>
          <w:rFonts w:ascii="Arial" w:hAnsi="Arial" w:cs="Arial"/>
        </w:rPr>
        <w:t>must</w:t>
      </w:r>
      <w:r w:rsidR="009531D7">
        <w:rPr>
          <w:rFonts w:ascii="Arial" w:hAnsi="Arial" w:cs="Arial"/>
        </w:rPr>
        <w:t xml:space="preserve"> set out sufficient facts to sustain its cause of action in its founding affidavit</w:t>
      </w:r>
      <w:r w:rsidR="003E29CE">
        <w:rPr>
          <w:rFonts w:ascii="Arial" w:hAnsi="Arial" w:cs="Arial"/>
        </w:rPr>
        <w:t xml:space="preserve"> but when</w:t>
      </w:r>
      <w:r w:rsidR="00726211">
        <w:rPr>
          <w:rFonts w:ascii="Arial" w:hAnsi="Arial" w:cs="Arial"/>
        </w:rPr>
        <w:t xml:space="preserve"> faced with an incomplete cause of action, </w:t>
      </w:r>
      <w:r w:rsidR="003E29CE">
        <w:rPr>
          <w:rFonts w:ascii="Arial" w:hAnsi="Arial" w:cs="Arial"/>
        </w:rPr>
        <w:t>a respondent is entitled to raise</w:t>
      </w:r>
      <w:r w:rsidR="00726211">
        <w:rPr>
          <w:rFonts w:ascii="Arial" w:hAnsi="Arial" w:cs="Arial"/>
        </w:rPr>
        <w:t xml:space="preserve"> this as a point of law on the applicant’s papers in terms of Uniform Rule 6(5)(d)(iii). </w:t>
      </w:r>
      <w:r w:rsidR="003E29CE">
        <w:rPr>
          <w:rFonts w:ascii="Arial" w:hAnsi="Arial" w:cs="Arial"/>
        </w:rPr>
        <w:t xml:space="preserve">C Rock did not do so in this case. </w:t>
      </w:r>
      <w:r w:rsidR="00726211">
        <w:rPr>
          <w:rFonts w:ascii="Arial" w:hAnsi="Arial" w:cs="Arial"/>
        </w:rPr>
        <w:t>Instead, it delivered an answering affidavit wherein it stated pertinently that:</w:t>
      </w:r>
    </w:p>
    <w:p w14:paraId="2F0634BD" w14:textId="2C257235" w:rsidR="00726211" w:rsidRPr="009531D7" w:rsidRDefault="00726211" w:rsidP="00726211">
      <w:pPr>
        <w:spacing w:before="240" w:after="120" w:line="480" w:lineRule="auto"/>
        <w:ind w:left="1431" w:hanging="740"/>
        <w:jc w:val="both"/>
        <w:rPr>
          <w:rFonts w:ascii="Arial" w:hAnsi="Arial" w:cs="Arial"/>
          <w:i/>
          <w:iCs/>
          <w:lang w:val="en-GB"/>
        </w:rPr>
      </w:pPr>
      <w:r w:rsidRPr="009531D7">
        <w:rPr>
          <w:rFonts w:ascii="Arial" w:hAnsi="Arial" w:cs="Arial"/>
          <w:i/>
          <w:iCs/>
          <w:lang w:val="en-GB"/>
        </w:rPr>
        <w:t>“7.</w:t>
      </w:r>
      <w:r w:rsidRPr="009531D7">
        <w:rPr>
          <w:rFonts w:ascii="Arial" w:hAnsi="Arial" w:cs="Arial"/>
          <w:i/>
          <w:iCs/>
          <w:lang w:val="en-GB"/>
        </w:rPr>
        <w:tab/>
      </w:r>
      <w:r w:rsidRPr="00726211">
        <w:rPr>
          <w:rFonts w:ascii="Arial" w:hAnsi="Arial" w:cs="Arial"/>
          <w:i/>
          <w:iCs/>
          <w:lang w:val="en-GB"/>
        </w:rPr>
        <w:t>The respondent admits that it was indebted to the applicant as in</w:t>
      </w:r>
      <w:r w:rsidR="009531D7">
        <w:rPr>
          <w:rFonts w:ascii="Arial" w:hAnsi="Arial" w:cs="Arial"/>
          <w:i/>
          <w:iCs/>
          <w:lang w:val="en-GB"/>
        </w:rPr>
        <w:t xml:space="preserve"> (sic)</w:t>
      </w:r>
      <w:r w:rsidRPr="00726211">
        <w:rPr>
          <w:rFonts w:ascii="Arial" w:hAnsi="Arial" w:cs="Arial"/>
          <w:i/>
          <w:iCs/>
          <w:lang w:val="en-GB"/>
        </w:rPr>
        <w:t xml:space="preserve"> an</w:t>
      </w:r>
      <w:r w:rsidRPr="009531D7">
        <w:rPr>
          <w:rFonts w:ascii="Arial" w:hAnsi="Arial" w:cs="Arial"/>
          <w:i/>
          <w:iCs/>
          <w:lang w:val="en-GB"/>
        </w:rPr>
        <w:t xml:space="preserve"> </w:t>
      </w:r>
      <w:r w:rsidRPr="00726211">
        <w:rPr>
          <w:rFonts w:ascii="Arial" w:hAnsi="Arial" w:cs="Arial"/>
          <w:i/>
          <w:iCs/>
          <w:lang w:val="en-GB"/>
        </w:rPr>
        <w:t>amount of R394,052.37, being the amount set out in paragraph 7.15 of</w:t>
      </w:r>
      <w:r w:rsidRPr="009531D7">
        <w:rPr>
          <w:rFonts w:ascii="Arial" w:hAnsi="Arial" w:cs="Arial"/>
          <w:i/>
          <w:iCs/>
          <w:lang w:val="en-GB"/>
        </w:rPr>
        <w:t xml:space="preserve"> the founding affidavit by Diedericks…</w:t>
      </w:r>
    </w:p>
    <w:p w14:paraId="2DE81018" w14:textId="14CF988F" w:rsidR="00726211" w:rsidRPr="009531D7" w:rsidRDefault="00726211" w:rsidP="00726211">
      <w:pPr>
        <w:spacing w:before="240" w:after="120" w:line="480" w:lineRule="auto"/>
        <w:ind w:left="1431" w:hanging="740"/>
        <w:jc w:val="both"/>
        <w:rPr>
          <w:rFonts w:ascii="Arial" w:hAnsi="Arial" w:cs="Arial"/>
          <w:i/>
          <w:iCs/>
          <w:lang w:val="en-GB"/>
        </w:rPr>
      </w:pPr>
      <w:r w:rsidRPr="009531D7">
        <w:rPr>
          <w:rFonts w:ascii="Arial" w:hAnsi="Arial" w:cs="Arial"/>
          <w:i/>
          <w:iCs/>
          <w:lang w:val="en-GB"/>
        </w:rPr>
        <w:t>…</w:t>
      </w:r>
    </w:p>
    <w:p w14:paraId="33FE35CF" w14:textId="77777777" w:rsidR="009531D7" w:rsidRPr="009531D7" w:rsidRDefault="009531D7" w:rsidP="009531D7">
      <w:pPr>
        <w:spacing w:before="240" w:after="120" w:line="480" w:lineRule="auto"/>
        <w:ind w:left="1431" w:hanging="740"/>
        <w:jc w:val="both"/>
        <w:rPr>
          <w:rFonts w:ascii="Arial" w:hAnsi="Arial" w:cs="Arial"/>
          <w:i/>
          <w:iCs/>
          <w:lang w:val="en-GB"/>
        </w:rPr>
      </w:pPr>
      <w:r w:rsidRPr="009531D7">
        <w:rPr>
          <w:rFonts w:ascii="Arial" w:hAnsi="Arial" w:cs="Arial"/>
          <w:i/>
          <w:iCs/>
          <w:lang w:val="en-GB"/>
        </w:rPr>
        <w:t>17. AD PARAGRAPH 7</w:t>
      </w:r>
    </w:p>
    <w:p w14:paraId="089D0820" w14:textId="2880D251" w:rsidR="009531D7" w:rsidRPr="009531D7" w:rsidRDefault="009531D7" w:rsidP="009531D7">
      <w:pPr>
        <w:spacing w:before="240" w:after="120" w:line="480" w:lineRule="auto"/>
        <w:ind w:left="1431" w:hanging="740"/>
        <w:jc w:val="both"/>
        <w:rPr>
          <w:rFonts w:ascii="Arial" w:hAnsi="Arial" w:cs="Arial"/>
          <w:i/>
          <w:iCs/>
          <w:lang w:val="en-GB"/>
        </w:rPr>
      </w:pPr>
      <w:r w:rsidRPr="009531D7">
        <w:rPr>
          <w:rFonts w:ascii="Arial" w:hAnsi="Arial" w:cs="Arial"/>
          <w:i/>
          <w:iCs/>
          <w:lang w:val="en-GB"/>
        </w:rPr>
        <w:t>10.1</w:t>
      </w:r>
      <w:r w:rsidRPr="009531D7">
        <w:rPr>
          <w:rFonts w:ascii="Arial" w:hAnsi="Arial" w:cs="Arial"/>
          <w:i/>
          <w:iCs/>
          <w:lang w:val="en-GB"/>
        </w:rPr>
        <w:tab/>
        <w:t>I refer in this regard to what is set out above, as a more accurate recordal of the salient background facts.</w:t>
      </w:r>
    </w:p>
    <w:p w14:paraId="7B1C743F" w14:textId="02C2B16F" w:rsidR="00726211" w:rsidRPr="009531D7" w:rsidRDefault="009531D7" w:rsidP="009531D7">
      <w:pPr>
        <w:spacing w:before="240" w:after="120" w:line="480" w:lineRule="auto"/>
        <w:ind w:left="1431" w:hanging="740"/>
        <w:jc w:val="both"/>
        <w:rPr>
          <w:rFonts w:ascii="Arial" w:hAnsi="Arial" w:cs="Arial"/>
          <w:i/>
          <w:iCs/>
        </w:rPr>
      </w:pPr>
      <w:r w:rsidRPr="009531D7">
        <w:rPr>
          <w:rFonts w:ascii="Arial" w:hAnsi="Arial" w:cs="Arial"/>
          <w:i/>
          <w:iCs/>
          <w:lang w:val="en-GB"/>
        </w:rPr>
        <w:lastRenderedPageBreak/>
        <w:t xml:space="preserve">10.2 </w:t>
      </w:r>
      <w:r w:rsidRPr="009531D7">
        <w:rPr>
          <w:rFonts w:ascii="Arial" w:hAnsi="Arial" w:cs="Arial"/>
          <w:i/>
          <w:iCs/>
          <w:lang w:val="en-GB"/>
        </w:rPr>
        <w:tab/>
        <w:t xml:space="preserve">While the facts set out in this paragraphs </w:t>
      </w:r>
      <w:r>
        <w:rPr>
          <w:rFonts w:ascii="Arial" w:hAnsi="Arial" w:cs="Arial"/>
          <w:i/>
          <w:iCs/>
          <w:lang w:val="en-GB"/>
        </w:rPr>
        <w:t xml:space="preserve">(sic) </w:t>
      </w:r>
      <w:r w:rsidRPr="009531D7">
        <w:rPr>
          <w:rFonts w:ascii="Arial" w:hAnsi="Arial" w:cs="Arial"/>
          <w:i/>
          <w:iCs/>
          <w:lang w:val="en-GB"/>
        </w:rPr>
        <w:t>are in some instances not correct, I do not dispute that an amount of R394,052.37 was due and payable by the respondent to the applicant during the first part of 2018, before the payments to the applicant were effected as set out in paragraph 8 above.”</w:t>
      </w:r>
    </w:p>
    <w:p w14:paraId="251C5779" w14:textId="66F48CAC" w:rsidR="00726211"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[21]</w:t>
      </w:r>
      <w:r>
        <w:rPr>
          <w:rFonts w:ascii="Arial" w:hAnsi="Arial" w:cs="Tahoma"/>
          <w:szCs w:val="22"/>
        </w:rPr>
        <w:tab/>
      </w:r>
      <w:r w:rsidR="009531D7">
        <w:rPr>
          <w:rFonts w:ascii="Arial" w:hAnsi="Arial" w:cs="Arial"/>
        </w:rPr>
        <w:t xml:space="preserve">Therefore, even if JLE’s cause of action was incomplete, the existence of the indebtedness (but for the defence of payment) – and, thus, the elements of the cause of action giving rise to such indebtedness – were admitted by C Rock in the answering affidavit. </w:t>
      </w:r>
      <w:r w:rsidR="003E29CE">
        <w:rPr>
          <w:rFonts w:ascii="Arial" w:hAnsi="Arial" w:cs="Arial"/>
        </w:rPr>
        <w:t xml:space="preserve">These admissions in the answering affidavit cannot be ignored. </w:t>
      </w:r>
    </w:p>
    <w:p w14:paraId="259BCB68" w14:textId="22886E19" w:rsidR="00956E90" w:rsidRDefault="00E72C0B" w:rsidP="00E72C0B">
      <w:pPr>
        <w:tabs>
          <w:tab w:val="left" w:pos="691"/>
        </w:tabs>
        <w:spacing w:before="240" w:after="120" w:line="480" w:lineRule="auto"/>
        <w:ind w:left="691" w:hanging="691"/>
        <w:jc w:val="both"/>
        <w:rPr>
          <w:rFonts w:ascii="Arial" w:hAnsi="Arial" w:cs="Arial"/>
        </w:rPr>
      </w:pPr>
      <w:r>
        <w:rPr>
          <w:rFonts w:ascii="Arial" w:hAnsi="Arial" w:cs="Tahoma"/>
          <w:szCs w:val="22"/>
        </w:rPr>
        <w:t>[22]</w:t>
      </w:r>
      <w:r>
        <w:rPr>
          <w:rFonts w:ascii="Arial" w:hAnsi="Arial" w:cs="Tahoma"/>
          <w:szCs w:val="22"/>
        </w:rPr>
        <w:tab/>
      </w:r>
      <w:r w:rsidR="00F3331D">
        <w:rPr>
          <w:rFonts w:ascii="Arial" w:hAnsi="Arial" w:cs="Arial"/>
        </w:rPr>
        <w:t xml:space="preserve">For all of these reasons, I am of the view that there is no reasonable prospect of another court coming to a different conclusion. </w:t>
      </w:r>
    </w:p>
    <w:p w14:paraId="14FF9FA7" w14:textId="663536E9" w:rsidR="006321C1" w:rsidRPr="00F3331D" w:rsidRDefault="00E72C0B" w:rsidP="00E72C0B">
      <w:pPr>
        <w:tabs>
          <w:tab w:val="left" w:pos="691"/>
        </w:tabs>
        <w:spacing w:before="240" w:after="120" w:line="480" w:lineRule="auto"/>
        <w:ind w:left="691" w:hanging="691"/>
        <w:jc w:val="both"/>
        <w:rPr>
          <w:rFonts w:ascii="Arial" w:hAnsi="Arial" w:cs="Arial"/>
        </w:rPr>
      </w:pPr>
      <w:r w:rsidRPr="00F3331D">
        <w:rPr>
          <w:rFonts w:ascii="Arial" w:hAnsi="Arial" w:cs="Tahoma"/>
          <w:szCs w:val="22"/>
        </w:rPr>
        <w:t>[23]</w:t>
      </w:r>
      <w:r w:rsidRPr="00F3331D">
        <w:rPr>
          <w:rFonts w:ascii="Arial" w:hAnsi="Arial" w:cs="Tahoma"/>
          <w:szCs w:val="22"/>
        </w:rPr>
        <w:tab/>
      </w:r>
      <w:r w:rsidR="00F3331D">
        <w:rPr>
          <w:rFonts w:ascii="Arial" w:hAnsi="Arial" w:cs="Arial"/>
        </w:rPr>
        <w:t xml:space="preserve">In the circumstances, the application for leave to appeal is dismissed with costs. </w:t>
      </w:r>
    </w:p>
    <w:p w14:paraId="2E005A35" w14:textId="77777777" w:rsidR="006321C1" w:rsidRPr="005B127B" w:rsidRDefault="006321C1" w:rsidP="006321C1">
      <w:pPr>
        <w:spacing w:before="120" w:after="120"/>
        <w:rPr>
          <w:rFonts w:ascii="Arial" w:hAnsi="Arial" w:cs="Arial"/>
        </w:rPr>
      </w:pPr>
    </w:p>
    <w:p w14:paraId="672E2DB7" w14:textId="77777777" w:rsidR="00E63E65" w:rsidRDefault="00E63E65" w:rsidP="006321C1">
      <w:pPr>
        <w:spacing w:before="120" w:after="120"/>
        <w:jc w:val="right"/>
        <w:rPr>
          <w:rFonts w:ascii="Arial" w:hAnsi="Arial" w:cs="Arial"/>
        </w:rPr>
      </w:pPr>
    </w:p>
    <w:p w14:paraId="238FBC52" w14:textId="77777777" w:rsidR="00E63E65" w:rsidRDefault="00E63E65" w:rsidP="006321C1">
      <w:pPr>
        <w:spacing w:before="120" w:after="120"/>
        <w:jc w:val="right"/>
        <w:rPr>
          <w:rFonts w:ascii="Arial" w:hAnsi="Arial" w:cs="Arial"/>
        </w:rPr>
      </w:pPr>
    </w:p>
    <w:p w14:paraId="2D9C9635" w14:textId="719CB319" w:rsidR="006321C1" w:rsidRPr="005B127B" w:rsidRDefault="006321C1" w:rsidP="006321C1">
      <w:pPr>
        <w:spacing w:before="120" w:after="120"/>
        <w:jc w:val="right"/>
        <w:rPr>
          <w:rFonts w:ascii="Arial" w:hAnsi="Arial" w:cs="Arial"/>
        </w:rPr>
      </w:pPr>
      <w:r w:rsidRPr="005B127B">
        <w:rPr>
          <w:rFonts w:ascii="Arial" w:hAnsi="Arial" w:cs="Arial"/>
        </w:rPr>
        <w:t>_________________________</w:t>
      </w:r>
    </w:p>
    <w:p w14:paraId="6B3B4ADA" w14:textId="77777777" w:rsidR="006321C1" w:rsidRPr="005B127B" w:rsidRDefault="006321C1" w:rsidP="006321C1">
      <w:pPr>
        <w:spacing w:before="120" w:after="120"/>
        <w:jc w:val="right"/>
        <w:rPr>
          <w:rFonts w:ascii="Arial" w:hAnsi="Arial" w:cs="Arial"/>
          <w:b/>
          <w:bCs/>
        </w:rPr>
      </w:pPr>
      <w:r w:rsidRPr="005B127B">
        <w:rPr>
          <w:rFonts w:ascii="Arial" w:hAnsi="Arial" w:cs="Arial"/>
          <w:b/>
          <w:bCs/>
        </w:rPr>
        <w:t xml:space="preserve">D MAHON </w:t>
      </w:r>
    </w:p>
    <w:p w14:paraId="5CB37C5A" w14:textId="77777777" w:rsidR="006321C1" w:rsidRPr="005B127B" w:rsidRDefault="006321C1" w:rsidP="006321C1">
      <w:pPr>
        <w:spacing w:before="120" w:after="120"/>
        <w:jc w:val="right"/>
        <w:rPr>
          <w:rFonts w:ascii="Arial" w:hAnsi="Arial" w:cs="Arial"/>
        </w:rPr>
      </w:pPr>
      <w:r w:rsidRPr="005B127B">
        <w:rPr>
          <w:rFonts w:ascii="Arial" w:hAnsi="Arial" w:cs="Arial"/>
        </w:rPr>
        <w:t>Acting Judge of the High Court</w:t>
      </w:r>
    </w:p>
    <w:p w14:paraId="6CB6612F" w14:textId="77777777" w:rsidR="006321C1" w:rsidRPr="005B127B" w:rsidRDefault="006321C1" w:rsidP="006321C1">
      <w:pPr>
        <w:spacing w:before="120" w:after="120"/>
        <w:jc w:val="right"/>
        <w:rPr>
          <w:rFonts w:ascii="Arial" w:hAnsi="Arial" w:cs="Arial"/>
        </w:rPr>
      </w:pPr>
      <w:r w:rsidRPr="005B127B">
        <w:rPr>
          <w:rFonts w:ascii="Arial" w:hAnsi="Arial" w:cs="Arial"/>
        </w:rPr>
        <w:t xml:space="preserve">Johannesburg </w:t>
      </w:r>
    </w:p>
    <w:p w14:paraId="2BBB35C5" w14:textId="77777777" w:rsidR="006321C1" w:rsidRPr="005B127B" w:rsidRDefault="006321C1" w:rsidP="006321C1">
      <w:pPr>
        <w:spacing w:before="240" w:after="120" w:line="360" w:lineRule="auto"/>
        <w:jc w:val="both"/>
        <w:rPr>
          <w:rFonts w:ascii="Arial" w:hAnsi="Arial" w:cs="Arial"/>
        </w:rPr>
      </w:pPr>
    </w:p>
    <w:p w14:paraId="480A9D68" w14:textId="77777777" w:rsidR="006321C1" w:rsidRPr="005B127B" w:rsidRDefault="006321C1" w:rsidP="006321C1">
      <w:pPr>
        <w:spacing w:before="120" w:after="120" w:line="360" w:lineRule="auto"/>
        <w:jc w:val="both"/>
        <w:rPr>
          <w:rFonts w:ascii="Arial" w:hAnsi="Arial" w:cs="Arial"/>
        </w:rPr>
      </w:pPr>
      <w:r w:rsidRPr="005B127B">
        <w:rPr>
          <w:rFonts w:ascii="Arial" w:hAnsi="Arial" w:cs="Arial"/>
          <w:b/>
          <w:bCs/>
        </w:rPr>
        <w:t>APPEARANCES</w:t>
      </w:r>
      <w:r w:rsidRPr="005B127B">
        <w:rPr>
          <w:rFonts w:ascii="Arial" w:hAnsi="Arial" w:cs="Arial"/>
        </w:rPr>
        <w:t xml:space="preserve">: </w:t>
      </w:r>
    </w:p>
    <w:p w14:paraId="727FCCBE" w14:textId="3B24887E" w:rsidR="00850F83" w:rsidRDefault="006321C1" w:rsidP="006321C1">
      <w:pPr>
        <w:spacing w:before="120" w:after="120" w:line="360" w:lineRule="auto"/>
        <w:jc w:val="both"/>
        <w:rPr>
          <w:rFonts w:ascii="Arial" w:hAnsi="Arial" w:cs="Arial"/>
        </w:rPr>
      </w:pPr>
      <w:r w:rsidRPr="005B127B">
        <w:rPr>
          <w:rFonts w:ascii="Arial" w:hAnsi="Arial" w:cs="Arial"/>
        </w:rPr>
        <w:t>For the applicant</w:t>
      </w:r>
      <w:r w:rsidR="00850F83">
        <w:rPr>
          <w:rFonts w:ascii="Arial" w:hAnsi="Arial" w:cs="Arial"/>
        </w:rPr>
        <w:t xml:space="preserve"> (respondent in the Application for Leave to Appeal)</w:t>
      </w:r>
      <w:r w:rsidRPr="005B127B">
        <w:rPr>
          <w:rFonts w:ascii="Arial" w:hAnsi="Arial" w:cs="Arial"/>
        </w:rPr>
        <w:t xml:space="preserve">: </w:t>
      </w:r>
      <w:r w:rsidRPr="005B127B">
        <w:rPr>
          <w:rFonts w:ascii="Arial" w:hAnsi="Arial" w:cs="Arial"/>
        </w:rPr>
        <w:tab/>
      </w:r>
    </w:p>
    <w:p w14:paraId="5A458CA0" w14:textId="2F8A94EB" w:rsidR="006321C1" w:rsidRPr="005B127B" w:rsidRDefault="006321C1" w:rsidP="006321C1">
      <w:pPr>
        <w:spacing w:before="120" w:after="120" w:line="360" w:lineRule="auto"/>
        <w:jc w:val="both"/>
        <w:rPr>
          <w:rFonts w:ascii="Arial" w:hAnsi="Arial" w:cs="Arial"/>
        </w:rPr>
      </w:pPr>
      <w:r w:rsidRPr="005B127B">
        <w:rPr>
          <w:rFonts w:ascii="Arial" w:hAnsi="Arial" w:cs="Arial"/>
        </w:rPr>
        <w:t xml:space="preserve">Adv </w:t>
      </w:r>
      <w:r w:rsidR="000D3FD0">
        <w:rPr>
          <w:rFonts w:ascii="Arial" w:hAnsi="Arial" w:cs="Arial"/>
        </w:rPr>
        <w:t>A P J Els</w:t>
      </w:r>
    </w:p>
    <w:p w14:paraId="3930BAE7" w14:textId="0D509357" w:rsidR="006321C1" w:rsidRPr="005B127B" w:rsidRDefault="006321C1" w:rsidP="006321C1">
      <w:pPr>
        <w:spacing w:before="120" w:after="120" w:line="360" w:lineRule="auto"/>
        <w:jc w:val="both"/>
        <w:rPr>
          <w:rFonts w:ascii="Arial" w:hAnsi="Arial" w:cs="Arial"/>
        </w:rPr>
      </w:pPr>
      <w:r w:rsidRPr="005B127B">
        <w:rPr>
          <w:rFonts w:ascii="Arial" w:hAnsi="Arial" w:cs="Arial"/>
        </w:rPr>
        <w:t xml:space="preserve">Instructed by: </w:t>
      </w:r>
      <w:r w:rsidRPr="005B127B">
        <w:rPr>
          <w:rFonts w:ascii="Arial" w:hAnsi="Arial" w:cs="Arial"/>
        </w:rPr>
        <w:tab/>
      </w:r>
      <w:r w:rsidR="000D3FD0">
        <w:rPr>
          <w:rFonts w:ascii="Arial" w:hAnsi="Arial" w:cs="Arial"/>
        </w:rPr>
        <w:t>Albert Hibbert Attorneys</w:t>
      </w:r>
    </w:p>
    <w:p w14:paraId="0AEE966F" w14:textId="77777777" w:rsidR="00850F83" w:rsidRDefault="006321C1" w:rsidP="006321C1">
      <w:pPr>
        <w:spacing w:before="120" w:after="120" w:line="360" w:lineRule="auto"/>
        <w:jc w:val="both"/>
        <w:rPr>
          <w:rFonts w:ascii="Arial" w:hAnsi="Arial" w:cs="Arial"/>
        </w:rPr>
      </w:pPr>
      <w:r w:rsidRPr="005B127B">
        <w:rPr>
          <w:rFonts w:ascii="Arial" w:hAnsi="Arial" w:cs="Arial"/>
        </w:rPr>
        <w:t>For the respondent</w:t>
      </w:r>
      <w:r w:rsidR="00850F83">
        <w:rPr>
          <w:rFonts w:ascii="Arial" w:hAnsi="Arial" w:cs="Arial"/>
        </w:rPr>
        <w:t xml:space="preserve"> (applicant in the Application for Leave to Appeal)</w:t>
      </w:r>
      <w:r w:rsidRPr="005B127B">
        <w:rPr>
          <w:rFonts w:ascii="Arial" w:hAnsi="Arial" w:cs="Arial"/>
        </w:rPr>
        <w:t>:</w:t>
      </w:r>
      <w:r w:rsidRPr="005B127B">
        <w:rPr>
          <w:rFonts w:ascii="Arial" w:hAnsi="Arial" w:cs="Arial"/>
        </w:rPr>
        <w:tab/>
      </w:r>
    </w:p>
    <w:p w14:paraId="1D7F1586" w14:textId="03951FB8" w:rsidR="006321C1" w:rsidRPr="005B127B" w:rsidRDefault="006321C1" w:rsidP="006321C1">
      <w:pPr>
        <w:spacing w:before="120" w:after="120" w:line="360" w:lineRule="auto"/>
        <w:jc w:val="both"/>
        <w:rPr>
          <w:rFonts w:ascii="Arial" w:hAnsi="Arial" w:cs="Arial"/>
        </w:rPr>
      </w:pPr>
      <w:r w:rsidRPr="005B127B">
        <w:rPr>
          <w:rFonts w:ascii="Arial" w:hAnsi="Arial" w:cs="Arial"/>
        </w:rPr>
        <w:lastRenderedPageBreak/>
        <w:t xml:space="preserve">Adv </w:t>
      </w:r>
      <w:r w:rsidR="000D3FD0">
        <w:rPr>
          <w:rFonts w:ascii="Arial" w:hAnsi="Arial" w:cs="Arial"/>
        </w:rPr>
        <w:t>C J C Nel</w:t>
      </w:r>
    </w:p>
    <w:p w14:paraId="2F6974D8" w14:textId="1AE8471D" w:rsidR="006321C1" w:rsidRPr="005B127B" w:rsidRDefault="006321C1" w:rsidP="006321C1">
      <w:pPr>
        <w:spacing w:before="120" w:after="120" w:line="360" w:lineRule="auto"/>
        <w:jc w:val="both"/>
        <w:rPr>
          <w:rFonts w:ascii="Arial" w:hAnsi="Arial" w:cs="Arial"/>
        </w:rPr>
      </w:pPr>
      <w:r w:rsidRPr="005B127B">
        <w:rPr>
          <w:rFonts w:ascii="Arial" w:hAnsi="Arial" w:cs="Arial"/>
        </w:rPr>
        <w:t xml:space="preserve">Instructed by: </w:t>
      </w:r>
      <w:r w:rsidRPr="005B127B">
        <w:rPr>
          <w:rFonts w:ascii="Arial" w:hAnsi="Arial" w:cs="Arial"/>
        </w:rPr>
        <w:tab/>
      </w:r>
      <w:r w:rsidR="000D3FD0">
        <w:rPr>
          <w:rFonts w:ascii="Arial" w:hAnsi="Arial" w:cs="Arial"/>
        </w:rPr>
        <w:t>J J Badenhorst &amp; Associated Attorneys Inc.</w:t>
      </w:r>
      <w:r w:rsidRPr="005B127B">
        <w:rPr>
          <w:rFonts w:ascii="Arial" w:hAnsi="Arial" w:cs="Arial"/>
        </w:rPr>
        <w:t xml:space="preserve"> </w:t>
      </w:r>
    </w:p>
    <w:p w14:paraId="7BB46106" w14:textId="0B5E264F" w:rsidR="006321C1" w:rsidRPr="005B127B" w:rsidRDefault="006321C1" w:rsidP="006321C1">
      <w:pPr>
        <w:spacing w:before="120" w:after="120" w:line="360" w:lineRule="auto"/>
        <w:jc w:val="both"/>
        <w:rPr>
          <w:rFonts w:ascii="Arial" w:hAnsi="Arial" w:cs="Arial"/>
        </w:rPr>
      </w:pPr>
      <w:r w:rsidRPr="005B127B">
        <w:rPr>
          <w:rFonts w:ascii="Arial" w:hAnsi="Arial" w:cs="Arial"/>
        </w:rPr>
        <w:t>Date of hearing:</w:t>
      </w:r>
      <w:r w:rsidRPr="005B127B">
        <w:rPr>
          <w:rFonts w:ascii="Arial" w:hAnsi="Arial" w:cs="Arial"/>
        </w:rPr>
        <w:tab/>
      </w:r>
      <w:r w:rsidR="00286568">
        <w:rPr>
          <w:rFonts w:ascii="Arial" w:hAnsi="Arial" w:cs="Arial"/>
        </w:rPr>
        <w:t>26 November</w:t>
      </w:r>
      <w:r w:rsidRPr="005B127B">
        <w:rPr>
          <w:rFonts w:ascii="Arial" w:hAnsi="Arial" w:cs="Arial"/>
        </w:rPr>
        <w:t xml:space="preserve"> 2021 </w:t>
      </w:r>
    </w:p>
    <w:p w14:paraId="640CE72A" w14:textId="6B109881" w:rsidR="00700AB4" w:rsidRPr="00067BD2" w:rsidRDefault="006321C1" w:rsidP="00A01B61">
      <w:pPr>
        <w:spacing w:before="120" w:after="120" w:line="360" w:lineRule="auto"/>
        <w:jc w:val="both"/>
        <w:rPr>
          <w:rFonts w:ascii="Arial" w:hAnsi="Arial" w:cs="Arial"/>
          <w:lang w:val="en-GB"/>
        </w:rPr>
      </w:pPr>
      <w:r w:rsidRPr="005B127B">
        <w:rPr>
          <w:rFonts w:ascii="Arial" w:hAnsi="Arial" w:cs="Arial"/>
        </w:rPr>
        <w:t xml:space="preserve">Date of judgment: </w:t>
      </w:r>
      <w:r w:rsidRPr="005B127B">
        <w:rPr>
          <w:rFonts w:ascii="Arial" w:hAnsi="Arial" w:cs="Arial"/>
        </w:rPr>
        <w:tab/>
      </w:r>
      <w:r w:rsidR="00286568">
        <w:rPr>
          <w:rFonts w:ascii="Arial" w:hAnsi="Arial" w:cs="Arial"/>
        </w:rPr>
        <w:t xml:space="preserve">1 December </w:t>
      </w:r>
      <w:r w:rsidRPr="005B127B">
        <w:rPr>
          <w:rFonts w:ascii="Arial" w:hAnsi="Arial" w:cs="Arial"/>
        </w:rPr>
        <w:t xml:space="preserve">2021  </w:t>
      </w:r>
    </w:p>
    <w:sectPr w:rsidR="00700AB4" w:rsidRPr="00067BD2" w:rsidSect="002B05A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C80F" w14:textId="77777777" w:rsidR="00DE047B" w:rsidRDefault="00DE047B" w:rsidP="003B22B4">
      <w:r>
        <w:separator/>
      </w:r>
    </w:p>
  </w:endnote>
  <w:endnote w:type="continuationSeparator" w:id="0">
    <w:p w14:paraId="102CBD14" w14:textId="77777777" w:rsidR="00DE047B" w:rsidRDefault="00DE047B"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39095" w14:textId="77777777" w:rsidR="00DE047B" w:rsidRDefault="00DE047B" w:rsidP="003B22B4">
      <w:r>
        <w:separator/>
      </w:r>
    </w:p>
  </w:footnote>
  <w:footnote w:type="continuationSeparator" w:id="0">
    <w:p w14:paraId="3935E95E" w14:textId="77777777" w:rsidR="00DE047B" w:rsidRDefault="00DE047B" w:rsidP="003B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99996785"/>
      <w:docPartObj>
        <w:docPartGallery w:val="Page Numbers (Top of Page)"/>
        <w:docPartUnique/>
      </w:docPartObj>
    </w:sdtPr>
    <w:sdtEndPr>
      <w:rPr>
        <w:noProof/>
      </w:rPr>
    </w:sdtEndPr>
    <w:sdtContent>
      <w:p w14:paraId="3B7149F0" w14:textId="69E8A44E" w:rsidR="002C35D7" w:rsidRPr="002E7A15" w:rsidRDefault="002C35D7">
        <w:pPr>
          <w:pStyle w:val="Header"/>
          <w:jc w:val="right"/>
          <w:rPr>
            <w:sz w:val="20"/>
            <w:szCs w:val="20"/>
          </w:rPr>
        </w:pPr>
        <w:r w:rsidRPr="002E7A15">
          <w:rPr>
            <w:sz w:val="20"/>
            <w:szCs w:val="20"/>
          </w:rPr>
          <w:fldChar w:fldCharType="begin"/>
        </w:r>
        <w:r w:rsidRPr="002E7A15">
          <w:rPr>
            <w:sz w:val="20"/>
            <w:szCs w:val="20"/>
          </w:rPr>
          <w:instrText xml:space="preserve"> PAGE   \* MERGEFORMAT </w:instrText>
        </w:r>
        <w:r w:rsidRPr="002E7A15">
          <w:rPr>
            <w:sz w:val="20"/>
            <w:szCs w:val="20"/>
          </w:rPr>
          <w:fldChar w:fldCharType="separate"/>
        </w:r>
        <w:r w:rsidR="00E72C0B">
          <w:rPr>
            <w:noProof/>
            <w:sz w:val="20"/>
            <w:szCs w:val="20"/>
          </w:rPr>
          <w:t>2</w:t>
        </w:r>
        <w:r w:rsidRPr="002E7A15">
          <w:rPr>
            <w:noProof/>
            <w:sz w:val="20"/>
            <w:szCs w:val="20"/>
          </w:rPr>
          <w:fldChar w:fldCharType="end"/>
        </w:r>
      </w:p>
    </w:sdtContent>
  </w:sdt>
  <w:p w14:paraId="042E4C11" w14:textId="77777777" w:rsidR="002C35D7" w:rsidRDefault="002C3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5">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6">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8"/>
  </w:num>
  <w:num w:numId="5">
    <w:abstractNumId w:val="0"/>
  </w:num>
  <w:num w:numId="6">
    <w:abstractNumId w:val="3"/>
  </w:num>
  <w:num w:numId="7">
    <w:abstractNumId w:val="10"/>
  </w:num>
  <w:num w:numId="8">
    <w:abstractNumId w:val="9"/>
  </w:num>
  <w:num w:numId="9">
    <w:abstractNumId w:val="7"/>
  </w:num>
  <w:num w:numId="10">
    <w:abstractNumId w:val="13"/>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5"/>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E"/>
    <w:rsid w:val="00010FF7"/>
    <w:rsid w:val="0001444E"/>
    <w:rsid w:val="00014D11"/>
    <w:rsid w:val="00030D35"/>
    <w:rsid w:val="00032160"/>
    <w:rsid w:val="00037822"/>
    <w:rsid w:val="00041637"/>
    <w:rsid w:val="00047737"/>
    <w:rsid w:val="0005385E"/>
    <w:rsid w:val="00066347"/>
    <w:rsid w:val="00067BD2"/>
    <w:rsid w:val="00071F17"/>
    <w:rsid w:val="00074F7C"/>
    <w:rsid w:val="00084D54"/>
    <w:rsid w:val="000912EA"/>
    <w:rsid w:val="00092362"/>
    <w:rsid w:val="00093A8F"/>
    <w:rsid w:val="0009480F"/>
    <w:rsid w:val="000A2F78"/>
    <w:rsid w:val="000A44D9"/>
    <w:rsid w:val="000B4001"/>
    <w:rsid w:val="000C15EE"/>
    <w:rsid w:val="000D3FD0"/>
    <w:rsid w:val="000D5767"/>
    <w:rsid w:val="000D5D15"/>
    <w:rsid w:val="000E3299"/>
    <w:rsid w:val="000E61BB"/>
    <w:rsid w:val="00100D36"/>
    <w:rsid w:val="00105D30"/>
    <w:rsid w:val="0010792F"/>
    <w:rsid w:val="001123AB"/>
    <w:rsid w:val="00113B15"/>
    <w:rsid w:val="00114618"/>
    <w:rsid w:val="00122E90"/>
    <w:rsid w:val="00127586"/>
    <w:rsid w:val="00134935"/>
    <w:rsid w:val="00142067"/>
    <w:rsid w:val="00142715"/>
    <w:rsid w:val="00146156"/>
    <w:rsid w:val="00155B79"/>
    <w:rsid w:val="001618DF"/>
    <w:rsid w:val="00165211"/>
    <w:rsid w:val="00180F60"/>
    <w:rsid w:val="001860C9"/>
    <w:rsid w:val="00186CF8"/>
    <w:rsid w:val="001B0564"/>
    <w:rsid w:val="001B47F4"/>
    <w:rsid w:val="001C1A6D"/>
    <w:rsid w:val="001C280F"/>
    <w:rsid w:val="001D6259"/>
    <w:rsid w:val="001E686A"/>
    <w:rsid w:val="001E7798"/>
    <w:rsid w:val="001F7201"/>
    <w:rsid w:val="00233E97"/>
    <w:rsid w:val="00235C05"/>
    <w:rsid w:val="002458DA"/>
    <w:rsid w:val="00262F43"/>
    <w:rsid w:val="00265B56"/>
    <w:rsid w:val="002672A0"/>
    <w:rsid w:val="00270F2A"/>
    <w:rsid w:val="0027192C"/>
    <w:rsid w:val="00271BFA"/>
    <w:rsid w:val="00274E46"/>
    <w:rsid w:val="00282E96"/>
    <w:rsid w:val="00286568"/>
    <w:rsid w:val="002979F6"/>
    <w:rsid w:val="002A47CD"/>
    <w:rsid w:val="002B05AD"/>
    <w:rsid w:val="002B33A1"/>
    <w:rsid w:val="002B6B7C"/>
    <w:rsid w:val="002B6C8A"/>
    <w:rsid w:val="002B7885"/>
    <w:rsid w:val="002B7D4C"/>
    <w:rsid w:val="002C35D7"/>
    <w:rsid w:val="002D2612"/>
    <w:rsid w:val="002D3FAB"/>
    <w:rsid w:val="002D4E94"/>
    <w:rsid w:val="002D53D0"/>
    <w:rsid w:val="002D6070"/>
    <w:rsid w:val="002E08DD"/>
    <w:rsid w:val="002E1E31"/>
    <w:rsid w:val="002E5A0A"/>
    <w:rsid w:val="002E7A15"/>
    <w:rsid w:val="002F266D"/>
    <w:rsid w:val="003042C0"/>
    <w:rsid w:val="0032166C"/>
    <w:rsid w:val="00323F58"/>
    <w:rsid w:val="0033095F"/>
    <w:rsid w:val="0033151A"/>
    <w:rsid w:val="00331663"/>
    <w:rsid w:val="00364F7E"/>
    <w:rsid w:val="003711D8"/>
    <w:rsid w:val="00372EE3"/>
    <w:rsid w:val="0038135A"/>
    <w:rsid w:val="00382F46"/>
    <w:rsid w:val="00385653"/>
    <w:rsid w:val="003B036D"/>
    <w:rsid w:val="003B1884"/>
    <w:rsid w:val="003B22B4"/>
    <w:rsid w:val="003B5111"/>
    <w:rsid w:val="003C0030"/>
    <w:rsid w:val="003C3040"/>
    <w:rsid w:val="003C41E4"/>
    <w:rsid w:val="003C77CA"/>
    <w:rsid w:val="003D32EC"/>
    <w:rsid w:val="003E0472"/>
    <w:rsid w:val="003E1825"/>
    <w:rsid w:val="003E29CE"/>
    <w:rsid w:val="003E305F"/>
    <w:rsid w:val="003E604B"/>
    <w:rsid w:val="00405AF0"/>
    <w:rsid w:val="00412A04"/>
    <w:rsid w:val="00412E7F"/>
    <w:rsid w:val="0041621F"/>
    <w:rsid w:val="004248A5"/>
    <w:rsid w:val="00424B6B"/>
    <w:rsid w:val="004277E9"/>
    <w:rsid w:val="004517B8"/>
    <w:rsid w:val="004562B3"/>
    <w:rsid w:val="0046079B"/>
    <w:rsid w:val="00493168"/>
    <w:rsid w:val="004938AC"/>
    <w:rsid w:val="004961D0"/>
    <w:rsid w:val="004A52C1"/>
    <w:rsid w:val="004A6BAE"/>
    <w:rsid w:val="004C0FF7"/>
    <w:rsid w:val="004C6A2D"/>
    <w:rsid w:val="004D0336"/>
    <w:rsid w:val="004D289C"/>
    <w:rsid w:val="004E3DD7"/>
    <w:rsid w:val="004F0E8D"/>
    <w:rsid w:val="004F2FBF"/>
    <w:rsid w:val="004F7083"/>
    <w:rsid w:val="004F76F7"/>
    <w:rsid w:val="0050056E"/>
    <w:rsid w:val="00503D9D"/>
    <w:rsid w:val="005102C1"/>
    <w:rsid w:val="005229B9"/>
    <w:rsid w:val="0052587E"/>
    <w:rsid w:val="005268B4"/>
    <w:rsid w:val="005415E9"/>
    <w:rsid w:val="005459D6"/>
    <w:rsid w:val="00552B12"/>
    <w:rsid w:val="0055745D"/>
    <w:rsid w:val="0056072A"/>
    <w:rsid w:val="00561CFC"/>
    <w:rsid w:val="005660CD"/>
    <w:rsid w:val="0057225D"/>
    <w:rsid w:val="00577989"/>
    <w:rsid w:val="005801CD"/>
    <w:rsid w:val="005833B4"/>
    <w:rsid w:val="00583503"/>
    <w:rsid w:val="00585DBD"/>
    <w:rsid w:val="00591757"/>
    <w:rsid w:val="005950C5"/>
    <w:rsid w:val="005B061C"/>
    <w:rsid w:val="005B16C9"/>
    <w:rsid w:val="005B599A"/>
    <w:rsid w:val="005C03D7"/>
    <w:rsid w:val="005D4FF4"/>
    <w:rsid w:val="005D7331"/>
    <w:rsid w:val="005E1041"/>
    <w:rsid w:val="005E2271"/>
    <w:rsid w:val="005E44B7"/>
    <w:rsid w:val="005F2C9B"/>
    <w:rsid w:val="005F4528"/>
    <w:rsid w:val="005F4CCE"/>
    <w:rsid w:val="006039A4"/>
    <w:rsid w:val="006067AA"/>
    <w:rsid w:val="006072C9"/>
    <w:rsid w:val="006150F6"/>
    <w:rsid w:val="00625035"/>
    <w:rsid w:val="006310B1"/>
    <w:rsid w:val="006321C1"/>
    <w:rsid w:val="00633276"/>
    <w:rsid w:val="006333BC"/>
    <w:rsid w:val="00635411"/>
    <w:rsid w:val="00645E29"/>
    <w:rsid w:val="00651224"/>
    <w:rsid w:val="0066769D"/>
    <w:rsid w:val="006714AA"/>
    <w:rsid w:val="0067177B"/>
    <w:rsid w:val="00684366"/>
    <w:rsid w:val="0068548F"/>
    <w:rsid w:val="00687C88"/>
    <w:rsid w:val="00690533"/>
    <w:rsid w:val="006905BC"/>
    <w:rsid w:val="00694C71"/>
    <w:rsid w:val="00695BA9"/>
    <w:rsid w:val="006970FF"/>
    <w:rsid w:val="006A3ADB"/>
    <w:rsid w:val="006A55BA"/>
    <w:rsid w:val="006C0B27"/>
    <w:rsid w:val="006C60B2"/>
    <w:rsid w:val="006C766E"/>
    <w:rsid w:val="006E62D4"/>
    <w:rsid w:val="006F0F67"/>
    <w:rsid w:val="006F11F5"/>
    <w:rsid w:val="006F2C6A"/>
    <w:rsid w:val="006F3BD5"/>
    <w:rsid w:val="006F40C6"/>
    <w:rsid w:val="00700319"/>
    <w:rsid w:val="00700AB4"/>
    <w:rsid w:val="00707324"/>
    <w:rsid w:val="00707B3F"/>
    <w:rsid w:val="007138CD"/>
    <w:rsid w:val="00720778"/>
    <w:rsid w:val="00721A72"/>
    <w:rsid w:val="00726211"/>
    <w:rsid w:val="00727F5F"/>
    <w:rsid w:val="00732F73"/>
    <w:rsid w:val="007363A6"/>
    <w:rsid w:val="00741F9A"/>
    <w:rsid w:val="00745D95"/>
    <w:rsid w:val="0076068F"/>
    <w:rsid w:val="00763E70"/>
    <w:rsid w:val="00770EA5"/>
    <w:rsid w:val="00777FA8"/>
    <w:rsid w:val="00781E2A"/>
    <w:rsid w:val="00797BE6"/>
    <w:rsid w:val="00797E75"/>
    <w:rsid w:val="007A029D"/>
    <w:rsid w:val="007A46CE"/>
    <w:rsid w:val="007B6F09"/>
    <w:rsid w:val="007C15D7"/>
    <w:rsid w:val="007C3D22"/>
    <w:rsid w:val="007D5799"/>
    <w:rsid w:val="007D6353"/>
    <w:rsid w:val="007E7997"/>
    <w:rsid w:val="007E7F6F"/>
    <w:rsid w:val="007F7275"/>
    <w:rsid w:val="007F748C"/>
    <w:rsid w:val="00801313"/>
    <w:rsid w:val="00830F06"/>
    <w:rsid w:val="00835357"/>
    <w:rsid w:val="00836A3C"/>
    <w:rsid w:val="00842683"/>
    <w:rsid w:val="00850F83"/>
    <w:rsid w:val="008552C8"/>
    <w:rsid w:val="008564A2"/>
    <w:rsid w:val="0086289E"/>
    <w:rsid w:val="008636F6"/>
    <w:rsid w:val="00867327"/>
    <w:rsid w:val="008745B5"/>
    <w:rsid w:val="00881553"/>
    <w:rsid w:val="0088211B"/>
    <w:rsid w:val="00897856"/>
    <w:rsid w:val="008A4506"/>
    <w:rsid w:val="008B15C3"/>
    <w:rsid w:val="008B2ADF"/>
    <w:rsid w:val="008B6E2B"/>
    <w:rsid w:val="008C5000"/>
    <w:rsid w:val="008C5862"/>
    <w:rsid w:val="008C6A6E"/>
    <w:rsid w:val="008D4AB3"/>
    <w:rsid w:val="008E02D5"/>
    <w:rsid w:val="008F298D"/>
    <w:rsid w:val="00917A23"/>
    <w:rsid w:val="00930049"/>
    <w:rsid w:val="00936F64"/>
    <w:rsid w:val="0095144C"/>
    <w:rsid w:val="009531D7"/>
    <w:rsid w:val="00954FBF"/>
    <w:rsid w:val="00955B93"/>
    <w:rsid w:val="00956E90"/>
    <w:rsid w:val="009573F9"/>
    <w:rsid w:val="00964F3C"/>
    <w:rsid w:val="00972727"/>
    <w:rsid w:val="00973079"/>
    <w:rsid w:val="009768A5"/>
    <w:rsid w:val="00985B9A"/>
    <w:rsid w:val="00987A01"/>
    <w:rsid w:val="009924D4"/>
    <w:rsid w:val="009A2335"/>
    <w:rsid w:val="009A3C13"/>
    <w:rsid w:val="009A613F"/>
    <w:rsid w:val="009A6728"/>
    <w:rsid w:val="009B2A1F"/>
    <w:rsid w:val="009B4FD8"/>
    <w:rsid w:val="009C1765"/>
    <w:rsid w:val="009D063D"/>
    <w:rsid w:val="009E1A5A"/>
    <w:rsid w:val="009E3053"/>
    <w:rsid w:val="009E3CD1"/>
    <w:rsid w:val="009F0537"/>
    <w:rsid w:val="009F1ACB"/>
    <w:rsid w:val="009F4180"/>
    <w:rsid w:val="009F5AAE"/>
    <w:rsid w:val="009F73A4"/>
    <w:rsid w:val="00A00B93"/>
    <w:rsid w:val="00A01B61"/>
    <w:rsid w:val="00A20D05"/>
    <w:rsid w:val="00A24FB8"/>
    <w:rsid w:val="00A2660E"/>
    <w:rsid w:val="00A30D12"/>
    <w:rsid w:val="00A31D5B"/>
    <w:rsid w:val="00A320EA"/>
    <w:rsid w:val="00A341A5"/>
    <w:rsid w:val="00A3566E"/>
    <w:rsid w:val="00A42EA0"/>
    <w:rsid w:val="00A43459"/>
    <w:rsid w:val="00A47F02"/>
    <w:rsid w:val="00A51DF8"/>
    <w:rsid w:val="00A52A2A"/>
    <w:rsid w:val="00A545A6"/>
    <w:rsid w:val="00A56034"/>
    <w:rsid w:val="00A66252"/>
    <w:rsid w:val="00A75340"/>
    <w:rsid w:val="00A8218C"/>
    <w:rsid w:val="00A86C38"/>
    <w:rsid w:val="00A973D4"/>
    <w:rsid w:val="00AA4538"/>
    <w:rsid w:val="00AD6DC1"/>
    <w:rsid w:val="00AE7877"/>
    <w:rsid w:val="00AF2555"/>
    <w:rsid w:val="00B0015A"/>
    <w:rsid w:val="00B014A8"/>
    <w:rsid w:val="00B33B63"/>
    <w:rsid w:val="00B36F5D"/>
    <w:rsid w:val="00B373C7"/>
    <w:rsid w:val="00B419E8"/>
    <w:rsid w:val="00B61E0A"/>
    <w:rsid w:val="00B646D1"/>
    <w:rsid w:val="00B7141E"/>
    <w:rsid w:val="00B7490E"/>
    <w:rsid w:val="00B7494F"/>
    <w:rsid w:val="00B74CEB"/>
    <w:rsid w:val="00B75EBA"/>
    <w:rsid w:val="00B77BDD"/>
    <w:rsid w:val="00B815E5"/>
    <w:rsid w:val="00B87D9E"/>
    <w:rsid w:val="00B87EA1"/>
    <w:rsid w:val="00B95635"/>
    <w:rsid w:val="00B957D3"/>
    <w:rsid w:val="00BA0B12"/>
    <w:rsid w:val="00BA112C"/>
    <w:rsid w:val="00BA41CF"/>
    <w:rsid w:val="00BA5570"/>
    <w:rsid w:val="00BB088A"/>
    <w:rsid w:val="00BB2505"/>
    <w:rsid w:val="00BB335D"/>
    <w:rsid w:val="00BC379F"/>
    <w:rsid w:val="00BE5495"/>
    <w:rsid w:val="00BE5690"/>
    <w:rsid w:val="00BE7C04"/>
    <w:rsid w:val="00BF4A9F"/>
    <w:rsid w:val="00C057E2"/>
    <w:rsid w:val="00C07453"/>
    <w:rsid w:val="00C16CC6"/>
    <w:rsid w:val="00C16EBA"/>
    <w:rsid w:val="00C17DD3"/>
    <w:rsid w:val="00C27535"/>
    <w:rsid w:val="00C2787E"/>
    <w:rsid w:val="00C37038"/>
    <w:rsid w:val="00C415F5"/>
    <w:rsid w:val="00C42730"/>
    <w:rsid w:val="00C4344D"/>
    <w:rsid w:val="00C50173"/>
    <w:rsid w:val="00C51CF5"/>
    <w:rsid w:val="00C54A52"/>
    <w:rsid w:val="00C63388"/>
    <w:rsid w:val="00C672B3"/>
    <w:rsid w:val="00C73159"/>
    <w:rsid w:val="00C77780"/>
    <w:rsid w:val="00C8261C"/>
    <w:rsid w:val="00C82D7F"/>
    <w:rsid w:val="00C86980"/>
    <w:rsid w:val="00C95623"/>
    <w:rsid w:val="00CA16AE"/>
    <w:rsid w:val="00CB1CBF"/>
    <w:rsid w:val="00CB1D46"/>
    <w:rsid w:val="00CB1EEC"/>
    <w:rsid w:val="00CB7C0B"/>
    <w:rsid w:val="00CC2F3E"/>
    <w:rsid w:val="00CC4F67"/>
    <w:rsid w:val="00CC6D98"/>
    <w:rsid w:val="00CD3614"/>
    <w:rsid w:val="00CE3425"/>
    <w:rsid w:val="00CE41C2"/>
    <w:rsid w:val="00CF0069"/>
    <w:rsid w:val="00CF28C3"/>
    <w:rsid w:val="00CF5B55"/>
    <w:rsid w:val="00D112B8"/>
    <w:rsid w:val="00D167DF"/>
    <w:rsid w:val="00D178D0"/>
    <w:rsid w:val="00D224D8"/>
    <w:rsid w:val="00D26BB6"/>
    <w:rsid w:val="00D27CC7"/>
    <w:rsid w:val="00D31BB8"/>
    <w:rsid w:val="00D352AD"/>
    <w:rsid w:val="00D36CF7"/>
    <w:rsid w:val="00D436D6"/>
    <w:rsid w:val="00D5247E"/>
    <w:rsid w:val="00D549D6"/>
    <w:rsid w:val="00D57197"/>
    <w:rsid w:val="00D65885"/>
    <w:rsid w:val="00D70659"/>
    <w:rsid w:val="00D70E34"/>
    <w:rsid w:val="00D735F8"/>
    <w:rsid w:val="00D74F57"/>
    <w:rsid w:val="00D92F84"/>
    <w:rsid w:val="00DA37CF"/>
    <w:rsid w:val="00DA3C4E"/>
    <w:rsid w:val="00DB2000"/>
    <w:rsid w:val="00DB46DA"/>
    <w:rsid w:val="00DB4BDB"/>
    <w:rsid w:val="00DC069C"/>
    <w:rsid w:val="00DC5257"/>
    <w:rsid w:val="00DD7C63"/>
    <w:rsid w:val="00DE047B"/>
    <w:rsid w:val="00DE08B1"/>
    <w:rsid w:val="00DE0ABE"/>
    <w:rsid w:val="00DE409A"/>
    <w:rsid w:val="00E11AAB"/>
    <w:rsid w:val="00E12EF9"/>
    <w:rsid w:val="00E27A2B"/>
    <w:rsid w:val="00E30A17"/>
    <w:rsid w:val="00E31B56"/>
    <w:rsid w:val="00E33D76"/>
    <w:rsid w:val="00E33DAE"/>
    <w:rsid w:val="00E410E0"/>
    <w:rsid w:val="00E5247A"/>
    <w:rsid w:val="00E63E65"/>
    <w:rsid w:val="00E72C0B"/>
    <w:rsid w:val="00E747ED"/>
    <w:rsid w:val="00E80529"/>
    <w:rsid w:val="00E80E53"/>
    <w:rsid w:val="00E81428"/>
    <w:rsid w:val="00E8577B"/>
    <w:rsid w:val="00E90478"/>
    <w:rsid w:val="00E929BA"/>
    <w:rsid w:val="00E96112"/>
    <w:rsid w:val="00EA1EC3"/>
    <w:rsid w:val="00EB3187"/>
    <w:rsid w:val="00ED3FED"/>
    <w:rsid w:val="00ED5515"/>
    <w:rsid w:val="00ED5FF4"/>
    <w:rsid w:val="00ED77A7"/>
    <w:rsid w:val="00EE6E9C"/>
    <w:rsid w:val="00EF22F7"/>
    <w:rsid w:val="00EF685A"/>
    <w:rsid w:val="00EF7F83"/>
    <w:rsid w:val="00F02463"/>
    <w:rsid w:val="00F05B16"/>
    <w:rsid w:val="00F22A10"/>
    <w:rsid w:val="00F22C8D"/>
    <w:rsid w:val="00F2300B"/>
    <w:rsid w:val="00F32300"/>
    <w:rsid w:val="00F3331D"/>
    <w:rsid w:val="00F34268"/>
    <w:rsid w:val="00F46766"/>
    <w:rsid w:val="00F51AF7"/>
    <w:rsid w:val="00F5742E"/>
    <w:rsid w:val="00F71566"/>
    <w:rsid w:val="00F731F8"/>
    <w:rsid w:val="00F821AF"/>
    <w:rsid w:val="00F870AA"/>
    <w:rsid w:val="00FA2674"/>
    <w:rsid w:val="00FA4DB6"/>
    <w:rsid w:val="00FB4A44"/>
    <w:rsid w:val="00FC31AE"/>
    <w:rsid w:val="00FC5875"/>
    <w:rsid w:val="00FE4318"/>
    <w:rsid w:val="00FE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956E9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3B22B4"/>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3B22B4"/>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
    <w:name w:val="Unresolved Mention"/>
    <w:basedOn w:val="DefaultParagraphFont"/>
    <w:uiPriority w:val="99"/>
    <w:semiHidden/>
    <w:unhideWhenUsed/>
    <w:rsid w:val="0033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392239822">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39589933">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5470-BA7F-428E-95FC-D2624D82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2021-12-28T10:22:00Z</dcterms:created>
  <dcterms:modified xsi:type="dcterms:W3CDTF">2021-12-28T10:23:00Z</dcterms:modified>
</cp:coreProperties>
</file>