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68" w:rsidRPr="003A1468" w:rsidRDefault="00BF2A97" w:rsidP="003A1468">
      <w:pPr>
        <w:spacing w:after="0" w:line="360" w:lineRule="auto"/>
        <w:ind w:left="306" w:hangingChars="127" w:hanging="306"/>
        <w:jc w:val="center"/>
        <w:rPr>
          <w:rFonts w:ascii="Arial" w:eastAsia="Times New Roman" w:hAnsi="Arial" w:cs="Arial"/>
          <w:b/>
          <w:sz w:val="24"/>
          <w:szCs w:val="24"/>
          <w:lang w:eastAsia="en-GB"/>
        </w:rPr>
      </w:pPr>
      <w:r w:rsidRPr="003A1468">
        <w:rPr>
          <w:rFonts w:ascii="Arial" w:eastAsia="Times New Roman" w:hAnsi="Arial" w:cs="Arial"/>
          <w:b/>
          <w:sz w:val="24"/>
          <w:szCs w:val="24"/>
          <w:lang w:eastAsia="en-GB"/>
        </w:rPr>
        <w:t>REPUBLIC OF SOUTH AFRICA</w:t>
      </w:r>
    </w:p>
    <w:p w:rsidR="003A1468" w:rsidRPr="003A1468" w:rsidRDefault="00BF2A97" w:rsidP="003A1468">
      <w:pPr>
        <w:spacing w:after="0" w:line="360" w:lineRule="auto"/>
        <w:ind w:left="306" w:hangingChars="127" w:hanging="306"/>
        <w:jc w:val="center"/>
        <w:rPr>
          <w:rFonts w:ascii="Arial" w:eastAsia="Times New Roman" w:hAnsi="Arial" w:cs="Arial"/>
          <w:b/>
          <w:sz w:val="24"/>
          <w:szCs w:val="24"/>
          <w:lang w:eastAsia="en-GB"/>
        </w:rPr>
      </w:pPr>
      <w:r w:rsidRPr="003A1468">
        <w:rPr>
          <w:rFonts w:ascii="Arial" w:eastAsia="MS Mincho" w:hAnsi="Arial" w:cs="Arial"/>
          <w:b/>
          <w:noProof/>
          <w:sz w:val="24"/>
          <w:szCs w:val="24"/>
          <w:lang w:val="en-US"/>
        </w:rPr>
        <w:drawing>
          <wp:inline distT="0" distB="0" distL="0" distR="0">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3200" cy="1473200"/>
                    </a:xfrm>
                    <a:prstGeom prst="rect">
                      <a:avLst/>
                    </a:prstGeom>
                    <a:noFill/>
                    <a:ln>
                      <a:noFill/>
                    </a:ln>
                  </pic:spPr>
                </pic:pic>
              </a:graphicData>
            </a:graphic>
          </wp:inline>
        </w:drawing>
      </w:r>
    </w:p>
    <w:p w:rsidR="003A1468" w:rsidRPr="003A1468" w:rsidRDefault="00BF2A97" w:rsidP="003A1468">
      <w:pPr>
        <w:spacing w:after="0" w:line="360" w:lineRule="auto"/>
        <w:ind w:left="306" w:hangingChars="127" w:hanging="306"/>
        <w:jc w:val="center"/>
        <w:rPr>
          <w:rFonts w:ascii="Arial" w:eastAsia="Times New Roman" w:hAnsi="Arial" w:cs="Arial"/>
          <w:b/>
          <w:sz w:val="24"/>
          <w:szCs w:val="24"/>
          <w:lang w:eastAsia="en-GB"/>
        </w:rPr>
      </w:pPr>
      <w:r w:rsidRPr="003A1468">
        <w:rPr>
          <w:rFonts w:ascii="Arial" w:eastAsia="Times New Roman" w:hAnsi="Arial" w:cs="Arial"/>
          <w:b/>
          <w:sz w:val="24"/>
          <w:szCs w:val="24"/>
          <w:lang w:eastAsia="en-GB"/>
        </w:rPr>
        <w:t>IN TH</w:t>
      </w:r>
      <w:bookmarkStart w:id="0" w:name="_GoBack"/>
      <w:bookmarkEnd w:id="0"/>
      <w:r w:rsidRPr="003A1468">
        <w:rPr>
          <w:rFonts w:ascii="Arial" w:eastAsia="Times New Roman" w:hAnsi="Arial" w:cs="Arial"/>
          <w:b/>
          <w:sz w:val="24"/>
          <w:szCs w:val="24"/>
          <w:lang w:eastAsia="en-GB"/>
        </w:rPr>
        <w:t>E HIGH COURT OF SOUTH AFRICA</w:t>
      </w:r>
    </w:p>
    <w:p w:rsidR="003A1468" w:rsidRPr="003A1468" w:rsidRDefault="00BF2A97" w:rsidP="003A1468">
      <w:pPr>
        <w:spacing w:after="0" w:line="360" w:lineRule="auto"/>
        <w:ind w:left="306" w:hangingChars="127" w:hanging="306"/>
        <w:jc w:val="center"/>
        <w:rPr>
          <w:rFonts w:ascii="Arial" w:eastAsia="Times New Roman" w:hAnsi="Arial" w:cs="Arial"/>
          <w:b/>
          <w:sz w:val="24"/>
          <w:szCs w:val="24"/>
          <w:lang w:eastAsia="en-GB"/>
        </w:rPr>
      </w:pPr>
      <w:r w:rsidRPr="003A1468">
        <w:rPr>
          <w:rFonts w:ascii="Arial" w:eastAsia="Times New Roman" w:hAnsi="Arial" w:cs="Arial"/>
          <w:b/>
          <w:sz w:val="24"/>
          <w:szCs w:val="24"/>
          <w:lang w:eastAsia="en-GB"/>
        </w:rPr>
        <w:t>GAUTENG LOCAL DIVISION, JOHANNESBURG</w:t>
      </w:r>
    </w:p>
    <w:p w:rsidR="003A1468" w:rsidRPr="003A1468" w:rsidRDefault="003A1468" w:rsidP="003A1468">
      <w:pPr>
        <w:spacing w:after="0" w:line="360" w:lineRule="auto"/>
        <w:ind w:left="306" w:hangingChars="127" w:hanging="306"/>
        <w:jc w:val="center"/>
        <w:rPr>
          <w:rFonts w:ascii="Arial" w:eastAsia="Times New Roman" w:hAnsi="Arial" w:cs="Arial"/>
          <w:b/>
          <w:sz w:val="24"/>
          <w:szCs w:val="24"/>
          <w:lang w:eastAsia="en-GB"/>
        </w:rPr>
      </w:pPr>
    </w:p>
    <w:p w:rsidR="003A1468" w:rsidRPr="003A1468" w:rsidRDefault="00BF2A97" w:rsidP="003A1468">
      <w:pPr>
        <w:spacing w:after="0" w:line="360" w:lineRule="auto"/>
        <w:ind w:left="306" w:hangingChars="127" w:hanging="306"/>
        <w:rPr>
          <w:rFonts w:ascii="Arial" w:eastAsia="Times New Roman" w:hAnsi="Arial" w:cs="Arial"/>
          <w:b/>
          <w:sz w:val="24"/>
          <w:szCs w:val="24"/>
          <w:lang w:eastAsia="en-GB"/>
        </w:rPr>
      </w:pPr>
      <w:r w:rsidRPr="003A1468">
        <w:rPr>
          <w:rFonts w:ascii="Arial" w:eastAsia="Times New Roman" w:hAnsi="Arial" w:cs="Arial"/>
          <w:b/>
          <w:sz w:val="24"/>
          <w:szCs w:val="24"/>
          <w:lang w:eastAsia="en-GB"/>
        </w:rPr>
        <w:t xml:space="preserve">                                                                                            CASE NO: </w:t>
      </w:r>
      <w:r w:rsidR="006A3F69">
        <w:rPr>
          <w:rFonts w:ascii="Arial" w:eastAsia="Times New Roman" w:hAnsi="Arial" w:cs="Arial"/>
          <w:b/>
          <w:sz w:val="24"/>
          <w:szCs w:val="24"/>
          <w:lang w:eastAsia="en-GB"/>
        </w:rPr>
        <w:t>44235/2020</w:t>
      </w:r>
    </w:p>
    <w:p w:rsidR="003A1468" w:rsidRPr="003A1468" w:rsidRDefault="00BF2A97" w:rsidP="003A1468">
      <w:pPr>
        <w:spacing w:after="0" w:line="360" w:lineRule="auto"/>
        <w:ind w:left="305" w:hangingChars="127" w:hanging="305"/>
        <w:jc w:val="both"/>
        <w:rPr>
          <w:rFonts w:ascii="Arial" w:eastAsia="Times New Roman" w:hAnsi="Arial" w:cs="Arial"/>
          <w:sz w:val="24"/>
          <w:szCs w:val="24"/>
          <w:u w:val="single"/>
          <w:lang w:val="en-GB" w:eastAsia="en-GB"/>
        </w:rPr>
      </w:pPr>
      <w:r w:rsidRPr="003A1468">
        <w:rPr>
          <w:rFonts w:ascii="Arial" w:eastAsia="MS Mincho"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167005</wp:posOffset>
                </wp:positionV>
                <wp:extent cx="3314700" cy="1266825"/>
                <wp:effectExtent l="0" t="0" r="381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4A0B23" w:rsidRPr="004120A8" w:rsidRDefault="004A0B23" w:rsidP="003A1468">
                            <w:pPr>
                              <w:jc w:val="center"/>
                              <w:rPr>
                                <w:rFonts w:ascii="Century Gothic" w:hAnsi="Century Gothic"/>
                                <w:b/>
                                <w:sz w:val="2"/>
                                <w:szCs w:val="18"/>
                              </w:rPr>
                            </w:pPr>
                          </w:p>
                          <w:p w:rsidR="004A0B23" w:rsidRPr="004120A8" w:rsidRDefault="00BF2A97" w:rsidP="003A1468">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4A0B23" w:rsidRPr="004120A8" w:rsidRDefault="00BF2A97" w:rsidP="003A1468">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4A0B23" w:rsidRPr="004120A8" w:rsidRDefault="00BF2A97" w:rsidP="003A1468">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4A0B23" w:rsidRPr="004120A8" w:rsidRDefault="004A0B23" w:rsidP="003A1468">
                            <w:pPr>
                              <w:rPr>
                                <w:rFonts w:ascii="Century Gothic" w:hAnsi="Century Gothic"/>
                                <w:b/>
                                <w:sz w:val="18"/>
                                <w:szCs w:val="18"/>
                              </w:rPr>
                            </w:pPr>
                          </w:p>
                          <w:p w:rsidR="004A0B23" w:rsidRPr="004A0B23" w:rsidRDefault="00BF2A97" w:rsidP="003A1468">
                            <w:pPr>
                              <w:spacing w:after="0"/>
                              <w:rPr>
                                <w:rFonts w:ascii="Century Gothic" w:hAnsi="Century Gothic"/>
                                <w:b/>
                                <w:i/>
                                <w:sz w:val="18"/>
                                <w:szCs w:val="18"/>
                              </w:rPr>
                            </w:pPr>
                            <w:r w:rsidRPr="004A0B23">
                              <w:rPr>
                                <w:rFonts w:ascii="Century Gothic" w:hAnsi="Century Gothic"/>
                                <w:b/>
                                <w:i/>
                                <w:sz w:val="18"/>
                                <w:szCs w:val="18"/>
                              </w:rPr>
                              <w:t xml:space="preserve"> SENYATSI ML</w:t>
                            </w:r>
                            <w:r>
                              <w:rPr>
                                <w:rFonts w:ascii="Century Gothic" w:hAnsi="Century Gothic"/>
                                <w:b/>
                                <w:sz w:val="18"/>
                                <w:szCs w:val="18"/>
                              </w:rPr>
                              <w:t xml:space="preserve">          </w:t>
                            </w:r>
                            <w:r>
                              <w:rPr>
                                <w:rFonts w:ascii="Century Gothic" w:hAnsi="Century Gothic"/>
                                <w:b/>
                                <w:sz w:val="18"/>
                                <w:szCs w:val="18"/>
                              </w:rPr>
                              <w:tab/>
                            </w:r>
                            <w:r w:rsidRPr="004A0B23">
                              <w:rPr>
                                <w:rFonts w:ascii="Century Gothic" w:hAnsi="Century Gothic"/>
                                <w:b/>
                                <w:i/>
                                <w:sz w:val="18"/>
                                <w:szCs w:val="18"/>
                              </w:rPr>
                              <w:t xml:space="preserve">         28 JULY 2021</w:t>
                            </w:r>
                          </w:p>
                          <w:p w:rsidR="004A0B23" w:rsidRPr="003643D8" w:rsidRDefault="00BF2A97" w:rsidP="003A1468">
                            <w:pPr>
                              <w:spacing w:after="0"/>
                              <w:rPr>
                                <w:rFonts w:ascii="Century Gothic" w:hAnsi="Century Gothic"/>
                                <w:sz w:val="18"/>
                                <w:szCs w:val="18"/>
                              </w:rPr>
                            </w:pPr>
                            <w:r w:rsidRPr="004120A8">
                              <w:rPr>
                                <w:rFonts w:ascii="Century Gothic" w:hAnsi="Century Gothic"/>
                                <w:b/>
                                <w:sz w:val="18"/>
                                <w:szCs w:val="18"/>
                              </w:rPr>
                              <w:t xml:space="preserve"> </w:t>
                            </w:r>
                            <w:r w:rsidRPr="003643D8">
                              <w:rPr>
                                <w:rFonts w:ascii="Century Gothic" w:hAnsi="Century Gothic"/>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3643D8">
                              <w:rPr>
                                <w:rFonts w:ascii="Century Gothic" w:hAnsi="Century Gothic"/>
                                <w:sz w:val="18"/>
                                <w:szCs w:val="18"/>
                              </w:rPr>
                              <w:t>DATE</w:t>
                            </w:r>
                          </w:p>
                          <w:p w:rsidR="004A0B23" w:rsidRPr="004120A8" w:rsidRDefault="004A0B23" w:rsidP="003A1468">
                            <w:pPr>
                              <w:rPr>
                                <w:rFonts w:ascii="Century Gothic" w:hAnsi="Century Gothic"/>
                                <w:b/>
                                <w:sz w:val="2"/>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5" type="#_x0000_t202" style="width:261pt;height:99.75pt;margin-top:13.15pt;margin-left:0;mso-height-percent:0;mso-height-relative:page;mso-width-percent:0;mso-width-relative:page;mso-wrap-distance-bottom:0;mso-wrap-distance-left:9pt;mso-wrap-distance-right:9pt;mso-wrap-distance-top:0;mso-wrap-style:square;position:absolute;visibility:visible;v-text-anchor:top;z-index:251659264">
                <v:textbox>
                  <w:txbxContent>
                    <w:p w:rsidR="004A0B23" w:rsidRPr="004120A8" w:rsidP="003A1468">
                      <w:pPr>
                        <w:jc w:val="center"/>
                        <w:rPr>
                          <w:rFonts w:ascii="Century Gothic" w:hAnsi="Century Gothic"/>
                          <w:b/>
                          <w:sz w:val="2"/>
                          <w:szCs w:val="18"/>
                        </w:rPr>
                      </w:pPr>
                    </w:p>
                    <w:p w:rsidR="004A0B23" w:rsidRPr="004120A8" w:rsidP="003A1468">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4A0B23" w:rsidRPr="004120A8" w:rsidP="003A1468">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4A0B23" w:rsidRPr="004120A8" w:rsidP="003A1468">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4A0B23" w:rsidRPr="004120A8" w:rsidP="003A1468">
                      <w:pPr>
                        <w:rPr>
                          <w:rFonts w:ascii="Century Gothic" w:hAnsi="Century Gothic"/>
                          <w:b/>
                          <w:sz w:val="18"/>
                          <w:szCs w:val="18"/>
                        </w:rPr>
                      </w:pPr>
                    </w:p>
                    <w:p w:rsidR="004A0B23" w:rsidRPr="004A0B23" w:rsidP="003A1468">
                      <w:pPr>
                        <w:spacing w:after="0"/>
                        <w:rPr>
                          <w:rFonts w:ascii="Century Gothic" w:hAnsi="Century Gothic"/>
                          <w:b/>
                          <w:i/>
                          <w:sz w:val="18"/>
                          <w:szCs w:val="18"/>
                        </w:rPr>
                      </w:pPr>
                      <w:r w:rsidRPr="004A0B23">
                        <w:rPr>
                          <w:rFonts w:ascii="Century Gothic" w:hAnsi="Century Gothic"/>
                          <w:b/>
                          <w:i/>
                          <w:sz w:val="18"/>
                          <w:szCs w:val="18"/>
                        </w:rPr>
                        <w:t xml:space="preserve"> SENYATSI ML</w:t>
                      </w:r>
                      <w:r>
                        <w:rPr>
                          <w:rFonts w:ascii="Century Gothic" w:hAnsi="Century Gothic"/>
                          <w:b/>
                          <w:sz w:val="18"/>
                          <w:szCs w:val="18"/>
                        </w:rPr>
                        <w:t xml:space="preserve">          </w:t>
                      </w:r>
                      <w:r>
                        <w:rPr>
                          <w:rFonts w:ascii="Century Gothic" w:hAnsi="Century Gothic"/>
                          <w:b/>
                          <w:sz w:val="18"/>
                          <w:szCs w:val="18"/>
                        </w:rPr>
                        <w:tab/>
                      </w:r>
                      <w:r w:rsidRPr="004A0B23">
                        <w:rPr>
                          <w:rFonts w:ascii="Century Gothic" w:hAnsi="Century Gothic"/>
                          <w:b/>
                          <w:i/>
                          <w:sz w:val="18"/>
                          <w:szCs w:val="18"/>
                        </w:rPr>
                        <w:t xml:space="preserve">         28 JULY 2021</w:t>
                      </w:r>
                    </w:p>
                    <w:p w:rsidR="004A0B23" w:rsidRPr="003643D8" w:rsidP="003A1468">
                      <w:pPr>
                        <w:spacing w:after="0"/>
                        <w:rPr>
                          <w:rFonts w:ascii="Century Gothic" w:hAnsi="Century Gothic"/>
                          <w:sz w:val="18"/>
                          <w:szCs w:val="18"/>
                        </w:rPr>
                      </w:pPr>
                      <w:r w:rsidRPr="004120A8">
                        <w:rPr>
                          <w:rFonts w:ascii="Century Gothic" w:hAnsi="Century Gothic"/>
                          <w:b/>
                          <w:sz w:val="18"/>
                          <w:szCs w:val="18"/>
                        </w:rPr>
                        <w:t xml:space="preserve"> </w:t>
                      </w:r>
                      <w:r w:rsidRPr="003643D8">
                        <w:rPr>
                          <w:rFonts w:ascii="Century Gothic" w:hAnsi="Century Gothic"/>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3643D8">
                        <w:rPr>
                          <w:rFonts w:ascii="Century Gothic" w:hAnsi="Century Gothic"/>
                          <w:sz w:val="18"/>
                          <w:szCs w:val="18"/>
                        </w:rPr>
                        <w:t>DATE</w:t>
                      </w:r>
                    </w:p>
                    <w:p w:rsidR="004A0B23" w:rsidRPr="004120A8" w:rsidP="003A1468">
                      <w:pPr>
                        <w:rPr>
                          <w:rFonts w:ascii="Century Gothic" w:hAnsi="Century Gothic"/>
                          <w:b/>
                          <w:sz w:val="2"/>
                          <w:szCs w:val="18"/>
                        </w:rPr>
                      </w:pPr>
                    </w:p>
                  </w:txbxContent>
                </v:textbox>
              </v:shape>
            </w:pict>
          </mc:Fallback>
        </mc:AlternateContent>
      </w:r>
    </w:p>
    <w:p w:rsidR="003A1468" w:rsidRPr="003A1468" w:rsidRDefault="003A1468" w:rsidP="003A1468">
      <w:pPr>
        <w:spacing w:after="0" w:line="360" w:lineRule="auto"/>
        <w:ind w:left="305" w:hangingChars="127" w:hanging="305"/>
        <w:jc w:val="both"/>
        <w:rPr>
          <w:rFonts w:ascii="Arial" w:eastAsia="Times New Roman" w:hAnsi="Arial" w:cs="Arial"/>
          <w:sz w:val="24"/>
          <w:szCs w:val="24"/>
          <w:u w:val="single"/>
          <w:lang w:val="en-GB" w:eastAsia="en-GB"/>
        </w:rPr>
      </w:pPr>
    </w:p>
    <w:p w:rsidR="003A1468" w:rsidRPr="003A1468" w:rsidRDefault="003A1468" w:rsidP="003A1468">
      <w:pPr>
        <w:spacing w:after="0" w:line="360" w:lineRule="auto"/>
        <w:ind w:left="305" w:hangingChars="127" w:hanging="305"/>
        <w:jc w:val="both"/>
        <w:rPr>
          <w:rFonts w:ascii="Arial" w:eastAsia="Times New Roman" w:hAnsi="Arial" w:cs="Arial"/>
          <w:sz w:val="24"/>
          <w:szCs w:val="24"/>
          <w:u w:val="single"/>
          <w:lang w:val="en-GB" w:eastAsia="en-GB"/>
        </w:rPr>
      </w:pPr>
    </w:p>
    <w:p w:rsidR="003A1468" w:rsidRPr="003A1468" w:rsidRDefault="003A1468" w:rsidP="003A1468">
      <w:pPr>
        <w:spacing w:after="0" w:line="360" w:lineRule="auto"/>
        <w:ind w:left="305" w:hangingChars="127" w:hanging="305"/>
        <w:jc w:val="both"/>
        <w:rPr>
          <w:rFonts w:ascii="Arial" w:eastAsia="Times New Roman" w:hAnsi="Arial" w:cs="Arial"/>
          <w:sz w:val="24"/>
          <w:szCs w:val="24"/>
          <w:u w:val="single"/>
          <w:lang w:val="en-GB" w:eastAsia="en-GB"/>
        </w:rPr>
      </w:pPr>
    </w:p>
    <w:p w:rsidR="003A1468" w:rsidRPr="003A1468" w:rsidRDefault="003A1468" w:rsidP="003A1468">
      <w:pPr>
        <w:spacing w:after="0" w:line="360" w:lineRule="auto"/>
        <w:ind w:left="305" w:hangingChars="127" w:hanging="305"/>
        <w:jc w:val="both"/>
        <w:rPr>
          <w:rFonts w:ascii="Arial" w:eastAsia="Calibri" w:hAnsi="Arial" w:cs="Arial"/>
          <w:sz w:val="24"/>
          <w:szCs w:val="24"/>
        </w:rPr>
      </w:pPr>
    </w:p>
    <w:p w:rsidR="003A1468" w:rsidRPr="003A1468" w:rsidRDefault="003A1468" w:rsidP="003A1468">
      <w:pPr>
        <w:spacing w:after="0" w:line="360" w:lineRule="auto"/>
        <w:ind w:left="306" w:hangingChars="127" w:hanging="306"/>
        <w:jc w:val="right"/>
        <w:rPr>
          <w:rFonts w:ascii="Arial" w:eastAsia="Times New Roman" w:hAnsi="Arial" w:cs="Arial"/>
          <w:b/>
          <w:sz w:val="24"/>
          <w:szCs w:val="24"/>
          <w:lang w:eastAsia="en-GB"/>
        </w:rPr>
      </w:pPr>
    </w:p>
    <w:p w:rsidR="003A1468" w:rsidRPr="003A1468" w:rsidRDefault="003A1468" w:rsidP="003A1468">
      <w:pPr>
        <w:widowControl w:val="0"/>
        <w:autoSpaceDE w:val="0"/>
        <w:autoSpaceDN w:val="0"/>
        <w:adjustRightInd w:val="0"/>
        <w:spacing w:after="0" w:line="360" w:lineRule="auto"/>
        <w:jc w:val="both"/>
        <w:rPr>
          <w:rFonts w:ascii="Arial" w:eastAsia="MS Mincho" w:hAnsi="Arial" w:cs="Arial"/>
          <w:color w:val="1B1919"/>
          <w:sz w:val="24"/>
          <w:szCs w:val="24"/>
          <w:lang w:val="en-GB" w:eastAsia="ja-JP"/>
        </w:rPr>
      </w:pPr>
    </w:p>
    <w:p w:rsidR="003A1468" w:rsidRPr="003A1468" w:rsidRDefault="00BF2A97" w:rsidP="003A1468">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3A1468">
        <w:rPr>
          <w:rFonts w:ascii="Arial" w:eastAsia="MS Mincho" w:hAnsi="Arial" w:cs="Arial"/>
          <w:color w:val="1B1919"/>
          <w:sz w:val="24"/>
          <w:szCs w:val="24"/>
          <w:lang w:val="en-GB" w:eastAsia="ja-JP"/>
        </w:rPr>
        <w:t>In the matter between:</w:t>
      </w:r>
    </w:p>
    <w:p w:rsidR="003A1468" w:rsidRPr="003643D8" w:rsidRDefault="00BF2A97" w:rsidP="003A1468">
      <w:pPr>
        <w:widowControl w:val="0"/>
        <w:autoSpaceDE w:val="0"/>
        <w:autoSpaceDN w:val="0"/>
        <w:adjustRightInd w:val="0"/>
        <w:spacing w:after="0" w:line="600" w:lineRule="auto"/>
        <w:ind w:left="306" w:hangingChars="127" w:hanging="306"/>
        <w:jc w:val="both"/>
        <w:rPr>
          <w:rFonts w:ascii="Arial" w:eastAsia="MS Mincho" w:hAnsi="Arial" w:cs="Arial"/>
          <w:bCs/>
          <w:color w:val="1B1919"/>
          <w:sz w:val="24"/>
          <w:szCs w:val="24"/>
          <w:lang w:val="en-GB" w:eastAsia="ja-JP"/>
        </w:rPr>
      </w:pPr>
      <w:r>
        <w:rPr>
          <w:rFonts w:ascii="Arial" w:eastAsia="MS Mincho" w:hAnsi="Arial" w:cs="Arial"/>
          <w:b/>
          <w:bCs/>
          <w:color w:val="1B1919"/>
          <w:sz w:val="24"/>
          <w:szCs w:val="24"/>
          <w:lang w:val="en-GB" w:eastAsia="ja-JP"/>
        </w:rPr>
        <w:t>NEXUS CONNECTION</w:t>
      </w:r>
      <w:r w:rsidR="003643D8">
        <w:rPr>
          <w:rFonts w:ascii="Arial" w:eastAsia="MS Mincho" w:hAnsi="Arial" w:cs="Arial"/>
          <w:b/>
          <w:bCs/>
          <w:color w:val="1B1919"/>
          <w:sz w:val="24"/>
          <w:szCs w:val="24"/>
          <w:lang w:val="en-GB" w:eastAsia="ja-JP"/>
        </w:rPr>
        <w:t xml:space="preserve"> (SA) (PTY) LTD</w:t>
      </w:r>
      <w:r w:rsidRPr="003A1468">
        <w:rPr>
          <w:rFonts w:ascii="Arial" w:eastAsia="MS Mincho" w:hAnsi="Arial" w:cs="Arial"/>
          <w:b/>
          <w:bCs/>
          <w:color w:val="1B1919"/>
          <w:sz w:val="24"/>
          <w:szCs w:val="24"/>
          <w:lang w:val="en-GB" w:eastAsia="ja-JP"/>
        </w:rPr>
        <w:tab/>
      </w:r>
      <w:r w:rsidRPr="003A1468">
        <w:rPr>
          <w:rFonts w:ascii="Arial" w:eastAsia="MS Mincho" w:hAnsi="Arial" w:cs="Arial"/>
          <w:bCs/>
          <w:color w:val="1B1919"/>
          <w:sz w:val="24"/>
          <w:szCs w:val="24"/>
          <w:lang w:val="en-GB" w:eastAsia="ja-JP"/>
        </w:rPr>
        <w:t xml:space="preserve">                       </w:t>
      </w:r>
      <w:r w:rsidR="003643D8" w:rsidRPr="003643D8">
        <w:rPr>
          <w:rFonts w:ascii="Arial" w:eastAsia="MS Mincho" w:hAnsi="Arial" w:cs="Arial"/>
          <w:bCs/>
          <w:color w:val="1B1919"/>
          <w:sz w:val="24"/>
          <w:szCs w:val="24"/>
          <w:lang w:val="en-GB" w:eastAsia="ja-JP"/>
        </w:rPr>
        <w:t xml:space="preserve">        </w:t>
      </w:r>
      <w:r w:rsidR="003643D8">
        <w:rPr>
          <w:rFonts w:ascii="Arial" w:eastAsia="MS Mincho" w:hAnsi="Arial" w:cs="Arial"/>
          <w:bCs/>
          <w:color w:val="1B1919"/>
          <w:sz w:val="24"/>
          <w:szCs w:val="24"/>
          <w:lang w:val="en-GB" w:eastAsia="ja-JP"/>
        </w:rPr>
        <w:t xml:space="preserve"> </w:t>
      </w:r>
      <w:r w:rsidR="003643D8" w:rsidRPr="003643D8">
        <w:rPr>
          <w:rFonts w:ascii="Arial" w:eastAsia="MS Mincho" w:hAnsi="Arial" w:cs="Arial"/>
          <w:bCs/>
          <w:color w:val="1B1919"/>
          <w:sz w:val="24"/>
          <w:szCs w:val="24"/>
          <w:lang w:val="en-GB" w:eastAsia="ja-JP"/>
        </w:rPr>
        <w:t xml:space="preserve"> First Applicant</w:t>
      </w:r>
    </w:p>
    <w:p w:rsidR="003643D8" w:rsidRDefault="00BF2A97" w:rsidP="003A1468">
      <w:pPr>
        <w:widowControl w:val="0"/>
        <w:autoSpaceDE w:val="0"/>
        <w:autoSpaceDN w:val="0"/>
        <w:adjustRightInd w:val="0"/>
        <w:spacing w:after="0" w:line="600" w:lineRule="auto"/>
        <w:ind w:left="306" w:hangingChars="127" w:hanging="306"/>
        <w:jc w:val="both"/>
        <w:rPr>
          <w:rFonts w:ascii="Arial" w:eastAsia="MS Mincho" w:hAnsi="Arial" w:cs="Arial"/>
          <w:b/>
          <w:bCs/>
          <w:color w:val="1B1919"/>
          <w:sz w:val="24"/>
          <w:szCs w:val="24"/>
          <w:lang w:val="en-GB" w:eastAsia="ja-JP"/>
        </w:rPr>
      </w:pPr>
      <w:r>
        <w:rPr>
          <w:rFonts w:ascii="Arial" w:eastAsia="MS Mincho" w:hAnsi="Arial" w:cs="Arial"/>
          <w:b/>
          <w:bCs/>
          <w:color w:val="1B1919"/>
          <w:sz w:val="24"/>
          <w:szCs w:val="24"/>
          <w:lang w:val="en-GB" w:eastAsia="ja-JP"/>
        </w:rPr>
        <w:t xml:space="preserve">SEPCO COMMUNICATIONS (PTY) LTD                                </w:t>
      </w:r>
      <w:r w:rsidRPr="003643D8">
        <w:rPr>
          <w:rFonts w:ascii="Arial" w:eastAsia="MS Mincho" w:hAnsi="Arial" w:cs="Arial"/>
          <w:bCs/>
          <w:color w:val="1B1919"/>
          <w:sz w:val="24"/>
          <w:szCs w:val="24"/>
          <w:lang w:val="en-GB" w:eastAsia="ja-JP"/>
        </w:rPr>
        <w:t>Second Applicant</w:t>
      </w:r>
    </w:p>
    <w:p w:rsidR="003643D8" w:rsidRPr="003A1468" w:rsidRDefault="00BF2A97" w:rsidP="003A1468">
      <w:pPr>
        <w:widowControl w:val="0"/>
        <w:autoSpaceDE w:val="0"/>
        <w:autoSpaceDN w:val="0"/>
        <w:adjustRightInd w:val="0"/>
        <w:spacing w:after="0" w:line="600" w:lineRule="auto"/>
        <w:ind w:left="306" w:hangingChars="127" w:hanging="306"/>
        <w:jc w:val="both"/>
        <w:rPr>
          <w:rFonts w:ascii="Arial" w:eastAsia="MS Mincho" w:hAnsi="Arial" w:cs="Arial"/>
          <w:bCs/>
          <w:color w:val="1B1919"/>
          <w:sz w:val="24"/>
          <w:szCs w:val="24"/>
          <w:lang w:val="en-GB" w:eastAsia="ja-JP"/>
        </w:rPr>
      </w:pPr>
      <w:r>
        <w:rPr>
          <w:rFonts w:ascii="Arial" w:eastAsia="MS Mincho" w:hAnsi="Arial" w:cs="Arial"/>
          <w:b/>
          <w:bCs/>
          <w:color w:val="1B1919"/>
          <w:sz w:val="24"/>
          <w:szCs w:val="24"/>
          <w:lang w:val="en-GB" w:eastAsia="ja-JP"/>
        </w:rPr>
        <w:t xml:space="preserve">VSNL SNOSPV PTE LTD      </w:t>
      </w:r>
      <w:r>
        <w:rPr>
          <w:rFonts w:ascii="Arial" w:eastAsia="MS Mincho" w:hAnsi="Arial" w:cs="Arial"/>
          <w:b/>
          <w:bCs/>
          <w:color w:val="1B1919"/>
          <w:sz w:val="24"/>
          <w:szCs w:val="24"/>
          <w:lang w:val="en-GB" w:eastAsia="ja-JP"/>
        </w:rPr>
        <w:tab/>
      </w:r>
      <w:r>
        <w:rPr>
          <w:rFonts w:ascii="Arial" w:eastAsia="MS Mincho" w:hAnsi="Arial" w:cs="Arial"/>
          <w:b/>
          <w:bCs/>
          <w:color w:val="1B1919"/>
          <w:sz w:val="24"/>
          <w:szCs w:val="24"/>
          <w:lang w:val="en-GB" w:eastAsia="ja-JP"/>
        </w:rPr>
        <w:tab/>
      </w:r>
      <w:r>
        <w:rPr>
          <w:rFonts w:ascii="Arial" w:eastAsia="MS Mincho" w:hAnsi="Arial" w:cs="Arial"/>
          <w:b/>
          <w:bCs/>
          <w:color w:val="1B1919"/>
          <w:sz w:val="24"/>
          <w:szCs w:val="24"/>
          <w:lang w:val="en-GB" w:eastAsia="ja-JP"/>
        </w:rPr>
        <w:tab/>
      </w:r>
      <w:r>
        <w:rPr>
          <w:rFonts w:ascii="Arial" w:eastAsia="MS Mincho" w:hAnsi="Arial" w:cs="Arial"/>
          <w:b/>
          <w:bCs/>
          <w:color w:val="1B1919"/>
          <w:sz w:val="24"/>
          <w:szCs w:val="24"/>
          <w:lang w:val="en-GB" w:eastAsia="ja-JP"/>
        </w:rPr>
        <w:tab/>
        <w:t xml:space="preserve">           </w:t>
      </w:r>
      <w:r w:rsidRPr="003643D8">
        <w:rPr>
          <w:rFonts w:ascii="Arial" w:eastAsia="MS Mincho" w:hAnsi="Arial" w:cs="Arial"/>
          <w:bCs/>
          <w:color w:val="1B1919"/>
          <w:sz w:val="24"/>
          <w:szCs w:val="24"/>
          <w:lang w:val="en-GB" w:eastAsia="ja-JP"/>
        </w:rPr>
        <w:t>Third Applicant</w:t>
      </w:r>
    </w:p>
    <w:p w:rsidR="003A1468" w:rsidRPr="003A1468" w:rsidRDefault="00BF2A97" w:rsidP="003A1468">
      <w:pPr>
        <w:widowControl w:val="0"/>
        <w:autoSpaceDE w:val="0"/>
        <w:autoSpaceDN w:val="0"/>
        <w:adjustRightInd w:val="0"/>
        <w:spacing w:after="0" w:line="600" w:lineRule="auto"/>
        <w:ind w:left="306" w:hangingChars="127" w:hanging="306"/>
        <w:jc w:val="both"/>
        <w:rPr>
          <w:rFonts w:ascii="Arial" w:eastAsia="MS Mincho" w:hAnsi="Arial" w:cs="Arial"/>
          <w:b/>
          <w:bCs/>
          <w:color w:val="1B1919"/>
          <w:sz w:val="24"/>
          <w:szCs w:val="24"/>
          <w:lang w:val="en-GB" w:eastAsia="ja-JP"/>
        </w:rPr>
      </w:pPr>
      <w:r w:rsidRPr="003A1468">
        <w:rPr>
          <w:rFonts w:ascii="Arial" w:eastAsia="MS Mincho" w:hAnsi="Arial" w:cs="Arial"/>
          <w:b/>
          <w:bCs/>
          <w:color w:val="1B1919"/>
          <w:sz w:val="24"/>
          <w:szCs w:val="24"/>
          <w:lang w:val="en-GB" w:eastAsia="ja-JP"/>
        </w:rPr>
        <w:t xml:space="preserve">and   </w:t>
      </w:r>
    </w:p>
    <w:p w:rsidR="003A1468" w:rsidRDefault="00BF2A97" w:rsidP="003643D8">
      <w:pPr>
        <w:widowControl w:val="0"/>
        <w:autoSpaceDE w:val="0"/>
        <w:autoSpaceDN w:val="0"/>
        <w:adjustRightInd w:val="0"/>
        <w:spacing w:after="0" w:line="480" w:lineRule="auto"/>
        <w:ind w:left="306" w:hangingChars="127" w:hanging="306"/>
        <w:jc w:val="both"/>
        <w:rPr>
          <w:rFonts w:ascii="Arial" w:eastAsia="MS Mincho" w:hAnsi="Arial" w:cs="Arial"/>
          <w:color w:val="1B1919"/>
          <w:sz w:val="24"/>
          <w:szCs w:val="24"/>
          <w:lang w:val="en-GB" w:eastAsia="ja-JP"/>
        </w:rPr>
      </w:pPr>
      <w:r>
        <w:rPr>
          <w:rFonts w:ascii="Arial" w:eastAsia="MS Mincho" w:hAnsi="Arial" w:cs="Arial"/>
          <w:b/>
          <w:color w:val="1B1919"/>
          <w:sz w:val="24"/>
          <w:szCs w:val="24"/>
          <w:lang w:val="en-GB" w:eastAsia="ja-JP"/>
        </w:rPr>
        <w:t>LIQUID TELECOMMUNICATIONS</w:t>
      </w:r>
      <w:r w:rsidR="00586083">
        <w:rPr>
          <w:rFonts w:ascii="Arial" w:eastAsia="MS Mincho" w:hAnsi="Arial" w:cs="Arial"/>
          <w:b/>
          <w:color w:val="1B1919"/>
          <w:sz w:val="24"/>
          <w:szCs w:val="24"/>
          <w:lang w:val="en-GB" w:eastAsia="ja-JP"/>
        </w:rPr>
        <w:t xml:space="preserve"> HOLDINGS</w:t>
      </w:r>
      <w:r w:rsidR="00586083" w:rsidRPr="003A1468">
        <w:rPr>
          <w:rFonts w:ascii="Arial" w:eastAsia="MS Mincho" w:hAnsi="Arial" w:cs="Arial"/>
          <w:b/>
          <w:color w:val="1B1919"/>
          <w:sz w:val="24"/>
          <w:szCs w:val="24"/>
          <w:lang w:val="en-GB" w:eastAsia="ja-JP"/>
        </w:rPr>
        <w:t xml:space="preserve"> </w:t>
      </w:r>
      <w:r w:rsidR="00586083" w:rsidRPr="003A1468">
        <w:rPr>
          <w:rFonts w:ascii="Arial" w:eastAsia="MS Mincho" w:hAnsi="Arial" w:cs="Arial"/>
          <w:b/>
          <w:color w:val="1B1919"/>
          <w:sz w:val="24"/>
          <w:szCs w:val="24"/>
          <w:lang w:val="en-GB" w:eastAsia="ja-JP"/>
        </w:rPr>
        <w:tab/>
      </w:r>
      <w:r w:rsidR="00586083">
        <w:rPr>
          <w:rFonts w:ascii="Arial" w:eastAsia="MS Mincho" w:hAnsi="Arial" w:cs="Arial"/>
          <w:b/>
          <w:color w:val="1B1919"/>
          <w:sz w:val="24"/>
          <w:szCs w:val="24"/>
          <w:lang w:val="en-GB" w:eastAsia="ja-JP"/>
        </w:rPr>
        <w:t xml:space="preserve">            </w:t>
      </w:r>
      <w:r w:rsidR="003643D8" w:rsidRPr="003643D8">
        <w:rPr>
          <w:rFonts w:ascii="Arial" w:eastAsia="MS Mincho" w:hAnsi="Arial" w:cs="Arial"/>
          <w:color w:val="1B1919"/>
          <w:sz w:val="24"/>
          <w:szCs w:val="24"/>
          <w:lang w:val="en-GB" w:eastAsia="ja-JP"/>
        </w:rPr>
        <w:t>First Responde</w:t>
      </w:r>
      <w:r w:rsidRPr="003A1468">
        <w:rPr>
          <w:rFonts w:ascii="Arial" w:eastAsia="MS Mincho" w:hAnsi="Arial" w:cs="Arial"/>
          <w:color w:val="1B1919"/>
          <w:sz w:val="24"/>
          <w:szCs w:val="24"/>
          <w:lang w:val="en-GB" w:eastAsia="ja-JP"/>
        </w:rPr>
        <w:t>nt</w:t>
      </w:r>
    </w:p>
    <w:p w:rsidR="00586083" w:rsidRDefault="00586083" w:rsidP="003643D8">
      <w:pPr>
        <w:widowControl w:val="0"/>
        <w:autoSpaceDE w:val="0"/>
        <w:autoSpaceDN w:val="0"/>
        <w:adjustRightInd w:val="0"/>
        <w:spacing w:after="0" w:line="480" w:lineRule="auto"/>
        <w:ind w:left="306" w:hangingChars="127" w:hanging="306"/>
        <w:jc w:val="both"/>
        <w:rPr>
          <w:rFonts w:ascii="Arial" w:eastAsia="MS Mincho" w:hAnsi="Arial" w:cs="Arial"/>
          <w:b/>
          <w:color w:val="1B1919"/>
          <w:sz w:val="24"/>
          <w:szCs w:val="24"/>
          <w:lang w:val="en-GB" w:eastAsia="ja-JP"/>
        </w:rPr>
      </w:pPr>
      <w:r>
        <w:rPr>
          <w:rFonts w:ascii="Arial" w:eastAsia="MS Mincho" w:hAnsi="Arial" w:cs="Arial"/>
          <w:b/>
          <w:color w:val="1B1919"/>
          <w:sz w:val="24"/>
          <w:szCs w:val="24"/>
          <w:lang w:val="en-GB" w:eastAsia="ja-JP"/>
        </w:rPr>
        <w:t>SOUTH AFRICA (PTY) LTD</w:t>
      </w:r>
    </w:p>
    <w:p w:rsidR="003A1468" w:rsidRPr="003A1468" w:rsidRDefault="00BF2A97" w:rsidP="00586083">
      <w:pPr>
        <w:widowControl w:val="0"/>
        <w:autoSpaceDE w:val="0"/>
        <w:autoSpaceDN w:val="0"/>
        <w:adjustRightInd w:val="0"/>
        <w:spacing w:after="0" w:line="480" w:lineRule="auto"/>
        <w:ind w:left="306" w:hangingChars="127" w:hanging="306"/>
        <w:jc w:val="both"/>
        <w:rPr>
          <w:rFonts w:ascii="Arial" w:eastAsia="MS Mincho" w:hAnsi="Arial" w:cs="Arial"/>
          <w:b/>
          <w:color w:val="1B1919"/>
          <w:sz w:val="24"/>
          <w:szCs w:val="24"/>
          <w:lang w:val="en-GB" w:eastAsia="ja-JP"/>
        </w:rPr>
      </w:pPr>
      <w:r>
        <w:rPr>
          <w:rFonts w:ascii="Arial" w:eastAsia="MS Mincho" w:hAnsi="Arial" w:cs="Arial"/>
          <w:b/>
          <w:color w:val="1B1919"/>
          <w:sz w:val="24"/>
          <w:szCs w:val="24"/>
          <w:lang w:val="en-GB" w:eastAsia="ja-JP"/>
        </w:rPr>
        <w:t xml:space="preserve">BERNARD KATZ                        </w:t>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t xml:space="preserve"> </w:t>
      </w:r>
      <w:r w:rsidRPr="003643D8">
        <w:rPr>
          <w:rFonts w:ascii="Arial" w:eastAsia="MS Mincho" w:hAnsi="Arial" w:cs="Arial"/>
          <w:color w:val="1B1919"/>
          <w:sz w:val="24"/>
          <w:szCs w:val="24"/>
          <w:lang w:val="en-GB" w:eastAsia="ja-JP"/>
        </w:rPr>
        <w:t>Second Respondent</w:t>
      </w:r>
      <w:r w:rsidRPr="003A1468">
        <w:rPr>
          <w:rFonts w:ascii="Arial" w:eastAsia="MS Mincho" w:hAnsi="Arial" w:cs="Arial"/>
          <w:b/>
          <w:color w:val="1B1919"/>
          <w:sz w:val="24"/>
          <w:szCs w:val="24"/>
          <w:lang w:val="en-GB" w:eastAsia="ja-JP"/>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FE49B1" w:rsidTr="004A0B23">
        <w:trPr>
          <w:trHeight w:val="108"/>
        </w:trPr>
        <w:tc>
          <w:tcPr>
            <w:tcW w:w="8931" w:type="dxa"/>
          </w:tcPr>
          <w:p w:rsidR="003A1468" w:rsidRPr="003A1468" w:rsidRDefault="003A1468" w:rsidP="003A1468">
            <w:pPr>
              <w:tabs>
                <w:tab w:val="left" w:pos="0"/>
              </w:tabs>
              <w:spacing w:after="0" w:line="480" w:lineRule="auto"/>
              <w:jc w:val="center"/>
              <w:rPr>
                <w:rFonts w:ascii="Arial" w:eastAsia="Times New Roman" w:hAnsi="Arial" w:cs="Arial"/>
                <w:b/>
                <w:color w:val="0E101A"/>
                <w:sz w:val="24"/>
                <w:szCs w:val="24"/>
                <w:lang w:eastAsia="en-ZA"/>
              </w:rPr>
            </w:pPr>
          </w:p>
          <w:p w:rsidR="003A1468" w:rsidRPr="003A1468" w:rsidRDefault="00BF2A97" w:rsidP="003A1468">
            <w:pPr>
              <w:tabs>
                <w:tab w:val="left" w:pos="0"/>
              </w:tabs>
              <w:spacing w:after="0" w:line="480" w:lineRule="auto"/>
              <w:jc w:val="center"/>
              <w:rPr>
                <w:rFonts w:ascii="Arial" w:eastAsia="Times New Roman" w:hAnsi="Arial" w:cs="Arial"/>
                <w:b/>
                <w:color w:val="0E101A"/>
                <w:sz w:val="24"/>
                <w:szCs w:val="24"/>
                <w:lang w:eastAsia="en-ZA"/>
              </w:rPr>
            </w:pPr>
            <w:r w:rsidRPr="003A1468">
              <w:rPr>
                <w:rFonts w:ascii="Arial" w:eastAsia="Times New Roman" w:hAnsi="Arial" w:cs="Arial"/>
                <w:b/>
                <w:color w:val="0E101A"/>
                <w:sz w:val="24"/>
                <w:szCs w:val="24"/>
                <w:lang w:eastAsia="en-ZA"/>
              </w:rPr>
              <w:t>JUDGMENT</w:t>
            </w:r>
          </w:p>
        </w:tc>
      </w:tr>
    </w:tbl>
    <w:p w:rsidR="003A1468" w:rsidRPr="003A1468" w:rsidRDefault="003A1468" w:rsidP="003A1468">
      <w:pPr>
        <w:spacing w:after="200" w:line="240" w:lineRule="auto"/>
        <w:rPr>
          <w:rFonts w:ascii="Arial" w:eastAsia="Times New Roman" w:hAnsi="Arial" w:cs="Arial"/>
          <w:i/>
          <w:lang w:eastAsia="en-ZA"/>
        </w:rPr>
      </w:pPr>
    </w:p>
    <w:p w:rsidR="003A1468" w:rsidRPr="003A1468" w:rsidRDefault="00BF2A97" w:rsidP="00586083">
      <w:pPr>
        <w:spacing w:after="200" w:line="240" w:lineRule="auto"/>
        <w:ind w:firstLine="720"/>
        <w:jc w:val="both"/>
        <w:rPr>
          <w:rFonts w:ascii="Arial" w:eastAsia="Arial Unicode MS" w:hAnsi="Arial" w:cs="Arial"/>
          <w:bCs/>
          <w:i/>
          <w:lang w:val="en-GB" w:eastAsia="zh-CN"/>
        </w:rPr>
      </w:pPr>
      <w:r w:rsidRPr="003A1468">
        <w:rPr>
          <w:rFonts w:ascii="Arial" w:eastAsia="Arial Unicode MS" w:hAnsi="Arial" w:cs="Arial"/>
          <w:b/>
          <w:bCs/>
          <w:i/>
          <w:u w:val="single"/>
          <w:lang w:val="en-GB" w:eastAsia="zh-CN"/>
        </w:rPr>
        <w:lastRenderedPageBreak/>
        <w:t>Delivered:</w:t>
      </w:r>
      <w:r w:rsidRPr="003A1468">
        <w:rPr>
          <w:rFonts w:ascii="Arial" w:eastAsia="Arial Unicode MS" w:hAnsi="Arial" w:cs="Arial"/>
          <w:bCs/>
          <w:i/>
          <w:lang w:val="en-GB" w:eastAsia="zh-CN"/>
        </w:rPr>
        <w:t xml:space="preserve"> By transmission to the parties via email and uploading onto Case Lines</w:t>
      </w:r>
    </w:p>
    <w:p w:rsidR="003A1468" w:rsidRPr="003A1468" w:rsidRDefault="00BF2A97" w:rsidP="00586083">
      <w:pPr>
        <w:spacing w:after="200" w:line="240" w:lineRule="auto"/>
        <w:ind w:firstLine="720"/>
        <w:jc w:val="both"/>
        <w:rPr>
          <w:rFonts w:ascii="Arial" w:eastAsia="Arial Unicode MS" w:hAnsi="Arial" w:cs="Arial"/>
          <w:bCs/>
          <w:i/>
          <w:lang w:val="en-GB" w:eastAsia="zh-CN"/>
        </w:rPr>
      </w:pPr>
      <w:r w:rsidRPr="003A1468">
        <w:rPr>
          <w:rFonts w:ascii="Arial" w:eastAsia="Arial Unicode MS" w:hAnsi="Arial" w:cs="Arial"/>
          <w:bCs/>
          <w:i/>
          <w:lang w:val="en-GB" w:eastAsia="zh-CN"/>
        </w:rPr>
        <w:t>the Judgment is deemed to be delivered. The date for hand-down is deemed to be</w:t>
      </w:r>
    </w:p>
    <w:p w:rsidR="003A1468" w:rsidRPr="003A1468" w:rsidRDefault="00BF2A97" w:rsidP="00586083">
      <w:pPr>
        <w:tabs>
          <w:tab w:val="left" w:pos="0"/>
        </w:tabs>
        <w:spacing w:after="0" w:line="480" w:lineRule="auto"/>
        <w:jc w:val="both"/>
        <w:rPr>
          <w:rFonts w:ascii="Arial" w:eastAsia="Arial Unicode MS" w:hAnsi="Arial" w:cs="Arial"/>
          <w:bCs/>
          <w:i/>
          <w:lang w:val="en-GB" w:eastAsia="zh-CN"/>
        </w:rPr>
      </w:pPr>
      <w:r w:rsidRPr="003A1468">
        <w:rPr>
          <w:rFonts w:ascii="Arial" w:eastAsia="Arial Unicode MS" w:hAnsi="Arial" w:cs="Arial"/>
          <w:bCs/>
          <w:i/>
          <w:lang w:val="en-GB" w:eastAsia="zh-CN"/>
        </w:rPr>
        <w:tab/>
      </w:r>
      <w:r>
        <w:rPr>
          <w:rFonts w:ascii="Arial" w:eastAsia="Arial Unicode MS" w:hAnsi="Arial" w:cs="Arial"/>
          <w:bCs/>
          <w:i/>
          <w:lang w:val="en-GB" w:eastAsia="zh-CN"/>
        </w:rPr>
        <w:t>28</w:t>
      </w:r>
      <w:r w:rsidR="006A3F69">
        <w:rPr>
          <w:rFonts w:ascii="Arial" w:eastAsia="Arial Unicode MS" w:hAnsi="Arial" w:cs="Arial"/>
          <w:bCs/>
          <w:i/>
          <w:lang w:val="en-GB" w:eastAsia="zh-CN"/>
        </w:rPr>
        <w:t xml:space="preserve"> </w:t>
      </w:r>
      <w:r>
        <w:rPr>
          <w:rFonts w:ascii="Arial" w:eastAsia="Arial Unicode MS" w:hAnsi="Arial" w:cs="Arial"/>
          <w:bCs/>
          <w:i/>
          <w:lang w:val="en-GB" w:eastAsia="zh-CN"/>
        </w:rPr>
        <w:t>Jul</w:t>
      </w:r>
      <w:r w:rsidRPr="003A1468">
        <w:rPr>
          <w:rFonts w:ascii="Arial" w:eastAsia="Arial Unicode MS" w:hAnsi="Arial" w:cs="Arial"/>
          <w:bCs/>
          <w:i/>
          <w:lang w:val="en-GB" w:eastAsia="zh-CN"/>
        </w:rPr>
        <w:t>y 2021</w:t>
      </w:r>
    </w:p>
    <w:p w:rsidR="003A1468" w:rsidRPr="003A1468" w:rsidRDefault="003A1468" w:rsidP="00586083">
      <w:pPr>
        <w:tabs>
          <w:tab w:val="left" w:pos="0"/>
        </w:tabs>
        <w:spacing w:after="0" w:line="480" w:lineRule="auto"/>
        <w:jc w:val="both"/>
        <w:rPr>
          <w:rFonts w:ascii="Arial" w:eastAsia="Times New Roman" w:hAnsi="Arial" w:cs="Arial"/>
          <w:i/>
          <w:lang w:eastAsia="en-ZA"/>
        </w:rPr>
      </w:pPr>
    </w:p>
    <w:p w:rsidR="003A1468" w:rsidRPr="003A1468" w:rsidRDefault="00BF2A97" w:rsidP="00586083">
      <w:pPr>
        <w:widowControl w:val="0"/>
        <w:autoSpaceDE w:val="0"/>
        <w:autoSpaceDN w:val="0"/>
        <w:adjustRightInd w:val="0"/>
        <w:spacing w:after="0" w:line="600" w:lineRule="auto"/>
        <w:ind w:left="306" w:firstLine="414"/>
        <w:jc w:val="both"/>
        <w:rPr>
          <w:rFonts w:ascii="Arial" w:eastAsia="MS Mincho" w:hAnsi="Arial" w:cs="Arial"/>
          <w:b/>
          <w:color w:val="1B1919"/>
          <w:sz w:val="24"/>
          <w:szCs w:val="24"/>
          <w:u w:val="single"/>
          <w:lang w:val="en-GB" w:eastAsia="ja-JP"/>
        </w:rPr>
      </w:pPr>
      <w:r w:rsidRPr="003A1468">
        <w:rPr>
          <w:rFonts w:ascii="Arial" w:eastAsia="MS Mincho" w:hAnsi="Arial" w:cs="Arial"/>
          <w:b/>
          <w:color w:val="1B1919"/>
          <w:sz w:val="24"/>
          <w:szCs w:val="24"/>
          <w:u w:val="single"/>
          <w:lang w:val="en-GB" w:eastAsia="ja-JP"/>
        </w:rPr>
        <w:t xml:space="preserve">SENYATSI J: </w:t>
      </w:r>
    </w:p>
    <w:p w:rsidR="006A3F69" w:rsidRPr="003A1468" w:rsidRDefault="00BF2A97" w:rsidP="00586083">
      <w:pPr>
        <w:spacing w:after="200" w:line="480" w:lineRule="auto"/>
        <w:ind w:left="720" w:hanging="720"/>
        <w:jc w:val="both"/>
        <w:rPr>
          <w:rFonts w:ascii="Arial" w:eastAsia="MS Mincho" w:hAnsi="Arial" w:cs="Arial"/>
          <w:sz w:val="24"/>
          <w:szCs w:val="24"/>
          <w:lang w:val="en-GB" w:eastAsia="ja-JP"/>
        </w:rPr>
      </w:pPr>
      <w:r w:rsidRPr="003A1468">
        <w:rPr>
          <w:rFonts w:ascii="Arial" w:eastAsia="MS Mincho" w:hAnsi="Arial" w:cs="Arial"/>
          <w:sz w:val="24"/>
          <w:szCs w:val="24"/>
          <w:lang w:val="en-GB" w:eastAsia="ja-JP"/>
        </w:rPr>
        <w:t xml:space="preserve">[1] </w:t>
      </w:r>
      <w:r w:rsidRPr="003A1468">
        <w:rPr>
          <w:rFonts w:ascii="Arial" w:eastAsia="MS Mincho" w:hAnsi="Arial" w:cs="Arial"/>
          <w:sz w:val="24"/>
          <w:szCs w:val="24"/>
          <w:lang w:val="en-GB" w:eastAsia="ja-JP"/>
        </w:rPr>
        <w:tab/>
        <w:t xml:space="preserve">This is </w:t>
      </w:r>
      <w:r>
        <w:rPr>
          <w:rFonts w:ascii="Arial" w:eastAsia="MS Mincho" w:hAnsi="Arial" w:cs="Arial"/>
          <w:sz w:val="24"/>
          <w:szCs w:val="24"/>
          <w:lang w:val="en-GB" w:eastAsia="ja-JP"/>
        </w:rPr>
        <w:t>an opposed application to review and set aside the determination made by an accounting expert appointed by the parties to determine various disputed issues regarding ongoing arbitration proceedings.</w:t>
      </w:r>
    </w:p>
    <w:p w:rsidR="006A3F69" w:rsidRDefault="00BF2A97" w:rsidP="00586083">
      <w:pPr>
        <w:spacing w:after="200" w:line="480" w:lineRule="auto"/>
        <w:ind w:left="720" w:hanging="720"/>
        <w:jc w:val="both"/>
        <w:rPr>
          <w:rFonts w:ascii="Arial" w:eastAsia="MS Mincho" w:hAnsi="Arial" w:cs="Arial"/>
          <w:sz w:val="24"/>
          <w:szCs w:val="24"/>
          <w:lang w:val="en-GB" w:eastAsia="ja-JP"/>
        </w:rPr>
      </w:pPr>
      <w:r w:rsidRPr="003A1468">
        <w:rPr>
          <w:rFonts w:ascii="Arial" w:eastAsia="MS Mincho" w:hAnsi="Arial" w:cs="Arial"/>
          <w:sz w:val="24"/>
          <w:szCs w:val="24"/>
          <w:lang w:val="en-GB" w:eastAsia="ja-JP"/>
        </w:rPr>
        <w:t>[2]</w:t>
      </w:r>
      <w:r>
        <w:rPr>
          <w:rFonts w:ascii="Arial" w:eastAsia="MS Mincho" w:hAnsi="Arial" w:cs="Arial"/>
          <w:sz w:val="24"/>
          <w:szCs w:val="24"/>
          <w:lang w:val="en-GB" w:eastAsia="ja-JP"/>
        </w:rPr>
        <w:tab/>
        <w:t>The applicants are the defendants in the arbitration proceedings and the first respondent is the claimant.</w:t>
      </w:r>
      <w:r w:rsidR="00A143C5">
        <w:rPr>
          <w:rFonts w:ascii="Arial" w:eastAsia="MS Mincho" w:hAnsi="Arial" w:cs="Arial"/>
          <w:sz w:val="24"/>
          <w:szCs w:val="24"/>
          <w:lang w:val="en-GB" w:eastAsia="ja-JP"/>
        </w:rPr>
        <w:t xml:space="preserve"> The second respondent is not opposing the application and he elected to abide by the court’s decision. Consequently, no relief is sought against him.</w:t>
      </w:r>
    </w:p>
    <w:p w:rsidR="003A1468" w:rsidRDefault="00BF2A97" w:rsidP="00586083">
      <w:pPr>
        <w:spacing w:after="200" w:line="480" w:lineRule="auto"/>
        <w:ind w:left="720" w:hanging="720"/>
        <w:jc w:val="both"/>
        <w:rPr>
          <w:rFonts w:ascii="Arial" w:eastAsia="MS Mincho" w:hAnsi="Arial" w:cs="Arial"/>
          <w:sz w:val="24"/>
          <w:szCs w:val="24"/>
          <w:lang w:val="en-GB" w:eastAsia="ja-JP"/>
        </w:rPr>
      </w:pPr>
      <w:r>
        <w:rPr>
          <w:rFonts w:ascii="Arial" w:eastAsia="MS Mincho" w:hAnsi="Arial" w:cs="Arial"/>
          <w:sz w:val="24"/>
          <w:szCs w:val="24"/>
          <w:lang w:val="en-GB" w:eastAsia="ja-JP"/>
        </w:rPr>
        <w:t>[3]</w:t>
      </w:r>
      <w:r w:rsidRPr="003A1468">
        <w:rPr>
          <w:rFonts w:ascii="Arial" w:eastAsia="MS Mincho" w:hAnsi="Arial" w:cs="Arial"/>
          <w:sz w:val="24"/>
          <w:szCs w:val="24"/>
          <w:lang w:val="en-GB" w:eastAsia="ja-JP"/>
        </w:rPr>
        <w:tab/>
      </w:r>
      <w:r>
        <w:rPr>
          <w:rFonts w:ascii="Arial" w:eastAsia="MS Mincho" w:hAnsi="Arial" w:cs="Arial"/>
          <w:sz w:val="24"/>
          <w:szCs w:val="24"/>
          <w:lang w:val="en-GB" w:eastAsia="ja-JP"/>
        </w:rPr>
        <w:t>The parties entered into a sale agreement which provided for arbitration in case of disputes. Three arbit</w:t>
      </w:r>
      <w:r w:rsidR="00A143C5">
        <w:rPr>
          <w:rFonts w:ascii="Arial" w:eastAsia="MS Mincho" w:hAnsi="Arial" w:cs="Arial"/>
          <w:sz w:val="24"/>
          <w:szCs w:val="24"/>
          <w:lang w:val="en-GB" w:eastAsia="ja-JP"/>
        </w:rPr>
        <w:t>rators were appointed to preside</w:t>
      </w:r>
      <w:r>
        <w:rPr>
          <w:rFonts w:ascii="Arial" w:eastAsia="MS Mincho" w:hAnsi="Arial" w:cs="Arial"/>
          <w:sz w:val="24"/>
          <w:szCs w:val="24"/>
          <w:lang w:val="en-GB" w:eastAsia="ja-JP"/>
        </w:rPr>
        <w:t xml:space="preserve"> over the arbitration. These are </w:t>
      </w:r>
      <w:r w:rsidR="00A143C5" w:rsidRPr="00A143C5">
        <w:rPr>
          <w:rFonts w:ascii="Arial" w:eastAsia="MS Mincho" w:hAnsi="Arial" w:cs="Arial"/>
          <w:sz w:val="24"/>
          <w:szCs w:val="24"/>
          <w:lang w:val="en-GB" w:eastAsia="ja-JP"/>
        </w:rPr>
        <w:t>Messrs</w:t>
      </w:r>
      <w:r w:rsidRPr="00A143C5">
        <w:rPr>
          <w:rFonts w:ascii="Arial" w:eastAsia="MS Mincho" w:hAnsi="Arial" w:cs="Arial"/>
          <w:sz w:val="24"/>
          <w:szCs w:val="24"/>
          <w:lang w:val="en-GB" w:eastAsia="ja-JP"/>
        </w:rPr>
        <w:t xml:space="preserve"> M</w:t>
      </w:r>
      <w:r>
        <w:rPr>
          <w:rFonts w:ascii="Arial" w:eastAsia="MS Mincho" w:hAnsi="Arial" w:cs="Arial"/>
          <w:sz w:val="24"/>
          <w:szCs w:val="24"/>
          <w:lang w:val="en-GB" w:eastAsia="ja-JP"/>
        </w:rPr>
        <w:t xml:space="preserve">.D Kuper SC, A Grautschin SC and CD Loxton SC. Loxton SC was later substituted by </w:t>
      </w:r>
      <w:r w:rsidR="00A143C5">
        <w:rPr>
          <w:rFonts w:ascii="Arial" w:eastAsia="MS Mincho" w:hAnsi="Arial" w:cs="Arial"/>
          <w:sz w:val="24"/>
          <w:szCs w:val="24"/>
          <w:lang w:val="en-GB" w:eastAsia="ja-JP"/>
        </w:rPr>
        <w:t xml:space="preserve">Mr </w:t>
      </w:r>
      <w:r>
        <w:rPr>
          <w:rFonts w:ascii="Arial" w:eastAsia="MS Mincho" w:hAnsi="Arial" w:cs="Arial"/>
          <w:sz w:val="24"/>
          <w:szCs w:val="24"/>
          <w:lang w:val="en-GB" w:eastAsia="ja-JP"/>
        </w:rPr>
        <w:t>D Fine SC due to scheduling conflicts.</w:t>
      </w:r>
    </w:p>
    <w:p w:rsidR="00E41208" w:rsidRDefault="00BF2A97" w:rsidP="00586083">
      <w:pPr>
        <w:spacing w:after="200" w:line="480" w:lineRule="auto"/>
        <w:ind w:left="720" w:hanging="720"/>
        <w:jc w:val="both"/>
        <w:rPr>
          <w:rFonts w:ascii="Arial" w:eastAsia="MS Mincho" w:hAnsi="Arial" w:cs="Arial"/>
          <w:sz w:val="24"/>
          <w:szCs w:val="24"/>
          <w:lang w:val="en-GB" w:eastAsia="ja-JP"/>
        </w:rPr>
      </w:pPr>
      <w:r>
        <w:rPr>
          <w:rFonts w:ascii="Arial" w:eastAsia="MS Mincho" w:hAnsi="Arial" w:cs="Arial"/>
          <w:sz w:val="24"/>
          <w:szCs w:val="24"/>
          <w:lang w:val="en-GB" w:eastAsia="ja-JP"/>
        </w:rPr>
        <w:t>[4]</w:t>
      </w:r>
      <w:r>
        <w:rPr>
          <w:rFonts w:ascii="Arial" w:eastAsia="MS Mincho" w:hAnsi="Arial" w:cs="Arial"/>
          <w:sz w:val="24"/>
          <w:szCs w:val="24"/>
          <w:lang w:val="en-GB" w:eastAsia="ja-JP"/>
        </w:rPr>
        <w:tab/>
        <w:t>The parties separated certain issues at the ar</w:t>
      </w:r>
      <w:r w:rsidR="002A1ECE">
        <w:rPr>
          <w:rFonts w:ascii="Arial" w:eastAsia="MS Mincho" w:hAnsi="Arial" w:cs="Arial"/>
          <w:sz w:val="24"/>
          <w:szCs w:val="24"/>
          <w:lang w:val="en-GB" w:eastAsia="ja-JP"/>
        </w:rPr>
        <w:t xml:space="preserve">bitration proceedings and these </w:t>
      </w:r>
      <w:r>
        <w:rPr>
          <w:rFonts w:ascii="Arial" w:eastAsia="MS Mincho" w:hAnsi="Arial" w:cs="Arial"/>
          <w:sz w:val="24"/>
          <w:szCs w:val="24"/>
          <w:lang w:val="en-GB" w:eastAsia="ja-JP"/>
        </w:rPr>
        <w:t>were to be heard on 19 November 2020 after the s</w:t>
      </w:r>
      <w:r w:rsidR="002A1ECE">
        <w:rPr>
          <w:rFonts w:ascii="Arial" w:eastAsia="MS Mincho" w:hAnsi="Arial" w:cs="Arial"/>
          <w:sz w:val="24"/>
          <w:szCs w:val="24"/>
          <w:lang w:val="en-GB" w:eastAsia="ja-JP"/>
        </w:rPr>
        <w:t xml:space="preserve">tatements of claim and defence </w:t>
      </w:r>
      <w:r>
        <w:rPr>
          <w:rFonts w:ascii="Arial" w:eastAsia="MS Mincho" w:hAnsi="Arial" w:cs="Arial"/>
          <w:sz w:val="24"/>
          <w:szCs w:val="24"/>
          <w:lang w:val="en-GB" w:eastAsia="ja-JP"/>
        </w:rPr>
        <w:t>were finalised. The separated issues included the first respondent’s alleged purchase price adjustment</w:t>
      </w:r>
      <w:r w:rsidR="002A1ECE">
        <w:rPr>
          <w:rFonts w:ascii="Arial" w:eastAsia="MS Mincho" w:hAnsi="Arial" w:cs="Arial"/>
          <w:sz w:val="24"/>
          <w:szCs w:val="24"/>
          <w:lang w:val="en-GB" w:eastAsia="ja-JP"/>
        </w:rPr>
        <w:t xml:space="preserve"> claim and the merits of the unaccrued</w:t>
      </w:r>
      <w:r>
        <w:rPr>
          <w:rFonts w:ascii="Arial" w:eastAsia="MS Mincho" w:hAnsi="Arial" w:cs="Arial"/>
          <w:sz w:val="24"/>
          <w:szCs w:val="24"/>
          <w:lang w:val="en-GB" w:eastAsia="ja-JP"/>
        </w:rPr>
        <w:t xml:space="preserve"> creditors </w:t>
      </w:r>
    </w:p>
    <w:p w:rsidR="00F758A7" w:rsidRPr="00F758A7" w:rsidRDefault="00BF2A97" w:rsidP="00586083">
      <w:pPr>
        <w:spacing w:after="0" w:line="480" w:lineRule="auto"/>
        <w:ind w:left="720" w:hanging="720"/>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t>[5]</w:t>
      </w:r>
      <w:r w:rsidRPr="00F758A7">
        <w:rPr>
          <w:rFonts w:ascii="Arial" w:eastAsia="Times New Roman" w:hAnsi="Arial" w:cs="Arial"/>
          <w:color w:val="000000"/>
          <w:sz w:val="24"/>
          <w:szCs w:val="24"/>
          <w:lang w:eastAsia="en-ZA"/>
        </w:rPr>
        <w:tab/>
      </w:r>
      <w:r w:rsidR="002A1ECE">
        <w:rPr>
          <w:rFonts w:ascii="Arial" w:eastAsia="Times New Roman" w:hAnsi="Arial" w:cs="Arial"/>
          <w:color w:val="000000"/>
          <w:sz w:val="24"/>
          <w:szCs w:val="24"/>
          <w:lang w:eastAsia="en-ZA"/>
        </w:rPr>
        <w:t xml:space="preserve">Before the arbitration hearing, </w:t>
      </w:r>
      <w:r w:rsidRPr="00F758A7">
        <w:rPr>
          <w:rFonts w:ascii="Arial" w:eastAsia="Times New Roman" w:hAnsi="Arial" w:cs="Arial"/>
          <w:color w:val="000000"/>
          <w:sz w:val="24"/>
          <w:szCs w:val="24"/>
          <w:lang w:eastAsia="en-ZA"/>
        </w:rPr>
        <w:t>the applicants delivered an expert w</w:t>
      </w:r>
      <w:r w:rsidR="00A143C5">
        <w:rPr>
          <w:rFonts w:ascii="Arial" w:eastAsia="Times New Roman" w:hAnsi="Arial" w:cs="Arial"/>
          <w:color w:val="000000"/>
          <w:sz w:val="24"/>
          <w:szCs w:val="24"/>
          <w:lang w:eastAsia="en-ZA"/>
        </w:rPr>
        <w:t>itness statement prepared by Mr</w:t>
      </w:r>
      <w:r w:rsidRPr="00F758A7">
        <w:rPr>
          <w:rFonts w:ascii="Arial" w:eastAsia="Times New Roman" w:hAnsi="Arial" w:cs="Arial"/>
          <w:color w:val="000000"/>
          <w:sz w:val="24"/>
          <w:szCs w:val="24"/>
          <w:lang w:eastAsia="en-ZA"/>
        </w:rPr>
        <w:t xml:space="preserve"> A Felet</w:t>
      </w:r>
      <w:r w:rsidR="002A1ECE">
        <w:rPr>
          <w:rFonts w:ascii="Arial" w:eastAsia="Times New Roman" w:hAnsi="Arial" w:cs="Arial"/>
          <w:color w:val="000000"/>
          <w:sz w:val="24"/>
          <w:szCs w:val="24"/>
          <w:lang w:eastAsia="en-ZA"/>
        </w:rPr>
        <w:t xml:space="preserve"> (“</w:t>
      </w:r>
      <w:r w:rsidR="00A143C5">
        <w:rPr>
          <w:rFonts w:ascii="Arial" w:eastAsia="Times New Roman" w:hAnsi="Arial" w:cs="Arial"/>
          <w:color w:val="000000"/>
          <w:sz w:val="24"/>
          <w:szCs w:val="24"/>
          <w:lang w:eastAsia="en-ZA"/>
        </w:rPr>
        <w:t xml:space="preserve">Mr </w:t>
      </w:r>
      <w:r w:rsidR="002A1ECE">
        <w:rPr>
          <w:rFonts w:ascii="Arial" w:eastAsia="Times New Roman" w:hAnsi="Arial" w:cs="Arial"/>
          <w:color w:val="000000"/>
          <w:sz w:val="24"/>
          <w:szCs w:val="24"/>
          <w:lang w:eastAsia="en-ZA"/>
        </w:rPr>
        <w:t>Felet”)</w:t>
      </w:r>
      <w:r w:rsidRPr="00F758A7">
        <w:rPr>
          <w:rFonts w:ascii="Arial" w:eastAsia="Times New Roman" w:hAnsi="Arial" w:cs="Arial"/>
          <w:color w:val="000000"/>
          <w:sz w:val="24"/>
          <w:szCs w:val="24"/>
          <w:lang w:eastAsia="en-ZA"/>
        </w:rPr>
        <w:t xml:space="preserve"> in which he disputed the inclusion of certain line items as unaccrued creditors in the</w:t>
      </w:r>
      <w:r w:rsidR="002A1ECE">
        <w:rPr>
          <w:rFonts w:ascii="Arial" w:eastAsia="Times New Roman" w:hAnsi="Arial" w:cs="Arial"/>
          <w:color w:val="000000"/>
          <w:sz w:val="24"/>
          <w:szCs w:val="24"/>
          <w:lang w:eastAsia="en-ZA"/>
        </w:rPr>
        <w:t xml:space="preserve"> first respondent's amended </w:t>
      </w:r>
      <w:r w:rsidR="002A1ECE">
        <w:rPr>
          <w:rFonts w:ascii="Arial" w:eastAsia="Times New Roman" w:hAnsi="Arial" w:cs="Arial"/>
          <w:color w:val="000000"/>
          <w:sz w:val="24"/>
          <w:szCs w:val="24"/>
          <w:lang w:eastAsia="en-ZA"/>
        </w:rPr>
        <w:lastRenderedPageBreak/>
        <w:t>claim.  T</w:t>
      </w:r>
      <w:r w:rsidRPr="00F758A7">
        <w:rPr>
          <w:rFonts w:ascii="Arial" w:eastAsia="Times New Roman" w:hAnsi="Arial" w:cs="Arial"/>
          <w:color w:val="000000"/>
          <w:sz w:val="24"/>
          <w:szCs w:val="24"/>
          <w:lang w:eastAsia="en-ZA"/>
        </w:rPr>
        <w:t>he statement was rebutted by Mr. C Domoney</w:t>
      </w:r>
      <w:r w:rsidR="002A1ECE">
        <w:rPr>
          <w:rFonts w:ascii="Arial" w:eastAsia="Times New Roman" w:hAnsi="Arial" w:cs="Arial"/>
          <w:color w:val="000000"/>
          <w:sz w:val="24"/>
          <w:szCs w:val="24"/>
          <w:lang w:eastAsia="en-ZA"/>
        </w:rPr>
        <w:t xml:space="preserve"> (“</w:t>
      </w:r>
      <w:r w:rsidR="00A143C5">
        <w:rPr>
          <w:rFonts w:ascii="Arial" w:eastAsia="Times New Roman" w:hAnsi="Arial" w:cs="Arial"/>
          <w:color w:val="000000"/>
          <w:sz w:val="24"/>
          <w:szCs w:val="24"/>
          <w:lang w:eastAsia="en-ZA"/>
        </w:rPr>
        <w:t xml:space="preserve">Mr </w:t>
      </w:r>
      <w:r w:rsidR="002A1ECE">
        <w:rPr>
          <w:rFonts w:ascii="Arial" w:eastAsia="Times New Roman" w:hAnsi="Arial" w:cs="Arial"/>
          <w:color w:val="000000"/>
          <w:sz w:val="24"/>
          <w:szCs w:val="24"/>
          <w:lang w:eastAsia="en-ZA"/>
        </w:rPr>
        <w:t>Domoney”)</w:t>
      </w:r>
      <w:r w:rsidRPr="00F758A7">
        <w:rPr>
          <w:rFonts w:ascii="Arial" w:eastAsia="Times New Roman" w:hAnsi="Arial" w:cs="Arial"/>
          <w:color w:val="000000"/>
          <w:sz w:val="24"/>
          <w:szCs w:val="24"/>
          <w:lang w:eastAsia="en-ZA"/>
        </w:rPr>
        <w:t xml:space="preserve"> on behalf of the first respondent and purported to explain why line items disputed b</w:t>
      </w:r>
      <w:r w:rsidR="002A1ECE">
        <w:rPr>
          <w:rFonts w:ascii="Arial" w:eastAsia="Times New Roman" w:hAnsi="Arial" w:cs="Arial"/>
          <w:color w:val="000000"/>
          <w:sz w:val="24"/>
          <w:szCs w:val="24"/>
          <w:lang w:eastAsia="en-ZA"/>
        </w:rPr>
        <w:t xml:space="preserve">y </w:t>
      </w:r>
      <w:r w:rsidRPr="00F758A7">
        <w:rPr>
          <w:rFonts w:ascii="Arial" w:eastAsia="Times New Roman" w:hAnsi="Arial" w:cs="Arial"/>
          <w:color w:val="000000"/>
          <w:sz w:val="24"/>
          <w:szCs w:val="24"/>
          <w:lang w:eastAsia="en-ZA"/>
        </w:rPr>
        <w:t>Felet in his report were al</w:t>
      </w:r>
      <w:r w:rsidR="00A143C5">
        <w:rPr>
          <w:rFonts w:ascii="Arial" w:eastAsia="Times New Roman" w:hAnsi="Arial" w:cs="Arial"/>
          <w:color w:val="000000"/>
          <w:sz w:val="24"/>
          <w:szCs w:val="24"/>
          <w:lang w:eastAsia="en-ZA"/>
        </w:rPr>
        <w:t>legedly correctly classified as</w:t>
      </w:r>
      <w:r w:rsidRPr="00F758A7">
        <w:rPr>
          <w:rFonts w:ascii="Arial" w:eastAsia="Times New Roman" w:hAnsi="Arial" w:cs="Arial"/>
          <w:color w:val="000000"/>
          <w:sz w:val="24"/>
          <w:szCs w:val="24"/>
          <w:lang w:eastAsia="en-ZA"/>
        </w:rPr>
        <w:t xml:space="preserve"> unaccrued creditors.</w:t>
      </w:r>
    </w:p>
    <w:p w:rsidR="00F758A7" w:rsidRPr="00F758A7" w:rsidRDefault="00F758A7" w:rsidP="00586083">
      <w:pPr>
        <w:spacing w:after="0" w:line="480" w:lineRule="auto"/>
        <w:jc w:val="both"/>
        <w:rPr>
          <w:rFonts w:ascii="Arial" w:eastAsia="Times New Roman" w:hAnsi="Arial" w:cs="Arial"/>
          <w:sz w:val="24"/>
          <w:szCs w:val="24"/>
          <w:lang w:eastAsia="en-ZA"/>
        </w:rPr>
      </w:pPr>
    </w:p>
    <w:p w:rsidR="00F758A7" w:rsidRPr="00F758A7" w:rsidRDefault="00BF2A97" w:rsidP="00586083">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[6]</w:t>
      </w:r>
      <w:r>
        <w:rPr>
          <w:rFonts w:ascii="Arial" w:eastAsia="Times New Roman" w:hAnsi="Arial" w:cs="Arial"/>
          <w:color w:val="000000"/>
          <w:sz w:val="24"/>
          <w:szCs w:val="24"/>
          <w:lang w:eastAsia="en-ZA"/>
        </w:rPr>
        <w:tab/>
      </w:r>
      <w:r w:rsidR="002A1ECE">
        <w:rPr>
          <w:rFonts w:ascii="Arial" w:eastAsia="Times New Roman" w:hAnsi="Arial" w:cs="Arial"/>
          <w:color w:val="000000"/>
          <w:sz w:val="24"/>
          <w:szCs w:val="24"/>
          <w:lang w:eastAsia="en-ZA"/>
        </w:rPr>
        <w:t>T</w:t>
      </w:r>
      <w:r w:rsidRPr="00F758A7">
        <w:rPr>
          <w:rFonts w:ascii="Arial" w:eastAsia="Times New Roman" w:hAnsi="Arial" w:cs="Arial"/>
          <w:color w:val="000000"/>
          <w:sz w:val="24"/>
          <w:szCs w:val="24"/>
          <w:lang w:eastAsia="en-ZA"/>
        </w:rPr>
        <w:t>he arbitration proceedings did not proceed as scheduled on 19 November 2020 but were instead postponed by ag</w:t>
      </w:r>
      <w:r w:rsidR="002A1ECE">
        <w:rPr>
          <w:rFonts w:ascii="Arial" w:eastAsia="Times New Roman" w:hAnsi="Arial" w:cs="Arial"/>
          <w:color w:val="000000"/>
          <w:sz w:val="24"/>
          <w:szCs w:val="24"/>
          <w:lang w:eastAsia="en-ZA"/>
        </w:rPr>
        <w:t>reement between the parties to 11 June 2021. T</w:t>
      </w:r>
      <w:r w:rsidRPr="00F758A7">
        <w:rPr>
          <w:rFonts w:ascii="Arial" w:eastAsia="Times New Roman" w:hAnsi="Arial" w:cs="Arial"/>
          <w:color w:val="000000"/>
          <w:sz w:val="24"/>
          <w:szCs w:val="24"/>
          <w:lang w:eastAsia="en-ZA"/>
        </w:rPr>
        <w:t>he parties consequently agreed to refer</w:t>
      </w:r>
      <w:r w:rsidR="00A143C5">
        <w:rPr>
          <w:rFonts w:ascii="Arial" w:eastAsia="Times New Roman" w:hAnsi="Arial" w:cs="Arial"/>
          <w:color w:val="000000"/>
          <w:sz w:val="24"/>
          <w:szCs w:val="24"/>
          <w:lang w:eastAsia="en-ZA"/>
        </w:rPr>
        <w:t xml:space="preserve"> the issue of</w:t>
      </w:r>
      <w:r w:rsidRPr="00F758A7">
        <w:rPr>
          <w:rFonts w:ascii="Arial" w:eastAsia="Times New Roman" w:hAnsi="Arial" w:cs="Arial"/>
          <w:color w:val="000000"/>
          <w:sz w:val="24"/>
          <w:szCs w:val="24"/>
          <w:lang w:eastAsia="en-ZA"/>
        </w:rPr>
        <w:t xml:space="preserve"> whether the first respondent's line items described in the amended claim were indeed correctly identified as unaccrued creditors as of 10 February 2017</w:t>
      </w:r>
      <w:r w:rsidR="00A143C5">
        <w:rPr>
          <w:rFonts w:ascii="Arial" w:eastAsia="Times New Roman" w:hAnsi="Arial" w:cs="Arial"/>
          <w:color w:val="000000"/>
          <w:sz w:val="24"/>
          <w:szCs w:val="24"/>
          <w:lang w:eastAsia="en-ZA"/>
        </w:rPr>
        <w:t xml:space="preserve">. </w:t>
      </w:r>
      <w:r w:rsidR="002A1ECE">
        <w:rPr>
          <w:rFonts w:ascii="Arial" w:eastAsia="Times New Roman" w:hAnsi="Arial" w:cs="Arial"/>
          <w:color w:val="000000"/>
          <w:sz w:val="24"/>
          <w:szCs w:val="24"/>
          <w:lang w:eastAsia="en-ZA"/>
        </w:rPr>
        <w:t xml:space="preserve"> Barnard</w:t>
      </w:r>
      <w:r w:rsidRPr="00F758A7">
        <w:rPr>
          <w:rFonts w:ascii="Arial" w:eastAsia="Times New Roman" w:hAnsi="Arial" w:cs="Arial"/>
          <w:color w:val="000000"/>
          <w:sz w:val="24"/>
          <w:szCs w:val="24"/>
          <w:lang w:eastAsia="en-ZA"/>
        </w:rPr>
        <w:t xml:space="preserve"> Katz</w:t>
      </w:r>
      <w:r w:rsidR="002A1ECE">
        <w:rPr>
          <w:rFonts w:ascii="Arial" w:eastAsia="Times New Roman" w:hAnsi="Arial" w:cs="Arial"/>
          <w:color w:val="000000"/>
          <w:sz w:val="24"/>
          <w:szCs w:val="24"/>
          <w:lang w:eastAsia="en-ZA"/>
        </w:rPr>
        <w:t xml:space="preserve"> (“</w:t>
      </w:r>
      <w:r w:rsidR="00A143C5">
        <w:rPr>
          <w:rFonts w:ascii="Arial" w:eastAsia="Times New Roman" w:hAnsi="Arial" w:cs="Arial"/>
          <w:color w:val="000000"/>
          <w:sz w:val="24"/>
          <w:szCs w:val="24"/>
          <w:lang w:eastAsia="en-ZA"/>
        </w:rPr>
        <w:t xml:space="preserve">Mr </w:t>
      </w:r>
      <w:r w:rsidR="002A1ECE">
        <w:rPr>
          <w:rFonts w:ascii="Arial" w:eastAsia="Times New Roman" w:hAnsi="Arial" w:cs="Arial"/>
          <w:color w:val="000000"/>
          <w:sz w:val="24"/>
          <w:szCs w:val="24"/>
          <w:lang w:eastAsia="en-ZA"/>
        </w:rPr>
        <w:t>Katz”)</w:t>
      </w:r>
      <w:r w:rsidR="00A143C5">
        <w:rPr>
          <w:rFonts w:ascii="Arial" w:eastAsia="Times New Roman" w:hAnsi="Arial" w:cs="Arial"/>
          <w:color w:val="000000"/>
          <w:sz w:val="24"/>
          <w:szCs w:val="24"/>
          <w:lang w:eastAsia="en-ZA"/>
        </w:rPr>
        <w:t>, who is the second respondent was jointly appointed as accountant expert and the disputed line items of the amended claim were referred to him for determination</w:t>
      </w:r>
      <w:r w:rsidR="000F1BB4">
        <w:rPr>
          <w:rFonts w:ascii="Arial" w:eastAsia="Times New Roman" w:hAnsi="Arial" w:cs="Arial"/>
          <w:color w:val="000000"/>
          <w:sz w:val="24"/>
          <w:szCs w:val="24"/>
          <w:lang w:eastAsia="en-ZA"/>
        </w:rPr>
        <w:t xml:space="preserve">. </w:t>
      </w:r>
      <w:r w:rsidR="002A1ECE">
        <w:rPr>
          <w:rFonts w:ascii="Arial" w:eastAsia="Times New Roman" w:hAnsi="Arial" w:cs="Arial"/>
          <w:color w:val="000000"/>
          <w:sz w:val="24"/>
          <w:szCs w:val="24"/>
          <w:lang w:eastAsia="en-ZA"/>
        </w:rPr>
        <w:t>T</w:t>
      </w:r>
      <w:r w:rsidR="00A143C5">
        <w:rPr>
          <w:rFonts w:ascii="Arial" w:eastAsia="Times New Roman" w:hAnsi="Arial" w:cs="Arial"/>
          <w:color w:val="000000"/>
          <w:sz w:val="24"/>
          <w:szCs w:val="24"/>
          <w:lang w:eastAsia="en-ZA"/>
        </w:rPr>
        <w:t>he terms of reference were duly</w:t>
      </w:r>
      <w:r w:rsidRPr="00F758A7">
        <w:rPr>
          <w:rFonts w:ascii="Arial" w:eastAsia="Times New Roman" w:hAnsi="Arial" w:cs="Arial"/>
          <w:color w:val="000000"/>
          <w:sz w:val="24"/>
          <w:szCs w:val="24"/>
          <w:lang w:eastAsia="en-ZA"/>
        </w:rPr>
        <w:t xml:space="preserve"> agreed to b</w:t>
      </w:r>
      <w:r w:rsidR="000F1BB4">
        <w:rPr>
          <w:rFonts w:ascii="Arial" w:eastAsia="Times New Roman" w:hAnsi="Arial" w:cs="Arial"/>
          <w:color w:val="000000"/>
          <w:sz w:val="24"/>
          <w:szCs w:val="24"/>
          <w:lang w:eastAsia="en-ZA"/>
        </w:rPr>
        <w:t xml:space="preserve">etween the parties </w:t>
      </w:r>
      <w:r w:rsidR="00A143C5">
        <w:rPr>
          <w:rFonts w:ascii="Arial" w:eastAsia="Times New Roman" w:hAnsi="Arial" w:cs="Arial"/>
          <w:color w:val="000000"/>
          <w:sz w:val="24"/>
          <w:szCs w:val="24"/>
          <w:lang w:eastAsia="en-ZA"/>
        </w:rPr>
        <w:t>and were sent</w:t>
      </w:r>
      <w:r w:rsidR="000F1BB4">
        <w:rPr>
          <w:rFonts w:ascii="Arial" w:eastAsia="Times New Roman" w:hAnsi="Arial" w:cs="Arial"/>
          <w:color w:val="000000"/>
          <w:sz w:val="24"/>
          <w:szCs w:val="24"/>
          <w:lang w:eastAsia="en-ZA"/>
        </w:rPr>
        <w:t xml:space="preserve"> to Katz</w:t>
      </w:r>
      <w:r w:rsidRPr="00F758A7">
        <w:rPr>
          <w:rFonts w:ascii="Arial" w:eastAsia="Times New Roman" w:hAnsi="Arial" w:cs="Arial"/>
          <w:color w:val="000000"/>
          <w:sz w:val="24"/>
          <w:szCs w:val="24"/>
          <w:lang w:eastAsia="en-ZA"/>
        </w:rPr>
        <w:t xml:space="preserve"> on 23 November 2020.</w:t>
      </w:r>
    </w:p>
    <w:p w:rsidR="00F758A7" w:rsidRPr="00F758A7" w:rsidRDefault="00F758A7" w:rsidP="00586083">
      <w:pPr>
        <w:spacing w:after="0" w:line="480" w:lineRule="auto"/>
        <w:jc w:val="both"/>
        <w:rPr>
          <w:rFonts w:ascii="Arial" w:eastAsia="Times New Roman" w:hAnsi="Arial" w:cs="Arial"/>
          <w:sz w:val="24"/>
          <w:szCs w:val="24"/>
          <w:lang w:eastAsia="en-ZA"/>
        </w:rPr>
      </w:pPr>
    </w:p>
    <w:p w:rsidR="00F758A7" w:rsidRPr="00F758A7" w:rsidRDefault="00BF2A97" w:rsidP="00586083">
      <w:pPr>
        <w:spacing w:after="0" w:line="480" w:lineRule="auto"/>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t>[7]</w:t>
      </w:r>
      <w:r w:rsidRPr="00F758A7">
        <w:rPr>
          <w:rFonts w:ascii="Arial" w:eastAsia="Times New Roman" w:hAnsi="Arial" w:cs="Arial"/>
          <w:color w:val="000000"/>
          <w:sz w:val="24"/>
          <w:szCs w:val="24"/>
          <w:lang w:eastAsia="en-ZA"/>
        </w:rPr>
        <w:tab/>
      </w:r>
      <w:r w:rsidR="002A1ECE">
        <w:rPr>
          <w:rFonts w:ascii="Arial" w:eastAsia="Times New Roman" w:hAnsi="Arial" w:cs="Arial"/>
          <w:color w:val="000000"/>
          <w:sz w:val="24"/>
          <w:szCs w:val="24"/>
          <w:lang w:eastAsia="en-ZA"/>
        </w:rPr>
        <w:t xml:space="preserve"> T</w:t>
      </w:r>
      <w:r w:rsidR="000F1BB4">
        <w:rPr>
          <w:rFonts w:ascii="Arial" w:eastAsia="Times New Roman" w:hAnsi="Arial" w:cs="Arial"/>
          <w:color w:val="000000"/>
          <w:sz w:val="24"/>
          <w:szCs w:val="24"/>
          <w:lang w:eastAsia="en-ZA"/>
        </w:rPr>
        <w:t>he terms of reference (“Mandate”) </w:t>
      </w:r>
      <w:r w:rsidRPr="00F758A7">
        <w:rPr>
          <w:rFonts w:ascii="Arial" w:eastAsia="Times New Roman" w:hAnsi="Arial" w:cs="Arial"/>
          <w:color w:val="000000"/>
          <w:sz w:val="24"/>
          <w:szCs w:val="24"/>
          <w:lang w:eastAsia="en-ZA"/>
        </w:rPr>
        <w:t>were crafted as follows:</w:t>
      </w:r>
    </w:p>
    <w:p w:rsidR="005E2868" w:rsidRPr="005E2868" w:rsidRDefault="00BF2A97" w:rsidP="00586083">
      <w:pPr>
        <w:spacing w:after="0" w:line="360" w:lineRule="auto"/>
        <w:ind w:left="144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“1.  Barnard Katz is appointed as an umpire to determine:</w:t>
      </w:r>
    </w:p>
    <w:p w:rsidR="00F758A7" w:rsidRPr="005E2868" w:rsidRDefault="00BF2A97" w:rsidP="00586083">
      <w:pPr>
        <w:pStyle w:val="ListParagraph"/>
        <w:numPr>
          <w:ilvl w:val="1"/>
          <w:numId w:val="7"/>
        </w:numPr>
        <w:spacing w:after="0" w:line="360" w:lineRule="auto"/>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w</w:t>
      </w:r>
      <w:r>
        <w:rPr>
          <w:rFonts w:ascii="Arial" w:eastAsia="Times New Roman" w:hAnsi="Arial" w:cs="Arial"/>
          <w:i/>
          <w:iCs/>
          <w:color w:val="000000"/>
          <w:lang w:eastAsia="en-ZA"/>
        </w:rPr>
        <w:t>hether tho</w:t>
      </w:r>
      <w:r w:rsidR="004A0B23" w:rsidRPr="005E2868">
        <w:rPr>
          <w:rFonts w:ascii="Arial" w:eastAsia="Times New Roman" w:hAnsi="Arial" w:cs="Arial"/>
          <w:i/>
          <w:iCs/>
          <w:color w:val="000000"/>
          <w:lang w:eastAsia="en-ZA"/>
        </w:rPr>
        <w:t xml:space="preserve">se items on annexure “X” hereto, which are placed in issue by Mr. Felet, were accrued creditors as at </w:t>
      </w:r>
      <w:r>
        <w:rPr>
          <w:rFonts w:ascii="Arial" w:eastAsia="Times New Roman" w:hAnsi="Arial" w:cs="Arial"/>
          <w:i/>
          <w:iCs/>
          <w:color w:val="000000"/>
          <w:lang w:eastAsia="en-ZA"/>
        </w:rPr>
        <w:t>10 February 2017 ("the Closing D</w:t>
      </w:r>
      <w:r w:rsidR="004A0B23" w:rsidRPr="005E2868">
        <w:rPr>
          <w:rFonts w:ascii="Arial" w:eastAsia="Times New Roman" w:hAnsi="Arial" w:cs="Arial"/>
          <w:i/>
          <w:iCs/>
          <w:color w:val="000000"/>
          <w:lang w:eastAsia="en-ZA"/>
        </w:rPr>
        <w:t xml:space="preserve">ate") being based on the documents And witness statements and </w:t>
      </w:r>
      <w:r w:rsidR="002A1ECE" w:rsidRPr="005E2868">
        <w:rPr>
          <w:rFonts w:ascii="Arial" w:eastAsia="Times New Roman" w:hAnsi="Arial" w:cs="Arial"/>
          <w:i/>
          <w:iCs/>
          <w:color w:val="000000"/>
          <w:lang w:eastAsia="en-ZA"/>
        </w:rPr>
        <w:t xml:space="preserve">explanations to be provided to </w:t>
      </w:r>
      <w:r w:rsidR="004A0B23" w:rsidRPr="005E2868">
        <w:rPr>
          <w:rFonts w:ascii="Arial" w:eastAsia="Times New Roman" w:hAnsi="Arial" w:cs="Arial"/>
          <w:i/>
          <w:iCs/>
          <w:color w:val="000000"/>
          <w:lang w:eastAsia="en-ZA"/>
        </w:rPr>
        <w:t>the u</w:t>
      </w:r>
      <w:r>
        <w:rPr>
          <w:rFonts w:ascii="Arial" w:eastAsia="Times New Roman" w:hAnsi="Arial" w:cs="Arial"/>
          <w:i/>
          <w:iCs/>
          <w:color w:val="000000"/>
          <w:lang w:eastAsia="en-ZA"/>
        </w:rPr>
        <w:t>mpire, and using the decision t</w:t>
      </w:r>
      <w:r w:rsidR="004A0B23" w:rsidRPr="005E2868">
        <w:rPr>
          <w:rFonts w:ascii="Arial" w:eastAsia="Times New Roman" w:hAnsi="Arial" w:cs="Arial"/>
          <w:i/>
          <w:iCs/>
          <w:color w:val="000000"/>
          <w:lang w:eastAsia="en-ZA"/>
        </w:rPr>
        <w:t>ree methodology provided in the report of Mr Felet, viz  that the goods  and services were:</w:t>
      </w:r>
    </w:p>
    <w:p w:rsidR="00F758A7" w:rsidRPr="005E2868" w:rsidRDefault="00BF2A97" w:rsidP="00586083">
      <w:pPr>
        <w:pStyle w:val="ListParagraph"/>
        <w:spacing w:after="0" w:line="360" w:lineRule="auto"/>
        <w:ind w:left="294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 </w:t>
      </w:r>
    </w:p>
    <w:p w:rsidR="00F758A7" w:rsidRPr="005E2868" w:rsidRDefault="00BF2A97" w:rsidP="00586083">
      <w:pPr>
        <w:spacing w:after="0" w:line="360" w:lineRule="auto"/>
        <w:jc w:val="both"/>
        <w:rPr>
          <w:rFonts w:ascii="Arial" w:eastAsia="Times New Roman" w:hAnsi="Arial" w:cs="Arial"/>
          <w:lang w:eastAsia="en-ZA"/>
        </w:rPr>
      </w:pP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00544016"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1.1.1.</w:t>
      </w:r>
      <w:r w:rsidRPr="005E2868">
        <w:rPr>
          <w:rFonts w:ascii="Arial" w:eastAsia="Times New Roman" w:hAnsi="Arial" w:cs="Arial"/>
          <w:i/>
          <w:iCs/>
          <w:color w:val="000000"/>
          <w:lang w:eastAsia="en-ZA"/>
        </w:rPr>
        <w:tab/>
      </w:r>
      <w:r w:rsidR="000F1BB4" w:rsidRPr="005E2868">
        <w:rPr>
          <w:rFonts w:ascii="Arial" w:eastAsia="Times New Roman" w:hAnsi="Arial" w:cs="Arial"/>
          <w:i/>
          <w:iCs/>
          <w:color w:val="000000"/>
          <w:lang w:eastAsia="en-ZA"/>
        </w:rPr>
        <w:t xml:space="preserve"> provided on or </w:t>
      </w:r>
      <w:r w:rsidR="005E2868">
        <w:rPr>
          <w:rFonts w:ascii="Arial" w:eastAsia="Times New Roman" w:hAnsi="Arial" w:cs="Arial"/>
          <w:i/>
          <w:iCs/>
          <w:color w:val="000000"/>
          <w:lang w:eastAsia="en-ZA"/>
        </w:rPr>
        <w:t>prior to Closing D</w:t>
      </w:r>
      <w:r w:rsidRPr="005E2868">
        <w:rPr>
          <w:rFonts w:ascii="Arial" w:eastAsia="Times New Roman" w:hAnsi="Arial" w:cs="Arial"/>
          <w:i/>
          <w:iCs/>
          <w:color w:val="000000"/>
          <w:lang w:eastAsia="en-ZA"/>
        </w:rPr>
        <w:t>ate;</w:t>
      </w:r>
    </w:p>
    <w:p w:rsidR="00544016" w:rsidRPr="005E2868" w:rsidRDefault="00BF2A97" w:rsidP="00586083">
      <w:pPr>
        <w:spacing w:after="0" w:line="360" w:lineRule="auto"/>
        <w:ind w:left="3600"/>
        <w:jc w:val="both"/>
        <w:rPr>
          <w:rFonts w:ascii="Arial" w:eastAsia="Times New Roman" w:hAnsi="Arial" w:cs="Arial"/>
          <w:i/>
          <w:iCs/>
          <w:color w:val="000000"/>
          <w:lang w:eastAsia="en-ZA"/>
        </w:rPr>
      </w:pPr>
      <w:r>
        <w:rPr>
          <w:rFonts w:ascii="Arial" w:eastAsia="Times New Roman" w:hAnsi="Arial" w:cs="Arial"/>
          <w:i/>
          <w:iCs/>
          <w:color w:val="000000"/>
          <w:lang w:eastAsia="en-ZA"/>
        </w:rPr>
        <w:t>1.1.2.</w:t>
      </w:r>
      <w:r>
        <w:rPr>
          <w:rFonts w:ascii="Arial" w:eastAsia="Times New Roman" w:hAnsi="Arial" w:cs="Arial"/>
          <w:i/>
          <w:iCs/>
          <w:color w:val="000000"/>
          <w:lang w:eastAsia="en-ZA"/>
        </w:rPr>
        <w:tab/>
        <w:t xml:space="preserve"> not paid for prior to Closing D</w:t>
      </w:r>
      <w:r w:rsidR="004A0B23" w:rsidRPr="005E2868">
        <w:rPr>
          <w:rFonts w:ascii="Arial" w:eastAsia="Times New Roman" w:hAnsi="Arial" w:cs="Arial"/>
          <w:i/>
          <w:iCs/>
          <w:color w:val="000000"/>
          <w:lang w:eastAsia="en-ZA"/>
        </w:rPr>
        <w:t xml:space="preserve">ate and were </w:t>
      </w:r>
    </w:p>
    <w:p w:rsidR="00F758A7" w:rsidRPr="005E2868" w:rsidRDefault="00BF2A97" w:rsidP="00586083">
      <w:pPr>
        <w:spacing w:after="0" w:line="360" w:lineRule="auto"/>
        <w:ind w:left="3600"/>
        <w:jc w:val="both"/>
        <w:rPr>
          <w:rFonts w:ascii="Arial" w:eastAsia="Times New Roman" w:hAnsi="Arial" w:cs="Arial"/>
          <w:lang w:eastAsia="en-ZA"/>
        </w:rPr>
      </w:pPr>
      <w:r w:rsidRPr="005E2868">
        <w:rPr>
          <w:rFonts w:ascii="Arial" w:eastAsia="Times New Roman" w:hAnsi="Arial" w:cs="Arial"/>
          <w:i/>
          <w:iCs/>
          <w:color w:val="000000"/>
          <w:lang w:eastAsia="en-ZA"/>
        </w:rPr>
        <w:tab/>
      </w:r>
      <w:r w:rsidR="004A0B23" w:rsidRPr="005E2868">
        <w:rPr>
          <w:rFonts w:ascii="Arial" w:eastAsia="Times New Roman" w:hAnsi="Arial" w:cs="Arial"/>
          <w:i/>
          <w:iCs/>
          <w:color w:val="000000"/>
          <w:lang w:eastAsia="en-ZA"/>
        </w:rPr>
        <w:t>paid for after closing date;</w:t>
      </w:r>
    </w:p>
    <w:p w:rsidR="00544016" w:rsidRPr="005E2868" w:rsidRDefault="00BF2A97" w:rsidP="00586083">
      <w:pPr>
        <w:spacing w:after="0" w:line="360" w:lineRule="auto"/>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t>1.1.3.</w:t>
      </w:r>
      <w:r w:rsidRPr="005E2868">
        <w:rPr>
          <w:rFonts w:ascii="Arial" w:eastAsia="Times New Roman" w:hAnsi="Arial" w:cs="Arial"/>
          <w:i/>
          <w:iCs/>
          <w:color w:val="000000"/>
          <w:lang w:eastAsia="en-ZA"/>
        </w:rPr>
        <w:tab/>
        <w:t>no</w:t>
      </w:r>
      <w:r w:rsidR="005E2868">
        <w:rPr>
          <w:rFonts w:ascii="Arial" w:eastAsia="Times New Roman" w:hAnsi="Arial" w:cs="Arial"/>
          <w:i/>
          <w:iCs/>
          <w:color w:val="000000"/>
          <w:lang w:eastAsia="en-ZA"/>
        </w:rPr>
        <w:t>t already accounted for in the C</w:t>
      </w:r>
      <w:r w:rsidRPr="005E2868">
        <w:rPr>
          <w:rFonts w:ascii="Arial" w:eastAsia="Times New Roman" w:hAnsi="Arial" w:cs="Arial"/>
          <w:i/>
          <w:iCs/>
          <w:color w:val="000000"/>
          <w:lang w:eastAsia="en-ZA"/>
        </w:rPr>
        <w:t>losing</w:t>
      </w:r>
    </w:p>
    <w:p w:rsidR="00F758A7" w:rsidRPr="005E2868" w:rsidRDefault="00BF2A97" w:rsidP="00586083">
      <w:pPr>
        <w:spacing w:after="0" w:line="360" w:lineRule="auto"/>
        <w:ind w:left="2880" w:firstLine="72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 xml:space="preserve"> </w:t>
      </w:r>
      <w:r w:rsidR="005E2868">
        <w:rPr>
          <w:rFonts w:ascii="Arial" w:eastAsia="Times New Roman" w:hAnsi="Arial" w:cs="Arial"/>
          <w:i/>
          <w:iCs/>
          <w:color w:val="000000"/>
          <w:lang w:eastAsia="en-ZA"/>
        </w:rPr>
        <w:t>S</w:t>
      </w:r>
      <w:r w:rsidR="004A0B23" w:rsidRPr="005E2868">
        <w:rPr>
          <w:rFonts w:ascii="Arial" w:eastAsia="Times New Roman" w:hAnsi="Arial" w:cs="Arial"/>
          <w:i/>
          <w:iCs/>
          <w:color w:val="000000"/>
          <w:lang w:eastAsia="en-ZA"/>
        </w:rPr>
        <w:t>tatement</w:t>
      </w:r>
      <w:r w:rsidR="005E2868">
        <w:rPr>
          <w:rFonts w:ascii="Arial" w:eastAsia="Times New Roman" w:hAnsi="Arial" w:cs="Arial"/>
          <w:i/>
          <w:iCs/>
          <w:color w:val="000000"/>
          <w:lang w:eastAsia="en-ZA"/>
        </w:rPr>
        <w:t>.</w:t>
      </w:r>
    </w:p>
    <w:p w:rsidR="00F758A7" w:rsidRPr="005E2868" w:rsidRDefault="00F758A7" w:rsidP="00586083">
      <w:pPr>
        <w:spacing w:after="0" w:line="360" w:lineRule="auto"/>
        <w:jc w:val="both"/>
        <w:rPr>
          <w:rFonts w:ascii="Arial" w:eastAsia="Times New Roman" w:hAnsi="Arial" w:cs="Arial"/>
          <w:lang w:eastAsia="en-ZA"/>
        </w:rPr>
      </w:pPr>
    </w:p>
    <w:p w:rsidR="00F758A7" w:rsidRPr="005E2868" w:rsidRDefault="00BF2A97" w:rsidP="00586083">
      <w:pPr>
        <w:spacing w:after="0" w:line="360" w:lineRule="auto"/>
        <w:ind w:left="2880" w:hanging="720"/>
        <w:jc w:val="both"/>
        <w:rPr>
          <w:rFonts w:ascii="Arial" w:eastAsia="Times New Roman" w:hAnsi="Arial" w:cs="Arial"/>
          <w:i/>
          <w:iCs/>
          <w:color w:val="000000"/>
          <w:lang w:eastAsia="en-ZA"/>
        </w:rPr>
      </w:pPr>
      <w:r>
        <w:rPr>
          <w:rFonts w:ascii="Arial" w:eastAsia="Times New Roman" w:hAnsi="Arial" w:cs="Arial"/>
          <w:i/>
          <w:iCs/>
          <w:color w:val="000000"/>
          <w:lang w:eastAsia="en-ZA"/>
        </w:rPr>
        <w:lastRenderedPageBreak/>
        <w:t>1.2.</w:t>
      </w:r>
      <w:r>
        <w:rPr>
          <w:rFonts w:ascii="Arial" w:eastAsia="Times New Roman" w:hAnsi="Arial" w:cs="Arial"/>
          <w:i/>
          <w:iCs/>
          <w:color w:val="000000"/>
          <w:lang w:eastAsia="en-ZA"/>
        </w:rPr>
        <w:tab/>
      </w:r>
      <w:r w:rsidR="005E2868" w:rsidRPr="005E2868">
        <w:rPr>
          <w:rFonts w:ascii="Arial" w:eastAsia="Times New Roman" w:hAnsi="Arial" w:cs="Arial"/>
          <w:i/>
          <w:iCs/>
          <w:color w:val="000000"/>
          <w:lang w:eastAsia="en-ZA"/>
        </w:rPr>
        <w:t>w</w:t>
      </w:r>
      <w:r w:rsidR="005E2868">
        <w:rPr>
          <w:rFonts w:ascii="Arial" w:eastAsia="Times New Roman" w:hAnsi="Arial" w:cs="Arial"/>
          <w:i/>
          <w:iCs/>
          <w:color w:val="000000"/>
          <w:lang w:eastAsia="en-ZA"/>
        </w:rPr>
        <w:t xml:space="preserve">hether the R25 million </w:t>
      </w:r>
      <w:r w:rsidR="000F1BB4" w:rsidRPr="005E2868">
        <w:rPr>
          <w:rFonts w:ascii="Arial" w:eastAsia="Times New Roman" w:hAnsi="Arial" w:cs="Arial"/>
          <w:i/>
          <w:iCs/>
          <w:color w:val="000000"/>
          <w:lang w:eastAsia="en-ZA"/>
        </w:rPr>
        <w:t>Homix </w:t>
      </w:r>
      <w:r w:rsidR="004A0B23" w:rsidRPr="005E2868">
        <w:rPr>
          <w:rFonts w:ascii="Arial" w:eastAsia="Times New Roman" w:hAnsi="Arial" w:cs="Arial"/>
          <w:i/>
          <w:iCs/>
          <w:color w:val="000000"/>
          <w:lang w:eastAsia="en-ZA"/>
        </w:rPr>
        <w:t>provisi</w:t>
      </w:r>
      <w:r w:rsidR="002A1ECE" w:rsidRPr="005E2868">
        <w:rPr>
          <w:rFonts w:ascii="Arial" w:eastAsia="Times New Roman" w:hAnsi="Arial" w:cs="Arial"/>
          <w:i/>
          <w:iCs/>
          <w:color w:val="000000"/>
          <w:lang w:eastAsia="en-ZA"/>
        </w:rPr>
        <w:t>on w</w:t>
      </w:r>
      <w:r w:rsidR="004A0B23" w:rsidRPr="005E2868">
        <w:rPr>
          <w:rFonts w:ascii="Arial" w:eastAsia="Times New Roman" w:hAnsi="Arial" w:cs="Arial"/>
          <w:i/>
          <w:iCs/>
          <w:color w:val="000000"/>
          <w:lang w:eastAsia="en-ZA"/>
        </w:rPr>
        <w:t>as included as liability, specifically as part of the R50   million purchase price adjust</w:t>
      </w:r>
      <w:r w:rsidR="002A1ECE" w:rsidRPr="005E2868">
        <w:rPr>
          <w:rFonts w:ascii="Arial" w:eastAsia="Times New Roman" w:hAnsi="Arial" w:cs="Arial"/>
          <w:i/>
          <w:iCs/>
          <w:color w:val="000000"/>
          <w:lang w:eastAsia="en-ZA"/>
        </w:rPr>
        <w:t>ment, </w:t>
      </w:r>
      <w:r w:rsidR="005E2868">
        <w:rPr>
          <w:rFonts w:ascii="Arial" w:eastAsia="Times New Roman" w:hAnsi="Arial" w:cs="Arial"/>
          <w:i/>
          <w:iCs/>
          <w:color w:val="000000"/>
          <w:lang w:eastAsia="en-ZA"/>
        </w:rPr>
        <w:t>in the Closing S</w:t>
      </w:r>
      <w:r w:rsidR="000F1BB4" w:rsidRPr="005E2868">
        <w:rPr>
          <w:rFonts w:ascii="Arial" w:eastAsia="Times New Roman" w:hAnsi="Arial" w:cs="Arial"/>
          <w:i/>
          <w:iCs/>
          <w:color w:val="000000"/>
          <w:lang w:eastAsia="en-ZA"/>
        </w:rPr>
        <w:t xml:space="preserve">tatement </w:t>
      </w:r>
      <w:r w:rsidR="004A0B23" w:rsidRPr="005E2868">
        <w:rPr>
          <w:rFonts w:ascii="Arial" w:eastAsia="Times New Roman" w:hAnsi="Arial" w:cs="Arial"/>
          <w:i/>
          <w:iCs/>
          <w:color w:val="000000"/>
          <w:lang w:eastAsia="en-ZA"/>
        </w:rPr>
        <w:t>(and th</w:t>
      </w:r>
      <w:r w:rsidR="005E2868">
        <w:rPr>
          <w:rFonts w:ascii="Arial" w:eastAsia="Times New Roman" w:hAnsi="Arial" w:cs="Arial"/>
          <w:i/>
          <w:iCs/>
          <w:color w:val="000000"/>
          <w:lang w:eastAsia="en-ZA"/>
        </w:rPr>
        <w:t>us deducted in determining the P</w:t>
      </w:r>
      <w:r w:rsidR="004A0B23" w:rsidRPr="005E2868">
        <w:rPr>
          <w:rFonts w:ascii="Arial" w:eastAsia="Times New Roman" w:hAnsi="Arial" w:cs="Arial"/>
          <w:i/>
          <w:iCs/>
          <w:color w:val="000000"/>
          <w:lang w:eastAsia="en-ZA"/>
        </w:rPr>
        <w:t>rice).</w:t>
      </w:r>
    </w:p>
    <w:p w:rsidR="00544016" w:rsidRPr="005E2868" w:rsidRDefault="00544016" w:rsidP="00586083">
      <w:pPr>
        <w:spacing w:after="0" w:line="360" w:lineRule="auto"/>
        <w:ind w:left="2880" w:hanging="720"/>
        <w:jc w:val="both"/>
        <w:rPr>
          <w:rFonts w:ascii="Arial" w:eastAsia="Times New Roman" w:hAnsi="Arial" w:cs="Arial"/>
          <w:lang w:eastAsia="en-ZA"/>
        </w:rPr>
      </w:pPr>
    </w:p>
    <w:p w:rsidR="00F758A7" w:rsidRPr="005E2868" w:rsidRDefault="00586083" w:rsidP="00586083">
      <w:pPr>
        <w:spacing w:after="0" w:line="360" w:lineRule="auto"/>
        <w:ind w:left="2160" w:hanging="720"/>
        <w:jc w:val="both"/>
        <w:rPr>
          <w:rFonts w:ascii="Arial" w:eastAsia="Times New Roman" w:hAnsi="Arial" w:cs="Arial"/>
          <w:i/>
          <w:iCs/>
          <w:color w:val="000000"/>
          <w:lang w:eastAsia="en-ZA"/>
        </w:rPr>
      </w:pPr>
      <w:r>
        <w:rPr>
          <w:rFonts w:ascii="Arial" w:eastAsia="Times New Roman" w:hAnsi="Arial" w:cs="Arial"/>
          <w:i/>
          <w:iCs/>
          <w:color w:val="000000"/>
          <w:lang w:eastAsia="en-ZA"/>
        </w:rPr>
        <w:t>2.</w:t>
      </w:r>
      <w:r>
        <w:rPr>
          <w:rFonts w:ascii="Arial" w:eastAsia="Times New Roman" w:hAnsi="Arial" w:cs="Arial"/>
          <w:i/>
          <w:iCs/>
          <w:color w:val="000000"/>
          <w:lang w:eastAsia="en-ZA"/>
        </w:rPr>
        <w:tab/>
        <w:t>F</w:t>
      </w:r>
      <w:r w:rsidR="004A0B23" w:rsidRPr="005E2868">
        <w:rPr>
          <w:rFonts w:ascii="Arial" w:eastAsia="Times New Roman" w:hAnsi="Arial" w:cs="Arial"/>
          <w:i/>
          <w:iCs/>
          <w:color w:val="000000"/>
          <w:lang w:eastAsia="en-ZA"/>
        </w:rPr>
        <w:t>or the purposes of the umpire’s determination the following will be</w:t>
      </w:r>
      <w:r w:rsidR="002A1ECE" w:rsidRPr="005E2868">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made available to the umpire:</w:t>
      </w:r>
    </w:p>
    <w:p w:rsidR="00F758A7" w:rsidRPr="005E2868" w:rsidRDefault="00BF2A97" w:rsidP="00586083">
      <w:pPr>
        <w:spacing w:after="0" w:line="360" w:lineRule="auto"/>
        <w:jc w:val="both"/>
        <w:rPr>
          <w:rFonts w:ascii="Arial" w:eastAsia="Times New Roman" w:hAnsi="Arial" w:cs="Arial"/>
          <w:lang w:eastAsia="en-ZA"/>
        </w:rPr>
      </w:pP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002A1ECE"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 xml:space="preserve">2.1.  </w:t>
      </w:r>
      <w:r w:rsidR="00EC4236">
        <w:rPr>
          <w:rFonts w:ascii="Arial" w:eastAsia="Times New Roman" w:hAnsi="Arial" w:cs="Arial"/>
          <w:i/>
          <w:iCs/>
          <w:color w:val="000000"/>
          <w:lang w:eastAsia="en-ZA"/>
        </w:rPr>
        <w:t xml:space="preserve"> </w:t>
      </w:r>
      <w:r w:rsidRPr="005E2868">
        <w:rPr>
          <w:rFonts w:ascii="Arial" w:eastAsia="Times New Roman" w:hAnsi="Arial" w:cs="Arial"/>
          <w:i/>
          <w:iCs/>
          <w:color w:val="000000"/>
          <w:lang w:eastAsia="en-ZA"/>
        </w:rPr>
        <w:t>the pleadings;</w:t>
      </w:r>
    </w:p>
    <w:p w:rsidR="00F758A7" w:rsidRPr="005E2868" w:rsidRDefault="00BF2A97" w:rsidP="00586083">
      <w:pPr>
        <w:spacing w:after="0" w:line="360" w:lineRule="auto"/>
        <w:jc w:val="both"/>
        <w:rPr>
          <w:rFonts w:ascii="Arial" w:eastAsia="Times New Roman" w:hAnsi="Arial" w:cs="Arial"/>
          <w:lang w:eastAsia="en-ZA"/>
        </w:rPr>
      </w:pP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002A1ECE" w:rsidRPr="005E2868">
        <w:rPr>
          <w:rFonts w:ascii="Arial" w:eastAsia="Times New Roman" w:hAnsi="Arial" w:cs="Arial"/>
          <w:i/>
          <w:iCs/>
          <w:color w:val="000000"/>
          <w:lang w:eastAsia="en-ZA"/>
        </w:rPr>
        <w:tab/>
      </w:r>
      <w:r w:rsidR="00EC4236">
        <w:rPr>
          <w:rFonts w:ascii="Arial" w:eastAsia="Times New Roman" w:hAnsi="Arial" w:cs="Arial"/>
          <w:i/>
          <w:iCs/>
          <w:color w:val="000000"/>
          <w:lang w:eastAsia="en-ZA"/>
        </w:rPr>
        <w:t>2.2.  t</w:t>
      </w:r>
      <w:r w:rsidR="005E2868">
        <w:rPr>
          <w:rFonts w:ascii="Arial" w:eastAsia="Times New Roman" w:hAnsi="Arial" w:cs="Arial"/>
          <w:i/>
          <w:iCs/>
          <w:color w:val="000000"/>
          <w:lang w:eastAsia="en-ZA"/>
        </w:rPr>
        <w:t>he w</w:t>
      </w:r>
      <w:r w:rsidRPr="005E2868">
        <w:rPr>
          <w:rFonts w:ascii="Arial" w:eastAsia="Times New Roman" w:hAnsi="Arial" w:cs="Arial"/>
          <w:i/>
          <w:iCs/>
          <w:color w:val="000000"/>
          <w:lang w:eastAsia="en-ZA"/>
        </w:rPr>
        <w:t>itness statement</w:t>
      </w:r>
      <w:r w:rsidR="005E2868">
        <w:rPr>
          <w:rFonts w:ascii="Arial" w:eastAsia="Times New Roman" w:hAnsi="Arial" w:cs="Arial"/>
          <w:i/>
          <w:iCs/>
          <w:color w:val="000000"/>
          <w:lang w:eastAsia="en-ZA"/>
        </w:rPr>
        <w:t>s</w:t>
      </w:r>
      <w:r w:rsidRPr="005E2868">
        <w:rPr>
          <w:rFonts w:ascii="Arial" w:eastAsia="Times New Roman" w:hAnsi="Arial" w:cs="Arial"/>
          <w:i/>
          <w:iCs/>
          <w:color w:val="000000"/>
          <w:lang w:eastAsia="en-ZA"/>
        </w:rPr>
        <w:t xml:space="preserve"> bundle;</w:t>
      </w:r>
    </w:p>
    <w:p w:rsidR="00F758A7" w:rsidRPr="005E2868" w:rsidRDefault="00BF2A97" w:rsidP="00586083">
      <w:pPr>
        <w:spacing w:after="0" w:line="360" w:lineRule="auto"/>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Pr="005E2868">
        <w:rPr>
          <w:rFonts w:ascii="Arial" w:eastAsia="Times New Roman" w:hAnsi="Arial" w:cs="Arial"/>
          <w:i/>
          <w:iCs/>
          <w:color w:val="000000"/>
          <w:lang w:eastAsia="en-ZA"/>
        </w:rPr>
        <w:tab/>
      </w:r>
      <w:r w:rsidR="002A1ECE" w:rsidRPr="005E2868">
        <w:rPr>
          <w:rFonts w:ascii="Arial" w:eastAsia="Times New Roman" w:hAnsi="Arial" w:cs="Arial"/>
          <w:i/>
          <w:iCs/>
          <w:color w:val="000000"/>
          <w:lang w:eastAsia="en-ZA"/>
        </w:rPr>
        <w:tab/>
      </w:r>
      <w:r w:rsidR="00EC4236">
        <w:rPr>
          <w:rFonts w:ascii="Arial" w:eastAsia="Times New Roman" w:hAnsi="Arial" w:cs="Arial"/>
          <w:i/>
          <w:iCs/>
          <w:color w:val="000000"/>
          <w:lang w:eastAsia="en-ZA"/>
        </w:rPr>
        <w:t xml:space="preserve">2.3. </w:t>
      </w:r>
      <w:r w:rsidR="000F1BB4" w:rsidRPr="005E2868">
        <w:rPr>
          <w:rFonts w:ascii="Arial" w:eastAsia="Times New Roman" w:hAnsi="Arial" w:cs="Arial"/>
          <w:i/>
          <w:iCs/>
          <w:color w:val="000000"/>
          <w:lang w:eastAsia="en-ZA"/>
        </w:rPr>
        <w:t>arbitration bundles A </w:t>
      </w:r>
      <w:r w:rsidRPr="005E2868">
        <w:rPr>
          <w:rFonts w:ascii="Arial" w:eastAsia="Times New Roman" w:hAnsi="Arial" w:cs="Arial"/>
          <w:i/>
          <w:iCs/>
          <w:color w:val="000000"/>
          <w:lang w:eastAsia="en-ZA"/>
        </w:rPr>
        <w:t>and B.</w:t>
      </w:r>
    </w:p>
    <w:p w:rsidR="00544016" w:rsidRPr="005E2868" w:rsidRDefault="00544016" w:rsidP="00586083">
      <w:pPr>
        <w:spacing w:after="0" w:line="360" w:lineRule="auto"/>
        <w:jc w:val="both"/>
        <w:rPr>
          <w:rFonts w:ascii="Arial" w:eastAsia="Times New Roman" w:hAnsi="Arial" w:cs="Arial"/>
          <w:lang w:eastAsia="en-ZA"/>
        </w:rPr>
      </w:pPr>
    </w:p>
    <w:p w:rsidR="00F758A7" w:rsidRPr="005E2868" w:rsidRDefault="00BF2A97" w:rsidP="00586083">
      <w:pPr>
        <w:spacing w:after="0" w:line="360" w:lineRule="auto"/>
        <w:ind w:left="2160" w:hanging="72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3.</w:t>
      </w:r>
      <w:r w:rsidRPr="005E2868">
        <w:rPr>
          <w:rFonts w:ascii="Arial" w:eastAsia="Times New Roman" w:hAnsi="Arial" w:cs="Arial"/>
          <w:i/>
          <w:iCs/>
          <w:color w:val="000000"/>
          <w:lang w:eastAsia="en-ZA"/>
        </w:rPr>
        <w:tab/>
      </w:r>
      <w:r w:rsidR="005E2868">
        <w:rPr>
          <w:rFonts w:ascii="Arial" w:eastAsia="Times New Roman" w:hAnsi="Arial" w:cs="Arial"/>
          <w:i/>
          <w:iCs/>
          <w:color w:val="000000"/>
          <w:lang w:eastAsia="en-ZA"/>
        </w:rPr>
        <w:t xml:space="preserve"> T</w:t>
      </w:r>
      <w:r w:rsidR="000F1BB4" w:rsidRPr="005E2868">
        <w:rPr>
          <w:rFonts w:ascii="Arial" w:eastAsia="Times New Roman" w:hAnsi="Arial" w:cs="Arial"/>
          <w:i/>
          <w:iCs/>
          <w:color w:val="000000"/>
          <w:lang w:eastAsia="en-ZA"/>
        </w:rPr>
        <w:t>he umpire</w:t>
      </w:r>
      <w:r w:rsidR="004A0B23" w:rsidRPr="005E2868">
        <w:rPr>
          <w:rFonts w:ascii="Arial" w:eastAsia="Times New Roman" w:hAnsi="Arial" w:cs="Arial"/>
          <w:i/>
          <w:iCs/>
          <w:color w:val="000000"/>
          <w:lang w:eastAsia="en-ZA"/>
        </w:rPr>
        <w:t xml:space="preserve"> will apply the following</w:t>
      </w:r>
      <w:r w:rsidR="000F1BB4" w:rsidRPr="005E2868">
        <w:rPr>
          <w:rFonts w:ascii="Arial" w:eastAsia="Times New Roman" w:hAnsi="Arial" w:cs="Arial"/>
          <w:i/>
          <w:iCs/>
          <w:color w:val="000000"/>
          <w:lang w:eastAsia="en-ZA"/>
        </w:rPr>
        <w:t xml:space="preserve"> principles in order to arrive a</w:t>
      </w:r>
      <w:r w:rsidR="004A0B23" w:rsidRPr="005E2868">
        <w:rPr>
          <w:rFonts w:ascii="Arial" w:eastAsia="Times New Roman" w:hAnsi="Arial" w:cs="Arial"/>
          <w:i/>
          <w:iCs/>
          <w:color w:val="000000"/>
          <w:lang w:eastAsia="en-ZA"/>
        </w:rPr>
        <w:t>t his</w:t>
      </w:r>
      <w:r w:rsidRPr="005E2868">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decision:</w:t>
      </w:r>
    </w:p>
    <w:p w:rsidR="002A1ECE" w:rsidRPr="005E2868" w:rsidRDefault="00BF2A97" w:rsidP="00586083">
      <w:pPr>
        <w:spacing w:after="0" w:line="360" w:lineRule="auto"/>
        <w:ind w:left="2880"/>
        <w:jc w:val="both"/>
        <w:rPr>
          <w:rFonts w:ascii="Arial" w:eastAsia="Times New Roman" w:hAnsi="Arial" w:cs="Arial"/>
          <w:i/>
          <w:iCs/>
          <w:color w:val="000000"/>
          <w:lang w:eastAsia="en-ZA"/>
        </w:rPr>
      </w:pPr>
      <w:r>
        <w:rPr>
          <w:rFonts w:ascii="Arial" w:eastAsia="Times New Roman" w:hAnsi="Arial" w:cs="Arial"/>
          <w:i/>
          <w:iCs/>
          <w:color w:val="000000"/>
          <w:lang w:eastAsia="en-ZA"/>
        </w:rPr>
        <w:t xml:space="preserve">3.1.   </w:t>
      </w:r>
      <w:r w:rsidR="005E2868">
        <w:rPr>
          <w:rFonts w:ascii="Arial" w:eastAsia="Times New Roman" w:hAnsi="Arial" w:cs="Arial"/>
          <w:i/>
          <w:iCs/>
          <w:color w:val="000000"/>
          <w:lang w:eastAsia="en-ZA"/>
        </w:rPr>
        <w:t>the first respondent Bears the onus of p</w:t>
      </w:r>
      <w:r w:rsidR="004A0B23" w:rsidRPr="005E2868">
        <w:rPr>
          <w:rFonts w:ascii="Arial" w:eastAsia="Times New Roman" w:hAnsi="Arial" w:cs="Arial"/>
          <w:i/>
          <w:iCs/>
          <w:color w:val="000000"/>
          <w:lang w:eastAsia="en-ZA"/>
        </w:rPr>
        <w:t>roof and in</w:t>
      </w:r>
    </w:p>
    <w:p w:rsidR="002A1ECE" w:rsidRPr="005E2868" w:rsidRDefault="00BF2A97" w:rsidP="00586083">
      <w:pPr>
        <w:spacing w:after="0" w:line="360" w:lineRule="auto"/>
        <w:ind w:left="288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 xml:space="preserve">       </w:t>
      </w:r>
      <w:r w:rsidR="00586083">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 xml:space="preserve"> the even</w:t>
      </w:r>
      <w:r w:rsidR="000F1BB4" w:rsidRPr="005E2868">
        <w:rPr>
          <w:rFonts w:ascii="Arial" w:eastAsia="Times New Roman" w:hAnsi="Arial" w:cs="Arial"/>
          <w:i/>
          <w:iCs/>
          <w:color w:val="000000"/>
          <w:lang w:eastAsia="en-ZA"/>
        </w:rPr>
        <w:t>t that the umpire is undecided </w:t>
      </w:r>
      <w:r w:rsidR="004A0B23" w:rsidRPr="005E2868">
        <w:rPr>
          <w:rFonts w:ascii="Arial" w:eastAsia="Times New Roman" w:hAnsi="Arial" w:cs="Arial"/>
          <w:i/>
          <w:iCs/>
          <w:color w:val="000000"/>
          <w:lang w:eastAsia="en-ZA"/>
        </w:rPr>
        <w:t xml:space="preserve">on a </w:t>
      </w:r>
      <w:r w:rsidRPr="005E2868">
        <w:rPr>
          <w:rFonts w:ascii="Arial" w:eastAsia="Times New Roman" w:hAnsi="Arial" w:cs="Arial"/>
          <w:i/>
          <w:iCs/>
          <w:color w:val="000000"/>
          <w:lang w:eastAsia="en-ZA"/>
        </w:rPr>
        <w:t>particular</w:t>
      </w:r>
    </w:p>
    <w:p w:rsidR="002A1ECE" w:rsidRPr="005E2868" w:rsidRDefault="00BF2A97" w:rsidP="00586083">
      <w:pPr>
        <w:spacing w:after="0" w:line="360" w:lineRule="auto"/>
        <w:ind w:left="288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 xml:space="preserve">      </w:t>
      </w:r>
      <w:r w:rsidR="00586083">
        <w:rPr>
          <w:rFonts w:ascii="Arial" w:eastAsia="Times New Roman" w:hAnsi="Arial" w:cs="Arial"/>
          <w:i/>
          <w:iCs/>
          <w:color w:val="000000"/>
          <w:lang w:eastAsia="en-ZA"/>
        </w:rPr>
        <w:t xml:space="preserve"> </w:t>
      </w:r>
      <w:r w:rsidR="00EC4236">
        <w:rPr>
          <w:rFonts w:ascii="Arial" w:eastAsia="Times New Roman" w:hAnsi="Arial" w:cs="Arial"/>
          <w:i/>
          <w:iCs/>
          <w:color w:val="000000"/>
          <w:lang w:eastAsia="en-ZA"/>
        </w:rPr>
        <w:t xml:space="preserve"> </w:t>
      </w:r>
      <w:r w:rsidR="000F1BB4" w:rsidRPr="005E2868">
        <w:rPr>
          <w:rFonts w:ascii="Arial" w:eastAsia="Times New Roman" w:hAnsi="Arial" w:cs="Arial"/>
          <w:i/>
          <w:iCs/>
          <w:color w:val="000000"/>
          <w:lang w:eastAsia="en-ZA"/>
        </w:rPr>
        <w:t>item listed on annexure “X”, </w:t>
      </w:r>
      <w:r w:rsidR="004A0B23" w:rsidRPr="005E2868">
        <w:rPr>
          <w:rFonts w:ascii="Arial" w:eastAsia="Times New Roman" w:hAnsi="Arial" w:cs="Arial"/>
          <w:i/>
          <w:iCs/>
          <w:color w:val="000000"/>
          <w:lang w:eastAsia="en-ZA"/>
        </w:rPr>
        <w:t>that item will be resolved</w:t>
      </w:r>
    </w:p>
    <w:p w:rsidR="00F758A7" w:rsidRPr="005E2868" w:rsidRDefault="00BF2A97" w:rsidP="00586083">
      <w:pPr>
        <w:spacing w:after="0" w:line="360" w:lineRule="auto"/>
        <w:ind w:left="2880"/>
        <w:jc w:val="both"/>
        <w:rPr>
          <w:rFonts w:ascii="Arial" w:eastAsia="Times New Roman" w:hAnsi="Arial" w:cs="Arial"/>
          <w:lang w:eastAsia="en-ZA"/>
        </w:rPr>
      </w:pPr>
      <w:r w:rsidRPr="005E2868">
        <w:rPr>
          <w:rFonts w:ascii="Arial" w:eastAsia="Times New Roman" w:hAnsi="Arial" w:cs="Arial"/>
          <w:i/>
          <w:iCs/>
          <w:color w:val="000000"/>
          <w:lang w:eastAsia="en-ZA"/>
        </w:rPr>
        <w:t xml:space="preserve">      </w:t>
      </w:r>
      <w:r w:rsidR="00586083">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against the first respondent;</w:t>
      </w:r>
    </w:p>
    <w:p w:rsidR="002A1ECE" w:rsidRPr="005E2868" w:rsidRDefault="00BF2A97" w:rsidP="00586083">
      <w:pPr>
        <w:spacing w:after="0" w:line="360" w:lineRule="auto"/>
        <w:ind w:left="2160"/>
        <w:jc w:val="both"/>
        <w:rPr>
          <w:rFonts w:ascii="Arial" w:eastAsia="Times New Roman" w:hAnsi="Arial" w:cs="Arial"/>
          <w:i/>
          <w:iCs/>
          <w:color w:val="000000"/>
          <w:lang w:eastAsia="en-ZA"/>
        </w:rPr>
      </w:pPr>
      <w:r>
        <w:rPr>
          <w:rFonts w:ascii="Arial" w:eastAsia="Times New Roman" w:hAnsi="Arial" w:cs="Arial"/>
          <w:i/>
          <w:iCs/>
          <w:color w:val="000000"/>
          <w:lang w:eastAsia="en-ZA"/>
        </w:rPr>
        <w:t xml:space="preserve">         </w:t>
      </w:r>
      <w:r w:rsidRPr="005E2868">
        <w:rPr>
          <w:rFonts w:ascii="Arial" w:eastAsia="Times New Roman" w:hAnsi="Arial" w:cs="Arial"/>
          <w:i/>
          <w:iCs/>
          <w:color w:val="000000"/>
          <w:lang w:eastAsia="en-ZA"/>
        </w:rPr>
        <w:t xml:space="preserve">3.2. </w:t>
      </w:r>
      <w:r>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 xml:space="preserve">proof will be required by way of documentary </w:t>
      </w:r>
    </w:p>
    <w:p w:rsidR="00F758A7" w:rsidRPr="005E2868" w:rsidRDefault="00BF2A97" w:rsidP="00586083">
      <w:pPr>
        <w:spacing w:after="0" w:line="360" w:lineRule="auto"/>
        <w:ind w:left="2880"/>
        <w:jc w:val="both"/>
        <w:rPr>
          <w:rFonts w:ascii="Arial" w:eastAsia="Times New Roman" w:hAnsi="Arial" w:cs="Arial"/>
          <w:i/>
          <w:iCs/>
          <w:color w:val="000000"/>
          <w:lang w:eastAsia="en-ZA"/>
        </w:rPr>
      </w:pPr>
      <w:r>
        <w:rPr>
          <w:rFonts w:ascii="Arial" w:eastAsia="Times New Roman" w:hAnsi="Arial" w:cs="Arial"/>
          <w:i/>
          <w:iCs/>
          <w:color w:val="000000"/>
          <w:lang w:eastAsia="en-ZA"/>
        </w:rPr>
        <w:t xml:space="preserve">    </w:t>
      </w:r>
      <w:r w:rsidR="00586083">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evidence.</w:t>
      </w:r>
    </w:p>
    <w:p w:rsidR="00544016" w:rsidRPr="005E2868" w:rsidRDefault="00544016" w:rsidP="00586083">
      <w:pPr>
        <w:spacing w:after="0" w:line="360" w:lineRule="auto"/>
        <w:ind w:left="2880"/>
        <w:jc w:val="both"/>
        <w:rPr>
          <w:rFonts w:ascii="Arial" w:eastAsia="Times New Roman" w:hAnsi="Arial" w:cs="Arial"/>
          <w:lang w:eastAsia="en-ZA"/>
        </w:rPr>
      </w:pPr>
    </w:p>
    <w:p w:rsidR="00F758A7" w:rsidRPr="005E2868" w:rsidRDefault="00BF2A97" w:rsidP="00586083">
      <w:pPr>
        <w:spacing w:after="0" w:line="360" w:lineRule="auto"/>
        <w:ind w:left="2160" w:hanging="72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4.</w:t>
      </w:r>
      <w:r w:rsidRPr="005E2868">
        <w:rPr>
          <w:rFonts w:ascii="Arial" w:eastAsia="Times New Roman" w:hAnsi="Arial" w:cs="Arial"/>
          <w:i/>
          <w:iCs/>
          <w:color w:val="000000"/>
          <w:lang w:eastAsia="en-ZA"/>
        </w:rPr>
        <w:tab/>
      </w:r>
      <w:r w:rsidR="005E2868">
        <w:rPr>
          <w:rFonts w:ascii="Arial" w:eastAsia="Times New Roman" w:hAnsi="Arial" w:cs="Arial"/>
          <w:i/>
          <w:iCs/>
          <w:color w:val="000000"/>
          <w:lang w:eastAsia="en-ZA"/>
        </w:rPr>
        <w:t>I</w:t>
      </w:r>
      <w:r w:rsidR="004A0B23" w:rsidRPr="005E2868">
        <w:rPr>
          <w:rFonts w:ascii="Arial" w:eastAsia="Times New Roman" w:hAnsi="Arial" w:cs="Arial"/>
          <w:i/>
          <w:iCs/>
          <w:color w:val="000000"/>
          <w:lang w:eastAsia="en-ZA"/>
        </w:rPr>
        <w:t xml:space="preserve">n the event that either party wishes to use a document that has not been discovered, they will be obliged to </w:t>
      </w:r>
      <w:r w:rsidRPr="005E2868">
        <w:rPr>
          <w:rFonts w:ascii="Arial" w:eastAsia="Times New Roman" w:hAnsi="Arial" w:cs="Arial"/>
          <w:i/>
          <w:iCs/>
          <w:color w:val="000000"/>
          <w:lang w:eastAsia="en-ZA"/>
        </w:rPr>
        <w:t>provide it to the other side at least</w:t>
      </w:r>
      <w:r w:rsidR="004A0B23" w:rsidRPr="005E2868">
        <w:rPr>
          <w:rFonts w:ascii="Arial" w:eastAsia="Times New Roman" w:hAnsi="Arial" w:cs="Arial"/>
          <w:i/>
          <w:iCs/>
          <w:color w:val="000000"/>
          <w:lang w:eastAsia="en-ZA"/>
        </w:rPr>
        <w:t xml:space="preserve"> 24 hours in advance of a meeting referred to below.</w:t>
      </w:r>
    </w:p>
    <w:p w:rsidR="00544016" w:rsidRPr="005E2868" w:rsidRDefault="00544016" w:rsidP="00586083">
      <w:pPr>
        <w:spacing w:after="0" w:line="360" w:lineRule="auto"/>
        <w:ind w:left="2160" w:hanging="720"/>
        <w:jc w:val="both"/>
        <w:rPr>
          <w:rFonts w:ascii="Arial" w:eastAsia="Times New Roman" w:hAnsi="Arial" w:cs="Arial"/>
          <w:i/>
          <w:iCs/>
          <w:color w:val="000000"/>
          <w:lang w:eastAsia="en-ZA"/>
        </w:rPr>
      </w:pPr>
    </w:p>
    <w:p w:rsidR="00F758A7" w:rsidRPr="005E2868" w:rsidRDefault="00BF2A97" w:rsidP="00586083">
      <w:pPr>
        <w:spacing w:after="0" w:line="360" w:lineRule="auto"/>
        <w:ind w:left="2160" w:hanging="72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5.</w:t>
      </w:r>
      <w:r w:rsidRPr="005E2868">
        <w:rPr>
          <w:rFonts w:ascii="Arial" w:eastAsia="Times New Roman" w:hAnsi="Arial" w:cs="Arial"/>
          <w:i/>
          <w:iCs/>
          <w:color w:val="000000"/>
          <w:lang w:eastAsia="en-ZA"/>
        </w:rPr>
        <w:tab/>
      </w:r>
      <w:r w:rsidR="005E2868">
        <w:rPr>
          <w:rFonts w:ascii="Arial" w:eastAsia="Times New Roman" w:hAnsi="Arial" w:cs="Arial"/>
          <w:i/>
          <w:iCs/>
          <w:color w:val="000000"/>
          <w:lang w:eastAsia="en-ZA"/>
        </w:rPr>
        <w:t>A</w:t>
      </w:r>
      <w:r w:rsidR="004A0B23" w:rsidRPr="005E2868">
        <w:rPr>
          <w:rFonts w:ascii="Arial" w:eastAsia="Times New Roman" w:hAnsi="Arial" w:cs="Arial"/>
          <w:i/>
          <w:iCs/>
          <w:color w:val="000000"/>
          <w:lang w:eastAsia="en-ZA"/>
        </w:rPr>
        <w:t xml:space="preserve"> meeting will take place between the umpire and representativ</w:t>
      </w:r>
      <w:r w:rsidR="000F1BB4" w:rsidRPr="005E2868">
        <w:rPr>
          <w:rFonts w:ascii="Arial" w:eastAsia="Times New Roman" w:hAnsi="Arial" w:cs="Arial"/>
          <w:i/>
          <w:iCs/>
          <w:color w:val="000000"/>
          <w:lang w:eastAsia="en-ZA"/>
        </w:rPr>
        <w:t>es of the parties, viz Mr Nel (re</w:t>
      </w:r>
      <w:r w:rsidR="005E2868">
        <w:rPr>
          <w:rFonts w:ascii="Arial" w:eastAsia="Times New Roman" w:hAnsi="Arial" w:cs="Arial"/>
          <w:i/>
          <w:iCs/>
          <w:color w:val="000000"/>
          <w:lang w:eastAsia="en-ZA"/>
        </w:rPr>
        <w:t xml:space="preserve">: </w:t>
      </w:r>
      <w:r w:rsidR="000F1BB4" w:rsidRPr="005E2868">
        <w:rPr>
          <w:rFonts w:ascii="Arial" w:eastAsia="Times New Roman" w:hAnsi="Arial" w:cs="Arial"/>
          <w:i/>
          <w:iCs/>
          <w:color w:val="000000"/>
          <w:lang w:eastAsia="en-ZA"/>
        </w:rPr>
        <w:t>the Hormix </w:t>
      </w:r>
      <w:r w:rsidR="004A0B23" w:rsidRPr="005E2868">
        <w:rPr>
          <w:rFonts w:ascii="Arial" w:eastAsia="Times New Roman" w:hAnsi="Arial" w:cs="Arial"/>
          <w:i/>
          <w:iCs/>
          <w:color w:val="000000"/>
          <w:lang w:eastAsia="en-ZA"/>
        </w:rPr>
        <w:t>provision) and P</w:t>
      </w:r>
      <w:r w:rsidR="000F1BB4" w:rsidRPr="005E2868">
        <w:rPr>
          <w:rFonts w:ascii="Arial" w:eastAsia="Times New Roman" w:hAnsi="Arial" w:cs="Arial"/>
          <w:i/>
          <w:iCs/>
          <w:color w:val="000000"/>
          <w:lang w:eastAsia="en-ZA"/>
        </w:rPr>
        <w:t>rof Weiner and Mr Domoney (re</w:t>
      </w:r>
      <w:r w:rsidR="005E2868">
        <w:rPr>
          <w:rFonts w:ascii="Arial" w:eastAsia="Times New Roman" w:hAnsi="Arial" w:cs="Arial"/>
          <w:i/>
          <w:iCs/>
          <w:color w:val="000000"/>
          <w:lang w:eastAsia="en-ZA"/>
        </w:rPr>
        <w:t xml:space="preserve">: </w:t>
      </w:r>
      <w:r w:rsidR="000F1BB4" w:rsidRPr="005E2868">
        <w:rPr>
          <w:rFonts w:ascii="Arial" w:eastAsia="Times New Roman" w:hAnsi="Arial" w:cs="Arial"/>
          <w:i/>
          <w:iCs/>
          <w:color w:val="000000"/>
          <w:lang w:eastAsia="en-ZA"/>
        </w:rPr>
        <w:t>unaccrued creditors) </w:t>
      </w:r>
      <w:r w:rsidR="005E2868">
        <w:rPr>
          <w:rFonts w:ascii="Arial" w:eastAsia="Times New Roman" w:hAnsi="Arial" w:cs="Arial"/>
          <w:i/>
          <w:iCs/>
          <w:color w:val="000000"/>
          <w:lang w:eastAsia="en-ZA"/>
        </w:rPr>
        <w:t>and Mr Felet.  E</w:t>
      </w:r>
      <w:r w:rsidR="004A0B23" w:rsidRPr="005E2868">
        <w:rPr>
          <w:rFonts w:ascii="Arial" w:eastAsia="Times New Roman" w:hAnsi="Arial" w:cs="Arial"/>
          <w:i/>
          <w:iCs/>
          <w:color w:val="000000"/>
          <w:lang w:eastAsia="en-ZA"/>
        </w:rPr>
        <w:t>ach party will appoint one spoke</w:t>
      </w:r>
      <w:r w:rsidR="000F1BB4" w:rsidRPr="005E2868">
        <w:rPr>
          <w:rFonts w:ascii="Arial" w:eastAsia="Times New Roman" w:hAnsi="Arial" w:cs="Arial"/>
          <w:i/>
          <w:iCs/>
          <w:color w:val="000000"/>
          <w:lang w:eastAsia="en-ZA"/>
        </w:rPr>
        <w:t>sperson to address the issue(s)</w:t>
      </w:r>
      <w:r w:rsidR="0078663A" w:rsidRPr="005E2868">
        <w:rPr>
          <w:rFonts w:ascii="Arial" w:eastAsia="Times New Roman" w:hAnsi="Arial" w:cs="Arial"/>
          <w:i/>
          <w:iCs/>
          <w:color w:val="000000"/>
          <w:lang w:eastAsia="en-ZA"/>
        </w:rPr>
        <w:t xml:space="preserve"> placed before the umpire, </w:t>
      </w:r>
      <w:r w:rsidR="004A0B23" w:rsidRPr="005E2868">
        <w:rPr>
          <w:rFonts w:ascii="Arial" w:eastAsia="Times New Roman" w:hAnsi="Arial" w:cs="Arial"/>
          <w:i/>
          <w:iCs/>
          <w:color w:val="000000"/>
          <w:lang w:eastAsia="en-ZA"/>
        </w:rPr>
        <w:t>to ensure balance in the procedure... subject to the procedure set out above the umpire will determine his own procedure for reaching a decision.</w:t>
      </w:r>
    </w:p>
    <w:p w:rsidR="00544016" w:rsidRPr="005E2868" w:rsidRDefault="00544016" w:rsidP="00586083">
      <w:pPr>
        <w:spacing w:after="0" w:line="360" w:lineRule="auto"/>
        <w:ind w:left="2160" w:hanging="720"/>
        <w:jc w:val="both"/>
        <w:rPr>
          <w:rFonts w:ascii="Arial" w:eastAsia="Times New Roman" w:hAnsi="Arial" w:cs="Arial"/>
          <w:lang w:eastAsia="en-ZA"/>
        </w:rPr>
      </w:pPr>
    </w:p>
    <w:p w:rsidR="00F758A7" w:rsidRPr="005E2868" w:rsidRDefault="00BF2A97" w:rsidP="00586083">
      <w:pPr>
        <w:spacing w:after="0" w:line="360" w:lineRule="auto"/>
        <w:ind w:left="2160" w:hanging="72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 xml:space="preserve">6.     </w:t>
      </w:r>
      <w:r w:rsidR="005E2868">
        <w:rPr>
          <w:rFonts w:ascii="Arial" w:eastAsia="Times New Roman" w:hAnsi="Arial" w:cs="Arial"/>
          <w:i/>
          <w:iCs/>
          <w:color w:val="000000"/>
          <w:lang w:eastAsia="en-ZA"/>
        </w:rPr>
        <w:tab/>
      </w:r>
      <w:r w:rsidR="00E141D3" w:rsidRPr="005E2868">
        <w:rPr>
          <w:rFonts w:ascii="Arial" w:eastAsia="Times New Roman" w:hAnsi="Arial" w:cs="Arial"/>
          <w:i/>
          <w:iCs/>
          <w:color w:val="000000"/>
          <w:lang w:eastAsia="en-ZA"/>
        </w:rPr>
        <w:t xml:space="preserve"> </w:t>
      </w:r>
      <w:r w:rsidR="005E2868">
        <w:rPr>
          <w:rFonts w:ascii="Arial" w:eastAsia="Times New Roman" w:hAnsi="Arial" w:cs="Arial"/>
          <w:i/>
          <w:iCs/>
          <w:color w:val="000000"/>
          <w:lang w:eastAsia="en-ZA"/>
        </w:rPr>
        <w:t>I</w:t>
      </w:r>
      <w:r w:rsidR="000F1BB4" w:rsidRPr="005E2868">
        <w:rPr>
          <w:rFonts w:ascii="Arial" w:eastAsia="Times New Roman" w:hAnsi="Arial" w:cs="Arial"/>
          <w:i/>
          <w:iCs/>
          <w:color w:val="000000"/>
          <w:lang w:eastAsia="en-ZA"/>
        </w:rPr>
        <w:t>n the </w:t>
      </w:r>
      <w:r w:rsidR="004A0B23" w:rsidRPr="005E2868">
        <w:rPr>
          <w:rFonts w:ascii="Arial" w:eastAsia="Times New Roman" w:hAnsi="Arial" w:cs="Arial"/>
          <w:i/>
          <w:iCs/>
          <w:color w:val="000000"/>
          <w:lang w:eastAsia="en-ZA"/>
        </w:rPr>
        <w:t>interest of expediency,</w:t>
      </w:r>
      <w:r w:rsidR="000F1BB4" w:rsidRPr="005E2868">
        <w:rPr>
          <w:rFonts w:ascii="Arial" w:eastAsia="Times New Roman" w:hAnsi="Arial" w:cs="Arial"/>
          <w:i/>
          <w:iCs/>
          <w:color w:val="000000"/>
          <w:lang w:eastAsia="en-ZA"/>
        </w:rPr>
        <w:t xml:space="preserve"> the umpire is </w:t>
      </w:r>
      <w:r w:rsidR="005E2868">
        <w:rPr>
          <w:rFonts w:ascii="Arial" w:eastAsia="Times New Roman" w:hAnsi="Arial" w:cs="Arial"/>
          <w:i/>
          <w:iCs/>
          <w:color w:val="000000"/>
          <w:lang w:eastAsia="en-ZA"/>
        </w:rPr>
        <w:t xml:space="preserve">required to make his decision </w:t>
      </w:r>
      <w:r w:rsidR="004A0B23" w:rsidRPr="005E2868">
        <w:rPr>
          <w:rFonts w:ascii="Arial" w:eastAsia="Times New Roman" w:hAnsi="Arial" w:cs="Arial"/>
          <w:i/>
          <w:iCs/>
          <w:color w:val="000000"/>
          <w:lang w:eastAsia="en-ZA"/>
        </w:rPr>
        <w:t>in writing within two days of the meeting.</w:t>
      </w:r>
    </w:p>
    <w:p w:rsidR="00544016" w:rsidRPr="005E2868" w:rsidRDefault="00544016" w:rsidP="00586083">
      <w:pPr>
        <w:spacing w:after="0" w:line="360" w:lineRule="auto"/>
        <w:ind w:left="2160" w:hanging="720"/>
        <w:jc w:val="both"/>
        <w:rPr>
          <w:rFonts w:ascii="Arial" w:eastAsia="Times New Roman" w:hAnsi="Arial" w:cs="Arial"/>
          <w:lang w:eastAsia="en-ZA"/>
        </w:rPr>
      </w:pPr>
    </w:p>
    <w:p w:rsidR="002A1ECE" w:rsidRPr="005E2868" w:rsidRDefault="00BF2A97" w:rsidP="00586083">
      <w:pPr>
        <w:spacing w:after="0" w:line="360" w:lineRule="auto"/>
        <w:ind w:left="1440"/>
        <w:jc w:val="both"/>
        <w:rPr>
          <w:rFonts w:ascii="Arial" w:eastAsia="Times New Roman" w:hAnsi="Arial" w:cs="Arial"/>
          <w:i/>
          <w:iCs/>
          <w:color w:val="000000"/>
          <w:lang w:eastAsia="en-ZA"/>
        </w:rPr>
      </w:pPr>
      <w:r w:rsidRPr="005E2868">
        <w:rPr>
          <w:rFonts w:ascii="Arial" w:eastAsia="Times New Roman" w:hAnsi="Arial" w:cs="Arial"/>
          <w:i/>
          <w:iCs/>
          <w:color w:val="000000"/>
          <w:lang w:eastAsia="en-ZA"/>
        </w:rPr>
        <w:t xml:space="preserve">7.  </w:t>
      </w:r>
      <w:r w:rsidRPr="005E2868">
        <w:rPr>
          <w:rFonts w:ascii="Arial" w:eastAsia="Times New Roman" w:hAnsi="Arial" w:cs="Arial"/>
          <w:i/>
          <w:iCs/>
          <w:color w:val="000000"/>
          <w:lang w:eastAsia="en-ZA"/>
        </w:rPr>
        <w:tab/>
      </w:r>
      <w:r w:rsidR="005E2868">
        <w:rPr>
          <w:rFonts w:ascii="Arial" w:eastAsia="Times New Roman" w:hAnsi="Arial" w:cs="Arial"/>
          <w:i/>
          <w:iCs/>
          <w:color w:val="000000"/>
          <w:lang w:eastAsia="en-ZA"/>
        </w:rPr>
        <w:t>T</w:t>
      </w:r>
      <w:r w:rsidR="000F1BB4" w:rsidRPr="005E2868">
        <w:rPr>
          <w:rFonts w:ascii="Arial" w:eastAsia="Times New Roman" w:hAnsi="Arial" w:cs="Arial"/>
          <w:i/>
          <w:iCs/>
          <w:color w:val="000000"/>
          <w:lang w:eastAsia="en-ZA"/>
        </w:rPr>
        <w:t>he determination by the umpire </w:t>
      </w:r>
      <w:r w:rsidRPr="005E2868">
        <w:rPr>
          <w:rFonts w:ascii="Arial" w:eastAsia="Times New Roman" w:hAnsi="Arial" w:cs="Arial"/>
          <w:i/>
          <w:iCs/>
          <w:color w:val="000000"/>
          <w:lang w:eastAsia="en-ZA"/>
        </w:rPr>
        <w:t>will be final and binding on the</w:t>
      </w:r>
    </w:p>
    <w:p w:rsidR="00F758A7" w:rsidRPr="005E2868" w:rsidRDefault="00BF2A97" w:rsidP="00586083">
      <w:pPr>
        <w:spacing w:after="0" w:line="360" w:lineRule="auto"/>
        <w:ind w:left="1440"/>
        <w:jc w:val="both"/>
        <w:rPr>
          <w:rFonts w:ascii="Arial" w:eastAsia="Times New Roman" w:hAnsi="Arial" w:cs="Arial"/>
          <w:lang w:eastAsia="en-ZA"/>
        </w:rPr>
      </w:pPr>
      <w:r w:rsidRPr="005E2868">
        <w:rPr>
          <w:rFonts w:ascii="Arial" w:eastAsia="Times New Roman" w:hAnsi="Arial" w:cs="Arial"/>
          <w:i/>
          <w:iCs/>
          <w:color w:val="000000"/>
          <w:lang w:eastAsia="en-ZA"/>
        </w:rPr>
        <w:t xml:space="preserve">          </w:t>
      </w:r>
      <w:r w:rsidR="004A0B23" w:rsidRPr="005E2868">
        <w:rPr>
          <w:rFonts w:ascii="Arial" w:eastAsia="Times New Roman" w:hAnsi="Arial" w:cs="Arial"/>
          <w:i/>
          <w:iCs/>
          <w:color w:val="000000"/>
          <w:lang w:eastAsia="en-ZA"/>
        </w:rPr>
        <w:t xml:space="preserve"> parties.”</w:t>
      </w:r>
    </w:p>
    <w:p w:rsidR="00F758A7" w:rsidRPr="00F758A7" w:rsidRDefault="00BF2A97" w:rsidP="00586083">
      <w:pPr>
        <w:spacing w:after="0" w:line="480" w:lineRule="auto"/>
        <w:ind w:left="720" w:firstLine="720"/>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lastRenderedPageBreak/>
        <w:tab/>
      </w:r>
    </w:p>
    <w:p w:rsidR="00F758A7" w:rsidRPr="00F758A7" w:rsidRDefault="00BF2A97" w:rsidP="00586083">
      <w:pPr>
        <w:spacing w:after="0" w:line="480" w:lineRule="auto"/>
        <w:ind w:left="720" w:hanging="720"/>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t>[8]</w:t>
      </w:r>
      <w:r w:rsidRPr="00F758A7">
        <w:rPr>
          <w:rFonts w:ascii="Arial" w:eastAsia="Times New Roman" w:hAnsi="Arial" w:cs="Arial"/>
          <w:color w:val="000000"/>
          <w:sz w:val="24"/>
          <w:szCs w:val="24"/>
          <w:lang w:eastAsia="en-ZA"/>
        </w:rPr>
        <w:tab/>
        <w:t>Upo</w:t>
      </w:r>
      <w:r w:rsidR="005E2868">
        <w:rPr>
          <w:rFonts w:ascii="Arial" w:eastAsia="Times New Roman" w:hAnsi="Arial" w:cs="Arial"/>
          <w:color w:val="000000"/>
          <w:sz w:val="24"/>
          <w:szCs w:val="24"/>
          <w:lang w:eastAsia="en-ZA"/>
        </w:rPr>
        <w:t xml:space="preserve">n receipt of the Mandate, Mr </w:t>
      </w:r>
      <w:r w:rsidR="000F1BB4">
        <w:rPr>
          <w:rFonts w:ascii="Arial" w:eastAsia="Times New Roman" w:hAnsi="Arial" w:cs="Arial"/>
          <w:color w:val="000000"/>
          <w:sz w:val="24"/>
          <w:szCs w:val="24"/>
          <w:lang w:eastAsia="en-ZA"/>
        </w:rPr>
        <w:t>Katz </w:t>
      </w:r>
      <w:r w:rsidRPr="00F758A7">
        <w:rPr>
          <w:rFonts w:ascii="Arial" w:eastAsia="Times New Roman" w:hAnsi="Arial" w:cs="Arial"/>
          <w:color w:val="000000"/>
          <w:sz w:val="24"/>
          <w:szCs w:val="24"/>
          <w:lang w:eastAsia="en-ZA"/>
        </w:rPr>
        <w:t>sent an email to both parties' legal representatives and stated that his understanding was that he was going to listen to the two</w:t>
      </w:r>
      <w:r w:rsidR="0078663A">
        <w:rPr>
          <w:rFonts w:ascii="Arial" w:eastAsia="Times New Roman" w:hAnsi="Arial" w:cs="Arial"/>
          <w:color w:val="000000"/>
          <w:sz w:val="24"/>
          <w:szCs w:val="24"/>
          <w:lang w:eastAsia="en-ZA"/>
        </w:rPr>
        <w:t xml:space="preserve"> sides who will be required to </w:t>
      </w:r>
      <w:r w:rsidRPr="00F758A7">
        <w:rPr>
          <w:rFonts w:ascii="Arial" w:eastAsia="Times New Roman" w:hAnsi="Arial" w:cs="Arial"/>
          <w:color w:val="000000"/>
          <w:sz w:val="24"/>
          <w:szCs w:val="24"/>
          <w:lang w:eastAsia="en-ZA"/>
        </w:rPr>
        <w:t xml:space="preserve">justify and </w:t>
      </w:r>
      <w:r w:rsidR="00E141D3">
        <w:rPr>
          <w:rFonts w:ascii="Arial" w:eastAsia="Times New Roman" w:hAnsi="Arial" w:cs="Arial"/>
          <w:color w:val="000000"/>
          <w:sz w:val="24"/>
          <w:szCs w:val="24"/>
          <w:lang w:eastAsia="en-ZA"/>
        </w:rPr>
        <w:t>prove their respective claims. T</w:t>
      </w:r>
      <w:r w:rsidRPr="00F758A7">
        <w:rPr>
          <w:rFonts w:ascii="Arial" w:eastAsia="Times New Roman" w:hAnsi="Arial" w:cs="Arial"/>
          <w:color w:val="000000"/>
          <w:sz w:val="24"/>
          <w:szCs w:val="24"/>
          <w:lang w:eastAsia="en-ZA"/>
        </w:rPr>
        <w:t>his understanding was promptly corrected by the applicant's legal representative and she restated the mandate to</w:t>
      </w:r>
      <w:r w:rsidR="005E2868">
        <w:rPr>
          <w:rFonts w:ascii="Arial" w:eastAsia="Times New Roman" w:hAnsi="Arial" w:cs="Arial"/>
          <w:color w:val="000000"/>
          <w:sz w:val="24"/>
          <w:szCs w:val="24"/>
          <w:lang w:eastAsia="en-ZA"/>
        </w:rPr>
        <w:t xml:space="preserve"> Mr</w:t>
      </w:r>
      <w:r w:rsidRPr="00F758A7">
        <w:rPr>
          <w:rFonts w:ascii="Arial" w:eastAsia="Times New Roman" w:hAnsi="Arial" w:cs="Arial"/>
          <w:color w:val="000000"/>
          <w:sz w:val="24"/>
          <w:szCs w:val="24"/>
          <w:lang w:eastAsia="en-ZA"/>
        </w:rPr>
        <w:t xml:space="preserve"> Katz.</w:t>
      </w:r>
    </w:p>
    <w:p w:rsidR="00F758A7" w:rsidRPr="00F758A7" w:rsidRDefault="00F758A7" w:rsidP="00586083">
      <w:pPr>
        <w:spacing w:after="0" w:line="480" w:lineRule="auto"/>
        <w:jc w:val="both"/>
        <w:rPr>
          <w:rFonts w:ascii="Arial" w:eastAsia="Times New Roman" w:hAnsi="Arial" w:cs="Arial"/>
          <w:sz w:val="24"/>
          <w:szCs w:val="24"/>
          <w:lang w:eastAsia="en-ZA"/>
        </w:rPr>
      </w:pPr>
    </w:p>
    <w:p w:rsidR="00F758A7" w:rsidRPr="00F758A7" w:rsidRDefault="00BF2A97" w:rsidP="00586083">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[9]</w:t>
      </w:r>
      <w:r>
        <w:rPr>
          <w:rFonts w:ascii="Arial" w:eastAsia="Times New Roman" w:hAnsi="Arial" w:cs="Arial"/>
          <w:color w:val="000000"/>
          <w:sz w:val="24"/>
          <w:szCs w:val="24"/>
          <w:lang w:eastAsia="en-ZA"/>
        </w:rPr>
        <w:tab/>
        <w:t>T</w:t>
      </w:r>
      <w:r w:rsidR="004A0B23" w:rsidRPr="00F758A7">
        <w:rPr>
          <w:rFonts w:ascii="Arial" w:eastAsia="Times New Roman" w:hAnsi="Arial" w:cs="Arial"/>
          <w:color w:val="000000"/>
          <w:sz w:val="24"/>
          <w:szCs w:val="24"/>
          <w:lang w:eastAsia="en-ZA"/>
        </w:rPr>
        <w:t>he meeting took place as provided for in the mandate on 30 November 2020 between the first respondent</w:t>
      </w:r>
      <w:r w:rsidR="00B4607A">
        <w:rPr>
          <w:rFonts w:ascii="Arial" w:eastAsia="Times New Roman" w:hAnsi="Arial" w:cs="Arial"/>
          <w:color w:val="000000"/>
          <w:sz w:val="24"/>
          <w:szCs w:val="24"/>
          <w:lang w:eastAsia="en-ZA"/>
        </w:rPr>
        <w:t>s’</w:t>
      </w:r>
      <w:r w:rsidR="004A0B23" w:rsidRPr="00F758A7">
        <w:rPr>
          <w:rFonts w:ascii="Arial" w:eastAsia="Times New Roman" w:hAnsi="Arial" w:cs="Arial"/>
          <w:color w:val="000000"/>
          <w:sz w:val="24"/>
          <w:szCs w:val="24"/>
          <w:lang w:eastAsia="en-ZA"/>
        </w:rPr>
        <w:t xml:space="preserve"> expert witness, Prof</w:t>
      </w:r>
      <w:r w:rsidR="00B4607A">
        <w:rPr>
          <w:rFonts w:ascii="Arial" w:eastAsia="Times New Roman" w:hAnsi="Arial" w:cs="Arial"/>
          <w:color w:val="000000"/>
          <w:sz w:val="24"/>
          <w:szCs w:val="24"/>
          <w:lang w:eastAsia="en-ZA"/>
        </w:rPr>
        <w:t xml:space="preserve">essor </w:t>
      </w:r>
      <w:r w:rsidR="004A0B23" w:rsidRPr="00F758A7">
        <w:rPr>
          <w:rFonts w:ascii="Arial" w:eastAsia="Times New Roman" w:hAnsi="Arial" w:cs="Arial"/>
          <w:color w:val="000000"/>
          <w:sz w:val="24"/>
          <w:szCs w:val="24"/>
          <w:lang w:eastAsia="en-ZA"/>
        </w:rPr>
        <w:t>Wainer</w:t>
      </w:r>
      <w:r>
        <w:rPr>
          <w:rFonts w:ascii="Arial" w:eastAsia="Times New Roman" w:hAnsi="Arial" w:cs="Arial"/>
          <w:color w:val="000000"/>
          <w:sz w:val="24"/>
          <w:szCs w:val="24"/>
          <w:lang w:eastAsia="en-ZA"/>
        </w:rPr>
        <w:t xml:space="preserve"> (“</w:t>
      </w:r>
      <w:r w:rsidR="00586083">
        <w:rPr>
          <w:rFonts w:ascii="Arial" w:eastAsia="Times New Roman" w:hAnsi="Arial" w:cs="Arial"/>
          <w:color w:val="000000"/>
          <w:sz w:val="24"/>
          <w:szCs w:val="24"/>
          <w:lang w:eastAsia="en-ZA"/>
        </w:rPr>
        <w:t>Prof Wainer</w:t>
      </w:r>
      <w:r>
        <w:rPr>
          <w:rFonts w:ascii="Arial" w:eastAsia="Times New Roman" w:hAnsi="Arial" w:cs="Arial"/>
          <w:color w:val="000000"/>
          <w:sz w:val="24"/>
          <w:szCs w:val="24"/>
          <w:lang w:eastAsia="en-ZA"/>
        </w:rPr>
        <w:t>”)</w:t>
      </w:r>
      <w:r w:rsidR="004A0B23" w:rsidRPr="00F758A7">
        <w:rPr>
          <w:rFonts w:ascii="Arial" w:eastAsia="Times New Roman" w:hAnsi="Arial" w:cs="Arial"/>
          <w:color w:val="000000"/>
          <w:sz w:val="24"/>
          <w:szCs w:val="24"/>
          <w:lang w:eastAsia="en-ZA"/>
        </w:rPr>
        <w:t xml:space="preserve"> and the f</w:t>
      </w:r>
      <w:r w:rsidR="00B4607A">
        <w:rPr>
          <w:rFonts w:ascii="Arial" w:eastAsia="Times New Roman" w:hAnsi="Arial" w:cs="Arial"/>
          <w:color w:val="000000"/>
          <w:sz w:val="24"/>
          <w:szCs w:val="24"/>
          <w:lang w:eastAsia="en-ZA"/>
        </w:rPr>
        <w:t xml:space="preserve">irst respondent's two factual witnesses Mr </w:t>
      </w:r>
      <w:r w:rsidR="004A0B23" w:rsidRPr="00F758A7">
        <w:rPr>
          <w:rFonts w:ascii="Arial" w:eastAsia="Times New Roman" w:hAnsi="Arial" w:cs="Arial"/>
          <w:color w:val="000000"/>
          <w:sz w:val="24"/>
          <w:szCs w:val="24"/>
          <w:lang w:eastAsia="en-ZA"/>
        </w:rPr>
        <w:t xml:space="preserve">Domoney and </w:t>
      </w:r>
      <w:r>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F Nel</w:t>
      </w:r>
      <w:r>
        <w:rPr>
          <w:rFonts w:ascii="Arial" w:eastAsia="Times New Roman" w:hAnsi="Arial" w:cs="Arial"/>
          <w:color w:val="000000"/>
          <w:sz w:val="24"/>
          <w:szCs w:val="24"/>
          <w:lang w:eastAsia="en-ZA"/>
        </w:rPr>
        <w:t xml:space="preserve"> (“</w:t>
      </w:r>
      <w:r w:rsidR="00B4607A">
        <w:rPr>
          <w:rFonts w:ascii="Arial" w:eastAsia="Times New Roman" w:hAnsi="Arial" w:cs="Arial"/>
          <w:color w:val="000000"/>
          <w:sz w:val="24"/>
          <w:szCs w:val="24"/>
          <w:lang w:eastAsia="en-ZA"/>
        </w:rPr>
        <w:t xml:space="preserve">Mr </w:t>
      </w:r>
      <w:r>
        <w:rPr>
          <w:rFonts w:ascii="Arial" w:eastAsia="Times New Roman" w:hAnsi="Arial" w:cs="Arial"/>
          <w:color w:val="000000"/>
          <w:sz w:val="24"/>
          <w:szCs w:val="24"/>
          <w:lang w:eastAsia="en-ZA"/>
        </w:rPr>
        <w:t>Nel”)</w:t>
      </w:r>
      <w:r w:rsidR="004A0B23" w:rsidRPr="00F758A7">
        <w:rPr>
          <w:rFonts w:ascii="Arial" w:eastAsia="Times New Roman" w:hAnsi="Arial" w:cs="Arial"/>
          <w:color w:val="000000"/>
          <w:sz w:val="24"/>
          <w:szCs w:val="24"/>
          <w:lang w:eastAsia="en-ZA"/>
        </w:rPr>
        <w:t xml:space="preserve"> and th</w:t>
      </w:r>
      <w:r>
        <w:rPr>
          <w:rFonts w:ascii="Arial" w:eastAsia="Times New Roman" w:hAnsi="Arial" w:cs="Arial"/>
          <w:color w:val="000000"/>
          <w:sz w:val="24"/>
          <w:szCs w:val="24"/>
          <w:lang w:eastAsia="en-ZA"/>
        </w:rPr>
        <w:t>e applicant's expert Mr Felet. T</w:t>
      </w:r>
      <w:r w:rsidR="004A0B23" w:rsidRPr="00F758A7">
        <w:rPr>
          <w:rFonts w:ascii="Arial" w:eastAsia="Times New Roman" w:hAnsi="Arial" w:cs="Arial"/>
          <w:color w:val="000000"/>
          <w:sz w:val="24"/>
          <w:szCs w:val="24"/>
          <w:lang w:eastAsia="en-ZA"/>
        </w:rPr>
        <w:t xml:space="preserve">he first respondent sent </w:t>
      </w:r>
      <w:r>
        <w:rPr>
          <w:rFonts w:ascii="Arial" w:eastAsia="Times New Roman" w:hAnsi="Arial" w:cs="Arial"/>
          <w:color w:val="000000"/>
          <w:sz w:val="24"/>
          <w:szCs w:val="24"/>
          <w:lang w:eastAsia="en-ZA"/>
        </w:rPr>
        <w:t>a previously undiscovered and u</w:t>
      </w:r>
      <w:r w:rsidR="004A0B23" w:rsidRPr="00F758A7">
        <w:rPr>
          <w:rFonts w:ascii="Arial" w:eastAsia="Times New Roman" w:hAnsi="Arial" w:cs="Arial"/>
          <w:color w:val="000000"/>
          <w:sz w:val="24"/>
          <w:szCs w:val="24"/>
          <w:lang w:eastAsia="en-ZA"/>
        </w:rPr>
        <w:t>ndisclosed document as permitted i</w:t>
      </w:r>
      <w:r w:rsidR="00B4607A">
        <w:rPr>
          <w:rFonts w:ascii="Arial" w:eastAsia="Times New Roman" w:hAnsi="Arial" w:cs="Arial"/>
          <w:color w:val="000000"/>
          <w:sz w:val="24"/>
          <w:szCs w:val="24"/>
          <w:lang w:eastAsia="en-ZA"/>
        </w:rPr>
        <w:t>n terms of paragraph 4 of the M</w:t>
      </w:r>
      <w:r w:rsidR="004A0B23" w:rsidRPr="00F758A7">
        <w:rPr>
          <w:rFonts w:ascii="Arial" w:eastAsia="Times New Roman" w:hAnsi="Arial" w:cs="Arial"/>
          <w:color w:val="000000"/>
          <w:sz w:val="24"/>
          <w:szCs w:val="24"/>
          <w:lang w:eastAsia="en-ZA"/>
        </w:rPr>
        <w:t>andate in support of its claim to Katz and the applicant's experts more than 24 hours before the meeting.</w:t>
      </w:r>
    </w:p>
    <w:p w:rsidR="00F758A7" w:rsidRPr="00F758A7" w:rsidRDefault="00F758A7" w:rsidP="00586083">
      <w:pPr>
        <w:spacing w:after="0" w:line="480" w:lineRule="auto"/>
        <w:jc w:val="both"/>
        <w:rPr>
          <w:rFonts w:ascii="Arial" w:eastAsia="Times New Roman" w:hAnsi="Arial" w:cs="Arial"/>
          <w:sz w:val="24"/>
          <w:szCs w:val="24"/>
          <w:lang w:eastAsia="en-ZA"/>
        </w:rPr>
      </w:pPr>
    </w:p>
    <w:p w:rsidR="00F758A7" w:rsidRPr="00F758A7" w:rsidRDefault="00BF2A97" w:rsidP="00586083">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[10]</w:t>
      </w:r>
      <w:r>
        <w:rPr>
          <w:rFonts w:ascii="Arial" w:eastAsia="Times New Roman" w:hAnsi="Arial" w:cs="Arial"/>
          <w:color w:val="000000"/>
          <w:sz w:val="24"/>
          <w:szCs w:val="24"/>
          <w:lang w:eastAsia="en-ZA"/>
        </w:rPr>
        <w:tab/>
        <w:t>T</w:t>
      </w:r>
      <w:r w:rsidR="004A0B23" w:rsidRPr="00F758A7">
        <w:rPr>
          <w:rFonts w:ascii="Arial" w:eastAsia="Times New Roman" w:hAnsi="Arial" w:cs="Arial"/>
          <w:color w:val="000000"/>
          <w:sz w:val="24"/>
          <w:szCs w:val="24"/>
          <w:lang w:eastAsia="en-ZA"/>
        </w:rPr>
        <w:t>he applic</w:t>
      </w:r>
      <w:r w:rsidR="00B4607A">
        <w:rPr>
          <w:rFonts w:ascii="Arial" w:eastAsia="Times New Roman" w:hAnsi="Arial" w:cs="Arial"/>
          <w:color w:val="000000"/>
          <w:sz w:val="24"/>
          <w:szCs w:val="24"/>
          <w:lang w:eastAsia="en-ZA"/>
        </w:rPr>
        <w:t>ant avers that contrary to the M</w:t>
      </w:r>
      <w:r w:rsidR="004A0B23" w:rsidRPr="00F758A7">
        <w:rPr>
          <w:rFonts w:ascii="Arial" w:eastAsia="Times New Roman" w:hAnsi="Arial" w:cs="Arial"/>
          <w:color w:val="000000"/>
          <w:sz w:val="24"/>
          <w:szCs w:val="24"/>
          <w:lang w:eastAsia="en-ZA"/>
        </w:rPr>
        <w:t>andate, during the course of the meeting and after discussion uncertain of th</w:t>
      </w:r>
      <w:r>
        <w:rPr>
          <w:rFonts w:ascii="Arial" w:eastAsia="Times New Roman" w:hAnsi="Arial" w:cs="Arial"/>
          <w:color w:val="000000"/>
          <w:sz w:val="24"/>
          <w:szCs w:val="24"/>
          <w:lang w:eastAsia="en-ZA"/>
        </w:rPr>
        <w:t>e items on Annexure "X",</w:t>
      </w:r>
      <w:r w:rsidR="00B4607A">
        <w:rPr>
          <w:rFonts w:ascii="Arial" w:eastAsia="Times New Roman" w:hAnsi="Arial" w:cs="Arial"/>
          <w:color w:val="000000"/>
          <w:sz w:val="24"/>
          <w:szCs w:val="24"/>
          <w:lang w:eastAsia="en-ZA"/>
        </w:rPr>
        <w:t xml:space="preserve"> Mr</w:t>
      </w:r>
      <w:r>
        <w:rPr>
          <w:rFonts w:ascii="Arial" w:eastAsia="Times New Roman" w:hAnsi="Arial" w:cs="Arial"/>
          <w:color w:val="000000"/>
          <w:sz w:val="24"/>
          <w:szCs w:val="24"/>
          <w:lang w:eastAsia="en-ZA"/>
        </w:rPr>
        <w:t xml:space="preserve"> Katz r</w:t>
      </w:r>
      <w:r w:rsidR="004A0B23" w:rsidRPr="00F758A7">
        <w:rPr>
          <w:rFonts w:ascii="Arial" w:eastAsia="Times New Roman" w:hAnsi="Arial" w:cs="Arial"/>
          <w:color w:val="000000"/>
          <w:sz w:val="24"/>
          <w:szCs w:val="24"/>
          <w:lang w:eastAsia="en-ZA"/>
        </w:rPr>
        <w:t>e</w:t>
      </w:r>
      <w:r>
        <w:rPr>
          <w:rFonts w:ascii="Arial" w:eastAsia="Times New Roman" w:hAnsi="Arial" w:cs="Arial"/>
          <w:color w:val="000000"/>
          <w:sz w:val="24"/>
          <w:szCs w:val="24"/>
          <w:lang w:eastAsia="en-ZA"/>
        </w:rPr>
        <w:t>quested the first respondents' w</w:t>
      </w:r>
      <w:r w:rsidR="004A0B23" w:rsidRPr="00F758A7">
        <w:rPr>
          <w:rFonts w:ascii="Arial" w:eastAsia="Times New Roman" w:hAnsi="Arial" w:cs="Arial"/>
          <w:color w:val="000000"/>
          <w:sz w:val="24"/>
          <w:szCs w:val="24"/>
          <w:lang w:eastAsia="en-ZA"/>
        </w:rPr>
        <w:t xml:space="preserve">itnesses to produce additional documentation in support of its claim,  namely copies </w:t>
      </w:r>
      <w:r>
        <w:rPr>
          <w:rFonts w:ascii="Arial" w:eastAsia="Times New Roman" w:hAnsi="Arial" w:cs="Arial"/>
          <w:color w:val="000000"/>
          <w:sz w:val="24"/>
          <w:szCs w:val="24"/>
          <w:lang w:eastAsia="en-ZA"/>
        </w:rPr>
        <w:t xml:space="preserve">of the three invoices listed </w:t>
      </w:r>
      <w:r w:rsidR="004A0B23" w:rsidRPr="00F758A7">
        <w:rPr>
          <w:rFonts w:ascii="Arial" w:eastAsia="Times New Roman" w:hAnsi="Arial" w:cs="Arial"/>
          <w:color w:val="000000"/>
          <w:sz w:val="24"/>
          <w:szCs w:val="24"/>
          <w:lang w:eastAsia="en-ZA"/>
        </w:rPr>
        <w:t xml:space="preserve">an audit fee provision,  schedule previously submitted by </w:t>
      </w:r>
      <w:r w:rsidR="00B4607A">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Domoney;  a full breakdown of trade payables as at 31 January 2017; a full breakdown of the break cost provision disclosed in the closing statement;  the breakdown of the project accruals relating to the Vodaco</w:t>
      </w:r>
      <w:r>
        <w:rPr>
          <w:rFonts w:ascii="Arial" w:eastAsia="Times New Roman" w:hAnsi="Arial" w:cs="Arial"/>
          <w:color w:val="000000"/>
          <w:sz w:val="24"/>
          <w:szCs w:val="24"/>
          <w:lang w:eastAsia="en-ZA"/>
        </w:rPr>
        <w:t>m Irene  Farm Villages project a</w:t>
      </w:r>
      <w:r w:rsidR="004A0B23" w:rsidRPr="00F758A7">
        <w:rPr>
          <w:rFonts w:ascii="Arial" w:eastAsia="Times New Roman" w:hAnsi="Arial" w:cs="Arial"/>
          <w:color w:val="000000"/>
          <w:sz w:val="24"/>
          <w:szCs w:val="24"/>
          <w:lang w:eastAsia="en-ZA"/>
        </w:rPr>
        <w:t xml:space="preserve">nd a full breakdown of the operating lease accrual's outstanding BB1  accruals and the BB1 cost of sales accruals as at  31 January 2017,  which documentation would </w:t>
      </w:r>
      <w:r w:rsidR="004A0B23" w:rsidRPr="00F758A7">
        <w:rPr>
          <w:rFonts w:ascii="Arial" w:eastAsia="Times New Roman" w:hAnsi="Arial" w:cs="Arial"/>
          <w:color w:val="000000"/>
          <w:sz w:val="24"/>
          <w:szCs w:val="24"/>
          <w:lang w:eastAsia="en-ZA"/>
        </w:rPr>
        <w:lastRenderedPageBreak/>
        <w:t>provide evidence for the BB Infraco CDH, Deloitte</w:t>
      </w:r>
      <w:r w:rsidR="00B4607A">
        <w:rPr>
          <w:rFonts w:ascii="Arial" w:eastAsia="Times New Roman" w:hAnsi="Arial" w:cs="Arial"/>
          <w:color w:val="000000"/>
          <w:sz w:val="24"/>
          <w:szCs w:val="24"/>
          <w:lang w:eastAsia="en-ZA"/>
        </w:rPr>
        <w:t>,</w:t>
      </w:r>
      <w:r w:rsidR="004A0B23" w:rsidRPr="00F758A7">
        <w:rPr>
          <w:rFonts w:ascii="Arial" w:eastAsia="Times New Roman" w:hAnsi="Arial" w:cs="Arial"/>
          <w:color w:val="000000"/>
          <w:sz w:val="24"/>
          <w:szCs w:val="24"/>
          <w:lang w:eastAsia="en-ZA"/>
        </w:rPr>
        <w:t xml:space="preserve"> Shred-It, SBD, Webber </w:t>
      </w:r>
      <w:r>
        <w:rPr>
          <w:rFonts w:ascii="Arial" w:eastAsia="Times New Roman" w:hAnsi="Arial" w:cs="Arial"/>
          <w:color w:val="000000"/>
          <w:sz w:val="24"/>
          <w:szCs w:val="24"/>
          <w:lang w:eastAsia="en-ZA"/>
        </w:rPr>
        <w:t xml:space="preserve">Wentzel and Power Minster </w:t>
      </w:r>
      <w:r w:rsidR="004A0B23" w:rsidRPr="00F758A7">
        <w:rPr>
          <w:rFonts w:ascii="Arial" w:eastAsia="Times New Roman" w:hAnsi="Arial" w:cs="Arial"/>
          <w:color w:val="000000"/>
          <w:sz w:val="24"/>
          <w:szCs w:val="24"/>
          <w:lang w:eastAsia="en-ZA"/>
        </w:rPr>
        <w:t>Electrical Contractor line item refer</w:t>
      </w:r>
      <w:r w:rsidR="00B4607A">
        <w:rPr>
          <w:rFonts w:ascii="Arial" w:eastAsia="Times New Roman" w:hAnsi="Arial" w:cs="Arial"/>
          <w:color w:val="000000"/>
          <w:sz w:val="24"/>
          <w:szCs w:val="24"/>
          <w:lang w:eastAsia="en-ZA"/>
        </w:rPr>
        <w:t>red</w:t>
      </w:r>
      <w:r w:rsidR="004A0B23" w:rsidRPr="00F758A7">
        <w:rPr>
          <w:rFonts w:ascii="Arial" w:eastAsia="Times New Roman" w:hAnsi="Arial" w:cs="Arial"/>
          <w:color w:val="000000"/>
          <w:sz w:val="24"/>
          <w:szCs w:val="24"/>
          <w:lang w:eastAsia="en-ZA"/>
        </w:rPr>
        <w:t xml:space="preserve"> to in Annex</w:t>
      </w:r>
      <w:r>
        <w:rPr>
          <w:rFonts w:ascii="Arial" w:eastAsia="Times New Roman" w:hAnsi="Arial" w:cs="Arial"/>
          <w:color w:val="000000"/>
          <w:sz w:val="24"/>
          <w:szCs w:val="24"/>
          <w:lang w:eastAsia="en-ZA"/>
        </w:rPr>
        <w:t>ure “X”. The documentation was</w:t>
      </w:r>
      <w:r w:rsidR="004A0B23" w:rsidRPr="00F758A7">
        <w:rPr>
          <w:rFonts w:ascii="Arial" w:eastAsia="Times New Roman" w:hAnsi="Arial" w:cs="Arial"/>
          <w:color w:val="000000"/>
          <w:sz w:val="24"/>
          <w:szCs w:val="24"/>
          <w:lang w:eastAsia="en-ZA"/>
        </w:rPr>
        <w:t xml:space="preserve"> to be produced after the concl</w:t>
      </w:r>
      <w:r w:rsidR="00B4607A">
        <w:rPr>
          <w:rFonts w:ascii="Arial" w:eastAsia="Times New Roman" w:hAnsi="Arial" w:cs="Arial"/>
          <w:color w:val="000000"/>
          <w:sz w:val="24"/>
          <w:szCs w:val="24"/>
          <w:lang w:eastAsia="en-ZA"/>
        </w:rPr>
        <w:t>usion of the meeting and would b</w:t>
      </w:r>
      <w:r w:rsidR="004A0B23" w:rsidRPr="00F758A7">
        <w:rPr>
          <w:rFonts w:ascii="Arial" w:eastAsia="Times New Roman" w:hAnsi="Arial" w:cs="Arial"/>
          <w:color w:val="000000"/>
          <w:sz w:val="24"/>
          <w:szCs w:val="24"/>
          <w:lang w:eastAsia="en-ZA"/>
        </w:rPr>
        <w:t xml:space="preserve">e discussed at a further meeting to be convened by </w:t>
      </w:r>
      <w:r w:rsidR="00B4607A">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Katz.</w:t>
      </w:r>
    </w:p>
    <w:p w:rsidR="00F758A7" w:rsidRPr="00F758A7" w:rsidRDefault="00F758A7" w:rsidP="00586083">
      <w:pPr>
        <w:spacing w:after="0" w:line="480" w:lineRule="auto"/>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w:t>
      </w:r>
      <w:r>
        <w:rPr>
          <w:rFonts w:ascii="Arial" w:eastAsia="Times New Roman" w:hAnsi="Arial" w:cs="Arial"/>
          <w:color w:val="000000"/>
          <w:sz w:val="24"/>
          <w:szCs w:val="24"/>
          <w:lang w:eastAsia="en-ZA"/>
        </w:rPr>
        <w:tab/>
        <w:t>T</w:t>
      </w:r>
      <w:r w:rsidR="004A0B23" w:rsidRPr="00F758A7">
        <w:rPr>
          <w:rFonts w:ascii="Arial" w:eastAsia="Times New Roman" w:hAnsi="Arial" w:cs="Arial"/>
          <w:color w:val="000000"/>
          <w:sz w:val="24"/>
          <w:szCs w:val="24"/>
          <w:lang w:eastAsia="en-ZA"/>
        </w:rPr>
        <w:t>he applicant contends that this was contrary to th</w:t>
      </w:r>
      <w:r>
        <w:rPr>
          <w:rFonts w:ascii="Arial" w:eastAsia="Times New Roman" w:hAnsi="Arial" w:cs="Arial"/>
          <w:color w:val="000000"/>
          <w:sz w:val="24"/>
          <w:szCs w:val="24"/>
          <w:lang w:eastAsia="en-ZA"/>
        </w:rPr>
        <w:t>e provisions of the mandate,</w:t>
      </w:r>
      <w:r w:rsidR="004A0B23" w:rsidRPr="00F758A7">
        <w:rPr>
          <w:rFonts w:ascii="Arial" w:eastAsia="Times New Roman" w:hAnsi="Arial" w:cs="Arial"/>
          <w:color w:val="000000"/>
          <w:sz w:val="24"/>
          <w:szCs w:val="24"/>
          <w:lang w:eastAsia="en-ZA"/>
        </w:rPr>
        <w:t xml:space="preserve"> it should be remembered that all documentation had been discovered at th</w:t>
      </w:r>
      <w:r w:rsidR="00B4607A">
        <w:rPr>
          <w:rFonts w:ascii="Arial" w:eastAsia="Times New Roman" w:hAnsi="Arial" w:cs="Arial"/>
          <w:color w:val="000000"/>
          <w:sz w:val="24"/>
          <w:szCs w:val="24"/>
          <w:lang w:eastAsia="en-ZA"/>
        </w:rPr>
        <w:t>e arbitration which was ongoing and the undiscovered documentation had only been made available to the other side more than 24 hours prior to the scheduled meeting with the expert. This was in line with the provisions of Mandate, namely, paragraph 4.</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[12]</w:t>
      </w:r>
      <w:r>
        <w:rPr>
          <w:rFonts w:ascii="Arial" w:eastAsia="Times New Roman" w:hAnsi="Arial" w:cs="Arial"/>
          <w:color w:val="000000"/>
          <w:sz w:val="24"/>
          <w:szCs w:val="24"/>
          <w:lang w:eastAsia="en-ZA"/>
        </w:rPr>
        <w:tab/>
        <w:t>W</w:t>
      </w:r>
      <w:r w:rsidR="004A0B23" w:rsidRPr="00F758A7">
        <w:rPr>
          <w:rFonts w:ascii="Arial" w:eastAsia="Times New Roman" w:hAnsi="Arial" w:cs="Arial"/>
          <w:color w:val="000000"/>
          <w:sz w:val="24"/>
          <w:szCs w:val="24"/>
          <w:lang w:eastAsia="en-ZA"/>
        </w:rPr>
        <w:t xml:space="preserve">hen </w:t>
      </w:r>
      <w:r w:rsidR="00B4607A">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 xml:space="preserve">Felet felt aggrieved by </w:t>
      </w:r>
      <w:r w:rsidR="00B4607A">
        <w:rPr>
          <w:rFonts w:ascii="Arial" w:eastAsia="Times New Roman" w:hAnsi="Arial" w:cs="Arial"/>
          <w:color w:val="000000"/>
          <w:sz w:val="24"/>
          <w:szCs w:val="24"/>
          <w:lang w:eastAsia="en-ZA"/>
        </w:rPr>
        <w:t>Mr Katz at the meeting and expres</w:t>
      </w:r>
      <w:r w:rsidR="004A0B23" w:rsidRPr="00F758A7">
        <w:rPr>
          <w:rFonts w:ascii="Arial" w:eastAsia="Times New Roman" w:hAnsi="Arial" w:cs="Arial"/>
          <w:color w:val="000000"/>
          <w:sz w:val="24"/>
          <w:szCs w:val="24"/>
          <w:lang w:eastAsia="en-ZA"/>
        </w:rPr>
        <w:t xml:space="preserve">sed his views on the process </w:t>
      </w:r>
      <w:r w:rsidR="00B4607A">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 xml:space="preserve">Katz was embarking upon, </w:t>
      </w:r>
      <w:r w:rsidR="00B4607A">
        <w:rPr>
          <w:rFonts w:ascii="Arial" w:eastAsia="Times New Roman" w:hAnsi="Arial" w:cs="Arial"/>
          <w:color w:val="000000"/>
          <w:sz w:val="24"/>
          <w:szCs w:val="24"/>
          <w:lang w:eastAsia="en-ZA"/>
        </w:rPr>
        <w:t>which he argued was not in line with the M</w:t>
      </w:r>
      <w:r w:rsidR="00384B72">
        <w:rPr>
          <w:rFonts w:ascii="Arial" w:eastAsia="Times New Roman" w:hAnsi="Arial" w:cs="Arial"/>
          <w:color w:val="000000"/>
          <w:sz w:val="24"/>
          <w:szCs w:val="24"/>
          <w:lang w:eastAsia="en-ZA"/>
        </w:rPr>
        <w:t>andate, h</w:t>
      </w:r>
      <w:r w:rsidR="004A0B23" w:rsidRPr="00F758A7">
        <w:rPr>
          <w:rFonts w:ascii="Arial" w:eastAsia="Times New Roman" w:hAnsi="Arial" w:cs="Arial"/>
          <w:color w:val="000000"/>
          <w:sz w:val="24"/>
          <w:szCs w:val="24"/>
          <w:lang w:eastAsia="en-ZA"/>
        </w:rPr>
        <w:t>e was advised that he would be given an opportunity to consider additional docum</w:t>
      </w:r>
      <w:r>
        <w:rPr>
          <w:rFonts w:ascii="Arial" w:eastAsia="Times New Roman" w:hAnsi="Arial" w:cs="Arial"/>
          <w:color w:val="000000"/>
          <w:sz w:val="24"/>
          <w:szCs w:val="24"/>
          <w:lang w:eastAsia="en-ZA"/>
        </w:rPr>
        <w:t>entation and comment thereon.  A</w:t>
      </w:r>
      <w:r w:rsidR="004A0B23" w:rsidRPr="00F758A7">
        <w:rPr>
          <w:rFonts w:ascii="Arial" w:eastAsia="Times New Roman" w:hAnsi="Arial" w:cs="Arial"/>
          <w:color w:val="000000"/>
          <w:sz w:val="24"/>
          <w:szCs w:val="24"/>
          <w:lang w:eastAsia="en-ZA"/>
        </w:rPr>
        <w:t xml:space="preserve"> further meeting was to be arranged by</w:t>
      </w:r>
      <w:r w:rsidR="00384B72">
        <w:rPr>
          <w:rFonts w:ascii="Arial" w:eastAsia="Times New Roman" w:hAnsi="Arial" w:cs="Arial"/>
          <w:color w:val="000000"/>
          <w:sz w:val="24"/>
          <w:szCs w:val="24"/>
          <w:lang w:eastAsia="en-ZA"/>
        </w:rPr>
        <w:t xml:space="preserve"> Mr</w:t>
      </w:r>
      <w:r w:rsidR="004A0B23" w:rsidRPr="00F758A7">
        <w:rPr>
          <w:rFonts w:ascii="Arial" w:eastAsia="Times New Roman" w:hAnsi="Arial" w:cs="Arial"/>
          <w:color w:val="000000"/>
          <w:sz w:val="24"/>
          <w:szCs w:val="24"/>
          <w:lang w:eastAsia="en-ZA"/>
        </w:rPr>
        <w:t xml:space="preserve"> Katz with all the experts once the additional documentation required was at hand.</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[13]</w:t>
      </w:r>
      <w:r w:rsidRPr="00F758A7">
        <w:rPr>
          <w:rFonts w:ascii="Arial" w:eastAsia="Times New Roman" w:hAnsi="Arial" w:cs="Arial"/>
          <w:color w:val="000000"/>
          <w:sz w:val="24"/>
          <w:szCs w:val="24"/>
          <w:lang w:eastAsia="en-ZA"/>
        </w:rPr>
        <w:tab/>
      </w:r>
      <w:r w:rsidR="00E141D3">
        <w:rPr>
          <w:rFonts w:ascii="Arial" w:eastAsia="Times New Roman" w:hAnsi="Arial" w:cs="Arial"/>
          <w:color w:val="000000"/>
          <w:sz w:val="24"/>
          <w:szCs w:val="24"/>
          <w:lang w:eastAsia="en-ZA"/>
        </w:rPr>
        <w:t xml:space="preserve"> A</w:t>
      </w:r>
      <w:r w:rsidRPr="00F758A7">
        <w:rPr>
          <w:rFonts w:ascii="Arial" w:eastAsia="Times New Roman" w:hAnsi="Arial" w:cs="Arial"/>
          <w:color w:val="000000"/>
          <w:sz w:val="24"/>
          <w:szCs w:val="24"/>
          <w:lang w:eastAsia="en-ZA"/>
        </w:rPr>
        <w:t>s a co</w:t>
      </w:r>
      <w:r w:rsidR="00E141D3">
        <w:rPr>
          <w:rFonts w:ascii="Arial" w:eastAsia="Times New Roman" w:hAnsi="Arial" w:cs="Arial"/>
          <w:color w:val="000000"/>
          <w:sz w:val="24"/>
          <w:szCs w:val="24"/>
          <w:lang w:eastAsia="en-ZA"/>
        </w:rPr>
        <w:t xml:space="preserve">nsequence of the developments, </w:t>
      </w:r>
      <w:r w:rsidRPr="00F758A7">
        <w:rPr>
          <w:rFonts w:ascii="Arial" w:eastAsia="Times New Roman" w:hAnsi="Arial" w:cs="Arial"/>
          <w:color w:val="000000"/>
          <w:sz w:val="24"/>
          <w:szCs w:val="24"/>
          <w:lang w:eastAsia="en-ZA"/>
        </w:rPr>
        <w:t>the applicant's legal representatives directed an email to</w:t>
      </w:r>
      <w:r w:rsidR="00384B72">
        <w:rPr>
          <w:rFonts w:ascii="Arial" w:eastAsia="Times New Roman" w:hAnsi="Arial" w:cs="Arial"/>
          <w:color w:val="000000"/>
          <w:sz w:val="24"/>
          <w:szCs w:val="24"/>
          <w:lang w:eastAsia="en-ZA"/>
        </w:rPr>
        <w:t xml:space="preserve"> Mr</w:t>
      </w:r>
      <w:r w:rsidRPr="00F758A7">
        <w:rPr>
          <w:rFonts w:ascii="Arial" w:eastAsia="Times New Roman" w:hAnsi="Arial" w:cs="Arial"/>
          <w:color w:val="000000"/>
          <w:sz w:val="24"/>
          <w:szCs w:val="24"/>
          <w:lang w:eastAsia="en-ZA"/>
        </w:rPr>
        <w:t xml:space="preserve"> Katz and advised him that he was not entitled to allow the first respondent to produce further docume</w:t>
      </w:r>
      <w:r w:rsidR="00E141D3">
        <w:rPr>
          <w:rFonts w:ascii="Arial" w:eastAsia="Times New Roman" w:hAnsi="Arial" w:cs="Arial"/>
          <w:color w:val="000000"/>
          <w:sz w:val="24"/>
          <w:szCs w:val="24"/>
          <w:lang w:eastAsia="en-ZA"/>
        </w:rPr>
        <w:t>ntation to prove line items if h</w:t>
      </w:r>
      <w:r w:rsidRPr="00F758A7">
        <w:rPr>
          <w:rFonts w:ascii="Arial" w:eastAsia="Times New Roman" w:hAnsi="Arial" w:cs="Arial"/>
          <w:color w:val="000000"/>
          <w:sz w:val="24"/>
          <w:szCs w:val="24"/>
          <w:lang w:eastAsia="en-ZA"/>
        </w:rPr>
        <w:t>e was undecided on these issues at the time of th</w:t>
      </w:r>
      <w:r w:rsidR="00384B72">
        <w:rPr>
          <w:rFonts w:ascii="Arial" w:eastAsia="Times New Roman" w:hAnsi="Arial" w:cs="Arial"/>
          <w:color w:val="000000"/>
          <w:sz w:val="24"/>
          <w:szCs w:val="24"/>
          <w:lang w:eastAsia="en-ZA"/>
        </w:rPr>
        <w:t>e meeting in light of what the M</w:t>
      </w:r>
      <w:r w:rsidRPr="00F758A7">
        <w:rPr>
          <w:rFonts w:ascii="Arial" w:eastAsia="Times New Roman" w:hAnsi="Arial" w:cs="Arial"/>
          <w:color w:val="000000"/>
          <w:sz w:val="24"/>
          <w:szCs w:val="24"/>
          <w:lang w:eastAsia="en-ZA"/>
        </w:rPr>
        <w:t xml:space="preserve">andate provided which is that those line items must be decided against the </w:t>
      </w:r>
      <w:r w:rsidRPr="00F758A7">
        <w:rPr>
          <w:rFonts w:ascii="Arial" w:eastAsia="Times New Roman" w:hAnsi="Arial" w:cs="Arial"/>
          <w:color w:val="000000"/>
          <w:sz w:val="24"/>
          <w:szCs w:val="24"/>
          <w:lang w:eastAsia="en-ZA"/>
        </w:rPr>
        <w:lastRenderedPageBreak/>
        <w:t>first respondent if not documentary proof exists at the time of the meeting.</w:t>
      </w:r>
      <w:r w:rsidR="00384B72">
        <w:rPr>
          <w:rFonts w:ascii="Arial" w:eastAsia="Times New Roman" w:hAnsi="Arial" w:cs="Arial"/>
          <w:color w:val="000000"/>
          <w:sz w:val="24"/>
          <w:szCs w:val="24"/>
          <w:lang w:eastAsia="en-ZA"/>
        </w:rPr>
        <w:t xml:space="preserve"> Mr</w:t>
      </w:r>
      <w:r w:rsidRPr="00F758A7">
        <w:rPr>
          <w:rFonts w:ascii="Arial" w:eastAsia="Times New Roman" w:hAnsi="Arial" w:cs="Arial"/>
          <w:color w:val="000000"/>
          <w:sz w:val="24"/>
          <w:szCs w:val="24"/>
          <w:lang w:eastAsia="en-ZA"/>
        </w:rPr>
        <w:t xml:space="preserve"> Katz was also not entitled to hold a second mee</w:t>
      </w:r>
      <w:r w:rsidR="00384B72">
        <w:rPr>
          <w:rFonts w:ascii="Arial" w:eastAsia="Times New Roman" w:hAnsi="Arial" w:cs="Arial"/>
          <w:color w:val="000000"/>
          <w:sz w:val="24"/>
          <w:szCs w:val="24"/>
          <w:lang w:eastAsia="en-ZA"/>
        </w:rPr>
        <w:t>ting because the M</w:t>
      </w:r>
      <w:r w:rsidRPr="00F758A7">
        <w:rPr>
          <w:rFonts w:ascii="Arial" w:eastAsia="Times New Roman" w:hAnsi="Arial" w:cs="Arial"/>
          <w:color w:val="000000"/>
          <w:sz w:val="24"/>
          <w:szCs w:val="24"/>
          <w:lang w:eastAsia="en-ZA"/>
        </w:rPr>
        <w:t xml:space="preserve">andate contemplated only one meeting, so continued the email. </w:t>
      </w:r>
      <w:r w:rsidR="00384B72">
        <w:rPr>
          <w:rFonts w:ascii="Arial" w:eastAsia="Times New Roman" w:hAnsi="Arial" w:cs="Arial"/>
          <w:color w:val="000000"/>
          <w:sz w:val="24"/>
          <w:szCs w:val="24"/>
          <w:lang w:eastAsia="en-ZA"/>
        </w:rPr>
        <w:t xml:space="preserve">Mr </w:t>
      </w:r>
      <w:r w:rsidRPr="00F758A7">
        <w:rPr>
          <w:rFonts w:ascii="Arial" w:eastAsia="Times New Roman" w:hAnsi="Arial" w:cs="Arial"/>
          <w:color w:val="000000"/>
          <w:sz w:val="24"/>
          <w:szCs w:val="24"/>
          <w:lang w:eastAsia="en-ZA"/>
        </w:rPr>
        <w:t>Katz was requested to render his determination with</w:t>
      </w:r>
      <w:r w:rsidR="00384B72">
        <w:rPr>
          <w:rFonts w:ascii="Arial" w:eastAsia="Times New Roman" w:hAnsi="Arial" w:cs="Arial"/>
          <w:color w:val="000000"/>
          <w:sz w:val="24"/>
          <w:szCs w:val="24"/>
          <w:lang w:eastAsia="en-ZA"/>
        </w:rPr>
        <w:t>in two days of the meeting held as provided in the Mandate.</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[14]</w:t>
      </w:r>
      <w:r w:rsidRPr="00F758A7">
        <w:rPr>
          <w:rFonts w:ascii="Arial" w:eastAsia="Times New Roman" w:hAnsi="Arial" w:cs="Arial"/>
          <w:color w:val="000000"/>
          <w:sz w:val="24"/>
          <w:szCs w:val="24"/>
          <w:lang w:eastAsia="en-ZA"/>
        </w:rPr>
        <w:tab/>
        <w:t xml:space="preserve">The first respondent responded on behalf of </w:t>
      </w:r>
      <w:r w:rsidR="00384B72">
        <w:rPr>
          <w:rFonts w:ascii="Arial" w:eastAsia="Times New Roman" w:hAnsi="Arial" w:cs="Arial"/>
          <w:color w:val="000000"/>
          <w:sz w:val="24"/>
          <w:szCs w:val="24"/>
          <w:lang w:eastAsia="en-ZA"/>
        </w:rPr>
        <w:t xml:space="preserve">Mr Katz, </w:t>
      </w:r>
      <w:r w:rsidRPr="00F758A7">
        <w:rPr>
          <w:rFonts w:ascii="Arial" w:eastAsia="Times New Roman" w:hAnsi="Arial" w:cs="Arial"/>
          <w:color w:val="000000"/>
          <w:sz w:val="24"/>
          <w:szCs w:val="24"/>
          <w:lang w:eastAsia="en-ZA"/>
        </w:rPr>
        <w:t xml:space="preserve">through their mail </w:t>
      </w:r>
      <w:r w:rsidR="00384B72" w:rsidRPr="00F758A7">
        <w:rPr>
          <w:rFonts w:ascii="Arial" w:eastAsia="Times New Roman" w:hAnsi="Arial" w:cs="Arial"/>
          <w:color w:val="000000"/>
          <w:sz w:val="24"/>
          <w:szCs w:val="24"/>
          <w:lang w:eastAsia="en-ZA"/>
        </w:rPr>
        <w:t>dated, 30</w:t>
      </w:r>
      <w:r w:rsidRPr="00F758A7">
        <w:rPr>
          <w:rFonts w:ascii="Arial" w:eastAsia="Times New Roman" w:hAnsi="Arial" w:cs="Arial"/>
          <w:color w:val="000000"/>
          <w:sz w:val="24"/>
          <w:szCs w:val="24"/>
          <w:lang w:eastAsia="en-ZA"/>
        </w:rPr>
        <w:t xml:space="preserve"> November 2020 that it disagreed with </w:t>
      </w:r>
      <w:r w:rsidR="00384B72">
        <w:rPr>
          <w:rFonts w:ascii="Arial" w:eastAsia="Times New Roman" w:hAnsi="Arial" w:cs="Arial"/>
          <w:color w:val="000000"/>
          <w:sz w:val="24"/>
          <w:szCs w:val="24"/>
          <w:lang w:eastAsia="en-ZA"/>
        </w:rPr>
        <w:t>the approach as set out in [13</w:t>
      </w:r>
      <w:r w:rsidR="00E141D3">
        <w:rPr>
          <w:rFonts w:ascii="Arial" w:eastAsia="Times New Roman" w:hAnsi="Arial" w:cs="Arial"/>
          <w:color w:val="000000"/>
          <w:sz w:val="24"/>
          <w:szCs w:val="24"/>
          <w:lang w:eastAsia="en-ZA"/>
        </w:rPr>
        <w:t>]</w:t>
      </w:r>
      <w:r w:rsidR="00384B72">
        <w:rPr>
          <w:rFonts w:ascii="Arial" w:eastAsia="Times New Roman" w:hAnsi="Arial" w:cs="Arial"/>
          <w:color w:val="000000"/>
          <w:sz w:val="24"/>
          <w:szCs w:val="24"/>
          <w:lang w:eastAsia="en-ZA"/>
        </w:rPr>
        <w:t xml:space="preserve"> but</w:t>
      </w:r>
      <w:r w:rsidR="00E141D3">
        <w:rPr>
          <w:rFonts w:ascii="Arial" w:eastAsia="Times New Roman" w:hAnsi="Arial" w:cs="Arial"/>
          <w:color w:val="000000"/>
          <w:sz w:val="24"/>
          <w:szCs w:val="24"/>
          <w:lang w:eastAsia="en-ZA"/>
        </w:rPr>
        <w:t xml:space="preserve"> </w:t>
      </w:r>
      <w:r w:rsidRPr="00F758A7">
        <w:rPr>
          <w:rFonts w:ascii="Arial" w:eastAsia="Times New Roman" w:hAnsi="Arial" w:cs="Arial"/>
          <w:color w:val="000000"/>
          <w:sz w:val="24"/>
          <w:szCs w:val="24"/>
          <w:lang w:eastAsia="en-ZA"/>
        </w:rPr>
        <w:t>no reasons were provided for the disagreement.</w:t>
      </w:r>
      <w:r w:rsidR="00384B72">
        <w:rPr>
          <w:rFonts w:ascii="Arial" w:eastAsia="Times New Roman" w:hAnsi="Arial" w:cs="Arial"/>
          <w:color w:val="000000"/>
          <w:sz w:val="24"/>
          <w:szCs w:val="24"/>
          <w:lang w:eastAsia="en-ZA"/>
        </w:rPr>
        <w:t xml:space="preserve"> Mr </w:t>
      </w:r>
      <w:r w:rsidRPr="00F758A7">
        <w:rPr>
          <w:rFonts w:ascii="Arial" w:eastAsia="Times New Roman" w:hAnsi="Arial" w:cs="Arial"/>
          <w:color w:val="000000"/>
          <w:sz w:val="24"/>
          <w:szCs w:val="24"/>
          <w:lang w:eastAsia="en-ZA"/>
        </w:rPr>
        <w:t>Katz also responded and advised that he did not entirely agree with the applicant's</w:t>
      </w:r>
      <w:r w:rsidR="00384B72">
        <w:rPr>
          <w:rFonts w:ascii="Arial" w:eastAsia="Times New Roman" w:hAnsi="Arial" w:cs="Arial"/>
          <w:color w:val="000000"/>
          <w:sz w:val="24"/>
          <w:szCs w:val="24"/>
          <w:lang w:eastAsia="en-ZA"/>
        </w:rPr>
        <w:t xml:space="preserve"> record that there were several alleged unaccrued creditors items, including </w:t>
      </w:r>
      <w:r w:rsidRPr="00F758A7">
        <w:rPr>
          <w:rFonts w:ascii="Arial" w:eastAsia="Times New Roman" w:hAnsi="Arial" w:cs="Arial"/>
          <w:color w:val="000000"/>
          <w:sz w:val="24"/>
          <w:szCs w:val="24"/>
          <w:lang w:eastAsia="en-ZA"/>
        </w:rPr>
        <w:t xml:space="preserve">BB Infraco the </w:t>
      </w:r>
      <w:r w:rsidR="00384B72" w:rsidRPr="00F758A7">
        <w:rPr>
          <w:rFonts w:ascii="Arial" w:eastAsia="Times New Roman" w:hAnsi="Arial" w:cs="Arial"/>
          <w:color w:val="000000"/>
          <w:sz w:val="24"/>
          <w:szCs w:val="24"/>
          <w:lang w:eastAsia="en-ZA"/>
        </w:rPr>
        <w:t>CDH payment</w:t>
      </w:r>
      <w:r w:rsidRPr="00F758A7">
        <w:rPr>
          <w:rFonts w:ascii="Arial" w:eastAsia="Times New Roman" w:hAnsi="Arial" w:cs="Arial"/>
          <w:color w:val="000000"/>
          <w:sz w:val="24"/>
          <w:szCs w:val="24"/>
          <w:lang w:eastAsia="en-ZA"/>
        </w:rPr>
        <w:t xml:space="preserve"> and the Deloitte </w:t>
      </w:r>
      <w:r w:rsidR="00384B72" w:rsidRPr="00F758A7">
        <w:rPr>
          <w:rFonts w:ascii="Arial" w:eastAsia="Times New Roman" w:hAnsi="Arial" w:cs="Arial"/>
          <w:color w:val="000000"/>
          <w:sz w:val="24"/>
          <w:szCs w:val="24"/>
          <w:lang w:eastAsia="en-ZA"/>
        </w:rPr>
        <w:t>fees, where</w:t>
      </w:r>
      <w:r w:rsidRPr="00F758A7">
        <w:rPr>
          <w:rFonts w:ascii="Arial" w:eastAsia="Times New Roman" w:hAnsi="Arial" w:cs="Arial"/>
          <w:color w:val="000000"/>
          <w:sz w:val="24"/>
          <w:szCs w:val="24"/>
          <w:lang w:eastAsia="en-ZA"/>
        </w:rPr>
        <w:t xml:space="preserve"> the first respondent was unable to provide the required documentary proof at the meetin</w:t>
      </w:r>
      <w:r w:rsidR="00E141D3">
        <w:rPr>
          <w:rFonts w:ascii="Arial" w:eastAsia="Times New Roman" w:hAnsi="Arial" w:cs="Arial"/>
          <w:color w:val="000000"/>
          <w:sz w:val="24"/>
          <w:szCs w:val="24"/>
          <w:lang w:eastAsia="en-ZA"/>
        </w:rPr>
        <w:t>g and support of these claims. T</w:t>
      </w:r>
      <w:r w:rsidRPr="00F758A7">
        <w:rPr>
          <w:rFonts w:ascii="Arial" w:eastAsia="Times New Roman" w:hAnsi="Arial" w:cs="Arial"/>
          <w:color w:val="000000"/>
          <w:sz w:val="24"/>
          <w:szCs w:val="24"/>
          <w:lang w:eastAsia="en-ZA"/>
        </w:rPr>
        <w:t>he applicants contend that</w:t>
      </w:r>
      <w:r w:rsidR="00384B72">
        <w:rPr>
          <w:rFonts w:ascii="Arial" w:eastAsia="Times New Roman" w:hAnsi="Arial" w:cs="Arial"/>
          <w:color w:val="000000"/>
          <w:sz w:val="24"/>
          <w:szCs w:val="24"/>
          <w:lang w:eastAsia="en-ZA"/>
        </w:rPr>
        <w:t xml:space="preserve"> Mr</w:t>
      </w:r>
      <w:r w:rsidRPr="00F758A7">
        <w:rPr>
          <w:rFonts w:ascii="Arial" w:eastAsia="Times New Roman" w:hAnsi="Arial" w:cs="Arial"/>
          <w:color w:val="000000"/>
          <w:sz w:val="24"/>
          <w:szCs w:val="24"/>
          <w:lang w:eastAsia="en-ZA"/>
        </w:rPr>
        <w:t xml:space="preserve"> Katz did not provide reasons for his </w:t>
      </w:r>
      <w:r w:rsidR="00E141D3">
        <w:rPr>
          <w:rFonts w:ascii="Arial" w:eastAsia="Times New Roman" w:hAnsi="Arial" w:cs="Arial"/>
          <w:color w:val="000000"/>
          <w:sz w:val="24"/>
          <w:szCs w:val="24"/>
          <w:lang w:eastAsia="en-ZA"/>
        </w:rPr>
        <w:t>disagreement.</w:t>
      </w:r>
      <w:r w:rsidR="00384B72">
        <w:rPr>
          <w:rFonts w:ascii="Arial" w:eastAsia="Times New Roman" w:hAnsi="Arial" w:cs="Arial"/>
          <w:color w:val="000000"/>
          <w:sz w:val="24"/>
          <w:szCs w:val="24"/>
          <w:lang w:eastAsia="en-ZA"/>
        </w:rPr>
        <w:t xml:space="preserve"> Mr</w:t>
      </w:r>
      <w:r w:rsidR="00E141D3">
        <w:rPr>
          <w:rFonts w:ascii="Arial" w:eastAsia="Times New Roman" w:hAnsi="Arial" w:cs="Arial"/>
          <w:color w:val="000000"/>
          <w:sz w:val="24"/>
          <w:szCs w:val="24"/>
          <w:lang w:eastAsia="en-ZA"/>
        </w:rPr>
        <w:t xml:space="preserve"> Katz </w:t>
      </w:r>
      <w:r w:rsidRPr="00F758A7">
        <w:rPr>
          <w:rFonts w:ascii="Arial" w:eastAsia="Times New Roman" w:hAnsi="Arial" w:cs="Arial"/>
          <w:color w:val="000000"/>
          <w:sz w:val="24"/>
          <w:szCs w:val="24"/>
          <w:lang w:eastAsia="en-ZA"/>
        </w:rPr>
        <w:t>also confirmed that he did ask for additional documentary evidence and</w:t>
      </w:r>
      <w:r w:rsidR="00E141D3">
        <w:rPr>
          <w:rFonts w:ascii="Arial" w:eastAsia="Times New Roman" w:hAnsi="Arial" w:cs="Arial"/>
          <w:color w:val="000000"/>
          <w:sz w:val="24"/>
          <w:szCs w:val="24"/>
          <w:lang w:eastAsia="en-ZA"/>
        </w:rPr>
        <w:t xml:space="preserve"> invited </w:t>
      </w:r>
      <w:r w:rsidR="00384B72">
        <w:rPr>
          <w:rFonts w:ascii="Arial" w:eastAsia="Times New Roman" w:hAnsi="Arial" w:cs="Arial"/>
          <w:color w:val="000000"/>
          <w:sz w:val="24"/>
          <w:szCs w:val="24"/>
          <w:lang w:eastAsia="en-ZA"/>
        </w:rPr>
        <w:t>Mr Felet to</w:t>
      </w:r>
      <w:r w:rsidR="00E141D3">
        <w:rPr>
          <w:rFonts w:ascii="Arial" w:eastAsia="Times New Roman" w:hAnsi="Arial" w:cs="Arial"/>
          <w:color w:val="000000"/>
          <w:sz w:val="24"/>
          <w:szCs w:val="24"/>
          <w:lang w:eastAsia="en-ZA"/>
        </w:rPr>
        <w:t xml:space="preserve"> do likewise.</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[15]</w:t>
      </w:r>
      <w:r>
        <w:rPr>
          <w:rFonts w:ascii="Arial" w:eastAsia="Times New Roman" w:hAnsi="Arial" w:cs="Arial"/>
          <w:color w:val="000000"/>
          <w:sz w:val="24"/>
          <w:szCs w:val="24"/>
          <w:lang w:eastAsia="en-ZA"/>
        </w:rPr>
        <w:tab/>
        <w:t>I</w:t>
      </w:r>
      <w:r w:rsidR="004A0B23" w:rsidRPr="00F758A7">
        <w:rPr>
          <w:rFonts w:ascii="Arial" w:eastAsia="Times New Roman" w:hAnsi="Arial" w:cs="Arial"/>
          <w:color w:val="000000"/>
          <w:sz w:val="24"/>
          <w:szCs w:val="24"/>
          <w:lang w:eastAsia="en-ZA"/>
        </w:rPr>
        <w:t>n spite of the</w:t>
      </w:r>
      <w:r>
        <w:rPr>
          <w:rFonts w:ascii="Arial" w:eastAsia="Times New Roman" w:hAnsi="Arial" w:cs="Arial"/>
          <w:color w:val="000000"/>
          <w:sz w:val="24"/>
          <w:szCs w:val="24"/>
          <w:lang w:eastAsia="en-ZA"/>
        </w:rPr>
        <w:t xml:space="preserve"> objections against additional d</w:t>
      </w:r>
      <w:r w:rsidR="00384B72">
        <w:rPr>
          <w:rFonts w:ascii="Arial" w:eastAsia="Times New Roman" w:hAnsi="Arial" w:cs="Arial"/>
          <w:color w:val="000000"/>
          <w:sz w:val="24"/>
          <w:szCs w:val="24"/>
          <w:lang w:eastAsia="en-ZA"/>
        </w:rPr>
        <w:t>ocumentation,</w:t>
      </w:r>
      <w:r w:rsidR="004A0B23" w:rsidRPr="00F758A7">
        <w:rPr>
          <w:rFonts w:ascii="Arial" w:eastAsia="Times New Roman" w:hAnsi="Arial" w:cs="Arial"/>
          <w:color w:val="000000"/>
          <w:sz w:val="24"/>
          <w:szCs w:val="24"/>
          <w:lang w:eastAsia="en-ZA"/>
        </w:rPr>
        <w:t xml:space="preserve"> the first respondent emailed additional documentation on 1 December 2020 and</w:t>
      </w:r>
      <w:r w:rsidR="00384B72">
        <w:rPr>
          <w:rFonts w:ascii="Arial" w:eastAsia="Times New Roman" w:hAnsi="Arial" w:cs="Arial"/>
          <w:color w:val="000000"/>
          <w:sz w:val="24"/>
          <w:szCs w:val="24"/>
          <w:lang w:eastAsia="en-ZA"/>
        </w:rPr>
        <w:t xml:space="preserve"> Mr </w:t>
      </w:r>
      <w:r w:rsidR="004A0B23" w:rsidRPr="00F758A7">
        <w:rPr>
          <w:rFonts w:ascii="Arial" w:eastAsia="Times New Roman" w:hAnsi="Arial" w:cs="Arial"/>
          <w:color w:val="000000"/>
          <w:sz w:val="24"/>
          <w:szCs w:val="24"/>
          <w:lang w:eastAsia="en-ZA"/>
        </w:rPr>
        <w:t xml:space="preserve">Felet was copied thereto but not the applicants' attorneys. </w:t>
      </w:r>
      <w:r w:rsidR="00384B72">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 xml:space="preserve">Katz then failed to call a further meeting and raised various objections to the applicant's emails. </w:t>
      </w:r>
      <w:r w:rsidR="00384B72">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Katz reached a decision on 2 December 2020.</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[16]</w:t>
      </w:r>
      <w:r>
        <w:rPr>
          <w:rFonts w:ascii="Arial" w:eastAsia="Times New Roman" w:hAnsi="Arial" w:cs="Arial"/>
          <w:color w:val="000000"/>
          <w:sz w:val="24"/>
          <w:szCs w:val="24"/>
          <w:lang w:eastAsia="en-ZA"/>
        </w:rPr>
        <w:tab/>
        <w:t>T</w:t>
      </w:r>
      <w:r w:rsidR="004A0B23" w:rsidRPr="00F758A7">
        <w:rPr>
          <w:rFonts w:ascii="Arial" w:eastAsia="Times New Roman" w:hAnsi="Arial" w:cs="Arial"/>
          <w:color w:val="000000"/>
          <w:sz w:val="24"/>
          <w:szCs w:val="24"/>
          <w:lang w:eastAsia="en-ZA"/>
        </w:rPr>
        <w:t xml:space="preserve">he decision by </w:t>
      </w:r>
      <w:r w:rsidR="00384B72">
        <w:rPr>
          <w:rFonts w:ascii="Arial" w:eastAsia="Times New Roman" w:hAnsi="Arial" w:cs="Arial"/>
          <w:color w:val="000000"/>
          <w:sz w:val="24"/>
          <w:szCs w:val="24"/>
          <w:lang w:eastAsia="en-ZA"/>
        </w:rPr>
        <w:t>Mr Katz led to</w:t>
      </w:r>
      <w:r w:rsidR="004A0B23" w:rsidRPr="00F758A7">
        <w:rPr>
          <w:rFonts w:ascii="Arial" w:eastAsia="Times New Roman" w:hAnsi="Arial" w:cs="Arial"/>
          <w:color w:val="000000"/>
          <w:sz w:val="24"/>
          <w:szCs w:val="24"/>
          <w:lang w:eastAsia="en-ZA"/>
        </w:rPr>
        <w:t xml:space="preserve"> a litany of emails exchanges between the </w:t>
      </w:r>
      <w:r w:rsidRPr="00F758A7">
        <w:rPr>
          <w:rFonts w:ascii="Arial" w:eastAsia="Times New Roman" w:hAnsi="Arial" w:cs="Arial"/>
          <w:color w:val="000000"/>
          <w:sz w:val="24"/>
          <w:szCs w:val="24"/>
          <w:lang w:eastAsia="en-ZA"/>
        </w:rPr>
        <w:t>parties</w:t>
      </w:r>
      <w:r w:rsidR="004A0B23" w:rsidRPr="00F758A7">
        <w:rPr>
          <w:rFonts w:ascii="Arial" w:eastAsia="Times New Roman" w:hAnsi="Arial" w:cs="Arial"/>
          <w:color w:val="000000"/>
          <w:sz w:val="24"/>
          <w:szCs w:val="24"/>
          <w:lang w:eastAsia="en-ZA"/>
        </w:rPr>
        <w:t xml:space="preserve"> le</w:t>
      </w:r>
      <w:r>
        <w:rPr>
          <w:rFonts w:ascii="Arial" w:eastAsia="Times New Roman" w:hAnsi="Arial" w:cs="Arial"/>
          <w:color w:val="000000"/>
          <w:sz w:val="24"/>
          <w:szCs w:val="24"/>
          <w:lang w:eastAsia="en-ZA"/>
        </w:rPr>
        <w:t xml:space="preserve">gal representatives and </w:t>
      </w:r>
      <w:r w:rsidR="00384B72">
        <w:rPr>
          <w:rFonts w:ascii="Arial" w:eastAsia="Times New Roman" w:hAnsi="Arial" w:cs="Arial"/>
          <w:color w:val="000000"/>
          <w:sz w:val="24"/>
          <w:szCs w:val="24"/>
          <w:lang w:eastAsia="en-ZA"/>
        </w:rPr>
        <w:t xml:space="preserve">Mr </w:t>
      </w:r>
      <w:r>
        <w:rPr>
          <w:rFonts w:ascii="Arial" w:eastAsia="Times New Roman" w:hAnsi="Arial" w:cs="Arial"/>
          <w:color w:val="000000"/>
          <w:sz w:val="24"/>
          <w:szCs w:val="24"/>
          <w:lang w:eastAsia="en-ZA"/>
        </w:rPr>
        <w:t>Katz.  I</w:t>
      </w:r>
      <w:r w:rsidR="004A0B23" w:rsidRPr="00F758A7">
        <w:rPr>
          <w:rFonts w:ascii="Arial" w:eastAsia="Times New Roman" w:hAnsi="Arial" w:cs="Arial"/>
          <w:color w:val="000000"/>
          <w:sz w:val="24"/>
          <w:szCs w:val="24"/>
          <w:lang w:eastAsia="en-ZA"/>
        </w:rPr>
        <w:t xml:space="preserve">t is clear from the emails that the applicant's </w:t>
      </w:r>
      <w:r w:rsidR="004A0B23" w:rsidRPr="00F758A7">
        <w:rPr>
          <w:rFonts w:ascii="Arial" w:eastAsia="Times New Roman" w:hAnsi="Arial" w:cs="Arial"/>
          <w:color w:val="000000"/>
          <w:sz w:val="24"/>
          <w:szCs w:val="24"/>
          <w:lang w:eastAsia="en-ZA"/>
        </w:rPr>
        <w:lastRenderedPageBreak/>
        <w:t xml:space="preserve">attorneys objected to the determination by </w:t>
      </w:r>
      <w:r w:rsidR="00384B72">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 xml:space="preserve">Katz especially that the determination was reached notwithstanding that the applicant, had placed in dispute </w:t>
      </w:r>
      <w:r w:rsidR="00384B72">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Katz's alleged entitlement to request and consider the additional documentation.</w:t>
      </w:r>
      <w:r w:rsidR="00384B72">
        <w:rPr>
          <w:rFonts w:ascii="Arial" w:eastAsia="Times New Roman" w:hAnsi="Arial" w:cs="Arial"/>
          <w:color w:val="000000"/>
          <w:sz w:val="24"/>
          <w:szCs w:val="24"/>
          <w:lang w:eastAsia="en-ZA"/>
        </w:rPr>
        <w:t xml:space="preserve"> When a determination was made the dispute</w:t>
      </w:r>
      <w:r w:rsidR="004A0B23" w:rsidRPr="00F758A7">
        <w:rPr>
          <w:rFonts w:ascii="Arial" w:eastAsia="Times New Roman" w:hAnsi="Arial" w:cs="Arial"/>
          <w:color w:val="000000"/>
          <w:sz w:val="24"/>
          <w:szCs w:val="24"/>
          <w:lang w:eastAsia="en-ZA"/>
        </w:rPr>
        <w:t>d issue had not yet been resolved.</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[17]</w:t>
      </w:r>
      <w:r>
        <w:rPr>
          <w:rFonts w:ascii="Arial" w:eastAsia="Times New Roman" w:hAnsi="Arial" w:cs="Arial"/>
          <w:color w:val="000000"/>
          <w:sz w:val="24"/>
          <w:szCs w:val="24"/>
          <w:lang w:eastAsia="en-ZA"/>
        </w:rPr>
        <w:tab/>
        <w:t>I</w:t>
      </w:r>
      <w:r w:rsidR="004A0B23" w:rsidRPr="00F758A7">
        <w:rPr>
          <w:rFonts w:ascii="Arial" w:eastAsia="Times New Roman" w:hAnsi="Arial" w:cs="Arial"/>
          <w:color w:val="000000"/>
          <w:sz w:val="24"/>
          <w:szCs w:val="24"/>
          <w:lang w:eastAsia="en-ZA"/>
        </w:rPr>
        <w:t>n an answer to th</w:t>
      </w:r>
      <w:r>
        <w:rPr>
          <w:rFonts w:ascii="Arial" w:eastAsia="Times New Roman" w:hAnsi="Arial" w:cs="Arial"/>
          <w:color w:val="000000"/>
          <w:sz w:val="24"/>
          <w:szCs w:val="24"/>
          <w:lang w:eastAsia="en-ZA"/>
        </w:rPr>
        <w:t xml:space="preserve">e complaint by the applicants, </w:t>
      </w:r>
      <w:r w:rsidR="004A0B23" w:rsidRPr="00F758A7">
        <w:rPr>
          <w:rFonts w:ascii="Arial" w:eastAsia="Times New Roman" w:hAnsi="Arial" w:cs="Arial"/>
          <w:color w:val="000000"/>
          <w:sz w:val="24"/>
          <w:szCs w:val="24"/>
          <w:lang w:eastAsia="en-ZA"/>
        </w:rPr>
        <w:t>the f</w:t>
      </w:r>
      <w:r w:rsidR="00384B72">
        <w:rPr>
          <w:rFonts w:ascii="Arial" w:eastAsia="Times New Roman" w:hAnsi="Arial" w:cs="Arial"/>
          <w:color w:val="000000"/>
          <w:sz w:val="24"/>
          <w:szCs w:val="24"/>
          <w:lang w:eastAsia="en-ZA"/>
        </w:rPr>
        <w:t>irst respondent contends that</w:t>
      </w:r>
      <w:r w:rsidR="004A0B23" w:rsidRPr="00F758A7">
        <w:rPr>
          <w:rFonts w:ascii="Arial" w:eastAsia="Times New Roman" w:hAnsi="Arial" w:cs="Arial"/>
          <w:color w:val="000000"/>
          <w:sz w:val="24"/>
          <w:szCs w:val="24"/>
          <w:lang w:eastAsia="en-ZA"/>
        </w:rPr>
        <w:t xml:space="preserve"> </w:t>
      </w:r>
      <w:r w:rsidR="00EC4236">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Felet was given an opportunity to submit additional documentation to</w:t>
      </w:r>
      <w:r w:rsidR="00384B72">
        <w:rPr>
          <w:rFonts w:ascii="Arial" w:eastAsia="Times New Roman" w:hAnsi="Arial" w:cs="Arial"/>
          <w:color w:val="000000"/>
          <w:sz w:val="24"/>
          <w:szCs w:val="24"/>
          <w:lang w:eastAsia="en-ZA"/>
        </w:rPr>
        <w:t xml:space="preserve"> Mr</w:t>
      </w:r>
      <w:r w:rsidR="004A0B23" w:rsidRPr="00F758A7">
        <w:rPr>
          <w:rFonts w:ascii="Arial" w:eastAsia="Times New Roman" w:hAnsi="Arial" w:cs="Arial"/>
          <w:color w:val="000000"/>
          <w:sz w:val="24"/>
          <w:szCs w:val="24"/>
          <w:lang w:eastAsia="en-ZA"/>
        </w:rPr>
        <w:t xml:space="preserve"> Katz </w:t>
      </w:r>
      <w:r>
        <w:rPr>
          <w:rFonts w:ascii="Arial" w:eastAsia="Times New Roman" w:hAnsi="Arial" w:cs="Arial"/>
          <w:color w:val="000000"/>
          <w:sz w:val="24"/>
          <w:szCs w:val="24"/>
          <w:lang w:eastAsia="en-ZA"/>
        </w:rPr>
        <w:t>and he failed to do just that. T</w:t>
      </w:r>
      <w:r w:rsidR="004A0B23" w:rsidRPr="00F758A7">
        <w:rPr>
          <w:rFonts w:ascii="Arial" w:eastAsia="Times New Roman" w:hAnsi="Arial" w:cs="Arial"/>
          <w:color w:val="000000"/>
          <w:sz w:val="24"/>
          <w:szCs w:val="24"/>
          <w:lang w:eastAsia="en-ZA"/>
        </w:rPr>
        <w:t xml:space="preserve">he first respondent further contends that </w:t>
      </w:r>
      <w:r w:rsidR="00384B72">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Katz was within his rights to ask for additional documentation to assist him to make a determination.</w:t>
      </w:r>
      <w:r w:rsidR="00A873C8">
        <w:rPr>
          <w:rFonts w:ascii="Arial" w:eastAsia="Times New Roman" w:hAnsi="Arial" w:cs="Arial"/>
          <w:color w:val="000000"/>
          <w:sz w:val="24"/>
          <w:szCs w:val="24"/>
          <w:lang w:eastAsia="en-ZA"/>
        </w:rPr>
        <w:t xml:space="preserve"> I disagree with this contention as it is not supported by any provision in the Mandate. The Mandate states that the parties are to prove their claims based on the documentation made available at the meeting. The Mandate further states that if the expert is undecided, the indecision will go against the first respondent in respect of the line item where the expert is undecided.</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[18]</w:t>
      </w:r>
      <w:r w:rsidRPr="00F758A7">
        <w:rPr>
          <w:rFonts w:ascii="Arial" w:eastAsia="Times New Roman" w:hAnsi="Arial" w:cs="Arial"/>
          <w:color w:val="000000"/>
          <w:sz w:val="24"/>
          <w:szCs w:val="24"/>
          <w:lang w:eastAsia="en-ZA"/>
        </w:rPr>
        <w:tab/>
      </w:r>
      <w:r w:rsidR="00E141D3">
        <w:rPr>
          <w:rFonts w:ascii="Arial" w:eastAsia="Times New Roman" w:hAnsi="Arial" w:cs="Arial"/>
          <w:color w:val="000000"/>
          <w:sz w:val="24"/>
          <w:szCs w:val="24"/>
          <w:lang w:eastAsia="en-ZA"/>
        </w:rPr>
        <w:t>T</w:t>
      </w:r>
      <w:r w:rsidRPr="00F758A7">
        <w:rPr>
          <w:rFonts w:ascii="Arial" w:eastAsia="Times New Roman" w:hAnsi="Arial" w:cs="Arial"/>
          <w:color w:val="000000"/>
          <w:sz w:val="24"/>
          <w:szCs w:val="24"/>
          <w:lang w:eastAsia="en-ZA"/>
        </w:rPr>
        <w:t>he issue in my respectful view is whether</w:t>
      </w:r>
      <w:r w:rsidR="00A873C8">
        <w:rPr>
          <w:rFonts w:ascii="Arial" w:eastAsia="Times New Roman" w:hAnsi="Arial" w:cs="Arial"/>
          <w:color w:val="000000"/>
          <w:sz w:val="24"/>
          <w:szCs w:val="24"/>
          <w:lang w:eastAsia="en-ZA"/>
        </w:rPr>
        <w:t xml:space="preserve"> Mr Katz a</w:t>
      </w:r>
      <w:r w:rsidRPr="00F758A7">
        <w:rPr>
          <w:rFonts w:ascii="Arial" w:eastAsia="Times New Roman" w:hAnsi="Arial" w:cs="Arial"/>
          <w:color w:val="000000"/>
          <w:sz w:val="24"/>
          <w:szCs w:val="24"/>
          <w:lang w:eastAsia="en-ZA"/>
        </w:rPr>
        <w:t>cted within his money when he called for additional documentation related to the line items specified by him and if not whether his determination and to be reviewed and set aside.</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EC4236"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[19]</w:t>
      </w:r>
      <w:r w:rsidRPr="00F758A7">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 I</w:t>
      </w:r>
      <w:r w:rsidRPr="00F758A7">
        <w:rPr>
          <w:rFonts w:ascii="Arial" w:eastAsia="Times New Roman" w:hAnsi="Arial" w:cs="Arial"/>
          <w:color w:val="000000"/>
          <w:sz w:val="24"/>
          <w:szCs w:val="24"/>
          <w:lang w:eastAsia="en-ZA"/>
        </w:rPr>
        <w:t xml:space="preserve">n </w:t>
      </w:r>
      <w:r w:rsidRPr="00F758A7">
        <w:rPr>
          <w:rFonts w:ascii="Arial" w:eastAsia="Times New Roman" w:hAnsi="Arial" w:cs="Arial"/>
          <w:i/>
          <w:color w:val="000000"/>
          <w:sz w:val="24"/>
          <w:szCs w:val="24"/>
          <w:lang w:eastAsia="en-ZA"/>
        </w:rPr>
        <w:t>Transnet National Ports Authority v Reit Investments (Pty) Ltd and Another</w:t>
      </w:r>
      <w:r w:rsidRPr="00F758A7">
        <w:rPr>
          <w:rFonts w:ascii="Arial" w:eastAsia="Times New Roman" w:hAnsi="Arial" w:cs="Arial"/>
          <w:color w:val="000000"/>
          <w:sz w:val="24"/>
          <w:szCs w:val="24"/>
          <w:lang w:eastAsia="en-ZA"/>
        </w:rPr>
        <w:t xml:space="preserve"> </w:t>
      </w:r>
      <w:r>
        <w:rPr>
          <w:rStyle w:val="FootnoteReference"/>
          <w:rFonts w:ascii="Arial" w:eastAsia="Times New Roman" w:hAnsi="Arial" w:cs="Arial"/>
          <w:color w:val="000000"/>
          <w:sz w:val="24"/>
          <w:szCs w:val="24"/>
          <w:lang w:eastAsia="en-ZA"/>
        </w:rPr>
        <w:footnoteReference w:id="1"/>
      </w:r>
      <w:r w:rsidRPr="00F758A7">
        <w:rPr>
          <w:rFonts w:ascii="Arial" w:eastAsia="Times New Roman" w:hAnsi="Arial" w:cs="Arial"/>
          <w:color w:val="000000"/>
          <w:sz w:val="24"/>
          <w:szCs w:val="24"/>
          <w:lang w:eastAsia="en-ZA"/>
        </w:rPr>
        <w:t>the Supreme Court of Appeal had an opportunity to consider the mandate of an expert when per</w:t>
      </w:r>
      <w:r w:rsidR="00E141D3">
        <w:rPr>
          <w:rFonts w:ascii="Arial" w:eastAsia="Times New Roman" w:hAnsi="Arial" w:cs="Arial"/>
          <w:color w:val="000000"/>
          <w:sz w:val="24"/>
          <w:szCs w:val="24"/>
          <w:lang w:eastAsia="en-ZA"/>
        </w:rPr>
        <w:t>forming his or her functions.  The C</w:t>
      </w:r>
      <w:r w:rsidRPr="00F758A7">
        <w:rPr>
          <w:rFonts w:ascii="Arial" w:eastAsia="Times New Roman" w:hAnsi="Arial" w:cs="Arial"/>
          <w:color w:val="000000"/>
          <w:sz w:val="24"/>
          <w:szCs w:val="24"/>
          <w:lang w:eastAsia="en-ZA"/>
        </w:rPr>
        <w:t xml:space="preserve">ourt held that </w:t>
      </w:r>
      <w:r w:rsidR="00E141D3">
        <w:rPr>
          <w:rFonts w:ascii="Arial" w:eastAsia="Times New Roman" w:hAnsi="Arial" w:cs="Arial"/>
          <w:color w:val="000000"/>
          <w:sz w:val="24"/>
          <w:szCs w:val="24"/>
          <w:lang w:eastAsia="en-ZA"/>
        </w:rPr>
        <w:t>“</w:t>
      </w:r>
      <w:r w:rsidRPr="00F758A7">
        <w:rPr>
          <w:rFonts w:ascii="Arial" w:eastAsia="Times New Roman" w:hAnsi="Arial" w:cs="Arial"/>
          <w:color w:val="000000"/>
          <w:sz w:val="24"/>
          <w:szCs w:val="24"/>
          <w:lang w:eastAsia="en-ZA"/>
        </w:rPr>
        <w:t xml:space="preserve">once given </w:t>
      </w:r>
      <w:r w:rsidRPr="00F758A7">
        <w:rPr>
          <w:rFonts w:ascii="Arial" w:eastAsia="Times New Roman" w:hAnsi="Arial" w:cs="Arial"/>
          <w:color w:val="000000"/>
          <w:sz w:val="24"/>
          <w:szCs w:val="24"/>
          <w:lang w:eastAsia="en-ZA"/>
        </w:rPr>
        <w:lastRenderedPageBreak/>
        <w:t>a mandate, it is not open to the expert to disregard the part</w:t>
      </w:r>
      <w:r w:rsidR="00E141D3">
        <w:rPr>
          <w:rFonts w:ascii="Arial" w:eastAsia="Times New Roman" w:hAnsi="Arial" w:cs="Arial"/>
          <w:color w:val="000000"/>
          <w:sz w:val="24"/>
          <w:szCs w:val="24"/>
          <w:lang w:eastAsia="en-ZA"/>
        </w:rPr>
        <w:t xml:space="preserve">ies explicit instructions and, </w:t>
      </w:r>
      <w:r w:rsidR="00A873C8">
        <w:rPr>
          <w:rFonts w:ascii="Arial" w:eastAsia="Times New Roman" w:hAnsi="Arial" w:cs="Arial"/>
          <w:color w:val="000000"/>
          <w:sz w:val="24"/>
          <w:szCs w:val="24"/>
          <w:lang w:eastAsia="en-ZA"/>
        </w:rPr>
        <w:t xml:space="preserve">on a frolic of his own, </w:t>
      </w:r>
      <w:r w:rsidRPr="00F758A7">
        <w:rPr>
          <w:rFonts w:ascii="Arial" w:eastAsia="Times New Roman" w:hAnsi="Arial" w:cs="Arial"/>
          <w:color w:val="000000"/>
          <w:sz w:val="24"/>
          <w:szCs w:val="24"/>
          <w:lang w:eastAsia="en-ZA"/>
        </w:rPr>
        <w:t>have regard to the provisions of clause three of the lease of which incidentally he was unaware as neither p</w:t>
      </w:r>
      <w:r w:rsidR="00E141D3">
        <w:rPr>
          <w:rFonts w:ascii="Arial" w:eastAsia="Times New Roman" w:hAnsi="Arial" w:cs="Arial"/>
          <w:color w:val="000000"/>
          <w:sz w:val="24"/>
          <w:szCs w:val="24"/>
          <w:lang w:eastAsia="en-ZA"/>
        </w:rPr>
        <w:t>arty had alerted him to them.  I</w:t>
      </w:r>
      <w:r w:rsidRPr="00F758A7">
        <w:rPr>
          <w:rFonts w:ascii="Arial" w:eastAsia="Times New Roman" w:hAnsi="Arial" w:cs="Arial"/>
          <w:color w:val="000000"/>
          <w:sz w:val="24"/>
          <w:szCs w:val="24"/>
          <w:lang w:eastAsia="en-ZA"/>
        </w:rPr>
        <w:t>n reaching its conclusion to the contrary, the High Court fa</w:t>
      </w:r>
      <w:r w:rsidR="00E141D3">
        <w:rPr>
          <w:rFonts w:ascii="Arial" w:eastAsia="Times New Roman" w:hAnsi="Arial" w:cs="Arial"/>
          <w:color w:val="000000"/>
          <w:sz w:val="24"/>
          <w:szCs w:val="24"/>
          <w:lang w:eastAsia="en-ZA"/>
        </w:rPr>
        <w:t>iled to see the wood for trees a</w:t>
      </w:r>
      <w:r w:rsidRPr="00F758A7">
        <w:rPr>
          <w:rFonts w:ascii="Arial" w:eastAsia="Times New Roman" w:hAnsi="Arial" w:cs="Arial"/>
          <w:color w:val="000000"/>
          <w:sz w:val="24"/>
          <w:szCs w:val="24"/>
          <w:lang w:eastAsia="en-ZA"/>
        </w:rPr>
        <w:t>nd consequently committed a</w:t>
      </w:r>
      <w:r w:rsidR="00E141D3">
        <w:rPr>
          <w:rFonts w:ascii="Arial" w:eastAsia="Times New Roman" w:hAnsi="Arial" w:cs="Arial"/>
          <w:color w:val="000000"/>
          <w:sz w:val="24"/>
          <w:szCs w:val="24"/>
          <w:lang w:eastAsia="en-ZA"/>
        </w:rPr>
        <w:t xml:space="preserve"> fundamental error. Mr Seota's source of authority was not the</w:t>
      </w:r>
      <w:r w:rsidR="001C7742">
        <w:rPr>
          <w:rFonts w:ascii="Arial" w:eastAsia="Times New Roman" w:hAnsi="Arial" w:cs="Arial"/>
          <w:color w:val="000000"/>
          <w:sz w:val="24"/>
          <w:szCs w:val="24"/>
          <w:lang w:eastAsia="en-ZA"/>
        </w:rPr>
        <w:t xml:space="preserve"> notarial</w:t>
      </w:r>
      <w:r w:rsidR="00A873C8">
        <w:rPr>
          <w:rFonts w:ascii="Arial" w:eastAsia="Times New Roman" w:hAnsi="Arial" w:cs="Arial"/>
          <w:color w:val="000000"/>
          <w:sz w:val="24"/>
          <w:szCs w:val="24"/>
          <w:lang w:eastAsia="en-ZA"/>
        </w:rPr>
        <w:t xml:space="preserve"> lease </w:t>
      </w:r>
      <w:r w:rsidRPr="00F758A7">
        <w:rPr>
          <w:rFonts w:ascii="Arial" w:eastAsia="Times New Roman" w:hAnsi="Arial" w:cs="Arial"/>
          <w:color w:val="000000"/>
          <w:sz w:val="24"/>
          <w:szCs w:val="24"/>
          <w:lang w:eastAsia="en-ZA"/>
        </w:rPr>
        <w:t>but the joint mandate of the parties from which he was not at liberty to depart."</w:t>
      </w:r>
    </w:p>
    <w:p w:rsidR="00F758A7" w:rsidRDefault="00BF2A97" w:rsidP="00586083">
      <w:pPr>
        <w:spacing w:after="0" w:line="480" w:lineRule="auto"/>
        <w:ind w:left="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 can add that the Mandate in the instant case was crafted with such clarity that Mr Katz had no authority to call for additional documentary evidence.</w:t>
      </w:r>
    </w:p>
    <w:p w:rsidR="00E141D3" w:rsidRPr="00F758A7" w:rsidRDefault="00E141D3" w:rsidP="00586083">
      <w:pPr>
        <w:spacing w:after="0" w:line="480" w:lineRule="auto"/>
        <w:ind w:left="720" w:hanging="720"/>
        <w:jc w:val="both"/>
        <w:rPr>
          <w:rFonts w:ascii="Arial" w:eastAsia="Times New Roman" w:hAnsi="Arial" w:cs="Arial"/>
          <w:sz w:val="24"/>
          <w:szCs w:val="24"/>
          <w:lang w:eastAsia="en-ZA"/>
        </w:rPr>
      </w:pPr>
    </w:p>
    <w:p w:rsidR="00F758A7" w:rsidRPr="00F758A7" w:rsidRDefault="00BF2A97" w:rsidP="00586083">
      <w:pPr>
        <w:spacing w:after="0" w:line="480" w:lineRule="auto"/>
        <w:ind w:left="720" w:hanging="720"/>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t>[20]</w:t>
      </w:r>
      <w:r w:rsidRPr="00F758A7">
        <w:rPr>
          <w:rFonts w:ascii="Arial" w:eastAsia="Times New Roman" w:hAnsi="Arial" w:cs="Arial"/>
          <w:color w:val="000000"/>
          <w:sz w:val="24"/>
          <w:szCs w:val="24"/>
          <w:lang w:eastAsia="en-ZA"/>
        </w:rPr>
        <w:tab/>
      </w:r>
      <w:r w:rsidR="00E141D3">
        <w:rPr>
          <w:rFonts w:ascii="Arial" w:eastAsia="Times New Roman" w:hAnsi="Arial" w:cs="Arial"/>
          <w:color w:val="000000"/>
          <w:sz w:val="24"/>
          <w:szCs w:val="24"/>
          <w:lang w:eastAsia="en-ZA"/>
        </w:rPr>
        <w:t>T</w:t>
      </w:r>
      <w:r>
        <w:rPr>
          <w:rFonts w:ascii="Arial" w:eastAsia="Times New Roman" w:hAnsi="Arial" w:cs="Arial"/>
          <w:color w:val="000000"/>
          <w:sz w:val="24"/>
          <w:szCs w:val="24"/>
          <w:lang w:eastAsia="en-ZA"/>
        </w:rPr>
        <w:t>he T</w:t>
      </w:r>
      <w:r w:rsidRPr="00F758A7">
        <w:rPr>
          <w:rFonts w:ascii="Arial" w:eastAsia="Times New Roman" w:hAnsi="Arial" w:cs="Arial"/>
          <w:color w:val="000000"/>
          <w:sz w:val="24"/>
          <w:szCs w:val="24"/>
          <w:lang w:eastAsia="en-ZA"/>
        </w:rPr>
        <w:t>ransnet</w:t>
      </w:r>
      <w:r>
        <w:rPr>
          <w:rStyle w:val="FootnoteReference"/>
          <w:rFonts w:ascii="Arial" w:eastAsia="Times New Roman" w:hAnsi="Arial" w:cs="Arial"/>
          <w:color w:val="000000"/>
          <w:sz w:val="24"/>
          <w:szCs w:val="24"/>
          <w:lang w:eastAsia="en-ZA"/>
        </w:rPr>
        <w:footnoteReference w:id="2"/>
      </w:r>
      <w:r w:rsidRPr="00F758A7">
        <w:rPr>
          <w:rFonts w:ascii="Arial" w:eastAsia="Times New Roman" w:hAnsi="Arial" w:cs="Arial"/>
          <w:color w:val="000000"/>
          <w:sz w:val="24"/>
          <w:szCs w:val="24"/>
          <w:lang w:eastAsia="en-ZA"/>
        </w:rPr>
        <w:t xml:space="preserve"> case also approved in reference to the arbitration agreement in its decision in </w:t>
      </w:r>
      <w:r w:rsidRPr="00E141D3">
        <w:rPr>
          <w:rFonts w:ascii="Arial" w:eastAsia="Times New Roman" w:hAnsi="Arial" w:cs="Arial"/>
          <w:i/>
          <w:color w:val="000000"/>
          <w:sz w:val="24"/>
          <w:szCs w:val="24"/>
          <w:lang w:eastAsia="en-ZA"/>
        </w:rPr>
        <w:t>Host Med Medical Aid Scheme v Thebe la Bophelo Healthcare Marketing and Consulting(Pty) Ltd and Others</w:t>
      </w:r>
      <w:r w:rsidRPr="00F758A7">
        <w:rPr>
          <w:rFonts w:ascii="Arial" w:eastAsia="Times New Roman" w:hAnsi="Arial" w:cs="Arial"/>
          <w:color w:val="000000"/>
          <w:sz w:val="24"/>
          <w:szCs w:val="24"/>
          <w:lang w:eastAsia="en-ZA"/>
        </w:rPr>
        <w:t xml:space="preserve"> </w:t>
      </w:r>
      <w:r>
        <w:rPr>
          <w:rStyle w:val="FootnoteReference"/>
          <w:rFonts w:ascii="Arial" w:eastAsia="Times New Roman" w:hAnsi="Arial" w:cs="Arial"/>
          <w:color w:val="000000"/>
          <w:sz w:val="24"/>
          <w:szCs w:val="24"/>
          <w:lang w:eastAsia="en-ZA"/>
        </w:rPr>
        <w:footnoteReference w:id="3"/>
      </w:r>
      <w:r w:rsidRPr="00F758A7">
        <w:rPr>
          <w:rFonts w:ascii="Arial" w:eastAsia="Times New Roman" w:hAnsi="Arial" w:cs="Arial"/>
          <w:color w:val="000000"/>
          <w:sz w:val="24"/>
          <w:szCs w:val="24"/>
          <w:lang w:eastAsia="en-ZA"/>
        </w:rPr>
        <w:t xml:space="preserve"> which stated as follows:</w:t>
      </w:r>
    </w:p>
    <w:p w:rsidR="00F758A7" w:rsidRDefault="00BF2A97" w:rsidP="00586083">
      <w:pPr>
        <w:spacing w:after="0" w:line="480" w:lineRule="auto"/>
        <w:ind w:left="1440"/>
        <w:jc w:val="both"/>
        <w:rPr>
          <w:rFonts w:ascii="Arial" w:eastAsia="Times New Roman" w:hAnsi="Arial" w:cs="Arial"/>
          <w:color w:val="000000"/>
          <w:lang w:eastAsia="en-ZA"/>
        </w:rPr>
      </w:pPr>
      <w:r w:rsidRPr="00E141D3">
        <w:rPr>
          <w:rFonts w:ascii="Arial" w:eastAsia="Times New Roman" w:hAnsi="Arial" w:cs="Arial"/>
          <w:color w:val="000000"/>
          <w:lang w:eastAsia="en-ZA"/>
        </w:rPr>
        <w:t xml:space="preserve">" in my view, it is clear that the </w:t>
      </w:r>
      <w:r w:rsidR="00E141D3">
        <w:rPr>
          <w:rFonts w:ascii="Arial" w:eastAsia="Times New Roman" w:hAnsi="Arial" w:cs="Arial"/>
          <w:color w:val="000000"/>
          <w:lang w:eastAsia="en-ZA"/>
        </w:rPr>
        <w:t xml:space="preserve">only source of an arbitrator's </w:t>
      </w:r>
      <w:r w:rsidRPr="00E141D3">
        <w:rPr>
          <w:rFonts w:ascii="Arial" w:eastAsia="Times New Roman" w:hAnsi="Arial" w:cs="Arial"/>
          <w:color w:val="000000"/>
          <w:lang w:eastAsia="en-ZA"/>
        </w:rPr>
        <w:t>power is the arbitration agr</w:t>
      </w:r>
      <w:r w:rsidR="001C7742">
        <w:rPr>
          <w:rFonts w:ascii="Arial" w:eastAsia="Times New Roman" w:hAnsi="Arial" w:cs="Arial"/>
          <w:color w:val="000000"/>
          <w:lang w:eastAsia="en-ZA"/>
        </w:rPr>
        <w:t xml:space="preserve">eement between the parties and </w:t>
      </w:r>
      <w:r w:rsidRPr="00E141D3">
        <w:rPr>
          <w:rFonts w:ascii="Arial" w:eastAsia="Times New Roman" w:hAnsi="Arial" w:cs="Arial"/>
          <w:color w:val="000000"/>
          <w:lang w:eastAsia="en-ZA"/>
        </w:rPr>
        <w:t>an arbitrator cannot stray beyond their submission where the parties have expressly d</w:t>
      </w:r>
      <w:r w:rsidR="00A873C8">
        <w:rPr>
          <w:rFonts w:ascii="Arial" w:eastAsia="Times New Roman" w:hAnsi="Arial" w:cs="Arial"/>
          <w:color w:val="000000"/>
          <w:lang w:eastAsia="en-ZA"/>
        </w:rPr>
        <w:t xml:space="preserve">efined and limited the issues, </w:t>
      </w:r>
      <w:r w:rsidRPr="00E141D3">
        <w:rPr>
          <w:rFonts w:ascii="Arial" w:eastAsia="Times New Roman" w:hAnsi="Arial" w:cs="Arial"/>
          <w:color w:val="000000"/>
          <w:lang w:eastAsia="en-ZA"/>
        </w:rPr>
        <w:t>as the parties have done in this case to the matters pleaded."</w:t>
      </w:r>
    </w:p>
    <w:p w:rsidR="00E141D3" w:rsidRPr="00E141D3" w:rsidRDefault="00E141D3" w:rsidP="00586083">
      <w:pPr>
        <w:spacing w:after="0" w:line="480" w:lineRule="auto"/>
        <w:ind w:left="1440"/>
        <w:jc w:val="both"/>
        <w:rPr>
          <w:rFonts w:ascii="Arial" w:eastAsia="Times New Roman" w:hAnsi="Arial" w:cs="Arial"/>
          <w:lang w:eastAsia="en-ZA"/>
        </w:rPr>
      </w:pPr>
    </w:p>
    <w:p w:rsidR="00F758A7" w:rsidRDefault="00BF2A97" w:rsidP="00586083">
      <w:pPr>
        <w:spacing w:after="0" w:line="480" w:lineRule="auto"/>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t>[21]</w:t>
      </w:r>
      <w:r>
        <w:rPr>
          <w:rFonts w:ascii="Arial" w:eastAsia="Times New Roman" w:hAnsi="Arial" w:cs="Arial"/>
          <w:color w:val="000000"/>
          <w:sz w:val="24"/>
          <w:szCs w:val="24"/>
          <w:lang w:eastAsia="en-ZA"/>
        </w:rPr>
        <w:tab/>
      </w:r>
      <w:r w:rsidRPr="00F758A7">
        <w:rPr>
          <w:rFonts w:ascii="Arial" w:eastAsia="Times New Roman" w:hAnsi="Arial" w:cs="Arial"/>
          <w:color w:val="000000"/>
          <w:sz w:val="24"/>
          <w:szCs w:val="24"/>
          <w:lang w:eastAsia="en-ZA"/>
        </w:rPr>
        <w:t xml:space="preserve"> In </w:t>
      </w:r>
      <w:r w:rsidRPr="00F758A7">
        <w:rPr>
          <w:rFonts w:ascii="Arial" w:eastAsia="Times New Roman" w:hAnsi="Arial" w:cs="Arial"/>
          <w:i/>
          <w:color w:val="000000"/>
          <w:sz w:val="24"/>
          <w:szCs w:val="24"/>
          <w:lang w:eastAsia="en-ZA"/>
        </w:rPr>
        <w:t>Wright v Wright  and Another</w:t>
      </w:r>
      <w:r>
        <w:rPr>
          <w:rStyle w:val="FootnoteReference"/>
          <w:rFonts w:ascii="Arial" w:eastAsia="Times New Roman" w:hAnsi="Arial" w:cs="Arial"/>
          <w:color w:val="000000"/>
          <w:sz w:val="24"/>
          <w:szCs w:val="24"/>
          <w:lang w:eastAsia="en-ZA"/>
        </w:rPr>
        <w:footnoteReference w:id="4"/>
      </w:r>
      <w:r w:rsidRPr="00F758A7">
        <w:rPr>
          <w:rFonts w:ascii="Arial" w:eastAsia="Times New Roman" w:hAnsi="Arial" w:cs="Arial"/>
          <w:color w:val="000000"/>
          <w:sz w:val="24"/>
          <w:szCs w:val="24"/>
          <w:lang w:eastAsia="en-ZA"/>
        </w:rPr>
        <w:t xml:space="preserve"> The court held that:</w:t>
      </w:r>
    </w:p>
    <w:p w:rsidR="00F758A7" w:rsidRPr="00E141D3" w:rsidRDefault="00BF2A97" w:rsidP="00586083">
      <w:pPr>
        <w:spacing w:after="0" w:line="480" w:lineRule="auto"/>
        <w:ind w:left="1440"/>
        <w:jc w:val="both"/>
        <w:rPr>
          <w:rFonts w:ascii="Arial" w:eastAsia="Times New Roman" w:hAnsi="Arial" w:cs="Arial"/>
          <w:color w:val="000000"/>
          <w:lang w:eastAsia="en-ZA"/>
        </w:rPr>
      </w:pPr>
      <w:r w:rsidRPr="00E141D3">
        <w:rPr>
          <w:rFonts w:ascii="Arial" w:eastAsia="Times New Roman" w:hAnsi="Arial" w:cs="Arial"/>
          <w:color w:val="000000"/>
          <w:lang w:eastAsia="en-ZA"/>
        </w:rPr>
        <w:t>“ the position of a referee under section 196</w:t>
      </w:r>
      <w:r>
        <w:rPr>
          <w:rStyle w:val="FootnoteReference"/>
          <w:rFonts w:ascii="Arial" w:eastAsia="Times New Roman" w:hAnsi="Arial" w:cs="Arial"/>
          <w:color w:val="000000"/>
          <w:lang w:eastAsia="en-ZA"/>
        </w:rPr>
        <w:footnoteReference w:id="5"/>
      </w:r>
      <w:r w:rsidRPr="00E141D3">
        <w:rPr>
          <w:rFonts w:ascii="Arial" w:eastAsia="Times New Roman" w:hAnsi="Arial" w:cs="Arial"/>
          <w:color w:val="000000"/>
          <w:lang w:eastAsia="en-ZA"/>
        </w:rPr>
        <w:t xml:space="preserve"> is,  as  High Court correctly found, similar to that of an expert valuator who only makes factual findings but dissimilar to that of an arbitrator who </w:t>
      </w:r>
      <w:r w:rsidR="00A873C8" w:rsidRPr="00E141D3">
        <w:rPr>
          <w:rFonts w:ascii="Arial" w:eastAsia="Times New Roman" w:hAnsi="Arial" w:cs="Arial"/>
          <w:color w:val="000000"/>
          <w:lang w:eastAsia="en-ZA"/>
        </w:rPr>
        <w:t>fulfils</w:t>
      </w:r>
      <w:r w:rsidRPr="00E141D3">
        <w:rPr>
          <w:rFonts w:ascii="Arial" w:eastAsia="Times New Roman" w:hAnsi="Arial" w:cs="Arial"/>
          <w:color w:val="000000"/>
          <w:lang w:eastAsia="en-ZA"/>
        </w:rPr>
        <w:t xml:space="preserve"> a quasi-judicial function within the parameters of the Arbitration Act  42 of 1965”.</w:t>
      </w:r>
    </w:p>
    <w:p w:rsidR="00E141D3" w:rsidRPr="00F758A7" w:rsidRDefault="00E141D3" w:rsidP="00586083">
      <w:pPr>
        <w:spacing w:after="0" w:line="480" w:lineRule="auto"/>
        <w:ind w:left="144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[22]</w:t>
      </w:r>
      <w:r>
        <w:rPr>
          <w:rFonts w:ascii="Arial" w:eastAsia="Times New Roman" w:hAnsi="Arial" w:cs="Arial"/>
          <w:color w:val="000000"/>
          <w:sz w:val="24"/>
          <w:szCs w:val="24"/>
          <w:lang w:eastAsia="en-ZA"/>
        </w:rPr>
        <w:tab/>
        <w:t>I</w:t>
      </w:r>
      <w:r w:rsidR="004A0B23" w:rsidRPr="00F758A7">
        <w:rPr>
          <w:rFonts w:ascii="Arial" w:eastAsia="Times New Roman" w:hAnsi="Arial" w:cs="Arial"/>
          <w:color w:val="000000"/>
          <w:sz w:val="24"/>
          <w:szCs w:val="24"/>
          <w:lang w:eastAsia="en-ZA"/>
        </w:rPr>
        <w:t xml:space="preserve">t is also our law that once a determination has been made, it can only be </w:t>
      </w:r>
      <w:r w:rsidR="004A0B23">
        <w:rPr>
          <w:rFonts w:ascii="Arial" w:eastAsia="Times New Roman" w:hAnsi="Arial" w:cs="Arial"/>
          <w:color w:val="000000"/>
          <w:sz w:val="24"/>
          <w:szCs w:val="24"/>
          <w:lang w:eastAsia="en-ZA"/>
        </w:rPr>
        <w:t>impugned </w:t>
      </w:r>
      <w:r w:rsidR="004A0B23" w:rsidRPr="00F758A7">
        <w:rPr>
          <w:rFonts w:ascii="Arial" w:eastAsia="Times New Roman" w:hAnsi="Arial" w:cs="Arial"/>
          <w:color w:val="000000"/>
          <w:sz w:val="24"/>
          <w:szCs w:val="24"/>
          <w:lang w:eastAsia="en-ZA"/>
        </w:rPr>
        <w:t>on narrow grounds. </w:t>
      </w:r>
    </w:p>
    <w:p w:rsidR="00544016" w:rsidRPr="00F758A7" w:rsidRDefault="00544016"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[23]</w:t>
      </w:r>
      <w:r w:rsidRPr="00F758A7">
        <w:rPr>
          <w:rFonts w:ascii="Arial" w:eastAsia="Times New Roman" w:hAnsi="Arial" w:cs="Arial"/>
          <w:color w:val="000000"/>
          <w:sz w:val="24"/>
          <w:szCs w:val="24"/>
          <w:lang w:eastAsia="en-ZA"/>
        </w:rPr>
        <w:tab/>
        <w:t xml:space="preserve">In </w:t>
      </w:r>
      <w:r w:rsidRPr="00544016">
        <w:rPr>
          <w:rFonts w:ascii="Arial" w:eastAsia="Times New Roman" w:hAnsi="Arial" w:cs="Arial"/>
          <w:i/>
          <w:color w:val="000000"/>
          <w:sz w:val="24"/>
          <w:szCs w:val="24"/>
          <w:lang w:eastAsia="en-ZA"/>
        </w:rPr>
        <w:t>SA Breweries Ltd v Shoprite Holdings Ltd</w:t>
      </w:r>
      <w:r>
        <w:rPr>
          <w:rStyle w:val="FootnoteReference"/>
          <w:rFonts w:ascii="Arial" w:eastAsia="Times New Roman" w:hAnsi="Arial" w:cs="Arial"/>
          <w:color w:val="000000"/>
          <w:sz w:val="24"/>
          <w:szCs w:val="24"/>
          <w:lang w:eastAsia="en-ZA"/>
        </w:rPr>
        <w:footnoteReference w:id="6"/>
      </w:r>
      <w:r>
        <w:rPr>
          <w:rFonts w:ascii="Arial" w:eastAsia="Times New Roman" w:hAnsi="Arial" w:cs="Arial"/>
          <w:color w:val="000000"/>
          <w:sz w:val="24"/>
          <w:szCs w:val="24"/>
          <w:lang w:eastAsia="en-ZA"/>
        </w:rPr>
        <w:t xml:space="preserve"> it was also helped that </w:t>
      </w:r>
      <w:r w:rsidRPr="00F758A7">
        <w:rPr>
          <w:rFonts w:ascii="Arial" w:eastAsia="Times New Roman" w:hAnsi="Arial" w:cs="Arial"/>
          <w:color w:val="000000"/>
          <w:sz w:val="24"/>
          <w:szCs w:val="24"/>
          <w:lang w:eastAsia="en-ZA"/>
        </w:rPr>
        <w:t>in general the requirements for a valid arbitral award are equally applicable to an expert determination.</w:t>
      </w:r>
      <w:r>
        <w:rPr>
          <w:rStyle w:val="FootnoteReference"/>
          <w:rFonts w:ascii="Arial" w:eastAsia="Times New Roman" w:hAnsi="Arial" w:cs="Arial"/>
          <w:color w:val="000000"/>
          <w:sz w:val="24"/>
          <w:szCs w:val="24"/>
          <w:lang w:eastAsia="en-ZA"/>
        </w:rPr>
        <w:footnoteReference w:id="7"/>
      </w:r>
      <w:r w:rsidR="00A873C8">
        <w:rPr>
          <w:rFonts w:ascii="Arial" w:eastAsia="Times New Roman" w:hAnsi="Arial" w:cs="Arial"/>
          <w:color w:val="000000"/>
          <w:sz w:val="24"/>
          <w:szCs w:val="24"/>
          <w:lang w:eastAsia="en-ZA"/>
        </w:rPr>
        <w:t xml:space="preserve"> In other words, the expert is required to make a determination in accordance with the process provided in the empowering Mandate. It is impermissible in my view for the expert to stray outside of the process that is regulated by the Mandate.</w:t>
      </w:r>
    </w:p>
    <w:p w:rsidR="00544016" w:rsidRPr="00F758A7" w:rsidRDefault="00544016"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[24]</w:t>
      </w:r>
      <w:r w:rsidRPr="00F758A7">
        <w:rPr>
          <w:rFonts w:ascii="Arial" w:eastAsia="Times New Roman" w:hAnsi="Arial" w:cs="Arial"/>
          <w:color w:val="000000"/>
          <w:sz w:val="24"/>
          <w:szCs w:val="24"/>
          <w:lang w:eastAsia="en-ZA"/>
        </w:rPr>
        <w:tab/>
        <w:t>A court will intervene if the expert can be shown to have undertaken something other than that which the governing mandate allowed him to do.</w:t>
      </w:r>
      <w:r>
        <w:rPr>
          <w:rStyle w:val="FootnoteReference"/>
          <w:rFonts w:ascii="Arial" w:eastAsia="Times New Roman" w:hAnsi="Arial" w:cs="Arial"/>
          <w:color w:val="000000"/>
          <w:sz w:val="24"/>
          <w:szCs w:val="24"/>
          <w:lang w:eastAsia="en-ZA"/>
        </w:rPr>
        <w:footnoteReference w:id="8"/>
      </w:r>
    </w:p>
    <w:p w:rsidR="00544016" w:rsidRPr="00F758A7" w:rsidRDefault="00544016"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[25]</w:t>
      </w:r>
      <w:r>
        <w:rPr>
          <w:rFonts w:ascii="Arial" w:eastAsia="Times New Roman" w:hAnsi="Arial" w:cs="Arial"/>
          <w:color w:val="000000"/>
          <w:sz w:val="24"/>
          <w:szCs w:val="24"/>
          <w:lang w:eastAsia="en-ZA"/>
        </w:rPr>
        <w:tab/>
      </w:r>
      <w:r w:rsidR="0080692C">
        <w:rPr>
          <w:rFonts w:ascii="Arial" w:eastAsia="Times New Roman" w:hAnsi="Arial" w:cs="Arial"/>
          <w:color w:val="000000"/>
          <w:sz w:val="24"/>
          <w:szCs w:val="24"/>
          <w:lang w:eastAsia="en-ZA"/>
        </w:rPr>
        <w:t>As already stated, w</w:t>
      </w:r>
      <w:r w:rsidR="004A0B23" w:rsidRPr="00F758A7">
        <w:rPr>
          <w:rFonts w:ascii="Arial" w:eastAsia="Times New Roman" w:hAnsi="Arial" w:cs="Arial"/>
          <w:color w:val="000000"/>
          <w:sz w:val="24"/>
          <w:szCs w:val="24"/>
          <w:lang w:eastAsia="en-ZA"/>
        </w:rPr>
        <w:t xml:space="preserve">hen a meeting was called by </w:t>
      </w:r>
      <w:r w:rsidR="0080692C">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 xml:space="preserve">Katz to make a determination, all the documentation </w:t>
      </w:r>
      <w:r w:rsidR="0080692C">
        <w:rPr>
          <w:rFonts w:ascii="Arial" w:eastAsia="Times New Roman" w:hAnsi="Arial" w:cs="Arial"/>
          <w:color w:val="000000"/>
          <w:sz w:val="24"/>
          <w:szCs w:val="24"/>
          <w:lang w:eastAsia="en-ZA"/>
        </w:rPr>
        <w:t>had been discovered for evidentiary purposes</w:t>
      </w:r>
      <w:r>
        <w:rPr>
          <w:rFonts w:ascii="Arial" w:eastAsia="Times New Roman" w:hAnsi="Arial" w:cs="Arial"/>
          <w:color w:val="000000"/>
          <w:sz w:val="24"/>
          <w:szCs w:val="24"/>
          <w:lang w:eastAsia="en-ZA"/>
        </w:rPr>
        <w:t>. T</w:t>
      </w:r>
      <w:r w:rsidR="004A0B23" w:rsidRPr="00F758A7">
        <w:rPr>
          <w:rFonts w:ascii="Arial" w:eastAsia="Times New Roman" w:hAnsi="Arial" w:cs="Arial"/>
          <w:color w:val="000000"/>
          <w:sz w:val="24"/>
          <w:szCs w:val="24"/>
          <w:lang w:eastAsia="en-ZA"/>
        </w:rPr>
        <w:t>here was only one additional documentation that the first respondent sought to use to</w:t>
      </w:r>
      <w:r w:rsidR="0080692C">
        <w:rPr>
          <w:rFonts w:ascii="Arial" w:eastAsia="Times New Roman" w:hAnsi="Arial" w:cs="Arial"/>
          <w:color w:val="000000"/>
          <w:sz w:val="24"/>
          <w:szCs w:val="24"/>
          <w:lang w:eastAsia="en-ZA"/>
        </w:rPr>
        <w:t xml:space="preserve"> prove its amended claim. T</w:t>
      </w:r>
      <w:r w:rsidR="004A0B23" w:rsidRPr="00F758A7">
        <w:rPr>
          <w:rFonts w:ascii="Arial" w:eastAsia="Times New Roman" w:hAnsi="Arial" w:cs="Arial"/>
          <w:color w:val="000000"/>
          <w:sz w:val="24"/>
          <w:szCs w:val="24"/>
          <w:lang w:eastAsia="en-ZA"/>
        </w:rPr>
        <w:t>he document was disclosed to</w:t>
      </w:r>
      <w:r w:rsidR="0080692C">
        <w:rPr>
          <w:rFonts w:ascii="Arial" w:eastAsia="Times New Roman" w:hAnsi="Arial" w:cs="Arial"/>
          <w:color w:val="000000"/>
          <w:sz w:val="24"/>
          <w:szCs w:val="24"/>
          <w:lang w:eastAsia="en-ZA"/>
        </w:rPr>
        <w:t xml:space="preserve"> Mr</w:t>
      </w:r>
      <w:r w:rsidR="004A0B23" w:rsidRPr="00F758A7">
        <w:rPr>
          <w:rFonts w:ascii="Arial" w:eastAsia="Times New Roman" w:hAnsi="Arial" w:cs="Arial"/>
          <w:color w:val="000000"/>
          <w:sz w:val="24"/>
          <w:szCs w:val="24"/>
          <w:lang w:eastAsia="en-ZA"/>
        </w:rPr>
        <w:t xml:space="preserve"> Felet more than 24 hours</w:t>
      </w:r>
      <w:r w:rsidR="0080692C">
        <w:rPr>
          <w:rFonts w:ascii="Arial" w:eastAsia="Times New Roman" w:hAnsi="Arial" w:cs="Arial"/>
          <w:color w:val="000000"/>
          <w:sz w:val="24"/>
          <w:szCs w:val="24"/>
          <w:lang w:eastAsia="en-ZA"/>
        </w:rPr>
        <w:t xml:space="preserve"> before the scheduled meeting and this was permitted by the Mandate. I</w:t>
      </w:r>
      <w:r w:rsidR="004A0B23" w:rsidRPr="00F758A7">
        <w:rPr>
          <w:rFonts w:ascii="Arial" w:eastAsia="Times New Roman" w:hAnsi="Arial" w:cs="Arial"/>
          <w:color w:val="000000"/>
          <w:sz w:val="24"/>
          <w:szCs w:val="24"/>
          <w:lang w:eastAsia="en-ZA"/>
        </w:rPr>
        <w:t xml:space="preserve">n my respectful view, it was not up to </w:t>
      </w:r>
      <w:r w:rsidR="0080692C">
        <w:rPr>
          <w:rFonts w:ascii="Arial" w:eastAsia="Times New Roman" w:hAnsi="Arial" w:cs="Arial"/>
          <w:color w:val="000000"/>
          <w:sz w:val="24"/>
          <w:szCs w:val="24"/>
          <w:lang w:eastAsia="en-ZA"/>
        </w:rPr>
        <w:t xml:space="preserve">Mr </w:t>
      </w:r>
      <w:r w:rsidR="004A0B23" w:rsidRPr="00F758A7">
        <w:rPr>
          <w:rFonts w:ascii="Arial" w:eastAsia="Times New Roman" w:hAnsi="Arial" w:cs="Arial"/>
          <w:color w:val="000000"/>
          <w:sz w:val="24"/>
          <w:szCs w:val="24"/>
          <w:lang w:eastAsia="en-ZA"/>
        </w:rPr>
        <w:t xml:space="preserve">Katz to </w:t>
      </w:r>
      <w:r w:rsidR="0080692C">
        <w:rPr>
          <w:rFonts w:ascii="Arial" w:eastAsia="Times New Roman" w:hAnsi="Arial" w:cs="Arial"/>
          <w:color w:val="000000"/>
          <w:sz w:val="24"/>
          <w:szCs w:val="24"/>
          <w:lang w:eastAsia="en-ZA"/>
        </w:rPr>
        <w:t xml:space="preserve">require one of the parties to provide him with additional documentation to prove the line items on which he could not decide. The </w:t>
      </w:r>
      <w:r w:rsidR="004A0B23">
        <w:rPr>
          <w:rFonts w:ascii="Arial" w:eastAsia="Times New Roman" w:hAnsi="Arial" w:cs="Arial"/>
          <w:color w:val="000000"/>
          <w:sz w:val="24"/>
          <w:szCs w:val="24"/>
          <w:lang w:eastAsia="en-ZA"/>
        </w:rPr>
        <w:t>eventuality</w:t>
      </w:r>
      <w:r w:rsidR="0080692C">
        <w:rPr>
          <w:rFonts w:ascii="Arial" w:eastAsia="Times New Roman" w:hAnsi="Arial" w:cs="Arial"/>
          <w:color w:val="000000"/>
          <w:sz w:val="24"/>
          <w:szCs w:val="24"/>
          <w:lang w:eastAsia="en-ZA"/>
        </w:rPr>
        <w:t xml:space="preserve"> of his inability to decide was provided for in the Mandate and it was</w:t>
      </w:r>
      <w:r w:rsidR="004A0B23">
        <w:rPr>
          <w:rFonts w:ascii="Arial" w:eastAsia="Times New Roman" w:hAnsi="Arial" w:cs="Arial"/>
          <w:color w:val="000000"/>
          <w:sz w:val="24"/>
          <w:szCs w:val="24"/>
          <w:lang w:eastAsia="en-ZA"/>
        </w:rPr>
        <w:t xml:space="preserve"> clearly</w:t>
      </w:r>
      <w:r w:rsidR="0080692C">
        <w:rPr>
          <w:rFonts w:ascii="Arial" w:eastAsia="Times New Roman" w:hAnsi="Arial" w:cs="Arial"/>
          <w:color w:val="000000"/>
          <w:sz w:val="24"/>
          <w:szCs w:val="24"/>
          <w:lang w:eastAsia="en-ZA"/>
        </w:rPr>
        <w:t xml:space="preserve"> to go </w:t>
      </w:r>
      <w:r w:rsidR="0080692C">
        <w:rPr>
          <w:rFonts w:ascii="Arial" w:eastAsia="Times New Roman" w:hAnsi="Arial" w:cs="Arial"/>
          <w:color w:val="000000"/>
          <w:sz w:val="24"/>
          <w:szCs w:val="24"/>
          <w:lang w:eastAsia="en-ZA"/>
        </w:rPr>
        <w:lastRenderedPageBreak/>
        <w:t>against the party seeking to prove the line item concerned, in this case the first respondent</w:t>
      </w:r>
      <w:r w:rsidR="004A0B23" w:rsidRPr="00F758A7">
        <w:rPr>
          <w:rFonts w:ascii="Arial" w:eastAsia="Times New Roman" w:hAnsi="Arial" w:cs="Arial"/>
          <w:color w:val="000000"/>
          <w:sz w:val="24"/>
          <w:szCs w:val="24"/>
          <w:lang w:eastAsia="en-ZA"/>
        </w:rPr>
        <w:t>.</w:t>
      </w:r>
    </w:p>
    <w:p w:rsidR="00544016" w:rsidRPr="00F758A7" w:rsidRDefault="00544016" w:rsidP="00586083">
      <w:pPr>
        <w:spacing w:after="0" w:line="480" w:lineRule="auto"/>
        <w:ind w:left="720" w:hanging="720"/>
        <w:jc w:val="both"/>
        <w:rPr>
          <w:rFonts w:ascii="Arial" w:eastAsia="Times New Roman" w:hAnsi="Arial" w:cs="Arial"/>
          <w:sz w:val="24"/>
          <w:szCs w:val="24"/>
          <w:lang w:eastAsia="en-ZA"/>
        </w:rPr>
      </w:pPr>
    </w:p>
    <w:p w:rsidR="00544016"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[26]</w:t>
      </w:r>
      <w:r w:rsidRPr="00F758A7">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Mr </w:t>
      </w:r>
      <w:r w:rsidRPr="00F758A7">
        <w:rPr>
          <w:rFonts w:ascii="Arial" w:eastAsia="Times New Roman" w:hAnsi="Arial" w:cs="Arial"/>
          <w:color w:val="000000"/>
          <w:sz w:val="24"/>
          <w:szCs w:val="24"/>
          <w:lang w:eastAsia="en-ZA"/>
        </w:rPr>
        <w:t>Katz's request after the conclusion of the meeting, which was the only meeting mandated him by the parties to call upon the first respondent to provide for additional documentati</w:t>
      </w:r>
      <w:r>
        <w:rPr>
          <w:rFonts w:ascii="Arial" w:eastAsia="Times New Roman" w:hAnsi="Arial" w:cs="Arial"/>
          <w:color w:val="000000"/>
          <w:sz w:val="24"/>
          <w:szCs w:val="24"/>
          <w:lang w:eastAsia="en-ZA"/>
        </w:rPr>
        <w:t xml:space="preserve">on was outside of his mandate. </w:t>
      </w:r>
    </w:p>
    <w:p w:rsidR="004A0B23" w:rsidRPr="00F758A7" w:rsidRDefault="004A0B23"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[27]</w:t>
      </w:r>
      <w:r w:rsidRPr="00F758A7">
        <w:rPr>
          <w:rFonts w:ascii="Arial" w:eastAsia="Times New Roman" w:hAnsi="Arial" w:cs="Arial"/>
          <w:color w:val="000000"/>
          <w:sz w:val="24"/>
          <w:szCs w:val="24"/>
          <w:lang w:eastAsia="en-ZA"/>
        </w:rPr>
        <w:tab/>
        <w:t>It should be remember</w:t>
      </w:r>
      <w:r>
        <w:rPr>
          <w:rFonts w:ascii="Arial" w:eastAsia="Times New Roman" w:hAnsi="Arial" w:cs="Arial"/>
          <w:color w:val="000000"/>
          <w:sz w:val="24"/>
          <w:szCs w:val="24"/>
          <w:lang w:eastAsia="en-ZA"/>
        </w:rPr>
        <w:t>ed that paragraph 3.1.  of the M</w:t>
      </w:r>
      <w:r w:rsidRPr="00F758A7">
        <w:rPr>
          <w:rFonts w:ascii="Arial" w:eastAsia="Times New Roman" w:hAnsi="Arial" w:cs="Arial"/>
          <w:color w:val="000000"/>
          <w:sz w:val="24"/>
          <w:szCs w:val="24"/>
          <w:lang w:eastAsia="en-ZA"/>
        </w:rPr>
        <w:t xml:space="preserve">andate provided that the first </w:t>
      </w:r>
      <w:r>
        <w:rPr>
          <w:rFonts w:ascii="Arial" w:eastAsia="Times New Roman" w:hAnsi="Arial" w:cs="Arial"/>
          <w:color w:val="000000"/>
          <w:sz w:val="24"/>
          <w:szCs w:val="24"/>
          <w:lang w:eastAsia="en-ZA"/>
        </w:rPr>
        <w:t>respondent bears</w:t>
      </w:r>
      <w:r w:rsidR="00544016">
        <w:rPr>
          <w:rFonts w:ascii="Arial" w:eastAsia="Times New Roman" w:hAnsi="Arial" w:cs="Arial"/>
          <w:color w:val="000000"/>
          <w:sz w:val="24"/>
          <w:szCs w:val="24"/>
          <w:lang w:eastAsia="en-ZA"/>
        </w:rPr>
        <w:t xml:space="preserve"> the </w:t>
      </w:r>
      <w:r w:rsidR="00544016" w:rsidRPr="004A0B23">
        <w:rPr>
          <w:rFonts w:ascii="Arial" w:eastAsia="Times New Roman" w:hAnsi="Arial" w:cs="Arial"/>
          <w:color w:val="000000"/>
          <w:sz w:val="24"/>
          <w:szCs w:val="24"/>
          <w:lang w:eastAsia="en-ZA"/>
        </w:rPr>
        <w:t xml:space="preserve">onus </w:t>
      </w:r>
      <w:r w:rsidR="00544016">
        <w:rPr>
          <w:rFonts w:ascii="Arial" w:eastAsia="Times New Roman" w:hAnsi="Arial" w:cs="Arial"/>
          <w:color w:val="000000"/>
          <w:sz w:val="24"/>
          <w:szCs w:val="24"/>
          <w:lang w:eastAsia="en-ZA"/>
        </w:rPr>
        <w:t>of p</w:t>
      </w:r>
      <w:r w:rsidRPr="00F758A7">
        <w:rPr>
          <w:rFonts w:ascii="Arial" w:eastAsia="Times New Roman" w:hAnsi="Arial" w:cs="Arial"/>
          <w:color w:val="000000"/>
          <w:sz w:val="24"/>
          <w:szCs w:val="24"/>
          <w:lang w:eastAsia="en-ZA"/>
        </w:rPr>
        <w:t>roof and in the event that the umpire is undecided on a particular item listed on Annexure "X" that item will be resolved</w:t>
      </w:r>
      <w:r w:rsidR="00544016">
        <w:rPr>
          <w:rFonts w:ascii="Arial" w:eastAsia="Times New Roman" w:hAnsi="Arial" w:cs="Arial"/>
          <w:color w:val="000000"/>
          <w:sz w:val="24"/>
          <w:szCs w:val="24"/>
          <w:lang w:eastAsia="en-ZA"/>
        </w:rPr>
        <w:t xml:space="preserve"> against the first respondent. W</w:t>
      </w:r>
      <w:r w:rsidRPr="00F758A7">
        <w:rPr>
          <w:rFonts w:ascii="Arial" w:eastAsia="Times New Roman" w:hAnsi="Arial" w:cs="Arial"/>
          <w:color w:val="000000"/>
          <w:sz w:val="24"/>
          <w:szCs w:val="24"/>
          <w:lang w:eastAsia="en-ZA"/>
        </w:rPr>
        <w:t xml:space="preserve">ith such clear language used, </w:t>
      </w:r>
      <w:r>
        <w:rPr>
          <w:rFonts w:ascii="Arial" w:eastAsia="Times New Roman" w:hAnsi="Arial" w:cs="Arial"/>
          <w:color w:val="000000"/>
          <w:sz w:val="24"/>
          <w:szCs w:val="24"/>
          <w:lang w:eastAsia="en-ZA"/>
        </w:rPr>
        <w:t xml:space="preserve">Mr Katz as already stated, </w:t>
      </w:r>
      <w:r w:rsidRPr="00F758A7">
        <w:rPr>
          <w:rFonts w:ascii="Arial" w:eastAsia="Times New Roman" w:hAnsi="Arial" w:cs="Arial"/>
          <w:color w:val="000000"/>
          <w:sz w:val="24"/>
          <w:szCs w:val="24"/>
          <w:lang w:eastAsia="en-ZA"/>
        </w:rPr>
        <w:t>ought not to have called for the additional documentation after the meeting even if he could not make a determination because that is precisely what the parties agreed would not happen. I, therefore, hold the view that by calling for additional documentation,</w:t>
      </w:r>
      <w:r>
        <w:rPr>
          <w:rFonts w:ascii="Arial" w:eastAsia="Times New Roman" w:hAnsi="Arial" w:cs="Arial"/>
          <w:color w:val="000000"/>
          <w:sz w:val="24"/>
          <w:szCs w:val="24"/>
          <w:lang w:eastAsia="en-ZA"/>
        </w:rPr>
        <w:t xml:space="preserve"> Mr</w:t>
      </w:r>
      <w:r w:rsidRPr="00F758A7">
        <w:rPr>
          <w:rFonts w:ascii="Arial" w:eastAsia="Times New Roman" w:hAnsi="Arial" w:cs="Arial"/>
          <w:color w:val="000000"/>
          <w:sz w:val="24"/>
          <w:szCs w:val="24"/>
          <w:lang w:eastAsia="en-ZA"/>
        </w:rPr>
        <w:t xml:space="preserve"> Katz became partisan, something he ought to have avoided at all costs.</w:t>
      </w:r>
    </w:p>
    <w:p w:rsidR="00544016" w:rsidRPr="00F758A7" w:rsidRDefault="00544016"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[28]</w:t>
      </w:r>
      <w:r>
        <w:rPr>
          <w:rFonts w:ascii="Arial" w:eastAsia="Times New Roman" w:hAnsi="Arial" w:cs="Arial"/>
          <w:color w:val="000000"/>
          <w:sz w:val="24"/>
          <w:szCs w:val="24"/>
          <w:lang w:eastAsia="en-ZA"/>
        </w:rPr>
        <w:tab/>
        <w:t xml:space="preserve">Mr </w:t>
      </w:r>
      <w:r w:rsidRPr="00F758A7">
        <w:rPr>
          <w:rFonts w:ascii="Arial" w:eastAsia="Times New Roman" w:hAnsi="Arial" w:cs="Arial"/>
          <w:color w:val="000000"/>
          <w:sz w:val="24"/>
          <w:szCs w:val="24"/>
          <w:lang w:eastAsia="en-ZA"/>
        </w:rPr>
        <w:t xml:space="preserve">Katz erred by receiving additional documentation outside of his mandate and simply ignoring the complaints raised by the applicants regarding his failure to make a determination after the first meeting and considering the additional documentation he called for on his own. He compounded, in my view, his irregular conduct by ignoring the contestation raised by the applicants. It makes </w:t>
      </w:r>
      <w:r>
        <w:rPr>
          <w:rFonts w:ascii="Arial" w:eastAsia="Times New Roman" w:hAnsi="Arial" w:cs="Arial"/>
          <w:color w:val="000000"/>
          <w:sz w:val="24"/>
          <w:szCs w:val="24"/>
          <w:lang w:eastAsia="en-ZA"/>
        </w:rPr>
        <w:t xml:space="preserve">no </w:t>
      </w:r>
      <w:r w:rsidRPr="00F758A7">
        <w:rPr>
          <w:rFonts w:ascii="Arial" w:eastAsia="Times New Roman" w:hAnsi="Arial" w:cs="Arial"/>
          <w:color w:val="000000"/>
          <w:sz w:val="24"/>
          <w:szCs w:val="24"/>
          <w:lang w:eastAsia="en-ZA"/>
        </w:rPr>
        <w:t xml:space="preserve">sense why he did not call for the second meeting but to have considered documentation submitted after the meeting was in my view unwarranted and </w:t>
      </w:r>
      <w:r w:rsidRPr="00F758A7">
        <w:rPr>
          <w:rFonts w:ascii="Arial" w:eastAsia="Times New Roman" w:hAnsi="Arial" w:cs="Arial"/>
          <w:color w:val="000000"/>
          <w:sz w:val="24"/>
          <w:szCs w:val="24"/>
          <w:lang w:eastAsia="en-ZA"/>
        </w:rPr>
        <w:lastRenderedPageBreak/>
        <w:t>beyond the scope of his mandate.</w:t>
      </w:r>
      <w:r>
        <w:rPr>
          <w:rFonts w:ascii="Arial" w:eastAsia="Times New Roman" w:hAnsi="Arial" w:cs="Arial"/>
          <w:color w:val="000000"/>
          <w:sz w:val="24"/>
          <w:szCs w:val="24"/>
          <w:lang w:eastAsia="en-ZA"/>
        </w:rPr>
        <w:t xml:space="preserve"> I can only infer that he realised that the Mandate provided for only one meeting.</w:t>
      </w:r>
    </w:p>
    <w:p w:rsidR="00544016" w:rsidRPr="00F758A7" w:rsidRDefault="00544016" w:rsidP="00586083">
      <w:pPr>
        <w:spacing w:after="0" w:line="480" w:lineRule="auto"/>
        <w:ind w:left="720" w:hanging="720"/>
        <w:jc w:val="both"/>
        <w:rPr>
          <w:rFonts w:ascii="Arial" w:eastAsia="Times New Roman" w:hAnsi="Arial" w:cs="Arial"/>
          <w:sz w:val="24"/>
          <w:szCs w:val="24"/>
          <w:lang w:eastAsia="en-ZA"/>
        </w:rPr>
      </w:pPr>
    </w:p>
    <w:p w:rsidR="00F758A7" w:rsidRDefault="00BF2A97" w:rsidP="00586083">
      <w:pPr>
        <w:spacing w:after="0" w:line="480" w:lineRule="auto"/>
        <w:ind w:left="720" w:hanging="720"/>
        <w:jc w:val="both"/>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[29]</w:t>
      </w:r>
      <w:r w:rsidRPr="00F758A7">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Mr </w:t>
      </w:r>
      <w:r w:rsidRPr="00F758A7">
        <w:rPr>
          <w:rFonts w:ascii="Arial" w:eastAsia="Times New Roman" w:hAnsi="Arial" w:cs="Arial"/>
          <w:color w:val="000000"/>
          <w:sz w:val="24"/>
          <w:szCs w:val="24"/>
          <w:lang w:eastAsia="en-ZA"/>
        </w:rPr>
        <w:t xml:space="preserve">Katz also failed, without proper explanation to afford </w:t>
      </w:r>
      <w:r>
        <w:rPr>
          <w:rFonts w:ascii="Arial" w:eastAsia="Times New Roman" w:hAnsi="Arial" w:cs="Arial"/>
          <w:color w:val="000000"/>
          <w:sz w:val="24"/>
          <w:szCs w:val="24"/>
          <w:lang w:eastAsia="en-ZA"/>
        </w:rPr>
        <w:t xml:space="preserve">Mr </w:t>
      </w:r>
      <w:r w:rsidR="00544016">
        <w:rPr>
          <w:rFonts w:ascii="Arial" w:eastAsia="Times New Roman" w:hAnsi="Arial" w:cs="Arial"/>
          <w:color w:val="000000"/>
          <w:sz w:val="24"/>
          <w:szCs w:val="24"/>
          <w:lang w:eastAsia="en-ZA"/>
        </w:rPr>
        <w:t xml:space="preserve">Felet to provide, his comment, </w:t>
      </w:r>
      <w:r w:rsidRPr="00F758A7">
        <w:rPr>
          <w:rFonts w:ascii="Arial" w:eastAsia="Times New Roman" w:hAnsi="Arial" w:cs="Arial"/>
          <w:color w:val="000000"/>
          <w:sz w:val="24"/>
          <w:szCs w:val="24"/>
          <w:lang w:eastAsia="en-ZA"/>
        </w:rPr>
        <w:t xml:space="preserve">on behalf of the applicant whilst affording the same privilege to </w:t>
      </w:r>
      <w:r>
        <w:rPr>
          <w:rFonts w:ascii="Arial" w:eastAsia="Times New Roman" w:hAnsi="Arial" w:cs="Arial"/>
          <w:color w:val="000000"/>
          <w:sz w:val="24"/>
          <w:szCs w:val="24"/>
          <w:lang w:eastAsia="en-ZA"/>
        </w:rPr>
        <w:t xml:space="preserve">Prof </w:t>
      </w:r>
      <w:r w:rsidRPr="00F758A7">
        <w:rPr>
          <w:rFonts w:ascii="Arial" w:eastAsia="Times New Roman" w:hAnsi="Arial" w:cs="Arial"/>
          <w:color w:val="000000"/>
          <w:sz w:val="24"/>
          <w:szCs w:val="24"/>
          <w:lang w:eastAsia="en-ZA"/>
        </w:rPr>
        <w:t xml:space="preserve">Wainer, </w:t>
      </w:r>
      <w:r>
        <w:rPr>
          <w:rFonts w:ascii="Arial" w:eastAsia="Times New Roman" w:hAnsi="Arial" w:cs="Arial"/>
          <w:color w:val="000000"/>
          <w:sz w:val="24"/>
          <w:szCs w:val="24"/>
          <w:lang w:eastAsia="en-ZA"/>
        </w:rPr>
        <w:t xml:space="preserve">Mr </w:t>
      </w:r>
      <w:r w:rsidRPr="00F758A7">
        <w:rPr>
          <w:rFonts w:ascii="Arial" w:eastAsia="Times New Roman" w:hAnsi="Arial" w:cs="Arial"/>
          <w:color w:val="000000"/>
          <w:sz w:val="24"/>
          <w:szCs w:val="24"/>
          <w:lang w:eastAsia="en-ZA"/>
        </w:rPr>
        <w:t xml:space="preserve">Domoney and </w:t>
      </w:r>
      <w:r>
        <w:rPr>
          <w:rFonts w:ascii="Arial" w:eastAsia="Times New Roman" w:hAnsi="Arial" w:cs="Arial"/>
          <w:color w:val="000000"/>
          <w:sz w:val="24"/>
          <w:szCs w:val="24"/>
          <w:lang w:eastAsia="en-ZA"/>
        </w:rPr>
        <w:t xml:space="preserve">Mr </w:t>
      </w:r>
      <w:r w:rsidRPr="00F758A7">
        <w:rPr>
          <w:rFonts w:ascii="Arial" w:eastAsia="Times New Roman" w:hAnsi="Arial" w:cs="Arial"/>
          <w:color w:val="000000"/>
          <w:sz w:val="24"/>
          <w:szCs w:val="24"/>
          <w:lang w:eastAsia="en-ZA"/>
        </w:rPr>
        <w:t>Nel. This was in my view, unfair and prejudicial to the applicants.</w:t>
      </w:r>
      <w:r>
        <w:rPr>
          <w:rFonts w:ascii="Arial" w:eastAsia="Times New Roman" w:hAnsi="Arial" w:cs="Arial"/>
          <w:color w:val="000000"/>
          <w:sz w:val="24"/>
          <w:szCs w:val="24"/>
          <w:lang w:eastAsia="en-ZA"/>
        </w:rPr>
        <w:t xml:space="preserve"> However, even if Mr Felet was given an opportunity to comment on the additional documentation called for after the meeting by Mr Katz, it would not change the irregularity of such request because it was contrary to the Mandate.</w:t>
      </w:r>
      <w:r w:rsidRPr="00F758A7">
        <w:rPr>
          <w:rFonts w:ascii="Arial" w:eastAsia="Times New Roman" w:hAnsi="Arial" w:cs="Arial"/>
          <w:color w:val="000000"/>
          <w:sz w:val="24"/>
          <w:szCs w:val="24"/>
          <w:lang w:eastAsia="en-ZA"/>
        </w:rPr>
        <w:t xml:space="preserve"> I am of the view that the determination ought to have been made with documentation as </w:t>
      </w:r>
      <w:r>
        <w:rPr>
          <w:rFonts w:ascii="Arial" w:eastAsia="Times New Roman" w:hAnsi="Arial" w:cs="Arial"/>
          <w:color w:val="000000"/>
          <w:sz w:val="24"/>
          <w:szCs w:val="24"/>
          <w:lang w:eastAsia="en-ZA"/>
        </w:rPr>
        <w:t>presented to Mr Katz on</w:t>
      </w:r>
      <w:r w:rsidRPr="00F758A7">
        <w:rPr>
          <w:rFonts w:ascii="Arial" w:eastAsia="Times New Roman" w:hAnsi="Arial" w:cs="Arial"/>
          <w:color w:val="000000"/>
          <w:sz w:val="24"/>
          <w:szCs w:val="24"/>
          <w:lang w:eastAsia="en-ZA"/>
        </w:rPr>
        <w:t xml:space="preserve"> 30 November 2020.</w:t>
      </w:r>
    </w:p>
    <w:p w:rsidR="00544016" w:rsidRPr="00F758A7" w:rsidRDefault="00544016" w:rsidP="00586083">
      <w:pPr>
        <w:spacing w:after="0" w:line="480" w:lineRule="auto"/>
        <w:jc w:val="both"/>
        <w:rPr>
          <w:rFonts w:ascii="Arial" w:eastAsia="Times New Roman" w:hAnsi="Arial" w:cs="Arial"/>
          <w:sz w:val="24"/>
          <w:szCs w:val="24"/>
          <w:lang w:eastAsia="en-ZA"/>
        </w:rPr>
      </w:pPr>
    </w:p>
    <w:p w:rsidR="00F758A7" w:rsidRPr="00F758A7" w:rsidRDefault="00BF2A97" w:rsidP="00586083">
      <w:pPr>
        <w:spacing w:after="0" w:line="480" w:lineRule="auto"/>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 xml:space="preserve">[30] </w:t>
      </w:r>
      <w:r>
        <w:rPr>
          <w:rFonts w:ascii="Arial" w:eastAsia="Times New Roman" w:hAnsi="Arial" w:cs="Arial"/>
          <w:color w:val="000000"/>
          <w:sz w:val="24"/>
          <w:szCs w:val="24"/>
          <w:lang w:eastAsia="en-ZA"/>
        </w:rPr>
        <w:tab/>
        <w:t>I</w:t>
      </w:r>
      <w:r w:rsidRPr="00F758A7">
        <w:rPr>
          <w:rFonts w:ascii="Arial" w:eastAsia="Times New Roman" w:hAnsi="Arial" w:cs="Arial"/>
          <w:color w:val="000000"/>
          <w:sz w:val="24"/>
          <w:szCs w:val="24"/>
          <w:lang w:eastAsia="en-ZA"/>
        </w:rPr>
        <w:t>t is my considered view that that the applicants have made out a case.</w:t>
      </w:r>
    </w:p>
    <w:p w:rsidR="00F758A7" w:rsidRDefault="00F758A7" w:rsidP="00586083">
      <w:pPr>
        <w:spacing w:after="0" w:line="480" w:lineRule="auto"/>
        <w:jc w:val="both"/>
        <w:rPr>
          <w:rFonts w:ascii="Arial" w:eastAsia="Times New Roman" w:hAnsi="Arial" w:cs="Arial"/>
          <w:sz w:val="24"/>
          <w:szCs w:val="24"/>
          <w:lang w:eastAsia="en-ZA"/>
        </w:rPr>
      </w:pPr>
    </w:p>
    <w:p w:rsidR="00544016" w:rsidRPr="00F758A7" w:rsidRDefault="00544016" w:rsidP="00586083">
      <w:pPr>
        <w:spacing w:after="0" w:line="480" w:lineRule="auto"/>
        <w:jc w:val="both"/>
        <w:rPr>
          <w:rFonts w:ascii="Arial" w:eastAsia="Times New Roman" w:hAnsi="Arial" w:cs="Arial"/>
          <w:sz w:val="24"/>
          <w:szCs w:val="24"/>
          <w:lang w:eastAsia="en-ZA"/>
        </w:rPr>
      </w:pPr>
    </w:p>
    <w:p w:rsidR="00544016" w:rsidRPr="00544016" w:rsidRDefault="00BF2A97" w:rsidP="00586083">
      <w:pPr>
        <w:spacing w:after="0" w:line="480" w:lineRule="auto"/>
        <w:jc w:val="both"/>
        <w:rPr>
          <w:rFonts w:ascii="Arial" w:eastAsia="Times New Roman" w:hAnsi="Arial" w:cs="Arial"/>
          <w:b/>
          <w:color w:val="000000"/>
          <w:sz w:val="24"/>
          <w:szCs w:val="24"/>
          <w:u w:val="single"/>
          <w:lang w:eastAsia="en-ZA"/>
        </w:rPr>
      </w:pPr>
      <w:r w:rsidRPr="00F758A7">
        <w:rPr>
          <w:rFonts w:ascii="Arial" w:eastAsia="Times New Roman" w:hAnsi="Arial" w:cs="Arial"/>
          <w:b/>
          <w:color w:val="000000"/>
          <w:sz w:val="24"/>
          <w:szCs w:val="24"/>
          <w:u w:val="single"/>
          <w:lang w:eastAsia="en-ZA"/>
        </w:rPr>
        <w:t>ORDER</w:t>
      </w:r>
    </w:p>
    <w:p w:rsidR="00544016" w:rsidRPr="00544016" w:rsidRDefault="00BF2A97" w:rsidP="00586083">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[31</w:t>
      </w:r>
      <w:r w:rsidRPr="00F758A7">
        <w:rPr>
          <w:rFonts w:ascii="Arial" w:eastAsia="Times New Roman" w:hAnsi="Arial" w:cs="Arial"/>
          <w:color w:val="000000"/>
          <w:sz w:val="24"/>
          <w:szCs w:val="24"/>
          <w:lang w:eastAsia="en-ZA"/>
        </w:rPr>
        <w:t>]</w:t>
      </w:r>
      <w:r w:rsidRPr="00F758A7">
        <w:rPr>
          <w:rFonts w:ascii="Arial" w:eastAsia="Times New Roman" w:hAnsi="Arial" w:cs="Arial"/>
          <w:color w:val="000000"/>
          <w:sz w:val="24"/>
          <w:szCs w:val="24"/>
          <w:lang w:eastAsia="en-ZA"/>
        </w:rPr>
        <w:tab/>
        <w:t>I make the following order:</w:t>
      </w:r>
    </w:p>
    <w:p w:rsidR="00F758A7" w:rsidRPr="00F758A7" w:rsidRDefault="00BF2A97" w:rsidP="00586083">
      <w:pPr>
        <w:spacing w:after="0" w:line="480" w:lineRule="auto"/>
        <w:ind w:firstLine="720"/>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w:t>
      </w:r>
      <w:r>
        <w:rPr>
          <w:rFonts w:ascii="Arial" w:eastAsia="Times New Roman" w:hAnsi="Arial" w:cs="Arial"/>
          <w:color w:val="000000"/>
          <w:sz w:val="24"/>
          <w:szCs w:val="24"/>
          <w:lang w:eastAsia="en-ZA"/>
        </w:rPr>
        <w:tab/>
      </w:r>
      <w:r w:rsidR="004A0B23" w:rsidRPr="00F758A7">
        <w:rPr>
          <w:rFonts w:ascii="Arial" w:eastAsia="Times New Roman" w:hAnsi="Arial" w:cs="Arial"/>
          <w:color w:val="000000"/>
          <w:sz w:val="24"/>
          <w:szCs w:val="24"/>
          <w:lang w:eastAsia="en-ZA"/>
        </w:rPr>
        <w:t>It is declared that the second respondent:</w:t>
      </w:r>
    </w:p>
    <w:p w:rsidR="00F758A7" w:rsidRPr="00F758A7" w:rsidRDefault="00BF2A97" w:rsidP="00586083">
      <w:pPr>
        <w:spacing w:after="0" w:line="480" w:lineRule="auto"/>
        <w:ind w:left="2160"/>
        <w:jc w:val="both"/>
        <w:rPr>
          <w:rFonts w:ascii="Arial" w:eastAsia="Times New Roman" w:hAnsi="Arial" w:cs="Arial"/>
          <w:sz w:val="24"/>
          <w:szCs w:val="24"/>
          <w:lang w:eastAsia="en-ZA"/>
        </w:rPr>
      </w:pPr>
      <w:r w:rsidRPr="00F758A7">
        <w:rPr>
          <w:rFonts w:ascii="Arial" w:eastAsia="Times New Roman" w:hAnsi="Arial" w:cs="Arial"/>
          <w:color w:val="000000"/>
          <w:sz w:val="24"/>
          <w:szCs w:val="24"/>
          <w:lang w:eastAsia="en-ZA"/>
        </w:rPr>
        <w:t>(i) erred in requesting, allowing and taking into consideration for the purposes of making his determination issued on 2 December 2020 and purportedly amended on 4 Dece</w:t>
      </w:r>
      <w:r w:rsidR="00586083">
        <w:rPr>
          <w:rFonts w:ascii="Arial" w:eastAsia="Times New Roman" w:hAnsi="Arial" w:cs="Arial"/>
          <w:color w:val="000000"/>
          <w:sz w:val="24"/>
          <w:szCs w:val="24"/>
          <w:lang w:eastAsia="en-ZA"/>
        </w:rPr>
        <w:t xml:space="preserve">mber 2020 (“the determination”) </w:t>
      </w:r>
      <w:r w:rsidRPr="00F758A7">
        <w:rPr>
          <w:rFonts w:ascii="Arial" w:eastAsia="Times New Roman" w:hAnsi="Arial" w:cs="Arial"/>
          <w:color w:val="000000"/>
          <w:sz w:val="24"/>
          <w:szCs w:val="24"/>
          <w:lang w:eastAsia="en-ZA"/>
        </w:rPr>
        <w:t>addition</w:t>
      </w:r>
      <w:r w:rsidR="00586083">
        <w:rPr>
          <w:rFonts w:ascii="Arial" w:eastAsia="Times New Roman" w:hAnsi="Arial" w:cs="Arial"/>
          <w:color w:val="000000"/>
          <w:sz w:val="24"/>
          <w:szCs w:val="24"/>
          <w:lang w:eastAsia="en-ZA"/>
        </w:rPr>
        <w:t xml:space="preserve">al </w:t>
      </w:r>
      <w:r w:rsidR="007C037F">
        <w:rPr>
          <w:rFonts w:ascii="Arial" w:eastAsia="Times New Roman" w:hAnsi="Arial" w:cs="Arial"/>
          <w:color w:val="000000"/>
          <w:sz w:val="24"/>
          <w:szCs w:val="24"/>
          <w:lang w:eastAsia="en-ZA"/>
        </w:rPr>
        <w:t>documentation </w:t>
      </w:r>
      <w:r w:rsidR="00586083">
        <w:rPr>
          <w:rFonts w:ascii="Arial" w:eastAsia="Times New Roman" w:hAnsi="Arial" w:cs="Arial"/>
          <w:color w:val="000000"/>
          <w:sz w:val="24"/>
          <w:szCs w:val="24"/>
          <w:lang w:eastAsia="en-ZA"/>
        </w:rPr>
        <w:t xml:space="preserve">(“the </w:t>
      </w:r>
      <w:r w:rsidRPr="00F758A7">
        <w:rPr>
          <w:rFonts w:ascii="Arial" w:eastAsia="Times New Roman" w:hAnsi="Arial" w:cs="Arial"/>
          <w:color w:val="000000"/>
          <w:sz w:val="24"/>
          <w:szCs w:val="24"/>
          <w:lang w:eastAsia="en-ZA"/>
        </w:rPr>
        <w:t>additional documentation</w:t>
      </w:r>
      <w:r w:rsidR="00586083">
        <w:rPr>
          <w:rFonts w:ascii="Arial" w:eastAsia="Times New Roman" w:hAnsi="Arial" w:cs="Arial"/>
          <w:color w:val="000000"/>
          <w:sz w:val="24"/>
          <w:szCs w:val="24"/>
          <w:lang w:eastAsia="en-ZA"/>
        </w:rPr>
        <w:t>”</w:t>
      </w:r>
      <w:r w:rsidRPr="00F758A7">
        <w:rPr>
          <w:rFonts w:ascii="Arial" w:eastAsia="Times New Roman" w:hAnsi="Arial" w:cs="Arial"/>
          <w:color w:val="000000"/>
          <w:sz w:val="24"/>
          <w:szCs w:val="24"/>
          <w:lang w:eastAsia="en-ZA"/>
        </w:rPr>
        <w:t>) provided to him by the first respondent after the meeting  contemplated in his terms of reference had already taken place on 30 November 2020 (the meeting” ) and;</w:t>
      </w:r>
    </w:p>
    <w:p w:rsidR="00544016" w:rsidRPr="00544016" w:rsidRDefault="00BF2A97" w:rsidP="00586083">
      <w:pPr>
        <w:spacing w:after="0" w:line="480" w:lineRule="auto"/>
        <w:ind w:left="216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(ii)  erred </w:t>
      </w:r>
      <w:r w:rsidR="004A0B23" w:rsidRPr="00F758A7">
        <w:rPr>
          <w:rFonts w:ascii="Arial" w:eastAsia="Times New Roman" w:hAnsi="Arial" w:cs="Arial"/>
          <w:color w:val="000000"/>
          <w:sz w:val="24"/>
          <w:szCs w:val="24"/>
          <w:lang w:eastAsia="en-ZA"/>
        </w:rPr>
        <w:t>in failing to allow the applicant's expert an opportunity to address the second respondent with regard to the additional documentation before rendering the determination;</w:t>
      </w:r>
    </w:p>
    <w:p w:rsidR="00F758A7" w:rsidRDefault="00BF2A97" w:rsidP="00586083">
      <w:pPr>
        <w:spacing w:after="0" w:line="480" w:lineRule="auto"/>
        <w:ind w:firstLine="720"/>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(b)</w:t>
      </w:r>
      <w:r>
        <w:rPr>
          <w:rFonts w:ascii="Arial" w:eastAsia="Times New Roman" w:hAnsi="Arial" w:cs="Arial"/>
          <w:color w:val="000000"/>
          <w:sz w:val="24"/>
          <w:szCs w:val="24"/>
          <w:lang w:eastAsia="en-ZA"/>
        </w:rPr>
        <w:tab/>
      </w:r>
      <w:r w:rsidR="004A0B23" w:rsidRPr="00F758A7">
        <w:rPr>
          <w:rFonts w:ascii="Arial" w:eastAsia="Times New Roman" w:hAnsi="Arial" w:cs="Arial"/>
          <w:color w:val="000000"/>
          <w:sz w:val="24"/>
          <w:szCs w:val="24"/>
          <w:lang w:eastAsia="en-ZA"/>
        </w:rPr>
        <w:t>The determination is hereby reviewed and set aside.</w:t>
      </w:r>
    </w:p>
    <w:p w:rsidR="00544016" w:rsidRDefault="00BF2A97" w:rsidP="00586083">
      <w:pPr>
        <w:spacing w:after="0" w:line="480" w:lineRule="auto"/>
        <w:ind w:left="720"/>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w:t>
      </w:r>
      <w:r>
        <w:rPr>
          <w:rFonts w:ascii="Arial" w:eastAsia="Times New Roman" w:hAnsi="Arial" w:cs="Arial"/>
          <w:color w:val="000000"/>
          <w:sz w:val="24"/>
          <w:szCs w:val="24"/>
          <w:lang w:eastAsia="en-ZA"/>
        </w:rPr>
        <w:tab/>
      </w:r>
      <w:r w:rsidR="004A0B23" w:rsidRPr="00F758A7">
        <w:rPr>
          <w:rFonts w:ascii="Arial" w:eastAsia="Times New Roman" w:hAnsi="Arial" w:cs="Arial"/>
          <w:color w:val="000000"/>
          <w:sz w:val="24"/>
          <w:szCs w:val="24"/>
          <w:lang w:eastAsia="en-ZA"/>
        </w:rPr>
        <w:t xml:space="preserve">The second respondent is directed to issue a revised determination </w:t>
      </w:r>
    </w:p>
    <w:p w:rsidR="00F758A7" w:rsidRPr="00F758A7" w:rsidRDefault="00BF2A97" w:rsidP="00586083">
      <w:pPr>
        <w:spacing w:after="0" w:line="480" w:lineRule="auto"/>
        <w:ind w:left="1440"/>
        <w:jc w:val="both"/>
        <w:textAlignment w:val="baseline"/>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without taking into consideration the additional documentation within 10 days of the granting of this order;</w:t>
      </w:r>
    </w:p>
    <w:p w:rsidR="00544016" w:rsidRDefault="00BF2A97" w:rsidP="00586083">
      <w:pPr>
        <w:spacing w:after="0" w:line="480" w:lineRule="auto"/>
        <w:ind w:left="720"/>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w:t>
      </w:r>
      <w:r>
        <w:rPr>
          <w:rFonts w:ascii="Arial" w:eastAsia="Times New Roman" w:hAnsi="Arial" w:cs="Arial"/>
          <w:color w:val="000000"/>
          <w:sz w:val="24"/>
          <w:szCs w:val="24"/>
          <w:lang w:eastAsia="en-ZA"/>
        </w:rPr>
        <w:tab/>
      </w:r>
      <w:r w:rsidR="004A0B23" w:rsidRPr="00F758A7">
        <w:rPr>
          <w:rFonts w:ascii="Arial" w:eastAsia="Times New Roman" w:hAnsi="Arial" w:cs="Arial"/>
          <w:color w:val="000000"/>
          <w:sz w:val="24"/>
          <w:szCs w:val="24"/>
          <w:lang w:eastAsia="en-ZA"/>
        </w:rPr>
        <w:t>T</w:t>
      </w:r>
      <w:r w:rsidR="000F1BB4">
        <w:rPr>
          <w:rFonts w:ascii="Arial" w:eastAsia="Times New Roman" w:hAnsi="Arial" w:cs="Arial"/>
          <w:color w:val="000000"/>
          <w:sz w:val="24"/>
          <w:szCs w:val="24"/>
          <w:lang w:eastAsia="en-ZA"/>
        </w:rPr>
        <w:t>he first respondent is ordered t</w:t>
      </w:r>
      <w:r w:rsidR="004A0B23" w:rsidRPr="00F758A7">
        <w:rPr>
          <w:rFonts w:ascii="Arial" w:eastAsia="Times New Roman" w:hAnsi="Arial" w:cs="Arial"/>
          <w:color w:val="000000"/>
          <w:sz w:val="24"/>
          <w:szCs w:val="24"/>
          <w:lang w:eastAsia="en-ZA"/>
        </w:rPr>
        <w:t>o pay the costs of this application</w:t>
      </w:r>
    </w:p>
    <w:p w:rsidR="00F758A7" w:rsidRPr="00F758A7" w:rsidRDefault="00BF2A97" w:rsidP="00586083">
      <w:pPr>
        <w:spacing w:after="0" w:line="480" w:lineRule="auto"/>
        <w:ind w:left="720" w:firstLine="720"/>
        <w:jc w:val="both"/>
        <w:textAlignment w:val="baseline"/>
        <w:rPr>
          <w:rFonts w:ascii="Arial" w:eastAsia="Times New Roman" w:hAnsi="Arial" w:cs="Arial"/>
          <w:color w:val="000000"/>
          <w:sz w:val="24"/>
          <w:szCs w:val="24"/>
          <w:lang w:eastAsia="en-ZA"/>
        </w:rPr>
      </w:pPr>
      <w:r w:rsidRPr="00F758A7">
        <w:rPr>
          <w:rFonts w:ascii="Arial" w:eastAsia="Times New Roman" w:hAnsi="Arial" w:cs="Arial"/>
          <w:color w:val="000000"/>
          <w:sz w:val="24"/>
          <w:szCs w:val="24"/>
          <w:lang w:eastAsia="en-ZA"/>
        </w:rPr>
        <w:t xml:space="preserve"> including the costs of senior counsel.</w:t>
      </w:r>
    </w:p>
    <w:p w:rsidR="003A1468" w:rsidRDefault="003A1468" w:rsidP="00586083">
      <w:pPr>
        <w:spacing w:after="200" w:line="480" w:lineRule="auto"/>
        <w:jc w:val="both"/>
        <w:rPr>
          <w:rFonts w:ascii="Arial" w:eastAsia="MS Mincho" w:hAnsi="Arial" w:cs="Arial"/>
          <w:sz w:val="24"/>
          <w:szCs w:val="24"/>
          <w:lang w:val="en-GB" w:eastAsia="ja-JP"/>
        </w:rPr>
      </w:pPr>
    </w:p>
    <w:p w:rsidR="00586083" w:rsidRDefault="00586083" w:rsidP="00586083">
      <w:pPr>
        <w:spacing w:after="200" w:line="480" w:lineRule="auto"/>
        <w:jc w:val="both"/>
        <w:rPr>
          <w:rFonts w:ascii="Arial" w:eastAsia="MS Mincho" w:hAnsi="Arial" w:cs="Arial"/>
          <w:sz w:val="24"/>
          <w:szCs w:val="24"/>
          <w:lang w:val="en-GB" w:eastAsia="ja-JP"/>
        </w:rPr>
      </w:pPr>
    </w:p>
    <w:p w:rsidR="00586083" w:rsidRPr="003A1468" w:rsidRDefault="00586083" w:rsidP="00586083">
      <w:pPr>
        <w:spacing w:after="200" w:line="480" w:lineRule="auto"/>
        <w:jc w:val="both"/>
        <w:rPr>
          <w:rFonts w:ascii="Arial" w:eastAsia="MS Mincho" w:hAnsi="Arial" w:cs="Arial"/>
          <w:sz w:val="24"/>
          <w:szCs w:val="24"/>
          <w:lang w:val="en-GB" w:eastAsia="ja-JP"/>
        </w:rPr>
      </w:pPr>
    </w:p>
    <w:p w:rsidR="003A1468" w:rsidRPr="003A1468" w:rsidRDefault="00BF2A97" w:rsidP="00586083">
      <w:pPr>
        <w:spacing w:after="200" w:line="360" w:lineRule="auto"/>
        <w:ind w:left="5040"/>
        <w:jc w:val="both"/>
        <w:rPr>
          <w:rFonts w:ascii="Verdana" w:eastAsia="MS Mincho" w:hAnsi="Verdana" w:cs="Times New Roman"/>
          <w:sz w:val="24"/>
          <w:szCs w:val="24"/>
        </w:rPr>
      </w:pPr>
      <w:r w:rsidRPr="003A1468">
        <w:rPr>
          <w:rFonts w:ascii="Verdana" w:eastAsia="MS Mincho" w:hAnsi="Verdana" w:cs="Times New Roman"/>
          <w:sz w:val="24"/>
          <w:szCs w:val="24"/>
        </w:rPr>
        <w:t>__________________________</w:t>
      </w:r>
    </w:p>
    <w:p w:rsidR="003A1468" w:rsidRPr="003A1468" w:rsidRDefault="00BF2A97" w:rsidP="00586083">
      <w:pPr>
        <w:spacing w:after="200" w:line="360" w:lineRule="auto"/>
        <w:ind w:left="5040"/>
        <w:jc w:val="both"/>
        <w:rPr>
          <w:rFonts w:ascii="Verdana" w:eastAsia="MS Mincho" w:hAnsi="Verdana" w:cs="Times New Roman"/>
          <w:b/>
          <w:sz w:val="24"/>
          <w:szCs w:val="24"/>
        </w:rPr>
      </w:pPr>
      <w:r w:rsidRPr="003A1468">
        <w:rPr>
          <w:rFonts w:ascii="Verdana" w:eastAsia="MS Mincho" w:hAnsi="Verdana" w:cs="Times New Roman"/>
          <w:b/>
          <w:sz w:val="24"/>
          <w:szCs w:val="24"/>
        </w:rPr>
        <w:t xml:space="preserve">          SENYATSI ML                                                                                         </w:t>
      </w:r>
    </w:p>
    <w:p w:rsidR="003A1468" w:rsidRPr="003A1468" w:rsidRDefault="00BF2A97" w:rsidP="00586083">
      <w:pPr>
        <w:spacing w:after="200" w:line="240" w:lineRule="auto"/>
        <w:jc w:val="both"/>
        <w:rPr>
          <w:rFonts w:ascii="Verdana" w:eastAsia="MS Mincho" w:hAnsi="Verdana" w:cs="Times New Roman"/>
          <w:i/>
          <w:sz w:val="20"/>
          <w:szCs w:val="20"/>
        </w:rPr>
      </w:pPr>
      <w:r w:rsidRPr="003A1468">
        <w:rPr>
          <w:rFonts w:ascii="Verdana" w:eastAsia="MS Mincho" w:hAnsi="Verdana" w:cs="Times New Roman"/>
          <w:b/>
          <w:sz w:val="20"/>
          <w:szCs w:val="20"/>
        </w:rPr>
        <w:t xml:space="preserve">                                                          </w:t>
      </w:r>
      <w:r w:rsidRPr="003A1468">
        <w:rPr>
          <w:rFonts w:ascii="Verdana" w:eastAsia="MS Mincho" w:hAnsi="Verdana" w:cs="Times New Roman"/>
          <w:b/>
          <w:i/>
          <w:sz w:val="20"/>
          <w:szCs w:val="20"/>
        </w:rPr>
        <w:t xml:space="preserve">         </w:t>
      </w:r>
      <w:r w:rsidR="007C037F">
        <w:rPr>
          <w:rFonts w:ascii="Verdana" w:eastAsia="MS Mincho" w:hAnsi="Verdana" w:cs="Times New Roman"/>
          <w:b/>
          <w:i/>
          <w:sz w:val="20"/>
          <w:szCs w:val="20"/>
        </w:rPr>
        <w:t xml:space="preserve">  </w:t>
      </w:r>
      <w:r w:rsidRPr="003A1468">
        <w:rPr>
          <w:rFonts w:ascii="Verdana" w:eastAsia="MS Mincho" w:hAnsi="Verdana" w:cs="Times New Roman"/>
          <w:b/>
          <w:i/>
          <w:sz w:val="20"/>
          <w:szCs w:val="20"/>
        </w:rPr>
        <w:t xml:space="preserve"> </w:t>
      </w:r>
      <w:r w:rsidRPr="003A1468">
        <w:rPr>
          <w:rFonts w:ascii="Verdana" w:eastAsia="MS Mincho" w:hAnsi="Verdana" w:cs="Times New Roman"/>
          <w:i/>
          <w:sz w:val="20"/>
          <w:szCs w:val="20"/>
        </w:rPr>
        <w:t>Judge of the High Court of South Africa</w:t>
      </w:r>
    </w:p>
    <w:p w:rsidR="003A1468" w:rsidRPr="003A1468" w:rsidRDefault="00BF2A97" w:rsidP="00586083">
      <w:pPr>
        <w:spacing w:after="200" w:line="240" w:lineRule="auto"/>
        <w:jc w:val="both"/>
        <w:rPr>
          <w:rFonts w:ascii="Verdana" w:eastAsia="MS Mincho" w:hAnsi="Verdana" w:cs="Times New Roman"/>
          <w:i/>
          <w:sz w:val="20"/>
          <w:szCs w:val="20"/>
        </w:rPr>
      </w:pPr>
      <w:r w:rsidRPr="003A1468">
        <w:rPr>
          <w:rFonts w:ascii="Verdana" w:eastAsia="MS Mincho" w:hAnsi="Verdana" w:cs="Times New Roman"/>
          <w:i/>
          <w:sz w:val="20"/>
          <w:szCs w:val="20"/>
        </w:rPr>
        <w:t xml:space="preserve">                                                                     Gauteng Local Division, Johannesburg</w:t>
      </w:r>
    </w:p>
    <w:p w:rsidR="003A1468" w:rsidRPr="003A1468" w:rsidRDefault="003A1468" w:rsidP="00586083">
      <w:pPr>
        <w:spacing w:after="200" w:line="240" w:lineRule="auto"/>
        <w:jc w:val="both"/>
        <w:rPr>
          <w:rFonts w:ascii="Verdana" w:eastAsia="MS Mincho" w:hAnsi="Verdana" w:cs="Times New Roman"/>
          <w:b/>
          <w:sz w:val="20"/>
          <w:szCs w:val="20"/>
        </w:rPr>
      </w:pPr>
    </w:p>
    <w:p w:rsidR="003A1468" w:rsidRPr="003A1468" w:rsidRDefault="003A1468" w:rsidP="00586083">
      <w:pPr>
        <w:spacing w:after="200" w:line="240" w:lineRule="auto"/>
        <w:jc w:val="both"/>
        <w:rPr>
          <w:rFonts w:ascii="Verdana" w:eastAsia="MS Mincho" w:hAnsi="Verdana" w:cs="Times New Roman"/>
          <w:b/>
          <w:sz w:val="20"/>
          <w:szCs w:val="20"/>
        </w:rPr>
      </w:pPr>
    </w:p>
    <w:p w:rsidR="004A0B23" w:rsidRDefault="00BF2A97" w:rsidP="00586083">
      <w:pPr>
        <w:spacing w:line="360" w:lineRule="auto"/>
        <w:jc w:val="both"/>
        <w:rPr>
          <w:rFonts w:ascii="Verdana" w:hAnsi="Verdana" w:cs="Times New Roman"/>
          <w:sz w:val="24"/>
          <w:szCs w:val="24"/>
        </w:rPr>
      </w:pPr>
      <w:r w:rsidRPr="003A1468">
        <w:rPr>
          <w:rFonts w:ascii="Verdana" w:hAnsi="Verdana" w:cs="Times New Roman"/>
          <w:sz w:val="24"/>
          <w:szCs w:val="24"/>
        </w:rPr>
        <w:t xml:space="preserve">         </w:t>
      </w:r>
    </w:p>
    <w:p w:rsidR="004A0B23" w:rsidRDefault="004A0B23" w:rsidP="00586083">
      <w:pPr>
        <w:spacing w:line="360" w:lineRule="auto"/>
        <w:jc w:val="both"/>
        <w:rPr>
          <w:rFonts w:ascii="Verdana" w:hAnsi="Verdana" w:cs="Times New Roman"/>
          <w:sz w:val="24"/>
          <w:szCs w:val="24"/>
        </w:rPr>
      </w:pPr>
    </w:p>
    <w:p w:rsidR="004A0B23" w:rsidRDefault="004A0B23" w:rsidP="00586083">
      <w:pPr>
        <w:spacing w:line="360" w:lineRule="auto"/>
        <w:jc w:val="both"/>
        <w:rPr>
          <w:rFonts w:ascii="Verdana" w:hAnsi="Verdana" w:cs="Times New Roman"/>
          <w:sz w:val="24"/>
          <w:szCs w:val="24"/>
        </w:rPr>
      </w:pPr>
    </w:p>
    <w:p w:rsidR="004A0B23" w:rsidRDefault="004A0B23" w:rsidP="00586083">
      <w:pPr>
        <w:spacing w:line="360" w:lineRule="auto"/>
        <w:jc w:val="both"/>
        <w:rPr>
          <w:rFonts w:ascii="Verdana" w:hAnsi="Verdana" w:cs="Times New Roman"/>
          <w:sz w:val="24"/>
          <w:szCs w:val="24"/>
        </w:rPr>
      </w:pPr>
    </w:p>
    <w:p w:rsidR="004A0B23" w:rsidRDefault="004A0B23" w:rsidP="00586083">
      <w:pPr>
        <w:spacing w:line="360" w:lineRule="auto"/>
        <w:jc w:val="both"/>
        <w:rPr>
          <w:rFonts w:ascii="Verdana" w:hAnsi="Verdana" w:cs="Times New Roman"/>
          <w:sz w:val="24"/>
          <w:szCs w:val="24"/>
        </w:rPr>
      </w:pPr>
    </w:p>
    <w:p w:rsidR="004A0B23" w:rsidRDefault="004A0B23" w:rsidP="00586083">
      <w:pPr>
        <w:spacing w:line="360" w:lineRule="auto"/>
        <w:jc w:val="both"/>
        <w:rPr>
          <w:rFonts w:ascii="Verdana" w:hAnsi="Verdana" w:cs="Times New Roman"/>
          <w:sz w:val="24"/>
          <w:szCs w:val="24"/>
        </w:rPr>
      </w:pPr>
    </w:p>
    <w:p w:rsidR="003A1468" w:rsidRPr="00544016" w:rsidRDefault="00BF2A97" w:rsidP="00586083">
      <w:pPr>
        <w:spacing w:line="360" w:lineRule="auto"/>
        <w:ind w:firstLine="720"/>
        <w:jc w:val="both"/>
        <w:rPr>
          <w:rFonts w:ascii="Verdana" w:hAnsi="Verdana" w:cs="Times New Roman"/>
          <w:sz w:val="24"/>
          <w:szCs w:val="24"/>
        </w:rPr>
      </w:pPr>
      <w:r w:rsidRPr="003A1468">
        <w:rPr>
          <w:rFonts w:ascii="Verdana" w:hAnsi="Verdana" w:cs="Times New Roman"/>
          <w:b/>
          <w:sz w:val="24"/>
          <w:szCs w:val="24"/>
          <w:u w:val="single"/>
        </w:rPr>
        <w:lastRenderedPageBreak/>
        <w:t>REPRESENTATION</w:t>
      </w:r>
    </w:p>
    <w:p w:rsidR="003A1468" w:rsidRPr="003A1468" w:rsidRDefault="00BF2A97" w:rsidP="00586083">
      <w:pPr>
        <w:spacing w:line="360" w:lineRule="auto"/>
        <w:ind w:left="720"/>
        <w:jc w:val="both"/>
        <w:rPr>
          <w:rFonts w:ascii="Arial" w:hAnsi="Arial" w:cs="Arial"/>
          <w:sz w:val="24"/>
          <w:szCs w:val="24"/>
        </w:rPr>
      </w:pPr>
      <w:r w:rsidRPr="003A1468">
        <w:rPr>
          <w:rFonts w:ascii="Arial" w:hAnsi="Arial" w:cs="Arial"/>
          <w:sz w:val="24"/>
          <w:szCs w:val="24"/>
        </w:rPr>
        <w:t xml:space="preserve">Date of hearing: </w:t>
      </w:r>
      <w:r w:rsidR="003643D8">
        <w:rPr>
          <w:rFonts w:ascii="Arial" w:hAnsi="Arial" w:cs="Arial"/>
          <w:sz w:val="24"/>
          <w:szCs w:val="24"/>
        </w:rPr>
        <w:t>18 May 2021</w:t>
      </w:r>
    </w:p>
    <w:p w:rsidR="0078663A" w:rsidRDefault="00BF2A97" w:rsidP="00586083">
      <w:pPr>
        <w:spacing w:line="360" w:lineRule="auto"/>
        <w:ind w:left="720"/>
        <w:jc w:val="both"/>
        <w:rPr>
          <w:rFonts w:ascii="Arial" w:hAnsi="Arial" w:cs="Arial"/>
          <w:sz w:val="24"/>
          <w:szCs w:val="24"/>
        </w:rPr>
      </w:pPr>
      <w:r>
        <w:rPr>
          <w:rFonts w:ascii="Arial" w:hAnsi="Arial" w:cs="Arial"/>
          <w:sz w:val="24"/>
          <w:szCs w:val="24"/>
        </w:rPr>
        <w:t>Date of Judgment: 28 July 2021</w:t>
      </w:r>
    </w:p>
    <w:p w:rsidR="003A1468" w:rsidRPr="003A1468" w:rsidRDefault="00BF2A97" w:rsidP="00586083">
      <w:pPr>
        <w:spacing w:line="360" w:lineRule="auto"/>
        <w:ind w:left="720"/>
        <w:jc w:val="both"/>
        <w:rPr>
          <w:rFonts w:ascii="Arial" w:hAnsi="Arial" w:cs="Arial"/>
          <w:sz w:val="24"/>
          <w:szCs w:val="24"/>
        </w:rPr>
      </w:pPr>
      <w:r>
        <w:rPr>
          <w:rFonts w:ascii="Arial" w:hAnsi="Arial" w:cs="Arial"/>
          <w:sz w:val="24"/>
          <w:szCs w:val="24"/>
        </w:rPr>
        <w:t>Applicant</w:t>
      </w:r>
      <w:r w:rsidRPr="003A1468">
        <w:rPr>
          <w:rFonts w:ascii="Arial" w:hAnsi="Arial" w:cs="Arial"/>
          <w:sz w:val="24"/>
          <w:szCs w:val="24"/>
        </w:rPr>
        <w:t xml:space="preserve">s Counsel: </w:t>
      </w:r>
      <w:r>
        <w:rPr>
          <w:rFonts w:ascii="Arial" w:hAnsi="Arial" w:cs="Arial"/>
          <w:sz w:val="24"/>
          <w:szCs w:val="24"/>
        </w:rPr>
        <w:t>Adv A Franklin SC</w:t>
      </w:r>
    </w:p>
    <w:p w:rsidR="003A1468" w:rsidRPr="003A1468" w:rsidRDefault="00BF2A97" w:rsidP="00586083">
      <w:pPr>
        <w:tabs>
          <w:tab w:val="left" w:pos="2760"/>
        </w:tabs>
        <w:spacing w:line="360" w:lineRule="auto"/>
        <w:ind w:left="720"/>
        <w:jc w:val="both"/>
        <w:rPr>
          <w:rFonts w:ascii="Arial" w:hAnsi="Arial" w:cs="Arial"/>
          <w:sz w:val="24"/>
          <w:szCs w:val="24"/>
        </w:rPr>
      </w:pPr>
      <w:r w:rsidRPr="003A1468">
        <w:rPr>
          <w:rFonts w:ascii="Arial" w:hAnsi="Arial" w:cs="Arial"/>
          <w:sz w:val="24"/>
          <w:szCs w:val="24"/>
        </w:rPr>
        <w:t xml:space="preserve">Instructed by:  </w:t>
      </w:r>
      <w:r w:rsidR="0078663A">
        <w:rPr>
          <w:rFonts w:ascii="Arial" w:hAnsi="Arial" w:cs="Arial"/>
          <w:sz w:val="24"/>
          <w:szCs w:val="24"/>
        </w:rPr>
        <w:t>Bowman Gilfillan Inc</w:t>
      </w:r>
      <w:r w:rsidR="003643D8">
        <w:rPr>
          <w:rFonts w:ascii="Arial" w:hAnsi="Arial" w:cs="Arial"/>
          <w:sz w:val="24"/>
          <w:szCs w:val="24"/>
        </w:rPr>
        <w:t>.</w:t>
      </w:r>
    </w:p>
    <w:p w:rsidR="003A1468" w:rsidRDefault="00BF2A97" w:rsidP="00586083">
      <w:pPr>
        <w:spacing w:line="360" w:lineRule="auto"/>
        <w:ind w:firstLine="720"/>
        <w:jc w:val="both"/>
        <w:rPr>
          <w:rFonts w:ascii="Arial" w:hAnsi="Arial" w:cs="Arial"/>
          <w:sz w:val="24"/>
          <w:szCs w:val="24"/>
        </w:rPr>
      </w:pPr>
      <w:r>
        <w:rPr>
          <w:rFonts w:ascii="Arial" w:hAnsi="Arial" w:cs="Arial"/>
          <w:sz w:val="24"/>
          <w:szCs w:val="24"/>
        </w:rPr>
        <w:t>1</w:t>
      </w:r>
      <w:r w:rsidRPr="0078663A">
        <w:rPr>
          <w:rFonts w:ascii="Arial" w:hAnsi="Arial" w:cs="Arial"/>
          <w:sz w:val="24"/>
          <w:szCs w:val="24"/>
          <w:vertAlign w:val="superscript"/>
        </w:rPr>
        <w:t>st</w:t>
      </w:r>
      <w:r>
        <w:rPr>
          <w:rFonts w:ascii="Arial" w:hAnsi="Arial" w:cs="Arial"/>
          <w:sz w:val="24"/>
          <w:szCs w:val="24"/>
        </w:rPr>
        <w:t xml:space="preserve"> Respondents </w:t>
      </w:r>
      <w:r w:rsidRPr="003A1468">
        <w:rPr>
          <w:rFonts w:ascii="Arial" w:hAnsi="Arial" w:cs="Arial"/>
          <w:sz w:val="24"/>
          <w:szCs w:val="24"/>
        </w:rPr>
        <w:t xml:space="preserve">Counsel: </w:t>
      </w:r>
      <w:r w:rsidR="003643D8">
        <w:rPr>
          <w:rFonts w:ascii="Arial" w:hAnsi="Arial" w:cs="Arial"/>
          <w:sz w:val="24"/>
          <w:szCs w:val="24"/>
        </w:rPr>
        <w:t xml:space="preserve"> </w:t>
      </w:r>
      <w:r>
        <w:rPr>
          <w:rFonts w:ascii="Arial" w:hAnsi="Arial" w:cs="Arial"/>
          <w:sz w:val="24"/>
          <w:szCs w:val="24"/>
        </w:rPr>
        <w:t>Adv J.G. Wasserman SC</w:t>
      </w:r>
    </w:p>
    <w:p w:rsidR="0078663A" w:rsidRPr="003A1468" w:rsidRDefault="00BF2A97" w:rsidP="00586083">
      <w:pPr>
        <w:spacing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C. Robert</w:t>
      </w:r>
      <w:r w:rsidR="003643D8">
        <w:rPr>
          <w:rFonts w:ascii="Arial" w:hAnsi="Arial" w:cs="Arial"/>
          <w:sz w:val="24"/>
          <w:szCs w:val="24"/>
        </w:rPr>
        <w:t>son</w:t>
      </w:r>
    </w:p>
    <w:p w:rsidR="003A1468" w:rsidRPr="003A1468" w:rsidRDefault="00BF2A97" w:rsidP="00586083">
      <w:pPr>
        <w:spacing w:line="360" w:lineRule="auto"/>
        <w:ind w:left="720"/>
        <w:jc w:val="both"/>
        <w:rPr>
          <w:rFonts w:ascii="Arial" w:hAnsi="Arial" w:cs="Arial"/>
          <w:sz w:val="24"/>
          <w:szCs w:val="24"/>
        </w:rPr>
      </w:pPr>
      <w:r w:rsidRPr="003A1468">
        <w:rPr>
          <w:rFonts w:ascii="Arial" w:hAnsi="Arial" w:cs="Arial"/>
          <w:sz w:val="24"/>
          <w:szCs w:val="24"/>
        </w:rPr>
        <w:t xml:space="preserve">Instructed by: </w:t>
      </w:r>
      <w:r w:rsidR="0078663A">
        <w:rPr>
          <w:rFonts w:ascii="Arial" w:hAnsi="Arial" w:cs="Arial"/>
          <w:sz w:val="24"/>
          <w:szCs w:val="24"/>
        </w:rPr>
        <w:t>Cliffe Dekker Hofmeyer</w:t>
      </w:r>
    </w:p>
    <w:p w:rsidR="003A1468" w:rsidRPr="003A1468" w:rsidRDefault="003A1468" w:rsidP="00586083">
      <w:pPr>
        <w:spacing w:after="200" w:line="240" w:lineRule="auto"/>
        <w:jc w:val="both"/>
        <w:rPr>
          <w:rFonts w:ascii="Verdana" w:eastAsia="MS Mincho" w:hAnsi="Verdana" w:cs="Times New Roman"/>
          <w:sz w:val="24"/>
          <w:szCs w:val="24"/>
          <w:lang w:val="en-GB" w:eastAsia="ja-JP"/>
        </w:rPr>
      </w:pPr>
    </w:p>
    <w:p w:rsidR="006A2961" w:rsidRDefault="006A2961" w:rsidP="00586083">
      <w:pPr>
        <w:jc w:val="both"/>
      </w:pPr>
    </w:p>
    <w:sectPr w:rsidR="006A29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02" w:rsidRDefault="00F52602">
      <w:pPr>
        <w:spacing w:after="0" w:line="240" w:lineRule="auto"/>
      </w:pPr>
      <w:r>
        <w:separator/>
      </w:r>
    </w:p>
  </w:endnote>
  <w:endnote w:type="continuationSeparator" w:id="0">
    <w:p w:rsidR="00F52602" w:rsidRDefault="00F5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02" w:rsidRDefault="00F52602" w:rsidP="00F758A7">
      <w:pPr>
        <w:spacing w:after="0" w:line="240" w:lineRule="auto"/>
      </w:pPr>
      <w:r>
        <w:separator/>
      </w:r>
    </w:p>
  </w:footnote>
  <w:footnote w:type="continuationSeparator" w:id="0">
    <w:p w:rsidR="00F52602" w:rsidRDefault="00F52602" w:rsidP="00F758A7">
      <w:pPr>
        <w:spacing w:after="0" w:line="240" w:lineRule="auto"/>
      </w:pPr>
      <w:r>
        <w:continuationSeparator/>
      </w:r>
    </w:p>
  </w:footnote>
  <w:footnote w:id="1">
    <w:p w:rsidR="004A0B23" w:rsidRPr="00F758A7" w:rsidRDefault="00BF2A97">
      <w:pPr>
        <w:pStyle w:val="FootnoteText"/>
        <w:rPr>
          <w:lang w:val="en-GB"/>
        </w:rPr>
      </w:pPr>
      <w:r>
        <w:rPr>
          <w:rStyle w:val="FootnoteReference"/>
        </w:rPr>
        <w:footnoteRef/>
      </w:r>
      <w:r>
        <w:t xml:space="preserve"> </w:t>
      </w:r>
      <w:r>
        <w:rPr>
          <w:lang w:val="en-GB"/>
        </w:rPr>
        <w:t>(1159/2019) [2020]ZASCA 129 (13 October 2020)</w:t>
      </w:r>
    </w:p>
  </w:footnote>
  <w:footnote w:id="2">
    <w:p w:rsidR="004A0B23" w:rsidRPr="00F758A7" w:rsidRDefault="00BF2A97">
      <w:pPr>
        <w:pStyle w:val="FootnoteText"/>
        <w:rPr>
          <w:lang w:val="en-GB"/>
        </w:rPr>
      </w:pPr>
      <w:r>
        <w:rPr>
          <w:rStyle w:val="FootnoteReference"/>
        </w:rPr>
        <w:footnoteRef/>
      </w:r>
      <w:r>
        <w:t xml:space="preserve"> </w:t>
      </w:r>
      <w:r>
        <w:rPr>
          <w:lang w:val="en-GB"/>
        </w:rPr>
        <w:t>Above</w:t>
      </w:r>
    </w:p>
  </w:footnote>
  <w:footnote w:id="3">
    <w:p w:rsidR="004A0B23" w:rsidRPr="00F758A7" w:rsidRDefault="00BF2A97">
      <w:pPr>
        <w:pStyle w:val="FootnoteText"/>
        <w:rPr>
          <w:lang w:val="en-GB"/>
        </w:rPr>
      </w:pPr>
      <w:r>
        <w:rPr>
          <w:rStyle w:val="FootnoteReference"/>
        </w:rPr>
        <w:footnoteRef/>
      </w:r>
      <w:r>
        <w:t xml:space="preserve"> </w:t>
      </w:r>
      <w:r>
        <w:rPr>
          <w:lang w:val="en-GB"/>
        </w:rPr>
        <w:t>[2007] ZASCA 163; 2008 (2) SA 608 (SCA) at para 30</w:t>
      </w:r>
    </w:p>
  </w:footnote>
  <w:footnote w:id="4">
    <w:p w:rsidR="004A0B23" w:rsidRPr="00F758A7" w:rsidRDefault="00BF2A97">
      <w:pPr>
        <w:pStyle w:val="FootnoteText"/>
        <w:rPr>
          <w:lang w:val="en-GB"/>
        </w:rPr>
      </w:pPr>
      <w:r>
        <w:rPr>
          <w:rStyle w:val="FootnoteReference"/>
        </w:rPr>
        <w:footnoteRef/>
      </w:r>
      <w:r>
        <w:t xml:space="preserve"> </w:t>
      </w:r>
      <w:r>
        <w:rPr>
          <w:lang w:val="en-GB"/>
        </w:rPr>
        <w:t>2015 (1) SA 262 (SCA) para 10</w:t>
      </w:r>
    </w:p>
  </w:footnote>
  <w:footnote w:id="5">
    <w:p w:rsidR="004A0B23" w:rsidRPr="00F758A7" w:rsidRDefault="00BF2A97">
      <w:pPr>
        <w:pStyle w:val="FootnoteText"/>
        <w:rPr>
          <w:lang w:val="en-GB"/>
        </w:rPr>
      </w:pPr>
      <w:r>
        <w:rPr>
          <w:rStyle w:val="FootnoteReference"/>
        </w:rPr>
        <w:footnoteRef/>
      </w:r>
      <w:r>
        <w:t xml:space="preserve"> </w:t>
      </w:r>
      <w:r>
        <w:rPr>
          <w:lang w:val="en-GB"/>
        </w:rPr>
        <w:t>See Bekker v RSA Factors 1983 (4) SA 565 (T)</w:t>
      </w:r>
    </w:p>
  </w:footnote>
  <w:footnote w:id="6">
    <w:p w:rsidR="004A0B23" w:rsidRPr="00F758A7" w:rsidRDefault="00BF2A97">
      <w:pPr>
        <w:pStyle w:val="FootnoteText"/>
        <w:rPr>
          <w:lang w:val="en-GB"/>
        </w:rPr>
      </w:pPr>
      <w:r>
        <w:rPr>
          <w:rStyle w:val="FootnoteReference"/>
        </w:rPr>
        <w:footnoteRef/>
      </w:r>
      <w:r>
        <w:t xml:space="preserve"> 2008 (1) SA 203 (SCA)</w:t>
      </w:r>
    </w:p>
  </w:footnote>
  <w:footnote w:id="7">
    <w:p w:rsidR="004A0B23" w:rsidRPr="007C037F" w:rsidRDefault="00BF2A97">
      <w:pPr>
        <w:pStyle w:val="FootnoteText"/>
        <w:rPr>
          <w:lang w:val="en-GB"/>
        </w:rPr>
      </w:pPr>
      <w:r>
        <w:rPr>
          <w:rStyle w:val="FootnoteReference"/>
        </w:rPr>
        <w:footnoteRef/>
      </w:r>
      <w:r>
        <w:t xml:space="preserve"> </w:t>
      </w:r>
      <w:r>
        <w:rPr>
          <w:lang w:val="en-GB"/>
        </w:rPr>
        <w:t>See David Butler and Eyvind Finsen Arbitration South Africa Law and Practice (1993) p260-264</w:t>
      </w:r>
    </w:p>
  </w:footnote>
  <w:footnote w:id="8">
    <w:p w:rsidR="004A0B23" w:rsidRPr="007C037F" w:rsidRDefault="00BF2A97">
      <w:pPr>
        <w:pStyle w:val="FootnoteText"/>
        <w:rPr>
          <w:lang w:val="en-GB"/>
        </w:rPr>
      </w:pPr>
      <w:r>
        <w:rPr>
          <w:rStyle w:val="FootnoteReference"/>
        </w:rPr>
        <w:footnoteRef/>
      </w:r>
      <w:r>
        <w:t xml:space="preserve"> </w:t>
      </w:r>
      <w:r>
        <w:rPr>
          <w:lang w:val="en-GB"/>
        </w:rPr>
        <w:t>See Telcordia Technologies Inc v Telkom SA Ltd 2007 (3) SA 266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279142"/>
      <w:docPartObj>
        <w:docPartGallery w:val="Page Numbers (Top of Page)"/>
        <w:docPartUnique/>
      </w:docPartObj>
    </w:sdtPr>
    <w:sdtEndPr>
      <w:rPr>
        <w:noProof/>
      </w:rPr>
    </w:sdtEndPr>
    <w:sdtContent>
      <w:p w:rsidR="004A0B23" w:rsidRDefault="00BF2A97">
        <w:pPr>
          <w:pStyle w:val="Header"/>
          <w:jc w:val="right"/>
        </w:pPr>
        <w:r>
          <w:fldChar w:fldCharType="begin"/>
        </w:r>
        <w:r>
          <w:instrText xml:space="preserve"> PAGE   \* MERGEFORMAT </w:instrText>
        </w:r>
        <w:r>
          <w:fldChar w:fldCharType="separate"/>
        </w:r>
        <w:r w:rsidR="00B412D1">
          <w:rPr>
            <w:noProof/>
          </w:rPr>
          <w:t>1</w:t>
        </w:r>
        <w:r>
          <w:rPr>
            <w:noProof/>
          </w:rPr>
          <w:fldChar w:fldCharType="end"/>
        </w:r>
      </w:p>
    </w:sdtContent>
  </w:sdt>
  <w:p w:rsidR="004A0B23" w:rsidRDefault="004A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66D0D660">
      <w:start w:val="1"/>
      <w:numFmt w:val="decimal"/>
      <w:lvlText w:val="(%1)"/>
      <w:lvlJc w:val="left"/>
      <w:pPr>
        <w:tabs>
          <w:tab w:val="num" w:pos="900"/>
        </w:tabs>
        <w:ind w:left="900" w:hanging="720"/>
      </w:pPr>
      <w:rPr>
        <w:rFonts w:hint="default"/>
      </w:rPr>
    </w:lvl>
    <w:lvl w:ilvl="1" w:tplc="AF5CC94E" w:tentative="1">
      <w:start w:val="1"/>
      <w:numFmt w:val="lowerLetter"/>
      <w:lvlText w:val="%2."/>
      <w:lvlJc w:val="left"/>
      <w:pPr>
        <w:tabs>
          <w:tab w:val="num" w:pos="1260"/>
        </w:tabs>
        <w:ind w:left="1260" w:hanging="360"/>
      </w:pPr>
    </w:lvl>
    <w:lvl w:ilvl="2" w:tplc="63EA759C" w:tentative="1">
      <w:start w:val="1"/>
      <w:numFmt w:val="lowerRoman"/>
      <w:lvlText w:val="%3."/>
      <w:lvlJc w:val="right"/>
      <w:pPr>
        <w:tabs>
          <w:tab w:val="num" w:pos="1980"/>
        </w:tabs>
        <w:ind w:left="1980" w:hanging="180"/>
      </w:pPr>
    </w:lvl>
    <w:lvl w:ilvl="3" w:tplc="5E02E720" w:tentative="1">
      <w:start w:val="1"/>
      <w:numFmt w:val="decimal"/>
      <w:lvlText w:val="%4."/>
      <w:lvlJc w:val="left"/>
      <w:pPr>
        <w:tabs>
          <w:tab w:val="num" w:pos="2700"/>
        </w:tabs>
        <w:ind w:left="2700" w:hanging="360"/>
      </w:pPr>
    </w:lvl>
    <w:lvl w:ilvl="4" w:tplc="573E7250" w:tentative="1">
      <w:start w:val="1"/>
      <w:numFmt w:val="lowerLetter"/>
      <w:lvlText w:val="%5."/>
      <w:lvlJc w:val="left"/>
      <w:pPr>
        <w:tabs>
          <w:tab w:val="num" w:pos="3420"/>
        </w:tabs>
        <w:ind w:left="3420" w:hanging="360"/>
      </w:pPr>
    </w:lvl>
    <w:lvl w:ilvl="5" w:tplc="EF1A6B40" w:tentative="1">
      <w:start w:val="1"/>
      <w:numFmt w:val="lowerRoman"/>
      <w:lvlText w:val="%6."/>
      <w:lvlJc w:val="right"/>
      <w:pPr>
        <w:tabs>
          <w:tab w:val="num" w:pos="4140"/>
        </w:tabs>
        <w:ind w:left="4140" w:hanging="180"/>
      </w:pPr>
    </w:lvl>
    <w:lvl w:ilvl="6" w:tplc="E190ED5A" w:tentative="1">
      <w:start w:val="1"/>
      <w:numFmt w:val="decimal"/>
      <w:lvlText w:val="%7."/>
      <w:lvlJc w:val="left"/>
      <w:pPr>
        <w:tabs>
          <w:tab w:val="num" w:pos="4860"/>
        </w:tabs>
        <w:ind w:left="4860" w:hanging="360"/>
      </w:pPr>
    </w:lvl>
    <w:lvl w:ilvl="7" w:tplc="30B88056" w:tentative="1">
      <w:start w:val="1"/>
      <w:numFmt w:val="lowerLetter"/>
      <w:lvlText w:val="%8."/>
      <w:lvlJc w:val="left"/>
      <w:pPr>
        <w:tabs>
          <w:tab w:val="num" w:pos="5580"/>
        </w:tabs>
        <w:ind w:left="5580" w:hanging="360"/>
      </w:pPr>
    </w:lvl>
    <w:lvl w:ilvl="8" w:tplc="EDB27436" w:tentative="1">
      <w:start w:val="1"/>
      <w:numFmt w:val="lowerRoman"/>
      <w:lvlText w:val="%9."/>
      <w:lvlJc w:val="right"/>
      <w:pPr>
        <w:tabs>
          <w:tab w:val="num" w:pos="6300"/>
        </w:tabs>
        <w:ind w:left="6300" w:hanging="180"/>
      </w:pPr>
    </w:lvl>
  </w:abstractNum>
  <w:abstractNum w:abstractNumId="1">
    <w:nsid w:val="22264F17"/>
    <w:multiLevelType w:val="hybridMultilevel"/>
    <w:tmpl w:val="4BA427D6"/>
    <w:lvl w:ilvl="0" w:tplc="1EDA1796">
      <w:start w:val="1"/>
      <w:numFmt w:val="lowerLetter"/>
      <w:lvlText w:val="(%1)"/>
      <w:lvlJc w:val="left"/>
      <w:pPr>
        <w:ind w:left="1080" w:hanging="360"/>
      </w:pPr>
      <w:rPr>
        <w:rFonts w:hint="default"/>
      </w:rPr>
    </w:lvl>
    <w:lvl w:ilvl="1" w:tplc="5414E3D0" w:tentative="1">
      <w:start w:val="1"/>
      <w:numFmt w:val="lowerLetter"/>
      <w:lvlText w:val="%2."/>
      <w:lvlJc w:val="left"/>
      <w:pPr>
        <w:ind w:left="1800" w:hanging="360"/>
      </w:pPr>
    </w:lvl>
    <w:lvl w:ilvl="2" w:tplc="5534237C" w:tentative="1">
      <w:start w:val="1"/>
      <w:numFmt w:val="lowerRoman"/>
      <w:lvlText w:val="%3."/>
      <w:lvlJc w:val="right"/>
      <w:pPr>
        <w:ind w:left="2520" w:hanging="180"/>
      </w:pPr>
    </w:lvl>
    <w:lvl w:ilvl="3" w:tplc="AC3894D8" w:tentative="1">
      <w:start w:val="1"/>
      <w:numFmt w:val="decimal"/>
      <w:lvlText w:val="%4."/>
      <w:lvlJc w:val="left"/>
      <w:pPr>
        <w:ind w:left="3240" w:hanging="360"/>
      </w:pPr>
    </w:lvl>
    <w:lvl w:ilvl="4" w:tplc="9E5A5EFA" w:tentative="1">
      <w:start w:val="1"/>
      <w:numFmt w:val="lowerLetter"/>
      <w:lvlText w:val="%5."/>
      <w:lvlJc w:val="left"/>
      <w:pPr>
        <w:ind w:left="3960" w:hanging="360"/>
      </w:pPr>
    </w:lvl>
    <w:lvl w:ilvl="5" w:tplc="11C02F42" w:tentative="1">
      <w:start w:val="1"/>
      <w:numFmt w:val="lowerRoman"/>
      <w:lvlText w:val="%6."/>
      <w:lvlJc w:val="right"/>
      <w:pPr>
        <w:ind w:left="4680" w:hanging="180"/>
      </w:pPr>
    </w:lvl>
    <w:lvl w:ilvl="6" w:tplc="847CEBAC" w:tentative="1">
      <w:start w:val="1"/>
      <w:numFmt w:val="decimal"/>
      <w:lvlText w:val="%7."/>
      <w:lvlJc w:val="left"/>
      <w:pPr>
        <w:ind w:left="5400" w:hanging="360"/>
      </w:pPr>
    </w:lvl>
    <w:lvl w:ilvl="7" w:tplc="AC2EFE90" w:tentative="1">
      <w:start w:val="1"/>
      <w:numFmt w:val="lowerLetter"/>
      <w:lvlText w:val="%8."/>
      <w:lvlJc w:val="left"/>
      <w:pPr>
        <w:ind w:left="6120" w:hanging="360"/>
      </w:pPr>
    </w:lvl>
    <w:lvl w:ilvl="8" w:tplc="864EF3CA" w:tentative="1">
      <w:start w:val="1"/>
      <w:numFmt w:val="lowerRoman"/>
      <w:lvlText w:val="%9."/>
      <w:lvlJc w:val="right"/>
      <w:pPr>
        <w:ind w:left="6840" w:hanging="180"/>
      </w:pPr>
    </w:lvl>
  </w:abstractNum>
  <w:abstractNum w:abstractNumId="2">
    <w:nsid w:val="35874C60"/>
    <w:multiLevelType w:val="hybridMultilevel"/>
    <w:tmpl w:val="753260BE"/>
    <w:lvl w:ilvl="0" w:tplc="65666068">
      <w:start w:val="2"/>
      <w:numFmt w:val="lowerLetter"/>
      <w:lvlText w:val="%1."/>
      <w:lvlJc w:val="left"/>
      <w:pPr>
        <w:tabs>
          <w:tab w:val="num" w:pos="720"/>
        </w:tabs>
        <w:ind w:left="720" w:hanging="360"/>
      </w:pPr>
    </w:lvl>
    <w:lvl w:ilvl="1" w:tplc="1402022A">
      <w:start w:val="1"/>
      <w:numFmt w:val="decimal"/>
      <w:lvlText w:val="%2."/>
      <w:lvlJc w:val="left"/>
      <w:pPr>
        <w:tabs>
          <w:tab w:val="num" w:pos="1440"/>
        </w:tabs>
        <w:ind w:left="1440" w:hanging="360"/>
      </w:pPr>
    </w:lvl>
    <w:lvl w:ilvl="2" w:tplc="42120B1A" w:tentative="1">
      <w:start w:val="1"/>
      <w:numFmt w:val="decimal"/>
      <w:lvlText w:val="%3."/>
      <w:lvlJc w:val="left"/>
      <w:pPr>
        <w:tabs>
          <w:tab w:val="num" w:pos="2160"/>
        </w:tabs>
        <w:ind w:left="2160" w:hanging="360"/>
      </w:pPr>
    </w:lvl>
    <w:lvl w:ilvl="3" w:tplc="50100DA8" w:tentative="1">
      <w:start w:val="1"/>
      <w:numFmt w:val="decimal"/>
      <w:lvlText w:val="%4."/>
      <w:lvlJc w:val="left"/>
      <w:pPr>
        <w:tabs>
          <w:tab w:val="num" w:pos="2880"/>
        </w:tabs>
        <w:ind w:left="2880" w:hanging="360"/>
      </w:pPr>
    </w:lvl>
    <w:lvl w:ilvl="4" w:tplc="6B6EB4AA" w:tentative="1">
      <w:start w:val="1"/>
      <w:numFmt w:val="decimal"/>
      <w:lvlText w:val="%5."/>
      <w:lvlJc w:val="left"/>
      <w:pPr>
        <w:tabs>
          <w:tab w:val="num" w:pos="3600"/>
        </w:tabs>
        <w:ind w:left="3600" w:hanging="360"/>
      </w:pPr>
    </w:lvl>
    <w:lvl w:ilvl="5" w:tplc="58AC1C3C" w:tentative="1">
      <w:start w:val="1"/>
      <w:numFmt w:val="decimal"/>
      <w:lvlText w:val="%6."/>
      <w:lvlJc w:val="left"/>
      <w:pPr>
        <w:tabs>
          <w:tab w:val="num" w:pos="4320"/>
        </w:tabs>
        <w:ind w:left="4320" w:hanging="360"/>
      </w:pPr>
    </w:lvl>
    <w:lvl w:ilvl="6" w:tplc="9BAA78FE" w:tentative="1">
      <w:start w:val="1"/>
      <w:numFmt w:val="decimal"/>
      <w:lvlText w:val="%7."/>
      <w:lvlJc w:val="left"/>
      <w:pPr>
        <w:tabs>
          <w:tab w:val="num" w:pos="5040"/>
        </w:tabs>
        <w:ind w:left="5040" w:hanging="360"/>
      </w:pPr>
    </w:lvl>
    <w:lvl w:ilvl="7" w:tplc="47F2A526" w:tentative="1">
      <w:start w:val="1"/>
      <w:numFmt w:val="decimal"/>
      <w:lvlText w:val="%8."/>
      <w:lvlJc w:val="left"/>
      <w:pPr>
        <w:tabs>
          <w:tab w:val="num" w:pos="5760"/>
        </w:tabs>
        <w:ind w:left="5760" w:hanging="360"/>
      </w:pPr>
    </w:lvl>
    <w:lvl w:ilvl="8" w:tplc="3502E3F0" w:tentative="1">
      <w:start w:val="1"/>
      <w:numFmt w:val="decimal"/>
      <w:lvlText w:val="%9."/>
      <w:lvlJc w:val="left"/>
      <w:pPr>
        <w:tabs>
          <w:tab w:val="num" w:pos="6480"/>
        </w:tabs>
        <w:ind w:left="6480" w:hanging="360"/>
      </w:pPr>
    </w:lvl>
  </w:abstractNum>
  <w:abstractNum w:abstractNumId="3">
    <w:nsid w:val="63627A1B"/>
    <w:multiLevelType w:val="multilevel"/>
    <w:tmpl w:val="4418C9D0"/>
    <w:lvl w:ilvl="0">
      <w:start w:val="1"/>
      <w:numFmt w:val="decimal"/>
      <w:lvlText w:val="%1."/>
      <w:lvlJc w:val="left"/>
      <w:pPr>
        <w:ind w:left="780" w:hanging="780"/>
      </w:pPr>
      <w:rPr>
        <w:rFonts w:hint="default"/>
      </w:rPr>
    </w:lvl>
    <w:lvl w:ilvl="1">
      <w:start w:val="1"/>
      <w:numFmt w:val="decimal"/>
      <w:lvlText w:val="%1.%2."/>
      <w:lvlJc w:val="left"/>
      <w:pPr>
        <w:ind w:left="2940" w:hanging="780"/>
      </w:pPr>
      <w:rPr>
        <w:rFonts w:hint="default"/>
      </w:rPr>
    </w:lvl>
    <w:lvl w:ilvl="2">
      <w:start w:val="1"/>
      <w:numFmt w:val="decimal"/>
      <w:lvlText w:val="%1.%2.%3."/>
      <w:lvlJc w:val="left"/>
      <w:pPr>
        <w:ind w:left="5100" w:hanging="780"/>
      </w:pPr>
      <w:rPr>
        <w:rFonts w:hint="default"/>
      </w:rPr>
    </w:lvl>
    <w:lvl w:ilvl="3">
      <w:start w:val="1"/>
      <w:numFmt w:val="decimal"/>
      <w:lvlText w:val="%1.%2.%3.%4."/>
      <w:lvlJc w:val="left"/>
      <w:pPr>
        <w:ind w:left="7260" w:hanging="7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nsid w:val="6BA90A99"/>
    <w:multiLevelType w:val="multilevel"/>
    <w:tmpl w:val="A07E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lvl w:ilvl="0">
        <w:numFmt w:val="lowerLetter"/>
        <w:lvlText w:val="%1."/>
        <w:lvlJc w:val="left"/>
      </w:lvl>
    </w:lvlOverride>
  </w:num>
  <w:num w:numId="4">
    <w:abstractNumId w:val="2"/>
  </w:num>
  <w:num w:numId="5">
    <w:abstractNumId w:val="2"/>
    <w:lvlOverride w:ilvl="0">
      <w:lvl w:ilvl="0" w:tplc="65666068">
        <w:numFmt w:val="lowerLetter"/>
        <w:lvlText w:val="%1."/>
        <w:lvlJc w:val="left"/>
      </w:lvl>
    </w:lvlOverride>
  </w:num>
  <w:num w:numId="6">
    <w:abstractNumId w:val="2"/>
    <w:lvlOverride w:ilvl="0">
      <w:lvl w:ilvl="0" w:tplc="65666068">
        <w:numFmt w:val="lowerLetter"/>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68"/>
    <w:rsid w:val="000F1BB4"/>
    <w:rsid w:val="001C7742"/>
    <w:rsid w:val="002A1ECE"/>
    <w:rsid w:val="00313D63"/>
    <w:rsid w:val="00336055"/>
    <w:rsid w:val="003643D8"/>
    <w:rsid w:val="00384B72"/>
    <w:rsid w:val="003A1468"/>
    <w:rsid w:val="004120A8"/>
    <w:rsid w:val="00414D61"/>
    <w:rsid w:val="004A0B23"/>
    <w:rsid w:val="00544016"/>
    <w:rsid w:val="00586083"/>
    <w:rsid w:val="005E2868"/>
    <w:rsid w:val="006A2961"/>
    <w:rsid w:val="006A3F69"/>
    <w:rsid w:val="0078663A"/>
    <w:rsid w:val="007C037F"/>
    <w:rsid w:val="0080692C"/>
    <w:rsid w:val="00A143C5"/>
    <w:rsid w:val="00A873C8"/>
    <w:rsid w:val="00B412D1"/>
    <w:rsid w:val="00B4607A"/>
    <w:rsid w:val="00BF2A97"/>
    <w:rsid w:val="00D17293"/>
    <w:rsid w:val="00E141D3"/>
    <w:rsid w:val="00E41208"/>
    <w:rsid w:val="00EC4236"/>
    <w:rsid w:val="00F45E1B"/>
    <w:rsid w:val="00F52602"/>
    <w:rsid w:val="00F6230C"/>
    <w:rsid w:val="00F72F8C"/>
    <w:rsid w:val="00F758A7"/>
    <w:rsid w:val="00FE49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B396-6CEA-423D-8731-76E3C94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68"/>
    <w:pPr>
      <w:tabs>
        <w:tab w:val="center" w:pos="4513"/>
        <w:tab w:val="right" w:pos="9026"/>
      </w:tabs>
      <w:spacing w:after="0" w:line="240" w:lineRule="auto"/>
    </w:pPr>
    <w:rPr>
      <w:rFonts w:ascii="Verdana" w:eastAsia="MS Mincho" w:hAnsi="Verdana" w:cs="Times New Roman"/>
      <w:sz w:val="24"/>
      <w:szCs w:val="24"/>
      <w:lang w:val="en-GB" w:eastAsia="ja-JP"/>
    </w:rPr>
  </w:style>
  <w:style w:type="character" w:customStyle="1" w:styleId="HeaderChar">
    <w:name w:val="Header Char"/>
    <w:basedOn w:val="DefaultParagraphFont"/>
    <w:link w:val="Header"/>
    <w:uiPriority w:val="99"/>
    <w:rsid w:val="003A1468"/>
    <w:rPr>
      <w:rFonts w:ascii="Verdana" w:eastAsia="MS Mincho" w:hAnsi="Verdana" w:cs="Times New Roman"/>
      <w:sz w:val="24"/>
      <w:szCs w:val="24"/>
      <w:lang w:val="en-GB" w:eastAsia="ja-JP"/>
    </w:rPr>
  </w:style>
  <w:style w:type="paragraph" w:styleId="ListParagraph">
    <w:name w:val="List Paragraph"/>
    <w:basedOn w:val="Normal"/>
    <w:uiPriority w:val="34"/>
    <w:qFormat/>
    <w:rsid w:val="00F758A7"/>
    <w:pPr>
      <w:ind w:left="720"/>
      <w:contextualSpacing/>
    </w:pPr>
  </w:style>
  <w:style w:type="paragraph" w:styleId="FootnoteText">
    <w:name w:val="footnote text"/>
    <w:basedOn w:val="Normal"/>
    <w:link w:val="FootnoteTextChar"/>
    <w:uiPriority w:val="99"/>
    <w:semiHidden/>
    <w:unhideWhenUsed/>
    <w:rsid w:val="00F75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8A7"/>
    <w:rPr>
      <w:sz w:val="20"/>
      <w:szCs w:val="20"/>
    </w:rPr>
  </w:style>
  <w:style w:type="character" w:styleId="FootnoteReference">
    <w:name w:val="footnote reference"/>
    <w:basedOn w:val="DefaultParagraphFont"/>
    <w:uiPriority w:val="99"/>
    <w:semiHidden/>
    <w:unhideWhenUsed/>
    <w:rsid w:val="00F75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C071-AF1E-4058-B053-9DF59BBE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Nomfundo Khulu</dc:creator>
  <cp:lastModifiedBy>Mokone</cp:lastModifiedBy>
  <cp:revision>2</cp:revision>
  <dcterms:created xsi:type="dcterms:W3CDTF">2021-12-28T10:48:00Z</dcterms:created>
  <dcterms:modified xsi:type="dcterms:W3CDTF">2021-12-28T10:48:00Z</dcterms:modified>
</cp:coreProperties>
</file>