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D8441" w14:textId="77777777" w:rsidR="00502AFD" w:rsidRDefault="00502AFD" w:rsidP="00502AFD">
      <w:pPr>
        <w:pStyle w:val="Title"/>
        <w:jc w:val="center"/>
        <w:rPr>
          <w:sz w:val="24"/>
          <w:szCs w:val="24"/>
        </w:rPr>
      </w:pPr>
      <w:r>
        <w:rPr>
          <w:rFonts w:cs="Arial"/>
          <w:bCs/>
          <w:color w:val="1D1C1D"/>
          <w:sz w:val="23"/>
          <w:szCs w:val="23"/>
          <w:shd w:val="clear" w:color="auto" w:fill="F8F8F8"/>
        </w:rPr>
        <w:t>Editorial note: Certain information has been redacted from this judgment in compliance with th</w:t>
      </w:r>
      <w:bookmarkStart w:id="0" w:name="_GoBack"/>
      <w:bookmarkEnd w:id="0"/>
      <w:r>
        <w:rPr>
          <w:rFonts w:cs="Arial"/>
          <w:bCs/>
          <w:color w:val="1D1C1D"/>
          <w:sz w:val="23"/>
          <w:szCs w:val="23"/>
          <w:shd w:val="clear" w:color="auto" w:fill="F8F8F8"/>
        </w:rPr>
        <w:t>e law.</w:t>
      </w:r>
    </w:p>
    <w:p w14:paraId="409411B3" w14:textId="1D9DE88F" w:rsidR="008B5A95" w:rsidRDefault="008B5A95" w:rsidP="008F6C0F">
      <w:pPr>
        <w:pStyle w:val="Title"/>
        <w:spacing w:line="360" w:lineRule="auto"/>
        <w:jc w:val="center"/>
        <w:rPr>
          <w:b/>
        </w:rPr>
      </w:pPr>
      <w:r>
        <w:rPr>
          <w:noProof/>
          <w:lang w:val="en-US"/>
        </w:rPr>
        <w:drawing>
          <wp:inline distT="0" distB="0" distL="0" distR="0" wp14:anchorId="4DEF7EC7" wp14:editId="77DF8769">
            <wp:extent cx="1533525" cy="1533525"/>
            <wp:effectExtent l="0" t="0" r="9525" b="9525"/>
            <wp:docPr id="2" name="Picture 2" descr="cid:image001.png@01D0BF16.DA35A980"/>
            <wp:cNvGraphicFramePr/>
            <a:graphic xmlns:a="http://schemas.openxmlformats.org/drawingml/2006/main">
              <a:graphicData uri="http://schemas.openxmlformats.org/drawingml/2006/picture">
                <pic:pic xmlns:pic="http://schemas.openxmlformats.org/drawingml/2006/picture">
                  <pic:nvPicPr>
                    <pic:cNvPr id="2" name="Picture 2" descr="cid:image001.png@01D0BF16.DA35A9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114F85D6" w14:textId="7E19D883" w:rsidR="00B958BA" w:rsidRPr="008F6C0F" w:rsidRDefault="00B958BA" w:rsidP="008F6C0F">
      <w:pPr>
        <w:pStyle w:val="Title"/>
        <w:spacing w:line="360" w:lineRule="auto"/>
        <w:jc w:val="center"/>
        <w:rPr>
          <w:b/>
        </w:rPr>
      </w:pPr>
      <w:r w:rsidRPr="008F6C0F">
        <w:rPr>
          <w:b/>
        </w:rPr>
        <w:t xml:space="preserve">IN THE </w:t>
      </w:r>
      <w:r w:rsidR="00853FC4">
        <w:rPr>
          <w:b/>
        </w:rPr>
        <w:t>HIGH</w:t>
      </w:r>
      <w:r w:rsidRPr="008F6C0F">
        <w:rPr>
          <w:b/>
        </w:rPr>
        <w:t xml:space="preserve"> COURT</w:t>
      </w:r>
      <w:r w:rsidR="00853FC4">
        <w:rPr>
          <w:b/>
        </w:rPr>
        <w:t xml:space="preserve"> OF SOUTH AFRICA</w:t>
      </w:r>
    </w:p>
    <w:p w14:paraId="32CE2820" w14:textId="77777777" w:rsidR="00B958BA" w:rsidRPr="008F6C0F" w:rsidRDefault="00853FC4" w:rsidP="008F6C0F">
      <w:pPr>
        <w:pStyle w:val="Title"/>
        <w:spacing w:after="240" w:line="360" w:lineRule="auto"/>
        <w:jc w:val="center"/>
        <w:rPr>
          <w:b/>
        </w:rPr>
      </w:pPr>
      <w:r>
        <w:rPr>
          <w:b/>
        </w:rPr>
        <w:t xml:space="preserve">GAUTENG </w:t>
      </w:r>
      <w:r w:rsidR="00127FB4">
        <w:rPr>
          <w:b/>
        </w:rPr>
        <w:t xml:space="preserve">LOCAL </w:t>
      </w:r>
      <w:r w:rsidR="00016FCE">
        <w:rPr>
          <w:b/>
        </w:rPr>
        <w:t>DIVISION</w:t>
      </w:r>
      <w:r>
        <w:rPr>
          <w:b/>
        </w:rPr>
        <w:t xml:space="preserve">, </w:t>
      </w:r>
      <w:r w:rsidR="00127FB4">
        <w:rPr>
          <w:b/>
        </w:rPr>
        <w:t>JOHANNESBURG</w:t>
      </w:r>
    </w:p>
    <w:p w14:paraId="29E6351C" w14:textId="0AFF8E47" w:rsidR="00B958BA" w:rsidRPr="008F6C0F" w:rsidRDefault="00B958BA" w:rsidP="008F6C0F">
      <w:pPr>
        <w:pStyle w:val="Title"/>
        <w:spacing w:after="240" w:line="360" w:lineRule="auto"/>
        <w:jc w:val="right"/>
        <w:rPr>
          <w:b/>
        </w:rPr>
      </w:pPr>
      <w:r w:rsidRPr="008F6C0F">
        <w:rPr>
          <w:b/>
        </w:rPr>
        <w:t>CASE NO:</w:t>
      </w:r>
      <w:r w:rsidR="00F74AEF">
        <w:rPr>
          <w:b/>
        </w:rPr>
        <w:t xml:space="preserve"> 3288/20</w:t>
      </w:r>
      <w:r w:rsidRPr="008F6C0F">
        <w:rPr>
          <w:b/>
        </w:rPr>
        <w:t xml:space="preserve"> </w:t>
      </w:r>
      <w:r w:rsidRPr="008F6C0F">
        <w:rPr>
          <w:b/>
        </w:rPr>
        <w:fldChar w:fldCharType="begin"/>
      </w:r>
      <w:r w:rsidRPr="008F6C0F">
        <w:rPr>
          <w:b/>
        </w:rPr>
        <w:instrText xml:space="preserve">  </w:instrText>
      </w:r>
      <w:r w:rsidRPr="008F6C0F">
        <w:rPr>
          <w:b/>
        </w:rPr>
        <w:fldChar w:fldCharType="end"/>
      </w:r>
    </w:p>
    <w:p w14:paraId="3DA04F82" w14:textId="4A16FA47" w:rsidR="00AE2D5A" w:rsidRDefault="00AE2D5A" w:rsidP="00081824">
      <w:pPr>
        <w:pStyle w:val="Title"/>
        <w:spacing w:after="240" w:line="360" w:lineRule="auto"/>
      </w:pPr>
      <w:r w:rsidRPr="006474D2">
        <w:rPr>
          <w:noProof/>
          <w:lang w:val="en-US"/>
        </w:rPr>
        <w:drawing>
          <wp:inline distT="0" distB="0" distL="0" distR="0" wp14:anchorId="6E8C5DA4" wp14:editId="17DF4739">
            <wp:extent cx="5457825" cy="17608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57825" cy="1760892"/>
                    </a:xfrm>
                    <a:prstGeom prst="rect">
                      <a:avLst/>
                    </a:prstGeom>
                    <a:noFill/>
                    <a:ln>
                      <a:noFill/>
                    </a:ln>
                  </pic:spPr>
                </pic:pic>
              </a:graphicData>
            </a:graphic>
          </wp:inline>
        </w:drawing>
      </w:r>
    </w:p>
    <w:p w14:paraId="7F9032B5" w14:textId="72B5A5A3" w:rsidR="00B958BA" w:rsidRDefault="00B958BA" w:rsidP="00081824">
      <w:pPr>
        <w:pStyle w:val="Title"/>
        <w:spacing w:after="240" w:line="360" w:lineRule="auto"/>
      </w:pPr>
      <w:r>
        <w:t>In the matter between:</w:t>
      </w:r>
    </w:p>
    <w:tbl>
      <w:tblPr>
        <w:tblW w:w="8810" w:type="dxa"/>
        <w:tblLayout w:type="fixed"/>
        <w:tblLook w:val="0000" w:firstRow="0" w:lastRow="0" w:firstColumn="0" w:lastColumn="0" w:noHBand="0" w:noVBand="0"/>
      </w:tblPr>
      <w:tblGrid>
        <w:gridCol w:w="6204"/>
        <w:gridCol w:w="2606"/>
      </w:tblGrid>
      <w:tr w:rsidR="00F74AEF" w14:paraId="06D1B3C4" w14:textId="77777777" w:rsidTr="00F74AEF">
        <w:tc>
          <w:tcPr>
            <w:tcW w:w="6204" w:type="dxa"/>
          </w:tcPr>
          <w:p w14:paraId="2707765F" w14:textId="77777777" w:rsidR="00F74AEF" w:rsidRDefault="00F74AEF" w:rsidP="00F74AEF">
            <w:pPr>
              <w:pStyle w:val="Title"/>
              <w:rPr>
                <w:b/>
              </w:rPr>
            </w:pPr>
            <w:r>
              <w:rPr>
                <w:b/>
              </w:rPr>
              <w:t>PHOENIX INTERNATIONAL LOGISTICS (PTY) LTD</w:t>
            </w:r>
          </w:p>
          <w:p w14:paraId="278E37CD" w14:textId="6454E058" w:rsidR="00F74AEF" w:rsidRPr="00F74AEF" w:rsidRDefault="00F74AEF" w:rsidP="00F74AEF">
            <w:pPr>
              <w:pStyle w:val="Title"/>
              <w:rPr>
                <w:bCs/>
              </w:rPr>
            </w:pPr>
            <w:r>
              <w:rPr>
                <w:bCs/>
              </w:rPr>
              <w:t>(Registration Number: 2005/009035/07)</w:t>
            </w:r>
            <w:r w:rsidRPr="008F6C0F">
              <w:rPr>
                <w:b/>
              </w:rPr>
              <w:fldChar w:fldCharType="begin"/>
            </w:r>
            <w:r w:rsidRPr="008F6C0F">
              <w:rPr>
                <w:b/>
              </w:rPr>
              <w:instrText xml:space="preserve">  </w:instrText>
            </w:r>
            <w:r w:rsidRPr="008F6C0F">
              <w:rPr>
                <w:b/>
              </w:rPr>
              <w:fldChar w:fldCharType="end"/>
            </w:r>
          </w:p>
        </w:tc>
        <w:tc>
          <w:tcPr>
            <w:tcW w:w="2606" w:type="dxa"/>
          </w:tcPr>
          <w:p w14:paraId="15FF8659" w14:textId="5E5E21C0" w:rsidR="00F74AEF" w:rsidRDefault="00AA7729" w:rsidP="00F74AEF">
            <w:pPr>
              <w:pStyle w:val="Title"/>
              <w:spacing w:line="360" w:lineRule="auto"/>
              <w:jc w:val="right"/>
            </w:pPr>
            <w:r>
              <w:t>Applicant/</w:t>
            </w:r>
            <w:r w:rsidR="00F74AEF">
              <w:t xml:space="preserve">Plaintiff </w:t>
            </w:r>
          </w:p>
        </w:tc>
      </w:tr>
      <w:tr w:rsidR="00F74AEF" w14:paraId="4AC59BDF" w14:textId="77777777" w:rsidTr="00F74AEF">
        <w:tc>
          <w:tcPr>
            <w:tcW w:w="6204" w:type="dxa"/>
          </w:tcPr>
          <w:p w14:paraId="767F62A6" w14:textId="77777777" w:rsidR="00F74AEF" w:rsidRDefault="00F74AEF" w:rsidP="00F74AEF">
            <w:pPr>
              <w:pStyle w:val="Title"/>
              <w:rPr>
                <w:b/>
              </w:rPr>
            </w:pPr>
          </w:p>
        </w:tc>
        <w:tc>
          <w:tcPr>
            <w:tcW w:w="2606" w:type="dxa"/>
          </w:tcPr>
          <w:p w14:paraId="0FF87C4F" w14:textId="77777777" w:rsidR="00F74AEF" w:rsidRDefault="00F74AEF" w:rsidP="00F74AEF">
            <w:pPr>
              <w:pStyle w:val="Title"/>
              <w:spacing w:line="360" w:lineRule="auto"/>
              <w:jc w:val="right"/>
            </w:pPr>
          </w:p>
        </w:tc>
      </w:tr>
      <w:tr w:rsidR="00F74AEF" w14:paraId="2E82E58E" w14:textId="77777777" w:rsidTr="00F74AEF">
        <w:tc>
          <w:tcPr>
            <w:tcW w:w="6204" w:type="dxa"/>
          </w:tcPr>
          <w:p w14:paraId="071B21E5" w14:textId="6EAD4E60" w:rsidR="00F74AEF" w:rsidRDefault="00F74AEF" w:rsidP="00F74AEF">
            <w:pPr>
              <w:pStyle w:val="Title"/>
              <w:rPr>
                <w:b/>
              </w:rPr>
            </w:pPr>
            <w:r>
              <w:t>And</w:t>
            </w:r>
          </w:p>
        </w:tc>
        <w:tc>
          <w:tcPr>
            <w:tcW w:w="2606" w:type="dxa"/>
          </w:tcPr>
          <w:p w14:paraId="36EFF47B" w14:textId="77777777" w:rsidR="00F74AEF" w:rsidRDefault="00F74AEF" w:rsidP="00F74AEF">
            <w:pPr>
              <w:pStyle w:val="Title"/>
              <w:spacing w:line="360" w:lineRule="auto"/>
              <w:jc w:val="right"/>
            </w:pPr>
          </w:p>
        </w:tc>
      </w:tr>
      <w:tr w:rsidR="00F74AEF" w14:paraId="09DD32F8" w14:textId="77777777" w:rsidTr="00F74AEF">
        <w:tc>
          <w:tcPr>
            <w:tcW w:w="6204" w:type="dxa"/>
          </w:tcPr>
          <w:p w14:paraId="41B314C8" w14:textId="77777777" w:rsidR="00F74AEF" w:rsidRDefault="00F74AEF" w:rsidP="00F74AEF">
            <w:pPr>
              <w:pStyle w:val="Title"/>
            </w:pPr>
          </w:p>
        </w:tc>
        <w:tc>
          <w:tcPr>
            <w:tcW w:w="2606" w:type="dxa"/>
          </w:tcPr>
          <w:p w14:paraId="0E3106C4" w14:textId="77777777" w:rsidR="00F74AEF" w:rsidRDefault="00F74AEF" w:rsidP="00F74AEF">
            <w:pPr>
              <w:pStyle w:val="Title"/>
              <w:spacing w:line="360" w:lineRule="auto"/>
              <w:jc w:val="right"/>
            </w:pPr>
          </w:p>
        </w:tc>
      </w:tr>
      <w:tr w:rsidR="00F74AEF" w14:paraId="5DDACA36" w14:textId="77777777" w:rsidTr="00F74AEF">
        <w:tc>
          <w:tcPr>
            <w:tcW w:w="6204" w:type="dxa"/>
          </w:tcPr>
          <w:p w14:paraId="2D8C5CF9" w14:textId="77777777" w:rsidR="00F74AEF" w:rsidRDefault="00F74AEF" w:rsidP="00F74AEF">
            <w:pPr>
              <w:pStyle w:val="Title"/>
              <w:rPr>
                <w:b/>
              </w:rPr>
            </w:pPr>
            <w:r>
              <w:rPr>
                <w:b/>
              </w:rPr>
              <w:t>QD CELLULAR (PTY) LTD</w:t>
            </w:r>
          </w:p>
          <w:p w14:paraId="7DE419E4" w14:textId="7CD790BF" w:rsidR="00F74AEF" w:rsidRDefault="00F74AEF" w:rsidP="00F74AEF">
            <w:pPr>
              <w:pStyle w:val="Title"/>
            </w:pPr>
            <w:r>
              <w:rPr>
                <w:bCs/>
              </w:rPr>
              <w:t>(Registration Number: 1998/012714/07)</w:t>
            </w:r>
            <w:r w:rsidRPr="008F6C0F">
              <w:rPr>
                <w:b/>
              </w:rPr>
              <w:fldChar w:fldCharType="begin"/>
            </w:r>
            <w:r w:rsidRPr="008F6C0F">
              <w:rPr>
                <w:b/>
              </w:rPr>
              <w:instrText xml:space="preserve">  </w:instrText>
            </w:r>
            <w:r w:rsidRPr="008F6C0F">
              <w:rPr>
                <w:b/>
              </w:rPr>
              <w:fldChar w:fldCharType="end"/>
            </w:r>
          </w:p>
        </w:tc>
        <w:tc>
          <w:tcPr>
            <w:tcW w:w="2606" w:type="dxa"/>
          </w:tcPr>
          <w:p w14:paraId="32C22A3A" w14:textId="0405BA7F" w:rsidR="00F74AEF" w:rsidRDefault="00AA7729" w:rsidP="00AA7729">
            <w:pPr>
              <w:pStyle w:val="Title"/>
              <w:spacing w:after="240"/>
              <w:jc w:val="right"/>
            </w:pPr>
            <w:r>
              <w:t xml:space="preserve">First Respondent/ </w:t>
            </w:r>
            <w:r w:rsidR="00F74AEF">
              <w:t xml:space="preserve">First Defendant </w:t>
            </w:r>
          </w:p>
        </w:tc>
      </w:tr>
      <w:tr w:rsidR="00F74AEF" w14:paraId="1BC73A85" w14:textId="77777777" w:rsidTr="00F74AEF">
        <w:tc>
          <w:tcPr>
            <w:tcW w:w="6204" w:type="dxa"/>
          </w:tcPr>
          <w:p w14:paraId="451CB092" w14:textId="77777777" w:rsidR="00F74AEF" w:rsidRDefault="00F74AEF" w:rsidP="00F74AEF">
            <w:pPr>
              <w:pStyle w:val="Title"/>
              <w:rPr>
                <w:b/>
              </w:rPr>
            </w:pPr>
            <w:r>
              <w:rPr>
                <w:b/>
              </w:rPr>
              <w:t>MICHAEL MAURICE ROSS</w:t>
            </w:r>
          </w:p>
          <w:p w14:paraId="6ED3354F" w14:textId="66AD5380" w:rsidR="00F74AEF" w:rsidRDefault="00F74AEF" w:rsidP="00F74AEF">
            <w:pPr>
              <w:pStyle w:val="Title"/>
              <w:rPr>
                <w:b/>
              </w:rPr>
            </w:pPr>
            <w:r>
              <w:rPr>
                <w:bCs/>
              </w:rPr>
              <w:t>(I</w:t>
            </w:r>
            <w:r w:rsidR="00502AFD">
              <w:rPr>
                <w:bCs/>
              </w:rPr>
              <w:t>dentity Number: […]</w:t>
            </w:r>
            <w:r>
              <w:rPr>
                <w:bCs/>
              </w:rPr>
              <w:t>)</w:t>
            </w:r>
          </w:p>
        </w:tc>
        <w:tc>
          <w:tcPr>
            <w:tcW w:w="2606" w:type="dxa"/>
          </w:tcPr>
          <w:p w14:paraId="37B0FC2E" w14:textId="7A11DAF3" w:rsidR="00F74AEF" w:rsidRDefault="00AA7729" w:rsidP="00AA7729">
            <w:pPr>
              <w:pStyle w:val="Title"/>
              <w:spacing w:after="240"/>
              <w:jc w:val="right"/>
            </w:pPr>
            <w:r>
              <w:t xml:space="preserve">Second Respondent/ </w:t>
            </w:r>
            <w:r w:rsidR="00F74AEF">
              <w:t xml:space="preserve">Second Defendant </w:t>
            </w:r>
          </w:p>
        </w:tc>
      </w:tr>
    </w:tbl>
    <w:p w14:paraId="10A566A7" w14:textId="1169BF98" w:rsidR="00B958BA" w:rsidRDefault="00B958BA">
      <w:pPr>
        <w:pStyle w:val="Title"/>
      </w:pPr>
    </w:p>
    <w:p w14:paraId="742D87AE" w14:textId="77777777" w:rsidR="009D558D" w:rsidRPr="003374E6" w:rsidRDefault="008B5A95" w:rsidP="008B5A95">
      <w:pPr>
        <w:pStyle w:val="Title"/>
        <w:rPr>
          <w:i/>
          <w:iCs/>
          <w:sz w:val="22"/>
          <w:szCs w:val="22"/>
        </w:rPr>
      </w:pPr>
      <w:r w:rsidRPr="003374E6">
        <w:rPr>
          <w:b/>
          <w:bCs/>
          <w:i/>
          <w:iCs/>
          <w:sz w:val="22"/>
          <w:szCs w:val="22"/>
          <w:u w:val="single"/>
        </w:rPr>
        <w:t>Summary</w:t>
      </w:r>
      <w:r w:rsidRPr="003374E6">
        <w:rPr>
          <w:i/>
          <w:iCs/>
          <w:sz w:val="22"/>
          <w:szCs w:val="22"/>
        </w:rPr>
        <w:t>:</w:t>
      </w:r>
      <w:r w:rsidR="00E63E1E" w:rsidRPr="003374E6">
        <w:rPr>
          <w:i/>
          <w:iCs/>
          <w:sz w:val="22"/>
          <w:szCs w:val="22"/>
        </w:rPr>
        <w:t xml:space="preserve"> </w:t>
      </w:r>
    </w:p>
    <w:p w14:paraId="5131A9C6" w14:textId="77777777" w:rsidR="009D558D" w:rsidRPr="003374E6" w:rsidRDefault="009D558D" w:rsidP="008B5A95">
      <w:pPr>
        <w:pStyle w:val="Title"/>
        <w:rPr>
          <w:i/>
          <w:iCs/>
          <w:sz w:val="22"/>
          <w:szCs w:val="22"/>
        </w:rPr>
      </w:pPr>
    </w:p>
    <w:p w14:paraId="6C1FE768" w14:textId="77777777" w:rsidR="009207FD" w:rsidRDefault="00E63E1E" w:rsidP="003374E6">
      <w:pPr>
        <w:pStyle w:val="Title"/>
        <w:jc w:val="both"/>
        <w:rPr>
          <w:i/>
          <w:iCs/>
          <w:sz w:val="22"/>
          <w:szCs w:val="22"/>
        </w:rPr>
      </w:pPr>
      <w:r w:rsidRPr="003374E6">
        <w:rPr>
          <w:i/>
          <w:iCs/>
          <w:sz w:val="22"/>
          <w:szCs w:val="22"/>
        </w:rPr>
        <w:t xml:space="preserve">Application for summary judgment </w:t>
      </w:r>
      <w:r w:rsidR="00890354" w:rsidRPr="003374E6">
        <w:rPr>
          <w:i/>
          <w:iCs/>
          <w:sz w:val="22"/>
          <w:szCs w:val="22"/>
        </w:rPr>
        <w:t xml:space="preserve">against Second Defendant </w:t>
      </w:r>
      <w:r w:rsidRPr="003374E6">
        <w:rPr>
          <w:i/>
          <w:iCs/>
          <w:sz w:val="22"/>
          <w:szCs w:val="22"/>
        </w:rPr>
        <w:t>after plea</w:t>
      </w:r>
      <w:r w:rsidR="000054E7" w:rsidRPr="003374E6">
        <w:rPr>
          <w:i/>
          <w:iCs/>
          <w:sz w:val="22"/>
          <w:szCs w:val="22"/>
        </w:rPr>
        <w:t xml:space="preserve"> in terms of Rule 32(a) </w:t>
      </w:r>
      <w:r w:rsidRPr="003374E6">
        <w:rPr>
          <w:i/>
          <w:iCs/>
          <w:sz w:val="22"/>
          <w:szCs w:val="22"/>
        </w:rPr>
        <w:t xml:space="preserve">– </w:t>
      </w:r>
      <w:r w:rsidR="00A57F61">
        <w:rPr>
          <w:i/>
          <w:iCs/>
          <w:sz w:val="22"/>
          <w:szCs w:val="22"/>
        </w:rPr>
        <w:t xml:space="preserve">After delivering affidavit resisting summary judgment, </w:t>
      </w:r>
      <w:r w:rsidR="00890354" w:rsidRPr="003374E6">
        <w:rPr>
          <w:i/>
          <w:iCs/>
          <w:sz w:val="22"/>
          <w:szCs w:val="22"/>
        </w:rPr>
        <w:t>Second Defendant</w:t>
      </w:r>
      <w:r w:rsidR="000054E7" w:rsidRPr="003374E6">
        <w:rPr>
          <w:i/>
          <w:iCs/>
          <w:sz w:val="22"/>
          <w:szCs w:val="22"/>
        </w:rPr>
        <w:t xml:space="preserve"> </w:t>
      </w:r>
      <w:r w:rsidR="00CF4104" w:rsidRPr="003374E6">
        <w:rPr>
          <w:i/>
          <w:iCs/>
          <w:sz w:val="22"/>
          <w:szCs w:val="22"/>
        </w:rPr>
        <w:t xml:space="preserve">giving notice of intention </w:t>
      </w:r>
      <w:r w:rsidR="000054E7" w:rsidRPr="003374E6">
        <w:rPr>
          <w:i/>
          <w:iCs/>
          <w:sz w:val="22"/>
          <w:szCs w:val="22"/>
        </w:rPr>
        <w:t>to amend plea</w:t>
      </w:r>
      <w:r w:rsidR="0056031E">
        <w:rPr>
          <w:i/>
          <w:iCs/>
          <w:sz w:val="22"/>
          <w:szCs w:val="22"/>
        </w:rPr>
        <w:t xml:space="preserve"> to</w:t>
      </w:r>
      <w:r w:rsidR="000054E7" w:rsidRPr="003374E6">
        <w:rPr>
          <w:i/>
          <w:iCs/>
          <w:sz w:val="22"/>
          <w:szCs w:val="22"/>
        </w:rPr>
        <w:t xml:space="preserve"> </w:t>
      </w:r>
      <w:r w:rsidR="00371B3F">
        <w:rPr>
          <w:i/>
          <w:iCs/>
          <w:sz w:val="22"/>
          <w:szCs w:val="22"/>
        </w:rPr>
        <w:t>introduc</w:t>
      </w:r>
      <w:r w:rsidR="0056031E">
        <w:rPr>
          <w:i/>
          <w:iCs/>
          <w:sz w:val="22"/>
          <w:szCs w:val="22"/>
        </w:rPr>
        <w:t>e</w:t>
      </w:r>
      <w:r w:rsidR="00371B3F">
        <w:rPr>
          <w:i/>
          <w:iCs/>
          <w:sz w:val="22"/>
          <w:szCs w:val="22"/>
        </w:rPr>
        <w:t xml:space="preserve"> additional defence</w:t>
      </w:r>
      <w:r w:rsidR="00CF4104" w:rsidRPr="003374E6">
        <w:rPr>
          <w:i/>
          <w:iCs/>
          <w:sz w:val="22"/>
          <w:szCs w:val="22"/>
        </w:rPr>
        <w:t xml:space="preserve"> –</w:t>
      </w:r>
      <w:r w:rsidR="000054E7" w:rsidRPr="003374E6">
        <w:rPr>
          <w:i/>
          <w:iCs/>
          <w:sz w:val="22"/>
          <w:szCs w:val="22"/>
        </w:rPr>
        <w:t xml:space="preserve"> </w:t>
      </w:r>
      <w:r w:rsidR="00CF4104" w:rsidRPr="003374E6">
        <w:rPr>
          <w:i/>
          <w:iCs/>
          <w:sz w:val="22"/>
          <w:szCs w:val="22"/>
        </w:rPr>
        <w:t xml:space="preserve">proposed </w:t>
      </w:r>
      <w:r w:rsidR="00CF4104" w:rsidRPr="003374E6">
        <w:rPr>
          <w:i/>
          <w:iCs/>
          <w:sz w:val="22"/>
          <w:szCs w:val="22"/>
        </w:rPr>
        <w:lastRenderedPageBreak/>
        <w:t xml:space="preserve">amendment not </w:t>
      </w:r>
      <w:r w:rsidR="000054E7" w:rsidRPr="003374E6">
        <w:rPr>
          <w:i/>
          <w:iCs/>
          <w:sz w:val="22"/>
          <w:szCs w:val="22"/>
        </w:rPr>
        <w:t xml:space="preserve"> opposed</w:t>
      </w:r>
      <w:r w:rsidR="00890354" w:rsidRPr="003374E6">
        <w:rPr>
          <w:i/>
          <w:iCs/>
          <w:sz w:val="22"/>
          <w:szCs w:val="22"/>
        </w:rPr>
        <w:t xml:space="preserve"> –</w:t>
      </w:r>
      <w:r w:rsidRPr="003374E6">
        <w:rPr>
          <w:i/>
          <w:iCs/>
          <w:sz w:val="22"/>
          <w:szCs w:val="22"/>
        </w:rPr>
        <w:t xml:space="preserve"> </w:t>
      </w:r>
      <w:r w:rsidR="00371B3F">
        <w:rPr>
          <w:i/>
          <w:iCs/>
          <w:sz w:val="22"/>
          <w:szCs w:val="22"/>
        </w:rPr>
        <w:t>effect hereof</w:t>
      </w:r>
      <w:r w:rsidR="005645E7" w:rsidRPr="003374E6">
        <w:rPr>
          <w:i/>
          <w:iCs/>
          <w:sz w:val="22"/>
          <w:szCs w:val="22"/>
        </w:rPr>
        <w:t xml:space="preserve"> tha</w:t>
      </w:r>
      <w:r w:rsidR="0056031E">
        <w:rPr>
          <w:i/>
          <w:iCs/>
          <w:sz w:val="22"/>
          <w:szCs w:val="22"/>
        </w:rPr>
        <w:t>t</w:t>
      </w:r>
      <w:r w:rsidR="00F35A74">
        <w:rPr>
          <w:i/>
          <w:iCs/>
          <w:sz w:val="22"/>
          <w:szCs w:val="22"/>
        </w:rPr>
        <w:t xml:space="preserve"> in respect of newly introduced defence by amendment to plea</w:t>
      </w:r>
      <w:r w:rsidR="00A57F61">
        <w:rPr>
          <w:i/>
          <w:iCs/>
          <w:sz w:val="22"/>
          <w:szCs w:val="22"/>
        </w:rPr>
        <w:t>,</w:t>
      </w:r>
      <w:r w:rsidR="0056031E">
        <w:rPr>
          <w:i/>
          <w:iCs/>
          <w:sz w:val="22"/>
          <w:szCs w:val="22"/>
        </w:rPr>
        <w:t xml:space="preserve"> application for summary judgment not compliant with </w:t>
      </w:r>
      <w:r w:rsidR="00371B3F">
        <w:rPr>
          <w:i/>
          <w:iCs/>
          <w:sz w:val="22"/>
          <w:szCs w:val="22"/>
        </w:rPr>
        <w:t>peremptory requirement in Rule 32(2</w:t>
      </w:r>
      <w:proofErr w:type="gramStart"/>
      <w:r w:rsidR="00371B3F">
        <w:rPr>
          <w:i/>
          <w:iCs/>
          <w:sz w:val="22"/>
          <w:szCs w:val="22"/>
        </w:rPr>
        <w:t>)(</w:t>
      </w:r>
      <w:proofErr w:type="gramEnd"/>
      <w:r w:rsidR="00371B3F">
        <w:rPr>
          <w:i/>
          <w:iCs/>
          <w:sz w:val="22"/>
          <w:szCs w:val="22"/>
        </w:rPr>
        <w:t>b) that Plaintiff furnish brief explanation</w:t>
      </w:r>
      <w:r w:rsidR="00216C29">
        <w:rPr>
          <w:i/>
          <w:iCs/>
          <w:sz w:val="22"/>
          <w:szCs w:val="22"/>
        </w:rPr>
        <w:t xml:space="preserve"> why</w:t>
      </w:r>
      <w:r w:rsidRPr="003374E6">
        <w:rPr>
          <w:i/>
          <w:iCs/>
          <w:sz w:val="22"/>
          <w:szCs w:val="22"/>
        </w:rPr>
        <w:t xml:space="preserve"> defence</w:t>
      </w:r>
      <w:r w:rsidR="00216C29">
        <w:rPr>
          <w:i/>
          <w:iCs/>
          <w:sz w:val="22"/>
          <w:szCs w:val="22"/>
        </w:rPr>
        <w:t xml:space="preserve"> as pleaded does not raise an issue for trial</w:t>
      </w:r>
      <w:r w:rsidR="002E2492">
        <w:rPr>
          <w:i/>
          <w:iCs/>
          <w:sz w:val="22"/>
          <w:szCs w:val="22"/>
        </w:rPr>
        <w:t xml:space="preserve"> – further</w:t>
      </w:r>
      <w:r w:rsidR="0056031E">
        <w:rPr>
          <w:i/>
          <w:iCs/>
          <w:sz w:val="22"/>
          <w:szCs w:val="22"/>
        </w:rPr>
        <w:t xml:space="preserve"> effect</w:t>
      </w:r>
      <w:r w:rsidR="00460B41">
        <w:rPr>
          <w:i/>
          <w:iCs/>
          <w:sz w:val="22"/>
          <w:szCs w:val="22"/>
        </w:rPr>
        <w:t xml:space="preserve"> of</w:t>
      </w:r>
      <w:r w:rsidR="00A57F61">
        <w:rPr>
          <w:i/>
          <w:iCs/>
          <w:sz w:val="22"/>
          <w:szCs w:val="22"/>
        </w:rPr>
        <w:t xml:space="preserve"> additional defence in plea as amended</w:t>
      </w:r>
      <w:r w:rsidR="00920334">
        <w:rPr>
          <w:i/>
          <w:iCs/>
          <w:sz w:val="22"/>
          <w:szCs w:val="22"/>
        </w:rPr>
        <w:t xml:space="preserve"> is</w:t>
      </w:r>
      <w:r w:rsidR="0056031E">
        <w:rPr>
          <w:i/>
          <w:iCs/>
          <w:sz w:val="22"/>
          <w:szCs w:val="22"/>
        </w:rPr>
        <w:t xml:space="preserve"> that Second Defendant</w:t>
      </w:r>
      <w:r w:rsidR="00460B41">
        <w:rPr>
          <w:i/>
          <w:iCs/>
          <w:sz w:val="22"/>
          <w:szCs w:val="22"/>
        </w:rPr>
        <w:t xml:space="preserve"> no</w:t>
      </w:r>
      <w:r w:rsidR="00A57F61">
        <w:rPr>
          <w:i/>
          <w:iCs/>
          <w:sz w:val="22"/>
          <w:szCs w:val="22"/>
        </w:rPr>
        <w:t xml:space="preserve"> longer</w:t>
      </w:r>
      <w:r w:rsidR="00460B41">
        <w:rPr>
          <w:i/>
          <w:iCs/>
          <w:sz w:val="22"/>
          <w:szCs w:val="22"/>
        </w:rPr>
        <w:t xml:space="preserve"> compliant with</w:t>
      </w:r>
      <w:r w:rsidR="002E2492">
        <w:rPr>
          <w:i/>
          <w:iCs/>
          <w:sz w:val="22"/>
          <w:szCs w:val="22"/>
        </w:rPr>
        <w:t xml:space="preserve"> requiremen</w:t>
      </w:r>
      <w:r w:rsidR="00460B41">
        <w:rPr>
          <w:i/>
          <w:iCs/>
          <w:sz w:val="22"/>
          <w:szCs w:val="22"/>
        </w:rPr>
        <w:t>t</w:t>
      </w:r>
      <w:r w:rsidR="002E2492">
        <w:rPr>
          <w:i/>
          <w:iCs/>
          <w:sz w:val="22"/>
          <w:szCs w:val="22"/>
        </w:rPr>
        <w:t xml:space="preserve"> that affidavit resisting summary judgment be in harmony with plea</w:t>
      </w:r>
      <w:r w:rsidR="00460B41">
        <w:rPr>
          <w:i/>
          <w:iCs/>
          <w:sz w:val="22"/>
          <w:szCs w:val="22"/>
        </w:rPr>
        <w:t xml:space="preserve"> due to</w:t>
      </w:r>
      <w:r w:rsidR="00181F03">
        <w:rPr>
          <w:i/>
          <w:iCs/>
          <w:sz w:val="22"/>
          <w:szCs w:val="22"/>
        </w:rPr>
        <w:t xml:space="preserve"> additional defence in </w:t>
      </w:r>
      <w:r w:rsidR="002E2492">
        <w:rPr>
          <w:i/>
          <w:iCs/>
          <w:sz w:val="22"/>
          <w:szCs w:val="22"/>
        </w:rPr>
        <w:t>amended plea</w:t>
      </w:r>
      <w:r w:rsidR="00460B41">
        <w:rPr>
          <w:i/>
          <w:iCs/>
          <w:sz w:val="22"/>
          <w:szCs w:val="22"/>
        </w:rPr>
        <w:t xml:space="preserve"> not</w:t>
      </w:r>
      <w:r w:rsidR="00A57F61">
        <w:rPr>
          <w:i/>
          <w:iCs/>
          <w:sz w:val="22"/>
          <w:szCs w:val="22"/>
        </w:rPr>
        <w:t xml:space="preserve"> constituting </w:t>
      </w:r>
      <w:r w:rsidR="00360BDC">
        <w:rPr>
          <w:i/>
          <w:iCs/>
          <w:sz w:val="22"/>
          <w:szCs w:val="22"/>
        </w:rPr>
        <w:t>one of the defences</w:t>
      </w:r>
      <w:r w:rsidR="00460B41">
        <w:rPr>
          <w:i/>
          <w:iCs/>
          <w:sz w:val="22"/>
          <w:szCs w:val="22"/>
        </w:rPr>
        <w:t xml:space="preserve"> covered in affidavit resisting summary judgment</w:t>
      </w:r>
      <w:r w:rsidR="00B0129A" w:rsidRPr="003374E6">
        <w:rPr>
          <w:i/>
          <w:iCs/>
          <w:sz w:val="22"/>
          <w:szCs w:val="22"/>
        </w:rPr>
        <w:t xml:space="preserve"> </w:t>
      </w:r>
    </w:p>
    <w:p w14:paraId="79C68948" w14:textId="77777777" w:rsidR="009207FD" w:rsidRDefault="009207FD" w:rsidP="003374E6">
      <w:pPr>
        <w:pStyle w:val="Title"/>
        <w:jc w:val="both"/>
        <w:rPr>
          <w:i/>
          <w:iCs/>
          <w:sz w:val="22"/>
          <w:szCs w:val="22"/>
        </w:rPr>
      </w:pPr>
    </w:p>
    <w:p w14:paraId="3518551B" w14:textId="765D1BBD" w:rsidR="009207FD" w:rsidRDefault="009207FD" w:rsidP="003374E6">
      <w:pPr>
        <w:pStyle w:val="Title"/>
        <w:jc w:val="both"/>
        <w:rPr>
          <w:i/>
          <w:iCs/>
          <w:sz w:val="22"/>
          <w:szCs w:val="22"/>
        </w:rPr>
      </w:pPr>
      <w:r>
        <w:rPr>
          <w:i/>
          <w:iCs/>
          <w:sz w:val="22"/>
          <w:szCs w:val="22"/>
        </w:rPr>
        <w:t>S</w:t>
      </w:r>
      <w:r w:rsidR="00360BDC">
        <w:rPr>
          <w:i/>
          <w:iCs/>
          <w:sz w:val="22"/>
          <w:szCs w:val="22"/>
        </w:rPr>
        <w:t>talemate through no fault of the parties – Second Defendant</w:t>
      </w:r>
      <w:r w:rsidR="009A6E6A">
        <w:rPr>
          <w:i/>
          <w:iCs/>
          <w:sz w:val="22"/>
          <w:szCs w:val="22"/>
        </w:rPr>
        <w:t xml:space="preserve"> attempts to break stalemate by</w:t>
      </w:r>
      <w:r w:rsidR="00360BDC">
        <w:rPr>
          <w:i/>
          <w:iCs/>
          <w:sz w:val="22"/>
          <w:szCs w:val="22"/>
        </w:rPr>
        <w:t xml:space="preserve"> delivering an unsolicited supplementary affidavit resisting summary judgment containing additional defence </w:t>
      </w:r>
      <w:r w:rsidR="00672392">
        <w:rPr>
          <w:i/>
          <w:iCs/>
          <w:sz w:val="22"/>
          <w:szCs w:val="22"/>
        </w:rPr>
        <w:t>from</w:t>
      </w:r>
      <w:r w:rsidR="00360BDC">
        <w:rPr>
          <w:i/>
          <w:iCs/>
          <w:sz w:val="22"/>
          <w:szCs w:val="22"/>
        </w:rPr>
        <w:t xml:space="preserve"> amended plea</w:t>
      </w:r>
      <w:r w:rsidR="00672392">
        <w:rPr>
          <w:i/>
          <w:iCs/>
          <w:sz w:val="22"/>
          <w:szCs w:val="22"/>
        </w:rPr>
        <w:t xml:space="preserve"> – no consent by Plaintiff to supplementary affidavit - stalemate persists</w:t>
      </w:r>
    </w:p>
    <w:p w14:paraId="050D9D6D" w14:textId="77777777" w:rsidR="009207FD" w:rsidRDefault="009207FD" w:rsidP="003374E6">
      <w:pPr>
        <w:pStyle w:val="Title"/>
        <w:jc w:val="both"/>
        <w:rPr>
          <w:i/>
          <w:iCs/>
          <w:sz w:val="22"/>
          <w:szCs w:val="22"/>
        </w:rPr>
      </w:pPr>
    </w:p>
    <w:p w14:paraId="16D1F65E" w14:textId="77777777" w:rsidR="009207FD" w:rsidRDefault="009207FD" w:rsidP="003374E6">
      <w:pPr>
        <w:pStyle w:val="Title"/>
        <w:jc w:val="both"/>
        <w:rPr>
          <w:i/>
          <w:iCs/>
          <w:sz w:val="22"/>
          <w:szCs w:val="22"/>
        </w:rPr>
      </w:pPr>
      <w:r>
        <w:rPr>
          <w:i/>
          <w:iCs/>
          <w:sz w:val="22"/>
          <w:szCs w:val="22"/>
        </w:rPr>
        <w:t>D</w:t>
      </w:r>
      <w:r w:rsidR="00ED3A4B">
        <w:rPr>
          <w:i/>
          <w:iCs/>
          <w:sz w:val="22"/>
          <w:szCs w:val="22"/>
        </w:rPr>
        <w:t>raftsman</w:t>
      </w:r>
      <w:r w:rsidR="009A0C0E">
        <w:rPr>
          <w:i/>
          <w:iCs/>
          <w:sz w:val="22"/>
          <w:szCs w:val="22"/>
        </w:rPr>
        <w:t xml:space="preserve"> of</w:t>
      </w:r>
      <w:r w:rsidR="009A6E6A">
        <w:rPr>
          <w:i/>
          <w:iCs/>
          <w:sz w:val="22"/>
          <w:szCs w:val="22"/>
        </w:rPr>
        <w:t xml:space="preserve"> new regime under</w:t>
      </w:r>
      <w:r w:rsidR="009A0C0E">
        <w:rPr>
          <w:i/>
          <w:iCs/>
          <w:sz w:val="22"/>
          <w:szCs w:val="22"/>
        </w:rPr>
        <w:t xml:space="preserve"> Rule 32</w:t>
      </w:r>
      <w:r w:rsidR="00ED3A4B">
        <w:rPr>
          <w:i/>
          <w:iCs/>
          <w:sz w:val="22"/>
          <w:szCs w:val="22"/>
        </w:rPr>
        <w:t xml:space="preserve"> could not have intended</w:t>
      </w:r>
      <w:r w:rsidR="009A0C0E">
        <w:rPr>
          <w:i/>
          <w:iCs/>
          <w:sz w:val="22"/>
          <w:szCs w:val="22"/>
        </w:rPr>
        <w:t xml:space="preserve"> that Second Defendant</w:t>
      </w:r>
      <w:r>
        <w:rPr>
          <w:i/>
          <w:iCs/>
          <w:sz w:val="22"/>
          <w:szCs w:val="22"/>
        </w:rPr>
        <w:t xml:space="preserve"> through</w:t>
      </w:r>
      <w:r w:rsidR="009A0C0E">
        <w:rPr>
          <w:i/>
          <w:iCs/>
          <w:sz w:val="22"/>
          <w:szCs w:val="22"/>
        </w:rPr>
        <w:t xml:space="preserve"> </w:t>
      </w:r>
      <w:r>
        <w:rPr>
          <w:i/>
          <w:iCs/>
          <w:sz w:val="22"/>
          <w:szCs w:val="22"/>
        </w:rPr>
        <w:t>unopposed</w:t>
      </w:r>
      <w:r w:rsidR="00834DD2">
        <w:rPr>
          <w:i/>
          <w:iCs/>
          <w:sz w:val="22"/>
          <w:szCs w:val="22"/>
        </w:rPr>
        <w:t xml:space="preserve"> notice to amend </w:t>
      </w:r>
      <w:r w:rsidR="009A0C0E">
        <w:rPr>
          <w:i/>
          <w:iCs/>
          <w:sz w:val="22"/>
          <w:szCs w:val="22"/>
        </w:rPr>
        <w:t>plea</w:t>
      </w:r>
      <w:r>
        <w:rPr>
          <w:i/>
          <w:iCs/>
          <w:sz w:val="22"/>
          <w:szCs w:val="22"/>
        </w:rPr>
        <w:t xml:space="preserve"> able to</w:t>
      </w:r>
      <w:r w:rsidR="009A0C0E">
        <w:rPr>
          <w:i/>
          <w:iCs/>
          <w:sz w:val="22"/>
          <w:szCs w:val="22"/>
        </w:rPr>
        <w:t xml:space="preserve"> frustrate Plaintiff’s right to procedural advantage of</w:t>
      </w:r>
      <w:r w:rsidR="00E67F61">
        <w:rPr>
          <w:i/>
          <w:iCs/>
          <w:sz w:val="22"/>
          <w:szCs w:val="22"/>
        </w:rPr>
        <w:t xml:space="preserve"> extant</w:t>
      </w:r>
      <w:r w:rsidR="009A0C0E">
        <w:rPr>
          <w:i/>
          <w:iCs/>
          <w:sz w:val="22"/>
          <w:szCs w:val="22"/>
        </w:rPr>
        <w:t xml:space="preserve"> summary judgment application</w:t>
      </w:r>
    </w:p>
    <w:p w14:paraId="691369EB" w14:textId="77777777" w:rsidR="009207FD" w:rsidRDefault="009207FD" w:rsidP="003374E6">
      <w:pPr>
        <w:pStyle w:val="Title"/>
        <w:jc w:val="both"/>
        <w:rPr>
          <w:i/>
          <w:iCs/>
          <w:sz w:val="22"/>
          <w:szCs w:val="22"/>
        </w:rPr>
      </w:pPr>
    </w:p>
    <w:p w14:paraId="413112C3" w14:textId="77777777" w:rsidR="009207FD" w:rsidRDefault="009207FD" w:rsidP="003374E6">
      <w:pPr>
        <w:pStyle w:val="Title"/>
        <w:jc w:val="both"/>
        <w:rPr>
          <w:i/>
          <w:iCs/>
          <w:sz w:val="22"/>
          <w:szCs w:val="22"/>
        </w:rPr>
      </w:pPr>
      <w:r>
        <w:rPr>
          <w:i/>
          <w:iCs/>
          <w:sz w:val="22"/>
          <w:szCs w:val="22"/>
        </w:rPr>
        <w:t>B</w:t>
      </w:r>
      <w:r w:rsidR="00AD7808">
        <w:rPr>
          <w:i/>
          <w:iCs/>
          <w:sz w:val="22"/>
          <w:szCs w:val="22"/>
        </w:rPr>
        <w:t>ut</w:t>
      </w:r>
      <w:r w:rsidR="009A6E6A">
        <w:rPr>
          <w:i/>
          <w:iCs/>
          <w:sz w:val="22"/>
          <w:szCs w:val="22"/>
        </w:rPr>
        <w:t xml:space="preserve"> draftsman could also not have intended</w:t>
      </w:r>
      <w:r>
        <w:rPr>
          <w:i/>
          <w:iCs/>
          <w:sz w:val="22"/>
          <w:szCs w:val="22"/>
        </w:rPr>
        <w:t xml:space="preserve"> by extending summary judgment to after the plea to be</w:t>
      </w:r>
      <w:r w:rsidR="009A6E6A">
        <w:rPr>
          <w:i/>
          <w:iCs/>
          <w:sz w:val="22"/>
          <w:szCs w:val="22"/>
        </w:rPr>
        <w:t xml:space="preserve"> constraining unqualified right to amend plea enshrined in Rule 28 </w:t>
      </w:r>
      <w:r w:rsidR="00AD7808">
        <w:rPr>
          <w:i/>
          <w:iCs/>
          <w:sz w:val="22"/>
          <w:szCs w:val="22"/>
        </w:rPr>
        <w:t xml:space="preserve"> </w:t>
      </w:r>
    </w:p>
    <w:p w14:paraId="11D53AE7" w14:textId="77777777" w:rsidR="009207FD" w:rsidRDefault="009207FD" w:rsidP="003374E6">
      <w:pPr>
        <w:pStyle w:val="Title"/>
        <w:jc w:val="both"/>
        <w:rPr>
          <w:i/>
          <w:iCs/>
          <w:sz w:val="22"/>
          <w:szCs w:val="22"/>
        </w:rPr>
      </w:pPr>
    </w:p>
    <w:p w14:paraId="78A32386" w14:textId="77777777" w:rsidR="009207FD" w:rsidRDefault="009207FD" w:rsidP="003374E6">
      <w:pPr>
        <w:pStyle w:val="Title"/>
        <w:jc w:val="both"/>
        <w:rPr>
          <w:i/>
          <w:iCs/>
          <w:sz w:val="22"/>
          <w:szCs w:val="22"/>
        </w:rPr>
      </w:pPr>
      <w:r>
        <w:rPr>
          <w:i/>
          <w:iCs/>
          <w:sz w:val="22"/>
          <w:szCs w:val="22"/>
        </w:rPr>
        <w:t>N</w:t>
      </w:r>
      <w:r w:rsidR="00AD7808">
        <w:rPr>
          <w:i/>
          <w:iCs/>
          <w:sz w:val="22"/>
          <w:szCs w:val="22"/>
        </w:rPr>
        <w:t>o provision in amended Rule 32 of steps available to Plaintiff</w:t>
      </w:r>
      <w:r w:rsidR="009D12C1">
        <w:rPr>
          <w:i/>
          <w:iCs/>
          <w:sz w:val="22"/>
          <w:szCs w:val="22"/>
        </w:rPr>
        <w:t xml:space="preserve"> in response to</w:t>
      </w:r>
      <w:r w:rsidR="00AD7808">
        <w:rPr>
          <w:i/>
          <w:iCs/>
          <w:sz w:val="22"/>
          <w:szCs w:val="22"/>
        </w:rPr>
        <w:t xml:space="preserve"> amendment to plea after affidavit resisting summary judgment </w:t>
      </w:r>
      <w:r w:rsidR="00E67F61">
        <w:rPr>
          <w:i/>
          <w:iCs/>
          <w:sz w:val="22"/>
          <w:szCs w:val="22"/>
        </w:rPr>
        <w:t>–</w:t>
      </w:r>
      <w:r w:rsidR="007359A8">
        <w:rPr>
          <w:i/>
          <w:iCs/>
          <w:sz w:val="22"/>
          <w:szCs w:val="22"/>
        </w:rPr>
        <w:t xml:space="preserve"> </w:t>
      </w:r>
      <w:r w:rsidR="008661EB" w:rsidRPr="003374E6">
        <w:rPr>
          <w:i/>
          <w:iCs/>
          <w:sz w:val="22"/>
          <w:szCs w:val="22"/>
        </w:rPr>
        <w:t xml:space="preserve">lacuna in Rule </w:t>
      </w:r>
      <w:r w:rsidR="00CF4104" w:rsidRPr="003374E6">
        <w:rPr>
          <w:i/>
          <w:iCs/>
          <w:sz w:val="22"/>
          <w:szCs w:val="22"/>
        </w:rPr>
        <w:t>32</w:t>
      </w:r>
    </w:p>
    <w:p w14:paraId="225DEE34" w14:textId="77777777" w:rsidR="009207FD" w:rsidRDefault="009207FD" w:rsidP="003374E6">
      <w:pPr>
        <w:pStyle w:val="Title"/>
        <w:jc w:val="both"/>
        <w:rPr>
          <w:i/>
          <w:iCs/>
          <w:sz w:val="22"/>
          <w:szCs w:val="22"/>
        </w:rPr>
      </w:pPr>
    </w:p>
    <w:p w14:paraId="22EB8A92" w14:textId="4902AB68" w:rsidR="008B5A95" w:rsidRPr="003374E6" w:rsidRDefault="009207FD" w:rsidP="003374E6">
      <w:pPr>
        <w:pStyle w:val="Title"/>
        <w:jc w:val="both"/>
        <w:rPr>
          <w:i/>
          <w:iCs/>
          <w:sz w:val="22"/>
          <w:szCs w:val="22"/>
        </w:rPr>
      </w:pPr>
      <w:r>
        <w:rPr>
          <w:i/>
          <w:iCs/>
          <w:sz w:val="22"/>
          <w:szCs w:val="22"/>
        </w:rPr>
        <w:t>I</w:t>
      </w:r>
      <w:r w:rsidR="00460B41">
        <w:rPr>
          <w:i/>
          <w:iCs/>
          <w:sz w:val="22"/>
          <w:szCs w:val="22"/>
        </w:rPr>
        <w:t xml:space="preserve">n </w:t>
      </w:r>
      <w:proofErr w:type="spellStart"/>
      <w:r w:rsidR="00460B41">
        <w:rPr>
          <w:i/>
          <w:iCs/>
          <w:sz w:val="22"/>
          <w:szCs w:val="22"/>
        </w:rPr>
        <w:t>casu</w:t>
      </w:r>
      <w:proofErr w:type="spellEnd"/>
      <w:r w:rsidR="000F1E85" w:rsidRPr="003374E6">
        <w:rPr>
          <w:i/>
          <w:iCs/>
          <w:sz w:val="22"/>
          <w:szCs w:val="22"/>
        </w:rPr>
        <w:t xml:space="preserve"> lacuna overcome by</w:t>
      </w:r>
      <w:r w:rsidR="009D12C1">
        <w:rPr>
          <w:i/>
          <w:iCs/>
          <w:sz w:val="22"/>
          <w:szCs w:val="22"/>
        </w:rPr>
        <w:t xml:space="preserve"> grant of</w:t>
      </w:r>
      <w:r w:rsidR="000F1E85" w:rsidRPr="003374E6">
        <w:rPr>
          <w:i/>
          <w:iCs/>
          <w:sz w:val="22"/>
          <w:szCs w:val="22"/>
        </w:rPr>
        <w:t xml:space="preserve"> leave to</w:t>
      </w:r>
      <w:r w:rsidR="00DC4583" w:rsidRPr="003374E6">
        <w:rPr>
          <w:i/>
          <w:iCs/>
          <w:sz w:val="22"/>
          <w:szCs w:val="22"/>
        </w:rPr>
        <w:t xml:space="preserve"> Plaintiff to withdraw application for summary judgment</w:t>
      </w:r>
      <w:r w:rsidR="00F35A74">
        <w:rPr>
          <w:i/>
          <w:iCs/>
          <w:sz w:val="22"/>
          <w:szCs w:val="22"/>
        </w:rPr>
        <w:t xml:space="preserve"> at Sec</w:t>
      </w:r>
      <w:r w:rsidR="00834DD2">
        <w:rPr>
          <w:i/>
          <w:iCs/>
          <w:sz w:val="22"/>
          <w:szCs w:val="22"/>
        </w:rPr>
        <w:t>ond Defendant’s cost and</w:t>
      </w:r>
      <w:r w:rsidR="00C82373" w:rsidRPr="003374E6">
        <w:rPr>
          <w:i/>
          <w:iCs/>
          <w:sz w:val="22"/>
          <w:szCs w:val="22"/>
        </w:rPr>
        <w:t xml:space="preserve"> to</w:t>
      </w:r>
      <w:r w:rsidR="00DC4583" w:rsidRPr="003374E6">
        <w:rPr>
          <w:i/>
          <w:iCs/>
          <w:sz w:val="22"/>
          <w:szCs w:val="22"/>
        </w:rPr>
        <w:t xml:space="preserve"> </w:t>
      </w:r>
      <w:r w:rsidR="006C26E1" w:rsidRPr="003374E6">
        <w:rPr>
          <w:i/>
          <w:iCs/>
          <w:sz w:val="22"/>
          <w:szCs w:val="22"/>
        </w:rPr>
        <w:t>re-</w:t>
      </w:r>
      <w:r w:rsidR="00DC4583" w:rsidRPr="003374E6">
        <w:rPr>
          <w:i/>
          <w:iCs/>
          <w:sz w:val="22"/>
          <w:szCs w:val="22"/>
        </w:rPr>
        <w:t>initiate</w:t>
      </w:r>
      <w:r w:rsidR="006C26E1" w:rsidRPr="003374E6">
        <w:rPr>
          <w:i/>
          <w:iCs/>
          <w:sz w:val="22"/>
          <w:szCs w:val="22"/>
        </w:rPr>
        <w:t xml:space="preserve"> proceedings</w:t>
      </w:r>
      <w:r w:rsidR="00F35A74">
        <w:rPr>
          <w:i/>
          <w:iCs/>
          <w:sz w:val="22"/>
          <w:szCs w:val="22"/>
        </w:rPr>
        <w:t xml:space="preserve"> for summary judgment afresh</w:t>
      </w:r>
      <w:r w:rsidR="00C4367A" w:rsidRPr="003374E6">
        <w:rPr>
          <w:i/>
          <w:iCs/>
          <w:sz w:val="22"/>
          <w:szCs w:val="22"/>
        </w:rPr>
        <w:t xml:space="preserve"> -</w:t>
      </w:r>
      <w:r w:rsidR="00C82373" w:rsidRPr="003374E6">
        <w:rPr>
          <w:i/>
          <w:iCs/>
          <w:sz w:val="22"/>
          <w:szCs w:val="22"/>
        </w:rPr>
        <w:t xml:space="preserve"> Second Defendant</w:t>
      </w:r>
      <w:r w:rsidR="00572115" w:rsidRPr="003374E6">
        <w:rPr>
          <w:i/>
          <w:iCs/>
          <w:sz w:val="22"/>
          <w:szCs w:val="22"/>
        </w:rPr>
        <w:t xml:space="preserve"> ordered</w:t>
      </w:r>
      <w:r w:rsidR="00C82373" w:rsidRPr="003374E6">
        <w:rPr>
          <w:i/>
          <w:iCs/>
          <w:sz w:val="22"/>
          <w:szCs w:val="22"/>
        </w:rPr>
        <w:t xml:space="preserve"> to pay</w:t>
      </w:r>
      <w:r w:rsidR="00C4367A" w:rsidRPr="003374E6">
        <w:rPr>
          <w:i/>
          <w:iCs/>
          <w:sz w:val="22"/>
          <w:szCs w:val="22"/>
        </w:rPr>
        <w:t xml:space="preserve"> the</w:t>
      </w:r>
      <w:r w:rsidR="0048420C" w:rsidRPr="003374E6">
        <w:rPr>
          <w:i/>
          <w:iCs/>
          <w:sz w:val="22"/>
          <w:szCs w:val="22"/>
        </w:rPr>
        <w:t xml:space="preserve"> wasted</w:t>
      </w:r>
      <w:r w:rsidR="00572115" w:rsidRPr="003374E6">
        <w:rPr>
          <w:i/>
          <w:iCs/>
          <w:sz w:val="22"/>
          <w:szCs w:val="22"/>
        </w:rPr>
        <w:t xml:space="preserve"> costs</w:t>
      </w:r>
      <w:r w:rsidR="00A33EBA">
        <w:rPr>
          <w:i/>
          <w:iCs/>
          <w:sz w:val="22"/>
          <w:szCs w:val="22"/>
        </w:rPr>
        <w:t xml:space="preserve"> (excluding the costs of the opposed argument)</w:t>
      </w:r>
      <w:r w:rsidR="0048420C" w:rsidRPr="003374E6">
        <w:rPr>
          <w:i/>
          <w:iCs/>
          <w:sz w:val="22"/>
          <w:szCs w:val="22"/>
        </w:rPr>
        <w:t xml:space="preserve"> occasioned by the withdrawal of</w:t>
      </w:r>
      <w:r w:rsidR="000F1E85" w:rsidRPr="003374E6">
        <w:rPr>
          <w:i/>
          <w:iCs/>
          <w:sz w:val="22"/>
          <w:szCs w:val="22"/>
        </w:rPr>
        <w:t xml:space="preserve"> the</w:t>
      </w:r>
      <w:r w:rsidR="0048420C" w:rsidRPr="003374E6">
        <w:rPr>
          <w:i/>
          <w:iCs/>
          <w:sz w:val="22"/>
          <w:szCs w:val="22"/>
        </w:rPr>
        <w:t xml:space="preserve"> summary judgment proceedings </w:t>
      </w:r>
      <w:r w:rsidR="00572115" w:rsidRPr="003374E6">
        <w:rPr>
          <w:i/>
          <w:iCs/>
          <w:sz w:val="22"/>
          <w:szCs w:val="22"/>
        </w:rPr>
        <w:t>pursuant to standard obligation to pay</w:t>
      </w:r>
      <w:r w:rsidR="00C4367A" w:rsidRPr="003374E6">
        <w:rPr>
          <w:i/>
          <w:iCs/>
          <w:sz w:val="22"/>
          <w:szCs w:val="22"/>
        </w:rPr>
        <w:t xml:space="preserve"> wasted</w:t>
      </w:r>
      <w:r w:rsidR="00572115" w:rsidRPr="003374E6">
        <w:rPr>
          <w:i/>
          <w:iCs/>
          <w:sz w:val="22"/>
          <w:szCs w:val="22"/>
        </w:rPr>
        <w:t xml:space="preserve"> costs oc</w:t>
      </w:r>
      <w:r w:rsidR="00C4367A" w:rsidRPr="003374E6">
        <w:rPr>
          <w:i/>
          <w:iCs/>
          <w:sz w:val="22"/>
          <w:szCs w:val="22"/>
        </w:rPr>
        <w:t>c</w:t>
      </w:r>
      <w:r w:rsidR="00572115" w:rsidRPr="003374E6">
        <w:rPr>
          <w:i/>
          <w:iCs/>
          <w:sz w:val="22"/>
          <w:szCs w:val="22"/>
        </w:rPr>
        <w:t>a</w:t>
      </w:r>
      <w:r w:rsidR="00C4367A" w:rsidRPr="003374E6">
        <w:rPr>
          <w:i/>
          <w:iCs/>
          <w:sz w:val="22"/>
          <w:szCs w:val="22"/>
        </w:rPr>
        <w:t>sion</w:t>
      </w:r>
      <w:r w:rsidR="00572115" w:rsidRPr="003374E6">
        <w:rPr>
          <w:i/>
          <w:iCs/>
          <w:sz w:val="22"/>
          <w:szCs w:val="22"/>
        </w:rPr>
        <w:t>ed by amendment</w:t>
      </w:r>
      <w:r w:rsidR="00C4367A" w:rsidRPr="003374E6">
        <w:rPr>
          <w:i/>
          <w:iCs/>
          <w:sz w:val="22"/>
          <w:szCs w:val="22"/>
        </w:rPr>
        <w:t>s</w:t>
      </w:r>
    </w:p>
    <w:p w14:paraId="75508243" w14:textId="2CA24495" w:rsidR="00966D14" w:rsidRPr="003374E6" w:rsidRDefault="00966D14" w:rsidP="008B5A95">
      <w:pPr>
        <w:pStyle w:val="Title"/>
        <w:rPr>
          <w:i/>
          <w:iCs/>
          <w:sz w:val="22"/>
          <w:szCs w:val="22"/>
        </w:rPr>
      </w:pPr>
    </w:p>
    <w:p w14:paraId="181984B4" w14:textId="3803CB27" w:rsidR="00C54255" w:rsidRPr="003374E6" w:rsidRDefault="00966D14" w:rsidP="003374E6">
      <w:pPr>
        <w:pStyle w:val="Title"/>
        <w:jc w:val="both"/>
        <w:rPr>
          <w:i/>
          <w:iCs/>
          <w:sz w:val="22"/>
          <w:szCs w:val="22"/>
        </w:rPr>
      </w:pPr>
      <w:r w:rsidRPr="003374E6">
        <w:rPr>
          <w:i/>
          <w:iCs/>
          <w:sz w:val="22"/>
          <w:szCs w:val="22"/>
        </w:rPr>
        <w:t>The</w:t>
      </w:r>
      <w:r w:rsidR="00AF473D">
        <w:rPr>
          <w:i/>
          <w:iCs/>
          <w:sz w:val="22"/>
          <w:szCs w:val="22"/>
        </w:rPr>
        <w:t xml:space="preserve"> Plaintiff applied for summary judgment after receipt of the Second Defendant’s plea.</w:t>
      </w:r>
      <w:r w:rsidRPr="003374E6">
        <w:rPr>
          <w:i/>
          <w:iCs/>
          <w:sz w:val="22"/>
          <w:szCs w:val="22"/>
        </w:rPr>
        <w:t xml:space="preserve"> </w:t>
      </w:r>
      <w:r w:rsidR="009D41B2">
        <w:rPr>
          <w:i/>
          <w:iCs/>
          <w:sz w:val="22"/>
          <w:szCs w:val="22"/>
        </w:rPr>
        <w:t>In response, t</w:t>
      </w:r>
      <w:r w:rsidR="00AF473D">
        <w:rPr>
          <w:i/>
          <w:iCs/>
          <w:sz w:val="22"/>
          <w:szCs w:val="22"/>
        </w:rPr>
        <w:t xml:space="preserve">he </w:t>
      </w:r>
      <w:r w:rsidRPr="003374E6">
        <w:rPr>
          <w:i/>
          <w:iCs/>
          <w:sz w:val="22"/>
          <w:szCs w:val="22"/>
        </w:rPr>
        <w:t>Second Defendant</w:t>
      </w:r>
      <w:r w:rsidR="00AF473D">
        <w:rPr>
          <w:i/>
          <w:iCs/>
          <w:sz w:val="22"/>
          <w:szCs w:val="22"/>
        </w:rPr>
        <w:t xml:space="preserve"> </w:t>
      </w:r>
      <w:r w:rsidRPr="003374E6">
        <w:rPr>
          <w:i/>
          <w:iCs/>
          <w:sz w:val="22"/>
          <w:szCs w:val="22"/>
        </w:rPr>
        <w:t>delivered an affidavit resisting summary judgment</w:t>
      </w:r>
      <w:r w:rsidR="00A96D02">
        <w:rPr>
          <w:i/>
          <w:iCs/>
          <w:sz w:val="22"/>
          <w:szCs w:val="22"/>
        </w:rPr>
        <w:t xml:space="preserve"> based on the plea, but</w:t>
      </w:r>
      <w:r w:rsidR="009D41B2">
        <w:rPr>
          <w:i/>
          <w:iCs/>
          <w:sz w:val="22"/>
          <w:szCs w:val="22"/>
        </w:rPr>
        <w:t xml:space="preserve"> later</w:t>
      </w:r>
      <w:r w:rsidR="00AF473D">
        <w:rPr>
          <w:i/>
          <w:iCs/>
          <w:sz w:val="22"/>
          <w:szCs w:val="22"/>
        </w:rPr>
        <w:t xml:space="preserve"> amen</w:t>
      </w:r>
      <w:r w:rsidR="00A96D02">
        <w:rPr>
          <w:i/>
          <w:iCs/>
          <w:sz w:val="22"/>
          <w:szCs w:val="22"/>
        </w:rPr>
        <w:t>ded</w:t>
      </w:r>
      <w:r w:rsidR="00AF473D">
        <w:rPr>
          <w:i/>
          <w:iCs/>
          <w:sz w:val="22"/>
          <w:szCs w:val="22"/>
        </w:rPr>
        <w:t xml:space="preserve"> his plea</w:t>
      </w:r>
      <w:r w:rsidR="00A96D02">
        <w:rPr>
          <w:i/>
          <w:iCs/>
          <w:sz w:val="22"/>
          <w:szCs w:val="22"/>
        </w:rPr>
        <w:t xml:space="preserve"> by the</w:t>
      </w:r>
      <w:r w:rsidR="00107595">
        <w:rPr>
          <w:i/>
          <w:iCs/>
          <w:sz w:val="22"/>
          <w:szCs w:val="22"/>
        </w:rPr>
        <w:t xml:space="preserve"> </w:t>
      </w:r>
      <w:r w:rsidR="00512AF7">
        <w:rPr>
          <w:i/>
          <w:iCs/>
          <w:sz w:val="22"/>
          <w:szCs w:val="22"/>
        </w:rPr>
        <w:t>introduc</w:t>
      </w:r>
      <w:r w:rsidR="00107595">
        <w:rPr>
          <w:i/>
          <w:iCs/>
          <w:sz w:val="22"/>
          <w:szCs w:val="22"/>
        </w:rPr>
        <w:t>tion of</w:t>
      </w:r>
      <w:r w:rsidR="00512AF7">
        <w:rPr>
          <w:i/>
          <w:iCs/>
          <w:sz w:val="22"/>
          <w:szCs w:val="22"/>
        </w:rPr>
        <w:t xml:space="preserve"> an additional defence.</w:t>
      </w:r>
      <w:r w:rsidR="00107595">
        <w:rPr>
          <w:i/>
          <w:iCs/>
          <w:sz w:val="22"/>
          <w:szCs w:val="22"/>
        </w:rPr>
        <w:t xml:space="preserve"> Besides the absence of the required harmony between the amended plea and the affidavit resisting summary judgment, </w:t>
      </w:r>
      <w:r w:rsidR="00512AF7">
        <w:rPr>
          <w:i/>
          <w:iCs/>
          <w:sz w:val="22"/>
          <w:szCs w:val="22"/>
        </w:rPr>
        <w:t>the</w:t>
      </w:r>
      <w:r w:rsidR="00107595">
        <w:rPr>
          <w:i/>
          <w:iCs/>
          <w:sz w:val="22"/>
          <w:szCs w:val="22"/>
        </w:rPr>
        <w:t xml:space="preserve"> </w:t>
      </w:r>
      <w:r w:rsidR="00512AF7">
        <w:rPr>
          <w:i/>
          <w:iCs/>
          <w:sz w:val="22"/>
          <w:szCs w:val="22"/>
        </w:rPr>
        <w:t>additional defence introduced by the amendment was not included in the</w:t>
      </w:r>
      <w:r w:rsidR="00107595">
        <w:rPr>
          <w:i/>
          <w:iCs/>
          <w:sz w:val="22"/>
          <w:szCs w:val="22"/>
        </w:rPr>
        <w:t xml:space="preserve"> Plaintiff’s</w:t>
      </w:r>
      <w:r w:rsidR="00512AF7">
        <w:rPr>
          <w:i/>
          <w:iCs/>
          <w:sz w:val="22"/>
          <w:szCs w:val="22"/>
        </w:rPr>
        <w:t xml:space="preserve"> peremptor</w:t>
      </w:r>
      <w:r w:rsidR="00A96D02">
        <w:rPr>
          <w:i/>
          <w:iCs/>
          <w:sz w:val="22"/>
          <w:szCs w:val="22"/>
        </w:rPr>
        <w:t>y</w:t>
      </w:r>
      <w:r w:rsidR="00512AF7">
        <w:rPr>
          <w:i/>
          <w:iCs/>
          <w:sz w:val="22"/>
          <w:szCs w:val="22"/>
        </w:rPr>
        <w:t xml:space="preserve"> brief explanation</w:t>
      </w:r>
      <w:r w:rsidR="007359A8">
        <w:rPr>
          <w:i/>
          <w:iCs/>
          <w:sz w:val="22"/>
          <w:szCs w:val="22"/>
        </w:rPr>
        <w:t xml:space="preserve"> in its founding affidavit as</w:t>
      </w:r>
      <w:r w:rsidR="00B333C8">
        <w:rPr>
          <w:i/>
          <w:iCs/>
          <w:sz w:val="22"/>
          <w:szCs w:val="22"/>
        </w:rPr>
        <w:t xml:space="preserve"> required by Rule 32(2</w:t>
      </w:r>
      <w:proofErr w:type="gramStart"/>
      <w:r w:rsidR="00B333C8">
        <w:rPr>
          <w:i/>
          <w:iCs/>
          <w:sz w:val="22"/>
          <w:szCs w:val="22"/>
        </w:rPr>
        <w:t>)(</w:t>
      </w:r>
      <w:proofErr w:type="gramEnd"/>
      <w:r w:rsidR="00B333C8">
        <w:rPr>
          <w:i/>
          <w:iCs/>
          <w:sz w:val="22"/>
          <w:szCs w:val="22"/>
        </w:rPr>
        <w:t>b)</w:t>
      </w:r>
      <w:r w:rsidR="00A96D02">
        <w:rPr>
          <w:i/>
          <w:iCs/>
          <w:sz w:val="22"/>
          <w:szCs w:val="22"/>
        </w:rPr>
        <w:t xml:space="preserve"> why the defence does not raise an issue for trial</w:t>
      </w:r>
      <w:r w:rsidR="00C8367B" w:rsidRPr="003374E6">
        <w:rPr>
          <w:i/>
          <w:iCs/>
          <w:sz w:val="22"/>
          <w:szCs w:val="22"/>
        </w:rPr>
        <w:t>.</w:t>
      </w:r>
    </w:p>
    <w:p w14:paraId="1D11BA00" w14:textId="77777777" w:rsidR="00C54255" w:rsidRPr="003374E6" w:rsidRDefault="00C54255" w:rsidP="008B5A95">
      <w:pPr>
        <w:pStyle w:val="Title"/>
        <w:rPr>
          <w:i/>
          <w:iCs/>
          <w:sz w:val="22"/>
          <w:szCs w:val="22"/>
        </w:rPr>
      </w:pPr>
    </w:p>
    <w:p w14:paraId="66702A14" w14:textId="4866CB41" w:rsidR="00011915" w:rsidRPr="003374E6" w:rsidRDefault="00B333C8" w:rsidP="003374E6">
      <w:pPr>
        <w:pStyle w:val="Title"/>
        <w:jc w:val="both"/>
        <w:rPr>
          <w:i/>
          <w:iCs/>
          <w:sz w:val="22"/>
          <w:szCs w:val="22"/>
        </w:rPr>
      </w:pPr>
      <w:r>
        <w:rPr>
          <w:i/>
          <w:iCs/>
          <w:sz w:val="22"/>
          <w:szCs w:val="22"/>
        </w:rPr>
        <w:t>Both parties therefore found themselves</w:t>
      </w:r>
      <w:r w:rsidR="00C428DF">
        <w:rPr>
          <w:i/>
          <w:iCs/>
          <w:sz w:val="22"/>
          <w:szCs w:val="22"/>
        </w:rPr>
        <w:t xml:space="preserve"> non-compliant with Rule 32 with</w:t>
      </w:r>
      <w:r w:rsidR="00D521F7">
        <w:rPr>
          <w:i/>
          <w:iCs/>
          <w:sz w:val="22"/>
          <w:szCs w:val="22"/>
        </w:rPr>
        <w:t>out having contravened the</w:t>
      </w:r>
      <w:r w:rsidR="00F30AF9">
        <w:rPr>
          <w:i/>
          <w:iCs/>
          <w:sz w:val="22"/>
          <w:szCs w:val="22"/>
        </w:rPr>
        <w:t xml:space="preserve"> Uniform</w:t>
      </w:r>
      <w:r w:rsidR="00D521F7">
        <w:rPr>
          <w:i/>
          <w:iCs/>
          <w:sz w:val="22"/>
          <w:szCs w:val="22"/>
        </w:rPr>
        <w:t xml:space="preserve"> Rule</w:t>
      </w:r>
      <w:r w:rsidR="00F30AF9">
        <w:rPr>
          <w:i/>
          <w:iCs/>
          <w:sz w:val="22"/>
          <w:szCs w:val="22"/>
        </w:rPr>
        <w:t>s</w:t>
      </w:r>
      <w:r w:rsidR="00D521F7">
        <w:rPr>
          <w:i/>
          <w:iCs/>
          <w:sz w:val="22"/>
          <w:szCs w:val="22"/>
        </w:rPr>
        <w:t xml:space="preserve"> in any way. The Second Defendant invited the Plaintiff to withdraw the application at his cost and to reinstitute the application </w:t>
      </w:r>
      <w:r w:rsidR="00593FD7">
        <w:rPr>
          <w:i/>
          <w:iCs/>
          <w:sz w:val="22"/>
          <w:szCs w:val="22"/>
        </w:rPr>
        <w:t>based on his amended plea. The Plaintiff declined the invitation</w:t>
      </w:r>
      <w:r w:rsidR="00F30AF9">
        <w:rPr>
          <w:i/>
          <w:iCs/>
          <w:sz w:val="22"/>
          <w:szCs w:val="22"/>
        </w:rPr>
        <w:t>. T</w:t>
      </w:r>
      <w:r w:rsidR="00593FD7">
        <w:rPr>
          <w:i/>
          <w:iCs/>
          <w:sz w:val="22"/>
          <w:szCs w:val="22"/>
        </w:rPr>
        <w:t>he Second Defendant</w:t>
      </w:r>
      <w:r w:rsidR="00F30AF9">
        <w:rPr>
          <w:i/>
          <w:iCs/>
          <w:sz w:val="22"/>
          <w:szCs w:val="22"/>
        </w:rPr>
        <w:t xml:space="preserve"> then</w:t>
      </w:r>
      <w:r w:rsidR="00593FD7">
        <w:rPr>
          <w:i/>
          <w:iCs/>
          <w:sz w:val="22"/>
          <w:szCs w:val="22"/>
        </w:rPr>
        <w:t xml:space="preserve"> delivered an unsolicited supplementary affidavit resisting summary judgment in harmony with his amended plea.</w:t>
      </w:r>
    </w:p>
    <w:p w14:paraId="6165BB14" w14:textId="77777777" w:rsidR="00011915" w:rsidRPr="003374E6" w:rsidRDefault="00011915" w:rsidP="008B5A95">
      <w:pPr>
        <w:pStyle w:val="Title"/>
        <w:rPr>
          <w:i/>
          <w:iCs/>
          <w:sz w:val="22"/>
          <w:szCs w:val="22"/>
        </w:rPr>
      </w:pPr>
    </w:p>
    <w:p w14:paraId="324DCE5E" w14:textId="5586183B" w:rsidR="008203F5" w:rsidRPr="003374E6" w:rsidRDefault="00F30AF9" w:rsidP="003374E6">
      <w:pPr>
        <w:pStyle w:val="Title"/>
        <w:jc w:val="both"/>
        <w:rPr>
          <w:i/>
          <w:iCs/>
          <w:sz w:val="22"/>
          <w:szCs w:val="22"/>
        </w:rPr>
      </w:pPr>
      <w:r>
        <w:rPr>
          <w:i/>
          <w:iCs/>
          <w:sz w:val="22"/>
          <w:szCs w:val="22"/>
        </w:rPr>
        <w:t>T</w:t>
      </w:r>
      <w:r w:rsidR="00011915" w:rsidRPr="003374E6">
        <w:rPr>
          <w:i/>
          <w:iCs/>
          <w:sz w:val="22"/>
          <w:szCs w:val="22"/>
        </w:rPr>
        <w:t>he Plaintiff</w:t>
      </w:r>
      <w:r>
        <w:rPr>
          <w:i/>
          <w:iCs/>
          <w:sz w:val="22"/>
          <w:szCs w:val="22"/>
        </w:rPr>
        <w:t xml:space="preserve"> ignored the supplementary affidavit resisting summary judgment and enrolled the </w:t>
      </w:r>
      <w:r w:rsidR="00A33EBA">
        <w:rPr>
          <w:i/>
          <w:iCs/>
          <w:sz w:val="22"/>
          <w:szCs w:val="22"/>
        </w:rPr>
        <w:t>application for summary judgment</w:t>
      </w:r>
      <w:r>
        <w:rPr>
          <w:i/>
          <w:iCs/>
          <w:sz w:val="22"/>
          <w:szCs w:val="22"/>
        </w:rPr>
        <w:t>. In argument it</w:t>
      </w:r>
      <w:r w:rsidR="00E2646C">
        <w:rPr>
          <w:i/>
          <w:iCs/>
          <w:sz w:val="22"/>
          <w:szCs w:val="22"/>
        </w:rPr>
        <w:t xml:space="preserve"> pointed to the disharmony </w:t>
      </w:r>
      <w:r w:rsidR="00E2646C">
        <w:rPr>
          <w:i/>
          <w:iCs/>
          <w:sz w:val="22"/>
          <w:szCs w:val="22"/>
        </w:rPr>
        <w:lastRenderedPageBreak/>
        <w:t>between the amended plea and the first affidavit resisting summary judgment and</w:t>
      </w:r>
      <w:r>
        <w:rPr>
          <w:i/>
          <w:iCs/>
          <w:sz w:val="22"/>
          <w:szCs w:val="22"/>
        </w:rPr>
        <w:t xml:space="preserve"> sought to persuade the Court to</w:t>
      </w:r>
      <w:r w:rsidR="00E2646C">
        <w:rPr>
          <w:i/>
          <w:iCs/>
          <w:sz w:val="22"/>
          <w:szCs w:val="22"/>
        </w:rPr>
        <w:t xml:space="preserve"> reject the Second Defendant’s defence on this basis </w:t>
      </w:r>
      <w:r w:rsidR="0086765E">
        <w:rPr>
          <w:i/>
          <w:iCs/>
          <w:sz w:val="22"/>
          <w:szCs w:val="22"/>
        </w:rPr>
        <w:t>alone. Not to be outdone, the Second Defendant sought summary dismissal of the application</w:t>
      </w:r>
      <w:r w:rsidR="007359A8">
        <w:rPr>
          <w:i/>
          <w:iCs/>
          <w:sz w:val="22"/>
          <w:szCs w:val="22"/>
        </w:rPr>
        <w:t xml:space="preserve"> due</w:t>
      </w:r>
      <w:r w:rsidR="00C13B8D">
        <w:rPr>
          <w:i/>
          <w:iCs/>
          <w:sz w:val="22"/>
          <w:szCs w:val="22"/>
        </w:rPr>
        <w:t xml:space="preserve"> to</w:t>
      </w:r>
      <w:r w:rsidR="0086765E">
        <w:rPr>
          <w:i/>
          <w:iCs/>
          <w:sz w:val="22"/>
          <w:szCs w:val="22"/>
        </w:rPr>
        <w:t xml:space="preserve"> the absence</w:t>
      </w:r>
      <w:r w:rsidR="00C13B8D">
        <w:rPr>
          <w:i/>
          <w:iCs/>
          <w:sz w:val="22"/>
          <w:szCs w:val="22"/>
        </w:rPr>
        <w:t xml:space="preserve"> of his additional defence in his plea as amended from</w:t>
      </w:r>
      <w:r w:rsidR="0086765E">
        <w:rPr>
          <w:i/>
          <w:iCs/>
          <w:sz w:val="22"/>
          <w:szCs w:val="22"/>
        </w:rPr>
        <w:t xml:space="preserve"> the Plaintiff’s brief explanation</w:t>
      </w:r>
      <w:r w:rsidR="00C13B8D">
        <w:rPr>
          <w:i/>
          <w:iCs/>
          <w:sz w:val="22"/>
          <w:szCs w:val="22"/>
        </w:rPr>
        <w:t xml:space="preserve"> in its founding affidavit</w:t>
      </w:r>
      <w:r w:rsidR="000C4EF8">
        <w:rPr>
          <w:i/>
          <w:iCs/>
          <w:sz w:val="22"/>
          <w:szCs w:val="22"/>
        </w:rPr>
        <w:t xml:space="preserve"> required by</w:t>
      </w:r>
      <w:r w:rsidR="0086765E">
        <w:rPr>
          <w:i/>
          <w:iCs/>
          <w:sz w:val="22"/>
          <w:szCs w:val="22"/>
        </w:rPr>
        <w:t xml:space="preserve"> Rule 32(2)(b)</w:t>
      </w:r>
      <w:r w:rsidR="000C4EF8">
        <w:rPr>
          <w:i/>
          <w:iCs/>
          <w:sz w:val="22"/>
          <w:szCs w:val="22"/>
        </w:rPr>
        <w:t xml:space="preserve"> as to</w:t>
      </w:r>
      <w:r w:rsidR="00C13B8D">
        <w:rPr>
          <w:i/>
          <w:iCs/>
          <w:sz w:val="22"/>
          <w:szCs w:val="22"/>
        </w:rPr>
        <w:t xml:space="preserve"> </w:t>
      </w:r>
      <w:r w:rsidR="0086765E">
        <w:rPr>
          <w:i/>
          <w:iCs/>
          <w:sz w:val="22"/>
          <w:szCs w:val="22"/>
        </w:rPr>
        <w:t>why th</w:t>
      </w:r>
      <w:r w:rsidR="000C4EF8">
        <w:rPr>
          <w:i/>
          <w:iCs/>
          <w:sz w:val="22"/>
          <w:szCs w:val="22"/>
        </w:rPr>
        <w:t>is additional</w:t>
      </w:r>
      <w:r w:rsidR="0086765E">
        <w:rPr>
          <w:i/>
          <w:iCs/>
          <w:sz w:val="22"/>
          <w:szCs w:val="22"/>
        </w:rPr>
        <w:t xml:space="preserve"> defence does not raise an issue for trial.</w:t>
      </w:r>
    </w:p>
    <w:p w14:paraId="1662E3EC" w14:textId="77777777" w:rsidR="008203F5" w:rsidRPr="003374E6" w:rsidRDefault="008203F5" w:rsidP="008B5A95">
      <w:pPr>
        <w:pStyle w:val="Title"/>
        <w:rPr>
          <w:i/>
          <w:iCs/>
          <w:sz w:val="22"/>
          <w:szCs w:val="22"/>
        </w:rPr>
      </w:pPr>
    </w:p>
    <w:p w14:paraId="682DCA23" w14:textId="11953519" w:rsidR="00966D14" w:rsidRPr="003374E6" w:rsidRDefault="008203F5" w:rsidP="003374E6">
      <w:pPr>
        <w:pStyle w:val="Title"/>
        <w:jc w:val="both"/>
        <w:rPr>
          <w:i/>
          <w:iCs/>
          <w:sz w:val="22"/>
          <w:szCs w:val="22"/>
          <w:u w:val="single"/>
        </w:rPr>
      </w:pPr>
      <w:r w:rsidRPr="003374E6">
        <w:rPr>
          <w:i/>
          <w:iCs/>
          <w:sz w:val="22"/>
          <w:szCs w:val="22"/>
        </w:rPr>
        <w:t>The Court</w:t>
      </w:r>
      <w:r w:rsidR="000C4EF8">
        <w:rPr>
          <w:i/>
          <w:iCs/>
          <w:sz w:val="22"/>
          <w:szCs w:val="22"/>
        </w:rPr>
        <w:t xml:space="preserve"> rejected both</w:t>
      </w:r>
      <w:r w:rsidR="00632786" w:rsidRPr="003374E6">
        <w:rPr>
          <w:i/>
          <w:iCs/>
          <w:sz w:val="22"/>
          <w:szCs w:val="22"/>
        </w:rPr>
        <w:t xml:space="preserve"> these</w:t>
      </w:r>
      <w:r w:rsidRPr="003374E6">
        <w:rPr>
          <w:i/>
          <w:iCs/>
          <w:sz w:val="22"/>
          <w:szCs w:val="22"/>
        </w:rPr>
        <w:t xml:space="preserve"> overly formalistic attempts to exploit </w:t>
      </w:r>
      <w:r w:rsidR="00632786" w:rsidRPr="003374E6">
        <w:rPr>
          <w:i/>
          <w:iCs/>
          <w:sz w:val="22"/>
          <w:szCs w:val="22"/>
        </w:rPr>
        <w:t>lacunas in a new and developing procedure by granting leave to the Plaintiff to withdraw the summary judgment application and re-launch the same proceedings</w:t>
      </w:r>
      <w:r w:rsidR="000276B5" w:rsidRPr="003374E6">
        <w:rPr>
          <w:i/>
          <w:iCs/>
          <w:sz w:val="22"/>
          <w:szCs w:val="22"/>
        </w:rPr>
        <w:t xml:space="preserve"> based on the amended plea. </w:t>
      </w:r>
      <w:r w:rsidR="00DF14C8" w:rsidRPr="003374E6">
        <w:rPr>
          <w:i/>
          <w:iCs/>
          <w:sz w:val="22"/>
          <w:szCs w:val="22"/>
        </w:rPr>
        <w:t>The Court also ordered the Second Defendant to pay all the wasted costs occasioned by the withdrawal of the application for summary judgment</w:t>
      </w:r>
      <w:r w:rsidR="000C4EF8">
        <w:rPr>
          <w:i/>
          <w:iCs/>
          <w:sz w:val="22"/>
          <w:szCs w:val="22"/>
        </w:rPr>
        <w:t>, save the costs of the opposed argument</w:t>
      </w:r>
      <w:r w:rsidR="004F7A0C" w:rsidRPr="003374E6">
        <w:rPr>
          <w:i/>
          <w:iCs/>
          <w:sz w:val="22"/>
          <w:szCs w:val="22"/>
        </w:rPr>
        <w:t xml:space="preserve"> </w:t>
      </w:r>
      <w:r w:rsidR="00A76636" w:rsidRPr="003374E6">
        <w:rPr>
          <w:i/>
          <w:iCs/>
          <w:sz w:val="22"/>
          <w:szCs w:val="22"/>
        </w:rPr>
        <w:t xml:space="preserve">  </w:t>
      </w:r>
    </w:p>
    <w:p w14:paraId="412FDA2E" w14:textId="77777777" w:rsidR="008B5A95" w:rsidRDefault="008B5A95" w:rsidP="008B5A95">
      <w:pPr>
        <w:pStyle w:val="Title"/>
        <w:rPr>
          <w:b/>
          <w:bCs/>
          <w:u w:val="single"/>
        </w:rPr>
      </w:pPr>
    </w:p>
    <w:p w14:paraId="2AF064A9" w14:textId="77777777" w:rsidR="008B5A95" w:rsidRDefault="008B5A95">
      <w:pPr>
        <w:pStyle w:val="Title"/>
      </w:pPr>
    </w:p>
    <w:p w14:paraId="345FDC3A" w14:textId="77777777" w:rsidR="008F6C0F" w:rsidRDefault="008F6C0F">
      <w:pPr>
        <w:pStyle w:val="Tit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1"/>
      </w:tblGrid>
      <w:tr w:rsidR="00B958BA" w14:paraId="6B8F0ECB" w14:textId="77777777">
        <w:tc>
          <w:tcPr>
            <w:tcW w:w="8811" w:type="dxa"/>
            <w:tcBorders>
              <w:top w:val="single" w:sz="4" w:space="0" w:color="auto"/>
              <w:left w:val="nil"/>
              <w:bottom w:val="single" w:sz="4" w:space="0" w:color="auto"/>
              <w:right w:val="nil"/>
            </w:tcBorders>
          </w:tcPr>
          <w:p w14:paraId="5C906274" w14:textId="77777777" w:rsidR="00B958BA" w:rsidRDefault="00B958BA">
            <w:pPr>
              <w:pStyle w:val="SingleLineSpacing"/>
            </w:pPr>
          </w:p>
          <w:p w14:paraId="2A1DDDA0" w14:textId="450B0E17" w:rsidR="00B958BA" w:rsidRPr="008F6C0F" w:rsidRDefault="00F74AEF">
            <w:pPr>
              <w:pStyle w:val="SingleLineSpacing"/>
              <w:spacing w:before="120" w:after="120"/>
              <w:jc w:val="center"/>
              <w:rPr>
                <w:b/>
              </w:rPr>
            </w:pPr>
            <w:r>
              <w:rPr>
                <w:b/>
              </w:rPr>
              <w:t>JUDGMENT</w:t>
            </w:r>
            <w:r w:rsidR="00B958BA" w:rsidRPr="008F6C0F">
              <w:rPr>
                <w:b/>
              </w:rPr>
              <w:fldChar w:fldCharType="begin"/>
            </w:r>
            <w:r w:rsidR="00B958BA" w:rsidRPr="008F6C0F">
              <w:rPr>
                <w:b/>
              </w:rPr>
              <w:instrText xml:space="preserve">  </w:instrText>
            </w:r>
            <w:r w:rsidR="00B958BA" w:rsidRPr="008F6C0F">
              <w:rPr>
                <w:b/>
              </w:rPr>
              <w:fldChar w:fldCharType="end"/>
            </w:r>
          </w:p>
          <w:p w14:paraId="56CC02AA" w14:textId="77777777" w:rsidR="00B958BA" w:rsidRDefault="00B958BA">
            <w:pPr>
              <w:pStyle w:val="SingleLineSpacing"/>
            </w:pPr>
          </w:p>
        </w:tc>
      </w:tr>
    </w:tbl>
    <w:p w14:paraId="6CBDCD67" w14:textId="63C70231" w:rsidR="006F7C73" w:rsidRDefault="00F74AEF" w:rsidP="0031638A">
      <w:pPr>
        <w:pStyle w:val="Heading1"/>
        <w:numPr>
          <w:ilvl w:val="0"/>
          <w:numId w:val="0"/>
        </w:numPr>
        <w:ind w:left="862" w:hanging="862"/>
        <w:rPr>
          <w:u w:val="single"/>
        </w:rPr>
      </w:pPr>
      <w:r>
        <w:rPr>
          <w:u w:val="single"/>
        </w:rPr>
        <w:t>KATZEW, AJ</w:t>
      </w:r>
    </w:p>
    <w:p w14:paraId="64ABF05C" w14:textId="7F7F2894" w:rsidR="00F74AEF" w:rsidRDefault="00F74AEF" w:rsidP="00F74AEF">
      <w:pPr>
        <w:pStyle w:val="Heading1"/>
      </w:pPr>
      <w:r>
        <w:t xml:space="preserve">This is an application for summary judgment </w:t>
      </w:r>
      <w:r w:rsidR="005E0738">
        <w:t>by Phoenix International Logistics (Pty) Ltd, the Plaintiff</w:t>
      </w:r>
      <w:r w:rsidR="004854E6">
        <w:t>,</w:t>
      </w:r>
      <w:r w:rsidR="005E0738">
        <w:t xml:space="preserve"> against Michael Maurice Ross, the Second Defendant.</w:t>
      </w:r>
    </w:p>
    <w:p w14:paraId="62EB2DD6" w14:textId="232757E4" w:rsidR="00BF57FF" w:rsidRDefault="00BF57FF" w:rsidP="00F74AEF">
      <w:pPr>
        <w:pStyle w:val="Heading1"/>
      </w:pPr>
      <w:r>
        <w:t>On 20 April 2020 the Plaintiff obtained judgment by default against the First Defendant, QD Cellular (Pty) Ltd, for the amount claimed in the summons, namely R2 718 738.58, plus interest and costs.</w:t>
      </w:r>
    </w:p>
    <w:p w14:paraId="3763854B" w14:textId="71567B41" w:rsidR="00BF57FF" w:rsidRDefault="00BF57FF" w:rsidP="00F74AEF">
      <w:pPr>
        <w:pStyle w:val="Heading1"/>
      </w:pPr>
      <w:r>
        <w:t xml:space="preserve">The Plaintiff’s cause of action for its claim against the Second Defendant is based on a </w:t>
      </w:r>
      <w:proofErr w:type="spellStart"/>
      <w:r>
        <w:t>suretyship</w:t>
      </w:r>
      <w:proofErr w:type="spellEnd"/>
      <w:r>
        <w:t xml:space="preserve"> by the Second Defendant covering the First Defendant’s indebtedness to the Plaintiff. The </w:t>
      </w:r>
      <w:r>
        <w:lastRenderedPageBreak/>
        <w:t>Plaintiff’s claim against the Second Defendant is for R2 718 738.58 plus interest and costs, which is co-extensive with the amount of the Plaintiff’s judgment against the First Defendant.</w:t>
      </w:r>
    </w:p>
    <w:p w14:paraId="1DC36DA4" w14:textId="57E16F7B" w:rsidR="00BF57FF" w:rsidRDefault="00BF57FF" w:rsidP="00F74AEF">
      <w:pPr>
        <w:pStyle w:val="Heading1"/>
      </w:pPr>
      <w:r>
        <w:t xml:space="preserve">The Plaintiff’ application for summary judgment against the Second Defendant is in terms of Uniform Rule </w:t>
      </w:r>
      <w:proofErr w:type="gramStart"/>
      <w:r>
        <w:t>Of</w:t>
      </w:r>
      <w:proofErr w:type="gramEnd"/>
      <w:r>
        <w:t xml:space="preserve"> Court 32 as amended on 1 July 2019. Accordingly, in terms of Uniform Rule Of Court </w:t>
      </w:r>
      <w:r w:rsidR="00B950B9">
        <w:t>32(2</w:t>
      </w:r>
      <w:proofErr w:type="gramStart"/>
      <w:r w:rsidR="00B950B9">
        <w:t>)(</w:t>
      </w:r>
      <w:proofErr w:type="gramEnd"/>
      <w:r w:rsidR="00B950B9">
        <w:t xml:space="preserve">a), the application for summary judgment was delivered after the Second Defendant delivered his </w:t>
      </w:r>
      <w:r w:rsidR="00B950B9" w:rsidRPr="00B950B9">
        <w:rPr>
          <w:b/>
          <w:bCs/>
        </w:rPr>
        <w:t>Second</w:t>
      </w:r>
      <w:r w:rsidR="00B950B9">
        <w:t xml:space="preserve"> </w:t>
      </w:r>
      <w:r w:rsidR="00B950B9" w:rsidRPr="00B950B9">
        <w:rPr>
          <w:b/>
          <w:bCs/>
        </w:rPr>
        <w:t>Defendant’s</w:t>
      </w:r>
      <w:r w:rsidR="00B950B9">
        <w:t xml:space="preserve"> </w:t>
      </w:r>
      <w:r w:rsidR="00B950B9" w:rsidRPr="00B950B9">
        <w:rPr>
          <w:b/>
          <w:bCs/>
        </w:rPr>
        <w:t>Plea</w:t>
      </w:r>
      <w:r w:rsidR="00B950B9">
        <w:t>.</w:t>
      </w:r>
    </w:p>
    <w:p w14:paraId="2BFD709B" w14:textId="70BD61BB" w:rsidR="00AE2D5A" w:rsidRDefault="00AE2D5A" w:rsidP="00F74AEF">
      <w:pPr>
        <w:pStyle w:val="Heading1"/>
      </w:pPr>
      <w:r>
        <w:t>The evolution of the application through the recently amended</w:t>
      </w:r>
      <w:r w:rsidR="004854E6">
        <w:t xml:space="preserve"> </w:t>
      </w:r>
      <w:proofErr w:type="gramStart"/>
      <w:r w:rsidR="004854E6">
        <w:t xml:space="preserve">Uniform </w:t>
      </w:r>
      <w:r w:rsidR="00B950B9">
        <w:t xml:space="preserve"> </w:t>
      </w:r>
      <w:r w:rsidR="004854E6">
        <w:t>R</w:t>
      </w:r>
      <w:r>
        <w:t>ule</w:t>
      </w:r>
      <w:proofErr w:type="gramEnd"/>
      <w:r w:rsidR="004854E6">
        <w:t xml:space="preserve"> Of Court</w:t>
      </w:r>
      <w:r>
        <w:t xml:space="preserve"> 32</w:t>
      </w:r>
      <w:r w:rsidR="004854E6">
        <w:t xml:space="preserve"> </w:t>
      </w:r>
      <w:r>
        <w:t>has brought about a stalemate in the proceedings due to what appears to be a lacuna in the amended rule.</w:t>
      </w:r>
    </w:p>
    <w:p w14:paraId="03AF33CE" w14:textId="058AEE79" w:rsidR="00AE2D5A" w:rsidRDefault="00AE2D5A" w:rsidP="00F74AEF">
      <w:pPr>
        <w:pStyle w:val="Heading1"/>
      </w:pPr>
      <w:r>
        <w:t>The passage of the matter that led to the stalemate is as follows:</w:t>
      </w:r>
    </w:p>
    <w:p w14:paraId="3DEB3D92" w14:textId="548D28FE" w:rsidR="00AE2D5A" w:rsidRDefault="00AE2D5A" w:rsidP="00AE2D5A">
      <w:pPr>
        <w:pStyle w:val="Heading2"/>
      </w:pPr>
      <w:r>
        <w:t xml:space="preserve">The Second Defendant delivered </w:t>
      </w:r>
      <w:r w:rsidRPr="002D21CA">
        <w:rPr>
          <w:b/>
          <w:bCs/>
        </w:rPr>
        <w:t>Second</w:t>
      </w:r>
      <w:r>
        <w:t xml:space="preserve"> </w:t>
      </w:r>
      <w:r w:rsidRPr="002D21CA">
        <w:rPr>
          <w:b/>
          <w:bCs/>
        </w:rPr>
        <w:t>Defendant’s</w:t>
      </w:r>
      <w:r>
        <w:t xml:space="preserve"> </w:t>
      </w:r>
      <w:r w:rsidRPr="002D21CA">
        <w:rPr>
          <w:b/>
          <w:bCs/>
        </w:rPr>
        <w:t>Plea</w:t>
      </w:r>
      <w:r>
        <w:t xml:space="preserve"> on 23 March 2020.  </w:t>
      </w:r>
    </w:p>
    <w:p w14:paraId="466A769C" w14:textId="368B5426" w:rsidR="00AE2D5A" w:rsidRDefault="00AE2D5A" w:rsidP="00AE2D5A">
      <w:pPr>
        <w:pStyle w:val="Heading2"/>
      </w:pPr>
      <w:r>
        <w:t xml:space="preserve">The Plaintiff delivered its </w:t>
      </w:r>
      <w:r w:rsidRPr="002D21CA">
        <w:rPr>
          <w:b/>
          <w:bCs/>
        </w:rPr>
        <w:t>Notice</w:t>
      </w:r>
      <w:r>
        <w:t xml:space="preserve"> </w:t>
      </w:r>
      <w:proofErr w:type="gramStart"/>
      <w:r w:rsidRPr="002D21CA">
        <w:rPr>
          <w:b/>
          <w:bCs/>
        </w:rPr>
        <w:t>Of</w:t>
      </w:r>
      <w:r>
        <w:t xml:space="preserve"> </w:t>
      </w:r>
      <w:r w:rsidRPr="002D21CA">
        <w:rPr>
          <w:b/>
          <w:bCs/>
        </w:rPr>
        <w:t>Application</w:t>
      </w:r>
      <w:r>
        <w:t xml:space="preserve"> </w:t>
      </w:r>
      <w:r w:rsidRPr="002D21CA">
        <w:rPr>
          <w:b/>
          <w:bCs/>
        </w:rPr>
        <w:t>For</w:t>
      </w:r>
      <w:proofErr w:type="gramEnd"/>
      <w:r>
        <w:t xml:space="preserve"> </w:t>
      </w:r>
      <w:r w:rsidRPr="002D21CA">
        <w:rPr>
          <w:b/>
          <w:bCs/>
        </w:rPr>
        <w:t>Summary</w:t>
      </w:r>
      <w:r>
        <w:t xml:space="preserve"> </w:t>
      </w:r>
      <w:r w:rsidRPr="002D21CA">
        <w:rPr>
          <w:b/>
          <w:bCs/>
        </w:rPr>
        <w:t>Judgment</w:t>
      </w:r>
      <w:r>
        <w:t xml:space="preserve"> </w:t>
      </w:r>
      <w:r w:rsidRPr="002D21CA">
        <w:rPr>
          <w:b/>
          <w:bCs/>
        </w:rPr>
        <w:t>In</w:t>
      </w:r>
      <w:r>
        <w:t xml:space="preserve"> </w:t>
      </w:r>
      <w:r w:rsidRPr="002D21CA">
        <w:rPr>
          <w:b/>
          <w:bCs/>
        </w:rPr>
        <w:t>Terms</w:t>
      </w:r>
      <w:r>
        <w:t xml:space="preserve"> </w:t>
      </w:r>
      <w:r w:rsidRPr="002D21CA">
        <w:rPr>
          <w:b/>
          <w:bCs/>
        </w:rPr>
        <w:t>Of</w:t>
      </w:r>
      <w:r>
        <w:t xml:space="preserve"> </w:t>
      </w:r>
      <w:r w:rsidRPr="002D21CA">
        <w:rPr>
          <w:b/>
          <w:bCs/>
        </w:rPr>
        <w:t>Rule</w:t>
      </w:r>
      <w:r>
        <w:t xml:space="preserve"> </w:t>
      </w:r>
      <w:r w:rsidRPr="002D21CA">
        <w:rPr>
          <w:b/>
          <w:bCs/>
        </w:rPr>
        <w:t>32</w:t>
      </w:r>
      <w:r>
        <w:t xml:space="preserve"> on 12 May 2020.</w:t>
      </w:r>
    </w:p>
    <w:p w14:paraId="1A281005" w14:textId="079AB329" w:rsidR="00AE2D5A" w:rsidRDefault="00AE2D5A" w:rsidP="00AE2D5A">
      <w:pPr>
        <w:pStyle w:val="Heading2"/>
      </w:pPr>
      <w:r>
        <w:lastRenderedPageBreak/>
        <w:t xml:space="preserve">The Second Defendant delivered </w:t>
      </w:r>
      <w:r w:rsidRPr="002D21CA">
        <w:rPr>
          <w:b/>
          <w:bCs/>
        </w:rPr>
        <w:t>Second</w:t>
      </w:r>
      <w:r>
        <w:t xml:space="preserve"> </w:t>
      </w:r>
      <w:r w:rsidRPr="002D21CA">
        <w:rPr>
          <w:b/>
          <w:bCs/>
        </w:rPr>
        <w:t>Respondent’s</w:t>
      </w:r>
      <w:r>
        <w:t xml:space="preserve"> </w:t>
      </w:r>
      <w:r w:rsidRPr="002D21CA">
        <w:rPr>
          <w:b/>
          <w:bCs/>
        </w:rPr>
        <w:t>Affidavit</w:t>
      </w:r>
      <w:r>
        <w:t xml:space="preserve"> </w:t>
      </w:r>
      <w:r w:rsidRPr="002D21CA">
        <w:rPr>
          <w:b/>
          <w:bCs/>
        </w:rPr>
        <w:t>Resisting</w:t>
      </w:r>
      <w:r>
        <w:t xml:space="preserve"> </w:t>
      </w:r>
      <w:r w:rsidRPr="002D21CA">
        <w:rPr>
          <w:b/>
          <w:bCs/>
        </w:rPr>
        <w:t>Summary</w:t>
      </w:r>
      <w:r>
        <w:t xml:space="preserve"> </w:t>
      </w:r>
      <w:r w:rsidRPr="002D21CA">
        <w:rPr>
          <w:b/>
          <w:bCs/>
        </w:rPr>
        <w:t>Judgment</w:t>
      </w:r>
      <w:r>
        <w:t xml:space="preserve"> </w:t>
      </w:r>
      <w:r w:rsidR="006F2670">
        <w:t>on 17 June 2020.</w:t>
      </w:r>
    </w:p>
    <w:p w14:paraId="54D7E4B0" w14:textId="2194B494" w:rsidR="006F2670" w:rsidRDefault="006F2670" w:rsidP="00AE2D5A">
      <w:pPr>
        <w:pStyle w:val="Heading2"/>
      </w:pPr>
      <w:r>
        <w:t xml:space="preserve">The Second Defendant delivered </w:t>
      </w:r>
      <w:r w:rsidRPr="002D21CA">
        <w:rPr>
          <w:b/>
          <w:bCs/>
        </w:rPr>
        <w:t>Second</w:t>
      </w:r>
      <w:r>
        <w:t xml:space="preserve"> </w:t>
      </w:r>
      <w:r w:rsidRPr="002D21CA">
        <w:rPr>
          <w:b/>
          <w:bCs/>
        </w:rPr>
        <w:t>Defendant’s</w:t>
      </w:r>
      <w:r>
        <w:t xml:space="preserve"> </w:t>
      </w:r>
      <w:r w:rsidRPr="002D21CA">
        <w:rPr>
          <w:b/>
          <w:bCs/>
        </w:rPr>
        <w:t>Notice</w:t>
      </w:r>
      <w:r>
        <w:t xml:space="preserve"> </w:t>
      </w:r>
      <w:proofErr w:type="gramStart"/>
      <w:r w:rsidRPr="002D21CA">
        <w:rPr>
          <w:b/>
          <w:bCs/>
        </w:rPr>
        <w:t>To</w:t>
      </w:r>
      <w:proofErr w:type="gramEnd"/>
      <w:r>
        <w:t xml:space="preserve"> </w:t>
      </w:r>
      <w:r w:rsidRPr="002D21CA">
        <w:rPr>
          <w:b/>
          <w:bCs/>
        </w:rPr>
        <w:t>Amend</w:t>
      </w:r>
      <w:r w:rsidR="00B950B9">
        <w:rPr>
          <w:b/>
          <w:bCs/>
        </w:rPr>
        <w:t xml:space="preserve"> [Plea]</w:t>
      </w:r>
      <w:r>
        <w:t xml:space="preserve"> </w:t>
      </w:r>
      <w:r w:rsidRPr="002D21CA">
        <w:rPr>
          <w:b/>
          <w:bCs/>
        </w:rPr>
        <w:t>In</w:t>
      </w:r>
      <w:r>
        <w:t xml:space="preserve"> </w:t>
      </w:r>
      <w:r w:rsidRPr="002D21CA">
        <w:rPr>
          <w:b/>
          <w:bCs/>
        </w:rPr>
        <w:t>Terms</w:t>
      </w:r>
      <w:r>
        <w:t xml:space="preserve"> </w:t>
      </w:r>
      <w:r w:rsidRPr="002D21CA">
        <w:rPr>
          <w:b/>
          <w:bCs/>
        </w:rPr>
        <w:t>Of</w:t>
      </w:r>
      <w:r>
        <w:t xml:space="preserve"> </w:t>
      </w:r>
      <w:r w:rsidRPr="002D21CA">
        <w:rPr>
          <w:b/>
          <w:bCs/>
        </w:rPr>
        <w:t>Rule</w:t>
      </w:r>
      <w:r>
        <w:t xml:space="preserve"> </w:t>
      </w:r>
      <w:r w:rsidRPr="002D21CA">
        <w:rPr>
          <w:b/>
          <w:bCs/>
        </w:rPr>
        <w:t>28</w:t>
      </w:r>
      <w:r>
        <w:t xml:space="preserve"> on 1 July 2020, whereto there was no objection by the Plaintiff.</w:t>
      </w:r>
    </w:p>
    <w:p w14:paraId="17A567D5" w14:textId="0863AB35" w:rsidR="006F2670" w:rsidRDefault="006F2670" w:rsidP="00AE2D5A">
      <w:pPr>
        <w:pStyle w:val="Heading2"/>
      </w:pPr>
      <w:r>
        <w:t xml:space="preserve">The Second Defendant delivered </w:t>
      </w:r>
      <w:r w:rsidRPr="002D21CA">
        <w:rPr>
          <w:b/>
          <w:bCs/>
        </w:rPr>
        <w:t>Second</w:t>
      </w:r>
      <w:r>
        <w:t xml:space="preserve"> </w:t>
      </w:r>
      <w:r w:rsidRPr="002D21CA">
        <w:rPr>
          <w:b/>
          <w:bCs/>
        </w:rPr>
        <w:t>Defendant’s</w:t>
      </w:r>
      <w:r>
        <w:t xml:space="preserve"> </w:t>
      </w:r>
      <w:r w:rsidRPr="002D21CA">
        <w:rPr>
          <w:b/>
          <w:bCs/>
        </w:rPr>
        <w:t>Amended</w:t>
      </w:r>
      <w:r>
        <w:t xml:space="preserve"> </w:t>
      </w:r>
      <w:r w:rsidRPr="002D21CA">
        <w:rPr>
          <w:b/>
          <w:bCs/>
        </w:rPr>
        <w:t>Plea</w:t>
      </w:r>
      <w:r>
        <w:t xml:space="preserve"> on 23 July 2020.  </w:t>
      </w:r>
    </w:p>
    <w:p w14:paraId="14EFF944" w14:textId="24C5227E" w:rsidR="006F2670" w:rsidRDefault="006F2670" w:rsidP="00AE2D5A">
      <w:pPr>
        <w:pStyle w:val="Heading2"/>
      </w:pPr>
      <w:r>
        <w:t xml:space="preserve">The Second Defendant delivered </w:t>
      </w:r>
      <w:r w:rsidRPr="002D21CA">
        <w:rPr>
          <w:b/>
          <w:bCs/>
        </w:rPr>
        <w:t>Second</w:t>
      </w:r>
      <w:r>
        <w:t xml:space="preserve"> </w:t>
      </w:r>
      <w:r w:rsidRPr="002D21CA">
        <w:rPr>
          <w:b/>
          <w:bCs/>
        </w:rPr>
        <w:t>Respondent’s</w:t>
      </w:r>
      <w:r>
        <w:t xml:space="preserve"> </w:t>
      </w:r>
      <w:r w:rsidRPr="002D21CA">
        <w:rPr>
          <w:b/>
          <w:bCs/>
        </w:rPr>
        <w:t>Supplementary</w:t>
      </w:r>
      <w:r>
        <w:t xml:space="preserve"> </w:t>
      </w:r>
      <w:r w:rsidRPr="002D21CA">
        <w:rPr>
          <w:b/>
          <w:bCs/>
        </w:rPr>
        <w:t>Affidavit</w:t>
      </w:r>
      <w:r>
        <w:t xml:space="preserve"> </w:t>
      </w:r>
      <w:r w:rsidRPr="002D21CA">
        <w:rPr>
          <w:b/>
          <w:bCs/>
        </w:rPr>
        <w:t>Resisting</w:t>
      </w:r>
      <w:r>
        <w:t xml:space="preserve"> </w:t>
      </w:r>
      <w:r w:rsidRPr="002D21CA">
        <w:rPr>
          <w:b/>
          <w:bCs/>
        </w:rPr>
        <w:t>Summary</w:t>
      </w:r>
      <w:r>
        <w:t xml:space="preserve"> </w:t>
      </w:r>
      <w:r w:rsidRPr="002D21CA">
        <w:rPr>
          <w:b/>
          <w:bCs/>
        </w:rPr>
        <w:t>Judgment</w:t>
      </w:r>
      <w:r>
        <w:t xml:space="preserve"> on 31 August 2020 in order to harmonise the defences in the affidavit resisting summary judgment with the defences in the amended plea.</w:t>
      </w:r>
    </w:p>
    <w:p w14:paraId="3F8F065A" w14:textId="5A70F5F4" w:rsidR="006F2670" w:rsidRDefault="006F2670" w:rsidP="006F2670">
      <w:pPr>
        <w:pStyle w:val="Heading1"/>
      </w:pPr>
      <w:r>
        <w:t xml:space="preserve">The stalemate </w:t>
      </w:r>
      <w:r w:rsidR="002D21CA">
        <w:t>h</w:t>
      </w:r>
      <w:r>
        <w:t>as</w:t>
      </w:r>
      <w:r w:rsidR="002D21CA">
        <w:t xml:space="preserve"> </w:t>
      </w:r>
      <w:r>
        <w:t>result</w:t>
      </w:r>
      <w:r w:rsidR="002D21CA">
        <w:t>ed from the omission</w:t>
      </w:r>
      <w:r w:rsidR="002F19F7">
        <w:t xml:space="preserve"> from</w:t>
      </w:r>
      <w:r>
        <w:t xml:space="preserve"> the </w:t>
      </w:r>
      <w:r w:rsidRPr="002D21CA">
        <w:rPr>
          <w:b/>
          <w:bCs/>
        </w:rPr>
        <w:t>Founding</w:t>
      </w:r>
      <w:r>
        <w:t xml:space="preserve"> </w:t>
      </w:r>
      <w:r w:rsidR="003B0EE1" w:rsidRPr="002D21CA">
        <w:rPr>
          <w:b/>
          <w:bCs/>
        </w:rPr>
        <w:t>Affidavit: Summary</w:t>
      </w:r>
      <w:r>
        <w:t xml:space="preserve"> </w:t>
      </w:r>
      <w:r w:rsidRPr="002D21CA">
        <w:rPr>
          <w:b/>
          <w:bCs/>
        </w:rPr>
        <w:t>Judgment</w:t>
      </w:r>
      <w:r>
        <w:t xml:space="preserve"> of the brief explanation</w:t>
      </w:r>
      <w:r w:rsidR="002D21CA">
        <w:t xml:space="preserve"> </w:t>
      </w:r>
      <w:r w:rsidR="002F19F7">
        <w:t>as to why the additional defence pleaded by the Second Defendant in the amended plea does not raise an issue for trial, which</w:t>
      </w:r>
      <w:r w:rsidR="002D21CA">
        <w:t xml:space="preserve"> is</w:t>
      </w:r>
      <w:r w:rsidR="002F19F7">
        <w:t xml:space="preserve"> a</w:t>
      </w:r>
      <w:r w:rsidR="002D21CA">
        <w:t xml:space="preserve"> require</w:t>
      </w:r>
      <w:r w:rsidR="00E836E2">
        <w:t>ment</w:t>
      </w:r>
      <w:r w:rsidR="002F19F7">
        <w:t xml:space="preserve"> of</w:t>
      </w:r>
      <w:r w:rsidR="002D21CA">
        <w:t xml:space="preserve"> Uniform Rule Of Court 32(2</w:t>
      </w:r>
      <w:proofErr w:type="gramStart"/>
      <w:r w:rsidR="002D21CA">
        <w:t>)(</w:t>
      </w:r>
      <w:proofErr w:type="gramEnd"/>
      <w:r w:rsidR="002D21CA">
        <w:t>b)</w:t>
      </w:r>
      <w:r>
        <w:t>.</w:t>
      </w:r>
    </w:p>
    <w:p w14:paraId="27B3C5FA" w14:textId="5B3D86E2" w:rsidR="00F76A74" w:rsidRDefault="00F76A74" w:rsidP="006F2670">
      <w:pPr>
        <w:pStyle w:val="Heading1"/>
      </w:pPr>
      <w:r>
        <w:t>Notwithstanding this def</w:t>
      </w:r>
      <w:r w:rsidR="002F19F7">
        <w:t xml:space="preserve">ect in its </w:t>
      </w:r>
      <w:r w:rsidR="002F19F7" w:rsidRPr="002F19F7">
        <w:rPr>
          <w:b/>
          <w:bCs/>
        </w:rPr>
        <w:t>Founding</w:t>
      </w:r>
      <w:r w:rsidR="002F19F7">
        <w:t xml:space="preserve"> </w:t>
      </w:r>
      <w:r w:rsidR="003B0EE1" w:rsidRPr="002F19F7">
        <w:rPr>
          <w:b/>
          <w:bCs/>
        </w:rPr>
        <w:t>Affidavit</w:t>
      </w:r>
      <w:r w:rsidR="003B0EE1">
        <w:rPr>
          <w:b/>
          <w:bCs/>
        </w:rPr>
        <w:t>:</w:t>
      </w:r>
      <w:r w:rsidR="003B0EE1" w:rsidRPr="002F19F7">
        <w:rPr>
          <w:b/>
          <w:bCs/>
        </w:rPr>
        <w:t xml:space="preserve"> Summary</w:t>
      </w:r>
      <w:r w:rsidR="002F19F7">
        <w:t xml:space="preserve"> </w:t>
      </w:r>
      <w:r w:rsidR="002F19F7" w:rsidRPr="002F19F7">
        <w:rPr>
          <w:b/>
          <w:bCs/>
        </w:rPr>
        <w:lastRenderedPageBreak/>
        <w:t>Judgment</w:t>
      </w:r>
      <w:r w:rsidR="002F19F7">
        <w:t xml:space="preserve"> </w:t>
      </w:r>
      <w:r>
        <w:t xml:space="preserve">, on 15 March 2021 the Plaintiff delivered a </w:t>
      </w:r>
      <w:r w:rsidRPr="002F19F7">
        <w:rPr>
          <w:b/>
          <w:bCs/>
        </w:rPr>
        <w:t>Notice</w:t>
      </w:r>
      <w:r>
        <w:t xml:space="preserve"> </w:t>
      </w:r>
      <w:r w:rsidRPr="002F19F7">
        <w:rPr>
          <w:b/>
          <w:bCs/>
        </w:rPr>
        <w:t>Of</w:t>
      </w:r>
      <w:r>
        <w:t xml:space="preserve"> </w:t>
      </w:r>
      <w:r w:rsidRPr="002F19F7">
        <w:rPr>
          <w:b/>
          <w:bCs/>
        </w:rPr>
        <w:t>Set</w:t>
      </w:r>
      <w:r>
        <w:t xml:space="preserve"> </w:t>
      </w:r>
      <w:r w:rsidRPr="002F19F7">
        <w:rPr>
          <w:b/>
          <w:bCs/>
        </w:rPr>
        <w:t>Down</w:t>
      </w:r>
      <w:r>
        <w:t xml:space="preserve"> of the opposed application for summary judgment on the opposed motion roll for 19 April 2021.</w:t>
      </w:r>
    </w:p>
    <w:p w14:paraId="1B07C510" w14:textId="777109DF" w:rsidR="00F76A74" w:rsidRDefault="002F19F7" w:rsidP="006F2670">
      <w:pPr>
        <w:pStyle w:val="Heading1"/>
      </w:pPr>
      <w:r>
        <w:t xml:space="preserve">During argument in the week of 19 April 2021, </w:t>
      </w:r>
      <w:r w:rsidR="00F76A74">
        <w:t>Ms Blumenthal for the Plaintiff submitted that the Court must ignore the supplementary affidavit resisting summary judgment and must dispose of the application for summary judgment on the basis of the first affidavit resisting summary judgment</w:t>
      </w:r>
      <w:r w:rsidR="0069405B">
        <w:t xml:space="preserve">, which is not in harmony with the amended plea. For this reason alone, the argument went, summary judgment </w:t>
      </w:r>
      <w:r w:rsidR="00891349">
        <w:t>sho</w:t>
      </w:r>
      <w:r w:rsidR="0069405B">
        <w:t>u</w:t>
      </w:r>
      <w:r w:rsidR="00891349">
        <w:t>ld</w:t>
      </w:r>
      <w:r w:rsidR="0069405B">
        <w:t xml:space="preserve"> be granted as prayed.</w:t>
      </w:r>
    </w:p>
    <w:p w14:paraId="5BC35799" w14:textId="79DB374F" w:rsidR="00F76A74" w:rsidRDefault="00F76A74" w:rsidP="006F2670">
      <w:pPr>
        <w:pStyle w:val="Heading1"/>
      </w:pPr>
      <w:r>
        <w:t xml:space="preserve">Mr </w:t>
      </w:r>
      <w:proofErr w:type="spellStart"/>
      <w:r>
        <w:t>Scholtz</w:t>
      </w:r>
      <w:proofErr w:type="spellEnd"/>
      <w:r>
        <w:t xml:space="preserve"> for the Second Defendant contend</w:t>
      </w:r>
      <w:r w:rsidR="002F19F7">
        <w:t>ed</w:t>
      </w:r>
      <w:r w:rsidR="0069405B">
        <w:t xml:space="preserve"> </w:t>
      </w:r>
      <w:r>
        <w:t>that the application for summary judgment is fatally</w:t>
      </w:r>
      <w:r w:rsidR="0069405B">
        <w:t xml:space="preserve"> flawed</w:t>
      </w:r>
      <w:r>
        <w:t xml:space="preserve"> due to the</w:t>
      </w:r>
      <w:r w:rsidR="002F19F7">
        <w:t xml:space="preserve"> omission from the </w:t>
      </w:r>
      <w:r w:rsidR="002F19F7" w:rsidRPr="002F19F7">
        <w:rPr>
          <w:b/>
          <w:bCs/>
        </w:rPr>
        <w:t>Founding</w:t>
      </w:r>
      <w:r w:rsidR="002F19F7">
        <w:t xml:space="preserve"> </w:t>
      </w:r>
      <w:r w:rsidR="003B0EE1" w:rsidRPr="002F19F7">
        <w:rPr>
          <w:b/>
          <w:bCs/>
        </w:rPr>
        <w:t>Affidavit: Summary</w:t>
      </w:r>
      <w:r w:rsidR="002F19F7">
        <w:t xml:space="preserve"> </w:t>
      </w:r>
      <w:r w:rsidR="002F19F7" w:rsidRPr="002F19F7">
        <w:rPr>
          <w:b/>
          <w:bCs/>
        </w:rPr>
        <w:t>Judgment</w:t>
      </w:r>
      <w:r>
        <w:t xml:space="preserve"> </w:t>
      </w:r>
      <w:r w:rsidR="002F19F7">
        <w:t>of</w:t>
      </w:r>
      <w:r>
        <w:t xml:space="preserve"> the</w:t>
      </w:r>
      <w:r w:rsidR="00891349">
        <w:t xml:space="preserve"> brief</w:t>
      </w:r>
      <w:r>
        <w:t xml:space="preserve"> explanation</w:t>
      </w:r>
      <w:r w:rsidR="0069405B">
        <w:t xml:space="preserve"> required</w:t>
      </w:r>
      <w:r w:rsidR="002F19F7">
        <w:t xml:space="preserve"> by Uniform Rule Of Court 32(2</w:t>
      </w:r>
      <w:proofErr w:type="gramStart"/>
      <w:r w:rsidR="002F19F7">
        <w:t>)(</w:t>
      </w:r>
      <w:proofErr w:type="gramEnd"/>
      <w:r w:rsidR="002F19F7">
        <w:t>b)</w:t>
      </w:r>
      <w:r>
        <w:t xml:space="preserve"> why the additional defence pleaded in the amended plea does not raise any issue for trial.</w:t>
      </w:r>
      <w:r w:rsidR="0069405B">
        <w:t xml:space="preserve"> On th</w:t>
      </w:r>
      <w:r w:rsidR="00AE341C">
        <w:t>is score alone</w:t>
      </w:r>
      <w:r w:rsidR="0069405B">
        <w:t xml:space="preserve">, </w:t>
      </w:r>
      <w:proofErr w:type="spellStart"/>
      <w:r w:rsidR="00891349">
        <w:t>Mr.</w:t>
      </w:r>
      <w:proofErr w:type="spellEnd"/>
      <w:r w:rsidR="00891349">
        <w:t xml:space="preserve"> </w:t>
      </w:r>
      <w:proofErr w:type="spellStart"/>
      <w:r w:rsidR="00891349">
        <w:t>Scholtz</w:t>
      </w:r>
      <w:proofErr w:type="spellEnd"/>
      <w:r w:rsidR="00891349">
        <w:t xml:space="preserve"> cont</w:t>
      </w:r>
      <w:r w:rsidR="00AE341C">
        <w:t>e</w:t>
      </w:r>
      <w:r w:rsidR="00891349">
        <w:t>n</w:t>
      </w:r>
      <w:r w:rsidR="00AE341C">
        <w:t>t</w:t>
      </w:r>
      <w:r w:rsidR="00891349">
        <w:t>ed,</w:t>
      </w:r>
      <w:r w:rsidR="0069405B">
        <w:t xml:space="preserve"> the application</w:t>
      </w:r>
      <w:r w:rsidR="00891349">
        <w:t xml:space="preserve"> for summary judgment should be dismissed and the Second Defendant must be granted leave to defend.</w:t>
      </w:r>
    </w:p>
    <w:p w14:paraId="5C4193FF" w14:textId="0E8DA246" w:rsidR="00891349" w:rsidRDefault="00891349" w:rsidP="006F2670">
      <w:pPr>
        <w:pStyle w:val="Heading1"/>
      </w:pPr>
      <w:r>
        <w:t>Although both</w:t>
      </w:r>
      <w:r w:rsidR="00E836E2">
        <w:t xml:space="preserve"> arguments are</w:t>
      </w:r>
      <w:r>
        <w:t xml:space="preserve"> technically sustainable on</w:t>
      </w:r>
      <w:r w:rsidR="00E836E2">
        <w:t xml:space="preserve"> a</w:t>
      </w:r>
      <w:r w:rsidR="00AE341C">
        <w:t xml:space="preserve"> strictly </w:t>
      </w:r>
      <w:r w:rsidR="00AE341C">
        <w:lastRenderedPageBreak/>
        <w:t>literal</w:t>
      </w:r>
      <w:r>
        <w:t xml:space="preserve"> interpretation of Uniform Rule </w:t>
      </w:r>
      <w:proofErr w:type="gramStart"/>
      <w:r>
        <w:t>Of</w:t>
      </w:r>
      <w:proofErr w:type="gramEnd"/>
      <w:r>
        <w:t xml:space="preserve"> Court 32, neither of the arguments are judici</w:t>
      </w:r>
      <w:r w:rsidR="000E7CE5">
        <w:t xml:space="preserve">ously </w:t>
      </w:r>
      <w:r>
        <w:t>tenable.</w:t>
      </w:r>
    </w:p>
    <w:p w14:paraId="37A27642" w14:textId="7EECFF2E" w:rsidR="00891349" w:rsidRDefault="00E32E1E" w:rsidP="006F2670">
      <w:pPr>
        <w:pStyle w:val="Heading1"/>
      </w:pPr>
      <w:proofErr w:type="spellStart"/>
      <w:r>
        <w:t>Ms</w:t>
      </w:r>
      <w:r w:rsidR="00B950B9">
        <w:t>.</w:t>
      </w:r>
      <w:proofErr w:type="spellEnd"/>
      <w:r>
        <w:t xml:space="preserve"> Blumenthal argued in the alternative</w:t>
      </w:r>
      <w:r w:rsidR="007B7DD6">
        <w:t xml:space="preserve"> (from the Bar – not in her heads)</w:t>
      </w:r>
      <w:r>
        <w:t xml:space="preserve"> that if the Court is inclined to have regard to </w:t>
      </w:r>
      <w:r w:rsidRPr="00E32E1E">
        <w:rPr>
          <w:b/>
          <w:bCs/>
        </w:rPr>
        <w:t>Second</w:t>
      </w:r>
      <w:r>
        <w:t xml:space="preserve"> </w:t>
      </w:r>
      <w:r w:rsidRPr="00E32E1E">
        <w:rPr>
          <w:b/>
          <w:bCs/>
        </w:rPr>
        <w:t>Respondent’s</w:t>
      </w:r>
      <w:r>
        <w:t xml:space="preserve"> </w:t>
      </w:r>
      <w:r w:rsidRPr="00E32E1E">
        <w:rPr>
          <w:b/>
          <w:bCs/>
        </w:rPr>
        <w:t>Supplementary</w:t>
      </w:r>
      <w:r>
        <w:t xml:space="preserve"> </w:t>
      </w:r>
      <w:r w:rsidRPr="00E32E1E">
        <w:rPr>
          <w:b/>
          <w:bCs/>
        </w:rPr>
        <w:t>Affidavit</w:t>
      </w:r>
      <w:r>
        <w:t xml:space="preserve"> </w:t>
      </w:r>
      <w:r w:rsidRPr="00E32E1E">
        <w:rPr>
          <w:b/>
          <w:bCs/>
        </w:rPr>
        <w:t>Resisting</w:t>
      </w:r>
      <w:r>
        <w:t xml:space="preserve"> </w:t>
      </w:r>
      <w:r w:rsidRPr="00E32E1E">
        <w:rPr>
          <w:b/>
          <w:bCs/>
        </w:rPr>
        <w:t>Summary</w:t>
      </w:r>
      <w:r>
        <w:t xml:space="preserve"> </w:t>
      </w:r>
      <w:r w:rsidRPr="00E32E1E">
        <w:rPr>
          <w:b/>
          <w:bCs/>
        </w:rPr>
        <w:t>Judgment</w:t>
      </w:r>
      <w:r w:rsidR="00891349">
        <w:t xml:space="preserve"> </w:t>
      </w:r>
      <w:r>
        <w:t xml:space="preserve">wherein the additional defence raised in the amended plea is canvassed, the brief explanation in the </w:t>
      </w:r>
      <w:r w:rsidRPr="00E32E1E">
        <w:rPr>
          <w:b/>
          <w:bCs/>
        </w:rPr>
        <w:t>Founding</w:t>
      </w:r>
      <w:r>
        <w:t xml:space="preserve"> </w:t>
      </w:r>
      <w:r w:rsidRPr="00E32E1E">
        <w:rPr>
          <w:b/>
          <w:bCs/>
        </w:rPr>
        <w:t>Affidavit:</w:t>
      </w:r>
      <w:r w:rsidR="00AA7729">
        <w:rPr>
          <w:b/>
          <w:bCs/>
        </w:rPr>
        <w:t xml:space="preserve"> </w:t>
      </w:r>
      <w:r w:rsidRPr="00E32E1E">
        <w:rPr>
          <w:b/>
          <w:bCs/>
        </w:rPr>
        <w:t>Summary</w:t>
      </w:r>
      <w:r>
        <w:t xml:space="preserve"> </w:t>
      </w:r>
      <w:r w:rsidRPr="00E32E1E">
        <w:rPr>
          <w:b/>
          <w:bCs/>
        </w:rPr>
        <w:t>Judgment</w:t>
      </w:r>
      <w:r>
        <w:t xml:space="preserve"> why the defences pleaded in the first plea do not raise an issue for trial is wide enough to cover the additional defence raised in the amended plea and in </w:t>
      </w:r>
      <w:r w:rsidRPr="005B7038">
        <w:rPr>
          <w:b/>
          <w:bCs/>
        </w:rPr>
        <w:t>Second</w:t>
      </w:r>
      <w:r>
        <w:t xml:space="preserve"> </w:t>
      </w:r>
      <w:r w:rsidRPr="005B7038">
        <w:rPr>
          <w:b/>
          <w:bCs/>
        </w:rPr>
        <w:t>Respondent’s</w:t>
      </w:r>
      <w:r>
        <w:t xml:space="preserve"> </w:t>
      </w:r>
      <w:r w:rsidRPr="005B7038">
        <w:rPr>
          <w:b/>
          <w:bCs/>
        </w:rPr>
        <w:t>Supplementary</w:t>
      </w:r>
      <w:r>
        <w:t xml:space="preserve"> </w:t>
      </w:r>
      <w:r w:rsidRPr="005B7038">
        <w:rPr>
          <w:b/>
          <w:bCs/>
        </w:rPr>
        <w:t>Affidavit</w:t>
      </w:r>
      <w:r>
        <w:t xml:space="preserve"> </w:t>
      </w:r>
      <w:r w:rsidRPr="005B7038">
        <w:rPr>
          <w:b/>
          <w:bCs/>
        </w:rPr>
        <w:t>Resisting</w:t>
      </w:r>
      <w:r>
        <w:t xml:space="preserve"> </w:t>
      </w:r>
      <w:r w:rsidRPr="005B7038">
        <w:rPr>
          <w:b/>
          <w:bCs/>
        </w:rPr>
        <w:t>Summary</w:t>
      </w:r>
      <w:r>
        <w:t xml:space="preserve"> </w:t>
      </w:r>
      <w:r w:rsidRPr="005B7038">
        <w:rPr>
          <w:b/>
          <w:bCs/>
        </w:rPr>
        <w:t>Judgment</w:t>
      </w:r>
      <w:r>
        <w:t xml:space="preserve">.  </w:t>
      </w:r>
    </w:p>
    <w:p w14:paraId="17C3A854" w14:textId="08D54020" w:rsidR="00DF262A" w:rsidRDefault="00B97EBA" w:rsidP="006F2670">
      <w:pPr>
        <w:pStyle w:val="Heading1"/>
      </w:pPr>
      <w:r>
        <w:t>This would have been the perfect solution to the conundrum had the brief explanation overlapped the additional defence. Careful scrutiny of both, however, reveals</w:t>
      </w:r>
      <w:r w:rsidR="004854E6">
        <w:t xml:space="preserve"> otherwise</w:t>
      </w:r>
      <w:r>
        <w:t xml:space="preserve">. </w:t>
      </w:r>
    </w:p>
    <w:p w14:paraId="41E598D3" w14:textId="77777777" w:rsidR="00F25AF2" w:rsidRDefault="00B97EBA" w:rsidP="006F2670">
      <w:pPr>
        <w:pStyle w:val="Heading1"/>
      </w:pPr>
      <w:r>
        <w:t>The additional defence pleaded in the amended plea</w:t>
      </w:r>
      <w:r w:rsidR="00F23854">
        <w:t xml:space="preserve">, namely that </w:t>
      </w:r>
      <w:proofErr w:type="spellStart"/>
      <w:r w:rsidR="00F23854">
        <w:t>Mr.</w:t>
      </w:r>
      <w:proofErr w:type="spellEnd"/>
      <w:r w:rsidR="00F23854">
        <w:t xml:space="preserve"> </w:t>
      </w:r>
      <w:proofErr w:type="spellStart"/>
      <w:r w:rsidR="00F23854">
        <w:t>Melnick</w:t>
      </w:r>
      <w:proofErr w:type="spellEnd"/>
      <w:r w:rsidR="00F23854">
        <w:t xml:space="preserve"> on behalf of the Plaintiff in the principal agreement owed a legal duty to the Second Defendant to limit the credit limits of the First Defendant to R250 000.00, alternatively to R1.5 million</w:t>
      </w:r>
      <w:r w:rsidR="00B950B9">
        <w:t>,</w:t>
      </w:r>
      <w:r w:rsidR="00F23854">
        <w:t xml:space="preserve"> and thereby limit the Second Defendant’s co-extensive exposure to the Plaintiff</w:t>
      </w:r>
      <w:r w:rsidR="00031469">
        <w:t>,</w:t>
      </w:r>
      <w:r w:rsidR="00F23854">
        <w:t xml:space="preserve"> </w:t>
      </w:r>
      <w:r>
        <w:t xml:space="preserve"> is </w:t>
      </w:r>
      <w:r>
        <w:lastRenderedPageBreak/>
        <w:t>an</w:t>
      </w:r>
      <w:r w:rsidR="00031469">
        <w:t xml:space="preserve"> additional and/or</w:t>
      </w:r>
      <w:r>
        <w:t xml:space="preserve"> alternative</w:t>
      </w:r>
      <w:r w:rsidR="00031469">
        <w:t xml:space="preserve"> defence</w:t>
      </w:r>
      <w:r>
        <w:t xml:space="preserve"> to the Second Defendant’s main plea on the merits</w:t>
      </w:r>
      <w:r w:rsidR="00B950B9">
        <w:t xml:space="preserve"> that he signed the application for credit in a representative capacity for the First Defendant</w:t>
      </w:r>
      <w:r w:rsidR="00F25AF2">
        <w:t xml:space="preserve"> mistakenly </w:t>
      </w:r>
      <w:r w:rsidR="00B950B9">
        <w:t xml:space="preserve"> not realizing due to</w:t>
      </w:r>
      <w:r w:rsidR="00F25AF2">
        <w:t xml:space="preserve"> misrepresentation that the document contained a </w:t>
      </w:r>
      <w:proofErr w:type="spellStart"/>
      <w:r w:rsidR="00F25AF2">
        <w:t>suretyship</w:t>
      </w:r>
      <w:proofErr w:type="spellEnd"/>
      <w:r w:rsidR="00F25AF2">
        <w:t>.</w:t>
      </w:r>
    </w:p>
    <w:p w14:paraId="5AD6EB2A" w14:textId="4751B714" w:rsidR="00DF262A" w:rsidRDefault="00F25AF2" w:rsidP="006F2670">
      <w:pPr>
        <w:pStyle w:val="Heading1"/>
      </w:pPr>
      <w:r>
        <w:t xml:space="preserve">The Second Defendant </w:t>
      </w:r>
      <w:r w:rsidR="00DF262A">
        <w:t>has maintained</w:t>
      </w:r>
      <w:r>
        <w:t xml:space="preserve"> this main plea on the merits</w:t>
      </w:r>
      <w:r w:rsidR="00DF262A">
        <w:t xml:space="preserve"> through the first plea and first affidavit resisting summary judgment right through to the amended plea and supplementary affidavit resisting summary judgment.</w:t>
      </w:r>
    </w:p>
    <w:p w14:paraId="27807337" w14:textId="604FE170" w:rsidR="00DF262A" w:rsidRDefault="00DF262A" w:rsidP="006F2670">
      <w:pPr>
        <w:pStyle w:val="Heading1"/>
      </w:pPr>
      <w:r>
        <w:t>This main defence on the merits</w:t>
      </w:r>
      <w:r w:rsidR="007D608B">
        <w:t xml:space="preserve"> by the Second Defendant</w:t>
      </w:r>
      <w:r w:rsidR="00F25AF2">
        <w:t xml:space="preserve">, underscored by absence of any knowledge of the </w:t>
      </w:r>
      <w:proofErr w:type="spellStart"/>
      <w:r w:rsidR="00F25AF2">
        <w:t>suretyship</w:t>
      </w:r>
      <w:proofErr w:type="spellEnd"/>
      <w:r w:rsidR="00F25AF2">
        <w:t xml:space="preserve"> on the part of the Second Defendant,</w:t>
      </w:r>
      <w:r>
        <w:t xml:space="preserve"> is in direct conflict with</w:t>
      </w:r>
      <w:r w:rsidR="000E7CE5">
        <w:t xml:space="preserve"> the Second Defendant’s</w:t>
      </w:r>
      <w:r>
        <w:t xml:space="preserve"> additional</w:t>
      </w:r>
      <w:r w:rsidR="00F25AF2">
        <w:t xml:space="preserve"> alternative</w:t>
      </w:r>
      <w:r>
        <w:t xml:space="preserve"> defence in</w:t>
      </w:r>
      <w:r w:rsidR="00F25AF2">
        <w:t>troduced in</w:t>
      </w:r>
      <w:r>
        <w:t xml:space="preserve"> his amended plea and supplementary affidavit resisting summary judgment that</w:t>
      </w:r>
      <w:r w:rsidR="00AE341C">
        <w:t xml:space="preserve"> his personal liability in terms of the </w:t>
      </w:r>
      <w:proofErr w:type="spellStart"/>
      <w:r w:rsidR="00AE341C">
        <w:t>suretyship</w:t>
      </w:r>
      <w:proofErr w:type="spellEnd"/>
      <w:r w:rsidR="00AE341C">
        <w:t xml:space="preserve"> was premised on the First Defendant’s credit limit being limited to either R250 000.00 or R1.5 million</w:t>
      </w:r>
      <w:r w:rsidR="00483027">
        <w:t xml:space="preserve"> which amounts were,</w:t>
      </w:r>
      <w:r w:rsidR="00F25AF2">
        <w:t xml:space="preserve"> in the</w:t>
      </w:r>
      <w:r w:rsidR="00483027">
        <w:t xml:space="preserve"> alternative, in the contemplation of the First Defendant</w:t>
      </w:r>
      <w:r w:rsidR="004854E6">
        <w:t xml:space="preserve"> (which of course predicates </w:t>
      </w:r>
      <w:r w:rsidR="008B4B27">
        <w:t>his</w:t>
      </w:r>
      <w:r w:rsidR="004854E6">
        <w:t xml:space="preserve"> personal knowled</w:t>
      </w:r>
      <w:r w:rsidR="008B4B27">
        <w:t xml:space="preserve">ge in contrast with his erstwhile no knowledge of the </w:t>
      </w:r>
      <w:proofErr w:type="spellStart"/>
      <w:r w:rsidR="008B4B27">
        <w:t>suretyship</w:t>
      </w:r>
      <w:proofErr w:type="spellEnd"/>
      <w:r w:rsidR="008B4B27">
        <w:t>)</w:t>
      </w:r>
      <w:r w:rsidR="00483027">
        <w:t xml:space="preserve"> and </w:t>
      </w:r>
      <w:proofErr w:type="spellStart"/>
      <w:r w:rsidR="00483027">
        <w:t>Mr.</w:t>
      </w:r>
      <w:proofErr w:type="spellEnd"/>
      <w:r w:rsidR="00483027">
        <w:t xml:space="preserve"> </w:t>
      </w:r>
      <w:proofErr w:type="spellStart"/>
      <w:r w:rsidR="00483027">
        <w:t>Melnick</w:t>
      </w:r>
      <w:proofErr w:type="spellEnd"/>
      <w:r w:rsidR="00483027">
        <w:t xml:space="preserve"> on behalf of the Plaintiff at the time they </w:t>
      </w:r>
      <w:r w:rsidR="00483027">
        <w:lastRenderedPageBreak/>
        <w:t>concluded the</w:t>
      </w:r>
      <w:r w:rsidR="00031469">
        <w:t xml:space="preserve"> </w:t>
      </w:r>
      <w:proofErr w:type="spellStart"/>
      <w:r w:rsidR="00483027">
        <w:t>suretyship</w:t>
      </w:r>
      <w:proofErr w:type="spellEnd"/>
      <w:r w:rsidR="00483027">
        <w:t xml:space="preserve"> agreement</w:t>
      </w:r>
      <w:r w:rsidR="007B7DD6">
        <w:t>,</w:t>
      </w:r>
      <w:r w:rsidR="00F25AF2">
        <w:t xml:space="preserve"> together with the legal duty owed to</w:t>
      </w:r>
      <w:r w:rsidR="008B4B27">
        <w:t xml:space="preserve"> the Second Defendant</w:t>
      </w:r>
      <w:r w:rsidR="00F25AF2">
        <w:t xml:space="preserve"> by </w:t>
      </w:r>
      <w:proofErr w:type="spellStart"/>
      <w:r w:rsidR="00F25AF2">
        <w:t>Mr.</w:t>
      </w:r>
      <w:proofErr w:type="spellEnd"/>
      <w:r w:rsidR="00F25AF2">
        <w:t xml:space="preserve"> </w:t>
      </w:r>
      <w:proofErr w:type="spellStart"/>
      <w:r w:rsidR="00F25AF2">
        <w:t>Melnick</w:t>
      </w:r>
      <w:proofErr w:type="spellEnd"/>
      <w:r w:rsidR="00F25AF2">
        <w:t xml:space="preserve"> to maintain those limits</w:t>
      </w:r>
      <w:r w:rsidR="000E7CE5">
        <w:t>,</w:t>
      </w:r>
      <w:r w:rsidR="00F25AF2">
        <w:t xml:space="preserve"> in the alternative</w:t>
      </w:r>
      <w:r w:rsidR="00483027">
        <w:t>.</w:t>
      </w:r>
      <w:r w:rsidR="00B97EBA">
        <w:t xml:space="preserve"> </w:t>
      </w:r>
    </w:p>
    <w:p w14:paraId="428A27E8" w14:textId="554D5B0E" w:rsidR="00B97EBA" w:rsidRDefault="00DF262A" w:rsidP="006F2670">
      <w:pPr>
        <w:pStyle w:val="Heading1"/>
      </w:pPr>
      <w:r>
        <w:t>If</w:t>
      </w:r>
      <w:r w:rsidR="008B4B27">
        <w:t>,</w:t>
      </w:r>
      <w:r w:rsidR="00F16E81">
        <w:t xml:space="preserve"> hypothetically</w:t>
      </w:r>
      <w:r w:rsidR="008B4B27">
        <w:t>,</w:t>
      </w:r>
      <w:r w:rsidR="00F16E81">
        <w:t xml:space="preserve"> </w:t>
      </w:r>
      <w:r>
        <w:t>this Court were to</w:t>
      </w:r>
      <w:r w:rsidR="005239DA">
        <w:t xml:space="preserve"> rely on the judgment of the Honourable </w:t>
      </w:r>
      <w:proofErr w:type="spellStart"/>
      <w:r w:rsidR="005239DA">
        <w:t>Blieden</w:t>
      </w:r>
      <w:proofErr w:type="spellEnd"/>
      <w:r w:rsidR="005239DA">
        <w:t xml:space="preserve">, J in </w:t>
      </w:r>
      <w:r w:rsidR="005239DA" w:rsidRPr="005239DA">
        <w:rPr>
          <w:b/>
          <w:bCs/>
          <w:i/>
          <w:iCs/>
        </w:rPr>
        <w:t>Standard</w:t>
      </w:r>
      <w:r w:rsidR="005239DA">
        <w:t xml:space="preserve"> </w:t>
      </w:r>
      <w:r w:rsidR="005239DA" w:rsidRPr="005239DA">
        <w:rPr>
          <w:b/>
          <w:bCs/>
          <w:i/>
          <w:iCs/>
        </w:rPr>
        <w:t>Bank</w:t>
      </w:r>
      <w:r w:rsidR="005239DA">
        <w:t xml:space="preserve"> </w:t>
      </w:r>
      <w:r w:rsidR="005239DA" w:rsidRPr="005239DA">
        <w:rPr>
          <w:b/>
          <w:bCs/>
          <w:i/>
          <w:iCs/>
        </w:rPr>
        <w:t>Of</w:t>
      </w:r>
      <w:r w:rsidR="005239DA">
        <w:t xml:space="preserve"> </w:t>
      </w:r>
      <w:r w:rsidR="005239DA" w:rsidRPr="005239DA">
        <w:rPr>
          <w:b/>
          <w:bCs/>
          <w:i/>
          <w:iCs/>
        </w:rPr>
        <w:t>South</w:t>
      </w:r>
      <w:r w:rsidR="005239DA">
        <w:t xml:space="preserve"> </w:t>
      </w:r>
      <w:r w:rsidR="005239DA" w:rsidRPr="005239DA">
        <w:rPr>
          <w:b/>
          <w:bCs/>
          <w:i/>
          <w:iCs/>
        </w:rPr>
        <w:t>Africa</w:t>
      </w:r>
      <w:r w:rsidR="005239DA">
        <w:t xml:space="preserve"> </w:t>
      </w:r>
      <w:r w:rsidR="005239DA" w:rsidRPr="005239DA">
        <w:rPr>
          <w:b/>
          <w:bCs/>
          <w:i/>
          <w:iCs/>
        </w:rPr>
        <w:t>Ltd</w:t>
      </w:r>
      <w:r w:rsidR="005239DA">
        <w:t xml:space="preserve"> </w:t>
      </w:r>
      <w:r w:rsidR="005239DA" w:rsidRPr="005239DA">
        <w:rPr>
          <w:b/>
          <w:bCs/>
          <w:i/>
          <w:iCs/>
        </w:rPr>
        <w:t>v</w:t>
      </w:r>
      <w:r w:rsidR="005239DA">
        <w:t xml:space="preserve"> </w:t>
      </w:r>
      <w:proofErr w:type="spellStart"/>
      <w:r w:rsidR="005239DA" w:rsidRPr="005239DA">
        <w:rPr>
          <w:b/>
          <w:bCs/>
          <w:i/>
          <w:iCs/>
        </w:rPr>
        <w:t>Roestof</w:t>
      </w:r>
      <w:proofErr w:type="spellEnd"/>
      <w:r w:rsidR="00770A32">
        <w:rPr>
          <w:rStyle w:val="FootnoteReference"/>
        </w:rPr>
        <w:footnoteReference w:id="1"/>
      </w:r>
      <w:r w:rsidR="00770A32">
        <w:t xml:space="preserve"> </w:t>
      </w:r>
      <w:r w:rsidR="005239DA">
        <w:t>and find that no prejudice has been caused to the Second Defendant by</w:t>
      </w:r>
      <w:r w:rsidR="00F16E81">
        <w:t xml:space="preserve"> the technical flaw in the </w:t>
      </w:r>
      <w:r w:rsidR="00F16E81" w:rsidRPr="00B24672">
        <w:rPr>
          <w:b/>
          <w:bCs/>
        </w:rPr>
        <w:t>Founding</w:t>
      </w:r>
      <w:r w:rsidR="00F16E81">
        <w:t xml:space="preserve"> </w:t>
      </w:r>
      <w:r w:rsidR="00F16E81" w:rsidRPr="00B24672">
        <w:rPr>
          <w:b/>
          <w:bCs/>
        </w:rPr>
        <w:t>Affidavit:</w:t>
      </w:r>
      <w:r w:rsidR="00AA7729">
        <w:rPr>
          <w:b/>
          <w:bCs/>
        </w:rPr>
        <w:t xml:space="preserve"> </w:t>
      </w:r>
      <w:r w:rsidR="00F16E81" w:rsidRPr="00B24672">
        <w:rPr>
          <w:b/>
          <w:bCs/>
        </w:rPr>
        <w:t>Summary</w:t>
      </w:r>
      <w:r w:rsidR="00F16E81">
        <w:t xml:space="preserve"> </w:t>
      </w:r>
      <w:r w:rsidR="00F16E81" w:rsidRPr="00B24672">
        <w:rPr>
          <w:b/>
          <w:bCs/>
        </w:rPr>
        <w:t>Judgment</w:t>
      </w:r>
      <w:r w:rsidR="007B7DD6">
        <w:t xml:space="preserve"> with the necessary corollary that the technical flaw in the </w:t>
      </w:r>
      <w:r w:rsidR="007B7DD6" w:rsidRPr="007B7DD6">
        <w:rPr>
          <w:b/>
          <w:bCs/>
        </w:rPr>
        <w:t>Founding</w:t>
      </w:r>
      <w:r w:rsidR="007B7DD6">
        <w:t xml:space="preserve"> </w:t>
      </w:r>
      <w:r w:rsidR="0093723D" w:rsidRPr="007B7DD6">
        <w:rPr>
          <w:b/>
          <w:bCs/>
        </w:rPr>
        <w:t>Affidavit: Summary</w:t>
      </w:r>
      <w:r w:rsidR="007B7DD6">
        <w:t xml:space="preserve"> </w:t>
      </w:r>
      <w:r w:rsidR="007B7DD6" w:rsidRPr="007B7DD6">
        <w:rPr>
          <w:b/>
          <w:bCs/>
        </w:rPr>
        <w:t>Judgment</w:t>
      </w:r>
      <w:r w:rsidR="007B7DD6">
        <w:t xml:space="preserve"> has been cured by the </w:t>
      </w:r>
      <w:r w:rsidR="008B4B27">
        <w:t xml:space="preserve">Second Defendant’s </w:t>
      </w:r>
      <w:r w:rsidR="007B7DD6">
        <w:t>delivery of his supplementary affidavit resisting summary judgment with the objective of harmonizing the affidavit with the amended plea, and</w:t>
      </w:r>
      <w:r w:rsidR="008B4B27">
        <w:t xml:space="preserve"> were to</w:t>
      </w:r>
      <w:r w:rsidR="00F16E81">
        <w:t xml:space="preserve"> </w:t>
      </w:r>
      <w:r>
        <w:t>find</w:t>
      </w:r>
      <w:r w:rsidR="005239DA">
        <w:t xml:space="preserve"> further</w:t>
      </w:r>
      <w:r w:rsidR="00B24672">
        <w:t xml:space="preserve"> that the Second Defendant has furnished</w:t>
      </w:r>
      <w:r w:rsidR="007D608B">
        <w:t xml:space="preserve"> two</w:t>
      </w:r>
      <w:r w:rsidR="00B24672">
        <w:t xml:space="preserve"> mutually destructive versions under oath and on th</w:t>
      </w:r>
      <w:r w:rsidR="000E7CE5">
        <w:t>at</w:t>
      </w:r>
      <w:r w:rsidR="00B24672">
        <w:t xml:space="preserve"> basis hold that </w:t>
      </w:r>
      <w:r w:rsidR="00B24672" w:rsidRPr="00B24672">
        <w:rPr>
          <w:b/>
          <w:bCs/>
        </w:rPr>
        <w:t>Second</w:t>
      </w:r>
      <w:r w:rsidR="00B24672">
        <w:t xml:space="preserve"> </w:t>
      </w:r>
      <w:r w:rsidR="00B24672" w:rsidRPr="00B24672">
        <w:rPr>
          <w:b/>
          <w:bCs/>
        </w:rPr>
        <w:t>Respondent’s</w:t>
      </w:r>
      <w:r w:rsidR="00B24672">
        <w:t xml:space="preserve"> </w:t>
      </w:r>
      <w:r w:rsidR="00B24672" w:rsidRPr="00B24672">
        <w:rPr>
          <w:b/>
          <w:bCs/>
        </w:rPr>
        <w:t>Supplementary</w:t>
      </w:r>
      <w:r w:rsidR="00B24672">
        <w:t xml:space="preserve"> </w:t>
      </w:r>
      <w:r w:rsidR="00B24672" w:rsidRPr="00B24672">
        <w:rPr>
          <w:b/>
          <w:bCs/>
        </w:rPr>
        <w:t>Affidavit</w:t>
      </w:r>
      <w:r w:rsidR="00B24672">
        <w:t xml:space="preserve"> </w:t>
      </w:r>
      <w:r w:rsidR="00B24672" w:rsidRPr="00B24672">
        <w:rPr>
          <w:b/>
          <w:bCs/>
        </w:rPr>
        <w:t>Resisting</w:t>
      </w:r>
      <w:r w:rsidR="00B24672">
        <w:t xml:space="preserve"> </w:t>
      </w:r>
      <w:r w:rsidR="00B24672" w:rsidRPr="00B24672">
        <w:rPr>
          <w:b/>
          <w:bCs/>
        </w:rPr>
        <w:t>Summary</w:t>
      </w:r>
      <w:r w:rsidR="00B24672">
        <w:t xml:space="preserve"> </w:t>
      </w:r>
      <w:r w:rsidR="00B24672" w:rsidRPr="00B24672">
        <w:rPr>
          <w:b/>
          <w:bCs/>
        </w:rPr>
        <w:t>Judgment</w:t>
      </w:r>
      <w:r w:rsidR="00B24672">
        <w:t xml:space="preserve"> does not raise an issue for trial and grant summary judgment as prayed, it is not unlikely that the Second Defendant will cry foul </w:t>
      </w:r>
      <w:r w:rsidR="008B4B27">
        <w:t>due to</w:t>
      </w:r>
      <w:r w:rsidR="007D608B">
        <w:t xml:space="preserve"> prejudice caused to him by</w:t>
      </w:r>
      <w:r w:rsidR="00B24672">
        <w:t xml:space="preserve"> the omission</w:t>
      </w:r>
      <w:r w:rsidR="007D608B">
        <w:t xml:space="preserve"> from the </w:t>
      </w:r>
      <w:r w:rsidR="007D608B" w:rsidRPr="007D608B">
        <w:rPr>
          <w:b/>
          <w:bCs/>
        </w:rPr>
        <w:t>Founding</w:t>
      </w:r>
      <w:r w:rsidR="007D608B">
        <w:t xml:space="preserve"> </w:t>
      </w:r>
      <w:r w:rsidR="003B0EE1" w:rsidRPr="007D608B">
        <w:rPr>
          <w:b/>
          <w:bCs/>
        </w:rPr>
        <w:t>Affidavit: Summary</w:t>
      </w:r>
      <w:r w:rsidR="007D608B">
        <w:t xml:space="preserve"> </w:t>
      </w:r>
      <w:r w:rsidR="007D608B" w:rsidRPr="007D608B">
        <w:rPr>
          <w:b/>
          <w:bCs/>
        </w:rPr>
        <w:t>Judgment</w:t>
      </w:r>
      <w:r w:rsidR="00B24672">
        <w:t xml:space="preserve"> of </w:t>
      </w:r>
      <w:r w:rsidR="005239DA">
        <w:t>the required brief explanation on the merits of the additional defence</w:t>
      </w:r>
      <w:r w:rsidR="007D608B">
        <w:t>,</w:t>
      </w:r>
      <w:r w:rsidR="005239DA">
        <w:t xml:space="preserve"> which</w:t>
      </w:r>
      <w:r w:rsidR="00E836E2">
        <w:t>,</w:t>
      </w:r>
      <w:r w:rsidR="007D608B">
        <w:t xml:space="preserve"> he</w:t>
      </w:r>
      <w:r w:rsidR="00E836E2">
        <w:t xml:space="preserve"> may</w:t>
      </w:r>
      <w:r w:rsidR="007D608B">
        <w:t xml:space="preserve"> conceivabl</w:t>
      </w:r>
      <w:r w:rsidR="00E836E2">
        <w:t>y</w:t>
      </w:r>
      <w:r w:rsidR="007D608B">
        <w:t xml:space="preserve"> say, </w:t>
      </w:r>
      <w:r w:rsidR="005239DA">
        <w:t xml:space="preserve"> would have </w:t>
      </w:r>
      <w:r w:rsidR="007D608B">
        <w:t>alert</w:t>
      </w:r>
      <w:r w:rsidR="005239DA">
        <w:t>ed</w:t>
      </w:r>
      <w:r w:rsidR="007D608B">
        <w:t xml:space="preserve"> him to an </w:t>
      </w:r>
      <w:r w:rsidR="007B7DD6">
        <w:lastRenderedPageBreak/>
        <w:t>apparent</w:t>
      </w:r>
      <w:r w:rsidR="007D608B">
        <w:t xml:space="preserve"> weakness in the amended plea</w:t>
      </w:r>
      <w:r w:rsidR="008B4B27">
        <w:t>,</w:t>
      </w:r>
      <w:r w:rsidR="000E7CE5">
        <w:t xml:space="preserve"> to</w:t>
      </w:r>
      <w:r w:rsidR="007D608B">
        <w:t xml:space="preserve"> which he may have had an answer in the supplementary affidavit resisting summary judgment.</w:t>
      </w:r>
    </w:p>
    <w:p w14:paraId="51BB049C" w14:textId="51C94245" w:rsidR="00031469" w:rsidRDefault="00031469" w:rsidP="006F2670">
      <w:pPr>
        <w:pStyle w:val="Heading1"/>
      </w:pPr>
      <w:r>
        <w:t>The</w:t>
      </w:r>
      <w:r w:rsidR="008B4B27">
        <w:t xml:space="preserve"> requirement of the brief</w:t>
      </w:r>
      <w:r w:rsidR="00990205">
        <w:t xml:space="preserve"> explanation</w:t>
      </w:r>
      <w:r>
        <w:t xml:space="preserve"> </w:t>
      </w:r>
      <w:r w:rsidR="008B4B27">
        <w:t>why</w:t>
      </w:r>
      <w:r>
        <w:t xml:space="preserve"> the pleaded defence does not raise any</w:t>
      </w:r>
      <w:r w:rsidR="00E96849">
        <w:t xml:space="preserve"> issue</w:t>
      </w:r>
      <w:r>
        <w:t xml:space="preserve"> for trial is</w:t>
      </w:r>
      <w:r w:rsidR="00E96849">
        <w:t xml:space="preserve"> precisely</w:t>
      </w:r>
      <w:r>
        <w:t xml:space="preserve"> to</w:t>
      </w:r>
      <w:r w:rsidR="008B4B27">
        <w:t xml:space="preserve"> require a plaintiff to</w:t>
      </w:r>
      <w:r>
        <w:t xml:space="preserve"> identify an issue</w:t>
      </w:r>
      <w:r w:rsidR="008B4B27">
        <w:t xml:space="preserve"> against a defence in a plea to afford the defendant an opportunity of joining issue with this criticism and of offering a tenable explanation</w:t>
      </w:r>
      <w:r w:rsidR="00990205">
        <w:t xml:space="preserve"> in the affidavit resisting summary judgment.</w:t>
      </w:r>
    </w:p>
    <w:p w14:paraId="6D065315" w14:textId="3DAD74A1" w:rsidR="0001436F" w:rsidRDefault="00031469" w:rsidP="006F2670">
      <w:pPr>
        <w:pStyle w:val="Heading1"/>
      </w:pPr>
      <w:r w:rsidRPr="00031469">
        <w:rPr>
          <w:i/>
          <w:iCs/>
        </w:rPr>
        <w:t>A</w:t>
      </w:r>
      <w:r>
        <w:t xml:space="preserve"> </w:t>
      </w:r>
      <w:r w:rsidRPr="00031469">
        <w:rPr>
          <w:i/>
          <w:iCs/>
        </w:rPr>
        <w:t>fortiori</w:t>
      </w:r>
      <w:r>
        <w:t xml:space="preserve"> if the Court relaxes this requirement in any conceivable way, </w:t>
      </w:r>
      <w:r w:rsidR="00E836E2">
        <w:t>the Second Defendant would be correct in</w:t>
      </w:r>
      <w:r>
        <w:t xml:space="preserve"> adopting the cry foul</w:t>
      </w:r>
      <w:r w:rsidR="00E836E2">
        <w:t xml:space="preserve"> approach from a strictly procedural point of view.</w:t>
      </w:r>
      <w:r w:rsidR="00EC5905">
        <w:t xml:space="preserve"> </w:t>
      </w:r>
    </w:p>
    <w:p w14:paraId="7599F924" w14:textId="4D351088" w:rsidR="00E836E2" w:rsidRDefault="00990205" w:rsidP="003D2A4F">
      <w:pPr>
        <w:pStyle w:val="Heading1"/>
      </w:pPr>
      <w:r>
        <w:t>The Court is therefore not disposed to making an order on the summary judgment application. The Court rather sees itself as required to</w:t>
      </w:r>
      <w:r w:rsidR="003D2A4F">
        <w:t xml:space="preserve"> make, or adopt</w:t>
      </w:r>
      <w:r>
        <w:t>,</w:t>
      </w:r>
      <w:r w:rsidR="003D2A4F">
        <w:t xml:space="preserve"> certain findings on Uniform Rule </w:t>
      </w:r>
      <w:proofErr w:type="gramStart"/>
      <w:r w:rsidR="003D2A4F">
        <w:t>Of</w:t>
      </w:r>
      <w:proofErr w:type="gramEnd"/>
      <w:r w:rsidR="003D2A4F">
        <w:t xml:space="preserve"> Court 32 in order to guide the parties in the further conduct of this matter.</w:t>
      </w:r>
    </w:p>
    <w:p w14:paraId="23ADF06C" w14:textId="7186EE71" w:rsidR="00031469" w:rsidRDefault="00F76A74" w:rsidP="00CE5945">
      <w:pPr>
        <w:pStyle w:val="Heading1"/>
      </w:pPr>
      <w:r>
        <w:t xml:space="preserve">During May of 2021, a month after </w:t>
      </w:r>
      <w:r w:rsidR="00F174A9">
        <w:t>this Court</w:t>
      </w:r>
      <w:r>
        <w:t xml:space="preserve"> reserved judgment in the matter, the case of </w:t>
      </w:r>
      <w:proofErr w:type="spellStart"/>
      <w:r>
        <w:rPr>
          <w:b/>
          <w:bCs/>
          <w:i/>
          <w:iCs/>
        </w:rPr>
        <w:t>Belrex</w:t>
      </w:r>
      <w:proofErr w:type="spellEnd"/>
      <w:r>
        <w:rPr>
          <w:b/>
          <w:bCs/>
          <w:i/>
          <w:iCs/>
        </w:rPr>
        <w:t xml:space="preserve"> 95 CC v </w:t>
      </w:r>
      <w:proofErr w:type="spellStart"/>
      <w:r>
        <w:rPr>
          <w:b/>
          <w:bCs/>
          <w:i/>
          <w:iCs/>
        </w:rPr>
        <w:t>Barday</w:t>
      </w:r>
      <w:proofErr w:type="spellEnd"/>
      <w:r w:rsidRPr="001167B0">
        <w:rPr>
          <w:rStyle w:val="FootnoteReference"/>
        </w:rPr>
        <w:footnoteReference w:id="2"/>
      </w:r>
      <w:r w:rsidRPr="001167B0">
        <w:t xml:space="preserve"> appeared</w:t>
      </w:r>
      <w:r>
        <w:t xml:space="preserve"> in the May </w:t>
      </w:r>
      <w:r>
        <w:lastRenderedPageBreak/>
        <w:t xml:space="preserve">2021 volume of the South African Law Reports. </w:t>
      </w:r>
      <w:r w:rsidR="00EC5905">
        <w:t xml:space="preserve">The Honourable </w:t>
      </w:r>
      <w:proofErr w:type="spellStart"/>
      <w:r w:rsidR="00EC5905">
        <w:t>Henney</w:t>
      </w:r>
      <w:proofErr w:type="spellEnd"/>
      <w:r w:rsidR="00EC5905">
        <w:t>,</w:t>
      </w:r>
      <w:r w:rsidR="0093723D">
        <w:t xml:space="preserve"> </w:t>
      </w:r>
      <w:r w:rsidR="00EC5905">
        <w:t>J is reported</w:t>
      </w:r>
      <w:r w:rsidR="00F174A9">
        <w:t xml:space="preserve"> as follows</w:t>
      </w:r>
      <w:r w:rsidR="00EC5905">
        <w:t xml:space="preserve"> therein a</w:t>
      </w:r>
      <w:r>
        <w:t>t 186I-187A:</w:t>
      </w:r>
    </w:p>
    <w:p w14:paraId="39EB1456" w14:textId="6C2BFA09" w:rsidR="00D823AC" w:rsidRDefault="00D823AC" w:rsidP="00D823AC">
      <w:pPr>
        <w:spacing w:line="360" w:lineRule="auto"/>
        <w:ind w:left="3022" w:hanging="3022"/>
        <w:rPr>
          <w:i/>
          <w:iCs/>
        </w:rPr>
      </w:pPr>
      <w:r>
        <w:tab/>
      </w:r>
      <w:r>
        <w:tab/>
      </w:r>
      <w:r>
        <w:rPr>
          <w:i/>
          <w:iCs/>
        </w:rPr>
        <w:t>“</w:t>
      </w:r>
      <w:r w:rsidRPr="00D823AC">
        <w:rPr>
          <w:i/>
          <w:iCs/>
        </w:rPr>
        <w:t>[31]</w:t>
      </w:r>
      <w:r>
        <w:rPr>
          <w:i/>
          <w:iCs/>
        </w:rPr>
        <w:tab/>
      </w:r>
      <w:r w:rsidRPr="00D823AC">
        <w:rPr>
          <w:i/>
          <w:iCs/>
        </w:rPr>
        <w:t xml:space="preserve">The mere fact that, in terms of the amended </w:t>
      </w:r>
      <w:r>
        <w:rPr>
          <w:i/>
          <w:iCs/>
        </w:rPr>
        <w:t>r</w:t>
      </w:r>
      <w:r w:rsidRPr="00D823AC">
        <w:rPr>
          <w:i/>
          <w:iCs/>
        </w:rPr>
        <w:t xml:space="preserve">ule, a plaintiff can only proceed with summary judgment after the defendant has delivered the </w:t>
      </w:r>
      <w:proofErr w:type="gramStart"/>
      <w:r w:rsidRPr="00D823AC">
        <w:rPr>
          <w:i/>
          <w:iCs/>
        </w:rPr>
        <w:t>plea,</w:t>
      </w:r>
      <w:proofErr w:type="gramEnd"/>
      <w:r w:rsidRPr="00D823AC">
        <w:rPr>
          <w:i/>
          <w:iCs/>
        </w:rPr>
        <w:t xml:space="preserve"> does not preclude the defendant from amending his plea after the plaintiff has proceeded with an application for summary judgment.  This is a lacuna which can be used as a stratagem by a defendant wishing to frustrate a plaintiff </w:t>
      </w:r>
      <w:r>
        <w:rPr>
          <w:i/>
          <w:iCs/>
        </w:rPr>
        <w:t xml:space="preserve">in </w:t>
      </w:r>
      <w:r w:rsidRPr="00D823AC">
        <w:rPr>
          <w:i/>
          <w:iCs/>
        </w:rPr>
        <w:t>proceeding with summary judgment.  It is also clearly something which the task team of the Rules Board may not have considered.</w:t>
      </w:r>
      <w:r>
        <w:rPr>
          <w:i/>
          <w:iCs/>
        </w:rPr>
        <w:t>”</w:t>
      </w:r>
    </w:p>
    <w:p w14:paraId="6E240EB2" w14:textId="4C2786B8" w:rsidR="00D823AC" w:rsidRDefault="003D2A4F" w:rsidP="00D823AC">
      <w:pPr>
        <w:pStyle w:val="Heading1"/>
      </w:pPr>
      <w:r>
        <w:t xml:space="preserve">Based hereon, </w:t>
      </w:r>
      <w:r w:rsidR="00D823AC">
        <w:t xml:space="preserve">Ms Blumenthal’s submission that this Court must ignore </w:t>
      </w:r>
      <w:r w:rsidR="00483027" w:rsidRPr="00483027">
        <w:rPr>
          <w:b/>
          <w:bCs/>
        </w:rPr>
        <w:t>Second</w:t>
      </w:r>
      <w:r w:rsidR="00483027">
        <w:t xml:space="preserve"> </w:t>
      </w:r>
      <w:r w:rsidR="00483027" w:rsidRPr="00483027">
        <w:rPr>
          <w:b/>
          <w:bCs/>
        </w:rPr>
        <w:t>Respondent’s</w:t>
      </w:r>
      <w:r w:rsidR="00483027">
        <w:t xml:space="preserve"> </w:t>
      </w:r>
      <w:r w:rsidR="00483027" w:rsidRPr="00483027">
        <w:rPr>
          <w:b/>
          <w:bCs/>
        </w:rPr>
        <w:t>Supplementary</w:t>
      </w:r>
      <w:r w:rsidR="00483027">
        <w:t xml:space="preserve"> </w:t>
      </w:r>
      <w:r w:rsidR="00483027" w:rsidRPr="00483027">
        <w:rPr>
          <w:b/>
          <w:bCs/>
        </w:rPr>
        <w:t>Affidavit</w:t>
      </w:r>
      <w:r w:rsidR="00483027">
        <w:t xml:space="preserve"> </w:t>
      </w:r>
      <w:r w:rsidR="00483027" w:rsidRPr="00483027">
        <w:rPr>
          <w:b/>
          <w:bCs/>
        </w:rPr>
        <w:t>Resisting</w:t>
      </w:r>
      <w:r w:rsidR="00483027">
        <w:t xml:space="preserve"> </w:t>
      </w:r>
      <w:r w:rsidR="00483027" w:rsidRPr="00483027">
        <w:rPr>
          <w:b/>
          <w:bCs/>
        </w:rPr>
        <w:t>Summary</w:t>
      </w:r>
      <w:r w:rsidR="00483027">
        <w:t xml:space="preserve"> </w:t>
      </w:r>
      <w:r w:rsidR="00483027" w:rsidRPr="00483027">
        <w:rPr>
          <w:b/>
          <w:bCs/>
        </w:rPr>
        <w:t>Judgment</w:t>
      </w:r>
      <w:r w:rsidR="00D823AC">
        <w:t xml:space="preserve"> for the purpose of the summary judgment application</w:t>
      </w:r>
      <w:r w:rsidR="00483027">
        <w:t>,</w:t>
      </w:r>
      <w:r w:rsidR="00D823AC">
        <w:t xml:space="preserve"> </w:t>
      </w:r>
      <w:r w:rsidR="00DC2520">
        <w:t xml:space="preserve">which by definition means ignoring the amended plea too, </w:t>
      </w:r>
      <w:r w:rsidR="00D823AC">
        <w:t>seeks to impose a</w:t>
      </w:r>
      <w:r w:rsidR="00DC2520">
        <w:t xml:space="preserve"> limitation</w:t>
      </w:r>
      <w:r w:rsidR="00D823AC">
        <w:t xml:space="preserve"> in Rule 32 o</w:t>
      </w:r>
      <w:r>
        <w:t xml:space="preserve">n a </w:t>
      </w:r>
      <w:r w:rsidR="009F4EC4">
        <w:t>defendant</w:t>
      </w:r>
      <w:r>
        <w:t>’s</w:t>
      </w:r>
      <w:r w:rsidR="00D823AC">
        <w:t xml:space="preserve"> right to a</w:t>
      </w:r>
      <w:r>
        <w:t>mend a</w:t>
      </w:r>
      <w:r w:rsidR="00D823AC">
        <w:t xml:space="preserve"> </w:t>
      </w:r>
      <w:r w:rsidR="00DC2520">
        <w:t xml:space="preserve">plea, </w:t>
      </w:r>
      <w:r w:rsidR="00D823AC">
        <w:t>which</w:t>
      </w:r>
      <w:r>
        <w:t xml:space="preserve"> is not recognized in the unlimited right to amend any time before judgment enshrined in Rule 28</w:t>
      </w:r>
      <w:r w:rsidR="009F4EC4">
        <w:t xml:space="preserve">. </w:t>
      </w:r>
      <w:r w:rsidR="00B664EF">
        <w:t xml:space="preserve">The Honourable </w:t>
      </w:r>
      <w:proofErr w:type="spellStart"/>
      <w:r w:rsidR="00D823AC">
        <w:t>Henney</w:t>
      </w:r>
      <w:proofErr w:type="spellEnd"/>
      <w:r w:rsidR="00D823AC">
        <w:t xml:space="preserve">, J pronounced hereon as follows in </w:t>
      </w:r>
      <w:proofErr w:type="spellStart"/>
      <w:r w:rsidR="00D823AC">
        <w:rPr>
          <w:b/>
          <w:bCs/>
          <w:i/>
          <w:iCs/>
        </w:rPr>
        <w:t>Belrex</w:t>
      </w:r>
      <w:proofErr w:type="spellEnd"/>
      <w:r w:rsidR="00D823AC">
        <w:rPr>
          <w:b/>
          <w:bCs/>
          <w:i/>
          <w:iCs/>
        </w:rPr>
        <w:t xml:space="preserve"> 95 CC v </w:t>
      </w:r>
      <w:proofErr w:type="spellStart"/>
      <w:r w:rsidR="00D823AC">
        <w:rPr>
          <w:b/>
          <w:bCs/>
          <w:i/>
          <w:iCs/>
        </w:rPr>
        <w:t>Barday</w:t>
      </w:r>
      <w:proofErr w:type="spellEnd"/>
      <w:r w:rsidR="00D823AC">
        <w:rPr>
          <w:b/>
          <w:bCs/>
          <w:i/>
          <w:iCs/>
        </w:rPr>
        <w:t xml:space="preserve"> </w:t>
      </w:r>
      <w:r w:rsidR="00D823AC">
        <w:t>(</w:t>
      </w:r>
      <w:r w:rsidR="00D823AC" w:rsidRPr="003E0B3D">
        <w:rPr>
          <w:i/>
        </w:rPr>
        <w:t>supra</w:t>
      </w:r>
      <w:r w:rsidR="00D823AC">
        <w:t>) at 186G-I:</w:t>
      </w:r>
    </w:p>
    <w:p w14:paraId="2DEE23C4" w14:textId="7C34F991" w:rsidR="00D823AC" w:rsidRDefault="00D823AC" w:rsidP="00D823AC">
      <w:pPr>
        <w:spacing w:line="360" w:lineRule="auto"/>
        <w:ind w:left="3022" w:hanging="3022"/>
        <w:rPr>
          <w:i/>
          <w:iCs/>
        </w:rPr>
      </w:pPr>
      <w:r>
        <w:lastRenderedPageBreak/>
        <w:tab/>
      </w:r>
      <w:r>
        <w:tab/>
      </w:r>
      <w:r>
        <w:rPr>
          <w:i/>
          <w:iCs/>
        </w:rPr>
        <w:t>“[30]</w:t>
      </w:r>
      <w:r>
        <w:rPr>
          <w:i/>
          <w:iCs/>
        </w:rPr>
        <w:tab/>
      </w:r>
      <w:r w:rsidRPr="00D823AC">
        <w:rPr>
          <w:i/>
          <w:iCs/>
        </w:rPr>
        <w:t xml:space="preserve">In terms of Rule 28(10) the court may, at any stage before judgment, grant leave to amend any pleading or document.  The defendant in this matter was clearly entitled to amend his plea at any stage of the proceedings before judgment.  The provisions of the amended </w:t>
      </w:r>
      <w:r w:rsidR="00C23E19">
        <w:rPr>
          <w:i/>
          <w:iCs/>
        </w:rPr>
        <w:t>R</w:t>
      </w:r>
      <w:r w:rsidR="00C23E19" w:rsidRPr="00D823AC">
        <w:rPr>
          <w:i/>
          <w:iCs/>
        </w:rPr>
        <w:t xml:space="preserve">ule </w:t>
      </w:r>
      <w:r w:rsidRPr="00D823AC">
        <w:rPr>
          <w:i/>
          <w:iCs/>
        </w:rPr>
        <w:t>32 do not prevent a defendant from amending his plea.  The Rule does not state so, and any interpretation that a defendant may not do so is in conflict with the provisions of Rule 28(10).</w:t>
      </w:r>
      <w:r w:rsidR="00C23E19">
        <w:rPr>
          <w:i/>
          <w:iCs/>
        </w:rPr>
        <w:t>”</w:t>
      </w:r>
    </w:p>
    <w:p w14:paraId="175733B4" w14:textId="3E8F7951" w:rsidR="00C23E19" w:rsidRDefault="009F4EC4" w:rsidP="00C23E19">
      <w:pPr>
        <w:pStyle w:val="Heading1"/>
      </w:pPr>
      <w:r>
        <w:t xml:space="preserve">On the other hand, </w:t>
      </w:r>
      <w:r w:rsidR="00C23E19">
        <w:t xml:space="preserve">Mr </w:t>
      </w:r>
      <w:proofErr w:type="spellStart"/>
      <w:r w:rsidR="00C23E19">
        <w:t>Scholtz</w:t>
      </w:r>
      <w:proofErr w:type="spellEnd"/>
      <w:r w:rsidR="00C23E19">
        <w:t>’ argument that the application for summary judgment must</w:t>
      </w:r>
      <w:r w:rsidR="00B664EF">
        <w:t xml:space="preserve"> be dismissed with costs</w:t>
      </w:r>
      <w:r w:rsidR="00C23E19">
        <w:t xml:space="preserve"> due to the Plaintiff’s failure to take the steps necessary to include</w:t>
      </w:r>
      <w:r>
        <w:t xml:space="preserve"> in its brief explanation in terms of Uniform Rule Of Court 32(2)(b) the reason why</w:t>
      </w:r>
      <w:r w:rsidR="00C23E19">
        <w:t xml:space="preserve"> the additional defence in the amended plea do</w:t>
      </w:r>
      <w:r>
        <w:t>es</w:t>
      </w:r>
      <w:r w:rsidR="00C23E19">
        <w:t xml:space="preserve"> not raise any issue for trial, ignores the express exclusion of amendment of sworn statements from Uniform Rule Of Court 28(1) and the</w:t>
      </w:r>
      <w:r w:rsidR="00E96849">
        <w:t xml:space="preserve"> apparent</w:t>
      </w:r>
      <w:r w:rsidR="00C23E19">
        <w:t xml:space="preserve"> absence of any other regulated procedure for the Plaintiff to have followed to achieve the amendment without offending</w:t>
      </w:r>
      <w:r w:rsidR="00E96849">
        <w:t xml:space="preserve"> what appears to be</w:t>
      </w:r>
      <w:r w:rsidR="00F23854">
        <w:t xml:space="preserve"> a</w:t>
      </w:r>
      <w:r w:rsidR="00C23E19">
        <w:t xml:space="preserve"> limitation to one affidavit contemplated in Uniform Rule Of Court 32(4).</w:t>
      </w:r>
    </w:p>
    <w:p w14:paraId="08A7934F" w14:textId="718EE7FD" w:rsidR="00326E82" w:rsidRDefault="009F4EC4" w:rsidP="00C23E19">
      <w:pPr>
        <w:pStyle w:val="Heading1"/>
      </w:pPr>
      <w:r>
        <w:t xml:space="preserve">While it is important to take note of the Second Defendant’s suggestion in paragraphs 13.3 and 13.4 of </w:t>
      </w:r>
      <w:r w:rsidRPr="00326E82">
        <w:rPr>
          <w:b/>
          <w:bCs/>
        </w:rPr>
        <w:t>Second</w:t>
      </w:r>
      <w:r>
        <w:t xml:space="preserve"> </w:t>
      </w:r>
      <w:r w:rsidRPr="00326E82">
        <w:rPr>
          <w:b/>
          <w:bCs/>
        </w:rPr>
        <w:t>Defendant’s</w:t>
      </w:r>
      <w:r>
        <w:t xml:space="preserve"> </w:t>
      </w:r>
      <w:r w:rsidRPr="00326E82">
        <w:rPr>
          <w:b/>
          <w:bCs/>
        </w:rPr>
        <w:t>Supplementary</w:t>
      </w:r>
      <w:r>
        <w:t xml:space="preserve"> </w:t>
      </w:r>
      <w:r w:rsidRPr="00326E82">
        <w:rPr>
          <w:b/>
          <w:bCs/>
        </w:rPr>
        <w:t>Affidavit</w:t>
      </w:r>
      <w:r>
        <w:t xml:space="preserve"> </w:t>
      </w:r>
      <w:r w:rsidRPr="00326E82">
        <w:rPr>
          <w:b/>
          <w:bCs/>
        </w:rPr>
        <w:t>Resisting</w:t>
      </w:r>
      <w:r>
        <w:t xml:space="preserve"> </w:t>
      </w:r>
      <w:r w:rsidRPr="00326E82">
        <w:rPr>
          <w:b/>
          <w:bCs/>
        </w:rPr>
        <w:t>Summary</w:t>
      </w:r>
      <w:r>
        <w:t xml:space="preserve"> </w:t>
      </w:r>
      <w:r w:rsidRPr="00326E82">
        <w:rPr>
          <w:b/>
          <w:bCs/>
        </w:rPr>
        <w:t>Judgment</w:t>
      </w:r>
      <w:r>
        <w:t xml:space="preserve"> that the </w:t>
      </w:r>
      <w:r>
        <w:lastRenderedPageBreak/>
        <w:t>Plaintiff could</w:t>
      </w:r>
      <w:r w:rsidR="00326E82">
        <w:t xml:space="preserve"> withdraw this summary judgment application at the Second Defendant’s cost and once again apply for summary judgment on the Second Defendant’s amended plea, the Plaintiff cannot be faulted for not taking up this invitation. Doing so would have condoned the delivery of a supplementary affidavit resisting summary judgment, a step that is not sanctioned by Rule 32.</w:t>
      </w:r>
    </w:p>
    <w:p w14:paraId="1266D3D8" w14:textId="204AC595" w:rsidR="00326E82" w:rsidRDefault="00326E82" w:rsidP="00C23E19">
      <w:pPr>
        <w:pStyle w:val="Heading1"/>
      </w:pPr>
      <w:r>
        <w:t xml:space="preserve">It must be remembered that under the previous summary judgment regime, a defendant was only entitled to one affidavit resisting summary judgment. If he omitted to include a defence in the affidavit, there was no general right available to him to supplement the affidavit. There </w:t>
      </w:r>
      <w:r w:rsidR="0042273D">
        <w:t>is</w:t>
      </w:r>
      <w:r>
        <w:t xml:space="preserve"> no reason why a defendant under the new regime</w:t>
      </w:r>
      <w:r w:rsidR="0042273D">
        <w:t>,</w:t>
      </w:r>
      <w:r>
        <w:t xml:space="preserve"> where summary judgment is sought after the plea</w:t>
      </w:r>
      <w:r w:rsidR="0042273D">
        <w:t>,</w:t>
      </w:r>
      <w:r>
        <w:t xml:space="preserve"> should be better placed to vacillate on the formulation of his true defence.</w:t>
      </w:r>
    </w:p>
    <w:p w14:paraId="3BBD55D9" w14:textId="25DB95B9" w:rsidR="0042273D" w:rsidRDefault="0042273D" w:rsidP="00C23E19">
      <w:pPr>
        <w:pStyle w:val="Heading1"/>
      </w:pPr>
      <w:r>
        <w:t>To that extent, the recognized limitless freedom to amend a plea may be overstated and may require some adjustment,</w:t>
      </w:r>
      <w:r w:rsidR="00E54815">
        <w:t xml:space="preserve"> </w:t>
      </w:r>
      <w:r>
        <w:t xml:space="preserve">via either a more restrictive interpretation of the interdependence of Rules 28 and 32 </w:t>
      </w:r>
      <w:proofErr w:type="gramStart"/>
      <w:r>
        <w:t>or  by</w:t>
      </w:r>
      <w:proofErr w:type="gramEnd"/>
      <w:r>
        <w:t xml:space="preserve"> the introduction of a workable restriction in Rule 32 on the right to amend a plea pending resolution of a summary judgment application.    </w:t>
      </w:r>
    </w:p>
    <w:p w14:paraId="07D411DC" w14:textId="2929C909" w:rsidR="00C23E19" w:rsidRDefault="0042273D" w:rsidP="00C23E19">
      <w:pPr>
        <w:pStyle w:val="Heading1"/>
      </w:pPr>
      <w:r>
        <w:t>To hold otherwise</w:t>
      </w:r>
      <w:r w:rsidR="00C23E19">
        <w:t xml:space="preserve"> opens the door to a defendant to utilise </w:t>
      </w:r>
      <w:r>
        <w:t xml:space="preserve">the </w:t>
      </w:r>
      <w:r>
        <w:lastRenderedPageBreak/>
        <w:t>procedure for</w:t>
      </w:r>
      <w:r w:rsidR="00C23E19">
        <w:t xml:space="preserve"> amendment to a plea after an application for summary judgment </w:t>
      </w:r>
      <w:r w:rsidR="00532563">
        <w:t>to frustrate a plaintiff’s right</w:t>
      </w:r>
      <w:r>
        <w:t>,</w:t>
      </w:r>
      <w:r w:rsidR="00532563">
        <w:t xml:space="preserve"> </w:t>
      </w:r>
      <w:r>
        <w:t>preserv</w:t>
      </w:r>
      <w:r w:rsidR="00532563">
        <w:t>ed in section 34 of the Constitution</w:t>
      </w:r>
      <w:r>
        <w:t>,</w:t>
      </w:r>
      <w:r w:rsidR="00532563">
        <w:t xml:space="preserve"> to have the summary judgment application resolved expeditiously by application of the law in a fair public hearing.  Section 34 of the Constitution, titled </w:t>
      </w:r>
      <w:r w:rsidR="00532563">
        <w:rPr>
          <w:i/>
          <w:iCs/>
        </w:rPr>
        <w:t>“Access to courts”</w:t>
      </w:r>
      <w:r w:rsidR="00532563">
        <w:t>, provides as follows:</w:t>
      </w:r>
    </w:p>
    <w:p w14:paraId="658DF004" w14:textId="77E086AA" w:rsidR="00532563" w:rsidRDefault="00532563" w:rsidP="00532563">
      <w:pPr>
        <w:spacing w:line="360" w:lineRule="auto"/>
        <w:ind w:left="1871" w:hanging="1871"/>
        <w:rPr>
          <w:i/>
          <w:iCs/>
        </w:rPr>
      </w:pPr>
      <w:r>
        <w:tab/>
      </w:r>
      <w:r>
        <w:tab/>
      </w:r>
      <w:r>
        <w:rPr>
          <w:i/>
          <w:iCs/>
        </w:rPr>
        <w:t>“</w:t>
      </w:r>
      <w:r w:rsidRPr="00532563">
        <w:rPr>
          <w:i/>
          <w:iCs/>
        </w:rPr>
        <w:t>Everyone has the right to have any dispute that can be resolved by the application of law decided in a fair public hearing before a court or, where appropriate, another independent and impartial tribunal or forum</w:t>
      </w:r>
      <w:r>
        <w:rPr>
          <w:i/>
          <w:iCs/>
        </w:rPr>
        <w:t>.”</w:t>
      </w:r>
    </w:p>
    <w:p w14:paraId="7B9B0DE2" w14:textId="704BFB3F" w:rsidR="00532563" w:rsidRDefault="00532563" w:rsidP="00532563">
      <w:pPr>
        <w:pStyle w:val="Heading1"/>
      </w:pPr>
      <w:r>
        <w:t xml:space="preserve">The Court in </w:t>
      </w:r>
      <w:proofErr w:type="spellStart"/>
      <w:r>
        <w:rPr>
          <w:b/>
          <w:bCs/>
          <w:i/>
          <w:iCs/>
        </w:rPr>
        <w:t>Raumix</w:t>
      </w:r>
      <w:proofErr w:type="spellEnd"/>
      <w:r>
        <w:rPr>
          <w:b/>
          <w:bCs/>
          <w:i/>
          <w:iCs/>
        </w:rPr>
        <w:t xml:space="preserve"> Aggregates (Pty) Ltd v Richter Sand CC </w:t>
      </w:r>
      <w:proofErr w:type="gramStart"/>
      <w:r>
        <w:rPr>
          <w:b/>
          <w:bCs/>
          <w:i/>
          <w:iCs/>
        </w:rPr>
        <w:t>And</w:t>
      </w:r>
      <w:proofErr w:type="gramEnd"/>
      <w:r>
        <w:rPr>
          <w:b/>
          <w:bCs/>
          <w:i/>
          <w:iCs/>
        </w:rPr>
        <w:t xml:space="preserve"> Another</w:t>
      </w:r>
      <w:r w:rsidRPr="001167B0">
        <w:rPr>
          <w:b/>
          <w:bCs/>
          <w:i/>
          <w:iCs/>
        </w:rPr>
        <w:t>, And</w:t>
      </w:r>
      <w:r>
        <w:rPr>
          <w:b/>
          <w:bCs/>
          <w:i/>
          <w:iCs/>
        </w:rPr>
        <w:t xml:space="preserve"> Similar Matters</w:t>
      </w:r>
      <w:r w:rsidRPr="001167B0">
        <w:rPr>
          <w:rStyle w:val="FootnoteReference"/>
        </w:rPr>
        <w:footnoteReference w:id="3"/>
      </w:r>
      <w:r>
        <w:t xml:space="preserve"> gave expression to this right as follows at 627E-F:</w:t>
      </w:r>
    </w:p>
    <w:p w14:paraId="2C51E154" w14:textId="5C3E2EDA" w:rsidR="00B664EF" w:rsidRDefault="00532563" w:rsidP="00B664EF">
      <w:pPr>
        <w:spacing w:line="360" w:lineRule="auto"/>
        <w:ind w:left="3022" w:hanging="3022"/>
        <w:rPr>
          <w:i/>
          <w:iCs/>
        </w:rPr>
      </w:pPr>
      <w:r>
        <w:tab/>
      </w:r>
      <w:r>
        <w:tab/>
      </w:r>
      <w:r>
        <w:rPr>
          <w:i/>
          <w:iCs/>
        </w:rPr>
        <w:t>“</w:t>
      </w:r>
      <w:r w:rsidR="0047725E" w:rsidRPr="0047725E">
        <w:rPr>
          <w:i/>
          <w:iCs/>
        </w:rPr>
        <w:t>[16]</w:t>
      </w:r>
      <w:r w:rsidR="0047725E">
        <w:rPr>
          <w:i/>
          <w:iCs/>
        </w:rPr>
        <w:tab/>
      </w:r>
      <w:r w:rsidR="0047725E" w:rsidRPr="0047725E">
        <w:rPr>
          <w:i/>
          <w:iCs/>
        </w:rPr>
        <w:t xml:space="preserve">The purpose of a summary judgment application is to allow the court to summarily dispense with actions that ought not to proceed to trial because they do not raise a genuine </w:t>
      </w:r>
      <w:proofErr w:type="spellStart"/>
      <w:r w:rsidR="0047725E" w:rsidRPr="0047725E">
        <w:rPr>
          <w:i/>
          <w:iCs/>
        </w:rPr>
        <w:t>triable</w:t>
      </w:r>
      <w:proofErr w:type="spellEnd"/>
      <w:r w:rsidR="0047725E" w:rsidRPr="0047725E">
        <w:rPr>
          <w:i/>
          <w:iCs/>
        </w:rPr>
        <w:t xml:space="preserve"> issue, thereby conserving scarce judicial resources and improving access to justice. Once an application for summary judgment is brought, the applicant obtains a substantive right for th</w:t>
      </w:r>
      <w:r w:rsidR="0047725E">
        <w:rPr>
          <w:i/>
          <w:iCs/>
        </w:rPr>
        <w:t>e</w:t>
      </w:r>
      <w:r w:rsidR="0047725E" w:rsidRPr="0047725E">
        <w:rPr>
          <w:i/>
          <w:iCs/>
        </w:rPr>
        <w:t xml:space="preserve"> application to be </w:t>
      </w:r>
      <w:r w:rsidR="0047725E" w:rsidRPr="0047725E">
        <w:rPr>
          <w:i/>
          <w:iCs/>
        </w:rPr>
        <w:lastRenderedPageBreak/>
        <w:t>heard, and, bearing in mind the purpose of summary judgment, that hearing should be as soon as possible. That right is protected under s 34 of the Constitution.</w:t>
      </w:r>
      <w:r w:rsidR="0047725E">
        <w:rPr>
          <w:i/>
          <w:iCs/>
        </w:rPr>
        <w:t>”</w:t>
      </w:r>
    </w:p>
    <w:p w14:paraId="38D159A7" w14:textId="77777777" w:rsidR="0061626D" w:rsidRDefault="00B664EF" w:rsidP="0047725E">
      <w:pPr>
        <w:pStyle w:val="Heading1"/>
      </w:pPr>
      <w:r>
        <w:t>The opportunity for resort</w:t>
      </w:r>
      <w:r w:rsidR="0061626D">
        <w:t xml:space="preserve"> by a defendant</w:t>
      </w:r>
      <w:r>
        <w:t xml:space="preserve"> to amendment processes for</w:t>
      </w:r>
      <w:r w:rsidR="0061626D">
        <w:t xml:space="preserve"> ulterior motives, including</w:t>
      </w:r>
      <w:r>
        <w:t xml:space="preserve"> delay</w:t>
      </w:r>
      <w:r w:rsidR="0061626D">
        <w:t xml:space="preserve">, is therefore clearly recognizable. </w:t>
      </w:r>
    </w:p>
    <w:p w14:paraId="4D05B407" w14:textId="41CE91F9" w:rsidR="0047725E" w:rsidRDefault="0047725E" w:rsidP="0047725E">
      <w:pPr>
        <w:pStyle w:val="Heading1"/>
      </w:pPr>
      <w:r>
        <w:t>This</w:t>
      </w:r>
      <w:r w:rsidR="00F172A4">
        <w:t xml:space="preserve"> having been said, this</w:t>
      </w:r>
      <w:r>
        <w:t xml:space="preserve"> Court</w:t>
      </w:r>
      <w:r w:rsidR="00DC2520">
        <w:t xml:space="preserve"> intends following</w:t>
      </w:r>
      <w:r>
        <w:t xml:space="preserve"> the order of the Honourable </w:t>
      </w:r>
      <w:proofErr w:type="spellStart"/>
      <w:r>
        <w:t>Henney</w:t>
      </w:r>
      <w:proofErr w:type="spellEnd"/>
      <w:r>
        <w:t xml:space="preserve">, J in </w:t>
      </w:r>
      <w:proofErr w:type="spellStart"/>
      <w:r>
        <w:rPr>
          <w:b/>
          <w:bCs/>
          <w:i/>
          <w:iCs/>
        </w:rPr>
        <w:t>Belrex</w:t>
      </w:r>
      <w:proofErr w:type="spellEnd"/>
      <w:r>
        <w:rPr>
          <w:b/>
          <w:bCs/>
          <w:i/>
          <w:iCs/>
        </w:rPr>
        <w:t xml:space="preserve"> 95 CC v </w:t>
      </w:r>
      <w:proofErr w:type="spellStart"/>
      <w:r>
        <w:rPr>
          <w:b/>
          <w:bCs/>
          <w:i/>
          <w:iCs/>
        </w:rPr>
        <w:t>Barday</w:t>
      </w:r>
      <w:proofErr w:type="spellEnd"/>
      <w:r>
        <w:rPr>
          <w:b/>
          <w:bCs/>
          <w:i/>
          <w:iCs/>
        </w:rPr>
        <w:t xml:space="preserve"> </w:t>
      </w:r>
      <w:r>
        <w:t>(</w:t>
      </w:r>
      <w:r w:rsidRPr="003E0B3D">
        <w:rPr>
          <w:i/>
        </w:rPr>
        <w:t>supra</w:t>
      </w:r>
      <w:r>
        <w:t>)</w:t>
      </w:r>
      <w:r w:rsidR="00BB2CFB">
        <w:t xml:space="preserve"> with a view to instilling certainty for the parties in the further conduct of this matter.</w:t>
      </w:r>
      <w:r>
        <w:t xml:space="preserve"> </w:t>
      </w:r>
      <w:r w:rsidR="00BB2CFB">
        <w:t>I</w:t>
      </w:r>
      <w:r>
        <w:t xml:space="preserve">t needs to be emphasised </w:t>
      </w:r>
      <w:r w:rsidR="00F172A4">
        <w:t xml:space="preserve">in this regard </w:t>
      </w:r>
      <w:r>
        <w:t>that the order</w:t>
      </w:r>
      <w:r w:rsidR="00BB2CFB">
        <w:t xml:space="preserve"> of the Honourable </w:t>
      </w:r>
      <w:proofErr w:type="spellStart"/>
      <w:r w:rsidR="00BB2CFB">
        <w:t>Henney</w:t>
      </w:r>
      <w:proofErr w:type="spellEnd"/>
      <w:r w:rsidR="00BB2CFB">
        <w:t>, J</w:t>
      </w:r>
      <w:r>
        <w:t xml:space="preserve"> is quoted in full by the learned authors of Erasmus Superior Court Practice 2</w:t>
      </w:r>
      <w:r w:rsidRPr="001167B0">
        <w:rPr>
          <w:vertAlign w:val="superscript"/>
        </w:rPr>
        <w:t>nd</w:t>
      </w:r>
      <w:r>
        <w:t xml:space="preserve"> Edition Van </w:t>
      </w:r>
      <w:proofErr w:type="spellStart"/>
      <w:r>
        <w:t>Loggerenberg</w:t>
      </w:r>
      <w:proofErr w:type="spellEnd"/>
      <w:r>
        <w:t xml:space="preserve"> at D1-416D [Service 16, 2021]</w:t>
      </w:r>
      <w:r w:rsidR="0061626D">
        <w:t xml:space="preserve"> in the</w:t>
      </w:r>
      <w:r w:rsidR="00F172A4">
        <w:t xml:space="preserve"> commentary</w:t>
      </w:r>
      <w:r w:rsidR="0061626D">
        <w:t xml:space="preserve"> to Uniform Rule Of Court 32</w:t>
      </w:r>
      <w:r w:rsidR="00E96849">
        <w:t>, which exhibits an approval</w:t>
      </w:r>
      <w:r w:rsidR="00BB2CFB">
        <w:t xml:space="preserve"> of</w:t>
      </w:r>
      <w:r w:rsidR="00F172A4">
        <w:t xml:space="preserve"> the reasoning and order of the decision, which should be reassuring to both the Plaintiff </w:t>
      </w:r>
      <w:r w:rsidR="00BB2CFB">
        <w:t>and</w:t>
      </w:r>
      <w:r w:rsidR="00F172A4">
        <w:t xml:space="preserve"> the Second Defendant in</w:t>
      </w:r>
      <w:r w:rsidR="00BB2CFB">
        <w:t xml:space="preserve"> the further conduct of the matter.</w:t>
      </w:r>
      <w:r w:rsidR="00AA7729">
        <w:t xml:space="preserve"> </w:t>
      </w:r>
      <w:r>
        <w:t xml:space="preserve">The order of the Honourable </w:t>
      </w:r>
      <w:proofErr w:type="spellStart"/>
      <w:r>
        <w:t>Henney</w:t>
      </w:r>
      <w:proofErr w:type="spellEnd"/>
      <w:r>
        <w:t xml:space="preserve">, J in </w:t>
      </w:r>
      <w:proofErr w:type="spellStart"/>
      <w:r>
        <w:rPr>
          <w:b/>
          <w:bCs/>
          <w:i/>
          <w:iCs/>
        </w:rPr>
        <w:t>Belrex</w:t>
      </w:r>
      <w:proofErr w:type="spellEnd"/>
      <w:r>
        <w:rPr>
          <w:b/>
          <w:bCs/>
          <w:i/>
          <w:iCs/>
        </w:rPr>
        <w:t xml:space="preserve"> 95 CC v </w:t>
      </w:r>
      <w:proofErr w:type="spellStart"/>
      <w:r>
        <w:rPr>
          <w:b/>
          <w:bCs/>
          <w:i/>
          <w:iCs/>
        </w:rPr>
        <w:t>Barday</w:t>
      </w:r>
      <w:proofErr w:type="spellEnd"/>
      <w:r>
        <w:rPr>
          <w:b/>
          <w:bCs/>
          <w:i/>
          <w:iCs/>
        </w:rPr>
        <w:t xml:space="preserve"> </w:t>
      </w:r>
      <w:r>
        <w:t>(</w:t>
      </w:r>
      <w:r w:rsidRPr="003E0B3D">
        <w:rPr>
          <w:i/>
        </w:rPr>
        <w:t>supra</w:t>
      </w:r>
      <w:r>
        <w:t>) appears at 188D-E of the judgment as follows:</w:t>
      </w:r>
    </w:p>
    <w:p w14:paraId="50867163" w14:textId="77777777" w:rsidR="008A22D2" w:rsidRDefault="0047725E" w:rsidP="008A22D2">
      <w:pPr>
        <w:spacing w:line="360" w:lineRule="auto"/>
        <w:ind w:left="3022" w:hanging="3022"/>
        <w:rPr>
          <w:i/>
          <w:iCs/>
        </w:rPr>
      </w:pPr>
      <w:r>
        <w:tab/>
      </w:r>
      <w:r>
        <w:tab/>
      </w:r>
      <w:r>
        <w:rPr>
          <w:i/>
          <w:iCs/>
        </w:rPr>
        <w:t>“</w:t>
      </w:r>
      <w:r w:rsidR="008A22D2" w:rsidRPr="008A22D2">
        <w:rPr>
          <w:i/>
          <w:iCs/>
        </w:rPr>
        <w:t>[36]</w:t>
      </w:r>
      <w:r w:rsidR="008A22D2">
        <w:rPr>
          <w:i/>
          <w:iCs/>
        </w:rPr>
        <w:tab/>
      </w:r>
      <w:r w:rsidR="008A22D2" w:rsidRPr="008A22D2">
        <w:rPr>
          <w:i/>
          <w:iCs/>
        </w:rPr>
        <w:t>I therefore make no order in respect of the summary judgment application.</w:t>
      </w:r>
    </w:p>
    <w:p w14:paraId="3AEB0245" w14:textId="77777777" w:rsidR="008A22D2" w:rsidRDefault="008A22D2" w:rsidP="008A22D2">
      <w:pPr>
        <w:spacing w:line="360" w:lineRule="auto"/>
        <w:ind w:left="3022" w:hanging="3022"/>
        <w:rPr>
          <w:i/>
          <w:iCs/>
        </w:rPr>
      </w:pPr>
      <w:r>
        <w:rPr>
          <w:i/>
          <w:iCs/>
        </w:rPr>
        <w:lastRenderedPageBreak/>
        <w:tab/>
      </w:r>
      <w:r>
        <w:rPr>
          <w:i/>
          <w:iCs/>
        </w:rPr>
        <w:tab/>
      </w:r>
      <w:r w:rsidRPr="008A22D2">
        <w:rPr>
          <w:i/>
          <w:iCs/>
        </w:rPr>
        <w:t>[37]</w:t>
      </w:r>
      <w:r>
        <w:rPr>
          <w:i/>
          <w:iCs/>
        </w:rPr>
        <w:tab/>
      </w:r>
      <w:r w:rsidRPr="008A22D2">
        <w:rPr>
          <w:i/>
          <w:iCs/>
        </w:rPr>
        <w:t xml:space="preserve">The defendant’s Notice of Amendment shall take effect in terms of </w:t>
      </w:r>
      <w:r>
        <w:rPr>
          <w:i/>
          <w:iCs/>
        </w:rPr>
        <w:t>r</w:t>
      </w:r>
      <w:r w:rsidRPr="008A22D2">
        <w:rPr>
          <w:i/>
          <w:iCs/>
        </w:rPr>
        <w:t>ule 28(2) as of the date of this judgment, for the plaintiff to exercise its rights in terms of the rule.</w:t>
      </w:r>
    </w:p>
    <w:p w14:paraId="180080F8" w14:textId="448049A1" w:rsidR="008A22D2" w:rsidRDefault="008A22D2" w:rsidP="008A22D2">
      <w:pPr>
        <w:spacing w:line="360" w:lineRule="auto"/>
        <w:ind w:left="3022" w:hanging="3022"/>
        <w:rPr>
          <w:i/>
          <w:iCs/>
        </w:rPr>
      </w:pPr>
      <w:r>
        <w:rPr>
          <w:i/>
          <w:iCs/>
        </w:rPr>
        <w:tab/>
      </w:r>
      <w:r>
        <w:rPr>
          <w:i/>
          <w:iCs/>
        </w:rPr>
        <w:tab/>
      </w:r>
      <w:r w:rsidRPr="008A22D2">
        <w:rPr>
          <w:i/>
          <w:iCs/>
        </w:rPr>
        <w:t xml:space="preserve">[38] </w:t>
      </w:r>
      <w:r>
        <w:rPr>
          <w:i/>
          <w:iCs/>
        </w:rPr>
        <w:tab/>
      </w:r>
      <w:r w:rsidRPr="008A22D2">
        <w:rPr>
          <w:i/>
          <w:iCs/>
        </w:rPr>
        <w:t>The plaintiff is given leave to bring a fresh application on the amended plea, should such an application for amendment be allowed.</w:t>
      </w:r>
    </w:p>
    <w:p w14:paraId="5D3F1C1C" w14:textId="1C0B2172" w:rsidR="0047725E" w:rsidRDefault="008A22D2" w:rsidP="008A22D2">
      <w:pPr>
        <w:spacing w:line="360" w:lineRule="auto"/>
        <w:ind w:left="3022" w:hanging="3022"/>
        <w:rPr>
          <w:i/>
          <w:iCs/>
        </w:rPr>
      </w:pPr>
      <w:r>
        <w:rPr>
          <w:i/>
          <w:iCs/>
        </w:rPr>
        <w:tab/>
      </w:r>
      <w:r>
        <w:rPr>
          <w:i/>
          <w:iCs/>
        </w:rPr>
        <w:tab/>
      </w:r>
      <w:r w:rsidRPr="008A22D2">
        <w:rPr>
          <w:i/>
          <w:iCs/>
        </w:rPr>
        <w:t>[39]</w:t>
      </w:r>
      <w:r>
        <w:rPr>
          <w:i/>
          <w:iCs/>
        </w:rPr>
        <w:tab/>
      </w:r>
      <w:r w:rsidRPr="008A22D2">
        <w:rPr>
          <w:i/>
          <w:iCs/>
        </w:rPr>
        <w:t>Costs will stand over for later determination.</w:t>
      </w:r>
      <w:r>
        <w:rPr>
          <w:i/>
          <w:iCs/>
        </w:rPr>
        <w:t>”</w:t>
      </w:r>
    </w:p>
    <w:p w14:paraId="720EDFF6" w14:textId="38F109C1" w:rsidR="008A22D2" w:rsidRDefault="00424C43" w:rsidP="008A22D2">
      <w:pPr>
        <w:pStyle w:val="Heading1"/>
      </w:pPr>
      <w:r>
        <w:t xml:space="preserve">Unlike </w:t>
      </w:r>
      <w:r w:rsidRPr="00097349">
        <w:rPr>
          <w:i/>
        </w:rPr>
        <w:t xml:space="preserve">in </w:t>
      </w:r>
      <w:proofErr w:type="spellStart"/>
      <w:r w:rsidRPr="00097349">
        <w:rPr>
          <w:i/>
        </w:rPr>
        <w:t>casu</w:t>
      </w:r>
      <w:proofErr w:type="spellEnd"/>
      <w:r>
        <w:t xml:space="preserve"> where the</w:t>
      </w:r>
      <w:r w:rsidR="00BB2CFB">
        <w:t xml:space="preserve"> Second</w:t>
      </w:r>
      <w:r>
        <w:t xml:space="preserve"> Defendant’s plea has already been amended, the</w:t>
      </w:r>
      <w:r w:rsidR="00BB2CFB">
        <w:t xml:space="preserve"> only</w:t>
      </w:r>
      <w:r>
        <w:t xml:space="preserve"> distinguishing feature in </w:t>
      </w:r>
      <w:proofErr w:type="spellStart"/>
      <w:r>
        <w:rPr>
          <w:b/>
          <w:bCs/>
          <w:i/>
          <w:iCs/>
        </w:rPr>
        <w:t>Belrex</w:t>
      </w:r>
      <w:proofErr w:type="spellEnd"/>
      <w:r>
        <w:rPr>
          <w:b/>
          <w:bCs/>
          <w:i/>
          <w:iCs/>
        </w:rPr>
        <w:t xml:space="preserve"> 95 CC v </w:t>
      </w:r>
      <w:proofErr w:type="spellStart"/>
      <w:r>
        <w:rPr>
          <w:b/>
          <w:bCs/>
          <w:i/>
          <w:iCs/>
        </w:rPr>
        <w:t>Barday</w:t>
      </w:r>
      <w:proofErr w:type="spellEnd"/>
      <w:r>
        <w:rPr>
          <w:b/>
          <w:bCs/>
          <w:i/>
          <w:iCs/>
        </w:rPr>
        <w:t xml:space="preserve"> </w:t>
      </w:r>
      <w:r>
        <w:t>(</w:t>
      </w:r>
      <w:r w:rsidRPr="003E0B3D">
        <w:rPr>
          <w:i/>
        </w:rPr>
        <w:t>supra</w:t>
      </w:r>
      <w:r>
        <w:t>) is that the time period for the plaintiff therein to object to the defendant’s notice of intention to amend his plea still had some time to run.  Th</w:t>
      </w:r>
      <w:r w:rsidR="00F172A4">
        <w:t>at</w:t>
      </w:r>
      <w:r>
        <w:t xml:space="preserve"> notwithstanding, a reading of the following final paragraph of the judgment of</w:t>
      </w:r>
      <w:r w:rsidR="00F172A4">
        <w:t xml:space="preserve"> the Honourable</w:t>
      </w:r>
      <w:r>
        <w:t xml:space="preserve"> </w:t>
      </w:r>
      <w:proofErr w:type="spellStart"/>
      <w:r>
        <w:t>Henney</w:t>
      </w:r>
      <w:proofErr w:type="spellEnd"/>
      <w:r>
        <w:t xml:space="preserve">, J in </w:t>
      </w:r>
      <w:proofErr w:type="spellStart"/>
      <w:r>
        <w:rPr>
          <w:b/>
          <w:bCs/>
          <w:i/>
          <w:iCs/>
        </w:rPr>
        <w:t>Belrex</w:t>
      </w:r>
      <w:proofErr w:type="spellEnd"/>
      <w:r>
        <w:rPr>
          <w:b/>
          <w:bCs/>
          <w:i/>
          <w:iCs/>
        </w:rPr>
        <w:t xml:space="preserve"> 95 CC v </w:t>
      </w:r>
      <w:proofErr w:type="spellStart"/>
      <w:r>
        <w:rPr>
          <w:b/>
          <w:bCs/>
          <w:i/>
          <w:iCs/>
        </w:rPr>
        <w:t>Barday</w:t>
      </w:r>
      <w:proofErr w:type="spellEnd"/>
      <w:r>
        <w:rPr>
          <w:b/>
          <w:bCs/>
          <w:i/>
          <w:iCs/>
        </w:rPr>
        <w:t xml:space="preserve"> </w:t>
      </w:r>
      <w:r>
        <w:t>(</w:t>
      </w:r>
      <w:r w:rsidRPr="003E0B3D">
        <w:rPr>
          <w:i/>
        </w:rPr>
        <w:t>supra</w:t>
      </w:r>
      <w:r>
        <w:t xml:space="preserve">) at 187H-188C indicates that the fact of a perfected amended plea as </w:t>
      </w:r>
      <w:r w:rsidRPr="00097349">
        <w:rPr>
          <w:i/>
        </w:rPr>
        <w:t xml:space="preserve">in </w:t>
      </w:r>
      <w:proofErr w:type="spellStart"/>
      <w:r w:rsidRPr="00097349">
        <w:rPr>
          <w:i/>
        </w:rPr>
        <w:t>casu</w:t>
      </w:r>
      <w:proofErr w:type="spellEnd"/>
      <w:r>
        <w:t xml:space="preserve"> was contemplated in the order given therein:</w:t>
      </w:r>
    </w:p>
    <w:p w14:paraId="11B878ED" w14:textId="13F08104" w:rsidR="00424C43" w:rsidRDefault="00424C43" w:rsidP="00424C43">
      <w:pPr>
        <w:spacing w:line="360" w:lineRule="auto"/>
        <w:ind w:left="3022" w:hanging="3022"/>
        <w:rPr>
          <w:i/>
          <w:iCs/>
        </w:rPr>
      </w:pPr>
      <w:r>
        <w:tab/>
      </w:r>
      <w:r>
        <w:tab/>
      </w:r>
      <w:r>
        <w:rPr>
          <w:i/>
          <w:iCs/>
        </w:rPr>
        <w:t>“[35]</w:t>
      </w:r>
      <w:r>
        <w:rPr>
          <w:i/>
          <w:iCs/>
        </w:rPr>
        <w:tab/>
      </w:r>
      <w:r w:rsidRPr="00424C43">
        <w:rPr>
          <w:i/>
          <w:iCs/>
        </w:rPr>
        <w:t>In my view, given the manner in which th</w:t>
      </w:r>
      <w:r>
        <w:rPr>
          <w:i/>
          <w:iCs/>
        </w:rPr>
        <w:t>e</w:t>
      </w:r>
      <w:r w:rsidRPr="00424C43">
        <w:rPr>
          <w:i/>
          <w:iCs/>
        </w:rPr>
        <w:t xml:space="preserve"> application unfolded, it would be difficult, if not impossible, to deal with this application in terms of the amended rule, and for the following reasons: Firstly, the amended plea was not ripe to be </w:t>
      </w:r>
      <w:r w:rsidRPr="00424C43">
        <w:rPr>
          <w:i/>
          <w:iCs/>
        </w:rPr>
        <w:lastRenderedPageBreak/>
        <w:t xml:space="preserve">adjudicated upon, for want of compliance with the provisions of Rule 28(2), for it to have been considered during </w:t>
      </w:r>
      <w:r>
        <w:rPr>
          <w:i/>
          <w:iCs/>
        </w:rPr>
        <w:t>a</w:t>
      </w:r>
      <w:r w:rsidRPr="00424C43">
        <w:rPr>
          <w:i/>
          <w:iCs/>
        </w:rPr>
        <w:t xml:space="preserve"> summary judgment application.  Secondly, even if the amended plea was properly before court, the plaintiff did not deliver a supporting affidavit to deal with any of the issues, especially i</w:t>
      </w:r>
      <w:r w:rsidR="0061626D">
        <w:rPr>
          <w:i/>
          <w:iCs/>
        </w:rPr>
        <w:t>n</w:t>
      </w:r>
      <w:r w:rsidRPr="00424C43">
        <w:rPr>
          <w:i/>
          <w:iCs/>
        </w:rPr>
        <w:t xml:space="preserve"> relation to whether the defence as pleaded therein raises any </w:t>
      </w:r>
      <w:proofErr w:type="spellStart"/>
      <w:r w:rsidRPr="00424C43">
        <w:rPr>
          <w:i/>
          <w:iCs/>
        </w:rPr>
        <w:t>triable</w:t>
      </w:r>
      <w:proofErr w:type="spellEnd"/>
      <w:r w:rsidRPr="00424C43">
        <w:rPr>
          <w:i/>
          <w:iCs/>
        </w:rPr>
        <w:t xml:space="preserve"> issue.  Thirdly, again even if the amended plea would be considered to be properly before the court, the plaintiff would be prohibited from delivering any further evidence, in the form of an affidavit, to address the question whether the defence as pleaded raises a </w:t>
      </w:r>
      <w:proofErr w:type="spellStart"/>
      <w:r w:rsidRPr="00424C43">
        <w:rPr>
          <w:i/>
          <w:iCs/>
        </w:rPr>
        <w:t>triable</w:t>
      </w:r>
      <w:proofErr w:type="spellEnd"/>
      <w:r w:rsidRPr="00424C43">
        <w:rPr>
          <w:i/>
          <w:iCs/>
        </w:rPr>
        <w:t xml:space="preserve"> issue.  Fourthly, should the court ignore the amended plea and ignore the opposing affidavit, because the opposing affidavit is not in harmony with the initial plea, it would defeat the purpose of the amended rule, which requires that the nature and grounds of the defence and the material facts relied upon in the affidavit should be in harmony with the allegations in the plea.</w:t>
      </w:r>
      <w:r w:rsidR="00785321">
        <w:rPr>
          <w:i/>
          <w:iCs/>
        </w:rPr>
        <w:t xml:space="preserve"> </w:t>
      </w:r>
      <w:r w:rsidRPr="00424C43">
        <w:rPr>
          <w:i/>
          <w:iCs/>
        </w:rPr>
        <w:t>Fifthly, it would be manifestly unfair and unjust to the defendant, who has a right to amend his plea at any stage of the proceedings before judgment</w:t>
      </w:r>
      <w:r w:rsidR="001167B0">
        <w:rPr>
          <w:i/>
          <w:iCs/>
        </w:rPr>
        <w:t xml:space="preserve">, </w:t>
      </w:r>
      <w:r w:rsidRPr="00424C43">
        <w:rPr>
          <w:i/>
          <w:iCs/>
        </w:rPr>
        <w:t>even more so if summary judgment should be granted in favour of the plaintiff</w:t>
      </w:r>
      <w:r w:rsidR="001167B0">
        <w:rPr>
          <w:i/>
          <w:iCs/>
        </w:rPr>
        <w:t>.”</w:t>
      </w:r>
    </w:p>
    <w:p w14:paraId="303ADE18" w14:textId="740B9F4A" w:rsidR="001167B0" w:rsidRDefault="00BB2CFB" w:rsidP="001167B0">
      <w:pPr>
        <w:pStyle w:val="Heading1"/>
      </w:pPr>
      <w:r>
        <w:t>In view of the uncertainty that prevailed before th</w:t>
      </w:r>
      <w:r w:rsidR="009D2990">
        <w:t>e</w:t>
      </w:r>
      <w:r>
        <w:t xml:space="preserve"> judgment</w:t>
      </w:r>
      <w:r w:rsidR="009D2990">
        <w:t xml:space="preserve"> of </w:t>
      </w:r>
      <w:r w:rsidR="00F172A4">
        <w:t xml:space="preserve">the </w:t>
      </w:r>
      <w:r w:rsidR="00F172A4">
        <w:lastRenderedPageBreak/>
        <w:t xml:space="preserve">Honourable </w:t>
      </w:r>
      <w:proofErr w:type="spellStart"/>
      <w:r w:rsidR="009D2990">
        <w:t>Henney</w:t>
      </w:r>
      <w:proofErr w:type="spellEnd"/>
      <w:r w:rsidR="009D2990">
        <w:t xml:space="preserve">, J in </w:t>
      </w:r>
      <w:proofErr w:type="spellStart"/>
      <w:r w:rsidR="009D2990" w:rsidRPr="009D2990">
        <w:rPr>
          <w:b/>
          <w:bCs/>
          <w:i/>
          <w:iCs/>
        </w:rPr>
        <w:t>Belrex</w:t>
      </w:r>
      <w:proofErr w:type="spellEnd"/>
      <w:r w:rsidR="009D2990">
        <w:t xml:space="preserve"> </w:t>
      </w:r>
      <w:r w:rsidR="009D2990" w:rsidRPr="009D2990">
        <w:rPr>
          <w:b/>
          <w:bCs/>
          <w:i/>
          <w:iCs/>
        </w:rPr>
        <w:t>95</w:t>
      </w:r>
      <w:r w:rsidR="009D2990">
        <w:t xml:space="preserve"> </w:t>
      </w:r>
      <w:r w:rsidR="009D2990" w:rsidRPr="009D2990">
        <w:rPr>
          <w:b/>
          <w:bCs/>
          <w:i/>
          <w:iCs/>
        </w:rPr>
        <w:t>CC</w:t>
      </w:r>
      <w:r w:rsidR="009D2990">
        <w:t xml:space="preserve"> </w:t>
      </w:r>
      <w:r w:rsidR="009D2990" w:rsidRPr="009D2990">
        <w:rPr>
          <w:b/>
          <w:bCs/>
          <w:i/>
          <w:iCs/>
        </w:rPr>
        <w:t>v</w:t>
      </w:r>
      <w:r w:rsidR="009D2990">
        <w:t xml:space="preserve"> </w:t>
      </w:r>
      <w:proofErr w:type="spellStart"/>
      <w:r w:rsidR="009D2990" w:rsidRPr="009D2990">
        <w:rPr>
          <w:b/>
          <w:bCs/>
          <w:i/>
          <w:iCs/>
        </w:rPr>
        <w:t>Barday</w:t>
      </w:r>
      <w:proofErr w:type="spellEnd"/>
      <w:r w:rsidR="009D2990">
        <w:t xml:space="preserve"> (</w:t>
      </w:r>
      <w:r w:rsidR="009D2990" w:rsidRPr="009D2990">
        <w:rPr>
          <w:i/>
          <w:iCs/>
        </w:rPr>
        <w:t>supra</w:t>
      </w:r>
      <w:r w:rsidR="009D2990">
        <w:t>)</w:t>
      </w:r>
      <w:r w:rsidR="00F172A4">
        <w:t>,</w:t>
      </w:r>
      <w:r>
        <w:t xml:space="preserve"> which</w:t>
      </w:r>
      <w:r w:rsidR="00F172A4">
        <w:t xml:space="preserve"> it is</w:t>
      </w:r>
      <w:r w:rsidR="009D2990">
        <w:t xml:space="preserve"> not inconceivabl</w:t>
      </w:r>
      <w:r w:rsidR="00F172A4">
        <w:t>e will</w:t>
      </w:r>
      <w:r>
        <w:t xml:space="preserve"> continue</w:t>
      </w:r>
      <w:r w:rsidR="009D2990">
        <w:t xml:space="preserve"> to prevail until the application and implementation of the amended Rule 32 has become settled through decisions of the courts and possibly even through further amendment</w:t>
      </w:r>
      <w:r w:rsidR="00485D53">
        <w:t>,</w:t>
      </w:r>
      <w:r w:rsidR="009D2990">
        <w:t xml:space="preserve"> this Court is disinclined to exercise its discretion on costs as a lever to apportion any blame on the parties for the stalemate that</w:t>
      </w:r>
      <w:r w:rsidR="00485D53">
        <w:t xml:space="preserve"> has </w:t>
      </w:r>
      <w:r w:rsidR="009D2990">
        <w:t>ar</w:t>
      </w:r>
      <w:r w:rsidR="00485D53">
        <w:t>i</w:t>
      </w:r>
      <w:r w:rsidR="009D2990">
        <w:t>se</w:t>
      </w:r>
      <w:r w:rsidR="00485D53">
        <w:t>n</w:t>
      </w:r>
      <w:r w:rsidR="009D2990">
        <w:t>.</w:t>
      </w:r>
    </w:p>
    <w:p w14:paraId="7CEAC5DA" w14:textId="70D98FD0" w:rsidR="00E54815" w:rsidRDefault="00E54815" w:rsidP="001167B0">
      <w:pPr>
        <w:pStyle w:val="Heading1"/>
      </w:pPr>
      <w:r>
        <w:t xml:space="preserve">In this regard, it needs to be pointed out that the only costs order made is not punitive. It follows the suggestion of the Second Defendant in his </w:t>
      </w:r>
      <w:r w:rsidRPr="00E54815">
        <w:rPr>
          <w:b/>
          <w:bCs/>
        </w:rPr>
        <w:t>Second</w:t>
      </w:r>
      <w:r>
        <w:t xml:space="preserve"> </w:t>
      </w:r>
      <w:r w:rsidRPr="00E54815">
        <w:rPr>
          <w:b/>
          <w:bCs/>
        </w:rPr>
        <w:t>Defendant’s</w:t>
      </w:r>
      <w:r>
        <w:t xml:space="preserve"> </w:t>
      </w:r>
      <w:r w:rsidRPr="00E54815">
        <w:rPr>
          <w:b/>
          <w:bCs/>
        </w:rPr>
        <w:t>Supplementary</w:t>
      </w:r>
      <w:r>
        <w:t xml:space="preserve"> </w:t>
      </w:r>
      <w:r w:rsidRPr="00E54815">
        <w:rPr>
          <w:b/>
          <w:bCs/>
        </w:rPr>
        <w:t>Affidavit</w:t>
      </w:r>
      <w:r>
        <w:t xml:space="preserve"> </w:t>
      </w:r>
      <w:r w:rsidRPr="00785321">
        <w:rPr>
          <w:b/>
          <w:bCs/>
        </w:rPr>
        <w:t>Resisting</w:t>
      </w:r>
      <w:r>
        <w:t xml:space="preserve"> </w:t>
      </w:r>
      <w:r w:rsidRPr="00785321">
        <w:rPr>
          <w:b/>
          <w:bCs/>
        </w:rPr>
        <w:t>Summary</w:t>
      </w:r>
      <w:r>
        <w:t xml:space="preserve"> </w:t>
      </w:r>
      <w:r w:rsidRPr="00785321">
        <w:rPr>
          <w:b/>
          <w:bCs/>
        </w:rPr>
        <w:t>Judgment</w:t>
      </w:r>
      <w:r>
        <w:t xml:space="preserve">. </w:t>
      </w:r>
    </w:p>
    <w:p w14:paraId="3D7C11A7" w14:textId="52AD75F2" w:rsidR="0093723D" w:rsidRDefault="00785321" w:rsidP="001167B0">
      <w:pPr>
        <w:pStyle w:val="Heading1"/>
      </w:pPr>
      <w:r>
        <w:t xml:space="preserve">In conclusion, </w:t>
      </w:r>
      <w:r w:rsidR="001F74DB">
        <w:t>no order is to be made on the summary judgment application. Certain</w:t>
      </w:r>
      <w:r>
        <w:t xml:space="preserve"> other</w:t>
      </w:r>
      <w:r w:rsidR="001F74DB">
        <w:t xml:space="preserve"> relief is, however, to be granted.</w:t>
      </w:r>
    </w:p>
    <w:p w14:paraId="65D5BCBC" w14:textId="77777777" w:rsidR="0093723D" w:rsidRDefault="001F74DB" w:rsidP="0093723D">
      <w:pPr>
        <w:pStyle w:val="Heading1"/>
        <w:numPr>
          <w:ilvl w:val="0"/>
          <w:numId w:val="0"/>
        </w:numPr>
        <w:ind w:left="862"/>
      </w:pPr>
      <w:r>
        <w:t xml:space="preserve">The following is ordered: </w:t>
      </w:r>
    </w:p>
    <w:p w14:paraId="49B3ECD6" w14:textId="7D31C6B8" w:rsidR="0093723D" w:rsidRDefault="001F74DB" w:rsidP="0093723D">
      <w:pPr>
        <w:pStyle w:val="Heading1"/>
        <w:numPr>
          <w:ilvl w:val="0"/>
          <w:numId w:val="0"/>
        </w:numPr>
        <w:ind w:left="1871" w:hanging="1009"/>
      </w:pPr>
      <w:r>
        <w:t>1)</w:t>
      </w:r>
      <w:r w:rsidR="0093723D">
        <w:tab/>
      </w:r>
      <w:r>
        <w:t>The Plaintiff is granted leave to</w:t>
      </w:r>
      <w:r w:rsidR="00785321">
        <w:t xml:space="preserve"> withdraw this application for summary judgment and within 15 (fifteen) days thereafter to initiate </w:t>
      </w:r>
      <w:r>
        <w:t xml:space="preserve">a fresh application for summary judgment on </w:t>
      </w:r>
      <w:r w:rsidRPr="001F74DB">
        <w:rPr>
          <w:b/>
          <w:bCs/>
        </w:rPr>
        <w:t>Second</w:t>
      </w:r>
      <w:r>
        <w:t xml:space="preserve"> </w:t>
      </w:r>
      <w:r w:rsidRPr="001F74DB">
        <w:rPr>
          <w:b/>
          <w:bCs/>
        </w:rPr>
        <w:t>Defendant’s</w:t>
      </w:r>
      <w:r>
        <w:t xml:space="preserve"> </w:t>
      </w:r>
      <w:r w:rsidRPr="001F74DB">
        <w:rPr>
          <w:b/>
          <w:bCs/>
        </w:rPr>
        <w:t>Amended</w:t>
      </w:r>
      <w:r>
        <w:t xml:space="preserve"> </w:t>
      </w:r>
      <w:r w:rsidRPr="001F74DB">
        <w:rPr>
          <w:b/>
          <w:bCs/>
        </w:rPr>
        <w:t>Plea</w:t>
      </w:r>
      <w:r w:rsidR="00785321">
        <w:t xml:space="preserve">, </w:t>
      </w:r>
      <w:proofErr w:type="spellStart"/>
      <w:r w:rsidR="00785321">
        <w:t>whereafter</w:t>
      </w:r>
      <w:proofErr w:type="spellEnd"/>
      <w:r w:rsidR="00785321">
        <w:t xml:space="preserve"> the provisions of Uniform Rule Of Court 32 are to apply.</w:t>
      </w:r>
    </w:p>
    <w:p w14:paraId="5B2A4DDD" w14:textId="04EEA778" w:rsidR="001F74DB" w:rsidRDefault="001F74DB" w:rsidP="0093723D">
      <w:pPr>
        <w:pStyle w:val="Heading1"/>
        <w:keepNext/>
        <w:numPr>
          <w:ilvl w:val="0"/>
          <w:numId w:val="0"/>
        </w:numPr>
        <w:ind w:left="1871" w:hanging="1009"/>
      </w:pPr>
      <w:r>
        <w:lastRenderedPageBreak/>
        <w:t>2)</w:t>
      </w:r>
      <w:r w:rsidR="0093723D">
        <w:tab/>
      </w:r>
      <w:r w:rsidR="00785321">
        <w:t>The Second Defendant is to pay the c</w:t>
      </w:r>
      <w:r>
        <w:t>osts</w:t>
      </w:r>
      <w:r w:rsidR="00785321">
        <w:t xml:space="preserve"> occasioned by the withdrawal of this application for summary judgment, save the costs of the opposed argument during the week of 19 April 2021, which are reserved.</w:t>
      </w:r>
    </w:p>
    <w:p w14:paraId="614EB0D3" w14:textId="5845D1F1" w:rsidR="001167B0" w:rsidRPr="00A8182A" w:rsidRDefault="001167B0" w:rsidP="001167B0">
      <w:pPr>
        <w:pStyle w:val="Heading1"/>
        <w:numPr>
          <w:ilvl w:val="0"/>
          <w:numId w:val="0"/>
        </w:numPr>
        <w:spacing w:after="0" w:line="240" w:lineRule="auto"/>
        <w:rPr>
          <w:b/>
          <w:bCs/>
        </w:rPr>
      </w:pPr>
      <w:r>
        <w:rPr>
          <w:b/>
          <w:bCs/>
        </w:rPr>
        <w:t>S M KATZEW</w:t>
      </w:r>
      <w:r w:rsidRPr="00A8182A">
        <w:rPr>
          <w:b/>
          <w:bCs/>
        </w:rPr>
        <w:t xml:space="preserve"> </w:t>
      </w:r>
    </w:p>
    <w:p w14:paraId="64A9C61B" w14:textId="55314F8D" w:rsidR="001167B0" w:rsidRDefault="001167B0" w:rsidP="003B0EE1">
      <w:pPr>
        <w:spacing w:after="0" w:line="240" w:lineRule="auto"/>
      </w:pPr>
      <w:r>
        <w:t>Acting Judge of the High Court of South Africa</w:t>
      </w:r>
    </w:p>
    <w:p w14:paraId="5FC5B88D" w14:textId="3F45DB61" w:rsidR="003B0EE1" w:rsidRDefault="003B0EE1" w:rsidP="003B0EE1">
      <w:pPr>
        <w:spacing w:after="0" w:line="240" w:lineRule="auto"/>
      </w:pPr>
    </w:p>
    <w:p w14:paraId="75FDF020" w14:textId="635269B4" w:rsidR="003B0EE1" w:rsidRDefault="003B0EE1" w:rsidP="003B0EE1">
      <w:pPr>
        <w:spacing w:after="0" w:line="240" w:lineRule="auto"/>
      </w:pPr>
    </w:p>
    <w:p w14:paraId="6BAE1513" w14:textId="106B6F51" w:rsidR="008B5A95" w:rsidRDefault="008B5A95" w:rsidP="003B0EE1">
      <w:pPr>
        <w:spacing w:after="0" w:line="240" w:lineRule="auto"/>
      </w:pPr>
    </w:p>
    <w:p w14:paraId="049A422F" w14:textId="2CE9AAB1" w:rsidR="008B5A95" w:rsidRDefault="008B5A95" w:rsidP="003B0EE1">
      <w:pPr>
        <w:spacing w:after="0" w:line="240" w:lineRule="auto"/>
      </w:pPr>
    </w:p>
    <w:p w14:paraId="1B4602D3" w14:textId="77777777" w:rsidR="008B5A95" w:rsidRPr="003B0EE1" w:rsidRDefault="008B5A95" w:rsidP="003B0EE1">
      <w:pPr>
        <w:spacing w:after="0" w:line="240" w:lineRule="auto"/>
      </w:pPr>
    </w:p>
    <w:p w14:paraId="6021DDC3" w14:textId="2D773040" w:rsidR="001167B0" w:rsidRPr="006474D2" w:rsidRDefault="001167B0" w:rsidP="001167B0">
      <w:pPr>
        <w:ind w:left="3022" w:hanging="3022"/>
      </w:pPr>
      <w:r>
        <w:rPr>
          <w:u w:val="single"/>
        </w:rPr>
        <w:t>DATE OF JUDGMENT</w:t>
      </w:r>
      <w:r>
        <w:t>:</w:t>
      </w:r>
      <w:r w:rsidR="008444FB">
        <w:t xml:space="preserve"> 4 August 2021.</w:t>
      </w:r>
      <w:r>
        <w:tab/>
      </w:r>
    </w:p>
    <w:p w14:paraId="0E456785" w14:textId="49E23DDA" w:rsidR="001167B0" w:rsidRPr="0010300F" w:rsidRDefault="001167B0" w:rsidP="001167B0">
      <w:pPr>
        <w:ind w:left="3022" w:hanging="3022"/>
      </w:pPr>
      <w:r>
        <w:rPr>
          <w:u w:val="single"/>
        </w:rPr>
        <w:t>DATE OF HEARING</w:t>
      </w:r>
      <w:r>
        <w:t>:</w:t>
      </w:r>
      <w:r w:rsidR="008444FB">
        <w:t xml:space="preserve"> 19 April 2021. </w:t>
      </w:r>
      <w:r>
        <w:tab/>
      </w:r>
    </w:p>
    <w:p w14:paraId="17A11F74" w14:textId="77777777" w:rsidR="001167B0" w:rsidRDefault="001167B0" w:rsidP="001167B0">
      <w:r w:rsidRPr="00A8182A">
        <w:rPr>
          <w:u w:val="single"/>
        </w:rPr>
        <w:t>APPEARANCES</w:t>
      </w:r>
      <w:r>
        <w:t>:</w:t>
      </w:r>
      <w:r>
        <w:tab/>
      </w:r>
    </w:p>
    <w:p w14:paraId="1B405938" w14:textId="6624213E" w:rsidR="001167B0" w:rsidRDefault="001167B0" w:rsidP="001167B0">
      <w:pPr>
        <w:spacing w:after="0" w:line="240" w:lineRule="auto"/>
      </w:pPr>
      <w:r>
        <w:tab/>
        <w:t>For Applicant:</w:t>
      </w:r>
      <w:r w:rsidR="008444FB">
        <w:t xml:space="preserve"> </w:t>
      </w:r>
      <w:r w:rsidR="0093723D">
        <w:tab/>
      </w:r>
      <w:r w:rsidR="0093723D">
        <w:tab/>
      </w:r>
      <w:proofErr w:type="spellStart"/>
      <w:r w:rsidR="008444FB">
        <w:t>Ms.</w:t>
      </w:r>
      <w:proofErr w:type="spellEnd"/>
      <w:r w:rsidR="008444FB">
        <w:t xml:space="preserve"> R. Blumenthal</w:t>
      </w:r>
      <w:r>
        <w:tab/>
      </w:r>
    </w:p>
    <w:p w14:paraId="62DC160D" w14:textId="19B80262" w:rsidR="001167B0" w:rsidRDefault="001167B0" w:rsidP="001167B0">
      <w:pPr>
        <w:spacing w:after="0" w:line="240" w:lineRule="auto"/>
        <w:ind w:left="3022" w:hanging="3022"/>
      </w:pPr>
      <w:r>
        <w:tab/>
        <w:t>Instructed by</w:t>
      </w:r>
      <w:r w:rsidR="0093723D">
        <w:t>:</w:t>
      </w:r>
      <w:r w:rsidR="0093723D">
        <w:tab/>
      </w:r>
      <w:r w:rsidR="0093723D">
        <w:tab/>
      </w:r>
      <w:r w:rsidR="008444FB">
        <w:t xml:space="preserve">NVDB </w:t>
      </w:r>
      <w:r w:rsidR="0093723D">
        <w:t>Attorneys</w:t>
      </w:r>
      <w:r w:rsidR="006B1754">
        <w:t xml:space="preserve"> (</w:t>
      </w:r>
      <w:proofErr w:type="spellStart"/>
      <w:r w:rsidR="006B1754">
        <w:t>ph</w:t>
      </w:r>
      <w:proofErr w:type="spellEnd"/>
      <w:r w:rsidR="006B1754">
        <w:t>):</w:t>
      </w:r>
      <w:r w:rsidR="008444FB">
        <w:t>011/568 3494</w:t>
      </w:r>
    </w:p>
    <w:p w14:paraId="7BAFC180" w14:textId="209F4FAD" w:rsidR="001167B0" w:rsidRDefault="001167B0" w:rsidP="001167B0">
      <w:pPr>
        <w:spacing w:after="0" w:line="240" w:lineRule="auto"/>
        <w:ind w:left="3022" w:hanging="3022"/>
      </w:pPr>
    </w:p>
    <w:p w14:paraId="1AC06336" w14:textId="77777777" w:rsidR="001167B0" w:rsidRDefault="001167B0" w:rsidP="001167B0">
      <w:pPr>
        <w:spacing w:after="0" w:line="240" w:lineRule="auto"/>
        <w:ind w:left="3022" w:hanging="3022"/>
      </w:pPr>
    </w:p>
    <w:p w14:paraId="3046E84F" w14:textId="43402877" w:rsidR="001167B0" w:rsidRDefault="001167B0" w:rsidP="001167B0">
      <w:pPr>
        <w:spacing w:after="0" w:line="240" w:lineRule="auto"/>
      </w:pPr>
      <w:r>
        <w:tab/>
        <w:t xml:space="preserve">For </w:t>
      </w:r>
      <w:r w:rsidR="008444FB">
        <w:t xml:space="preserve">Second </w:t>
      </w:r>
      <w:r>
        <w:t>Respondent:</w:t>
      </w:r>
      <w:r w:rsidR="008444FB">
        <w:t xml:space="preserve"> </w:t>
      </w:r>
      <w:r w:rsidR="0093723D">
        <w:tab/>
      </w:r>
      <w:proofErr w:type="spellStart"/>
      <w:r w:rsidR="008444FB">
        <w:t>Mr.</w:t>
      </w:r>
      <w:proofErr w:type="spellEnd"/>
      <w:r w:rsidR="008444FB">
        <w:t xml:space="preserve"> R.</w:t>
      </w:r>
      <w:r w:rsidR="0093723D">
        <w:t xml:space="preserve"> </w:t>
      </w:r>
      <w:proofErr w:type="spellStart"/>
      <w:r w:rsidR="008444FB">
        <w:t>Scholtz</w:t>
      </w:r>
      <w:proofErr w:type="spellEnd"/>
      <w:r w:rsidR="008444FB">
        <w:t xml:space="preserve"> </w:t>
      </w:r>
      <w:r>
        <w:tab/>
      </w:r>
    </w:p>
    <w:p w14:paraId="75981E87" w14:textId="19F10BD0" w:rsidR="001167B0" w:rsidRPr="00EB6F17" w:rsidRDefault="001167B0" w:rsidP="001167B0">
      <w:pPr>
        <w:spacing w:after="0" w:line="240" w:lineRule="auto"/>
      </w:pPr>
      <w:r>
        <w:tab/>
        <w:t>Instructed by</w:t>
      </w:r>
      <w:r w:rsidR="0093723D">
        <w:t>:</w:t>
      </w:r>
      <w:r w:rsidR="0093723D">
        <w:tab/>
      </w:r>
      <w:r w:rsidR="0093723D">
        <w:tab/>
      </w:r>
      <w:proofErr w:type="spellStart"/>
      <w:r w:rsidR="008444FB">
        <w:t>Macartney</w:t>
      </w:r>
      <w:proofErr w:type="spellEnd"/>
      <w:r w:rsidR="008444FB">
        <w:t xml:space="preserve"> </w:t>
      </w:r>
      <w:r w:rsidR="0093723D">
        <w:t>Attorneys</w:t>
      </w:r>
      <w:r w:rsidR="006B1754">
        <w:t xml:space="preserve"> (</w:t>
      </w:r>
      <w:proofErr w:type="spellStart"/>
      <w:r w:rsidR="006B1754">
        <w:t>ph</w:t>
      </w:r>
      <w:proofErr w:type="spellEnd"/>
      <w:r w:rsidR="006B1754">
        <w:t xml:space="preserve">):0873302400   </w:t>
      </w:r>
    </w:p>
    <w:p w14:paraId="4D6A2AD0" w14:textId="67D810E9" w:rsidR="005E1505" w:rsidRPr="00F74AEF" w:rsidRDefault="005E1505" w:rsidP="001167B0">
      <w:pPr>
        <w:pStyle w:val="Heading1"/>
        <w:numPr>
          <w:ilvl w:val="0"/>
          <w:numId w:val="0"/>
        </w:numPr>
        <w:ind w:left="862"/>
      </w:pPr>
    </w:p>
    <w:sectPr w:rsidR="005E1505" w:rsidRPr="00F74AEF" w:rsidSect="008F6C0F">
      <w:headerReference w:type="even" r:id="rId11"/>
      <w:headerReference w:type="default" r:id="rId12"/>
      <w:headerReference w:type="first" r:id="rId13"/>
      <w:pgSz w:w="11906" w:h="16838" w:code="9"/>
      <w:pgMar w:top="1429" w:right="1729" w:bottom="993" w:left="1582" w:header="1276"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F6D7D" w14:textId="77777777" w:rsidR="00905AEA" w:rsidRDefault="00905AEA" w:rsidP="00B958BA">
      <w:pPr>
        <w:pStyle w:val="Title"/>
      </w:pPr>
      <w:r>
        <w:separator/>
      </w:r>
    </w:p>
  </w:endnote>
  <w:endnote w:type="continuationSeparator" w:id="0">
    <w:p w14:paraId="5956E2BE" w14:textId="77777777" w:rsidR="00905AEA" w:rsidRDefault="00905AEA" w:rsidP="00B958BA">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E3614" w14:textId="77777777" w:rsidR="00905AEA" w:rsidRDefault="00905AEA" w:rsidP="00B958BA">
      <w:pPr>
        <w:pStyle w:val="Title"/>
      </w:pPr>
      <w:r>
        <w:separator/>
      </w:r>
    </w:p>
  </w:footnote>
  <w:footnote w:type="continuationSeparator" w:id="0">
    <w:p w14:paraId="65957BDB" w14:textId="77777777" w:rsidR="00905AEA" w:rsidRDefault="00905AEA" w:rsidP="00B958BA">
      <w:pPr>
        <w:pStyle w:val="Title"/>
      </w:pPr>
      <w:r>
        <w:continuationSeparator/>
      </w:r>
    </w:p>
  </w:footnote>
  <w:footnote w:id="1">
    <w:p w14:paraId="3FEADAE6" w14:textId="6D6E2A0C" w:rsidR="00770A32" w:rsidRDefault="00770A32">
      <w:pPr>
        <w:pStyle w:val="FootnoteText"/>
      </w:pPr>
      <w:r>
        <w:rPr>
          <w:rStyle w:val="FootnoteReference"/>
        </w:rPr>
        <w:footnoteRef/>
      </w:r>
      <w:r>
        <w:t xml:space="preserve"> </w:t>
      </w:r>
      <w:r>
        <w:tab/>
        <w:t>2004 (2) SA 492 (WLD) at 496F-I</w:t>
      </w:r>
    </w:p>
  </w:footnote>
  <w:footnote w:id="2">
    <w:p w14:paraId="5155573F" w14:textId="054FECFC" w:rsidR="00F76A74" w:rsidRDefault="00F76A74">
      <w:pPr>
        <w:pStyle w:val="FootnoteText"/>
      </w:pPr>
      <w:r>
        <w:rPr>
          <w:rStyle w:val="FootnoteReference"/>
        </w:rPr>
        <w:footnoteRef/>
      </w:r>
      <w:r>
        <w:t xml:space="preserve"> </w:t>
      </w:r>
      <w:r>
        <w:tab/>
        <w:t>2021 (3) SA 178 (WCC)</w:t>
      </w:r>
    </w:p>
  </w:footnote>
  <w:footnote w:id="3">
    <w:p w14:paraId="28C6E910" w14:textId="198B4E01" w:rsidR="00532563" w:rsidRDefault="00532563">
      <w:pPr>
        <w:pStyle w:val="FootnoteText"/>
      </w:pPr>
      <w:r>
        <w:rPr>
          <w:rStyle w:val="FootnoteReference"/>
        </w:rPr>
        <w:footnoteRef/>
      </w:r>
      <w:r>
        <w:t xml:space="preserve"> </w:t>
      </w:r>
      <w:r>
        <w:tab/>
        <w:t>2020 (1) SA 623 (GJ)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AD345" w14:textId="77777777" w:rsidR="00853FC4" w:rsidRDefault="00853F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D61">
      <w:rPr>
        <w:rStyle w:val="PageNumber"/>
        <w:noProof/>
      </w:rPr>
      <w:t>1</w:t>
    </w:r>
    <w:r>
      <w:rPr>
        <w:rStyle w:val="PageNumber"/>
      </w:rPr>
      <w:fldChar w:fldCharType="end"/>
    </w:r>
  </w:p>
  <w:p w14:paraId="43C7CE8A" w14:textId="77777777" w:rsidR="00853FC4" w:rsidRDefault="00853FC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9A5B2" w14:textId="77777777" w:rsidR="00853FC4" w:rsidRDefault="00853FC4">
    <w:pPr>
      <w:pStyle w:val="Header"/>
      <w:ind w:right="360"/>
      <w:rPr>
        <w:i/>
        <w:snapToGrid w:val="0"/>
        <w:sz w:val="16"/>
      </w:rPr>
    </w:pPr>
    <w:r>
      <w:rPr>
        <w:i/>
        <w:snapToGrid w:val="0"/>
        <w:sz w:val="16"/>
      </w:rPr>
      <w:fldChar w:fldCharType="begin"/>
    </w:r>
    <w:r>
      <w:rPr>
        <w:i/>
        <w:snapToGrid w:val="0"/>
        <w:sz w:val="16"/>
      </w:rPr>
      <w:instrText xml:space="preserve"> FILENAME </w:instrText>
    </w:r>
    <w:r>
      <w:rPr>
        <w:i/>
        <w:snapToGrid w:val="0"/>
        <w:sz w:val="16"/>
      </w:rPr>
      <w:fldChar w:fldCharType="separate"/>
    </w:r>
    <w:r w:rsidR="00021421">
      <w:rPr>
        <w:i/>
        <w:noProof/>
        <w:snapToGrid w:val="0"/>
        <w:sz w:val="16"/>
      </w:rPr>
      <w:t>Document1</w:t>
    </w:r>
    <w:r>
      <w:rPr>
        <w:i/>
        <w:snapToGrid w:val="0"/>
        <w:sz w:val="16"/>
      </w:rPr>
      <w:fldChar w:fldCharType="end"/>
    </w:r>
    <w:r>
      <w:rPr>
        <w:i/>
        <w:snapToGrid w:val="0"/>
        <w:sz w:val="16"/>
      </w:rPr>
      <w:t>/</w:t>
    </w:r>
    <w:r>
      <w:rPr>
        <w:i/>
        <w:snapToGrid w:val="0"/>
        <w:sz w:val="16"/>
      </w:rPr>
      <w:fldChar w:fldCharType="begin"/>
    </w:r>
    <w:r>
      <w:rPr>
        <w:i/>
        <w:snapToGrid w:val="0"/>
        <w:sz w:val="16"/>
      </w:rPr>
      <w:instrText xml:space="preserve"> AUTHOR </w:instrText>
    </w:r>
    <w:r>
      <w:rPr>
        <w:i/>
        <w:snapToGrid w:val="0"/>
        <w:sz w:val="16"/>
      </w:rPr>
      <w:fldChar w:fldCharType="separate"/>
    </w:r>
    <w:r w:rsidR="00021421">
      <w:rPr>
        <w:i/>
        <w:noProof/>
        <w:snapToGrid w:val="0"/>
        <w:sz w:val="16"/>
      </w:rPr>
      <w:t>VL</w:t>
    </w:r>
    <w:r>
      <w:rPr>
        <w:i/>
        <w:snapToGrid w:val="0"/>
        <w:sz w:val="16"/>
      </w:rPr>
      <w:fldChar w:fldCharType="end"/>
    </w:r>
  </w:p>
  <w:p w14:paraId="01B689CA" w14:textId="77777777" w:rsidR="00853FC4" w:rsidRDefault="00853FC4">
    <w:pPr>
      <w:pStyle w:val="Header"/>
      <w:ind w:right="360"/>
      <w:rPr>
        <w:snapToGrid w:val="0"/>
        <w:sz w:val="16"/>
      </w:rPr>
    </w:pPr>
  </w:p>
  <w:p w14:paraId="52D0C1FB" w14:textId="77777777" w:rsidR="00853FC4" w:rsidRDefault="00853FC4">
    <w:pPr>
      <w:pStyle w:val="Header"/>
      <w:ind w:right="360"/>
      <w:rPr>
        <w:snapToGrid w:val="0"/>
        <w:sz w:val="16"/>
      </w:rPr>
    </w:pPr>
  </w:p>
  <w:p w14:paraId="2DAE8B7C" w14:textId="14BA0742" w:rsidR="00853FC4" w:rsidRDefault="00853FC4">
    <w:pPr>
      <w:pStyle w:val="Header"/>
      <w:ind w:right="360"/>
      <w:jc w:val="center"/>
      <w:rPr>
        <w:snapToGrid w:val="0"/>
      </w:rPr>
    </w:pPr>
    <w:r>
      <w:rPr>
        <w:snapToGrid w:val="0"/>
      </w:rPr>
      <w:t xml:space="preserve">- </w:t>
    </w:r>
    <w:r>
      <w:rPr>
        <w:snapToGrid w:val="0"/>
      </w:rPr>
      <w:fldChar w:fldCharType="begin"/>
    </w:r>
    <w:r>
      <w:rPr>
        <w:snapToGrid w:val="0"/>
      </w:rPr>
      <w:instrText xml:space="preserve"> PAGE </w:instrText>
    </w:r>
    <w:r>
      <w:rPr>
        <w:snapToGrid w:val="0"/>
      </w:rPr>
      <w:fldChar w:fldCharType="separate"/>
    </w:r>
    <w:r w:rsidR="00502AFD">
      <w:rPr>
        <w:noProof/>
        <w:snapToGrid w:val="0"/>
      </w:rPr>
      <w:t>19</w:t>
    </w:r>
    <w:r>
      <w:rPr>
        <w:snapToGrid w:val="0"/>
      </w:rPr>
      <w:fldChar w:fldCharType="end"/>
    </w:r>
    <w:r>
      <w:rPr>
        <w:snapToGrid w:val="0"/>
      </w:rPr>
      <w:t xml:space="preserve"> -</w:t>
    </w:r>
  </w:p>
  <w:p w14:paraId="1C29E19A" w14:textId="77777777" w:rsidR="00853FC4" w:rsidRDefault="00853FC4">
    <w:pPr>
      <w:pStyle w:val="Header"/>
      <w:ind w:right="360"/>
      <w:jc w:val="center"/>
    </w:pPr>
  </w:p>
  <w:p w14:paraId="0DC08459" w14:textId="77777777" w:rsidR="00853FC4" w:rsidRDefault="00853FC4">
    <w:pPr>
      <w:pStyle w:val="Header"/>
      <w:ind w:right="360"/>
      <w:jc w:val="center"/>
    </w:pPr>
  </w:p>
  <w:p w14:paraId="2DA21509" w14:textId="77777777" w:rsidR="00853FC4" w:rsidRDefault="00853FC4">
    <w:pPr>
      <w:pStyle w:val="Header"/>
      <w:ind w:right="360"/>
      <w:jc w:val="center"/>
    </w:pPr>
  </w:p>
  <w:p w14:paraId="3E0DD7C8" w14:textId="77777777" w:rsidR="00853FC4" w:rsidRDefault="00853FC4">
    <w:pPr>
      <w:pStyle w:val="Header"/>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70781" w14:textId="77777777" w:rsidR="00853FC4" w:rsidRDefault="00853FC4">
    <w:pPr>
      <w:pStyle w:val="Header"/>
      <w:rPr>
        <w:i/>
        <w:snapToGrid w:val="0"/>
        <w:sz w:val="16"/>
      </w:rPr>
    </w:pPr>
    <w:r>
      <w:rPr>
        <w:i/>
        <w:snapToGrid w:val="0"/>
        <w:sz w:val="16"/>
      </w:rPr>
      <w:fldChar w:fldCharType="begin"/>
    </w:r>
    <w:r>
      <w:rPr>
        <w:i/>
        <w:snapToGrid w:val="0"/>
        <w:sz w:val="16"/>
      </w:rPr>
      <w:instrText xml:space="preserve"> FILENAME </w:instrText>
    </w:r>
    <w:r>
      <w:rPr>
        <w:i/>
        <w:snapToGrid w:val="0"/>
        <w:sz w:val="16"/>
      </w:rPr>
      <w:fldChar w:fldCharType="separate"/>
    </w:r>
    <w:r w:rsidR="00021421">
      <w:rPr>
        <w:i/>
        <w:noProof/>
        <w:snapToGrid w:val="0"/>
        <w:sz w:val="16"/>
      </w:rPr>
      <w:t>Document1</w:t>
    </w:r>
    <w:r>
      <w:rPr>
        <w:i/>
        <w:snapToGrid w:val="0"/>
        <w:sz w:val="16"/>
      </w:rPr>
      <w:fldChar w:fldCharType="end"/>
    </w:r>
    <w:r>
      <w:rPr>
        <w:i/>
        <w:sz w:val="16"/>
      </w:rPr>
      <w:t>/</w:t>
    </w:r>
    <w:r>
      <w:rPr>
        <w:i/>
        <w:snapToGrid w:val="0"/>
        <w:sz w:val="16"/>
      </w:rPr>
      <w:fldChar w:fldCharType="begin"/>
    </w:r>
    <w:r>
      <w:rPr>
        <w:i/>
        <w:snapToGrid w:val="0"/>
        <w:sz w:val="16"/>
      </w:rPr>
      <w:instrText xml:space="preserve"> AUTHOR </w:instrText>
    </w:r>
    <w:r>
      <w:rPr>
        <w:i/>
        <w:snapToGrid w:val="0"/>
        <w:sz w:val="16"/>
      </w:rPr>
      <w:fldChar w:fldCharType="separate"/>
    </w:r>
    <w:r w:rsidR="00021421">
      <w:rPr>
        <w:i/>
        <w:noProof/>
        <w:snapToGrid w:val="0"/>
        <w:sz w:val="16"/>
      </w:rPr>
      <w:t>VL</w:t>
    </w:r>
    <w:r>
      <w:rPr>
        <w:i/>
        <w:snapToGrid w:val="0"/>
        <w:sz w:val="16"/>
      </w:rPr>
      <w:fldChar w:fldCharType="end"/>
    </w:r>
  </w:p>
  <w:p w14:paraId="1ED79A16" w14:textId="77777777" w:rsidR="00853FC4" w:rsidRDefault="00853FC4">
    <w:pPr>
      <w:pStyle w:val="Header"/>
      <w:rPr>
        <w:i/>
        <w:snapToGrid w:val="0"/>
        <w:sz w:val="16"/>
      </w:rPr>
    </w:pPr>
  </w:p>
  <w:p w14:paraId="503EF6A3" w14:textId="77777777" w:rsidR="00853FC4" w:rsidRDefault="00853FC4">
    <w:pPr>
      <w:pStyle w:val="Header"/>
      <w:rPr>
        <w:i/>
        <w:snapToGrid w:val="0"/>
        <w:sz w:val="16"/>
      </w:rPr>
    </w:pPr>
  </w:p>
  <w:p w14:paraId="1A88B158" w14:textId="77777777" w:rsidR="00853FC4" w:rsidRDefault="00853FC4">
    <w:pPr>
      <w:pStyle w:val="Header"/>
      <w:rPr>
        <w: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C3444"/>
    <w:multiLevelType w:val="multilevel"/>
    <w:tmpl w:val="B94E5662"/>
    <w:lvl w:ilvl="0">
      <w:start w:val="1"/>
      <w:numFmt w:val="decimal"/>
      <w:pStyle w:val="Heading1"/>
      <w:lvlText w:val="[%1]"/>
      <w:lvlJc w:val="left"/>
      <w:pPr>
        <w:tabs>
          <w:tab w:val="num" w:pos="862"/>
        </w:tabs>
        <w:ind w:left="862" w:hanging="862"/>
      </w:pPr>
      <w:rPr>
        <w:rFonts w:hint="default"/>
      </w:rPr>
    </w:lvl>
    <w:lvl w:ilvl="1">
      <w:start w:val="1"/>
      <w:numFmt w:val="decimal"/>
      <w:pStyle w:val="Heading2"/>
      <w:lvlText w:val="[%1.%2]"/>
      <w:lvlJc w:val="left"/>
      <w:pPr>
        <w:tabs>
          <w:tab w:val="num" w:pos="1871"/>
        </w:tabs>
        <w:ind w:left="1871" w:hanging="1009"/>
      </w:pPr>
      <w:rPr>
        <w:rFonts w:hint="default"/>
      </w:rPr>
    </w:lvl>
    <w:lvl w:ilvl="2">
      <w:start w:val="1"/>
      <w:numFmt w:val="decimal"/>
      <w:pStyle w:val="Heading3"/>
      <w:lvlText w:val="%1.%2.%3"/>
      <w:lvlJc w:val="left"/>
      <w:pPr>
        <w:tabs>
          <w:tab w:val="num" w:pos="3022"/>
        </w:tabs>
        <w:ind w:left="3022" w:hanging="1151"/>
      </w:pPr>
      <w:rPr>
        <w:rFonts w:hint="default"/>
      </w:rPr>
    </w:lvl>
    <w:lvl w:ilvl="3">
      <w:start w:val="1"/>
      <w:numFmt w:val="decimal"/>
      <w:pStyle w:val="Heading4"/>
      <w:lvlText w:val="%1.%2.%3.%4"/>
      <w:lvlJc w:val="left"/>
      <w:pPr>
        <w:tabs>
          <w:tab w:val="num" w:pos="4321"/>
        </w:tabs>
        <w:ind w:left="4321" w:hanging="1299"/>
      </w:pPr>
      <w:rPr>
        <w:rFonts w:hint="default"/>
      </w:rPr>
    </w:lvl>
    <w:lvl w:ilvl="4">
      <w:start w:val="1"/>
      <w:numFmt w:val="decimal"/>
      <w:pStyle w:val="Heading5"/>
      <w:lvlText w:val="%1.%2.%3.%4.%5"/>
      <w:lvlJc w:val="left"/>
      <w:pPr>
        <w:tabs>
          <w:tab w:val="num" w:pos="5761"/>
        </w:tabs>
        <w:ind w:left="5761" w:hanging="1440"/>
      </w:pPr>
      <w:rPr>
        <w:rFonts w:hint="default"/>
      </w:rPr>
    </w:lvl>
    <w:lvl w:ilvl="5">
      <w:start w:val="1"/>
      <w:numFmt w:val="decimal"/>
      <w:lvlText w:val="%1.%2.%3.%4.%5.%6."/>
      <w:lvlJc w:val="left"/>
      <w:pPr>
        <w:tabs>
          <w:tab w:val="num" w:pos="7343"/>
        </w:tabs>
        <w:ind w:left="7343" w:hanging="1582"/>
      </w:pPr>
      <w:rPr>
        <w:rFonts w:hint="default"/>
      </w:rPr>
    </w:lvl>
    <w:lvl w:ilvl="6">
      <w:start w:val="1"/>
      <w:numFmt w:val="decimal"/>
      <w:lvlText w:val="%1.%2.%3.%4.%5.%6.%7."/>
      <w:lvlJc w:val="left"/>
      <w:pPr>
        <w:tabs>
          <w:tab w:val="num" w:pos="9072"/>
        </w:tabs>
        <w:ind w:left="9072" w:hanging="1729"/>
      </w:pPr>
      <w:rPr>
        <w:rFonts w:hint="default"/>
      </w:rPr>
    </w:lvl>
    <w:lvl w:ilvl="7">
      <w:start w:val="1"/>
      <w:numFmt w:val="decimal"/>
      <w:lvlText w:val="%1.%2.%3.%4.%5.%6.%7.%8."/>
      <w:lvlJc w:val="left"/>
      <w:pPr>
        <w:tabs>
          <w:tab w:val="num" w:pos="11232"/>
        </w:tabs>
        <w:ind w:left="10801" w:hanging="1729"/>
      </w:pPr>
      <w:rPr>
        <w:rFonts w:hint="default"/>
      </w:rPr>
    </w:lvl>
    <w:lvl w:ilvl="8">
      <w:start w:val="1"/>
      <w:numFmt w:val="decimal"/>
      <w:lvlText w:val="%1.%2.%3.%4.%5.%6.%7.%8.%9."/>
      <w:lvlJc w:val="left"/>
      <w:pPr>
        <w:tabs>
          <w:tab w:val="num" w:pos="12961"/>
        </w:tabs>
        <w:ind w:left="12531" w:hanging="173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ZA"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suppressTop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421"/>
    <w:rsid w:val="000054E7"/>
    <w:rsid w:val="00011915"/>
    <w:rsid w:val="00013916"/>
    <w:rsid w:val="0001436F"/>
    <w:rsid w:val="00016A42"/>
    <w:rsid w:val="00016FCE"/>
    <w:rsid w:val="00021421"/>
    <w:rsid w:val="00021572"/>
    <w:rsid w:val="00024EC0"/>
    <w:rsid w:val="000276B5"/>
    <w:rsid w:val="00031469"/>
    <w:rsid w:val="000330AA"/>
    <w:rsid w:val="00035295"/>
    <w:rsid w:val="00036843"/>
    <w:rsid w:val="00044742"/>
    <w:rsid w:val="00045C2A"/>
    <w:rsid w:val="000573B0"/>
    <w:rsid w:val="00081824"/>
    <w:rsid w:val="000A3B02"/>
    <w:rsid w:val="000A5255"/>
    <w:rsid w:val="000A7277"/>
    <w:rsid w:val="000B57CF"/>
    <w:rsid w:val="000C3DC6"/>
    <w:rsid w:val="000C4BAD"/>
    <w:rsid w:val="000C4EF8"/>
    <w:rsid w:val="000C6E46"/>
    <w:rsid w:val="000E0466"/>
    <w:rsid w:val="000E51FA"/>
    <w:rsid w:val="000E5E70"/>
    <w:rsid w:val="000E7CE5"/>
    <w:rsid w:val="000F0879"/>
    <w:rsid w:val="000F1E85"/>
    <w:rsid w:val="00107595"/>
    <w:rsid w:val="001167B0"/>
    <w:rsid w:val="0012684E"/>
    <w:rsid w:val="00127FB4"/>
    <w:rsid w:val="00141EEC"/>
    <w:rsid w:val="0014737C"/>
    <w:rsid w:val="001662A9"/>
    <w:rsid w:val="001740EB"/>
    <w:rsid w:val="00175BEF"/>
    <w:rsid w:val="00181F03"/>
    <w:rsid w:val="00193B63"/>
    <w:rsid w:val="00193BA1"/>
    <w:rsid w:val="001B3615"/>
    <w:rsid w:val="001C1534"/>
    <w:rsid w:val="001C4CC1"/>
    <w:rsid w:val="001D151A"/>
    <w:rsid w:val="001E48C8"/>
    <w:rsid w:val="001E5695"/>
    <w:rsid w:val="001F74DB"/>
    <w:rsid w:val="0020226C"/>
    <w:rsid w:val="00210EF6"/>
    <w:rsid w:val="00212F35"/>
    <w:rsid w:val="00213776"/>
    <w:rsid w:val="002167A8"/>
    <w:rsid w:val="00216C29"/>
    <w:rsid w:val="00233C3C"/>
    <w:rsid w:val="0023419B"/>
    <w:rsid w:val="00244807"/>
    <w:rsid w:val="0025399F"/>
    <w:rsid w:val="00285FB4"/>
    <w:rsid w:val="00292749"/>
    <w:rsid w:val="002A2729"/>
    <w:rsid w:val="002C6134"/>
    <w:rsid w:val="002D21CA"/>
    <w:rsid w:val="002E090D"/>
    <w:rsid w:val="002E2492"/>
    <w:rsid w:val="002F19F7"/>
    <w:rsid w:val="002F30AA"/>
    <w:rsid w:val="00300F41"/>
    <w:rsid w:val="00310029"/>
    <w:rsid w:val="00315B0F"/>
    <w:rsid w:val="0031638A"/>
    <w:rsid w:val="00326E82"/>
    <w:rsid w:val="003374E6"/>
    <w:rsid w:val="00340B40"/>
    <w:rsid w:val="0035315B"/>
    <w:rsid w:val="00360BDC"/>
    <w:rsid w:val="0037012A"/>
    <w:rsid w:val="00371B3F"/>
    <w:rsid w:val="0037230C"/>
    <w:rsid w:val="00395D11"/>
    <w:rsid w:val="003A54C2"/>
    <w:rsid w:val="003B0EE1"/>
    <w:rsid w:val="003C3E35"/>
    <w:rsid w:val="003D2A4F"/>
    <w:rsid w:val="003D5E64"/>
    <w:rsid w:val="003E2E2E"/>
    <w:rsid w:val="003E3B3D"/>
    <w:rsid w:val="003E6F1C"/>
    <w:rsid w:val="003F4D15"/>
    <w:rsid w:val="004031B7"/>
    <w:rsid w:val="0041142B"/>
    <w:rsid w:val="00415AE9"/>
    <w:rsid w:val="00417C15"/>
    <w:rsid w:val="00421032"/>
    <w:rsid w:val="0042273D"/>
    <w:rsid w:val="00424C43"/>
    <w:rsid w:val="004253C5"/>
    <w:rsid w:val="00430D78"/>
    <w:rsid w:val="004363DF"/>
    <w:rsid w:val="004368A0"/>
    <w:rsid w:val="00440CFE"/>
    <w:rsid w:val="00460B41"/>
    <w:rsid w:val="00463B1B"/>
    <w:rsid w:val="0047725E"/>
    <w:rsid w:val="00483027"/>
    <w:rsid w:val="0048420C"/>
    <w:rsid w:val="004854E6"/>
    <w:rsid w:val="00485D53"/>
    <w:rsid w:val="0049082C"/>
    <w:rsid w:val="0049324B"/>
    <w:rsid w:val="004A4B36"/>
    <w:rsid w:val="004B214D"/>
    <w:rsid w:val="004C6A21"/>
    <w:rsid w:val="004F7A0C"/>
    <w:rsid w:val="00501216"/>
    <w:rsid w:val="00502272"/>
    <w:rsid w:val="00502AFD"/>
    <w:rsid w:val="00505F6E"/>
    <w:rsid w:val="00512AF7"/>
    <w:rsid w:val="00512CF7"/>
    <w:rsid w:val="005239DA"/>
    <w:rsid w:val="00532563"/>
    <w:rsid w:val="005361BD"/>
    <w:rsid w:val="00542D61"/>
    <w:rsid w:val="00552123"/>
    <w:rsid w:val="005536C4"/>
    <w:rsid w:val="005546A8"/>
    <w:rsid w:val="00554864"/>
    <w:rsid w:val="00555C16"/>
    <w:rsid w:val="0056031E"/>
    <w:rsid w:val="005645E7"/>
    <w:rsid w:val="00572115"/>
    <w:rsid w:val="00574B05"/>
    <w:rsid w:val="00593FD7"/>
    <w:rsid w:val="00597C6F"/>
    <w:rsid w:val="005A0D18"/>
    <w:rsid w:val="005A66C2"/>
    <w:rsid w:val="005B6B8D"/>
    <w:rsid w:val="005B7038"/>
    <w:rsid w:val="005C6062"/>
    <w:rsid w:val="005E0738"/>
    <w:rsid w:val="005E1505"/>
    <w:rsid w:val="005E7DCC"/>
    <w:rsid w:val="005F5DEF"/>
    <w:rsid w:val="0061578A"/>
    <w:rsid w:val="0061626D"/>
    <w:rsid w:val="006211E1"/>
    <w:rsid w:val="006264FB"/>
    <w:rsid w:val="00632786"/>
    <w:rsid w:val="00636673"/>
    <w:rsid w:val="006435B6"/>
    <w:rsid w:val="00644462"/>
    <w:rsid w:val="006613AD"/>
    <w:rsid w:val="00662EF2"/>
    <w:rsid w:val="0067053A"/>
    <w:rsid w:val="006714D1"/>
    <w:rsid w:val="00672392"/>
    <w:rsid w:val="0068303E"/>
    <w:rsid w:val="0069405B"/>
    <w:rsid w:val="006B1754"/>
    <w:rsid w:val="006B19F7"/>
    <w:rsid w:val="006C26E1"/>
    <w:rsid w:val="006D0E5D"/>
    <w:rsid w:val="006D4E2B"/>
    <w:rsid w:val="006E1D75"/>
    <w:rsid w:val="006E77C0"/>
    <w:rsid w:val="006F24AD"/>
    <w:rsid w:val="006F2670"/>
    <w:rsid w:val="006F7C73"/>
    <w:rsid w:val="00716A2D"/>
    <w:rsid w:val="007359A8"/>
    <w:rsid w:val="00741025"/>
    <w:rsid w:val="007425AB"/>
    <w:rsid w:val="00756B54"/>
    <w:rsid w:val="00763C6D"/>
    <w:rsid w:val="00770A32"/>
    <w:rsid w:val="00771A66"/>
    <w:rsid w:val="00785321"/>
    <w:rsid w:val="00796047"/>
    <w:rsid w:val="007B7DD6"/>
    <w:rsid w:val="007B7E35"/>
    <w:rsid w:val="007C0237"/>
    <w:rsid w:val="007C3BFE"/>
    <w:rsid w:val="007C6230"/>
    <w:rsid w:val="007C7824"/>
    <w:rsid w:val="007D608B"/>
    <w:rsid w:val="007D63CE"/>
    <w:rsid w:val="007D7235"/>
    <w:rsid w:val="007E126A"/>
    <w:rsid w:val="007E1556"/>
    <w:rsid w:val="007F5466"/>
    <w:rsid w:val="007F79FD"/>
    <w:rsid w:val="008203F5"/>
    <w:rsid w:val="008255C7"/>
    <w:rsid w:val="00833792"/>
    <w:rsid w:val="00834DD2"/>
    <w:rsid w:val="008401F0"/>
    <w:rsid w:val="00844404"/>
    <w:rsid w:val="008444FB"/>
    <w:rsid w:val="00844EA1"/>
    <w:rsid w:val="00846E44"/>
    <w:rsid w:val="0085264E"/>
    <w:rsid w:val="00853F12"/>
    <w:rsid w:val="00853FC4"/>
    <w:rsid w:val="008555DE"/>
    <w:rsid w:val="00860B9E"/>
    <w:rsid w:val="0086270F"/>
    <w:rsid w:val="00864519"/>
    <w:rsid w:val="008661EB"/>
    <w:rsid w:val="0086765E"/>
    <w:rsid w:val="0088231F"/>
    <w:rsid w:val="00890354"/>
    <w:rsid w:val="00891349"/>
    <w:rsid w:val="008923E1"/>
    <w:rsid w:val="008924CA"/>
    <w:rsid w:val="008931E9"/>
    <w:rsid w:val="00895C40"/>
    <w:rsid w:val="008A129D"/>
    <w:rsid w:val="008A22D2"/>
    <w:rsid w:val="008A2E5B"/>
    <w:rsid w:val="008B1DDB"/>
    <w:rsid w:val="008B4B27"/>
    <w:rsid w:val="008B5A95"/>
    <w:rsid w:val="008C017F"/>
    <w:rsid w:val="008C2196"/>
    <w:rsid w:val="008C3742"/>
    <w:rsid w:val="008C4C23"/>
    <w:rsid w:val="008F6C0F"/>
    <w:rsid w:val="00905AEA"/>
    <w:rsid w:val="00912C24"/>
    <w:rsid w:val="00920334"/>
    <w:rsid w:val="009207FD"/>
    <w:rsid w:val="0092135E"/>
    <w:rsid w:val="0093723D"/>
    <w:rsid w:val="0095600B"/>
    <w:rsid w:val="00965FAA"/>
    <w:rsid w:val="00966D14"/>
    <w:rsid w:val="009823F4"/>
    <w:rsid w:val="00990205"/>
    <w:rsid w:val="009A0C0E"/>
    <w:rsid w:val="009A1259"/>
    <w:rsid w:val="009A6E6A"/>
    <w:rsid w:val="009C2BB5"/>
    <w:rsid w:val="009D12C1"/>
    <w:rsid w:val="009D2990"/>
    <w:rsid w:val="009D41B2"/>
    <w:rsid w:val="009D558D"/>
    <w:rsid w:val="009E30F8"/>
    <w:rsid w:val="009F0AC2"/>
    <w:rsid w:val="009F2F16"/>
    <w:rsid w:val="009F4EC4"/>
    <w:rsid w:val="00A03F2F"/>
    <w:rsid w:val="00A10756"/>
    <w:rsid w:val="00A124D5"/>
    <w:rsid w:val="00A1538C"/>
    <w:rsid w:val="00A1796E"/>
    <w:rsid w:val="00A33EBA"/>
    <w:rsid w:val="00A369C0"/>
    <w:rsid w:val="00A40E21"/>
    <w:rsid w:val="00A42064"/>
    <w:rsid w:val="00A57F61"/>
    <w:rsid w:val="00A60DA6"/>
    <w:rsid w:val="00A70EDD"/>
    <w:rsid w:val="00A71CAA"/>
    <w:rsid w:val="00A76636"/>
    <w:rsid w:val="00A802F7"/>
    <w:rsid w:val="00A81DEE"/>
    <w:rsid w:val="00A96D02"/>
    <w:rsid w:val="00AA7729"/>
    <w:rsid w:val="00AB2378"/>
    <w:rsid w:val="00AD2B7D"/>
    <w:rsid w:val="00AD2B8A"/>
    <w:rsid w:val="00AD7808"/>
    <w:rsid w:val="00AE2D5A"/>
    <w:rsid w:val="00AE341C"/>
    <w:rsid w:val="00AF473D"/>
    <w:rsid w:val="00B0129A"/>
    <w:rsid w:val="00B20F13"/>
    <w:rsid w:val="00B24672"/>
    <w:rsid w:val="00B26E34"/>
    <w:rsid w:val="00B333C8"/>
    <w:rsid w:val="00B647D0"/>
    <w:rsid w:val="00B664EF"/>
    <w:rsid w:val="00B82DF7"/>
    <w:rsid w:val="00B950B9"/>
    <w:rsid w:val="00B958BA"/>
    <w:rsid w:val="00B96E0E"/>
    <w:rsid w:val="00B97EBA"/>
    <w:rsid w:val="00BA67C3"/>
    <w:rsid w:val="00BB1870"/>
    <w:rsid w:val="00BB2CFB"/>
    <w:rsid w:val="00BD2209"/>
    <w:rsid w:val="00BE788A"/>
    <w:rsid w:val="00BF06A5"/>
    <w:rsid w:val="00BF34C6"/>
    <w:rsid w:val="00BF41EB"/>
    <w:rsid w:val="00BF57FF"/>
    <w:rsid w:val="00BF5B9B"/>
    <w:rsid w:val="00C050C9"/>
    <w:rsid w:val="00C13B8D"/>
    <w:rsid w:val="00C17582"/>
    <w:rsid w:val="00C23E19"/>
    <w:rsid w:val="00C25A16"/>
    <w:rsid w:val="00C35AE6"/>
    <w:rsid w:val="00C428DF"/>
    <w:rsid w:val="00C4367A"/>
    <w:rsid w:val="00C54255"/>
    <w:rsid w:val="00C64F31"/>
    <w:rsid w:val="00C77169"/>
    <w:rsid w:val="00C82373"/>
    <w:rsid w:val="00C8367B"/>
    <w:rsid w:val="00C860FB"/>
    <w:rsid w:val="00C91509"/>
    <w:rsid w:val="00C94F7F"/>
    <w:rsid w:val="00C96454"/>
    <w:rsid w:val="00CA268A"/>
    <w:rsid w:val="00CB2503"/>
    <w:rsid w:val="00CC5BF0"/>
    <w:rsid w:val="00CD50F3"/>
    <w:rsid w:val="00CD6D6A"/>
    <w:rsid w:val="00CE5945"/>
    <w:rsid w:val="00CE688E"/>
    <w:rsid w:val="00CF3964"/>
    <w:rsid w:val="00CF4104"/>
    <w:rsid w:val="00CF7F6C"/>
    <w:rsid w:val="00D0383D"/>
    <w:rsid w:val="00D10CBB"/>
    <w:rsid w:val="00D13022"/>
    <w:rsid w:val="00D2454E"/>
    <w:rsid w:val="00D31952"/>
    <w:rsid w:val="00D521F7"/>
    <w:rsid w:val="00D552FC"/>
    <w:rsid w:val="00D6395E"/>
    <w:rsid w:val="00D823AC"/>
    <w:rsid w:val="00D912C4"/>
    <w:rsid w:val="00D932C7"/>
    <w:rsid w:val="00D964BA"/>
    <w:rsid w:val="00DA4E0C"/>
    <w:rsid w:val="00DB1590"/>
    <w:rsid w:val="00DC2520"/>
    <w:rsid w:val="00DC4583"/>
    <w:rsid w:val="00DE0AE6"/>
    <w:rsid w:val="00DF14C8"/>
    <w:rsid w:val="00DF262A"/>
    <w:rsid w:val="00E02C94"/>
    <w:rsid w:val="00E2646C"/>
    <w:rsid w:val="00E303AF"/>
    <w:rsid w:val="00E32E1E"/>
    <w:rsid w:val="00E34CF6"/>
    <w:rsid w:val="00E36B92"/>
    <w:rsid w:val="00E54815"/>
    <w:rsid w:val="00E63E1E"/>
    <w:rsid w:val="00E67F61"/>
    <w:rsid w:val="00E82176"/>
    <w:rsid w:val="00E836E2"/>
    <w:rsid w:val="00E927E5"/>
    <w:rsid w:val="00E940B8"/>
    <w:rsid w:val="00E94D6F"/>
    <w:rsid w:val="00E96849"/>
    <w:rsid w:val="00EC5905"/>
    <w:rsid w:val="00ED3A4B"/>
    <w:rsid w:val="00EE1F1C"/>
    <w:rsid w:val="00EF2C13"/>
    <w:rsid w:val="00EF5857"/>
    <w:rsid w:val="00F04A6E"/>
    <w:rsid w:val="00F0722B"/>
    <w:rsid w:val="00F15C35"/>
    <w:rsid w:val="00F16E81"/>
    <w:rsid w:val="00F172A4"/>
    <w:rsid w:val="00F174A9"/>
    <w:rsid w:val="00F23854"/>
    <w:rsid w:val="00F25AF2"/>
    <w:rsid w:val="00F30AF9"/>
    <w:rsid w:val="00F35A74"/>
    <w:rsid w:val="00F606EA"/>
    <w:rsid w:val="00F74AEF"/>
    <w:rsid w:val="00F76A74"/>
    <w:rsid w:val="00F95C27"/>
    <w:rsid w:val="00F97B1F"/>
    <w:rsid w:val="00FB60F0"/>
    <w:rsid w:val="00FC4520"/>
    <w:rsid w:val="00FC48B7"/>
    <w:rsid w:val="00FE38D9"/>
    <w:rsid w:val="00FF7F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5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776"/>
    <w:pPr>
      <w:widowControl w:val="0"/>
      <w:tabs>
        <w:tab w:val="left" w:pos="-1009"/>
        <w:tab w:val="left" w:pos="-142"/>
        <w:tab w:val="left" w:pos="862"/>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480" w:lineRule="auto"/>
      <w:jc w:val="both"/>
    </w:pPr>
    <w:rPr>
      <w:rFonts w:ascii="Arial" w:hAnsi="Arial"/>
      <w:kern w:val="25"/>
      <w:sz w:val="25"/>
      <w:lang w:eastAsia="en-US"/>
    </w:rPr>
  </w:style>
  <w:style w:type="paragraph" w:styleId="Heading1">
    <w:name w:val="heading 1"/>
    <w:qFormat/>
    <w:rsid w:val="00AD2B7D"/>
    <w:pPr>
      <w:widowControl w:val="0"/>
      <w:numPr>
        <w:numId w:val="33"/>
      </w:numPr>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480" w:lineRule="auto"/>
      <w:jc w:val="both"/>
      <w:outlineLvl w:val="0"/>
    </w:pPr>
    <w:rPr>
      <w:rFonts w:ascii="Arial" w:hAnsi="Arial"/>
      <w:kern w:val="25"/>
      <w:sz w:val="25"/>
      <w:lang w:eastAsia="en-US"/>
    </w:rPr>
  </w:style>
  <w:style w:type="paragraph" w:styleId="Heading2">
    <w:name w:val="heading 2"/>
    <w:basedOn w:val="Heading1"/>
    <w:qFormat/>
    <w:rsid w:val="00AD2B7D"/>
    <w:pPr>
      <w:numPr>
        <w:ilvl w:val="1"/>
      </w:numPr>
      <w:outlineLvl w:val="1"/>
    </w:pPr>
  </w:style>
  <w:style w:type="paragraph" w:styleId="Heading3">
    <w:name w:val="heading 3"/>
    <w:basedOn w:val="Heading2"/>
    <w:qFormat/>
    <w:rsid w:val="00AD2B7D"/>
    <w:pPr>
      <w:numPr>
        <w:ilvl w:val="2"/>
      </w:numPr>
      <w:outlineLvl w:val="2"/>
    </w:pPr>
  </w:style>
  <w:style w:type="paragraph" w:styleId="Heading4">
    <w:name w:val="heading 4"/>
    <w:basedOn w:val="Heading3"/>
    <w:qFormat/>
    <w:rsid w:val="00AD2B7D"/>
    <w:pPr>
      <w:numPr>
        <w:ilvl w:val="3"/>
      </w:numPr>
      <w:outlineLvl w:val="3"/>
    </w:pPr>
  </w:style>
  <w:style w:type="paragraph" w:styleId="Heading5">
    <w:name w:val="heading 5"/>
    <w:basedOn w:val="Heading4"/>
    <w:next w:val="Normal"/>
    <w:qFormat/>
    <w:rsid w:val="00AD2B7D"/>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pPr>
      <w:widowControl w:val="0"/>
    </w:pPr>
    <w:rPr>
      <w:rFonts w:ascii="Arial" w:hAnsi="Arial"/>
      <w:sz w:val="25"/>
      <w:lang w:eastAsia="en-US"/>
    </w:rPr>
  </w:style>
  <w:style w:type="paragraph" w:styleId="Header">
    <w:name w:val="header"/>
    <w:basedOn w:val="Title"/>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FootnoteText">
    <w:name w:val="footnote text"/>
    <w:basedOn w:val="Normal"/>
    <w:semiHidden/>
    <w:rsid w:val="001C1534"/>
    <w:pPr>
      <w:keepLines/>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227"/>
      </w:tabs>
      <w:spacing w:after="240" w:line="240" w:lineRule="auto"/>
      <w:ind w:left="227" w:hanging="227"/>
    </w:pPr>
    <w:rPr>
      <w:sz w:val="20"/>
    </w:rPr>
  </w:style>
  <w:style w:type="character" w:styleId="FootnoteReference">
    <w:name w:val="footnote reference"/>
    <w:semiHidden/>
    <w:rsid w:val="0085264E"/>
    <w:rPr>
      <w:color w:val="auto"/>
      <w:vertAlign w:val="superscript"/>
    </w:rPr>
  </w:style>
  <w:style w:type="paragraph" w:styleId="BodyText">
    <w:name w:val="Body Text"/>
    <w:basedOn w:val="Normal"/>
  </w:style>
  <w:style w:type="paragraph" w:customStyle="1" w:styleId="SingleLineSpacing">
    <w:name w:val="Single Line Spacing"/>
    <w:basedOn w:val="Title"/>
  </w:style>
  <w:style w:type="paragraph" w:styleId="BalloonText">
    <w:name w:val="Balloon Text"/>
    <w:basedOn w:val="Normal"/>
    <w:link w:val="BalloonTextChar"/>
    <w:semiHidden/>
    <w:unhideWhenUsed/>
    <w:rsid w:val="00502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02AFD"/>
    <w:rPr>
      <w:rFonts w:ascii="Tahoma" w:hAnsi="Tahoma" w:cs="Tahoma"/>
      <w:kern w:val="25"/>
      <w:sz w:val="16"/>
      <w:szCs w:val="16"/>
      <w:lang w:eastAsia="en-US"/>
    </w:rPr>
  </w:style>
  <w:style w:type="character" w:customStyle="1" w:styleId="TitleChar">
    <w:name w:val="Title Char"/>
    <w:basedOn w:val="DefaultParagraphFont"/>
    <w:link w:val="Title"/>
    <w:rsid w:val="00502AFD"/>
    <w:rPr>
      <w:rFonts w:ascii="Arial" w:hAnsi="Arial"/>
      <w:sz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776"/>
    <w:pPr>
      <w:widowControl w:val="0"/>
      <w:tabs>
        <w:tab w:val="left" w:pos="-1009"/>
        <w:tab w:val="left" w:pos="-142"/>
        <w:tab w:val="left" w:pos="862"/>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480" w:lineRule="auto"/>
      <w:jc w:val="both"/>
    </w:pPr>
    <w:rPr>
      <w:rFonts w:ascii="Arial" w:hAnsi="Arial"/>
      <w:kern w:val="25"/>
      <w:sz w:val="25"/>
      <w:lang w:eastAsia="en-US"/>
    </w:rPr>
  </w:style>
  <w:style w:type="paragraph" w:styleId="Heading1">
    <w:name w:val="heading 1"/>
    <w:qFormat/>
    <w:rsid w:val="00AD2B7D"/>
    <w:pPr>
      <w:widowControl w:val="0"/>
      <w:numPr>
        <w:numId w:val="33"/>
      </w:numPr>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480" w:lineRule="auto"/>
      <w:jc w:val="both"/>
      <w:outlineLvl w:val="0"/>
    </w:pPr>
    <w:rPr>
      <w:rFonts w:ascii="Arial" w:hAnsi="Arial"/>
      <w:kern w:val="25"/>
      <w:sz w:val="25"/>
      <w:lang w:eastAsia="en-US"/>
    </w:rPr>
  </w:style>
  <w:style w:type="paragraph" w:styleId="Heading2">
    <w:name w:val="heading 2"/>
    <w:basedOn w:val="Heading1"/>
    <w:qFormat/>
    <w:rsid w:val="00AD2B7D"/>
    <w:pPr>
      <w:numPr>
        <w:ilvl w:val="1"/>
      </w:numPr>
      <w:outlineLvl w:val="1"/>
    </w:pPr>
  </w:style>
  <w:style w:type="paragraph" w:styleId="Heading3">
    <w:name w:val="heading 3"/>
    <w:basedOn w:val="Heading2"/>
    <w:qFormat/>
    <w:rsid w:val="00AD2B7D"/>
    <w:pPr>
      <w:numPr>
        <w:ilvl w:val="2"/>
      </w:numPr>
      <w:outlineLvl w:val="2"/>
    </w:pPr>
  </w:style>
  <w:style w:type="paragraph" w:styleId="Heading4">
    <w:name w:val="heading 4"/>
    <w:basedOn w:val="Heading3"/>
    <w:qFormat/>
    <w:rsid w:val="00AD2B7D"/>
    <w:pPr>
      <w:numPr>
        <w:ilvl w:val="3"/>
      </w:numPr>
      <w:outlineLvl w:val="3"/>
    </w:pPr>
  </w:style>
  <w:style w:type="paragraph" w:styleId="Heading5">
    <w:name w:val="heading 5"/>
    <w:basedOn w:val="Heading4"/>
    <w:next w:val="Normal"/>
    <w:qFormat/>
    <w:rsid w:val="00AD2B7D"/>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pPr>
      <w:widowControl w:val="0"/>
    </w:pPr>
    <w:rPr>
      <w:rFonts w:ascii="Arial" w:hAnsi="Arial"/>
      <w:sz w:val="25"/>
      <w:lang w:eastAsia="en-US"/>
    </w:rPr>
  </w:style>
  <w:style w:type="paragraph" w:styleId="Header">
    <w:name w:val="header"/>
    <w:basedOn w:val="Title"/>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FootnoteText">
    <w:name w:val="footnote text"/>
    <w:basedOn w:val="Normal"/>
    <w:semiHidden/>
    <w:rsid w:val="001C1534"/>
    <w:pPr>
      <w:keepLines/>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227"/>
      </w:tabs>
      <w:spacing w:after="240" w:line="240" w:lineRule="auto"/>
      <w:ind w:left="227" w:hanging="227"/>
    </w:pPr>
    <w:rPr>
      <w:sz w:val="20"/>
    </w:rPr>
  </w:style>
  <w:style w:type="character" w:styleId="FootnoteReference">
    <w:name w:val="footnote reference"/>
    <w:semiHidden/>
    <w:rsid w:val="0085264E"/>
    <w:rPr>
      <w:color w:val="auto"/>
      <w:vertAlign w:val="superscript"/>
    </w:rPr>
  </w:style>
  <w:style w:type="paragraph" w:styleId="BodyText">
    <w:name w:val="Body Text"/>
    <w:basedOn w:val="Normal"/>
  </w:style>
  <w:style w:type="paragraph" w:customStyle="1" w:styleId="SingleLineSpacing">
    <w:name w:val="Single Line Spacing"/>
    <w:basedOn w:val="Title"/>
  </w:style>
  <w:style w:type="paragraph" w:styleId="BalloonText">
    <w:name w:val="Balloon Text"/>
    <w:basedOn w:val="Normal"/>
    <w:link w:val="BalloonTextChar"/>
    <w:semiHidden/>
    <w:unhideWhenUsed/>
    <w:rsid w:val="00502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02AFD"/>
    <w:rPr>
      <w:rFonts w:ascii="Tahoma" w:hAnsi="Tahoma" w:cs="Tahoma"/>
      <w:kern w:val="25"/>
      <w:sz w:val="16"/>
      <w:szCs w:val="16"/>
      <w:lang w:eastAsia="en-US"/>
    </w:rPr>
  </w:style>
  <w:style w:type="character" w:customStyle="1" w:styleId="TitleChar">
    <w:name w:val="Title Char"/>
    <w:basedOn w:val="DefaultParagraphFont"/>
    <w:link w:val="Title"/>
    <w:rsid w:val="00502AFD"/>
    <w:rPr>
      <w:rFonts w:ascii="Arial" w:hAnsi="Arial"/>
      <w:sz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70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cid:image001.png@01D0BF16.DA35A98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Documents\Custom%20Office%20Templates\SGH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SGHC</Template>
  <TotalTime>0</TotalTime>
  <Pages>19</Pages>
  <Words>3477</Words>
  <Characters>19821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23252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creator>VL</dc:creator>
  <cp:lastModifiedBy>Inge Papp</cp:lastModifiedBy>
  <cp:revision>2</cp:revision>
  <cp:lastPrinted>2006-11-23T10:10:00Z</cp:lastPrinted>
  <dcterms:created xsi:type="dcterms:W3CDTF">2022-01-11T11:51:00Z</dcterms:created>
  <dcterms:modified xsi:type="dcterms:W3CDTF">2022-01-11T11:51:00Z</dcterms:modified>
</cp:coreProperties>
</file>