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9F13" w14:textId="622E7123" w:rsidR="00200F85" w:rsidRPr="00956ECB" w:rsidRDefault="00EA0C62" w:rsidP="00B1562E">
      <w:pPr>
        <w:spacing w:before="120" w:after="120" w:line="240" w:lineRule="auto"/>
        <w:ind w:right="29"/>
        <w:jc w:val="center"/>
        <w:rPr>
          <w:rFonts w:eastAsia="Times New Roman" w:cs="Arial"/>
          <w:b/>
          <w:szCs w:val="24"/>
          <w:lang w:val="en-GB" w:eastAsia="en-GB"/>
        </w:rPr>
      </w:pPr>
      <w:bookmarkStart w:id="0" w:name="_GoBack"/>
      <w:bookmarkEnd w:id="0"/>
      <w:r w:rsidRPr="00956ECB">
        <w:rPr>
          <w:rFonts w:eastAsia="Times New Roman" w:cs="Arial"/>
          <w:b/>
          <w:szCs w:val="24"/>
          <w:lang w:val="en-GB" w:eastAsia="en-GB"/>
        </w:rPr>
        <w:t>REPUBLIC OF SOUTH AFRICA</w:t>
      </w:r>
    </w:p>
    <w:p w14:paraId="34620245" w14:textId="0F77A41A" w:rsidR="00200F85" w:rsidRPr="00956ECB" w:rsidRDefault="00EA0C62" w:rsidP="00B1562E">
      <w:pPr>
        <w:spacing w:before="120" w:after="120" w:line="240" w:lineRule="auto"/>
        <w:ind w:right="29"/>
        <w:jc w:val="center"/>
        <w:rPr>
          <w:rFonts w:eastAsia="Times New Roman" w:cs="Arial"/>
          <w:b/>
          <w:szCs w:val="24"/>
          <w:lang w:val="en-GB" w:eastAsia="en-GB"/>
        </w:rPr>
      </w:pPr>
      <w:r w:rsidRPr="00956ECB">
        <w:rPr>
          <w:rFonts w:eastAsia="Times New Roman" w:cs="Arial"/>
          <w:b/>
          <w:noProof/>
          <w:szCs w:val="24"/>
          <w:lang w:eastAsia="en-ZA"/>
        </w:rPr>
        <w:drawing>
          <wp:inline distT="0" distB="0" distL="0" distR="0" wp14:anchorId="757755CC" wp14:editId="7E237867">
            <wp:extent cx="1325880" cy="1325880"/>
            <wp:effectExtent l="0" t="0" r="7620" b="7620"/>
            <wp:docPr id="1" name="Picture 1" descr="judiciary_logo_-_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diciary_logo_-_seal_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7D23733D" w14:textId="77777777" w:rsidR="00EA0C62" w:rsidRPr="00956ECB" w:rsidRDefault="00EA0C62" w:rsidP="00EA0C62">
      <w:pPr>
        <w:spacing w:before="120" w:after="120" w:line="240" w:lineRule="auto"/>
        <w:ind w:right="28"/>
        <w:jc w:val="center"/>
        <w:rPr>
          <w:rFonts w:eastAsia="Times New Roman" w:cs="Arial"/>
          <w:b/>
          <w:szCs w:val="24"/>
          <w:lang w:val="en-GB" w:eastAsia="en-GB"/>
        </w:rPr>
      </w:pPr>
      <w:r w:rsidRPr="00956ECB">
        <w:rPr>
          <w:rFonts w:eastAsia="Times New Roman" w:cs="Arial"/>
          <w:b/>
          <w:szCs w:val="24"/>
          <w:lang w:val="en-GB" w:eastAsia="en-GB"/>
        </w:rPr>
        <w:t>IN THE HIGH COURT OF SOUTH AFRICA</w:t>
      </w:r>
    </w:p>
    <w:p w14:paraId="5408E5F7" w14:textId="77777777" w:rsidR="00EA0C62" w:rsidRPr="00956ECB" w:rsidRDefault="00EA0C62" w:rsidP="00EA0C62">
      <w:pPr>
        <w:spacing w:before="120" w:after="120" w:line="240" w:lineRule="auto"/>
        <w:ind w:right="28"/>
        <w:jc w:val="center"/>
        <w:rPr>
          <w:rFonts w:eastAsia="Times New Roman" w:cs="Arial"/>
          <w:b/>
          <w:szCs w:val="24"/>
          <w:lang w:val="en-GB" w:eastAsia="en-GB"/>
        </w:rPr>
      </w:pPr>
      <w:r w:rsidRPr="00956ECB">
        <w:rPr>
          <w:rFonts w:eastAsia="Times New Roman" w:cs="Arial"/>
          <w:b/>
          <w:szCs w:val="24"/>
          <w:lang w:val="en-GB" w:eastAsia="en-GB"/>
        </w:rPr>
        <w:t>GAUTENG DIVISION, JOHANNESBURG</w:t>
      </w:r>
    </w:p>
    <w:p w14:paraId="746B29D7" w14:textId="77777777" w:rsidR="00EA0C62" w:rsidRPr="00956ECB" w:rsidRDefault="00EA0C62" w:rsidP="00EA0C62">
      <w:pPr>
        <w:spacing w:before="120" w:after="120" w:line="240" w:lineRule="auto"/>
        <w:ind w:right="364"/>
        <w:jc w:val="right"/>
        <w:rPr>
          <w:rFonts w:eastAsia="Times New Roman" w:cs="Arial"/>
          <w:b/>
          <w:szCs w:val="24"/>
          <w:lang w:val="en-GB" w:eastAsia="en-GB"/>
        </w:rPr>
      </w:pPr>
    </w:p>
    <w:p w14:paraId="73C3D4D4" w14:textId="77777777" w:rsidR="00200F85" w:rsidRDefault="00200F85" w:rsidP="00EA0C62">
      <w:pPr>
        <w:spacing w:before="120" w:after="120" w:line="240" w:lineRule="auto"/>
        <w:ind w:right="-46"/>
        <w:jc w:val="right"/>
        <w:rPr>
          <w:rFonts w:eastAsia="Times New Roman" w:cs="Arial"/>
          <w:b/>
          <w:szCs w:val="24"/>
          <w:lang w:val="en-GB" w:eastAsia="en-GB"/>
        </w:rPr>
      </w:pPr>
    </w:p>
    <w:p w14:paraId="4E3119A3" w14:textId="52647AB2" w:rsidR="00EA0C62" w:rsidRPr="00956ECB" w:rsidRDefault="00EA0C62" w:rsidP="00EA0C62">
      <w:pPr>
        <w:spacing w:before="120" w:after="120" w:line="240" w:lineRule="auto"/>
        <w:ind w:right="-46"/>
        <w:jc w:val="right"/>
        <w:rPr>
          <w:rFonts w:eastAsia="Times New Roman" w:cs="Arial"/>
          <w:b/>
          <w:szCs w:val="24"/>
          <w:lang w:val="en-GB" w:eastAsia="en-GB"/>
        </w:rPr>
      </w:pPr>
      <w:r w:rsidRPr="00956ECB">
        <w:rPr>
          <w:rFonts w:eastAsia="Times New Roman" w:cs="Arial"/>
          <w:b/>
          <w:noProof/>
          <w:szCs w:val="24"/>
          <w:lang w:eastAsia="en-ZA"/>
        </w:rPr>
        <mc:AlternateContent>
          <mc:Choice Requires="wps">
            <w:drawing>
              <wp:anchor distT="0" distB="0" distL="114300" distR="114300" simplePos="0" relativeHeight="251659264" behindDoc="0" locked="0" layoutInCell="1" allowOverlap="1" wp14:anchorId="31CF0D04" wp14:editId="5B5765DF">
                <wp:simplePos x="0" y="0"/>
                <wp:positionH relativeFrom="margin">
                  <wp:posOffset>12700</wp:posOffset>
                </wp:positionH>
                <wp:positionV relativeFrom="paragraph">
                  <wp:posOffset>273050</wp:posOffset>
                </wp:positionV>
                <wp:extent cx="3314700" cy="15430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43050"/>
                        </a:xfrm>
                        <a:prstGeom prst="rect">
                          <a:avLst/>
                        </a:prstGeom>
                        <a:solidFill>
                          <a:srgbClr val="FFFFFF"/>
                        </a:solidFill>
                        <a:ln w="9525">
                          <a:solidFill>
                            <a:srgbClr val="000000"/>
                          </a:solidFill>
                          <a:miter lim="800000"/>
                          <a:headEnd/>
                          <a:tailEnd/>
                        </a:ln>
                      </wps:spPr>
                      <wps:txbx>
                        <w:txbxContent>
                          <w:p w14:paraId="45C3FEFA" w14:textId="77777777" w:rsidR="00A34422" w:rsidRPr="004120A8" w:rsidRDefault="00A34422" w:rsidP="00EA0C62">
                            <w:pPr>
                              <w:spacing w:after="120"/>
                              <w:ind w:right="28"/>
                              <w:jc w:val="center"/>
                              <w:rPr>
                                <w:rFonts w:ascii="Century Gothic" w:hAnsi="Century Gothic"/>
                                <w:b/>
                                <w:sz w:val="2"/>
                                <w:szCs w:val="18"/>
                              </w:rPr>
                            </w:pPr>
                          </w:p>
                          <w:p w14:paraId="0B19856E" w14:textId="77777777" w:rsidR="00A34422" w:rsidRPr="004120A8" w:rsidRDefault="00A34422" w:rsidP="00EA0C62">
                            <w:pPr>
                              <w:numPr>
                                <w:ilvl w:val="0"/>
                                <w:numId w:val="1"/>
                              </w:numPr>
                              <w:spacing w:after="0" w:line="240" w:lineRule="auto"/>
                              <w:rPr>
                                <w:rFonts w:ascii="Century Gothic" w:hAnsi="Century Gothic"/>
                                <w:sz w:val="18"/>
                                <w:szCs w:val="18"/>
                              </w:rPr>
                            </w:pPr>
                            <w:r>
                              <w:rPr>
                                <w:rFonts w:ascii="Century Gothic" w:hAnsi="Century Gothic"/>
                                <w:sz w:val="18"/>
                                <w:szCs w:val="18"/>
                              </w:rPr>
                              <w:t>REPORTABLE: YES/NO</w:t>
                            </w:r>
                          </w:p>
                          <w:p w14:paraId="6D2080CF" w14:textId="77777777" w:rsidR="00A34422" w:rsidRPr="004120A8" w:rsidRDefault="00A34422" w:rsidP="00EA0C62">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YES/NO</w:t>
                            </w:r>
                          </w:p>
                          <w:p w14:paraId="12FA79B7" w14:textId="3BBA1164" w:rsidR="00A34422" w:rsidRDefault="00A34422" w:rsidP="00EA0C62">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NO</w:t>
                            </w:r>
                          </w:p>
                          <w:p w14:paraId="6C39EEB6" w14:textId="77777777" w:rsidR="009122C1" w:rsidRPr="00D257A8" w:rsidRDefault="009122C1" w:rsidP="009122C1">
                            <w:pPr>
                              <w:spacing w:after="0" w:line="240" w:lineRule="auto"/>
                              <w:ind w:left="900"/>
                              <w:rPr>
                                <w:rFonts w:ascii="Century Gothic" w:hAnsi="Century Gothic"/>
                                <w:sz w:val="18"/>
                                <w:szCs w:val="18"/>
                              </w:rPr>
                            </w:pPr>
                          </w:p>
                          <w:p w14:paraId="20F4D8E0" w14:textId="5885C1F8" w:rsidR="00A34422" w:rsidRDefault="00A34422" w:rsidP="00EA0C62">
                            <w:pPr>
                              <w:spacing w:after="0" w:line="240" w:lineRule="auto"/>
                              <w:rPr>
                                <w:noProof/>
                                <w:lang w:eastAsia="en-ZA"/>
                              </w:rPr>
                            </w:pPr>
                          </w:p>
                          <w:p w14:paraId="4BC28BAD" w14:textId="2734D96F" w:rsidR="000F561C" w:rsidRPr="009122C1" w:rsidRDefault="000F561C" w:rsidP="00EA0C62">
                            <w:pPr>
                              <w:spacing w:after="0" w:line="240" w:lineRule="auto"/>
                              <w:rPr>
                                <w:noProof/>
                              </w:rPr>
                            </w:pPr>
                          </w:p>
                          <w:p w14:paraId="6C30BB6D" w14:textId="77777777" w:rsidR="00A34422" w:rsidRPr="004120A8" w:rsidRDefault="00A34422" w:rsidP="00EA0C62">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24932B54" w14:textId="104F3F5B" w:rsidR="00A34422" w:rsidRPr="004120A8" w:rsidRDefault="00A34422" w:rsidP="00EA0C62">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2D36AD">
                              <w:rPr>
                                <w:rFonts w:ascii="Century Gothic" w:hAnsi="Century Gothic"/>
                                <w:b/>
                                <w:sz w:val="18"/>
                                <w:szCs w:val="18"/>
                              </w:rPr>
                              <w:t>DATE</w:t>
                            </w:r>
                            <w:r>
                              <w:rPr>
                                <w:rFonts w:ascii="Century Gothic" w:hAnsi="Century Gothic"/>
                                <w:b/>
                                <w:sz w:val="18"/>
                                <w:szCs w:val="18"/>
                              </w:rPr>
                              <w:t xml:space="preserve">: </w:t>
                            </w:r>
                            <w:r w:rsidR="009525F5" w:rsidRPr="009525F5">
                              <w:rPr>
                                <w:rFonts w:ascii="Century Gothic" w:hAnsi="Century Gothic"/>
                                <w:sz w:val="18"/>
                                <w:szCs w:val="18"/>
                              </w:rPr>
                              <w:t>7</w:t>
                            </w:r>
                            <w:r w:rsidR="00E4054D" w:rsidRPr="009525F5">
                              <w:rPr>
                                <w:rFonts w:ascii="Century Gothic" w:hAnsi="Century Gothic"/>
                                <w:sz w:val="18"/>
                                <w:szCs w:val="18"/>
                              </w:rPr>
                              <w:t xml:space="preserve"> </w:t>
                            </w:r>
                            <w:r w:rsidRPr="009525F5">
                              <w:rPr>
                                <w:rFonts w:ascii="Century Gothic" w:hAnsi="Century Gothic"/>
                                <w:sz w:val="18"/>
                                <w:szCs w:val="18"/>
                              </w:rPr>
                              <w:t>September</w:t>
                            </w:r>
                            <w:r>
                              <w:rPr>
                                <w:rFonts w:ascii="Century Gothic" w:hAnsi="Century Gothic"/>
                                <w:sz w:val="18"/>
                                <w:szCs w:val="18"/>
                              </w:rPr>
                              <w:t xml:space="preserve"> </w:t>
                            </w:r>
                            <w:r>
                              <w:rPr>
                                <w:rFonts w:ascii="Century Gothic" w:hAnsi="Century Gothic"/>
                                <w:bCs/>
                                <w:sz w:val="18"/>
                                <w:szCs w:val="18"/>
                              </w:rPr>
                              <w:t>2021</w:t>
                            </w:r>
                          </w:p>
                          <w:p w14:paraId="3CF1EA31" w14:textId="77777777" w:rsidR="00A34422" w:rsidRPr="004120A8" w:rsidRDefault="00A34422" w:rsidP="00EA0C62">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0D04" id="_x0000_t202" coordsize="21600,21600" o:spt="202" path="m,l,21600r21600,l21600,xe">
                <v:stroke joinstyle="miter"/>
                <v:path gradientshapeok="t" o:connecttype="rect"/>
              </v:shapetype>
              <v:shape id="Text Box 2" o:spid="_x0000_s1026" type="#_x0000_t202" style="position:absolute;left:0;text-align:left;margin-left:1pt;margin-top:21.5pt;width:261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PMKwIAAFE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">
                <v:textbox>
                  <w:txbxContent>
                    <w:p w14:paraId="45C3FEFA" w14:textId="77777777" w:rsidR="00A34422" w:rsidRPr="004120A8" w:rsidRDefault="00A34422" w:rsidP="00EA0C62">
                      <w:pPr>
                        <w:spacing w:after="120"/>
                        <w:ind w:right="28"/>
                        <w:jc w:val="center"/>
                        <w:rPr>
                          <w:rFonts w:ascii="Century Gothic" w:hAnsi="Century Gothic"/>
                          <w:b/>
                          <w:sz w:val="2"/>
                          <w:szCs w:val="18"/>
                        </w:rPr>
                      </w:pPr>
                    </w:p>
                    <w:p w14:paraId="0B19856E" w14:textId="77777777" w:rsidR="00A34422" w:rsidRPr="004120A8" w:rsidRDefault="00A34422" w:rsidP="00EA0C62">
                      <w:pPr>
                        <w:numPr>
                          <w:ilvl w:val="0"/>
                          <w:numId w:val="1"/>
                        </w:numPr>
                        <w:spacing w:after="0" w:line="240" w:lineRule="auto"/>
                        <w:rPr>
                          <w:rFonts w:ascii="Century Gothic" w:hAnsi="Century Gothic"/>
                          <w:sz w:val="18"/>
                          <w:szCs w:val="18"/>
                        </w:rPr>
                      </w:pPr>
                      <w:r>
                        <w:rPr>
                          <w:rFonts w:ascii="Century Gothic" w:hAnsi="Century Gothic"/>
                          <w:sz w:val="18"/>
                          <w:szCs w:val="18"/>
                        </w:rPr>
                        <w:t>REPORTABLE: YES/NO</w:t>
                      </w:r>
                    </w:p>
                    <w:p w14:paraId="6D2080CF" w14:textId="77777777" w:rsidR="00A34422" w:rsidRPr="004120A8" w:rsidRDefault="00A34422" w:rsidP="00EA0C62">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F INTEREST TO OTHER JUDGES: YES/NO</w:t>
                      </w:r>
                    </w:p>
                    <w:p w14:paraId="12FA79B7" w14:textId="3BBA1164" w:rsidR="00A34422" w:rsidRDefault="00A34422" w:rsidP="00EA0C62">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 xml:space="preserve">REVISED. </w:t>
                      </w:r>
                      <w:r>
                        <w:rPr>
                          <w:rFonts w:ascii="Century Gothic" w:hAnsi="Century Gothic"/>
                          <w:sz w:val="18"/>
                          <w:szCs w:val="18"/>
                        </w:rPr>
                        <w:t>NO</w:t>
                      </w:r>
                    </w:p>
                    <w:p w14:paraId="6C39EEB6" w14:textId="77777777" w:rsidR="009122C1" w:rsidRPr="00D257A8" w:rsidRDefault="009122C1" w:rsidP="009122C1">
                      <w:pPr>
                        <w:spacing w:after="0" w:line="240" w:lineRule="auto"/>
                        <w:ind w:left="900"/>
                        <w:rPr>
                          <w:rFonts w:ascii="Century Gothic" w:hAnsi="Century Gothic"/>
                          <w:sz w:val="18"/>
                          <w:szCs w:val="18"/>
                        </w:rPr>
                      </w:pPr>
                    </w:p>
                    <w:p w14:paraId="20F4D8E0" w14:textId="5885C1F8" w:rsidR="00A34422" w:rsidRDefault="00A34422" w:rsidP="00EA0C62">
                      <w:pPr>
                        <w:spacing w:after="0" w:line="240" w:lineRule="auto"/>
                        <w:rPr>
                          <w:noProof/>
                          <w:lang w:eastAsia="en-ZA"/>
                        </w:rPr>
                      </w:pPr>
                    </w:p>
                    <w:p w14:paraId="4BC28BAD" w14:textId="2734D96F" w:rsidR="000F561C" w:rsidRPr="009122C1" w:rsidRDefault="000F561C" w:rsidP="00EA0C62">
                      <w:pPr>
                        <w:spacing w:after="0" w:line="240" w:lineRule="auto"/>
                        <w:rPr>
                          <w:noProof/>
                        </w:rPr>
                      </w:pPr>
                      <w:bookmarkStart w:id="1" w:name="_GoBack"/>
                      <w:bookmarkEnd w:id="1"/>
                    </w:p>
                    <w:p w14:paraId="6C30BB6D" w14:textId="77777777" w:rsidR="00A34422" w:rsidRPr="004120A8" w:rsidRDefault="00A34422" w:rsidP="00EA0C62">
                      <w:pPr>
                        <w:spacing w:after="0"/>
                        <w:ind w:right="28"/>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r>
                    </w:p>
                    <w:p w14:paraId="24932B54" w14:textId="104F3F5B" w:rsidR="00A34422" w:rsidRPr="004120A8" w:rsidRDefault="00A34422" w:rsidP="00EA0C62">
                      <w:pPr>
                        <w:ind w:right="28"/>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Pr>
                          <w:rFonts w:ascii="Century Gothic" w:hAnsi="Century Gothic"/>
                          <w:b/>
                          <w:sz w:val="18"/>
                          <w:szCs w:val="18"/>
                        </w:rPr>
                        <w:t xml:space="preserve">          </w:t>
                      </w:r>
                      <w:r w:rsidRPr="002D36AD">
                        <w:rPr>
                          <w:rFonts w:ascii="Century Gothic" w:hAnsi="Century Gothic"/>
                          <w:b/>
                          <w:sz w:val="18"/>
                          <w:szCs w:val="18"/>
                        </w:rPr>
                        <w:t>DATE</w:t>
                      </w:r>
                      <w:r>
                        <w:rPr>
                          <w:rFonts w:ascii="Century Gothic" w:hAnsi="Century Gothic"/>
                          <w:b/>
                          <w:sz w:val="18"/>
                          <w:szCs w:val="18"/>
                        </w:rPr>
                        <w:t xml:space="preserve">: </w:t>
                      </w:r>
                      <w:r w:rsidR="009525F5" w:rsidRPr="009525F5">
                        <w:rPr>
                          <w:rFonts w:ascii="Century Gothic" w:hAnsi="Century Gothic"/>
                          <w:sz w:val="18"/>
                          <w:szCs w:val="18"/>
                        </w:rPr>
                        <w:t>7</w:t>
                      </w:r>
                      <w:r w:rsidR="00E4054D" w:rsidRPr="009525F5">
                        <w:rPr>
                          <w:rFonts w:ascii="Century Gothic" w:hAnsi="Century Gothic"/>
                          <w:sz w:val="18"/>
                          <w:szCs w:val="18"/>
                        </w:rPr>
                        <w:t xml:space="preserve"> </w:t>
                      </w:r>
                      <w:r w:rsidRPr="009525F5">
                        <w:rPr>
                          <w:rFonts w:ascii="Century Gothic" w:hAnsi="Century Gothic"/>
                          <w:sz w:val="18"/>
                          <w:szCs w:val="18"/>
                        </w:rPr>
                        <w:t>September</w:t>
                      </w:r>
                      <w:r>
                        <w:rPr>
                          <w:rFonts w:ascii="Century Gothic" w:hAnsi="Century Gothic"/>
                          <w:sz w:val="18"/>
                          <w:szCs w:val="18"/>
                        </w:rPr>
                        <w:t xml:space="preserve"> </w:t>
                      </w:r>
                      <w:r>
                        <w:rPr>
                          <w:rFonts w:ascii="Century Gothic" w:hAnsi="Century Gothic"/>
                          <w:bCs/>
                          <w:sz w:val="18"/>
                          <w:szCs w:val="18"/>
                        </w:rPr>
                        <w:t>2021</w:t>
                      </w:r>
                    </w:p>
                    <w:p w14:paraId="3CF1EA31" w14:textId="77777777" w:rsidR="00A34422" w:rsidRPr="004120A8" w:rsidRDefault="00A34422" w:rsidP="00EA0C62">
                      <w:pPr>
                        <w:rPr>
                          <w:rFonts w:ascii="Century Gothic" w:hAnsi="Century Gothic"/>
                          <w:b/>
                          <w:sz w:val="2"/>
                          <w:szCs w:val="18"/>
                        </w:rPr>
                      </w:pPr>
                    </w:p>
                  </w:txbxContent>
                </v:textbox>
                <w10:wrap type="topAndBottom" anchorx="margin"/>
              </v:shape>
            </w:pict>
          </mc:Fallback>
        </mc:AlternateContent>
      </w:r>
      <w:r w:rsidRPr="00956ECB">
        <w:rPr>
          <w:rFonts w:eastAsia="Times New Roman" w:cs="Arial"/>
          <w:b/>
          <w:szCs w:val="24"/>
          <w:lang w:val="en-GB" w:eastAsia="en-GB"/>
        </w:rPr>
        <w:t xml:space="preserve">CASE NO: </w:t>
      </w:r>
      <w:r w:rsidR="001801B5" w:rsidRPr="00956ECB">
        <w:rPr>
          <w:rFonts w:eastAsia="Times New Roman" w:cs="Arial"/>
          <w:b/>
          <w:szCs w:val="24"/>
          <w:lang w:val="en-GB" w:eastAsia="en-GB"/>
        </w:rPr>
        <w:t>A78/2021</w:t>
      </w:r>
    </w:p>
    <w:tbl>
      <w:tblPr>
        <w:tblW w:w="9248" w:type="dxa"/>
        <w:tblInd w:w="-34" w:type="dxa"/>
        <w:tblLook w:val="04A0" w:firstRow="1" w:lastRow="0" w:firstColumn="1" w:lastColumn="0" w:noHBand="0" w:noVBand="1"/>
      </w:tblPr>
      <w:tblGrid>
        <w:gridCol w:w="5563"/>
        <w:gridCol w:w="3685"/>
      </w:tblGrid>
      <w:tr w:rsidR="00956ECB" w:rsidRPr="00956ECB" w14:paraId="34676C85" w14:textId="77777777" w:rsidTr="0065420B">
        <w:tc>
          <w:tcPr>
            <w:tcW w:w="5563" w:type="dxa"/>
            <w:hideMark/>
          </w:tcPr>
          <w:p w14:paraId="4CB157DC" w14:textId="77777777" w:rsidR="00EA0C62" w:rsidRPr="00956ECB" w:rsidRDefault="00EA0C62" w:rsidP="004A6251">
            <w:pPr>
              <w:spacing w:before="200" w:after="200" w:line="240" w:lineRule="exact"/>
              <w:ind w:right="28"/>
              <w:jc w:val="both"/>
              <w:rPr>
                <w:rFonts w:eastAsia="Times New Roman" w:cs="Arial"/>
                <w:szCs w:val="24"/>
                <w:lang w:val="en-GB"/>
              </w:rPr>
            </w:pPr>
          </w:p>
          <w:p w14:paraId="4A845E00" w14:textId="18487618" w:rsidR="00200F85" w:rsidRPr="00956ECB" w:rsidRDefault="00EA0C62" w:rsidP="004A6251">
            <w:pPr>
              <w:spacing w:before="200" w:after="200" w:line="240" w:lineRule="exact"/>
              <w:ind w:right="28"/>
              <w:jc w:val="both"/>
              <w:rPr>
                <w:rFonts w:eastAsia="Times New Roman" w:cs="Arial"/>
                <w:szCs w:val="24"/>
                <w:lang w:val="en-GB"/>
              </w:rPr>
            </w:pPr>
            <w:r w:rsidRPr="00956ECB">
              <w:rPr>
                <w:rFonts w:eastAsia="Times New Roman" w:cs="Arial"/>
                <w:szCs w:val="24"/>
                <w:lang w:val="en-GB"/>
              </w:rPr>
              <w:t>In the matter between:</w:t>
            </w:r>
          </w:p>
        </w:tc>
        <w:tc>
          <w:tcPr>
            <w:tcW w:w="3685" w:type="dxa"/>
          </w:tcPr>
          <w:p w14:paraId="5316FFFD" w14:textId="77777777" w:rsidR="00EA0C62" w:rsidRPr="00956ECB" w:rsidRDefault="00EA0C62" w:rsidP="004A6251">
            <w:pPr>
              <w:spacing w:before="200" w:after="200" w:line="240" w:lineRule="exact"/>
              <w:ind w:right="28"/>
              <w:jc w:val="both"/>
              <w:rPr>
                <w:rFonts w:eastAsia="Times New Roman" w:cs="Arial"/>
                <w:szCs w:val="24"/>
                <w:lang w:val="en-GB"/>
              </w:rPr>
            </w:pPr>
          </w:p>
        </w:tc>
      </w:tr>
      <w:tr w:rsidR="00956ECB" w:rsidRPr="00956ECB" w14:paraId="52AC5D1D" w14:textId="77777777" w:rsidTr="0065420B">
        <w:tc>
          <w:tcPr>
            <w:tcW w:w="5563" w:type="dxa"/>
            <w:hideMark/>
          </w:tcPr>
          <w:p w14:paraId="7EBAFB76" w14:textId="77777777" w:rsidR="00EA0C62" w:rsidRPr="00956ECB" w:rsidRDefault="001801B5" w:rsidP="004A6251">
            <w:pPr>
              <w:spacing w:before="200" w:after="200" w:line="240" w:lineRule="exact"/>
              <w:ind w:right="28"/>
              <w:jc w:val="both"/>
              <w:rPr>
                <w:rFonts w:eastAsia="Times New Roman" w:cs="Arial"/>
                <w:b/>
                <w:szCs w:val="24"/>
                <w:lang w:val="en-GB"/>
              </w:rPr>
            </w:pPr>
            <w:r w:rsidRPr="00956ECB">
              <w:rPr>
                <w:rFonts w:eastAsia="Times New Roman" w:cs="Arial"/>
                <w:b/>
                <w:caps/>
                <w:szCs w:val="24"/>
                <w:lang w:val="en-GB"/>
              </w:rPr>
              <w:t>black mountain mining (pty) ltd</w:t>
            </w:r>
          </w:p>
        </w:tc>
        <w:tc>
          <w:tcPr>
            <w:tcW w:w="3685" w:type="dxa"/>
            <w:hideMark/>
          </w:tcPr>
          <w:p w14:paraId="664DD334" w14:textId="77777777" w:rsidR="00EA0C62" w:rsidRPr="00956ECB" w:rsidRDefault="001801B5" w:rsidP="004A6251">
            <w:pPr>
              <w:spacing w:before="200" w:after="200" w:line="240" w:lineRule="exact"/>
              <w:ind w:right="28"/>
              <w:jc w:val="right"/>
              <w:rPr>
                <w:rFonts w:eastAsia="Times New Roman" w:cs="Arial"/>
                <w:szCs w:val="24"/>
                <w:lang w:val="en-GB"/>
              </w:rPr>
            </w:pPr>
            <w:r w:rsidRPr="00956ECB">
              <w:rPr>
                <w:rFonts w:eastAsia="Times New Roman" w:cs="Arial"/>
                <w:szCs w:val="24"/>
                <w:lang w:val="en-GB"/>
              </w:rPr>
              <w:t>Appellant</w:t>
            </w:r>
          </w:p>
        </w:tc>
      </w:tr>
      <w:tr w:rsidR="00956ECB" w:rsidRPr="00956ECB" w14:paraId="0A5A0856" w14:textId="77777777" w:rsidTr="0065420B">
        <w:tc>
          <w:tcPr>
            <w:tcW w:w="9248" w:type="dxa"/>
            <w:gridSpan w:val="2"/>
            <w:hideMark/>
          </w:tcPr>
          <w:p w14:paraId="397CF89A" w14:textId="158D747B" w:rsidR="00EA0C62" w:rsidRPr="00956ECB" w:rsidRDefault="00E82D1C" w:rsidP="004A6251">
            <w:pPr>
              <w:spacing w:before="200" w:after="200" w:line="240" w:lineRule="exact"/>
              <w:ind w:right="28"/>
              <w:jc w:val="both"/>
              <w:rPr>
                <w:rFonts w:eastAsia="Times New Roman" w:cs="Arial"/>
                <w:szCs w:val="24"/>
                <w:lang w:val="en-GB"/>
              </w:rPr>
            </w:pPr>
            <w:r>
              <w:rPr>
                <w:rFonts w:eastAsia="Times New Roman" w:cs="Arial"/>
                <w:szCs w:val="24"/>
                <w:lang w:val="en-GB"/>
              </w:rPr>
              <w:t>a</w:t>
            </w:r>
            <w:r w:rsidRPr="00956ECB">
              <w:rPr>
                <w:rFonts w:eastAsia="Times New Roman" w:cs="Arial"/>
                <w:szCs w:val="24"/>
                <w:lang w:val="en-GB"/>
              </w:rPr>
              <w:t>nd</w:t>
            </w:r>
          </w:p>
        </w:tc>
      </w:tr>
      <w:tr w:rsidR="00956ECB" w:rsidRPr="00956ECB" w14:paraId="23238158" w14:textId="77777777" w:rsidTr="0065420B">
        <w:tc>
          <w:tcPr>
            <w:tcW w:w="5563" w:type="dxa"/>
            <w:hideMark/>
          </w:tcPr>
          <w:p w14:paraId="3AFE7D4C" w14:textId="77777777" w:rsidR="000B18E5" w:rsidRPr="00956ECB" w:rsidRDefault="001801B5" w:rsidP="004A6251">
            <w:pPr>
              <w:spacing w:before="200" w:after="200" w:line="240" w:lineRule="exact"/>
              <w:ind w:right="28"/>
              <w:jc w:val="both"/>
              <w:rPr>
                <w:rFonts w:eastAsia="Times New Roman" w:cs="Arial"/>
                <w:b/>
                <w:szCs w:val="24"/>
                <w:lang w:val="en-GB" w:eastAsia="en-GB"/>
              </w:rPr>
            </w:pPr>
            <w:r w:rsidRPr="00956ECB">
              <w:rPr>
                <w:rFonts w:eastAsia="Times New Roman" w:cs="Arial"/>
                <w:b/>
                <w:szCs w:val="24"/>
                <w:lang w:val="en-GB" w:eastAsia="en-GB"/>
              </w:rPr>
              <w:t xml:space="preserve">COMMISSIONER FOR THE SOUTH </w:t>
            </w:r>
          </w:p>
          <w:p w14:paraId="50198CF9" w14:textId="77777777" w:rsidR="00EA0C62" w:rsidRPr="00956ECB" w:rsidRDefault="001801B5" w:rsidP="004A6251">
            <w:pPr>
              <w:spacing w:before="200" w:after="200" w:line="240" w:lineRule="exact"/>
              <w:ind w:right="28"/>
              <w:jc w:val="both"/>
              <w:rPr>
                <w:rFonts w:eastAsia="Times New Roman" w:cs="Arial"/>
                <w:b/>
                <w:szCs w:val="24"/>
                <w:lang w:val="en-GB" w:eastAsia="en-GB"/>
              </w:rPr>
            </w:pPr>
            <w:r w:rsidRPr="00956ECB">
              <w:rPr>
                <w:rFonts w:eastAsia="Times New Roman" w:cs="Arial"/>
                <w:b/>
                <w:szCs w:val="24"/>
                <w:lang w:val="en-GB" w:eastAsia="en-GB"/>
              </w:rPr>
              <w:t>AFRICAN REVENUE SERVICE</w:t>
            </w:r>
          </w:p>
        </w:tc>
        <w:tc>
          <w:tcPr>
            <w:tcW w:w="3685" w:type="dxa"/>
            <w:hideMark/>
          </w:tcPr>
          <w:p w14:paraId="7F42076B" w14:textId="77777777" w:rsidR="00EA0C62" w:rsidRPr="00956ECB" w:rsidRDefault="00EA0C62" w:rsidP="004A6251">
            <w:pPr>
              <w:spacing w:before="200" w:after="200" w:line="240" w:lineRule="exact"/>
              <w:ind w:right="28"/>
              <w:jc w:val="right"/>
              <w:rPr>
                <w:rFonts w:eastAsia="Times New Roman" w:cs="Arial"/>
                <w:szCs w:val="20"/>
                <w:lang w:val="en-GB"/>
              </w:rPr>
            </w:pPr>
            <w:r w:rsidRPr="00956ECB">
              <w:rPr>
                <w:rFonts w:eastAsia="Times New Roman" w:cs="Arial"/>
                <w:szCs w:val="20"/>
                <w:lang w:val="en-GB"/>
              </w:rPr>
              <w:t>Respondent</w:t>
            </w:r>
          </w:p>
        </w:tc>
      </w:tr>
    </w:tbl>
    <w:p w14:paraId="5B526FFA" w14:textId="0DEB3607" w:rsidR="00200F85" w:rsidRPr="00956ECB" w:rsidRDefault="00200F85" w:rsidP="00EA0C62">
      <w:pPr>
        <w:spacing w:before="120" w:after="120" w:line="240" w:lineRule="auto"/>
        <w:ind w:right="28"/>
        <w:jc w:val="both"/>
        <w:rPr>
          <w:rFonts w:eastAsia="Times New Roman" w:cs="Arial"/>
          <w:b/>
          <w:szCs w:val="24"/>
          <w:lang w:val="en-GB" w:eastAsia="en-GB"/>
        </w:rPr>
      </w:pPr>
    </w:p>
    <w:tbl>
      <w:tblPr>
        <w:tblW w:w="8964"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64"/>
      </w:tblGrid>
      <w:tr w:rsidR="00956ECB" w:rsidRPr="00956ECB" w14:paraId="76F70F2B" w14:textId="77777777" w:rsidTr="0065420B">
        <w:tc>
          <w:tcPr>
            <w:tcW w:w="8964" w:type="dxa"/>
            <w:tcBorders>
              <w:top w:val="single" w:sz="4" w:space="0" w:color="auto"/>
              <w:left w:val="nil"/>
              <w:bottom w:val="single" w:sz="4" w:space="0" w:color="auto"/>
              <w:right w:val="nil"/>
            </w:tcBorders>
            <w:hideMark/>
          </w:tcPr>
          <w:p w14:paraId="59824DFF" w14:textId="77777777" w:rsidR="00EA0C62" w:rsidRPr="00956ECB" w:rsidRDefault="00EA0C62" w:rsidP="004A6251">
            <w:pPr>
              <w:spacing w:before="360" w:after="360" w:line="360" w:lineRule="exact"/>
              <w:ind w:right="29"/>
              <w:jc w:val="center"/>
              <w:rPr>
                <w:rFonts w:eastAsia="Times New Roman" w:cs="Arial"/>
                <w:b/>
                <w:i/>
                <w:szCs w:val="24"/>
                <w:lang w:val="en-GB" w:eastAsia="en-GB"/>
              </w:rPr>
            </w:pPr>
            <w:r w:rsidRPr="00956ECB">
              <w:rPr>
                <w:rFonts w:eastAsia="Times New Roman" w:cs="Arial"/>
                <w:b/>
                <w:szCs w:val="24"/>
                <w:lang w:val="en-GB" w:eastAsia="en-GB"/>
              </w:rPr>
              <w:t xml:space="preserve">JUDGMENT </w:t>
            </w:r>
          </w:p>
        </w:tc>
      </w:tr>
    </w:tbl>
    <w:p w14:paraId="24F842D5" w14:textId="55B22F63" w:rsidR="00200F85" w:rsidRDefault="001801B5" w:rsidP="00EA0C62">
      <w:pPr>
        <w:spacing w:before="360" w:after="360" w:line="360" w:lineRule="auto"/>
        <w:jc w:val="both"/>
        <w:rPr>
          <w:rFonts w:cs="Arial"/>
          <w:b/>
          <w:bCs/>
          <w:szCs w:val="24"/>
          <w:lang w:val="en-GB"/>
        </w:rPr>
      </w:pPr>
      <w:r w:rsidRPr="00956ECB">
        <w:rPr>
          <w:rFonts w:cs="Arial"/>
          <w:szCs w:val="24"/>
          <w:lang w:val="en-GB"/>
        </w:rPr>
        <w:t>WEINER J, OPPERMAN J, MAKOLA AJ</w:t>
      </w:r>
    </w:p>
    <w:p w14:paraId="50B77F81" w14:textId="0E992A4B" w:rsidR="00EA0C62" w:rsidRPr="00956ECB" w:rsidRDefault="00EA0C62" w:rsidP="00EA0C62">
      <w:pPr>
        <w:spacing w:before="360" w:after="360" w:line="360" w:lineRule="auto"/>
        <w:jc w:val="both"/>
        <w:rPr>
          <w:rFonts w:cs="Arial"/>
          <w:szCs w:val="24"/>
          <w:lang w:val="en-GB"/>
        </w:rPr>
      </w:pPr>
      <w:r w:rsidRPr="00956ECB">
        <w:rPr>
          <w:rFonts w:cs="Arial"/>
          <w:b/>
          <w:bCs/>
          <w:szCs w:val="24"/>
          <w:lang w:val="en-GB"/>
        </w:rPr>
        <w:t>Introduction</w:t>
      </w:r>
    </w:p>
    <w:p w14:paraId="3AC46B14" w14:textId="77777777" w:rsidR="00EF3081" w:rsidRDefault="00060030" w:rsidP="00EF3081">
      <w:pPr>
        <w:pStyle w:val="ListParagraph"/>
        <w:numPr>
          <w:ilvl w:val="0"/>
          <w:numId w:val="39"/>
        </w:numPr>
        <w:spacing w:before="240" w:after="240" w:line="360" w:lineRule="auto"/>
        <w:contextualSpacing w:val="0"/>
        <w:jc w:val="both"/>
        <w:rPr>
          <w:rFonts w:cs="Arial"/>
          <w:szCs w:val="24"/>
        </w:rPr>
      </w:pPr>
      <w:r w:rsidRPr="00956ECB">
        <w:rPr>
          <w:rFonts w:cs="Arial"/>
          <w:szCs w:val="24"/>
        </w:rPr>
        <w:lastRenderedPageBreak/>
        <w:t>The appellant and the respondent are parties in a pending Tax Court appeal relating to the appellant’s 2013, 2014 and 2015 income tax years of assessment (‘the relevant years of assessment’). The main dispute relates to the appellant’s statutory entitlement to deduct qualifying expe</w:t>
      </w:r>
      <w:r w:rsidR="00441BFF">
        <w:rPr>
          <w:rFonts w:cs="Arial"/>
          <w:szCs w:val="24"/>
        </w:rPr>
        <w:t>nditure amounts from its income.</w:t>
      </w:r>
    </w:p>
    <w:p w14:paraId="5562C4FE" w14:textId="1AF28A9A" w:rsidR="00441BFF" w:rsidRPr="00EF3081" w:rsidRDefault="00441BFF"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The Tax Administration Act 28 of 2011 (‘the TAA’) governs the conduct of the parties to this dispute</w:t>
      </w:r>
      <w:r w:rsidR="001F4897" w:rsidRPr="00EF3081">
        <w:rPr>
          <w:rFonts w:cs="Arial"/>
          <w:szCs w:val="24"/>
        </w:rPr>
        <w:t>. The Rules under Part E</w:t>
      </w:r>
      <w:r w:rsidR="001F4897" w:rsidRPr="00EF3081">
        <w:rPr>
          <w:rFonts w:cs="Arial"/>
        </w:rPr>
        <w:t xml:space="preserve"> of the TAA d</w:t>
      </w:r>
      <w:r w:rsidRPr="00EF3081">
        <w:rPr>
          <w:rFonts w:cs="Arial"/>
        </w:rPr>
        <w:t>eal w</w:t>
      </w:r>
      <w:r w:rsidR="001F4897" w:rsidRPr="00EF3081">
        <w:rPr>
          <w:rFonts w:cs="Arial"/>
        </w:rPr>
        <w:t>ith Procedures of the Tax Court</w:t>
      </w:r>
      <w:r w:rsidR="0031257B">
        <w:rPr>
          <w:rFonts w:cs="Arial"/>
        </w:rPr>
        <w:t>.</w:t>
      </w:r>
      <w:r w:rsidR="002467D2" w:rsidRPr="002467D2">
        <w:rPr>
          <w:rFonts w:cs="Arial"/>
          <w:vertAlign w:val="superscript"/>
        </w:rPr>
        <w:footnoteReference w:id="1"/>
      </w:r>
    </w:p>
    <w:p w14:paraId="492C3A23" w14:textId="77777777" w:rsidR="001F4897" w:rsidRPr="001F4897" w:rsidRDefault="001F4897" w:rsidP="00EF3081">
      <w:pPr>
        <w:pStyle w:val="ListParagraph"/>
        <w:spacing w:before="360" w:after="360" w:line="360" w:lineRule="auto"/>
        <w:ind w:left="0"/>
        <w:contextualSpacing w:val="0"/>
        <w:jc w:val="both"/>
        <w:rPr>
          <w:rFonts w:cs="Arial"/>
          <w:b/>
          <w:i/>
          <w:szCs w:val="24"/>
        </w:rPr>
      </w:pPr>
      <w:r w:rsidRPr="001F4897">
        <w:rPr>
          <w:b/>
          <w:i/>
          <w:szCs w:val="24"/>
        </w:rPr>
        <w:t>Factual Background</w:t>
      </w:r>
    </w:p>
    <w:p w14:paraId="1DB2078C" w14:textId="3530D5ED" w:rsidR="00EF3081" w:rsidRPr="00EF3081" w:rsidRDefault="00060030" w:rsidP="00EF3081">
      <w:pPr>
        <w:pStyle w:val="ListParagraph"/>
        <w:numPr>
          <w:ilvl w:val="0"/>
          <w:numId w:val="39"/>
        </w:numPr>
        <w:spacing w:before="240" w:after="240" w:line="360" w:lineRule="auto"/>
        <w:contextualSpacing w:val="0"/>
        <w:jc w:val="both"/>
        <w:rPr>
          <w:rFonts w:cs="Arial"/>
          <w:szCs w:val="24"/>
        </w:rPr>
      </w:pPr>
      <w:r w:rsidRPr="00956ECB">
        <w:rPr>
          <w:rFonts w:cs="Arial"/>
        </w:rPr>
        <w:t>The appellant carries on mining operations at three mines</w:t>
      </w:r>
      <w:r w:rsidR="00A45195" w:rsidRPr="00956ECB">
        <w:t xml:space="preserve"> </w:t>
      </w:r>
      <w:r w:rsidR="00A45195" w:rsidRPr="00956ECB">
        <w:rPr>
          <w:rFonts w:cs="Arial"/>
        </w:rPr>
        <w:t xml:space="preserve">at </w:t>
      </w:r>
      <w:proofErr w:type="spellStart"/>
      <w:r w:rsidR="00A45195" w:rsidRPr="00956ECB">
        <w:rPr>
          <w:rFonts w:cs="Arial"/>
        </w:rPr>
        <w:t>Aggeneys</w:t>
      </w:r>
      <w:proofErr w:type="spellEnd"/>
      <w:r w:rsidR="00A45195" w:rsidRPr="00E704E0">
        <w:rPr>
          <w:rFonts w:cs="Arial"/>
        </w:rPr>
        <w:t xml:space="preserve"> in the Northern Cape Province</w:t>
      </w:r>
      <w:r w:rsidR="004640F0" w:rsidRPr="00306B8A">
        <w:rPr>
          <w:rFonts w:cs="Arial"/>
        </w:rPr>
        <w:t>,</w:t>
      </w:r>
      <w:r w:rsidRPr="00591220">
        <w:rPr>
          <w:rFonts w:cs="Arial"/>
        </w:rPr>
        <w:t xml:space="preserve"> namely, the Deeps mine, the </w:t>
      </w:r>
      <w:proofErr w:type="spellStart"/>
      <w:r w:rsidRPr="00591220">
        <w:rPr>
          <w:rFonts w:cs="Arial"/>
        </w:rPr>
        <w:t>Swartberg</w:t>
      </w:r>
      <w:proofErr w:type="spellEnd"/>
      <w:r w:rsidRPr="00591220">
        <w:rPr>
          <w:rFonts w:cs="Arial"/>
        </w:rPr>
        <w:t xml:space="preserve"> mine and the </w:t>
      </w:r>
      <w:proofErr w:type="spellStart"/>
      <w:r w:rsidRPr="00591220">
        <w:rPr>
          <w:rFonts w:cs="Arial"/>
        </w:rPr>
        <w:t>Gamsberg</w:t>
      </w:r>
      <w:proofErr w:type="spellEnd"/>
      <w:r w:rsidR="00A45195" w:rsidRPr="00956ECB">
        <w:rPr>
          <w:rFonts w:cs="Arial"/>
        </w:rPr>
        <w:t xml:space="preserve"> mine</w:t>
      </w:r>
      <w:r w:rsidRPr="00956ECB">
        <w:rPr>
          <w:rFonts w:cs="Arial"/>
        </w:rPr>
        <w:t>. In its income tax returns for each of the relevant years of assessment</w:t>
      </w:r>
      <w:r w:rsidR="007D5F39">
        <w:rPr>
          <w:rFonts w:cs="Arial"/>
        </w:rPr>
        <w:t>,</w:t>
      </w:r>
      <w:r w:rsidRPr="00956ECB">
        <w:rPr>
          <w:rFonts w:cs="Arial"/>
        </w:rPr>
        <w:t xml:space="preserve"> the appellant sought to deduct from its income the following amounts as capital expenditure (‘CAPEX’) incurred by it in re</w:t>
      </w:r>
      <w:r w:rsidR="00EF3081">
        <w:rPr>
          <w:rFonts w:cs="Arial"/>
        </w:rPr>
        <w:t>spect of its mining operations:</w:t>
      </w:r>
    </w:p>
    <w:p w14:paraId="3AEDA836" w14:textId="77777777" w:rsidR="00EF3081" w:rsidRP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2013 year of assessment: R144 673</w:t>
      </w:r>
      <w:r w:rsidR="00EF3081">
        <w:rPr>
          <w:rFonts w:cs="Arial"/>
        </w:rPr>
        <w:t> </w:t>
      </w:r>
      <w:r w:rsidRPr="00EF3081">
        <w:rPr>
          <w:rFonts w:cs="Arial"/>
        </w:rPr>
        <w:t>981;</w:t>
      </w:r>
    </w:p>
    <w:p w14:paraId="63E0C60B" w14:textId="77777777" w:rsidR="00EF3081" w:rsidRP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2014 year of assessment: R191 264</w:t>
      </w:r>
      <w:r w:rsidR="00EF3081">
        <w:rPr>
          <w:rFonts w:cs="Arial"/>
        </w:rPr>
        <w:t> </w:t>
      </w:r>
      <w:r w:rsidRPr="00EF3081">
        <w:rPr>
          <w:rFonts w:cs="Arial"/>
        </w:rPr>
        <w:t>736;</w:t>
      </w:r>
    </w:p>
    <w:p w14:paraId="56FD7568" w14:textId="77777777" w:rsid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2015 year of assessment: R142 278</w:t>
      </w:r>
      <w:r w:rsidR="00EF3081">
        <w:rPr>
          <w:rFonts w:cs="Arial"/>
        </w:rPr>
        <w:t> </w:t>
      </w:r>
      <w:r w:rsidRPr="00EF3081">
        <w:rPr>
          <w:rFonts w:cs="Arial"/>
        </w:rPr>
        <w:t>688.</w:t>
      </w:r>
    </w:p>
    <w:p w14:paraId="5027AC7D" w14:textId="77777777" w:rsidR="00EF3081" w:rsidRPr="00EF3081" w:rsidRDefault="00060030" w:rsidP="00EF3081">
      <w:pPr>
        <w:pStyle w:val="ListParagraph"/>
        <w:numPr>
          <w:ilvl w:val="0"/>
          <w:numId w:val="39"/>
        </w:numPr>
        <w:spacing w:before="240" w:after="240" w:line="360" w:lineRule="auto"/>
        <w:contextualSpacing w:val="0"/>
        <w:jc w:val="both"/>
        <w:rPr>
          <w:rFonts w:cs="Arial"/>
          <w:szCs w:val="24"/>
        </w:rPr>
      </w:pPr>
      <w:r w:rsidRPr="00EF3081">
        <w:rPr>
          <w:rFonts w:cs="Arial"/>
        </w:rPr>
        <w:t xml:space="preserve">Pursuant to an audit process, the respondent ring-fenced the following amounts (of CAPEX) incurred by the appellant in relation to its mining operations at </w:t>
      </w:r>
      <w:proofErr w:type="spellStart"/>
      <w:r w:rsidRPr="00EF3081">
        <w:rPr>
          <w:rFonts w:cs="Arial"/>
        </w:rPr>
        <w:t>Gamsberg</w:t>
      </w:r>
      <w:proofErr w:type="spellEnd"/>
      <w:r w:rsidRPr="00EF3081">
        <w:rPr>
          <w:rFonts w:cs="Arial"/>
        </w:rPr>
        <w:t xml:space="preserve"> in terms of s 36(7C) and s 36(7F) read with s 36(10) of the Income Tax Act </w:t>
      </w:r>
      <w:r w:rsidRPr="00EF3081">
        <w:rPr>
          <w:szCs w:val="24"/>
        </w:rPr>
        <w:t>58 of 1962</w:t>
      </w:r>
      <w:r w:rsidRPr="00EF3081">
        <w:rPr>
          <w:rFonts w:cs="Arial"/>
          <w:szCs w:val="24"/>
        </w:rPr>
        <w:t xml:space="preserve"> (‘the ITA’)</w:t>
      </w:r>
      <w:r w:rsidRPr="00EF3081">
        <w:rPr>
          <w:rFonts w:cs="Arial"/>
        </w:rPr>
        <w:t xml:space="preserve">: </w:t>
      </w:r>
    </w:p>
    <w:p w14:paraId="12834607" w14:textId="77777777" w:rsidR="00EF3081" w:rsidRP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2013 year of assessment: R44 381</w:t>
      </w:r>
      <w:r w:rsidR="00EF3081">
        <w:rPr>
          <w:rFonts w:cs="Arial"/>
        </w:rPr>
        <w:t> </w:t>
      </w:r>
      <w:r w:rsidRPr="00EF3081">
        <w:rPr>
          <w:rFonts w:cs="Arial"/>
        </w:rPr>
        <w:t>000;</w:t>
      </w:r>
    </w:p>
    <w:p w14:paraId="1486EA4A" w14:textId="77777777" w:rsidR="00EF3081" w:rsidRP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2014 year of assessment: R80 451</w:t>
      </w:r>
      <w:r w:rsidR="00EF3081">
        <w:rPr>
          <w:rFonts w:cs="Arial"/>
        </w:rPr>
        <w:t> </w:t>
      </w:r>
      <w:r w:rsidRPr="00EF3081">
        <w:rPr>
          <w:rFonts w:cs="Arial"/>
        </w:rPr>
        <w:t>000;</w:t>
      </w:r>
    </w:p>
    <w:p w14:paraId="395960A4" w14:textId="77777777" w:rsidR="00EF3081" w:rsidRDefault="00060030"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rPr>
        <w:t>2015 year of assessment: R45 326</w:t>
      </w:r>
      <w:r w:rsidR="00EF3081">
        <w:rPr>
          <w:rFonts w:cs="Arial"/>
        </w:rPr>
        <w:t> </w:t>
      </w:r>
      <w:r w:rsidRPr="00EF3081">
        <w:rPr>
          <w:rFonts w:cs="Arial"/>
        </w:rPr>
        <w:t>000.</w:t>
      </w:r>
    </w:p>
    <w:p w14:paraId="19C6DBB2" w14:textId="5338668C" w:rsidR="00EF3081" w:rsidRPr="00EF3081" w:rsidRDefault="00060030" w:rsidP="00EF3081">
      <w:pPr>
        <w:pStyle w:val="ListParagraph"/>
        <w:numPr>
          <w:ilvl w:val="0"/>
          <w:numId w:val="39"/>
        </w:numPr>
        <w:spacing w:before="240" w:after="240" w:line="360" w:lineRule="auto"/>
        <w:contextualSpacing w:val="0"/>
        <w:jc w:val="both"/>
        <w:rPr>
          <w:rFonts w:cs="Arial"/>
          <w:szCs w:val="24"/>
        </w:rPr>
      </w:pPr>
      <w:r w:rsidRPr="00EF3081">
        <w:rPr>
          <w:rFonts w:cs="Arial"/>
        </w:rPr>
        <w:t xml:space="preserve">The appellant had claimed the CAPEX relating to the </w:t>
      </w:r>
      <w:proofErr w:type="spellStart"/>
      <w:r w:rsidRPr="00EF3081">
        <w:rPr>
          <w:rFonts w:cs="Arial"/>
        </w:rPr>
        <w:t>Gamsberg</w:t>
      </w:r>
      <w:proofErr w:type="spellEnd"/>
      <w:r w:rsidRPr="00EF3081">
        <w:rPr>
          <w:rFonts w:cs="Arial"/>
        </w:rPr>
        <w:t xml:space="preserve"> mine as part of </w:t>
      </w:r>
      <w:r w:rsidR="000A1D54">
        <w:rPr>
          <w:rFonts w:cs="Arial"/>
        </w:rPr>
        <w:t>its</w:t>
      </w:r>
      <w:r w:rsidRPr="00EF3081">
        <w:rPr>
          <w:rFonts w:cs="Arial"/>
        </w:rPr>
        <w:t xml:space="preserve"> mining operations of the Deeps and the </w:t>
      </w:r>
      <w:proofErr w:type="spellStart"/>
      <w:r w:rsidRPr="00EF3081">
        <w:rPr>
          <w:rFonts w:cs="Arial"/>
        </w:rPr>
        <w:t>Swartberg</w:t>
      </w:r>
      <w:proofErr w:type="spellEnd"/>
      <w:r w:rsidRPr="00EF3081">
        <w:rPr>
          <w:rFonts w:cs="Arial"/>
        </w:rPr>
        <w:t xml:space="preserve"> mines, and the respondent </w:t>
      </w:r>
      <w:r w:rsidR="004B2DE8" w:rsidRPr="00EF3081">
        <w:rPr>
          <w:rFonts w:cs="Arial"/>
        </w:rPr>
        <w:lastRenderedPageBreak/>
        <w:t>contended</w:t>
      </w:r>
      <w:r w:rsidRPr="00EF3081">
        <w:rPr>
          <w:rFonts w:cs="Arial"/>
        </w:rPr>
        <w:t xml:space="preserve"> that the </w:t>
      </w:r>
      <w:proofErr w:type="spellStart"/>
      <w:r w:rsidRPr="00EF3081">
        <w:rPr>
          <w:rFonts w:cs="Arial"/>
        </w:rPr>
        <w:t>Gamsberg</w:t>
      </w:r>
      <w:proofErr w:type="spellEnd"/>
      <w:r w:rsidRPr="00EF3081">
        <w:rPr>
          <w:rFonts w:cs="Arial"/>
        </w:rPr>
        <w:t xml:space="preserve"> mine should be treated separately from the Deeps and </w:t>
      </w:r>
      <w:proofErr w:type="spellStart"/>
      <w:r w:rsidRPr="00EF3081">
        <w:rPr>
          <w:rFonts w:cs="Arial"/>
        </w:rPr>
        <w:t>Swartberg</w:t>
      </w:r>
      <w:proofErr w:type="spellEnd"/>
      <w:r w:rsidRPr="00EF3081">
        <w:rPr>
          <w:rFonts w:cs="Arial"/>
        </w:rPr>
        <w:t xml:space="preserve"> mines.</w:t>
      </w:r>
    </w:p>
    <w:p w14:paraId="39D26CAA" w14:textId="6C1FDE88" w:rsidR="00EF3081" w:rsidRDefault="00441BFF" w:rsidP="00EF3081">
      <w:pPr>
        <w:pStyle w:val="ListParagraph"/>
        <w:numPr>
          <w:ilvl w:val="0"/>
          <w:numId w:val="39"/>
        </w:numPr>
        <w:spacing w:before="240" w:after="240" w:line="360" w:lineRule="auto"/>
        <w:contextualSpacing w:val="0"/>
        <w:jc w:val="both"/>
        <w:rPr>
          <w:rFonts w:cs="Arial"/>
          <w:szCs w:val="24"/>
        </w:rPr>
      </w:pPr>
      <w:r w:rsidRPr="00EF3081">
        <w:rPr>
          <w:rFonts w:cs="Arial"/>
        </w:rPr>
        <w:t>On</w:t>
      </w:r>
      <w:r w:rsidRPr="00EF3081">
        <w:rPr>
          <w:rFonts w:cs="Arial"/>
          <w:szCs w:val="24"/>
        </w:rPr>
        <w:t xml:space="preserve"> </w:t>
      </w:r>
      <w:r w:rsidRPr="00EF3081">
        <w:rPr>
          <w:rFonts w:cs="Arial"/>
        </w:rPr>
        <w:t>3 April 2017, the respondent raised additional assessments for the relevant years of assessment</w:t>
      </w:r>
      <w:r w:rsidRPr="00EF3081">
        <w:rPr>
          <w:rFonts w:cs="Arial"/>
          <w:szCs w:val="24"/>
        </w:rPr>
        <w:t xml:space="preserve">, </w:t>
      </w:r>
      <w:r w:rsidRPr="00EF3081">
        <w:rPr>
          <w:rFonts w:cs="Arial"/>
        </w:rPr>
        <w:t>in terms whereof it disallowed the deductions by the appellant (of CAPEX) from income derived by it from its mining operations</w:t>
      </w:r>
      <w:r w:rsidR="007D5F39">
        <w:rPr>
          <w:rFonts w:cs="Arial"/>
        </w:rPr>
        <w:t xml:space="preserve">; </w:t>
      </w:r>
      <w:r w:rsidRPr="00EF3081">
        <w:rPr>
          <w:rFonts w:cs="Arial"/>
        </w:rPr>
        <w:t>it imposed understatement penalties of some R4 764</w:t>
      </w:r>
      <w:r w:rsidR="00EF3081">
        <w:rPr>
          <w:rFonts w:cs="Arial"/>
        </w:rPr>
        <w:t> </w:t>
      </w:r>
      <w:r w:rsidRPr="00EF3081">
        <w:rPr>
          <w:rFonts w:cs="Arial"/>
        </w:rPr>
        <w:t>424.</w:t>
      </w:r>
    </w:p>
    <w:p w14:paraId="6A8F6863" w14:textId="684AABAC" w:rsidR="000026DC" w:rsidRPr="000026DC" w:rsidRDefault="00A44E53" w:rsidP="00F03FBF">
      <w:pPr>
        <w:pStyle w:val="ListParagraph"/>
        <w:numPr>
          <w:ilvl w:val="0"/>
          <w:numId w:val="39"/>
        </w:numPr>
        <w:spacing w:before="240" w:after="240" w:line="360" w:lineRule="auto"/>
        <w:contextualSpacing w:val="0"/>
        <w:jc w:val="both"/>
        <w:rPr>
          <w:rFonts w:cs="Arial"/>
          <w:szCs w:val="24"/>
        </w:rPr>
      </w:pPr>
      <w:r w:rsidRPr="000026DC">
        <w:rPr>
          <w:rFonts w:cs="Arial"/>
        </w:rPr>
        <w:t>On 19 June 2017, t</w:t>
      </w:r>
      <w:r w:rsidR="00060030" w:rsidRPr="000026DC">
        <w:rPr>
          <w:rFonts w:cs="Arial"/>
        </w:rPr>
        <w:t xml:space="preserve">he appellant objected to the additional assessments and specifically relied on the provisions of </w:t>
      </w:r>
      <w:r w:rsidR="00275AF9" w:rsidRPr="000026DC">
        <w:rPr>
          <w:rFonts w:cs="Arial"/>
        </w:rPr>
        <w:t>s </w:t>
      </w:r>
      <w:r w:rsidR="00060030" w:rsidRPr="000026DC">
        <w:rPr>
          <w:rFonts w:cs="Arial"/>
        </w:rPr>
        <w:t>11(a) of the ITA</w:t>
      </w:r>
      <w:r w:rsidR="005B3373" w:rsidRPr="000026DC">
        <w:rPr>
          <w:rFonts w:cs="Arial"/>
        </w:rPr>
        <w:t xml:space="preserve"> </w:t>
      </w:r>
      <w:r w:rsidR="00060030" w:rsidRPr="000026DC">
        <w:rPr>
          <w:rFonts w:cs="Arial"/>
        </w:rPr>
        <w:t>in respect of the deductibility of CAPEX incurred during the relevant years of assessment.</w:t>
      </w:r>
      <w:r w:rsidR="00275AF9" w:rsidRPr="00956ECB">
        <w:rPr>
          <w:rStyle w:val="FootnoteReference"/>
          <w:rFonts w:cs="Arial"/>
        </w:rPr>
        <w:footnoteReference w:id="2"/>
      </w:r>
      <w:r w:rsidR="00060030" w:rsidRPr="000026DC">
        <w:rPr>
          <w:rFonts w:cs="Arial"/>
        </w:rPr>
        <w:t xml:space="preserve"> After the respondent’s </w:t>
      </w:r>
      <w:r w:rsidR="00024830" w:rsidRPr="000026DC">
        <w:rPr>
          <w:rFonts w:cs="Arial"/>
        </w:rPr>
        <w:t xml:space="preserve">partial </w:t>
      </w:r>
      <w:r w:rsidR="00060030" w:rsidRPr="000026DC">
        <w:rPr>
          <w:rFonts w:cs="Arial"/>
        </w:rPr>
        <w:t xml:space="preserve">disallowance of the objections, </w:t>
      </w:r>
      <w:r w:rsidR="001839F6" w:rsidRPr="000026DC">
        <w:rPr>
          <w:rFonts w:cs="Arial"/>
        </w:rPr>
        <w:t xml:space="preserve">and on 16 November 2017, </w:t>
      </w:r>
      <w:r w:rsidR="00060030" w:rsidRPr="000026DC">
        <w:rPr>
          <w:rFonts w:cs="Arial"/>
        </w:rPr>
        <w:t>the appellant delivered</w:t>
      </w:r>
      <w:r w:rsidR="001839F6" w:rsidRPr="000026DC">
        <w:rPr>
          <w:rFonts w:cs="Arial"/>
        </w:rPr>
        <w:t xml:space="preserve"> its notice of appeal in</w:t>
      </w:r>
      <w:r w:rsidR="00060030" w:rsidRPr="000026DC">
        <w:rPr>
          <w:rFonts w:cs="Arial"/>
        </w:rPr>
        <w:t xml:space="preserve"> </w:t>
      </w:r>
      <w:r w:rsidR="00CC57F4" w:rsidRPr="000026DC">
        <w:rPr>
          <w:rFonts w:cs="Arial"/>
        </w:rPr>
        <w:t xml:space="preserve">which </w:t>
      </w:r>
      <w:r w:rsidR="001839F6" w:rsidRPr="000026DC">
        <w:rPr>
          <w:rFonts w:cs="Arial"/>
        </w:rPr>
        <w:t xml:space="preserve">it </w:t>
      </w:r>
      <w:r w:rsidR="00CC57F4" w:rsidRPr="000026DC">
        <w:rPr>
          <w:rFonts w:cs="Arial"/>
        </w:rPr>
        <w:t xml:space="preserve">excluded </w:t>
      </w:r>
      <w:r w:rsidR="009A1802" w:rsidRPr="000026DC">
        <w:rPr>
          <w:rFonts w:cs="Arial"/>
        </w:rPr>
        <w:t>reliance on s 11(a)</w:t>
      </w:r>
      <w:r w:rsidR="005B3373" w:rsidRPr="000026DC">
        <w:rPr>
          <w:rFonts w:cs="Arial"/>
        </w:rPr>
        <w:t xml:space="preserve"> of the ITA.</w:t>
      </w:r>
    </w:p>
    <w:p w14:paraId="26E00595" w14:textId="5D1EF5EB" w:rsidR="00EF3081" w:rsidRPr="000026DC" w:rsidRDefault="000026DC" w:rsidP="00F03FBF">
      <w:pPr>
        <w:pStyle w:val="ListParagraph"/>
        <w:numPr>
          <w:ilvl w:val="0"/>
          <w:numId w:val="39"/>
        </w:numPr>
        <w:spacing w:before="240" w:after="240" w:line="360" w:lineRule="auto"/>
        <w:contextualSpacing w:val="0"/>
        <w:jc w:val="both"/>
        <w:rPr>
          <w:rFonts w:cs="Arial"/>
          <w:szCs w:val="24"/>
        </w:rPr>
      </w:pPr>
      <w:r>
        <w:rPr>
          <w:rFonts w:cs="Arial"/>
        </w:rPr>
        <w:t>I</w:t>
      </w:r>
      <w:r w:rsidR="001839F6" w:rsidRPr="000026DC">
        <w:rPr>
          <w:rFonts w:cs="Arial"/>
        </w:rPr>
        <w:t>n 18</w:t>
      </w:r>
      <w:r w:rsidR="002467D2" w:rsidRPr="000026DC">
        <w:rPr>
          <w:rFonts w:cs="Arial"/>
          <w:vertAlign w:val="superscript"/>
        </w:rPr>
        <w:t xml:space="preserve"> </w:t>
      </w:r>
      <w:r w:rsidR="001839F6" w:rsidRPr="000026DC">
        <w:rPr>
          <w:rFonts w:cs="Arial"/>
        </w:rPr>
        <w:t>July 2018, the respondent delivered its Rule 31 statement of grounds of assessment</w:t>
      </w:r>
      <w:r w:rsidR="002467D2" w:rsidRPr="000026DC">
        <w:rPr>
          <w:rFonts w:cs="Arial"/>
        </w:rPr>
        <w:t>,</w:t>
      </w:r>
      <w:r w:rsidR="001839F6" w:rsidRPr="000026DC">
        <w:rPr>
          <w:rFonts w:cs="Arial"/>
        </w:rPr>
        <w:t xml:space="preserve"> and on 20 November 2018 the appellant delivered its Rule 32 statement of grounds of appeal.</w:t>
      </w:r>
      <w:r>
        <w:rPr>
          <w:rStyle w:val="FootnoteReference"/>
          <w:rFonts w:cs="Arial"/>
        </w:rPr>
        <w:footnoteReference w:id="3"/>
      </w:r>
      <w:r w:rsidR="001839F6" w:rsidRPr="000026DC">
        <w:rPr>
          <w:rFonts w:cs="Arial"/>
        </w:rPr>
        <w:t xml:space="preserve"> </w:t>
      </w:r>
      <w:r w:rsidR="00060030" w:rsidRPr="000026DC">
        <w:rPr>
          <w:rFonts w:cs="Arial"/>
        </w:rPr>
        <w:t>On 25 September 2020</w:t>
      </w:r>
      <w:r w:rsidR="00CC57F4" w:rsidRPr="000026DC">
        <w:rPr>
          <w:rFonts w:cs="Arial"/>
        </w:rPr>
        <w:t>,</w:t>
      </w:r>
      <w:r w:rsidR="00060030" w:rsidRPr="000026DC">
        <w:rPr>
          <w:rFonts w:cs="Arial"/>
        </w:rPr>
        <w:t xml:space="preserve"> the appellant gave notice of its intention </w:t>
      </w:r>
      <w:r w:rsidR="00CC57F4" w:rsidRPr="000026DC">
        <w:rPr>
          <w:rFonts w:cs="Arial"/>
        </w:rPr>
        <w:t xml:space="preserve">to amend its Rule 32 statement, by </w:t>
      </w:r>
      <w:r w:rsidR="00CC57F4" w:rsidRPr="000026DC">
        <w:rPr>
          <w:rFonts w:cs="Arial"/>
          <w:i/>
        </w:rPr>
        <w:t>inter alia</w:t>
      </w:r>
      <w:r w:rsidR="00CC57F4" w:rsidRPr="000026DC">
        <w:rPr>
          <w:rFonts w:cs="Arial"/>
        </w:rPr>
        <w:t>, including s 11(a) of the ITA as a ground of appeal.</w:t>
      </w:r>
      <w:r w:rsidR="000F00EF" w:rsidRPr="000026DC">
        <w:rPr>
          <w:rFonts w:cs="Arial"/>
        </w:rPr>
        <w:t xml:space="preserve"> </w:t>
      </w:r>
      <w:r w:rsidR="00F44577" w:rsidRPr="000026DC">
        <w:rPr>
          <w:rFonts w:cs="Arial"/>
          <w:szCs w:val="24"/>
        </w:rPr>
        <w:t>In the application for leave to amend its Rule 32 statement</w:t>
      </w:r>
      <w:r w:rsidR="00594A96" w:rsidRPr="000026DC">
        <w:rPr>
          <w:rFonts w:cs="Arial"/>
          <w:szCs w:val="24"/>
        </w:rPr>
        <w:t>, the appellant sought leave to—</w:t>
      </w:r>
    </w:p>
    <w:p w14:paraId="47E1783A" w14:textId="77777777" w:rsidR="00EF3081" w:rsidRDefault="00F44577"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introduce reliance on s 11(a) of the ITA;</w:t>
      </w:r>
    </w:p>
    <w:p w14:paraId="4D65737F" w14:textId="77777777" w:rsidR="00EF3081" w:rsidRDefault="00F44577"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 xml:space="preserve">deduct its qualifying expenditure incurred from income derived by it from its mining operations during the relevant years of assessment; </w:t>
      </w:r>
    </w:p>
    <w:p w14:paraId="19748CF4" w14:textId="77777777" w:rsidR="00EF3081" w:rsidRDefault="009E595C"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 xml:space="preserve">attach a new </w:t>
      </w:r>
      <w:r w:rsidR="00A45195" w:rsidRPr="00EF3081">
        <w:rPr>
          <w:rFonts w:cs="Arial"/>
          <w:szCs w:val="24"/>
        </w:rPr>
        <w:t>annexure, ‘</w:t>
      </w:r>
      <w:r w:rsidRPr="00EF3081">
        <w:rPr>
          <w:rFonts w:cs="Arial"/>
          <w:szCs w:val="24"/>
        </w:rPr>
        <w:t>A</w:t>
      </w:r>
      <w:r w:rsidR="00AB1991" w:rsidRPr="00EF3081">
        <w:rPr>
          <w:rFonts w:cs="Arial"/>
          <w:szCs w:val="24"/>
        </w:rPr>
        <w:t>nnexure BMM</w:t>
      </w:r>
      <w:r w:rsidR="00A45195" w:rsidRPr="00EF3081">
        <w:rPr>
          <w:rFonts w:cs="Arial"/>
          <w:szCs w:val="24"/>
        </w:rPr>
        <w:t>’,</w:t>
      </w:r>
      <w:r w:rsidRPr="00EF3081">
        <w:rPr>
          <w:rFonts w:cs="Arial"/>
          <w:szCs w:val="24"/>
        </w:rPr>
        <w:t xml:space="preserve"> </w:t>
      </w:r>
      <w:r w:rsidR="00F44577" w:rsidRPr="00EF3081">
        <w:rPr>
          <w:rFonts w:cs="Arial"/>
          <w:szCs w:val="24"/>
        </w:rPr>
        <w:t>to its Rule 32 statement, reflecting the classification of the appellant</w:t>
      </w:r>
      <w:r w:rsidR="002070D3" w:rsidRPr="00EF3081">
        <w:rPr>
          <w:rFonts w:cs="Arial"/>
          <w:szCs w:val="24"/>
        </w:rPr>
        <w:t>’</w:t>
      </w:r>
      <w:r w:rsidR="00F44577" w:rsidRPr="00EF3081">
        <w:rPr>
          <w:rFonts w:cs="Arial"/>
          <w:szCs w:val="24"/>
        </w:rPr>
        <w:t>s expenditure during the re</w:t>
      </w:r>
      <w:r w:rsidR="00D5227E" w:rsidRPr="00EF3081">
        <w:rPr>
          <w:rFonts w:cs="Arial"/>
          <w:szCs w:val="24"/>
        </w:rPr>
        <w:t>levant years of assessment; and</w:t>
      </w:r>
    </w:p>
    <w:p w14:paraId="2BC9DCB9" w14:textId="2FF91434" w:rsidR="00EF3081" w:rsidRDefault="00F44577"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lastRenderedPageBreak/>
        <w:t>insert a table summarising the appellant</w:t>
      </w:r>
      <w:r w:rsidR="002070D3" w:rsidRPr="00EF3081">
        <w:rPr>
          <w:rFonts w:cs="Arial"/>
          <w:szCs w:val="24"/>
        </w:rPr>
        <w:t>’</w:t>
      </w:r>
      <w:r w:rsidRPr="00EF3081">
        <w:rPr>
          <w:rFonts w:cs="Arial"/>
          <w:szCs w:val="24"/>
        </w:rPr>
        <w:t>s arguments in relation to its expenditure, with reference to the applicable provisions of the ITA</w:t>
      </w:r>
      <w:r w:rsidR="000E161C">
        <w:rPr>
          <w:rFonts w:cs="Arial"/>
          <w:szCs w:val="24"/>
        </w:rPr>
        <w:t>.</w:t>
      </w:r>
      <w:r w:rsidR="002B7C38">
        <w:rPr>
          <w:rFonts w:cs="Arial"/>
          <w:szCs w:val="24"/>
        </w:rPr>
        <w:t xml:space="preserve">                                                                                                                                                                                      </w:t>
      </w:r>
      <w:r w:rsidR="000E161C">
        <w:rPr>
          <w:rFonts w:cs="Arial"/>
          <w:szCs w:val="24"/>
        </w:rPr>
        <w:t xml:space="preserve">  </w:t>
      </w:r>
    </w:p>
    <w:p w14:paraId="55CA25F9" w14:textId="77777777" w:rsidR="000E161C" w:rsidRDefault="000E161C" w:rsidP="00EF3081">
      <w:pPr>
        <w:pStyle w:val="ListParagraph"/>
        <w:numPr>
          <w:ilvl w:val="0"/>
          <w:numId w:val="39"/>
        </w:numPr>
        <w:spacing w:before="240" w:after="240" w:line="360" w:lineRule="auto"/>
        <w:contextualSpacing w:val="0"/>
        <w:jc w:val="both"/>
        <w:rPr>
          <w:rFonts w:cs="Arial"/>
          <w:szCs w:val="24"/>
        </w:rPr>
      </w:pPr>
      <w:r>
        <w:rPr>
          <w:szCs w:val="24"/>
        </w:rPr>
        <w:t>The Tax Court dismissed the appellant’s application for the amendment on 27 January 2021.</w:t>
      </w:r>
      <w:r>
        <w:rPr>
          <w:rStyle w:val="FootnoteReference"/>
          <w:szCs w:val="24"/>
        </w:rPr>
        <w:footnoteReference w:id="4"/>
      </w:r>
      <w:r>
        <w:rPr>
          <w:szCs w:val="24"/>
        </w:rPr>
        <w:t xml:space="preserve"> </w:t>
      </w:r>
      <w:r w:rsidRPr="00EF3081">
        <w:rPr>
          <w:rFonts w:cs="Arial"/>
          <w:szCs w:val="24"/>
        </w:rPr>
        <w:t xml:space="preserve">This is an appeal against the judgment and order of the Tax Court. </w:t>
      </w:r>
    </w:p>
    <w:p w14:paraId="667791BA" w14:textId="591CE143" w:rsidR="00B33D2A" w:rsidRPr="00EF3081" w:rsidRDefault="000E161C" w:rsidP="00EF3081">
      <w:pPr>
        <w:pStyle w:val="ListParagraph"/>
        <w:numPr>
          <w:ilvl w:val="0"/>
          <w:numId w:val="39"/>
        </w:numPr>
        <w:spacing w:before="240" w:after="240" w:line="360" w:lineRule="auto"/>
        <w:contextualSpacing w:val="0"/>
        <w:jc w:val="both"/>
        <w:rPr>
          <w:rFonts w:cs="Arial"/>
          <w:szCs w:val="24"/>
        </w:rPr>
      </w:pPr>
      <w:r>
        <w:rPr>
          <w:rFonts w:cs="Arial"/>
        </w:rPr>
        <w:t>In its judgment, t</w:t>
      </w:r>
      <w:r w:rsidR="001F4897" w:rsidRPr="00EF3081">
        <w:rPr>
          <w:rFonts w:cs="Arial"/>
        </w:rPr>
        <w:t xml:space="preserve">he Tax Court referred to the fact that the appellant had previously relied on </w:t>
      </w:r>
      <w:r w:rsidRPr="00EF3081">
        <w:rPr>
          <w:rFonts w:cs="Arial"/>
        </w:rPr>
        <w:t>s</w:t>
      </w:r>
      <w:r>
        <w:rPr>
          <w:rFonts w:cs="Arial"/>
        </w:rPr>
        <w:t> </w:t>
      </w:r>
      <w:r w:rsidR="001F4897" w:rsidRPr="00EF3081">
        <w:rPr>
          <w:rFonts w:cs="Arial"/>
        </w:rPr>
        <w:t>11(a) of the ITA as part of its grounds of objection against the resp</w:t>
      </w:r>
      <w:r w:rsidR="00B33D2A" w:rsidRPr="00EF3081">
        <w:rPr>
          <w:rFonts w:cs="Arial"/>
        </w:rPr>
        <w:t>ondent’s additional assessments</w:t>
      </w:r>
      <w:r w:rsidR="00115B1A">
        <w:rPr>
          <w:rFonts w:cs="Arial"/>
        </w:rPr>
        <w:t xml:space="preserve"> (filed on 19 June 2017)</w:t>
      </w:r>
      <w:r w:rsidR="00B33D2A" w:rsidRPr="00EF3081">
        <w:rPr>
          <w:rFonts w:cs="Arial"/>
        </w:rPr>
        <w:t>, but that it</w:t>
      </w:r>
      <w:r w:rsidR="001F4897" w:rsidRPr="00EF3081">
        <w:rPr>
          <w:rFonts w:cs="Arial"/>
        </w:rPr>
        <w:t xml:space="preserve"> did not rely on this ground in its </w:t>
      </w:r>
      <w:r w:rsidR="00024830">
        <w:rPr>
          <w:rFonts w:cs="Arial"/>
        </w:rPr>
        <w:t>notice of appeal (filed on 16 November 2017)</w:t>
      </w:r>
      <w:r w:rsidR="001F4897" w:rsidRPr="00EF3081">
        <w:rPr>
          <w:rFonts w:cs="Arial"/>
        </w:rPr>
        <w:t xml:space="preserve">. The following was stated in paragraph 10 of the appellant’s </w:t>
      </w:r>
      <w:r w:rsidR="001839F6">
        <w:rPr>
          <w:rFonts w:cs="Arial"/>
        </w:rPr>
        <w:t>notice of appeal</w:t>
      </w:r>
      <w:r w:rsidR="0031257B">
        <w:rPr>
          <w:rFonts w:cs="Arial"/>
        </w:rPr>
        <w:t>:</w:t>
      </w:r>
      <w:r w:rsidR="00B33D2A" w:rsidRPr="00EF3081">
        <w:rPr>
          <w:rFonts w:cs="Arial"/>
        </w:rPr>
        <w:t xml:space="preserve"> </w:t>
      </w:r>
    </w:p>
    <w:p w14:paraId="720B851C" w14:textId="1C08F460" w:rsidR="001F4897" w:rsidRPr="001F4897" w:rsidRDefault="001F4897" w:rsidP="00EF3081">
      <w:pPr>
        <w:pStyle w:val="ListParagraph"/>
        <w:spacing w:before="240" w:after="240" w:line="360" w:lineRule="auto"/>
        <w:ind w:left="0"/>
        <w:contextualSpacing w:val="0"/>
        <w:jc w:val="both"/>
        <w:rPr>
          <w:rFonts w:cs="Arial"/>
          <w:sz w:val="22"/>
        </w:rPr>
      </w:pPr>
      <w:r w:rsidRPr="00B33D2A">
        <w:rPr>
          <w:rFonts w:cs="Arial"/>
          <w:sz w:val="22"/>
        </w:rPr>
        <w:t xml:space="preserve">‘10.... BMM does not persist in its second (alternative) ground of objection referred to in paragraph 1.1 of page 2 of the Objection stating that such expenditure is deductible in terms of section 11(a) of the </w:t>
      </w:r>
      <w:r w:rsidR="0031257B">
        <w:rPr>
          <w:rFonts w:cs="Arial"/>
          <w:sz w:val="22"/>
        </w:rPr>
        <w:t>I</w:t>
      </w:r>
      <w:r w:rsidRPr="00B33D2A">
        <w:rPr>
          <w:rFonts w:cs="Arial"/>
          <w:sz w:val="22"/>
        </w:rPr>
        <w:t xml:space="preserve">TA, read with section 23(g) of the </w:t>
      </w:r>
      <w:r w:rsidR="0031257B">
        <w:rPr>
          <w:rFonts w:cs="Arial"/>
          <w:sz w:val="22"/>
        </w:rPr>
        <w:t>I</w:t>
      </w:r>
      <w:r w:rsidRPr="00B33D2A">
        <w:rPr>
          <w:rFonts w:cs="Arial"/>
          <w:sz w:val="22"/>
        </w:rPr>
        <w:t xml:space="preserve">TA.’ </w:t>
      </w:r>
      <w:r w:rsidR="00275AF9">
        <w:rPr>
          <w:rFonts w:cs="Arial"/>
          <w:sz w:val="22"/>
        </w:rPr>
        <w:t>[</w:t>
      </w:r>
      <w:r w:rsidR="001839F6">
        <w:rPr>
          <w:rFonts w:cs="Arial"/>
          <w:sz w:val="22"/>
        </w:rPr>
        <w:t>t</w:t>
      </w:r>
      <w:r w:rsidRPr="00B33D2A">
        <w:rPr>
          <w:rFonts w:cs="Arial"/>
          <w:sz w:val="22"/>
        </w:rPr>
        <w:t xml:space="preserve">he </w:t>
      </w:r>
      <w:r w:rsidR="0031257B">
        <w:rPr>
          <w:rFonts w:cs="Arial"/>
          <w:sz w:val="22"/>
        </w:rPr>
        <w:t>‘</w:t>
      </w:r>
      <w:r w:rsidRPr="00B33D2A">
        <w:rPr>
          <w:rFonts w:cs="Arial"/>
          <w:sz w:val="22"/>
        </w:rPr>
        <w:t>paragraph 10 statement’</w:t>
      </w:r>
      <w:r w:rsidR="00275AF9">
        <w:rPr>
          <w:rFonts w:cs="Arial"/>
          <w:sz w:val="22"/>
        </w:rPr>
        <w:t>]</w:t>
      </w:r>
    </w:p>
    <w:p w14:paraId="0B4CE3E6" w14:textId="43B6C337" w:rsidR="00EF3081" w:rsidRDefault="001F4897" w:rsidP="00EF3081">
      <w:pPr>
        <w:pStyle w:val="ListParagraph"/>
        <w:numPr>
          <w:ilvl w:val="0"/>
          <w:numId w:val="39"/>
        </w:numPr>
        <w:spacing w:before="240" w:after="240" w:line="360" w:lineRule="auto"/>
        <w:contextualSpacing w:val="0"/>
        <w:jc w:val="both"/>
        <w:rPr>
          <w:rFonts w:cs="Arial"/>
          <w:szCs w:val="24"/>
        </w:rPr>
      </w:pPr>
      <w:r>
        <w:rPr>
          <w:rFonts w:cs="Arial"/>
          <w:szCs w:val="24"/>
        </w:rPr>
        <w:t>The Tax Court found that the aforesaid omission by the appellant, in not relying on the provisions of s 11(a) of the ITA in its Rule 32 statement</w:t>
      </w:r>
      <w:r w:rsidR="000E161C">
        <w:rPr>
          <w:rFonts w:cs="Arial"/>
          <w:szCs w:val="24"/>
        </w:rPr>
        <w:t>,</w:t>
      </w:r>
      <w:r>
        <w:rPr>
          <w:rFonts w:cs="Arial"/>
          <w:szCs w:val="24"/>
        </w:rPr>
        <w:t xml:space="preserve"> coupled with the paragraph 10 statement, had the effect that the appellant abandoned and waived its reliance on s 11(a) of the ITA as a ground of appeal. </w:t>
      </w:r>
    </w:p>
    <w:p w14:paraId="15BE0682" w14:textId="2526E90E" w:rsidR="009A1802" w:rsidRPr="00EF3081" w:rsidRDefault="001F4897"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 xml:space="preserve">The appellant contended that </w:t>
      </w:r>
      <w:r w:rsidRPr="00EF3081">
        <w:rPr>
          <w:szCs w:val="24"/>
        </w:rPr>
        <w:t>the Tax Court erred in dismissing the application for amendment</w:t>
      </w:r>
      <w:r w:rsidR="000E161C">
        <w:rPr>
          <w:szCs w:val="24"/>
        </w:rPr>
        <w:t>,</w:t>
      </w:r>
      <w:r w:rsidRPr="00EF3081">
        <w:rPr>
          <w:szCs w:val="24"/>
        </w:rPr>
        <w:t xml:space="preserve"> as </w:t>
      </w:r>
      <w:r w:rsidR="00032D0E" w:rsidRPr="00EF3081">
        <w:rPr>
          <w:szCs w:val="24"/>
        </w:rPr>
        <w:t xml:space="preserve">the </w:t>
      </w:r>
      <w:r w:rsidRPr="00EF3081">
        <w:rPr>
          <w:szCs w:val="24"/>
        </w:rPr>
        <w:t>dismissal of the application precluded the appellant’s intended reliance on s 11(a) of the ITA</w:t>
      </w:r>
      <w:r w:rsidR="00306BD8" w:rsidRPr="00EF3081">
        <w:rPr>
          <w:szCs w:val="24"/>
        </w:rPr>
        <w:t xml:space="preserve">, </w:t>
      </w:r>
      <w:r w:rsidR="00B33D2A" w:rsidRPr="00EF3081">
        <w:rPr>
          <w:szCs w:val="24"/>
        </w:rPr>
        <w:t xml:space="preserve">which </w:t>
      </w:r>
      <w:r w:rsidR="00306BD8" w:rsidRPr="00EF3081">
        <w:rPr>
          <w:szCs w:val="24"/>
        </w:rPr>
        <w:t>claim was held to have been abandoned and waived. It</w:t>
      </w:r>
      <w:r w:rsidR="00F9333E">
        <w:rPr>
          <w:szCs w:val="24"/>
        </w:rPr>
        <w:t xml:space="preserve"> argued that the issue</w:t>
      </w:r>
      <w:r w:rsidR="00306BD8" w:rsidRPr="00EF3081">
        <w:rPr>
          <w:szCs w:val="24"/>
        </w:rPr>
        <w:t xml:space="preserve"> was thus</w:t>
      </w:r>
      <w:r w:rsidR="00B33D2A" w:rsidRPr="00EF3081">
        <w:rPr>
          <w:szCs w:val="24"/>
        </w:rPr>
        <w:t xml:space="preserve"> </w:t>
      </w:r>
      <w:r w:rsidR="00B33D2A" w:rsidRPr="00EF3081">
        <w:rPr>
          <w:i/>
          <w:szCs w:val="24"/>
        </w:rPr>
        <w:t>res judicat</w:t>
      </w:r>
      <w:r w:rsidR="00306BD8" w:rsidRPr="00EF3081">
        <w:rPr>
          <w:i/>
          <w:szCs w:val="24"/>
        </w:rPr>
        <w:t>a.</w:t>
      </w:r>
      <w:r w:rsidR="00306BD8" w:rsidRPr="00EF3081">
        <w:rPr>
          <w:szCs w:val="24"/>
        </w:rPr>
        <w:t xml:space="preserve"> </w:t>
      </w:r>
      <w:r w:rsidR="00275AF9">
        <w:rPr>
          <w:szCs w:val="24"/>
        </w:rPr>
        <w:t>[</w:t>
      </w:r>
      <w:r w:rsidR="002C0C77">
        <w:rPr>
          <w:szCs w:val="24"/>
        </w:rPr>
        <w:t>t</w:t>
      </w:r>
      <w:r w:rsidR="00306BD8" w:rsidRPr="00EF3081">
        <w:rPr>
          <w:szCs w:val="24"/>
        </w:rPr>
        <w:t xml:space="preserve">he </w:t>
      </w:r>
      <w:r w:rsidR="0031257B">
        <w:rPr>
          <w:szCs w:val="24"/>
        </w:rPr>
        <w:t>‘</w:t>
      </w:r>
      <w:r w:rsidR="00306BD8" w:rsidRPr="00EF3081">
        <w:rPr>
          <w:szCs w:val="24"/>
        </w:rPr>
        <w:t>s 11(a) issue</w:t>
      </w:r>
      <w:r w:rsidR="0031257B">
        <w:rPr>
          <w:szCs w:val="24"/>
        </w:rPr>
        <w:t>’</w:t>
      </w:r>
      <w:r w:rsidR="00275AF9">
        <w:rPr>
          <w:szCs w:val="24"/>
        </w:rPr>
        <w:t>]</w:t>
      </w:r>
    </w:p>
    <w:p w14:paraId="360C6DA3" w14:textId="0D5CA942" w:rsidR="00CC57F4" w:rsidRPr="00956ECB" w:rsidRDefault="00CC57F4" w:rsidP="009A1802">
      <w:pPr>
        <w:pStyle w:val="ListParagraph"/>
        <w:spacing w:before="360" w:after="360" w:line="360" w:lineRule="auto"/>
        <w:ind w:left="0"/>
        <w:contextualSpacing w:val="0"/>
        <w:jc w:val="both"/>
        <w:rPr>
          <w:rFonts w:cs="Arial"/>
          <w:b/>
          <w:i/>
          <w:szCs w:val="24"/>
        </w:rPr>
      </w:pPr>
      <w:r w:rsidRPr="00956ECB">
        <w:rPr>
          <w:b/>
          <w:i/>
          <w:szCs w:val="24"/>
        </w:rPr>
        <w:t>Legislative background</w:t>
      </w:r>
    </w:p>
    <w:p w14:paraId="3481F7D5" w14:textId="49AF38BB" w:rsidR="0096610E" w:rsidRDefault="0096610E" w:rsidP="0096610E">
      <w:pPr>
        <w:pStyle w:val="ListParagraph"/>
        <w:numPr>
          <w:ilvl w:val="0"/>
          <w:numId w:val="39"/>
        </w:numPr>
        <w:spacing w:before="240" w:after="240" w:line="360" w:lineRule="auto"/>
        <w:contextualSpacing w:val="0"/>
        <w:jc w:val="both"/>
        <w:rPr>
          <w:rFonts w:cs="Arial"/>
          <w:szCs w:val="24"/>
        </w:rPr>
      </w:pPr>
      <w:bookmarkStart w:id="1" w:name="_Ref81310817"/>
      <w:r w:rsidRPr="00EF3081">
        <w:rPr>
          <w:rFonts w:cs="Arial"/>
          <w:szCs w:val="24"/>
        </w:rPr>
        <w:t xml:space="preserve">The Tax Court’s jurisdiction is set out in s 117 of the TAA. It has jurisdiction over tax appeals lodged under s 107 and, in terms of s 117(3), it may hear and decide </w:t>
      </w:r>
      <w:r>
        <w:rPr>
          <w:rFonts w:cs="Arial"/>
          <w:szCs w:val="24"/>
        </w:rPr>
        <w:t>an</w:t>
      </w:r>
      <w:r w:rsidRPr="00EF3081">
        <w:rPr>
          <w:rFonts w:cs="Arial"/>
          <w:szCs w:val="24"/>
        </w:rPr>
        <w:t xml:space="preserve"> </w:t>
      </w:r>
      <w:r>
        <w:rPr>
          <w:rFonts w:cs="Arial"/>
          <w:szCs w:val="24"/>
        </w:rPr>
        <w:t>interlocutory application or an</w:t>
      </w:r>
      <w:r w:rsidRPr="00EF3081">
        <w:rPr>
          <w:rFonts w:cs="Arial"/>
          <w:szCs w:val="24"/>
        </w:rPr>
        <w:t xml:space="preserve"> application in a procedural matter relating to a dispute under Chapter 9 of the TAA. Chapter 9 is the chapter dealing with dispute resolution</w:t>
      </w:r>
      <w:r>
        <w:rPr>
          <w:rFonts w:cs="Arial"/>
          <w:szCs w:val="24"/>
        </w:rPr>
        <w:t>.</w:t>
      </w:r>
      <w:bookmarkEnd w:id="1"/>
    </w:p>
    <w:p w14:paraId="16DA0C0F" w14:textId="1986DEF4" w:rsidR="0096610E" w:rsidRPr="00EF3081" w:rsidRDefault="0096610E" w:rsidP="0096610E">
      <w:pPr>
        <w:pStyle w:val="ListParagraph"/>
        <w:numPr>
          <w:ilvl w:val="0"/>
          <w:numId w:val="39"/>
        </w:numPr>
        <w:spacing w:before="240" w:after="240" w:line="360" w:lineRule="auto"/>
        <w:contextualSpacing w:val="0"/>
        <w:jc w:val="both"/>
        <w:rPr>
          <w:rFonts w:cs="Arial"/>
          <w:szCs w:val="24"/>
        </w:rPr>
      </w:pPr>
      <w:r w:rsidRPr="00EF3081">
        <w:rPr>
          <w:rFonts w:cs="Arial"/>
          <w:szCs w:val="24"/>
        </w:rPr>
        <w:lastRenderedPageBreak/>
        <w:t>S</w:t>
      </w:r>
      <w:r>
        <w:rPr>
          <w:rFonts w:cs="Arial"/>
          <w:szCs w:val="24"/>
        </w:rPr>
        <w:t>ection</w:t>
      </w:r>
      <w:r w:rsidRPr="00EF3081">
        <w:rPr>
          <w:rFonts w:cs="Arial"/>
          <w:szCs w:val="24"/>
        </w:rPr>
        <w:t xml:space="preserve"> 117(3) of the TAA makes an express distinction between interlocutory and procedural matters. Its powers in regard to an assessment or ‘decision’ under appeal or in relation to an application in a procedural matter referred to in s 117(3) of the TAA are set out in s 129(2)</w:t>
      </w:r>
      <w:r>
        <w:rPr>
          <w:rFonts w:cs="Arial"/>
          <w:szCs w:val="24"/>
        </w:rPr>
        <w:t>,</w:t>
      </w:r>
      <w:r w:rsidRPr="00EF3081">
        <w:rPr>
          <w:rFonts w:cs="Arial"/>
          <w:szCs w:val="24"/>
        </w:rPr>
        <w:t xml:space="preserve"> </w:t>
      </w:r>
      <w:r>
        <w:rPr>
          <w:rFonts w:cs="Arial"/>
          <w:szCs w:val="24"/>
        </w:rPr>
        <w:t>which</w:t>
      </w:r>
      <w:r w:rsidRPr="00EF3081">
        <w:rPr>
          <w:rFonts w:cs="Arial"/>
          <w:szCs w:val="24"/>
        </w:rPr>
        <w:t xml:space="preserve"> reads:</w:t>
      </w:r>
    </w:p>
    <w:p w14:paraId="460D6A80" w14:textId="13FB97AD" w:rsidR="0096610E" w:rsidRPr="00956ECB" w:rsidRDefault="0096610E" w:rsidP="0096610E">
      <w:pPr>
        <w:pStyle w:val="ListParagraph"/>
        <w:spacing w:before="120" w:after="120" w:line="360" w:lineRule="auto"/>
        <w:ind w:left="0"/>
        <w:contextualSpacing w:val="0"/>
        <w:jc w:val="both"/>
        <w:rPr>
          <w:rFonts w:cs="Arial"/>
          <w:sz w:val="22"/>
          <w:szCs w:val="24"/>
        </w:rPr>
      </w:pPr>
      <w:r w:rsidRPr="00956ECB">
        <w:rPr>
          <w:rFonts w:cs="Arial"/>
          <w:sz w:val="22"/>
          <w:szCs w:val="24"/>
        </w:rPr>
        <w:t>‘ln the case of an assessment or “decision” under appeal or an application in a procedural matter referred to in section 117(3), the tax court may—</w:t>
      </w:r>
    </w:p>
    <w:p w14:paraId="0BBB7C2E" w14:textId="77777777" w:rsidR="0096610E" w:rsidRPr="00956ECB" w:rsidRDefault="0096610E" w:rsidP="0096610E">
      <w:pPr>
        <w:pStyle w:val="ListParagraph"/>
        <w:numPr>
          <w:ilvl w:val="0"/>
          <w:numId w:val="2"/>
        </w:numPr>
        <w:spacing w:before="120" w:after="120" w:line="360" w:lineRule="auto"/>
        <w:ind w:left="567" w:hanging="567"/>
        <w:contextualSpacing w:val="0"/>
        <w:rPr>
          <w:rFonts w:cs="Arial"/>
          <w:sz w:val="22"/>
          <w:szCs w:val="24"/>
        </w:rPr>
      </w:pPr>
      <w:r w:rsidRPr="00956ECB">
        <w:rPr>
          <w:rFonts w:cs="Arial"/>
          <w:sz w:val="22"/>
          <w:szCs w:val="24"/>
        </w:rPr>
        <w:t xml:space="preserve">confirm the assessment or “decision”; </w:t>
      </w:r>
    </w:p>
    <w:p w14:paraId="3297B5B9" w14:textId="77777777" w:rsidR="0096610E" w:rsidRPr="00956ECB" w:rsidRDefault="0096610E" w:rsidP="0096610E">
      <w:pPr>
        <w:pStyle w:val="ListParagraph"/>
        <w:numPr>
          <w:ilvl w:val="0"/>
          <w:numId w:val="2"/>
        </w:numPr>
        <w:spacing w:before="120" w:after="120" w:line="360" w:lineRule="auto"/>
        <w:ind w:left="567" w:hanging="567"/>
        <w:contextualSpacing w:val="0"/>
        <w:rPr>
          <w:rFonts w:cs="Arial"/>
          <w:sz w:val="22"/>
          <w:szCs w:val="24"/>
        </w:rPr>
      </w:pPr>
      <w:r w:rsidRPr="00956ECB">
        <w:rPr>
          <w:rFonts w:cs="Arial"/>
          <w:sz w:val="22"/>
          <w:szCs w:val="24"/>
        </w:rPr>
        <w:t xml:space="preserve">order the assessment or “decision” to be altered; </w:t>
      </w:r>
    </w:p>
    <w:p w14:paraId="012338DA" w14:textId="77777777" w:rsidR="0096610E" w:rsidRPr="00956ECB" w:rsidRDefault="0096610E" w:rsidP="0096610E">
      <w:pPr>
        <w:pStyle w:val="ListParagraph"/>
        <w:numPr>
          <w:ilvl w:val="0"/>
          <w:numId w:val="2"/>
        </w:numPr>
        <w:spacing w:before="120" w:after="120" w:line="360" w:lineRule="auto"/>
        <w:ind w:left="567" w:hanging="567"/>
        <w:contextualSpacing w:val="0"/>
        <w:rPr>
          <w:rFonts w:cs="Arial"/>
          <w:sz w:val="22"/>
          <w:szCs w:val="24"/>
        </w:rPr>
      </w:pPr>
      <w:r w:rsidRPr="00956ECB">
        <w:rPr>
          <w:rFonts w:cs="Arial"/>
          <w:sz w:val="22"/>
          <w:szCs w:val="24"/>
        </w:rPr>
        <w:t xml:space="preserve">refer the assessment back to SARS for further examination and assessment; or </w:t>
      </w:r>
    </w:p>
    <w:p w14:paraId="079A883F" w14:textId="56600FAB" w:rsidR="0096610E" w:rsidRPr="0096610E" w:rsidRDefault="0096610E" w:rsidP="0096610E">
      <w:pPr>
        <w:pStyle w:val="ListParagraph"/>
        <w:numPr>
          <w:ilvl w:val="0"/>
          <w:numId w:val="2"/>
        </w:numPr>
        <w:spacing w:before="120" w:after="120" w:line="360" w:lineRule="auto"/>
        <w:ind w:left="567" w:hanging="567"/>
        <w:contextualSpacing w:val="0"/>
        <w:rPr>
          <w:rFonts w:cs="Arial"/>
          <w:sz w:val="22"/>
          <w:szCs w:val="24"/>
        </w:rPr>
      </w:pPr>
      <w:r w:rsidRPr="00956ECB">
        <w:rPr>
          <w:rFonts w:cs="Arial"/>
          <w:sz w:val="22"/>
          <w:szCs w:val="24"/>
        </w:rPr>
        <w:t>make an appropriate order in a procedural matter.’</w:t>
      </w:r>
    </w:p>
    <w:p w14:paraId="2ED81817" w14:textId="2C695ADE" w:rsidR="0096610E" w:rsidRPr="0096610E" w:rsidRDefault="0096610E" w:rsidP="0096610E">
      <w:pPr>
        <w:pStyle w:val="ListParagraph"/>
        <w:numPr>
          <w:ilvl w:val="0"/>
          <w:numId w:val="39"/>
        </w:numPr>
        <w:spacing w:before="240" w:after="240" w:line="360" w:lineRule="auto"/>
        <w:contextualSpacing w:val="0"/>
        <w:jc w:val="both"/>
        <w:rPr>
          <w:rFonts w:cs="Arial"/>
          <w:szCs w:val="24"/>
        </w:rPr>
      </w:pPr>
      <w:r w:rsidRPr="00EF3081">
        <w:rPr>
          <w:rFonts w:cs="Arial"/>
          <w:szCs w:val="24"/>
        </w:rPr>
        <w:t xml:space="preserve">Section 129(1) </w:t>
      </w:r>
      <w:r>
        <w:rPr>
          <w:rFonts w:cs="Arial"/>
          <w:szCs w:val="24"/>
        </w:rPr>
        <w:t xml:space="preserve">of the TAA </w:t>
      </w:r>
      <w:r w:rsidRPr="00EF3081">
        <w:rPr>
          <w:rFonts w:cs="Arial"/>
          <w:szCs w:val="24"/>
        </w:rPr>
        <w:t>is concerned with the decision by the Tax Court that finally resolves the point in issue, namely, the correctness of the assessment or the ‘decision’.</w:t>
      </w:r>
    </w:p>
    <w:p w14:paraId="18FEEBFA" w14:textId="6EC24B85" w:rsidR="007F09C2" w:rsidRDefault="007F09C2" w:rsidP="0096610E">
      <w:pPr>
        <w:pStyle w:val="ListParagraph"/>
        <w:numPr>
          <w:ilvl w:val="0"/>
          <w:numId w:val="39"/>
        </w:numPr>
        <w:spacing w:before="240" w:after="240" w:line="360" w:lineRule="auto"/>
        <w:contextualSpacing w:val="0"/>
        <w:jc w:val="both"/>
        <w:rPr>
          <w:rFonts w:cs="Arial"/>
          <w:szCs w:val="24"/>
        </w:rPr>
      </w:pPr>
      <w:r w:rsidRPr="00EF3081">
        <w:rPr>
          <w:rFonts w:cs="Arial"/>
          <w:szCs w:val="24"/>
        </w:rPr>
        <w:t xml:space="preserve">The TAA statutorily regulates what types of judgments and orders may be appealed against. </w:t>
      </w:r>
      <w:r w:rsidR="009D6EB5" w:rsidRPr="00956ECB">
        <w:rPr>
          <w:rFonts w:cs="Arial"/>
          <w:szCs w:val="24"/>
        </w:rPr>
        <w:t>Section 133</w:t>
      </w:r>
      <w:r w:rsidR="000446B7">
        <w:rPr>
          <w:rFonts w:cs="Arial"/>
          <w:szCs w:val="24"/>
        </w:rPr>
        <w:t xml:space="preserve"> </w:t>
      </w:r>
      <w:r w:rsidR="009D6EB5" w:rsidRPr="00956ECB">
        <w:rPr>
          <w:rFonts w:cs="Arial"/>
          <w:szCs w:val="24"/>
        </w:rPr>
        <w:t>of the TAA regulates the right to appeal a ‘decision’ of the Tax Court and</w:t>
      </w:r>
      <w:r w:rsidR="000446B7">
        <w:rPr>
          <w:rFonts w:cs="Arial"/>
          <w:szCs w:val="24"/>
        </w:rPr>
        <w:t xml:space="preserve"> s</w:t>
      </w:r>
      <w:r w:rsidR="00727445">
        <w:rPr>
          <w:rFonts w:cs="Arial"/>
          <w:szCs w:val="24"/>
        </w:rPr>
        <w:t>ubsection</w:t>
      </w:r>
      <w:r w:rsidR="000446B7">
        <w:rPr>
          <w:rFonts w:cs="Arial"/>
          <w:szCs w:val="24"/>
        </w:rPr>
        <w:t xml:space="preserve"> 133(1)</w:t>
      </w:r>
      <w:r w:rsidR="009D6EB5" w:rsidRPr="00956ECB">
        <w:rPr>
          <w:rFonts w:cs="Arial"/>
          <w:szCs w:val="24"/>
        </w:rPr>
        <w:t xml:space="preserve"> reads: ‘The taxpayer or SARS may in the manner provided for in this Act appeal against a decision of the </w:t>
      </w:r>
      <w:r w:rsidR="009D6EB5">
        <w:rPr>
          <w:rFonts w:cs="Arial"/>
          <w:szCs w:val="24"/>
        </w:rPr>
        <w:t>t</w:t>
      </w:r>
      <w:r w:rsidR="009D6EB5" w:rsidRPr="00956ECB">
        <w:rPr>
          <w:rFonts w:cs="Arial"/>
          <w:szCs w:val="24"/>
        </w:rPr>
        <w:t xml:space="preserve">ax </w:t>
      </w:r>
      <w:r w:rsidR="009D6EB5">
        <w:rPr>
          <w:rFonts w:cs="Arial"/>
          <w:szCs w:val="24"/>
        </w:rPr>
        <w:t>c</w:t>
      </w:r>
      <w:r w:rsidR="009D6EB5" w:rsidRPr="00956ECB">
        <w:rPr>
          <w:rFonts w:cs="Arial"/>
          <w:szCs w:val="24"/>
        </w:rPr>
        <w:t>ourt under sections 129 and 130.’</w:t>
      </w:r>
      <w:r w:rsidR="009D6EB5">
        <w:rPr>
          <w:rFonts w:cs="Arial"/>
          <w:szCs w:val="24"/>
        </w:rPr>
        <w:t xml:space="preserve"> </w:t>
      </w:r>
    </w:p>
    <w:p w14:paraId="0EFAF584" w14:textId="788C4016" w:rsidR="00EF3081" w:rsidRPr="000446B7" w:rsidRDefault="00F9333E" w:rsidP="009D6EB5">
      <w:pPr>
        <w:pStyle w:val="ListParagraph"/>
        <w:numPr>
          <w:ilvl w:val="0"/>
          <w:numId w:val="39"/>
        </w:numPr>
        <w:spacing w:before="240" w:after="240" w:line="360" w:lineRule="auto"/>
        <w:contextualSpacing w:val="0"/>
        <w:jc w:val="both"/>
        <w:rPr>
          <w:rFonts w:cs="Arial"/>
          <w:szCs w:val="24"/>
        </w:rPr>
      </w:pPr>
      <w:bookmarkStart w:id="2" w:name="_Ref81485058"/>
      <w:r w:rsidRPr="00EF3081">
        <w:rPr>
          <w:rFonts w:cs="Arial"/>
          <w:szCs w:val="24"/>
        </w:rPr>
        <w:t xml:space="preserve">The appellant’s right to appeal is founded on s 133 read with s 129(2). </w:t>
      </w:r>
      <w:r w:rsidR="000026DC">
        <w:rPr>
          <w:rFonts w:cs="Arial"/>
          <w:szCs w:val="24"/>
        </w:rPr>
        <w:t>T</w:t>
      </w:r>
      <w:r w:rsidR="006673CF" w:rsidRPr="009D6EB5">
        <w:rPr>
          <w:rFonts w:cs="Arial"/>
          <w:szCs w:val="24"/>
        </w:rPr>
        <w:t>h</w:t>
      </w:r>
      <w:r w:rsidR="00823D9B">
        <w:rPr>
          <w:rFonts w:cs="Arial"/>
          <w:szCs w:val="24"/>
        </w:rPr>
        <w:t>is</w:t>
      </w:r>
      <w:r w:rsidR="006673CF" w:rsidRPr="009D6EB5">
        <w:rPr>
          <w:rFonts w:cs="Arial"/>
          <w:szCs w:val="24"/>
        </w:rPr>
        <w:t xml:space="preserve"> appeal has been brought under </w:t>
      </w:r>
      <w:r w:rsidR="0098363B" w:rsidRPr="009D6EB5">
        <w:rPr>
          <w:rFonts w:cs="Arial"/>
          <w:szCs w:val="24"/>
        </w:rPr>
        <w:t>s </w:t>
      </w:r>
      <w:r w:rsidR="006673CF" w:rsidRPr="009D6EB5">
        <w:rPr>
          <w:rFonts w:cs="Arial"/>
          <w:szCs w:val="24"/>
        </w:rPr>
        <w:t xml:space="preserve">133(2)(a) of the TAA, which in relation to matters properly appealable, grants an automatic appeal to the full bench of the </w:t>
      </w:r>
      <w:r w:rsidR="004F20BA" w:rsidRPr="009D6EB5">
        <w:rPr>
          <w:rFonts w:cs="Arial"/>
          <w:szCs w:val="24"/>
        </w:rPr>
        <w:t>P</w:t>
      </w:r>
      <w:r w:rsidR="006673CF" w:rsidRPr="009D6EB5">
        <w:rPr>
          <w:rFonts w:cs="Arial"/>
          <w:szCs w:val="24"/>
        </w:rPr>
        <w:t xml:space="preserve">rovincial </w:t>
      </w:r>
      <w:r w:rsidR="004F20BA" w:rsidRPr="000446B7">
        <w:rPr>
          <w:rFonts w:cs="Arial"/>
          <w:szCs w:val="24"/>
        </w:rPr>
        <w:t>D</w:t>
      </w:r>
      <w:r w:rsidR="006673CF" w:rsidRPr="000446B7">
        <w:rPr>
          <w:rFonts w:cs="Arial"/>
          <w:szCs w:val="24"/>
        </w:rPr>
        <w:t>ivision of the High Court.</w:t>
      </w:r>
      <w:bookmarkStart w:id="3" w:name="_Ref80708048"/>
      <w:r w:rsidRPr="00F9333E">
        <w:rPr>
          <w:rFonts w:cs="Arial"/>
          <w:szCs w:val="24"/>
        </w:rPr>
        <w:t xml:space="preserve"> </w:t>
      </w:r>
      <w:r>
        <w:rPr>
          <w:rFonts w:cs="Arial"/>
          <w:szCs w:val="24"/>
        </w:rPr>
        <w:t>Further, t</w:t>
      </w:r>
      <w:r w:rsidRPr="00EF3081">
        <w:rPr>
          <w:rFonts w:cs="Arial"/>
          <w:szCs w:val="24"/>
        </w:rPr>
        <w:t>he appellant contended that its right to appeal in the present case falls within s 129(2)(d), namely, a decision in a procedural matter.</w:t>
      </w:r>
      <w:bookmarkEnd w:id="2"/>
    </w:p>
    <w:bookmarkEnd w:id="3"/>
    <w:p w14:paraId="7B55E16A" w14:textId="77777777" w:rsidR="00446C42" w:rsidRPr="00956ECB" w:rsidRDefault="00446C42" w:rsidP="00446C42">
      <w:pPr>
        <w:spacing w:before="360" w:after="360" w:line="360" w:lineRule="auto"/>
        <w:jc w:val="both"/>
        <w:rPr>
          <w:rFonts w:cs="Arial"/>
          <w:b/>
          <w:szCs w:val="24"/>
        </w:rPr>
      </w:pPr>
      <w:r w:rsidRPr="00956ECB">
        <w:rPr>
          <w:rFonts w:cs="Arial"/>
          <w:b/>
          <w:szCs w:val="24"/>
        </w:rPr>
        <w:t>The issues</w:t>
      </w:r>
    </w:p>
    <w:p w14:paraId="6787E9E1" w14:textId="77777777" w:rsidR="00EF3081" w:rsidRPr="00EF3081" w:rsidRDefault="00EE6CB2" w:rsidP="00EF3081">
      <w:pPr>
        <w:pStyle w:val="ListParagraph"/>
        <w:numPr>
          <w:ilvl w:val="0"/>
          <w:numId w:val="39"/>
        </w:numPr>
        <w:spacing w:before="240" w:after="240" w:line="360" w:lineRule="auto"/>
        <w:contextualSpacing w:val="0"/>
        <w:jc w:val="both"/>
        <w:rPr>
          <w:rFonts w:cs="Arial"/>
          <w:szCs w:val="24"/>
        </w:rPr>
      </w:pPr>
      <w:r w:rsidRPr="00956ECB">
        <w:rPr>
          <w:rFonts w:cs="Arial"/>
          <w:szCs w:val="24"/>
        </w:rPr>
        <w:t>The</w:t>
      </w:r>
      <w:r w:rsidRPr="00956ECB">
        <w:rPr>
          <w:szCs w:val="24"/>
        </w:rPr>
        <w:t xml:space="preserve"> appellant </w:t>
      </w:r>
      <w:r w:rsidR="004B2DE8" w:rsidRPr="00956ECB">
        <w:rPr>
          <w:szCs w:val="24"/>
        </w:rPr>
        <w:t>submitted</w:t>
      </w:r>
      <w:r w:rsidRPr="00956ECB">
        <w:rPr>
          <w:szCs w:val="24"/>
        </w:rPr>
        <w:t xml:space="preserve"> that the order of the Tax Cour</w:t>
      </w:r>
      <w:r w:rsidR="00F44577" w:rsidRPr="00956ECB">
        <w:rPr>
          <w:szCs w:val="24"/>
        </w:rPr>
        <w:t>t is</w:t>
      </w:r>
      <w:r w:rsidRPr="00956ECB">
        <w:rPr>
          <w:szCs w:val="24"/>
        </w:rPr>
        <w:t xml:space="preserve"> appealable on the basis that:</w:t>
      </w:r>
    </w:p>
    <w:p w14:paraId="22721C57" w14:textId="77777777" w:rsidR="00EF3081" w:rsidRPr="00EF3081" w:rsidRDefault="00540BBE" w:rsidP="00EF3081">
      <w:pPr>
        <w:pStyle w:val="ListParagraph"/>
        <w:numPr>
          <w:ilvl w:val="1"/>
          <w:numId w:val="39"/>
        </w:numPr>
        <w:spacing w:before="240" w:after="240" w:line="360" w:lineRule="auto"/>
        <w:ind w:hanging="720"/>
        <w:contextualSpacing w:val="0"/>
        <w:jc w:val="both"/>
        <w:rPr>
          <w:rFonts w:cs="Arial"/>
          <w:szCs w:val="24"/>
        </w:rPr>
      </w:pPr>
      <w:r w:rsidRPr="00EF3081">
        <w:rPr>
          <w:szCs w:val="24"/>
        </w:rPr>
        <w:t>t</w:t>
      </w:r>
      <w:r w:rsidR="00EE6CB2" w:rsidRPr="00EF3081">
        <w:rPr>
          <w:szCs w:val="24"/>
        </w:rPr>
        <w:t xml:space="preserve">he </w:t>
      </w:r>
      <w:r w:rsidR="00DB5CB9" w:rsidRPr="00EF3081">
        <w:rPr>
          <w:szCs w:val="24"/>
        </w:rPr>
        <w:t>order is</w:t>
      </w:r>
      <w:r w:rsidR="00EE6CB2" w:rsidRPr="00EF3081">
        <w:rPr>
          <w:szCs w:val="24"/>
        </w:rPr>
        <w:t xml:space="preserve"> final in effect; and</w:t>
      </w:r>
    </w:p>
    <w:p w14:paraId="5C4E6CCC" w14:textId="77777777" w:rsidR="00EF3081" w:rsidRDefault="00540BBE" w:rsidP="00EF3081">
      <w:pPr>
        <w:pStyle w:val="ListParagraph"/>
        <w:numPr>
          <w:ilvl w:val="1"/>
          <w:numId w:val="39"/>
        </w:numPr>
        <w:spacing w:before="240" w:after="240" w:line="360" w:lineRule="auto"/>
        <w:ind w:hanging="720"/>
        <w:contextualSpacing w:val="0"/>
        <w:jc w:val="both"/>
        <w:rPr>
          <w:rFonts w:cs="Arial"/>
          <w:szCs w:val="24"/>
        </w:rPr>
      </w:pPr>
      <w:r w:rsidRPr="00EF3081">
        <w:rPr>
          <w:szCs w:val="24"/>
        </w:rPr>
        <w:lastRenderedPageBreak/>
        <w:t>i</w:t>
      </w:r>
      <w:r w:rsidR="00EE6CB2" w:rsidRPr="00EF3081">
        <w:rPr>
          <w:szCs w:val="24"/>
        </w:rPr>
        <w:t xml:space="preserve">t constitutes a decision in an application in a procedural matter as contemplated in s 117(3) read with s 129(2)(d) and s 133(1) of the </w:t>
      </w:r>
      <w:r w:rsidR="00EE6CB2" w:rsidRPr="00EF3081">
        <w:rPr>
          <w:rFonts w:cs="Arial"/>
          <w:szCs w:val="24"/>
        </w:rPr>
        <w:t>TAA</w:t>
      </w:r>
      <w:r w:rsidR="00EE6CB2" w:rsidRPr="00EF3081">
        <w:rPr>
          <w:szCs w:val="24"/>
        </w:rPr>
        <w:t>.</w:t>
      </w:r>
    </w:p>
    <w:p w14:paraId="27D3D03E" w14:textId="77777777" w:rsidR="00EF3081" w:rsidRDefault="00EE6CB2" w:rsidP="00EF3081">
      <w:pPr>
        <w:pStyle w:val="ListParagraph"/>
        <w:numPr>
          <w:ilvl w:val="0"/>
          <w:numId w:val="39"/>
        </w:numPr>
        <w:spacing w:before="240" w:after="240" w:line="360" w:lineRule="auto"/>
        <w:contextualSpacing w:val="0"/>
        <w:jc w:val="both"/>
        <w:rPr>
          <w:rFonts w:cs="Arial"/>
          <w:szCs w:val="24"/>
        </w:rPr>
      </w:pPr>
      <w:r w:rsidRPr="00EF3081">
        <w:rPr>
          <w:szCs w:val="24"/>
        </w:rPr>
        <w:t xml:space="preserve">This is disputed by the respondent, </w:t>
      </w:r>
      <w:r w:rsidRPr="00EF3081">
        <w:rPr>
          <w:rFonts w:cs="Arial"/>
          <w:szCs w:val="24"/>
        </w:rPr>
        <w:t xml:space="preserve">who </w:t>
      </w:r>
      <w:r w:rsidR="004B2DE8" w:rsidRPr="00EF3081">
        <w:rPr>
          <w:rFonts w:cs="Arial"/>
          <w:szCs w:val="24"/>
        </w:rPr>
        <w:t>contended</w:t>
      </w:r>
      <w:r w:rsidRPr="00EF3081">
        <w:rPr>
          <w:rFonts w:cs="Arial"/>
          <w:szCs w:val="24"/>
        </w:rPr>
        <w:t xml:space="preserve"> that the judgment and order of </w:t>
      </w:r>
      <w:r w:rsidR="00BF35A8" w:rsidRPr="00EF3081">
        <w:rPr>
          <w:rFonts w:cs="Arial"/>
          <w:szCs w:val="24"/>
        </w:rPr>
        <w:t>the Tax Court are</w:t>
      </w:r>
      <w:r w:rsidR="00F44577" w:rsidRPr="00EF3081">
        <w:rPr>
          <w:rFonts w:cs="Arial"/>
          <w:szCs w:val="24"/>
        </w:rPr>
        <w:t xml:space="preserve"> not appealable</w:t>
      </w:r>
      <w:r w:rsidR="004F20BA" w:rsidRPr="00EF3081">
        <w:rPr>
          <w:rFonts w:cs="Arial"/>
          <w:szCs w:val="24"/>
        </w:rPr>
        <w:t>,</w:t>
      </w:r>
      <w:r w:rsidR="00F44577" w:rsidRPr="00EF3081">
        <w:rPr>
          <w:rFonts w:cs="Arial"/>
          <w:szCs w:val="24"/>
        </w:rPr>
        <w:t xml:space="preserve"> as </w:t>
      </w:r>
      <w:r w:rsidR="00BF35A8" w:rsidRPr="00EF3081">
        <w:rPr>
          <w:rFonts w:cs="Arial"/>
          <w:szCs w:val="24"/>
        </w:rPr>
        <w:t>the order</w:t>
      </w:r>
      <w:r w:rsidR="00F44577" w:rsidRPr="00EF3081">
        <w:rPr>
          <w:rFonts w:cs="Arial"/>
          <w:szCs w:val="24"/>
        </w:rPr>
        <w:t xml:space="preserve"> is not final in effect or determinative of any issue in the main proceedings.</w:t>
      </w:r>
    </w:p>
    <w:p w14:paraId="3BCBF0AD" w14:textId="77777777" w:rsidR="00EF3081" w:rsidRDefault="00EE6CB2"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The issues in this appeal are</w:t>
      </w:r>
      <w:r w:rsidR="007A7A61" w:rsidRPr="00EF3081">
        <w:rPr>
          <w:rFonts w:cs="Arial"/>
          <w:szCs w:val="24"/>
        </w:rPr>
        <w:t xml:space="preserve"> thus</w:t>
      </w:r>
      <w:r w:rsidR="00F30F68" w:rsidRPr="00EF3081">
        <w:rPr>
          <w:rFonts w:cs="Arial"/>
          <w:szCs w:val="24"/>
        </w:rPr>
        <w:t xml:space="preserve"> </w:t>
      </w:r>
      <w:r w:rsidRPr="00EF3081">
        <w:rPr>
          <w:rFonts w:cs="Arial"/>
          <w:szCs w:val="24"/>
        </w:rPr>
        <w:t>whether:</w:t>
      </w:r>
    </w:p>
    <w:p w14:paraId="7FA9C82F" w14:textId="77777777" w:rsidR="00EF3081" w:rsidRDefault="00EE6CB2"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i/>
          <w:szCs w:val="24"/>
        </w:rPr>
        <w:t xml:space="preserve">in </w:t>
      </w:r>
      <w:proofErr w:type="spellStart"/>
      <w:r w:rsidRPr="00EF3081">
        <w:rPr>
          <w:rFonts w:cs="Arial"/>
          <w:i/>
          <w:szCs w:val="24"/>
        </w:rPr>
        <w:t>limine</w:t>
      </w:r>
      <w:proofErr w:type="spellEnd"/>
      <w:r w:rsidRPr="00EF3081">
        <w:rPr>
          <w:rFonts w:cs="Arial"/>
          <w:szCs w:val="24"/>
        </w:rPr>
        <w:t>, the order of the Tax Court is appealable;</w:t>
      </w:r>
    </w:p>
    <w:p w14:paraId="57346782" w14:textId="77777777" w:rsidR="00EF3081" w:rsidRDefault="00EE6CB2"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the appellant is precluded from amending its Rule 32 statement of grounds of appeal by i</w:t>
      </w:r>
      <w:r w:rsidR="00505E6A" w:rsidRPr="00EF3081">
        <w:rPr>
          <w:rFonts w:cs="Arial"/>
          <w:szCs w:val="24"/>
        </w:rPr>
        <w:t xml:space="preserve">ncluding its reliance on s 11(a) </w:t>
      </w:r>
      <w:r w:rsidRPr="00EF3081">
        <w:rPr>
          <w:rFonts w:cs="Arial"/>
          <w:szCs w:val="24"/>
        </w:rPr>
        <w:t>of the ITA as a ground of appeal in the pending Tax Court proceedings;</w:t>
      </w:r>
    </w:p>
    <w:p w14:paraId="06DB6CBB" w14:textId="019FD8EE" w:rsidR="00EF3081" w:rsidRDefault="00EE6CB2"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the introdu</w:t>
      </w:r>
      <w:r w:rsidR="00505E6A" w:rsidRPr="00EF3081">
        <w:rPr>
          <w:rFonts w:cs="Arial"/>
          <w:szCs w:val="24"/>
        </w:rPr>
        <w:t xml:space="preserve">ction of </w:t>
      </w:r>
      <w:r w:rsidR="00446C42" w:rsidRPr="00EF3081">
        <w:rPr>
          <w:rFonts w:cs="Arial"/>
          <w:szCs w:val="24"/>
        </w:rPr>
        <w:t>A</w:t>
      </w:r>
      <w:r w:rsidR="00BF35A8" w:rsidRPr="00EF3081">
        <w:rPr>
          <w:rFonts w:cs="Arial"/>
          <w:szCs w:val="24"/>
        </w:rPr>
        <w:t>nnexure BMM</w:t>
      </w:r>
      <w:r w:rsidRPr="00EF3081">
        <w:rPr>
          <w:rFonts w:cs="Arial"/>
          <w:szCs w:val="24"/>
        </w:rPr>
        <w:t xml:space="preserve"> to the appellant</w:t>
      </w:r>
      <w:r w:rsidR="0031257B">
        <w:rPr>
          <w:rFonts w:cs="Arial"/>
          <w:szCs w:val="24"/>
        </w:rPr>
        <w:t>’</w:t>
      </w:r>
      <w:r w:rsidRPr="00EF3081">
        <w:rPr>
          <w:rFonts w:cs="Arial"/>
          <w:szCs w:val="24"/>
        </w:rPr>
        <w:t>s Rule 32 statement is permissible;</w:t>
      </w:r>
    </w:p>
    <w:p w14:paraId="1253DF4D" w14:textId="42064D97" w:rsidR="0073100B" w:rsidRPr="00EF3081" w:rsidRDefault="00EE6CB2" w:rsidP="00EF3081">
      <w:pPr>
        <w:pStyle w:val="ListParagraph"/>
        <w:numPr>
          <w:ilvl w:val="1"/>
          <w:numId w:val="39"/>
        </w:numPr>
        <w:spacing w:before="240" w:after="240" w:line="360" w:lineRule="auto"/>
        <w:ind w:hanging="720"/>
        <w:contextualSpacing w:val="0"/>
        <w:jc w:val="both"/>
        <w:rPr>
          <w:rFonts w:cs="Arial"/>
          <w:szCs w:val="24"/>
        </w:rPr>
      </w:pPr>
      <w:r w:rsidRPr="00EF3081">
        <w:rPr>
          <w:rFonts w:cs="Arial"/>
          <w:szCs w:val="24"/>
        </w:rPr>
        <w:t>the insertion of a table of expenditure reflecting the appellant</w:t>
      </w:r>
      <w:r w:rsidR="00446C42" w:rsidRPr="00EF3081">
        <w:rPr>
          <w:rFonts w:cs="Arial"/>
          <w:szCs w:val="24"/>
        </w:rPr>
        <w:t>’</w:t>
      </w:r>
      <w:r w:rsidRPr="00EF3081">
        <w:rPr>
          <w:rFonts w:cs="Arial"/>
          <w:szCs w:val="24"/>
        </w:rPr>
        <w:t>s legal contentions regarding the deductibility of those items of expenditure</w:t>
      </w:r>
      <w:r w:rsidR="00BF35A8" w:rsidRPr="00EF3081">
        <w:rPr>
          <w:rFonts w:cs="Arial"/>
          <w:szCs w:val="24"/>
        </w:rPr>
        <w:t>,</w:t>
      </w:r>
      <w:r w:rsidRPr="00EF3081">
        <w:rPr>
          <w:rFonts w:cs="Arial"/>
          <w:szCs w:val="24"/>
        </w:rPr>
        <w:t xml:space="preserve"> is permissible.</w:t>
      </w:r>
    </w:p>
    <w:p w14:paraId="36AA4DC9" w14:textId="77777777" w:rsidR="00D5227E" w:rsidRPr="00956ECB" w:rsidRDefault="0073100B" w:rsidP="00D5227E">
      <w:pPr>
        <w:spacing w:before="360" w:after="360" w:line="360" w:lineRule="auto"/>
        <w:jc w:val="both"/>
        <w:rPr>
          <w:b/>
          <w:szCs w:val="24"/>
        </w:rPr>
      </w:pPr>
      <w:r w:rsidRPr="00956ECB">
        <w:rPr>
          <w:b/>
          <w:szCs w:val="24"/>
        </w:rPr>
        <w:t>Appealability</w:t>
      </w:r>
    </w:p>
    <w:p w14:paraId="7E1717D7" w14:textId="77777777" w:rsidR="00EF3081" w:rsidRPr="00EF3081" w:rsidRDefault="005D2B62" w:rsidP="00EF3081">
      <w:pPr>
        <w:pStyle w:val="ListParagraph"/>
        <w:numPr>
          <w:ilvl w:val="0"/>
          <w:numId w:val="39"/>
        </w:numPr>
        <w:spacing w:before="240" w:after="240" w:line="360" w:lineRule="auto"/>
        <w:contextualSpacing w:val="0"/>
        <w:jc w:val="both"/>
        <w:rPr>
          <w:rFonts w:cs="Arial"/>
          <w:szCs w:val="24"/>
        </w:rPr>
      </w:pPr>
      <w:r w:rsidRPr="00956ECB">
        <w:rPr>
          <w:szCs w:val="24"/>
        </w:rPr>
        <w:t>Three issues arise in this regard:</w:t>
      </w:r>
    </w:p>
    <w:p w14:paraId="3A4B4D45" w14:textId="4264FA89" w:rsidR="00EF3081" w:rsidRPr="00EF3081" w:rsidRDefault="005D2B62" w:rsidP="00EF3081">
      <w:pPr>
        <w:pStyle w:val="ListParagraph"/>
        <w:numPr>
          <w:ilvl w:val="1"/>
          <w:numId w:val="39"/>
        </w:numPr>
        <w:spacing w:before="240" w:after="240" w:line="360" w:lineRule="auto"/>
        <w:ind w:hanging="720"/>
        <w:contextualSpacing w:val="0"/>
        <w:jc w:val="both"/>
        <w:rPr>
          <w:rFonts w:cs="Arial"/>
          <w:szCs w:val="24"/>
        </w:rPr>
      </w:pPr>
      <w:r w:rsidRPr="00EF3081">
        <w:rPr>
          <w:szCs w:val="24"/>
        </w:rPr>
        <w:t xml:space="preserve">Is the order </w:t>
      </w:r>
      <w:r w:rsidR="005B3373" w:rsidRPr="00EF3081">
        <w:rPr>
          <w:szCs w:val="24"/>
        </w:rPr>
        <w:t>appealable</w:t>
      </w:r>
      <w:r w:rsidR="000A1398" w:rsidRPr="00EF3081">
        <w:rPr>
          <w:szCs w:val="24"/>
        </w:rPr>
        <w:t xml:space="preserve"> under the common law </w:t>
      </w:r>
      <w:r w:rsidR="0031257B">
        <w:rPr>
          <w:szCs w:val="24"/>
        </w:rPr>
        <w:t>–</w:t>
      </w:r>
      <w:r w:rsidR="00EB76B9" w:rsidRPr="00EF3081">
        <w:rPr>
          <w:szCs w:val="24"/>
        </w:rPr>
        <w:t xml:space="preserve"> is</w:t>
      </w:r>
      <w:r w:rsidR="000A1398" w:rsidRPr="00EF3081">
        <w:rPr>
          <w:szCs w:val="24"/>
        </w:rPr>
        <w:t xml:space="preserve"> </w:t>
      </w:r>
      <w:r w:rsidR="004E026C" w:rsidRPr="00EF3081">
        <w:rPr>
          <w:szCs w:val="24"/>
        </w:rPr>
        <w:t xml:space="preserve">it </w:t>
      </w:r>
      <w:r w:rsidRPr="00EF3081">
        <w:rPr>
          <w:szCs w:val="24"/>
        </w:rPr>
        <w:t>final in effect and definitive of an issue in the appeal</w:t>
      </w:r>
      <w:r w:rsidR="00EB76B9" w:rsidRPr="00EF3081">
        <w:rPr>
          <w:szCs w:val="24"/>
        </w:rPr>
        <w:t>?</w:t>
      </w:r>
    </w:p>
    <w:p w14:paraId="4BA2E101" w14:textId="77777777" w:rsidR="00EF3081" w:rsidRPr="00EF3081" w:rsidRDefault="005D2B62" w:rsidP="00EF3081">
      <w:pPr>
        <w:pStyle w:val="ListParagraph"/>
        <w:numPr>
          <w:ilvl w:val="1"/>
          <w:numId w:val="39"/>
        </w:numPr>
        <w:spacing w:before="240" w:after="240" w:line="360" w:lineRule="auto"/>
        <w:ind w:hanging="720"/>
        <w:contextualSpacing w:val="0"/>
        <w:jc w:val="both"/>
        <w:rPr>
          <w:rFonts w:cs="Arial"/>
          <w:szCs w:val="24"/>
        </w:rPr>
      </w:pPr>
      <w:r w:rsidRPr="00EF3081">
        <w:rPr>
          <w:szCs w:val="24"/>
        </w:rPr>
        <w:t>Is the order appealable under the TAA</w:t>
      </w:r>
      <w:r w:rsidR="00EB76B9" w:rsidRPr="00EF3081">
        <w:rPr>
          <w:szCs w:val="24"/>
        </w:rPr>
        <w:t>?</w:t>
      </w:r>
    </w:p>
    <w:p w14:paraId="6CF6F16A" w14:textId="2A103A8C" w:rsidR="005D2B62" w:rsidRPr="00EF3081" w:rsidRDefault="005D2B62" w:rsidP="00EF3081">
      <w:pPr>
        <w:pStyle w:val="ListParagraph"/>
        <w:numPr>
          <w:ilvl w:val="1"/>
          <w:numId w:val="39"/>
        </w:numPr>
        <w:spacing w:before="240" w:after="240" w:line="360" w:lineRule="auto"/>
        <w:ind w:hanging="720"/>
        <w:contextualSpacing w:val="0"/>
        <w:jc w:val="both"/>
        <w:rPr>
          <w:rFonts w:cs="Arial"/>
          <w:szCs w:val="24"/>
        </w:rPr>
      </w:pPr>
      <w:r w:rsidRPr="00EF3081">
        <w:rPr>
          <w:szCs w:val="24"/>
        </w:rPr>
        <w:t>Is it in the interests of justice that the order be declared appealable</w:t>
      </w:r>
      <w:r w:rsidR="0098363B" w:rsidRPr="00EF3081">
        <w:rPr>
          <w:szCs w:val="24"/>
        </w:rPr>
        <w:t>?</w:t>
      </w:r>
    </w:p>
    <w:p w14:paraId="5898588E" w14:textId="77777777" w:rsidR="005D2B62" w:rsidRPr="00956ECB" w:rsidRDefault="005D2B62" w:rsidP="009A1802">
      <w:pPr>
        <w:spacing w:before="360" w:after="360" w:line="360" w:lineRule="auto"/>
        <w:jc w:val="both"/>
        <w:rPr>
          <w:rFonts w:cs="Arial"/>
          <w:b/>
          <w:i/>
          <w:szCs w:val="24"/>
        </w:rPr>
      </w:pPr>
      <w:r w:rsidRPr="00956ECB">
        <w:rPr>
          <w:rFonts w:cs="Arial"/>
          <w:b/>
          <w:i/>
          <w:szCs w:val="24"/>
        </w:rPr>
        <w:t>Final in effect</w:t>
      </w:r>
      <w:r w:rsidR="00EB76B9">
        <w:rPr>
          <w:rFonts w:cs="Arial"/>
          <w:b/>
          <w:i/>
          <w:szCs w:val="24"/>
        </w:rPr>
        <w:t xml:space="preserve"> and definitive of the rights of the parties</w:t>
      </w:r>
    </w:p>
    <w:p w14:paraId="7AA6ADAB" w14:textId="2E5E7F82" w:rsidR="003544B6" w:rsidRDefault="00BF35A8" w:rsidP="00EF3081">
      <w:pPr>
        <w:pStyle w:val="ListParagraph"/>
        <w:numPr>
          <w:ilvl w:val="0"/>
          <w:numId w:val="39"/>
        </w:numPr>
        <w:spacing w:before="240" w:after="240" w:line="360" w:lineRule="auto"/>
        <w:contextualSpacing w:val="0"/>
        <w:jc w:val="both"/>
        <w:rPr>
          <w:rFonts w:cs="Arial"/>
          <w:szCs w:val="24"/>
        </w:rPr>
      </w:pPr>
      <w:r w:rsidRPr="005B3373">
        <w:rPr>
          <w:szCs w:val="24"/>
        </w:rPr>
        <w:t>The appellant argued that, whilst</w:t>
      </w:r>
      <w:r w:rsidR="0073100B" w:rsidRPr="005B3373">
        <w:rPr>
          <w:szCs w:val="24"/>
        </w:rPr>
        <w:t xml:space="preserve"> the order</w:t>
      </w:r>
      <w:r w:rsidR="003544B6">
        <w:rPr>
          <w:szCs w:val="24"/>
        </w:rPr>
        <w:t xml:space="preserve"> of the Tax Court dismissing the application to amend</w:t>
      </w:r>
      <w:r w:rsidR="0073100B" w:rsidRPr="005B3373">
        <w:rPr>
          <w:szCs w:val="24"/>
        </w:rPr>
        <w:t xml:space="preserve"> may be seen as an interlocutory order in the ‘wide sense’, it is in essence a final order which is appealable. </w:t>
      </w:r>
      <w:r w:rsidR="007C2909" w:rsidRPr="005B3373">
        <w:rPr>
          <w:szCs w:val="24"/>
        </w:rPr>
        <w:t>T</w:t>
      </w:r>
      <w:r w:rsidR="0073100B" w:rsidRPr="005B3373">
        <w:rPr>
          <w:rFonts w:cs="Arial"/>
          <w:szCs w:val="24"/>
        </w:rPr>
        <w:t>he judg</w:t>
      </w:r>
      <w:r w:rsidR="007C2909" w:rsidRPr="005B3373">
        <w:rPr>
          <w:rFonts w:cs="Arial"/>
          <w:szCs w:val="24"/>
        </w:rPr>
        <w:t xml:space="preserve">ment and order of the Tax Court, </w:t>
      </w:r>
      <w:r w:rsidR="007C2909" w:rsidRPr="005B3373">
        <w:rPr>
          <w:rFonts w:cs="Arial"/>
          <w:szCs w:val="24"/>
        </w:rPr>
        <w:lastRenderedPageBreak/>
        <w:t>the appellant submitted, have t</w:t>
      </w:r>
      <w:r w:rsidR="0073100B" w:rsidRPr="005B3373">
        <w:rPr>
          <w:rFonts w:cs="Arial"/>
          <w:szCs w:val="24"/>
        </w:rPr>
        <w:t xml:space="preserve">he effect of disposing of a substantial portion of the </w:t>
      </w:r>
      <w:r w:rsidR="00F9333E">
        <w:rPr>
          <w:rFonts w:cs="Arial"/>
          <w:szCs w:val="24"/>
        </w:rPr>
        <w:t xml:space="preserve">main </w:t>
      </w:r>
      <w:r w:rsidR="0073100B" w:rsidRPr="005B3373">
        <w:rPr>
          <w:rFonts w:cs="Arial"/>
          <w:szCs w:val="24"/>
        </w:rPr>
        <w:t>relief claimed in the Tax Court</w:t>
      </w:r>
      <w:r w:rsidR="00F9333E">
        <w:rPr>
          <w:rFonts w:cs="Arial"/>
          <w:szCs w:val="24"/>
        </w:rPr>
        <w:t xml:space="preserve"> appeal</w:t>
      </w:r>
      <w:r w:rsidR="0073100B" w:rsidRPr="005B3373">
        <w:rPr>
          <w:rFonts w:cs="Arial"/>
          <w:szCs w:val="24"/>
        </w:rPr>
        <w:t xml:space="preserve">. </w:t>
      </w:r>
    </w:p>
    <w:p w14:paraId="5D52DF69" w14:textId="3ADA81E9" w:rsidR="00EF3081" w:rsidRPr="000A1D54" w:rsidRDefault="0073100B" w:rsidP="00EF3081">
      <w:pPr>
        <w:pStyle w:val="ListParagraph"/>
        <w:numPr>
          <w:ilvl w:val="0"/>
          <w:numId w:val="39"/>
        </w:numPr>
        <w:spacing w:before="240" w:after="240" w:line="360" w:lineRule="auto"/>
        <w:contextualSpacing w:val="0"/>
        <w:jc w:val="both"/>
        <w:rPr>
          <w:rFonts w:cs="Arial"/>
          <w:szCs w:val="24"/>
        </w:rPr>
      </w:pPr>
      <w:r w:rsidRPr="005B3373">
        <w:rPr>
          <w:rFonts w:cs="Arial"/>
          <w:szCs w:val="24"/>
        </w:rPr>
        <w:t xml:space="preserve">In </w:t>
      </w:r>
      <w:r w:rsidR="005779D5" w:rsidRPr="005B3373">
        <w:rPr>
          <w:rFonts w:cs="Arial"/>
          <w:szCs w:val="24"/>
        </w:rPr>
        <w:t>this regard, the appellant sought</w:t>
      </w:r>
      <w:r w:rsidRPr="005B3373">
        <w:rPr>
          <w:rFonts w:cs="Arial"/>
          <w:szCs w:val="24"/>
        </w:rPr>
        <w:t xml:space="preserve"> to include the additional ground of appeal pertaining to s</w:t>
      </w:r>
      <w:r w:rsidR="00094EC8" w:rsidRPr="005B3373">
        <w:rPr>
          <w:rFonts w:cs="Arial"/>
          <w:szCs w:val="24"/>
        </w:rPr>
        <w:t> </w:t>
      </w:r>
      <w:r w:rsidRPr="005B3373">
        <w:rPr>
          <w:rFonts w:cs="Arial"/>
          <w:szCs w:val="24"/>
        </w:rPr>
        <w:t>11(a)</w:t>
      </w:r>
      <w:r w:rsidR="00EB76B9">
        <w:rPr>
          <w:rFonts w:cs="Arial"/>
          <w:szCs w:val="24"/>
        </w:rPr>
        <w:t xml:space="preserve"> </w:t>
      </w:r>
      <w:r w:rsidR="005B3373" w:rsidRPr="005B3373">
        <w:rPr>
          <w:rFonts w:cs="Arial"/>
          <w:szCs w:val="24"/>
        </w:rPr>
        <w:t xml:space="preserve">of the ITA </w:t>
      </w:r>
      <w:r w:rsidRPr="005B3373">
        <w:rPr>
          <w:rFonts w:cs="Arial"/>
          <w:szCs w:val="24"/>
        </w:rPr>
        <w:t>as a main ground of appeal for a lar</w:t>
      </w:r>
      <w:r w:rsidR="005779D5" w:rsidRPr="005B3373">
        <w:rPr>
          <w:rFonts w:cs="Arial"/>
          <w:szCs w:val="24"/>
        </w:rPr>
        <w:t>ge portion of its expenditure. According to the appellant, t</w:t>
      </w:r>
      <w:r w:rsidRPr="005B3373">
        <w:rPr>
          <w:rFonts w:cs="Arial"/>
          <w:szCs w:val="24"/>
        </w:rPr>
        <w:t>he judgment and order of the Tax Court is determinative of the appellant</w:t>
      </w:r>
      <w:r w:rsidR="003544B6">
        <w:rPr>
          <w:rFonts w:cs="Arial"/>
          <w:szCs w:val="24"/>
        </w:rPr>
        <w:t>’</w:t>
      </w:r>
      <w:r w:rsidRPr="005B3373">
        <w:rPr>
          <w:rFonts w:cs="Arial"/>
          <w:szCs w:val="24"/>
        </w:rPr>
        <w:t>s reliance on s</w:t>
      </w:r>
      <w:r w:rsidR="00446C42" w:rsidRPr="005B3373">
        <w:rPr>
          <w:rFonts w:cs="Arial"/>
          <w:szCs w:val="24"/>
        </w:rPr>
        <w:t> </w:t>
      </w:r>
      <w:r w:rsidRPr="005B3373">
        <w:rPr>
          <w:rFonts w:cs="Arial"/>
          <w:szCs w:val="24"/>
        </w:rPr>
        <w:t>11(a)</w:t>
      </w:r>
      <w:r w:rsidR="00EB76B9">
        <w:rPr>
          <w:rFonts w:cs="Arial"/>
          <w:szCs w:val="24"/>
        </w:rPr>
        <w:t xml:space="preserve"> </w:t>
      </w:r>
      <w:r w:rsidR="005B3373" w:rsidRPr="005B3373">
        <w:rPr>
          <w:rFonts w:cs="Arial"/>
          <w:szCs w:val="24"/>
        </w:rPr>
        <w:t xml:space="preserve">of the ITA </w:t>
      </w:r>
      <w:r w:rsidRPr="005B3373">
        <w:rPr>
          <w:rFonts w:cs="Arial"/>
          <w:szCs w:val="24"/>
        </w:rPr>
        <w:t xml:space="preserve">in the </w:t>
      </w:r>
      <w:r w:rsidR="00F9333E">
        <w:rPr>
          <w:rFonts w:cs="Arial"/>
          <w:szCs w:val="24"/>
        </w:rPr>
        <w:t>main proceedings</w:t>
      </w:r>
      <w:r w:rsidRPr="005B3373">
        <w:rPr>
          <w:rFonts w:cs="Arial"/>
          <w:szCs w:val="24"/>
        </w:rPr>
        <w:t>. By virtue of the judgment and order, including the Tax Court</w:t>
      </w:r>
      <w:r w:rsidR="00446C42" w:rsidRPr="005B3373">
        <w:rPr>
          <w:rFonts w:cs="Arial"/>
          <w:szCs w:val="24"/>
        </w:rPr>
        <w:t>’</w:t>
      </w:r>
      <w:r w:rsidRPr="005B3373">
        <w:rPr>
          <w:rFonts w:cs="Arial"/>
          <w:szCs w:val="24"/>
        </w:rPr>
        <w:t>s findings regarding the appellant</w:t>
      </w:r>
      <w:r w:rsidR="00446C42" w:rsidRPr="005B3373">
        <w:rPr>
          <w:rFonts w:cs="Arial"/>
          <w:szCs w:val="24"/>
        </w:rPr>
        <w:t>’</w:t>
      </w:r>
      <w:r w:rsidRPr="005B3373">
        <w:rPr>
          <w:rFonts w:cs="Arial"/>
          <w:szCs w:val="24"/>
        </w:rPr>
        <w:t xml:space="preserve">s </w:t>
      </w:r>
      <w:r w:rsidR="00446C42" w:rsidRPr="005B3373">
        <w:rPr>
          <w:rFonts w:cs="Arial"/>
          <w:szCs w:val="24"/>
        </w:rPr>
        <w:t>‘</w:t>
      </w:r>
      <w:r w:rsidRPr="005B3373">
        <w:rPr>
          <w:rFonts w:cs="Arial"/>
          <w:szCs w:val="24"/>
        </w:rPr>
        <w:t>abandonment and waiver</w:t>
      </w:r>
      <w:r w:rsidR="00446C42" w:rsidRPr="005B3373">
        <w:rPr>
          <w:rFonts w:cs="Arial"/>
          <w:szCs w:val="24"/>
        </w:rPr>
        <w:t>’</w:t>
      </w:r>
      <w:r w:rsidRPr="005B3373">
        <w:rPr>
          <w:rFonts w:cs="Arial"/>
          <w:szCs w:val="24"/>
        </w:rPr>
        <w:t xml:space="preserve"> of its reliance on s</w:t>
      </w:r>
      <w:r w:rsidR="00446C42" w:rsidRPr="005B3373">
        <w:rPr>
          <w:rFonts w:cs="Arial"/>
          <w:szCs w:val="24"/>
        </w:rPr>
        <w:t> </w:t>
      </w:r>
      <w:r w:rsidRPr="005B3373">
        <w:rPr>
          <w:rFonts w:cs="Arial"/>
          <w:szCs w:val="24"/>
        </w:rPr>
        <w:t>11(a)</w:t>
      </w:r>
      <w:r w:rsidR="00EB76B9">
        <w:rPr>
          <w:rFonts w:cs="Arial"/>
          <w:szCs w:val="24"/>
        </w:rPr>
        <w:t xml:space="preserve"> </w:t>
      </w:r>
      <w:r w:rsidR="005B3373" w:rsidRPr="005B3373">
        <w:rPr>
          <w:rFonts w:cs="Arial"/>
          <w:szCs w:val="24"/>
        </w:rPr>
        <w:t>of the ITA</w:t>
      </w:r>
      <w:r w:rsidRPr="005B3373">
        <w:rPr>
          <w:rFonts w:cs="Arial"/>
          <w:szCs w:val="24"/>
        </w:rPr>
        <w:t>, the issue is incapable of being revisited or corrected during the Tax Court appeal.</w:t>
      </w:r>
      <w:r w:rsidR="00446C42" w:rsidRPr="005B3373">
        <w:rPr>
          <w:rFonts w:cs="Arial"/>
          <w:szCs w:val="24"/>
        </w:rPr>
        <w:t xml:space="preserve"> </w:t>
      </w:r>
      <w:r w:rsidR="005B3373">
        <w:rPr>
          <w:rFonts w:cs="Arial"/>
          <w:szCs w:val="24"/>
        </w:rPr>
        <w:t>Th</w:t>
      </w:r>
      <w:r w:rsidRPr="005B3373">
        <w:rPr>
          <w:rFonts w:cs="Arial"/>
          <w:szCs w:val="24"/>
        </w:rPr>
        <w:t xml:space="preserve">e appellant </w:t>
      </w:r>
      <w:r w:rsidR="005B3373">
        <w:rPr>
          <w:rFonts w:cs="Arial"/>
          <w:szCs w:val="24"/>
        </w:rPr>
        <w:t>submitted</w:t>
      </w:r>
      <w:r w:rsidRPr="005B3373">
        <w:rPr>
          <w:rFonts w:cs="Arial"/>
          <w:szCs w:val="24"/>
        </w:rPr>
        <w:t xml:space="preserve"> that although a purely interlocutory order may at common law be corrected, altered or set aside by the judge who granted it at any time before the final judgment, an order which has a final and definitive effect (even </w:t>
      </w:r>
      <w:r w:rsidRPr="00627129">
        <w:rPr>
          <w:rFonts w:cs="Arial"/>
          <w:szCs w:val="24"/>
        </w:rPr>
        <w:t>though it may be interlocutory in the</w:t>
      </w:r>
      <w:r w:rsidRPr="00FF1EA4">
        <w:rPr>
          <w:szCs w:val="24"/>
        </w:rPr>
        <w:t xml:space="preserve"> </w:t>
      </w:r>
      <w:r w:rsidRPr="00FF1EA4">
        <w:rPr>
          <w:rFonts w:cs="Arial"/>
          <w:szCs w:val="24"/>
        </w:rPr>
        <w:t>wi</w:t>
      </w:r>
      <w:r w:rsidRPr="00DD0A13">
        <w:rPr>
          <w:rFonts w:cs="Arial"/>
          <w:szCs w:val="24"/>
        </w:rPr>
        <w:t xml:space="preserve">de sense), is </w:t>
      </w:r>
      <w:r w:rsidRPr="000A1D54">
        <w:rPr>
          <w:rFonts w:cs="Arial"/>
          <w:i/>
          <w:szCs w:val="24"/>
        </w:rPr>
        <w:t>res judicata</w:t>
      </w:r>
      <w:r w:rsidRPr="000A1D54">
        <w:rPr>
          <w:rFonts w:cs="Arial"/>
          <w:szCs w:val="24"/>
        </w:rPr>
        <w:t>.</w:t>
      </w:r>
    </w:p>
    <w:p w14:paraId="60CF598B" w14:textId="3FDA4978" w:rsidR="00EF3081" w:rsidRPr="00627129" w:rsidRDefault="008A50F4" w:rsidP="00A34422">
      <w:pPr>
        <w:pStyle w:val="ListParagraph"/>
        <w:numPr>
          <w:ilvl w:val="0"/>
          <w:numId w:val="39"/>
        </w:numPr>
        <w:spacing w:before="240" w:after="240" w:line="360" w:lineRule="auto"/>
        <w:contextualSpacing w:val="0"/>
        <w:jc w:val="both"/>
        <w:rPr>
          <w:rFonts w:cs="Arial"/>
          <w:szCs w:val="24"/>
        </w:rPr>
      </w:pPr>
      <w:r w:rsidRPr="00F9333E">
        <w:t>In contrast, t</w:t>
      </w:r>
      <w:r w:rsidR="00A57686" w:rsidRPr="00F9333E">
        <w:t>he respondent contended that the order is not appealable as it is purely interlocutory</w:t>
      </w:r>
      <w:r w:rsidR="00032D0E" w:rsidRPr="00627129">
        <w:t>, is not final in effect</w:t>
      </w:r>
      <w:r w:rsidR="00A57686" w:rsidRPr="00627129">
        <w:t xml:space="preserve"> and does not dispose of an issue in the main </w:t>
      </w:r>
      <w:r w:rsidR="00372DAA">
        <w:t>proceedings</w:t>
      </w:r>
      <w:r w:rsidR="00A57686" w:rsidRPr="00627129">
        <w:t xml:space="preserve">. According to the respondent, the parties dispute the nature of the expenses and the deductibility of CAPEX claimed. At the </w:t>
      </w:r>
      <w:r w:rsidR="00094EC8" w:rsidRPr="00627129">
        <w:t xml:space="preserve">end of the </w:t>
      </w:r>
      <w:r w:rsidR="00A57686" w:rsidRPr="00627129">
        <w:t xml:space="preserve">Tax Court </w:t>
      </w:r>
      <w:r w:rsidR="00EB76B9" w:rsidRPr="00627129">
        <w:t>hearing</w:t>
      </w:r>
      <w:r w:rsidR="00A57686" w:rsidRPr="00627129">
        <w:t xml:space="preserve"> if the Tax Court finds that all or part of the</w:t>
      </w:r>
      <w:r w:rsidR="00A57686" w:rsidRPr="00627129">
        <w:rPr>
          <w:spacing w:val="1"/>
        </w:rPr>
        <w:t xml:space="preserve"> </w:t>
      </w:r>
      <w:r w:rsidR="00A57686" w:rsidRPr="00627129">
        <w:t>expenditure claimed is not expenditure relating to prospecting or even</w:t>
      </w:r>
      <w:r w:rsidR="00A34422" w:rsidRPr="00627129">
        <w:t xml:space="preserve"> capital expenditure</w:t>
      </w:r>
      <w:r w:rsidR="00A57686" w:rsidRPr="00627129">
        <w:t xml:space="preserve">, the Tax Court, in terms of </w:t>
      </w:r>
      <w:r w:rsidR="00094EC8" w:rsidRPr="00627129">
        <w:t>s 129(2)(c) of the TAA</w:t>
      </w:r>
      <w:r w:rsidR="00A57686" w:rsidRPr="00627129">
        <w:t xml:space="preserve">, can </w:t>
      </w:r>
      <w:r w:rsidR="00094EC8" w:rsidRPr="00627129">
        <w:t>‘</w:t>
      </w:r>
      <w:r w:rsidR="00A57686" w:rsidRPr="00627129">
        <w:t>refer the assessment back to SARS for further examination</w:t>
      </w:r>
      <w:r w:rsidR="00A57686" w:rsidRPr="00627129">
        <w:rPr>
          <w:spacing w:val="1"/>
        </w:rPr>
        <w:t xml:space="preserve"> </w:t>
      </w:r>
      <w:r w:rsidR="00A57686" w:rsidRPr="00627129">
        <w:t>and</w:t>
      </w:r>
      <w:r w:rsidR="00A57686" w:rsidRPr="00627129">
        <w:rPr>
          <w:spacing w:val="1"/>
        </w:rPr>
        <w:t xml:space="preserve"> </w:t>
      </w:r>
      <w:r w:rsidR="00A57686" w:rsidRPr="00627129">
        <w:t>assessment</w:t>
      </w:r>
      <w:r w:rsidR="00094EC8" w:rsidRPr="00627129">
        <w:t>’</w:t>
      </w:r>
      <w:r w:rsidR="00A57686" w:rsidRPr="00627129">
        <w:t>,</w:t>
      </w:r>
      <w:r w:rsidR="00A57686" w:rsidRPr="00627129">
        <w:rPr>
          <w:spacing w:val="1"/>
        </w:rPr>
        <w:t xml:space="preserve"> </w:t>
      </w:r>
      <w:r w:rsidR="00A57686" w:rsidRPr="00627129">
        <w:t>which</w:t>
      </w:r>
      <w:r w:rsidR="00A57686" w:rsidRPr="00627129">
        <w:rPr>
          <w:spacing w:val="1"/>
        </w:rPr>
        <w:t xml:space="preserve"> </w:t>
      </w:r>
      <w:r w:rsidR="00A57686" w:rsidRPr="00627129">
        <w:t>may</w:t>
      </w:r>
      <w:r w:rsidR="00A57686" w:rsidRPr="00627129">
        <w:rPr>
          <w:spacing w:val="1"/>
        </w:rPr>
        <w:t xml:space="preserve"> </w:t>
      </w:r>
      <w:r w:rsidR="00A57686" w:rsidRPr="00627129">
        <w:t>be</w:t>
      </w:r>
      <w:r w:rsidR="00A57686" w:rsidRPr="00627129">
        <w:rPr>
          <w:spacing w:val="1"/>
        </w:rPr>
        <w:t xml:space="preserve"> </w:t>
      </w:r>
      <w:r w:rsidR="00A57686" w:rsidRPr="00627129">
        <w:t>objected</w:t>
      </w:r>
      <w:r w:rsidR="00A57686" w:rsidRPr="00627129">
        <w:rPr>
          <w:spacing w:val="1"/>
        </w:rPr>
        <w:t xml:space="preserve"> </w:t>
      </w:r>
      <w:r w:rsidR="00A57686" w:rsidRPr="00627129">
        <w:t>to</w:t>
      </w:r>
      <w:r w:rsidR="00A57686" w:rsidRPr="00627129">
        <w:rPr>
          <w:spacing w:val="1"/>
        </w:rPr>
        <w:t xml:space="preserve"> </w:t>
      </w:r>
      <w:r w:rsidR="00A57686" w:rsidRPr="00627129">
        <w:t>and</w:t>
      </w:r>
      <w:r w:rsidR="00A57686" w:rsidRPr="00627129">
        <w:rPr>
          <w:spacing w:val="1"/>
        </w:rPr>
        <w:t xml:space="preserve"> </w:t>
      </w:r>
      <w:r w:rsidR="00A57686" w:rsidRPr="00627129">
        <w:t>appealed</w:t>
      </w:r>
      <w:r w:rsidR="00A57686" w:rsidRPr="00627129">
        <w:rPr>
          <w:spacing w:val="1"/>
        </w:rPr>
        <w:t xml:space="preserve"> </w:t>
      </w:r>
      <w:r w:rsidR="00A57686" w:rsidRPr="00627129">
        <w:t>against.</w:t>
      </w:r>
      <w:r w:rsidR="00A57686" w:rsidRPr="00627129">
        <w:rPr>
          <w:spacing w:val="1"/>
        </w:rPr>
        <w:t xml:space="preserve"> </w:t>
      </w:r>
      <w:r w:rsidR="00A57686" w:rsidRPr="00627129">
        <w:rPr>
          <w:spacing w:val="-1"/>
        </w:rPr>
        <w:t>Alternatively,</w:t>
      </w:r>
      <w:r w:rsidR="00A57686" w:rsidRPr="00627129">
        <w:rPr>
          <w:spacing w:val="-14"/>
        </w:rPr>
        <w:t xml:space="preserve"> </w:t>
      </w:r>
      <w:r w:rsidR="00A57686" w:rsidRPr="00627129">
        <w:rPr>
          <w:spacing w:val="-1"/>
        </w:rPr>
        <w:t>the</w:t>
      </w:r>
      <w:r w:rsidR="00A57686" w:rsidRPr="00627129">
        <w:rPr>
          <w:spacing w:val="-12"/>
        </w:rPr>
        <w:t xml:space="preserve"> </w:t>
      </w:r>
      <w:r w:rsidR="00A57686" w:rsidRPr="00627129">
        <w:t>Tax</w:t>
      </w:r>
      <w:r w:rsidR="00A57686" w:rsidRPr="00627129">
        <w:rPr>
          <w:spacing w:val="-17"/>
        </w:rPr>
        <w:t xml:space="preserve"> </w:t>
      </w:r>
      <w:r w:rsidR="00A57686" w:rsidRPr="00627129">
        <w:t>Court</w:t>
      </w:r>
      <w:r w:rsidR="00A57686" w:rsidRPr="00627129">
        <w:rPr>
          <w:spacing w:val="-14"/>
        </w:rPr>
        <w:t xml:space="preserve"> </w:t>
      </w:r>
      <w:r w:rsidR="00A57686" w:rsidRPr="00627129">
        <w:t>will</w:t>
      </w:r>
      <w:r w:rsidR="00A57686" w:rsidRPr="00627129">
        <w:rPr>
          <w:spacing w:val="-15"/>
        </w:rPr>
        <w:t xml:space="preserve"> </w:t>
      </w:r>
      <w:r w:rsidR="00A57686" w:rsidRPr="00627129">
        <w:t>make</w:t>
      </w:r>
      <w:r w:rsidR="00A57686" w:rsidRPr="00627129">
        <w:rPr>
          <w:spacing w:val="-14"/>
        </w:rPr>
        <w:t xml:space="preserve"> </w:t>
      </w:r>
      <w:r w:rsidR="00A57686" w:rsidRPr="00627129">
        <w:t>a</w:t>
      </w:r>
      <w:r w:rsidR="00A57686" w:rsidRPr="00627129">
        <w:rPr>
          <w:spacing w:val="-16"/>
        </w:rPr>
        <w:t xml:space="preserve"> </w:t>
      </w:r>
      <w:r w:rsidR="00A57686" w:rsidRPr="00627129">
        <w:t>final</w:t>
      </w:r>
      <w:r w:rsidR="00A57686" w:rsidRPr="00627129">
        <w:rPr>
          <w:spacing w:val="-16"/>
        </w:rPr>
        <w:t xml:space="preserve"> </w:t>
      </w:r>
      <w:r w:rsidR="00A57686" w:rsidRPr="00627129">
        <w:t>order</w:t>
      </w:r>
      <w:r w:rsidR="00A57686" w:rsidRPr="00627129">
        <w:rPr>
          <w:spacing w:val="-15"/>
        </w:rPr>
        <w:t xml:space="preserve"> </w:t>
      </w:r>
      <w:r w:rsidR="00A57686" w:rsidRPr="00627129">
        <w:t>in</w:t>
      </w:r>
      <w:r w:rsidR="00A57686" w:rsidRPr="00627129">
        <w:rPr>
          <w:spacing w:val="-14"/>
        </w:rPr>
        <w:t xml:space="preserve"> </w:t>
      </w:r>
      <w:r w:rsidR="00A57686" w:rsidRPr="00627129">
        <w:t>terms</w:t>
      </w:r>
      <w:r w:rsidR="00A57686" w:rsidRPr="00627129">
        <w:rPr>
          <w:spacing w:val="-14"/>
        </w:rPr>
        <w:t xml:space="preserve"> </w:t>
      </w:r>
      <w:r w:rsidR="00A57686" w:rsidRPr="00627129">
        <w:t>of</w:t>
      </w:r>
      <w:r w:rsidR="00A57686" w:rsidRPr="00627129">
        <w:rPr>
          <w:spacing w:val="-12"/>
        </w:rPr>
        <w:t xml:space="preserve"> </w:t>
      </w:r>
      <w:r w:rsidR="00094EC8" w:rsidRPr="00627129">
        <w:t>s 129(2)(a) or</w:t>
      </w:r>
      <w:r w:rsidR="00A57686" w:rsidRPr="00627129">
        <w:t xml:space="preserve"> </w:t>
      </w:r>
      <w:r w:rsidR="00094EC8" w:rsidRPr="00627129">
        <w:rPr>
          <w:spacing w:val="-1"/>
        </w:rPr>
        <w:t>s </w:t>
      </w:r>
      <w:r w:rsidR="00A57686" w:rsidRPr="00627129">
        <w:t>129(2)(b), whereafter</w:t>
      </w:r>
      <w:r w:rsidR="00A57686" w:rsidRPr="00627129">
        <w:rPr>
          <w:spacing w:val="-1"/>
        </w:rPr>
        <w:t xml:space="preserve"> </w:t>
      </w:r>
      <w:r w:rsidR="00A57686" w:rsidRPr="00627129">
        <w:t>the appellant can</w:t>
      </w:r>
      <w:r w:rsidR="00A57686" w:rsidRPr="00627129">
        <w:rPr>
          <w:spacing w:val="-3"/>
        </w:rPr>
        <w:t xml:space="preserve"> </w:t>
      </w:r>
      <w:r w:rsidR="00A57686" w:rsidRPr="00627129">
        <w:t>appeal.</w:t>
      </w:r>
      <w:r w:rsidR="007C2909" w:rsidRPr="00627129">
        <w:t xml:space="preserve"> The respondent thus submitted that appellant</w:t>
      </w:r>
      <w:r w:rsidR="007C2909" w:rsidRPr="00627129">
        <w:rPr>
          <w:spacing w:val="1"/>
        </w:rPr>
        <w:t xml:space="preserve"> </w:t>
      </w:r>
      <w:r w:rsidR="007C2909" w:rsidRPr="00627129">
        <w:t>would still be entitled to deal with the full value of the CAPEX claimed.</w:t>
      </w:r>
    </w:p>
    <w:p w14:paraId="24DF9F49" w14:textId="3903C5FD" w:rsidR="000A1398" w:rsidRPr="00EF3081" w:rsidRDefault="000A1398" w:rsidP="00EF3081">
      <w:pPr>
        <w:pStyle w:val="ListParagraph"/>
        <w:numPr>
          <w:ilvl w:val="0"/>
          <w:numId w:val="39"/>
        </w:numPr>
        <w:spacing w:before="240" w:after="240" w:line="360" w:lineRule="auto"/>
        <w:contextualSpacing w:val="0"/>
        <w:jc w:val="both"/>
        <w:rPr>
          <w:rFonts w:cs="Arial"/>
          <w:szCs w:val="24"/>
        </w:rPr>
      </w:pPr>
      <w:r w:rsidRPr="00EF3081">
        <w:rPr>
          <w:szCs w:val="24"/>
        </w:rPr>
        <w:t xml:space="preserve">In </w:t>
      </w:r>
      <w:r w:rsidRPr="00EF3081">
        <w:rPr>
          <w:i/>
          <w:szCs w:val="24"/>
        </w:rPr>
        <w:t>South Cape Corporation (Pty) Ltd v Engineering Management Services (Pty) Ltd</w:t>
      </w:r>
      <w:r w:rsidRPr="00EF3081">
        <w:rPr>
          <w:szCs w:val="24"/>
        </w:rPr>
        <w:t>,</w:t>
      </w:r>
      <w:r>
        <w:rPr>
          <w:rStyle w:val="FootnoteReference"/>
          <w:szCs w:val="24"/>
        </w:rPr>
        <w:footnoteReference w:id="5"/>
      </w:r>
      <w:r w:rsidRPr="00EF3081">
        <w:rPr>
          <w:szCs w:val="24"/>
        </w:rPr>
        <w:t xml:space="preserve"> Corbett JA considered the meaning of ‘interlocutory’ orders in the context of their appealability. He stated:</w:t>
      </w:r>
    </w:p>
    <w:p w14:paraId="31EE67AC" w14:textId="2979AD9C" w:rsidR="000A1398" w:rsidRDefault="000A1398" w:rsidP="000A1398">
      <w:pPr>
        <w:pStyle w:val="1"/>
        <w:numPr>
          <w:ilvl w:val="0"/>
          <w:numId w:val="0"/>
        </w:numPr>
        <w:tabs>
          <w:tab w:val="left" w:pos="720"/>
        </w:tabs>
        <w:spacing w:after="240" w:line="360" w:lineRule="auto"/>
        <w:rPr>
          <w:color w:val="auto"/>
          <w:sz w:val="22"/>
        </w:rPr>
      </w:pPr>
      <w:r>
        <w:rPr>
          <w:color w:val="auto"/>
          <w:sz w:val="22"/>
        </w:rPr>
        <w:t xml:space="preserve">‘(a) In a wide and general sense the term “interlocutory” refers to all orders pronounced by the Court, upon matters incidental to the main dispute, preparatory to, or during the progress of, </w:t>
      </w:r>
      <w:r>
        <w:rPr>
          <w:color w:val="auto"/>
          <w:sz w:val="22"/>
        </w:rPr>
        <w:lastRenderedPageBreak/>
        <w:t>the litigation. But orders of this kind are divided into two classes: (i) those which have a final and definitive effect on the main action; and (ii) those, known as “simple (or purely) interlocutory orders” or “interlocutory orders proper”, which do not…</w:t>
      </w:r>
      <w:r w:rsidR="0031257B">
        <w:rPr>
          <w:color w:val="auto"/>
          <w:sz w:val="22"/>
        </w:rPr>
        <w:t>.</w:t>
      </w:r>
    </w:p>
    <w:p w14:paraId="0BD8E8FF" w14:textId="76C6CB95" w:rsidR="00EF3081" w:rsidRDefault="000A1398" w:rsidP="00EF3081">
      <w:pPr>
        <w:pStyle w:val="ListParagraph"/>
        <w:spacing w:before="240" w:after="240" w:line="360" w:lineRule="auto"/>
        <w:ind w:left="0"/>
        <w:contextualSpacing w:val="0"/>
        <w:jc w:val="both"/>
        <w:rPr>
          <w:sz w:val="22"/>
        </w:rPr>
      </w:pPr>
      <w:r w:rsidRPr="000A1398">
        <w:rPr>
          <w:sz w:val="22"/>
        </w:rPr>
        <w:t>(b) Statutes relating to the appealability of judgments or orders (whether it be appealability with leave or appealability at all) which use the word “interlocutory”, or other words of similar import, are taken to refer to simple interlocutory orders. In other words, it is only in the case of simple interlocutory orders that the statute is read as prohibiting an appeal or making it subject to the limitation of requiring leave, as the case may be. Final orders, including interlocutory orders having a final and definitive effect, are regarded as falling outside the purview of the prohibition or limitation….</w:t>
      </w:r>
      <w:r w:rsidR="0031257B">
        <w:rPr>
          <w:sz w:val="22"/>
        </w:rPr>
        <w:t>’</w:t>
      </w:r>
    </w:p>
    <w:p w14:paraId="06284869" w14:textId="568254FC" w:rsidR="000A1398" w:rsidRPr="009E576E" w:rsidRDefault="00032D0E" w:rsidP="0081782D">
      <w:pPr>
        <w:pStyle w:val="ListParagraph"/>
        <w:numPr>
          <w:ilvl w:val="0"/>
          <w:numId w:val="39"/>
        </w:numPr>
        <w:spacing w:before="240" w:after="240" w:line="360" w:lineRule="auto"/>
        <w:contextualSpacing w:val="0"/>
        <w:jc w:val="both"/>
        <w:rPr>
          <w:sz w:val="22"/>
        </w:rPr>
      </w:pPr>
      <w:r>
        <w:rPr>
          <w:rFonts w:cs="Arial"/>
          <w:szCs w:val="24"/>
        </w:rPr>
        <w:t>It is not merely the form of the order but also, and predominantly, its effect that must be considered</w:t>
      </w:r>
      <w:r>
        <w:rPr>
          <w:szCs w:val="24"/>
        </w:rPr>
        <w:t xml:space="preserve"> by this </w:t>
      </w:r>
      <w:r w:rsidR="0081782D">
        <w:rPr>
          <w:szCs w:val="24"/>
        </w:rPr>
        <w:t>C</w:t>
      </w:r>
      <w:r>
        <w:rPr>
          <w:szCs w:val="24"/>
        </w:rPr>
        <w:t xml:space="preserve">ourt. </w:t>
      </w:r>
      <w:r w:rsidR="000A1398">
        <w:rPr>
          <w:szCs w:val="24"/>
        </w:rPr>
        <w:t>In our view, t</w:t>
      </w:r>
      <w:r w:rsidR="000A1398" w:rsidRPr="000A1398">
        <w:rPr>
          <w:szCs w:val="24"/>
        </w:rPr>
        <w:t xml:space="preserve">he order in the present matter falls into the first class described by Corbett JA in </w:t>
      </w:r>
      <w:r w:rsidR="000A1398" w:rsidRPr="000A1398">
        <w:rPr>
          <w:i/>
          <w:szCs w:val="24"/>
        </w:rPr>
        <w:t>South Cape Corporation</w:t>
      </w:r>
      <w:r w:rsidR="000A1398" w:rsidRPr="000A1398">
        <w:rPr>
          <w:szCs w:val="24"/>
        </w:rPr>
        <w:t>. B</w:t>
      </w:r>
      <w:r w:rsidR="000A1398" w:rsidRPr="000A1398">
        <w:rPr>
          <w:rFonts w:cs="Arial"/>
          <w:szCs w:val="24"/>
        </w:rPr>
        <w:t>y virtue of the Tax Court’s findings regarding the appellant’s ‘abandonment and waiver’ of its reliance on s 11(a)</w:t>
      </w:r>
      <w:r w:rsidR="003D7A42">
        <w:rPr>
          <w:rFonts w:cs="Arial"/>
          <w:szCs w:val="24"/>
        </w:rPr>
        <w:t xml:space="preserve"> </w:t>
      </w:r>
      <w:r w:rsidR="00E76CB4">
        <w:rPr>
          <w:rFonts w:cs="Arial"/>
          <w:szCs w:val="24"/>
        </w:rPr>
        <w:t>issue</w:t>
      </w:r>
      <w:r w:rsidR="000A1398" w:rsidRPr="000A1398">
        <w:rPr>
          <w:rFonts w:cs="Arial"/>
          <w:szCs w:val="24"/>
        </w:rPr>
        <w:t>, the issue cannot be correc</w:t>
      </w:r>
      <w:r>
        <w:rPr>
          <w:rFonts w:cs="Arial"/>
          <w:szCs w:val="24"/>
        </w:rPr>
        <w:t xml:space="preserve">ted during the Tax Court </w:t>
      </w:r>
      <w:r w:rsidR="00514132">
        <w:rPr>
          <w:rFonts w:cs="Arial"/>
          <w:szCs w:val="24"/>
        </w:rPr>
        <w:t>hearing,</w:t>
      </w:r>
      <w:r>
        <w:rPr>
          <w:rFonts w:cs="Arial"/>
          <w:szCs w:val="24"/>
        </w:rPr>
        <w:t xml:space="preserve"> or thereafter. The </w:t>
      </w:r>
      <w:r w:rsidR="0081782D" w:rsidRPr="0081782D">
        <w:rPr>
          <w:rFonts w:cs="Arial"/>
          <w:szCs w:val="24"/>
        </w:rPr>
        <w:t>s</w:t>
      </w:r>
      <w:r w:rsidR="0081782D">
        <w:rPr>
          <w:rFonts w:cs="Arial"/>
          <w:szCs w:val="24"/>
        </w:rPr>
        <w:t> </w:t>
      </w:r>
      <w:r w:rsidR="0081782D" w:rsidRPr="0081782D">
        <w:rPr>
          <w:rFonts w:cs="Arial"/>
          <w:szCs w:val="24"/>
        </w:rPr>
        <w:t xml:space="preserve">11(a) </w:t>
      </w:r>
      <w:r>
        <w:rPr>
          <w:rFonts w:cs="Arial"/>
          <w:szCs w:val="24"/>
        </w:rPr>
        <w:t xml:space="preserve">issue is central to the dispute between the parties. The decision of the Tax Court, in effect, precludes the appellant from relying on this significant issue in the Tax Court appeal. </w:t>
      </w:r>
      <w:r>
        <w:rPr>
          <w:szCs w:val="24"/>
        </w:rPr>
        <w:t xml:space="preserve">The order is thus final in effect and is </w:t>
      </w:r>
      <w:r>
        <w:rPr>
          <w:i/>
          <w:szCs w:val="24"/>
        </w:rPr>
        <w:t>res judicata</w:t>
      </w:r>
      <w:r>
        <w:rPr>
          <w:szCs w:val="24"/>
        </w:rPr>
        <w:t>.</w:t>
      </w:r>
      <w:r>
        <w:rPr>
          <w:rFonts w:cs="Arial"/>
          <w:szCs w:val="24"/>
        </w:rPr>
        <w:t xml:space="preserve"> </w:t>
      </w:r>
    </w:p>
    <w:p w14:paraId="526E9034" w14:textId="77777777" w:rsidR="0073100B" w:rsidRPr="00956ECB" w:rsidRDefault="0073100B" w:rsidP="00D5227E">
      <w:pPr>
        <w:pStyle w:val="ListParagraph"/>
        <w:spacing w:before="360" w:after="360" w:line="360" w:lineRule="auto"/>
        <w:ind w:left="0"/>
        <w:contextualSpacing w:val="0"/>
        <w:jc w:val="both"/>
        <w:rPr>
          <w:b/>
          <w:szCs w:val="24"/>
        </w:rPr>
      </w:pPr>
      <w:r w:rsidRPr="00956ECB">
        <w:rPr>
          <w:b/>
          <w:i/>
          <w:szCs w:val="24"/>
        </w:rPr>
        <w:t xml:space="preserve">Appealability under the </w:t>
      </w:r>
      <w:r w:rsidR="005D2B62" w:rsidRPr="00956ECB">
        <w:rPr>
          <w:b/>
          <w:i/>
          <w:szCs w:val="24"/>
        </w:rPr>
        <w:t>TAA</w:t>
      </w:r>
    </w:p>
    <w:p w14:paraId="769EED3C" w14:textId="77777777" w:rsidR="009A1802" w:rsidRPr="00306B8A" w:rsidRDefault="0073100B" w:rsidP="00EF3081">
      <w:pPr>
        <w:pStyle w:val="ListParagraph"/>
        <w:numPr>
          <w:ilvl w:val="0"/>
          <w:numId w:val="39"/>
        </w:numPr>
        <w:spacing w:before="240" w:after="240" w:line="360" w:lineRule="auto"/>
        <w:contextualSpacing w:val="0"/>
        <w:jc w:val="both"/>
        <w:rPr>
          <w:szCs w:val="24"/>
        </w:rPr>
      </w:pPr>
      <w:r w:rsidRPr="00956ECB">
        <w:rPr>
          <w:rFonts w:cs="Arial"/>
          <w:szCs w:val="24"/>
        </w:rPr>
        <w:t xml:space="preserve">The appellant </w:t>
      </w:r>
      <w:r w:rsidR="004B2DE8" w:rsidRPr="00956ECB">
        <w:rPr>
          <w:rFonts w:cs="Arial"/>
          <w:szCs w:val="24"/>
        </w:rPr>
        <w:t>argued</w:t>
      </w:r>
      <w:r w:rsidRPr="00956ECB">
        <w:rPr>
          <w:rFonts w:cs="Arial"/>
          <w:szCs w:val="24"/>
        </w:rPr>
        <w:t xml:space="preserve"> that</w:t>
      </w:r>
      <w:r w:rsidR="005779D5" w:rsidRPr="00956ECB">
        <w:rPr>
          <w:rFonts w:cs="Arial"/>
          <w:szCs w:val="24"/>
        </w:rPr>
        <w:t>, in any event,</w:t>
      </w:r>
      <w:r w:rsidRPr="00956ECB">
        <w:rPr>
          <w:rFonts w:cs="Arial"/>
          <w:szCs w:val="24"/>
        </w:rPr>
        <w:t xml:space="preserve"> the order and judgment are appealable in terms of the T</w:t>
      </w:r>
      <w:r w:rsidR="005779D5" w:rsidRPr="00956ECB">
        <w:rPr>
          <w:rFonts w:cs="Arial"/>
          <w:szCs w:val="24"/>
        </w:rPr>
        <w:t>AA. More specifically, it stated</w:t>
      </w:r>
      <w:r w:rsidRPr="00956ECB">
        <w:rPr>
          <w:rFonts w:cs="Arial"/>
          <w:szCs w:val="24"/>
        </w:rPr>
        <w:t xml:space="preserve"> that an application for leave to amend (which </w:t>
      </w:r>
      <w:r w:rsidR="003D7A42">
        <w:rPr>
          <w:rFonts w:cs="Arial"/>
          <w:szCs w:val="24"/>
        </w:rPr>
        <w:t>the TAA</w:t>
      </w:r>
      <w:r w:rsidRPr="00956ECB">
        <w:rPr>
          <w:rFonts w:cs="Arial"/>
          <w:szCs w:val="24"/>
        </w:rPr>
        <w:t xml:space="preserve"> categorises as a ‘procedural’ matter under Part E of the Rules) is specifically provided for in Tax Court Rule 52(7).</w:t>
      </w:r>
      <w:r w:rsidRPr="00306B8A">
        <w:rPr>
          <w:szCs w:val="24"/>
        </w:rPr>
        <w:t xml:space="preserve"> Rule 52(7) provides:</w:t>
      </w:r>
    </w:p>
    <w:p w14:paraId="4A00088A" w14:textId="77777777" w:rsidR="00D5227E" w:rsidRPr="00956ECB" w:rsidRDefault="003B7921" w:rsidP="00EF3081">
      <w:pPr>
        <w:pStyle w:val="ListParagraph"/>
        <w:spacing w:before="240" w:after="240" w:line="360" w:lineRule="auto"/>
        <w:ind w:left="0"/>
        <w:contextualSpacing w:val="0"/>
        <w:jc w:val="both"/>
        <w:rPr>
          <w:szCs w:val="24"/>
        </w:rPr>
      </w:pPr>
      <w:r w:rsidRPr="007454A9">
        <w:rPr>
          <w:sz w:val="22"/>
          <w:szCs w:val="24"/>
        </w:rPr>
        <w:t>‘</w:t>
      </w:r>
      <w:r w:rsidR="0073100B" w:rsidRPr="007454A9">
        <w:rPr>
          <w:sz w:val="22"/>
          <w:szCs w:val="24"/>
        </w:rPr>
        <w:t xml:space="preserve">A party seeking an amendment of a statement under rule 35, may apply to the tax court under this Part for an appropriate order…’ </w:t>
      </w:r>
    </w:p>
    <w:p w14:paraId="7CAB5DF8" w14:textId="0E270B32" w:rsidR="00EF3081" w:rsidRDefault="0073100B" w:rsidP="00EF3081">
      <w:pPr>
        <w:pStyle w:val="ListParagraph"/>
        <w:numPr>
          <w:ilvl w:val="0"/>
          <w:numId w:val="39"/>
        </w:numPr>
        <w:spacing w:before="240" w:after="240" w:line="360" w:lineRule="auto"/>
        <w:contextualSpacing w:val="0"/>
        <w:jc w:val="both"/>
        <w:rPr>
          <w:szCs w:val="24"/>
        </w:rPr>
      </w:pPr>
      <w:r w:rsidRPr="00293E48">
        <w:rPr>
          <w:rFonts w:cs="Arial"/>
          <w:szCs w:val="24"/>
        </w:rPr>
        <w:t xml:space="preserve">The appellant </w:t>
      </w:r>
      <w:r w:rsidR="004B2DE8" w:rsidRPr="00293E48">
        <w:rPr>
          <w:rFonts w:cs="Arial"/>
          <w:szCs w:val="24"/>
        </w:rPr>
        <w:t>submitted</w:t>
      </w:r>
      <w:r w:rsidRPr="00293E48">
        <w:rPr>
          <w:rFonts w:cs="Arial"/>
          <w:szCs w:val="24"/>
        </w:rPr>
        <w:t xml:space="preserve"> that the Tax Court’s decision in such an application is appealable in terms of </w:t>
      </w:r>
      <w:r w:rsidR="0081782D" w:rsidRPr="00293E48">
        <w:rPr>
          <w:rFonts w:cs="Arial"/>
          <w:szCs w:val="24"/>
        </w:rPr>
        <w:t>s </w:t>
      </w:r>
      <w:r w:rsidRPr="00293E48">
        <w:rPr>
          <w:rFonts w:cs="Arial"/>
          <w:szCs w:val="24"/>
        </w:rPr>
        <w:t>133(1), read with s 129(2)(d) and s 117(3) of the TAA.</w:t>
      </w:r>
      <w:r w:rsidR="00BF35A8" w:rsidRPr="00293E48">
        <w:rPr>
          <w:rStyle w:val="FootnoteReference"/>
          <w:rFonts w:cs="Arial"/>
          <w:szCs w:val="24"/>
        </w:rPr>
        <w:footnoteReference w:id="6"/>
      </w:r>
      <w:r w:rsidRPr="00293E48">
        <w:rPr>
          <w:rFonts w:cs="Arial"/>
          <w:szCs w:val="24"/>
        </w:rPr>
        <w:t xml:space="preserve"> </w:t>
      </w:r>
      <w:r w:rsidRPr="00293E48">
        <w:rPr>
          <w:szCs w:val="24"/>
        </w:rPr>
        <w:lastRenderedPageBreak/>
        <w:t>Section 117(3) refers to both ‘interlocutory’ ap</w:t>
      </w:r>
      <w:r w:rsidR="00EE1893" w:rsidRPr="00293E48">
        <w:rPr>
          <w:szCs w:val="24"/>
        </w:rPr>
        <w:t>plications and applications in</w:t>
      </w:r>
      <w:r w:rsidR="00EE1893" w:rsidRPr="00EF3081">
        <w:rPr>
          <w:szCs w:val="24"/>
        </w:rPr>
        <w:t xml:space="preserve"> </w:t>
      </w:r>
      <w:r w:rsidRPr="00EF3081">
        <w:rPr>
          <w:szCs w:val="24"/>
        </w:rPr>
        <w:t>‘procedural’ matters relating to certain disputes.</w:t>
      </w:r>
      <w:r w:rsidR="000F3D2B">
        <w:rPr>
          <w:rStyle w:val="FootnoteReference"/>
          <w:szCs w:val="24"/>
        </w:rPr>
        <w:footnoteReference w:id="7"/>
      </w:r>
    </w:p>
    <w:p w14:paraId="60533803" w14:textId="272C0E8E" w:rsidR="00EF3081" w:rsidRDefault="00AD7534" w:rsidP="00EF3081">
      <w:pPr>
        <w:pStyle w:val="ListParagraph"/>
        <w:numPr>
          <w:ilvl w:val="0"/>
          <w:numId w:val="39"/>
        </w:numPr>
        <w:spacing w:before="240" w:after="240" w:line="360" w:lineRule="auto"/>
        <w:contextualSpacing w:val="0"/>
        <w:jc w:val="both"/>
        <w:rPr>
          <w:szCs w:val="24"/>
        </w:rPr>
      </w:pPr>
      <w:r w:rsidRPr="00EF3081">
        <w:rPr>
          <w:rFonts w:cs="Arial"/>
          <w:szCs w:val="24"/>
        </w:rPr>
        <w:t>The appellant contended that the terms ‘interlocutory application’ and ‘application in a procedural matter as provided for in the rules’ are not mutually exclusive. However, the reference to an ‘interlocutory application’ in s</w:t>
      </w:r>
      <w:r w:rsidR="00A34422">
        <w:rPr>
          <w:rFonts w:cs="Arial"/>
          <w:szCs w:val="24"/>
        </w:rPr>
        <w:t> </w:t>
      </w:r>
      <w:r w:rsidRPr="00EF3081">
        <w:rPr>
          <w:rFonts w:cs="Arial"/>
          <w:szCs w:val="24"/>
        </w:rPr>
        <w:t>117(3) of the TAA (and the omission of such reference in s</w:t>
      </w:r>
      <w:r w:rsidR="00A34422">
        <w:rPr>
          <w:rFonts w:cs="Arial"/>
          <w:szCs w:val="24"/>
        </w:rPr>
        <w:t> </w:t>
      </w:r>
      <w:r w:rsidRPr="00EF3081">
        <w:rPr>
          <w:rFonts w:cs="Arial"/>
          <w:szCs w:val="24"/>
        </w:rPr>
        <w:t xml:space="preserve">129) thus refers to a ‘simple (pure) interlocutory’ application and orders to that effect. Further, it was contended that the phrase ‘application in a procedural matter as provided for in the </w:t>
      </w:r>
      <w:r w:rsidR="00762A1E" w:rsidRPr="00EF3081">
        <w:rPr>
          <w:rFonts w:cs="Arial"/>
          <w:szCs w:val="24"/>
        </w:rPr>
        <w:t>“</w:t>
      </w:r>
      <w:r w:rsidRPr="00EF3081">
        <w:rPr>
          <w:rFonts w:cs="Arial"/>
          <w:szCs w:val="24"/>
        </w:rPr>
        <w:t>rules</w:t>
      </w:r>
      <w:r w:rsidR="00762A1E" w:rsidRPr="00EF3081">
        <w:rPr>
          <w:rFonts w:cs="Arial"/>
          <w:szCs w:val="24"/>
        </w:rPr>
        <w:t>”</w:t>
      </w:r>
      <w:r w:rsidRPr="00EF3081">
        <w:rPr>
          <w:rFonts w:cs="Arial"/>
          <w:szCs w:val="24"/>
        </w:rPr>
        <w:t xml:space="preserve">’ (as contained in </w:t>
      </w:r>
      <w:r w:rsidR="00D92EE4" w:rsidRPr="00EF3081">
        <w:rPr>
          <w:rFonts w:cs="Arial"/>
          <w:szCs w:val="24"/>
        </w:rPr>
        <w:t>s</w:t>
      </w:r>
      <w:r w:rsidR="00D92EE4">
        <w:rPr>
          <w:rFonts w:cs="Arial"/>
          <w:szCs w:val="24"/>
        </w:rPr>
        <w:t> </w:t>
      </w:r>
      <w:r w:rsidRPr="00EF3081">
        <w:rPr>
          <w:rFonts w:cs="Arial"/>
          <w:szCs w:val="24"/>
        </w:rPr>
        <w:t xml:space="preserve">117(3) and </w:t>
      </w:r>
      <w:r w:rsidR="00D92EE4" w:rsidRPr="00EF3081">
        <w:rPr>
          <w:rFonts w:cs="Arial"/>
          <w:szCs w:val="24"/>
        </w:rPr>
        <w:t>s</w:t>
      </w:r>
      <w:r w:rsidR="00D92EE4">
        <w:rPr>
          <w:rFonts w:cs="Arial"/>
          <w:szCs w:val="24"/>
        </w:rPr>
        <w:t> </w:t>
      </w:r>
      <w:r w:rsidRPr="00EF3081">
        <w:rPr>
          <w:rFonts w:cs="Arial"/>
          <w:szCs w:val="24"/>
        </w:rPr>
        <w:t>129 of the TAA) referred to those orders arising from applications specifically provided for in the Tax Court Rules (i.e. those applications contemplated in Rule 52, in respect of the procedural matters provided for in Part E of</w:t>
      </w:r>
      <w:r w:rsidRPr="00EF3081">
        <w:rPr>
          <w:szCs w:val="24"/>
        </w:rPr>
        <w:t xml:space="preserve"> </w:t>
      </w:r>
      <w:r w:rsidRPr="00EF3081">
        <w:rPr>
          <w:rFonts w:cs="Arial"/>
          <w:szCs w:val="24"/>
        </w:rPr>
        <w:t>the Rules).</w:t>
      </w:r>
    </w:p>
    <w:p w14:paraId="1A204275" w14:textId="77777777" w:rsidR="00EF3081" w:rsidRDefault="00AD7534" w:rsidP="00EF3081">
      <w:pPr>
        <w:pStyle w:val="ListParagraph"/>
        <w:numPr>
          <w:ilvl w:val="0"/>
          <w:numId w:val="39"/>
        </w:numPr>
        <w:spacing w:before="240" w:after="240" w:line="360" w:lineRule="auto"/>
        <w:contextualSpacing w:val="0"/>
        <w:jc w:val="both"/>
        <w:rPr>
          <w:szCs w:val="24"/>
        </w:rPr>
      </w:pPr>
      <w:r w:rsidRPr="00EF3081">
        <w:rPr>
          <w:rFonts w:cs="Arial"/>
          <w:szCs w:val="24"/>
        </w:rPr>
        <w:t xml:space="preserve">The appellant submitted that while an application for leave to amend a Rule 32 statement may (if interpreted in a narrow manner) be considered to be ‘interlocutory’ in the widest sense of the word, the </w:t>
      </w:r>
      <w:r w:rsidR="003D7A42" w:rsidRPr="00EF3081">
        <w:rPr>
          <w:rFonts w:cs="Arial"/>
          <w:szCs w:val="24"/>
        </w:rPr>
        <w:t xml:space="preserve">current </w:t>
      </w:r>
      <w:r w:rsidRPr="00EF3081">
        <w:rPr>
          <w:rFonts w:cs="Arial"/>
          <w:szCs w:val="24"/>
        </w:rPr>
        <w:t>application, being</w:t>
      </w:r>
      <w:r w:rsidR="003D7A42" w:rsidRPr="00EF3081">
        <w:rPr>
          <w:rFonts w:cs="Arial"/>
          <w:szCs w:val="24"/>
        </w:rPr>
        <w:t xml:space="preserve"> an application</w:t>
      </w:r>
      <w:r w:rsidRPr="00EF3081">
        <w:rPr>
          <w:rFonts w:cs="Arial"/>
          <w:szCs w:val="24"/>
        </w:rPr>
        <w:t xml:space="preserve"> in ‘a procedural matter as provided for in the Rules’, was legislated to be specifically appealable, and the order granted by the Tax Court is not a pure interlocutory order, as the effect thereof is final.</w:t>
      </w:r>
    </w:p>
    <w:p w14:paraId="0D309D20" w14:textId="1731421D" w:rsidR="00EF3081" w:rsidRDefault="0060398F" w:rsidP="00EF3081">
      <w:pPr>
        <w:pStyle w:val="ListParagraph"/>
        <w:numPr>
          <w:ilvl w:val="0"/>
          <w:numId w:val="39"/>
        </w:numPr>
        <w:spacing w:before="240" w:after="240" w:line="360" w:lineRule="auto"/>
        <w:contextualSpacing w:val="0"/>
        <w:jc w:val="both"/>
        <w:rPr>
          <w:szCs w:val="24"/>
        </w:rPr>
      </w:pPr>
      <w:r w:rsidRPr="00EF3081">
        <w:rPr>
          <w:szCs w:val="24"/>
        </w:rPr>
        <w:t xml:space="preserve">The appellant argued that the reference to an ‘interlocutory’ application in s 117(3), on the one hand, refers to simple (or pure) interlocutory applications and resulting orders; </w:t>
      </w:r>
      <w:r w:rsidR="00372DAA">
        <w:rPr>
          <w:szCs w:val="24"/>
        </w:rPr>
        <w:t xml:space="preserve">whereas </w:t>
      </w:r>
      <w:r w:rsidRPr="00EF3081">
        <w:rPr>
          <w:szCs w:val="24"/>
        </w:rPr>
        <w:t>the reference to ‘an application in a procedural matter relating to a dispute under this Chapter</w:t>
      </w:r>
      <w:r w:rsidR="00372DAA">
        <w:rPr>
          <w:szCs w:val="24"/>
        </w:rPr>
        <w:t>,</w:t>
      </w:r>
      <w:r w:rsidRPr="00EF3081">
        <w:rPr>
          <w:szCs w:val="24"/>
        </w:rPr>
        <w:t xml:space="preserve"> as provided for in the </w:t>
      </w:r>
      <w:r w:rsidR="00956ECB" w:rsidRPr="00EF3081">
        <w:rPr>
          <w:szCs w:val="24"/>
        </w:rPr>
        <w:t>“</w:t>
      </w:r>
      <w:r w:rsidRPr="00EF3081">
        <w:rPr>
          <w:szCs w:val="24"/>
        </w:rPr>
        <w:t>Rules</w:t>
      </w:r>
      <w:r w:rsidR="00956ECB" w:rsidRPr="00EF3081">
        <w:rPr>
          <w:szCs w:val="24"/>
        </w:rPr>
        <w:t>”’</w:t>
      </w:r>
      <w:r w:rsidRPr="00EF3081">
        <w:rPr>
          <w:szCs w:val="24"/>
        </w:rPr>
        <w:t>, refers to those orders arising from applications specifically provided for in the Rules – and, in particular, the amendment application brought under Rule 52. Therefore, the appellant submitted that the amendment application is a ‘procedural’ matter.</w:t>
      </w:r>
    </w:p>
    <w:p w14:paraId="607F58B4" w14:textId="77777777" w:rsidR="00EF3081" w:rsidRDefault="0073100B" w:rsidP="00EF3081">
      <w:pPr>
        <w:pStyle w:val="ListParagraph"/>
        <w:numPr>
          <w:ilvl w:val="0"/>
          <w:numId w:val="39"/>
        </w:numPr>
        <w:spacing w:before="240" w:after="240" w:line="360" w:lineRule="auto"/>
        <w:contextualSpacing w:val="0"/>
        <w:jc w:val="both"/>
        <w:rPr>
          <w:szCs w:val="24"/>
        </w:rPr>
      </w:pPr>
      <w:r w:rsidRPr="00EF3081">
        <w:rPr>
          <w:rFonts w:cs="Arial"/>
          <w:szCs w:val="24"/>
        </w:rPr>
        <w:t>On the other hand, the respondent contended</w:t>
      </w:r>
      <w:r w:rsidR="00ED3F3D" w:rsidRPr="00EF3081">
        <w:rPr>
          <w:rFonts w:cs="Arial"/>
          <w:szCs w:val="24"/>
        </w:rPr>
        <w:t xml:space="preserve"> that a matter cannot be automatically classified as ‘procedural’ in nature merely because it was brought in terms of s 117(3) and the Rules. It contended that the test for the appealability of orders remains whether the order is final and/or dispositive of the main issue.</w:t>
      </w:r>
    </w:p>
    <w:p w14:paraId="5FEE879A" w14:textId="024BC19F" w:rsidR="00EF3081" w:rsidRDefault="00ED3F3D" w:rsidP="00EF3081">
      <w:pPr>
        <w:pStyle w:val="ListParagraph"/>
        <w:numPr>
          <w:ilvl w:val="0"/>
          <w:numId w:val="39"/>
        </w:numPr>
        <w:spacing w:before="240" w:after="240" w:line="360" w:lineRule="auto"/>
        <w:contextualSpacing w:val="0"/>
        <w:jc w:val="both"/>
        <w:rPr>
          <w:szCs w:val="24"/>
        </w:rPr>
      </w:pPr>
      <w:r w:rsidRPr="00EF3081">
        <w:rPr>
          <w:rFonts w:cs="Arial"/>
          <w:szCs w:val="24"/>
        </w:rPr>
        <w:lastRenderedPageBreak/>
        <w:t xml:space="preserve">The respondent submitted further </w:t>
      </w:r>
      <w:r w:rsidR="0073100B" w:rsidRPr="00EF3081">
        <w:rPr>
          <w:rFonts w:cs="Arial"/>
          <w:szCs w:val="24"/>
        </w:rPr>
        <w:t xml:space="preserve">that the order is not a </w:t>
      </w:r>
      <w:r w:rsidR="00293E48">
        <w:rPr>
          <w:rFonts w:cs="Arial"/>
          <w:szCs w:val="24"/>
        </w:rPr>
        <w:t>‘</w:t>
      </w:r>
      <w:r w:rsidR="0073100B" w:rsidRPr="00EF3081">
        <w:rPr>
          <w:rFonts w:cs="Arial"/>
          <w:szCs w:val="24"/>
        </w:rPr>
        <w:t>decision</w:t>
      </w:r>
      <w:r w:rsidR="00293E48">
        <w:rPr>
          <w:rFonts w:cs="Arial"/>
          <w:szCs w:val="24"/>
        </w:rPr>
        <w:t>’</w:t>
      </w:r>
      <w:r w:rsidR="0073100B" w:rsidRPr="00EF3081">
        <w:rPr>
          <w:rFonts w:cs="Arial"/>
          <w:szCs w:val="24"/>
        </w:rPr>
        <w:t xml:space="preserve"> as envisaged in the TAA</w:t>
      </w:r>
      <w:r w:rsidR="00E65F4F" w:rsidRPr="00EF3081">
        <w:rPr>
          <w:rFonts w:cs="Arial"/>
          <w:szCs w:val="24"/>
        </w:rPr>
        <w:t>,</w:t>
      </w:r>
      <w:r w:rsidR="0073100B" w:rsidRPr="00EF3081">
        <w:rPr>
          <w:rFonts w:cs="Arial"/>
          <w:szCs w:val="24"/>
        </w:rPr>
        <w:t xml:space="preserve"> because a decision is defined in a limited and narrow sense. Whilst a procedural matter has not been defined in the TAA, the authorities provide guidance on the meaning and scope of matters of a procedural nature. It contended that, in the cont</w:t>
      </w:r>
      <w:r w:rsidR="00EE1893" w:rsidRPr="00EF3081">
        <w:rPr>
          <w:rFonts w:cs="Arial"/>
          <w:szCs w:val="24"/>
        </w:rPr>
        <w:t>ext of the Tax Court, the term ‘procedural matter’</w:t>
      </w:r>
      <w:r w:rsidR="0073100B" w:rsidRPr="00EF3081">
        <w:rPr>
          <w:rFonts w:cs="Arial"/>
          <w:szCs w:val="24"/>
        </w:rPr>
        <w:t xml:space="preserve"> is something of a ‘term of art’, and must be distinguished from int</w:t>
      </w:r>
      <w:r w:rsidR="009A1802" w:rsidRPr="00EF3081">
        <w:rPr>
          <w:rFonts w:cs="Arial"/>
          <w:szCs w:val="24"/>
        </w:rPr>
        <w:t>erlocutory applications.</w:t>
      </w:r>
    </w:p>
    <w:p w14:paraId="5FA7C12A" w14:textId="57C20975" w:rsidR="009A1802" w:rsidRPr="00EF3081" w:rsidRDefault="0073100B" w:rsidP="00EF3081">
      <w:pPr>
        <w:pStyle w:val="ListParagraph"/>
        <w:numPr>
          <w:ilvl w:val="0"/>
          <w:numId w:val="39"/>
        </w:numPr>
        <w:spacing w:before="240" w:after="240" w:line="360" w:lineRule="auto"/>
        <w:contextualSpacing w:val="0"/>
        <w:jc w:val="both"/>
        <w:rPr>
          <w:szCs w:val="24"/>
        </w:rPr>
      </w:pPr>
      <w:r w:rsidRPr="00EF3081">
        <w:rPr>
          <w:rFonts w:cs="Arial"/>
          <w:szCs w:val="24"/>
        </w:rPr>
        <w:t xml:space="preserve">The respondent referred to the </w:t>
      </w:r>
      <w:r w:rsidR="00FC4EDB" w:rsidRPr="00EF3081">
        <w:rPr>
          <w:rFonts w:cs="Arial"/>
          <w:szCs w:val="24"/>
        </w:rPr>
        <w:t>decision of the Supreme Court of Appeal (the SCA)</w:t>
      </w:r>
      <w:r w:rsidRPr="00EF3081">
        <w:rPr>
          <w:rFonts w:cs="Arial"/>
          <w:szCs w:val="24"/>
        </w:rPr>
        <w:t xml:space="preserve"> in </w:t>
      </w:r>
      <w:proofErr w:type="spellStart"/>
      <w:r w:rsidRPr="00EF3081">
        <w:rPr>
          <w:rFonts w:cs="Arial"/>
          <w:i/>
          <w:szCs w:val="24"/>
        </w:rPr>
        <w:t>Hassim</w:t>
      </w:r>
      <w:proofErr w:type="spellEnd"/>
      <w:r w:rsidRPr="00EF3081">
        <w:rPr>
          <w:rFonts w:cs="Arial"/>
          <w:i/>
          <w:szCs w:val="24"/>
        </w:rPr>
        <w:t xml:space="preserve"> v Commissioner, South African Revenue Service</w:t>
      </w:r>
      <w:r w:rsidR="007F7C3A" w:rsidRPr="00EF3081">
        <w:rPr>
          <w:rFonts w:cs="Arial"/>
          <w:szCs w:val="24"/>
        </w:rPr>
        <w:t>.</w:t>
      </w:r>
      <w:r w:rsidRPr="00956ECB">
        <w:rPr>
          <w:rStyle w:val="FootnoteReference"/>
          <w:rFonts w:cs="Arial"/>
          <w:szCs w:val="24"/>
        </w:rPr>
        <w:footnoteReference w:id="8"/>
      </w:r>
      <w:r w:rsidRPr="00EF3081">
        <w:rPr>
          <w:rFonts w:cs="Arial"/>
          <w:szCs w:val="24"/>
        </w:rPr>
        <w:t xml:space="preserve"> </w:t>
      </w:r>
      <w:r w:rsidR="007F7C3A" w:rsidRPr="00EF3081">
        <w:rPr>
          <w:rFonts w:cs="Arial"/>
          <w:szCs w:val="24"/>
        </w:rPr>
        <w:t>In this case, the SCA considered the meaning of a ‘decision’ for the purposes of appealability in relation to s 86A of the ITA. The SCA</w:t>
      </w:r>
      <w:r w:rsidRPr="00EF3081">
        <w:rPr>
          <w:rFonts w:cs="Arial"/>
          <w:szCs w:val="24"/>
        </w:rPr>
        <w:t xml:space="preserve"> stated that</w:t>
      </w:r>
      <w:r w:rsidR="003330EF" w:rsidRPr="00EF3081">
        <w:rPr>
          <w:rFonts w:cs="Arial"/>
          <w:szCs w:val="24"/>
        </w:rPr>
        <w:t>—</w:t>
      </w:r>
    </w:p>
    <w:p w14:paraId="41AA45FE" w14:textId="77777777" w:rsidR="003330EF" w:rsidRPr="00956ECB" w:rsidRDefault="003330EF" w:rsidP="009A1802">
      <w:pPr>
        <w:pStyle w:val="ListParagraph"/>
        <w:spacing w:before="240" w:after="240" w:line="360" w:lineRule="auto"/>
        <w:ind w:left="0"/>
        <w:contextualSpacing w:val="0"/>
        <w:jc w:val="both"/>
        <w:rPr>
          <w:szCs w:val="24"/>
        </w:rPr>
      </w:pPr>
      <w:r w:rsidRPr="007454A9">
        <w:rPr>
          <w:sz w:val="22"/>
        </w:rPr>
        <w:t>‘The words “</w:t>
      </w:r>
      <w:r w:rsidR="007F7C3A" w:rsidRPr="007454A9">
        <w:rPr>
          <w:sz w:val="22"/>
        </w:rPr>
        <w:t>any decision</w:t>
      </w:r>
      <w:r w:rsidRPr="00956ECB">
        <w:rPr>
          <w:sz w:val="22"/>
        </w:rPr>
        <w:t xml:space="preserve">” are also used in s 21 of the Supreme Court Act 59 of 1959. In the case of s 21 it was held that the “decision” referred to must be a decision of the same nature as a “judgment” or “order” in the sense in which those terms are used in s 20 of the Supreme Court Act 59 of 1959…. A “judgment” or “order” referred to in s 20 does not in general include “a decision which is not final (because the Court of first instance is entitled to alter it), nor definitive of the rights of the parties nor has the effect of disposing of at least a substantial portion of the relief claimed in the main proceedings” (see </w:t>
      </w:r>
      <w:proofErr w:type="spellStart"/>
      <w:r w:rsidRPr="00956ECB">
        <w:rPr>
          <w:i/>
          <w:sz w:val="22"/>
        </w:rPr>
        <w:t>Zweni</w:t>
      </w:r>
      <w:proofErr w:type="spellEnd"/>
      <w:r w:rsidRPr="00956ECB">
        <w:rPr>
          <w:i/>
          <w:sz w:val="22"/>
        </w:rPr>
        <w:t xml:space="preserve"> v Minister of Law and Order</w:t>
      </w:r>
      <w:r w:rsidRPr="00956ECB">
        <w:rPr>
          <w:sz w:val="22"/>
        </w:rPr>
        <w:t xml:space="preserve"> 1993 (1) SA 523 (A) at 536B).</w:t>
      </w:r>
    </w:p>
    <w:p w14:paraId="3C4C0408" w14:textId="77777777" w:rsidR="003330EF" w:rsidRDefault="003330EF" w:rsidP="003330EF">
      <w:pPr>
        <w:pStyle w:val="ListParagraph"/>
        <w:spacing w:before="240" w:after="240" w:line="360" w:lineRule="auto"/>
        <w:ind w:left="0"/>
        <w:contextualSpacing w:val="0"/>
        <w:jc w:val="both"/>
        <w:rPr>
          <w:sz w:val="22"/>
        </w:rPr>
      </w:pPr>
      <w:r w:rsidRPr="00956ECB">
        <w:rPr>
          <w:sz w:val="22"/>
        </w:rPr>
        <w:t>I do not think that the phrase “any decision” in s 86A should be interpreted differently and neither of the parties contended otherwise. To interpret the phrase literally would be at odds with the generally accepted view that it is in general undesirable to have a piecemeal appellate disposal of the issues in litigation and that it is advisable to limit appeals in certain respects….’</w:t>
      </w:r>
      <w:r w:rsidRPr="00956ECB">
        <w:rPr>
          <w:rStyle w:val="FootnoteReference"/>
          <w:sz w:val="22"/>
        </w:rPr>
        <w:footnoteReference w:id="9"/>
      </w:r>
    </w:p>
    <w:p w14:paraId="4B4369D1" w14:textId="77777777" w:rsidR="000A1398" w:rsidRDefault="000A1398" w:rsidP="00EF3081">
      <w:pPr>
        <w:pStyle w:val="ListParagraph"/>
        <w:numPr>
          <w:ilvl w:val="0"/>
          <w:numId w:val="39"/>
        </w:numPr>
        <w:spacing w:before="240" w:after="240" w:line="360" w:lineRule="auto"/>
        <w:jc w:val="both"/>
        <w:rPr>
          <w:sz w:val="22"/>
        </w:rPr>
      </w:pPr>
      <w:r>
        <w:rPr>
          <w:szCs w:val="24"/>
        </w:rPr>
        <w:t>In considering whether the application for the amendment is ‘interlocutory’ under s 117(3), this Court is enjoined to look beyond the form of the ‘interlocutory’ order, and consider its effect to determine its true nature.</w:t>
      </w:r>
      <w:r>
        <w:t xml:space="preserve"> In </w:t>
      </w:r>
      <w:r>
        <w:rPr>
          <w:i/>
          <w:szCs w:val="24"/>
        </w:rPr>
        <w:t>Pretoria Garrison Institutes v Danish Variety Products (Pty) Ltd</w:t>
      </w:r>
      <w:r>
        <w:rPr>
          <w:szCs w:val="24"/>
        </w:rPr>
        <w:t>, it was held that:</w:t>
      </w:r>
      <w:r>
        <w:rPr>
          <w:rStyle w:val="FootnoteReference"/>
          <w:szCs w:val="24"/>
        </w:rPr>
        <w:footnoteReference w:id="10"/>
      </w:r>
    </w:p>
    <w:p w14:paraId="743F58A1" w14:textId="77777777" w:rsidR="000A1398" w:rsidRDefault="000A1398" w:rsidP="000A1398">
      <w:pPr>
        <w:spacing w:before="240" w:after="240" w:line="360" w:lineRule="auto"/>
        <w:jc w:val="both"/>
        <w:rPr>
          <w:sz w:val="22"/>
          <w:szCs w:val="24"/>
        </w:rPr>
      </w:pPr>
      <w:r>
        <w:rPr>
          <w:sz w:val="22"/>
          <w:szCs w:val="24"/>
        </w:rPr>
        <w:t xml:space="preserve">‘…a preparatory or procedural order is a simple interlocutory order and therefore not appealable unless it is such as to “dispose of any issue or any portion of the issue in the main </w:t>
      </w:r>
      <w:r>
        <w:rPr>
          <w:sz w:val="22"/>
          <w:szCs w:val="24"/>
        </w:rPr>
        <w:lastRenderedPageBreak/>
        <w:t>action or suit” or, which amounts, I think, to the same thing, unless it “irreparably anticipates or precludes some of the relief which would or might be given at the hearing”.’</w:t>
      </w:r>
    </w:p>
    <w:p w14:paraId="45CECC13" w14:textId="49F1ACD0" w:rsidR="003527D8" w:rsidRPr="003527D8" w:rsidRDefault="009E576E" w:rsidP="00EF3081">
      <w:pPr>
        <w:pStyle w:val="ListParagraph"/>
        <w:numPr>
          <w:ilvl w:val="0"/>
          <w:numId w:val="39"/>
        </w:numPr>
        <w:spacing w:before="240" w:after="240" w:line="360" w:lineRule="auto"/>
        <w:contextualSpacing w:val="0"/>
        <w:jc w:val="both"/>
        <w:rPr>
          <w:szCs w:val="24"/>
        </w:rPr>
      </w:pPr>
      <w:r>
        <w:rPr>
          <w:szCs w:val="24"/>
        </w:rPr>
        <w:t>We</w:t>
      </w:r>
      <w:r w:rsidR="000A1398">
        <w:rPr>
          <w:szCs w:val="24"/>
        </w:rPr>
        <w:t xml:space="preserve"> therefore conclude that </w:t>
      </w:r>
      <w:r>
        <w:rPr>
          <w:szCs w:val="24"/>
        </w:rPr>
        <w:t>t</w:t>
      </w:r>
      <w:r w:rsidR="000A1398">
        <w:rPr>
          <w:szCs w:val="24"/>
        </w:rPr>
        <w:t>he reference to an ‘interlocutory’ application in s 117(3) refers to a simple interlocutory application and resulting order, whilst the reference to ‘an application in a procedural matter relating to a dispute under this Chapter as provided for in the “Rules”’, refers to those orders arising from applications specifically provided for in the Rules</w:t>
      </w:r>
      <w:r w:rsidR="0042111A">
        <w:rPr>
          <w:szCs w:val="24"/>
        </w:rPr>
        <w:t>;</w:t>
      </w:r>
      <w:r w:rsidR="003D7A42">
        <w:rPr>
          <w:szCs w:val="24"/>
        </w:rPr>
        <w:t xml:space="preserve"> provided they are final in effect</w:t>
      </w:r>
      <w:r w:rsidR="0063441E">
        <w:rPr>
          <w:szCs w:val="24"/>
        </w:rPr>
        <w:t xml:space="preserve"> and</w:t>
      </w:r>
      <w:r w:rsidR="003D7A42">
        <w:rPr>
          <w:szCs w:val="24"/>
        </w:rPr>
        <w:t xml:space="preserve"> cannot be altered by the Tax Court, </w:t>
      </w:r>
      <w:r w:rsidR="0042111A">
        <w:rPr>
          <w:szCs w:val="24"/>
        </w:rPr>
        <w:t xml:space="preserve">are </w:t>
      </w:r>
      <w:r w:rsidR="003D7A42">
        <w:rPr>
          <w:szCs w:val="24"/>
        </w:rPr>
        <w:t>definitive of the parties’ rights and  dispositive of at least a substantial portion of the issues</w:t>
      </w:r>
      <w:r w:rsidR="000A1398">
        <w:rPr>
          <w:szCs w:val="24"/>
        </w:rPr>
        <w:t xml:space="preserve">. </w:t>
      </w:r>
      <w:r w:rsidRPr="009E576E">
        <w:rPr>
          <w:szCs w:val="24"/>
        </w:rPr>
        <w:t>The</w:t>
      </w:r>
      <w:r w:rsidR="000A1398" w:rsidRPr="009E576E">
        <w:rPr>
          <w:szCs w:val="24"/>
        </w:rPr>
        <w:t xml:space="preserve"> application for an </w:t>
      </w:r>
      <w:r w:rsidR="000A1398" w:rsidRPr="003527D8">
        <w:rPr>
          <w:szCs w:val="24"/>
        </w:rPr>
        <w:t xml:space="preserve">amendment brought </w:t>
      </w:r>
      <w:r w:rsidR="003D7A42" w:rsidRPr="003527D8">
        <w:rPr>
          <w:szCs w:val="24"/>
        </w:rPr>
        <w:t xml:space="preserve">in this matter </w:t>
      </w:r>
      <w:r w:rsidR="000A1398" w:rsidRPr="003527D8">
        <w:rPr>
          <w:szCs w:val="24"/>
        </w:rPr>
        <w:t xml:space="preserve">under Rule 52 </w:t>
      </w:r>
      <w:r w:rsidRPr="003527D8">
        <w:rPr>
          <w:szCs w:val="24"/>
        </w:rPr>
        <w:t xml:space="preserve">falls within the purview of a procedural matter </w:t>
      </w:r>
      <w:r w:rsidR="000A1398" w:rsidRPr="003527D8">
        <w:rPr>
          <w:szCs w:val="24"/>
        </w:rPr>
        <w:t>and is accordingly appealable</w:t>
      </w:r>
      <w:r w:rsidR="003D7A42" w:rsidRPr="003527D8">
        <w:rPr>
          <w:szCs w:val="24"/>
        </w:rPr>
        <w:t>.</w:t>
      </w:r>
    </w:p>
    <w:p w14:paraId="2B49195C" w14:textId="51D91AFC" w:rsidR="000A1398" w:rsidRPr="003527D8" w:rsidRDefault="003D7A42" w:rsidP="00EF3081">
      <w:pPr>
        <w:pStyle w:val="ListParagraph"/>
        <w:numPr>
          <w:ilvl w:val="0"/>
          <w:numId w:val="39"/>
        </w:numPr>
        <w:spacing w:before="240" w:after="240" w:line="360" w:lineRule="auto"/>
        <w:contextualSpacing w:val="0"/>
        <w:jc w:val="both"/>
        <w:rPr>
          <w:szCs w:val="24"/>
        </w:rPr>
      </w:pPr>
      <w:r w:rsidRPr="003527D8">
        <w:rPr>
          <w:szCs w:val="24"/>
        </w:rPr>
        <w:t>We want to make it plain that we are not saying that all applications for amendment brought under Rule 52 are procedural (as opposed to interlocutory) and therefore appea</w:t>
      </w:r>
      <w:r w:rsidRPr="00275AF9">
        <w:rPr>
          <w:szCs w:val="24"/>
        </w:rPr>
        <w:t xml:space="preserve">lable. </w:t>
      </w:r>
      <w:r w:rsidR="004E026C" w:rsidRPr="00275AF9">
        <w:rPr>
          <w:szCs w:val="24"/>
        </w:rPr>
        <w:t>However, we find that t</w:t>
      </w:r>
      <w:r w:rsidRPr="00275AF9">
        <w:rPr>
          <w:szCs w:val="24"/>
        </w:rPr>
        <w:t>he application under consideration is appealable having regard to the</w:t>
      </w:r>
      <w:r w:rsidR="004E026C" w:rsidRPr="00275AF9">
        <w:rPr>
          <w:szCs w:val="24"/>
        </w:rPr>
        <w:t xml:space="preserve"> merits of this case, the </w:t>
      </w:r>
      <w:r w:rsidRPr="00275AF9">
        <w:rPr>
          <w:szCs w:val="24"/>
        </w:rPr>
        <w:t>common law considerations</w:t>
      </w:r>
      <w:r w:rsidR="004E026C" w:rsidRPr="00275AF9">
        <w:rPr>
          <w:szCs w:val="24"/>
        </w:rPr>
        <w:t xml:space="preserve"> </w:t>
      </w:r>
      <w:r w:rsidRPr="00011314">
        <w:rPr>
          <w:szCs w:val="24"/>
        </w:rPr>
        <w:t xml:space="preserve">in respect of </w:t>
      </w:r>
      <w:r w:rsidR="0042111A" w:rsidRPr="00011314">
        <w:rPr>
          <w:szCs w:val="24"/>
        </w:rPr>
        <w:t>appealability</w:t>
      </w:r>
      <w:r w:rsidR="00FB6F2B">
        <w:rPr>
          <w:szCs w:val="24"/>
        </w:rPr>
        <w:t>,</w:t>
      </w:r>
      <w:r w:rsidRPr="00011314">
        <w:rPr>
          <w:szCs w:val="24"/>
        </w:rPr>
        <w:t xml:space="preserve"> </w:t>
      </w:r>
      <w:r w:rsidR="004E026C" w:rsidRPr="003C2C6F">
        <w:rPr>
          <w:szCs w:val="24"/>
        </w:rPr>
        <w:t xml:space="preserve">as well as </w:t>
      </w:r>
      <w:r w:rsidRPr="003527D8">
        <w:rPr>
          <w:szCs w:val="24"/>
        </w:rPr>
        <w:t xml:space="preserve">the interests of justice </w:t>
      </w:r>
      <w:r w:rsidR="000F3D2B">
        <w:rPr>
          <w:szCs w:val="24"/>
        </w:rPr>
        <w:t>(</w:t>
      </w:r>
      <w:r w:rsidRPr="003527D8">
        <w:rPr>
          <w:szCs w:val="24"/>
        </w:rPr>
        <w:t>as discussed hereinafter</w:t>
      </w:r>
      <w:r w:rsidR="000F3D2B">
        <w:rPr>
          <w:szCs w:val="24"/>
        </w:rPr>
        <w:t>)</w:t>
      </w:r>
      <w:r w:rsidRPr="003527D8">
        <w:rPr>
          <w:szCs w:val="24"/>
        </w:rPr>
        <w:t>.</w:t>
      </w:r>
    </w:p>
    <w:p w14:paraId="2E5EB497" w14:textId="77777777" w:rsidR="00A601E3" w:rsidRPr="00306B8A" w:rsidRDefault="00A601E3" w:rsidP="009A1802">
      <w:pPr>
        <w:pStyle w:val="ListParagraph"/>
        <w:spacing w:before="360" w:after="360" w:line="360" w:lineRule="auto"/>
        <w:ind w:left="0"/>
        <w:contextualSpacing w:val="0"/>
        <w:jc w:val="both"/>
        <w:rPr>
          <w:b/>
          <w:i/>
          <w:szCs w:val="24"/>
        </w:rPr>
      </w:pPr>
      <w:r w:rsidRPr="00306B8A">
        <w:rPr>
          <w:b/>
          <w:i/>
          <w:szCs w:val="24"/>
        </w:rPr>
        <w:t>The interests of justice</w:t>
      </w:r>
    </w:p>
    <w:p w14:paraId="0242DA5A" w14:textId="5096E381" w:rsidR="00667722" w:rsidRDefault="009F5B52" w:rsidP="00EF3081">
      <w:pPr>
        <w:pStyle w:val="ListParagraph"/>
        <w:numPr>
          <w:ilvl w:val="0"/>
          <w:numId w:val="39"/>
        </w:numPr>
        <w:snapToGrid w:val="0"/>
        <w:spacing w:before="240" w:after="240" w:line="360" w:lineRule="auto"/>
        <w:jc w:val="both"/>
        <w:rPr>
          <w:rFonts w:cs="Arial"/>
          <w:szCs w:val="24"/>
        </w:rPr>
      </w:pPr>
      <w:r w:rsidRPr="007454A9">
        <w:rPr>
          <w:szCs w:val="24"/>
        </w:rPr>
        <w:t xml:space="preserve">In conclusion on the issue of appealability, the </w:t>
      </w:r>
      <w:r w:rsidR="0081782D">
        <w:rPr>
          <w:szCs w:val="24"/>
        </w:rPr>
        <w:t>C</w:t>
      </w:r>
      <w:r w:rsidRPr="007454A9">
        <w:rPr>
          <w:szCs w:val="24"/>
        </w:rPr>
        <w:t xml:space="preserve">ourt must take into account whether it is in the interests of justice to find that the order is appealable. </w:t>
      </w:r>
      <w:r w:rsidR="00804688" w:rsidRPr="007454A9">
        <w:rPr>
          <w:szCs w:val="24"/>
        </w:rPr>
        <w:t>We consider that</w:t>
      </w:r>
      <w:r w:rsidR="00804688" w:rsidRPr="00956ECB">
        <w:rPr>
          <w:szCs w:val="24"/>
        </w:rPr>
        <w:t xml:space="preserve"> it is</w:t>
      </w:r>
      <w:r w:rsidR="00956ECB" w:rsidRPr="00956ECB">
        <w:rPr>
          <w:szCs w:val="24"/>
        </w:rPr>
        <w:t>,</w:t>
      </w:r>
      <w:r w:rsidR="00804688" w:rsidRPr="00956ECB">
        <w:rPr>
          <w:szCs w:val="24"/>
        </w:rPr>
        <w:t xml:space="preserve"> as </w:t>
      </w:r>
      <w:r w:rsidR="00956ECB" w:rsidRPr="00956ECB">
        <w:rPr>
          <w:szCs w:val="24"/>
        </w:rPr>
        <w:t xml:space="preserve">the </w:t>
      </w:r>
      <w:r w:rsidR="00804688" w:rsidRPr="00E704E0">
        <w:rPr>
          <w:rFonts w:cs="Arial"/>
          <w:szCs w:val="24"/>
        </w:rPr>
        <w:t>appeal would lead to a just</w:t>
      </w:r>
      <w:r w:rsidR="00032D0E">
        <w:rPr>
          <w:rFonts w:cs="Arial"/>
          <w:szCs w:val="24"/>
        </w:rPr>
        <w:t>,</w:t>
      </w:r>
      <w:r w:rsidR="00804688" w:rsidRPr="00E704E0">
        <w:rPr>
          <w:rFonts w:cs="Arial"/>
          <w:szCs w:val="24"/>
        </w:rPr>
        <w:t xml:space="preserve"> reasonable </w:t>
      </w:r>
      <w:r w:rsidR="00032D0E">
        <w:rPr>
          <w:rFonts w:cs="Arial"/>
          <w:szCs w:val="24"/>
        </w:rPr>
        <w:t xml:space="preserve">and </w:t>
      </w:r>
      <w:r w:rsidR="00804688" w:rsidRPr="00E704E0">
        <w:rPr>
          <w:rFonts w:cs="Arial"/>
          <w:szCs w:val="24"/>
        </w:rPr>
        <w:t>prompt solution of the real issues between the parties.</w:t>
      </w:r>
      <w:r w:rsidRPr="00956ECB">
        <w:rPr>
          <w:szCs w:val="24"/>
        </w:rPr>
        <w:t xml:space="preserve"> </w:t>
      </w:r>
      <w:r w:rsidR="00667722">
        <w:rPr>
          <w:rFonts w:cs="Arial"/>
        </w:rPr>
        <w:t>In</w:t>
      </w:r>
      <w:r w:rsidR="00667722">
        <w:rPr>
          <w:rFonts w:cs="Arial"/>
          <w:i/>
        </w:rPr>
        <w:t xml:space="preserve"> International Trade Administration Commission v SCAW South Africa (Pty) Ltd</w:t>
      </w:r>
      <w:r w:rsidR="00667722">
        <w:rPr>
          <w:rFonts w:cs="Arial"/>
          <w:iCs/>
        </w:rPr>
        <w:t>,</w:t>
      </w:r>
      <w:r w:rsidR="00667722">
        <w:rPr>
          <w:rStyle w:val="FootnoteReference"/>
          <w:rFonts w:cs="Arial"/>
          <w:iCs/>
        </w:rPr>
        <w:footnoteReference w:id="11"/>
      </w:r>
      <w:r w:rsidR="00667722">
        <w:rPr>
          <w:rFonts w:cs="Arial"/>
        </w:rPr>
        <w:t xml:space="preserve"> the Constitutional Court provided a synopsis of the jurisprudence post the test as set out in </w:t>
      </w:r>
      <w:proofErr w:type="spellStart"/>
      <w:r w:rsidR="00667722">
        <w:rPr>
          <w:rFonts w:cs="Arial"/>
          <w:i/>
        </w:rPr>
        <w:t>Zweni</w:t>
      </w:r>
      <w:proofErr w:type="spellEnd"/>
      <w:r w:rsidR="00667722">
        <w:rPr>
          <w:rFonts w:cs="Arial"/>
          <w:i/>
        </w:rPr>
        <w:t xml:space="preserve"> v Minister of Law and Order.</w:t>
      </w:r>
      <w:r w:rsidR="00667722">
        <w:rPr>
          <w:rStyle w:val="FootnoteReference"/>
          <w:rFonts w:cs="Arial"/>
          <w:iCs/>
        </w:rPr>
        <w:footnoteReference w:id="12"/>
      </w:r>
      <w:r w:rsidR="00667722">
        <w:rPr>
          <w:rFonts w:cs="Arial"/>
          <w:i/>
        </w:rPr>
        <w:t xml:space="preserve"> </w:t>
      </w:r>
      <w:r w:rsidR="00667722">
        <w:rPr>
          <w:rFonts w:cs="Arial"/>
        </w:rPr>
        <w:t xml:space="preserve">In </w:t>
      </w:r>
      <w:proofErr w:type="spellStart"/>
      <w:r w:rsidR="00667722">
        <w:rPr>
          <w:rFonts w:cs="Arial"/>
          <w:i/>
          <w:iCs/>
        </w:rPr>
        <w:t>Zweni</w:t>
      </w:r>
      <w:proofErr w:type="spellEnd"/>
      <w:r w:rsidR="00667722">
        <w:rPr>
          <w:rFonts w:cs="Arial"/>
        </w:rPr>
        <w:t>, the test for appealability required the following three attributes, namely, that—</w:t>
      </w:r>
    </w:p>
    <w:p w14:paraId="59BF6BD6" w14:textId="77777777" w:rsidR="00667722" w:rsidRDefault="00667722" w:rsidP="00667722">
      <w:pPr>
        <w:spacing w:before="240" w:after="240" w:line="360" w:lineRule="auto"/>
        <w:jc w:val="both"/>
        <w:rPr>
          <w:rFonts w:cs="Arial"/>
          <w:sz w:val="22"/>
        </w:rPr>
      </w:pPr>
      <w:r>
        <w:rPr>
          <w:rFonts w:cs="Arial"/>
          <w:sz w:val="22"/>
        </w:rPr>
        <w:t>‘</w:t>
      </w:r>
      <w:r>
        <w:rPr>
          <w:rFonts w:cs="Arial"/>
          <w:iCs/>
          <w:sz w:val="22"/>
        </w:rPr>
        <w:t>…the decision must be final in effect and not open to alteration by the court of first instance; it must be definitive of the rights of the parties; and, third, it must have the effect of disposing of at least a substantial portion of the relief claimed in the main proceedings….</w:t>
      </w:r>
      <w:r>
        <w:rPr>
          <w:rFonts w:cs="Arial"/>
          <w:sz w:val="22"/>
        </w:rPr>
        <w:t>’</w:t>
      </w:r>
      <w:r>
        <w:rPr>
          <w:rStyle w:val="FootnoteReference"/>
          <w:rFonts w:cs="Arial"/>
          <w:sz w:val="22"/>
        </w:rPr>
        <w:footnoteReference w:id="13"/>
      </w:r>
    </w:p>
    <w:p w14:paraId="1F98D2FA" w14:textId="77777777" w:rsidR="00667722" w:rsidRDefault="00667722" w:rsidP="00EF3081">
      <w:pPr>
        <w:pStyle w:val="11"/>
        <w:numPr>
          <w:ilvl w:val="0"/>
          <w:numId w:val="39"/>
        </w:numPr>
        <w:tabs>
          <w:tab w:val="left" w:pos="720"/>
        </w:tabs>
        <w:spacing w:before="240" w:after="240" w:line="360" w:lineRule="auto"/>
      </w:pPr>
      <w:r>
        <w:rPr>
          <w:iCs/>
        </w:rPr>
        <w:lastRenderedPageBreak/>
        <w:t xml:space="preserve">The Constitutional Court in </w:t>
      </w:r>
      <w:r>
        <w:rPr>
          <w:i/>
          <w:iCs/>
        </w:rPr>
        <w:t xml:space="preserve">SCAW </w:t>
      </w:r>
      <w:r>
        <w:rPr>
          <w:iCs/>
        </w:rPr>
        <w:t>dealt with the evolution in the law relating to appealability of orders as follows:</w:t>
      </w:r>
    </w:p>
    <w:p w14:paraId="44E29052"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 xml:space="preserve">‘After </w:t>
      </w:r>
      <w:proofErr w:type="spellStart"/>
      <w:r>
        <w:rPr>
          <w:rFonts w:ascii="Arial" w:hAnsi="Arial" w:cs="Arial"/>
          <w:szCs w:val="24"/>
        </w:rPr>
        <w:t>Zweni</w:t>
      </w:r>
      <w:proofErr w:type="spellEnd"/>
      <w:r>
        <w:rPr>
          <w:rFonts w:ascii="Arial" w:hAnsi="Arial" w:cs="Arial"/>
          <w:i w:val="0"/>
          <w:szCs w:val="24"/>
        </w:rPr>
        <w:t xml:space="preserve"> the Supreme Court of Appeal has recognised that the general rule against piecemeal appeals could conflict with the interests of justice in a particular case. Howie P — writing for a unanimous court in </w:t>
      </w:r>
      <w:r>
        <w:rPr>
          <w:rFonts w:ascii="Arial" w:hAnsi="Arial" w:cs="Arial"/>
          <w:szCs w:val="24"/>
        </w:rPr>
        <w:t xml:space="preserve">S v Western Areas </w:t>
      </w:r>
      <w:r>
        <w:rPr>
          <w:rFonts w:ascii="Arial" w:hAnsi="Arial" w:cs="Arial"/>
          <w:i w:val="0"/>
          <w:szCs w:val="24"/>
        </w:rPr>
        <w:t xml:space="preserve">[2005 (5) SA 214 (SCA)] … concluded that the general principles enunciated in </w:t>
      </w:r>
      <w:proofErr w:type="spellStart"/>
      <w:r>
        <w:rPr>
          <w:rFonts w:ascii="Arial" w:hAnsi="Arial" w:cs="Arial"/>
          <w:szCs w:val="24"/>
        </w:rPr>
        <w:t>Zweni</w:t>
      </w:r>
      <w:proofErr w:type="spellEnd"/>
      <w:r>
        <w:rPr>
          <w:rFonts w:ascii="Arial" w:hAnsi="Arial" w:cs="Arial"/>
          <w:szCs w:val="24"/>
        </w:rPr>
        <w:t xml:space="preserve"> </w:t>
      </w:r>
      <w:r>
        <w:rPr>
          <w:rFonts w:ascii="Arial" w:hAnsi="Arial" w:cs="Arial"/>
          <w:i w:val="0"/>
          <w:szCs w:val="24"/>
        </w:rPr>
        <w:t>are neither exhaustive nor cast in stone. He further held that:</w:t>
      </w:r>
    </w:p>
    <w:p w14:paraId="42C768EA"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 xml:space="preserve">“(I)t would accord with the obligation imposed by s 39(2) of the Constitution to construe the word decision in s 21(1) of the Supreme Court Act to include a judicial pronouncement in criminal proceedings that is not appealable on the </w:t>
      </w:r>
      <w:proofErr w:type="spellStart"/>
      <w:r>
        <w:rPr>
          <w:rFonts w:ascii="Arial" w:hAnsi="Arial" w:cs="Arial"/>
          <w:szCs w:val="24"/>
        </w:rPr>
        <w:t>Zweni</w:t>
      </w:r>
      <w:proofErr w:type="spellEnd"/>
      <w:r>
        <w:rPr>
          <w:rFonts w:ascii="Arial" w:hAnsi="Arial" w:cs="Arial"/>
          <w:i w:val="0"/>
          <w:szCs w:val="24"/>
        </w:rPr>
        <w:t xml:space="preserve"> test but one which the interests of justice require should nevertheless be subject to an appeal before termination of such proceedings. The scope which this extended meaning could have in civil proceedings is unnecessary to decide. It need hardly be said that </w:t>
      </w:r>
      <w:r>
        <w:rPr>
          <w:rFonts w:ascii="Arial" w:hAnsi="Arial" w:cs="Arial"/>
          <w:szCs w:val="24"/>
        </w:rPr>
        <w:t xml:space="preserve">what the interests of justice require </w:t>
      </w:r>
      <w:r>
        <w:rPr>
          <w:rFonts w:ascii="Arial" w:hAnsi="Arial" w:cs="Arial"/>
          <w:i w:val="0"/>
          <w:szCs w:val="24"/>
        </w:rPr>
        <w:t>depends on the facts of each particular case.” …</w:t>
      </w:r>
    </w:p>
    <w:p w14:paraId="7710ABA7"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 xml:space="preserve">More recently, in </w:t>
      </w:r>
      <w:r>
        <w:rPr>
          <w:rFonts w:ascii="Arial" w:hAnsi="Arial" w:cs="Arial"/>
          <w:szCs w:val="24"/>
        </w:rPr>
        <w:t>Philani-Ma-</w:t>
      </w:r>
      <w:proofErr w:type="spellStart"/>
      <w:r>
        <w:rPr>
          <w:rFonts w:ascii="Arial" w:hAnsi="Arial" w:cs="Arial"/>
          <w:szCs w:val="24"/>
        </w:rPr>
        <w:t>Afrika</w:t>
      </w:r>
      <w:proofErr w:type="spellEnd"/>
      <w:r>
        <w:rPr>
          <w:rFonts w:ascii="Arial" w:hAnsi="Arial" w:cs="Arial"/>
          <w:i w:val="0"/>
          <w:szCs w:val="24"/>
        </w:rPr>
        <w:t xml:space="preserve"> </w:t>
      </w:r>
      <w:r>
        <w:rPr>
          <w:rFonts w:ascii="Arial" w:hAnsi="Arial" w:cs="Arial"/>
          <w:szCs w:val="24"/>
        </w:rPr>
        <w:t xml:space="preserve">and Others v </w:t>
      </w:r>
      <w:proofErr w:type="spellStart"/>
      <w:r>
        <w:rPr>
          <w:rFonts w:ascii="Arial" w:hAnsi="Arial" w:cs="Arial"/>
          <w:szCs w:val="24"/>
        </w:rPr>
        <w:t>Mailula</w:t>
      </w:r>
      <w:proofErr w:type="spellEnd"/>
      <w:r>
        <w:rPr>
          <w:rFonts w:ascii="Arial" w:hAnsi="Arial" w:cs="Arial"/>
          <w:i w:val="0"/>
          <w:szCs w:val="24"/>
        </w:rPr>
        <w:t xml:space="preserve"> </w:t>
      </w:r>
      <w:r>
        <w:rPr>
          <w:rFonts w:ascii="Arial" w:hAnsi="Arial" w:cs="Arial"/>
          <w:szCs w:val="24"/>
        </w:rPr>
        <w:t>and Others</w:t>
      </w:r>
      <w:r>
        <w:rPr>
          <w:rFonts w:ascii="Arial" w:hAnsi="Arial" w:cs="Arial"/>
          <w:i w:val="0"/>
          <w:szCs w:val="24"/>
        </w:rPr>
        <w:t xml:space="preserve"> [2010 (2) SA 573 (SCA)], the Supreme Court of Appeal had to decide whether an order of the high court which puts an eviction order into operation pending an appeal was appealable. In a unanimous judgment by </w:t>
      </w:r>
      <w:proofErr w:type="spellStart"/>
      <w:r>
        <w:rPr>
          <w:rFonts w:ascii="Arial" w:hAnsi="Arial" w:cs="Arial"/>
          <w:i w:val="0"/>
          <w:szCs w:val="24"/>
        </w:rPr>
        <w:t>Farlam</w:t>
      </w:r>
      <w:proofErr w:type="spellEnd"/>
      <w:r>
        <w:rPr>
          <w:rFonts w:ascii="Arial" w:hAnsi="Arial" w:cs="Arial"/>
          <w:i w:val="0"/>
          <w:szCs w:val="24"/>
        </w:rPr>
        <w:t xml:space="preserve"> JA, the court held that the execution order was susceptible to appeal. It reasoned that it is clear from cases such as </w:t>
      </w:r>
      <w:r>
        <w:rPr>
          <w:rFonts w:ascii="Arial" w:hAnsi="Arial" w:cs="Arial"/>
          <w:szCs w:val="24"/>
        </w:rPr>
        <w:t>S v Western Areas</w:t>
      </w:r>
      <w:r>
        <w:rPr>
          <w:rFonts w:ascii="Arial" w:hAnsi="Arial" w:cs="Arial"/>
          <w:i w:val="0"/>
          <w:szCs w:val="24"/>
        </w:rPr>
        <w:t xml:space="preserve"> that “what is of paramount importance in deciding whether a judgment is appealable is </w:t>
      </w:r>
      <w:r>
        <w:rPr>
          <w:rFonts w:ascii="Arial" w:hAnsi="Arial" w:cs="Arial"/>
          <w:szCs w:val="24"/>
        </w:rPr>
        <w:t>the interests of justice</w:t>
      </w:r>
      <w:r>
        <w:rPr>
          <w:rFonts w:ascii="Arial" w:hAnsi="Arial" w:cs="Arial"/>
          <w:i w:val="0"/>
          <w:szCs w:val="24"/>
        </w:rPr>
        <w:t>” (emphasis added).</w:t>
      </w:r>
    </w:p>
    <w:p w14:paraId="55960CEB"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 xml:space="preserve">As we have seen, the Supreme Court of Appeal has adapted the general principles on the appealability of interim orders, in my respectful view, correctly so, to accord with the equitable and the more context-sensitive standard of the interests of justice favoured by our Constitution. In any event, the </w:t>
      </w:r>
      <w:proofErr w:type="spellStart"/>
      <w:r>
        <w:rPr>
          <w:rFonts w:ascii="Arial" w:hAnsi="Arial" w:cs="Arial"/>
          <w:szCs w:val="24"/>
        </w:rPr>
        <w:t>Zweni</w:t>
      </w:r>
      <w:proofErr w:type="spellEnd"/>
      <w:r>
        <w:rPr>
          <w:rFonts w:ascii="Arial" w:hAnsi="Arial" w:cs="Arial"/>
          <w:i w:val="0"/>
          <w:szCs w:val="24"/>
        </w:rPr>
        <w:t xml:space="preserve"> requirements on when a decision may be appealed against were never without qualification….</w:t>
      </w:r>
    </w:p>
    <w:p w14:paraId="787A78E5"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 xml:space="preserve">…[I]n </w:t>
      </w:r>
      <w:proofErr w:type="spellStart"/>
      <w:r>
        <w:rPr>
          <w:rFonts w:ascii="Arial" w:hAnsi="Arial" w:cs="Arial"/>
          <w:szCs w:val="24"/>
        </w:rPr>
        <w:t>Machele</w:t>
      </w:r>
      <w:proofErr w:type="spellEnd"/>
      <w:r>
        <w:rPr>
          <w:rFonts w:ascii="Arial" w:hAnsi="Arial" w:cs="Arial"/>
          <w:szCs w:val="24"/>
        </w:rPr>
        <w:t xml:space="preserve"> and Others v </w:t>
      </w:r>
      <w:proofErr w:type="spellStart"/>
      <w:r>
        <w:rPr>
          <w:rFonts w:ascii="Arial" w:hAnsi="Arial" w:cs="Arial"/>
          <w:szCs w:val="24"/>
        </w:rPr>
        <w:t>Mailula</w:t>
      </w:r>
      <w:proofErr w:type="spellEnd"/>
      <w:r>
        <w:rPr>
          <w:rFonts w:ascii="Arial" w:hAnsi="Arial" w:cs="Arial"/>
          <w:szCs w:val="24"/>
        </w:rPr>
        <w:t xml:space="preserve"> and Others </w:t>
      </w:r>
      <w:r>
        <w:rPr>
          <w:rFonts w:ascii="Arial" w:hAnsi="Arial" w:cs="Arial"/>
          <w:i w:val="0"/>
          <w:szCs w:val="24"/>
        </w:rPr>
        <w:t>… [the court] reaffirmed the importance of “irreparable harm” as a factor in assessing whether to hear an appeal against an interim order, albeit an order of execution:</w:t>
      </w:r>
    </w:p>
    <w:p w14:paraId="0D7CEE1E" w14:textId="77777777" w:rsidR="00667722" w:rsidRDefault="00667722" w:rsidP="00667722">
      <w:pPr>
        <w:pStyle w:val="Quotation"/>
        <w:spacing w:line="360" w:lineRule="auto"/>
        <w:ind w:left="0" w:firstLine="0"/>
        <w:rPr>
          <w:rFonts w:ascii="Arial" w:hAnsi="Arial" w:cs="Arial"/>
          <w:i w:val="0"/>
          <w:szCs w:val="24"/>
        </w:rPr>
      </w:pPr>
      <w:r>
        <w:rPr>
          <w:rFonts w:ascii="Arial" w:hAnsi="Arial" w:cs="Arial"/>
          <w:i w:val="0"/>
          <w:szCs w:val="24"/>
        </w:rPr>
        <w:t>“'The primary consideration in determining whether it is in the interests of justice for a litigant to be granted leave to appeal against an interim order of execution is, therefore, whether irreparable harm would result if leave to appeal is not granted.”</w:t>
      </w:r>
    </w:p>
    <w:p w14:paraId="0CC7B15E" w14:textId="77777777" w:rsidR="00667722" w:rsidRPr="00FB6F2B" w:rsidRDefault="00667722" w:rsidP="00667722">
      <w:pPr>
        <w:pStyle w:val="Quotation"/>
        <w:spacing w:line="360" w:lineRule="auto"/>
        <w:ind w:left="0" w:firstLine="0"/>
        <w:rPr>
          <w:rFonts w:ascii="Arial" w:hAnsi="Arial" w:cs="Arial"/>
        </w:rPr>
      </w:pPr>
      <w:r>
        <w:rPr>
          <w:rFonts w:ascii="Arial" w:hAnsi="Arial" w:cs="Arial"/>
          <w:i w:val="0"/>
          <w:szCs w:val="24"/>
        </w:rPr>
        <w:lastRenderedPageBreak/>
        <w:t xml:space="preserve">… The test of irreparable harm must take its place alongside other important and relevant considerations that speak to what is in the interests of justice, such as the kind and importance of the constitutional issue raised; whether there are prospects of success; whether the decision, although interlocutory, has a final effect; and whether irreparable harm will result if leave to appeal is not granted. It bears repetition that what is in the interests of justice will depend on a careful evaluation of all the relevant considerations in a particular </w:t>
      </w:r>
      <w:r w:rsidRPr="00FB6F2B">
        <w:rPr>
          <w:rFonts w:ascii="Arial" w:hAnsi="Arial" w:cs="Arial"/>
          <w:i w:val="0"/>
        </w:rPr>
        <w:t>case.’</w:t>
      </w:r>
      <w:r w:rsidRPr="00FB6F2B">
        <w:rPr>
          <w:rStyle w:val="FootnoteReference"/>
          <w:rFonts w:ascii="Arial" w:hAnsi="Arial" w:cs="Arial"/>
          <w:i w:val="0"/>
          <w:iCs/>
        </w:rPr>
        <w:footnoteReference w:id="14"/>
      </w:r>
    </w:p>
    <w:p w14:paraId="63EC2D07" w14:textId="77777777" w:rsidR="003B7921" w:rsidRPr="00956ECB" w:rsidRDefault="00C71ACD" w:rsidP="00EF3081">
      <w:pPr>
        <w:pStyle w:val="ListParagraph"/>
        <w:numPr>
          <w:ilvl w:val="0"/>
          <w:numId w:val="39"/>
        </w:numPr>
        <w:snapToGrid w:val="0"/>
        <w:spacing w:before="240" w:after="240" w:line="360" w:lineRule="auto"/>
        <w:contextualSpacing w:val="0"/>
        <w:jc w:val="both"/>
        <w:rPr>
          <w:rFonts w:cs="Arial"/>
          <w:szCs w:val="24"/>
        </w:rPr>
      </w:pPr>
      <w:r w:rsidRPr="00956ECB">
        <w:rPr>
          <w:rFonts w:cs="Arial"/>
          <w:szCs w:val="24"/>
        </w:rPr>
        <w:t xml:space="preserve">In considering this question, </w:t>
      </w:r>
      <w:r w:rsidRPr="00306B8A">
        <w:rPr>
          <w:rFonts w:cs="Arial"/>
          <w:iCs/>
          <w:szCs w:val="24"/>
        </w:rPr>
        <w:t>Maya P in</w:t>
      </w:r>
      <w:r w:rsidRPr="00306B8A">
        <w:rPr>
          <w:rFonts w:cs="Arial"/>
          <w:i/>
          <w:iCs/>
          <w:szCs w:val="24"/>
        </w:rPr>
        <w:t xml:space="preserve"> Director-General, Department of Home Affairs v Islam</w:t>
      </w:r>
      <w:r w:rsidRPr="007454A9">
        <w:rPr>
          <w:rFonts w:cs="Arial"/>
          <w:szCs w:val="24"/>
        </w:rPr>
        <w:t xml:space="preserve"> held:</w:t>
      </w:r>
      <w:r w:rsidRPr="00956ECB">
        <w:rPr>
          <w:rStyle w:val="FootnoteReference"/>
          <w:rFonts w:cs="Arial"/>
          <w:szCs w:val="24"/>
        </w:rPr>
        <w:footnoteReference w:id="15"/>
      </w:r>
    </w:p>
    <w:p w14:paraId="76884320" w14:textId="77777777" w:rsidR="003B7921" w:rsidRPr="007454A9" w:rsidRDefault="003B7921" w:rsidP="003B7921">
      <w:pPr>
        <w:pStyle w:val="ListParagraph"/>
        <w:snapToGrid w:val="0"/>
        <w:spacing w:before="240" w:after="240" w:line="360" w:lineRule="auto"/>
        <w:ind w:left="0"/>
        <w:contextualSpacing w:val="0"/>
        <w:jc w:val="both"/>
        <w:rPr>
          <w:rFonts w:cs="Arial"/>
          <w:sz w:val="22"/>
          <w:szCs w:val="24"/>
        </w:rPr>
      </w:pPr>
      <w:r w:rsidRPr="00306B8A">
        <w:rPr>
          <w:rFonts w:cs="Arial"/>
          <w:sz w:val="22"/>
          <w:szCs w:val="24"/>
        </w:rPr>
        <w:t xml:space="preserve">‘Traditionally, under common law, an interim order was not appealable except where it was shown that it was (a) final in effect as it could not be altered by the court which granted it; (b) definitive of the rights of the parties in that it granted definitive and distinct relief; and (c) was dispositive of at least a substantial portion of the relief claimed in the main proceedings. The test has since evolved. So whilst the traditional requirements are still important considerations, the court may in </w:t>
      </w:r>
      <w:r w:rsidRPr="007454A9">
        <w:rPr>
          <w:rFonts w:cs="Arial"/>
          <w:sz w:val="22"/>
          <w:szCs w:val="24"/>
        </w:rPr>
        <w:t xml:space="preserve">appropriate circumstances dispense with one or more of those requirements if to do so would be in the interests of, having regard to the court’s duty to promote the spirit, purpose and objects of the Constitution </w:t>
      </w:r>
      <w:proofErr w:type="spellStart"/>
      <w:r w:rsidRPr="007454A9">
        <w:rPr>
          <w:rFonts w:cs="Arial"/>
          <w:sz w:val="22"/>
          <w:szCs w:val="24"/>
        </w:rPr>
        <w:t>eg</w:t>
      </w:r>
      <w:proofErr w:type="spellEnd"/>
      <w:r w:rsidRPr="007454A9">
        <w:rPr>
          <w:rFonts w:cs="Arial"/>
          <w:sz w:val="22"/>
          <w:szCs w:val="24"/>
        </w:rPr>
        <w:t xml:space="preserve"> where the interim order “has an immediate and substantial effect, including whether the harm that flows from it is serious, immediate, ongoing and irreparable”.’</w:t>
      </w:r>
    </w:p>
    <w:p w14:paraId="6F63788F" w14:textId="698A84F1" w:rsidR="00EF3081" w:rsidRPr="00EF3081" w:rsidRDefault="00804688" w:rsidP="00EF3081">
      <w:pPr>
        <w:pStyle w:val="ListParagraph"/>
        <w:numPr>
          <w:ilvl w:val="0"/>
          <w:numId w:val="39"/>
        </w:numPr>
        <w:spacing w:before="240" w:after="240" w:line="360" w:lineRule="auto"/>
        <w:contextualSpacing w:val="0"/>
        <w:jc w:val="both"/>
        <w:rPr>
          <w:rFonts w:cs="Arial"/>
          <w:u w:val="single"/>
        </w:rPr>
      </w:pPr>
      <w:r w:rsidRPr="007454A9">
        <w:rPr>
          <w:szCs w:val="24"/>
        </w:rPr>
        <w:t>As set out above, t</w:t>
      </w:r>
      <w:r w:rsidR="00E575EB" w:rsidRPr="007454A9">
        <w:rPr>
          <w:szCs w:val="24"/>
        </w:rPr>
        <w:t xml:space="preserve">he respondent, in </w:t>
      </w:r>
      <w:r w:rsidR="00667722">
        <w:rPr>
          <w:szCs w:val="24"/>
        </w:rPr>
        <w:t xml:space="preserve">submitting </w:t>
      </w:r>
      <w:r w:rsidR="00E575EB" w:rsidRPr="007454A9">
        <w:rPr>
          <w:szCs w:val="24"/>
        </w:rPr>
        <w:t>that the applicatio</w:t>
      </w:r>
      <w:r w:rsidR="00E575EB" w:rsidRPr="00956ECB">
        <w:rPr>
          <w:szCs w:val="24"/>
        </w:rPr>
        <w:t>n for the amendment was purely interlocutory, contended that</w:t>
      </w:r>
      <w:r w:rsidR="00E575EB" w:rsidRPr="00956ECB">
        <w:t xml:space="preserve"> </w:t>
      </w:r>
      <w:r w:rsidR="00E575EB" w:rsidRPr="00956ECB">
        <w:rPr>
          <w:szCs w:val="24"/>
        </w:rPr>
        <w:t xml:space="preserve">the consequence of any interlocutory decision which is adverse to the taxpayer, can be negated </w:t>
      </w:r>
      <w:r w:rsidR="000026DC">
        <w:rPr>
          <w:szCs w:val="24"/>
        </w:rPr>
        <w:t xml:space="preserve">by the </w:t>
      </w:r>
      <w:r w:rsidR="00E575EB" w:rsidRPr="00956ECB">
        <w:rPr>
          <w:szCs w:val="24"/>
        </w:rPr>
        <w:t xml:space="preserve">Tax Court </w:t>
      </w:r>
      <w:r w:rsidR="000026DC">
        <w:rPr>
          <w:szCs w:val="24"/>
        </w:rPr>
        <w:t>which court can make one o</w:t>
      </w:r>
      <w:r w:rsidR="00E575EB" w:rsidRPr="00956ECB">
        <w:rPr>
          <w:szCs w:val="24"/>
        </w:rPr>
        <w:t xml:space="preserve">r </w:t>
      </w:r>
      <w:r w:rsidR="000026DC">
        <w:rPr>
          <w:szCs w:val="24"/>
        </w:rPr>
        <w:t xml:space="preserve">other of </w:t>
      </w:r>
      <w:r w:rsidR="00E575EB" w:rsidRPr="00956ECB">
        <w:rPr>
          <w:szCs w:val="24"/>
        </w:rPr>
        <w:t>the orders contemplated in s 129(2</w:t>
      </w:r>
      <w:proofErr w:type="gramStart"/>
      <w:r w:rsidR="00E575EB" w:rsidRPr="00956ECB">
        <w:rPr>
          <w:szCs w:val="24"/>
        </w:rPr>
        <w:t>)(</w:t>
      </w:r>
      <w:proofErr w:type="gramEnd"/>
      <w:r w:rsidR="00E575EB" w:rsidRPr="00956ECB">
        <w:rPr>
          <w:szCs w:val="24"/>
        </w:rPr>
        <w:t xml:space="preserve">a) or s 129(2)(b) of the TAA. </w:t>
      </w:r>
      <w:r w:rsidRPr="00956ECB">
        <w:rPr>
          <w:rFonts w:cs="Arial"/>
        </w:rPr>
        <w:t>The</w:t>
      </w:r>
      <w:r w:rsidR="00E575EB" w:rsidRPr="00956ECB">
        <w:rPr>
          <w:rFonts w:cs="Arial"/>
        </w:rPr>
        <w:t xml:space="preserve"> Tax Court could refer the assessment back to the respondent for further examination and assessment in terms of s</w:t>
      </w:r>
      <w:r w:rsidR="00E575EB" w:rsidRPr="00956ECB">
        <w:t> </w:t>
      </w:r>
      <w:r w:rsidR="00E575EB" w:rsidRPr="00956ECB">
        <w:rPr>
          <w:rFonts w:cs="Arial"/>
        </w:rPr>
        <w:t>129(2)(c) of the TAA</w:t>
      </w:r>
      <w:r w:rsidR="00FB6F2B">
        <w:rPr>
          <w:rFonts w:cs="Arial"/>
        </w:rPr>
        <w:t>,</w:t>
      </w:r>
      <w:r w:rsidR="00E575EB" w:rsidRPr="00956ECB">
        <w:rPr>
          <w:rFonts w:cs="Arial"/>
        </w:rPr>
        <w:t xml:space="preserve"> or the Tax Court could make a final order in terms of s 129(2)(a) or s 129(2)(b).</w:t>
      </w:r>
    </w:p>
    <w:p w14:paraId="3B78595A" w14:textId="73CFBF7A" w:rsidR="009A1802" w:rsidRPr="00EF3081" w:rsidRDefault="00E575EB" w:rsidP="00EF3081">
      <w:pPr>
        <w:pStyle w:val="ListParagraph"/>
        <w:numPr>
          <w:ilvl w:val="0"/>
          <w:numId w:val="39"/>
        </w:numPr>
        <w:spacing w:before="240" w:after="240" w:line="360" w:lineRule="auto"/>
        <w:contextualSpacing w:val="0"/>
        <w:jc w:val="both"/>
        <w:rPr>
          <w:rFonts w:cs="Arial"/>
          <w:u w:val="single"/>
        </w:rPr>
      </w:pPr>
      <w:r w:rsidRPr="00EF3081">
        <w:rPr>
          <w:rFonts w:cs="Arial"/>
          <w:szCs w:val="24"/>
        </w:rPr>
        <w:t xml:space="preserve">This </w:t>
      </w:r>
      <w:r w:rsidR="00C71ACD" w:rsidRPr="00EF3081">
        <w:rPr>
          <w:rFonts w:cs="Arial"/>
          <w:szCs w:val="24"/>
        </w:rPr>
        <w:t>suggestion is not in accordance with the test laid out in the various authorities referred to</w:t>
      </w:r>
      <w:r w:rsidR="00667722" w:rsidRPr="00EF3081">
        <w:rPr>
          <w:rFonts w:cs="Arial"/>
          <w:szCs w:val="24"/>
        </w:rPr>
        <w:t>.</w:t>
      </w:r>
      <w:r w:rsidR="00C71ACD" w:rsidRPr="00EF3081">
        <w:rPr>
          <w:rFonts w:cs="Arial"/>
          <w:szCs w:val="24"/>
        </w:rPr>
        <w:t xml:space="preserve"> As was </w:t>
      </w:r>
      <w:r w:rsidR="009E576E" w:rsidRPr="00EF3081">
        <w:rPr>
          <w:rFonts w:cs="Arial"/>
          <w:szCs w:val="24"/>
        </w:rPr>
        <w:t>held</w:t>
      </w:r>
      <w:r w:rsidR="007735BC">
        <w:rPr>
          <w:rFonts w:cs="Arial"/>
          <w:szCs w:val="24"/>
        </w:rPr>
        <w:t xml:space="preserve"> by the SCA</w:t>
      </w:r>
      <w:r w:rsidR="009E576E" w:rsidRPr="00EF3081">
        <w:rPr>
          <w:rFonts w:cs="Arial"/>
          <w:szCs w:val="24"/>
        </w:rPr>
        <w:t xml:space="preserve"> </w:t>
      </w:r>
      <w:r w:rsidR="00C71ACD" w:rsidRPr="00EF3081">
        <w:rPr>
          <w:rFonts w:cs="Arial"/>
          <w:szCs w:val="24"/>
        </w:rPr>
        <w:t xml:space="preserve">in </w:t>
      </w:r>
      <w:r w:rsidR="00C71ACD" w:rsidRPr="00EF3081">
        <w:rPr>
          <w:rFonts w:cs="Arial"/>
          <w:i/>
          <w:szCs w:val="24"/>
        </w:rPr>
        <w:t>Phillips</w:t>
      </w:r>
      <w:r w:rsidR="00D03A6B" w:rsidRPr="00EF3081">
        <w:rPr>
          <w:rFonts w:cs="Arial"/>
          <w:i/>
          <w:szCs w:val="24"/>
        </w:rPr>
        <w:t xml:space="preserve"> v National Director of Public Prosecutions</w:t>
      </w:r>
      <w:r w:rsidR="00C71ACD" w:rsidRPr="00EF3081">
        <w:rPr>
          <w:rFonts w:cs="Arial"/>
          <w:szCs w:val="24"/>
        </w:rPr>
        <w:t>,</w:t>
      </w:r>
      <w:r w:rsidR="00D03A6B" w:rsidRPr="00F25FEB">
        <w:rPr>
          <w:rStyle w:val="FootnoteReference"/>
          <w:rFonts w:cs="Arial"/>
          <w:szCs w:val="24"/>
        </w:rPr>
        <w:footnoteReference w:id="16"/>
      </w:r>
      <w:r w:rsidR="00C71ACD" w:rsidRPr="00EF3081">
        <w:rPr>
          <w:rFonts w:cs="Arial"/>
          <w:szCs w:val="24"/>
        </w:rPr>
        <w:t xml:space="preserve"> a restraint order made in terms of the </w:t>
      </w:r>
      <w:hyperlink r:id="rId9" w:history="1">
        <w:r w:rsidR="00C71ACD" w:rsidRPr="00EF3081">
          <w:rPr>
            <w:rStyle w:val="Hyperlink"/>
            <w:rFonts w:cs="Arial"/>
            <w:bCs/>
            <w:color w:val="auto"/>
            <w:szCs w:val="24"/>
            <w:u w:val="none"/>
          </w:rPr>
          <w:t>Prevention of Organised Crime Act 121 of 1998</w:t>
        </w:r>
      </w:hyperlink>
      <w:r w:rsidR="00C71ACD" w:rsidRPr="00EF3081">
        <w:rPr>
          <w:rFonts w:cs="Arial"/>
          <w:szCs w:val="24"/>
        </w:rPr>
        <w:t> was appealable notwithstanding that it ‘…</w:t>
      </w:r>
      <w:r w:rsidR="00C71ACD" w:rsidRPr="00EF3081">
        <w:rPr>
          <w:rFonts w:cs="Arial"/>
          <w:iCs/>
          <w:szCs w:val="24"/>
        </w:rPr>
        <w:t xml:space="preserve">is only of interim operation </w:t>
      </w:r>
      <w:r w:rsidR="00C71ACD" w:rsidRPr="00EF3081">
        <w:rPr>
          <w:rFonts w:cs="Arial"/>
          <w:iCs/>
          <w:szCs w:val="24"/>
        </w:rPr>
        <w:lastRenderedPageBreak/>
        <w:t>and that, like interim interdicts and attachment orders pending trial, it has no definitive or dispositive effect…</w:t>
      </w:r>
      <w:r w:rsidR="00C71ACD" w:rsidRPr="00EF3081">
        <w:rPr>
          <w:rFonts w:cs="Arial"/>
          <w:szCs w:val="24"/>
        </w:rPr>
        <w:t>’.</w:t>
      </w:r>
      <w:r w:rsidR="00C71ACD" w:rsidRPr="00F25FEB">
        <w:rPr>
          <w:rStyle w:val="FootnoteReference"/>
          <w:rFonts w:cs="Arial"/>
          <w:szCs w:val="24"/>
        </w:rPr>
        <w:footnoteReference w:id="17"/>
      </w:r>
      <w:r w:rsidR="00C71ACD" w:rsidRPr="00EF3081">
        <w:rPr>
          <w:rFonts w:cs="Arial"/>
          <w:szCs w:val="24"/>
        </w:rPr>
        <w:t xml:space="preserve"> </w:t>
      </w:r>
      <w:r w:rsidR="007735BC">
        <w:rPr>
          <w:rFonts w:cs="Arial"/>
          <w:szCs w:val="24"/>
        </w:rPr>
        <w:t>T</w:t>
      </w:r>
      <w:r w:rsidR="0081782D">
        <w:rPr>
          <w:rFonts w:cs="Arial"/>
          <w:szCs w:val="24"/>
        </w:rPr>
        <w:t>he SCA</w:t>
      </w:r>
      <w:r w:rsidR="00D03A6B" w:rsidRPr="00EF3081">
        <w:rPr>
          <w:rFonts w:cs="Arial"/>
          <w:szCs w:val="24"/>
        </w:rPr>
        <w:t xml:space="preserve"> </w:t>
      </w:r>
      <w:r w:rsidR="00C71ACD" w:rsidRPr="00EF3081">
        <w:rPr>
          <w:rFonts w:cs="Arial"/>
          <w:szCs w:val="24"/>
        </w:rPr>
        <w:t>continued—</w:t>
      </w:r>
    </w:p>
    <w:p w14:paraId="1308B2A8" w14:textId="77777777" w:rsidR="00D03A6B" w:rsidRPr="00956ECB" w:rsidRDefault="00D03A6B" w:rsidP="009A1802">
      <w:pPr>
        <w:pStyle w:val="ListParagraph"/>
        <w:spacing w:before="240" w:after="240" w:line="360" w:lineRule="auto"/>
        <w:ind w:left="0"/>
        <w:contextualSpacing w:val="0"/>
        <w:jc w:val="both"/>
        <w:rPr>
          <w:rFonts w:cs="Arial"/>
          <w:sz w:val="22"/>
        </w:rPr>
      </w:pPr>
      <w:r w:rsidRPr="007454A9">
        <w:rPr>
          <w:rFonts w:cs="Arial"/>
          <w:sz w:val="22"/>
        </w:rPr>
        <w:t>‘Absent the requirements for variation or rescission laid down in s 26(10</w:t>
      </w:r>
      <w:proofErr w:type="gramStart"/>
      <w:r w:rsidRPr="007454A9">
        <w:rPr>
          <w:rFonts w:cs="Arial"/>
          <w:sz w:val="22"/>
        </w:rPr>
        <w:t>)(</w:t>
      </w:r>
      <w:proofErr w:type="gramEnd"/>
      <w:r w:rsidRPr="007454A9">
        <w:rPr>
          <w:rFonts w:cs="Arial"/>
          <w:sz w:val="22"/>
        </w:rPr>
        <w:t xml:space="preserve">a) … a restraint order is not capable of being changed. The defendant is stripped of the restrained assets and any control or use of them. Pending the conclusion of the trial or the confiscation proceedings he is remediless. </w:t>
      </w:r>
      <w:r w:rsidRPr="00956ECB">
        <w:rPr>
          <w:rFonts w:cs="Arial"/>
          <w:sz w:val="22"/>
        </w:rPr>
        <w:t>That unalterable situation is, in my opinion, final in the sense required by the case law for appealability.’</w:t>
      </w:r>
      <w:r w:rsidRPr="00956ECB">
        <w:rPr>
          <w:rStyle w:val="FootnoteReference"/>
          <w:rFonts w:cs="Arial"/>
          <w:sz w:val="22"/>
        </w:rPr>
        <w:footnoteReference w:id="18"/>
      </w:r>
    </w:p>
    <w:p w14:paraId="4E4218B8" w14:textId="513E193F" w:rsidR="00EF3081" w:rsidRPr="00EF3081" w:rsidRDefault="00D03A6B" w:rsidP="00EF3081">
      <w:pPr>
        <w:pStyle w:val="ListParagraph"/>
        <w:numPr>
          <w:ilvl w:val="0"/>
          <w:numId w:val="39"/>
        </w:numPr>
        <w:spacing w:before="240" w:after="240" w:line="360" w:lineRule="auto"/>
        <w:contextualSpacing w:val="0"/>
        <w:jc w:val="both"/>
        <w:rPr>
          <w:rFonts w:cs="Arial"/>
          <w:i/>
        </w:rPr>
      </w:pPr>
      <w:r w:rsidRPr="00667722">
        <w:rPr>
          <w:rFonts w:cs="Arial"/>
        </w:rPr>
        <w:t>Similarly, in the present case,</w:t>
      </w:r>
      <w:r w:rsidR="009E576E" w:rsidRPr="00667722">
        <w:rPr>
          <w:rFonts w:cs="Arial"/>
          <w:szCs w:val="24"/>
        </w:rPr>
        <w:t xml:space="preserve"> </w:t>
      </w:r>
      <w:r w:rsidR="00667722">
        <w:rPr>
          <w:rFonts w:cs="Arial"/>
          <w:szCs w:val="24"/>
        </w:rPr>
        <w:t xml:space="preserve">in </w:t>
      </w:r>
      <w:r w:rsidR="009E576E" w:rsidRPr="00667722">
        <w:rPr>
          <w:rFonts w:cs="Arial"/>
          <w:szCs w:val="24"/>
        </w:rPr>
        <w:t xml:space="preserve">holding that the appellant had abandoned and waived its rights to rely on </w:t>
      </w:r>
      <w:r w:rsidR="000026DC">
        <w:rPr>
          <w:rFonts w:cs="Arial"/>
          <w:szCs w:val="24"/>
        </w:rPr>
        <w:t xml:space="preserve">the </w:t>
      </w:r>
      <w:r w:rsidR="009E576E" w:rsidRPr="00667722">
        <w:rPr>
          <w:rFonts w:cs="Arial"/>
          <w:szCs w:val="24"/>
        </w:rPr>
        <w:t xml:space="preserve">s 11(a) </w:t>
      </w:r>
      <w:r w:rsidR="000026DC">
        <w:rPr>
          <w:rFonts w:cs="Arial"/>
          <w:szCs w:val="24"/>
        </w:rPr>
        <w:t>issue</w:t>
      </w:r>
      <w:r w:rsidR="00667722">
        <w:rPr>
          <w:rFonts w:cs="Arial"/>
          <w:szCs w:val="24"/>
        </w:rPr>
        <w:t>, the order granted</w:t>
      </w:r>
      <w:r w:rsidR="009E576E" w:rsidRPr="00667722">
        <w:rPr>
          <w:rFonts w:cs="Arial"/>
          <w:szCs w:val="24"/>
        </w:rPr>
        <w:t xml:space="preserve"> cannot be varied</w:t>
      </w:r>
      <w:r w:rsidR="00667722">
        <w:rPr>
          <w:rFonts w:cs="Arial"/>
          <w:szCs w:val="24"/>
        </w:rPr>
        <w:t>,</w:t>
      </w:r>
      <w:r w:rsidR="009E576E" w:rsidRPr="00667722">
        <w:rPr>
          <w:rFonts w:cs="Arial"/>
          <w:szCs w:val="24"/>
        </w:rPr>
        <w:t xml:space="preserve"> altered or corrected at a later stage</w:t>
      </w:r>
      <w:r w:rsidR="00EF3081">
        <w:rPr>
          <w:rFonts w:cs="Arial"/>
          <w:szCs w:val="24"/>
        </w:rPr>
        <w:t>.</w:t>
      </w:r>
    </w:p>
    <w:p w14:paraId="429FAC0E" w14:textId="2E45FE86" w:rsidR="009A1802" w:rsidRPr="00EF3081" w:rsidRDefault="00C71ACD" w:rsidP="00EF3081">
      <w:pPr>
        <w:pStyle w:val="ListParagraph"/>
        <w:numPr>
          <w:ilvl w:val="0"/>
          <w:numId w:val="39"/>
        </w:numPr>
        <w:spacing w:before="240" w:after="240" w:line="360" w:lineRule="auto"/>
        <w:contextualSpacing w:val="0"/>
        <w:jc w:val="both"/>
        <w:rPr>
          <w:rFonts w:cs="Arial"/>
          <w:i/>
        </w:rPr>
      </w:pPr>
      <w:r w:rsidRPr="00EF3081">
        <w:rPr>
          <w:rFonts w:cs="Arial"/>
        </w:rPr>
        <w:t xml:space="preserve">As was noted by </w:t>
      </w:r>
      <w:proofErr w:type="spellStart"/>
      <w:r w:rsidRPr="00EF3081">
        <w:rPr>
          <w:rFonts w:cs="Arial"/>
        </w:rPr>
        <w:t>Binns</w:t>
      </w:r>
      <w:proofErr w:type="spellEnd"/>
      <w:r w:rsidR="00D03A6B" w:rsidRPr="00EF3081">
        <w:rPr>
          <w:rFonts w:cs="Arial"/>
        </w:rPr>
        <w:t>-</w:t>
      </w:r>
      <w:r w:rsidRPr="00EF3081">
        <w:rPr>
          <w:rFonts w:cs="Arial"/>
        </w:rPr>
        <w:t xml:space="preserve">Ward J in </w:t>
      </w:r>
      <w:r w:rsidRPr="00EF3081">
        <w:rPr>
          <w:rFonts w:cs="Arial"/>
          <w:i/>
          <w:iCs/>
        </w:rPr>
        <w:t>Velocity</w:t>
      </w:r>
      <w:r w:rsidRPr="00EF3081">
        <w:rPr>
          <w:rFonts w:cs="Arial"/>
          <w:i/>
        </w:rPr>
        <w:t xml:space="preserve"> Trade Capital (Pty) Ltd v</w:t>
      </w:r>
      <w:r w:rsidR="00D03A6B" w:rsidRPr="00EF3081">
        <w:rPr>
          <w:rFonts w:cs="Arial"/>
          <w:i/>
        </w:rPr>
        <w:t xml:space="preserve"> </w:t>
      </w:r>
      <w:proofErr w:type="spellStart"/>
      <w:r w:rsidR="00D03A6B" w:rsidRPr="00EF3081">
        <w:rPr>
          <w:rFonts w:cs="Arial"/>
          <w:i/>
        </w:rPr>
        <w:t>Quicktrade</w:t>
      </w:r>
      <w:proofErr w:type="spellEnd"/>
      <w:r w:rsidR="00D03A6B" w:rsidRPr="00EF3081">
        <w:rPr>
          <w:rFonts w:cs="Arial"/>
          <w:i/>
        </w:rPr>
        <w:t xml:space="preserve"> (Pty) Ltd</w:t>
      </w:r>
      <w:r w:rsidR="00D03A6B" w:rsidRPr="00EF3081">
        <w:rPr>
          <w:rFonts w:cs="Arial"/>
        </w:rPr>
        <w:t>—</w:t>
      </w:r>
    </w:p>
    <w:p w14:paraId="0298608B" w14:textId="77777777" w:rsidR="00C71ACD" w:rsidRPr="00956ECB" w:rsidRDefault="00D03A6B" w:rsidP="00EF3081">
      <w:pPr>
        <w:pStyle w:val="NormalWeb"/>
        <w:shd w:val="clear" w:color="auto" w:fill="FFFFFF"/>
        <w:spacing w:before="240" w:beforeAutospacing="0" w:after="240" w:afterAutospacing="0" w:line="360" w:lineRule="auto"/>
        <w:jc w:val="both"/>
        <w:rPr>
          <w:rFonts w:ascii="Arial" w:hAnsi="Arial" w:cs="Arial"/>
          <w:sz w:val="22"/>
          <w:szCs w:val="22"/>
        </w:rPr>
      </w:pPr>
      <w:r w:rsidRPr="007454A9">
        <w:rPr>
          <w:rFonts w:ascii="Arial" w:hAnsi="Arial" w:cs="Arial"/>
          <w:sz w:val="22"/>
        </w:rPr>
        <w:t>‘</w:t>
      </w:r>
      <w:r w:rsidRPr="007454A9">
        <w:rPr>
          <w:rFonts w:ascii="Arial" w:hAnsi="Arial" w:cs="Arial"/>
          <w:i/>
          <w:sz w:val="22"/>
        </w:rPr>
        <w:t>Phillips</w:t>
      </w:r>
      <w:r w:rsidRPr="00956ECB">
        <w:rPr>
          <w:rFonts w:ascii="Arial" w:hAnsi="Arial" w:cs="Arial"/>
          <w:sz w:val="22"/>
        </w:rPr>
        <w:t xml:space="preserve"> stands as an illustration of two truths. First, that it is not necessary that all the requirements in </w:t>
      </w:r>
      <w:proofErr w:type="spellStart"/>
      <w:r w:rsidRPr="00956ECB">
        <w:rPr>
          <w:rFonts w:ascii="Arial" w:hAnsi="Arial" w:cs="Arial"/>
          <w:i/>
          <w:sz w:val="22"/>
        </w:rPr>
        <w:t>Zweni</w:t>
      </w:r>
      <w:proofErr w:type="spellEnd"/>
      <w:r w:rsidRPr="00956ECB">
        <w:rPr>
          <w:rFonts w:ascii="Arial" w:hAnsi="Arial" w:cs="Arial"/>
          <w:sz w:val="22"/>
        </w:rPr>
        <w:t xml:space="preserve"> be satisfied for a decision to be appealable. Second, that the insusceptibility of a decision to being altered by the court of first instance does not have to be absolute for the decision to be considered as sufficiently final in effect to render it </w:t>
      </w:r>
      <w:r w:rsidRPr="00956ECB">
        <w:rPr>
          <w:rFonts w:ascii="Arial" w:hAnsi="Arial" w:cs="Arial"/>
          <w:sz w:val="22"/>
          <w:szCs w:val="22"/>
        </w:rPr>
        <w:t>appealable.’</w:t>
      </w:r>
      <w:r w:rsidRPr="00956ECB">
        <w:rPr>
          <w:rStyle w:val="FootnoteReference"/>
          <w:rFonts w:ascii="Arial" w:hAnsi="Arial" w:cs="Arial"/>
          <w:sz w:val="22"/>
          <w:szCs w:val="22"/>
        </w:rPr>
        <w:footnoteReference w:id="19"/>
      </w:r>
    </w:p>
    <w:p w14:paraId="7AEC71D3" w14:textId="77777777" w:rsidR="00EF3081" w:rsidRDefault="005D2B62" w:rsidP="00EF3081">
      <w:pPr>
        <w:pStyle w:val="ListParagraph"/>
        <w:numPr>
          <w:ilvl w:val="0"/>
          <w:numId w:val="39"/>
        </w:numPr>
        <w:spacing w:before="240" w:after="240" w:line="360" w:lineRule="auto"/>
        <w:contextualSpacing w:val="0"/>
        <w:jc w:val="both"/>
        <w:rPr>
          <w:rFonts w:cs="Arial"/>
          <w:szCs w:val="24"/>
        </w:rPr>
      </w:pPr>
      <w:r w:rsidRPr="00956ECB">
        <w:rPr>
          <w:rFonts w:cs="Arial"/>
          <w:szCs w:val="24"/>
        </w:rPr>
        <w:t xml:space="preserve">In </w:t>
      </w:r>
      <w:r w:rsidRPr="00956ECB">
        <w:rPr>
          <w:rFonts w:cs="Arial"/>
          <w:i/>
          <w:szCs w:val="24"/>
        </w:rPr>
        <w:t>FirstRand Bank Limited t/a First National Bank v Makaleng,</w:t>
      </w:r>
      <w:r w:rsidRPr="00956ECB">
        <w:rPr>
          <w:rStyle w:val="FootnoteReference"/>
          <w:rFonts w:cs="Arial"/>
          <w:szCs w:val="24"/>
        </w:rPr>
        <w:footnoteReference w:id="20"/>
      </w:r>
      <w:r w:rsidRPr="00956ECB">
        <w:rPr>
          <w:rFonts w:cs="Arial"/>
          <w:i/>
          <w:szCs w:val="24"/>
        </w:rPr>
        <w:t xml:space="preserve"> </w:t>
      </w:r>
      <w:r w:rsidRPr="00956ECB">
        <w:rPr>
          <w:rFonts w:cs="Arial"/>
          <w:szCs w:val="24"/>
        </w:rPr>
        <w:t xml:space="preserve">it was held that </w:t>
      </w:r>
      <w:r w:rsidR="00667722">
        <w:rPr>
          <w:rFonts w:cs="Arial"/>
          <w:szCs w:val="24"/>
        </w:rPr>
        <w:t>‘</w:t>
      </w:r>
      <w:r w:rsidRPr="00956ECB">
        <w:rPr>
          <w:rFonts w:cs="Arial"/>
          <w:szCs w:val="24"/>
        </w:rPr>
        <w:t>even where a decision does not bear all the attributes of a final order it may nevertheless be appealable if some other worthy considerations are evident, including that the appeal would lead to a just and reasonable prompt solution of the real issues between the parties</w:t>
      </w:r>
      <w:r w:rsidR="00667722">
        <w:rPr>
          <w:rFonts w:cs="Arial"/>
          <w:szCs w:val="24"/>
        </w:rPr>
        <w:t>’.</w:t>
      </w:r>
    </w:p>
    <w:p w14:paraId="2488D2BC" w14:textId="77777777" w:rsidR="00EF3081" w:rsidRDefault="00576EC7"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 xml:space="preserve">The appellant submitted that if one has regard to the table of expenditure </w:t>
      </w:r>
      <w:r w:rsidR="00667722" w:rsidRPr="00EF3081">
        <w:rPr>
          <w:rFonts w:cs="Arial"/>
          <w:szCs w:val="24"/>
        </w:rPr>
        <w:t xml:space="preserve">(Annexure BMM) </w:t>
      </w:r>
      <w:r w:rsidRPr="00EF3081">
        <w:rPr>
          <w:rFonts w:cs="Arial"/>
          <w:szCs w:val="24"/>
        </w:rPr>
        <w:t xml:space="preserve">sought to be included by the appellant as part of its </w:t>
      </w:r>
      <w:r w:rsidR="00667722" w:rsidRPr="00EF3081">
        <w:rPr>
          <w:rFonts w:cs="Arial"/>
          <w:szCs w:val="24"/>
        </w:rPr>
        <w:t xml:space="preserve">amended </w:t>
      </w:r>
      <w:r w:rsidRPr="00EF3081">
        <w:rPr>
          <w:rFonts w:cs="Arial"/>
          <w:szCs w:val="24"/>
        </w:rPr>
        <w:t xml:space="preserve">Rule 32 statement, the portion of the expenditure for its </w:t>
      </w:r>
      <w:r w:rsidR="00306BD8" w:rsidRPr="00EF3081">
        <w:rPr>
          <w:rFonts w:cs="Arial"/>
          <w:szCs w:val="24"/>
        </w:rPr>
        <w:t xml:space="preserve">claim under </w:t>
      </w:r>
      <w:r w:rsidRPr="00EF3081">
        <w:rPr>
          <w:rFonts w:cs="Arial"/>
          <w:szCs w:val="24"/>
        </w:rPr>
        <w:t xml:space="preserve">s 11(a) </w:t>
      </w:r>
      <w:r w:rsidR="005B3373" w:rsidRPr="00EF3081">
        <w:rPr>
          <w:rFonts w:cs="Arial"/>
          <w:szCs w:val="24"/>
        </w:rPr>
        <w:t xml:space="preserve">of the ITA </w:t>
      </w:r>
      <w:r w:rsidRPr="00EF3081">
        <w:rPr>
          <w:rFonts w:cs="Arial"/>
          <w:szCs w:val="24"/>
        </w:rPr>
        <w:t>(as the main proposed ground of appeal) is the total amount of R63 930</w:t>
      </w:r>
      <w:r w:rsidRPr="00E704E0">
        <w:t> </w:t>
      </w:r>
      <w:r w:rsidRPr="00EF3081">
        <w:rPr>
          <w:rFonts w:cs="Arial"/>
          <w:szCs w:val="24"/>
        </w:rPr>
        <w:t xml:space="preserve">507. If the appeal is not adjudicated, and the Tax Court's judgment stands, it will constitute authority that </w:t>
      </w:r>
      <w:r w:rsidRPr="00EF3081">
        <w:rPr>
          <w:rFonts w:cs="Arial"/>
          <w:szCs w:val="24"/>
        </w:rPr>
        <w:lastRenderedPageBreak/>
        <w:t>a taxpayer is precluded from relying on a provision of (and an entitlement afforded by) the ITA in an appeal in circumstances where the taxpayer failed to initially plead reference thereto in its Rule 32 statement</w:t>
      </w:r>
      <w:r w:rsidR="00667722" w:rsidRPr="00EF3081">
        <w:rPr>
          <w:rFonts w:cs="Arial"/>
          <w:szCs w:val="24"/>
        </w:rPr>
        <w:t>.</w:t>
      </w:r>
    </w:p>
    <w:p w14:paraId="21395803" w14:textId="77777777" w:rsidR="00EF3081" w:rsidRDefault="00576EC7"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It is the respondent’s case that it has already dealt with the s 11(a)</w:t>
      </w:r>
      <w:r w:rsidR="003D7A42" w:rsidRPr="00EF3081">
        <w:rPr>
          <w:rFonts w:cs="Arial"/>
          <w:szCs w:val="24"/>
        </w:rPr>
        <w:t xml:space="preserve"> </w:t>
      </w:r>
      <w:r w:rsidRPr="00EF3081">
        <w:rPr>
          <w:rFonts w:cs="Arial"/>
          <w:szCs w:val="24"/>
        </w:rPr>
        <w:t xml:space="preserve">issue during the objection stage, when it disallowed the appellant’s objection. The appellant </w:t>
      </w:r>
      <w:r w:rsidR="005B3373" w:rsidRPr="00EF3081">
        <w:rPr>
          <w:rFonts w:cs="Arial"/>
          <w:szCs w:val="24"/>
        </w:rPr>
        <w:t xml:space="preserve">must have </w:t>
      </w:r>
      <w:r w:rsidRPr="00EF3081">
        <w:rPr>
          <w:rFonts w:cs="Arial"/>
          <w:szCs w:val="24"/>
        </w:rPr>
        <w:t>accepted that the respondent was correct. Th</w:t>
      </w:r>
      <w:r w:rsidR="009E576E" w:rsidRPr="00EF3081">
        <w:rPr>
          <w:rFonts w:cs="Arial"/>
          <w:szCs w:val="24"/>
        </w:rPr>
        <w:t>us</w:t>
      </w:r>
      <w:r w:rsidR="005B3373" w:rsidRPr="00EF3081">
        <w:rPr>
          <w:rFonts w:cs="Arial"/>
          <w:szCs w:val="24"/>
        </w:rPr>
        <w:t>,</w:t>
      </w:r>
      <w:r w:rsidR="009E576E" w:rsidRPr="00EF3081">
        <w:rPr>
          <w:rFonts w:cs="Arial"/>
          <w:szCs w:val="24"/>
        </w:rPr>
        <w:t xml:space="preserve"> the respondent contended that the </w:t>
      </w:r>
      <w:r w:rsidRPr="00EF3081">
        <w:rPr>
          <w:rFonts w:cs="Arial"/>
          <w:szCs w:val="24"/>
        </w:rPr>
        <w:t xml:space="preserve">issue </w:t>
      </w:r>
      <w:r w:rsidR="005B3373" w:rsidRPr="00EF3081">
        <w:rPr>
          <w:rFonts w:cs="Arial"/>
          <w:szCs w:val="24"/>
        </w:rPr>
        <w:t xml:space="preserve">had been </w:t>
      </w:r>
      <w:r w:rsidRPr="00EF3081">
        <w:rPr>
          <w:rFonts w:cs="Arial"/>
          <w:szCs w:val="24"/>
        </w:rPr>
        <w:t>finalised. Section 11(a)</w:t>
      </w:r>
      <w:r w:rsidR="005B3373" w:rsidRPr="00EF3081">
        <w:rPr>
          <w:rFonts w:cs="Arial"/>
          <w:szCs w:val="24"/>
        </w:rPr>
        <w:t xml:space="preserve"> of the ITA</w:t>
      </w:r>
      <w:r w:rsidRPr="00EF3081">
        <w:rPr>
          <w:rFonts w:cs="Arial"/>
          <w:szCs w:val="24"/>
        </w:rPr>
        <w:t xml:space="preserve"> is therefore not an issue t</w:t>
      </w:r>
      <w:r w:rsidR="005B3373" w:rsidRPr="00EF3081">
        <w:rPr>
          <w:rFonts w:cs="Arial"/>
          <w:szCs w:val="24"/>
        </w:rPr>
        <w:t>hat SARS should be required to</w:t>
      </w:r>
      <w:r w:rsidRPr="00EF3081">
        <w:rPr>
          <w:rFonts w:cs="Arial"/>
          <w:szCs w:val="24"/>
        </w:rPr>
        <w:t xml:space="preserve"> deal with </w:t>
      </w:r>
      <w:r w:rsidR="005B3373" w:rsidRPr="00EF3081">
        <w:rPr>
          <w:rFonts w:cs="Arial"/>
          <w:szCs w:val="24"/>
        </w:rPr>
        <w:t xml:space="preserve">again </w:t>
      </w:r>
      <w:r w:rsidRPr="00EF3081">
        <w:rPr>
          <w:rFonts w:cs="Arial"/>
          <w:szCs w:val="24"/>
        </w:rPr>
        <w:t xml:space="preserve">in the Tax </w:t>
      </w:r>
      <w:r w:rsidR="00956ECB" w:rsidRPr="00EF3081">
        <w:rPr>
          <w:rFonts w:cs="Arial"/>
          <w:szCs w:val="24"/>
        </w:rPr>
        <w:t xml:space="preserve">Court </w:t>
      </w:r>
      <w:r w:rsidRPr="00EF3081">
        <w:rPr>
          <w:rFonts w:cs="Arial"/>
          <w:szCs w:val="24"/>
        </w:rPr>
        <w:t>appeal. It will suffer prejudice if the issue was allowed to be reintroduced.</w:t>
      </w:r>
    </w:p>
    <w:p w14:paraId="14A49ECF" w14:textId="77777777" w:rsidR="00EF3081" w:rsidRDefault="00576EC7" w:rsidP="00EF3081">
      <w:pPr>
        <w:pStyle w:val="ListParagraph"/>
        <w:numPr>
          <w:ilvl w:val="0"/>
          <w:numId w:val="39"/>
        </w:numPr>
        <w:spacing w:before="240" w:after="240" w:line="360" w:lineRule="auto"/>
        <w:contextualSpacing w:val="0"/>
        <w:jc w:val="both"/>
        <w:rPr>
          <w:rFonts w:cs="Arial"/>
          <w:szCs w:val="24"/>
        </w:rPr>
      </w:pPr>
      <w:r w:rsidRPr="00EF3081">
        <w:rPr>
          <w:rFonts w:cs="Arial"/>
          <w:szCs w:val="24"/>
        </w:rPr>
        <w:t xml:space="preserve">In considering the interests of justice, the </w:t>
      </w:r>
      <w:r w:rsidR="00896B76" w:rsidRPr="00EF3081">
        <w:rPr>
          <w:rFonts w:cs="Arial"/>
          <w:szCs w:val="24"/>
        </w:rPr>
        <w:t>C</w:t>
      </w:r>
      <w:r w:rsidRPr="00EF3081">
        <w:rPr>
          <w:rFonts w:cs="Arial"/>
          <w:szCs w:val="24"/>
        </w:rPr>
        <w:t xml:space="preserve">ourt must also balance the prejudice that will be caused to each of the parties if the appeal is allowed. The </w:t>
      </w:r>
      <w:r w:rsidR="00FC4EDB" w:rsidRPr="00956ECB">
        <w:t>respondent submitted</w:t>
      </w:r>
      <w:r w:rsidR="006E0510" w:rsidRPr="00956ECB">
        <w:t xml:space="preserve"> that the appellant </w:t>
      </w:r>
      <w:r w:rsidRPr="00956ECB">
        <w:t>had waited for almost two years before the amendment was sought and the respondent would be prejudiced if the appeal was granted and the amendment allowed.</w:t>
      </w:r>
    </w:p>
    <w:p w14:paraId="39C580D0" w14:textId="6D816E0E" w:rsidR="001237CD" w:rsidRPr="00BA32AC" w:rsidRDefault="007F7C3A" w:rsidP="00EF3081">
      <w:pPr>
        <w:pStyle w:val="ListParagraph"/>
        <w:numPr>
          <w:ilvl w:val="0"/>
          <w:numId w:val="39"/>
        </w:numPr>
        <w:spacing w:before="240" w:after="240" w:line="360" w:lineRule="auto"/>
        <w:contextualSpacing w:val="0"/>
        <w:jc w:val="both"/>
        <w:rPr>
          <w:rFonts w:cs="Arial"/>
          <w:szCs w:val="24"/>
        </w:rPr>
      </w:pPr>
      <w:r w:rsidRPr="00956ECB">
        <w:t>The appellant</w:t>
      </w:r>
      <w:r w:rsidR="006E0510" w:rsidRPr="00956ECB">
        <w:t xml:space="preserve"> </w:t>
      </w:r>
      <w:r w:rsidR="00576EC7" w:rsidRPr="00956ECB">
        <w:t xml:space="preserve">had explained that the delay in launching the application for the amendment </w:t>
      </w:r>
      <w:r w:rsidR="00A601E3" w:rsidRPr="00956ECB">
        <w:t xml:space="preserve">was based on a change in advice when it employed a new legal team on 5 June 2018. The </w:t>
      </w:r>
      <w:r w:rsidR="00896B76" w:rsidRPr="00956ECB">
        <w:t>T</w:t>
      </w:r>
      <w:r w:rsidR="00A601E3" w:rsidRPr="00956ECB">
        <w:t>ax Court had erroneously found that the new legal team came on board in 2</w:t>
      </w:r>
      <w:r w:rsidR="006E0510" w:rsidRPr="00306B8A">
        <w:t xml:space="preserve">017. </w:t>
      </w:r>
      <w:r w:rsidR="00A601E3" w:rsidRPr="00306B8A">
        <w:t>Its</w:t>
      </w:r>
      <w:r w:rsidR="00946A9E" w:rsidRPr="00392943">
        <w:t xml:space="preserve"> decision not to persist with the second ground of objection was pre</w:t>
      </w:r>
      <w:r w:rsidR="00946A9E" w:rsidRPr="007454A9">
        <w:t xml:space="preserve">mised upon </w:t>
      </w:r>
      <w:r w:rsidR="00B57261" w:rsidRPr="007454A9">
        <w:t>an incorrect legal conclusion.</w:t>
      </w:r>
    </w:p>
    <w:p w14:paraId="7BF408F6" w14:textId="76A8A3D4" w:rsidR="00EF3081" w:rsidRDefault="009E576E" w:rsidP="00BA32AC">
      <w:pPr>
        <w:pStyle w:val="ListParagraph"/>
        <w:numPr>
          <w:ilvl w:val="0"/>
          <w:numId w:val="39"/>
        </w:numPr>
        <w:spacing w:before="240" w:after="240" w:line="360" w:lineRule="auto"/>
        <w:contextualSpacing w:val="0"/>
        <w:jc w:val="both"/>
      </w:pPr>
      <w:r w:rsidRPr="00BA32AC">
        <w:rPr>
          <w:rFonts w:cs="Arial"/>
          <w:szCs w:val="24"/>
        </w:rPr>
        <w:t>Al</w:t>
      </w:r>
      <w:r>
        <w:t xml:space="preserve">though there </w:t>
      </w:r>
      <w:r w:rsidR="00A601E3" w:rsidRPr="00956ECB">
        <w:t>appears to be a considerable delay between the new legal team coming on board and the launching of the application for the amendment</w:t>
      </w:r>
      <w:r>
        <w:t>, the question is w</w:t>
      </w:r>
      <w:r w:rsidR="00A601E3" w:rsidRPr="00956ECB">
        <w:t>hether this delay has</w:t>
      </w:r>
      <w:r>
        <w:t xml:space="preserve"> </w:t>
      </w:r>
      <w:r w:rsidR="00A601E3" w:rsidRPr="00956ECB">
        <w:t xml:space="preserve">caused prejudice to the respondent </w:t>
      </w:r>
      <w:r w:rsidR="00FF4C17" w:rsidRPr="00956ECB">
        <w:t>which outweighs the prejudice to the appella</w:t>
      </w:r>
      <w:r w:rsidR="001237CD">
        <w:t xml:space="preserve">nt if </w:t>
      </w:r>
      <w:r w:rsidR="0042111A">
        <w:t xml:space="preserve">we find that </w:t>
      </w:r>
      <w:r w:rsidR="001237CD">
        <w:t xml:space="preserve">the </w:t>
      </w:r>
      <w:r w:rsidR="0042111A">
        <w:t>order is not appealable.</w:t>
      </w:r>
      <w:r w:rsidR="001237CD" w:rsidRPr="001237CD">
        <w:t xml:space="preserve"> </w:t>
      </w:r>
      <w:r w:rsidR="00667722">
        <w:t xml:space="preserve">We are of the </w:t>
      </w:r>
      <w:r w:rsidR="001237CD">
        <w:t>of the view that, for the reasons stated above, the prejudice which would be occasioned</w:t>
      </w:r>
      <w:r w:rsidR="00D271BB">
        <w:t xml:space="preserve"> to</w:t>
      </w:r>
      <w:r w:rsidR="001237CD">
        <w:t xml:space="preserve"> the appellant </w:t>
      </w:r>
      <w:r w:rsidR="00667722">
        <w:t xml:space="preserve">far </w:t>
      </w:r>
      <w:r w:rsidR="001237CD">
        <w:t>outweigh</w:t>
      </w:r>
      <w:r w:rsidR="00AB78FF">
        <w:t xml:space="preserve">s </w:t>
      </w:r>
      <w:r w:rsidR="001237CD">
        <w:t>that which the respondent would suffer if the</w:t>
      </w:r>
      <w:r w:rsidR="00F54E17">
        <w:t xml:space="preserve"> </w:t>
      </w:r>
      <w:r w:rsidR="0042111A">
        <w:t>issue of appealability was decided against the appellant.</w:t>
      </w:r>
    </w:p>
    <w:p w14:paraId="2D4CFEE5" w14:textId="0824AA58" w:rsidR="009E576E" w:rsidRDefault="00667722" w:rsidP="00BA32AC">
      <w:pPr>
        <w:pStyle w:val="ListParagraph"/>
        <w:numPr>
          <w:ilvl w:val="0"/>
          <w:numId w:val="39"/>
        </w:numPr>
        <w:spacing w:before="240" w:after="240" w:line="360" w:lineRule="auto"/>
        <w:contextualSpacing w:val="0"/>
        <w:jc w:val="both"/>
      </w:pPr>
      <w:r w:rsidRPr="00BA32AC">
        <w:rPr>
          <w:rFonts w:cs="Arial"/>
          <w:szCs w:val="24"/>
        </w:rPr>
        <w:t>Th</w:t>
      </w:r>
      <w:r w:rsidR="00F54E17" w:rsidRPr="00BA32AC">
        <w:rPr>
          <w:rFonts w:cs="Arial"/>
          <w:szCs w:val="24"/>
        </w:rPr>
        <w:t>e Tax Court</w:t>
      </w:r>
      <w:r w:rsidRPr="00BA32AC">
        <w:rPr>
          <w:rFonts w:cs="Arial"/>
          <w:szCs w:val="24"/>
        </w:rPr>
        <w:t xml:space="preserve"> acts as a court of review and is obliged to hear the dispute </w:t>
      </w:r>
      <w:r w:rsidRPr="00BA32AC">
        <w:rPr>
          <w:rFonts w:cs="Arial"/>
          <w:i/>
          <w:szCs w:val="24"/>
        </w:rPr>
        <w:t>de novo</w:t>
      </w:r>
      <w:r w:rsidRPr="00BA32AC">
        <w:rPr>
          <w:rFonts w:cs="Arial"/>
          <w:szCs w:val="24"/>
        </w:rPr>
        <w:t>. The granting of the appeal and the subsequent amendment will lead to a prompt resolution</w:t>
      </w:r>
      <w:r w:rsidRPr="0036691B">
        <w:rPr>
          <w:rFonts w:cs="Arial"/>
          <w:szCs w:val="24"/>
        </w:rPr>
        <w:t xml:space="preserve"> of the real issues between the parties.</w:t>
      </w:r>
      <w:r w:rsidR="00306BD8" w:rsidRPr="00FD6586">
        <w:rPr>
          <w:rFonts w:cs="Arial"/>
          <w:szCs w:val="24"/>
        </w:rPr>
        <w:t xml:space="preserve"> </w:t>
      </w:r>
      <w:r w:rsidRPr="00FD6586">
        <w:rPr>
          <w:rFonts w:cs="Arial"/>
          <w:szCs w:val="24"/>
        </w:rPr>
        <w:t xml:space="preserve">The amount claimed as being deductible under s 11(a) of the ITA is substantial. </w:t>
      </w:r>
      <w:r w:rsidR="001237CD">
        <w:t>For the</w:t>
      </w:r>
      <w:r w:rsidR="00306BD8">
        <w:t>se</w:t>
      </w:r>
      <w:r w:rsidR="001237CD">
        <w:t xml:space="preserve"> reasons, we find that it is in the interests of justice </w:t>
      </w:r>
      <w:r w:rsidR="00306BD8">
        <w:t xml:space="preserve">to hold that </w:t>
      </w:r>
      <w:r w:rsidR="001237CD">
        <w:t>the order is appealable.</w:t>
      </w:r>
    </w:p>
    <w:p w14:paraId="7DDB6291" w14:textId="77777777" w:rsidR="009E576E" w:rsidRPr="00514132" w:rsidRDefault="009E576E" w:rsidP="009E576E">
      <w:pPr>
        <w:pStyle w:val="ListParagraph"/>
        <w:spacing w:before="360" w:after="360" w:line="360" w:lineRule="auto"/>
        <w:ind w:left="0"/>
        <w:jc w:val="both"/>
        <w:rPr>
          <w:sz w:val="22"/>
          <w:szCs w:val="24"/>
        </w:rPr>
      </w:pPr>
      <w:r w:rsidRPr="00514132">
        <w:rPr>
          <w:b/>
        </w:rPr>
        <w:lastRenderedPageBreak/>
        <w:t>Relevant legal principles relating to amendments under the TAA</w:t>
      </w:r>
    </w:p>
    <w:p w14:paraId="293BA1DA" w14:textId="77777777" w:rsidR="00EF3081" w:rsidRDefault="009E576E" w:rsidP="00EF3081">
      <w:pPr>
        <w:pStyle w:val="1"/>
        <w:numPr>
          <w:ilvl w:val="0"/>
          <w:numId w:val="39"/>
        </w:numPr>
        <w:tabs>
          <w:tab w:val="left" w:pos="720"/>
        </w:tabs>
        <w:spacing w:after="240" w:line="360" w:lineRule="auto"/>
        <w:rPr>
          <w:color w:val="auto"/>
        </w:rPr>
      </w:pPr>
      <w:r>
        <w:rPr>
          <w:color w:val="auto"/>
        </w:rPr>
        <w:t>Rule 35 provides that the parties may agree that a statement under Rule 31, 32 or 33 may be amended.</w:t>
      </w:r>
      <w:r w:rsidR="004E026C">
        <w:rPr>
          <w:rStyle w:val="FootnoteReference"/>
          <w:color w:val="auto"/>
        </w:rPr>
        <w:footnoteReference w:id="21"/>
      </w:r>
      <w:r>
        <w:rPr>
          <w:color w:val="auto"/>
        </w:rPr>
        <w:t xml:space="preserve"> If the other party does not agree to the amendment, the party that requires an amendment may apply to the Tax Court under Part F for an order under Rule 52. Rule 52(7) provides that a party seeking an amendment for a statement under Rule 35 may apply to the Tax Court for an appropriate order, including an order concerning a postponement of the hearing.</w:t>
      </w:r>
    </w:p>
    <w:p w14:paraId="2C3940F5" w14:textId="28E23EE2" w:rsidR="00EF3081" w:rsidRDefault="009E576E" w:rsidP="00EF3081">
      <w:pPr>
        <w:pStyle w:val="1"/>
        <w:numPr>
          <w:ilvl w:val="0"/>
          <w:numId w:val="39"/>
        </w:numPr>
        <w:tabs>
          <w:tab w:val="left" w:pos="720"/>
        </w:tabs>
        <w:spacing w:after="240" w:line="360" w:lineRule="auto"/>
        <w:rPr>
          <w:color w:val="auto"/>
        </w:rPr>
      </w:pPr>
      <w:r w:rsidRPr="00EF3081">
        <w:rPr>
          <w:color w:val="auto"/>
        </w:rPr>
        <w:t>The relevant applicable legal principles have been summarised as follows</w:t>
      </w:r>
      <w:r w:rsidR="003527D8">
        <w:rPr>
          <w:color w:val="auto"/>
        </w:rPr>
        <w:t>:</w:t>
      </w:r>
    </w:p>
    <w:p w14:paraId="0A00A61B" w14:textId="77777777" w:rsidR="00EF3081" w:rsidRDefault="009E576E" w:rsidP="00EF3081">
      <w:pPr>
        <w:pStyle w:val="1"/>
        <w:numPr>
          <w:ilvl w:val="1"/>
          <w:numId w:val="39"/>
        </w:numPr>
        <w:tabs>
          <w:tab w:val="left" w:pos="720"/>
        </w:tabs>
        <w:spacing w:after="240" w:line="360" w:lineRule="auto"/>
        <w:ind w:hanging="720"/>
        <w:rPr>
          <w:color w:val="auto"/>
        </w:rPr>
      </w:pPr>
      <w:r w:rsidRPr="00EF3081">
        <w:rPr>
          <w:color w:val="auto"/>
        </w:rPr>
        <w:lastRenderedPageBreak/>
        <w:t>The primary object of allowing an amendment is to obtain a proper ventilation of the dispute between the parties, to determine the real issues between them so that justice may be done. A court will generally grant an amendment where it can be done without prejudice to the other party.</w:t>
      </w:r>
    </w:p>
    <w:p w14:paraId="1A9B06BA" w14:textId="77777777" w:rsidR="00EF3081" w:rsidRDefault="009E576E" w:rsidP="00EF3081">
      <w:pPr>
        <w:pStyle w:val="1"/>
        <w:numPr>
          <w:ilvl w:val="1"/>
          <w:numId w:val="39"/>
        </w:numPr>
        <w:tabs>
          <w:tab w:val="left" w:pos="720"/>
        </w:tabs>
        <w:spacing w:after="240" w:line="360" w:lineRule="auto"/>
        <w:ind w:hanging="720"/>
        <w:rPr>
          <w:color w:val="auto"/>
        </w:rPr>
      </w:pPr>
      <w:r w:rsidRPr="00EF3081">
        <w:rPr>
          <w:color w:val="auto"/>
        </w:rPr>
        <w:t>An application for an amendment will generally be allowed unless that application is</w:t>
      </w:r>
      <w:r w:rsidRPr="00EF3081">
        <w:rPr>
          <w:i/>
          <w:color w:val="auto"/>
        </w:rPr>
        <w:t xml:space="preserve"> mala fide</w:t>
      </w:r>
      <w:r w:rsidRPr="00EF3081">
        <w:rPr>
          <w:color w:val="auto"/>
        </w:rPr>
        <w:t>,</w:t>
      </w:r>
      <w:r w:rsidRPr="00EF3081">
        <w:rPr>
          <w:i/>
          <w:color w:val="auto"/>
        </w:rPr>
        <w:t xml:space="preserve"> </w:t>
      </w:r>
      <w:r w:rsidRPr="00EF3081">
        <w:rPr>
          <w:color w:val="auto"/>
        </w:rPr>
        <w:t>or unless the amendment would cause an injustice  and prejudice to the other side which cannot be compensated by a costs order.</w:t>
      </w:r>
      <w:r>
        <w:rPr>
          <w:rStyle w:val="FootnoteReference"/>
          <w:color w:val="auto"/>
        </w:rPr>
        <w:footnoteReference w:id="22"/>
      </w:r>
    </w:p>
    <w:p w14:paraId="0E57218A" w14:textId="77777777" w:rsidR="00EF3081" w:rsidRDefault="009E576E" w:rsidP="00EF3081">
      <w:pPr>
        <w:pStyle w:val="1"/>
        <w:numPr>
          <w:ilvl w:val="1"/>
          <w:numId w:val="39"/>
        </w:numPr>
        <w:tabs>
          <w:tab w:val="left" w:pos="720"/>
        </w:tabs>
        <w:spacing w:after="240" w:line="360" w:lineRule="auto"/>
        <w:ind w:hanging="720"/>
        <w:rPr>
          <w:color w:val="auto"/>
        </w:rPr>
      </w:pPr>
      <w:r w:rsidRPr="00EF3081">
        <w:rPr>
          <w:color w:val="auto"/>
        </w:rPr>
        <w:t xml:space="preserve">Delay is no ground for refusing an amendment – provided that the applicant can show that the application is </w:t>
      </w:r>
      <w:r w:rsidRPr="00EF3081">
        <w:rPr>
          <w:i/>
          <w:color w:val="auto"/>
        </w:rPr>
        <w:t>bona fide</w:t>
      </w:r>
      <w:r w:rsidRPr="00EF3081">
        <w:rPr>
          <w:color w:val="auto"/>
        </w:rPr>
        <w:t xml:space="preserve"> and explain any delay there may have been in making the application. The applicant must however show that the opponent will not suffer prejudice.</w:t>
      </w:r>
      <w:r>
        <w:rPr>
          <w:rStyle w:val="FootnoteReference"/>
          <w:color w:val="auto"/>
        </w:rPr>
        <w:footnoteReference w:id="23"/>
      </w:r>
    </w:p>
    <w:p w14:paraId="334688FD" w14:textId="2639CB77" w:rsidR="00EF3081" w:rsidRDefault="009E576E" w:rsidP="00EF3081">
      <w:pPr>
        <w:pStyle w:val="1"/>
        <w:numPr>
          <w:ilvl w:val="1"/>
          <w:numId w:val="39"/>
        </w:numPr>
        <w:tabs>
          <w:tab w:val="left" w:pos="720"/>
        </w:tabs>
        <w:spacing w:after="240" w:line="360" w:lineRule="auto"/>
        <w:ind w:hanging="720"/>
        <w:rPr>
          <w:color w:val="auto"/>
        </w:rPr>
      </w:pPr>
      <w:r w:rsidRPr="00EF3081">
        <w:rPr>
          <w:color w:val="auto"/>
        </w:rPr>
        <w:t>Where a party would be no worse off if the amendment were granted with a suitable order as to costs than if his adversaries</w:t>
      </w:r>
      <w:r w:rsidR="00BA32AC">
        <w:rPr>
          <w:color w:val="auto"/>
        </w:rPr>
        <w:t>’</w:t>
      </w:r>
      <w:r w:rsidRPr="00EF3081">
        <w:rPr>
          <w:color w:val="auto"/>
        </w:rPr>
        <w:t xml:space="preserve"> application were dismissed, there is no prejudice in granting the amendment. The mere loss of the opportunity of gaining time is not</w:t>
      </w:r>
      <w:r w:rsidR="00BA32AC">
        <w:rPr>
          <w:color w:val="auto"/>
        </w:rPr>
        <w:t>,</w:t>
      </w:r>
      <w:r w:rsidRPr="00EF3081">
        <w:rPr>
          <w:color w:val="auto"/>
        </w:rPr>
        <w:t xml:space="preserve"> in law</w:t>
      </w:r>
      <w:r w:rsidR="00BA32AC">
        <w:rPr>
          <w:color w:val="auto"/>
        </w:rPr>
        <w:t>,</w:t>
      </w:r>
      <w:r w:rsidRPr="00EF3081">
        <w:rPr>
          <w:color w:val="auto"/>
        </w:rPr>
        <w:t xml:space="preserve"> prejudice or injustice.</w:t>
      </w:r>
      <w:r>
        <w:rPr>
          <w:rStyle w:val="FootnoteReference"/>
          <w:color w:val="auto"/>
        </w:rPr>
        <w:footnoteReference w:id="24"/>
      </w:r>
    </w:p>
    <w:p w14:paraId="66886452" w14:textId="77777777" w:rsidR="00EF3081" w:rsidRDefault="009E576E" w:rsidP="00EF3081">
      <w:pPr>
        <w:pStyle w:val="1"/>
        <w:numPr>
          <w:ilvl w:val="1"/>
          <w:numId w:val="39"/>
        </w:numPr>
        <w:tabs>
          <w:tab w:val="left" w:pos="720"/>
        </w:tabs>
        <w:spacing w:after="240" w:line="360" w:lineRule="auto"/>
        <w:ind w:hanging="720"/>
        <w:rPr>
          <w:color w:val="auto"/>
        </w:rPr>
      </w:pPr>
      <w:r w:rsidRPr="00EF3081">
        <w:rPr>
          <w:color w:val="auto"/>
        </w:rPr>
        <w:t>The fact that the granting of the amendment would necessitate the re-opening of the case for further evidence to be led is no ground for refusing the amendment where the reason for the failure to lead the evidence was the state of the pleadings, and not a deliberate failure on the part of the applicant.</w:t>
      </w:r>
      <w:r>
        <w:rPr>
          <w:rStyle w:val="FootnoteReference"/>
          <w:color w:val="auto"/>
        </w:rPr>
        <w:footnoteReference w:id="25"/>
      </w:r>
    </w:p>
    <w:p w14:paraId="79CBEF68" w14:textId="5E510DB9" w:rsidR="009E576E" w:rsidRPr="00EF3081" w:rsidRDefault="009E576E" w:rsidP="00EF3081">
      <w:pPr>
        <w:pStyle w:val="1"/>
        <w:numPr>
          <w:ilvl w:val="1"/>
          <w:numId w:val="39"/>
        </w:numPr>
        <w:tabs>
          <w:tab w:val="left" w:pos="720"/>
        </w:tabs>
        <w:spacing w:after="240" w:line="360" w:lineRule="auto"/>
        <w:ind w:hanging="720"/>
        <w:rPr>
          <w:color w:val="auto"/>
        </w:rPr>
      </w:pPr>
      <w:r w:rsidRPr="00EF3081">
        <w:rPr>
          <w:color w:val="auto"/>
        </w:rPr>
        <w:t>The fact that an amendment may cause the other party to lose its case against the party seeking the amendment is not of itself ‘prejudice’ of the sort which will dissuade the court from granting it. The fact that the effect of allowing an amendment to a plea might be to benefit the plaintiff’s claim is not what is meant by prejudice which cannot be remedied by an appropriate order as to costs.</w:t>
      </w:r>
      <w:r>
        <w:rPr>
          <w:rStyle w:val="FootnoteReference"/>
          <w:color w:val="auto"/>
        </w:rPr>
        <w:footnoteReference w:id="26"/>
      </w:r>
    </w:p>
    <w:p w14:paraId="34876A74" w14:textId="77777777" w:rsidR="00C06E58" w:rsidRDefault="00C06E58" w:rsidP="00EF446B">
      <w:pPr>
        <w:spacing w:before="360" w:after="360" w:line="360" w:lineRule="auto"/>
        <w:rPr>
          <w:rFonts w:cs="Arial"/>
          <w:b/>
        </w:rPr>
      </w:pPr>
    </w:p>
    <w:p w14:paraId="57EFCA96" w14:textId="0D84A3AA" w:rsidR="00EF446B" w:rsidRPr="00956ECB" w:rsidRDefault="00EF446B" w:rsidP="00EF446B">
      <w:pPr>
        <w:spacing w:before="360" w:after="360" w:line="360" w:lineRule="auto"/>
        <w:rPr>
          <w:rFonts w:cs="Arial"/>
          <w:b/>
        </w:rPr>
      </w:pPr>
      <w:r w:rsidRPr="00956ECB">
        <w:rPr>
          <w:rFonts w:cs="Arial"/>
          <w:b/>
        </w:rPr>
        <w:lastRenderedPageBreak/>
        <w:t>The amendment</w:t>
      </w:r>
      <w:r w:rsidR="00D33783" w:rsidRPr="00956ECB">
        <w:rPr>
          <w:rFonts w:cs="Arial"/>
          <w:b/>
        </w:rPr>
        <w:t xml:space="preserve"> in terms of s 11(a) of the ITA</w:t>
      </w:r>
    </w:p>
    <w:p w14:paraId="253BCD56" w14:textId="77777777" w:rsidR="00EF446B" w:rsidRPr="00306B8A" w:rsidRDefault="00EF446B" w:rsidP="00EF446B">
      <w:pPr>
        <w:spacing w:before="360" w:after="360" w:line="360" w:lineRule="auto"/>
        <w:rPr>
          <w:rFonts w:cs="Arial"/>
          <w:b/>
          <w:i/>
        </w:rPr>
      </w:pPr>
      <w:r w:rsidRPr="00306B8A">
        <w:rPr>
          <w:rFonts w:cs="Arial"/>
          <w:b/>
          <w:i/>
        </w:rPr>
        <w:t>The nature of the amendment</w:t>
      </w:r>
    </w:p>
    <w:p w14:paraId="024124DA" w14:textId="5DAC55EA" w:rsidR="00EF446B" w:rsidRPr="00CA3BA3" w:rsidRDefault="00CA3BA3" w:rsidP="00EF3081">
      <w:pPr>
        <w:pStyle w:val="ListParagraph"/>
        <w:numPr>
          <w:ilvl w:val="0"/>
          <w:numId w:val="39"/>
        </w:numPr>
        <w:spacing w:before="240" w:after="240" w:line="360" w:lineRule="auto"/>
        <w:contextualSpacing w:val="0"/>
        <w:jc w:val="both"/>
        <w:rPr>
          <w:rFonts w:cs="Arial"/>
        </w:rPr>
      </w:pPr>
      <w:r w:rsidRPr="00CA3BA3">
        <w:rPr>
          <w:rFonts w:cs="Arial"/>
        </w:rPr>
        <w:t>As set out above, t</w:t>
      </w:r>
      <w:r w:rsidR="00306BD8">
        <w:rPr>
          <w:rFonts w:cs="Arial"/>
        </w:rPr>
        <w:t>he appellant did not rely on</w:t>
      </w:r>
      <w:r w:rsidRPr="00CA3BA3">
        <w:rPr>
          <w:rFonts w:cs="Arial"/>
        </w:rPr>
        <w:t xml:space="preserve"> </w:t>
      </w:r>
      <w:r w:rsidR="009D3E7B" w:rsidRPr="00CA3BA3">
        <w:rPr>
          <w:rFonts w:cs="Arial"/>
        </w:rPr>
        <w:t>s</w:t>
      </w:r>
      <w:r w:rsidR="009D3E7B">
        <w:rPr>
          <w:rFonts w:cs="Arial"/>
        </w:rPr>
        <w:t> </w:t>
      </w:r>
      <w:r w:rsidRPr="00CA3BA3">
        <w:rPr>
          <w:rFonts w:cs="Arial"/>
        </w:rPr>
        <w:t xml:space="preserve">11(a) of the ITA </w:t>
      </w:r>
      <w:r w:rsidR="00306BD8">
        <w:rPr>
          <w:rFonts w:cs="Arial"/>
        </w:rPr>
        <w:t xml:space="preserve">as a </w:t>
      </w:r>
      <w:r w:rsidRPr="00CA3BA3">
        <w:rPr>
          <w:rFonts w:cs="Arial"/>
        </w:rPr>
        <w:t>ground in its Rule 32 statement</w:t>
      </w:r>
      <w:r w:rsidR="004908D1">
        <w:rPr>
          <w:rFonts w:cs="Arial"/>
        </w:rPr>
        <w:t>,</w:t>
      </w:r>
      <w:r w:rsidRPr="00CA3BA3">
        <w:rPr>
          <w:rFonts w:cs="Arial"/>
        </w:rPr>
        <w:t xml:space="preserve"> and indicated that it would not be persisting with this ground of objection in the paragraph 10 statement. It now seek</w:t>
      </w:r>
      <w:r>
        <w:rPr>
          <w:rFonts w:cs="Arial"/>
        </w:rPr>
        <w:t>s</w:t>
      </w:r>
      <w:r w:rsidRPr="00CA3BA3">
        <w:rPr>
          <w:rFonts w:cs="Arial"/>
        </w:rPr>
        <w:t xml:space="preserve"> to amend its Rule 32 statement by relying upon s 11(a) of the ITA </w:t>
      </w:r>
      <w:r w:rsidR="00EF446B" w:rsidRPr="00CA3BA3">
        <w:rPr>
          <w:rFonts w:cs="Arial"/>
        </w:rPr>
        <w:t>as a ground of appeal.</w:t>
      </w:r>
    </w:p>
    <w:p w14:paraId="182F730C" w14:textId="77777777" w:rsidR="00EF446B" w:rsidRPr="00956ECB" w:rsidRDefault="00EF446B" w:rsidP="00EF446B">
      <w:pPr>
        <w:spacing w:before="360" w:after="360" w:line="360" w:lineRule="auto"/>
        <w:rPr>
          <w:rFonts w:cs="Arial"/>
          <w:b/>
          <w:i/>
        </w:rPr>
      </w:pPr>
      <w:r w:rsidRPr="00956ECB">
        <w:rPr>
          <w:rFonts w:cs="Arial"/>
          <w:b/>
          <w:i/>
        </w:rPr>
        <w:t>The evolution of the objection</w:t>
      </w:r>
    </w:p>
    <w:p w14:paraId="6F5D6182" w14:textId="77777777" w:rsidR="00EF446B" w:rsidRPr="00E14C1F" w:rsidRDefault="00CC57F4" w:rsidP="00EF3081">
      <w:pPr>
        <w:pStyle w:val="ListParagraph"/>
        <w:numPr>
          <w:ilvl w:val="0"/>
          <w:numId w:val="39"/>
        </w:numPr>
        <w:spacing w:before="240" w:after="240" w:line="360" w:lineRule="auto"/>
        <w:contextualSpacing w:val="0"/>
        <w:jc w:val="both"/>
        <w:rPr>
          <w:rFonts w:cs="Arial"/>
        </w:rPr>
      </w:pPr>
      <w:r w:rsidRPr="00956ECB">
        <w:rPr>
          <w:rFonts w:cs="Arial"/>
        </w:rPr>
        <w:t>As set out above, t</w:t>
      </w:r>
      <w:r w:rsidR="00EF446B" w:rsidRPr="00956ECB">
        <w:rPr>
          <w:rFonts w:cs="Arial"/>
        </w:rPr>
        <w:t>he respondent initially, in a letter of objection, objected to the introduction of the reliance on s</w:t>
      </w:r>
      <w:r w:rsidR="008A3C3E" w:rsidRPr="00956ECB">
        <w:rPr>
          <w:rFonts w:cs="Arial"/>
        </w:rPr>
        <w:t> </w:t>
      </w:r>
      <w:r w:rsidR="00EF446B" w:rsidRPr="00956ECB">
        <w:rPr>
          <w:rFonts w:cs="Arial"/>
        </w:rPr>
        <w:t>11</w:t>
      </w:r>
      <w:r w:rsidRPr="00956ECB">
        <w:rPr>
          <w:rFonts w:cs="Arial"/>
        </w:rPr>
        <w:t>(a)</w:t>
      </w:r>
      <w:r w:rsidR="00EF446B" w:rsidRPr="00956ECB">
        <w:rPr>
          <w:rFonts w:cs="Arial"/>
        </w:rPr>
        <w:t xml:space="preserve"> of the ITA </w:t>
      </w:r>
      <w:r w:rsidRPr="00956ECB">
        <w:rPr>
          <w:rFonts w:cs="Arial"/>
        </w:rPr>
        <w:t xml:space="preserve">in the </w:t>
      </w:r>
      <w:r w:rsidR="00EF446B" w:rsidRPr="00956ECB">
        <w:rPr>
          <w:rFonts w:cs="Arial"/>
        </w:rPr>
        <w:t>amendment on the basis that the appellant</w:t>
      </w:r>
      <w:r w:rsidR="00AF309D" w:rsidRPr="00956ECB">
        <w:rPr>
          <w:rFonts w:cs="Arial"/>
        </w:rPr>
        <w:t xml:space="preserve"> had </w:t>
      </w:r>
      <w:r w:rsidR="00EF446B" w:rsidRPr="00956ECB">
        <w:rPr>
          <w:rFonts w:cs="Arial"/>
        </w:rPr>
        <w:t>abandoned the ground of appeal sought to be introduced</w:t>
      </w:r>
      <w:r w:rsidR="008A3C3E" w:rsidRPr="00956ECB">
        <w:rPr>
          <w:rFonts w:cs="Arial"/>
        </w:rPr>
        <w:t>,</w:t>
      </w:r>
      <w:r w:rsidR="00EF446B" w:rsidRPr="00956ECB">
        <w:rPr>
          <w:rFonts w:cs="Arial"/>
        </w:rPr>
        <w:t xml:space="preserve"> as the issue was previously raised during the objection</w:t>
      </w:r>
      <w:r w:rsidR="008A3C3E" w:rsidRPr="00956ECB">
        <w:rPr>
          <w:rFonts w:cs="Arial"/>
        </w:rPr>
        <w:t xml:space="preserve"> </w:t>
      </w:r>
      <w:r w:rsidR="00EF446B" w:rsidRPr="00956ECB">
        <w:rPr>
          <w:rFonts w:cs="Arial"/>
        </w:rPr>
        <w:t>stage, but not persisted with in the grounds of appeal. After the appellant instituted its application for amendment</w:t>
      </w:r>
      <w:r w:rsidR="008A3C3E" w:rsidRPr="00956ECB">
        <w:rPr>
          <w:rFonts w:cs="Arial"/>
        </w:rPr>
        <w:t>,</w:t>
      </w:r>
      <w:r w:rsidR="00EF446B" w:rsidRPr="00956ECB">
        <w:rPr>
          <w:rFonts w:cs="Arial"/>
        </w:rPr>
        <w:t xml:space="preserve"> the respondent raised two further grounds of opposition</w:t>
      </w:r>
      <w:r w:rsidR="008A3C3E" w:rsidRPr="00956ECB">
        <w:rPr>
          <w:rFonts w:cs="Arial"/>
        </w:rPr>
        <w:t>,</w:t>
      </w:r>
      <w:r w:rsidR="00EF446B" w:rsidRPr="00956ECB">
        <w:rPr>
          <w:rFonts w:cs="Arial"/>
        </w:rPr>
        <w:t xml:space="preserve"> namely that the appellant</w:t>
      </w:r>
      <w:r w:rsidR="008A3C3E" w:rsidRPr="00956ECB">
        <w:rPr>
          <w:rFonts w:cs="Arial"/>
        </w:rPr>
        <w:t>’</w:t>
      </w:r>
      <w:r w:rsidR="00EF446B" w:rsidRPr="00956ECB">
        <w:rPr>
          <w:rFonts w:cs="Arial"/>
        </w:rPr>
        <w:t xml:space="preserve">s proposed amendment involved the withdrawal of an admission in the notice of appeal and it </w:t>
      </w:r>
      <w:r w:rsidR="00E14C1F">
        <w:rPr>
          <w:rFonts w:cs="Arial"/>
        </w:rPr>
        <w:t xml:space="preserve">also </w:t>
      </w:r>
      <w:r w:rsidR="00EF446B" w:rsidRPr="00E14C1F">
        <w:rPr>
          <w:rFonts w:cs="Arial"/>
        </w:rPr>
        <w:t>alleged irreparable prejudice.</w:t>
      </w:r>
    </w:p>
    <w:p w14:paraId="6C72BA60" w14:textId="77777777" w:rsidR="00EF446B" w:rsidRPr="007454A9" w:rsidRDefault="00EF446B" w:rsidP="00EF446B">
      <w:pPr>
        <w:spacing w:before="360" w:after="360" w:line="360" w:lineRule="auto"/>
        <w:rPr>
          <w:rFonts w:cs="Arial"/>
          <w:b/>
          <w:i/>
        </w:rPr>
      </w:pPr>
      <w:r w:rsidRPr="007454A9">
        <w:rPr>
          <w:rFonts w:cs="Arial"/>
          <w:b/>
          <w:i/>
        </w:rPr>
        <w:t>Reliance on grounds of objection to the amendment not previously raised</w:t>
      </w:r>
    </w:p>
    <w:p w14:paraId="306FE4FA" w14:textId="77777777" w:rsidR="00EF3081" w:rsidRDefault="00EF446B" w:rsidP="00EF3081">
      <w:pPr>
        <w:pStyle w:val="ListParagraph"/>
        <w:numPr>
          <w:ilvl w:val="0"/>
          <w:numId w:val="39"/>
        </w:numPr>
        <w:spacing w:before="240" w:after="240" w:line="360" w:lineRule="auto"/>
        <w:contextualSpacing w:val="0"/>
        <w:jc w:val="both"/>
        <w:rPr>
          <w:rFonts w:cs="Arial"/>
        </w:rPr>
      </w:pPr>
      <w:r w:rsidRPr="00956ECB">
        <w:rPr>
          <w:rFonts w:cs="Arial"/>
        </w:rPr>
        <w:t xml:space="preserve">The appellants argued that the respondent was bound by the content of its initial notice of objection and that the expanded grounds of objection by the respondent, being the alleged waiver and the withdrawal of an admission </w:t>
      </w:r>
      <w:r w:rsidR="00E14C1F">
        <w:rPr>
          <w:rFonts w:cs="Arial"/>
        </w:rPr>
        <w:t>(</w:t>
      </w:r>
      <w:r w:rsidRPr="00E14C1F">
        <w:rPr>
          <w:rFonts w:cs="Arial"/>
        </w:rPr>
        <w:t>which were only raised in its answering affidavit</w:t>
      </w:r>
      <w:r w:rsidR="00E14C1F">
        <w:rPr>
          <w:rFonts w:cs="Arial"/>
        </w:rPr>
        <w:t>)</w:t>
      </w:r>
      <w:r w:rsidRPr="00E14C1F">
        <w:rPr>
          <w:rFonts w:cs="Arial"/>
        </w:rPr>
        <w:t xml:space="preserve"> should not have come into play in considering whether the amendment should be granted.</w:t>
      </w:r>
    </w:p>
    <w:p w14:paraId="214C3259" w14:textId="7AB5EDC7" w:rsidR="00EF446B"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Without deciding the correctness of this alleged procedural transgression, we intend to deal with all the objections raised before the Tax Court which heard the amendment application </w:t>
      </w:r>
      <w:r w:rsidR="008A3C3E" w:rsidRPr="00EF3081">
        <w:rPr>
          <w:rFonts w:cs="Arial"/>
        </w:rPr>
        <w:t>–</w:t>
      </w:r>
      <w:r w:rsidRPr="00EF3081">
        <w:rPr>
          <w:rFonts w:cs="Arial"/>
        </w:rPr>
        <w:t xml:space="preserve"> with one </w:t>
      </w:r>
      <w:r w:rsidR="00CA3BA3" w:rsidRPr="00EF3081">
        <w:rPr>
          <w:rFonts w:cs="Arial"/>
        </w:rPr>
        <w:t>proviso</w:t>
      </w:r>
      <w:r w:rsidRPr="00EF3081">
        <w:rPr>
          <w:rFonts w:cs="Arial"/>
        </w:rPr>
        <w:t>: insofar as it is argued by the respondent that a case ought to have been made out in the founding affidavit in respect of the expanded grounds of objection, such argument should quite evidently be rejected</w:t>
      </w:r>
      <w:r w:rsidR="00CC57F4" w:rsidRPr="00EF3081">
        <w:rPr>
          <w:rFonts w:cs="Arial"/>
        </w:rPr>
        <w:t xml:space="preserve">, </w:t>
      </w:r>
      <w:r w:rsidRPr="00EF3081">
        <w:rPr>
          <w:rFonts w:cs="Arial"/>
        </w:rPr>
        <w:t xml:space="preserve">as clearly the appellant ought only to have dealt with the objections raised by the respondent at the time. It was not for the </w:t>
      </w:r>
      <w:r w:rsidR="00BA355B" w:rsidRPr="00EF3081">
        <w:rPr>
          <w:rFonts w:cs="Arial"/>
        </w:rPr>
        <w:t>appellant</w:t>
      </w:r>
      <w:r w:rsidRPr="00EF3081">
        <w:rPr>
          <w:rFonts w:cs="Arial"/>
        </w:rPr>
        <w:t xml:space="preserve"> to put up the proverbial skittles, </w:t>
      </w:r>
      <w:r w:rsidRPr="00EF3081">
        <w:rPr>
          <w:rFonts w:cs="Arial"/>
        </w:rPr>
        <w:lastRenderedPageBreak/>
        <w:t>simply to knock them down again. Had it done so, it would have been critici</w:t>
      </w:r>
      <w:r w:rsidR="008A3C3E" w:rsidRPr="00EF3081">
        <w:rPr>
          <w:rFonts w:cs="Arial"/>
        </w:rPr>
        <w:t>s</w:t>
      </w:r>
      <w:r w:rsidRPr="00EF3081">
        <w:rPr>
          <w:rFonts w:cs="Arial"/>
        </w:rPr>
        <w:t>ed for dealing with irrelevant considerations.</w:t>
      </w:r>
    </w:p>
    <w:p w14:paraId="033434C9" w14:textId="77777777" w:rsidR="00EF446B" w:rsidRPr="00956ECB" w:rsidRDefault="00EF446B" w:rsidP="00381C09">
      <w:pPr>
        <w:spacing w:before="360" w:after="360" w:line="360" w:lineRule="auto"/>
        <w:rPr>
          <w:rFonts w:cs="Arial"/>
          <w:b/>
          <w:i/>
        </w:rPr>
      </w:pPr>
      <w:r w:rsidRPr="00956ECB">
        <w:rPr>
          <w:rFonts w:cs="Arial"/>
          <w:b/>
          <w:i/>
        </w:rPr>
        <w:t>Withdrawal of admission</w:t>
      </w:r>
    </w:p>
    <w:p w14:paraId="2F84B51E" w14:textId="00BC5D3F" w:rsidR="00EF3081" w:rsidRDefault="00EF446B" w:rsidP="00EF3081">
      <w:pPr>
        <w:pStyle w:val="ListParagraph"/>
        <w:numPr>
          <w:ilvl w:val="0"/>
          <w:numId w:val="39"/>
        </w:numPr>
        <w:spacing w:before="240" w:after="240" w:line="360" w:lineRule="auto"/>
        <w:contextualSpacing w:val="0"/>
        <w:jc w:val="both"/>
        <w:rPr>
          <w:rFonts w:cs="Arial"/>
        </w:rPr>
      </w:pPr>
      <w:r w:rsidRPr="00956ECB">
        <w:rPr>
          <w:rFonts w:cs="Arial"/>
        </w:rPr>
        <w:t xml:space="preserve">The respondent </w:t>
      </w:r>
      <w:r w:rsidR="004B2DE8" w:rsidRPr="00956ECB">
        <w:rPr>
          <w:rFonts w:cs="Arial"/>
        </w:rPr>
        <w:t>submitted</w:t>
      </w:r>
      <w:r w:rsidRPr="00956ECB">
        <w:rPr>
          <w:rFonts w:cs="Arial"/>
        </w:rPr>
        <w:t xml:space="preserve"> that the appellant’s decision not </w:t>
      </w:r>
      <w:r w:rsidR="004B2DE8" w:rsidRPr="00956ECB">
        <w:rPr>
          <w:rFonts w:cs="Arial"/>
        </w:rPr>
        <w:t xml:space="preserve">to </w:t>
      </w:r>
      <w:r w:rsidRPr="00956ECB">
        <w:rPr>
          <w:rFonts w:cs="Arial"/>
        </w:rPr>
        <w:t>persist with the s</w:t>
      </w:r>
      <w:r w:rsidR="004908D1">
        <w:rPr>
          <w:rFonts w:cs="Arial"/>
        </w:rPr>
        <w:t> </w:t>
      </w:r>
      <w:r w:rsidRPr="00956ECB">
        <w:rPr>
          <w:rFonts w:cs="Arial"/>
        </w:rPr>
        <w:t>11(a) issue, because it</w:t>
      </w:r>
      <w:r w:rsidR="004B2DE8" w:rsidRPr="00956ECB">
        <w:rPr>
          <w:rFonts w:cs="Arial"/>
        </w:rPr>
        <w:t>, in effect,</w:t>
      </w:r>
      <w:r w:rsidRPr="00956ECB">
        <w:rPr>
          <w:rFonts w:cs="Arial"/>
        </w:rPr>
        <w:t xml:space="preserve"> admitted that the respond</w:t>
      </w:r>
      <w:r w:rsidR="004B2DE8" w:rsidRPr="00956ECB">
        <w:rPr>
          <w:rFonts w:cs="Arial"/>
        </w:rPr>
        <w:t>ent was correct in rejecting this ground</w:t>
      </w:r>
      <w:r w:rsidR="00F05CFD" w:rsidRPr="00956ECB">
        <w:rPr>
          <w:rFonts w:cs="Arial"/>
        </w:rPr>
        <w:t>,</w:t>
      </w:r>
      <w:r w:rsidRPr="00956ECB">
        <w:rPr>
          <w:rFonts w:cs="Arial"/>
        </w:rPr>
        <w:t xml:space="preserve"> coupled with its failure to have included it as one of its </w:t>
      </w:r>
      <w:r w:rsidR="004B2DE8" w:rsidRPr="00956ECB">
        <w:rPr>
          <w:rFonts w:cs="Arial"/>
        </w:rPr>
        <w:t>grounds of appeal, constituted a</w:t>
      </w:r>
      <w:r w:rsidRPr="00956ECB">
        <w:rPr>
          <w:rFonts w:cs="Arial"/>
        </w:rPr>
        <w:t>n admission. In our view</w:t>
      </w:r>
      <w:r w:rsidR="00F05CFD" w:rsidRPr="00956ECB">
        <w:rPr>
          <w:rFonts w:cs="Arial"/>
        </w:rPr>
        <w:t>,</w:t>
      </w:r>
      <w:r w:rsidRPr="00956ECB">
        <w:rPr>
          <w:rFonts w:cs="Arial"/>
        </w:rPr>
        <w:t xml:space="preserve"> this does not amount to an admission of t</w:t>
      </w:r>
      <w:r w:rsidR="009A1802" w:rsidRPr="00956ECB">
        <w:rPr>
          <w:rFonts w:cs="Arial"/>
        </w:rPr>
        <w:t>he sort envisaged in pleadings.</w:t>
      </w:r>
    </w:p>
    <w:p w14:paraId="3E724592"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An admission is ‘an unequivocal agreement by one party with a statement of fact by the other’.</w:t>
      </w:r>
      <w:r w:rsidRPr="00956ECB">
        <w:rPr>
          <w:rStyle w:val="FootnoteReference"/>
          <w:rFonts w:cs="Arial"/>
        </w:rPr>
        <w:footnoteReference w:id="27"/>
      </w:r>
      <w:r w:rsidRPr="00EF3081">
        <w:rPr>
          <w:rFonts w:cs="Arial"/>
        </w:rPr>
        <w:t xml:space="preserve"> No admission is contained in the appellant’s Rule 32 statement of grounds of appeal that is sought to be withdrawn.</w:t>
      </w:r>
      <w:r w:rsidRPr="00956ECB">
        <w:rPr>
          <w:rStyle w:val="FootnoteReference"/>
          <w:rFonts w:cs="Arial"/>
        </w:rPr>
        <w:footnoteReference w:id="28"/>
      </w:r>
      <w:r w:rsidR="004B2DE8" w:rsidRPr="00EF3081">
        <w:rPr>
          <w:rFonts w:cs="Arial"/>
        </w:rPr>
        <w:t xml:space="preserve"> The proposed amendment </w:t>
      </w:r>
      <w:r w:rsidR="00CA3BA3" w:rsidRPr="00EF3081">
        <w:rPr>
          <w:rFonts w:cs="Arial"/>
        </w:rPr>
        <w:t>can therefore</w:t>
      </w:r>
      <w:r w:rsidR="004B2DE8" w:rsidRPr="00EF3081">
        <w:rPr>
          <w:rFonts w:cs="Arial"/>
        </w:rPr>
        <w:t xml:space="preserve"> not amount to a withdrawal of an admission.</w:t>
      </w:r>
    </w:p>
    <w:p w14:paraId="4C97F1EF"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Rule 34 provides that the issues in an appeal to the Tax Court will be those contained in the Rule 31 statement of grounds of assessment</w:t>
      </w:r>
      <w:r w:rsidR="003C090D" w:rsidRPr="00EF3081">
        <w:rPr>
          <w:rFonts w:cs="Arial"/>
        </w:rPr>
        <w:t>,</w:t>
      </w:r>
      <w:r w:rsidRPr="00EF3081">
        <w:rPr>
          <w:rFonts w:cs="Arial"/>
        </w:rPr>
        <w:t xml:space="preserve"> read with the Rule 32 statement of grounds of appeal and the </w:t>
      </w:r>
      <w:r w:rsidR="00B96DBD" w:rsidRPr="00EF3081">
        <w:rPr>
          <w:rFonts w:cs="Arial"/>
        </w:rPr>
        <w:t>R</w:t>
      </w:r>
      <w:r w:rsidRPr="00EF3081">
        <w:rPr>
          <w:rFonts w:cs="Arial"/>
        </w:rPr>
        <w:t>ule 33 reply, if any.</w:t>
      </w:r>
    </w:p>
    <w:p w14:paraId="61C7EFD0" w14:textId="4474B6DC" w:rsidR="00381C09"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Paragraph 12 of the appellant’s Rule 32 statement of grounds of appeal reads:</w:t>
      </w:r>
    </w:p>
    <w:p w14:paraId="4E47E091" w14:textId="77777777" w:rsidR="00381C09" w:rsidRPr="00956ECB" w:rsidRDefault="00B96DBD" w:rsidP="00381C09">
      <w:pPr>
        <w:pStyle w:val="ListParagraph"/>
        <w:spacing w:before="240" w:after="240" w:line="360" w:lineRule="auto"/>
        <w:ind w:left="0"/>
        <w:contextualSpacing w:val="0"/>
        <w:jc w:val="both"/>
        <w:rPr>
          <w:rFonts w:cs="Arial"/>
          <w:sz w:val="22"/>
        </w:rPr>
      </w:pPr>
      <w:r w:rsidRPr="007454A9">
        <w:rPr>
          <w:rFonts w:cs="Arial"/>
          <w:sz w:val="22"/>
        </w:rPr>
        <w:t>‘</w:t>
      </w:r>
      <w:r w:rsidR="00EF446B" w:rsidRPr="00956ECB">
        <w:rPr>
          <w:rFonts w:cs="Arial"/>
          <w:sz w:val="22"/>
        </w:rPr>
        <w:t xml:space="preserve">12… in what follows the Appellant clearly and concisely pleads which of the facts and the legal grounds in the Rule 31 Statement are admitted and which of those facts or legal grounds are opposed…..’ </w:t>
      </w:r>
    </w:p>
    <w:p w14:paraId="16B13A8C" w14:textId="77777777" w:rsidR="00EF3081" w:rsidRDefault="00EF446B" w:rsidP="00EF3081">
      <w:pPr>
        <w:pStyle w:val="ListParagraph"/>
        <w:numPr>
          <w:ilvl w:val="0"/>
          <w:numId w:val="39"/>
        </w:numPr>
        <w:spacing w:before="240" w:after="240" w:line="360" w:lineRule="auto"/>
        <w:contextualSpacing w:val="0"/>
        <w:jc w:val="both"/>
        <w:rPr>
          <w:rFonts w:cs="Arial"/>
        </w:rPr>
      </w:pPr>
      <w:r w:rsidRPr="00956ECB">
        <w:rPr>
          <w:rFonts w:cs="Arial"/>
        </w:rPr>
        <w:t xml:space="preserve">Paragraph 39 of the Rule 31 statement of grounds of assessment contains the response </w:t>
      </w:r>
      <w:r w:rsidR="00CA3BA3">
        <w:rPr>
          <w:rFonts w:cs="Arial"/>
        </w:rPr>
        <w:t xml:space="preserve">to the </w:t>
      </w:r>
      <w:r w:rsidRPr="00956ECB">
        <w:rPr>
          <w:rFonts w:cs="Arial"/>
        </w:rPr>
        <w:t xml:space="preserve">paragraph 10 </w:t>
      </w:r>
      <w:r w:rsidR="00CA3BA3">
        <w:rPr>
          <w:rFonts w:cs="Arial"/>
        </w:rPr>
        <w:t xml:space="preserve">statement </w:t>
      </w:r>
      <w:r w:rsidRPr="00956ECB">
        <w:rPr>
          <w:rFonts w:cs="Arial"/>
        </w:rPr>
        <w:t>of the appellant’s notice of appeal in which the alleged admission appears. The response to the averment in the notice of appeal was ‘</w:t>
      </w:r>
      <w:r w:rsidR="00A02AF6" w:rsidRPr="00956ECB">
        <w:rPr>
          <w:rFonts w:cs="Arial"/>
        </w:rPr>
        <w:t>[t]</w:t>
      </w:r>
      <w:r w:rsidRPr="00956ECB">
        <w:rPr>
          <w:rFonts w:cs="Arial"/>
        </w:rPr>
        <w:t>he contents hereof are noted’. This</w:t>
      </w:r>
      <w:r w:rsidR="00A02AF6" w:rsidRPr="00956ECB">
        <w:rPr>
          <w:rFonts w:cs="Arial"/>
        </w:rPr>
        <w:t>,</w:t>
      </w:r>
      <w:r w:rsidRPr="00956ECB">
        <w:rPr>
          <w:rFonts w:cs="Arial"/>
        </w:rPr>
        <w:t xml:space="preserve"> in turn</w:t>
      </w:r>
      <w:r w:rsidR="00A02AF6" w:rsidRPr="00956ECB">
        <w:rPr>
          <w:rFonts w:cs="Arial"/>
        </w:rPr>
        <w:t>,</w:t>
      </w:r>
      <w:r w:rsidRPr="00956ECB">
        <w:rPr>
          <w:rFonts w:cs="Arial"/>
        </w:rPr>
        <w:t xml:space="preserve"> is responded to in the Rule 32 statement of grounds of appeal as follows: ‘</w:t>
      </w:r>
      <w:r w:rsidR="00A02AF6" w:rsidRPr="00956ECB">
        <w:rPr>
          <w:rFonts w:cs="Arial"/>
        </w:rPr>
        <w:t>[t]</w:t>
      </w:r>
      <w:r w:rsidRPr="00956ECB">
        <w:rPr>
          <w:rFonts w:cs="Arial"/>
        </w:rPr>
        <w:t xml:space="preserve">he contents thereof are noted’. There clearly is no agreement regarding a statement of fact on the pleadings. More crucially, </w:t>
      </w:r>
      <w:r w:rsidRPr="00956ECB">
        <w:rPr>
          <w:rFonts w:cs="Arial"/>
        </w:rPr>
        <w:lastRenderedPageBreak/>
        <w:t>the pleadings consisting of the Rules 31 and 32 statements, not the notices, do no</w:t>
      </w:r>
      <w:r w:rsidR="00381C09" w:rsidRPr="00956ECB">
        <w:rPr>
          <w:rFonts w:cs="Arial"/>
        </w:rPr>
        <w:t>t contain the alleged admission.</w:t>
      </w:r>
    </w:p>
    <w:p w14:paraId="0CE34C72"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Applications for amendment</w:t>
      </w:r>
      <w:r w:rsidR="00A02AF6" w:rsidRPr="00EF3081">
        <w:rPr>
          <w:rFonts w:cs="Arial"/>
        </w:rPr>
        <w:t>s</w:t>
      </w:r>
      <w:r w:rsidRPr="00EF3081">
        <w:rPr>
          <w:rFonts w:cs="Arial"/>
        </w:rPr>
        <w:t xml:space="preserve"> seeking to retract incorrectly admitted legal consequences are normally granted by our courts (even on appeal), </w:t>
      </w:r>
      <w:r w:rsidRPr="00EF3081">
        <w:rPr>
          <w:rFonts w:cs="Arial"/>
          <w:iCs/>
        </w:rPr>
        <w:t>for only the law would be prejudiced if cases were to be decided on what parties might</w:t>
      </w:r>
      <w:r w:rsidR="00D91F44" w:rsidRPr="00EF3081">
        <w:rPr>
          <w:rFonts w:cs="Arial"/>
          <w:iCs/>
        </w:rPr>
        <w:t>,</w:t>
      </w:r>
      <w:r w:rsidRPr="00EF3081">
        <w:rPr>
          <w:rFonts w:cs="Arial"/>
          <w:iCs/>
        </w:rPr>
        <w:t xml:space="preserve"> in ignorance</w:t>
      </w:r>
      <w:r w:rsidR="00D91F44" w:rsidRPr="00EF3081">
        <w:rPr>
          <w:rFonts w:cs="Arial"/>
          <w:iCs/>
        </w:rPr>
        <w:t>,</w:t>
      </w:r>
      <w:r w:rsidRPr="00EF3081">
        <w:rPr>
          <w:rFonts w:cs="Arial"/>
          <w:iCs/>
        </w:rPr>
        <w:t xml:space="preserve"> have agreed the law to be</w:t>
      </w:r>
      <w:r w:rsidRPr="00EF3081">
        <w:rPr>
          <w:rFonts w:cs="Arial"/>
        </w:rPr>
        <w:t>. A court is not even obliged to consider prejudice to the other side in such circumstances.</w:t>
      </w:r>
      <w:r w:rsidRPr="00956ECB">
        <w:rPr>
          <w:rStyle w:val="FootnoteReference"/>
          <w:rFonts w:cs="Arial"/>
        </w:rPr>
        <w:footnoteReference w:id="29"/>
      </w:r>
    </w:p>
    <w:p w14:paraId="170813B7" w14:textId="12D4E85F" w:rsidR="00381C09"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Mr </w:t>
      </w:r>
      <w:proofErr w:type="spellStart"/>
      <w:r w:rsidRPr="00EF3081">
        <w:rPr>
          <w:rFonts w:cs="Arial"/>
        </w:rPr>
        <w:t>Bhana</w:t>
      </w:r>
      <w:proofErr w:type="spellEnd"/>
      <w:r w:rsidRPr="00EF3081">
        <w:rPr>
          <w:rFonts w:cs="Arial"/>
        </w:rPr>
        <w:t xml:space="preserve"> SC</w:t>
      </w:r>
      <w:r w:rsidR="00A02AF6" w:rsidRPr="00EF3081">
        <w:rPr>
          <w:rFonts w:cs="Arial"/>
        </w:rPr>
        <w:t>,</w:t>
      </w:r>
      <w:r w:rsidRPr="00EF3081">
        <w:rPr>
          <w:rFonts w:cs="Arial"/>
        </w:rPr>
        <w:t xml:space="preserve"> representing the respondent</w:t>
      </w:r>
      <w:r w:rsidR="00A02AF6" w:rsidRPr="00EF3081">
        <w:rPr>
          <w:rFonts w:cs="Arial"/>
        </w:rPr>
        <w:t>,</w:t>
      </w:r>
      <w:r w:rsidRPr="00EF3081">
        <w:rPr>
          <w:rFonts w:cs="Arial"/>
        </w:rPr>
        <w:t xml:space="preserve"> argued that this principle does not avail the appellant because the admission was not only an admission of law</w:t>
      </w:r>
      <w:r w:rsidR="003C090D" w:rsidRPr="00EF3081">
        <w:rPr>
          <w:rFonts w:cs="Arial"/>
        </w:rPr>
        <w:t>,</w:t>
      </w:r>
      <w:r w:rsidRPr="00EF3081">
        <w:rPr>
          <w:rFonts w:cs="Arial"/>
        </w:rPr>
        <w:t xml:space="preserve"> but also an admission of fact. In the respondent’s letter disallowing </w:t>
      </w:r>
      <w:r w:rsidR="00A02AF6" w:rsidRPr="00EF3081">
        <w:rPr>
          <w:rFonts w:cs="Arial"/>
        </w:rPr>
        <w:t xml:space="preserve">the </w:t>
      </w:r>
      <w:r w:rsidRPr="00EF3081">
        <w:rPr>
          <w:rFonts w:cs="Arial"/>
        </w:rPr>
        <w:t>appellant’s objections</w:t>
      </w:r>
      <w:r w:rsidR="00A02AF6" w:rsidRPr="00EF3081">
        <w:rPr>
          <w:rFonts w:cs="Arial"/>
        </w:rPr>
        <w:t>,</w:t>
      </w:r>
      <w:r w:rsidRPr="00EF3081">
        <w:rPr>
          <w:rFonts w:cs="Arial"/>
        </w:rPr>
        <w:t xml:space="preserve"> the issue is dealt with as follows:</w:t>
      </w:r>
    </w:p>
    <w:p w14:paraId="2BE91F02" w14:textId="00579C51" w:rsidR="00381C09" w:rsidRPr="00956ECB" w:rsidRDefault="00EF446B" w:rsidP="00381C09">
      <w:pPr>
        <w:pStyle w:val="ListParagraph"/>
        <w:spacing w:before="240" w:after="240" w:line="360" w:lineRule="auto"/>
        <w:ind w:left="0"/>
        <w:contextualSpacing w:val="0"/>
        <w:jc w:val="both"/>
        <w:rPr>
          <w:rFonts w:cs="Arial"/>
          <w:sz w:val="22"/>
        </w:rPr>
      </w:pPr>
      <w:r w:rsidRPr="007454A9">
        <w:rPr>
          <w:rFonts w:cs="Arial"/>
          <w:sz w:val="22"/>
        </w:rPr>
        <w:t xml:space="preserve">‘In BMM’s instance the purpose of the expenditure was to set up and/or develop its </w:t>
      </w:r>
      <w:proofErr w:type="spellStart"/>
      <w:r w:rsidRPr="007454A9">
        <w:rPr>
          <w:rFonts w:cs="Arial"/>
          <w:sz w:val="22"/>
        </w:rPr>
        <w:t>Gamsberg</w:t>
      </w:r>
      <w:proofErr w:type="spellEnd"/>
      <w:r w:rsidRPr="007454A9">
        <w:rPr>
          <w:rFonts w:cs="Arial"/>
          <w:sz w:val="22"/>
        </w:rPr>
        <w:t xml:space="preserve"> mine. This setting up costs and/or development expenditure will create a source of profit. The ex</w:t>
      </w:r>
      <w:r w:rsidRPr="00956ECB">
        <w:rPr>
          <w:rFonts w:cs="Arial"/>
          <w:sz w:val="22"/>
        </w:rPr>
        <w:t xml:space="preserve">penditure related to the development of the </w:t>
      </w:r>
      <w:proofErr w:type="spellStart"/>
      <w:r w:rsidRPr="00956ECB">
        <w:rPr>
          <w:rFonts w:cs="Arial"/>
          <w:sz w:val="22"/>
        </w:rPr>
        <w:t>Gamsberg</w:t>
      </w:r>
      <w:proofErr w:type="spellEnd"/>
      <w:r w:rsidRPr="00956ECB">
        <w:rPr>
          <w:rFonts w:cs="Arial"/>
          <w:sz w:val="22"/>
        </w:rPr>
        <w:t xml:space="preserve"> mine and not to the operating of the </w:t>
      </w:r>
      <w:proofErr w:type="spellStart"/>
      <w:r w:rsidRPr="00956ECB">
        <w:rPr>
          <w:rFonts w:cs="Arial"/>
          <w:sz w:val="22"/>
        </w:rPr>
        <w:t>Gamsberg</w:t>
      </w:r>
      <w:proofErr w:type="spellEnd"/>
      <w:r w:rsidRPr="00956ECB">
        <w:rPr>
          <w:rFonts w:cs="Arial"/>
          <w:sz w:val="22"/>
        </w:rPr>
        <w:t xml:space="preserve"> mine. In the circumstances the expenditure is more closely related to BMM’s income-earning structure rather than its income-producing operations. [‘</w:t>
      </w:r>
      <w:r w:rsidR="009D3E7B">
        <w:rPr>
          <w:rFonts w:cs="Arial"/>
          <w:sz w:val="22"/>
        </w:rPr>
        <w:t>t</w:t>
      </w:r>
      <w:r w:rsidR="004908D1" w:rsidRPr="00956ECB">
        <w:rPr>
          <w:rFonts w:cs="Arial"/>
          <w:sz w:val="22"/>
        </w:rPr>
        <w:t xml:space="preserve">he </w:t>
      </w:r>
      <w:r w:rsidRPr="00956ECB">
        <w:rPr>
          <w:rFonts w:cs="Arial"/>
          <w:sz w:val="22"/>
        </w:rPr>
        <w:t>factual portion’]</w:t>
      </w:r>
    </w:p>
    <w:p w14:paraId="29576D2A" w14:textId="3B9913F5" w:rsidR="00381C09" w:rsidRPr="00956ECB" w:rsidRDefault="00EF446B" w:rsidP="00381C09">
      <w:pPr>
        <w:pStyle w:val="ListParagraph"/>
        <w:spacing w:before="240" w:after="240" w:line="360" w:lineRule="auto"/>
        <w:ind w:left="0"/>
        <w:contextualSpacing w:val="0"/>
        <w:jc w:val="both"/>
        <w:rPr>
          <w:rFonts w:cs="Arial"/>
          <w:sz w:val="22"/>
        </w:rPr>
      </w:pPr>
      <w:r w:rsidRPr="00956ECB">
        <w:rPr>
          <w:rFonts w:cs="Arial"/>
          <w:sz w:val="22"/>
        </w:rPr>
        <w:t>The expenditure incurred by BMM is therefore of a capital nature and will not qualify for deduction in terms of section 11(a)’</w:t>
      </w:r>
      <w:r w:rsidR="004908D1">
        <w:rPr>
          <w:rFonts w:cs="Arial"/>
          <w:sz w:val="22"/>
        </w:rPr>
        <w:t>.</w:t>
      </w:r>
      <w:r w:rsidRPr="00956ECB">
        <w:rPr>
          <w:rFonts w:cs="Arial"/>
          <w:sz w:val="22"/>
        </w:rPr>
        <w:t xml:space="preserve"> [‘</w:t>
      </w:r>
      <w:r w:rsidR="009D3E7B">
        <w:rPr>
          <w:rFonts w:cs="Arial"/>
          <w:sz w:val="22"/>
        </w:rPr>
        <w:t>t</w:t>
      </w:r>
      <w:r w:rsidRPr="00956ECB">
        <w:rPr>
          <w:rFonts w:cs="Arial"/>
          <w:sz w:val="22"/>
        </w:rPr>
        <w:t>he conclusion’]</w:t>
      </w:r>
    </w:p>
    <w:p w14:paraId="288BF2DC" w14:textId="77777777" w:rsidR="00EF3081" w:rsidRDefault="00CA3BA3" w:rsidP="00EF3081">
      <w:pPr>
        <w:pStyle w:val="ListParagraph"/>
        <w:numPr>
          <w:ilvl w:val="0"/>
          <w:numId w:val="39"/>
        </w:numPr>
        <w:spacing w:before="240" w:after="240" w:line="360" w:lineRule="auto"/>
        <w:contextualSpacing w:val="0"/>
        <w:jc w:val="both"/>
        <w:rPr>
          <w:rFonts w:cs="Arial"/>
        </w:rPr>
      </w:pPr>
      <w:r>
        <w:rPr>
          <w:rFonts w:cs="Arial"/>
        </w:rPr>
        <w:t>To this, the appellant responded in the paragraph 10 statement disavowing reliance on s 11(a) of the ITA. The disavowal may have arisen from a particular ‘incorrect’ interpretation of the section, or it may have been made in ignorance of evidence sufficient to bring the section into operation. A combination of these possibilities would constitute a mixed question of fact and law.</w:t>
      </w:r>
    </w:p>
    <w:p w14:paraId="61FAFAC5"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In the fullness of time</w:t>
      </w:r>
      <w:r w:rsidR="00AF6B9B" w:rsidRPr="00EF3081">
        <w:rPr>
          <w:rFonts w:cs="Arial"/>
        </w:rPr>
        <w:t>,</w:t>
      </w:r>
      <w:r w:rsidRPr="00EF3081">
        <w:rPr>
          <w:rFonts w:cs="Arial"/>
        </w:rPr>
        <w:t xml:space="preserve"> the amendment may well be found to constitute evidential material, which might have a bearing on whether reliance on </w:t>
      </w:r>
      <w:r w:rsidR="00A02AF6" w:rsidRPr="00EF3081">
        <w:rPr>
          <w:rFonts w:cs="Arial"/>
        </w:rPr>
        <w:t>s </w:t>
      </w:r>
      <w:r w:rsidRPr="00EF3081">
        <w:rPr>
          <w:rFonts w:cs="Arial"/>
        </w:rPr>
        <w:t xml:space="preserve">11(a) </w:t>
      </w:r>
      <w:r w:rsidR="00CA3BA3" w:rsidRPr="00EF3081">
        <w:rPr>
          <w:rFonts w:cs="Arial"/>
        </w:rPr>
        <w:t xml:space="preserve">of the ITA </w:t>
      </w:r>
      <w:r w:rsidRPr="00EF3081">
        <w:rPr>
          <w:rFonts w:cs="Arial"/>
        </w:rPr>
        <w:t>was abandoned or waived, but that would depend on the evidence, not the pleading</w:t>
      </w:r>
      <w:r w:rsidR="00D91F44" w:rsidRPr="00EF3081">
        <w:rPr>
          <w:rFonts w:cs="Arial"/>
        </w:rPr>
        <w:t>s</w:t>
      </w:r>
      <w:r w:rsidRPr="00EF3081">
        <w:rPr>
          <w:rFonts w:cs="Arial"/>
        </w:rPr>
        <w:t xml:space="preserve"> alone. </w:t>
      </w:r>
      <w:r w:rsidRPr="00EF3081">
        <w:rPr>
          <w:rFonts w:cs="Arial"/>
        </w:rPr>
        <w:lastRenderedPageBreak/>
        <w:t xml:space="preserve">It might be an admission outside of the pleadings to be taken into consideration for purposes of deciding whether the right to rely on </w:t>
      </w:r>
      <w:r w:rsidR="00A02AF6" w:rsidRPr="00EF3081">
        <w:rPr>
          <w:rFonts w:cs="Arial"/>
        </w:rPr>
        <w:t>s </w:t>
      </w:r>
      <w:r w:rsidRPr="00EF3081">
        <w:rPr>
          <w:rFonts w:cs="Arial"/>
        </w:rPr>
        <w:t xml:space="preserve">11(a) </w:t>
      </w:r>
      <w:r w:rsidR="00CA3BA3" w:rsidRPr="00EF3081">
        <w:rPr>
          <w:rFonts w:cs="Arial"/>
        </w:rPr>
        <w:t>of the ITA</w:t>
      </w:r>
      <w:r w:rsidR="005B3373" w:rsidRPr="00EF3081">
        <w:rPr>
          <w:rFonts w:cs="Arial"/>
        </w:rPr>
        <w:t xml:space="preserve"> </w:t>
      </w:r>
      <w:r w:rsidRPr="00EF3081">
        <w:rPr>
          <w:rFonts w:cs="Arial"/>
        </w:rPr>
        <w:t>had been waived or abandoned</w:t>
      </w:r>
      <w:r w:rsidR="00381C09" w:rsidRPr="00EF3081">
        <w:rPr>
          <w:rFonts w:cs="Arial"/>
        </w:rPr>
        <w:t>.</w:t>
      </w:r>
    </w:p>
    <w:p w14:paraId="0FE09AB9"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Assuming that </w:t>
      </w:r>
      <w:r w:rsidR="00A02AF6" w:rsidRPr="00EF3081">
        <w:rPr>
          <w:rFonts w:cs="Arial"/>
        </w:rPr>
        <w:t xml:space="preserve">the </w:t>
      </w:r>
      <w:r w:rsidRPr="00EF3081">
        <w:rPr>
          <w:rFonts w:cs="Arial"/>
        </w:rPr>
        <w:t>respondent pleads a waiver in response to the amendment</w:t>
      </w:r>
      <w:r w:rsidR="00A02AF6" w:rsidRPr="00EF3081">
        <w:rPr>
          <w:rFonts w:cs="Arial"/>
        </w:rPr>
        <w:t>,</w:t>
      </w:r>
      <w:r w:rsidRPr="00EF3081">
        <w:rPr>
          <w:rFonts w:cs="Arial"/>
        </w:rPr>
        <w:t xml:space="preserve"> nothing precludes the respondent from cross-examining the appellant’s witnesses on the reasons for the change of tack and, if the facts justify the conclusion, from establishing that evidence necessary to sustain reliance on s 11(a) </w:t>
      </w:r>
      <w:r w:rsidR="005B3373" w:rsidRPr="00EF3081">
        <w:rPr>
          <w:rFonts w:cs="Arial"/>
        </w:rPr>
        <w:t xml:space="preserve">of the ITA </w:t>
      </w:r>
      <w:r w:rsidRPr="00EF3081">
        <w:rPr>
          <w:rFonts w:cs="Arial"/>
        </w:rPr>
        <w:t>is absent from appellant’s case. It does not follow that the amendment should be refused</w:t>
      </w:r>
      <w:r w:rsidR="00A02AF6" w:rsidRPr="00EF3081">
        <w:rPr>
          <w:rFonts w:cs="Arial"/>
        </w:rPr>
        <w:t>,</w:t>
      </w:r>
      <w:r w:rsidRPr="00EF3081">
        <w:rPr>
          <w:rFonts w:cs="Arial"/>
        </w:rPr>
        <w:t xml:space="preserve"> for the parties are</w:t>
      </w:r>
      <w:r w:rsidR="00D91F44" w:rsidRPr="00EF3081">
        <w:rPr>
          <w:rFonts w:cs="Arial"/>
        </w:rPr>
        <w:t>,</w:t>
      </w:r>
      <w:r w:rsidRPr="00EF3081">
        <w:rPr>
          <w:rFonts w:cs="Arial"/>
        </w:rPr>
        <w:t xml:space="preserve"> in pleadings</w:t>
      </w:r>
      <w:r w:rsidR="00D91F44" w:rsidRPr="00EF3081">
        <w:rPr>
          <w:rFonts w:cs="Arial"/>
        </w:rPr>
        <w:t>,</w:t>
      </w:r>
      <w:r w:rsidRPr="00EF3081">
        <w:rPr>
          <w:rFonts w:cs="Arial"/>
        </w:rPr>
        <w:t xml:space="preserve"> merely setting out what cases they propose presenting</w:t>
      </w:r>
      <w:r w:rsidR="00381C09" w:rsidRPr="00EF3081">
        <w:rPr>
          <w:rFonts w:cs="Arial"/>
        </w:rPr>
        <w:t>.</w:t>
      </w:r>
    </w:p>
    <w:p w14:paraId="4DD685AD"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Even if the intended amendment constituted a withdrawal of an admission (and </w:t>
      </w:r>
      <w:r w:rsidR="00A02AF6" w:rsidRPr="00EF3081">
        <w:rPr>
          <w:rFonts w:cs="Arial"/>
        </w:rPr>
        <w:t xml:space="preserve">if </w:t>
      </w:r>
      <w:r w:rsidRPr="00EF3081">
        <w:rPr>
          <w:rFonts w:cs="Arial"/>
        </w:rPr>
        <w:t>we are wrong about the finding that the Rule 31 statement of grounds of assessment did not incorporate by reference the communication to not persist with the s</w:t>
      </w:r>
      <w:r w:rsidR="00A02AF6" w:rsidRPr="00EF3081">
        <w:rPr>
          <w:rFonts w:cs="Arial"/>
        </w:rPr>
        <w:t> </w:t>
      </w:r>
      <w:r w:rsidR="005B3373" w:rsidRPr="00EF3081">
        <w:rPr>
          <w:rFonts w:cs="Arial"/>
        </w:rPr>
        <w:t>11(a)</w:t>
      </w:r>
      <w:r w:rsidR="00F54E17" w:rsidRPr="00EF3081">
        <w:rPr>
          <w:rFonts w:cs="Arial"/>
        </w:rPr>
        <w:t xml:space="preserve"> </w:t>
      </w:r>
      <w:r w:rsidR="005B3373" w:rsidRPr="00EF3081">
        <w:rPr>
          <w:rFonts w:cs="Arial"/>
        </w:rPr>
        <w:t>issue</w:t>
      </w:r>
      <w:r w:rsidR="00D736A5" w:rsidRPr="00EF3081">
        <w:rPr>
          <w:rFonts w:cs="Arial"/>
        </w:rPr>
        <w:t>)</w:t>
      </w:r>
      <w:r w:rsidRPr="00EF3081">
        <w:rPr>
          <w:rFonts w:cs="Arial"/>
        </w:rPr>
        <w:t xml:space="preserve"> then we would conclude that the appellant has provided an explanation for the circumstances giving rise thereto which would entitle it to withdraw</w:t>
      </w:r>
      <w:r w:rsidR="00381C09" w:rsidRPr="00EF3081">
        <w:rPr>
          <w:rFonts w:cs="Arial"/>
        </w:rPr>
        <w:t xml:space="preserve"> it.</w:t>
      </w:r>
    </w:p>
    <w:p w14:paraId="4D79743A" w14:textId="27E1A5E3"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The appellant contended that it had received incorrect tax advice, which informed its allegedly incorrect legal conclusion at the time </w:t>
      </w:r>
      <w:r w:rsidR="00AF6B9B" w:rsidRPr="00EF3081">
        <w:rPr>
          <w:rFonts w:cs="Arial"/>
        </w:rPr>
        <w:t>to</w:t>
      </w:r>
      <w:r w:rsidRPr="00EF3081">
        <w:rPr>
          <w:rFonts w:cs="Arial"/>
        </w:rPr>
        <w:t xml:space="preserve"> not persist with </w:t>
      </w:r>
      <w:r w:rsidR="00DD2912">
        <w:rPr>
          <w:rFonts w:cs="Arial"/>
        </w:rPr>
        <w:t xml:space="preserve">its </w:t>
      </w:r>
      <w:r w:rsidRPr="00EF3081">
        <w:rPr>
          <w:rFonts w:cs="Arial"/>
        </w:rPr>
        <w:t>reliance on s</w:t>
      </w:r>
      <w:r w:rsidR="004908D1">
        <w:rPr>
          <w:rFonts w:cs="Arial"/>
        </w:rPr>
        <w:t> </w:t>
      </w:r>
      <w:r w:rsidRPr="00EF3081">
        <w:rPr>
          <w:rFonts w:cs="Arial"/>
        </w:rPr>
        <w:t>11(a)</w:t>
      </w:r>
      <w:r w:rsidR="005B3373" w:rsidRPr="00EF3081">
        <w:rPr>
          <w:rFonts w:cs="Arial"/>
        </w:rPr>
        <w:t xml:space="preserve"> of the ITA</w:t>
      </w:r>
      <w:r w:rsidR="00381C09" w:rsidRPr="00EF3081">
        <w:rPr>
          <w:rFonts w:cs="Arial"/>
        </w:rPr>
        <w:t xml:space="preserve">. </w:t>
      </w:r>
      <w:r w:rsidRPr="00EF3081">
        <w:rPr>
          <w:rFonts w:cs="Arial"/>
        </w:rPr>
        <w:t>This was, contrary to the Tax Court’s finding, pertinently stated in the founding and replying affidavits. During argument in this Court</w:t>
      </w:r>
      <w:r w:rsidR="00A02AF6" w:rsidRPr="00EF3081">
        <w:rPr>
          <w:rFonts w:cs="Arial"/>
        </w:rPr>
        <w:t>,</w:t>
      </w:r>
      <w:r w:rsidRPr="00EF3081">
        <w:rPr>
          <w:rFonts w:cs="Arial"/>
        </w:rPr>
        <w:t xml:space="preserve"> it was suggested that there was no explanation on record from the attorneys currently representing the appellant, ENS</w:t>
      </w:r>
      <w:r w:rsidR="00A02AF6" w:rsidRPr="00EF3081">
        <w:rPr>
          <w:rFonts w:cs="Arial"/>
        </w:rPr>
        <w:t>africa</w:t>
      </w:r>
      <w:r w:rsidRPr="00EF3081">
        <w:rPr>
          <w:rFonts w:cs="Arial"/>
        </w:rPr>
        <w:t>, as to why the legal advice changed. However, ENS</w:t>
      </w:r>
      <w:r w:rsidR="00A02AF6" w:rsidRPr="00EF3081">
        <w:rPr>
          <w:rFonts w:cs="Arial"/>
        </w:rPr>
        <w:t>africa</w:t>
      </w:r>
      <w:r w:rsidRPr="00EF3081">
        <w:rPr>
          <w:rFonts w:cs="Arial"/>
        </w:rPr>
        <w:t xml:space="preserve"> only became the attorneys of record of the appellant on 5 June 2018</w:t>
      </w:r>
      <w:r w:rsidR="00AF6B9B" w:rsidRPr="00EF3081">
        <w:rPr>
          <w:rFonts w:cs="Arial"/>
        </w:rPr>
        <w:t>,</w:t>
      </w:r>
      <w:r w:rsidRPr="00EF3081">
        <w:rPr>
          <w:rFonts w:cs="Arial"/>
        </w:rPr>
        <w:t xml:space="preserve"> and were thus not the attorneys representing the appellant when the notice of appeal was delivered on 16 November 2017. The current attorneys were not party to the ‘incorrect’ advice which had been given.</w:t>
      </w:r>
    </w:p>
    <w:p w14:paraId="4C2001AF" w14:textId="2FB3D489" w:rsidR="00BA636F" w:rsidRPr="00EF3081" w:rsidRDefault="006B74F0" w:rsidP="00EF3081">
      <w:pPr>
        <w:pStyle w:val="ListParagraph"/>
        <w:numPr>
          <w:ilvl w:val="0"/>
          <w:numId w:val="39"/>
        </w:numPr>
        <w:spacing w:before="240" w:after="240" w:line="360" w:lineRule="auto"/>
        <w:contextualSpacing w:val="0"/>
        <w:jc w:val="both"/>
        <w:rPr>
          <w:rFonts w:cs="Arial"/>
        </w:rPr>
      </w:pPr>
      <w:r>
        <w:rPr>
          <w:rFonts w:cs="Arial"/>
        </w:rPr>
        <w:t>T</w:t>
      </w:r>
      <w:r w:rsidR="00EF446B" w:rsidRPr="00EF3081">
        <w:rPr>
          <w:rFonts w:cs="Arial"/>
        </w:rPr>
        <w:t xml:space="preserve">he </w:t>
      </w:r>
      <w:r w:rsidR="00BA636F" w:rsidRPr="00EF3081">
        <w:rPr>
          <w:rFonts w:cs="Arial"/>
        </w:rPr>
        <w:t>T</w:t>
      </w:r>
      <w:r w:rsidR="00EF446B" w:rsidRPr="00EF3081">
        <w:rPr>
          <w:rFonts w:cs="Arial"/>
        </w:rPr>
        <w:t>ax Court</w:t>
      </w:r>
      <w:r w:rsidR="00514132">
        <w:rPr>
          <w:rFonts w:cs="Arial"/>
        </w:rPr>
        <w:t xml:space="preserve">, however, </w:t>
      </w:r>
      <w:r w:rsidR="00EF446B" w:rsidRPr="00EF3081">
        <w:rPr>
          <w:rFonts w:cs="Arial"/>
        </w:rPr>
        <w:t>found that</w:t>
      </w:r>
      <w:r w:rsidR="00BA636F" w:rsidRPr="00EF3081">
        <w:rPr>
          <w:rFonts w:cs="Arial"/>
        </w:rPr>
        <w:t>—</w:t>
      </w:r>
    </w:p>
    <w:p w14:paraId="02ED76C9" w14:textId="6368299B" w:rsidR="00BA636F" w:rsidRPr="007454A9" w:rsidRDefault="00EF446B" w:rsidP="00BA636F">
      <w:pPr>
        <w:pStyle w:val="ListParagraph"/>
        <w:spacing w:before="240" w:after="240" w:line="360" w:lineRule="auto"/>
        <w:ind w:left="0"/>
        <w:contextualSpacing w:val="0"/>
        <w:jc w:val="both"/>
        <w:rPr>
          <w:rFonts w:cs="Arial"/>
          <w:sz w:val="22"/>
        </w:rPr>
      </w:pPr>
      <w:r w:rsidRPr="001552C3">
        <w:rPr>
          <w:rFonts w:cs="Arial"/>
          <w:sz w:val="22"/>
        </w:rPr>
        <w:t xml:space="preserve">‘at all material times throughout engagement with the respondent (as far back as 2017) the applicant was represented by the same legal team as is today, and its affidavit is evidently silent as to why its legal representatives acted on this </w:t>
      </w:r>
      <w:r w:rsidR="00BA636F" w:rsidRPr="003C090D">
        <w:rPr>
          <w:rFonts w:cs="Arial"/>
          <w:sz w:val="22"/>
        </w:rPr>
        <w:t>“</w:t>
      </w:r>
      <w:r w:rsidRPr="003C090D">
        <w:rPr>
          <w:rFonts w:cs="Arial"/>
          <w:sz w:val="22"/>
        </w:rPr>
        <w:t>incorrect legal conclusion</w:t>
      </w:r>
      <w:r w:rsidR="00BA636F" w:rsidRPr="00AF6B9B">
        <w:rPr>
          <w:rFonts w:cs="Arial"/>
          <w:sz w:val="22"/>
        </w:rPr>
        <w:t>”</w:t>
      </w:r>
      <w:r w:rsidRPr="00AF6B9B">
        <w:rPr>
          <w:rFonts w:cs="Arial"/>
          <w:sz w:val="22"/>
        </w:rPr>
        <w:t xml:space="preserve"> made by KPMG……’.</w:t>
      </w:r>
      <w:r w:rsidR="004908D1">
        <w:rPr>
          <w:rStyle w:val="FootnoteReference"/>
          <w:rFonts w:cs="Arial"/>
          <w:sz w:val="22"/>
        </w:rPr>
        <w:footnoteReference w:id="30"/>
      </w:r>
      <w:r w:rsidRPr="00AF6B9B">
        <w:rPr>
          <w:rFonts w:cs="Arial"/>
          <w:sz w:val="22"/>
        </w:rPr>
        <w:t xml:space="preserve"> </w:t>
      </w:r>
    </w:p>
    <w:p w14:paraId="37E55461" w14:textId="422C4CDB" w:rsidR="00EF3081" w:rsidRDefault="00BA636F" w:rsidP="0034500E">
      <w:pPr>
        <w:pStyle w:val="ListParagraph"/>
        <w:numPr>
          <w:ilvl w:val="0"/>
          <w:numId w:val="39"/>
        </w:numPr>
        <w:spacing w:before="240" w:after="240" w:line="360" w:lineRule="auto"/>
        <w:contextualSpacing w:val="0"/>
        <w:jc w:val="both"/>
        <w:rPr>
          <w:rFonts w:cs="Arial"/>
        </w:rPr>
      </w:pPr>
      <w:r w:rsidRPr="00956ECB">
        <w:rPr>
          <w:rFonts w:cs="Arial"/>
        </w:rPr>
        <w:lastRenderedPageBreak/>
        <w:t>This of course is incorrect.</w:t>
      </w:r>
      <w:r w:rsidR="0036691B">
        <w:rPr>
          <w:rFonts w:cs="Arial"/>
        </w:rPr>
        <w:t xml:space="preserve"> As stated,</w:t>
      </w:r>
      <w:r w:rsidRPr="00956ECB">
        <w:rPr>
          <w:rFonts w:cs="Arial"/>
        </w:rPr>
        <w:t xml:space="preserve"> ENSafrica</w:t>
      </w:r>
      <w:r w:rsidR="00D91F44" w:rsidRPr="00956ECB">
        <w:rPr>
          <w:rFonts w:cs="Arial"/>
        </w:rPr>
        <w:t xml:space="preserve"> </w:t>
      </w:r>
      <w:r w:rsidRPr="00956ECB">
        <w:rPr>
          <w:rFonts w:cs="Arial"/>
        </w:rPr>
        <w:t xml:space="preserve">only came on record </w:t>
      </w:r>
      <w:r w:rsidR="00812D42">
        <w:rPr>
          <w:rFonts w:cs="Arial"/>
        </w:rPr>
        <w:t>in</w:t>
      </w:r>
      <w:r w:rsidRPr="00956ECB">
        <w:rPr>
          <w:rFonts w:cs="Arial"/>
        </w:rPr>
        <w:t xml:space="preserve"> 2018. This error was crucial to the Tax Court’s reasoning process and understanding of the factual substrata.</w:t>
      </w:r>
      <w:r w:rsidR="0034500E" w:rsidRPr="0034500E">
        <w:rPr>
          <w:rFonts w:cs="Arial"/>
        </w:rPr>
        <w:t xml:space="preserve"> </w:t>
      </w:r>
      <w:r w:rsidR="0034500E" w:rsidRPr="00EF3081">
        <w:rPr>
          <w:rFonts w:cs="Arial"/>
        </w:rPr>
        <w:t>This misdirection of fact (in addition to the failure</w:t>
      </w:r>
      <w:r w:rsidR="0034500E">
        <w:rPr>
          <w:rFonts w:cs="Arial"/>
        </w:rPr>
        <w:t xml:space="preserve"> by the Tax Court</w:t>
      </w:r>
      <w:r w:rsidR="0034500E" w:rsidRPr="00EF3081">
        <w:rPr>
          <w:rFonts w:cs="Arial"/>
        </w:rPr>
        <w:t xml:space="preserve"> to exercise a discretion at all) would entitle this Court to interfere with the conclusion reached by the Tax Court.</w:t>
      </w:r>
    </w:p>
    <w:p w14:paraId="7CB73ACE" w14:textId="68A5B388" w:rsidR="00EF446B"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The proposed amendment is, in our view, </w:t>
      </w:r>
      <w:r w:rsidRPr="00EF3081">
        <w:rPr>
          <w:rFonts w:cs="Arial"/>
          <w:i/>
          <w:iCs/>
        </w:rPr>
        <w:t>bona fide</w:t>
      </w:r>
      <w:r w:rsidRPr="00EF3081">
        <w:rPr>
          <w:rFonts w:cs="Arial"/>
        </w:rPr>
        <w:t>. Nothing has yet been put up to counter it</w:t>
      </w:r>
      <w:r w:rsidR="00BA636F" w:rsidRPr="00EF3081">
        <w:rPr>
          <w:rFonts w:cs="Arial"/>
        </w:rPr>
        <w:t>,</w:t>
      </w:r>
      <w:r w:rsidRPr="00EF3081">
        <w:rPr>
          <w:rFonts w:cs="Arial"/>
        </w:rPr>
        <w:t xml:space="preserve"> and it was also not suggested that the opposing legal view in relation to the application of s 11(a)</w:t>
      </w:r>
      <w:r w:rsidR="005B3373" w:rsidRPr="00EF3081">
        <w:rPr>
          <w:rFonts w:cs="Arial"/>
        </w:rPr>
        <w:t xml:space="preserve"> of the ITA </w:t>
      </w:r>
      <w:r w:rsidRPr="00EF3081">
        <w:rPr>
          <w:rFonts w:cs="Arial"/>
        </w:rPr>
        <w:t xml:space="preserve">to the facts quoted and referred to as ‘the factual portion’, was so outlandish that it could safely be rejected. </w:t>
      </w:r>
    </w:p>
    <w:p w14:paraId="1C57F5FC" w14:textId="77777777" w:rsidR="00EF446B" w:rsidRPr="00956ECB" w:rsidRDefault="00EF446B" w:rsidP="00381C09">
      <w:pPr>
        <w:spacing w:before="360" w:after="360" w:line="360" w:lineRule="auto"/>
        <w:rPr>
          <w:rFonts w:cs="Arial"/>
          <w:b/>
          <w:i/>
        </w:rPr>
      </w:pPr>
      <w:r w:rsidRPr="00956ECB">
        <w:rPr>
          <w:rFonts w:cs="Arial"/>
          <w:b/>
          <w:i/>
        </w:rPr>
        <w:t>The abandonment and waiver finding</w:t>
      </w:r>
    </w:p>
    <w:p w14:paraId="372A570C" w14:textId="77777777" w:rsidR="00EF3081" w:rsidRDefault="00EF446B" w:rsidP="00EF3081">
      <w:pPr>
        <w:pStyle w:val="ListParagraph"/>
        <w:numPr>
          <w:ilvl w:val="0"/>
          <w:numId w:val="39"/>
        </w:numPr>
        <w:spacing w:before="240" w:after="240" w:line="360" w:lineRule="auto"/>
        <w:contextualSpacing w:val="0"/>
        <w:jc w:val="both"/>
        <w:rPr>
          <w:rFonts w:cs="Arial"/>
        </w:rPr>
      </w:pPr>
      <w:r w:rsidRPr="00956ECB">
        <w:rPr>
          <w:rFonts w:cs="Arial"/>
        </w:rPr>
        <w:t xml:space="preserve">In our view, the finding of abandonment and waiver made by the Tax Court seized with the application to amend, was neither relevant </w:t>
      </w:r>
      <w:r w:rsidR="00591220">
        <w:rPr>
          <w:rFonts w:cs="Arial"/>
        </w:rPr>
        <w:t>n</w:t>
      </w:r>
      <w:r w:rsidRPr="00591220">
        <w:rPr>
          <w:rFonts w:cs="Arial"/>
        </w:rPr>
        <w:t>or appropriate within the factual matrix of this case and the stage of the proceedings. Such issue stands to be raised by the respond</w:t>
      </w:r>
      <w:r w:rsidRPr="007454A9">
        <w:rPr>
          <w:rFonts w:cs="Arial"/>
        </w:rPr>
        <w:t xml:space="preserve">ent and determined by the Tax Court in the main Tax Court appeal proceedings. </w:t>
      </w:r>
      <w:r w:rsidR="00BA636F" w:rsidRPr="00956ECB">
        <w:rPr>
          <w:rFonts w:cs="Arial"/>
        </w:rPr>
        <w:t>The a</w:t>
      </w:r>
      <w:r w:rsidRPr="00956ECB">
        <w:rPr>
          <w:rFonts w:cs="Arial"/>
        </w:rPr>
        <w:t xml:space="preserve">ppellant did indicate </w:t>
      </w:r>
      <w:r w:rsidR="00D91F44" w:rsidRPr="00956ECB">
        <w:rPr>
          <w:rFonts w:cs="Arial"/>
        </w:rPr>
        <w:t xml:space="preserve">earlier </w:t>
      </w:r>
      <w:r w:rsidRPr="00956ECB">
        <w:rPr>
          <w:rFonts w:cs="Arial"/>
        </w:rPr>
        <w:t xml:space="preserve">that it was not persisting in its reliance on </w:t>
      </w:r>
      <w:r w:rsidR="00BA636F" w:rsidRPr="00956ECB">
        <w:rPr>
          <w:rFonts w:cs="Arial"/>
        </w:rPr>
        <w:t>s </w:t>
      </w:r>
      <w:r w:rsidRPr="00956ECB">
        <w:rPr>
          <w:rFonts w:cs="Arial"/>
        </w:rPr>
        <w:t>11(a)</w:t>
      </w:r>
      <w:r w:rsidR="005B3373">
        <w:rPr>
          <w:rFonts w:cs="Arial"/>
        </w:rPr>
        <w:t xml:space="preserve"> of the ITA</w:t>
      </w:r>
      <w:r w:rsidRPr="00956ECB">
        <w:rPr>
          <w:rFonts w:cs="Arial"/>
        </w:rPr>
        <w:t>. Was this conduct plainly inconsistent with an intention never to change its mind if it later determined (or was advised) that it should rely on that section? We think not.</w:t>
      </w:r>
      <w:r w:rsidRPr="00956ECB">
        <w:rPr>
          <w:rFonts w:cs="Arial"/>
          <w:lang w:val="x-none"/>
        </w:rPr>
        <w:t xml:space="preserve"> </w:t>
      </w:r>
      <w:r w:rsidRPr="00956ECB">
        <w:rPr>
          <w:rFonts w:cs="Arial"/>
        </w:rPr>
        <w:t>Provided that neither incurable prejudice nor excipiability is introduced by a change of legal foundation to a case (</w:t>
      </w:r>
      <w:r w:rsidRPr="00591220">
        <w:rPr>
          <w:rFonts w:cs="Arial"/>
          <w:iCs/>
        </w:rPr>
        <w:t>via</w:t>
      </w:r>
      <w:r w:rsidRPr="00591220">
        <w:rPr>
          <w:rFonts w:cs="Arial"/>
        </w:rPr>
        <w:t xml:space="preserve"> an amendment to a party’s pleadings, which do no mo</w:t>
      </w:r>
      <w:r w:rsidRPr="007454A9">
        <w:rPr>
          <w:rFonts w:cs="Arial"/>
        </w:rPr>
        <w:t>re than tell the other side what case they have to meet and are not evidence of the facts which the pleader intends to prove) the</w:t>
      </w:r>
      <w:r w:rsidR="00EF3081">
        <w:rPr>
          <w:rFonts w:cs="Arial"/>
        </w:rPr>
        <w:t xml:space="preserve"> amendment ought to be allowed.</w:t>
      </w:r>
    </w:p>
    <w:p w14:paraId="33880B38"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szCs w:val="24"/>
        </w:rPr>
        <w:t>The Tax Court disregarded the fact that it was a court of revision and not a court of appeal</w:t>
      </w:r>
      <w:r w:rsidR="00591220" w:rsidRPr="00EF3081">
        <w:rPr>
          <w:rFonts w:cs="Arial"/>
          <w:szCs w:val="24"/>
        </w:rPr>
        <w:t>,</w:t>
      </w:r>
      <w:r w:rsidRPr="00956ECB">
        <w:rPr>
          <w:rStyle w:val="FootnoteReference"/>
          <w:rFonts w:cs="Arial"/>
          <w:szCs w:val="24"/>
        </w:rPr>
        <w:footnoteReference w:id="31"/>
      </w:r>
      <w:r w:rsidRPr="00EF3081">
        <w:rPr>
          <w:rFonts w:cs="Arial"/>
          <w:szCs w:val="24"/>
        </w:rPr>
        <w:t xml:space="preserve"> and that the nature of the appeal is a hearing </w:t>
      </w:r>
      <w:r w:rsidRPr="00EF3081">
        <w:rPr>
          <w:rFonts w:cs="Arial"/>
          <w:i/>
          <w:szCs w:val="24"/>
        </w:rPr>
        <w:t>de novo</w:t>
      </w:r>
      <w:r w:rsidR="00BA636F" w:rsidRPr="00EF3081">
        <w:rPr>
          <w:rFonts w:cs="Arial"/>
          <w:szCs w:val="24"/>
        </w:rPr>
        <w:t>.</w:t>
      </w:r>
      <w:r w:rsidRPr="00956ECB">
        <w:rPr>
          <w:rStyle w:val="FootnoteReference"/>
          <w:rFonts w:cs="Arial"/>
          <w:szCs w:val="24"/>
        </w:rPr>
        <w:footnoteReference w:id="32"/>
      </w:r>
      <w:r w:rsidRPr="00EF3081">
        <w:rPr>
          <w:rFonts w:cs="Arial"/>
          <w:szCs w:val="24"/>
        </w:rPr>
        <w:t xml:space="preserve"> The appellant </w:t>
      </w:r>
      <w:r w:rsidRPr="00EF3081">
        <w:rPr>
          <w:rFonts w:cs="Arial"/>
          <w:szCs w:val="24"/>
        </w:rPr>
        <w:lastRenderedPageBreak/>
        <w:t>should, as a matter of principle, be entitled to raise any appropriate ground of appeal forming part of its objection, subject to Tax Court Rule 32(3).</w:t>
      </w:r>
    </w:p>
    <w:p w14:paraId="148EB7A8" w14:textId="77777777" w:rsidR="00EF3081" w:rsidRDefault="00EF446B" w:rsidP="00EF3081">
      <w:pPr>
        <w:pStyle w:val="ListParagraph"/>
        <w:numPr>
          <w:ilvl w:val="0"/>
          <w:numId w:val="39"/>
        </w:numPr>
        <w:spacing w:before="240" w:after="240" w:line="360" w:lineRule="auto"/>
        <w:contextualSpacing w:val="0"/>
        <w:jc w:val="both"/>
        <w:rPr>
          <w:rFonts w:cs="Arial"/>
        </w:rPr>
      </w:pPr>
      <w:r w:rsidRPr="00306B8A">
        <w:t>We wish to make it plain that the</w:t>
      </w:r>
      <w:r w:rsidRPr="00392943">
        <w:t xml:space="preserve"> present case should not be read as authority for the proposition that a new ground of appeal can be introduced where such new ground was not part of the grounds of objection initially. That is not the case before us. We make no finding on such a situation</w:t>
      </w:r>
      <w:r w:rsidRPr="001552C3">
        <w:t>, as those are not the facts we have to deal with in this matter. The facts in this case are that the appellant previously relied on the s</w:t>
      </w:r>
      <w:r w:rsidR="00BA636F" w:rsidRPr="001552C3">
        <w:t> </w:t>
      </w:r>
      <w:r w:rsidRPr="003C090D">
        <w:t xml:space="preserve">11(a) issue but not in its Rule 32 statement and the respondent </w:t>
      </w:r>
      <w:r w:rsidR="00D91F44" w:rsidRPr="003C090D">
        <w:t>has</w:t>
      </w:r>
      <w:r w:rsidRPr="00AF6B9B">
        <w:t xml:space="preserve"> therefore – and still will be when the matter com</w:t>
      </w:r>
      <w:r w:rsidRPr="007454A9">
        <w:t xml:space="preserve">es to a hearing </w:t>
      </w:r>
      <w:r w:rsidR="00AF309D" w:rsidRPr="00956ECB">
        <w:t>–</w:t>
      </w:r>
      <w:r w:rsidRPr="00956ECB">
        <w:t xml:space="preserve"> </w:t>
      </w:r>
      <w:r w:rsidR="00D91F44" w:rsidRPr="00956ECB">
        <w:t xml:space="preserve">been </w:t>
      </w:r>
      <w:r w:rsidRPr="00956ECB">
        <w:t>afforded an opportunity to deal with the issue in full.</w:t>
      </w:r>
      <w:r w:rsidR="00D91F44" w:rsidRPr="00956ECB">
        <w:t xml:space="preserve"> Thus </w:t>
      </w:r>
      <w:r w:rsidR="005B3373">
        <w:t>the respondent</w:t>
      </w:r>
      <w:r w:rsidR="006C5FED" w:rsidRPr="00591220">
        <w:t xml:space="preserve"> will suffer</w:t>
      </w:r>
      <w:r w:rsidR="00D91F44" w:rsidRPr="00591220">
        <w:t xml:space="preserve"> no</w:t>
      </w:r>
      <w:r w:rsidR="006C5FED" w:rsidRPr="00591220">
        <w:t xml:space="preserve"> </w:t>
      </w:r>
      <w:r w:rsidR="00D91F44" w:rsidRPr="00591220">
        <w:t xml:space="preserve">prejudice in this </w:t>
      </w:r>
      <w:r w:rsidR="006C5FED" w:rsidRPr="00591220">
        <w:t>regard</w:t>
      </w:r>
      <w:r w:rsidR="00D91F44" w:rsidRPr="00591220">
        <w:t>.</w:t>
      </w:r>
    </w:p>
    <w:p w14:paraId="637BDF33" w14:textId="388D3651" w:rsidR="00EF3081" w:rsidRDefault="00EF446B" w:rsidP="00EF3081">
      <w:pPr>
        <w:pStyle w:val="ListParagraph"/>
        <w:numPr>
          <w:ilvl w:val="0"/>
          <w:numId w:val="39"/>
        </w:numPr>
        <w:spacing w:before="240" w:after="240" w:line="360" w:lineRule="auto"/>
        <w:contextualSpacing w:val="0"/>
        <w:jc w:val="both"/>
        <w:rPr>
          <w:rFonts w:cs="Arial"/>
        </w:rPr>
      </w:pPr>
      <w:r w:rsidRPr="00591220">
        <w:t>In terms of Rule 10(2)(c)(iii)</w:t>
      </w:r>
      <w:r w:rsidRPr="00956ECB">
        <w:t xml:space="preserve"> read with Rule 32(3), the appellant is entitled to raise a new ground of appeal, provided that such ground is not against ‘a part or amount of the disputed assessment not objected to</w:t>
      </w:r>
      <w:r w:rsidRPr="00E704E0">
        <w:t xml:space="preserve"> under rule 7’.</w:t>
      </w:r>
      <w:r w:rsidR="00591220" w:rsidRPr="00956ECB">
        <w:rPr>
          <w:rStyle w:val="FootnoteReference"/>
        </w:rPr>
        <w:footnoteReference w:id="33"/>
      </w:r>
      <w:r w:rsidRPr="00E704E0">
        <w:t xml:space="preserve"> The appellant had</w:t>
      </w:r>
      <w:r w:rsidRPr="00306B8A">
        <w:t xml:space="preserve"> objected to all of the disputed assessments. The appellant had accordingly previously objected to all parts and amounts of the disputed </w:t>
      </w:r>
      <w:r w:rsidRPr="00392943">
        <w:t xml:space="preserve">assessments. The total amounts disallowed by the respondent in respect of each of the </w:t>
      </w:r>
      <w:r w:rsidR="00E35B1F" w:rsidRPr="001552C3">
        <w:t>relevant</w:t>
      </w:r>
      <w:r w:rsidRPr="001552C3">
        <w:t xml:space="preserve"> years of assessment therefore formed part of the dispute between the parties at the objection stage. Given the indication of non-persistence</w:t>
      </w:r>
      <w:r w:rsidR="00B04FD0" w:rsidRPr="003C090D">
        <w:t>,</w:t>
      </w:r>
      <w:r w:rsidRPr="003C090D">
        <w:t xml:space="preserve"> the s</w:t>
      </w:r>
      <w:r w:rsidR="00B04FD0" w:rsidRPr="00AF6B9B">
        <w:t> </w:t>
      </w:r>
      <w:r w:rsidRPr="00591220">
        <w:t>11(a)</w:t>
      </w:r>
      <w:r w:rsidR="005B3373">
        <w:t xml:space="preserve"> </w:t>
      </w:r>
      <w:r w:rsidRPr="00591220">
        <w:t xml:space="preserve">issue now constitutes a new ground of appeal which is expressly authorised by Rule </w:t>
      </w:r>
      <w:r w:rsidRPr="00EF3081">
        <w:rPr>
          <w:rFonts w:cs="Arial"/>
        </w:rPr>
        <w:t>10(2)(c)(iii) and which is not struck by the exclusion.</w:t>
      </w:r>
    </w:p>
    <w:p w14:paraId="7515CAAB" w14:textId="77777777"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Even if the initial election by the appellant not to persist in its </w:t>
      </w:r>
      <w:r w:rsidR="00381C09" w:rsidRPr="00EF3081">
        <w:rPr>
          <w:rFonts w:cs="Arial"/>
        </w:rPr>
        <w:t xml:space="preserve">reliance on </w:t>
      </w:r>
      <w:r w:rsidRPr="00EF3081">
        <w:rPr>
          <w:rFonts w:cs="Arial"/>
        </w:rPr>
        <w:t>s</w:t>
      </w:r>
      <w:r w:rsidR="00B04FD0" w:rsidRPr="00EF3081">
        <w:rPr>
          <w:rFonts w:cs="Arial"/>
        </w:rPr>
        <w:t> </w:t>
      </w:r>
      <w:r w:rsidRPr="00EF3081">
        <w:rPr>
          <w:rFonts w:cs="Arial"/>
        </w:rPr>
        <w:t>11(a) of the ITA is akin to an abandonment by the appellant</w:t>
      </w:r>
      <w:r w:rsidR="006C5FED" w:rsidRPr="00EF3081">
        <w:rPr>
          <w:rFonts w:cs="Arial"/>
        </w:rPr>
        <w:t xml:space="preserve"> of its right to appeal on that ground</w:t>
      </w:r>
      <w:r w:rsidRPr="00EF3081">
        <w:rPr>
          <w:rFonts w:cs="Arial"/>
        </w:rPr>
        <w:t xml:space="preserve"> (i.e. a </w:t>
      </w:r>
      <w:r w:rsidR="00D91F44" w:rsidRPr="00EF3081">
        <w:rPr>
          <w:rFonts w:cs="Arial"/>
        </w:rPr>
        <w:t>pre-emption</w:t>
      </w:r>
      <w:r w:rsidRPr="00EF3081">
        <w:rPr>
          <w:rFonts w:cs="Arial"/>
        </w:rPr>
        <w:t>)</w:t>
      </w:r>
      <w:r w:rsidR="00D91F44" w:rsidRPr="00EF3081">
        <w:rPr>
          <w:rFonts w:cs="Arial"/>
        </w:rPr>
        <w:t>,</w:t>
      </w:r>
      <w:r w:rsidRPr="00EF3081">
        <w:rPr>
          <w:rFonts w:cs="Arial"/>
        </w:rPr>
        <w:t xml:space="preserve"> the Tax Court is a court of revision, not of appeal. Thus, there </w:t>
      </w:r>
      <w:r w:rsidRPr="00EF3081">
        <w:rPr>
          <w:rFonts w:cs="Arial"/>
          <w:szCs w:val="24"/>
        </w:rPr>
        <w:t xml:space="preserve">can be no </w:t>
      </w:r>
      <w:r w:rsidR="00D91F44" w:rsidRPr="00EF3081">
        <w:rPr>
          <w:rFonts w:cs="Arial"/>
          <w:szCs w:val="24"/>
        </w:rPr>
        <w:t>pre-emption</w:t>
      </w:r>
      <w:r w:rsidRPr="00EF3081">
        <w:rPr>
          <w:rFonts w:cs="Arial"/>
          <w:szCs w:val="24"/>
        </w:rPr>
        <w:t xml:space="preserve"> of a specific ground of appeal. This Court (and the Tax Court) is not bound by what is legally untenable. This principle is equally valid in the context of a mistake of law by a party not to, on appeal, plead reliance on a particular ground</w:t>
      </w:r>
      <w:r w:rsidR="00B04FD0" w:rsidRPr="00EF3081">
        <w:rPr>
          <w:rFonts w:cs="Arial"/>
          <w:szCs w:val="24"/>
        </w:rPr>
        <w:t>.</w:t>
      </w:r>
      <w:r w:rsidRPr="00956ECB">
        <w:rPr>
          <w:rStyle w:val="FootnoteReference"/>
          <w:rFonts w:cs="Arial"/>
          <w:szCs w:val="24"/>
        </w:rPr>
        <w:footnoteReference w:id="34"/>
      </w:r>
    </w:p>
    <w:p w14:paraId="0E87EF0D" w14:textId="2248E3D3" w:rsid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lastRenderedPageBreak/>
        <w:t xml:space="preserve">Relying on </w:t>
      </w:r>
      <w:r w:rsidRPr="00EF3081">
        <w:rPr>
          <w:rFonts w:cs="Arial"/>
          <w:i/>
        </w:rPr>
        <w:t xml:space="preserve">Commissioner for the South African Revenue Service v </w:t>
      </w:r>
      <w:proofErr w:type="spellStart"/>
      <w:r w:rsidRPr="00EF3081">
        <w:rPr>
          <w:rFonts w:cs="Arial"/>
          <w:i/>
        </w:rPr>
        <w:t>Brummeria</w:t>
      </w:r>
      <w:proofErr w:type="spellEnd"/>
      <w:r w:rsidRPr="00EF3081">
        <w:rPr>
          <w:rFonts w:cs="Arial"/>
          <w:i/>
        </w:rPr>
        <w:t xml:space="preserve"> Renaissance (Pty) Ltd</w:t>
      </w:r>
      <w:r w:rsidRPr="00EF3081">
        <w:rPr>
          <w:rFonts w:cs="Arial"/>
        </w:rPr>
        <w:t>,</w:t>
      </w:r>
      <w:r w:rsidRPr="00956ECB">
        <w:rPr>
          <w:rStyle w:val="FootnoteReference"/>
          <w:rFonts w:cs="Arial"/>
        </w:rPr>
        <w:footnoteReference w:id="35"/>
      </w:r>
      <w:r w:rsidRPr="00EF3081">
        <w:rPr>
          <w:rFonts w:cs="Arial"/>
        </w:rPr>
        <w:t xml:space="preserve"> the respondent contended that if the appellant</w:t>
      </w:r>
      <w:r w:rsidRPr="00956ECB">
        <w:t xml:space="preserve"> did not persist </w:t>
      </w:r>
      <w:r w:rsidRPr="00E704E0">
        <w:t>with a ground of objection previously raised, ‘it is final and conclusive’. We do not read</w:t>
      </w:r>
      <w:r w:rsidRPr="00306B8A">
        <w:t xml:space="preserve"> the </w:t>
      </w:r>
      <w:proofErr w:type="spellStart"/>
      <w:r w:rsidRPr="00EF3081">
        <w:rPr>
          <w:i/>
        </w:rPr>
        <w:t>Brummeria</w:t>
      </w:r>
      <w:proofErr w:type="spellEnd"/>
      <w:r w:rsidRPr="00392943">
        <w:t xml:space="preserve"> case to have distilled such a rigid principle. </w:t>
      </w:r>
      <w:proofErr w:type="spellStart"/>
      <w:r w:rsidRPr="00EF3081">
        <w:rPr>
          <w:i/>
        </w:rPr>
        <w:t>Brummeria</w:t>
      </w:r>
      <w:proofErr w:type="spellEnd"/>
      <w:r w:rsidR="001158C8" w:rsidRPr="00392943">
        <w:t>,</w:t>
      </w:r>
      <w:r w:rsidRPr="00392943">
        <w:t xml:space="preserve"> in our view, simply held that the i</w:t>
      </w:r>
      <w:r w:rsidRPr="001552C3">
        <w:t xml:space="preserve">ssues in any appeal court would be those defined in the statement of the grounds of assessment (now </w:t>
      </w:r>
      <w:r w:rsidR="001158C8" w:rsidRPr="001552C3">
        <w:t>R</w:t>
      </w:r>
      <w:r w:rsidRPr="00E14C1F">
        <w:t xml:space="preserve">ule 31 then </w:t>
      </w:r>
      <w:r w:rsidR="001158C8" w:rsidRPr="003C090D">
        <w:t>R</w:t>
      </w:r>
      <w:r w:rsidRPr="003C090D">
        <w:t xml:space="preserve">ule 10(1)) read with the statement of the grounds of appeal (now </w:t>
      </w:r>
      <w:r w:rsidR="001158C8" w:rsidRPr="003C090D">
        <w:t>R</w:t>
      </w:r>
      <w:r w:rsidRPr="00AF6B9B">
        <w:t xml:space="preserve">ule 32 and then </w:t>
      </w:r>
      <w:r w:rsidR="001158C8" w:rsidRPr="00591220">
        <w:t>R</w:t>
      </w:r>
      <w:r w:rsidRPr="00591220">
        <w:t>ule 11(1)) and</w:t>
      </w:r>
      <w:r w:rsidR="00FD6586">
        <w:t>,</w:t>
      </w:r>
      <w:r w:rsidRPr="00591220">
        <w:t xml:space="preserve"> in the absence of an amendment sought in terms of the then </w:t>
      </w:r>
      <w:r w:rsidR="001158C8" w:rsidRPr="00591220">
        <w:t>R</w:t>
      </w:r>
      <w:r w:rsidRPr="00591220">
        <w:t xml:space="preserve">ule 13 (now </w:t>
      </w:r>
      <w:r w:rsidR="001158C8" w:rsidRPr="00591220">
        <w:t>R</w:t>
      </w:r>
      <w:r w:rsidRPr="00591220">
        <w:t>ule</w:t>
      </w:r>
      <w:r w:rsidR="001158C8" w:rsidRPr="00591220">
        <w:t> </w:t>
      </w:r>
      <w:r w:rsidRPr="00591220">
        <w:t>42(1))</w:t>
      </w:r>
      <w:r w:rsidR="00FD6586">
        <w:t>,</w:t>
      </w:r>
      <w:r w:rsidRPr="00591220">
        <w:t xml:space="preserve"> an issue could not be pursued before the higher court.</w:t>
      </w:r>
    </w:p>
    <w:p w14:paraId="47FA6E40" w14:textId="2D90292A" w:rsidR="00EF446B"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It would appear to us that the respondent is conflating the principles applicable to establishing the existence of admissions</w:t>
      </w:r>
      <w:r w:rsidR="004C75BB" w:rsidRPr="00EF3081">
        <w:rPr>
          <w:rFonts w:cs="Arial"/>
        </w:rPr>
        <w:t>,</w:t>
      </w:r>
      <w:r w:rsidRPr="00EF3081">
        <w:rPr>
          <w:rFonts w:cs="Arial"/>
        </w:rPr>
        <w:t xml:space="preserve"> with those relating to what would constitute evidential material for purposes of deciding the issues of abandonment and waiver. </w:t>
      </w:r>
    </w:p>
    <w:p w14:paraId="6D646271" w14:textId="77777777" w:rsidR="00EF446B" w:rsidRPr="00956ECB" w:rsidRDefault="00EF446B" w:rsidP="00381C09">
      <w:pPr>
        <w:spacing w:before="360" w:after="360" w:line="360" w:lineRule="auto"/>
        <w:rPr>
          <w:rFonts w:cs="Arial"/>
          <w:b/>
          <w:i/>
        </w:rPr>
      </w:pPr>
      <w:r w:rsidRPr="00F81419">
        <w:rPr>
          <w:rFonts w:cs="Arial"/>
          <w:b/>
          <w:i/>
        </w:rPr>
        <w:t>Conclusion i</w:t>
      </w:r>
      <w:r w:rsidR="001158C8" w:rsidRPr="00F81419">
        <w:rPr>
          <w:rFonts w:cs="Arial"/>
          <w:b/>
          <w:i/>
        </w:rPr>
        <w:t xml:space="preserve">n </w:t>
      </w:r>
      <w:r w:rsidRPr="00F81419">
        <w:rPr>
          <w:rFonts w:cs="Arial"/>
          <w:b/>
          <w:i/>
        </w:rPr>
        <w:t>r</w:t>
      </w:r>
      <w:r w:rsidR="001158C8" w:rsidRPr="00F81419">
        <w:rPr>
          <w:rFonts w:cs="Arial"/>
          <w:b/>
          <w:i/>
        </w:rPr>
        <w:t xml:space="preserve">espect </w:t>
      </w:r>
      <w:r w:rsidRPr="007454A9">
        <w:rPr>
          <w:rFonts w:cs="Arial"/>
          <w:b/>
          <w:i/>
        </w:rPr>
        <w:t>o</w:t>
      </w:r>
      <w:r w:rsidR="001158C8" w:rsidRPr="00956ECB">
        <w:rPr>
          <w:rFonts w:cs="Arial"/>
          <w:b/>
          <w:i/>
        </w:rPr>
        <w:t>f</w:t>
      </w:r>
      <w:r w:rsidRPr="00956ECB">
        <w:rPr>
          <w:rFonts w:cs="Arial"/>
          <w:b/>
          <w:i/>
        </w:rPr>
        <w:t xml:space="preserve"> the admission, abandonment and waiver issues</w:t>
      </w:r>
    </w:p>
    <w:p w14:paraId="009F7E4B" w14:textId="77777777" w:rsidR="00EF3081" w:rsidRDefault="00EF446B" w:rsidP="00EF3081">
      <w:pPr>
        <w:pStyle w:val="ListParagraph"/>
        <w:numPr>
          <w:ilvl w:val="0"/>
          <w:numId w:val="39"/>
        </w:numPr>
        <w:spacing w:before="240" w:after="240" w:line="360" w:lineRule="auto"/>
        <w:contextualSpacing w:val="0"/>
        <w:jc w:val="both"/>
        <w:rPr>
          <w:rFonts w:cs="Arial"/>
        </w:rPr>
      </w:pPr>
      <w:r w:rsidRPr="00956ECB">
        <w:rPr>
          <w:rFonts w:cs="Arial"/>
        </w:rPr>
        <w:t>We find that the Tax Court was influenced by wrong principles of law in that it found the factual and legal existence of an admission. Insofar as we</w:t>
      </w:r>
      <w:r w:rsidR="00D91F44" w:rsidRPr="00956ECB">
        <w:rPr>
          <w:rFonts w:cs="Arial"/>
        </w:rPr>
        <w:t xml:space="preserve"> may have </w:t>
      </w:r>
      <w:r w:rsidRPr="00956ECB">
        <w:rPr>
          <w:rFonts w:cs="Arial"/>
        </w:rPr>
        <w:t>erred on this, we find that the Tax Court misdirected itself by finding that the same attorneys represented the appellant at all relevant and material times and</w:t>
      </w:r>
      <w:r w:rsidR="00D81A0C" w:rsidRPr="00956ECB">
        <w:rPr>
          <w:rFonts w:cs="Arial"/>
        </w:rPr>
        <w:t>,</w:t>
      </w:r>
      <w:r w:rsidRPr="00956ECB">
        <w:rPr>
          <w:rFonts w:cs="Arial"/>
        </w:rPr>
        <w:t xml:space="preserve"> by using this mistaken factual finding as a springboard to conclude that the explanation proffered to withdraw such admission</w:t>
      </w:r>
      <w:r w:rsidR="00D91F44" w:rsidRPr="00956ECB">
        <w:rPr>
          <w:rFonts w:cs="Arial"/>
        </w:rPr>
        <w:t>,</w:t>
      </w:r>
      <w:r w:rsidRPr="00956ECB">
        <w:rPr>
          <w:rFonts w:cs="Arial"/>
        </w:rPr>
        <w:t xml:space="preserve"> was inadequate.</w:t>
      </w:r>
    </w:p>
    <w:p w14:paraId="01E0D3B7" w14:textId="2513B8A6" w:rsidR="00EF446B" w:rsidRPr="00EF3081" w:rsidRDefault="00EF446B" w:rsidP="00EF3081">
      <w:pPr>
        <w:pStyle w:val="ListParagraph"/>
        <w:numPr>
          <w:ilvl w:val="0"/>
          <w:numId w:val="39"/>
        </w:numPr>
        <w:spacing w:before="240" w:after="240" w:line="360" w:lineRule="auto"/>
        <w:contextualSpacing w:val="0"/>
        <w:jc w:val="both"/>
        <w:rPr>
          <w:rFonts w:cs="Arial"/>
        </w:rPr>
      </w:pPr>
      <w:r w:rsidRPr="00EF3081">
        <w:rPr>
          <w:rFonts w:cs="Arial"/>
        </w:rPr>
        <w:t xml:space="preserve">We </w:t>
      </w:r>
      <w:r w:rsidR="00534DED" w:rsidRPr="00EF3081">
        <w:rPr>
          <w:rFonts w:cs="Arial"/>
        </w:rPr>
        <w:t xml:space="preserve">thus </w:t>
      </w:r>
      <w:r w:rsidRPr="00EF3081">
        <w:rPr>
          <w:rFonts w:cs="Arial"/>
        </w:rPr>
        <w:t>find that the Tax Court was</w:t>
      </w:r>
      <w:r w:rsidR="00C516FA" w:rsidRPr="00EF3081">
        <w:rPr>
          <w:rFonts w:cs="Arial"/>
        </w:rPr>
        <w:t xml:space="preserve"> also</w:t>
      </w:r>
      <w:r w:rsidRPr="00EF3081">
        <w:rPr>
          <w:rFonts w:cs="Arial"/>
        </w:rPr>
        <w:t xml:space="preserve"> influenced by wrong principles of law and that it misdirected itself on fact by finding that the appellant had abandoned and waived its right to rely on s</w:t>
      </w:r>
      <w:r w:rsidR="00D81A0C" w:rsidRPr="00EF3081">
        <w:rPr>
          <w:rFonts w:cs="Arial"/>
        </w:rPr>
        <w:t> </w:t>
      </w:r>
      <w:r w:rsidRPr="00EF3081">
        <w:rPr>
          <w:rFonts w:cs="Arial"/>
        </w:rPr>
        <w:t xml:space="preserve">11(a) </w:t>
      </w:r>
      <w:r w:rsidR="00D81A0C" w:rsidRPr="00EF3081">
        <w:rPr>
          <w:rFonts w:cs="Arial"/>
        </w:rPr>
        <w:t xml:space="preserve">of the ITA, </w:t>
      </w:r>
      <w:r w:rsidRPr="00EF3081">
        <w:rPr>
          <w:rFonts w:cs="Arial"/>
        </w:rPr>
        <w:t xml:space="preserve">when it ought to have found that triable issues </w:t>
      </w:r>
      <w:r w:rsidR="00534DED" w:rsidRPr="00EF3081">
        <w:rPr>
          <w:rFonts w:cs="Arial"/>
        </w:rPr>
        <w:t xml:space="preserve">exist </w:t>
      </w:r>
      <w:r w:rsidRPr="00EF3081">
        <w:rPr>
          <w:rFonts w:cs="Arial"/>
        </w:rPr>
        <w:t>in this regard and that these issues could and should be distilled for determination in the trial.</w:t>
      </w:r>
      <w:r w:rsidRPr="00EF3081">
        <w:rPr>
          <w:rFonts w:cs="Arial"/>
          <w:lang w:val="x-none"/>
        </w:rPr>
        <w:t xml:space="preserve">          </w:t>
      </w:r>
    </w:p>
    <w:p w14:paraId="5DF40A24" w14:textId="77777777" w:rsidR="000732A6" w:rsidRDefault="000732A6" w:rsidP="00534DED">
      <w:pPr>
        <w:pStyle w:val="1"/>
        <w:numPr>
          <w:ilvl w:val="0"/>
          <w:numId w:val="0"/>
        </w:numPr>
        <w:spacing w:before="360" w:after="360" w:line="360" w:lineRule="auto"/>
        <w:rPr>
          <w:b/>
          <w:color w:val="auto"/>
        </w:rPr>
      </w:pPr>
    </w:p>
    <w:p w14:paraId="2926CA7B" w14:textId="26E5EE4F" w:rsidR="00534DED" w:rsidRPr="00E704E0" w:rsidRDefault="00534DED" w:rsidP="00534DED">
      <w:pPr>
        <w:pStyle w:val="1"/>
        <w:numPr>
          <w:ilvl w:val="0"/>
          <w:numId w:val="0"/>
        </w:numPr>
        <w:spacing w:before="360" w:after="360" w:line="360" w:lineRule="auto"/>
        <w:rPr>
          <w:b/>
          <w:color w:val="auto"/>
        </w:rPr>
      </w:pPr>
      <w:r w:rsidRPr="00E704E0">
        <w:rPr>
          <w:b/>
          <w:color w:val="auto"/>
        </w:rPr>
        <w:lastRenderedPageBreak/>
        <w:t>Annexure BMM</w:t>
      </w:r>
    </w:p>
    <w:p w14:paraId="248E24F5" w14:textId="77777777" w:rsidR="00EF3081" w:rsidRDefault="00C516FA" w:rsidP="00EF3081">
      <w:pPr>
        <w:pStyle w:val="1"/>
        <w:numPr>
          <w:ilvl w:val="0"/>
          <w:numId w:val="39"/>
        </w:numPr>
        <w:tabs>
          <w:tab w:val="left" w:pos="720"/>
        </w:tabs>
        <w:spacing w:after="240" w:line="360" w:lineRule="auto"/>
        <w:rPr>
          <w:color w:val="auto"/>
        </w:rPr>
      </w:pPr>
      <w:r>
        <w:rPr>
          <w:color w:val="auto"/>
        </w:rPr>
        <w:t xml:space="preserve">In the application for the amendment, the appellant sought </w:t>
      </w:r>
      <w:r w:rsidR="006C5FED" w:rsidRPr="00E704E0">
        <w:rPr>
          <w:color w:val="auto"/>
        </w:rPr>
        <w:t xml:space="preserve">to substitute annexures “BMM1”, “BMM2” and “BMM3” of the Notice of Objection (‘the previous annexures’) with </w:t>
      </w:r>
      <w:r w:rsidR="00C20DA6" w:rsidRPr="00E704E0">
        <w:rPr>
          <w:color w:val="auto"/>
        </w:rPr>
        <w:t>Annexure BMM</w:t>
      </w:r>
      <w:r w:rsidR="006C5FED" w:rsidRPr="00E704E0">
        <w:rPr>
          <w:color w:val="auto"/>
        </w:rPr>
        <w:t xml:space="preserve">. </w:t>
      </w:r>
      <w:r w:rsidR="00630C26" w:rsidRPr="00E704E0">
        <w:rPr>
          <w:color w:val="auto"/>
        </w:rPr>
        <w:t>The previous annexures were attached to the appellant’s grounds of</w:t>
      </w:r>
      <w:r w:rsidR="00BC069A" w:rsidRPr="00E704E0">
        <w:rPr>
          <w:color w:val="auto"/>
        </w:rPr>
        <w:t xml:space="preserve"> objection dated 19 June 2017.</w:t>
      </w:r>
    </w:p>
    <w:p w14:paraId="5D80DC2A" w14:textId="77777777" w:rsidR="00EF3081" w:rsidRDefault="00630C26" w:rsidP="00EF3081">
      <w:pPr>
        <w:pStyle w:val="1"/>
        <w:numPr>
          <w:ilvl w:val="0"/>
          <w:numId w:val="39"/>
        </w:numPr>
        <w:tabs>
          <w:tab w:val="left" w:pos="720"/>
        </w:tabs>
        <w:spacing w:after="240" w:line="360" w:lineRule="auto"/>
        <w:rPr>
          <w:color w:val="auto"/>
        </w:rPr>
      </w:pPr>
      <w:r w:rsidRPr="00EF3081">
        <w:rPr>
          <w:color w:val="auto"/>
        </w:rPr>
        <w:t xml:space="preserve">In relation to </w:t>
      </w:r>
      <w:r w:rsidR="00C20DA6" w:rsidRPr="00EF3081">
        <w:rPr>
          <w:color w:val="auto"/>
        </w:rPr>
        <w:t>Annexure BMM</w:t>
      </w:r>
      <w:r w:rsidRPr="00EF3081">
        <w:rPr>
          <w:color w:val="auto"/>
        </w:rPr>
        <w:t xml:space="preserve">, the appellant says that during the </w:t>
      </w:r>
      <w:r w:rsidR="00E35B1F" w:rsidRPr="00EF3081">
        <w:rPr>
          <w:color w:val="auto"/>
        </w:rPr>
        <w:t xml:space="preserve">relevant </w:t>
      </w:r>
      <w:r w:rsidRPr="00EF3081">
        <w:rPr>
          <w:color w:val="auto"/>
        </w:rPr>
        <w:t xml:space="preserve">years of assessment, it incurred various items of expenditure in respect of the </w:t>
      </w:r>
      <w:proofErr w:type="spellStart"/>
      <w:r w:rsidRPr="00EF3081">
        <w:rPr>
          <w:color w:val="auto"/>
        </w:rPr>
        <w:t>Gamsberg</w:t>
      </w:r>
      <w:proofErr w:type="spellEnd"/>
      <w:r w:rsidRPr="00EF3081">
        <w:rPr>
          <w:color w:val="auto"/>
        </w:rPr>
        <w:t xml:space="preserve"> mining operations set up, particularised, and elaborated upon in </w:t>
      </w:r>
      <w:r w:rsidR="00C20DA6" w:rsidRPr="00EF3081">
        <w:rPr>
          <w:color w:val="auto"/>
        </w:rPr>
        <w:t>Annexure BMM</w:t>
      </w:r>
      <w:r w:rsidRPr="00EF3081">
        <w:rPr>
          <w:color w:val="auto"/>
        </w:rPr>
        <w:t>.</w:t>
      </w:r>
    </w:p>
    <w:p w14:paraId="1F55EA2E" w14:textId="2E643582" w:rsidR="00EF3081" w:rsidRDefault="00630C26" w:rsidP="00EF3081">
      <w:pPr>
        <w:pStyle w:val="1"/>
        <w:numPr>
          <w:ilvl w:val="0"/>
          <w:numId w:val="39"/>
        </w:numPr>
        <w:tabs>
          <w:tab w:val="left" w:pos="720"/>
        </w:tabs>
        <w:spacing w:after="240" w:line="360" w:lineRule="auto"/>
        <w:rPr>
          <w:color w:val="auto"/>
        </w:rPr>
      </w:pPr>
      <w:r w:rsidRPr="00EF3081">
        <w:rPr>
          <w:color w:val="auto"/>
        </w:rPr>
        <w:t xml:space="preserve">The respondent objects to </w:t>
      </w:r>
      <w:r w:rsidR="00000E76" w:rsidRPr="00EF3081">
        <w:rPr>
          <w:color w:val="auto"/>
        </w:rPr>
        <w:t xml:space="preserve">the introduction of </w:t>
      </w:r>
      <w:r w:rsidR="00C20DA6" w:rsidRPr="00EF3081">
        <w:rPr>
          <w:color w:val="auto"/>
        </w:rPr>
        <w:t xml:space="preserve">Annexure BMM </w:t>
      </w:r>
      <w:r w:rsidRPr="00EF3081">
        <w:rPr>
          <w:color w:val="auto"/>
        </w:rPr>
        <w:t xml:space="preserve">on the basis that it is irreconcilable with what was previously furnished to it; </w:t>
      </w:r>
      <w:r w:rsidR="00000E76" w:rsidRPr="00EF3081">
        <w:rPr>
          <w:color w:val="auto"/>
        </w:rPr>
        <w:t xml:space="preserve">that </w:t>
      </w:r>
      <w:r w:rsidRPr="00EF3081">
        <w:rPr>
          <w:color w:val="auto"/>
        </w:rPr>
        <w:t xml:space="preserve">the amounts reflected in </w:t>
      </w:r>
      <w:r w:rsidR="00C20DA6" w:rsidRPr="00EF3081">
        <w:rPr>
          <w:color w:val="auto"/>
        </w:rPr>
        <w:t>Annexure BMM</w:t>
      </w:r>
      <w:r w:rsidRPr="00EF3081">
        <w:rPr>
          <w:color w:val="auto"/>
        </w:rPr>
        <w:t xml:space="preserve"> are different from those in the previous annexures</w:t>
      </w:r>
      <w:r w:rsidR="00000E76" w:rsidRPr="00EF3081">
        <w:rPr>
          <w:color w:val="auto"/>
        </w:rPr>
        <w:t>;</w:t>
      </w:r>
      <w:r w:rsidRPr="00EF3081">
        <w:rPr>
          <w:color w:val="auto"/>
        </w:rPr>
        <w:t xml:space="preserve"> </w:t>
      </w:r>
      <w:r w:rsidR="004D7B5B">
        <w:rPr>
          <w:color w:val="auto"/>
        </w:rPr>
        <w:t xml:space="preserve">and </w:t>
      </w:r>
      <w:r w:rsidRPr="00EF3081">
        <w:rPr>
          <w:color w:val="auto"/>
        </w:rPr>
        <w:t>that, in r</w:t>
      </w:r>
      <w:r w:rsidR="00BC069A" w:rsidRPr="00EF3081">
        <w:rPr>
          <w:color w:val="auto"/>
        </w:rPr>
        <w:t>elation to the amounts claimed,</w:t>
      </w:r>
      <w:r w:rsidRPr="00EF3081">
        <w:rPr>
          <w:color w:val="auto"/>
        </w:rPr>
        <w:t xml:space="preserve"> </w:t>
      </w:r>
      <w:r w:rsidR="00C20DA6" w:rsidRPr="00EF3081">
        <w:rPr>
          <w:color w:val="auto"/>
        </w:rPr>
        <w:t xml:space="preserve">Annexure BMM </w:t>
      </w:r>
      <w:r w:rsidRPr="00EF3081">
        <w:rPr>
          <w:color w:val="auto"/>
        </w:rPr>
        <w:t>seeks to raise and claim amounts that were not all included in</w:t>
      </w:r>
      <w:r w:rsidR="00BC069A" w:rsidRPr="00EF3081">
        <w:rPr>
          <w:color w:val="auto"/>
        </w:rPr>
        <w:t xml:space="preserve"> the notice of objection</w:t>
      </w:r>
      <w:r w:rsidR="00F81419" w:rsidRPr="00EF3081">
        <w:rPr>
          <w:color w:val="auto"/>
        </w:rPr>
        <w:t xml:space="preserve">. It also argues </w:t>
      </w:r>
      <w:r w:rsidRPr="00EF3081">
        <w:rPr>
          <w:color w:val="auto"/>
        </w:rPr>
        <w:t xml:space="preserve">that </w:t>
      </w:r>
      <w:r w:rsidR="00C20DA6" w:rsidRPr="00EF3081">
        <w:rPr>
          <w:color w:val="auto"/>
        </w:rPr>
        <w:t xml:space="preserve">Annexure BMM </w:t>
      </w:r>
      <w:r w:rsidRPr="00EF3081">
        <w:rPr>
          <w:color w:val="auto"/>
        </w:rPr>
        <w:t>seeks to raise</w:t>
      </w:r>
      <w:r w:rsidR="00F81419" w:rsidRPr="00EF3081">
        <w:rPr>
          <w:color w:val="auto"/>
        </w:rPr>
        <w:t>,</w:t>
      </w:r>
      <w:r w:rsidRPr="00EF3081">
        <w:rPr>
          <w:color w:val="auto"/>
        </w:rPr>
        <w:t xml:space="preserve"> on appeal, matters </w:t>
      </w:r>
      <w:r w:rsidR="009A1802" w:rsidRPr="00EF3081">
        <w:rPr>
          <w:color w:val="auto"/>
        </w:rPr>
        <w:t>that were previously abandoned.</w:t>
      </w:r>
    </w:p>
    <w:p w14:paraId="6AA0699F" w14:textId="77777777" w:rsidR="00EF3081" w:rsidRDefault="00630C26" w:rsidP="00EF3081">
      <w:pPr>
        <w:pStyle w:val="1"/>
        <w:numPr>
          <w:ilvl w:val="0"/>
          <w:numId w:val="39"/>
        </w:numPr>
        <w:tabs>
          <w:tab w:val="left" w:pos="720"/>
        </w:tabs>
        <w:spacing w:after="240" w:line="360" w:lineRule="auto"/>
        <w:rPr>
          <w:color w:val="auto"/>
        </w:rPr>
      </w:pPr>
      <w:r w:rsidRPr="00EF3081">
        <w:rPr>
          <w:color w:val="auto"/>
        </w:rPr>
        <w:t xml:space="preserve">The </w:t>
      </w:r>
      <w:r w:rsidR="00F83614" w:rsidRPr="00EF3081">
        <w:rPr>
          <w:color w:val="auto"/>
        </w:rPr>
        <w:t>T</w:t>
      </w:r>
      <w:r w:rsidRPr="00EF3081">
        <w:rPr>
          <w:color w:val="auto"/>
        </w:rPr>
        <w:t xml:space="preserve">ax </w:t>
      </w:r>
      <w:r w:rsidR="00F83614" w:rsidRPr="00EF3081">
        <w:rPr>
          <w:color w:val="auto"/>
        </w:rPr>
        <w:t>C</w:t>
      </w:r>
      <w:r w:rsidRPr="00EF3081">
        <w:rPr>
          <w:color w:val="auto"/>
        </w:rPr>
        <w:t>ourt held that</w:t>
      </w:r>
      <w:r w:rsidR="00F83614" w:rsidRPr="00EF3081">
        <w:rPr>
          <w:color w:val="auto"/>
        </w:rPr>
        <w:t>,</w:t>
      </w:r>
      <w:r w:rsidRPr="00EF3081">
        <w:rPr>
          <w:color w:val="auto"/>
        </w:rPr>
        <w:t xml:space="preserve"> because the appellant had conceded that the contents of </w:t>
      </w:r>
      <w:r w:rsidR="00C20DA6" w:rsidRPr="00EF3081">
        <w:rPr>
          <w:color w:val="auto"/>
        </w:rPr>
        <w:t xml:space="preserve">Annexure BMM </w:t>
      </w:r>
      <w:r w:rsidRPr="00EF3081">
        <w:rPr>
          <w:color w:val="auto"/>
        </w:rPr>
        <w:t xml:space="preserve">differ from the previous annexures, </w:t>
      </w:r>
      <w:r w:rsidR="00F83614" w:rsidRPr="00EF3081">
        <w:rPr>
          <w:color w:val="auto"/>
        </w:rPr>
        <w:t xml:space="preserve">the </w:t>
      </w:r>
      <w:r w:rsidRPr="00EF3081">
        <w:rPr>
          <w:color w:val="auto"/>
        </w:rPr>
        <w:t xml:space="preserve">concession was indicative of prejudice to the respondent, </w:t>
      </w:r>
      <w:r w:rsidR="00F83614" w:rsidRPr="00EF3081">
        <w:rPr>
          <w:color w:val="auto"/>
        </w:rPr>
        <w:t xml:space="preserve">as </w:t>
      </w:r>
      <w:r w:rsidRPr="00EF3081">
        <w:rPr>
          <w:color w:val="auto"/>
        </w:rPr>
        <w:t xml:space="preserve">the respondent would now have to meet a case that was not previously presented to it. This was compounded by </w:t>
      </w:r>
      <w:r w:rsidR="00F83614" w:rsidRPr="00EF3081">
        <w:rPr>
          <w:color w:val="auto"/>
        </w:rPr>
        <w:t>t</w:t>
      </w:r>
      <w:r w:rsidRPr="00EF3081">
        <w:rPr>
          <w:color w:val="auto"/>
        </w:rPr>
        <w:t xml:space="preserve">he fact that the appellant had failed to explain to the </w:t>
      </w:r>
      <w:r w:rsidR="00F83614" w:rsidRPr="00EF3081">
        <w:rPr>
          <w:color w:val="auto"/>
        </w:rPr>
        <w:t>Tax C</w:t>
      </w:r>
      <w:r w:rsidRPr="00EF3081">
        <w:rPr>
          <w:color w:val="auto"/>
        </w:rPr>
        <w:t xml:space="preserve">ourt </w:t>
      </w:r>
      <w:r w:rsidR="00F81419" w:rsidRPr="00EF3081">
        <w:rPr>
          <w:color w:val="auto"/>
        </w:rPr>
        <w:t xml:space="preserve">why </w:t>
      </w:r>
      <w:r w:rsidR="00C20DA6" w:rsidRPr="00EF3081">
        <w:rPr>
          <w:color w:val="auto"/>
        </w:rPr>
        <w:t xml:space="preserve">Annexure BMM </w:t>
      </w:r>
      <w:r w:rsidR="00BC069A" w:rsidRPr="00EF3081">
        <w:rPr>
          <w:color w:val="auto"/>
        </w:rPr>
        <w:t>was not presented earlier.</w:t>
      </w:r>
    </w:p>
    <w:p w14:paraId="1F2E88AD" w14:textId="18CF7AA2" w:rsidR="00630C26" w:rsidRPr="00EF3081" w:rsidRDefault="00630C26" w:rsidP="00EF3081">
      <w:pPr>
        <w:pStyle w:val="1"/>
        <w:numPr>
          <w:ilvl w:val="0"/>
          <w:numId w:val="39"/>
        </w:numPr>
        <w:tabs>
          <w:tab w:val="left" w:pos="720"/>
        </w:tabs>
        <w:spacing w:after="240" w:line="360" w:lineRule="auto"/>
        <w:rPr>
          <w:color w:val="auto"/>
        </w:rPr>
      </w:pPr>
      <w:r w:rsidRPr="00EF3081">
        <w:rPr>
          <w:color w:val="auto"/>
        </w:rPr>
        <w:t xml:space="preserve">The </w:t>
      </w:r>
      <w:r w:rsidR="00F83614" w:rsidRPr="00EF3081">
        <w:rPr>
          <w:color w:val="auto"/>
        </w:rPr>
        <w:t>T</w:t>
      </w:r>
      <w:r w:rsidRPr="00EF3081">
        <w:rPr>
          <w:color w:val="auto"/>
        </w:rPr>
        <w:t xml:space="preserve">ax </w:t>
      </w:r>
      <w:r w:rsidR="00F83614" w:rsidRPr="00EF3081">
        <w:rPr>
          <w:color w:val="auto"/>
        </w:rPr>
        <w:t>C</w:t>
      </w:r>
      <w:r w:rsidRPr="00EF3081">
        <w:rPr>
          <w:color w:val="auto"/>
        </w:rPr>
        <w:t xml:space="preserve">ourt also held that </w:t>
      </w:r>
      <w:r w:rsidR="00C20DA6" w:rsidRPr="00EF3081">
        <w:rPr>
          <w:color w:val="auto"/>
        </w:rPr>
        <w:t xml:space="preserve">Annexure BMM </w:t>
      </w:r>
      <w:r w:rsidRPr="00EF3081">
        <w:rPr>
          <w:color w:val="auto"/>
        </w:rPr>
        <w:t xml:space="preserve">was impermissible under the </w:t>
      </w:r>
      <w:r w:rsidR="00F83614" w:rsidRPr="00EF3081">
        <w:rPr>
          <w:color w:val="auto"/>
        </w:rPr>
        <w:t>T</w:t>
      </w:r>
      <w:r w:rsidRPr="00EF3081">
        <w:rPr>
          <w:color w:val="auto"/>
        </w:rPr>
        <w:t xml:space="preserve">ax </w:t>
      </w:r>
      <w:r w:rsidR="00F83614" w:rsidRPr="00EF3081">
        <w:rPr>
          <w:color w:val="auto"/>
        </w:rPr>
        <w:t>C</w:t>
      </w:r>
      <w:r w:rsidRPr="00EF3081">
        <w:rPr>
          <w:color w:val="auto"/>
        </w:rPr>
        <w:t xml:space="preserve">ourt </w:t>
      </w:r>
      <w:r w:rsidR="00F83614" w:rsidRPr="00EF3081">
        <w:rPr>
          <w:color w:val="auto"/>
        </w:rPr>
        <w:t>R</w:t>
      </w:r>
      <w:r w:rsidRPr="00EF3081">
        <w:rPr>
          <w:color w:val="auto"/>
        </w:rPr>
        <w:t>ules.</w:t>
      </w:r>
      <w:r w:rsidR="00257611" w:rsidRPr="00E704E0">
        <w:rPr>
          <w:rStyle w:val="FootnoteReference"/>
          <w:color w:val="auto"/>
        </w:rPr>
        <w:footnoteReference w:id="36"/>
      </w:r>
      <w:r w:rsidRPr="00EF3081">
        <w:rPr>
          <w:color w:val="auto"/>
        </w:rPr>
        <w:t xml:space="preserve"> The </w:t>
      </w:r>
      <w:r w:rsidR="00C20DA6" w:rsidRPr="00EF3081">
        <w:rPr>
          <w:color w:val="auto"/>
        </w:rPr>
        <w:t xml:space="preserve">particular </w:t>
      </w:r>
      <w:r w:rsidR="00F83614" w:rsidRPr="00EF3081">
        <w:rPr>
          <w:color w:val="auto"/>
        </w:rPr>
        <w:t>R</w:t>
      </w:r>
      <w:r w:rsidRPr="00EF3081">
        <w:rPr>
          <w:color w:val="auto"/>
        </w:rPr>
        <w:t>ules were, however, not identified in the judgment.</w:t>
      </w:r>
    </w:p>
    <w:p w14:paraId="0387162C" w14:textId="39367104" w:rsidR="00630C26" w:rsidRPr="00EB57CD" w:rsidRDefault="00630C26" w:rsidP="00152E82">
      <w:pPr>
        <w:pStyle w:val="Heading3"/>
        <w:spacing w:before="360" w:after="360" w:line="360" w:lineRule="auto"/>
        <w:rPr>
          <w:rFonts w:ascii="Arial" w:hAnsi="Arial" w:cs="Arial"/>
          <w:b/>
          <w:i/>
          <w:color w:val="auto"/>
          <w:lang w:val="en-GB"/>
        </w:rPr>
      </w:pPr>
      <w:r w:rsidRPr="00EB57CD">
        <w:rPr>
          <w:rFonts w:ascii="Arial" w:hAnsi="Arial" w:cs="Arial"/>
          <w:b/>
          <w:i/>
          <w:color w:val="auto"/>
          <w:lang w:val="en-GB"/>
        </w:rPr>
        <w:t>The appellant’s submissions</w:t>
      </w:r>
      <w:r w:rsidR="00EB57CD" w:rsidRPr="00EB57CD">
        <w:rPr>
          <w:rFonts w:ascii="Arial" w:hAnsi="Arial" w:cs="Arial"/>
          <w:b/>
          <w:i/>
          <w:color w:val="auto"/>
        </w:rPr>
        <w:t xml:space="preserve"> in respect of the annexures</w:t>
      </w:r>
    </w:p>
    <w:p w14:paraId="1D49C9DA" w14:textId="77777777" w:rsidR="00EF3081" w:rsidRDefault="00630C26" w:rsidP="00EF3081">
      <w:pPr>
        <w:pStyle w:val="1"/>
        <w:numPr>
          <w:ilvl w:val="0"/>
          <w:numId w:val="39"/>
        </w:numPr>
        <w:spacing w:after="240" w:line="360" w:lineRule="auto"/>
        <w:rPr>
          <w:color w:val="auto"/>
        </w:rPr>
      </w:pPr>
      <w:r w:rsidRPr="00E704E0">
        <w:rPr>
          <w:color w:val="auto"/>
        </w:rPr>
        <w:t>The appellant’s case in respect of the annexure</w:t>
      </w:r>
      <w:r w:rsidR="00152E82" w:rsidRPr="00E704E0">
        <w:rPr>
          <w:color w:val="auto"/>
        </w:rPr>
        <w:t>s can be summarised as follows</w:t>
      </w:r>
      <w:r w:rsidR="00637D67" w:rsidRPr="00E704E0">
        <w:rPr>
          <w:color w:val="auto"/>
        </w:rPr>
        <w:t>:</w:t>
      </w:r>
    </w:p>
    <w:p w14:paraId="0B3727FB" w14:textId="77777777" w:rsidR="00EF3081" w:rsidRDefault="00C20DA6" w:rsidP="00EF3081">
      <w:pPr>
        <w:pStyle w:val="1"/>
        <w:numPr>
          <w:ilvl w:val="1"/>
          <w:numId w:val="39"/>
        </w:numPr>
        <w:spacing w:after="240" w:line="360" w:lineRule="auto"/>
        <w:ind w:hanging="720"/>
        <w:rPr>
          <w:color w:val="auto"/>
        </w:rPr>
      </w:pPr>
      <w:r w:rsidRPr="00EF3081">
        <w:rPr>
          <w:color w:val="auto"/>
        </w:rPr>
        <w:t xml:space="preserve">Annexure BMM </w:t>
      </w:r>
      <w:r w:rsidR="00EF446B" w:rsidRPr="00EF3081">
        <w:rPr>
          <w:color w:val="auto"/>
        </w:rPr>
        <w:t>supports and substantiates the</w:t>
      </w:r>
      <w:r w:rsidR="00152E82" w:rsidRPr="00EF3081">
        <w:rPr>
          <w:color w:val="auto"/>
        </w:rPr>
        <w:t xml:space="preserve"> additional argument raised at the objection stage</w:t>
      </w:r>
      <w:r w:rsidR="00637D67" w:rsidRPr="00EF3081">
        <w:rPr>
          <w:color w:val="auto"/>
        </w:rPr>
        <w:t>,</w:t>
      </w:r>
      <w:r w:rsidR="00152E82" w:rsidRPr="00EF3081">
        <w:rPr>
          <w:color w:val="auto"/>
        </w:rPr>
        <w:t xml:space="preserve"> but not previously included in the appeal</w:t>
      </w:r>
      <w:r w:rsidR="00637D67" w:rsidRPr="00EF3081">
        <w:rPr>
          <w:color w:val="auto"/>
        </w:rPr>
        <w:t>.</w:t>
      </w:r>
      <w:r w:rsidR="00152E82" w:rsidRPr="00EF3081">
        <w:rPr>
          <w:color w:val="auto"/>
        </w:rPr>
        <w:t xml:space="preserve"> This relates to </w:t>
      </w:r>
      <w:r w:rsidR="00152E82" w:rsidRPr="00EF3081">
        <w:rPr>
          <w:color w:val="auto"/>
        </w:rPr>
        <w:lastRenderedPageBreak/>
        <w:t xml:space="preserve">the deductibility of the appellant’s qualifying expenditure for the </w:t>
      </w:r>
      <w:r w:rsidR="00E35B1F" w:rsidRPr="00EF3081">
        <w:rPr>
          <w:color w:val="auto"/>
        </w:rPr>
        <w:t>relevant</w:t>
      </w:r>
      <w:r w:rsidR="00152E82" w:rsidRPr="00EF3081">
        <w:rPr>
          <w:color w:val="auto"/>
        </w:rPr>
        <w:t xml:space="preserve"> years of asse</w:t>
      </w:r>
      <w:r w:rsidR="00EF446B" w:rsidRPr="00EF3081">
        <w:rPr>
          <w:color w:val="auto"/>
        </w:rPr>
        <w:t>ssment income, which was earned</w:t>
      </w:r>
      <w:r w:rsidR="00152E82" w:rsidRPr="00EF3081">
        <w:rPr>
          <w:color w:val="auto"/>
        </w:rPr>
        <w:t xml:space="preserve"> by the taxpayer from its mining operations as contemplated in </w:t>
      </w:r>
      <w:r w:rsidR="00637D67" w:rsidRPr="00EF3081">
        <w:rPr>
          <w:color w:val="auto"/>
        </w:rPr>
        <w:t>s </w:t>
      </w:r>
      <w:r w:rsidR="00152E82" w:rsidRPr="00EF3081">
        <w:rPr>
          <w:color w:val="auto"/>
        </w:rPr>
        <w:t>11(a) of the ITA.</w:t>
      </w:r>
    </w:p>
    <w:p w14:paraId="1B1F5DA4" w14:textId="77777777" w:rsidR="00EF3081" w:rsidRDefault="00152E82" w:rsidP="00EF3081">
      <w:pPr>
        <w:pStyle w:val="1"/>
        <w:numPr>
          <w:ilvl w:val="1"/>
          <w:numId w:val="39"/>
        </w:numPr>
        <w:spacing w:after="240" w:line="360" w:lineRule="auto"/>
        <w:ind w:hanging="720"/>
        <w:rPr>
          <w:color w:val="auto"/>
        </w:rPr>
      </w:pPr>
      <w:r w:rsidRPr="00EF3081">
        <w:rPr>
          <w:color w:val="auto"/>
        </w:rPr>
        <w:t>In order to support the additional argument</w:t>
      </w:r>
      <w:r w:rsidR="00637D67" w:rsidRPr="00EF3081">
        <w:rPr>
          <w:color w:val="auto"/>
        </w:rPr>
        <w:t>,</w:t>
      </w:r>
      <w:r w:rsidRPr="00EF3081">
        <w:rPr>
          <w:color w:val="auto"/>
        </w:rPr>
        <w:t xml:space="preserve"> the appellant wishes to rely on </w:t>
      </w:r>
      <w:r w:rsidR="00C20DA6" w:rsidRPr="00EF3081">
        <w:rPr>
          <w:color w:val="auto"/>
        </w:rPr>
        <w:t>Annexure BMM</w:t>
      </w:r>
      <w:r w:rsidRPr="00EF3081">
        <w:rPr>
          <w:color w:val="auto"/>
        </w:rPr>
        <w:t xml:space="preserve"> which, it </w:t>
      </w:r>
      <w:r w:rsidR="004B2DE8" w:rsidRPr="00EF3081">
        <w:rPr>
          <w:color w:val="auto"/>
        </w:rPr>
        <w:t>contended</w:t>
      </w:r>
      <w:r w:rsidRPr="00EF3081">
        <w:rPr>
          <w:color w:val="auto"/>
        </w:rPr>
        <w:t xml:space="preserve">, is of a factual nature. </w:t>
      </w:r>
    </w:p>
    <w:p w14:paraId="37A79489" w14:textId="6736A81B" w:rsidR="00EF3081" w:rsidRDefault="00637D67" w:rsidP="00EF3081">
      <w:pPr>
        <w:pStyle w:val="1"/>
        <w:numPr>
          <w:ilvl w:val="1"/>
          <w:numId w:val="39"/>
        </w:numPr>
        <w:spacing w:after="240" w:line="360" w:lineRule="auto"/>
        <w:ind w:hanging="720"/>
        <w:rPr>
          <w:color w:val="auto"/>
        </w:rPr>
      </w:pPr>
      <w:r w:rsidRPr="00EF3081">
        <w:rPr>
          <w:color w:val="auto"/>
        </w:rPr>
        <w:t>T</w:t>
      </w:r>
      <w:r w:rsidR="00152E82" w:rsidRPr="00EF3081">
        <w:rPr>
          <w:color w:val="auto"/>
        </w:rPr>
        <w:t xml:space="preserve">he appellant seeks to place </w:t>
      </w:r>
      <w:r w:rsidR="00C20DA6" w:rsidRPr="00EF3081">
        <w:rPr>
          <w:color w:val="auto"/>
        </w:rPr>
        <w:t xml:space="preserve">Annexure BMM </w:t>
      </w:r>
      <w:r w:rsidR="00152E82" w:rsidRPr="00EF3081">
        <w:rPr>
          <w:color w:val="auto"/>
        </w:rPr>
        <w:t>before the</w:t>
      </w:r>
      <w:r w:rsidRPr="00EF3081">
        <w:rPr>
          <w:color w:val="auto"/>
        </w:rPr>
        <w:t xml:space="preserve"> </w:t>
      </w:r>
      <w:r w:rsidR="00000E76" w:rsidRPr="00EF3081">
        <w:rPr>
          <w:color w:val="auto"/>
        </w:rPr>
        <w:t>Tax C</w:t>
      </w:r>
      <w:r w:rsidR="00152E82" w:rsidRPr="00EF3081">
        <w:rPr>
          <w:color w:val="auto"/>
        </w:rPr>
        <w:t xml:space="preserve">ourt to reflect the classification of the various items of expenditure incurred by it during </w:t>
      </w:r>
      <w:r w:rsidR="00E35B1F" w:rsidRPr="00EF3081">
        <w:rPr>
          <w:color w:val="auto"/>
        </w:rPr>
        <w:t>the relevant</w:t>
      </w:r>
      <w:r w:rsidR="00152E82" w:rsidRPr="00EF3081">
        <w:rPr>
          <w:color w:val="auto"/>
        </w:rPr>
        <w:t xml:space="preserve"> yea</w:t>
      </w:r>
      <w:r w:rsidR="00FD7A56" w:rsidRPr="00EF3081">
        <w:rPr>
          <w:color w:val="auto"/>
        </w:rPr>
        <w:t xml:space="preserve">rs of assessment. </w:t>
      </w:r>
      <w:r w:rsidR="00152E82" w:rsidRPr="00EF3081">
        <w:rPr>
          <w:color w:val="auto"/>
        </w:rPr>
        <w:t xml:space="preserve">It was not disputed that </w:t>
      </w:r>
      <w:r w:rsidR="00C20DA6" w:rsidRPr="00EF3081">
        <w:rPr>
          <w:color w:val="auto"/>
        </w:rPr>
        <w:t>Annexure BMM</w:t>
      </w:r>
      <w:r w:rsidR="00152E82" w:rsidRPr="00EF3081">
        <w:rPr>
          <w:color w:val="auto"/>
        </w:rPr>
        <w:t xml:space="preserve"> reflected the classification of the various expenditure amounts incurred by the appellant during the relevant years of assessment. The only dispute between the parties is the classification of expenditure in order to determine the deductibility thereof.</w:t>
      </w:r>
    </w:p>
    <w:p w14:paraId="73585EFE" w14:textId="561F18D6" w:rsidR="00EF3081" w:rsidRDefault="00152E82" w:rsidP="00EF3081">
      <w:pPr>
        <w:pStyle w:val="1"/>
        <w:numPr>
          <w:ilvl w:val="1"/>
          <w:numId w:val="39"/>
        </w:numPr>
        <w:spacing w:after="240" w:line="360" w:lineRule="auto"/>
        <w:ind w:hanging="720"/>
        <w:rPr>
          <w:color w:val="auto"/>
        </w:rPr>
      </w:pPr>
      <w:r w:rsidRPr="00EF3081">
        <w:rPr>
          <w:color w:val="auto"/>
        </w:rPr>
        <w:t>The appellant admits that the contents of the previous annexures are different from t</w:t>
      </w:r>
      <w:r w:rsidR="002F4B05" w:rsidRPr="00EF3081">
        <w:rPr>
          <w:color w:val="auto"/>
        </w:rPr>
        <w:t xml:space="preserve">hose of </w:t>
      </w:r>
      <w:r w:rsidR="00C20DA6" w:rsidRPr="00EF3081">
        <w:rPr>
          <w:color w:val="auto"/>
        </w:rPr>
        <w:t>Annexure BMM</w:t>
      </w:r>
      <w:r w:rsidR="002F4B05" w:rsidRPr="00EF3081">
        <w:rPr>
          <w:color w:val="auto"/>
        </w:rPr>
        <w:t xml:space="preserve">. </w:t>
      </w:r>
      <w:r w:rsidRPr="00EF3081">
        <w:rPr>
          <w:color w:val="auto"/>
        </w:rPr>
        <w:t>The initial annexures related to expenditure classified by the appellant’s erstwhile advisor, KPMG, as b</w:t>
      </w:r>
      <w:r w:rsidR="00C20DA6" w:rsidRPr="00EF3081">
        <w:rPr>
          <w:color w:val="auto"/>
        </w:rPr>
        <w:t>eing related to prospecting.</w:t>
      </w:r>
      <w:r w:rsidRPr="00EF3081">
        <w:rPr>
          <w:color w:val="auto"/>
        </w:rPr>
        <w:t xml:space="preserve"> </w:t>
      </w:r>
      <w:r w:rsidR="00C20DA6" w:rsidRPr="00EF3081">
        <w:rPr>
          <w:color w:val="auto"/>
        </w:rPr>
        <w:t xml:space="preserve">Annexure BMM </w:t>
      </w:r>
      <w:r w:rsidRPr="00EF3081">
        <w:rPr>
          <w:color w:val="auto"/>
        </w:rPr>
        <w:t>includes the classification of all expenditure, namely, the total expenditure incurred by the appellant for th</w:t>
      </w:r>
      <w:r w:rsidR="002F4B05" w:rsidRPr="00EF3081">
        <w:rPr>
          <w:color w:val="auto"/>
        </w:rPr>
        <w:t>e relevant years of assessment.</w:t>
      </w:r>
      <w:r w:rsidRPr="00EF3081">
        <w:rPr>
          <w:color w:val="auto"/>
        </w:rPr>
        <w:t xml:space="preserve"> </w:t>
      </w:r>
      <w:r w:rsidR="00C20DA6" w:rsidRPr="00EF3081">
        <w:rPr>
          <w:color w:val="auto"/>
        </w:rPr>
        <w:t xml:space="preserve">Annexure BMM </w:t>
      </w:r>
      <w:r w:rsidRPr="00EF3081">
        <w:rPr>
          <w:color w:val="auto"/>
        </w:rPr>
        <w:t xml:space="preserve">does not only cater for the </w:t>
      </w:r>
      <w:r w:rsidR="00637D67" w:rsidRPr="00EF3081">
        <w:rPr>
          <w:color w:val="auto"/>
        </w:rPr>
        <w:t>s </w:t>
      </w:r>
      <w:r w:rsidRPr="00EF3081">
        <w:rPr>
          <w:color w:val="auto"/>
        </w:rPr>
        <w:t>11(a)</w:t>
      </w:r>
      <w:r w:rsidR="000A7B1B" w:rsidRPr="00EF3081">
        <w:rPr>
          <w:color w:val="auto"/>
        </w:rPr>
        <w:t xml:space="preserve"> </w:t>
      </w:r>
      <w:r w:rsidR="005B3373" w:rsidRPr="00EF3081">
        <w:rPr>
          <w:color w:val="auto"/>
        </w:rPr>
        <w:t>of the ITA</w:t>
      </w:r>
      <w:r w:rsidRPr="00EF3081">
        <w:rPr>
          <w:color w:val="auto"/>
        </w:rPr>
        <w:t xml:space="preserve"> </w:t>
      </w:r>
      <w:r w:rsidR="000A7B1B" w:rsidRPr="00EF3081">
        <w:rPr>
          <w:color w:val="auto"/>
        </w:rPr>
        <w:t>claim</w:t>
      </w:r>
      <w:r w:rsidR="004D7B5B">
        <w:rPr>
          <w:color w:val="auto"/>
        </w:rPr>
        <w:t>,</w:t>
      </w:r>
      <w:r w:rsidRPr="00EF3081">
        <w:rPr>
          <w:color w:val="auto"/>
        </w:rPr>
        <w:t xml:space="preserve"> but reflects the classification of all expenditure incurred by the appellant in respect of its </w:t>
      </w:r>
      <w:proofErr w:type="spellStart"/>
      <w:r w:rsidRPr="00EF3081">
        <w:rPr>
          <w:color w:val="auto"/>
        </w:rPr>
        <w:t>Gamsberg</w:t>
      </w:r>
      <w:proofErr w:type="spellEnd"/>
      <w:r w:rsidRPr="00EF3081">
        <w:rPr>
          <w:color w:val="auto"/>
        </w:rPr>
        <w:t xml:space="preserve"> operations.</w:t>
      </w:r>
    </w:p>
    <w:p w14:paraId="590BF511" w14:textId="3D24D512" w:rsidR="00EF3081" w:rsidRDefault="00152E82" w:rsidP="00EF3081">
      <w:pPr>
        <w:pStyle w:val="1"/>
        <w:numPr>
          <w:ilvl w:val="1"/>
          <w:numId w:val="39"/>
        </w:numPr>
        <w:spacing w:after="240" w:line="360" w:lineRule="auto"/>
        <w:ind w:hanging="720"/>
        <w:rPr>
          <w:color w:val="auto"/>
        </w:rPr>
      </w:pPr>
      <w:r w:rsidRPr="004908D1">
        <w:rPr>
          <w:color w:val="auto"/>
        </w:rPr>
        <w:t xml:space="preserve">The </w:t>
      </w:r>
      <w:r w:rsidR="004908D1">
        <w:rPr>
          <w:color w:val="auto"/>
        </w:rPr>
        <w:t>a</w:t>
      </w:r>
      <w:r w:rsidRPr="004908D1">
        <w:rPr>
          <w:color w:val="auto"/>
        </w:rPr>
        <w:t xml:space="preserve">ppellant </w:t>
      </w:r>
      <w:r w:rsidR="004B2DE8" w:rsidRPr="004908D1">
        <w:rPr>
          <w:color w:val="auto"/>
        </w:rPr>
        <w:t>contended</w:t>
      </w:r>
      <w:r w:rsidRPr="004908D1">
        <w:rPr>
          <w:color w:val="auto"/>
        </w:rPr>
        <w:t xml:space="preserve"> that the difference </w:t>
      </w:r>
      <w:r w:rsidR="001B0861" w:rsidRPr="004908D1">
        <w:rPr>
          <w:color w:val="auto"/>
        </w:rPr>
        <w:t xml:space="preserve">between the total amounts of expenditure incurred by </w:t>
      </w:r>
      <w:r w:rsidR="00702039" w:rsidRPr="004908D1">
        <w:rPr>
          <w:color w:val="auto"/>
        </w:rPr>
        <w:t>it</w:t>
      </w:r>
      <w:r w:rsidR="001B0861" w:rsidRPr="004908D1">
        <w:rPr>
          <w:color w:val="auto"/>
        </w:rPr>
        <w:t xml:space="preserve"> during each year of assessment (as reflected in Anne</w:t>
      </w:r>
      <w:r w:rsidR="00BE0BA1" w:rsidRPr="004908D1">
        <w:rPr>
          <w:color w:val="auto"/>
        </w:rPr>
        <w:t>xure BMM</w:t>
      </w:r>
      <w:r w:rsidR="004908D1">
        <w:rPr>
          <w:color w:val="auto"/>
        </w:rPr>
        <w:t>)</w:t>
      </w:r>
      <w:r w:rsidR="004D7B5B">
        <w:rPr>
          <w:color w:val="auto"/>
        </w:rPr>
        <w:t>,</w:t>
      </w:r>
      <w:r w:rsidR="00BE0BA1" w:rsidRPr="004908D1">
        <w:rPr>
          <w:color w:val="auto"/>
        </w:rPr>
        <w:t xml:space="preserve"> and the amount(s) </w:t>
      </w:r>
      <w:r w:rsidR="008F564E" w:rsidRPr="004908D1">
        <w:rPr>
          <w:color w:val="auto"/>
        </w:rPr>
        <w:t>to be consider</w:t>
      </w:r>
      <w:r w:rsidR="005E1838" w:rsidRPr="004908D1">
        <w:rPr>
          <w:color w:val="auto"/>
        </w:rPr>
        <w:t>e</w:t>
      </w:r>
      <w:r w:rsidR="008F564E" w:rsidRPr="004908D1">
        <w:rPr>
          <w:color w:val="auto"/>
        </w:rPr>
        <w:t xml:space="preserve">d </w:t>
      </w:r>
      <w:r w:rsidR="00BE0BA1" w:rsidRPr="004908D1">
        <w:rPr>
          <w:color w:val="auto"/>
        </w:rPr>
        <w:t>in the appeal</w:t>
      </w:r>
      <w:r w:rsidR="004D7B5B">
        <w:rPr>
          <w:color w:val="auto"/>
        </w:rPr>
        <w:t>,</w:t>
      </w:r>
      <w:r w:rsidR="008F564E" w:rsidRPr="004908D1">
        <w:rPr>
          <w:color w:val="auto"/>
        </w:rPr>
        <w:t xml:space="preserve"> are immaterial. </w:t>
      </w:r>
      <w:r w:rsidRPr="004908D1">
        <w:rPr>
          <w:color w:val="auto"/>
        </w:rPr>
        <w:t>In 2013, it is nil; in 2014</w:t>
      </w:r>
      <w:r w:rsidR="00EF446B" w:rsidRPr="004908D1">
        <w:rPr>
          <w:color w:val="auto"/>
        </w:rPr>
        <w:t>, R102.88</w:t>
      </w:r>
      <w:r w:rsidR="00637D67" w:rsidRPr="004908D1">
        <w:rPr>
          <w:color w:val="auto"/>
        </w:rPr>
        <w:t>;</w:t>
      </w:r>
      <w:r w:rsidR="00EF446B" w:rsidRPr="004908D1">
        <w:rPr>
          <w:color w:val="auto"/>
        </w:rPr>
        <w:t xml:space="preserve"> and in 2015, R103.00.</w:t>
      </w:r>
      <w:r w:rsidR="002F4B05" w:rsidRPr="004908D1">
        <w:rPr>
          <w:color w:val="auto"/>
        </w:rPr>
        <w:t xml:space="preserve"> </w:t>
      </w:r>
      <w:r w:rsidR="00EF66E7" w:rsidRPr="004908D1">
        <w:rPr>
          <w:color w:val="auto"/>
        </w:rPr>
        <w:t xml:space="preserve">The </w:t>
      </w:r>
      <w:r w:rsidR="004908D1">
        <w:rPr>
          <w:color w:val="auto"/>
        </w:rPr>
        <w:t>a</w:t>
      </w:r>
      <w:r w:rsidR="00EF66E7" w:rsidRPr="004908D1">
        <w:rPr>
          <w:color w:val="auto"/>
        </w:rPr>
        <w:t xml:space="preserve">ppellant </w:t>
      </w:r>
      <w:r w:rsidR="00E35B1F" w:rsidRPr="004908D1">
        <w:rPr>
          <w:color w:val="auto"/>
        </w:rPr>
        <w:t>also disputed</w:t>
      </w:r>
      <w:r w:rsidRPr="004908D1">
        <w:rPr>
          <w:color w:val="auto"/>
        </w:rPr>
        <w:t xml:space="preserve"> that the amendment seeks to claim deductions of</w:t>
      </w:r>
      <w:r w:rsidRPr="00EF3081">
        <w:rPr>
          <w:color w:val="auto"/>
        </w:rPr>
        <w:t xml:space="preserve"> amounts which did not previously form part of the objections.</w:t>
      </w:r>
    </w:p>
    <w:p w14:paraId="20751DDD" w14:textId="77777777" w:rsidR="00EF3081" w:rsidRDefault="00152E82" w:rsidP="00EF3081">
      <w:pPr>
        <w:pStyle w:val="1"/>
        <w:numPr>
          <w:ilvl w:val="1"/>
          <w:numId w:val="39"/>
        </w:numPr>
        <w:spacing w:after="240" w:line="360" w:lineRule="auto"/>
        <w:ind w:hanging="720"/>
        <w:rPr>
          <w:color w:val="auto"/>
        </w:rPr>
      </w:pPr>
      <w:r w:rsidRPr="00EF3081">
        <w:rPr>
          <w:color w:val="auto"/>
        </w:rPr>
        <w:t xml:space="preserve">The appellant </w:t>
      </w:r>
      <w:r w:rsidR="00E35B1F" w:rsidRPr="00EF3081">
        <w:rPr>
          <w:color w:val="auto"/>
        </w:rPr>
        <w:t xml:space="preserve">contended that </w:t>
      </w:r>
      <w:r w:rsidRPr="00EF3081">
        <w:rPr>
          <w:color w:val="auto"/>
        </w:rPr>
        <w:t xml:space="preserve">that there is </w:t>
      </w:r>
      <w:r w:rsidR="00E35B1F" w:rsidRPr="00EF3081">
        <w:rPr>
          <w:color w:val="auto"/>
        </w:rPr>
        <w:t>no</w:t>
      </w:r>
      <w:r w:rsidR="00616DB0" w:rsidRPr="00EF3081">
        <w:rPr>
          <w:color w:val="auto"/>
        </w:rPr>
        <w:t xml:space="preserve"> </w:t>
      </w:r>
      <w:r w:rsidRPr="00EF3081">
        <w:rPr>
          <w:color w:val="auto"/>
        </w:rPr>
        <w:t>prejudice to the respondent because the respondent had,</w:t>
      </w:r>
      <w:r w:rsidR="002F4B05" w:rsidRPr="00EF3081">
        <w:rPr>
          <w:color w:val="auto"/>
        </w:rPr>
        <w:t xml:space="preserve"> </w:t>
      </w:r>
      <w:r w:rsidRPr="00EF3081">
        <w:rPr>
          <w:color w:val="auto"/>
        </w:rPr>
        <w:t>a</w:t>
      </w:r>
      <w:r w:rsidR="00FD7A56" w:rsidRPr="00EF3081">
        <w:rPr>
          <w:color w:val="auto"/>
        </w:rPr>
        <w:t xml:space="preserve">t the objection stage, already </w:t>
      </w:r>
      <w:r w:rsidRPr="00EF3081">
        <w:rPr>
          <w:color w:val="auto"/>
        </w:rPr>
        <w:t xml:space="preserve">considered and dispensed with the </w:t>
      </w:r>
      <w:r w:rsidR="00637D67" w:rsidRPr="00EF3081">
        <w:rPr>
          <w:color w:val="auto"/>
        </w:rPr>
        <w:t>s </w:t>
      </w:r>
      <w:r w:rsidRPr="00EF3081">
        <w:rPr>
          <w:color w:val="auto"/>
        </w:rPr>
        <w:t>11(a)</w:t>
      </w:r>
      <w:r w:rsidR="005B3373" w:rsidRPr="00EF3081">
        <w:rPr>
          <w:color w:val="auto"/>
        </w:rPr>
        <w:t xml:space="preserve"> </w:t>
      </w:r>
      <w:r w:rsidRPr="00EF3081">
        <w:rPr>
          <w:color w:val="auto"/>
        </w:rPr>
        <w:t>issue, which is now sought to be re-introduced.</w:t>
      </w:r>
    </w:p>
    <w:p w14:paraId="79C945FB" w14:textId="490ED88C" w:rsidR="00EF3081" w:rsidRDefault="00152E82" w:rsidP="00EF3081">
      <w:pPr>
        <w:pStyle w:val="1"/>
        <w:numPr>
          <w:ilvl w:val="1"/>
          <w:numId w:val="39"/>
        </w:numPr>
        <w:spacing w:after="240" w:line="360" w:lineRule="auto"/>
        <w:ind w:hanging="720"/>
        <w:rPr>
          <w:color w:val="auto"/>
        </w:rPr>
      </w:pPr>
      <w:r w:rsidRPr="00EF3081">
        <w:rPr>
          <w:color w:val="auto"/>
        </w:rPr>
        <w:t>The incurrence and quantum of the expenditure is already co</w:t>
      </w:r>
      <w:r w:rsidR="00EF446B" w:rsidRPr="00EF3081">
        <w:rPr>
          <w:color w:val="auto"/>
        </w:rPr>
        <w:t>mmon cause between the parties.</w:t>
      </w:r>
      <w:r w:rsidRPr="00EF3081">
        <w:rPr>
          <w:color w:val="auto"/>
        </w:rPr>
        <w:t xml:space="preserve"> </w:t>
      </w:r>
      <w:r w:rsidR="00C20DA6" w:rsidRPr="00EF3081">
        <w:rPr>
          <w:color w:val="auto"/>
        </w:rPr>
        <w:t xml:space="preserve">Annexure BMM </w:t>
      </w:r>
      <w:r w:rsidRPr="00EF3081">
        <w:rPr>
          <w:color w:val="auto"/>
        </w:rPr>
        <w:t>seeks to crystallis</w:t>
      </w:r>
      <w:r w:rsidR="00EF446B" w:rsidRPr="00EF3081">
        <w:rPr>
          <w:color w:val="auto"/>
        </w:rPr>
        <w:t xml:space="preserve">e and simplify the </w:t>
      </w:r>
      <w:r w:rsidR="00EF446B" w:rsidRPr="00EF3081">
        <w:rPr>
          <w:color w:val="auto"/>
        </w:rPr>
        <w:lastRenderedPageBreak/>
        <w:t xml:space="preserve">appellant’s </w:t>
      </w:r>
      <w:r w:rsidRPr="00EF3081">
        <w:rPr>
          <w:color w:val="auto"/>
        </w:rPr>
        <w:t xml:space="preserve">argument in respect of the deductibility of the expenditure, with reference to each of the grounds of appeal. This, it </w:t>
      </w:r>
      <w:r w:rsidR="004B2DE8" w:rsidRPr="00EF3081">
        <w:rPr>
          <w:color w:val="auto"/>
        </w:rPr>
        <w:t>contended</w:t>
      </w:r>
      <w:r w:rsidRPr="00EF3081">
        <w:rPr>
          <w:color w:val="auto"/>
        </w:rPr>
        <w:t>,</w:t>
      </w:r>
      <w:r w:rsidR="00AF309D" w:rsidRPr="00EF3081">
        <w:rPr>
          <w:color w:val="auto"/>
        </w:rPr>
        <w:t xml:space="preserve"> </w:t>
      </w:r>
      <w:r w:rsidRPr="00EF3081">
        <w:rPr>
          <w:color w:val="auto"/>
        </w:rPr>
        <w:t xml:space="preserve">will assist the parties and the </w:t>
      </w:r>
      <w:r w:rsidR="004D7B5B">
        <w:rPr>
          <w:color w:val="auto"/>
        </w:rPr>
        <w:t>Tax C</w:t>
      </w:r>
      <w:r w:rsidRPr="00EF3081">
        <w:rPr>
          <w:color w:val="auto"/>
        </w:rPr>
        <w:t xml:space="preserve">ourt when adjudicating the appeal. </w:t>
      </w:r>
    </w:p>
    <w:p w14:paraId="2F1112C5" w14:textId="77777777" w:rsidR="00EF3081" w:rsidRDefault="00152E82" w:rsidP="00EF3081">
      <w:pPr>
        <w:pStyle w:val="1"/>
        <w:numPr>
          <w:ilvl w:val="1"/>
          <w:numId w:val="39"/>
        </w:numPr>
        <w:spacing w:after="240" w:line="360" w:lineRule="auto"/>
        <w:ind w:hanging="720"/>
        <w:rPr>
          <w:color w:val="auto"/>
        </w:rPr>
      </w:pPr>
      <w:r w:rsidRPr="00EF3081">
        <w:rPr>
          <w:color w:val="auto"/>
        </w:rPr>
        <w:t>The respondent will have ample opportunity to amend its Rule 31 statement</w:t>
      </w:r>
      <w:r w:rsidR="00637D67" w:rsidRPr="00EF3081">
        <w:rPr>
          <w:color w:val="auto"/>
        </w:rPr>
        <w:t>,</w:t>
      </w:r>
      <w:r w:rsidRPr="00EF3081">
        <w:rPr>
          <w:color w:val="auto"/>
        </w:rPr>
        <w:t xml:space="preserve"> and the respondent has not pleaded any prejudice as a consequence of the intended amendments.</w:t>
      </w:r>
    </w:p>
    <w:p w14:paraId="5A35C486" w14:textId="77777777" w:rsidR="00EF3081" w:rsidRDefault="00E35B1F" w:rsidP="00EF3081">
      <w:pPr>
        <w:pStyle w:val="1"/>
        <w:numPr>
          <w:ilvl w:val="1"/>
          <w:numId w:val="39"/>
        </w:numPr>
        <w:spacing w:after="240" w:line="360" w:lineRule="auto"/>
        <w:ind w:hanging="720"/>
        <w:rPr>
          <w:color w:val="auto"/>
        </w:rPr>
      </w:pPr>
      <w:r w:rsidRPr="00EF3081">
        <w:rPr>
          <w:color w:val="auto"/>
        </w:rPr>
        <w:t>A</w:t>
      </w:r>
      <w:r w:rsidR="00637D67" w:rsidRPr="00EF3081">
        <w:rPr>
          <w:color w:val="auto"/>
        </w:rPr>
        <w:t xml:space="preserve"> </w:t>
      </w:r>
      <w:r w:rsidR="00152E82" w:rsidRPr="00EF3081">
        <w:rPr>
          <w:color w:val="auto"/>
        </w:rPr>
        <w:t>failure by a taxpayer to present a document to the respond</w:t>
      </w:r>
      <w:r w:rsidR="00754EE9" w:rsidRPr="00EF3081">
        <w:rPr>
          <w:color w:val="auto"/>
        </w:rPr>
        <w:t xml:space="preserve">ent during the objection stage does not bar the use of that </w:t>
      </w:r>
      <w:r w:rsidR="00152E82" w:rsidRPr="00EF3081">
        <w:rPr>
          <w:color w:val="auto"/>
        </w:rPr>
        <w:t xml:space="preserve">document during the </w:t>
      </w:r>
      <w:r w:rsidR="00637D67" w:rsidRPr="00EF3081">
        <w:rPr>
          <w:color w:val="auto"/>
        </w:rPr>
        <w:t>T</w:t>
      </w:r>
      <w:r w:rsidR="00152E82" w:rsidRPr="00EF3081">
        <w:rPr>
          <w:color w:val="auto"/>
        </w:rPr>
        <w:t xml:space="preserve">ax </w:t>
      </w:r>
      <w:r w:rsidR="00637D67" w:rsidRPr="00EF3081">
        <w:rPr>
          <w:color w:val="auto"/>
        </w:rPr>
        <w:t>C</w:t>
      </w:r>
      <w:r w:rsidR="00152E82" w:rsidRPr="00EF3081">
        <w:rPr>
          <w:color w:val="auto"/>
        </w:rPr>
        <w:t>ourt appeal proceedings</w:t>
      </w:r>
      <w:r w:rsidR="00637D67" w:rsidRPr="00EF3081">
        <w:rPr>
          <w:color w:val="auto"/>
        </w:rPr>
        <w:t>,</w:t>
      </w:r>
      <w:r w:rsidR="00152E82" w:rsidRPr="00EF3081">
        <w:rPr>
          <w:color w:val="auto"/>
        </w:rPr>
        <w:t xml:space="preserve"> and it is not a relevant consideration in determining whether the amendments by the appellant should be allowed.</w:t>
      </w:r>
    </w:p>
    <w:p w14:paraId="0ED09808" w14:textId="4823F3A1" w:rsidR="00EF3081" w:rsidRDefault="008326C6" w:rsidP="00EF3081">
      <w:pPr>
        <w:pStyle w:val="1"/>
        <w:numPr>
          <w:ilvl w:val="0"/>
          <w:numId w:val="39"/>
        </w:numPr>
        <w:spacing w:after="240" w:line="360" w:lineRule="auto"/>
        <w:rPr>
          <w:color w:val="auto"/>
        </w:rPr>
      </w:pPr>
      <w:r w:rsidRPr="00EF3081">
        <w:rPr>
          <w:color w:val="auto"/>
        </w:rPr>
        <w:t>The a</w:t>
      </w:r>
      <w:r w:rsidR="006B668C" w:rsidRPr="00EF3081">
        <w:rPr>
          <w:color w:val="auto"/>
        </w:rPr>
        <w:t xml:space="preserve">ppellant’s counsel contended, in conclusion, that the </w:t>
      </w:r>
      <w:r w:rsidRPr="00EF3081">
        <w:rPr>
          <w:color w:val="auto"/>
        </w:rPr>
        <w:t>T</w:t>
      </w:r>
      <w:r w:rsidR="006B668C" w:rsidRPr="00EF3081">
        <w:rPr>
          <w:color w:val="auto"/>
        </w:rPr>
        <w:t xml:space="preserve">ax </w:t>
      </w:r>
      <w:r w:rsidRPr="00EF3081">
        <w:rPr>
          <w:color w:val="auto"/>
        </w:rPr>
        <w:t>C</w:t>
      </w:r>
      <w:r w:rsidR="006B668C" w:rsidRPr="00EF3081">
        <w:rPr>
          <w:color w:val="auto"/>
        </w:rPr>
        <w:t xml:space="preserve">ourt did not provide a reason for its finding that the introduction of </w:t>
      </w:r>
      <w:r w:rsidR="00C20DA6" w:rsidRPr="00EF3081">
        <w:rPr>
          <w:color w:val="auto"/>
        </w:rPr>
        <w:t xml:space="preserve">Annexure BMM </w:t>
      </w:r>
      <w:r w:rsidR="006B668C" w:rsidRPr="00EF3081">
        <w:rPr>
          <w:color w:val="auto"/>
        </w:rPr>
        <w:t xml:space="preserve">is not permissible under the </w:t>
      </w:r>
      <w:r w:rsidRPr="00EF3081">
        <w:rPr>
          <w:color w:val="auto"/>
        </w:rPr>
        <w:t>T</w:t>
      </w:r>
      <w:r w:rsidR="006B668C" w:rsidRPr="00EF3081">
        <w:rPr>
          <w:color w:val="auto"/>
        </w:rPr>
        <w:t xml:space="preserve">ax </w:t>
      </w:r>
      <w:r w:rsidRPr="00EF3081">
        <w:rPr>
          <w:color w:val="auto"/>
        </w:rPr>
        <w:t>C</w:t>
      </w:r>
      <w:r w:rsidR="006B668C" w:rsidRPr="00EF3081">
        <w:rPr>
          <w:color w:val="auto"/>
        </w:rPr>
        <w:t>ourt Rules.</w:t>
      </w:r>
    </w:p>
    <w:p w14:paraId="2646429A" w14:textId="5F35F5FE" w:rsidR="00EF3081" w:rsidRPr="00EB57CD" w:rsidRDefault="00EF3081" w:rsidP="00EF3081">
      <w:pPr>
        <w:pStyle w:val="1"/>
        <w:numPr>
          <w:ilvl w:val="0"/>
          <w:numId w:val="0"/>
        </w:numPr>
        <w:spacing w:before="360" w:after="360" w:line="360" w:lineRule="auto"/>
        <w:rPr>
          <w:b/>
          <w:i/>
          <w:color w:val="auto"/>
        </w:rPr>
      </w:pPr>
      <w:r w:rsidRPr="00EB57CD">
        <w:rPr>
          <w:b/>
          <w:i/>
          <w:color w:val="auto"/>
        </w:rPr>
        <w:t>The respondent</w:t>
      </w:r>
      <w:r w:rsidR="00EB57CD" w:rsidRPr="00EB57CD">
        <w:rPr>
          <w:b/>
          <w:i/>
          <w:color w:val="auto"/>
        </w:rPr>
        <w:t>’s submissions in respect of the annexures</w:t>
      </w:r>
    </w:p>
    <w:p w14:paraId="144EDB89" w14:textId="77777777" w:rsidR="00EF3081" w:rsidRDefault="00630C26" w:rsidP="00EF3081">
      <w:pPr>
        <w:pStyle w:val="1"/>
        <w:numPr>
          <w:ilvl w:val="0"/>
          <w:numId w:val="39"/>
        </w:numPr>
        <w:spacing w:after="240" w:line="360" w:lineRule="auto"/>
        <w:rPr>
          <w:color w:val="auto"/>
        </w:rPr>
      </w:pPr>
      <w:r w:rsidRPr="00EF3081">
        <w:rPr>
          <w:color w:val="auto"/>
        </w:rPr>
        <w:t>The respondent’s case</w:t>
      </w:r>
      <w:r w:rsidR="006B668C" w:rsidRPr="00EF3081">
        <w:rPr>
          <w:color w:val="auto"/>
        </w:rPr>
        <w:t xml:space="preserve"> can be summarised as follows</w:t>
      </w:r>
      <w:r w:rsidR="00AE171F" w:rsidRPr="00EF3081">
        <w:rPr>
          <w:color w:val="auto"/>
        </w:rPr>
        <w:t>:</w:t>
      </w:r>
    </w:p>
    <w:p w14:paraId="6FD16965" w14:textId="77777777" w:rsidR="00EF3081" w:rsidRPr="00EF3081" w:rsidRDefault="009A1802" w:rsidP="00EF3081">
      <w:pPr>
        <w:pStyle w:val="1"/>
        <w:numPr>
          <w:ilvl w:val="1"/>
          <w:numId w:val="39"/>
        </w:numPr>
        <w:spacing w:after="240" w:line="360" w:lineRule="auto"/>
        <w:ind w:hanging="720"/>
        <w:rPr>
          <w:color w:val="auto"/>
        </w:rPr>
      </w:pPr>
      <w:r w:rsidRPr="00EF3081">
        <w:rPr>
          <w:rFonts w:cs="Arial"/>
          <w:szCs w:val="24"/>
        </w:rPr>
        <w:t>In the previous annexures, the appellant, in support of its claim in its tax returns and notice of objection, set out the nature, classification and amount of the expenses. SARS has accepted those expenses as the nature, classification and amounts that are in dispute, and prepared its case in line therewith. Annexure BMM now reclassifies those expenses, including the nature of the expense and the amount.</w:t>
      </w:r>
    </w:p>
    <w:p w14:paraId="1CE86B66" w14:textId="77777777" w:rsidR="007F5FB2" w:rsidRDefault="009A1802" w:rsidP="007F5FB2">
      <w:pPr>
        <w:pStyle w:val="1"/>
        <w:numPr>
          <w:ilvl w:val="1"/>
          <w:numId w:val="39"/>
        </w:numPr>
        <w:spacing w:after="240" w:line="360" w:lineRule="auto"/>
        <w:ind w:hanging="720"/>
        <w:rPr>
          <w:color w:val="auto"/>
        </w:rPr>
      </w:pPr>
      <w:r w:rsidRPr="00EF3081">
        <w:rPr>
          <w:color w:val="auto"/>
        </w:rPr>
        <w:t>The expenditure listed in the previous annexures compared to the expenditure listed in Annexure BMM is different in the following respects:</w:t>
      </w:r>
    </w:p>
    <w:p w14:paraId="1B03D81E" w14:textId="5472CD9A" w:rsidR="009A1802" w:rsidRDefault="009A1802" w:rsidP="007F5FB2">
      <w:pPr>
        <w:pStyle w:val="1"/>
        <w:numPr>
          <w:ilvl w:val="2"/>
          <w:numId w:val="39"/>
        </w:numPr>
        <w:spacing w:after="240" w:line="360" w:lineRule="auto"/>
        <w:ind w:left="1276" w:hanging="556"/>
        <w:rPr>
          <w:color w:val="auto"/>
        </w:rPr>
      </w:pPr>
      <w:r w:rsidRPr="007F5FB2">
        <w:rPr>
          <w:color w:val="auto"/>
        </w:rPr>
        <w:t>The expenses listed in each year are different;</w:t>
      </w:r>
    </w:p>
    <w:p w14:paraId="21F8BDFA" w14:textId="77777777" w:rsidR="007F5FB2" w:rsidRDefault="009A1802" w:rsidP="007F5FB2">
      <w:pPr>
        <w:pStyle w:val="1"/>
        <w:numPr>
          <w:ilvl w:val="2"/>
          <w:numId w:val="39"/>
        </w:numPr>
        <w:spacing w:after="240" w:line="360" w:lineRule="auto"/>
        <w:ind w:left="1276" w:hanging="556"/>
        <w:rPr>
          <w:color w:val="auto"/>
        </w:rPr>
      </w:pPr>
      <w:r w:rsidRPr="007F5FB2">
        <w:rPr>
          <w:color w:val="auto"/>
        </w:rPr>
        <w:t>The expenditure previously listed in one year is listed in a different year;</w:t>
      </w:r>
    </w:p>
    <w:p w14:paraId="19840568" w14:textId="77777777" w:rsidR="007F5FB2" w:rsidRDefault="009A1802" w:rsidP="007F5FB2">
      <w:pPr>
        <w:pStyle w:val="1"/>
        <w:numPr>
          <w:ilvl w:val="2"/>
          <w:numId w:val="39"/>
        </w:numPr>
        <w:spacing w:after="240" w:line="360" w:lineRule="auto"/>
        <w:ind w:left="1276" w:hanging="556"/>
        <w:rPr>
          <w:color w:val="auto"/>
        </w:rPr>
      </w:pPr>
      <w:r w:rsidRPr="007F5FB2">
        <w:rPr>
          <w:color w:val="auto"/>
        </w:rPr>
        <w:t>The expenditure amounts have changed;</w:t>
      </w:r>
    </w:p>
    <w:p w14:paraId="571E4F52" w14:textId="3FB5D00B" w:rsidR="009A1802" w:rsidRDefault="009A1802" w:rsidP="007F5FB2">
      <w:pPr>
        <w:pStyle w:val="1"/>
        <w:numPr>
          <w:ilvl w:val="2"/>
          <w:numId w:val="39"/>
        </w:numPr>
        <w:spacing w:after="240" w:line="360" w:lineRule="auto"/>
        <w:ind w:left="1276" w:hanging="556"/>
        <w:rPr>
          <w:color w:val="auto"/>
        </w:rPr>
      </w:pPr>
      <w:r w:rsidRPr="007F5FB2">
        <w:rPr>
          <w:color w:val="auto"/>
        </w:rPr>
        <w:t>There</w:t>
      </w:r>
      <w:r w:rsidR="007F5FB2">
        <w:rPr>
          <w:color w:val="auto"/>
        </w:rPr>
        <w:t xml:space="preserve"> are additional expenses listed.</w:t>
      </w:r>
    </w:p>
    <w:p w14:paraId="2C6B1348" w14:textId="77777777" w:rsidR="007F5FB2" w:rsidRPr="00E704E0" w:rsidRDefault="007F5FB2" w:rsidP="007F5FB2">
      <w:pPr>
        <w:pStyle w:val="2"/>
        <w:numPr>
          <w:ilvl w:val="1"/>
          <w:numId w:val="39"/>
        </w:numPr>
        <w:spacing w:after="240" w:line="360" w:lineRule="auto"/>
        <w:ind w:hanging="720"/>
        <w:rPr>
          <w:color w:val="auto"/>
        </w:rPr>
      </w:pPr>
      <w:r w:rsidRPr="00E704E0">
        <w:rPr>
          <w:color w:val="auto"/>
        </w:rPr>
        <w:lastRenderedPageBreak/>
        <w:t xml:space="preserve">The respondent denies that the previous annexures related to prospecting and that Annexure BMM extends the classification of the expenditure so as to cater for the s 11(a) </w:t>
      </w:r>
      <w:r>
        <w:rPr>
          <w:color w:val="auto"/>
        </w:rPr>
        <w:t xml:space="preserve">of the ITA </w:t>
      </w:r>
      <w:r w:rsidRPr="00E704E0">
        <w:rPr>
          <w:color w:val="auto"/>
        </w:rPr>
        <w:t>claim, and all other classifications and the total amounts of expenditure incurred. The appellant accepted in its objection and appeal that certain of the expenditure was capital in nature and that the annexures differ; Annexure BMM extends and changes the classification of the expenditure.</w:t>
      </w:r>
    </w:p>
    <w:p w14:paraId="01A0994D" w14:textId="77777777" w:rsidR="007F5FB2" w:rsidRDefault="009A1802" w:rsidP="007F5FB2">
      <w:pPr>
        <w:pStyle w:val="1"/>
        <w:numPr>
          <w:ilvl w:val="1"/>
          <w:numId w:val="39"/>
        </w:numPr>
        <w:spacing w:after="240" w:line="360" w:lineRule="auto"/>
        <w:ind w:hanging="720"/>
        <w:rPr>
          <w:color w:val="auto"/>
        </w:rPr>
      </w:pPr>
      <w:r w:rsidRPr="007F5FB2">
        <w:rPr>
          <w:color w:val="auto"/>
        </w:rPr>
        <w:t>The respondent would be prejudiced by the amendment. The respondent will now have to deal with expenditure, which it previously did not have to, and the appellant has failed to show this Court why it says the respondent will not be prejudiced in the circumstances.</w:t>
      </w:r>
    </w:p>
    <w:p w14:paraId="2B0445DC" w14:textId="77777777" w:rsidR="007F5FB2" w:rsidRDefault="009A1802" w:rsidP="007F5FB2">
      <w:pPr>
        <w:pStyle w:val="1"/>
        <w:numPr>
          <w:ilvl w:val="1"/>
          <w:numId w:val="39"/>
        </w:numPr>
        <w:spacing w:after="240" w:line="360" w:lineRule="auto"/>
        <w:ind w:hanging="720"/>
        <w:rPr>
          <w:color w:val="auto"/>
        </w:rPr>
      </w:pPr>
      <w:r w:rsidRPr="007F5FB2">
        <w:rPr>
          <w:color w:val="auto"/>
        </w:rPr>
        <w:t>This being a tax matter, the proposed amendment is not permissible under the Tax Court Rules.</w:t>
      </w:r>
    </w:p>
    <w:p w14:paraId="34D88109" w14:textId="30FBF38A" w:rsidR="00514132" w:rsidRDefault="009A1802" w:rsidP="00514132">
      <w:pPr>
        <w:pStyle w:val="1"/>
        <w:numPr>
          <w:ilvl w:val="1"/>
          <w:numId w:val="39"/>
        </w:numPr>
        <w:spacing w:after="240" w:line="360" w:lineRule="auto"/>
        <w:ind w:hanging="720"/>
        <w:rPr>
          <w:color w:val="auto"/>
        </w:rPr>
      </w:pPr>
      <w:r w:rsidRPr="007F5FB2">
        <w:rPr>
          <w:color w:val="auto"/>
        </w:rPr>
        <w:t>By changing the nature of the expenditure, the taxpayer would be changing the factual ground of the expenditure. If the amendment were to be allowed it would undermine the entire structure of the TAA and this i</w:t>
      </w:r>
      <w:r w:rsidR="007F5FB2">
        <w:rPr>
          <w:color w:val="auto"/>
        </w:rPr>
        <w:t>s not permissible under Rule 32.</w:t>
      </w:r>
    </w:p>
    <w:p w14:paraId="00EC585B" w14:textId="1B2D2647" w:rsidR="007024FB" w:rsidRPr="007F5FB2" w:rsidRDefault="007024FB" w:rsidP="007F5FB2">
      <w:pPr>
        <w:pStyle w:val="1"/>
        <w:numPr>
          <w:ilvl w:val="0"/>
          <w:numId w:val="39"/>
        </w:numPr>
        <w:spacing w:after="240" w:line="360" w:lineRule="auto"/>
        <w:rPr>
          <w:color w:val="auto"/>
        </w:rPr>
      </w:pPr>
      <w:r w:rsidRPr="007F5FB2">
        <w:rPr>
          <w:color w:val="auto"/>
        </w:rPr>
        <w:t>In our view,</w:t>
      </w:r>
      <w:r w:rsidR="00500655" w:rsidRPr="007F5FB2">
        <w:rPr>
          <w:color w:val="auto"/>
        </w:rPr>
        <w:t xml:space="preserve"> </w:t>
      </w:r>
      <w:r w:rsidRPr="007F5FB2">
        <w:rPr>
          <w:color w:val="auto"/>
        </w:rPr>
        <w:t xml:space="preserve">having found that the amendment pertaining to s 11(a) of the ITA, should be granted, axiomatically, the inclusion of Annexure BMM must be </w:t>
      </w:r>
      <w:r w:rsidR="00500655" w:rsidRPr="007F5FB2">
        <w:rPr>
          <w:color w:val="auto"/>
        </w:rPr>
        <w:t>permitted</w:t>
      </w:r>
      <w:r w:rsidRPr="007F5FB2">
        <w:rPr>
          <w:color w:val="auto"/>
        </w:rPr>
        <w:t xml:space="preserve">. </w:t>
      </w:r>
      <w:r w:rsidR="00B33D2A" w:rsidRPr="007F5FB2">
        <w:rPr>
          <w:color w:val="auto"/>
        </w:rPr>
        <w:t xml:space="preserve">The </w:t>
      </w:r>
      <w:r>
        <w:t xml:space="preserve">initial annexures </w:t>
      </w:r>
      <w:r w:rsidR="00B33D2A">
        <w:t xml:space="preserve">only dealt with </w:t>
      </w:r>
      <w:r>
        <w:t xml:space="preserve">expenditure related to prospecting. Annexure BMM deals with the classification of all expenditure incurred by the appellant in respect of its </w:t>
      </w:r>
      <w:proofErr w:type="spellStart"/>
      <w:r>
        <w:t>Gamsberg</w:t>
      </w:r>
      <w:proofErr w:type="spellEnd"/>
      <w:r>
        <w:t xml:space="preserve"> operations including </w:t>
      </w:r>
      <w:r w:rsidR="00B33D2A">
        <w:t xml:space="preserve">expenditure relating to the </w:t>
      </w:r>
      <w:r>
        <w:t xml:space="preserve">s 11(a) </w:t>
      </w:r>
      <w:r w:rsidR="00B33D2A">
        <w:t>issue. The document is thus an essential fact</w:t>
      </w:r>
      <w:r w:rsidR="00C516FA">
        <w:t>ual record of the claims relating</w:t>
      </w:r>
      <w:r w:rsidR="00B33D2A">
        <w:t xml:space="preserve"> to </w:t>
      </w:r>
      <w:r w:rsidR="005B3373">
        <w:t>this</w:t>
      </w:r>
      <w:r w:rsidR="000A7B1B">
        <w:t xml:space="preserve"> ground and the amendment seeking to include same should be granted.</w:t>
      </w:r>
    </w:p>
    <w:p w14:paraId="06064925" w14:textId="77777777" w:rsidR="00282DFB" w:rsidRPr="009E576E" w:rsidRDefault="00B33D2A" w:rsidP="00282DFB">
      <w:pPr>
        <w:pStyle w:val="ListParagraph"/>
        <w:spacing w:before="360" w:after="360" w:line="360" w:lineRule="auto"/>
        <w:ind w:left="0"/>
        <w:contextualSpacing w:val="0"/>
        <w:jc w:val="both"/>
        <w:rPr>
          <w:rFonts w:cs="Arial"/>
          <w:b/>
          <w:i/>
        </w:rPr>
      </w:pPr>
      <w:r>
        <w:rPr>
          <w:rFonts w:cs="Arial"/>
          <w:b/>
          <w:i/>
        </w:rPr>
        <w:t>Prejudice</w:t>
      </w:r>
    </w:p>
    <w:p w14:paraId="54028565" w14:textId="75AE71B3" w:rsidR="007F5FB2" w:rsidRPr="007F5FB2" w:rsidRDefault="009A1802" w:rsidP="007F5FB2">
      <w:pPr>
        <w:pStyle w:val="ListParagraph"/>
        <w:numPr>
          <w:ilvl w:val="0"/>
          <w:numId w:val="39"/>
        </w:numPr>
        <w:spacing w:before="240" w:after="240" w:line="360" w:lineRule="auto"/>
        <w:contextualSpacing w:val="0"/>
        <w:jc w:val="both"/>
        <w:rPr>
          <w:rFonts w:cs="Arial"/>
          <w:u w:val="single"/>
        </w:rPr>
      </w:pPr>
      <w:r w:rsidRPr="00956ECB">
        <w:rPr>
          <w:rFonts w:cs="Arial"/>
        </w:rPr>
        <w:t xml:space="preserve">Prejudice is generally the determinative factor in allowing or refusing amendments. If incurable, then the prejudice will generally preclude the granting of the amendment. The respondent’s arguments underpinning its contention that the order of the Tax Court is not appealable, exposes the absence of prejudice were the </w:t>
      </w:r>
      <w:r w:rsidRPr="00956ECB">
        <w:rPr>
          <w:rFonts w:cs="Arial"/>
        </w:rPr>
        <w:lastRenderedPageBreak/>
        <w:t>amendment to be granted: the respondent argued that the matter was not appealable because the order of the Tax Court was not final</w:t>
      </w:r>
      <w:r w:rsidRPr="00E704E0">
        <w:rPr>
          <w:rFonts w:cs="Arial"/>
        </w:rPr>
        <w:t xml:space="preserve">. As set out above, the contention that </w:t>
      </w:r>
      <w:r w:rsidR="00F54E17">
        <w:rPr>
          <w:rFonts w:cs="Arial"/>
        </w:rPr>
        <w:t>the</w:t>
      </w:r>
      <w:r w:rsidRPr="00E704E0">
        <w:rPr>
          <w:rFonts w:cs="Arial"/>
        </w:rPr>
        <w:t xml:space="preserve"> Tax Court</w:t>
      </w:r>
      <w:r w:rsidR="00F54E17">
        <w:rPr>
          <w:rFonts w:cs="Arial"/>
        </w:rPr>
        <w:t xml:space="preserve"> could</w:t>
      </w:r>
      <w:r w:rsidRPr="00E704E0">
        <w:rPr>
          <w:rFonts w:cs="Arial"/>
        </w:rPr>
        <w:t xml:space="preserve"> find</w:t>
      </w:r>
      <w:r w:rsidR="00282DFB">
        <w:rPr>
          <w:rFonts w:cs="Arial"/>
        </w:rPr>
        <w:t xml:space="preserve"> that</w:t>
      </w:r>
      <w:r w:rsidRPr="00E704E0">
        <w:rPr>
          <w:rFonts w:cs="Arial"/>
        </w:rPr>
        <w:t xml:space="preserve"> all or part of the expenditure claimed is not expenditure relating to prospecting or even capital expenditure</w:t>
      </w:r>
      <w:r w:rsidR="00DC0D0E">
        <w:rPr>
          <w:rFonts w:cs="Arial"/>
        </w:rPr>
        <w:t>,</w:t>
      </w:r>
      <w:r w:rsidR="00F54E17">
        <w:rPr>
          <w:rFonts w:cs="Arial"/>
        </w:rPr>
        <w:t xml:space="preserve"> and that</w:t>
      </w:r>
      <w:r w:rsidRPr="00E704E0">
        <w:rPr>
          <w:rFonts w:cs="Arial"/>
        </w:rPr>
        <w:t xml:space="preserve"> the Tax Court could refer the assessment back to the respondent for further examination a</w:t>
      </w:r>
      <w:r w:rsidRPr="00306B8A">
        <w:rPr>
          <w:rFonts w:cs="Arial"/>
        </w:rPr>
        <w:t>nd assessment in terms of s</w:t>
      </w:r>
      <w:r w:rsidRPr="001552C3">
        <w:t> </w:t>
      </w:r>
      <w:r w:rsidRPr="003C090D">
        <w:rPr>
          <w:rFonts w:cs="Arial"/>
        </w:rPr>
        <w:t>129 of the TAA</w:t>
      </w:r>
      <w:r w:rsidR="00F54E17">
        <w:rPr>
          <w:rFonts w:cs="Arial"/>
        </w:rPr>
        <w:t>, undermines the prejudice argument.</w:t>
      </w:r>
      <w:r w:rsidRPr="003C090D">
        <w:rPr>
          <w:rFonts w:cs="Arial"/>
        </w:rPr>
        <w:t xml:space="preserve"> As set out above, </w:t>
      </w:r>
      <w:r w:rsidR="00F54E17">
        <w:rPr>
          <w:rFonts w:cs="Arial"/>
        </w:rPr>
        <w:t>if the s 11(a) issue is going to be traversed anyway</w:t>
      </w:r>
      <w:r w:rsidR="00DC0D0E">
        <w:rPr>
          <w:rFonts w:cs="Arial"/>
        </w:rPr>
        <w:t>,</w:t>
      </w:r>
      <w:r w:rsidR="00F54E17">
        <w:rPr>
          <w:rFonts w:cs="Arial"/>
        </w:rPr>
        <w:t xml:space="preserve"> </w:t>
      </w:r>
      <w:r w:rsidR="00024830">
        <w:rPr>
          <w:rFonts w:cs="Arial"/>
        </w:rPr>
        <w:t>it is difficult to see why the amendment should not be granted.</w:t>
      </w:r>
    </w:p>
    <w:p w14:paraId="125717B5" w14:textId="2A1EDA2B" w:rsidR="007F5FB2" w:rsidRPr="007F5FB2" w:rsidRDefault="006C5FED" w:rsidP="007F5FB2">
      <w:pPr>
        <w:pStyle w:val="ListParagraph"/>
        <w:numPr>
          <w:ilvl w:val="0"/>
          <w:numId w:val="39"/>
        </w:numPr>
        <w:spacing w:before="240" w:after="240" w:line="360" w:lineRule="auto"/>
        <w:contextualSpacing w:val="0"/>
        <w:jc w:val="both"/>
        <w:rPr>
          <w:rFonts w:cs="Arial"/>
          <w:u w:val="single"/>
        </w:rPr>
      </w:pPr>
      <w:r w:rsidRPr="007F5FB2">
        <w:rPr>
          <w:rFonts w:cs="Arial"/>
        </w:rPr>
        <w:t xml:space="preserve">It thus follows that if the amendment is granted, it is not, as argued by the respondent, that the respondent has to meet a case it did not have to meet prior to the amendment. On its own argument, it </w:t>
      </w:r>
      <w:r w:rsidR="000026DC">
        <w:rPr>
          <w:rFonts w:cs="Arial"/>
        </w:rPr>
        <w:t>acknowledges</w:t>
      </w:r>
      <w:r w:rsidRPr="007F5FB2">
        <w:rPr>
          <w:rFonts w:cs="Arial"/>
        </w:rPr>
        <w:t xml:space="preserve"> </w:t>
      </w:r>
      <w:r w:rsidR="000026DC">
        <w:rPr>
          <w:rFonts w:cs="Arial"/>
        </w:rPr>
        <w:t>that the Tax Court has</w:t>
      </w:r>
      <w:r w:rsidRPr="007F5FB2">
        <w:rPr>
          <w:rFonts w:cs="Arial"/>
        </w:rPr>
        <w:t xml:space="preserve"> the powers to make orders in terms of s 129(2)(a), (b) and (c) and that it would therefore have to deal with the nature of the expenditure with all its nuances.</w:t>
      </w:r>
    </w:p>
    <w:p w14:paraId="7126116A" w14:textId="77777777" w:rsidR="007F5FB2" w:rsidRPr="007F5FB2" w:rsidRDefault="006C5FED" w:rsidP="007F5FB2">
      <w:pPr>
        <w:pStyle w:val="ListParagraph"/>
        <w:numPr>
          <w:ilvl w:val="0"/>
          <w:numId w:val="39"/>
        </w:numPr>
        <w:spacing w:before="240" w:after="240" w:line="360" w:lineRule="auto"/>
        <w:contextualSpacing w:val="0"/>
        <w:jc w:val="both"/>
        <w:rPr>
          <w:rFonts w:cs="Arial"/>
          <w:u w:val="single"/>
        </w:rPr>
      </w:pPr>
      <w:r w:rsidRPr="007F5FB2">
        <w:rPr>
          <w:rFonts w:cs="Arial"/>
        </w:rPr>
        <w:t>Put differently, the Tax Court will not be bound by the incorrect legal conclusion apparently reached by KPMG (if that is indeed what it ultimately finds it to be). This is particularly so, as the Tax Court has expressly been directed to s 11(a) of the ITA in paragraph 26 of the Rule 32 statement of grounds of appeal.</w:t>
      </w:r>
    </w:p>
    <w:p w14:paraId="2CB23841" w14:textId="77777777" w:rsidR="007F5FB2" w:rsidRPr="007F5FB2" w:rsidRDefault="00F54E17" w:rsidP="007F5FB2">
      <w:pPr>
        <w:pStyle w:val="ListParagraph"/>
        <w:numPr>
          <w:ilvl w:val="0"/>
          <w:numId w:val="39"/>
        </w:numPr>
        <w:spacing w:before="240" w:after="240" w:line="360" w:lineRule="auto"/>
        <w:contextualSpacing w:val="0"/>
        <w:jc w:val="both"/>
        <w:rPr>
          <w:rFonts w:cs="Arial"/>
          <w:u w:val="single"/>
        </w:rPr>
      </w:pPr>
      <w:r w:rsidRPr="007F5FB2">
        <w:rPr>
          <w:rFonts w:cs="Arial"/>
        </w:rPr>
        <w:t>The section 11(a) issue was properly raised by the appellant as its second ground of objection to the respondent’s findings contained in its Audit Finalisation Letter during the objection stage. The respondent had proper and sufficient opportunity to consider and determine the issue at that time already. The respondent cannot contend to be either surprised or incurably prejudiced by the issue raised.</w:t>
      </w:r>
    </w:p>
    <w:p w14:paraId="381ED249" w14:textId="77777777" w:rsidR="007F5FB2" w:rsidRPr="007F5FB2" w:rsidRDefault="006C5FED" w:rsidP="007F5FB2">
      <w:pPr>
        <w:pStyle w:val="ListParagraph"/>
        <w:numPr>
          <w:ilvl w:val="0"/>
          <w:numId w:val="39"/>
        </w:numPr>
        <w:spacing w:before="240" w:after="240" w:line="360" w:lineRule="auto"/>
        <w:contextualSpacing w:val="0"/>
        <w:jc w:val="both"/>
        <w:rPr>
          <w:rFonts w:cs="Arial"/>
          <w:u w:val="single"/>
        </w:rPr>
      </w:pPr>
      <w:r w:rsidRPr="007F5FB2">
        <w:rPr>
          <w:rFonts w:cs="Arial"/>
        </w:rPr>
        <w:t xml:space="preserve">Furthermore, the appellant quite squarely claimed in its founding affidavit in support of the amendment, that it would be in the interests of justice and also just and equitable to allow the amendments </w:t>
      </w:r>
      <w:r w:rsidR="00282DFB" w:rsidRPr="007F5FB2">
        <w:rPr>
          <w:rFonts w:cs="Arial"/>
        </w:rPr>
        <w:t xml:space="preserve">with </w:t>
      </w:r>
      <w:r w:rsidRPr="007F5FB2">
        <w:rPr>
          <w:rFonts w:cs="Arial"/>
        </w:rPr>
        <w:t xml:space="preserve">‘regard </w:t>
      </w:r>
      <w:r w:rsidRPr="007F5FB2">
        <w:rPr>
          <w:rFonts w:cs="Arial"/>
          <w:i/>
        </w:rPr>
        <w:t>inter alia</w:t>
      </w:r>
      <w:r w:rsidRPr="007F5FB2">
        <w:rPr>
          <w:rFonts w:cs="Arial"/>
        </w:rPr>
        <w:t xml:space="preserve"> had to </w:t>
      </w:r>
      <w:r w:rsidR="00282DFB" w:rsidRPr="007F5FB2">
        <w:rPr>
          <w:rFonts w:cs="Arial"/>
        </w:rPr>
        <w:t xml:space="preserve">the </w:t>
      </w:r>
      <w:r w:rsidRPr="007F5FB2">
        <w:rPr>
          <w:rFonts w:cs="Arial"/>
        </w:rPr>
        <w:t xml:space="preserve">Appellant’s constitutional rights in respect of access to court, and to have its dispute(s) resolved by the application of law in a fair, </w:t>
      </w:r>
      <w:r w:rsidRPr="007F5FB2">
        <w:rPr>
          <w:rFonts w:cs="Arial"/>
          <w:i/>
          <w:u w:val="single"/>
        </w:rPr>
        <w:t>de novo</w:t>
      </w:r>
      <w:r w:rsidRPr="007F5FB2">
        <w:rPr>
          <w:rFonts w:cs="Arial"/>
        </w:rPr>
        <w:t xml:space="preserve"> hearing before a court of competent jurisdiction.’</w:t>
      </w:r>
      <w:r w:rsidR="00282DFB" w:rsidRPr="007F5FB2">
        <w:rPr>
          <w:rFonts w:cs="Arial"/>
        </w:rPr>
        <w:t xml:space="preserve"> [Emphasis added.]</w:t>
      </w:r>
    </w:p>
    <w:p w14:paraId="6877F580" w14:textId="77777777" w:rsidR="007F5FB2" w:rsidRPr="007F5FB2" w:rsidRDefault="00A2185E" w:rsidP="007F5FB2">
      <w:pPr>
        <w:pStyle w:val="ListParagraph"/>
        <w:numPr>
          <w:ilvl w:val="0"/>
          <w:numId w:val="39"/>
        </w:numPr>
        <w:spacing w:before="240" w:after="240" w:line="360" w:lineRule="auto"/>
        <w:contextualSpacing w:val="0"/>
        <w:jc w:val="both"/>
        <w:rPr>
          <w:rFonts w:cs="Arial"/>
          <w:u w:val="single"/>
        </w:rPr>
      </w:pPr>
      <w:r w:rsidRPr="007F5FB2">
        <w:t xml:space="preserve">The appellant submitted that the respondent would not be required to meet a new case. But even if it were, that would not be a relevant consideration in deciding whether the amendments should be allowed. The overall burden of proof rests upon </w:t>
      </w:r>
      <w:r w:rsidRPr="007F5FB2">
        <w:lastRenderedPageBreak/>
        <w:t>the appellant to prove its entitlement to deduct the qualifying expenditure in terms of the appropriate and relevant sections of the ITA. There would be no onus on the respondent as a result of the amendment.</w:t>
      </w:r>
    </w:p>
    <w:p w14:paraId="02B24906" w14:textId="0A20CF65" w:rsidR="007F5FB2" w:rsidRPr="007F5FB2" w:rsidRDefault="00A2185E" w:rsidP="007F5FB2">
      <w:pPr>
        <w:pStyle w:val="ListParagraph"/>
        <w:numPr>
          <w:ilvl w:val="0"/>
          <w:numId w:val="39"/>
        </w:numPr>
        <w:spacing w:before="240" w:after="240" w:line="360" w:lineRule="auto"/>
        <w:contextualSpacing w:val="0"/>
        <w:jc w:val="both"/>
        <w:rPr>
          <w:rFonts w:cs="Arial"/>
          <w:u w:val="single"/>
        </w:rPr>
      </w:pPr>
      <w:r w:rsidRPr="007F5FB2">
        <w:t xml:space="preserve">Furthermore, the respondent never raised prejudice in its initial objection to the notice of appeal; this was only raised in </w:t>
      </w:r>
      <w:r w:rsidRPr="007F5FB2">
        <w:rPr>
          <w:rFonts w:cs="Arial"/>
        </w:rPr>
        <w:t xml:space="preserve">the heads of argument which shed some light on this aspect. It records: ‘…if the amendment is allowed, SARS is required to deal with a different case than prior to the amendment and SARS will not be put in the same position it was before the amendments were made….’. As </w:t>
      </w:r>
      <w:r w:rsidRPr="00DC0D0E">
        <w:rPr>
          <w:rFonts w:cs="Arial"/>
        </w:rPr>
        <w:t xml:space="preserve">emphasised previously, </w:t>
      </w:r>
      <w:r w:rsidR="00514132">
        <w:rPr>
          <w:rFonts w:cs="Arial"/>
        </w:rPr>
        <w:t xml:space="preserve">the hearing </w:t>
      </w:r>
      <w:r w:rsidRPr="00DC0D0E">
        <w:rPr>
          <w:rFonts w:cs="Arial"/>
        </w:rPr>
        <w:t xml:space="preserve">before the </w:t>
      </w:r>
      <w:r w:rsidRPr="00812D42">
        <w:rPr>
          <w:rFonts w:cs="Arial"/>
        </w:rPr>
        <w:t>Tax Court</w:t>
      </w:r>
      <w:r w:rsidRPr="00DC0D0E">
        <w:rPr>
          <w:rFonts w:cs="Arial"/>
        </w:rPr>
        <w:t xml:space="preserve"> is a hearing </w:t>
      </w:r>
      <w:r w:rsidRPr="00DC0D0E">
        <w:rPr>
          <w:rFonts w:cs="Arial"/>
          <w:i/>
        </w:rPr>
        <w:t>de novo</w:t>
      </w:r>
      <w:r w:rsidRPr="00DC0D0E">
        <w:rPr>
          <w:rFonts w:cs="Arial"/>
        </w:rPr>
        <w:t>, so</w:t>
      </w:r>
      <w:r w:rsidRPr="007F5FB2">
        <w:rPr>
          <w:rFonts w:cs="Arial"/>
        </w:rPr>
        <w:t xml:space="preserve"> there can be no talk of a different case for which the respondent could not adjust its pleadings, prepare, present and argue its case as the case is only just starting.</w:t>
      </w:r>
    </w:p>
    <w:p w14:paraId="7EAB7B04" w14:textId="307D6D26" w:rsidR="007F5FB2" w:rsidRPr="007F5FB2" w:rsidRDefault="00A2185E" w:rsidP="007F5FB2">
      <w:pPr>
        <w:pStyle w:val="ListParagraph"/>
        <w:numPr>
          <w:ilvl w:val="0"/>
          <w:numId w:val="39"/>
        </w:numPr>
        <w:spacing w:before="240" w:after="240" w:line="360" w:lineRule="auto"/>
        <w:contextualSpacing w:val="0"/>
        <w:jc w:val="both"/>
        <w:rPr>
          <w:rFonts w:cs="Arial"/>
          <w:u w:val="single"/>
        </w:rPr>
      </w:pPr>
      <w:r w:rsidRPr="007F5FB2">
        <w:rPr>
          <w:rFonts w:cs="Arial"/>
        </w:rPr>
        <w:t xml:space="preserve">Should the amendment be allowed, the respondent would be entitled to consequentially amend its Rule 31 statement or file a Rule 33 reply. There is thus no prejudice of the sort relevant during an amendment application. There will be a </w:t>
      </w:r>
      <w:r w:rsidRPr="007F5FB2">
        <w:rPr>
          <w:rFonts w:cs="Arial"/>
          <w:i/>
        </w:rPr>
        <w:t>de novo</w:t>
      </w:r>
      <w:r w:rsidRPr="007F5FB2">
        <w:rPr>
          <w:rFonts w:cs="Arial"/>
        </w:rPr>
        <w:t xml:space="preserve"> hearing with all the issues clearly distilled</w:t>
      </w:r>
      <w:r w:rsidR="00E22DE3" w:rsidRPr="007F5FB2">
        <w:rPr>
          <w:rFonts w:cs="Arial"/>
        </w:rPr>
        <w:t>,</w:t>
      </w:r>
      <w:r w:rsidRPr="007F5FB2">
        <w:rPr>
          <w:rFonts w:cs="Arial"/>
        </w:rPr>
        <w:t xml:space="preserve"> thereby ensuring that justice is done between the parties with a full ventilation of the issues, which is what the interests of justice require.</w:t>
      </w:r>
    </w:p>
    <w:p w14:paraId="4817366C" w14:textId="77777777" w:rsidR="007F5FB2" w:rsidRPr="007F5FB2" w:rsidRDefault="00A2185E" w:rsidP="007F5FB2">
      <w:pPr>
        <w:pStyle w:val="ListParagraph"/>
        <w:numPr>
          <w:ilvl w:val="0"/>
          <w:numId w:val="39"/>
        </w:numPr>
        <w:spacing w:before="240" w:after="240" w:line="360" w:lineRule="auto"/>
        <w:contextualSpacing w:val="0"/>
        <w:jc w:val="both"/>
        <w:rPr>
          <w:rFonts w:cs="Arial"/>
          <w:u w:val="single"/>
        </w:rPr>
      </w:pPr>
      <w:r w:rsidRPr="007F5FB2">
        <w:rPr>
          <w:rFonts w:cs="Arial"/>
        </w:rPr>
        <w:t>The</w:t>
      </w:r>
      <w:r w:rsidR="006C5FED" w:rsidRPr="007F5FB2">
        <w:rPr>
          <w:rFonts w:cs="Arial"/>
        </w:rPr>
        <w:t xml:space="preserve"> Tax Court found that no prejudice wo</w:t>
      </w:r>
      <w:r w:rsidRPr="007F5FB2">
        <w:rPr>
          <w:rFonts w:cs="Arial"/>
        </w:rPr>
        <w:t>uld result if the amendment was</w:t>
      </w:r>
      <w:r w:rsidR="006C5FED" w:rsidRPr="007F5FB2">
        <w:rPr>
          <w:rFonts w:cs="Arial"/>
        </w:rPr>
        <w:t xml:space="preserve"> granted, which finding is borne out by the facts, as the s 11(a) issue </w:t>
      </w:r>
      <w:r w:rsidRPr="007F5FB2">
        <w:rPr>
          <w:rFonts w:cs="Arial"/>
        </w:rPr>
        <w:t>had already been dealt with by the respondent.</w:t>
      </w:r>
      <w:r w:rsidR="006C5FED" w:rsidRPr="007F5FB2">
        <w:rPr>
          <w:rFonts w:cs="Arial"/>
        </w:rPr>
        <w:t xml:space="preserve"> </w:t>
      </w:r>
    </w:p>
    <w:p w14:paraId="4B7BC57C" w14:textId="76AE1362" w:rsidR="009A1802" w:rsidRPr="007F5FB2" w:rsidRDefault="006C5FED" w:rsidP="007F5FB2">
      <w:pPr>
        <w:pStyle w:val="ListParagraph"/>
        <w:numPr>
          <w:ilvl w:val="0"/>
          <w:numId w:val="39"/>
        </w:numPr>
        <w:spacing w:before="240" w:after="240" w:line="360" w:lineRule="auto"/>
        <w:contextualSpacing w:val="0"/>
        <w:jc w:val="both"/>
        <w:rPr>
          <w:rFonts w:cs="Arial"/>
          <w:u w:val="single"/>
        </w:rPr>
      </w:pPr>
      <w:r w:rsidRPr="007F5FB2">
        <w:rPr>
          <w:rFonts w:cs="Arial"/>
        </w:rPr>
        <w:t>The taxpayer in the Tax Court, save for certain limited exceptions, is always saddled with a burden of proof to prove deductibility in the Tax Court litigation. It therefore does not lie in the mouth of the respondent</w:t>
      </w:r>
      <w:r w:rsidR="00184138" w:rsidRPr="007F5FB2">
        <w:rPr>
          <w:rFonts w:cs="Arial"/>
        </w:rPr>
        <w:t xml:space="preserve"> to argue</w:t>
      </w:r>
      <w:r w:rsidRPr="007F5FB2">
        <w:rPr>
          <w:rFonts w:cs="Arial"/>
        </w:rPr>
        <w:t xml:space="preserve"> that it is incurably prejudiced by this withdrawal of the admission (assuming it to be that) as the appellant will have to prove everything it relied upon in any event, and </w:t>
      </w:r>
      <w:r w:rsidR="00DC0D0E">
        <w:rPr>
          <w:rFonts w:cs="Arial"/>
        </w:rPr>
        <w:t xml:space="preserve">the </w:t>
      </w:r>
      <w:r w:rsidRPr="007F5FB2">
        <w:rPr>
          <w:rFonts w:cs="Arial"/>
        </w:rPr>
        <w:t>respondent will be able to present its case on the point – provided it is properly plead</w:t>
      </w:r>
      <w:r w:rsidR="00A2185E" w:rsidRPr="007F5FB2">
        <w:rPr>
          <w:rFonts w:cs="Arial"/>
        </w:rPr>
        <w:t>ed in a consequential amendment</w:t>
      </w:r>
      <w:r w:rsidR="00E22DE3" w:rsidRPr="007F5FB2">
        <w:rPr>
          <w:rFonts w:cs="Arial"/>
        </w:rPr>
        <w:t>.</w:t>
      </w:r>
    </w:p>
    <w:p w14:paraId="602F0BCD" w14:textId="77777777" w:rsidR="000732A6" w:rsidRDefault="000732A6" w:rsidP="003527D8">
      <w:pPr>
        <w:pStyle w:val="ListParagraph"/>
        <w:spacing w:before="360" w:after="360" w:line="360" w:lineRule="auto"/>
        <w:ind w:left="0"/>
        <w:contextualSpacing w:val="0"/>
        <w:jc w:val="both"/>
        <w:rPr>
          <w:b/>
        </w:rPr>
      </w:pPr>
    </w:p>
    <w:p w14:paraId="7AAC0D59" w14:textId="77777777" w:rsidR="000732A6" w:rsidRDefault="000732A6" w:rsidP="003527D8">
      <w:pPr>
        <w:pStyle w:val="ListParagraph"/>
        <w:spacing w:before="360" w:after="360" w:line="360" w:lineRule="auto"/>
        <w:ind w:left="0"/>
        <w:contextualSpacing w:val="0"/>
        <w:jc w:val="both"/>
        <w:rPr>
          <w:b/>
        </w:rPr>
      </w:pPr>
    </w:p>
    <w:p w14:paraId="2EA76787" w14:textId="713E360A" w:rsidR="003527D8" w:rsidRPr="0081782D" w:rsidRDefault="003527D8" w:rsidP="003527D8">
      <w:pPr>
        <w:pStyle w:val="ListParagraph"/>
        <w:spacing w:before="360" w:after="360" w:line="360" w:lineRule="auto"/>
        <w:ind w:left="0"/>
        <w:contextualSpacing w:val="0"/>
        <w:jc w:val="both"/>
        <w:rPr>
          <w:sz w:val="22"/>
          <w:szCs w:val="24"/>
        </w:rPr>
      </w:pPr>
      <w:r w:rsidRPr="00F06EBA">
        <w:rPr>
          <w:b/>
        </w:rPr>
        <w:lastRenderedPageBreak/>
        <w:t>Authority to interfere with finding of Tax Court</w:t>
      </w:r>
      <w:r>
        <w:rPr>
          <w:b/>
        </w:rPr>
        <w:t xml:space="preserve"> and the issue of discretion</w:t>
      </w:r>
    </w:p>
    <w:p w14:paraId="673B710B" w14:textId="77777777" w:rsidR="003527D8" w:rsidRDefault="003527D8" w:rsidP="003527D8">
      <w:pPr>
        <w:pStyle w:val="1"/>
        <w:numPr>
          <w:ilvl w:val="0"/>
          <w:numId w:val="39"/>
        </w:numPr>
        <w:tabs>
          <w:tab w:val="left" w:pos="720"/>
        </w:tabs>
        <w:spacing w:after="240" w:line="360" w:lineRule="auto"/>
        <w:rPr>
          <w:color w:val="auto"/>
        </w:rPr>
      </w:pPr>
      <w:r w:rsidRPr="001552C3">
        <w:rPr>
          <w:color w:val="auto"/>
        </w:rPr>
        <w:t xml:space="preserve">In </w:t>
      </w:r>
      <w:proofErr w:type="spellStart"/>
      <w:r w:rsidRPr="001552C3">
        <w:rPr>
          <w:i/>
          <w:color w:val="auto"/>
        </w:rPr>
        <w:t>Oakdene</w:t>
      </w:r>
      <w:proofErr w:type="spellEnd"/>
      <w:r w:rsidRPr="001552C3">
        <w:rPr>
          <w:i/>
          <w:color w:val="auto"/>
        </w:rPr>
        <w:t xml:space="preserve"> Square Properties v Farm </w:t>
      </w:r>
      <w:proofErr w:type="spellStart"/>
      <w:r w:rsidRPr="001552C3">
        <w:rPr>
          <w:i/>
          <w:color w:val="auto"/>
        </w:rPr>
        <w:t>Bothasfontein</w:t>
      </w:r>
      <w:proofErr w:type="spellEnd"/>
      <w:r w:rsidRPr="001552C3">
        <w:rPr>
          <w:i/>
          <w:color w:val="auto"/>
        </w:rPr>
        <w:t xml:space="preserve"> (Kyalami)</w:t>
      </w:r>
      <w:r w:rsidRPr="001552C3">
        <w:rPr>
          <w:color w:val="auto"/>
        </w:rPr>
        <w:t>,</w:t>
      </w:r>
      <w:r w:rsidRPr="001552C3">
        <w:rPr>
          <w:rStyle w:val="FootnoteReference"/>
          <w:color w:val="auto"/>
        </w:rPr>
        <w:footnoteReference w:id="37"/>
      </w:r>
      <w:r w:rsidRPr="001552C3">
        <w:rPr>
          <w:color w:val="auto"/>
        </w:rPr>
        <w:t xml:space="preserve"> Brand JA discussed the authority of a court of appeal to interfere with the exercise of a discretion by a lower court. He concluded that if the discretion is no more than a value judgment</w:t>
      </w:r>
      <w:r>
        <w:rPr>
          <w:color w:val="auto"/>
        </w:rPr>
        <w:t xml:space="preserve"> (also referred to as a ‘wide discretion’ or a ‘discretion in the loose sense’)</w:t>
      </w:r>
      <w:r w:rsidRPr="001552C3">
        <w:rPr>
          <w:color w:val="auto"/>
        </w:rPr>
        <w:t xml:space="preserve">, the court of appeal would be bound to interfere if it differed from the finding of the court </w:t>
      </w:r>
      <w:r w:rsidRPr="001552C3">
        <w:rPr>
          <w:i/>
          <w:color w:val="auto"/>
        </w:rPr>
        <w:t>a quo.</w:t>
      </w:r>
    </w:p>
    <w:p w14:paraId="6E6CAC61" w14:textId="2D749D9A" w:rsidR="003527D8" w:rsidRPr="00115B1A" w:rsidRDefault="003527D8" w:rsidP="003527D8">
      <w:pPr>
        <w:pStyle w:val="1"/>
        <w:numPr>
          <w:ilvl w:val="0"/>
          <w:numId w:val="39"/>
        </w:numPr>
        <w:tabs>
          <w:tab w:val="left" w:pos="720"/>
        </w:tabs>
        <w:spacing w:after="240" w:line="360" w:lineRule="auto"/>
        <w:rPr>
          <w:color w:val="auto"/>
        </w:rPr>
      </w:pPr>
      <w:r w:rsidRPr="00EF3081">
        <w:rPr>
          <w:rFonts w:cs="Arial"/>
          <w:color w:val="auto"/>
        </w:rPr>
        <w:t>The refusal of an amendment is not a value judgment and therefore this Court may only interfere if the Tax Court was influenced by wrong principles of law, or a misdirection of fact, or if it failed to exercise a discretion at all. The reason for the limitation being that, in an appeal against the exercise of such discretion, the question is not whether the lower court had arrived at the right conclusion, but whether it had exercised its discretion in a proper manner.</w:t>
      </w:r>
      <w:r w:rsidRPr="00E704E0">
        <w:rPr>
          <w:rStyle w:val="FootnoteReference"/>
          <w:rFonts w:cs="Arial"/>
          <w:color w:val="auto"/>
        </w:rPr>
        <w:footnoteReference w:id="38"/>
      </w:r>
    </w:p>
    <w:p w14:paraId="6DCEF283" w14:textId="49F2C208" w:rsidR="00115B1A" w:rsidRDefault="00115B1A" w:rsidP="003527D8">
      <w:pPr>
        <w:pStyle w:val="1"/>
        <w:numPr>
          <w:ilvl w:val="0"/>
          <w:numId w:val="39"/>
        </w:numPr>
        <w:tabs>
          <w:tab w:val="left" w:pos="720"/>
        </w:tabs>
        <w:spacing w:after="240" w:line="360" w:lineRule="auto"/>
        <w:rPr>
          <w:color w:val="auto"/>
        </w:rPr>
      </w:pPr>
      <w:r>
        <w:rPr>
          <w:rFonts w:cs="Arial"/>
          <w:color w:val="auto"/>
        </w:rPr>
        <w:t>We have already dealt with the wrong principles of law and the misdirection of facts</w:t>
      </w:r>
      <w:r w:rsidR="009D3E7B">
        <w:rPr>
          <w:rFonts w:cs="Arial"/>
          <w:color w:val="auto"/>
        </w:rPr>
        <w:t xml:space="preserve"> </w:t>
      </w:r>
      <w:r w:rsidR="00564228">
        <w:rPr>
          <w:rFonts w:cs="Arial"/>
          <w:color w:val="auto"/>
        </w:rPr>
        <w:t>which would justify our interference</w:t>
      </w:r>
      <w:r w:rsidR="009D3E7B">
        <w:rPr>
          <w:rFonts w:cs="Arial"/>
          <w:color w:val="auto"/>
        </w:rPr>
        <w:t>,</w:t>
      </w:r>
      <w:r w:rsidR="009D3E7B">
        <w:rPr>
          <w:rStyle w:val="FootnoteReference"/>
          <w:rFonts w:cs="Arial"/>
          <w:color w:val="auto"/>
        </w:rPr>
        <w:footnoteReference w:id="39"/>
      </w:r>
      <w:r w:rsidR="00564228">
        <w:rPr>
          <w:rFonts w:cs="Arial"/>
          <w:color w:val="auto"/>
        </w:rPr>
        <w:t xml:space="preserve"> but we may also do so for another reason.</w:t>
      </w:r>
    </w:p>
    <w:p w14:paraId="5A1DE8F7" w14:textId="77777777" w:rsidR="003527D8" w:rsidRDefault="003527D8" w:rsidP="003527D8">
      <w:pPr>
        <w:pStyle w:val="1"/>
        <w:numPr>
          <w:ilvl w:val="0"/>
          <w:numId w:val="39"/>
        </w:numPr>
        <w:tabs>
          <w:tab w:val="left" w:pos="720"/>
        </w:tabs>
        <w:spacing w:after="240" w:line="360" w:lineRule="auto"/>
        <w:rPr>
          <w:color w:val="auto"/>
        </w:rPr>
      </w:pPr>
      <w:r w:rsidRPr="00EF3081">
        <w:rPr>
          <w:rFonts w:cs="Arial"/>
          <w:color w:val="auto"/>
        </w:rPr>
        <w:t xml:space="preserve">The Tax Court did not exercise a discretion at all. </w:t>
      </w:r>
      <w:r w:rsidRPr="00EF3081">
        <w:rPr>
          <w:rFonts w:cs="Arial"/>
        </w:rPr>
        <w:t>It recognised, in summarising the relevant legal principles, that in exercising the discretion it has, it should lean in favour of granting the amendment in order to ensure that justice is done between the parties in deciding the real issues between the parties, but then failed to exercise this discretion.</w:t>
      </w:r>
      <w:r>
        <w:rPr>
          <w:rStyle w:val="FootnoteReference"/>
          <w:rFonts w:cs="Arial"/>
        </w:rPr>
        <w:footnoteReference w:id="40"/>
      </w:r>
      <w:r w:rsidRPr="00EF3081">
        <w:rPr>
          <w:rFonts w:cs="Arial"/>
        </w:rPr>
        <w:t xml:space="preserve"> </w:t>
      </w:r>
    </w:p>
    <w:p w14:paraId="487F42F1" w14:textId="77777777" w:rsidR="003527D8" w:rsidRPr="00EF3081" w:rsidRDefault="003527D8" w:rsidP="003527D8">
      <w:pPr>
        <w:pStyle w:val="1"/>
        <w:numPr>
          <w:ilvl w:val="0"/>
          <w:numId w:val="39"/>
        </w:numPr>
        <w:tabs>
          <w:tab w:val="left" w:pos="720"/>
        </w:tabs>
        <w:spacing w:after="240" w:line="360" w:lineRule="auto"/>
        <w:rPr>
          <w:color w:val="auto"/>
        </w:rPr>
      </w:pPr>
      <w:r w:rsidRPr="00EF3081">
        <w:rPr>
          <w:rFonts w:cs="Arial"/>
          <w:color w:val="auto"/>
        </w:rPr>
        <w:t>The failure to have done so entitles this Court to consider the application for an amendment afresh.</w:t>
      </w:r>
    </w:p>
    <w:p w14:paraId="11C878EF" w14:textId="7971EA3B" w:rsidR="007F5FB2" w:rsidRDefault="003527D8" w:rsidP="007F5FB2">
      <w:pPr>
        <w:pStyle w:val="1"/>
        <w:numPr>
          <w:ilvl w:val="0"/>
          <w:numId w:val="39"/>
        </w:numPr>
        <w:spacing w:after="240" w:line="360" w:lineRule="auto"/>
        <w:rPr>
          <w:color w:val="auto"/>
        </w:rPr>
      </w:pPr>
      <w:r>
        <w:rPr>
          <w:rFonts w:cs="Arial"/>
          <w:color w:val="auto"/>
        </w:rPr>
        <w:t>T</w:t>
      </w:r>
      <w:r w:rsidR="00C20132">
        <w:rPr>
          <w:rFonts w:cs="Arial"/>
          <w:color w:val="auto"/>
        </w:rPr>
        <w:t xml:space="preserve">his </w:t>
      </w:r>
      <w:r w:rsidR="004908D1">
        <w:rPr>
          <w:rFonts w:cs="Arial"/>
          <w:color w:val="auto"/>
        </w:rPr>
        <w:t>C</w:t>
      </w:r>
      <w:r w:rsidR="00C20132">
        <w:rPr>
          <w:rFonts w:cs="Arial"/>
          <w:color w:val="auto"/>
        </w:rPr>
        <w:t xml:space="preserve">ourt is </w:t>
      </w:r>
      <w:r>
        <w:rPr>
          <w:rFonts w:cs="Arial"/>
          <w:color w:val="auto"/>
        </w:rPr>
        <w:t xml:space="preserve">accordingly </w:t>
      </w:r>
      <w:r w:rsidR="00C20132">
        <w:rPr>
          <w:rFonts w:cs="Arial"/>
          <w:color w:val="auto"/>
        </w:rPr>
        <w:t xml:space="preserve">entitled to exercise the discretion the Tax Court failed to exercise. </w:t>
      </w:r>
      <w:r w:rsidR="006C5FED" w:rsidRPr="001C3928">
        <w:rPr>
          <w:rFonts w:cs="Arial"/>
          <w:color w:val="auto"/>
        </w:rPr>
        <w:t xml:space="preserve">The absence of prejudice to be suffered by the respondent should the amendment be granted weighs so heavily in </w:t>
      </w:r>
      <w:r w:rsidR="006C5FED" w:rsidRPr="004A31CE">
        <w:rPr>
          <w:rFonts w:cs="Arial"/>
          <w:color w:val="auto"/>
        </w:rPr>
        <w:t xml:space="preserve">favour of exercising the Court’s discretion </w:t>
      </w:r>
      <w:r w:rsidR="006C5FED" w:rsidRPr="004A31CE">
        <w:rPr>
          <w:rFonts w:cs="Arial"/>
          <w:color w:val="auto"/>
        </w:rPr>
        <w:lastRenderedPageBreak/>
        <w:t>in favour of the appellant</w:t>
      </w:r>
      <w:r w:rsidR="004908D1">
        <w:rPr>
          <w:rFonts w:cs="Arial"/>
          <w:color w:val="auto"/>
        </w:rPr>
        <w:t>,</w:t>
      </w:r>
      <w:r w:rsidR="006C5FED" w:rsidRPr="004A31CE">
        <w:rPr>
          <w:rFonts w:cs="Arial"/>
          <w:color w:val="auto"/>
        </w:rPr>
        <w:t xml:space="preserve"> that it is difficult to conceive of factors which could counter this.</w:t>
      </w:r>
    </w:p>
    <w:p w14:paraId="5F9FF484" w14:textId="2C614EB0" w:rsidR="007F5FB2" w:rsidRDefault="001C3928" w:rsidP="007F5FB2">
      <w:pPr>
        <w:pStyle w:val="1"/>
        <w:numPr>
          <w:ilvl w:val="0"/>
          <w:numId w:val="39"/>
        </w:numPr>
        <w:spacing w:after="240" w:line="360" w:lineRule="auto"/>
        <w:rPr>
          <w:color w:val="auto"/>
        </w:rPr>
      </w:pPr>
      <w:r w:rsidRPr="007F5FB2">
        <w:rPr>
          <w:rFonts w:cs="Arial"/>
          <w:color w:val="auto"/>
        </w:rPr>
        <w:t>The considerations in concluding that the interests of justice would be served if the amendment were granted, strongl</w:t>
      </w:r>
      <w:r w:rsidR="004A31CE" w:rsidRPr="007F5FB2">
        <w:rPr>
          <w:rFonts w:cs="Arial"/>
          <w:color w:val="auto"/>
        </w:rPr>
        <w:t xml:space="preserve">y feed into exercising </w:t>
      </w:r>
      <w:r w:rsidRPr="007F5FB2">
        <w:rPr>
          <w:rFonts w:cs="Arial"/>
          <w:color w:val="auto"/>
        </w:rPr>
        <w:t xml:space="preserve">the discretion in </w:t>
      </w:r>
      <w:r w:rsidRPr="00DC0D0E">
        <w:rPr>
          <w:rFonts w:cs="Arial"/>
          <w:color w:val="auto"/>
        </w:rPr>
        <w:t>favour of the appellant.</w:t>
      </w:r>
      <w:r w:rsidR="004A31CE" w:rsidRPr="00DC0D0E">
        <w:rPr>
          <w:rFonts w:cs="Arial"/>
          <w:color w:val="auto"/>
        </w:rPr>
        <w:t xml:space="preserve"> In addition, t</w:t>
      </w:r>
      <w:r w:rsidRPr="00DC0D0E">
        <w:rPr>
          <w:rFonts w:cs="Arial"/>
          <w:color w:val="auto"/>
        </w:rPr>
        <w:t xml:space="preserve">he Tax Court will consider the distilled issues </w:t>
      </w:r>
      <w:r w:rsidRPr="00DC0D0E">
        <w:rPr>
          <w:rFonts w:cs="Arial"/>
          <w:i/>
          <w:color w:val="auto"/>
        </w:rPr>
        <w:t>de</w:t>
      </w:r>
      <w:r w:rsidRPr="007F5FB2">
        <w:rPr>
          <w:rFonts w:cs="Arial"/>
          <w:i/>
          <w:color w:val="auto"/>
        </w:rPr>
        <w:t xml:space="preserve"> novo</w:t>
      </w:r>
      <w:r w:rsidRPr="007F5FB2">
        <w:rPr>
          <w:rFonts w:cs="Arial"/>
          <w:color w:val="auto"/>
        </w:rPr>
        <w:t xml:space="preserve"> and will be called upon to determine the real issues between the parties so that justice may </w:t>
      </w:r>
      <w:r w:rsidR="004A31CE" w:rsidRPr="007F5FB2">
        <w:rPr>
          <w:rFonts w:cs="Arial"/>
          <w:color w:val="auto"/>
        </w:rPr>
        <w:t xml:space="preserve">be </w:t>
      </w:r>
      <w:r w:rsidRPr="007F5FB2">
        <w:rPr>
          <w:rFonts w:cs="Arial"/>
          <w:color w:val="auto"/>
        </w:rPr>
        <w:t xml:space="preserve">done. The matter has not started yet so there is no question of the re-opening of a case or the re-visiting of evidence already led. Neither this </w:t>
      </w:r>
      <w:r w:rsidR="004908D1">
        <w:rPr>
          <w:rFonts w:cs="Arial"/>
          <w:color w:val="auto"/>
        </w:rPr>
        <w:t>C</w:t>
      </w:r>
      <w:r w:rsidRPr="007F5FB2">
        <w:rPr>
          <w:rFonts w:cs="Arial"/>
          <w:color w:val="auto"/>
        </w:rPr>
        <w:t xml:space="preserve">ourt nor the Tax Court </w:t>
      </w:r>
      <w:r w:rsidR="00BC372E" w:rsidRPr="007F5FB2">
        <w:rPr>
          <w:rFonts w:cs="Arial"/>
          <w:color w:val="auto"/>
        </w:rPr>
        <w:t xml:space="preserve">has </w:t>
      </w:r>
      <w:r w:rsidRPr="007F5FB2">
        <w:rPr>
          <w:rFonts w:cs="Arial"/>
          <w:color w:val="auto"/>
        </w:rPr>
        <w:t xml:space="preserve">made any adverse findings in respect of the </w:t>
      </w:r>
      <w:r w:rsidRPr="007F5FB2">
        <w:rPr>
          <w:rFonts w:cs="Arial"/>
          <w:i/>
          <w:color w:val="auto"/>
        </w:rPr>
        <w:t>bona fides</w:t>
      </w:r>
      <w:r w:rsidRPr="007F5FB2">
        <w:rPr>
          <w:rFonts w:cs="Arial"/>
          <w:color w:val="auto"/>
        </w:rPr>
        <w:t xml:space="preserve"> of the appellant.</w:t>
      </w:r>
      <w:r w:rsidR="004A31CE" w:rsidRPr="007F5FB2">
        <w:rPr>
          <w:rFonts w:cs="Arial"/>
          <w:color w:val="auto"/>
        </w:rPr>
        <w:t xml:space="preserve"> As things stand on the papers, the receipt of the ‘incorrect’ advice (if that is what it is ultimately found to be) stands uncontested. </w:t>
      </w:r>
    </w:p>
    <w:p w14:paraId="4A8DB028" w14:textId="5A072840" w:rsidR="001C3928" w:rsidRPr="007F5FB2" w:rsidRDefault="004A31CE" w:rsidP="007F5FB2">
      <w:pPr>
        <w:pStyle w:val="1"/>
        <w:numPr>
          <w:ilvl w:val="0"/>
          <w:numId w:val="39"/>
        </w:numPr>
        <w:spacing w:after="240" w:line="360" w:lineRule="auto"/>
        <w:rPr>
          <w:color w:val="auto"/>
        </w:rPr>
      </w:pPr>
      <w:r w:rsidRPr="007F5FB2">
        <w:rPr>
          <w:rFonts w:cs="Arial"/>
          <w:color w:val="auto"/>
        </w:rPr>
        <w:t>Finally, in exercising the discretion in favour of the appellant, we are mindful of the general tendency in our courts that where an amendment can be granted without prejudice, courts would generally do so.</w:t>
      </w:r>
    </w:p>
    <w:p w14:paraId="38ABD88E" w14:textId="193F6218" w:rsidR="00E22DE3" w:rsidRPr="009E576E" w:rsidRDefault="00F20230" w:rsidP="009E576E">
      <w:pPr>
        <w:pStyle w:val="1"/>
        <w:numPr>
          <w:ilvl w:val="0"/>
          <w:numId w:val="0"/>
        </w:numPr>
        <w:spacing w:before="360" w:after="360" w:line="360" w:lineRule="auto"/>
        <w:ind w:left="1134" w:hanging="1134"/>
        <w:rPr>
          <w:b/>
          <w:color w:val="auto"/>
        </w:rPr>
      </w:pPr>
      <w:r>
        <w:rPr>
          <w:rFonts w:cs="Arial"/>
          <w:b/>
          <w:color w:val="auto"/>
        </w:rPr>
        <w:t xml:space="preserve">Conclusion </w:t>
      </w:r>
    </w:p>
    <w:p w14:paraId="279132F7" w14:textId="18773617" w:rsidR="007F5FB2" w:rsidRDefault="008C11E5" w:rsidP="007F5FB2">
      <w:pPr>
        <w:pStyle w:val="1"/>
        <w:numPr>
          <w:ilvl w:val="0"/>
          <w:numId w:val="39"/>
        </w:numPr>
        <w:spacing w:after="240" w:line="360" w:lineRule="auto"/>
        <w:rPr>
          <w:color w:val="auto"/>
        </w:rPr>
      </w:pPr>
      <w:r w:rsidRPr="000D0375">
        <w:rPr>
          <w:rFonts w:cs="Arial"/>
          <w:color w:val="auto"/>
        </w:rPr>
        <w:t>The appeal should therefore succeed with costs. However, in the Tax Court, the appellant sought an indulgence, did not adequately explain the delay</w:t>
      </w:r>
      <w:r w:rsidR="00DC0D0E">
        <w:rPr>
          <w:rFonts w:cs="Arial"/>
          <w:color w:val="auto"/>
        </w:rPr>
        <w:t>,</w:t>
      </w:r>
      <w:r w:rsidRPr="000D0375">
        <w:rPr>
          <w:rFonts w:cs="Arial"/>
          <w:color w:val="auto"/>
        </w:rPr>
        <w:t xml:space="preserve"> and the </w:t>
      </w:r>
      <w:r w:rsidR="00DC0D0E">
        <w:rPr>
          <w:rFonts w:cs="Arial"/>
          <w:color w:val="auto"/>
        </w:rPr>
        <w:t xml:space="preserve">respondent’s </w:t>
      </w:r>
      <w:r w:rsidRPr="000D0375">
        <w:rPr>
          <w:rFonts w:cs="Arial"/>
          <w:color w:val="auto"/>
        </w:rPr>
        <w:t>opposition in that court was not frivolous</w:t>
      </w:r>
      <w:r w:rsidR="00E76CB4">
        <w:rPr>
          <w:rFonts w:cs="Arial"/>
          <w:color w:val="auto"/>
        </w:rPr>
        <w:t xml:space="preserve"> or unreasonable</w:t>
      </w:r>
      <w:r w:rsidRPr="000D0375">
        <w:rPr>
          <w:rFonts w:cs="Arial"/>
          <w:color w:val="auto"/>
        </w:rPr>
        <w:t xml:space="preserve">. </w:t>
      </w:r>
      <w:r w:rsidR="00DC0D0E">
        <w:rPr>
          <w:rFonts w:cs="Arial"/>
          <w:color w:val="auto"/>
        </w:rPr>
        <w:t xml:space="preserve">The appellant </w:t>
      </w:r>
      <w:r w:rsidR="000D0375" w:rsidRPr="000D0375">
        <w:rPr>
          <w:rFonts w:cs="Arial"/>
          <w:color w:val="auto"/>
        </w:rPr>
        <w:t>should accordingly bear the costs of that</w:t>
      </w:r>
      <w:r w:rsidR="000D0375">
        <w:rPr>
          <w:rFonts w:cs="Arial"/>
          <w:color w:val="auto"/>
        </w:rPr>
        <w:t xml:space="preserve"> application.</w:t>
      </w:r>
    </w:p>
    <w:p w14:paraId="49D95442" w14:textId="77777777" w:rsidR="007F5FB2" w:rsidRPr="007F5FB2" w:rsidRDefault="006C5FED" w:rsidP="00BA32AC">
      <w:pPr>
        <w:pStyle w:val="1"/>
        <w:numPr>
          <w:ilvl w:val="0"/>
          <w:numId w:val="0"/>
        </w:numPr>
        <w:spacing w:before="360" w:after="360" w:line="360" w:lineRule="auto"/>
        <w:rPr>
          <w:color w:val="auto"/>
        </w:rPr>
      </w:pPr>
      <w:r w:rsidRPr="007F5FB2">
        <w:rPr>
          <w:rFonts w:cs="Arial"/>
          <w:b/>
          <w:color w:val="auto"/>
        </w:rPr>
        <w:t>Accordingly, the following order is granted:</w:t>
      </w:r>
    </w:p>
    <w:p w14:paraId="292C7CE7" w14:textId="77777777" w:rsidR="007F5FB2" w:rsidRPr="007F5FB2" w:rsidRDefault="00C20DA6" w:rsidP="00D35FCB">
      <w:pPr>
        <w:pStyle w:val="1"/>
        <w:numPr>
          <w:ilvl w:val="1"/>
          <w:numId w:val="39"/>
        </w:numPr>
        <w:spacing w:after="240" w:line="360" w:lineRule="auto"/>
        <w:ind w:hanging="720"/>
        <w:rPr>
          <w:color w:val="auto"/>
        </w:rPr>
      </w:pPr>
      <w:r w:rsidRPr="007F5FB2">
        <w:rPr>
          <w:rFonts w:cs="Arial"/>
        </w:rPr>
        <w:t>The appeal is upheld</w:t>
      </w:r>
      <w:r w:rsidR="005F399B" w:rsidRPr="007F5FB2">
        <w:rPr>
          <w:rFonts w:cs="Arial"/>
        </w:rPr>
        <w:t xml:space="preserve"> with costs, including the costs of two counsel where </w:t>
      </w:r>
      <w:r w:rsidR="004057A3" w:rsidRPr="007F5FB2">
        <w:rPr>
          <w:rFonts w:cs="Arial"/>
        </w:rPr>
        <w:t>s</w:t>
      </w:r>
      <w:r w:rsidR="005F399B" w:rsidRPr="007F5FB2">
        <w:rPr>
          <w:rFonts w:cs="Arial"/>
        </w:rPr>
        <w:t>o employed</w:t>
      </w:r>
      <w:r w:rsidRPr="007F5FB2">
        <w:rPr>
          <w:rFonts w:cs="Arial"/>
        </w:rPr>
        <w:t>;</w:t>
      </w:r>
    </w:p>
    <w:p w14:paraId="3D46D4F6" w14:textId="085868E7" w:rsidR="006C5FED" w:rsidRPr="007F5FB2" w:rsidRDefault="00C20DA6" w:rsidP="00D35FCB">
      <w:pPr>
        <w:pStyle w:val="1"/>
        <w:numPr>
          <w:ilvl w:val="1"/>
          <w:numId w:val="39"/>
        </w:numPr>
        <w:spacing w:after="240" w:line="360" w:lineRule="auto"/>
        <w:ind w:hanging="720"/>
        <w:rPr>
          <w:color w:val="auto"/>
        </w:rPr>
      </w:pPr>
      <w:r w:rsidRPr="007F5FB2">
        <w:rPr>
          <w:rFonts w:cs="Arial"/>
        </w:rPr>
        <w:t xml:space="preserve">The order of the Tax Court </w:t>
      </w:r>
      <w:r w:rsidR="006C5FED" w:rsidRPr="007F5FB2">
        <w:rPr>
          <w:rFonts w:cs="Arial"/>
        </w:rPr>
        <w:t>dismissing the appellant</w:t>
      </w:r>
      <w:r w:rsidR="004908D1">
        <w:rPr>
          <w:rFonts w:cs="Arial"/>
        </w:rPr>
        <w:t>’</w:t>
      </w:r>
      <w:r w:rsidR="006C5FED" w:rsidRPr="007F5FB2">
        <w:rPr>
          <w:rFonts w:cs="Arial"/>
        </w:rPr>
        <w:t xml:space="preserve">s application for leave to amend its Rule 32 statement of grounds of appeal </w:t>
      </w:r>
      <w:r w:rsidRPr="007F5FB2">
        <w:rPr>
          <w:rFonts w:cs="Arial"/>
        </w:rPr>
        <w:t xml:space="preserve">is </w:t>
      </w:r>
      <w:r w:rsidR="008C11E5" w:rsidRPr="007F5FB2">
        <w:rPr>
          <w:rFonts w:cs="Arial"/>
        </w:rPr>
        <w:t xml:space="preserve">set aside and </w:t>
      </w:r>
      <w:r w:rsidRPr="007F5FB2">
        <w:rPr>
          <w:rFonts w:cs="Arial"/>
        </w:rPr>
        <w:t>replaced with the following:</w:t>
      </w:r>
    </w:p>
    <w:p w14:paraId="6164ACBE" w14:textId="183D7424" w:rsidR="004057A3" w:rsidRDefault="005F399B" w:rsidP="00D35FCB">
      <w:pPr>
        <w:pStyle w:val="ListParagraph"/>
        <w:spacing w:before="240" w:after="240" w:line="360" w:lineRule="auto"/>
        <w:ind w:left="709"/>
        <w:contextualSpacing w:val="0"/>
        <w:jc w:val="both"/>
        <w:rPr>
          <w:rFonts w:cs="Arial"/>
        </w:rPr>
      </w:pPr>
      <w:r>
        <w:rPr>
          <w:rFonts w:cs="Arial"/>
        </w:rPr>
        <w:t>‘1. Leave is granted to the appellant to effect the proposed amendments to its Rule 32 statement of grounds of appeal in terms of ap</w:t>
      </w:r>
      <w:r w:rsidR="004057A3">
        <w:rPr>
          <w:rFonts w:cs="Arial"/>
        </w:rPr>
        <w:t>pella</w:t>
      </w:r>
      <w:r>
        <w:rPr>
          <w:rFonts w:cs="Arial"/>
        </w:rPr>
        <w:t xml:space="preserve">nt’s notice in terms </w:t>
      </w:r>
      <w:r>
        <w:rPr>
          <w:rFonts w:cs="Arial"/>
        </w:rPr>
        <w:lastRenderedPageBreak/>
        <w:t xml:space="preserve">of Tax Court </w:t>
      </w:r>
      <w:r w:rsidR="00DC0D0E">
        <w:rPr>
          <w:rFonts w:cs="Arial"/>
        </w:rPr>
        <w:t>R</w:t>
      </w:r>
      <w:r>
        <w:rPr>
          <w:rFonts w:cs="Arial"/>
        </w:rPr>
        <w:t>ule 42(1) read with Uniform Rule 28(1)</w:t>
      </w:r>
      <w:r w:rsidR="00DC0D0E">
        <w:rPr>
          <w:rFonts w:cs="Arial"/>
        </w:rPr>
        <w:t>,</w:t>
      </w:r>
      <w:r>
        <w:rPr>
          <w:rFonts w:cs="Arial"/>
        </w:rPr>
        <w:t xml:space="preserve"> dated 25 September 2020</w:t>
      </w:r>
      <w:r w:rsidR="004908D1">
        <w:rPr>
          <w:rFonts w:cs="Arial"/>
        </w:rPr>
        <w:t>.</w:t>
      </w:r>
    </w:p>
    <w:p w14:paraId="6E43EAE2" w14:textId="05A5E2FB" w:rsidR="00C20DA6" w:rsidRDefault="004057A3" w:rsidP="00D35FCB">
      <w:pPr>
        <w:pStyle w:val="ListParagraph"/>
        <w:spacing w:before="240" w:after="240" w:line="360" w:lineRule="auto"/>
        <w:ind w:left="709"/>
        <w:contextualSpacing w:val="0"/>
        <w:jc w:val="both"/>
        <w:rPr>
          <w:rFonts w:cs="Arial"/>
        </w:rPr>
      </w:pPr>
      <w:r>
        <w:rPr>
          <w:rFonts w:cs="Arial"/>
        </w:rPr>
        <w:t>2. The appellant is ordered to pay the costs of the application for amendment, including the costs of two counsel where so employed</w:t>
      </w:r>
      <w:r w:rsidR="004908D1">
        <w:rPr>
          <w:rFonts w:cs="Arial"/>
        </w:rPr>
        <w:t>.</w:t>
      </w:r>
      <w:r w:rsidR="009C45CD">
        <w:rPr>
          <w:rFonts w:cs="Arial"/>
        </w:rPr>
        <w:t>’</w:t>
      </w:r>
    </w:p>
    <w:p w14:paraId="3E96D597" w14:textId="4F0BE938" w:rsidR="00C20DA6" w:rsidRPr="00591220" w:rsidRDefault="00C20DA6" w:rsidP="00D35FCB">
      <w:pPr>
        <w:spacing w:before="240" w:after="240" w:line="360" w:lineRule="auto"/>
        <w:jc w:val="both"/>
        <w:rPr>
          <w:rFonts w:cs="Arial"/>
        </w:rPr>
      </w:pPr>
    </w:p>
    <w:p w14:paraId="3B8CD481" w14:textId="75ED4FC0" w:rsidR="00004DF8" w:rsidRPr="000F561C" w:rsidRDefault="00004DF8" w:rsidP="00D274E4">
      <w:pPr>
        <w:autoSpaceDE w:val="0"/>
        <w:autoSpaceDN w:val="0"/>
        <w:adjustRightInd w:val="0"/>
        <w:spacing w:before="240" w:after="0" w:line="240" w:lineRule="auto"/>
        <w:ind w:left="4320" w:right="-188" w:firstLine="720"/>
        <w:contextualSpacing/>
        <w:jc w:val="center"/>
        <w:rPr>
          <w:rFonts w:eastAsia="Times New Roman" w:cs="Arial"/>
          <w:i/>
          <w:szCs w:val="24"/>
          <w:lang w:val="en-GB"/>
        </w:rPr>
      </w:pPr>
    </w:p>
    <w:p w14:paraId="24C119C1" w14:textId="283CB7DF" w:rsidR="00D274E4" w:rsidRPr="00F81419" w:rsidRDefault="00D274E4" w:rsidP="00D274E4">
      <w:pPr>
        <w:autoSpaceDE w:val="0"/>
        <w:autoSpaceDN w:val="0"/>
        <w:adjustRightInd w:val="0"/>
        <w:spacing w:before="240" w:after="0" w:line="240" w:lineRule="auto"/>
        <w:ind w:left="4320" w:right="-188" w:firstLine="720"/>
        <w:contextualSpacing/>
        <w:jc w:val="center"/>
        <w:rPr>
          <w:rFonts w:eastAsia="Times New Roman" w:cs="Arial"/>
          <w:szCs w:val="24"/>
          <w:lang w:val="en-GB"/>
        </w:rPr>
      </w:pPr>
      <w:r w:rsidRPr="00F81419">
        <w:rPr>
          <w:rFonts w:eastAsia="Times New Roman" w:cs="Arial"/>
          <w:szCs w:val="24"/>
          <w:lang w:val="en-GB"/>
        </w:rPr>
        <w:t>____________________________</w:t>
      </w:r>
    </w:p>
    <w:p w14:paraId="1F05C021" w14:textId="281F6953" w:rsidR="00D274E4" w:rsidRPr="00956ECB" w:rsidRDefault="00215B56" w:rsidP="00D274E4">
      <w:pPr>
        <w:autoSpaceDE w:val="0"/>
        <w:autoSpaceDN w:val="0"/>
        <w:adjustRightInd w:val="0"/>
        <w:spacing w:before="120" w:after="0" w:line="240" w:lineRule="auto"/>
        <w:ind w:left="4320" w:firstLine="720"/>
        <w:jc w:val="right"/>
        <w:rPr>
          <w:rFonts w:eastAsia="Times New Roman" w:cs="Arial"/>
          <w:b/>
          <w:szCs w:val="24"/>
          <w:lang w:val="en-GB"/>
        </w:rPr>
      </w:pPr>
      <w:r w:rsidRPr="007454A9">
        <w:rPr>
          <w:rFonts w:eastAsia="Times New Roman" w:cs="Arial"/>
          <w:b/>
          <w:szCs w:val="24"/>
          <w:lang w:val="en-GB"/>
        </w:rPr>
        <w:t>SE WEINER</w:t>
      </w:r>
    </w:p>
    <w:p w14:paraId="3AA8829D" w14:textId="290EDE4E" w:rsidR="00D274E4" w:rsidRPr="00956ECB" w:rsidRDefault="00D274E4" w:rsidP="00D274E4">
      <w:pPr>
        <w:autoSpaceDE w:val="0"/>
        <w:autoSpaceDN w:val="0"/>
        <w:adjustRightInd w:val="0"/>
        <w:spacing w:before="120" w:after="0" w:line="240" w:lineRule="auto"/>
        <w:ind w:left="4320" w:firstLine="720"/>
        <w:jc w:val="right"/>
        <w:rPr>
          <w:rFonts w:eastAsia="Times New Roman" w:cs="Arial"/>
          <w:szCs w:val="24"/>
          <w:lang w:val="en-GB"/>
        </w:rPr>
      </w:pPr>
      <w:r w:rsidRPr="00956ECB">
        <w:rPr>
          <w:rFonts w:eastAsia="Times New Roman" w:cs="Arial"/>
          <w:szCs w:val="24"/>
          <w:lang w:val="en-GB"/>
        </w:rPr>
        <w:t xml:space="preserve">JUDGE OF THE HIGH COURT </w:t>
      </w:r>
    </w:p>
    <w:p w14:paraId="6DA78598" w14:textId="593F598D" w:rsidR="00D274E4" w:rsidRDefault="00D274E4" w:rsidP="00D274E4">
      <w:pPr>
        <w:autoSpaceDE w:val="0"/>
        <w:autoSpaceDN w:val="0"/>
        <w:adjustRightInd w:val="0"/>
        <w:spacing w:before="120" w:after="0" w:line="240" w:lineRule="auto"/>
        <w:ind w:left="2880" w:firstLine="720"/>
        <w:jc w:val="right"/>
        <w:rPr>
          <w:rFonts w:eastAsia="Times New Roman" w:cs="Arial"/>
          <w:szCs w:val="24"/>
          <w:lang w:val="en-GB"/>
        </w:rPr>
      </w:pPr>
      <w:r w:rsidRPr="00956ECB">
        <w:rPr>
          <w:rFonts w:eastAsia="Times New Roman" w:cs="Arial"/>
          <w:szCs w:val="24"/>
          <w:lang w:val="en-GB"/>
        </w:rPr>
        <w:t>GAUTENG DIVISION, JOHANNESBURG</w:t>
      </w:r>
    </w:p>
    <w:p w14:paraId="6E5B62DE" w14:textId="6A40D1D8" w:rsidR="00E76CB4" w:rsidRDefault="00E76CB4" w:rsidP="00D274E4">
      <w:pPr>
        <w:autoSpaceDE w:val="0"/>
        <w:autoSpaceDN w:val="0"/>
        <w:adjustRightInd w:val="0"/>
        <w:spacing w:before="120" w:after="0" w:line="240" w:lineRule="auto"/>
        <w:ind w:left="2880" w:firstLine="720"/>
        <w:jc w:val="right"/>
        <w:rPr>
          <w:rFonts w:eastAsia="Times New Roman" w:cs="Arial"/>
          <w:szCs w:val="24"/>
          <w:lang w:val="en-GB"/>
        </w:rPr>
      </w:pPr>
    </w:p>
    <w:p w14:paraId="53BF3E8F" w14:textId="3B06BFC2" w:rsidR="00E76CB4" w:rsidRDefault="00E76CB4" w:rsidP="00D274E4">
      <w:pPr>
        <w:autoSpaceDE w:val="0"/>
        <w:autoSpaceDN w:val="0"/>
        <w:adjustRightInd w:val="0"/>
        <w:spacing w:before="120" w:after="0" w:line="240" w:lineRule="auto"/>
        <w:ind w:left="2880" w:firstLine="720"/>
        <w:jc w:val="right"/>
        <w:rPr>
          <w:rFonts w:eastAsia="Times New Roman" w:cs="Arial"/>
          <w:szCs w:val="24"/>
          <w:lang w:val="en-GB"/>
        </w:rPr>
      </w:pPr>
    </w:p>
    <w:p w14:paraId="42C70DF3" w14:textId="77777777" w:rsidR="00D274E4" w:rsidRPr="00956ECB" w:rsidRDefault="00D274E4" w:rsidP="00D274E4">
      <w:pPr>
        <w:spacing w:before="240" w:after="240" w:line="360" w:lineRule="auto"/>
        <w:jc w:val="both"/>
        <w:rPr>
          <w:rFonts w:cs="Arial"/>
          <w:szCs w:val="24"/>
          <w:lang w:val="en-GB"/>
        </w:rPr>
      </w:pPr>
    </w:p>
    <w:p w14:paraId="696F0821" w14:textId="77777777" w:rsidR="00D274E4" w:rsidRPr="00956ECB" w:rsidRDefault="00D274E4" w:rsidP="00D274E4">
      <w:pPr>
        <w:autoSpaceDE w:val="0"/>
        <w:autoSpaceDN w:val="0"/>
        <w:adjustRightInd w:val="0"/>
        <w:spacing w:before="240" w:after="0" w:line="240" w:lineRule="auto"/>
        <w:ind w:firstLine="709"/>
        <w:jc w:val="right"/>
        <w:rPr>
          <w:rFonts w:eastAsia="Times New Roman" w:cs="Arial"/>
          <w:szCs w:val="24"/>
          <w:lang w:val="en-GB"/>
        </w:rPr>
      </w:pPr>
      <w:r w:rsidRPr="00956ECB">
        <w:rPr>
          <w:rFonts w:eastAsia="Times New Roman" w:cs="Arial"/>
          <w:szCs w:val="24"/>
          <w:lang w:val="en-GB"/>
        </w:rPr>
        <w:t>_____________________________</w:t>
      </w:r>
    </w:p>
    <w:p w14:paraId="6397C68F" w14:textId="77777777" w:rsidR="00D274E4" w:rsidRPr="00956ECB" w:rsidRDefault="00215B56" w:rsidP="00D274E4">
      <w:pPr>
        <w:autoSpaceDE w:val="0"/>
        <w:autoSpaceDN w:val="0"/>
        <w:adjustRightInd w:val="0"/>
        <w:spacing w:before="120" w:after="0" w:line="240" w:lineRule="auto"/>
        <w:ind w:left="709"/>
        <w:jc w:val="right"/>
        <w:rPr>
          <w:rFonts w:eastAsia="Times New Roman" w:cs="Arial"/>
          <w:b/>
          <w:szCs w:val="24"/>
          <w:lang w:val="en-GB"/>
        </w:rPr>
      </w:pPr>
      <w:r w:rsidRPr="00956ECB">
        <w:rPr>
          <w:rFonts w:eastAsia="Times New Roman" w:cs="Arial"/>
          <w:b/>
          <w:szCs w:val="24"/>
          <w:lang w:val="en-GB"/>
        </w:rPr>
        <w:t>I OPPERMAN</w:t>
      </w:r>
    </w:p>
    <w:p w14:paraId="50A93D5B" w14:textId="77777777" w:rsidR="00D274E4" w:rsidRPr="00956ECB" w:rsidRDefault="00D274E4" w:rsidP="00D274E4">
      <w:pPr>
        <w:autoSpaceDE w:val="0"/>
        <w:autoSpaceDN w:val="0"/>
        <w:adjustRightInd w:val="0"/>
        <w:spacing w:before="120" w:after="0" w:line="240" w:lineRule="auto"/>
        <w:ind w:left="709"/>
        <w:jc w:val="right"/>
        <w:rPr>
          <w:rFonts w:eastAsia="Times New Roman" w:cs="Arial"/>
          <w:szCs w:val="24"/>
          <w:lang w:val="en-GB"/>
        </w:rPr>
      </w:pPr>
      <w:r w:rsidRPr="00956ECB">
        <w:rPr>
          <w:rFonts w:eastAsia="Times New Roman" w:cs="Arial"/>
          <w:szCs w:val="24"/>
          <w:lang w:val="en-GB"/>
        </w:rPr>
        <w:t xml:space="preserve">JUDGE OF THE HIGH COURT </w:t>
      </w:r>
    </w:p>
    <w:p w14:paraId="07A3AAFF" w14:textId="77777777" w:rsidR="00D274E4" w:rsidRPr="00956ECB" w:rsidRDefault="00D274E4" w:rsidP="00D274E4">
      <w:pPr>
        <w:autoSpaceDE w:val="0"/>
        <w:autoSpaceDN w:val="0"/>
        <w:adjustRightInd w:val="0"/>
        <w:spacing w:before="120" w:after="0" w:line="240" w:lineRule="auto"/>
        <w:ind w:left="709"/>
        <w:jc w:val="right"/>
        <w:rPr>
          <w:rFonts w:eastAsia="Times New Roman" w:cs="Arial"/>
          <w:szCs w:val="24"/>
          <w:lang w:val="en-GB"/>
        </w:rPr>
      </w:pPr>
      <w:r w:rsidRPr="00956ECB">
        <w:rPr>
          <w:rFonts w:eastAsia="Times New Roman" w:cs="Arial"/>
          <w:szCs w:val="24"/>
          <w:lang w:val="en-GB"/>
        </w:rPr>
        <w:t>GAUTENG DIVISION, JOHANNESBURG</w:t>
      </w:r>
    </w:p>
    <w:p w14:paraId="2CE3B16F" w14:textId="77777777" w:rsidR="00D274E4" w:rsidRPr="00956ECB" w:rsidRDefault="00D274E4" w:rsidP="00D274E4">
      <w:pPr>
        <w:autoSpaceDE w:val="0"/>
        <w:autoSpaceDN w:val="0"/>
        <w:adjustRightInd w:val="0"/>
        <w:spacing w:before="240" w:after="0" w:line="240" w:lineRule="auto"/>
        <w:rPr>
          <w:rFonts w:eastAsia="Times New Roman" w:cs="Arial"/>
          <w:szCs w:val="24"/>
          <w:lang w:val="en-GB"/>
        </w:rPr>
      </w:pPr>
    </w:p>
    <w:p w14:paraId="361ABD07" w14:textId="297453D2" w:rsidR="00D274E4" w:rsidRDefault="00D274E4" w:rsidP="00D274E4">
      <w:pPr>
        <w:autoSpaceDE w:val="0"/>
        <w:autoSpaceDN w:val="0"/>
        <w:adjustRightInd w:val="0"/>
        <w:spacing w:before="240" w:after="0" w:line="240" w:lineRule="auto"/>
        <w:rPr>
          <w:rFonts w:eastAsia="Times New Roman" w:cs="Arial"/>
          <w:szCs w:val="24"/>
          <w:lang w:val="en-GB"/>
        </w:rPr>
      </w:pPr>
    </w:p>
    <w:p w14:paraId="6EC05B27" w14:textId="77777777" w:rsidR="00341A0A" w:rsidRPr="00956ECB" w:rsidRDefault="00341A0A" w:rsidP="00D274E4">
      <w:pPr>
        <w:autoSpaceDE w:val="0"/>
        <w:autoSpaceDN w:val="0"/>
        <w:adjustRightInd w:val="0"/>
        <w:spacing w:before="240" w:after="0" w:line="240" w:lineRule="auto"/>
        <w:rPr>
          <w:rFonts w:eastAsia="Times New Roman" w:cs="Arial"/>
          <w:szCs w:val="24"/>
          <w:lang w:val="en-GB"/>
        </w:rPr>
      </w:pPr>
    </w:p>
    <w:p w14:paraId="3AD276E2" w14:textId="77777777" w:rsidR="00D274E4" w:rsidRPr="00956ECB" w:rsidRDefault="00D274E4" w:rsidP="00D274E4">
      <w:pPr>
        <w:autoSpaceDE w:val="0"/>
        <w:autoSpaceDN w:val="0"/>
        <w:adjustRightInd w:val="0"/>
        <w:spacing w:before="240" w:after="0" w:line="240" w:lineRule="auto"/>
        <w:ind w:left="4320" w:right="-188" w:firstLine="720"/>
        <w:contextualSpacing/>
        <w:jc w:val="center"/>
        <w:rPr>
          <w:rFonts w:eastAsia="Times New Roman" w:cs="Arial"/>
          <w:szCs w:val="24"/>
          <w:lang w:val="en-GB"/>
        </w:rPr>
      </w:pPr>
    </w:p>
    <w:p w14:paraId="37277E90" w14:textId="77777777" w:rsidR="00D274E4" w:rsidRPr="00956ECB" w:rsidRDefault="00D274E4" w:rsidP="00D274E4">
      <w:pPr>
        <w:autoSpaceDE w:val="0"/>
        <w:autoSpaceDN w:val="0"/>
        <w:adjustRightInd w:val="0"/>
        <w:spacing w:before="240" w:after="0" w:line="240" w:lineRule="auto"/>
        <w:ind w:left="4320" w:right="-188" w:firstLine="720"/>
        <w:contextualSpacing/>
        <w:jc w:val="center"/>
        <w:rPr>
          <w:rFonts w:eastAsia="Times New Roman" w:cs="Arial"/>
          <w:szCs w:val="24"/>
          <w:lang w:val="en-GB"/>
        </w:rPr>
      </w:pPr>
      <w:r w:rsidRPr="00956ECB">
        <w:rPr>
          <w:rFonts w:eastAsia="Times New Roman" w:cs="Arial"/>
          <w:szCs w:val="24"/>
          <w:lang w:val="en-GB"/>
        </w:rPr>
        <w:t>____________________________</w:t>
      </w:r>
    </w:p>
    <w:p w14:paraId="012F3894" w14:textId="77777777" w:rsidR="00D274E4" w:rsidRPr="00956ECB" w:rsidRDefault="00215B56" w:rsidP="00D274E4">
      <w:pPr>
        <w:autoSpaceDE w:val="0"/>
        <w:autoSpaceDN w:val="0"/>
        <w:adjustRightInd w:val="0"/>
        <w:spacing w:before="120" w:after="0" w:line="240" w:lineRule="auto"/>
        <w:ind w:left="4320" w:firstLine="720"/>
        <w:jc w:val="right"/>
        <w:rPr>
          <w:rFonts w:eastAsia="Times New Roman" w:cs="Arial"/>
          <w:b/>
          <w:szCs w:val="24"/>
          <w:lang w:val="en-GB"/>
        </w:rPr>
      </w:pPr>
      <w:r w:rsidRPr="00956ECB">
        <w:rPr>
          <w:rFonts w:eastAsia="Times New Roman" w:cs="Arial"/>
          <w:b/>
          <w:szCs w:val="24"/>
          <w:lang w:val="en-GB"/>
        </w:rPr>
        <w:t xml:space="preserve"> B </w:t>
      </w:r>
      <w:r w:rsidR="00D274E4" w:rsidRPr="00956ECB">
        <w:rPr>
          <w:rFonts w:eastAsia="Times New Roman" w:cs="Arial"/>
          <w:b/>
          <w:szCs w:val="24"/>
          <w:lang w:val="en-GB"/>
        </w:rPr>
        <w:t>MAKOLA</w:t>
      </w:r>
    </w:p>
    <w:p w14:paraId="0B9A2637" w14:textId="77777777" w:rsidR="00D274E4" w:rsidRPr="00956ECB" w:rsidRDefault="00D274E4" w:rsidP="00D274E4">
      <w:pPr>
        <w:autoSpaceDE w:val="0"/>
        <w:autoSpaceDN w:val="0"/>
        <w:adjustRightInd w:val="0"/>
        <w:spacing w:before="120" w:after="0" w:line="240" w:lineRule="auto"/>
        <w:ind w:left="4320"/>
        <w:jc w:val="right"/>
        <w:rPr>
          <w:rFonts w:eastAsia="Times New Roman" w:cs="Arial"/>
          <w:szCs w:val="24"/>
          <w:lang w:val="en-GB"/>
        </w:rPr>
      </w:pPr>
      <w:r w:rsidRPr="00956ECB">
        <w:rPr>
          <w:rFonts w:eastAsia="Times New Roman" w:cs="Arial"/>
          <w:szCs w:val="24"/>
          <w:lang w:val="en-GB"/>
        </w:rPr>
        <w:t xml:space="preserve">ACTING JUDGE OF THE HIGH COURT </w:t>
      </w:r>
    </w:p>
    <w:p w14:paraId="33B8B20C" w14:textId="77777777" w:rsidR="00D274E4" w:rsidRPr="00956ECB" w:rsidRDefault="00D274E4" w:rsidP="004A1F7A">
      <w:pPr>
        <w:autoSpaceDE w:val="0"/>
        <w:autoSpaceDN w:val="0"/>
        <w:adjustRightInd w:val="0"/>
        <w:spacing w:before="120" w:after="0" w:line="240" w:lineRule="auto"/>
        <w:ind w:left="2880" w:firstLine="720"/>
        <w:jc w:val="right"/>
        <w:rPr>
          <w:rFonts w:eastAsia="Times New Roman" w:cs="Arial"/>
          <w:szCs w:val="24"/>
          <w:lang w:val="en-GB"/>
        </w:rPr>
      </w:pPr>
      <w:r w:rsidRPr="00956ECB">
        <w:rPr>
          <w:rFonts w:eastAsia="Times New Roman" w:cs="Arial"/>
          <w:szCs w:val="24"/>
          <w:lang w:val="en-GB"/>
        </w:rPr>
        <w:t>GAUTENG DIVISION, JOHANNESBURG</w:t>
      </w:r>
    </w:p>
    <w:p w14:paraId="4F933FD3" w14:textId="77777777" w:rsidR="004A1F7A" w:rsidRPr="00956ECB" w:rsidRDefault="004A1F7A" w:rsidP="004A1F7A">
      <w:pPr>
        <w:autoSpaceDE w:val="0"/>
        <w:autoSpaceDN w:val="0"/>
        <w:adjustRightInd w:val="0"/>
        <w:spacing w:before="120" w:after="0" w:line="240" w:lineRule="auto"/>
        <w:ind w:left="2880" w:firstLine="720"/>
        <w:jc w:val="right"/>
        <w:rPr>
          <w:rFonts w:eastAsia="Times New Roman" w:cs="Arial"/>
          <w:szCs w:val="24"/>
          <w:lang w:val="en-GB"/>
        </w:rPr>
      </w:pPr>
    </w:p>
    <w:p w14:paraId="5F047275" w14:textId="0DE652BA" w:rsidR="001801B5" w:rsidRPr="00956ECB" w:rsidRDefault="001801B5" w:rsidP="001801B5">
      <w:pPr>
        <w:spacing w:before="360" w:after="240" w:line="360" w:lineRule="auto"/>
        <w:ind w:right="28"/>
        <w:jc w:val="both"/>
        <w:rPr>
          <w:rFonts w:eastAsia="Calibri" w:cs="Arial"/>
          <w:i/>
          <w:iCs/>
          <w:szCs w:val="24"/>
          <w:lang w:val="en-GB"/>
        </w:rPr>
      </w:pPr>
      <w:r w:rsidRPr="00956ECB">
        <w:rPr>
          <w:rFonts w:eastAsia="Calibri" w:cs="Arial"/>
          <w:i/>
          <w:szCs w:val="24"/>
        </w:rPr>
        <w:t xml:space="preserve">This judgment was handed down electronically by circulation to the parties’ and/or parties’ representatives by email and by being uploaded to CaseLines. The date and time for hand-down is deemed to be 10h00 on </w:t>
      </w:r>
      <w:r w:rsidR="009525F5">
        <w:rPr>
          <w:rFonts w:eastAsia="Calibri" w:cs="Arial"/>
          <w:i/>
          <w:iCs/>
          <w:szCs w:val="24"/>
          <w:lang w:val="en-GB"/>
        </w:rPr>
        <w:t>7</w:t>
      </w:r>
      <w:r w:rsidR="00E4054D" w:rsidRPr="00956ECB">
        <w:rPr>
          <w:rFonts w:eastAsia="Calibri" w:cs="Arial"/>
          <w:i/>
          <w:iCs/>
          <w:szCs w:val="24"/>
          <w:lang w:val="en-GB"/>
        </w:rPr>
        <w:t xml:space="preserve"> </w:t>
      </w:r>
      <w:r w:rsidR="007F5FB2">
        <w:rPr>
          <w:rFonts w:eastAsia="Calibri" w:cs="Arial"/>
          <w:i/>
          <w:iCs/>
          <w:szCs w:val="24"/>
          <w:lang w:val="en-GB"/>
        </w:rPr>
        <w:t xml:space="preserve">September </w:t>
      </w:r>
      <w:r w:rsidRPr="00956ECB">
        <w:rPr>
          <w:rFonts w:eastAsia="Calibri" w:cs="Arial"/>
          <w:i/>
          <w:iCs/>
          <w:szCs w:val="24"/>
          <w:lang w:val="en-GB"/>
        </w:rPr>
        <w:t>2021.</w:t>
      </w:r>
    </w:p>
    <w:p w14:paraId="1E5C7FE0" w14:textId="77777777" w:rsidR="000732A6" w:rsidRDefault="000732A6" w:rsidP="001801B5">
      <w:pPr>
        <w:tabs>
          <w:tab w:val="left" w:pos="3402"/>
        </w:tabs>
        <w:spacing w:before="120" w:after="120" w:line="360" w:lineRule="auto"/>
        <w:ind w:left="4320" w:hanging="4320"/>
        <w:jc w:val="both"/>
        <w:rPr>
          <w:rFonts w:eastAsia="Calibri" w:cs="Arial"/>
          <w:szCs w:val="24"/>
          <w:lang w:val="en-GB"/>
        </w:rPr>
      </w:pPr>
    </w:p>
    <w:p w14:paraId="48A7CAC5" w14:textId="65A8F8C5" w:rsidR="001801B5" w:rsidRPr="00956ECB" w:rsidRDefault="001801B5" w:rsidP="001801B5">
      <w:pPr>
        <w:tabs>
          <w:tab w:val="left" w:pos="3402"/>
        </w:tabs>
        <w:spacing w:before="120" w:after="120" w:line="360" w:lineRule="auto"/>
        <w:ind w:left="4320" w:hanging="4320"/>
        <w:jc w:val="both"/>
        <w:rPr>
          <w:rFonts w:eastAsia="Calibri" w:cs="Arial"/>
          <w:szCs w:val="24"/>
          <w:lang w:val="en-GB"/>
        </w:rPr>
      </w:pPr>
      <w:r w:rsidRPr="00956ECB">
        <w:rPr>
          <w:rFonts w:eastAsia="Calibri" w:cs="Arial"/>
          <w:szCs w:val="24"/>
          <w:lang w:val="en-GB"/>
        </w:rPr>
        <w:lastRenderedPageBreak/>
        <w:t>Date of hearing:</w:t>
      </w:r>
      <w:r w:rsidRPr="00956ECB">
        <w:rPr>
          <w:rFonts w:eastAsia="Calibri" w:cs="Arial"/>
          <w:szCs w:val="24"/>
          <w:lang w:val="en-GB"/>
        </w:rPr>
        <w:tab/>
      </w:r>
      <w:r w:rsidRPr="00956ECB">
        <w:rPr>
          <w:rFonts w:eastAsia="Calibri" w:cs="Arial"/>
          <w:szCs w:val="24"/>
          <w:lang w:val="en-GB"/>
        </w:rPr>
        <w:tab/>
      </w:r>
      <w:r w:rsidR="00A762E6">
        <w:rPr>
          <w:rFonts w:eastAsia="Calibri" w:cs="Arial"/>
          <w:szCs w:val="24"/>
          <w:lang w:val="en-GB"/>
        </w:rPr>
        <w:t>21 May</w:t>
      </w:r>
      <w:r w:rsidR="00A762E6" w:rsidRPr="00956ECB">
        <w:rPr>
          <w:rFonts w:eastAsia="Calibri" w:cs="Arial"/>
          <w:szCs w:val="24"/>
          <w:lang w:val="en-GB"/>
        </w:rPr>
        <w:t xml:space="preserve"> </w:t>
      </w:r>
      <w:r w:rsidR="00B35969" w:rsidRPr="00956ECB">
        <w:rPr>
          <w:rFonts w:eastAsia="Calibri" w:cs="Arial"/>
          <w:szCs w:val="24"/>
          <w:lang w:val="en-GB"/>
        </w:rPr>
        <w:t>2021</w:t>
      </w:r>
    </w:p>
    <w:p w14:paraId="681AC05B" w14:textId="25B859F2" w:rsidR="001801B5" w:rsidRPr="00956ECB" w:rsidRDefault="001801B5" w:rsidP="001801B5">
      <w:pPr>
        <w:tabs>
          <w:tab w:val="left" w:pos="3402"/>
        </w:tabs>
        <w:spacing w:before="120" w:after="120" w:line="360" w:lineRule="auto"/>
        <w:jc w:val="both"/>
        <w:rPr>
          <w:rFonts w:eastAsia="Calibri" w:cs="Arial"/>
          <w:szCs w:val="24"/>
          <w:lang w:val="en-GB"/>
        </w:rPr>
      </w:pPr>
      <w:r w:rsidRPr="00956ECB">
        <w:rPr>
          <w:rFonts w:eastAsia="Calibri" w:cs="Arial"/>
          <w:szCs w:val="24"/>
          <w:lang w:val="en-GB"/>
        </w:rPr>
        <w:t>Date of judgment:</w:t>
      </w:r>
      <w:r w:rsidRPr="00956ECB">
        <w:rPr>
          <w:rFonts w:eastAsia="Calibri" w:cs="Arial"/>
          <w:szCs w:val="24"/>
          <w:lang w:val="en-GB"/>
        </w:rPr>
        <w:tab/>
      </w:r>
      <w:r w:rsidRPr="00956ECB">
        <w:rPr>
          <w:rFonts w:eastAsia="Calibri" w:cs="Arial"/>
          <w:szCs w:val="24"/>
          <w:lang w:val="en-GB"/>
        </w:rPr>
        <w:tab/>
      </w:r>
      <w:r w:rsidRPr="00956ECB">
        <w:rPr>
          <w:rFonts w:eastAsia="Calibri" w:cs="Arial"/>
          <w:szCs w:val="24"/>
          <w:lang w:val="en-GB"/>
        </w:rPr>
        <w:tab/>
      </w:r>
      <w:r w:rsidR="009525F5">
        <w:rPr>
          <w:rFonts w:eastAsia="Calibri" w:cs="Arial"/>
          <w:szCs w:val="24"/>
          <w:lang w:val="en-GB"/>
        </w:rPr>
        <w:t>7</w:t>
      </w:r>
      <w:r w:rsidR="00E4054D">
        <w:rPr>
          <w:rFonts w:eastAsia="Calibri" w:cs="Arial"/>
          <w:szCs w:val="24"/>
          <w:lang w:val="en-GB"/>
        </w:rPr>
        <w:t xml:space="preserve"> </w:t>
      </w:r>
      <w:r w:rsidR="007F5FB2">
        <w:rPr>
          <w:rFonts w:eastAsia="Calibri" w:cs="Arial"/>
          <w:szCs w:val="24"/>
          <w:lang w:val="en-GB"/>
        </w:rPr>
        <w:t>September</w:t>
      </w:r>
      <w:r w:rsidR="00613700" w:rsidRPr="00956ECB">
        <w:rPr>
          <w:rFonts w:eastAsia="Calibri" w:cs="Arial"/>
          <w:szCs w:val="24"/>
          <w:lang w:val="en-GB"/>
        </w:rPr>
        <w:t xml:space="preserve"> </w:t>
      </w:r>
      <w:r w:rsidRPr="00956ECB">
        <w:rPr>
          <w:rFonts w:eastAsia="Calibri" w:cs="Arial"/>
          <w:szCs w:val="24"/>
          <w:lang w:val="en-GB"/>
        </w:rPr>
        <w:t>2021</w:t>
      </w:r>
    </w:p>
    <w:p w14:paraId="65524643" w14:textId="77777777" w:rsidR="001801B5" w:rsidRPr="00956ECB" w:rsidRDefault="001801B5" w:rsidP="001801B5">
      <w:pPr>
        <w:spacing w:before="360" w:after="360" w:line="360" w:lineRule="auto"/>
        <w:jc w:val="both"/>
        <w:rPr>
          <w:rFonts w:eastAsia="Calibri" w:cs="Arial"/>
          <w:b/>
          <w:szCs w:val="24"/>
          <w:lang w:val="en-GB"/>
        </w:rPr>
      </w:pPr>
      <w:r w:rsidRPr="00956ECB">
        <w:rPr>
          <w:rFonts w:eastAsia="Calibri" w:cs="Arial"/>
          <w:b/>
          <w:szCs w:val="24"/>
          <w:lang w:val="en-GB"/>
        </w:rPr>
        <w:t>Appearances:</w:t>
      </w:r>
    </w:p>
    <w:p w14:paraId="205E6510" w14:textId="77777777" w:rsidR="0086537E" w:rsidRPr="00956ECB" w:rsidRDefault="001801B5" w:rsidP="00A16D69">
      <w:pPr>
        <w:spacing w:before="120" w:after="120" w:line="360" w:lineRule="auto"/>
        <w:jc w:val="both"/>
        <w:rPr>
          <w:rFonts w:eastAsia="Calibri" w:cs="Arial"/>
          <w:szCs w:val="24"/>
          <w:lang w:val="en-GB"/>
        </w:rPr>
      </w:pPr>
      <w:r w:rsidRPr="00956ECB">
        <w:rPr>
          <w:rFonts w:eastAsia="Calibri" w:cs="Arial"/>
          <w:szCs w:val="24"/>
          <w:lang w:val="en-GB"/>
        </w:rPr>
        <w:t>Counsel for the appellant:</w:t>
      </w:r>
      <w:r w:rsidRPr="00956ECB">
        <w:rPr>
          <w:rFonts w:eastAsia="Calibri" w:cs="Arial"/>
          <w:szCs w:val="24"/>
          <w:lang w:val="en-GB"/>
        </w:rPr>
        <w:tab/>
      </w:r>
      <w:r w:rsidRPr="00956ECB">
        <w:rPr>
          <w:rFonts w:eastAsia="Calibri" w:cs="Arial"/>
          <w:szCs w:val="24"/>
          <w:lang w:val="en-GB"/>
        </w:rPr>
        <w:tab/>
      </w:r>
      <w:r w:rsidRPr="00956ECB">
        <w:rPr>
          <w:rFonts w:eastAsia="Calibri" w:cs="Arial"/>
          <w:szCs w:val="24"/>
          <w:lang w:val="en-GB"/>
        </w:rPr>
        <w:tab/>
      </w:r>
      <w:r w:rsidR="0006401A" w:rsidRPr="00956ECB">
        <w:rPr>
          <w:rFonts w:eastAsia="Calibri" w:cs="Arial"/>
          <w:szCs w:val="24"/>
          <w:lang w:val="en-GB"/>
        </w:rPr>
        <w:t xml:space="preserve">Adv. PA Swanepoel SC; </w:t>
      </w:r>
    </w:p>
    <w:p w14:paraId="6057DFCA" w14:textId="77777777" w:rsidR="001801B5" w:rsidRPr="00956ECB" w:rsidRDefault="0006401A" w:rsidP="00A16D69">
      <w:pPr>
        <w:spacing w:before="120" w:after="120" w:line="360" w:lineRule="auto"/>
        <w:ind w:left="3600" w:firstLine="720"/>
        <w:jc w:val="both"/>
        <w:rPr>
          <w:rFonts w:eastAsia="Calibri" w:cs="Arial"/>
          <w:szCs w:val="24"/>
          <w:lang w:val="en-GB"/>
        </w:rPr>
      </w:pPr>
      <w:r w:rsidRPr="00956ECB">
        <w:rPr>
          <w:rFonts w:eastAsia="Calibri" w:cs="Arial"/>
          <w:szCs w:val="24"/>
          <w:lang w:val="en-GB"/>
        </w:rPr>
        <w:t xml:space="preserve">Adv. CA </w:t>
      </w:r>
      <w:proofErr w:type="spellStart"/>
      <w:r w:rsidRPr="00956ECB">
        <w:rPr>
          <w:rFonts w:eastAsia="Calibri" w:cs="Arial"/>
          <w:szCs w:val="24"/>
          <w:lang w:val="en-GB"/>
        </w:rPr>
        <w:t>Boonzaaier</w:t>
      </w:r>
      <w:proofErr w:type="spellEnd"/>
    </w:p>
    <w:p w14:paraId="26314571" w14:textId="77777777" w:rsidR="001801B5" w:rsidRPr="00956ECB" w:rsidRDefault="001801B5" w:rsidP="00A16D69">
      <w:pPr>
        <w:spacing w:before="120" w:after="120" w:line="360" w:lineRule="auto"/>
        <w:jc w:val="both"/>
        <w:rPr>
          <w:rFonts w:eastAsia="Calibri" w:cs="Arial"/>
          <w:szCs w:val="24"/>
          <w:lang w:val="en-GB"/>
        </w:rPr>
      </w:pPr>
      <w:r w:rsidRPr="00956ECB">
        <w:rPr>
          <w:rFonts w:eastAsia="Calibri" w:cs="Arial"/>
          <w:szCs w:val="24"/>
          <w:lang w:val="en-GB"/>
        </w:rPr>
        <w:t>Attorney for the appellant:</w:t>
      </w:r>
      <w:r w:rsidR="00B35969" w:rsidRPr="00956ECB">
        <w:rPr>
          <w:rFonts w:eastAsia="Calibri" w:cs="Arial"/>
          <w:szCs w:val="24"/>
          <w:lang w:val="en-GB"/>
        </w:rPr>
        <w:tab/>
      </w:r>
      <w:r w:rsidR="00B35969" w:rsidRPr="00956ECB">
        <w:rPr>
          <w:rFonts w:eastAsia="Calibri" w:cs="Arial"/>
          <w:szCs w:val="24"/>
          <w:lang w:val="en-GB"/>
        </w:rPr>
        <w:tab/>
      </w:r>
      <w:r w:rsidR="00B35969" w:rsidRPr="00956ECB">
        <w:rPr>
          <w:rFonts w:eastAsia="Calibri" w:cs="Arial"/>
          <w:szCs w:val="24"/>
          <w:lang w:val="en-GB"/>
        </w:rPr>
        <w:tab/>
      </w:r>
      <w:r w:rsidR="0006401A" w:rsidRPr="00956ECB">
        <w:rPr>
          <w:rFonts w:eastAsia="Calibri" w:cs="Arial"/>
          <w:szCs w:val="24"/>
          <w:lang w:val="en-GB"/>
        </w:rPr>
        <w:t xml:space="preserve">Edward Nathan </w:t>
      </w:r>
      <w:proofErr w:type="spellStart"/>
      <w:r w:rsidR="0006401A" w:rsidRPr="00956ECB">
        <w:rPr>
          <w:rFonts w:eastAsia="Calibri" w:cs="Arial"/>
          <w:szCs w:val="24"/>
          <w:lang w:val="en-GB"/>
        </w:rPr>
        <w:t>Sonnenbergs</w:t>
      </w:r>
      <w:proofErr w:type="spellEnd"/>
      <w:r w:rsidR="0006401A" w:rsidRPr="00956ECB">
        <w:rPr>
          <w:rFonts w:eastAsia="Calibri" w:cs="Arial"/>
          <w:szCs w:val="24"/>
          <w:lang w:val="en-GB"/>
        </w:rPr>
        <w:t xml:space="preserve"> Incorporated</w:t>
      </w:r>
    </w:p>
    <w:p w14:paraId="4B41B998" w14:textId="77777777" w:rsidR="0086537E" w:rsidRPr="00956ECB" w:rsidRDefault="001801B5" w:rsidP="00A16D69">
      <w:pPr>
        <w:spacing w:before="120" w:after="120" w:line="360" w:lineRule="auto"/>
        <w:jc w:val="both"/>
        <w:rPr>
          <w:rFonts w:eastAsia="Calibri" w:cs="Arial"/>
          <w:szCs w:val="24"/>
          <w:lang w:val="en-GB"/>
        </w:rPr>
      </w:pPr>
      <w:r w:rsidRPr="00956ECB">
        <w:rPr>
          <w:rFonts w:eastAsia="Calibri" w:cs="Arial"/>
          <w:szCs w:val="24"/>
          <w:lang w:val="en-GB"/>
        </w:rPr>
        <w:t>Counsel for the respondent:</w:t>
      </w:r>
      <w:r w:rsidRPr="00956ECB">
        <w:rPr>
          <w:rFonts w:eastAsia="Calibri" w:cs="Arial"/>
          <w:szCs w:val="24"/>
          <w:lang w:val="en-GB"/>
        </w:rPr>
        <w:tab/>
      </w:r>
      <w:r w:rsidRPr="00956ECB">
        <w:rPr>
          <w:rFonts w:eastAsia="Calibri" w:cs="Arial"/>
          <w:szCs w:val="24"/>
          <w:lang w:val="en-GB"/>
        </w:rPr>
        <w:tab/>
      </w:r>
      <w:r w:rsidR="0006401A" w:rsidRPr="00956ECB">
        <w:rPr>
          <w:rFonts w:eastAsia="Calibri" w:cs="Arial"/>
          <w:szCs w:val="24"/>
          <w:lang w:val="en-GB"/>
        </w:rPr>
        <w:t xml:space="preserve">Adv. AR </w:t>
      </w:r>
      <w:proofErr w:type="spellStart"/>
      <w:r w:rsidR="0006401A" w:rsidRPr="00956ECB">
        <w:rPr>
          <w:rFonts w:eastAsia="Calibri" w:cs="Arial"/>
          <w:szCs w:val="24"/>
          <w:lang w:val="en-GB"/>
        </w:rPr>
        <w:t>Bhana</w:t>
      </w:r>
      <w:proofErr w:type="spellEnd"/>
      <w:r w:rsidR="0006401A" w:rsidRPr="00956ECB">
        <w:rPr>
          <w:rFonts w:eastAsia="Calibri" w:cs="Arial"/>
          <w:szCs w:val="24"/>
          <w:lang w:val="en-GB"/>
        </w:rPr>
        <w:t xml:space="preserve"> SC; </w:t>
      </w:r>
    </w:p>
    <w:p w14:paraId="3379E93E" w14:textId="77777777" w:rsidR="001801B5" w:rsidRPr="00956ECB" w:rsidRDefault="0006401A" w:rsidP="00A16D69">
      <w:pPr>
        <w:spacing w:before="120" w:after="120" w:line="360" w:lineRule="auto"/>
        <w:ind w:left="4320"/>
        <w:jc w:val="both"/>
        <w:rPr>
          <w:rFonts w:eastAsia="Calibri" w:cs="Arial"/>
          <w:szCs w:val="24"/>
          <w:lang w:val="en-GB"/>
        </w:rPr>
      </w:pPr>
      <w:r w:rsidRPr="00956ECB">
        <w:rPr>
          <w:rFonts w:eastAsia="Calibri" w:cs="Arial"/>
          <w:szCs w:val="24"/>
          <w:lang w:val="en-GB"/>
        </w:rPr>
        <w:t>Adv. L Haskins</w:t>
      </w:r>
    </w:p>
    <w:p w14:paraId="66F5AE03" w14:textId="77777777" w:rsidR="001801B5" w:rsidRPr="00956ECB" w:rsidRDefault="001801B5" w:rsidP="00A16D69">
      <w:pPr>
        <w:spacing w:before="120" w:after="120" w:line="360" w:lineRule="auto"/>
        <w:jc w:val="both"/>
        <w:rPr>
          <w:rFonts w:cs="Arial"/>
          <w:szCs w:val="24"/>
          <w:lang w:val="en-GB"/>
        </w:rPr>
      </w:pPr>
      <w:r w:rsidRPr="00956ECB">
        <w:rPr>
          <w:rFonts w:eastAsia="Calibri" w:cs="Arial"/>
          <w:szCs w:val="24"/>
          <w:lang w:val="en-GB"/>
        </w:rPr>
        <w:t xml:space="preserve">Attorney for the </w:t>
      </w:r>
      <w:r w:rsidR="0006401A" w:rsidRPr="00956ECB">
        <w:rPr>
          <w:rFonts w:eastAsia="Calibri" w:cs="Arial"/>
          <w:szCs w:val="24"/>
          <w:lang w:val="en-GB"/>
        </w:rPr>
        <w:t>respondent:</w:t>
      </w:r>
      <w:r w:rsidR="0006401A" w:rsidRPr="00956ECB">
        <w:rPr>
          <w:rFonts w:eastAsia="Calibri" w:cs="Arial"/>
          <w:szCs w:val="24"/>
          <w:lang w:val="en-GB"/>
        </w:rPr>
        <w:tab/>
      </w:r>
      <w:r w:rsidR="0006401A" w:rsidRPr="00956ECB">
        <w:rPr>
          <w:rFonts w:eastAsia="Calibri" w:cs="Arial"/>
          <w:szCs w:val="24"/>
          <w:lang w:val="en-GB"/>
        </w:rPr>
        <w:tab/>
        <w:t>State Attorney, Johannesburg</w:t>
      </w:r>
    </w:p>
    <w:p w14:paraId="7A2195A8" w14:textId="77777777" w:rsidR="001801B5" w:rsidRPr="00956ECB" w:rsidRDefault="001801B5" w:rsidP="001801B5">
      <w:pPr>
        <w:pStyle w:val="ListParagraph"/>
        <w:spacing w:before="240" w:after="240" w:line="360" w:lineRule="auto"/>
        <w:ind w:left="0"/>
        <w:contextualSpacing w:val="0"/>
      </w:pPr>
    </w:p>
    <w:sectPr w:rsidR="001801B5" w:rsidRPr="00956ECB" w:rsidSect="00FD7A56">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751F" w14:textId="77777777" w:rsidR="00353203" w:rsidRDefault="00353203" w:rsidP="00004DF8">
      <w:pPr>
        <w:spacing w:after="0" w:line="240" w:lineRule="auto"/>
      </w:pPr>
      <w:r>
        <w:separator/>
      </w:r>
    </w:p>
  </w:endnote>
  <w:endnote w:type="continuationSeparator" w:id="0">
    <w:p w14:paraId="28349C38" w14:textId="77777777" w:rsidR="00353203" w:rsidRDefault="00353203" w:rsidP="0000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059C" w14:textId="77777777" w:rsidR="00353203" w:rsidRDefault="00353203" w:rsidP="00004DF8">
      <w:pPr>
        <w:spacing w:after="0" w:line="240" w:lineRule="auto"/>
      </w:pPr>
      <w:r>
        <w:separator/>
      </w:r>
    </w:p>
  </w:footnote>
  <w:footnote w:type="continuationSeparator" w:id="0">
    <w:p w14:paraId="01A3574F" w14:textId="77777777" w:rsidR="00353203" w:rsidRDefault="00353203" w:rsidP="00004DF8">
      <w:pPr>
        <w:spacing w:after="0" w:line="240" w:lineRule="auto"/>
      </w:pPr>
      <w:r>
        <w:continuationSeparator/>
      </w:r>
    </w:p>
  </w:footnote>
  <w:footnote w:id="1">
    <w:p w14:paraId="12D3C595" w14:textId="77777777" w:rsidR="002467D2" w:rsidRPr="002B7C38" w:rsidRDefault="002467D2" w:rsidP="002467D2">
      <w:pPr>
        <w:pStyle w:val="FootnoteText"/>
        <w:jc w:val="both"/>
      </w:pPr>
      <w:r>
        <w:rPr>
          <w:rStyle w:val="FootnoteReference"/>
        </w:rPr>
        <w:footnoteRef/>
      </w:r>
      <w:r>
        <w:t xml:space="preserve"> TAA Rules in </w:t>
      </w:r>
      <w:r w:rsidRPr="007D5F39">
        <w:t xml:space="preserve">GN 550 </w:t>
      </w:r>
      <w:r>
        <w:rPr>
          <w:i/>
        </w:rPr>
        <w:t>GG</w:t>
      </w:r>
      <w:r w:rsidRPr="007D5F39">
        <w:t xml:space="preserve"> 37819</w:t>
      </w:r>
      <w:r>
        <w:t xml:space="preserve"> of </w:t>
      </w:r>
      <w:r w:rsidRPr="002B7C38">
        <w:t>11 July 2014</w:t>
      </w:r>
      <w:r>
        <w:t>, promulgated in terms of s 103 of the TAA.</w:t>
      </w:r>
    </w:p>
  </w:footnote>
  <w:footnote w:id="2">
    <w:p w14:paraId="5BFD6557" w14:textId="2C5C3C93" w:rsidR="00A34422" w:rsidRPr="00EF3081" w:rsidRDefault="00A34422" w:rsidP="00275AF9">
      <w:pPr>
        <w:pStyle w:val="FootnoteText"/>
        <w:jc w:val="both"/>
      </w:pPr>
      <w:r w:rsidRPr="00EF3081">
        <w:rPr>
          <w:rStyle w:val="FootnoteReference"/>
        </w:rPr>
        <w:footnoteRef/>
      </w:r>
      <w:r w:rsidRPr="00EF3081">
        <w:t xml:space="preserve"> Section 11</w:t>
      </w:r>
      <w:r>
        <w:t>,</w:t>
      </w:r>
      <w:r w:rsidRPr="00EF3081">
        <w:t xml:space="preserve"> titled</w:t>
      </w:r>
      <w:r>
        <w:t>,</w:t>
      </w:r>
      <w:r w:rsidRPr="00EF3081">
        <w:t xml:space="preserve"> ‘General deductions allowed in determination of taxable income’ provides:</w:t>
      </w:r>
    </w:p>
    <w:p w14:paraId="23259AAA" w14:textId="77777777" w:rsidR="00A34422" w:rsidRPr="00EF3081" w:rsidRDefault="00A34422" w:rsidP="00275AF9">
      <w:pPr>
        <w:pStyle w:val="FootnoteText"/>
        <w:jc w:val="both"/>
      </w:pPr>
      <w:r w:rsidRPr="00EF3081">
        <w:t>‘For the purpose of determining the taxable income derived by any person from carrying on any trade, there shall be allowed as deductions from the income of such person so derived—</w:t>
      </w:r>
    </w:p>
    <w:p w14:paraId="74AB4059" w14:textId="77777777" w:rsidR="00A34422" w:rsidRPr="00EF3081" w:rsidRDefault="00A34422" w:rsidP="00275AF9">
      <w:pPr>
        <w:pStyle w:val="FootnoteText"/>
        <w:numPr>
          <w:ilvl w:val="0"/>
          <w:numId w:val="6"/>
        </w:numPr>
        <w:ind w:left="426" w:hanging="426"/>
        <w:jc w:val="both"/>
      </w:pPr>
      <w:r w:rsidRPr="00EF3081">
        <w:t>expenditure and losses actually incurred in the production of the income, provided such expenditure and losses are not of a capital nature;</w:t>
      </w:r>
    </w:p>
    <w:p w14:paraId="68D0994E" w14:textId="77777777" w:rsidR="00A34422" w:rsidRPr="003527D8" w:rsidRDefault="00A34422" w:rsidP="00275AF9">
      <w:pPr>
        <w:pStyle w:val="FootnoteText"/>
        <w:numPr>
          <w:ilvl w:val="0"/>
          <w:numId w:val="6"/>
        </w:numPr>
        <w:ind w:left="426" w:hanging="426"/>
        <w:jc w:val="both"/>
        <w:rPr>
          <w:lang w:val="en-US"/>
        </w:rPr>
      </w:pPr>
      <w:r w:rsidRPr="00EF3081">
        <w:t>…’</w:t>
      </w:r>
    </w:p>
  </w:footnote>
  <w:footnote w:id="3">
    <w:p w14:paraId="11FF91B0" w14:textId="4566836B" w:rsidR="000026DC" w:rsidRDefault="000026DC" w:rsidP="000026DC">
      <w:pPr>
        <w:pStyle w:val="FootnoteText"/>
      </w:pPr>
      <w:r>
        <w:rPr>
          <w:rStyle w:val="FootnoteReference"/>
        </w:rPr>
        <w:footnoteRef/>
      </w:r>
      <w:r>
        <w:t xml:space="preserve"> See Rule 31 and Rule 32 in footnote 21 below.</w:t>
      </w:r>
    </w:p>
    <w:p w14:paraId="07CD1476" w14:textId="6CD41FFD" w:rsidR="000026DC" w:rsidRPr="000026DC" w:rsidRDefault="000026DC">
      <w:pPr>
        <w:pStyle w:val="FootnoteText"/>
        <w:rPr>
          <w:lang w:val="en-US"/>
        </w:rPr>
      </w:pPr>
    </w:p>
  </w:footnote>
  <w:footnote w:id="4">
    <w:p w14:paraId="3FBFF5CB" w14:textId="77777777" w:rsidR="00A34422" w:rsidRPr="00EF3081" w:rsidRDefault="00A34422" w:rsidP="000E161C">
      <w:pPr>
        <w:pStyle w:val="FootnoteText"/>
        <w:jc w:val="both"/>
      </w:pPr>
      <w:r w:rsidRPr="00EF3081">
        <w:rPr>
          <w:rStyle w:val="FootnoteReference"/>
        </w:rPr>
        <w:footnoteRef/>
      </w:r>
      <w:r w:rsidRPr="00EF3081">
        <w:t xml:space="preserve"> </w:t>
      </w:r>
      <w:r w:rsidRPr="00EF3081">
        <w:rPr>
          <w:i/>
        </w:rPr>
        <w:t xml:space="preserve">Black Mountain Mining (Pty) Ltd v The Commissioner for the South African Revenue Service </w:t>
      </w:r>
      <w:r w:rsidRPr="00EF3081">
        <w:t>[2021] ZATC 2.</w:t>
      </w:r>
    </w:p>
  </w:footnote>
  <w:footnote w:id="5">
    <w:p w14:paraId="40D15477" w14:textId="0F4F7432" w:rsidR="00A34422" w:rsidRPr="00EF3081" w:rsidRDefault="00A34422" w:rsidP="00EF3081">
      <w:pPr>
        <w:pStyle w:val="FootnoteText"/>
        <w:jc w:val="both"/>
      </w:pPr>
      <w:r w:rsidRPr="00EF3081">
        <w:rPr>
          <w:rStyle w:val="FootnoteReference"/>
        </w:rPr>
        <w:footnoteRef/>
      </w:r>
      <w:r w:rsidRPr="00EF3081">
        <w:t xml:space="preserve"> </w:t>
      </w:r>
      <w:r w:rsidRPr="00EF3081">
        <w:rPr>
          <w:i/>
        </w:rPr>
        <w:t xml:space="preserve">South Cape Corporation (Pty) Ltd v Engineering Management Services (Pty) Ltd </w:t>
      </w:r>
      <w:r w:rsidRPr="00EF3081">
        <w:t>1977 (3) SA 534 (A)</w:t>
      </w:r>
      <w:r>
        <w:t xml:space="preserve"> at 549F–550A</w:t>
      </w:r>
    </w:p>
  </w:footnote>
  <w:footnote w:id="6">
    <w:p w14:paraId="39A238B1" w14:textId="111F70F5" w:rsidR="00A34422" w:rsidRPr="00EF3081" w:rsidRDefault="00A34422" w:rsidP="000F3D2B">
      <w:pPr>
        <w:pStyle w:val="FootnoteText"/>
        <w:jc w:val="both"/>
        <w:rPr>
          <w:lang w:val="en-US"/>
        </w:rPr>
      </w:pPr>
      <w:r w:rsidRPr="00E4054D">
        <w:rPr>
          <w:rStyle w:val="FootnoteReference"/>
        </w:rPr>
        <w:footnoteRef/>
      </w:r>
      <w:r w:rsidRPr="00E4054D">
        <w:t xml:space="preserve"> </w:t>
      </w:r>
      <w:r w:rsidRPr="00E4054D">
        <w:rPr>
          <w:lang w:val="en-US"/>
        </w:rPr>
        <w:t xml:space="preserve">See paras </w:t>
      </w:r>
      <w:r w:rsidRPr="00E4054D">
        <w:rPr>
          <w:lang w:val="en-US"/>
        </w:rPr>
        <w:fldChar w:fldCharType="begin"/>
      </w:r>
      <w:r w:rsidRPr="00E4054D">
        <w:rPr>
          <w:lang w:val="en-US"/>
        </w:rPr>
        <w:instrText xml:space="preserve"> REF _Ref81310817 \r \h  \* MERGEFORMAT </w:instrText>
      </w:r>
      <w:r w:rsidRPr="00E4054D">
        <w:rPr>
          <w:lang w:val="en-US"/>
        </w:rPr>
      </w:r>
      <w:r w:rsidRPr="00E4054D">
        <w:rPr>
          <w:lang w:val="en-US"/>
        </w:rPr>
        <w:fldChar w:fldCharType="separate"/>
      </w:r>
      <w:r w:rsidRPr="00E4054D">
        <w:rPr>
          <w:lang w:val="en-US"/>
        </w:rPr>
        <w:t>[13]</w:t>
      </w:r>
      <w:r w:rsidRPr="00E4054D">
        <w:rPr>
          <w:lang w:val="en-US"/>
        </w:rPr>
        <w:fldChar w:fldCharType="end"/>
      </w:r>
      <w:r w:rsidRPr="00E4054D">
        <w:rPr>
          <w:lang w:val="en-US"/>
        </w:rPr>
        <w:t>-</w:t>
      </w:r>
      <w:r w:rsidR="00E4054D" w:rsidRPr="00E4054D">
        <w:rPr>
          <w:lang w:val="en-US"/>
        </w:rPr>
        <w:fldChar w:fldCharType="begin"/>
      </w:r>
      <w:r w:rsidR="00E4054D" w:rsidRPr="00E4054D">
        <w:rPr>
          <w:lang w:val="en-US"/>
        </w:rPr>
        <w:instrText xml:space="preserve"> REF _Ref81485058 \r \h  \* MERGEFORMAT </w:instrText>
      </w:r>
      <w:r w:rsidR="00E4054D" w:rsidRPr="00E4054D">
        <w:rPr>
          <w:lang w:val="en-US"/>
        </w:rPr>
      </w:r>
      <w:r w:rsidR="00E4054D" w:rsidRPr="00E4054D">
        <w:rPr>
          <w:lang w:val="en-US"/>
        </w:rPr>
        <w:fldChar w:fldCharType="separate"/>
      </w:r>
      <w:r w:rsidR="00E4054D" w:rsidRPr="00E4054D">
        <w:rPr>
          <w:lang w:val="en-US"/>
        </w:rPr>
        <w:t>[17]</w:t>
      </w:r>
      <w:r w:rsidR="00E4054D" w:rsidRPr="00E4054D">
        <w:rPr>
          <w:lang w:val="en-US"/>
        </w:rPr>
        <w:fldChar w:fldCharType="end"/>
      </w:r>
      <w:r w:rsidRPr="00E4054D">
        <w:rPr>
          <w:lang w:val="en-US"/>
        </w:rPr>
        <w:t xml:space="preserve"> above.</w:t>
      </w:r>
    </w:p>
  </w:footnote>
  <w:footnote w:id="7">
    <w:p w14:paraId="5FAFA020" w14:textId="38FC5F70" w:rsidR="000F3D2B" w:rsidRDefault="000F3D2B" w:rsidP="000F3D2B">
      <w:pPr>
        <w:pStyle w:val="FootnoteText"/>
        <w:jc w:val="both"/>
      </w:pPr>
      <w:r>
        <w:rPr>
          <w:rStyle w:val="FootnoteReference"/>
        </w:rPr>
        <w:footnoteRef/>
      </w:r>
      <w:r>
        <w:t xml:space="preserve"> </w:t>
      </w:r>
      <w:r w:rsidRPr="00EF3081">
        <w:rPr>
          <w:lang w:val="en-US"/>
        </w:rPr>
        <w:t>As state</w:t>
      </w:r>
      <w:r>
        <w:rPr>
          <w:lang w:val="en-US"/>
        </w:rPr>
        <w:t>d</w:t>
      </w:r>
      <w:r w:rsidRPr="00EF3081">
        <w:rPr>
          <w:lang w:val="en-US"/>
        </w:rPr>
        <w:t xml:space="preserve"> above,</w:t>
      </w:r>
      <w:r w:rsidRPr="00EF3081">
        <w:t xml:space="preserve"> s</w:t>
      </w:r>
      <w:r w:rsidRPr="00EF3081">
        <w:rPr>
          <w:lang w:val="en-US"/>
        </w:rPr>
        <w:t xml:space="preserve"> 117(3) of the TAA provides that a Tax Court ‘may hear and decide an interlocutory application or an application in a procedural matter relating to a dispute under this Chapter [Chapter 9] as provided for in the “rules”.’</w:t>
      </w:r>
    </w:p>
  </w:footnote>
  <w:footnote w:id="8">
    <w:p w14:paraId="1F65A184" w14:textId="77777777" w:rsidR="00A34422" w:rsidRPr="00EF3081" w:rsidRDefault="00A34422" w:rsidP="00EF3081">
      <w:pPr>
        <w:pStyle w:val="FootnoteText"/>
        <w:jc w:val="both"/>
        <w:rPr>
          <w:lang w:val="en-US"/>
        </w:rPr>
      </w:pPr>
      <w:r w:rsidRPr="00EF3081">
        <w:rPr>
          <w:rStyle w:val="FootnoteReference"/>
        </w:rPr>
        <w:footnoteRef/>
      </w:r>
      <w:r w:rsidRPr="00EF3081">
        <w:t xml:space="preserve"> </w:t>
      </w:r>
      <w:proofErr w:type="spellStart"/>
      <w:r w:rsidRPr="00EF3081">
        <w:rPr>
          <w:i/>
        </w:rPr>
        <w:t>Hassim</w:t>
      </w:r>
      <w:proofErr w:type="spellEnd"/>
      <w:r w:rsidRPr="00EF3081">
        <w:rPr>
          <w:i/>
        </w:rPr>
        <w:t xml:space="preserve"> v Commissioner, South African Revenue Services</w:t>
      </w:r>
      <w:r w:rsidRPr="00EF3081">
        <w:t xml:space="preserve"> [2002] ZASCA 140; 2003 (2) SA 246 (SCA).</w:t>
      </w:r>
    </w:p>
  </w:footnote>
  <w:footnote w:id="9">
    <w:p w14:paraId="18F1F5CF" w14:textId="77777777" w:rsidR="00A34422" w:rsidRPr="00EF3081" w:rsidRDefault="00A34422" w:rsidP="00EF3081">
      <w:pPr>
        <w:pStyle w:val="FootnoteText"/>
        <w:jc w:val="both"/>
      </w:pPr>
      <w:r w:rsidRPr="00EF3081">
        <w:rPr>
          <w:rStyle w:val="FootnoteReference"/>
        </w:rPr>
        <w:footnoteRef/>
      </w:r>
      <w:r w:rsidRPr="00EF3081">
        <w:t xml:space="preserve"> Ibid paras 10-11.</w:t>
      </w:r>
    </w:p>
  </w:footnote>
  <w:footnote w:id="10">
    <w:p w14:paraId="156FCA29" w14:textId="7DF4248E" w:rsidR="00A34422" w:rsidRPr="00EF3081" w:rsidRDefault="00A34422" w:rsidP="00EF3081">
      <w:pPr>
        <w:pStyle w:val="FootnoteText"/>
        <w:jc w:val="both"/>
      </w:pPr>
      <w:r w:rsidRPr="00EF3081">
        <w:rPr>
          <w:rStyle w:val="FootnoteReference"/>
        </w:rPr>
        <w:footnoteRef/>
      </w:r>
      <w:r w:rsidRPr="00EF3081">
        <w:t xml:space="preserve"> </w:t>
      </w:r>
      <w:r w:rsidRPr="00EF3081">
        <w:rPr>
          <w:i/>
        </w:rPr>
        <w:t>Pretoria Garrison Institutes v Danish Variety Products (Pty) Ltd</w:t>
      </w:r>
      <w:r w:rsidRPr="00EF3081">
        <w:t xml:space="preserve"> 1948 (1) SA 839 (A) at 870, cited with approval in </w:t>
      </w:r>
      <w:r w:rsidRPr="00EF3081">
        <w:rPr>
          <w:i/>
        </w:rPr>
        <w:t xml:space="preserve">South Cape Corporation </w:t>
      </w:r>
      <w:r w:rsidRPr="00EF3081">
        <w:t>(note</w:t>
      </w:r>
      <w:r w:rsidR="00E4054D">
        <w:t xml:space="preserve"> 5</w:t>
      </w:r>
      <w:r w:rsidR="00293E48" w:rsidRPr="00EF3081">
        <w:t xml:space="preserve"> </w:t>
      </w:r>
      <w:r w:rsidRPr="00EF3081">
        <w:t>above) at 550B-C.</w:t>
      </w:r>
    </w:p>
  </w:footnote>
  <w:footnote w:id="11">
    <w:p w14:paraId="7CAB5710" w14:textId="77777777" w:rsidR="00A34422" w:rsidRPr="00EF3081" w:rsidRDefault="00A34422" w:rsidP="00EF3081">
      <w:pPr>
        <w:pStyle w:val="FootnoteText"/>
        <w:jc w:val="both"/>
        <w:rPr>
          <w:rFonts w:cs="Times New Roman"/>
        </w:rPr>
      </w:pPr>
      <w:r w:rsidRPr="00EF3081">
        <w:rPr>
          <w:rStyle w:val="FootnoteReference"/>
          <w:rFonts w:cs="Arial"/>
        </w:rPr>
        <w:footnoteRef/>
      </w:r>
      <w:r w:rsidRPr="00EF3081">
        <w:rPr>
          <w:rFonts w:cs="Arial"/>
        </w:rPr>
        <w:t xml:space="preserve"> </w:t>
      </w:r>
      <w:r w:rsidRPr="00EF3081">
        <w:rPr>
          <w:rFonts w:cs="Arial"/>
          <w:i/>
          <w:iCs/>
        </w:rPr>
        <w:t>International Trade Administration Commission v SCAW South Africa (Pty) Ltd</w:t>
      </w:r>
      <w:r w:rsidRPr="00EF3081">
        <w:rPr>
          <w:rFonts w:cs="Arial"/>
        </w:rPr>
        <w:t xml:space="preserve"> [2010] ZACC 6; 2012 (4) SA 618 (CC) paras 47-55</w:t>
      </w:r>
    </w:p>
  </w:footnote>
  <w:footnote w:id="12">
    <w:p w14:paraId="54380EA7" w14:textId="77777777" w:rsidR="00A34422" w:rsidRPr="00EF3081" w:rsidRDefault="00A34422" w:rsidP="00EF3081">
      <w:pPr>
        <w:pStyle w:val="FootnoteText"/>
        <w:jc w:val="both"/>
      </w:pPr>
      <w:r w:rsidRPr="00EF3081">
        <w:rPr>
          <w:rStyle w:val="FootnoteReference"/>
          <w:rFonts w:cs="Arial"/>
        </w:rPr>
        <w:footnoteRef/>
      </w:r>
      <w:r w:rsidRPr="00EF3081">
        <w:rPr>
          <w:rFonts w:cs="Arial"/>
        </w:rPr>
        <w:t xml:space="preserve"> </w:t>
      </w:r>
      <w:proofErr w:type="spellStart"/>
      <w:r w:rsidRPr="00EF3081">
        <w:rPr>
          <w:rFonts w:cs="Arial"/>
          <w:i/>
        </w:rPr>
        <w:t>Zweni</w:t>
      </w:r>
      <w:proofErr w:type="spellEnd"/>
      <w:r w:rsidRPr="00EF3081">
        <w:rPr>
          <w:rFonts w:cs="Arial"/>
          <w:i/>
        </w:rPr>
        <w:t xml:space="preserve"> v Minister of Law and Order </w:t>
      </w:r>
      <w:r w:rsidRPr="00EF3081">
        <w:rPr>
          <w:rFonts w:cs="Arial"/>
        </w:rPr>
        <w:t>1993 (1) SA 523 (A) at 532I-533A.</w:t>
      </w:r>
    </w:p>
  </w:footnote>
  <w:footnote w:id="13">
    <w:p w14:paraId="0596F0AB" w14:textId="4BF98D57" w:rsidR="00A34422" w:rsidRPr="00EF3081" w:rsidRDefault="00A34422" w:rsidP="00EF3081">
      <w:pPr>
        <w:pStyle w:val="FootnoteText"/>
        <w:jc w:val="both"/>
      </w:pPr>
      <w:r w:rsidRPr="00E4054D">
        <w:rPr>
          <w:rStyle w:val="FootnoteReference"/>
        </w:rPr>
        <w:footnoteRef/>
      </w:r>
      <w:r w:rsidRPr="00E4054D">
        <w:t xml:space="preserve"> </w:t>
      </w:r>
      <w:r w:rsidRPr="00E4054D">
        <w:rPr>
          <w:i/>
        </w:rPr>
        <w:t>SCAW</w:t>
      </w:r>
      <w:r w:rsidRPr="00E4054D">
        <w:t xml:space="preserve"> (note </w:t>
      </w:r>
      <w:r w:rsidR="00E4054D" w:rsidRPr="00E4054D">
        <w:t xml:space="preserve">11 </w:t>
      </w:r>
      <w:r w:rsidRPr="00E4054D">
        <w:t>above) para 49.</w:t>
      </w:r>
    </w:p>
  </w:footnote>
  <w:footnote w:id="14">
    <w:p w14:paraId="0A9B74FD" w14:textId="77777777" w:rsidR="00A34422" w:rsidRPr="00EF3081" w:rsidRDefault="00A34422" w:rsidP="00EF3081">
      <w:pPr>
        <w:pStyle w:val="FootnoteText"/>
        <w:jc w:val="both"/>
        <w:rPr>
          <w:rFonts w:cs="Times New Roman"/>
        </w:rPr>
      </w:pPr>
      <w:r w:rsidRPr="00EF3081">
        <w:rPr>
          <w:rStyle w:val="FootnoteReference"/>
          <w:rFonts w:cs="Arial"/>
        </w:rPr>
        <w:footnoteRef/>
      </w:r>
      <w:r w:rsidRPr="00EF3081">
        <w:rPr>
          <w:rFonts w:cs="Arial"/>
        </w:rPr>
        <w:t xml:space="preserve"> Ibid paras 51-55 (footnotes omitted). See also </w:t>
      </w:r>
      <w:r w:rsidRPr="00EF3081">
        <w:rPr>
          <w:rFonts w:cs="Arial"/>
          <w:i/>
        </w:rPr>
        <w:t xml:space="preserve">Velocity Trade Capital (Pty) Ltd v </w:t>
      </w:r>
      <w:proofErr w:type="spellStart"/>
      <w:r w:rsidRPr="00EF3081">
        <w:rPr>
          <w:rFonts w:cs="Arial"/>
          <w:i/>
        </w:rPr>
        <w:t>Quicktrade</w:t>
      </w:r>
      <w:proofErr w:type="spellEnd"/>
      <w:r w:rsidRPr="00EF3081">
        <w:rPr>
          <w:rFonts w:cs="Arial"/>
          <w:i/>
        </w:rPr>
        <w:t xml:space="preserve"> (Pty) Ltd</w:t>
      </w:r>
      <w:r w:rsidRPr="00EF3081">
        <w:t xml:space="preserve"> </w:t>
      </w:r>
      <w:r w:rsidRPr="00EF3081">
        <w:rPr>
          <w:rFonts w:cs="Arial"/>
        </w:rPr>
        <w:t>[2019] ZAWCHC 92; [2019] 4 All SA 986 (WCC).</w:t>
      </w:r>
    </w:p>
  </w:footnote>
  <w:footnote w:id="15">
    <w:p w14:paraId="08E3CF7A" w14:textId="44BF2E0A" w:rsidR="00A34422" w:rsidRPr="00EF3081" w:rsidRDefault="00A34422" w:rsidP="00EF3081">
      <w:pPr>
        <w:pStyle w:val="FootnoteText"/>
        <w:jc w:val="both"/>
        <w:rPr>
          <w:rFonts w:cs="Times New Roman"/>
        </w:rPr>
      </w:pPr>
      <w:r w:rsidRPr="00EF3081">
        <w:rPr>
          <w:rStyle w:val="FootnoteReference"/>
          <w:rFonts w:cs="Arial"/>
        </w:rPr>
        <w:footnoteRef/>
      </w:r>
      <w:r w:rsidRPr="00EF3081">
        <w:rPr>
          <w:rFonts w:cs="Arial"/>
        </w:rPr>
        <w:t xml:space="preserve"> </w:t>
      </w:r>
      <w:r w:rsidRPr="00EF3081">
        <w:rPr>
          <w:rFonts w:cs="Arial"/>
          <w:i/>
          <w:iCs/>
        </w:rPr>
        <w:t xml:space="preserve">Director-General, Department of Home Affairs and Another v Islam and Others </w:t>
      </w:r>
      <w:r w:rsidRPr="00EF3081">
        <w:rPr>
          <w:rFonts w:cs="Arial"/>
        </w:rPr>
        <w:t xml:space="preserve">[2018] ZASCA 48 </w:t>
      </w:r>
      <w:r w:rsidRPr="00EF3081">
        <w:rPr>
          <w:rFonts w:cs="Arial"/>
          <w:iCs/>
        </w:rPr>
        <w:t>para 10 (footnotes omitted).</w:t>
      </w:r>
    </w:p>
  </w:footnote>
  <w:footnote w:id="16">
    <w:p w14:paraId="269B2C53"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rPr>
        <w:t>Phillips and Others v National Director of Public Prosecutions</w:t>
      </w:r>
      <w:r w:rsidRPr="00EF3081">
        <w:t xml:space="preserve"> 2003 (6) SA 447 (SCA).</w:t>
      </w:r>
    </w:p>
  </w:footnote>
  <w:footnote w:id="17">
    <w:p w14:paraId="2A003E0D" w14:textId="77777777" w:rsidR="00A34422" w:rsidRPr="00EF3081" w:rsidRDefault="00A34422" w:rsidP="00EF3081">
      <w:pPr>
        <w:pStyle w:val="FootnoteText"/>
        <w:jc w:val="both"/>
      </w:pPr>
      <w:r w:rsidRPr="00EF3081">
        <w:rPr>
          <w:rStyle w:val="FootnoteReference"/>
          <w:rFonts w:cs="Arial"/>
        </w:rPr>
        <w:footnoteRef/>
      </w:r>
      <w:r w:rsidRPr="00EF3081">
        <w:rPr>
          <w:rFonts w:cs="Arial"/>
        </w:rPr>
        <w:t xml:space="preserve"> </w:t>
      </w:r>
      <w:r w:rsidRPr="00EF3081">
        <w:rPr>
          <w:rFonts w:cs="Arial"/>
          <w:iCs/>
        </w:rPr>
        <w:t>Ibid</w:t>
      </w:r>
      <w:r w:rsidRPr="00EF3081">
        <w:rPr>
          <w:rFonts w:cs="Arial"/>
        </w:rPr>
        <w:t xml:space="preserve"> para 20.</w:t>
      </w:r>
    </w:p>
  </w:footnote>
  <w:footnote w:id="18">
    <w:p w14:paraId="665940A7" w14:textId="77777777" w:rsidR="00A34422" w:rsidRPr="00EF3081" w:rsidRDefault="00A34422" w:rsidP="00EF3081">
      <w:pPr>
        <w:pStyle w:val="FootnoteText"/>
        <w:jc w:val="both"/>
      </w:pPr>
      <w:r w:rsidRPr="00EF3081">
        <w:rPr>
          <w:rStyle w:val="FootnoteReference"/>
        </w:rPr>
        <w:footnoteRef/>
      </w:r>
      <w:r w:rsidRPr="00EF3081">
        <w:t xml:space="preserve"> Ibid para 22.</w:t>
      </w:r>
    </w:p>
  </w:footnote>
  <w:footnote w:id="19">
    <w:p w14:paraId="09122EE6" w14:textId="5C098962" w:rsidR="00A34422" w:rsidRPr="00EF3081" w:rsidRDefault="00A34422" w:rsidP="00EF3081">
      <w:pPr>
        <w:pStyle w:val="FootnoteText"/>
        <w:jc w:val="both"/>
        <w:rPr>
          <w:rFonts w:cs="Times New Roman"/>
        </w:rPr>
      </w:pPr>
      <w:r w:rsidRPr="00743702">
        <w:rPr>
          <w:rStyle w:val="FootnoteReference"/>
        </w:rPr>
        <w:footnoteRef/>
      </w:r>
      <w:r w:rsidRPr="00743702">
        <w:t xml:space="preserve"> </w:t>
      </w:r>
      <w:r w:rsidRPr="00743702">
        <w:rPr>
          <w:rFonts w:cs="Arial"/>
          <w:i/>
        </w:rPr>
        <w:t xml:space="preserve">Velocity Trade Capital </w:t>
      </w:r>
      <w:r w:rsidRPr="00743702">
        <w:rPr>
          <w:rFonts w:cs="Arial"/>
        </w:rPr>
        <w:t xml:space="preserve">(note </w:t>
      </w:r>
      <w:r w:rsidR="00743702" w:rsidRPr="00743702">
        <w:rPr>
          <w:rFonts w:cs="Arial"/>
        </w:rPr>
        <w:t xml:space="preserve">14 </w:t>
      </w:r>
      <w:r w:rsidRPr="00743702">
        <w:rPr>
          <w:rFonts w:cs="Arial"/>
        </w:rPr>
        <w:t>above) para 51.</w:t>
      </w:r>
    </w:p>
  </w:footnote>
  <w:footnote w:id="20">
    <w:p w14:paraId="199DD412"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rPr>
        <w:t>FirstRand Bank Limited t/a First National Bank v Makaleng</w:t>
      </w:r>
      <w:r w:rsidRPr="00EF3081">
        <w:t xml:space="preserve"> [2016] ZASCA 169; [2016] JOL 36910 (SCA).</w:t>
      </w:r>
    </w:p>
  </w:footnote>
  <w:footnote w:id="21">
    <w:p w14:paraId="56DD77F3" w14:textId="77777777" w:rsidR="00A34422" w:rsidRPr="00EF3081" w:rsidRDefault="00A34422" w:rsidP="00EF3081">
      <w:pPr>
        <w:pStyle w:val="ListParagraph"/>
        <w:spacing w:after="0" w:line="240" w:lineRule="auto"/>
        <w:ind w:left="0"/>
        <w:contextualSpacing w:val="0"/>
        <w:jc w:val="both"/>
        <w:rPr>
          <w:sz w:val="20"/>
          <w:szCs w:val="20"/>
        </w:rPr>
      </w:pPr>
      <w:r w:rsidRPr="00EF3081">
        <w:rPr>
          <w:rStyle w:val="FootnoteReference"/>
          <w:sz w:val="20"/>
          <w:szCs w:val="20"/>
        </w:rPr>
        <w:footnoteRef/>
      </w:r>
      <w:r w:rsidRPr="00EF3081">
        <w:rPr>
          <w:sz w:val="20"/>
          <w:szCs w:val="20"/>
        </w:rPr>
        <w:t xml:space="preserve"> ‘</w:t>
      </w:r>
      <w:r w:rsidRPr="00EF3081">
        <w:rPr>
          <w:b/>
          <w:sz w:val="20"/>
          <w:szCs w:val="20"/>
        </w:rPr>
        <w:t>Procedures of tax court</w:t>
      </w:r>
      <w:r w:rsidRPr="00EF3081">
        <w:rPr>
          <w:sz w:val="20"/>
          <w:szCs w:val="20"/>
        </w:rPr>
        <w:t xml:space="preserve"> </w:t>
      </w:r>
    </w:p>
    <w:p w14:paraId="094F9513" w14:textId="77777777" w:rsidR="00A34422" w:rsidRPr="00EF3081" w:rsidRDefault="00A34422" w:rsidP="00EF3081">
      <w:pPr>
        <w:pStyle w:val="ListParagraph"/>
        <w:spacing w:after="0" w:line="240" w:lineRule="auto"/>
        <w:ind w:left="0"/>
        <w:contextualSpacing w:val="0"/>
        <w:jc w:val="both"/>
        <w:rPr>
          <w:b/>
          <w:sz w:val="20"/>
          <w:szCs w:val="20"/>
        </w:rPr>
      </w:pPr>
      <w:r w:rsidRPr="00EF3081">
        <w:rPr>
          <w:b/>
          <w:sz w:val="20"/>
          <w:szCs w:val="20"/>
        </w:rPr>
        <w:t xml:space="preserve">31. Statement of grounds of assessment and opposing appeal </w:t>
      </w:r>
    </w:p>
    <w:p w14:paraId="4D16ADAD" w14:textId="77777777" w:rsidR="00A34422" w:rsidRPr="00EF3081" w:rsidRDefault="00A34422" w:rsidP="00EF3081">
      <w:pPr>
        <w:pStyle w:val="ListParagraph"/>
        <w:numPr>
          <w:ilvl w:val="0"/>
          <w:numId w:val="26"/>
        </w:numPr>
        <w:spacing w:after="0" w:line="240" w:lineRule="auto"/>
        <w:contextualSpacing w:val="0"/>
        <w:jc w:val="both"/>
        <w:rPr>
          <w:sz w:val="20"/>
          <w:szCs w:val="20"/>
        </w:rPr>
      </w:pPr>
      <w:r w:rsidRPr="00EF3081">
        <w:rPr>
          <w:sz w:val="20"/>
          <w:szCs w:val="20"/>
        </w:rPr>
        <w:t>SARS must deliver to the appellant a statement of the grounds of assessment and opposing the appeal within 45 days after delivery of-</w:t>
      </w:r>
    </w:p>
    <w:p w14:paraId="7A11B364"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 xml:space="preserve">the documents required by SARS under rule 10(4); </w:t>
      </w:r>
    </w:p>
    <w:p w14:paraId="141BF29A"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if alternative dispute resolution proceedings were followed under Part C, the notice by the appellant of proceeding with the appeal under rule 24(4) or 25(3);</w:t>
      </w:r>
    </w:p>
    <w:p w14:paraId="0F36A762"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if the matter was decided by the tax board, the notice of a de novo referral of the appeal to the tax court under rule 29(2); or</w:t>
      </w:r>
    </w:p>
    <w:p w14:paraId="3EC01F3C"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 xml:space="preserve">in any other case, the notice of appeal under rule 10. </w:t>
      </w:r>
    </w:p>
    <w:p w14:paraId="6B7B2952" w14:textId="77777777" w:rsidR="00A34422" w:rsidRPr="00EF3081" w:rsidRDefault="00A34422" w:rsidP="00EF3081">
      <w:pPr>
        <w:pStyle w:val="ListParagraph"/>
        <w:numPr>
          <w:ilvl w:val="0"/>
          <w:numId w:val="26"/>
        </w:numPr>
        <w:spacing w:after="0" w:line="240" w:lineRule="auto"/>
        <w:contextualSpacing w:val="0"/>
        <w:jc w:val="both"/>
        <w:rPr>
          <w:sz w:val="20"/>
          <w:szCs w:val="20"/>
        </w:rPr>
      </w:pPr>
      <w:r w:rsidRPr="00EF3081">
        <w:rPr>
          <w:sz w:val="20"/>
          <w:szCs w:val="20"/>
        </w:rPr>
        <w:t>The statement of the grounds of opposing the appeal must set out a clear and concise statement of-</w:t>
      </w:r>
    </w:p>
    <w:p w14:paraId="6EED1789"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the consolidated grounds of the disputed assessment;</w:t>
      </w:r>
    </w:p>
    <w:p w14:paraId="18ACE094"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 xml:space="preserve">which of the facts or the legal grounds in the notice of appeal under rule 10 are admitted and which of those facts or legal grounds are opposed; and </w:t>
      </w:r>
    </w:p>
    <w:p w14:paraId="3B304058" w14:textId="77777777" w:rsidR="00A34422" w:rsidRPr="00EF3081" w:rsidRDefault="00A34422" w:rsidP="00EF3081">
      <w:pPr>
        <w:pStyle w:val="ListParagraph"/>
        <w:numPr>
          <w:ilvl w:val="1"/>
          <w:numId w:val="26"/>
        </w:numPr>
        <w:spacing w:after="0" w:line="240" w:lineRule="auto"/>
        <w:contextualSpacing w:val="0"/>
        <w:jc w:val="both"/>
        <w:rPr>
          <w:sz w:val="20"/>
          <w:szCs w:val="20"/>
        </w:rPr>
      </w:pPr>
      <w:r w:rsidRPr="00EF3081">
        <w:rPr>
          <w:sz w:val="20"/>
          <w:szCs w:val="20"/>
        </w:rPr>
        <w:t xml:space="preserve">the material facts and legal grounds upon which SARS relies in opposing the appeal. </w:t>
      </w:r>
    </w:p>
    <w:p w14:paraId="45213ABF" w14:textId="77777777" w:rsidR="00A34422" w:rsidRPr="00EF3081" w:rsidRDefault="00A34422" w:rsidP="00EF3081">
      <w:pPr>
        <w:pStyle w:val="ListParagraph"/>
        <w:numPr>
          <w:ilvl w:val="0"/>
          <w:numId w:val="26"/>
        </w:numPr>
        <w:spacing w:after="0" w:line="240" w:lineRule="auto"/>
        <w:contextualSpacing w:val="0"/>
        <w:jc w:val="both"/>
        <w:rPr>
          <w:sz w:val="20"/>
          <w:szCs w:val="20"/>
        </w:rPr>
      </w:pPr>
      <w:r w:rsidRPr="00EF3081">
        <w:rPr>
          <w:sz w:val="20"/>
          <w:szCs w:val="20"/>
        </w:rPr>
        <w:t>SARS may not include in the statement a ground that constitutes a novation of the whole of the factual or legal basis of the disputed assessment or which requires the issue of a revised assessment.</w:t>
      </w:r>
    </w:p>
    <w:p w14:paraId="26D795DE" w14:textId="77777777" w:rsidR="00A34422" w:rsidRPr="00EF3081" w:rsidRDefault="00A34422" w:rsidP="00EF3081">
      <w:pPr>
        <w:spacing w:after="0" w:line="240" w:lineRule="auto"/>
        <w:jc w:val="both"/>
        <w:rPr>
          <w:b/>
          <w:sz w:val="20"/>
          <w:szCs w:val="20"/>
        </w:rPr>
      </w:pPr>
      <w:r w:rsidRPr="00EF3081">
        <w:rPr>
          <w:b/>
          <w:sz w:val="20"/>
          <w:szCs w:val="20"/>
        </w:rPr>
        <w:t xml:space="preserve">32. Statement of grounds of appeal </w:t>
      </w:r>
    </w:p>
    <w:p w14:paraId="379D2F61" w14:textId="77777777" w:rsidR="00A34422" w:rsidRPr="00EF3081" w:rsidRDefault="00A34422" w:rsidP="00EF3081">
      <w:pPr>
        <w:pStyle w:val="ListParagraph"/>
        <w:numPr>
          <w:ilvl w:val="0"/>
          <w:numId w:val="27"/>
        </w:numPr>
        <w:spacing w:after="0" w:line="240" w:lineRule="auto"/>
        <w:contextualSpacing w:val="0"/>
        <w:jc w:val="both"/>
        <w:rPr>
          <w:sz w:val="20"/>
          <w:szCs w:val="20"/>
        </w:rPr>
      </w:pPr>
      <w:r w:rsidRPr="00EF3081">
        <w:rPr>
          <w:sz w:val="20"/>
          <w:szCs w:val="20"/>
        </w:rPr>
        <w:t xml:space="preserve">The appellant must deliver to SARS a statement of grounds of appeal within 45 days after delivery of- </w:t>
      </w:r>
    </w:p>
    <w:p w14:paraId="242F6BE4" w14:textId="77777777" w:rsidR="00A34422" w:rsidRPr="00EF3081" w:rsidRDefault="00A34422" w:rsidP="00EF3081">
      <w:pPr>
        <w:pStyle w:val="ListParagraph"/>
        <w:numPr>
          <w:ilvl w:val="1"/>
          <w:numId w:val="27"/>
        </w:numPr>
        <w:spacing w:after="0" w:line="240" w:lineRule="auto"/>
        <w:contextualSpacing w:val="0"/>
        <w:jc w:val="both"/>
        <w:rPr>
          <w:sz w:val="20"/>
          <w:szCs w:val="20"/>
        </w:rPr>
      </w:pPr>
      <w:r w:rsidRPr="00EF3081">
        <w:rPr>
          <w:sz w:val="20"/>
          <w:szCs w:val="20"/>
        </w:rPr>
        <w:t>the required documents by SARS, where the appellant was requested to make discovery under rule 36(1); or</w:t>
      </w:r>
    </w:p>
    <w:p w14:paraId="4A4AC087" w14:textId="77777777" w:rsidR="00A34422" w:rsidRPr="00EF3081" w:rsidRDefault="00A34422" w:rsidP="00EF3081">
      <w:pPr>
        <w:pStyle w:val="ListParagraph"/>
        <w:numPr>
          <w:ilvl w:val="1"/>
          <w:numId w:val="27"/>
        </w:numPr>
        <w:spacing w:after="0" w:line="240" w:lineRule="auto"/>
        <w:contextualSpacing w:val="0"/>
        <w:jc w:val="both"/>
        <w:rPr>
          <w:sz w:val="20"/>
          <w:szCs w:val="20"/>
        </w:rPr>
      </w:pPr>
      <w:r w:rsidRPr="00EF3081">
        <w:rPr>
          <w:sz w:val="20"/>
          <w:szCs w:val="20"/>
        </w:rPr>
        <w:t xml:space="preserve">the statement by SARS under rule 31. </w:t>
      </w:r>
    </w:p>
    <w:p w14:paraId="30C8C573" w14:textId="77777777" w:rsidR="00A34422" w:rsidRPr="00EF3081" w:rsidRDefault="00A34422" w:rsidP="00EF3081">
      <w:pPr>
        <w:pStyle w:val="ListParagraph"/>
        <w:numPr>
          <w:ilvl w:val="0"/>
          <w:numId w:val="27"/>
        </w:numPr>
        <w:spacing w:after="0" w:line="240" w:lineRule="auto"/>
        <w:contextualSpacing w:val="0"/>
        <w:jc w:val="both"/>
        <w:rPr>
          <w:sz w:val="20"/>
          <w:szCs w:val="20"/>
        </w:rPr>
      </w:pPr>
      <w:r w:rsidRPr="00EF3081">
        <w:rPr>
          <w:sz w:val="20"/>
          <w:szCs w:val="20"/>
        </w:rPr>
        <w:t>The statement must set out clearly and concisely-</w:t>
      </w:r>
    </w:p>
    <w:p w14:paraId="214B8E6B" w14:textId="77777777" w:rsidR="00A34422" w:rsidRPr="00EF3081" w:rsidRDefault="00A34422" w:rsidP="00EF3081">
      <w:pPr>
        <w:pStyle w:val="ListParagraph"/>
        <w:numPr>
          <w:ilvl w:val="1"/>
          <w:numId w:val="27"/>
        </w:numPr>
        <w:spacing w:after="0" w:line="240" w:lineRule="auto"/>
        <w:contextualSpacing w:val="0"/>
        <w:jc w:val="both"/>
        <w:rPr>
          <w:sz w:val="20"/>
          <w:szCs w:val="20"/>
        </w:rPr>
      </w:pPr>
      <w:r w:rsidRPr="00EF3081">
        <w:rPr>
          <w:sz w:val="20"/>
          <w:szCs w:val="20"/>
        </w:rPr>
        <w:t>the grounds upon which the appellant appeals;</w:t>
      </w:r>
    </w:p>
    <w:p w14:paraId="6AA356D7" w14:textId="77777777" w:rsidR="00A34422" w:rsidRPr="00EF3081" w:rsidRDefault="00A34422" w:rsidP="00EF3081">
      <w:pPr>
        <w:pStyle w:val="ListParagraph"/>
        <w:numPr>
          <w:ilvl w:val="1"/>
          <w:numId w:val="27"/>
        </w:numPr>
        <w:spacing w:after="0" w:line="240" w:lineRule="auto"/>
        <w:contextualSpacing w:val="0"/>
        <w:jc w:val="both"/>
        <w:rPr>
          <w:sz w:val="20"/>
          <w:szCs w:val="20"/>
        </w:rPr>
      </w:pPr>
      <w:r w:rsidRPr="00EF3081">
        <w:rPr>
          <w:sz w:val="20"/>
          <w:szCs w:val="20"/>
        </w:rPr>
        <w:t>which of the facts or the legal grounds in the statement under rule 31 are admitted and which of those facts or legal grounds are opposed; and</w:t>
      </w:r>
    </w:p>
    <w:p w14:paraId="17476A3F" w14:textId="77777777" w:rsidR="00A34422" w:rsidRPr="00EF3081" w:rsidRDefault="00A34422" w:rsidP="00EF3081">
      <w:pPr>
        <w:pStyle w:val="ListParagraph"/>
        <w:numPr>
          <w:ilvl w:val="1"/>
          <w:numId w:val="27"/>
        </w:numPr>
        <w:spacing w:after="0" w:line="240" w:lineRule="auto"/>
        <w:contextualSpacing w:val="0"/>
        <w:jc w:val="both"/>
        <w:rPr>
          <w:sz w:val="20"/>
          <w:szCs w:val="20"/>
        </w:rPr>
      </w:pPr>
      <w:r w:rsidRPr="00EF3081">
        <w:rPr>
          <w:sz w:val="20"/>
          <w:szCs w:val="20"/>
        </w:rPr>
        <w:t>the material facts and the legal grounds upon which the appellant relies for the appeal and opposing the facts or legal grounds in the statement under rule 31.</w:t>
      </w:r>
    </w:p>
    <w:p w14:paraId="29C3BB32" w14:textId="77777777" w:rsidR="00A34422" w:rsidRPr="00EF3081" w:rsidRDefault="00A34422" w:rsidP="00EF3081">
      <w:pPr>
        <w:pStyle w:val="ListParagraph"/>
        <w:numPr>
          <w:ilvl w:val="0"/>
          <w:numId w:val="27"/>
        </w:numPr>
        <w:spacing w:after="0" w:line="240" w:lineRule="auto"/>
        <w:contextualSpacing w:val="0"/>
        <w:jc w:val="both"/>
        <w:rPr>
          <w:sz w:val="20"/>
          <w:szCs w:val="20"/>
        </w:rPr>
      </w:pPr>
      <w:r w:rsidRPr="00EF3081">
        <w:rPr>
          <w:sz w:val="20"/>
          <w:szCs w:val="20"/>
        </w:rPr>
        <w:t>The appellant may not include in the statement a ground of appeal that constitutes a new ground of objection against a part or amount of the disputed assessment not objected to under rule 7.</w:t>
      </w:r>
    </w:p>
    <w:p w14:paraId="54F12B81" w14:textId="77777777" w:rsidR="00A34422" w:rsidRPr="00EF3081" w:rsidRDefault="00A34422" w:rsidP="00EF3081">
      <w:pPr>
        <w:spacing w:after="0" w:line="240" w:lineRule="auto"/>
        <w:jc w:val="both"/>
        <w:rPr>
          <w:b/>
          <w:sz w:val="20"/>
          <w:szCs w:val="20"/>
        </w:rPr>
      </w:pPr>
      <w:r w:rsidRPr="00EF3081">
        <w:rPr>
          <w:b/>
          <w:sz w:val="20"/>
          <w:szCs w:val="20"/>
        </w:rPr>
        <w:t xml:space="preserve">33. Reply to statement of grounds of appeal </w:t>
      </w:r>
    </w:p>
    <w:p w14:paraId="431ED27F" w14:textId="77777777" w:rsidR="00A34422" w:rsidRPr="00EF3081" w:rsidRDefault="00A34422" w:rsidP="00EF3081">
      <w:pPr>
        <w:pStyle w:val="ListParagraph"/>
        <w:numPr>
          <w:ilvl w:val="0"/>
          <w:numId w:val="28"/>
        </w:numPr>
        <w:spacing w:after="0" w:line="240" w:lineRule="auto"/>
        <w:contextualSpacing w:val="0"/>
        <w:jc w:val="both"/>
        <w:rPr>
          <w:sz w:val="20"/>
          <w:szCs w:val="20"/>
        </w:rPr>
      </w:pPr>
      <w:r w:rsidRPr="00EF3081">
        <w:rPr>
          <w:sz w:val="20"/>
          <w:szCs w:val="20"/>
        </w:rPr>
        <w:t>SARS may after delivery of the statement of grounds of appeal under rule 32 deliver a reply to the statement within –</w:t>
      </w:r>
    </w:p>
    <w:p w14:paraId="107E3BCA" w14:textId="77777777" w:rsidR="00A34422" w:rsidRPr="00EF3081" w:rsidRDefault="00A34422" w:rsidP="00EF3081">
      <w:pPr>
        <w:pStyle w:val="ListParagraph"/>
        <w:numPr>
          <w:ilvl w:val="1"/>
          <w:numId w:val="28"/>
        </w:numPr>
        <w:spacing w:after="0" w:line="240" w:lineRule="auto"/>
        <w:contextualSpacing w:val="0"/>
        <w:jc w:val="both"/>
        <w:rPr>
          <w:sz w:val="20"/>
          <w:szCs w:val="20"/>
        </w:rPr>
      </w:pPr>
      <w:r w:rsidRPr="00EF3081">
        <w:rPr>
          <w:sz w:val="20"/>
          <w:szCs w:val="20"/>
        </w:rPr>
        <w:t>15 days after the appellant has discovered the required documents, where the appellant was requested to make discovery under rule 36(2); or</w:t>
      </w:r>
    </w:p>
    <w:p w14:paraId="55C86C34" w14:textId="77777777" w:rsidR="00A34422" w:rsidRPr="00EF3081" w:rsidRDefault="00A34422" w:rsidP="00EF3081">
      <w:pPr>
        <w:pStyle w:val="ListParagraph"/>
        <w:numPr>
          <w:ilvl w:val="1"/>
          <w:numId w:val="28"/>
        </w:numPr>
        <w:spacing w:after="0" w:line="240" w:lineRule="auto"/>
        <w:contextualSpacing w:val="0"/>
        <w:jc w:val="both"/>
        <w:rPr>
          <w:sz w:val="20"/>
          <w:szCs w:val="20"/>
        </w:rPr>
      </w:pPr>
      <w:r w:rsidRPr="00EF3081">
        <w:rPr>
          <w:sz w:val="20"/>
          <w:szCs w:val="20"/>
        </w:rPr>
        <w:t>20 days after delivery of the statement under rule 32.</w:t>
      </w:r>
    </w:p>
    <w:p w14:paraId="69F38244" w14:textId="0EEECAC9" w:rsidR="00A34422" w:rsidRPr="00011314" w:rsidRDefault="00A34422" w:rsidP="00011314">
      <w:pPr>
        <w:pStyle w:val="ListParagraph"/>
        <w:numPr>
          <w:ilvl w:val="0"/>
          <w:numId w:val="28"/>
        </w:numPr>
        <w:spacing w:after="0" w:line="240" w:lineRule="auto"/>
        <w:contextualSpacing w:val="0"/>
        <w:jc w:val="both"/>
        <w:rPr>
          <w:lang w:val="en-US"/>
        </w:rPr>
      </w:pPr>
      <w:r w:rsidRPr="00EF3081">
        <w:rPr>
          <w:sz w:val="20"/>
          <w:szCs w:val="20"/>
        </w:rPr>
        <w:t>The reply to the statement of grounds of appeal must set out a clear and concise reply to any new grounds, material facts or applicable law set out in the statement.’</w:t>
      </w:r>
    </w:p>
  </w:footnote>
  <w:footnote w:id="22">
    <w:p w14:paraId="3DD94EA8"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rPr>
        <w:t>YB v SB and Others NNO</w:t>
      </w:r>
      <w:r w:rsidRPr="00EF3081">
        <w:t xml:space="preserve"> 2016 (1) SA 47 (WCC) paras 9-11.</w:t>
      </w:r>
    </w:p>
  </w:footnote>
  <w:footnote w:id="23">
    <w:p w14:paraId="54AB68B5"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rPr>
        <w:t>Trans-Drakensburg Bank Ltd (under judicial management) v Combined Engineering (Pty) Ltd and Another</w:t>
      </w:r>
      <w:r w:rsidRPr="00EF3081">
        <w:t xml:space="preserve"> 1967 (3) SA 632 (D) at 640G–641B.</w:t>
      </w:r>
    </w:p>
  </w:footnote>
  <w:footnote w:id="24">
    <w:p w14:paraId="4EDCD440" w14:textId="77777777" w:rsidR="00A34422" w:rsidRPr="00EF3081" w:rsidRDefault="00A34422" w:rsidP="00EF3081">
      <w:pPr>
        <w:pStyle w:val="FootnoteText"/>
        <w:jc w:val="both"/>
      </w:pPr>
      <w:r w:rsidRPr="00EF3081">
        <w:rPr>
          <w:rStyle w:val="FootnoteReference"/>
        </w:rPr>
        <w:footnoteRef/>
      </w:r>
      <w:r w:rsidRPr="00EF3081">
        <w:t xml:space="preserve"> Ibid. </w:t>
      </w:r>
    </w:p>
  </w:footnote>
  <w:footnote w:id="25">
    <w:p w14:paraId="08C775B1"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rPr>
        <w:t>Myers v Abramson</w:t>
      </w:r>
      <w:r w:rsidRPr="00EF3081">
        <w:t xml:space="preserve"> 1951 (3) SA 438 (C) at 450A-B.</w:t>
      </w:r>
    </w:p>
  </w:footnote>
  <w:footnote w:id="26">
    <w:p w14:paraId="66FAC3FE" w14:textId="77777777" w:rsidR="00A34422" w:rsidRPr="00EF3081" w:rsidRDefault="00A34422" w:rsidP="00EF3081">
      <w:pPr>
        <w:pStyle w:val="FootnoteText"/>
        <w:jc w:val="both"/>
      </w:pPr>
      <w:r w:rsidRPr="00EF3081">
        <w:rPr>
          <w:rStyle w:val="FootnoteReference"/>
        </w:rPr>
        <w:footnoteRef/>
      </w:r>
      <w:r w:rsidRPr="00EF3081">
        <w:t xml:space="preserve"> D E van </w:t>
      </w:r>
      <w:proofErr w:type="spellStart"/>
      <w:r w:rsidRPr="00EF3081">
        <w:t>Loggerenberg</w:t>
      </w:r>
      <w:proofErr w:type="spellEnd"/>
      <w:r w:rsidRPr="00EF3081">
        <w:t xml:space="preserve"> et al </w:t>
      </w:r>
      <w:r w:rsidRPr="00EF3081">
        <w:rPr>
          <w:i/>
        </w:rPr>
        <w:t>Erasmus: Superior Court Practice</w:t>
      </w:r>
      <w:r w:rsidRPr="00EF3081">
        <w:t xml:space="preserve"> (RS15, 2020) at D1-333 – D1-334.</w:t>
      </w:r>
    </w:p>
  </w:footnote>
  <w:footnote w:id="27">
    <w:p w14:paraId="27D4568D" w14:textId="58CC9B36" w:rsidR="00A34422" w:rsidRPr="00EF3081" w:rsidRDefault="00A34422" w:rsidP="00EF3081">
      <w:pPr>
        <w:pStyle w:val="FootnoteText"/>
        <w:jc w:val="both"/>
      </w:pPr>
      <w:r w:rsidRPr="00EF3081">
        <w:rPr>
          <w:rStyle w:val="FootnoteReference"/>
        </w:rPr>
        <w:footnoteRef/>
      </w:r>
      <w:r w:rsidRPr="00EF3081">
        <w:t xml:space="preserve"> See </w:t>
      </w:r>
      <w:r w:rsidRPr="00EF3081">
        <w:rPr>
          <w:i/>
        </w:rPr>
        <w:t>Erasmus: Superior Court Practice</w:t>
      </w:r>
      <w:r w:rsidRPr="00EF3081">
        <w:t xml:space="preserve"> (note </w:t>
      </w:r>
      <w:r w:rsidR="00743702">
        <w:t>26</w:t>
      </w:r>
      <w:r w:rsidR="00743702" w:rsidRPr="00EF3081">
        <w:t xml:space="preserve"> </w:t>
      </w:r>
      <w:r w:rsidRPr="00EF3081">
        <w:t>above) (RS13, 2020) at D1-337 and the authorities cited therein.</w:t>
      </w:r>
    </w:p>
  </w:footnote>
  <w:footnote w:id="28">
    <w:p w14:paraId="180928BB" w14:textId="77777777" w:rsidR="00A34422" w:rsidRPr="00EF3081" w:rsidRDefault="00A34422" w:rsidP="00EF3081">
      <w:pPr>
        <w:pStyle w:val="FootnoteText"/>
        <w:jc w:val="both"/>
      </w:pPr>
      <w:r w:rsidRPr="00EF3081">
        <w:rPr>
          <w:rStyle w:val="FootnoteReference"/>
        </w:rPr>
        <w:footnoteRef/>
      </w:r>
      <w:r w:rsidRPr="00EF3081">
        <w:t xml:space="preserve"> The rules regarding withdrawals of admissions refer to admissions on the pleadings and not admissions </w:t>
      </w:r>
      <w:proofErr w:type="spellStart"/>
      <w:r w:rsidRPr="00EF3081">
        <w:rPr>
          <w:i/>
          <w:iCs/>
        </w:rPr>
        <w:t>dehors</w:t>
      </w:r>
      <w:proofErr w:type="spellEnd"/>
      <w:r w:rsidRPr="00EF3081">
        <w:t xml:space="preserve"> the pleadings. See </w:t>
      </w:r>
      <w:r w:rsidRPr="00EF3081">
        <w:rPr>
          <w:i/>
          <w:iCs/>
        </w:rPr>
        <w:t xml:space="preserve">Wild Sea Construction (Pty) Ltd v Van Vuuren </w:t>
      </w:r>
      <w:r w:rsidRPr="00EF3081">
        <w:t>1983 (2) SA 450 (C) at 452F.</w:t>
      </w:r>
    </w:p>
  </w:footnote>
  <w:footnote w:id="29">
    <w:p w14:paraId="326C48AE"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iCs/>
        </w:rPr>
        <w:t xml:space="preserve">Potters Mill Investments 14 (Pty) Ltd v Abe </w:t>
      </w:r>
      <w:proofErr w:type="spellStart"/>
      <w:r w:rsidRPr="00EF3081">
        <w:rPr>
          <w:i/>
          <w:iCs/>
        </w:rPr>
        <w:t>Swersky</w:t>
      </w:r>
      <w:proofErr w:type="spellEnd"/>
      <w:r w:rsidRPr="00EF3081">
        <w:rPr>
          <w:i/>
          <w:iCs/>
        </w:rPr>
        <w:t xml:space="preserve"> &amp; Associates and Others </w:t>
      </w:r>
      <w:r w:rsidRPr="00EF3081">
        <w:rPr>
          <w:iCs/>
        </w:rPr>
        <w:t xml:space="preserve">[2016] ZAWCHC 5; </w:t>
      </w:r>
      <w:r w:rsidRPr="00EF3081">
        <w:t>2016 (5) SA 202 (WCC) at 205E–G, 205H–J, 207G–J and 209F–G. In this case the defendants, acting on the advice of their legal team, mistakenly admitted in their plea that the law attached certain consequences to an event. When they sought to withdraw the admission by amending their plea, the plaintiff objected, citing prejudice. The objection was rejected by the court hearing the defendants’ subsequent application for leave to amend their plea, and the application was granted.</w:t>
      </w:r>
    </w:p>
  </w:footnote>
  <w:footnote w:id="30">
    <w:p w14:paraId="2E110763" w14:textId="2E191A53" w:rsidR="00A34422" w:rsidRPr="004908D1" w:rsidRDefault="00A34422">
      <w:pPr>
        <w:pStyle w:val="FootnoteText"/>
      </w:pPr>
      <w:r w:rsidRPr="00743702">
        <w:rPr>
          <w:rStyle w:val="FootnoteReference"/>
        </w:rPr>
        <w:footnoteRef/>
      </w:r>
      <w:r w:rsidRPr="00743702">
        <w:t xml:space="preserve"> </w:t>
      </w:r>
      <w:r w:rsidRPr="00743702">
        <w:rPr>
          <w:i/>
        </w:rPr>
        <w:t xml:space="preserve">Black Mountain Mining </w:t>
      </w:r>
      <w:r w:rsidRPr="00743702">
        <w:t xml:space="preserve">(note </w:t>
      </w:r>
      <w:r w:rsidR="00812D42" w:rsidRPr="00743702">
        <w:t>4</w:t>
      </w:r>
      <w:r w:rsidRPr="00743702">
        <w:t xml:space="preserve"> above) para 29.</w:t>
      </w:r>
    </w:p>
  </w:footnote>
  <w:footnote w:id="31">
    <w:p w14:paraId="7F2CFE45"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iCs/>
        </w:rPr>
        <w:t>Africa Cash and Carry (Pty) Ltd v Commissioner, South African Revenue Service</w:t>
      </w:r>
      <w:r w:rsidRPr="00EF3081">
        <w:t xml:space="preserve"> [2019] ZASCA 148; 2020 (2) SA 19 (SCA) para 52. See also </w:t>
      </w:r>
      <w:proofErr w:type="spellStart"/>
      <w:r w:rsidRPr="00EF3081">
        <w:rPr>
          <w:i/>
          <w:iCs/>
        </w:rPr>
        <w:t>Silke</w:t>
      </w:r>
      <w:proofErr w:type="spellEnd"/>
      <w:r w:rsidRPr="00EF3081">
        <w:rPr>
          <w:i/>
          <w:iCs/>
        </w:rPr>
        <w:t xml:space="preserve"> on Tax Administration</w:t>
      </w:r>
      <w:r w:rsidRPr="00EF3081">
        <w:t xml:space="preserve">, February 2020 (SI 12), at Chapter 5.12 where it is stated: </w:t>
      </w:r>
      <w:r w:rsidRPr="00EF3081">
        <w:rPr>
          <w:iCs/>
        </w:rPr>
        <w:t>‘</w:t>
      </w:r>
      <w:r w:rsidRPr="00EF3081">
        <w:rPr>
          <w:i/>
          <w:iCs/>
        </w:rPr>
        <w:t xml:space="preserve">... </w:t>
      </w:r>
      <w:r w:rsidRPr="00EF3081">
        <w:rPr>
          <w:iCs/>
        </w:rPr>
        <w:t>the Tax Court (unlike ordinary courts of appeal which are generally confined to the record of the proceedings in the court a quo) rehears the entire matter and can, if it so decides, substitute its decision for that of the Commissioner. In so doing, the Tax Court may consider facts which were not placed before the Commissioner.’</w:t>
      </w:r>
    </w:p>
  </w:footnote>
  <w:footnote w:id="32">
    <w:p w14:paraId="7C238CB5" w14:textId="77777777" w:rsidR="00A34422" w:rsidRPr="00EF3081" w:rsidRDefault="00A34422" w:rsidP="00EF3081">
      <w:pPr>
        <w:pStyle w:val="FootnoteText"/>
        <w:jc w:val="both"/>
      </w:pPr>
      <w:r w:rsidRPr="00EF3081">
        <w:rPr>
          <w:rStyle w:val="FootnoteReference"/>
        </w:rPr>
        <w:footnoteRef/>
      </w:r>
      <w:r w:rsidRPr="00EF3081">
        <w:t xml:space="preserve"> See </w:t>
      </w:r>
      <w:proofErr w:type="spellStart"/>
      <w:r w:rsidRPr="00EF3081">
        <w:rPr>
          <w:i/>
          <w:iCs/>
        </w:rPr>
        <w:t>Tikly</w:t>
      </w:r>
      <w:proofErr w:type="spellEnd"/>
      <w:r w:rsidRPr="00EF3081">
        <w:rPr>
          <w:i/>
          <w:iCs/>
        </w:rPr>
        <w:t xml:space="preserve"> and Others v Johannes NO and others</w:t>
      </w:r>
      <w:r w:rsidRPr="00EF3081">
        <w:t xml:space="preserve"> 1963 (2) SA 588 (T) at 590G, where the court discussed the different connotations of the word ‘appeal’, and held that, </w:t>
      </w:r>
      <w:r w:rsidRPr="00EF3081">
        <w:rPr>
          <w:iCs/>
        </w:rPr>
        <w:t>‘an appeal in the wide sense, that is, a complete re-hearing of, and fresh determination on the merits of the matter with or without additional evidence or information…’</w:t>
      </w:r>
    </w:p>
  </w:footnote>
  <w:footnote w:id="33">
    <w:p w14:paraId="7AD9EE77" w14:textId="77777777" w:rsidR="00A34422" w:rsidRPr="00EF3081" w:rsidRDefault="00A34422" w:rsidP="00EF3081">
      <w:pPr>
        <w:pStyle w:val="FootnoteText"/>
        <w:jc w:val="both"/>
      </w:pPr>
      <w:r w:rsidRPr="00EF3081">
        <w:rPr>
          <w:rStyle w:val="FootnoteReference"/>
        </w:rPr>
        <w:footnoteRef/>
      </w:r>
      <w:r w:rsidRPr="00EF3081">
        <w:t xml:space="preserve"> Section 10(2)(c)(ii) provides that: ‘A notice of appeal must specify in detail any new ground on which the taxpayer is appealing’.</w:t>
      </w:r>
    </w:p>
  </w:footnote>
  <w:footnote w:id="34">
    <w:p w14:paraId="159E4F08" w14:textId="77777777" w:rsidR="00A34422" w:rsidRPr="00EF3081" w:rsidRDefault="00A34422" w:rsidP="00EF3081">
      <w:pPr>
        <w:pStyle w:val="FootnoteText"/>
        <w:jc w:val="both"/>
      </w:pPr>
      <w:r w:rsidRPr="00EF3081">
        <w:rPr>
          <w:rStyle w:val="FootnoteReference"/>
        </w:rPr>
        <w:footnoteRef/>
      </w:r>
      <w:r w:rsidRPr="00EF3081">
        <w:t xml:space="preserve"> </w:t>
      </w:r>
      <w:r w:rsidRPr="00EF3081">
        <w:rPr>
          <w:i/>
          <w:iCs/>
        </w:rPr>
        <w:t xml:space="preserve">Government of the Republic of South Africa and Others v Von Abo </w:t>
      </w:r>
      <w:r w:rsidRPr="00EF3081">
        <w:rPr>
          <w:iCs/>
        </w:rPr>
        <w:t>[2011] ZASCA 65</w:t>
      </w:r>
      <w:r w:rsidRPr="00EF3081">
        <w:rPr>
          <w:i/>
          <w:iCs/>
        </w:rPr>
        <w:t xml:space="preserve">; </w:t>
      </w:r>
      <w:r w:rsidRPr="00EF3081">
        <w:t xml:space="preserve">2011 (5) SA 262 (SCA) paras 18-19; and </w:t>
      </w:r>
      <w:r w:rsidRPr="00EF3081">
        <w:rPr>
          <w:i/>
          <w:iCs/>
        </w:rPr>
        <w:t xml:space="preserve">Paddock Motors (Pty) Ltd v </w:t>
      </w:r>
      <w:proofErr w:type="spellStart"/>
      <w:r w:rsidRPr="00EF3081">
        <w:rPr>
          <w:i/>
          <w:iCs/>
        </w:rPr>
        <w:t>Igesund</w:t>
      </w:r>
      <w:proofErr w:type="spellEnd"/>
      <w:r w:rsidRPr="00EF3081">
        <w:t xml:space="preserve"> 1976 (3) SA 16 (A) at 23E-F: ‘[I]t would create an intolerable position if a Court were to be precluded from giving the right decision on accepted facts, merely because a party failed to raise a legal point, as a result of an error of law on his part....’. </w:t>
      </w:r>
    </w:p>
  </w:footnote>
  <w:footnote w:id="35">
    <w:p w14:paraId="754AACDC" w14:textId="77777777" w:rsidR="00A34422" w:rsidRPr="00EF3081" w:rsidRDefault="00A34422" w:rsidP="00EF3081">
      <w:pPr>
        <w:pStyle w:val="FootnoteText"/>
        <w:jc w:val="both"/>
        <w:rPr>
          <w:lang w:val="en-US"/>
        </w:rPr>
      </w:pPr>
      <w:r w:rsidRPr="00EF3081">
        <w:rPr>
          <w:rStyle w:val="FootnoteReference"/>
        </w:rPr>
        <w:footnoteRef/>
      </w:r>
      <w:r w:rsidRPr="00EF3081">
        <w:rPr>
          <w:lang w:val="en-US"/>
        </w:rPr>
        <w:t xml:space="preserve"> </w:t>
      </w:r>
      <w:r w:rsidRPr="00EF3081">
        <w:rPr>
          <w:i/>
          <w:lang w:val="en-US"/>
        </w:rPr>
        <w:t xml:space="preserve">Commissioner for the South African Revenue Service v </w:t>
      </w:r>
      <w:proofErr w:type="spellStart"/>
      <w:r w:rsidRPr="00EF3081">
        <w:rPr>
          <w:i/>
          <w:lang w:val="en-US"/>
        </w:rPr>
        <w:t>Brummeria</w:t>
      </w:r>
      <w:proofErr w:type="spellEnd"/>
      <w:r w:rsidRPr="00EF3081">
        <w:rPr>
          <w:i/>
          <w:lang w:val="en-US"/>
        </w:rPr>
        <w:t xml:space="preserve"> Renaissance (Pty) Ltd and Others</w:t>
      </w:r>
      <w:r w:rsidRPr="00EF3081">
        <w:rPr>
          <w:lang w:val="en-US"/>
        </w:rPr>
        <w:t xml:space="preserve"> [2007] SCA 99 (ZASCA);</w:t>
      </w:r>
      <w:r w:rsidRPr="00EF3081">
        <w:t xml:space="preserve"> </w:t>
      </w:r>
      <w:r w:rsidRPr="00EF3081">
        <w:rPr>
          <w:lang w:val="en-US"/>
        </w:rPr>
        <w:t>2007 (6) SA 601 (SCA).</w:t>
      </w:r>
    </w:p>
  </w:footnote>
  <w:footnote w:id="36">
    <w:p w14:paraId="4CD674A6" w14:textId="0EE707C2" w:rsidR="00A34422" w:rsidRPr="00EF3081" w:rsidRDefault="00A34422" w:rsidP="00EF3081">
      <w:pPr>
        <w:pStyle w:val="FootnoteText"/>
        <w:jc w:val="both"/>
      </w:pPr>
      <w:r w:rsidRPr="00743702">
        <w:rPr>
          <w:rStyle w:val="FootnoteReference"/>
        </w:rPr>
        <w:footnoteRef/>
      </w:r>
      <w:r w:rsidRPr="00743702">
        <w:t xml:space="preserve"> </w:t>
      </w:r>
      <w:r w:rsidRPr="00743702">
        <w:rPr>
          <w:i/>
        </w:rPr>
        <w:t xml:space="preserve">Black Mountain Mining </w:t>
      </w:r>
      <w:r w:rsidRPr="00743702">
        <w:t xml:space="preserve">(note </w:t>
      </w:r>
      <w:r w:rsidR="00812D42" w:rsidRPr="00743702">
        <w:t xml:space="preserve">4 </w:t>
      </w:r>
      <w:r w:rsidRPr="00743702">
        <w:t>above) para 42.</w:t>
      </w:r>
    </w:p>
  </w:footnote>
  <w:footnote w:id="37">
    <w:p w14:paraId="7233D6EF" w14:textId="77777777" w:rsidR="00A34422" w:rsidRPr="00EF3081" w:rsidRDefault="00A34422" w:rsidP="003527D8">
      <w:pPr>
        <w:pStyle w:val="FootnoteText"/>
        <w:jc w:val="both"/>
        <w:rPr>
          <w:rFonts w:cs="Arial"/>
          <w:lang w:val="en-US"/>
        </w:rPr>
      </w:pPr>
      <w:r w:rsidRPr="00EF3081">
        <w:rPr>
          <w:rStyle w:val="FootnoteReference"/>
          <w:rFonts w:cs="Arial"/>
        </w:rPr>
        <w:footnoteRef/>
      </w:r>
      <w:r w:rsidRPr="00EF3081">
        <w:rPr>
          <w:rFonts w:cs="Arial"/>
        </w:rPr>
        <w:t xml:space="preserve"> </w:t>
      </w:r>
      <w:proofErr w:type="spellStart"/>
      <w:r w:rsidRPr="00EF3081">
        <w:rPr>
          <w:rFonts w:cs="Arial"/>
          <w:i/>
        </w:rPr>
        <w:t>Oakdene</w:t>
      </w:r>
      <w:proofErr w:type="spellEnd"/>
      <w:r w:rsidRPr="00EF3081">
        <w:rPr>
          <w:rFonts w:cs="Arial"/>
          <w:i/>
        </w:rPr>
        <w:t xml:space="preserve"> Square Properties (Pty) Ltd and Others v Farm </w:t>
      </w:r>
      <w:proofErr w:type="spellStart"/>
      <w:r w:rsidRPr="00EF3081">
        <w:rPr>
          <w:rFonts w:cs="Arial"/>
          <w:i/>
        </w:rPr>
        <w:t>Bothasfontein</w:t>
      </w:r>
      <w:proofErr w:type="spellEnd"/>
      <w:r w:rsidRPr="00EF3081">
        <w:rPr>
          <w:rFonts w:cs="Arial"/>
          <w:i/>
        </w:rPr>
        <w:t xml:space="preserve"> (Kyalami) (Pty) Ltd and Others </w:t>
      </w:r>
      <w:r w:rsidRPr="00EF3081">
        <w:rPr>
          <w:rFonts w:cs="Arial"/>
        </w:rPr>
        <w:t>[2013] ZASCA 68; 2013 (4) SA 539 SCA</w:t>
      </w:r>
      <w:r w:rsidRPr="00EF3081">
        <w:rPr>
          <w:rFonts w:cs="Arial"/>
          <w:b/>
        </w:rPr>
        <w:t xml:space="preserve"> </w:t>
      </w:r>
      <w:r w:rsidRPr="00EF3081">
        <w:rPr>
          <w:rFonts w:cs="Arial"/>
        </w:rPr>
        <w:t>paras 18-20.</w:t>
      </w:r>
    </w:p>
  </w:footnote>
  <w:footnote w:id="38">
    <w:p w14:paraId="49C9818A" w14:textId="4EDA08E4" w:rsidR="00A34422" w:rsidRPr="00EF3081" w:rsidRDefault="00A34422" w:rsidP="003527D8">
      <w:pPr>
        <w:pStyle w:val="FootnoteText"/>
        <w:jc w:val="both"/>
        <w:rPr>
          <w:lang w:val="en-US"/>
        </w:rPr>
      </w:pPr>
      <w:r w:rsidRPr="00EF3081">
        <w:rPr>
          <w:rStyle w:val="FootnoteReference"/>
        </w:rPr>
        <w:footnoteRef/>
      </w:r>
      <w:r w:rsidRPr="00EF3081">
        <w:rPr>
          <w:i/>
          <w:lang w:val="en-US"/>
        </w:rPr>
        <w:t xml:space="preserve"> </w:t>
      </w:r>
      <w:r w:rsidR="00812D42">
        <w:rPr>
          <w:lang w:val="en-US"/>
        </w:rPr>
        <w:t>Ibid</w:t>
      </w:r>
      <w:r w:rsidRPr="00EF3081">
        <w:rPr>
          <w:lang w:val="en-US"/>
        </w:rPr>
        <w:t xml:space="preserve"> para 18. See too </w:t>
      </w:r>
      <w:proofErr w:type="spellStart"/>
      <w:r w:rsidRPr="00EF3081">
        <w:rPr>
          <w:i/>
          <w:lang w:val="en-US"/>
        </w:rPr>
        <w:t>Mabaso</w:t>
      </w:r>
      <w:proofErr w:type="spellEnd"/>
      <w:r w:rsidRPr="00EF3081">
        <w:rPr>
          <w:i/>
          <w:lang w:val="en-US"/>
        </w:rPr>
        <w:t xml:space="preserve"> v Law Society of the Northern Provinc</w:t>
      </w:r>
      <w:r w:rsidRPr="00EF3081">
        <w:rPr>
          <w:lang w:val="en-US"/>
        </w:rPr>
        <w:t xml:space="preserve">es </w:t>
      </w:r>
      <w:r w:rsidRPr="00EF3081">
        <w:rPr>
          <w:i/>
          <w:lang w:val="en-US"/>
        </w:rPr>
        <w:t>and Another</w:t>
      </w:r>
      <w:r w:rsidRPr="00EF3081">
        <w:rPr>
          <w:lang w:val="en-US"/>
        </w:rPr>
        <w:t xml:space="preserve"> [2004] ZACC 8; 2005 (2) SA 117 (CC) para 20.</w:t>
      </w:r>
    </w:p>
  </w:footnote>
  <w:footnote w:id="39">
    <w:p w14:paraId="58561AD2" w14:textId="318B7F93" w:rsidR="009D3E7B" w:rsidRPr="00F13D5F" w:rsidRDefault="009D3E7B" w:rsidP="009D3E7B">
      <w:pPr>
        <w:pStyle w:val="FootnoteText"/>
        <w:rPr>
          <w:lang w:val="en-GB"/>
        </w:rPr>
      </w:pPr>
      <w:r>
        <w:rPr>
          <w:rStyle w:val="FootnoteReference"/>
        </w:rPr>
        <w:footnoteRef/>
      </w:r>
      <w:r>
        <w:t xml:space="preserve"> </w:t>
      </w:r>
      <w:r>
        <w:rPr>
          <w:lang w:val="en-GB"/>
        </w:rPr>
        <w:t>Paras [5</w:t>
      </w:r>
      <w:r w:rsidR="00743702">
        <w:rPr>
          <w:lang w:val="en-GB"/>
        </w:rPr>
        <w:t>8</w:t>
      </w:r>
      <w:r>
        <w:rPr>
          <w:lang w:val="en-GB"/>
        </w:rPr>
        <w:t>] to [10</w:t>
      </w:r>
      <w:r w:rsidR="00743702">
        <w:rPr>
          <w:lang w:val="en-GB"/>
        </w:rPr>
        <w:t>0</w:t>
      </w:r>
      <w:r>
        <w:rPr>
          <w:lang w:val="en-GB"/>
        </w:rPr>
        <w:t>] hereof.</w:t>
      </w:r>
    </w:p>
  </w:footnote>
  <w:footnote w:id="40">
    <w:p w14:paraId="527B6891" w14:textId="0ACF907A" w:rsidR="00A34422" w:rsidRPr="00EF3081" w:rsidRDefault="00A34422" w:rsidP="003527D8">
      <w:pPr>
        <w:pStyle w:val="FootnoteText"/>
        <w:jc w:val="both"/>
        <w:rPr>
          <w:lang w:val="en-US"/>
        </w:rPr>
      </w:pPr>
      <w:r w:rsidRPr="00743702">
        <w:rPr>
          <w:rStyle w:val="FootnoteReference"/>
        </w:rPr>
        <w:footnoteRef/>
      </w:r>
      <w:r w:rsidRPr="00743702">
        <w:t xml:space="preserve"> </w:t>
      </w:r>
      <w:r w:rsidRPr="00743702">
        <w:rPr>
          <w:i/>
          <w:lang w:val="en-US"/>
        </w:rPr>
        <w:t xml:space="preserve">Black Mountain Mining </w:t>
      </w:r>
      <w:r w:rsidRPr="00743702">
        <w:rPr>
          <w:lang w:val="en-US"/>
        </w:rPr>
        <w:t xml:space="preserve">(note </w:t>
      </w:r>
      <w:r w:rsidR="00812D42" w:rsidRPr="00743702">
        <w:rPr>
          <w:lang w:val="en-US"/>
        </w:rPr>
        <w:t>4</w:t>
      </w:r>
      <w:r w:rsidRPr="00743702">
        <w:rPr>
          <w:lang w:val="en-US"/>
        </w:rPr>
        <w:t xml:space="preserve"> above) paras 9 &amp;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1580976402"/>
      <w:docPartObj>
        <w:docPartGallery w:val="Page Numbers (Top of Page)"/>
        <w:docPartUnique/>
      </w:docPartObj>
    </w:sdtPr>
    <w:sdtEndPr>
      <w:rPr>
        <w:noProof/>
      </w:rPr>
    </w:sdtEndPr>
    <w:sdtContent>
      <w:p w14:paraId="1BBEB034" w14:textId="20F53BFA" w:rsidR="00A34422" w:rsidRPr="00004DF8" w:rsidRDefault="00A34422">
        <w:pPr>
          <w:pStyle w:val="Header"/>
          <w:jc w:val="right"/>
          <w:rPr>
            <w:rFonts w:cs="Arial"/>
            <w:sz w:val="20"/>
            <w:szCs w:val="20"/>
          </w:rPr>
        </w:pPr>
        <w:r w:rsidRPr="00004DF8">
          <w:rPr>
            <w:rFonts w:cs="Arial"/>
            <w:sz w:val="20"/>
            <w:szCs w:val="20"/>
          </w:rPr>
          <w:fldChar w:fldCharType="begin"/>
        </w:r>
        <w:r w:rsidRPr="00004DF8">
          <w:rPr>
            <w:rFonts w:cs="Arial"/>
            <w:sz w:val="20"/>
            <w:szCs w:val="20"/>
          </w:rPr>
          <w:instrText xml:space="preserve"> PAGE   \* MERGEFORMAT </w:instrText>
        </w:r>
        <w:r w:rsidRPr="00004DF8">
          <w:rPr>
            <w:rFonts w:cs="Arial"/>
            <w:sz w:val="20"/>
            <w:szCs w:val="20"/>
          </w:rPr>
          <w:fldChar w:fldCharType="separate"/>
        </w:r>
        <w:r w:rsidR="007E586D">
          <w:rPr>
            <w:rFonts w:cs="Arial"/>
            <w:noProof/>
            <w:sz w:val="20"/>
            <w:szCs w:val="20"/>
          </w:rPr>
          <w:t>32</w:t>
        </w:r>
        <w:r w:rsidRPr="00004DF8">
          <w:rPr>
            <w:rFonts w:cs="Arial"/>
            <w:noProof/>
            <w:sz w:val="20"/>
            <w:szCs w:val="20"/>
          </w:rPr>
          <w:fldChar w:fldCharType="end"/>
        </w:r>
      </w:p>
    </w:sdtContent>
  </w:sdt>
  <w:p w14:paraId="7D7A71BC" w14:textId="77777777" w:rsidR="00A34422" w:rsidRDefault="00A34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6C4"/>
    <w:multiLevelType w:val="multilevel"/>
    <w:tmpl w:val="99027390"/>
    <w:lvl w:ilvl="0">
      <w:start w:val="11"/>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614D48"/>
    <w:multiLevelType w:val="multilevel"/>
    <w:tmpl w:val="1DD4A582"/>
    <w:lvl w:ilvl="0">
      <w:start w:val="1"/>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A2D3A"/>
    <w:multiLevelType w:val="hybridMultilevel"/>
    <w:tmpl w:val="B890FFE4"/>
    <w:lvl w:ilvl="0" w:tplc="D62295C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9D56C7B"/>
    <w:multiLevelType w:val="multilevel"/>
    <w:tmpl w:val="1E447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0C0D081F"/>
    <w:multiLevelType w:val="multilevel"/>
    <w:tmpl w:val="8FD68126"/>
    <w:lvl w:ilvl="0">
      <w:start w:val="16"/>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CE6BF4"/>
    <w:multiLevelType w:val="multilevel"/>
    <w:tmpl w:val="A1721294"/>
    <w:lvl w:ilvl="0">
      <w:start w:val="36"/>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284E48"/>
    <w:multiLevelType w:val="multilevel"/>
    <w:tmpl w:val="1A128DD8"/>
    <w:lvl w:ilvl="0">
      <w:start w:val="38"/>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64716"/>
    <w:multiLevelType w:val="multilevel"/>
    <w:tmpl w:val="C4884CA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C373EC"/>
    <w:multiLevelType w:val="multilevel"/>
    <w:tmpl w:val="8694688C"/>
    <w:lvl w:ilvl="0">
      <w:start w:val="1"/>
      <w:numFmt w:val="decimal"/>
      <w:lvlText w:val="[%1]"/>
      <w:lvlJc w:val="left"/>
      <w:pPr>
        <w:ind w:left="0" w:firstLine="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3D2C0A"/>
    <w:multiLevelType w:val="multilevel"/>
    <w:tmpl w:val="8BB64E9C"/>
    <w:lvl w:ilvl="0">
      <w:start w:val="61"/>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8E16AA"/>
    <w:multiLevelType w:val="multilevel"/>
    <w:tmpl w:val="A0F201C0"/>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11220D"/>
    <w:multiLevelType w:val="multilevel"/>
    <w:tmpl w:val="F2820F94"/>
    <w:lvl w:ilvl="0">
      <w:start w:val="3"/>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F53E0A"/>
    <w:multiLevelType w:val="multilevel"/>
    <w:tmpl w:val="BD064884"/>
    <w:lvl w:ilvl="0">
      <w:start w:val="60"/>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C32EAB"/>
    <w:multiLevelType w:val="multilevel"/>
    <w:tmpl w:val="5380AE2C"/>
    <w:lvl w:ilvl="0">
      <w:start w:val="23"/>
      <w:numFmt w:val="decimal"/>
      <w:pStyle w:val="1"/>
      <w:lvlText w:val="[%1]"/>
      <w:lvlJc w:val="left"/>
      <w:pPr>
        <w:tabs>
          <w:tab w:val="num" w:pos="1134"/>
        </w:tabs>
        <w:ind w:left="1134" w:hanging="1134"/>
      </w:pPr>
      <w:rPr>
        <w:rFonts w:hint="default"/>
        <w:b w:val="0"/>
        <w:i w:val="0"/>
      </w:rPr>
    </w:lvl>
    <w:lvl w:ilvl="1">
      <w:start w:val="1"/>
      <w:numFmt w:val="decimal"/>
      <w:pStyle w:val="2"/>
      <w:lvlText w:val="%1.%2"/>
      <w:lvlJc w:val="left"/>
      <w:pPr>
        <w:tabs>
          <w:tab w:val="num" w:pos="2268"/>
        </w:tabs>
        <w:ind w:left="2268" w:hanging="1134"/>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5" w15:restartNumberingAfterBreak="0">
    <w:nsid w:val="31067E1F"/>
    <w:multiLevelType w:val="multilevel"/>
    <w:tmpl w:val="8694688C"/>
    <w:lvl w:ilvl="0">
      <w:start w:val="1"/>
      <w:numFmt w:val="decimal"/>
      <w:lvlText w:val="[%1]"/>
      <w:lvlJc w:val="left"/>
      <w:pPr>
        <w:ind w:left="0" w:firstLine="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F846F2"/>
    <w:multiLevelType w:val="multilevel"/>
    <w:tmpl w:val="8694688C"/>
    <w:lvl w:ilvl="0">
      <w:start w:val="1"/>
      <w:numFmt w:val="decimal"/>
      <w:lvlText w:val="[%1]"/>
      <w:lvlJc w:val="left"/>
      <w:pPr>
        <w:ind w:left="0" w:firstLine="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8B122CA"/>
    <w:multiLevelType w:val="hybridMultilevel"/>
    <w:tmpl w:val="FB2C51A4"/>
    <w:lvl w:ilvl="0" w:tplc="1DFA85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9710EE"/>
    <w:multiLevelType w:val="multilevel"/>
    <w:tmpl w:val="1E447A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7F4D22"/>
    <w:multiLevelType w:val="multilevel"/>
    <w:tmpl w:val="560096AA"/>
    <w:lvl w:ilvl="0">
      <w:start w:val="19"/>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DA790D"/>
    <w:multiLevelType w:val="multilevel"/>
    <w:tmpl w:val="89DEB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3A6644"/>
    <w:multiLevelType w:val="multilevel"/>
    <w:tmpl w:val="C4884CA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F13EE9"/>
    <w:multiLevelType w:val="multilevel"/>
    <w:tmpl w:val="C4884CA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D6F3317"/>
    <w:multiLevelType w:val="multilevel"/>
    <w:tmpl w:val="888265F4"/>
    <w:lvl w:ilvl="0">
      <w:start w:val="57"/>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567C45"/>
    <w:multiLevelType w:val="multilevel"/>
    <w:tmpl w:val="7876CB4A"/>
    <w:lvl w:ilvl="0">
      <w:start w:val="10"/>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345541"/>
    <w:multiLevelType w:val="multilevel"/>
    <w:tmpl w:val="2244CBCE"/>
    <w:lvl w:ilvl="0">
      <w:start w:val="97"/>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7B77688"/>
    <w:multiLevelType w:val="multilevel"/>
    <w:tmpl w:val="D1F43B42"/>
    <w:lvl w:ilvl="0">
      <w:start w:val="48"/>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C867CB2"/>
    <w:multiLevelType w:val="multilevel"/>
    <w:tmpl w:val="8694688C"/>
    <w:lvl w:ilvl="0">
      <w:start w:val="1"/>
      <w:numFmt w:val="decimal"/>
      <w:lvlText w:val="[%1]"/>
      <w:lvlJc w:val="left"/>
      <w:pPr>
        <w:ind w:left="0" w:firstLine="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8A4BCF"/>
    <w:multiLevelType w:val="multilevel"/>
    <w:tmpl w:val="C41E490E"/>
    <w:lvl w:ilvl="0">
      <w:start w:val="9"/>
      <w:numFmt w:val="decimal"/>
      <w:lvlText w:val="[%1]"/>
      <w:lvlJc w:val="left"/>
      <w:pPr>
        <w:ind w:left="0" w:firstLine="0"/>
      </w:pPr>
      <w:rPr>
        <w:rFonts w:ascii="Arial" w:hAnsi="Arial" w:cs="Arial" w:hint="default"/>
        <w:b w:val="0"/>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13"/>
  </w:num>
  <w:num w:numId="10">
    <w:abstractNumId w:val="25"/>
  </w:num>
  <w:num w:numId="11">
    <w:abstractNumId w:val="1"/>
  </w:num>
  <w:num w:numId="12">
    <w:abstractNumId w:val="3"/>
  </w:num>
  <w:num w:numId="13">
    <w:abstractNumId w:val="18"/>
  </w:num>
  <w:num w:numId="14">
    <w:abstractNumId w:val="11"/>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num>
  <w:num w:numId="34">
    <w:abstractNumId w:val="6"/>
  </w:num>
  <w:num w:numId="35">
    <w:abstractNumId w:val="7"/>
  </w:num>
  <w:num w:numId="36">
    <w:abstractNumId w:val="23"/>
  </w:num>
  <w:num w:numId="37">
    <w:abstractNumId w:val="10"/>
  </w:num>
  <w:num w:numId="38">
    <w:abstractNumId w:val="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1"/>
  </w:num>
  <w:num w:numId="41">
    <w:abstractNumId w:val="8"/>
  </w:num>
  <w:num w:numId="42">
    <w:abstractNumId w:val="22"/>
  </w:num>
  <w:num w:numId="43">
    <w:abstractNumId w:val="9"/>
  </w:num>
  <w:num w:numId="44">
    <w:abstractNumId w:val="15"/>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62"/>
    <w:rsid w:val="00000E76"/>
    <w:rsid w:val="000026DC"/>
    <w:rsid w:val="00002FD0"/>
    <w:rsid w:val="00004DF8"/>
    <w:rsid w:val="000071F6"/>
    <w:rsid w:val="00010519"/>
    <w:rsid w:val="00011314"/>
    <w:rsid w:val="0001601E"/>
    <w:rsid w:val="00024830"/>
    <w:rsid w:val="00032D0E"/>
    <w:rsid w:val="000446B7"/>
    <w:rsid w:val="00050E28"/>
    <w:rsid w:val="00060030"/>
    <w:rsid w:val="0006401A"/>
    <w:rsid w:val="00065CF9"/>
    <w:rsid w:val="000732A6"/>
    <w:rsid w:val="00077677"/>
    <w:rsid w:val="00090EDB"/>
    <w:rsid w:val="00094EC8"/>
    <w:rsid w:val="000A1398"/>
    <w:rsid w:val="000A1D54"/>
    <w:rsid w:val="000A7B1B"/>
    <w:rsid w:val="000B18E5"/>
    <w:rsid w:val="000C62A9"/>
    <w:rsid w:val="000D0375"/>
    <w:rsid w:val="000E161C"/>
    <w:rsid w:val="000F00EF"/>
    <w:rsid w:val="000F3D2B"/>
    <w:rsid w:val="000F44B5"/>
    <w:rsid w:val="000F561C"/>
    <w:rsid w:val="000F67E0"/>
    <w:rsid w:val="001158C8"/>
    <w:rsid w:val="00115B1A"/>
    <w:rsid w:val="00116319"/>
    <w:rsid w:val="001237CD"/>
    <w:rsid w:val="001306A0"/>
    <w:rsid w:val="00135687"/>
    <w:rsid w:val="00152E82"/>
    <w:rsid w:val="001552C3"/>
    <w:rsid w:val="001801B5"/>
    <w:rsid w:val="001839F6"/>
    <w:rsid w:val="00184138"/>
    <w:rsid w:val="00197F9C"/>
    <w:rsid w:val="001B0861"/>
    <w:rsid w:val="001B50E8"/>
    <w:rsid w:val="001C36CE"/>
    <w:rsid w:val="001C3928"/>
    <w:rsid w:val="001C7D04"/>
    <w:rsid w:val="001E598B"/>
    <w:rsid w:val="001E6D2E"/>
    <w:rsid w:val="001F0CF9"/>
    <w:rsid w:val="001F2F95"/>
    <w:rsid w:val="001F4897"/>
    <w:rsid w:val="00200F85"/>
    <w:rsid w:val="002070D3"/>
    <w:rsid w:val="00215B56"/>
    <w:rsid w:val="00234E41"/>
    <w:rsid w:val="002467D2"/>
    <w:rsid w:val="0024765D"/>
    <w:rsid w:val="0025374F"/>
    <w:rsid w:val="00254D2F"/>
    <w:rsid w:val="00257611"/>
    <w:rsid w:val="00275AF9"/>
    <w:rsid w:val="00280B0D"/>
    <w:rsid w:val="00282DFB"/>
    <w:rsid w:val="00283245"/>
    <w:rsid w:val="00293E48"/>
    <w:rsid w:val="002A2DB8"/>
    <w:rsid w:val="002B2324"/>
    <w:rsid w:val="002B7C38"/>
    <w:rsid w:val="002C0C77"/>
    <w:rsid w:val="002C14C6"/>
    <w:rsid w:val="002C39E3"/>
    <w:rsid w:val="002E65A6"/>
    <w:rsid w:val="002E677F"/>
    <w:rsid w:val="002E74D6"/>
    <w:rsid w:val="002F2F49"/>
    <w:rsid w:val="002F35B9"/>
    <w:rsid w:val="002F4B05"/>
    <w:rsid w:val="00306B8A"/>
    <w:rsid w:val="00306BD8"/>
    <w:rsid w:val="0031257B"/>
    <w:rsid w:val="003271CC"/>
    <w:rsid w:val="003330EF"/>
    <w:rsid w:val="00335D47"/>
    <w:rsid w:val="00341A0A"/>
    <w:rsid w:val="0034500E"/>
    <w:rsid w:val="003527D8"/>
    <w:rsid w:val="00353203"/>
    <w:rsid w:val="003544B6"/>
    <w:rsid w:val="00360DD6"/>
    <w:rsid w:val="003620AF"/>
    <w:rsid w:val="0036691B"/>
    <w:rsid w:val="00372DAA"/>
    <w:rsid w:val="00381C09"/>
    <w:rsid w:val="00392943"/>
    <w:rsid w:val="00393AF2"/>
    <w:rsid w:val="00394BDA"/>
    <w:rsid w:val="003A2A77"/>
    <w:rsid w:val="003B6D40"/>
    <w:rsid w:val="003B7921"/>
    <w:rsid w:val="003C090D"/>
    <w:rsid w:val="003C2C6F"/>
    <w:rsid w:val="003C4F20"/>
    <w:rsid w:val="003D7A42"/>
    <w:rsid w:val="003E0E53"/>
    <w:rsid w:val="004029CE"/>
    <w:rsid w:val="00405634"/>
    <w:rsid w:val="004057A3"/>
    <w:rsid w:val="004174BC"/>
    <w:rsid w:val="0042111A"/>
    <w:rsid w:val="00425DE8"/>
    <w:rsid w:val="004329AE"/>
    <w:rsid w:val="00435079"/>
    <w:rsid w:val="00441BFF"/>
    <w:rsid w:val="00446C42"/>
    <w:rsid w:val="004510D8"/>
    <w:rsid w:val="0045492D"/>
    <w:rsid w:val="004555B0"/>
    <w:rsid w:val="00462406"/>
    <w:rsid w:val="004640F0"/>
    <w:rsid w:val="004707C3"/>
    <w:rsid w:val="004908D1"/>
    <w:rsid w:val="00493F9A"/>
    <w:rsid w:val="004A1F7A"/>
    <w:rsid w:val="004A31CE"/>
    <w:rsid w:val="004A6251"/>
    <w:rsid w:val="004B2DE8"/>
    <w:rsid w:val="004C75BB"/>
    <w:rsid w:val="004C7EFD"/>
    <w:rsid w:val="004D58B9"/>
    <w:rsid w:val="004D7B5B"/>
    <w:rsid w:val="004E026C"/>
    <w:rsid w:val="004E3855"/>
    <w:rsid w:val="004F20BA"/>
    <w:rsid w:val="00500655"/>
    <w:rsid w:val="00505E6A"/>
    <w:rsid w:val="005104B0"/>
    <w:rsid w:val="005109EB"/>
    <w:rsid w:val="00514132"/>
    <w:rsid w:val="005244E6"/>
    <w:rsid w:val="00534DED"/>
    <w:rsid w:val="00540BBE"/>
    <w:rsid w:val="00563B71"/>
    <w:rsid w:val="00564228"/>
    <w:rsid w:val="00576EC7"/>
    <w:rsid w:val="005779D5"/>
    <w:rsid w:val="00586794"/>
    <w:rsid w:val="00591220"/>
    <w:rsid w:val="00594A96"/>
    <w:rsid w:val="005A4D66"/>
    <w:rsid w:val="005B3373"/>
    <w:rsid w:val="005B3FBF"/>
    <w:rsid w:val="005D2B62"/>
    <w:rsid w:val="005E027D"/>
    <w:rsid w:val="005E1838"/>
    <w:rsid w:val="005F399B"/>
    <w:rsid w:val="005F6636"/>
    <w:rsid w:val="0060398F"/>
    <w:rsid w:val="00613700"/>
    <w:rsid w:val="00616DB0"/>
    <w:rsid w:val="006210BA"/>
    <w:rsid w:val="00627129"/>
    <w:rsid w:val="006305BE"/>
    <w:rsid w:val="00630C26"/>
    <w:rsid w:val="0063441E"/>
    <w:rsid w:val="00637D67"/>
    <w:rsid w:val="00651224"/>
    <w:rsid w:val="0065420B"/>
    <w:rsid w:val="00655AA9"/>
    <w:rsid w:val="006673CF"/>
    <w:rsid w:val="00667722"/>
    <w:rsid w:val="006831C0"/>
    <w:rsid w:val="006B20C1"/>
    <w:rsid w:val="006B668C"/>
    <w:rsid w:val="006B74F0"/>
    <w:rsid w:val="006C5FED"/>
    <w:rsid w:val="006C631E"/>
    <w:rsid w:val="006E0510"/>
    <w:rsid w:val="00702039"/>
    <w:rsid w:val="007024FB"/>
    <w:rsid w:val="0071557C"/>
    <w:rsid w:val="00727445"/>
    <w:rsid w:val="00730FE2"/>
    <w:rsid w:val="0073100B"/>
    <w:rsid w:val="00742193"/>
    <w:rsid w:val="00743702"/>
    <w:rsid w:val="007454A9"/>
    <w:rsid w:val="00754EE9"/>
    <w:rsid w:val="00757BFA"/>
    <w:rsid w:val="00762A1E"/>
    <w:rsid w:val="007735BC"/>
    <w:rsid w:val="00776D6A"/>
    <w:rsid w:val="00784507"/>
    <w:rsid w:val="007A7A61"/>
    <w:rsid w:val="007C2909"/>
    <w:rsid w:val="007D38C4"/>
    <w:rsid w:val="007D5F39"/>
    <w:rsid w:val="007E586D"/>
    <w:rsid w:val="007E7894"/>
    <w:rsid w:val="007F09C2"/>
    <w:rsid w:val="007F5FB2"/>
    <w:rsid w:val="007F7C3A"/>
    <w:rsid w:val="00803EE0"/>
    <w:rsid w:val="00804688"/>
    <w:rsid w:val="00812D42"/>
    <w:rsid w:val="00815E52"/>
    <w:rsid w:val="0081782D"/>
    <w:rsid w:val="00823D9B"/>
    <w:rsid w:val="008326C6"/>
    <w:rsid w:val="00833871"/>
    <w:rsid w:val="00837508"/>
    <w:rsid w:val="0084032A"/>
    <w:rsid w:val="008609E2"/>
    <w:rsid w:val="00861D6F"/>
    <w:rsid w:val="0086537E"/>
    <w:rsid w:val="00883F67"/>
    <w:rsid w:val="00885BB4"/>
    <w:rsid w:val="00891319"/>
    <w:rsid w:val="00896B76"/>
    <w:rsid w:val="008A3C3E"/>
    <w:rsid w:val="008A50F4"/>
    <w:rsid w:val="008C11E5"/>
    <w:rsid w:val="008C240F"/>
    <w:rsid w:val="008F564E"/>
    <w:rsid w:val="009033E5"/>
    <w:rsid w:val="009122C1"/>
    <w:rsid w:val="0091700F"/>
    <w:rsid w:val="0093387C"/>
    <w:rsid w:val="009417AA"/>
    <w:rsid w:val="00946A9E"/>
    <w:rsid w:val="009525F5"/>
    <w:rsid w:val="00956ECB"/>
    <w:rsid w:val="0096610E"/>
    <w:rsid w:val="00967187"/>
    <w:rsid w:val="0098363B"/>
    <w:rsid w:val="009A1802"/>
    <w:rsid w:val="009A79B8"/>
    <w:rsid w:val="009C1281"/>
    <w:rsid w:val="009C45CD"/>
    <w:rsid w:val="009D2D58"/>
    <w:rsid w:val="009D3E7B"/>
    <w:rsid w:val="009D6EB5"/>
    <w:rsid w:val="009E0596"/>
    <w:rsid w:val="009E576E"/>
    <w:rsid w:val="009E595C"/>
    <w:rsid w:val="009F19F5"/>
    <w:rsid w:val="009F5B52"/>
    <w:rsid w:val="00A02AF6"/>
    <w:rsid w:val="00A16D69"/>
    <w:rsid w:val="00A2185E"/>
    <w:rsid w:val="00A34422"/>
    <w:rsid w:val="00A35207"/>
    <w:rsid w:val="00A3566E"/>
    <w:rsid w:val="00A41CD6"/>
    <w:rsid w:val="00A44E53"/>
    <w:rsid w:val="00A45195"/>
    <w:rsid w:val="00A51122"/>
    <w:rsid w:val="00A57686"/>
    <w:rsid w:val="00A601E3"/>
    <w:rsid w:val="00A72B66"/>
    <w:rsid w:val="00A72E18"/>
    <w:rsid w:val="00A762E6"/>
    <w:rsid w:val="00A7756A"/>
    <w:rsid w:val="00A86ABF"/>
    <w:rsid w:val="00A96469"/>
    <w:rsid w:val="00AB1991"/>
    <w:rsid w:val="00AB6C95"/>
    <w:rsid w:val="00AB78FF"/>
    <w:rsid w:val="00AB7C84"/>
    <w:rsid w:val="00AD2BFC"/>
    <w:rsid w:val="00AD4C81"/>
    <w:rsid w:val="00AD7534"/>
    <w:rsid w:val="00AE171F"/>
    <w:rsid w:val="00AF0847"/>
    <w:rsid w:val="00AF309D"/>
    <w:rsid w:val="00AF6B9B"/>
    <w:rsid w:val="00B048B1"/>
    <w:rsid w:val="00B04FD0"/>
    <w:rsid w:val="00B1562E"/>
    <w:rsid w:val="00B3393A"/>
    <w:rsid w:val="00B33D2A"/>
    <w:rsid w:val="00B35969"/>
    <w:rsid w:val="00B35C2A"/>
    <w:rsid w:val="00B44765"/>
    <w:rsid w:val="00B57261"/>
    <w:rsid w:val="00B61020"/>
    <w:rsid w:val="00B96DBD"/>
    <w:rsid w:val="00BA32AC"/>
    <w:rsid w:val="00BA355B"/>
    <w:rsid w:val="00BA636F"/>
    <w:rsid w:val="00BB205A"/>
    <w:rsid w:val="00BC069A"/>
    <w:rsid w:val="00BC1453"/>
    <w:rsid w:val="00BC2AB3"/>
    <w:rsid w:val="00BC372E"/>
    <w:rsid w:val="00BC7A02"/>
    <w:rsid w:val="00BD08C5"/>
    <w:rsid w:val="00BE0BA1"/>
    <w:rsid w:val="00BF35A8"/>
    <w:rsid w:val="00C03AD7"/>
    <w:rsid w:val="00C06E58"/>
    <w:rsid w:val="00C17463"/>
    <w:rsid w:val="00C20132"/>
    <w:rsid w:val="00C20DA6"/>
    <w:rsid w:val="00C516FA"/>
    <w:rsid w:val="00C65F88"/>
    <w:rsid w:val="00C71ACD"/>
    <w:rsid w:val="00C727A5"/>
    <w:rsid w:val="00C84C54"/>
    <w:rsid w:val="00C8576F"/>
    <w:rsid w:val="00C933FE"/>
    <w:rsid w:val="00CA0E3D"/>
    <w:rsid w:val="00CA3BA3"/>
    <w:rsid w:val="00CC57F4"/>
    <w:rsid w:val="00CD537F"/>
    <w:rsid w:val="00CE19C4"/>
    <w:rsid w:val="00D03A6B"/>
    <w:rsid w:val="00D058AD"/>
    <w:rsid w:val="00D271BB"/>
    <w:rsid w:val="00D274E4"/>
    <w:rsid w:val="00D33783"/>
    <w:rsid w:val="00D35FCB"/>
    <w:rsid w:val="00D5227E"/>
    <w:rsid w:val="00D54426"/>
    <w:rsid w:val="00D66786"/>
    <w:rsid w:val="00D736A5"/>
    <w:rsid w:val="00D81A0C"/>
    <w:rsid w:val="00D85B8B"/>
    <w:rsid w:val="00D904E9"/>
    <w:rsid w:val="00D91F44"/>
    <w:rsid w:val="00D92404"/>
    <w:rsid w:val="00D92EE4"/>
    <w:rsid w:val="00D94DF8"/>
    <w:rsid w:val="00DA2E8D"/>
    <w:rsid w:val="00DA4F66"/>
    <w:rsid w:val="00DB39B6"/>
    <w:rsid w:val="00DB5A07"/>
    <w:rsid w:val="00DB5CB9"/>
    <w:rsid w:val="00DB6DA4"/>
    <w:rsid w:val="00DC0D0E"/>
    <w:rsid w:val="00DD0A13"/>
    <w:rsid w:val="00DD2912"/>
    <w:rsid w:val="00DE568A"/>
    <w:rsid w:val="00DF2A31"/>
    <w:rsid w:val="00E14C1F"/>
    <w:rsid w:val="00E22DE3"/>
    <w:rsid w:val="00E26A88"/>
    <w:rsid w:val="00E35B1F"/>
    <w:rsid w:val="00E4054D"/>
    <w:rsid w:val="00E47033"/>
    <w:rsid w:val="00E575EB"/>
    <w:rsid w:val="00E65F4F"/>
    <w:rsid w:val="00E704E0"/>
    <w:rsid w:val="00E76CB4"/>
    <w:rsid w:val="00E82D1C"/>
    <w:rsid w:val="00E94B4B"/>
    <w:rsid w:val="00EA0C62"/>
    <w:rsid w:val="00EB3E82"/>
    <w:rsid w:val="00EB57CD"/>
    <w:rsid w:val="00EB58F2"/>
    <w:rsid w:val="00EB76B9"/>
    <w:rsid w:val="00ED3F3D"/>
    <w:rsid w:val="00ED3FED"/>
    <w:rsid w:val="00EE1893"/>
    <w:rsid w:val="00EE5E81"/>
    <w:rsid w:val="00EE67C4"/>
    <w:rsid w:val="00EE6CB2"/>
    <w:rsid w:val="00EF3081"/>
    <w:rsid w:val="00EF446B"/>
    <w:rsid w:val="00EF66E7"/>
    <w:rsid w:val="00EF7AB9"/>
    <w:rsid w:val="00F05CFD"/>
    <w:rsid w:val="00F10441"/>
    <w:rsid w:val="00F20230"/>
    <w:rsid w:val="00F25FEB"/>
    <w:rsid w:val="00F30F68"/>
    <w:rsid w:val="00F318F9"/>
    <w:rsid w:val="00F44577"/>
    <w:rsid w:val="00F45522"/>
    <w:rsid w:val="00F5317C"/>
    <w:rsid w:val="00F54E17"/>
    <w:rsid w:val="00F6718C"/>
    <w:rsid w:val="00F766D1"/>
    <w:rsid w:val="00F8106F"/>
    <w:rsid w:val="00F81419"/>
    <w:rsid w:val="00F83614"/>
    <w:rsid w:val="00F9333E"/>
    <w:rsid w:val="00FB08EF"/>
    <w:rsid w:val="00FB6F2B"/>
    <w:rsid w:val="00FC3611"/>
    <w:rsid w:val="00FC4EDB"/>
    <w:rsid w:val="00FC64AF"/>
    <w:rsid w:val="00FD6586"/>
    <w:rsid w:val="00FD7A56"/>
    <w:rsid w:val="00FF1EA4"/>
    <w:rsid w:val="00FF4C1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8F1D4"/>
  <w15:docId w15:val="{8B4A4B4E-43F6-4980-AD26-E7EE6332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1"/>
    <w:qFormat/>
    <w:rsid w:val="0084032A"/>
    <w:rPr>
      <w:rFonts w:ascii="Arial" w:hAnsi="Arial"/>
      <w:sz w:val="24"/>
    </w:rPr>
  </w:style>
  <w:style w:type="paragraph" w:styleId="Heading1">
    <w:name w:val="heading 1"/>
    <w:basedOn w:val="Normal"/>
    <w:next w:val="Normal"/>
    <w:link w:val="Heading1Char"/>
    <w:uiPriority w:val="9"/>
    <w:qFormat/>
    <w:rsid w:val="00731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700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6E05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62"/>
    <w:pPr>
      <w:ind w:left="720"/>
      <w:contextualSpacing/>
    </w:pPr>
  </w:style>
  <w:style w:type="paragraph" w:styleId="Header">
    <w:name w:val="header"/>
    <w:basedOn w:val="Normal"/>
    <w:link w:val="HeaderChar"/>
    <w:uiPriority w:val="99"/>
    <w:unhideWhenUsed/>
    <w:rsid w:val="00004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DF8"/>
  </w:style>
  <w:style w:type="paragraph" w:styleId="Footer">
    <w:name w:val="footer"/>
    <w:basedOn w:val="Normal"/>
    <w:link w:val="FooterChar"/>
    <w:uiPriority w:val="99"/>
    <w:unhideWhenUsed/>
    <w:rsid w:val="00004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DF8"/>
  </w:style>
  <w:style w:type="character" w:styleId="CommentReference">
    <w:name w:val="annotation reference"/>
    <w:basedOn w:val="DefaultParagraphFont"/>
    <w:uiPriority w:val="99"/>
    <w:semiHidden/>
    <w:unhideWhenUsed/>
    <w:rsid w:val="009D2D58"/>
    <w:rPr>
      <w:sz w:val="16"/>
      <w:szCs w:val="16"/>
    </w:rPr>
  </w:style>
  <w:style w:type="paragraph" w:styleId="CommentText">
    <w:name w:val="annotation text"/>
    <w:basedOn w:val="Normal"/>
    <w:link w:val="CommentTextChar"/>
    <w:uiPriority w:val="99"/>
    <w:semiHidden/>
    <w:unhideWhenUsed/>
    <w:rsid w:val="009D2D58"/>
    <w:pPr>
      <w:spacing w:line="240" w:lineRule="auto"/>
    </w:pPr>
    <w:rPr>
      <w:sz w:val="20"/>
      <w:szCs w:val="20"/>
    </w:rPr>
  </w:style>
  <w:style w:type="character" w:customStyle="1" w:styleId="CommentTextChar">
    <w:name w:val="Comment Text Char"/>
    <w:basedOn w:val="DefaultParagraphFont"/>
    <w:link w:val="CommentText"/>
    <w:uiPriority w:val="99"/>
    <w:semiHidden/>
    <w:rsid w:val="009D2D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2D58"/>
    <w:rPr>
      <w:b/>
      <w:bCs/>
    </w:rPr>
  </w:style>
  <w:style w:type="character" w:customStyle="1" w:styleId="CommentSubjectChar">
    <w:name w:val="Comment Subject Char"/>
    <w:basedOn w:val="CommentTextChar"/>
    <w:link w:val="CommentSubject"/>
    <w:uiPriority w:val="99"/>
    <w:semiHidden/>
    <w:rsid w:val="009D2D58"/>
    <w:rPr>
      <w:rFonts w:ascii="Arial" w:hAnsi="Arial"/>
      <w:b/>
      <w:bCs/>
      <w:sz w:val="20"/>
      <w:szCs w:val="20"/>
    </w:rPr>
  </w:style>
  <w:style w:type="paragraph" w:styleId="BalloonText">
    <w:name w:val="Balloon Text"/>
    <w:basedOn w:val="Normal"/>
    <w:link w:val="BalloonTextChar"/>
    <w:uiPriority w:val="99"/>
    <w:semiHidden/>
    <w:unhideWhenUsed/>
    <w:rsid w:val="009D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58"/>
    <w:rPr>
      <w:rFonts w:ascii="Segoe UI" w:hAnsi="Segoe UI" w:cs="Segoe UI"/>
      <w:sz w:val="18"/>
      <w:szCs w:val="18"/>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85BB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85BB4"/>
    <w:rPr>
      <w:rFonts w:ascii="Arial" w:hAnsi="Arial"/>
      <w:sz w:val="20"/>
      <w:szCs w:val="20"/>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basedOn w:val="DefaultParagraphFont"/>
    <w:uiPriority w:val="99"/>
    <w:unhideWhenUsed/>
    <w:qFormat/>
    <w:rsid w:val="00885BB4"/>
    <w:rPr>
      <w:vertAlign w:val="superscript"/>
    </w:rPr>
  </w:style>
  <w:style w:type="paragraph" w:customStyle="1" w:styleId="Default">
    <w:name w:val="Default"/>
    <w:rsid w:val="0071557C"/>
    <w:pPr>
      <w:autoSpaceDE w:val="0"/>
      <w:autoSpaceDN w:val="0"/>
      <w:adjustRightInd w:val="0"/>
      <w:spacing w:after="0" w:line="240" w:lineRule="auto"/>
    </w:pPr>
    <w:rPr>
      <w:rFonts w:ascii="Verdana" w:hAnsi="Verdana" w:cs="Verdana"/>
      <w:color w:val="000000"/>
      <w:sz w:val="24"/>
      <w:szCs w:val="24"/>
    </w:rPr>
  </w:style>
  <w:style w:type="paragraph" w:customStyle="1" w:styleId="LegalList1">
    <w:name w:val="Legal_List1"/>
    <w:basedOn w:val="Normal"/>
    <w:uiPriority w:val="99"/>
    <w:semiHidden/>
    <w:rsid w:val="0091700F"/>
    <w:pPr>
      <w:suppressAutoHyphens/>
      <w:spacing w:after="360" w:line="480" w:lineRule="auto"/>
      <w:jc w:val="both"/>
      <w:outlineLvl w:val="0"/>
    </w:pPr>
    <w:rPr>
      <w:rFonts w:eastAsia="Times New Roman" w:cs="Times New Roman"/>
      <w:szCs w:val="24"/>
      <w:lang w:val="en-GB" w:eastAsia="en-GB"/>
    </w:rPr>
  </w:style>
  <w:style w:type="character" w:customStyle="1" w:styleId="Heading2Char">
    <w:name w:val="Heading 2 Char"/>
    <w:basedOn w:val="DefaultParagraphFont"/>
    <w:link w:val="Heading2"/>
    <w:uiPriority w:val="9"/>
    <w:rsid w:val="0091700F"/>
    <w:rPr>
      <w:rFonts w:ascii="Times New Roman" w:eastAsia="Times New Roman" w:hAnsi="Times New Roman" w:cs="Times New Roman"/>
      <w:b/>
      <w:bCs/>
      <w:sz w:val="36"/>
      <w:szCs w:val="36"/>
      <w:lang w:eastAsia="en-ZA"/>
    </w:rPr>
  </w:style>
  <w:style w:type="paragraph" w:styleId="NormalWeb">
    <w:name w:val="Normal (Web)"/>
    <w:basedOn w:val="Normal"/>
    <w:uiPriority w:val="99"/>
    <w:unhideWhenUsed/>
    <w:rsid w:val="009C1281"/>
    <w:pPr>
      <w:spacing w:before="100" w:beforeAutospacing="1" w:after="100" w:afterAutospacing="1" w:line="240" w:lineRule="auto"/>
    </w:pPr>
    <w:rPr>
      <w:rFonts w:ascii="Times New Roman" w:eastAsia="Times New Roman" w:hAnsi="Times New Roman" w:cs="Times New Roman"/>
      <w:szCs w:val="24"/>
      <w:lang w:eastAsia="en-ZA"/>
    </w:rPr>
  </w:style>
  <w:style w:type="character" w:styleId="Hyperlink">
    <w:name w:val="Hyperlink"/>
    <w:basedOn w:val="DefaultParagraphFont"/>
    <w:uiPriority w:val="99"/>
    <w:semiHidden/>
    <w:unhideWhenUsed/>
    <w:rsid w:val="009C1281"/>
    <w:rPr>
      <w:color w:val="0000FF"/>
      <w:u w:val="single"/>
    </w:rPr>
  </w:style>
  <w:style w:type="character" w:customStyle="1" w:styleId="Heading1Char">
    <w:name w:val="Heading 1 Char"/>
    <w:basedOn w:val="DefaultParagraphFont"/>
    <w:link w:val="Heading1"/>
    <w:rsid w:val="0073100B"/>
    <w:rPr>
      <w:rFonts w:asciiTheme="majorHAnsi" w:eastAsiaTheme="majorEastAsia" w:hAnsiTheme="majorHAnsi" w:cstheme="majorBidi"/>
      <w:color w:val="2E74B5" w:themeColor="accent1" w:themeShade="BF"/>
      <w:sz w:val="32"/>
      <w:szCs w:val="32"/>
    </w:rPr>
  </w:style>
  <w:style w:type="paragraph" w:customStyle="1" w:styleId="1">
    <w:name w:val="1"/>
    <w:basedOn w:val="Normal"/>
    <w:link w:val="1Char"/>
    <w:qFormat/>
    <w:rsid w:val="0073100B"/>
    <w:pPr>
      <w:numPr>
        <w:numId w:val="4"/>
      </w:numPr>
      <w:spacing w:before="240" w:after="0" w:line="480" w:lineRule="auto"/>
      <w:jc w:val="both"/>
    </w:pPr>
    <w:rPr>
      <w:rFonts w:eastAsia="Times New Roman" w:cs="Times New Roman"/>
      <w:iCs/>
      <w:color w:val="000000"/>
      <w:lang w:val="en-GB"/>
    </w:rPr>
  </w:style>
  <w:style w:type="character" w:customStyle="1" w:styleId="1Char">
    <w:name w:val="1 Char"/>
    <w:link w:val="1"/>
    <w:locked/>
    <w:rsid w:val="0073100B"/>
    <w:rPr>
      <w:rFonts w:ascii="Arial" w:eastAsia="Times New Roman" w:hAnsi="Arial" w:cs="Times New Roman"/>
      <w:iCs/>
      <w:color w:val="000000"/>
      <w:sz w:val="24"/>
      <w:lang w:val="en-GB"/>
    </w:rPr>
  </w:style>
  <w:style w:type="character" w:customStyle="1" w:styleId="2Char">
    <w:name w:val="2 Char"/>
    <w:link w:val="2"/>
    <w:locked/>
    <w:rsid w:val="0073100B"/>
    <w:rPr>
      <w:rFonts w:ascii="Arial" w:hAnsi="Arial" w:cs="Arial"/>
      <w:iCs/>
      <w:color w:val="000000"/>
      <w:sz w:val="24"/>
      <w:lang w:val="en-GB"/>
    </w:rPr>
  </w:style>
  <w:style w:type="paragraph" w:customStyle="1" w:styleId="2">
    <w:name w:val="2"/>
    <w:basedOn w:val="1"/>
    <w:link w:val="2Char"/>
    <w:qFormat/>
    <w:rsid w:val="0073100B"/>
    <w:pPr>
      <w:numPr>
        <w:ilvl w:val="1"/>
      </w:numPr>
    </w:pPr>
    <w:rPr>
      <w:rFonts w:eastAsiaTheme="minorHAnsi" w:cs="Arial"/>
    </w:rPr>
  </w:style>
  <w:style w:type="paragraph" w:customStyle="1" w:styleId="3">
    <w:name w:val="3"/>
    <w:basedOn w:val="2"/>
    <w:qFormat/>
    <w:rsid w:val="0073100B"/>
    <w:pPr>
      <w:numPr>
        <w:ilvl w:val="2"/>
      </w:numPr>
    </w:pPr>
  </w:style>
  <w:style w:type="paragraph" w:customStyle="1" w:styleId="4">
    <w:name w:val="4"/>
    <w:basedOn w:val="2"/>
    <w:qFormat/>
    <w:rsid w:val="0073100B"/>
    <w:pPr>
      <w:numPr>
        <w:ilvl w:val="3"/>
      </w:numPr>
    </w:pPr>
    <w:rPr>
      <w:iCs w:val="0"/>
    </w:rPr>
  </w:style>
  <w:style w:type="paragraph" w:customStyle="1" w:styleId="5">
    <w:name w:val="5"/>
    <w:basedOn w:val="4"/>
    <w:qFormat/>
    <w:rsid w:val="0073100B"/>
    <w:pPr>
      <w:numPr>
        <w:ilvl w:val="4"/>
      </w:numPr>
    </w:pPr>
    <w:rPr>
      <w:iCs/>
      <w:szCs w:val="16"/>
      <w:lang w:eastAsia="en-ZA"/>
    </w:rPr>
  </w:style>
  <w:style w:type="character" w:customStyle="1" w:styleId="Heading3Char">
    <w:name w:val="Heading 3 Char"/>
    <w:basedOn w:val="DefaultParagraphFont"/>
    <w:link w:val="Heading3"/>
    <w:uiPriority w:val="9"/>
    <w:semiHidden/>
    <w:rsid w:val="006E051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semiHidden/>
    <w:unhideWhenUsed/>
    <w:qFormat/>
    <w:rsid w:val="00A57686"/>
    <w:pPr>
      <w:widowControl w:val="0"/>
      <w:autoSpaceDE w:val="0"/>
      <w:autoSpaceDN w:val="0"/>
      <w:spacing w:after="0" w:line="240" w:lineRule="auto"/>
    </w:pPr>
    <w:rPr>
      <w:rFonts w:eastAsia="Arial" w:cs="Arial"/>
      <w:szCs w:val="24"/>
    </w:rPr>
  </w:style>
  <w:style w:type="character" w:customStyle="1" w:styleId="BodyTextChar">
    <w:name w:val="Body Text Char"/>
    <w:basedOn w:val="DefaultParagraphFont"/>
    <w:link w:val="BodyText"/>
    <w:uiPriority w:val="1"/>
    <w:semiHidden/>
    <w:rsid w:val="00A57686"/>
    <w:rPr>
      <w:rFonts w:ascii="Arial" w:eastAsia="Arial" w:hAnsi="Arial" w:cs="Arial"/>
      <w:sz w:val="24"/>
      <w:szCs w:val="24"/>
    </w:rPr>
  </w:style>
  <w:style w:type="character" w:customStyle="1" w:styleId="11Char">
    <w:name w:val="1.1 Char"/>
    <w:link w:val="11"/>
    <w:locked/>
    <w:rsid w:val="00CA0E3D"/>
    <w:rPr>
      <w:rFonts w:ascii="Arial" w:hAnsi="Arial" w:cs="Times New Roman"/>
      <w:sz w:val="25"/>
      <w:szCs w:val="24"/>
    </w:rPr>
  </w:style>
  <w:style w:type="paragraph" w:customStyle="1" w:styleId="11">
    <w:name w:val="1.1"/>
    <w:basedOn w:val="Normal"/>
    <w:link w:val="11Char"/>
    <w:qFormat/>
    <w:rsid w:val="00CA0E3D"/>
    <w:pPr>
      <w:tabs>
        <w:tab w:val="num" w:pos="1418"/>
      </w:tabs>
      <w:snapToGrid w:val="0"/>
      <w:spacing w:before="360" w:after="360" w:line="480" w:lineRule="auto"/>
      <w:ind w:left="1418" w:hanging="709"/>
      <w:jc w:val="both"/>
    </w:pPr>
    <w:rPr>
      <w:rFonts w:cs="Times New Roman"/>
      <w:sz w:val="25"/>
      <w:szCs w:val="24"/>
    </w:rPr>
  </w:style>
  <w:style w:type="paragraph" w:customStyle="1" w:styleId="111">
    <w:name w:val="1.1.1"/>
    <w:basedOn w:val="11"/>
    <w:qFormat/>
    <w:rsid w:val="00CA0E3D"/>
    <w:pPr>
      <w:tabs>
        <w:tab w:val="clear" w:pos="1418"/>
        <w:tab w:val="num" w:pos="360"/>
        <w:tab w:val="num" w:pos="1980"/>
      </w:tabs>
      <w:ind w:left="1980" w:hanging="180"/>
    </w:pPr>
  </w:style>
  <w:style w:type="paragraph" w:customStyle="1" w:styleId="1111">
    <w:name w:val="1.1.1.1"/>
    <w:basedOn w:val="111"/>
    <w:qFormat/>
    <w:rsid w:val="00CA0E3D"/>
    <w:pPr>
      <w:tabs>
        <w:tab w:val="clear" w:pos="1980"/>
        <w:tab w:val="num" w:pos="2700"/>
      </w:tabs>
      <w:ind w:left="2700" w:hanging="360"/>
    </w:pPr>
  </w:style>
  <w:style w:type="character" w:customStyle="1" w:styleId="QuotationChar">
    <w:name w:val="Quotation Char"/>
    <w:link w:val="Quotation"/>
    <w:locked/>
    <w:rsid w:val="00CA0E3D"/>
    <w:rPr>
      <w:rFonts w:ascii="Bookman Old Style" w:hAnsi="Bookman Old Style"/>
      <w:i/>
    </w:rPr>
  </w:style>
  <w:style w:type="paragraph" w:customStyle="1" w:styleId="Quotation">
    <w:name w:val="Quotation"/>
    <w:basedOn w:val="Normal"/>
    <w:link w:val="QuotationChar"/>
    <w:qFormat/>
    <w:rsid w:val="00CA0E3D"/>
    <w:pPr>
      <w:snapToGrid w:val="0"/>
      <w:spacing w:before="240" w:after="240" w:line="480" w:lineRule="auto"/>
      <w:ind w:left="1417" w:hanging="340"/>
      <w:jc w:val="both"/>
    </w:pPr>
    <w:rPr>
      <w:rFonts w:ascii="Bookman Old Style" w:hAnsi="Bookman Old Style"/>
      <w:i/>
      <w:sz w:val="22"/>
    </w:rPr>
  </w:style>
  <w:style w:type="paragraph" w:styleId="Revision">
    <w:name w:val="Revision"/>
    <w:hidden/>
    <w:uiPriority w:val="99"/>
    <w:semiHidden/>
    <w:rsid w:val="00A44E53"/>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564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4228"/>
    <w:rPr>
      <w:rFonts w:ascii="Arial" w:hAnsi="Arial"/>
      <w:sz w:val="20"/>
      <w:szCs w:val="20"/>
    </w:rPr>
  </w:style>
  <w:style w:type="character" w:styleId="EndnoteReference">
    <w:name w:val="endnote reference"/>
    <w:basedOn w:val="DefaultParagraphFont"/>
    <w:uiPriority w:val="99"/>
    <w:semiHidden/>
    <w:unhideWhenUsed/>
    <w:rsid w:val="00564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653">
      <w:bodyDiv w:val="1"/>
      <w:marLeft w:val="0"/>
      <w:marRight w:val="0"/>
      <w:marTop w:val="0"/>
      <w:marBottom w:val="0"/>
      <w:divBdr>
        <w:top w:val="none" w:sz="0" w:space="0" w:color="auto"/>
        <w:left w:val="none" w:sz="0" w:space="0" w:color="auto"/>
        <w:bottom w:val="none" w:sz="0" w:space="0" w:color="auto"/>
        <w:right w:val="none" w:sz="0" w:space="0" w:color="auto"/>
      </w:divBdr>
    </w:div>
    <w:div w:id="38870564">
      <w:bodyDiv w:val="1"/>
      <w:marLeft w:val="0"/>
      <w:marRight w:val="0"/>
      <w:marTop w:val="0"/>
      <w:marBottom w:val="0"/>
      <w:divBdr>
        <w:top w:val="none" w:sz="0" w:space="0" w:color="auto"/>
        <w:left w:val="none" w:sz="0" w:space="0" w:color="auto"/>
        <w:bottom w:val="none" w:sz="0" w:space="0" w:color="auto"/>
        <w:right w:val="none" w:sz="0" w:space="0" w:color="auto"/>
      </w:divBdr>
    </w:div>
    <w:div w:id="111942550">
      <w:bodyDiv w:val="1"/>
      <w:marLeft w:val="0"/>
      <w:marRight w:val="0"/>
      <w:marTop w:val="0"/>
      <w:marBottom w:val="0"/>
      <w:divBdr>
        <w:top w:val="none" w:sz="0" w:space="0" w:color="auto"/>
        <w:left w:val="none" w:sz="0" w:space="0" w:color="auto"/>
        <w:bottom w:val="none" w:sz="0" w:space="0" w:color="auto"/>
        <w:right w:val="none" w:sz="0" w:space="0" w:color="auto"/>
      </w:divBdr>
    </w:div>
    <w:div w:id="117068118">
      <w:bodyDiv w:val="1"/>
      <w:marLeft w:val="0"/>
      <w:marRight w:val="0"/>
      <w:marTop w:val="0"/>
      <w:marBottom w:val="0"/>
      <w:divBdr>
        <w:top w:val="none" w:sz="0" w:space="0" w:color="auto"/>
        <w:left w:val="none" w:sz="0" w:space="0" w:color="auto"/>
        <w:bottom w:val="none" w:sz="0" w:space="0" w:color="auto"/>
        <w:right w:val="none" w:sz="0" w:space="0" w:color="auto"/>
      </w:divBdr>
    </w:div>
    <w:div w:id="192544974">
      <w:bodyDiv w:val="1"/>
      <w:marLeft w:val="0"/>
      <w:marRight w:val="0"/>
      <w:marTop w:val="0"/>
      <w:marBottom w:val="0"/>
      <w:divBdr>
        <w:top w:val="none" w:sz="0" w:space="0" w:color="auto"/>
        <w:left w:val="none" w:sz="0" w:space="0" w:color="auto"/>
        <w:bottom w:val="none" w:sz="0" w:space="0" w:color="auto"/>
        <w:right w:val="none" w:sz="0" w:space="0" w:color="auto"/>
      </w:divBdr>
    </w:div>
    <w:div w:id="193806124">
      <w:bodyDiv w:val="1"/>
      <w:marLeft w:val="0"/>
      <w:marRight w:val="0"/>
      <w:marTop w:val="0"/>
      <w:marBottom w:val="0"/>
      <w:divBdr>
        <w:top w:val="none" w:sz="0" w:space="0" w:color="auto"/>
        <w:left w:val="none" w:sz="0" w:space="0" w:color="auto"/>
        <w:bottom w:val="none" w:sz="0" w:space="0" w:color="auto"/>
        <w:right w:val="none" w:sz="0" w:space="0" w:color="auto"/>
      </w:divBdr>
    </w:div>
    <w:div w:id="207883215">
      <w:bodyDiv w:val="1"/>
      <w:marLeft w:val="0"/>
      <w:marRight w:val="0"/>
      <w:marTop w:val="0"/>
      <w:marBottom w:val="0"/>
      <w:divBdr>
        <w:top w:val="none" w:sz="0" w:space="0" w:color="auto"/>
        <w:left w:val="none" w:sz="0" w:space="0" w:color="auto"/>
        <w:bottom w:val="none" w:sz="0" w:space="0" w:color="auto"/>
        <w:right w:val="none" w:sz="0" w:space="0" w:color="auto"/>
      </w:divBdr>
    </w:div>
    <w:div w:id="329259203">
      <w:bodyDiv w:val="1"/>
      <w:marLeft w:val="0"/>
      <w:marRight w:val="0"/>
      <w:marTop w:val="0"/>
      <w:marBottom w:val="0"/>
      <w:divBdr>
        <w:top w:val="none" w:sz="0" w:space="0" w:color="auto"/>
        <w:left w:val="none" w:sz="0" w:space="0" w:color="auto"/>
        <w:bottom w:val="none" w:sz="0" w:space="0" w:color="auto"/>
        <w:right w:val="none" w:sz="0" w:space="0" w:color="auto"/>
      </w:divBdr>
    </w:div>
    <w:div w:id="332491559">
      <w:bodyDiv w:val="1"/>
      <w:marLeft w:val="0"/>
      <w:marRight w:val="0"/>
      <w:marTop w:val="0"/>
      <w:marBottom w:val="0"/>
      <w:divBdr>
        <w:top w:val="none" w:sz="0" w:space="0" w:color="auto"/>
        <w:left w:val="none" w:sz="0" w:space="0" w:color="auto"/>
        <w:bottom w:val="none" w:sz="0" w:space="0" w:color="auto"/>
        <w:right w:val="none" w:sz="0" w:space="0" w:color="auto"/>
      </w:divBdr>
    </w:div>
    <w:div w:id="340939112">
      <w:bodyDiv w:val="1"/>
      <w:marLeft w:val="0"/>
      <w:marRight w:val="0"/>
      <w:marTop w:val="0"/>
      <w:marBottom w:val="0"/>
      <w:divBdr>
        <w:top w:val="none" w:sz="0" w:space="0" w:color="auto"/>
        <w:left w:val="none" w:sz="0" w:space="0" w:color="auto"/>
        <w:bottom w:val="none" w:sz="0" w:space="0" w:color="auto"/>
        <w:right w:val="none" w:sz="0" w:space="0" w:color="auto"/>
      </w:divBdr>
    </w:div>
    <w:div w:id="347027569">
      <w:bodyDiv w:val="1"/>
      <w:marLeft w:val="0"/>
      <w:marRight w:val="0"/>
      <w:marTop w:val="0"/>
      <w:marBottom w:val="0"/>
      <w:divBdr>
        <w:top w:val="none" w:sz="0" w:space="0" w:color="auto"/>
        <w:left w:val="none" w:sz="0" w:space="0" w:color="auto"/>
        <w:bottom w:val="none" w:sz="0" w:space="0" w:color="auto"/>
        <w:right w:val="none" w:sz="0" w:space="0" w:color="auto"/>
      </w:divBdr>
    </w:div>
    <w:div w:id="355422813">
      <w:bodyDiv w:val="1"/>
      <w:marLeft w:val="0"/>
      <w:marRight w:val="0"/>
      <w:marTop w:val="0"/>
      <w:marBottom w:val="0"/>
      <w:divBdr>
        <w:top w:val="none" w:sz="0" w:space="0" w:color="auto"/>
        <w:left w:val="none" w:sz="0" w:space="0" w:color="auto"/>
        <w:bottom w:val="none" w:sz="0" w:space="0" w:color="auto"/>
        <w:right w:val="none" w:sz="0" w:space="0" w:color="auto"/>
      </w:divBdr>
    </w:div>
    <w:div w:id="395402261">
      <w:bodyDiv w:val="1"/>
      <w:marLeft w:val="0"/>
      <w:marRight w:val="0"/>
      <w:marTop w:val="0"/>
      <w:marBottom w:val="0"/>
      <w:divBdr>
        <w:top w:val="none" w:sz="0" w:space="0" w:color="auto"/>
        <w:left w:val="none" w:sz="0" w:space="0" w:color="auto"/>
        <w:bottom w:val="none" w:sz="0" w:space="0" w:color="auto"/>
        <w:right w:val="none" w:sz="0" w:space="0" w:color="auto"/>
      </w:divBdr>
    </w:div>
    <w:div w:id="404227855">
      <w:bodyDiv w:val="1"/>
      <w:marLeft w:val="0"/>
      <w:marRight w:val="0"/>
      <w:marTop w:val="0"/>
      <w:marBottom w:val="0"/>
      <w:divBdr>
        <w:top w:val="none" w:sz="0" w:space="0" w:color="auto"/>
        <w:left w:val="none" w:sz="0" w:space="0" w:color="auto"/>
        <w:bottom w:val="none" w:sz="0" w:space="0" w:color="auto"/>
        <w:right w:val="none" w:sz="0" w:space="0" w:color="auto"/>
      </w:divBdr>
    </w:div>
    <w:div w:id="417942153">
      <w:bodyDiv w:val="1"/>
      <w:marLeft w:val="0"/>
      <w:marRight w:val="0"/>
      <w:marTop w:val="0"/>
      <w:marBottom w:val="0"/>
      <w:divBdr>
        <w:top w:val="none" w:sz="0" w:space="0" w:color="auto"/>
        <w:left w:val="none" w:sz="0" w:space="0" w:color="auto"/>
        <w:bottom w:val="none" w:sz="0" w:space="0" w:color="auto"/>
        <w:right w:val="none" w:sz="0" w:space="0" w:color="auto"/>
      </w:divBdr>
    </w:div>
    <w:div w:id="421924109">
      <w:bodyDiv w:val="1"/>
      <w:marLeft w:val="0"/>
      <w:marRight w:val="0"/>
      <w:marTop w:val="0"/>
      <w:marBottom w:val="0"/>
      <w:divBdr>
        <w:top w:val="none" w:sz="0" w:space="0" w:color="auto"/>
        <w:left w:val="none" w:sz="0" w:space="0" w:color="auto"/>
        <w:bottom w:val="none" w:sz="0" w:space="0" w:color="auto"/>
        <w:right w:val="none" w:sz="0" w:space="0" w:color="auto"/>
      </w:divBdr>
    </w:div>
    <w:div w:id="424234168">
      <w:bodyDiv w:val="1"/>
      <w:marLeft w:val="0"/>
      <w:marRight w:val="0"/>
      <w:marTop w:val="0"/>
      <w:marBottom w:val="0"/>
      <w:divBdr>
        <w:top w:val="none" w:sz="0" w:space="0" w:color="auto"/>
        <w:left w:val="none" w:sz="0" w:space="0" w:color="auto"/>
        <w:bottom w:val="none" w:sz="0" w:space="0" w:color="auto"/>
        <w:right w:val="none" w:sz="0" w:space="0" w:color="auto"/>
      </w:divBdr>
    </w:div>
    <w:div w:id="448013213">
      <w:bodyDiv w:val="1"/>
      <w:marLeft w:val="0"/>
      <w:marRight w:val="0"/>
      <w:marTop w:val="0"/>
      <w:marBottom w:val="0"/>
      <w:divBdr>
        <w:top w:val="none" w:sz="0" w:space="0" w:color="auto"/>
        <w:left w:val="none" w:sz="0" w:space="0" w:color="auto"/>
        <w:bottom w:val="none" w:sz="0" w:space="0" w:color="auto"/>
        <w:right w:val="none" w:sz="0" w:space="0" w:color="auto"/>
      </w:divBdr>
    </w:div>
    <w:div w:id="479542554">
      <w:bodyDiv w:val="1"/>
      <w:marLeft w:val="0"/>
      <w:marRight w:val="0"/>
      <w:marTop w:val="0"/>
      <w:marBottom w:val="0"/>
      <w:divBdr>
        <w:top w:val="none" w:sz="0" w:space="0" w:color="auto"/>
        <w:left w:val="none" w:sz="0" w:space="0" w:color="auto"/>
        <w:bottom w:val="none" w:sz="0" w:space="0" w:color="auto"/>
        <w:right w:val="none" w:sz="0" w:space="0" w:color="auto"/>
      </w:divBdr>
    </w:div>
    <w:div w:id="498732875">
      <w:bodyDiv w:val="1"/>
      <w:marLeft w:val="0"/>
      <w:marRight w:val="0"/>
      <w:marTop w:val="0"/>
      <w:marBottom w:val="0"/>
      <w:divBdr>
        <w:top w:val="none" w:sz="0" w:space="0" w:color="auto"/>
        <w:left w:val="none" w:sz="0" w:space="0" w:color="auto"/>
        <w:bottom w:val="none" w:sz="0" w:space="0" w:color="auto"/>
        <w:right w:val="none" w:sz="0" w:space="0" w:color="auto"/>
      </w:divBdr>
    </w:div>
    <w:div w:id="503786375">
      <w:bodyDiv w:val="1"/>
      <w:marLeft w:val="0"/>
      <w:marRight w:val="0"/>
      <w:marTop w:val="0"/>
      <w:marBottom w:val="0"/>
      <w:divBdr>
        <w:top w:val="none" w:sz="0" w:space="0" w:color="auto"/>
        <w:left w:val="none" w:sz="0" w:space="0" w:color="auto"/>
        <w:bottom w:val="none" w:sz="0" w:space="0" w:color="auto"/>
        <w:right w:val="none" w:sz="0" w:space="0" w:color="auto"/>
      </w:divBdr>
    </w:div>
    <w:div w:id="521287715">
      <w:bodyDiv w:val="1"/>
      <w:marLeft w:val="0"/>
      <w:marRight w:val="0"/>
      <w:marTop w:val="0"/>
      <w:marBottom w:val="0"/>
      <w:divBdr>
        <w:top w:val="none" w:sz="0" w:space="0" w:color="auto"/>
        <w:left w:val="none" w:sz="0" w:space="0" w:color="auto"/>
        <w:bottom w:val="none" w:sz="0" w:space="0" w:color="auto"/>
        <w:right w:val="none" w:sz="0" w:space="0" w:color="auto"/>
      </w:divBdr>
    </w:div>
    <w:div w:id="547649697">
      <w:bodyDiv w:val="1"/>
      <w:marLeft w:val="0"/>
      <w:marRight w:val="0"/>
      <w:marTop w:val="0"/>
      <w:marBottom w:val="0"/>
      <w:divBdr>
        <w:top w:val="none" w:sz="0" w:space="0" w:color="auto"/>
        <w:left w:val="none" w:sz="0" w:space="0" w:color="auto"/>
        <w:bottom w:val="none" w:sz="0" w:space="0" w:color="auto"/>
        <w:right w:val="none" w:sz="0" w:space="0" w:color="auto"/>
      </w:divBdr>
    </w:div>
    <w:div w:id="581912259">
      <w:bodyDiv w:val="1"/>
      <w:marLeft w:val="0"/>
      <w:marRight w:val="0"/>
      <w:marTop w:val="0"/>
      <w:marBottom w:val="0"/>
      <w:divBdr>
        <w:top w:val="none" w:sz="0" w:space="0" w:color="auto"/>
        <w:left w:val="none" w:sz="0" w:space="0" w:color="auto"/>
        <w:bottom w:val="none" w:sz="0" w:space="0" w:color="auto"/>
        <w:right w:val="none" w:sz="0" w:space="0" w:color="auto"/>
      </w:divBdr>
    </w:div>
    <w:div w:id="601301092">
      <w:bodyDiv w:val="1"/>
      <w:marLeft w:val="0"/>
      <w:marRight w:val="0"/>
      <w:marTop w:val="0"/>
      <w:marBottom w:val="0"/>
      <w:divBdr>
        <w:top w:val="none" w:sz="0" w:space="0" w:color="auto"/>
        <w:left w:val="none" w:sz="0" w:space="0" w:color="auto"/>
        <w:bottom w:val="none" w:sz="0" w:space="0" w:color="auto"/>
        <w:right w:val="none" w:sz="0" w:space="0" w:color="auto"/>
      </w:divBdr>
    </w:div>
    <w:div w:id="603001284">
      <w:bodyDiv w:val="1"/>
      <w:marLeft w:val="0"/>
      <w:marRight w:val="0"/>
      <w:marTop w:val="0"/>
      <w:marBottom w:val="0"/>
      <w:divBdr>
        <w:top w:val="none" w:sz="0" w:space="0" w:color="auto"/>
        <w:left w:val="none" w:sz="0" w:space="0" w:color="auto"/>
        <w:bottom w:val="none" w:sz="0" w:space="0" w:color="auto"/>
        <w:right w:val="none" w:sz="0" w:space="0" w:color="auto"/>
      </w:divBdr>
    </w:div>
    <w:div w:id="606036091">
      <w:bodyDiv w:val="1"/>
      <w:marLeft w:val="0"/>
      <w:marRight w:val="0"/>
      <w:marTop w:val="0"/>
      <w:marBottom w:val="0"/>
      <w:divBdr>
        <w:top w:val="none" w:sz="0" w:space="0" w:color="auto"/>
        <w:left w:val="none" w:sz="0" w:space="0" w:color="auto"/>
        <w:bottom w:val="none" w:sz="0" w:space="0" w:color="auto"/>
        <w:right w:val="none" w:sz="0" w:space="0" w:color="auto"/>
      </w:divBdr>
    </w:div>
    <w:div w:id="611014322">
      <w:bodyDiv w:val="1"/>
      <w:marLeft w:val="0"/>
      <w:marRight w:val="0"/>
      <w:marTop w:val="0"/>
      <w:marBottom w:val="0"/>
      <w:divBdr>
        <w:top w:val="none" w:sz="0" w:space="0" w:color="auto"/>
        <w:left w:val="none" w:sz="0" w:space="0" w:color="auto"/>
        <w:bottom w:val="none" w:sz="0" w:space="0" w:color="auto"/>
        <w:right w:val="none" w:sz="0" w:space="0" w:color="auto"/>
      </w:divBdr>
    </w:div>
    <w:div w:id="612907675">
      <w:bodyDiv w:val="1"/>
      <w:marLeft w:val="0"/>
      <w:marRight w:val="0"/>
      <w:marTop w:val="0"/>
      <w:marBottom w:val="0"/>
      <w:divBdr>
        <w:top w:val="none" w:sz="0" w:space="0" w:color="auto"/>
        <w:left w:val="none" w:sz="0" w:space="0" w:color="auto"/>
        <w:bottom w:val="none" w:sz="0" w:space="0" w:color="auto"/>
        <w:right w:val="none" w:sz="0" w:space="0" w:color="auto"/>
      </w:divBdr>
    </w:div>
    <w:div w:id="621544114">
      <w:bodyDiv w:val="1"/>
      <w:marLeft w:val="0"/>
      <w:marRight w:val="0"/>
      <w:marTop w:val="0"/>
      <w:marBottom w:val="0"/>
      <w:divBdr>
        <w:top w:val="none" w:sz="0" w:space="0" w:color="auto"/>
        <w:left w:val="none" w:sz="0" w:space="0" w:color="auto"/>
        <w:bottom w:val="none" w:sz="0" w:space="0" w:color="auto"/>
        <w:right w:val="none" w:sz="0" w:space="0" w:color="auto"/>
      </w:divBdr>
    </w:div>
    <w:div w:id="626936325">
      <w:bodyDiv w:val="1"/>
      <w:marLeft w:val="0"/>
      <w:marRight w:val="0"/>
      <w:marTop w:val="0"/>
      <w:marBottom w:val="0"/>
      <w:divBdr>
        <w:top w:val="none" w:sz="0" w:space="0" w:color="auto"/>
        <w:left w:val="none" w:sz="0" w:space="0" w:color="auto"/>
        <w:bottom w:val="none" w:sz="0" w:space="0" w:color="auto"/>
        <w:right w:val="none" w:sz="0" w:space="0" w:color="auto"/>
      </w:divBdr>
    </w:div>
    <w:div w:id="633873168">
      <w:bodyDiv w:val="1"/>
      <w:marLeft w:val="0"/>
      <w:marRight w:val="0"/>
      <w:marTop w:val="0"/>
      <w:marBottom w:val="0"/>
      <w:divBdr>
        <w:top w:val="none" w:sz="0" w:space="0" w:color="auto"/>
        <w:left w:val="none" w:sz="0" w:space="0" w:color="auto"/>
        <w:bottom w:val="none" w:sz="0" w:space="0" w:color="auto"/>
        <w:right w:val="none" w:sz="0" w:space="0" w:color="auto"/>
      </w:divBdr>
    </w:div>
    <w:div w:id="646323922">
      <w:bodyDiv w:val="1"/>
      <w:marLeft w:val="0"/>
      <w:marRight w:val="0"/>
      <w:marTop w:val="0"/>
      <w:marBottom w:val="0"/>
      <w:divBdr>
        <w:top w:val="none" w:sz="0" w:space="0" w:color="auto"/>
        <w:left w:val="none" w:sz="0" w:space="0" w:color="auto"/>
        <w:bottom w:val="none" w:sz="0" w:space="0" w:color="auto"/>
        <w:right w:val="none" w:sz="0" w:space="0" w:color="auto"/>
      </w:divBdr>
    </w:div>
    <w:div w:id="647782279">
      <w:bodyDiv w:val="1"/>
      <w:marLeft w:val="0"/>
      <w:marRight w:val="0"/>
      <w:marTop w:val="0"/>
      <w:marBottom w:val="0"/>
      <w:divBdr>
        <w:top w:val="none" w:sz="0" w:space="0" w:color="auto"/>
        <w:left w:val="none" w:sz="0" w:space="0" w:color="auto"/>
        <w:bottom w:val="none" w:sz="0" w:space="0" w:color="auto"/>
        <w:right w:val="none" w:sz="0" w:space="0" w:color="auto"/>
      </w:divBdr>
    </w:div>
    <w:div w:id="671490342">
      <w:bodyDiv w:val="1"/>
      <w:marLeft w:val="0"/>
      <w:marRight w:val="0"/>
      <w:marTop w:val="0"/>
      <w:marBottom w:val="0"/>
      <w:divBdr>
        <w:top w:val="none" w:sz="0" w:space="0" w:color="auto"/>
        <w:left w:val="none" w:sz="0" w:space="0" w:color="auto"/>
        <w:bottom w:val="none" w:sz="0" w:space="0" w:color="auto"/>
        <w:right w:val="none" w:sz="0" w:space="0" w:color="auto"/>
      </w:divBdr>
    </w:div>
    <w:div w:id="693117611">
      <w:bodyDiv w:val="1"/>
      <w:marLeft w:val="0"/>
      <w:marRight w:val="0"/>
      <w:marTop w:val="0"/>
      <w:marBottom w:val="0"/>
      <w:divBdr>
        <w:top w:val="none" w:sz="0" w:space="0" w:color="auto"/>
        <w:left w:val="none" w:sz="0" w:space="0" w:color="auto"/>
        <w:bottom w:val="none" w:sz="0" w:space="0" w:color="auto"/>
        <w:right w:val="none" w:sz="0" w:space="0" w:color="auto"/>
      </w:divBdr>
    </w:div>
    <w:div w:id="709576077">
      <w:bodyDiv w:val="1"/>
      <w:marLeft w:val="0"/>
      <w:marRight w:val="0"/>
      <w:marTop w:val="0"/>
      <w:marBottom w:val="0"/>
      <w:divBdr>
        <w:top w:val="none" w:sz="0" w:space="0" w:color="auto"/>
        <w:left w:val="none" w:sz="0" w:space="0" w:color="auto"/>
        <w:bottom w:val="none" w:sz="0" w:space="0" w:color="auto"/>
        <w:right w:val="none" w:sz="0" w:space="0" w:color="auto"/>
      </w:divBdr>
    </w:div>
    <w:div w:id="713818670">
      <w:bodyDiv w:val="1"/>
      <w:marLeft w:val="0"/>
      <w:marRight w:val="0"/>
      <w:marTop w:val="0"/>
      <w:marBottom w:val="0"/>
      <w:divBdr>
        <w:top w:val="none" w:sz="0" w:space="0" w:color="auto"/>
        <w:left w:val="none" w:sz="0" w:space="0" w:color="auto"/>
        <w:bottom w:val="none" w:sz="0" w:space="0" w:color="auto"/>
        <w:right w:val="none" w:sz="0" w:space="0" w:color="auto"/>
      </w:divBdr>
    </w:div>
    <w:div w:id="764233473">
      <w:bodyDiv w:val="1"/>
      <w:marLeft w:val="0"/>
      <w:marRight w:val="0"/>
      <w:marTop w:val="0"/>
      <w:marBottom w:val="0"/>
      <w:divBdr>
        <w:top w:val="none" w:sz="0" w:space="0" w:color="auto"/>
        <w:left w:val="none" w:sz="0" w:space="0" w:color="auto"/>
        <w:bottom w:val="none" w:sz="0" w:space="0" w:color="auto"/>
        <w:right w:val="none" w:sz="0" w:space="0" w:color="auto"/>
      </w:divBdr>
    </w:div>
    <w:div w:id="769088429">
      <w:bodyDiv w:val="1"/>
      <w:marLeft w:val="0"/>
      <w:marRight w:val="0"/>
      <w:marTop w:val="0"/>
      <w:marBottom w:val="0"/>
      <w:divBdr>
        <w:top w:val="none" w:sz="0" w:space="0" w:color="auto"/>
        <w:left w:val="none" w:sz="0" w:space="0" w:color="auto"/>
        <w:bottom w:val="none" w:sz="0" w:space="0" w:color="auto"/>
        <w:right w:val="none" w:sz="0" w:space="0" w:color="auto"/>
      </w:divBdr>
    </w:div>
    <w:div w:id="779570808">
      <w:bodyDiv w:val="1"/>
      <w:marLeft w:val="0"/>
      <w:marRight w:val="0"/>
      <w:marTop w:val="0"/>
      <w:marBottom w:val="0"/>
      <w:divBdr>
        <w:top w:val="none" w:sz="0" w:space="0" w:color="auto"/>
        <w:left w:val="none" w:sz="0" w:space="0" w:color="auto"/>
        <w:bottom w:val="none" w:sz="0" w:space="0" w:color="auto"/>
        <w:right w:val="none" w:sz="0" w:space="0" w:color="auto"/>
      </w:divBdr>
    </w:div>
    <w:div w:id="791097194">
      <w:bodyDiv w:val="1"/>
      <w:marLeft w:val="0"/>
      <w:marRight w:val="0"/>
      <w:marTop w:val="0"/>
      <w:marBottom w:val="0"/>
      <w:divBdr>
        <w:top w:val="none" w:sz="0" w:space="0" w:color="auto"/>
        <w:left w:val="none" w:sz="0" w:space="0" w:color="auto"/>
        <w:bottom w:val="none" w:sz="0" w:space="0" w:color="auto"/>
        <w:right w:val="none" w:sz="0" w:space="0" w:color="auto"/>
      </w:divBdr>
    </w:div>
    <w:div w:id="792334872">
      <w:bodyDiv w:val="1"/>
      <w:marLeft w:val="0"/>
      <w:marRight w:val="0"/>
      <w:marTop w:val="0"/>
      <w:marBottom w:val="0"/>
      <w:divBdr>
        <w:top w:val="none" w:sz="0" w:space="0" w:color="auto"/>
        <w:left w:val="none" w:sz="0" w:space="0" w:color="auto"/>
        <w:bottom w:val="none" w:sz="0" w:space="0" w:color="auto"/>
        <w:right w:val="none" w:sz="0" w:space="0" w:color="auto"/>
      </w:divBdr>
    </w:div>
    <w:div w:id="793987182">
      <w:bodyDiv w:val="1"/>
      <w:marLeft w:val="0"/>
      <w:marRight w:val="0"/>
      <w:marTop w:val="0"/>
      <w:marBottom w:val="0"/>
      <w:divBdr>
        <w:top w:val="none" w:sz="0" w:space="0" w:color="auto"/>
        <w:left w:val="none" w:sz="0" w:space="0" w:color="auto"/>
        <w:bottom w:val="none" w:sz="0" w:space="0" w:color="auto"/>
        <w:right w:val="none" w:sz="0" w:space="0" w:color="auto"/>
      </w:divBdr>
    </w:div>
    <w:div w:id="828981958">
      <w:bodyDiv w:val="1"/>
      <w:marLeft w:val="0"/>
      <w:marRight w:val="0"/>
      <w:marTop w:val="0"/>
      <w:marBottom w:val="0"/>
      <w:divBdr>
        <w:top w:val="none" w:sz="0" w:space="0" w:color="auto"/>
        <w:left w:val="none" w:sz="0" w:space="0" w:color="auto"/>
        <w:bottom w:val="none" w:sz="0" w:space="0" w:color="auto"/>
        <w:right w:val="none" w:sz="0" w:space="0" w:color="auto"/>
      </w:divBdr>
    </w:div>
    <w:div w:id="866330963">
      <w:bodyDiv w:val="1"/>
      <w:marLeft w:val="0"/>
      <w:marRight w:val="0"/>
      <w:marTop w:val="0"/>
      <w:marBottom w:val="0"/>
      <w:divBdr>
        <w:top w:val="none" w:sz="0" w:space="0" w:color="auto"/>
        <w:left w:val="none" w:sz="0" w:space="0" w:color="auto"/>
        <w:bottom w:val="none" w:sz="0" w:space="0" w:color="auto"/>
        <w:right w:val="none" w:sz="0" w:space="0" w:color="auto"/>
      </w:divBdr>
    </w:div>
    <w:div w:id="880896530">
      <w:bodyDiv w:val="1"/>
      <w:marLeft w:val="0"/>
      <w:marRight w:val="0"/>
      <w:marTop w:val="0"/>
      <w:marBottom w:val="0"/>
      <w:divBdr>
        <w:top w:val="none" w:sz="0" w:space="0" w:color="auto"/>
        <w:left w:val="none" w:sz="0" w:space="0" w:color="auto"/>
        <w:bottom w:val="none" w:sz="0" w:space="0" w:color="auto"/>
        <w:right w:val="none" w:sz="0" w:space="0" w:color="auto"/>
      </w:divBdr>
    </w:div>
    <w:div w:id="900292412">
      <w:bodyDiv w:val="1"/>
      <w:marLeft w:val="0"/>
      <w:marRight w:val="0"/>
      <w:marTop w:val="0"/>
      <w:marBottom w:val="0"/>
      <w:divBdr>
        <w:top w:val="none" w:sz="0" w:space="0" w:color="auto"/>
        <w:left w:val="none" w:sz="0" w:space="0" w:color="auto"/>
        <w:bottom w:val="none" w:sz="0" w:space="0" w:color="auto"/>
        <w:right w:val="none" w:sz="0" w:space="0" w:color="auto"/>
      </w:divBdr>
    </w:div>
    <w:div w:id="923534491">
      <w:bodyDiv w:val="1"/>
      <w:marLeft w:val="0"/>
      <w:marRight w:val="0"/>
      <w:marTop w:val="0"/>
      <w:marBottom w:val="0"/>
      <w:divBdr>
        <w:top w:val="none" w:sz="0" w:space="0" w:color="auto"/>
        <w:left w:val="none" w:sz="0" w:space="0" w:color="auto"/>
        <w:bottom w:val="none" w:sz="0" w:space="0" w:color="auto"/>
        <w:right w:val="none" w:sz="0" w:space="0" w:color="auto"/>
      </w:divBdr>
    </w:div>
    <w:div w:id="976029070">
      <w:bodyDiv w:val="1"/>
      <w:marLeft w:val="0"/>
      <w:marRight w:val="0"/>
      <w:marTop w:val="0"/>
      <w:marBottom w:val="0"/>
      <w:divBdr>
        <w:top w:val="none" w:sz="0" w:space="0" w:color="auto"/>
        <w:left w:val="none" w:sz="0" w:space="0" w:color="auto"/>
        <w:bottom w:val="none" w:sz="0" w:space="0" w:color="auto"/>
        <w:right w:val="none" w:sz="0" w:space="0" w:color="auto"/>
      </w:divBdr>
    </w:div>
    <w:div w:id="978726082">
      <w:bodyDiv w:val="1"/>
      <w:marLeft w:val="0"/>
      <w:marRight w:val="0"/>
      <w:marTop w:val="0"/>
      <w:marBottom w:val="0"/>
      <w:divBdr>
        <w:top w:val="none" w:sz="0" w:space="0" w:color="auto"/>
        <w:left w:val="none" w:sz="0" w:space="0" w:color="auto"/>
        <w:bottom w:val="none" w:sz="0" w:space="0" w:color="auto"/>
        <w:right w:val="none" w:sz="0" w:space="0" w:color="auto"/>
      </w:divBdr>
    </w:div>
    <w:div w:id="1016804304">
      <w:bodyDiv w:val="1"/>
      <w:marLeft w:val="0"/>
      <w:marRight w:val="0"/>
      <w:marTop w:val="0"/>
      <w:marBottom w:val="0"/>
      <w:divBdr>
        <w:top w:val="none" w:sz="0" w:space="0" w:color="auto"/>
        <w:left w:val="none" w:sz="0" w:space="0" w:color="auto"/>
        <w:bottom w:val="none" w:sz="0" w:space="0" w:color="auto"/>
        <w:right w:val="none" w:sz="0" w:space="0" w:color="auto"/>
      </w:divBdr>
    </w:div>
    <w:div w:id="1059939312">
      <w:bodyDiv w:val="1"/>
      <w:marLeft w:val="0"/>
      <w:marRight w:val="0"/>
      <w:marTop w:val="0"/>
      <w:marBottom w:val="0"/>
      <w:divBdr>
        <w:top w:val="none" w:sz="0" w:space="0" w:color="auto"/>
        <w:left w:val="none" w:sz="0" w:space="0" w:color="auto"/>
        <w:bottom w:val="none" w:sz="0" w:space="0" w:color="auto"/>
        <w:right w:val="none" w:sz="0" w:space="0" w:color="auto"/>
      </w:divBdr>
    </w:div>
    <w:div w:id="1087458745">
      <w:bodyDiv w:val="1"/>
      <w:marLeft w:val="0"/>
      <w:marRight w:val="0"/>
      <w:marTop w:val="0"/>
      <w:marBottom w:val="0"/>
      <w:divBdr>
        <w:top w:val="none" w:sz="0" w:space="0" w:color="auto"/>
        <w:left w:val="none" w:sz="0" w:space="0" w:color="auto"/>
        <w:bottom w:val="none" w:sz="0" w:space="0" w:color="auto"/>
        <w:right w:val="none" w:sz="0" w:space="0" w:color="auto"/>
      </w:divBdr>
    </w:div>
    <w:div w:id="1106852642">
      <w:bodyDiv w:val="1"/>
      <w:marLeft w:val="0"/>
      <w:marRight w:val="0"/>
      <w:marTop w:val="0"/>
      <w:marBottom w:val="0"/>
      <w:divBdr>
        <w:top w:val="none" w:sz="0" w:space="0" w:color="auto"/>
        <w:left w:val="none" w:sz="0" w:space="0" w:color="auto"/>
        <w:bottom w:val="none" w:sz="0" w:space="0" w:color="auto"/>
        <w:right w:val="none" w:sz="0" w:space="0" w:color="auto"/>
      </w:divBdr>
    </w:div>
    <w:div w:id="1129278616">
      <w:bodyDiv w:val="1"/>
      <w:marLeft w:val="0"/>
      <w:marRight w:val="0"/>
      <w:marTop w:val="0"/>
      <w:marBottom w:val="0"/>
      <w:divBdr>
        <w:top w:val="none" w:sz="0" w:space="0" w:color="auto"/>
        <w:left w:val="none" w:sz="0" w:space="0" w:color="auto"/>
        <w:bottom w:val="none" w:sz="0" w:space="0" w:color="auto"/>
        <w:right w:val="none" w:sz="0" w:space="0" w:color="auto"/>
      </w:divBdr>
    </w:div>
    <w:div w:id="1185750051">
      <w:bodyDiv w:val="1"/>
      <w:marLeft w:val="0"/>
      <w:marRight w:val="0"/>
      <w:marTop w:val="0"/>
      <w:marBottom w:val="0"/>
      <w:divBdr>
        <w:top w:val="none" w:sz="0" w:space="0" w:color="auto"/>
        <w:left w:val="none" w:sz="0" w:space="0" w:color="auto"/>
        <w:bottom w:val="none" w:sz="0" w:space="0" w:color="auto"/>
        <w:right w:val="none" w:sz="0" w:space="0" w:color="auto"/>
      </w:divBdr>
    </w:div>
    <w:div w:id="1199969415">
      <w:bodyDiv w:val="1"/>
      <w:marLeft w:val="0"/>
      <w:marRight w:val="0"/>
      <w:marTop w:val="0"/>
      <w:marBottom w:val="0"/>
      <w:divBdr>
        <w:top w:val="none" w:sz="0" w:space="0" w:color="auto"/>
        <w:left w:val="none" w:sz="0" w:space="0" w:color="auto"/>
        <w:bottom w:val="none" w:sz="0" w:space="0" w:color="auto"/>
        <w:right w:val="none" w:sz="0" w:space="0" w:color="auto"/>
      </w:divBdr>
    </w:div>
    <w:div w:id="1244954276">
      <w:bodyDiv w:val="1"/>
      <w:marLeft w:val="0"/>
      <w:marRight w:val="0"/>
      <w:marTop w:val="0"/>
      <w:marBottom w:val="0"/>
      <w:divBdr>
        <w:top w:val="none" w:sz="0" w:space="0" w:color="auto"/>
        <w:left w:val="none" w:sz="0" w:space="0" w:color="auto"/>
        <w:bottom w:val="none" w:sz="0" w:space="0" w:color="auto"/>
        <w:right w:val="none" w:sz="0" w:space="0" w:color="auto"/>
      </w:divBdr>
    </w:div>
    <w:div w:id="1251432157">
      <w:bodyDiv w:val="1"/>
      <w:marLeft w:val="0"/>
      <w:marRight w:val="0"/>
      <w:marTop w:val="0"/>
      <w:marBottom w:val="0"/>
      <w:divBdr>
        <w:top w:val="none" w:sz="0" w:space="0" w:color="auto"/>
        <w:left w:val="none" w:sz="0" w:space="0" w:color="auto"/>
        <w:bottom w:val="none" w:sz="0" w:space="0" w:color="auto"/>
        <w:right w:val="none" w:sz="0" w:space="0" w:color="auto"/>
      </w:divBdr>
    </w:div>
    <w:div w:id="1254431269">
      <w:bodyDiv w:val="1"/>
      <w:marLeft w:val="0"/>
      <w:marRight w:val="0"/>
      <w:marTop w:val="0"/>
      <w:marBottom w:val="0"/>
      <w:divBdr>
        <w:top w:val="none" w:sz="0" w:space="0" w:color="auto"/>
        <w:left w:val="none" w:sz="0" w:space="0" w:color="auto"/>
        <w:bottom w:val="none" w:sz="0" w:space="0" w:color="auto"/>
        <w:right w:val="none" w:sz="0" w:space="0" w:color="auto"/>
      </w:divBdr>
    </w:div>
    <w:div w:id="1276015917">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97102922">
      <w:bodyDiv w:val="1"/>
      <w:marLeft w:val="0"/>
      <w:marRight w:val="0"/>
      <w:marTop w:val="0"/>
      <w:marBottom w:val="0"/>
      <w:divBdr>
        <w:top w:val="none" w:sz="0" w:space="0" w:color="auto"/>
        <w:left w:val="none" w:sz="0" w:space="0" w:color="auto"/>
        <w:bottom w:val="none" w:sz="0" w:space="0" w:color="auto"/>
        <w:right w:val="none" w:sz="0" w:space="0" w:color="auto"/>
      </w:divBdr>
    </w:div>
    <w:div w:id="1316031445">
      <w:bodyDiv w:val="1"/>
      <w:marLeft w:val="0"/>
      <w:marRight w:val="0"/>
      <w:marTop w:val="0"/>
      <w:marBottom w:val="0"/>
      <w:divBdr>
        <w:top w:val="none" w:sz="0" w:space="0" w:color="auto"/>
        <w:left w:val="none" w:sz="0" w:space="0" w:color="auto"/>
        <w:bottom w:val="none" w:sz="0" w:space="0" w:color="auto"/>
        <w:right w:val="none" w:sz="0" w:space="0" w:color="auto"/>
      </w:divBdr>
    </w:div>
    <w:div w:id="1336810282">
      <w:bodyDiv w:val="1"/>
      <w:marLeft w:val="0"/>
      <w:marRight w:val="0"/>
      <w:marTop w:val="0"/>
      <w:marBottom w:val="0"/>
      <w:divBdr>
        <w:top w:val="none" w:sz="0" w:space="0" w:color="auto"/>
        <w:left w:val="none" w:sz="0" w:space="0" w:color="auto"/>
        <w:bottom w:val="none" w:sz="0" w:space="0" w:color="auto"/>
        <w:right w:val="none" w:sz="0" w:space="0" w:color="auto"/>
      </w:divBdr>
    </w:div>
    <w:div w:id="1344281529">
      <w:bodyDiv w:val="1"/>
      <w:marLeft w:val="0"/>
      <w:marRight w:val="0"/>
      <w:marTop w:val="0"/>
      <w:marBottom w:val="0"/>
      <w:divBdr>
        <w:top w:val="none" w:sz="0" w:space="0" w:color="auto"/>
        <w:left w:val="none" w:sz="0" w:space="0" w:color="auto"/>
        <w:bottom w:val="none" w:sz="0" w:space="0" w:color="auto"/>
        <w:right w:val="none" w:sz="0" w:space="0" w:color="auto"/>
      </w:divBdr>
    </w:div>
    <w:div w:id="1366826013">
      <w:bodyDiv w:val="1"/>
      <w:marLeft w:val="0"/>
      <w:marRight w:val="0"/>
      <w:marTop w:val="0"/>
      <w:marBottom w:val="0"/>
      <w:divBdr>
        <w:top w:val="none" w:sz="0" w:space="0" w:color="auto"/>
        <w:left w:val="none" w:sz="0" w:space="0" w:color="auto"/>
        <w:bottom w:val="none" w:sz="0" w:space="0" w:color="auto"/>
        <w:right w:val="none" w:sz="0" w:space="0" w:color="auto"/>
      </w:divBdr>
    </w:div>
    <w:div w:id="1366980478">
      <w:bodyDiv w:val="1"/>
      <w:marLeft w:val="0"/>
      <w:marRight w:val="0"/>
      <w:marTop w:val="0"/>
      <w:marBottom w:val="0"/>
      <w:divBdr>
        <w:top w:val="none" w:sz="0" w:space="0" w:color="auto"/>
        <w:left w:val="none" w:sz="0" w:space="0" w:color="auto"/>
        <w:bottom w:val="none" w:sz="0" w:space="0" w:color="auto"/>
        <w:right w:val="none" w:sz="0" w:space="0" w:color="auto"/>
      </w:divBdr>
    </w:div>
    <w:div w:id="1376005841">
      <w:bodyDiv w:val="1"/>
      <w:marLeft w:val="0"/>
      <w:marRight w:val="0"/>
      <w:marTop w:val="0"/>
      <w:marBottom w:val="0"/>
      <w:divBdr>
        <w:top w:val="none" w:sz="0" w:space="0" w:color="auto"/>
        <w:left w:val="none" w:sz="0" w:space="0" w:color="auto"/>
        <w:bottom w:val="none" w:sz="0" w:space="0" w:color="auto"/>
        <w:right w:val="none" w:sz="0" w:space="0" w:color="auto"/>
      </w:divBdr>
    </w:div>
    <w:div w:id="1381054205">
      <w:bodyDiv w:val="1"/>
      <w:marLeft w:val="0"/>
      <w:marRight w:val="0"/>
      <w:marTop w:val="0"/>
      <w:marBottom w:val="0"/>
      <w:divBdr>
        <w:top w:val="none" w:sz="0" w:space="0" w:color="auto"/>
        <w:left w:val="none" w:sz="0" w:space="0" w:color="auto"/>
        <w:bottom w:val="none" w:sz="0" w:space="0" w:color="auto"/>
        <w:right w:val="none" w:sz="0" w:space="0" w:color="auto"/>
      </w:divBdr>
    </w:div>
    <w:div w:id="1412850623">
      <w:bodyDiv w:val="1"/>
      <w:marLeft w:val="0"/>
      <w:marRight w:val="0"/>
      <w:marTop w:val="0"/>
      <w:marBottom w:val="0"/>
      <w:divBdr>
        <w:top w:val="none" w:sz="0" w:space="0" w:color="auto"/>
        <w:left w:val="none" w:sz="0" w:space="0" w:color="auto"/>
        <w:bottom w:val="none" w:sz="0" w:space="0" w:color="auto"/>
        <w:right w:val="none" w:sz="0" w:space="0" w:color="auto"/>
      </w:divBdr>
    </w:div>
    <w:div w:id="1421491682">
      <w:bodyDiv w:val="1"/>
      <w:marLeft w:val="0"/>
      <w:marRight w:val="0"/>
      <w:marTop w:val="0"/>
      <w:marBottom w:val="0"/>
      <w:divBdr>
        <w:top w:val="none" w:sz="0" w:space="0" w:color="auto"/>
        <w:left w:val="none" w:sz="0" w:space="0" w:color="auto"/>
        <w:bottom w:val="none" w:sz="0" w:space="0" w:color="auto"/>
        <w:right w:val="none" w:sz="0" w:space="0" w:color="auto"/>
      </w:divBdr>
    </w:div>
    <w:div w:id="1431898529">
      <w:bodyDiv w:val="1"/>
      <w:marLeft w:val="0"/>
      <w:marRight w:val="0"/>
      <w:marTop w:val="0"/>
      <w:marBottom w:val="0"/>
      <w:divBdr>
        <w:top w:val="none" w:sz="0" w:space="0" w:color="auto"/>
        <w:left w:val="none" w:sz="0" w:space="0" w:color="auto"/>
        <w:bottom w:val="none" w:sz="0" w:space="0" w:color="auto"/>
        <w:right w:val="none" w:sz="0" w:space="0" w:color="auto"/>
      </w:divBdr>
    </w:div>
    <w:div w:id="1446269722">
      <w:bodyDiv w:val="1"/>
      <w:marLeft w:val="0"/>
      <w:marRight w:val="0"/>
      <w:marTop w:val="0"/>
      <w:marBottom w:val="0"/>
      <w:divBdr>
        <w:top w:val="none" w:sz="0" w:space="0" w:color="auto"/>
        <w:left w:val="none" w:sz="0" w:space="0" w:color="auto"/>
        <w:bottom w:val="none" w:sz="0" w:space="0" w:color="auto"/>
        <w:right w:val="none" w:sz="0" w:space="0" w:color="auto"/>
      </w:divBdr>
    </w:div>
    <w:div w:id="1448156704">
      <w:bodyDiv w:val="1"/>
      <w:marLeft w:val="0"/>
      <w:marRight w:val="0"/>
      <w:marTop w:val="0"/>
      <w:marBottom w:val="0"/>
      <w:divBdr>
        <w:top w:val="none" w:sz="0" w:space="0" w:color="auto"/>
        <w:left w:val="none" w:sz="0" w:space="0" w:color="auto"/>
        <w:bottom w:val="none" w:sz="0" w:space="0" w:color="auto"/>
        <w:right w:val="none" w:sz="0" w:space="0" w:color="auto"/>
      </w:divBdr>
    </w:div>
    <w:div w:id="1449425596">
      <w:bodyDiv w:val="1"/>
      <w:marLeft w:val="0"/>
      <w:marRight w:val="0"/>
      <w:marTop w:val="0"/>
      <w:marBottom w:val="0"/>
      <w:divBdr>
        <w:top w:val="none" w:sz="0" w:space="0" w:color="auto"/>
        <w:left w:val="none" w:sz="0" w:space="0" w:color="auto"/>
        <w:bottom w:val="none" w:sz="0" w:space="0" w:color="auto"/>
        <w:right w:val="none" w:sz="0" w:space="0" w:color="auto"/>
      </w:divBdr>
    </w:div>
    <w:div w:id="1458992275">
      <w:bodyDiv w:val="1"/>
      <w:marLeft w:val="0"/>
      <w:marRight w:val="0"/>
      <w:marTop w:val="0"/>
      <w:marBottom w:val="0"/>
      <w:divBdr>
        <w:top w:val="none" w:sz="0" w:space="0" w:color="auto"/>
        <w:left w:val="none" w:sz="0" w:space="0" w:color="auto"/>
        <w:bottom w:val="none" w:sz="0" w:space="0" w:color="auto"/>
        <w:right w:val="none" w:sz="0" w:space="0" w:color="auto"/>
      </w:divBdr>
    </w:div>
    <w:div w:id="1465997900">
      <w:bodyDiv w:val="1"/>
      <w:marLeft w:val="0"/>
      <w:marRight w:val="0"/>
      <w:marTop w:val="0"/>
      <w:marBottom w:val="0"/>
      <w:divBdr>
        <w:top w:val="none" w:sz="0" w:space="0" w:color="auto"/>
        <w:left w:val="none" w:sz="0" w:space="0" w:color="auto"/>
        <w:bottom w:val="none" w:sz="0" w:space="0" w:color="auto"/>
        <w:right w:val="none" w:sz="0" w:space="0" w:color="auto"/>
      </w:divBdr>
    </w:div>
    <w:div w:id="1484544015">
      <w:bodyDiv w:val="1"/>
      <w:marLeft w:val="0"/>
      <w:marRight w:val="0"/>
      <w:marTop w:val="0"/>
      <w:marBottom w:val="0"/>
      <w:divBdr>
        <w:top w:val="none" w:sz="0" w:space="0" w:color="auto"/>
        <w:left w:val="none" w:sz="0" w:space="0" w:color="auto"/>
        <w:bottom w:val="none" w:sz="0" w:space="0" w:color="auto"/>
        <w:right w:val="none" w:sz="0" w:space="0" w:color="auto"/>
      </w:divBdr>
    </w:div>
    <w:div w:id="1486511959">
      <w:bodyDiv w:val="1"/>
      <w:marLeft w:val="0"/>
      <w:marRight w:val="0"/>
      <w:marTop w:val="0"/>
      <w:marBottom w:val="0"/>
      <w:divBdr>
        <w:top w:val="none" w:sz="0" w:space="0" w:color="auto"/>
        <w:left w:val="none" w:sz="0" w:space="0" w:color="auto"/>
        <w:bottom w:val="none" w:sz="0" w:space="0" w:color="auto"/>
        <w:right w:val="none" w:sz="0" w:space="0" w:color="auto"/>
      </w:divBdr>
    </w:div>
    <w:div w:id="1521046122">
      <w:bodyDiv w:val="1"/>
      <w:marLeft w:val="0"/>
      <w:marRight w:val="0"/>
      <w:marTop w:val="0"/>
      <w:marBottom w:val="0"/>
      <w:divBdr>
        <w:top w:val="none" w:sz="0" w:space="0" w:color="auto"/>
        <w:left w:val="none" w:sz="0" w:space="0" w:color="auto"/>
        <w:bottom w:val="none" w:sz="0" w:space="0" w:color="auto"/>
        <w:right w:val="none" w:sz="0" w:space="0" w:color="auto"/>
      </w:divBdr>
    </w:div>
    <w:div w:id="1531340287">
      <w:bodyDiv w:val="1"/>
      <w:marLeft w:val="0"/>
      <w:marRight w:val="0"/>
      <w:marTop w:val="0"/>
      <w:marBottom w:val="0"/>
      <w:divBdr>
        <w:top w:val="none" w:sz="0" w:space="0" w:color="auto"/>
        <w:left w:val="none" w:sz="0" w:space="0" w:color="auto"/>
        <w:bottom w:val="none" w:sz="0" w:space="0" w:color="auto"/>
        <w:right w:val="none" w:sz="0" w:space="0" w:color="auto"/>
      </w:divBdr>
    </w:div>
    <w:div w:id="1531652064">
      <w:bodyDiv w:val="1"/>
      <w:marLeft w:val="0"/>
      <w:marRight w:val="0"/>
      <w:marTop w:val="0"/>
      <w:marBottom w:val="0"/>
      <w:divBdr>
        <w:top w:val="none" w:sz="0" w:space="0" w:color="auto"/>
        <w:left w:val="none" w:sz="0" w:space="0" w:color="auto"/>
        <w:bottom w:val="none" w:sz="0" w:space="0" w:color="auto"/>
        <w:right w:val="none" w:sz="0" w:space="0" w:color="auto"/>
      </w:divBdr>
    </w:div>
    <w:div w:id="1536388814">
      <w:bodyDiv w:val="1"/>
      <w:marLeft w:val="0"/>
      <w:marRight w:val="0"/>
      <w:marTop w:val="0"/>
      <w:marBottom w:val="0"/>
      <w:divBdr>
        <w:top w:val="none" w:sz="0" w:space="0" w:color="auto"/>
        <w:left w:val="none" w:sz="0" w:space="0" w:color="auto"/>
        <w:bottom w:val="none" w:sz="0" w:space="0" w:color="auto"/>
        <w:right w:val="none" w:sz="0" w:space="0" w:color="auto"/>
      </w:divBdr>
    </w:div>
    <w:div w:id="1614288814">
      <w:bodyDiv w:val="1"/>
      <w:marLeft w:val="0"/>
      <w:marRight w:val="0"/>
      <w:marTop w:val="0"/>
      <w:marBottom w:val="0"/>
      <w:divBdr>
        <w:top w:val="none" w:sz="0" w:space="0" w:color="auto"/>
        <w:left w:val="none" w:sz="0" w:space="0" w:color="auto"/>
        <w:bottom w:val="none" w:sz="0" w:space="0" w:color="auto"/>
        <w:right w:val="none" w:sz="0" w:space="0" w:color="auto"/>
      </w:divBdr>
    </w:div>
    <w:div w:id="1662660274">
      <w:bodyDiv w:val="1"/>
      <w:marLeft w:val="0"/>
      <w:marRight w:val="0"/>
      <w:marTop w:val="0"/>
      <w:marBottom w:val="0"/>
      <w:divBdr>
        <w:top w:val="none" w:sz="0" w:space="0" w:color="auto"/>
        <w:left w:val="none" w:sz="0" w:space="0" w:color="auto"/>
        <w:bottom w:val="none" w:sz="0" w:space="0" w:color="auto"/>
        <w:right w:val="none" w:sz="0" w:space="0" w:color="auto"/>
      </w:divBdr>
    </w:div>
    <w:div w:id="1668554267">
      <w:bodyDiv w:val="1"/>
      <w:marLeft w:val="0"/>
      <w:marRight w:val="0"/>
      <w:marTop w:val="0"/>
      <w:marBottom w:val="0"/>
      <w:divBdr>
        <w:top w:val="none" w:sz="0" w:space="0" w:color="auto"/>
        <w:left w:val="none" w:sz="0" w:space="0" w:color="auto"/>
        <w:bottom w:val="none" w:sz="0" w:space="0" w:color="auto"/>
        <w:right w:val="none" w:sz="0" w:space="0" w:color="auto"/>
      </w:divBdr>
    </w:div>
    <w:div w:id="1699353723">
      <w:bodyDiv w:val="1"/>
      <w:marLeft w:val="0"/>
      <w:marRight w:val="0"/>
      <w:marTop w:val="0"/>
      <w:marBottom w:val="0"/>
      <w:divBdr>
        <w:top w:val="none" w:sz="0" w:space="0" w:color="auto"/>
        <w:left w:val="none" w:sz="0" w:space="0" w:color="auto"/>
        <w:bottom w:val="none" w:sz="0" w:space="0" w:color="auto"/>
        <w:right w:val="none" w:sz="0" w:space="0" w:color="auto"/>
      </w:divBdr>
    </w:div>
    <w:div w:id="1754084914">
      <w:bodyDiv w:val="1"/>
      <w:marLeft w:val="0"/>
      <w:marRight w:val="0"/>
      <w:marTop w:val="0"/>
      <w:marBottom w:val="0"/>
      <w:divBdr>
        <w:top w:val="none" w:sz="0" w:space="0" w:color="auto"/>
        <w:left w:val="none" w:sz="0" w:space="0" w:color="auto"/>
        <w:bottom w:val="none" w:sz="0" w:space="0" w:color="auto"/>
        <w:right w:val="none" w:sz="0" w:space="0" w:color="auto"/>
      </w:divBdr>
    </w:div>
    <w:div w:id="1756247030">
      <w:bodyDiv w:val="1"/>
      <w:marLeft w:val="0"/>
      <w:marRight w:val="0"/>
      <w:marTop w:val="0"/>
      <w:marBottom w:val="0"/>
      <w:divBdr>
        <w:top w:val="none" w:sz="0" w:space="0" w:color="auto"/>
        <w:left w:val="none" w:sz="0" w:space="0" w:color="auto"/>
        <w:bottom w:val="none" w:sz="0" w:space="0" w:color="auto"/>
        <w:right w:val="none" w:sz="0" w:space="0" w:color="auto"/>
      </w:divBdr>
    </w:div>
    <w:div w:id="1766073170">
      <w:bodyDiv w:val="1"/>
      <w:marLeft w:val="0"/>
      <w:marRight w:val="0"/>
      <w:marTop w:val="0"/>
      <w:marBottom w:val="0"/>
      <w:divBdr>
        <w:top w:val="none" w:sz="0" w:space="0" w:color="auto"/>
        <w:left w:val="none" w:sz="0" w:space="0" w:color="auto"/>
        <w:bottom w:val="none" w:sz="0" w:space="0" w:color="auto"/>
        <w:right w:val="none" w:sz="0" w:space="0" w:color="auto"/>
      </w:divBdr>
    </w:div>
    <w:div w:id="1819028380">
      <w:bodyDiv w:val="1"/>
      <w:marLeft w:val="0"/>
      <w:marRight w:val="0"/>
      <w:marTop w:val="0"/>
      <w:marBottom w:val="0"/>
      <w:divBdr>
        <w:top w:val="none" w:sz="0" w:space="0" w:color="auto"/>
        <w:left w:val="none" w:sz="0" w:space="0" w:color="auto"/>
        <w:bottom w:val="none" w:sz="0" w:space="0" w:color="auto"/>
        <w:right w:val="none" w:sz="0" w:space="0" w:color="auto"/>
      </w:divBdr>
    </w:div>
    <w:div w:id="1841001370">
      <w:bodyDiv w:val="1"/>
      <w:marLeft w:val="0"/>
      <w:marRight w:val="0"/>
      <w:marTop w:val="0"/>
      <w:marBottom w:val="0"/>
      <w:divBdr>
        <w:top w:val="none" w:sz="0" w:space="0" w:color="auto"/>
        <w:left w:val="none" w:sz="0" w:space="0" w:color="auto"/>
        <w:bottom w:val="none" w:sz="0" w:space="0" w:color="auto"/>
        <w:right w:val="none" w:sz="0" w:space="0" w:color="auto"/>
      </w:divBdr>
    </w:div>
    <w:div w:id="1855991614">
      <w:bodyDiv w:val="1"/>
      <w:marLeft w:val="0"/>
      <w:marRight w:val="0"/>
      <w:marTop w:val="0"/>
      <w:marBottom w:val="0"/>
      <w:divBdr>
        <w:top w:val="none" w:sz="0" w:space="0" w:color="auto"/>
        <w:left w:val="none" w:sz="0" w:space="0" w:color="auto"/>
        <w:bottom w:val="none" w:sz="0" w:space="0" w:color="auto"/>
        <w:right w:val="none" w:sz="0" w:space="0" w:color="auto"/>
      </w:divBdr>
    </w:div>
    <w:div w:id="1873227640">
      <w:bodyDiv w:val="1"/>
      <w:marLeft w:val="0"/>
      <w:marRight w:val="0"/>
      <w:marTop w:val="0"/>
      <w:marBottom w:val="0"/>
      <w:divBdr>
        <w:top w:val="none" w:sz="0" w:space="0" w:color="auto"/>
        <w:left w:val="none" w:sz="0" w:space="0" w:color="auto"/>
        <w:bottom w:val="none" w:sz="0" w:space="0" w:color="auto"/>
        <w:right w:val="none" w:sz="0" w:space="0" w:color="auto"/>
      </w:divBdr>
    </w:div>
    <w:div w:id="1919096939">
      <w:bodyDiv w:val="1"/>
      <w:marLeft w:val="0"/>
      <w:marRight w:val="0"/>
      <w:marTop w:val="0"/>
      <w:marBottom w:val="0"/>
      <w:divBdr>
        <w:top w:val="none" w:sz="0" w:space="0" w:color="auto"/>
        <w:left w:val="none" w:sz="0" w:space="0" w:color="auto"/>
        <w:bottom w:val="none" w:sz="0" w:space="0" w:color="auto"/>
        <w:right w:val="none" w:sz="0" w:space="0" w:color="auto"/>
      </w:divBdr>
    </w:div>
    <w:div w:id="1934900159">
      <w:bodyDiv w:val="1"/>
      <w:marLeft w:val="0"/>
      <w:marRight w:val="0"/>
      <w:marTop w:val="0"/>
      <w:marBottom w:val="0"/>
      <w:divBdr>
        <w:top w:val="none" w:sz="0" w:space="0" w:color="auto"/>
        <w:left w:val="none" w:sz="0" w:space="0" w:color="auto"/>
        <w:bottom w:val="none" w:sz="0" w:space="0" w:color="auto"/>
        <w:right w:val="none" w:sz="0" w:space="0" w:color="auto"/>
      </w:divBdr>
    </w:div>
    <w:div w:id="1947076865">
      <w:bodyDiv w:val="1"/>
      <w:marLeft w:val="0"/>
      <w:marRight w:val="0"/>
      <w:marTop w:val="0"/>
      <w:marBottom w:val="0"/>
      <w:divBdr>
        <w:top w:val="none" w:sz="0" w:space="0" w:color="auto"/>
        <w:left w:val="none" w:sz="0" w:space="0" w:color="auto"/>
        <w:bottom w:val="none" w:sz="0" w:space="0" w:color="auto"/>
        <w:right w:val="none" w:sz="0" w:space="0" w:color="auto"/>
      </w:divBdr>
    </w:div>
    <w:div w:id="1957251641">
      <w:bodyDiv w:val="1"/>
      <w:marLeft w:val="0"/>
      <w:marRight w:val="0"/>
      <w:marTop w:val="0"/>
      <w:marBottom w:val="0"/>
      <w:divBdr>
        <w:top w:val="none" w:sz="0" w:space="0" w:color="auto"/>
        <w:left w:val="none" w:sz="0" w:space="0" w:color="auto"/>
        <w:bottom w:val="none" w:sz="0" w:space="0" w:color="auto"/>
        <w:right w:val="none" w:sz="0" w:space="0" w:color="auto"/>
      </w:divBdr>
    </w:div>
    <w:div w:id="1965505807">
      <w:bodyDiv w:val="1"/>
      <w:marLeft w:val="0"/>
      <w:marRight w:val="0"/>
      <w:marTop w:val="0"/>
      <w:marBottom w:val="0"/>
      <w:divBdr>
        <w:top w:val="none" w:sz="0" w:space="0" w:color="auto"/>
        <w:left w:val="none" w:sz="0" w:space="0" w:color="auto"/>
        <w:bottom w:val="none" w:sz="0" w:space="0" w:color="auto"/>
        <w:right w:val="none" w:sz="0" w:space="0" w:color="auto"/>
      </w:divBdr>
    </w:div>
    <w:div w:id="1981768280">
      <w:bodyDiv w:val="1"/>
      <w:marLeft w:val="0"/>
      <w:marRight w:val="0"/>
      <w:marTop w:val="0"/>
      <w:marBottom w:val="0"/>
      <w:divBdr>
        <w:top w:val="none" w:sz="0" w:space="0" w:color="auto"/>
        <w:left w:val="none" w:sz="0" w:space="0" w:color="auto"/>
        <w:bottom w:val="none" w:sz="0" w:space="0" w:color="auto"/>
        <w:right w:val="none" w:sz="0" w:space="0" w:color="auto"/>
      </w:divBdr>
    </w:div>
    <w:div w:id="1999575640">
      <w:bodyDiv w:val="1"/>
      <w:marLeft w:val="0"/>
      <w:marRight w:val="0"/>
      <w:marTop w:val="0"/>
      <w:marBottom w:val="0"/>
      <w:divBdr>
        <w:top w:val="none" w:sz="0" w:space="0" w:color="auto"/>
        <w:left w:val="none" w:sz="0" w:space="0" w:color="auto"/>
        <w:bottom w:val="none" w:sz="0" w:space="0" w:color="auto"/>
        <w:right w:val="none" w:sz="0" w:space="0" w:color="auto"/>
      </w:divBdr>
    </w:div>
    <w:div w:id="2028209751">
      <w:bodyDiv w:val="1"/>
      <w:marLeft w:val="0"/>
      <w:marRight w:val="0"/>
      <w:marTop w:val="0"/>
      <w:marBottom w:val="0"/>
      <w:divBdr>
        <w:top w:val="none" w:sz="0" w:space="0" w:color="auto"/>
        <w:left w:val="none" w:sz="0" w:space="0" w:color="auto"/>
        <w:bottom w:val="none" w:sz="0" w:space="0" w:color="auto"/>
        <w:right w:val="none" w:sz="0" w:space="0" w:color="auto"/>
      </w:divBdr>
    </w:div>
    <w:div w:id="2036806574">
      <w:bodyDiv w:val="1"/>
      <w:marLeft w:val="0"/>
      <w:marRight w:val="0"/>
      <w:marTop w:val="0"/>
      <w:marBottom w:val="0"/>
      <w:divBdr>
        <w:top w:val="none" w:sz="0" w:space="0" w:color="auto"/>
        <w:left w:val="none" w:sz="0" w:space="0" w:color="auto"/>
        <w:bottom w:val="none" w:sz="0" w:space="0" w:color="auto"/>
        <w:right w:val="none" w:sz="0" w:space="0" w:color="auto"/>
      </w:divBdr>
    </w:div>
    <w:div w:id="2041515899">
      <w:bodyDiv w:val="1"/>
      <w:marLeft w:val="0"/>
      <w:marRight w:val="0"/>
      <w:marTop w:val="0"/>
      <w:marBottom w:val="0"/>
      <w:divBdr>
        <w:top w:val="none" w:sz="0" w:space="0" w:color="auto"/>
        <w:left w:val="none" w:sz="0" w:space="0" w:color="auto"/>
        <w:bottom w:val="none" w:sz="0" w:space="0" w:color="auto"/>
        <w:right w:val="none" w:sz="0" w:space="0" w:color="auto"/>
      </w:divBdr>
    </w:div>
    <w:div w:id="2062556795">
      <w:bodyDiv w:val="1"/>
      <w:marLeft w:val="0"/>
      <w:marRight w:val="0"/>
      <w:marTop w:val="0"/>
      <w:marBottom w:val="0"/>
      <w:divBdr>
        <w:top w:val="none" w:sz="0" w:space="0" w:color="auto"/>
        <w:left w:val="none" w:sz="0" w:space="0" w:color="auto"/>
        <w:bottom w:val="none" w:sz="0" w:space="0" w:color="auto"/>
        <w:right w:val="none" w:sz="0" w:space="0" w:color="auto"/>
      </w:divBdr>
    </w:div>
    <w:div w:id="2092048221">
      <w:bodyDiv w:val="1"/>
      <w:marLeft w:val="0"/>
      <w:marRight w:val="0"/>
      <w:marTop w:val="0"/>
      <w:marBottom w:val="0"/>
      <w:divBdr>
        <w:top w:val="none" w:sz="0" w:space="0" w:color="auto"/>
        <w:left w:val="none" w:sz="0" w:space="0" w:color="auto"/>
        <w:bottom w:val="none" w:sz="0" w:space="0" w:color="auto"/>
        <w:right w:val="none" w:sz="0" w:space="0" w:color="auto"/>
      </w:divBdr>
    </w:div>
    <w:div w:id="21359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legis/num_act/pooca199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1964-4F3F-4513-8BE4-4E677578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9364</Words>
  <Characters>53377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Wierzbicka</dc:creator>
  <cp:keywords/>
  <dc:description/>
  <cp:lastModifiedBy>Lazarus Rakgwale</cp:lastModifiedBy>
  <cp:revision>2</cp:revision>
  <cp:lastPrinted>2021-08-24T11:32:00Z</cp:lastPrinted>
  <dcterms:created xsi:type="dcterms:W3CDTF">2021-12-14T08:24:00Z</dcterms:created>
  <dcterms:modified xsi:type="dcterms:W3CDTF">2021-12-14T08:24:00Z</dcterms:modified>
</cp:coreProperties>
</file>