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E0C20" w14:textId="77777777" w:rsidR="005C1332" w:rsidRPr="00D73E21" w:rsidRDefault="005C1332" w:rsidP="005C1332">
      <w:pPr>
        <w:spacing w:line="360" w:lineRule="auto"/>
        <w:jc w:val="center"/>
        <w:rPr>
          <w:rFonts w:ascii="Arial" w:hAnsi="Arial" w:cs="Arial"/>
          <w:b/>
          <w:bCs/>
          <w:sz w:val="22"/>
        </w:rPr>
      </w:pPr>
      <w:r w:rsidRPr="00D73E21">
        <w:rPr>
          <w:rFonts w:ascii="Arial" w:hAnsi="Arial" w:cs="Arial"/>
          <w:b/>
          <w:bCs/>
          <w:sz w:val="22"/>
        </w:rPr>
        <w:t>REPUBLIC OF SOUTH AFRICA</w:t>
      </w:r>
    </w:p>
    <w:p w14:paraId="27B3EF1C" w14:textId="77777777" w:rsidR="005C1332" w:rsidRPr="00D73E21" w:rsidRDefault="005C1332" w:rsidP="005C1332">
      <w:pPr>
        <w:spacing w:line="360" w:lineRule="auto"/>
        <w:jc w:val="center"/>
        <w:rPr>
          <w:rFonts w:ascii="Arial" w:hAnsi="Arial" w:cs="Arial"/>
          <w:sz w:val="22"/>
        </w:rPr>
      </w:pPr>
      <w:r w:rsidRPr="00D73E21">
        <w:rPr>
          <w:rFonts w:ascii="Arial" w:hAnsi="Arial" w:cs="Arial"/>
          <w:noProof/>
          <w:sz w:val="22"/>
          <w:lang w:eastAsia="en-ZA"/>
        </w:rPr>
        <w:drawing>
          <wp:inline distT="0" distB="0" distL="0" distR="0" wp14:anchorId="5F8E6C6B" wp14:editId="75E22EE4">
            <wp:extent cx="1574800" cy="1270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1270000"/>
                    </a:xfrm>
                    <a:prstGeom prst="rect">
                      <a:avLst/>
                    </a:prstGeom>
                    <a:noFill/>
                  </pic:spPr>
                </pic:pic>
              </a:graphicData>
            </a:graphic>
          </wp:inline>
        </w:drawing>
      </w:r>
    </w:p>
    <w:p w14:paraId="3CE8C396" w14:textId="77777777" w:rsidR="005C1332" w:rsidRPr="00C670F6" w:rsidRDefault="005C1332" w:rsidP="005C1332">
      <w:pPr>
        <w:spacing w:line="360" w:lineRule="auto"/>
        <w:jc w:val="center"/>
        <w:rPr>
          <w:rFonts w:ascii="Arial" w:hAnsi="Arial" w:cs="Arial"/>
          <w:b/>
          <w:bCs/>
          <w:sz w:val="24"/>
          <w:szCs w:val="24"/>
        </w:rPr>
      </w:pPr>
      <w:r w:rsidRPr="00C670F6">
        <w:rPr>
          <w:rFonts w:ascii="Arial" w:hAnsi="Arial" w:cs="Arial"/>
          <w:b/>
          <w:bCs/>
          <w:sz w:val="24"/>
          <w:szCs w:val="24"/>
        </w:rPr>
        <w:t>IN THE HIGH COURT OF SOUTH AFRICA</w:t>
      </w:r>
    </w:p>
    <w:p w14:paraId="48A43718" w14:textId="77777777" w:rsidR="005C1332" w:rsidRPr="00C670F6" w:rsidRDefault="005C1332" w:rsidP="005C1332">
      <w:pPr>
        <w:spacing w:line="360" w:lineRule="auto"/>
        <w:jc w:val="center"/>
        <w:rPr>
          <w:rFonts w:ascii="Arial" w:hAnsi="Arial" w:cs="Arial"/>
          <w:b/>
          <w:bCs/>
          <w:sz w:val="24"/>
          <w:szCs w:val="24"/>
        </w:rPr>
      </w:pPr>
      <w:r w:rsidRPr="00C670F6">
        <w:rPr>
          <w:rFonts w:ascii="Arial" w:hAnsi="Arial" w:cs="Arial"/>
          <w:b/>
          <w:bCs/>
          <w:sz w:val="24"/>
          <w:szCs w:val="24"/>
        </w:rPr>
        <w:t>GAUTENG DIVISION, JOHANNESBURG</w:t>
      </w:r>
    </w:p>
    <w:p w14:paraId="5EE2793F" w14:textId="77777777" w:rsidR="005C1332" w:rsidRPr="00C670F6" w:rsidRDefault="005C1332" w:rsidP="005C1332">
      <w:pPr>
        <w:spacing w:line="360" w:lineRule="auto"/>
        <w:jc w:val="center"/>
        <w:rPr>
          <w:rFonts w:ascii="Arial" w:hAnsi="Arial" w:cs="Arial"/>
          <w:b/>
          <w:bCs/>
          <w:sz w:val="24"/>
          <w:szCs w:val="24"/>
        </w:rPr>
      </w:pPr>
    </w:p>
    <w:p w14:paraId="31524473" w14:textId="73ADC14E" w:rsidR="005C1332" w:rsidRPr="00C670F6" w:rsidRDefault="005C1332" w:rsidP="005C1332">
      <w:pPr>
        <w:spacing w:line="360" w:lineRule="auto"/>
        <w:jc w:val="right"/>
        <w:rPr>
          <w:rFonts w:ascii="Arial" w:hAnsi="Arial" w:cs="Arial"/>
          <w:b/>
          <w:bCs/>
          <w:sz w:val="24"/>
          <w:szCs w:val="24"/>
        </w:rPr>
      </w:pPr>
      <w:r w:rsidRPr="00C670F6">
        <w:rPr>
          <w:rFonts w:ascii="Arial" w:hAnsi="Arial" w:cs="Arial"/>
          <w:b/>
          <w:bCs/>
          <w:sz w:val="24"/>
          <w:szCs w:val="24"/>
        </w:rPr>
        <w:t>CASE NUMBER: 2017/37231</w:t>
      </w:r>
    </w:p>
    <w:p w14:paraId="3C18AC18" w14:textId="77777777" w:rsidR="005C1332" w:rsidRDefault="005C1332" w:rsidP="005C1332">
      <w:pPr>
        <w:spacing w:line="360" w:lineRule="auto"/>
        <w:rPr>
          <w:rFonts w:ascii="Arial" w:hAnsi="Arial" w:cs="Arial"/>
          <w:b/>
          <w:bCs/>
          <w:sz w:val="24"/>
          <w:szCs w:val="24"/>
        </w:rPr>
      </w:pPr>
    </w:p>
    <w:tbl>
      <w:tblPr>
        <w:tblStyle w:val="TableGrid"/>
        <w:tblW w:w="0" w:type="auto"/>
        <w:tblLook w:val="04A0" w:firstRow="1" w:lastRow="0" w:firstColumn="1" w:lastColumn="0" w:noHBand="0" w:noVBand="1"/>
      </w:tblPr>
      <w:tblGrid>
        <w:gridCol w:w="3681"/>
      </w:tblGrid>
      <w:tr w:rsidR="005C1332" w14:paraId="051055BE" w14:textId="77777777" w:rsidTr="00A06203">
        <w:tc>
          <w:tcPr>
            <w:tcW w:w="3681" w:type="dxa"/>
          </w:tcPr>
          <w:p w14:paraId="198EF707" w14:textId="77777777" w:rsidR="005C1332" w:rsidRPr="00D73E21" w:rsidRDefault="005C1332" w:rsidP="00A06203">
            <w:pPr>
              <w:pStyle w:val="ListParagraph"/>
              <w:numPr>
                <w:ilvl w:val="0"/>
                <w:numId w:val="1"/>
              </w:numPr>
              <w:spacing w:line="240" w:lineRule="auto"/>
              <w:ind w:left="457" w:hanging="425"/>
              <w:rPr>
                <w:rFonts w:ascii="Calibri" w:hAnsi="Calibri" w:cs="Calibri"/>
                <w:sz w:val="18"/>
                <w:szCs w:val="18"/>
              </w:rPr>
            </w:pPr>
            <w:r w:rsidRPr="00D73E21">
              <w:rPr>
                <w:rFonts w:ascii="Calibri" w:hAnsi="Calibri" w:cs="Calibri"/>
                <w:sz w:val="18"/>
                <w:szCs w:val="18"/>
              </w:rPr>
              <w:t>REPORTABLE: NO</w:t>
            </w:r>
          </w:p>
          <w:p w14:paraId="1CA78702" w14:textId="77777777" w:rsidR="005C1332" w:rsidRPr="00D73E21" w:rsidRDefault="005C1332" w:rsidP="00A06203">
            <w:pPr>
              <w:pStyle w:val="ListParagraph"/>
              <w:numPr>
                <w:ilvl w:val="0"/>
                <w:numId w:val="1"/>
              </w:numPr>
              <w:spacing w:line="240" w:lineRule="auto"/>
              <w:ind w:left="457" w:hanging="425"/>
              <w:rPr>
                <w:rFonts w:ascii="Calibri" w:hAnsi="Calibri" w:cs="Calibri"/>
                <w:sz w:val="18"/>
                <w:szCs w:val="18"/>
              </w:rPr>
            </w:pPr>
            <w:r w:rsidRPr="00D73E21">
              <w:rPr>
                <w:rFonts w:ascii="Calibri" w:hAnsi="Calibri" w:cs="Calibri"/>
                <w:sz w:val="18"/>
                <w:szCs w:val="18"/>
              </w:rPr>
              <w:t>OF INTEREST TO OTHER JUDGES: NO</w:t>
            </w:r>
          </w:p>
          <w:p w14:paraId="61F32BCB" w14:textId="77777777" w:rsidR="005C1332" w:rsidRPr="00022D49" w:rsidRDefault="005C1332" w:rsidP="00A06203">
            <w:pPr>
              <w:pStyle w:val="ListParagraph"/>
              <w:numPr>
                <w:ilvl w:val="0"/>
                <w:numId w:val="1"/>
              </w:numPr>
              <w:spacing w:line="240" w:lineRule="auto"/>
              <w:ind w:left="457" w:hanging="425"/>
              <w:rPr>
                <w:rFonts w:ascii="Calibri" w:hAnsi="Calibri" w:cs="Calibri"/>
                <w:sz w:val="18"/>
                <w:szCs w:val="18"/>
              </w:rPr>
            </w:pPr>
            <w:r w:rsidRPr="00D73E21">
              <w:rPr>
                <w:rFonts w:ascii="Calibri" w:hAnsi="Calibri" w:cs="Calibri"/>
                <w:sz w:val="18"/>
                <w:szCs w:val="18"/>
              </w:rPr>
              <w:t>REVISED</w:t>
            </w:r>
          </w:p>
          <w:p w14:paraId="48E4034E" w14:textId="04C86F18" w:rsidR="005C1332" w:rsidRPr="00D73E21" w:rsidRDefault="005C1332" w:rsidP="00A06203">
            <w:pPr>
              <w:spacing w:line="240" w:lineRule="auto"/>
              <w:ind w:left="360" w:hanging="470"/>
              <w:rPr>
                <w:rFonts w:ascii="Calibri" w:hAnsi="Calibri" w:cs="Calibri"/>
                <w:sz w:val="18"/>
                <w:szCs w:val="18"/>
              </w:rPr>
            </w:pPr>
            <w:bookmarkStart w:id="0" w:name="_GoBack"/>
            <w:bookmarkEnd w:id="0"/>
            <w:r>
              <w:rPr>
                <w:rFonts w:ascii="Calibri" w:hAnsi="Calibri" w:cs="Calibri"/>
                <w:sz w:val="18"/>
                <w:szCs w:val="18"/>
              </w:rPr>
              <w:t xml:space="preserve">    </w:t>
            </w:r>
            <w:r w:rsidR="00422AA0">
              <w:rPr>
                <w:rFonts w:ascii="Calibri" w:hAnsi="Calibri" w:cs="Calibri"/>
                <w:sz w:val="18"/>
                <w:szCs w:val="18"/>
              </w:rPr>
              <w:t>10</w:t>
            </w:r>
            <w:r>
              <w:rPr>
                <w:rFonts w:ascii="Calibri" w:hAnsi="Calibri" w:cs="Calibri"/>
                <w:sz w:val="18"/>
                <w:szCs w:val="18"/>
              </w:rPr>
              <w:t xml:space="preserve"> December 2021</w:t>
            </w:r>
          </w:p>
          <w:p w14:paraId="6E5FAB23" w14:textId="77777777" w:rsidR="005C1332" w:rsidRPr="00D73E21" w:rsidRDefault="005C1332" w:rsidP="00A06203">
            <w:pPr>
              <w:spacing w:line="240" w:lineRule="auto"/>
              <w:rPr>
                <w:rFonts w:ascii="Calibri" w:hAnsi="Calibri" w:cs="Calibri"/>
                <w:sz w:val="18"/>
                <w:szCs w:val="18"/>
              </w:rPr>
            </w:pPr>
            <w:r w:rsidRPr="00D73E21">
              <w:rPr>
                <w:rFonts w:ascii="Calibri" w:hAnsi="Calibri" w:cs="Calibri"/>
                <w:sz w:val="18"/>
                <w:szCs w:val="18"/>
              </w:rPr>
              <w:t>…………………………………….       …………………………</w:t>
            </w:r>
          </w:p>
          <w:p w14:paraId="67355BD1" w14:textId="77777777" w:rsidR="005C1332" w:rsidRPr="00E544F0" w:rsidRDefault="005C1332" w:rsidP="00A06203">
            <w:pPr>
              <w:spacing w:line="240" w:lineRule="auto"/>
              <w:rPr>
                <w:rFonts w:ascii="Arial" w:hAnsi="Arial" w:cs="Arial"/>
                <w:b/>
                <w:bCs/>
                <w:sz w:val="24"/>
                <w:szCs w:val="24"/>
              </w:rPr>
            </w:pPr>
            <w:r w:rsidRPr="00D73E21">
              <w:rPr>
                <w:rFonts w:ascii="Calibri" w:hAnsi="Calibri" w:cs="Calibri"/>
                <w:b/>
                <w:bCs/>
                <w:sz w:val="18"/>
                <w:szCs w:val="18"/>
              </w:rPr>
              <w:t>SIGNATURE</w:t>
            </w:r>
            <w:r w:rsidRPr="00D73E21">
              <w:rPr>
                <w:rFonts w:ascii="Calibri" w:hAnsi="Calibri" w:cs="Calibri"/>
                <w:sz w:val="18"/>
                <w:szCs w:val="18"/>
              </w:rPr>
              <w:t xml:space="preserve">                              </w:t>
            </w:r>
            <w:r w:rsidRPr="00D73E21">
              <w:rPr>
                <w:rFonts w:ascii="Calibri" w:hAnsi="Calibri" w:cs="Calibri"/>
                <w:b/>
                <w:bCs/>
                <w:sz w:val="18"/>
                <w:szCs w:val="18"/>
              </w:rPr>
              <w:t>DATE</w:t>
            </w:r>
          </w:p>
        </w:tc>
      </w:tr>
    </w:tbl>
    <w:p w14:paraId="4E2A8510" w14:textId="77777777" w:rsidR="00A95EFA" w:rsidRDefault="00A95EFA" w:rsidP="005C1332">
      <w:pPr>
        <w:spacing w:line="360" w:lineRule="auto"/>
        <w:rPr>
          <w:rFonts w:ascii="Arial" w:hAnsi="Arial" w:cs="Arial"/>
          <w:b/>
          <w:bCs/>
          <w:sz w:val="24"/>
          <w:szCs w:val="24"/>
        </w:rPr>
      </w:pPr>
    </w:p>
    <w:p w14:paraId="0A364D68" w14:textId="77777777" w:rsidR="005C1332" w:rsidRPr="00C670F6" w:rsidRDefault="005C1332" w:rsidP="00A95EFA">
      <w:pPr>
        <w:spacing w:line="360" w:lineRule="auto"/>
        <w:rPr>
          <w:rFonts w:ascii="Arial" w:hAnsi="Arial" w:cs="Arial"/>
          <w:sz w:val="24"/>
          <w:szCs w:val="24"/>
        </w:rPr>
      </w:pPr>
      <w:r w:rsidRPr="00C670F6">
        <w:rPr>
          <w:rFonts w:ascii="Arial" w:hAnsi="Arial" w:cs="Arial"/>
          <w:sz w:val="24"/>
          <w:szCs w:val="24"/>
        </w:rPr>
        <w:t>In the matter between:</w:t>
      </w:r>
    </w:p>
    <w:p w14:paraId="60444A6C" w14:textId="77777777" w:rsidR="005C1332" w:rsidRPr="00C670F6" w:rsidRDefault="005C1332" w:rsidP="00A95EFA">
      <w:pPr>
        <w:spacing w:line="360" w:lineRule="auto"/>
        <w:rPr>
          <w:rFonts w:ascii="Arial" w:hAnsi="Arial" w:cs="Arial"/>
          <w:sz w:val="24"/>
          <w:szCs w:val="24"/>
        </w:rPr>
      </w:pPr>
    </w:p>
    <w:p w14:paraId="680C41C0" w14:textId="76F54678" w:rsidR="005C1332" w:rsidRPr="00C670F6" w:rsidRDefault="005C1332" w:rsidP="00A95EFA">
      <w:pPr>
        <w:spacing w:line="360" w:lineRule="auto"/>
        <w:rPr>
          <w:rFonts w:ascii="Arial" w:hAnsi="Arial" w:cs="Arial"/>
          <w:sz w:val="24"/>
          <w:szCs w:val="24"/>
        </w:rPr>
      </w:pPr>
      <w:r w:rsidRPr="00C670F6">
        <w:rPr>
          <w:rFonts w:ascii="Arial" w:hAnsi="Arial" w:cs="Arial"/>
          <w:b/>
          <w:bCs/>
          <w:sz w:val="24"/>
          <w:szCs w:val="24"/>
        </w:rPr>
        <w:t xml:space="preserve">PAMELA DUDUZILE NKOSI </w:t>
      </w:r>
      <w:r w:rsidRPr="00C670F6">
        <w:rPr>
          <w:rFonts w:ascii="Arial" w:hAnsi="Arial" w:cs="Arial"/>
          <w:sz w:val="24"/>
          <w:szCs w:val="24"/>
        </w:rPr>
        <w:t xml:space="preserve">                                                                First Applicant </w:t>
      </w:r>
    </w:p>
    <w:p w14:paraId="6897038D" w14:textId="678ACFD2" w:rsidR="005C1332" w:rsidRPr="00C670F6" w:rsidRDefault="005C1332" w:rsidP="00A95EFA">
      <w:pPr>
        <w:spacing w:line="360" w:lineRule="auto"/>
        <w:rPr>
          <w:rFonts w:ascii="Arial" w:hAnsi="Arial" w:cs="Arial"/>
          <w:sz w:val="24"/>
          <w:szCs w:val="24"/>
        </w:rPr>
      </w:pPr>
      <w:r w:rsidRPr="00C670F6">
        <w:rPr>
          <w:rFonts w:ascii="Arial" w:hAnsi="Arial" w:cs="Arial"/>
          <w:b/>
          <w:bCs/>
          <w:sz w:val="24"/>
          <w:szCs w:val="24"/>
        </w:rPr>
        <w:t>SIBONGILE GOODNESS NJAPA</w:t>
      </w:r>
      <w:r w:rsidRPr="00C670F6">
        <w:rPr>
          <w:rFonts w:ascii="Arial" w:hAnsi="Arial" w:cs="Arial"/>
          <w:sz w:val="24"/>
          <w:szCs w:val="24"/>
        </w:rPr>
        <w:t xml:space="preserve">                                          </w:t>
      </w:r>
      <w:r w:rsidR="00A95EFA" w:rsidRPr="00C670F6">
        <w:rPr>
          <w:rFonts w:ascii="Arial" w:hAnsi="Arial" w:cs="Arial"/>
          <w:sz w:val="24"/>
          <w:szCs w:val="24"/>
        </w:rPr>
        <w:t xml:space="preserve">          </w:t>
      </w:r>
      <w:r w:rsidRPr="00C670F6">
        <w:rPr>
          <w:rFonts w:ascii="Arial" w:hAnsi="Arial" w:cs="Arial"/>
          <w:sz w:val="24"/>
          <w:szCs w:val="24"/>
        </w:rPr>
        <w:t xml:space="preserve">Second Applicant </w:t>
      </w:r>
    </w:p>
    <w:p w14:paraId="60373F02" w14:textId="5569CFF1" w:rsidR="005C1332" w:rsidRPr="00C670F6" w:rsidRDefault="005C1332" w:rsidP="00A95EFA">
      <w:pPr>
        <w:spacing w:line="360" w:lineRule="auto"/>
        <w:rPr>
          <w:rFonts w:ascii="Arial" w:hAnsi="Arial" w:cs="Arial"/>
          <w:sz w:val="24"/>
          <w:szCs w:val="24"/>
        </w:rPr>
      </w:pPr>
      <w:r w:rsidRPr="00C670F6">
        <w:rPr>
          <w:rFonts w:ascii="Arial" w:hAnsi="Arial" w:cs="Arial"/>
          <w:b/>
          <w:bCs/>
          <w:sz w:val="24"/>
          <w:szCs w:val="24"/>
        </w:rPr>
        <w:t>BENJAMIN SEMAKALENG RABOSHABA</w:t>
      </w:r>
      <w:r w:rsidRPr="00C670F6">
        <w:rPr>
          <w:rFonts w:ascii="Arial" w:hAnsi="Arial" w:cs="Arial"/>
          <w:sz w:val="24"/>
          <w:szCs w:val="24"/>
        </w:rPr>
        <w:t xml:space="preserve">                            </w:t>
      </w:r>
      <w:r w:rsidR="00A95EFA" w:rsidRPr="00C670F6">
        <w:rPr>
          <w:rFonts w:ascii="Arial" w:hAnsi="Arial" w:cs="Arial"/>
          <w:sz w:val="24"/>
          <w:szCs w:val="24"/>
        </w:rPr>
        <w:t xml:space="preserve">             </w:t>
      </w:r>
      <w:r w:rsidRPr="00C670F6">
        <w:rPr>
          <w:rFonts w:ascii="Arial" w:hAnsi="Arial" w:cs="Arial"/>
          <w:sz w:val="24"/>
          <w:szCs w:val="24"/>
        </w:rPr>
        <w:t xml:space="preserve">Third Applicant </w:t>
      </w:r>
    </w:p>
    <w:p w14:paraId="3CE31E23" w14:textId="00E81E34" w:rsidR="005C1332" w:rsidRPr="00C670F6" w:rsidRDefault="005C1332" w:rsidP="00A95EFA">
      <w:pPr>
        <w:spacing w:line="360" w:lineRule="auto"/>
        <w:rPr>
          <w:rFonts w:ascii="Arial" w:hAnsi="Arial" w:cs="Arial"/>
          <w:sz w:val="24"/>
          <w:szCs w:val="24"/>
        </w:rPr>
      </w:pPr>
      <w:r w:rsidRPr="00C670F6">
        <w:rPr>
          <w:rFonts w:ascii="Arial" w:hAnsi="Arial" w:cs="Arial"/>
          <w:b/>
          <w:bCs/>
          <w:sz w:val="24"/>
          <w:szCs w:val="24"/>
        </w:rPr>
        <w:t>LEBOHANG STEVEN MOTSUMI</w:t>
      </w:r>
      <w:r w:rsidRPr="00C670F6">
        <w:rPr>
          <w:rFonts w:ascii="Arial" w:hAnsi="Arial" w:cs="Arial"/>
          <w:sz w:val="24"/>
          <w:szCs w:val="24"/>
        </w:rPr>
        <w:t xml:space="preserve">                                       </w:t>
      </w:r>
      <w:r w:rsidR="00A95EFA" w:rsidRPr="00C670F6">
        <w:rPr>
          <w:rFonts w:ascii="Arial" w:hAnsi="Arial" w:cs="Arial"/>
          <w:sz w:val="24"/>
          <w:szCs w:val="24"/>
        </w:rPr>
        <w:t xml:space="preserve">                </w:t>
      </w:r>
      <w:r w:rsidRPr="00C670F6">
        <w:rPr>
          <w:rFonts w:ascii="Arial" w:hAnsi="Arial" w:cs="Arial"/>
          <w:sz w:val="24"/>
          <w:szCs w:val="24"/>
        </w:rPr>
        <w:t xml:space="preserve">Fourth Applicant </w:t>
      </w:r>
    </w:p>
    <w:p w14:paraId="7A92C3B9" w14:textId="262F52FB" w:rsidR="005C1332" w:rsidRPr="00C670F6" w:rsidRDefault="005C1332" w:rsidP="00A95EFA">
      <w:pPr>
        <w:spacing w:line="360" w:lineRule="auto"/>
        <w:rPr>
          <w:rFonts w:ascii="Arial" w:hAnsi="Arial" w:cs="Arial"/>
          <w:sz w:val="24"/>
          <w:szCs w:val="24"/>
        </w:rPr>
      </w:pPr>
      <w:r w:rsidRPr="00C670F6">
        <w:rPr>
          <w:rFonts w:ascii="Arial" w:hAnsi="Arial" w:cs="Arial"/>
          <w:b/>
          <w:bCs/>
          <w:sz w:val="24"/>
          <w:szCs w:val="24"/>
        </w:rPr>
        <w:t xml:space="preserve">PATRICK MANDLA NXUMALO                                            </w:t>
      </w:r>
      <w:r w:rsidR="00A95EFA" w:rsidRPr="00C670F6">
        <w:rPr>
          <w:rFonts w:ascii="Arial" w:hAnsi="Arial" w:cs="Arial"/>
          <w:b/>
          <w:bCs/>
          <w:sz w:val="24"/>
          <w:szCs w:val="24"/>
        </w:rPr>
        <w:t xml:space="preserve">                </w:t>
      </w:r>
      <w:r w:rsidRPr="00C670F6">
        <w:rPr>
          <w:rFonts w:ascii="Arial" w:hAnsi="Arial" w:cs="Arial"/>
          <w:sz w:val="24"/>
          <w:szCs w:val="24"/>
        </w:rPr>
        <w:t xml:space="preserve">Fifth Applicant </w:t>
      </w:r>
    </w:p>
    <w:p w14:paraId="1A2DCB45" w14:textId="64F11DCB" w:rsidR="005C1332" w:rsidRPr="00C670F6" w:rsidRDefault="005C1332" w:rsidP="00A95EFA">
      <w:pPr>
        <w:spacing w:line="360" w:lineRule="auto"/>
        <w:rPr>
          <w:rFonts w:ascii="Arial" w:hAnsi="Arial" w:cs="Arial"/>
          <w:sz w:val="24"/>
          <w:szCs w:val="24"/>
        </w:rPr>
      </w:pPr>
      <w:r w:rsidRPr="00C670F6">
        <w:rPr>
          <w:rFonts w:ascii="Arial" w:hAnsi="Arial" w:cs="Arial"/>
          <w:b/>
          <w:bCs/>
          <w:sz w:val="24"/>
          <w:szCs w:val="24"/>
        </w:rPr>
        <w:t xml:space="preserve">NIKEZIWE DORRIES NHLEKO                                           </w:t>
      </w:r>
      <w:r w:rsidR="00A95EFA" w:rsidRPr="00C670F6">
        <w:rPr>
          <w:rFonts w:ascii="Arial" w:hAnsi="Arial" w:cs="Arial"/>
          <w:b/>
          <w:bCs/>
          <w:sz w:val="24"/>
          <w:szCs w:val="24"/>
        </w:rPr>
        <w:t xml:space="preserve">                 </w:t>
      </w:r>
      <w:r w:rsidRPr="00C670F6">
        <w:rPr>
          <w:rFonts w:ascii="Arial" w:hAnsi="Arial" w:cs="Arial"/>
          <w:sz w:val="24"/>
          <w:szCs w:val="24"/>
        </w:rPr>
        <w:t xml:space="preserve">Sixth Applicant </w:t>
      </w:r>
    </w:p>
    <w:p w14:paraId="33DA7C9D" w14:textId="30680F8C" w:rsidR="005C1332" w:rsidRPr="00C670F6" w:rsidRDefault="005C1332" w:rsidP="00A95EFA">
      <w:pPr>
        <w:spacing w:line="360" w:lineRule="auto"/>
        <w:rPr>
          <w:rFonts w:ascii="Arial" w:hAnsi="Arial" w:cs="Arial"/>
          <w:sz w:val="24"/>
          <w:szCs w:val="24"/>
        </w:rPr>
      </w:pPr>
      <w:r w:rsidRPr="00C670F6">
        <w:rPr>
          <w:rFonts w:ascii="Arial" w:hAnsi="Arial" w:cs="Arial"/>
          <w:b/>
          <w:bCs/>
          <w:sz w:val="24"/>
          <w:szCs w:val="24"/>
        </w:rPr>
        <w:t>RENDANI VIRGINIA RAMUHASHI</w:t>
      </w:r>
      <w:r w:rsidRPr="00C670F6">
        <w:rPr>
          <w:rFonts w:ascii="Arial" w:hAnsi="Arial" w:cs="Arial"/>
          <w:sz w:val="24"/>
          <w:szCs w:val="24"/>
        </w:rPr>
        <w:t xml:space="preserve">                                </w:t>
      </w:r>
      <w:r w:rsidR="00A95EFA" w:rsidRPr="00C670F6">
        <w:rPr>
          <w:rFonts w:ascii="Arial" w:hAnsi="Arial" w:cs="Arial"/>
          <w:sz w:val="24"/>
          <w:szCs w:val="24"/>
        </w:rPr>
        <w:t xml:space="preserve">                </w:t>
      </w:r>
      <w:r w:rsidRPr="00C670F6">
        <w:rPr>
          <w:rFonts w:ascii="Arial" w:hAnsi="Arial" w:cs="Arial"/>
          <w:sz w:val="24"/>
          <w:szCs w:val="24"/>
        </w:rPr>
        <w:t xml:space="preserve"> Seventh Applicant </w:t>
      </w:r>
    </w:p>
    <w:p w14:paraId="61CE8C4F" w14:textId="0D98F57E" w:rsidR="005C1332" w:rsidRPr="00C670F6" w:rsidRDefault="005C1332" w:rsidP="00A95EFA">
      <w:pPr>
        <w:spacing w:line="360" w:lineRule="auto"/>
        <w:rPr>
          <w:rFonts w:ascii="Arial" w:hAnsi="Arial" w:cs="Arial"/>
          <w:sz w:val="24"/>
          <w:szCs w:val="24"/>
        </w:rPr>
      </w:pPr>
      <w:r w:rsidRPr="00C670F6">
        <w:rPr>
          <w:rFonts w:ascii="Arial" w:hAnsi="Arial" w:cs="Arial"/>
          <w:b/>
          <w:bCs/>
          <w:sz w:val="24"/>
          <w:szCs w:val="24"/>
        </w:rPr>
        <w:t>EDWARD RABAGE MOTSEOTHATA</w:t>
      </w:r>
      <w:r w:rsidRPr="00C670F6">
        <w:rPr>
          <w:rFonts w:ascii="Arial" w:hAnsi="Arial" w:cs="Arial"/>
          <w:sz w:val="24"/>
          <w:szCs w:val="24"/>
        </w:rPr>
        <w:t xml:space="preserve">        </w:t>
      </w:r>
      <w:r w:rsidR="00C670F6">
        <w:rPr>
          <w:rFonts w:ascii="Arial" w:hAnsi="Arial" w:cs="Arial"/>
          <w:sz w:val="24"/>
          <w:szCs w:val="24"/>
        </w:rPr>
        <w:t xml:space="preserve"> </w:t>
      </w:r>
      <w:r w:rsidRPr="00C670F6">
        <w:rPr>
          <w:rFonts w:ascii="Arial" w:hAnsi="Arial" w:cs="Arial"/>
          <w:sz w:val="24"/>
          <w:szCs w:val="24"/>
        </w:rPr>
        <w:t xml:space="preserve">                        </w:t>
      </w:r>
      <w:r w:rsidR="00A95EFA" w:rsidRPr="00C670F6">
        <w:rPr>
          <w:rFonts w:ascii="Arial" w:hAnsi="Arial" w:cs="Arial"/>
          <w:sz w:val="24"/>
          <w:szCs w:val="24"/>
        </w:rPr>
        <w:t xml:space="preserve">              </w:t>
      </w:r>
      <w:r w:rsidRPr="00C670F6">
        <w:rPr>
          <w:rFonts w:ascii="Arial" w:hAnsi="Arial" w:cs="Arial"/>
          <w:sz w:val="24"/>
          <w:szCs w:val="24"/>
        </w:rPr>
        <w:t xml:space="preserve">Eighth Applicant </w:t>
      </w:r>
    </w:p>
    <w:p w14:paraId="36E8018E" w14:textId="410184D4" w:rsidR="005C1332" w:rsidRPr="00C670F6" w:rsidRDefault="005C1332" w:rsidP="00A95EFA">
      <w:pPr>
        <w:spacing w:line="360" w:lineRule="auto"/>
        <w:rPr>
          <w:rFonts w:ascii="Arial" w:hAnsi="Arial" w:cs="Arial"/>
          <w:sz w:val="24"/>
          <w:szCs w:val="24"/>
        </w:rPr>
      </w:pPr>
      <w:r w:rsidRPr="00C670F6">
        <w:rPr>
          <w:rFonts w:ascii="Arial" w:hAnsi="Arial" w:cs="Arial"/>
          <w:b/>
          <w:bCs/>
          <w:sz w:val="24"/>
          <w:szCs w:val="24"/>
        </w:rPr>
        <w:t xml:space="preserve">ZWELAKHE MANANA                                                         </w:t>
      </w:r>
      <w:r w:rsidR="00A95EFA" w:rsidRPr="00C670F6">
        <w:rPr>
          <w:rFonts w:ascii="Arial" w:hAnsi="Arial" w:cs="Arial"/>
          <w:b/>
          <w:bCs/>
          <w:sz w:val="24"/>
          <w:szCs w:val="24"/>
        </w:rPr>
        <w:t xml:space="preserve">                </w:t>
      </w:r>
      <w:r w:rsidRPr="00C670F6">
        <w:rPr>
          <w:rFonts w:ascii="Arial" w:hAnsi="Arial" w:cs="Arial"/>
          <w:sz w:val="24"/>
          <w:szCs w:val="24"/>
        </w:rPr>
        <w:t xml:space="preserve">Ninth Applicant </w:t>
      </w:r>
      <w:r w:rsidRPr="00C670F6">
        <w:rPr>
          <w:rFonts w:ascii="Arial" w:hAnsi="Arial" w:cs="Arial"/>
          <w:b/>
          <w:bCs/>
          <w:sz w:val="24"/>
          <w:szCs w:val="24"/>
        </w:rPr>
        <w:t xml:space="preserve">                                                                       </w:t>
      </w:r>
    </w:p>
    <w:p w14:paraId="7D9062C6" w14:textId="77777777" w:rsidR="005C1332" w:rsidRPr="00C670F6" w:rsidRDefault="005C1332" w:rsidP="00A95EFA">
      <w:pPr>
        <w:spacing w:line="360" w:lineRule="auto"/>
        <w:rPr>
          <w:rFonts w:ascii="Arial" w:hAnsi="Arial" w:cs="Arial"/>
          <w:sz w:val="24"/>
          <w:szCs w:val="24"/>
        </w:rPr>
      </w:pPr>
    </w:p>
    <w:p w14:paraId="272A3CFE" w14:textId="77777777" w:rsidR="005C1332" w:rsidRPr="00C670F6" w:rsidRDefault="005C1332" w:rsidP="00A95EFA">
      <w:pPr>
        <w:spacing w:line="360" w:lineRule="auto"/>
        <w:rPr>
          <w:rFonts w:ascii="Arial" w:hAnsi="Arial" w:cs="Arial"/>
          <w:sz w:val="24"/>
          <w:szCs w:val="24"/>
        </w:rPr>
      </w:pPr>
      <w:r w:rsidRPr="00C670F6">
        <w:rPr>
          <w:rFonts w:ascii="Arial" w:hAnsi="Arial" w:cs="Arial"/>
          <w:sz w:val="24"/>
          <w:szCs w:val="24"/>
        </w:rPr>
        <w:t>and</w:t>
      </w:r>
    </w:p>
    <w:p w14:paraId="1A72A7E1" w14:textId="77777777" w:rsidR="005C1332" w:rsidRPr="00C670F6" w:rsidRDefault="005C1332" w:rsidP="00A95EFA">
      <w:pPr>
        <w:spacing w:line="360" w:lineRule="auto"/>
        <w:rPr>
          <w:rFonts w:ascii="Arial" w:hAnsi="Arial" w:cs="Arial"/>
          <w:sz w:val="24"/>
          <w:szCs w:val="24"/>
        </w:rPr>
      </w:pPr>
    </w:p>
    <w:p w14:paraId="2D69ACF0" w14:textId="186761DA" w:rsidR="005C1332" w:rsidRPr="00C670F6" w:rsidRDefault="005C1332" w:rsidP="00A95EFA">
      <w:pPr>
        <w:spacing w:line="360" w:lineRule="auto"/>
        <w:rPr>
          <w:rFonts w:ascii="Arial" w:hAnsi="Arial" w:cs="Arial"/>
          <w:sz w:val="24"/>
          <w:szCs w:val="24"/>
        </w:rPr>
      </w:pPr>
      <w:r w:rsidRPr="00C670F6">
        <w:rPr>
          <w:rFonts w:ascii="Arial" w:hAnsi="Arial" w:cs="Arial"/>
          <w:b/>
          <w:bCs/>
          <w:sz w:val="24"/>
          <w:szCs w:val="24"/>
        </w:rPr>
        <w:t>THE CITY OF JOHANNESBURG</w:t>
      </w:r>
      <w:r w:rsidRPr="00C670F6">
        <w:rPr>
          <w:rFonts w:ascii="Arial" w:hAnsi="Arial" w:cs="Arial"/>
          <w:sz w:val="24"/>
          <w:szCs w:val="24"/>
        </w:rPr>
        <w:t xml:space="preserve">                                       </w:t>
      </w:r>
      <w:r w:rsidR="00A95EFA" w:rsidRPr="00C670F6">
        <w:rPr>
          <w:rFonts w:ascii="Arial" w:hAnsi="Arial" w:cs="Arial"/>
          <w:sz w:val="24"/>
          <w:szCs w:val="24"/>
        </w:rPr>
        <w:t xml:space="preserve">             </w:t>
      </w:r>
      <w:r w:rsidR="00C670F6">
        <w:rPr>
          <w:rFonts w:ascii="Arial" w:hAnsi="Arial" w:cs="Arial"/>
          <w:sz w:val="24"/>
          <w:szCs w:val="24"/>
        </w:rPr>
        <w:t xml:space="preserve"> </w:t>
      </w:r>
      <w:r w:rsidRPr="00C670F6">
        <w:rPr>
          <w:rFonts w:ascii="Arial" w:hAnsi="Arial" w:cs="Arial"/>
          <w:sz w:val="24"/>
          <w:szCs w:val="24"/>
        </w:rPr>
        <w:t xml:space="preserve">First Respondent </w:t>
      </w:r>
    </w:p>
    <w:p w14:paraId="4092D7F2" w14:textId="77777777" w:rsidR="005C1332" w:rsidRPr="00C670F6" w:rsidRDefault="005C1332" w:rsidP="00A95EFA">
      <w:pPr>
        <w:spacing w:line="360" w:lineRule="auto"/>
        <w:rPr>
          <w:rFonts w:ascii="Arial" w:hAnsi="Arial" w:cs="Arial"/>
          <w:b/>
          <w:bCs/>
          <w:sz w:val="24"/>
          <w:szCs w:val="24"/>
        </w:rPr>
      </w:pPr>
      <w:r w:rsidRPr="00C670F6">
        <w:rPr>
          <w:rFonts w:ascii="Arial" w:hAnsi="Arial" w:cs="Arial"/>
          <w:b/>
          <w:bCs/>
          <w:sz w:val="24"/>
          <w:szCs w:val="24"/>
        </w:rPr>
        <w:t xml:space="preserve">METROPOLITAN MUNICIPALITY </w:t>
      </w:r>
    </w:p>
    <w:p w14:paraId="37515EEB" w14:textId="6A05E33D" w:rsidR="005C1332" w:rsidRPr="00C670F6" w:rsidRDefault="005C1332" w:rsidP="00A95EFA">
      <w:pPr>
        <w:spacing w:line="360" w:lineRule="auto"/>
        <w:rPr>
          <w:rFonts w:ascii="Arial" w:hAnsi="Arial" w:cs="Arial"/>
          <w:sz w:val="24"/>
          <w:szCs w:val="24"/>
        </w:rPr>
      </w:pPr>
      <w:r w:rsidRPr="00C670F6">
        <w:rPr>
          <w:rFonts w:ascii="Arial" w:hAnsi="Arial" w:cs="Arial"/>
          <w:b/>
          <w:bCs/>
          <w:sz w:val="24"/>
          <w:szCs w:val="24"/>
        </w:rPr>
        <w:t>JOHANNESBURG PROPERTY COMPANY</w:t>
      </w:r>
      <w:r w:rsidRPr="00C670F6">
        <w:rPr>
          <w:rFonts w:ascii="Arial" w:hAnsi="Arial" w:cs="Arial"/>
          <w:sz w:val="24"/>
          <w:szCs w:val="24"/>
        </w:rPr>
        <w:t xml:space="preserve">                            </w:t>
      </w:r>
      <w:r w:rsidR="00A95EFA" w:rsidRPr="00C670F6">
        <w:rPr>
          <w:rFonts w:ascii="Arial" w:hAnsi="Arial" w:cs="Arial"/>
          <w:sz w:val="24"/>
          <w:szCs w:val="24"/>
        </w:rPr>
        <w:t xml:space="preserve">  </w:t>
      </w:r>
      <w:r w:rsidRPr="00C670F6">
        <w:rPr>
          <w:rFonts w:ascii="Arial" w:hAnsi="Arial" w:cs="Arial"/>
          <w:sz w:val="24"/>
          <w:szCs w:val="24"/>
        </w:rPr>
        <w:t xml:space="preserve">Second Respondent </w:t>
      </w:r>
    </w:p>
    <w:p w14:paraId="4129067D" w14:textId="10CBBE65" w:rsidR="005C1332" w:rsidRPr="00C670F6" w:rsidRDefault="005C1332" w:rsidP="00A95EFA">
      <w:pPr>
        <w:spacing w:line="360" w:lineRule="auto"/>
        <w:rPr>
          <w:rFonts w:ascii="Arial" w:hAnsi="Arial" w:cs="Arial"/>
          <w:sz w:val="24"/>
          <w:szCs w:val="24"/>
        </w:rPr>
      </w:pPr>
      <w:r w:rsidRPr="00C670F6">
        <w:rPr>
          <w:rFonts w:ascii="Arial" w:hAnsi="Arial" w:cs="Arial"/>
          <w:b/>
          <w:bCs/>
          <w:sz w:val="24"/>
          <w:szCs w:val="24"/>
        </w:rPr>
        <w:t>DEPARTMENT OF HUMAN SETTLEMENTS</w:t>
      </w:r>
      <w:r w:rsidRPr="00C670F6">
        <w:rPr>
          <w:rFonts w:ascii="Arial" w:hAnsi="Arial" w:cs="Arial"/>
          <w:sz w:val="24"/>
          <w:szCs w:val="24"/>
        </w:rPr>
        <w:t xml:space="preserve">                   </w:t>
      </w:r>
      <w:r w:rsidR="00A95EFA" w:rsidRPr="00C670F6">
        <w:rPr>
          <w:rFonts w:ascii="Arial" w:hAnsi="Arial" w:cs="Arial"/>
          <w:sz w:val="24"/>
          <w:szCs w:val="24"/>
        </w:rPr>
        <w:t xml:space="preserve">              </w:t>
      </w:r>
      <w:r w:rsidRPr="00C670F6">
        <w:rPr>
          <w:rFonts w:ascii="Arial" w:hAnsi="Arial" w:cs="Arial"/>
          <w:sz w:val="24"/>
          <w:szCs w:val="24"/>
        </w:rPr>
        <w:t xml:space="preserve">Third Respondent </w:t>
      </w:r>
    </w:p>
    <w:p w14:paraId="11402C36" w14:textId="5A8653A4" w:rsidR="005C1332" w:rsidRPr="00C670F6" w:rsidRDefault="005C1332" w:rsidP="00A95EFA">
      <w:pPr>
        <w:spacing w:line="360" w:lineRule="auto"/>
        <w:rPr>
          <w:rFonts w:ascii="Arial" w:hAnsi="Arial" w:cs="Arial"/>
          <w:sz w:val="24"/>
          <w:szCs w:val="24"/>
        </w:rPr>
      </w:pPr>
      <w:r w:rsidRPr="00C670F6">
        <w:rPr>
          <w:rFonts w:ascii="Arial" w:hAnsi="Arial" w:cs="Arial"/>
          <w:b/>
          <w:bCs/>
          <w:sz w:val="24"/>
          <w:szCs w:val="24"/>
        </w:rPr>
        <w:lastRenderedPageBreak/>
        <w:t xml:space="preserve">TSHEPO FREDDY MOKATAKA </w:t>
      </w:r>
      <w:r w:rsidRPr="00C670F6">
        <w:rPr>
          <w:rFonts w:ascii="Arial" w:hAnsi="Arial" w:cs="Arial"/>
          <w:sz w:val="24"/>
          <w:szCs w:val="24"/>
        </w:rPr>
        <w:t xml:space="preserve">           </w:t>
      </w:r>
      <w:r w:rsidR="00C670F6">
        <w:rPr>
          <w:rFonts w:ascii="Arial" w:hAnsi="Arial" w:cs="Arial"/>
          <w:sz w:val="24"/>
          <w:szCs w:val="24"/>
        </w:rPr>
        <w:t xml:space="preserve"> </w:t>
      </w:r>
      <w:r w:rsidRPr="00C670F6">
        <w:rPr>
          <w:rFonts w:ascii="Arial" w:hAnsi="Arial" w:cs="Arial"/>
          <w:sz w:val="24"/>
          <w:szCs w:val="24"/>
        </w:rPr>
        <w:t xml:space="preserve">                          </w:t>
      </w:r>
      <w:r w:rsidR="00A95EFA" w:rsidRPr="00C670F6">
        <w:rPr>
          <w:rFonts w:ascii="Arial" w:hAnsi="Arial" w:cs="Arial"/>
          <w:sz w:val="24"/>
          <w:szCs w:val="24"/>
        </w:rPr>
        <w:t xml:space="preserve">            </w:t>
      </w:r>
      <w:r w:rsidRPr="00C670F6">
        <w:rPr>
          <w:rFonts w:ascii="Arial" w:hAnsi="Arial" w:cs="Arial"/>
          <w:sz w:val="24"/>
          <w:szCs w:val="24"/>
        </w:rPr>
        <w:t xml:space="preserve">Fourth Respondent </w:t>
      </w:r>
    </w:p>
    <w:p w14:paraId="48BB4896" w14:textId="495BC41E" w:rsidR="005C1332" w:rsidRPr="00C670F6" w:rsidRDefault="005C1332" w:rsidP="00A95EFA">
      <w:pPr>
        <w:spacing w:line="360" w:lineRule="auto"/>
        <w:rPr>
          <w:rFonts w:ascii="Arial" w:hAnsi="Arial" w:cs="Arial"/>
          <w:sz w:val="24"/>
          <w:szCs w:val="24"/>
        </w:rPr>
      </w:pPr>
      <w:r w:rsidRPr="00C670F6">
        <w:rPr>
          <w:rFonts w:ascii="Arial" w:hAnsi="Arial" w:cs="Arial"/>
          <w:b/>
          <w:bCs/>
          <w:sz w:val="24"/>
          <w:szCs w:val="24"/>
        </w:rPr>
        <w:t xml:space="preserve">THE MUNICIPAL MANAGER                                                 </w:t>
      </w:r>
      <w:r w:rsidR="00A95EFA" w:rsidRPr="00C670F6">
        <w:rPr>
          <w:rFonts w:ascii="Arial" w:hAnsi="Arial" w:cs="Arial"/>
          <w:b/>
          <w:bCs/>
          <w:sz w:val="24"/>
          <w:szCs w:val="24"/>
        </w:rPr>
        <w:t xml:space="preserve">            </w:t>
      </w:r>
      <w:r w:rsidRPr="00C670F6">
        <w:rPr>
          <w:rFonts w:ascii="Arial" w:hAnsi="Arial" w:cs="Arial"/>
          <w:sz w:val="24"/>
          <w:szCs w:val="24"/>
        </w:rPr>
        <w:t xml:space="preserve">Fifth respondent </w:t>
      </w:r>
    </w:p>
    <w:p w14:paraId="3BC8B76D" w14:textId="0160EB31" w:rsidR="005C1332" w:rsidRPr="00C670F6" w:rsidRDefault="005C1332" w:rsidP="00A95EFA">
      <w:pPr>
        <w:spacing w:line="360" w:lineRule="auto"/>
        <w:rPr>
          <w:rFonts w:ascii="Arial" w:hAnsi="Arial" w:cs="Arial"/>
          <w:sz w:val="24"/>
          <w:szCs w:val="24"/>
        </w:rPr>
      </w:pPr>
      <w:r w:rsidRPr="00C670F6">
        <w:rPr>
          <w:rFonts w:ascii="Arial" w:hAnsi="Arial" w:cs="Arial"/>
          <w:b/>
          <w:bCs/>
          <w:sz w:val="24"/>
          <w:szCs w:val="24"/>
        </w:rPr>
        <w:t xml:space="preserve">THE MAYOR OF THE CITY OF JOHANNESBURG     </w:t>
      </w:r>
      <w:r w:rsidRPr="00C670F6">
        <w:rPr>
          <w:rFonts w:ascii="Arial" w:hAnsi="Arial" w:cs="Arial"/>
          <w:sz w:val="24"/>
          <w:szCs w:val="24"/>
        </w:rPr>
        <w:t xml:space="preserve">              </w:t>
      </w:r>
      <w:r w:rsidR="00C670F6">
        <w:rPr>
          <w:rFonts w:ascii="Arial" w:hAnsi="Arial" w:cs="Arial"/>
          <w:sz w:val="24"/>
          <w:szCs w:val="24"/>
        </w:rPr>
        <w:t xml:space="preserve"> </w:t>
      </w:r>
      <w:r w:rsidR="00A95EFA" w:rsidRPr="00C670F6">
        <w:rPr>
          <w:rFonts w:ascii="Arial" w:hAnsi="Arial" w:cs="Arial"/>
          <w:sz w:val="24"/>
          <w:szCs w:val="24"/>
        </w:rPr>
        <w:t xml:space="preserve">    </w:t>
      </w:r>
      <w:r w:rsidRPr="00C670F6">
        <w:rPr>
          <w:rFonts w:ascii="Arial" w:hAnsi="Arial" w:cs="Arial"/>
          <w:sz w:val="24"/>
          <w:szCs w:val="24"/>
        </w:rPr>
        <w:t>Sixth Respondent</w:t>
      </w:r>
    </w:p>
    <w:p w14:paraId="4EA2E324" w14:textId="77777777" w:rsidR="005C1332" w:rsidRPr="00C670F6" w:rsidRDefault="005C1332" w:rsidP="00A95EFA">
      <w:pPr>
        <w:spacing w:line="360" w:lineRule="auto"/>
        <w:rPr>
          <w:rFonts w:ascii="Arial" w:eastAsia="Times New Roman" w:hAnsi="Arial" w:cs="Arial"/>
          <w:b/>
          <w:bCs/>
          <w:color w:val="000000"/>
          <w:sz w:val="24"/>
          <w:szCs w:val="24"/>
          <w:lang w:eastAsia="en-ZA"/>
        </w:rPr>
      </w:pPr>
    </w:p>
    <w:p w14:paraId="1E3193F6" w14:textId="4379FDAB" w:rsidR="005C1332" w:rsidRPr="00C670F6" w:rsidRDefault="005C1332" w:rsidP="00C670F6">
      <w:pPr>
        <w:rPr>
          <w:rFonts w:ascii="Arial" w:eastAsia="Times New Roman" w:hAnsi="Arial" w:cs="Arial"/>
          <w:b/>
          <w:bCs/>
          <w:color w:val="000000"/>
          <w:sz w:val="24"/>
          <w:szCs w:val="24"/>
          <w:lang w:eastAsia="en-ZA"/>
        </w:rPr>
      </w:pPr>
      <w:r w:rsidRPr="00C670F6">
        <w:rPr>
          <w:rFonts w:ascii="Arial" w:eastAsia="Times New Roman" w:hAnsi="Arial" w:cs="Arial"/>
          <w:b/>
          <w:bCs/>
          <w:color w:val="000000"/>
          <w:sz w:val="24"/>
          <w:szCs w:val="24"/>
          <w:lang w:eastAsia="en-ZA"/>
        </w:rPr>
        <w:t xml:space="preserve">Delivered: </w:t>
      </w:r>
      <w:r w:rsidR="00422AA0" w:rsidRPr="00C670F6">
        <w:rPr>
          <w:rFonts w:ascii="Arial" w:eastAsia="Times New Roman" w:hAnsi="Arial" w:cs="Arial"/>
          <w:b/>
          <w:bCs/>
          <w:color w:val="000000"/>
          <w:sz w:val="24"/>
          <w:szCs w:val="24"/>
          <w:lang w:eastAsia="en-ZA"/>
        </w:rPr>
        <w:t>10</w:t>
      </w:r>
      <w:r w:rsidRPr="00C670F6">
        <w:rPr>
          <w:rFonts w:ascii="Arial" w:eastAsia="Times New Roman" w:hAnsi="Arial" w:cs="Arial"/>
          <w:b/>
          <w:bCs/>
          <w:color w:val="000000"/>
          <w:sz w:val="24"/>
          <w:szCs w:val="24"/>
          <w:lang w:eastAsia="en-ZA"/>
        </w:rPr>
        <w:t xml:space="preserve"> December 2021 - This judgment was handed down electronically. </w:t>
      </w:r>
    </w:p>
    <w:p w14:paraId="172F1309" w14:textId="77777777" w:rsidR="005C1332" w:rsidRPr="00C670F6" w:rsidRDefault="005C1332" w:rsidP="00C670F6">
      <w:pPr>
        <w:contextualSpacing/>
        <w:rPr>
          <w:rFonts w:ascii="Arial" w:hAnsi="Arial" w:cs="Arial"/>
          <w:b/>
          <w:bCs/>
          <w:sz w:val="24"/>
          <w:szCs w:val="24"/>
        </w:rPr>
      </w:pPr>
    </w:p>
    <w:p w14:paraId="03FA0150" w14:textId="77777777" w:rsidR="005C1332" w:rsidRPr="00C670F6" w:rsidRDefault="005C1332" w:rsidP="00C670F6">
      <w:pPr>
        <w:contextualSpacing/>
        <w:rPr>
          <w:rFonts w:ascii="Arial" w:hAnsi="Arial" w:cs="Arial"/>
          <w:b/>
          <w:bCs/>
          <w:sz w:val="24"/>
          <w:szCs w:val="24"/>
        </w:rPr>
      </w:pPr>
      <w:r w:rsidRPr="00C670F6">
        <w:rPr>
          <w:rFonts w:ascii="Arial" w:hAnsi="Arial" w:cs="Arial"/>
          <w:b/>
          <w:bCs/>
          <w:sz w:val="24"/>
          <w:szCs w:val="24"/>
        </w:rPr>
        <w:t>JUDGMENT</w:t>
      </w:r>
    </w:p>
    <w:p w14:paraId="291100A7" w14:textId="77777777" w:rsidR="005C1332" w:rsidRPr="00C670F6" w:rsidRDefault="005C1332" w:rsidP="00C670F6">
      <w:pPr>
        <w:contextualSpacing/>
        <w:rPr>
          <w:rFonts w:ascii="Arial" w:hAnsi="Arial" w:cs="Arial"/>
          <w:b/>
          <w:bCs/>
          <w:sz w:val="24"/>
          <w:szCs w:val="24"/>
        </w:rPr>
      </w:pPr>
      <w:r w:rsidRPr="00C670F6">
        <w:rPr>
          <w:rFonts w:ascii="Arial" w:hAnsi="Arial" w:cs="Arial"/>
          <w:b/>
          <w:bCs/>
          <w:sz w:val="24"/>
          <w:szCs w:val="24"/>
        </w:rPr>
        <w:t>Karachi AJ:</w:t>
      </w:r>
    </w:p>
    <w:p w14:paraId="0C52CF0D" w14:textId="77777777" w:rsidR="005C1332" w:rsidRPr="00C670F6" w:rsidRDefault="005C1332" w:rsidP="00C670F6">
      <w:pPr>
        <w:contextualSpacing/>
        <w:rPr>
          <w:rFonts w:ascii="Arial" w:hAnsi="Arial" w:cs="Arial"/>
          <w:sz w:val="24"/>
          <w:szCs w:val="24"/>
        </w:rPr>
      </w:pPr>
    </w:p>
    <w:p w14:paraId="36EB35A2" w14:textId="2C6B5975" w:rsidR="001B30FC" w:rsidRPr="00C670F6" w:rsidRDefault="005C1332" w:rsidP="00C670F6">
      <w:pPr>
        <w:rPr>
          <w:rFonts w:ascii="Arial" w:hAnsi="Arial" w:cs="Arial"/>
          <w:b/>
          <w:bCs/>
          <w:sz w:val="24"/>
          <w:szCs w:val="24"/>
        </w:rPr>
      </w:pPr>
      <w:r w:rsidRPr="00C670F6">
        <w:rPr>
          <w:rFonts w:ascii="Arial" w:hAnsi="Arial" w:cs="Arial"/>
          <w:b/>
          <w:bCs/>
          <w:sz w:val="24"/>
          <w:szCs w:val="24"/>
        </w:rPr>
        <w:t>Introduction</w:t>
      </w:r>
    </w:p>
    <w:p w14:paraId="4A33A389" w14:textId="77777777" w:rsidR="0061128A" w:rsidRPr="00C670F6" w:rsidRDefault="0061128A" w:rsidP="00C670F6">
      <w:pPr>
        <w:pStyle w:val="ListParagraph"/>
        <w:rPr>
          <w:rFonts w:ascii="Arial" w:hAnsi="Arial" w:cs="Arial"/>
          <w:sz w:val="24"/>
          <w:szCs w:val="24"/>
        </w:rPr>
      </w:pPr>
    </w:p>
    <w:p w14:paraId="2D539960" w14:textId="232CAC53" w:rsidR="00A95EFA" w:rsidRPr="00EE5050" w:rsidRDefault="00317724" w:rsidP="00EE5050">
      <w:pPr>
        <w:pStyle w:val="ListParagraph"/>
        <w:numPr>
          <w:ilvl w:val="0"/>
          <w:numId w:val="2"/>
        </w:numPr>
        <w:ind w:hanging="720"/>
        <w:rPr>
          <w:rFonts w:ascii="Arial" w:hAnsi="Arial" w:cs="Arial"/>
          <w:sz w:val="24"/>
          <w:szCs w:val="24"/>
        </w:rPr>
      </w:pPr>
      <w:r w:rsidRPr="00C670F6">
        <w:rPr>
          <w:rFonts w:ascii="Arial" w:hAnsi="Arial" w:cs="Arial"/>
          <w:sz w:val="24"/>
          <w:szCs w:val="24"/>
        </w:rPr>
        <w:t>On 3 October 2017, the applicants brought an application for order</w:t>
      </w:r>
      <w:r w:rsidR="00A43A92" w:rsidRPr="00C670F6">
        <w:rPr>
          <w:rFonts w:ascii="Arial" w:hAnsi="Arial" w:cs="Arial"/>
          <w:sz w:val="24"/>
          <w:szCs w:val="24"/>
        </w:rPr>
        <w:t>s, among others,</w:t>
      </w:r>
      <w:r w:rsidRPr="00C670F6">
        <w:rPr>
          <w:rFonts w:ascii="Arial" w:hAnsi="Arial" w:cs="Arial"/>
          <w:sz w:val="24"/>
          <w:szCs w:val="24"/>
        </w:rPr>
        <w:t xml:space="preserve"> declaring the conduct of the first and second respondent</w:t>
      </w:r>
      <w:r w:rsidR="00965601" w:rsidRPr="00C670F6">
        <w:rPr>
          <w:rFonts w:ascii="Arial" w:hAnsi="Arial" w:cs="Arial"/>
          <w:sz w:val="24"/>
          <w:szCs w:val="24"/>
        </w:rPr>
        <w:t>s</w:t>
      </w:r>
      <w:r w:rsidRPr="00C670F6">
        <w:rPr>
          <w:rFonts w:ascii="Arial" w:hAnsi="Arial" w:cs="Arial"/>
          <w:sz w:val="24"/>
          <w:szCs w:val="24"/>
        </w:rPr>
        <w:t xml:space="preserve"> in failing to install bulk</w:t>
      </w:r>
      <w:r w:rsidR="009614B2" w:rsidRPr="00C670F6">
        <w:rPr>
          <w:rFonts w:ascii="Arial" w:hAnsi="Arial" w:cs="Arial"/>
          <w:sz w:val="24"/>
          <w:szCs w:val="24"/>
        </w:rPr>
        <w:t xml:space="preserve"> water and electrical</w:t>
      </w:r>
      <w:r w:rsidRPr="00C670F6">
        <w:rPr>
          <w:rFonts w:ascii="Arial" w:hAnsi="Arial" w:cs="Arial"/>
          <w:sz w:val="24"/>
          <w:szCs w:val="24"/>
        </w:rPr>
        <w:t xml:space="preserve"> infrastructure</w:t>
      </w:r>
      <w:r w:rsidR="00EE5050">
        <w:rPr>
          <w:rFonts w:ascii="Arial" w:hAnsi="Arial" w:cs="Arial"/>
          <w:sz w:val="24"/>
          <w:szCs w:val="24"/>
        </w:rPr>
        <w:t xml:space="preserve"> on</w:t>
      </w:r>
      <w:r w:rsidR="00EE5050" w:rsidRPr="00C670F6">
        <w:rPr>
          <w:rFonts w:ascii="Arial" w:hAnsi="Arial" w:cs="Arial"/>
          <w:sz w:val="24"/>
          <w:szCs w:val="24"/>
        </w:rPr>
        <w:t xml:space="preserve"> erven 1779, 1777, 1740, 1752, 1776, 1775, 1733 and 1769</w:t>
      </w:r>
      <w:r w:rsidRPr="00EE5050">
        <w:rPr>
          <w:rFonts w:ascii="Arial" w:hAnsi="Arial" w:cs="Arial"/>
          <w:sz w:val="24"/>
          <w:szCs w:val="24"/>
        </w:rPr>
        <w:t xml:space="preserve"> to be inconsistent and in contravention of section</w:t>
      </w:r>
      <w:r w:rsidR="0061128A" w:rsidRPr="00EE5050">
        <w:rPr>
          <w:rFonts w:ascii="Arial" w:hAnsi="Arial" w:cs="Arial"/>
          <w:sz w:val="24"/>
          <w:szCs w:val="24"/>
        </w:rPr>
        <w:t>s</w:t>
      </w:r>
      <w:r w:rsidRPr="00EE5050">
        <w:rPr>
          <w:rFonts w:ascii="Arial" w:hAnsi="Arial" w:cs="Arial"/>
          <w:sz w:val="24"/>
          <w:szCs w:val="24"/>
        </w:rPr>
        <w:t xml:space="preserve"> </w:t>
      </w:r>
      <w:r w:rsidR="0061128A" w:rsidRPr="00EE5050">
        <w:rPr>
          <w:rFonts w:ascii="Arial" w:hAnsi="Arial" w:cs="Arial"/>
          <w:sz w:val="24"/>
          <w:szCs w:val="24"/>
        </w:rPr>
        <w:t>26(1) and (2) of the Constitution of the Republic of South Africa</w:t>
      </w:r>
      <w:r w:rsidR="00A43A92" w:rsidRPr="00EE5050">
        <w:rPr>
          <w:rFonts w:ascii="Arial" w:hAnsi="Arial" w:cs="Arial"/>
          <w:sz w:val="24"/>
          <w:szCs w:val="24"/>
        </w:rPr>
        <w:t xml:space="preserve"> and </w:t>
      </w:r>
      <w:r w:rsidR="0061128A" w:rsidRPr="00EE5050">
        <w:rPr>
          <w:rFonts w:ascii="Arial" w:hAnsi="Arial" w:cs="Arial"/>
          <w:sz w:val="24"/>
          <w:szCs w:val="24"/>
        </w:rPr>
        <w:t>directing the first and second respondent</w:t>
      </w:r>
      <w:r w:rsidR="00965601" w:rsidRPr="00EE5050">
        <w:rPr>
          <w:rFonts w:ascii="Arial" w:hAnsi="Arial" w:cs="Arial"/>
          <w:sz w:val="24"/>
          <w:szCs w:val="24"/>
        </w:rPr>
        <w:t>s</w:t>
      </w:r>
      <w:r w:rsidR="0061128A" w:rsidRPr="00EE5050">
        <w:rPr>
          <w:rFonts w:ascii="Arial" w:hAnsi="Arial" w:cs="Arial"/>
          <w:sz w:val="24"/>
          <w:szCs w:val="24"/>
        </w:rPr>
        <w:t xml:space="preserve"> to install </w:t>
      </w:r>
      <w:r w:rsidR="009614B2" w:rsidRPr="00EE5050">
        <w:rPr>
          <w:rFonts w:ascii="Arial" w:hAnsi="Arial" w:cs="Arial"/>
          <w:sz w:val="24"/>
          <w:szCs w:val="24"/>
        </w:rPr>
        <w:t xml:space="preserve">the necessary </w:t>
      </w:r>
      <w:r w:rsidR="0061128A" w:rsidRPr="00EE5050">
        <w:rPr>
          <w:rFonts w:ascii="Arial" w:hAnsi="Arial" w:cs="Arial"/>
          <w:sz w:val="24"/>
          <w:szCs w:val="24"/>
        </w:rPr>
        <w:t xml:space="preserve">infrastructure </w:t>
      </w:r>
      <w:r w:rsidR="00EE5050">
        <w:rPr>
          <w:rFonts w:ascii="Arial" w:hAnsi="Arial" w:cs="Arial"/>
          <w:sz w:val="24"/>
          <w:szCs w:val="24"/>
        </w:rPr>
        <w:t>on the said</w:t>
      </w:r>
      <w:r w:rsidR="0061128A" w:rsidRPr="00EE5050">
        <w:rPr>
          <w:rFonts w:ascii="Arial" w:hAnsi="Arial" w:cs="Arial"/>
          <w:sz w:val="24"/>
          <w:szCs w:val="24"/>
        </w:rPr>
        <w:t xml:space="preserve"> erven.  </w:t>
      </w:r>
    </w:p>
    <w:p w14:paraId="2356FE50" w14:textId="77777777" w:rsidR="0061128A" w:rsidRPr="00C670F6" w:rsidRDefault="0061128A" w:rsidP="00C670F6">
      <w:pPr>
        <w:pStyle w:val="ListParagraph"/>
        <w:rPr>
          <w:rFonts w:ascii="Arial" w:hAnsi="Arial" w:cs="Arial"/>
          <w:sz w:val="24"/>
          <w:szCs w:val="24"/>
        </w:rPr>
      </w:pPr>
    </w:p>
    <w:p w14:paraId="72B805D5" w14:textId="1AD93EC8" w:rsidR="0061128A" w:rsidRPr="00C670F6" w:rsidRDefault="00A43A92" w:rsidP="00C670F6">
      <w:pPr>
        <w:pStyle w:val="ListParagraph"/>
        <w:numPr>
          <w:ilvl w:val="0"/>
          <w:numId w:val="2"/>
        </w:numPr>
        <w:ind w:hanging="720"/>
        <w:rPr>
          <w:rFonts w:ascii="Arial" w:hAnsi="Arial" w:cs="Arial"/>
          <w:sz w:val="24"/>
          <w:szCs w:val="24"/>
        </w:rPr>
      </w:pPr>
      <w:r w:rsidRPr="00C670F6">
        <w:rPr>
          <w:rFonts w:ascii="Arial" w:hAnsi="Arial" w:cs="Arial"/>
          <w:sz w:val="24"/>
          <w:szCs w:val="24"/>
        </w:rPr>
        <w:t>On 15 October 2018, by agreement between the parties, the court per Justice Mudau ordered that:</w:t>
      </w:r>
    </w:p>
    <w:p w14:paraId="0CBC22A0" w14:textId="77777777" w:rsidR="00A43A92" w:rsidRPr="00C670F6" w:rsidRDefault="00A43A92" w:rsidP="00C670F6">
      <w:pPr>
        <w:pStyle w:val="ListParagraph"/>
        <w:rPr>
          <w:rFonts w:ascii="Arial" w:hAnsi="Arial" w:cs="Arial"/>
          <w:sz w:val="24"/>
          <w:szCs w:val="24"/>
        </w:rPr>
      </w:pPr>
    </w:p>
    <w:p w14:paraId="1B4A4EC2" w14:textId="2C52C049" w:rsidR="00A43A92" w:rsidRPr="00C670F6" w:rsidRDefault="00A43A92" w:rsidP="00C670F6">
      <w:pPr>
        <w:pStyle w:val="ListParagraph"/>
        <w:ind w:left="1440" w:hanging="720"/>
        <w:rPr>
          <w:rFonts w:ascii="Arial" w:hAnsi="Arial" w:cs="Arial"/>
          <w:i/>
          <w:iCs/>
          <w:sz w:val="24"/>
          <w:szCs w:val="24"/>
        </w:rPr>
      </w:pPr>
      <w:r w:rsidRPr="00C670F6">
        <w:rPr>
          <w:rFonts w:ascii="Arial" w:hAnsi="Arial" w:cs="Arial"/>
          <w:i/>
          <w:iCs/>
          <w:sz w:val="24"/>
          <w:szCs w:val="24"/>
        </w:rPr>
        <w:t>“1.</w:t>
      </w:r>
      <w:r w:rsidRPr="00C670F6">
        <w:rPr>
          <w:rFonts w:ascii="Arial" w:hAnsi="Arial" w:cs="Arial"/>
          <w:i/>
          <w:iCs/>
          <w:sz w:val="24"/>
          <w:szCs w:val="24"/>
        </w:rPr>
        <w:tab/>
        <w:t>The first and second respondents are ordered to install the bulk water and electrical infrastructure on the first to ninth applicants</w:t>
      </w:r>
      <w:r w:rsidR="00711E94" w:rsidRPr="00C670F6">
        <w:rPr>
          <w:rFonts w:ascii="Arial" w:hAnsi="Arial" w:cs="Arial"/>
          <w:i/>
          <w:iCs/>
          <w:sz w:val="24"/>
          <w:szCs w:val="24"/>
        </w:rPr>
        <w:t>’</w:t>
      </w:r>
      <w:r w:rsidRPr="00C670F6">
        <w:rPr>
          <w:rFonts w:ascii="Arial" w:hAnsi="Arial" w:cs="Arial"/>
          <w:i/>
          <w:iCs/>
          <w:sz w:val="24"/>
          <w:szCs w:val="24"/>
        </w:rPr>
        <w:t xml:space="preserve"> stands</w:t>
      </w:r>
      <w:r w:rsidR="00711E94" w:rsidRPr="00C670F6">
        <w:rPr>
          <w:rFonts w:ascii="Arial" w:hAnsi="Arial" w:cs="Arial"/>
          <w:i/>
          <w:iCs/>
          <w:sz w:val="24"/>
          <w:szCs w:val="24"/>
        </w:rPr>
        <w:t xml:space="preserve">, namely erf 1779, 1777, 1740, 1770, 1752, 1776, 1775, 1733 and 1769. </w:t>
      </w:r>
    </w:p>
    <w:p w14:paraId="7DA76DA8" w14:textId="360D3A6A" w:rsidR="00DE25BA" w:rsidRPr="00C670F6" w:rsidRDefault="00DE25BA" w:rsidP="00C670F6">
      <w:pPr>
        <w:pStyle w:val="ListParagraph"/>
        <w:ind w:left="1440" w:hanging="720"/>
        <w:rPr>
          <w:rFonts w:ascii="Arial" w:hAnsi="Arial" w:cs="Arial"/>
          <w:i/>
          <w:iCs/>
          <w:sz w:val="24"/>
          <w:szCs w:val="24"/>
        </w:rPr>
      </w:pPr>
      <w:r w:rsidRPr="00C670F6">
        <w:rPr>
          <w:rFonts w:ascii="Arial" w:hAnsi="Arial" w:cs="Arial"/>
          <w:i/>
          <w:iCs/>
          <w:sz w:val="24"/>
          <w:szCs w:val="24"/>
        </w:rPr>
        <w:lastRenderedPageBreak/>
        <w:t>2.</w:t>
      </w:r>
      <w:r w:rsidRPr="00C670F6">
        <w:rPr>
          <w:rFonts w:ascii="Arial" w:hAnsi="Arial" w:cs="Arial"/>
          <w:i/>
          <w:iCs/>
          <w:sz w:val="24"/>
          <w:szCs w:val="24"/>
        </w:rPr>
        <w:tab/>
        <w:t>The second respondent has prepared a report of the budget for the installation of bulk water and electrical infrastructure on the first to ninth applicants’ stands as described in paragraph 1 above. The report is awaiting the first respondent’s council approval.</w:t>
      </w:r>
    </w:p>
    <w:p w14:paraId="5A472A38" w14:textId="77777777" w:rsidR="00582B44" w:rsidRPr="00C670F6" w:rsidRDefault="00DE25BA" w:rsidP="00C670F6">
      <w:pPr>
        <w:pStyle w:val="ListParagraph"/>
        <w:ind w:left="1440" w:hanging="720"/>
        <w:rPr>
          <w:rFonts w:ascii="Arial" w:hAnsi="Arial" w:cs="Arial"/>
          <w:i/>
          <w:iCs/>
          <w:sz w:val="24"/>
          <w:szCs w:val="24"/>
        </w:rPr>
      </w:pPr>
      <w:r w:rsidRPr="00C670F6">
        <w:rPr>
          <w:rFonts w:ascii="Arial" w:hAnsi="Arial" w:cs="Arial"/>
          <w:i/>
          <w:iCs/>
          <w:sz w:val="24"/>
          <w:szCs w:val="24"/>
        </w:rPr>
        <w:t>3.</w:t>
      </w:r>
      <w:r w:rsidRPr="00C670F6">
        <w:rPr>
          <w:rFonts w:ascii="Arial" w:hAnsi="Arial" w:cs="Arial"/>
          <w:i/>
          <w:iCs/>
          <w:sz w:val="24"/>
          <w:szCs w:val="24"/>
        </w:rPr>
        <w:tab/>
        <w:t>The first and second respondents accept that the installation of the bulk water and electrical infrastructure on the first to ninth applicants’ stands as described in paragraph 1 above is urgent and is to be prioritised by the respondents. The first respondent shall endeavour to have a special meeting of council convened in terms of section 29(2) of the Municipal Structures Act 117 of 199</w:t>
      </w:r>
      <w:r w:rsidR="00582B44" w:rsidRPr="00C670F6">
        <w:rPr>
          <w:rFonts w:ascii="Arial" w:hAnsi="Arial" w:cs="Arial"/>
          <w:i/>
          <w:iCs/>
          <w:sz w:val="24"/>
          <w:szCs w:val="24"/>
        </w:rPr>
        <w:t xml:space="preserve">8 to approve the report mentioned in paragraph 2 above. </w:t>
      </w:r>
    </w:p>
    <w:p w14:paraId="3486C7D4" w14:textId="26E95A3A" w:rsidR="00DE25BA" w:rsidRPr="00C670F6" w:rsidRDefault="00582B44" w:rsidP="00C670F6">
      <w:pPr>
        <w:pStyle w:val="ListParagraph"/>
        <w:ind w:left="1440" w:hanging="720"/>
        <w:rPr>
          <w:rFonts w:ascii="Arial" w:hAnsi="Arial" w:cs="Arial"/>
          <w:i/>
          <w:iCs/>
          <w:sz w:val="24"/>
          <w:szCs w:val="24"/>
        </w:rPr>
      </w:pPr>
      <w:r w:rsidRPr="00C670F6">
        <w:rPr>
          <w:rFonts w:ascii="Arial" w:hAnsi="Arial" w:cs="Arial"/>
          <w:i/>
          <w:iCs/>
          <w:sz w:val="24"/>
          <w:szCs w:val="24"/>
        </w:rPr>
        <w:t>4.</w:t>
      </w:r>
      <w:r w:rsidRPr="00C670F6">
        <w:rPr>
          <w:rFonts w:ascii="Arial" w:hAnsi="Arial" w:cs="Arial"/>
          <w:i/>
          <w:iCs/>
          <w:sz w:val="24"/>
          <w:szCs w:val="24"/>
        </w:rPr>
        <w:tab/>
        <w:t xml:space="preserve">The first and second respondents shall within 60 days from the date of this order file a report, under oath, setting out the steps they have taken to install the bulk water and electrical infrastructure </w:t>
      </w:r>
      <w:r w:rsidR="00141D00" w:rsidRPr="00C670F6">
        <w:rPr>
          <w:rFonts w:ascii="Arial" w:hAnsi="Arial" w:cs="Arial"/>
          <w:i/>
          <w:iCs/>
          <w:sz w:val="24"/>
          <w:szCs w:val="24"/>
        </w:rPr>
        <w:t xml:space="preserve">on the first to the ninth applicants stands, which stands are described in paragraph 1 above. </w:t>
      </w:r>
    </w:p>
    <w:p w14:paraId="1BEB74FA" w14:textId="77777777" w:rsidR="00141D00" w:rsidRPr="00C670F6" w:rsidRDefault="00141D00" w:rsidP="00C670F6">
      <w:pPr>
        <w:pStyle w:val="ListParagraph"/>
        <w:ind w:left="1440" w:hanging="720"/>
        <w:rPr>
          <w:rFonts w:ascii="Arial" w:hAnsi="Arial" w:cs="Arial"/>
          <w:i/>
          <w:iCs/>
          <w:sz w:val="24"/>
          <w:szCs w:val="24"/>
        </w:rPr>
      </w:pPr>
      <w:r w:rsidRPr="00C670F6">
        <w:rPr>
          <w:rFonts w:ascii="Arial" w:hAnsi="Arial" w:cs="Arial"/>
          <w:i/>
          <w:iCs/>
          <w:sz w:val="24"/>
          <w:szCs w:val="24"/>
        </w:rPr>
        <w:t>5.</w:t>
      </w:r>
      <w:r w:rsidRPr="00C670F6">
        <w:rPr>
          <w:rFonts w:ascii="Arial" w:hAnsi="Arial" w:cs="Arial"/>
          <w:i/>
          <w:iCs/>
          <w:sz w:val="24"/>
          <w:szCs w:val="24"/>
        </w:rPr>
        <w:tab/>
        <w:t>The applicants may within 30 days of that report/reports, deliver commentary thereon, under oath.</w:t>
      </w:r>
    </w:p>
    <w:p w14:paraId="49E4E768" w14:textId="77777777" w:rsidR="00141D00" w:rsidRPr="00C670F6" w:rsidRDefault="00141D00" w:rsidP="00C670F6">
      <w:pPr>
        <w:pStyle w:val="ListParagraph"/>
        <w:ind w:left="1440" w:hanging="720"/>
        <w:rPr>
          <w:rFonts w:ascii="Arial" w:hAnsi="Arial" w:cs="Arial"/>
          <w:i/>
          <w:iCs/>
          <w:sz w:val="24"/>
          <w:szCs w:val="24"/>
        </w:rPr>
      </w:pPr>
      <w:r w:rsidRPr="00C670F6">
        <w:rPr>
          <w:rFonts w:ascii="Arial" w:hAnsi="Arial" w:cs="Arial"/>
          <w:i/>
          <w:iCs/>
          <w:sz w:val="24"/>
          <w:szCs w:val="24"/>
        </w:rPr>
        <w:t>6.</w:t>
      </w:r>
      <w:r w:rsidRPr="00C670F6">
        <w:rPr>
          <w:rFonts w:ascii="Arial" w:hAnsi="Arial" w:cs="Arial"/>
          <w:i/>
          <w:iCs/>
          <w:sz w:val="24"/>
          <w:szCs w:val="24"/>
        </w:rPr>
        <w:tab/>
        <w:t>The first respondent is ordered to write off the rates and taxes amounts owed by the first to ninth applicants in respect of their individual stands from the date of purchase of the stand to the date of use of the bulk water and electrical services on each stand within 30 days of this order being served on the first respondent.</w:t>
      </w:r>
    </w:p>
    <w:p w14:paraId="6CB672BA" w14:textId="77777777" w:rsidR="00965601" w:rsidRPr="00C670F6" w:rsidRDefault="00141D00" w:rsidP="00C670F6">
      <w:pPr>
        <w:pStyle w:val="ListParagraph"/>
        <w:ind w:left="1440" w:hanging="720"/>
        <w:rPr>
          <w:rFonts w:ascii="Arial" w:hAnsi="Arial" w:cs="Arial"/>
          <w:i/>
          <w:iCs/>
          <w:sz w:val="24"/>
          <w:szCs w:val="24"/>
        </w:rPr>
      </w:pPr>
      <w:r w:rsidRPr="00C670F6">
        <w:rPr>
          <w:rFonts w:ascii="Arial" w:hAnsi="Arial" w:cs="Arial"/>
          <w:i/>
          <w:iCs/>
          <w:sz w:val="24"/>
          <w:szCs w:val="24"/>
        </w:rPr>
        <w:t>7.</w:t>
      </w:r>
      <w:r w:rsidRPr="00C670F6">
        <w:rPr>
          <w:rFonts w:ascii="Arial" w:hAnsi="Arial" w:cs="Arial"/>
          <w:i/>
          <w:iCs/>
          <w:sz w:val="24"/>
          <w:szCs w:val="24"/>
        </w:rPr>
        <w:tab/>
        <w:t xml:space="preserve">The first and second respondents shall pay the costs </w:t>
      </w:r>
      <w:r w:rsidR="00965601" w:rsidRPr="00C670F6">
        <w:rPr>
          <w:rFonts w:ascii="Arial" w:hAnsi="Arial" w:cs="Arial"/>
          <w:i/>
          <w:iCs/>
          <w:sz w:val="24"/>
          <w:szCs w:val="24"/>
        </w:rPr>
        <w:t>of this application on a party and party scale, the one paying the other to be absolved.”</w:t>
      </w:r>
      <w:r w:rsidRPr="00C670F6">
        <w:rPr>
          <w:rFonts w:ascii="Arial" w:hAnsi="Arial" w:cs="Arial"/>
          <w:i/>
          <w:iCs/>
          <w:sz w:val="24"/>
          <w:szCs w:val="24"/>
        </w:rPr>
        <w:t xml:space="preserve">  </w:t>
      </w:r>
    </w:p>
    <w:p w14:paraId="06A3B8D9" w14:textId="77777777" w:rsidR="00965601" w:rsidRPr="00C670F6" w:rsidRDefault="00965601" w:rsidP="00C670F6">
      <w:pPr>
        <w:rPr>
          <w:rFonts w:ascii="Arial" w:hAnsi="Arial" w:cs="Arial"/>
          <w:sz w:val="24"/>
          <w:szCs w:val="24"/>
        </w:rPr>
      </w:pPr>
    </w:p>
    <w:p w14:paraId="1D6E55AF" w14:textId="77777777" w:rsidR="004A789A" w:rsidRPr="00C670F6" w:rsidRDefault="009614B2" w:rsidP="00C670F6">
      <w:pPr>
        <w:pStyle w:val="ListParagraph"/>
        <w:numPr>
          <w:ilvl w:val="0"/>
          <w:numId w:val="2"/>
        </w:numPr>
        <w:ind w:hanging="720"/>
        <w:rPr>
          <w:rFonts w:ascii="Arial" w:hAnsi="Arial" w:cs="Arial"/>
          <w:i/>
          <w:iCs/>
          <w:sz w:val="24"/>
          <w:szCs w:val="24"/>
        </w:rPr>
      </w:pPr>
      <w:r w:rsidRPr="00C670F6">
        <w:rPr>
          <w:rFonts w:ascii="Arial" w:hAnsi="Arial" w:cs="Arial"/>
          <w:sz w:val="24"/>
          <w:szCs w:val="24"/>
        </w:rPr>
        <w:t>The applicants allege that t</w:t>
      </w:r>
      <w:r w:rsidR="00A04D5E" w:rsidRPr="00C670F6">
        <w:rPr>
          <w:rFonts w:ascii="Arial" w:hAnsi="Arial" w:cs="Arial"/>
          <w:sz w:val="24"/>
          <w:szCs w:val="24"/>
        </w:rPr>
        <w:t xml:space="preserve">he first and second respondents </w:t>
      </w:r>
      <w:r w:rsidRPr="00C670F6">
        <w:rPr>
          <w:rFonts w:ascii="Arial" w:hAnsi="Arial" w:cs="Arial"/>
          <w:sz w:val="24"/>
          <w:szCs w:val="24"/>
        </w:rPr>
        <w:t xml:space="preserve">have </w:t>
      </w:r>
      <w:r w:rsidR="00A04D5E" w:rsidRPr="00C670F6">
        <w:rPr>
          <w:rFonts w:ascii="Arial" w:hAnsi="Arial" w:cs="Arial"/>
          <w:sz w:val="24"/>
          <w:szCs w:val="24"/>
        </w:rPr>
        <w:t xml:space="preserve">failed to comply with the above order. </w:t>
      </w:r>
    </w:p>
    <w:p w14:paraId="3EBF0C7C" w14:textId="77777777" w:rsidR="004A789A" w:rsidRPr="00C670F6" w:rsidRDefault="004A789A" w:rsidP="00C670F6">
      <w:pPr>
        <w:pStyle w:val="ListParagraph"/>
        <w:rPr>
          <w:rFonts w:ascii="Arial" w:hAnsi="Arial" w:cs="Arial"/>
          <w:i/>
          <w:iCs/>
          <w:sz w:val="24"/>
          <w:szCs w:val="24"/>
        </w:rPr>
      </w:pPr>
    </w:p>
    <w:p w14:paraId="42B61BF1" w14:textId="2CD9E8A7" w:rsidR="000E3911" w:rsidRPr="00C670F6" w:rsidRDefault="009614B2" w:rsidP="00C670F6">
      <w:pPr>
        <w:pStyle w:val="ListParagraph"/>
        <w:numPr>
          <w:ilvl w:val="0"/>
          <w:numId w:val="2"/>
        </w:numPr>
        <w:ind w:hanging="720"/>
        <w:rPr>
          <w:rFonts w:ascii="Arial" w:hAnsi="Arial" w:cs="Arial"/>
          <w:i/>
          <w:iCs/>
          <w:sz w:val="24"/>
          <w:szCs w:val="24"/>
        </w:rPr>
      </w:pPr>
      <w:r w:rsidRPr="00C670F6">
        <w:rPr>
          <w:rFonts w:ascii="Arial" w:hAnsi="Arial" w:cs="Arial"/>
          <w:sz w:val="24"/>
          <w:szCs w:val="24"/>
        </w:rPr>
        <w:t>Accordingly, o</w:t>
      </w:r>
      <w:r w:rsidR="00965601" w:rsidRPr="00C670F6">
        <w:rPr>
          <w:rFonts w:ascii="Arial" w:hAnsi="Arial" w:cs="Arial"/>
          <w:sz w:val="24"/>
          <w:szCs w:val="24"/>
        </w:rPr>
        <w:t xml:space="preserve">n 4 October 2019, the applicants filed an application for contempt of court. </w:t>
      </w:r>
      <w:r w:rsidR="000E3911" w:rsidRPr="00C670F6">
        <w:rPr>
          <w:rFonts w:ascii="Arial" w:hAnsi="Arial" w:cs="Arial"/>
          <w:sz w:val="24"/>
          <w:szCs w:val="24"/>
        </w:rPr>
        <w:t>In terms of the notice of motion, the applicants seek order</w:t>
      </w:r>
      <w:r w:rsidRPr="00C670F6">
        <w:rPr>
          <w:rFonts w:ascii="Arial" w:hAnsi="Arial" w:cs="Arial"/>
          <w:sz w:val="24"/>
          <w:szCs w:val="24"/>
        </w:rPr>
        <w:t>s</w:t>
      </w:r>
      <w:r w:rsidR="000E3911" w:rsidRPr="00C670F6">
        <w:rPr>
          <w:rFonts w:ascii="Arial" w:hAnsi="Arial" w:cs="Arial"/>
          <w:sz w:val="24"/>
          <w:szCs w:val="24"/>
        </w:rPr>
        <w:t>:</w:t>
      </w:r>
    </w:p>
    <w:p w14:paraId="3782871F" w14:textId="77777777" w:rsidR="000E3911" w:rsidRPr="00C670F6" w:rsidRDefault="000E3911" w:rsidP="00C670F6">
      <w:pPr>
        <w:pStyle w:val="ListParagraph"/>
        <w:rPr>
          <w:rFonts w:ascii="Arial" w:hAnsi="Arial" w:cs="Arial"/>
          <w:sz w:val="24"/>
          <w:szCs w:val="24"/>
        </w:rPr>
      </w:pPr>
    </w:p>
    <w:p w14:paraId="68923A62" w14:textId="3B364313" w:rsidR="000E3911" w:rsidRPr="00C670F6" w:rsidRDefault="000E3911" w:rsidP="00C670F6">
      <w:pPr>
        <w:pStyle w:val="ListParagraph"/>
        <w:numPr>
          <w:ilvl w:val="1"/>
          <w:numId w:val="2"/>
        </w:numPr>
        <w:rPr>
          <w:rFonts w:ascii="Arial" w:hAnsi="Arial" w:cs="Arial"/>
          <w:i/>
          <w:iCs/>
          <w:sz w:val="24"/>
          <w:szCs w:val="24"/>
        </w:rPr>
      </w:pPr>
      <w:r w:rsidRPr="00C670F6">
        <w:rPr>
          <w:rFonts w:ascii="Arial" w:hAnsi="Arial" w:cs="Arial"/>
          <w:sz w:val="24"/>
          <w:szCs w:val="24"/>
        </w:rPr>
        <w:t>Joining the fourth, fifth and sixth respondents to the proceedings;</w:t>
      </w:r>
    </w:p>
    <w:p w14:paraId="7EAAD5F2" w14:textId="77777777" w:rsidR="00616F52" w:rsidRPr="00C670F6" w:rsidRDefault="00616F52" w:rsidP="00C670F6">
      <w:pPr>
        <w:pStyle w:val="ListParagraph"/>
        <w:ind w:left="1440"/>
        <w:rPr>
          <w:rFonts w:ascii="Arial" w:hAnsi="Arial" w:cs="Arial"/>
          <w:i/>
          <w:iCs/>
          <w:sz w:val="24"/>
          <w:szCs w:val="24"/>
        </w:rPr>
      </w:pPr>
    </w:p>
    <w:p w14:paraId="55C6B101" w14:textId="31CF743B" w:rsidR="00A9595C" w:rsidRPr="00C670F6" w:rsidRDefault="00A9595C" w:rsidP="00C670F6">
      <w:pPr>
        <w:pStyle w:val="ListParagraph"/>
        <w:numPr>
          <w:ilvl w:val="1"/>
          <w:numId w:val="2"/>
        </w:numPr>
        <w:rPr>
          <w:rFonts w:ascii="Arial" w:hAnsi="Arial" w:cs="Arial"/>
          <w:i/>
          <w:iCs/>
          <w:sz w:val="24"/>
          <w:szCs w:val="24"/>
        </w:rPr>
      </w:pPr>
      <w:r w:rsidRPr="00C670F6">
        <w:rPr>
          <w:rFonts w:ascii="Arial" w:hAnsi="Arial" w:cs="Arial"/>
          <w:sz w:val="24"/>
          <w:szCs w:val="24"/>
        </w:rPr>
        <w:t>Declaring that the first and second respondents be held in contempt of the court order of Justice Mudau on 15 October 2018;</w:t>
      </w:r>
    </w:p>
    <w:p w14:paraId="471E67ED" w14:textId="77777777" w:rsidR="00616F52" w:rsidRPr="00C670F6" w:rsidRDefault="00616F52" w:rsidP="00C670F6">
      <w:pPr>
        <w:pStyle w:val="ListParagraph"/>
        <w:ind w:left="1440"/>
        <w:rPr>
          <w:rFonts w:ascii="Arial" w:hAnsi="Arial" w:cs="Arial"/>
          <w:i/>
          <w:iCs/>
          <w:sz w:val="24"/>
          <w:szCs w:val="24"/>
        </w:rPr>
      </w:pPr>
    </w:p>
    <w:p w14:paraId="62AA4AF6" w14:textId="7ADE8EEF" w:rsidR="00A9595C" w:rsidRPr="00C670F6" w:rsidRDefault="00A9595C" w:rsidP="00C670F6">
      <w:pPr>
        <w:pStyle w:val="ListParagraph"/>
        <w:numPr>
          <w:ilvl w:val="1"/>
          <w:numId w:val="2"/>
        </w:numPr>
        <w:rPr>
          <w:rFonts w:ascii="Arial" w:hAnsi="Arial" w:cs="Arial"/>
          <w:i/>
          <w:iCs/>
          <w:sz w:val="24"/>
          <w:szCs w:val="24"/>
        </w:rPr>
      </w:pPr>
      <w:r w:rsidRPr="00C670F6">
        <w:rPr>
          <w:rFonts w:ascii="Arial" w:hAnsi="Arial" w:cs="Arial"/>
          <w:sz w:val="24"/>
          <w:szCs w:val="24"/>
        </w:rPr>
        <w:t>The first, second, fourth and fifth respondents within 30 days of the granting of the order comply with paragraphs 4 and 6 of the order of Justice Mudau on 15 October 2018;</w:t>
      </w:r>
    </w:p>
    <w:p w14:paraId="4B4C72EE" w14:textId="77777777" w:rsidR="00616F52" w:rsidRPr="00C670F6" w:rsidRDefault="00616F52" w:rsidP="00C670F6">
      <w:pPr>
        <w:pStyle w:val="ListParagraph"/>
        <w:ind w:left="1440"/>
        <w:rPr>
          <w:rFonts w:ascii="Arial" w:hAnsi="Arial" w:cs="Arial"/>
          <w:i/>
          <w:iCs/>
          <w:sz w:val="24"/>
          <w:szCs w:val="24"/>
        </w:rPr>
      </w:pPr>
    </w:p>
    <w:p w14:paraId="09ADBCAC" w14:textId="7485C7BC" w:rsidR="00A9595C" w:rsidRPr="00C670F6" w:rsidRDefault="00A9595C" w:rsidP="00C670F6">
      <w:pPr>
        <w:pStyle w:val="ListParagraph"/>
        <w:numPr>
          <w:ilvl w:val="1"/>
          <w:numId w:val="2"/>
        </w:numPr>
        <w:rPr>
          <w:rFonts w:ascii="Arial" w:hAnsi="Arial" w:cs="Arial"/>
          <w:i/>
          <w:iCs/>
          <w:sz w:val="24"/>
          <w:szCs w:val="24"/>
        </w:rPr>
      </w:pPr>
      <w:r w:rsidRPr="00C670F6">
        <w:rPr>
          <w:rFonts w:ascii="Arial" w:hAnsi="Arial" w:cs="Arial"/>
          <w:sz w:val="24"/>
          <w:szCs w:val="24"/>
        </w:rPr>
        <w:t>The fifth respondent within 30 days of the granting of the order report back to the court on when the bulk infrastructure will be installed on the applicants stands as referred to in paragraph 1 of the order of Justice Mudau on 15 October 2018;</w:t>
      </w:r>
    </w:p>
    <w:p w14:paraId="4AD664C9" w14:textId="77777777" w:rsidR="00616F52" w:rsidRPr="00C670F6" w:rsidRDefault="00616F52" w:rsidP="00C670F6">
      <w:pPr>
        <w:pStyle w:val="ListParagraph"/>
        <w:ind w:left="1440"/>
        <w:rPr>
          <w:rFonts w:ascii="Arial" w:hAnsi="Arial" w:cs="Arial"/>
          <w:i/>
          <w:iCs/>
          <w:sz w:val="24"/>
          <w:szCs w:val="24"/>
        </w:rPr>
      </w:pPr>
    </w:p>
    <w:p w14:paraId="7A97E8DD" w14:textId="4EE1E336" w:rsidR="00DD51CE" w:rsidRPr="00C670F6" w:rsidRDefault="00A9595C" w:rsidP="00C670F6">
      <w:pPr>
        <w:pStyle w:val="ListParagraph"/>
        <w:numPr>
          <w:ilvl w:val="1"/>
          <w:numId w:val="2"/>
        </w:numPr>
        <w:rPr>
          <w:rFonts w:ascii="Arial" w:hAnsi="Arial" w:cs="Arial"/>
          <w:i/>
          <w:iCs/>
          <w:sz w:val="24"/>
          <w:szCs w:val="24"/>
        </w:rPr>
      </w:pPr>
      <w:r w:rsidRPr="00C670F6">
        <w:rPr>
          <w:rFonts w:ascii="Arial" w:hAnsi="Arial" w:cs="Arial"/>
          <w:sz w:val="24"/>
          <w:szCs w:val="24"/>
        </w:rPr>
        <w:t xml:space="preserve">The first and second respondents be ordered to pay the costs of the application jointly and severally the one paying the other to be absolved </w:t>
      </w:r>
      <w:r w:rsidR="00DD51CE" w:rsidRPr="00C670F6">
        <w:rPr>
          <w:rFonts w:ascii="Arial" w:hAnsi="Arial" w:cs="Arial"/>
          <w:sz w:val="24"/>
          <w:szCs w:val="24"/>
        </w:rPr>
        <w:t xml:space="preserve">on an attorney and client scale. </w:t>
      </w:r>
    </w:p>
    <w:p w14:paraId="16884748" w14:textId="77777777" w:rsidR="00DD51CE" w:rsidRPr="00C670F6" w:rsidRDefault="00DD51CE" w:rsidP="00C670F6">
      <w:pPr>
        <w:pStyle w:val="ListParagraph"/>
        <w:ind w:left="1440"/>
        <w:rPr>
          <w:rFonts w:ascii="Arial" w:hAnsi="Arial" w:cs="Arial"/>
          <w:i/>
          <w:iCs/>
          <w:sz w:val="24"/>
          <w:szCs w:val="24"/>
        </w:rPr>
      </w:pPr>
    </w:p>
    <w:p w14:paraId="4ACACA1D" w14:textId="4414B533" w:rsidR="009614B2" w:rsidRPr="00C670F6" w:rsidRDefault="00DD51CE" w:rsidP="00C670F6">
      <w:pPr>
        <w:pStyle w:val="ListParagraph"/>
        <w:numPr>
          <w:ilvl w:val="0"/>
          <w:numId w:val="2"/>
        </w:numPr>
        <w:ind w:hanging="720"/>
        <w:rPr>
          <w:rFonts w:ascii="Arial" w:hAnsi="Arial" w:cs="Arial"/>
          <w:i/>
          <w:iCs/>
          <w:sz w:val="24"/>
          <w:szCs w:val="24"/>
        </w:rPr>
      </w:pPr>
      <w:r w:rsidRPr="00C670F6">
        <w:rPr>
          <w:rFonts w:ascii="Arial" w:hAnsi="Arial" w:cs="Arial"/>
          <w:sz w:val="24"/>
          <w:szCs w:val="24"/>
        </w:rPr>
        <w:lastRenderedPageBreak/>
        <w:t>The first, second, fourth, fifth and sixth respondents (“the respondents”) oppose th</w:t>
      </w:r>
      <w:r w:rsidR="00DC5DAC">
        <w:rPr>
          <w:rFonts w:ascii="Arial" w:hAnsi="Arial" w:cs="Arial"/>
          <w:sz w:val="24"/>
          <w:szCs w:val="24"/>
        </w:rPr>
        <w:t>is</w:t>
      </w:r>
      <w:r w:rsidRPr="00C670F6">
        <w:rPr>
          <w:rFonts w:ascii="Arial" w:hAnsi="Arial" w:cs="Arial"/>
          <w:sz w:val="24"/>
          <w:szCs w:val="24"/>
        </w:rPr>
        <w:t xml:space="preserve"> application. </w:t>
      </w:r>
    </w:p>
    <w:p w14:paraId="228BAAC9" w14:textId="77777777" w:rsidR="009614B2" w:rsidRPr="00C670F6" w:rsidRDefault="009614B2" w:rsidP="00C670F6">
      <w:pPr>
        <w:pStyle w:val="ListParagraph"/>
        <w:rPr>
          <w:rFonts w:ascii="Arial" w:hAnsi="Arial" w:cs="Arial"/>
          <w:i/>
          <w:iCs/>
          <w:sz w:val="24"/>
          <w:szCs w:val="24"/>
        </w:rPr>
      </w:pPr>
    </w:p>
    <w:p w14:paraId="67CAF4E2" w14:textId="3F49C948" w:rsidR="009614B2" w:rsidRPr="00C670F6" w:rsidRDefault="00DD51CE" w:rsidP="00C670F6">
      <w:pPr>
        <w:pStyle w:val="ListParagraph"/>
        <w:numPr>
          <w:ilvl w:val="0"/>
          <w:numId w:val="2"/>
        </w:numPr>
        <w:ind w:hanging="720"/>
        <w:rPr>
          <w:rFonts w:ascii="Arial" w:hAnsi="Arial" w:cs="Arial"/>
          <w:i/>
          <w:iCs/>
          <w:sz w:val="24"/>
          <w:szCs w:val="24"/>
        </w:rPr>
      </w:pPr>
      <w:r w:rsidRPr="00C670F6">
        <w:rPr>
          <w:rFonts w:ascii="Arial" w:hAnsi="Arial" w:cs="Arial"/>
          <w:sz w:val="24"/>
          <w:szCs w:val="24"/>
        </w:rPr>
        <w:t xml:space="preserve">The respondents have raised a point </w:t>
      </w:r>
      <w:r w:rsidRPr="00C670F6">
        <w:rPr>
          <w:rFonts w:ascii="Arial" w:hAnsi="Arial" w:cs="Arial"/>
          <w:i/>
          <w:iCs/>
          <w:sz w:val="24"/>
          <w:szCs w:val="24"/>
        </w:rPr>
        <w:t>in limine</w:t>
      </w:r>
      <w:r w:rsidR="00741FB2" w:rsidRPr="00C670F6">
        <w:rPr>
          <w:rFonts w:ascii="Arial" w:hAnsi="Arial" w:cs="Arial"/>
          <w:sz w:val="24"/>
          <w:szCs w:val="24"/>
        </w:rPr>
        <w:t>. They argue that the application to join the fourth, fifth and sixth respondents is flawed for two reasons. The first is that this is an application for contempt of a court order</w:t>
      </w:r>
      <w:r w:rsidR="00A04D5E" w:rsidRPr="00C670F6">
        <w:rPr>
          <w:rFonts w:ascii="Arial" w:hAnsi="Arial" w:cs="Arial"/>
          <w:sz w:val="24"/>
          <w:szCs w:val="24"/>
        </w:rPr>
        <w:t xml:space="preserve"> in terms of which</w:t>
      </w:r>
      <w:r w:rsidR="00741FB2" w:rsidRPr="00C670F6">
        <w:rPr>
          <w:rFonts w:ascii="Arial" w:hAnsi="Arial" w:cs="Arial"/>
          <w:sz w:val="24"/>
          <w:szCs w:val="24"/>
        </w:rPr>
        <w:t xml:space="preserve"> judgment has already been given and as a result, it is impossible for the fourth, fifth and sixth respondents to exercise their right to file answering papers. </w:t>
      </w:r>
      <w:r w:rsidR="00A10D71" w:rsidRPr="00C670F6">
        <w:rPr>
          <w:rFonts w:ascii="Arial" w:hAnsi="Arial" w:cs="Arial"/>
          <w:sz w:val="24"/>
          <w:szCs w:val="24"/>
        </w:rPr>
        <w:t xml:space="preserve">The second reason is that </w:t>
      </w:r>
      <w:r w:rsidR="00A04D5E" w:rsidRPr="00C670F6">
        <w:rPr>
          <w:rFonts w:ascii="Arial" w:hAnsi="Arial" w:cs="Arial"/>
          <w:sz w:val="24"/>
          <w:szCs w:val="24"/>
        </w:rPr>
        <w:t>the applicants have not satisfied the test for joinder</w:t>
      </w:r>
      <w:r w:rsidR="00D174F0">
        <w:rPr>
          <w:rFonts w:ascii="Arial" w:hAnsi="Arial" w:cs="Arial"/>
          <w:sz w:val="24"/>
          <w:szCs w:val="24"/>
        </w:rPr>
        <w:t>.</w:t>
      </w:r>
      <w:r w:rsidR="00A04D5E" w:rsidRPr="00C670F6">
        <w:rPr>
          <w:rFonts w:ascii="Arial" w:hAnsi="Arial" w:cs="Arial"/>
          <w:sz w:val="24"/>
          <w:szCs w:val="24"/>
        </w:rPr>
        <w:t xml:space="preserve"> </w:t>
      </w:r>
    </w:p>
    <w:p w14:paraId="7021720B" w14:textId="77777777" w:rsidR="009614B2" w:rsidRPr="00C670F6" w:rsidRDefault="009614B2" w:rsidP="00C670F6">
      <w:pPr>
        <w:pStyle w:val="ListParagraph"/>
        <w:rPr>
          <w:rFonts w:ascii="Arial" w:hAnsi="Arial" w:cs="Arial"/>
          <w:sz w:val="24"/>
          <w:szCs w:val="24"/>
        </w:rPr>
      </w:pPr>
    </w:p>
    <w:p w14:paraId="22767A39" w14:textId="3A8A68E3" w:rsidR="00A43A92" w:rsidRPr="00C670F6" w:rsidRDefault="003A32DF" w:rsidP="00C670F6">
      <w:pPr>
        <w:pStyle w:val="ListParagraph"/>
        <w:numPr>
          <w:ilvl w:val="0"/>
          <w:numId w:val="2"/>
        </w:numPr>
        <w:ind w:hanging="720"/>
        <w:rPr>
          <w:rFonts w:ascii="Arial" w:hAnsi="Arial" w:cs="Arial"/>
          <w:i/>
          <w:iCs/>
          <w:sz w:val="24"/>
          <w:szCs w:val="24"/>
        </w:rPr>
      </w:pPr>
      <w:r w:rsidRPr="00C670F6">
        <w:rPr>
          <w:rFonts w:ascii="Arial" w:hAnsi="Arial" w:cs="Arial"/>
          <w:sz w:val="24"/>
          <w:szCs w:val="24"/>
        </w:rPr>
        <w:t xml:space="preserve">On the merits, the respondents </w:t>
      </w:r>
      <w:r w:rsidR="001C43BA" w:rsidRPr="00C670F6">
        <w:rPr>
          <w:rFonts w:ascii="Arial" w:hAnsi="Arial" w:cs="Arial"/>
          <w:sz w:val="24"/>
          <w:szCs w:val="24"/>
        </w:rPr>
        <w:t>a</w:t>
      </w:r>
      <w:r w:rsidR="00DC5DAC">
        <w:rPr>
          <w:rFonts w:ascii="Arial" w:hAnsi="Arial" w:cs="Arial"/>
          <w:sz w:val="24"/>
          <w:szCs w:val="24"/>
        </w:rPr>
        <w:t>ver</w:t>
      </w:r>
      <w:r w:rsidR="001C43BA" w:rsidRPr="00C670F6">
        <w:rPr>
          <w:rFonts w:ascii="Arial" w:hAnsi="Arial" w:cs="Arial"/>
          <w:sz w:val="24"/>
          <w:szCs w:val="24"/>
        </w:rPr>
        <w:t xml:space="preserve"> that the first respondent, on 12 June 2019, filed a report with the registrar</w:t>
      </w:r>
      <w:r w:rsidR="009614B2" w:rsidRPr="00C670F6">
        <w:rPr>
          <w:rFonts w:ascii="Arial" w:hAnsi="Arial" w:cs="Arial"/>
          <w:sz w:val="24"/>
          <w:szCs w:val="24"/>
        </w:rPr>
        <w:t xml:space="preserve"> in compliance with the court order</w:t>
      </w:r>
      <w:r w:rsidR="001C43BA" w:rsidRPr="00C670F6">
        <w:rPr>
          <w:rFonts w:ascii="Arial" w:hAnsi="Arial" w:cs="Arial"/>
          <w:sz w:val="24"/>
          <w:szCs w:val="24"/>
        </w:rPr>
        <w:t xml:space="preserve">. </w:t>
      </w:r>
    </w:p>
    <w:p w14:paraId="68EB35A9" w14:textId="2EC7F96F" w:rsidR="00A43A92" w:rsidRPr="00C670F6" w:rsidRDefault="00A43A92" w:rsidP="00C670F6">
      <w:pPr>
        <w:pStyle w:val="ListParagraph"/>
        <w:rPr>
          <w:rFonts w:ascii="Arial" w:hAnsi="Arial" w:cs="Arial"/>
          <w:sz w:val="24"/>
          <w:szCs w:val="24"/>
        </w:rPr>
      </w:pPr>
    </w:p>
    <w:p w14:paraId="45022015" w14:textId="77777777" w:rsidR="00A06203" w:rsidRPr="00C670F6" w:rsidRDefault="00A06203" w:rsidP="00C670F6">
      <w:pPr>
        <w:ind w:left="720" w:hanging="720"/>
        <w:contextualSpacing/>
        <w:rPr>
          <w:rFonts w:ascii="Arial" w:hAnsi="Arial" w:cs="Arial"/>
          <w:b/>
          <w:bCs/>
          <w:sz w:val="24"/>
          <w:szCs w:val="24"/>
        </w:rPr>
      </w:pPr>
      <w:r w:rsidRPr="00C670F6">
        <w:rPr>
          <w:rFonts w:ascii="Arial" w:hAnsi="Arial" w:cs="Arial"/>
          <w:b/>
          <w:bCs/>
          <w:sz w:val="24"/>
          <w:szCs w:val="24"/>
        </w:rPr>
        <w:t>Discussion</w:t>
      </w:r>
    </w:p>
    <w:p w14:paraId="48B8DE35" w14:textId="6E6463A9" w:rsidR="003A32DF" w:rsidRPr="00C670F6" w:rsidRDefault="00A06203" w:rsidP="00C670F6">
      <w:pPr>
        <w:rPr>
          <w:rFonts w:ascii="Arial" w:hAnsi="Arial" w:cs="Arial"/>
          <w:b/>
          <w:bCs/>
          <w:sz w:val="24"/>
          <w:szCs w:val="24"/>
        </w:rPr>
      </w:pPr>
      <w:r w:rsidRPr="00C670F6">
        <w:rPr>
          <w:rFonts w:ascii="Arial" w:hAnsi="Arial" w:cs="Arial"/>
          <w:b/>
          <w:bCs/>
          <w:sz w:val="24"/>
          <w:szCs w:val="24"/>
        </w:rPr>
        <w:tab/>
      </w:r>
    </w:p>
    <w:p w14:paraId="1C504E7F" w14:textId="7D80C731" w:rsidR="00A06203" w:rsidRPr="00C670F6" w:rsidRDefault="00A06203" w:rsidP="00C670F6">
      <w:pPr>
        <w:ind w:left="720"/>
        <w:rPr>
          <w:rFonts w:ascii="Arial" w:hAnsi="Arial" w:cs="Arial"/>
          <w:b/>
          <w:bCs/>
          <w:i/>
          <w:iCs/>
          <w:sz w:val="24"/>
          <w:szCs w:val="24"/>
        </w:rPr>
      </w:pPr>
      <w:r w:rsidRPr="00C670F6">
        <w:rPr>
          <w:rFonts w:ascii="Arial" w:hAnsi="Arial" w:cs="Arial"/>
          <w:b/>
          <w:bCs/>
          <w:i/>
          <w:iCs/>
          <w:sz w:val="24"/>
          <w:szCs w:val="24"/>
        </w:rPr>
        <w:t>Was there compliance with the court order of 15 October 2018?</w:t>
      </w:r>
    </w:p>
    <w:p w14:paraId="0E181584" w14:textId="0B7F8C01" w:rsidR="00A06203" w:rsidRPr="00C670F6" w:rsidRDefault="00A06203" w:rsidP="00C670F6">
      <w:pPr>
        <w:rPr>
          <w:rFonts w:ascii="Arial" w:hAnsi="Arial" w:cs="Arial"/>
          <w:b/>
          <w:bCs/>
          <w:i/>
          <w:iCs/>
          <w:sz w:val="24"/>
          <w:szCs w:val="24"/>
        </w:rPr>
      </w:pPr>
    </w:p>
    <w:p w14:paraId="05FE0350" w14:textId="2210B732" w:rsidR="00E7089B" w:rsidRPr="00C670F6" w:rsidRDefault="001645C7" w:rsidP="00C670F6">
      <w:pPr>
        <w:pStyle w:val="ListParagraph"/>
        <w:numPr>
          <w:ilvl w:val="0"/>
          <w:numId w:val="2"/>
        </w:numPr>
        <w:ind w:hanging="720"/>
        <w:rPr>
          <w:rFonts w:ascii="Arial" w:hAnsi="Arial" w:cs="Arial"/>
          <w:b/>
          <w:bCs/>
          <w:i/>
          <w:iCs/>
          <w:sz w:val="24"/>
          <w:szCs w:val="24"/>
        </w:rPr>
      </w:pPr>
      <w:r w:rsidRPr="00C670F6">
        <w:rPr>
          <w:rFonts w:ascii="Arial" w:hAnsi="Arial" w:cs="Arial"/>
          <w:sz w:val="24"/>
          <w:szCs w:val="24"/>
        </w:rPr>
        <w:t>The first respondent is the City of Johannesburg</w:t>
      </w:r>
      <w:r w:rsidR="00DC5DAC">
        <w:rPr>
          <w:rFonts w:ascii="Arial" w:hAnsi="Arial" w:cs="Arial"/>
          <w:sz w:val="24"/>
          <w:szCs w:val="24"/>
        </w:rPr>
        <w:t xml:space="preserve"> Metropolitan Municipality</w:t>
      </w:r>
      <w:r w:rsidRPr="00C670F6">
        <w:rPr>
          <w:rFonts w:ascii="Arial" w:hAnsi="Arial" w:cs="Arial"/>
          <w:sz w:val="24"/>
          <w:szCs w:val="24"/>
        </w:rPr>
        <w:t xml:space="preserve">. It is responsible for the provision of services including the supply of water and electricity. </w:t>
      </w:r>
      <w:r w:rsidR="00E7089B" w:rsidRPr="00C670F6">
        <w:rPr>
          <w:rFonts w:ascii="Arial" w:hAnsi="Arial" w:cs="Arial"/>
          <w:sz w:val="24"/>
          <w:szCs w:val="24"/>
        </w:rPr>
        <w:t>The first and second respondent initially opposed the main application and filed answering papers. On the date of the hearing of the main application, Justice Mudau made an order by agreement between the parties. As appears from the order, the parties agreed that:</w:t>
      </w:r>
    </w:p>
    <w:p w14:paraId="1684CEF2" w14:textId="77777777" w:rsidR="00E7089B" w:rsidRPr="00C670F6" w:rsidRDefault="00E7089B" w:rsidP="00C670F6">
      <w:pPr>
        <w:pStyle w:val="ListParagraph"/>
        <w:rPr>
          <w:rFonts w:ascii="Arial" w:hAnsi="Arial" w:cs="Arial"/>
          <w:sz w:val="24"/>
          <w:szCs w:val="24"/>
        </w:rPr>
      </w:pPr>
    </w:p>
    <w:p w14:paraId="17B411BC" w14:textId="77777777" w:rsidR="00A44276" w:rsidRPr="00C670F6" w:rsidRDefault="00E7089B" w:rsidP="00C670F6">
      <w:pPr>
        <w:pStyle w:val="ListParagraph"/>
        <w:numPr>
          <w:ilvl w:val="1"/>
          <w:numId w:val="2"/>
        </w:numPr>
        <w:rPr>
          <w:rFonts w:ascii="Arial" w:hAnsi="Arial" w:cs="Arial"/>
          <w:b/>
          <w:bCs/>
          <w:sz w:val="24"/>
          <w:szCs w:val="24"/>
        </w:rPr>
      </w:pPr>
      <w:r w:rsidRPr="00C670F6">
        <w:rPr>
          <w:rFonts w:ascii="Arial" w:hAnsi="Arial" w:cs="Arial"/>
          <w:sz w:val="24"/>
          <w:szCs w:val="24"/>
        </w:rPr>
        <w:lastRenderedPageBreak/>
        <w:t xml:space="preserve">The first and second respondents will install the bulk water and electrical infrastructure on the first to ninth applicants’ stands, namely erf 1779, 1777, 1740, 1770, 1752, 1776, 1775, 1733 and 1769. </w:t>
      </w:r>
    </w:p>
    <w:p w14:paraId="46EEEF62" w14:textId="77777777" w:rsidR="00A44276" w:rsidRPr="00C670F6" w:rsidRDefault="00A44276" w:rsidP="00C670F6">
      <w:pPr>
        <w:pStyle w:val="ListParagraph"/>
        <w:ind w:left="1440"/>
        <w:rPr>
          <w:rFonts w:ascii="Arial" w:hAnsi="Arial" w:cs="Arial"/>
          <w:b/>
          <w:bCs/>
          <w:sz w:val="24"/>
          <w:szCs w:val="24"/>
        </w:rPr>
      </w:pPr>
    </w:p>
    <w:p w14:paraId="442E0A84" w14:textId="77777777" w:rsidR="00A44276" w:rsidRPr="00C670F6" w:rsidRDefault="00E7089B" w:rsidP="00C670F6">
      <w:pPr>
        <w:pStyle w:val="ListParagraph"/>
        <w:numPr>
          <w:ilvl w:val="1"/>
          <w:numId w:val="2"/>
        </w:numPr>
        <w:rPr>
          <w:rFonts w:ascii="Arial" w:hAnsi="Arial" w:cs="Arial"/>
          <w:b/>
          <w:bCs/>
          <w:sz w:val="24"/>
          <w:szCs w:val="24"/>
        </w:rPr>
      </w:pPr>
      <w:r w:rsidRPr="00C670F6">
        <w:rPr>
          <w:rFonts w:ascii="Arial" w:hAnsi="Arial" w:cs="Arial"/>
          <w:sz w:val="24"/>
          <w:szCs w:val="24"/>
        </w:rPr>
        <w:t xml:space="preserve">The second respondent </w:t>
      </w:r>
      <w:r w:rsidR="00A44276" w:rsidRPr="00C670F6">
        <w:rPr>
          <w:rFonts w:ascii="Arial" w:hAnsi="Arial" w:cs="Arial"/>
          <w:sz w:val="24"/>
          <w:szCs w:val="24"/>
        </w:rPr>
        <w:t xml:space="preserve">had already </w:t>
      </w:r>
      <w:r w:rsidRPr="00C670F6">
        <w:rPr>
          <w:rFonts w:ascii="Arial" w:hAnsi="Arial" w:cs="Arial"/>
          <w:sz w:val="24"/>
          <w:szCs w:val="24"/>
        </w:rPr>
        <w:t>prepared a report of the budget for the installation of bulk water and electrical infrastructure on the first to ninth applicants’ stands as described above</w:t>
      </w:r>
      <w:r w:rsidR="00A44276" w:rsidRPr="00C670F6">
        <w:rPr>
          <w:rFonts w:ascii="Arial" w:hAnsi="Arial" w:cs="Arial"/>
          <w:sz w:val="24"/>
          <w:szCs w:val="24"/>
        </w:rPr>
        <w:t xml:space="preserve"> and was </w:t>
      </w:r>
      <w:r w:rsidRPr="00C670F6">
        <w:rPr>
          <w:rFonts w:ascii="Arial" w:hAnsi="Arial" w:cs="Arial"/>
          <w:sz w:val="24"/>
          <w:szCs w:val="24"/>
        </w:rPr>
        <w:t>awaiting the first respondent’s council approval.</w:t>
      </w:r>
    </w:p>
    <w:p w14:paraId="3556328F" w14:textId="77777777" w:rsidR="00A44276" w:rsidRPr="00C670F6" w:rsidRDefault="00A44276" w:rsidP="00C670F6">
      <w:pPr>
        <w:pStyle w:val="ListParagraph"/>
        <w:rPr>
          <w:rFonts w:ascii="Arial" w:hAnsi="Arial" w:cs="Arial"/>
          <w:i/>
          <w:iCs/>
          <w:sz w:val="24"/>
          <w:szCs w:val="24"/>
        </w:rPr>
      </w:pPr>
    </w:p>
    <w:p w14:paraId="3DC985D5" w14:textId="77777777" w:rsidR="00A44276" w:rsidRPr="00C670F6" w:rsidRDefault="00E7089B" w:rsidP="00C670F6">
      <w:pPr>
        <w:pStyle w:val="ListParagraph"/>
        <w:numPr>
          <w:ilvl w:val="1"/>
          <w:numId w:val="2"/>
        </w:numPr>
        <w:rPr>
          <w:rFonts w:ascii="Arial" w:hAnsi="Arial" w:cs="Arial"/>
          <w:b/>
          <w:bCs/>
          <w:sz w:val="24"/>
          <w:szCs w:val="24"/>
        </w:rPr>
      </w:pPr>
      <w:r w:rsidRPr="00C670F6">
        <w:rPr>
          <w:rFonts w:ascii="Arial" w:hAnsi="Arial" w:cs="Arial"/>
          <w:sz w:val="24"/>
          <w:szCs w:val="24"/>
        </w:rPr>
        <w:t>The first and second respondents accept that the installation of the bulk water and electrical infrastructure on the first to ninth applicants’ stands is urgent and is to be prioritised</w:t>
      </w:r>
      <w:r w:rsidR="00A44276" w:rsidRPr="00C670F6">
        <w:rPr>
          <w:rFonts w:ascii="Arial" w:hAnsi="Arial" w:cs="Arial"/>
          <w:sz w:val="24"/>
          <w:szCs w:val="24"/>
        </w:rPr>
        <w:t>.</w:t>
      </w:r>
      <w:r w:rsidRPr="00C670F6">
        <w:rPr>
          <w:rFonts w:ascii="Arial" w:hAnsi="Arial" w:cs="Arial"/>
          <w:sz w:val="24"/>
          <w:szCs w:val="24"/>
        </w:rPr>
        <w:t xml:space="preserve"> The first respondent shall endeavour to have a special meeting of council convened in terms of section 29(2) of the Municipal Structures Act 117 of 1998 to approve the report mentioned in </w:t>
      </w:r>
      <w:r w:rsidR="00A44276" w:rsidRPr="00C670F6">
        <w:rPr>
          <w:rFonts w:ascii="Arial" w:hAnsi="Arial" w:cs="Arial"/>
          <w:sz w:val="24"/>
          <w:szCs w:val="24"/>
        </w:rPr>
        <w:t xml:space="preserve">sub paragraph </w:t>
      </w:r>
      <w:r w:rsidRPr="00C670F6">
        <w:rPr>
          <w:rFonts w:ascii="Arial" w:hAnsi="Arial" w:cs="Arial"/>
          <w:sz w:val="24"/>
          <w:szCs w:val="24"/>
        </w:rPr>
        <w:t xml:space="preserve">2 above. </w:t>
      </w:r>
    </w:p>
    <w:p w14:paraId="77202487" w14:textId="77777777" w:rsidR="00A44276" w:rsidRPr="00C670F6" w:rsidRDefault="00A44276" w:rsidP="00C670F6">
      <w:pPr>
        <w:pStyle w:val="ListParagraph"/>
        <w:rPr>
          <w:rFonts w:ascii="Arial" w:hAnsi="Arial" w:cs="Arial"/>
          <w:i/>
          <w:iCs/>
          <w:sz w:val="24"/>
          <w:szCs w:val="24"/>
        </w:rPr>
      </w:pPr>
    </w:p>
    <w:p w14:paraId="778FD558" w14:textId="77777777" w:rsidR="00A44276" w:rsidRPr="00C670F6" w:rsidRDefault="00E7089B" w:rsidP="00C670F6">
      <w:pPr>
        <w:pStyle w:val="ListParagraph"/>
        <w:numPr>
          <w:ilvl w:val="1"/>
          <w:numId w:val="2"/>
        </w:numPr>
        <w:rPr>
          <w:rFonts w:ascii="Arial" w:hAnsi="Arial" w:cs="Arial"/>
          <w:b/>
          <w:bCs/>
          <w:sz w:val="24"/>
          <w:szCs w:val="24"/>
        </w:rPr>
      </w:pPr>
      <w:r w:rsidRPr="00C670F6">
        <w:rPr>
          <w:rFonts w:ascii="Arial" w:hAnsi="Arial" w:cs="Arial"/>
          <w:sz w:val="24"/>
          <w:szCs w:val="24"/>
        </w:rPr>
        <w:t xml:space="preserve">The first and second respondents </w:t>
      </w:r>
      <w:r w:rsidR="00A44276" w:rsidRPr="00C670F6">
        <w:rPr>
          <w:rFonts w:ascii="Arial" w:hAnsi="Arial" w:cs="Arial"/>
          <w:sz w:val="24"/>
          <w:szCs w:val="24"/>
        </w:rPr>
        <w:t>will,</w:t>
      </w:r>
      <w:r w:rsidRPr="00C670F6">
        <w:rPr>
          <w:rFonts w:ascii="Arial" w:hAnsi="Arial" w:cs="Arial"/>
          <w:sz w:val="24"/>
          <w:szCs w:val="24"/>
        </w:rPr>
        <w:t xml:space="preserve"> within 60 days from the date of th</w:t>
      </w:r>
      <w:r w:rsidR="00A44276" w:rsidRPr="00C670F6">
        <w:rPr>
          <w:rFonts w:ascii="Arial" w:hAnsi="Arial" w:cs="Arial"/>
          <w:sz w:val="24"/>
          <w:szCs w:val="24"/>
        </w:rPr>
        <w:t>e</w:t>
      </w:r>
      <w:r w:rsidRPr="00C670F6">
        <w:rPr>
          <w:rFonts w:ascii="Arial" w:hAnsi="Arial" w:cs="Arial"/>
          <w:sz w:val="24"/>
          <w:szCs w:val="24"/>
        </w:rPr>
        <w:t xml:space="preserve"> order</w:t>
      </w:r>
      <w:r w:rsidR="00A44276" w:rsidRPr="00C670F6">
        <w:rPr>
          <w:rFonts w:ascii="Arial" w:hAnsi="Arial" w:cs="Arial"/>
          <w:sz w:val="24"/>
          <w:szCs w:val="24"/>
        </w:rPr>
        <w:t>,</w:t>
      </w:r>
      <w:r w:rsidRPr="00C670F6">
        <w:rPr>
          <w:rFonts w:ascii="Arial" w:hAnsi="Arial" w:cs="Arial"/>
          <w:sz w:val="24"/>
          <w:szCs w:val="24"/>
        </w:rPr>
        <w:t xml:space="preserve"> file a report under oath setting out the steps they have taken to install the bulk water and electrical infrastructure on the first to the ninth applicants stands</w:t>
      </w:r>
      <w:r w:rsidR="00A44276" w:rsidRPr="00C670F6">
        <w:rPr>
          <w:rFonts w:ascii="Arial" w:hAnsi="Arial" w:cs="Arial"/>
          <w:sz w:val="24"/>
          <w:szCs w:val="24"/>
        </w:rPr>
        <w:t>.</w:t>
      </w:r>
    </w:p>
    <w:p w14:paraId="63F89165" w14:textId="77777777" w:rsidR="00A44276" w:rsidRPr="00C670F6" w:rsidRDefault="00A44276" w:rsidP="00C670F6">
      <w:pPr>
        <w:pStyle w:val="ListParagraph"/>
        <w:rPr>
          <w:rFonts w:ascii="Arial" w:hAnsi="Arial" w:cs="Arial"/>
          <w:sz w:val="24"/>
          <w:szCs w:val="24"/>
        </w:rPr>
      </w:pPr>
    </w:p>
    <w:p w14:paraId="501CA847" w14:textId="77777777" w:rsidR="00A44276" w:rsidRPr="00C670F6" w:rsidRDefault="00E7089B" w:rsidP="00C670F6">
      <w:pPr>
        <w:pStyle w:val="ListParagraph"/>
        <w:numPr>
          <w:ilvl w:val="1"/>
          <w:numId w:val="2"/>
        </w:numPr>
        <w:rPr>
          <w:rFonts w:ascii="Arial" w:hAnsi="Arial" w:cs="Arial"/>
          <w:b/>
          <w:bCs/>
          <w:sz w:val="24"/>
          <w:szCs w:val="24"/>
        </w:rPr>
      </w:pPr>
      <w:r w:rsidRPr="00C670F6">
        <w:rPr>
          <w:rFonts w:ascii="Arial" w:hAnsi="Arial" w:cs="Arial"/>
          <w:sz w:val="24"/>
          <w:szCs w:val="24"/>
        </w:rPr>
        <w:t>The applicants may within 30 days of that report/reports, deliver commentary thereon, under oath.</w:t>
      </w:r>
    </w:p>
    <w:p w14:paraId="76709BA8" w14:textId="77777777" w:rsidR="00A44276" w:rsidRPr="00C670F6" w:rsidRDefault="00A44276" w:rsidP="00C670F6">
      <w:pPr>
        <w:pStyle w:val="ListParagraph"/>
        <w:rPr>
          <w:rFonts w:ascii="Arial" w:hAnsi="Arial" w:cs="Arial"/>
          <w:sz w:val="24"/>
          <w:szCs w:val="24"/>
        </w:rPr>
      </w:pPr>
    </w:p>
    <w:p w14:paraId="05143921" w14:textId="70A484E7" w:rsidR="00E7089B" w:rsidRPr="00C670F6" w:rsidRDefault="00E7089B" w:rsidP="00C670F6">
      <w:pPr>
        <w:pStyle w:val="ListParagraph"/>
        <w:numPr>
          <w:ilvl w:val="1"/>
          <w:numId w:val="2"/>
        </w:numPr>
        <w:rPr>
          <w:rFonts w:ascii="Arial" w:hAnsi="Arial" w:cs="Arial"/>
          <w:b/>
          <w:bCs/>
          <w:sz w:val="24"/>
          <w:szCs w:val="24"/>
        </w:rPr>
      </w:pPr>
      <w:r w:rsidRPr="00C670F6">
        <w:rPr>
          <w:rFonts w:ascii="Arial" w:hAnsi="Arial" w:cs="Arial"/>
          <w:sz w:val="24"/>
          <w:szCs w:val="24"/>
        </w:rPr>
        <w:lastRenderedPageBreak/>
        <w:t xml:space="preserve">The first respondent </w:t>
      </w:r>
      <w:r w:rsidR="00A44276" w:rsidRPr="00C670F6">
        <w:rPr>
          <w:rFonts w:ascii="Arial" w:hAnsi="Arial" w:cs="Arial"/>
          <w:sz w:val="24"/>
          <w:szCs w:val="24"/>
        </w:rPr>
        <w:t xml:space="preserve">will </w:t>
      </w:r>
      <w:r w:rsidRPr="00C670F6">
        <w:rPr>
          <w:rFonts w:ascii="Arial" w:hAnsi="Arial" w:cs="Arial"/>
          <w:sz w:val="24"/>
          <w:szCs w:val="24"/>
        </w:rPr>
        <w:t>write off the rates and taxes amounts owed by the first to ninth applicants in respect of their individual stands from the date of purchase of the stand to the date of use of the bulk water and electrical services on each stand within 30 days of th</w:t>
      </w:r>
      <w:r w:rsidR="00A44276" w:rsidRPr="00C670F6">
        <w:rPr>
          <w:rFonts w:ascii="Arial" w:hAnsi="Arial" w:cs="Arial"/>
          <w:sz w:val="24"/>
          <w:szCs w:val="24"/>
        </w:rPr>
        <w:t>e</w:t>
      </w:r>
      <w:r w:rsidRPr="00C670F6">
        <w:rPr>
          <w:rFonts w:ascii="Arial" w:hAnsi="Arial" w:cs="Arial"/>
          <w:sz w:val="24"/>
          <w:szCs w:val="24"/>
        </w:rPr>
        <w:t xml:space="preserve"> order being served on the first respondent.</w:t>
      </w:r>
    </w:p>
    <w:p w14:paraId="6C1EA749" w14:textId="77777777" w:rsidR="00A44276" w:rsidRPr="00C670F6" w:rsidRDefault="00A44276" w:rsidP="00C670F6">
      <w:pPr>
        <w:pStyle w:val="ListParagraph"/>
        <w:rPr>
          <w:rFonts w:ascii="Arial" w:hAnsi="Arial" w:cs="Arial"/>
          <w:b/>
          <w:bCs/>
          <w:sz w:val="24"/>
          <w:szCs w:val="24"/>
        </w:rPr>
      </w:pPr>
    </w:p>
    <w:p w14:paraId="73E055F7" w14:textId="2708852B" w:rsidR="00E7089B" w:rsidRPr="00DD197B" w:rsidRDefault="00E7089B" w:rsidP="00DD197B">
      <w:pPr>
        <w:pStyle w:val="ListParagraph"/>
        <w:numPr>
          <w:ilvl w:val="1"/>
          <w:numId w:val="2"/>
        </w:numPr>
        <w:rPr>
          <w:rFonts w:ascii="Arial" w:hAnsi="Arial" w:cs="Arial"/>
          <w:b/>
          <w:bCs/>
          <w:sz w:val="24"/>
          <w:szCs w:val="24"/>
        </w:rPr>
      </w:pPr>
      <w:r w:rsidRPr="00DD197B">
        <w:rPr>
          <w:rFonts w:ascii="Arial" w:hAnsi="Arial" w:cs="Arial"/>
          <w:sz w:val="24"/>
          <w:szCs w:val="24"/>
        </w:rPr>
        <w:t xml:space="preserve">The first and second respondents </w:t>
      </w:r>
      <w:r w:rsidR="00A44276" w:rsidRPr="00DD197B">
        <w:rPr>
          <w:rFonts w:ascii="Arial" w:hAnsi="Arial" w:cs="Arial"/>
          <w:sz w:val="24"/>
          <w:szCs w:val="24"/>
        </w:rPr>
        <w:t>will</w:t>
      </w:r>
      <w:r w:rsidRPr="00DD197B">
        <w:rPr>
          <w:rFonts w:ascii="Arial" w:hAnsi="Arial" w:cs="Arial"/>
          <w:sz w:val="24"/>
          <w:szCs w:val="24"/>
        </w:rPr>
        <w:t xml:space="preserve"> pay the costs of th</w:t>
      </w:r>
      <w:r w:rsidR="00A44276" w:rsidRPr="00DD197B">
        <w:rPr>
          <w:rFonts w:ascii="Arial" w:hAnsi="Arial" w:cs="Arial"/>
          <w:sz w:val="24"/>
          <w:szCs w:val="24"/>
        </w:rPr>
        <w:t xml:space="preserve">e </w:t>
      </w:r>
      <w:r w:rsidRPr="00DD197B">
        <w:rPr>
          <w:rFonts w:ascii="Arial" w:hAnsi="Arial" w:cs="Arial"/>
          <w:sz w:val="24"/>
          <w:szCs w:val="24"/>
        </w:rPr>
        <w:t xml:space="preserve">application on a party and party scale, the one paying the other to be absolved.  </w:t>
      </w:r>
    </w:p>
    <w:p w14:paraId="1BC14BA5" w14:textId="77777777" w:rsidR="001645C7" w:rsidRPr="00DD197B" w:rsidRDefault="001645C7" w:rsidP="00DD197B">
      <w:pPr>
        <w:rPr>
          <w:rFonts w:ascii="Arial" w:hAnsi="Arial" w:cs="Arial"/>
          <w:b/>
          <w:bCs/>
          <w:sz w:val="24"/>
          <w:szCs w:val="24"/>
        </w:rPr>
      </w:pPr>
    </w:p>
    <w:p w14:paraId="1D87E4CB" w14:textId="6AE034B1" w:rsidR="001645C7" w:rsidRPr="00DD197B" w:rsidRDefault="00F36F70" w:rsidP="00DD197B">
      <w:pPr>
        <w:pStyle w:val="ListParagraph"/>
        <w:numPr>
          <w:ilvl w:val="0"/>
          <w:numId w:val="2"/>
        </w:numPr>
        <w:ind w:hanging="720"/>
        <w:rPr>
          <w:rFonts w:ascii="Arial" w:hAnsi="Arial" w:cs="Arial"/>
          <w:b/>
          <w:bCs/>
          <w:i/>
          <w:iCs/>
          <w:sz w:val="24"/>
          <w:szCs w:val="24"/>
        </w:rPr>
      </w:pPr>
      <w:r w:rsidRPr="00DD197B">
        <w:rPr>
          <w:rFonts w:ascii="Arial" w:hAnsi="Arial" w:cs="Arial"/>
          <w:sz w:val="24"/>
          <w:szCs w:val="24"/>
        </w:rPr>
        <w:t>In</w:t>
      </w:r>
      <w:r w:rsidR="00FF098B" w:rsidRPr="00DD197B">
        <w:rPr>
          <w:rFonts w:ascii="Arial" w:hAnsi="Arial" w:cs="Arial"/>
          <w:sz w:val="24"/>
          <w:szCs w:val="24"/>
        </w:rPr>
        <w:t xml:space="preserve"> opposing </w:t>
      </w:r>
      <w:r w:rsidRPr="00DD197B">
        <w:rPr>
          <w:rFonts w:ascii="Arial" w:hAnsi="Arial" w:cs="Arial"/>
          <w:sz w:val="24"/>
          <w:szCs w:val="24"/>
        </w:rPr>
        <w:t xml:space="preserve">these contempt of court proceedings, the respondents </w:t>
      </w:r>
      <w:r w:rsidR="00FF098B" w:rsidRPr="00DD197B">
        <w:rPr>
          <w:rFonts w:ascii="Arial" w:hAnsi="Arial" w:cs="Arial"/>
          <w:sz w:val="24"/>
          <w:szCs w:val="24"/>
        </w:rPr>
        <w:t>argue that:</w:t>
      </w:r>
    </w:p>
    <w:p w14:paraId="16F6B6F5" w14:textId="11D59AFD" w:rsidR="00F36F70" w:rsidRPr="00DD197B" w:rsidRDefault="00F36F70" w:rsidP="00DD197B">
      <w:pPr>
        <w:pStyle w:val="ListParagraph"/>
        <w:rPr>
          <w:rFonts w:ascii="Arial" w:hAnsi="Arial" w:cs="Arial"/>
          <w:sz w:val="24"/>
          <w:szCs w:val="24"/>
        </w:rPr>
      </w:pPr>
    </w:p>
    <w:p w14:paraId="4AA7A869" w14:textId="0E7CDA46" w:rsidR="00F36F70" w:rsidRPr="00DD197B" w:rsidRDefault="00FF098B" w:rsidP="00DD197B">
      <w:pPr>
        <w:pStyle w:val="ListParagraph"/>
        <w:numPr>
          <w:ilvl w:val="1"/>
          <w:numId w:val="2"/>
        </w:numPr>
        <w:rPr>
          <w:rFonts w:ascii="Arial" w:hAnsi="Arial" w:cs="Arial"/>
          <w:b/>
          <w:bCs/>
          <w:i/>
          <w:iCs/>
          <w:sz w:val="24"/>
          <w:szCs w:val="24"/>
        </w:rPr>
      </w:pPr>
      <w:r w:rsidRPr="00DD197B">
        <w:rPr>
          <w:rFonts w:ascii="Arial" w:hAnsi="Arial" w:cs="Arial"/>
          <w:sz w:val="24"/>
          <w:szCs w:val="24"/>
        </w:rPr>
        <w:t>O</w:t>
      </w:r>
      <w:r w:rsidR="00F36F70" w:rsidRPr="00DD197B">
        <w:rPr>
          <w:rFonts w:ascii="Arial" w:hAnsi="Arial" w:cs="Arial"/>
          <w:sz w:val="24"/>
          <w:szCs w:val="24"/>
        </w:rPr>
        <w:t xml:space="preserve">n 12 June 2019, the first respondent through its attorneys filed a report with the registrar </w:t>
      </w:r>
      <w:r w:rsidR="00F36F70" w:rsidRPr="00DD197B">
        <w:rPr>
          <w:rFonts w:ascii="Arial" w:hAnsi="Arial" w:cs="Arial"/>
          <w:i/>
          <w:iCs/>
          <w:sz w:val="24"/>
          <w:szCs w:val="24"/>
        </w:rPr>
        <w:t>albeit</w:t>
      </w:r>
      <w:r w:rsidR="00F36F70" w:rsidRPr="00DD197B">
        <w:rPr>
          <w:rFonts w:ascii="Arial" w:hAnsi="Arial" w:cs="Arial"/>
          <w:sz w:val="24"/>
          <w:szCs w:val="24"/>
        </w:rPr>
        <w:t xml:space="preserve"> late;</w:t>
      </w:r>
    </w:p>
    <w:p w14:paraId="5E718123" w14:textId="77777777" w:rsidR="00F36F70" w:rsidRPr="00DD197B" w:rsidRDefault="00F36F70" w:rsidP="00DD197B">
      <w:pPr>
        <w:pStyle w:val="ListParagraph"/>
        <w:ind w:left="1440"/>
        <w:rPr>
          <w:rFonts w:ascii="Arial" w:hAnsi="Arial" w:cs="Arial"/>
          <w:b/>
          <w:bCs/>
          <w:i/>
          <w:iCs/>
          <w:sz w:val="24"/>
          <w:szCs w:val="24"/>
        </w:rPr>
      </w:pPr>
    </w:p>
    <w:p w14:paraId="42E2DB1C" w14:textId="0F72E024" w:rsidR="00F36F70" w:rsidRPr="00DD197B" w:rsidRDefault="00F36F70" w:rsidP="00DD197B">
      <w:pPr>
        <w:pStyle w:val="ListParagraph"/>
        <w:numPr>
          <w:ilvl w:val="1"/>
          <w:numId w:val="2"/>
        </w:numPr>
        <w:rPr>
          <w:rFonts w:ascii="Arial" w:hAnsi="Arial" w:cs="Arial"/>
          <w:b/>
          <w:bCs/>
          <w:i/>
          <w:iCs/>
          <w:sz w:val="24"/>
          <w:szCs w:val="24"/>
        </w:rPr>
      </w:pPr>
      <w:r w:rsidRPr="00DD197B">
        <w:rPr>
          <w:rFonts w:ascii="Arial" w:hAnsi="Arial" w:cs="Arial"/>
          <w:sz w:val="24"/>
          <w:szCs w:val="24"/>
        </w:rPr>
        <w:t>The reasons for the late delivery were articulated in an email dated 2 July 2019</w:t>
      </w:r>
      <w:r w:rsidR="0002034C" w:rsidRPr="00DD197B">
        <w:rPr>
          <w:rFonts w:ascii="Arial" w:hAnsi="Arial" w:cs="Arial"/>
          <w:sz w:val="24"/>
          <w:szCs w:val="24"/>
        </w:rPr>
        <w:t>;</w:t>
      </w:r>
    </w:p>
    <w:p w14:paraId="31A2C814" w14:textId="77777777" w:rsidR="0002034C" w:rsidRPr="00DD197B" w:rsidRDefault="0002034C" w:rsidP="00DD197B">
      <w:pPr>
        <w:pStyle w:val="ListParagraph"/>
        <w:rPr>
          <w:rFonts w:ascii="Arial" w:hAnsi="Arial" w:cs="Arial"/>
          <w:b/>
          <w:bCs/>
          <w:i/>
          <w:iCs/>
          <w:sz w:val="24"/>
          <w:szCs w:val="24"/>
        </w:rPr>
      </w:pPr>
    </w:p>
    <w:p w14:paraId="450D7DE0" w14:textId="4BF53F15" w:rsidR="0002034C" w:rsidRPr="00DD197B" w:rsidRDefault="0002034C" w:rsidP="00DD197B">
      <w:pPr>
        <w:pStyle w:val="ListParagraph"/>
        <w:numPr>
          <w:ilvl w:val="1"/>
          <w:numId w:val="2"/>
        </w:numPr>
        <w:rPr>
          <w:rFonts w:ascii="Arial" w:hAnsi="Arial" w:cs="Arial"/>
          <w:b/>
          <w:bCs/>
          <w:i/>
          <w:iCs/>
          <w:sz w:val="24"/>
          <w:szCs w:val="24"/>
        </w:rPr>
      </w:pPr>
      <w:r w:rsidRPr="00DD197B">
        <w:rPr>
          <w:rFonts w:ascii="Arial" w:hAnsi="Arial" w:cs="Arial"/>
          <w:sz w:val="24"/>
          <w:szCs w:val="24"/>
        </w:rPr>
        <w:t>On 19 November 2019, the second respondent’s transactions committee made a recommendation to the mayoral committee for the approval of the installation of the bulk services;</w:t>
      </w:r>
    </w:p>
    <w:p w14:paraId="0C5F9A0B" w14:textId="77777777" w:rsidR="0002034C" w:rsidRPr="00DD197B" w:rsidRDefault="0002034C" w:rsidP="00DD197B">
      <w:pPr>
        <w:pStyle w:val="ListParagraph"/>
        <w:rPr>
          <w:rFonts w:ascii="Arial" w:hAnsi="Arial" w:cs="Arial"/>
          <w:b/>
          <w:bCs/>
          <w:i/>
          <w:iCs/>
          <w:sz w:val="24"/>
          <w:szCs w:val="24"/>
        </w:rPr>
      </w:pPr>
    </w:p>
    <w:p w14:paraId="6D4A6C81" w14:textId="77777777" w:rsidR="009F5D21" w:rsidRPr="00DD197B" w:rsidRDefault="00B406E1" w:rsidP="00DD197B">
      <w:pPr>
        <w:pStyle w:val="ListParagraph"/>
        <w:numPr>
          <w:ilvl w:val="1"/>
          <w:numId w:val="2"/>
        </w:numPr>
        <w:rPr>
          <w:rFonts w:ascii="Arial" w:hAnsi="Arial" w:cs="Arial"/>
          <w:b/>
          <w:bCs/>
          <w:i/>
          <w:iCs/>
          <w:sz w:val="24"/>
          <w:szCs w:val="24"/>
        </w:rPr>
      </w:pPr>
      <w:r w:rsidRPr="00DD197B">
        <w:rPr>
          <w:rFonts w:ascii="Arial" w:hAnsi="Arial" w:cs="Arial"/>
          <w:sz w:val="24"/>
          <w:szCs w:val="24"/>
        </w:rPr>
        <w:t xml:space="preserve">In July 2020, the City Council resolved </w:t>
      </w:r>
      <w:r w:rsidR="000C50D8" w:rsidRPr="00DD197B">
        <w:rPr>
          <w:rFonts w:ascii="Arial" w:hAnsi="Arial" w:cs="Arial"/>
          <w:sz w:val="24"/>
          <w:szCs w:val="24"/>
        </w:rPr>
        <w:t>as follows:</w:t>
      </w:r>
    </w:p>
    <w:p w14:paraId="5B3190D7" w14:textId="77777777" w:rsidR="009F5D21" w:rsidRPr="00DD197B" w:rsidRDefault="009F5D21" w:rsidP="00DD197B">
      <w:pPr>
        <w:pStyle w:val="ListParagraph"/>
        <w:rPr>
          <w:rFonts w:ascii="Arial" w:hAnsi="Arial" w:cs="Arial"/>
          <w:i/>
          <w:iCs/>
          <w:sz w:val="24"/>
          <w:szCs w:val="24"/>
        </w:rPr>
      </w:pPr>
    </w:p>
    <w:p w14:paraId="502DE965" w14:textId="1B1A21BB" w:rsidR="0002034C" w:rsidRPr="00DD197B" w:rsidRDefault="009F5D21" w:rsidP="00DD197B">
      <w:pPr>
        <w:pStyle w:val="ListParagraph"/>
        <w:ind w:left="2160" w:hanging="720"/>
        <w:rPr>
          <w:rFonts w:ascii="Arial" w:hAnsi="Arial" w:cs="Arial"/>
          <w:b/>
          <w:bCs/>
          <w:i/>
          <w:iCs/>
          <w:sz w:val="24"/>
          <w:szCs w:val="24"/>
        </w:rPr>
      </w:pPr>
      <w:r w:rsidRPr="00DD197B">
        <w:rPr>
          <w:rFonts w:ascii="Arial" w:hAnsi="Arial" w:cs="Arial"/>
          <w:i/>
          <w:iCs/>
          <w:sz w:val="24"/>
          <w:szCs w:val="24"/>
        </w:rPr>
        <w:t>“[1]</w:t>
      </w:r>
      <w:r w:rsidRPr="00DD197B">
        <w:rPr>
          <w:rFonts w:ascii="Arial" w:hAnsi="Arial" w:cs="Arial"/>
          <w:i/>
          <w:iCs/>
          <w:sz w:val="24"/>
          <w:szCs w:val="24"/>
        </w:rPr>
        <w:tab/>
      </w:r>
      <w:r w:rsidR="000C50D8" w:rsidRPr="00DD197B">
        <w:rPr>
          <w:rFonts w:ascii="Arial" w:hAnsi="Arial" w:cs="Arial"/>
          <w:i/>
          <w:iCs/>
          <w:sz w:val="24"/>
          <w:szCs w:val="24"/>
        </w:rPr>
        <w:t>That the</w:t>
      </w:r>
      <w:r w:rsidRPr="00DD197B">
        <w:rPr>
          <w:rFonts w:ascii="Arial" w:hAnsi="Arial" w:cs="Arial"/>
          <w:i/>
          <w:iCs/>
          <w:sz w:val="24"/>
          <w:szCs w:val="24"/>
        </w:rPr>
        <w:t xml:space="preserve"> City shall </w:t>
      </w:r>
      <w:r w:rsidR="00B406E1" w:rsidRPr="00DD197B">
        <w:rPr>
          <w:rFonts w:ascii="Arial" w:hAnsi="Arial" w:cs="Arial"/>
          <w:i/>
          <w:iCs/>
          <w:sz w:val="24"/>
          <w:szCs w:val="24"/>
        </w:rPr>
        <w:t>install the</w:t>
      </w:r>
      <w:r w:rsidRPr="00DD197B">
        <w:rPr>
          <w:rFonts w:ascii="Arial" w:hAnsi="Arial" w:cs="Arial"/>
          <w:i/>
          <w:iCs/>
          <w:sz w:val="24"/>
          <w:szCs w:val="24"/>
        </w:rPr>
        <w:t xml:space="preserve"> required electrical and water</w:t>
      </w:r>
      <w:r w:rsidR="00B406E1" w:rsidRPr="00DD197B">
        <w:rPr>
          <w:rFonts w:ascii="Arial" w:hAnsi="Arial" w:cs="Arial"/>
          <w:i/>
          <w:iCs/>
          <w:sz w:val="24"/>
          <w:szCs w:val="24"/>
        </w:rPr>
        <w:t xml:space="preserve"> bulk services in respect of</w:t>
      </w:r>
      <w:r w:rsidRPr="00DD197B">
        <w:rPr>
          <w:rFonts w:ascii="Arial" w:hAnsi="Arial" w:cs="Arial"/>
          <w:i/>
          <w:iCs/>
          <w:sz w:val="24"/>
          <w:szCs w:val="24"/>
        </w:rPr>
        <w:t xml:space="preserve"> the properties E</w:t>
      </w:r>
      <w:r w:rsidR="00B406E1" w:rsidRPr="00DD197B">
        <w:rPr>
          <w:rFonts w:ascii="Arial" w:hAnsi="Arial" w:cs="Arial"/>
          <w:i/>
          <w:iCs/>
          <w:sz w:val="24"/>
          <w:szCs w:val="24"/>
        </w:rPr>
        <w:t>rven 1731 to 1781</w:t>
      </w:r>
      <w:r w:rsidRPr="00DD197B">
        <w:rPr>
          <w:rFonts w:ascii="Arial" w:hAnsi="Arial" w:cs="Arial"/>
          <w:i/>
          <w:iCs/>
          <w:sz w:val="24"/>
          <w:szCs w:val="24"/>
        </w:rPr>
        <w:t xml:space="preserve"> depicted </w:t>
      </w:r>
      <w:r w:rsidRPr="00DD197B">
        <w:rPr>
          <w:rFonts w:ascii="Arial" w:hAnsi="Arial" w:cs="Arial"/>
          <w:i/>
          <w:iCs/>
          <w:sz w:val="24"/>
          <w:szCs w:val="24"/>
        </w:rPr>
        <w:lastRenderedPageBreak/>
        <w:t>on the map Annexure G</w:t>
      </w:r>
      <w:r w:rsidR="00B406E1" w:rsidRPr="00DD197B">
        <w:rPr>
          <w:rFonts w:ascii="Arial" w:hAnsi="Arial" w:cs="Arial"/>
          <w:i/>
          <w:iCs/>
          <w:sz w:val="24"/>
          <w:szCs w:val="24"/>
        </w:rPr>
        <w:t xml:space="preserve"> in accordance with</w:t>
      </w:r>
      <w:r w:rsidRPr="00DD197B">
        <w:rPr>
          <w:rFonts w:ascii="Arial" w:hAnsi="Arial" w:cs="Arial"/>
          <w:i/>
          <w:iCs/>
          <w:sz w:val="24"/>
          <w:szCs w:val="24"/>
        </w:rPr>
        <w:t xml:space="preserve"> </w:t>
      </w:r>
      <w:r w:rsidR="00B406E1" w:rsidRPr="00DD197B">
        <w:rPr>
          <w:rFonts w:ascii="Arial" w:hAnsi="Arial" w:cs="Arial"/>
          <w:i/>
          <w:iCs/>
          <w:sz w:val="24"/>
          <w:szCs w:val="24"/>
        </w:rPr>
        <w:t xml:space="preserve">budget </w:t>
      </w:r>
      <w:r w:rsidRPr="00DD197B">
        <w:rPr>
          <w:rFonts w:ascii="Arial" w:hAnsi="Arial" w:cs="Arial"/>
          <w:i/>
          <w:iCs/>
          <w:sz w:val="24"/>
          <w:szCs w:val="24"/>
        </w:rPr>
        <w:t xml:space="preserve">available </w:t>
      </w:r>
      <w:r w:rsidR="00B406E1" w:rsidRPr="00DD197B">
        <w:rPr>
          <w:rFonts w:ascii="Arial" w:hAnsi="Arial" w:cs="Arial"/>
          <w:i/>
          <w:iCs/>
          <w:sz w:val="24"/>
          <w:szCs w:val="24"/>
        </w:rPr>
        <w:t>over the applicable financial years</w:t>
      </w:r>
      <w:r w:rsidRPr="00DD197B">
        <w:rPr>
          <w:rFonts w:ascii="Arial" w:hAnsi="Arial" w:cs="Arial"/>
          <w:i/>
          <w:iCs/>
          <w:sz w:val="24"/>
          <w:szCs w:val="24"/>
        </w:rPr>
        <w:t>.</w:t>
      </w:r>
    </w:p>
    <w:p w14:paraId="431CBEC2" w14:textId="77777777" w:rsidR="000C50D8" w:rsidRPr="00DD197B" w:rsidRDefault="000C50D8" w:rsidP="00DD197B">
      <w:pPr>
        <w:pStyle w:val="ListParagraph"/>
        <w:ind w:left="2268"/>
        <w:rPr>
          <w:rFonts w:ascii="Arial" w:hAnsi="Arial" w:cs="Arial"/>
          <w:b/>
          <w:bCs/>
          <w:i/>
          <w:iCs/>
          <w:sz w:val="24"/>
          <w:szCs w:val="24"/>
        </w:rPr>
      </w:pPr>
    </w:p>
    <w:p w14:paraId="679E3D0A" w14:textId="5B0691E4" w:rsidR="000C50D8" w:rsidRPr="00DD197B" w:rsidRDefault="009F5D21" w:rsidP="00DD197B">
      <w:pPr>
        <w:ind w:left="2160" w:hanging="720"/>
        <w:rPr>
          <w:rFonts w:ascii="Arial" w:hAnsi="Arial" w:cs="Arial"/>
          <w:b/>
          <w:bCs/>
          <w:i/>
          <w:iCs/>
          <w:sz w:val="24"/>
          <w:szCs w:val="24"/>
        </w:rPr>
      </w:pPr>
      <w:r w:rsidRPr="00DD197B">
        <w:rPr>
          <w:rFonts w:ascii="Arial" w:hAnsi="Arial" w:cs="Arial"/>
          <w:i/>
          <w:iCs/>
          <w:sz w:val="24"/>
          <w:szCs w:val="24"/>
        </w:rPr>
        <w:t>[2]</w:t>
      </w:r>
      <w:r w:rsidRPr="00DD197B">
        <w:rPr>
          <w:rFonts w:ascii="Arial" w:hAnsi="Arial" w:cs="Arial"/>
          <w:i/>
          <w:iCs/>
          <w:sz w:val="24"/>
          <w:szCs w:val="24"/>
        </w:rPr>
        <w:tab/>
        <w:t xml:space="preserve">That </w:t>
      </w:r>
      <w:r w:rsidR="000C50D8" w:rsidRPr="00DD197B">
        <w:rPr>
          <w:rFonts w:ascii="Arial" w:hAnsi="Arial" w:cs="Arial"/>
          <w:i/>
          <w:iCs/>
          <w:sz w:val="24"/>
          <w:szCs w:val="24"/>
        </w:rPr>
        <w:t xml:space="preserve">the </w:t>
      </w:r>
      <w:r w:rsidRPr="00DD197B">
        <w:rPr>
          <w:rFonts w:ascii="Arial" w:hAnsi="Arial" w:cs="Arial"/>
          <w:i/>
          <w:iCs/>
          <w:sz w:val="24"/>
          <w:szCs w:val="24"/>
        </w:rPr>
        <w:t>R</w:t>
      </w:r>
      <w:r w:rsidR="000C50D8" w:rsidRPr="00DD197B">
        <w:rPr>
          <w:rFonts w:ascii="Arial" w:hAnsi="Arial" w:cs="Arial"/>
          <w:i/>
          <w:iCs/>
          <w:sz w:val="24"/>
          <w:szCs w:val="24"/>
        </w:rPr>
        <w:t xml:space="preserve">evenue </w:t>
      </w:r>
      <w:r w:rsidRPr="00DD197B">
        <w:rPr>
          <w:rFonts w:ascii="Arial" w:hAnsi="Arial" w:cs="Arial"/>
          <w:i/>
          <w:iCs/>
          <w:sz w:val="24"/>
          <w:szCs w:val="24"/>
        </w:rPr>
        <w:t>D</w:t>
      </w:r>
      <w:r w:rsidR="000C50D8" w:rsidRPr="00DD197B">
        <w:rPr>
          <w:rFonts w:ascii="Arial" w:hAnsi="Arial" w:cs="Arial"/>
          <w:i/>
          <w:iCs/>
          <w:sz w:val="24"/>
          <w:szCs w:val="24"/>
        </w:rPr>
        <w:t xml:space="preserve">epartment of the </w:t>
      </w:r>
      <w:r w:rsidRPr="00DD197B">
        <w:rPr>
          <w:rFonts w:ascii="Arial" w:hAnsi="Arial" w:cs="Arial"/>
          <w:i/>
          <w:iCs/>
          <w:sz w:val="24"/>
          <w:szCs w:val="24"/>
        </w:rPr>
        <w:t xml:space="preserve">City </w:t>
      </w:r>
      <w:r w:rsidR="000C50D8" w:rsidRPr="00DD197B">
        <w:rPr>
          <w:rFonts w:ascii="Arial" w:hAnsi="Arial" w:cs="Arial"/>
          <w:i/>
          <w:iCs/>
          <w:sz w:val="24"/>
          <w:szCs w:val="24"/>
        </w:rPr>
        <w:t>submit</w:t>
      </w:r>
      <w:r w:rsidRPr="00DD197B">
        <w:rPr>
          <w:rFonts w:ascii="Arial" w:hAnsi="Arial" w:cs="Arial"/>
          <w:i/>
          <w:iCs/>
          <w:sz w:val="24"/>
          <w:szCs w:val="24"/>
        </w:rPr>
        <w:t>s</w:t>
      </w:r>
      <w:r w:rsidR="000C50D8" w:rsidRPr="00DD197B">
        <w:rPr>
          <w:rFonts w:ascii="Arial" w:hAnsi="Arial" w:cs="Arial"/>
          <w:i/>
          <w:iCs/>
          <w:sz w:val="24"/>
          <w:szCs w:val="24"/>
        </w:rPr>
        <w:t xml:space="preserve"> the requisite </w:t>
      </w:r>
      <w:r w:rsidRPr="00DD197B">
        <w:rPr>
          <w:rFonts w:ascii="Arial" w:hAnsi="Arial" w:cs="Arial"/>
          <w:i/>
          <w:iCs/>
          <w:sz w:val="24"/>
          <w:szCs w:val="24"/>
        </w:rPr>
        <w:t>report for the write off the rates and taxes in respect of the erven listed on Annexure A</w:t>
      </w:r>
      <w:r w:rsidR="00FF098B" w:rsidRPr="00DD197B">
        <w:rPr>
          <w:rFonts w:ascii="Arial" w:hAnsi="Arial" w:cs="Arial"/>
          <w:i/>
          <w:iCs/>
          <w:sz w:val="24"/>
          <w:szCs w:val="24"/>
        </w:rPr>
        <w:t>, amounting to R917 875. 26 including any amounts accumulated subsequent to the approval of the report be written off in terms of the approved delegations of the COJ”</w:t>
      </w:r>
      <w:r w:rsidR="00FF098B" w:rsidRPr="00DD197B">
        <w:rPr>
          <w:rFonts w:ascii="Arial" w:hAnsi="Arial" w:cs="Arial"/>
          <w:sz w:val="24"/>
          <w:szCs w:val="24"/>
        </w:rPr>
        <w:t>;</w:t>
      </w:r>
      <w:r w:rsidR="00FF098B" w:rsidRPr="00DD197B">
        <w:rPr>
          <w:rFonts w:ascii="Arial" w:hAnsi="Arial" w:cs="Arial"/>
          <w:i/>
          <w:iCs/>
          <w:sz w:val="24"/>
          <w:szCs w:val="24"/>
        </w:rPr>
        <w:t xml:space="preserve"> </w:t>
      </w:r>
      <w:r w:rsidRPr="00DD197B">
        <w:rPr>
          <w:rFonts w:ascii="Arial" w:hAnsi="Arial" w:cs="Arial"/>
          <w:i/>
          <w:iCs/>
          <w:sz w:val="24"/>
          <w:szCs w:val="24"/>
        </w:rPr>
        <w:t xml:space="preserve"> </w:t>
      </w:r>
      <w:r w:rsidR="000C50D8" w:rsidRPr="00DD197B">
        <w:rPr>
          <w:rFonts w:ascii="Arial" w:hAnsi="Arial" w:cs="Arial"/>
          <w:i/>
          <w:iCs/>
          <w:sz w:val="24"/>
          <w:szCs w:val="24"/>
        </w:rPr>
        <w:t xml:space="preserve">  </w:t>
      </w:r>
    </w:p>
    <w:p w14:paraId="175B8B02" w14:textId="77777777" w:rsidR="00B406E1" w:rsidRPr="00DD197B" w:rsidRDefault="00B406E1" w:rsidP="00DD197B">
      <w:pPr>
        <w:pStyle w:val="ListParagraph"/>
        <w:rPr>
          <w:rFonts w:ascii="Arial" w:hAnsi="Arial" w:cs="Arial"/>
          <w:b/>
          <w:bCs/>
          <w:i/>
          <w:iCs/>
          <w:sz w:val="24"/>
          <w:szCs w:val="24"/>
        </w:rPr>
      </w:pPr>
    </w:p>
    <w:p w14:paraId="2E6943D2" w14:textId="7824267A" w:rsidR="00B406E1" w:rsidRPr="00DD197B" w:rsidRDefault="00C80DC4" w:rsidP="00DD197B">
      <w:pPr>
        <w:pStyle w:val="ListParagraph"/>
        <w:numPr>
          <w:ilvl w:val="1"/>
          <w:numId w:val="2"/>
        </w:numPr>
        <w:rPr>
          <w:rFonts w:ascii="Arial" w:hAnsi="Arial" w:cs="Arial"/>
          <w:b/>
          <w:bCs/>
          <w:i/>
          <w:iCs/>
          <w:sz w:val="24"/>
          <w:szCs w:val="24"/>
        </w:rPr>
      </w:pPr>
      <w:r w:rsidRPr="00DD197B">
        <w:rPr>
          <w:rFonts w:ascii="Arial" w:hAnsi="Arial" w:cs="Arial"/>
          <w:sz w:val="24"/>
          <w:szCs w:val="24"/>
        </w:rPr>
        <w:t xml:space="preserve">The resolution of July 2020 is evidential proof that there was compliance of the court order and therefore, it is not true and correct that the first respondent’s conduct is wilful and </w:t>
      </w:r>
      <w:r w:rsidRPr="00DD197B">
        <w:rPr>
          <w:rFonts w:ascii="Arial" w:hAnsi="Arial" w:cs="Arial"/>
          <w:i/>
          <w:iCs/>
          <w:sz w:val="24"/>
          <w:szCs w:val="24"/>
        </w:rPr>
        <w:t>mala fide</w:t>
      </w:r>
      <w:r w:rsidRPr="00DD197B">
        <w:rPr>
          <w:rFonts w:ascii="Arial" w:hAnsi="Arial" w:cs="Arial"/>
          <w:sz w:val="24"/>
          <w:szCs w:val="24"/>
        </w:rPr>
        <w:t xml:space="preserve"> </w:t>
      </w:r>
      <w:r w:rsidRPr="00DD197B">
        <w:rPr>
          <w:rFonts w:ascii="Arial" w:hAnsi="Arial" w:cs="Arial"/>
          <w:i/>
          <w:iCs/>
          <w:sz w:val="24"/>
          <w:szCs w:val="24"/>
        </w:rPr>
        <w:t>“when a report was previously filed with the registrar”</w:t>
      </w:r>
      <w:r w:rsidR="00FF098B" w:rsidRPr="00DD197B">
        <w:rPr>
          <w:rFonts w:ascii="Arial" w:hAnsi="Arial" w:cs="Arial"/>
          <w:sz w:val="24"/>
          <w:szCs w:val="24"/>
        </w:rPr>
        <w:t>.</w:t>
      </w:r>
    </w:p>
    <w:p w14:paraId="29171A00" w14:textId="77777777" w:rsidR="00C80DC4" w:rsidRPr="00DD197B" w:rsidRDefault="00C80DC4" w:rsidP="00DD197B">
      <w:pPr>
        <w:pStyle w:val="ListParagraph"/>
        <w:rPr>
          <w:rFonts w:ascii="Arial" w:hAnsi="Arial" w:cs="Arial"/>
          <w:b/>
          <w:bCs/>
          <w:i/>
          <w:iCs/>
          <w:sz w:val="24"/>
          <w:szCs w:val="24"/>
        </w:rPr>
      </w:pPr>
    </w:p>
    <w:p w14:paraId="37BFBA93" w14:textId="113DD2C5" w:rsidR="00236B93" w:rsidRPr="00DD197B" w:rsidRDefault="00FF098B" w:rsidP="00DD197B">
      <w:pPr>
        <w:pStyle w:val="ListParagraph"/>
        <w:numPr>
          <w:ilvl w:val="0"/>
          <w:numId w:val="2"/>
        </w:numPr>
        <w:ind w:hanging="720"/>
        <w:rPr>
          <w:rFonts w:ascii="Arial" w:hAnsi="Arial" w:cs="Arial"/>
          <w:b/>
          <w:bCs/>
          <w:i/>
          <w:iCs/>
          <w:sz w:val="24"/>
          <w:szCs w:val="24"/>
        </w:rPr>
      </w:pPr>
      <w:r w:rsidRPr="00DD197B">
        <w:rPr>
          <w:rFonts w:ascii="Arial" w:hAnsi="Arial" w:cs="Arial"/>
          <w:sz w:val="24"/>
          <w:szCs w:val="24"/>
        </w:rPr>
        <w:t>The applicant however argue</w:t>
      </w:r>
      <w:r w:rsidR="00DC5DAC">
        <w:rPr>
          <w:rFonts w:ascii="Arial" w:hAnsi="Arial" w:cs="Arial"/>
          <w:sz w:val="24"/>
          <w:szCs w:val="24"/>
        </w:rPr>
        <w:t>s</w:t>
      </w:r>
      <w:r w:rsidRPr="00DD197B">
        <w:rPr>
          <w:rFonts w:ascii="Arial" w:hAnsi="Arial" w:cs="Arial"/>
          <w:sz w:val="24"/>
          <w:szCs w:val="24"/>
        </w:rPr>
        <w:t xml:space="preserve"> that</w:t>
      </w:r>
      <w:r w:rsidR="00C7708A" w:rsidRPr="00DD197B">
        <w:rPr>
          <w:rFonts w:ascii="Arial" w:hAnsi="Arial" w:cs="Arial"/>
          <w:sz w:val="24"/>
          <w:szCs w:val="24"/>
        </w:rPr>
        <w:t>:</w:t>
      </w:r>
      <w:r w:rsidRPr="00DD197B">
        <w:rPr>
          <w:rFonts w:ascii="Arial" w:hAnsi="Arial" w:cs="Arial"/>
          <w:sz w:val="24"/>
          <w:szCs w:val="24"/>
        </w:rPr>
        <w:t xml:space="preserve"> </w:t>
      </w:r>
    </w:p>
    <w:p w14:paraId="7F398FA1" w14:textId="5E4802D5" w:rsidR="00236B93" w:rsidRPr="00DD197B" w:rsidRDefault="00236B93" w:rsidP="00DD197B">
      <w:pPr>
        <w:pStyle w:val="ListParagraph"/>
        <w:rPr>
          <w:rFonts w:ascii="Arial" w:hAnsi="Arial" w:cs="Arial"/>
          <w:sz w:val="24"/>
          <w:szCs w:val="24"/>
        </w:rPr>
      </w:pPr>
    </w:p>
    <w:p w14:paraId="4F621333" w14:textId="20750673" w:rsidR="00C7708A" w:rsidRPr="00DD197B" w:rsidRDefault="00236B93" w:rsidP="00DD197B">
      <w:pPr>
        <w:pStyle w:val="ListParagraph"/>
        <w:numPr>
          <w:ilvl w:val="1"/>
          <w:numId w:val="2"/>
        </w:numPr>
        <w:rPr>
          <w:rFonts w:ascii="Arial" w:hAnsi="Arial" w:cs="Arial"/>
          <w:b/>
          <w:bCs/>
          <w:i/>
          <w:iCs/>
          <w:sz w:val="24"/>
          <w:szCs w:val="24"/>
        </w:rPr>
      </w:pPr>
      <w:r w:rsidRPr="00DD197B">
        <w:rPr>
          <w:rFonts w:ascii="Arial" w:hAnsi="Arial" w:cs="Arial"/>
          <w:sz w:val="24"/>
          <w:szCs w:val="24"/>
        </w:rPr>
        <w:t>On 12 June 2019, the respondents’ attorneys filed a document that they allege is a report under the cover of a letter dated 31 May 2019</w:t>
      </w:r>
      <w:r w:rsidR="00C7708A" w:rsidRPr="00DD197B">
        <w:rPr>
          <w:rFonts w:ascii="Arial" w:hAnsi="Arial" w:cs="Arial"/>
          <w:sz w:val="24"/>
          <w:szCs w:val="24"/>
        </w:rPr>
        <w:t xml:space="preserve">. </w:t>
      </w:r>
      <w:r w:rsidRPr="00DD197B">
        <w:rPr>
          <w:rFonts w:ascii="Arial" w:hAnsi="Arial" w:cs="Arial"/>
          <w:sz w:val="24"/>
          <w:szCs w:val="24"/>
        </w:rPr>
        <w:t>The purported report was</w:t>
      </w:r>
      <w:r w:rsidR="00C7708A" w:rsidRPr="00DD197B">
        <w:rPr>
          <w:rFonts w:ascii="Arial" w:hAnsi="Arial" w:cs="Arial"/>
          <w:sz w:val="24"/>
          <w:szCs w:val="24"/>
        </w:rPr>
        <w:t xml:space="preserve"> however</w:t>
      </w:r>
      <w:r w:rsidRPr="00DD197B">
        <w:rPr>
          <w:rFonts w:ascii="Arial" w:hAnsi="Arial" w:cs="Arial"/>
          <w:sz w:val="24"/>
          <w:szCs w:val="24"/>
        </w:rPr>
        <w:t xml:space="preserve"> </w:t>
      </w:r>
    </w:p>
    <w:p w14:paraId="68E62F2D" w14:textId="77777777" w:rsidR="00C7708A" w:rsidRPr="00DD197B" w:rsidRDefault="00C7708A" w:rsidP="00DD197B">
      <w:pPr>
        <w:pStyle w:val="ListParagraph"/>
        <w:ind w:left="1440"/>
        <w:rPr>
          <w:rFonts w:ascii="Arial" w:hAnsi="Arial" w:cs="Arial"/>
          <w:sz w:val="24"/>
          <w:szCs w:val="24"/>
        </w:rPr>
      </w:pPr>
    </w:p>
    <w:p w14:paraId="405E356E" w14:textId="302F3253" w:rsidR="00C7708A" w:rsidRPr="00DD197B" w:rsidRDefault="00236B93" w:rsidP="00DD197B">
      <w:pPr>
        <w:pStyle w:val="ListParagraph"/>
        <w:numPr>
          <w:ilvl w:val="2"/>
          <w:numId w:val="2"/>
        </w:numPr>
        <w:ind w:hanging="382"/>
        <w:rPr>
          <w:rFonts w:ascii="Arial" w:hAnsi="Arial" w:cs="Arial"/>
          <w:b/>
          <w:bCs/>
          <w:i/>
          <w:iCs/>
          <w:sz w:val="24"/>
          <w:szCs w:val="24"/>
        </w:rPr>
      </w:pPr>
      <w:r w:rsidRPr="00DD197B">
        <w:rPr>
          <w:rFonts w:ascii="Arial" w:hAnsi="Arial" w:cs="Arial"/>
          <w:sz w:val="24"/>
          <w:szCs w:val="24"/>
        </w:rPr>
        <w:t>not made under oath as required by the court order;</w:t>
      </w:r>
      <w:r w:rsidR="00C7708A" w:rsidRPr="00DD197B">
        <w:rPr>
          <w:rFonts w:ascii="Arial" w:hAnsi="Arial" w:cs="Arial"/>
          <w:sz w:val="24"/>
          <w:szCs w:val="24"/>
        </w:rPr>
        <w:t xml:space="preserve"> and</w:t>
      </w:r>
    </w:p>
    <w:p w14:paraId="729DFBBA" w14:textId="77777777" w:rsidR="00C7708A" w:rsidRPr="00DD197B" w:rsidRDefault="00C7708A" w:rsidP="00DD197B">
      <w:pPr>
        <w:pStyle w:val="ListParagraph"/>
        <w:ind w:left="1800"/>
        <w:rPr>
          <w:rFonts w:ascii="Arial" w:hAnsi="Arial" w:cs="Arial"/>
          <w:b/>
          <w:bCs/>
          <w:i/>
          <w:iCs/>
          <w:sz w:val="24"/>
          <w:szCs w:val="24"/>
        </w:rPr>
      </w:pPr>
    </w:p>
    <w:p w14:paraId="23333630" w14:textId="79349DFD" w:rsidR="00B406E1" w:rsidRPr="00DD197B" w:rsidRDefault="00236B93" w:rsidP="00DD197B">
      <w:pPr>
        <w:pStyle w:val="ListParagraph"/>
        <w:numPr>
          <w:ilvl w:val="2"/>
          <w:numId w:val="2"/>
        </w:numPr>
        <w:ind w:left="2127" w:hanging="709"/>
        <w:rPr>
          <w:rFonts w:ascii="Arial" w:hAnsi="Arial" w:cs="Arial"/>
          <w:b/>
          <w:bCs/>
          <w:i/>
          <w:iCs/>
          <w:sz w:val="24"/>
          <w:szCs w:val="24"/>
        </w:rPr>
      </w:pPr>
      <w:r w:rsidRPr="00DD197B">
        <w:rPr>
          <w:rFonts w:ascii="Arial" w:hAnsi="Arial" w:cs="Arial"/>
          <w:sz w:val="24"/>
          <w:szCs w:val="24"/>
        </w:rPr>
        <w:t xml:space="preserve">nothing more than a consolidation of correspondence prior to the court order being granted </w:t>
      </w:r>
      <w:r w:rsidR="004E7517" w:rsidRPr="00DD197B">
        <w:rPr>
          <w:rFonts w:ascii="Arial" w:hAnsi="Arial" w:cs="Arial"/>
          <w:sz w:val="24"/>
          <w:szCs w:val="24"/>
        </w:rPr>
        <w:t>and fails to set out the steps that have been taken since the court order to install the bulk infrastructure;</w:t>
      </w:r>
    </w:p>
    <w:p w14:paraId="0662217B" w14:textId="77777777" w:rsidR="004E7517" w:rsidRPr="00DD197B" w:rsidRDefault="004E7517" w:rsidP="00DD197B">
      <w:pPr>
        <w:pStyle w:val="ListParagraph"/>
        <w:rPr>
          <w:rFonts w:ascii="Arial" w:hAnsi="Arial" w:cs="Arial"/>
          <w:b/>
          <w:bCs/>
          <w:i/>
          <w:iCs/>
          <w:sz w:val="24"/>
          <w:szCs w:val="24"/>
        </w:rPr>
      </w:pPr>
    </w:p>
    <w:p w14:paraId="595D6B95" w14:textId="4666FA3D" w:rsidR="004E7517" w:rsidRPr="00DD197B" w:rsidRDefault="004E7517" w:rsidP="00DD197B">
      <w:pPr>
        <w:pStyle w:val="ListParagraph"/>
        <w:numPr>
          <w:ilvl w:val="1"/>
          <w:numId w:val="2"/>
        </w:numPr>
        <w:rPr>
          <w:rFonts w:ascii="Arial" w:hAnsi="Arial" w:cs="Arial"/>
          <w:b/>
          <w:bCs/>
          <w:i/>
          <w:iCs/>
          <w:sz w:val="24"/>
          <w:szCs w:val="24"/>
        </w:rPr>
      </w:pPr>
      <w:r w:rsidRPr="00DD197B">
        <w:rPr>
          <w:rFonts w:ascii="Arial" w:hAnsi="Arial" w:cs="Arial"/>
          <w:sz w:val="24"/>
          <w:szCs w:val="24"/>
        </w:rPr>
        <w:t>To date, the rates and taxes accounts continue to accrue. The respondents have thus failed to write off the rates and taxes as per the court order;</w:t>
      </w:r>
    </w:p>
    <w:p w14:paraId="6FF50D91" w14:textId="77777777" w:rsidR="004E7517" w:rsidRPr="00DD197B" w:rsidRDefault="004E7517" w:rsidP="00DD197B">
      <w:pPr>
        <w:pStyle w:val="ListParagraph"/>
        <w:rPr>
          <w:rFonts w:ascii="Arial" w:hAnsi="Arial" w:cs="Arial"/>
          <w:sz w:val="24"/>
          <w:szCs w:val="24"/>
        </w:rPr>
      </w:pPr>
    </w:p>
    <w:p w14:paraId="41482340" w14:textId="1DAA5439" w:rsidR="00C7708A" w:rsidRPr="00DD197B" w:rsidRDefault="004E7517" w:rsidP="00DD197B">
      <w:pPr>
        <w:pStyle w:val="ListParagraph"/>
        <w:numPr>
          <w:ilvl w:val="1"/>
          <w:numId w:val="2"/>
        </w:numPr>
        <w:rPr>
          <w:rFonts w:ascii="Arial" w:hAnsi="Arial" w:cs="Arial"/>
          <w:b/>
          <w:bCs/>
          <w:i/>
          <w:iCs/>
          <w:sz w:val="24"/>
          <w:szCs w:val="24"/>
        </w:rPr>
      </w:pPr>
      <w:r w:rsidRPr="00DD197B">
        <w:rPr>
          <w:rFonts w:ascii="Arial" w:hAnsi="Arial" w:cs="Arial"/>
          <w:sz w:val="24"/>
          <w:szCs w:val="24"/>
        </w:rPr>
        <w:t>The applicants</w:t>
      </w:r>
      <w:r w:rsidR="00C7708A" w:rsidRPr="00DD197B">
        <w:rPr>
          <w:rFonts w:ascii="Arial" w:hAnsi="Arial" w:cs="Arial"/>
          <w:sz w:val="24"/>
          <w:szCs w:val="24"/>
        </w:rPr>
        <w:t>’ attorneys</w:t>
      </w:r>
      <w:r w:rsidRPr="00DD197B">
        <w:rPr>
          <w:rFonts w:ascii="Arial" w:hAnsi="Arial" w:cs="Arial"/>
          <w:sz w:val="24"/>
          <w:szCs w:val="24"/>
        </w:rPr>
        <w:t xml:space="preserve"> have, subsequent to the purported report, informed the respondents that the purported report is unsatisfactory and does not comply with the court order</w:t>
      </w:r>
      <w:r w:rsidR="00C7708A" w:rsidRPr="00DD197B">
        <w:rPr>
          <w:rFonts w:ascii="Arial" w:hAnsi="Arial" w:cs="Arial"/>
          <w:sz w:val="24"/>
          <w:szCs w:val="24"/>
        </w:rPr>
        <w:t>. The respondents were accordingly placed on terms to comply but failed to do so as a result, this application was launched.</w:t>
      </w:r>
    </w:p>
    <w:p w14:paraId="542EC3A9" w14:textId="77777777" w:rsidR="00C7708A" w:rsidRPr="00DD197B" w:rsidRDefault="00C7708A" w:rsidP="00DD197B">
      <w:pPr>
        <w:pStyle w:val="ListParagraph"/>
        <w:rPr>
          <w:rFonts w:ascii="Arial" w:hAnsi="Arial" w:cs="Arial"/>
          <w:b/>
          <w:bCs/>
          <w:i/>
          <w:iCs/>
          <w:sz w:val="24"/>
          <w:szCs w:val="24"/>
        </w:rPr>
      </w:pPr>
    </w:p>
    <w:p w14:paraId="2A6DDFC8" w14:textId="3772FE3C" w:rsidR="00C7708A" w:rsidRPr="00DD197B" w:rsidRDefault="00D46B6C" w:rsidP="00DD197B">
      <w:pPr>
        <w:pStyle w:val="ListParagraph"/>
        <w:numPr>
          <w:ilvl w:val="0"/>
          <w:numId w:val="2"/>
        </w:numPr>
        <w:ind w:hanging="720"/>
        <w:rPr>
          <w:rFonts w:ascii="Arial" w:hAnsi="Arial" w:cs="Arial"/>
          <w:b/>
          <w:bCs/>
          <w:sz w:val="24"/>
          <w:szCs w:val="24"/>
        </w:rPr>
      </w:pPr>
      <w:r w:rsidRPr="00DD197B">
        <w:rPr>
          <w:rFonts w:ascii="Arial" w:hAnsi="Arial" w:cs="Arial"/>
          <w:sz w:val="24"/>
          <w:szCs w:val="24"/>
        </w:rPr>
        <w:t xml:space="preserve">On a reading of the papers, the </w:t>
      </w:r>
      <w:r w:rsidR="0021644E" w:rsidRPr="00DD197B">
        <w:rPr>
          <w:rFonts w:ascii="Arial" w:hAnsi="Arial" w:cs="Arial"/>
          <w:sz w:val="24"/>
          <w:szCs w:val="24"/>
        </w:rPr>
        <w:t>following is apparent</w:t>
      </w:r>
      <w:r w:rsidRPr="00DD197B">
        <w:rPr>
          <w:rFonts w:ascii="Arial" w:hAnsi="Arial" w:cs="Arial"/>
          <w:sz w:val="24"/>
          <w:szCs w:val="24"/>
        </w:rPr>
        <w:t>:</w:t>
      </w:r>
    </w:p>
    <w:p w14:paraId="1672A379" w14:textId="46F60D68" w:rsidR="00D46B6C" w:rsidRPr="00DD197B" w:rsidRDefault="00D46B6C" w:rsidP="00DD197B">
      <w:pPr>
        <w:pStyle w:val="ListParagraph"/>
        <w:rPr>
          <w:rFonts w:ascii="Arial" w:hAnsi="Arial" w:cs="Arial"/>
          <w:sz w:val="24"/>
          <w:szCs w:val="24"/>
        </w:rPr>
      </w:pPr>
    </w:p>
    <w:p w14:paraId="03215D6A" w14:textId="64D22DEC" w:rsidR="00D46B6C" w:rsidRPr="00DD197B" w:rsidRDefault="00D46B6C" w:rsidP="00DD197B">
      <w:pPr>
        <w:pStyle w:val="ListParagraph"/>
        <w:numPr>
          <w:ilvl w:val="1"/>
          <w:numId w:val="2"/>
        </w:numPr>
        <w:rPr>
          <w:rFonts w:ascii="Arial" w:hAnsi="Arial" w:cs="Arial"/>
          <w:b/>
          <w:bCs/>
          <w:sz w:val="24"/>
          <w:szCs w:val="24"/>
        </w:rPr>
      </w:pPr>
      <w:r w:rsidRPr="00DD197B">
        <w:rPr>
          <w:rFonts w:ascii="Arial" w:hAnsi="Arial" w:cs="Arial"/>
          <w:sz w:val="24"/>
          <w:szCs w:val="24"/>
        </w:rPr>
        <w:t>On 12 June 2019, the respondent’s attorneys presented</w:t>
      </w:r>
      <w:r w:rsidR="00E843FB" w:rsidRPr="00DD197B">
        <w:rPr>
          <w:rFonts w:ascii="Arial" w:hAnsi="Arial" w:cs="Arial"/>
          <w:sz w:val="24"/>
          <w:szCs w:val="24"/>
        </w:rPr>
        <w:t xml:space="preserve"> for filing, as per the filing sheet,</w:t>
      </w:r>
      <w:r w:rsidRPr="00DD197B">
        <w:rPr>
          <w:rFonts w:ascii="Arial" w:hAnsi="Arial" w:cs="Arial"/>
          <w:sz w:val="24"/>
          <w:szCs w:val="24"/>
        </w:rPr>
        <w:t xml:space="preserve"> </w:t>
      </w:r>
      <w:r w:rsidRPr="00DD197B">
        <w:rPr>
          <w:rFonts w:ascii="Arial" w:hAnsi="Arial" w:cs="Arial"/>
          <w:i/>
          <w:iCs/>
          <w:sz w:val="24"/>
          <w:szCs w:val="24"/>
        </w:rPr>
        <w:t>“The First and Second Respondent’s Report”</w:t>
      </w:r>
      <w:r w:rsidRPr="00DD197B">
        <w:rPr>
          <w:rFonts w:ascii="Arial" w:hAnsi="Arial" w:cs="Arial"/>
          <w:sz w:val="24"/>
          <w:szCs w:val="24"/>
        </w:rPr>
        <w:t>.</w:t>
      </w:r>
    </w:p>
    <w:p w14:paraId="2C9EFA72" w14:textId="77777777" w:rsidR="00D46B6C" w:rsidRPr="00DD197B" w:rsidRDefault="00D46B6C" w:rsidP="00DD197B">
      <w:pPr>
        <w:pStyle w:val="ListParagraph"/>
        <w:ind w:left="1440"/>
        <w:rPr>
          <w:rFonts w:ascii="Arial" w:hAnsi="Arial" w:cs="Arial"/>
          <w:b/>
          <w:bCs/>
          <w:sz w:val="24"/>
          <w:szCs w:val="24"/>
        </w:rPr>
      </w:pPr>
    </w:p>
    <w:p w14:paraId="2C077CB6" w14:textId="77777777" w:rsidR="00251324" w:rsidRPr="00DD197B" w:rsidRDefault="00E843FB" w:rsidP="00DD197B">
      <w:pPr>
        <w:pStyle w:val="ListParagraph"/>
        <w:numPr>
          <w:ilvl w:val="1"/>
          <w:numId w:val="2"/>
        </w:numPr>
        <w:rPr>
          <w:rFonts w:ascii="Arial" w:hAnsi="Arial" w:cs="Arial"/>
          <w:b/>
          <w:bCs/>
          <w:sz w:val="24"/>
          <w:szCs w:val="24"/>
        </w:rPr>
      </w:pPr>
      <w:r w:rsidRPr="00DD197B">
        <w:rPr>
          <w:rFonts w:ascii="Arial" w:hAnsi="Arial" w:cs="Arial"/>
          <w:sz w:val="24"/>
          <w:szCs w:val="24"/>
        </w:rPr>
        <w:t xml:space="preserve">What was however filed was </w:t>
      </w:r>
    </w:p>
    <w:p w14:paraId="3648242A" w14:textId="77777777" w:rsidR="00251324" w:rsidRPr="00DD197B" w:rsidRDefault="00251324" w:rsidP="00DD197B">
      <w:pPr>
        <w:pStyle w:val="ListParagraph"/>
        <w:rPr>
          <w:rFonts w:ascii="Arial" w:hAnsi="Arial" w:cs="Arial"/>
          <w:sz w:val="24"/>
          <w:szCs w:val="24"/>
        </w:rPr>
      </w:pPr>
    </w:p>
    <w:p w14:paraId="081BD503" w14:textId="3D31EE88" w:rsidR="00E843FB" w:rsidRPr="00DD197B" w:rsidRDefault="00E843FB" w:rsidP="00DD197B">
      <w:pPr>
        <w:pStyle w:val="ListParagraph"/>
        <w:numPr>
          <w:ilvl w:val="2"/>
          <w:numId w:val="2"/>
        </w:numPr>
        <w:ind w:left="2410" w:hanging="850"/>
        <w:rPr>
          <w:rFonts w:ascii="Arial" w:hAnsi="Arial" w:cs="Arial"/>
          <w:b/>
          <w:bCs/>
          <w:sz w:val="24"/>
          <w:szCs w:val="24"/>
        </w:rPr>
      </w:pPr>
      <w:r w:rsidRPr="00DD197B">
        <w:rPr>
          <w:rFonts w:ascii="Arial" w:hAnsi="Arial" w:cs="Arial"/>
          <w:sz w:val="24"/>
          <w:szCs w:val="24"/>
        </w:rPr>
        <w:t>a letter, on the letterhead of the first respondent addressed to the respondents’ attorneys</w:t>
      </w:r>
      <w:r w:rsidR="00251324" w:rsidRPr="00DD197B">
        <w:rPr>
          <w:rFonts w:ascii="Arial" w:hAnsi="Arial" w:cs="Arial"/>
          <w:sz w:val="24"/>
          <w:szCs w:val="24"/>
        </w:rPr>
        <w:t xml:space="preserve"> dated 31 May 2019</w:t>
      </w:r>
      <w:r w:rsidRPr="00DD197B">
        <w:rPr>
          <w:rFonts w:ascii="Arial" w:hAnsi="Arial" w:cs="Arial"/>
          <w:sz w:val="24"/>
          <w:szCs w:val="24"/>
        </w:rPr>
        <w:t>, stating that:</w:t>
      </w:r>
    </w:p>
    <w:p w14:paraId="2EC79787" w14:textId="0BCB818C" w:rsidR="00E843FB" w:rsidRDefault="00E843FB" w:rsidP="00DD197B">
      <w:pPr>
        <w:pStyle w:val="ListParagraph"/>
        <w:rPr>
          <w:rFonts w:ascii="Arial" w:hAnsi="Arial" w:cs="Arial"/>
          <w:sz w:val="24"/>
          <w:szCs w:val="24"/>
        </w:rPr>
      </w:pPr>
    </w:p>
    <w:p w14:paraId="19359142" w14:textId="371249B3" w:rsidR="00DC5DAC" w:rsidRDefault="00DC5DAC" w:rsidP="00DD197B">
      <w:pPr>
        <w:pStyle w:val="ListParagraph"/>
        <w:rPr>
          <w:rFonts w:ascii="Arial" w:hAnsi="Arial" w:cs="Arial"/>
          <w:sz w:val="24"/>
          <w:szCs w:val="24"/>
        </w:rPr>
      </w:pPr>
    </w:p>
    <w:p w14:paraId="53A21EC2" w14:textId="77777777" w:rsidR="00DC5DAC" w:rsidRPr="00DD197B" w:rsidRDefault="00DC5DAC" w:rsidP="00DD197B">
      <w:pPr>
        <w:pStyle w:val="ListParagraph"/>
        <w:rPr>
          <w:rFonts w:ascii="Arial" w:hAnsi="Arial" w:cs="Arial"/>
          <w:sz w:val="24"/>
          <w:szCs w:val="24"/>
        </w:rPr>
      </w:pPr>
    </w:p>
    <w:p w14:paraId="0BF6D742" w14:textId="77777777" w:rsidR="00E843FB" w:rsidRPr="00DD197B" w:rsidRDefault="00E843FB" w:rsidP="00DD197B">
      <w:pPr>
        <w:pStyle w:val="ListParagraph"/>
        <w:ind w:left="1690" w:firstLine="720"/>
        <w:rPr>
          <w:rFonts w:ascii="Arial" w:hAnsi="Arial" w:cs="Arial"/>
          <w:i/>
          <w:iCs/>
          <w:sz w:val="24"/>
          <w:szCs w:val="24"/>
        </w:rPr>
      </w:pPr>
      <w:r w:rsidRPr="00DD197B">
        <w:rPr>
          <w:rFonts w:ascii="Arial" w:hAnsi="Arial" w:cs="Arial"/>
          <w:i/>
          <w:iCs/>
          <w:sz w:val="24"/>
          <w:szCs w:val="24"/>
        </w:rPr>
        <w:t>“…</w:t>
      </w:r>
    </w:p>
    <w:p w14:paraId="71F0CB85" w14:textId="77777777" w:rsidR="00857864" w:rsidRPr="00DD197B" w:rsidRDefault="00E843FB" w:rsidP="00DD197B">
      <w:pPr>
        <w:pStyle w:val="ListParagraph"/>
        <w:ind w:left="2880" w:hanging="470"/>
        <w:rPr>
          <w:rFonts w:ascii="Arial" w:hAnsi="Arial" w:cs="Arial"/>
          <w:i/>
          <w:iCs/>
          <w:sz w:val="24"/>
          <w:szCs w:val="24"/>
        </w:rPr>
      </w:pPr>
      <w:r w:rsidRPr="00DD197B">
        <w:rPr>
          <w:rFonts w:ascii="Arial" w:hAnsi="Arial" w:cs="Arial"/>
          <w:i/>
          <w:iCs/>
          <w:sz w:val="24"/>
          <w:szCs w:val="24"/>
        </w:rPr>
        <w:lastRenderedPageBreak/>
        <w:t>2.</w:t>
      </w:r>
      <w:r w:rsidR="00857864" w:rsidRPr="00DD197B">
        <w:rPr>
          <w:rFonts w:ascii="Arial" w:hAnsi="Arial" w:cs="Arial"/>
          <w:i/>
          <w:iCs/>
          <w:sz w:val="24"/>
          <w:szCs w:val="24"/>
        </w:rPr>
        <w:tab/>
      </w:r>
      <w:r w:rsidRPr="00DD197B">
        <w:rPr>
          <w:rFonts w:ascii="Arial" w:hAnsi="Arial" w:cs="Arial"/>
          <w:i/>
          <w:iCs/>
          <w:sz w:val="24"/>
          <w:szCs w:val="24"/>
        </w:rPr>
        <w:t xml:space="preserve">We have been attempting to secure a meeting with our Revenue Colleagues for some time now, without any success. We will continue to make every effort to secure same so that we can deal with the issues of </w:t>
      </w:r>
      <w:r w:rsidR="00857864" w:rsidRPr="00DD197B">
        <w:rPr>
          <w:rFonts w:ascii="Arial" w:hAnsi="Arial" w:cs="Arial"/>
          <w:i/>
          <w:iCs/>
          <w:sz w:val="24"/>
          <w:szCs w:val="24"/>
        </w:rPr>
        <w:t xml:space="preserve">rates </w:t>
      </w:r>
      <w:r w:rsidRPr="00DD197B">
        <w:rPr>
          <w:rFonts w:ascii="Arial" w:hAnsi="Arial" w:cs="Arial"/>
          <w:i/>
          <w:iCs/>
          <w:sz w:val="24"/>
          <w:szCs w:val="24"/>
        </w:rPr>
        <w:t>write</w:t>
      </w:r>
      <w:r w:rsidR="00857864" w:rsidRPr="00DD197B">
        <w:rPr>
          <w:rFonts w:ascii="Arial" w:hAnsi="Arial" w:cs="Arial"/>
          <w:i/>
          <w:iCs/>
          <w:sz w:val="24"/>
          <w:szCs w:val="24"/>
        </w:rPr>
        <w:t>-</w:t>
      </w:r>
      <w:r w:rsidRPr="00DD197B">
        <w:rPr>
          <w:rFonts w:ascii="Arial" w:hAnsi="Arial" w:cs="Arial"/>
          <w:i/>
          <w:iCs/>
          <w:sz w:val="24"/>
          <w:szCs w:val="24"/>
        </w:rPr>
        <w:t>off</w:t>
      </w:r>
      <w:r w:rsidR="00857864" w:rsidRPr="00DD197B">
        <w:rPr>
          <w:rFonts w:ascii="Arial" w:hAnsi="Arial" w:cs="Arial"/>
          <w:i/>
          <w:iCs/>
          <w:sz w:val="24"/>
          <w:szCs w:val="24"/>
        </w:rPr>
        <w:t>.</w:t>
      </w:r>
    </w:p>
    <w:p w14:paraId="6669A221" w14:textId="5FC35055" w:rsidR="00857864" w:rsidRPr="00DD197B" w:rsidRDefault="00857864" w:rsidP="00DD197B">
      <w:pPr>
        <w:pStyle w:val="ListParagraph"/>
        <w:ind w:left="2880" w:hanging="720"/>
        <w:rPr>
          <w:rFonts w:ascii="Arial" w:hAnsi="Arial" w:cs="Arial"/>
          <w:i/>
          <w:iCs/>
          <w:sz w:val="24"/>
          <w:szCs w:val="24"/>
        </w:rPr>
      </w:pPr>
      <w:r w:rsidRPr="00DD197B">
        <w:rPr>
          <w:rFonts w:ascii="Arial" w:hAnsi="Arial" w:cs="Arial"/>
          <w:i/>
          <w:iCs/>
          <w:sz w:val="24"/>
          <w:szCs w:val="24"/>
        </w:rPr>
        <w:t>3.</w:t>
      </w:r>
      <w:r w:rsidRPr="00DD197B">
        <w:rPr>
          <w:rFonts w:ascii="Arial" w:hAnsi="Arial" w:cs="Arial"/>
          <w:i/>
          <w:iCs/>
          <w:sz w:val="24"/>
          <w:szCs w:val="24"/>
        </w:rPr>
        <w:tab/>
        <w:t>We are also finalising a report to be submitted to Council for approval for installation of bulk services. The report will be included in the pack of our Next Transactions and Service Delivery Committee and Council.</w:t>
      </w:r>
    </w:p>
    <w:p w14:paraId="7816096A" w14:textId="77777777" w:rsidR="00857864" w:rsidRPr="00DD197B" w:rsidRDefault="00857864" w:rsidP="00DD197B">
      <w:pPr>
        <w:pStyle w:val="ListParagraph"/>
        <w:ind w:left="2160"/>
        <w:rPr>
          <w:rFonts w:ascii="Arial" w:hAnsi="Arial" w:cs="Arial"/>
          <w:i/>
          <w:iCs/>
          <w:sz w:val="24"/>
          <w:szCs w:val="24"/>
        </w:rPr>
      </w:pPr>
      <w:r w:rsidRPr="00DD197B">
        <w:rPr>
          <w:rFonts w:ascii="Arial" w:hAnsi="Arial" w:cs="Arial"/>
          <w:i/>
          <w:iCs/>
          <w:sz w:val="24"/>
          <w:szCs w:val="24"/>
        </w:rPr>
        <w:t>4.</w:t>
      </w:r>
      <w:r w:rsidRPr="00DD197B">
        <w:rPr>
          <w:rFonts w:ascii="Arial" w:hAnsi="Arial" w:cs="Arial"/>
          <w:i/>
          <w:iCs/>
          <w:sz w:val="24"/>
          <w:szCs w:val="24"/>
        </w:rPr>
        <w:tab/>
        <w:t xml:space="preserve">We attach the unsigned report for your convenience. </w:t>
      </w:r>
    </w:p>
    <w:p w14:paraId="7A5C60B3" w14:textId="77777777" w:rsidR="00251324" w:rsidRPr="00DD197B" w:rsidRDefault="00857864" w:rsidP="00DD197B">
      <w:pPr>
        <w:pStyle w:val="ListParagraph"/>
        <w:ind w:left="2880" w:hanging="720"/>
        <w:rPr>
          <w:rFonts w:ascii="Arial" w:hAnsi="Arial" w:cs="Arial"/>
          <w:i/>
          <w:iCs/>
          <w:sz w:val="24"/>
          <w:szCs w:val="24"/>
        </w:rPr>
      </w:pPr>
      <w:r w:rsidRPr="00DD197B">
        <w:rPr>
          <w:rFonts w:ascii="Arial" w:hAnsi="Arial" w:cs="Arial"/>
          <w:i/>
          <w:iCs/>
          <w:sz w:val="24"/>
          <w:szCs w:val="24"/>
        </w:rPr>
        <w:t>5.</w:t>
      </w:r>
      <w:r w:rsidRPr="00DD197B">
        <w:rPr>
          <w:rFonts w:ascii="Arial" w:hAnsi="Arial" w:cs="Arial"/>
          <w:i/>
          <w:iCs/>
          <w:sz w:val="24"/>
          <w:szCs w:val="24"/>
        </w:rPr>
        <w:tab/>
        <w:t>The Eskom input is still outstanding</w:t>
      </w:r>
      <w:r w:rsidR="00251324" w:rsidRPr="00DD197B">
        <w:rPr>
          <w:rFonts w:ascii="Arial" w:hAnsi="Arial" w:cs="Arial"/>
          <w:i/>
          <w:iCs/>
          <w:sz w:val="24"/>
          <w:szCs w:val="24"/>
        </w:rPr>
        <w:t>. However, we have decided to finalise the Report without the exact figure from Eskom.</w:t>
      </w:r>
    </w:p>
    <w:p w14:paraId="6195D9F9" w14:textId="77777777" w:rsidR="00251324" w:rsidRPr="00DD197B" w:rsidRDefault="00251324" w:rsidP="00DD197B">
      <w:pPr>
        <w:pStyle w:val="ListParagraph"/>
        <w:ind w:left="2160"/>
        <w:rPr>
          <w:rFonts w:ascii="Arial" w:hAnsi="Arial" w:cs="Arial"/>
          <w:i/>
          <w:iCs/>
          <w:sz w:val="24"/>
          <w:szCs w:val="24"/>
        </w:rPr>
      </w:pPr>
      <w:r w:rsidRPr="00DD197B">
        <w:rPr>
          <w:rFonts w:ascii="Arial" w:hAnsi="Arial" w:cs="Arial"/>
          <w:i/>
          <w:iCs/>
          <w:sz w:val="24"/>
          <w:szCs w:val="24"/>
        </w:rPr>
        <w:t>6.</w:t>
      </w:r>
      <w:r w:rsidRPr="00DD197B">
        <w:rPr>
          <w:rFonts w:ascii="Arial" w:hAnsi="Arial" w:cs="Arial"/>
          <w:i/>
          <w:iCs/>
          <w:sz w:val="24"/>
          <w:szCs w:val="24"/>
        </w:rPr>
        <w:tab/>
        <w:t>We will make room for the Eskom costs in the Report.</w:t>
      </w:r>
    </w:p>
    <w:p w14:paraId="552A2F2B" w14:textId="77777777" w:rsidR="00251324" w:rsidRPr="00DD197B" w:rsidRDefault="00251324" w:rsidP="00DD197B">
      <w:pPr>
        <w:pStyle w:val="ListParagraph"/>
        <w:ind w:left="2880" w:hanging="720"/>
        <w:rPr>
          <w:rFonts w:ascii="Arial" w:hAnsi="Arial" w:cs="Arial"/>
          <w:i/>
          <w:iCs/>
          <w:sz w:val="24"/>
          <w:szCs w:val="24"/>
        </w:rPr>
      </w:pPr>
      <w:r w:rsidRPr="00DD197B">
        <w:rPr>
          <w:rFonts w:ascii="Arial" w:hAnsi="Arial" w:cs="Arial"/>
          <w:i/>
          <w:iCs/>
          <w:sz w:val="24"/>
          <w:szCs w:val="24"/>
        </w:rPr>
        <w:t>7.</w:t>
      </w:r>
      <w:r w:rsidRPr="00DD197B">
        <w:rPr>
          <w:rFonts w:ascii="Arial" w:hAnsi="Arial" w:cs="Arial"/>
          <w:i/>
          <w:iCs/>
          <w:sz w:val="24"/>
          <w:szCs w:val="24"/>
        </w:rPr>
        <w:tab/>
        <w:t>Hopefully we will be able to submit the Report to the Next Council meeting.”</w:t>
      </w:r>
    </w:p>
    <w:p w14:paraId="64C68780" w14:textId="77777777" w:rsidR="00251324" w:rsidRPr="00DD197B" w:rsidRDefault="00251324" w:rsidP="00DD197B">
      <w:pPr>
        <w:pStyle w:val="ListParagraph"/>
        <w:ind w:left="2160" w:hanging="720"/>
        <w:rPr>
          <w:rFonts w:ascii="Arial" w:hAnsi="Arial" w:cs="Arial"/>
          <w:sz w:val="24"/>
          <w:szCs w:val="24"/>
        </w:rPr>
      </w:pPr>
    </w:p>
    <w:p w14:paraId="7C3A2AFC" w14:textId="77777777" w:rsidR="004A789A" w:rsidRPr="00DD197B" w:rsidRDefault="00251324" w:rsidP="00DD197B">
      <w:pPr>
        <w:pStyle w:val="ListParagraph"/>
        <w:numPr>
          <w:ilvl w:val="2"/>
          <w:numId w:val="2"/>
        </w:numPr>
        <w:ind w:left="2410" w:hanging="850"/>
        <w:rPr>
          <w:rFonts w:ascii="Arial" w:hAnsi="Arial" w:cs="Arial"/>
          <w:b/>
          <w:bCs/>
          <w:sz w:val="24"/>
          <w:szCs w:val="24"/>
        </w:rPr>
      </w:pPr>
      <w:r w:rsidRPr="00DD197B">
        <w:rPr>
          <w:rFonts w:ascii="Arial" w:hAnsi="Arial" w:cs="Arial"/>
          <w:sz w:val="24"/>
          <w:szCs w:val="24"/>
        </w:rPr>
        <w:t xml:space="preserve">an internal memo of the first respondent dated </w:t>
      </w:r>
      <w:r w:rsidRPr="00DD197B">
        <w:rPr>
          <w:rFonts w:ascii="Arial" w:hAnsi="Arial" w:cs="Arial"/>
          <w:sz w:val="24"/>
          <w:szCs w:val="24"/>
          <w:u w:val="single"/>
        </w:rPr>
        <w:t>31 July 2018</w:t>
      </w:r>
      <w:r w:rsidR="0021644E" w:rsidRPr="00DD197B">
        <w:rPr>
          <w:rFonts w:ascii="Arial" w:hAnsi="Arial" w:cs="Arial"/>
          <w:sz w:val="24"/>
          <w:szCs w:val="24"/>
        </w:rPr>
        <w:t xml:space="preserve"> containing nothing more than a consolidation of correspondence prior to the court order being granted.</w:t>
      </w:r>
    </w:p>
    <w:p w14:paraId="2FAE4808" w14:textId="77777777" w:rsidR="004A789A" w:rsidRPr="00DD197B" w:rsidRDefault="004A789A" w:rsidP="00DD197B">
      <w:pPr>
        <w:rPr>
          <w:rFonts w:ascii="Arial" w:eastAsia="Times New Roman" w:hAnsi="Arial" w:cs="Arial"/>
          <w:color w:val="000000"/>
          <w:sz w:val="24"/>
          <w:szCs w:val="24"/>
          <w:lang w:eastAsia="en-ZA"/>
        </w:rPr>
      </w:pPr>
    </w:p>
    <w:p w14:paraId="0286A3EC" w14:textId="77777777" w:rsidR="00261261" w:rsidRPr="00DD197B" w:rsidRDefault="00E63C52" w:rsidP="00DD197B">
      <w:pPr>
        <w:pStyle w:val="ListParagraph"/>
        <w:numPr>
          <w:ilvl w:val="0"/>
          <w:numId w:val="2"/>
        </w:numPr>
        <w:ind w:hanging="720"/>
        <w:rPr>
          <w:rFonts w:ascii="Arial" w:hAnsi="Arial" w:cs="Arial"/>
          <w:b/>
          <w:bCs/>
          <w:sz w:val="24"/>
          <w:szCs w:val="24"/>
        </w:rPr>
      </w:pPr>
      <w:r w:rsidRPr="00DD197B">
        <w:rPr>
          <w:rFonts w:ascii="Arial" w:eastAsia="Times New Roman" w:hAnsi="Arial" w:cs="Arial"/>
          <w:color w:val="000000"/>
          <w:sz w:val="24"/>
          <w:szCs w:val="24"/>
          <w:lang w:eastAsia="en-ZA"/>
        </w:rPr>
        <w:t xml:space="preserve">It is vital to the administration of justice that those affected by court orders obey them. A litigant who has obtained a court order requiring an opponent to do or not to do something is able to approach a court, in the event of non-compliance, for a further order declaring the non-compliant litigant in contempt of court and </w:t>
      </w:r>
      <w:r w:rsidRPr="00DD197B">
        <w:rPr>
          <w:rFonts w:ascii="Arial" w:eastAsia="Times New Roman" w:hAnsi="Arial" w:cs="Arial"/>
          <w:color w:val="000000"/>
          <w:sz w:val="24"/>
          <w:szCs w:val="24"/>
          <w:lang w:eastAsia="en-ZA"/>
        </w:rPr>
        <w:lastRenderedPageBreak/>
        <w:t>impose a sanction. The sanction usually has the object of inducing the non-compliant litigant to fulfil the terms of the previous order.</w:t>
      </w:r>
    </w:p>
    <w:p w14:paraId="1DBC2A2E" w14:textId="77777777" w:rsidR="00261261" w:rsidRPr="00DD197B" w:rsidRDefault="00261261" w:rsidP="00DD197B">
      <w:pPr>
        <w:pStyle w:val="ListParagraph"/>
        <w:rPr>
          <w:rFonts w:ascii="Arial" w:hAnsi="Arial" w:cs="Arial"/>
          <w:b/>
          <w:bCs/>
          <w:sz w:val="24"/>
          <w:szCs w:val="24"/>
        </w:rPr>
      </w:pPr>
    </w:p>
    <w:p w14:paraId="24DEC885" w14:textId="25023907" w:rsidR="00261261" w:rsidRPr="00DD197B" w:rsidRDefault="00E63C52" w:rsidP="00DD197B">
      <w:pPr>
        <w:pStyle w:val="ListParagraph"/>
        <w:numPr>
          <w:ilvl w:val="0"/>
          <w:numId w:val="2"/>
        </w:numPr>
        <w:ind w:hanging="720"/>
        <w:rPr>
          <w:rFonts w:ascii="Arial" w:hAnsi="Arial" w:cs="Arial"/>
          <w:b/>
          <w:bCs/>
          <w:sz w:val="24"/>
          <w:szCs w:val="24"/>
        </w:rPr>
      </w:pPr>
      <w:r w:rsidRPr="00DD197B">
        <w:rPr>
          <w:rFonts w:ascii="Arial" w:eastAsia="Times New Roman" w:hAnsi="Arial" w:cs="Arial"/>
          <w:color w:val="000000"/>
          <w:sz w:val="24"/>
          <w:szCs w:val="24"/>
          <w:lang w:eastAsia="en-ZA"/>
        </w:rPr>
        <w:t xml:space="preserve">The test for when disobedience of a civil order constitutes contempt is </w:t>
      </w:r>
      <w:r w:rsidR="00DC5DAC">
        <w:rPr>
          <w:rFonts w:ascii="Arial" w:eastAsia="Times New Roman" w:hAnsi="Arial" w:cs="Arial"/>
          <w:color w:val="000000"/>
          <w:sz w:val="24"/>
          <w:szCs w:val="24"/>
          <w:lang w:eastAsia="en-ZA"/>
        </w:rPr>
        <w:t xml:space="preserve">that </w:t>
      </w:r>
      <w:r w:rsidRPr="00DD197B">
        <w:rPr>
          <w:rFonts w:ascii="Arial" w:eastAsia="Times New Roman" w:hAnsi="Arial" w:cs="Arial"/>
          <w:color w:val="000000"/>
          <w:sz w:val="24"/>
          <w:szCs w:val="24"/>
          <w:lang w:eastAsia="en-ZA"/>
        </w:rPr>
        <w:t>an order was granted against the respondent;</w:t>
      </w:r>
      <w:r w:rsidR="00261261" w:rsidRPr="00DD197B">
        <w:rPr>
          <w:rFonts w:ascii="Arial" w:eastAsia="Times New Roman" w:hAnsi="Arial" w:cs="Arial"/>
          <w:color w:val="000000"/>
          <w:sz w:val="24"/>
          <w:szCs w:val="24"/>
          <w:lang w:eastAsia="en-ZA"/>
        </w:rPr>
        <w:t xml:space="preserve"> </w:t>
      </w:r>
      <w:r w:rsidRPr="00DD197B">
        <w:rPr>
          <w:rFonts w:ascii="Arial" w:eastAsia="Times New Roman" w:hAnsi="Arial" w:cs="Arial"/>
          <w:color w:val="000000"/>
          <w:sz w:val="24"/>
          <w:szCs w:val="24"/>
          <w:lang w:eastAsia="en-ZA"/>
        </w:rPr>
        <w:t>that the respondent was either served or informed of the court order or its contents;</w:t>
      </w:r>
      <w:r w:rsidR="00261261" w:rsidRPr="00DD197B">
        <w:rPr>
          <w:rFonts w:ascii="Arial" w:eastAsia="Times New Roman" w:hAnsi="Arial" w:cs="Arial"/>
          <w:color w:val="000000"/>
          <w:sz w:val="24"/>
          <w:szCs w:val="24"/>
          <w:lang w:eastAsia="en-ZA"/>
        </w:rPr>
        <w:t xml:space="preserve"> </w:t>
      </w:r>
      <w:r w:rsidRPr="00DD197B">
        <w:rPr>
          <w:rFonts w:ascii="Arial" w:eastAsia="Times New Roman" w:hAnsi="Arial" w:cs="Arial"/>
          <w:color w:val="000000"/>
          <w:sz w:val="24"/>
          <w:szCs w:val="24"/>
          <w:lang w:eastAsia="en-ZA"/>
        </w:rPr>
        <w:t>that the respondent disobeyed or neglected to comply with the order</w:t>
      </w:r>
      <w:r w:rsidR="00261261" w:rsidRPr="00DD197B">
        <w:rPr>
          <w:rFonts w:ascii="Arial" w:eastAsia="Times New Roman" w:hAnsi="Arial" w:cs="Arial"/>
          <w:color w:val="000000"/>
          <w:sz w:val="24"/>
          <w:szCs w:val="24"/>
          <w:lang w:eastAsia="en-ZA"/>
        </w:rPr>
        <w:t xml:space="preserve"> and </w:t>
      </w:r>
      <w:r w:rsidRPr="00DD197B">
        <w:rPr>
          <w:rFonts w:ascii="Arial" w:eastAsia="Times New Roman" w:hAnsi="Arial" w:cs="Arial"/>
          <w:color w:val="000000"/>
          <w:sz w:val="24"/>
          <w:szCs w:val="24"/>
          <w:lang w:eastAsia="en-ZA"/>
        </w:rPr>
        <w:t>that the refusal was wilful or </w:t>
      </w:r>
      <w:r w:rsidRPr="00DD197B">
        <w:rPr>
          <w:rFonts w:ascii="Arial" w:eastAsia="Times New Roman" w:hAnsi="Arial" w:cs="Arial"/>
          <w:i/>
          <w:iCs/>
          <w:color w:val="000000"/>
          <w:sz w:val="24"/>
          <w:szCs w:val="24"/>
          <w:lang w:eastAsia="en-ZA"/>
        </w:rPr>
        <w:t>mala fide</w:t>
      </w:r>
      <w:r w:rsidRPr="00DD197B">
        <w:rPr>
          <w:rFonts w:ascii="Arial" w:eastAsia="Times New Roman" w:hAnsi="Arial" w:cs="Arial"/>
          <w:color w:val="000000"/>
          <w:sz w:val="24"/>
          <w:szCs w:val="24"/>
          <w:lang w:eastAsia="en-ZA"/>
        </w:rPr>
        <w:t>.</w:t>
      </w:r>
    </w:p>
    <w:p w14:paraId="41D2B936" w14:textId="77777777" w:rsidR="00261261" w:rsidRPr="005142F9" w:rsidRDefault="00261261" w:rsidP="005142F9">
      <w:pPr>
        <w:rPr>
          <w:rFonts w:ascii="Arial" w:eastAsia="Times New Roman" w:hAnsi="Arial" w:cs="Arial"/>
          <w:color w:val="000000"/>
          <w:sz w:val="24"/>
          <w:szCs w:val="24"/>
          <w:lang w:eastAsia="en-ZA"/>
        </w:rPr>
      </w:pPr>
    </w:p>
    <w:p w14:paraId="761581BC" w14:textId="77777777" w:rsidR="005142F9" w:rsidRDefault="00261261" w:rsidP="00DD197B">
      <w:pPr>
        <w:pStyle w:val="ListParagraph"/>
        <w:numPr>
          <w:ilvl w:val="0"/>
          <w:numId w:val="2"/>
        </w:numPr>
        <w:ind w:hanging="720"/>
        <w:rPr>
          <w:rFonts w:ascii="Arial" w:eastAsia="Times New Roman" w:hAnsi="Arial" w:cs="Arial"/>
          <w:color w:val="000000"/>
          <w:sz w:val="24"/>
          <w:szCs w:val="24"/>
          <w:lang w:eastAsia="en-ZA"/>
        </w:rPr>
      </w:pPr>
      <w:r w:rsidRPr="00DD197B">
        <w:rPr>
          <w:rFonts w:ascii="Arial" w:eastAsia="Times New Roman" w:hAnsi="Arial" w:cs="Arial"/>
          <w:color w:val="000000"/>
          <w:sz w:val="24"/>
          <w:szCs w:val="24"/>
          <w:lang w:eastAsia="en-ZA"/>
        </w:rPr>
        <w:t xml:space="preserve">I am satisfied that the </w:t>
      </w:r>
      <w:r w:rsidR="00E63C52" w:rsidRPr="00DD197B">
        <w:rPr>
          <w:rFonts w:ascii="Arial" w:eastAsia="Times New Roman" w:hAnsi="Arial" w:cs="Arial"/>
          <w:color w:val="000000"/>
          <w:sz w:val="24"/>
          <w:szCs w:val="24"/>
          <w:lang w:eastAsia="en-ZA"/>
        </w:rPr>
        <w:t>legal requirements for civil contempt have been fulfilled</w:t>
      </w:r>
      <w:r w:rsidRPr="00DD197B">
        <w:rPr>
          <w:rFonts w:ascii="Arial" w:eastAsia="Times New Roman" w:hAnsi="Arial" w:cs="Arial"/>
          <w:color w:val="000000"/>
          <w:sz w:val="24"/>
          <w:szCs w:val="24"/>
          <w:lang w:eastAsia="en-ZA"/>
        </w:rPr>
        <w:t>.</w:t>
      </w:r>
    </w:p>
    <w:p w14:paraId="321EF891" w14:textId="77777777" w:rsidR="005142F9" w:rsidRPr="005142F9" w:rsidRDefault="005142F9" w:rsidP="005142F9">
      <w:pPr>
        <w:pStyle w:val="ListParagraph"/>
        <w:rPr>
          <w:rFonts w:ascii="Arial" w:eastAsia="Times New Roman" w:hAnsi="Arial" w:cs="Arial"/>
          <w:color w:val="000000"/>
          <w:sz w:val="24"/>
          <w:szCs w:val="24"/>
          <w:lang w:eastAsia="en-ZA"/>
        </w:rPr>
      </w:pPr>
    </w:p>
    <w:p w14:paraId="70D8565F" w14:textId="51F23C9E" w:rsidR="00DF15EF" w:rsidRPr="00DF15EF" w:rsidRDefault="005F3B63" w:rsidP="00DF15EF">
      <w:pPr>
        <w:pStyle w:val="ListParagraph"/>
        <w:numPr>
          <w:ilvl w:val="0"/>
          <w:numId w:val="2"/>
        </w:numPr>
        <w:ind w:hanging="720"/>
        <w:rPr>
          <w:rFonts w:ascii="Arial" w:eastAsia="Times New Roman" w:hAnsi="Arial" w:cs="Arial"/>
          <w:color w:val="000000"/>
          <w:sz w:val="24"/>
          <w:szCs w:val="24"/>
          <w:lang w:eastAsia="en-ZA"/>
        </w:rPr>
      </w:pPr>
      <w:r w:rsidRPr="00DD197B">
        <w:rPr>
          <w:rFonts w:ascii="Arial" w:hAnsi="Arial" w:cs="Arial"/>
          <w:color w:val="000000"/>
          <w:sz w:val="24"/>
          <w:szCs w:val="24"/>
        </w:rPr>
        <w:t xml:space="preserve">The respondents </w:t>
      </w:r>
      <w:r w:rsidR="005142F9">
        <w:rPr>
          <w:rFonts w:ascii="Arial" w:hAnsi="Arial" w:cs="Arial"/>
          <w:color w:val="000000"/>
          <w:sz w:val="24"/>
          <w:szCs w:val="24"/>
        </w:rPr>
        <w:t xml:space="preserve">attempt to rely on </w:t>
      </w:r>
      <w:r w:rsidR="0062464E">
        <w:rPr>
          <w:rFonts w:ascii="Arial" w:hAnsi="Arial" w:cs="Arial"/>
          <w:color w:val="000000"/>
          <w:sz w:val="24"/>
          <w:szCs w:val="24"/>
        </w:rPr>
        <w:t>a letter of</w:t>
      </w:r>
      <w:r w:rsidR="005142F9">
        <w:rPr>
          <w:rFonts w:ascii="Arial" w:hAnsi="Arial" w:cs="Arial"/>
          <w:color w:val="000000"/>
          <w:sz w:val="24"/>
          <w:szCs w:val="24"/>
        </w:rPr>
        <w:t xml:space="preserve"> 31 May 2019</w:t>
      </w:r>
      <w:r w:rsidR="00CA6938">
        <w:rPr>
          <w:rFonts w:ascii="Arial" w:hAnsi="Arial" w:cs="Arial"/>
          <w:color w:val="000000"/>
          <w:sz w:val="24"/>
          <w:szCs w:val="24"/>
        </w:rPr>
        <w:t xml:space="preserve"> and an internal memorandum of</w:t>
      </w:r>
      <w:r w:rsidR="00DF15EF">
        <w:rPr>
          <w:rFonts w:ascii="Arial" w:hAnsi="Arial" w:cs="Arial"/>
          <w:color w:val="000000"/>
          <w:sz w:val="24"/>
          <w:szCs w:val="24"/>
        </w:rPr>
        <w:t xml:space="preserve"> July 2018 (that is prior to the order of Justice Mudau)</w:t>
      </w:r>
      <w:r w:rsidR="00CA6938">
        <w:rPr>
          <w:rFonts w:ascii="Arial" w:hAnsi="Arial" w:cs="Arial"/>
          <w:color w:val="000000"/>
          <w:sz w:val="24"/>
          <w:szCs w:val="24"/>
        </w:rPr>
        <w:t xml:space="preserve"> </w:t>
      </w:r>
      <w:r w:rsidR="00DF15EF">
        <w:rPr>
          <w:rFonts w:ascii="Arial" w:hAnsi="Arial" w:cs="Arial"/>
          <w:color w:val="000000"/>
          <w:sz w:val="24"/>
          <w:szCs w:val="24"/>
        </w:rPr>
        <w:t>cannot come</w:t>
      </w:r>
      <w:r w:rsidR="005142F9">
        <w:rPr>
          <w:rFonts w:ascii="Arial" w:hAnsi="Arial" w:cs="Arial"/>
          <w:color w:val="000000"/>
          <w:sz w:val="24"/>
          <w:szCs w:val="24"/>
        </w:rPr>
        <w:t xml:space="preserve"> to the respondents’ aid. There was</w:t>
      </w:r>
      <w:r w:rsidR="00DF15EF">
        <w:rPr>
          <w:rFonts w:ascii="Arial" w:hAnsi="Arial" w:cs="Arial"/>
          <w:color w:val="000000"/>
          <w:sz w:val="24"/>
          <w:szCs w:val="24"/>
        </w:rPr>
        <w:t xml:space="preserve"> a clear disregard by the respondents to meaningfully address </w:t>
      </w:r>
      <w:r w:rsidRPr="00DD197B">
        <w:rPr>
          <w:rFonts w:ascii="Arial" w:hAnsi="Arial" w:cs="Arial"/>
          <w:color w:val="000000"/>
          <w:sz w:val="24"/>
          <w:szCs w:val="24"/>
        </w:rPr>
        <w:t>the point of substance</w:t>
      </w:r>
      <w:r w:rsidR="0062464E">
        <w:rPr>
          <w:rFonts w:ascii="Arial" w:hAnsi="Arial" w:cs="Arial"/>
          <w:color w:val="000000"/>
          <w:sz w:val="24"/>
          <w:szCs w:val="24"/>
        </w:rPr>
        <w:t xml:space="preserve"> of the court order</w:t>
      </w:r>
      <w:r w:rsidRPr="00DD197B">
        <w:rPr>
          <w:rFonts w:ascii="Arial" w:hAnsi="Arial" w:cs="Arial"/>
          <w:color w:val="000000"/>
          <w:sz w:val="24"/>
          <w:szCs w:val="24"/>
        </w:rPr>
        <w:t xml:space="preserve"> directly</w:t>
      </w:r>
      <w:r w:rsidR="00DF15EF">
        <w:rPr>
          <w:rFonts w:ascii="Arial" w:hAnsi="Arial" w:cs="Arial"/>
          <w:color w:val="000000"/>
          <w:sz w:val="24"/>
          <w:szCs w:val="24"/>
        </w:rPr>
        <w:t xml:space="preserve">. No attempt whatsoever was made by the respondents to address the applicants concerns and the court order. </w:t>
      </w:r>
    </w:p>
    <w:p w14:paraId="36767C5D" w14:textId="77777777" w:rsidR="00DF15EF" w:rsidRPr="00DF15EF" w:rsidRDefault="00DF15EF" w:rsidP="00DF15EF">
      <w:pPr>
        <w:pStyle w:val="ListParagraph"/>
        <w:rPr>
          <w:rFonts w:ascii="Arial" w:eastAsia="Times New Roman" w:hAnsi="Arial" w:cs="Arial"/>
          <w:color w:val="000000"/>
          <w:sz w:val="24"/>
          <w:szCs w:val="24"/>
          <w:lang w:eastAsia="en-ZA"/>
        </w:rPr>
      </w:pPr>
    </w:p>
    <w:p w14:paraId="08A57427" w14:textId="76AE80BE" w:rsidR="0088061A" w:rsidRDefault="000B18F7" w:rsidP="003F6C2C">
      <w:pPr>
        <w:pStyle w:val="ListParagraph"/>
        <w:numPr>
          <w:ilvl w:val="0"/>
          <w:numId w:val="2"/>
        </w:numPr>
        <w:ind w:hanging="720"/>
        <w:rPr>
          <w:rFonts w:ascii="Arial" w:eastAsia="Times New Roman" w:hAnsi="Arial" w:cs="Arial"/>
          <w:color w:val="000000"/>
          <w:sz w:val="24"/>
          <w:szCs w:val="24"/>
          <w:lang w:eastAsia="en-ZA"/>
        </w:rPr>
      </w:pPr>
      <w:r w:rsidRPr="0088061A">
        <w:rPr>
          <w:rFonts w:ascii="Arial" w:eastAsia="Times New Roman" w:hAnsi="Arial" w:cs="Arial"/>
          <w:color w:val="000000"/>
          <w:sz w:val="24"/>
          <w:szCs w:val="24"/>
          <w:lang w:eastAsia="en-ZA"/>
        </w:rPr>
        <w:t>I</w:t>
      </w:r>
      <w:r w:rsidR="00DF15EF" w:rsidRPr="0088061A">
        <w:rPr>
          <w:rFonts w:ascii="Arial" w:eastAsia="Times New Roman" w:hAnsi="Arial" w:cs="Arial"/>
          <w:color w:val="000000"/>
          <w:sz w:val="24"/>
          <w:szCs w:val="24"/>
          <w:lang w:eastAsia="en-ZA"/>
        </w:rPr>
        <w:t>t was only after the applicants had launched these proceedings</w:t>
      </w:r>
      <w:r w:rsidRPr="0088061A">
        <w:rPr>
          <w:rFonts w:ascii="Arial" w:eastAsia="Times New Roman" w:hAnsi="Arial" w:cs="Arial"/>
          <w:color w:val="000000"/>
          <w:sz w:val="24"/>
          <w:szCs w:val="24"/>
          <w:lang w:eastAsia="en-ZA"/>
        </w:rPr>
        <w:t xml:space="preserve"> in October 2019,</w:t>
      </w:r>
      <w:r w:rsidR="00DF15EF" w:rsidRPr="0088061A">
        <w:rPr>
          <w:rFonts w:ascii="Arial" w:eastAsia="Times New Roman" w:hAnsi="Arial" w:cs="Arial"/>
          <w:color w:val="000000"/>
          <w:sz w:val="24"/>
          <w:szCs w:val="24"/>
          <w:lang w:eastAsia="en-ZA"/>
        </w:rPr>
        <w:t xml:space="preserve"> did the respondents, in their opposing papers attempt to provide an update on the steps they have taken to install the bulk infrastructure. </w:t>
      </w:r>
    </w:p>
    <w:p w14:paraId="236E4587" w14:textId="77777777" w:rsidR="0088061A" w:rsidRPr="0088061A" w:rsidRDefault="0088061A" w:rsidP="0088061A">
      <w:pPr>
        <w:pStyle w:val="ListParagraph"/>
        <w:rPr>
          <w:rFonts w:ascii="Arial" w:eastAsia="Times New Roman" w:hAnsi="Arial" w:cs="Arial"/>
          <w:color w:val="000000"/>
          <w:sz w:val="24"/>
          <w:szCs w:val="24"/>
          <w:lang w:eastAsia="en-ZA"/>
        </w:rPr>
      </w:pPr>
    </w:p>
    <w:p w14:paraId="1F8DF149" w14:textId="77777777" w:rsidR="0088061A" w:rsidRPr="0088061A" w:rsidRDefault="0088061A" w:rsidP="0088061A">
      <w:pPr>
        <w:pStyle w:val="ListParagraph"/>
        <w:rPr>
          <w:rFonts w:ascii="Arial" w:eastAsia="Times New Roman" w:hAnsi="Arial" w:cs="Arial"/>
          <w:color w:val="000000"/>
          <w:sz w:val="24"/>
          <w:szCs w:val="24"/>
          <w:lang w:eastAsia="en-ZA"/>
        </w:rPr>
      </w:pPr>
    </w:p>
    <w:p w14:paraId="595079FF" w14:textId="4144CE80" w:rsidR="00EE391D" w:rsidRPr="0088061A" w:rsidRDefault="00FA0418" w:rsidP="0088061A">
      <w:pPr>
        <w:pStyle w:val="ListParagraph"/>
        <w:numPr>
          <w:ilvl w:val="0"/>
          <w:numId w:val="2"/>
        </w:numPr>
        <w:ind w:hanging="720"/>
        <w:rPr>
          <w:rFonts w:ascii="Arial" w:eastAsia="Times New Roman" w:hAnsi="Arial" w:cs="Arial"/>
          <w:color w:val="000000"/>
          <w:sz w:val="24"/>
          <w:szCs w:val="24"/>
          <w:lang w:eastAsia="en-ZA"/>
        </w:rPr>
      </w:pPr>
      <w:r w:rsidRPr="0088061A">
        <w:rPr>
          <w:rFonts w:ascii="Arial" w:eastAsia="Times New Roman" w:hAnsi="Arial" w:cs="Arial"/>
          <w:color w:val="000000"/>
          <w:sz w:val="24"/>
          <w:szCs w:val="24"/>
          <w:lang w:eastAsia="en-ZA"/>
        </w:rPr>
        <w:t xml:space="preserve">Despite the first and second respondents </w:t>
      </w:r>
      <w:r w:rsidR="00EE391D" w:rsidRPr="0088061A">
        <w:rPr>
          <w:rFonts w:ascii="Arial" w:hAnsi="Arial" w:cs="Arial"/>
          <w:sz w:val="24"/>
          <w:szCs w:val="24"/>
        </w:rPr>
        <w:t xml:space="preserve">accepting in October 2018 that the installation of the bulk water and electrical infrastructure on the first to ninth </w:t>
      </w:r>
      <w:r w:rsidR="00EE391D" w:rsidRPr="0088061A">
        <w:rPr>
          <w:rFonts w:ascii="Arial" w:hAnsi="Arial" w:cs="Arial"/>
          <w:sz w:val="24"/>
          <w:szCs w:val="24"/>
        </w:rPr>
        <w:lastRenderedPageBreak/>
        <w:t>applicants’ stands was urgent and was to be prioritised by the respondents and endeavoured to have a special meeting of council convened to approve the report mentioned in paragraph 2 of the order, it was only in July 2020 that the</w:t>
      </w:r>
      <w:r w:rsidR="0088061A" w:rsidRPr="0088061A">
        <w:rPr>
          <w:rFonts w:ascii="Arial" w:hAnsi="Arial" w:cs="Arial"/>
          <w:sz w:val="24"/>
          <w:szCs w:val="24"/>
        </w:rPr>
        <w:t xml:space="preserve">re was a resolution that </w:t>
      </w:r>
      <w:r w:rsidR="00EE391D" w:rsidRPr="0088061A">
        <w:rPr>
          <w:rFonts w:ascii="Arial" w:hAnsi="Arial" w:cs="Arial"/>
          <w:sz w:val="24"/>
          <w:szCs w:val="24"/>
        </w:rPr>
        <w:t>t</w:t>
      </w:r>
      <w:r w:rsidR="00EE391D" w:rsidRPr="0088061A">
        <w:rPr>
          <w:rFonts w:ascii="Arial" w:eastAsia="Times New Roman" w:hAnsi="Arial" w:cs="Arial"/>
          <w:color w:val="000000"/>
          <w:sz w:val="24"/>
          <w:szCs w:val="24"/>
          <w:lang w:eastAsia="en-ZA"/>
        </w:rPr>
        <w:t xml:space="preserve">hat </w:t>
      </w:r>
      <w:r w:rsidR="00EE391D" w:rsidRPr="0088061A">
        <w:rPr>
          <w:rFonts w:ascii="Arial" w:hAnsi="Arial" w:cs="Arial"/>
          <w:sz w:val="24"/>
          <w:szCs w:val="24"/>
        </w:rPr>
        <w:t>the required electrical and water bulk services in respect of the properties shall be installed</w:t>
      </w:r>
      <w:r w:rsidR="0088061A" w:rsidRPr="0088061A">
        <w:rPr>
          <w:rFonts w:ascii="Arial" w:hAnsi="Arial" w:cs="Arial"/>
          <w:sz w:val="24"/>
          <w:szCs w:val="24"/>
        </w:rPr>
        <w:t>.</w:t>
      </w:r>
      <w:r w:rsidR="00EE391D" w:rsidRPr="0088061A">
        <w:rPr>
          <w:rFonts w:ascii="Arial" w:hAnsi="Arial" w:cs="Arial"/>
          <w:sz w:val="24"/>
          <w:szCs w:val="24"/>
        </w:rPr>
        <w:t xml:space="preserve"> </w:t>
      </w:r>
    </w:p>
    <w:p w14:paraId="79C66BC6" w14:textId="77777777" w:rsidR="0088061A" w:rsidRPr="0088061A" w:rsidRDefault="0088061A" w:rsidP="0088061A">
      <w:pPr>
        <w:pStyle w:val="ListParagraph"/>
        <w:rPr>
          <w:rFonts w:ascii="Arial" w:eastAsia="Times New Roman" w:hAnsi="Arial" w:cs="Arial"/>
          <w:color w:val="000000"/>
          <w:sz w:val="24"/>
          <w:szCs w:val="24"/>
          <w:lang w:eastAsia="en-ZA"/>
        </w:rPr>
      </w:pPr>
    </w:p>
    <w:p w14:paraId="0E188B58" w14:textId="77777777" w:rsidR="0088061A" w:rsidRDefault="0088061A" w:rsidP="0088061A">
      <w:pPr>
        <w:pStyle w:val="ListParagraph"/>
        <w:numPr>
          <w:ilvl w:val="0"/>
          <w:numId w:val="2"/>
        </w:numPr>
        <w:ind w:hanging="720"/>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To date, the bulk infrastructure has not been installed nor have the applicants’ rates and taxes been written off as per the court order.   </w:t>
      </w:r>
    </w:p>
    <w:p w14:paraId="3704BD07" w14:textId="77777777" w:rsidR="0088061A" w:rsidRPr="0088061A" w:rsidRDefault="0088061A" w:rsidP="0088061A">
      <w:pPr>
        <w:rPr>
          <w:rFonts w:ascii="Arial" w:eastAsia="Times New Roman" w:hAnsi="Arial" w:cs="Arial"/>
          <w:color w:val="000000"/>
          <w:sz w:val="24"/>
          <w:szCs w:val="24"/>
          <w:lang w:eastAsia="en-ZA"/>
        </w:rPr>
      </w:pPr>
    </w:p>
    <w:p w14:paraId="0045B987" w14:textId="0BC24402" w:rsidR="00A06203" w:rsidRPr="00DD197B" w:rsidRDefault="0027273C" w:rsidP="00DD197B">
      <w:pPr>
        <w:pStyle w:val="ListParagraph"/>
        <w:rPr>
          <w:rFonts w:ascii="Arial" w:eastAsia="Times New Roman" w:hAnsi="Arial" w:cs="Arial"/>
          <w:color w:val="000000"/>
          <w:sz w:val="24"/>
          <w:szCs w:val="24"/>
          <w:lang w:eastAsia="en-ZA"/>
        </w:rPr>
      </w:pPr>
      <w:r w:rsidRPr="00DD197B">
        <w:rPr>
          <w:rFonts w:ascii="Arial" w:hAnsi="Arial" w:cs="Arial"/>
          <w:b/>
          <w:bCs/>
          <w:i/>
          <w:iCs/>
          <w:sz w:val="24"/>
          <w:szCs w:val="24"/>
        </w:rPr>
        <w:t xml:space="preserve">Joinder of </w:t>
      </w:r>
      <w:r w:rsidR="00A06203" w:rsidRPr="00DD197B">
        <w:rPr>
          <w:rFonts w:ascii="Arial" w:hAnsi="Arial" w:cs="Arial"/>
          <w:b/>
          <w:bCs/>
          <w:i/>
          <w:iCs/>
          <w:sz w:val="24"/>
          <w:szCs w:val="24"/>
        </w:rPr>
        <w:t xml:space="preserve">the fourth, fifth and sixth respondents </w:t>
      </w:r>
    </w:p>
    <w:p w14:paraId="3F76267B" w14:textId="50C0EEC5" w:rsidR="006A2517" w:rsidRPr="00DD197B" w:rsidRDefault="006A2517" w:rsidP="00DD197B">
      <w:pPr>
        <w:rPr>
          <w:rFonts w:ascii="Arial" w:hAnsi="Arial" w:cs="Arial"/>
          <w:b/>
          <w:bCs/>
          <w:i/>
          <w:iCs/>
          <w:sz w:val="24"/>
          <w:szCs w:val="24"/>
        </w:rPr>
      </w:pPr>
    </w:p>
    <w:p w14:paraId="1494D329" w14:textId="27159B2C" w:rsidR="007F21FE" w:rsidRPr="00DD197B" w:rsidRDefault="007F21FE" w:rsidP="00DD197B">
      <w:pPr>
        <w:pStyle w:val="ListParagraph"/>
        <w:numPr>
          <w:ilvl w:val="0"/>
          <w:numId w:val="2"/>
        </w:numPr>
        <w:ind w:hanging="720"/>
        <w:rPr>
          <w:rFonts w:ascii="Arial" w:eastAsia="Times New Roman" w:hAnsi="Arial" w:cs="Arial"/>
          <w:color w:val="000000"/>
          <w:sz w:val="24"/>
          <w:szCs w:val="24"/>
          <w:lang w:eastAsia="en-ZA"/>
        </w:rPr>
      </w:pPr>
      <w:r w:rsidRPr="00DD197B">
        <w:rPr>
          <w:rFonts w:ascii="Arial" w:eastAsia="Times New Roman" w:hAnsi="Arial" w:cs="Arial"/>
          <w:color w:val="000000"/>
          <w:sz w:val="24"/>
          <w:szCs w:val="24"/>
          <w:lang w:eastAsia="en-ZA"/>
        </w:rPr>
        <w:t>The test for joinder requires that a litigant have a direct and substantial interest in the subject-matter of the litigation, that is, a legal interest in the subject matter of the litigation which may be affected by the decision of the court.</w:t>
      </w:r>
      <w:bookmarkStart w:id="1" w:name="0-0-0-171215"/>
      <w:bookmarkEnd w:id="1"/>
      <w:r w:rsidRPr="00DD197B">
        <w:rPr>
          <w:rFonts w:ascii="Arial" w:eastAsia="Times New Roman" w:hAnsi="Arial" w:cs="Arial"/>
          <w:color w:val="000000"/>
          <w:sz w:val="24"/>
          <w:szCs w:val="24"/>
          <w:lang w:eastAsia="en-ZA"/>
        </w:rPr>
        <w:t xml:space="preserve"> This view of what constitutes a direct and substantial interest has been explained and endorsed in a number of decisions by our courts. </w:t>
      </w:r>
      <w:bookmarkStart w:id="2" w:name="0-0-0-171219"/>
      <w:bookmarkEnd w:id="2"/>
      <w:r w:rsidRPr="00DD197B">
        <w:rPr>
          <w:rFonts w:ascii="Arial" w:eastAsia="Times New Roman" w:hAnsi="Arial" w:cs="Arial"/>
          <w:color w:val="000000"/>
          <w:sz w:val="24"/>
          <w:szCs w:val="24"/>
          <w:lang w:eastAsia="en-ZA"/>
        </w:rPr>
        <w:t xml:space="preserve"> </w:t>
      </w:r>
    </w:p>
    <w:p w14:paraId="02EE9D3D" w14:textId="77777777" w:rsidR="007F21FE" w:rsidRPr="00DD197B" w:rsidRDefault="007F21FE" w:rsidP="00DD197B">
      <w:pPr>
        <w:pStyle w:val="ListParagraph"/>
        <w:rPr>
          <w:rFonts w:ascii="Arial" w:eastAsia="Times New Roman" w:hAnsi="Arial" w:cs="Arial"/>
          <w:color w:val="000000"/>
          <w:sz w:val="24"/>
          <w:szCs w:val="24"/>
          <w:lang w:eastAsia="en-ZA"/>
        </w:rPr>
      </w:pPr>
    </w:p>
    <w:p w14:paraId="554530C4" w14:textId="77777777" w:rsidR="005D3AA2" w:rsidRPr="00DD197B" w:rsidRDefault="007F21FE" w:rsidP="00DD197B">
      <w:pPr>
        <w:pStyle w:val="ListParagraph"/>
        <w:numPr>
          <w:ilvl w:val="0"/>
          <w:numId w:val="2"/>
        </w:numPr>
        <w:ind w:hanging="720"/>
        <w:rPr>
          <w:rFonts w:ascii="Arial" w:eastAsia="Times New Roman" w:hAnsi="Arial" w:cs="Arial"/>
          <w:color w:val="000000"/>
          <w:sz w:val="24"/>
          <w:szCs w:val="24"/>
          <w:lang w:eastAsia="en-ZA"/>
        </w:rPr>
      </w:pPr>
      <w:r w:rsidRPr="00DD197B">
        <w:rPr>
          <w:rFonts w:ascii="Arial" w:eastAsia="Times New Roman" w:hAnsi="Arial" w:cs="Arial"/>
          <w:color w:val="000000"/>
          <w:sz w:val="24"/>
          <w:szCs w:val="24"/>
          <w:lang w:eastAsia="en-ZA"/>
        </w:rPr>
        <w:t xml:space="preserve">In </w:t>
      </w:r>
      <w:r w:rsidRPr="00DD197B">
        <w:rPr>
          <w:rFonts w:ascii="Arial" w:eastAsia="Times New Roman" w:hAnsi="Arial" w:cs="Arial"/>
          <w:i/>
          <w:iCs/>
          <w:color w:val="000000"/>
          <w:sz w:val="24"/>
          <w:szCs w:val="24"/>
          <w:lang w:eastAsia="en-ZA"/>
        </w:rPr>
        <w:t>Pheko and Others v Ekhur</w:t>
      </w:r>
      <w:r w:rsidR="005D3AA2" w:rsidRPr="00DD197B">
        <w:rPr>
          <w:rFonts w:ascii="Arial" w:eastAsia="Times New Roman" w:hAnsi="Arial" w:cs="Arial"/>
          <w:i/>
          <w:iCs/>
          <w:color w:val="000000"/>
          <w:sz w:val="24"/>
          <w:szCs w:val="24"/>
          <w:lang w:eastAsia="en-ZA"/>
        </w:rPr>
        <w:t xml:space="preserve">huleni City </w:t>
      </w:r>
      <w:r w:rsidR="005D3AA2" w:rsidRPr="00DD197B">
        <w:rPr>
          <w:rFonts w:ascii="Arial" w:eastAsia="Times New Roman" w:hAnsi="Arial" w:cs="Arial"/>
          <w:color w:val="000000"/>
          <w:sz w:val="24"/>
          <w:szCs w:val="24"/>
          <w:lang w:eastAsia="en-ZA"/>
        </w:rPr>
        <w:t>2015 (5) SA 600 (CC), the Constitutional Court held that w</w:t>
      </w:r>
      <w:r w:rsidR="003C3B61" w:rsidRPr="00DD197B">
        <w:rPr>
          <w:rFonts w:ascii="Arial" w:eastAsia="Times New Roman" w:hAnsi="Arial" w:cs="Arial"/>
          <w:color w:val="000000"/>
          <w:sz w:val="24"/>
          <w:szCs w:val="24"/>
          <w:lang w:eastAsia="en-ZA"/>
        </w:rPr>
        <w:t>hen a court order is disobeyed, not only the person named or party to the suit but all those who, with the knowledge of the order, aid and abet the disobedience or wilfully are party to the disobedience are liable.</w:t>
      </w:r>
      <w:bookmarkStart w:id="3" w:name="0-0-0-171187"/>
      <w:bookmarkEnd w:id="3"/>
      <w:r w:rsidR="005D3AA2" w:rsidRPr="00DD197B">
        <w:rPr>
          <w:rFonts w:ascii="Arial" w:eastAsia="Times New Roman" w:hAnsi="Arial" w:cs="Arial"/>
          <w:color w:val="000000"/>
          <w:sz w:val="24"/>
          <w:szCs w:val="24"/>
          <w:lang w:eastAsia="en-ZA"/>
        </w:rPr>
        <w:t xml:space="preserve"> </w:t>
      </w:r>
      <w:r w:rsidR="003C3B61" w:rsidRPr="00DD197B">
        <w:rPr>
          <w:rFonts w:ascii="Arial" w:eastAsia="Times New Roman" w:hAnsi="Arial" w:cs="Arial"/>
          <w:color w:val="000000"/>
          <w:sz w:val="24"/>
          <w:szCs w:val="24"/>
          <w:lang w:eastAsia="en-ZA"/>
        </w:rPr>
        <w:t>The reason for extending the ambit of contempt proceedings in this manner is to prevent any attempt to defeat and obstruct the due process of justice and safeguard its administration. Differently put, the purpose is to ensure that no one may, with impunity, wilfully get in the way of, or otherwise</w:t>
      </w:r>
      <w:r w:rsidR="005D3AA2" w:rsidRPr="00DD197B">
        <w:rPr>
          <w:rFonts w:ascii="Arial" w:eastAsia="Times New Roman" w:hAnsi="Arial" w:cs="Arial"/>
          <w:color w:val="000000"/>
          <w:sz w:val="24"/>
          <w:szCs w:val="24"/>
          <w:lang w:eastAsia="en-ZA"/>
        </w:rPr>
        <w:t xml:space="preserve"> </w:t>
      </w:r>
      <w:r w:rsidR="003C3B61" w:rsidRPr="00DD197B">
        <w:rPr>
          <w:rFonts w:ascii="Arial" w:eastAsia="Times New Roman" w:hAnsi="Arial" w:cs="Arial"/>
          <w:color w:val="000000"/>
          <w:sz w:val="24"/>
          <w:szCs w:val="24"/>
          <w:lang w:eastAsia="en-ZA"/>
        </w:rPr>
        <w:t xml:space="preserve">interfere </w:t>
      </w:r>
      <w:r w:rsidR="003C3B61" w:rsidRPr="00DD197B">
        <w:rPr>
          <w:rFonts w:ascii="Arial" w:eastAsia="Times New Roman" w:hAnsi="Arial" w:cs="Arial"/>
          <w:color w:val="000000"/>
          <w:sz w:val="24"/>
          <w:szCs w:val="24"/>
          <w:lang w:eastAsia="en-ZA"/>
        </w:rPr>
        <w:lastRenderedPageBreak/>
        <w:t>with, the due course of justice or bring the administration of justice into disrepute. </w:t>
      </w:r>
      <w:bookmarkStart w:id="4" w:name="0-0-0-171191"/>
      <w:bookmarkEnd w:id="4"/>
      <w:r w:rsidR="0027273C" w:rsidRPr="00DD197B">
        <w:rPr>
          <w:rFonts w:ascii="Arial" w:eastAsia="Times New Roman" w:hAnsi="Arial" w:cs="Arial"/>
          <w:color w:val="000000"/>
          <w:sz w:val="24"/>
          <w:szCs w:val="24"/>
          <w:lang w:eastAsia="en-ZA"/>
        </w:rPr>
        <w:t xml:space="preserve"> </w:t>
      </w:r>
    </w:p>
    <w:p w14:paraId="5A6CC2F7" w14:textId="77777777" w:rsidR="005D3AA2" w:rsidRPr="00DD197B" w:rsidRDefault="005D3AA2" w:rsidP="00DD197B">
      <w:pPr>
        <w:pStyle w:val="ListParagraph"/>
        <w:rPr>
          <w:rFonts w:ascii="Arial" w:eastAsia="Times New Roman" w:hAnsi="Arial" w:cs="Arial"/>
          <w:color w:val="000000"/>
          <w:sz w:val="24"/>
          <w:szCs w:val="24"/>
          <w:lang w:eastAsia="en-ZA"/>
        </w:rPr>
      </w:pPr>
    </w:p>
    <w:p w14:paraId="11C5FCE7" w14:textId="77777777" w:rsidR="005D3AA2" w:rsidRPr="00DD197B" w:rsidRDefault="005D3AA2" w:rsidP="00DD197B">
      <w:pPr>
        <w:pStyle w:val="ListParagraph"/>
        <w:numPr>
          <w:ilvl w:val="0"/>
          <w:numId w:val="2"/>
        </w:numPr>
        <w:ind w:hanging="720"/>
        <w:rPr>
          <w:rFonts w:ascii="Arial" w:eastAsia="Times New Roman" w:hAnsi="Arial" w:cs="Arial"/>
          <w:color w:val="000000"/>
          <w:sz w:val="24"/>
          <w:szCs w:val="24"/>
          <w:lang w:eastAsia="en-ZA"/>
        </w:rPr>
      </w:pPr>
      <w:r w:rsidRPr="00DD197B">
        <w:rPr>
          <w:rFonts w:ascii="Arial" w:eastAsia="Times New Roman" w:hAnsi="Arial" w:cs="Arial"/>
          <w:color w:val="000000"/>
          <w:sz w:val="24"/>
          <w:szCs w:val="24"/>
          <w:lang w:eastAsia="en-ZA"/>
        </w:rPr>
        <w:t>B</w:t>
      </w:r>
      <w:r w:rsidR="003C3B61" w:rsidRPr="00DD197B">
        <w:rPr>
          <w:rFonts w:ascii="Arial" w:eastAsia="Times New Roman" w:hAnsi="Arial" w:cs="Arial"/>
          <w:color w:val="000000"/>
          <w:sz w:val="24"/>
          <w:szCs w:val="24"/>
          <w:lang w:eastAsia="en-ZA"/>
        </w:rPr>
        <w:t>y virtue of their constitutional and statutory responsibilities, the joinder of the</w:t>
      </w:r>
      <w:r w:rsidRPr="00DD197B">
        <w:rPr>
          <w:rFonts w:ascii="Arial" w:eastAsia="Times New Roman" w:hAnsi="Arial" w:cs="Arial"/>
          <w:color w:val="000000"/>
          <w:sz w:val="24"/>
          <w:szCs w:val="24"/>
          <w:lang w:eastAsia="en-ZA"/>
        </w:rPr>
        <w:t xml:space="preserve"> fourth, fifth and sixth respondents</w:t>
      </w:r>
      <w:r w:rsidR="003C3B61" w:rsidRPr="00DD197B">
        <w:rPr>
          <w:rFonts w:ascii="Arial" w:eastAsia="Times New Roman" w:hAnsi="Arial" w:cs="Arial"/>
          <w:color w:val="000000"/>
          <w:sz w:val="24"/>
          <w:szCs w:val="24"/>
          <w:lang w:eastAsia="en-ZA"/>
        </w:rPr>
        <w:t xml:space="preserve"> in respect of this court's continuing supervision of the implementation of the </w:t>
      </w:r>
      <w:r w:rsidRPr="00DD197B">
        <w:rPr>
          <w:rFonts w:ascii="Arial" w:eastAsia="Times New Roman" w:hAnsi="Arial" w:cs="Arial"/>
          <w:color w:val="000000"/>
          <w:sz w:val="24"/>
          <w:szCs w:val="24"/>
          <w:lang w:eastAsia="en-ZA"/>
        </w:rPr>
        <w:t xml:space="preserve">court </w:t>
      </w:r>
      <w:r w:rsidR="003C3B61" w:rsidRPr="00DD197B">
        <w:rPr>
          <w:rFonts w:ascii="Arial" w:eastAsia="Times New Roman" w:hAnsi="Arial" w:cs="Arial"/>
          <w:color w:val="000000"/>
          <w:sz w:val="24"/>
          <w:szCs w:val="24"/>
          <w:lang w:eastAsia="en-ZA"/>
        </w:rPr>
        <w:t>order is appropriate</w:t>
      </w:r>
      <w:r w:rsidR="003C3B61" w:rsidRPr="00DD197B">
        <w:rPr>
          <w:rFonts w:ascii="Arial" w:eastAsia="Times New Roman" w:hAnsi="Arial" w:cs="Arial"/>
          <w:i/>
          <w:iCs/>
          <w:color w:val="000000"/>
          <w:sz w:val="24"/>
          <w:szCs w:val="24"/>
          <w:lang w:eastAsia="en-ZA"/>
        </w:rPr>
        <w:t>.</w:t>
      </w:r>
      <w:r w:rsidR="003C3B61" w:rsidRPr="00DD197B">
        <w:rPr>
          <w:rFonts w:ascii="Arial" w:eastAsia="Times New Roman" w:hAnsi="Arial" w:cs="Arial"/>
          <w:color w:val="000000"/>
          <w:sz w:val="24"/>
          <w:szCs w:val="24"/>
          <w:lang w:eastAsia="en-ZA"/>
        </w:rPr>
        <w:t> The general duty imposed on municipalities in respect of the provision of municipal services includes giving effect to the Constitution by prioritising the basic needs of the community, promoting the development of the community and ensuring that there is access to at least the minimum level of municipal services. </w:t>
      </w:r>
      <w:bookmarkStart w:id="5" w:name="0-0-0-171223"/>
      <w:bookmarkEnd w:id="5"/>
      <w:r w:rsidRPr="00DD197B">
        <w:rPr>
          <w:rFonts w:ascii="Arial" w:eastAsia="Times New Roman" w:hAnsi="Arial" w:cs="Arial"/>
          <w:color w:val="000000"/>
          <w:sz w:val="24"/>
          <w:szCs w:val="24"/>
          <w:lang w:eastAsia="en-ZA"/>
        </w:rPr>
        <w:t xml:space="preserve"> </w:t>
      </w:r>
    </w:p>
    <w:p w14:paraId="7383DEBD" w14:textId="77777777" w:rsidR="005D3AA2" w:rsidRPr="00DD197B" w:rsidRDefault="005D3AA2" w:rsidP="00DD197B">
      <w:pPr>
        <w:pStyle w:val="ListParagraph"/>
        <w:rPr>
          <w:rFonts w:ascii="Arial" w:eastAsia="Times New Roman" w:hAnsi="Arial" w:cs="Arial"/>
          <w:color w:val="000000"/>
          <w:sz w:val="24"/>
          <w:szCs w:val="24"/>
          <w:lang w:eastAsia="en-ZA"/>
        </w:rPr>
      </w:pPr>
    </w:p>
    <w:p w14:paraId="76ECC952" w14:textId="07B2D248" w:rsidR="00A6459F" w:rsidRDefault="005D3AA2" w:rsidP="00DD197B">
      <w:pPr>
        <w:pStyle w:val="ListParagraph"/>
        <w:numPr>
          <w:ilvl w:val="0"/>
          <w:numId w:val="2"/>
        </w:numPr>
        <w:ind w:hanging="720"/>
        <w:rPr>
          <w:rFonts w:ascii="Arial" w:eastAsia="Times New Roman" w:hAnsi="Arial" w:cs="Arial"/>
          <w:color w:val="000000"/>
          <w:sz w:val="24"/>
          <w:szCs w:val="24"/>
          <w:lang w:eastAsia="en-ZA"/>
        </w:rPr>
      </w:pPr>
      <w:r w:rsidRPr="00DD197B">
        <w:rPr>
          <w:rFonts w:ascii="Arial" w:eastAsia="Times New Roman" w:hAnsi="Arial" w:cs="Arial"/>
          <w:color w:val="000000"/>
          <w:sz w:val="24"/>
          <w:szCs w:val="24"/>
          <w:lang w:eastAsia="en-ZA"/>
        </w:rPr>
        <w:t>I</w:t>
      </w:r>
      <w:r w:rsidR="003C3B61" w:rsidRPr="00DD197B">
        <w:rPr>
          <w:rFonts w:ascii="Arial" w:eastAsia="Times New Roman" w:hAnsi="Arial" w:cs="Arial"/>
          <w:color w:val="000000"/>
          <w:sz w:val="24"/>
          <w:szCs w:val="24"/>
          <w:lang w:eastAsia="en-ZA"/>
        </w:rPr>
        <w:t>t needs to be stressed that the Constitution enjoins organs of state, like the</w:t>
      </w:r>
      <w:r w:rsidRPr="00DD197B">
        <w:rPr>
          <w:rFonts w:ascii="Arial" w:eastAsia="Times New Roman" w:hAnsi="Arial" w:cs="Arial"/>
          <w:color w:val="000000"/>
          <w:sz w:val="24"/>
          <w:szCs w:val="24"/>
          <w:lang w:eastAsia="en-ZA"/>
        </w:rPr>
        <w:t xml:space="preserve"> first respondent </w:t>
      </w:r>
      <w:r w:rsidR="003C3B61" w:rsidRPr="00DD197B">
        <w:rPr>
          <w:rFonts w:ascii="Arial" w:eastAsia="Times New Roman" w:hAnsi="Arial" w:cs="Arial"/>
          <w:color w:val="000000"/>
          <w:sz w:val="24"/>
          <w:szCs w:val="24"/>
          <w:lang w:eastAsia="en-ZA"/>
        </w:rPr>
        <w:t>to adhere and give effect to its</w:t>
      </w:r>
      <w:r w:rsidR="00FD1C20" w:rsidRPr="00DD197B">
        <w:rPr>
          <w:rFonts w:ascii="Arial" w:eastAsia="Times New Roman" w:hAnsi="Arial" w:cs="Arial"/>
          <w:color w:val="000000"/>
          <w:sz w:val="24"/>
          <w:szCs w:val="24"/>
          <w:lang w:eastAsia="en-ZA"/>
        </w:rPr>
        <w:t xml:space="preserve"> obligations and to meaningfully comply with </w:t>
      </w:r>
      <w:r w:rsidR="003C3B61" w:rsidRPr="00DD197B">
        <w:rPr>
          <w:rFonts w:ascii="Arial" w:eastAsia="Times New Roman" w:hAnsi="Arial" w:cs="Arial"/>
          <w:color w:val="000000"/>
          <w:sz w:val="24"/>
          <w:szCs w:val="24"/>
          <w:lang w:eastAsia="en-ZA"/>
        </w:rPr>
        <w:t>court orders</w:t>
      </w:r>
      <w:r w:rsidR="00FD1C20" w:rsidRPr="00DD197B">
        <w:rPr>
          <w:rFonts w:ascii="Arial" w:eastAsia="Times New Roman" w:hAnsi="Arial" w:cs="Arial"/>
          <w:color w:val="000000"/>
          <w:sz w:val="24"/>
          <w:szCs w:val="24"/>
          <w:lang w:eastAsia="en-ZA"/>
        </w:rPr>
        <w:t xml:space="preserve">. </w:t>
      </w:r>
      <w:r w:rsidR="003C3B61" w:rsidRPr="00DD197B">
        <w:rPr>
          <w:rFonts w:ascii="Arial" w:eastAsia="Times New Roman" w:hAnsi="Arial" w:cs="Arial"/>
          <w:color w:val="000000"/>
          <w:sz w:val="24"/>
          <w:szCs w:val="24"/>
          <w:lang w:eastAsia="en-ZA"/>
        </w:rPr>
        <w:t>Where an organ of state fails in its duty, a court must assume an invidious position of having to oversee state action,</w:t>
      </w:r>
      <w:bookmarkStart w:id="6" w:name="0-0-0-171251"/>
      <w:bookmarkEnd w:id="6"/>
      <w:r w:rsidR="003C3B61" w:rsidRPr="00DD197B">
        <w:rPr>
          <w:rFonts w:ascii="Arial" w:eastAsia="Times New Roman" w:hAnsi="Arial" w:cs="Arial"/>
          <w:color w:val="000000"/>
          <w:sz w:val="24"/>
          <w:szCs w:val="24"/>
          <w:lang w:eastAsia="en-ZA"/>
        </w:rPr>
        <w:t> to address and</w:t>
      </w:r>
      <w:r w:rsidR="00FD1C20" w:rsidRPr="00DD197B">
        <w:rPr>
          <w:rFonts w:ascii="Arial" w:eastAsia="Times New Roman" w:hAnsi="Arial" w:cs="Arial"/>
          <w:color w:val="000000"/>
          <w:sz w:val="24"/>
          <w:szCs w:val="24"/>
          <w:lang w:eastAsia="en-ZA"/>
        </w:rPr>
        <w:t xml:space="preserve"> </w:t>
      </w:r>
      <w:r w:rsidR="003C3B61" w:rsidRPr="00DD197B">
        <w:rPr>
          <w:rFonts w:ascii="Arial" w:eastAsia="Times New Roman" w:hAnsi="Arial" w:cs="Arial"/>
          <w:color w:val="000000"/>
          <w:sz w:val="24"/>
          <w:szCs w:val="24"/>
          <w:lang w:eastAsia="en-ZA"/>
        </w:rPr>
        <w:t>correct the failures.</w:t>
      </w:r>
      <w:r w:rsidR="00FD1C20" w:rsidRPr="00DD197B">
        <w:rPr>
          <w:rFonts w:ascii="Arial" w:eastAsia="Times New Roman" w:hAnsi="Arial" w:cs="Arial"/>
          <w:color w:val="000000"/>
          <w:sz w:val="24"/>
          <w:szCs w:val="24"/>
          <w:lang w:eastAsia="en-ZA"/>
        </w:rPr>
        <w:t xml:space="preserve"> </w:t>
      </w:r>
      <w:r w:rsidR="00A6459F" w:rsidRPr="00DD197B">
        <w:rPr>
          <w:rFonts w:ascii="Arial" w:eastAsia="Times New Roman" w:hAnsi="Arial" w:cs="Arial"/>
          <w:color w:val="000000"/>
          <w:sz w:val="24"/>
          <w:szCs w:val="24"/>
          <w:lang w:eastAsia="en-ZA"/>
        </w:rPr>
        <w:t xml:space="preserve">It is precisely because of the leadership entrusted to the </w:t>
      </w:r>
      <w:r w:rsidR="00FD1C20" w:rsidRPr="00DD197B">
        <w:rPr>
          <w:rFonts w:ascii="Arial" w:eastAsia="Times New Roman" w:hAnsi="Arial" w:cs="Arial"/>
          <w:color w:val="000000"/>
          <w:sz w:val="24"/>
          <w:szCs w:val="24"/>
          <w:lang w:eastAsia="en-ZA"/>
        </w:rPr>
        <w:t xml:space="preserve">fourth, fifth and sixth respondents </w:t>
      </w:r>
      <w:r w:rsidR="00A6459F" w:rsidRPr="00DD197B">
        <w:rPr>
          <w:rFonts w:ascii="Arial" w:eastAsia="Times New Roman" w:hAnsi="Arial" w:cs="Arial"/>
          <w:color w:val="000000"/>
          <w:sz w:val="24"/>
          <w:szCs w:val="24"/>
          <w:lang w:eastAsia="en-ZA"/>
        </w:rPr>
        <w:t xml:space="preserve">that they have a duty to undertake responsibility for implementing </w:t>
      </w:r>
      <w:r w:rsidR="00FD1C20" w:rsidRPr="00DD197B">
        <w:rPr>
          <w:rFonts w:ascii="Arial" w:eastAsia="Times New Roman" w:hAnsi="Arial" w:cs="Arial"/>
          <w:color w:val="000000"/>
          <w:sz w:val="24"/>
          <w:szCs w:val="24"/>
          <w:lang w:eastAsia="en-ZA"/>
        </w:rPr>
        <w:t xml:space="preserve">the </w:t>
      </w:r>
      <w:r w:rsidR="00A6459F" w:rsidRPr="00DD197B">
        <w:rPr>
          <w:rFonts w:ascii="Arial" w:eastAsia="Times New Roman" w:hAnsi="Arial" w:cs="Arial"/>
          <w:color w:val="000000"/>
          <w:sz w:val="24"/>
          <w:szCs w:val="24"/>
          <w:lang w:eastAsia="en-ZA"/>
        </w:rPr>
        <w:t>court order.</w:t>
      </w:r>
      <w:r w:rsidR="00FD1C20" w:rsidRPr="00DD197B">
        <w:rPr>
          <w:rFonts w:ascii="Arial" w:eastAsia="Times New Roman" w:hAnsi="Arial" w:cs="Arial"/>
          <w:color w:val="000000"/>
          <w:sz w:val="24"/>
          <w:szCs w:val="24"/>
          <w:lang w:eastAsia="en-ZA"/>
        </w:rPr>
        <w:t xml:space="preserve"> </w:t>
      </w:r>
      <w:r w:rsidR="00A6459F" w:rsidRPr="00DD197B">
        <w:rPr>
          <w:rFonts w:ascii="Arial" w:eastAsia="Times New Roman" w:hAnsi="Arial" w:cs="Arial"/>
          <w:color w:val="000000"/>
          <w:sz w:val="24"/>
          <w:szCs w:val="24"/>
          <w:lang w:eastAsia="en-ZA"/>
        </w:rPr>
        <w:t xml:space="preserve">The </w:t>
      </w:r>
      <w:r w:rsidR="00FD1C20" w:rsidRPr="00DD197B">
        <w:rPr>
          <w:rFonts w:ascii="Arial" w:eastAsia="Times New Roman" w:hAnsi="Arial" w:cs="Arial"/>
          <w:color w:val="000000"/>
          <w:sz w:val="24"/>
          <w:szCs w:val="24"/>
          <w:lang w:eastAsia="en-ZA"/>
        </w:rPr>
        <w:t>first respondent</w:t>
      </w:r>
      <w:r w:rsidR="00A6459F" w:rsidRPr="00DD197B">
        <w:rPr>
          <w:rFonts w:ascii="Arial" w:eastAsia="Times New Roman" w:hAnsi="Arial" w:cs="Arial"/>
          <w:color w:val="000000"/>
          <w:sz w:val="24"/>
          <w:szCs w:val="24"/>
          <w:lang w:eastAsia="en-ZA"/>
        </w:rPr>
        <w:t>, as an organ of state, is duty-bound to comply with the orders of this court, as it is with all of its obligations under the Constitution.</w:t>
      </w:r>
    </w:p>
    <w:p w14:paraId="2B0BC1CA" w14:textId="77777777" w:rsidR="000E3600" w:rsidRPr="000E3600" w:rsidRDefault="000E3600" w:rsidP="000E3600">
      <w:pPr>
        <w:pStyle w:val="ListParagraph"/>
        <w:rPr>
          <w:rFonts w:ascii="Arial" w:eastAsia="Times New Roman" w:hAnsi="Arial" w:cs="Arial"/>
          <w:color w:val="000000"/>
          <w:sz w:val="24"/>
          <w:szCs w:val="24"/>
          <w:lang w:eastAsia="en-ZA"/>
        </w:rPr>
      </w:pPr>
    </w:p>
    <w:p w14:paraId="7239B619" w14:textId="6FA694BC" w:rsidR="000E3600" w:rsidRPr="00DD197B" w:rsidRDefault="000E3600" w:rsidP="00DD197B">
      <w:pPr>
        <w:pStyle w:val="ListParagraph"/>
        <w:numPr>
          <w:ilvl w:val="0"/>
          <w:numId w:val="2"/>
        </w:numPr>
        <w:ind w:hanging="720"/>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I am therefore satisfied that the applicants have made out a case for the relief sought. </w:t>
      </w:r>
    </w:p>
    <w:p w14:paraId="262F7383" w14:textId="1289FC51" w:rsidR="00FD1C20" w:rsidRPr="00DD197B" w:rsidRDefault="00FD1C20" w:rsidP="00DD197B">
      <w:pPr>
        <w:rPr>
          <w:rFonts w:ascii="Arial" w:eastAsia="Times New Roman" w:hAnsi="Arial" w:cs="Arial"/>
          <w:color w:val="000000"/>
          <w:sz w:val="24"/>
          <w:szCs w:val="24"/>
          <w:lang w:eastAsia="en-ZA"/>
        </w:rPr>
      </w:pPr>
    </w:p>
    <w:p w14:paraId="16C60DCA" w14:textId="6B5CCDD2" w:rsidR="00FD1C20" w:rsidRPr="00DD197B" w:rsidRDefault="00FD1C20" w:rsidP="00DD197B">
      <w:pPr>
        <w:rPr>
          <w:rFonts w:ascii="Arial" w:eastAsia="Times New Roman" w:hAnsi="Arial" w:cs="Arial"/>
          <w:color w:val="000000"/>
          <w:sz w:val="24"/>
          <w:szCs w:val="24"/>
          <w:lang w:eastAsia="en-ZA"/>
        </w:rPr>
      </w:pPr>
      <w:r w:rsidRPr="00DD197B">
        <w:rPr>
          <w:rFonts w:ascii="Arial" w:eastAsia="Times New Roman" w:hAnsi="Arial" w:cs="Arial"/>
          <w:b/>
          <w:bCs/>
          <w:color w:val="000000"/>
          <w:sz w:val="24"/>
          <w:szCs w:val="24"/>
          <w:lang w:eastAsia="en-ZA"/>
        </w:rPr>
        <w:t>Costs</w:t>
      </w:r>
    </w:p>
    <w:p w14:paraId="6D86C5D0" w14:textId="77777777" w:rsidR="00FD1C20" w:rsidRPr="00DD197B" w:rsidRDefault="00FD1C20" w:rsidP="00DD197B">
      <w:pPr>
        <w:ind w:hanging="226"/>
        <w:rPr>
          <w:rFonts w:ascii="Arial" w:eastAsia="Times New Roman" w:hAnsi="Arial" w:cs="Arial"/>
          <w:color w:val="000000"/>
          <w:sz w:val="24"/>
          <w:szCs w:val="24"/>
          <w:lang w:eastAsia="en-ZA"/>
        </w:rPr>
      </w:pPr>
    </w:p>
    <w:p w14:paraId="4F06E6AA" w14:textId="0DB36DDC" w:rsidR="00DB2A17" w:rsidRPr="00DD197B" w:rsidRDefault="00DB2A17" w:rsidP="00DD197B">
      <w:pPr>
        <w:pStyle w:val="ListParagraph"/>
        <w:numPr>
          <w:ilvl w:val="0"/>
          <w:numId w:val="2"/>
        </w:numPr>
        <w:ind w:hanging="720"/>
        <w:rPr>
          <w:rStyle w:val="FootnoteReference"/>
          <w:rFonts w:ascii="Arial" w:eastAsia="Times New Roman" w:hAnsi="Arial" w:cs="Arial"/>
          <w:color w:val="000000"/>
          <w:sz w:val="24"/>
          <w:szCs w:val="24"/>
          <w:vertAlign w:val="baseline"/>
          <w:lang w:eastAsia="en-ZA"/>
        </w:rPr>
      </w:pPr>
      <w:r w:rsidRPr="00DD197B">
        <w:rPr>
          <w:rFonts w:ascii="Arial" w:hAnsi="Arial" w:cs="Arial"/>
          <w:sz w:val="24"/>
          <w:szCs w:val="24"/>
        </w:rPr>
        <w:t>The Constitutional Court has,</w:t>
      </w:r>
      <w:r w:rsidR="00D02D71" w:rsidRPr="00DD197B">
        <w:rPr>
          <w:rFonts w:ascii="Arial" w:hAnsi="Arial" w:cs="Arial"/>
          <w:sz w:val="24"/>
          <w:szCs w:val="24"/>
        </w:rPr>
        <w:t xml:space="preserve"> in the matter of</w:t>
      </w:r>
      <w:r w:rsidRPr="00DD197B">
        <w:rPr>
          <w:rFonts w:ascii="Arial" w:hAnsi="Arial" w:cs="Arial"/>
          <w:sz w:val="24"/>
          <w:szCs w:val="24"/>
        </w:rPr>
        <w:t xml:space="preserve"> </w:t>
      </w:r>
      <w:hyperlink r:id="rId8" w:history="1">
        <w:r w:rsidRPr="00DD197B">
          <w:rPr>
            <w:rStyle w:val="Hyperlink"/>
            <w:rFonts w:ascii="Arial" w:hAnsi="Arial" w:cs="Arial"/>
            <w:i/>
            <w:iCs/>
            <w:color w:val="auto"/>
            <w:sz w:val="24"/>
            <w:szCs w:val="24"/>
            <w:u w:val="none"/>
            <w:shd w:val="clear" w:color="auto" w:fill="FFFFFF"/>
          </w:rPr>
          <w:t>Public Protector v South African Reserve Bank 2019 (6) SA 253 (CC)</w:t>
        </w:r>
        <w:r w:rsidRPr="00DD197B">
          <w:rPr>
            <w:rStyle w:val="Hyperlink"/>
            <w:rFonts w:ascii="Arial" w:hAnsi="Arial" w:cs="Arial"/>
            <w:color w:val="auto"/>
            <w:sz w:val="24"/>
            <w:szCs w:val="24"/>
            <w:u w:val="none"/>
            <w:shd w:val="clear" w:color="auto" w:fill="FFFFFF"/>
          </w:rPr>
          <w:t xml:space="preserve"> </w:t>
        </w:r>
      </w:hyperlink>
      <w:r w:rsidRPr="00DD197B">
        <w:rPr>
          <w:rFonts w:ascii="Arial" w:hAnsi="Arial" w:cs="Arial"/>
          <w:sz w:val="24"/>
          <w:szCs w:val="24"/>
          <w:shd w:val="clear" w:color="auto" w:fill="FFFFFF"/>
        </w:rPr>
        <w:t>at [223]</w:t>
      </w:r>
      <w:r w:rsidRPr="00DD197B">
        <w:rPr>
          <w:rFonts w:ascii="Arial" w:hAnsi="Arial" w:cs="Arial"/>
          <w:sz w:val="24"/>
          <w:szCs w:val="24"/>
        </w:rPr>
        <w:t xml:space="preserve"> restated the standard for costs on this scale, “More than 100 years ago, Innes CJ stated the principle that costs on an attorney and client scale are awarded when a court wishes to mark its disapproval of the conduct of a litigant.  Since then this principle has been endorsed and applied in a long line of cases and remains applicable.  Over the years, courts have awarded costs on an attorney and client scale to mark their disapproval of fraudulent, dishonest or mala fides (bad faith) conduct; vexatious conduct; and conduct that amounts to an abuse of the process of court.</w:t>
      </w:r>
      <w:r w:rsidR="00000EA4">
        <w:rPr>
          <w:rFonts w:ascii="Arial" w:hAnsi="Arial" w:cs="Arial"/>
          <w:sz w:val="24"/>
          <w:szCs w:val="24"/>
        </w:rPr>
        <w:t>”</w:t>
      </w:r>
      <w:r w:rsidRPr="00DD197B">
        <w:rPr>
          <w:rStyle w:val="FootnoteReference"/>
          <w:rFonts w:ascii="Arial" w:hAnsi="Arial" w:cs="Arial"/>
          <w:sz w:val="24"/>
          <w:szCs w:val="24"/>
        </w:rPr>
        <w:t xml:space="preserve"> </w:t>
      </w:r>
    </w:p>
    <w:p w14:paraId="06ABA1BE" w14:textId="77777777" w:rsidR="00D02D71" w:rsidRPr="00DD197B" w:rsidRDefault="00D02D71" w:rsidP="00DD197B">
      <w:pPr>
        <w:pStyle w:val="ListParagraph"/>
        <w:rPr>
          <w:rFonts w:ascii="Arial" w:eastAsia="Times New Roman" w:hAnsi="Arial" w:cs="Arial"/>
          <w:color w:val="000000"/>
          <w:sz w:val="24"/>
          <w:szCs w:val="24"/>
          <w:lang w:eastAsia="en-ZA"/>
        </w:rPr>
      </w:pPr>
    </w:p>
    <w:p w14:paraId="13AD9EA3" w14:textId="6783738A" w:rsidR="00D02D71" w:rsidRPr="00DD197B" w:rsidRDefault="00D02D71" w:rsidP="00DD197B">
      <w:pPr>
        <w:pStyle w:val="ListParagraph"/>
        <w:numPr>
          <w:ilvl w:val="0"/>
          <w:numId w:val="2"/>
        </w:numPr>
        <w:ind w:hanging="720"/>
        <w:rPr>
          <w:rFonts w:ascii="Arial" w:eastAsia="Times New Roman" w:hAnsi="Arial" w:cs="Arial"/>
          <w:color w:val="000000"/>
          <w:sz w:val="24"/>
          <w:szCs w:val="24"/>
          <w:lang w:eastAsia="en-ZA"/>
        </w:rPr>
      </w:pPr>
      <w:r w:rsidRPr="00DD197B">
        <w:rPr>
          <w:rFonts w:ascii="Arial" w:eastAsia="Times New Roman" w:hAnsi="Arial" w:cs="Arial"/>
          <w:color w:val="000000"/>
          <w:sz w:val="24"/>
          <w:szCs w:val="24"/>
          <w:lang w:eastAsia="en-ZA"/>
        </w:rPr>
        <w:t>The first and second respondents’ failure to comply with the court order and their evasive response to adequately to address</w:t>
      </w:r>
      <w:r w:rsidR="00D174F0" w:rsidRPr="00DD197B">
        <w:rPr>
          <w:rFonts w:ascii="Arial" w:eastAsia="Times New Roman" w:hAnsi="Arial" w:cs="Arial"/>
          <w:color w:val="000000"/>
          <w:sz w:val="24"/>
          <w:szCs w:val="24"/>
          <w:lang w:eastAsia="en-ZA"/>
        </w:rPr>
        <w:t xml:space="preserve"> the issues that arise in this case warrants a punitive cost order. </w:t>
      </w:r>
    </w:p>
    <w:p w14:paraId="52A17303" w14:textId="77777777" w:rsidR="00FD1C20" w:rsidRPr="00DD197B" w:rsidRDefault="00FD1C20" w:rsidP="00DD197B">
      <w:pPr>
        <w:rPr>
          <w:rFonts w:ascii="Arial" w:eastAsia="Times New Roman" w:hAnsi="Arial" w:cs="Arial"/>
          <w:color w:val="000000"/>
          <w:sz w:val="24"/>
          <w:szCs w:val="24"/>
          <w:lang w:eastAsia="en-ZA"/>
        </w:rPr>
      </w:pPr>
    </w:p>
    <w:p w14:paraId="185ED92A" w14:textId="0BC593C4" w:rsidR="00FD1C20" w:rsidRDefault="00FD1C20" w:rsidP="00DD197B">
      <w:pPr>
        <w:rPr>
          <w:rFonts w:ascii="Arial" w:eastAsia="Times New Roman" w:hAnsi="Arial" w:cs="Arial"/>
          <w:b/>
          <w:bCs/>
          <w:color w:val="000000"/>
          <w:sz w:val="24"/>
          <w:szCs w:val="24"/>
          <w:lang w:eastAsia="en-ZA"/>
        </w:rPr>
      </w:pPr>
      <w:r w:rsidRPr="00DD197B">
        <w:rPr>
          <w:rFonts w:ascii="Arial" w:eastAsia="Times New Roman" w:hAnsi="Arial" w:cs="Arial"/>
          <w:b/>
          <w:bCs/>
          <w:color w:val="000000"/>
          <w:sz w:val="24"/>
          <w:szCs w:val="24"/>
          <w:lang w:eastAsia="en-ZA"/>
        </w:rPr>
        <w:t>Order</w:t>
      </w:r>
    </w:p>
    <w:p w14:paraId="35C289DD" w14:textId="77777777" w:rsidR="00000EA4" w:rsidRPr="00DD197B" w:rsidRDefault="00000EA4" w:rsidP="00DD197B">
      <w:pPr>
        <w:rPr>
          <w:rFonts w:ascii="Arial" w:eastAsia="Times New Roman" w:hAnsi="Arial" w:cs="Arial"/>
          <w:b/>
          <w:bCs/>
          <w:color w:val="000000"/>
          <w:sz w:val="24"/>
          <w:szCs w:val="24"/>
          <w:lang w:eastAsia="en-ZA"/>
        </w:rPr>
      </w:pPr>
    </w:p>
    <w:p w14:paraId="1ED6816A" w14:textId="27CED6E6" w:rsidR="00FD1C20" w:rsidRPr="00DD197B" w:rsidRDefault="00FD1C20" w:rsidP="00DD197B">
      <w:pPr>
        <w:pStyle w:val="ListParagraph"/>
        <w:numPr>
          <w:ilvl w:val="0"/>
          <w:numId w:val="2"/>
        </w:numPr>
        <w:ind w:hanging="720"/>
        <w:rPr>
          <w:rFonts w:ascii="Arial" w:eastAsia="Times New Roman" w:hAnsi="Arial" w:cs="Arial"/>
          <w:color w:val="000000"/>
          <w:sz w:val="24"/>
          <w:szCs w:val="24"/>
          <w:lang w:eastAsia="en-ZA"/>
        </w:rPr>
      </w:pPr>
      <w:r w:rsidRPr="00DD197B">
        <w:rPr>
          <w:rFonts w:ascii="Arial" w:eastAsia="Times New Roman" w:hAnsi="Arial" w:cs="Arial"/>
          <w:color w:val="000000"/>
          <w:sz w:val="24"/>
          <w:szCs w:val="24"/>
          <w:lang w:eastAsia="en-ZA"/>
        </w:rPr>
        <w:t>In the result, I make the following order:</w:t>
      </w:r>
    </w:p>
    <w:p w14:paraId="74F443F9" w14:textId="35050BA2" w:rsidR="00A6459F" w:rsidRPr="00DD197B" w:rsidRDefault="00A6459F" w:rsidP="00DD197B">
      <w:pPr>
        <w:rPr>
          <w:rFonts w:ascii="Arial" w:eastAsia="Times New Roman" w:hAnsi="Arial" w:cs="Arial"/>
          <w:color w:val="000000"/>
          <w:sz w:val="24"/>
          <w:szCs w:val="24"/>
          <w:lang w:eastAsia="en-ZA"/>
        </w:rPr>
      </w:pPr>
    </w:p>
    <w:p w14:paraId="1AF09747" w14:textId="77777777" w:rsidR="004134D3" w:rsidRPr="00DD197B" w:rsidRDefault="004134D3" w:rsidP="00DD197B">
      <w:pPr>
        <w:rPr>
          <w:rFonts w:ascii="Arial" w:hAnsi="Arial" w:cs="Arial"/>
          <w:sz w:val="24"/>
          <w:szCs w:val="24"/>
        </w:rPr>
      </w:pPr>
    </w:p>
    <w:p w14:paraId="535792FB" w14:textId="77777777" w:rsidR="005A35F1" w:rsidRPr="00DD197B" w:rsidRDefault="004134D3" w:rsidP="00DD197B">
      <w:pPr>
        <w:pStyle w:val="ListParagraph"/>
        <w:numPr>
          <w:ilvl w:val="1"/>
          <w:numId w:val="2"/>
        </w:numPr>
        <w:rPr>
          <w:rFonts w:ascii="Arial" w:eastAsia="Times New Roman" w:hAnsi="Arial" w:cs="Arial"/>
          <w:color w:val="000000"/>
          <w:sz w:val="24"/>
          <w:szCs w:val="24"/>
          <w:lang w:eastAsia="en-ZA"/>
        </w:rPr>
      </w:pPr>
      <w:r w:rsidRPr="00DD197B">
        <w:rPr>
          <w:rFonts w:ascii="Arial" w:hAnsi="Arial" w:cs="Arial"/>
          <w:sz w:val="24"/>
          <w:szCs w:val="24"/>
        </w:rPr>
        <w:t xml:space="preserve">The fourth, fifth and sixth respondents are joined </w:t>
      </w:r>
      <w:r w:rsidR="005A35F1" w:rsidRPr="00DD197B">
        <w:rPr>
          <w:rFonts w:ascii="Arial" w:hAnsi="Arial" w:cs="Arial"/>
          <w:sz w:val="24"/>
          <w:szCs w:val="24"/>
        </w:rPr>
        <w:t xml:space="preserve">as a party to </w:t>
      </w:r>
      <w:r w:rsidRPr="00DD197B">
        <w:rPr>
          <w:rFonts w:ascii="Arial" w:hAnsi="Arial" w:cs="Arial"/>
          <w:sz w:val="24"/>
          <w:szCs w:val="24"/>
        </w:rPr>
        <w:t>these proceedings</w:t>
      </w:r>
      <w:r w:rsidR="005A35F1" w:rsidRPr="00DD197B">
        <w:rPr>
          <w:rFonts w:ascii="Arial" w:hAnsi="Arial" w:cs="Arial"/>
          <w:sz w:val="24"/>
          <w:szCs w:val="24"/>
        </w:rPr>
        <w:t>;</w:t>
      </w:r>
    </w:p>
    <w:p w14:paraId="02614946" w14:textId="77777777" w:rsidR="005A35F1" w:rsidRPr="00DD197B" w:rsidRDefault="005A35F1" w:rsidP="00DD197B">
      <w:pPr>
        <w:pStyle w:val="ListParagraph"/>
        <w:ind w:left="1440"/>
        <w:rPr>
          <w:rFonts w:ascii="Arial" w:eastAsia="Times New Roman" w:hAnsi="Arial" w:cs="Arial"/>
          <w:color w:val="000000"/>
          <w:sz w:val="24"/>
          <w:szCs w:val="24"/>
          <w:lang w:eastAsia="en-ZA"/>
        </w:rPr>
      </w:pPr>
    </w:p>
    <w:p w14:paraId="316CF0DD" w14:textId="00F62018" w:rsidR="005A35F1" w:rsidRPr="00DD197B" w:rsidRDefault="005A35F1" w:rsidP="00DD197B">
      <w:pPr>
        <w:pStyle w:val="ListParagraph"/>
        <w:numPr>
          <w:ilvl w:val="1"/>
          <w:numId w:val="2"/>
        </w:numPr>
        <w:rPr>
          <w:rFonts w:ascii="Arial" w:eastAsia="Times New Roman" w:hAnsi="Arial" w:cs="Arial"/>
          <w:color w:val="000000"/>
          <w:sz w:val="24"/>
          <w:szCs w:val="24"/>
          <w:lang w:eastAsia="en-ZA"/>
        </w:rPr>
      </w:pPr>
      <w:r w:rsidRPr="00DD197B">
        <w:rPr>
          <w:rFonts w:ascii="Arial" w:hAnsi="Arial" w:cs="Arial"/>
          <w:sz w:val="24"/>
          <w:szCs w:val="24"/>
        </w:rPr>
        <w:t>It is declared that the first and second respondents are in contempt of the court order of Justice Mudau on 15 October 2018;</w:t>
      </w:r>
    </w:p>
    <w:p w14:paraId="4A7CC504" w14:textId="77777777" w:rsidR="00081FED" w:rsidRPr="00867CAF" w:rsidRDefault="00081FED" w:rsidP="00867CAF">
      <w:pPr>
        <w:rPr>
          <w:rFonts w:ascii="Arial" w:hAnsi="Arial" w:cs="Arial"/>
          <w:sz w:val="24"/>
          <w:szCs w:val="24"/>
        </w:rPr>
      </w:pPr>
    </w:p>
    <w:p w14:paraId="257DAD15" w14:textId="2D2B0B59" w:rsidR="00867CAF" w:rsidRPr="00867CAF" w:rsidRDefault="00F932F2" w:rsidP="00DD197B">
      <w:pPr>
        <w:pStyle w:val="ListParagraph"/>
        <w:numPr>
          <w:ilvl w:val="1"/>
          <w:numId w:val="2"/>
        </w:numPr>
        <w:rPr>
          <w:rFonts w:ascii="Arial" w:hAnsi="Arial" w:cs="Arial"/>
          <w:b/>
          <w:bCs/>
          <w:i/>
          <w:iCs/>
          <w:sz w:val="24"/>
          <w:szCs w:val="24"/>
        </w:rPr>
      </w:pPr>
      <w:r w:rsidRPr="00DD197B">
        <w:rPr>
          <w:rFonts w:ascii="Arial" w:hAnsi="Arial" w:cs="Arial"/>
          <w:sz w:val="24"/>
          <w:szCs w:val="24"/>
        </w:rPr>
        <w:t xml:space="preserve">The </w:t>
      </w:r>
      <w:r w:rsidR="00867CAF">
        <w:rPr>
          <w:rFonts w:ascii="Arial" w:hAnsi="Arial" w:cs="Arial"/>
          <w:sz w:val="24"/>
          <w:szCs w:val="24"/>
        </w:rPr>
        <w:t>first, second, fourth</w:t>
      </w:r>
      <w:r w:rsidR="00646730">
        <w:rPr>
          <w:rFonts w:ascii="Arial" w:hAnsi="Arial" w:cs="Arial"/>
          <w:sz w:val="24"/>
          <w:szCs w:val="24"/>
        </w:rPr>
        <w:t xml:space="preserve"> </w:t>
      </w:r>
      <w:r w:rsidR="00867CAF">
        <w:rPr>
          <w:rFonts w:ascii="Arial" w:hAnsi="Arial" w:cs="Arial"/>
          <w:sz w:val="24"/>
          <w:szCs w:val="24"/>
        </w:rPr>
        <w:t xml:space="preserve">and </w:t>
      </w:r>
      <w:r w:rsidR="00646730">
        <w:rPr>
          <w:rFonts w:ascii="Arial" w:hAnsi="Arial" w:cs="Arial"/>
          <w:sz w:val="24"/>
          <w:szCs w:val="24"/>
        </w:rPr>
        <w:t>fif</w:t>
      </w:r>
      <w:r w:rsidR="00867CAF">
        <w:rPr>
          <w:rFonts w:ascii="Arial" w:hAnsi="Arial" w:cs="Arial"/>
          <w:sz w:val="24"/>
          <w:szCs w:val="24"/>
        </w:rPr>
        <w:t xml:space="preserve">th </w:t>
      </w:r>
      <w:r w:rsidRPr="00DD197B">
        <w:rPr>
          <w:rFonts w:ascii="Arial" w:hAnsi="Arial" w:cs="Arial"/>
          <w:sz w:val="24"/>
          <w:szCs w:val="24"/>
        </w:rPr>
        <w:t xml:space="preserve">respondents </w:t>
      </w:r>
      <w:r w:rsidR="005A35F1" w:rsidRPr="00DD197B">
        <w:rPr>
          <w:rFonts w:ascii="Arial" w:hAnsi="Arial" w:cs="Arial"/>
          <w:sz w:val="24"/>
          <w:szCs w:val="24"/>
        </w:rPr>
        <w:t>are ordered to</w:t>
      </w:r>
      <w:r w:rsidR="0025525E" w:rsidRPr="00DD197B">
        <w:rPr>
          <w:rFonts w:ascii="Arial" w:hAnsi="Arial" w:cs="Arial"/>
          <w:sz w:val="24"/>
          <w:szCs w:val="24"/>
        </w:rPr>
        <w:t>, by 1 February 2022,</w:t>
      </w:r>
      <w:r w:rsidRPr="00DD197B">
        <w:rPr>
          <w:rFonts w:ascii="Arial" w:hAnsi="Arial" w:cs="Arial"/>
          <w:sz w:val="24"/>
          <w:szCs w:val="24"/>
        </w:rPr>
        <w:t xml:space="preserve"> file a report under oath </w:t>
      </w:r>
    </w:p>
    <w:p w14:paraId="6165BCE5" w14:textId="77777777" w:rsidR="00867CAF" w:rsidRPr="00867CAF" w:rsidRDefault="00867CAF" w:rsidP="00867CAF">
      <w:pPr>
        <w:pStyle w:val="ListParagraph"/>
        <w:rPr>
          <w:rFonts w:ascii="Arial" w:hAnsi="Arial" w:cs="Arial"/>
          <w:sz w:val="24"/>
          <w:szCs w:val="24"/>
        </w:rPr>
      </w:pPr>
    </w:p>
    <w:p w14:paraId="6A9063E9" w14:textId="1E80EF5A" w:rsidR="00000EA4" w:rsidRPr="00EC4EA6" w:rsidRDefault="00867CAF" w:rsidP="00EC4EA6">
      <w:pPr>
        <w:pStyle w:val="ListParagraph"/>
        <w:numPr>
          <w:ilvl w:val="2"/>
          <w:numId w:val="2"/>
        </w:numPr>
        <w:ind w:left="2552" w:hanging="1134"/>
        <w:rPr>
          <w:rFonts w:ascii="Arial" w:hAnsi="Arial" w:cs="Arial"/>
          <w:b/>
          <w:bCs/>
          <w:i/>
          <w:iCs/>
          <w:sz w:val="24"/>
          <w:szCs w:val="24"/>
        </w:rPr>
      </w:pPr>
      <w:r>
        <w:rPr>
          <w:rFonts w:ascii="Arial" w:hAnsi="Arial" w:cs="Arial"/>
          <w:sz w:val="24"/>
          <w:szCs w:val="24"/>
        </w:rPr>
        <w:t xml:space="preserve">setting out </w:t>
      </w:r>
      <w:r w:rsidR="00F932F2" w:rsidRPr="00867CAF">
        <w:rPr>
          <w:rFonts w:ascii="Arial" w:hAnsi="Arial" w:cs="Arial"/>
          <w:sz w:val="24"/>
          <w:szCs w:val="24"/>
        </w:rPr>
        <w:t xml:space="preserve">the steps taken since July 2020 to install the required electrical and water bulk services </w:t>
      </w:r>
      <w:r w:rsidR="00EC4EA6" w:rsidRPr="00EC4EA6">
        <w:rPr>
          <w:rFonts w:ascii="Arial" w:hAnsi="Arial" w:cs="Arial"/>
          <w:sz w:val="24"/>
          <w:szCs w:val="24"/>
        </w:rPr>
        <w:t>on the first to ninth applicants’ stands, namely erf 1779, 1777, 1740, 1770, 1752, 1776, 1775, 1733 and 1769</w:t>
      </w:r>
      <w:r w:rsidR="00000EA4" w:rsidRPr="00EC4EA6">
        <w:rPr>
          <w:rFonts w:ascii="Arial" w:hAnsi="Arial" w:cs="Arial"/>
          <w:sz w:val="24"/>
          <w:szCs w:val="24"/>
        </w:rPr>
        <w:t>;</w:t>
      </w:r>
      <w:r w:rsidR="00646730" w:rsidRPr="00EC4EA6">
        <w:rPr>
          <w:rFonts w:ascii="Arial" w:hAnsi="Arial" w:cs="Arial"/>
          <w:sz w:val="24"/>
          <w:szCs w:val="24"/>
        </w:rPr>
        <w:t xml:space="preserve"> </w:t>
      </w:r>
    </w:p>
    <w:p w14:paraId="36847902" w14:textId="77777777" w:rsidR="00000EA4" w:rsidRPr="00000EA4" w:rsidRDefault="00000EA4" w:rsidP="00000EA4">
      <w:pPr>
        <w:pStyle w:val="ListParagraph"/>
        <w:ind w:left="2552"/>
        <w:rPr>
          <w:rFonts w:ascii="Arial" w:hAnsi="Arial" w:cs="Arial"/>
          <w:b/>
          <w:bCs/>
          <w:i/>
          <w:iCs/>
          <w:sz w:val="24"/>
          <w:szCs w:val="24"/>
        </w:rPr>
      </w:pPr>
    </w:p>
    <w:p w14:paraId="6B47042F" w14:textId="4EEBC36D" w:rsidR="00867CAF" w:rsidRPr="00646730" w:rsidRDefault="00000EA4" w:rsidP="00646730">
      <w:pPr>
        <w:pStyle w:val="ListParagraph"/>
        <w:numPr>
          <w:ilvl w:val="2"/>
          <w:numId w:val="2"/>
        </w:numPr>
        <w:ind w:left="2552" w:hanging="1134"/>
        <w:rPr>
          <w:rFonts w:ascii="Arial" w:hAnsi="Arial" w:cs="Arial"/>
          <w:b/>
          <w:bCs/>
          <w:i/>
          <w:iCs/>
          <w:sz w:val="24"/>
          <w:szCs w:val="24"/>
        </w:rPr>
      </w:pPr>
      <w:r>
        <w:rPr>
          <w:rFonts w:ascii="Arial" w:hAnsi="Arial" w:cs="Arial"/>
          <w:sz w:val="24"/>
          <w:szCs w:val="24"/>
        </w:rPr>
        <w:t xml:space="preserve">setting out </w:t>
      </w:r>
      <w:r w:rsidR="0025525E" w:rsidRPr="00646730">
        <w:rPr>
          <w:rFonts w:ascii="Arial" w:hAnsi="Arial" w:cs="Arial"/>
          <w:sz w:val="24"/>
          <w:szCs w:val="24"/>
        </w:rPr>
        <w:t>the date by when the required electrical and water bulk services in respect of the</w:t>
      </w:r>
      <w:r w:rsidR="00EC4EA6">
        <w:rPr>
          <w:rFonts w:ascii="Arial" w:hAnsi="Arial" w:cs="Arial"/>
          <w:sz w:val="24"/>
          <w:szCs w:val="24"/>
        </w:rPr>
        <w:t xml:space="preserve"> aforementioned stands</w:t>
      </w:r>
      <w:r w:rsidR="0025525E" w:rsidRPr="00646730">
        <w:rPr>
          <w:rFonts w:ascii="Arial" w:hAnsi="Arial" w:cs="Arial"/>
          <w:sz w:val="24"/>
          <w:szCs w:val="24"/>
        </w:rPr>
        <w:t xml:space="preserve"> will be </w:t>
      </w:r>
      <w:r w:rsidR="0039149C" w:rsidRPr="00646730">
        <w:rPr>
          <w:rFonts w:ascii="Arial" w:hAnsi="Arial" w:cs="Arial"/>
          <w:sz w:val="24"/>
          <w:szCs w:val="24"/>
        </w:rPr>
        <w:t>installed</w:t>
      </w:r>
      <w:r w:rsidR="00646730" w:rsidRPr="00646730">
        <w:rPr>
          <w:rFonts w:ascii="Arial" w:hAnsi="Arial" w:cs="Arial"/>
          <w:sz w:val="24"/>
          <w:szCs w:val="24"/>
        </w:rPr>
        <w:t>;</w:t>
      </w:r>
      <w:r w:rsidR="00646730">
        <w:rPr>
          <w:rFonts w:ascii="Arial" w:hAnsi="Arial" w:cs="Arial"/>
          <w:sz w:val="24"/>
          <w:szCs w:val="24"/>
        </w:rPr>
        <w:t xml:space="preserve"> </w:t>
      </w:r>
      <w:r w:rsidR="00867CAF" w:rsidRPr="00646730">
        <w:rPr>
          <w:rFonts w:ascii="Arial" w:hAnsi="Arial" w:cs="Arial"/>
          <w:sz w:val="24"/>
          <w:szCs w:val="24"/>
        </w:rPr>
        <w:t xml:space="preserve">and </w:t>
      </w:r>
      <w:r w:rsidR="00081FED" w:rsidRPr="00646730">
        <w:rPr>
          <w:rFonts w:ascii="Arial" w:hAnsi="Arial" w:cs="Arial"/>
          <w:sz w:val="24"/>
          <w:szCs w:val="24"/>
        </w:rPr>
        <w:t xml:space="preserve"> </w:t>
      </w:r>
    </w:p>
    <w:p w14:paraId="1E906121" w14:textId="77777777" w:rsidR="00867CAF" w:rsidRPr="00867CAF" w:rsidRDefault="00867CAF" w:rsidP="00867CAF">
      <w:pPr>
        <w:pStyle w:val="ListParagraph"/>
        <w:ind w:left="2552"/>
        <w:rPr>
          <w:rFonts w:ascii="Arial" w:hAnsi="Arial" w:cs="Arial"/>
          <w:b/>
          <w:bCs/>
          <w:i/>
          <w:iCs/>
          <w:sz w:val="24"/>
          <w:szCs w:val="24"/>
        </w:rPr>
      </w:pPr>
    </w:p>
    <w:p w14:paraId="0D5C6D6F" w14:textId="617CFFEB" w:rsidR="0039149C" w:rsidRPr="0039149C" w:rsidRDefault="0039149C" w:rsidP="0039149C">
      <w:pPr>
        <w:pStyle w:val="ListParagraph"/>
        <w:numPr>
          <w:ilvl w:val="2"/>
          <w:numId w:val="2"/>
        </w:numPr>
        <w:ind w:left="2552" w:hanging="1134"/>
        <w:rPr>
          <w:rFonts w:ascii="Arial" w:hAnsi="Arial" w:cs="Arial"/>
          <w:sz w:val="24"/>
          <w:szCs w:val="24"/>
        </w:rPr>
      </w:pPr>
      <w:r w:rsidRPr="0039149C">
        <w:rPr>
          <w:rFonts w:ascii="Arial" w:hAnsi="Arial" w:cs="Arial"/>
          <w:sz w:val="24"/>
          <w:szCs w:val="24"/>
        </w:rPr>
        <w:t>confirming that the rates and taxes amounts owed by the first to ninth applicants in respect of their individual stands from the date of purchase of the stand to the date of use of the bulk water and electrical services on each stand has been written off.</w:t>
      </w:r>
    </w:p>
    <w:p w14:paraId="54264B13" w14:textId="77777777" w:rsidR="00867CAF" w:rsidRPr="00DD197B" w:rsidRDefault="00867CAF" w:rsidP="00867CAF">
      <w:pPr>
        <w:rPr>
          <w:rFonts w:ascii="Arial" w:hAnsi="Arial" w:cs="Arial"/>
          <w:sz w:val="24"/>
          <w:szCs w:val="24"/>
        </w:rPr>
      </w:pPr>
    </w:p>
    <w:p w14:paraId="4F8B634A" w14:textId="51F5B35D" w:rsidR="005A35F1" w:rsidRPr="00EC4EA6" w:rsidRDefault="005A35F1" w:rsidP="00EC4EA6">
      <w:pPr>
        <w:pStyle w:val="ListParagraph"/>
        <w:numPr>
          <w:ilvl w:val="1"/>
          <w:numId w:val="2"/>
        </w:numPr>
        <w:rPr>
          <w:rFonts w:ascii="Arial" w:hAnsi="Arial" w:cs="Arial"/>
          <w:i/>
          <w:iCs/>
          <w:sz w:val="24"/>
          <w:szCs w:val="24"/>
        </w:rPr>
      </w:pPr>
      <w:r w:rsidRPr="00DD197B">
        <w:rPr>
          <w:rFonts w:ascii="Arial" w:hAnsi="Arial" w:cs="Arial"/>
          <w:sz w:val="24"/>
          <w:szCs w:val="24"/>
        </w:rPr>
        <w:t xml:space="preserve">The first and second respondents </w:t>
      </w:r>
      <w:r w:rsidR="0039149C">
        <w:rPr>
          <w:rFonts w:ascii="Arial" w:hAnsi="Arial" w:cs="Arial"/>
          <w:sz w:val="24"/>
          <w:szCs w:val="24"/>
        </w:rPr>
        <w:t xml:space="preserve">are </w:t>
      </w:r>
      <w:r w:rsidRPr="00DD197B">
        <w:rPr>
          <w:rFonts w:ascii="Arial" w:hAnsi="Arial" w:cs="Arial"/>
          <w:sz w:val="24"/>
          <w:szCs w:val="24"/>
        </w:rPr>
        <w:t xml:space="preserve">ordered to pay the costs of the application jointly and severally the one paying the other to be absolved on an attorney and client scale. </w:t>
      </w:r>
    </w:p>
    <w:p w14:paraId="2A981F97" w14:textId="77777777" w:rsidR="00744DAB" w:rsidRPr="008D0AAE" w:rsidRDefault="00744DAB" w:rsidP="00744DAB">
      <w:pPr>
        <w:rPr>
          <w:rFonts w:ascii="Arial" w:hAnsi="Arial" w:cs="Arial"/>
          <w:sz w:val="24"/>
          <w:szCs w:val="24"/>
        </w:rPr>
      </w:pPr>
    </w:p>
    <w:p w14:paraId="2900B47B" w14:textId="77777777" w:rsidR="00744DAB" w:rsidRPr="008D0AAE" w:rsidRDefault="00744DAB" w:rsidP="00744DAB">
      <w:pPr>
        <w:autoSpaceDE w:val="0"/>
        <w:autoSpaceDN w:val="0"/>
        <w:adjustRightInd w:val="0"/>
        <w:contextualSpacing/>
        <w:rPr>
          <w:rFonts w:ascii="Arial" w:hAnsi="Arial" w:cs="Arial"/>
          <w:b/>
          <w:bCs/>
          <w:color w:val="000000"/>
          <w:sz w:val="24"/>
          <w:szCs w:val="24"/>
        </w:rPr>
      </w:pPr>
      <w:r w:rsidRPr="008D0AAE">
        <w:rPr>
          <w:rFonts w:ascii="Arial" w:hAnsi="Arial" w:cs="Arial"/>
          <w:b/>
          <w:bCs/>
          <w:color w:val="000000"/>
          <w:sz w:val="24"/>
          <w:szCs w:val="24"/>
        </w:rPr>
        <w:t>F KARACHI</w:t>
      </w:r>
    </w:p>
    <w:p w14:paraId="1B18973F" w14:textId="77777777" w:rsidR="00744DAB" w:rsidRDefault="00744DAB" w:rsidP="00744DAB">
      <w:pPr>
        <w:ind w:left="720" w:hanging="720"/>
        <w:contextualSpacing/>
        <w:rPr>
          <w:rFonts w:ascii="Arial" w:hAnsi="Arial" w:cs="Arial"/>
          <w:b/>
          <w:bCs/>
          <w:color w:val="000000"/>
          <w:sz w:val="24"/>
          <w:szCs w:val="24"/>
        </w:rPr>
      </w:pPr>
      <w:r w:rsidRPr="008D0AAE">
        <w:rPr>
          <w:rFonts w:ascii="Arial" w:hAnsi="Arial" w:cs="Arial"/>
          <w:b/>
          <w:bCs/>
          <w:color w:val="000000"/>
          <w:sz w:val="24"/>
          <w:szCs w:val="24"/>
        </w:rPr>
        <w:t>ACTING JUDGE OF THE HIGH COURT</w:t>
      </w:r>
    </w:p>
    <w:p w14:paraId="196F0715" w14:textId="77777777" w:rsidR="00744DAB" w:rsidRPr="008D0AAE" w:rsidRDefault="00744DAB" w:rsidP="00744DAB">
      <w:pPr>
        <w:contextualSpacing/>
        <w:rPr>
          <w:rFonts w:ascii="Arial" w:hAnsi="Arial" w:cs="Arial"/>
          <w:b/>
          <w:bCs/>
          <w:sz w:val="24"/>
          <w:szCs w:val="24"/>
        </w:rPr>
      </w:pPr>
    </w:p>
    <w:p w14:paraId="536F7723" w14:textId="77777777" w:rsidR="00744DAB" w:rsidRPr="008D0AAE" w:rsidRDefault="00744DAB" w:rsidP="00744DAB">
      <w:pPr>
        <w:autoSpaceDE w:val="0"/>
        <w:autoSpaceDN w:val="0"/>
        <w:adjustRightInd w:val="0"/>
        <w:contextualSpacing/>
        <w:rPr>
          <w:rFonts w:ascii="Arial" w:hAnsi="Arial" w:cs="Arial"/>
          <w:sz w:val="24"/>
          <w:szCs w:val="24"/>
        </w:rPr>
      </w:pPr>
      <w:r w:rsidRPr="008D0AAE">
        <w:rPr>
          <w:rFonts w:ascii="Arial" w:hAnsi="Arial" w:cs="Arial"/>
          <w:sz w:val="24"/>
          <w:szCs w:val="24"/>
        </w:rPr>
        <w:t>Appearances:</w:t>
      </w:r>
    </w:p>
    <w:p w14:paraId="763A50A1" w14:textId="77777777" w:rsidR="00744DAB" w:rsidRPr="008D0AAE" w:rsidRDefault="00744DAB" w:rsidP="00744DAB">
      <w:pPr>
        <w:autoSpaceDE w:val="0"/>
        <w:autoSpaceDN w:val="0"/>
        <w:adjustRightInd w:val="0"/>
        <w:contextualSpacing/>
        <w:rPr>
          <w:rFonts w:ascii="Arial" w:hAnsi="Arial" w:cs="Arial"/>
          <w:sz w:val="24"/>
          <w:szCs w:val="24"/>
        </w:rPr>
      </w:pPr>
    </w:p>
    <w:p w14:paraId="3634254D" w14:textId="319987A5" w:rsidR="00744DAB" w:rsidRPr="008D0AAE" w:rsidRDefault="00744DAB" w:rsidP="00744DAB">
      <w:pPr>
        <w:autoSpaceDE w:val="0"/>
        <w:autoSpaceDN w:val="0"/>
        <w:adjustRightInd w:val="0"/>
        <w:contextualSpacing/>
        <w:rPr>
          <w:rFonts w:ascii="Arial" w:hAnsi="Arial" w:cs="Arial"/>
          <w:sz w:val="24"/>
          <w:szCs w:val="24"/>
        </w:rPr>
      </w:pPr>
      <w:r w:rsidRPr="008D0AAE">
        <w:rPr>
          <w:rFonts w:ascii="Arial" w:hAnsi="Arial" w:cs="Arial"/>
          <w:sz w:val="24"/>
          <w:szCs w:val="24"/>
        </w:rPr>
        <w:t xml:space="preserve">For the applicant: </w:t>
      </w:r>
      <w:r w:rsidRPr="008D0AAE">
        <w:rPr>
          <w:rFonts w:ascii="Arial" w:hAnsi="Arial" w:cs="Arial"/>
          <w:sz w:val="24"/>
          <w:szCs w:val="24"/>
        </w:rPr>
        <w:tab/>
      </w:r>
      <w:r w:rsidRPr="008D0AAE">
        <w:rPr>
          <w:rFonts w:ascii="Arial" w:hAnsi="Arial" w:cs="Arial"/>
          <w:sz w:val="24"/>
          <w:szCs w:val="24"/>
        </w:rPr>
        <w:tab/>
        <w:t xml:space="preserve">Adv </w:t>
      </w:r>
      <w:r>
        <w:rPr>
          <w:rFonts w:ascii="Arial" w:hAnsi="Arial" w:cs="Arial"/>
          <w:sz w:val="24"/>
          <w:szCs w:val="24"/>
        </w:rPr>
        <w:t>A Dipa</w:t>
      </w:r>
    </w:p>
    <w:p w14:paraId="0987DBB5" w14:textId="77777777" w:rsidR="00744DAB" w:rsidRPr="008D0AAE" w:rsidRDefault="00744DAB" w:rsidP="00744DAB">
      <w:pPr>
        <w:autoSpaceDE w:val="0"/>
        <w:autoSpaceDN w:val="0"/>
        <w:adjustRightInd w:val="0"/>
        <w:contextualSpacing/>
        <w:rPr>
          <w:rFonts w:ascii="Arial" w:hAnsi="Arial" w:cs="Arial"/>
          <w:sz w:val="24"/>
          <w:szCs w:val="24"/>
        </w:rPr>
      </w:pPr>
    </w:p>
    <w:p w14:paraId="3C047556" w14:textId="69F58A3F" w:rsidR="00744DAB" w:rsidRPr="008D0AAE" w:rsidRDefault="00744DAB" w:rsidP="00744DAB">
      <w:pPr>
        <w:autoSpaceDE w:val="0"/>
        <w:autoSpaceDN w:val="0"/>
        <w:adjustRightInd w:val="0"/>
        <w:contextualSpacing/>
        <w:rPr>
          <w:rFonts w:ascii="Arial" w:hAnsi="Arial" w:cs="Arial"/>
          <w:sz w:val="24"/>
          <w:szCs w:val="24"/>
        </w:rPr>
      </w:pPr>
      <w:r w:rsidRPr="008D0AAE">
        <w:rPr>
          <w:rFonts w:ascii="Arial" w:hAnsi="Arial" w:cs="Arial"/>
          <w:sz w:val="24"/>
          <w:szCs w:val="24"/>
        </w:rPr>
        <w:t>For the Respondent:</w:t>
      </w:r>
      <w:r w:rsidRPr="008D0AAE">
        <w:rPr>
          <w:rFonts w:ascii="Arial" w:hAnsi="Arial" w:cs="Arial"/>
          <w:sz w:val="24"/>
          <w:szCs w:val="24"/>
        </w:rPr>
        <w:tab/>
        <w:t xml:space="preserve"> Adv </w:t>
      </w:r>
      <w:r>
        <w:rPr>
          <w:rFonts w:ascii="Arial" w:hAnsi="Arial" w:cs="Arial"/>
          <w:sz w:val="24"/>
          <w:szCs w:val="24"/>
        </w:rPr>
        <w:t>T Makgate</w:t>
      </w:r>
    </w:p>
    <w:p w14:paraId="12164221" w14:textId="65B46C08" w:rsidR="00744DAB" w:rsidRPr="008D0AAE" w:rsidRDefault="00744DAB" w:rsidP="00744DAB">
      <w:pPr>
        <w:autoSpaceDE w:val="0"/>
        <w:autoSpaceDN w:val="0"/>
        <w:adjustRightInd w:val="0"/>
        <w:contextualSpacing/>
        <w:rPr>
          <w:rFonts w:ascii="Arial" w:hAnsi="Arial" w:cs="Arial"/>
          <w:sz w:val="24"/>
          <w:szCs w:val="24"/>
        </w:rPr>
      </w:pPr>
      <w:r w:rsidRPr="008D0AAE">
        <w:rPr>
          <w:rFonts w:ascii="Arial" w:hAnsi="Arial" w:cs="Arial"/>
          <w:sz w:val="24"/>
          <w:szCs w:val="24"/>
        </w:rPr>
        <w:tab/>
      </w:r>
    </w:p>
    <w:p w14:paraId="7AF3B650" w14:textId="5E3D364C" w:rsidR="00744DAB" w:rsidRPr="008D0AAE" w:rsidRDefault="00744DAB" w:rsidP="00744DAB">
      <w:pPr>
        <w:autoSpaceDE w:val="0"/>
        <w:autoSpaceDN w:val="0"/>
        <w:adjustRightInd w:val="0"/>
        <w:contextualSpacing/>
        <w:rPr>
          <w:rFonts w:ascii="Arial" w:hAnsi="Arial" w:cs="Arial"/>
          <w:sz w:val="24"/>
          <w:szCs w:val="24"/>
        </w:rPr>
      </w:pPr>
      <w:r w:rsidRPr="008D0AAE">
        <w:rPr>
          <w:rFonts w:ascii="Arial" w:hAnsi="Arial" w:cs="Arial"/>
          <w:sz w:val="24"/>
          <w:szCs w:val="24"/>
        </w:rPr>
        <w:t>Date of the hearing:</w:t>
      </w:r>
      <w:r>
        <w:rPr>
          <w:rFonts w:ascii="Arial" w:hAnsi="Arial" w:cs="Arial"/>
          <w:sz w:val="24"/>
          <w:szCs w:val="24"/>
        </w:rPr>
        <w:tab/>
      </w:r>
      <w:r>
        <w:rPr>
          <w:rFonts w:ascii="Arial" w:hAnsi="Arial" w:cs="Arial"/>
          <w:sz w:val="24"/>
          <w:szCs w:val="24"/>
        </w:rPr>
        <w:tab/>
      </w:r>
      <w:r w:rsidRPr="008D0AAE">
        <w:rPr>
          <w:rFonts w:ascii="Arial" w:hAnsi="Arial" w:cs="Arial"/>
          <w:sz w:val="24"/>
          <w:szCs w:val="24"/>
        </w:rPr>
        <w:t>2</w:t>
      </w:r>
      <w:r>
        <w:rPr>
          <w:rFonts w:ascii="Arial" w:hAnsi="Arial" w:cs="Arial"/>
          <w:sz w:val="24"/>
          <w:szCs w:val="24"/>
        </w:rPr>
        <w:t>6</w:t>
      </w:r>
      <w:r w:rsidRPr="008D0AAE">
        <w:rPr>
          <w:rFonts w:ascii="Arial" w:hAnsi="Arial" w:cs="Arial"/>
          <w:sz w:val="24"/>
          <w:szCs w:val="24"/>
        </w:rPr>
        <w:t xml:space="preserve"> October 2021</w:t>
      </w:r>
    </w:p>
    <w:p w14:paraId="59937C4E" w14:textId="00CD8A10" w:rsidR="003A32DF" w:rsidRPr="00DD197B" w:rsidRDefault="00744DAB" w:rsidP="00DD197B">
      <w:pPr>
        <w:autoSpaceDE w:val="0"/>
        <w:autoSpaceDN w:val="0"/>
        <w:adjustRightInd w:val="0"/>
        <w:contextualSpacing/>
        <w:rPr>
          <w:rFonts w:ascii="Arial" w:hAnsi="Arial" w:cs="Arial"/>
          <w:sz w:val="24"/>
          <w:szCs w:val="24"/>
        </w:rPr>
      </w:pPr>
      <w:r w:rsidRPr="008D0AAE">
        <w:rPr>
          <w:rFonts w:ascii="Arial" w:hAnsi="Arial" w:cs="Arial"/>
          <w:sz w:val="24"/>
          <w:szCs w:val="24"/>
        </w:rPr>
        <w:t xml:space="preserve">Date of the judgment: </w:t>
      </w:r>
      <w:r>
        <w:rPr>
          <w:rFonts w:ascii="Arial" w:hAnsi="Arial" w:cs="Arial"/>
          <w:sz w:val="24"/>
          <w:szCs w:val="24"/>
        </w:rPr>
        <w:tab/>
        <w:t>10 December</w:t>
      </w:r>
      <w:r w:rsidRPr="008D0AAE">
        <w:rPr>
          <w:rFonts w:ascii="Arial" w:hAnsi="Arial" w:cs="Arial"/>
          <w:sz w:val="24"/>
          <w:szCs w:val="24"/>
        </w:rPr>
        <w:t xml:space="preserve"> 2021</w:t>
      </w:r>
    </w:p>
    <w:sectPr w:rsidR="003A32DF" w:rsidRPr="00DD19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67950" w14:textId="77777777" w:rsidR="00846DAD" w:rsidRDefault="00846DAD" w:rsidP="00DB2A17">
      <w:pPr>
        <w:spacing w:line="240" w:lineRule="auto"/>
      </w:pPr>
      <w:r>
        <w:separator/>
      </w:r>
    </w:p>
  </w:endnote>
  <w:endnote w:type="continuationSeparator" w:id="0">
    <w:p w14:paraId="39802F83" w14:textId="77777777" w:rsidR="00846DAD" w:rsidRDefault="00846DAD" w:rsidP="00DB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C4748" w14:textId="77777777" w:rsidR="00846DAD" w:rsidRDefault="00846DAD" w:rsidP="00DB2A17">
      <w:pPr>
        <w:spacing w:line="240" w:lineRule="auto"/>
      </w:pPr>
      <w:r>
        <w:separator/>
      </w:r>
    </w:p>
  </w:footnote>
  <w:footnote w:type="continuationSeparator" w:id="0">
    <w:p w14:paraId="68BF41AB" w14:textId="77777777" w:rsidR="00846DAD" w:rsidRDefault="00846DAD" w:rsidP="00DB2A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82AD4"/>
    <w:multiLevelType w:val="hybridMultilevel"/>
    <w:tmpl w:val="E6469DE8"/>
    <w:lvl w:ilvl="0" w:tplc="0E9CF9D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6F27482"/>
    <w:multiLevelType w:val="hybridMultilevel"/>
    <w:tmpl w:val="B7B2D756"/>
    <w:lvl w:ilvl="0" w:tplc="80C4454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BB24059"/>
    <w:multiLevelType w:val="multilevel"/>
    <w:tmpl w:val="AC6C207C"/>
    <w:lvl w:ilvl="0">
      <w:start w:val="1"/>
      <w:numFmt w:val="decimal"/>
      <w:lvlText w:val="%1."/>
      <w:lvlJc w:val="left"/>
      <w:pPr>
        <w:ind w:left="720" w:hanging="360"/>
      </w:pPr>
      <w:rPr>
        <w:rFonts w:hint="default"/>
        <w:b w:val="0"/>
        <w:bCs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3" w15:restartNumberingAfterBreak="0">
    <w:nsid w:val="6E88283E"/>
    <w:multiLevelType w:val="multilevel"/>
    <w:tmpl w:val="EF74B854"/>
    <w:lvl w:ilvl="0">
      <w:start w:val="1"/>
      <w:numFmt w:val="decimal"/>
      <w:lvlText w:val="%1."/>
      <w:lvlJc w:val="left"/>
      <w:pPr>
        <w:ind w:left="720" w:hanging="360"/>
      </w:pPr>
      <w:rPr>
        <w:rFonts w:ascii="Arial" w:hAnsi="Arial" w:cs="Arial" w:hint="default"/>
        <w:b w:val="0"/>
        <w:bCs w:val="0"/>
        <w:i w:val="0"/>
        <w:iCs w:val="0"/>
        <w:sz w:val="24"/>
        <w:szCs w:val="24"/>
      </w:rPr>
    </w:lvl>
    <w:lvl w:ilvl="1">
      <w:start w:val="1"/>
      <w:numFmt w:val="decimal"/>
      <w:isLgl/>
      <w:lvlText w:val="%1.%2."/>
      <w:lvlJc w:val="left"/>
      <w:pPr>
        <w:ind w:left="1440" w:hanging="720"/>
      </w:pPr>
      <w:rPr>
        <w:rFonts w:hint="default"/>
        <w:b w:val="0"/>
        <w:bCs w:val="0"/>
        <w:i w:val="0"/>
      </w:rPr>
    </w:lvl>
    <w:lvl w:ilvl="2">
      <w:start w:val="1"/>
      <w:numFmt w:val="decimal"/>
      <w:isLgl/>
      <w:lvlText w:val="%1.%2.%3."/>
      <w:lvlJc w:val="left"/>
      <w:pPr>
        <w:ind w:left="1800" w:hanging="720"/>
      </w:pPr>
      <w:rPr>
        <w:rFonts w:hint="default"/>
        <w:b w:val="0"/>
        <w:bCs w:val="0"/>
        <w:i w:val="0"/>
      </w:rPr>
    </w:lvl>
    <w:lvl w:ilvl="3">
      <w:start w:val="1"/>
      <w:numFmt w:val="decimal"/>
      <w:isLgl/>
      <w:lvlText w:val="%1.%2.%3.%4."/>
      <w:lvlJc w:val="left"/>
      <w:pPr>
        <w:ind w:left="2520" w:hanging="108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600" w:hanging="144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680" w:hanging="1800"/>
      </w:pPr>
      <w:rPr>
        <w:rFonts w:hint="default"/>
        <w:i w:val="0"/>
      </w:rPr>
    </w:lvl>
    <w:lvl w:ilvl="8">
      <w:start w:val="1"/>
      <w:numFmt w:val="decimal"/>
      <w:isLgl/>
      <w:lvlText w:val="%1.%2.%3.%4.%5.%6.%7.%8.%9."/>
      <w:lvlJc w:val="left"/>
      <w:pPr>
        <w:ind w:left="5040" w:hanging="1800"/>
      </w:pPr>
      <w:rPr>
        <w:rFonts w:hint="default"/>
        <w:i w:val="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32"/>
    <w:rsid w:val="00000EA4"/>
    <w:rsid w:val="0002034C"/>
    <w:rsid w:val="00081FED"/>
    <w:rsid w:val="000B18F7"/>
    <w:rsid w:val="000C50D8"/>
    <w:rsid w:val="000E3600"/>
    <w:rsid w:val="000E3911"/>
    <w:rsid w:val="00141D00"/>
    <w:rsid w:val="001645C7"/>
    <w:rsid w:val="00186A05"/>
    <w:rsid w:val="001B30FC"/>
    <w:rsid w:val="001C43BA"/>
    <w:rsid w:val="0021644E"/>
    <w:rsid w:val="00236B93"/>
    <w:rsid w:val="00251324"/>
    <w:rsid w:val="0025525E"/>
    <w:rsid w:val="00261261"/>
    <w:rsid w:val="0027273C"/>
    <w:rsid w:val="00317724"/>
    <w:rsid w:val="0039149C"/>
    <w:rsid w:val="003A32DF"/>
    <w:rsid w:val="003C3B61"/>
    <w:rsid w:val="004134D3"/>
    <w:rsid w:val="00422AA0"/>
    <w:rsid w:val="004269BE"/>
    <w:rsid w:val="00484FCB"/>
    <w:rsid w:val="004A789A"/>
    <w:rsid w:val="004E7517"/>
    <w:rsid w:val="005142F9"/>
    <w:rsid w:val="00582B44"/>
    <w:rsid w:val="005A35F1"/>
    <w:rsid w:val="005C1332"/>
    <w:rsid w:val="005D3AA2"/>
    <w:rsid w:val="005F3B63"/>
    <w:rsid w:val="005F5F62"/>
    <w:rsid w:val="0061128A"/>
    <w:rsid w:val="00616F52"/>
    <w:rsid w:val="0062464E"/>
    <w:rsid w:val="00646730"/>
    <w:rsid w:val="0066655C"/>
    <w:rsid w:val="006940B1"/>
    <w:rsid w:val="006A2517"/>
    <w:rsid w:val="00711E94"/>
    <w:rsid w:val="00720E8D"/>
    <w:rsid w:val="00741FB2"/>
    <w:rsid w:val="00744DAB"/>
    <w:rsid w:val="007F21FE"/>
    <w:rsid w:val="00822BAC"/>
    <w:rsid w:val="00846DAD"/>
    <w:rsid w:val="00857864"/>
    <w:rsid w:val="00867CAF"/>
    <w:rsid w:val="0088061A"/>
    <w:rsid w:val="00885B5A"/>
    <w:rsid w:val="008F4CFD"/>
    <w:rsid w:val="009614B2"/>
    <w:rsid w:val="00965601"/>
    <w:rsid w:val="009B30C0"/>
    <w:rsid w:val="009F5D21"/>
    <w:rsid w:val="00A04D5E"/>
    <w:rsid w:val="00A06203"/>
    <w:rsid w:val="00A10D71"/>
    <w:rsid w:val="00A43A92"/>
    <w:rsid w:val="00A44276"/>
    <w:rsid w:val="00A627C8"/>
    <w:rsid w:val="00A6459F"/>
    <w:rsid w:val="00A9595C"/>
    <w:rsid w:val="00A95EFA"/>
    <w:rsid w:val="00B406E1"/>
    <w:rsid w:val="00B70034"/>
    <w:rsid w:val="00C06606"/>
    <w:rsid w:val="00C670F6"/>
    <w:rsid w:val="00C7708A"/>
    <w:rsid w:val="00C80DC4"/>
    <w:rsid w:val="00CA6938"/>
    <w:rsid w:val="00D02D71"/>
    <w:rsid w:val="00D174F0"/>
    <w:rsid w:val="00D46B6C"/>
    <w:rsid w:val="00DB2A17"/>
    <w:rsid w:val="00DC5DAC"/>
    <w:rsid w:val="00DD197B"/>
    <w:rsid w:val="00DD51CE"/>
    <w:rsid w:val="00DE25BA"/>
    <w:rsid w:val="00DF15EF"/>
    <w:rsid w:val="00E63C52"/>
    <w:rsid w:val="00E7089B"/>
    <w:rsid w:val="00E843FB"/>
    <w:rsid w:val="00E861F8"/>
    <w:rsid w:val="00EC4EA6"/>
    <w:rsid w:val="00EE391D"/>
    <w:rsid w:val="00EE5050"/>
    <w:rsid w:val="00F36F70"/>
    <w:rsid w:val="00F64293"/>
    <w:rsid w:val="00F932F2"/>
    <w:rsid w:val="00F96A2E"/>
    <w:rsid w:val="00FA0418"/>
    <w:rsid w:val="00FD1C20"/>
    <w:rsid w:val="00FF09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C28D"/>
  <w15:docId w15:val="{825E3D22-A8D2-4B47-A550-7EA3FF07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332"/>
    <w:pPr>
      <w:spacing w:after="0" w:line="480" w:lineRule="auto"/>
      <w:jc w:val="both"/>
    </w:pPr>
    <w:rPr>
      <w:rFonts w:ascii="CG Times" w:hAnsi="CG Times"/>
      <w:sz w:val="26"/>
    </w:rPr>
  </w:style>
  <w:style w:type="paragraph" w:styleId="Heading1">
    <w:name w:val="heading 1"/>
    <w:basedOn w:val="Normal"/>
    <w:next w:val="Normal"/>
    <w:link w:val="Heading1Char"/>
    <w:uiPriority w:val="9"/>
    <w:qFormat/>
    <w:rsid w:val="00E861F8"/>
    <w:pPr>
      <w:keepNext/>
      <w:keepLines/>
      <w:spacing w:before="240"/>
      <w:jc w:val="left"/>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E861F8"/>
    <w:pPr>
      <w:keepNext/>
      <w:keepLines/>
      <w:spacing w:before="40"/>
      <w:outlineLvl w:val="1"/>
    </w:pPr>
    <w:rPr>
      <w:rFonts w:eastAsiaTheme="majorEastAsia" w:cstheme="majorBidi"/>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1F8"/>
    <w:rPr>
      <w:rFonts w:ascii="CG Times" w:eastAsiaTheme="majorEastAsia" w:hAnsi="CG Times" w:cstheme="majorBidi"/>
      <w:b/>
      <w:sz w:val="26"/>
      <w:szCs w:val="32"/>
    </w:rPr>
  </w:style>
  <w:style w:type="paragraph" w:styleId="NoSpacing">
    <w:name w:val="No Spacing"/>
    <w:aliases w:val="Arial"/>
    <w:uiPriority w:val="1"/>
    <w:qFormat/>
    <w:rsid w:val="00E861F8"/>
    <w:pPr>
      <w:spacing w:after="0" w:line="480" w:lineRule="auto"/>
    </w:pPr>
    <w:rPr>
      <w:rFonts w:ascii="Arial" w:hAnsi="Arial"/>
      <w:sz w:val="24"/>
    </w:rPr>
  </w:style>
  <w:style w:type="character" w:customStyle="1" w:styleId="Heading2Char">
    <w:name w:val="Heading 2 Char"/>
    <w:basedOn w:val="DefaultParagraphFont"/>
    <w:link w:val="Heading2"/>
    <w:uiPriority w:val="9"/>
    <w:semiHidden/>
    <w:rsid w:val="00E861F8"/>
    <w:rPr>
      <w:rFonts w:ascii="CG Times" w:eastAsiaTheme="majorEastAsia" w:hAnsi="CG Times" w:cstheme="majorBidi"/>
      <w:i/>
      <w:sz w:val="26"/>
      <w:szCs w:val="26"/>
      <w:u w:val="single"/>
    </w:rPr>
  </w:style>
  <w:style w:type="table" w:styleId="TableGrid">
    <w:name w:val="Table Grid"/>
    <w:basedOn w:val="TableNormal"/>
    <w:uiPriority w:val="39"/>
    <w:rsid w:val="005C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332"/>
    <w:pPr>
      <w:ind w:left="720"/>
      <w:contextualSpacing/>
    </w:pPr>
  </w:style>
  <w:style w:type="character" w:customStyle="1" w:styleId="mc">
    <w:name w:val="mc"/>
    <w:basedOn w:val="DefaultParagraphFont"/>
    <w:rsid w:val="00484FCB"/>
  </w:style>
  <w:style w:type="character" w:customStyle="1" w:styleId="g1">
    <w:name w:val="g1"/>
    <w:basedOn w:val="DefaultParagraphFont"/>
    <w:rsid w:val="003C3B61"/>
  </w:style>
  <w:style w:type="character" w:styleId="Hyperlink">
    <w:name w:val="Hyperlink"/>
    <w:basedOn w:val="DefaultParagraphFont"/>
    <w:uiPriority w:val="99"/>
    <w:semiHidden/>
    <w:unhideWhenUsed/>
    <w:rsid w:val="003C3B61"/>
    <w:rPr>
      <w:color w:val="0000FF"/>
      <w:u w:val="single"/>
    </w:rPr>
  </w:style>
  <w:style w:type="paragraph" w:styleId="FootnoteText">
    <w:name w:val="footnote text"/>
    <w:aliases w:val="Char Char, Char Char,Footnote Text Char1,Footnote Text Char Char,Footnote Text Char1 Char Char,Footnote Text Char Char Char Char,Footnote Text Char1 Char Char Char Char,Footnote Text Char Char Char Char Char Char Char,Footnote Text Char1 C"/>
    <w:basedOn w:val="Normal"/>
    <w:link w:val="FootnoteTextChar"/>
    <w:uiPriority w:val="99"/>
    <w:unhideWhenUsed/>
    <w:qFormat/>
    <w:rsid w:val="00DB2A17"/>
    <w:pPr>
      <w:spacing w:line="240" w:lineRule="auto"/>
      <w:jc w:val="left"/>
    </w:pPr>
    <w:rPr>
      <w:rFonts w:ascii="Times New Roman" w:eastAsia="Times New Roman" w:hAnsi="Times New Roman" w:cs="Times New Roman"/>
      <w:sz w:val="20"/>
      <w:szCs w:val="20"/>
      <w:lang w:val="en-US"/>
    </w:rPr>
  </w:style>
  <w:style w:type="character" w:customStyle="1" w:styleId="FootnoteTextChar">
    <w:name w:val="Footnote Text Char"/>
    <w:aliases w:val="Char Char Char, Char Char Char,Footnote Text Char1 Char,Footnote Text Char Char Char,Footnote Text Char1 Char Char Char,Footnote Text Char Char Char Char Char,Footnote Text Char1 Char Char Char Char Char,Footnote Text Char1 C Char"/>
    <w:basedOn w:val="DefaultParagraphFont"/>
    <w:link w:val="FootnoteText"/>
    <w:uiPriority w:val="99"/>
    <w:rsid w:val="00DB2A17"/>
    <w:rPr>
      <w:rFonts w:ascii="Times New Roman" w:eastAsia="Times New Roman" w:hAnsi="Times New Roman" w:cs="Times New Roman"/>
      <w:sz w:val="20"/>
      <w:szCs w:val="20"/>
      <w:lang w:val="en-US"/>
    </w:rPr>
  </w:style>
  <w:style w:type="character" w:styleId="FootnoteReference">
    <w:name w:val="footnote reference"/>
    <w:aliases w:val="Footnotes refss,Footnote Reference + Superscript,(NECG) Footnote Reference,Appel note de bas de page,Ref,de nota al pie,註腳內容,fr,Footnote symbol,Footnote,Style 4,-E Fußnotenzeichen,16 Point,Superscript 6 Point,Heading 6 Char1,Style 12"/>
    <w:basedOn w:val="DefaultParagraphFont"/>
    <w:uiPriority w:val="99"/>
    <w:unhideWhenUsed/>
    <w:qFormat/>
    <w:rsid w:val="00DB2A17"/>
    <w:rPr>
      <w:vertAlign w:val="superscript"/>
    </w:rPr>
  </w:style>
  <w:style w:type="paragraph" w:customStyle="1" w:styleId="Default">
    <w:name w:val="Default"/>
    <w:rsid w:val="00DB2A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81689">
      <w:bodyDiv w:val="1"/>
      <w:marLeft w:val="0"/>
      <w:marRight w:val="0"/>
      <w:marTop w:val="0"/>
      <w:marBottom w:val="0"/>
      <w:divBdr>
        <w:top w:val="none" w:sz="0" w:space="0" w:color="auto"/>
        <w:left w:val="none" w:sz="0" w:space="0" w:color="auto"/>
        <w:bottom w:val="none" w:sz="0" w:space="0" w:color="auto"/>
        <w:right w:val="none" w:sz="0" w:space="0" w:color="auto"/>
      </w:divBdr>
      <w:divsChild>
        <w:div w:id="57409734">
          <w:marLeft w:val="567"/>
          <w:marRight w:val="0"/>
          <w:marTop w:val="120"/>
          <w:marBottom w:val="0"/>
          <w:divBdr>
            <w:top w:val="none" w:sz="0" w:space="0" w:color="auto"/>
            <w:left w:val="none" w:sz="0" w:space="0" w:color="auto"/>
            <w:bottom w:val="none" w:sz="0" w:space="0" w:color="auto"/>
            <w:right w:val="none" w:sz="0" w:space="0" w:color="auto"/>
          </w:divBdr>
        </w:div>
        <w:div w:id="1150906443">
          <w:marLeft w:val="567"/>
          <w:marRight w:val="0"/>
          <w:marTop w:val="120"/>
          <w:marBottom w:val="0"/>
          <w:divBdr>
            <w:top w:val="none" w:sz="0" w:space="0" w:color="auto"/>
            <w:left w:val="none" w:sz="0" w:space="0" w:color="auto"/>
            <w:bottom w:val="none" w:sz="0" w:space="0" w:color="auto"/>
            <w:right w:val="none" w:sz="0" w:space="0" w:color="auto"/>
          </w:divBdr>
        </w:div>
        <w:div w:id="233010437">
          <w:marLeft w:val="0"/>
          <w:marRight w:val="0"/>
          <w:marTop w:val="240"/>
          <w:marBottom w:val="60"/>
          <w:divBdr>
            <w:top w:val="single" w:sz="8" w:space="2" w:color="808080"/>
            <w:left w:val="none" w:sz="0" w:space="0" w:color="auto"/>
            <w:bottom w:val="none" w:sz="0" w:space="0" w:color="auto"/>
            <w:right w:val="none" w:sz="0" w:space="0" w:color="auto"/>
          </w:divBdr>
        </w:div>
        <w:div w:id="1577744238">
          <w:marLeft w:val="1293"/>
          <w:marRight w:val="0"/>
          <w:marTop w:val="0"/>
          <w:marBottom w:val="180"/>
          <w:divBdr>
            <w:top w:val="none" w:sz="0" w:space="0" w:color="auto"/>
            <w:left w:val="none" w:sz="0" w:space="0" w:color="auto"/>
            <w:bottom w:val="none" w:sz="0" w:space="0" w:color="auto"/>
            <w:right w:val="none" w:sz="0" w:space="0" w:color="auto"/>
          </w:divBdr>
        </w:div>
        <w:div w:id="1776099363">
          <w:marLeft w:val="1293"/>
          <w:marRight w:val="0"/>
          <w:marTop w:val="0"/>
          <w:marBottom w:val="180"/>
          <w:divBdr>
            <w:top w:val="none" w:sz="0" w:space="0" w:color="auto"/>
            <w:left w:val="none" w:sz="0" w:space="0" w:color="auto"/>
            <w:bottom w:val="none" w:sz="0" w:space="0" w:color="auto"/>
            <w:right w:val="none" w:sz="0" w:space="0" w:color="auto"/>
          </w:divBdr>
        </w:div>
        <w:div w:id="1624993005">
          <w:marLeft w:val="1293"/>
          <w:marRight w:val="0"/>
          <w:marTop w:val="0"/>
          <w:marBottom w:val="180"/>
          <w:divBdr>
            <w:top w:val="none" w:sz="0" w:space="0" w:color="auto"/>
            <w:left w:val="none" w:sz="0" w:space="0" w:color="auto"/>
            <w:bottom w:val="none" w:sz="0" w:space="0" w:color="auto"/>
            <w:right w:val="none" w:sz="0" w:space="0" w:color="auto"/>
          </w:divBdr>
        </w:div>
        <w:div w:id="1500921042">
          <w:marLeft w:val="1293"/>
          <w:marRight w:val="0"/>
          <w:marTop w:val="0"/>
          <w:marBottom w:val="180"/>
          <w:divBdr>
            <w:top w:val="none" w:sz="0" w:space="0" w:color="auto"/>
            <w:left w:val="none" w:sz="0" w:space="0" w:color="auto"/>
            <w:bottom w:val="none" w:sz="0" w:space="0" w:color="auto"/>
            <w:right w:val="none" w:sz="0" w:space="0" w:color="auto"/>
          </w:divBdr>
        </w:div>
        <w:div w:id="1453093811">
          <w:marLeft w:val="567"/>
          <w:marRight w:val="0"/>
          <w:marTop w:val="120"/>
          <w:marBottom w:val="0"/>
          <w:divBdr>
            <w:top w:val="none" w:sz="0" w:space="0" w:color="auto"/>
            <w:left w:val="none" w:sz="0" w:space="0" w:color="auto"/>
            <w:bottom w:val="none" w:sz="0" w:space="0" w:color="auto"/>
            <w:right w:val="none" w:sz="0" w:space="0" w:color="auto"/>
          </w:divBdr>
        </w:div>
        <w:div w:id="1037850767">
          <w:marLeft w:val="567"/>
          <w:marRight w:val="0"/>
          <w:marTop w:val="120"/>
          <w:marBottom w:val="0"/>
          <w:divBdr>
            <w:top w:val="none" w:sz="0" w:space="0" w:color="auto"/>
            <w:left w:val="none" w:sz="0" w:space="0" w:color="auto"/>
            <w:bottom w:val="none" w:sz="0" w:space="0" w:color="auto"/>
            <w:right w:val="none" w:sz="0" w:space="0" w:color="auto"/>
          </w:divBdr>
        </w:div>
        <w:div w:id="444203220">
          <w:marLeft w:val="1293"/>
          <w:marRight w:val="0"/>
          <w:marTop w:val="0"/>
          <w:marBottom w:val="180"/>
          <w:divBdr>
            <w:top w:val="none" w:sz="0" w:space="0" w:color="auto"/>
            <w:left w:val="none" w:sz="0" w:space="0" w:color="auto"/>
            <w:bottom w:val="none" w:sz="0" w:space="0" w:color="auto"/>
            <w:right w:val="none" w:sz="0" w:space="0" w:color="auto"/>
          </w:divBdr>
        </w:div>
        <w:div w:id="1509521333">
          <w:marLeft w:val="1293"/>
          <w:marRight w:val="0"/>
          <w:marTop w:val="0"/>
          <w:marBottom w:val="180"/>
          <w:divBdr>
            <w:top w:val="none" w:sz="0" w:space="0" w:color="auto"/>
            <w:left w:val="none" w:sz="0" w:space="0" w:color="auto"/>
            <w:bottom w:val="none" w:sz="0" w:space="0" w:color="auto"/>
            <w:right w:val="none" w:sz="0" w:space="0" w:color="auto"/>
          </w:divBdr>
        </w:div>
        <w:div w:id="187452216">
          <w:marLeft w:val="1293"/>
          <w:marRight w:val="0"/>
          <w:marTop w:val="0"/>
          <w:marBottom w:val="180"/>
          <w:divBdr>
            <w:top w:val="none" w:sz="0" w:space="0" w:color="auto"/>
            <w:left w:val="none" w:sz="0" w:space="0" w:color="auto"/>
            <w:bottom w:val="none" w:sz="0" w:space="0" w:color="auto"/>
            <w:right w:val="none" w:sz="0" w:space="0" w:color="auto"/>
          </w:divBdr>
        </w:div>
        <w:div w:id="908921402">
          <w:marLeft w:val="567"/>
          <w:marRight w:val="0"/>
          <w:marTop w:val="120"/>
          <w:marBottom w:val="0"/>
          <w:divBdr>
            <w:top w:val="none" w:sz="0" w:space="0" w:color="auto"/>
            <w:left w:val="none" w:sz="0" w:space="0" w:color="auto"/>
            <w:bottom w:val="none" w:sz="0" w:space="0" w:color="auto"/>
            <w:right w:val="none" w:sz="0" w:space="0" w:color="auto"/>
          </w:divBdr>
        </w:div>
        <w:div w:id="1773431279">
          <w:marLeft w:val="567"/>
          <w:marRight w:val="0"/>
          <w:marTop w:val="120"/>
          <w:marBottom w:val="0"/>
          <w:divBdr>
            <w:top w:val="none" w:sz="0" w:space="0" w:color="auto"/>
            <w:left w:val="none" w:sz="0" w:space="0" w:color="auto"/>
            <w:bottom w:val="none" w:sz="0" w:space="0" w:color="auto"/>
            <w:right w:val="none" w:sz="0" w:space="0" w:color="auto"/>
          </w:divBdr>
        </w:div>
      </w:divsChild>
    </w:div>
    <w:div w:id="297031886">
      <w:bodyDiv w:val="1"/>
      <w:marLeft w:val="0"/>
      <w:marRight w:val="0"/>
      <w:marTop w:val="0"/>
      <w:marBottom w:val="0"/>
      <w:divBdr>
        <w:top w:val="none" w:sz="0" w:space="0" w:color="auto"/>
        <w:left w:val="none" w:sz="0" w:space="0" w:color="auto"/>
        <w:bottom w:val="none" w:sz="0" w:space="0" w:color="auto"/>
        <w:right w:val="none" w:sz="0" w:space="0" w:color="auto"/>
      </w:divBdr>
      <w:divsChild>
        <w:div w:id="333798790">
          <w:marLeft w:val="0"/>
          <w:marRight w:val="0"/>
          <w:marTop w:val="120"/>
          <w:marBottom w:val="0"/>
          <w:divBdr>
            <w:top w:val="none" w:sz="0" w:space="0" w:color="auto"/>
            <w:left w:val="none" w:sz="0" w:space="0" w:color="auto"/>
            <w:bottom w:val="none" w:sz="0" w:space="0" w:color="auto"/>
            <w:right w:val="none" w:sz="0" w:space="0" w:color="auto"/>
          </w:divBdr>
        </w:div>
        <w:div w:id="2040621614">
          <w:marLeft w:val="0"/>
          <w:marRight w:val="0"/>
          <w:marTop w:val="120"/>
          <w:marBottom w:val="0"/>
          <w:divBdr>
            <w:top w:val="none" w:sz="0" w:space="0" w:color="auto"/>
            <w:left w:val="none" w:sz="0" w:space="0" w:color="auto"/>
            <w:bottom w:val="none" w:sz="0" w:space="0" w:color="auto"/>
            <w:right w:val="none" w:sz="0" w:space="0" w:color="auto"/>
          </w:divBdr>
        </w:div>
      </w:divsChild>
    </w:div>
    <w:div w:id="837574420">
      <w:bodyDiv w:val="1"/>
      <w:marLeft w:val="0"/>
      <w:marRight w:val="0"/>
      <w:marTop w:val="0"/>
      <w:marBottom w:val="0"/>
      <w:divBdr>
        <w:top w:val="none" w:sz="0" w:space="0" w:color="auto"/>
        <w:left w:val="none" w:sz="0" w:space="0" w:color="auto"/>
        <w:bottom w:val="none" w:sz="0" w:space="0" w:color="auto"/>
        <w:right w:val="none" w:sz="0" w:space="0" w:color="auto"/>
      </w:divBdr>
      <w:divsChild>
        <w:div w:id="677581914">
          <w:marLeft w:val="0"/>
          <w:marRight w:val="0"/>
          <w:marTop w:val="120"/>
          <w:marBottom w:val="0"/>
          <w:divBdr>
            <w:top w:val="none" w:sz="0" w:space="0" w:color="auto"/>
            <w:left w:val="none" w:sz="0" w:space="0" w:color="auto"/>
            <w:bottom w:val="none" w:sz="0" w:space="0" w:color="auto"/>
            <w:right w:val="none" w:sz="0" w:space="0" w:color="auto"/>
          </w:divBdr>
        </w:div>
        <w:div w:id="1446803272">
          <w:marLeft w:val="0"/>
          <w:marRight w:val="0"/>
          <w:marTop w:val="240"/>
          <w:marBottom w:val="24"/>
          <w:divBdr>
            <w:top w:val="single" w:sz="8" w:space="2" w:color="808080"/>
            <w:left w:val="none" w:sz="0" w:space="0" w:color="auto"/>
            <w:bottom w:val="none" w:sz="0" w:space="0" w:color="auto"/>
            <w:right w:val="none" w:sz="0" w:space="0" w:color="auto"/>
          </w:divBdr>
        </w:div>
        <w:div w:id="963773364">
          <w:marLeft w:val="0"/>
          <w:marRight w:val="0"/>
          <w:marTop w:val="120"/>
          <w:marBottom w:val="0"/>
          <w:divBdr>
            <w:top w:val="none" w:sz="0" w:space="0" w:color="auto"/>
            <w:left w:val="none" w:sz="0" w:space="0" w:color="auto"/>
            <w:bottom w:val="none" w:sz="0" w:space="0" w:color="auto"/>
            <w:right w:val="none" w:sz="0" w:space="0" w:color="auto"/>
          </w:divBdr>
        </w:div>
        <w:div w:id="388844344">
          <w:marLeft w:val="0"/>
          <w:marRight w:val="0"/>
          <w:marTop w:val="120"/>
          <w:marBottom w:val="0"/>
          <w:divBdr>
            <w:top w:val="none" w:sz="0" w:space="0" w:color="auto"/>
            <w:left w:val="none" w:sz="0" w:space="0" w:color="auto"/>
            <w:bottom w:val="none" w:sz="0" w:space="0" w:color="auto"/>
            <w:right w:val="none" w:sz="0" w:space="0" w:color="auto"/>
          </w:divBdr>
        </w:div>
      </w:divsChild>
    </w:div>
    <w:div w:id="1107390529">
      <w:bodyDiv w:val="1"/>
      <w:marLeft w:val="0"/>
      <w:marRight w:val="0"/>
      <w:marTop w:val="0"/>
      <w:marBottom w:val="0"/>
      <w:divBdr>
        <w:top w:val="none" w:sz="0" w:space="0" w:color="auto"/>
        <w:left w:val="none" w:sz="0" w:space="0" w:color="auto"/>
        <w:bottom w:val="none" w:sz="0" w:space="0" w:color="auto"/>
        <w:right w:val="none" w:sz="0" w:space="0" w:color="auto"/>
      </w:divBdr>
      <w:divsChild>
        <w:div w:id="383339152">
          <w:marLeft w:val="567"/>
          <w:marRight w:val="0"/>
          <w:marTop w:val="120"/>
          <w:marBottom w:val="0"/>
          <w:divBdr>
            <w:top w:val="none" w:sz="0" w:space="0" w:color="auto"/>
            <w:left w:val="none" w:sz="0" w:space="0" w:color="auto"/>
            <w:bottom w:val="none" w:sz="0" w:space="0" w:color="auto"/>
            <w:right w:val="none" w:sz="0" w:space="0" w:color="auto"/>
          </w:divBdr>
        </w:div>
        <w:div w:id="307059355">
          <w:marLeft w:val="567"/>
          <w:marRight w:val="0"/>
          <w:marTop w:val="120"/>
          <w:marBottom w:val="0"/>
          <w:divBdr>
            <w:top w:val="none" w:sz="0" w:space="0" w:color="auto"/>
            <w:left w:val="none" w:sz="0" w:space="0" w:color="auto"/>
            <w:bottom w:val="none" w:sz="0" w:space="0" w:color="auto"/>
            <w:right w:val="none" w:sz="0" w:space="0" w:color="auto"/>
          </w:divBdr>
        </w:div>
        <w:div w:id="469790100">
          <w:marLeft w:val="567"/>
          <w:marRight w:val="0"/>
          <w:marTop w:val="120"/>
          <w:marBottom w:val="0"/>
          <w:divBdr>
            <w:top w:val="none" w:sz="0" w:space="0" w:color="auto"/>
            <w:left w:val="none" w:sz="0" w:space="0" w:color="auto"/>
            <w:bottom w:val="none" w:sz="0" w:space="0" w:color="auto"/>
            <w:right w:val="none" w:sz="0" w:space="0" w:color="auto"/>
          </w:divBdr>
        </w:div>
        <w:div w:id="2024085237">
          <w:marLeft w:val="567"/>
          <w:marRight w:val="0"/>
          <w:marTop w:val="120"/>
          <w:marBottom w:val="0"/>
          <w:divBdr>
            <w:top w:val="none" w:sz="0" w:space="0" w:color="auto"/>
            <w:left w:val="none" w:sz="0" w:space="0" w:color="auto"/>
            <w:bottom w:val="none" w:sz="0" w:space="0" w:color="auto"/>
            <w:right w:val="none" w:sz="0" w:space="0" w:color="auto"/>
          </w:divBdr>
        </w:div>
      </w:divsChild>
    </w:div>
    <w:div w:id="1518419229">
      <w:bodyDiv w:val="1"/>
      <w:marLeft w:val="0"/>
      <w:marRight w:val="0"/>
      <w:marTop w:val="0"/>
      <w:marBottom w:val="0"/>
      <w:divBdr>
        <w:top w:val="none" w:sz="0" w:space="0" w:color="auto"/>
        <w:left w:val="none" w:sz="0" w:space="0" w:color="auto"/>
        <w:bottom w:val="none" w:sz="0" w:space="0" w:color="auto"/>
        <w:right w:val="none" w:sz="0" w:space="0" w:color="auto"/>
      </w:divBdr>
      <w:divsChild>
        <w:div w:id="445582798">
          <w:marLeft w:val="567"/>
          <w:marRight w:val="0"/>
          <w:marTop w:val="120"/>
          <w:marBottom w:val="0"/>
          <w:divBdr>
            <w:top w:val="none" w:sz="0" w:space="0" w:color="auto"/>
            <w:left w:val="none" w:sz="0" w:space="0" w:color="auto"/>
            <w:bottom w:val="none" w:sz="0" w:space="0" w:color="auto"/>
            <w:right w:val="none" w:sz="0" w:space="0" w:color="auto"/>
          </w:divBdr>
        </w:div>
        <w:div w:id="283006007">
          <w:marLeft w:val="0"/>
          <w:marRight w:val="0"/>
          <w:marTop w:val="240"/>
          <w:marBottom w:val="60"/>
          <w:divBdr>
            <w:top w:val="single" w:sz="8" w:space="2" w:color="808080"/>
            <w:left w:val="none" w:sz="0" w:space="0" w:color="auto"/>
            <w:bottom w:val="none" w:sz="0" w:space="0" w:color="auto"/>
            <w:right w:val="none" w:sz="0" w:space="0" w:color="auto"/>
          </w:divBdr>
        </w:div>
        <w:div w:id="1585338924">
          <w:marLeft w:val="567"/>
          <w:marRight w:val="0"/>
          <w:marTop w:val="120"/>
          <w:marBottom w:val="0"/>
          <w:divBdr>
            <w:top w:val="none" w:sz="0" w:space="0" w:color="auto"/>
            <w:left w:val="none" w:sz="0" w:space="0" w:color="auto"/>
            <w:bottom w:val="none" w:sz="0" w:space="0" w:color="auto"/>
            <w:right w:val="none" w:sz="0" w:space="0" w:color="auto"/>
          </w:divBdr>
        </w:div>
      </w:divsChild>
    </w:div>
    <w:div w:id="1706320888">
      <w:bodyDiv w:val="1"/>
      <w:marLeft w:val="0"/>
      <w:marRight w:val="0"/>
      <w:marTop w:val="0"/>
      <w:marBottom w:val="0"/>
      <w:divBdr>
        <w:top w:val="none" w:sz="0" w:space="0" w:color="auto"/>
        <w:left w:val="none" w:sz="0" w:space="0" w:color="auto"/>
        <w:bottom w:val="none" w:sz="0" w:space="0" w:color="auto"/>
        <w:right w:val="none" w:sz="0" w:space="0" w:color="auto"/>
      </w:divBdr>
      <w:divsChild>
        <w:div w:id="1515344495">
          <w:marLeft w:val="0"/>
          <w:marRight w:val="0"/>
          <w:marTop w:val="120"/>
          <w:marBottom w:val="0"/>
          <w:divBdr>
            <w:top w:val="none" w:sz="0" w:space="0" w:color="auto"/>
            <w:left w:val="none" w:sz="0" w:space="0" w:color="auto"/>
            <w:bottom w:val="none" w:sz="0" w:space="0" w:color="auto"/>
            <w:right w:val="none" w:sz="0" w:space="0" w:color="auto"/>
          </w:divBdr>
        </w:div>
        <w:div w:id="212231280">
          <w:marLeft w:val="0"/>
          <w:marRight w:val="0"/>
          <w:marTop w:val="240"/>
          <w:marBottom w:val="24"/>
          <w:divBdr>
            <w:top w:val="single" w:sz="8" w:space="2" w:color="808080"/>
            <w:left w:val="none" w:sz="0" w:space="0" w:color="auto"/>
            <w:bottom w:val="none" w:sz="0" w:space="0" w:color="auto"/>
            <w:right w:val="none" w:sz="0" w:space="0" w:color="auto"/>
          </w:divBdr>
        </w:div>
        <w:div w:id="1131751842">
          <w:marLeft w:val="0"/>
          <w:marRight w:val="0"/>
          <w:marTop w:val="120"/>
          <w:marBottom w:val="0"/>
          <w:divBdr>
            <w:top w:val="none" w:sz="0" w:space="0" w:color="auto"/>
            <w:left w:val="none" w:sz="0" w:space="0" w:color="auto"/>
            <w:bottom w:val="none" w:sz="0" w:space="0" w:color="auto"/>
            <w:right w:val="none" w:sz="0" w:space="0" w:color="auto"/>
          </w:divBdr>
        </w:div>
        <w:div w:id="953901893">
          <w:marLeft w:val="0"/>
          <w:marRight w:val="0"/>
          <w:marTop w:val="120"/>
          <w:marBottom w:val="0"/>
          <w:divBdr>
            <w:top w:val="none" w:sz="0" w:space="0" w:color="auto"/>
            <w:left w:val="none" w:sz="0" w:space="0" w:color="auto"/>
            <w:bottom w:val="none" w:sz="0" w:space="0" w:color="auto"/>
            <w:right w:val="none" w:sz="0" w:space="0" w:color="auto"/>
          </w:divBdr>
        </w:div>
        <w:div w:id="1626815944">
          <w:marLeft w:val="0"/>
          <w:marRight w:val="0"/>
          <w:marTop w:val="120"/>
          <w:marBottom w:val="0"/>
          <w:divBdr>
            <w:top w:val="none" w:sz="0" w:space="0" w:color="auto"/>
            <w:left w:val="none" w:sz="0" w:space="0" w:color="auto"/>
            <w:bottom w:val="none" w:sz="0" w:space="0" w:color="auto"/>
            <w:right w:val="none" w:sz="0" w:space="0" w:color="auto"/>
          </w:divBdr>
        </w:div>
        <w:div w:id="732511857">
          <w:marLeft w:val="0"/>
          <w:marRight w:val="0"/>
          <w:marTop w:val="120"/>
          <w:marBottom w:val="0"/>
          <w:divBdr>
            <w:top w:val="none" w:sz="0" w:space="0" w:color="auto"/>
            <w:left w:val="none" w:sz="0" w:space="0" w:color="auto"/>
            <w:bottom w:val="none" w:sz="0" w:space="0" w:color="auto"/>
            <w:right w:val="none" w:sz="0" w:space="0" w:color="auto"/>
          </w:divBdr>
        </w:div>
        <w:div w:id="287517071">
          <w:marLeft w:val="0"/>
          <w:marRight w:val="0"/>
          <w:marTop w:val="120"/>
          <w:marBottom w:val="0"/>
          <w:divBdr>
            <w:top w:val="none" w:sz="0" w:space="0" w:color="auto"/>
            <w:left w:val="none" w:sz="0" w:space="0" w:color="auto"/>
            <w:bottom w:val="none" w:sz="0" w:space="0" w:color="auto"/>
            <w:right w:val="none" w:sz="0" w:space="0" w:color="auto"/>
          </w:divBdr>
        </w:div>
      </w:divsChild>
    </w:div>
    <w:div w:id="1789007097">
      <w:bodyDiv w:val="1"/>
      <w:marLeft w:val="0"/>
      <w:marRight w:val="0"/>
      <w:marTop w:val="0"/>
      <w:marBottom w:val="0"/>
      <w:divBdr>
        <w:top w:val="none" w:sz="0" w:space="0" w:color="auto"/>
        <w:left w:val="none" w:sz="0" w:space="0" w:color="auto"/>
        <w:bottom w:val="none" w:sz="0" w:space="0" w:color="auto"/>
        <w:right w:val="none" w:sz="0" w:space="0" w:color="auto"/>
      </w:divBdr>
      <w:divsChild>
        <w:div w:id="1377661456">
          <w:marLeft w:val="567"/>
          <w:marRight w:val="0"/>
          <w:marTop w:val="120"/>
          <w:marBottom w:val="0"/>
          <w:divBdr>
            <w:top w:val="none" w:sz="0" w:space="0" w:color="auto"/>
            <w:left w:val="none" w:sz="0" w:space="0" w:color="auto"/>
            <w:bottom w:val="none" w:sz="0" w:space="0" w:color="auto"/>
            <w:right w:val="none" w:sz="0" w:space="0" w:color="auto"/>
          </w:divBdr>
        </w:div>
        <w:div w:id="1725641982">
          <w:marLeft w:val="0"/>
          <w:marRight w:val="0"/>
          <w:marTop w:val="240"/>
          <w:marBottom w:val="60"/>
          <w:divBdr>
            <w:top w:val="single" w:sz="8" w:space="2" w:color="808080"/>
            <w:left w:val="none" w:sz="0" w:space="0" w:color="auto"/>
            <w:bottom w:val="none" w:sz="0" w:space="0" w:color="auto"/>
            <w:right w:val="none" w:sz="0" w:space="0" w:color="auto"/>
          </w:divBdr>
        </w:div>
        <w:div w:id="406615723">
          <w:marLeft w:val="567"/>
          <w:marRight w:val="0"/>
          <w:marTop w:val="120"/>
          <w:marBottom w:val="0"/>
          <w:divBdr>
            <w:top w:val="none" w:sz="0" w:space="0" w:color="auto"/>
            <w:left w:val="none" w:sz="0" w:space="0" w:color="auto"/>
            <w:bottom w:val="none" w:sz="0" w:space="0" w:color="auto"/>
            <w:right w:val="none" w:sz="0" w:space="0" w:color="auto"/>
          </w:divBdr>
        </w:div>
        <w:div w:id="448667940">
          <w:marLeft w:val="567"/>
          <w:marRight w:val="0"/>
          <w:marTop w:val="120"/>
          <w:marBottom w:val="0"/>
          <w:divBdr>
            <w:top w:val="none" w:sz="0" w:space="0" w:color="auto"/>
            <w:left w:val="none" w:sz="0" w:space="0" w:color="auto"/>
            <w:bottom w:val="none" w:sz="0" w:space="0" w:color="auto"/>
            <w:right w:val="none" w:sz="0" w:space="0" w:color="auto"/>
          </w:divBdr>
        </w:div>
        <w:div w:id="1726025351">
          <w:marLeft w:val="567"/>
          <w:marRight w:val="0"/>
          <w:marTop w:val="120"/>
          <w:marBottom w:val="0"/>
          <w:divBdr>
            <w:top w:val="none" w:sz="0" w:space="0" w:color="auto"/>
            <w:left w:val="none" w:sz="0" w:space="0" w:color="auto"/>
            <w:bottom w:val="none" w:sz="0" w:space="0" w:color="auto"/>
            <w:right w:val="none" w:sz="0" w:space="0" w:color="auto"/>
          </w:divBdr>
        </w:div>
        <w:div w:id="1459110355">
          <w:marLeft w:val="1293"/>
          <w:marRight w:val="0"/>
          <w:marTop w:val="0"/>
          <w:marBottom w:val="180"/>
          <w:divBdr>
            <w:top w:val="none" w:sz="0" w:space="0" w:color="auto"/>
            <w:left w:val="none" w:sz="0" w:space="0" w:color="auto"/>
            <w:bottom w:val="none" w:sz="0" w:space="0" w:color="auto"/>
            <w:right w:val="none" w:sz="0" w:space="0" w:color="auto"/>
          </w:divBdr>
        </w:div>
        <w:div w:id="1680156681">
          <w:marLeft w:val="0"/>
          <w:marRight w:val="0"/>
          <w:marTop w:val="0"/>
          <w:marBottom w:val="0"/>
          <w:divBdr>
            <w:top w:val="none" w:sz="0" w:space="0" w:color="auto"/>
            <w:left w:val="none" w:sz="0" w:space="0" w:color="auto"/>
            <w:bottom w:val="none" w:sz="0" w:space="0" w:color="auto"/>
            <w:right w:val="none" w:sz="0" w:space="0" w:color="auto"/>
          </w:divBdr>
        </w:div>
      </w:divsChild>
    </w:div>
    <w:div w:id="1803841173">
      <w:bodyDiv w:val="1"/>
      <w:marLeft w:val="0"/>
      <w:marRight w:val="0"/>
      <w:marTop w:val="0"/>
      <w:marBottom w:val="0"/>
      <w:divBdr>
        <w:top w:val="none" w:sz="0" w:space="0" w:color="auto"/>
        <w:left w:val="none" w:sz="0" w:space="0" w:color="auto"/>
        <w:bottom w:val="none" w:sz="0" w:space="0" w:color="auto"/>
        <w:right w:val="none" w:sz="0" w:space="0" w:color="auto"/>
      </w:divBdr>
      <w:divsChild>
        <w:div w:id="17122174">
          <w:marLeft w:val="0"/>
          <w:marRight w:val="0"/>
          <w:marTop w:val="0"/>
          <w:marBottom w:val="0"/>
          <w:divBdr>
            <w:top w:val="none" w:sz="0" w:space="0" w:color="auto"/>
            <w:left w:val="none" w:sz="0" w:space="0" w:color="auto"/>
            <w:bottom w:val="none" w:sz="0" w:space="0" w:color="auto"/>
            <w:right w:val="none" w:sz="0" w:space="0" w:color="auto"/>
          </w:divBdr>
        </w:div>
        <w:div w:id="1532844925">
          <w:marLeft w:val="0"/>
          <w:marRight w:val="0"/>
          <w:marTop w:val="0"/>
          <w:marBottom w:val="0"/>
          <w:divBdr>
            <w:top w:val="none" w:sz="0" w:space="0" w:color="auto"/>
            <w:left w:val="none" w:sz="0" w:space="0" w:color="auto"/>
            <w:bottom w:val="none" w:sz="0" w:space="0" w:color="auto"/>
            <w:right w:val="none" w:sz="0" w:space="0" w:color="auto"/>
          </w:divBdr>
        </w:div>
      </w:divsChild>
    </w:div>
    <w:div w:id="1962952196">
      <w:bodyDiv w:val="1"/>
      <w:marLeft w:val="0"/>
      <w:marRight w:val="0"/>
      <w:marTop w:val="0"/>
      <w:marBottom w:val="0"/>
      <w:divBdr>
        <w:top w:val="none" w:sz="0" w:space="0" w:color="auto"/>
        <w:left w:val="none" w:sz="0" w:space="0" w:color="auto"/>
        <w:bottom w:val="none" w:sz="0" w:space="0" w:color="auto"/>
        <w:right w:val="none" w:sz="0" w:space="0" w:color="auto"/>
      </w:divBdr>
      <w:divsChild>
        <w:div w:id="410465812">
          <w:marLeft w:val="0"/>
          <w:marRight w:val="0"/>
          <w:marTop w:val="120"/>
          <w:marBottom w:val="0"/>
          <w:divBdr>
            <w:top w:val="none" w:sz="0" w:space="0" w:color="auto"/>
            <w:left w:val="none" w:sz="0" w:space="0" w:color="auto"/>
            <w:bottom w:val="none" w:sz="0" w:space="0" w:color="auto"/>
            <w:right w:val="none" w:sz="0" w:space="0" w:color="auto"/>
          </w:divBdr>
        </w:div>
        <w:div w:id="781849444">
          <w:marLeft w:val="0"/>
          <w:marRight w:val="0"/>
          <w:marTop w:val="240"/>
          <w:marBottom w:val="24"/>
          <w:divBdr>
            <w:top w:val="single" w:sz="8" w:space="2" w:color="808080"/>
            <w:left w:val="none" w:sz="0" w:space="0" w:color="auto"/>
            <w:bottom w:val="none" w:sz="0" w:space="0" w:color="auto"/>
            <w:right w:val="none" w:sz="0" w:space="0" w:color="auto"/>
          </w:divBdr>
        </w:div>
        <w:div w:id="1847288527">
          <w:marLeft w:val="0"/>
          <w:marRight w:val="0"/>
          <w:marTop w:val="120"/>
          <w:marBottom w:val="0"/>
          <w:divBdr>
            <w:top w:val="none" w:sz="0" w:space="0" w:color="auto"/>
            <w:left w:val="none" w:sz="0" w:space="0" w:color="auto"/>
            <w:bottom w:val="none" w:sz="0" w:space="0" w:color="auto"/>
            <w:right w:val="none" w:sz="0" w:space="0" w:color="auto"/>
          </w:divBdr>
        </w:div>
        <w:div w:id="1113861410">
          <w:marLeft w:val="0"/>
          <w:marRight w:val="0"/>
          <w:marTop w:val="120"/>
          <w:marBottom w:val="0"/>
          <w:divBdr>
            <w:top w:val="none" w:sz="0" w:space="0" w:color="auto"/>
            <w:left w:val="none" w:sz="0" w:space="0" w:color="auto"/>
            <w:bottom w:val="none" w:sz="0" w:space="0" w:color="auto"/>
            <w:right w:val="none" w:sz="0" w:space="0" w:color="auto"/>
          </w:divBdr>
        </w:div>
      </w:divsChild>
    </w:div>
    <w:div w:id="2081561562">
      <w:bodyDiv w:val="1"/>
      <w:marLeft w:val="0"/>
      <w:marRight w:val="0"/>
      <w:marTop w:val="0"/>
      <w:marBottom w:val="0"/>
      <w:divBdr>
        <w:top w:val="none" w:sz="0" w:space="0" w:color="auto"/>
        <w:left w:val="none" w:sz="0" w:space="0" w:color="auto"/>
        <w:bottom w:val="none" w:sz="0" w:space="0" w:color="auto"/>
        <w:right w:val="none" w:sz="0" w:space="0" w:color="auto"/>
      </w:divBdr>
      <w:divsChild>
        <w:div w:id="1854495720">
          <w:marLeft w:val="567"/>
          <w:marRight w:val="0"/>
          <w:marTop w:val="120"/>
          <w:marBottom w:val="0"/>
          <w:divBdr>
            <w:top w:val="none" w:sz="0" w:space="0" w:color="auto"/>
            <w:left w:val="none" w:sz="0" w:space="0" w:color="auto"/>
            <w:bottom w:val="none" w:sz="0" w:space="0" w:color="auto"/>
            <w:right w:val="none" w:sz="0" w:space="0" w:color="auto"/>
          </w:divBdr>
        </w:div>
        <w:div w:id="2108381954">
          <w:marLeft w:val="567"/>
          <w:marRight w:val="0"/>
          <w:marTop w:val="120"/>
          <w:marBottom w:val="0"/>
          <w:divBdr>
            <w:top w:val="none" w:sz="0" w:space="0" w:color="auto"/>
            <w:left w:val="none" w:sz="0" w:space="0" w:color="auto"/>
            <w:bottom w:val="none" w:sz="0" w:space="0" w:color="auto"/>
            <w:right w:val="none" w:sz="0" w:space="0" w:color="auto"/>
          </w:divBdr>
        </w:div>
      </w:divsChild>
    </w:div>
    <w:div w:id="2117282742">
      <w:bodyDiv w:val="1"/>
      <w:marLeft w:val="0"/>
      <w:marRight w:val="0"/>
      <w:marTop w:val="0"/>
      <w:marBottom w:val="0"/>
      <w:divBdr>
        <w:top w:val="none" w:sz="0" w:space="0" w:color="auto"/>
        <w:left w:val="none" w:sz="0" w:space="0" w:color="auto"/>
        <w:bottom w:val="none" w:sz="0" w:space="0" w:color="auto"/>
        <w:right w:val="none" w:sz="0" w:space="0" w:color="auto"/>
      </w:divBdr>
      <w:divsChild>
        <w:div w:id="1230574279">
          <w:marLeft w:val="0"/>
          <w:marRight w:val="0"/>
          <w:marTop w:val="120"/>
          <w:marBottom w:val="0"/>
          <w:divBdr>
            <w:top w:val="none" w:sz="0" w:space="0" w:color="auto"/>
            <w:left w:val="none" w:sz="0" w:space="0" w:color="auto"/>
            <w:bottom w:val="none" w:sz="0" w:space="0" w:color="auto"/>
            <w:right w:val="none" w:sz="0" w:space="0" w:color="auto"/>
          </w:divBdr>
        </w:div>
        <w:div w:id="1536238131">
          <w:marLeft w:val="0"/>
          <w:marRight w:val="0"/>
          <w:marTop w:val="120"/>
          <w:marBottom w:val="0"/>
          <w:divBdr>
            <w:top w:val="none" w:sz="0" w:space="0" w:color="auto"/>
            <w:left w:val="none" w:sz="0" w:space="0" w:color="auto"/>
            <w:bottom w:val="none" w:sz="0" w:space="0" w:color="auto"/>
            <w:right w:val="none" w:sz="0" w:space="0" w:color="auto"/>
          </w:divBdr>
        </w:div>
        <w:div w:id="445152046">
          <w:marLeft w:val="0"/>
          <w:marRight w:val="0"/>
          <w:marTop w:val="120"/>
          <w:marBottom w:val="0"/>
          <w:divBdr>
            <w:top w:val="none" w:sz="0" w:space="0" w:color="auto"/>
            <w:left w:val="none" w:sz="0" w:space="0" w:color="auto"/>
            <w:bottom w:val="none" w:sz="0" w:space="0" w:color="auto"/>
            <w:right w:val="none" w:sz="0" w:space="0" w:color="auto"/>
          </w:divBdr>
        </w:div>
        <w:div w:id="959919948">
          <w:marLeft w:val="56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cgi-bin/disp.pl?file=za/cases/ZACC/2019/29.html&amp;query=Public%20Protecto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Farzanah Karachi</dc:creator>
  <cp:keywords/>
  <dc:description/>
  <cp:lastModifiedBy>Lazarus Rakgwale</cp:lastModifiedBy>
  <cp:revision>2</cp:revision>
  <dcterms:created xsi:type="dcterms:W3CDTF">2021-12-15T09:57:00Z</dcterms:created>
  <dcterms:modified xsi:type="dcterms:W3CDTF">2021-12-15T09:57:00Z</dcterms:modified>
</cp:coreProperties>
</file>