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43028" w14:textId="77777777" w:rsidR="00D75E11" w:rsidRDefault="00D75E11" w:rsidP="00D75E11">
      <w:pPr>
        <w:pStyle w:val="Title"/>
        <w:rPr>
          <w:sz w:val="24"/>
          <w:szCs w:val="24"/>
        </w:rPr>
      </w:pPr>
      <w:r>
        <w:rPr>
          <w:rFonts w:cs="Arial"/>
          <w:b w:val="0"/>
          <w:bCs/>
          <w:color w:val="1D1C1D"/>
          <w:sz w:val="23"/>
          <w:szCs w:val="23"/>
          <w:shd w:val="clear" w:color="auto" w:fill="F8F8F8"/>
        </w:rPr>
        <w:t>Editorial note: Certain information has been redacted from this judgment in compliance with the law.</w:t>
      </w:r>
    </w:p>
    <w:p w14:paraId="7249016D" w14:textId="39B48483" w:rsidR="00BB117B" w:rsidRPr="00B92F1D" w:rsidRDefault="00386CF6" w:rsidP="003D69CB">
      <w:pPr>
        <w:widowControl w:val="0"/>
        <w:spacing w:after="0" w:line="480" w:lineRule="auto"/>
        <w:jc w:val="center"/>
        <w:rPr>
          <w:rFonts w:ascii="Verdana" w:hAnsi="Verdana" w:cs="Arial"/>
          <w:lang w:val="en-GB"/>
        </w:rPr>
      </w:pPr>
      <w:bookmarkStart w:id="0" w:name="_GoBack"/>
      <w:bookmarkEnd w:id="0"/>
      <w:r w:rsidRPr="00B92F1D">
        <w:rPr>
          <w:rFonts w:ascii="Verdana" w:hAnsi="Verdana" w:cs="Arial"/>
          <w:noProof/>
          <w:lang w:val="en-US"/>
        </w:rPr>
        <w:drawing>
          <wp:inline distT="0" distB="0" distL="0" distR="0" wp14:anchorId="4D53EE37" wp14:editId="27E68162">
            <wp:extent cx="1597152" cy="1597152"/>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png"/>
                    <pic:cNvPicPr/>
                  </pic:nvPicPr>
                  <pic:blipFill>
                    <a:blip r:embed="rId9">
                      <a:extLst>
                        <a:ext uri="{28A0092B-C50C-407E-A947-70E740481C1C}">
                          <a14:useLocalDpi xmlns:a14="http://schemas.microsoft.com/office/drawing/2010/main" val="0"/>
                        </a:ext>
                      </a:extLst>
                    </a:blip>
                    <a:stretch>
                      <a:fillRect/>
                    </a:stretch>
                  </pic:blipFill>
                  <pic:spPr>
                    <a:xfrm>
                      <a:off x="0" y="0"/>
                      <a:ext cx="1596334" cy="1596334"/>
                    </a:xfrm>
                    <a:prstGeom prst="rect">
                      <a:avLst/>
                    </a:prstGeom>
                  </pic:spPr>
                </pic:pic>
              </a:graphicData>
            </a:graphic>
          </wp:inline>
        </w:drawing>
      </w:r>
    </w:p>
    <w:p w14:paraId="75C8B87E" w14:textId="77777777" w:rsidR="00386CF6" w:rsidRPr="00B92F1D" w:rsidRDefault="00386CF6" w:rsidP="003D69CB">
      <w:pPr>
        <w:widowControl w:val="0"/>
        <w:spacing w:after="0" w:line="480" w:lineRule="auto"/>
        <w:jc w:val="center"/>
        <w:rPr>
          <w:rFonts w:ascii="Verdana" w:hAnsi="Verdana" w:cs="Arial"/>
          <w:b/>
          <w:lang w:val="en-GB"/>
        </w:rPr>
      </w:pPr>
      <w:r w:rsidRPr="00B92F1D">
        <w:rPr>
          <w:rFonts w:ascii="Verdana" w:hAnsi="Verdana" w:cs="Arial"/>
          <w:b/>
          <w:lang w:val="en-GB"/>
        </w:rPr>
        <w:t>IN THE HIGH COURT OF SOUTH AFRICA</w:t>
      </w:r>
    </w:p>
    <w:p w14:paraId="305AAA64" w14:textId="3A101DDC" w:rsidR="00386CF6" w:rsidRPr="00B92F1D" w:rsidRDefault="00723BCA" w:rsidP="003D69CB">
      <w:pPr>
        <w:widowControl w:val="0"/>
        <w:spacing w:line="480" w:lineRule="auto"/>
        <w:jc w:val="center"/>
        <w:rPr>
          <w:rFonts w:ascii="Verdana" w:hAnsi="Verdana" w:cs="Arial"/>
          <w:b/>
          <w:lang w:val="en-GB"/>
        </w:rPr>
      </w:pPr>
      <w:r w:rsidRPr="00B92F1D">
        <w:rPr>
          <w:rFonts w:ascii="Verdana" w:hAnsi="Verdana" w:cs="Arial"/>
          <w:b/>
          <w:lang w:val="en-GB"/>
        </w:rPr>
        <w:t>GAUTENG</w:t>
      </w:r>
      <w:r w:rsidR="0036664D" w:rsidRPr="00B92F1D">
        <w:rPr>
          <w:rFonts w:ascii="Verdana" w:hAnsi="Verdana" w:cs="Arial"/>
          <w:b/>
          <w:lang w:val="en-GB"/>
        </w:rPr>
        <w:t xml:space="preserve"> </w:t>
      </w:r>
      <w:r w:rsidR="00386CF6" w:rsidRPr="00B92F1D">
        <w:rPr>
          <w:rFonts w:ascii="Verdana" w:hAnsi="Verdana" w:cs="Arial"/>
          <w:b/>
          <w:lang w:val="en-GB"/>
        </w:rPr>
        <w:t xml:space="preserve">DIVISION, </w:t>
      </w:r>
      <w:r w:rsidR="0036664D" w:rsidRPr="00B92F1D">
        <w:rPr>
          <w:rFonts w:ascii="Verdana" w:hAnsi="Verdana" w:cs="Arial"/>
          <w:b/>
          <w:lang w:val="en-GB"/>
        </w:rPr>
        <w:t>JOHANNESBURG</w:t>
      </w:r>
    </w:p>
    <w:p w14:paraId="21479878" w14:textId="27DF8543" w:rsidR="00545AB4" w:rsidRPr="00B92F1D" w:rsidRDefault="00545AB4" w:rsidP="00D51CDD">
      <w:pPr>
        <w:widowControl w:val="0"/>
        <w:spacing w:after="0" w:line="480" w:lineRule="auto"/>
        <w:jc w:val="right"/>
        <w:rPr>
          <w:rFonts w:ascii="Verdana" w:hAnsi="Verdana" w:cs="Arial"/>
          <w:b/>
          <w:lang w:val="en-GB"/>
        </w:rPr>
      </w:pPr>
      <w:r w:rsidRPr="00B92F1D">
        <w:rPr>
          <w:rFonts w:ascii="Verdana" w:hAnsi="Verdana" w:cs="Arial"/>
          <w:b/>
          <w:lang w:val="en-GB"/>
        </w:rPr>
        <w:t>CASE N</w:t>
      </w:r>
      <w:r w:rsidR="000733E2" w:rsidRPr="00B92F1D">
        <w:rPr>
          <w:rFonts w:ascii="Verdana" w:hAnsi="Verdana" w:cs="Arial"/>
          <w:b/>
          <w:lang w:val="en-GB"/>
        </w:rPr>
        <w:t>UMBER</w:t>
      </w:r>
      <w:r w:rsidRPr="00B92F1D">
        <w:rPr>
          <w:rFonts w:ascii="Verdana" w:hAnsi="Verdana" w:cs="Arial"/>
          <w:b/>
          <w:lang w:val="en-GB"/>
        </w:rPr>
        <w:t xml:space="preserve">: </w:t>
      </w:r>
      <w:r w:rsidR="0036664D" w:rsidRPr="00B92F1D">
        <w:rPr>
          <w:rFonts w:ascii="Verdana" w:hAnsi="Verdana" w:cs="Arial"/>
          <w:b/>
          <w:lang w:val="en-GB"/>
        </w:rPr>
        <w:t xml:space="preserve"> </w:t>
      </w:r>
      <w:r w:rsidR="00A84E88" w:rsidRPr="00B92F1D">
        <w:rPr>
          <w:rFonts w:ascii="Verdana" w:hAnsi="Verdana" w:cs="Arial"/>
          <w:b/>
          <w:lang w:val="en-GB"/>
        </w:rPr>
        <w:t>36307/2018</w:t>
      </w:r>
    </w:p>
    <w:p w14:paraId="52B0FAC6" w14:textId="77777777" w:rsidR="00386CF6" w:rsidRPr="00B92F1D" w:rsidRDefault="00386CF6" w:rsidP="003D69CB">
      <w:pPr>
        <w:widowControl w:val="0"/>
        <w:spacing w:line="480" w:lineRule="auto"/>
        <w:jc w:val="right"/>
        <w:rPr>
          <w:rFonts w:ascii="Verdana" w:hAnsi="Verdana" w:cs="Arial"/>
          <w:b/>
          <w:lang w:val="en-GB"/>
        </w:rPr>
      </w:pPr>
      <w:r w:rsidRPr="00B92F1D">
        <w:rPr>
          <w:rFonts w:ascii="Verdana" w:hAnsi="Verdana"/>
          <w:noProof/>
          <w:lang w:val="en-US"/>
        </w:rPr>
        <mc:AlternateContent>
          <mc:Choice Requires="wps">
            <w:drawing>
              <wp:anchor distT="0" distB="0" distL="114300" distR="114300" simplePos="0" relativeHeight="251659264" behindDoc="0" locked="0" layoutInCell="1" allowOverlap="1" wp14:anchorId="50FE586E" wp14:editId="0C33AA24">
                <wp:simplePos x="0" y="0"/>
                <wp:positionH relativeFrom="column">
                  <wp:posOffset>0</wp:posOffset>
                </wp:positionH>
                <wp:positionV relativeFrom="paragraph">
                  <wp:posOffset>159352</wp:posOffset>
                </wp:positionV>
                <wp:extent cx="3362826" cy="14668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826" cy="1466850"/>
                        </a:xfrm>
                        <a:prstGeom prst="rect">
                          <a:avLst/>
                        </a:prstGeom>
                        <a:solidFill>
                          <a:srgbClr val="FFFFFF"/>
                        </a:solidFill>
                        <a:ln w="9525">
                          <a:solidFill>
                            <a:srgbClr val="000000"/>
                          </a:solidFill>
                          <a:miter lim="800000"/>
                          <a:headEnd/>
                          <a:tailEnd/>
                        </a:ln>
                      </wps:spPr>
                      <wps:txbx>
                        <w:txbxContent>
                          <w:p w14:paraId="7E208079" w14:textId="77777777" w:rsidR="009265CC" w:rsidRDefault="009265CC" w:rsidP="00386CF6">
                            <w:pPr>
                              <w:jc w:val="center"/>
                              <w:rPr>
                                <w:rFonts w:ascii="Century Gothic" w:hAnsi="Century Gothic"/>
                                <w:b/>
                                <w:sz w:val="20"/>
                                <w:szCs w:val="20"/>
                              </w:rPr>
                            </w:pPr>
                          </w:p>
                          <w:p w14:paraId="3FEDA994" w14:textId="5DF314AD" w:rsidR="009265CC" w:rsidRDefault="00951FAD" w:rsidP="00951FA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9265CC">
                              <w:rPr>
                                <w:rFonts w:ascii="Century Gothic" w:hAnsi="Century Gothic"/>
                                <w:sz w:val="20"/>
                                <w:szCs w:val="20"/>
                              </w:rPr>
                              <w:t>REPORTABLE:  NO</w:t>
                            </w:r>
                          </w:p>
                          <w:p w14:paraId="1B8F63EA" w14:textId="6741AF68" w:rsidR="009265CC" w:rsidRDefault="00951FAD" w:rsidP="00951FA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9265CC">
                              <w:rPr>
                                <w:rFonts w:ascii="Century Gothic" w:hAnsi="Century Gothic"/>
                                <w:sz w:val="20"/>
                                <w:szCs w:val="20"/>
                              </w:rPr>
                              <w:t>OF INTEREST TO OTHER JUDGES:  NO</w:t>
                            </w:r>
                          </w:p>
                          <w:p w14:paraId="66F8D6FB" w14:textId="55B6F77F" w:rsidR="009265CC" w:rsidRDefault="00951FAD" w:rsidP="00951FA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9265CC">
                              <w:rPr>
                                <w:rFonts w:ascii="Century Gothic" w:hAnsi="Century Gothic"/>
                                <w:sz w:val="20"/>
                                <w:szCs w:val="20"/>
                              </w:rPr>
                              <w:t>REVISED.</w:t>
                            </w:r>
                          </w:p>
                          <w:p w14:paraId="75E0B5B2" w14:textId="0D4E9358" w:rsidR="009265CC" w:rsidRDefault="009265CC" w:rsidP="00650EFA">
                            <w:pPr>
                              <w:spacing w:after="0" w:line="240" w:lineRule="auto"/>
                              <w:ind w:left="180"/>
                              <w:rPr>
                                <w:rFonts w:ascii="Century Gothic" w:hAnsi="Century Gothic"/>
                                <w:sz w:val="20"/>
                                <w:szCs w:val="20"/>
                              </w:rPr>
                            </w:pPr>
                            <w:r>
                              <w:rPr>
                                <w:rFonts w:ascii="Century Gothic" w:hAnsi="Century Gothic"/>
                                <w:sz w:val="20"/>
                                <w:szCs w:val="20"/>
                              </w:rPr>
                              <w:t xml:space="preserve">DATE: </w:t>
                            </w:r>
                            <w:r w:rsidR="00E31A5D">
                              <w:rPr>
                                <w:rFonts w:ascii="Century Gothic" w:hAnsi="Century Gothic"/>
                                <w:sz w:val="20"/>
                                <w:szCs w:val="20"/>
                              </w:rPr>
                              <w:t>14 December</w:t>
                            </w:r>
                            <w:r>
                              <w:rPr>
                                <w:rFonts w:ascii="Century Gothic" w:hAnsi="Century Gothic"/>
                                <w:sz w:val="20"/>
                                <w:szCs w:val="20"/>
                              </w:rPr>
                              <w:t xml:space="preserve"> 2021   </w:t>
                            </w:r>
                          </w:p>
                          <w:p w14:paraId="735C4641" w14:textId="2FF22218" w:rsidR="009265CC" w:rsidRDefault="009265CC" w:rsidP="00386CF6">
                            <w:pPr>
                              <w:spacing w:after="0" w:line="240" w:lineRule="auto"/>
                              <w:rPr>
                                <w:rFonts w:ascii="Century Gothic" w:hAnsi="Century Gothic"/>
                                <w:sz w:val="20"/>
                                <w:szCs w:val="20"/>
                              </w:rPr>
                            </w:pPr>
                          </w:p>
                          <w:p w14:paraId="002C27C2" w14:textId="78398221" w:rsidR="009265CC" w:rsidRPr="00C40125" w:rsidRDefault="009265CC" w:rsidP="00386CF6">
                            <w:pPr>
                              <w:spacing w:after="0" w:line="240" w:lineRule="auto"/>
                              <w:ind w:firstLine="180"/>
                              <w:rPr>
                                <w:rFonts w:ascii="Blackadder ITC" w:hAnsi="Blackadder ITC"/>
                                <w:b/>
                                <w:bCs/>
                                <w:sz w:val="20"/>
                                <w:szCs w:val="20"/>
                              </w:rPr>
                            </w:pPr>
                            <w:r>
                              <w:rPr>
                                <w:rFonts w:ascii="Century Gothic" w:hAnsi="Century Gothic"/>
                                <w:sz w:val="20"/>
                                <w:szCs w:val="20"/>
                              </w:rPr>
                              <w:t>___________________</w:t>
                            </w:r>
                            <w:r>
                              <w:rPr>
                                <w:rFonts w:ascii="Century Gothic" w:hAnsi="Century Gothic"/>
                                <w:sz w:val="20"/>
                                <w:szCs w:val="20"/>
                              </w:rPr>
                              <w:tab/>
                            </w:r>
                          </w:p>
                          <w:p w14:paraId="36001B1C" w14:textId="5DFD1783" w:rsidR="009265CC" w:rsidRDefault="009265CC" w:rsidP="00386CF6">
                            <w:pPr>
                              <w:spacing w:after="0" w:line="240" w:lineRule="auto"/>
                              <w:ind w:firstLine="180"/>
                              <w:rPr>
                                <w:rFonts w:ascii="Century Gothic" w:hAnsi="Century Gothic"/>
                                <w:sz w:val="20"/>
                                <w:szCs w:val="20"/>
                              </w:rPr>
                            </w:pPr>
                          </w:p>
                          <w:p w14:paraId="3D1CBF70" w14:textId="77777777" w:rsidR="009265CC" w:rsidRDefault="009265CC" w:rsidP="00386CF6">
                            <w:pPr>
                              <w:rPr>
                                <w:rFonts w:ascii="Century Gothic" w:hAnsi="Century Gothic"/>
                                <w:b/>
                                <w:sz w:val="18"/>
                                <w:szCs w:val="18"/>
                              </w:rPr>
                            </w:pPr>
                          </w:p>
                          <w:p w14:paraId="12E9035B" w14:textId="77777777" w:rsidR="009265CC" w:rsidRDefault="009265CC" w:rsidP="00386CF6">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2.55pt;width:264.8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">
                <v:textbox>
                  <w:txbxContent>
                    <w:p w14:paraId="7E208079" w14:textId="77777777" w:rsidR="009265CC" w:rsidRDefault="009265CC" w:rsidP="00386CF6">
                      <w:pPr>
                        <w:jc w:val="center"/>
                        <w:rPr>
                          <w:rFonts w:ascii="Century Gothic" w:hAnsi="Century Gothic"/>
                          <w:b/>
                          <w:sz w:val="20"/>
                          <w:szCs w:val="20"/>
                        </w:rPr>
                      </w:pPr>
                    </w:p>
                    <w:p w14:paraId="3FEDA994" w14:textId="5DF314AD" w:rsidR="009265CC" w:rsidRDefault="00951FAD" w:rsidP="00951FA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9265CC">
                        <w:rPr>
                          <w:rFonts w:ascii="Century Gothic" w:hAnsi="Century Gothic"/>
                          <w:sz w:val="20"/>
                          <w:szCs w:val="20"/>
                        </w:rPr>
                        <w:t>REPORTABLE:  NO</w:t>
                      </w:r>
                    </w:p>
                    <w:p w14:paraId="1B8F63EA" w14:textId="6741AF68" w:rsidR="009265CC" w:rsidRDefault="00951FAD" w:rsidP="00951FA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9265CC">
                        <w:rPr>
                          <w:rFonts w:ascii="Century Gothic" w:hAnsi="Century Gothic"/>
                          <w:sz w:val="20"/>
                          <w:szCs w:val="20"/>
                        </w:rPr>
                        <w:t>OF INTEREST TO OTHER JUDGES:  NO</w:t>
                      </w:r>
                    </w:p>
                    <w:p w14:paraId="66F8D6FB" w14:textId="55B6F77F" w:rsidR="009265CC" w:rsidRDefault="00951FAD" w:rsidP="00951FA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9265CC">
                        <w:rPr>
                          <w:rFonts w:ascii="Century Gothic" w:hAnsi="Century Gothic"/>
                          <w:sz w:val="20"/>
                          <w:szCs w:val="20"/>
                        </w:rPr>
                        <w:t>REVISED.</w:t>
                      </w:r>
                    </w:p>
                    <w:p w14:paraId="75E0B5B2" w14:textId="0D4E9358" w:rsidR="009265CC" w:rsidRDefault="009265CC" w:rsidP="00650EFA">
                      <w:pPr>
                        <w:spacing w:after="0" w:line="240" w:lineRule="auto"/>
                        <w:ind w:left="180"/>
                        <w:rPr>
                          <w:rFonts w:ascii="Century Gothic" w:hAnsi="Century Gothic"/>
                          <w:sz w:val="20"/>
                          <w:szCs w:val="20"/>
                        </w:rPr>
                      </w:pPr>
                      <w:r>
                        <w:rPr>
                          <w:rFonts w:ascii="Century Gothic" w:hAnsi="Century Gothic"/>
                          <w:sz w:val="20"/>
                          <w:szCs w:val="20"/>
                        </w:rPr>
                        <w:t xml:space="preserve">DATE: </w:t>
                      </w:r>
                      <w:r w:rsidR="00E31A5D">
                        <w:rPr>
                          <w:rFonts w:ascii="Century Gothic" w:hAnsi="Century Gothic"/>
                          <w:sz w:val="20"/>
                          <w:szCs w:val="20"/>
                        </w:rPr>
                        <w:t>14 December</w:t>
                      </w:r>
                      <w:r>
                        <w:rPr>
                          <w:rFonts w:ascii="Century Gothic" w:hAnsi="Century Gothic"/>
                          <w:sz w:val="20"/>
                          <w:szCs w:val="20"/>
                        </w:rPr>
                        <w:t xml:space="preserve"> 2021   </w:t>
                      </w:r>
                    </w:p>
                    <w:p w14:paraId="735C4641" w14:textId="2FF22218" w:rsidR="009265CC" w:rsidRDefault="009265CC" w:rsidP="00386CF6">
                      <w:pPr>
                        <w:spacing w:after="0" w:line="240" w:lineRule="auto"/>
                        <w:rPr>
                          <w:rFonts w:ascii="Century Gothic" w:hAnsi="Century Gothic"/>
                          <w:sz w:val="20"/>
                          <w:szCs w:val="20"/>
                        </w:rPr>
                      </w:pPr>
                    </w:p>
                    <w:p w14:paraId="002C27C2" w14:textId="78398221" w:rsidR="009265CC" w:rsidRPr="00C40125" w:rsidRDefault="009265CC" w:rsidP="00386CF6">
                      <w:pPr>
                        <w:spacing w:after="0" w:line="240" w:lineRule="auto"/>
                        <w:ind w:firstLine="180"/>
                        <w:rPr>
                          <w:rFonts w:ascii="Blackadder ITC" w:hAnsi="Blackadder ITC"/>
                          <w:b/>
                          <w:bCs/>
                          <w:sz w:val="20"/>
                          <w:szCs w:val="20"/>
                        </w:rPr>
                      </w:pPr>
                      <w:r>
                        <w:rPr>
                          <w:rFonts w:ascii="Century Gothic" w:hAnsi="Century Gothic"/>
                          <w:sz w:val="20"/>
                          <w:szCs w:val="20"/>
                        </w:rPr>
                        <w:t>___________________</w:t>
                      </w:r>
                      <w:r>
                        <w:rPr>
                          <w:rFonts w:ascii="Century Gothic" w:hAnsi="Century Gothic"/>
                          <w:sz w:val="20"/>
                          <w:szCs w:val="20"/>
                        </w:rPr>
                        <w:tab/>
                      </w:r>
                    </w:p>
                    <w:p w14:paraId="36001B1C" w14:textId="5DFD1783" w:rsidR="009265CC" w:rsidRDefault="009265CC" w:rsidP="00386CF6">
                      <w:pPr>
                        <w:spacing w:after="0" w:line="240" w:lineRule="auto"/>
                        <w:ind w:firstLine="180"/>
                        <w:rPr>
                          <w:rFonts w:ascii="Century Gothic" w:hAnsi="Century Gothic"/>
                          <w:sz w:val="20"/>
                          <w:szCs w:val="20"/>
                        </w:rPr>
                      </w:pPr>
                    </w:p>
                    <w:p w14:paraId="3D1CBF70" w14:textId="77777777" w:rsidR="009265CC" w:rsidRDefault="009265CC" w:rsidP="00386CF6">
                      <w:pPr>
                        <w:rPr>
                          <w:rFonts w:ascii="Century Gothic" w:hAnsi="Century Gothic"/>
                          <w:b/>
                          <w:sz w:val="18"/>
                          <w:szCs w:val="18"/>
                        </w:rPr>
                      </w:pPr>
                    </w:p>
                    <w:p w14:paraId="12E9035B" w14:textId="77777777" w:rsidR="009265CC" w:rsidRDefault="009265CC" w:rsidP="00386CF6">
                      <w:pPr>
                        <w:rPr>
                          <w:rFonts w:ascii="Century Gothic" w:hAnsi="Century Gothic"/>
                          <w:sz w:val="18"/>
                          <w:szCs w:val="18"/>
                        </w:rPr>
                      </w:pPr>
                      <w:r>
                        <w:rPr>
                          <w:rFonts w:ascii="Century Gothic" w:hAnsi="Century Gothic"/>
                          <w:b/>
                          <w:sz w:val="18"/>
                          <w:szCs w:val="18"/>
                        </w:rPr>
                        <w:t xml:space="preserve">           </w:t>
                      </w:r>
                    </w:p>
                  </w:txbxContent>
                </v:textbox>
              </v:shape>
            </w:pict>
          </mc:Fallback>
        </mc:AlternateContent>
      </w:r>
    </w:p>
    <w:p w14:paraId="6A916D32" w14:textId="77777777" w:rsidR="00386CF6" w:rsidRPr="00B92F1D" w:rsidRDefault="00386CF6" w:rsidP="003D69CB">
      <w:pPr>
        <w:widowControl w:val="0"/>
        <w:spacing w:line="480" w:lineRule="auto"/>
        <w:jc w:val="center"/>
        <w:rPr>
          <w:rFonts w:ascii="Verdana" w:hAnsi="Verdana" w:cs="Arial"/>
          <w:b/>
          <w:lang w:val="en-GB"/>
        </w:rPr>
      </w:pPr>
    </w:p>
    <w:p w14:paraId="68170D40" w14:textId="77777777" w:rsidR="00386CF6" w:rsidRPr="00B92F1D" w:rsidRDefault="00386CF6" w:rsidP="003D69CB">
      <w:pPr>
        <w:widowControl w:val="0"/>
        <w:spacing w:line="480" w:lineRule="auto"/>
        <w:jc w:val="center"/>
        <w:rPr>
          <w:rFonts w:ascii="Verdana" w:hAnsi="Verdana" w:cs="Arial"/>
          <w:b/>
          <w:lang w:val="en-GB"/>
        </w:rPr>
      </w:pPr>
    </w:p>
    <w:p w14:paraId="57643447" w14:textId="77777777" w:rsidR="00386CF6" w:rsidRPr="00B92F1D" w:rsidRDefault="00386CF6" w:rsidP="003D69CB">
      <w:pPr>
        <w:widowControl w:val="0"/>
        <w:spacing w:line="480" w:lineRule="auto"/>
        <w:jc w:val="center"/>
        <w:rPr>
          <w:rFonts w:ascii="Verdana" w:hAnsi="Verdana" w:cs="Arial"/>
          <w:b/>
          <w:lang w:val="en-GB"/>
        </w:rPr>
      </w:pPr>
    </w:p>
    <w:p w14:paraId="3A367471" w14:textId="77777777" w:rsidR="00FF68FE" w:rsidRPr="00B92F1D" w:rsidRDefault="00FF68FE" w:rsidP="00CE7685">
      <w:pPr>
        <w:widowControl w:val="0"/>
        <w:spacing w:after="0" w:line="240" w:lineRule="auto"/>
        <w:rPr>
          <w:rFonts w:ascii="Verdana" w:hAnsi="Verdana" w:cs="Arial"/>
          <w:lang w:val="en-GB"/>
        </w:rPr>
      </w:pPr>
    </w:p>
    <w:p w14:paraId="561DD510" w14:textId="77777777" w:rsidR="00386CF6" w:rsidRPr="00B92F1D" w:rsidRDefault="00386CF6" w:rsidP="00D51CDD">
      <w:pPr>
        <w:widowControl w:val="0"/>
        <w:spacing w:after="0" w:line="288" w:lineRule="auto"/>
        <w:rPr>
          <w:rFonts w:ascii="Verdana" w:hAnsi="Verdana" w:cs="Arial"/>
          <w:lang w:val="en-GB"/>
        </w:rPr>
      </w:pPr>
      <w:r w:rsidRPr="00B92F1D">
        <w:rPr>
          <w:rFonts w:ascii="Verdana" w:hAnsi="Verdana" w:cs="Arial"/>
          <w:lang w:val="en-GB"/>
        </w:rPr>
        <w:t xml:space="preserve">In the </w:t>
      </w:r>
      <w:r w:rsidR="00545AB4" w:rsidRPr="00B92F1D">
        <w:rPr>
          <w:rFonts w:ascii="Verdana" w:hAnsi="Verdana" w:cs="Arial"/>
          <w:lang w:val="en-GB"/>
        </w:rPr>
        <w:t xml:space="preserve">matter </w:t>
      </w:r>
      <w:r w:rsidRPr="00B92F1D">
        <w:rPr>
          <w:rFonts w:ascii="Verdana" w:hAnsi="Verdana" w:cs="Arial"/>
          <w:lang w:val="en-GB"/>
        </w:rPr>
        <w:t>between:</w:t>
      </w:r>
      <w:r w:rsidR="003F5965" w:rsidRPr="00B92F1D">
        <w:rPr>
          <w:rFonts w:ascii="Verdana" w:hAnsi="Verdana" w:cs="Arial"/>
          <w:lang w:val="en-GB"/>
        </w:rPr>
        <w:t xml:space="preserve"> -</w:t>
      </w:r>
    </w:p>
    <w:p w14:paraId="5183A1A0" w14:textId="77777777" w:rsidR="0036664D" w:rsidRPr="00B92F1D" w:rsidRDefault="0036664D" w:rsidP="00D51CDD">
      <w:pPr>
        <w:widowControl w:val="0"/>
        <w:spacing w:after="0" w:line="288" w:lineRule="auto"/>
        <w:rPr>
          <w:rFonts w:ascii="Verdana" w:hAnsi="Verdana" w:cs="Arial"/>
          <w:lang w:val="en-GB"/>
        </w:rPr>
      </w:pPr>
    </w:p>
    <w:p w14:paraId="5F2A1D30" w14:textId="204A38D2" w:rsidR="00A84E88" w:rsidRPr="00B92F1D" w:rsidRDefault="00A84E88" w:rsidP="00D51CDD">
      <w:pPr>
        <w:widowControl w:val="0"/>
        <w:tabs>
          <w:tab w:val="right" w:pos="9026"/>
        </w:tabs>
        <w:spacing w:after="0" w:line="288" w:lineRule="auto"/>
        <w:rPr>
          <w:rFonts w:ascii="Verdana" w:hAnsi="Verdana" w:cs="Arial"/>
          <w:b/>
          <w:lang w:val="en-GB"/>
        </w:rPr>
      </w:pPr>
      <w:r w:rsidRPr="00B92F1D">
        <w:rPr>
          <w:rFonts w:ascii="Verdana" w:hAnsi="Verdana" w:cs="Arial"/>
          <w:b/>
          <w:lang w:val="en-GB"/>
        </w:rPr>
        <w:t>NDLOVU, TOZANE GLADYS</w:t>
      </w:r>
    </w:p>
    <w:p w14:paraId="41DC56A9" w14:textId="2328712E" w:rsidR="003F5965" w:rsidRPr="00B92F1D" w:rsidRDefault="00A84E88" w:rsidP="00A84E88">
      <w:pPr>
        <w:widowControl w:val="0"/>
        <w:tabs>
          <w:tab w:val="right" w:pos="9026"/>
        </w:tabs>
        <w:spacing w:after="120" w:line="288" w:lineRule="auto"/>
        <w:rPr>
          <w:rFonts w:ascii="Verdana" w:hAnsi="Verdana" w:cs="Arial"/>
          <w:lang w:val="en-GB"/>
        </w:rPr>
      </w:pPr>
      <w:proofErr w:type="gramStart"/>
      <w:r w:rsidRPr="00B92F1D">
        <w:rPr>
          <w:rFonts w:ascii="Verdana" w:hAnsi="Verdana" w:cs="Arial"/>
          <w:b/>
          <w:lang w:val="en-GB"/>
        </w:rPr>
        <w:t>obo</w:t>
      </w:r>
      <w:proofErr w:type="gramEnd"/>
      <w:r w:rsidRPr="00B92F1D">
        <w:rPr>
          <w:rFonts w:ascii="Verdana" w:hAnsi="Verdana" w:cs="Arial"/>
          <w:b/>
          <w:lang w:val="en-GB"/>
        </w:rPr>
        <w:t xml:space="preserve"> LATE ZIYONI GEDEON NDLOVU</w:t>
      </w:r>
      <w:r w:rsidR="003F5965" w:rsidRPr="00B92F1D">
        <w:rPr>
          <w:rFonts w:ascii="Verdana" w:hAnsi="Verdana" w:cs="Arial"/>
          <w:lang w:val="en-GB"/>
        </w:rPr>
        <w:tab/>
      </w:r>
      <w:r w:rsidRPr="00B92F1D">
        <w:rPr>
          <w:rFonts w:ascii="Verdana" w:hAnsi="Verdana" w:cs="Arial"/>
          <w:lang w:val="en-GB"/>
        </w:rPr>
        <w:t>First a</w:t>
      </w:r>
      <w:r w:rsidR="00E011F5" w:rsidRPr="00B92F1D">
        <w:rPr>
          <w:rFonts w:ascii="Verdana" w:hAnsi="Verdana" w:cs="Arial"/>
          <w:lang w:val="en-GB"/>
        </w:rPr>
        <w:t>pplicant</w:t>
      </w:r>
    </w:p>
    <w:p w14:paraId="65852A94" w14:textId="531EE27B" w:rsidR="00E723A4" w:rsidRPr="00B92F1D" w:rsidRDefault="00A84E88" w:rsidP="00D51CDD">
      <w:pPr>
        <w:widowControl w:val="0"/>
        <w:tabs>
          <w:tab w:val="right" w:pos="9026"/>
        </w:tabs>
        <w:spacing w:after="0" w:line="288" w:lineRule="auto"/>
        <w:rPr>
          <w:rFonts w:ascii="Verdana" w:hAnsi="Verdana" w:cs="Arial"/>
          <w:lang w:val="en-GB"/>
        </w:rPr>
      </w:pPr>
      <w:r w:rsidRPr="00B92F1D">
        <w:rPr>
          <w:rFonts w:ascii="Verdana" w:hAnsi="Verdana" w:cs="Arial"/>
          <w:b/>
          <w:lang w:val="en-GB"/>
        </w:rPr>
        <w:t>NDLOVU, TOZANE GLADYS</w:t>
      </w:r>
      <w:r w:rsidRPr="00B92F1D">
        <w:rPr>
          <w:rFonts w:ascii="Verdana" w:hAnsi="Verdana" w:cs="Arial"/>
          <w:lang w:val="en-GB"/>
        </w:rPr>
        <w:tab/>
        <w:t>Second applicant</w:t>
      </w:r>
    </w:p>
    <w:p w14:paraId="542BA9C8" w14:textId="77777777" w:rsidR="00D51CDD" w:rsidRPr="00B92F1D" w:rsidRDefault="00D51CDD" w:rsidP="00D51CDD">
      <w:pPr>
        <w:widowControl w:val="0"/>
        <w:tabs>
          <w:tab w:val="right" w:pos="9026"/>
        </w:tabs>
        <w:spacing w:after="0" w:line="288" w:lineRule="auto"/>
        <w:rPr>
          <w:rFonts w:ascii="Verdana" w:hAnsi="Verdana" w:cs="Arial"/>
          <w:lang w:val="en-GB"/>
        </w:rPr>
      </w:pPr>
    </w:p>
    <w:p w14:paraId="08F897D7" w14:textId="36DD9BC8" w:rsidR="003F5965" w:rsidRPr="00B92F1D" w:rsidRDefault="003F5965" w:rsidP="00D51CDD">
      <w:pPr>
        <w:widowControl w:val="0"/>
        <w:tabs>
          <w:tab w:val="right" w:pos="9026"/>
        </w:tabs>
        <w:spacing w:after="0" w:line="288" w:lineRule="auto"/>
        <w:rPr>
          <w:rFonts w:ascii="Verdana" w:hAnsi="Verdana" w:cs="Arial"/>
          <w:lang w:val="en-GB"/>
        </w:rPr>
      </w:pPr>
      <w:proofErr w:type="gramStart"/>
      <w:r w:rsidRPr="00B92F1D">
        <w:rPr>
          <w:rFonts w:ascii="Verdana" w:hAnsi="Verdana" w:cs="Arial"/>
          <w:lang w:val="en-GB"/>
        </w:rPr>
        <w:t>and</w:t>
      </w:r>
      <w:proofErr w:type="gramEnd"/>
    </w:p>
    <w:p w14:paraId="43E5B965" w14:textId="66F32A2A" w:rsidR="0036664D" w:rsidRPr="00B92F1D" w:rsidRDefault="0036664D" w:rsidP="00D51CDD">
      <w:pPr>
        <w:widowControl w:val="0"/>
        <w:tabs>
          <w:tab w:val="right" w:pos="9026"/>
        </w:tabs>
        <w:spacing w:after="0" w:line="288" w:lineRule="auto"/>
        <w:rPr>
          <w:rFonts w:ascii="Verdana" w:hAnsi="Verdana" w:cs="Arial"/>
          <w:b/>
          <w:lang w:val="en-GB"/>
        </w:rPr>
      </w:pPr>
    </w:p>
    <w:p w14:paraId="5F062A8F" w14:textId="2FCA89C2" w:rsidR="003F5965" w:rsidRPr="00B92F1D" w:rsidRDefault="00A84E88" w:rsidP="00A84E88">
      <w:pPr>
        <w:widowControl w:val="0"/>
        <w:tabs>
          <w:tab w:val="right" w:pos="9026"/>
        </w:tabs>
        <w:spacing w:after="120" w:line="288" w:lineRule="auto"/>
        <w:rPr>
          <w:rFonts w:ascii="Verdana" w:hAnsi="Verdana" w:cs="Arial"/>
          <w:lang w:val="en-GB"/>
        </w:rPr>
      </w:pPr>
      <w:r w:rsidRPr="00B92F1D">
        <w:rPr>
          <w:rFonts w:ascii="Verdana" w:hAnsi="Verdana" w:cs="Arial"/>
          <w:b/>
          <w:lang w:val="en-GB"/>
        </w:rPr>
        <w:t>MONAMA, CONSTANCE</w:t>
      </w:r>
      <w:r w:rsidR="003F5965" w:rsidRPr="00B92F1D">
        <w:rPr>
          <w:rFonts w:ascii="Verdana" w:hAnsi="Verdana" w:cs="Arial"/>
          <w:b/>
          <w:lang w:val="en-GB"/>
        </w:rPr>
        <w:tab/>
      </w:r>
      <w:r w:rsidRPr="00B92F1D">
        <w:rPr>
          <w:rFonts w:ascii="Verdana" w:hAnsi="Verdana" w:cs="Arial"/>
          <w:lang w:val="en-GB"/>
        </w:rPr>
        <w:t>First r</w:t>
      </w:r>
      <w:r w:rsidR="00E011F5" w:rsidRPr="00B92F1D">
        <w:rPr>
          <w:rFonts w:ascii="Verdana" w:hAnsi="Verdana" w:cs="Arial"/>
          <w:lang w:val="en-GB"/>
        </w:rPr>
        <w:t>espondent</w:t>
      </w:r>
    </w:p>
    <w:p w14:paraId="3D58231A" w14:textId="4DC55CA4" w:rsidR="00B54836" w:rsidRPr="00B92F1D" w:rsidRDefault="00A84E88" w:rsidP="00A84E88">
      <w:pPr>
        <w:widowControl w:val="0"/>
        <w:tabs>
          <w:tab w:val="right" w:pos="9026"/>
        </w:tabs>
        <w:spacing w:after="120" w:line="288" w:lineRule="auto"/>
        <w:rPr>
          <w:rFonts w:ascii="Verdana" w:hAnsi="Verdana" w:cs="Arial"/>
          <w:lang w:val="en-GB"/>
        </w:rPr>
      </w:pPr>
      <w:r w:rsidRPr="00B92F1D">
        <w:rPr>
          <w:rFonts w:ascii="Verdana" w:hAnsi="Verdana" w:cs="Arial"/>
          <w:b/>
          <w:lang w:val="en-GB"/>
        </w:rPr>
        <w:t>MASTER OF THE HIGH COURT</w:t>
      </w:r>
      <w:r w:rsidRPr="00B92F1D">
        <w:rPr>
          <w:rFonts w:ascii="Verdana" w:hAnsi="Verdana" w:cs="Arial"/>
          <w:lang w:val="en-GB"/>
        </w:rPr>
        <w:tab/>
        <w:t>Second respondent</w:t>
      </w:r>
    </w:p>
    <w:p w14:paraId="277FE6FB" w14:textId="366FF468" w:rsidR="00A84E88" w:rsidRPr="00B92F1D" w:rsidRDefault="00A84E88" w:rsidP="00D51CDD">
      <w:pPr>
        <w:widowControl w:val="0"/>
        <w:tabs>
          <w:tab w:val="right" w:pos="9026"/>
        </w:tabs>
        <w:spacing w:after="0" w:line="288" w:lineRule="auto"/>
        <w:rPr>
          <w:rFonts w:ascii="Verdana" w:hAnsi="Verdana" w:cs="Arial"/>
          <w:lang w:val="en-GB"/>
        </w:rPr>
      </w:pPr>
      <w:r w:rsidRPr="00B92F1D">
        <w:rPr>
          <w:rFonts w:ascii="Verdana" w:hAnsi="Verdana" w:cs="Arial"/>
          <w:b/>
          <w:lang w:val="en-GB"/>
        </w:rPr>
        <w:t>REGISTRAR OF DEEDS</w:t>
      </w:r>
      <w:r w:rsidR="00FC52DE" w:rsidRPr="00B92F1D">
        <w:rPr>
          <w:rFonts w:ascii="Verdana" w:hAnsi="Verdana" w:cs="Arial"/>
          <w:b/>
          <w:lang w:val="en-GB"/>
        </w:rPr>
        <w:t>, JOHANNESBURG</w:t>
      </w:r>
      <w:r w:rsidRPr="00B92F1D">
        <w:rPr>
          <w:rFonts w:ascii="Verdana" w:hAnsi="Verdana" w:cs="Arial"/>
          <w:lang w:val="en-GB"/>
        </w:rPr>
        <w:tab/>
        <w:t>Third respondent</w:t>
      </w:r>
    </w:p>
    <w:p w14:paraId="1CB77F29" w14:textId="77777777" w:rsidR="00D51CDD" w:rsidRPr="00B92F1D" w:rsidRDefault="00D51CDD" w:rsidP="001241A4">
      <w:pPr>
        <w:widowControl w:val="0"/>
        <w:tabs>
          <w:tab w:val="right" w:pos="9026"/>
        </w:tabs>
        <w:spacing w:after="0" w:line="240" w:lineRule="auto"/>
        <w:rPr>
          <w:rFonts w:ascii="Verdana" w:hAnsi="Verdana" w:cs="Arial"/>
          <w:lang w:val="en-GB"/>
        </w:rPr>
      </w:pPr>
    </w:p>
    <w:p w14:paraId="21AC5D9E" w14:textId="77777777" w:rsidR="00E723A4" w:rsidRPr="00B92F1D" w:rsidRDefault="00E723A4" w:rsidP="003D69CB">
      <w:pPr>
        <w:widowControl w:val="0"/>
        <w:tabs>
          <w:tab w:val="right" w:pos="9026"/>
        </w:tabs>
        <w:spacing w:after="0" w:line="360" w:lineRule="auto"/>
        <w:rPr>
          <w:rFonts w:ascii="Verdana" w:hAnsi="Verdana" w:cs="Arial"/>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AE6AE3" w:rsidRPr="00B92F1D" w14:paraId="20EB356B" w14:textId="77777777" w:rsidTr="00AE6AE3">
        <w:tc>
          <w:tcPr>
            <w:tcW w:w="9242" w:type="dxa"/>
          </w:tcPr>
          <w:p w14:paraId="4CD84C12" w14:textId="4C5666F6" w:rsidR="00AE6AE3" w:rsidRPr="00B92F1D" w:rsidRDefault="00AE6AE3" w:rsidP="003D69CB">
            <w:pPr>
              <w:widowControl w:val="0"/>
              <w:spacing w:before="360" w:after="120" w:line="480" w:lineRule="auto"/>
              <w:jc w:val="center"/>
              <w:rPr>
                <w:rFonts w:ascii="Verdana" w:hAnsi="Verdana" w:cs="Arial"/>
                <w:b/>
                <w:lang w:val="en-GB"/>
              </w:rPr>
            </w:pPr>
            <w:r w:rsidRPr="00B92F1D">
              <w:rPr>
                <w:rFonts w:ascii="Verdana" w:hAnsi="Verdana" w:cs="Arial"/>
                <w:b/>
                <w:lang w:val="en-GB"/>
              </w:rPr>
              <w:t>J</w:t>
            </w:r>
            <w:r w:rsidR="008F1271" w:rsidRPr="00B92F1D">
              <w:rPr>
                <w:rFonts w:ascii="Verdana" w:hAnsi="Verdana" w:cs="Arial"/>
                <w:b/>
                <w:lang w:val="en-GB"/>
              </w:rPr>
              <w:t xml:space="preserve"> </w:t>
            </w:r>
            <w:r w:rsidRPr="00B92F1D">
              <w:rPr>
                <w:rFonts w:ascii="Verdana" w:hAnsi="Verdana" w:cs="Arial"/>
                <w:b/>
                <w:lang w:val="en-GB"/>
              </w:rPr>
              <w:t>U</w:t>
            </w:r>
            <w:r w:rsidR="008F1271" w:rsidRPr="00B92F1D">
              <w:rPr>
                <w:rFonts w:ascii="Verdana" w:hAnsi="Verdana" w:cs="Arial"/>
                <w:b/>
                <w:lang w:val="en-GB"/>
              </w:rPr>
              <w:t xml:space="preserve"> </w:t>
            </w:r>
            <w:r w:rsidRPr="00B92F1D">
              <w:rPr>
                <w:rFonts w:ascii="Verdana" w:hAnsi="Verdana" w:cs="Arial"/>
                <w:b/>
                <w:lang w:val="en-GB"/>
              </w:rPr>
              <w:t>D</w:t>
            </w:r>
            <w:r w:rsidR="008F1271" w:rsidRPr="00B92F1D">
              <w:rPr>
                <w:rFonts w:ascii="Verdana" w:hAnsi="Verdana" w:cs="Arial"/>
                <w:b/>
                <w:lang w:val="en-GB"/>
              </w:rPr>
              <w:t xml:space="preserve"> </w:t>
            </w:r>
            <w:r w:rsidRPr="00B92F1D">
              <w:rPr>
                <w:rFonts w:ascii="Verdana" w:hAnsi="Verdana" w:cs="Arial"/>
                <w:b/>
                <w:lang w:val="en-GB"/>
              </w:rPr>
              <w:t>G</w:t>
            </w:r>
            <w:r w:rsidR="008F1271" w:rsidRPr="00B92F1D">
              <w:rPr>
                <w:rFonts w:ascii="Verdana" w:hAnsi="Verdana" w:cs="Arial"/>
                <w:b/>
                <w:lang w:val="en-GB"/>
              </w:rPr>
              <w:t xml:space="preserve"> </w:t>
            </w:r>
            <w:r w:rsidRPr="00B92F1D">
              <w:rPr>
                <w:rFonts w:ascii="Verdana" w:hAnsi="Verdana" w:cs="Arial"/>
                <w:b/>
                <w:lang w:val="en-GB"/>
              </w:rPr>
              <w:t>M</w:t>
            </w:r>
            <w:r w:rsidR="008F1271" w:rsidRPr="00B92F1D">
              <w:rPr>
                <w:rFonts w:ascii="Verdana" w:hAnsi="Verdana" w:cs="Arial"/>
                <w:b/>
                <w:lang w:val="en-GB"/>
              </w:rPr>
              <w:t xml:space="preserve"> </w:t>
            </w:r>
            <w:r w:rsidRPr="00B92F1D">
              <w:rPr>
                <w:rFonts w:ascii="Verdana" w:hAnsi="Verdana" w:cs="Arial"/>
                <w:b/>
                <w:lang w:val="en-GB"/>
              </w:rPr>
              <w:t>E</w:t>
            </w:r>
            <w:r w:rsidR="008F1271" w:rsidRPr="00B92F1D">
              <w:rPr>
                <w:rFonts w:ascii="Verdana" w:hAnsi="Verdana" w:cs="Arial"/>
                <w:b/>
                <w:lang w:val="en-GB"/>
              </w:rPr>
              <w:t xml:space="preserve"> </w:t>
            </w:r>
            <w:r w:rsidRPr="00B92F1D">
              <w:rPr>
                <w:rFonts w:ascii="Verdana" w:hAnsi="Verdana" w:cs="Arial"/>
                <w:b/>
                <w:lang w:val="en-GB"/>
              </w:rPr>
              <w:t>N</w:t>
            </w:r>
            <w:r w:rsidR="008F1271" w:rsidRPr="00B92F1D">
              <w:rPr>
                <w:rFonts w:ascii="Verdana" w:hAnsi="Verdana" w:cs="Arial"/>
                <w:b/>
                <w:lang w:val="en-GB"/>
              </w:rPr>
              <w:t xml:space="preserve"> </w:t>
            </w:r>
            <w:r w:rsidRPr="00B92F1D">
              <w:rPr>
                <w:rFonts w:ascii="Verdana" w:hAnsi="Verdana" w:cs="Arial"/>
                <w:b/>
                <w:lang w:val="en-GB"/>
              </w:rPr>
              <w:t>T</w:t>
            </w:r>
          </w:p>
        </w:tc>
      </w:tr>
    </w:tbl>
    <w:p w14:paraId="776B82AA" w14:textId="1F6A2B44" w:rsidR="00E4432D" w:rsidRPr="00B92F1D" w:rsidRDefault="00E4432D" w:rsidP="00A84E88">
      <w:pPr>
        <w:widowControl w:val="0"/>
        <w:spacing w:before="840" w:after="0" w:line="360" w:lineRule="auto"/>
        <w:jc w:val="both"/>
        <w:rPr>
          <w:rFonts w:ascii="Verdana" w:hAnsi="Verdana"/>
          <w:lang w:val="en-GB"/>
        </w:rPr>
      </w:pPr>
      <w:r w:rsidRPr="00B92F1D">
        <w:rPr>
          <w:rFonts w:ascii="Verdana" w:hAnsi="Verdana" w:cs="Arial"/>
          <w:b/>
          <w:bCs/>
          <w:u w:val="single"/>
          <w:lang w:val="en-GB"/>
        </w:rPr>
        <w:lastRenderedPageBreak/>
        <w:t>DELIVERED</w:t>
      </w:r>
      <w:r w:rsidRPr="00B92F1D">
        <w:rPr>
          <w:rFonts w:ascii="Verdana" w:hAnsi="Verdana" w:cs="Arial"/>
          <w:b/>
          <w:bCs/>
          <w:lang w:val="en-GB"/>
        </w:rPr>
        <w:t xml:space="preserve">: </w:t>
      </w:r>
      <w:r w:rsidR="001356F3" w:rsidRPr="00B92F1D">
        <w:rPr>
          <w:rFonts w:ascii="Verdana" w:hAnsi="Verdana" w:cs="Arial"/>
          <w:b/>
          <w:bCs/>
          <w:lang w:val="en-GB"/>
        </w:rPr>
        <w:t xml:space="preserve"> </w:t>
      </w:r>
      <w:r w:rsidRPr="00B92F1D">
        <w:rPr>
          <w:rFonts w:ascii="Verdana" w:hAnsi="Verdana"/>
          <w:lang w:val="en-GB"/>
        </w:rPr>
        <w:t>This judgment was handed down electronically by circulation to the parties’ legal representatives by e</w:t>
      </w:r>
      <w:r w:rsidR="001356F3" w:rsidRPr="00B92F1D">
        <w:rPr>
          <w:rFonts w:ascii="Verdana" w:hAnsi="Verdana"/>
          <w:lang w:val="en-GB"/>
        </w:rPr>
        <w:noBreakHyphen/>
      </w:r>
      <w:r w:rsidRPr="00B92F1D">
        <w:rPr>
          <w:rFonts w:ascii="Verdana" w:hAnsi="Verdana"/>
          <w:lang w:val="en-GB"/>
        </w:rPr>
        <w:t xml:space="preserve">mail and publication on </w:t>
      </w:r>
      <w:proofErr w:type="spellStart"/>
      <w:r w:rsidRPr="00B92F1D">
        <w:rPr>
          <w:rFonts w:ascii="Verdana" w:hAnsi="Verdana"/>
          <w:lang w:val="en-GB"/>
        </w:rPr>
        <w:t>CaseLines</w:t>
      </w:r>
      <w:proofErr w:type="spellEnd"/>
      <w:r w:rsidRPr="00B92F1D">
        <w:rPr>
          <w:rFonts w:ascii="Verdana" w:hAnsi="Verdana"/>
          <w:lang w:val="en-GB"/>
        </w:rPr>
        <w:t xml:space="preserve">. </w:t>
      </w:r>
      <w:r w:rsidR="001356F3" w:rsidRPr="00B92F1D">
        <w:rPr>
          <w:rFonts w:ascii="Verdana" w:hAnsi="Verdana"/>
          <w:lang w:val="en-GB"/>
        </w:rPr>
        <w:t xml:space="preserve"> </w:t>
      </w:r>
      <w:r w:rsidRPr="00B92F1D">
        <w:rPr>
          <w:rFonts w:ascii="Verdana" w:hAnsi="Verdana"/>
          <w:lang w:val="en-GB"/>
        </w:rPr>
        <w:t>The date and time for hand</w:t>
      </w:r>
      <w:r w:rsidR="00D51CDD" w:rsidRPr="00B92F1D">
        <w:rPr>
          <w:rFonts w:ascii="Verdana" w:hAnsi="Verdana"/>
          <w:lang w:val="en-GB"/>
        </w:rPr>
        <w:noBreakHyphen/>
      </w:r>
      <w:r w:rsidRPr="00B92F1D">
        <w:rPr>
          <w:rFonts w:ascii="Verdana" w:hAnsi="Verdana"/>
          <w:lang w:val="en-GB"/>
        </w:rPr>
        <w:t xml:space="preserve">down is deemed to be </w:t>
      </w:r>
      <w:r w:rsidR="00E31A5D" w:rsidRPr="00B92F1D">
        <w:rPr>
          <w:rFonts w:ascii="Verdana" w:hAnsi="Verdana"/>
          <w:lang w:val="en-GB"/>
        </w:rPr>
        <w:t>10h00</w:t>
      </w:r>
      <w:r w:rsidRPr="00B92F1D">
        <w:rPr>
          <w:rFonts w:ascii="Verdana" w:hAnsi="Verdana"/>
          <w:lang w:val="en-GB"/>
        </w:rPr>
        <w:t xml:space="preserve"> on </w:t>
      </w:r>
      <w:r w:rsidR="00E31A5D" w:rsidRPr="00B92F1D">
        <w:rPr>
          <w:rFonts w:ascii="Verdana" w:hAnsi="Verdana"/>
          <w:lang w:val="en-GB"/>
        </w:rPr>
        <w:t>14 December</w:t>
      </w:r>
      <w:r w:rsidR="001356F3" w:rsidRPr="00B92F1D">
        <w:rPr>
          <w:rFonts w:ascii="Verdana" w:hAnsi="Verdana"/>
          <w:lang w:val="en-GB"/>
        </w:rPr>
        <w:t xml:space="preserve"> </w:t>
      </w:r>
      <w:r w:rsidRPr="00B92F1D">
        <w:rPr>
          <w:rFonts w:ascii="Verdana" w:hAnsi="Verdana"/>
          <w:lang w:val="en-GB"/>
        </w:rPr>
        <w:t>2021</w:t>
      </w:r>
      <w:r w:rsidR="00335840" w:rsidRPr="00B92F1D">
        <w:rPr>
          <w:rFonts w:ascii="Verdana" w:hAnsi="Verdana"/>
          <w:lang w:val="en-GB"/>
        </w:rPr>
        <w:t>.</w:t>
      </w:r>
    </w:p>
    <w:p w14:paraId="4F25FCAB" w14:textId="77777777" w:rsidR="00A84E88" w:rsidRPr="00B92F1D" w:rsidRDefault="00A84E88" w:rsidP="00A84E88">
      <w:pPr>
        <w:widowControl w:val="0"/>
        <w:spacing w:after="360" w:line="360" w:lineRule="auto"/>
        <w:jc w:val="both"/>
        <w:rPr>
          <w:rFonts w:ascii="Verdana" w:hAnsi="Verdana" w:cs="Arial"/>
          <w:b/>
          <w:bCs/>
          <w:lang w:val="en-GB"/>
        </w:rPr>
      </w:pPr>
    </w:p>
    <w:p w14:paraId="4481D702" w14:textId="3C5D9D8D" w:rsidR="00386CF6" w:rsidRPr="00B92F1D" w:rsidRDefault="00CC79D8" w:rsidP="00A84E88">
      <w:pPr>
        <w:keepNext/>
        <w:widowControl w:val="0"/>
        <w:spacing w:after="320" w:line="432" w:lineRule="auto"/>
        <w:rPr>
          <w:rFonts w:ascii="Verdana" w:hAnsi="Verdana" w:cs="Arial"/>
          <w:u w:val="single"/>
          <w:lang w:val="en-GB"/>
        </w:rPr>
      </w:pPr>
      <w:r w:rsidRPr="00B92F1D">
        <w:rPr>
          <w:rFonts w:ascii="Verdana" w:hAnsi="Verdana" w:cs="Arial"/>
          <w:u w:val="single"/>
          <w:lang w:val="en-GB"/>
        </w:rPr>
        <w:t xml:space="preserve">F. </w:t>
      </w:r>
      <w:r w:rsidR="00F46B89" w:rsidRPr="00B92F1D">
        <w:rPr>
          <w:rFonts w:ascii="Verdana" w:hAnsi="Verdana" w:cs="Arial"/>
          <w:u w:val="single"/>
          <w:lang w:val="en-GB"/>
        </w:rPr>
        <w:t xml:space="preserve">BEZUIDENHOUT </w:t>
      </w:r>
      <w:r w:rsidR="00225130" w:rsidRPr="00B92F1D">
        <w:rPr>
          <w:rFonts w:ascii="Verdana" w:hAnsi="Verdana" w:cs="Arial"/>
          <w:u w:val="single"/>
          <w:lang w:val="en-GB"/>
        </w:rPr>
        <w:t>AJ:</w:t>
      </w:r>
    </w:p>
    <w:p w14:paraId="57C37267" w14:textId="14D63073" w:rsidR="008F1271" w:rsidRPr="00B92F1D" w:rsidRDefault="008F1271" w:rsidP="003D69CB">
      <w:pPr>
        <w:pStyle w:val="Indent"/>
        <w:keepNext/>
        <w:widowControl w:val="0"/>
        <w:numPr>
          <w:ilvl w:val="0"/>
          <w:numId w:val="0"/>
        </w:numPr>
        <w:spacing w:after="320" w:line="432" w:lineRule="auto"/>
        <w:jc w:val="both"/>
        <w:rPr>
          <w:rFonts w:ascii="Verdana" w:hAnsi="Verdana" w:cs="Arial"/>
          <w:b/>
          <w:sz w:val="22"/>
          <w:szCs w:val="22"/>
          <w:lang w:val="en-GB"/>
        </w:rPr>
      </w:pPr>
      <w:r w:rsidRPr="00B92F1D">
        <w:rPr>
          <w:rFonts w:ascii="Verdana" w:hAnsi="Verdana" w:cs="Arial"/>
          <w:b/>
          <w:sz w:val="22"/>
          <w:szCs w:val="22"/>
          <w:lang w:val="en-GB"/>
        </w:rPr>
        <w:t>INTRODUCTION</w:t>
      </w:r>
    </w:p>
    <w:p w14:paraId="3BFD3C59" w14:textId="49B37315" w:rsidR="00A84E88" w:rsidRPr="00B92F1D" w:rsidRDefault="00951FAD" w:rsidP="00951FAD">
      <w:pPr>
        <w:pStyle w:val="Indent"/>
        <w:widowControl w:val="0"/>
        <w:numPr>
          <w:ilvl w:val="0"/>
          <w:numId w:val="0"/>
        </w:numPr>
        <w:spacing w:after="360" w:line="480" w:lineRule="auto"/>
        <w:ind w:left="720" w:hanging="720"/>
        <w:jc w:val="both"/>
        <w:rPr>
          <w:rFonts w:ascii="Verdana" w:hAnsi="Verdana" w:cs="Arial"/>
          <w:sz w:val="22"/>
          <w:szCs w:val="22"/>
          <w:lang w:val="en-GB"/>
        </w:rPr>
      </w:pPr>
      <w:r w:rsidRPr="00B92F1D">
        <w:rPr>
          <w:rFonts w:ascii="Verdana" w:hAnsi="Verdana" w:cs="Arial"/>
          <w:sz w:val="22"/>
          <w:szCs w:val="22"/>
          <w:lang w:val="en-GB"/>
        </w:rPr>
        <w:t>[1]</w:t>
      </w:r>
      <w:r w:rsidRPr="00B92F1D">
        <w:rPr>
          <w:rFonts w:ascii="Verdana" w:hAnsi="Verdana" w:cs="Arial"/>
          <w:sz w:val="22"/>
          <w:szCs w:val="22"/>
          <w:lang w:val="en-GB"/>
        </w:rPr>
        <w:tab/>
      </w:r>
      <w:r w:rsidR="00CE7685" w:rsidRPr="00B92F1D">
        <w:rPr>
          <w:rFonts w:ascii="Verdana" w:hAnsi="Verdana" w:cs="Arial"/>
          <w:sz w:val="22"/>
          <w:szCs w:val="22"/>
          <w:lang w:val="en-GB"/>
        </w:rPr>
        <w:t>Th</w:t>
      </w:r>
      <w:r w:rsidR="00A84E88" w:rsidRPr="00B92F1D">
        <w:rPr>
          <w:rFonts w:ascii="Verdana" w:hAnsi="Verdana" w:cs="Arial"/>
          <w:sz w:val="22"/>
          <w:szCs w:val="22"/>
          <w:lang w:val="en-GB"/>
        </w:rPr>
        <w:t>e applicant</w:t>
      </w:r>
      <w:r w:rsidR="00762B79">
        <w:rPr>
          <w:rStyle w:val="FootnoteReference"/>
          <w:rFonts w:ascii="Verdana" w:hAnsi="Verdana" w:cs="Arial"/>
          <w:sz w:val="22"/>
          <w:szCs w:val="22"/>
          <w:lang w:val="en-GB"/>
        </w:rPr>
        <w:footnoteReference w:id="1"/>
      </w:r>
      <w:r w:rsidR="00A84E88" w:rsidRPr="00B92F1D">
        <w:rPr>
          <w:rFonts w:ascii="Verdana" w:hAnsi="Verdana" w:cs="Arial"/>
          <w:sz w:val="22"/>
          <w:szCs w:val="22"/>
          <w:lang w:val="en-GB"/>
        </w:rPr>
        <w:t>,</w:t>
      </w:r>
      <w:r w:rsidR="00DC0C51" w:rsidRPr="00B92F1D">
        <w:rPr>
          <w:rFonts w:ascii="Verdana" w:hAnsi="Verdana" w:cs="Arial"/>
          <w:sz w:val="22"/>
          <w:szCs w:val="22"/>
          <w:lang w:val="en-GB"/>
        </w:rPr>
        <w:t xml:space="preserve"> the </w:t>
      </w:r>
      <w:r w:rsidR="00A84E88" w:rsidRPr="00B92F1D">
        <w:rPr>
          <w:rFonts w:ascii="Verdana" w:hAnsi="Verdana" w:cs="Arial"/>
          <w:sz w:val="22"/>
          <w:szCs w:val="22"/>
          <w:lang w:val="en-GB"/>
        </w:rPr>
        <w:t xml:space="preserve">widow of the late </w:t>
      </w:r>
      <w:proofErr w:type="spellStart"/>
      <w:r w:rsidR="008306BA" w:rsidRPr="00B92F1D">
        <w:rPr>
          <w:rFonts w:ascii="Verdana" w:hAnsi="Verdana" w:cs="Arial"/>
          <w:sz w:val="22"/>
          <w:szCs w:val="22"/>
          <w:lang w:val="en-GB"/>
        </w:rPr>
        <w:t>Ziyoni</w:t>
      </w:r>
      <w:proofErr w:type="spellEnd"/>
      <w:r w:rsidR="008306BA" w:rsidRPr="00B92F1D">
        <w:rPr>
          <w:rFonts w:ascii="Verdana" w:hAnsi="Verdana" w:cs="Arial"/>
          <w:sz w:val="22"/>
          <w:szCs w:val="22"/>
          <w:lang w:val="en-GB"/>
        </w:rPr>
        <w:t xml:space="preserve"> </w:t>
      </w:r>
      <w:proofErr w:type="spellStart"/>
      <w:r w:rsidR="008306BA" w:rsidRPr="00B92F1D">
        <w:rPr>
          <w:rFonts w:ascii="Verdana" w:hAnsi="Verdana" w:cs="Arial"/>
          <w:sz w:val="22"/>
          <w:szCs w:val="22"/>
          <w:lang w:val="en-GB"/>
        </w:rPr>
        <w:t>Gedeon</w:t>
      </w:r>
      <w:proofErr w:type="spellEnd"/>
      <w:r w:rsidR="008306BA" w:rsidRPr="00B92F1D">
        <w:rPr>
          <w:rFonts w:ascii="Verdana" w:hAnsi="Verdana" w:cs="Arial"/>
          <w:sz w:val="22"/>
          <w:szCs w:val="22"/>
          <w:lang w:val="en-GB"/>
        </w:rPr>
        <w:t xml:space="preserve"> </w:t>
      </w:r>
      <w:proofErr w:type="spellStart"/>
      <w:r w:rsidR="008306BA" w:rsidRPr="00B92F1D">
        <w:rPr>
          <w:rFonts w:ascii="Verdana" w:hAnsi="Verdana" w:cs="Arial"/>
          <w:sz w:val="22"/>
          <w:szCs w:val="22"/>
          <w:lang w:val="en-GB"/>
        </w:rPr>
        <w:t>Ndlovu</w:t>
      </w:r>
      <w:proofErr w:type="spellEnd"/>
      <w:r w:rsidR="008306BA" w:rsidRPr="00B92F1D">
        <w:rPr>
          <w:rFonts w:ascii="Verdana" w:hAnsi="Verdana" w:cs="Arial"/>
          <w:sz w:val="22"/>
          <w:szCs w:val="22"/>
          <w:lang w:val="en-GB"/>
        </w:rPr>
        <w:t xml:space="preserve"> (</w:t>
      </w:r>
      <w:r w:rsidR="008306BA" w:rsidRPr="00B92F1D">
        <w:rPr>
          <w:rFonts w:ascii="Verdana" w:hAnsi="Verdana" w:cs="Arial"/>
          <w:i/>
          <w:sz w:val="22"/>
          <w:szCs w:val="22"/>
          <w:lang w:val="en-GB"/>
        </w:rPr>
        <w:t>“the deceased”</w:t>
      </w:r>
      <w:r w:rsidR="008306BA" w:rsidRPr="00B92F1D">
        <w:rPr>
          <w:rFonts w:ascii="Verdana" w:hAnsi="Verdana" w:cs="Arial"/>
          <w:sz w:val="22"/>
          <w:szCs w:val="22"/>
          <w:lang w:val="en-GB"/>
        </w:rPr>
        <w:t>)</w:t>
      </w:r>
      <w:r w:rsidR="00F96F6C" w:rsidRPr="00B92F1D">
        <w:rPr>
          <w:rFonts w:ascii="Verdana" w:hAnsi="Verdana" w:cs="Arial"/>
          <w:sz w:val="22"/>
          <w:szCs w:val="22"/>
          <w:lang w:val="en-GB"/>
        </w:rPr>
        <w:t xml:space="preserve"> who died on</w:t>
      </w:r>
      <w:r w:rsidR="004216A7">
        <w:rPr>
          <w:rFonts w:ascii="Verdana" w:hAnsi="Verdana" w:cs="Arial"/>
          <w:sz w:val="22"/>
          <w:szCs w:val="22"/>
          <w:lang w:val="en-GB"/>
        </w:rPr>
        <w:t xml:space="preserve"> 24 July 2015</w:t>
      </w:r>
      <w:r w:rsidR="008306BA" w:rsidRPr="00B92F1D">
        <w:rPr>
          <w:rFonts w:ascii="Verdana" w:hAnsi="Verdana" w:cs="Arial"/>
          <w:sz w:val="22"/>
          <w:szCs w:val="22"/>
          <w:lang w:val="en-GB"/>
        </w:rPr>
        <w:t>, and the executrix of the estate of the deceased, seeks various forms of relief in respect of an immovabl</w:t>
      </w:r>
      <w:r w:rsidR="00D75E11">
        <w:rPr>
          <w:rFonts w:ascii="Verdana" w:hAnsi="Verdana" w:cs="Arial"/>
          <w:sz w:val="22"/>
          <w:szCs w:val="22"/>
          <w:lang w:val="en-GB"/>
        </w:rPr>
        <w:t xml:space="preserve">e property described as </w:t>
      </w:r>
      <w:proofErr w:type="spellStart"/>
      <w:r w:rsidR="00D75E11">
        <w:rPr>
          <w:rFonts w:ascii="Verdana" w:hAnsi="Verdana" w:cs="Arial"/>
          <w:sz w:val="22"/>
          <w:szCs w:val="22"/>
          <w:lang w:val="en-GB"/>
        </w:rPr>
        <w:t>Erf</w:t>
      </w:r>
      <w:proofErr w:type="spellEnd"/>
      <w:r w:rsidR="00D75E11">
        <w:rPr>
          <w:rFonts w:ascii="Verdana" w:hAnsi="Verdana" w:cs="Arial"/>
          <w:sz w:val="22"/>
          <w:szCs w:val="22"/>
          <w:lang w:val="en-GB"/>
        </w:rPr>
        <w:t> […]</w:t>
      </w:r>
      <w:r w:rsidR="008306BA" w:rsidRPr="00B92F1D">
        <w:rPr>
          <w:rFonts w:ascii="Verdana" w:hAnsi="Verdana" w:cs="Arial"/>
          <w:sz w:val="22"/>
          <w:szCs w:val="22"/>
          <w:lang w:val="en-GB"/>
        </w:rPr>
        <w:t xml:space="preserve">, </w:t>
      </w:r>
      <w:proofErr w:type="spellStart"/>
      <w:r w:rsidR="008306BA" w:rsidRPr="00B92F1D">
        <w:rPr>
          <w:rFonts w:ascii="Verdana" w:hAnsi="Verdana" w:cs="Arial"/>
          <w:sz w:val="22"/>
          <w:szCs w:val="22"/>
          <w:lang w:val="en-GB"/>
        </w:rPr>
        <w:t>Jabulani</w:t>
      </w:r>
      <w:proofErr w:type="spellEnd"/>
      <w:r w:rsidR="008306BA" w:rsidRPr="00B92F1D">
        <w:rPr>
          <w:rFonts w:ascii="Verdana" w:hAnsi="Verdana" w:cs="Arial"/>
          <w:sz w:val="22"/>
          <w:szCs w:val="22"/>
          <w:lang w:val="en-GB"/>
        </w:rPr>
        <w:t xml:space="preserve">, Soweto, with </w:t>
      </w:r>
      <w:r w:rsidR="00D75E11">
        <w:rPr>
          <w:rFonts w:ascii="Verdana" w:hAnsi="Verdana" w:cs="Arial"/>
          <w:sz w:val="22"/>
          <w:szCs w:val="22"/>
          <w:lang w:val="en-GB"/>
        </w:rPr>
        <w:t>physical address […]</w:t>
      </w:r>
      <w:r w:rsidR="008306BA" w:rsidRPr="00B92F1D">
        <w:rPr>
          <w:rFonts w:ascii="Verdana" w:hAnsi="Verdana" w:cs="Arial"/>
          <w:sz w:val="22"/>
          <w:szCs w:val="22"/>
          <w:lang w:val="en-GB"/>
        </w:rPr>
        <w:t xml:space="preserve">, </w:t>
      </w:r>
      <w:proofErr w:type="spellStart"/>
      <w:r w:rsidR="008306BA" w:rsidRPr="00B92F1D">
        <w:rPr>
          <w:rFonts w:ascii="Verdana" w:hAnsi="Verdana" w:cs="Arial"/>
          <w:sz w:val="22"/>
          <w:szCs w:val="22"/>
          <w:lang w:val="en-GB"/>
        </w:rPr>
        <w:t>Jabulani</w:t>
      </w:r>
      <w:proofErr w:type="spellEnd"/>
      <w:r w:rsidR="008306BA" w:rsidRPr="00B92F1D">
        <w:rPr>
          <w:rFonts w:ascii="Verdana" w:hAnsi="Verdana" w:cs="Arial"/>
          <w:sz w:val="22"/>
          <w:szCs w:val="22"/>
          <w:lang w:val="en-GB"/>
        </w:rPr>
        <w:t>, Soweto (</w:t>
      </w:r>
      <w:r w:rsidR="008306BA" w:rsidRPr="00B92F1D">
        <w:rPr>
          <w:rFonts w:ascii="Verdana" w:hAnsi="Verdana" w:cs="Arial"/>
          <w:i/>
          <w:sz w:val="22"/>
          <w:szCs w:val="22"/>
          <w:lang w:val="en-GB"/>
        </w:rPr>
        <w:t>“the property”</w:t>
      </w:r>
      <w:r w:rsidR="008306BA" w:rsidRPr="00B92F1D">
        <w:rPr>
          <w:rFonts w:ascii="Verdana" w:hAnsi="Verdana" w:cs="Arial"/>
          <w:sz w:val="22"/>
          <w:szCs w:val="22"/>
          <w:lang w:val="en-GB"/>
        </w:rPr>
        <w:t xml:space="preserve">).  </w:t>
      </w:r>
    </w:p>
    <w:p w14:paraId="61F00A37" w14:textId="49549088" w:rsidR="008306BA" w:rsidRPr="00B92F1D" w:rsidRDefault="00951FAD" w:rsidP="00951FAD">
      <w:pPr>
        <w:pStyle w:val="Indent"/>
        <w:widowControl w:val="0"/>
        <w:numPr>
          <w:ilvl w:val="0"/>
          <w:numId w:val="0"/>
        </w:numPr>
        <w:spacing w:after="360" w:line="480" w:lineRule="auto"/>
        <w:ind w:left="720" w:hanging="720"/>
        <w:jc w:val="both"/>
        <w:rPr>
          <w:rFonts w:ascii="Verdana" w:hAnsi="Verdana" w:cs="Arial"/>
          <w:sz w:val="22"/>
          <w:szCs w:val="22"/>
          <w:lang w:val="en-GB"/>
        </w:rPr>
      </w:pPr>
      <w:r w:rsidRPr="00B92F1D">
        <w:rPr>
          <w:rFonts w:ascii="Verdana" w:hAnsi="Verdana" w:cs="Arial"/>
          <w:sz w:val="22"/>
          <w:szCs w:val="22"/>
          <w:lang w:val="en-GB"/>
        </w:rPr>
        <w:t>[2]</w:t>
      </w:r>
      <w:r w:rsidRPr="00B92F1D">
        <w:rPr>
          <w:rFonts w:ascii="Verdana" w:hAnsi="Verdana" w:cs="Arial"/>
          <w:sz w:val="22"/>
          <w:szCs w:val="22"/>
          <w:lang w:val="en-GB"/>
        </w:rPr>
        <w:tab/>
      </w:r>
      <w:r w:rsidR="008306BA" w:rsidRPr="00B92F1D">
        <w:rPr>
          <w:rFonts w:ascii="Verdana" w:hAnsi="Verdana" w:cs="Arial"/>
          <w:sz w:val="22"/>
          <w:szCs w:val="22"/>
          <w:lang w:val="en-GB"/>
        </w:rPr>
        <w:t>Firstly</w:t>
      </w:r>
      <w:r w:rsidR="004216A7">
        <w:rPr>
          <w:rFonts w:ascii="Verdana" w:hAnsi="Verdana" w:cs="Arial"/>
          <w:sz w:val="22"/>
          <w:szCs w:val="22"/>
          <w:lang w:val="en-GB"/>
        </w:rPr>
        <w:t>,</w:t>
      </w:r>
      <w:r w:rsidR="008306BA" w:rsidRPr="00B92F1D">
        <w:rPr>
          <w:rFonts w:ascii="Verdana" w:hAnsi="Verdana" w:cs="Arial"/>
          <w:sz w:val="22"/>
          <w:szCs w:val="22"/>
          <w:lang w:val="en-GB"/>
        </w:rPr>
        <w:t xml:space="preserve"> the applicant seeks an order declaring the deed of sale dated 2 November 1988 as valid and the deed of sale concluded by the deceased, the first respondent and </w:t>
      </w:r>
      <w:proofErr w:type="spellStart"/>
      <w:r w:rsidR="00F733F3" w:rsidRPr="00B92F1D">
        <w:rPr>
          <w:rFonts w:ascii="Verdana" w:hAnsi="Verdana" w:cs="Arial"/>
          <w:sz w:val="22"/>
          <w:szCs w:val="22"/>
          <w:lang w:val="en-GB"/>
        </w:rPr>
        <w:t>Mandhla</w:t>
      </w:r>
      <w:proofErr w:type="spellEnd"/>
      <w:r w:rsidR="00F733F3" w:rsidRPr="00B92F1D">
        <w:rPr>
          <w:rFonts w:ascii="Verdana" w:hAnsi="Verdana" w:cs="Arial"/>
          <w:sz w:val="22"/>
          <w:szCs w:val="22"/>
          <w:lang w:val="en-GB"/>
        </w:rPr>
        <w:t xml:space="preserve"> </w:t>
      </w:r>
      <w:r w:rsidR="008306BA" w:rsidRPr="00B92F1D">
        <w:rPr>
          <w:rFonts w:ascii="Verdana" w:hAnsi="Verdana" w:cs="Arial"/>
          <w:sz w:val="22"/>
          <w:szCs w:val="22"/>
          <w:lang w:val="en-GB"/>
        </w:rPr>
        <w:t xml:space="preserve">Patrick </w:t>
      </w:r>
      <w:proofErr w:type="spellStart"/>
      <w:r w:rsidR="00C622E0">
        <w:rPr>
          <w:rFonts w:ascii="Verdana" w:hAnsi="Verdana" w:cs="Arial"/>
          <w:sz w:val="22"/>
          <w:szCs w:val="22"/>
          <w:lang w:val="en-GB"/>
        </w:rPr>
        <w:t>Mota</w:t>
      </w:r>
      <w:proofErr w:type="spellEnd"/>
      <w:r w:rsidR="008306BA" w:rsidRPr="00B92F1D">
        <w:rPr>
          <w:rFonts w:ascii="Verdana" w:hAnsi="Verdana" w:cs="Arial"/>
          <w:sz w:val="22"/>
          <w:szCs w:val="22"/>
          <w:lang w:val="en-GB"/>
        </w:rPr>
        <w:t xml:space="preserve"> (the previous owner of the property)</w:t>
      </w:r>
      <w:r w:rsidR="00F733F3" w:rsidRPr="00B92F1D">
        <w:rPr>
          <w:rFonts w:ascii="Verdana" w:hAnsi="Verdana" w:cs="Arial"/>
          <w:sz w:val="22"/>
          <w:szCs w:val="22"/>
          <w:lang w:val="en-GB"/>
        </w:rPr>
        <w:t xml:space="preserve"> (</w:t>
      </w:r>
      <w:r w:rsidR="00F733F3" w:rsidRPr="00B92F1D">
        <w:rPr>
          <w:rFonts w:ascii="Verdana" w:hAnsi="Verdana" w:cs="Arial"/>
          <w:i/>
          <w:iCs/>
          <w:sz w:val="22"/>
          <w:szCs w:val="22"/>
          <w:lang w:val="en-GB"/>
        </w:rPr>
        <w:t>“</w:t>
      </w:r>
      <w:proofErr w:type="spellStart"/>
      <w:r w:rsidR="00C622E0">
        <w:rPr>
          <w:rFonts w:ascii="Verdana" w:hAnsi="Verdana" w:cs="Arial"/>
          <w:i/>
          <w:iCs/>
          <w:sz w:val="22"/>
          <w:szCs w:val="22"/>
          <w:lang w:val="en-GB"/>
        </w:rPr>
        <w:t>Mota</w:t>
      </w:r>
      <w:proofErr w:type="spellEnd"/>
      <w:r w:rsidR="00F733F3" w:rsidRPr="00B92F1D">
        <w:rPr>
          <w:rFonts w:ascii="Verdana" w:hAnsi="Verdana" w:cs="Arial"/>
          <w:i/>
          <w:iCs/>
          <w:sz w:val="22"/>
          <w:szCs w:val="22"/>
          <w:lang w:val="en-GB"/>
        </w:rPr>
        <w:t>”</w:t>
      </w:r>
      <w:r w:rsidR="00F733F3" w:rsidRPr="00B92F1D">
        <w:rPr>
          <w:rFonts w:ascii="Verdana" w:hAnsi="Verdana" w:cs="Arial"/>
          <w:sz w:val="22"/>
          <w:szCs w:val="22"/>
          <w:lang w:val="en-GB"/>
        </w:rPr>
        <w:t>)</w:t>
      </w:r>
      <w:r w:rsidR="008306BA" w:rsidRPr="00B92F1D">
        <w:rPr>
          <w:rFonts w:ascii="Verdana" w:hAnsi="Verdana" w:cs="Arial"/>
          <w:sz w:val="22"/>
          <w:szCs w:val="22"/>
          <w:lang w:val="en-GB"/>
        </w:rPr>
        <w:t xml:space="preserve"> invalid.  Then the applicant seeks an order removing the first respondent</w:t>
      </w:r>
      <w:r w:rsidR="00F733F3" w:rsidRPr="00B92F1D">
        <w:rPr>
          <w:rFonts w:ascii="Verdana" w:hAnsi="Verdana" w:cs="Arial"/>
          <w:sz w:val="22"/>
          <w:szCs w:val="22"/>
          <w:lang w:val="en-GB"/>
        </w:rPr>
        <w:t>, w</w:t>
      </w:r>
      <w:r w:rsidR="008057AD" w:rsidRPr="00B92F1D">
        <w:rPr>
          <w:rFonts w:ascii="Verdana" w:hAnsi="Verdana" w:cs="Arial"/>
          <w:sz w:val="22"/>
          <w:szCs w:val="22"/>
          <w:lang w:val="en-GB"/>
        </w:rPr>
        <w:t xml:space="preserve">ho alleges to be the </w:t>
      </w:r>
      <w:r w:rsidR="00F733F3" w:rsidRPr="00B92F1D">
        <w:rPr>
          <w:rFonts w:ascii="Verdana" w:hAnsi="Verdana" w:cs="Arial"/>
          <w:sz w:val="22"/>
          <w:szCs w:val="22"/>
          <w:lang w:val="en-GB"/>
        </w:rPr>
        <w:t xml:space="preserve">customary wife of the deceased and </w:t>
      </w:r>
      <w:r w:rsidR="008057AD" w:rsidRPr="00B92F1D">
        <w:rPr>
          <w:rFonts w:ascii="Verdana" w:hAnsi="Verdana" w:cs="Arial"/>
          <w:sz w:val="22"/>
          <w:szCs w:val="22"/>
          <w:lang w:val="en-GB"/>
        </w:rPr>
        <w:t xml:space="preserve">who </w:t>
      </w:r>
      <w:r w:rsidR="00F733F3" w:rsidRPr="00B92F1D">
        <w:rPr>
          <w:rFonts w:ascii="Verdana" w:hAnsi="Verdana" w:cs="Arial"/>
          <w:sz w:val="22"/>
          <w:szCs w:val="22"/>
          <w:lang w:val="en-GB"/>
        </w:rPr>
        <w:t>resides at the property</w:t>
      </w:r>
      <w:r w:rsidR="008057AD" w:rsidRPr="00B92F1D">
        <w:rPr>
          <w:rFonts w:ascii="Verdana" w:hAnsi="Verdana" w:cs="Arial"/>
          <w:sz w:val="22"/>
          <w:szCs w:val="22"/>
          <w:lang w:val="en-GB"/>
        </w:rPr>
        <w:t>,</w:t>
      </w:r>
      <w:r w:rsidR="008306BA" w:rsidRPr="00B92F1D">
        <w:rPr>
          <w:rFonts w:ascii="Verdana" w:hAnsi="Verdana" w:cs="Arial"/>
          <w:sz w:val="22"/>
          <w:szCs w:val="22"/>
          <w:lang w:val="en-GB"/>
        </w:rPr>
        <w:t xml:space="preserve"> as co</w:t>
      </w:r>
      <w:r w:rsidR="008306BA" w:rsidRPr="00B92F1D">
        <w:rPr>
          <w:rFonts w:ascii="Verdana" w:hAnsi="Verdana" w:cs="Arial"/>
          <w:sz w:val="22"/>
          <w:szCs w:val="22"/>
          <w:lang w:val="en-GB"/>
        </w:rPr>
        <w:noBreakHyphen/>
        <w:t xml:space="preserve">owner of the property.  </w:t>
      </w:r>
    </w:p>
    <w:p w14:paraId="73B9D3C4" w14:textId="007FFE89" w:rsidR="008306BA" w:rsidRPr="00B92F1D" w:rsidRDefault="00951FAD" w:rsidP="00951FAD">
      <w:pPr>
        <w:pStyle w:val="Indent"/>
        <w:widowControl w:val="0"/>
        <w:numPr>
          <w:ilvl w:val="0"/>
          <w:numId w:val="0"/>
        </w:numPr>
        <w:spacing w:after="360" w:line="480" w:lineRule="auto"/>
        <w:ind w:left="720" w:hanging="720"/>
        <w:jc w:val="both"/>
        <w:rPr>
          <w:rFonts w:ascii="Verdana" w:hAnsi="Verdana" w:cs="Arial"/>
          <w:sz w:val="22"/>
          <w:szCs w:val="22"/>
          <w:lang w:val="en-GB"/>
        </w:rPr>
      </w:pPr>
      <w:r w:rsidRPr="00B92F1D">
        <w:rPr>
          <w:rFonts w:ascii="Verdana" w:hAnsi="Verdana" w:cs="Arial"/>
          <w:sz w:val="22"/>
          <w:szCs w:val="22"/>
          <w:lang w:val="en-GB"/>
        </w:rPr>
        <w:t>[3]</w:t>
      </w:r>
      <w:r w:rsidRPr="00B92F1D">
        <w:rPr>
          <w:rFonts w:ascii="Verdana" w:hAnsi="Verdana" w:cs="Arial"/>
          <w:sz w:val="22"/>
          <w:szCs w:val="22"/>
          <w:lang w:val="en-GB"/>
        </w:rPr>
        <w:tab/>
      </w:r>
      <w:r w:rsidR="008306BA" w:rsidRPr="00B92F1D">
        <w:rPr>
          <w:rFonts w:ascii="Verdana" w:hAnsi="Verdana" w:cs="Arial"/>
          <w:sz w:val="22"/>
          <w:szCs w:val="22"/>
          <w:lang w:val="en-GB"/>
        </w:rPr>
        <w:t xml:space="preserve">Both the applicant and the first respondent lay claim to the property.  </w:t>
      </w:r>
    </w:p>
    <w:p w14:paraId="3CBFE4FF" w14:textId="2F26E9B8" w:rsidR="008306BA" w:rsidRPr="00B92F1D" w:rsidRDefault="008306BA" w:rsidP="008306BA">
      <w:pPr>
        <w:pStyle w:val="Indent"/>
        <w:keepNext/>
        <w:widowControl w:val="0"/>
        <w:numPr>
          <w:ilvl w:val="0"/>
          <w:numId w:val="0"/>
        </w:numPr>
        <w:spacing w:after="360" w:line="480" w:lineRule="auto"/>
        <w:jc w:val="both"/>
        <w:rPr>
          <w:rFonts w:ascii="Verdana" w:hAnsi="Verdana" w:cs="Arial"/>
          <w:b/>
          <w:sz w:val="22"/>
          <w:szCs w:val="22"/>
          <w:lang w:val="en-GB"/>
        </w:rPr>
      </w:pPr>
      <w:r w:rsidRPr="00B92F1D">
        <w:rPr>
          <w:rFonts w:ascii="Verdana" w:hAnsi="Verdana" w:cs="Arial"/>
          <w:b/>
          <w:sz w:val="22"/>
          <w:szCs w:val="22"/>
          <w:lang w:val="en-GB"/>
        </w:rPr>
        <w:t>THE APPLICANT’S CASE</w:t>
      </w:r>
    </w:p>
    <w:p w14:paraId="626BA590" w14:textId="1EB77E96" w:rsidR="00AC2292" w:rsidRPr="00B92F1D" w:rsidRDefault="00951FAD" w:rsidP="00951FAD">
      <w:pPr>
        <w:pStyle w:val="Indent"/>
        <w:widowControl w:val="0"/>
        <w:numPr>
          <w:ilvl w:val="0"/>
          <w:numId w:val="0"/>
        </w:numPr>
        <w:spacing w:after="360" w:line="480" w:lineRule="auto"/>
        <w:ind w:left="720" w:hanging="720"/>
        <w:jc w:val="both"/>
        <w:rPr>
          <w:rFonts w:ascii="Verdana" w:hAnsi="Verdana" w:cs="Arial"/>
          <w:sz w:val="22"/>
          <w:szCs w:val="22"/>
          <w:lang w:val="en-GB"/>
        </w:rPr>
      </w:pPr>
      <w:r w:rsidRPr="00B92F1D">
        <w:rPr>
          <w:rFonts w:ascii="Verdana" w:hAnsi="Verdana" w:cs="Arial"/>
          <w:sz w:val="22"/>
          <w:szCs w:val="22"/>
          <w:lang w:val="en-GB"/>
        </w:rPr>
        <w:t>[4]</w:t>
      </w:r>
      <w:r w:rsidRPr="00B92F1D">
        <w:rPr>
          <w:rFonts w:ascii="Verdana" w:hAnsi="Verdana" w:cs="Arial"/>
          <w:sz w:val="22"/>
          <w:szCs w:val="22"/>
          <w:lang w:val="en-GB"/>
        </w:rPr>
        <w:tab/>
      </w:r>
      <w:r w:rsidR="008306BA" w:rsidRPr="00B92F1D">
        <w:rPr>
          <w:rFonts w:ascii="Verdana" w:hAnsi="Verdana" w:cs="Arial"/>
          <w:sz w:val="22"/>
          <w:szCs w:val="22"/>
          <w:lang w:val="en-GB"/>
        </w:rPr>
        <w:t>To her founding papers, the applicant attache</w:t>
      </w:r>
      <w:r w:rsidR="00AC2292" w:rsidRPr="00B92F1D">
        <w:rPr>
          <w:rFonts w:ascii="Verdana" w:hAnsi="Verdana" w:cs="Arial"/>
          <w:sz w:val="22"/>
          <w:szCs w:val="22"/>
          <w:lang w:val="en-GB"/>
        </w:rPr>
        <w:t>d copies of</w:t>
      </w:r>
      <w:r w:rsidR="008306BA" w:rsidRPr="00B92F1D">
        <w:rPr>
          <w:rFonts w:ascii="Verdana" w:hAnsi="Verdana" w:cs="Arial"/>
          <w:sz w:val="22"/>
          <w:szCs w:val="22"/>
          <w:lang w:val="en-GB"/>
        </w:rPr>
        <w:t xml:space="preserve"> letters of </w:t>
      </w:r>
      <w:r w:rsidR="008306BA" w:rsidRPr="00B92F1D">
        <w:rPr>
          <w:rFonts w:ascii="Verdana" w:hAnsi="Verdana" w:cs="Arial"/>
          <w:sz w:val="22"/>
          <w:szCs w:val="22"/>
          <w:lang w:val="en-GB"/>
        </w:rPr>
        <w:lastRenderedPageBreak/>
        <w:t xml:space="preserve">authority issued by the </w:t>
      </w:r>
      <w:r w:rsidR="00CB65C3" w:rsidRPr="00B92F1D">
        <w:rPr>
          <w:rFonts w:ascii="Verdana" w:hAnsi="Verdana" w:cs="Arial"/>
          <w:sz w:val="22"/>
          <w:szCs w:val="22"/>
          <w:lang w:val="en-GB"/>
        </w:rPr>
        <w:t>second respondent (the Master)</w:t>
      </w:r>
      <w:r w:rsidR="008306BA" w:rsidRPr="00B92F1D">
        <w:rPr>
          <w:rFonts w:ascii="Verdana" w:hAnsi="Verdana" w:cs="Arial"/>
          <w:sz w:val="22"/>
          <w:szCs w:val="22"/>
          <w:lang w:val="en-GB"/>
        </w:rPr>
        <w:t xml:space="preserve"> in support of her appointment as executrix of the estate of the deceased.  </w:t>
      </w:r>
      <w:r w:rsidR="00CB65C3" w:rsidRPr="00B92F1D">
        <w:rPr>
          <w:rFonts w:ascii="Verdana" w:hAnsi="Verdana" w:cs="Arial"/>
          <w:sz w:val="22"/>
          <w:szCs w:val="22"/>
          <w:lang w:val="en-GB"/>
        </w:rPr>
        <w:t xml:space="preserve">The applicant’s </w:t>
      </w:r>
      <w:r w:rsidR="00CB65C3" w:rsidRPr="00B92F1D">
        <w:rPr>
          <w:rFonts w:ascii="Verdana" w:hAnsi="Verdana" w:cs="Arial"/>
          <w:i/>
          <w:iCs/>
          <w:sz w:val="22"/>
          <w:szCs w:val="22"/>
          <w:lang w:val="en-GB"/>
        </w:rPr>
        <w:t xml:space="preserve">locus </w:t>
      </w:r>
      <w:proofErr w:type="spellStart"/>
      <w:r w:rsidR="00CB65C3" w:rsidRPr="00B92F1D">
        <w:rPr>
          <w:rFonts w:ascii="Verdana" w:hAnsi="Verdana" w:cs="Arial"/>
          <w:i/>
          <w:iCs/>
          <w:sz w:val="22"/>
          <w:szCs w:val="22"/>
          <w:lang w:val="en-GB"/>
        </w:rPr>
        <w:t>standi</w:t>
      </w:r>
      <w:proofErr w:type="spellEnd"/>
      <w:r w:rsidR="00CB65C3" w:rsidRPr="00B92F1D">
        <w:rPr>
          <w:rFonts w:ascii="Verdana" w:hAnsi="Verdana" w:cs="Arial"/>
          <w:sz w:val="22"/>
          <w:szCs w:val="22"/>
          <w:lang w:val="en-GB"/>
        </w:rPr>
        <w:t xml:space="preserve"> as executrix is not disputed.</w:t>
      </w:r>
      <w:r w:rsidR="00301725" w:rsidRPr="00B92F1D">
        <w:rPr>
          <w:rFonts w:ascii="Verdana" w:hAnsi="Verdana" w:cs="Arial"/>
          <w:sz w:val="22"/>
          <w:szCs w:val="22"/>
          <w:lang w:val="en-GB"/>
        </w:rPr>
        <w:t xml:space="preserve"> The fact that the deceased died intestate is similarly not disputed.</w:t>
      </w:r>
    </w:p>
    <w:p w14:paraId="6F08CDDA" w14:textId="0E7AF937" w:rsidR="00B00726" w:rsidRPr="00B92F1D" w:rsidRDefault="00951FAD" w:rsidP="00951FAD">
      <w:pPr>
        <w:pStyle w:val="Indent"/>
        <w:widowControl w:val="0"/>
        <w:numPr>
          <w:ilvl w:val="0"/>
          <w:numId w:val="0"/>
        </w:numPr>
        <w:spacing w:after="360" w:line="480" w:lineRule="auto"/>
        <w:ind w:left="720" w:hanging="720"/>
        <w:jc w:val="both"/>
        <w:rPr>
          <w:rFonts w:ascii="Verdana" w:hAnsi="Verdana" w:cs="Arial"/>
          <w:sz w:val="22"/>
          <w:szCs w:val="22"/>
          <w:lang w:val="en-GB"/>
        </w:rPr>
      </w:pPr>
      <w:r w:rsidRPr="00B92F1D">
        <w:rPr>
          <w:rFonts w:ascii="Verdana" w:hAnsi="Verdana" w:cs="Arial"/>
          <w:sz w:val="22"/>
          <w:szCs w:val="22"/>
          <w:lang w:val="en-GB"/>
        </w:rPr>
        <w:t>[5]</w:t>
      </w:r>
      <w:r w:rsidRPr="00B92F1D">
        <w:rPr>
          <w:rFonts w:ascii="Verdana" w:hAnsi="Verdana" w:cs="Arial"/>
          <w:sz w:val="22"/>
          <w:szCs w:val="22"/>
          <w:lang w:val="en-GB"/>
        </w:rPr>
        <w:tab/>
      </w:r>
      <w:r w:rsidR="00836DD5" w:rsidRPr="00B92F1D">
        <w:rPr>
          <w:rFonts w:ascii="Verdana" w:hAnsi="Verdana" w:cs="Arial"/>
          <w:sz w:val="22"/>
          <w:szCs w:val="22"/>
          <w:lang w:val="en-GB"/>
        </w:rPr>
        <w:t xml:space="preserve">The applicant in support </w:t>
      </w:r>
      <w:r w:rsidR="00B36192" w:rsidRPr="00B92F1D">
        <w:rPr>
          <w:rFonts w:ascii="Verdana" w:hAnsi="Verdana" w:cs="Arial"/>
          <w:sz w:val="22"/>
          <w:szCs w:val="22"/>
          <w:lang w:val="en-GB"/>
        </w:rPr>
        <w:t xml:space="preserve">of the allegation that she is the surviving spouse of the </w:t>
      </w:r>
      <w:proofErr w:type="gramStart"/>
      <w:r w:rsidR="00B36192" w:rsidRPr="00B92F1D">
        <w:rPr>
          <w:rFonts w:ascii="Verdana" w:hAnsi="Verdana" w:cs="Arial"/>
          <w:sz w:val="22"/>
          <w:szCs w:val="22"/>
          <w:lang w:val="en-GB"/>
        </w:rPr>
        <w:t>deceased,</w:t>
      </w:r>
      <w:proofErr w:type="gramEnd"/>
      <w:r w:rsidR="00B36192" w:rsidRPr="00B92F1D">
        <w:rPr>
          <w:rFonts w:ascii="Verdana" w:hAnsi="Verdana" w:cs="Arial"/>
          <w:sz w:val="22"/>
          <w:szCs w:val="22"/>
          <w:lang w:val="en-GB"/>
        </w:rPr>
        <w:t xml:space="preserve"> </w:t>
      </w:r>
      <w:r w:rsidR="00836DD5" w:rsidRPr="00B92F1D">
        <w:rPr>
          <w:rFonts w:ascii="Verdana" w:hAnsi="Verdana" w:cs="Arial"/>
          <w:sz w:val="22"/>
          <w:szCs w:val="22"/>
          <w:lang w:val="en-GB"/>
        </w:rPr>
        <w:t>attached a copy of an abridged marriage certificate to the founding papers</w:t>
      </w:r>
      <w:r w:rsidR="008306BA" w:rsidRPr="00B92F1D">
        <w:rPr>
          <w:rFonts w:ascii="Verdana" w:hAnsi="Verdana" w:cs="Arial"/>
          <w:sz w:val="22"/>
          <w:szCs w:val="22"/>
          <w:lang w:val="en-GB"/>
        </w:rPr>
        <w:t>.</w:t>
      </w:r>
      <w:r w:rsidR="00836DD5" w:rsidRPr="00B92F1D">
        <w:rPr>
          <w:rStyle w:val="FootnoteReference"/>
          <w:rFonts w:ascii="Verdana" w:hAnsi="Verdana" w:cs="Arial"/>
          <w:sz w:val="22"/>
          <w:szCs w:val="22"/>
          <w:lang w:val="en-GB"/>
        </w:rPr>
        <w:footnoteReference w:id="2"/>
      </w:r>
      <w:r w:rsidR="008306BA" w:rsidRPr="00B92F1D">
        <w:rPr>
          <w:rFonts w:ascii="Verdana" w:hAnsi="Verdana" w:cs="Arial"/>
          <w:sz w:val="22"/>
          <w:szCs w:val="22"/>
          <w:lang w:val="en-GB"/>
        </w:rPr>
        <w:t xml:space="preserve">  </w:t>
      </w:r>
      <w:r w:rsidR="00836DD5" w:rsidRPr="00B92F1D">
        <w:rPr>
          <w:rFonts w:ascii="Verdana" w:hAnsi="Verdana" w:cs="Arial"/>
          <w:sz w:val="22"/>
          <w:szCs w:val="22"/>
          <w:lang w:val="en-GB"/>
        </w:rPr>
        <w:t>The marriage certificate bears a date stamp of the 15</w:t>
      </w:r>
      <w:r w:rsidR="00836DD5" w:rsidRPr="00B92F1D">
        <w:rPr>
          <w:rFonts w:ascii="Verdana" w:hAnsi="Verdana" w:cs="Arial"/>
          <w:sz w:val="22"/>
          <w:szCs w:val="22"/>
          <w:vertAlign w:val="superscript"/>
          <w:lang w:val="en-GB"/>
        </w:rPr>
        <w:t>th</w:t>
      </w:r>
      <w:r w:rsidR="00836DD5" w:rsidRPr="00B92F1D">
        <w:rPr>
          <w:rFonts w:ascii="Verdana" w:hAnsi="Verdana" w:cs="Arial"/>
          <w:sz w:val="22"/>
          <w:szCs w:val="22"/>
          <w:lang w:val="en-GB"/>
        </w:rPr>
        <w:t xml:space="preserve"> of February 1991 and a handwritten note which states </w:t>
      </w:r>
      <w:r w:rsidR="00836DD5" w:rsidRPr="00B92F1D">
        <w:rPr>
          <w:rFonts w:ascii="Verdana" w:hAnsi="Verdana" w:cs="Arial"/>
          <w:i/>
          <w:sz w:val="22"/>
          <w:szCs w:val="22"/>
          <w:lang w:val="en-GB"/>
        </w:rPr>
        <w:t>“community of property excluded”</w:t>
      </w:r>
      <w:r w:rsidR="00836DD5" w:rsidRPr="00B92F1D">
        <w:rPr>
          <w:rFonts w:ascii="Verdana" w:hAnsi="Verdana" w:cs="Arial"/>
          <w:sz w:val="22"/>
          <w:szCs w:val="22"/>
          <w:lang w:val="en-GB"/>
        </w:rPr>
        <w:t>.  According to this document the applicant married the deceased on the 9</w:t>
      </w:r>
      <w:r w:rsidR="00836DD5" w:rsidRPr="00B92F1D">
        <w:rPr>
          <w:rFonts w:ascii="Verdana" w:hAnsi="Verdana" w:cs="Arial"/>
          <w:sz w:val="22"/>
          <w:szCs w:val="22"/>
          <w:vertAlign w:val="superscript"/>
          <w:lang w:val="en-GB"/>
        </w:rPr>
        <w:t>th</w:t>
      </w:r>
      <w:r w:rsidR="00836DD5" w:rsidRPr="00B92F1D">
        <w:rPr>
          <w:rFonts w:ascii="Verdana" w:hAnsi="Verdana" w:cs="Arial"/>
          <w:sz w:val="22"/>
          <w:szCs w:val="22"/>
          <w:lang w:val="en-GB"/>
        </w:rPr>
        <w:t xml:space="preserve"> of July 1974.  </w:t>
      </w:r>
      <w:r w:rsidR="00B00726" w:rsidRPr="00B92F1D">
        <w:rPr>
          <w:rFonts w:ascii="Verdana" w:hAnsi="Verdana" w:cs="Arial"/>
          <w:sz w:val="22"/>
          <w:szCs w:val="22"/>
          <w:lang w:val="en-GB"/>
        </w:rPr>
        <w:t xml:space="preserve">The applicant and the deceased married in accordance with the prevailing law at the time, </w:t>
      </w:r>
      <w:r w:rsidR="004216A7">
        <w:rPr>
          <w:rFonts w:ascii="Verdana" w:hAnsi="Verdana" w:cs="Arial"/>
          <w:sz w:val="22"/>
          <w:szCs w:val="22"/>
          <w:lang w:val="en-GB"/>
        </w:rPr>
        <w:t>which was</w:t>
      </w:r>
      <w:r w:rsidR="00B00726" w:rsidRPr="00B92F1D">
        <w:rPr>
          <w:rFonts w:ascii="Verdana" w:hAnsi="Verdana" w:cs="Arial"/>
          <w:sz w:val="22"/>
          <w:szCs w:val="22"/>
          <w:lang w:val="en-GB"/>
        </w:rPr>
        <w:t xml:space="preserve"> the Black Administration Act, </w:t>
      </w:r>
      <w:r w:rsidR="003C5724" w:rsidRPr="00B92F1D">
        <w:rPr>
          <w:rFonts w:ascii="Verdana" w:hAnsi="Verdana" w:cs="Arial"/>
          <w:sz w:val="22"/>
          <w:szCs w:val="22"/>
          <w:lang w:val="en-GB"/>
        </w:rPr>
        <w:t>38 of 1927 (</w:t>
      </w:r>
      <w:r w:rsidR="003C5724" w:rsidRPr="00B92F1D">
        <w:rPr>
          <w:rFonts w:ascii="Verdana" w:hAnsi="Verdana" w:cs="Arial"/>
          <w:i/>
          <w:iCs/>
          <w:sz w:val="22"/>
          <w:szCs w:val="22"/>
          <w:lang w:val="en-GB"/>
        </w:rPr>
        <w:t>“the BAA”</w:t>
      </w:r>
      <w:r w:rsidR="003C5724" w:rsidRPr="00B92F1D">
        <w:rPr>
          <w:rFonts w:ascii="Verdana" w:hAnsi="Verdana" w:cs="Arial"/>
          <w:sz w:val="22"/>
          <w:szCs w:val="22"/>
          <w:lang w:val="en-GB"/>
        </w:rPr>
        <w:t>).</w:t>
      </w:r>
      <w:r w:rsidR="00CF2C29" w:rsidRPr="00B92F1D">
        <w:rPr>
          <w:rFonts w:ascii="Verdana" w:hAnsi="Verdana" w:cs="Arial"/>
          <w:sz w:val="22"/>
          <w:szCs w:val="22"/>
          <w:lang w:val="en-GB"/>
        </w:rPr>
        <w:t xml:space="preserve"> The applicant’s marital status vis-à-vis the deceased is not disputed eithe</w:t>
      </w:r>
      <w:r w:rsidR="00732544" w:rsidRPr="00B92F1D">
        <w:rPr>
          <w:rFonts w:ascii="Verdana" w:hAnsi="Verdana" w:cs="Arial"/>
          <w:sz w:val="22"/>
          <w:szCs w:val="22"/>
          <w:lang w:val="en-GB"/>
        </w:rPr>
        <w:t>r</w:t>
      </w:r>
      <w:r w:rsidR="00F04025" w:rsidRPr="00B92F1D">
        <w:rPr>
          <w:rStyle w:val="FootnoteReference"/>
          <w:rFonts w:ascii="Verdana" w:hAnsi="Verdana" w:cs="Arial"/>
          <w:sz w:val="22"/>
          <w:szCs w:val="22"/>
          <w:lang w:val="en-GB"/>
        </w:rPr>
        <w:footnoteReference w:id="3"/>
      </w:r>
      <w:r w:rsidR="00732544" w:rsidRPr="00B92F1D">
        <w:rPr>
          <w:rFonts w:ascii="Verdana" w:hAnsi="Verdana" w:cs="Arial"/>
          <w:sz w:val="22"/>
          <w:szCs w:val="22"/>
          <w:lang w:val="en-GB"/>
        </w:rPr>
        <w:t xml:space="preserve">, </w:t>
      </w:r>
      <w:r w:rsidR="00B82561" w:rsidRPr="00B92F1D">
        <w:rPr>
          <w:rFonts w:ascii="Verdana" w:hAnsi="Verdana" w:cs="Arial"/>
          <w:sz w:val="22"/>
          <w:szCs w:val="22"/>
          <w:lang w:val="en-GB"/>
        </w:rPr>
        <w:t>although the</w:t>
      </w:r>
      <w:r w:rsidR="00732544" w:rsidRPr="00B92F1D">
        <w:rPr>
          <w:rFonts w:ascii="Verdana" w:hAnsi="Verdana" w:cs="Arial"/>
          <w:sz w:val="22"/>
          <w:szCs w:val="22"/>
          <w:lang w:val="en-GB"/>
        </w:rPr>
        <w:t xml:space="preserve"> first respondent avers that the</w:t>
      </w:r>
      <w:r w:rsidR="00454651" w:rsidRPr="00B92F1D">
        <w:rPr>
          <w:rFonts w:ascii="Verdana" w:hAnsi="Verdana" w:cs="Arial"/>
          <w:sz w:val="22"/>
          <w:szCs w:val="22"/>
          <w:lang w:val="en-GB"/>
        </w:rPr>
        <w:t xml:space="preserve"> deceased and the applicant were estranged from one another at the time of his passing.</w:t>
      </w:r>
    </w:p>
    <w:p w14:paraId="04DF52E7" w14:textId="796ABA53" w:rsidR="008306BA" w:rsidRPr="00B92F1D" w:rsidRDefault="00951FAD" w:rsidP="00951FAD">
      <w:pPr>
        <w:pStyle w:val="Indent"/>
        <w:widowControl w:val="0"/>
        <w:numPr>
          <w:ilvl w:val="0"/>
          <w:numId w:val="0"/>
        </w:numPr>
        <w:spacing w:after="360" w:line="480" w:lineRule="auto"/>
        <w:ind w:left="720" w:hanging="720"/>
        <w:jc w:val="both"/>
        <w:rPr>
          <w:rFonts w:ascii="Verdana" w:hAnsi="Verdana" w:cs="Arial"/>
          <w:sz w:val="22"/>
          <w:szCs w:val="22"/>
          <w:lang w:val="en-GB"/>
        </w:rPr>
      </w:pPr>
      <w:r w:rsidRPr="00B92F1D">
        <w:rPr>
          <w:rFonts w:ascii="Verdana" w:hAnsi="Verdana" w:cs="Arial"/>
          <w:sz w:val="22"/>
          <w:szCs w:val="22"/>
          <w:lang w:val="en-GB"/>
        </w:rPr>
        <w:t>[6]</w:t>
      </w:r>
      <w:r w:rsidRPr="00B92F1D">
        <w:rPr>
          <w:rFonts w:ascii="Verdana" w:hAnsi="Verdana" w:cs="Arial"/>
          <w:sz w:val="22"/>
          <w:szCs w:val="22"/>
          <w:lang w:val="en-GB"/>
        </w:rPr>
        <w:tab/>
      </w:r>
      <w:r w:rsidR="00836DD5" w:rsidRPr="00B92F1D">
        <w:rPr>
          <w:rFonts w:ascii="Verdana" w:hAnsi="Verdana" w:cs="Arial"/>
          <w:sz w:val="22"/>
          <w:szCs w:val="22"/>
          <w:lang w:val="en-GB"/>
        </w:rPr>
        <w:t xml:space="preserve">Three adult children were born of the marriage relationship between the applicant and the deceased. </w:t>
      </w:r>
    </w:p>
    <w:p w14:paraId="69FAA3AB" w14:textId="665F847E" w:rsidR="008306BA" w:rsidRPr="00B92F1D" w:rsidRDefault="00951FAD" w:rsidP="00951FAD">
      <w:pPr>
        <w:pStyle w:val="Indent"/>
        <w:widowControl w:val="0"/>
        <w:numPr>
          <w:ilvl w:val="0"/>
          <w:numId w:val="0"/>
        </w:numPr>
        <w:spacing w:after="360" w:line="480" w:lineRule="auto"/>
        <w:ind w:left="720" w:hanging="720"/>
        <w:jc w:val="both"/>
        <w:rPr>
          <w:rFonts w:ascii="Verdana" w:hAnsi="Verdana" w:cs="Arial"/>
          <w:sz w:val="22"/>
          <w:szCs w:val="22"/>
          <w:lang w:val="en-GB"/>
        </w:rPr>
      </w:pPr>
      <w:r w:rsidRPr="00B92F1D">
        <w:rPr>
          <w:rFonts w:ascii="Verdana" w:hAnsi="Verdana" w:cs="Arial"/>
          <w:sz w:val="22"/>
          <w:szCs w:val="22"/>
          <w:lang w:val="en-GB"/>
        </w:rPr>
        <w:t>[7]</w:t>
      </w:r>
      <w:r w:rsidRPr="00B92F1D">
        <w:rPr>
          <w:rFonts w:ascii="Verdana" w:hAnsi="Verdana" w:cs="Arial"/>
          <w:sz w:val="22"/>
          <w:szCs w:val="22"/>
          <w:lang w:val="en-GB"/>
        </w:rPr>
        <w:tab/>
      </w:r>
      <w:r w:rsidR="008306BA" w:rsidRPr="00B92F1D">
        <w:rPr>
          <w:rFonts w:ascii="Verdana" w:hAnsi="Verdana" w:cs="Arial"/>
          <w:sz w:val="22"/>
          <w:szCs w:val="22"/>
          <w:lang w:val="en-GB"/>
        </w:rPr>
        <w:t xml:space="preserve">The applicant avers that she holds a 50 % share in the property in that she contributed financially to the acquisition of the property which was during a time when she was employed at Adcock Ingram (Pty) Ltd and retired in 2006.  </w:t>
      </w:r>
    </w:p>
    <w:p w14:paraId="75BAEA0D" w14:textId="525EE0C5" w:rsidR="002B0C04" w:rsidRDefault="00951FAD" w:rsidP="00951FAD">
      <w:pPr>
        <w:pStyle w:val="Indent"/>
        <w:widowControl w:val="0"/>
        <w:numPr>
          <w:ilvl w:val="0"/>
          <w:numId w:val="0"/>
        </w:numPr>
        <w:spacing w:after="360" w:line="480" w:lineRule="auto"/>
        <w:ind w:left="720" w:hanging="720"/>
        <w:jc w:val="both"/>
        <w:rPr>
          <w:rFonts w:ascii="Verdana" w:hAnsi="Verdana" w:cs="Arial"/>
          <w:sz w:val="22"/>
          <w:szCs w:val="22"/>
          <w:lang w:val="en-GB"/>
        </w:rPr>
      </w:pPr>
      <w:r>
        <w:rPr>
          <w:rFonts w:ascii="Verdana" w:hAnsi="Verdana" w:cs="Arial"/>
          <w:sz w:val="22"/>
          <w:szCs w:val="22"/>
          <w:lang w:val="en-GB"/>
        </w:rPr>
        <w:t>[8]</w:t>
      </w:r>
      <w:r>
        <w:rPr>
          <w:rFonts w:ascii="Verdana" w:hAnsi="Verdana" w:cs="Arial"/>
          <w:sz w:val="22"/>
          <w:szCs w:val="22"/>
          <w:lang w:val="en-GB"/>
        </w:rPr>
        <w:tab/>
      </w:r>
      <w:r w:rsidR="00836DD5" w:rsidRPr="00B92F1D">
        <w:rPr>
          <w:rFonts w:ascii="Verdana" w:hAnsi="Verdana" w:cs="Arial"/>
          <w:sz w:val="22"/>
          <w:szCs w:val="22"/>
          <w:lang w:val="en-GB"/>
        </w:rPr>
        <w:t xml:space="preserve">The applicant explains that during her marriage to the deceased they </w:t>
      </w:r>
      <w:r w:rsidR="00836DD5" w:rsidRPr="00B92F1D">
        <w:rPr>
          <w:rFonts w:ascii="Verdana" w:hAnsi="Verdana" w:cs="Arial"/>
          <w:sz w:val="22"/>
          <w:szCs w:val="22"/>
          <w:lang w:val="en-GB"/>
        </w:rPr>
        <w:lastRenderedPageBreak/>
        <w:t>firstly acquired an immovable proper</w:t>
      </w:r>
      <w:r w:rsidR="00D75E11">
        <w:rPr>
          <w:rFonts w:ascii="Verdana" w:hAnsi="Verdana" w:cs="Arial"/>
          <w:sz w:val="22"/>
          <w:szCs w:val="22"/>
          <w:lang w:val="en-GB"/>
        </w:rPr>
        <w:t>ty situated at […]</w:t>
      </w:r>
      <w:r w:rsidR="00836DD5" w:rsidRPr="00B92F1D">
        <w:rPr>
          <w:rFonts w:ascii="Verdana" w:hAnsi="Verdana" w:cs="Arial"/>
          <w:sz w:val="22"/>
          <w:szCs w:val="22"/>
          <w:lang w:val="en-GB"/>
        </w:rPr>
        <w:t xml:space="preserve">, </w:t>
      </w:r>
      <w:proofErr w:type="spellStart"/>
      <w:r w:rsidR="00836DD5" w:rsidRPr="00B92F1D">
        <w:rPr>
          <w:rFonts w:ascii="Verdana" w:hAnsi="Verdana" w:cs="Arial"/>
          <w:sz w:val="22"/>
          <w:szCs w:val="22"/>
          <w:lang w:val="en-GB"/>
        </w:rPr>
        <w:t>Diepkloof</w:t>
      </w:r>
      <w:proofErr w:type="spellEnd"/>
      <w:r w:rsidR="00836DD5" w:rsidRPr="00B92F1D">
        <w:rPr>
          <w:rFonts w:ascii="Verdana" w:hAnsi="Verdana" w:cs="Arial"/>
          <w:sz w:val="22"/>
          <w:szCs w:val="22"/>
          <w:lang w:val="en-GB"/>
        </w:rPr>
        <w:t xml:space="preserve">, Soweto </w:t>
      </w:r>
      <w:r w:rsidR="00A11B2A" w:rsidRPr="00B92F1D">
        <w:rPr>
          <w:rFonts w:ascii="Verdana" w:hAnsi="Verdana" w:cs="Arial"/>
          <w:sz w:val="22"/>
          <w:szCs w:val="22"/>
          <w:lang w:val="en-GB"/>
        </w:rPr>
        <w:t xml:space="preserve">and thereafter acquired the property in question </w:t>
      </w:r>
      <w:r w:rsidR="00836DD5" w:rsidRPr="00B92F1D">
        <w:rPr>
          <w:rFonts w:ascii="Verdana" w:hAnsi="Verdana" w:cs="Arial"/>
          <w:sz w:val="22"/>
          <w:szCs w:val="22"/>
          <w:lang w:val="en-GB"/>
        </w:rPr>
        <w:t xml:space="preserve">for the purpose of storing the minibus taxis used for their minibus taxi business. </w:t>
      </w:r>
    </w:p>
    <w:p w14:paraId="23F5BB2A" w14:textId="49E35D50" w:rsidR="002B0C04" w:rsidRPr="002B0C04" w:rsidRDefault="00951FAD" w:rsidP="00951FAD">
      <w:pPr>
        <w:pStyle w:val="Indent"/>
        <w:widowControl w:val="0"/>
        <w:numPr>
          <w:ilvl w:val="0"/>
          <w:numId w:val="0"/>
        </w:numPr>
        <w:spacing w:after="360" w:line="480" w:lineRule="auto"/>
        <w:ind w:left="720" w:hanging="720"/>
        <w:jc w:val="both"/>
        <w:rPr>
          <w:rFonts w:ascii="Verdana" w:hAnsi="Verdana" w:cs="Arial"/>
          <w:sz w:val="22"/>
          <w:szCs w:val="22"/>
          <w:lang w:val="en-GB"/>
        </w:rPr>
      </w:pPr>
      <w:r w:rsidRPr="002B0C04">
        <w:rPr>
          <w:rFonts w:ascii="Verdana" w:hAnsi="Verdana" w:cs="Arial"/>
          <w:sz w:val="22"/>
          <w:szCs w:val="22"/>
          <w:lang w:val="en-GB"/>
        </w:rPr>
        <w:t>[9]</w:t>
      </w:r>
      <w:r w:rsidRPr="002B0C04">
        <w:rPr>
          <w:rFonts w:ascii="Verdana" w:hAnsi="Verdana" w:cs="Arial"/>
          <w:sz w:val="22"/>
          <w:szCs w:val="22"/>
          <w:lang w:val="en-GB"/>
        </w:rPr>
        <w:tab/>
      </w:r>
      <w:r w:rsidR="00836DD5" w:rsidRPr="002B0C04">
        <w:rPr>
          <w:rFonts w:ascii="Verdana" w:hAnsi="Verdana" w:cs="Arial"/>
          <w:sz w:val="22"/>
          <w:szCs w:val="22"/>
          <w:lang w:val="en-GB"/>
        </w:rPr>
        <w:t>On the 2</w:t>
      </w:r>
      <w:r w:rsidR="00836DD5" w:rsidRPr="002B0C04">
        <w:rPr>
          <w:rFonts w:ascii="Verdana" w:hAnsi="Verdana" w:cs="Arial"/>
          <w:sz w:val="22"/>
          <w:szCs w:val="22"/>
          <w:vertAlign w:val="superscript"/>
          <w:lang w:val="en-GB"/>
        </w:rPr>
        <w:t>nd</w:t>
      </w:r>
      <w:r w:rsidR="00836DD5" w:rsidRPr="002B0C04">
        <w:rPr>
          <w:rFonts w:ascii="Verdana" w:hAnsi="Verdana" w:cs="Arial"/>
          <w:sz w:val="22"/>
          <w:szCs w:val="22"/>
          <w:lang w:val="en-GB"/>
        </w:rPr>
        <w:t xml:space="preserve"> of November 1988 the applicant and the deceased purchased the property</w:t>
      </w:r>
      <w:r w:rsidR="007A44DE" w:rsidRPr="002B0C04">
        <w:rPr>
          <w:rFonts w:ascii="Verdana" w:hAnsi="Verdana" w:cs="Arial"/>
          <w:sz w:val="22"/>
          <w:szCs w:val="22"/>
          <w:lang w:val="en-GB"/>
        </w:rPr>
        <w:t xml:space="preserve"> </w:t>
      </w:r>
      <w:r w:rsidR="00836DD5" w:rsidRPr="002B0C04">
        <w:rPr>
          <w:rFonts w:ascii="Verdana" w:hAnsi="Verdana" w:cs="Arial"/>
          <w:sz w:val="22"/>
          <w:szCs w:val="22"/>
          <w:lang w:val="en-GB"/>
        </w:rPr>
        <w:t xml:space="preserve">from </w:t>
      </w:r>
      <w:proofErr w:type="spellStart"/>
      <w:r w:rsidR="00C622E0">
        <w:rPr>
          <w:rFonts w:ascii="Verdana" w:hAnsi="Verdana" w:cs="Arial"/>
          <w:sz w:val="22"/>
          <w:szCs w:val="22"/>
          <w:lang w:val="en-GB"/>
        </w:rPr>
        <w:t>Mota</w:t>
      </w:r>
      <w:proofErr w:type="spellEnd"/>
      <w:r w:rsidR="00836DD5" w:rsidRPr="002B0C04">
        <w:rPr>
          <w:rFonts w:ascii="Verdana" w:hAnsi="Verdana" w:cs="Arial"/>
          <w:sz w:val="22"/>
          <w:szCs w:val="22"/>
          <w:lang w:val="en-GB"/>
        </w:rPr>
        <w:t>.  At paragraph 9.5</w:t>
      </w:r>
      <w:r w:rsidR="00EA5E38" w:rsidRPr="002B0C04">
        <w:rPr>
          <w:rFonts w:ascii="Verdana" w:hAnsi="Verdana" w:cs="Arial"/>
          <w:sz w:val="22"/>
          <w:szCs w:val="22"/>
          <w:lang w:val="en-GB"/>
        </w:rPr>
        <w:t xml:space="preserve"> </w:t>
      </w:r>
      <w:r w:rsidR="007A44DE" w:rsidRPr="002B0C04">
        <w:rPr>
          <w:rFonts w:ascii="Verdana" w:hAnsi="Verdana" w:cs="Arial"/>
          <w:sz w:val="22"/>
          <w:szCs w:val="22"/>
          <w:lang w:val="en-GB"/>
        </w:rPr>
        <w:t>of the founding papers</w:t>
      </w:r>
      <w:r w:rsidR="00836DD5" w:rsidRPr="002B0C04">
        <w:rPr>
          <w:rFonts w:ascii="Verdana" w:hAnsi="Verdana" w:cs="Arial"/>
          <w:sz w:val="22"/>
          <w:szCs w:val="22"/>
          <w:lang w:val="en-GB"/>
        </w:rPr>
        <w:t xml:space="preserve"> the applicant states that</w:t>
      </w:r>
      <w:r w:rsidR="007A44DE" w:rsidRPr="002B0C04">
        <w:rPr>
          <w:rFonts w:ascii="Verdana" w:hAnsi="Verdana" w:cs="Arial"/>
          <w:sz w:val="22"/>
          <w:szCs w:val="22"/>
          <w:lang w:val="en-GB"/>
        </w:rPr>
        <w:t xml:space="preserve"> </w:t>
      </w:r>
      <w:proofErr w:type="spellStart"/>
      <w:r w:rsidR="00C622E0">
        <w:rPr>
          <w:rFonts w:ascii="Verdana" w:hAnsi="Verdana" w:cs="Arial"/>
          <w:sz w:val="22"/>
          <w:szCs w:val="22"/>
          <w:lang w:val="en-GB"/>
        </w:rPr>
        <w:t>Mota</w:t>
      </w:r>
      <w:proofErr w:type="spellEnd"/>
      <w:r w:rsidR="00836DD5" w:rsidRPr="002B0C04">
        <w:rPr>
          <w:rFonts w:ascii="Verdana" w:hAnsi="Verdana" w:cs="Arial"/>
          <w:sz w:val="22"/>
          <w:szCs w:val="22"/>
          <w:lang w:val="en-GB"/>
        </w:rPr>
        <w:t xml:space="preserve"> is unable to attest to an affidavit confirming these facts.  She however attached a document </w:t>
      </w:r>
      <w:r w:rsidR="00C85786" w:rsidRPr="002B0C04">
        <w:rPr>
          <w:rFonts w:ascii="Verdana" w:hAnsi="Verdana" w:cs="Arial"/>
          <w:sz w:val="22"/>
          <w:szCs w:val="22"/>
          <w:lang w:val="en-GB"/>
        </w:rPr>
        <w:t xml:space="preserve">purporting to be </w:t>
      </w:r>
      <w:r w:rsidR="00836DD5" w:rsidRPr="002B0C04">
        <w:rPr>
          <w:rFonts w:ascii="Verdana" w:hAnsi="Verdana" w:cs="Arial"/>
          <w:sz w:val="22"/>
          <w:szCs w:val="22"/>
          <w:lang w:val="en-GB"/>
        </w:rPr>
        <w:t>a deed of sale.</w:t>
      </w:r>
      <w:r w:rsidR="00836DD5" w:rsidRPr="002B0C04">
        <w:rPr>
          <w:rStyle w:val="FootnoteReference"/>
          <w:rFonts w:ascii="Verdana" w:hAnsi="Verdana" w:cs="Arial"/>
          <w:sz w:val="22"/>
          <w:szCs w:val="22"/>
          <w:lang w:val="en-GB"/>
        </w:rPr>
        <w:footnoteReference w:id="4"/>
      </w:r>
      <w:r w:rsidR="00836DD5" w:rsidRPr="002B0C04">
        <w:rPr>
          <w:rFonts w:ascii="Verdana" w:hAnsi="Verdana" w:cs="Arial"/>
          <w:sz w:val="22"/>
          <w:szCs w:val="22"/>
          <w:lang w:val="en-GB"/>
        </w:rPr>
        <w:t xml:space="preserve"> </w:t>
      </w:r>
      <w:r w:rsidR="002B0C04" w:rsidRPr="002B0C04">
        <w:rPr>
          <w:rFonts w:ascii="Verdana" w:hAnsi="Verdana"/>
          <w:sz w:val="22"/>
          <w:szCs w:val="22"/>
        </w:rPr>
        <w:t>Annexure “TGN5” is a handwritten document dated 2 November 1988 and reads as follows</w:t>
      </w:r>
      <w:r w:rsidR="002B0C04" w:rsidRPr="002B0C04">
        <w:rPr>
          <w:sz w:val="18"/>
          <w:szCs w:val="18"/>
        </w:rPr>
        <w:t>: -</w:t>
      </w:r>
    </w:p>
    <w:p w14:paraId="251A0AE2" w14:textId="77777777" w:rsidR="002B0C04" w:rsidRPr="00C622E0" w:rsidRDefault="002B0C04" w:rsidP="00C622E0">
      <w:pPr>
        <w:pStyle w:val="FootnoteText"/>
        <w:spacing w:line="360" w:lineRule="auto"/>
        <w:ind w:left="1440" w:hanging="720"/>
        <w:jc w:val="both"/>
        <w:rPr>
          <w:i/>
          <w:sz w:val="22"/>
          <w:szCs w:val="22"/>
        </w:rPr>
      </w:pPr>
      <w:r w:rsidRPr="00C622E0">
        <w:rPr>
          <w:i/>
          <w:sz w:val="22"/>
          <w:szCs w:val="22"/>
        </w:rPr>
        <w:t>“The total amount of the house is thirty five thousand: R35</w:t>
      </w:r>
      <w:proofErr w:type="gramStart"/>
      <w:r w:rsidRPr="00C622E0">
        <w:rPr>
          <w:i/>
          <w:sz w:val="22"/>
          <w:szCs w:val="22"/>
        </w:rPr>
        <w:t>,000.00</w:t>
      </w:r>
      <w:proofErr w:type="gramEnd"/>
      <w:r w:rsidRPr="00C622E0">
        <w:rPr>
          <w:i/>
          <w:sz w:val="22"/>
          <w:szCs w:val="22"/>
        </w:rPr>
        <w:t>.</w:t>
      </w:r>
    </w:p>
    <w:p w14:paraId="180C1E5E" w14:textId="4F6D751B" w:rsidR="002B0C04" w:rsidRDefault="002B0C04" w:rsidP="00C622E0">
      <w:pPr>
        <w:pStyle w:val="FootnoteText"/>
        <w:spacing w:line="360" w:lineRule="auto"/>
        <w:ind w:left="720"/>
        <w:jc w:val="both"/>
        <w:rPr>
          <w:i/>
          <w:sz w:val="22"/>
          <w:szCs w:val="22"/>
        </w:rPr>
      </w:pPr>
      <w:r w:rsidRPr="00C622E0">
        <w:rPr>
          <w:i/>
          <w:sz w:val="22"/>
          <w:szCs w:val="22"/>
        </w:rPr>
        <w:t xml:space="preserve">Mr </w:t>
      </w:r>
      <w:proofErr w:type="spellStart"/>
      <w:r w:rsidRPr="00C622E0">
        <w:rPr>
          <w:i/>
          <w:sz w:val="22"/>
          <w:szCs w:val="22"/>
        </w:rPr>
        <w:t>Gedion</w:t>
      </w:r>
      <w:proofErr w:type="spellEnd"/>
      <w:r w:rsidRPr="00C622E0">
        <w:rPr>
          <w:i/>
          <w:sz w:val="22"/>
          <w:szCs w:val="22"/>
        </w:rPr>
        <w:t xml:space="preserve"> </w:t>
      </w:r>
      <w:proofErr w:type="spellStart"/>
      <w:r w:rsidRPr="00C622E0">
        <w:rPr>
          <w:i/>
          <w:sz w:val="22"/>
          <w:szCs w:val="22"/>
        </w:rPr>
        <w:t>Ndlovu</w:t>
      </w:r>
      <w:proofErr w:type="spellEnd"/>
      <w:r w:rsidRPr="00C622E0">
        <w:rPr>
          <w:i/>
          <w:sz w:val="22"/>
          <w:szCs w:val="22"/>
        </w:rPr>
        <w:t xml:space="preserve"> Paid the sum of eighteen thousand three hundred rand: R18</w:t>
      </w:r>
      <w:proofErr w:type="gramStart"/>
      <w:r w:rsidRPr="00C622E0">
        <w:rPr>
          <w:i/>
          <w:sz w:val="22"/>
          <w:szCs w:val="22"/>
        </w:rPr>
        <w:t>,300.00</w:t>
      </w:r>
      <w:proofErr w:type="gramEnd"/>
      <w:r w:rsidRPr="00C622E0">
        <w:rPr>
          <w:i/>
          <w:sz w:val="22"/>
          <w:szCs w:val="22"/>
        </w:rPr>
        <w:t xml:space="preserve"> to Mr Patrick </w:t>
      </w:r>
      <w:proofErr w:type="spellStart"/>
      <w:r w:rsidR="00C622E0">
        <w:rPr>
          <w:i/>
          <w:sz w:val="22"/>
          <w:szCs w:val="22"/>
        </w:rPr>
        <w:t>Mota</w:t>
      </w:r>
      <w:proofErr w:type="spellEnd"/>
      <w:r w:rsidR="00D75E11">
        <w:rPr>
          <w:i/>
          <w:sz w:val="22"/>
          <w:szCs w:val="22"/>
        </w:rPr>
        <w:t xml:space="preserve"> ID number […] as Depot of House number […]</w:t>
      </w:r>
      <w:r w:rsidRPr="00C622E0">
        <w:rPr>
          <w:i/>
          <w:sz w:val="22"/>
          <w:szCs w:val="22"/>
        </w:rPr>
        <w:t xml:space="preserve"> </w:t>
      </w:r>
      <w:proofErr w:type="spellStart"/>
      <w:r w:rsidRPr="00C622E0">
        <w:rPr>
          <w:i/>
          <w:sz w:val="22"/>
          <w:szCs w:val="22"/>
        </w:rPr>
        <w:t>Jabulani</w:t>
      </w:r>
      <w:proofErr w:type="spellEnd"/>
      <w:r w:rsidRPr="00C622E0">
        <w:rPr>
          <w:i/>
          <w:sz w:val="22"/>
          <w:szCs w:val="22"/>
        </w:rPr>
        <w:t xml:space="preserve"> on the 2-11-88.  The balance is sixteen thousand seven hundred: R16</w:t>
      </w:r>
      <w:proofErr w:type="gramStart"/>
      <w:r w:rsidRPr="00C622E0">
        <w:rPr>
          <w:i/>
          <w:sz w:val="22"/>
          <w:szCs w:val="22"/>
        </w:rPr>
        <w:t>,700.00</w:t>
      </w:r>
      <w:proofErr w:type="gramEnd"/>
      <w:r w:rsidRPr="00C622E0">
        <w:rPr>
          <w:i/>
          <w:sz w:val="22"/>
          <w:szCs w:val="22"/>
        </w:rPr>
        <w:t xml:space="preserve">.  </w:t>
      </w:r>
      <w:proofErr w:type="gramStart"/>
      <w:r w:rsidRPr="00C622E0">
        <w:rPr>
          <w:i/>
          <w:sz w:val="22"/>
          <w:szCs w:val="22"/>
        </w:rPr>
        <w:t>1 Patrick </w:t>
      </w:r>
      <w:proofErr w:type="spellStart"/>
      <w:r w:rsidR="00C622E0">
        <w:rPr>
          <w:i/>
          <w:sz w:val="22"/>
          <w:szCs w:val="22"/>
        </w:rPr>
        <w:t>Mota</w:t>
      </w:r>
      <w:proofErr w:type="spellEnd"/>
      <w:r w:rsidRPr="00C622E0">
        <w:rPr>
          <w:i/>
          <w:sz w:val="22"/>
          <w:szCs w:val="22"/>
        </w:rPr>
        <w:t>; 2 </w:t>
      </w:r>
      <w:proofErr w:type="spellStart"/>
      <w:r w:rsidRPr="00C622E0">
        <w:rPr>
          <w:i/>
          <w:sz w:val="22"/>
          <w:szCs w:val="22"/>
        </w:rPr>
        <w:t>Gedion</w:t>
      </w:r>
      <w:proofErr w:type="spellEnd"/>
      <w:r w:rsidRPr="00C622E0">
        <w:rPr>
          <w:i/>
          <w:sz w:val="22"/>
          <w:szCs w:val="22"/>
        </w:rPr>
        <w:t xml:space="preserve"> </w:t>
      </w:r>
      <w:proofErr w:type="spellStart"/>
      <w:r w:rsidRPr="00C622E0">
        <w:rPr>
          <w:i/>
          <w:sz w:val="22"/>
          <w:szCs w:val="22"/>
        </w:rPr>
        <w:t>Ndlovu</w:t>
      </w:r>
      <w:proofErr w:type="spellEnd"/>
      <w:r w:rsidRPr="00C622E0">
        <w:rPr>
          <w:i/>
          <w:sz w:val="22"/>
          <w:szCs w:val="22"/>
        </w:rPr>
        <w:t>.”</w:t>
      </w:r>
      <w:proofErr w:type="gramEnd"/>
    </w:p>
    <w:p w14:paraId="032D0389" w14:textId="77777777" w:rsidR="00C622E0" w:rsidRPr="00C622E0" w:rsidRDefault="00C622E0" w:rsidP="00C622E0">
      <w:pPr>
        <w:pStyle w:val="FootnoteText"/>
        <w:ind w:left="720"/>
        <w:jc w:val="both"/>
        <w:rPr>
          <w:i/>
          <w:sz w:val="22"/>
          <w:szCs w:val="22"/>
        </w:rPr>
      </w:pPr>
    </w:p>
    <w:p w14:paraId="6DE21156" w14:textId="3CDB734E" w:rsidR="00836DD5" w:rsidRPr="00B92F1D" w:rsidRDefault="00951FAD" w:rsidP="00951FAD">
      <w:pPr>
        <w:pStyle w:val="Indent"/>
        <w:widowControl w:val="0"/>
        <w:numPr>
          <w:ilvl w:val="0"/>
          <w:numId w:val="0"/>
        </w:numPr>
        <w:spacing w:after="360" w:line="480" w:lineRule="auto"/>
        <w:ind w:left="720" w:hanging="720"/>
        <w:jc w:val="both"/>
        <w:rPr>
          <w:rFonts w:ascii="Verdana" w:hAnsi="Verdana" w:cs="Arial"/>
          <w:sz w:val="22"/>
          <w:szCs w:val="22"/>
          <w:lang w:val="en-GB"/>
        </w:rPr>
      </w:pPr>
      <w:r w:rsidRPr="00B92F1D">
        <w:rPr>
          <w:rFonts w:ascii="Verdana" w:hAnsi="Verdana" w:cs="Arial"/>
          <w:sz w:val="22"/>
          <w:szCs w:val="22"/>
          <w:lang w:val="en-GB"/>
        </w:rPr>
        <w:t>[10]</w:t>
      </w:r>
      <w:r w:rsidRPr="00B92F1D">
        <w:rPr>
          <w:rFonts w:ascii="Verdana" w:hAnsi="Verdana" w:cs="Arial"/>
          <w:sz w:val="22"/>
          <w:szCs w:val="22"/>
          <w:lang w:val="en-GB"/>
        </w:rPr>
        <w:tab/>
      </w:r>
      <w:r w:rsidR="00690254" w:rsidRPr="00B92F1D">
        <w:rPr>
          <w:rFonts w:ascii="Verdana" w:hAnsi="Verdana" w:cs="Arial"/>
          <w:sz w:val="22"/>
          <w:szCs w:val="22"/>
          <w:lang w:val="en-GB"/>
        </w:rPr>
        <w:t xml:space="preserve">The documents </w:t>
      </w:r>
      <w:r w:rsidR="00C622E0">
        <w:rPr>
          <w:rFonts w:ascii="Verdana" w:hAnsi="Verdana" w:cs="Arial"/>
          <w:sz w:val="22"/>
          <w:szCs w:val="22"/>
          <w:lang w:val="en-GB"/>
        </w:rPr>
        <w:t xml:space="preserve">therefore </w:t>
      </w:r>
      <w:r w:rsidR="00997DD4" w:rsidRPr="00B92F1D">
        <w:rPr>
          <w:rFonts w:ascii="Verdana" w:hAnsi="Verdana" w:cs="Arial"/>
          <w:sz w:val="22"/>
          <w:szCs w:val="22"/>
          <w:lang w:val="en-GB"/>
        </w:rPr>
        <w:t>bears the date of the 2</w:t>
      </w:r>
      <w:r w:rsidR="00997DD4" w:rsidRPr="00B92F1D">
        <w:rPr>
          <w:rFonts w:ascii="Verdana" w:hAnsi="Verdana" w:cs="Arial"/>
          <w:sz w:val="22"/>
          <w:szCs w:val="22"/>
          <w:vertAlign w:val="superscript"/>
          <w:lang w:val="en-GB"/>
        </w:rPr>
        <w:t>nd</w:t>
      </w:r>
      <w:r w:rsidR="00997DD4" w:rsidRPr="00B92F1D">
        <w:rPr>
          <w:rFonts w:ascii="Verdana" w:hAnsi="Verdana" w:cs="Arial"/>
          <w:sz w:val="22"/>
          <w:szCs w:val="22"/>
          <w:lang w:val="en-GB"/>
        </w:rPr>
        <w:t xml:space="preserve"> of November 1988, </w:t>
      </w:r>
      <w:r w:rsidR="00690254" w:rsidRPr="00B92F1D">
        <w:rPr>
          <w:rFonts w:ascii="Verdana" w:hAnsi="Verdana" w:cs="Arial"/>
          <w:sz w:val="22"/>
          <w:szCs w:val="22"/>
          <w:lang w:val="en-GB"/>
        </w:rPr>
        <w:t>describes the property</w:t>
      </w:r>
      <w:r w:rsidR="0009045F">
        <w:rPr>
          <w:rFonts w:ascii="Verdana" w:hAnsi="Verdana" w:cs="Arial"/>
          <w:sz w:val="22"/>
          <w:szCs w:val="22"/>
          <w:lang w:val="en-GB"/>
        </w:rPr>
        <w:t>,</w:t>
      </w:r>
      <w:r w:rsidR="00690254" w:rsidRPr="00B92F1D">
        <w:rPr>
          <w:rFonts w:ascii="Verdana" w:hAnsi="Verdana" w:cs="Arial"/>
          <w:sz w:val="22"/>
          <w:szCs w:val="22"/>
          <w:lang w:val="en-GB"/>
        </w:rPr>
        <w:t xml:space="preserve"> identifies the seller</w:t>
      </w:r>
      <w:r w:rsidR="00B53F2D" w:rsidRPr="00B92F1D">
        <w:rPr>
          <w:rFonts w:ascii="Verdana" w:hAnsi="Verdana" w:cs="Arial"/>
          <w:sz w:val="22"/>
          <w:szCs w:val="22"/>
          <w:lang w:val="en-GB"/>
        </w:rPr>
        <w:t xml:space="preserve"> (</w:t>
      </w:r>
      <w:proofErr w:type="spellStart"/>
      <w:r w:rsidR="00C622E0">
        <w:rPr>
          <w:rFonts w:ascii="Verdana" w:hAnsi="Verdana" w:cs="Arial"/>
          <w:sz w:val="22"/>
          <w:szCs w:val="22"/>
          <w:lang w:val="en-GB"/>
        </w:rPr>
        <w:t>Mota</w:t>
      </w:r>
      <w:proofErr w:type="spellEnd"/>
      <w:r w:rsidR="00B53F2D" w:rsidRPr="00B92F1D">
        <w:rPr>
          <w:rFonts w:ascii="Verdana" w:hAnsi="Verdana" w:cs="Arial"/>
          <w:sz w:val="22"/>
          <w:szCs w:val="22"/>
          <w:lang w:val="en-GB"/>
        </w:rPr>
        <w:t>)</w:t>
      </w:r>
      <w:r w:rsidR="00690254" w:rsidRPr="00B92F1D">
        <w:rPr>
          <w:rFonts w:ascii="Verdana" w:hAnsi="Verdana" w:cs="Arial"/>
          <w:sz w:val="22"/>
          <w:szCs w:val="22"/>
          <w:lang w:val="en-GB"/>
        </w:rPr>
        <w:t xml:space="preserve"> and purchaser</w:t>
      </w:r>
      <w:r w:rsidR="00B53F2D" w:rsidRPr="00B92F1D">
        <w:rPr>
          <w:rFonts w:ascii="Verdana" w:hAnsi="Verdana" w:cs="Arial"/>
          <w:sz w:val="22"/>
          <w:szCs w:val="22"/>
          <w:lang w:val="en-GB"/>
        </w:rPr>
        <w:t xml:space="preserve"> (the deceased)</w:t>
      </w:r>
      <w:r w:rsidR="00690254" w:rsidRPr="00B92F1D">
        <w:rPr>
          <w:rFonts w:ascii="Verdana" w:hAnsi="Verdana" w:cs="Arial"/>
          <w:sz w:val="22"/>
          <w:szCs w:val="22"/>
          <w:lang w:val="en-GB"/>
        </w:rPr>
        <w:t xml:space="preserve">, stipulates the purchase price of </w:t>
      </w:r>
      <w:r w:rsidR="00B53F2D" w:rsidRPr="00B92F1D">
        <w:rPr>
          <w:rFonts w:ascii="Verdana" w:hAnsi="Verdana" w:cs="Arial"/>
          <w:sz w:val="22"/>
          <w:szCs w:val="22"/>
          <w:lang w:val="en-GB"/>
        </w:rPr>
        <w:t xml:space="preserve">R35 000.00 and records that a deposit of </w:t>
      </w:r>
      <w:r w:rsidR="00997DD4" w:rsidRPr="00B92F1D">
        <w:rPr>
          <w:rFonts w:ascii="Verdana" w:hAnsi="Verdana" w:cs="Arial"/>
          <w:sz w:val="22"/>
          <w:szCs w:val="22"/>
          <w:lang w:val="en-GB"/>
        </w:rPr>
        <w:t>R 18 300.00 had been paid. Both th</w:t>
      </w:r>
      <w:r w:rsidR="00B053F7" w:rsidRPr="00B92F1D">
        <w:rPr>
          <w:rFonts w:ascii="Verdana" w:hAnsi="Verdana" w:cs="Arial"/>
          <w:sz w:val="22"/>
          <w:szCs w:val="22"/>
          <w:lang w:val="en-GB"/>
        </w:rPr>
        <w:t>e names of</w:t>
      </w:r>
      <w:r w:rsidR="00997DD4" w:rsidRPr="00B92F1D">
        <w:rPr>
          <w:rFonts w:ascii="Verdana" w:hAnsi="Verdana" w:cs="Arial"/>
          <w:sz w:val="22"/>
          <w:szCs w:val="22"/>
          <w:lang w:val="en-GB"/>
        </w:rPr>
        <w:t xml:space="preserve"> </w:t>
      </w:r>
      <w:proofErr w:type="spellStart"/>
      <w:r w:rsidR="00C622E0">
        <w:rPr>
          <w:rFonts w:ascii="Verdana" w:hAnsi="Verdana" w:cs="Arial"/>
          <w:sz w:val="22"/>
          <w:szCs w:val="22"/>
          <w:lang w:val="en-GB"/>
        </w:rPr>
        <w:t>Mota</w:t>
      </w:r>
      <w:proofErr w:type="spellEnd"/>
      <w:r w:rsidR="00997DD4" w:rsidRPr="00B92F1D">
        <w:rPr>
          <w:rFonts w:ascii="Verdana" w:hAnsi="Verdana" w:cs="Arial"/>
          <w:sz w:val="22"/>
          <w:szCs w:val="22"/>
          <w:lang w:val="en-GB"/>
        </w:rPr>
        <w:t xml:space="preserve"> and </w:t>
      </w:r>
      <w:proofErr w:type="spellStart"/>
      <w:r w:rsidR="00997DD4" w:rsidRPr="00B92F1D">
        <w:rPr>
          <w:rFonts w:ascii="Verdana" w:hAnsi="Verdana" w:cs="Arial"/>
          <w:sz w:val="22"/>
          <w:szCs w:val="22"/>
          <w:lang w:val="en-GB"/>
        </w:rPr>
        <w:t>Ndlovu</w:t>
      </w:r>
      <w:proofErr w:type="spellEnd"/>
      <w:r w:rsidR="00997DD4" w:rsidRPr="00B92F1D">
        <w:rPr>
          <w:rFonts w:ascii="Verdana" w:hAnsi="Verdana" w:cs="Arial"/>
          <w:sz w:val="22"/>
          <w:szCs w:val="22"/>
          <w:lang w:val="en-GB"/>
        </w:rPr>
        <w:t xml:space="preserve"> </w:t>
      </w:r>
      <w:proofErr w:type="gramStart"/>
      <w:r w:rsidR="00B053F7" w:rsidRPr="00B92F1D">
        <w:rPr>
          <w:rFonts w:ascii="Verdana" w:hAnsi="Verdana" w:cs="Arial"/>
          <w:sz w:val="22"/>
          <w:szCs w:val="22"/>
          <w:lang w:val="en-GB"/>
        </w:rPr>
        <w:t>appears</w:t>
      </w:r>
      <w:proofErr w:type="gramEnd"/>
      <w:r w:rsidR="00B053F7" w:rsidRPr="00B92F1D">
        <w:rPr>
          <w:rFonts w:ascii="Verdana" w:hAnsi="Verdana" w:cs="Arial"/>
          <w:sz w:val="22"/>
          <w:szCs w:val="22"/>
          <w:lang w:val="en-GB"/>
        </w:rPr>
        <w:t xml:space="preserve"> </w:t>
      </w:r>
      <w:r w:rsidR="000841CF" w:rsidRPr="00B92F1D">
        <w:rPr>
          <w:rFonts w:ascii="Verdana" w:hAnsi="Verdana" w:cs="Arial"/>
          <w:sz w:val="22"/>
          <w:szCs w:val="22"/>
          <w:lang w:val="en-GB"/>
        </w:rPr>
        <w:t>again toward</w:t>
      </w:r>
      <w:r w:rsidR="005D28F3" w:rsidRPr="00B92F1D">
        <w:rPr>
          <w:rFonts w:ascii="Verdana" w:hAnsi="Verdana" w:cs="Arial"/>
          <w:sz w:val="22"/>
          <w:szCs w:val="22"/>
          <w:lang w:val="en-GB"/>
        </w:rPr>
        <w:t>s</w:t>
      </w:r>
      <w:r w:rsidR="000841CF" w:rsidRPr="00B92F1D">
        <w:rPr>
          <w:rFonts w:ascii="Verdana" w:hAnsi="Verdana" w:cs="Arial"/>
          <w:sz w:val="22"/>
          <w:szCs w:val="22"/>
          <w:lang w:val="en-GB"/>
        </w:rPr>
        <w:t xml:space="preserve"> the end of</w:t>
      </w:r>
      <w:r w:rsidR="00B053F7" w:rsidRPr="00B92F1D">
        <w:rPr>
          <w:rFonts w:ascii="Verdana" w:hAnsi="Verdana" w:cs="Arial"/>
          <w:sz w:val="22"/>
          <w:szCs w:val="22"/>
          <w:lang w:val="en-GB"/>
        </w:rPr>
        <w:t xml:space="preserve"> the document</w:t>
      </w:r>
      <w:r w:rsidR="000841CF" w:rsidRPr="00B92F1D">
        <w:rPr>
          <w:rFonts w:ascii="Verdana" w:hAnsi="Verdana" w:cs="Arial"/>
          <w:sz w:val="22"/>
          <w:szCs w:val="22"/>
          <w:lang w:val="en-GB"/>
        </w:rPr>
        <w:t xml:space="preserve">, where one would ordinarily expect to find the signatories to </w:t>
      </w:r>
      <w:r w:rsidR="0009045F">
        <w:rPr>
          <w:rFonts w:ascii="Verdana" w:hAnsi="Verdana" w:cs="Arial"/>
          <w:sz w:val="22"/>
          <w:szCs w:val="22"/>
          <w:lang w:val="en-GB"/>
        </w:rPr>
        <w:t>a</w:t>
      </w:r>
      <w:r w:rsidR="00112038" w:rsidRPr="00B92F1D">
        <w:rPr>
          <w:rFonts w:ascii="Verdana" w:hAnsi="Verdana" w:cs="Arial"/>
          <w:sz w:val="22"/>
          <w:szCs w:val="22"/>
          <w:lang w:val="en-GB"/>
        </w:rPr>
        <w:t xml:space="preserve"> deed of sale.</w:t>
      </w:r>
    </w:p>
    <w:p w14:paraId="57AA91E8" w14:textId="6531A6DE" w:rsidR="00836DD5" w:rsidRPr="00B92F1D" w:rsidRDefault="00951FAD" w:rsidP="00951FAD">
      <w:pPr>
        <w:pStyle w:val="Indent"/>
        <w:widowControl w:val="0"/>
        <w:numPr>
          <w:ilvl w:val="0"/>
          <w:numId w:val="0"/>
        </w:numPr>
        <w:spacing w:after="360" w:line="480" w:lineRule="auto"/>
        <w:ind w:left="720" w:hanging="720"/>
        <w:jc w:val="both"/>
        <w:rPr>
          <w:rFonts w:ascii="Verdana" w:hAnsi="Verdana" w:cs="Arial"/>
          <w:sz w:val="22"/>
          <w:szCs w:val="22"/>
          <w:lang w:val="en-GB"/>
        </w:rPr>
      </w:pPr>
      <w:r w:rsidRPr="00B92F1D">
        <w:rPr>
          <w:rFonts w:ascii="Verdana" w:hAnsi="Verdana" w:cs="Arial"/>
          <w:sz w:val="22"/>
          <w:szCs w:val="22"/>
          <w:lang w:val="en-GB"/>
        </w:rPr>
        <w:t>[11]</w:t>
      </w:r>
      <w:r w:rsidRPr="00B92F1D">
        <w:rPr>
          <w:rFonts w:ascii="Verdana" w:hAnsi="Verdana" w:cs="Arial"/>
          <w:sz w:val="22"/>
          <w:szCs w:val="22"/>
          <w:lang w:val="en-GB"/>
        </w:rPr>
        <w:tab/>
      </w:r>
      <w:r w:rsidR="00836DD5" w:rsidRPr="00B92F1D">
        <w:rPr>
          <w:rFonts w:ascii="Verdana" w:hAnsi="Verdana" w:cs="Arial"/>
          <w:sz w:val="22"/>
          <w:szCs w:val="22"/>
          <w:lang w:val="en-GB"/>
        </w:rPr>
        <w:t>Regarding payment of the outstanding balance, the applicant states at paragraph 9.8 of the founding affidavit that the balance of R16</w:t>
      </w:r>
      <w:proofErr w:type="gramStart"/>
      <w:r w:rsidR="00836DD5" w:rsidRPr="00B92F1D">
        <w:rPr>
          <w:rFonts w:ascii="Verdana" w:hAnsi="Verdana" w:cs="Arial"/>
          <w:sz w:val="22"/>
          <w:szCs w:val="22"/>
          <w:lang w:val="en-GB"/>
        </w:rPr>
        <w:t>,700.00</w:t>
      </w:r>
      <w:proofErr w:type="gramEnd"/>
      <w:r w:rsidR="00836DD5" w:rsidRPr="00B92F1D">
        <w:rPr>
          <w:rFonts w:ascii="Verdana" w:hAnsi="Verdana" w:cs="Arial"/>
          <w:sz w:val="22"/>
          <w:szCs w:val="22"/>
          <w:lang w:val="en-GB"/>
        </w:rPr>
        <w:t xml:space="preserve"> </w:t>
      </w:r>
      <w:r w:rsidR="00836DD5" w:rsidRPr="00B92F1D">
        <w:rPr>
          <w:rFonts w:ascii="Verdana" w:hAnsi="Verdana" w:cs="Arial"/>
          <w:i/>
          <w:sz w:val="22"/>
          <w:szCs w:val="22"/>
          <w:lang w:val="en-GB"/>
        </w:rPr>
        <w:t xml:space="preserve">“was later paid on the date of which I cannot remember but it was in the </w:t>
      </w:r>
      <w:r w:rsidR="00836DD5" w:rsidRPr="00B92F1D">
        <w:rPr>
          <w:rFonts w:ascii="Verdana" w:hAnsi="Verdana" w:cs="Arial"/>
          <w:i/>
          <w:sz w:val="22"/>
          <w:szCs w:val="22"/>
          <w:lang w:val="en-GB"/>
        </w:rPr>
        <w:lastRenderedPageBreak/>
        <w:t>year 1989 after which we then moved into the property and occupied it.  My deceased husband and I then forgot to have ownership of the property transferred to us”</w:t>
      </w:r>
      <w:r w:rsidR="00836DD5" w:rsidRPr="00B92F1D">
        <w:rPr>
          <w:rFonts w:ascii="Verdana" w:hAnsi="Verdana" w:cs="Arial"/>
          <w:sz w:val="22"/>
          <w:szCs w:val="22"/>
          <w:lang w:val="en-GB"/>
        </w:rPr>
        <w:t>.</w:t>
      </w:r>
      <w:r w:rsidR="00836DD5" w:rsidRPr="00B92F1D">
        <w:rPr>
          <w:rStyle w:val="FootnoteReference"/>
          <w:rFonts w:ascii="Verdana" w:hAnsi="Verdana" w:cs="Arial"/>
          <w:sz w:val="22"/>
          <w:szCs w:val="22"/>
          <w:lang w:val="en-GB"/>
        </w:rPr>
        <w:footnoteReference w:id="5"/>
      </w:r>
      <w:r w:rsidR="00836DD5" w:rsidRPr="00B92F1D">
        <w:rPr>
          <w:rFonts w:ascii="Verdana" w:hAnsi="Verdana" w:cs="Arial"/>
          <w:sz w:val="22"/>
          <w:szCs w:val="22"/>
          <w:lang w:val="en-GB"/>
        </w:rPr>
        <w:t xml:space="preserve">  </w:t>
      </w:r>
    </w:p>
    <w:p w14:paraId="0258CD32" w14:textId="2B227D67" w:rsidR="008306BA" w:rsidRPr="00B92F1D" w:rsidRDefault="00951FAD" w:rsidP="00951FAD">
      <w:pPr>
        <w:pStyle w:val="Indent"/>
        <w:widowControl w:val="0"/>
        <w:numPr>
          <w:ilvl w:val="0"/>
          <w:numId w:val="0"/>
        </w:numPr>
        <w:spacing w:after="360" w:line="480" w:lineRule="auto"/>
        <w:ind w:left="720" w:hanging="720"/>
        <w:jc w:val="both"/>
        <w:rPr>
          <w:rFonts w:ascii="Verdana" w:hAnsi="Verdana" w:cs="Arial"/>
          <w:sz w:val="22"/>
          <w:szCs w:val="22"/>
          <w:lang w:val="en-GB"/>
        </w:rPr>
      </w:pPr>
      <w:r w:rsidRPr="00B92F1D">
        <w:rPr>
          <w:rFonts w:ascii="Verdana" w:hAnsi="Verdana" w:cs="Arial"/>
          <w:sz w:val="22"/>
          <w:szCs w:val="22"/>
          <w:lang w:val="en-GB"/>
        </w:rPr>
        <w:t>[12]</w:t>
      </w:r>
      <w:r w:rsidRPr="00B92F1D">
        <w:rPr>
          <w:rFonts w:ascii="Verdana" w:hAnsi="Verdana" w:cs="Arial"/>
          <w:sz w:val="22"/>
          <w:szCs w:val="22"/>
          <w:lang w:val="en-GB"/>
        </w:rPr>
        <w:tab/>
      </w:r>
      <w:r w:rsidR="00836DD5" w:rsidRPr="00B92F1D">
        <w:rPr>
          <w:rFonts w:ascii="Verdana" w:hAnsi="Verdana" w:cs="Arial"/>
          <w:sz w:val="22"/>
          <w:szCs w:val="22"/>
          <w:lang w:val="en-GB"/>
        </w:rPr>
        <w:t xml:space="preserve">The applicant states that the deceased vacated the common home in </w:t>
      </w:r>
      <w:proofErr w:type="spellStart"/>
      <w:r w:rsidR="00836DD5" w:rsidRPr="00B92F1D">
        <w:rPr>
          <w:rFonts w:ascii="Verdana" w:hAnsi="Verdana" w:cs="Arial"/>
          <w:sz w:val="22"/>
          <w:szCs w:val="22"/>
          <w:lang w:val="en-GB"/>
        </w:rPr>
        <w:t>Diepkloof</w:t>
      </w:r>
      <w:proofErr w:type="spellEnd"/>
      <w:r w:rsidR="00836DD5" w:rsidRPr="00B92F1D">
        <w:rPr>
          <w:rFonts w:ascii="Verdana" w:hAnsi="Verdana" w:cs="Arial"/>
          <w:sz w:val="22"/>
          <w:szCs w:val="22"/>
          <w:lang w:val="en-GB"/>
        </w:rPr>
        <w:t xml:space="preserve"> in 2008 and stayed at the property with the children in order to guard the taxis.  </w:t>
      </w:r>
      <w:r w:rsidR="00A77117" w:rsidRPr="00B92F1D">
        <w:rPr>
          <w:rFonts w:ascii="Verdana" w:hAnsi="Verdana" w:cs="Arial"/>
          <w:sz w:val="22"/>
          <w:szCs w:val="22"/>
          <w:lang w:val="en-GB"/>
        </w:rPr>
        <w:t xml:space="preserve">He would </w:t>
      </w:r>
      <w:r w:rsidR="0009045F">
        <w:rPr>
          <w:rFonts w:ascii="Verdana" w:hAnsi="Verdana" w:cs="Arial"/>
          <w:sz w:val="22"/>
          <w:szCs w:val="22"/>
          <w:lang w:val="en-GB"/>
        </w:rPr>
        <w:t>visit</w:t>
      </w:r>
      <w:r w:rsidR="00A77117" w:rsidRPr="00B92F1D">
        <w:rPr>
          <w:rFonts w:ascii="Verdana" w:hAnsi="Verdana" w:cs="Arial"/>
          <w:sz w:val="22"/>
          <w:szCs w:val="22"/>
          <w:lang w:val="en-GB"/>
        </w:rPr>
        <w:t xml:space="preserve"> the </w:t>
      </w:r>
      <w:proofErr w:type="spellStart"/>
      <w:r w:rsidR="00A77117" w:rsidRPr="00B92F1D">
        <w:rPr>
          <w:rFonts w:ascii="Verdana" w:hAnsi="Verdana" w:cs="Arial"/>
          <w:sz w:val="22"/>
          <w:szCs w:val="22"/>
          <w:lang w:val="en-GB"/>
        </w:rPr>
        <w:t>Diepkloof</w:t>
      </w:r>
      <w:proofErr w:type="spellEnd"/>
      <w:r w:rsidR="00A77117" w:rsidRPr="00B92F1D">
        <w:rPr>
          <w:rFonts w:ascii="Verdana" w:hAnsi="Verdana" w:cs="Arial"/>
          <w:sz w:val="22"/>
          <w:szCs w:val="22"/>
          <w:lang w:val="en-GB"/>
        </w:rPr>
        <w:t xml:space="preserve"> house </w:t>
      </w:r>
      <w:r w:rsidR="00A77117" w:rsidRPr="00B92F1D">
        <w:rPr>
          <w:rFonts w:ascii="Verdana" w:hAnsi="Verdana" w:cs="Arial"/>
          <w:i/>
          <w:sz w:val="22"/>
          <w:szCs w:val="22"/>
          <w:lang w:val="en-GB"/>
        </w:rPr>
        <w:t>“now and then or alternate between the two houses”</w:t>
      </w:r>
      <w:r w:rsidR="00A77117" w:rsidRPr="00B92F1D">
        <w:rPr>
          <w:rFonts w:ascii="Verdana" w:hAnsi="Verdana" w:cs="Arial"/>
          <w:sz w:val="22"/>
          <w:szCs w:val="22"/>
          <w:lang w:val="en-GB"/>
        </w:rPr>
        <w:t>.</w:t>
      </w:r>
      <w:r w:rsidR="00A77117" w:rsidRPr="00B92F1D">
        <w:rPr>
          <w:rStyle w:val="FootnoteReference"/>
          <w:rFonts w:ascii="Verdana" w:hAnsi="Verdana" w:cs="Arial"/>
          <w:sz w:val="22"/>
          <w:szCs w:val="22"/>
          <w:lang w:val="en-GB"/>
        </w:rPr>
        <w:footnoteReference w:id="6"/>
      </w:r>
      <w:r w:rsidR="00A77117" w:rsidRPr="00B92F1D">
        <w:rPr>
          <w:rFonts w:ascii="Verdana" w:hAnsi="Verdana" w:cs="Arial"/>
          <w:sz w:val="22"/>
          <w:szCs w:val="22"/>
          <w:lang w:val="en-GB"/>
        </w:rPr>
        <w:t xml:space="preserve"> </w:t>
      </w:r>
    </w:p>
    <w:p w14:paraId="3BA72BA1" w14:textId="1C6D60AD" w:rsidR="00273CFF" w:rsidRPr="00B92F1D" w:rsidRDefault="00951FAD" w:rsidP="00951FAD">
      <w:pPr>
        <w:pStyle w:val="Indent"/>
        <w:widowControl w:val="0"/>
        <w:numPr>
          <w:ilvl w:val="0"/>
          <w:numId w:val="0"/>
        </w:numPr>
        <w:spacing w:after="360" w:line="480" w:lineRule="auto"/>
        <w:ind w:left="720" w:hanging="720"/>
        <w:jc w:val="both"/>
        <w:rPr>
          <w:rFonts w:ascii="Verdana" w:hAnsi="Verdana" w:cs="Arial"/>
          <w:sz w:val="22"/>
          <w:szCs w:val="22"/>
          <w:lang w:val="en-GB"/>
        </w:rPr>
      </w:pPr>
      <w:r w:rsidRPr="00B92F1D">
        <w:rPr>
          <w:rFonts w:ascii="Verdana" w:hAnsi="Verdana" w:cs="Arial"/>
          <w:sz w:val="22"/>
          <w:szCs w:val="22"/>
          <w:lang w:val="en-GB"/>
        </w:rPr>
        <w:t>[13]</w:t>
      </w:r>
      <w:r w:rsidRPr="00B92F1D">
        <w:rPr>
          <w:rFonts w:ascii="Verdana" w:hAnsi="Verdana" w:cs="Arial"/>
          <w:sz w:val="22"/>
          <w:szCs w:val="22"/>
          <w:lang w:val="en-GB"/>
        </w:rPr>
        <w:tab/>
      </w:r>
      <w:r w:rsidR="00A77117" w:rsidRPr="00B92F1D">
        <w:rPr>
          <w:rFonts w:ascii="Verdana" w:hAnsi="Verdana" w:cs="Arial"/>
          <w:sz w:val="22"/>
          <w:szCs w:val="22"/>
          <w:lang w:val="en-GB"/>
        </w:rPr>
        <w:t xml:space="preserve">The applicant tells the Court that she was informed that in 2011 the first respondent moved in with the deceased at the property.  During 2013 the deceased fell ill and he was in and out of hospital until his death in 2015. </w:t>
      </w:r>
      <w:r w:rsidR="00BB6C5D" w:rsidRPr="00B92F1D">
        <w:rPr>
          <w:rFonts w:ascii="Verdana" w:hAnsi="Verdana" w:cs="Arial"/>
          <w:sz w:val="22"/>
          <w:szCs w:val="22"/>
          <w:lang w:val="en-GB"/>
        </w:rPr>
        <w:t xml:space="preserve"> After his passing, the applicant went through his personal document file and found a title deed dated 23 March 2015 reflecting the deceased and the first respondent as the owners of the property.</w:t>
      </w:r>
      <w:r w:rsidR="00BB6C5D" w:rsidRPr="00B92F1D">
        <w:rPr>
          <w:rStyle w:val="FootnoteReference"/>
          <w:rFonts w:ascii="Verdana" w:hAnsi="Verdana" w:cs="Arial"/>
          <w:sz w:val="22"/>
          <w:szCs w:val="22"/>
          <w:lang w:val="en-GB"/>
        </w:rPr>
        <w:footnoteReference w:id="7"/>
      </w:r>
      <w:r w:rsidR="00BB6C5D" w:rsidRPr="00B92F1D">
        <w:rPr>
          <w:rFonts w:ascii="Verdana" w:hAnsi="Verdana" w:cs="Arial"/>
          <w:sz w:val="22"/>
          <w:szCs w:val="22"/>
          <w:lang w:val="en-GB"/>
        </w:rPr>
        <w:t xml:space="preserve">  </w:t>
      </w:r>
    </w:p>
    <w:p w14:paraId="235746FA" w14:textId="5373CC31" w:rsidR="00A84E88" w:rsidRPr="00B92F1D" w:rsidRDefault="00951FAD" w:rsidP="00951FAD">
      <w:pPr>
        <w:pStyle w:val="Indent"/>
        <w:widowControl w:val="0"/>
        <w:numPr>
          <w:ilvl w:val="0"/>
          <w:numId w:val="0"/>
        </w:numPr>
        <w:spacing w:after="360" w:line="480" w:lineRule="auto"/>
        <w:ind w:left="720" w:hanging="720"/>
        <w:jc w:val="both"/>
        <w:rPr>
          <w:rFonts w:ascii="Verdana" w:hAnsi="Verdana" w:cs="Arial"/>
          <w:sz w:val="22"/>
          <w:szCs w:val="22"/>
          <w:lang w:val="en-GB"/>
        </w:rPr>
      </w:pPr>
      <w:r w:rsidRPr="00B92F1D">
        <w:rPr>
          <w:rFonts w:ascii="Verdana" w:hAnsi="Verdana" w:cs="Arial"/>
          <w:sz w:val="22"/>
          <w:szCs w:val="22"/>
          <w:lang w:val="en-GB"/>
        </w:rPr>
        <w:t>[14]</w:t>
      </w:r>
      <w:r w:rsidRPr="00B92F1D">
        <w:rPr>
          <w:rFonts w:ascii="Verdana" w:hAnsi="Verdana" w:cs="Arial"/>
          <w:sz w:val="22"/>
          <w:szCs w:val="22"/>
          <w:lang w:val="en-GB"/>
        </w:rPr>
        <w:tab/>
      </w:r>
      <w:r w:rsidR="00BB6C5D" w:rsidRPr="00B92F1D">
        <w:rPr>
          <w:rFonts w:ascii="Verdana" w:hAnsi="Verdana" w:cs="Arial"/>
          <w:sz w:val="22"/>
          <w:szCs w:val="22"/>
          <w:lang w:val="en-GB"/>
        </w:rPr>
        <w:t xml:space="preserve">The applicant thereupon attended at the office of the Registrar of Deeds and obtained copies of a deed search reflecting all the previous transactions over the property, transfer duty receipt issued by the South African Revenue Service reflecting both the deceased and the first respondent as unmarried, and a power of attorney to pass transfer signed by Patrick </w:t>
      </w:r>
      <w:proofErr w:type="spellStart"/>
      <w:r w:rsidR="00C622E0">
        <w:rPr>
          <w:rFonts w:ascii="Verdana" w:hAnsi="Verdana" w:cs="Arial"/>
          <w:sz w:val="22"/>
          <w:szCs w:val="22"/>
          <w:lang w:val="en-GB"/>
        </w:rPr>
        <w:t>Mota</w:t>
      </w:r>
      <w:proofErr w:type="spellEnd"/>
      <w:r w:rsidR="00BB6C5D" w:rsidRPr="00B92F1D">
        <w:rPr>
          <w:rFonts w:ascii="Verdana" w:hAnsi="Verdana" w:cs="Arial"/>
          <w:sz w:val="22"/>
          <w:szCs w:val="22"/>
          <w:lang w:val="en-GB"/>
        </w:rPr>
        <w:t xml:space="preserve"> reflecting the date of purchase as April 2014.  </w:t>
      </w:r>
    </w:p>
    <w:p w14:paraId="63242064" w14:textId="655044FF" w:rsidR="00BB6C5D" w:rsidRPr="00B92F1D" w:rsidRDefault="00951FAD" w:rsidP="00951FAD">
      <w:pPr>
        <w:pStyle w:val="Indent"/>
        <w:widowControl w:val="0"/>
        <w:numPr>
          <w:ilvl w:val="0"/>
          <w:numId w:val="0"/>
        </w:numPr>
        <w:spacing w:after="360" w:line="480" w:lineRule="auto"/>
        <w:ind w:left="720" w:hanging="720"/>
        <w:jc w:val="both"/>
        <w:rPr>
          <w:rFonts w:ascii="Verdana" w:hAnsi="Verdana" w:cs="Arial"/>
          <w:sz w:val="22"/>
          <w:szCs w:val="22"/>
          <w:lang w:val="en-GB"/>
        </w:rPr>
      </w:pPr>
      <w:r w:rsidRPr="00B92F1D">
        <w:rPr>
          <w:rFonts w:ascii="Verdana" w:hAnsi="Verdana" w:cs="Arial"/>
          <w:sz w:val="22"/>
          <w:szCs w:val="22"/>
          <w:lang w:val="en-GB"/>
        </w:rPr>
        <w:t>[15]</w:t>
      </w:r>
      <w:r w:rsidRPr="00B92F1D">
        <w:rPr>
          <w:rFonts w:ascii="Verdana" w:hAnsi="Verdana" w:cs="Arial"/>
          <w:sz w:val="22"/>
          <w:szCs w:val="22"/>
          <w:lang w:val="en-GB"/>
        </w:rPr>
        <w:tab/>
      </w:r>
      <w:r w:rsidR="00BB6C5D" w:rsidRPr="00B92F1D">
        <w:rPr>
          <w:rFonts w:ascii="Verdana" w:hAnsi="Verdana" w:cs="Arial"/>
          <w:sz w:val="22"/>
          <w:szCs w:val="22"/>
          <w:lang w:val="en-GB"/>
        </w:rPr>
        <w:t xml:space="preserve">The applicant states that the first respondent was married to another man, </w:t>
      </w:r>
      <w:proofErr w:type="spellStart"/>
      <w:r w:rsidR="00BB6C5D" w:rsidRPr="00B92F1D">
        <w:rPr>
          <w:rFonts w:ascii="Verdana" w:hAnsi="Verdana" w:cs="Arial"/>
          <w:sz w:val="22"/>
          <w:szCs w:val="22"/>
          <w:lang w:val="en-GB"/>
        </w:rPr>
        <w:t>Mohlahle</w:t>
      </w:r>
      <w:proofErr w:type="spellEnd"/>
      <w:r w:rsidR="00BB6C5D" w:rsidRPr="00B92F1D">
        <w:rPr>
          <w:rFonts w:ascii="Verdana" w:hAnsi="Verdana" w:cs="Arial"/>
          <w:sz w:val="22"/>
          <w:szCs w:val="22"/>
          <w:lang w:val="en-GB"/>
        </w:rPr>
        <w:t> Solomon </w:t>
      </w:r>
      <w:proofErr w:type="spellStart"/>
      <w:r w:rsidR="00BB6C5D" w:rsidRPr="00B92F1D">
        <w:rPr>
          <w:rFonts w:ascii="Verdana" w:hAnsi="Verdana" w:cs="Arial"/>
          <w:sz w:val="22"/>
          <w:szCs w:val="22"/>
          <w:lang w:val="en-GB"/>
        </w:rPr>
        <w:t>Monama</w:t>
      </w:r>
      <w:proofErr w:type="spellEnd"/>
      <w:r w:rsidR="007F4143" w:rsidRPr="00B92F1D">
        <w:rPr>
          <w:rFonts w:ascii="Verdana" w:hAnsi="Verdana" w:cs="Arial"/>
          <w:sz w:val="22"/>
          <w:szCs w:val="22"/>
          <w:lang w:val="en-GB"/>
        </w:rPr>
        <w:t xml:space="preserve"> (</w:t>
      </w:r>
      <w:r w:rsidR="007F4143" w:rsidRPr="00B92F1D">
        <w:rPr>
          <w:rFonts w:ascii="Verdana" w:hAnsi="Verdana" w:cs="Arial"/>
          <w:i/>
          <w:iCs/>
          <w:sz w:val="22"/>
          <w:szCs w:val="22"/>
          <w:lang w:val="en-GB"/>
        </w:rPr>
        <w:t>“</w:t>
      </w:r>
      <w:proofErr w:type="spellStart"/>
      <w:r w:rsidR="007F4143" w:rsidRPr="00B92F1D">
        <w:rPr>
          <w:rFonts w:ascii="Verdana" w:hAnsi="Verdana" w:cs="Arial"/>
          <w:i/>
          <w:iCs/>
          <w:sz w:val="22"/>
          <w:szCs w:val="22"/>
          <w:lang w:val="en-GB"/>
        </w:rPr>
        <w:t>Monama</w:t>
      </w:r>
      <w:proofErr w:type="spellEnd"/>
      <w:r w:rsidR="007F4143" w:rsidRPr="00B92F1D">
        <w:rPr>
          <w:rFonts w:ascii="Verdana" w:hAnsi="Verdana" w:cs="Arial"/>
          <w:i/>
          <w:iCs/>
          <w:sz w:val="22"/>
          <w:szCs w:val="22"/>
          <w:lang w:val="en-GB"/>
        </w:rPr>
        <w:t>”</w:t>
      </w:r>
      <w:r w:rsidR="007F4143" w:rsidRPr="00B92F1D">
        <w:rPr>
          <w:rFonts w:ascii="Verdana" w:hAnsi="Verdana" w:cs="Arial"/>
          <w:sz w:val="22"/>
          <w:szCs w:val="22"/>
          <w:lang w:val="en-GB"/>
        </w:rPr>
        <w:t>) in accordance with the civil law</w:t>
      </w:r>
      <w:r w:rsidR="00BB6C5D" w:rsidRPr="00B92F1D">
        <w:rPr>
          <w:rFonts w:ascii="Verdana" w:hAnsi="Verdana" w:cs="Arial"/>
          <w:sz w:val="22"/>
          <w:szCs w:val="22"/>
          <w:lang w:val="en-GB"/>
        </w:rPr>
        <w:t xml:space="preserve"> on the 5</w:t>
      </w:r>
      <w:r w:rsidR="00BB6C5D" w:rsidRPr="00B92F1D">
        <w:rPr>
          <w:rFonts w:ascii="Verdana" w:hAnsi="Verdana" w:cs="Arial"/>
          <w:sz w:val="22"/>
          <w:szCs w:val="22"/>
          <w:vertAlign w:val="superscript"/>
          <w:lang w:val="en-GB"/>
        </w:rPr>
        <w:t>th</w:t>
      </w:r>
      <w:r w:rsidR="00BB6C5D" w:rsidRPr="00B92F1D">
        <w:rPr>
          <w:rFonts w:ascii="Verdana" w:hAnsi="Verdana" w:cs="Arial"/>
          <w:sz w:val="22"/>
          <w:szCs w:val="22"/>
          <w:lang w:val="en-GB"/>
        </w:rPr>
        <w:t xml:space="preserve"> of July 1993 and </w:t>
      </w:r>
      <w:r w:rsidR="007F4143" w:rsidRPr="00B92F1D">
        <w:rPr>
          <w:rFonts w:ascii="Verdana" w:hAnsi="Verdana" w:cs="Arial"/>
          <w:sz w:val="22"/>
          <w:szCs w:val="22"/>
          <w:lang w:val="en-GB"/>
        </w:rPr>
        <w:t xml:space="preserve">avers that </w:t>
      </w:r>
      <w:r w:rsidR="00BB6C5D" w:rsidRPr="00B92F1D">
        <w:rPr>
          <w:rFonts w:ascii="Verdana" w:hAnsi="Verdana" w:cs="Arial"/>
          <w:sz w:val="22"/>
          <w:szCs w:val="22"/>
          <w:lang w:val="en-GB"/>
        </w:rPr>
        <w:t xml:space="preserve">she is still so married. </w:t>
      </w:r>
      <w:r w:rsidR="008D544D" w:rsidRPr="00B92F1D">
        <w:rPr>
          <w:rFonts w:ascii="Verdana" w:hAnsi="Verdana" w:cs="Arial"/>
          <w:sz w:val="22"/>
          <w:szCs w:val="22"/>
          <w:lang w:val="en-GB"/>
        </w:rPr>
        <w:t xml:space="preserve">The </w:t>
      </w:r>
      <w:r w:rsidR="008D544D" w:rsidRPr="00B92F1D">
        <w:rPr>
          <w:rFonts w:ascii="Verdana" w:hAnsi="Verdana" w:cs="Arial"/>
          <w:sz w:val="22"/>
          <w:szCs w:val="22"/>
          <w:lang w:val="en-GB"/>
        </w:rPr>
        <w:lastRenderedPageBreak/>
        <w:t xml:space="preserve">applicant attached a copy of an abridged marriage certificate of the first respondent and </w:t>
      </w:r>
      <w:proofErr w:type="spellStart"/>
      <w:r w:rsidR="008D544D" w:rsidRPr="00B92F1D">
        <w:rPr>
          <w:rFonts w:ascii="Verdana" w:hAnsi="Verdana" w:cs="Arial"/>
          <w:sz w:val="22"/>
          <w:szCs w:val="22"/>
          <w:lang w:val="en-GB"/>
        </w:rPr>
        <w:t>Monama</w:t>
      </w:r>
      <w:proofErr w:type="spellEnd"/>
      <w:r w:rsidR="008D544D" w:rsidRPr="00B92F1D">
        <w:rPr>
          <w:rFonts w:ascii="Verdana" w:hAnsi="Verdana" w:cs="Arial"/>
          <w:sz w:val="22"/>
          <w:szCs w:val="22"/>
          <w:lang w:val="en-GB"/>
        </w:rPr>
        <w:t>.</w:t>
      </w:r>
      <w:r w:rsidR="00BB6C5D" w:rsidRPr="00B92F1D">
        <w:rPr>
          <w:rFonts w:ascii="Verdana" w:hAnsi="Verdana" w:cs="Arial"/>
          <w:sz w:val="22"/>
          <w:szCs w:val="22"/>
          <w:lang w:val="en-GB"/>
        </w:rPr>
        <w:t xml:space="preserve"> The first respondent and her husband have their own house according to the applicant.  </w:t>
      </w:r>
      <w:r w:rsidR="005A0595" w:rsidRPr="00B92F1D">
        <w:rPr>
          <w:rFonts w:ascii="Verdana" w:hAnsi="Verdana" w:cs="Arial"/>
          <w:sz w:val="22"/>
          <w:szCs w:val="22"/>
          <w:lang w:val="en-GB"/>
        </w:rPr>
        <w:t xml:space="preserve">Neither her marriage </w:t>
      </w:r>
      <w:r w:rsidR="00225922" w:rsidRPr="00B92F1D">
        <w:rPr>
          <w:rFonts w:ascii="Verdana" w:hAnsi="Verdana" w:cs="Arial"/>
          <w:sz w:val="22"/>
          <w:szCs w:val="22"/>
          <w:lang w:val="en-GB"/>
        </w:rPr>
        <w:t xml:space="preserve">to </w:t>
      </w:r>
      <w:proofErr w:type="spellStart"/>
      <w:r w:rsidR="00225922" w:rsidRPr="00B92F1D">
        <w:rPr>
          <w:rFonts w:ascii="Verdana" w:hAnsi="Verdana" w:cs="Arial"/>
          <w:sz w:val="22"/>
          <w:szCs w:val="22"/>
          <w:lang w:val="en-GB"/>
        </w:rPr>
        <w:t>Monama</w:t>
      </w:r>
      <w:proofErr w:type="spellEnd"/>
      <w:r w:rsidR="00225922" w:rsidRPr="00B92F1D">
        <w:rPr>
          <w:rFonts w:ascii="Verdana" w:hAnsi="Verdana" w:cs="Arial"/>
          <w:sz w:val="22"/>
          <w:szCs w:val="22"/>
          <w:lang w:val="en-GB"/>
        </w:rPr>
        <w:t xml:space="preserve"> </w:t>
      </w:r>
      <w:r w:rsidR="004C4B6D" w:rsidRPr="00B92F1D">
        <w:rPr>
          <w:rFonts w:ascii="Verdana" w:hAnsi="Verdana" w:cs="Arial"/>
          <w:sz w:val="22"/>
          <w:szCs w:val="22"/>
          <w:lang w:val="en-GB"/>
        </w:rPr>
        <w:t>n</w:t>
      </w:r>
      <w:r w:rsidR="00225922" w:rsidRPr="00B92F1D">
        <w:rPr>
          <w:rFonts w:ascii="Verdana" w:hAnsi="Verdana" w:cs="Arial"/>
          <w:sz w:val="22"/>
          <w:szCs w:val="22"/>
          <w:lang w:val="en-GB"/>
        </w:rPr>
        <w:t xml:space="preserve">or the allegation that she owns a house with </w:t>
      </w:r>
      <w:proofErr w:type="gramStart"/>
      <w:r w:rsidR="00225922" w:rsidRPr="00B92F1D">
        <w:rPr>
          <w:rFonts w:ascii="Verdana" w:hAnsi="Verdana" w:cs="Arial"/>
          <w:sz w:val="22"/>
          <w:szCs w:val="22"/>
          <w:lang w:val="en-GB"/>
        </w:rPr>
        <w:t>him,</w:t>
      </w:r>
      <w:proofErr w:type="gramEnd"/>
      <w:r w:rsidR="00225922" w:rsidRPr="00B92F1D">
        <w:rPr>
          <w:rFonts w:ascii="Verdana" w:hAnsi="Verdana" w:cs="Arial"/>
          <w:sz w:val="22"/>
          <w:szCs w:val="22"/>
          <w:lang w:val="en-GB"/>
        </w:rPr>
        <w:t xml:space="preserve"> is disputed</w:t>
      </w:r>
      <w:r w:rsidR="004C4B6D" w:rsidRPr="00B92F1D">
        <w:rPr>
          <w:rStyle w:val="FootnoteReference"/>
          <w:rFonts w:ascii="Verdana" w:hAnsi="Verdana" w:cs="Arial"/>
          <w:sz w:val="22"/>
          <w:szCs w:val="22"/>
          <w:lang w:val="en-GB"/>
        </w:rPr>
        <w:footnoteReference w:id="8"/>
      </w:r>
      <w:r w:rsidR="00225922" w:rsidRPr="00B92F1D">
        <w:rPr>
          <w:rFonts w:ascii="Verdana" w:hAnsi="Verdana" w:cs="Arial"/>
          <w:sz w:val="22"/>
          <w:szCs w:val="22"/>
          <w:lang w:val="en-GB"/>
        </w:rPr>
        <w:t xml:space="preserve"> by the first respondent.</w:t>
      </w:r>
    </w:p>
    <w:p w14:paraId="338F5CE2" w14:textId="0AEA9B30" w:rsidR="00FE32D3" w:rsidRPr="00B92F1D" w:rsidRDefault="00951FAD" w:rsidP="00951FAD">
      <w:pPr>
        <w:pStyle w:val="Indent"/>
        <w:widowControl w:val="0"/>
        <w:numPr>
          <w:ilvl w:val="0"/>
          <w:numId w:val="0"/>
        </w:numPr>
        <w:spacing w:after="360" w:line="480" w:lineRule="auto"/>
        <w:ind w:left="709" w:hanging="709"/>
        <w:jc w:val="both"/>
        <w:rPr>
          <w:rFonts w:ascii="Verdana" w:hAnsi="Verdana"/>
          <w:sz w:val="22"/>
          <w:szCs w:val="22"/>
          <w:lang w:val="en-GB"/>
        </w:rPr>
      </w:pPr>
      <w:r w:rsidRPr="00B92F1D">
        <w:rPr>
          <w:rFonts w:ascii="Verdana" w:hAnsi="Verdana"/>
          <w:sz w:val="22"/>
          <w:szCs w:val="22"/>
          <w:lang w:val="en-GB"/>
        </w:rPr>
        <w:t>[16]</w:t>
      </w:r>
      <w:r w:rsidRPr="00B92F1D">
        <w:rPr>
          <w:rFonts w:ascii="Verdana" w:hAnsi="Verdana"/>
          <w:sz w:val="22"/>
          <w:szCs w:val="22"/>
          <w:lang w:val="en-GB"/>
        </w:rPr>
        <w:tab/>
      </w:r>
      <w:r w:rsidR="00A262DA" w:rsidRPr="00B92F1D">
        <w:rPr>
          <w:rFonts w:ascii="Verdana" w:hAnsi="Verdana"/>
          <w:sz w:val="22"/>
          <w:szCs w:val="22"/>
          <w:lang w:val="en-GB"/>
        </w:rPr>
        <w:t>T</w:t>
      </w:r>
      <w:r w:rsidR="00FE32D3" w:rsidRPr="00B92F1D">
        <w:rPr>
          <w:rFonts w:ascii="Verdana" w:hAnsi="Verdana"/>
          <w:sz w:val="22"/>
          <w:szCs w:val="22"/>
          <w:lang w:val="en-GB"/>
        </w:rPr>
        <w:t xml:space="preserve">he applicant </w:t>
      </w:r>
      <w:r w:rsidR="00A262DA" w:rsidRPr="00B92F1D">
        <w:rPr>
          <w:rFonts w:ascii="Verdana" w:hAnsi="Verdana"/>
          <w:sz w:val="22"/>
          <w:szCs w:val="22"/>
          <w:lang w:val="en-GB"/>
        </w:rPr>
        <w:t>asserts</w:t>
      </w:r>
      <w:r w:rsidR="00FE32D3" w:rsidRPr="00B92F1D">
        <w:rPr>
          <w:rFonts w:ascii="Verdana" w:hAnsi="Verdana"/>
          <w:sz w:val="22"/>
          <w:szCs w:val="22"/>
          <w:lang w:val="en-GB"/>
        </w:rPr>
        <w:t xml:space="preserve"> that since the first respondent is still married to another man in terms of the Marriage Act, 25 of 1961, there can be no valid customary marriage </w:t>
      </w:r>
      <w:r w:rsidR="00FE32D3" w:rsidRPr="00B92F1D">
        <w:rPr>
          <w:rFonts w:ascii="Verdana" w:hAnsi="Verdana"/>
          <w:i/>
          <w:sz w:val="22"/>
          <w:szCs w:val="22"/>
          <w:lang w:val="en-GB"/>
        </w:rPr>
        <w:t>“when one of the parties is a partner in an existing civil marriage”</w:t>
      </w:r>
      <w:r w:rsidR="00FE32D3" w:rsidRPr="00B92F1D">
        <w:rPr>
          <w:rFonts w:ascii="Verdana" w:hAnsi="Verdana"/>
          <w:sz w:val="22"/>
          <w:szCs w:val="22"/>
          <w:lang w:val="en-GB"/>
        </w:rPr>
        <w:t>.</w:t>
      </w:r>
      <w:r w:rsidR="00FE32D3" w:rsidRPr="00B92F1D">
        <w:rPr>
          <w:rStyle w:val="FootnoteReference"/>
          <w:rFonts w:ascii="Verdana" w:hAnsi="Verdana"/>
          <w:sz w:val="22"/>
          <w:szCs w:val="22"/>
          <w:lang w:val="en-GB"/>
        </w:rPr>
        <w:footnoteReference w:id="9"/>
      </w:r>
    </w:p>
    <w:p w14:paraId="48834FAA" w14:textId="3FB12BD0" w:rsidR="00BB6C5D" w:rsidRPr="00B92F1D" w:rsidRDefault="00951FAD" w:rsidP="00951FAD">
      <w:pPr>
        <w:pStyle w:val="Indent"/>
        <w:widowControl w:val="0"/>
        <w:numPr>
          <w:ilvl w:val="0"/>
          <w:numId w:val="0"/>
        </w:numPr>
        <w:spacing w:after="360" w:line="480" w:lineRule="auto"/>
        <w:ind w:left="720" w:hanging="720"/>
        <w:jc w:val="both"/>
        <w:rPr>
          <w:rFonts w:ascii="Verdana" w:hAnsi="Verdana" w:cs="Arial"/>
          <w:sz w:val="22"/>
          <w:szCs w:val="22"/>
          <w:lang w:val="en-GB"/>
        </w:rPr>
      </w:pPr>
      <w:r w:rsidRPr="00B92F1D">
        <w:rPr>
          <w:rFonts w:ascii="Verdana" w:hAnsi="Verdana" w:cs="Arial"/>
          <w:sz w:val="22"/>
          <w:szCs w:val="22"/>
          <w:lang w:val="en-GB"/>
        </w:rPr>
        <w:t>[17]</w:t>
      </w:r>
      <w:r w:rsidRPr="00B92F1D">
        <w:rPr>
          <w:rFonts w:ascii="Verdana" w:hAnsi="Verdana" w:cs="Arial"/>
          <w:sz w:val="22"/>
          <w:szCs w:val="22"/>
          <w:lang w:val="en-GB"/>
        </w:rPr>
        <w:tab/>
      </w:r>
      <w:r w:rsidR="00BB6C5D" w:rsidRPr="00B92F1D">
        <w:rPr>
          <w:rFonts w:ascii="Verdana" w:hAnsi="Verdana" w:cs="Arial"/>
          <w:sz w:val="22"/>
          <w:szCs w:val="22"/>
          <w:lang w:val="en-GB"/>
        </w:rPr>
        <w:t>The applicant alleges that the transfer of the property was fraudulent in that the power of attorney indicates that the property was sold in April 2014 whilst the title deed reflects the purchase date as the 22</w:t>
      </w:r>
      <w:r w:rsidR="00BB6C5D" w:rsidRPr="00B92F1D">
        <w:rPr>
          <w:rFonts w:ascii="Verdana" w:hAnsi="Verdana" w:cs="Arial"/>
          <w:sz w:val="22"/>
          <w:szCs w:val="22"/>
          <w:vertAlign w:val="superscript"/>
          <w:lang w:val="en-GB"/>
        </w:rPr>
        <w:t>nd</w:t>
      </w:r>
      <w:r w:rsidR="00BB6C5D" w:rsidRPr="00B92F1D">
        <w:rPr>
          <w:rFonts w:ascii="Verdana" w:hAnsi="Verdana" w:cs="Arial"/>
          <w:sz w:val="22"/>
          <w:szCs w:val="22"/>
          <w:lang w:val="en-GB"/>
        </w:rPr>
        <w:t xml:space="preserve"> of May 2014.  </w:t>
      </w:r>
      <w:r w:rsidR="00290E5A" w:rsidRPr="00B92F1D">
        <w:rPr>
          <w:rFonts w:ascii="Verdana" w:hAnsi="Verdana" w:cs="Arial"/>
          <w:sz w:val="22"/>
          <w:szCs w:val="22"/>
          <w:lang w:val="en-GB"/>
        </w:rPr>
        <w:t xml:space="preserve">Moreover, </w:t>
      </w:r>
      <w:r w:rsidR="00BB6C5D" w:rsidRPr="00B92F1D">
        <w:rPr>
          <w:rFonts w:ascii="Verdana" w:hAnsi="Verdana" w:cs="Arial"/>
          <w:sz w:val="22"/>
          <w:szCs w:val="22"/>
          <w:lang w:val="en-GB"/>
        </w:rPr>
        <w:t xml:space="preserve">the applicant disagrees with both these dates as it is her case that the property was bought by her and the deceased </w:t>
      </w:r>
      <w:r w:rsidR="00290E5A" w:rsidRPr="00B92F1D">
        <w:rPr>
          <w:rFonts w:ascii="Verdana" w:hAnsi="Verdana" w:cs="Arial"/>
          <w:sz w:val="22"/>
          <w:szCs w:val="22"/>
          <w:lang w:val="en-GB"/>
        </w:rPr>
        <w:t xml:space="preserve">on 2 November </w:t>
      </w:r>
      <w:r w:rsidR="00BB6C5D" w:rsidRPr="00B92F1D">
        <w:rPr>
          <w:rFonts w:ascii="Verdana" w:hAnsi="Verdana" w:cs="Arial"/>
          <w:sz w:val="22"/>
          <w:szCs w:val="22"/>
          <w:lang w:val="en-GB"/>
        </w:rPr>
        <w:t xml:space="preserve">1988.  </w:t>
      </w:r>
    </w:p>
    <w:p w14:paraId="7278B6CD" w14:textId="46943B3B" w:rsidR="00BB6C5D" w:rsidRPr="00B92F1D" w:rsidRDefault="00951FAD" w:rsidP="00951FAD">
      <w:pPr>
        <w:pStyle w:val="Indent"/>
        <w:widowControl w:val="0"/>
        <w:numPr>
          <w:ilvl w:val="0"/>
          <w:numId w:val="0"/>
        </w:numPr>
        <w:spacing w:after="360" w:line="480" w:lineRule="auto"/>
        <w:ind w:left="720" w:hanging="720"/>
        <w:jc w:val="both"/>
        <w:rPr>
          <w:rFonts w:ascii="Verdana" w:hAnsi="Verdana" w:cs="Arial"/>
          <w:sz w:val="22"/>
          <w:szCs w:val="22"/>
          <w:lang w:val="en-GB"/>
        </w:rPr>
      </w:pPr>
      <w:r w:rsidRPr="00B92F1D">
        <w:rPr>
          <w:rFonts w:ascii="Verdana" w:hAnsi="Verdana" w:cs="Arial"/>
          <w:sz w:val="22"/>
          <w:szCs w:val="22"/>
          <w:lang w:val="en-GB"/>
        </w:rPr>
        <w:t>[18]</w:t>
      </w:r>
      <w:r w:rsidRPr="00B92F1D">
        <w:rPr>
          <w:rFonts w:ascii="Verdana" w:hAnsi="Verdana" w:cs="Arial"/>
          <w:sz w:val="22"/>
          <w:szCs w:val="22"/>
          <w:lang w:val="en-GB"/>
        </w:rPr>
        <w:tab/>
      </w:r>
      <w:r w:rsidR="00BB6C5D" w:rsidRPr="00B92F1D">
        <w:rPr>
          <w:rFonts w:ascii="Verdana" w:hAnsi="Verdana" w:cs="Arial"/>
          <w:sz w:val="22"/>
          <w:szCs w:val="22"/>
          <w:lang w:val="en-GB"/>
        </w:rPr>
        <w:t xml:space="preserve">The further fraudulent act that was perpetrated, according to the applicant, is the fact that both the deceased and the first respondent failed to disclose their </w:t>
      </w:r>
      <w:r w:rsidR="00610BE5" w:rsidRPr="00B92F1D">
        <w:rPr>
          <w:rFonts w:ascii="Verdana" w:hAnsi="Verdana" w:cs="Arial"/>
          <w:sz w:val="22"/>
          <w:szCs w:val="22"/>
          <w:lang w:val="en-GB"/>
        </w:rPr>
        <w:t xml:space="preserve">true </w:t>
      </w:r>
      <w:r w:rsidR="00BB6C5D" w:rsidRPr="00B92F1D">
        <w:rPr>
          <w:rFonts w:ascii="Verdana" w:hAnsi="Verdana" w:cs="Arial"/>
          <w:sz w:val="22"/>
          <w:szCs w:val="22"/>
          <w:lang w:val="en-GB"/>
        </w:rPr>
        <w:t xml:space="preserve">marital status to the prejudice not only of the applicant, but also to </w:t>
      </w:r>
      <w:proofErr w:type="spellStart"/>
      <w:r w:rsidR="00610BE5" w:rsidRPr="00B92F1D">
        <w:rPr>
          <w:rFonts w:ascii="Verdana" w:hAnsi="Verdana" w:cs="Arial"/>
          <w:sz w:val="22"/>
          <w:szCs w:val="22"/>
          <w:lang w:val="en-GB"/>
        </w:rPr>
        <w:t>Monama</w:t>
      </w:r>
      <w:proofErr w:type="spellEnd"/>
      <w:r w:rsidR="00610BE5" w:rsidRPr="00B92F1D">
        <w:rPr>
          <w:rFonts w:ascii="Verdana" w:hAnsi="Verdana" w:cs="Arial"/>
          <w:sz w:val="22"/>
          <w:szCs w:val="22"/>
          <w:lang w:val="en-GB"/>
        </w:rPr>
        <w:t>.</w:t>
      </w:r>
      <w:r w:rsidR="00BB6C5D" w:rsidRPr="00B92F1D">
        <w:rPr>
          <w:rFonts w:ascii="Verdana" w:hAnsi="Verdana" w:cs="Arial"/>
          <w:sz w:val="22"/>
          <w:szCs w:val="22"/>
          <w:lang w:val="en-GB"/>
        </w:rPr>
        <w:t xml:space="preserve">  </w:t>
      </w:r>
    </w:p>
    <w:p w14:paraId="192CBBBA" w14:textId="2C9E0E38" w:rsidR="00BB6C5D" w:rsidRPr="00B92F1D" w:rsidRDefault="00951FAD" w:rsidP="00951FAD">
      <w:pPr>
        <w:pStyle w:val="Indent"/>
        <w:widowControl w:val="0"/>
        <w:numPr>
          <w:ilvl w:val="0"/>
          <w:numId w:val="0"/>
        </w:numPr>
        <w:spacing w:after="360" w:line="480" w:lineRule="auto"/>
        <w:ind w:left="720" w:hanging="720"/>
        <w:jc w:val="both"/>
        <w:rPr>
          <w:rFonts w:ascii="Verdana" w:hAnsi="Verdana" w:cs="Arial"/>
          <w:sz w:val="22"/>
          <w:szCs w:val="22"/>
          <w:lang w:val="en-GB"/>
        </w:rPr>
      </w:pPr>
      <w:r w:rsidRPr="00B92F1D">
        <w:rPr>
          <w:rFonts w:ascii="Verdana" w:hAnsi="Verdana" w:cs="Arial"/>
          <w:sz w:val="22"/>
          <w:szCs w:val="22"/>
          <w:lang w:val="en-GB"/>
        </w:rPr>
        <w:t>[19]</w:t>
      </w:r>
      <w:r w:rsidRPr="00B92F1D">
        <w:rPr>
          <w:rFonts w:ascii="Verdana" w:hAnsi="Verdana" w:cs="Arial"/>
          <w:sz w:val="22"/>
          <w:szCs w:val="22"/>
          <w:lang w:val="en-GB"/>
        </w:rPr>
        <w:tab/>
      </w:r>
      <w:r w:rsidR="00BB6C5D" w:rsidRPr="00B92F1D">
        <w:rPr>
          <w:rFonts w:ascii="Verdana" w:hAnsi="Verdana" w:cs="Arial"/>
          <w:sz w:val="22"/>
          <w:szCs w:val="22"/>
          <w:lang w:val="en-GB"/>
        </w:rPr>
        <w:t xml:space="preserve">Ultimately, the applicant concludes that the first respondent has no legal right over the property, that she has her own house and has not contributed in any form to the acquisition and maintenance of the </w:t>
      </w:r>
      <w:r w:rsidR="00BB6C5D" w:rsidRPr="00B92F1D">
        <w:rPr>
          <w:rFonts w:ascii="Verdana" w:hAnsi="Verdana" w:cs="Arial"/>
          <w:sz w:val="22"/>
          <w:szCs w:val="22"/>
          <w:lang w:val="en-GB"/>
        </w:rPr>
        <w:lastRenderedPageBreak/>
        <w:t>property</w:t>
      </w:r>
      <w:r w:rsidR="00830591" w:rsidRPr="00B92F1D">
        <w:rPr>
          <w:rFonts w:ascii="Verdana" w:hAnsi="Verdana" w:cs="Arial"/>
          <w:sz w:val="22"/>
          <w:szCs w:val="22"/>
          <w:lang w:val="en-GB"/>
        </w:rPr>
        <w:t>.</w:t>
      </w:r>
    </w:p>
    <w:p w14:paraId="6B53FB73" w14:textId="715A19D0" w:rsidR="00BB6C5D" w:rsidRPr="00B92F1D" w:rsidRDefault="00BB6C5D" w:rsidP="00BB6C5D">
      <w:pPr>
        <w:pStyle w:val="Indent"/>
        <w:keepNext/>
        <w:widowControl w:val="0"/>
        <w:numPr>
          <w:ilvl w:val="0"/>
          <w:numId w:val="0"/>
        </w:numPr>
        <w:spacing w:after="360" w:line="480" w:lineRule="auto"/>
        <w:jc w:val="both"/>
        <w:rPr>
          <w:rFonts w:ascii="Verdana" w:hAnsi="Verdana" w:cs="Arial"/>
          <w:b/>
          <w:sz w:val="22"/>
          <w:szCs w:val="22"/>
          <w:lang w:val="en-GB"/>
        </w:rPr>
      </w:pPr>
      <w:r w:rsidRPr="00B92F1D">
        <w:rPr>
          <w:rFonts w:ascii="Verdana" w:hAnsi="Verdana" w:cs="Arial"/>
          <w:b/>
          <w:sz w:val="22"/>
          <w:szCs w:val="22"/>
          <w:lang w:val="en-GB"/>
        </w:rPr>
        <w:t>THE FIRST RESPONDENT’S CASE</w:t>
      </w:r>
    </w:p>
    <w:p w14:paraId="1C634305" w14:textId="61BD0CB9" w:rsidR="009A72D3" w:rsidRPr="00B92F1D" w:rsidRDefault="00951FAD" w:rsidP="00951FAD">
      <w:pPr>
        <w:pStyle w:val="Indent"/>
        <w:widowControl w:val="0"/>
        <w:numPr>
          <w:ilvl w:val="0"/>
          <w:numId w:val="0"/>
        </w:numPr>
        <w:spacing w:after="360" w:line="480" w:lineRule="auto"/>
        <w:ind w:left="709" w:hanging="709"/>
        <w:jc w:val="both"/>
        <w:rPr>
          <w:rFonts w:ascii="Verdana" w:hAnsi="Verdana"/>
          <w:sz w:val="22"/>
          <w:szCs w:val="22"/>
          <w:lang w:val="en-GB"/>
        </w:rPr>
      </w:pPr>
      <w:r w:rsidRPr="00B92F1D">
        <w:rPr>
          <w:rFonts w:ascii="Verdana" w:hAnsi="Verdana"/>
          <w:sz w:val="22"/>
          <w:szCs w:val="22"/>
          <w:lang w:val="en-GB"/>
        </w:rPr>
        <w:t>[20]</w:t>
      </w:r>
      <w:r w:rsidRPr="00B92F1D">
        <w:rPr>
          <w:rFonts w:ascii="Verdana" w:hAnsi="Verdana"/>
          <w:sz w:val="22"/>
          <w:szCs w:val="22"/>
          <w:lang w:val="en-GB"/>
        </w:rPr>
        <w:tab/>
      </w:r>
      <w:r w:rsidR="00BB6C5D" w:rsidRPr="00B92F1D">
        <w:rPr>
          <w:rFonts w:ascii="Verdana" w:hAnsi="Verdana"/>
          <w:sz w:val="22"/>
          <w:szCs w:val="22"/>
          <w:lang w:val="en-GB"/>
        </w:rPr>
        <w:t>The first respondent avers that she and the deceased moved in together in 1999 and entered into a customary marriage on the 7</w:t>
      </w:r>
      <w:r w:rsidR="00BB6C5D" w:rsidRPr="00B92F1D">
        <w:rPr>
          <w:rFonts w:ascii="Verdana" w:hAnsi="Verdana"/>
          <w:sz w:val="22"/>
          <w:szCs w:val="22"/>
          <w:vertAlign w:val="superscript"/>
          <w:lang w:val="en-GB"/>
        </w:rPr>
        <w:t>th</w:t>
      </w:r>
      <w:r w:rsidR="00BB6C5D" w:rsidRPr="00B92F1D">
        <w:rPr>
          <w:rFonts w:ascii="Verdana" w:hAnsi="Verdana"/>
          <w:sz w:val="22"/>
          <w:szCs w:val="22"/>
          <w:lang w:val="en-GB"/>
        </w:rPr>
        <w:t> of July 2000.  On the 7</w:t>
      </w:r>
      <w:r w:rsidR="00BB6C5D" w:rsidRPr="00B92F1D">
        <w:rPr>
          <w:rFonts w:ascii="Verdana" w:hAnsi="Verdana"/>
          <w:sz w:val="22"/>
          <w:szCs w:val="22"/>
          <w:vertAlign w:val="superscript"/>
          <w:lang w:val="en-GB"/>
        </w:rPr>
        <w:t>th</w:t>
      </w:r>
      <w:r w:rsidR="00BB6C5D" w:rsidRPr="00B92F1D">
        <w:rPr>
          <w:rFonts w:ascii="Verdana" w:hAnsi="Verdana"/>
          <w:sz w:val="22"/>
          <w:szCs w:val="22"/>
          <w:lang w:val="en-GB"/>
        </w:rPr>
        <w:t xml:space="preserve"> of July 2000 the deceased, according to the first respondent, sent a delegation who paid </w:t>
      </w:r>
      <w:proofErr w:type="spellStart"/>
      <w:r w:rsidR="00BB6C5D" w:rsidRPr="00B92F1D">
        <w:rPr>
          <w:rFonts w:ascii="Verdana" w:hAnsi="Verdana"/>
          <w:sz w:val="22"/>
          <w:szCs w:val="22"/>
          <w:lang w:val="en-GB"/>
        </w:rPr>
        <w:t>labola</w:t>
      </w:r>
      <w:proofErr w:type="spellEnd"/>
      <w:r w:rsidR="00BB6C5D" w:rsidRPr="00B92F1D">
        <w:rPr>
          <w:rFonts w:ascii="Verdana" w:hAnsi="Verdana"/>
          <w:sz w:val="22"/>
          <w:szCs w:val="22"/>
          <w:lang w:val="en-GB"/>
        </w:rPr>
        <w:t xml:space="preserve"> to her family in the amount of R2</w:t>
      </w:r>
      <w:proofErr w:type="gramStart"/>
      <w:r w:rsidR="00BB6C5D" w:rsidRPr="00B92F1D">
        <w:rPr>
          <w:rFonts w:ascii="Verdana" w:hAnsi="Verdana"/>
          <w:sz w:val="22"/>
          <w:szCs w:val="22"/>
          <w:lang w:val="en-GB"/>
        </w:rPr>
        <w:t>,500.00</w:t>
      </w:r>
      <w:proofErr w:type="gramEnd"/>
      <w:r w:rsidR="00E64E20" w:rsidRPr="00B92F1D">
        <w:rPr>
          <w:rFonts w:ascii="Verdana" w:hAnsi="Verdana"/>
          <w:sz w:val="22"/>
          <w:szCs w:val="22"/>
          <w:lang w:val="en-GB"/>
        </w:rPr>
        <w:t xml:space="preserve">.  She further states that on the same day she was handed over to the deceased’s family and a celebration followed.  </w:t>
      </w:r>
      <w:r w:rsidR="00830591" w:rsidRPr="00B92F1D">
        <w:rPr>
          <w:rFonts w:ascii="Verdana" w:hAnsi="Verdana"/>
          <w:sz w:val="22"/>
          <w:szCs w:val="22"/>
          <w:lang w:val="en-GB"/>
        </w:rPr>
        <w:t>She attache</w:t>
      </w:r>
      <w:r w:rsidR="00900183" w:rsidRPr="00B92F1D">
        <w:rPr>
          <w:rFonts w:ascii="Verdana" w:hAnsi="Verdana"/>
          <w:sz w:val="22"/>
          <w:szCs w:val="22"/>
          <w:lang w:val="en-GB"/>
        </w:rPr>
        <w:t>d</w:t>
      </w:r>
      <w:r w:rsidR="00830591" w:rsidRPr="00B92F1D">
        <w:rPr>
          <w:rFonts w:ascii="Verdana" w:hAnsi="Verdana"/>
          <w:sz w:val="22"/>
          <w:szCs w:val="22"/>
          <w:lang w:val="en-GB"/>
        </w:rPr>
        <w:t xml:space="preserve"> several </w:t>
      </w:r>
      <w:r w:rsidR="00900183" w:rsidRPr="00B92F1D">
        <w:rPr>
          <w:rFonts w:ascii="Verdana" w:hAnsi="Verdana"/>
          <w:sz w:val="22"/>
          <w:szCs w:val="22"/>
          <w:lang w:val="en-GB"/>
        </w:rPr>
        <w:t xml:space="preserve">affidavits deposed to by the delegates </w:t>
      </w:r>
      <w:r w:rsidR="0009045F" w:rsidRPr="00B92F1D">
        <w:rPr>
          <w:rFonts w:ascii="Verdana" w:hAnsi="Verdana"/>
          <w:sz w:val="22"/>
          <w:szCs w:val="22"/>
          <w:lang w:val="en-GB"/>
        </w:rPr>
        <w:t>to her papers</w:t>
      </w:r>
      <w:r w:rsidR="0009045F">
        <w:rPr>
          <w:rFonts w:ascii="Verdana" w:hAnsi="Verdana"/>
          <w:sz w:val="22"/>
          <w:szCs w:val="22"/>
          <w:lang w:val="en-GB"/>
        </w:rPr>
        <w:t xml:space="preserve"> </w:t>
      </w:r>
      <w:r w:rsidR="00900183" w:rsidRPr="00B92F1D">
        <w:rPr>
          <w:rFonts w:ascii="Verdana" w:hAnsi="Verdana"/>
          <w:sz w:val="22"/>
          <w:szCs w:val="22"/>
          <w:lang w:val="en-GB"/>
        </w:rPr>
        <w:t xml:space="preserve">who confirm the conclusions of the customary marriage </w:t>
      </w:r>
    </w:p>
    <w:p w14:paraId="18473AEE" w14:textId="5E32E661" w:rsidR="00725BB6" w:rsidRPr="00B92F1D" w:rsidRDefault="00951FAD" w:rsidP="00951FAD">
      <w:pPr>
        <w:pStyle w:val="Indent"/>
        <w:widowControl w:val="0"/>
        <w:numPr>
          <w:ilvl w:val="0"/>
          <w:numId w:val="0"/>
        </w:numPr>
        <w:spacing w:after="360" w:line="480" w:lineRule="auto"/>
        <w:ind w:left="709" w:hanging="709"/>
        <w:jc w:val="both"/>
        <w:rPr>
          <w:rFonts w:ascii="Verdana" w:hAnsi="Verdana"/>
          <w:sz w:val="22"/>
          <w:szCs w:val="22"/>
          <w:lang w:val="en-GB"/>
        </w:rPr>
      </w:pPr>
      <w:r w:rsidRPr="00B92F1D">
        <w:rPr>
          <w:rFonts w:ascii="Verdana" w:hAnsi="Verdana"/>
          <w:sz w:val="22"/>
          <w:szCs w:val="22"/>
          <w:lang w:val="en-GB"/>
        </w:rPr>
        <w:t>[21]</w:t>
      </w:r>
      <w:r w:rsidRPr="00B92F1D">
        <w:rPr>
          <w:rFonts w:ascii="Verdana" w:hAnsi="Verdana"/>
          <w:sz w:val="22"/>
          <w:szCs w:val="22"/>
          <w:lang w:val="en-GB"/>
        </w:rPr>
        <w:tab/>
      </w:r>
      <w:r w:rsidR="00725BB6" w:rsidRPr="00B92F1D">
        <w:rPr>
          <w:rFonts w:ascii="Verdana" w:hAnsi="Verdana"/>
          <w:sz w:val="22"/>
          <w:szCs w:val="22"/>
          <w:lang w:val="en-GB"/>
        </w:rPr>
        <w:t>At paragraph 9 of her answering affidavit the first respondent states as follows: -</w:t>
      </w:r>
    </w:p>
    <w:p w14:paraId="1A144FD4" w14:textId="0FB2492A" w:rsidR="00725BB6" w:rsidRPr="00B92F1D" w:rsidRDefault="00725BB6" w:rsidP="00725BB6">
      <w:pPr>
        <w:pStyle w:val="Indent"/>
        <w:widowControl w:val="0"/>
        <w:numPr>
          <w:ilvl w:val="0"/>
          <w:numId w:val="0"/>
        </w:numPr>
        <w:spacing w:after="480" w:line="360" w:lineRule="auto"/>
        <w:ind w:left="1440"/>
        <w:jc w:val="both"/>
        <w:rPr>
          <w:rFonts w:ascii="Verdana" w:hAnsi="Verdana"/>
          <w:i/>
          <w:sz w:val="22"/>
          <w:szCs w:val="22"/>
          <w:lang w:val="en-GB"/>
        </w:rPr>
      </w:pPr>
      <w:r w:rsidRPr="00B92F1D">
        <w:rPr>
          <w:rFonts w:ascii="Verdana" w:hAnsi="Verdana"/>
          <w:i/>
          <w:sz w:val="22"/>
          <w:szCs w:val="22"/>
          <w:lang w:val="en-GB"/>
        </w:rPr>
        <w:t>“We have therefore been customarily married since 2002 and our marriage was ended by his death.  I am in</w:t>
      </w:r>
      <w:r w:rsidR="008D144C" w:rsidRPr="00B92F1D">
        <w:rPr>
          <w:rFonts w:ascii="Verdana" w:hAnsi="Verdana"/>
          <w:i/>
          <w:sz w:val="22"/>
          <w:szCs w:val="22"/>
          <w:lang w:val="en-GB"/>
        </w:rPr>
        <w:t xml:space="preserve"> [sic]</w:t>
      </w:r>
      <w:r w:rsidRPr="00B92F1D">
        <w:rPr>
          <w:rFonts w:ascii="Verdana" w:hAnsi="Verdana"/>
          <w:i/>
          <w:sz w:val="22"/>
          <w:szCs w:val="22"/>
          <w:lang w:val="en-GB"/>
        </w:rPr>
        <w:t xml:space="preserve"> a verge of registering our customary marriage.”</w:t>
      </w:r>
      <w:r w:rsidRPr="00B92F1D">
        <w:rPr>
          <w:rStyle w:val="FootnoteReference"/>
          <w:rFonts w:ascii="Verdana" w:hAnsi="Verdana"/>
          <w:i/>
          <w:sz w:val="22"/>
          <w:szCs w:val="22"/>
          <w:lang w:val="en-GB"/>
        </w:rPr>
        <w:footnoteReference w:id="10"/>
      </w:r>
    </w:p>
    <w:p w14:paraId="0E5BE7BD" w14:textId="07D7004B" w:rsidR="00E64E20" w:rsidRPr="0009045F" w:rsidRDefault="00951FAD" w:rsidP="00951FAD">
      <w:pPr>
        <w:pStyle w:val="Indent"/>
        <w:widowControl w:val="0"/>
        <w:numPr>
          <w:ilvl w:val="0"/>
          <w:numId w:val="0"/>
        </w:numPr>
        <w:spacing w:after="360" w:line="480" w:lineRule="auto"/>
        <w:ind w:left="709" w:hanging="709"/>
        <w:jc w:val="both"/>
        <w:rPr>
          <w:rFonts w:ascii="Verdana" w:hAnsi="Verdana"/>
          <w:sz w:val="22"/>
          <w:szCs w:val="22"/>
          <w:lang w:val="en-GB"/>
        </w:rPr>
      </w:pPr>
      <w:r w:rsidRPr="0009045F">
        <w:rPr>
          <w:rFonts w:ascii="Verdana" w:hAnsi="Verdana"/>
          <w:sz w:val="22"/>
          <w:szCs w:val="22"/>
          <w:lang w:val="en-GB"/>
        </w:rPr>
        <w:t>[22]</w:t>
      </w:r>
      <w:r w:rsidRPr="0009045F">
        <w:rPr>
          <w:rFonts w:ascii="Verdana" w:hAnsi="Verdana"/>
          <w:sz w:val="22"/>
          <w:szCs w:val="22"/>
          <w:lang w:val="en-GB"/>
        </w:rPr>
        <w:tab/>
      </w:r>
      <w:r w:rsidR="00E64E20" w:rsidRPr="00B92F1D">
        <w:rPr>
          <w:rFonts w:ascii="Verdana" w:hAnsi="Verdana"/>
          <w:sz w:val="22"/>
          <w:szCs w:val="22"/>
          <w:lang w:val="en-GB"/>
        </w:rPr>
        <w:t>When her and the deceased moved into the property, the first respondent was advised by the deceased that the property belonged to him, but that he was still paying the purchase amount of R35</w:t>
      </w:r>
      <w:proofErr w:type="gramStart"/>
      <w:r w:rsidR="00E64E20" w:rsidRPr="00B92F1D">
        <w:rPr>
          <w:rFonts w:ascii="Verdana" w:hAnsi="Verdana"/>
          <w:sz w:val="22"/>
          <w:szCs w:val="22"/>
          <w:lang w:val="en-GB"/>
        </w:rPr>
        <w:t>,000.00</w:t>
      </w:r>
      <w:proofErr w:type="gramEnd"/>
      <w:r w:rsidR="00E64E20" w:rsidRPr="00B92F1D">
        <w:rPr>
          <w:rFonts w:ascii="Verdana" w:hAnsi="Verdana"/>
          <w:sz w:val="22"/>
          <w:szCs w:val="22"/>
          <w:lang w:val="en-GB"/>
        </w:rPr>
        <w:t xml:space="preserve"> to </w:t>
      </w:r>
      <w:proofErr w:type="spellStart"/>
      <w:r w:rsidR="00C622E0">
        <w:rPr>
          <w:rFonts w:ascii="Verdana" w:hAnsi="Verdana"/>
          <w:sz w:val="22"/>
          <w:szCs w:val="22"/>
          <w:lang w:val="en-GB"/>
        </w:rPr>
        <w:t>Mota</w:t>
      </w:r>
      <w:proofErr w:type="spellEnd"/>
      <w:r w:rsidR="00E64E20" w:rsidRPr="00B92F1D">
        <w:rPr>
          <w:rFonts w:ascii="Verdana" w:hAnsi="Verdana"/>
          <w:sz w:val="22"/>
          <w:szCs w:val="22"/>
          <w:lang w:val="en-GB"/>
        </w:rPr>
        <w:t xml:space="preserve">.  </w:t>
      </w:r>
      <w:r w:rsidR="00E64E20" w:rsidRPr="0009045F">
        <w:rPr>
          <w:rFonts w:ascii="Verdana" w:hAnsi="Verdana"/>
          <w:sz w:val="22"/>
          <w:szCs w:val="22"/>
          <w:lang w:val="en-GB"/>
        </w:rPr>
        <w:t>At the time she moved in, the remaining amount was R5</w:t>
      </w:r>
      <w:proofErr w:type="gramStart"/>
      <w:r w:rsidR="00E64E20" w:rsidRPr="0009045F">
        <w:rPr>
          <w:rFonts w:ascii="Verdana" w:hAnsi="Verdana"/>
          <w:sz w:val="22"/>
          <w:szCs w:val="22"/>
          <w:lang w:val="en-GB"/>
        </w:rPr>
        <w:t>,000.00</w:t>
      </w:r>
      <w:proofErr w:type="gramEnd"/>
      <w:r w:rsidR="00E64E20" w:rsidRPr="0009045F">
        <w:rPr>
          <w:rFonts w:ascii="Verdana" w:hAnsi="Verdana"/>
          <w:sz w:val="22"/>
          <w:szCs w:val="22"/>
          <w:lang w:val="en-GB"/>
        </w:rPr>
        <w:t xml:space="preserve"> to complete the transaction of R35,000.00.  The first respondent avers that when she and the deceased paid the remaining R5</w:t>
      </w:r>
      <w:proofErr w:type="gramStart"/>
      <w:r w:rsidR="00E64E20" w:rsidRPr="0009045F">
        <w:rPr>
          <w:rFonts w:ascii="Verdana" w:hAnsi="Verdana"/>
          <w:sz w:val="22"/>
          <w:szCs w:val="22"/>
          <w:lang w:val="en-GB"/>
        </w:rPr>
        <w:t>,000.00</w:t>
      </w:r>
      <w:proofErr w:type="gramEnd"/>
      <w:r w:rsidR="00E64E20" w:rsidRPr="0009045F">
        <w:rPr>
          <w:rFonts w:ascii="Verdana" w:hAnsi="Verdana"/>
          <w:sz w:val="22"/>
          <w:szCs w:val="22"/>
          <w:lang w:val="en-GB"/>
        </w:rPr>
        <w:t>, Mr </w:t>
      </w:r>
      <w:proofErr w:type="spellStart"/>
      <w:r w:rsidR="00C622E0" w:rsidRPr="0009045F">
        <w:rPr>
          <w:rFonts w:ascii="Verdana" w:hAnsi="Verdana"/>
          <w:sz w:val="22"/>
          <w:szCs w:val="22"/>
          <w:lang w:val="en-GB"/>
        </w:rPr>
        <w:t>Mota</w:t>
      </w:r>
      <w:proofErr w:type="spellEnd"/>
      <w:r w:rsidR="00E64E20" w:rsidRPr="0009045F">
        <w:rPr>
          <w:rFonts w:ascii="Verdana" w:hAnsi="Verdana"/>
          <w:sz w:val="22"/>
          <w:szCs w:val="22"/>
          <w:lang w:val="en-GB"/>
        </w:rPr>
        <w:t xml:space="preserve"> refused to transfer the property to the deceased’s name and claimed that the amount of </w:t>
      </w:r>
      <w:r w:rsidR="00E64E20" w:rsidRPr="0009045F">
        <w:rPr>
          <w:rFonts w:ascii="Verdana" w:hAnsi="Verdana"/>
          <w:sz w:val="22"/>
          <w:szCs w:val="22"/>
          <w:lang w:val="en-GB"/>
        </w:rPr>
        <w:lastRenderedPageBreak/>
        <w:t>R35,000.00 was too little.  He then demanded an additional R40</w:t>
      </w:r>
      <w:proofErr w:type="gramStart"/>
      <w:r w:rsidR="00E64E20" w:rsidRPr="0009045F">
        <w:rPr>
          <w:rFonts w:ascii="Verdana" w:hAnsi="Verdana"/>
          <w:sz w:val="22"/>
          <w:szCs w:val="22"/>
          <w:lang w:val="en-GB"/>
        </w:rPr>
        <w:t>,000.00</w:t>
      </w:r>
      <w:proofErr w:type="gramEnd"/>
      <w:r w:rsidR="00E64E20" w:rsidRPr="0009045F">
        <w:rPr>
          <w:rFonts w:ascii="Verdana" w:hAnsi="Verdana"/>
          <w:sz w:val="22"/>
          <w:szCs w:val="22"/>
          <w:lang w:val="en-GB"/>
        </w:rPr>
        <w:t xml:space="preserve"> to make up the full purchase price of R75,000.00.  </w:t>
      </w:r>
    </w:p>
    <w:p w14:paraId="2327BEA1" w14:textId="38FAC7FD" w:rsidR="00E64E20" w:rsidRPr="00B92F1D" w:rsidRDefault="00951FAD" w:rsidP="00951FAD">
      <w:pPr>
        <w:pStyle w:val="Indent"/>
        <w:widowControl w:val="0"/>
        <w:numPr>
          <w:ilvl w:val="0"/>
          <w:numId w:val="0"/>
        </w:numPr>
        <w:spacing w:after="360" w:line="480" w:lineRule="auto"/>
        <w:ind w:left="709" w:hanging="709"/>
        <w:jc w:val="both"/>
        <w:rPr>
          <w:rFonts w:ascii="Verdana" w:hAnsi="Verdana"/>
          <w:sz w:val="22"/>
          <w:szCs w:val="22"/>
          <w:lang w:val="en-GB"/>
        </w:rPr>
      </w:pPr>
      <w:r w:rsidRPr="00B92F1D">
        <w:rPr>
          <w:rFonts w:ascii="Verdana" w:hAnsi="Verdana"/>
          <w:sz w:val="22"/>
          <w:szCs w:val="22"/>
          <w:lang w:val="en-GB"/>
        </w:rPr>
        <w:t>[23]</w:t>
      </w:r>
      <w:r w:rsidRPr="00B92F1D">
        <w:rPr>
          <w:rFonts w:ascii="Verdana" w:hAnsi="Verdana"/>
          <w:sz w:val="22"/>
          <w:szCs w:val="22"/>
          <w:lang w:val="en-GB"/>
        </w:rPr>
        <w:tab/>
      </w:r>
      <w:r w:rsidR="00E64E20" w:rsidRPr="00B92F1D">
        <w:rPr>
          <w:rFonts w:ascii="Verdana" w:hAnsi="Verdana"/>
          <w:sz w:val="22"/>
          <w:szCs w:val="22"/>
          <w:lang w:val="en-GB"/>
        </w:rPr>
        <w:t>The first respondent alleges that she paid the remaining R40</w:t>
      </w:r>
      <w:proofErr w:type="gramStart"/>
      <w:r w:rsidR="00E64E20" w:rsidRPr="00B92F1D">
        <w:rPr>
          <w:rFonts w:ascii="Verdana" w:hAnsi="Verdana"/>
          <w:sz w:val="22"/>
          <w:szCs w:val="22"/>
          <w:lang w:val="en-GB"/>
        </w:rPr>
        <w:t>,000.00</w:t>
      </w:r>
      <w:proofErr w:type="gramEnd"/>
      <w:r w:rsidR="00E64E20" w:rsidRPr="00B92F1D">
        <w:rPr>
          <w:rFonts w:ascii="Verdana" w:hAnsi="Verdana"/>
          <w:sz w:val="22"/>
          <w:szCs w:val="22"/>
          <w:lang w:val="en-GB"/>
        </w:rPr>
        <w:t xml:space="preserve"> by way of a lump sum of R10,000.00 and monthly instalments of R5,000.00 until the R40,000.00 was paid in full in May 2014.  She obtained the money from her society and from a loan that she took from African Bank.  </w:t>
      </w:r>
    </w:p>
    <w:p w14:paraId="068C2CA8" w14:textId="22EEA9F4" w:rsidR="00E64E20" w:rsidRPr="00B92F1D" w:rsidRDefault="00951FAD" w:rsidP="00951FAD">
      <w:pPr>
        <w:pStyle w:val="Indent"/>
        <w:widowControl w:val="0"/>
        <w:numPr>
          <w:ilvl w:val="0"/>
          <w:numId w:val="0"/>
        </w:numPr>
        <w:spacing w:after="360" w:line="480" w:lineRule="auto"/>
        <w:ind w:left="709" w:hanging="709"/>
        <w:jc w:val="both"/>
        <w:rPr>
          <w:rFonts w:ascii="Verdana" w:hAnsi="Verdana"/>
          <w:sz w:val="22"/>
          <w:szCs w:val="22"/>
          <w:lang w:val="en-GB"/>
        </w:rPr>
      </w:pPr>
      <w:r w:rsidRPr="00B92F1D">
        <w:rPr>
          <w:rFonts w:ascii="Verdana" w:hAnsi="Verdana"/>
          <w:sz w:val="22"/>
          <w:szCs w:val="22"/>
          <w:lang w:val="en-GB"/>
        </w:rPr>
        <w:t>[24]</w:t>
      </w:r>
      <w:r w:rsidRPr="00B92F1D">
        <w:rPr>
          <w:rFonts w:ascii="Verdana" w:hAnsi="Verdana"/>
          <w:sz w:val="22"/>
          <w:szCs w:val="22"/>
          <w:lang w:val="en-GB"/>
        </w:rPr>
        <w:tab/>
      </w:r>
      <w:r w:rsidR="00E64E20" w:rsidRPr="00B92F1D">
        <w:rPr>
          <w:rFonts w:ascii="Verdana" w:hAnsi="Verdana"/>
          <w:sz w:val="22"/>
          <w:szCs w:val="22"/>
          <w:lang w:val="en-GB"/>
        </w:rPr>
        <w:t>The first respondent attached an affidavit deposed to by</w:t>
      </w:r>
      <w:r w:rsidR="00BA6143" w:rsidRPr="00B92F1D">
        <w:rPr>
          <w:rFonts w:ascii="Verdana" w:hAnsi="Verdana"/>
          <w:sz w:val="22"/>
          <w:szCs w:val="22"/>
          <w:lang w:val="en-GB"/>
        </w:rPr>
        <w:t xml:space="preserve"> </w:t>
      </w:r>
      <w:proofErr w:type="spellStart"/>
      <w:r w:rsidR="00C622E0">
        <w:rPr>
          <w:rFonts w:ascii="Verdana" w:hAnsi="Verdana"/>
          <w:sz w:val="22"/>
          <w:szCs w:val="22"/>
          <w:lang w:val="en-GB"/>
        </w:rPr>
        <w:t>Mota</w:t>
      </w:r>
      <w:proofErr w:type="spellEnd"/>
      <w:r w:rsidR="00BA6143" w:rsidRPr="00B92F1D">
        <w:rPr>
          <w:rFonts w:ascii="Verdana" w:hAnsi="Verdana"/>
          <w:sz w:val="22"/>
          <w:szCs w:val="22"/>
          <w:lang w:val="en-GB"/>
        </w:rPr>
        <w:t xml:space="preserve"> on the 13</w:t>
      </w:r>
      <w:r w:rsidR="00BA6143" w:rsidRPr="00B92F1D">
        <w:rPr>
          <w:rFonts w:ascii="Verdana" w:hAnsi="Verdana"/>
          <w:sz w:val="22"/>
          <w:szCs w:val="22"/>
          <w:vertAlign w:val="superscript"/>
          <w:lang w:val="en-GB"/>
        </w:rPr>
        <w:t>th</w:t>
      </w:r>
      <w:r w:rsidR="00BA6143" w:rsidRPr="00B92F1D">
        <w:rPr>
          <w:rFonts w:ascii="Verdana" w:hAnsi="Verdana"/>
          <w:sz w:val="22"/>
          <w:szCs w:val="22"/>
          <w:lang w:val="en-GB"/>
        </w:rPr>
        <w:t xml:space="preserve"> of February 2019 at </w:t>
      </w:r>
      <w:proofErr w:type="spellStart"/>
      <w:r w:rsidR="00BA6143" w:rsidRPr="00B92F1D">
        <w:rPr>
          <w:rFonts w:ascii="Verdana" w:hAnsi="Verdana"/>
          <w:sz w:val="22"/>
          <w:szCs w:val="22"/>
          <w:lang w:val="en-GB"/>
        </w:rPr>
        <w:t>Protea</w:t>
      </w:r>
      <w:proofErr w:type="spellEnd"/>
      <w:r w:rsidR="00BA6143" w:rsidRPr="00B92F1D">
        <w:rPr>
          <w:rFonts w:ascii="Verdana" w:hAnsi="Verdana"/>
          <w:sz w:val="22"/>
          <w:szCs w:val="22"/>
          <w:lang w:val="en-GB"/>
        </w:rPr>
        <w:t xml:space="preserve"> Glen police station </w:t>
      </w:r>
      <w:r w:rsidR="00E64E20" w:rsidRPr="00B92F1D">
        <w:rPr>
          <w:rFonts w:ascii="Verdana" w:hAnsi="Verdana"/>
          <w:sz w:val="22"/>
          <w:szCs w:val="22"/>
          <w:lang w:val="en-GB"/>
        </w:rPr>
        <w:t>to her answering affidavit where</w:t>
      </w:r>
      <w:r w:rsidR="00725BB6" w:rsidRPr="00B92F1D">
        <w:rPr>
          <w:rFonts w:ascii="Verdana" w:hAnsi="Verdana"/>
          <w:sz w:val="22"/>
          <w:szCs w:val="22"/>
          <w:lang w:val="en-GB"/>
        </w:rPr>
        <w:t xml:space="preserve"> </w:t>
      </w:r>
      <w:proofErr w:type="spellStart"/>
      <w:r w:rsidR="00C622E0">
        <w:rPr>
          <w:rFonts w:ascii="Verdana" w:hAnsi="Verdana"/>
          <w:sz w:val="22"/>
          <w:szCs w:val="22"/>
          <w:lang w:val="en-GB"/>
        </w:rPr>
        <w:t>Mota</w:t>
      </w:r>
      <w:proofErr w:type="spellEnd"/>
      <w:r w:rsidR="00E64E20" w:rsidRPr="00B92F1D">
        <w:rPr>
          <w:rFonts w:ascii="Verdana" w:hAnsi="Verdana"/>
          <w:sz w:val="22"/>
          <w:szCs w:val="22"/>
          <w:lang w:val="en-GB"/>
        </w:rPr>
        <w:t xml:space="preserve"> state</w:t>
      </w:r>
      <w:r w:rsidR="00725BB6" w:rsidRPr="00B92F1D">
        <w:rPr>
          <w:rFonts w:ascii="Verdana" w:hAnsi="Verdana"/>
          <w:sz w:val="22"/>
          <w:szCs w:val="22"/>
          <w:lang w:val="en-GB"/>
        </w:rPr>
        <w:t>d</w:t>
      </w:r>
      <w:r w:rsidR="00E64E20" w:rsidRPr="00B92F1D">
        <w:rPr>
          <w:rFonts w:ascii="Verdana" w:hAnsi="Verdana"/>
          <w:sz w:val="22"/>
          <w:szCs w:val="22"/>
          <w:lang w:val="en-GB"/>
        </w:rPr>
        <w:t xml:space="preserve"> as follows: -</w:t>
      </w:r>
    </w:p>
    <w:p w14:paraId="6DF4B6E8" w14:textId="56FD4159" w:rsidR="00E64E20" w:rsidRPr="00B92F1D" w:rsidRDefault="00E64E20" w:rsidP="00E64E20">
      <w:pPr>
        <w:pStyle w:val="Indent"/>
        <w:widowControl w:val="0"/>
        <w:numPr>
          <w:ilvl w:val="0"/>
          <w:numId w:val="0"/>
        </w:numPr>
        <w:spacing w:after="240" w:line="360" w:lineRule="auto"/>
        <w:ind w:left="1440"/>
        <w:jc w:val="both"/>
        <w:rPr>
          <w:rFonts w:ascii="Verdana" w:hAnsi="Verdana"/>
          <w:i/>
          <w:sz w:val="22"/>
          <w:szCs w:val="22"/>
          <w:lang w:val="en-GB"/>
        </w:rPr>
      </w:pPr>
      <w:r w:rsidRPr="00B92F1D">
        <w:rPr>
          <w:rFonts w:ascii="Verdana" w:hAnsi="Verdana"/>
          <w:i/>
          <w:sz w:val="22"/>
          <w:szCs w:val="22"/>
          <w:lang w:val="en-GB"/>
        </w:rPr>
        <w:t xml:space="preserve">“I, the undersigned, </w:t>
      </w:r>
      <w:proofErr w:type="spellStart"/>
      <w:r w:rsidRPr="00B92F1D">
        <w:rPr>
          <w:rFonts w:ascii="Verdana" w:hAnsi="Verdana"/>
          <w:i/>
          <w:sz w:val="22"/>
          <w:szCs w:val="22"/>
          <w:lang w:val="en-GB"/>
        </w:rPr>
        <w:t>Mandhla</w:t>
      </w:r>
      <w:proofErr w:type="spellEnd"/>
      <w:r w:rsidRPr="00B92F1D">
        <w:rPr>
          <w:rFonts w:ascii="Verdana" w:hAnsi="Verdana"/>
          <w:i/>
          <w:sz w:val="22"/>
          <w:szCs w:val="22"/>
          <w:lang w:val="en-GB"/>
        </w:rPr>
        <w:t xml:space="preserve"> Patrick </w:t>
      </w:r>
      <w:proofErr w:type="spellStart"/>
      <w:r w:rsidR="00C622E0">
        <w:rPr>
          <w:rFonts w:ascii="Verdana" w:hAnsi="Verdana"/>
          <w:i/>
          <w:sz w:val="22"/>
          <w:szCs w:val="22"/>
          <w:lang w:val="en-GB"/>
        </w:rPr>
        <w:t>Mota</w:t>
      </w:r>
      <w:proofErr w:type="spellEnd"/>
      <w:r w:rsidR="00D75E11">
        <w:rPr>
          <w:rFonts w:ascii="Verdana" w:hAnsi="Verdana"/>
          <w:i/>
          <w:sz w:val="22"/>
          <w:szCs w:val="22"/>
          <w:lang w:val="en-GB"/>
        </w:rPr>
        <w:t>, ID […] residing at […]</w:t>
      </w:r>
      <w:r w:rsidRPr="00B92F1D">
        <w:rPr>
          <w:rFonts w:ascii="Verdana" w:hAnsi="Verdana"/>
          <w:i/>
          <w:sz w:val="22"/>
          <w:szCs w:val="22"/>
          <w:lang w:val="en-GB"/>
        </w:rPr>
        <w:t xml:space="preserve"> state under oath that on the 22</w:t>
      </w:r>
      <w:r w:rsidRPr="00B92F1D">
        <w:rPr>
          <w:rFonts w:ascii="Verdana" w:hAnsi="Verdana"/>
          <w:i/>
          <w:sz w:val="22"/>
          <w:szCs w:val="22"/>
          <w:vertAlign w:val="superscript"/>
          <w:lang w:val="en-GB"/>
        </w:rPr>
        <w:t>nd</w:t>
      </w:r>
      <w:r w:rsidRPr="00B92F1D">
        <w:rPr>
          <w:rFonts w:ascii="Verdana" w:hAnsi="Verdana"/>
          <w:i/>
          <w:sz w:val="22"/>
          <w:szCs w:val="22"/>
          <w:lang w:val="en-GB"/>
        </w:rPr>
        <w:t xml:space="preserve"> May 2014 I sold the house sta</w:t>
      </w:r>
      <w:r w:rsidR="00D75E11">
        <w:rPr>
          <w:rFonts w:ascii="Verdana" w:hAnsi="Verdana"/>
          <w:i/>
          <w:sz w:val="22"/>
          <w:szCs w:val="22"/>
          <w:lang w:val="en-GB"/>
        </w:rPr>
        <w:t>nd number […]</w:t>
      </w:r>
      <w:r w:rsidRPr="00B92F1D">
        <w:rPr>
          <w:rFonts w:ascii="Verdana" w:hAnsi="Verdana"/>
          <w:i/>
          <w:sz w:val="22"/>
          <w:szCs w:val="22"/>
          <w:lang w:val="en-GB"/>
        </w:rPr>
        <w:t xml:space="preserve">, </w:t>
      </w:r>
      <w:proofErr w:type="spellStart"/>
      <w:r w:rsidRPr="00B92F1D">
        <w:rPr>
          <w:rFonts w:ascii="Verdana" w:hAnsi="Verdana"/>
          <w:i/>
          <w:sz w:val="22"/>
          <w:szCs w:val="22"/>
          <w:lang w:val="en-GB"/>
        </w:rPr>
        <w:t>Jabulani</w:t>
      </w:r>
      <w:proofErr w:type="spellEnd"/>
      <w:r w:rsidRPr="00B92F1D">
        <w:rPr>
          <w:rFonts w:ascii="Verdana" w:hAnsi="Verdana"/>
          <w:i/>
          <w:sz w:val="22"/>
          <w:szCs w:val="22"/>
          <w:lang w:val="en-GB"/>
        </w:rPr>
        <w:t xml:space="preserve"> to the following people:</w:t>
      </w:r>
    </w:p>
    <w:p w14:paraId="27FD0EE1" w14:textId="55FF9CA3" w:rsidR="00E64E20" w:rsidRPr="00B92F1D" w:rsidRDefault="00E64E20" w:rsidP="00E64E20">
      <w:pPr>
        <w:pStyle w:val="Indent"/>
        <w:widowControl w:val="0"/>
        <w:numPr>
          <w:ilvl w:val="0"/>
          <w:numId w:val="0"/>
        </w:numPr>
        <w:spacing w:after="240" w:line="360" w:lineRule="auto"/>
        <w:ind w:left="1440"/>
        <w:jc w:val="both"/>
        <w:rPr>
          <w:rFonts w:ascii="Verdana" w:hAnsi="Verdana"/>
          <w:i/>
          <w:sz w:val="22"/>
          <w:szCs w:val="22"/>
          <w:lang w:val="en-GB"/>
        </w:rPr>
      </w:pPr>
      <w:proofErr w:type="spellStart"/>
      <w:r w:rsidRPr="00B92F1D">
        <w:rPr>
          <w:rFonts w:ascii="Verdana" w:hAnsi="Verdana"/>
          <w:i/>
          <w:sz w:val="22"/>
          <w:szCs w:val="22"/>
          <w:lang w:val="en-GB"/>
        </w:rPr>
        <w:t>Ziyoni</w:t>
      </w:r>
      <w:proofErr w:type="spellEnd"/>
      <w:r w:rsidR="00D75E11">
        <w:rPr>
          <w:rFonts w:ascii="Verdana" w:hAnsi="Verdana"/>
          <w:i/>
          <w:sz w:val="22"/>
          <w:szCs w:val="22"/>
          <w:lang w:val="en-GB"/>
        </w:rPr>
        <w:t xml:space="preserve"> </w:t>
      </w:r>
      <w:proofErr w:type="spellStart"/>
      <w:r w:rsidR="00D75E11">
        <w:rPr>
          <w:rFonts w:ascii="Verdana" w:hAnsi="Verdana"/>
          <w:i/>
          <w:sz w:val="22"/>
          <w:szCs w:val="22"/>
          <w:lang w:val="en-GB"/>
        </w:rPr>
        <w:t>Gedeon</w:t>
      </w:r>
      <w:proofErr w:type="spellEnd"/>
      <w:r w:rsidR="00D75E11">
        <w:rPr>
          <w:rFonts w:ascii="Verdana" w:hAnsi="Verdana"/>
          <w:i/>
          <w:sz w:val="22"/>
          <w:szCs w:val="22"/>
          <w:lang w:val="en-GB"/>
        </w:rPr>
        <w:t xml:space="preserve"> </w:t>
      </w:r>
      <w:proofErr w:type="spellStart"/>
      <w:r w:rsidR="00D75E11">
        <w:rPr>
          <w:rFonts w:ascii="Verdana" w:hAnsi="Verdana"/>
          <w:i/>
          <w:sz w:val="22"/>
          <w:szCs w:val="22"/>
          <w:lang w:val="en-GB"/>
        </w:rPr>
        <w:t>Ndlovu</w:t>
      </w:r>
      <w:proofErr w:type="spellEnd"/>
      <w:r w:rsidR="00D75E11">
        <w:rPr>
          <w:rFonts w:ascii="Verdana" w:hAnsi="Verdana"/>
          <w:i/>
          <w:sz w:val="22"/>
          <w:szCs w:val="22"/>
          <w:lang w:val="en-GB"/>
        </w:rPr>
        <w:t xml:space="preserve"> ([…]</w:t>
      </w:r>
      <w:r w:rsidRPr="00B92F1D">
        <w:rPr>
          <w:rFonts w:ascii="Verdana" w:hAnsi="Verdana"/>
          <w:i/>
          <w:sz w:val="22"/>
          <w:szCs w:val="22"/>
          <w:lang w:val="en-GB"/>
        </w:rPr>
        <w:t xml:space="preserve">) and Constance </w:t>
      </w:r>
      <w:proofErr w:type="spellStart"/>
      <w:r w:rsidRPr="00B92F1D">
        <w:rPr>
          <w:rFonts w:ascii="Verdana" w:hAnsi="Verdana"/>
          <w:i/>
          <w:sz w:val="22"/>
          <w:szCs w:val="22"/>
          <w:lang w:val="en-GB"/>
        </w:rPr>
        <w:t>Mo</w:t>
      </w:r>
      <w:r w:rsidR="00D75E11">
        <w:rPr>
          <w:rFonts w:ascii="Verdana" w:hAnsi="Verdana"/>
          <w:i/>
          <w:sz w:val="22"/>
          <w:szCs w:val="22"/>
          <w:lang w:val="en-GB"/>
        </w:rPr>
        <w:t>nama</w:t>
      </w:r>
      <w:proofErr w:type="spellEnd"/>
      <w:r w:rsidR="00D75E11">
        <w:rPr>
          <w:rFonts w:ascii="Verdana" w:hAnsi="Verdana"/>
          <w:i/>
          <w:sz w:val="22"/>
          <w:szCs w:val="22"/>
          <w:lang w:val="en-GB"/>
        </w:rPr>
        <w:t xml:space="preserve"> (ID number […]</w:t>
      </w:r>
      <w:r w:rsidRPr="00B92F1D">
        <w:rPr>
          <w:rFonts w:ascii="Verdana" w:hAnsi="Verdana"/>
          <w:i/>
          <w:sz w:val="22"/>
          <w:szCs w:val="22"/>
          <w:lang w:val="en-GB"/>
        </w:rPr>
        <w:t xml:space="preserve">).  </w:t>
      </w:r>
    </w:p>
    <w:p w14:paraId="27FA86CE" w14:textId="68FC407E" w:rsidR="00E64E20" w:rsidRPr="00B92F1D" w:rsidRDefault="00E64E20" w:rsidP="00E64E20">
      <w:pPr>
        <w:pStyle w:val="Indent"/>
        <w:widowControl w:val="0"/>
        <w:numPr>
          <w:ilvl w:val="0"/>
          <w:numId w:val="0"/>
        </w:numPr>
        <w:spacing w:after="480" w:line="360" w:lineRule="auto"/>
        <w:ind w:left="1440"/>
        <w:jc w:val="both"/>
        <w:rPr>
          <w:rFonts w:ascii="Verdana" w:hAnsi="Verdana"/>
          <w:i/>
          <w:sz w:val="22"/>
          <w:szCs w:val="22"/>
          <w:lang w:val="en-GB"/>
        </w:rPr>
      </w:pPr>
      <w:r w:rsidRPr="00B92F1D">
        <w:rPr>
          <w:rFonts w:ascii="Verdana" w:hAnsi="Verdana"/>
          <w:i/>
          <w:sz w:val="22"/>
          <w:szCs w:val="22"/>
          <w:lang w:val="en-GB"/>
        </w:rPr>
        <w:t>The 350 m</w:t>
      </w:r>
      <w:r w:rsidRPr="00B92F1D">
        <w:rPr>
          <w:rFonts w:ascii="Verdana" w:hAnsi="Verdana"/>
          <w:i/>
          <w:sz w:val="22"/>
          <w:szCs w:val="22"/>
          <w:vertAlign w:val="superscript"/>
          <w:lang w:val="en-GB"/>
        </w:rPr>
        <w:t>2</w:t>
      </w:r>
      <w:r w:rsidRPr="00B92F1D">
        <w:rPr>
          <w:rFonts w:ascii="Verdana" w:hAnsi="Verdana"/>
          <w:i/>
          <w:sz w:val="22"/>
          <w:szCs w:val="22"/>
          <w:lang w:val="en-GB"/>
        </w:rPr>
        <w:t xml:space="preserve"> was worth R35</w:t>
      </w:r>
      <w:proofErr w:type="gramStart"/>
      <w:r w:rsidRPr="00B92F1D">
        <w:rPr>
          <w:rFonts w:ascii="Verdana" w:hAnsi="Verdana"/>
          <w:i/>
          <w:sz w:val="22"/>
          <w:szCs w:val="22"/>
          <w:lang w:val="en-GB"/>
        </w:rPr>
        <w:t>,000.00</w:t>
      </w:r>
      <w:proofErr w:type="gramEnd"/>
      <w:r w:rsidRPr="00B92F1D">
        <w:rPr>
          <w:rFonts w:ascii="Verdana" w:hAnsi="Verdana"/>
          <w:i/>
          <w:sz w:val="22"/>
          <w:szCs w:val="22"/>
          <w:lang w:val="en-GB"/>
        </w:rPr>
        <w:t xml:space="preserve"> but later on my family demanded R40,000.00 because they think R35,000.00 is not enough.  That R4</w:t>
      </w:r>
      <w:proofErr w:type="gramStart"/>
      <w:r w:rsidRPr="00B92F1D">
        <w:rPr>
          <w:rFonts w:ascii="Verdana" w:hAnsi="Verdana"/>
          <w:i/>
          <w:sz w:val="22"/>
          <w:szCs w:val="22"/>
          <w:lang w:val="en-GB"/>
        </w:rPr>
        <w:t>,000.00</w:t>
      </w:r>
      <w:proofErr w:type="gramEnd"/>
      <w:r w:rsidRPr="00B92F1D">
        <w:rPr>
          <w:rFonts w:ascii="Verdana" w:hAnsi="Verdana"/>
          <w:i/>
          <w:sz w:val="22"/>
          <w:szCs w:val="22"/>
          <w:lang w:val="en-GB"/>
        </w:rPr>
        <w:t xml:space="preserve"> (sic) was paid by Constance </w:t>
      </w:r>
      <w:proofErr w:type="spellStart"/>
      <w:r w:rsidRPr="00B92F1D">
        <w:rPr>
          <w:rFonts w:ascii="Verdana" w:hAnsi="Verdana"/>
          <w:i/>
          <w:sz w:val="22"/>
          <w:szCs w:val="22"/>
          <w:lang w:val="en-GB"/>
        </w:rPr>
        <w:t>Monama</w:t>
      </w:r>
      <w:proofErr w:type="spellEnd"/>
      <w:r w:rsidRPr="00B92F1D">
        <w:rPr>
          <w:rFonts w:ascii="Verdana" w:hAnsi="Verdana"/>
          <w:i/>
          <w:sz w:val="22"/>
          <w:szCs w:val="22"/>
          <w:lang w:val="en-GB"/>
        </w:rPr>
        <w:t xml:space="preserve"> after the late Z G </w:t>
      </w:r>
      <w:proofErr w:type="spellStart"/>
      <w:r w:rsidRPr="00B92F1D">
        <w:rPr>
          <w:rFonts w:ascii="Verdana" w:hAnsi="Verdana"/>
          <w:i/>
          <w:sz w:val="22"/>
          <w:szCs w:val="22"/>
          <w:lang w:val="en-GB"/>
        </w:rPr>
        <w:t>Ndlovu</w:t>
      </w:r>
      <w:proofErr w:type="spellEnd"/>
      <w:r w:rsidRPr="00B92F1D">
        <w:rPr>
          <w:rFonts w:ascii="Verdana" w:hAnsi="Verdana"/>
          <w:i/>
          <w:sz w:val="22"/>
          <w:szCs w:val="22"/>
          <w:lang w:val="en-GB"/>
        </w:rPr>
        <w:t>.”</w:t>
      </w:r>
    </w:p>
    <w:p w14:paraId="18A0624E" w14:textId="08BBAD29" w:rsidR="00E64E20" w:rsidRPr="00B92F1D" w:rsidRDefault="00951FAD" w:rsidP="00951FAD">
      <w:pPr>
        <w:pStyle w:val="Indent"/>
        <w:widowControl w:val="0"/>
        <w:numPr>
          <w:ilvl w:val="0"/>
          <w:numId w:val="0"/>
        </w:numPr>
        <w:spacing w:after="360" w:line="480" w:lineRule="auto"/>
        <w:ind w:left="709" w:hanging="709"/>
        <w:jc w:val="both"/>
        <w:rPr>
          <w:rFonts w:ascii="Verdana" w:hAnsi="Verdana"/>
          <w:sz w:val="22"/>
          <w:szCs w:val="22"/>
          <w:lang w:val="en-GB"/>
        </w:rPr>
      </w:pPr>
      <w:r w:rsidRPr="00B92F1D">
        <w:rPr>
          <w:rFonts w:ascii="Verdana" w:hAnsi="Verdana"/>
          <w:sz w:val="22"/>
          <w:szCs w:val="22"/>
          <w:lang w:val="en-GB"/>
        </w:rPr>
        <w:t>[25]</w:t>
      </w:r>
      <w:r w:rsidRPr="00B92F1D">
        <w:rPr>
          <w:rFonts w:ascii="Verdana" w:hAnsi="Verdana"/>
          <w:sz w:val="22"/>
          <w:szCs w:val="22"/>
          <w:lang w:val="en-GB"/>
        </w:rPr>
        <w:tab/>
      </w:r>
      <w:r w:rsidR="00E64E20" w:rsidRPr="00B92F1D">
        <w:rPr>
          <w:rFonts w:ascii="Verdana" w:hAnsi="Verdana"/>
          <w:sz w:val="22"/>
          <w:szCs w:val="22"/>
          <w:lang w:val="en-GB"/>
        </w:rPr>
        <w:t xml:space="preserve">The first respondent states that one adult child was born from her relationship with the deceased.  </w:t>
      </w:r>
    </w:p>
    <w:p w14:paraId="1B43FBA5" w14:textId="419192DB" w:rsidR="00E64E20" w:rsidRPr="00B92F1D" w:rsidRDefault="00951FAD" w:rsidP="00951FAD">
      <w:pPr>
        <w:pStyle w:val="Indent"/>
        <w:widowControl w:val="0"/>
        <w:numPr>
          <w:ilvl w:val="0"/>
          <w:numId w:val="0"/>
        </w:numPr>
        <w:spacing w:after="360" w:line="480" w:lineRule="auto"/>
        <w:ind w:left="709" w:hanging="709"/>
        <w:jc w:val="both"/>
        <w:rPr>
          <w:rFonts w:ascii="Verdana" w:hAnsi="Verdana"/>
          <w:sz w:val="22"/>
          <w:szCs w:val="22"/>
          <w:lang w:val="en-GB"/>
        </w:rPr>
      </w:pPr>
      <w:r w:rsidRPr="00B92F1D">
        <w:rPr>
          <w:rFonts w:ascii="Verdana" w:hAnsi="Verdana"/>
          <w:sz w:val="22"/>
          <w:szCs w:val="22"/>
          <w:lang w:val="en-GB"/>
        </w:rPr>
        <w:t>[26]</w:t>
      </w:r>
      <w:r w:rsidRPr="00B92F1D">
        <w:rPr>
          <w:rFonts w:ascii="Verdana" w:hAnsi="Verdana"/>
          <w:sz w:val="22"/>
          <w:szCs w:val="22"/>
          <w:lang w:val="en-GB"/>
        </w:rPr>
        <w:tab/>
      </w:r>
      <w:r w:rsidR="00E64E20" w:rsidRPr="00B92F1D">
        <w:rPr>
          <w:rFonts w:ascii="Verdana" w:hAnsi="Verdana"/>
          <w:sz w:val="22"/>
          <w:szCs w:val="22"/>
          <w:lang w:val="en-GB"/>
        </w:rPr>
        <w:t xml:space="preserve">The first respondent explains that the reason why she and the deceased declared </w:t>
      </w:r>
      <w:r w:rsidR="008D144C" w:rsidRPr="00B92F1D">
        <w:rPr>
          <w:rFonts w:ascii="Verdana" w:hAnsi="Verdana"/>
          <w:sz w:val="22"/>
          <w:szCs w:val="22"/>
          <w:lang w:val="en-GB"/>
        </w:rPr>
        <w:t xml:space="preserve">their marital status as </w:t>
      </w:r>
      <w:r w:rsidR="00E64E20" w:rsidRPr="00B92F1D">
        <w:rPr>
          <w:rFonts w:ascii="Verdana" w:hAnsi="Verdana"/>
          <w:sz w:val="22"/>
          <w:szCs w:val="22"/>
          <w:lang w:val="en-GB"/>
        </w:rPr>
        <w:t>unmarried</w:t>
      </w:r>
      <w:r w:rsidR="008D144C" w:rsidRPr="00B92F1D">
        <w:rPr>
          <w:rFonts w:ascii="Verdana" w:hAnsi="Verdana"/>
          <w:sz w:val="22"/>
          <w:szCs w:val="22"/>
          <w:lang w:val="en-GB"/>
        </w:rPr>
        <w:t xml:space="preserve"> in the title deed</w:t>
      </w:r>
      <w:r w:rsidR="00E64E20" w:rsidRPr="00B92F1D">
        <w:rPr>
          <w:rFonts w:ascii="Verdana" w:hAnsi="Verdana"/>
          <w:sz w:val="22"/>
          <w:szCs w:val="22"/>
          <w:lang w:val="en-GB"/>
        </w:rPr>
        <w:t xml:space="preserve"> is because their customary marriage was not </w:t>
      </w:r>
      <w:r w:rsidR="0009045F">
        <w:rPr>
          <w:rFonts w:ascii="Verdana" w:hAnsi="Verdana"/>
          <w:sz w:val="22"/>
          <w:szCs w:val="22"/>
          <w:lang w:val="en-GB"/>
        </w:rPr>
        <w:t>y</w:t>
      </w:r>
      <w:r w:rsidR="008D144C" w:rsidRPr="00B92F1D">
        <w:rPr>
          <w:rFonts w:ascii="Verdana" w:hAnsi="Verdana"/>
          <w:sz w:val="22"/>
          <w:szCs w:val="22"/>
          <w:lang w:val="en-GB"/>
        </w:rPr>
        <w:t xml:space="preserve">et </w:t>
      </w:r>
      <w:r w:rsidR="00E64E20" w:rsidRPr="00B92F1D">
        <w:rPr>
          <w:rFonts w:ascii="Verdana" w:hAnsi="Verdana"/>
          <w:sz w:val="22"/>
          <w:szCs w:val="22"/>
          <w:lang w:val="en-GB"/>
        </w:rPr>
        <w:t xml:space="preserve">registered at Home Affairs </w:t>
      </w:r>
      <w:r w:rsidR="0009045F">
        <w:rPr>
          <w:rFonts w:ascii="Verdana" w:hAnsi="Verdana"/>
          <w:sz w:val="22"/>
          <w:szCs w:val="22"/>
          <w:lang w:val="en-GB"/>
        </w:rPr>
        <w:t xml:space="preserve">at the time </w:t>
      </w:r>
      <w:r w:rsidR="00E64E20" w:rsidRPr="00B92F1D">
        <w:rPr>
          <w:rFonts w:ascii="Verdana" w:hAnsi="Verdana"/>
          <w:sz w:val="22"/>
          <w:szCs w:val="22"/>
          <w:lang w:val="en-GB"/>
        </w:rPr>
        <w:t>and there was hence no marriage certificate</w:t>
      </w:r>
      <w:r w:rsidR="008D144C" w:rsidRPr="00B92F1D">
        <w:rPr>
          <w:rFonts w:ascii="Verdana" w:hAnsi="Verdana"/>
          <w:sz w:val="22"/>
          <w:szCs w:val="22"/>
          <w:lang w:val="en-GB"/>
        </w:rPr>
        <w:t xml:space="preserve"> available</w:t>
      </w:r>
      <w:r w:rsidR="00E64E20" w:rsidRPr="00B92F1D">
        <w:rPr>
          <w:rFonts w:ascii="Verdana" w:hAnsi="Verdana"/>
          <w:sz w:val="22"/>
          <w:szCs w:val="22"/>
          <w:lang w:val="en-GB"/>
        </w:rPr>
        <w:t xml:space="preserve">. </w:t>
      </w:r>
    </w:p>
    <w:p w14:paraId="4C6BC218" w14:textId="361793E5" w:rsidR="008C3F41" w:rsidRPr="00B92F1D" w:rsidRDefault="00951FAD" w:rsidP="00951FAD">
      <w:pPr>
        <w:pStyle w:val="Indent"/>
        <w:widowControl w:val="0"/>
        <w:numPr>
          <w:ilvl w:val="0"/>
          <w:numId w:val="0"/>
        </w:numPr>
        <w:spacing w:after="360" w:line="480" w:lineRule="auto"/>
        <w:ind w:left="709" w:hanging="709"/>
        <w:jc w:val="both"/>
        <w:rPr>
          <w:rFonts w:ascii="Verdana" w:hAnsi="Verdana"/>
          <w:sz w:val="22"/>
          <w:szCs w:val="22"/>
          <w:lang w:val="en-GB"/>
        </w:rPr>
      </w:pPr>
      <w:r w:rsidRPr="00B92F1D">
        <w:rPr>
          <w:rFonts w:ascii="Verdana" w:hAnsi="Verdana"/>
          <w:sz w:val="22"/>
          <w:szCs w:val="22"/>
          <w:lang w:val="en-GB"/>
        </w:rPr>
        <w:lastRenderedPageBreak/>
        <w:t>[27]</w:t>
      </w:r>
      <w:r w:rsidRPr="00B92F1D">
        <w:rPr>
          <w:rFonts w:ascii="Verdana" w:hAnsi="Verdana"/>
          <w:sz w:val="22"/>
          <w:szCs w:val="22"/>
          <w:lang w:val="en-GB"/>
        </w:rPr>
        <w:tab/>
      </w:r>
      <w:r w:rsidR="00E64E20" w:rsidRPr="00B92F1D">
        <w:rPr>
          <w:rFonts w:ascii="Verdana" w:hAnsi="Verdana"/>
          <w:sz w:val="22"/>
          <w:szCs w:val="22"/>
          <w:lang w:val="en-GB"/>
        </w:rPr>
        <w:t xml:space="preserve">To the allegation that a Deed of Sale was concluded with </w:t>
      </w:r>
      <w:proofErr w:type="spellStart"/>
      <w:r w:rsidR="00C622E0">
        <w:rPr>
          <w:rFonts w:ascii="Verdana" w:hAnsi="Verdana"/>
          <w:sz w:val="22"/>
          <w:szCs w:val="22"/>
          <w:lang w:val="en-GB"/>
        </w:rPr>
        <w:t>Mota</w:t>
      </w:r>
      <w:proofErr w:type="spellEnd"/>
      <w:r w:rsidR="00E64E20" w:rsidRPr="00B92F1D">
        <w:rPr>
          <w:rFonts w:ascii="Verdana" w:hAnsi="Verdana"/>
          <w:sz w:val="22"/>
          <w:szCs w:val="22"/>
          <w:lang w:val="en-GB"/>
        </w:rPr>
        <w:t xml:space="preserve"> and the deceased in 1988, the first respondent </w:t>
      </w:r>
      <w:r w:rsidR="001B73FD">
        <w:rPr>
          <w:rFonts w:ascii="Verdana" w:hAnsi="Verdana"/>
          <w:sz w:val="22"/>
          <w:szCs w:val="22"/>
          <w:lang w:val="en-GB"/>
        </w:rPr>
        <w:t>boldly</w:t>
      </w:r>
      <w:r w:rsidR="00993C93" w:rsidRPr="00B92F1D">
        <w:rPr>
          <w:rFonts w:ascii="Verdana" w:hAnsi="Verdana"/>
          <w:sz w:val="22"/>
          <w:szCs w:val="22"/>
          <w:lang w:val="en-GB"/>
        </w:rPr>
        <w:t xml:space="preserve"> responds</w:t>
      </w:r>
      <w:r w:rsidR="00E64E20" w:rsidRPr="00B92F1D">
        <w:rPr>
          <w:rFonts w:ascii="Verdana" w:hAnsi="Verdana"/>
          <w:sz w:val="22"/>
          <w:szCs w:val="22"/>
          <w:lang w:val="en-GB"/>
        </w:rPr>
        <w:t xml:space="preserve">: </w:t>
      </w:r>
      <w:r w:rsidR="00E64E20" w:rsidRPr="00B92F1D">
        <w:rPr>
          <w:rFonts w:ascii="Verdana" w:hAnsi="Verdana"/>
          <w:i/>
          <w:sz w:val="22"/>
          <w:szCs w:val="22"/>
          <w:lang w:val="en-GB"/>
        </w:rPr>
        <w:t xml:space="preserve">“I note the attached Annexures, and </w:t>
      </w:r>
      <w:r w:rsidR="008C3F41" w:rsidRPr="00B92F1D">
        <w:rPr>
          <w:rFonts w:ascii="Verdana" w:hAnsi="Verdana"/>
          <w:i/>
          <w:sz w:val="22"/>
          <w:szCs w:val="22"/>
          <w:lang w:val="en-GB"/>
        </w:rPr>
        <w:t>deny the correctness of the contents of the sale agreement dated 1988”</w:t>
      </w:r>
      <w:r w:rsidR="008C3F41" w:rsidRPr="00B92F1D">
        <w:rPr>
          <w:rFonts w:ascii="Verdana" w:hAnsi="Verdana"/>
          <w:sz w:val="22"/>
          <w:szCs w:val="22"/>
          <w:lang w:val="en-GB"/>
        </w:rPr>
        <w:t>.</w:t>
      </w:r>
      <w:r w:rsidR="008C3F41" w:rsidRPr="00B92F1D">
        <w:rPr>
          <w:rStyle w:val="FootnoteReference"/>
          <w:rFonts w:ascii="Verdana" w:hAnsi="Verdana"/>
          <w:sz w:val="22"/>
          <w:szCs w:val="22"/>
          <w:lang w:val="en-GB"/>
        </w:rPr>
        <w:footnoteReference w:id="11"/>
      </w:r>
      <w:r w:rsidR="008C3F41" w:rsidRPr="00B92F1D">
        <w:rPr>
          <w:rFonts w:ascii="Verdana" w:hAnsi="Verdana"/>
          <w:sz w:val="22"/>
          <w:szCs w:val="22"/>
          <w:lang w:val="en-GB"/>
        </w:rPr>
        <w:t xml:space="preserve">  </w:t>
      </w:r>
    </w:p>
    <w:p w14:paraId="78A5F022" w14:textId="2FD9156C" w:rsidR="0022688E" w:rsidRPr="00B92F1D" w:rsidRDefault="00951FAD" w:rsidP="00951FAD">
      <w:pPr>
        <w:pStyle w:val="Indent"/>
        <w:widowControl w:val="0"/>
        <w:numPr>
          <w:ilvl w:val="0"/>
          <w:numId w:val="0"/>
        </w:numPr>
        <w:spacing w:after="360" w:line="480" w:lineRule="auto"/>
        <w:ind w:left="709" w:hanging="709"/>
        <w:jc w:val="both"/>
        <w:rPr>
          <w:rFonts w:ascii="Verdana" w:hAnsi="Verdana"/>
          <w:sz w:val="22"/>
          <w:szCs w:val="22"/>
          <w:lang w:val="en-GB"/>
        </w:rPr>
      </w:pPr>
      <w:r w:rsidRPr="00B92F1D">
        <w:rPr>
          <w:rFonts w:ascii="Verdana" w:hAnsi="Verdana"/>
          <w:sz w:val="22"/>
          <w:szCs w:val="22"/>
          <w:lang w:val="en-GB"/>
        </w:rPr>
        <w:t>[28]</w:t>
      </w:r>
      <w:r w:rsidRPr="00B92F1D">
        <w:rPr>
          <w:rFonts w:ascii="Verdana" w:hAnsi="Verdana"/>
          <w:sz w:val="22"/>
          <w:szCs w:val="22"/>
          <w:lang w:val="en-GB"/>
        </w:rPr>
        <w:tab/>
      </w:r>
      <w:r w:rsidR="0022688E" w:rsidRPr="00B92F1D">
        <w:rPr>
          <w:rFonts w:ascii="Verdana" w:hAnsi="Verdana"/>
          <w:sz w:val="22"/>
          <w:szCs w:val="22"/>
          <w:lang w:val="en-GB"/>
        </w:rPr>
        <w:t>In the first respondents heads of argument it is alleged that the deed of sal</w:t>
      </w:r>
      <w:r w:rsidR="001435EC" w:rsidRPr="00B92F1D">
        <w:rPr>
          <w:rFonts w:ascii="Verdana" w:hAnsi="Verdana"/>
          <w:sz w:val="22"/>
          <w:szCs w:val="22"/>
          <w:lang w:val="en-GB"/>
        </w:rPr>
        <w:t>e</w:t>
      </w:r>
      <w:r w:rsidR="0022688E" w:rsidRPr="00B92F1D">
        <w:rPr>
          <w:rFonts w:ascii="Verdana" w:hAnsi="Verdana"/>
          <w:sz w:val="22"/>
          <w:szCs w:val="22"/>
          <w:lang w:val="en-GB"/>
        </w:rPr>
        <w:t xml:space="preserve"> date 2 November 1988 is not valid as it does not comply with the requirements of section 2 of the </w:t>
      </w:r>
      <w:r w:rsidR="003C15DD" w:rsidRPr="00B92F1D">
        <w:rPr>
          <w:rFonts w:ascii="Verdana" w:hAnsi="Verdana"/>
          <w:sz w:val="22"/>
          <w:szCs w:val="22"/>
          <w:lang w:val="en-GB"/>
        </w:rPr>
        <w:t xml:space="preserve">Alienation of Land Act, 68 of 1981.  No support </w:t>
      </w:r>
      <w:r w:rsidR="00112997" w:rsidRPr="00B92F1D">
        <w:rPr>
          <w:rFonts w:ascii="Verdana" w:hAnsi="Verdana"/>
          <w:sz w:val="22"/>
          <w:szCs w:val="22"/>
          <w:lang w:val="en-GB"/>
        </w:rPr>
        <w:t xml:space="preserve">or motivation </w:t>
      </w:r>
      <w:r w:rsidR="003C15DD" w:rsidRPr="00B92F1D">
        <w:rPr>
          <w:rFonts w:ascii="Verdana" w:hAnsi="Verdana"/>
          <w:sz w:val="22"/>
          <w:szCs w:val="22"/>
          <w:lang w:val="en-GB"/>
        </w:rPr>
        <w:t xml:space="preserve">for this </w:t>
      </w:r>
      <w:r w:rsidR="00112997" w:rsidRPr="00B92F1D">
        <w:rPr>
          <w:rFonts w:ascii="Verdana" w:hAnsi="Verdana"/>
          <w:sz w:val="22"/>
          <w:szCs w:val="22"/>
          <w:lang w:val="en-GB"/>
        </w:rPr>
        <w:t>averment is provided.</w:t>
      </w:r>
      <w:r w:rsidR="001435EC" w:rsidRPr="00B92F1D">
        <w:rPr>
          <w:rFonts w:ascii="Verdana" w:hAnsi="Verdana"/>
          <w:sz w:val="22"/>
          <w:szCs w:val="22"/>
          <w:lang w:val="en-GB"/>
        </w:rPr>
        <w:t xml:space="preserve"> </w:t>
      </w:r>
      <w:r w:rsidR="00D64EB3" w:rsidRPr="00B92F1D">
        <w:rPr>
          <w:rFonts w:ascii="Verdana" w:hAnsi="Verdana"/>
          <w:sz w:val="22"/>
          <w:szCs w:val="22"/>
          <w:lang w:val="en-GB"/>
        </w:rPr>
        <w:t>I</w:t>
      </w:r>
      <w:r w:rsidR="00634190" w:rsidRPr="00B92F1D">
        <w:rPr>
          <w:rFonts w:ascii="Verdana" w:hAnsi="Verdana"/>
          <w:sz w:val="22"/>
          <w:szCs w:val="22"/>
          <w:lang w:val="en-GB"/>
        </w:rPr>
        <w:t>n addition</w:t>
      </w:r>
      <w:r w:rsidR="001435EC" w:rsidRPr="00B92F1D">
        <w:rPr>
          <w:rFonts w:ascii="Verdana" w:hAnsi="Verdana"/>
          <w:sz w:val="22"/>
          <w:szCs w:val="22"/>
          <w:lang w:val="en-GB"/>
        </w:rPr>
        <w:t xml:space="preserve">, </w:t>
      </w:r>
      <w:r w:rsidR="00634190" w:rsidRPr="00B92F1D">
        <w:rPr>
          <w:rFonts w:ascii="Verdana" w:hAnsi="Verdana"/>
          <w:sz w:val="22"/>
          <w:szCs w:val="22"/>
          <w:lang w:val="en-GB"/>
        </w:rPr>
        <w:t xml:space="preserve">it is </w:t>
      </w:r>
      <w:r w:rsidR="001435EC" w:rsidRPr="00B92F1D">
        <w:rPr>
          <w:rFonts w:ascii="Verdana" w:hAnsi="Verdana"/>
          <w:sz w:val="22"/>
          <w:szCs w:val="22"/>
          <w:lang w:val="en-GB"/>
        </w:rPr>
        <w:t>the first respondent</w:t>
      </w:r>
      <w:r w:rsidR="00634190" w:rsidRPr="00B92F1D">
        <w:rPr>
          <w:rFonts w:ascii="Verdana" w:hAnsi="Verdana"/>
          <w:sz w:val="22"/>
          <w:szCs w:val="22"/>
          <w:lang w:val="en-GB"/>
        </w:rPr>
        <w:t>’s case that</w:t>
      </w:r>
      <w:r w:rsidR="001435EC" w:rsidRPr="00B92F1D">
        <w:rPr>
          <w:rFonts w:ascii="Verdana" w:hAnsi="Verdana"/>
          <w:sz w:val="22"/>
          <w:szCs w:val="22"/>
          <w:lang w:val="en-GB"/>
        </w:rPr>
        <w:t xml:space="preserve"> all that is required of her to prove her entitlement to a share in the property is </w:t>
      </w:r>
      <w:r w:rsidR="00AF19C3" w:rsidRPr="00B92F1D">
        <w:rPr>
          <w:rFonts w:ascii="Verdana" w:hAnsi="Verdana"/>
          <w:sz w:val="22"/>
          <w:szCs w:val="22"/>
          <w:lang w:val="en-GB"/>
        </w:rPr>
        <w:t xml:space="preserve">the mere </w:t>
      </w:r>
      <w:r w:rsidR="001435EC" w:rsidRPr="00B92F1D">
        <w:rPr>
          <w:rFonts w:ascii="Verdana" w:hAnsi="Verdana"/>
          <w:sz w:val="22"/>
          <w:szCs w:val="22"/>
          <w:lang w:val="en-GB"/>
        </w:rPr>
        <w:t>production of the title deed.</w:t>
      </w:r>
    </w:p>
    <w:p w14:paraId="37808703" w14:textId="617E5AED" w:rsidR="00532219" w:rsidRPr="00B92F1D" w:rsidRDefault="00532219" w:rsidP="00532219">
      <w:pPr>
        <w:pStyle w:val="Indent"/>
        <w:widowControl w:val="0"/>
        <w:numPr>
          <w:ilvl w:val="0"/>
          <w:numId w:val="0"/>
        </w:numPr>
        <w:spacing w:after="360" w:line="480" w:lineRule="auto"/>
        <w:jc w:val="both"/>
        <w:rPr>
          <w:rFonts w:ascii="Verdana" w:hAnsi="Verdana"/>
          <w:b/>
          <w:bCs/>
          <w:sz w:val="22"/>
          <w:szCs w:val="22"/>
          <w:lang w:val="en-GB"/>
        </w:rPr>
      </w:pPr>
      <w:r w:rsidRPr="00B92F1D">
        <w:rPr>
          <w:rFonts w:ascii="Verdana" w:hAnsi="Verdana"/>
          <w:b/>
          <w:bCs/>
          <w:sz w:val="22"/>
          <w:szCs w:val="22"/>
          <w:lang w:val="en-GB"/>
        </w:rPr>
        <w:t>APPLICANT’S REPLY</w:t>
      </w:r>
    </w:p>
    <w:p w14:paraId="31B2750E" w14:textId="6DE2C629" w:rsidR="008C3F41" w:rsidRPr="00B92F1D" w:rsidRDefault="00951FAD" w:rsidP="00951FAD">
      <w:pPr>
        <w:pStyle w:val="Indent"/>
        <w:widowControl w:val="0"/>
        <w:numPr>
          <w:ilvl w:val="0"/>
          <w:numId w:val="0"/>
        </w:numPr>
        <w:spacing w:after="360" w:line="480" w:lineRule="auto"/>
        <w:ind w:left="709" w:hanging="709"/>
        <w:jc w:val="both"/>
        <w:rPr>
          <w:rFonts w:ascii="Verdana" w:hAnsi="Verdana"/>
          <w:sz w:val="22"/>
          <w:szCs w:val="22"/>
          <w:lang w:val="en-GB"/>
        </w:rPr>
      </w:pPr>
      <w:r w:rsidRPr="00B92F1D">
        <w:rPr>
          <w:rFonts w:ascii="Verdana" w:hAnsi="Verdana"/>
          <w:sz w:val="22"/>
          <w:szCs w:val="22"/>
          <w:lang w:val="en-GB"/>
        </w:rPr>
        <w:t>[29]</w:t>
      </w:r>
      <w:r w:rsidRPr="00B92F1D">
        <w:rPr>
          <w:rFonts w:ascii="Verdana" w:hAnsi="Verdana"/>
          <w:sz w:val="22"/>
          <w:szCs w:val="22"/>
          <w:lang w:val="en-GB"/>
        </w:rPr>
        <w:tab/>
      </w:r>
      <w:r w:rsidR="008C3F41" w:rsidRPr="00B92F1D">
        <w:rPr>
          <w:rFonts w:ascii="Verdana" w:hAnsi="Verdana"/>
          <w:sz w:val="22"/>
          <w:szCs w:val="22"/>
          <w:lang w:val="en-GB"/>
        </w:rPr>
        <w:t>The applicant point</w:t>
      </w:r>
      <w:r w:rsidR="00C50940" w:rsidRPr="00B92F1D">
        <w:rPr>
          <w:rFonts w:ascii="Verdana" w:hAnsi="Verdana"/>
          <w:sz w:val="22"/>
          <w:szCs w:val="22"/>
          <w:lang w:val="en-GB"/>
        </w:rPr>
        <w:t>ed</w:t>
      </w:r>
      <w:r w:rsidR="008C3F41" w:rsidRPr="00B92F1D">
        <w:rPr>
          <w:rFonts w:ascii="Verdana" w:hAnsi="Verdana"/>
          <w:sz w:val="22"/>
          <w:szCs w:val="22"/>
          <w:lang w:val="en-GB"/>
        </w:rPr>
        <w:t xml:space="preserve"> out that all the affidavits deposed to by the delegates at the customary marriage ceremony are verbatim the same and that no proof of payment of </w:t>
      </w:r>
      <w:proofErr w:type="spellStart"/>
      <w:r w:rsidR="008C3F41" w:rsidRPr="00B92F1D">
        <w:rPr>
          <w:rFonts w:ascii="Verdana" w:hAnsi="Verdana"/>
          <w:sz w:val="22"/>
          <w:szCs w:val="22"/>
          <w:lang w:val="en-GB"/>
        </w:rPr>
        <w:t>labola</w:t>
      </w:r>
      <w:proofErr w:type="spellEnd"/>
      <w:r w:rsidR="008C3F41" w:rsidRPr="00B92F1D">
        <w:rPr>
          <w:rFonts w:ascii="Verdana" w:hAnsi="Verdana"/>
          <w:sz w:val="22"/>
          <w:szCs w:val="22"/>
          <w:lang w:val="en-GB"/>
        </w:rPr>
        <w:t xml:space="preserve"> is attached.  </w:t>
      </w:r>
    </w:p>
    <w:p w14:paraId="398E614F" w14:textId="4CA19520" w:rsidR="008C3F41" w:rsidRPr="00B92F1D" w:rsidRDefault="00951FAD" w:rsidP="00951FAD">
      <w:pPr>
        <w:pStyle w:val="Indent"/>
        <w:widowControl w:val="0"/>
        <w:numPr>
          <w:ilvl w:val="0"/>
          <w:numId w:val="0"/>
        </w:numPr>
        <w:spacing w:after="360" w:line="480" w:lineRule="auto"/>
        <w:ind w:left="709" w:hanging="709"/>
        <w:jc w:val="both"/>
        <w:rPr>
          <w:rFonts w:ascii="Verdana" w:hAnsi="Verdana"/>
          <w:sz w:val="22"/>
          <w:szCs w:val="22"/>
          <w:lang w:val="en-GB"/>
        </w:rPr>
      </w:pPr>
      <w:r w:rsidRPr="00B92F1D">
        <w:rPr>
          <w:rFonts w:ascii="Verdana" w:hAnsi="Verdana"/>
          <w:sz w:val="22"/>
          <w:szCs w:val="22"/>
          <w:lang w:val="en-GB"/>
        </w:rPr>
        <w:t>[30]</w:t>
      </w:r>
      <w:r w:rsidRPr="00B92F1D">
        <w:rPr>
          <w:rFonts w:ascii="Verdana" w:hAnsi="Verdana"/>
          <w:sz w:val="22"/>
          <w:szCs w:val="22"/>
          <w:lang w:val="en-GB"/>
        </w:rPr>
        <w:tab/>
      </w:r>
      <w:r w:rsidR="008C3F41" w:rsidRPr="00B92F1D">
        <w:rPr>
          <w:rFonts w:ascii="Verdana" w:hAnsi="Verdana"/>
          <w:sz w:val="22"/>
          <w:szCs w:val="22"/>
          <w:lang w:val="en-GB"/>
        </w:rPr>
        <w:t>The applicant state</w:t>
      </w:r>
      <w:r w:rsidR="00C50940" w:rsidRPr="00B92F1D">
        <w:rPr>
          <w:rFonts w:ascii="Verdana" w:hAnsi="Verdana"/>
          <w:sz w:val="22"/>
          <w:szCs w:val="22"/>
          <w:lang w:val="en-GB"/>
        </w:rPr>
        <w:t>d</w:t>
      </w:r>
      <w:r w:rsidR="008C3F41" w:rsidRPr="00B92F1D">
        <w:rPr>
          <w:rFonts w:ascii="Verdana" w:hAnsi="Verdana"/>
          <w:sz w:val="22"/>
          <w:szCs w:val="22"/>
          <w:lang w:val="en-GB"/>
        </w:rPr>
        <w:t xml:space="preserve"> that </w:t>
      </w:r>
      <w:proofErr w:type="spellStart"/>
      <w:r w:rsidR="00C622E0">
        <w:rPr>
          <w:rFonts w:ascii="Verdana" w:hAnsi="Verdana"/>
          <w:sz w:val="22"/>
          <w:szCs w:val="22"/>
          <w:lang w:val="en-GB"/>
        </w:rPr>
        <w:t>Mota</w:t>
      </w:r>
      <w:proofErr w:type="spellEnd"/>
      <w:r w:rsidR="008C3F41" w:rsidRPr="00B92F1D">
        <w:rPr>
          <w:rFonts w:ascii="Verdana" w:hAnsi="Verdana"/>
          <w:sz w:val="22"/>
          <w:szCs w:val="22"/>
          <w:lang w:val="en-GB"/>
        </w:rPr>
        <w:t xml:space="preserve"> is in no position to depose to affidavits as he is a very sick man and on every occasion the children went to him prior to the institution of the present proceedings he was not even able to recognise them.</w:t>
      </w:r>
      <w:r w:rsidR="008C3F41" w:rsidRPr="00B92F1D">
        <w:rPr>
          <w:rStyle w:val="FootnoteReference"/>
          <w:rFonts w:ascii="Verdana" w:hAnsi="Verdana"/>
          <w:sz w:val="22"/>
          <w:szCs w:val="22"/>
          <w:lang w:val="en-GB"/>
        </w:rPr>
        <w:footnoteReference w:id="12"/>
      </w:r>
      <w:r w:rsidR="008C3F41" w:rsidRPr="00B92F1D">
        <w:rPr>
          <w:rFonts w:ascii="Verdana" w:hAnsi="Verdana"/>
          <w:sz w:val="22"/>
          <w:szCs w:val="22"/>
          <w:lang w:val="en-GB"/>
        </w:rPr>
        <w:t xml:space="preserve">  Accordingly, the applicant disputes </w:t>
      </w:r>
      <w:proofErr w:type="spellStart"/>
      <w:r w:rsidR="00C622E0">
        <w:rPr>
          <w:rFonts w:ascii="Verdana" w:hAnsi="Verdana"/>
          <w:sz w:val="22"/>
          <w:szCs w:val="22"/>
          <w:lang w:val="en-GB"/>
        </w:rPr>
        <w:t>Mota</w:t>
      </w:r>
      <w:r w:rsidR="008C3F41" w:rsidRPr="00B92F1D">
        <w:rPr>
          <w:rFonts w:ascii="Verdana" w:hAnsi="Verdana"/>
          <w:sz w:val="22"/>
          <w:szCs w:val="22"/>
          <w:lang w:val="en-GB"/>
        </w:rPr>
        <w:t>’s</w:t>
      </w:r>
      <w:proofErr w:type="spellEnd"/>
      <w:r w:rsidR="008C3F41" w:rsidRPr="00B92F1D">
        <w:rPr>
          <w:rFonts w:ascii="Verdana" w:hAnsi="Verdana"/>
          <w:sz w:val="22"/>
          <w:szCs w:val="22"/>
          <w:lang w:val="en-GB"/>
        </w:rPr>
        <w:t xml:space="preserve"> capacity to depose to an affidavit.  </w:t>
      </w:r>
    </w:p>
    <w:p w14:paraId="6F281087" w14:textId="0B6213E3" w:rsidR="00E64E20" w:rsidRPr="00B92F1D" w:rsidRDefault="00951FAD" w:rsidP="00951FAD">
      <w:pPr>
        <w:pStyle w:val="Indent"/>
        <w:widowControl w:val="0"/>
        <w:numPr>
          <w:ilvl w:val="0"/>
          <w:numId w:val="0"/>
        </w:numPr>
        <w:spacing w:after="360" w:line="480" w:lineRule="auto"/>
        <w:ind w:left="709" w:hanging="709"/>
        <w:jc w:val="both"/>
        <w:rPr>
          <w:rFonts w:ascii="Verdana" w:hAnsi="Verdana"/>
          <w:sz w:val="22"/>
          <w:szCs w:val="22"/>
          <w:lang w:val="en-GB"/>
        </w:rPr>
      </w:pPr>
      <w:r w:rsidRPr="00B92F1D">
        <w:rPr>
          <w:rFonts w:ascii="Verdana" w:hAnsi="Verdana"/>
          <w:sz w:val="22"/>
          <w:szCs w:val="22"/>
          <w:lang w:val="en-GB"/>
        </w:rPr>
        <w:t>[31]</w:t>
      </w:r>
      <w:r w:rsidRPr="00B92F1D">
        <w:rPr>
          <w:rFonts w:ascii="Verdana" w:hAnsi="Verdana"/>
          <w:sz w:val="22"/>
          <w:szCs w:val="22"/>
          <w:lang w:val="en-GB"/>
        </w:rPr>
        <w:tab/>
      </w:r>
      <w:r w:rsidR="008C3F41" w:rsidRPr="00B92F1D">
        <w:rPr>
          <w:rFonts w:ascii="Verdana" w:hAnsi="Verdana"/>
          <w:sz w:val="22"/>
          <w:szCs w:val="22"/>
          <w:lang w:val="en-GB"/>
        </w:rPr>
        <w:t xml:space="preserve">The applicant also pointed out that the first respondent failed to attach </w:t>
      </w:r>
      <w:r w:rsidR="008C3F41" w:rsidRPr="00B92F1D">
        <w:rPr>
          <w:rFonts w:ascii="Verdana" w:hAnsi="Verdana"/>
          <w:sz w:val="22"/>
          <w:szCs w:val="22"/>
          <w:lang w:val="en-GB"/>
        </w:rPr>
        <w:lastRenderedPageBreak/>
        <w:t>any proof of the payment that she made in respect of the additional R40</w:t>
      </w:r>
      <w:proofErr w:type="gramStart"/>
      <w:r w:rsidR="008C3F41" w:rsidRPr="00B92F1D">
        <w:rPr>
          <w:rFonts w:ascii="Verdana" w:hAnsi="Verdana"/>
          <w:sz w:val="22"/>
          <w:szCs w:val="22"/>
          <w:lang w:val="en-GB"/>
        </w:rPr>
        <w:t>,000.00</w:t>
      </w:r>
      <w:proofErr w:type="gramEnd"/>
      <w:r w:rsidR="008C3F41" w:rsidRPr="00B92F1D">
        <w:rPr>
          <w:rFonts w:ascii="Verdana" w:hAnsi="Verdana"/>
          <w:sz w:val="22"/>
          <w:szCs w:val="22"/>
          <w:lang w:val="en-GB"/>
        </w:rPr>
        <w:t xml:space="preserve">. </w:t>
      </w:r>
      <w:r w:rsidR="005A329A" w:rsidRPr="00B92F1D">
        <w:rPr>
          <w:rFonts w:ascii="Verdana" w:hAnsi="Verdana"/>
          <w:sz w:val="22"/>
          <w:szCs w:val="22"/>
          <w:lang w:val="en-GB"/>
        </w:rPr>
        <w:t xml:space="preserve">Moreover, she points out that the affidavit by </w:t>
      </w:r>
      <w:proofErr w:type="spellStart"/>
      <w:r w:rsidR="00C622E0">
        <w:rPr>
          <w:rFonts w:ascii="Verdana" w:hAnsi="Verdana"/>
          <w:sz w:val="22"/>
          <w:szCs w:val="22"/>
          <w:lang w:val="en-GB"/>
        </w:rPr>
        <w:t>Mota</w:t>
      </w:r>
      <w:proofErr w:type="spellEnd"/>
      <w:r w:rsidR="005A329A" w:rsidRPr="00B92F1D">
        <w:rPr>
          <w:rFonts w:ascii="Verdana" w:hAnsi="Verdana"/>
          <w:sz w:val="22"/>
          <w:szCs w:val="22"/>
          <w:lang w:val="en-GB"/>
        </w:rPr>
        <w:t xml:space="preserve"> indicates that she only paid R4</w:t>
      </w:r>
      <w:proofErr w:type="gramStart"/>
      <w:r w:rsidR="005A329A" w:rsidRPr="00B92F1D">
        <w:rPr>
          <w:rFonts w:ascii="Verdana" w:hAnsi="Verdana"/>
          <w:sz w:val="22"/>
          <w:szCs w:val="22"/>
          <w:lang w:val="en-GB"/>
        </w:rPr>
        <w:t>,000.00</w:t>
      </w:r>
      <w:proofErr w:type="gramEnd"/>
      <w:r w:rsidR="005A329A" w:rsidRPr="00B92F1D">
        <w:rPr>
          <w:rFonts w:ascii="Verdana" w:hAnsi="Verdana"/>
          <w:sz w:val="22"/>
          <w:szCs w:val="22"/>
          <w:lang w:val="en-GB"/>
        </w:rPr>
        <w:t xml:space="preserve"> as opposed to R40,000.00 as </w:t>
      </w:r>
      <w:r w:rsidR="001B73FD">
        <w:rPr>
          <w:rFonts w:ascii="Verdana" w:hAnsi="Verdana"/>
          <w:sz w:val="22"/>
          <w:szCs w:val="22"/>
          <w:lang w:val="en-GB"/>
        </w:rPr>
        <w:t>alleged.</w:t>
      </w:r>
      <w:r w:rsidR="005A329A" w:rsidRPr="00B92F1D">
        <w:rPr>
          <w:rStyle w:val="FootnoteReference"/>
          <w:rFonts w:ascii="Verdana" w:hAnsi="Verdana"/>
          <w:sz w:val="22"/>
          <w:szCs w:val="22"/>
          <w:lang w:val="en-GB"/>
        </w:rPr>
        <w:footnoteReference w:id="13"/>
      </w:r>
    </w:p>
    <w:p w14:paraId="16208502" w14:textId="23BC56FE" w:rsidR="00475A24" w:rsidRDefault="00951FAD" w:rsidP="00951FAD">
      <w:pPr>
        <w:pStyle w:val="Indent"/>
        <w:widowControl w:val="0"/>
        <w:numPr>
          <w:ilvl w:val="0"/>
          <w:numId w:val="0"/>
        </w:numPr>
        <w:spacing w:after="360" w:line="480" w:lineRule="auto"/>
        <w:ind w:left="709" w:hanging="709"/>
        <w:jc w:val="both"/>
        <w:rPr>
          <w:rFonts w:ascii="Verdana" w:hAnsi="Verdana"/>
          <w:sz w:val="22"/>
          <w:szCs w:val="22"/>
          <w:lang w:val="en-GB"/>
        </w:rPr>
      </w:pPr>
      <w:r>
        <w:rPr>
          <w:rFonts w:ascii="Verdana" w:hAnsi="Verdana"/>
          <w:sz w:val="22"/>
          <w:szCs w:val="22"/>
          <w:lang w:val="en-GB"/>
        </w:rPr>
        <w:t>[32]</w:t>
      </w:r>
      <w:r>
        <w:rPr>
          <w:rFonts w:ascii="Verdana" w:hAnsi="Verdana"/>
          <w:sz w:val="22"/>
          <w:szCs w:val="22"/>
          <w:lang w:val="en-GB"/>
        </w:rPr>
        <w:tab/>
      </w:r>
      <w:r w:rsidR="00475A24" w:rsidRPr="00B92F1D">
        <w:rPr>
          <w:rFonts w:ascii="Verdana" w:hAnsi="Verdana"/>
          <w:sz w:val="22"/>
          <w:szCs w:val="22"/>
          <w:lang w:val="en-GB"/>
        </w:rPr>
        <w:t>It is pertinent also to point out that the applicant states that the purchase price was reflected as R35,000.00 in the Title Deed and not R75,000.00 as alleged by the first respondent.</w:t>
      </w:r>
      <w:r w:rsidR="00475A24" w:rsidRPr="00B92F1D">
        <w:rPr>
          <w:rStyle w:val="FootnoteReference"/>
          <w:rFonts w:ascii="Verdana" w:hAnsi="Verdana"/>
          <w:sz w:val="22"/>
          <w:szCs w:val="22"/>
          <w:lang w:val="en-GB"/>
        </w:rPr>
        <w:footnoteReference w:id="14"/>
      </w:r>
      <w:r w:rsidR="00475A24" w:rsidRPr="00B92F1D">
        <w:rPr>
          <w:rFonts w:ascii="Verdana" w:hAnsi="Verdana"/>
          <w:sz w:val="22"/>
          <w:szCs w:val="22"/>
          <w:lang w:val="en-GB"/>
        </w:rPr>
        <w:t xml:space="preserve"> </w:t>
      </w:r>
    </w:p>
    <w:p w14:paraId="3E541DA3" w14:textId="55E3EB07" w:rsidR="00E64E20" w:rsidRPr="00B92F1D" w:rsidRDefault="00951FAD" w:rsidP="00951FAD">
      <w:pPr>
        <w:pStyle w:val="Indent"/>
        <w:widowControl w:val="0"/>
        <w:numPr>
          <w:ilvl w:val="0"/>
          <w:numId w:val="0"/>
        </w:numPr>
        <w:spacing w:after="360" w:line="480" w:lineRule="auto"/>
        <w:ind w:left="709" w:hanging="709"/>
        <w:jc w:val="both"/>
        <w:rPr>
          <w:rFonts w:ascii="Verdana" w:hAnsi="Verdana"/>
          <w:sz w:val="22"/>
          <w:szCs w:val="22"/>
          <w:lang w:val="en-GB"/>
        </w:rPr>
      </w:pPr>
      <w:r w:rsidRPr="00B92F1D">
        <w:rPr>
          <w:rFonts w:ascii="Verdana" w:hAnsi="Verdana"/>
          <w:sz w:val="22"/>
          <w:szCs w:val="22"/>
          <w:lang w:val="en-GB"/>
        </w:rPr>
        <w:t>[33]</w:t>
      </w:r>
      <w:r w:rsidRPr="00B92F1D">
        <w:rPr>
          <w:rFonts w:ascii="Verdana" w:hAnsi="Verdana"/>
          <w:sz w:val="22"/>
          <w:szCs w:val="22"/>
          <w:lang w:val="en-GB"/>
        </w:rPr>
        <w:tab/>
      </w:r>
      <w:r w:rsidR="005A329A" w:rsidRPr="00B92F1D">
        <w:rPr>
          <w:rFonts w:ascii="Verdana" w:hAnsi="Verdana"/>
          <w:sz w:val="22"/>
          <w:szCs w:val="22"/>
          <w:lang w:val="en-GB"/>
        </w:rPr>
        <w:t>Lastly, the applicant disputes that the deceased and the first respondent had a child together and insists on a paternity test.</w:t>
      </w:r>
      <w:r w:rsidR="005A329A" w:rsidRPr="00B92F1D">
        <w:rPr>
          <w:rStyle w:val="FootnoteReference"/>
          <w:rFonts w:ascii="Verdana" w:hAnsi="Verdana"/>
          <w:sz w:val="22"/>
          <w:szCs w:val="22"/>
          <w:lang w:val="en-GB"/>
        </w:rPr>
        <w:footnoteReference w:id="15"/>
      </w:r>
      <w:r w:rsidR="005A329A" w:rsidRPr="00B92F1D">
        <w:rPr>
          <w:rFonts w:ascii="Verdana" w:hAnsi="Verdana"/>
          <w:sz w:val="22"/>
          <w:szCs w:val="22"/>
          <w:lang w:val="en-GB"/>
        </w:rPr>
        <w:t xml:space="preserve">  </w:t>
      </w:r>
    </w:p>
    <w:p w14:paraId="17AA3DF2" w14:textId="6A9D5E0E" w:rsidR="00DE4CA1" w:rsidRPr="00B92F1D" w:rsidRDefault="00DE4CA1" w:rsidP="00DE4CA1">
      <w:pPr>
        <w:pStyle w:val="Indent"/>
        <w:keepNext/>
        <w:widowControl w:val="0"/>
        <w:numPr>
          <w:ilvl w:val="0"/>
          <w:numId w:val="0"/>
        </w:numPr>
        <w:spacing w:after="360" w:line="480" w:lineRule="auto"/>
        <w:jc w:val="both"/>
        <w:rPr>
          <w:rFonts w:ascii="Verdana" w:hAnsi="Verdana"/>
          <w:b/>
          <w:sz w:val="22"/>
          <w:szCs w:val="22"/>
          <w:lang w:val="en-GB"/>
        </w:rPr>
      </w:pPr>
      <w:r w:rsidRPr="00B92F1D">
        <w:rPr>
          <w:rFonts w:ascii="Verdana" w:hAnsi="Verdana"/>
          <w:b/>
          <w:sz w:val="22"/>
          <w:szCs w:val="22"/>
          <w:lang w:val="en-GB"/>
        </w:rPr>
        <w:t>APPLICABLE LEGAL PRINCIPLES</w:t>
      </w:r>
    </w:p>
    <w:p w14:paraId="3CCCD1DB" w14:textId="3D8B6F4D" w:rsidR="00FF6850" w:rsidRPr="00B92F1D" w:rsidRDefault="00FF6850" w:rsidP="00DE4CA1">
      <w:pPr>
        <w:pStyle w:val="Indent"/>
        <w:keepNext/>
        <w:widowControl w:val="0"/>
        <w:numPr>
          <w:ilvl w:val="0"/>
          <w:numId w:val="0"/>
        </w:numPr>
        <w:spacing w:after="360" w:line="480" w:lineRule="auto"/>
        <w:jc w:val="both"/>
        <w:rPr>
          <w:rFonts w:ascii="Verdana" w:hAnsi="Verdana"/>
          <w:b/>
          <w:sz w:val="22"/>
          <w:szCs w:val="22"/>
          <w:u w:val="single"/>
          <w:lang w:val="en-GB"/>
        </w:rPr>
      </w:pPr>
      <w:r w:rsidRPr="00B92F1D">
        <w:rPr>
          <w:rFonts w:ascii="Verdana" w:hAnsi="Verdana"/>
          <w:b/>
          <w:sz w:val="22"/>
          <w:szCs w:val="22"/>
          <w:u w:val="single"/>
          <w:lang w:val="en-GB"/>
        </w:rPr>
        <w:t xml:space="preserve">The </w:t>
      </w:r>
      <w:r w:rsidR="005D3C40" w:rsidRPr="00B92F1D">
        <w:rPr>
          <w:rFonts w:ascii="Verdana" w:hAnsi="Verdana"/>
          <w:b/>
          <w:sz w:val="22"/>
          <w:szCs w:val="22"/>
          <w:u w:val="single"/>
          <w:lang w:val="en-GB"/>
        </w:rPr>
        <w:t>Applicant’s marriage to the deceased</w:t>
      </w:r>
    </w:p>
    <w:p w14:paraId="7643EE88" w14:textId="6535A410" w:rsidR="00BF460E" w:rsidRPr="00B92F1D" w:rsidRDefault="00951FAD" w:rsidP="00951FAD">
      <w:pPr>
        <w:pStyle w:val="Indent"/>
        <w:widowControl w:val="0"/>
        <w:numPr>
          <w:ilvl w:val="0"/>
          <w:numId w:val="0"/>
        </w:numPr>
        <w:spacing w:after="360" w:line="480" w:lineRule="auto"/>
        <w:ind w:left="709" w:hanging="709"/>
        <w:jc w:val="both"/>
        <w:rPr>
          <w:rFonts w:ascii="Verdana" w:hAnsi="Verdana"/>
          <w:sz w:val="22"/>
          <w:szCs w:val="22"/>
          <w:lang w:val="en-GB"/>
        </w:rPr>
      </w:pPr>
      <w:r w:rsidRPr="00B92F1D">
        <w:rPr>
          <w:rFonts w:ascii="Verdana" w:hAnsi="Verdana"/>
          <w:sz w:val="22"/>
          <w:szCs w:val="22"/>
          <w:lang w:val="en-GB"/>
        </w:rPr>
        <w:t>[34]</w:t>
      </w:r>
      <w:r w:rsidRPr="00B92F1D">
        <w:rPr>
          <w:rFonts w:ascii="Verdana" w:hAnsi="Verdana"/>
          <w:sz w:val="22"/>
          <w:szCs w:val="22"/>
          <w:lang w:val="en-GB"/>
        </w:rPr>
        <w:tab/>
      </w:r>
      <w:r w:rsidR="00DE4CA1" w:rsidRPr="00B92F1D">
        <w:rPr>
          <w:rFonts w:ascii="Verdana" w:hAnsi="Verdana"/>
          <w:sz w:val="22"/>
          <w:szCs w:val="22"/>
          <w:lang w:val="en-GB"/>
        </w:rPr>
        <w:t xml:space="preserve">Before 1988, all marriages between </w:t>
      </w:r>
      <w:r w:rsidR="008115A1" w:rsidRPr="00B92F1D">
        <w:rPr>
          <w:rFonts w:ascii="Verdana" w:hAnsi="Verdana"/>
          <w:sz w:val="22"/>
          <w:szCs w:val="22"/>
          <w:lang w:val="en-GB"/>
        </w:rPr>
        <w:t>Black South Africans</w:t>
      </w:r>
      <w:r w:rsidR="00DE4CA1" w:rsidRPr="00B92F1D">
        <w:rPr>
          <w:rFonts w:ascii="Verdana" w:hAnsi="Verdana"/>
          <w:sz w:val="22"/>
          <w:szCs w:val="22"/>
          <w:lang w:val="en-GB"/>
        </w:rPr>
        <w:t xml:space="preserve"> were automatically deemed to be out of community of property.</w:t>
      </w:r>
      <w:r w:rsidR="00DE4CA1" w:rsidRPr="00B92F1D">
        <w:rPr>
          <w:rStyle w:val="FootnoteReference"/>
          <w:rFonts w:ascii="Verdana" w:hAnsi="Verdana"/>
          <w:sz w:val="22"/>
          <w:szCs w:val="22"/>
          <w:lang w:val="en-GB"/>
        </w:rPr>
        <w:footnoteReference w:id="16"/>
      </w:r>
      <w:r w:rsidR="00DE4CA1" w:rsidRPr="00B92F1D">
        <w:rPr>
          <w:rFonts w:ascii="Verdana" w:hAnsi="Verdana"/>
          <w:sz w:val="22"/>
          <w:szCs w:val="22"/>
          <w:lang w:val="en-GB"/>
        </w:rPr>
        <w:t xml:space="preserve"> </w:t>
      </w:r>
      <w:r w:rsidR="00BF460E" w:rsidRPr="00B92F1D">
        <w:rPr>
          <w:rFonts w:ascii="Verdana" w:hAnsi="Verdana"/>
          <w:sz w:val="22"/>
          <w:szCs w:val="22"/>
          <w:lang w:val="en-GB"/>
        </w:rPr>
        <w:t xml:space="preserve">The applicant and the deceased was therefore </w:t>
      </w:r>
      <w:r w:rsidR="00826648" w:rsidRPr="00B92F1D">
        <w:rPr>
          <w:rFonts w:ascii="Verdana" w:hAnsi="Verdana"/>
          <w:sz w:val="22"/>
          <w:szCs w:val="22"/>
          <w:lang w:val="en-GB"/>
        </w:rPr>
        <w:t xml:space="preserve">initially married </w:t>
      </w:r>
      <w:proofErr w:type="gramStart"/>
      <w:r w:rsidR="00826648" w:rsidRPr="00B92F1D">
        <w:rPr>
          <w:rFonts w:ascii="Verdana" w:hAnsi="Verdana"/>
          <w:sz w:val="22"/>
          <w:szCs w:val="22"/>
          <w:lang w:val="en-GB"/>
        </w:rPr>
        <w:t>our of</w:t>
      </w:r>
      <w:proofErr w:type="gramEnd"/>
      <w:r w:rsidR="00826648" w:rsidRPr="00B92F1D">
        <w:rPr>
          <w:rFonts w:ascii="Verdana" w:hAnsi="Verdana"/>
          <w:sz w:val="22"/>
          <w:szCs w:val="22"/>
          <w:lang w:val="en-GB"/>
        </w:rPr>
        <w:t xml:space="preserve"> community of property as the marriage certificate attached to the founding papers correctly reflects.</w:t>
      </w:r>
    </w:p>
    <w:p w14:paraId="533AA54E" w14:textId="745B14B0" w:rsidR="00C61AD2" w:rsidRPr="00B92F1D" w:rsidRDefault="00951FAD" w:rsidP="00951FAD">
      <w:pPr>
        <w:pStyle w:val="Indent"/>
        <w:widowControl w:val="0"/>
        <w:numPr>
          <w:ilvl w:val="0"/>
          <w:numId w:val="0"/>
        </w:numPr>
        <w:spacing w:after="360" w:line="480" w:lineRule="auto"/>
        <w:ind w:left="709" w:hanging="709"/>
        <w:jc w:val="both"/>
        <w:rPr>
          <w:rFonts w:ascii="Verdana" w:hAnsi="Verdana"/>
          <w:sz w:val="22"/>
          <w:szCs w:val="22"/>
          <w:lang w:val="en-GB"/>
        </w:rPr>
      </w:pPr>
      <w:r w:rsidRPr="00B92F1D">
        <w:rPr>
          <w:rFonts w:ascii="Verdana" w:hAnsi="Verdana"/>
          <w:sz w:val="22"/>
          <w:szCs w:val="22"/>
          <w:lang w:val="en-GB"/>
        </w:rPr>
        <w:t>[35]</w:t>
      </w:r>
      <w:r w:rsidRPr="00B92F1D">
        <w:rPr>
          <w:rFonts w:ascii="Verdana" w:hAnsi="Verdana"/>
          <w:sz w:val="22"/>
          <w:szCs w:val="22"/>
          <w:lang w:val="en-GB"/>
        </w:rPr>
        <w:tab/>
      </w:r>
      <w:r w:rsidR="00826648" w:rsidRPr="00B92F1D">
        <w:rPr>
          <w:rFonts w:ascii="Verdana" w:hAnsi="Verdana"/>
          <w:sz w:val="22"/>
          <w:szCs w:val="22"/>
          <w:lang w:val="en-GB"/>
        </w:rPr>
        <w:t>Subsequently, s</w:t>
      </w:r>
      <w:r w:rsidR="00DE4CA1" w:rsidRPr="00B92F1D">
        <w:rPr>
          <w:rFonts w:ascii="Verdana" w:hAnsi="Verdana"/>
          <w:sz w:val="22"/>
          <w:szCs w:val="22"/>
          <w:lang w:val="en-GB"/>
        </w:rPr>
        <w:t xml:space="preserve">ection 22(6) of the </w:t>
      </w:r>
      <w:r w:rsidR="00826648" w:rsidRPr="00B92F1D">
        <w:rPr>
          <w:rFonts w:ascii="Verdana" w:hAnsi="Verdana"/>
          <w:sz w:val="22"/>
          <w:szCs w:val="22"/>
          <w:lang w:val="en-GB"/>
        </w:rPr>
        <w:t xml:space="preserve">BAA </w:t>
      </w:r>
      <w:r w:rsidR="00DE4CA1" w:rsidRPr="00B92F1D">
        <w:rPr>
          <w:rFonts w:ascii="Verdana" w:hAnsi="Verdana"/>
          <w:sz w:val="22"/>
          <w:szCs w:val="22"/>
          <w:lang w:val="en-GB"/>
        </w:rPr>
        <w:t xml:space="preserve">was repealed by the Marriage and Matrimonial Property Law Amendment Act, 3 of 1988.  Marriages entered into after the commencement of the 1988 Act provided limited relief until recently when all black marriages entered into in terms of the </w:t>
      </w:r>
      <w:r w:rsidR="00E81938" w:rsidRPr="00B92F1D">
        <w:rPr>
          <w:rFonts w:ascii="Verdana" w:hAnsi="Verdana"/>
          <w:sz w:val="22"/>
          <w:szCs w:val="22"/>
          <w:lang w:val="en-GB"/>
        </w:rPr>
        <w:t>BAA</w:t>
      </w:r>
      <w:r w:rsidR="00DE4CA1" w:rsidRPr="00B92F1D">
        <w:rPr>
          <w:rFonts w:ascii="Verdana" w:hAnsi="Verdana"/>
          <w:sz w:val="22"/>
          <w:szCs w:val="22"/>
          <w:lang w:val="en-GB"/>
        </w:rPr>
        <w:t xml:space="preserve"> and in terms of which an automatic out of community rule applied, were declared </w:t>
      </w:r>
      <w:r w:rsidR="00DE4CA1" w:rsidRPr="00B92F1D">
        <w:rPr>
          <w:rFonts w:ascii="Verdana" w:hAnsi="Verdana"/>
          <w:sz w:val="22"/>
          <w:szCs w:val="22"/>
          <w:lang w:val="en-GB"/>
        </w:rPr>
        <w:lastRenderedPageBreak/>
        <w:t>to be marriages in community of property</w:t>
      </w:r>
      <w:r w:rsidR="00C61AD2" w:rsidRPr="00B92F1D">
        <w:rPr>
          <w:rFonts w:ascii="Verdana" w:hAnsi="Verdana"/>
          <w:sz w:val="22"/>
          <w:szCs w:val="22"/>
          <w:lang w:val="en-GB"/>
        </w:rPr>
        <w:t xml:space="preserve"> by the Constitutional Court in </w:t>
      </w:r>
      <w:r w:rsidR="00DE4CA1" w:rsidRPr="00B92F1D">
        <w:rPr>
          <w:rFonts w:ascii="Verdana" w:hAnsi="Verdana"/>
          <w:sz w:val="22"/>
          <w:szCs w:val="22"/>
          <w:lang w:val="en-GB"/>
        </w:rPr>
        <w:t xml:space="preserve">  </w:t>
      </w:r>
      <w:proofErr w:type="spellStart"/>
      <w:r w:rsidR="00B10D11" w:rsidRPr="00B92F1D">
        <w:rPr>
          <w:rFonts w:ascii="Verdana" w:hAnsi="Verdana"/>
          <w:i/>
          <w:sz w:val="22"/>
          <w:szCs w:val="22"/>
          <w:lang w:val="en-GB"/>
        </w:rPr>
        <w:t>Sithole</w:t>
      </w:r>
      <w:proofErr w:type="spellEnd"/>
      <w:r w:rsidR="00B10D11" w:rsidRPr="00B92F1D">
        <w:rPr>
          <w:rFonts w:ascii="Verdana" w:hAnsi="Verdana"/>
          <w:i/>
          <w:sz w:val="22"/>
          <w:szCs w:val="22"/>
          <w:lang w:val="en-GB"/>
        </w:rPr>
        <w:t xml:space="preserve"> and Another v </w:t>
      </w:r>
      <w:proofErr w:type="spellStart"/>
      <w:r w:rsidR="00B10D11" w:rsidRPr="00B92F1D">
        <w:rPr>
          <w:rFonts w:ascii="Verdana" w:hAnsi="Verdana"/>
          <w:i/>
          <w:sz w:val="22"/>
          <w:szCs w:val="22"/>
          <w:lang w:val="en-GB"/>
        </w:rPr>
        <w:t>Sithole</w:t>
      </w:r>
      <w:proofErr w:type="spellEnd"/>
      <w:r w:rsidR="00B10D11" w:rsidRPr="00B92F1D">
        <w:rPr>
          <w:rFonts w:ascii="Verdana" w:hAnsi="Verdana"/>
          <w:i/>
          <w:sz w:val="22"/>
          <w:szCs w:val="22"/>
          <w:lang w:val="en-GB"/>
        </w:rPr>
        <w:t xml:space="preserve"> and Another</w:t>
      </w:r>
      <w:r w:rsidR="00B10D11" w:rsidRPr="00B92F1D">
        <w:rPr>
          <w:rStyle w:val="FootnoteReference"/>
          <w:rFonts w:ascii="Verdana" w:hAnsi="Verdana"/>
          <w:sz w:val="22"/>
          <w:szCs w:val="22"/>
          <w:lang w:val="en-GB"/>
        </w:rPr>
        <w:footnoteReference w:id="17"/>
      </w:r>
      <w:r w:rsidR="00F03B3F" w:rsidRPr="00B92F1D">
        <w:rPr>
          <w:rFonts w:ascii="Verdana" w:hAnsi="Verdana"/>
          <w:iCs/>
          <w:sz w:val="22"/>
          <w:szCs w:val="22"/>
          <w:lang w:val="en-GB"/>
        </w:rPr>
        <w:t xml:space="preserve">, a judgment handed down on </w:t>
      </w:r>
      <w:r w:rsidR="00F03B3F" w:rsidRPr="00B92F1D">
        <w:rPr>
          <w:rFonts w:ascii="Verdana" w:hAnsi="Verdana"/>
          <w:sz w:val="22"/>
          <w:szCs w:val="22"/>
          <w:lang w:val="en-GB"/>
        </w:rPr>
        <w:t>the 14</w:t>
      </w:r>
      <w:r w:rsidR="00F03B3F" w:rsidRPr="00B92F1D">
        <w:rPr>
          <w:rFonts w:ascii="Verdana" w:hAnsi="Verdana"/>
          <w:sz w:val="22"/>
          <w:szCs w:val="22"/>
          <w:vertAlign w:val="superscript"/>
          <w:lang w:val="en-GB"/>
        </w:rPr>
        <w:t>th</w:t>
      </w:r>
      <w:r w:rsidR="00F03B3F" w:rsidRPr="00B92F1D">
        <w:rPr>
          <w:rFonts w:ascii="Verdana" w:hAnsi="Verdana"/>
          <w:sz w:val="22"/>
          <w:szCs w:val="22"/>
          <w:lang w:val="en-GB"/>
        </w:rPr>
        <w:t> of April 2021</w:t>
      </w:r>
      <w:r w:rsidR="00B10D11" w:rsidRPr="00B92F1D">
        <w:rPr>
          <w:rFonts w:ascii="Verdana" w:hAnsi="Verdana"/>
          <w:iCs/>
          <w:sz w:val="22"/>
          <w:szCs w:val="22"/>
          <w:lang w:val="en-GB"/>
        </w:rPr>
        <w:t>.</w:t>
      </w:r>
      <w:r w:rsidR="00B10D11" w:rsidRPr="00B92F1D">
        <w:rPr>
          <w:rFonts w:ascii="Verdana" w:hAnsi="Verdana"/>
          <w:sz w:val="22"/>
          <w:szCs w:val="22"/>
          <w:lang w:val="en-GB"/>
        </w:rPr>
        <w:t xml:space="preserve"> </w:t>
      </w:r>
    </w:p>
    <w:p w14:paraId="3A91B250" w14:textId="3DF82974" w:rsidR="00774D62" w:rsidRPr="00B92F1D" w:rsidRDefault="00951FAD" w:rsidP="00951FAD">
      <w:pPr>
        <w:pStyle w:val="Indent"/>
        <w:widowControl w:val="0"/>
        <w:numPr>
          <w:ilvl w:val="0"/>
          <w:numId w:val="0"/>
        </w:numPr>
        <w:spacing w:after="360" w:line="480" w:lineRule="auto"/>
        <w:ind w:left="709" w:hanging="709"/>
        <w:jc w:val="both"/>
        <w:rPr>
          <w:rFonts w:ascii="Verdana" w:hAnsi="Verdana"/>
          <w:sz w:val="22"/>
          <w:szCs w:val="22"/>
          <w:lang w:val="en-GB"/>
        </w:rPr>
      </w:pPr>
      <w:r w:rsidRPr="00B92F1D">
        <w:rPr>
          <w:rFonts w:ascii="Verdana" w:hAnsi="Verdana"/>
          <w:sz w:val="22"/>
          <w:szCs w:val="22"/>
          <w:lang w:val="en-GB"/>
        </w:rPr>
        <w:t>[36]</w:t>
      </w:r>
      <w:r w:rsidRPr="00B92F1D">
        <w:rPr>
          <w:rFonts w:ascii="Verdana" w:hAnsi="Verdana"/>
          <w:sz w:val="22"/>
          <w:szCs w:val="22"/>
          <w:lang w:val="en-GB"/>
        </w:rPr>
        <w:tab/>
      </w:r>
      <w:r w:rsidR="00C61AD2" w:rsidRPr="00B92F1D">
        <w:rPr>
          <w:rFonts w:ascii="Verdana" w:hAnsi="Verdana"/>
          <w:sz w:val="22"/>
          <w:szCs w:val="22"/>
          <w:lang w:val="en-GB"/>
        </w:rPr>
        <w:t xml:space="preserve">In </w:t>
      </w:r>
      <w:proofErr w:type="spellStart"/>
      <w:r w:rsidR="004E0021" w:rsidRPr="00B92F1D">
        <w:rPr>
          <w:rFonts w:ascii="Verdana" w:hAnsi="Verdana"/>
          <w:i/>
          <w:iCs/>
          <w:sz w:val="22"/>
          <w:szCs w:val="22"/>
          <w:lang w:val="en-GB"/>
        </w:rPr>
        <w:t>Sithole</w:t>
      </w:r>
      <w:proofErr w:type="spellEnd"/>
      <w:r w:rsidR="004E0021" w:rsidRPr="00B92F1D">
        <w:rPr>
          <w:rFonts w:ascii="Verdana" w:hAnsi="Verdana"/>
          <w:i/>
          <w:iCs/>
          <w:sz w:val="22"/>
          <w:szCs w:val="22"/>
          <w:lang w:val="en-GB"/>
        </w:rPr>
        <w:t xml:space="preserve"> </w:t>
      </w:r>
      <w:r w:rsidR="00B10D11" w:rsidRPr="00B92F1D">
        <w:rPr>
          <w:rFonts w:ascii="Verdana" w:hAnsi="Verdana"/>
          <w:sz w:val="22"/>
          <w:szCs w:val="22"/>
          <w:lang w:val="en-GB"/>
        </w:rPr>
        <w:t>the Constitutional Court declared the provisions of section 21(2</w:t>
      </w:r>
      <w:proofErr w:type="gramStart"/>
      <w:r w:rsidR="00B10D11" w:rsidRPr="00B92F1D">
        <w:rPr>
          <w:rFonts w:ascii="Verdana" w:hAnsi="Verdana"/>
          <w:sz w:val="22"/>
          <w:szCs w:val="22"/>
          <w:lang w:val="en-GB"/>
        </w:rPr>
        <w:t>)(</w:t>
      </w:r>
      <w:proofErr w:type="gramEnd"/>
      <w:r w:rsidR="00B10D11" w:rsidRPr="00B92F1D">
        <w:rPr>
          <w:rFonts w:ascii="Verdana" w:hAnsi="Verdana"/>
          <w:sz w:val="22"/>
          <w:szCs w:val="22"/>
          <w:lang w:val="en-GB"/>
        </w:rPr>
        <w:t xml:space="preserve">a) of the Matrimonial Property Act, 88 of 1984 unconstitutional and invalid to the extent that they maintain and perpetuate the discrimination created by section 22(6) of the </w:t>
      </w:r>
      <w:r w:rsidR="004E0021" w:rsidRPr="00B92F1D">
        <w:rPr>
          <w:rFonts w:ascii="Verdana" w:hAnsi="Verdana"/>
          <w:sz w:val="22"/>
          <w:szCs w:val="22"/>
          <w:lang w:val="en-GB"/>
        </w:rPr>
        <w:t xml:space="preserve">BAA </w:t>
      </w:r>
      <w:r w:rsidR="00B10D11" w:rsidRPr="00B92F1D">
        <w:rPr>
          <w:rFonts w:ascii="Verdana" w:hAnsi="Verdana"/>
          <w:sz w:val="22"/>
          <w:szCs w:val="22"/>
          <w:lang w:val="en-GB"/>
        </w:rPr>
        <w:t xml:space="preserve">thereby maintain the default position of marriages of black couples, entered into under the </w:t>
      </w:r>
      <w:r w:rsidR="004E0021" w:rsidRPr="00B92F1D">
        <w:rPr>
          <w:rFonts w:ascii="Verdana" w:hAnsi="Verdana"/>
          <w:sz w:val="22"/>
          <w:szCs w:val="22"/>
          <w:lang w:val="en-GB"/>
        </w:rPr>
        <w:t xml:space="preserve">BAA </w:t>
      </w:r>
      <w:r w:rsidR="00B10D11" w:rsidRPr="00B92F1D">
        <w:rPr>
          <w:rFonts w:ascii="Verdana" w:hAnsi="Verdana"/>
          <w:sz w:val="22"/>
          <w:szCs w:val="22"/>
          <w:lang w:val="en-GB"/>
        </w:rPr>
        <w:t xml:space="preserve">before the 1988 amendment, that such marriages are automatically out of community of property.  The Court declared further that all marriages of black persons that are out of community of property and that were concluded under section 22(6) of the </w:t>
      </w:r>
      <w:r w:rsidR="00774D62" w:rsidRPr="00B92F1D">
        <w:rPr>
          <w:rFonts w:ascii="Verdana" w:hAnsi="Verdana"/>
          <w:sz w:val="22"/>
          <w:szCs w:val="22"/>
          <w:lang w:val="en-GB"/>
        </w:rPr>
        <w:t xml:space="preserve">BAA </w:t>
      </w:r>
      <w:r w:rsidR="00B10D11" w:rsidRPr="00B92F1D">
        <w:rPr>
          <w:rFonts w:ascii="Verdana" w:hAnsi="Verdana"/>
          <w:sz w:val="22"/>
          <w:szCs w:val="22"/>
          <w:lang w:val="en-GB"/>
        </w:rPr>
        <w:t xml:space="preserve">before the 1988 amendment are, save for those couples who opt for a marriage out of community of property, declared to be marriages in community of property.  It was also declared that chapter 3 of the Matrimonial Property Act from date of the order would apply in respect of all marriages that have been converted to marriages in community of property.  </w:t>
      </w:r>
    </w:p>
    <w:p w14:paraId="6BE7B07E" w14:textId="60E7F6E9" w:rsidR="005A7440" w:rsidRPr="00B92F1D" w:rsidRDefault="00951FAD" w:rsidP="00951FAD">
      <w:pPr>
        <w:pStyle w:val="Indent"/>
        <w:widowControl w:val="0"/>
        <w:numPr>
          <w:ilvl w:val="0"/>
          <w:numId w:val="0"/>
        </w:numPr>
        <w:spacing w:after="360" w:line="480" w:lineRule="auto"/>
        <w:ind w:left="709" w:hanging="709"/>
        <w:jc w:val="both"/>
        <w:rPr>
          <w:rFonts w:ascii="Verdana" w:hAnsi="Verdana"/>
          <w:sz w:val="22"/>
          <w:szCs w:val="22"/>
          <w:lang w:val="en-GB"/>
        </w:rPr>
      </w:pPr>
      <w:r w:rsidRPr="00B92F1D">
        <w:rPr>
          <w:rFonts w:ascii="Verdana" w:hAnsi="Verdana"/>
          <w:sz w:val="22"/>
          <w:szCs w:val="22"/>
          <w:lang w:val="en-GB"/>
        </w:rPr>
        <w:t>[37]</w:t>
      </w:r>
      <w:r w:rsidRPr="00B92F1D">
        <w:rPr>
          <w:rFonts w:ascii="Verdana" w:hAnsi="Verdana"/>
          <w:sz w:val="22"/>
          <w:szCs w:val="22"/>
          <w:lang w:val="en-GB"/>
        </w:rPr>
        <w:tab/>
      </w:r>
      <w:r w:rsidR="00B10D11" w:rsidRPr="00B92F1D">
        <w:rPr>
          <w:rFonts w:ascii="Verdana" w:hAnsi="Verdana"/>
          <w:sz w:val="22"/>
          <w:szCs w:val="22"/>
          <w:lang w:val="en-GB"/>
        </w:rPr>
        <w:t xml:space="preserve">In its judgment the Constitutional Court did provide for an opting out of the default marital property regime where parties would be entitled to notify the Director-General of the Department of Home Affairs in writing that they have opted for a marriage out of community of property.  </w:t>
      </w:r>
    </w:p>
    <w:p w14:paraId="27B0ADFB" w14:textId="24B578CC" w:rsidR="00F22AFF" w:rsidRPr="00B92F1D" w:rsidRDefault="00951FAD" w:rsidP="00951FAD">
      <w:pPr>
        <w:pStyle w:val="Indent"/>
        <w:widowControl w:val="0"/>
        <w:numPr>
          <w:ilvl w:val="0"/>
          <w:numId w:val="0"/>
        </w:numPr>
        <w:spacing w:after="360" w:line="480" w:lineRule="auto"/>
        <w:ind w:left="709" w:hanging="709"/>
        <w:jc w:val="both"/>
        <w:rPr>
          <w:rFonts w:ascii="Verdana" w:hAnsi="Verdana"/>
          <w:sz w:val="22"/>
          <w:szCs w:val="22"/>
          <w:lang w:val="en-GB"/>
        </w:rPr>
      </w:pPr>
      <w:r w:rsidRPr="00B92F1D">
        <w:rPr>
          <w:rFonts w:ascii="Verdana" w:hAnsi="Verdana"/>
          <w:sz w:val="22"/>
          <w:szCs w:val="22"/>
          <w:lang w:val="en-GB"/>
        </w:rPr>
        <w:t>[38]</w:t>
      </w:r>
      <w:r w:rsidRPr="00B92F1D">
        <w:rPr>
          <w:rFonts w:ascii="Verdana" w:hAnsi="Verdana"/>
          <w:sz w:val="22"/>
          <w:szCs w:val="22"/>
          <w:lang w:val="en-GB"/>
        </w:rPr>
        <w:tab/>
      </w:r>
      <w:r w:rsidR="009B42E5" w:rsidRPr="00B92F1D">
        <w:rPr>
          <w:rFonts w:ascii="Verdana" w:hAnsi="Verdana"/>
          <w:sz w:val="22"/>
          <w:szCs w:val="22"/>
          <w:lang w:val="en-GB"/>
        </w:rPr>
        <w:t xml:space="preserve">Although the deceased died in 2015, prior to the </w:t>
      </w:r>
      <w:proofErr w:type="spellStart"/>
      <w:r w:rsidR="009B42E5" w:rsidRPr="00B92F1D">
        <w:rPr>
          <w:rFonts w:ascii="Verdana" w:hAnsi="Verdana"/>
          <w:i/>
          <w:iCs/>
          <w:sz w:val="22"/>
          <w:szCs w:val="22"/>
          <w:lang w:val="en-GB"/>
        </w:rPr>
        <w:t>Sithole</w:t>
      </w:r>
      <w:proofErr w:type="spellEnd"/>
      <w:r w:rsidR="009B42E5" w:rsidRPr="00B92F1D">
        <w:rPr>
          <w:rFonts w:ascii="Verdana" w:hAnsi="Verdana"/>
          <w:i/>
          <w:iCs/>
          <w:sz w:val="22"/>
          <w:szCs w:val="22"/>
          <w:lang w:val="en-GB"/>
        </w:rPr>
        <w:t xml:space="preserve"> </w:t>
      </w:r>
      <w:r w:rsidR="009B42E5" w:rsidRPr="00B92F1D">
        <w:rPr>
          <w:rFonts w:ascii="Verdana" w:hAnsi="Verdana"/>
          <w:sz w:val="22"/>
          <w:szCs w:val="22"/>
          <w:lang w:val="en-GB"/>
        </w:rPr>
        <w:t xml:space="preserve">judgment, </w:t>
      </w:r>
      <w:r w:rsidR="000E3EA3" w:rsidRPr="00B92F1D">
        <w:rPr>
          <w:rFonts w:ascii="Verdana" w:hAnsi="Verdana"/>
          <w:sz w:val="22"/>
          <w:szCs w:val="22"/>
          <w:lang w:val="en-GB"/>
        </w:rPr>
        <w:t xml:space="preserve">the principles of unconstitutionality would still apply to their marriage and </w:t>
      </w:r>
      <w:r w:rsidR="0060262A" w:rsidRPr="00B92F1D">
        <w:rPr>
          <w:rFonts w:ascii="Verdana" w:hAnsi="Verdana"/>
          <w:sz w:val="22"/>
          <w:szCs w:val="22"/>
          <w:lang w:val="en-GB"/>
        </w:rPr>
        <w:lastRenderedPageBreak/>
        <w:t xml:space="preserve">they were accordingly married in community of property. This implies that both the applicant and the </w:t>
      </w:r>
      <w:r w:rsidR="00A63B05" w:rsidRPr="00B92F1D">
        <w:rPr>
          <w:rFonts w:ascii="Verdana" w:hAnsi="Verdana"/>
          <w:sz w:val="22"/>
          <w:szCs w:val="22"/>
          <w:lang w:val="en-GB"/>
        </w:rPr>
        <w:t>deceased</w:t>
      </w:r>
      <w:r w:rsidR="0060262A" w:rsidRPr="00B92F1D">
        <w:rPr>
          <w:rFonts w:ascii="Verdana" w:hAnsi="Verdana"/>
          <w:sz w:val="22"/>
          <w:szCs w:val="22"/>
          <w:lang w:val="en-GB"/>
        </w:rPr>
        <w:t xml:space="preserve"> </w:t>
      </w:r>
      <w:r w:rsidR="00A63B05" w:rsidRPr="00B92F1D">
        <w:rPr>
          <w:rFonts w:ascii="Verdana" w:hAnsi="Verdana"/>
          <w:sz w:val="22"/>
          <w:szCs w:val="22"/>
          <w:lang w:val="en-GB"/>
        </w:rPr>
        <w:t xml:space="preserve">would have </w:t>
      </w:r>
      <w:r w:rsidR="001B73FD">
        <w:rPr>
          <w:rFonts w:ascii="Verdana" w:hAnsi="Verdana"/>
          <w:sz w:val="22"/>
          <w:szCs w:val="22"/>
          <w:lang w:val="en-GB"/>
        </w:rPr>
        <w:t xml:space="preserve">by implication </w:t>
      </w:r>
      <w:r w:rsidR="00A63B05" w:rsidRPr="00B92F1D">
        <w:rPr>
          <w:rFonts w:ascii="Verdana" w:hAnsi="Verdana"/>
          <w:sz w:val="22"/>
          <w:szCs w:val="22"/>
          <w:lang w:val="en-GB"/>
        </w:rPr>
        <w:t>held an undivided half share in the property by virtue of their marital</w:t>
      </w:r>
      <w:r w:rsidR="001B73FD">
        <w:rPr>
          <w:rFonts w:ascii="Verdana" w:hAnsi="Verdana"/>
          <w:sz w:val="22"/>
          <w:szCs w:val="22"/>
          <w:lang w:val="en-GB"/>
        </w:rPr>
        <w:t xml:space="preserve"> property</w:t>
      </w:r>
      <w:r w:rsidR="00A63B05" w:rsidRPr="00B92F1D">
        <w:rPr>
          <w:rFonts w:ascii="Verdana" w:hAnsi="Verdana"/>
          <w:sz w:val="22"/>
          <w:szCs w:val="22"/>
          <w:lang w:val="en-GB"/>
        </w:rPr>
        <w:t xml:space="preserve"> regime</w:t>
      </w:r>
      <w:r w:rsidR="00867CD8" w:rsidRPr="00B92F1D">
        <w:rPr>
          <w:rFonts w:ascii="Verdana" w:hAnsi="Verdana"/>
          <w:sz w:val="22"/>
          <w:szCs w:val="22"/>
          <w:lang w:val="en-GB"/>
        </w:rPr>
        <w:t>.</w:t>
      </w:r>
    </w:p>
    <w:p w14:paraId="1A80056D" w14:textId="4C9FC0B5" w:rsidR="00F22AFF" w:rsidRPr="00B92F1D" w:rsidRDefault="00F22AFF" w:rsidP="00F22AFF">
      <w:pPr>
        <w:pStyle w:val="Indent"/>
        <w:widowControl w:val="0"/>
        <w:numPr>
          <w:ilvl w:val="0"/>
          <w:numId w:val="0"/>
        </w:numPr>
        <w:spacing w:after="360" w:line="480" w:lineRule="auto"/>
        <w:jc w:val="both"/>
        <w:rPr>
          <w:rFonts w:ascii="Verdana" w:hAnsi="Verdana"/>
          <w:b/>
          <w:bCs/>
          <w:sz w:val="22"/>
          <w:szCs w:val="22"/>
          <w:u w:val="single"/>
          <w:lang w:val="en-GB"/>
        </w:rPr>
      </w:pPr>
      <w:r w:rsidRPr="00B92F1D">
        <w:rPr>
          <w:rFonts w:ascii="Verdana" w:hAnsi="Verdana"/>
          <w:b/>
          <w:bCs/>
          <w:sz w:val="22"/>
          <w:szCs w:val="22"/>
          <w:u w:val="single"/>
          <w:lang w:val="en-GB"/>
        </w:rPr>
        <w:t>The invalidity of the customary marriage</w:t>
      </w:r>
    </w:p>
    <w:p w14:paraId="2461602B" w14:textId="064874CC" w:rsidR="00F22AFF" w:rsidRPr="00B92F1D" w:rsidRDefault="00951FAD" w:rsidP="00951FAD">
      <w:pPr>
        <w:pStyle w:val="Indent"/>
        <w:widowControl w:val="0"/>
        <w:numPr>
          <w:ilvl w:val="0"/>
          <w:numId w:val="0"/>
        </w:numPr>
        <w:spacing w:after="360" w:line="480" w:lineRule="auto"/>
        <w:ind w:left="709" w:hanging="709"/>
        <w:jc w:val="both"/>
        <w:rPr>
          <w:rFonts w:ascii="Verdana" w:hAnsi="Verdana"/>
          <w:sz w:val="22"/>
          <w:szCs w:val="22"/>
          <w:lang w:val="en-GB"/>
        </w:rPr>
      </w:pPr>
      <w:r w:rsidRPr="00B92F1D">
        <w:rPr>
          <w:rFonts w:ascii="Verdana" w:hAnsi="Verdana"/>
          <w:sz w:val="22"/>
          <w:szCs w:val="22"/>
          <w:lang w:val="en-GB"/>
        </w:rPr>
        <w:t>[39]</w:t>
      </w:r>
      <w:r w:rsidRPr="00B92F1D">
        <w:rPr>
          <w:rFonts w:ascii="Verdana" w:hAnsi="Verdana"/>
          <w:sz w:val="22"/>
          <w:szCs w:val="22"/>
          <w:lang w:val="en-GB"/>
        </w:rPr>
        <w:tab/>
      </w:r>
      <w:r w:rsidR="00F22AFF" w:rsidRPr="00B92F1D">
        <w:rPr>
          <w:rFonts w:ascii="Verdana" w:hAnsi="Verdana"/>
          <w:sz w:val="22"/>
          <w:szCs w:val="22"/>
          <w:lang w:val="en-GB"/>
        </w:rPr>
        <w:t>I am not persuaded that the first respondent and the deceased entered into a valid customary marriage.</w:t>
      </w:r>
    </w:p>
    <w:p w14:paraId="038DF298" w14:textId="3C6192C5" w:rsidR="0072633F" w:rsidRPr="00B92F1D" w:rsidRDefault="00951FAD" w:rsidP="00951FAD">
      <w:pPr>
        <w:pStyle w:val="Indent"/>
        <w:widowControl w:val="0"/>
        <w:numPr>
          <w:ilvl w:val="0"/>
          <w:numId w:val="0"/>
        </w:numPr>
        <w:spacing w:after="360" w:line="480" w:lineRule="auto"/>
        <w:ind w:left="709" w:hanging="709"/>
        <w:jc w:val="both"/>
        <w:rPr>
          <w:rFonts w:ascii="Verdana" w:hAnsi="Verdana"/>
          <w:sz w:val="22"/>
          <w:szCs w:val="22"/>
          <w:lang w:val="en-GB"/>
        </w:rPr>
      </w:pPr>
      <w:r w:rsidRPr="00B92F1D">
        <w:rPr>
          <w:rFonts w:ascii="Verdana" w:hAnsi="Verdana"/>
          <w:sz w:val="22"/>
          <w:szCs w:val="22"/>
          <w:lang w:val="en-GB"/>
        </w:rPr>
        <w:t>[40]</w:t>
      </w:r>
      <w:r w:rsidRPr="00B92F1D">
        <w:rPr>
          <w:rFonts w:ascii="Verdana" w:hAnsi="Verdana"/>
          <w:sz w:val="22"/>
          <w:szCs w:val="22"/>
          <w:lang w:val="en-GB"/>
        </w:rPr>
        <w:tab/>
      </w:r>
      <w:r w:rsidR="00B10D11" w:rsidRPr="00B92F1D">
        <w:rPr>
          <w:rFonts w:ascii="Verdana" w:hAnsi="Verdana"/>
          <w:sz w:val="22"/>
          <w:szCs w:val="22"/>
          <w:lang w:val="en-GB"/>
        </w:rPr>
        <w:t>In terms of section 3(2) of the Recognition of Customary Marriages Act, 120 of 1998</w:t>
      </w:r>
      <w:r w:rsidR="009771EF" w:rsidRPr="00B92F1D">
        <w:rPr>
          <w:rFonts w:ascii="Verdana" w:hAnsi="Verdana"/>
          <w:sz w:val="22"/>
          <w:szCs w:val="22"/>
          <w:lang w:val="en-GB"/>
        </w:rPr>
        <w:t xml:space="preserve"> (</w:t>
      </w:r>
      <w:r w:rsidR="009771EF" w:rsidRPr="00B92F1D">
        <w:rPr>
          <w:rFonts w:ascii="Verdana" w:hAnsi="Verdana"/>
          <w:i/>
          <w:iCs/>
          <w:sz w:val="22"/>
          <w:szCs w:val="22"/>
          <w:lang w:val="en-GB"/>
        </w:rPr>
        <w:t>“RCA”</w:t>
      </w:r>
      <w:r w:rsidR="009771EF" w:rsidRPr="00B92F1D">
        <w:rPr>
          <w:rFonts w:ascii="Verdana" w:hAnsi="Verdana"/>
          <w:sz w:val="22"/>
          <w:szCs w:val="22"/>
          <w:lang w:val="en-GB"/>
        </w:rPr>
        <w:t>)</w:t>
      </w:r>
      <w:r w:rsidR="00B10D11" w:rsidRPr="00B92F1D">
        <w:rPr>
          <w:rFonts w:ascii="Verdana" w:hAnsi="Verdana"/>
          <w:sz w:val="22"/>
          <w:szCs w:val="22"/>
          <w:lang w:val="en-GB"/>
        </w:rPr>
        <w:t xml:space="preserve">, save as provided in section 10(1), no spouse in a customary marriage shall be competent to enter into a marriage under the Marriage Act, 1961 during the subsistence of such customary marriage.  </w:t>
      </w:r>
    </w:p>
    <w:p w14:paraId="0BBA0778" w14:textId="7381247C" w:rsidR="0072633F" w:rsidRPr="00B92F1D" w:rsidRDefault="00951FAD" w:rsidP="00951FAD">
      <w:pPr>
        <w:pStyle w:val="Indent"/>
        <w:widowControl w:val="0"/>
        <w:numPr>
          <w:ilvl w:val="0"/>
          <w:numId w:val="0"/>
        </w:numPr>
        <w:spacing w:after="360" w:line="480" w:lineRule="auto"/>
        <w:ind w:left="709" w:hanging="709"/>
        <w:jc w:val="both"/>
        <w:rPr>
          <w:rFonts w:ascii="Verdana" w:hAnsi="Verdana"/>
          <w:sz w:val="22"/>
          <w:szCs w:val="22"/>
          <w:lang w:val="en-GB"/>
        </w:rPr>
      </w:pPr>
      <w:r w:rsidRPr="00B92F1D">
        <w:rPr>
          <w:rFonts w:ascii="Verdana" w:hAnsi="Verdana"/>
          <w:sz w:val="22"/>
          <w:szCs w:val="22"/>
          <w:lang w:val="en-GB"/>
        </w:rPr>
        <w:t>[41]</w:t>
      </w:r>
      <w:r w:rsidRPr="00B92F1D">
        <w:rPr>
          <w:rFonts w:ascii="Verdana" w:hAnsi="Verdana"/>
          <w:sz w:val="22"/>
          <w:szCs w:val="22"/>
          <w:lang w:val="en-GB"/>
        </w:rPr>
        <w:tab/>
      </w:r>
      <w:r w:rsidR="0072633F" w:rsidRPr="00B92F1D">
        <w:rPr>
          <w:rFonts w:ascii="Verdana" w:hAnsi="Verdana"/>
          <w:sz w:val="22"/>
          <w:szCs w:val="22"/>
        </w:rPr>
        <w:t xml:space="preserve">Section 10(1) of the RCA provides further that a man and a woman between whom a customary marriage subsists are competent to contract a marriage with each other under the Marriage Act, 1961, if neither of them is a spouse in a subsisting customary marriage with any other person.  Furthermore, section 10(4) states that despite subsection (1), no spouse of a marriage entered into under the Marriages Act, 1961, is during the subsistence of such marriage, competent to enter into any other marriage. </w:t>
      </w:r>
    </w:p>
    <w:p w14:paraId="4865B036" w14:textId="77041AB2" w:rsidR="008F1E9A" w:rsidRPr="00B92F1D" w:rsidRDefault="00951FAD" w:rsidP="00951FAD">
      <w:pPr>
        <w:pStyle w:val="Indent"/>
        <w:widowControl w:val="0"/>
        <w:numPr>
          <w:ilvl w:val="0"/>
          <w:numId w:val="0"/>
        </w:numPr>
        <w:spacing w:after="360" w:line="480" w:lineRule="auto"/>
        <w:ind w:left="709" w:hanging="709"/>
        <w:jc w:val="both"/>
        <w:rPr>
          <w:rFonts w:ascii="Verdana" w:hAnsi="Verdana"/>
          <w:sz w:val="22"/>
          <w:szCs w:val="22"/>
          <w:lang w:val="en-GB"/>
        </w:rPr>
      </w:pPr>
      <w:r w:rsidRPr="00B92F1D">
        <w:rPr>
          <w:rFonts w:ascii="Verdana" w:hAnsi="Verdana"/>
          <w:sz w:val="22"/>
          <w:szCs w:val="22"/>
          <w:lang w:val="en-GB"/>
        </w:rPr>
        <w:t>[42]</w:t>
      </w:r>
      <w:r w:rsidRPr="00B92F1D">
        <w:rPr>
          <w:rFonts w:ascii="Verdana" w:hAnsi="Verdana"/>
          <w:sz w:val="22"/>
          <w:szCs w:val="22"/>
          <w:lang w:val="en-GB"/>
        </w:rPr>
        <w:tab/>
      </w:r>
      <w:r w:rsidR="008F1E9A" w:rsidRPr="00B92F1D">
        <w:rPr>
          <w:rFonts w:ascii="Verdana" w:hAnsi="Verdana"/>
          <w:sz w:val="22"/>
          <w:szCs w:val="22"/>
          <w:lang w:val="en-GB"/>
        </w:rPr>
        <w:t>Section 10(4) of the RCA provides further that: -</w:t>
      </w:r>
    </w:p>
    <w:p w14:paraId="23171AA3" w14:textId="0FF79F2E" w:rsidR="008F1E9A" w:rsidRPr="00B92F1D" w:rsidRDefault="008F1E9A" w:rsidP="008F1E9A">
      <w:pPr>
        <w:pStyle w:val="Indent"/>
        <w:widowControl w:val="0"/>
        <w:numPr>
          <w:ilvl w:val="0"/>
          <w:numId w:val="0"/>
        </w:numPr>
        <w:spacing w:after="480" w:line="360" w:lineRule="auto"/>
        <w:ind w:left="1440"/>
        <w:jc w:val="both"/>
        <w:rPr>
          <w:rFonts w:ascii="Verdana" w:hAnsi="Verdana"/>
          <w:i/>
          <w:sz w:val="22"/>
          <w:szCs w:val="22"/>
          <w:lang w:val="en-GB"/>
        </w:rPr>
      </w:pPr>
      <w:r w:rsidRPr="00B92F1D">
        <w:rPr>
          <w:rFonts w:ascii="Verdana" w:hAnsi="Verdana"/>
          <w:i/>
          <w:sz w:val="22"/>
          <w:szCs w:val="22"/>
          <w:lang w:val="en-GB"/>
        </w:rPr>
        <w:t xml:space="preserve">“Despite subsection (1), no spouse of a marriage entered into under the Marriage Act, 1961, is, during the subsistence of such marriage, </w:t>
      </w:r>
      <w:r w:rsidRPr="00B92F1D">
        <w:rPr>
          <w:rFonts w:ascii="Verdana" w:hAnsi="Verdana"/>
          <w:i/>
          <w:sz w:val="22"/>
          <w:szCs w:val="22"/>
          <w:lang w:val="en-GB"/>
        </w:rPr>
        <w:lastRenderedPageBreak/>
        <w:t>competent to enter into any other marriage.”</w:t>
      </w:r>
      <w:r w:rsidRPr="00B92F1D">
        <w:rPr>
          <w:rStyle w:val="FootnoteReference"/>
          <w:rFonts w:ascii="Verdana" w:hAnsi="Verdana"/>
          <w:i/>
          <w:sz w:val="22"/>
          <w:szCs w:val="22"/>
          <w:lang w:val="en-GB"/>
        </w:rPr>
        <w:footnoteReference w:id="18"/>
      </w:r>
    </w:p>
    <w:p w14:paraId="190169CE" w14:textId="12202A51" w:rsidR="00AE0713" w:rsidRPr="00B92F1D" w:rsidRDefault="00951FAD" w:rsidP="00951FAD">
      <w:pPr>
        <w:pStyle w:val="Indent"/>
        <w:widowControl w:val="0"/>
        <w:numPr>
          <w:ilvl w:val="0"/>
          <w:numId w:val="0"/>
        </w:numPr>
        <w:spacing w:after="360" w:line="480" w:lineRule="auto"/>
        <w:ind w:left="709" w:hanging="709"/>
        <w:jc w:val="both"/>
        <w:rPr>
          <w:rFonts w:ascii="Verdana" w:hAnsi="Verdana"/>
          <w:sz w:val="22"/>
          <w:szCs w:val="22"/>
          <w:lang w:val="en-GB"/>
        </w:rPr>
      </w:pPr>
      <w:r w:rsidRPr="00B92F1D">
        <w:rPr>
          <w:rFonts w:ascii="Verdana" w:hAnsi="Verdana"/>
          <w:sz w:val="22"/>
          <w:szCs w:val="22"/>
          <w:lang w:val="en-GB"/>
        </w:rPr>
        <w:t>[43]</w:t>
      </w:r>
      <w:r w:rsidRPr="00B92F1D">
        <w:rPr>
          <w:rFonts w:ascii="Verdana" w:hAnsi="Verdana"/>
          <w:sz w:val="22"/>
          <w:szCs w:val="22"/>
          <w:lang w:val="en-GB"/>
        </w:rPr>
        <w:tab/>
      </w:r>
      <w:r w:rsidR="007058A4" w:rsidRPr="00B92F1D">
        <w:rPr>
          <w:rFonts w:ascii="Verdana" w:hAnsi="Verdana"/>
          <w:sz w:val="22"/>
          <w:szCs w:val="22"/>
          <w:lang w:val="en-GB"/>
        </w:rPr>
        <w:t>The RRA and particular sections came into effect on the 15</w:t>
      </w:r>
      <w:r w:rsidR="007058A4" w:rsidRPr="00B92F1D">
        <w:rPr>
          <w:rFonts w:ascii="Verdana" w:hAnsi="Verdana"/>
          <w:sz w:val="22"/>
          <w:szCs w:val="22"/>
          <w:vertAlign w:val="superscript"/>
          <w:lang w:val="en-GB"/>
        </w:rPr>
        <w:t>th</w:t>
      </w:r>
      <w:r w:rsidR="007058A4" w:rsidRPr="00B92F1D">
        <w:rPr>
          <w:rFonts w:ascii="Verdana" w:hAnsi="Verdana"/>
          <w:sz w:val="22"/>
          <w:szCs w:val="22"/>
          <w:lang w:val="en-GB"/>
        </w:rPr>
        <w:t xml:space="preserve"> of November 2000</w:t>
      </w:r>
      <w:r w:rsidR="000C2DD2" w:rsidRPr="00B92F1D">
        <w:rPr>
          <w:rFonts w:ascii="Verdana" w:hAnsi="Verdana"/>
          <w:sz w:val="22"/>
          <w:szCs w:val="22"/>
          <w:lang w:val="en-GB"/>
        </w:rPr>
        <w:t xml:space="preserve">, which precedes the date of </w:t>
      </w:r>
      <w:r w:rsidR="00AE0713" w:rsidRPr="00B92F1D">
        <w:rPr>
          <w:rFonts w:ascii="Verdana" w:hAnsi="Verdana"/>
          <w:sz w:val="22"/>
          <w:szCs w:val="22"/>
          <w:lang w:val="en-GB"/>
        </w:rPr>
        <w:t xml:space="preserve">the alleged customary marriage between the </w:t>
      </w:r>
      <w:r w:rsidR="007058A4" w:rsidRPr="00B92F1D">
        <w:rPr>
          <w:rFonts w:ascii="Verdana" w:hAnsi="Verdana"/>
          <w:sz w:val="22"/>
          <w:szCs w:val="22"/>
          <w:lang w:val="en-GB"/>
        </w:rPr>
        <w:t>first respondent and the deceased</w:t>
      </w:r>
      <w:r w:rsidR="00AE0713" w:rsidRPr="00B92F1D">
        <w:rPr>
          <w:rFonts w:ascii="Verdana" w:hAnsi="Verdana"/>
          <w:sz w:val="22"/>
          <w:szCs w:val="22"/>
          <w:lang w:val="en-GB"/>
        </w:rPr>
        <w:t xml:space="preserve">.  </w:t>
      </w:r>
    </w:p>
    <w:p w14:paraId="0218C7EA" w14:textId="5C17A4F5" w:rsidR="0072633F" w:rsidRPr="00B92F1D" w:rsidRDefault="00951FAD" w:rsidP="00951FAD">
      <w:pPr>
        <w:pStyle w:val="Indent"/>
        <w:widowControl w:val="0"/>
        <w:numPr>
          <w:ilvl w:val="0"/>
          <w:numId w:val="0"/>
        </w:numPr>
        <w:spacing w:after="360" w:line="480" w:lineRule="auto"/>
        <w:ind w:left="709" w:hanging="709"/>
        <w:jc w:val="both"/>
        <w:rPr>
          <w:rFonts w:ascii="Verdana" w:hAnsi="Verdana"/>
          <w:sz w:val="22"/>
          <w:szCs w:val="22"/>
          <w:lang w:val="en-GB"/>
        </w:rPr>
      </w:pPr>
      <w:r w:rsidRPr="00B92F1D">
        <w:rPr>
          <w:rFonts w:ascii="Verdana" w:hAnsi="Verdana"/>
          <w:sz w:val="22"/>
          <w:szCs w:val="22"/>
          <w:lang w:val="en-GB"/>
        </w:rPr>
        <w:t>[44]</w:t>
      </w:r>
      <w:r w:rsidRPr="00B92F1D">
        <w:rPr>
          <w:rFonts w:ascii="Verdana" w:hAnsi="Verdana"/>
          <w:sz w:val="22"/>
          <w:szCs w:val="22"/>
          <w:lang w:val="en-GB"/>
        </w:rPr>
        <w:tab/>
      </w:r>
      <w:r w:rsidR="009E27A3" w:rsidRPr="00B92F1D">
        <w:rPr>
          <w:rFonts w:ascii="Verdana" w:hAnsi="Verdana"/>
          <w:sz w:val="22"/>
          <w:szCs w:val="22"/>
          <w:lang w:val="en-GB"/>
        </w:rPr>
        <w:t xml:space="preserve">Since both the deceased and the first respondent were already </w:t>
      </w:r>
      <w:r w:rsidR="004A619B" w:rsidRPr="00B92F1D">
        <w:rPr>
          <w:rFonts w:ascii="Verdana" w:hAnsi="Verdana"/>
          <w:sz w:val="22"/>
          <w:szCs w:val="22"/>
          <w:lang w:val="en-GB"/>
        </w:rPr>
        <w:t xml:space="preserve">civilly </w:t>
      </w:r>
      <w:r w:rsidR="009E27A3" w:rsidRPr="00B92F1D">
        <w:rPr>
          <w:rFonts w:ascii="Verdana" w:hAnsi="Verdana"/>
          <w:sz w:val="22"/>
          <w:szCs w:val="22"/>
          <w:lang w:val="en-GB"/>
        </w:rPr>
        <w:t xml:space="preserve">married to different parties at the time their customary marriage was allegedly concluded, </w:t>
      </w:r>
      <w:r w:rsidR="004A619B" w:rsidRPr="00B92F1D">
        <w:rPr>
          <w:rFonts w:ascii="Verdana" w:hAnsi="Verdana"/>
          <w:sz w:val="22"/>
          <w:szCs w:val="22"/>
          <w:lang w:val="en-GB"/>
        </w:rPr>
        <w:t xml:space="preserve">it was not possible or legally competent for </w:t>
      </w:r>
      <w:r w:rsidR="001B73FD">
        <w:rPr>
          <w:rFonts w:ascii="Verdana" w:hAnsi="Verdana"/>
          <w:sz w:val="22"/>
          <w:szCs w:val="22"/>
          <w:lang w:val="en-GB"/>
        </w:rPr>
        <w:t xml:space="preserve">either of them </w:t>
      </w:r>
      <w:r w:rsidR="004A619B" w:rsidRPr="00B92F1D">
        <w:rPr>
          <w:rFonts w:ascii="Verdana" w:hAnsi="Verdana"/>
          <w:sz w:val="22"/>
          <w:szCs w:val="22"/>
          <w:lang w:val="en-GB"/>
        </w:rPr>
        <w:t>to conclude a customary marriage.</w:t>
      </w:r>
      <w:r w:rsidR="004A619B" w:rsidRPr="00B92F1D">
        <w:rPr>
          <w:rStyle w:val="FootnoteReference"/>
          <w:rFonts w:ascii="Verdana" w:hAnsi="Verdana"/>
          <w:sz w:val="22"/>
          <w:szCs w:val="22"/>
          <w:lang w:val="en-GB"/>
        </w:rPr>
        <w:footnoteReference w:id="19"/>
      </w:r>
      <w:r w:rsidR="004A619B" w:rsidRPr="00B92F1D">
        <w:rPr>
          <w:rFonts w:ascii="Verdana" w:hAnsi="Verdana"/>
          <w:sz w:val="22"/>
          <w:szCs w:val="22"/>
          <w:lang w:val="en-GB"/>
        </w:rPr>
        <w:t xml:space="preserve">  </w:t>
      </w:r>
    </w:p>
    <w:p w14:paraId="564E49AB" w14:textId="4FDC939C" w:rsidR="008F1E9A" w:rsidRPr="00B92F1D" w:rsidRDefault="00951FAD" w:rsidP="00951FAD">
      <w:pPr>
        <w:pStyle w:val="Indent"/>
        <w:widowControl w:val="0"/>
        <w:numPr>
          <w:ilvl w:val="0"/>
          <w:numId w:val="0"/>
        </w:numPr>
        <w:spacing w:after="360" w:line="480" w:lineRule="auto"/>
        <w:ind w:left="709" w:hanging="709"/>
        <w:jc w:val="both"/>
        <w:rPr>
          <w:rFonts w:ascii="Verdana" w:hAnsi="Verdana"/>
          <w:sz w:val="22"/>
          <w:szCs w:val="22"/>
          <w:lang w:val="en-GB"/>
        </w:rPr>
      </w:pPr>
      <w:r w:rsidRPr="00B92F1D">
        <w:rPr>
          <w:rFonts w:ascii="Verdana" w:hAnsi="Verdana"/>
          <w:sz w:val="22"/>
          <w:szCs w:val="22"/>
          <w:lang w:val="en-GB"/>
        </w:rPr>
        <w:t>[45]</w:t>
      </w:r>
      <w:r w:rsidRPr="00B92F1D">
        <w:rPr>
          <w:rFonts w:ascii="Verdana" w:hAnsi="Verdana"/>
          <w:sz w:val="22"/>
          <w:szCs w:val="22"/>
          <w:lang w:val="en-GB"/>
        </w:rPr>
        <w:tab/>
      </w:r>
      <w:r w:rsidR="006C7E3C" w:rsidRPr="00B92F1D">
        <w:rPr>
          <w:rFonts w:ascii="Verdana" w:hAnsi="Verdana"/>
          <w:sz w:val="22"/>
          <w:szCs w:val="22"/>
          <w:lang w:val="en-GB"/>
        </w:rPr>
        <w:t xml:space="preserve">It would therefore appear that the true reason why the first respondent has until now not made any effort to register her customary marriage with the deceased, is because she was </w:t>
      </w:r>
      <w:r w:rsidR="00C56E08" w:rsidRPr="00B92F1D">
        <w:rPr>
          <w:rFonts w:ascii="Verdana" w:hAnsi="Verdana"/>
          <w:sz w:val="22"/>
          <w:szCs w:val="22"/>
          <w:lang w:val="en-GB"/>
        </w:rPr>
        <w:t xml:space="preserve">acutely aware that her marriage to </w:t>
      </w:r>
      <w:proofErr w:type="spellStart"/>
      <w:r w:rsidR="00C56E08" w:rsidRPr="00B92F1D">
        <w:rPr>
          <w:rFonts w:ascii="Verdana" w:hAnsi="Verdana"/>
          <w:sz w:val="22"/>
          <w:szCs w:val="22"/>
          <w:lang w:val="en-GB"/>
        </w:rPr>
        <w:t>Monama</w:t>
      </w:r>
      <w:proofErr w:type="spellEnd"/>
      <w:r w:rsidR="00C56E08" w:rsidRPr="00B92F1D">
        <w:rPr>
          <w:rFonts w:ascii="Verdana" w:hAnsi="Verdana"/>
          <w:sz w:val="22"/>
          <w:szCs w:val="22"/>
          <w:lang w:val="en-GB"/>
        </w:rPr>
        <w:t xml:space="preserve"> and the deceased’s marriage to the applicant would exclude such registration.</w:t>
      </w:r>
    </w:p>
    <w:p w14:paraId="52D2C6BB" w14:textId="472AA84F" w:rsidR="00113710" w:rsidRPr="00B92F1D" w:rsidRDefault="00113710" w:rsidP="00113710">
      <w:pPr>
        <w:pStyle w:val="Indent"/>
        <w:widowControl w:val="0"/>
        <w:numPr>
          <w:ilvl w:val="0"/>
          <w:numId w:val="0"/>
        </w:numPr>
        <w:spacing w:after="360" w:line="480" w:lineRule="auto"/>
        <w:jc w:val="both"/>
        <w:rPr>
          <w:rFonts w:ascii="Verdana" w:hAnsi="Verdana"/>
          <w:b/>
          <w:bCs/>
          <w:sz w:val="22"/>
          <w:szCs w:val="22"/>
          <w:lang w:val="en-GB"/>
        </w:rPr>
      </w:pPr>
      <w:r w:rsidRPr="00B92F1D">
        <w:rPr>
          <w:rFonts w:ascii="Verdana" w:hAnsi="Verdana"/>
          <w:b/>
          <w:bCs/>
          <w:sz w:val="22"/>
          <w:szCs w:val="22"/>
          <w:lang w:val="en-GB"/>
        </w:rPr>
        <w:t>VALIDIT</w:t>
      </w:r>
      <w:r w:rsidR="00CD796E" w:rsidRPr="00B92F1D">
        <w:rPr>
          <w:rFonts w:ascii="Verdana" w:hAnsi="Verdana"/>
          <w:b/>
          <w:bCs/>
          <w:sz w:val="22"/>
          <w:szCs w:val="22"/>
          <w:lang w:val="en-GB"/>
        </w:rPr>
        <w:t xml:space="preserve">Y </w:t>
      </w:r>
      <w:r w:rsidRPr="00B92F1D">
        <w:rPr>
          <w:rFonts w:ascii="Verdana" w:hAnsi="Verdana"/>
          <w:b/>
          <w:bCs/>
          <w:sz w:val="22"/>
          <w:szCs w:val="22"/>
          <w:lang w:val="en-GB"/>
        </w:rPr>
        <w:t>OF THE DEED OF SALE DATED 2 NOVEMBER 1988</w:t>
      </w:r>
    </w:p>
    <w:p w14:paraId="394D47D0" w14:textId="4DB5BB3B" w:rsidR="009265CC" w:rsidRPr="00B92F1D" w:rsidRDefault="00951FAD" w:rsidP="00951FAD">
      <w:pPr>
        <w:pStyle w:val="Indent"/>
        <w:widowControl w:val="0"/>
        <w:numPr>
          <w:ilvl w:val="0"/>
          <w:numId w:val="0"/>
        </w:numPr>
        <w:spacing w:after="360" w:line="480" w:lineRule="auto"/>
        <w:ind w:left="709" w:hanging="709"/>
        <w:jc w:val="both"/>
        <w:rPr>
          <w:rFonts w:ascii="Verdana" w:hAnsi="Verdana"/>
          <w:sz w:val="22"/>
          <w:szCs w:val="22"/>
          <w:lang w:val="en-GB"/>
        </w:rPr>
      </w:pPr>
      <w:r w:rsidRPr="00B92F1D">
        <w:rPr>
          <w:rFonts w:ascii="Verdana" w:hAnsi="Verdana"/>
          <w:sz w:val="22"/>
          <w:szCs w:val="22"/>
          <w:lang w:val="en-GB"/>
        </w:rPr>
        <w:t>[46]</w:t>
      </w:r>
      <w:r w:rsidRPr="00B92F1D">
        <w:rPr>
          <w:rFonts w:ascii="Verdana" w:hAnsi="Verdana"/>
          <w:sz w:val="22"/>
          <w:szCs w:val="22"/>
          <w:lang w:val="en-GB"/>
        </w:rPr>
        <w:tab/>
      </w:r>
      <w:r w:rsidR="009265CC" w:rsidRPr="00B92F1D">
        <w:rPr>
          <w:rFonts w:ascii="Verdana" w:hAnsi="Verdana"/>
          <w:sz w:val="22"/>
          <w:szCs w:val="22"/>
          <w:lang w:val="en-GB"/>
        </w:rPr>
        <w:t>Section 2(1) of the Alienation of Land Act, 68 of 1981</w:t>
      </w:r>
      <w:r w:rsidR="00495E44" w:rsidRPr="00B92F1D">
        <w:rPr>
          <w:rFonts w:ascii="Verdana" w:hAnsi="Verdana"/>
          <w:sz w:val="22"/>
          <w:szCs w:val="22"/>
          <w:lang w:val="en-GB"/>
        </w:rPr>
        <w:t xml:space="preserve"> (</w:t>
      </w:r>
      <w:r w:rsidR="00495E44" w:rsidRPr="00B92F1D">
        <w:rPr>
          <w:rFonts w:ascii="Verdana" w:hAnsi="Verdana"/>
          <w:i/>
          <w:iCs/>
          <w:sz w:val="22"/>
          <w:szCs w:val="22"/>
          <w:lang w:val="en-GB"/>
        </w:rPr>
        <w:t>“LAA”)</w:t>
      </w:r>
      <w:r w:rsidR="009265CC" w:rsidRPr="00B92F1D">
        <w:rPr>
          <w:rFonts w:ascii="Verdana" w:hAnsi="Verdana"/>
          <w:sz w:val="22"/>
          <w:szCs w:val="22"/>
          <w:lang w:val="en-GB"/>
        </w:rPr>
        <w:t xml:space="preserve"> reads as follows: -</w:t>
      </w:r>
    </w:p>
    <w:p w14:paraId="5A59B604" w14:textId="09F88BAD" w:rsidR="009265CC" w:rsidRPr="00B92F1D" w:rsidRDefault="009265CC" w:rsidP="009265CC">
      <w:pPr>
        <w:pStyle w:val="Indent"/>
        <w:widowControl w:val="0"/>
        <w:numPr>
          <w:ilvl w:val="0"/>
          <w:numId w:val="0"/>
        </w:numPr>
        <w:spacing w:after="480" w:line="360" w:lineRule="auto"/>
        <w:ind w:left="1440"/>
        <w:jc w:val="both"/>
        <w:rPr>
          <w:rFonts w:ascii="Verdana" w:hAnsi="Verdana"/>
          <w:i/>
          <w:sz w:val="22"/>
          <w:szCs w:val="22"/>
          <w:lang w:val="en-GB"/>
        </w:rPr>
      </w:pPr>
      <w:r w:rsidRPr="00B92F1D">
        <w:rPr>
          <w:rFonts w:ascii="Verdana" w:hAnsi="Verdana"/>
          <w:i/>
          <w:sz w:val="22"/>
          <w:szCs w:val="22"/>
          <w:lang w:val="en-GB"/>
        </w:rPr>
        <w:t>“No alienation of land after the commencement of this section shall, subject to the provisions of section 28, be of any force or effect unless it is contained in a deed of alienation signed by the parties thereto or by their agents acting on their written authority.”</w:t>
      </w:r>
    </w:p>
    <w:p w14:paraId="1B314EBB" w14:textId="0D4290B2" w:rsidR="009265CC" w:rsidRPr="00B92F1D" w:rsidRDefault="00951FAD" w:rsidP="00951FAD">
      <w:pPr>
        <w:pStyle w:val="Indent"/>
        <w:widowControl w:val="0"/>
        <w:numPr>
          <w:ilvl w:val="0"/>
          <w:numId w:val="0"/>
        </w:numPr>
        <w:spacing w:after="360" w:line="480" w:lineRule="auto"/>
        <w:ind w:left="709" w:hanging="709"/>
        <w:jc w:val="both"/>
        <w:rPr>
          <w:rFonts w:ascii="Verdana" w:hAnsi="Verdana"/>
          <w:sz w:val="22"/>
          <w:szCs w:val="22"/>
          <w:lang w:val="en-GB"/>
        </w:rPr>
      </w:pPr>
      <w:r w:rsidRPr="00B92F1D">
        <w:rPr>
          <w:rFonts w:ascii="Verdana" w:hAnsi="Verdana"/>
          <w:sz w:val="22"/>
          <w:szCs w:val="22"/>
          <w:lang w:val="en-GB"/>
        </w:rPr>
        <w:t>[47]</w:t>
      </w:r>
      <w:r w:rsidRPr="00B92F1D">
        <w:rPr>
          <w:rFonts w:ascii="Verdana" w:hAnsi="Verdana"/>
          <w:sz w:val="22"/>
          <w:szCs w:val="22"/>
          <w:lang w:val="en-GB"/>
        </w:rPr>
        <w:tab/>
      </w:r>
      <w:r w:rsidR="009265CC" w:rsidRPr="00B92F1D">
        <w:rPr>
          <w:rFonts w:ascii="Verdana" w:hAnsi="Verdana"/>
          <w:sz w:val="22"/>
          <w:szCs w:val="22"/>
          <w:lang w:val="en-GB"/>
        </w:rPr>
        <w:t xml:space="preserve">As was stated in </w:t>
      </w:r>
      <w:r w:rsidR="009265CC" w:rsidRPr="00B92F1D">
        <w:rPr>
          <w:rFonts w:ascii="Verdana" w:hAnsi="Verdana"/>
          <w:i/>
          <w:sz w:val="22"/>
          <w:szCs w:val="22"/>
          <w:lang w:val="en-GB"/>
        </w:rPr>
        <w:t xml:space="preserve">Just Names Properties 11 CC and Another v </w:t>
      </w:r>
      <w:proofErr w:type="spellStart"/>
      <w:r w:rsidR="009265CC" w:rsidRPr="00B92F1D">
        <w:rPr>
          <w:rFonts w:ascii="Verdana" w:hAnsi="Verdana"/>
          <w:i/>
          <w:sz w:val="22"/>
          <w:szCs w:val="22"/>
          <w:lang w:val="en-GB"/>
        </w:rPr>
        <w:t>Fourie</w:t>
      </w:r>
      <w:proofErr w:type="spellEnd"/>
      <w:r w:rsidR="009265CC" w:rsidRPr="00B92F1D">
        <w:rPr>
          <w:rFonts w:ascii="Verdana" w:hAnsi="Verdana"/>
          <w:i/>
          <w:sz w:val="22"/>
          <w:szCs w:val="22"/>
          <w:lang w:val="en-GB"/>
        </w:rPr>
        <w:t xml:space="preserve"> and </w:t>
      </w:r>
      <w:r w:rsidR="009265CC" w:rsidRPr="00B92F1D">
        <w:rPr>
          <w:rFonts w:ascii="Verdana" w:hAnsi="Verdana"/>
          <w:i/>
          <w:sz w:val="22"/>
          <w:szCs w:val="22"/>
          <w:lang w:val="en-GB"/>
        </w:rPr>
        <w:lastRenderedPageBreak/>
        <w:t>Others</w:t>
      </w:r>
      <w:r w:rsidR="009265CC" w:rsidRPr="00B92F1D">
        <w:rPr>
          <w:rFonts w:ascii="Verdana" w:hAnsi="Verdana"/>
          <w:sz w:val="22"/>
          <w:szCs w:val="22"/>
          <w:lang w:val="en-GB"/>
        </w:rPr>
        <w:t>:</w:t>
      </w:r>
      <w:r w:rsidR="009265CC" w:rsidRPr="00B92F1D">
        <w:rPr>
          <w:rStyle w:val="FootnoteReference"/>
          <w:rFonts w:ascii="Verdana" w:hAnsi="Verdana"/>
          <w:sz w:val="22"/>
          <w:szCs w:val="22"/>
          <w:lang w:val="en-GB"/>
        </w:rPr>
        <w:footnoteReference w:id="20"/>
      </w:r>
      <w:r w:rsidR="009265CC" w:rsidRPr="00B92F1D">
        <w:rPr>
          <w:rFonts w:ascii="Verdana" w:hAnsi="Verdana"/>
          <w:sz w:val="22"/>
          <w:szCs w:val="22"/>
          <w:lang w:val="en-GB"/>
        </w:rPr>
        <w:t xml:space="preserve"> - </w:t>
      </w:r>
    </w:p>
    <w:p w14:paraId="18D8A406" w14:textId="06D90C9F" w:rsidR="009265CC" w:rsidRPr="00B92F1D" w:rsidRDefault="009265CC" w:rsidP="009265CC">
      <w:pPr>
        <w:pStyle w:val="Indent"/>
        <w:widowControl w:val="0"/>
        <w:numPr>
          <w:ilvl w:val="0"/>
          <w:numId w:val="0"/>
        </w:numPr>
        <w:spacing w:after="480" w:line="360" w:lineRule="auto"/>
        <w:ind w:left="1440"/>
        <w:jc w:val="both"/>
        <w:rPr>
          <w:rFonts w:ascii="Verdana" w:hAnsi="Verdana"/>
          <w:sz w:val="22"/>
          <w:szCs w:val="22"/>
          <w:lang w:val="en-GB"/>
        </w:rPr>
      </w:pPr>
      <w:r w:rsidRPr="00B92F1D">
        <w:rPr>
          <w:rFonts w:ascii="Verdana" w:hAnsi="Verdana"/>
          <w:i/>
          <w:sz w:val="22"/>
          <w:szCs w:val="22"/>
          <w:lang w:val="en-GB"/>
        </w:rPr>
        <w:t>“The requirement that the alienation of land must be contained in a deed of alienation signed by the parties thereto would prevent litigation and remove the general temptation of being motivated by greed.”</w:t>
      </w:r>
      <w:r w:rsidRPr="00B92F1D">
        <w:rPr>
          <w:rStyle w:val="FootnoteReference"/>
          <w:rFonts w:ascii="Verdana" w:hAnsi="Verdana"/>
          <w:i/>
          <w:sz w:val="22"/>
          <w:szCs w:val="22"/>
          <w:lang w:val="en-GB"/>
        </w:rPr>
        <w:footnoteReference w:id="21"/>
      </w:r>
    </w:p>
    <w:p w14:paraId="07472FF6" w14:textId="5CF7108B" w:rsidR="009265CC" w:rsidRPr="00B92F1D" w:rsidRDefault="00951FAD" w:rsidP="00951FAD">
      <w:pPr>
        <w:pStyle w:val="Indent"/>
        <w:widowControl w:val="0"/>
        <w:numPr>
          <w:ilvl w:val="0"/>
          <w:numId w:val="0"/>
        </w:numPr>
        <w:spacing w:after="360" w:line="480" w:lineRule="auto"/>
        <w:ind w:left="709" w:hanging="709"/>
        <w:jc w:val="both"/>
        <w:rPr>
          <w:rFonts w:ascii="Verdana" w:hAnsi="Verdana"/>
          <w:sz w:val="22"/>
          <w:szCs w:val="22"/>
          <w:lang w:val="en-GB"/>
        </w:rPr>
      </w:pPr>
      <w:r w:rsidRPr="00B92F1D">
        <w:rPr>
          <w:rFonts w:ascii="Verdana" w:hAnsi="Verdana"/>
          <w:sz w:val="22"/>
          <w:szCs w:val="22"/>
          <w:lang w:val="en-GB"/>
        </w:rPr>
        <w:t>[48]</w:t>
      </w:r>
      <w:r w:rsidRPr="00B92F1D">
        <w:rPr>
          <w:rFonts w:ascii="Verdana" w:hAnsi="Verdana"/>
          <w:sz w:val="22"/>
          <w:szCs w:val="22"/>
          <w:lang w:val="en-GB"/>
        </w:rPr>
        <w:tab/>
      </w:r>
      <w:r w:rsidR="009265CC" w:rsidRPr="00B92F1D">
        <w:rPr>
          <w:rFonts w:ascii="Verdana" w:hAnsi="Verdana"/>
          <w:sz w:val="22"/>
          <w:szCs w:val="22"/>
          <w:lang w:val="en-GB"/>
        </w:rPr>
        <w:t xml:space="preserve">The object of the section in the </w:t>
      </w:r>
      <w:r w:rsidR="00DF5B08" w:rsidRPr="00B92F1D">
        <w:rPr>
          <w:rFonts w:ascii="Verdana" w:hAnsi="Verdana"/>
          <w:sz w:val="22"/>
          <w:szCs w:val="22"/>
          <w:lang w:val="en-GB"/>
        </w:rPr>
        <w:t>LAA</w:t>
      </w:r>
      <w:r w:rsidR="009265CC" w:rsidRPr="00B92F1D">
        <w:rPr>
          <w:rFonts w:ascii="Verdana" w:hAnsi="Verdana"/>
          <w:sz w:val="22"/>
          <w:szCs w:val="22"/>
          <w:lang w:val="en-GB"/>
        </w:rPr>
        <w:t xml:space="preserve"> is to leave no doubt as to what the parties have agreed upon.</w:t>
      </w:r>
      <w:r w:rsidR="009265CC" w:rsidRPr="00B92F1D">
        <w:rPr>
          <w:rStyle w:val="FootnoteReference"/>
          <w:rFonts w:ascii="Verdana" w:hAnsi="Verdana"/>
          <w:sz w:val="22"/>
          <w:szCs w:val="22"/>
          <w:lang w:val="en-GB"/>
        </w:rPr>
        <w:footnoteReference w:id="22"/>
      </w:r>
      <w:r w:rsidR="00DF5B08" w:rsidRPr="00B92F1D">
        <w:rPr>
          <w:rFonts w:ascii="Verdana" w:hAnsi="Verdana"/>
          <w:sz w:val="22"/>
          <w:szCs w:val="22"/>
          <w:lang w:val="en-GB"/>
        </w:rPr>
        <w:t xml:space="preserve"> </w:t>
      </w:r>
      <w:r w:rsidR="009265CC" w:rsidRPr="00B92F1D">
        <w:rPr>
          <w:rFonts w:ascii="Verdana" w:hAnsi="Verdana"/>
          <w:sz w:val="22"/>
          <w:szCs w:val="22"/>
          <w:lang w:val="en-GB"/>
        </w:rPr>
        <w:t xml:space="preserve">It has </w:t>
      </w:r>
      <w:r w:rsidR="00DF5B08" w:rsidRPr="00B92F1D">
        <w:rPr>
          <w:rFonts w:ascii="Verdana" w:hAnsi="Verdana"/>
          <w:sz w:val="22"/>
          <w:szCs w:val="22"/>
          <w:lang w:val="en-GB"/>
        </w:rPr>
        <w:t xml:space="preserve">also </w:t>
      </w:r>
      <w:r w:rsidR="009265CC" w:rsidRPr="00B92F1D">
        <w:rPr>
          <w:rFonts w:ascii="Verdana" w:hAnsi="Verdana"/>
          <w:sz w:val="22"/>
          <w:szCs w:val="22"/>
          <w:lang w:val="en-GB"/>
        </w:rPr>
        <w:t xml:space="preserve">been held that section 2 of the </w:t>
      </w:r>
      <w:r w:rsidR="00DF5B08" w:rsidRPr="00B92F1D">
        <w:rPr>
          <w:rFonts w:ascii="Verdana" w:hAnsi="Verdana"/>
          <w:sz w:val="22"/>
          <w:szCs w:val="22"/>
          <w:lang w:val="en-GB"/>
        </w:rPr>
        <w:t>LAA</w:t>
      </w:r>
      <w:r w:rsidR="009265CC" w:rsidRPr="00B92F1D">
        <w:rPr>
          <w:rFonts w:ascii="Verdana" w:hAnsi="Verdana"/>
          <w:sz w:val="22"/>
          <w:szCs w:val="22"/>
          <w:lang w:val="en-GB"/>
        </w:rPr>
        <w:t xml:space="preserve"> requires that the essential elements of the transaction, i.e. the identity of the parties, the subject matter of the transaction and where the alienation is the sale of land, the price to be paid for it, be reflected in writing.</w:t>
      </w:r>
      <w:r w:rsidR="009265CC" w:rsidRPr="00B92F1D">
        <w:rPr>
          <w:rStyle w:val="FootnoteReference"/>
          <w:rFonts w:ascii="Verdana" w:hAnsi="Verdana"/>
          <w:sz w:val="22"/>
          <w:szCs w:val="22"/>
          <w:lang w:val="en-GB"/>
        </w:rPr>
        <w:footnoteReference w:id="23"/>
      </w:r>
      <w:r w:rsidR="009265CC" w:rsidRPr="00B92F1D">
        <w:rPr>
          <w:rFonts w:ascii="Verdana" w:hAnsi="Verdana"/>
          <w:sz w:val="22"/>
          <w:szCs w:val="22"/>
          <w:lang w:val="en-GB"/>
        </w:rPr>
        <w:t xml:space="preserve">  </w:t>
      </w:r>
      <w:r w:rsidR="007C6919" w:rsidRPr="00B92F1D">
        <w:rPr>
          <w:rFonts w:ascii="Verdana" w:hAnsi="Verdana"/>
          <w:sz w:val="22"/>
          <w:szCs w:val="22"/>
          <w:lang w:val="en-GB"/>
        </w:rPr>
        <w:t>In addition, the p</w:t>
      </w:r>
      <w:r w:rsidR="009265CC" w:rsidRPr="00B92F1D">
        <w:rPr>
          <w:rFonts w:ascii="Verdana" w:hAnsi="Verdana"/>
          <w:sz w:val="22"/>
          <w:szCs w:val="22"/>
          <w:lang w:val="en-GB"/>
        </w:rPr>
        <w:t>arties must be defined with sufficient precision to enable them to be identified.</w:t>
      </w:r>
      <w:r w:rsidR="009265CC" w:rsidRPr="00B92F1D">
        <w:rPr>
          <w:rStyle w:val="FootnoteReference"/>
          <w:rFonts w:ascii="Verdana" w:hAnsi="Verdana"/>
          <w:sz w:val="22"/>
          <w:szCs w:val="22"/>
          <w:lang w:val="en-GB"/>
        </w:rPr>
        <w:footnoteReference w:id="24"/>
      </w:r>
      <w:r w:rsidR="009265CC" w:rsidRPr="00B92F1D">
        <w:rPr>
          <w:rFonts w:ascii="Verdana" w:hAnsi="Verdana"/>
          <w:sz w:val="22"/>
          <w:szCs w:val="22"/>
          <w:lang w:val="en-GB"/>
        </w:rPr>
        <w:t xml:space="preserve">  </w:t>
      </w:r>
    </w:p>
    <w:p w14:paraId="7DB2515B" w14:textId="5692E8BA" w:rsidR="003D1D7C" w:rsidRPr="00B92F1D" w:rsidRDefault="00951FAD" w:rsidP="00951FAD">
      <w:pPr>
        <w:pStyle w:val="Indent"/>
        <w:widowControl w:val="0"/>
        <w:numPr>
          <w:ilvl w:val="0"/>
          <w:numId w:val="0"/>
        </w:numPr>
        <w:spacing w:after="360" w:line="480" w:lineRule="auto"/>
        <w:ind w:left="709" w:hanging="709"/>
        <w:jc w:val="both"/>
        <w:rPr>
          <w:rFonts w:ascii="Verdana" w:hAnsi="Verdana"/>
          <w:sz w:val="22"/>
          <w:szCs w:val="22"/>
          <w:lang w:val="en-GB"/>
        </w:rPr>
      </w:pPr>
      <w:r w:rsidRPr="00B92F1D">
        <w:rPr>
          <w:rFonts w:ascii="Verdana" w:hAnsi="Verdana"/>
          <w:sz w:val="22"/>
          <w:szCs w:val="22"/>
          <w:lang w:val="en-GB"/>
        </w:rPr>
        <w:t>[49]</w:t>
      </w:r>
      <w:r w:rsidRPr="00B92F1D">
        <w:rPr>
          <w:rFonts w:ascii="Verdana" w:hAnsi="Verdana"/>
          <w:sz w:val="22"/>
          <w:szCs w:val="22"/>
          <w:lang w:val="en-GB"/>
        </w:rPr>
        <w:tab/>
      </w:r>
      <w:r w:rsidR="00065D0D" w:rsidRPr="00B92F1D">
        <w:rPr>
          <w:rFonts w:ascii="Verdana" w:hAnsi="Verdana"/>
          <w:sz w:val="22"/>
          <w:szCs w:val="22"/>
          <w:lang w:val="en-GB"/>
        </w:rPr>
        <w:t xml:space="preserve">Applying the legal principles to the deed of sale dated 2 November 1988 I </w:t>
      </w:r>
      <w:r w:rsidR="00DE5DEA" w:rsidRPr="00B92F1D">
        <w:rPr>
          <w:rFonts w:ascii="Verdana" w:hAnsi="Verdana"/>
          <w:sz w:val="22"/>
          <w:szCs w:val="22"/>
          <w:lang w:val="en-GB"/>
        </w:rPr>
        <w:t xml:space="preserve">am </w:t>
      </w:r>
      <w:proofErr w:type="gramStart"/>
      <w:r w:rsidR="00DE5DEA" w:rsidRPr="00B92F1D">
        <w:rPr>
          <w:rFonts w:ascii="Verdana" w:hAnsi="Verdana"/>
          <w:sz w:val="22"/>
          <w:szCs w:val="22"/>
          <w:lang w:val="en-GB"/>
        </w:rPr>
        <w:t xml:space="preserve">satisfied </w:t>
      </w:r>
      <w:r w:rsidR="00065D0D" w:rsidRPr="00B92F1D">
        <w:rPr>
          <w:rFonts w:ascii="Verdana" w:hAnsi="Verdana"/>
          <w:sz w:val="22"/>
          <w:szCs w:val="22"/>
          <w:lang w:val="en-GB"/>
        </w:rPr>
        <w:t xml:space="preserve"> that</w:t>
      </w:r>
      <w:proofErr w:type="gramEnd"/>
      <w:r w:rsidR="00065D0D" w:rsidRPr="00B92F1D">
        <w:rPr>
          <w:rFonts w:ascii="Verdana" w:hAnsi="Verdana"/>
          <w:sz w:val="22"/>
          <w:szCs w:val="22"/>
          <w:lang w:val="en-GB"/>
        </w:rPr>
        <w:t xml:space="preserve"> all of the formal requirements have been met</w:t>
      </w:r>
      <w:r w:rsidR="00DE5DEA" w:rsidRPr="00B92F1D">
        <w:rPr>
          <w:rFonts w:ascii="Verdana" w:hAnsi="Verdana"/>
          <w:sz w:val="22"/>
          <w:szCs w:val="22"/>
          <w:lang w:val="en-GB"/>
        </w:rPr>
        <w:t xml:space="preserve"> and that the deed of sale is valid.</w:t>
      </w:r>
    </w:p>
    <w:p w14:paraId="03C4D7E4" w14:textId="0ABF1E16" w:rsidR="00C82F99" w:rsidRPr="00B92F1D" w:rsidRDefault="00382131" w:rsidP="00C82F99">
      <w:pPr>
        <w:pStyle w:val="Indent"/>
        <w:widowControl w:val="0"/>
        <w:numPr>
          <w:ilvl w:val="0"/>
          <w:numId w:val="0"/>
        </w:numPr>
        <w:spacing w:after="360" w:line="480" w:lineRule="auto"/>
        <w:jc w:val="both"/>
        <w:rPr>
          <w:rFonts w:ascii="Verdana" w:hAnsi="Verdana"/>
          <w:b/>
          <w:bCs/>
          <w:sz w:val="22"/>
          <w:szCs w:val="22"/>
          <w:lang w:val="en-GB"/>
        </w:rPr>
      </w:pPr>
      <w:r w:rsidRPr="00B92F1D">
        <w:rPr>
          <w:rFonts w:ascii="Verdana" w:hAnsi="Verdana"/>
          <w:b/>
          <w:bCs/>
          <w:sz w:val="22"/>
          <w:szCs w:val="22"/>
          <w:lang w:val="en-GB"/>
        </w:rPr>
        <w:t>WEAKNESSES</w:t>
      </w:r>
      <w:r w:rsidR="00C82F99" w:rsidRPr="00B92F1D">
        <w:rPr>
          <w:rFonts w:ascii="Verdana" w:hAnsi="Verdana"/>
          <w:b/>
          <w:bCs/>
          <w:sz w:val="22"/>
          <w:szCs w:val="22"/>
          <w:lang w:val="en-GB"/>
        </w:rPr>
        <w:t xml:space="preserve"> IN THE FIRST RESPONDENT’S CASE</w:t>
      </w:r>
    </w:p>
    <w:p w14:paraId="456F06CC" w14:textId="189CE892" w:rsidR="00F44621" w:rsidRPr="00B92F1D" w:rsidRDefault="00951FAD" w:rsidP="00951FAD">
      <w:pPr>
        <w:pStyle w:val="Indent"/>
        <w:widowControl w:val="0"/>
        <w:numPr>
          <w:ilvl w:val="0"/>
          <w:numId w:val="0"/>
        </w:numPr>
        <w:spacing w:after="360" w:line="480" w:lineRule="auto"/>
        <w:ind w:left="709" w:hanging="709"/>
        <w:jc w:val="both"/>
        <w:rPr>
          <w:rFonts w:ascii="Verdana" w:hAnsi="Verdana"/>
          <w:sz w:val="22"/>
          <w:szCs w:val="22"/>
          <w:lang w:val="en-GB"/>
        </w:rPr>
      </w:pPr>
      <w:r w:rsidRPr="00B92F1D">
        <w:rPr>
          <w:rFonts w:ascii="Verdana" w:hAnsi="Verdana"/>
          <w:sz w:val="22"/>
          <w:szCs w:val="22"/>
          <w:lang w:val="en-GB"/>
        </w:rPr>
        <w:t>[50]</w:t>
      </w:r>
      <w:r w:rsidRPr="00B92F1D">
        <w:rPr>
          <w:rFonts w:ascii="Verdana" w:hAnsi="Verdana"/>
          <w:sz w:val="22"/>
          <w:szCs w:val="22"/>
          <w:lang w:val="en-GB"/>
        </w:rPr>
        <w:tab/>
      </w:r>
      <w:r w:rsidR="00F44621" w:rsidRPr="00B92F1D">
        <w:rPr>
          <w:rFonts w:ascii="Verdana" w:hAnsi="Verdana"/>
          <w:sz w:val="22"/>
          <w:szCs w:val="22"/>
          <w:lang w:val="en-GB"/>
        </w:rPr>
        <w:t xml:space="preserve">The first respondent failed to </w:t>
      </w:r>
      <w:r w:rsidR="005D288C" w:rsidRPr="00B92F1D">
        <w:rPr>
          <w:rFonts w:ascii="Verdana" w:hAnsi="Verdana"/>
          <w:sz w:val="22"/>
          <w:szCs w:val="22"/>
          <w:lang w:val="en-GB"/>
        </w:rPr>
        <w:t>proffer</w:t>
      </w:r>
      <w:r w:rsidR="00F44621" w:rsidRPr="00B92F1D">
        <w:rPr>
          <w:rFonts w:ascii="Verdana" w:hAnsi="Verdana"/>
          <w:sz w:val="22"/>
          <w:szCs w:val="22"/>
          <w:lang w:val="en-GB"/>
        </w:rPr>
        <w:t xml:space="preserve"> an</w:t>
      </w:r>
      <w:r w:rsidR="002C1F35" w:rsidRPr="00B92F1D">
        <w:rPr>
          <w:rFonts w:ascii="Verdana" w:hAnsi="Verdana"/>
          <w:sz w:val="22"/>
          <w:szCs w:val="22"/>
          <w:lang w:val="en-GB"/>
        </w:rPr>
        <w:t>y</w:t>
      </w:r>
      <w:r w:rsidR="00F44621" w:rsidRPr="00B92F1D">
        <w:rPr>
          <w:rFonts w:ascii="Verdana" w:hAnsi="Verdana"/>
          <w:sz w:val="22"/>
          <w:szCs w:val="22"/>
          <w:lang w:val="en-GB"/>
        </w:rPr>
        <w:t xml:space="preserve"> explanation for the discrepancies found to exist in </w:t>
      </w:r>
      <w:r w:rsidR="002C1F35" w:rsidRPr="00B92F1D">
        <w:rPr>
          <w:rFonts w:ascii="Verdana" w:hAnsi="Verdana"/>
          <w:sz w:val="22"/>
          <w:szCs w:val="22"/>
          <w:lang w:val="en-GB"/>
        </w:rPr>
        <w:t xml:space="preserve">the </w:t>
      </w:r>
      <w:r w:rsidR="00F44621" w:rsidRPr="00B92F1D">
        <w:rPr>
          <w:rFonts w:ascii="Verdana" w:hAnsi="Verdana"/>
          <w:sz w:val="22"/>
          <w:szCs w:val="22"/>
          <w:lang w:val="en-GB"/>
        </w:rPr>
        <w:t xml:space="preserve">purchase price reflected on the Title Deed, the </w:t>
      </w:r>
      <w:r w:rsidR="00F44621" w:rsidRPr="00B92F1D">
        <w:rPr>
          <w:rFonts w:ascii="Verdana" w:hAnsi="Verdana"/>
          <w:sz w:val="22"/>
          <w:szCs w:val="22"/>
          <w:lang w:val="en-GB"/>
        </w:rPr>
        <w:lastRenderedPageBreak/>
        <w:t>transfer duty receipt, the power of attorney</w:t>
      </w:r>
      <w:r w:rsidR="005D288C" w:rsidRPr="00B92F1D">
        <w:rPr>
          <w:rFonts w:ascii="Verdana" w:hAnsi="Verdana"/>
          <w:sz w:val="22"/>
          <w:szCs w:val="22"/>
          <w:lang w:val="en-GB"/>
        </w:rPr>
        <w:t xml:space="preserve">, the </w:t>
      </w:r>
      <w:r w:rsidR="00F44621" w:rsidRPr="00B92F1D">
        <w:rPr>
          <w:rFonts w:ascii="Verdana" w:hAnsi="Verdana"/>
          <w:sz w:val="22"/>
          <w:szCs w:val="22"/>
          <w:lang w:val="en-GB"/>
        </w:rPr>
        <w:t xml:space="preserve">affidavit by </w:t>
      </w:r>
      <w:proofErr w:type="spellStart"/>
      <w:r w:rsidR="00C622E0">
        <w:rPr>
          <w:rFonts w:ascii="Verdana" w:hAnsi="Verdana"/>
          <w:sz w:val="22"/>
          <w:szCs w:val="22"/>
          <w:lang w:val="en-GB"/>
        </w:rPr>
        <w:t>Mota</w:t>
      </w:r>
      <w:proofErr w:type="spellEnd"/>
      <w:r w:rsidR="005D288C" w:rsidRPr="00B92F1D">
        <w:rPr>
          <w:rFonts w:ascii="Verdana" w:hAnsi="Verdana"/>
          <w:sz w:val="22"/>
          <w:szCs w:val="22"/>
          <w:lang w:val="en-GB"/>
        </w:rPr>
        <w:t xml:space="preserve"> as</w:t>
      </w:r>
      <w:r w:rsidR="002C1F35" w:rsidRPr="00B92F1D">
        <w:rPr>
          <w:rFonts w:ascii="Verdana" w:hAnsi="Verdana"/>
          <w:sz w:val="22"/>
          <w:szCs w:val="22"/>
          <w:lang w:val="en-GB"/>
        </w:rPr>
        <w:t xml:space="preserve"> well as</w:t>
      </w:r>
      <w:r w:rsidR="005D288C" w:rsidRPr="00B92F1D">
        <w:rPr>
          <w:rFonts w:ascii="Verdana" w:hAnsi="Verdana"/>
          <w:sz w:val="22"/>
          <w:szCs w:val="22"/>
          <w:lang w:val="en-GB"/>
        </w:rPr>
        <w:t xml:space="preserve"> in her own affidavit is not explained. </w:t>
      </w:r>
      <w:r w:rsidR="002C1F35" w:rsidRPr="00B92F1D">
        <w:rPr>
          <w:rFonts w:ascii="Verdana" w:hAnsi="Verdana"/>
          <w:sz w:val="22"/>
          <w:szCs w:val="22"/>
          <w:lang w:val="en-GB"/>
        </w:rPr>
        <w:t>T</w:t>
      </w:r>
      <w:r w:rsidR="005D288C" w:rsidRPr="00B92F1D">
        <w:rPr>
          <w:rFonts w:ascii="Verdana" w:hAnsi="Verdana"/>
          <w:sz w:val="22"/>
          <w:szCs w:val="22"/>
          <w:lang w:val="en-GB"/>
        </w:rPr>
        <w:t xml:space="preserve">he first respondent’s version that the purchase price was increased by </w:t>
      </w:r>
      <w:proofErr w:type="spellStart"/>
      <w:r w:rsidR="00C622E0">
        <w:rPr>
          <w:rFonts w:ascii="Verdana" w:hAnsi="Verdana"/>
          <w:sz w:val="22"/>
          <w:szCs w:val="22"/>
          <w:lang w:val="en-GB"/>
        </w:rPr>
        <w:t>Mota</w:t>
      </w:r>
      <w:proofErr w:type="spellEnd"/>
      <w:r w:rsidR="005D288C" w:rsidRPr="00B92F1D">
        <w:rPr>
          <w:rFonts w:ascii="Verdana" w:hAnsi="Verdana"/>
          <w:sz w:val="22"/>
          <w:szCs w:val="22"/>
          <w:lang w:val="en-GB"/>
        </w:rPr>
        <w:t xml:space="preserve"> to R75 000.00 is not support</w:t>
      </w:r>
      <w:r w:rsidR="006F00F9" w:rsidRPr="00B92F1D">
        <w:rPr>
          <w:rFonts w:ascii="Verdana" w:hAnsi="Verdana"/>
          <w:sz w:val="22"/>
          <w:szCs w:val="22"/>
          <w:lang w:val="en-GB"/>
        </w:rPr>
        <w:t>ed</w:t>
      </w:r>
      <w:r w:rsidR="005D288C" w:rsidRPr="00B92F1D">
        <w:rPr>
          <w:rFonts w:ascii="Verdana" w:hAnsi="Verdana"/>
          <w:sz w:val="22"/>
          <w:szCs w:val="22"/>
          <w:lang w:val="en-GB"/>
        </w:rPr>
        <w:t xml:space="preserve"> by </w:t>
      </w:r>
      <w:r w:rsidR="006F00F9" w:rsidRPr="00B92F1D">
        <w:rPr>
          <w:rFonts w:ascii="Verdana" w:hAnsi="Verdana"/>
          <w:sz w:val="22"/>
          <w:szCs w:val="22"/>
          <w:lang w:val="en-GB"/>
        </w:rPr>
        <w:t xml:space="preserve">any of </w:t>
      </w:r>
      <w:r w:rsidR="005D288C" w:rsidRPr="00B92F1D">
        <w:rPr>
          <w:rFonts w:ascii="Verdana" w:hAnsi="Verdana"/>
          <w:sz w:val="22"/>
          <w:szCs w:val="22"/>
          <w:lang w:val="en-GB"/>
        </w:rPr>
        <w:t>the facts</w:t>
      </w:r>
      <w:r w:rsidR="001B73FD">
        <w:rPr>
          <w:rFonts w:ascii="Verdana" w:hAnsi="Verdana"/>
          <w:sz w:val="22"/>
          <w:szCs w:val="22"/>
          <w:lang w:val="en-GB"/>
        </w:rPr>
        <w:t xml:space="preserve"> either</w:t>
      </w:r>
      <w:r w:rsidR="006F00F9" w:rsidRPr="00B92F1D">
        <w:rPr>
          <w:rFonts w:ascii="Verdana" w:hAnsi="Verdana"/>
          <w:sz w:val="22"/>
          <w:szCs w:val="22"/>
          <w:lang w:val="en-GB"/>
        </w:rPr>
        <w:t xml:space="preserve">. </w:t>
      </w:r>
      <w:r w:rsidR="001251A3" w:rsidRPr="00B92F1D">
        <w:rPr>
          <w:rFonts w:ascii="Verdana" w:hAnsi="Verdana"/>
          <w:sz w:val="22"/>
          <w:szCs w:val="22"/>
          <w:lang w:val="en-GB"/>
        </w:rPr>
        <w:t xml:space="preserve"> </w:t>
      </w:r>
      <w:r w:rsidR="006F00F9" w:rsidRPr="00B92F1D">
        <w:rPr>
          <w:rFonts w:ascii="Verdana" w:hAnsi="Verdana"/>
          <w:sz w:val="22"/>
          <w:szCs w:val="22"/>
          <w:lang w:val="en-GB"/>
        </w:rPr>
        <w:t>This</w:t>
      </w:r>
      <w:r w:rsidR="001251A3" w:rsidRPr="00B92F1D">
        <w:rPr>
          <w:rFonts w:ascii="Verdana" w:hAnsi="Verdana"/>
          <w:sz w:val="22"/>
          <w:szCs w:val="22"/>
          <w:lang w:val="en-GB"/>
        </w:rPr>
        <w:t xml:space="preserve"> amount features nowhere else </w:t>
      </w:r>
      <w:r w:rsidR="006F00F9" w:rsidRPr="00B92F1D">
        <w:rPr>
          <w:rFonts w:ascii="Verdana" w:hAnsi="Verdana"/>
          <w:sz w:val="22"/>
          <w:szCs w:val="22"/>
          <w:lang w:val="en-GB"/>
        </w:rPr>
        <w:t>but</w:t>
      </w:r>
      <w:r w:rsidR="001251A3" w:rsidRPr="00B92F1D">
        <w:rPr>
          <w:rFonts w:ascii="Verdana" w:hAnsi="Verdana"/>
          <w:sz w:val="22"/>
          <w:szCs w:val="22"/>
          <w:lang w:val="en-GB"/>
        </w:rPr>
        <w:t xml:space="preserve"> in the first respondent’s answering affidavit.</w:t>
      </w:r>
    </w:p>
    <w:p w14:paraId="397C47F4" w14:textId="239EA7ED" w:rsidR="00F65D60" w:rsidRPr="00B92F1D" w:rsidRDefault="00951FAD" w:rsidP="00951FAD">
      <w:pPr>
        <w:pStyle w:val="Indent"/>
        <w:widowControl w:val="0"/>
        <w:numPr>
          <w:ilvl w:val="0"/>
          <w:numId w:val="0"/>
        </w:numPr>
        <w:spacing w:after="360" w:line="480" w:lineRule="auto"/>
        <w:ind w:left="709" w:hanging="709"/>
        <w:jc w:val="both"/>
        <w:rPr>
          <w:rFonts w:ascii="Verdana" w:hAnsi="Verdana"/>
          <w:sz w:val="22"/>
          <w:szCs w:val="22"/>
          <w:lang w:val="en-GB"/>
        </w:rPr>
      </w:pPr>
      <w:r w:rsidRPr="00B92F1D">
        <w:rPr>
          <w:rFonts w:ascii="Verdana" w:hAnsi="Verdana"/>
          <w:sz w:val="22"/>
          <w:szCs w:val="22"/>
          <w:lang w:val="en-GB"/>
        </w:rPr>
        <w:t>[51]</w:t>
      </w:r>
      <w:r w:rsidRPr="00B92F1D">
        <w:rPr>
          <w:rFonts w:ascii="Verdana" w:hAnsi="Verdana"/>
          <w:sz w:val="22"/>
          <w:szCs w:val="22"/>
          <w:lang w:val="en-GB"/>
        </w:rPr>
        <w:tab/>
      </w:r>
      <w:r w:rsidR="006F559C" w:rsidRPr="00B92F1D">
        <w:rPr>
          <w:rFonts w:ascii="Verdana" w:hAnsi="Verdana"/>
          <w:sz w:val="22"/>
          <w:szCs w:val="22"/>
          <w:lang w:val="en-GB"/>
        </w:rPr>
        <w:t xml:space="preserve">When scrutinising </w:t>
      </w:r>
      <w:r w:rsidR="00E14F3C" w:rsidRPr="00B92F1D">
        <w:rPr>
          <w:rFonts w:ascii="Verdana" w:hAnsi="Verdana"/>
          <w:sz w:val="22"/>
          <w:szCs w:val="22"/>
          <w:lang w:val="en-GB"/>
        </w:rPr>
        <w:t>all the document</w:t>
      </w:r>
      <w:r w:rsidR="006F559C" w:rsidRPr="00B92F1D">
        <w:rPr>
          <w:rFonts w:ascii="Verdana" w:hAnsi="Verdana"/>
          <w:sz w:val="22"/>
          <w:szCs w:val="22"/>
          <w:lang w:val="en-GB"/>
        </w:rPr>
        <w:t>s</w:t>
      </w:r>
      <w:r w:rsidR="00E14F3C" w:rsidRPr="00B92F1D">
        <w:rPr>
          <w:rFonts w:ascii="Verdana" w:hAnsi="Verdana"/>
          <w:sz w:val="22"/>
          <w:szCs w:val="22"/>
          <w:lang w:val="en-GB"/>
        </w:rPr>
        <w:t xml:space="preserve"> relating to the transfer of the property into the name of the first respondent and the deceased,</w:t>
      </w:r>
      <w:r w:rsidR="00C96EFB" w:rsidRPr="00B92F1D">
        <w:rPr>
          <w:rFonts w:ascii="Verdana" w:hAnsi="Verdana"/>
          <w:sz w:val="22"/>
          <w:szCs w:val="22"/>
          <w:lang w:val="en-GB"/>
        </w:rPr>
        <w:t xml:space="preserve"> the following</w:t>
      </w:r>
      <w:r w:rsidR="00542D92" w:rsidRPr="00B92F1D">
        <w:rPr>
          <w:rFonts w:ascii="Verdana" w:hAnsi="Verdana"/>
          <w:sz w:val="22"/>
          <w:szCs w:val="22"/>
          <w:lang w:val="en-GB"/>
        </w:rPr>
        <w:t xml:space="preserve"> of discrepancies </w:t>
      </w:r>
      <w:r w:rsidR="00C96EFB" w:rsidRPr="00B92F1D">
        <w:rPr>
          <w:rFonts w:ascii="Verdana" w:hAnsi="Verdana"/>
          <w:sz w:val="22"/>
          <w:szCs w:val="22"/>
          <w:lang w:val="en-GB"/>
        </w:rPr>
        <w:t xml:space="preserve">are </w:t>
      </w:r>
      <w:r w:rsidR="001B73FD">
        <w:rPr>
          <w:rFonts w:ascii="Verdana" w:hAnsi="Verdana"/>
          <w:sz w:val="22"/>
          <w:szCs w:val="22"/>
          <w:lang w:val="en-GB"/>
        </w:rPr>
        <w:t>glaring</w:t>
      </w:r>
      <w:r w:rsidR="00C96EFB" w:rsidRPr="00B92F1D">
        <w:rPr>
          <w:rFonts w:ascii="Verdana" w:hAnsi="Verdana"/>
          <w:sz w:val="22"/>
          <w:szCs w:val="22"/>
          <w:lang w:val="en-GB"/>
        </w:rPr>
        <w:t xml:space="preserve"> at a mere cursory glanc</w:t>
      </w:r>
      <w:r w:rsidR="00F65D60" w:rsidRPr="00B92F1D">
        <w:rPr>
          <w:rFonts w:ascii="Verdana" w:hAnsi="Verdana"/>
          <w:sz w:val="22"/>
          <w:szCs w:val="22"/>
          <w:lang w:val="en-GB"/>
        </w:rPr>
        <w:t>e:</w:t>
      </w:r>
    </w:p>
    <w:p w14:paraId="55D5D1EC" w14:textId="77DE3B87" w:rsidR="00194CDA" w:rsidRPr="00B92F1D" w:rsidRDefault="00951FAD" w:rsidP="00951FAD">
      <w:pPr>
        <w:pStyle w:val="Indent"/>
        <w:numPr>
          <w:ilvl w:val="0"/>
          <w:numId w:val="0"/>
        </w:numPr>
        <w:spacing w:line="480" w:lineRule="auto"/>
        <w:ind w:left="1789" w:hanging="1080"/>
        <w:jc w:val="both"/>
        <w:rPr>
          <w:rFonts w:ascii="Verdana" w:hAnsi="Verdana"/>
          <w:sz w:val="22"/>
          <w:szCs w:val="22"/>
        </w:rPr>
      </w:pPr>
      <w:r w:rsidRPr="00B92F1D">
        <w:rPr>
          <w:rFonts w:ascii="Verdana" w:hAnsi="Verdana"/>
          <w:sz w:val="22"/>
          <w:szCs w:val="22"/>
        </w:rPr>
        <w:t>(i)</w:t>
      </w:r>
      <w:r w:rsidRPr="00B92F1D">
        <w:rPr>
          <w:rFonts w:ascii="Verdana" w:hAnsi="Verdana"/>
          <w:sz w:val="22"/>
          <w:szCs w:val="22"/>
        </w:rPr>
        <w:tab/>
      </w:r>
      <w:r w:rsidR="00F65D60" w:rsidRPr="00B92F1D">
        <w:rPr>
          <w:rFonts w:ascii="Verdana" w:hAnsi="Verdana"/>
          <w:sz w:val="22"/>
          <w:szCs w:val="22"/>
        </w:rPr>
        <w:t>The date of sale of the property is reflected as 22 May 2014 in the title deed, whereas it is recorded as April 2014 in the Power of Attorney. It is noteworthy that the exact day upon which the sale purportedly took place in April 2014, is blank in the Power of Attorney.</w:t>
      </w:r>
    </w:p>
    <w:p w14:paraId="5D805E93" w14:textId="0C10B436" w:rsidR="00F65D60" w:rsidRPr="00B92F1D" w:rsidRDefault="00951FAD" w:rsidP="00951FAD">
      <w:pPr>
        <w:pStyle w:val="Indent"/>
        <w:numPr>
          <w:ilvl w:val="0"/>
          <w:numId w:val="0"/>
        </w:numPr>
        <w:spacing w:line="480" w:lineRule="auto"/>
        <w:ind w:left="1789" w:hanging="1080"/>
        <w:jc w:val="both"/>
        <w:rPr>
          <w:rFonts w:ascii="Verdana" w:hAnsi="Verdana"/>
          <w:sz w:val="22"/>
          <w:szCs w:val="22"/>
        </w:rPr>
      </w:pPr>
      <w:r w:rsidRPr="00B92F1D">
        <w:rPr>
          <w:rFonts w:ascii="Verdana" w:hAnsi="Verdana"/>
          <w:sz w:val="22"/>
          <w:szCs w:val="22"/>
        </w:rPr>
        <w:t>(ii)</w:t>
      </w:r>
      <w:r w:rsidRPr="00B92F1D">
        <w:rPr>
          <w:rFonts w:ascii="Verdana" w:hAnsi="Verdana"/>
          <w:sz w:val="22"/>
          <w:szCs w:val="22"/>
        </w:rPr>
        <w:tab/>
      </w:r>
      <w:r w:rsidR="00F65D60" w:rsidRPr="00B92F1D">
        <w:rPr>
          <w:rFonts w:ascii="Verdana" w:hAnsi="Verdana"/>
          <w:sz w:val="22"/>
          <w:szCs w:val="22"/>
        </w:rPr>
        <w:t>The marital status of the first respondent and deceased was incorrectly reflected on the title deed, the SARS Transfer Duty Declaration and on the Power of Attorney.</w:t>
      </w:r>
    </w:p>
    <w:p w14:paraId="24C215D2" w14:textId="77777777" w:rsidR="00F65D60" w:rsidRPr="00B92F1D" w:rsidRDefault="00F65D60" w:rsidP="00194CDA">
      <w:pPr>
        <w:pStyle w:val="Indent"/>
        <w:widowControl w:val="0"/>
        <w:numPr>
          <w:ilvl w:val="0"/>
          <w:numId w:val="0"/>
        </w:numPr>
        <w:spacing w:after="360" w:line="480" w:lineRule="auto"/>
        <w:ind w:left="709"/>
        <w:jc w:val="both"/>
        <w:rPr>
          <w:rFonts w:ascii="Verdana" w:hAnsi="Verdana"/>
          <w:sz w:val="22"/>
          <w:szCs w:val="22"/>
          <w:lang w:val="en-GB"/>
        </w:rPr>
      </w:pPr>
    </w:p>
    <w:p w14:paraId="7ADCA705" w14:textId="28DEF2AE" w:rsidR="004649DB" w:rsidRPr="00B92F1D" w:rsidRDefault="00951FAD" w:rsidP="00951FAD">
      <w:pPr>
        <w:pStyle w:val="Indent"/>
        <w:widowControl w:val="0"/>
        <w:numPr>
          <w:ilvl w:val="0"/>
          <w:numId w:val="0"/>
        </w:numPr>
        <w:spacing w:after="360" w:line="480" w:lineRule="auto"/>
        <w:ind w:left="709" w:hanging="709"/>
        <w:jc w:val="both"/>
        <w:rPr>
          <w:rFonts w:ascii="Verdana" w:hAnsi="Verdana"/>
          <w:color w:val="000000" w:themeColor="text1"/>
          <w:sz w:val="22"/>
          <w:szCs w:val="22"/>
          <w:lang w:val="en-GB"/>
        </w:rPr>
      </w:pPr>
      <w:r w:rsidRPr="00B92F1D">
        <w:rPr>
          <w:rFonts w:ascii="Verdana" w:hAnsi="Verdana"/>
          <w:color w:val="000000" w:themeColor="text1"/>
          <w:sz w:val="22"/>
          <w:szCs w:val="22"/>
          <w:lang w:val="en-GB"/>
        </w:rPr>
        <w:t>[52]</w:t>
      </w:r>
      <w:r w:rsidRPr="00B92F1D">
        <w:rPr>
          <w:rFonts w:ascii="Verdana" w:hAnsi="Verdana"/>
          <w:color w:val="000000" w:themeColor="text1"/>
          <w:sz w:val="22"/>
          <w:szCs w:val="22"/>
          <w:lang w:val="en-GB"/>
        </w:rPr>
        <w:tab/>
      </w:r>
      <w:r w:rsidR="00F65D60" w:rsidRPr="00B92F1D">
        <w:rPr>
          <w:rFonts w:ascii="Verdana" w:hAnsi="Verdana"/>
          <w:sz w:val="22"/>
          <w:szCs w:val="22"/>
          <w:lang w:val="en-GB"/>
        </w:rPr>
        <w:t xml:space="preserve">In </w:t>
      </w:r>
      <w:proofErr w:type="spellStart"/>
      <w:r w:rsidR="00F65D60" w:rsidRPr="00B92F1D">
        <w:rPr>
          <w:rFonts w:ascii="Verdana" w:hAnsi="Verdana"/>
          <w:i/>
          <w:iCs/>
          <w:color w:val="000000" w:themeColor="text1"/>
          <w:sz w:val="22"/>
          <w:szCs w:val="22"/>
        </w:rPr>
        <w:t>Quartermark</w:t>
      </w:r>
      <w:proofErr w:type="spellEnd"/>
      <w:r w:rsidR="00F65D60" w:rsidRPr="00B92F1D">
        <w:rPr>
          <w:rFonts w:ascii="Verdana" w:hAnsi="Verdana"/>
          <w:i/>
          <w:iCs/>
          <w:color w:val="000000" w:themeColor="text1"/>
          <w:sz w:val="22"/>
          <w:szCs w:val="22"/>
        </w:rPr>
        <w:t xml:space="preserve"> Investments (Pty) Ltd v </w:t>
      </w:r>
      <w:proofErr w:type="spellStart"/>
      <w:r w:rsidR="00F65D60" w:rsidRPr="00B92F1D">
        <w:rPr>
          <w:rFonts w:ascii="Verdana" w:hAnsi="Verdana"/>
          <w:i/>
          <w:iCs/>
          <w:color w:val="000000" w:themeColor="text1"/>
          <w:sz w:val="22"/>
          <w:szCs w:val="22"/>
        </w:rPr>
        <w:t>Mkhwanazi</w:t>
      </w:r>
      <w:proofErr w:type="spellEnd"/>
      <w:r w:rsidR="00F65D60" w:rsidRPr="00B92F1D">
        <w:rPr>
          <w:rFonts w:ascii="Verdana" w:hAnsi="Verdana"/>
          <w:i/>
          <w:iCs/>
          <w:color w:val="000000" w:themeColor="text1"/>
          <w:sz w:val="22"/>
          <w:szCs w:val="22"/>
        </w:rPr>
        <w:t xml:space="preserve"> and </w:t>
      </w:r>
      <w:proofErr w:type="gramStart"/>
      <w:r w:rsidR="00F65D60" w:rsidRPr="00B92F1D">
        <w:rPr>
          <w:rFonts w:ascii="Verdana" w:hAnsi="Verdana"/>
          <w:i/>
          <w:iCs/>
          <w:color w:val="000000" w:themeColor="text1"/>
          <w:sz w:val="22"/>
          <w:szCs w:val="22"/>
        </w:rPr>
        <w:t>Another</w:t>
      </w:r>
      <w:r w:rsidR="00F65D60" w:rsidRPr="00B92F1D">
        <w:rPr>
          <w:rStyle w:val="FootnoteReference"/>
          <w:rFonts w:ascii="Verdana" w:hAnsi="Verdana"/>
          <w:i/>
          <w:iCs/>
          <w:color w:val="000000" w:themeColor="text1"/>
          <w:sz w:val="22"/>
          <w:szCs w:val="22"/>
        </w:rPr>
        <w:footnoteReference w:id="25"/>
      </w:r>
      <w:r w:rsidR="00F65D60" w:rsidRPr="00B92F1D">
        <w:rPr>
          <w:rFonts w:ascii="Verdana" w:hAnsi="Verdana"/>
          <w:color w:val="000000" w:themeColor="text1"/>
          <w:sz w:val="22"/>
          <w:szCs w:val="22"/>
        </w:rPr>
        <w:t xml:space="preserve"> the</w:t>
      </w:r>
      <w:proofErr w:type="gramEnd"/>
      <w:r w:rsidR="00F65D60" w:rsidRPr="00B92F1D">
        <w:rPr>
          <w:rFonts w:ascii="Verdana" w:hAnsi="Verdana"/>
          <w:color w:val="000000" w:themeColor="text1"/>
          <w:sz w:val="22"/>
          <w:szCs w:val="22"/>
        </w:rPr>
        <w:t xml:space="preserve"> Supreme Court of Appeal </w:t>
      </w:r>
      <w:r w:rsidR="00194CDA" w:rsidRPr="00B92F1D">
        <w:rPr>
          <w:rFonts w:ascii="Verdana" w:hAnsi="Verdana"/>
          <w:color w:val="000000" w:themeColor="text1"/>
          <w:sz w:val="22"/>
          <w:szCs w:val="22"/>
          <w:lang w:eastAsia="en-ZA"/>
        </w:rPr>
        <w:t>referred to it</w:t>
      </w:r>
      <w:r w:rsidR="008347D0" w:rsidRPr="00B92F1D">
        <w:rPr>
          <w:rFonts w:ascii="Verdana" w:hAnsi="Verdana"/>
          <w:color w:val="000000" w:themeColor="text1"/>
          <w:sz w:val="22"/>
          <w:szCs w:val="22"/>
          <w:lang w:eastAsia="en-ZA"/>
        </w:rPr>
        <w:t>s</w:t>
      </w:r>
      <w:r w:rsidR="00194CDA" w:rsidRPr="00B92F1D">
        <w:rPr>
          <w:rFonts w:ascii="Verdana" w:hAnsi="Verdana"/>
          <w:color w:val="000000" w:themeColor="text1"/>
          <w:sz w:val="22"/>
          <w:szCs w:val="22"/>
          <w:lang w:eastAsia="en-ZA"/>
        </w:rPr>
        <w:t xml:space="preserve"> judgment in </w:t>
      </w:r>
      <w:r w:rsidR="00F65D60" w:rsidRPr="00B92F1D">
        <w:rPr>
          <w:rFonts w:ascii="Verdana" w:hAnsi="Verdana"/>
          <w:color w:val="000000" w:themeColor="text1"/>
          <w:sz w:val="22"/>
          <w:szCs w:val="22"/>
          <w:lang w:eastAsia="en-ZA"/>
        </w:rPr>
        <w:t>in </w:t>
      </w:r>
      <w:proofErr w:type="spellStart"/>
      <w:r w:rsidR="00F65D60" w:rsidRPr="00B92F1D">
        <w:rPr>
          <w:rFonts w:ascii="Verdana" w:hAnsi="Verdana"/>
          <w:i/>
          <w:iCs/>
          <w:color w:val="000000" w:themeColor="text1"/>
          <w:sz w:val="22"/>
          <w:szCs w:val="22"/>
          <w:lang w:eastAsia="en-ZA"/>
        </w:rPr>
        <w:t>Legator</w:t>
      </w:r>
      <w:proofErr w:type="spellEnd"/>
      <w:r w:rsidR="00F65D60" w:rsidRPr="00B92F1D">
        <w:rPr>
          <w:rFonts w:ascii="Verdana" w:hAnsi="Verdana"/>
          <w:i/>
          <w:iCs/>
          <w:color w:val="000000" w:themeColor="text1"/>
          <w:sz w:val="22"/>
          <w:szCs w:val="22"/>
          <w:lang w:eastAsia="en-ZA"/>
        </w:rPr>
        <w:t xml:space="preserve"> McKenna </w:t>
      </w:r>
      <w:proofErr w:type="spellStart"/>
      <w:r w:rsidR="00F65D60" w:rsidRPr="00B92F1D">
        <w:rPr>
          <w:rFonts w:ascii="Verdana" w:hAnsi="Verdana"/>
          <w:i/>
          <w:iCs/>
          <w:color w:val="000000" w:themeColor="text1"/>
          <w:sz w:val="22"/>
          <w:szCs w:val="22"/>
          <w:lang w:eastAsia="en-ZA"/>
        </w:rPr>
        <w:t>Inc</w:t>
      </w:r>
      <w:proofErr w:type="spellEnd"/>
      <w:r w:rsidR="00F65D60" w:rsidRPr="00B92F1D">
        <w:rPr>
          <w:rFonts w:ascii="Verdana" w:hAnsi="Verdana"/>
          <w:i/>
          <w:iCs/>
          <w:color w:val="000000" w:themeColor="text1"/>
          <w:sz w:val="22"/>
          <w:szCs w:val="22"/>
          <w:lang w:eastAsia="en-ZA"/>
        </w:rPr>
        <w:t xml:space="preserve"> and Another v Shea and Others</w:t>
      </w:r>
      <w:r w:rsidR="008347D0" w:rsidRPr="00B92F1D">
        <w:rPr>
          <w:rStyle w:val="FootnoteReference"/>
          <w:rFonts w:ascii="Verdana" w:hAnsi="Verdana"/>
          <w:i/>
          <w:iCs/>
          <w:color w:val="000000" w:themeColor="text1"/>
          <w:sz w:val="22"/>
          <w:szCs w:val="22"/>
          <w:lang w:eastAsia="en-ZA"/>
        </w:rPr>
        <w:footnoteReference w:id="26"/>
      </w:r>
      <w:r w:rsidR="00194CDA" w:rsidRPr="00B92F1D">
        <w:rPr>
          <w:rFonts w:ascii="Verdana" w:hAnsi="Verdana"/>
          <w:color w:val="000000" w:themeColor="text1"/>
          <w:sz w:val="22"/>
          <w:szCs w:val="22"/>
          <w:lang w:eastAsia="en-ZA"/>
        </w:rPr>
        <w:t xml:space="preserve"> </w:t>
      </w:r>
      <w:r w:rsidR="00F65D60" w:rsidRPr="00B92F1D">
        <w:rPr>
          <w:rFonts w:ascii="Verdana" w:hAnsi="Verdana"/>
          <w:color w:val="000000" w:themeColor="text1"/>
          <w:sz w:val="22"/>
          <w:szCs w:val="22"/>
          <w:lang w:eastAsia="en-ZA"/>
        </w:rPr>
        <w:t> </w:t>
      </w:r>
      <w:r w:rsidR="008347D0" w:rsidRPr="00B92F1D">
        <w:rPr>
          <w:rFonts w:ascii="Verdana" w:hAnsi="Verdana"/>
          <w:color w:val="000000" w:themeColor="text1"/>
          <w:sz w:val="22"/>
          <w:szCs w:val="22"/>
          <w:lang w:eastAsia="en-ZA"/>
        </w:rPr>
        <w:t xml:space="preserve">where it </w:t>
      </w:r>
      <w:r w:rsidR="00430605" w:rsidRPr="00B92F1D">
        <w:rPr>
          <w:rFonts w:ascii="Verdana" w:hAnsi="Verdana"/>
          <w:color w:val="000000" w:themeColor="text1"/>
          <w:sz w:val="22"/>
          <w:szCs w:val="22"/>
          <w:lang w:eastAsia="en-ZA"/>
        </w:rPr>
        <w:t>w</w:t>
      </w:r>
      <w:r w:rsidR="008347D0" w:rsidRPr="00B92F1D">
        <w:rPr>
          <w:rFonts w:ascii="Verdana" w:hAnsi="Verdana"/>
          <w:color w:val="000000" w:themeColor="text1"/>
          <w:sz w:val="22"/>
          <w:szCs w:val="22"/>
          <w:lang w:eastAsia="en-ZA"/>
        </w:rPr>
        <w:t xml:space="preserve">as </w:t>
      </w:r>
      <w:r w:rsidR="00F65D60" w:rsidRPr="00B92F1D">
        <w:rPr>
          <w:rFonts w:ascii="Verdana" w:hAnsi="Verdana"/>
          <w:color w:val="000000" w:themeColor="text1"/>
          <w:sz w:val="22"/>
          <w:szCs w:val="22"/>
          <w:lang w:eastAsia="en-ZA"/>
        </w:rPr>
        <w:t xml:space="preserve">confirmed that the abstract theory of transfer applies to movable as well as immovable property. According to that theory the validity of the transfer of ownership </w:t>
      </w:r>
      <w:r w:rsidR="00F65D60" w:rsidRPr="00B92F1D">
        <w:rPr>
          <w:rFonts w:ascii="Verdana" w:hAnsi="Verdana"/>
          <w:color w:val="000000" w:themeColor="text1"/>
          <w:sz w:val="22"/>
          <w:szCs w:val="22"/>
          <w:lang w:eastAsia="en-ZA"/>
        </w:rPr>
        <w:lastRenderedPageBreak/>
        <w:t>is not dependent upon the validity of the underlying transaction. </w:t>
      </w:r>
      <w:r w:rsidR="005F14E5" w:rsidRPr="00B92F1D">
        <w:rPr>
          <w:rFonts w:ascii="Verdana" w:hAnsi="Verdana"/>
          <w:color w:val="000000" w:themeColor="text1"/>
          <w:sz w:val="22"/>
          <w:szCs w:val="22"/>
          <w:lang w:eastAsia="en-ZA"/>
        </w:rPr>
        <w:t xml:space="preserve"> </w:t>
      </w:r>
      <w:r w:rsidR="00F65D60" w:rsidRPr="00B92F1D">
        <w:rPr>
          <w:rFonts w:ascii="Verdana" w:hAnsi="Verdana"/>
          <w:color w:val="000000" w:themeColor="text1"/>
          <w:sz w:val="22"/>
          <w:szCs w:val="22"/>
          <w:lang w:eastAsia="en-ZA"/>
        </w:rPr>
        <w:t>However, the passing of ownership only takes place when there has been delivery effected by registration of transfer coupled with what Brand JA, writing for the court in </w:t>
      </w:r>
      <w:proofErr w:type="spellStart"/>
      <w:r w:rsidR="00F65D60" w:rsidRPr="00B92F1D">
        <w:rPr>
          <w:rFonts w:ascii="Verdana" w:hAnsi="Verdana"/>
          <w:i/>
          <w:iCs/>
          <w:color w:val="000000" w:themeColor="text1"/>
          <w:sz w:val="22"/>
          <w:szCs w:val="22"/>
          <w:lang w:eastAsia="en-ZA"/>
        </w:rPr>
        <w:t>Legator</w:t>
      </w:r>
      <w:proofErr w:type="spellEnd"/>
      <w:r w:rsidR="00F65D60" w:rsidRPr="00B92F1D">
        <w:rPr>
          <w:rFonts w:ascii="Verdana" w:hAnsi="Verdana"/>
          <w:i/>
          <w:iCs/>
          <w:color w:val="000000" w:themeColor="text1"/>
          <w:sz w:val="22"/>
          <w:szCs w:val="22"/>
          <w:lang w:eastAsia="en-ZA"/>
        </w:rPr>
        <w:t xml:space="preserve"> McKenna</w:t>
      </w:r>
      <w:r w:rsidR="00F65D60" w:rsidRPr="00B92F1D">
        <w:rPr>
          <w:rFonts w:ascii="Verdana" w:hAnsi="Verdana"/>
          <w:color w:val="000000" w:themeColor="text1"/>
          <w:sz w:val="22"/>
          <w:szCs w:val="22"/>
          <w:lang w:eastAsia="en-ZA"/>
        </w:rPr>
        <w:t xml:space="preserve">, referred to as a </w:t>
      </w:r>
      <w:r w:rsidR="00F65D60" w:rsidRPr="00B92F1D">
        <w:rPr>
          <w:rFonts w:ascii="Verdana" w:hAnsi="Verdana"/>
          <w:i/>
          <w:iCs/>
          <w:color w:val="000000" w:themeColor="text1"/>
          <w:sz w:val="22"/>
          <w:szCs w:val="22"/>
          <w:lang w:eastAsia="en-ZA"/>
        </w:rPr>
        <w:t>'real agreement'</w:t>
      </w:r>
      <w:r w:rsidR="00F65D60" w:rsidRPr="00B92F1D">
        <w:rPr>
          <w:rFonts w:ascii="Verdana" w:hAnsi="Verdana"/>
          <w:color w:val="000000" w:themeColor="text1"/>
          <w:sz w:val="22"/>
          <w:szCs w:val="22"/>
          <w:lang w:eastAsia="en-ZA"/>
        </w:rPr>
        <w:t xml:space="preserve">. The learned judge explained that </w:t>
      </w:r>
      <w:r w:rsidR="00F65D60" w:rsidRPr="00B92F1D">
        <w:rPr>
          <w:rFonts w:ascii="Verdana" w:hAnsi="Verdana"/>
          <w:i/>
          <w:iCs/>
          <w:color w:val="000000" w:themeColor="text1"/>
          <w:sz w:val="22"/>
          <w:szCs w:val="22"/>
          <w:lang w:eastAsia="en-ZA"/>
        </w:rPr>
        <w:t>'the essential elements of the real agreement are an intention on the part of the transferor to transfer ownership and the intention of the transferee to become the owner of the property</w:t>
      </w:r>
      <w:r w:rsidR="00F65D60" w:rsidRPr="00B92F1D">
        <w:rPr>
          <w:rFonts w:ascii="Verdana" w:hAnsi="Verdana"/>
          <w:color w:val="000000" w:themeColor="text1"/>
          <w:sz w:val="22"/>
          <w:szCs w:val="22"/>
          <w:lang w:eastAsia="en-ZA"/>
        </w:rPr>
        <w:t>'.</w:t>
      </w:r>
      <w:r w:rsidR="005F14E5" w:rsidRPr="00B92F1D">
        <w:rPr>
          <w:rStyle w:val="FootnoteReference"/>
          <w:rFonts w:ascii="Verdana" w:hAnsi="Verdana"/>
          <w:color w:val="000000" w:themeColor="text1"/>
          <w:sz w:val="22"/>
          <w:szCs w:val="22"/>
          <w:lang w:eastAsia="en-ZA"/>
        </w:rPr>
        <w:footnoteReference w:id="27"/>
      </w:r>
      <w:r w:rsidR="005F14E5" w:rsidRPr="00B92F1D">
        <w:rPr>
          <w:rFonts w:ascii="Verdana" w:hAnsi="Verdana"/>
          <w:color w:val="000000" w:themeColor="text1"/>
          <w:sz w:val="22"/>
          <w:szCs w:val="22"/>
          <w:lang w:val="en-GB"/>
        </w:rPr>
        <w:t xml:space="preserve"> </w:t>
      </w:r>
    </w:p>
    <w:p w14:paraId="782F63CA" w14:textId="3D27546F" w:rsidR="009162DF" w:rsidRPr="00B92F1D" w:rsidRDefault="00951FAD" w:rsidP="00951FAD">
      <w:pPr>
        <w:pStyle w:val="Indent"/>
        <w:widowControl w:val="0"/>
        <w:numPr>
          <w:ilvl w:val="0"/>
          <w:numId w:val="0"/>
        </w:numPr>
        <w:spacing w:after="360" w:line="480" w:lineRule="auto"/>
        <w:ind w:left="709" w:hanging="709"/>
        <w:jc w:val="both"/>
        <w:rPr>
          <w:rFonts w:ascii="Verdana" w:hAnsi="Verdana"/>
          <w:color w:val="000000" w:themeColor="text1"/>
          <w:sz w:val="22"/>
          <w:szCs w:val="22"/>
          <w:lang w:val="en-GB"/>
        </w:rPr>
      </w:pPr>
      <w:r w:rsidRPr="00B92F1D">
        <w:rPr>
          <w:rFonts w:ascii="Verdana" w:hAnsi="Verdana"/>
          <w:color w:val="000000" w:themeColor="text1"/>
          <w:sz w:val="22"/>
          <w:szCs w:val="22"/>
          <w:lang w:val="en-GB"/>
        </w:rPr>
        <w:t>[53]</w:t>
      </w:r>
      <w:r w:rsidRPr="00B92F1D">
        <w:rPr>
          <w:rFonts w:ascii="Verdana" w:hAnsi="Verdana"/>
          <w:color w:val="000000" w:themeColor="text1"/>
          <w:sz w:val="22"/>
          <w:szCs w:val="22"/>
          <w:lang w:val="en-GB"/>
        </w:rPr>
        <w:tab/>
      </w:r>
      <w:r w:rsidR="004649DB" w:rsidRPr="00B92F1D">
        <w:rPr>
          <w:rFonts w:ascii="Verdana" w:hAnsi="Verdana"/>
          <w:color w:val="000000" w:themeColor="text1"/>
          <w:sz w:val="22"/>
          <w:szCs w:val="22"/>
          <w:lang w:val="en-GB"/>
        </w:rPr>
        <w:t xml:space="preserve">The SCA went on to explain in </w:t>
      </w:r>
      <w:proofErr w:type="spellStart"/>
      <w:r w:rsidR="004649DB" w:rsidRPr="00B92F1D">
        <w:rPr>
          <w:rFonts w:ascii="Verdana" w:hAnsi="Verdana"/>
          <w:i/>
          <w:iCs/>
          <w:color w:val="000000" w:themeColor="text1"/>
          <w:sz w:val="22"/>
          <w:szCs w:val="22"/>
          <w:lang w:val="en-GB"/>
        </w:rPr>
        <w:t>Quartermark</w:t>
      </w:r>
      <w:proofErr w:type="spellEnd"/>
      <w:r w:rsidR="004649DB" w:rsidRPr="00B92F1D">
        <w:rPr>
          <w:rFonts w:ascii="Verdana" w:hAnsi="Verdana"/>
          <w:i/>
          <w:iCs/>
          <w:color w:val="000000" w:themeColor="text1"/>
          <w:sz w:val="22"/>
          <w:szCs w:val="22"/>
          <w:lang w:val="en-GB"/>
        </w:rPr>
        <w:t xml:space="preserve"> </w:t>
      </w:r>
      <w:r w:rsidR="004649DB" w:rsidRPr="00B92F1D">
        <w:rPr>
          <w:rFonts w:ascii="Verdana" w:hAnsi="Verdana"/>
          <w:color w:val="000000" w:themeColor="text1"/>
          <w:sz w:val="22"/>
          <w:szCs w:val="22"/>
          <w:lang w:val="en-GB"/>
        </w:rPr>
        <w:t>that</w:t>
      </w:r>
      <w:r w:rsidR="004649DB" w:rsidRPr="00B92F1D">
        <w:rPr>
          <w:rFonts w:ascii="Verdana" w:hAnsi="Verdana"/>
          <w:color w:val="000000" w:themeColor="text1"/>
          <w:sz w:val="22"/>
          <w:szCs w:val="22"/>
          <w:lang w:eastAsia="en-ZA"/>
        </w:rPr>
        <w:t xml:space="preserve"> although </w:t>
      </w:r>
      <w:r w:rsidR="00F65D60" w:rsidRPr="00B92F1D">
        <w:rPr>
          <w:rFonts w:ascii="Verdana" w:hAnsi="Verdana"/>
          <w:color w:val="000000" w:themeColor="text1"/>
          <w:sz w:val="22"/>
          <w:szCs w:val="22"/>
          <w:lang w:eastAsia="en-ZA"/>
        </w:rPr>
        <w:t>a valid underlying agreement to</w:t>
      </w:r>
      <w:r w:rsidR="004649DB" w:rsidRPr="00B92F1D">
        <w:rPr>
          <w:rFonts w:ascii="Verdana" w:hAnsi="Verdana"/>
          <w:color w:val="000000" w:themeColor="text1"/>
          <w:sz w:val="22"/>
          <w:szCs w:val="22"/>
          <w:lang w:eastAsia="en-ZA"/>
        </w:rPr>
        <w:t xml:space="preserve"> </w:t>
      </w:r>
      <w:r w:rsidR="00F65D60" w:rsidRPr="00B92F1D">
        <w:rPr>
          <w:rFonts w:ascii="Verdana" w:hAnsi="Verdana"/>
          <w:color w:val="000000" w:themeColor="text1"/>
          <w:sz w:val="22"/>
          <w:szCs w:val="22"/>
          <w:lang w:eastAsia="en-ZA"/>
        </w:rPr>
        <w:t>pass ownership, such as in this instance a contract of sale, is not required</w:t>
      </w:r>
      <w:r w:rsidR="003F5EE0" w:rsidRPr="00B92F1D">
        <w:rPr>
          <w:rFonts w:ascii="Verdana" w:hAnsi="Verdana"/>
          <w:color w:val="000000" w:themeColor="text1"/>
          <w:sz w:val="22"/>
          <w:szCs w:val="22"/>
          <w:lang w:eastAsia="en-ZA"/>
        </w:rPr>
        <w:t xml:space="preserve">, </w:t>
      </w:r>
      <w:r w:rsidR="002A32DC" w:rsidRPr="002437DA">
        <w:rPr>
          <w:rFonts w:ascii="Verdana" w:hAnsi="Verdana"/>
          <w:color w:val="000000" w:themeColor="text1"/>
          <w:sz w:val="22"/>
          <w:szCs w:val="22"/>
          <w:lang w:eastAsia="en-ZA"/>
        </w:rPr>
        <w:t>where such underlying transaction is tainted by fraud, ownership will not pass, despite registration of transfer. </w:t>
      </w:r>
    </w:p>
    <w:p w14:paraId="482C31DA" w14:textId="4622B931" w:rsidR="00A02755" w:rsidRPr="00B92F1D" w:rsidRDefault="00951FAD" w:rsidP="00951FAD">
      <w:pPr>
        <w:pStyle w:val="Indent"/>
        <w:widowControl w:val="0"/>
        <w:numPr>
          <w:ilvl w:val="0"/>
          <w:numId w:val="0"/>
        </w:numPr>
        <w:spacing w:after="360" w:line="480" w:lineRule="auto"/>
        <w:ind w:left="709" w:hanging="709"/>
        <w:jc w:val="both"/>
        <w:rPr>
          <w:rFonts w:ascii="Verdana" w:hAnsi="Verdana"/>
          <w:i/>
          <w:iCs/>
          <w:color w:val="000000" w:themeColor="text1"/>
          <w:sz w:val="22"/>
          <w:szCs w:val="22"/>
          <w:lang w:val="en-GB"/>
        </w:rPr>
      </w:pPr>
      <w:r w:rsidRPr="00B92F1D">
        <w:rPr>
          <w:rFonts w:ascii="Verdana" w:hAnsi="Verdana"/>
          <w:iCs/>
          <w:color w:val="000000" w:themeColor="text1"/>
          <w:sz w:val="22"/>
          <w:szCs w:val="22"/>
          <w:lang w:val="en-GB"/>
        </w:rPr>
        <w:t>[54]</w:t>
      </w:r>
      <w:r w:rsidRPr="00B92F1D">
        <w:rPr>
          <w:rFonts w:ascii="Verdana" w:hAnsi="Verdana"/>
          <w:iCs/>
          <w:color w:val="000000" w:themeColor="text1"/>
          <w:sz w:val="22"/>
          <w:szCs w:val="22"/>
          <w:lang w:val="en-GB"/>
        </w:rPr>
        <w:tab/>
      </w:r>
      <w:r w:rsidR="005B0846" w:rsidRPr="00B92F1D">
        <w:rPr>
          <w:rFonts w:ascii="Verdana" w:hAnsi="Verdana"/>
          <w:color w:val="000000" w:themeColor="text1"/>
          <w:sz w:val="22"/>
          <w:szCs w:val="22"/>
          <w:lang w:val="en-GB"/>
        </w:rPr>
        <w:t>Moreover, reg</w:t>
      </w:r>
      <w:r w:rsidR="00A02755" w:rsidRPr="00B92F1D">
        <w:rPr>
          <w:rFonts w:ascii="Verdana" w:hAnsi="Verdana"/>
          <w:color w:val="000000" w:themeColor="text1"/>
          <w:sz w:val="22"/>
          <w:szCs w:val="22"/>
          <w:lang w:val="en-GB"/>
        </w:rPr>
        <w:t xml:space="preserve">istration does not prove ownership as suggested by the first respondent. </w:t>
      </w:r>
      <w:r w:rsidR="00A02755" w:rsidRPr="00B92F1D">
        <w:rPr>
          <w:rFonts w:ascii="Verdana" w:hAnsi="Verdana"/>
          <w:color w:val="000000" w:themeColor="text1"/>
          <w:sz w:val="22"/>
          <w:szCs w:val="22"/>
          <w:shd w:val="clear" w:color="auto" w:fill="FFFFFF"/>
        </w:rPr>
        <w:t xml:space="preserve">Here, the following two passages </w:t>
      </w:r>
      <w:proofErr w:type="gramStart"/>
      <w:r w:rsidR="00A02755" w:rsidRPr="00B92F1D">
        <w:rPr>
          <w:rFonts w:ascii="Verdana" w:hAnsi="Verdana"/>
          <w:color w:val="000000" w:themeColor="text1"/>
          <w:sz w:val="22"/>
          <w:szCs w:val="22"/>
          <w:shd w:val="clear" w:color="auto" w:fill="FFFFFF"/>
        </w:rPr>
        <w:t xml:space="preserve">from  </w:t>
      </w:r>
      <w:proofErr w:type="spellStart"/>
      <w:r w:rsidR="00A02755" w:rsidRPr="00B92F1D">
        <w:rPr>
          <w:rFonts w:ascii="Verdana" w:hAnsi="Verdana"/>
          <w:i/>
          <w:iCs/>
          <w:color w:val="000000" w:themeColor="text1"/>
          <w:sz w:val="22"/>
          <w:szCs w:val="22"/>
          <w:shd w:val="clear" w:color="auto" w:fill="FFFFFF"/>
        </w:rPr>
        <w:t>Meintjes</w:t>
      </w:r>
      <w:proofErr w:type="spellEnd"/>
      <w:proofErr w:type="gramEnd"/>
      <w:r w:rsidR="00A02755" w:rsidRPr="00B92F1D">
        <w:rPr>
          <w:rFonts w:ascii="Verdana" w:hAnsi="Verdana"/>
          <w:i/>
          <w:iCs/>
          <w:color w:val="000000" w:themeColor="text1"/>
          <w:sz w:val="22"/>
          <w:szCs w:val="22"/>
          <w:shd w:val="clear" w:color="auto" w:fill="FFFFFF"/>
        </w:rPr>
        <w:t xml:space="preserve"> NO v </w:t>
      </w:r>
      <w:proofErr w:type="spellStart"/>
      <w:r w:rsidR="00A02755" w:rsidRPr="00B92F1D">
        <w:rPr>
          <w:rFonts w:ascii="Verdana" w:hAnsi="Verdana"/>
          <w:i/>
          <w:iCs/>
          <w:color w:val="000000" w:themeColor="text1"/>
          <w:sz w:val="22"/>
          <w:szCs w:val="22"/>
          <w:shd w:val="clear" w:color="auto" w:fill="FFFFFF"/>
        </w:rPr>
        <w:t>Coetzer</w:t>
      </w:r>
      <w:proofErr w:type="spellEnd"/>
      <w:r w:rsidR="00A02755" w:rsidRPr="00B92F1D">
        <w:rPr>
          <w:rFonts w:ascii="Verdana" w:hAnsi="Verdana"/>
          <w:i/>
          <w:iCs/>
          <w:color w:val="000000" w:themeColor="text1"/>
          <w:sz w:val="22"/>
          <w:szCs w:val="22"/>
          <w:shd w:val="clear" w:color="auto" w:fill="FFFFFF"/>
        </w:rPr>
        <w:t xml:space="preserve"> and Others</w:t>
      </w:r>
      <w:r w:rsidR="00A02755" w:rsidRPr="00B92F1D">
        <w:rPr>
          <w:rStyle w:val="FootnoteReference"/>
          <w:rFonts w:ascii="Verdana" w:hAnsi="Verdana"/>
          <w:i/>
          <w:iCs/>
          <w:color w:val="000000" w:themeColor="text1"/>
          <w:sz w:val="22"/>
          <w:szCs w:val="22"/>
          <w:shd w:val="clear" w:color="auto" w:fill="FFFFFF"/>
        </w:rPr>
        <w:footnoteReference w:id="28"/>
      </w:r>
      <w:r w:rsidR="00A02755" w:rsidRPr="00B92F1D">
        <w:rPr>
          <w:rFonts w:ascii="Verdana" w:hAnsi="Verdana"/>
          <w:color w:val="000000" w:themeColor="text1"/>
          <w:sz w:val="22"/>
          <w:szCs w:val="22"/>
          <w:shd w:val="clear" w:color="auto" w:fill="FFFFFF"/>
        </w:rPr>
        <w:t xml:space="preserve"> are instructive:</w:t>
      </w:r>
    </w:p>
    <w:p w14:paraId="628165BD" w14:textId="77777777" w:rsidR="00A02755" w:rsidRPr="00B92F1D" w:rsidRDefault="00A02755" w:rsidP="00A02755">
      <w:pPr>
        <w:pStyle w:val="Indent"/>
        <w:numPr>
          <w:ilvl w:val="0"/>
          <w:numId w:val="0"/>
        </w:numPr>
        <w:spacing w:line="480" w:lineRule="auto"/>
        <w:ind w:left="1134" w:hanging="414"/>
        <w:jc w:val="both"/>
        <w:rPr>
          <w:rFonts w:ascii="Verdana" w:hAnsi="Verdana"/>
          <w:i/>
          <w:iCs/>
          <w:sz w:val="22"/>
          <w:szCs w:val="22"/>
        </w:rPr>
      </w:pPr>
      <w:r w:rsidRPr="00B92F1D">
        <w:rPr>
          <w:rFonts w:ascii="Verdana" w:hAnsi="Verdana"/>
          <w:i/>
          <w:iCs/>
          <w:sz w:val="22"/>
          <w:szCs w:val="22"/>
        </w:rPr>
        <w:t xml:space="preserve">“[9] As we know, real rights may be acquired by various modes that are not reflected in the deeds office, for example, by prescription, expropriation, etc. In such circumstances the owner can trump a bona fide possessor who had acquired the property from the person registered as owner in the deeds registry. Under the negative system of registration, which was adopted in South Africa from Roman-Dutch law, the registrar of deeds plays a rather passive role. Although he </w:t>
      </w:r>
      <w:r w:rsidRPr="00B92F1D">
        <w:rPr>
          <w:rFonts w:ascii="Verdana" w:hAnsi="Verdana"/>
          <w:i/>
          <w:iCs/>
          <w:sz w:val="22"/>
          <w:szCs w:val="22"/>
        </w:rPr>
        <w:lastRenderedPageBreak/>
        <w:t xml:space="preserve">examines every deed carefully before registering it, mistakes do happen. For example, where the signature of the transferor is forged, as is the case in the matter before us, the court will order rectification of the deeds registry in </w:t>
      </w:r>
      <w:proofErr w:type="spellStart"/>
      <w:r w:rsidRPr="00B92F1D">
        <w:rPr>
          <w:rFonts w:ascii="Verdana" w:hAnsi="Verdana"/>
          <w:i/>
          <w:iCs/>
          <w:sz w:val="22"/>
          <w:szCs w:val="22"/>
        </w:rPr>
        <w:t>favour</w:t>
      </w:r>
      <w:proofErr w:type="spellEnd"/>
      <w:r w:rsidRPr="00B92F1D">
        <w:rPr>
          <w:rFonts w:ascii="Verdana" w:hAnsi="Verdana"/>
          <w:i/>
          <w:iCs/>
          <w:sz w:val="22"/>
          <w:szCs w:val="22"/>
        </w:rPr>
        <w:t xml:space="preserve"> of the original owner. This will be so, even against the bona fide acquirer. In the present case, a fortiori, the first and second defendants are not bona fide acquirers, as they admittedly forged the deceased's signature. </w:t>
      </w:r>
      <w:proofErr w:type="gramStart"/>
      <w:r w:rsidRPr="00B92F1D">
        <w:rPr>
          <w:rFonts w:ascii="Verdana" w:hAnsi="Verdana"/>
          <w:i/>
          <w:iCs/>
          <w:sz w:val="22"/>
          <w:szCs w:val="22"/>
        </w:rPr>
        <w:t>(See also </w:t>
      </w:r>
      <w:proofErr w:type="spellStart"/>
      <w:r w:rsidRPr="00B92F1D">
        <w:rPr>
          <w:rFonts w:ascii="Verdana" w:hAnsi="Verdana"/>
          <w:i/>
          <w:iCs/>
          <w:sz w:val="22"/>
          <w:szCs w:val="22"/>
        </w:rPr>
        <w:t>Preller</w:t>
      </w:r>
      <w:proofErr w:type="spellEnd"/>
      <w:r w:rsidRPr="00B92F1D">
        <w:rPr>
          <w:rFonts w:ascii="Verdana" w:hAnsi="Verdana"/>
          <w:i/>
          <w:iCs/>
          <w:sz w:val="22"/>
          <w:szCs w:val="22"/>
        </w:rPr>
        <w:t xml:space="preserve"> and Others v </w:t>
      </w:r>
      <w:proofErr w:type="spellStart"/>
      <w:r w:rsidRPr="00B92F1D">
        <w:rPr>
          <w:rFonts w:ascii="Verdana" w:hAnsi="Verdana"/>
          <w:i/>
          <w:iCs/>
          <w:sz w:val="22"/>
          <w:szCs w:val="22"/>
        </w:rPr>
        <w:t>Jordaan</w:t>
      </w:r>
      <w:proofErr w:type="spellEnd"/>
      <w:r w:rsidRPr="00B92F1D">
        <w:rPr>
          <w:rFonts w:ascii="Verdana" w:hAnsi="Verdana"/>
          <w:i/>
          <w:iCs/>
          <w:sz w:val="22"/>
          <w:szCs w:val="22"/>
        </w:rPr>
        <w:t> </w:t>
      </w:r>
      <w:hyperlink r:id="rId10" w:history="1">
        <w:r w:rsidRPr="00B92F1D">
          <w:rPr>
            <w:rStyle w:val="Hyperlink"/>
            <w:rFonts w:ascii="Verdana" w:hAnsi="Verdana"/>
            <w:i/>
            <w:iCs/>
            <w:color w:val="000000" w:themeColor="text1"/>
            <w:sz w:val="22"/>
            <w:szCs w:val="22"/>
          </w:rPr>
          <w:t>1956 (1) SA 483 (A)</w:t>
        </w:r>
      </w:hyperlink>
      <w:r w:rsidRPr="00B92F1D">
        <w:rPr>
          <w:rFonts w:ascii="Verdana" w:hAnsi="Verdana"/>
          <w:i/>
          <w:iCs/>
          <w:color w:val="000000" w:themeColor="text1"/>
          <w:sz w:val="22"/>
          <w:szCs w:val="22"/>
        </w:rPr>
        <w:t> at 496.)</w:t>
      </w:r>
      <w:proofErr w:type="gramEnd"/>
      <w:r w:rsidRPr="00B92F1D">
        <w:rPr>
          <w:rFonts w:ascii="Verdana" w:hAnsi="Verdana"/>
          <w:i/>
          <w:iCs/>
          <w:color w:val="000000" w:themeColor="text1"/>
          <w:sz w:val="22"/>
          <w:szCs w:val="22"/>
        </w:rPr>
        <w:t xml:space="preserve"> </w:t>
      </w:r>
      <w:proofErr w:type="spellStart"/>
      <w:r w:rsidRPr="00B92F1D">
        <w:rPr>
          <w:rFonts w:ascii="Verdana" w:hAnsi="Verdana"/>
          <w:i/>
          <w:iCs/>
          <w:color w:val="000000" w:themeColor="text1"/>
          <w:sz w:val="22"/>
          <w:szCs w:val="22"/>
        </w:rPr>
        <w:t>Mr</w:t>
      </w:r>
      <w:proofErr w:type="spellEnd"/>
      <w:r w:rsidRPr="00B92F1D">
        <w:rPr>
          <w:rFonts w:ascii="Verdana" w:hAnsi="Verdana"/>
          <w:i/>
          <w:iCs/>
          <w:color w:val="000000" w:themeColor="text1"/>
          <w:sz w:val="22"/>
          <w:szCs w:val="22"/>
        </w:rPr>
        <w:t> </w:t>
      </w:r>
      <w:proofErr w:type="spellStart"/>
      <w:r w:rsidRPr="00B92F1D">
        <w:rPr>
          <w:rFonts w:ascii="Verdana" w:hAnsi="Verdana"/>
          <w:i/>
          <w:iCs/>
          <w:color w:val="000000" w:themeColor="text1"/>
          <w:sz w:val="22"/>
          <w:szCs w:val="22"/>
        </w:rPr>
        <w:t>Bergenthuin</w:t>
      </w:r>
      <w:proofErr w:type="spellEnd"/>
      <w:r w:rsidRPr="00B92F1D">
        <w:rPr>
          <w:rFonts w:ascii="Verdana" w:hAnsi="Verdana"/>
          <w:i/>
          <w:iCs/>
          <w:color w:val="000000" w:themeColor="text1"/>
          <w:sz w:val="22"/>
          <w:szCs w:val="22"/>
        </w:rPr>
        <w:t xml:space="preserve"> SC, for the plaintiff, referred to K</w:t>
      </w:r>
      <w:r w:rsidRPr="00B92F1D">
        <w:rPr>
          <w:rFonts w:ascii="Verdana" w:hAnsi="Verdana"/>
          <w:i/>
          <w:iCs/>
          <w:sz w:val="22"/>
          <w:szCs w:val="22"/>
        </w:rPr>
        <w:t>ristal v Rowell 1904 TH 66 at 71, where the power of attorney under which the mortgage was executed was</w:t>
      </w:r>
      <w:proofErr w:type="gramStart"/>
      <w:r w:rsidRPr="00B92F1D">
        <w:rPr>
          <w:rFonts w:ascii="Verdana" w:hAnsi="Verdana"/>
          <w:i/>
          <w:iCs/>
          <w:sz w:val="22"/>
          <w:szCs w:val="22"/>
        </w:rPr>
        <w:t>  forged</w:t>
      </w:r>
      <w:proofErr w:type="gramEnd"/>
      <w:r w:rsidRPr="00B92F1D">
        <w:rPr>
          <w:rFonts w:ascii="Verdana" w:hAnsi="Verdana"/>
          <w:i/>
          <w:iCs/>
          <w:sz w:val="22"/>
          <w:szCs w:val="22"/>
        </w:rPr>
        <w:t xml:space="preserve"> and it was held that the mortgage therefore conferred no right or title of any sort upon the acquirer, and that the original owner was entitled to have it cancelled.</w:t>
      </w:r>
    </w:p>
    <w:p w14:paraId="1928F2EE" w14:textId="77777777" w:rsidR="00A02755" w:rsidRPr="00B92F1D" w:rsidRDefault="00A02755" w:rsidP="00A02755">
      <w:pPr>
        <w:pStyle w:val="Indent"/>
        <w:numPr>
          <w:ilvl w:val="0"/>
          <w:numId w:val="0"/>
        </w:numPr>
        <w:spacing w:line="480" w:lineRule="auto"/>
        <w:ind w:left="720"/>
        <w:jc w:val="both"/>
        <w:rPr>
          <w:rFonts w:ascii="Verdana" w:hAnsi="Verdana"/>
          <w:i/>
          <w:iCs/>
          <w:sz w:val="22"/>
          <w:szCs w:val="22"/>
        </w:rPr>
      </w:pPr>
    </w:p>
    <w:p w14:paraId="52FC642F" w14:textId="77777777" w:rsidR="00A02755" w:rsidRPr="00B92F1D" w:rsidRDefault="00A02755" w:rsidP="00A02755">
      <w:pPr>
        <w:pStyle w:val="Indent"/>
        <w:numPr>
          <w:ilvl w:val="0"/>
          <w:numId w:val="0"/>
        </w:numPr>
        <w:spacing w:line="480" w:lineRule="auto"/>
        <w:ind w:left="1276" w:hanging="567"/>
        <w:jc w:val="both"/>
        <w:rPr>
          <w:rFonts w:ascii="Verdana" w:hAnsi="Verdana"/>
          <w:i/>
          <w:iCs/>
          <w:sz w:val="22"/>
          <w:szCs w:val="22"/>
          <w:shd w:val="clear" w:color="auto" w:fill="FFFFFF"/>
        </w:rPr>
      </w:pPr>
      <w:r w:rsidRPr="00B92F1D">
        <w:rPr>
          <w:rFonts w:ascii="Verdana" w:hAnsi="Verdana"/>
          <w:i/>
          <w:iCs/>
          <w:sz w:val="22"/>
          <w:szCs w:val="22"/>
          <w:shd w:val="clear" w:color="auto" w:fill="FFFFFF"/>
        </w:rPr>
        <w:t>[16] The first and second defendants bore the onus throughout to prove waiver or abandonment. The mere fact that the property is registered in the name of a person does not translate into ownership. Ownership may be acquired by prescription or by abandonment, even if the property is not registered in one's name.”</w:t>
      </w:r>
    </w:p>
    <w:p w14:paraId="48733C80" w14:textId="379C431B" w:rsidR="005B0846" w:rsidRPr="00B92F1D" w:rsidRDefault="005B0846" w:rsidP="00A02755">
      <w:pPr>
        <w:pStyle w:val="Indent"/>
        <w:widowControl w:val="0"/>
        <w:numPr>
          <w:ilvl w:val="0"/>
          <w:numId w:val="0"/>
        </w:numPr>
        <w:spacing w:after="360" w:line="480" w:lineRule="auto"/>
        <w:jc w:val="both"/>
        <w:rPr>
          <w:rFonts w:ascii="Verdana" w:hAnsi="Verdana"/>
          <w:color w:val="000000" w:themeColor="text1"/>
          <w:sz w:val="22"/>
          <w:szCs w:val="22"/>
          <w:lang w:val="en-GB"/>
        </w:rPr>
      </w:pPr>
    </w:p>
    <w:p w14:paraId="6B987FBC" w14:textId="31E5560B" w:rsidR="009860BB" w:rsidRPr="00B92F1D" w:rsidRDefault="00951FAD" w:rsidP="00951FAD">
      <w:pPr>
        <w:pStyle w:val="Indent"/>
        <w:widowControl w:val="0"/>
        <w:numPr>
          <w:ilvl w:val="0"/>
          <w:numId w:val="0"/>
        </w:numPr>
        <w:spacing w:after="360" w:line="480" w:lineRule="auto"/>
        <w:ind w:left="709" w:hanging="709"/>
        <w:jc w:val="both"/>
        <w:rPr>
          <w:rFonts w:ascii="Verdana" w:hAnsi="Verdana"/>
          <w:color w:val="000000" w:themeColor="text1"/>
          <w:sz w:val="22"/>
          <w:szCs w:val="22"/>
          <w:lang w:val="en-GB"/>
        </w:rPr>
      </w:pPr>
      <w:r w:rsidRPr="00B92F1D">
        <w:rPr>
          <w:rFonts w:ascii="Verdana" w:hAnsi="Verdana"/>
          <w:color w:val="000000" w:themeColor="text1"/>
          <w:sz w:val="22"/>
          <w:szCs w:val="22"/>
          <w:lang w:val="en-GB"/>
        </w:rPr>
        <w:t>[55]</w:t>
      </w:r>
      <w:r w:rsidRPr="00B92F1D">
        <w:rPr>
          <w:rFonts w:ascii="Verdana" w:hAnsi="Verdana"/>
          <w:color w:val="000000" w:themeColor="text1"/>
          <w:sz w:val="22"/>
          <w:szCs w:val="22"/>
          <w:lang w:val="en-GB"/>
        </w:rPr>
        <w:tab/>
      </w:r>
      <w:r w:rsidR="00213DEF" w:rsidRPr="00B92F1D">
        <w:rPr>
          <w:rFonts w:ascii="Verdana" w:hAnsi="Verdana"/>
          <w:color w:val="000000" w:themeColor="text1"/>
          <w:sz w:val="22"/>
          <w:szCs w:val="22"/>
          <w:lang w:eastAsia="en-ZA"/>
        </w:rPr>
        <w:t xml:space="preserve">Turning to the facts, </w:t>
      </w:r>
      <w:proofErr w:type="spellStart"/>
      <w:r w:rsidR="00213DEF" w:rsidRPr="00B92F1D">
        <w:rPr>
          <w:rFonts w:ascii="Verdana" w:hAnsi="Verdana"/>
          <w:color w:val="000000" w:themeColor="text1"/>
          <w:sz w:val="22"/>
          <w:szCs w:val="22"/>
          <w:lang w:eastAsia="en-ZA"/>
        </w:rPr>
        <w:t>Mota</w:t>
      </w:r>
      <w:proofErr w:type="spellEnd"/>
      <w:r w:rsidR="00213DEF" w:rsidRPr="00B92F1D">
        <w:rPr>
          <w:rFonts w:ascii="Verdana" w:hAnsi="Verdana"/>
          <w:color w:val="000000" w:themeColor="text1"/>
          <w:sz w:val="22"/>
          <w:szCs w:val="22"/>
          <w:lang w:eastAsia="en-ZA"/>
        </w:rPr>
        <w:t xml:space="preserve"> </w:t>
      </w:r>
      <w:r w:rsidR="00AC40FA" w:rsidRPr="00B92F1D">
        <w:rPr>
          <w:rFonts w:ascii="Verdana" w:hAnsi="Verdana"/>
          <w:color w:val="000000" w:themeColor="text1"/>
          <w:sz w:val="22"/>
          <w:szCs w:val="22"/>
          <w:lang w:eastAsia="en-ZA"/>
        </w:rPr>
        <w:t>despite the fact that he was aware that a valid sales transaction had been concluded between him and the deceased in 1988</w:t>
      </w:r>
      <w:r w:rsidR="00972688">
        <w:rPr>
          <w:rFonts w:ascii="Verdana" w:hAnsi="Verdana"/>
          <w:color w:val="000000" w:themeColor="text1"/>
          <w:sz w:val="22"/>
          <w:szCs w:val="22"/>
          <w:lang w:eastAsia="en-ZA"/>
        </w:rPr>
        <w:t xml:space="preserve"> (</w:t>
      </w:r>
      <w:proofErr w:type="gramStart"/>
      <w:r w:rsidR="00972688">
        <w:rPr>
          <w:rFonts w:ascii="Verdana" w:hAnsi="Verdana"/>
          <w:color w:val="000000" w:themeColor="text1"/>
          <w:sz w:val="22"/>
          <w:szCs w:val="22"/>
          <w:lang w:eastAsia="en-ZA"/>
        </w:rPr>
        <w:t>this his</w:t>
      </w:r>
      <w:proofErr w:type="gramEnd"/>
      <w:r w:rsidR="00972688">
        <w:rPr>
          <w:rFonts w:ascii="Verdana" w:hAnsi="Verdana"/>
          <w:color w:val="000000" w:themeColor="text1"/>
          <w:sz w:val="22"/>
          <w:szCs w:val="22"/>
          <w:lang w:eastAsia="en-ZA"/>
        </w:rPr>
        <w:t xml:space="preserve"> apparent from his affidavit)</w:t>
      </w:r>
      <w:r w:rsidR="00AC40FA" w:rsidRPr="00B92F1D">
        <w:rPr>
          <w:rFonts w:ascii="Verdana" w:hAnsi="Verdana"/>
          <w:color w:val="000000" w:themeColor="text1"/>
          <w:sz w:val="22"/>
          <w:szCs w:val="22"/>
          <w:lang w:eastAsia="en-ZA"/>
        </w:rPr>
        <w:t xml:space="preserve">, shifted the </w:t>
      </w:r>
      <w:r w:rsidR="00972688">
        <w:rPr>
          <w:rFonts w:ascii="Verdana" w:hAnsi="Verdana"/>
          <w:color w:val="000000" w:themeColor="text1"/>
          <w:sz w:val="22"/>
          <w:szCs w:val="22"/>
          <w:lang w:eastAsia="en-ZA"/>
        </w:rPr>
        <w:t xml:space="preserve">proverbial </w:t>
      </w:r>
      <w:r w:rsidR="00AC40FA" w:rsidRPr="00B92F1D">
        <w:rPr>
          <w:rFonts w:ascii="Verdana" w:hAnsi="Verdana"/>
          <w:color w:val="000000" w:themeColor="text1"/>
          <w:sz w:val="22"/>
          <w:szCs w:val="22"/>
          <w:lang w:eastAsia="en-ZA"/>
        </w:rPr>
        <w:t xml:space="preserve">goal posts and demanded more money after the purchase price of R 35 000.00 had </w:t>
      </w:r>
      <w:r w:rsidR="006D3B57" w:rsidRPr="00B92F1D">
        <w:rPr>
          <w:rFonts w:ascii="Verdana" w:hAnsi="Verdana"/>
          <w:color w:val="000000" w:themeColor="text1"/>
          <w:sz w:val="22"/>
          <w:szCs w:val="22"/>
          <w:lang w:eastAsia="en-ZA"/>
        </w:rPr>
        <w:t xml:space="preserve">already </w:t>
      </w:r>
      <w:r w:rsidR="00AC40FA" w:rsidRPr="00B92F1D">
        <w:rPr>
          <w:rFonts w:ascii="Verdana" w:hAnsi="Verdana"/>
          <w:color w:val="000000" w:themeColor="text1"/>
          <w:sz w:val="22"/>
          <w:szCs w:val="22"/>
          <w:lang w:eastAsia="en-ZA"/>
        </w:rPr>
        <w:t>been settle</w:t>
      </w:r>
      <w:r w:rsidR="006D3B57" w:rsidRPr="00B92F1D">
        <w:rPr>
          <w:rFonts w:ascii="Verdana" w:hAnsi="Verdana"/>
          <w:color w:val="000000" w:themeColor="text1"/>
          <w:sz w:val="22"/>
          <w:szCs w:val="22"/>
          <w:lang w:eastAsia="en-ZA"/>
        </w:rPr>
        <w:t>d</w:t>
      </w:r>
      <w:r w:rsidR="00AC40FA" w:rsidRPr="00B92F1D">
        <w:rPr>
          <w:rFonts w:ascii="Verdana" w:hAnsi="Verdana"/>
          <w:color w:val="000000" w:themeColor="text1"/>
          <w:sz w:val="22"/>
          <w:szCs w:val="22"/>
          <w:lang w:eastAsia="en-ZA"/>
        </w:rPr>
        <w:t xml:space="preserve"> in full.</w:t>
      </w:r>
      <w:r w:rsidR="006D3B57" w:rsidRPr="00B92F1D">
        <w:rPr>
          <w:rFonts w:ascii="Verdana" w:hAnsi="Verdana"/>
          <w:color w:val="000000" w:themeColor="text1"/>
          <w:sz w:val="22"/>
          <w:szCs w:val="22"/>
          <w:lang w:eastAsia="en-ZA"/>
        </w:rPr>
        <w:t xml:space="preserve"> </w:t>
      </w:r>
      <w:r w:rsidR="00DC32A5" w:rsidRPr="00B92F1D">
        <w:rPr>
          <w:rFonts w:ascii="Verdana" w:hAnsi="Verdana"/>
          <w:color w:val="000000" w:themeColor="text1"/>
          <w:sz w:val="22"/>
          <w:szCs w:val="22"/>
          <w:lang w:eastAsia="en-ZA"/>
        </w:rPr>
        <w:t xml:space="preserve">He was also prepared to enter into </w:t>
      </w:r>
      <w:r w:rsidR="00DC32A5" w:rsidRPr="00B92F1D">
        <w:rPr>
          <w:rFonts w:ascii="Verdana" w:hAnsi="Verdana"/>
          <w:color w:val="000000" w:themeColor="text1"/>
          <w:sz w:val="22"/>
          <w:szCs w:val="22"/>
          <w:lang w:eastAsia="en-ZA"/>
        </w:rPr>
        <w:lastRenderedPageBreak/>
        <w:t>another sales transaction</w:t>
      </w:r>
      <w:r w:rsidR="00110EFC" w:rsidRPr="00B92F1D">
        <w:rPr>
          <w:rFonts w:ascii="Verdana" w:hAnsi="Verdana"/>
          <w:color w:val="000000" w:themeColor="text1"/>
          <w:sz w:val="22"/>
          <w:szCs w:val="22"/>
          <w:lang w:eastAsia="en-ZA"/>
        </w:rPr>
        <w:t xml:space="preserve"> (despite the valid conclusion of the first one) with another party (the first respondent)</w:t>
      </w:r>
      <w:r w:rsidR="00DC32A5" w:rsidRPr="00B92F1D">
        <w:rPr>
          <w:rFonts w:ascii="Verdana" w:hAnsi="Verdana"/>
          <w:color w:val="000000" w:themeColor="text1"/>
          <w:sz w:val="22"/>
          <w:szCs w:val="22"/>
          <w:lang w:eastAsia="en-ZA"/>
        </w:rPr>
        <w:t xml:space="preserve"> in order to </w:t>
      </w:r>
      <w:r w:rsidR="00110EFC" w:rsidRPr="00B92F1D">
        <w:rPr>
          <w:rFonts w:ascii="Verdana" w:hAnsi="Verdana"/>
          <w:color w:val="000000" w:themeColor="text1"/>
          <w:sz w:val="22"/>
          <w:szCs w:val="22"/>
          <w:lang w:eastAsia="en-ZA"/>
        </w:rPr>
        <w:t>be paid more money for the property.</w:t>
      </w:r>
      <w:r w:rsidR="009162DF" w:rsidRPr="00B92F1D">
        <w:rPr>
          <w:rFonts w:ascii="Verdana" w:hAnsi="Verdana"/>
          <w:color w:val="000000" w:themeColor="text1"/>
          <w:sz w:val="22"/>
          <w:szCs w:val="22"/>
          <w:lang w:eastAsia="en-ZA"/>
        </w:rPr>
        <w:t xml:space="preserve"> The underlying transaction which led to the transfer of the property into the name of the first respondent and the deceased is therefore tainted in my view</w:t>
      </w:r>
      <w:r w:rsidR="00034AC0" w:rsidRPr="00B92F1D">
        <w:rPr>
          <w:rFonts w:ascii="Verdana" w:hAnsi="Verdana"/>
          <w:color w:val="000000" w:themeColor="text1"/>
          <w:sz w:val="22"/>
          <w:szCs w:val="22"/>
          <w:lang w:eastAsia="en-ZA"/>
        </w:rPr>
        <w:t xml:space="preserve"> which directly impacts on the validity of the </w:t>
      </w:r>
      <w:r w:rsidR="00130226" w:rsidRPr="00B92F1D">
        <w:rPr>
          <w:rFonts w:ascii="Verdana" w:hAnsi="Verdana"/>
          <w:color w:val="000000" w:themeColor="text1"/>
          <w:sz w:val="22"/>
          <w:szCs w:val="22"/>
          <w:lang w:eastAsia="en-ZA"/>
        </w:rPr>
        <w:t xml:space="preserve">registration of transfer. </w:t>
      </w:r>
    </w:p>
    <w:p w14:paraId="32E00F9C" w14:textId="3ACEFDA4" w:rsidR="007F60FC" w:rsidRPr="00396A60" w:rsidRDefault="00951FAD" w:rsidP="00951FAD">
      <w:pPr>
        <w:pStyle w:val="Indent"/>
        <w:widowControl w:val="0"/>
        <w:numPr>
          <w:ilvl w:val="0"/>
          <w:numId w:val="0"/>
        </w:numPr>
        <w:spacing w:after="360" w:line="480" w:lineRule="auto"/>
        <w:ind w:left="709" w:hanging="709"/>
        <w:jc w:val="both"/>
        <w:rPr>
          <w:rFonts w:ascii="Verdana" w:hAnsi="Verdana"/>
          <w:color w:val="000000" w:themeColor="text1"/>
          <w:sz w:val="22"/>
          <w:szCs w:val="22"/>
          <w:lang w:val="en-GB"/>
        </w:rPr>
      </w:pPr>
      <w:r w:rsidRPr="00396A60">
        <w:rPr>
          <w:rFonts w:ascii="Verdana" w:hAnsi="Verdana"/>
          <w:color w:val="000000" w:themeColor="text1"/>
          <w:sz w:val="22"/>
          <w:szCs w:val="22"/>
          <w:lang w:val="en-GB"/>
        </w:rPr>
        <w:t>[56]</w:t>
      </w:r>
      <w:r w:rsidRPr="00396A60">
        <w:rPr>
          <w:rFonts w:ascii="Verdana" w:hAnsi="Verdana"/>
          <w:color w:val="000000" w:themeColor="text1"/>
          <w:sz w:val="22"/>
          <w:szCs w:val="22"/>
          <w:lang w:val="en-GB"/>
        </w:rPr>
        <w:tab/>
      </w:r>
      <w:r w:rsidR="009860BB" w:rsidRPr="00B92F1D">
        <w:rPr>
          <w:rFonts w:ascii="Verdana" w:hAnsi="Verdana"/>
          <w:color w:val="000000" w:themeColor="text1"/>
          <w:sz w:val="22"/>
          <w:szCs w:val="22"/>
          <w:lang w:eastAsia="en-ZA"/>
        </w:rPr>
        <w:t xml:space="preserve">It </w:t>
      </w:r>
      <w:r w:rsidR="00130226" w:rsidRPr="00B92F1D">
        <w:rPr>
          <w:rFonts w:ascii="Verdana" w:hAnsi="Verdana"/>
          <w:color w:val="000000" w:themeColor="text1"/>
          <w:sz w:val="22"/>
          <w:szCs w:val="22"/>
          <w:lang w:eastAsia="en-ZA"/>
        </w:rPr>
        <w:t>is also telling that the first respondent has failed to produce a copy of the deed of sale purportedly concluded on the 22</w:t>
      </w:r>
      <w:r w:rsidR="00130226" w:rsidRPr="00B92F1D">
        <w:rPr>
          <w:rFonts w:ascii="Verdana" w:hAnsi="Verdana"/>
          <w:color w:val="000000" w:themeColor="text1"/>
          <w:sz w:val="22"/>
          <w:szCs w:val="22"/>
          <w:vertAlign w:val="superscript"/>
          <w:lang w:eastAsia="en-ZA"/>
        </w:rPr>
        <w:t>nd</w:t>
      </w:r>
      <w:r w:rsidR="00130226" w:rsidRPr="00B92F1D">
        <w:rPr>
          <w:rFonts w:ascii="Verdana" w:hAnsi="Verdana"/>
          <w:color w:val="000000" w:themeColor="text1"/>
          <w:sz w:val="22"/>
          <w:szCs w:val="22"/>
          <w:lang w:eastAsia="en-ZA"/>
        </w:rPr>
        <w:t xml:space="preserve"> of May 2014.</w:t>
      </w:r>
      <w:r w:rsidR="00073813" w:rsidRPr="00B92F1D">
        <w:rPr>
          <w:rFonts w:ascii="Verdana" w:hAnsi="Verdana"/>
          <w:color w:val="000000" w:themeColor="text1"/>
          <w:sz w:val="22"/>
          <w:szCs w:val="22"/>
          <w:lang w:eastAsia="en-ZA"/>
        </w:rPr>
        <w:t xml:space="preserve"> When the Court asked the first respondent’s counsel why this was not disclosed, it was argued that the applicant ought to have done so. I am not persuaded by this argument. The applicant has produced the deed of sale that she relies on. It was incumbent upon the first respondent to produce the deed of sale upon which her case </w:t>
      </w:r>
      <w:r w:rsidR="009860BB" w:rsidRPr="00B92F1D">
        <w:rPr>
          <w:rFonts w:ascii="Verdana" w:hAnsi="Verdana"/>
          <w:color w:val="000000" w:themeColor="text1"/>
          <w:sz w:val="22"/>
          <w:szCs w:val="22"/>
          <w:lang w:eastAsia="en-ZA"/>
        </w:rPr>
        <w:t>is</w:t>
      </w:r>
      <w:r w:rsidR="00073813" w:rsidRPr="00B92F1D">
        <w:rPr>
          <w:rFonts w:ascii="Verdana" w:hAnsi="Verdana"/>
          <w:color w:val="000000" w:themeColor="text1"/>
          <w:sz w:val="22"/>
          <w:szCs w:val="22"/>
          <w:lang w:eastAsia="en-ZA"/>
        </w:rPr>
        <w:t xml:space="preserve"> founded. Her failure to do so, </w:t>
      </w:r>
      <w:r w:rsidR="009860BB" w:rsidRPr="00B92F1D">
        <w:rPr>
          <w:rFonts w:ascii="Verdana" w:hAnsi="Verdana"/>
          <w:color w:val="000000" w:themeColor="text1"/>
          <w:sz w:val="22"/>
          <w:szCs w:val="22"/>
          <w:lang w:eastAsia="en-ZA"/>
        </w:rPr>
        <w:t xml:space="preserve">leads the Court </w:t>
      </w:r>
      <w:proofErr w:type="gramStart"/>
      <w:r w:rsidR="009860BB" w:rsidRPr="00B92F1D">
        <w:rPr>
          <w:rFonts w:ascii="Verdana" w:hAnsi="Verdana"/>
          <w:color w:val="000000" w:themeColor="text1"/>
          <w:sz w:val="22"/>
          <w:szCs w:val="22"/>
          <w:lang w:eastAsia="en-ZA"/>
        </w:rPr>
        <w:t xml:space="preserve">to </w:t>
      </w:r>
      <w:r w:rsidR="00465803" w:rsidRPr="00B92F1D">
        <w:rPr>
          <w:rFonts w:ascii="Verdana" w:hAnsi="Verdana"/>
          <w:color w:val="000000" w:themeColor="text1"/>
          <w:sz w:val="22"/>
          <w:szCs w:val="22"/>
          <w:lang w:eastAsia="en-ZA"/>
        </w:rPr>
        <w:t xml:space="preserve"> only</w:t>
      </w:r>
      <w:proofErr w:type="gramEnd"/>
      <w:r w:rsidR="00465803" w:rsidRPr="00B92F1D">
        <w:rPr>
          <w:rFonts w:ascii="Verdana" w:hAnsi="Verdana"/>
          <w:color w:val="000000" w:themeColor="text1"/>
          <w:sz w:val="22"/>
          <w:szCs w:val="22"/>
          <w:lang w:eastAsia="en-ZA"/>
        </w:rPr>
        <w:t xml:space="preserve"> </w:t>
      </w:r>
      <w:r w:rsidR="00F45C00">
        <w:rPr>
          <w:rFonts w:ascii="Verdana" w:hAnsi="Verdana"/>
          <w:color w:val="000000" w:themeColor="text1"/>
          <w:sz w:val="22"/>
          <w:szCs w:val="22"/>
          <w:lang w:eastAsia="en-ZA"/>
        </w:rPr>
        <w:t xml:space="preserve">one </w:t>
      </w:r>
      <w:r w:rsidR="00465803" w:rsidRPr="00B92F1D">
        <w:rPr>
          <w:rFonts w:ascii="Verdana" w:hAnsi="Verdana"/>
          <w:color w:val="000000" w:themeColor="text1"/>
          <w:sz w:val="22"/>
          <w:szCs w:val="22"/>
          <w:lang w:eastAsia="en-ZA"/>
        </w:rPr>
        <w:t xml:space="preserve">reasonable logical conclusion and that is that there was no </w:t>
      </w:r>
      <w:r w:rsidR="00396A60">
        <w:rPr>
          <w:rFonts w:ascii="Verdana" w:hAnsi="Verdana"/>
          <w:color w:val="000000" w:themeColor="text1"/>
          <w:sz w:val="22"/>
          <w:szCs w:val="22"/>
          <w:lang w:eastAsia="en-ZA"/>
        </w:rPr>
        <w:t xml:space="preserve">valid </w:t>
      </w:r>
      <w:r w:rsidR="00465803" w:rsidRPr="00B92F1D">
        <w:rPr>
          <w:rFonts w:ascii="Verdana" w:hAnsi="Verdana"/>
          <w:color w:val="000000" w:themeColor="text1"/>
          <w:sz w:val="22"/>
          <w:szCs w:val="22"/>
          <w:lang w:eastAsia="en-ZA"/>
        </w:rPr>
        <w:t>deed of sale</w:t>
      </w:r>
      <w:r w:rsidR="00C56AEC" w:rsidRPr="00B92F1D">
        <w:rPr>
          <w:rFonts w:ascii="Verdana" w:hAnsi="Verdana"/>
          <w:color w:val="000000" w:themeColor="text1"/>
          <w:sz w:val="22"/>
          <w:szCs w:val="22"/>
          <w:lang w:eastAsia="en-ZA"/>
        </w:rPr>
        <w:t xml:space="preserve"> to begin with.</w:t>
      </w:r>
    </w:p>
    <w:p w14:paraId="4A7606C3" w14:textId="34EB1D47" w:rsidR="00B72CA6" w:rsidRPr="00B92F1D" w:rsidRDefault="00951FAD" w:rsidP="00951FAD">
      <w:pPr>
        <w:pStyle w:val="Indent"/>
        <w:widowControl w:val="0"/>
        <w:numPr>
          <w:ilvl w:val="0"/>
          <w:numId w:val="0"/>
        </w:numPr>
        <w:spacing w:after="360" w:line="480" w:lineRule="auto"/>
        <w:ind w:left="709" w:hanging="709"/>
        <w:jc w:val="both"/>
        <w:rPr>
          <w:rFonts w:ascii="Verdana" w:hAnsi="Verdana"/>
          <w:i/>
          <w:iCs/>
          <w:color w:val="000000" w:themeColor="text1"/>
          <w:sz w:val="22"/>
          <w:szCs w:val="22"/>
          <w:lang w:val="en-GB"/>
        </w:rPr>
      </w:pPr>
      <w:r w:rsidRPr="00B92F1D">
        <w:rPr>
          <w:rFonts w:ascii="Verdana" w:hAnsi="Verdana"/>
          <w:iCs/>
          <w:color w:val="000000" w:themeColor="text1"/>
          <w:sz w:val="22"/>
          <w:szCs w:val="22"/>
          <w:lang w:val="en-GB"/>
        </w:rPr>
        <w:t>[57]</w:t>
      </w:r>
      <w:r w:rsidRPr="00B92F1D">
        <w:rPr>
          <w:rFonts w:ascii="Verdana" w:hAnsi="Verdana"/>
          <w:iCs/>
          <w:color w:val="000000" w:themeColor="text1"/>
          <w:sz w:val="22"/>
          <w:szCs w:val="22"/>
          <w:lang w:val="en-GB"/>
        </w:rPr>
        <w:tab/>
      </w:r>
      <w:r w:rsidR="00C56AEC" w:rsidRPr="00B92F1D">
        <w:rPr>
          <w:rFonts w:ascii="Verdana" w:hAnsi="Verdana"/>
          <w:color w:val="000000" w:themeColor="text1"/>
          <w:sz w:val="22"/>
          <w:szCs w:val="22"/>
          <w:lang w:val="en-GB"/>
        </w:rPr>
        <w:t xml:space="preserve">To the extent that the applicant was required to produce the second deed of sale, </w:t>
      </w:r>
      <w:r w:rsidR="00396A60">
        <w:rPr>
          <w:rFonts w:ascii="Verdana" w:hAnsi="Verdana"/>
          <w:color w:val="000000" w:themeColor="text1"/>
          <w:sz w:val="22"/>
          <w:szCs w:val="22"/>
          <w:lang w:val="en-GB"/>
        </w:rPr>
        <w:t xml:space="preserve">it is clear that she has taken all reasonable steps to place all relevant documentation before the Court. </w:t>
      </w:r>
      <w:r w:rsidR="00C56AEC" w:rsidRPr="00B92F1D">
        <w:rPr>
          <w:rFonts w:ascii="Verdana" w:hAnsi="Verdana"/>
          <w:color w:val="000000" w:themeColor="text1"/>
          <w:sz w:val="22"/>
          <w:szCs w:val="22"/>
          <w:lang w:val="en-GB"/>
        </w:rPr>
        <w:t xml:space="preserve"> </w:t>
      </w:r>
      <w:r w:rsidR="00396A60">
        <w:rPr>
          <w:rFonts w:ascii="Verdana" w:hAnsi="Verdana"/>
          <w:color w:val="000000" w:themeColor="text1"/>
          <w:sz w:val="22"/>
          <w:szCs w:val="22"/>
          <w:lang w:val="en-GB"/>
        </w:rPr>
        <w:t>A</w:t>
      </w:r>
      <w:r w:rsidR="00C56AEC" w:rsidRPr="00B92F1D">
        <w:rPr>
          <w:rFonts w:ascii="Verdana" w:hAnsi="Verdana"/>
          <w:color w:val="000000" w:themeColor="text1"/>
          <w:sz w:val="22"/>
          <w:szCs w:val="22"/>
          <w:lang w:val="en-GB"/>
        </w:rPr>
        <w:t xml:space="preserve">ll </w:t>
      </w:r>
      <w:r w:rsidR="005D707E" w:rsidRPr="00B92F1D">
        <w:rPr>
          <w:rFonts w:ascii="Verdana" w:hAnsi="Verdana"/>
          <w:color w:val="000000" w:themeColor="text1"/>
          <w:sz w:val="22"/>
          <w:szCs w:val="22"/>
          <w:lang w:val="en-GB"/>
        </w:rPr>
        <w:t>of the documents that she obtained from the deeds office were attached to the founding papers.</w:t>
      </w:r>
      <w:r w:rsidR="00657D71" w:rsidRPr="00B92F1D">
        <w:rPr>
          <w:rFonts w:ascii="Verdana" w:hAnsi="Verdana"/>
          <w:color w:val="000000" w:themeColor="text1"/>
          <w:sz w:val="22"/>
          <w:szCs w:val="22"/>
          <w:lang w:val="en-GB"/>
        </w:rPr>
        <w:t xml:space="preserve"> The</w:t>
      </w:r>
      <w:r w:rsidR="00803142" w:rsidRPr="00B92F1D">
        <w:rPr>
          <w:rFonts w:ascii="Verdana" w:hAnsi="Verdana"/>
          <w:color w:val="000000" w:themeColor="text1"/>
          <w:sz w:val="22"/>
          <w:szCs w:val="22"/>
          <w:lang w:val="en-GB"/>
        </w:rPr>
        <w:t xml:space="preserve"> documents as</w:t>
      </w:r>
      <w:r w:rsidR="00657D71" w:rsidRPr="00B92F1D">
        <w:rPr>
          <w:rFonts w:ascii="Verdana" w:hAnsi="Verdana"/>
          <w:color w:val="000000" w:themeColor="text1"/>
          <w:sz w:val="22"/>
          <w:szCs w:val="22"/>
          <w:lang w:val="en-GB"/>
        </w:rPr>
        <w:t xml:space="preserve"> is </w:t>
      </w:r>
      <w:proofErr w:type="spellStart"/>
      <w:r w:rsidR="00657D71" w:rsidRPr="00B92F1D">
        <w:rPr>
          <w:rFonts w:ascii="Verdana" w:hAnsi="Verdana"/>
          <w:color w:val="000000" w:themeColor="text1"/>
          <w:sz w:val="22"/>
          <w:szCs w:val="22"/>
          <w:lang w:val="en-GB"/>
        </w:rPr>
        <w:t>conveyancing</w:t>
      </w:r>
      <w:proofErr w:type="spellEnd"/>
      <w:r w:rsidR="00657D71" w:rsidRPr="00B92F1D">
        <w:rPr>
          <w:rFonts w:ascii="Verdana" w:hAnsi="Verdana"/>
          <w:color w:val="000000" w:themeColor="text1"/>
          <w:sz w:val="22"/>
          <w:szCs w:val="22"/>
          <w:lang w:val="en-GB"/>
        </w:rPr>
        <w:t xml:space="preserve"> </w:t>
      </w:r>
      <w:proofErr w:type="gramStart"/>
      <w:r w:rsidR="00657D71" w:rsidRPr="00B92F1D">
        <w:rPr>
          <w:rFonts w:ascii="Verdana" w:hAnsi="Verdana"/>
          <w:color w:val="000000" w:themeColor="text1"/>
          <w:sz w:val="22"/>
          <w:szCs w:val="22"/>
          <w:lang w:val="en-GB"/>
        </w:rPr>
        <w:t>practice,</w:t>
      </w:r>
      <w:proofErr w:type="gramEnd"/>
      <w:r w:rsidR="00657D71" w:rsidRPr="00B92F1D">
        <w:rPr>
          <w:rFonts w:ascii="Verdana" w:hAnsi="Verdana"/>
          <w:color w:val="000000" w:themeColor="text1"/>
          <w:sz w:val="22"/>
          <w:szCs w:val="22"/>
          <w:lang w:val="en-GB"/>
        </w:rPr>
        <w:t xml:space="preserve"> would </w:t>
      </w:r>
      <w:r w:rsidR="00803142" w:rsidRPr="00B92F1D">
        <w:rPr>
          <w:rFonts w:ascii="Verdana" w:hAnsi="Verdana"/>
          <w:color w:val="000000" w:themeColor="text1"/>
          <w:sz w:val="22"/>
          <w:szCs w:val="22"/>
          <w:lang w:val="en-GB"/>
        </w:rPr>
        <w:t xml:space="preserve">ordinarily not include </w:t>
      </w:r>
      <w:r w:rsidR="00657D71" w:rsidRPr="00B92F1D">
        <w:rPr>
          <w:rFonts w:ascii="Verdana" w:hAnsi="Verdana"/>
          <w:color w:val="000000" w:themeColor="text1"/>
          <w:sz w:val="22"/>
          <w:szCs w:val="22"/>
          <w:lang w:val="en-GB"/>
        </w:rPr>
        <w:t xml:space="preserve">a copy of the deed of sale.  Such document would </w:t>
      </w:r>
      <w:r w:rsidR="00803142" w:rsidRPr="00B92F1D">
        <w:rPr>
          <w:rFonts w:ascii="Verdana" w:hAnsi="Verdana"/>
          <w:color w:val="000000" w:themeColor="text1"/>
          <w:sz w:val="22"/>
          <w:szCs w:val="22"/>
          <w:lang w:val="en-GB"/>
        </w:rPr>
        <w:t xml:space="preserve">be </w:t>
      </w:r>
      <w:r w:rsidR="00657D71" w:rsidRPr="00B92F1D">
        <w:rPr>
          <w:rFonts w:ascii="Verdana" w:hAnsi="Verdana"/>
          <w:color w:val="000000" w:themeColor="text1"/>
          <w:sz w:val="22"/>
          <w:szCs w:val="22"/>
          <w:lang w:val="en-GB"/>
        </w:rPr>
        <w:t xml:space="preserve">kept </w:t>
      </w:r>
      <w:r w:rsidR="00602BC1" w:rsidRPr="00B92F1D">
        <w:rPr>
          <w:rFonts w:ascii="Verdana" w:hAnsi="Verdana"/>
          <w:color w:val="000000" w:themeColor="text1"/>
          <w:sz w:val="22"/>
          <w:szCs w:val="22"/>
          <w:lang w:val="en-GB"/>
        </w:rPr>
        <w:t xml:space="preserve">in the protocol of </w:t>
      </w:r>
      <w:r w:rsidR="00657D71" w:rsidRPr="00B92F1D">
        <w:rPr>
          <w:rFonts w:ascii="Verdana" w:hAnsi="Verdana"/>
          <w:color w:val="000000" w:themeColor="text1"/>
          <w:sz w:val="22"/>
          <w:szCs w:val="22"/>
          <w:lang w:val="en-GB"/>
        </w:rPr>
        <w:t xml:space="preserve">the </w:t>
      </w:r>
      <w:proofErr w:type="spellStart"/>
      <w:r w:rsidR="00657D71" w:rsidRPr="00B92F1D">
        <w:rPr>
          <w:rFonts w:ascii="Verdana" w:hAnsi="Verdana"/>
          <w:color w:val="000000" w:themeColor="text1"/>
          <w:sz w:val="22"/>
          <w:szCs w:val="22"/>
          <w:lang w:val="en-GB"/>
        </w:rPr>
        <w:t>conveyancer</w:t>
      </w:r>
      <w:proofErr w:type="spellEnd"/>
      <w:r w:rsidR="00657D71" w:rsidRPr="00B92F1D">
        <w:rPr>
          <w:rFonts w:ascii="Verdana" w:hAnsi="Verdana"/>
          <w:color w:val="000000" w:themeColor="text1"/>
          <w:sz w:val="22"/>
          <w:szCs w:val="22"/>
          <w:lang w:val="en-GB"/>
        </w:rPr>
        <w:t xml:space="preserve"> </w:t>
      </w:r>
      <w:r w:rsidR="00602BC1" w:rsidRPr="00B92F1D">
        <w:rPr>
          <w:rFonts w:ascii="Verdana" w:hAnsi="Verdana"/>
          <w:color w:val="000000" w:themeColor="text1"/>
          <w:sz w:val="22"/>
          <w:szCs w:val="22"/>
          <w:lang w:val="en-GB"/>
        </w:rPr>
        <w:t xml:space="preserve">who </w:t>
      </w:r>
      <w:r w:rsidR="00657D71" w:rsidRPr="00B92F1D">
        <w:rPr>
          <w:rFonts w:ascii="Verdana" w:hAnsi="Verdana"/>
          <w:color w:val="000000" w:themeColor="text1"/>
          <w:sz w:val="22"/>
          <w:szCs w:val="22"/>
          <w:lang w:val="en-GB"/>
        </w:rPr>
        <w:t>attend</w:t>
      </w:r>
      <w:r w:rsidR="00602BC1" w:rsidRPr="00B92F1D">
        <w:rPr>
          <w:rFonts w:ascii="Verdana" w:hAnsi="Verdana"/>
          <w:color w:val="000000" w:themeColor="text1"/>
          <w:sz w:val="22"/>
          <w:szCs w:val="22"/>
          <w:lang w:val="en-GB"/>
        </w:rPr>
        <w:t>ed</w:t>
      </w:r>
      <w:r w:rsidR="00657D71" w:rsidRPr="00B92F1D">
        <w:rPr>
          <w:rFonts w:ascii="Verdana" w:hAnsi="Verdana"/>
          <w:color w:val="000000" w:themeColor="text1"/>
          <w:sz w:val="22"/>
          <w:szCs w:val="22"/>
          <w:lang w:val="en-GB"/>
        </w:rPr>
        <w:t xml:space="preserve"> to the transfer of the property</w:t>
      </w:r>
      <w:r w:rsidR="00E3041F" w:rsidRPr="00B92F1D">
        <w:rPr>
          <w:rFonts w:ascii="Verdana" w:hAnsi="Verdana"/>
          <w:color w:val="000000" w:themeColor="text1"/>
          <w:sz w:val="22"/>
          <w:szCs w:val="22"/>
          <w:lang w:val="en-GB"/>
        </w:rPr>
        <w:t xml:space="preserve">.  </w:t>
      </w:r>
      <w:r w:rsidR="00602BC1" w:rsidRPr="00B92F1D">
        <w:rPr>
          <w:rFonts w:ascii="Verdana" w:hAnsi="Verdana"/>
          <w:color w:val="000000" w:themeColor="text1"/>
          <w:sz w:val="22"/>
          <w:szCs w:val="22"/>
          <w:lang w:val="en-GB"/>
        </w:rPr>
        <w:t>Moreover, being a party to the deed of sale itself, it is not unreasonable to expect the first respondent to have retained a copy upon sign</w:t>
      </w:r>
      <w:r w:rsidR="00D21AE2" w:rsidRPr="00B92F1D">
        <w:rPr>
          <w:rFonts w:ascii="Verdana" w:hAnsi="Verdana"/>
          <w:color w:val="000000" w:themeColor="text1"/>
          <w:sz w:val="22"/>
          <w:szCs w:val="22"/>
          <w:lang w:val="en-GB"/>
        </w:rPr>
        <w:t>ature</w:t>
      </w:r>
      <w:r w:rsidR="00602BC1" w:rsidRPr="00B92F1D">
        <w:rPr>
          <w:rFonts w:ascii="Verdana" w:hAnsi="Verdana"/>
          <w:color w:val="000000" w:themeColor="text1"/>
          <w:sz w:val="22"/>
          <w:szCs w:val="22"/>
          <w:lang w:val="en-GB"/>
        </w:rPr>
        <w:t xml:space="preserve"> or to have at least explained</w:t>
      </w:r>
      <w:r w:rsidR="00D21AE2" w:rsidRPr="00B92F1D">
        <w:rPr>
          <w:rFonts w:ascii="Verdana" w:hAnsi="Verdana"/>
          <w:color w:val="000000" w:themeColor="text1"/>
          <w:sz w:val="22"/>
          <w:szCs w:val="22"/>
          <w:lang w:val="en-GB"/>
        </w:rPr>
        <w:t xml:space="preserve"> to the Court</w:t>
      </w:r>
      <w:r w:rsidR="00602BC1" w:rsidRPr="00B92F1D">
        <w:rPr>
          <w:rFonts w:ascii="Verdana" w:hAnsi="Verdana"/>
          <w:color w:val="000000" w:themeColor="text1"/>
          <w:sz w:val="22"/>
          <w:szCs w:val="22"/>
          <w:lang w:val="en-GB"/>
        </w:rPr>
        <w:t xml:space="preserve"> why she did not have one and could not </w:t>
      </w:r>
      <w:r w:rsidR="00602BC1" w:rsidRPr="00B92F1D">
        <w:rPr>
          <w:rFonts w:ascii="Verdana" w:hAnsi="Verdana"/>
          <w:color w:val="000000" w:themeColor="text1"/>
          <w:sz w:val="22"/>
          <w:szCs w:val="22"/>
          <w:lang w:val="en-GB"/>
        </w:rPr>
        <w:lastRenderedPageBreak/>
        <w:t>obtain one.</w:t>
      </w:r>
    </w:p>
    <w:p w14:paraId="19390CC1" w14:textId="3490DFEC" w:rsidR="00396A60" w:rsidRPr="00396A60" w:rsidRDefault="00951FAD" w:rsidP="00951FAD">
      <w:pPr>
        <w:pStyle w:val="Indent"/>
        <w:widowControl w:val="0"/>
        <w:numPr>
          <w:ilvl w:val="0"/>
          <w:numId w:val="0"/>
        </w:numPr>
        <w:spacing w:after="360" w:line="480" w:lineRule="auto"/>
        <w:ind w:left="709" w:hanging="709"/>
        <w:jc w:val="both"/>
        <w:rPr>
          <w:rFonts w:ascii="Verdana" w:hAnsi="Verdana"/>
          <w:sz w:val="22"/>
          <w:szCs w:val="22"/>
          <w:lang w:val="en-GB"/>
        </w:rPr>
      </w:pPr>
      <w:r w:rsidRPr="00396A60">
        <w:rPr>
          <w:rFonts w:ascii="Verdana" w:hAnsi="Verdana"/>
          <w:sz w:val="22"/>
          <w:szCs w:val="22"/>
          <w:lang w:val="en-GB"/>
        </w:rPr>
        <w:t>[58]</w:t>
      </w:r>
      <w:r w:rsidRPr="00396A60">
        <w:rPr>
          <w:rFonts w:ascii="Verdana" w:hAnsi="Verdana"/>
          <w:sz w:val="22"/>
          <w:szCs w:val="22"/>
          <w:lang w:val="en-GB"/>
        </w:rPr>
        <w:tab/>
      </w:r>
      <w:r w:rsidR="00396A60">
        <w:rPr>
          <w:rFonts w:ascii="Verdana" w:hAnsi="Verdana"/>
          <w:sz w:val="22"/>
          <w:szCs w:val="22"/>
          <w:lang w:val="en-GB"/>
        </w:rPr>
        <w:t>The first respondent takes issue with the fact that the applicant cannot tell the Court with certainty whether the balance of the purchase price was paid pursuant to the 1988 deed of sale, and hence, so the first respondent argues, no valid deed of sale has come into being. This argument carries no weight. On</w:t>
      </w:r>
      <w:r w:rsidR="00396A60" w:rsidRPr="00B92F1D">
        <w:rPr>
          <w:rFonts w:ascii="Verdana" w:hAnsi="Verdana"/>
          <w:sz w:val="22"/>
          <w:szCs w:val="22"/>
          <w:lang w:val="en-GB"/>
        </w:rPr>
        <w:t xml:space="preserve"> the first respondent’s own version, when she moved in with the deceased he had informed her that the property belonged to him and that only an amount of R 5 000.00 was outstanding, which presupposes a prior sale of the property.  </w:t>
      </w:r>
      <w:r w:rsidR="00396A60">
        <w:rPr>
          <w:rFonts w:ascii="Verdana" w:hAnsi="Verdana"/>
          <w:sz w:val="22"/>
          <w:szCs w:val="22"/>
          <w:lang w:val="en-GB"/>
        </w:rPr>
        <w:t xml:space="preserve">Also, she stated that the remaining R 5 000.00 was paid, but that </w:t>
      </w:r>
      <w:proofErr w:type="spellStart"/>
      <w:r w:rsidR="00396A60">
        <w:rPr>
          <w:rFonts w:ascii="Verdana" w:hAnsi="Verdana"/>
          <w:sz w:val="22"/>
          <w:szCs w:val="22"/>
          <w:lang w:val="en-GB"/>
        </w:rPr>
        <w:t>Mota</w:t>
      </w:r>
      <w:proofErr w:type="spellEnd"/>
      <w:r w:rsidR="00396A60">
        <w:rPr>
          <w:rFonts w:ascii="Verdana" w:hAnsi="Verdana"/>
          <w:sz w:val="22"/>
          <w:szCs w:val="22"/>
          <w:lang w:val="en-GB"/>
        </w:rPr>
        <w:t xml:space="preserve"> wanted more. Therefore, on either </w:t>
      </w:r>
      <w:proofErr w:type="gramStart"/>
      <w:r w:rsidR="00396A60">
        <w:rPr>
          <w:rFonts w:ascii="Verdana" w:hAnsi="Verdana"/>
          <w:sz w:val="22"/>
          <w:szCs w:val="22"/>
          <w:lang w:val="en-GB"/>
        </w:rPr>
        <w:t>parties’</w:t>
      </w:r>
      <w:proofErr w:type="gramEnd"/>
      <w:r w:rsidR="00396A60">
        <w:rPr>
          <w:rFonts w:ascii="Verdana" w:hAnsi="Verdana"/>
          <w:sz w:val="22"/>
          <w:szCs w:val="22"/>
          <w:lang w:val="en-GB"/>
        </w:rPr>
        <w:t xml:space="preserve"> version a validly concluded 1988 deed of sale existed.</w:t>
      </w:r>
    </w:p>
    <w:p w14:paraId="41D51E02" w14:textId="4FDB8BD9" w:rsidR="001473A7" w:rsidRPr="00B92F1D" w:rsidRDefault="00951FAD" w:rsidP="00951FAD">
      <w:pPr>
        <w:pStyle w:val="Indent"/>
        <w:widowControl w:val="0"/>
        <w:numPr>
          <w:ilvl w:val="0"/>
          <w:numId w:val="0"/>
        </w:numPr>
        <w:spacing w:after="360" w:line="480" w:lineRule="auto"/>
        <w:ind w:left="709" w:hanging="709"/>
        <w:jc w:val="both"/>
        <w:rPr>
          <w:rFonts w:ascii="Verdana" w:hAnsi="Verdana"/>
          <w:color w:val="000000" w:themeColor="text1"/>
          <w:sz w:val="22"/>
          <w:szCs w:val="22"/>
          <w:lang w:val="en-GB"/>
        </w:rPr>
      </w:pPr>
      <w:r w:rsidRPr="00B92F1D">
        <w:rPr>
          <w:rFonts w:ascii="Verdana" w:hAnsi="Verdana"/>
          <w:color w:val="000000" w:themeColor="text1"/>
          <w:sz w:val="22"/>
          <w:szCs w:val="22"/>
          <w:lang w:val="en-GB"/>
        </w:rPr>
        <w:t>[59]</w:t>
      </w:r>
      <w:r w:rsidRPr="00B92F1D">
        <w:rPr>
          <w:rFonts w:ascii="Verdana" w:hAnsi="Verdana"/>
          <w:color w:val="000000" w:themeColor="text1"/>
          <w:sz w:val="22"/>
          <w:szCs w:val="22"/>
          <w:lang w:val="en-GB"/>
        </w:rPr>
        <w:tab/>
      </w:r>
      <w:r w:rsidR="00B72CA6" w:rsidRPr="00B92F1D">
        <w:rPr>
          <w:rFonts w:ascii="Verdana" w:hAnsi="Verdana"/>
          <w:sz w:val="22"/>
          <w:szCs w:val="22"/>
          <w:shd w:val="clear" w:color="auto" w:fill="FFFFFF"/>
        </w:rPr>
        <w:t>Motion proceedings, unless concerned with interim relief, are all about the resolution of legal issues based on common cause facts. Unless the circumstances are special they cannot be used to resolve factual issues because they are not designed to determine probabilities. It is well established under the </w:t>
      </w:r>
      <w:proofErr w:type="spellStart"/>
      <w:r w:rsidR="00B72CA6" w:rsidRPr="00B92F1D">
        <w:rPr>
          <w:rFonts w:ascii="Verdana" w:hAnsi="Verdana"/>
          <w:i/>
          <w:iCs/>
          <w:sz w:val="22"/>
          <w:szCs w:val="22"/>
          <w:shd w:val="clear" w:color="auto" w:fill="FFFFFF"/>
        </w:rPr>
        <w:t>Plascon</w:t>
      </w:r>
      <w:proofErr w:type="spellEnd"/>
      <w:r w:rsidR="00B72CA6" w:rsidRPr="00B92F1D">
        <w:rPr>
          <w:rFonts w:ascii="Verdana" w:hAnsi="Verdana"/>
          <w:i/>
          <w:iCs/>
          <w:sz w:val="22"/>
          <w:szCs w:val="22"/>
          <w:shd w:val="clear" w:color="auto" w:fill="FFFFFF"/>
        </w:rPr>
        <w:t>-Evans</w:t>
      </w:r>
      <w:r w:rsidR="00B72CA6" w:rsidRPr="00B92F1D">
        <w:rPr>
          <w:rFonts w:ascii="Verdana" w:hAnsi="Verdana"/>
          <w:sz w:val="22"/>
          <w:szCs w:val="22"/>
          <w:shd w:val="clear" w:color="auto" w:fill="FFFFFF"/>
        </w:rPr>
        <w:t> rule that where in motion proceedings disputes of fact arise on the affidavits, a final order can be granted only if the facts averred in the applicant's</w:t>
      </w:r>
      <w:r w:rsidR="000B45A5" w:rsidRPr="00B92F1D">
        <w:rPr>
          <w:rFonts w:ascii="Verdana" w:hAnsi="Verdana"/>
          <w:sz w:val="22"/>
          <w:szCs w:val="22"/>
          <w:shd w:val="clear" w:color="auto" w:fill="FFFFFF"/>
        </w:rPr>
        <w:t xml:space="preserve"> </w:t>
      </w:r>
      <w:r w:rsidR="00B72CA6" w:rsidRPr="00B92F1D">
        <w:rPr>
          <w:rFonts w:ascii="Verdana" w:hAnsi="Verdana"/>
          <w:sz w:val="22"/>
          <w:szCs w:val="22"/>
          <w:shd w:val="clear" w:color="auto" w:fill="FFFFFF"/>
        </w:rPr>
        <w:t xml:space="preserve">affidavits, which have been admitted by the respondent, together with the facts alleged by the latter, justify such order. It may be different if the respondent's version consists of bald or </w:t>
      </w:r>
      <w:proofErr w:type="spellStart"/>
      <w:r w:rsidR="00B72CA6" w:rsidRPr="00B92F1D">
        <w:rPr>
          <w:rFonts w:ascii="Verdana" w:hAnsi="Verdana"/>
          <w:sz w:val="22"/>
          <w:szCs w:val="22"/>
          <w:shd w:val="clear" w:color="auto" w:fill="FFFFFF"/>
        </w:rPr>
        <w:t>uncreditworthy</w:t>
      </w:r>
      <w:proofErr w:type="spellEnd"/>
      <w:r w:rsidR="00B72CA6" w:rsidRPr="00B92F1D">
        <w:rPr>
          <w:rFonts w:ascii="Verdana" w:hAnsi="Verdana"/>
          <w:sz w:val="22"/>
          <w:szCs w:val="22"/>
          <w:shd w:val="clear" w:color="auto" w:fill="FFFFFF"/>
        </w:rPr>
        <w:t xml:space="preserve"> denials, raises fictitious disputes of fact</w:t>
      </w:r>
      <w:r w:rsidR="006128A3" w:rsidRPr="00B92F1D">
        <w:rPr>
          <w:rStyle w:val="FootnoteReference"/>
          <w:rFonts w:ascii="Verdana" w:hAnsi="Verdana"/>
          <w:sz w:val="22"/>
          <w:szCs w:val="22"/>
          <w:shd w:val="clear" w:color="auto" w:fill="FFFFFF"/>
        </w:rPr>
        <w:footnoteReference w:id="29"/>
      </w:r>
      <w:r w:rsidR="00B72CA6" w:rsidRPr="00B92F1D">
        <w:rPr>
          <w:rFonts w:ascii="Verdana" w:hAnsi="Verdana"/>
          <w:sz w:val="22"/>
          <w:szCs w:val="22"/>
          <w:shd w:val="clear" w:color="auto" w:fill="FFFFFF"/>
        </w:rPr>
        <w:t xml:space="preserve">, is palpably implausible, far-fetched or so clearly untenable that the </w:t>
      </w:r>
      <w:r w:rsidR="00B72CA6" w:rsidRPr="00B92F1D">
        <w:rPr>
          <w:rFonts w:ascii="Verdana" w:hAnsi="Verdana"/>
          <w:sz w:val="22"/>
          <w:szCs w:val="22"/>
          <w:shd w:val="clear" w:color="auto" w:fill="FFFFFF"/>
        </w:rPr>
        <w:lastRenderedPageBreak/>
        <w:t>court is justified in rejecting them merely on the papers. </w:t>
      </w:r>
      <w:r w:rsidR="00831F39" w:rsidRPr="00B92F1D">
        <w:rPr>
          <w:rStyle w:val="FootnoteReference"/>
          <w:rFonts w:ascii="Verdana" w:hAnsi="Verdana"/>
          <w:color w:val="000000" w:themeColor="text1"/>
          <w:sz w:val="22"/>
          <w:szCs w:val="22"/>
          <w:shd w:val="clear" w:color="auto" w:fill="FFFFFF"/>
        </w:rPr>
        <w:footnoteReference w:id="30"/>
      </w:r>
      <w:r w:rsidR="004404A9" w:rsidRPr="00B92F1D">
        <w:rPr>
          <w:rFonts w:ascii="Verdana" w:hAnsi="Verdana"/>
          <w:color w:val="000000" w:themeColor="text1"/>
          <w:sz w:val="22"/>
          <w:szCs w:val="22"/>
          <w:shd w:val="clear" w:color="auto" w:fill="FFFFFF"/>
        </w:rPr>
        <w:t xml:space="preserve"> </w:t>
      </w:r>
    </w:p>
    <w:p w14:paraId="564B9617" w14:textId="2B03E7AC" w:rsidR="00396A60" w:rsidRPr="00396A60" w:rsidRDefault="00951FAD" w:rsidP="00951FAD">
      <w:pPr>
        <w:pStyle w:val="Indent"/>
        <w:widowControl w:val="0"/>
        <w:numPr>
          <w:ilvl w:val="0"/>
          <w:numId w:val="0"/>
        </w:numPr>
        <w:spacing w:after="360" w:line="480" w:lineRule="auto"/>
        <w:ind w:left="709" w:hanging="709"/>
        <w:jc w:val="both"/>
        <w:rPr>
          <w:rFonts w:ascii="Verdana" w:hAnsi="Verdana"/>
          <w:color w:val="000000" w:themeColor="text1"/>
          <w:sz w:val="22"/>
          <w:szCs w:val="22"/>
          <w:lang w:val="en-GB"/>
        </w:rPr>
      </w:pPr>
      <w:r w:rsidRPr="00396A60">
        <w:rPr>
          <w:rFonts w:ascii="Verdana" w:hAnsi="Verdana"/>
          <w:color w:val="000000" w:themeColor="text1"/>
          <w:sz w:val="22"/>
          <w:szCs w:val="22"/>
          <w:lang w:val="en-GB"/>
        </w:rPr>
        <w:t>[60]</w:t>
      </w:r>
      <w:r w:rsidRPr="00396A60">
        <w:rPr>
          <w:rFonts w:ascii="Verdana" w:hAnsi="Verdana"/>
          <w:color w:val="000000" w:themeColor="text1"/>
          <w:sz w:val="22"/>
          <w:szCs w:val="22"/>
          <w:lang w:val="en-GB"/>
        </w:rPr>
        <w:tab/>
      </w:r>
      <w:r w:rsidR="00396A60">
        <w:rPr>
          <w:rFonts w:ascii="Verdana" w:hAnsi="Verdana"/>
          <w:color w:val="000000" w:themeColor="text1"/>
          <w:sz w:val="22"/>
          <w:szCs w:val="22"/>
          <w:lang w:val="en-GB"/>
        </w:rPr>
        <w:t xml:space="preserve">The first respondent’s affidavit is riddled with bold an unsubstantiated allegations. The answering affidavit shirked critical </w:t>
      </w:r>
      <w:r w:rsidR="00A620BB">
        <w:rPr>
          <w:rFonts w:ascii="Verdana" w:hAnsi="Verdana"/>
          <w:color w:val="000000" w:themeColor="text1"/>
          <w:sz w:val="22"/>
          <w:szCs w:val="22"/>
          <w:lang w:val="en-GB"/>
        </w:rPr>
        <w:t>issues raised by the founding papers as already pointed out.</w:t>
      </w:r>
    </w:p>
    <w:p w14:paraId="23E68816" w14:textId="34974A23" w:rsidR="00343220" w:rsidRPr="00B92F1D" w:rsidRDefault="00951FAD" w:rsidP="00951FAD">
      <w:pPr>
        <w:pStyle w:val="Indent"/>
        <w:widowControl w:val="0"/>
        <w:numPr>
          <w:ilvl w:val="0"/>
          <w:numId w:val="0"/>
        </w:numPr>
        <w:spacing w:after="360" w:line="480" w:lineRule="auto"/>
        <w:ind w:left="709" w:hanging="709"/>
        <w:jc w:val="both"/>
        <w:rPr>
          <w:rFonts w:ascii="Verdana" w:hAnsi="Verdana"/>
          <w:color w:val="000000" w:themeColor="text1"/>
          <w:sz w:val="22"/>
          <w:szCs w:val="22"/>
          <w:lang w:val="en-GB"/>
        </w:rPr>
      </w:pPr>
      <w:r w:rsidRPr="00B92F1D">
        <w:rPr>
          <w:rFonts w:ascii="Verdana" w:hAnsi="Verdana"/>
          <w:color w:val="000000" w:themeColor="text1"/>
          <w:sz w:val="22"/>
          <w:szCs w:val="22"/>
          <w:lang w:val="en-GB"/>
        </w:rPr>
        <w:t>[61]</w:t>
      </w:r>
      <w:r w:rsidRPr="00B92F1D">
        <w:rPr>
          <w:rFonts w:ascii="Verdana" w:hAnsi="Verdana"/>
          <w:color w:val="000000" w:themeColor="text1"/>
          <w:sz w:val="22"/>
          <w:szCs w:val="22"/>
          <w:lang w:val="en-GB"/>
        </w:rPr>
        <w:tab/>
      </w:r>
      <w:r w:rsidR="001473A7" w:rsidRPr="00B92F1D">
        <w:rPr>
          <w:rFonts w:ascii="Verdana" w:hAnsi="Verdana"/>
          <w:sz w:val="22"/>
          <w:szCs w:val="22"/>
          <w:lang w:eastAsia="en-ZA"/>
        </w:rPr>
        <w:t>The </w:t>
      </w:r>
      <w:proofErr w:type="spellStart"/>
      <w:r w:rsidR="001473A7" w:rsidRPr="00B92F1D">
        <w:rPr>
          <w:rFonts w:ascii="Verdana" w:hAnsi="Verdana"/>
          <w:i/>
          <w:iCs/>
          <w:sz w:val="22"/>
          <w:szCs w:val="22"/>
          <w:lang w:eastAsia="en-ZA"/>
        </w:rPr>
        <w:t>Plascon</w:t>
      </w:r>
      <w:proofErr w:type="spellEnd"/>
      <w:r w:rsidR="001473A7" w:rsidRPr="00B92F1D">
        <w:rPr>
          <w:rFonts w:ascii="Verdana" w:hAnsi="Verdana"/>
          <w:i/>
          <w:iCs/>
          <w:sz w:val="22"/>
          <w:szCs w:val="22"/>
          <w:lang w:eastAsia="en-ZA"/>
        </w:rPr>
        <w:t>-Evans </w:t>
      </w:r>
      <w:r w:rsidR="001473A7" w:rsidRPr="00B92F1D">
        <w:rPr>
          <w:rFonts w:ascii="Verdana" w:hAnsi="Verdana"/>
          <w:sz w:val="22"/>
          <w:szCs w:val="22"/>
          <w:lang w:eastAsia="en-ZA"/>
        </w:rPr>
        <w:t>rule is not affected by the fact that the onus relating to the disputed fact</w:t>
      </w:r>
      <w:r w:rsidR="00A620BB">
        <w:rPr>
          <w:rFonts w:ascii="Verdana" w:hAnsi="Verdana"/>
          <w:sz w:val="22"/>
          <w:szCs w:val="22"/>
          <w:lang w:eastAsia="en-ZA"/>
        </w:rPr>
        <w:t>s</w:t>
      </w:r>
      <w:r w:rsidR="001473A7" w:rsidRPr="00B92F1D">
        <w:rPr>
          <w:rFonts w:ascii="Verdana" w:hAnsi="Verdana"/>
          <w:sz w:val="22"/>
          <w:szCs w:val="22"/>
          <w:lang w:eastAsia="en-ZA"/>
        </w:rPr>
        <w:t xml:space="preserve"> is on the first </w:t>
      </w:r>
      <w:r w:rsidR="00B6251F" w:rsidRPr="00B92F1D">
        <w:rPr>
          <w:rFonts w:ascii="Verdana" w:hAnsi="Verdana"/>
          <w:sz w:val="22"/>
          <w:szCs w:val="22"/>
          <w:lang w:eastAsia="en-ZA"/>
        </w:rPr>
        <w:t>r</w:t>
      </w:r>
      <w:r w:rsidR="001473A7" w:rsidRPr="00B92F1D">
        <w:rPr>
          <w:rFonts w:ascii="Verdana" w:hAnsi="Verdana"/>
          <w:sz w:val="22"/>
          <w:szCs w:val="22"/>
          <w:lang w:eastAsia="en-ZA"/>
        </w:rPr>
        <w:t>espondent</w:t>
      </w:r>
      <w:r w:rsidR="00B6251F" w:rsidRPr="00B92F1D">
        <w:rPr>
          <w:rFonts w:ascii="Verdana" w:hAnsi="Verdana"/>
          <w:sz w:val="22"/>
          <w:szCs w:val="22"/>
          <w:lang w:eastAsia="en-ZA"/>
        </w:rPr>
        <w:t>.</w:t>
      </w:r>
      <w:r w:rsidR="001473A7" w:rsidRPr="00B92F1D">
        <w:rPr>
          <w:rFonts w:ascii="Verdana" w:hAnsi="Verdana"/>
          <w:sz w:val="22"/>
          <w:szCs w:val="22"/>
          <w:lang w:eastAsia="en-ZA"/>
        </w:rPr>
        <w:t xml:space="preserve"> </w:t>
      </w:r>
      <w:r w:rsidR="00B6251F" w:rsidRPr="00B92F1D">
        <w:rPr>
          <w:rFonts w:ascii="Verdana" w:hAnsi="Verdana"/>
          <w:sz w:val="22"/>
          <w:szCs w:val="22"/>
          <w:lang w:eastAsia="en-ZA"/>
        </w:rPr>
        <w:t>On the facts, the first respondent has failed to discharge this onus.</w:t>
      </w:r>
    </w:p>
    <w:p w14:paraId="57893D42" w14:textId="7F57D836" w:rsidR="00430605" w:rsidRPr="00B92F1D" w:rsidRDefault="00430605" w:rsidP="00430605">
      <w:pPr>
        <w:pStyle w:val="Indent"/>
        <w:widowControl w:val="0"/>
        <w:numPr>
          <w:ilvl w:val="0"/>
          <w:numId w:val="0"/>
        </w:numPr>
        <w:spacing w:after="360" w:line="480" w:lineRule="auto"/>
        <w:jc w:val="both"/>
        <w:rPr>
          <w:rFonts w:ascii="Verdana" w:hAnsi="Verdana"/>
          <w:b/>
          <w:bCs/>
          <w:color w:val="000000" w:themeColor="text1"/>
          <w:sz w:val="22"/>
          <w:szCs w:val="22"/>
          <w:lang w:val="en-GB"/>
        </w:rPr>
      </w:pPr>
      <w:r w:rsidRPr="00B92F1D">
        <w:rPr>
          <w:rFonts w:ascii="Verdana" w:hAnsi="Verdana"/>
          <w:b/>
          <w:bCs/>
          <w:sz w:val="22"/>
          <w:szCs w:val="22"/>
          <w:lang w:eastAsia="en-ZA"/>
        </w:rPr>
        <w:t>THE REGISTRAR OF DEEDS</w:t>
      </w:r>
    </w:p>
    <w:p w14:paraId="63666EBD" w14:textId="26CD7F3F" w:rsidR="00430605" w:rsidRPr="00B92F1D" w:rsidRDefault="00951FAD" w:rsidP="00951FAD">
      <w:pPr>
        <w:pStyle w:val="Indent"/>
        <w:widowControl w:val="0"/>
        <w:numPr>
          <w:ilvl w:val="0"/>
          <w:numId w:val="0"/>
        </w:numPr>
        <w:spacing w:after="360" w:line="480" w:lineRule="auto"/>
        <w:ind w:left="709" w:hanging="709"/>
        <w:jc w:val="both"/>
        <w:rPr>
          <w:rFonts w:ascii="Verdana" w:hAnsi="Verdana"/>
          <w:color w:val="000000" w:themeColor="text1"/>
          <w:sz w:val="22"/>
          <w:szCs w:val="22"/>
          <w:lang w:val="en-GB"/>
        </w:rPr>
      </w:pPr>
      <w:r w:rsidRPr="00B92F1D">
        <w:rPr>
          <w:rFonts w:ascii="Verdana" w:hAnsi="Verdana"/>
          <w:color w:val="000000" w:themeColor="text1"/>
          <w:sz w:val="22"/>
          <w:szCs w:val="22"/>
          <w:lang w:val="en-GB"/>
        </w:rPr>
        <w:t>[62]</w:t>
      </w:r>
      <w:r w:rsidRPr="00B92F1D">
        <w:rPr>
          <w:rFonts w:ascii="Verdana" w:hAnsi="Verdana"/>
          <w:color w:val="000000" w:themeColor="text1"/>
          <w:sz w:val="22"/>
          <w:szCs w:val="22"/>
          <w:lang w:val="en-GB"/>
        </w:rPr>
        <w:tab/>
      </w:r>
      <w:r w:rsidR="005B7A9C" w:rsidRPr="00B92F1D">
        <w:rPr>
          <w:rFonts w:ascii="Verdana" w:hAnsi="Verdana"/>
          <w:color w:val="000000" w:themeColor="text1"/>
          <w:sz w:val="22"/>
          <w:szCs w:val="22"/>
          <w:lang w:val="en-GB"/>
        </w:rPr>
        <w:t>During the hearing I question</w:t>
      </w:r>
      <w:r w:rsidR="00906940" w:rsidRPr="00B92F1D">
        <w:rPr>
          <w:rFonts w:ascii="Verdana" w:hAnsi="Verdana"/>
          <w:color w:val="000000" w:themeColor="text1"/>
          <w:sz w:val="22"/>
          <w:szCs w:val="22"/>
          <w:lang w:val="en-GB"/>
        </w:rPr>
        <w:t>ed</w:t>
      </w:r>
      <w:r w:rsidR="005B7A9C" w:rsidRPr="00B92F1D">
        <w:rPr>
          <w:rFonts w:ascii="Verdana" w:hAnsi="Verdana"/>
          <w:color w:val="000000" w:themeColor="text1"/>
          <w:sz w:val="22"/>
          <w:szCs w:val="22"/>
          <w:lang w:val="en-GB"/>
        </w:rPr>
        <w:t xml:space="preserve"> Mr </w:t>
      </w:r>
      <w:proofErr w:type="spellStart"/>
      <w:r w:rsidR="005B7A9C" w:rsidRPr="00B92F1D">
        <w:rPr>
          <w:rFonts w:ascii="Verdana" w:hAnsi="Verdana"/>
          <w:color w:val="000000" w:themeColor="text1"/>
          <w:sz w:val="22"/>
          <w:szCs w:val="22"/>
          <w:lang w:val="en-GB"/>
        </w:rPr>
        <w:t>Mashaba</w:t>
      </w:r>
      <w:proofErr w:type="spellEnd"/>
      <w:r w:rsidR="005B7A9C" w:rsidRPr="00B92F1D">
        <w:rPr>
          <w:rFonts w:ascii="Verdana" w:hAnsi="Verdana"/>
          <w:color w:val="000000" w:themeColor="text1"/>
          <w:sz w:val="22"/>
          <w:szCs w:val="22"/>
          <w:lang w:val="en-GB"/>
        </w:rPr>
        <w:t xml:space="preserve"> for the applicant on the necessity for a report from the Registrar of Deeds. </w:t>
      </w:r>
      <w:r w:rsidR="00590CAA" w:rsidRPr="00B92F1D">
        <w:rPr>
          <w:rFonts w:ascii="Verdana" w:hAnsi="Verdana"/>
          <w:color w:val="000000" w:themeColor="text1"/>
          <w:sz w:val="22"/>
          <w:szCs w:val="22"/>
          <w:lang w:val="en-GB"/>
        </w:rPr>
        <w:t xml:space="preserve">Mr </w:t>
      </w:r>
      <w:proofErr w:type="spellStart"/>
      <w:r w:rsidR="00590CAA" w:rsidRPr="00B92F1D">
        <w:rPr>
          <w:rFonts w:ascii="Verdana" w:hAnsi="Verdana"/>
          <w:color w:val="000000" w:themeColor="text1"/>
          <w:sz w:val="22"/>
          <w:szCs w:val="22"/>
          <w:lang w:val="en-GB"/>
        </w:rPr>
        <w:t>Mashaba</w:t>
      </w:r>
      <w:proofErr w:type="spellEnd"/>
      <w:r w:rsidR="00590CAA" w:rsidRPr="00B92F1D">
        <w:rPr>
          <w:rFonts w:ascii="Verdana" w:hAnsi="Verdana"/>
          <w:color w:val="000000" w:themeColor="text1"/>
          <w:sz w:val="22"/>
          <w:szCs w:val="22"/>
          <w:lang w:val="en-GB"/>
        </w:rPr>
        <w:t xml:space="preserve"> submitted that it was not necessary and that the Registrar was given notice of the application and therefore could have done </w:t>
      </w:r>
      <w:r w:rsidR="00906940" w:rsidRPr="00B92F1D">
        <w:rPr>
          <w:rFonts w:ascii="Verdana" w:hAnsi="Verdana"/>
          <w:color w:val="000000" w:themeColor="text1"/>
          <w:sz w:val="22"/>
          <w:szCs w:val="22"/>
          <w:lang w:val="en-GB"/>
        </w:rPr>
        <w:t>so if it wished.</w:t>
      </w:r>
    </w:p>
    <w:p w14:paraId="6FCDC756" w14:textId="609A9EDD" w:rsidR="005D5581" w:rsidRPr="00B92F1D" w:rsidRDefault="00951FAD" w:rsidP="00951FAD">
      <w:pPr>
        <w:pStyle w:val="Indent"/>
        <w:widowControl w:val="0"/>
        <w:numPr>
          <w:ilvl w:val="0"/>
          <w:numId w:val="0"/>
        </w:numPr>
        <w:spacing w:after="360" w:line="480" w:lineRule="auto"/>
        <w:ind w:left="709" w:hanging="709"/>
        <w:jc w:val="both"/>
        <w:rPr>
          <w:rFonts w:ascii="Verdana" w:hAnsi="Verdana"/>
          <w:color w:val="000000" w:themeColor="text1"/>
          <w:sz w:val="22"/>
          <w:szCs w:val="22"/>
          <w:lang w:val="en-GB"/>
        </w:rPr>
      </w:pPr>
      <w:r w:rsidRPr="00B92F1D">
        <w:rPr>
          <w:rFonts w:ascii="Verdana" w:hAnsi="Verdana"/>
          <w:color w:val="000000" w:themeColor="text1"/>
          <w:sz w:val="22"/>
          <w:szCs w:val="22"/>
          <w:lang w:val="en-GB"/>
        </w:rPr>
        <w:t>[63]</w:t>
      </w:r>
      <w:r w:rsidRPr="00B92F1D">
        <w:rPr>
          <w:rFonts w:ascii="Verdana" w:hAnsi="Verdana"/>
          <w:color w:val="000000" w:themeColor="text1"/>
          <w:sz w:val="22"/>
          <w:szCs w:val="22"/>
          <w:lang w:val="en-GB"/>
        </w:rPr>
        <w:tab/>
      </w:r>
      <w:r w:rsidR="00970EE5" w:rsidRPr="00B92F1D">
        <w:rPr>
          <w:rFonts w:ascii="Verdana" w:hAnsi="Verdana" w:cs="Arial"/>
          <w:color w:val="282828"/>
          <w:sz w:val="22"/>
          <w:szCs w:val="22"/>
          <w:lang w:eastAsia="en-ZA"/>
        </w:rPr>
        <w:t xml:space="preserve">Section 97 of the Deeds Registries Act, </w:t>
      </w:r>
      <w:r w:rsidR="00B92F1D" w:rsidRPr="00B92F1D">
        <w:rPr>
          <w:rFonts w:ascii="Verdana" w:hAnsi="Verdana" w:cs="Arial"/>
          <w:color w:val="282828"/>
          <w:sz w:val="22"/>
          <w:szCs w:val="22"/>
          <w:lang w:eastAsia="en-ZA"/>
        </w:rPr>
        <w:t>47</w:t>
      </w:r>
      <w:r w:rsidR="005D5581" w:rsidRPr="00B92F1D">
        <w:rPr>
          <w:rFonts w:ascii="Verdana" w:hAnsi="Verdana" w:cs="Arial"/>
          <w:color w:val="282828"/>
          <w:sz w:val="22"/>
          <w:szCs w:val="22"/>
          <w:lang w:eastAsia="en-ZA"/>
        </w:rPr>
        <w:t xml:space="preserve"> of </w:t>
      </w:r>
      <w:r w:rsidR="00B92F1D" w:rsidRPr="00B92F1D">
        <w:rPr>
          <w:rFonts w:ascii="Verdana" w:hAnsi="Verdana" w:cs="Arial"/>
          <w:color w:val="282828"/>
          <w:sz w:val="22"/>
          <w:szCs w:val="22"/>
          <w:lang w:eastAsia="en-ZA"/>
        </w:rPr>
        <w:t>1937</w:t>
      </w:r>
      <w:r w:rsidR="005D5581" w:rsidRPr="00B92F1D">
        <w:rPr>
          <w:rFonts w:ascii="Verdana" w:hAnsi="Verdana" w:cs="Arial"/>
          <w:color w:val="282828"/>
          <w:sz w:val="22"/>
          <w:szCs w:val="22"/>
          <w:lang w:eastAsia="en-ZA"/>
        </w:rPr>
        <w:t xml:space="preserve"> provides as follows:</w:t>
      </w:r>
    </w:p>
    <w:p w14:paraId="05F79890" w14:textId="4F71E2B4" w:rsidR="00DD03E4" w:rsidRPr="00A620BB" w:rsidRDefault="005D5581" w:rsidP="00DD03E4">
      <w:pPr>
        <w:pStyle w:val="Indent"/>
        <w:widowControl w:val="0"/>
        <w:numPr>
          <w:ilvl w:val="0"/>
          <w:numId w:val="0"/>
        </w:numPr>
        <w:spacing w:after="360" w:line="480" w:lineRule="auto"/>
        <w:ind w:left="709"/>
        <w:jc w:val="both"/>
        <w:rPr>
          <w:rFonts w:ascii="Verdana" w:hAnsi="Verdana"/>
          <w:sz w:val="22"/>
          <w:szCs w:val="22"/>
          <w:lang w:eastAsia="en-ZA"/>
        </w:rPr>
      </w:pPr>
      <w:r w:rsidRPr="00B92F1D">
        <w:rPr>
          <w:rFonts w:ascii="Verdana" w:hAnsi="Verdana"/>
          <w:color w:val="000000" w:themeColor="text1"/>
          <w:sz w:val="22"/>
          <w:szCs w:val="22"/>
          <w:lang w:val="en-GB"/>
        </w:rPr>
        <w:t>“</w:t>
      </w:r>
      <w:r w:rsidR="00970EE5" w:rsidRPr="00B92F1D">
        <w:rPr>
          <w:rFonts w:ascii="Verdana" w:hAnsi="Verdana"/>
          <w:i/>
          <w:iCs/>
          <w:sz w:val="22"/>
          <w:szCs w:val="22"/>
          <w:lang w:eastAsia="en-ZA"/>
        </w:rPr>
        <w:t xml:space="preserve">Before any application is made to the court for authority or an order involving the performance of any act in a deeds registry, the applicant shall give the registrar concerned at least seven days’ notice before the hearing of such application and such registrar </w:t>
      </w:r>
      <w:r w:rsidR="00970EE5" w:rsidRPr="00A620BB">
        <w:rPr>
          <w:rFonts w:ascii="Verdana" w:hAnsi="Verdana"/>
          <w:b/>
          <w:bCs/>
          <w:i/>
          <w:iCs/>
          <w:sz w:val="22"/>
          <w:szCs w:val="22"/>
          <w:u w:val="single"/>
          <w:lang w:eastAsia="en-ZA"/>
        </w:rPr>
        <w:t>may</w:t>
      </w:r>
      <w:r w:rsidR="00970EE5" w:rsidRPr="00B92F1D">
        <w:rPr>
          <w:rFonts w:ascii="Verdana" w:hAnsi="Verdana"/>
          <w:i/>
          <w:iCs/>
          <w:sz w:val="22"/>
          <w:szCs w:val="22"/>
          <w:lang w:eastAsia="en-ZA"/>
        </w:rPr>
        <w:t xml:space="preserve"> submit to the court such report thereon as he may deem desirable to mak</w:t>
      </w:r>
      <w:r w:rsidR="004F252C" w:rsidRPr="00B92F1D">
        <w:rPr>
          <w:rFonts w:ascii="Verdana" w:hAnsi="Verdana"/>
          <w:i/>
          <w:iCs/>
          <w:sz w:val="22"/>
          <w:szCs w:val="22"/>
          <w:lang w:eastAsia="en-ZA"/>
        </w:rPr>
        <w:t>e.”</w:t>
      </w:r>
      <w:r w:rsidR="00A620BB">
        <w:rPr>
          <w:rFonts w:ascii="Verdana" w:hAnsi="Verdana"/>
          <w:i/>
          <w:iCs/>
          <w:sz w:val="22"/>
          <w:szCs w:val="22"/>
          <w:lang w:eastAsia="en-ZA"/>
        </w:rPr>
        <w:t xml:space="preserve"> </w:t>
      </w:r>
      <w:r w:rsidR="00A620BB">
        <w:rPr>
          <w:rFonts w:ascii="Verdana" w:hAnsi="Verdana"/>
          <w:sz w:val="22"/>
          <w:szCs w:val="22"/>
          <w:lang w:eastAsia="en-ZA"/>
        </w:rPr>
        <w:t>(</w:t>
      </w:r>
      <w:proofErr w:type="gramStart"/>
      <w:r w:rsidR="00A620BB">
        <w:rPr>
          <w:rFonts w:ascii="Verdana" w:hAnsi="Verdana"/>
          <w:sz w:val="22"/>
          <w:szCs w:val="22"/>
          <w:lang w:eastAsia="en-ZA"/>
        </w:rPr>
        <w:t>emphasis</w:t>
      </w:r>
      <w:proofErr w:type="gramEnd"/>
      <w:r w:rsidR="00A620BB">
        <w:rPr>
          <w:rFonts w:ascii="Verdana" w:hAnsi="Verdana"/>
          <w:sz w:val="22"/>
          <w:szCs w:val="22"/>
          <w:lang w:eastAsia="en-ZA"/>
        </w:rPr>
        <w:t xml:space="preserve"> added)</w:t>
      </w:r>
    </w:p>
    <w:p w14:paraId="2FC23FDB" w14:textId="17D55331" w:rsidR="00931073" w:rsidRPr="00B92F1D" w:rsidRDefault="00DD03E4" w:rsidP="00931073">
      <w:pPr>
        <w:pStyle w:val="Indent"/>
        <w:widowControl w:val="0"/>
        <w:numPr>
          <w:ilvl w:val="0"/>
          <w:numId w:val="0"/>
        </w:numPr>
        <w:spacing w:after="360" w:line="480" w:lineRule="auto"/>
        <w:ind w:left="709" w:hanging="709"/>
        <w:jc w:val="both"/>
        <w:rPr>
          <w:rFonts w:ascii="Verdana" w:hAnsi="Verdana"/>
          <w:color w:val="000000" w:themeColor="text1"/>
          <w:sz w:val="22"/>
          <w:szCs w:val="22"/>
        </w:rPr>
      </w:pPr>
      <w:r w:rsidRPr="00B92F1D">
        <w:rPr>
          <w:rFonts w:ascii="Verdana" w:hAnsi="Verdana"/>
          <w:sz w:val="22"/>
          <w:szCs w:val="22"/>
          <w:lang w:eastAsia="en-ZA"/>
        </w:rPr>
        <w:lastRenderedPageBreak/>
        <w:t>[6</w:t>
      </w:r>
      <w:r w:rsidR="00762B79">
        <w:rPr>
          <w:rFonts w:ascii="Verdana" w:hAnsi="Verdana"/>
          <w:sz w:val="22"/>
          <w:szCs w:val="22"/>
          <w:lang w:eastAsia="en-ZA"/>
        </w:rPr>
        <w:t>4</w:t>
      </w:r>
      <w:r w:rsidRPr="00B92F1D">
        <w:rPr>
          <w:rFonts w:ascii="Verdana" w:hAnsi="Verdana"/>
          <w:sz w:val="22"/>
          <w:szCs w:val="22"/>
          <w:lang w:eastAsia="en-ZA"/>
        </w:rPr>
        <w:t>]</w:t>
      </w:r>
      <w:r w:rsidRPr="00B92F1D">
        <w:rPr>
          <w:rFonts w:ascii="Verdana" w:hAnsi="Verdana"/>
          <w:i/>
          <w:iCs/>
          <w:sz w:val="22"/>
          <w:szCs w:val="22"/>
          <w:lang w:eastAsia="en-ZA"/>
        </w:rPr>
        <w:tab/>
      </w:r>
      <w:r w:rsidRPr="00B92F1D">
        <w:rPr>
          <w:rFonts w:ascii="Verdana" w:hAnsi="Verdana"/>
          <w:color w:val="000000" w:themeColor="text1"/>
          <w:sz w:val="22"/>
          <w:szCs w:val="22"/>
        </w:rPr>
        <w:t>Section 97(1) is cast in peremptory language. Before any application is made to the court for authority or an order involving the performance of any act in the Deeds Registry, the applicant shall give notice to the registrar who ma</w:t>
      </w:r>
      <w:r w:rsidR="003D73C4" w:rsidRPr="00B92F1D">
        <w:rPr>
          <w:rFonts w:ascii="Verdana" w:hAnsi="Verdana"/>
          <w:color w:val="000000" w:themeColor="text1"/>
          <w:sz w:val="22"/>
          <w:szCs w:val="22"/>
        </w:rPr>
        <w:t xml:space="preserve">y </w:t>
      </w:r>
      <w:r w:rsidRPr="00B92F1D">
        <w:rPr>
          <w:rFonts w:ascii="Verdana" w:hAnsi="Verdana"/>
          <w:color w:val="000000" w:themeColor="text1"/>
          <w:sz w:val="22"/>
          <w:szCs w:val="22"/>
        </w:rPr>
        <w:t>report on the issue if he/she deems it desirable.</w:t>
      </w:r>
    </w:p>
    <w:p w14:paraId="47D9B6AC" w14:textId="0BACF7A5" w:rsidR="00931073" w:rsidRPr="00B92F1D" w:rsidRDefault="00B670C6" w:rsidP="00931073">
      <w:pPr>
        <w:pStyle w:val="Indent"/>
        <w:widowControl w:val="0"/>
        <w:numPr>
          <w:ilvl w:val="0"/>
          <w:numId w:val="0"/>
        </w:numPr>
        <w:spacing w:after="360" w:line="480" w:lineRule="auto"/>
        <w:ind w:left="709" w:hanging="709"/>
        <w:jc w:val="both"/>
        <w:rPr>
          <w:rFonts w:ascii="Verdana" w:hAnsi="Verdana" w:cs="Arial"/>
          <w:color w:val="242121"/>
          <w:sz w:val="22"/>
          <w:szCs w:val="22"/>
        </w:rPr>
      </w:pPr>
      <w:r w:rsidRPr="00B92F1D">
        <w:rPr>
          <w:rFonts w:ascii="Verdana" w:hAnsi="Verdana"/>
          <w:color w:val="000000" w:themeColor="text1"/>
          <w:sz w:val="22"/>
          <w:szCs w:val="22"/>
        </w:rPr>
        <w:t>[6</w:t>
      </w:r>
      <w:r w:rsidR="00762B79">
        <w:rPr>
          <w:rFonts w:ascii="Verdana" w:hAnsi="Verdana"/>
          <w:color w:val="000000" w:themeColor="text1"/>
          <w:sz w:val="22"/>
          <w:szCs w:val="22"/>
        </w:rPr>
        <w:t>5</w:t>
      </w:r>
      <w:r w:rsidRPr="00B92F1D">
        <w:rPr>
          <w:rFonts w:ascii="Verdana" w:hAnsi="Verdana"/>
          <w:color w:val="000000" w:themeColor="text1"/>
          <w:sz w:val="22"/>
          <w:szCs w:val="22"/>
        </w:rPr>
        <w:t>]</w:t>
      </w:r>
      <w:r w:rsidRPr="00B92F1D">
        <w:rPr>
          <w:rFonts w:ascii="Verdana" w:hAnsi="Verdana"/>
          <w:color w:val="000000" w:themeColor="text1"/>
          <w:sz w:val="22"/>
          <w:szCs w:val="22"/>
        </w:rPr>
        <w:tab/>
      </w:r>
      <w:r w:rsidR="00931073" w:rsidRPr="00B92F1D">
        <w:rPr>
          <w:rFonts w:ascii="Verdana" w:hAnsi="Verdana" w:cs="Arial"/>
          <w:color w:val="242121"/>
          <w:sz w:val="22"/>
          <w:szCs w:val="22"/>
        </w:rPr>
        <w:t>The purpose</w:t>
      </w:r>
      <w:r w:rsidRPr="00B92F1D">
        <w:rPr>
          <w:rFonts w:ascii="Verdana" w:hAnsi="Verdana" w:cs="Arial"/>
          <w:color w:val="242121"/>
          <w:sz w:val="22"/>
          <w:szCs w:val="22"/>
        </w:rPr>
        <w:t xml:space="preserve"> of the sectio</w:t>
      </w:r>
      <w:r w:rsidR="00DD759A" w:rsidRPr="00B92F1D">
        <w:rPr>
          <w:rFonts w:ascii="Verdana" w:hAnsi="Verdana" w:cs="Arial"/>
          <w:color w:val="242121"/>
          <w:sz w:val="22"/>
          <w:szCs w:val="22"/>
        </w:rPr>
        <w:t>n</w:t>
      </w:r>
      <w:r w:rsidR="00931073" w:rsidRPr="00B92F1D">
        <w:rPr>
          <w:rFonts w:ascii="Verdana" w:hAnsi="Verdana" w:cs="Arial"/>
          <w:color w:val="242121"/>
          <w:sz w:val="22"/>
          <w:szCs w:val="22"/>
        </w:rPr>
        <w:t xml:space="preserve"> is to ensure that whenever there has to be </w:t>
      </w:r>
      <w:proofErr w:type="gramStart"/>
      <w:r w:rsidR="00931073" w:rsidRPr="00B92F1D">
        <w:rPr>
          <w:rFonts w:ascii="Verdana" w:hAnsi="Verdana" w:cs="Arial"/>
          <w:color w:val="242121"/>
          <w:sz w:val="22"/>
          <w:szCs w:val="22"/>
        </w:rPr>
        <w:t>an interference</w:t>
      </w:r>
      <w:proofErr w:type="gramEnd"/>
      <w:r w:rsidR="00931073" w:rsidRPr="00B92F1D">
        <w:rPr>
          <w:rFonts w:ascii="Verdana" w:hAnsi="Verdana" w:cs="Arial"/>
          <w:color w:val="242121"/>
          <w:sz w:val="22"/>
          <w:szCs w:val="22"/>
        </w:rPr>
        <w:t xml:space="preserve"> by the Court in any matter relating to the property registered in the Deeds office, the Registrar of Deeds should be advised of the intended order.</w:t>
      </w:r>
      <w:r w:rsidR="00041EC9" w:rsidRPr="00B92F1D">
        <w:rPr>
          <w:rStyle w:val="FootnoteReference"/>
          <w:rFonts w:ascii="Verdana" w:hAnsi="Verdana" w:cs="Arial"/>
          <w:color w:val="242121"/>
          <w:sz w:val="22"/>
          <w:szCs w:val="22"/>
        </w:rPr>
        <w:footnoteReference w:id="31"/>
      </w:r>
      <w:r w:rsidR="00041EC9" w:rsidRPr="00B92F1D">
        <w:rPr>
          <w:rFonts w:ascii="Verdana" w:hAnsi="Verdana" w:cs="Arial"/>
          <w:color w:val="242121"/>
          <w:sz w:val="22"/>
          <w:szCs w:val="22"/>
        </w:rPr>
        <w:t xml:space="preserve"> </w:t>
      </w:r>
      <w:r w:rsidR="00931073" w:rsidRPr="00B92F1D">
        <w:rPr>
          <w:rFonts w:ascii="Verdana" w:hAnsi="Verdana" w:cs="Arial"/>
          <w:color w:val="242121"/>
          <w:sz w:val="22"/>
          <w:szCs w:val="22"/>
        </w:rPr>
        <w:t>Non</w:t>
      </w:r>
      <w:r w:rsidR="000B47D6" w:rsidRPr="00B92F1D">
        <w:rPr>
          <w:rFonts w:ascii="Verdana" w:hAnsi="Verdana" w:cs="Arial"/>
          <w:color w:val="242121"/>
          <w:sz w:val="22"/>
          <w:szCs w:val="22"/>
        </w:rPr>
        <w:t>-</w:t>
      </w:r>
      <w:r w:rsidR="00931073" w:rsidRPr="00B92F1D">
        <w:rPr>
          <w:rFonts w:ascii="Verdana" w:hAnsi="Verdana" w:cs="Arial"/>
          <w:color w:val="242121"/>
          <w:sz w:val="22"/>
          <w:szCs w:val="22"/>
        </w:rPr>
        <w:t>compliance with the seven</w:t>
      </w:r>
      <w:r w:rsidR="00A620BB">
        <w:rPr>
          <w:rFonts w:ascii="Verdana" w:hAnsi="Verdana" w:cs="Arial"/>
          <w:color w:val="242121"/>
          <w:sz w:val="22"/>
          <w:szCs w:val="22"/>
        </w:rPr>
        <w:t>-</w:t>
      </w:r>
      <w:r w:rsidR="00931073" w:rsidRPr="00B92F1D">
        <w:rPr>
          <w:rFonts w:ascii="Verdana" w:hAnsi="Verdana" w:cs="Arial"/>
          <w:color w:val="242121"/>
          <w:sz w:val="22"/>
          <w:szCs w:val="22"/>
        </w:rPr>
        <w:t>day notice provision of section 97 (1) can even been condoned by the Court. This interpretation accords with the purpose of the provision, namely to allow Registrars of Deeds an opportunity to submit a report expressing their views on applications where relief is sought envisaging “</w:t>
      </w:r>
      <w:r w:rsidR="00931073" w:rsidRPr="00A620BB">
        <w:rPr>
          <w:rFonts w:ascii="Verdana" w:hAnsi="Verdana" w:cs="Arial"/>
          <w:i/>
          <w:iCs/>
          <w:color w:val="242121"/>
          <w:sz w:val="22"/>
          <w:szCs w:val="22"/>
        </w:rPr>
        <w:t>the alteration of registered documents</w:t>
      </w:r>
      <w:r w:rsidR="00931073" w:rsidRPr="00B92F1D">
        <w:rPr>
          <w:rFonts w:ascii="Verdana" w:hAnsi="Verdana" w:cs="Arial"/>
          <w:color w:val="242121"/>
          <w:sz w:val="22"/>
          <w:szCs w:val="22"/>
        </w:rPr>
        <w:t>”</w:t>
      </w:r>
      <w:r w:rsidR="000B47D6" w:rsidRPr="00B92F1D">
        <w:rPr>
          <w:rStyle w:val="FootnoteReference"/>
          <w:rFonts w:ascii="Verdana" w:hAnsi="Verdana" w:cs="Arial"/>
          <w:color w:val="242121"/>
          <w:sz w:val="22"/>
          <w:szCs w:val="22"/>
        </w:rPr>
        <w:footnoteReference w:id="32"/>
      </w:r>
      <w:r w:rsidR="00931073" w:rsidRPr="00B92F1D">
        <w:rPr>
          <w:rFonts w:ascii="Verdana" w:hAnsi="Verdana" w:cs="Arial"/>
          <w:color w:val="242121"/>
          <w:sz w:val="22"/>
          <w:szCs w:val="22"/>
        </w:rPr>
        <w:t> </w:t>
      </w:r>
    </w:p>
    <w:p w14:paraId="6F30B3C5" w14:textId="2B76E945" w:rsidR="0008650D" w:rsidRPr="00B92F1D" w:rsidRDefault="00DD759A" w:rsidP="0008650D">
      <w:pPr>
        <w:pStyle w:val="Indent"/>
        <w:widowControl w:val="0"/>
        <w:numPr>
          <w:ilvl w:val="0"/>
          <w:numId w:val="0"/>
        </w:numPr>
        <w:spacing w:after="360" w:line="480" w:lineRule="auto"/>
        <w:ind w:left="709" w:hanging="709"/>
        <w:jc w:val="both"/>
        <w:rPr>
          <w:rFonts w:ascii="Verdana" w:hAnsi="Verdana"/>
          <w:color w:val="000000" w:themeColor="text1"/>
          <w:sz w:val="22"/>
          <w:szCs w:val="22"/>
        </w:rPr>
      </w:pPr>
      <w:r w:rsidRPr="00B92F1D">
        <w:rPr>
          <w:rFonts w:ascii="Verdana" w:hAnsi="Verdana" w:cs="Arial"/>
          <w:color w:val="282828"/>
          <w:sz w:val="22"/>
          <w:szCs w:val="22"/>
          <w:lang w:eastAsia="en-ZA"/>
        </w:rPr>
        <w:t>[6</w:t>
      </w:r>
      <w:r w:rsidR="00762B79">
        <w:rPr>
          <w:rFonts w:ascii="Verdana" w:hAnsi="Verdana" w:cs="Arial"/>
          <w:color w:val="282828"/>
          <w:sz w:val="22"/>
          <w:szCs w:val="22"/>
          <w:lang w:eastAsia="en-ZA"/>
        </w:rPr>
        <w:t>6</w:t>
      </w:r>
      <w:r w:rsidRPr="00B92F1D">
        <w:rPr>
          <w:rFonts w:ascii="Verdana" w:hAnsi="Verdana" w:cs="Arial"/>
          <w:color w:val="282828"/>
          <w:sz w:val="22"/>
          <w:szCs w:val="22"/>
          <w:lang w:eastAsia="en-ZA"/>
        </w:rPr>
        <w:t>]</w:t>
      </w:r>
      <w:r w:rsidRPr="00B92F1D">
        <w:rPr>
          <w:rFonts w:ascii="Verdana" w:hAnsi="Verdana" w:cs="Arial"/>
          <w:color w:val="282828"/>
          <w:sz w:val="22"/>
          <w:szCs w:val="22"/>
          <w:lang w:eastAsia="en-ZA"/>
        </w:rPr>
        <w:tab/>
      </w:r>
      <w:r w:rsidRPr="006C76F8">
        <w:rPr>
          <w:rFonts w:ascii="Verdana" w:hAnsi="Verdana" w:cs="Arial"/>
          <w:color w:val="282828"/>
          <w:sz w:val="22"/>
          <w:szCs w:val="22"/>
          <w:lang w:eastAsia="en-ZA"/>
        </w:rPr>
        <w:t xml:space="preserve">The importance of this section should also be seen against the backdrop of a comment made </w:t>
      </w:r>
      <w:r w:rsidR="00A620BB">
        <w:rPr>
          <w:rFonts w:ascii="Verdana" w:hAnsi="Verdana" w:cs="Arial"/>
          <w:color w:val="282828"/>
          <w:sz w:val="22"/>
          <w:szCs w:val="22"/>
          <w:lang w:eastAsia="en-ZA"/>
        </w:rPr>
        <w:t xml:space="preserve">by the Supreme Court of Appeal </w:t>
      </w:r>
      <w:r w:rsidRPr="006C76F8">
        <w:rPr>
          <w:rFonts w:ascii="Verdana" w:hAnsi="Verdana" w:cs="Arial"/>
          <w:color w:val="282828"/>
          <w:sz w:val="22"/>
          <w:szCs w:val="22"/>
          <w:lang w:eastAsia="en-ZA"/>
        </w:rPr>
        <w:t>in the case of</w:t>
      </w:r>
      <w:r w:rsidRPr="006C76F8">
        <w:rPr>
          <w:rFonts w:ascii="Verdana" w:hAnsi="Verdana" w:cs="Arial"/>
          <w:i/>
          <w:iCs/>
          <w:color w:val="282828"/>
          <w:sz w:val="22"/>
          <w:szCs w:val="22"/>
          <w:lang w:eastAsia="en-ZA"/>
        </w:rPr>
        <w:t xml:space="preserve"> Chief Registrar of Deeds v </w:t>
      </w:r>
      <w:proofErr w:type="spellStart"/>
      <w:r w:rsidRPr="006C76F8">
        <w:rPr>
          <w:rFonts w:ascii="Verdana" w:hAnsi="Verdana" w:cs="Arial"/>
          <w:i/>
          <w:iCs/>
          <w:color w:val="282828"/>
          <w:sz w:val="22"/>
          <w:szCs w:val="22"/>
          <w:lang w:eastAsia="en-ZA"/>
        </w:rPr>
        <w:t>Hamil</w:t>
      </w:r>
      <w:proofErr w:type="spellEnd"/>
      <w:r w:rsidR="00456CA9">
        <w:rPr>
          <w:rFonts w:ascii="Verdana" w:hAnsi="Verdana" w:cs="Arial"/>
          <w:i/>
          <w:iCs/>
          <w:color w:val="282828"/>
          <w:sz w:val="22"/>
          <w:szCs w:val="22"/>
          <w:lang w:eastAsia="en-ZA"/>
        </w:rPr>
        <w:t>-T</w:t>
      </w:r>
      <w:r w:rsidRPr="006C76F8">
        <w:rPr>
          <w:rFonts w:ascii="Verdana" w:hAnsi="Verdana" w:cs="Arial"/>
          <w:i/>
          <w:iCs/>
          <w:color w:val="282828"/>
          <w:sz w:val="22"/>
          <w:szCs w:val="22"/>
          <w:lang w:eastAsia="en-ZA"/>
        </w:rPr>
        <w:t>on</w:t>
      </w:r>
      <w:r w:rsidR="00456CA9">
        <w:rPr>
          <w:rFonts w:ascii="Verdana" w:hAnsi="Verdana" w:cs="Arial"/>
          <w:i/>
          <w:iCs/>
          <w:color w:val="282828"/>
          <w:sz w:val="22"/>
          <w:szCs w:val="22"/>
          <w:lang w:eastAsia="en-ZA"/>
        </w:rPr>
        <w:t xml:space="preserve"> Brown</w:t>
      </w:r>
      <w:r w:rsidRPr="00B92F1D">
        <w:rPr>
          <w:rStyle w:val="FootnoteReference"/>
          <w:rFonts w:ascii="Verdana" w:hAnsi="Verdana" w:cs="Arial"/>
          <w:i/>
          <w:iCs/>
          <w:color w:val="282828"/>
          <w:sz w:val="22"/>
          <w:szCs w:val="22"/>
          <w:lang w:eastAsia="en-ZA"/>
        </w:rPr>
        <w:footnoteReference w:id="33"/>
      </w:r>
      <w:r w:rsidRPr="006C76F8">
        <w:rPr>
          <w:rFonts w:ascii="Verdana" w:hAnsi="Verdana" w:cs="Arial"/>
          <w:color w:val="282828"/>
          <w:sz w:val="22"/>
          <w:szCs w:val="22"/>
          <w:lang w:eastAsia="en-ZA"/>
        </w:rPr>
        <w:t>, where he referred to </w:t>
      </w:r>
      <w:r w:rsidRPr="006C76F8">
        <w:rPr>
          <w:rFonts w:ascii="Verdana" w:hAnsi="Verdana" w:cs="Arial"/>
          <w:i/>
          <w:iCs/>
          <w:color w:val="282828"/>
          <w:sz w:val="22"/>
          <w:szCs w:val="22"/>
          <w:lang w:eastAsia="en-ZA"/>
        </w:rPr>
        <w:t xml:space="preserve">‘the mysterious procedures, known only to </w:t>
      </w:r>
      <w:proofErr w:type="spellStart"/>
      <w:r w:rsidRPr="006C76F8">
        <w:rPr>
          <w:rFonts w:ascii="Verdana" w:hAnsi="Verdana" w:cs="Arial"/>
          <w:i/>
          <w:iCs/>
          <w:color w:val="282828"/>
          <w:sz w:val="22"/>
          <w:szCs w:val="22"/>
          <w:lang w:eastAsia="en-ZA"/>
        </w:rPr>
        <w:t>conveyancers</w:t>
      </w:r>
      <w:proofErr w:type="spellEnd"/>
      <w:r w:rsidRPr="006C76F8">
        <w:rPr>
          <w:rFonts w:ascii="Verdana" w:hAnsi="Verdana" w:cs="Arial"/>
          <w:i/>
          <w:iCs/>
          <w:color w:val="282828"/>
          <w:sz w:val="22"/>
          <w:szCs w:val="22"/>
          <w:lang w:eastAsia="en-ZA"/>
        </w:rPr>
        <w:t xml:space="preserve"> and officers in the Deeds Office, which are involved in transferring titles to land’</w:t>
      </w:r>
      <w:r w:rsidRPr="006C76F8">
        <w:rPr>
          <w:rFonts w:ascii="Verdana" w:hAnsi="Verdana" w:cs="Arial"/>
          <w:color w:val="282828"/>
          <w:sz w:val="22"/>
          <w:szCs w:val="22"/>
          <w:lang w:eastAsia="en-ZA"/>
        </w:rPr>
        <w:t>.</w:t>
      </w:r>
    </w:p>
    <w:p w14:paraId="581678A5" w14:textId="22AB5326" w:rsidR="00F330D7" w:rsidRPr="00B92F1D" w:rsidRDefault="0008650D" w:rsidP="0008650D">
      <w:pPr>
        <w:pStyle w:val="Indent"/>
        <w:widowControl w:val="0"/>
        <w:numPr>
          <w:ilvl w:val="0"/>
          <w:numId w:val="0"/>
        </w:numPr>
        <w:spacing w:after="360" w:line="480" w:lineRule="auto"/>
        <w:ind w:left="709" w:hanging="709"/>
        <w:jc w:val="both"/>
        <w:rPr>
          <w:rFonts w:ascii="Verdana" w:hAnsi="Verdana" w:cs="Arial"/>
          <w:color w:val="282828"/>
          <w:sz w:val="22"/>
          <w:szCs w:val="22"/>
          <w:lang w:eastAsia="en-ZA"/>
        </w:rPr>
      </w:pPr>
      <w:r w:rsidRPr="00B92F1D">
        <w:rPr>
          <w:rFonts w:ascii="Verdana" w:hAnsi="Verdana" w:cs="Arial"/>
          <w:color w:val="282828"/>
          <w:sz w:val="22"/>
          <w:szCs w:val="22"/>
          <w:lang w:eastAsia="en-ZA"/>
        </w:rPr>
        <w:t>[6</w:t>
      </w:r>
      <w:r w:rsidR="00762B79">
        <w:rPr>
          <w:rFonts w:ascii="Verdana" w:hAnsi="Verdana" w:cs="Arial"/>
          <w:color w:val="282828"/>
          <w:sz w:val="22"/>
          <w:szCs w:val="22"/>
          <w:lang w:eastAsia="en-ZA"/>
        </w:rPr>
        <w:t>7</w:t>
      </w:r>
      <w:r w:rsidRPr="00B92F1D">
        <w:rPr>
          <w:rFonts w:ascii="Verdana" w:hAnsi="Verdana" w:cs="Arial"/>
          <w:color w:val="282828"/>
          <w:sz w:val="22"/>
          <w:szCs w:val="22"/>
          <w:lang w:eastAsia="en-ZA"/>
        </w:rPr>
        <w:t>]</w:t>
      </w:r>
      <w:r w:rsidRPr="00B92F1D">
        <w:rPr>
          <w:rFonts w:ascii="Verdana" w:hAnsi="Verdana" w:cs="Arial"/>
          <w:color w:val="282828"/>
          <w:sz w:val="22"/>
          <w:szCs w:val="22"/>
          <w:lang w:eastAsia="en-ZA"/>
        </w:rPr>
        <w:tab/>
        <w:t>However, the section makes it clear that it is the registrar who may elect to file a report. Hence, the filing of a repot is not perem</w:t>
      </w:r>
      <w:r w:rsidR="00F330D7" w:rsidRPr="00B92F1D">
        <w:rPr>
          <w:rFonts w:ascii="Verdana" w:hAnsi="Verdana" w:cs="Arial"/>
          <w:color w:val="282828"/>
          <w:sz w:val="22"/>
          <w:szCs w:val="22"/>
          <w:lang w:eastAsia="en-ZA"/>
        </w:rPr>
        <w:t xml:space="preserve">ptory or a prerequisite to the Court granting an order. </w:t>
      </w:r>
    </w:p>
    <w:p w14:paraId="51A41D57" w14:textId="1F376752" w:rsidR="00906940" w:rsidRPr="00B92F1D" w:rsidRDefault="00F330D7" w:rsidP="0008650D">
      <w:pPr>
        <w:pStyle w:val="Indent"/>
        <w:widowControl w:val="0"/>
        <w:numPr>
          <w:ilvl w:val="0"/>
          <w:numId w:val="0"/>
        </w:numPr>
        <w:spacing w:after="360" w:line="480" w:lineRule="auto"/>
        <w:ind w:left="709" w:hanging="709"/>
        <w:jc w:val="both"/>
        <w:rPr>
          <w:rFonts w:ascii="Verdana" w:hAnsi="Verdana"/>
          <w:color w:val="000000" w:themeColor="text1"/>
          <w:sz w:val="22"/>
          <w:szCs w:val="22"/>
        </w:rPr>
      </w:pPr>
      <w:r w:rsidRPr="00B92F1D">
        <w:rPr>
          <w:rFonts w:ascii="Verdana" w:hAnsi="Verdana" w:cs="Arial"/>
          <w:color w:val="282828"/>
          <w:sz w:val="22"/>
          <w:szCs w:val="22"/>
          <w:lang w:eastAsia="en-ZA"/>
        </w:rPr>
        <w:lastRenderedPageBreak/>
        <w:t>[6</w:t>
      </w:r>
      <w:r w:rsidR="00762B79">
        <w:rPr>
          <w:rFonts w:ascii="Verdana" w:hAnsi="Verdana" w:cs="Arial"/>
          <w:color w:val="282828"/>
          <w:sz w:val="22"/>
          <w:szCs w:val="22"/>
          <w:lang w:eastAsia="en-ZA"/>
        </w:rPr>
        <w:t>8</w:t>
      </w:r>
      <w:r w:rsidRPr="00B92F1D">
        <w:rPr>
          <w:rFonts w:ascii="Verdana" w:hAnsi="Verdana" w:cs="Arial"/>
          <w:color w:val="282828"/>
          <w:sz w:val="22"/>
          <w:szCs w:val="22"/>
          <w:lang w:eastAsia="en-ZA"/>
        </w:rPr>
        <w:t>]</w:t>
      </w:r>
      <w:r w:rsidRPr="00B92F1D">
        <w:rPr>
          <w:rFonts w:ascii="Verdana" w:hAnsi="Verdana" w:cs="Arial"/>
          <w:color w:val="282828"/>
          <w:sz w:val="22"/>
          <w:szCs w:val="22"/>
          <w:lang w:eastAsia="en-ZA"/>
        </w:rPr>
        <w:tab/>
      </w:r>
      <w:r w:rsidR="004943A1" w:rsidRPr="00B92F1D">
        <w:rPr>
          <w:rFonts w:ascii="Verdana" w:hAnsi="Verdana"/>
          <w:color w:val="000000" w:themeColor="text1"/>
          <w:sz w:val="22"/>
          <w:szCs w:val="22"/>
        </w:rPr>
        <w:t>Although notice was given to the registrar of the application</w:t>
      </w:r>
      <w:r w:rsidR="00A620BB">
        <w:rPr>
          <w:rFonts w:ascii="Verdana" w:hAnsi="Verdana"/>
          <w:color w:val="000000" w:themeColor="text1"/>
          <w:sz w:val="22"/>
          <w:szCs w:val="22"/>
        </w:rPr>
        <w:t xml:space="preserve"> on 4 October 2</w:t>
      </w:r>
      <w:r w:rsidR="00762B79">
        <w:rPr>
          <w:rFonts w:ascii="Verdana" w:hAnsi="Verdana"/>
          <w:color w:val="000000" w:themeColor="text1"/>
          <w:sz w:val="22"/>
          <w:szCs w:val="22"/>
        </w:rPr>
        <w:t>018</w:t>
      </w:r>
      <w:r w:rsidR="004943A1" w:rsidRPr="00B92F1D">
        <w:rPr>
          <w:rFonts w:ascii="Verdana" w:hAnsi="Verdana"/>
          <w:color w:val="000000" w:themeColor="text1"/>
          <w:sz w:val="22"/>
          <w:szCs w:val="22"/>
        </w:rPr>
        <w:t>, no report was filed.</w:t>
      </w:r>
      <w:r w:rsidRPr="00B92F1D">
        <w:rPr>
          <w:rFonts w:ascii="Verdana" w:hAnsi="Verdana"/>
          <w:color w:val="000000" w:themeColor="text1"/>
          <w:sz w:val="22"/>
          <w:szCs w:val="22"/>
        </w:rPr>
        <w:t xml:space="preserve"> </w:t>
      </w:r>
      <w:r w:rsidR="00DD50B4" w:rsidRPr="00B92F1D">
        <w:rPr>
          <w:rFonts w:ascii="Verdana" w:hAnsi="Verdana"/>
          <w:color w:val="000000" w:themeColor="text1"/>
          <w:sz w:val="22"/>
          <w:szCs w:val="22"/>
        </w:rPr>
        <w:t>Accordingly, I find that i</w:t>
      </w:r>
      <w:r w:rsidRPr="00B92F1D">
        <w:rPr>
          <w:rFonts w:ascii="Verdana" w:hAnsi="Verdana"/>
          <w:color w:val="000000" w:themeColor="text1"/>
          <w:sz w:val="22"/>
          <w:szCs w:val="22"/>
        </w:rPr>
        <w:t>nsofar as there was a duty on the applicant to comply with section 97</w:t>
      </w:r>
      <w:r w:rsidR="00DD50B4" w:rsidRPr="00B92F1D">
        <w:rPr>
          <w:rFonts w:ascii="Verdana" w:hAnsi="Verdana"/>
          <w:color w:val="000000" w:themeColor="text1"/>
          <w:sz w:val="22"/>
          <w:szCs w:val="22"/>
        </w:rPr>
        <w:t xml:space="preserve"> of the Deeds Registries Act</w:t>
      </w:r>
      <w:r w:rsidRPr="00B92F1D">
        <w:rPr>
          <w:rFonts w:ascii="Verdana" w:hAnsi="Verdana"/>
          <w:color w:val="000000" w:themeColor="text1"/>
          <w:sz w:val="22"/>
          <w:szCs w:val="22"/>
        </w:rPr>
        <w:t xml:space="preserve">, </w:t>
      </w:r>
      <w:r w:rsidR="00DD50B4" w:rsidRPr="00B92F1D">
        <w:rPr>
          <w:rFonts w:ascii="Verdana" w:hAnsi="Verdana"/>
          <w:color w:val="000000" w:themeColor="text1"/>
          <w:sz w:val="22"/>
          <w:szCs w:val="22"/>
        </w:rPr>
        <w:t>she has done so.</w:t>
      </w:r>
    </w:p>
    <w:p w14:paraId="5B18116F" w14:textId="08D27258" w:rsidR="00CC40CF" w:rsidRPr="00B92F1D" w:rsidRDefault="00CC40CF" w:rsidP="003240E7">
      <w:pPr>
        <w:pStyle w:val="Indent"/>
        <w:keepNext/>
        <w:widowControl w:val="0"/>
        <w:numPr>
          <w:ilvl w:val="0"/>
          <w:numId w:val="0"/>
        </w:numPr>
        <w:spacing w:after="360" w:line="504" w:lineRule="auto"/>
        <w:jc w:val="both"/>
        <w:rPr>
          <w:rFonts w:ascii="Verdana" w:hAnsi="Verdana" w:cs="Arial"/>
          <w:b/>
          <w:bCs/>
          <w:sz w:val="22"/>
          <w:szCs w:val="22"/>
          <w:lang w:val="en-GB"/>
        </w:rPr>
      </w:pPr>
      <w:r w:rsidRPr="00B92F1D">
        <w:rPr>
          <w:rFonts w:ascii="Verdana" w:hAnsi="Verdana" w:cs="Arial"/>
          <w:b/>
          <w:bCs/>
          <w:sz w:val="22"/>
          <w:szCs w:val="22"/>
          <w:lang w:val="en-GB"/>
        </w:rPr>
        <w:t>ORDER</w:t>
      </w:r>
    </w:p>
    <w:p w14:paraId="5D5F1BF4" w14:textId="6CEA13F4" w:rsidR="002C78FD" w:rsidRPr="00B92F1D" w:rsidRDefault="006354B6" w:rsidP="003240E7">
      <w:pPr>
        <w:pStyle w:val="Indent"/>
        <w:widowControl w:val="0"/>
        <w:numPr>
          <w:ilvl w:val="0"/>
          <w:numId w:val="0"/>
        </w:numPr>
        <w:spacing w:after="320" w:line="504" w:lineRule="auto"/>
        <w:jc w:val="both"/>
        <w:rPr>
          <w:rFonts w:ascii="Verdana" w:hAnsi="Verdana" w:cs="Arial"/>
          <w:sz w:val="22"/>
          <w:szCs w:val="22"/>
          <w:lang w:val="en-GB"/>
        </w:rPr>
      </w:pPr>
      <w:r w:rsidRPr="00B92F1D">
        <w:rPr>
          <w:rFonts w:ascii="Verdana" w:hAnsi="Verdana" w:cs="Arial"/>
          <w:sz w:val="22"/>
          <w:szCs w:val="22"/>
          <w:lang w:val="en-GB"/>
        </w:rPr>
        <w:t>I</w:t>
      </w:r>
      <w:r w:rsidR="00A53EA8" w:rsidRPr="00B92F1D">
        <w:rPr>
          <w:rFonts w:ascii="Verdana" w:hAnsi="Verdana" w:cs="Arial"/>
          <w:sz w:val="22"/>
          <w:szCs w:val="22"/>
          <w:lang w:val="en-GB"/>
        </w:rPr>
        <w:t>n the circumstances I grant</w:t>
      </w:r>
      <w:r w:rsidRPr="00B92F1D">
        <w:rPr>
          <w:rFonts w:ascii="Verdana" w:hAnsi="Verdana" w:cs="Arial"/>
          <w:sz w:val="22"/>
          <w:szCs w:val="22"/>
          <w:lang w:val="en-GB"/>
        </w:rPr>
        <w:t xml:space="preserve"> </w:t>
      </w:r>
      <w:r w:rsidR="00D16AA1" w:rsidRPr="00B92F1D">
        <w:rPr>
          <w:rFonts w:ascii="Verdana" w:hAnsi="Verdana" w:cs="Arial"/>
          <w:sz w:val="22"/>
          <w:szCs w:val="22"/>
          <w:lang w:val="en-GB"/>
        </w:rPr>
        <w:t xml:space="preserve">the following </w:t>
      </w:r>
      <w:r w:rsidR="00E4432D" w:rsidRPr="00B92F1D">
        <w:rPr>
          <w:rFonts w:ascii="Verdana" w:hAnsi="Verdana" w:cs="Arial"/>
          <w:sz w:val="22"/>
          <w:szCs w:val="22"/>
          <w:lang w:val="en-GB"/>
        </w:rPr>
        <w:t>order:</w:t>
      </w:r>
      <w:r w:rsidRPr="00B92F1D">
        <w:rPr>
          <w:rFonts w:ascii="Verdana" w:hAnsi="Verdana" w:cs="Arial"/>
          <w:sz w:val="22"/>
          <w:szCs w:val="22"/>
          <w:lang w:val="en-GB"/>
        </w:rPr>
        <w:t> </w:t>
      </w:r>
      <w:r w:rsidR="00E4432D" w:rsidRPr="00B92F1D">
        <w:rPr>
          <w:rFonts w:ascii="Verdana" w:hAnsi="Verdana" w:cs="Arial"/>
          <w:sz w:val="22"/>
          <w:szCs w:val="22"/>
          <w:lang w:val="en-GB"/>
        </w:rPr>
        <w:t>-</w:t>
      </w:r>
    </w:p>
    <w:p w14:paraId="132FC8A3" w14:textId="3462E200" w:rsidR="00675457" w:rsidRPr="00B92F1D" w:rsidRDefault="00951FAD" w:rsidP="00951FAD">
      <w:pPr>
        <w:pStyle w:val="Indent"/>
        <w:numPr>
          <w:ilvl w:val="0"/>
          <w:numId w:val="0"/>
        </w:numPr>
        <w:shd w:val="clear" w:color="auto" w:fill="FFFFFF"/>
        <w:spacing w:line="480" w:lineRule="auto"/>
        <w:ind w:left="720" w:hanging="720"/>
        <w:jc w:val="both"/>
        <w:rPr>
          <w:rFonts w:ascii="Verdana" w:hAnsi="Verdana"/>
          <w:color w:val="000000" w:themeColor="text1"/>
          <w:sz w:val="22"/>
          <w:szCs w:val="22"/>
        </w:rPr>
      </w:pPr>
      <w:r w:rsidRPr="00B92F1D">
        <w:rPr>
          <w:rFonts w:ascii="Verdana" w:hAnsi="Verdana"/>
          <w:color w:val="000000" w:themeColor="text1"/>
          <w:sz w:val="22"/>
          <w:szCs w:val="22"/>
        </w:rPr>
        <w:t>[1]</w:t>
      </w:r>
      <w:r w:rsidRPr="00B92F1D">
        <w:rPr>
          <w:rFonts w:ascii="Verdana" w:hAnsi="Verdana"/>
          <w:color w:val="000000" w:themeColor="text1"/>
          <w:sz w:val="22"/>
          <w:szCs w:val="22"/>
        </w:rPr>
        <w:tab/>
      </w:r>
      <w:r w:rsidR="00675457" w:rsidRPr="00B92F1D">
        <w:rPr>
          <w:rFonts w:ascii="Verdana" w:hAnsi="Verdana" w:cs="Arial"/>
          <w:sz w:val="22"/>
          <w:szCs w:val="22"/>
          <w:lang w:val="en-GB"/>
        </w:rPr>
        <w:t xml:space="preserve">The deed of sale dated 2 November 1988 </w:t>
      </w:r>
      <w:r w:rsidR="00787ABB" w:rsidRPr="00B92F1D">
        <w:rPr>
          <w:rFonts w:ascii="Verdana" w:hAnsi="Verdana" w:cs="Arial"/>
          <w:sz w:val="22"/>
          <w:szCs w:val="22"/>
          <w:lang w:val="en-GB"/>
        </w:rPr>
        <w:t xml:space="preserve">and entered between </w:t>
      </w:r>
      <w:proofErr w:type="spellStart"/>
      <w:r w:rsidR="00DF1D7A" w:rsidRPr="00B92F1D">
        <w:rPr>
          <w:rFonts w:ascii="Verdana" w:hAnsi="Verdana" w:cs="Arial"/>
          <w:sz w:val="22"/>
          <w:szCs w:val="22"/>
          <w:lang w:val="en-GB"/>
        </w:rPr>
        <w:t>Mandhla</w:t>
      </w:r>
      <w:proofErr w:type="spellEnd"/>
      <w:r w:rsidR="00DF1D7A" w:rsidRPr="00B92F1D">
        <w:rPr>
          <w:rFonts w:ascii="Verdana" w:hAnsi="Verdana" w:cs="Arial"/>
          <w:sz w:val="22"/>
          <w:szCs w:val="22"/>
          <w:lang w:val="en-GB"/>
        </w:rPr>
        <w:t xml:space="preserve"> Patrick </w:t>
      </w:r>
      <w:proofErr w:type="spellStart"/>
      <w:r w:rsidR="00C622E0">
        <w:rPr>
          <w:rFonts w:ascii="Verdana" w:hAnsi="Verdana" w:cs="Arial"/>
          <w:sz w:val="22"/>
          <w:szCs w:val="22"/>
          <w:lang w:val="en-GB"/>
        </w:rPr>
        <w:t>Mota</w:t>
      </w:r>
      <w:proofErr w:type="spellEnd"/>
      <w:r w:rsidR="00DF1D7A" w:rsidRPr="00B92F1D">
        <w:rPr>
          <w:rFonts w:ascii="Verdana" w:hAnsi="Verdana" w:cs="Arial"/>
          <w:sz w:val="22"/>
          <w:szCs w:val="22"/>
          <w:lang w:val="en-GB"/>
        </w:rPr>
        <w:t xml:space="preserve"> (ID </w:t>
      </w:r>
      <w:r w:rsidR="00D75E11">
        <w:rPr>
          <w:rFonts w:ascii="Verdana" w:hAnsi="Verdana"/>
          <w:sz w:val="22"/>
          <w:szCs w:val="22"/>
          <w:lang w:val="en-GB"/>
        </w:rPr>
        <w:t>[…]</w:t>
      </w:r>
      <w:r w:rsidR="00DF1D7A" w:rsidRPr="00B92F1D">
        <w:rPr>
          <w:rFonts w:ascii="Verdana" w:hAnsi="Verdana" w:cs="Arial"/>
          <w:sz w:val="22"/>
          <w:szCs w:val="22"/>
          <w:lang w:val="en-GB"/>
        </w:rPr>
        <w:t>)</w:t>
      </w:r>
      <w:r w:rsidR="00787ABB" w:rsidRPr="00B92F1D">
        <w:rPr>
          <w:rFonts w:ascii="Verdana" w:hAnsi="Verdana" w:cs="Arial"/>
          <w:sz w:val="22"/>
          <w:szCs w:val="22"/>
          <w:lang w:val="en-GB"/>
        </w:rPr>
        <w:t xml:space="preserve"> and </w:t>
      </w:r>
      <w:proofErr w:type="spellStart"/>
      <w:r w:rsidR="00787ABB" w:rsidRPr="00B92F1D">
        <w:rPr>
          <w:rFonts w:ascii="Verdana" w:hAnsi="Verdana" w:cs="Arial"/>
          <w:bCs/>
          <w:sz w:val="22"/>
          <w:szCs w:val="22"/>
          <w:lang w:val="en-GB"/>
        </w:rPr>
        <w:t>Ziyoni</w:t>
      </w:r>
      <w:proofErr w:type="spellEnd"/>
      <w:r w:rsidR="00787ABB" w:rsidRPr="00B92F1D">
        <w:rPr>
          <w:rFonts w:ascii="Verdana" w:hAnsi="Verdana" w:cs="Arial"/>
          <w:bCs/>
          <w:sz w:val="22"/>
          <w:szCs w:val="22"/>
          <w:lang w:val="en-GB"/>
        </w:rPr>
        <w:t xml:space="preserve"> </w:t>
      </w:r>
      <w:proofErr w:type="spellStart"/>
      <w:r w:rsidR="00787ABB" w:rsidRPr="00B92F1D">
        <w:rPr>
          <w:rFonts w:ascii="Verdana" w:hAnsi="Verdana" w:cs="Arial"/>
          <w:bCs/>
          <w:sz w:val="22"/>
          <w:szCs w:val="22"/>
          <w:lang w:val="en-GB"/>
        </w:rPr>
        <w:t>Gedeon</w:t>
      </w:r>
      <w:proofErr w:type="spellEnd"/>
      <w:r w:rsidR="00787ABB" w:rsidRPr="00B92F1D">
        <w:rPr>
          <w:rFonts w:ascii="Verdana" w:hAnsi="Verdana" w:cs="Arial"/>
          <w:bCs/>
          <w:sz w:val="22"/>
          <w:szCs w:val="22"/>
          <w:lang w:val="en-GB"/>
        </w:rPr>
        <w:t xml:space="preserve"> </w:t>
      </w:r>
      <w:proofErr w:type="spellStart"/>
      <w:proofErr w:type="gramStart"/>
      <w:r w:rsidR="00787ABB" w:rsidRPr="00B92F1D">
        <w:rPr>
          <w:rFonts w:ascii="Verdana" w:hAnsi="Verdana" w:cs="Arial"/>
          <w:bCs/>
          <w:sz w:val="22"/>
          <w:szCs w:val="22"/>
          <w:lang w:val="en-GB"/>
        </w:rPr>
        <w:t>Ndlovu</w:t>
      </w:r>
      <w:proofErr w:type="spellEnd"/>
      <w:r w:rsidR="00D75E11">
        <w:rPr>
          <w:rFonts w:ascii="Verdana" w:hAnsi="Verdana"/>
          <w:color w:val="000000" w:themeColor="text1"/>
          <w:sz w:val="22"/>
          <w:szCs w:val="22"/>
        </w:rPr>
        <w:t xml:space="preserve">  (</w:t>
      </w:r>
      <w:proofErr w:type="gramEnd"/>
      <w:r w:rsidR="00D75E11">
        <w:rPr>
          <w:rFonts w:ascii="Verdana" w:hAnsi="Verdana"/>
          <w:color w:val="000000" w:themeColor="text1"/>
          <w:sz w:val="22"/>
          <w:szCs w:val="22"/>
        </w:rPr>
        <w:t>ID […]</w:t>
      </w:r>
      <w:r w:rsidR="00787ABB" w:rsidRPr="00B92F1D">
        <w:rPr>
          <w:rFonts w:ascii="Verdana" w:hAnsi="Verdana"/>
          <w:color w:val="000000" w:themeColor="text1"/>
          <w:sz w:val="22"/>
          <w:szCs w:val="22"/>
        </w:rPr>
        <w:t>) is declared valid.</w:t>
      </w:r>
    </w:p>
    <w:p w14:paraId="66210257" w14:textId="77777777" w:rsidR="00BD7BC7" w:rsidRPr="00B92F1D" w:rsidRDefault="00BD7BC7" w:rsidP="00762B79">
      <w:pPr>
        <w:pStyle w:val="Indent"/>
        <w:numPr>
          <w:ilvl w:val="0"/>
          <w:numId w:val="0"/>
        </w:numPr>
        <w:shd w:val="clear" w:color="auto" w:fill="FFFFFF"/>
        <w:spacing w:line="480" w:lineRule="auto"/>
        <w:ind w:left="720"/>
        <w:jc w:val="both"/>
        <w:rPr>
          <w:rFonts w:ascii="Verdana" w:hAnsi="Verdana"/>
          <w:color w:val="000000" w:themeColor="text1"/>
          <w:sz w:val="22"/>
          <w:szCs w:val="22"/>
        </w:rPr>
      </w:pPr>
    </w:p>
    <w:p w14:paraId="629A03DC" w14:textId="45D871C4" w:rsidR="00BD7BC7" w:rsidRPr="00B92F1D" w:rsidRDefault="00951FAD" w:rsidP="00951FAD">
      <w:pPr>
        <w:pStyle w:val="Indent"/>
        <w:numPr>
          <w:ilvl w:val="0"/>
          <w:numId w:val="0"/>
        </w:numPr>
        <w:shd w:val="clear" w:color="auto" w:fill="FFFFFF"/>
        <w:spacing w:line="480" w:lineRule="auto"/>
        <w:ind w:left="720" w:hanging="720"/>
        <w:jc w:val="both"/>
        <w:rPr>
          <w:rFonts w:ascii="Verdana" w:hAnsi="Verdana"/>
          <w:color w:val="000000" w:themeColor="text1"/>
          <w:sz w:val="22"/>
          <w:szCs w:val="22"/>
        </w:rPr>
      </w:pPr>
      <w:r w:rsidRPr="00B92F1D">
        <w:rPr>
          <w:rFonts w:ascii="Verdana" w:hAnsi="Verdana"/>
          <w:color w:val="000000" w:themeColor="text1"/>
          <w:sz w:val="22"/>
          <w:szCs w:val="22"/>
        </w:rPr>
        <w:t>[2]</w:t>
      </w:r>
      <w:r w:rsidRPr="00B92F1D">
        <w:rPr>
          <w:rFonts w:ascii="Verdana" w:hAnsi="Verdana"/>
          <w:color w:val="000000" w:themeColor="text1"/>
          <w:sz w:val="22"/>
          <w:szCs w:val="22"/>
        </w:rPr>
        <w:tab/>
      </w:r>
      <w:r w:rsidR="00787ABB" w:rsidRPr="00B92F1D">
        <w:rPr>
          <w:rFonts w:ascii="Verdana" w:hAnsi="Verdana" w:cs="Arial"/>
          <w:sz w:val="22"/>
          <w:szCs w:val="22"/>
          <w:lang w:val="en-GB"/>
        </w:rPr>
        <w:t>The deed of sale</w:t>
      </w:r>
      <w:r w:rsidR="00A74519" w:rsidRPr="00B92F1D">
        <w:rPr>
          <w:rFonts w:ascii="Verdana" w:hAnsi="Verdana" w:cs="Arial"/>
          <w:sz w:val="22"/>
          <w:szCs w:val="22"/>
          <w:lang w:val="en-GB"/>
        </w:rPr>
        <w:t>, insofar as it exists,</w:t>
      </w:r>
      <w:r w:rsidR="00787ABB" w:rsidRPr="00B92F1D">
        <w:rPr>
          <w:rFonts w:ascii="Verdana" w:hAnsi="Verdana" w:cs="Arial"/>
          <w:sz w:val="22"/>
          <w:szCs w:val="22"/>
          <w:lang w:val="en-GB"/>
        </w:rPr>
        <w:t xml:space="preserve"> dated </w:t>
      </w:r>
      <w:r w:rsidR="00F03AF2" w:rsidRPr="00B92F1D">
        <w:rPr>
          <w:rFonts w:ascii="Verdana" w:hAnsi="Verdana" w:cs="Arial"/>
          <w:sz w:val="22"/>
          <w:szCs w:val="22"/>
          <w:lang w:val="en-GB"/>
        </w:rPr>
        <w:t>22 May 2014</w:t>
      </w:r>
      <w:r w:rsidR="00787ABB" w:rsidRPr="00B92F1D">
        <w:rPr>
          <w:rFonts w:ascii="Verdana" w:hAnsi="Verdana" w:cs="Arial"/>
          <w:sz w:val="22"/>
          <w:szCs w:val="22"/>
          <w:lang w:val="en-GB"/>
        </w:rPr>
        <w:t xml:space="preserve"> and entered into </w:t>
      </w:r>
      <w:r w:rsidR="00BD7BC7" w:rsidRPr="00B92F1D">
        <w:rPr>
          <w:rFonts w:ascii="Verdana" w:hAnsi="Verdana" w:cs="Arial"/>
          <w:sz w:val="22"/>
          <w:szCs w:val="22"/>
          <w:lang w:val="en-GB"/>
        </w:rPr>
        <w:t xml:space="preserve">between </w:t>
      </w:r>
      <w:proofErr w:type="spellStart"/>
      <w:r w:rsidR="000A6E26" w:rsidRPr="00B92F1D">
        <w:rPr>
          <w:rFonts w:ascii="Verdana" w:hAnsi="Verdana" w:cs="Arial"/>
          <w:sz w:val="22"/>
          <w:szCs w:val="22"/>
          <w:lang w:val="en-GB"/>
        </w:rPr>
        <w:t>Man</w:t>
      </w:r>
      <w:r w:rsidR="00F03AF2" w:rsidRPr="00B92F1D">
        <w:rPr>
          <w:rFonts w:ascii="Verdana" w:hAnsi="Verdana" w:cs="Arial"/>
          <w:sz w:val="22"/>
          <w:szCs w:val="22"/>
          <w:lang w:val="en-GB"/>
        </w:rPr>
        <w:t>dhla</w:t>
      </w:r>
      <w:proofErr w:type="spellEnd"/>
      <w:r w:rsidR="00F03AF2" w:rsidRPr="00B92F1D">
        <w:rPr>
          <w:rFonts w:ascii="Verdana" w:hAnsi="Verdana" w:cs="Arial"/>
          <w:sz w:val="22"/>
          <w:szCs w:val="22"/>
          <w:lang w:val="en-GB"/>
        </w:rPr>
        <w:t xml:space="preserve"> Patrick</w:t>
      </w:r>
      <w:r w:rsidR="00BD7BC7" w:rsidRPr="00B92F1D">
        <w:rPr>
          <w:rFonts w:ascii="Verdana" w:hAnsi="Verdana" w:cs="Arial"/>
          <w:sz w:val="22"/>
          <w:szCs w:val="22"/>
          <w:lang w:val="en-GB"/>
        </w:rPr>
        <w:t xml:space="preserve"> </w:t>
      </w:r>
      <w:proofErr w:type="spellStart"/>
      <w:r w:rsidR="00C622E0">
        <w:rPr>
          <w:rFonts w:ascii="Verdana" w:hAnsi="Verdana" w:cs="Arial"/>
          <w:sz w:val="22"/>
          <w:szCs w:val="22"/>
          <w:lang w:val="en-GB"/>
        </w:rPr>
        <w:t>Mota</w:t>
      </w:r>
      <w:proofErr w:type="spellEnd"/>
      <w:r w:rsidR="00F03AF2" w:rsidRPr="00B92F1D">
        <w:rPr>
          <w:rFonts w:ascii="Verdana" w:hAnsi="Verdana" w:cs="Arial"/>
          <w:sz w:val="22"/>
          <w:szCs w:val="22"/>
          <w:lang w:val="en-GB"/>
        </w:rPr>
        <w:t xml:space="preserve"> (ID </w:t>
      </w:r>
      <w:r w:rsidR="00D75E11">
        <w:rPr>
          <w:rFonts w:ascii="Verdana" w:hAnsi="Verdana"/>
          <w:sz w:val="22"/>
          <w:szCs w:val="22"/>
          <w:lang w:val="en-GB"/>
        </w:rPr>
        <w:t>[…]</w:t>
      </w:r>
      <w:r w:rsidR="00F03AF2" w:rsidRPr="00B92F1D">
        <w:rPr>
          <w:rFonts w:ascii="Verdana" w:hAnsi="Verdana" w:cs="Arial"/>
          <w:sz w:val="22"/>
          <w:szCs w:val="22"/>
          <w:lang w:val="en-GB"/>
        </w:rPr>
        <w:t>)</w:t>
      </w:r>
      <w:r w:rsidR="00BD7BC7" w:rsidRPr="00B92F1D">
        <w:rPr>
          <w:rFonts w:ascii="Verdana" w:hAnsi="Verdana" w:cs="Arial"/>
          <w:sz w:val="22"/>
          <w:szCs w:val="22"/>
          <w:lang w:val="en-GB"/>
        </w:rPr>
        <w:t xml:space="preserve">, </w:t>
      </w:r>
      <w:proofErr w:type="spellStart"/>
      <w:r w:rsidR="00BD7BC7" w:rsidRPr="00B92F1D">
        <w:rPr>
          <w:rFonts w:ascii="Verdana" w:hAnsi="Verdana" w:cs="Arial"/>
          <w:bCs/>
          <w:sz w:val="22"/>
          <w:szCs w:val="22"/>
          <w:lang w:val="en-GB"/>
        </w:rPr>
        <w:t>Ziyoni</w:t>
      </w:r>
      <w:proofErr w:type="spellEnd"/>
      <w:r w:rsidR="00BD7BC7" w:rsidRPr="00B92F1D">
        <w:rPr>
          <w:rFonts w:ascii="Verdana" w:hAnsi="Verdana" w:cs="Arial"/>
          <w:bCs/>
          <w:sz w:val="22"/>
          <w:szCs w:val="22"/>
          <w:lang w:val="en-GB"/>
        </w:rPr>
        <w:t xml:space="preserve"> </w:t>
      </w:r>
      <w:proofErr w:type="spellStart"/>
      <w:r w:rsidR="00BD7BC7" w:rsidRPr="00B92F1D">
        <w:rPr>
          <w:rFonts w:ascii="Verdana" w:hAnsi="Verdana" w:cs="Arial"/>
          <w:bCs/>
          <w:sz w:val="22"/>
          <w:szCs w:val="22"/>
          <w:lang w:val="en-GB"/>
        </w:rPr>
        <w:t>Gedeon</w:t>
      </w:r>
      <w:proofErr w:type="spellEnd"/>
      <w:r w:rsidR="00BD7BC7" w:rsidRPr="00B92F1D">
        <w:rPr>
          <w:rFonts w:ascii="Verdana" w:hAnsi="Verdana" w:cs="Arial"/>
          <w:bCs/>
          <w:sz w:val="22"/>
          <w:szCs w:val="22"/>
          <w:lang w:val="en-GB"/>
        </w:rPr>
        <w:t xml:space="preserve"> </w:t>
      </w:r>
      <w:proofErr w:type="spellStart"/>
      <w:r w:rsidR="00BD7BC7" w:rsidRPr="00B92F1D">
        <w:rPr>
          <w:rFonts w:ascii="Verdana" w:hAnsi="Verdana" w:cs="Arial"/>
          <w:bCs/>
          <w:sz w:val="22"/>
          <w:szCs w:val="22"/>
          <w:lang w:val="en-GB"/>
        </w:rPr>
        <w:t>Ndlovu</w:t>
      </w:r>
      <w:proofErr w:type="spellEnd"/>
      <w:r w:rsidR="00D75E11">
        <w:rPr>
          <w:rFonts w:ascii="Verdana" w:hAnsi="Verdana"/>
          <w:color w:val="000000" w:themeColor="text1"/>
          <w:sz w:val="22"/>
          <w:szCs w:val="22"/>
        </w:rPr>
        <w:t xml:space="preserve">  (ID […]</w:t>
      </w:r>
      <w:r w:rsidR="00BD7BC7" w:rsidRPr="00B92F1D">
        <w:rPr>
          <w:rFonts w:ascii="Verdana" w:hAnsi="Verdana"/>
          <w:color w:val="000000" w:themeColor="text1"/>
          <w:sz w:val="22"/>
          <w:szCs w:val="22"/>
        </w:rPr>
        <w:t xml:space="preserve">) and Constance </w:t>
      </w:r>
      <w:proofErr w:type="spellStart"/>
      <w:r w:rsidR="00BD7BC7" w:rsidRPr="00B92F1D">
        <w:rPr>
          <w:rFonts w:ascii="Verdana" w:hAnsi="Verdana"/>
          <w:color w:val="000000" w:themeColor="text1"/>
          <w:sz w:val="22"/>
          <w:szCs w:val="22"/>
        </w:rPr>
        <w:t>Monama</w:t>
      </w:r>
      <w:proofErr w:type="spellEnd"/>
      <w:r w:rsidR="00BD7BC7" w:rsidRPr="00B92F1D">
        <w:rPr>
          <w:rFonts w:ascii="Verdana" w:hAnsi="Verdana"/>
          <w:color w:val="000000" w:themeColor="text1"/>
          <w:sz w:val="22"/>
          <w:szCs w:val="22"/>
        </w:rPr>
        <w:t xml:space="preserve"> is declared invalid.</w:t>
      </w:r>
    </w:p>
    <w:p w14:paraId="5AA40D2B" w14:textId="77777777" w:rsidR="00BD7BC7" w:rsidRPr="00B92F1D" w:rsidRDefault="00BD7BC7" w:rsidP="00762B79">
      <w:pPr>
        <w:pStyle w:val="Indent"/>
        <w:numPr>
          <w:ilvl w:val="0"/>
          <w:numId w:val="0"/>
        </w:numPr>
        <w:shd w:val="clear" w:color="auto" w:fill="FFFFFF"/>
        <w:spacing w:line="480" w:lineRule="auto"/>
        <w:ind w:left="720"/>
        <w:jc w:val="both"/>
        <w:rPr>
          <w:rFonts w:ascii="Verdana" w:hAnsi="Verdana"/>
          <w:color w:val="000000" w:themeColor="text1"/>
          <w:sz w:val="22"/>
          <w:szCs w:val="22"/>
        </w:rPr>
      </w:pPr>
    </w:p>
    <w:p w14:paraId="644E3992" w14:textId="4A30C50C" w:rsidR="00964B32" w:rsidRPr="00B92F1D" w:rsidRDefault="00951FAD" w:rsidP="00951FAD">
      <w:pPr>
        <w:pStyle w:val="Indent"/>
        <w:numPr>
          <w:ilvl w:val="0"/>
          <w:numId w:val="0"/>
        </w:numPr>
        <w:shd w:val="clear" w:color="auto" w:fill="FFFFFF"/>
        <w:spacing w:line="480" w:lineRule="auto"/>
        <w:ind w:left="720" w:hanging="720"/>
        <w:jc w:val="both"/>
        <w:rPr>
          <w:rFonts w:ascii="Verdana" w:hAnsi="Verdana"/>
          <w:color w:val="000000" w:themeColor="text1"/>
          <w:sz w:val="22"/>
          <w:szCs w:val="22"/>
        </w:rPr>
      </w:pPr>
      <w:r w:rsidRPr="00B92F1D">
        <w:rPr>
          <w:rFonts w:ascii="Verdana" w:hAnsi="Verdana"/>
          <w:color w:val="000000" w:themeColor="text1"/>
          <w:sz w:val="22"/>
          <w:szCs w:val="22"/>
        </w:rPr>
        <w:t>[3]</w:t>
      </w:r>
      <w:r w:rsidRPr="00B92F1D">
        <w:rPr>
          <w:rFonts w:ascii="Verdana" w:hAnsi="Verdana"/>
          <w:color w:val="000000" w:themeColor="text1"/>
          <w:sz w:val="22"/>
          <w:szCs w:val="22"/>
        </w:rPr>
        <w:tab/>
      </w:r>
      <w:r w:rsidR="00FC52DE" w:rsidRPr="00B92F1D">
        <w:rPr>
          <w:rFonts w:ascii="Verdana" w:hAnsi="Verdana"/>
          <w:color w:val="000000" w:themeColor="text1"/>
          <w:sz w:val="22"/>
          <w:szCs w:val="22"/>
        </w:rPr>
        <w:t xml:space="preserve">The third </w:t>
      </w:r>
      <w:r w:rsidR="004E2953" w:rsidRPr="00B92F1D">
        <w:rPr>
          <w:rFonts w:ascii="Verdana" w:hAnsi="Verdana"/>
          <w:color w:val="000000" w:themeColor="text1"/>
          <w:sz w:val="22"/>
          <w:szCs w:val="22"/>
        </w:rPr>
        <w:t>respondent</w:t>
      </w:r>
      <w:r w:rsidR="00FC52DE" w:rsidRPr="00B92F1D">
        <w:rPr>
          <w:rFonts w:ascii="Verdana" w:hAnsi="Verdana"/>
          <w:color w:val="000000" w:themeColor="text1"/>
          <w:sz w:val="22"/>
          <w:szCs w:val="22"/>
        </w:rPr>
        <w:t xml:space="preserve"> is ordered to rectify the title deed</w:t>
      </w:r>
      <w:r w:rsidR="00762B79">
        <w:rPr>
          <w:rFonts w:ascii="Verdana" w:hAnsi="Verdana"/>
          <w:color w:val="000000" w:themeColor="text1"/>
          <w:sz w:val="22"/>
          <w:szCs w:val="22"/>
        </w:rPr>
        <w:t xml:space="preserve"> number: T10007/2015</w:t>
      </w:r>
      <w:r w:rsidR="00BD579C" w:rsidRPr="00B92F1D">
        <w:rPr>
          <w:rFonts w:ascii="Verdana" w:hAnsi="Verdana" w:cs="Arial"/>
          <w:color w:val="000000" w:themeColor="text1"/>
          <w:sz w:val="22"/>
          <w:szCs w:val="22"/>
          <w:lang w:val="en-GB"/>
        </w:rPr>
        <w:t xml:space="preserve"> </w:t>
      </w:r>
      <w:r w:rsidR="00762B79">
        <w:rPr>
          <w:rFonts w:ascii="Verdana" w:hAnsi="Verdana" w:cs="Arial"/>
          <w:color w:val="000000" w:themeColor="text1"/>
          <w:sz w:val="22"/>
          <w:szCs w:val="22"/>
          <w:lang w:val="en-GB"/>
        </w:rPr>
        <w:t>in respect of</w:t>
      </w:r>
      <w:r w:rsidR="00934F4B" w:rsidRPr="00B92F1D">
        <w:rPr>
          <w:rFonts w:ascii="Verdana" w:hAnsi="Verdana" w:cs="Arial"/>
          <w:color w:val="000000" w:themeColor="text1"/>
          <w:sz w:val="22"/>
          <w:szCs w:val="22"/>
          <w:lang w:val="en-GB"/>
        </w:rPr>
        <w:t xml:space="preserve"> </w:t>
      </w:r>
      <w:proofErr w:type="spellStart"/>
      <w:r w:rsidR="00D75E11">
        <w:rPr>
          <w:rFonts w:ascii="Verdana" w:hAnsi="Verdana" w:cs="Arial"/>
          <w:color w:val="000000" w:themeColor="text1"/>
          <w:sz w:val="22"/>
          <w:szCs w:val="22"/>
          <w:lang w:val="en-GB"/>
        </w:rPr>
        <w:t>Erf</w:t>
      </w:r>
      <w:proofErr w:type="spellEnd"/>
      <w:r w:rsidR="00D75E11">
        <w:rPr>
          <w:rFonts w:ascii="Verdana" w:hAnsi="Verdana" w:cs="Arial"/>
          <w:color w:val="000000" w:themeColor="text1"/>
          <w:sz w:val="22"/>
          <w:szCs w:val="22"/>
          <w:lang w:val="en-GB"/>
        </w:rPr>
        <w:t> […]</w:t>
      </w:r>
      <w:r w:rsidR="00BD579C" w:rsidRPr="00B92F1D">
        <w:rPr>
          <w:rFonts w:ascii="Verdana" w:hAnsi="Verdana" w:cs="Arial"/>
          <w:color w:val="000000" w:themeColor="text1"/>
          <w:sz w:val="22"/>
          <w:szCs w:val="22"/>
          <w:lang w:val="en-GB"/>
        </w:rPr>
        <w:t xml:space="preserve">, </w:t>
      </w:r>
      <w:proofErr w:type="spellStart"/>
      <w:r w:rsidR="00BD579C" w:rsidRPr="00B92F1D">
        <w:rPr>
          <w:rFonts w:ascii="Verdana" w:hAnsi="Verdana" w:cs="Arial"/>
          <w:color w:val="000000" w:themeColor="text1"/>
          <w:sz w:val="22"/>
          <w:szCs w:val="22"/>
          <w:lang w:val="en-GB"/>
        </w:rPr>
        <w:t>Jabulani</w:t>
      </w:r>
      <w:proofErr w:type="spellEnd"/>
      <w:r w:rsidR="00BD579C" w:rsidRPr="00B92F1D">
        <w:rPr>
          <w:rFonts w:ascii="Verdana" w:hAnsi="Verdana" w:cs="Arial"/>
          <w:color w:val="000000" w:themeColor="text1"/>
          <w:sz w:val="22"/>
          <w:szCs w:val="22"/>
          <w:lang w:val="en-GB"/>
        </w:rPr>
        <w:t xml:space="preserve">, Soweto, Gauteng Province with </w:t>
      </w:r>
      <w:r w:rsidR="00D75E11">
        <w:rPr>
          <w:rFonts w:ascii="Verdana" w:hAnsi="Verdana" w:cs="Arial"/>
          <w:color w:val="000000" w:themeColor="text1"/>
          <w:sz w:val="22"/>
          <w:szCs w:val="22"/>
          <w:lang w:val="en-GB"/>
        </w:rPr>
        <w:t>physical address […]</w:t>
      </w:r>
      <w:r w:rsidR="00BD579C" w:rsidRPr="00B92F1D">
        <w:rPr>
          <w:rFonts w:ascii="Verdana" w:hAnsi="Verdana" w:cs="Arial"/>
          <w:color w:val="000000" w:themeColor="text1"/>
          <w:sz w:val="22"/>
          <w:szCs w:val="22"/>
          <w:lang w:val="en-GB"/>
        </w:rPr>
        <w:t xml:space="preserve">, </w:t>
      </w:r>
      <w:proofErr w:type="spellStart"/>
      <w:r w:rsidR="00BD579C" w:rsidRPr="00B92F1D">
        <w:rPr>
          <w:rFonts w:ascii="Verdana" w:hAnsi="Verdana" w:cs="Arial"/>
          <w:color w:val="000000" w:themeColor="text1"/>
          <w:sz w:val="22"/>
          <w:szCs w:val="22"/>
          <w:lang w:val="en-GB"/>
        </w:rPr>
        <w:t>Jabulani</w:t>
      </w:r>
      <w:proofErr w:type="spellEnd"/>
      <w:r w:rsidR="00BD579C" w:rsidRPr="00B92F1D">
        <w:rPr>
          <w:rFonts w:ascii="Verdana" w:hAnsi="Verdana" w:cs="Arial"/>
          <w:color w:val="000000" w:themeColor="text1"/>
          <w:sz w:val="22"/>
          <w:szCs w:val="22"/>
          <w:lang w:val="en-GB"/>
        </w:rPr>
        <w:t>, Soweto</w:t>
      </w:r>
      <w:r w:rsidR="00934F4B" w:rsidRPr="00B92F1D">
        <w:rPr>
          <w:rFonts w:ascii="Verdana" w:hAnsi="Verdana" w:cs="Arial"/>
          <w:color w:val="000000" w:themeColor="text1"/>
          <w:sz w:val="22"/>
          <w:szCs w:val="22"/>
          <w:lang w:val="en-GB"/>
        </w:rPr>
        <w:t xml:space="preserve"> (</w:t>
      </w:r>
      <w:r w:rsidR="00934F4B" w:rsidRPr="00B92F1D">
        <w:rPr>
          <w:rFonts w:ascii="Verdana" w:hAnsi="Verdana" w:cs="Arial"/>
          <w:i/>
          <w:iCs/>
          <w:color w:val="000000" w:themeColor="text1"/>
          <w:sz w:val="22"/>
          <w:szCs w:val="22"/>
          <w:lang w:val="en-GB"/>
        </w:rPr>
        <w:t>“the property”</w:t>
      </w:r>
      <w:r w:rsidR="00934F4B" w:rsidRPr="00B92F1D">
        <w:rPr>
          <w:rFonts w:ascii="Verdana" w:hAnsi="Verdana" w:cs="Arial"/>
          <w:color w:val="000000" w:themeColor="text1"/>
          <w:sz w:val="22"/>
          <w:szCs w:val="22"/>
          <w:lang w:val="en-GB"/>
        </w:rPr>
        <w:t>)</w:t>
      </w:r>
      <w:r w:rsidR="00FC52DE" w:rsidRPr="00B92F1D">
        <w:rPr>
          <w:rFonts w:ascii="Verdana" w:hAnsi="Verdana"/>
          <w:color w:val="000000" w:themeColor="text1"/>
          <w:sz w:val="22"/>
          <w:szCs w:val="22"/>
        </w:rPr>
        <w:t xml:space="preserve">, by cancelling the transfer and registration of </w:t>
      </w:r>
      <w:r w:rsidR="00934F4B" w:rsidRPr="00B92F1D">
        <w:rPr>
          <w:rFonts w:ascii="Verdana" w:hAnsi="Verdana"/>
          <w:color w:val="000000" w:themeColor="text1"/>
          <w:sz w:val="22"/>
          <w:szCs w:val="22"/>
        </w:rPr>
        <w:t>the</w:t>
      </w:r>
      <w:r w:rsidR="00451C76" w:rsidRPr="00B92F1D">
        <w:rPr>
          <w:rFonts w:ascii="Verdana" w:hAnsi="Verdana"/>
          <w:color w:val="000000" w:themeColor="text1"/>
          <w:sz w:val="22"/>
          <w:szCs w:val="22"/>
        </w:rPr>
        <w:t xml:space="preserve"> 50%</w:t>
      </w:r>
      <w:r w:rsidR="000D12FC" w:rsidRPr="00B92F1D">
        <w:rPr>
          <w:rFonts w:ascii="Verdana" w:hAnsi="Verdana"/>
          <w:color w:val="000000" w:themeColor="text1"/>
          <w:sz w:val="22"/>
          <w:szCs w:val="22"/>
        </w:rPr>
        <w:t xml:space="preserve"> </w:t>
      </w:r>
      <w:r w:rsidR="00A74519" w:rsidRPr="00B92F1D">
        <w:rPr>
          <w:rFonts w:ascii="Verdana" w:hAnsi="Verdana"/>
          <w:color w:val="000000" w:themeColor="text1"/>
          <w:sz w:val="22"/>
          <w:szCs w:val="22"/>
        </w:rPr>
        <w:t>share</w:t>
      </w:r>
      <w:r w:rsidR="00AE6AE6" w:rsidRPr="00B92F1D">
        <w:rPr>
          <w:rFonts w:ascii="Verdana" w:hAnsi="Verdana"/>
          <w:color w:val="000000" w:themeColor="text1"/>
          <w:sz w:val="22"/>
          <w:szCs w:val="22"/>
        </w:rPr>
        <w:t xml:space="preserve"> in the </w:t>
      </w:r>
      <w:r w:rsidR="000C5647" w:rsidRPr="00B92F1D">
        <w:rPr>
          <w:rFonts w:ascii="Verdana" w:hAnsi="Verdana"/>
          <w:color w:val="000000" w:themeColor="text1"/>
          <w:sz w:val="22"/>
          <w:szCs w:val="22"/>
        </w:rPr>
        <w:t xml:space="preserve">property in the name </w:t>
      </w:r>
      <w:r w:rsidR="00FC52DE" w:rsidRPr="00B92F1D">
        <w:rPr>
          <w:rFonts w:ascii="Verdana" w:hAnsi="Verdana"/>
          <w:color w:val="000000" w:themeColor="text1"/>
          <w:sz w:val="22"/>
          <w:szCs w:val="22"/>
        </w:rPr>
        <w:t xml:space="preserve">of </w:t>
      </w:r>
      <w:r w:rsidR="000C5647" w:rsidRPr="00B92F1D">
        <w:rPr>
          <w:rFonts w:ascii="Verdana" w:hAnsi="Verdana"/>
          <w:color w:val="000000" w:themeColor="text1"/>
          <w:sz w:val="22"/>
          <w:szCs w:val="22"/>
        </w:rPr>
        <w:t xml:space="preserve">the </w:t>
      </w:r>
      <w:r w:rsidR="00FC52DE" w:rsidRPr="00B92F1D">
        <w:rPr>
          <w:rFonts w:ascii="Verdana" w:hAnsi="Verdana"/>
          <w:color w:val="000000" w:themeColor="text1"/>
          <w:sz w:val="22"/>
          <w:szCs w:val="22"/>
        </w:rPr>
        <w:t xml:space="preserve">first </w:t>
      </w:r>
      <w:r w:rsidR="000C5647" w:rsidRPr="00B92F1D">
        <w:rPr>
          <w:rFonts w:ascii="Verdana" w:hAnsi="Verdana"/>
          <w:color w:val="000000" w:themeColor="text1"/>
          <w:sz w:val="22"/>
          <w:szCs w:val="22"/>
        </w:rPr>
        <w:t>respondent</w:t>
      </w:r>
      <w:r w:rsidR="00FC52DE" w:rsidRPr="00B92F1D">
        <w:rPr>
          <w:rFonts w:ascii="Verdana" w:hAnsi="Verdana"/>
          <w:color w:val="000000" w:themeColor="text1"/>
          <w:sz w:val="22"/>
          <w:szCs w:val="22"/>
        </w:rPr>
        <w:t xml:space="preserve">, </w:t>
      </w:r>
      <w:r w:rsidR="000C5647" w:rsidRPr="00B92F1D">
        <w:rPr>
          <w:rFonts w:ascii="Verdana" w:hAnsi="Verdana"/>
          <w:color w:val="000000" w:themeColor="text1"/>
          <w:sz w:val="22"/>
          <w:szCs w:val="22"/>
        </w:rPr>
        <w:t xml:space="preserve">Constance </w:t>
      </w:r>
      <w:proofErr w:type="spellStart"/>
      <w:r w:rsidR="000C5647" w:rsidRPr="00B92F1D">
        <w:rPr>
          <w:rFonts w:ascii="Verdana" w:hAnsi="Verdana"/>
          <w:color w:val="000000" w:themeColor="text1"/>
          <w:sz w:val="22"/>
          <w:szCs w:val="22"/>
        </w:rPr>
        <w:t>Monama</w:t>
      </w:r>
      <w:proofErr w:type="spellEnd"/>
      <w:r w:rsidR="00FC52DE" w:rsidRPr="00B92F1D">
        <w:rPr>
          <w:rFonts w:ascii="Verdana" w:hAnsi="Verdana"/>
          <w:color w:val="000000" w:themeColor="text1"/>
          <w:sz w:val="22"/>
          <w:szCs w:val="22"/>
        </w:rPr>
        <w:t>, and re-transferring and registering</w:t>
      </w:r>
      <w:r w:rsidR="009C1139" w:rsidRPr="00B92F1D">
        <w:rPr>
          <w:rFonts w:ascii="Verdana" w:hAnsi="Verdana"/>
          <w:color w:val="000000" w:themeColor="text1"/>
          <w:sz w:val="22"/>
          <w:szCs w:val="22"/>
        </w:rPr>
        <w:t xml:space="preserve"> such</w:t>
      </w:r>
      <w:r w:rsidR="00451C76" w:rsidRPr="00B92F1D">
        <w:rPr>
          <w:rFonts w:ascii="Verdana" w:hAnsi="Verdana"/>
          <w:color w:val="000000" w:themeColor="text1"/>
          <w:sz w:val="22"/>
          <w:szCs w:val="22"/>
        </w:rPr>
        <w:t xml:space="preserve"> 50% </w:t>
      </w:r>
      <w:r w:rsidR="00A74519" w:rsidRPr="00B92F1D">
        <w:rPr>
          <w:rFonts w:ascii="Verdana" w:hAnsi="Verdana"/>
          <w:color w:val="000000" w:themeColor="text1"/>
          <w:sz w:val="22"/>
          <w:szCs w:val="22"/>
        </w:rPr>
        <w:t xml:space="preserve">share </w:t>
      </w:r>
      <w:r w:rsidR="00451C76" w:rsidRPr="00B92F1D">
        <w:rPr>
          <w:rFonts w:ascii="Verdana" w:hAnsi="Verdana"/>
          <w:color w:val="000000" w:themeColor="text1"/>
          <w:sz w:val="22"/>
          <w:szCs w:val="22"/>
        </w:rPr>
        <w:t>in</w:t>
      </w:r>
      <w:r w:rsidR="002149DD" w:rsidRPr="00B92F1D">
        <w:rPr>
          <w:rFonts w:ascii="Verdana" w:hAnsi="Verdana"/>
          <w:color w:val="000000" w:themeColor="text1"/>
          <w:sz w:val="22"/>
          <w:szCs w:val="22"/>
        </w:rPr>
        <w:t xml:space="preserve"> the</w:t>
      </w:r>
      <w:r w:rsidR="00FC52DE" w:rsidRPr="00B92F1D">
        <w:rPr>
          <w:rFonts w:ascii="Verdana" w:hAnsi="Verdana"/>
          <w:color w:val="000000" w:themeColor="text1"/>
          <w:sz w:val="22"/>
          <w:szCs w:val="22"/>
        </w:rPr>
        <w:t xml:space="preserve"> </w:t>
      </w:r>
      <w:r w:rsidR="000C5647" w:rsidRPr="00B92F1D">
        <w:rPr>
          <w:rFonts w:ascii="Verdana" w:hAnsi="Verdana"/>
          <w:color w:val="000000" w:themeColor="text1"/>
          <w:sz w:val="22"/>
          <w:szCs w:val="22"/>
        </w:rPr>
        <w:t xml:space="preserve">property </w:t>
      </w:r>
      <w:r w:rsidR="00FC52DE" w:rsidRPr="00B92F1D">
        <w:rPr>
          <w:rFonts w:ascii="Verdana" w:hAnsi="Verdana"/>
          <w:color w:val="000000" w:themeColor="text1"/>
          <w:sz w:val="22"/>
          <w:szCs w:val="22"/>
        </w:rPr>
        <w:t xml:space="preserve">into the name of </w:t>
      </w:r>
      <w:r w:rsidR="004216A7">
        <w:rPr>
          <w:rFonts w:ascii="Verdana" w:hAnsi="Verdana"/>
          <w:color w:val="000000" w:themeColor="text1"/>
          <w:sz w:val="22"/>
          <w:szCs w:val="22"/>
        </w:rPr>
        <w:t xml:space="preserve">the </w:t>
      </w:r>
      <w:r w:rsidR="00FC52DE" w:rsidRPr="00B92F1D">
        <w:rPr>
          <w:rFonts w:ascii="Verdana" w:hAnsi="Verdana"/>
          <w:color w:val="000000" w:themeColor="text1"/>
          <w:sz w:val="22"/>
          <w:szCs w:val="22"/>
        </w:rPr>
        <w:t>deceased estate of</w:t>
      </w:r>
      <w:r w:rsidR="002149DD" w:rsidRPr="00B92F1D">
        <w:rPr>
          <w:rFonts w:ascii="Verdana" w:hAnsi="Verdana"/>
          <w:color w:val="000000" w:themeColor="text1"/>
          <w:sz w:val="22"/>
          <w:szCs w:val="22"/>
        </w:rPr>
        <w:t xml:space="preserve"> </w:t>
      </w:r>
      <w:proofErr w:type="spellStart"/>
      <w:r w:rsidR="002149DD" w:rsidRPr="00B92F1D">
        <w:rPr>
          <w:rFonts w:ascii="Verdana" w:hAnsi="Verdana" w:cs="Arial"/>
          <w:bCs/>
          <w:sz w:val="22"/>
          <w:szCs w:val="22"/>
          <w:lang w:val="en-GB"/>
        </w:rPr>
        <w:t>Ziyoni</w:t>
      </w:r>
      <w:proofErr w:type="spellEnd"/>
      <w:r w:rsidR="002149DD" w:rsidRPr="00B92F1D">
        <w:rPr>
          <w:rFonts w:ascii="Verdana" w:hAnsi="Verdana" w:cs="Arial"/>
          <w:bCs/>
          <w:sz w:val="22"/>
          <w:szCs w:val="22"/>
          <w:lang w:val="en-GB"/>
        </w:rPr>
        <w:t xml:space="preserve"> </w:t>
      </w:r>
      <w:proofErr w:type="spellStart"/>
      <w:r w:rsidR="002149DD" w:rsidRPr="00B92F1D">
        <w:rPr>
          <w:rFonts w:ascii="Verdana" w:hAnsi="Verdana" w:cs="Arial"/>
          <w:bCs/>
          <w:sz w:val="22"/>
          <w:szCs w:val="22"/>
          <w:lang w:val="en-GB"/>
        </w:rPr>
        <w:t>Gedeon</w:t>
      </w:r>
      <w:proofErr w:type="spellEnd"/>
      <w:r w:rsidR="002149DD" w:rsidRPr="00B92F1D">
        <w:rPr>
          <w:rFonts w:ascii="Verdana" w:hAnsi="Verdana" w:cs="Arial"/>
          <w:bCs/>
          <w:sz w:val="22"/>
          <w:szCs w:val="22"/>
          <w:lang w:val="en-GB"/>
        </w:rPr>
        <w:t xml:space="preserve"> </w:t>
      </w:r>
      <w:proofErr w:type="spellStart"/>
      <w:r w:rsidR="002149DD" w:rsidRPr="00B92F1D">
        <w:rPr>
          <w:rFonts w:ascii="Verdana" w:hAnsi="Verdana" w:cs="Arial"/>
          <w:bCs/>
          <w:sz w:val="22"/>
          <w:szCs w:val="22"/>
          <w:lang w:val="en-GB"/>
        </w:rPr>
        <w:t>Ndlovu</w:t>
      </w:r>
      <w:proofErr w:type="spellEnd"/>
      <w:r w:rsidR="002149DD" w:rsidRPr="00B92F1D">
        <w:rPr>
          <w:rFonts w:ascii="Verdana" w:hAnsi="Verdana"/>
          <w:color w:val="000000" w:themeColor="text1"/>
          <w:sz w:val="22"/>
          <w:szCs w:val="22"/>
        </w:rPr>
        <w:t xml:space="preserve">  </w:t>
      </w:r>
      <w:r w:rsidR="00FC52DE" w:rsidRPr="00B92F1D">
        <w:rPr>
          <w:rFonts w:ascii="Verdana" w:hAnsi="Verdana"/>
          <w:color w:val="000000" w:themeColor="text1"/>
          <w:sz w:val="22"/>
          <w:szCs w:val="22"/>
        </w:rPr>
        <w:t xml:space="preserve">(ID </w:t>
      </w:r>
      <w:r w:rsidR="00D75E11">
        <w:rPr>
          <w:rFonts w:ascii="Verdana" w:hAnsi="Verdana"/>
          <w:color w:val="000000" w:themeColor="text1"/>
          <w:sz w:val="22"/>
          <w:szCs w:val="22"/>
        </w:rPr>
        <w:t>[…]</w:t>
      </w:r>
      <w:r w:rsidR="00FC52DE" w:rsidRPr="00B92F1D">
        <w:rPr>
          <w:rFonts w:ascii="Verdana" w:hAnsi="Verdana"/>
          <w:color w:val="000000" w:themeColor="text1"/>
          <w:sz w:val="22"/>
          <w:szCs w:val="22"/>
        </w:rPr>
        <w:t>).</w:t>
      </w:r>
    </w:p>
    <w:p w14:paraId="2BE702DD" w14:textId="77777777" w:rsidR="00964B32" w:rsidRPr="00B92F1D" w:rsidRDefault="00964B32" w:rsidP="005A06CA">
      <w:pPr>
        <w:pStyle w:val="Indent"/>
        <w:numPr>
          <w:ilvl w:val="0"/>
          <w:numId w:val="0"/>
        </w:numPr>
        <w:shd w:val="clear" w:color="auto" w:fill="FFFFFF"/>
        <w:spacing w:line="480" w:lineRule="auto"/>
        <w:jc w:val="both"/>
        <w:rPr>
          <w:rFonts w:ascii="Verdana" w:hAnsi="Verdana"/>
          <w:color w:val="000000" w:themeColor="text1"/>
          <w:sz w:val="22"/>
          <w:szCs w:val="22"/>
        </w:rPr>
      </w:pPr>
    </w:p>
    <w:p w14:paraId="70D23C83" w14:textId="2FBE1691" w:rsidR="00FC52DE" w:rsidRPr="00B92F1D" w:rsidRDefault="00951FAD" w:rsidP="00951FAD">
      <w:pPr>
        <w:pStyle w:val="Indent"/>
        <w:numPr>
          <w:ilvl w:val="0"/>
          <w:numId w:val="0"/>
        </w:numPr>
        <w:shd w:val="clear" w:color="auto" w:fill="FFFFFF"/>
        <w:spacing w:line="360" w:lineRule="auto"/>
        <w:ind w:left="720" w:hanging="720"/>
        <w:jc w:val="both"/>
        <w:rPr>
          <w:rFonts w:ascii="Verdana" w:hAnsi="Verdana"/>
          <w:color w:val="000000" w:themeColor="text1"/>
          <w:sz w:val="22"/>
          <w:szCs w:val="22"/>
        </w:rPr>
      </w:pPr>
      <w:r w:rsidRPr="00B92F1D">
        <w:rPr>
          <w:rFonts w:ascii="Verdana" w:hAnsi="Verdana"/>
          <w:color w:val="000000" w:themeColor="text1"/>
          <w:sz w:val="22"/>
          <w:szCs w:val="22"/>
        </w:rPr>
        <w:t>[4]</w:t>
      </w:r>
      <w:r w:rsidRPr="00B92F1D">
        <w:rPr>
          <w:rFonts w:ascii="Verdana" w:hAnsi="Verdana"/>
          <w:color w:val="000000" w:themeColor="text1"/>
          <w:sz w:val="22"/>
          <w:szCs w:val="22"/>
        </w:rPr>
        <w:tab/>
      </w:r>
      <w:r w:rsidR="00FC52DE" w:rsidRPr="00B92F1D">
        <w:rPr>
          <w:rFonts w:ascii="Verdana" w:hAnsi="Verdana"/>
          <w:color w:val="2C3E50"/>
          <w:sz w:val="22"/>
          <w:szCs w:val="22"/>
        </w:rPr>
        <w:t xml:space="preserve">The first </w:t>
      </w:r>
      <w:r w:rsidR="00964B32" w:rsidRPr="00B92F1D">
        <w:rPr>
          <w:rFonts w:ascii="Verdana" w:hAnsi="Verdana"/>
          <w:color w:val="2C3E50"/>
          <w:sz w:val="22"/>
          <w:szCs w:val="22"/>
        </w:rPr>
        <w:t>respondent is</w:t>
      </w:r>
      <w:r w:rsidR="00FC52DE" w:rsidRPr="00B92F1D">
        <w:rPr>
          <w:rFonts w:ascii="Verdana" w:hAnsi="Verdana"/>
          <w:color w:val="2C3E50"/>
          <w:sz w:val="22"/>
          <w:szCs w:val="22"/>
        </w:rPr>
        <w:t xml:space="preserve"> ordered to pay the</w:t>
      </w:r>
      <w:r w:rsidR="00964B32" w:rsidRPr="00B92F1D">
        <w:rPr>
          <w:rFonts w:ascii="Verdana" w:hAnsi="Verdana"/>
          <w:color w:val="2C3E50"/>
          <w:sz w:val="22"/>
          <w:szCs w:val="22"/>
        </w:rPr>
        <w:t xml:space="preserve"> costs of the application</w:t>
      </w:r>
      <w:r w:rsidR="00DF1D7A" w:rsidRPr="00B92F1D">
        <w:rPr>
          <w:rFonts w:ascii="Verdana" w:hAnsi="Verdana"/>
          <w:color w:val="2C3E50"/>
          <w:sz w:val="22"/>
          <w:szCs w:val="22"/>
        </w:rPr>
        <w:t>.</w:t>
      </w:r>
    </w:p>
    <w:p w14:paraId="03C36954" w14:textId="014BFD6D" w:rsidR="00AC20D2" w:rsidRPr="00B92F1D" w:rsidRDefault="00AC20D2" w:rsidP="00964B32">
      <w:pPr>
        <w:pStyle w:val="Indent"/>
        <w:widowControl w:val="0"/>
        <w:numPr>
          <w:ilvl w:val="0"/>
          <w:numId w:val="0"/>
        </w:numPr>
        <w:spacing w:after="360" w:line="480" w:lineRule="auto"/>
        <w:ind w:left="720"/>
        <w:jc w:val="both"/>
        <w:rPr>
          <w:rFonts w:ascii="Verdana" w:hAnsi="Verdana" w:cs="Arial"/>
          <w:sz w:val="22"/>
          <w:szCs w:val="22"/>
          <w:lang w:val="en-GB"/>
        </w:rPr>
      </w:pPr>
    </w:p>
    <w:p w14:paraId="1E96BEAD" w14:textId="3E86733F" w:rsidR="00D16AA1" w:rsidRPr="00B92F1D" w:rsidRDefault="00CD05FE" w:rsidP="003D69CB">
      <w:pPr>
        <w:keepNext/>
        <w:widowControl w:val="0"/>
        <w:spacing w:after="0" w:line="360" w:lineRule="auto"/>
        <w:ind w:left="3600" w:firstLine="720"/>
        <w:rPr>
          <w:rFonts w:ascii="Verdana" w:hAnsi="Verdana" w:cs="Arial"/>
          <w:lang w:val="en-GB"/>
        </w:rPr>
      </w:pPr>
      <w:r w:rsidRPr="00B92F1D">
        <w:rPr>
          <w:rFonts w:ascii="Verdana" w:hAnsi="Verdana" w:cs="Arial"/>
          <w:lang w:val="en-GB"/>
        </w:rPr>
        <w:lastRenderedPageBreak/>
        <w:t xml:space="preserve">      </w:t>
      </w:r>
    </w:p>
    <w:tbl>
      <w:tblPr>
        <w:tblStyle w:val="TableGrid"/>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tblGrid>
      <w:tr w:rsidR="00386CF6" w:rsidRPr="00B92F1D" w14:paraId="78DE0AC8" w14:textId="77777777" w:rsidTr="00386CF6">
        <w:tc>
          <w:tcPr>
            <w:tcW w:w="4598" w:type="dxa"/>
            <w:tcBorders>
              <w:top w:val="single" w:sz="4" w:space="0" w:color="auto"/>
            </w:tcBorders>
          </w:tcPr>
          <w:p w14:paraId="2FAC1CEA" w14:textId="77777777" w:rsidR="00386CF6" w:rsidRPr="00B92F1D" w:rsidRDefault="00386CF6" w:rsidP="003D69CB">
            <w:pPr>
              <w:keepNext/>
              <w:widowControl w:val="0"/>
              <w:jc w:val="center"/>
              <w:rPr>
                <w:rFonts w:ascii="Verdana" w:hAnsi="Verdana" w:cs="Arial"/>
                <w:b/>
                <w:lang w:val="en-GB"/>
              </w:rPr>
            </w:pPr>
          </w:p>
        </w:tc>
      </w:tr>
      <w:tr w:rsidR="00386CF6" w:rsidRPr="00B92F1D" w14:paraId="21B119EF" w14:textId="77777777" w:rsidTr="00386CF6">
        <w:tc>
          <w:tcPr>
            <w:tcW w:w="4598" w:type="dxa"/>
          </w:tcPr>
          <w:p w14:paraId="79508952" w14:textId="6B57DA6E" w:rsidR="00386CF6" w:rsidRPr="00B92F1D" w:rsidRDefault="00CA7DFE" w:rsidP="003D69CB">
            <w:pPr>
              <w:keepNext/>
              <w:widowControl w:val="0"/>
              <w:jc w:val="center"/>
              <w:rPr>
                <w:rFonts w:ascii="Verdana" w:hAnsi="Verdana" w:cs="Arial"/>
                <w:b/>
                <w:lang w:val="en-GB"/>
              </w:rPr>
            </w:pPr>
            <w:r w:rsidRPr="00B92F1D">
              <w:rPr>
                <w:rFonts w:ascii="Verdana" w:hAnsi="Verdana" w:cs="Arial"/>
                <w:b/>
                <w:lang w:val="en-GB"/>
              </w:rPr>
              <w:t>F BEZUIDENHOUT</w:t>
            </w:r>
          </w:p>
        </w:tc>
      </w:tr>
      <w:tr w:rsidR="00386CF6" w:rsidRPr="00B92F1D" w14:paraId="0B981C37" w14:textId="77777777" w:rsidTr="00386CF6">
        <w:tc>
          <w:tcPr>
            <w:tcW w:w="4598" w:type="dxa"/>
          </w:tcPr>
          <w:p w14:paraId="223CA524" w14:textId="77777777" w:rsidR="00386CF6" w:rsidRPr="00B92F1D" w:rsidRDefault="00386CF6" w:rsidP="003D69CB">
            <w:pPr>
              <w:keepNext/>
              <w:widowControl w:val="0"/>
              <w:jc w:val="center"/>
              <w:rPr>
                <w:rFonts w:ascii="Verdana" w:hAnsi="Verdana" w:cs="Arial"/>
                <w:b/>
                <w:lang w:val="en-GB"/>
              </w:rPr>
            </w:pPr>
          </w:p>
        </w:tc>
      </w:tr>
      <w:tr w:rsidR="00386CF6" w:rsidRPr="00B92F1D" w14:paraId="14E05DDE" w14:textId="77777777" w:rsidTr="00386CF6">
        <w:tc>
          <w:tcPr>
            <w:tcW w:w="4598" w:type="dxa"/>
          </w:tcPr>
          <w:p w14:paraId="657F1E0E" w14:textId="77777777" w:rsidR="00E478FD" w:rsidRPr="00B92F1D" w:rsidRDefault="00E478FD" w:rsidP="003D69CB">
            <w:pPr>
              <w:keepNext/>
              <w:widowControl w:val="0"/>
              <w:jc w:val="center"/>
              <w:rPr>
                <w:rFonts w:ascii="Verdana" w:hAnsi="Verdana" w:cs="Arial"/>
                <w:b/>
                <w:lang w:val="en-GB"/>
              </w:rPr>
            </w:pPr>
            <w:r w:rsidRPr="00B92F1D">
              <w:rPr>
                <w:rFonts w:ascii="Verdana" w:hAnsi="Verdana" w:cs="Arial"/>
                <w:b/>
                <w:lang w:val="en-GB"/>
              </w:rPr>
              <w:t xml:space="preserve">ACTING </w:t>
            </w:r>
            <w:r w:rsidR="00386CF6" w:rsidRPr="00B92F1D">
              <w:rPr>
                <w:rFonts w:ascii="Verdana" w:hAnsi="Verdana" w:cs="Arial"/>
                <w:b/>
                <w:lang w:val="en-GB"/>
              </w:rPr>
              <w:t xml:space="preserve">JUDGE OF </w:t>
            </w:r>
          </w:p>
          <w:p w14:paraId="58B0E224" w14:textId="77777777" w:rsidR="00386CF6" w:rsidRPr="00B92F1D" w:rsidRDefault="00386CF6" w:rsidP="003D69CB">
            <w:pPr>
              <w:keepNext/>
              <w:widowControl w:val="0"/>
              <w:jc w:val="center"/>
              <w:rPr>
                <w:rFonts w:ascii="Verdana" w:hAnsi="Verdana" w:cs="Arial"/>
                <w:lang w:val="en-GB"/>
              </w:rPr>
            </w:pPr>
            <w:r w:rsidRPr="00B92F1D">
              <w:rPr>
                <w:rFonts w:ascii="Verdana" w:hAnsi="Verdana" w:cs="Arial"/>
                <w:b/>
                <w:lang w:val="en-GB"/>
              </w:rPr>
              <w:t>THE HIGH COURT</w:t>
            </w:r>
          </w:p>
        </w:tc>
      </w:tr>
    </w:tbl>
    <w:p w14:paraId="09900717" w14:textId="278316D9" w:rsidR="005F12F1" w:rsidRPr="00B92F1D" w:rsidRDefault="005F12F1" w:rsidP="003D69CB">
      <w:pPr>
        <w:widowControl w:val="0"/>
        <w:spacing w:after="360" w:line="240" w:lineRule="auto"/>
        <w:rPr>
          <w:rFonts w:ascii="Verdana" w:hAnsi="Verdana" w:cs="Arial"/>
          <w:b/>
          <w:lang w:val="en-GB"/>
        </w:rPr>
      </w:pPr>
    </w:p>
    <w:p w14:paraId="6B1048F6" w14:textId="77777777" w:rsidR="00BC696C" w:rsidRPr="00B92F1D" w:rsidRDefault="00BC696C" w:rsidP="003D69CB">
      <w:pPr>
        <w:widowControl w:val="0"/>
        <w:spacing w:after="360" w:line="240" w:lineRule="auto"/>
        <w:rPr>
          <w:rFonts w:ascii="Verdana" w:hAnsi="Verdana" w:cs="Arial"/>
          <w:b/>
          <w:lang w:val="en-GB"/>
        </w:rPr>
      </w:pPr>
    </w:p>
    <w:p w14:paraId="7C344E2A" w14:textId="2E022971" w:rsidR="005E68B0" w:rsidRPr="00B92F1D" w:rsidRDefault="005E68B0" w:rsidP="005E68B0">
      <w:pPr>
        <w:widowControl w:val="0"/>
        <w:tabs>
          <w:tab w:val="left" w:pos="3969"/>
        </w:tabs>
        <w:spacing w:after="360" w:line="240" w:lineRule="auto"/>
        <w:rPr>
          <w:rFonts w:ascii="Verdana" w:hAnsi="Verdana" w:cs="Arial"/>
          <w:b/>
          <w:lang w:val="en-GB"/>
        </w:rPr>
      </w:pPr>
      <w:r w:rsidRPr="00B92F1D">
        <w:rPr>
          <w:rFonts w:ascii="Verdana" w:hAnsi="Verdana" w:cs="Arial"/>
          <w:b/>
          <w:lang w:val="en-GB"/>
        </w:rPr>
        <w:t>DATE OF HEARING:</w:t>
      </w:r>
      <w:r w:rsidRPr="00B92F1D">
        <w:rPr>
          <w:rFonts w:ascii="Verdana" w:hAnsi="Verdana" w:cs="Arial"/>
          <w:b/>
          <w:lang w:val="en-GB"/>
        </w:rPr>
        <w:tab/>
      </w:r>
      <w:r w:rsidR="00024042" w:rsidRPr="00B92F1D">
        <w:rPr>
          <w:rFonts w:ascii="Verdana" w:hAnsi="Verdana" w:cs="Arial"/>
          <w:b/>
          <w:lang w:val="en-GB"/>
        </w:rPr>
        <w:t xml:space="preserve">23 August </w:t>
      </w:r>
      <w:r w:rsidR="00650EFA" w:rsidRPr="00B92F1D">
        <w:rPr>
          <w:rFonts w:ascii="Verdana" w:hAnsi="Verdana" w:cs="Arial"/>
          <w:b/>
          <w:lang w:val="en-GB"/>
        </w:rPr>
        <w:t>2021</w:t>
      </w:r>
    </w:p>
    <w:p w14:paraId="33BAE81D" w14:textId="20FB5D74" w:rsidR="005F12F1" w:rsidRPr="00B92F1D" w:rsidRDefault="005F12F1" w:rsidP="005E68B0">
      <w:pPr>
        <w:widowControl w:val="0"/>
        <w:tabs>
          <w:tab w:val="left" w:pos="3969"/>
        </w:tabs>
        <w:spacing w:after="360" w:line="240" w:lineRule="auto"/>
        <w:rPr>
          <w:rFonts w:ascii="Verdana" w:hAnsi="Verdana" w:cs="Arial"/>
          <w:b/>
          <w:lang w:val="en-GB"/>
        </w:rPr>
      </w:pPr>
      <w:r w:rsidRPr="00B92F1D">
        <w:rPr>
          <w:rFonts w:ascii="Verdana" w:hAnsi="Verdana" w:cs="Arial"/>
          <w:b/>
          <w:lang w:val="en-GB"/>
        </w:rPr>
        <w:t>DATE OF JUDGMENT:</w:t>
      </w:r>
      <w:r w:rsidRPr="00B92F1D">
        <w:rPr>
          <w:rFonts w:ascii="Verdana" w:hAnsi="Verdana" w:cs="Arial"/>
          <w:b/>
          <w:lang w:val="en-GB"/>
        </w:rPr>
        <w:tab/>
      </w:r>
      <w:r w:rsidR="00E31A5D" w:rsidRPr="00B92F1D">
        <w:rPr>
          <w:rFonts w:ascii="Verdana" w:hAnsi="Verdana" w:cs="Arial"/>
          <w:b/>
          <w:lang w:val="en-GB"/>
        </w:rPr>
        <w:t>14 December</w:t>
      </w:r>
      <w:r w:rsidR="00A53EA8" w:rsidRPr="00B92F1D">
        <w:rPr>
          <w:rFonts w:ascii="Verdana" w:hAnsi="Verdana" w:cs="Arial"/>
          <w:b/>
          <w:lang w:val="en-GB"/>
        </w:rPr>
        <w:t xml:space="preserve"> </w:t>
      </w:r>
      <w:r w:rsidR="00650EFA" w:rsidRPr="00B92F1D">
        <w:rPr>
          <w:rFonts w:ascii="Verdana" w:hAnsi="Verdana" w:cs="Arial"/>
          <w:b/>
          <w:lang w:val="en-GB"/>
        </w:rPr>
        <w:t>2021</w:t>
      </w:r>
    </w:p>
    <w:p w14:paraId="60684066" w14:textId="77777777" w:rsidR="00C4685D" w:rsidRPr="00B92F1D" w:rsidRDefault="00C4685D" w:rsidP="003D69CB">
      <w:pPr>
        <w:widowControl w:val="0"/>
        <w:spacing w:after="360" w:line="240" w:lineRule="auto"/>
        <w:rPr>
          <w:rFonts w:ascii="Verdana" w:hAnsi="Verdana" w:cs="Arial"/>
          <w:b/>
          <w:lang w:val="en-GB"/>
        </w:rPr>
      </w:pPr>
    </w:p>
    <w:p w14:paraId="32B78198" w14:textId="77777777" w:rsidR="00386CF6" w:rsidRPr="00B92F1D" w:rsidRDefault="00386CF6" w:rsidP="003D69CB">
      <w:pPr>
        <w:keepNext/>
        <w:widowControl w:val="0"/>
        <w:spacing w:after="360" w:line="240" w:lineRule="auto"/>
        <w:rPr>
          <w:rFonts w:ascii="Verdana" w:hAnsi="Verdana" w:cs="Arial"/>
          <w:b/>
          <w:lang w:val="en-GB"/>
        </w:rPr>
      </w:pPr>
      <w:r w:rsidRPr="00B92F1D">
        <w:rPr>
          <w:rFonts w:ascii="Verdana" w:hAnsi="Verdana" w:cs="Arial"/>
          <w:b/>
          <w:lang w:val="en-GB"/>
        </w:rPr>
        <w:t>APPEARANCES</w:t>
      </w:r>
      <w:r w:rsidR="00857F8F" w:rsidRPr="00B92F1D">
        <w:rPr>
          <w:rFonts w:ascii="Verdana" w:hAnsi="Verdana" w:cs="Arial"/>
          <w:b/>
          <w:lang w:val="en-GB"/>
        </w:rPr>
        <w:t>:</w:t>
      </w:r>
    </w:p>
    <w:p w14:paraId="44F369FA" w14:textId="7282AC04" w:rsidR="001226BB" w:rsidRPr="00B92F1D" w:rsidRDefault="00386CF6" w:rsidP="003D69CB">
      <w:pPr>
        <w:keepNext/>
        <w:widowControl w:val="0"/>
        <w:tabs>
          <w:tab w:val="left" w:pos="3969"/>
        </w:tabs>
        <w:spacing w:line="240" w:lineRule="auto"/>
        <w:rPr>
          <w:rFonts w:ascii="Verdana" w:hAnsi="Verdana" w:cs="Arial"/>
          <w:lang w:val="en-GB"/>
        </w:rPr>
      </w:pPr>
      <w:r w:rsidRPr="00B92F1D">
        <w:rPr>
          <w:rFonts w:ascii="Verdana" w:hAnsi="Verdana" w:cs="Arial"/>
          <w:b/>
          <w:lang w:val="en-GB"/>
        </w:rPr>
        <w:t xml:space="preserve">On </w:t>
      </w:r>
      <w:r w:rsidR="00D136E5" w:rsidRPr="00B92F1D">
        <w:rPr>
          <w:rFonts w:ascii="Verdana" w:hAnsi="Verdana" w:cs="Arial"/>
          <w:b/>
          <w:lang w:val="en-GB"/>
        </w:rPr>
        <w:t>b</w:t>
      </w:r>
      <w:r w:rsidRPr="00B92F1D">
        <w:rPr>
          <w:rFonts w:ascii="Verdana" w:hAnsi="Verdana" w:cs="Arial"/>
          <w:b/>
          <w:lang w:val="en-GB"/>
        </w:rPr>
        <w:t xml:space="preserve">ehalf of </w:t>
      </w:r>
      <w:r w:rsidR="002C6694" w:rsidRPr="00B92F1D">
        <w:rPr>
          <w:rFonts w:ascii="Verdana" w:hAnsi="Verdana" w:cs="Arial"/>
          <w:b/>
          <w:lang w:val="en-GB"/>
        </w:rPr>
        <w:t>applicant</w:t>
      </w:r>
      <w:r w:rsidRPr="00B92F1D">
        <w:rPr>
          <w:rFonts w:ascii="Verdana" w:hAnsi="Verdana" w:cs="Arial"/>
          <w:b/>
          <w:lang w:val="en-GB"/>
        </w:rPr>
        <w:t xml:space="preserve">: </w:t>
      </w:r>
      <w:r w:rsidRPr="00B92F1D">
        <w:rPr>
          <w:rFonts w:ascii="Verdana" w:hAnsi="Verdana" w:cs="Arial"/>
          <w:b/>
          <w:lang w:val="en-GB"/>
        </w:rPr>
        <w:tab/>
      </w:r>
      <w:proofErr w:type="spellStart"/>
      <w:r w:rsidR="00AC20D2" w:rsidRPr="00B92F1D">
        <w:rPr>
          <w:rFonts w:ascii="Verdana" w:hAnsi="Verdana" w:cs="Arial"/>
          <w:lang w:val="en-GB"/>
        </w:rPr>
        <w:t>Adv</w:t>
      </w:r>
      <w:proofErr w:type="spellEnd"/>
      <w:r w:rsidR="00AC20D2" w:rsidRPr="00B92F1D">
        <w:rPr>
          <w:rFonts w:ascii="Verdana" w:hAnsi="Verdana" w:cs="Arial"/>
          <w:lang w:val="en-GB"/>
        </w:rPr>
        <w:t xml:space="preserve"> </w:t>
      </w:r>
      <w:proofErr w:type="spellStart"/>
      <w:r w:rsidR="00024042" w:rsidRPr="00B92F1D">
        <w:rPr>
          <w:rFonts w:ascii="Verdana" w:hAnsi="Verdana" w:cs="Arial"/>
          <w:lang w:val="en-GB"/>
        </w:rPr>
        <w:t>Jabu</w:t>
      </w:r>
      <w:proofErr w:type="spellEnd"/>
      <w:r w:rsidR="00024042" w:rsidRPr="00B92F1D">
        <w:rPr>
          <w:rFonts w:ascii="Verdana" w:hAnsi="Verdana" w:cs="Arial"/>
          <w:lang w:val="en-GB"/>
        </w:rPr>
        <w:t xml:space="preserve"> </w:t>
      </w:r>
      <w:proofErr w:type="spellStart"/>
      <w:r w:rsidR="00024042" w:rsidRPr="00B92F1D">
        <w:rPr>
          <w:rFonts w:ascii="Verdana" w:hAnsi="Verdana" w:cs="Arial"/>
          <w:lang w:val="en-GB"/>
        </w:rPr>
        <w:t>Mabaso</w:t>
      </w:r>
      <w:proofErr w:type="spellEnd"/>
    </w:p>
    <w:p w14:paraId="1A0E17FB" w14:textId="562A6BB6" w:rsidR="00024042" w:rsidRPr="00B92F1D" w:rsidRDefault="00E924F6" w:rsidP="00024042">
      <w:pPr>
        <w:keepNext/>
        <w:widowControl w:val="0"/>
        <w:tabs>
          <w:tab w:val="left" w:pos="3969"/>
        </w:tabs>
        <w:spacing w:line="240" w:lineRule="auto"/>
        <w:ind w:left="3969"/>
        <w:rPr>
          <w:rFonts w:ascii="Verdana" w:hAnsi="Verdana" w:cs="Arial"/>
          <w:lang w:val="en-GB"/>
        </w:rPr>
      </w:pPr>
      <w:hyperlink r:id="rId11" w:history="1">
        <w:r w:rsidR="00024042" w:rsidRPr="00B92F1D">
          <w:rPr>
            <w:rStyle w:val="Hyperlink"/>
            <w:rFonts w:ascii="Verdana" w:hAnsi="Verdana" w:cs="Arial"/>
            <w:lang w:val="en-GB"/>
          </w:rPr>
          <w:t>jabu@mabasolaw.co.za</w:t>
        </w:r>
      </w:hyperlink>
      <w:r w:rsidR="00024042" w:rsidRPr="00B92F1D">
        <w:rPr>
          <w:rFonts w:ascii="Verdana" w:hAnsi="Verdana" w:cs="Arial"/>
          <w:lang w:val="en-GB"/>
        </w:rPr>
        <w:t xml:space="preserve"> </w:t>
      </w:r>
    </w:p>
    <w:p w14:paraId="6DF48386" w14:textId="77777777" w:rsidR="00E723A4" w:rsidRPr="00B92F1D" w:rsidRDefault="00E723A4" w:rsidP="00E723A4">
      <w:pPr>
        <w:keepNext/>
        <w:widowControl w:val="0"/>
        <w:tabs>
          <w:tab w:val="left" w:pos="3969"/>
        </w:tabs>
        <w:spacing w:line="240" w:lineRule="auto"/>
        <w:ind w:left="3969"/>
        <w:rPr>
          <w:rFonts w:ascii="Verdana" w:hAnsi="Verdana" w:cs="Arial"/>
          <w:bCs/>
          <w:lang w:val="en-GB"/>
        </w:rPr>
      </w:pPr>
    </w:p>
    <w:p w14:paraId="51ABCC16" w14:textId="681F78A1" w:rsidR="005D7F7B" w:rsidRPr="00B92F1D" w:rsidRDefault="005D7F7B" w:rsidP="005D7F7B">
      <w:pPr>
        <w:keepNext/>
        <w:widowControl w:val="0"/>
        <w:tabs>
          <w:tab w:val="left" w:pos="3969"/>
        </w:tabs>
        <w:spacing w:after="120" w:line="240" w:lineRule="auto"/>
        <w:ind w:firstLine="720"/>
        <w:rPr>
          <w:rFonts w:ascii="Verdana" w:hAnsi="Verdana" w:cs="Arial"/>
          <w:lang w:val="en-GB"/>
        </w:rPr>
      </w:pPr>
      <w:r w:rsidRPr="00B92F1D">
        <w:rPr>
          <w:rFonts w:ascii="Verdana" w:hAnsi="Verdana" w:cs="Arial"/>
          <w:b/>
          <w:lang w:val="en-GB"/>
        </w:rPr>
        <w:t>Instructed by:</w:t>
      </w:r>
      <w:r w:rsidRPr="00B92F1D">
        <w:rPr>
          <w:rFonts w:ascii="Verdana" w:hAnsi="Verdana" w:cs="Arial"/>
          <w:lang w:val="en-GB"/>
        </w:rPr>
        <w:t xml:space="preserve"> </w:t>
      </w:r>
      <w:r w:rsidRPr="00B92F1D">
        <w:rPr>
          <w:rFonts w:ascii="Verdana" w:hAnsi="Verdana" w:cs="Arial"/>
          <w:lang w:val="en-GB"/>
        </w:rPr>
        <w:tab/>
      </w:r>
      <w:r w:rsidR="00024042" w:rsidRPr="00B92F1D">
        <w:rPr>
          <w:rFonts w:ascii="Verdana" w:hAnsi="Verdana" w:cs="Arial"/>
          <w:lang w:val="en-GB"/>
        </w:rPr>
        <w:t xml:space="preserve">VM </w:t>
      </w:r>
      <w:proofErr w:type="spellStart"/>
      <w:r w:rsidR="00024042" w:rsidRPr="00B92F1D">
        <w:rPr>
          <w:rFonts w:ascii="Verdana" w:hAnsi="Verdana" w:cs="Arial"/>
          <w:lang w:val="en-GB"/>
        </w:rPr>
        <w:t>Mashele</w:t>
      </w:r>
      <w:proofErr w:type="spellEnd"/>
      <w:r w:rsidR="00024042" w:rsidRPr="00B92F1D">
        <w:rPr>
          <w:rFonts w:ascii="Verdana" w:hAnsi="Verdana" w:cs="Arial"/>
          <w:lang w:val="en-GB"/>
        </w:rPr>
        <w:t xml:space="preserve"> Attorneys</w:t>
      </w:r>
    </w:p>
    <w:p w14:paraId="1A63A6A3" w14:textId="5BAB8737" w:rsidR="00024042" w:rsidRPr="00B92F1D" w:rsidRDefault="00024042" w:rsidP="00024042">
      <w:pPr>
        <w:keepNext/>
        <w:widowControl w:val="0"/>
        <w:tabs>
          <w:tab w:val="left" w:pos="3969"/>
        </w:tabs>
        <w:spacing w:after="120" w:line="240" w:lineRule="auto"/>
        <w:ind w:left="3600" w:firstLine="369"/>
        <w:rPr>
          <w:rFonts w:ascii="Verdana" w:hAnsi="Verdana" w:cs="Arial"/>
          <w:lang w:val="en-GB"/>
        </w:rPr>
      </w:pPr>
      <w:r w:rsidRPr="00B92F1D">
        <w:rPr>
          <w:rFonts w:ascii="Verdana" w:hAnsi="Verdana" w:cs="Arial"/>
          <w:lang w:val="en-GB"/>
        </w:rPr>
        <w:t>Tel: (011) 980-5651</w:t>
      </w:r>
    </w:p>
    <w:p w14:paraId="05CECF28" w14:textId="5BD4EA3B" w:rsidR="00024042" w:rsidRPr="00B92F1D" w:rsidRDefault="00E924F6" w:rsidP="00024042">
      <w:pPr>
        <w:keepNext/>
        <w:widowControl w:val="0"/>
        <w:tabs>
          <w:tab w:val="left" w:pos="3969"/>
        </w:tabs>
        <w:spacing w:after="120" w:line="240" w:lineRule="auto"/>
        <w:ind w:left="2880" w:firstLine="1089"/>
        <w:rPr>
          <w:rFonts w:ascii="Verdana" w:hAnsi="Verdana" w:cs="Arial"/>
          <w:lang w:val="en-GB"/>
        </w:rPr>
      </w:pPr>
      <w:hyperlink r:id="rId12" w:history="1">
        <w:r w:rsidR="00024042" w:rsidRPr="00B92F1D">
          <w:rPr>
            <w:rStyle w:val="Hyperlink"/>
            <w:rFonts w:ascii="Verdana" w:hAnsi="Verdana" w:cs="Arial"/>
            <w:lang w:val="en-GB"/>
          </w:rPr>
          <w:t>info@vmmasheleattorneys.co.za</w:t>
        </w:r>
      </w:hyperlink>
      <w:r w:rsidR="00024042" w:rsidRPr="00B92F1D">
        <w:rPr>
          <w:rFonts w:ascii="Verdana" w:hAnsi="Verdana" w:cs="Arial"/>
          <w:lang w:val="en-GB"/>
        </w:rPr>
        <w:t xml:space="preserve"> </w:t>
      </w:r>
    </w:p>
    <w:p w14:paraId="3B4BE232" w14:textId="77777777" w:rsidR="005D7F7B" w:rsidRPr="00B92F1D" w:rsidRDefault="005D7F7B" w:rsidP="005D7F7B">
      <w:pPr>
        <w:widowControl w:val="0"/>
        <w:tabs>
          <w:tab w:val="left" w:pos="3969"/>
        </w:tabs>
        <w:spacing w:after="240" w:line="240" w:lineRule="auto"/>
        <w:rPr>
          <w:rFonts w:ascii="Verdana" w:hAnsi="Verdana" w:cs="Arial"/>
          <w:lang w:val="en-GB"/>
        </w:rPr>
      </w:pPr>
    </w:p>
    <w:p w14:paraId="42CD505E" w14:textId="637FFF30" w:rsidR="00024042" w:rsidRPr="00B92F1D" w:rsidRDefault="00386CF6" w:rsidP="00024042">
      <w:pPr>
        <w:keepNext/>
        <w:widowControl w:val="0"/>
        <w:tabs>
          <w:tab w:val="left" w:pos="3969"/>
        </w:tabs>
        <w:spacing w:line="240" w:lineRule="auto"/>
        <w:rPr>
          <w:rFonts w:ascii="Verdana" w:hAnsi="Verdana" w:cs="Arial"/>
          <w:lang w:val="en-GB"/>
        </w:rPr>
      </w:pPr>
      <w:r w:rsidRPr="00B92F1D">
        <w:rPr>
          <w:rFonts w:ascii="Verdana" w:hAnsi="Verdana" w:cs="Arial"/>
          <w:b/>
          <w:lang w:val="en-GB"/>
        </w:rPr>
        <w:t xml:space="preserve">On </w:t>
      </w:r>
      <w:r w:rsidR="00D136E5" w:rsidRPr="00B92F1D">
        <w:rPr>
          <w:rFonts w:ascii="Verdana" w:hAnsi="Verdana" w:cs="Arial"/>
          <w:b/>
          <w:lang w:val="en-GB"/>
        </w:rPr>
        <w:t>b</w:t>
      </w:r>
      <w:r w:rsidRPr="00B92F1D">
        <w:rPr>
          <w:rFonts w:ascii="Verdana" w:hAnsi="Verdana" w:cs="Arial"/>
          <w:b/>
          <w:lang w:val="en-GB"/>
        </w:rPr>
        <w:t xml:space="preserve">ehalf of </w:t>
      </w:r>
      <w:r w:rsidR="00024042" w:rsidRPr="00B92F1D">
        <w:rPr>
          <w:rFonts w:ascii="Verdana" w:hAnsi="Verdana" w:cs="Arial"/>
          <w:b/>
          <w:lang w:val="en-GB"/>
        </w:rPr>
        <w:t xml:space="preserve">first </w:t>
      </w:r>
      <w:r w:rsidR="002C6694" w:rsidRPr="00B92F1D">
        <w:rPr>
          <w:rFonts w:ascii="Verdana" w:hAnsi="Verdana" w:cs="Arial"/>
          <w:b/>
          <w:lang w:val="en-GB"/>
        </w:rPr>
        <w:t>respondent</w:t>
      </w:r>
      <w:r w:rsidRPr="00B92F1D">
        <w:rPr>
          <w:rFonts w:ascii="Verdana" w:hAnsi="Verdana" w:cs="Arial"/>
          <w:b/>
          <w:lang w:val="en-GB"/>
        </w:rPr>
        <w:t xml:space="preserve">: </w:t>
      </w:r>
      <w:r w:rsidR="0006790C" w:rsidRPr="00B92F1D">
        <w:rPr>
          <w:rFonts w:ascii="Verdana" w:hAnsi="Verdana" w:cs="Arial"/>
          <w:lang w:val="en-GB"/>
        </w:rPr>
        <w:t xml:space="preserve"> </w:t>
      </w:r>
      <w:r w:rsidR="00D136E5" w:rsidRPr="00B92F1D">
        <w:rPr>
          <w:rFonts w:ascii="Verdana" w:hAnsi="Verdana" w:cs="Arial"/>
          <w:lang w:val="en-GB"/>
        </w:rPr>
        <w:tab/>
      </w:r>
      <w:proofErr w:type="spellStart"/>
      <w:r w:rsidR="00024042" w:rsidRPr="00B92F1D">
        <w:rPr>
          <w:rFonts w:ascii="Verdana" w:hAnsi="Verdana" w:cs="Arial"/>
          <w:lang w:val="en-GB"/>
        </w:rPr>
        <w:t>Adv</w:t>
      </w:r>
      <w:proofErr w:type="spellEnd"/>
      <w:r w:rsidR="00024042" w:rsidRPr="00B92F1D">
        <w:rPr>
          <w:rFonts w:ascii="Verdana" w:hAnsi="Verdana" w:cs="Arial"/>
          <w:lang w:val="en-GB"/>
        </w:rPr>
        <w:t xml:space="preserve"> L Mhlanga</w:t>
      </w:r>
    </w:p>
    <w:p w14:paraId="406DBEC3" w14:textId="4A73121A" w:rsidR="00024042" w:rsidRPr="00B92F1D" w:rsidRDefault="00024042" w:rsidP="00024042">
      <w:pPr>
        <w:keepNext/>
        <w:widowControl w:val="0"/>
        <w:tabs>
          <w:tab w:val="left" w:pos="3969"/>
        </w:tabs>
        <w:spacing w:line="240" w:lineRule="auto"/>
        <w:ind w:left="3969"/>
        <w:rPr>
          <w:rFonts w:ascii="Verdana" w:hAnsi="Verdana" w:cs="Arial"/>
          <w:lang w:val="en-GB"/>
        </w:rPr>
      </w:pPr>
      <w:r w:rsidRPr="00B92F1D">
        <w:rPr>
          <w:rFonts w:ascii="Verdana" w:hAnsi="Verdana" w:cs="Arial"/>
          <w:lang w:val="en-GB"/>
        </w:rPr>
        <w:t>Tel: (010) 534-5821</w:t>
      </w:r>
    </w:p>
    <w:p w14:paraId="59910F46" w14:textId="1FD90744" w:rsidR="00024042" w:rsidRPr="00B92F1D" w:rsidRDefault="00E924F6" w:rsidP="00024042">
      <w:pPr>
        <w:keepNext/>
        <w:widowControl w:val="0"/>
        <w:tabs>
          <w:tab w:val="left" w:pos="3969"/>
        </w:tabs>
        <w:spacing w:line="240" w:lineRule="auto"/>
        <w:ind w:left="3969"/>
        <w:rPr>
          <w:rFonts w:ascii="Verdana" w:hAnsi="Verdana" w:cs="Arial"/>
          <w:lang w:val="en-GB"/>
        </w:rPr>
      </w:pPr>
      <w:hyperlink r:id="rId13" w:history="1">
        <w:r w:rsidR="00024042" w:rsidRPr="00B92F1D">
          <w:rPr>
            <w:rStyle w:val="Hyperlink"/>
            <w:rFonts w:ascii="Verdana" w:hAnsi="Verdana" w:cs="Arial"/>
            <w:lang w:val="en-GB"/>
          </w:rPr>
          <w:t>advmhlanga@gmail.com</w:t>
        </w:r>
      </w:hyperlink>
      <w:r w:rsidR="00024042" w:rsidRPr="00B92F1D">
        <w:rPr>
          <w:rFonts w:ascii="Verdana" w:hAnsi="Verdana" w:cs="Arial"/>
          <w:lang w:val="en-GB"/>
        </w:rPr>
        <w:t xml:space="preserve"> </w:t>
      </w:r>
    </w:p>
    <w:p w14:paraId="2D03C433" w14:textId="77777777" w:rsidR="00024042" w:rsidRPr="00B92F1D" w:rsidRDefault="00024042" w:rsidP="00024042">
      <w:pPr>
        <w:keepNext/>
        <w:widowControl w:val="0"/>
        <w:tabs>
          <w:tab w:val="left" w:pos="3969"/>
        </w:tabs>
        <w:spacing w:line="240" w:lineRule="auto"/>
        <w:ind w:left="3969"/>
        <w:rPr>
          <w:rFonts w:ascii="Verdana" w:hAnsi="Verdana" w:cs="Arial"/>
          <w:bCs/>
          <w:lang w:val="en-GB"/>
        </w:rPr>
      </w:pPr>
    </w:p>
    <w:p w14:paraId="048AB538" w14:textId="431C3626" w:rsidR="00024042" w:rsidRPr="00B92F1D" w:rsidRDefault="00024042" w:rsidP="00024042">
      <w:pPr>
        <w:keepNext/>
        <w:widowControl w:val="0"/>
        <w:tabs>
          <w:tab w:val="left" w:pos="3969"/>
        </w:tabs>
        <w:spacing w:after="120" w:line="240" w:lineRule="auto"/>
        <w:ind w:firstLine="720"/>
        <w:rPr>
          <w:rFonts w:ascii="Verdana" w:hAnsi="Verdana" w:cs="Arial"/>
          <w:lang w:val="en-GB"/>
        </w:rPr>
      </w:pPr>
      <w:r w:rsidRPr="00B92F1D">
        <w:rPr>
          <w:rFonts w:ascii="Verdana" w:hAnsi="Verdana" w:cs="Arial"/>
          <w:b/>
          <w:lang w:val="en-GB"/>
        </w:rPr>
        <w:t>Instructed by:</w:t>
      </w:r>
      <w:r w:rsidRPr="00B92F1D">
        <w:rPr>
          <w:rFonts w:ascii="Verdana" w:hAnsi="Verdana" w:cs="Arial"/>
          <w:lang w:val="en-GB"/>
        </w:rPr>
        <w:t xml:space="preserve"> </w:t>
      </w:r>
      <w:r w:rsidRPr="00B92F1D">
        <w:rPr>
          <w:rFonts w:ascii="Verdana" w:hAnsi="Verdana" w:cs="Arial"/>
          <w:lang w:val="en-GB"/>
        </w:rPr>
        <w:tab/>
      </w:r>
      <w:proofErr w:type="spellStart"/>
      <w:r w:rsidRPr="00B92F1D">
        <w:rPr>
          <w:rFonts w:ascii="Verdana" w:hAnsi="Verdana" w:cs="Arial"/>
          <w:lang w:val="en-GB"/>
        </w:rPr>
        <w:t>Dudula</w:t>
      </w:r>
      <w:proofErr w:type="spellEnd"/>
      <w:r w:rsidRPr="00B92F1D">
        <w:rPr>
          <w:rFonts w:ascii="Verdana" w:hAnsi="Verdana" w:cs="Arial"/>
          <w:lang w:val="en-GB"/>
        </w:rPr>
        <w:t xml:space="preserve"> Attorneys</w:t>
      </w:r>
    </w:p>
    <w:p w14:paraId="5856CCE8" w14:textId="3E996C10" w:rsidR="00024042" w:rsidRPr="00B92F1D" w:rsidRDefault="00024042" w:rsidP="00024042">
      <w:pPr>
        <w:keepNext/>
        <w:widowControl w:val="0"/>
        <w:tabs>
          <w:tab w:val="left" w:pos="3969"/>
        </w:tabs>
        <w:spacing w:after="120" w:line="240" w:lineRule="auto"/>
        <w:ind w:left="3600" w:firstLine="369"/>
        <w:rPr>
          <w:rFonts w:ascii="Verdana" w:hAnsi="Verdana" w:cs="Arial"/>
          <w:lang w:val="en-GB"/>
        </w:rPr>
      </w:pPr>
      <w:r w:rsidRPr="00B92F1D">
        <w:rPr>
          <w:rFonts w:ascii="Verdana" w:hAnsi="Verdana" w:cs="Arial"/>
          <w:lang w:val="en-GB"/>
        </w:rPr>
        <w:t>Tel: (011) 331-1585</w:t>
      </w:r>
    </w:p>
    <w:p w14:paraId="4615B17F" w14:textId="0833C175" w:rsidR="00AC20D2" w:rsidRPr="00B92F1D" w:rsidRDefault="00E924F6" w:rsidP="00024042">
      <w:pPr>
        <w:keepNext/>
        <w:widowControl w:val="0"/>
        <w:tabs>
          <w:tab w:val="left" w:pos="3969"/>
        </w:tabs>
        <w:spacing w:line="240" w:lineRule="auto"/>
        <w:ind w:left="3969"/>
        <w:rPr>
          <w:rFonts w:ascii="Verdana" w:hAnsi="Verdana" w:cs="Arial"/>
          <w:bCs/>
          <w:lang w:val="en-GB"/>
        </w:rPr>
      </w:pPr>
      <w:hyperlink r:id="rId14" w:history="1">
        <w:r w:rsidR="00024042" w:rsidRPr="00B92F1D">
          <w:rPr>
            <w:rStyle w:val="Hyperlink"/>
            <w:rFonts w:ascii="Verdana" w:hAnsi="Verdana" w:cs="Arial"/>
            <w:lang w:val="en-GB"/>
          </w:rPr>
          <w:t>yandisa@ydattorneys.co.za</w:t>
        </w:r>
      </w:hyperlink>
      <w:r w:rsidR="00024042" w:rsidRPr="00B92F1D">
        <w:rPr>
          <w:rFonts w:ascii="Verdana" w:hAnsi="Verdana" w:cs="Arial"/>
          <w:lang w:val="en-GB"/>
        </w:rPr>
        <w:t xml:space="preserve"> </w:t>
      </w:r>
    </w:p>
    <w:sectPr w:rsidR="00AC20D2" w:rsidRPr="00B92F1D" w:rsidSect="00F46B89">
      <w:headerReference w:type="default" r:id="rId15"/>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70AE7" w14:textId="77777777" w:rsidR="00E924F6" w:rsidRDefault="00E924F6" w:rsidP="009760D6">
      <w:pPr>
        <w:spacing w:after="0" w:line="240" w:lineRule="auto"/>
      </w:pPr>
      <w:r>
        <w:separator/>
      </w:r>
    </w:p>
  </w:endnote>
  <w:endnote w:type="continuationSeparator" w:id="0">
    <w:p w14:paraId="14B3798E" w14:textId="77777777" w:rsidR="00E924F6" w:rsidRDefault="00E924F6" w:rsidP="0097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FF2D2" w14:textId="77777777" w:rsidR="00E924F6" w:rsidRDefault="00E924F6" w:rsidP="009760D6">
      <w:pPr>
        <w:spacing w:after="0" w:line="240" w:lineRule="auto"/>
      </w:pPr>
      <w:r>
        <w:separator/>
      </w:r>
    </w:p>
  </w:footnote>
  <w:footnote w:type="continuationSeparator" w:id="0">
    <w:p w14:paraId="42AF7BE4" w14:textId="77777777" w:rsidR="00E924F6" w:rsidRDefault="00E924F6" w:rsidP="009760D6">
      <w:pPr>
        <w:spacing w:after="0" w:line="240" w:lineRule="auto"/>
      </w:pPr>
      <w:r>
        <w:continuationSeparator/>
      </w:r>
    </w:p>
  </w:footnote>
  <w:footnote w:id="1">
    <w:p w14:paraId="34682E84" w14:textId="1C5E636F" w:rsidR="00762B79" w:rsidRPr="00762B79" w:rsidRDefault="00762B79" w:rsidP="005A06CA">
      <w:pPr>
        <w:pStyle w:val="FootnoteText"/>
        <w:ind w:left="709" w:hanging="709"/>
        <w:jc w:val="both"/>
        <w:rPr>
          <w:lang w:val="en-US"/>
        </w:rPr>
      </w:pPr>
      <w:r>
        <w:rPr>
          <w:rStyle w:val="FootnoteReference"/>
        </w:rPr>
        <w:footnoteRef/>
      </w:r>
      <w:r>
        <w:t xml:space="preserve"> </w:t>
      </w:r>
      <w:r>
        <w:tab/>
      </w:r>
      <w:r w:rsidR="005A06CA">
        <w:rPr>
          <w:lang w:val="en-US"/>
        </w:rPr>
        <w:t>A reference to the “applicant” is an interchangeable reference to the first and second application where relevant.</w:t>
      </w:r>
    </w:p>
  </w:footnote>
  <w:footnote w:id="2">
    <w:p w14:paraId="610B7F52" w14:textId="133A0A9F" w:rsidR="009265CC" w:rsidRPr="00B92F1D" w:rsidRDefault="009265CC">
      <w:pPr>
        <w:pStyle w:val="FootnoteText"/>
        <w:rPr>
          <w:szCs w:val="18"/>
        </w:rPr>
      </w:pPr>
      <w:r w:rsidRPr="00B92F1D">
        <w:rPr>
          <w:rStyle w:val="FootnoteReference"/>
          <w:szCs w:val="18"/>
        </w:rPr>
        <w:footnoteRef/>
      </w:r>
      <w:r w:rsidRPr="00B92F1D">
        <w:rPr>
          <w:szCs w:val="18"/>
        </w:rPr>
        <w:t xml:space="preserve">  </w:t>
      </w:r>
      <w:r w:rsidRPr="00B92F1D">
        <w:rPr>
          <w:szCs w:val="18"/>
        </w:rPr>
        <w:tab/>
      </w:r>
      <w:proofErr w:type="gramStart"/>
      <w:r w:rsidRPr="00B92F1D">
        <w:rPr>
          <w:szCs w:val="18"/>
        </w:rPr>
        <w:t>Founding affidavit, annexure “TGN4”, p 001-20.</w:t>
      </w:r>
      <w:proofErr w:type="gramEnd"/>
    </w:p>
  </w:footnote>
  <w:footnote w:id="3">
    <w:p w14:paraId="30692695" w14:textId="77777777" w:rsidR="00F04025" w:rsidRPr="00B92F1D" w:rsidRDefault="00F04025" w:rsidP="00F04025">
      <w:pPr>
        <w:pStyle w:val="FootnoteText"/>
        <w:rPr>
          <w:szCs w:val="18"/>
        </w:rPr>
      </w:pPr>
      <w:r w:rsidRPr="00B92F1D">
        <w:rPr>
          <w:rStyle w:val="FootnoteReference"/>
          <w:szCs w:val="18"/>
        </w:rPr>
        <w:footnoteRef/>
      </w:r>
      <w:r w:rsidRPr="00B92F1D">
        <w:rPr>
          <w:szCs w:val="18"/>
        </w:rPr>
        <w:t xml:space="preserve"> </w:t>
      </w:r>
      <w:r w:rsidRPr="00B92F1D">
        <w:rPr>
          <w:szCs w:val="18"/>
          <w:lang w:val="en-US"/>
        </w:rPr>
        <w:tab/>
      </w:r>
      <w:proofErr w:type="gramStart"/>
      <w:r w:rsidRPr="00B92F1D">
        <w:rPr>
          <w:szCs w:val="18"/>
        </w:rPr>
        <w:t>Answering affidavit, paragraph 22, p 003-10.</w:t>
      </w:r>
      <w:proofErr w:type="gramEnd"/>
    </w:p>
    <w:p w14:paraId="31EDC6FD" w14:textId="4CF9ED82" w:rsidR="00F04025" w:rsidRPr="00B92F1D" w:rsidRDefault="00F04025">
      <w:pPr>
        <w:pStyle w:val="FootnoteText"/>
        <w:rPr>
          <w:szCs w:val="18"/>
          <w:lang w:val="en-US"/>
        </w:rPr>
      </w:pPr>
    </w:p>
  </w:footnote>
  <w:footnote w:id="4">
    <w:p w14:paraId="310D682A" w14:textId="2D0E0752" w:rsidR="005A06CA" w:rsidRPr="00B92F1D" w:rsidRDefault="009265CC" w:rsidP="005A06CA">
      <w:pPr>
        <w:pStyle w:val="FootnoteText"/>
        <w:ind w:left="720" w:hanging="720"/>
        <w:jc w:val="both"/>
        <w:rPr>
          <w:i/>
          <w:szCs w:val="18"/>
        </w:rPr>
      </w:pPr>
      <w:r w:rsidRPr="00B92F1D">
        <w:rPr>
          <w:rStyle w:val="FootnoteReference"/>
          <w:szCs w:val="18"/>
        </w:rPr>
        <w:footnoteRef/>
      </w:r>
      <w:r w:rsidRPr="00B92F1D">
        <w:rPr>
          <w:szCs w:val="18"/>
        </w:rPr>
        <w:t xml:space="preserve">  </w:t>
      </w:r>
      <w:r w:rsidRPr="00B92F1D">
        <w:rPr>
          <w:szCs w:val="18"/>
        </w:rPr>
        <w:tab/>
        <w:t>Founding affidavit, annexure “TGN5”</w:t>
      </w:r>
      <w:r w:rsidR="005A06CA">
        <w:rPr>
          <w:szCs w:val="18"/>
        </w:rPr>
        <w:t>; p. 001-21</w:t>
      </w:r>
    </w:p>
    <w:p w14:paraId="59BE500B" w14:textId="1FEB1D48" w:rsidR="009265CC" w:rsidRPr="00B92F1D" w:rsidRDefault="009265CC" w:rsidP="005A06CA">
      <w:pPr>
        <w:pStyle w:val="FootnoteText"/>
        <w:jc w:val="both"/>
        <w:rPr>
          <w:i/>
          <w:szCs w:val="18"/>
        </w:rPr>
      </w:pPr>
    </w:p>
  </w:footnote>
  <w:footnote w:id="5">
    <w:p w14:paraId="680830F9" w14:textId="329062B8" w:rsidR="009265CC" w:rsidRPr="00B92F1D" w:rsidRDefault="009265CC">
      <w:pPr>
        <w:pStyle w:val="FootnoteText"/>
        <w:rPr>
          <w:szCs w:val="18"/>
        </w:rPr>
      </w:pPr>
      <w:r w:rsidRPr="00B92F1D">
        <w:rPr>
          <w:rStyle w:val="FootnoteReference"/>
          <w:szCs w:val="18"/>
        </w:rPr>
        <w:footnoteRef/>
      </w:r>
      <w:r w:rsidRPr="00B92F1D">
        <w:rPr>
          <w:szCs w:val="18"/>
        </w:rPr>
        <w:t xml:space="preserve">  </w:t>
      </w:r>
      <w:r w:rsidRPr="00B92F1D">
        <w:rPr>
          <w:szCs w:val="18"/>
        </w:rPr>
        <w:tab/>
      </w:r>
      <w:proofErr w:type="gramStart"/>
      <w:r w:rsidRPr="00B92F1D">
        <w:rPr>
          <w:szCs w:val="18"/>
        </w:rPr>
        <w:t>Founding affidavit, paragraph 9.8, p 001-11.</w:t>
      </w:r>
      <w:proofErr w:type="gramEnd"/>
      <w:r w:rsidRPr="00B92F1D">
        <w:rPr>
          <w:szCs w:val="18"/>
        </w:rPr>
        <w:t xml:space="preserve"> </w:t>
      </w:r>
    </w:p>
  </w:footnote>
  <w:footnote w:id="6">
    <w:p w14:paraId="04582574" w14:textId="0240A604" w:rsidR="009265CC" w:rsidRPr="00B92F1D" w:rsidRDefault="009265CC">
      <w:pPr>
        <w:pStyle w:val="FootnoteText"/>
        <w:rPr>
          <w:szCs w:val="18"/>
        </w:rPr>
      </w:pPr>
      <w:r w:rsidRPr="00B92F1D">
        <w:rPr>
          <w:rStyle w:val="FootnoteReference"/>
          <w:szCs w:val="18"/>
        </w:rPr>
        <w:footnoteRef/>
      </w:r>
      <w:r w:rsidRPr="00B92F1D">
        <w:rPr>
          <w:szCs w:val="18"/>
        </w:rPr>
        <w:t xml:space="preserve"> </w:t>
      </w:r>
      <w:r w:rsidRPr="00B92F1D">
        <w:rPr>
          <w:szCs w:val="18"/>
        </w:rPr>
        <w:tab/>
      </w:r>
      <w:proofErr w:type="gramStart"/>
      <w:r w:rsidRPr="00B92F1D">
        <w:rPr>
          <w:szCs w:val="18"/>
        </w:rPr>
        <w:t>Founding affidavit, paragraph 9.9, p 001-12.</w:t>
      </w:r>
      <w:proofErr w:type="gramEnd"/>
      <w:r w:rsidRPr="00B92F1D">
        <w:rPr>
          <w:szCs w:val="18"/>
        </w:rPr>
        <w:t xml:space="preserve"> </w:t>
      </w:r>
    </w:p>
  </w:footnote>
  <w:footnote w:id="7">
    <w:p w14:paraId="09BF94EA" w14:textId="5A8300EA" w:rsidR="009265CC" w:rsidRPr="00B92F1D" w:rsidRDefault="009265CC">
      <w:pPr>
        <w:pStyle w:val="FootnoteText"/>
        <w:rPr>
          <w:szCs w:val="18"/>
        </w:rPr>
      </w:pPr>
      <w:r w:rsidRPr="00B92F1D">
        <w:rPr>
          <w:rStyle w:val="FootnoteReference"/>
          <w:szCs w:val="18"/>
        </w:rPr>
        <w:footnoteRef/>
      </w:r>
      <w:r w:rsidRPr="00B92F1D">
        <w:rPr>
          <w:szCs w:val="18"/>
        </w:rPr>
        <w:t xml:space="preserve"> </w:t>
      </w:r>
      <w:r w:rsidRPr="00B92F1D">
        <w:rPr>
          <w:szCs w:val="18"/>
        </w:rPr>
        <w:tab/>
      </w:r>
      <w:proofErr w:type="gramStart"/>
      <w:r w:rsidRPr="00B92F1D">
        <w:rPr>
          <w:szCs w:val="18"/>
        </w:rPr>
        <w:t>Founding affidavit, annexure “TGN6”, p 001-22 to 001-23.</w:t>
      </w:r>
      <w:proofErr w:type="gramEnd"/>
      <w:r w:rsidRPr="00B92F1D">
        <w:rPr>
          <w:szCs w:val="18"/>
        </w:rPr>
        <w:t xml:space="preserve"> </w:t>
      </w:r>
    </w:p>
  </w:footnote>
  <w:footnote w:id="8">
    <w:p w14:paraId="525AE320" w14:textId="567C6ACF" w:rsidR="004C4B6D" w:rsidRPr="005A06CA" w:rsidRDefault="004C4B6D" w:rsidP="005A06CA">
      <w:pPr>
        <w:pStyle w:val="FootnoteText"/>
        <w:spacing w:line="276" w:lineRule="auto"/>
        <w:rPr>
          <w:szCs w:val="18"/>
        </w:rPr>
      </w:pPr>
      <w:r w:rsidRPr="00B92F1D">
        <w:rPr>
          <w:rStyle w:val="FootnoteReference"/>
          <w:szCs w:val="18"/>
        </w:rPr>
        <w:footnoteRef/>
      </w:r>
      <w:r w:rsidRPr="00B92F1D">
        <w:rPr>
          <w:szCs w:val="18"/>
        </w:rPr>
        <w:t xml:space="preserve"> </w:t>
      </w:r>
      <w:r w:rsidRPr="00B92F1D">
        <w:rPr>
          <w:szCs w:val="18"/>
          <w:lang w:val="en-US"/>
        </w:rPr>
        <w:tab/>
      </w:r>
      <w:proofErr w:type="gramStart"/>
      <w:r w:rsidRPr="00B92F1D">
        <w:rPr>
          <w:szCs w:val="18"/>
        </w:rPr>
        <w:t>Answering affidavit, paragrap</w:t>
      </w:r>
      <w:r w:rsidR="00193553" w:rsidRPr="00B92F1D">
        <w:rPr>
          <w:szCs w:val="18"/>
        </w:rPr>
        <w:t>h 33</w:t>
      </w:r>
      <w:r w:rsidRPr="00B92F1D">
        <w:rPr>
          <w:szCs w:val="18"/>
        </w:rPr>
        <w:t>, p 003-13.</w:t>
      </w:r>
      <w:proofErr w:type="gramEnd"/>
    </w:p>
  </w:footnote>
  <w:footnote w:id="9">
    <w:p w14:paraId="5DCF28C0" w14:textId="77777777" w:rsidR="00FE32D3" w:rsidRPr="00B92F1D" w:rsidRDefault="00FE32D3" w:rsidP="005A06CA">
      <w:pPr>
        <w:pStyle w:val="FootnoteText"/>
        <w:spacing w:line="276" w:lineRule="auto"/>
        <w:rPr>
          <w:szCs w:val="18"/>
        </w:rPr>
      </w:pPr>
      <w:r w:rsidRPr="00B92F1D">
        <w:rPr>
          <w:rStyle w:val="FootnoteReference"/>
          <w:szCs w:val="18"/>
        </w:rPr>
        <w:footnoteRef/>
      </w:r>
      <w:r w:rsidRPr="00B92F1D">
        <w:rPr>
          <w:szCs w:val="18"/>
        </w:rPr>
        <w:t xml:space="preserve"> </w:t>
      </w:r>
      <w:r w:rsidRPr="00B92F1D">
        <w:rPr>
          <w:szCs w:val="18"/>
        </w:rPr>
        <w:tab/>
      </w:r>
      <w:proofErr w:type="gramStart"/>
      <w:r w:rsidRPr="00B92F1D">
        <w:rPr>
          <w:szCs w:val="18"/>
        </w:rPr>
        <w:t>Replying affidavit, paragraph 6.5, p 004-6.</w:t>
      </w:r>
      <w:proofErr w:type="gramEnd"/>
      <w:r w:rsidRPr="00B92F1D">
        <w:rPr>
          <w:szCs w:val="18"/>
        </w:rPr>
        <w:t xml:space="preserve"> </w:t>
      </w:r>
    </w:p>
  </w:footnote>
  <w:footnote w:id="10">
    <w:p w14:paraId="167CEE48" w14:textId="77777777" w:rsidR="00725BB6" w:rsidRPr="00B92F1D" w:rsidRDefault="00725BB6" w:rsidP="00725BB6">
      <w:pPr>
        <w:pStyle w:val="FootnoteText"/>
        <w:rPr>
          <w:szCs w:val="18"/>
        </w:rPr>
      </w:pPr>
      <w:r w:rsidRPr="00B92F1D">
        <w:rPr>
          <w:rStyle w:val="FootnoteReference"/>
          <w:szCs w:val="18"/>
        </w:rPr>
        <w:footnoteRef/>
      </w:r>
      <w:r w:rsidRPr="00B92F1D">
        <w:rPr>
          <w:szCs w:val="18"/>
        </w:rPr>
        <w:t xml:space="preserve">  </w:t>
      </w:r>
      <w:r w:rsidRPr="00B92F1D">
        <w:rPr>
          <w:szCs w:val="18"/>
        </w:rPr>
        <w:tab/>
      </w:r>
      <w:proofErr w:type="gramStart"/>
      <w:r w:rsidRPr="00B92F1D">
        <w:rPr>
          <w:szCs w:val="18"/>
        </w:rPr>
        <w:t>Answering affidavit, paragraph 9, p 003-8.</w:t>
      </w:r>
      <w:proofErr w:type="gramEnd"/>
      <w:r w:rsidRPr="00B92F1D">
        <w:rPr>
          <w:szCs w:val="18"/>
        </w:rPr>
        <w:t xml:space="preserve"> </w:t>
      </w:r>
    </w:p>
  </w:footnote>
  <w:footnote w:id="11">
    <w:p w14:paraId="6EA42E16" w14:textId="7C829BBC" w:rsidR="009265CC" w:rsidRPr="00B92F1D" w:rsidRDefault="009265CC">
      <w:pPr>
        <w:pStyle w:val="FootnoteText"/>
        <w:rPr>
          <w:szCs w:val="18"/>
        </w:rPr>
      </w:pPr>
      <w:r w:rsidRPr="00B92F1D">
        <w:rPr>
          <w:rStyle w:val="FootnoteReference"/>
          <w:szCs w:val="18"/>
        </w:rPr>
        <w:footnoteRef/>
      </w:r>
      <w:r w:rsidRPr="00B92F1D">
        <w:rPr>
          <w:szCs w:val="18"/>
        </w:rPr>
        <w:t xml:space="preserve">  </w:t>
      </w:r>
      <w:r w:rsidRPr="00B92F1D">
        <w:rPr>
          <w:szCs w:val="18"/>
        </w:rPr>
        <w:tab/>
      </w:r>
      <w:proofErr w:type="gramStart"/>
      <w:r w:rsidRPr="00B92F1D">
        <w:rPr>
          <w:szCs w:val="18"/>
        </w:rPr>
        <w:t>Answering affidavit, paragraph 21, p 003-10.</w:t>
      </w:r>
      <w:proofErr w:type="gramEnd"/>
      <w:r w:rsidRPr="00B92F1D">
        <w:rPr>
          <w:szCs w:val="18"/>
        </w:rPr>
        <w:t xml:space="preserve"> </w:t>
      </w:r>
    </w:p>
  </w:footnote>
  <w:footnote w:id="12">
    <w:p w14:paraId="1FDCD24C" w14:textId="2C31FBD0" w:rsidR="009265CC" w:rsidRPr="00B92F1D" w:rsidRDefault="009265CC">
      <w:pPr>
        <w:pStyle w:val="FootnoteText"/>
        <w:rPr>
          <w:szCs w:val="18"/>
        </w:rPr>
      </w:pPr>
      <w:r w:rsidRPr="00B92F1D">
        <w:rPr>
          <w:rStyle w:val="FootnoteReference"/>
          <w:szCs w:val="18"/>
        </w:rPr>
        <w:footnoteRef/>
      </w:r>
      <w:r w:rsidRPr="00B92F1D">
        <w:rPr>
          <w:szCs w:val="18"/>
        </w:rPr>
        <w:t xml:space="preserve">  </w:t>
      </w:r>
      <w:r w:rsidRPr="00B92F1D">
        <w:rPr>
          <w:szCs w:val="18"/>
        </w:rPr>
        <w:tab/>
        <w:t>Replying affidavit, paragraphs 7.6.1 to 7.6.3, p 004-9.</w:t>
      </w:r>
    </w:p>
  </w:footnote>
  <w:footnote w:id="13">
    <w:p w14:paraId="3DCF3A3A" w14:textId="1C4D44F4" w:rsidR="009265CC" w:rsidRPr="00B92F1D" w:rsidRDefault="009265CC">
      <w:pPr>
        <w:pStyle w:val="FootnoteText"/>
        <w:rPr>
          <w:szCs w:val="18"/>
        </w:rPr>
      </w:pPr>
      <w:r w:rsidRPr="00B92F1D">
        <w:rPr>
          <w:rStyle w:val="FootnoteReference"/>
          <w:szCs w:val="18"/>
        </w:rPr>
        <w:footnoteRef/>
      </w:r>
      <w:r w:rsidRPr="00B92F1D">
        <w:rPr>
          <w:szCs w:val="18"/>
        </w:rPr>
        <w:t xml:space="preserve">  </w:t>
      </w:r>
      <w:r w:rsidRPr="00B92F1D">
        <w:rPr>
          <w:szCs w:val="18"/>
        </w:rPr>
        <w:tab/>
      </w:r>
      <w:proofErr w:type="gramStart"/>
      <w:r w:rsidRPr="00B92F1D">
        <w:rPr>
          <w:szCs w:val="18"/>
        </w:rPr>
        <w:t>Replying affidavit, paragraph 7.12, p 004-9.</w:t>
      </w:r>
      <w:proofErr w:type="gramEnd"/>
      <w:r w:rsidRPr="00B92F1D">
        <w:rPr>
          <w:szCs w:val="18"/>
        </w:rPr>
        <w:t xml:space="preserve"> </w:t>
      </w:r>
    </w:p>
  </w:footnote>
  <w:footnote w:id="14">
    <w:p w14:paraId="7A532061" w14:textId="77777777" w:rsidR="00475A24" w:rsidRPr="00B92F1D" w:rsidRDefault="00475A24" w:rsidP="00475A24">
      <w:pPr>
        <w:pStyle w:val="FootnoteText"/>
        <w:rPr>
          <w:szCs w:val="18"/>
        </w:rPr>
      </w:pPr>
      <w:r w:rsidRPr="00B92F1D">
        <w:rPr>
          <w:rStyle w:val="FootnoteReference"/>
          <w:szCs w:val="18"/>
        </w:rPr>
        <w:footnoteRef/>
      </w:r>
      <w:r w:rsidRPr="00B92F1D">
        <w:rPr>
          <w:szCs w:val="18"/>
        </w:rPr>
        <w:t xml:space="preserve">  </w:t>
      </w:r>
      <w:r w:rsidRPr="00B92F1D">
        <w:rPr>
          <w:szCs w:val="18"/>
        </w:rPr>
        <w:tab/>
      </w:r>
      <w:proofErr w:type="gramStart"/>
      <w:r w:rsidRPr="00B92F1D">
        <w:rPr>
          <w:szCs w:val="18"/>
        </w:rPr>
        <w:t>Replying affidavit, paragraph 8.3, p 004-10.</w:t>
      </w:r>
      <w:proofErr w:type="gramEnd"/>
      <w:r w:rsidRPr="00B92F1D">
        <w:rPr>
          <w:szCs w:val="18"/>
        </w:rPr>
        <w:t xml:space="preserve"> </w:t>
      </w:r>
    </w:p>
  </w:footnote>
  <w:footnote w:id="15">
    <w:p w14:paraId="73C24DDA" w14:textId="10BECAB0" w:rsidR="009265CC" w:rsidRPr="00B92F1D" w:rsidRDefault="009265CC">
      <w:pPr>
        <w:pStyle w:val="FootnoteText"/>
        <w:rPr>
          <w:szCs w:val="18"/>
        </w:rPr>
      </w:pPr>
      <w:r w:rsidRPr="00B92F1D">
        <w:rPr>
          <w:rStyle w:val="FootnoteReference"/>
          <w:szCs w:val="18"/>
        </w:rPr>
        <w:footnoteRef/>
      </w:r>
      <w:r w:rsidRPr="00B92F1D">
        <w:rPr>
          <w:szCs w:val="18"/>
        </w:rPr>
        <w:t xml:space="preserve"> </w:t>
      </w:r>
      <w:r w:rsidRPr="00B92F1D">
        <w:rPr>
          <w:szCs w:val="18"/>
        </w:rPr>
        <w:tab/>
      </w:r>
      <w:proofErr w:type="gramStart"/>
      <w:r w:rsidRPr="00B92F1D">
        <w:rPr>
          <w:szCs w:val="18"/>
        </w:rPr>
        <w:t>Replying affidavit, paragraph 7.14, p 004-10.</w:t>
      </w:r>
      <w:proofErr w:type="gramEnd"/>
    </w:p>
  </w:footnote>
  <w:footnote w:id="16">
    <w:p w14:paraId="2B98D290" w14:textId="6C8E0378" w:rsidR="009265CC" w:rsidRPr="00B92F1D" w:rsidRDefault="009265CC">
      <w:pPr>
        <w:pStyle w:val="FootnoteText"/>
        <w:rPr>
          <w:szCs w:val="18"/>
        </w:rPr>
      </w:pPr>
      <w:r w:rsidRPr="00B92F1D">
        <w:rPr>
          <w:rStyle w:val="FootnoteReference"/>
          <w:szCs w:val="18"/>
        </w:rPr>
        <w:footnoteRef/>
      </w:r>
      <w:r w:rsidRPr="00B92F1D">
        <w:rPr>
          <w:szCs w:val="18"/>
        </w:rPr>
        <w:t xml:space="preserve">  </w:t>
      </w:r>
      <w:r w:rsidRPr="00B92F1D">
        <w:rPr>
          <w:szCs w:val="18"/>
        </w:rPr>
        <w:tab/>
      </w:r>
      <w:proofErr w:type="gramStart"/>
      <w:r w:rsidRPr="00B92F1D">
        <w:rPr>
          <w:szCs w:val="18"/>
        </w:rPr>
        <w:t>Section 22 of the Black Administration Act, 38 of 1927.</w:t>
      </w:r>
      <w:proofErr w:type="gramEnd"/>
      <w:r w:rsidRPr="00B92F1D">
        <w:rPr>
          <w:szCs w:val="18"/>
        </w:rPr>
        <w:t xml:space="preserve"> </w:t>
      </w:r>
    </w:p>
  </w:footnote>
  <w:footnote w:id="17">
    <w:p w14:paraId="00950743" w14:textId="77777777" w:rsidR="00B10D11" w:rsidRPr="00B92F1D" w:rsidRDefault="00B10D11" w:rsidP="00B10D11">
      <w:pPr>
        <w:pStyle w:val="FootnoteText"/>
        <w:rPr>
          <w:szCs w:val="18"/>
        </w:rPr>
      </w:pPr>
      <w:r w:rsidRPr="00B92F1D">
        <w:rPr>
          <w:rStyle w:val="FootnoteReference"/>
          <w:szCs w:val="18"/>
        </w:rPr>
        <w:footnoteRef/>
      </w:r>
      <w:r w:rsidRPr="00B92F1D">
        <w:rPr>
          <w:szCs w:val="18"/>
        </w:rPr>
        <w:t xml:space="preserve">  </w:t>
      </w:r>
      <w:r w:rsidRPr="00B92F1D">
        <w:rPr>
          <w:szCs w:val="18"/>
        </w:rPr>
        <w:tab/>
        <w:t xml:space="preserve">2021 (5) SA 34 (CC). </w:t>
      </w:r>
    </w:p>
  </w:footnote>
  <w:footnote w:id="18">
    <w:p w14:paraId="4A4F5FC4" w14:textId="77777777" w:rsidR="008F1E9A" w:rsidRPr="00B92F1D" w:rsidRDefault="008F1E9A" w:rsidP="008F1E9A">
      <w:pPr>
        <w:pStyle w:val="FootnoteText"/>
        <w:rPr>
          <w:szCs w:val="18"/>
        </w:rPr>
      </w:pPr>
      <w:r w:rsidRPr="00B92F1D">
        <w:rPr>
          <w:rStyle w:val="FootnoteReference"/>
          <w:szCs w:val="18"/>
        </w:rPr>
        <w:footnoteRef/>
      </w:r>
      <w:r w:rsidRPr="00B92F1D">
        <w:rPr>
          <w:szCs w:val="18"/>
        </w:rPr>
        <w:t xml:space="preserve">  </w:t>
      </w:r>
      <w:r w:rsidRPr="00B92F1D">
        <w:rPr>
          <w:szCs w:val="18"/>
        </w:rPr>
        <w:tab/>
      </w:r>
      <w:proofErr w:type="gramStart"/>
      <w:r w:rsidRPr="00B92F1D">
        <w:rPr>
          <w:szCs w:val="18"/>
        </w:rPr>
        <w:t>Section 10(4) of the Recognition of Customary Marriages Act, 120 of 1998.</w:t>
      </w:r>
      <w:proofErr w:type="gramEnd"/>
      <w:r w:rsidRPr="00B92F1D">
        <w:rPr>
          <w:szCs w:val="18"/>
        </w:rPr>
        <w:t xml:space="preserve"> </w:t>
      </w:r>
    </w:p>
  </w:footnote>
  <w:footnote w:id="19">
    <w:p w14:paraId="45EC6DCF" w14:textId="77777777" w:rsidR="004A619B" w:rsidRPr="00B92F1D" w:rsidRDefault="004A619B" w:rsidP="004A619B">
      <w:pPr>
        <w:pStyle w:val="FootnoteText"/>
        <w:rPr>
          <w:szCs w:val="18"/>
        </w:rPr>
      </w:pPr>
      <w:r w:rsidRPr="00B92F1D">
        <w:rPr>
          <w:rStyle w:val="FootnoteReference"/>
          <w:szCs w:val="18"/>
        </w:rPr>
        <w:footnoteRef/>
      </w:r>
      <w:r w:rsidRPr="00B92F1D">
        <w:rPr>
          <w:szCs w:val="18"/>
        </w:rPr>
        <w:t xml:space="preserve"> </w:t>
      </w:r>
      <w:r w:rsidRPr="00B92F1D">
        <w:rPr>
          <w:szCs w:val="18"/>
        </w:rPr>
        <w:tab/>
      </w:r>
      <w:proofErr w:type="gramStart"/>
      <w:r w:rsidRPr="00B92F1D">
        <w:rPr>
          <w:i/>
          <w:szCs w:val="18"/>
        </w:rPr>
        <w:t>K v P</w:t>
      </w:r>
      <w:r w:rsidRPr="00B92F1D">
        <w:rPr>
          <w:szCs w:val="18"/>
        </w:rPr>
        <w:t xml:space="preserve"> (09/41473) 2010 ZAGPJHC 93.</w:t>
      </w:r>
      <w:proofErr w:type="gramEnd"/>
      <w:r w:rsidRPr="00B92F1D">
        <w:rPr>
          <w:szCs w:val="18"/>
        </w:rPr>
        <w:t xml:space="preserve"> </w:t>
      </w:r>
    </w:p>
  </w:footnote>
  <w:footnote w:id="20">
    <w:p w14:paraId="3E98CBDB" w14:textId="7246379E" w:rsidR="009265CC" w:rsidRPr="00B92F1D" w:rsidRDefault="009265CC">
      <w:pPr>
        <w:pStyle w:val="FootnoteText"/>
        <w:rPr>
          <w:szCs w:val="18"/>
        </w:rPr>
      </w:pPr>
      <w:r w:rsidRPr="00B92F1D">
        <w:rPr>
          <w:rStyle w:val="FootnoteReference"/>
          <w:szCs w:val="18"/>
        </w:rPr>
        <w:footnoteRef/>
      </w:r>
      <w:r w:rsidRPr="00B92F1D">
        <w:rPr>
          <w:szCs w:val="18"/>
        </w:rPr>
        <w:t xml:space="preserve">  </w:t>
      </w:r>
      <w:r w:rsidRPr="00B92F1D">
        <w:rPr>
          <w:szCs w:val="18"/>
        </w:rPr>
        <w:tab/>
      </w:r>
      <w:proofErr w:type="gramStart"/>
      <w:r w:rsidRPr="00B92F1D">
        <w:rPr>
          <w:szCs w:val="18"/>
        </w:rPr>
        <w:t>2007 (3) SA 1 (W).</w:t>
      </w:r>
      <w:proofErr w:type="gramEnd"/>
      <w:r w:rsidRPr="00B92F1D">
        <w:rPr>
          <w:szCs w:val="18"/>
        </w:rPr>
        <w:t xml:space="preserve"> </w:t>
      </w:r>
    </w:p>
  </w:footnote>
  <w:footnote w:id="21">
    <w:p w14:paraId="491E8BB7" w14:textId="43449A1F" w:rsidR="009265CC" w:rsidRPr="00B92F1D" w:rsidRDefault="009265CC" w:rsidP="009265CC">
      <w:pPr>
        <w:pStyle w:val="FootnoteText"/>
        <w:ind w:left="720" w:hanging="720"/>
        <w:jc w:val="both"/>
        <w:rPr>
          <w:szCs w:val="18"/>
        </w:rPr>
      </w:pPr>
      <w:r w:rsidRPr="00B92F1D">
        <w:rPr>
          <w:rStyle w:val="FootnoteReference"/>
          <w:szCs w:val="18"/>
        </w:rPr>
        <w:footnoteRef/>
      </w:r>
      <w:r w:rsidRPr="00B92F1D">
        <w:rPr>
          <w:szCs w:val="18"/>
        </w:rPr>
        <w:t xml:space="preserve">  </w:t>
      </w:r>
      <w:r w:rsidRPr="00B92F1D">
        <w:rPr>
          <w:szCs w:val="18"/>
        </w:rPr>
        <w:tab/>
      </w:r>
      <w:proofErr w:type="spellStart"/>
      <w:r w:rsidRPr="00B92F1D">
        <w:rPr>
          <w:i/>
          <w:szCs w:val="18"/>
        </w:rPr>
        <w:t>Wilken</w:t>
      </w:r>
      <w:proofErr w:type="spellEnd"/>
      <w:r w:rsidRPr="00B92F1D">
        <w:rPr>
          <w:i/>
          <w:szCs w:val="18"/>
        </w:rPr>
        <w:t xml:space="preserve"> v Kohler</w:t>
      </w:r>
      <w:r w:rsidRPr="00B92F1D">
        <w:rPr>
          <w:szCs w:val="18"/>
        </w:rPr>
        <w:t xml:space="preserve"> 1913 AD 135</w:t>
      </w:r>
      <w:proofErr w:type="gramStart"/>
      <w:r w:rsidRPr="00B92F1D">
        <w:rPr>
          <w:szCs w:val="18"/>
        </w:rPr>
        <w:t xml:space="preserve">;  </w:t>
      </w:r>
      <w:r w:rsidRPr="00B92F1D">
        <w:rPr>
          <w:i/>
          <w:szCs w:val="18"/>
        </w:rPr>
        <w:t>Clements</w:t>
      </w:r>
      <w:proofErr w:type="gramEnd"/>
      <w:r w:rsidRPr="00B92F1D">
        <w:rPr>
          <w:i/>
          <w:szCs w:val="18"/>
        </w:rPr>
        <w:t xml:space="preserve"> v Simpson</w:t>
      </w:r>
      <w:r w:rsidRPr="00B92F1D">
        <w:rPr>
          <w:szCs w:val="18"/>
        </w:rPr>
        <w:t xml:space="preserve"> 1971 (3) SA 1 (A) at 7; </w:t>
      </w:r>
      <w:proofErr w:type="spellStart"/>
      <w:r w:rsidRPr="00B92F1D">
        <w:rPr>
          <w:i/>
          <w:szCs w:val="18"/>
        </w:rPr>
        <w:t>Wendywood</w:t>
      </w:r>
      <w:proofErr w:type="spellEnd"/>
      <w:r w:rsidRPr="00B92F1D">
        <w:rPr>
          <w:i/>
          <w:szCs w:val="18"/>
        </w:rPr>
        <w:t xml:space="preserve"> Development (Pty) Ltd v </w:t>
      </w:r>
      <w:proofErr w:type="spellStart"/>
      <w:r w:rsidRPr="00B92F1D">
        <w:rPr>
          <w:i/>
          <w:szCs w:val="18"/>
        </w:rPr>
        <w:t>Rieger</w:t>
      </w:r>
      <w:proofErr w:type="spellEnd"/>
      <w:r w:rsidRPr="00B92F1D">
        <w:rPr>
          <w:i/>
          <w:szCs w:val="18"/>
        </w:rPr>
        <w:t xml:space="preserve"> and Another </w:t>
      </w:r>
      <w:r w:rsidRPr="00B92F1D">
        <w:rPr>
          <w:szCs w:val="18"/>
        </w:rPr>
        <w:t xml:space="preserve">1971 (3) SA 28 (A) at 38 to 39.  Although these cases were determined prior to the promulgation of the Alienation of Land Act, the principles enunciated therein still apply.  </w:t>
      </w:r>
    </w:p>
  </w:footnote>
  <w:footnote w:id="22">
    <w:p w14:paraId="6815CB97" w14:textId="516038EC" w:rsidR="009265CC" w:rsidRPr="00B92F1D" w:rsidRDefault="009265CC">
      <w:pPr>
        <w:pStyle w:val="FootnoteText"/>
        <w:rPr>
          <w:szCs w:val="18"/>
        </w:rPr>
      </w:pPr>
      <w:r w:rsidRPr="00B92F1D">
        <w:rPr>
          <w:rStyle w:val="FootnoteReference"/>
          <w:szCs w:val="18"/>
        </w:rPr>
        <w:footnoteRef/>
      </w:r>
      <w:r w:rsidRPr="00B92F1D">
        <w:rPr>
          <w:szCs w:val="18"/>
        </w:rPr>
        <w:t xml:space="preserve"> </w:t>
      </w:r>
      <w:r w:rsidRPr="00B92F1D">
        <w:rPr>
          <w:szCs w:val="18"/>
        </w:rPr>
        <w:tab/>
      </w:r>
      <w:proofErr w:type="gramStart"/>
      <w:r w:rsidRPr="00B92F1D">
        <w:rPr>
          <w:i/>
          <w:szCs w:val="18"/>
        </w:rPr>
        <w:t>Johnston v Leal</w:t>
      </w:r>
      <w:r w:rsidRPr="00B92F1D">
        <w:rPr>
          <w:szCs w:val="18"/>
        </w:rPr>
        <w:t xml:space="preserve"> 1980 (3) SA 927 (A).</w:t>
      </w:r>
      <w:proofErr w:type="gramEnd"/>
      <w:r w:rsidRPr="00B92F1D">
        <w:rPr>
          <w:szCs w:val="18"/>
        </w:rPr>
        <w:t xml:space="preserve"> </w:t>
      </w:r>
    </w:p>
  </w:footnote>
  <w:footnote w:id="23">
    <w:p w14:paraId="58556366" w14:textId="26AEC319" w:rsidR="009265CC" w:rsidRPr="00B92F1D" w:rsidRDefault="009265CC">
      <w:pPr>
        <w:pStyle w:val="FootnoteText"/>
        <w:rPr>
          <w:szCs w:val="18"/>
        </w:rPr>
      </w:pPr>
      <w:r w:rsidRPr="00B92F1D">
        <w:rPr>
          <w:rStyle w:val="FootnoteReference"/>
          <w:szCs w:val="18"/>
        </w:rPr>
        <w:footnoteRef/>
      </w:r>
      <w:r w:rsidRPr="00B92F1D">
        <w:rPr>
          <w:szCs w:val="18"/>
        </w:rPr>
        <w:t xml:space="preserve">  </w:t>
      </w:r>
      <w:r w:rsidRPr="00B92F1D">
        <w:rPr>
          <w:szCs w:val="18"/>
        </w:rPr>
        <w:tab/>
      </w:r>
      <w:r w:rsidRPr="00B92F1D">
        <w:rPr>
          <w:i/>
          <w:szCs w:val="18"/>
        </w:rPr>
        <w:t>Raven Estates v Miller</w:t>
      </w:r>
      <w:r w:rsidRPr="00B92F1D">
        <w:rPr>
          <w:szCs w:val="18"/>
        </w:rPr>
        <w:t xml:space="preserve"> 1984 (1) SA 251 (W) at 254. </w:t>
      </w:r>
    </w:p>
  </w:footnote>
  <w:footnote w:id="24">
    <w:p w14:paraId="7CE22D17" w14:textId="1836F51B" w:rsidR="009265CC" w:rsidRPr="00B92F1D" w:rsidRDefault="009265CC" w:rsidP="009265CC">
      <w:pPr>
        <w:pStyle w:val="FootnoteText"/>
        <w:ind w:left="720" w:hanging="720"/>
        <w:jc w:val="both"/>
        <w:rPr>
          <w:szCs w:val="18"/>
        </w:rPr>
      </w:pPr>
      <w:r w:rsidRPr="00B92F1D">
        <w:rPr>
          <w:rStyle w:val="FootnoteReference"/>
          <w:szCs w:val="18"/>
        </w:rPr>
        <w:footnoteRef/>
      </w:r>
      <w:r w:rsidRPr="00B92F1D">
        <w:rPr>
          <w:szCs w:val="18"/>
        </w:rPr>
        <w:t xml:space="preserve"> </w:t>
      </w:r>
      <w:r w:rsidRPr="00B92F1D">
        <w:rPr>
          <w:szCs w:val="18"/>
        </w:rPr>
        <w:tab/>
      </w:r>
      <w:r w:rsidRPr="00B92F1D">
        <w:rPr>
          <w:i/>
          <w:szCs w:val="18"/>
        </w:rPr>
        <w:t>Johnston v Leal</w:t>
      </w:r>
      <w:r w:rsidRPr="00B92F1D">
        <w:rPr>
          <w:szCs w:val="18"/>
        </w:rPr>
        <w:t xml:space="preserve"> 1980 (3) SA 927 (A) at 946H</w:t>
      </w:r>
      <w:proofErr w:type="gramStart"/>
      <w:r w:rsidRPr="00B92F1D">
        <w:rPr>
          <w:szCs w:val="18"/>
        </w:rPr>
        <w:t xml:space="preserve">;  </w:t>
      </w:r>
      <w:proofErr w:type="spellStart"/>
      <w:r w:rsidRPr="00B92F1D">
        <w:rPr>
          <w:i/>
          <w:szCs w:val="18"/>
        </w:rPr>
        <w:t>Stalwoo</w:t>
      </w:r>
      <w:proofErr w:type="spellEnd"/>
      <w:proofErr w:type="gramEnd"/>
      <w:r w:rsidRPr="00B92F1D">
        <w:rPr>
          <w:i/>
          <w:szCs w:val="18"/>
        </w:rPr>
        <w:t xml:space="preserve"> (Pty) Ltd v Wary Holdings (Pty) Ltd and Another</w:t>
      </w:r>
      <w:r w:rsidRPr="00B92F1D">
        <w:rPr>
          <w:szCs w:val="18"/>
        </w:rPr>
        <w:t xml:space="preserve"> 2008 (1) SA 654 (SCA) paragraph [7] at 658D.  See also </w:t>
      </w:r>
      <w:r w:rsidRPr="00B92F1D">
        <w:rPr>
          <w:i/>
          <w:szCs w:val="18"/>
        </w:rPr>
        <w:t xml:space="preserve">Fraser v </w:t>
      </w:r>
      <w:proofErr w:type="spellStart"/>
      <w:r w:rsidRPr="00B92F1D">
        <w:rPr>
          <w:i/>
          <w:szCs w:val="18"/>
        </w:rPr>
        <w:t>Viljoen</w:t>
      </w:r>
      <w:proofErr w:type="spellEnd"/>
      <w:r w:rsidRPr="00B92F1D">
        <w:rPr>
          <w:szCs w:val="18"/>
        </w:rPr>
        <w:t xml:space="preserve"> 1980 </w:t>
      </w:r>
      <w:r w:rsidR="001014BF" w:rsidRPr="00B92F1D">
        <w:rPr>
          <w:color w:val="2C3E50"/>
          <w:szCs w:val="18"/>
          <w:shd w:val="clear" w:color="auto" w:fill="FFFFFF"/>
        </w:rPr>
        <w:t>2008 (4) SA 106 (SCA)</w:t>
      </w:r>
      <w:r w:rsidR="00DE5DEA" w:rsidRPr="00B92F1D">
        <w:rPr>
          <w:color w:val="2C3E50"/>
          <w:szCs w:val="18"/>
          <w:shd w:val="clear" w:color="auto" w:fill="FFFFFF"/>
        </w:rPr>
        <w:t xml:space="preserve"> </w:t>
      </w:r>
      <w:r w:rsidRPr="00B92F1D">
        <w:rPr>
          <w:szCs w:val="18"/>
        </w:rPr>
        <w:t xml:space="preserve">and </w:t>
      </w:r>
      <w:proofErr w:type="spellStart"/>
      <w:r w:rsidR="00530546" w:rsidRPr="00B92F1D">
        <w:rPr>
          <w:i/>
          <w:szCs w:val="18"/>
        </w:rPr>
        <w:t>Fourlamel</w:t>
      </w:r>
      <w:proofErr w:type="spellEnd"/>
      <w:r w:rsidR="00530546" w:rsidRPr="00B92F1D">
        <w:rPr>
          <w:i/>
          <w:szCs w:val="18"/>
        </w:rPr>
        <w:t xml:space="preserve"> (Pty) Ltd v </w:t>
      </w:r>
      <w:proofErr w:type="spellStart"/>
      <w:r w:rsidR="00530546" w:rsidRPr="00B92F1D">
        <w:rPr>
          <w:i/>
          <w:szCs w:val="18"/>
        </w:rPr>
        <w:t>Maddison</w:t>
      </w:r>
      <w:proofErr w:type="spellEnd"/>
      <w:r w:rsidR="00530546" w:rsidRPr="00B92F1D">
        <w:rPr>
          <w:i/>
          <w:szCs w:val="18"/>
        </w:rPr>
        <w:t xml:space="preserve"> </w:t>
      </w:r>
      <w:r w:rsidR="00530546" w:rsidRPr="00B92F1D">
        <w:rPr>
          <w:szCs w:val="18"/>
        </w:rPr>
        <w:t>1977 (1) SA 333 (A) at 344A - E</w:t>
      </w:r>
      <w:r w:rsidRPr="00B92F1D">
        <w:rPr>
          <w:szCs w:val="18"/>
        </w:rPr>
        <w:t>.</w:t>
      </w:r>
    </w:p>
  </w:footnote>
  <w:footnote w:id="25">
    <w:p w14:paraId="63D0B5B9" w14:textId="7E1A6142" w:rsidR="00F65D60" w:rsidRPr="005A06CA" w:rsidRDefault="00F65D60" w:rsidP="005A06CA">
      <w:pPr>
        <w:pStyle w:val="lrcasename"/>
        <w:shd w:val="clear" w:color="auto" w:fill="FFFFFF"/>
        <w:spacing w:before="180" w:beforeAutospacing="0" w:after="0" w:afterAutospacing="0"/>
        <w:rPr>
          <w:rFonts w:ascii="Verdana" w:hAnsi="Verdana"/>
          <w:color w:val="000000" w:themeColor="text1"/>
          <w:sz w:val="18"/>
          <w:szCs w:val="18"/>
        </w:rPr>
      </w:pPr>
      <w:r w:rsidRPr="00B92F1D">
        <w:rPr>
          <w:rStyle w:val="FootnoteReference"/>
          <w:rFonts w:ascii="Verdana" w:hAnsi="Verdana"/>
          <w:sz w:val="18"/>
          <w:szCs w:val="18"/>
        </w:rPr>
        <w:footnoteRef/>
      </w:r>
      <w:r w:rsidRPr="00B92F1D">
        <w:rPr>
          <w:rFonts w:ascii="Verdana" w:hAnsi="Verdana"/>
          <w:sz w:val="18"/>
          <w:szCs w:val="18"/>
        </w:rPr>
        <w:t xml:space="preserve"> </w:t>
      </w:r>
      <w:r w:rsidRPr="00B92F1D">
        <w:rPr>
          <w:rFonts w:ascii="Verdana" w:hAnsi="Verdana"/>
          <w:color w:val="000000" w:themeColor="text1"/>
          <w:sz w:val="18"/>
          <w:szCs w:val="18"/>
        </w:rPr>
        <w:tab/>
        <w:t>2014 (3) SA 96 (SCA)</w:t>
      </w:r>
    </w:p>
  </w:footnote>
  <w:footnote w:id="26">
    <w:p w14:paraId="6563692C" w14:textId="2FD9A55F" w:rsidR="008347D0" w:rsidRPr="00B92F1D" w:rsidRDefault="008347D0">
      <w:pPr>
        <w:pStyle w:val="FootnoteText"/>
        <w:rPr>
          <w:color w:val="000000" w:themeColor="text1"/>
          <w:szCs w:val="18"/>
          <w:lang w:val="en-US"/>
        </w:rPr>
      </w:pPr>
      <w:r w:rsidRPr="00B92F1D">
        <w:rPr>
          <w:rStyle w:val="FootnoteReference"/>
          <w:szCs w:val="18"/>
        </w:rPr>
        <w:footnoteRef/>
      </w:r>
      <w:r w:rsidRPr="00B92F1D">
        <w:rPr>
          <w:szCs w:val="18"/>
        </w:rPr>
        <w:t xml:space="preserve"> </w:t>
      </w:r>
      <w:r w:rsidRPr="00B92F1D">
        <w:rPr>
          <w:szCs w:val="18"/>
          <w:lang w:val="en-US"/>
        </w:rPr>
        <w:tab/>
      </w:r>
      <w:hyperlink r:id="rId1" w:history="1">
        <w:r w:rsidRPr="00F976BF">
          <w:rPr>
            <w:rFonts w:eastAsia="Times New Roman" w:cs="Times New Roman"/>
            <w:color w:val="000000" w:themeColor="text1"/>
            <w:szCs w:val="18"/>
            <w:lang w:eastAsia="en-ZA"/>
          </w:rPr>
          <w:t>2010 (1) SA 35 (SCA)</w:t>
        </w:r>
      </w:hyperlink>
    </w:p>
  </w:footnote>
  <w:footnote w:id="27">
    <w:p w14:paraId="4F293F93" w14:textId="56563C2F" w:rsidR="005F14E5" w:rsidRPr="00B92F1D" w:rsidRDefault="005F14E5">
      <w:pPr>
        <w:pStyle w:val="FootnoteText"/>
        <w:rPr>
          <w:szCs w:val="18"/>
          <w:lang w:val="en-US"/>
        </w:rPr>
      </w:pPr>
      <w:r w:rsidRPr="00B92F1D">
        <w:rPr>
          <w:rStyle w:val="FootnoteReference"/>
          <w:szCs w:val="18"/>
        </w:rPr>
        <w:footnoteRef/>
      </w:r>
      <w:r w:rsidRPr="00B92F1D">
        <w:rPr>
          <w:szCs w:val="18"/>
        </w:rPr>
        <w:t xml:space="preserve"> </w:t>
      </w:r>
      <w:r w:rsidRPr="00B92F1D">
        <w:rPr>
          <w:szCs w:val="18"/>
          <w:lang w:val="en-US"/>
        </w:rPr>
        <w:tab/>
      </w:r>
      <w:proofErr w:type="gramStart"/>
      <w:r w:rsidRPr="00B92F1D">
        <w:rPr>
          <w:szCs w:val="18"/>
          <w:lang w:val="en-US"/>
        </w:rPr>
        <w:t>Para 12</w:t>
      </w:r>
      <w:r w:rsidR="005A06CA">
        <w:rPr>
          <w:szCs w:val="18"/>
          <w:lang w:val="en-US"/>
        </w:rPr>
        <w:t>.</w:t>
      </w:r>
      <w:proofErr w:type="gramEnd"/>
    </w:p>
  </w:footnote>
  <w:footnote w:id="28">
    <w:p w14:paraId="00C72918" w14:textId="454FBA0E" w:rsidR="00A02755" w:rsidRPr="005A06CA" w:rsidRDefault="00A02755" w:rsidP="00A02755">
      <w:pPr>
        <w:rPr>
          <w:rFonts w:ascii="Verdana" w:hAnsi="Verdana"/>
          <w:color w:val="000000" w:themeColor="text1"/>
          <w:sz w:val="18"/>
          <w:szCs w:val="18"/>
        </w:rPr>
      </w:pPr>
      <w:r w:rsidRPr="00B92F1D">
        <w:rPr>
          <w:rStyle w:val="FootnoteReference"/>
          <w:rFonts w:ascii="Verdana" w:hAnsi="Verdana"/>
          <w:sz w:val="18"/>
          <w:szCs w:val="18"/>
        </w:rPr>
        <w:footnoteRef/>
      </w:r>
      <w:r w:rsidRPr="00B92F1D">
        <w:rPr>
          <w:rFonts w:ascii="Verdana" w:hAnsi="Verdana"/>
          <w:sz w:val="18"/>
          <w:szCs w:val="18"/>
        </w:rPr>
        <w:t xml:space="preserve"> </w:t>
      </w:r>
      <w:r w:rsidRPr="00B92F1D">
        <w:rPr>
          <w:rFonts w:ascii="Verdana" w:hAnsi="Verdana"/>
          <w:sz w:val="18"/>
          <w:szCs w:val="18"/>
        </w:rPr>
        <w:tab/>
      </w:r>
      <w:proofErr w:type="gramStart"/>
      <w:r w:rsidRPr="005A06CA">
        <w:rPr>
          <w:rFonts w:ascii="Verdana" w:hAnsi="Verdana"/>
          <w:color w:val="000000" w:themeColor="text1"/>
          <w:sz w:val="18"/>
          <w:szCs w:val="18"/>
          <w:shd w:val="clear" w:color="auto" w:fill="FFFFFF"/>
        </w:rPr>
        <w:t>2010 (5) SA 186 (SCA)</w:t>
      </w:r>
      <w:r w:rsidR="005A06CA">
        <w:rPr>
          <w:rFonts w:ascii="Verdana" w:hAnsi="Verdana"/>
          <w:color w:val="000000" w:themeColor="text1"/>
          <w:sz w:val="18"/>
          <w:szCs w:val="18"/>
          <w:shd w:val="clear" w:color="auto" w:fill="FFFFFF"/>
        </w:rPr>
        <w:t>.</w:t>
      </w:r>
      <w:proofErr w:type="gramEnd"/>
    </w:p>
    <w:p w14:paraId="73803FBA" w14:textId="77777777" w:rsidR="00A02755" w:rsidRPr="00B92F1D" w:rsidRDefault="00A02755" w:rsidP="00A02755">
      <w:pPr>
        <w:pStyle w:val="FootnoteText"/>
        <w:rPr>
          <w:szCs w:val="18"/>
          <w:lang w:val="en-US"/>
        </w:rPr>
      </w:pPr>
    </w:p>
  </w:footnote>
  <w:footnote w:id="29">
    <w:p w14:paraId="7BBE4793" w14:textId="37D67839" w:rsidR="006128A3" w:rsidRPr="00B92F1D" w:rsidRDefault="006128A3" w:rsidP="006128A3">
      <w:pPr>
        <w:ind w:left="851" w:hanging="851"/>
        <w:jc w:val="both"/>
        <w:rPr>
          <w:rFonts w:ascii="Verdana" w:hAnsi="Verdana"/>
          <w:color w:val="000000" w:themeColor="text1"/>
          <w:sz w:val="18"/>
          <w:szCs w:val="18"/>
          <w:shd w:val="clear" w:color="auto" w:fill="FFFFFF"/>
        </w:rPr>
      </w:pPr>
      <w:r w:rsidRPr="00B92F1D">
        <w:rPr>
          <w:rStyle w:val="FootnoteReference"/>
          <w:rFonts w:ascii="Verdana" w:hAnsi="Verdana"/>
          <w:sz w:val="18"/>
          <w:szCs w:val="18"/>
        </w:rPr>
        <w:footnoteRef/>
      </w:r>
      <w:r w:rsidRPr="00B92F1D">
        <w:rPr>
          <w:rFonts w:ascii="Verdana" w:hAnsi="Verdana"/>
          <w:sz w:val="18"/>
          <w:szCs w:val="18"/>
        </w:rPr>
        <w:t xml:space="preserve"> </w:t>
      </w:r>
      <w:r w:rsidRPr="00B92F1D">
        <w:rPr>
          <w:rFonts w:ascii="Verdana" w:hAnsi="Verdana"/>
          <w:sz w:val="18"/>
          <w:szCs w:val="18"/>
          <w:lang w:val="en-US"/>
        </w:rPr>
        <w:tab/>
      </w:r>
      <w:proofErr w:type="spellStart"/>
      <w:r w:rsidRPr="005A06CA">
        <w:rPr>
          <w:rFonts w:ascii="Verdana" w:hAnsi="Verdana"/>
          <w:i/>
          <w:iCs/>
          <w:color w:val="000000" w:themeColor="text1"/>
          <w:sz w:val="18"/>
          <w:szCs w:val="18"/>
          <w:shd w:val="clear" w:color="auto" w:fill="FFFFFF"/>
        </w:rPr>
        <w:t>Plascon</w:t>
      </w:r>
      <w:proofErr w:type="spellEnd"/>
      <w:r w:rsidRPr="005A06CA">
        <w:rPr>
          <w:rFonts w:ascii="Verdana" w:hAnsi="Verdana"/>
          <w:i/>
          <w:iCs/>
          <w:color w:val="000000" w:themeColor="text1"/>
          <w:sz w:val="18"/>
          <w:szCs w:val="18"/>
          <w:shd w:val="clear" w:color="auto" w:fill="FFFFFF"/>
        </w:rPr>
        <w:t xml:space="preserve">-Evans Paints Ltd v Van </w:t>
      </w:r>
      <w:proofErr w:type="spellStart"/>
      <w:r w:rsidRPr="005A06CA">
        <w:rPr>
          <w:rFonts w:ascii="Verdana" w:hAnsi="Verdana"/>
          <w:i/>
          <w:iCs/>
          <w:color w:val="000000" w:themeColor="text1"/>
          <w:sz w:val="18"/>
          <w:szCs w:val="18"/>
          <w:shd w:val="clear" w:color="auto" w:fill="FFFFFF"/>
        </w:rPr>
        <w:t>Riebeeck</w:t>
      </w:r>
      <w:proofErr w:type="spellEnd"/>
      <w:r w:rsidRPr="005A06CA">
        <w:rPr>
          <w:rFonts w:ascii="Verdana" w:hAnsi="Verdana"/>
          <w:i/>
          <w:iCs/>
          <w:color w:val="000000" w:themeColor="text1"/>
          <w:sz w:val="18"/>
          <w:szCs w:val="18"/>
          <w:shd w:val="clear" w:color="auto" w:fill="FFFFFF"/>
        </w:rPr>
        <w:t xml:space="preserve"> Paints</w:t>
      </w:r>
      <w:r w:rsidRPr="00B92F1D">
        <w:rPr>
          <w:rFonts w:ascii="Verdana" w:hAnsi="Verdana"/>
          <w:color w:val="000000" w:themeColor="text1"/>
          <w:sz w:val="18"/>
          <w:szCs w:val="18"/>
          <w:shd w:val="clear" w:color="auto" w:fill="FFFFFF"/>
        </w:rPr>
        <w:t xml:space="preserve"> (Pty) Ltd </w:t>
      </w:r>
      <w:hyperlink r:id="rId2" w:history="1">
        <w:r w:rsidRPr="005A06CA">
          <w:rPr>
            <w:rStyle w:val="Hyperlink"/>
            <w:rFonts w:ascii="Verdana" w:hAnsi="Verdana"/>
            <w:color w:val="000000" w:themeColor="text1"/>
            <w:sz w:val="18"/>
            <w:szCs w:val="18"/>
            <w:u w:val="none"/>
            <w:shd w:val="clear" w:color="auto" w:fill="FFFFFF"/>
          </w:rPr>
          <w:t>1984 (3) SA 623 (A)</w:t>
        </w:r>
      </w:hyperlink>
      <w:r w:rsidRPr="00B92F1D">
        <w:rPr>
          <w:rFonts w:ascii="Verdana" w:hAnsi="Verdana"/>
          <w:color w:val="000000" w:themeColor="text1"/>
          <w:sz w:val="18"/>
          <w:szCs w:val="18"/>
          <w:shd w:val="clear" w:color="auto" w:fill="FFFFFF"/>
        </w:rPr>
        <w:t> 634 - 635; </w:t>
      </w:r>
      <w:proofErr w:type="spellStart"/>
      <w:r w:rsidRPr="005A06CA">
        <w:rPr>
          <w:rFonts w:ascii="Verdana" w:hAnsi="Verdana"/>
          <w:i/>
          <w:iCs/>
          <w:color w:val="000000" w:themeColor="text1"/>
          <w:sz w:val="18"/>
          <w:szCs w:val="18"/>
          <w:shd w:val="clear" w:color="auto" w:fill="FFFFFF"/>
        </w:rPr>
        <w:t>Fakie</w:t>
      </w:r>
      <w:proofErr w:type="spellEnd"/>
      <w:r w:rsidRPr="005A06CA">
        <w:rPr>
          <w:rFonts w:ascii="Verdana" w:hAnsi="Verdana"/>
          <w:i/>
          <w:iCs/>
          <w:color w:val="000000" w:themeColor="text1"/>
          <w:sz w:val="18"/>
          <w:szCs w:val="18"/>
          <w:shd w:val="clear" w:color="auto" w:fill="FFFFFF"/>
        </w:rPr>
        <w:t xml:space="preserve"> NO v CCII Systems (Pty) Ltd</w:t>
      </w:r>
      <w:r w:rsidRPr="00B92F1D">
        <w:rPr>
          <w:rFonts w:ascii="Verdana" w:hAnsi="Verdana"/>
          <w:color w:val="000000" w:themeColor="text1"/>
          <w:sz w:val="18"/>
          <w:szCs w:val="18"/>
          <w:shd w:val="clear" w:color="auto" w:fill="FFFFFF"/>
        </w:rPr>
        <w:t> </w:t>
      </w:r>
      <w:hyperlink r:id="rId3" w:history="1">
        <w:r w:rsidRPr="005A06CA">
          <w:rPr>
            <w:rStyle w:val="Hyperlink"/>
            <w:rFonts w:ascii="Verdana" w:hAnsi="Verdana"/>
            <w:color w:val="000000" w:themeColor="text1"/>
            <w:sz w:val="18"/>
            <w:szCs w:val="18"/>
            <w:u w:val="none"/>
            <w:shd w:val="clear" w:color="auto" w:fill="FFFFFF"/>
          </w:rPr>
          <w:t>2006 (4) SA 326 (SCA)</w:t>
        </w:r>
      </w:hyperlink>
      <w:r w:rsidRPr="00B92F1D">
        <w:rPr>
          <w:rFonts w:ascii="Verdana" w:hAnsi="Verdana"/>
          <w:color w:val="000000" w:themeColor="text1"/>
          <w:sz w:val="18"/>
          <w:szCs w:val="18"/>
          <w:shd w:val="clear" w:color="auto" w:fill="FFFFFF"/>
        </w:rPr>
        <w:t> </w:t>
      </w:r>
      <w:proofErr w:type="spellStart"/>
      <w:r w:rsidRPr="00B92F1D">
        <w:rPr>
          <w:rFonts w:ascii="Verdana" w:hAnsi="Verdana"/>
          <w:color w:val="000000" w:themeColor="text1"/>
          <w:sz w:val="18"/>
          <w:szCs w:val="18"/>
          <w:shd w:val="clear" w:color="auto" w:fill="FFFFFF"/>
        </w:rPr>
        <w:t>para</w:t>
      </w:r>
      <w:proofErr w:type="spellEnd"/>
      <w:r w:rsidRPr="00B92F1D">
        <w:rPr>
          <w:rFonts w:ascii="Verdana" w:hAnsi="Verdana"/>
          <w:color w:val="000000" w:themeColor="text1"/>
          <w:sz w:val="18"/>
          <w:szCs w:val="18"/>
          <w:shd w:val="clear" w:color="auto" w:fill="FFFFFF"/>
        </w:rPr>
        <w:t xml:space="preserve"> 55;</w:t>
      </w:r>
      <w:proofErr w:type="gramStart"/>
      <w:r w:rsidRPr="00B92F1D">
        <w:rPr>
          <w:rFonts w:ascii="Verdana" w:hAnsi="Verdana"/>
          <w:color w:val="000000" w:themeColor="text1"/>
          <w:sz w:val="18"/>
          <w:szCs w:val="18"/>
          <w:shd w:val="clear" w:color="auto" w:fill="FFFFFF"/>
        </w:rPr>
        <w:t xml:space="preserve">  </w:t>
      </w:r>
      <w:proofErr w:type="spellStart"/>
      <w:r w:rsidRPr="005A06CA">
        <w:rPr>
          <w:rFonts w:ascii="Verdana" w:hAnsi="Verdana"/>
          <w:i/>
          <w:iCs/>
          <w:color w:val="000000" w:themeColor="text1"/>
          <w:sz w:val="18"/>
          <w:szCs w:val="18"/>
          <w:shd w:val="clear" w:color="auto" w:fill="FFFFFF"/>
        </w:rPr>
        <w:t>Zuma</w:t>
      </w:r>
      <w:proofErr w:type="spellEnd"/>
      <w:proofErr w:type="gramEnd"/>
      <w:r w:rsidRPr="005A06CA">
        <w:rPr>
          <w:rFonts w:ascii="Verdana" w:hAnsi="Verdana"/>
          <w:i/>
          <w:iCs/>
          <w:color w:val="000000" w:themeColor="text1"/>
          <w:sz w:val="18"/>
          <w:szCs w:val="18"/>
          <w:shd w:val="clear" w:color="auto" w:fill="FFFFFF"/>
        </w:rPr>
        <w:t xml:space="preserve"> v National Director of Public Prosecutions and Others</w:t>
      </w:r>
      <w:r w:rsidRPr="00B92F1D">
        <w:rPr>
          <w:rFonts w:ascii="Verdana" w:hAnsi="Verdana"/>
          <w:color w:val="000000" w:themeColor="text1"/>
          <w:sz w:val="18"/>
          <w:szCs w:val="18"/>
          <w:shd w:val="clear" w:color="auto" w:fill="FFFFFF"/>
        </w:rPr>
        <w:t> </w:t>
      </w:r>
      <w:hyperlink r:id="rId4" w:history="1">
        <w:r w:rsidRPr="005A06CA">
          <w:rPr>
            <w:rStyle w:val="Hyperlink"/>
            <w:rFonts w:ascii="Verdana" w:hAnsi="Verdana"/>
            <w:color w:val="000000" w:themeColor="text1"/>
            <w:sz w:val="18"/>
            <w:szCs w:val="18"/>
            <w:u w:val="none"/>
            <w:shd w:val="clear" w:color="auto" w:fill="FFFFFF"/>
          </w:rPr>
          <w:t>2009 (1) SA 1 (CC)</w:t>
        </w:r>
      </w:hyperlink>
      <w:r w:rsidRPr="005A06CA">
        <w:rPr>
          <w:rFonts w:ascii="Verdana" w:hAnsi="Verdana"/>
          <w:color w:val="000000" w:themeColor="text1"/>
          <w:sz w:val="18"/>
          <w:szCs w:val="18"/>
          <w:shd w:val="clear" w:color="auto" w:fill="FFFFFF"/>
        </w:rPr>
        <w:t> </w:t>
      </w:r>
      <w:proofErr w:type="spellStart"/>
      <w:r w:rsidRPr="00B92F1D">
        <w:rPr>
          <w:rFonts w:ascii="Verdana" w:hAnsi="Verdana"/>
          <w:color w:val="000000" w:themeColor="text1"/>
          <w:sz w:val="18"/>
          <w:szCs w:val="18"/>
          <w:shd w:val="clear" w:color="auto" w:fill="FFFFFF"/>
        </w:rPr>
        <w:t>paras</w:t>
      </w:r>
      <w:proofErr w:type="spellEnd"/>
      <w:r w:rsidRPr="00B92F1D">
        <w:rPr>
          <w:rFonts w:ascii="Verdana" w:hAnsi="Verdana"/>
          <w:color w:val="000000" w:themeColor="text1"/>
          <w:sz w:val="18"/>
          <w:szCs w:val="18"/>
          <w:shd w:val="clear" w:color="auto" w:fill="FFFFFF"/>
        </w:rPr>
        <w:t xml:space="preserve"> 8 - 10.</w:t>
      </w:r>
    </w:p>
  </w:footnote>
  <w:footnote w:id="30">
    <w:p w14:paraId="25D0AF9F" w14:textId="39CF01F1" w:rsidR="004404A9" w:rsidRPr="00B92F1D" w:rsidRDefault="00831F39" w:rsidP="00A02755">
      <w:pPr>
        <w:ind w:left="851" w:hanging="851"/>
        <w:rPr>
          <w:rFonts w:ascii="Verdana" w:hAnsi="Verdana" w:cs="Arial"/>
          <w:color w:val="000000" w:themeColor="text1"/>
          <w:sz w:val="18"/>
          <w:szCs w:val="18"/>
        </w:rPr>
      </w:pPr>
      <w:r w:rsidRPr="00B92F1D">
        <w:rPr>
          <w:rStyle w:val="FootnoteReference"/>
          <w:rFonts w:ascii="Verdana" w:hAnsi="Verdana"/>
          <w:sz w:val="18"/>
          <w:szCs w:val="18"/>
        </w:rPr>
        <w:footnoteRef/>
      </w:r>
      <w:r w:rsidRPr="00B92F1D">
        <w:rPr>
          <w:rFonts w:ascii="Verdana" w:hAnsi="Verdana"/>
          <w:sz w:val="18"/>
          <w:szCs w:val="18"/>
        </w:rPr>
        <w:t xml:space="preserve"> </w:t>
      </w:r>
      <w:r w:rsidRPr="00B92F1D">
        <w:rPr>
          <w:rFonts w:ascii="Verdana" w:hAnsi="Verdana"/>
          <w:sz w:val="18"/>
          <w:szCs w:val="18"/>
          <w:lang w:val="en-US"/>
        </w:rPr>
        <w:tab/>
      </w:r>
      <w:r w:rsidR="00D21E49" w:rsidRPr="005A06CA">
        <w:rPr>
          <w:rFonts w:ascii="Verdana" w:hAnsi="Verdana"/>
          <w:i/>
          <w:iCs/>
          <w:color w:val="000000" w:themeColor="text1"/>
          <w:sz w:val="18"/>
          <w:szCs w:val="18"/>
          <w:shd w:val="clear" w:color="auto" w:fill="FFFFFF"/>
        </w:rPr>
        <w:t xml:space="preserve">National Director of Public Prosecutions v </w:t>
      </w:r>
      <w:proofErr w:type="spellStart"/>
      <w:r w:rsidR="00D21E49" w:rsidRPr="005A06CA">
        <w:rPr>
          <w:rFonts w:ascii="Verdana" w:hAnsi="Verdana"/>
          <w:i/>
          <w:iCs/>
          <w:color w:val="000000" w:themeColor="text1"/>
          <w:sz w:val="18"/>
          <w:szCs w:val="18"/>
          <w:shd w:val="clear" w:color="auto" w:fill="FFFFFF"/>
        </w:rPr>
        <w:t>Zuma</w:t>
      </w:r>
      <w:proofErr w:type="spellEnd"/>
      <w:r w:rsidR="00D21E49" w:rsidRPr="00B92F1D">
        <w:rPr>
          <w:rFonts w:ascii="Verdana" w:hAnsi="Verdana" w:cs="Arial"/>
          <w:color w:val="000000" w:themeColor="text1"/>
          <w:sz w:val="18"/>
          <w:szCs w:val="18"/>
        </w:rPr>
        <w:t xml:space="preserve"> </w:t>
      </w:r>
      <w:r w:rsidR="004404A9" w:rsidRPr="00B92F1D">
        <w:rPr>
          <w:rFonts w:ascii="Verdana" w:hAnsi="Verdana" w:cs="Arial"/>
          <w:color w:val="000000" w:themeColor="text1"/>
          <w:sz w:val="18"/>
          <w:szCs w:val="18"/>
        </w:rPr>
        <w:t>2009 (2) SA 277 (</w:t>
      </w:r>
      <w:r w:rsidR="004404A9" w:rsidRPr="00B92F1D">
        <w:rPr>
          <w:rFonts w:ascii="Verdana" w:hAnsi="Verdana" w:cs="Arial"/>
          <w:color w:val="000000" w:themeColor="text1"/>
          <w:sz w:val="18"/>
          <w:szCs w:val="18"/>
          <w:shd w:val="clear" w:color="auto" w:fill="FFFFFF"/>
        </w:rPr>
        <w:t>SCA)</w:t>
      </w:r>
      <w:r w:rsidR="00D21E49" w:rsidRPr="00B92F1D">
        <w:rPr>
          <w:rFonts w:ascii="Verdana" w:hAnsi="Verdana" w:cs="Arial"/>
          <w:color w:val="000000" w:themeColor="text1"/>
          <w:sz w:val="18"/>
          <w:szCs w:val="18"/>
          <w:shd w:val="clear" w:color="auto" w:fill="FFFFFF"/>
        </w:rPr>
        <w:t xml:space="preserve"> </w:t>
      </w:r>
      <w:proofErr w:type="spellStart"/>
      <w:r w:rsidR="00D21E49" w:rsidRPr="00B92F1D">
        <w:rPr>
          <w:rFonts w:ascii="Verdana" w:hAnsi="Verdana" w:cs="Arial"/>
          <w:color w:val="000000" w:themeColor="text1"/>
          <w:sz w:val="18"/>
          <w:szCs w:val="18"/>
          <w:shd w:val="clear" w:color="auto" w:fill="FFFFFF"/>
        </w:rPr>
        <w:t>par</w:t>
      </w:r>
      <w:r w:rsidR="005A06CA">
        <w:rPr>
          <w:rFonts w:ascii="Verdana" w:hAnsi="Verdana" w:cs="Arial"/>
          <w:color w:val="000000" w:themeColor="text1"/>
          <w:sz w:val="18"/>
          <w:szCs w:val="18"/>
          <w:shd w:val="clear" w:color="auto" w:fill="FFFFFF"/>
        </w:rPr>
        <w:t>a</w:t>
      </w:r>
      <w:proofErr w:type="spellEnd"/>
      <w:r w:rsidR="00D21E49" w:rsidRPr="00B92F1D">
        <w:rPr>
          <w:rFonts w:ascii="Verdana" w:hAnsi="Verdana" w:cs="Arial"/>
          <w:color w:val="000000" w:themeColor="text1"/>
          <w:sz w:val="18"/>
          <w:szCs w:val="18"/>
          <w:shd w:val="clear" w:color="auto" w:fill="FFFFFF"/>
        </w:rPr>
        <w:t xml:space="preserve"> </w:t>
      </w:r>
      <w:r w:rsidR="00524E52" w:rsidRPr="00B92F1D">
        <w:rPr>
          <w:rFonts w:ascii="Verdana" w:hAnsi="Verdana" w:cs="Arial"/>
          <w:color w:val="000000" w:themeColor="text1"/>
          <w:sz w:val="18"/>
          <w:szCs w:val="18"/>
          <w:shd w:val="clear" w:color="auto" w:fill="FFFFFF"/>
        </w:rPr>
        <w:t>26</w:t>
      </w:r>
    </w:p>
    <w:p w14:paraId="626E3F9C" w14:textId="51EE33F0" w:rsidR="00831F39" w:rsidRPr="00B92F1D" w:rsidRDefault="00831F39">
      <w:pPr>
        <w:pStyle w:val="FootnoteText"/>
        <w:rPr>
          <w:szCs w:val="18"/>
          <w:lang w:val="en-US"/>
        </w:rPr>
      </w:pPr>
    </w:p>
  </w:footnote>
  <w:footnote w:id="31">
    <w:p w14:paraId="0160A9F8" w14:textId="537EE17F" w:rsidR="00041EC9" w:rsidRPr="00B92F1D" w:rsidRDefault="00041EC9">
      <w:pPr>
        <w:pStyle w:val="FootnoteText"/>
        <w:rPr>
          <w:color w:val="000000" w:themeColor="text1"/>
          <w:szCs w:val="18"/>
          <w:lang w:val="en-US"/>
        </w:rPr>
      </w:pPr>
      <w:r w:rsidRPr="00B92F1D">
        <w:rPr>
          <w:rStyle w:val="FootnoteReference"/>
          <w:szCs w:val="18"/>
        </w:rPr>
        <w:footnoteRef/>
      </w:r>
      <w:r w:rsidRPr="00B92F1D">
        <w:rPr>
          <w:szCs w:val="18"/>
        </w:rPr>
        <w:t xml:space="preserve"> </w:t>
      </w:r>
      <w:r w:rsidRPr="00B92F1D">
        <w:rPr>
          <w:szCs w:val="18"/>
          <w:lang w:val="en-US"/>
        </w:rPr>
        <w:tab/>
      </w:r>
      <w:r w:rsidRPr="00B92F1D">
        <w:rPr>
          <w:rFonts w:cs="Arial"/>
          <w:color w:val="000000" w:themeColor="text1"/>
          <w:szCs w:val="18"/>
        </w:rPr>
        <w:t>See </w:t>
      </w:r>
      <w:r w:rsidRPr="00B92F1D">
        <w:rPr>
          <w:rFonts w:cs="Arial"/>
          <w:i/>
          <w:iCs/>
          <w:color w:val="000000" w:themeColor="text1"/>
          <w:szCs w:val="18"/>
        </w:rPr>
        <w:t>Ex Parte</w:t>
      </w:r>
      <w:r w:rsidRPr="00B92F1D">
        <w:rPr>
          <w:rFonts w:cs="Arial"/>
          <w:color w:val="000000" w:themeColor="text1"/>
          <w:szCs w:val="18"/>
        </w:rPr>
        <w:t xml:space="preserve"> Sanders </w:t>
      </w:r>
      <w:proofErr w:type="gramStart"/>
      <w:r w:rsidRPr="00B92F1D">
        <w:rPr>
          <w:rFonts w:cs="Arial"/>
          <w:color w:val="000000" w:themeColor="text1"/>
          <w:szCs w:val="18"/>
        </w:rPr>
        <w:t>Et</w:t>
      </w:r>
      <w:proofErr w:type="gramEnd"/>
      <w:r w:rsidRPr="00B92F1D">
        <w:rPr>
          <w:rFonts w:cs="Arial"/>
          <w:color w:val="000000" w:themeColor="text1"/>
          <w:szCs w:val="18"/>
        </w:rPr>
        <w:t xml:space="preserve"> Uxor </w:t>
      </w:r>
      <w:hyperlink r:id="rId5" w:tooltip="View LawCiteRecord" w:history="1">
        <w:r w:rsidRPr="00B92F1D">
          <w:rPr>
            <w:rStyle w:val="Hyperlink"/>
            <w:rFonts w:cs="Arial"/>
            <w:color w:val="000000" w:themeColor="text1"/>
            <w:szCs w:val="18"/>
            <w:u w:val="none"/>
          </w:rPr>
          <w:t>2002 (5) SA 387</w:t>
        </w:r>
      </w:hyperlink>
      <w:r w:rsidRPr="00B92F1D">
        <w:rPr>
          <w:rFonts w:cs="Arial"/>
          <w:color w:val="000000" w:themeColor="text1"/>
          <w:szCs w:val="18"/>
        </w:rPr>
        <w:t> (C) at 390J-391A.</w:t>
      </w:r>
    </w:p>
  </w:footnote>
  <w:footnote w:id="32">
    <w:p w14:paraId="12F0A6F6" w14:textId="55FDE1F3" w:rsidR="000B47D6" w:rsidRPr="00B92F1D" w:rsidRDefault="000B47D6" w:rsidP="004216A7">
      <w:pPr>
        <w:pStyle w:val="Indent"/>
        <w:widowControl w:val="0"/>
        <w:numPr>
          <w:ilvl w:val="0"/>
          <w:numId w:val="0"/>
        </w:numPr>
        <w:spacing w:line="276" w:lineRule="auto"/>
        <w:ind w:left="709" w:hanging="709"/>
        <w:jc w:val="both"/>
        <w:rPr>
          <w:rFonts w:ascii="Verdana" w:hAnsi="Verdana"/>
          <w:color w:val="000000" w:themeColor="text1"/>
          <w:sz w:val="18"/>
          <w:szCs w:val="18"/>
        </w:rPr>
      </w:pPr>
      <w:r w:rsidRPr="00B92F1D">
        <w:rPr>
          <w:rStyle w:val="FootnoteReference"/>
          <w:rFonts w:ascii="Verdana" w:hAnsi="Verdana"/>
          <w:sz w:val="18"/>
          <w:szCs w:val="18"/>
        </w:rPr>
        <w:footnoteRef/>
      </w:r>
      <w:r w:rsidRPr="00B92F1D">
        <w:rPr>
          <w:rFonts w:ascii="Verdana" w:hAnsi="Verdana"/>
          <w:sz w:val="18"/>
          <w:szCs w:val="18"/>
        </w:rPr>
        <w:t xml:space="preserve"> </w:t>
      </w:r>
      <w:r w:rsidRPr="00B92F1D">
        <w:rPr>
          <w:rFonts w:ascii="Verdana" w:hAnsi="Verdana"/>
          <w:sz w:val="18"/>
          <w:szCs w:val="18"/>
        </w:rPr>
        <w:tab/>
      </w:r>
      <w:proofErr w:type="spellStart"/>
      <w:proofErr w:type="gramStart"/>
      <w:r w:rsidRPr="00B92F1D">
        <w:rPr>
          <w:rFonts w:ascii="Verdana" w:hAnsi="Verdana" w:cs="Arial"/>
          <w:i/>
          <w:iCs/>
          <w:color w:val="000000" w:themeColor="text1"/>
          <w:sz w:val="18"/>
          <w:szCs w:val="18"/>
        </w:rPr>
        <w:t>Haviland</w:t>
      </w:r>
      <w:proofErr w:type="spellEnd"/>
      <w:r w:rsidRPr="00B92F1D">
        <w:rPr>
          <w:rFonts w:ascii="Verdana" w:hAnsi="Verdana" w:cs="Arial"/>
          <w:i/>
          <w:iCs/>
          <w:color w:val="000000" w:themeColor="text1"/>
          <w:sz w:val="18"/>
          <w:szCs w:val="18"/>
        </w:rPr>
        <w:t xml:space="preserve"> Estates (Pty) Ltd and Another </w:t>
      </w:r>
      <w:proofErr w:type="spellStart"/>
      <w:r w:rsidRPr="00B92F1D">
        <w:rPr>
          <w:rFonts w:ascii="Verdana" w:hAnsi="Verdana" w:cs="Arial"/>
          <w:i/>
          <w:iCs/>
          <w:color w:val="000000" w:themeColor="text1"/>
          <w:sz w:val="18"/>
          <w:szCs w:val="18"/>
        </w:rPr>
        <w:t>vs</w:t>
      </w:r>
      <w:proofErr w:type="spellEnd"/>
      <w:r w:rsidRPr="00B92F1D">
        <w:rPr>
          <w:rFonts w:ascii="Verdana" w:hAnsi="Verdana" w:cs="Arial"/>
          <w:i/>
          <w:iCs/>
          <w:color w:val="000000" w:themeColor="text1"/>
          <w:sz w:val="18"/>
          <w:szCs w:val="18"/>
        </w:rPr>
        <w:t xml:space="preserve"> </w:t>
      </w:r>
      <w:proofErr w:type="spellStart"/>
      <w:r w:rsidRPr="00B92F1D">
        <w:rPr>
          <w:rFonts w:ascii="Verdana" w:hAnsi="Verdana" w:cs="Arial"/>
          <w:i/>
          <w:iCs/>
          <w:color w:val="000000" w:themeColor="text1"/>
          <w:sz w:val="18"/>
          <w:szCs w:val="18"/>
        </w:rPr>
        <w:t>Mc</w:t>
      </w:r>
      <w:proofErr w:type="spellEnd"/>
      <w:r w:rsidRPr="00B92F1D">
        <w:rPr>
          <w:rFonts w:ascii="Verdana" w:hAnsi="Verdana" w:cs="Arial"/>
          <w:i/>
          <w:iCs/>
          <w:color w:val="000000" w:themeColor="text1"/>
          <w:sz w:val="18"/>
          <w:szCs w:val="18"/>
        </w:rPr>
        <w:t xml:space="preserve"> Master</w:t>
      </w:r>
      <w:r w:rsidRPr="00B92F1D">
        <w:rPr>
          <w:rFonts w:ascii="Verdana" w:hAnsi="Verdana" w:cs="Arial"/>
          <w:color w:val="000000" w:themeColor="text1"/>
          <w:sz w:val="18"/>
          <w:szCs w:val="18"/>
        </w:rPr>
        <w:t> </w:t>
      </w:r>
      <w:hyperlink r:id="rId6" w:tooltip="View LawCiteRecord" w:history="1">
        <w:r w:rsidRPr="00B92F1D">
          <w:rPr>
            <w:rStyle w:val="Hyperlink"/>
            <w:rFonts w:ascii="Verdana" w:hAnsi="Verdana" w:cs="Arial"/>
            <w:color w:val="000000" w:themeColor="text1"/>
            <w:sz w:val="18"/>
            <w:szCs w:val="18"/>
            <w:u w:val="none"/>
          </w:rPr>
          <w:t>1969 (2) SA 312</w:t>
        </w:r>
      </w:hyperlink>
      <w:r w:rsidRPr="00B92F1D">
        <w:rPr>
          <w:rFonts w:ascii="Verdana" w:hAnsi="Verdana" w:cs="Arial"/>
          <w:color w:val="000000" w:themeColor="text1"/>
          <w:sz w:val="18"/>
          <w:szCs w:val="18"/>
        </w:rPr>
        <w:t> (A) at 319 (H).</w:t>
      </w:r>
      <w:proofErr w:type="gramEnd"/>
    </w:p>
  </w:footnote>
  <w:footnote w:id="33">
    <w:p w14:paraId="487A3FF9" w14:textId="74F82BCB" w:rsidR="00DD759A" w:rsidRPr="00B92F1D" w:rsidRDefault="00DD759A" w:rsidP="004216A7">
      <w:pPr>
        <w:pStyle w:val="FootnoteText"/>
        <w:spacing w:line="276" w:lineRule="auto"/>
        <w:rPr>
          <w:szCs w:val="18"/>
          <w:lang w:val="en-US"/>
        </w:rPr>
      </w:pPr>
      <w:r w:rsidRPr="00B92F1D">
        <w:rPr>
          <w:rStyle w:val="FootnoteReference"/>
          <w:szCs w:val="18"/>
        </w:rPr>
        <w:footnoteRef/>
      </w:r>
      <w:r w:rsidRPr="00B92F1D">
        <w:rPr>
          <w:szCs w:val="18"/>
        </w:rPr>
        <w:t xml:space="preserve"> </w:t>
      </w:r>
      <w:r w:rsidRPr="00B92F1D">
        <w:rPr>
          <w:szCs w:val="18"/>
          <w:lang w:val="en-US"/>
        </w:rPr>
        <w:tab/>
      </w:r>
      <w:proofErr w:type="gramStart"/>
      <w:r w:rsidRPr="006C76F8">
        <w:rPr>
          <w:rFonts w:eastAsia="Times New Roman" w:cs="Arial"/>
          <w:color w:val="282828"/>
          <w:szCs w:val="18"/>
          <w:lang w:eastAsia="en-ZA"/>
        </w:rPr>
        <w:t>1969(2) SA 543(A)</w:t>
      </w:r>
      <w:r w:rsidR="0008650D" w:rsidRPr="00B92F1D">
        <w:rPr>
          <w:rFonts w:eastAsia="Times New Roman" w:cs="Arial"/>
          <w:color w:val="282828"/>
          <w:szCs w:val="18"/>
          <w:lang w:eastAsia="en-ZA"/>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75847"/>
      <w:docPartObj>
        <w:docPartGallery w:val="Page Numbers (Top of Page)"/>
        <w:docPartUnique/>
      </w:docPartObj>
    </w:sdtPr>
    <w:sdtEndPr>
      <w:rPr>
        <w:noProof/>
      </w:rPr>
    </w:sdtEndPr>
    <w:sdtContent>
      <w:p w14:paraId="07CE8E0A" w14:textId="1D8FFADA" w:rsidR="009265CC" w:rsidRDefault="009265CC">
        <w:pPr>
          <w:pStyle w:val="Header"/>
          <w:jc w:val="center"/>
          <w:rPr>
            <w:noProof/>
          </w:rPr>
        </w:pPr>
        <w:r>
          <w:fldChar w:fldCharType="begin"/>
        </w:r>
        <w:r>
          <w:instrText xml:space="preserve"> PAGE   \* MERGEFORMAT </w:instrText>
        </w:r>
        <w:r>
          <w:fldChar w:fldCharType="separate"/>
        </w:r>
        <w:r w:rsidR="00D75E11">
          <w:rPr>
            <w:noProof/>
          </w:rPr>
          <w:t>23</w:t>
        </w:r>
        <w:r>
          <w:rPr>
            <w:noProof/>
          </w:rPr>
          <w:fldChar w:fldCharType="end"/>
        </w:r>
      </w:p>
      <w:p w14:paraId="1A2BCE82" w14:textId="77777777" w:rsidR="009265CC" w:rsidRDefault="00E924F6">
        <w:pPr>
          <w:pStyle w:val="Header"/>
          <w:jc w:val="center"/>
        </w:pPr>
      </w:p>
    </w:sdtContent>
  </w:sdt>
  <w:p w14:paraId="1D9DFF89" w14:textId="77777777" w:rsidR="009265CC" w:rsidRDefault="009265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47C"/>
    <w:multiLevelType w:val="hybridMultilevel"/>
    <w:tmpl w:val="15A60094"/>
    <w:lvl w:ilvl="0" w:tplc="E328F07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nsid w:val="045B40DF"/>
    <w:multiLevelType w:val="hybridMultilevel"/>
    <w:tmpl w:val="FEC67A86"/>
    <w:lvl w:ilvl="0" w:tplc="AAA029C2">
      <w:start w:val="1"/>
      <w:numFmt w:val="lowerRoman"/>
      <w:lvlText w:val="(%1)"/>
      <w:lvlJc w:val="left"/>
      <w:pPr>
        <w:ind w:left="1789" w:hanging="108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04D33669"/>
    <w:multiLevelType w:val="hybridMultilevel"/>
    <w:tmpl w:val="EC40F046"/>
    <w:lvl w:ilvl="0" w:tplc="011ABCC8">
      <w:start w:val="1"/>
      <w:numFmt w:val="lowerLetter"/>
      <w:lvlText w:val="(%1)"/>
      <w:lvlJc w:val="left"/>
      <w:pPr>
        <w:ind w:left="2628" w:hanging="360"/>
      </w:pPr>
      <w:rPr>
        <w:rFonts w:hint="default"/>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3">
    <w:nsid w:val="074A4539"/>
    <w:multiLevelType w:val="multilevel"/>
    <w:tmpl w:val="12CA164C"/>
    <w:lvl w:ilvl="0">
      <w:start w:val="1"/>
      <w:numFmt w:val="decimal"/>
      <w:lvlText w:val="[%1]"/>
      <w:lvlJc w:val="left"/>
      <w:pPr>
        <w:ind w:left="0" w:firstLine="0"/>
      </w:pPr>
      <w:rPr>
        <w:rFonts w:ascii="Verdana" w:hAnsi="Verdana" w:hint="default"/>
        <w:i w:val="0"/>
        <w:sz w:val="22"/>
        <w:szCs w:val="22"/>
      </w:rPr>
    </w:lvl>
    <w:lvl w:ilvl="1">
      <w:start w:val="1"/>
      <w:numFmt w:val="lowerLetter"/>
      <w:lvlText w:val="[%2]"/>
      <w:lvlJc w:val="left"/>
      <w:pPr>
        <w:ind w:left="1418" w:hanging="738"/>
      </w:pPr>
      <w:rPr>
        <w:rFonts w:ascii="Verdana" w:hAnsi="Verdana" w:hint="default"/>
        <w:i w:val="0"/>
        <w:sz w:val="22"/>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4">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5">
    <w:nsid w:val="1057022D"/>
    <w:multiLevelType w:val="multilevel"/>
    <w:tmpl w:val="12CA164C"/>
    <w:lvl w:ilvl="0">
      <w:start w:val="1"/>
      <w:numFmt w:val="decimal"/>
      <w:pStyle w:val="Indent"/>
      <w:lvlText w:val="[%1]"/>
      <w:lvlJc w:val="left"/>
      <w:pPr>
        <w:ind w:left="720" w:firstLine="0"/>
      </w:pPr>
      <w:rPr>
        <w:rFonts w:ascii="Verdana" w:hAnsi="Verdana" w:hint="default"/>
        <w:i w:val="0"/>
        <w:sz w:val="22"/>
        <w:szCs w:val="22"/>
      </w:rPr>
    </w:lvl>
    <w:lvl w:ilvl="1">
      <w:start w:val="1"/>
      <w:numFmt w:val="lowerLetter"/>
      <w:lvlText w:val="[%2]"/>
      <w:lvlJc w:val="left"/>
      <w:pPr>
        <w:ind w:left="2138" w:hanging="738"/>
      </w:pPr>
      <w:rPr>
        <w:rFonts w:ascii="Verdana" w:hAnsi="Verdana" w:hint="default"/>
        <w:i w:val="0"/>
        <w:sz w:val="22"/>
      </w:rPr>
    </w:lvl>
    <w:lvl w:ilvl="2">
      <w:start w:val="1"/>
      <w:numFmt w:val="decimal"/>
      <w:lvlText w:val="[%1.%2.%3]"/>
      <w:lvlJc w:val="left"/>
      <w:pPr>
        <w:tabs>
          <w:tab w:val="num" w:pos="1854"/>
        </w:tabs>
        <w:ind w:left="720" w:firstLine="0"/>
      </w:pPr>
      <w:rPr>
        <w:rFonts w:hint="default"/>
      </w:rPr>
    </w:lvl>
    <w:lvl w:ilvl="3">
      <w:start w:val="1"/>
      <w:numFmt w:val="decimal"/>
      <w:lvlText w:val="%1.%2.%3.%4"/>
      <w:lvlJc w:val="left"/>
      <w:pPr>
        <w:tabs>
          <w:tab w:val="num" w:pos="4689"/>
        </w:tabs>
        <w:ind w:left="4689" w:hanging="1134"/>
      </w:pPr>
      <w:rPr>
        <w:rFonts w:hint="default"/>
      </w:rPr>
    </w:lvl>
    <w:lvl w:ilvl="4">
      <w:start w:val="1"/>
      <w:numFmt w:val="decimal"/>
      <w:lvlText w:val="%1.%2.%3.%4.%5"/>
      <w:lvlJc w:val="left"/>
      <w:pPr>
        <w:tabs>
          <w:tab w:val="num" w:pos="5992"/>
        </w:tabs>
        <w:ind w:left="5992" w:hanging="1303"/>
      </w:pPr>
      <w:rPr>
        <w:rFonts w:hint="default"/>
      </w:rPr>
    </w:lvl>
    <w:lvl w:ilvl="5">
      <w:start w:val="1"/>
      <w:numFmt w:val="decimal"/>
      <w:lvlText w:val="%1.%2.%3.%4.%5.%6"/>
      <w:lvlJc w:val="left"/>
      <w:pPr>
        <w:tabs>
          <w:tab w:val="num" w:pos="8062"/>
        </w:tabs>
        <w:ind w:left="8062" w:hanging="1582"/>
      </w:pPr>
      <w:rPr>
        <w:rFonts w:hint="default"/>
      </w:rPr>
    </w:lvl>
    <w:lvl w:ilvl="6">
      <w:start w:val="1"/>
      <w:numFmt w:val="decimal"/>
      <w:lvlText w:val="%1.%2.%3.%4.%5.%6.%7"/>
      <w:lvlJc w:val="left"/>
      <w:pPr>
        <w:tabs>
          <w:tab w:val="num" w:pos="9791"/>
        </w:tabs>
        <w:ind w:left="9791" w:hanging="1729"/>
      </w:pPr>
      <w:rPr>
        <w:rFonts w:hint="default"/>
      </w:rPr>
    </w:lvl>
    <w:lvl w:ilvl="7">
      <w:start w:val="1"/>
      <w:numFmt w:val="decimal"/>
      <w:lvlText w:val="%1.%2.%3.%4.%5.%6.%7.%8."/>
      <w:lvlJc w:val="left"/>
      <w:pPr>
        <w:tabs>
          <w:tab w:val="num" w:pos="11951"/>
        </w:tabs>
        <w:ind w:left="11520" w:hanging="1729"/>
      </w:pPr>
      <w:rPr>
        <w:rFonts w:hint="default"/>
      </w:rPr>
    </w:lvl>
    <w:lvl w:ilvl="8">
      <w:start w:val="1"/>
      <w:numFmt w:val="decimal"/>
      <w:lvlText w:val="%1.%2.%3.%4.%5.%6.%7.%8.%9."/>
      <w:lvlJc w:val="left"/>
      <w:pPr>
        <w:tabs>
          <w:tab w:val="num" w:pos="13680"/>
        </w:tabs>
        <w:ind w:left="13249" w:hanging="1729"/>
      </w:pPr>
      <w:rPr>
        <w:rFonts w:hint="default"/>
      </w:rPr>
    </w:lvl>
  </w:abstractNum>
  <w:abstractNum w:abstractNumId="6">
    <w:nsid w:val="18954517"/>
    <w:multiLevelType w:val="hybridMultilevel"/>
    <w:tmpl w:val="83E6A358"/>
    <w:lvl w:ilvl="0" w:tplc="C2DC1D62">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24866A10"/>
    <w:multiLevelType w:val="multilevel"/>
    <w:tmpl w:val="12CA164C"/>
    <w:lvl w:ilvl="0">
      <w:start w:val="1"/>
      <w:numFmt w:val="decimal"/>
      <w:lvlText w:val="[%1]"/>
      <w:lvlJc w:val="left"/>
      <w:pPr>
        <w:ind w:left="0" w:firstLine="0"/>
      </w:pPr>
      <w:rPr>
        <w:rFonts w:ascii="Verdana" w:hAnsi="Verdana" w:hint="default"/>
        <w:i w:val="0"/>
        <w:sz w:val="22"/>
        <w:szCs w:val="22"/>
      </w:rPr>
    </w:lvl>
    <w:lvl w:ilvl="1">
      <w:start w:val="1"/>
      <w:numFmt w:val="lowerLetter"/>
      <w:lvlText w:val="[%2]"/>
      <w:lvlJc w:val="left"/>
      <w:pPr>
        <w:ind w:left="1418" w:hanging="738"/>
      </w:pPr>
      <w:rPr>
        <w:rFonts w:ascii="Verdana" w:hAnsi="Verdana" w:hint="default"/>
        <w:i w:val="0"/>
        <w:sz w:val="22"/>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8">
    <w:nsid w:val="28CC4B8A"/>
    <w:multiLevelType w:val="hybridMultilevel"/>
    <w:tmpl w:val="A0126740"/>
    <w:lvl w:ilvl="0" w:tplc="78DC13FA">
      <w:start w:val="1"/>
      <w:numFmt w:val="decimal"/>
      <w:lvlText w:val="%1."/>
      <w:lvlJc w:val="left"/>
      <w:pPr>
        <w:ind w:left="1800" w:hanging="360"/>
      </w:pPr>
      <w:rPr>
        <w:rFonts w:hint="default"/>
      </w:rPr>
    </w:lvl>
    <w:lvl w:ilvl="1" w:tplc="04360019" w:tentative="1">
      <w:start w:val="1"/>
      <w:numFmt w:val="lowerLetter"/>
      <w:lvlText w:val="%2."/>
      <w:lvlJc w:val="left"/>
      <w:pPr>
        <w:ind w:left="2520" w:hanging="360"/>
      </w:pPr>
    </w:lvl>
    <w:lvl w:ilvl="2" w:tplc="0436001B" w:tentative="1">
      <w:start w:val="1"/>
      <w:numFmt w:val="lowerRoman"/>
      <w:lvlText w:val="%3."/>
      <w:lvlJc w:val="right"/>
      <w:pPr>
        <w:ind w:left="3240" w:hanging="180"/>
      </w:pPr>
    </w:lvl>
    <w:lvl w:ilvl="3" w:tplc="0436000F" w:tentative="1">
      <w:start w:val="1"/>
      <w:numFmt w:val="decimal"/>
      <w:lvlText w:val="%4."/>
      <w:lvlJc w:val="left"/>
      <w:pPr>
        <w:ind w:left="3960" w:hanging="360"/>
      </w:pPr>
    </w:lvl>
    <w:lvl w:ilvl="4" w:tplc="04360019" w:tentative="1">
      <w:start w:val="1"/>
      <w:numFmt w:val="lowerLetter"/>
      <w:lvlText w:val="%5."/>
      <w:lvlJc w:val="left"/>
      <w:pPr>
        <w:ind w:left="4680" w:hanging="360"/>
      </w:pPr>
    </w:lvl>
    <w:lvl w:ilvl="5" w:tplc="0436001B" w:tentative="1">
      <w:start w:val="1"/>
      <w:numFmt w:val="lowerRoman"/>
      <w:lvlText w:val="%6."/>
      <w:lvlJc w:val="right"/>
      <w:pPr>
        <w:ind w:left="5400" w:hanging="180"/>
      </w:pPr>
    </w:lvl>
    <w:lvl w:ilvl="6" w:tplc="0436000F" w:tentative="1">
      <w:start w:val="1"/>
      <w:numFmt w:val="decimal"/>
      <w:lvlText w:val="%7."/>
      <w:lvlJc w:val="left"/>
      <w:pPr>
        <w:ind w:left="6120" w:hanging="360"/>
      </w:pPr>
    </w:lvl>
    <w:lvl w:ilvl="7" w:tplc="04360019" w:tentative="1">
      <w:start w:val="1"/>
      <w:numFmt w:val="lowerLetter"/>
      <w:lvlText w:val="%8."/>
      <w:lvlJc w:val="left"/>
      <w:pPr>
        <w:ind w:left="6840" w:hanging="360"/>
      </w:pPr>
    </w:lvl>
    <w:lvl w:ilvl="8" w:tplc="0436001B" w:tentative="1">
      <w:start w:val="1"/>
      <w:numFmt w:val="lowerRoman"/>
      <w:lvlText w:val="%9."/>
      <w:lvlJc w:val="right"/>
      <w:pPr>
        <w:ind w:left="7560" w:hanging="180"/>
      </w:pPr>
    </w:lvl>
  </w:abstractNum>
  <w:abstractNum w:abstractNumId="9">
    <w:nsid w:val="3C55493D"/>
    <w:multiLevelType w:val="hybridMultilevel"/>
    <w:tmpl w:val="33280B4E"/>
    <w:lvl w:ilvl="0" w:tplc="AAA029C2">
      <w:start w:val="1"/>
      <w:numFmt w:val="lowerRoman"/>
      <w:lvlText w:val="(%1)"/>
      <w:lvlJc w:val="left"/>
      <w:pPr>
        <w:ind w:left="1789" w:hanging="108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3F6550D3"/>
    <w:multiLevelType w:val="multilevel"/>
    <w:tmpl w:val="BCE40EB6"/>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0AE1BC7"/>
    <w:multiLevelType w:val="hybridMultilevel"/>
    <w:tmpl w:val="9B849F3C"/>
    <w:lvl w:ilvl="0" w:tplc="206E6058">
      <w:start w:val="1"/>
      <w:numFmt w:val="lowerRoman"/>
      <w:lvlText w:val="(%1)"/>
      <w:lvlJc w:val="left"/>
      <w:pPr>
        <w:ind w:left="2520" w:hanging="108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nsid w:val="53703BA0"/>
    <w:multiLevelType w:val="multilevel"/>
    <w:tmpl w:val="4F18AD2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4B26DF4"/>
    <w:multiLevelType w:val="hybridMultilevel"/>
    <w:tmpl w:val="8A9AABB0"/>
    <w:lvl w:ilvl="0" w:tplc="E34A27FE">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nsid w:val="5A2B6C0F"/>
    <w:multiLevelType w:val="hybridMultilevel"/>
    <w:tmpl w:val="63D6793A"/>
    <w:lvl w:ilvl="0" w:tplc="6DC6B21C">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nsid w:val="5B1E6940"/>
    <w:multiLevelType w:val="multilevel"/>
    <w:tmpl w:val="326837E2"/>
    <w:lvl w:ilvl="0">
      <w:start w:val="1"/>
      <w:numFmt w:val="decimal"/>
      <w:lvlText w:val="%1."/>
      <w:lvlJc w:val="left"/>
      <w:pPr>
        <w:ind w:left="1069" w:hanging="360"/>
      </w:pPr>
      <w:rPr>
        <w:rFonts w:ascii="Arial" w:hAnsi="Arial" w:cs="Arial" w:hint="default"/>
        <w:b w:val="0"/>
      </w:rPr>
    </w:lvl>
    <w:lvl w:ilvl="1">
      <w:start w:val="1"/>
      <w:numFmt w:val="decimal"/>
      <w:lvlText w:val="%1.%2."/>
      <w:lvlJc w:val="left"/>
      <w:pPr>
        <w:ind w:left="1501" w:hanging="432"/>
      </w:pPr>
      <w:rPr>
        <w:b w:val="0"/>
      </w:rPr>
    </w:lvl>
    <w:lvl w:ilvl="2">
      <w:start w:val="1"/>
      <w:numFmt w:val="decimal"/>
      <w:lvlText w:val="%1.%2.%3."/>
      <w:lvlJc w:val="left"/>
      <w:pPr>
        <w:ind w:left="1933" w:hanging="504"/>
      </w:pPr>
      <w:rPr>
        <w:b w:val="0"/>
      </w:r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6">
    <w:nsid w:val="69C31AC9"/>
    <w:multiLevelType w:val="hybridMultilevel"/>
    <w:tmpl w:val="F15885D4"/>
    <w:lvl w:ilvl="0" w:tplc="D9288FB0">
      <w:start w:val="1"/>
      <w:numFmt w:val="lowerLetter"/>
      <w:lvlText w:val="(%1)"/>
      <w:lvlJc w:val="left"/>
      <w:pPr>
        <w:ind w:left="2160" w:hanging="72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nsid w:val="6BBC6CA8"/>
    <w:multiLevelType w:val="hybridMultilevel"/>
    <w:tmpl w:val="8CBA4494"/>
    <w:lvl w:ilvl="0" w:tplc="12024036">
      <w:start w:val="1"/>
      <w:numFmt w:val="lowerLetter"/>
      <w:lvlText w:val="(%1)"/>
      <w:lvlJc w:val="left"/>
      <w:pPr>
        <w:ind w:left="3130" w:hanging="720"/>
      </w:pPr>
      <w:rPr>
        <w:rFonts w:hint="default"/>
      </w:rPr>
    </w:lvl>
    <w:lvl w:ilvl="1" w:tplc="1C090019" w:tentative="1">
      <w:start w:val="1"/>
      <w:numFmt w:val="lowerLetter"/>
      <w:lvlText w:val="%2."/>
      <w:lvlJc w:val="left"/>
      <w:pPr>
        <w:ind w:left="3490" w:hanging="360"/>
      </w:pPr>
    </w:lvl>
    <w:lvl w:ilvl="2" w:tplc="1C09001B" w:tentative="1">
      <w:start w:val="1"/>
      <w:numFmt w:val="lowerRoman"/>
      <w:lvlText w:val="%3."/>
      <w:lvlJc w:val="right"/>
      <w:pPr>
        <w:ind w:left="4210" w:hanging="180"/>
      </w:pPr>
    </w:lvl>
    <w:lvl w:ilvl="3" w:tplc="1C09000F" w:tentative="1">
      <w:start w:val="1"/>
      <w:numFmt w:val="decimal"/>
      <w:lvlText w:val="%4."/>
      <w:lvlJc w:val="left"/>
      <w:pPr>
        <w:ind w:left="4930" w:hanging="360"/>
      </w:pPr>
    </w:lvl>
    <w:lvl w:ilvl="4" w:tplc="1C090019" w:tentative="1">
      <w:start w:val="1"/>
      <w:numFmt w:val="lowerLetter"/>
      <w:lvlText w:val="%5."/>
      <w:lvlJc w:val="left"/>
      <w:pPr>
        <w:ind w:left="5650" w:hanging="360"/>
      </w:pPr>
    </w:lvl>
    <w:lvl w:ilvl="5" w:tplc="1C09001B" w:tentative="1">
      <w:start w:val="1"/>
      <w:numFmt w:val="lowerRoman"/>
      <w:lvlText w:val="%6."/>
      <w:lvlJc w:val="right"/>
      <w:pPr>
        <w:ind w:left="6370" w:hanging="180"/>
      </w:pPr>
    </w:lvl>
    <w:lvl w:ilvl="6" w:tplc="1C09000F" w:tentative="1">
      <w:start w:val="1"/>
      <w:numFmt w:val="decimal"/>
      <w:lvlText w:val="%7."/>
      <w:lvlJc w:val="left"/>
      <w:pPr>
        <w:ind w:left="7090" w:hanging="360"/>
      </w:pPr>
    </w:lvl>
    <w:lvl w:ilvl="7" w:tplc="1C090019" w:tentative="1">
      <w:start w:val="1"/>
      <w:numFmt w:val="lowerLetter"/>
      <w:lvlText w:val="%8."/>
      <w:lvlJc w:val="left"/>
      <w:pPr>
        <w:ind w:left="7810" w:hanging="360"/>
      </w:pPr>
    </w:lvl>
    <w:lvl w:ilvl="8" w:tplc="1C09001B" w:tentative="1">
      <w:start w:val="1"/>
      <w:numFmt w:val="lowerRoman"/>
      <w:lvlText w:val="%9."/>
      <w:lvlJc w:val="right"/>
      <w:pPr>
        <w:ind w:left="8530" w:hanging="180"/>
      </w:pPr>
    </w:lvl>
  </w:abstractNum>
  <w:abstractNum w:abstractNumId="18">
    <w:nsid w:val="708E578F"/>
    <w:multiLevelType w:val="hybridMultilevel"/>
    <w:tmpl w:val="198A3EEE"/>
    <w:lvl w:ilvl="0" w:tplc="92F8A5EE">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71121F6B"/>
    <w:multiLevelType w:val="hybridMultilevel"/>
    <w:tmpl w:val="9ABCBD20"/>
    <w:lvl w:ilvl="0" w:tplc="CB586AF4">
      <w:start w:val="1"/>
      <w:numFmt w:val="lowerLetter"/>
      <w:lvlText w:val="(%1)"/>
      <w:lvlJc w:val="left"/>
      <w:pPr>
        <w:ind w:left="2345" w:hanging="360"/>
      </w:pPr>
      <w:rPr>
        <w:rFonts w:hint="default"/>
        <w:i/>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20">
    <w:nsid w:val="73694FF6"/>
    <w:multiLevelType w:val="hybridMultilevel"/>
    <w:tmpl w:val="DD2C771C"/>
    <w:lvl w:ilvl="0" w:tplc="DDF49E5C">
      <w:start w:val="1"/>
      <w:numFmt w:val="decimal"/>
      <w:lvlText w:val="(%1)"/>
      <w:lvlJc w:val="left"/>
      <w:pPr>
        <w:ind w:left="1914" w:hanging="360"/>
      </w:pPr>
      <w:rPr>
        <w:rFonts w:hint="default"/>
      </w:rPr>
    </w:lvl>
    <w:lvl w:ilvl="1" w:tplc="1C090019" w:tentative="1">
      <w:start w:val="1"/>
      <w:numFmt w:val="lowerLetter"/>
      <w:lvlText w:val="%2."/>
      <w:lvlJc w:val="left"/>
      <w:pPr>
        <w:ind w:left="2634" w:hanging="360"/>
      </w:pPr>
    </w:lvl>
    <w:lvl w:ilvl="2" w:tplc="1C09001B" w:tentative="1">
      <w:start w:val="1"/>
      <w:numFmt w:val="lowerRoman"/>
      <w:lvlText w:val="%3."/>
      <w:lvlJc w:val="right"/>
      <w:pPr>
        <w:ind w:left="3354" w:hanging="180"/>
      </w:pPr>
    </w:lvl>
    <w:lvl w:ilvl="3" w:tplc="1C09000F" w:tentative="1">
      <w:start w:val="1"/>
      <w:numFmt w:val="decimal"/>
      <w:lvlText w:val="%4."/>
      <w:lvlJc w:val="left"/>
      <w:pPr>
        <w:ind w:left="4074" w:hanging="360"/>
      </w:pPr>
    </w:lvl>
    <w:lvl w:ilvl="4" w:tplc="1C090019" w:tentative="1">
      <w:start w:val="1"/>
      <w:numFmt w:val="lowerLetter"/>
      <w:lvlText w:val="%5."/>
      <w:lvlJc w:val="left"/>
      <w:pPr>
        <w:ind w:left="4794" w:hanging="360"/>
      </w:pPr>
    </w:lvl>
    <w:lvl w:ilvl="5" w:tplc="1C09001B" w:tentative="1">
      <w:start w:val="1"/>
      <w:numFmt w:val="lowerRoman"/>
      <w:lvlText w:val="%6."/>
      <w:lvlJc w:val="right"/>
      <w:pPr>
        <w:ind w:left="5514" w:hanging="180"/>
      </w:pPr>
    </w:lvl>
    <w:lvl w:ilvl="6" w:tplc="1C09000F" w:tentative="1">
      <w:start w:val="1"/>
      <w:numFmt w:val="decimal"/>
      <w:lvlText w:val="%7."/>
      <w:lvlJc w:val="left"/>
      <w:pPr>
        <w:ind w:left="6234" w:hanging="360"/>
      </w:pPr>
    </w:lvl>
    <w:lvl w:ilvl="7" w:tplc="1C090019" w:tentative="1">
      <w:start w:val="1"/>
      <w:numFmt w:val="lowerLetter"/>
      <w:lvlText w:val="%8."/>
      <w:lvlJc w:val="left"/>
      <w:pPr>
        <w:ind w:left="6954" w:hanging="360"/>
      </w:pPr>
    </w:lvl>
    <w:lvl w:ilvl="8" w:tplc="1C09001B" w:tentative="1">
      <w:start w:val="1"/>
      <w:numFmt w:val="lowerRoman"/>
      <w:lvlText w:val="%9."/>
      <w:lvlJc w:val="right"/>
      <w:pPr>
        <w:ind w:left="7674" w:hanging="180"/>
      </w:pPr>
    </w:lvl>
  </w:abstractNum>
  <w:abstractNum w:abstractNumId="21">
    <w:nsid w:val="768D44DE"/>
    <w:multiLevelType w:val="hybridMultilevel"/>
    <w:tmpl w:val="A4D88644"/>
    <w:lvl w:ilvl="0" w:tplc="12024036">
      <w:start w:val="1"/>
      <w:numFmt w:val="lowerLetter"/>
      <w:lvlText w:val="(%1)"/>
      <w:lvlJc w:val="left"/>
      <w:pPr>
        <w:ind w:left="3130" w:hanging="720"/>
      </w:pPr>
      <w:rPr>
        <w:rFonts w:hint="default"/>
      </w:rPr>
    </w:lvl>
    <w:lvl w:ilvl="1" w:tplc="1C090019" w:tentative="1">
      <w:start w:val="1"/>
      <w:numFmt w:val="lowerLetter"/>
      <w:lvlText w:val="%2."/>
      <w:lvlJc w:val="left"/>
      <w:pPr>
        <w:ind w:left="3490" w:hanging="360"/>
      </w:pPr>
    </w:lvl>
    <w:lvl w:ilvl="2" w:tplc="1C09001B" w:tentative="1">
      <w:start w:val="1"/>
      <w:numFmt w:val="lowerRoman"/>
      <w:lvlText w:val="%3."/>
      <w:lvlJc w:val="right"/>
      <w:pPr>
        <w:ind w:left="4210" w:hanging="180"/>
      </w:pPr>
    </w:lvl>
    <w:lvl w:ilvl="3" w:tplc="1C09000F" w:tentative="1">
      <w:start w:val="1"/>
      <w:numFmt w:val="decimal"/>
      <w:lvlText w:val="%4."/>
      <w:lvlJc w:val="left"/>
      <w:pPr>
        <w:ind w:left="4930" w:hanging="360"/>
      </w:pPr>
    </w:lvl>
    <w:lvl w:ilvl="4" w:tplc="1C090019" w:tentative="1">
      <w:start w:val="1"/>
      <w:numFmt w:val="lowerLetter"/>
      <w:lvlText w:val="%5."/>
      <w:lvlJc w:val="left"/>
      <w:pPr>
        <w:ind w:left="5650" w:hanging="360"/>
      </w:pPr>
    </w:lvl>
    <w:lvl w:ilvl="5" w:tplc="1C09001B" w:tentative="1">
      <w:start w:val="1"/>
      <w:numFmt w:val="lowerRoman"/>
      <w:lvlText w:val="%6."/>
      <w:lvlJc w:val="right"/>
      <w:pPr>
        <w:ind w:left="6370" w:hanging="180"/>
      </w:pPr>
    </w:lvl>
    <w:lvl w:ilvl="6" w:tplc="1C09000F" w:tentative="1">
      <w:start w:val="1"/>
      <w:numFmt w:val="decimal"/>
      <w:lvlText w:val="%7."/>
      <w:lvlJc w:val="left"/>
      <w:pPr>
        <w:ind w:left="7090" w:hanging="360"/>
      </w:pPr>
    </w:lvl>
    <w:lvl w:ilvl="7" w:tplc="1C090019" w:tentative="1">
      <w:start w:val="1"/>
      <w:numFmt w:val="lowerLetter"/>
      <w:lvlText w:val="%8."/>
      <w:lvlJc w:val="left"/>
      <w:pPr>
        <w:ind w:left="7810" w:hanging="360"/>
      </w:pPr>
    </w:lvl>
    <w:lvl w:ilvl="8" w:tplc="1C09001B" w:tentative="1">
      <w:start w:val="1"/>
      <w:numFmt w:val="lowerRoman"/>
      <w:lvlText w:val="%9."/>
      <w:lvlJc w:val="right"/>
      <w:pPr>
        <w:ind w:left="8530" w:hanging="180"/>
      </w:pPr>
    </w:lvl>
  </w:abstractNum>
  <w:abstractNum w:abstractNumId="22">
    <w:nsid w:val="7ECC1974"/>
    <w:multiLevelType w:val="multilevel"/>
    <w:tmpl w:val="475AC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0"/>
  </w:num>
  <w:num w:numId="4">
    <w:abstractNumId w:val="2"/>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12"/>
  </w:num>
  <w:num w:numId="10">
    <w:abstractNumId w:val="15"/>
  </w:num>
  <w:num w:numId="11">
    <w:abstractNumId w:val="18"/>
  </w:num>
  <w:num w:numId="12">
    <w:abstractNumId w:val="13"/>
  </w:num>
  <w:num w:numId="13">
    <w:abstractNumId w:val="0"/>
  </w:num>
  <w:num w:numId="14">
    <w:abstractNumId w:val="17"/>
  </w:num>
  <w:num w:numId="15">
    <w:abstractNumId w:val="21"/>
  </w:num>
  <w:num w:numId="16">
    <w:abstractNumId w:val="11"/>
  </w:num>
  <w:num w:numId="17">
    <w:abstractNumId w:val="1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
  </w:num>
  <w:num w:numId="21">
    <w:abstractNumId w:val="14"/>
  </w:num>
  <w:num w:numId="22">
    <w:abstractNumId w:val="7"/>
  </w:num>
  <w:num w:numId="23">
    <w:abstractNumId w:val="1"/>
  </w:num>
  <w:num w:numId="24">
    <w:abstractNumId w:val="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17"/>
    <w:rsid w:val="00000B51"/>
    <w:rsid w:val="000036DC"/>
    <w:rsid w:val="00005071"/>
    <w:rsid w:val="00006D75"/>
    <w:rsid w:val="00013159"/>
    <w:rsid w:val="00013828"/>
    <w:rsid w:val="00024042"/>
    <w:rsid w:val="00026B84"/>
    <w:rsid w:val="00027707"/>
    <w:rsid w:val="000309D1"/>
    <w:rsid w:val="00034AC0"/>
    <w:rsid w:val="00034C30"/>
    <w:rsid w:val="000413C6"/>
    <w:rsid w:val="00041EC9"/>
    <w:rsid w:val="00043456"/>
    <w:rsid w:val="000442F6"/>
    <w:rsid w:val="00050546"/>
    <w:rsid w:val="00050CB2"/>
    <w:rsid w:val="000633E6"/>
    <w:rsid w:val="00065D0D"/>
    <w:rsid w:val="00066329"/>
    <w:rsid w:val="0006790C"/>
    <w:rsid w:val="00072C59"/>
    <w:rsid w:val="000733E2"/>
    <w:rsid w:val="00073600"/>
    <w:rsid w:val="00073813"/>
    <w:rsid w:val="00074EC4"/>
    <w:rsid w:val="00081A1A"/>
    <w:rsid w:val="000841CF"/>
    <w:rsid w:val="00084528"/>
    <w:rsid w:val="0008650D"/>
    <w:rsid w:val="0009045F"/>
    <w:rsid w:val="000952A1"/>
    <w:rsid w:val="0009619E"/>
    <w:rsid w:val="00096674"/>
    <w:rsid w:val="000A17B0"/>
    <w:rsid w:val="000A569F"/>
    <w:rsid w:val="000A6E26"/>
    <w:rsid w:val="000B1280"/>
    <w:rsid w:val="000B45A5"/>
    <w:rsid w:val="000B47D6"/>
    <w:rsid w:val="000B5D7B"/>
    <w:rsid w:val="000C2DD2"/>
    <w:rsid w:val="000C5647"/>
    <w:rsid w:val="000C644E"/>
    <w:rsid w:val="000C6DFA"/>
    <w:rsid w:val="000C7F8B"/>
    <w:rsid w:val="000D12FC"/>
    <w:rsid w:val="000D37B6"/>
    <w:rsid w:val="000D3BCB"/>
    <w:rsid w:val="000D3ED5"/>
    <w:rsid w:val="000E3EA3"/>
    <w:rsid w:val="000E4DAB"/>
    <w:rsid w:val="000F1D4E"/>
    <w:rsid w:val="000F2149"/>
    <w:rsid w:val="000F4970"/>
    <w:rsid w:val="000F4A64"/>
    <w:rsid w:val="000F53D1"/>
    <w:rsid w:val="000F7427"/>
    <w:rsid w:val="001014BF"/>
    <w:rsid w:val="00101D55"/>
    <w:rsid w:val="00103202"/>
    <w:rsid w:val="0010425B"/>
    <w:rsid w:val="001047CF"/>
    <w:rsid w:val="00107604"/>
    <w:rsid w:val="00110047"/>
    <w:rsid w:val="00110EFC"/>
    <w:rsid w:val="00112038"/>
    <w:rsid w:val="00112997"/>
    <w:rsid w:val="00113710"/>
    <w:rsid w:val="00114C78"/>
    <w:rsid w:val="001206E9"/>
    <w:rsid w:val="001226BB"/>
    <w:rsid w:val="00123728"/>
    <w:rsid w:val="001241A4"/>
    <w:rsid w:val="001251A3"/>
    <w:rsid w:val="00130226"/>
    <w:rsid w:val="00131E0E"/>
    <w:rsid w:val="00134AA0"/>
    <w:rsid w:val="001356F3"/>
    <w:rsid w:val="0013584A"/>
    <w:rsid w:val="00135E37"/>
    <w:rsid w:val="00136722"/>
    <w:rsid w:val="00136B08"/>
    <w:rsid w:val="00140ED4"/>
    <w:rsid w:val="0014164A"/>
    <w:rsid w:val="001435D7"/>
    <w:rsid w:val="001435EC"/>
    <w:rsid w:val="00146CBA"/>
    <w:rsid w:val="001473A7"/>
    <w:rsid w:val="001477EC"/>
    <w:rsid w:val="00150061"/>
    <w:rsid w:val="00152C73"/>
    <w:rsid w:val="00153B91"/>
    <w:rsid w:val="00155981"/>
    <w:rsid w:val="0015744E"/>
    <w:rsid w:val="00157ADF"/>
    <w:rsid w:val="001624F2"/>
    <w:rsid w:val="00162F9C"/>
    <w:rsid w:val="00163B86"/>
    <w:rsid w:val="001664B0"/>
    <w:rsid w:val="00171847"/>
    <w:rsid w:val="001800B1"/>
    <w:rsid w:val="0018132A"/>
    <w:rsid w:val="00185D78"/>
    <w:rsid w:val="0018685A"/>
    <w:rsid w:val="00190A4F"/>
    <w:rsid w:val="00193553"/>
    <w:rsid w:val="00194CDA"/>
    <w:rsid w:val="001A69C7"/>
    <w:rsid w:val="001B07F4"/>
    <w:rsid w:val="001B5DAC"/>
    <w:rsid w:val="001B73FD"/>
    <w:rsid w:val="001C2696"/>
    <w:rsid w:val="001C648E"/>
    <w:rsid w:val="001C686D"/>
    <w:rsid w:val="001D3D4F"/>
    <w:rsid w:val="001D41D1"/>
    <w:rsid w:val="001D4298"/>
    <w:rsid w:val="001D52D8"/>
    <w:rsid w:val="001D719B"/>
    <w:rsid w:val="001E1907"/>
    <w:rsid w:val="001E256F"/>
    <w:rsid w:val="001E2685"/>
    <w:rsid w:val="001E4C66"/>
    <w:rsid w:val="001E68AE"/>
    <w:rsid w:val="001F044B"/>
    <w:rsid w:val="001F4AA4"/>
    <w:rsid w:val="00201123"/>
    <w:rsid w:val="00201AF2"/>
    <w:rsid w:val="00205684"/>
    <w:rsid w:val="0020776E"/>
    <w:rsid w:val="002122ED"/>
    <w:rsid w:val="00213DEF"/>
    <w:rsid w:val="00214580"/>
    <w:rsid w:val="002149DD"/>
    <w:rsid w:val="0021739E"/>
    <w:rsid w:val="00225130"/>
    <w:rsid w:val="00225922"/>
    <w:rsid w:val="0022688E"/>
    <w:rsid w:val="00233130"/>
    <w:rsid w:val="00243CAF"/>
    <w:rsid w:val="002441D3"/>
    <w:rsid w:val="00263471"/>
    <w:rsid w:val="00263F5E"/>
    <w:rsid w:val="002650D6"/>
    <w:rsid w:val="00265676"/>
    <w:rsid w:val="00267A86"/>
    <w:rsid w:val="00273CFF"/>
    <w:rsid w:val="00273FDC"/>
    <w:rsid w:val="0027463B"/>
    <w:rsid w:val="002751C2"/>
    <w:rsid w:val="00276C02"/>
    <w:rsid w:val="00280CE5"/>
    <w:rsid w:val="00281683"/>
    <w:rsid w:val="00287E7C"/>
    <w:rsid w:val="00287E9F"/>
    <w:rsid w:val="0029062F"/>
    <w:rsid w:val="00290E5A"/>
    <w:rsid w:val="00291E45"/>
    <w:rsid w:val="0029250F"/>
    <w:rsid w:val="00293AA9"/>
    <w:rsid w:val="002944F0"/>
    <w:rsid w:val="00294FB1"/>
    <w:rsid w:val="00297DE3"/>
    <w:rsid w:val="002A1540"/>
    <w:rsid w:val="002A18EB"/>
    <w:rsid w:val="002A32DC"/>
    <w:rsid w:val="002A3DFA"/>
    <w:rsid w:val="002A760F"/>
    <w:rsid w:val="002A795D"/>
    <w:rsid w:val="002B0C04"/>
    <w:rsid w:val="002B6CA1"/>
    <w:rsid w:val="002B722F"/>
    <w:rsid w:val="002C1F35"/>
    <w:rsid w:val="002C2076"/>
    <w:rsid w:val="002C2FDB"/>
    <w:rsid w:val="002C3974"/>
    <w:rsid w:val="002C6183"/>
    <w:rsid w:val="002C6694"/>
    <w:rsid w:val="002C71D8"/>
    <w:rsid w:val="002C78FD"/>
    <w:rsid w:val="002D090F"/>
    <w:rsid w:val="002D2073"/>
    <w:rsid w:val="002E3181"/>
    <w:rsid w:val="002E4119"/>
    <w:rsid w:val="002F0730"/>
    <w:rsid w:val="002F1C9C"/>
    <w:rsid w:val="002F35E3"/>
    <w:rsid w:val="002F648F"/>
    <w:rsid w:val="00300131"/>
    <w:rsid w:val="00300D21"/>
    <w:rsid w:val="00301725"/>
    <w:rsid w:val="00301C94"/>
    <w:rsid w:val="003028A5"/>
    <w:rsid w:val="00305AC6"/>
    <w:rsid w:val="00305C9E"/>
    <w:rsid w:val="00306F0A"/>
    <w:rsid w:val="003102F5"/>
    <w:rsid w:val="00312ABF"/>
    <w:rsid w:val="00313FF0"/>
    <w:rsid w:val="00315E14"/>
    <w:rsid w:val="0032067C"/>
    <w:rsid w:val="003207B3"/>
    <w:rsid w:val="00322364"/>
    <w:rsid w:val="00323F46"/>
    <w:rsid w:val="003240E7"/>
    <w:rsid w:val="00324AC1"/>
    <w:rsid w:val="00330E68"/>
    <w:rsid w:val="003315E1"/>
    <w:rsid w:val="00335840"/>
    <w:rsid w:val="003370EE"/>
    <w:rsid w:val="00343220"/>
    <w:rsid w:val="00345545"/>
    <w:rsid w:val="00363C53"/>
    <w:rsid w:val="0036664D"/>
    <w:rsid w:val="00370530"/>
    <w:rsid w:val="00374EB9"/>
    <w:rsid w:val="00377EF5"/>
    <w:rsid w:val="00381233"/>
    <w:rsid w:val="00382131"/>
    <w:rsid w:val="00382328"/>
    <w:rsid w:val="003831C0"/>
    <w:rsid w:val="003868E0"/>
    <w:rsid w:val="00386CBB"/>
    <w:rsid w:val="00386CF6"/>
    <w:rsid w:val="00387263"/>
    <w:rsid w:val="00387C80"/>
    <w:rsid w:val="00391362"/>
    <w:rsid w:val="00395BA1"/>
    <w:rsid w:val="00396A60"/>
    <w:rsid w:val="003974EF"/>
    <w:rsid w:val="00397CA3"/>
    <w:rsid w:val="00397E16"/>
    <w:rsid w:val="003A0BC1"/>
    <w:rsid w:val="003A1A70"/>
    <w:rsid w:val="003A3A3E"/>
    <w:rsid w:val="003B5284"/>
    <w:rsid w:val="003C0B89"/>
    <w:rsid w:val="003C0D3A"/>
    <w:rsid w:val="003C15DD"/>
    <w:rsid w:val="003C5724"/>
    <w:rsid w:val="003C7AF3"/>
    <w:rsid w:val="003D17B4"/>
    <w:rsid w:val="003D1D7C"/>
    <w:rsid w:val="003D4233"/>
    <w:rsid w:val="003D64BB"/>
    <w:rsid w:val="003D68D4"/>
    <w:rsid w:val="003D69CB"/>
    <w:rsid w:val="003D73C4"/>
    <w:rsid w:val="003D7C8B"/>
    <w:rsid w:val="003E04FB"/>
    <w:rsid w:val="003E2973"/>
    <w:rsid w:val="003E2FBD"/>
    <w:rsid w:val="003E5B5E"/>
    <w:rsid w:val="003F0BC0"/>
    <w:rsid w:val="003F2B58"/>
    <w:rsid w:val="003F41F0"/>
    <w:rsid w:val="003F5965"/>
    <w:rsid w:val="003F5EE0"/>
    <w:rsid w:val="00400342"/>
    <w:rsid w:val="00401A0F"/>
    <w:rsid w:val="00401FC4"/>
    <w:rsid w:val="00404C53"/>
    <w:rsid w:val="004153A5"/>
    <w:rsid w:val="00416357"/>
    <w:rsid w:val="00416496"/>
    <w:rsid w:val="004214EF"/>
    <w:rsid w:val="004216A7"/>
    <w:rsid w:val="00425E6A"/>
    <w:rsid w:val="004272A1"/>
    <w:rsid w:val="00430605"/>
    <w:rsid w:val="004348BD"/>
    <w:rsid w:val="00437B2C"/>
    <w:rsid w:val="004404A9"/>
    <w:rsid w:val="004429CE"/>
    <w:rsid w:val="00445736"/>
    <w:rsid w:val="0045128A"/>
    <w:rsid w:val="00451C76"/>
    <w:rsid w:val="004536BE"/>
    <w:rsid w:val="00454651"/>
    <w:rsid w:val="004568E6"/>
    <w:rsid w:val="00456CA9"/>
    <w:rsid w:val="00457904"/>
    <w:rsid w:val="004609AD"/>
    <w:rsid w:val="00462B15"/>
    <w:rsid w:val="004649DB"/>
    <w:rsid w:val="00465779"/>
    <w:rsid w:val="00465803"/>
    <w:rsid w:val="004748F3"/>
    <w:rsid w:val="00475A24"/>
    <w:rsid w:val="0047785C"/>
    <w:rsid w:val="0048439D"/>
    <w:rsid w:val="004846D1"/>
    <w:rsid w:val="00484F67"/>
    <w:rsid w:val="004928B5"/>
    <w:rsid w:val="004943A1"/>
    <w:rsid w:val="00495E44"/>
    <w:rsid w:val="004A1490"/>
    <w:rsid w:val="004A292E"/>
    <w:rsid w:val="004A33AD"/>
    <w:rsid w:val="004A619B"/>
    <w:rsid w:val="004A6929"/>
    <w:rsid w:val="004B20DB"/>
    <w:rsid w:val="004B3ABA"/>
    <w:rsid w:val="004B584A"/>
    <w:rsid w:val="004C3228"/>
    <w:rsid w:val="004C34FC"/>
    <w:rsid w:val="004C448B"/>
    <w:rsid w:val="004C4B6D"/>
    <w:rsid w:val="004D0E50"/>
    <w:rsid w:val="004D6741"/>
    <w:rsid w:val="004D7935"/>
    <w:rsid w:val="004E0021"/>
    <w:rsid w:val="004E238B"/>
    <w:rsid w:val="004E2953"/>
    <w:rsid w:val="004E320E"/>
    <w:rsid w:val="004E3D04"/>
    <w:rsid w:val="004E5097"/>
    <w:rsid w:val="004F1F8D"/>
    <w:rsid w:val="004F252C"/>
    <w:rsid w:val="004F3125"/>
    <w:rsid w:val="004F7163"/>
    <w:rsid w:val="005011B8"/>
    <w:rsid w:val="00510081"/>
    <w:rsid w:val="005138AD"/>
    <w:rsid w:val="00514564"/>
    <w:rsid w:val="005177E3"/>
    <w:rsid w:val="00524CAA"/>
    <w:rsid w:val="00524E52"/>
    <w:rsid w:val="00526A82"/>
    <w:rsid w:val="00530546"/>
    <w:rsid w:val="00532219"/>
    <w:rsid w:val="00533CAD"/>
    <w:rsid w:val="0053492C"/>
    <w:rsid w:val="00534C37"/>
    <w:rsid w:val="00541206"/>
    <w:rsid w:val="00541229"/>
    <w:rsid w:val="00542D92"/>
    <w:rsid w:val="005448FC"/>
    <w:rsid w:val="00545AB4"/>
    <w:rsid w:val="00545BD2"/>
    <w:rsid w:val="00560ECD"/>
    <w:rsid w:val="00561D3E"/>
    <w:rsid w:val="00565386"/>
    <w:rsid w:val="00565D87"/>
    <w:rsid w:val="00566341"/>
    <w:rsid w:val="0057355B"/>
    <w:rsid w:val="00573DEC"/>
    <w:rsid w:val="00574158"/>
    <w:rsid w:val="00574ED8"/>
    <w:rsid w:val="00580FDE"/>
    <w:rsid w:val="00584706"/>
    <w:rsid w:val="00584FBA"/>
    <w:rsid w:val="00585B3A"/>
    <w:rsid w:val="00590CAA"/>
    <w:rsid w:val="0059123A"/>
    <w:rsid w:val="00593702"/>
    <w:rsid w:val="0059554B"/>
    <w:rsid w:val="005A0595"/>
    <w:rsid w:val="005A06CA"/>
    <w:rsid w:val="005A2220"/>
    <w:rsid w:val="005A329A"/>
    <w:rsid w:val="005A3D28"/>
    <w:rsid w:val="005A6F8E"/>
    <w:rsid w:val="005A7440"/>
    <w:rsid w:val="005B0846"/>
    <w:rsid w:val="005B2541"/>
    <w:rsid w:val="005B2960"/>
    <w:rsid w:val="005B3B13"/>
    <w:rsid w:val="005B47FC"/>
    <w:rsid w:val="005B5D94"/>
    <w:rsid w:val="005B64CD"/>
    <w:rsid w:val="005B7A9C"/>
    <w:rsid w:val="005C60CC"/>
    <w:rsid w:val="005C7381"/>
    <w:rsid w:val="005C7A27"/>
    <w:rsid w:val="005D288C"/>
    <w:rsid w:val="005D28F3"/>
    <w:rsid w:val="005D3C40"/>
    <w:rsid w:val="005D5065"/>
    <w:rsid w:val="005D5581"/>
    <w:rsid w:val="005D64CC"/>
    <w:rsid w:val="005D707E"/>
    <w:rsid w:val="005D7F7B"/>
    <w:rsid w:val="005E19C0"/>
    <w:rsid w:val="005E6780"/>
    <w:rsid w:val="005E68B0"/>
    <w:rsid w:val="005F024F"/>
    <w:rsid w:val="005F12F1"/>
    <w:rsid w:val="005F14E5"/>
    <w:rsid w:val="005F481A"/>
    <w:rsid w:val="005F54C0"/>
    <w:rsid w:val="005F6CEB"/>
    <w:rsid w:val="005F7BC7"/>
    <w:rsid w:val="005F7F9D"/>
    <w:rsid w:val="006023C9"/>
    <w:rsid w:val="0060262A"/>
    <w:rsid w:val="00602BC1"/>
    <w:rsid w:val="00605101"/>
    <w:rsid w:val="00610AF7"/>
    <w:rsid w:val="00610BE5"/>
    <w:rsid w:val="006128A3"/>
    <w:rsid w:val="0061570E"/>
    <w:rsid w:val="00617261"/>
    <w:rsid w:val="00621DDA"/>
    <w:rsid w:val="006266F7"/>
    <w:rsid w:val="00627B69"/>
    <w:rsid w:val="00632E58"/>
    <w:rsid w:val="00634190"/>
    <w:rsid w:val="006354B6"/>
    <w:rsid w:val="006369E5"/>
    <w:rsid w:val="00643885"/>
    <w:rsid w:val="00643E33"/>
    <w:rsid w:val="00650EFA"/>
    <w:rsid w:val="00652AA3"/>
    <w:rsid w:val="006578F2"/>
    <w:rsid w:val="00657C00"/>
    <w:rsid w:val="00657D71"/>
    <w:rsid w:val="0066162E"/>
    <w:rsid w:val="00661893"/>
    <w:rsid w:val="006628F0"/>
    <w:rsid w:val="0066331F"/>
    <w:rsid w:val="00666DDC"/>
    <w:rsid w:val="00667241"/>
    <w:rsid w:val="006705E0"/>
    <w:rsid w:val="00674EA6"/>
    <w:rsid w:val="00675457"/>
    <w:rsid w:val="006767A0"/>
    <w:rsid w:val="006806ED"/>
    <w:rsid w:val="00680EE6"/>
    <w:rsid w:val="00690254"/>
    <w:rsid w:val="00691758"/>
    <w:rsid w:val="00691837"/>
    <w:rsid w:val="00695B92"/>
    <w:rsid w:val="006A188A"/>
    <w:rsid w:val="006A1C99"/>
    <w:rsid w:val="006A3026"/>
    <w:rsid w:val="006A4AA8"/>
    <w:rsid w:val="006C0416"/>
    <w:rsid w:val="006C47BA"/>
    <w:rsid w:val="006C5988"/>
    <w:rsid w:val="006C6384"/>
    <w:rsid w:val="006C7E3C"/>
    <w:rsid w:val="006D0C59"/>
    <w:rsid w:val="006D28DC"/>
    <w:rsid w:val="006D2C1D"/>
    <w:rsid w:val="006D3B57"/>
    <w:rsid w:val="006D76BE"/>
    <w:rsid w:val="006D7A7E"/>
    <w:rsid w:val="006E2294"/>
    <w:rsid w:val="006E53C6"/>
    <w:rsid w:val="006E62C6"/>
    <w:rsid w:val="006E71BB"/>
    <w:rsid w:val="006E7535"/>
    <w:rsid w:val="006F00F9"/>
    <w:rsid w:val="006F559C"/>
    <w:rsid w:val="006F5E01"/>
    <w:rsid w:val="00703C42"/>
    <w:rsid w:val="007058A4"/>
    <w:rsid w:val="00705BB7"/>
    <w:rsid w:val="007100D5"/>
    <w:rsid w:val="00713B69"/>
    <w:rsid w:val="00715BD0"/>
    <w:rsid w:val="00716987"/>
    <w:rsid w:val="00720CA5"/>
    <w:rsid w:val="00723BCA"/>
    <w:rsid w:val="0072458D"/>
    <w:rsid w:val="00725BB6"/>
    <w:rsid w:val="0072633F"/>
    <w:rsid w:val="00726738"/>
    <w:rsid w:val="00732544"/>
    <w:rsid w:val="0073549B"/>
    <w:rsid w:val="0074165F"/>
    <w:rsid w:val="00746FCD"/>
    <w:rsid w:val="00747737"/>
    <w:rsid w:val="007571FE"/>
    <w:rsid w:val="00762B79"/>
    <w:rsid w:val="00763827"/>
    <w:rsid w:val="00772EA0"/>
    <w:rsid w:val="0077428B"/>
    <w:rsid w:val="007746D3"/>
    <w:rsid w:val="00774D62"/>
    <w:rsid w:val="00777651"/>
    <w:rsid w:val="00782B05"/>
    <w:rsid w:val="00783696"/>
    <w:rsid w:val="00784D5D"/>
    <w:rsid w:val="007852F0"/>
    <w:rsid w:val="00785389"/>
    <w:rsid w:val="00787ABB"/>
    <w:rsid w:val="00787C2C"/>
    <w:rsid w:val="007A44DE"/>
    <w:rsid w:val="007B2F9C"/>
    <w:rsid w:val="007B4695"/>
    <w:rsid w:val="007B5138"/>
    <w:rsid w:val="007B7D71"/>
    <w:rsid w:val="007C4050"/>
    <w:rsid w:val="007C620D"/>
    <w:rsid w:val="007C6919"/>
    <w:rsid w:val="007D090B"/>
    <w:rsid w:val="007D2DF5"/>
    <w:rsid w:val="007E019C"/>
    <w:rsid w:val="007E0A01"/>
    <w:rsid w:val="007E7797"/>
    <w:rsid w:val="007E7EFB"/>
    <w:rsid w:val="007F0A3D"/>
    <w:rsid w:val="007F4143"/>
    <w:rsid w:val="007F46C9"/>
    <w:rsid w:val="007F60FC"/>
    <w:rsid w:val="007F6A06"/>
    <w:rsid w:val="008001A6"/>
    <w:rsid w:val="008015E1"/>
    <w:rsid w:val="00803142"/>
    <w:rsid w:val="00804A2E"/>
    <w:rsid w:val="008057AD"/>
    <w:rsid w:val="0080717D"/>
    <w:rsid w:val="0081021D"/>
    <w:rsid w:val="008109A0"/>
    <w:rsid w:val="008115A1"/>
    <w:rsid w:val="008117EA"/>
    <w:rsid w:val="00811E6B"/>
    <w:rsid w:val="0081556A"/>
    <w:rsid w:val="00815E05"/>
    <w:rsid w:val="00820348"/>
    <w:rsid w:val="00822B05"/>
    <w:rsid w:val="00826444"/>
    <w:rsid w:val="00826648"/>
    <w:rsid w:val="00826978"/>
    <w:rsid w:val="00830591"/>
    <w:rsid w:val="008306BA"/>
    <w:rsid w:val="00831F39"/>
    <w:rsid w:val="00832A22"/>
    <w:rsid w:val="008347D0"/>
    <w:rsid w:val="00836DD5"/>
    <w:rsid w:val="00840050"/>
    <w:rsid w:val="0084035F"/>
    <w:rsid w:val="008442AC"/>
    <w:rsid w:val="00851B08"/>
    <w:rsid w:val="0085228A"/>
    <w:rsid w:val="00855B2E"/>
    <w:rsid w:val="008566DC"/>
    <w:rsid w:val="00856C0B"/>
    <w:rsid w:val="00856E63"/>
    <w:rsid w:val="00857F8F"/>
    <w:rsid w:val="008615F0"/>
    <w:rsid w:val="00867CD8"/>
    <w:rsid w:val="008705B3"/>
    <w:rsid w:val="00874653"/>
    <w:rsid w:val="008748E9"/>
    <w:rsid w:val="00874F12"/>
    <w:rsid w:val="00876724"/>
    <w:rsid w:val="0088384C"/>
    <w:rsid w:val="00890432"/>
    <w:rsid w:val="008915F5"/>
    <w:rsid w:val="008925B1"/>
    <w:rsid w:val="008A38C5"/>
    <w:rsid w:val="008A4117"/>
    <w:rsid w:val="008A6649"/>
    <w:rsid w:val="008A6664"/>
    <w:rsid w:val="008B1429"/>
    <w:rsid w:val="008B3BBC"/>
    <w:rsid w:val="008B45F2"/>
    <w:rsid w:val="008C3F41"/>
    <w:rsid w:val="008D144C"/>
    <w:rsid w:val="008D15F5"/>
    <w:rsid w:val="008D2D79"/>
    <w:rsid w:val="008D2DD4"/>
    <w:rsid w:val="008D3171"/>
    <w:rsid w:val="008D4475"/>
    <w:rsid w:val="008D544D"/>
    <w:rsid w:val="008E1CBE"/>
    <w:rsid w:val="008E5030"/>
    <w:rsid w:val="008E7352"/>
    <w:rsid w:val="008F0FA1"/>
    <w:rsid w:val="008F1271"/>
    <w:rsid w:val="008F1E9A"/>
    <w:rsid w:val="008F7DF3"/>
    <w:rsid w:val="00900183"/>
    <w:rsid w:val="009024F7"/>
    <w:rsid w:val="00906940"/>
    <w:rsid w:val="00907FB5"/>
    <w:rsid w:val="00913544"/>
    <w:rsid w:val="00914480"/>
    <w:rsid w:val="00914C32"/>
    <w:rsid w:val="00916000"/>
    <w:rsid w:val="009162DF"/>
    <w:rsid w:val="00920C13"/>
    <w:rsid w:val="00924657"/>
    <w:rsid w:val="0092541F"/>
    <w:rsid w:val="009265CC"/>
    <w:rsid w:val="00926603"/>
    <w:rsid w:val="009277E8"/>
    <w:rsid w:val="009301AC"/>
    <w:rsid w:val="00930FC3"/>
    <w:rsid w:val="00931073"/>
    <w:rsid w:val="00934C98"/>
    <w:rsid w:val="00934F4B"/>
    <w:rsid w:val="00935FE8"/>
    <w:rsid w:val="00936B81"/>
    <w:rsid w:val="00940646"/>
    <w:rsid w:val="00946E35"/>
    <w:rsid w:val="00947B9E"/>
    <w:rsid w:val="0095038D"/>
    <w:rsid w:val="00951FAD"/>
    <w:rsid w:val="00952A79"/>
    <w:rsid w:val="00953017"/>
    <w:rsid w:val="0095458D"/>
    <w:rsid w:val="0095793F"/>
    <w:rsid w:val="00963053"/>
    <w:rsid w:val="009634C5"/>
    <w:rsid w:val="00963530"/>
    <w:rsid w:val="00964590"/>
    <w:rsid w:val="00964B32"/>
    <w:rsid w:val="00967B21"/>
    <w:rsid w:val="00970EE5"/>
    <w:rsid w:val="00971D1D"/>
    <w:rsid w:val="00972688"/>
    <w:rsid w:val="00972737"/>
    <w:rsid w:val="009760D6"/>
    <w:rsid w:val="009771EF"/>
    <w:rsid w:val="00977986"/>
    <w:rsid w:val="009779F2"/>
    <w:rsid w:val="009825E8"/>
    <w:rsid w:val="009839D2"/>
    <w:rsid w:val="009860BB"/>
    <w:rsid w:val="00992407"/>
    <w:rsid w:val="00993C93"/>
    <w:rsid w:val="00994D06"/>
    <w:rsid w:val="0099540D"/>
    <w:rsid w:val="00997B66"/>
    <w:rsid w:val="00997DD4"/>
    <w:rsid w:val="00997FD1"/>
    <w:rsid w:val="009A4C27"/>
    <w:rsid w:val="009A679C"/>
    <w:rsid w:val="009A72D3"/>
    <w:rsid w:val="009A77CE"/>
    <w:rsid w:val="009A7A47"/>
    <w:rsid w:val="009B08AA"/>
    <w:rsid w:val="009B1D55"/>
    <w:rsid w:val="009B3A60"/>
    <w:rsid w:val="009B42E5"/>
    <w:rsid w:val="009C05AB"/>
    <w:rsid w:val="009C0F88"/>
    <w:rsid w:val="009C1139"/>
    <w:rsid w:val="009D101F"/>
    <w:rsid w:val="009D3DC1"/>
    <w:rsid w:val="009D4FF3"/>
    <w:rsid w:val="009E2446"/>
    <w:rsid w:val="009E27A3"/>
    <w:rsid w:val="009F01A0"/>
    <w:rsid w:val="009F088B"/>
    <w:rsid w:val="009F5EF5"/>
    <w:rsid w:val="009F6615"/>
    <w:rsid w:val="009F7732"/>
    <w:rsid w:val="00A02755"/>
    <w:rsid w:val="00A027C7"/>
    <w:rsid w:val="00A0288F"/>
    <w:rsid w:val="00A038A6"/>
    <w:rsid w:val="00A06374"/>
    <w:rsid w:val="00A100A7"/>
    <w:rsid w:val="00A11B2A"/>
    <w:rsid w:val="00A13CA4"/>
    <w:rsid w:val="00A157E6"/>
    <w:rsid w:val="00A20807"/>
    <w:rsid w:val="00A22D83"/>
    <w:rsid w:val="00A231B1"/>
    <w:rsid w:val="00A262DA"/>
    <w:rsid w:val="00A3035C"/>
    <w:rsid w:val="00A30A30"/>
    <w:rsid w:val="00A31FA9"/>
    <w:rsid w:val="00A3228B"/>
    <w:rsid w:val="00A32E5F"/>
    <w:rsid w:val="00A335AF"/>
    <w:rsid w:val="00A35EE4"/>
    <w:rsid w:val="00A36080"/>
    <w:rsid w:val="00A363AD"/>
    <w:rsid w:val="00A36719"/>
    <w:rsid w:val="00A37E01"/>
    <w:rsid w:val="00A4280A"/>
    <w:rsid w:val="00A46078"/>
    <w:rsid w:val="00A47250"/>
    <w:rsid w:val="00A5018A"/>
    <w:rsid w:val="00A53EA8"/>
    <w:rsid w:val="00A5451E"/>
    <w:rsid w:val="00A60CE5"/>
    <w:rsid w:val="00A620BB"/>
    <w:rsid w:val="00A63B05"/>
    <w:rsid w:val="00A64957"/>
    <w:rsid w:val="00A65C74"/>
    <w:rsid w:val="00A6624E"/>
    <w:rsid w:val="00A67E16"/>
    <w:rsid w:val="00A73F9B"/>
    <w:rsid w:val="00A744ED"/>
    <w:rsid w:val="00A74519"/>
    <w:rsid w:val="00A7511E"/>
    <w:rsid w:val="00A765E1"/>
    <w:rsid w:val="00A77117"/>
    <w:rsid w:val="00A831CA"/>
    <w:rsid w:val="00A83DDE"/>
    <w:rsid w:val="00A8434B"/>
    <w:rsid w:val="00A84E88"/>
    <w:rsid w:val="00A96869"/>
    <w:rsid w:val="00AA3000"/>
    <w:rsid w:val="00AA44F6"/>
    <w:rsid w:val="00AA4CC3"/>
    <w:rsid w:val="00AA7CBD"/>
    <w:rsid w:val="00AB357A"/>
    <w:rsid w:val="00AB392F"/>
    <w:rsid w:val="00AB5C59"/>
    <w:rsid w:val="00AC09A7"/>
    <w:rsid w:val="00AC20D2"/>
    <w:rsid w:val="00AC2292"/>
    <w:rsid w:val="00AC30C1"/>
    <w:rsid w:val="00AC40FA"/>
    <w:rsid w:val="00AC5332"/>
    <w:rsid w:val="00AD0B3D"/>
    <w:rsid w:val="00AD2E96"/>
    <w:rsid w:val="00AD3327"/>
    <w:rsid w:val="00AD7E6F"/>
    <w:rsid w:val="00AE0713"/>
    <w:rsid w:val="00AE2D42"/>
    <w:rsid w:val="00AE6AE3"/>
    <w:rsid w:val="00AE6AE6"/>
    <w:rsid w:val="00AE6FCA"/>
    <w:rsid w:val="00AF19C3"/>
    <w:rsid w:val="00AF3219"/>
    <w:rsid w:val="00AF3F09"/>
    <w:rsid w:val="00AF5F95"/>
    <w:rsid w:val="00B00726"/>
    <w:rsid w:val="00B053F7"/>
    <w:rsid w:val="00B107BD"/>
    <w:rsid w:val="00B10D11"/>
    <w:rsid w:val="00B149BE"/>
    <w:rsid w:val="00B21824"/>
    <w:rsid w:val="00B247CF"/>
    <w:rsid w:val="00B25D1A"/>
    <w:rsid w:val="00B30561"/>
    <w:rsid w:val="00B34825"/>
    <w:rsid w:val="00B35F1B"/>
    <w:rsid w:val="00B36192"/>
    <w:rsid w:val="00B40104"/>
    <w:rsid w:val="00B51B59"/>
    <w:rsid w:val="00B51D5B"/>
    <w:rsid w:val="00B53512"/>
    <w:rsid w:val="00B53F2D"/>
    <w:rsid w:val="00B54836"/>
    <w:rsid w:val="00B55450"/>
    <w:rsid w:val="00B57673"/>
    <w:rsid w:val="00B57C72"/>
    <w:rsid w:val="00B6251F"/>
    <w:rsid w:val="00B628F7"/>
    <w:rsid w:val="00B64501"/>
    <w:rsid w:val="00B66EC7"/>
    <w:rsid w:val="00B670C6"/>
    <w:rsid w:val="00B72CA6"/>
    <w:rsid w:val="00B77FC4"/>
    <w:rsid w:val="00B807C4"/>
    <w:rsid w:val="00B815CD"/>
    <w:rsid w:val="00B82561"/>
    <w:rsid w:val="00B874F1"/>
    <w:rsid w:val="00B877EF"/>
    <w:rsid w:val="00B92F1D"/>
    <w:rsid w:val="00B97263"/>
    <w:rsid w:val="00BA08D5"/>
    <w:rsid w:val="00BA44A5"/>
    <w:rsid w:val="00BA6143"/>
    <w:rsid w:val="00BA6A5A"/>
    <w:rsid w:val="00BB06C6"/>
    <w:rsid w:val="00BB117B"/>
    <w:rsid w:val="00BB16BA"/>
    <w:rsid w:val="00BB6C5D"/>
    <w:rsid w:val="00BC2977"/>
    <w:rsid w:val="00BC49DF"/>
    <w:rsid w:val="00BC696C"/>
    <w:rsid w:val="00BC6C45"/>
    <w:rsid w:val="00BD02B0"/>
    <w:rsid w:val="00BD11A9"/>
    <w:rsid w:val="00BD1A23"/>
    <w:rsid w:val="00BD1FCC"/>
    <w:rsid w:val="00BD23CC"/>
    <w:rsid w:val="00BD3FA4"/>
    <w:rsid w:val="00BD579C"/>
    <w:rsid w:val="00BD6342"/>
    <w:rsid w:val="00BD7BC7"/>
    <w:rsid w:val="00BE13C2"/>
    <w:rsid w:val="00BE3593"/>
    <w:rsid w:val="00BE5D68"/>
    <w:rsid w:val="00BE7CAA"/>
    <w:rsid w:val="00BF25F5"/>
    <w:rsid w:val="00BF460E"/>
    <w:rsid w:val="00BF5BD4"/>
    <w:rsid w:val="00BF6435"/>
    <w:rsid w:val="00C02D91"/>
    <w:rsid w:val="00C05FB1"/>
    <w:rsid w:val="00C10C95"/>
    <w:rsid w:val="00C133C1"/>
    <w:rsid w:val="00C13AE9"/>
    <w:rsid w:val="00C16361"/>
    <w:rsid w:val="00C169BE"/>
    <w:rsid w:val="00C21DA0"/>
    <w:rsid w:val="00C235EC"/>
    <w:rsid w:val="00C240A5"/>
    <w:rsid w:val="00C26A75"/>
    <w:rsid w:val="00C272E5"/>
    <w:rsid w:val="00C32024"/>
    <w:rsid w:val="00C33553"/>
    <w:rsid w:val="00C3621E"/>
    <w:rsid w:val="00C36302"/>
    <w:rsid w:val="00C37F9F"/>
    <w:rsid w:val="00C40125"/>
    <w:rsid w:val="00C4074B"/>
    <w:rsid w:val="00C40884"/>
    <w:rsid w:val="00C4202A"/>
    <w:rsid w:val="00C4685D"/>
    <w:rsid w:val="00C50940"/>
    <w:rsid w:val="00C540B7"/>
    <w:rsid w:val="00C56AEC"/>
    <w:rsid w:val="00C56E08"/>
    <w:rsid w:val="00C57257"/>
    <w:rsid w:val="00C57A59"/>
    <w:rsid w:val="00C61AD2"/>
    <w:rsid w:val="00C61B9B"/>
    <w:rsid w:val="00C622E0"/>
    <w:rsid w:val="00C626C0"/>
    <w:rsid w:val="00C63D8D"/>
    <w:rsid w:val="00C66BCC"/>
    <w:rsid w:val="00C67371"/>
    <w:rsid w:val="00C67A4B"/>
    <w:rsid w:val="00C82F99"/>
    <w:rsid w:val="00C85786"/>
    <w:rsid w:val="00C90423"/>
    <w:rsid w:val="00C927E4"/>
    <w:rsid w:val="00C96EFB"/>
    <w:rsid w:val="00CA049F"/>
    <w:rsid w:val="00CA499A"/>
    <w:rsid w:val="00CA4BA8"/>
    <w:rsid w:val="00CA7DFE"/>
    <w:rsid w:val="00CB14BB"/>
    <w:rsid w:val="00CB65C3"/>
    <w:rsid w:val="00CC34EB"/>
    <w:rsid w:val="00CC3626"/>
    <w:rsid w:val="00CC40CF"/>
    <w:rsid w:val="00CC43A0"/>
    <w:rsid w:val="00CC574A"/>
    <w:rsid w:val="00CC79D8"/>
    <w:rsid w:val="00CD038A"/>
    <w:rsid w:val="00CD040F"/>
    <w:rsid w:val="00CD05FE"/>
    <w:rsid w:val="00CD1E2B"/>
    <w:rsid w:val="00CD1EC8"/>
    <w:rsid w:val="00CD796E"/>
    <w:rsid w:val="00CE5C46"/>
    <w:rsid w:val="00CE7685"/>
    <w:rsid w:val="00CF2C29"/>
    <w:rsid w:val="00CF7DBF"/>
    <w:rsid w:val="00D06143"/>
    <w:rsid w:val="00D12C4A"/>
    <w:rsid w:val="00D136E5"/>
    <w:rsid w:val="00D1534A"/>
    <w:rsid w:val="00D16AA1"/>
    <w:rsid w:val="00D21AE2"/>
    <w:rsid w:val="00D21E49"/>
    <w:rsid w:val="00D2666C"/>
    <w:rsid w:val="00D27D47"/>
    <w:rsid w:val="00D31E76"/>
    <w:rsid w:val="00D37D16"/>
    <w:rsid w:val="00D40798"/>
    <w:rsid w:val="00D43074"/>
    <w:rsid w:val="00D43E31"/>
    <w:rsid w:val="00D44D18"/>
    <w:rsid w:val="00D519AB"/>
    <w:rsid w:val="00D51CDD"/>
    <w:rsid w:val="00D53C73"/>
    <w:rsid w:val="00D56006"/>
    <w:rsid w:val="00D56765"/>
    <w:rsid w:val="00D56F05"/>
    <w:rsid w:val="00D576B7"/>
    <w:rsid w:val="00D57DC9"/>
    <w:rsid w:val="00D616A9"/>
    <w:rsid w:val="00D624FF"/>
    <w:rsid w:val="00D63CB6"/>
    <w:rsid w:val="00D649E4"/>
    <w:rsid w:val="00D64EB3"/>
    <w:rsid w:val="00D67F95"/>
    <w:rsid w:val="00D70436"/>
    <w:rsid w:val="00D71DEA"/>
    <w:rsid w:val="00D73478"/>
    <w:rsid w:val="00D75E11"/>
    <w:rsid w:val="00D76391"/>
    <w:rsid w:val="00D773F5"/>
    <w:rsid w:val="00D82614"/>
    <w:rsid w:val="00D829BE"/>
    <w:rsid w:val="00D83C22"/>
    <w:rsid w:val="00D9047C"/>
    <w:rsid w:val="00D96A2A"/>
    <w:rsid w:val="00DA42F6"/>
    <w:rsid w:val="00DA593D"/>
    <w:rsid w:val="00DB17E9"/>
    <w:rsid w:val="00DB5DFF"/>
    <w:rsid w:val="00DC0C51"/>
    <w:rsid w:val="00DC1B48"/>
    <w:rsid w:val="00DC32A5"/>
    <w:rsid w:val="00DC4B54"/>
    <w:rsid w:val="00DC5E44"/>
    <w:rsid w:val="00DC7144"/>
    <w:rsid w:val="00DD03E4"/>
    <w:rsid w:val="00DD1D2C"/>
    <w:rsid w:val="00DD2FA9"/>
    <w:rsid w:val="00DD50B4"/>
    <w:rsid w:val="00DD759A"/>
    <w:rsid w:val="00DE2F64"/>
    <w:rsid w:val="00DE4CA1"/>
    <w:rsid w:val="00DE5DEA"/>
    <w:rsid w:val="00DE7F68"/>
    <w:rsid w:val="00DF145E"/>
    <w:rsid w:val="00DF155D"/>
    <w:rsid w:val="00DF1D7A"/>
    <w:rsid w:val="00DF1EA3"/>
    <w:rsid w:val="00DF5B08"/>
    <w:rsid w:val="00DF5C65"/>
    <w:rsid w:val="00DF6DB0"/>
    <w:rsid w:val="00DF73BB"/>
    <w:rsid w:val="00E0094B"/>
    <w:rsid w:val="00E011F5"/>
    <w:rsid w:val="00E01415"/>
    <w:rsid w:val="00E02267"/>
    <w:rsid w:val="00E0683D"/>
    <w:rsid w:val="00E113D6"/>
    <w:rsid w:val="00E11565"/>
    <w:rsid w:val="00E12DB4"/>
    <w:rsid w:val="00E14F3C"/>
    <w:rsid w:val="00E21A96"/>
    <w:rsid w:val="00E3041F"/>
    <w:rsid w:val="00E31A5D"/>
    <w:rsid w:val="00E31DD5"/>
    <w:rsid w:val="00E323F7"/>
    <w:rsid w:val="00E32A7D"/>
    <w:rsid w:val="00E346ED"/>
    <w:rsid w:val="00E34B60"/>
    <w:rsid w:val="00E359FC"/>
    <w:rsid w:val="00E375B6"/>
    <w:rsid w:val="00E4432D"/>
    <w:rsid w:val="00E456B3"/>
    <w:rsid w:val="00E465B9"/>
    <w:rsid w:val="00E478FD"/>
    <w:rsid w:val="00E507E9"/>
    <w:rsid w:val="00E53691"/>
    <w:rsid w:val="00E55518"/>
    <w:rsid w:val="00E5594F"/>
    <w:rsid w:val="00E62774"/>
    <w:rsid w:val="00E64E20"/>
    <w:rsid w:val="00E672F3"/>
    <w:rsid w:val="00E723A4"/>
    <w:rsid w:val="00E73E75"/>
    <w:rsid w:val="00E81123"/>
    <w:rsid w:val="00E81938"/>
    <w:rsid w:val="00E8498D"/>
    <w:rsid w:val="00E86BE9"/>
    <w:rsid w:val="00E91E52"/>
    <w:rsid w:val="00E924F6"/>
    <w:rsid w:val="00E94D74"/>
    <w:rsid w:val="00E97EF2"/>
    <w:rsid w:val="00EA1BD3"/>
    <w:rsid w:val="00EA2D84"/>
    <w:rsid w:val="00EA5E38"/>
    <w:rsid w:val="00EB1EA5"/>
    <w:rsid w:val="00EB3C65"/>
    <w:rsid w:val="00EB45FD"/>
    <w:rsid w:val="00EB49D7"/>
    <w:rsid w:val="00EB52CC"/>
    <w:rsid w:val="00EB54F9"/>
    <w:rsid w:val="00EC5E3B"/>
    <w:rsid w:val="00ED03AB"/>
    <w:rsid w:val="00ED07D7"/>
    <w:rsid w:val="00ED3ED5"/>
    <w:rsid w:val="00ED4F83"/>
    <w:rsid w:val="00ED648B"/>
    <w:rsid w:val="00EE0037"/>
    <w:rsid w:val="00EE28F0"/>
    <w:rsid w:val="00EE3AB8"/>
    <w:rsid w:val="00EF3517"/>
    <w:rsid w:val="00EF5C8E"/>
    <w:rsid w:val="00F03AF2"/>
    <w:rsid w:val="00F03B3F"/>
    <w:rsid w:val="00F04025"/>
    <w:rsid w:val="00F05915"/>
    <w:rsid w:val="00F06C8A"/>
    <w:rsid w:val="00F10BEF"/>
    <w:rsid w:val="00F161FE"/>
    <w:rsid w:val="00F22AFF"/>
    <w:rsid w:val="00F23A8C"/>
    <w:rsid w:val="00F23D63"/>
    <w:rsid w:val="00F25542"/>
    <w:rsid w:val="00F2711B"/>
    <w:rsid w:val="00F2736C"/>
    <w:rsid w:val="00F330D7"/>
    <w:rsid w:val="00F335F7"/>
    <w:rsid w:val="00F44621"/>
    <w:rsid w:val="00F45C00"/>
    <w:rsid w:val="00F46B89"/>
    <w:rsid w:val="00F54AFD"/>
    <w:rsid w:val="00F5769F"/>
    <w:rsid w:val="00F612A7"/>
    <w:rsid w:val="00F633E6"/>
    <w:rsid w:val="00F65D60"/>
    <w:rsid w:val="00F67675"/>
    <w:rsid w:val="00F70386"/>
    <w:rsid w:val="00F71A0F"/>
    <w:rsid w:val="00F71BDD"/>
    <w:rsid w:val="00F733F3"/>
    <w:rsid w:val="00F76DDB"/>
    <w:rsid w:val="00F81797"/>
    <w:rsid w:val="00F81831"/>
    <w:rsid w:val="00F83DCA"/>
    <w:rsid w:val="00F8522A"/>
    <w:rsid w:val="00F85D43"/>
    <w:rsid w:val="00F87916"/>
    <w:rsid w:val="00F93BAA"/>
    <w:rsid w:val="00F96F6C"/>
    <w:rsid w:val="00FA1657"/>
    <w:rsid w:val="00FB117D"/>
    <w:rsid w:val="00FB25B4"/>
    <w:rsid w:val="00FB3FD6"/>
    <w:rsid w:val="00FB4618"/>
    <w:rsid w:val="00FB48A7"/>
    <w:rsid w:val="00FB49E6"/>
    <w:rsid w:val="00FB6950"/>
    <w:rsid w:val="00FC3526"/>
    <w:rsid w:val="00FC52DE"/>
    <w:rsid w:val="00FC63BE"/>
    <w:rsid w:val="00FC7AE0"/>
    <w:rsid w:val="00FC7B8E"/>
    <w:rsid w:val="00FC7CC0"/>
    <w:rsid w:val="00FD3ED4"/>
    <w:rsid w:val="00FD43BF"/>
    <w:rsid w:val="00FD6E47"/>
    <w:rsid w:val="00FD6F72"/>
    <w:rsid w:val="00FE011F"/>
    <w:rsid w:val="00FE158C"/>
    <w:rsid w:val="00FE32D3"/>
    <w:rsid w:val="00FE6A8A"/>
    <w:rsid w:val="00FE7A92"/>
    <w:rsid w:val="00FF0E63"/>
    <w:rsid w:val="00FF0FCA"/>
    <w:rsid w:val="00FF3769"/>
    <w:rsid w:val="00FF3840"/>
    <w:rsid w:val="00FF3E1A"/>
    <w:rsid w:val="00FF6850"/>
    <w:rsid w:val="00FF68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2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12DB4"/>
    <w:pPr>
      <w:widowControl w:val="0"/>
      <w:tabs>
        <w:tab w:val="left" w:pos="709"/>
      </w:tabs>
      <w:spacing w:after="360" w:line="480" w:lineRule="auto"/>
      <w:jc w:val="both"/>
      <w:outlineLvl w:val="0"/>
    </w:pPr>
    <w:rPr>
      <w:rFonts w:ascii="Arial" w:eastAsia="Times New Roman" w:hAnsi="Arial" w:cs="Arial"/>
      <w:b/>
      <w:sz w:val="25"/>
      <w:szCs w:val="25"/>
      <w:lang w:val="en-GB"/>
    </w:rPr>
  </w:style>
  <w:style w:type="paragraph" w:styleId="Heading2">
    <w:name w:val="heading 2"/>
    <w:basedOn w:val="Normal"/>
    <w:next w:val="Normal"/>
    <w:link w:val="Heading2Char"/>
    <w:uiPriority w:val="9"/>
    <w:semiHidden/>
    <w:unhideWhenUsed/>
    <w:qFormat/>
    <w:rsid w:val="00FC52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CF6"/>
    <w:rPr>
      <w:rFonts w:ascii="Tahoma" w:hAnsi="Tahoma" w:cs="Tahoma"/>
      <w:sz w:val="16"/>
      <w:szCs w:val="16"/>
    </w:rPr>
  </w:style>
  <w:style w:type="table" w:styleId="TableGrid">
    <w:name w:val="Table Grid"/>
    <w:basedOn w:val="TableNormal"/>
    <w:uiPriority w:val="59"/>
    <w:rsid w:val="00386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6649"/>
    <w:pPr>
      <w:ind w:left="720"/>
      <w:contextualSpacing/>
    </w:pPr>
  </w:style>
  <w:style w:type="paragraph" w:styleId="Header">
    <w:name w:val="header"/>
    <w:basedOn w:val="Normal"/>
    <w:link w:val="HeaderChar"/>
    <w:uiPriority w:val="99"/>
    <w:unhideWhenUsed/>
    <w:rsid w:val="00976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0D6"/>
  </w:style>
  <w:style w:type="paragraph" w:styleId="Footer">
    <w:name w:val="footer"/>
    <w:basedOn w:val="Normal"/>
    <w:link w:val="FooterChar"/>
    <w:uiPriority w:val="99"/>
    <w:unhideWhenUsed/>
    <w:rsid w:val="00976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0D6"/>
  </w:style>
  <w:style w:type="paragraph" w:styleId="FootnoteText">
    <w:name w:val="footnote text"/>
    <w:basedOn w:val="Normal"/>
    <w:link w:val="FootnoteTextChar"/>
    <w:unhideWhenUsed/>
    <w:rsid w:val="00006D75"/>
    <w:pPr>
      <w:spacing w:after="0" w:line="240" w:lineRule="auto"/>
    </w:pPr>
    <w:rPr>
      <w:rFonts w:ascii="Verdana" w:hAnsi="Verdana"/>
      <w:sz w:val="18"/>
      <w:szCs w:val="20"/>
    </w:rPr>
  </w:style>
  <w:style w:type="character" w:customStyle="1" w:styleId="FootnoteTextChar">
    <w:name w:val="Footnote Text Char"/>
    <w:basedOn w:val="DefaultParagraphFont"/>
    <w:link w:val="FootnoteText"/>
    <w:rsid w:val="00006D75"/>
    <w:rPr>
      <w:rFonts w:ascii="Verdana" w:hAnsi="Verdana"/>
      <w:sz w:val="18"/>
      <w:szCs w:val="20"/>
    </w:rPr>
  </w:style>
  <w:style w:type="character" w:styleId="FootnoteReference">
    <w:name w:val="footnote reference"/>
    <w:basedOn w:val="DefaultParagraphFont"/>
    <w:unhideWhenUsed/>
    <w:rsid w:val="00A22D83"/>
    <w:rPr>
      <w:vertAlign w:val="superscript"/>
    </w:rPr>
  </w:style>
  <w:style w:type="character" w:customStyle="1" w:styleId="mc">
    <w:name w:val="mc"/>
    <w:basedOn w:val="DefaultParagraphFont"/>
    <w:rsid w:val="006E53C6"/>
  </w:style>
  <w:style w:type="character" w:customStyle="1" w:styleId="g1">
    <w:name w:val="g1"/>
    <w:basedOn w:val="DefaultParagraphFont"/>
    <w:rsid w:val="006E53C6"/>
  </w:style>
  <w:style w:type="character" w:styleId="Hyperlink">
    <w:name w:val="Hyperlink"/>
    <w:basedOn w:val="DefaultParagraphFont"/>
    <w:uiPriority w:val="99"/>
    <w:unhideWhenUsed/>
    <w:rsid w:val="006E53C6"/>
    <w:rPr>
      <w:color w:val="0000FF"/>
      <w:u w:val="single"/>
    </w:rPr>
  </w:style>
  <w:style w:type="character" w:customStyle="1" w:styleId="Heading1Char">
    <w:name w:val="Heading 1 Char"/>
    <w:basedOn w:val="DefaultParagraphFont"/>
    <w:link w:val="Heading1"/>
    <w:rsid w:val="00E12DB4"/>
    <w:rPr>
      <w:rFonts w:ascii="Arial" w:eastAsia="Times New Roman" w:hAnsi="Arial" w:cs="Arial"/>
      <w:b/>
      <w:sz w:val="25"/>
      <w:szCs w:val="25"/>
      <w:lang w:val="en-GB"/>
    </w:rPr>
  </w:style>
  <w:style w:type="paragraph" w:customStyle="1" w:styleId="Indent">
    <w:name w:val="Indent"/>
    <w:basedOn w:val="Normal"/>
    <w:rsid w:val="00E12DB4"/>
    <w:pPr>
      <w:numPr>
        <w:numId w:val="7"/>
      </w:numPr>
      <w:spacing w:after="0" w:line="240" w:lineRule="auto"/>
    </w:pPr>
    <w:rPr>
      <w:rFonts w:ascii="Times New Roman" w:eastAsia="Times New Roman" w:hAnsi="Times New Roman" w:cs="Times New Roman"/>
      <w:sz w:val="24"/>
      <w:szCs w:val="20"/>
      <w:lang w:val="en-US"/>
    </w:rPr>
  </w:style>
  <w:style w:type="character" w:customStyle="1" w:styleId="UnresolvedMention1">
    <w:name w:val="Unresolved Mention1"/>
    <w:basedOn w:val="DefaultParagraphFont"/>
    <w:uiPriority w:val="99"/>
    <w:semiHidden/>
    <w:unhideWhenUsed/>
    <w:rsid w:val="006C5988"/>
    <w:rPr>
      <w:color w:val="605E5C"/>
      <w:shd w:val="clear" w:color="auto" w:fill="E1DFDD"/>
    </w:rPr>
  </w:style>
  <w:style w:type="character" w:styleId="Emphasis">
    <w:name w:val="Emphasis"/>
    <w:basedOn w:val="DefaultParagraphFont"/>
    <w:uiPriority w:val="20"/>
    <w:qFormat/>
    <w:rsid w:val="00605101"/>
    <w:rPr>
      <w:i/>
      <w:iCs/>
    </w:rPr>
  </w:style>
  <w:style w:type="character" w:customStyle="1" w:styleId="Heading2Char">
    <w:name w:val="Heading 2 Char"/>
    <w:basedOn w:val="DefaultParagraphFont"/>
    <w:link w:val="Heading2"/>
    <w:uiPriority w:val="9"/>
    <w:semiHidden/>
    <w:rsid w:val="00FC52DE"/>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FC52D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casename">
    <w:name w:val="lrcasename"/>
    <w:basedOn w:val="Normal"/>
    <w:rsid w:val="00680EE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footnoteanchor">
    <w:name w:val="footnoteanchor"/>
    <w:basedOn w:val="DefaultParagraphFont"/>
    <w:rsid w:val="00B72CA6"/>
  </w:style>
  <w:style w:type="paragraph" w:customStyle="1" w:styleId="lrpara">
    <w:name w:val="lrpara"/>
    <w:basedOn w:val="Normal"/>
    <w:rsid w:val="00FB3FD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pageno">
    <w:name w:val="pageno"/>
    <w:basedOn w:val="Normal"/>
    <w:rsid w:val="00DD03E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judgecont">
    <w:name w:val="lrjudgecont"/>
    <w:basedOn w:val="Normal"/>
    <w:rsid w:val="00DD03E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
    <w:name w:val="lrquote"/>
    <w:basedOn w:val="Normal"/>
    <w:rsid w:val="00DD03E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western">
    <w:name w:val="western"/>
    <w:basedOn w:val="Normal"/>
    <w:rsid w:val="0093107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Title">
    <w:name w:val="Title"/>
    <w:basedOn w:val="Normal"/>
    <w:link w:val="TitleChar"/>
    <w:qFormat/>
    <w:rsid w:val="00D75E11"/>
    <w:pPr>
      <w:spacing w:after="0" w:line="240" w:lineRule="auto"/>
      <w:jc w:val="center"/>
    </w:pPr>
    <w:rPr>
      <w:rFonts w:ascii="Arial" w:eastAsia="Times New Roman" w:hAnsi="Arial" w:cs="Times New Roman"/>
      <w:b/>
      <w:sz w:val="20"/>
      <w:szCs w:val="20"/>
      <w:lang w:eastAsia="ja-JP"/>
    </w:rPr>
  </w:style>
  <w:style w:type="character" w:customStyle="1" w:styleId="TitleChar">
    <w:name w:val="Title Char"/>
    <w:basedOn w:val="DefaultParagraphFont"/>
    <w:link w:val="Title"/>
    <w:rsid w:val="00D75E11"/>
    <w:rPr>
      <w:rFonts w:ascii="Arial" w:eastAsia="Times New Roman" w:hAnsi="Arial" w:cs="Times New Roman"/>
      <w:b/>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12DB4"/>
    <w:pPr>
      <w:widowControl w:val="0"/>
      <w:tabs>
        <w:tab w:val="left" w:pos="709"/>
      </w:tabs>
      <w:spacing w:after="360" w:line="480" w:lineRule="auto"/>
      <w:jc w:val="both"/>
      <w:outlineLvl w:val="0"/>
    </w:pPr>
    <w:rPr>
      <w:rFonts w:ascii="Arial" w:eastAsia="Times New Roman" w:hAnsi="Arial" w:cs="Arial"/>
      <w:b/>
      <w:sz w:val="25"/>
      <w:szCs w:val="25"/>
      <w:lang w:val="en-GB"/>
    </w:rPr>
  </w:style>
  <w:style w:type="paragraph" w:styleId="Heading2">
    <w:name w:val="heading 2"/>
    <w:basedOn w:val="Normal"/>
    <w:next w:val="Normal"/>
    <w:link w:val="Heading2Char"/>
    <w:uiPriority w:val="9"/>
    <w:semiHidden/>
    <w:unhideWhenUsed/>
    <w:qFormat/>
    <w:rsid w:val="00FC52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CF6"/>
    <w:rPr>
      <w:rFonts w:ascii="Tahoma" w:hAnsi="Tahoma" w:cs="Tahoma"/>
      <w:sz w:val="16"/>
      <w:szCs w:val="16"/>
    </w:rPr>
  </w:style>
  <w:style w:type="table" w:styleId="TableGrid">
    <w:name w:val="Table Grid"/>
    <w:basedOn w:val="TableNormal"/>
    <w:uiPriority w:val="59"/>
    <w:rsid w:val="00386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6649"/>
    <w:pPr>
      <w:ind w:left="720"/>
      <w:contextualSpacing/>
    </w:pPr>
  </w:style>
  <w:style w:type="paragraph" w:styleId="Header">
    <w:name w:val="header"/>
    <w:basedOn w:val="Normal"/>
    <w:link w:val="HeaderChar"/>
    <w:uiPriority w:val="99"/>
    <w:unhideWhenUsed/>
    <w:rsid w:val="00976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0D6"/>
  </w:style>
  <w:style w:type="paragraph" w:styleId="Footer">
    <w:name w:val="footer"/>
    <w:basedOn w:val="Normal"/>
    <w:link w:val="FooterChar"/>
    <w:uiPriority w:val="99"/>
    <w:unhideWhenUsed/>
    <w:rsid w:val="00976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0D6"/>
  </w:style>
  <w:style w:type="paragraph" w:styleId="FootnoteText">
    <w:name w:val="footnote text"/>
    <w:basedOn w:val="Normal"/>
    <w:link w:val="FootnoteTextChar"/>
    <w:unhideWhenUsed/>
    <w:rsid w:val="00006D75"/>
    <w:pPr>
      <w:spacing w:after="0" w:line="240" w:lineRule="auto"/>
    </w:pPr>
    <w:rPr>
      <w:rFonts w:ascii="Verdana" w:hAnsi="Verdana"/>
      <w:sz w:val="18"/>
      <w:szCs w:val="20"/>
    </w:rPr>
  </w:style>
  <w:style w:type="character" w:customStyle="1" w:styleId="FootnoteTextChar">
    <w:name w:val="Footnote Text Char"/>
    <w:basedOn w:val="DefaultParagraphFont"/>
    <w:link w:val="FootnoteText"/>
    <w:rsid w:val="00006D75"/>
    <w:rPr>
      <w:rFonts w:ascii="Verdana" w:hAnsi="Verdana"/>
      <w:sz w:val="18"/>
      <w:szCs w:val="20"/>
    </w:rPr>
  </w:style>
  <w:style w:type="character" w:styleId="FootnoteReference">
    <w:name w:val="footnote reference"/>
    <w:basedOn w:val="DefaultParagraphFont"/>
    <w:unhideWhenUsed/>
    <w:rsid w:val="00A22D83"/>
    <w:rPr>
      <w:vertAlign w:val="superscript"/>
    </w:rPr>
  </w:style>
  <w:style w:type="character" w:customStyle="1" w:styleId="mc">
    <w:name w:val="mc"/>
    <w:basedOn w:val="DefaultParagraphFont"/>
    <w:rsid w:val="006E53C6"/>
  </w:style>
  <w:style w:type="character" w:customStyle="1" w:styleId="g1">
    <w:name w:val="g1"/>
    <w:basedOn w:val="DefaultParagraphFont"/>
    <w:rsid w:val="006E53C6"/>
  </w:style>
  <w:style w:type="character" w:styleId="Hyperlink">
    <w:name w:val="Hyperlink"/>
    <w:basedOn w:val="DefaultParagraphFont"/>
    <w:uiPriority w:val="99"/>
    <w:unhideWhenUsed/>
    <w:rsid w:val="006E53C6"/>
    <w:rPr>
      <w:color w:val="0000FF"/>
      <w:u w:val="single"/>
    </w:rPr>
  </w:style>
  <w:style w:type="character" w:customStyle="1" w:styleId="Heading1Char">
    <w:name w:val="Heading 1 Char"/>
    <w:basedOn w:val="DefaultParagraphFont"/>
    <w:link w:val="Heading1"/>
    <w:rsid w:val="00E12DB4"/>
    <w:rPr>
      <w:rFonts w:ascii="Arial" w:eastAsia="Times New Roman" w:hAnsi="Arial" w:cs="Arial"/>
      <w:b/>
      <w:sz w:val="25"/>
      <w:szCs w:val="25"/>
      <w:lang w:val="en-GB"/>
    </w:rPr>
  </w:style>
  <w:style w:type="paragraph" w:customStyle="1" w:styleId="Indent">
    <w:name w:val="Indent"/>
    <w:basedOn w:val="Normal"/>
    <w:rsid w:val="00E12DB4"/>
    <w:pPr>
      <w:numPr>
        <w:numId w:val="7"/>
      </w:numPr>
      <w:spacing w:after="0" w:line="240" w:lineRule="auto"/>
    </w:pPr>
    <w:rPr>
      <w:rFonts w:ascii="Times New Roman" w:eastAsia="Times New Roman" w:hAnsi="Times New Roman" w:cs="Times New Roman"/>
      <w:sz w:val="24"/>
      <w:szCs w:val="20"/>
      <w:lang w:val="en-US"/>
    </w:rPr>
  </w:style>
  <w:style w:type="character" w:customStyle="1" w:styleId="UnresolvedMention1">
    <w:name w:val="Unresolved Mention1"/>
    <w:basedOn w:val="DefaultParagraphFont"/>
    <w:uiPriority w:val="99"/>
    <w:semiHidden/>
    <w:unhideWhenUsed/>
    <w:rsid w:val="006C5988"/>
    <w:rPr>
      <w:color w:val="605E5C"/>
      <w:shd w:val="clear" w:color="auto" w:fill="E1DFDD"/>
    </w:rPr>
  </w:style>
  <w:style w:type="character" w:styleId="Emphasis">
    <w:name w:val="Emphasis"/>
    <w:basedOn w:val="DefaultParagraphFont"/>
    <w:uiPriority w:val="20"/>
    <w:qFormat/>
    <w:rsid w:val="00605101"/>
    <w:rPr>
      <w:i/>
      <w:iCs/>
    </w:rPr>
  </w:style>
  <w:style w:type="character" w:customStyle="1" w:styleId="Heading2Char">
    <w:name w:val="Heading 2 Char"/>
    <w:basedOn w:val="DefaultParagraphFont"/>
    <w:link w:val="Heading2"/>
    <w:uiPriority w:val="9"/>
    <w:semiHidden/>
    <w:rsid w:val="00FC52DE"/>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FC52D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casename">
    <w:name w:val="lrcasename"/>
    <w:basedOn w:val="Normal"/>
    <w:rsid w:val="00680EE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footnoteanchor">
    <w:name w:val="footnoteanchor"/>
    <w:basedOn w:val="DefaultParagraphFont"/>
    <w:rsid w:val="00B72CA6"/>
  </w:style>
  <w:style w:type="paragraph" w:customStyle="1" w:styleId="lrpara">
    <w:name w:val="lrpara"/>
    <w:basedOn w:val="Normal"/>
    <w:rsid w:val="00FB3FD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pageno">
    <w:name w:val="pageno"/>
    <w:basedOn w:val="Normal"/>
    <w:rsid w:val="00DD03E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judgecont">
    <w:name w:val="lrjudgecont"/>
    <w:basedOn w:val="Normal"/>
    <w:rsid w:val="00DD03E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
    <w:name w:val="lrquote"/>
    <w:basedOn w:val="Normal"/>
    <w:rsid w:val="00DD03E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western">
    <w:name w:val="western"/>
    <w:basedOn w:val="Normal"/>
    <w:rsid w:val="0093107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Title">
    <w:name w:val="Title"/>
    <w:basedOn w:val="Normal"/>
    <w:link w:val="TitleChar"/>
    <w:qFormat/>
    <w:rsid w:val="00D75E11"/>
    <w:pPr>
      <w:spacing w:after="0" w:line="240" w:lineRule="auto"/>
      <w:jc w:val="center"/>
    </w:pPr>
    <w:rPr>
      <w:rFonts w:ascii="Arial" w:eastAsia="Times New Roman" w:hAnsi="Arial" w:cs="Times New Roman"/>
      <w:b/>
      <w:sz w:val="20"/>
      <w:szCs w:val="20"/>
      <w:lang w:eastAsia="ja-JP"/>
    </w:rPr>
  </w:style>
  <w:style w:type="character" w:customStyle="1" w:styleId="TitleChar">
    <w:name w:val="Title Char"/>
    <w:basedOn w:val="DefaultParagraphFont"/>
    <w:link w:val="Title"/>
    <w:rsid w:val="00D75E11"/>
    <w:rPr>
      <w:rFonts w:ascii="Arial" w:eastAsia="Times New Roman" w:hAnsi="Arial" w:cs="Times New Roman"/>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074285">
      <w:bodyDiv w:val="1"/>
      <w:marLeft w:val="0"/>
      <w:marRight w:val="0"/>
      <w:marTop w:val="0"/>
      <w:marBottom w:val="0"/>
      <w:divBdr>
        <w:top w:val="none" w:sz="0" w:space="0" w:color="auto"/>
        <w:left w:val="none" w:sz="0" w:space="0" w:color="auto"/>
        <w:bottom w:val="none" w:sz="0" w:space="0" w:color="auto"/>
        <w:right w:val="none" w:sz="0" w:space="0" w:color="auto"/>
      </w:divBdr>
    </w:div>
    <w:div w:id="543449377">
      <w:bodyDiv w:val="1"/>
      <w:marLeft w:val="0"/>
      <w:marRight w:val="0"/>
      <w:marTop w:val="0"/>
      <w:marBottom w:val="0"/>
      <w:divBdr>
        <w:top w:val="none" w:sz="0" w:space="0" w:color="auto"/>
        <w:left w:val="none" w:sz="0" w:space="0" w:color="auto"/>
        <w:bottom w:val="none" w:sz="0" w:space="0" w:color="auto"/>
        <w:right w:val="none" w:sz="0" w:space="0" w:color="auto"/>
      </w:divBdr>
      <w:divsChild>
        <w:div w:id="1301227203">
          <w:marLeft w:val="0"/>
          <w:marRight w:val="0"/>
          <w:marTop w:val="120"/>
          <w:marBottom w:val="0"/>
          <w:divBdr>
            <w:top w:val="none" w:sz="0" w:space="0" w:color="auto"/>
            <w:left w:val="none" w:sz="0" w:space="0" w:color="auto"/>
            <w:bottom w:val="none" w:sz="0" w:space="0" w:color="auto"/>
            <w:right w:val="none" w:sz="0" w:space="0" w:color="auto"/>
          </w:divBdr>
        </w:div>
      </w:divsChild>
    </w:div>
    <w:div w:id="1149253531">
      <w:bodyDiv w:val="1"/>
      <w:marLeft w:val="0"/>
      <w:marRight w:val="0"/>
      <w:marTop w:val="0"/>
      <w:marBottom w:val="0"/>
      <w:divBdr>
        <w:top w:val="none" w:sz="0" w:space="0" w:color="auto"/>
        <w:left w:val="none" w:sz="0" w:space="0" w:color="auto"/>
        <w:bottom w:val="none" w:sz="0" w:space="0" w:color="auto"/>
        <w:right w:val="none" w:sz="0" w:space="0" w:color="auto"/>
      </w:divBdr>
      <w:divsChild>
        <w:div w:id="1309238299">
          <w:marLeft w:val="0"/>
          <w:marRight w:val="0"/>
          <w:marTop w:val="120"/>
          <w:marBottom w:val="0"/>
          <w:divBdr>
            <w:top w:val="none" w:sz="0" w:space="0" w:color="auto"/>
            <w:left w:val="none" w:sz="0" w:space="0" w:color="auto"/>
            <w:bottom w:val="none" w:sz="0" w:space="0" w:color="auto"/>
            <w:right w:val="none" w:sz="0" w:space="0" w:color="auto"/>
          </w:divBdr>
        </w:div>
        <w:div w:id="408769957">
          <w:marLeft w:val="1134"/>
          <w:marRight w:val="0"/>
          <w:marTop w:val="60"/>
          <w:marBottom w:val="0"/>
          <w:divBdr>
            <w:top w:val="none" w:sz="0" w:space="0" w:color="auto"/>
            <w:left w:val="none" w:sz="0" w:space="0" w:color="auto"/>
            <w:bottom w:val="none" w:sz="0" w:space="0" w:color="auto"/>
            <w:right w:val="none" w:sz="0" w:space="0" w:color="auto"/>
          </w:divBdr>
        </w:div>
        <w:div w:id="1194734634">
          <w:marLeft w:val="1134"/>
          <w:marRight w:val="0"/>
          <w:marTop w:val="60"/>
          <w:marBottom w:val="0"/>
          <w:divBdr>
            <w:top w:val="none" w:sz="0" w:space="0" w:color="auto"/>
            <w:left w:val="none" w:sz="0" w:space="0" w:color="auto"/>
            <w:bottom w:val="none" w:sz="0" w:space="0" w:color="auto"/>
            <w:right w:val="none" w:sz="0" w:space="0" w:color="auto"/>
          </w:divBdr>
        </w:div>
      </w:divsChild>
    </w:div>
    <w:div w:id="1323041106">
      <w:bodyDiv w:val="1"/>
      <w:marLeft w:val="0"/>
      <w:marRight w:val="0"/>
      <w:marTop w:val="0"/>
      <w:marBottom w:val="0"/>
      <w:divBdr>
        <w:top w:val="none" w:sz="0" w:space="0" w:color="auto"/>
        <w:left w:val="none" w:sz="0" w:space="0" w:color="auto"/>
        <w:bottom w:val="none" w:sz="0" w:space="0" w:color="auto"/>
        <w:right w:val="none" w:sz="0" w:space="0" w:color="auto"/>
      </w:divBdr>
      <w:divsChild>
        <w:div w:id="650402474">
          <w:marLeft w:val="0"/>
          <w:marRight w:val="0"/>
          <w:marTop w:val="120"/>
          <w:marBottom w:val="0"/>
          <w:divBdr>
            <w:top w:val="none" w:sz="0" w:space="0" w:color="auto"/>
            <w:left w:val="none" w:sz="0" w:space="0" w:color="auto"/>
            <w:bottom w:val="none" w:sz="0" w:space="0" w:color="auto"/>
            <w:right w:val="none" w:sz="0" w:space="0" w:color="auto"/>
          </w:divBdr>
        </w:div>
      </w:divsChild>
    </w:div>
    <w:div w:id="1831945492">
      <w:bodyDiv w:val="1"/>
      <w:marLeft w:val="0"/>
      <w:marRight w:val="0"/>
      <w:marTop w:val="0"/>
      <w:marBottom w:val="0"/>
      <w:divBdr>
        <w:top w:val="none" w:sz="0" w:space="0" w:color="auto"/>
        <w:left w:val="none" w:sz="0" w:space="0" w:color="auto"/>
        <w:bottom w:val="none" w:sz="0" w:space="0" w:color="auto"/>
        <w:right w:val="none" w:sz="0" w:space="0" w:color="auto"/>
      </w:divBdr>
      <w:divsChild>
        <w:div w:id="1495804089">
          <w:marLeft w:val="0"/>
          <w:marRight w:val="0"/>
          <w:marTop w:val="120"/>
          <w:marBottom w:val="0"/>
          <w:divBdr>
            <w:top w:val="none" w:sz="0" w:space="0" w:color="auto"/>
            <w:left w:val="none" w:sz="0" w:space="0" w:color="auto"/>
            <w:bottom w:val="none" w:sz="0" w:space="0" w:color="auto"/>
            <w:right w:val="none" w:sz="0" w:space="0" w:color="auto"/>
          </w:divBdr>
        </w:div>
        <w:div w:id="1489975061">
          <w:marLeft w:val="0"/>
          <w:marRight w:val="0"/>
          <w:marTop w:val="240"/>
          <w:marBottom w:val="24"/>
          <w:divBdr>
            <w:top w:val="single" w:sz="8" w:space="2" w:color="808080"/>
            <w:left w:val="none" w:sz="0" w:space="0" w:color="auto"/>
            <w:bottom w:val="none" w:sz="0" w:space="0" w:color="auto"/>
            <w:right w:val="none" w:sz="0" w:space="0" w:color="auto"/>
          </w:divBdr>
        </w:div>
        <w:div w:id="778984813">
          <w:marLeft w:val="0"/>
          <w:marRight w:val="0"/>
          <w:marTop w:val="120"/>
          <w:marBottom w:val="0"/>
          <w:divBdr>
            <w:top w:val="none" w:sz="0" w:space="0" w:color="auto"/>
            <w:left w:val="none" w:sz="0" w:space="0" w:color="auto"/>
            <w:bottom w:val="none" w:sz="0" w:space="0" w:color="auto"/>
            <w:right w:val="none" w:sz="0" w:space="0" w:color="auto"/>
          </w:divBdr>
        </w:div>
        <w:div w:id="1337462878">
          <w:marLeft w:val="0"/>
          <w:marRight w:val="0"/>
          <w:marTop w:val="120"/>
          <w:marBottom w:val="0"/>
          <w:divBdr>
            <w:top w:val="none" w:sz="0" w:space="0" w:color="auto"/>
            <w:left w:val="none" w:sz="0" w:space="0" w:color="auto"/>
            <w:bottom w:val="none" w:sz="0" w:space="0" w:color="auto"/>
            <w:right w:val="none" w:sz="0" w:space="0" w:color="auto"/>
          </w:divBdr>
        </w:div>
      </w:divsChild>
    </w:div>
    <w:div w:id="1908492622">
      <w:bodyDiv w:val="1"/>
      <w:marLeft w:val="0"/>
      <w:marRight w:val="0"/>
      <w:marTop w:val="0"/>
      <w:marBottom w:val="0"/>
      <w:divBdr>
        <w:top w:val="none" w:sz="0" w:space="0" w:color="auto"/>
        <w:left w:val="none" w:sz="0" w:space="0" w:color="auto"/>
        <w:bottom w:val="none" w:sz="0" w:space="0" w:color="auto"/>
        <w:right w:val="none" w:sz="0" w:space="0" w:color="auto"/>
      </w:divBdr>
      <w:divsChild>
        <w:div w:id="220676826">
          <w:marLeft w:val="0"/>
          <w:marRight w:val="0"/>
          <w:marTop w:val="120"/>
          <w:marBottom w:val="0"/>
          <w:divBdr>
            <w:top w:val="none" w:sz="0" w:space="0" w:color="auto"/>
            <w:left w:val="none" w:sz="0" w:space="0" w:color="auto"/>
            <w:bottom w:val="none" w:sz="0" w:space="0" w:color="auto"/>
            <w:right w:val="none" w:sz="0" w:space="0" w:color="auto"/>
          </w:divBdr>
        </w:div>
        <w:div w:id="1042635059">
          <w:marLeft w:val="0"/>
          <w:marRight w:val="0"/>
          <w:marTop w:val="240"/>
          <w:marBottom w:val="24"/>
          <w:divBdr>
            <w:top w:val="single" w:sz="8" w:space="2" w:color="808080"/>
            <w:left w:val="none" w:sz="0" w:space="0" w:color="auto"/>
            <w:bottom w:val="none" w:sz="0" w:space="0" w:color="auto"/>
            <w:right w:val="none" w:sz="0" w:space="0" w:color="auto"/>
          </w:divBdr>
        </w:div>
        <w:div w:id="465513452">
          <w:marLeft w:val="0"/>
          <w:marRight w:val="0"/>
          <w:marTop w:val="120"/>
          <w:marBottom w:val="0"/>
          <w:divBdr>
            <w:top w:val="none" w:sz="0" w:space="0" w:color="auto"/>
            <w:left w:val="none" w:sz="0" w:space="0" w:color="auto"/>
            <w:bottom w:val="none" w:sz="0" w:space="0" w:color="auto"/>
            <w:right w:val="none" w:sz="0" w:space="0" w:color="auto"/>
          </w:divBdr>
        </w:div>
        <w:div w:id="148060092">
          <w:marLeft w:val="0"/>
          <w:marRight w:val="0"/>
          <w:marTop w:val="120"/>
          <w:marBottom w:val="0"/>
          <w:divBdr>
            <w:top w:val="none" w:sz="0" w:space="0" w:color="auto"/>
            <w:left w:val="none" w:sz="0" w:space="0" w:color="auto"/>
            <w:bottom w:val="none" w:sz="0" w:space="0" w:color="auto"/>
            <w:right w:val="none" w:sz="0" w:space="0" w:color="auto"/>
          </w:divBdr>
        </w:div>
        <w:div w:id="909578429">
          <w:marLeft w:val="0"/>
          <w:marRight w:val="0"/>
          <w:marTop w:val="120"/>
          <w:marBottom w:val="0"/>
          <w:divBdr>
            <w:top w:val="none" w:sz="0" w:space="0" w:color="auto"/>
            <w:left w:val="none" w:sz="0" w:space="0" w:color="auto"/>
            <w:bottom w:val="none" w:sz="0" w:space="0" w:color="auto"/>
            <w:right w:val="none" w:sz="0" w:space="0" w:color="auto"/>
          </w:divBdr>
        </w:div>
        <w:div w:id="808598496">
          <w:marLeft w:val="567"/>
          <w:marRight w:val="0"/>
          <w:marTop w:val="120"/>
          <w:marBottom w:val="0"/>
          <w:divBdr>
            <w:top w:val="none" w:sz="0" w:space="0" w:color="auto"/>
            <w:left w:val="none" w:sz="0" w:space="0" w:color="auto"/>
            <w:bottom w:val="none" w:sz="0" w:space="0" w:color="auto"/>
            <w:right w:val="none" w:sz="0" w:space="0" w:color="auto"/>
          </w:divBdr>
        </w:div>
        <w:div w:id="638648763">
          <w:marLeft w:val="0"/>
          <w:marRight w:val="0"/>
          <w:marTop w:val="240"/>
          <w:marBottom w:val="24"/>
          <w:divBdr>
            <w:top w:val="single" w:sz="8" w:space="2" w:color="808080"/>
            <w:left w:val="none" w:sz="0" w:space="0" w:color="auto"/>
            <w:bottom w:val="none" w:sz="0" w:space="0" w:color="auto"/>
            <w:right w:val="none" w:sz="0" w:space="0" w:color="auto"/>
          </w:divBdr>
        </w:div>
        <w:div w:id="1591741200">
          <w:marLeft w:val="0"/>
          <w:marRight w:val="0"/>
          <w:marTop w:val="120"/>
          <w:marBottom w:val="0"/>
          <w:divBdr>
            <w:top w:val="none" w:sz="0" w:space="0" w:color="auto"/>
            <w:left w:val="none" w:sz="0" w:space="0" w:color="auto"/>
            <w:bottom w:val="none" w:sz="0" w:space="0" w:color="auto"/>
            <w:right w:val="none" w:sz="0" w:space="0" w:color="auto"/>
          </w:divBdr>
        </w:div>
        <w:div w:id="1753508644">
          <w:marLeft w:val="567"/>
          <w:marRight w:val="0"/>
          <w:marTop w:val="120"/>
          <w:marBottom w:val="0"/>
          <w:divBdr>
            <w:top w:val="none" w:sz="0" w:space="0" w:color="auto"/>
            <w:left w:val="none" w:sz="0" w:space="0" w:color="auto"/>
            <w:bottom w:val="none" w:sz="0" w:space="0" w:color="auto"/>
            <w:right w:val="none" w:sz="0" w:space="0" w:color="auto"/>
          </w:divBdr>
        </w:div>
        <w:div w:id="151637807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vmhlanga@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vmmasheleattorneys.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bu@mabasolaw.co.z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app.jutastatevolve.co.za/y1956v1SApg48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yandisa@ydattorneys.co.z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pp.jutastatevolve.co.za/y2006v4SApg326" TargetMode="External"/><Relationship Id="rId2" Type="http://schemas.openxmlformats.org/officeDocument/2006/relationships/hyperlink" Target="https://app.jutastatevolve.co.za/y1984v3SApg623" TargetMode="External"/><Relationship Id="rId1" Type="http://schemas.openxmlformats.org/officeDocument/2006/relationships/hyperlink" Target="https://app.jutastatevolve.co.za/y2010v1SApg35" TargetMode="External"/><Relationship Id="rId6" Type="http://schemas.openxmlformats.org/officeDocument/2006/relationships/hyperlink" Target="http://www.saflii.org/cgi-bin/LawCite?cit=1969%20%282%29%20SA%20312" TargetMode="External"/><Relationship Id="rId5" Type="http://schemas.openxmlformats.org/officeDocument/2006/relationships/hyperlink" Target="http://www.saflii.org/cgi-bin/LawCite?cit=2002%20%285%29%20SA%20387" TargetMode="External"/><Relationship Id="rId4" Type="http://schemas.openxmlformats.org/officeDocument/2006/relationships/hyperlink" Target="https://app.jutastatevolve.co.za/y2009v1SApg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AppData\Local\Microsoft\Windows\INetCache\Content.Outlook\8GDFZ12I\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15B7F-E523-44DC-82C6-4D10EACBB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Template>
  <TotalTime>0</TotalTime>
  <Pages>23</Pages>
  <Words>4529</Words>
  <Characters>25821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dc:creator>
  <cp:lastModifiedBy>Inge Papp</cp:lastModifiedBy>
  <cp:revision>2</cp:revision>
  <cp:lastPrinted>2018-02-11T08:44:00Z</cp:lastPrinted>
  <dcterms:created xsi:type="dcterms:W3CDTF">2022-01-13T14:39:00Z</dcterms:created>
  <dcterms:modified xsi:type="dcterms:W3CDTF">2022-01-13T14:39:00Z</dcterms:modified>
</cp:coreProperties>
</file>