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09A" w:rsidRPr="006E2081" w:rsidRDefault="00F3309A" w:rsidP="00F3309A">
      <w:pPr>
        <w:rPr>
          <w:b/>
          <w:u w:val="none"/>
          <w:lang w:val="en-ZA"/>
        </w:rPr>
      </w:pPr>
      <w:bookmarkStart w:id="0" w:name="_GoBack"/>
      <w:bookmarkEnd w:id="0"/>
      <w:r w:rsidRPr="006E2081">
        <w:rPr>
          <w:b/>
          <w:u w:val="none"/>
          <w:lang w:val="en-ZA"/>
        </w:rPr>
        <w:tab/>
      </w:r>
      <w:r w:rsidRPr="006E2081">
        <w:rPr>
          <w:b/>
          <w:u w:val="none"/>
          <w:lang w:val="en-ZA"/>
        </w:rPr>
        <w:tab/>
      </w:r>
      <w:r w:rsidRPr="006E2081">
        <w:rPr>
          <w:b/>
          <w:u w:val="none"/>
          <w:lang w:val="en-ZA"/>
        </w:rPr>
        <w:tab/>
        <w:t>REPUBLIC OF SOUTH AFRICA</w:t>
      </w:r>
    </w:p>
    <w:p w:rsidR="00F3309A" w:rsidRPr="00F3610A" w:rsidRDefault="00F3309A" w:rsidP="00F3309A">
      <w:pPr>
        <w:jc w:val="center"/>
        <w:rPr>
          <w:b/>
          <w:u w:val="none"/>
          <w:lang w:val="en-ZA"/>
        </w:rPr>
      </w:pPr>
      <w:r>
        <w:rPr>
          <w:u w:val="none"/>
          <w:lang w:val="en-US"/>
        </w:rPr>
        <w:t xml:space="preserve">          </w:t>
      </w:r>
      <w:r>
        <w:rPr>
          <w:noProof/>
          <w:u w:val="none"/>
          <w:lang w:val="en-ZA" w:eastAsia="en-ZA"/>
        </w:rPr>
        <w:drawing>
          <wp:inline distT="0" distB="0" distL="0" distR="0" wp14:anchorId="4576620B" wp14:editId="699C162A">
            <wp:extent cx="1441450" cy="1441450"/>
            <wp:effectExtent l="0" t="0" r="6350" b="635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41450" cy="1441450"/>
                    </a:xfrm>
                    <a:prstGeom prst="rect">
                      <a:avLst/>
                    </a:prstGeom>
                    <a:noFill/>
                    <a:ln>
                      <a:noFill/>
                    </a:ln>
                  </pic:spPr>
                </pic:pic>
              </a:graphicData>
            </a:graphic>
          </wp:inline>
        </w:drawing>
      </w:r>
      <w:r>
        <w:rPr>
          <w:b/>
          <w:noProof/>
          <w:u w:val="none"/>
          <w:lang w:val="en-ZA" w:eastAsia="en-ZA"/>
        </w:rPr>
        <mc:AlternateContent>
          <mc:Choice Requires="wpc">
            <w:drawing>
              <wp:inline distT="0" distB="0" distL="0" distR="0" wp14:anchorId="240B2A38" wp14:editId="5B5F5B77">
                <wp:extent cx="673100" cy="863600"/>
                <wp:effectExtent l="635" t="3175" r="254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7551E0E" id="Canvas 3" o:spid="_x0000_s1026" editas="canvas" style="width:53pt;height:68pt;mso-position-horizontal-relative:char;mso-position-vertical-relative:line" coordsize="6731,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31;height:8636;visibility:visible;mso-wrap-style:square">
                  <v:fill o:detectmouseclick="t"/>
                  <v:path o:connecttype="none"/>
                </v:shape>
                <w10:anchorlock/>
              </v:group>
            </w:pict>
          </mc:Fallback>
        </mc:AlternateContent>
      </w:r>
    </w:p>
    <w:p w:rsidR="00F3309A" w:rsidRPr="006E2081" w:rsidRDefault="00F3309A" w:rsidP="00F3309A">
      <w:pPr>
        <w:jc w:val="center"/>
        <w:rPr>
          <w:b/>
          <w:u w:val="none"/>
          <w:lang w:val="en-ZA"/>
        </w:rPr>
      </w:pPr>
      <w:r w:rsidRPr="006E2081">
        <w:rPr>
          <w:b/>
          <w:u w:val="none"/>
          <w:lang w:val="en-ZA"/>
        </w:rPr>
        <w:t xml:space="preserve">IN THE HIGH COURT OF </w:t>
      </w:r>
      <w:smartTag w:uri="urn:schemas-microsoft-com:office:smarttags" w:element="place">
        <w:smartTag w:uri="urn:schemas-microsoft-com:office:smarttags" w:element="country-region">
          <w:r w:rsidRPr="006E2081">
            <w:rPr>
              <w:b/>
              <w:u w:val="none"/>
              <w:lang w:val="en-ZA"/>
            </w:rPr>
            <w:t>SOUTH AFRICA</w:t>
          </w:r>
        </w:smartTag>
      </w:smartTag>
      <w:r w:rsidRPr="006E2081">
        <w:rPr>
          <w:b/>
          <w:u w:val="none"/>
          <w:lang w:val="en-ZA"/>
        </w:rPr>
        <w:t xml:space="preserve">, </w:t>
      </w:r>
    </w:p>
    <w:p w:rsidR="00F3309A" w:rsidRPr="006E2081" w:rsidRDefault="00F3309A" w:rsidP="00F3309A">
      <w:pPr>
        <w:jc w:val="center"/>
        <w:rPr>
          <w:b/>
          <w:u w:val="none"/>
          <w:lang w:val="en-ZA"/>
        </w:rPr>
      </w:pPr>
      <w:r w:rsidRPr="006E2081">
        <w:rPr>
          <w:b/>
          <w:u w:val="none"/>
          <w:lang w:val="en-ZA"/>
        </w:rPr>
        <w:t xml:space="preserve">GAUTENG LOCAL DIVISION, </w:t>
      </w:r>
      <w:smartTag w:uri="urn:schemas-microsoft-com:office:smarttags" w:element="City">
        <w:smartTag w:uri="urn:schemas-microsoft-com:office:smarttags" w:element="place">
          <w:r w:rsidRPr="006E2081">
            <w:rPr>
              <w:b/>
              <w:u w:val="none"/>
              <w:lang w:val="en-ZA"/>
            </w:rPr>
            <w:t>JOHANNESBURG</w:t>
          </w:r>
        </w:smartTag>
      </w:smartTag>
    </w:p>
    <w:p w:rsidR="00F3309A" w:rsidRPr="006E2081" w:rsidRDefault="00F3309A" w:rsidP="00F3309A">
      <w:pPr>
        <w:jc w:val="center"/>
        <w:rPr>
          <w:b/>
          <w:u w:val="none"/>
          <w:lang w:val="en-ZA"/>
        </w:rPr>
      </w:pPr>
    </w:p>
    <w:p w:rsidR="00F3309A" w:rsidRDefault="00F3309A" w:rsidP="00F3309A">
      <w:pPr>
        <w:rPr>
          <w:b/>
          <w:u w:val="none"/>
          <w:lang w:val="en-ZA"/>
        </w:rPr>
      </w:pPr>
    </w:p>
    <w:p w:rsidR="00E42433" w:rsidRPr="006E2081" w:rsidRDefault="00E42433" w:rsidP="00F3309A">
      <w:pPr>
        <w:rPr>
          <w:b/>
          <w:u w:val="none"/>
          <w:lang w:val="en-ZA"/>
        </w:rPr>
      </w:pPr>
    </w:p>
    <w:p w:rsidR="00F3309A" w:rsidRPr="00B521F9" w:rsidRDefault="00F3309A" w:rsidP="00B521F9">
      <w:pPr>
        <w:jc w:val="center"/>
        <w:rPr>
          <w:b/>
          <w:u w:val="none"/>
          <w:lang w:val="en-ZA"/>
        </w:rPr>
      </w:pPr>
      <w:r>
        <w:rPr>
          <w:b/>
          <w:u w:val="none"/>
          <w:lang w:val="en-ZA"/>
        </w:rPr>
        <w:t xml:space="preserve">                                                                                CASE NO:</w:t>
      </w:r>
      <w:r>
        <w:rPr>
          <w:noProof/>
          <w:lang w:val="en-ZA" w:eastAsia="en-ZA"/>
        </w:rPr>
        <mc:AlternateContent>
          <mc:Choice Requires="wps">
            <w:drawing>
              <wp:anchor distT="0" distB="0" distL="114300" distR="114300" simplePos="0" relativeHeight="251659264" behindDoc="0" locked="0" layoutInCell="1" allowOverlap="1" wp14:anchorId="7444DC1D" wp14:editId="10BD365B">
                <wp:simplePos x="0" y="0"/>
                <wp:positionH relativeFrom="column">
                  <wp:posOffset>0</wp:posOffset>
                </wp:positionH>
                <wp:positionV relativeFrom="paragraph">
                  <wp:posOffset>154940</wp:posOffset>
                </wp:positionV>
                <wp:extent cx="3314700" cy="1371600"/>
                <wp:effectExtent l="9525" t="1143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rsidR="00631440" w:rsidRPr="00913F95" w:rsidRDefault="00631440" w:rsidP="00F3309A">
                            <w:pPr>
                              <w:jc w:val="center"/>
                              <w:rPr>
                                <w:rFonts w:ascii="Century Gothic" w:hAnsi="Century Gothic"/>
                                <w:b/>
                                <w:sz w:val="20"/>
                                <w:szCs w:val="20"/>
                              </w:rPr>
                            </w:pPr>
                          </w:p>
                          <w:p w:rsidR="00631440" w:rsidRDefault="00631440" w:rsidP="00F3309A">
                            <w:pPr>
                              <w:numPr>
                                <w:ilvl w:val="0"/>
                                <w:numId w:val="1"/>
                              </w:numPr>
                              <w:rPr>
                                <w:rFonts w:ascii="Century Gothic" w:hAnsi="Century Gothic"/>
                                <w:sz w:val="20"/>
                                <w:szCs w:val="20"/>
                              </w:rPr>
                            </w:pPr>
                            <w:r w:rsidRPr="00913F95">
                              <w:rPr>
                                <w:rFonts w:ascii="Century Gothic" w:hAnsi="Century Gothic"/>
                                <w:sz w:val="20"/>
                                <w:szCs w:val="20"/>
                              </w:rPr>
                              <w:t xml:space="preserve">REPORTABLE: </w:t>
                            </w:r>
                            <w:r>
                              <w:rPr>
                                <w:rFonts w:ascii="Century Gothic" w:hAnsi="Century Gothic"/>
                                <w:sz w:val="20"/>
                                <w:szCs w:val="20"/>
                              </w:rPr>
                              <w:t>NO</w:t>
                            </w:r>
                          </w:p>
                          <w:p w:rsidR="00631440" w:rsidRPr="00913F95" w:rsidRDefault="00631440" w:rsidP="00F3309A">
                            <w:pPr>
                              <w:numPr>
                                <w:ilvl w:val="0"/>
                                <w:numId w:val="1"/>
                              </w:numPr>
                              <w:rPr>
                                <w:rFonts w:ascii="Century Gothic" w:hAnsi="Century Gothic"/>
                                <w:sz w:val="20"/>
                                <w:szCs w:val="20"/>
                              </w:rPr>
                            </w:pPr>
                            <w:r w:rsidRPr="00913F95">
                              <w:rPr>
                                <w:rFonts w:ascii="Century Gothic" w:hAnsi="Century Gothic"/>
                                <w:sz w:val="20"/>
                                <w:szCs w:val="20"/>
                              </w:rPr>
                              <w:t>OF INTEREST TO OTHER JUDGES: NO</w:t>
                            </w:r>
                          </w:p>
                          <w:p w:rsidR="00631440" w:rsidRPr="00913F95" w:rsidRDefault="00631440" w:rsidP="00F3309A">
                            <w:pPr>
                              <w:ind w:left="900"/>
                              <w:rPr>
                                <w:rFonts w:ascii="Century Gothic" w:hAnsi="Century Gothic"/>
                                <w:sz w:val="20"/>
                                <w:szCs w:val="20"/>
                              </w:rPr>
                            </w:pPr>
                          </w:p>
                          <w:p w:rsidR="00631440" w:rsidRDefault="00631440" w:rsidP="00F3309A">
                            <w:pPr>
                              <w:rPr>
                                <w:rFonts w:ascii="Century Gothic" w:hAnsi="Century Gothic"/>
                                <w:b/>
                                <w:sz w:val="18"/>
                                <w:szCs w:val="18"/>
                              </w:rPr>
                            </w:pPr>
                          </w:p>
                          <w:p w:rsidR="00631440" w:rsidRPr="00084341" w:rsidRDefault="00631440" w:rsidP="00F3309A">
                            <w:pPr>
                              <w:rPr>
                                <w:rFonts w:ascii="Century Gothic" w:hAnsi="Century Gothic"/>
                                <w:b/>
                                <w:sz w:val="18"/>
                                <w:szCs w:val="18"/>
                                <w:u w:val="none"/>
                              </w:rPr>
                            </w:pPr>
                            <w:r w:rsidRPr="00084341">
                              <w:rPr>
                                <w:rFonts w:ascii="Century Gothic" w:hAnsi="Century Gothic"/>
                                <w:b/>
                                <w:sz w:val="18"/>
                                <w:szCs w:val="18"/>
                                <w:u w:val="none"/>
                              </w:rPr>
                              <w:t xml:space="preserve">       </w:t>
                            </w:r>
                            <w:r w:rsidR="00AB2874">
                              <w:rPr>
                                <w:rFonts w:ascii="Century Gothic" w:hAnsi="Century Gothic"/>
                                <w:b/>
                                <w:sz w:val="18"/>
                                <w:szCs w:val="18"/>
                                <w:u w:val="none"/>
                              </w:rPr>
                              <w:t xml:space="preserve">21 December </w:t>
                            </w:r>
                            <w:r>
                              <w:rPr>
                                <w:rFonts w:ascii="Century Gothic" w:hAnsi="Century Gothic"/>
                                <w:b/>
                                <w:sz w:val="18"/>
                                <w:szCs w:val="18"/>
                                <w:u w:val="none"/>
                              </w:rPr>
                              <w:t xml:space="preserve"> 2021</w:t>
                            </w:r>
                            <w:r w:rsidRPr="00084341">
                              <w:rPr>
                                <w:rFonts w:ascii="Century Gothic" w:hAnsi="Century Gothic"/>
                                <w:b/>
                                <w:sz w:val="18"/>
                                <w:szCs w:val="18"/>
                                <w:u w:val="none"/>
                              </w:rPr>
                              <w:tab/>
                            </w:r>
                            <w:r w:rsidRPr="00084341">
                              <w:rPr>
                                <w:rFonts w:ascii="Century Gothic" w:hAnsi="Century Gothic"/>
                                <w:b/>
                                <w:sz w:val="18"/>
                                <w:szCs w:val="18"/>
                                <w:u w:val="none"/>
                              </w:rPr>
                              <w:tab/>
                              <w:t>………………………...</w:t>
                            </w:r>
                          </w:p>
                          <w:p w:rsidR="00631440" w:rsidRPr="00084341" w:rsidRDefault="00631440" w:rsidP="00F3309A">
                            <w:pPr>
                              <w:rPr>
                                <w:rFonts w:ascii="Century Gothic" w:hAnsi="Century Gothic"/>
                                <w:sz w:val="18"/>
                                <w:szCs w:val="18"/>
                                <w:u w:val="none"/>
                              </w:rPr>
                            </w:pPr>
                            <w:r w:rsidRPr="00084341">
                              <w:rPr>
                                <w:rFonts w:ascii="Century Gothic" w:hAnsi="Century Gothic"/>
                                <w:sz w:val="18"/>
                                <w:szCs w:val="18"/>
                                <w:u w:val="none"/>
                              </w:rPr>
                              <w:t xml:space="preserve">                   DATE</w:t>
                            </w:r>
                            <w:r w:rsidRPr="00084341">
                              <w:rPr>
                                <w:rFonts w:ascii="Century Gothic" w:hAnsi="Century Gothic"/>
                                <w:sz w:val="18"/>
                                <w:szCs w:val="18"/>
                                <w:u w:val="none"/>
                              </w:rPr>
                              <w:tab/>
                            </w:r>
                            <w:r w:rsidRPr="00084341">
                              <w:rPr>
                                <w:rFonts w:ascii="Century Gothic" w:hAnsi="Century Gothic"/>
                                <w:sz w:val="18"/>
                                <w:szCs w:val="18"/>
                                <w:u w:val="none"/>
                              </w:rPr>
                              <w:tab/>
                            </w:r>
                            <w:r w:rsidRPr="00084341">
                              <w:rPr>
                                <w:rFonts w:ascii="Century Gothic" w:hAnsi="Century Gothic"/>
                                <w:sz w:val="18"/>
                                <w:szCs w:val="18"/>
                                <w:u w:val="none"/>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4DC1D" id="_x0000_t202" coordsize="21600,21600" o:spt="202" path="m,l,21600r21600,l21600,xe">
                <v:stroke joinstyle="miter"/>
                <v:path gradientshapeok="t" o:connecttype="rect"/>
              </v:shapetype>
              <v:shape id="Text Box 2" o:spid="_x0000_s1026" type="#_x0000_t202" style="position:absolute;left:0;text-align:left;margin-left:0;margin-top:12.2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">
                <v:textbox>
                  <w:txbxContent>
                    <w:p w:rsidR="00631440" w:rsidRPr="00913F95" w:rsidRDefault="00631440" w:rsidP="00F3309A">
                      <w:pPr>
                        <w:jc w:val="center"/>
                        <w:rPr>
                          <w:rFonts w:ascii="Century Gothic" w:hAnsi="Century Gothic"/>
                          <w:b/>
                          <w:sz w:val="20"/>
                          <w:szCs w:val="20"/>
                        </w:rPr>
                      </w:pPr>
                    </w:p>
                    <w:p w:rsidR="00631440" w:rsidRDefault="00631440" w:rsidP="00F3309A">
                      <w:pPr>
                        <w:numPr>
                          <w:ilvl w:val="0"/>
                          <w:numId w:val="1"/>
                        </w:numPr>
                        <w:rPr>
                          <w:rFonts w:ascii="Century Gothic" w:hAnsi="Century Gothic"/>
                          <w:sz w:val="20"/>
                          <w:szCs w:val="20"/>
                        </w:rPr>
                      </w:pPr>
                      <w:r w:rsidRPr="00913F95">
                        <w:rPr>
                          <w:rFonts w:ascii="Century Gothic" w:hAnsi="Century Gothic"/>
                          <w:sz w:val="20"/>
                          <w:szCs w:val="20"/>
                        </w:rPr>
                        <w:t xml:space="preserve">REPORTABLE: </w:t>
                      </w:r>
                      <w:r>
                        <w:rPr>
                          <w:rFonts w:ascii="Century Gothic" w:hAnsi="Century Gothic"/>
                          <w:sz w:val="20"/>
                          <w:szCs w:val="20"/>
                        </w:rPr>
                        <w:t>NO</w:t>
                      </w:r>
                    </w:p>
                    <w:p w:rsidR="00631440" w:rsidRPr="00913F95" w:rsidRDefault="00631440" w:rsidP="00F3309A">
                      <w:pPr>
                        <w:numPr>
                          <w:ilvl w:val="0"/>
                          <w:numId w:val="1"/>
                        </w:numPr>
                        <w:rPr>
                          <w:rFonts w:ascii="Century Gothic" w:hAnsi="Century Gothic"/>
                          <w:sz w:val="20"/>
                          <w:szCs w:val="20"/>
                        </w:rPr>
                      </w:pPr>
                      <w:r w:rsidRPr="00913F95">
                        <w:rPr>
                          <w:rFonts w:ascii="Century Gothic" w:hAnsi="Century Gothic"/>
                          <w:sz w:val="20"/>
                          <w:szCs w:val="20"/>
                        </w:rPr>
                        <w:t>OF INTEREST TO OTHER JUDGES: NO</w:t>
                      </w:r>
                    </w:p>
                    <w:p w:rsidR="00631440" w:rsidRPr="00913F95" w:rsidRDefault="00631440" w:rsidP="00F3309A">
                      <w:pPr>
                        <w:ind w:left="900"/>
                        <w:rPr>
                          <w:rFonts w:ascii="Century Gothic" w:hAnsi="Century Gothic"/>
                          <w:sz w:val="20"/>
                          <w:szCs w:val="20"/>
                        </w:rPr>
                      </w:pPr>
                    </w:p>
                    <w:p w:rsidR="00631440" w:rsidRDefault="00631440" w:rsidP="00F3309A">
                      <w:pPr>
                        <w:rPr>
                          <w:rFonts w:ascii="Century Gothic" w:hAnsi="Century Gothic"/>
                          <w:b/>
                          <w:sz w:val="18"/>
                          <w:szCs w:val="18"/>
                        </w:rPr>
                      </w:pPr>
                    </w:p>
                    <w:p w:rsidR="00631440" w:rsidRPr="00084341" w:rsidRDefault="00631440" w:rsidP="00F3309A">
                      <w:pPr>
                        <w:rPr>
                          <w:rFonts w:ascii="Century Gothic" w:hAnsi="Century Gothic"/>
                          <w:b/>
                          <w:sz w:val="18"/>
                          <w:szCs w:val="18"/>
                          <w:u w:val="none"/>
                        </w:rPr>
                      </w:pPr>
                      <w:r w:rsidRPr="00084341">
                        <w:rPr>
                          <w:rFonts w:ascii="Century Gothic" w:hAnsi="Century Gothic"/>
                          <w:b/>
                          <w:sz w:val="18"/>
                          <w:szCs w:val="18"/>
                          <w:u w:val="none"/>
                        </w:rPr>
                        <w:t xml:space="preserve">       </w:t>
                      </w:r>
                      <w:r w:rsidR="00AB2874">
                        <w:rPr>
                          <w:rFonts w:ascii="Century Gothic" w:hAnsi="Century Gothic"/>
                          <w:b/>
                          <w:sz w:val="18"/>
                          <w:szCs w:val="18"/>
                          <w:u w:val="none"/>
                        </w:rPr>
                        <w:t xml:space="preserve">21 December </w:t>
                      </w:r>
                      <w:r>
                        <w:rPr>
                          <w:rFonts w:ascii="Century Gothic" w:hAnsi="Century Gothic"/>
                          <w:b/>
                          <w:sz w:val="18"/>
                          <w:szCs w:val="18"/>
                          <w:u w:val="none"/>
                        </w:rPr>
                        <w:t xml:space="preserve"> 2021</w:t>
                      </w:r>
                      <w:r w:rsidRPr="00084341">
                        <w:rPr>
                          <w:rFonts w:ascii="Century Gothic" w:hAnsi="Century Gothic"/>
                          <w:b/>
                          <w:sz w:val="18"/>
                          <w:szCs w:val="18"/>
                          <w:u w:val="none"/>
                        </w:rPr>
                        <w:tab/>
                      </w:r>
                      <w:r w:rsidRPr="00084341">
                        <w:rPr>
                          <w:rFonts w:ascii="Century Gothic" w:hAnsi="Century Gothic"/>
                          <w:b/>
                          <w:sz w:val="18"/>
                          <w:szCs w:val="18"/>
                          <w:u w:val="none"/>
                        </w:rPr>
                        <w:tab/>
                        <w:t>………………………...</w:t>
                      </w:r>
                    </w:p>
                    <w:p w:rsidR="00631440" w:rsidRPr="00084341" w:rsidRDefault="00631440" w:rsidP="00F3309A">
                      <w:pPr>
                        <w:rPr>
                          <w:rFonts w:ascii="Century Gothic" w:hAnsi="Century Gothic"/>
                          <w:sz w:val="18"/>
                          <w:szCs w:val="18"/>
                          <w:u w:val="none"/>
                        </w:rPr>
                      </w:pPr>
                      <w:r w:rsidRPr="00084341">
                        <w:rPr>
                          <w:rFonts w:ascii="Century Gothic" w:hAnsi="Century Gothic"/>
                          <w:sz w:val="18"/>
                          <w:szCs w:val="18"/>
                          <w:u w:val="none"/>
                        </w:rPr>
                        <w:t xml:space="preserve">                   DATE</w:t>
                      </w:r>
                      <w:r w:rsidRPr="00084341">
                        <w:rPr>
                          <w:rFonts w:ascii="Century Gothic" w:hAnsi="Century Gothic"/>
                          <w:sz w:val="18"/>
                          <w:szCs w:val="18"/>
                          <w:u w:val="none"/>
                        </w:rPr>
                        <w:tab/>
                      </w:r>
                      <w:r w:rsidRPr="00084341">
                        <w:rPr>
                          <w:rFonts w:ascii="Century Gothic" w:hAnsi="Century Gothic"/>
                          <w:sz w:val="18"/>
                          <w:szCs w:val="18"/>
                          <w:u w:val="none"/>
                        </w:rPr>
                        <w:tab/>
                      </w:r>
                      <w:r w:rsidRPr="00084341">
                        <w:rPr>
                          <w:rFonts w:ascii="Century Gothic" w:hAnsi="Century Gothic"/>
                          <w:sz w:val="18"/>
                          <w:szCs w:val="18"/>
                          <w:u w:val="none"/>
                        </w:rPr>
                        <w:tab/>
                        <w:t xml:space="preserve">        SIGNATURE</w:t>
                      </w:r>
                    </w:p>
                  </w:txbxContent>
                </v:textbox>
              </v:shape>
            </w:pict>
          </mc:Fallback>
        </mc:AlternateContent>
      </w:r>
      <w:r>
        <w:rPr>
          <w:b/>
          <w:u w:val="none"/>
          <w:lang w:val="en-ZA"/>
        </w:rPr>
        <w:t xml:space="preserve"> </w:t>
      </w:r>
      <w:r w:rsidR="000E0C2A" w:rsidRPr="000E0C2A">
        <w:rPr>
          <w:b/>
          <w:u w:val="none"/>
          <w:lang w:val="en-ZA"/>
        </w:rPr>
        <w:t>51846/2021</w:t>
      </w:r>
    </w:p>
    <w:p w:rsidR="00F3309A" w:rsidRPr="006E2081" w:rsidRDefault="00F3309A" w:rsidP="00F3309A">
      <w:pPr>
        <w:jc w:val="both"/>
      </w:pPr>
    </w:p>
    <w:p w:rsidR="00F3309A" w:rsidRPr="006E2081" w:rsidRDefault="00F3309A" w:rsidP="00F3309A">
      <w:pPr>
        <w:jc w:val="both"/>
      </w:pPr>
    </w:p>
    <w:p w:rsidR="00F3309A" w:rsidRPr="006E2081" w:rsidRDefault="00F3309A" w:rsidP="00F3309A">
      <w:pPr>
        <w:jc w:val="both"/>
      </w:pPr>
    </w:p>
    <w:p w:rsidR="00F3309A" w:rsidRPr="006E2081" w:rsidRDefault="00F3309A" w:rsidP="00F3309A">
      <w:pPr>
        <w:jc w:val="both"/>
      </w:pPr>
    </w:p>
    <w:p w:rsidR="00F3309A" w:rsidRPr="006E2081" w:rsidRDefault="00F3309A" w:rsidP="00F3309A">
      <w:pPr>
        <w:jc w:val="both"/>
      </w:pPr>
    </w:p>
    <w:p w:rsidR="00F3309A" w:rsidRPr="006E2081" w:rsidRDefault="00F3309A" w:rsidP="00F3309A">
      <w:pPr>
        <w:jc w:val="both"/>
      </w:pPr>
    </w:p>
    <w:p w:rsidR="00F3309A" w:rsidRPr="006E2081" w:rsidRDefault="00F3309A" w:rsidP="00F3309A">
      <w:pPr>
        <w:jc w:val="both"/>
      </w:pPr>
    </w:p>
    <w:p w:rsidR="00F3309A" w:rsidRPr="006E2081" w:rsidRDefault="00F3309A" w:rsidP="00F3309A">
      <w:pPr>
        <w:rPr>
          <w:u w:val="none"/>
        </w:rPr>
      </w:pPr>
    </w:p>
    <w:p w:rsidR="00F3309A" w:rsidRDefault="00F3309A" w:rsidP="00F3309A">
      <w:pPr>
        <w:rPr>
          <w:u w:val="none"/>
        </w:rPr>
      </w:pPr>
    </w:p>
    <w:p w:rsidR="00F3309A" w:rsidRPr="006E2081" w:rsidRDefault="00F3309A" w:rsidP="00F3309A">
      <w:pPr>
        <w:rPr>
          <w:u w:val="none"/>
        </w:rPr>
      </w:pPr>
      <w:r w:rsidRPr="006E2081">
        <w:rPr>
          <w:u w:val="none"/>
        </w:rPr>
        <w:t>In the matter between:</w:t>
      </w:r>
    </w:p>
    <w:p w:rsidR="00F3309A" w:rsidRDefault="00F3309A" w:rsidP="00F3309A">
      <w:pPr>
        <w:spacing w:line="360" w:lineRule="auto"/>
        <w:jc w:val="both"/>
        <w:rPr>
          <w:b/>
          <w:u w:val="none"/>
        </w:rPr>
      </w:pPr>
      <w:r>
        <w:rPr>
          <w:b/>
          <w:u w:val="none"/>
        </w:rPr>
        <w:tab/>
      </w:r>
      <w:r w:rsidRPr="0096135C">
        <w:rPr>
          <w:b/>
          <w:u w:val="none"/>
        </w:rPr>
        <w:tab/>
      </w:r>
      <w:r w:rsidRPr="0096135C">
        <w:rPr>
          <w:b/>
          <w:u w:val="none"/>
        </w:rPr>
        <w:tab/>
      </w:r>
      <w:r w:rsidRPr="0096135C">
        <w:rPr>
          <w:b/>
          <w:u w:val="none"/>
        </w:rPr>
        <w:tab/>
      </w:r>
      <w:r>
        <w:rPr>
          <w:b/>
          <w:u w:val="none"/>
        </w:rPr>
        <w:t xml:space="preserve">         </w:t>
      </w:r>
    </w:p>
    <w:p w:rsidR="00DF6BCB" w:rsidRDefault="000E0C2A" w:rsidP="00DF6BCB">
      <w:pPr>
        <w:spacing w:line="360" w:lineRule="auto"/>
        <w:jc w:val="both"/>
        <w:rPr>
          <w:u w:val="none"/>
        </w:rPr>
      </w:pPr>
      <w:r w:rsidRPr="000E0C2A">
        <w:rPr>
          <w:b/>
          <w:u w:val="none"/>
        </w:rPr>
        <w:t>THE SOUTH AFRICAN LEGAL PRACTICE COUNCIL</w:t>
      </w:r>
      <w:r>
        <w:rPr>
          <w:b/>
          <w:u w:val="none"/>
        </w:rPr>
        <w:tab/>
      </w:r>
      <w:r w:rsidR="00B37CA2">
        <w:rPr>
          <w:u w:val="none"/>
        </w:rPr>
        <w:t>Applicant</w:t>
      </w:r>
    </w:p>
    <w:p w:rsidR="00DF6BCB" w:rsidRPr="0096135C" w:rsidRDefault="002078E9" w:rsidP="00DF6BCB">
      <w:pPr>
        <w:spacing w:line="360" w:lineRule="auto"/>
        <w:jc w:val="both"/>
        <w:rPr>
          <w:u w:val="none"/>
        </w:rPr>
      </w:pPr>
      <w:r w:rsidRPr="0096135C">
        <w:rPr>
          <w:u w:val="none"/>
        </w:rPr>
        <w:t>And</w:t>
      </w:r>
    </w:p>
    <w:p w:rsidR="000E0C2A" w:rsidRPr="000E0C2A" w:rsidRDefault="000E0C2A" w:rsidP="000E0C2A">
      <w:pPr>
        <w:spacing w:line="360" w:lineRule="auto"/>
        <w:jc w:val="both"/>
        <w:rPr>
          <w:u w:val="none"/>
        </w:rPr>
      </w:pPr>
      <w:r w:rsidRPr="000E0C2A">
        <w:rPr>
          <w:b/>
          <w:u w:val="none"/>
        </w:rPr>
        <w:t>LEIGH DOROTHY HARPER</w:t>
      </w:r>
      <w:r w:rsidRPr="000E0C2A">
        <w:rPr>
          <w:u w:val="none"/>
        </w:rPr>
        <w:t xml:space="preserve"> </w:t>
      </w:r>
      <w:r>
        <w:rPr>
          <w:u w:val="none"/>
        </w:rPr>
        <w:tab/>
      </w:r>
      <w:r>
        <w:rPr>
          <w:u w:val="none"/>
        </w:rPr>
        <w:tab/>
      </w:r>
      <w:r>
        <w:rPr>
          <w:u w:val="none"/>
        </w:rPr>
        <w:tab/>
      </w:r>
      <w:r>
        <w:rPr>
          <w:u w:val="none"/>
        </w:rPr>
        <w:tab/>
      </w:r>
      <w:r>
        <w:rPr>
          <w:u w:val="none"/>
        </w:rPr>
        <w:tab/>
        <w:t>1</w:t>
      </w:r>
      <w:r w:rsidRPr="000E0C2A">
        <w:rPr>
          <w:u w:val="none"/>
          <w:vertAlign w:val="superscript"/>
        </w:rPr>
        <w:t>st</w:t>
      </w:r>
      <w:r>
        <w:rPr>
          <w:u w:val="none"/>
        </w:rPr>
        <w:t xml:space="preserve"> </w:t>
      </w:r>
      <w:r w:rsidRPr="000E0C2A">
        <w:rPr>
          <w:u w:val="none"/>
        </w:rPr>
        <w:t>Respondent</w:t>
      </w:r>
    </w:p>
    <w:p w:rsidR="001749F2" w:rsidRPr="001749F2" w:rsidRDefault="000E0C2A" w:rsidP="000E0C2A">
      <w:pPr>
        <w:spacing w:line="360" w:lineRule="auto"/>
        <w:jc w:val="both"/>
        <w:rPr>
          <w:u w:val="none"/>
        </w:rPr>
      </w:pPr>
      <w:r w:rsidRPr="000E0C2A">
        <w:rPr>
          <w:b/>
          <w:u w:val="none"/>
        </w:rPr>
        <w:t xml:space="preserve">HARPER LEIGH INC </w:t>
      </w:r>
      <w:r w:rsidRPr="000E0C2A">
        <w:rPr>
          <w:b/>
          <w:u w:val="none"/>
        </w:rPr>
        <w:tab/>
      </w:r>
      <w:r>
        <w:rPr>
          <w:u w:val="none"/>
        </w:rPr>
        <w:tab/>
      </w:r>
      <w:r>
        <w:rPr>
          <w:u w:val="none"/>
        </w:rPr>
        <w:tab/>
      </w:r>
      <w:r>
        <w:rPr>
          <w:u w:val="none"/>
        </w:rPr>
        <w:tab/>
      </w:r>
      <w:r>
        <w:rPr>
          <w:u w:val="none"/>
        </w:rPr>
        <w:tab/>
      </w:r>
      <w:r>
        <w:rPr>
          <w:u w:val="none"/>
        </w:rPr>
        <w:tab/>
        <w:t>2</w:t>
      </w:r>
      <w:r w:rsidRPr="000E0C2A">
        <w:rPr>
          <w:u w:val="none"/>
          <w:vertAlign w:val="superscript"/>
        </w:rPr>
        <w:t>nd</w:t>
      </w:r>
      <w:r>
        <w:rPr>
          <w:u w:val="none"/>
        </w:rPr>
        <w:t xml:space="preserve"> </w:t>
      </w:r>
      <w:r w:rsidRPr="000E0C2A">
        <w:rPr>
          <w:u w:val="none"/>
        </w:rPr>
        <w:t>Respondent</w:t>
      </w:r>
      <w:r w:rsidR="001749F2" w:rsidRPr="000E0C2A">
        <w:rPr>
          <w:u w:val="none"/>
        </w:rPr>
        <w:tab/>
      </w:r>
      <w:r w:rsidR="001749F2">
        <w:rPr>
          <w:u w:val="none"/>
        </w:rPr>
        <w:tab/>
      </w:r>
      <w:r w:rsidR="001749F2">
        <w:rPr>
          <w:u w:val="none"/>
        </w:rPr>
        <w:tab/>
      </w:r>
      <w:r w:rsidR="001749F2">
        <w:rPr>
          <w:u w:val="none"/>
        </w:rPr>
        <w:tab/>
      </w:r>
      <w:r w:rsidR="001749F2">
        <w:rPr>
          <w:u w:val="none"/>
        </w:rPr>
        <w:tab/>
      </w:r>
    </w:p>
    <w:p w:rsidR="00DD204D" w:rsidRPr="00DD204D" w:rsidRDefault="00DD204D" w:rsidP="00F10464">
      <w:pPr>
        <w:rPr>
          <w:u w:val="none"/>
          <w:lang w:val="en-ZA" w:eastAsia="en-US"/>
        </w:rPr>
      </w:pPr>
      <w:r w:rsidRPr="00DD204D">
        <w:rPr>
          <w:b/>
          <w:bCs/>
          <w:u w:val="none"/>
          <w:lang w:val="en-ZA" w:eastAsia="en-US"/>
        </w:rPr>
        <w:t>Coram:</w:t>
      </w:r>
      <w:r w:rsidRPr="00DD204D">
        <w:rPr>
          <w:u w:val="none"/>
          <w:lang w:val="en-ZA" w:eastAsia="en-US"/>
        </w:rPr>
        <w:tab/>
      </w:r>
      <w:r w:rsidRPr="00DD204D">
        <w:rPr>
          <w:u w:val="none"/>
          <w:lang w:val="en-ZA" w:eastAsia="en-US"/>
        </w:rPr>
        <w:tab/>
      </w:r>
      <w:r>
        <w:rPr>
          <w:u w:val="none"/>
          <w:lang w:val="en-ZA" w:eastAsia="en-US"/>
        </w:rPr>
        <w:t xml:space="preserve">Sutherland DJP, </w:t>
      </w:r>
      <w:r w:rsidRPr="00DD204D">
        <w:rPr>
          <w:u w:val="none"/>
          <w:lang w:val="en-ZA" w:eastAsia="en-US"/>
        </w:rPr>
        <w:t xml:space="preserve">Mia J </w:t>
      </w:r>
    </w:p>
    <w:p w:rsidR="00DD204D" w:rsidRPr="00DD204D" w:rsidRDefault="00DD204D" w:rsidP="00F10464">
      <w:pPr>
        <w:rPr>
          <w:b/>
          <w:u w:val="none"/>
          <w:lang w:val="en-ZA" w:eastAsia="en-US"/>
        </w:rPr>
      </w:pPr>
      <w:r w:rsidRPr="00DD204D">
        <w:rPr>
          <w:b/>
          <w:bCs/>
          <w:u w:val="none"/>
          <w:lang w:val="en-ZA" w:eastAsia="en-US"/>
        </w:rPr>
        <w:t>Heard</w:t>
      </w:r>
      <w:r w:rsidRPr="00DD204D">
        <w:rPr>
          <w:u w:val="none"/>
          <w:lang w:val="en-ZA" w:eastAsia="en-US"/>
        </w:rPr>
        <w:t>:</w:t>
      </w:r>
      <w:r w:rsidRPr="00DD204D">
        <w:rPr>
          <w:u w:val="none"/>
          <w:lang w:val="en-ZA" w:eastAsia="en-US"/>
        </w:rPr>
        <w:tab/>
      </w:r>
      <w:r w:rsidRPr="00DD204D">
        <w:rPr>
          <w:u w:val="none"/>
          <w:lang w:val="en-ZA" w:eastAsia="en-US"/>
        </w:rPr>
        <w:tab/>
      </w:r>
      <w:r>
        <w:rPr>
          <w:u w:val="none"/>
          <w:lang w:val="en-ZA" w:eastAsia="en-US"/>
        </w:rPr>
        <w:t>6</w:t>
      </w:r>
      <w:r w:rsidRPr="00DD204D">
        <w:rPr>
          <w:u w:val="none"/>
          <w:lang w:val="en-ZA" w:eastAsia="en-US"/>
        </w:rPr>
        <w:t xml:space="preserve"> </w:t>
      </w:r>
      <w:r>
        <w:rPr>
          <w:u w:val="none"/>
          <w:lang w:val="en-ZA" w:eastAsia="en-US"/>
        </w:rPr>
        <w:t>Decem</w:t>
      </w:r>
      <w:r w:rsidRPr="00DD204D">
        <w:rPr>
          <w:u w:val="none"/>
          <w:lang w:val="en-ZA" w:eastAsia="en-US"/>
        </w:rPr>
        <w:t xml:space="preserve">ber 2021 </w:t>
      </w:r>
    </w:p>
    <w:p w:rsidR="00DD204D" w:rsidRPr="00DD204D" w:rsidRDefault="00F10464" w:rsidP="00F10464">
      <w:pPr>
        <w:spacing w:after="120"/>
        <w:ind w:left="2127" w:hanging="2127"/>
        <w:jc w:val="both"/>
        <w:rPr>
          <w:u w:val="none"/>
          <w:lang w:val="en-ZA" w:eastAsia="en-US"/>
        </w:rPr>
      </w:pPr>
      <w:r>
        <w:rPr>
          <w:b/>
          <w:u w:val="none"/>
          <w:lang w:val="en-ZA" w:eastAsia="en-US"/>
        </w:rPr>
        <w:t>Delivered:</w:t>
      </w:r>
      <w:r>
        <w:rPr>
          <w:b/>
          <w:u w:val="none"/>
          <w:lang w:val="en-ZA" w:eastAsia="en-US"/>
        </w:rPr>
        <w:tab/>
      </w:r>
      <w:r>
        <w:rPr>
          <w:bCs/>
          <w:u w:val="none"/>
          <w:lang w:val="en-ZA" w:eastAsia="en-US"/>
        </w:rPr>
        <w:t xml:space="preserve">21 </w:t>
      </w:r>
      <w:r w:rsidR="00DD204D" w:rsidRPr="00DD204D">
        <w:rPr>
          <w:bCs/>
          <w:u w:val="none"/>
          <w:lang w:val="en-ZA" w:eastAsia="en-US"/>
        </w:rPr>
        <w:t>December</w:t>
      </w:r>
      <w:r w:rsidR="00DD204D" w:rsidRPr="00DD204D">
        <w:rPr>
          <w:b/>
          <w:u w:val="none"/>
          <w:lang w:val="en-ZA" w:eastAsia="en-US"/>
        </w:rPr>
        <w:t xml:space="preserve"> </w:t>
      </w:r>
      <w:r w:rsidR="00DD204D" w:rsidRPr="00DD204D">
        <w:rPr>
          <w:u w:val="none"/>
          <w:lang w:val="en-ZA" w:eastAsia="en-US"/>
        </w:rPr>
        <w:t xml:space="preserve">2021 – </w:t>
      </w:r>
      <w:r w:rsidR="00DD204D" w:rsidRPr="00DD204D">
        <w:rPr>
          <w:sz w:val="22"/>
          <w:szCs w:val="22"/>
          <w:u w:val="none"/>
          <w:lang w:val="en-ZA" w:eastAsia="en-US"/>
        </w:rPr>
        <w:t xml:space="preserve">This judgment was handed down electronically by circulation to the parties' representatives by email, and by being uploaded to the </w:t>
      </w:r>
      <w:r w:rsidR="00DD204D" w:rsidRPr="00DD204D">
        <w:rPr>
          <w:i/>
          <w:sz w:val="22"/>
          <w:szCs w:val="22"/>
          <w:u w:val="none"/>
          <w:lang w:val="en-ZA" w:eastAsia="en-US"/>
        </w:rPr>
        <w:t>CaseLines</w:t>
      </w:r>
      <w:r w:rsidR="00DD204D" w:rsidRPr="00DD204D">
        <w:rPr>
          <w:sz w:val="22"/>
          <w:szCs w:val="22"/>
          <w:u w:val="none"/>
          <w:lang w:val="en-ZA" w:eastAsia="en-US"/>
        </w:rPr>
        <w:t xml:space="preserve"> digital system of the GLD. The date and time for hand-down is deemed to be 12:00 on  </w:t>
      </w:r>
      <w:r w:rsidR="00D87F8C">
        <w:rPr>
          <w:sz w:val="22"/>
          <w:szCs w:val="22"/>
          <w:u w:val="none"/>
          <w:lang w:val="en-ZA" w:eastAsia="en-US"/>
        </w:rPr>
        <w:t xml:space="preserve">21 </w:t>
      </w:r>
      <w:r w:rsidR="00DD204D" w:rsidRPr="00DD204D">
        <w:rPr>
          <w:sz w:val="22"/>
          <w:szCs w:val="22"/>
          <w:u w:val="none"/>
          <w:lang w:val="en-ZA" w:eastAsia="en-US"/>
        </w:rPr>
        <w:t>December 2021</w:t>
      </w:r>
    </w:p>
    <w:p w:rsidR="00DF6BCB" w:rsidRDefault="001749F2" w:rsidP="001749F2">
      <w:pPr>
        <w:spacing w:line="360" w:lineRule="auto"/>
        <w:jc w:val="both"/>
        <w:rPr>
          <w:u w:val="none"/>
        </w:rPr>
      </w:pPr>
      <w:r>
        <w:rPr>
          <w:u w:val="none"/>
        </w:rPr>
        <w:tab/>
      </w:r>
    </w:p>
    <w:p w:rsidR="00F3309A" w:rsidRPr="008D2F45" w:rsidRDefault="00F3309A" w:rsidP="00F3309A">
      <w:pPr>
        <w:pBdr>
          <w:bottom w:val="single" w:sz="12" w:space="1" w:color="auto"/>
        </w:pBdr>
        <w:spacing w:line="360" w:lineRule="auto"/>
        <w:jc w:val="both"/>
        <w:rPr>
          <w:sz w:val="22"/>
          <w:szCs w:val="22"/>
          <w:u w:val="none"/>
        </w:rPr>
      </w:pPr>
    </w:p>
    <w:p w:rsidR="00F3309A" w:rsidRPr="0096135C" w:rsidRDefault="00F3309A" w:rsidP="00F3309A">
      <w:pPr>
        <w:spacing w:line="360" w:lineRule="auto"/>
        <w:rPr>
          <w:b/>
          <w:u w:val="none"/>
        </w:rPr>
      </w:pPr>
    </w:p>
    <w:p w:rsidR="00F3309A" w:rsidRDefault="00B37CA2" w:rsidP="00F3309A">
      <w:pPr>
        <w:pBdr>
          <w:bottom w:val="single" w:sz="12" w:space="1" w:color="auto"/>
        </w:pBdr>
        <w:spacing w:line="360" w:lineRule="auto"/>
        <w:jc w:val="center"/>
        <w:rPr>
          <w:b/>
          <w:u w:val="none"/>
        </w:rPr>
      </w:pPr>
      <w:r>
        <w:rPr>
          <w:b/>
          <w:u w:val="none"/>
        </w:rPr>
        <w:t>JUDGMENT</w:t>
      </w:r>
    </w:p>
    <w:p w:rsidR="00F10464" w:rsidRPr="0096135C" w:rsidRDefault="00F10464" w:rsidP="00F3309A">
      <w:pPr>
        <w:pBdr>
          <w:bottom w:val="single" w:sz="12" w:space="1" w:color="auto"/>
        </w:pBdr>
        <w:spacing w:line="360" w:lineRule="auto"/>
        <w:jc w:val="center"/>
        <w:rPr>
          <w:u w:val="none"/>
        </w:rPr>
      </w:pPr>
    </w:p>
    <w:p w:rsidR="00F3309A" w:rsidRDefault="000B2E89" w:rsidP="00F3309A">
      <w:pPr>
        <w:spacing w:before="180" w:line="360" w:lineRule="auto"/>
        <w:ind w:left="720" w:hanging="720"/>
        <w:jc w:val="both"/>
        <w:rPr>
          <w:b/>
          <w:u w:val="none"/>
        </w:rPr>
      </w:pPr>
      <w:r>
        <w:rPr>
          <w:b/>
          <w:u w:val="none"/>
        </w:rPr>
        <w:lastRenderedPageBreak/>
        <w:t>The Court,</w:t>
      </w:r>
    </w:p>
    <w:p w:rsidR="00792BFF" w:rsidRPr="00792BFF" w:rsidRDefault="00792BFF" w:rsidP="00F3309A">
      <w:pPr>
        <w:spacing w:before="180" w:line="360" w:lineRule="auto"/>
        <w:ind w:left="720" w:hanging="720"/>
        <w:jc w:val="both"/>
        <w:rPr>
          <w:b/>
          <w:u w:val="none"/>
        </w:rPr>
      </w:pPr>
      <w:r w:rsidRPr="00792BFF">
        <w:rPr>
          <w:b/>
          <w:u w:val="none"/>
        </w:rPr>
        <w:t>INTRODUCTION</w:t>
      </w:r>
    </w:p>
    <w:p w:rsidR="007233DE" w:rsidRDefault="007233DE" w:rsidP="007233DE">
      <w:pPr>
        <w:spacing w:before="180" w:line="360" w:lineRule="auto"/>
        <w:ind w:left="720" w:hanging="720"/>
        <w:jc w:val="both"/>
        <w:rPr>
          <w:u w:val="none"/>
          <w:lang w:val="en-ZA"/>
        </w:rPr>
      </w:pPr>
      <w:r w:rsidRPr="007233DE">
        <w:rPr>
          <w:u w:val="none"/>
        </w:rPr>
        <w:t>[1]</w:t>
      </w:r>
      <w:r>
        <w:rPr>
          <w:b/>
          <w:u w:val="none"/>
          <w:lang w:val="en-ZA"/>
        </w:rPr>
        <w:tab/>
      </w:r>
      <w:r w:rsidRPr="007233DE">
        <w:rPr>
          <w:u w:val="none"/>
          <w:lang w:val="en-ZA"/>
        </w:rPr>
        <w:t>The applicant</w:t>
      </w:r>
      <w:r w:rsidR="00D87F8C">
        <w:rPr>
          <w:u w:val="none"/>
          <w:lang w:val="en-ZA"/>
        </w:rPr>
        <w:t>, the Legal Practice Council (LPC)</w:t>
      </w:r>
      <w:r>
        <w:rPr>
          <w:b/>
          <w:u w:val="none"/>
          <w:lang w:val="en-ZA"/>
        </w:rPr>
        <w:t xml:space="preserve"> </w:t>
      </w:r>
      <w:r w:rsidRPr="007233DE">
        <w:rPr>
          <w:u w:val="none"/>
          <w:lang w:val="en-ZA"/>
        </w:rPr>
        <w:t>launched the application</w:t>
      </w:r>
      <w:r>
        <w:rPr>
          <w:b/>
          <w:u w:val="none"/>
          <w:lang w:val="en-ZA"/>
        </w:rPr>
        <w:t xml:space="preserve"> </w:t>
      </w:r>
      <w:r w:rsidRPr="007233DE">
        <w:rPr>
          <w:u w:val="none"/>
          <w:lang w:val="en-ZA"/>
        </w:rPr>
        <w:t xml:space="preserve">on an urgent basis </w:t>
      </w:r>
      <w:r>
        <w:rPr>
          <w:u w:val="none"/>
          <w:lang w:val="en-ZA"/>
        </w:rPr>
        <w:t>in the week commencing 30 November 2021. The matter was heard on 6 D</w:t>
      </w:r>
      <w:r w:rsidR="00D87F8C">
        <w:rPr>
          <w:u w:val="none"/>
          <w:lang w:val="en-ZA"/>
        </w:rPr>
        <w:t>ecember 2021 after the LPC</w:t>
      </w:r>
      <w:r>
        <w:rPr>
          <w:u w:val="none"/>
          <w:lang w:val="en-ZA"/>
        </w:rPr>
        <w:t xml:space="preserve"> requested an opportunity to file a replying affidavit so as to bring to the attention of the court further </w:t>
      </w:r>
      <w:r w:rsidR="00D87F8C">
        <w:rPr>
          <w:u w:val="none"/>
          <w:lang w:val="en-ZA"/>
        </w:rPr>
        <w:t>matters relevant to the application. T</w:t>
      </w:r>
      <w:r>
        <w:rPr>
          <w:u w:val="none"/>
          <w:lang w:val="en-ZA"/>
        </w:rPr>
        <w:t>he respondent</w:t>
      </w:r>
      <w:r w:rsidR="00D87F8C">
        <w:rPr>
          <w:u w:val="none"/>
          <w:lang w:val="en-ZA"/>
        </w:rPr>
        <w:t>s are Leigh Harper, (Harper) an attorney and her firm, Harper Leigh Incorporated (HPI) of which she is the sole director.</w:t>
      </w:r>
      <w:r>
        <w:rPr>
          <w:u w:val="none"/>
          <w:lang w:val="en-ZA"/>
        </w:rPr>
        <w:t xml:space="preserve"> The </w:t>
      </w:r>
      <w:r w:rsidR="00792BFF">
        <w:rPr>
          <w:u w:val="none"/>
          <w:lang w:val="en-ZA"/>
        </w:rPr>
        <w:t xml:space="preserve">relief sought by the </w:t>
      </w:r>
      <w:r w:rsidR="00D87F8C">
        <w:rPr>
          <w:u w:val="none"/>
          <w:lang w:val="en-ZA"/>
        </w:rPr>
        <w:t>LPC</w:t>
      </w:r>
      <w:r>
        <w:rPr>
          <w:u w:val="none"/>
          <w:lang w:val="en-ZA"/>
        </w:rPr>
        <w:t xml:space="preserve"> </w:t>
      </w:r>
      <w:r w:rsidR="0012522F">
        <w:rPr>
          <w:u w:val="none"/>
          <w:lang w:val="en-ZA"/>
        </w:rPr>
        <w:t xml:space="preserve">is that Harper </w:t>
      </w:r>
      <w:r w:rsidR="00C651C3">
        <w:rPr>
          <w:u w:val="none"/>
          <w:lang w:val="en-ZA"/>
        </w:rPr>
        <w:t>be</w:t>
      </w:r>
      <w:r w:rsidR="00792BFF">
        <w:rPr>
          <w:u w:val="none"/>
          <w:lang w:val="en-ZA"/>
        </w:rPr>
        <w:t xml:space="preserve"> suspended</w:t>
      </w:r>
      <w:r w:rsidR="00D87F8C">
        <w:rPr>
          <w:u w:val="none"/>
          <w:lang w:val="en-ZA"/>
        </w:rPr>
        <w:t>,</w:t>
      </w:r>
      <w:r w:rsidR="00792BFF">
        <w:rPr>
          <w:u w:val="none"/>
          <w:lang w:val="en-ZA"/>
        </w:rPr>
        <w:t xml:space="preserve"> alternatively be struck</w:t>
      </w:r>
      <w:r w:rsidR="0012522F">
        <w:rPr>
          <w:u w:val="none"/>
          <w:lang w:val="en-ZA"/>
        </w:rPr>
        <w:t xml:space="preserve"> off from the roll of attorneys and HPI be subjected to a curator</w:t>
      </w:r>
      <w:r w:rsidR="00792BFF">
        <w:rPr>
          <w:u w:val="none"/>
          <w:lang w:val="en-ZA"/>
        </w:rPr>
        <w:t xml:space="preserve"> to oversee and take control of the account</w:t>
      </w:r>
      <w:r w:rsidR="000A586F">
        <w:rPr>
          <w:u w:val="none"/>
          <w:lang w:val="en-ZA"/>
        </w:rPr>
        <w:t>s</w:t>
      </w:r>
      <w:r w:rsidR="00792BFF">
        <w:rPr>
          <w:u w:val="none"/>
          <w:lang w:val="en-ZA"/>
        </w:rPr>
        <w:t>.</w:t>
      </w:r>
      <w:r>
        <w:rPr>
          <w:u w:val="none"/>
          <w:lang w:val="en-ZA"/>
        </w:rPr>
        <w:t xml:space="preserve"> The application is opposed by the respondent</w:t>
      </w:r>
      <w:r w:rsidR="00D87F8C">
        <w:rPr>
          <w:u w:val="none"/>
          <w:lang w:val="en-ZA"/>
        </w:rPr>
        <w:t>s</w:t>
      </w:r>
      <w:r>
        <w:rPr>
          <w:u w:val="none"/>
          <w:lang w:val="en-ZA"/>
        </w:rPr>
        <w:t xml:space="preserve"> on the basis of urgency as well as the merits.</w:t>
      </w:r>
    </w:p>
    <w:p w:rsidR="00C6384A" w:rsidRDefault="00C6384A" w:rsidP="007233DE">
      <w:pPr>
        <w:spacing w:before="180" w:line="360" w:lineRule="auto"/>
        <w:ind w:left="720" w:hanging="720"/>
        <w:jc w:val="both"/>
        <w:rPr>
          <w:u w:val="none"/>
          <w:lang w:val="en-ZA"/>
        </w:rPr>
      </w:pPr>
    </w:p>
    <w:p w:rsidR="00792BFF" w:rsidRDefault="00792BFF" w:rsidP="000B2E89">
      <w:pPr>
        <w:spacing w:before="180" w:line="360" w:lineRule="auto"/>
        <w:ind w:left="720"/>
        <w:jc w:val="both"/>
        <w:rPr>
          <w:b/>
          <w:u w:val="none"/>
          <w:lang w:val="en-ZA"/>
        </w:rPr>
      </w:pPr>
      <w:r w:rsidRPr="00792BFF">
        <w:rPr>
          <w:b/>
          <w:u w:val="none"/>
          <w:lang w:val="en-ZA"/>
        </w:rPr>
        <w:t>BACKGROUND FACTS</w:t>
      </w:r>
    </w:p>
    <w:p w:rsidR="00C22A4E" w:rsidRDefault="004C271D" w:rsidP="0036739F">
      <w:pPr>
        <w:autoSpaceDE w:val="0"/>
        <w:autoSpaceDN w:val="0"/>
        <w:adjustRightInd w:val="0"/>
        <w:spacing w:line="360" w:lineRule="auto"/>
        <w:ind w:left="720" w:hanging="720"/>
        <w:jc w:val="both"/>
        <w:rPr>
          <w:rFonts w:eastAsiaTheme="minorHAnsi"/>
          <w:u w:val="none"/>
          <w:lang w:val="en-ZA" w:eastAsia="en-US"/>
        </w:rPr>
      </w:pPr>
      <w:r>
        <w:rPr>
          <w:u w:val="none"/>
          <w:lang w:val="en-ZA"/>
        </w:rPr>
        <w:t>[2]</w:t>
      </w:r>
      <w:r>
        <w:rPr>
          <w:u w:val="none"/>
          <w:lang w:val="en-ZA"/>
        </w:rPr>
        <w:tab/>
        <w:t xml:space="preserve">Harper was </w:t>
      </w:r>
      <w:r w:rsidR="00C22A4E">
        <w:rPr>
          <w:rFonts w:eastAsiaTheme="minorHAnsi"/>
          <w:u w:val="none"/>
          <w:lang w:val="en-ZA" w:eastAsia="en-US"/>
        </w:rPr>
        <w:t>admitted as</w:t>
      </w:r>
      <w:r>
        <w:rPr>
          <w:rFonts w:eastAsiaTheme="minorHAnsi"/>
          <w:u w:val="none"/>
          <w:lang w:val="en-ZA" w:eastAsia="en-US"/>
        </w:rPr>
        <w:t xml:space="preserve"> an attorney of this Court on</w:t>
      </w:r>
      <w:r w:rsidR="00C22A4E">
        <w:rPr>
          <w:rFonts w:eastAsiaTheme="minorHAnsi"/>
          <w:u w:val="none"/>
          <w:lang w:val="en-ZA" w:eastAsia="en-US"/>
        </w:rPr>
        <w:t xml:space="preserve"> 20 February 2003.  </w:t>
      </w:r>
      <w:r w:rsidR="008C2492">
        <w:rPr>
          <w:rFonts w:eastAsiaTheme="minorHAnsi"/>
          <w:u w:val="none"/>
          <w:lang w:val="en-ZA" w:eastAsia="en-US"/>
        </w:rPr>
        <w:t xml:space="preserve">HPI is the incorporated firm which is her alter </w:t>
      </w:r>
      <w:r w:rsidR="008C2492" w:rsidRPr="00B341CE">
        <w:rPr>
          <w:rFonts w:eastAsiaTheme="minorHAnsi"/>
          <w:u w:val="none"/>
          <w:lang w:val="en-ZA" w:eastAsia="en-US"/>
        </w:rPr>
        <w:t>ego.</w:t>
      </w:r>
    </w:p>
    <w:p w:rsidR="00C22A4E" w:rsidRDefault="00C22A4E" w:rsidP="0036739F">
      <w:pPr>
        <w:autoSpaceDE w:val="0"/>
        <w:autoSpaceDN w:val="0"/>
        <w:adjustRightInd w:val="0"/>
        <w:spacing w:line="360" w:lineRule="auto"/>
        <w:ind w:left="720" w:hanging="720"/>
        <w:jc w:val="both"/>
        <w:rPr>
          <w:rFonts w:eastAsiaTheme="minorHAnsi"/>
          <w:u w:val="none"/>
          <w:lang w:val="en-ZA" w:eastAsia="en-US"/>
        </w:rPr>
      </w:pPr>
    </w:p>
    <w:p w:rsidR="00F9059E" w:rsidRDefault="004C271D" w:rsidP="00980653">
      <w:pPr>
        <w:autoSpaceDE w:val="0"/>
        <w:autoSpaceDN w:val="0"/>
        <w:adjustRightInd w:val="0"/>
        <w:spacing w:line="360" w:lineRule="auto"/>
        <w:ind w:left="720" w:hanging="720"/>
        <w:jc w:val="both"/>
        <w:rPr>
          <w:rFonts w:eastAsiaTheme="minorHAnsi"/>
          <w:u w:val="none"/>
          <w:lang w:val="en-ZA" w:eastAsia="en-US"/>
        </w:rPr>
      </w:pPr>
      <w:r>
        <w:rPr>
          <w:rFonts w:eastAsiaTheme="minorHAnsi"/>
          <w:u w:val="none"/>
          <w:lang w:val="en-ZA" w:eastAsia="en-US"/>
        </w:rPr>
        <w:t>[3]</w:t>
      </w:r>
      <w:r>
        <w:rPr>
          <w:rFonts w:eastAsiaTheme="minorHAnsi"/>
          <w:u w:val="none"/>
          <w:lang w:val="en-ZA" w:eastAsia="en-US"/>
        </w:rPr>
        <w:tab/>
        <w:t>The LPC</w:t>
      </w:r>
      <w:r w:rsidR="00C22A4E">
        <w:rPr>
          <w:rFonts w:eastAsiaTheme="minorHAnsi"/>
          <w:u w:val="none"/>
          <w:lang w:val="en-ZA" w:eastAsia="en-US"/>
        </w:rPr>
        <w:t xml:space="preserve"> brought this </w:t>
      </w:r>
      <w:r w:rsidR="00890668">
        <w:rPr>
          <w:rFonts w:eastAsiaTheme="minorHAnsi"/>
          <w:u w:val="none"/>
          <w:lang w:val="en-ZA" w:eastAsia="en-US"/>
        </w:rPr>
        <w:t xml:space="preserve">application upon receipt of a complaint </w:t>
      </w:r>
      <w:r w:rsidR="00F9059E">
        <w:rPr>
          <w:rFonts w:eastAsiaTheme="minorHAnsi"/>
          <w:u w:val="none"/>
          <w:lang w:val="en-ZA" w:eastAsia="en-US"/>
        </w:rPr>
        <w:t xml:space="preserve">on 2 </w:t>
      </w:r>
      <w:r w:rsidR="000B2E89">
        <w:rPr>
          <w:rFonts w:eastAsiaTheme="minorHAnsi"/>
          <w:u w:val="none"/>
          <w:lang w:val="en-ZA" w:eastAsia="en-US"/>
        </w:rPr>
        <w:t>June 202</w:t>
      </w:r>
      <w:r w:rsidR="007451B4">
        <w:rPr>
          <w:rFonts w:eastAsiaTheme="minorHAnsi"/>
          <w:u w:val="none"/>
          <w:lang w:val="en-ZA" w:eastAsia="en-US"/>
        </w:rPr>
        <w:t xml:space="preserve">1 against </w:t>
      </w:r>
      <w:r>
        <w:rPr>
          <w:rFonts w:eastAsiaTheme="minorHAnsi"/>
          <w:u w:val="none"/>
          <w:lang w:val="en-ZA" w:eastAsia="en-US"/>
        </w:rPr>
        <w:t>HPI.</w:t>
      </w:r>
      <w:r w:rsidR="00F9059E">
        <w:rPr>
          <w:rFonts w:eastAsiaTheme="minorHAnsi"/>
          <w:u w:val="none"/>
          <w:lang w:val="en-ZA" w:eastAsia="en-US"/>
        </w:rPr>
        <w:t xml:space="preserve"> </w:t>
      </w:r>
      <w:r w:rsidR="003815E4">
        <w:rPr>
          <w:rFonts w:eastAsiaTheme="minorHAnsi"/>
          <w:u w:val="none"/>
          <w:lang w:val="en-ZA" w:eastAsia="en-US"/>
        </w:rPr>
        <w:t xml:space="preserve">The complainant </w:t>
      </w:r>
      <w:r w:rsidR="00F9059E">
        <w:rPr>
          <w:rFonts w:eastAsiaTheme="minorHAnsi"/>
          <w:u w:val="none"/>
          <w:lang w:val="en-ZA" w:eastAsia="en-US"/>
        </w:rPr>
        <w:t>appointed</w:t>
      </w:r>
      <w:r w:rsidR="003815E4">
        <w:rPr>
          <w:rFonts w:eastAsiaTheme="minorHAnsi"/>
          <w:u w:val="none"/>
          <w:lang w:val="en-ZA" w:eastAsia="en-US"/>
        </w:rPr>
        <w:t xml:space="preserve"> </w:t>
      </w:r>
      <w:r>
        <w:rPr>
          <w:rFonts w:eastAsiaTheme="minorHAnsi"/>
          <w:u w:val="none"/>
          <w:lang w:val="en-ZA" w:eastAsia="en-US"/>
        </w:rPr>
        <w:t>HPI in</w:t>
      </w:r>
      <w:r w:rsidR="00F9059E">
        <w:rPr>
          <w:rFonts w:eastAsiaTheme="minorHAnsi"/>
          <w:u w:val="none"/>
          <w:lang w:val="en-ZA" w:eastAsia="en-US"/>
        </w:rPr>
        <w:t xml:space="preserve"> September 2018 to attend to the transfer of </w:t>
      </w:r>
      <w:r w:rsidR="003815E4">
        <w:rPr>
          <w:rFonts w:eastAsiaTheme="minorHAnsi"/>
          <w:u w:val="none"/>
          <w:lang w:val="en-ZA" w:eastAsia="en-US"/>
        </w:rPr>
        <w:t xml:space="preserve">a property </w:t>
      </w:r>
      <w:r w:rsidR="00F9059E">
        <w:rPr>
          <w:rFonts w:eastAsiaTheme="minorHAnsi"/>
          <w:u w:val="none"/>
          <w:lang w:val="en-ZA" w:eastAsia="en-US"/>
        </w:rPr>
        <w:t>Erf 229 Riverside View Ext 20 (</w:t>
      </w:r>
      <w:r w:rsidR="003815E4">
        <w:rPr>
          <w:rFonts w:eastAsiaTheme="minorHAnsi"/>
          <w:u w:val="none"/>
          <w:lang w:val="en-ZA" w:eastAsia="en-US"/>
        </w:rPr>
        <w:t>“</w:t>
      </w:r>
      <w:r w:rsidR="00F9059E">
        <w:rPr>
          <w:rFonts w:eastAsiaTheme="minorHAnsi"/>
          <w:u w:val="none"/>
          <w:lang w:val="en-ZA" w:eastAsia="en-US"/>
        </w:rPr>
        <w:t xml:space="preserve">the property") from the sellers, Ken Clucas and Bronwyn Smit to </w:t>
      </w:r>
      <w:r>
        <w:rPr>
          <w:rFonts w:eastAsiaTheme="minorHAnsi"/>
          <w:u w:val="none"/>
          <w:lang w:val="en-ZA" w:eastAsia="en-US"/>
        </w:rPr>
        <w:t xml:space="preserve">the buyer, </w:t>
      </w:r>
      <w:r w:rsidR="00F9059E">
        <w:rPr>
          <w:rFonts w:eastAsiaTheme="minorHAnsi"/>
          <w:u w:val="none"/>
          <w:lang w:val="en-ZA" w:eastAsia="en-US"/>
        </w:rPr>
        <w:t>Aspe</w:t>
      </w:r>
      <w:r>
        <w:rPr>
          <w:rFonts w:eastAsiaTheme="minorHAnsi"/>
          <w:u w:val="none"/>
          <w:lang w:val="en-ZA" w:eastAsia="en-US"/>
        </w:rPr>
        <w:t>n Spirit (Pty) Ltd, a company of</w:t>
      </w:r>
      <w:r w:rsidR="00F9059E">
        <w:rPr>
          <w:rFonts w:eastAsiaTheme="minorHAnsi"/>
          <w:u w:val="none"/>
          <w:lang w:val="en-ZA" w:eastAsia="en-US"/>
        </w:rPr>
        <w:t xml:space="preserve"> which </w:t>
      </w:r>
      <w:r w:rsidR="00980653">
        <w:rPr>
          <w:rFonts w:eastAsiaTheme="minorHAnsi"/>
          <w:u w:val="none"/>
          <w:lang w:val="en-ZA" w:eastAsia="en-US"/>
        </w:rPr>
        <w:t xml:space="preserve">the complainant </w:t>
      </w:r>
      <w:r w:rsidR="00F9059E">
        <w:rPr>
          <w:rFonts w:eastAsiaTheme="minorHAnsi"/>
          <w:u w:val="none"/>
          <w:lang w:val="en-ZA" w:eastAsia="en-US"/>
        </w:rPr>
        <w:t>is the sole director.</w:t>
      </w:r>
      <w:r w:rsidR="00890668">
        <w:rPr>
          <w:rFonts w:eastAsiaTheme="minorHAnsi"/>
          <w:u w:val="none"/>
          <w:lang w:val="en-ZA" w:eastAsia="en-US"/>
        </w:rPr>
        <w:t xml:space="preserve"> </w:t>
      </w:r>
      <w:r w:rsidR="00980653">
        <w:rPr>
          <w:rFonts w:eastAsiaTheme="minorHAnsi"/>
          <w:u w:val="none"/>
          <w:lang w:val="en-ZA" w:eastAsia="en-US"/>
        </w:rPr>
        <w:t xml:space="preserve">The complainant </w:t>
      </w:r>
      <w:r w:rsidR="00F9059E">
        <w:rPr>
          <w:rFonts w:eastAsiaTheme="minorHAnsi"/>
          <w:u w:val="none"/>
          <w:lang w:val="en-ZA" w:eastAsia="en-US"/>
        </w:rPr>
        <w:t>made full payment of the purchase price for the property to</w:t>
      </w:r>
      <w:r>
        <w:rPr>
          <w:rFonts w:eastAsiaTheme="minorHAnsi"/>
          <w:u w:val="none"/>
          <w:lang w:val="en-ZA" w:eastAsia="en-US"/>
        </w:rPr>
        <w:t xml:space="preserve"> HPI.</w:t>
      </w:r>
      <w:r w:rsidR="00890668">
        <w:rPr>
          <w:rFonts w:eastAsiaTheme="minorHAnsi"/>
          <w:u w:val="none"/>
          <w:lang w:val="en-ZA" w:eastAsia="en-US"/>
        </w:rPr>
        <w:t xml:space="preserve"> T</w:t>
      </w:r>
      <w:r w:rsidR="00F9059E">
        <w:rPr>
          <w:rFonts w:eastAsiaTheme="minorHAnsi"/>
          <w:u w:val="none"/>
          <w:lang w:val="en-ZA" w:eastAsia="en-US"/>
        </w:rPr>
        <w:t>he registration costs were paid in November 2018 and the transfer duty was paid to South African Revenue Services ('SARS") on 11 February 2019.</w:t>
      </w:r>
      <w:r w:rsidR="00890668">
        <w:rPr>
          <w:rFonts w:eastAsiaTheme="minorHAnsi"/>
          <w:u w:val="none"/>
          <w:lang w:val="en-ZA" w:eastAsia="en-US"/>
        </w:rPr>
        <w:t xml:space="preserve"> </w:t>
      </w:r>
      <w:r w:rsidR="00980653">
        <w:rPr>
          <w:rFonts w:eastAsiaTheme="minorHAnsi"/>
          <w:u w:val="none"/>
          <w:lang w:val="en-ZA" w:eastAsia="en-US"/>
        </w:rPr>
        <w:t xml:space="preserve">The complainant </w:t>
      </w:r>
      <w:r w:rsidR="006F5165">
        <w:rPr>
          <w:rFonts w:eastAsiaTheme="minorHAnsi"/>
          <w:u w:val="none"/>
          <w:lang w:val="en-ZA" w:eastAsia="en-US"/>
        </w:rPr>
        <w:t xml:space="preserve">was dissatisfied that the property was not transferred </w:t>
      </w:r>
      <w:r w:rsidR="00C651C3">
        <w:rPr>
          <w:rFonts w:eastAsiaTheme="minorHAnsi"/>
          <w:u w:val="none"/>
          <w:lang w:val="en-ZA" w:eastAsia="en-US"/>
        </w:rPr>
        <w:t>twenty-one</w:t>
      </w:r>
      <w:r w:rsidR="00A8605B">
        <w:rPr>
          <w:rFonts w:eastAsiaTheme="minorHAnsi"/>
          <w:u w:val="none"/>
          <w:lang w:val="en-ZA" w:eastAsia="en-US"/>
        </w:rPr>
        <w:t xml:space="preserve"> (21) months after HPI’s</w:t>
      </w:r>
      <w:r w:rsidR="006F5165">
        <w:rPr>
          <w:rFonts w:eastAsiaTheme="minorHAnsi"/>
          <w:u w:val="none"/>
          <w:lang w:val="en-ZA" w:eastAsia="en-US"/>
        </w:rPr>
        <w:t xml:space="preserve"> </w:t>
      </w:r>
      <w:r w:rsidR="00F9059E">
        <w:rPr>
          <w:rFonts w:eastAsiaTheme="minorHAnsi"/>
          <w:u w:val="none"/>
          <w:lang w:val="en-ZA" w:eastAsia="en-US"/>
        </w:rPr>
        <w:t>appointment</w:t>
      </w:r>
      <w:r w:rsidR="006F5165">
        <w:rPr>
          <w:rFonts w:eastAsiaTheme="minorHAnsi"/>
          <w:u w:val="none"/>
          <w:lang w:val="en-ZA" w:eastAsia="en-US"/>
        </w:rPr>
        <w:t xml:space="preserve">. </w:t>
      </w:r>
      <w:r w:rsidR="00980653">
        <w:rPr>
          <w:rFonts w:eastAsiaTheme="minorHAnsi"/>
          <w:u w:val="none"/>
          <w:lang w:val="en-ZA" w:eastAsia="en-US"/>
        </w:rPr>
        <w:t xml:space="preserve">In addition to not having </w:t>
      </w:r>
      <w:r w:rsidR="00F9059E">
        <w:rPr>
          <w:rFonts w:eastAsiaTheme="minorHAnsi"/>
          <w:u w:val="none"/>
          <w:lang w:val="en-ZA" w:eastAsia="en-US"/>
        </w:rPr>
        <w:t>transferred the property</w:t>
      </w:r>
      <w:r w:rsidR="00980653">
        <w:rPr>
          <w:rFonts w:eastAsiaTheme="minorHAnsi"/>
          <w:u w:val="none"/>
          <w:lang w:val="en-ZA" w:eastAsia="en-US"/>
        </w:rPr>
        <w:t xml:space="preserve"> a</w:t>
      </w:r>
      <w:r w:rsidR="00A8605B">
        <w:rPr>
          <w:rFonts w:eastAsiaTheme="minorHAnsi"/>
          <w:u w:val="none"/>
          <w:lang w:val="en-ZA" w:eastAsia="en-US"/>
        </w:rPr>
        <w:t>s mandated, Harper and HPI r</w:t>
      </w:r>
      <w:r w:rsidR="00980653">
        <w:rPr>
          <w:rFonts w:eastAsiaTheme="minorHAnsi"/>
          <w:u w:val="none"/>
          <w:lang w:val="en-ZA" w:eastAsia="en-US"/>
        </w:rPr>
        <w:t>efused</w:t>
      </w:r>
      <w:r w:rsidR="00F9059E">
        <w:rPr>
          <w:rFonts w:eastAsiaTheme="minorHAnsi"/>
          <w:u w:val="none"/>
          <w:lang w:val="en-ZA" w:eastAsia="en-US"/>
        </w:rPr>
        <w:t xml:space="preserve"> to provide accounting records</w:t>
      </w:r>
      <w:r w:rsidR="00980653">
        <w:rPr>
          <w:rFonts w:eastAsiaTheme="minorHAnsi"/>
          <w:u w:val="none"/>
          <w:lang w:val="en-ZA" w:eastAsia="en-US"/>
        </w:rPr>
        <w:t xml:space="preserve"> </w:t>
      </w:r>
      <w:r w:rsidR="00A8605B">
        <w:rPr>
          <w:rFonts w:eastAsiaTheme="minorHAnsi"/>
          <w:u w:val="none"/>
          <w:lang w:val="en-ZA" w:eastAsia="en-US"/>
        </w:rPr>
        <w:t>of the approximately</w:t>
      </w:r>
      <w:r w:rsidR="00F9059E">
        <w:rPr>
          <w:rFonts w:eastAsiaTheme="minorHAnsi"/>
          <w:u w:val="none"/>
          <w:lang w:val="en-ZA" w:eastAsia="en-US"/>
        </w:rPr>
        <w:t xml:space="preserve"> R9 million that </w:t>
      </w:r>
      <w:r w:rsidR="00980653">
        <w:rPr>
          <w:rFonts w:eastAsiaTheme="minorHAnsi"/>
          <w:u w:val="none"/>
          <w:lang w:val="en-ZA" w:eastAsia="en-US"/>
        </w:rPr>
        <w:t xml:space="preserve">the complainant </w:t>
      </w:r>
      <w:r w:rsidR="00F9059E">
        <w:rPr>
          <w:rFonts w:eastAsiaTheme="minorHAnsi"/>
          <w:u w:val="none"/>
          <w:lang w:val="en-ZA" w:eastAsia="en-US"/>
        </w:rPr>
        <w:t xml:space="preserve">paid </w:t>
      </w:r>
      <w:r w:rsidR="00980653">
        <w:rPr>
          <w:rFonts w:eastAsiaTheme="minorHAnsi"/>
          <w:u w:val="none"/>
          <w:lang w:val="en-ZA" w:eastAsia="en-US"/>
        </w:rPr>
        <w:t xml:space="preserve">into the trust account </w:t>
      </w:r>
      <w:r w:rsidR="00A8605B">
        <w:rPr>
          <w:rFonts w:eastAsiaTheme="minorHAnsi"/>
          <w:u w:val="none"/>
          <w:lang w:val="en-ZA" w:eastAsia="en-US"/>
        </w:rPr>
        <w:t xml:space="preserve">of HPI </w:t>
      </w:r>
      <w:r w:rsidR="00F9059E">
        <w:rPr>
          <w:rFonts w:eastAsiaTheme="minorHAnsi"/>
          <w:u w:val="none"/>
          <w:lang w:val="en-ZA" w:eastAsia="en-US"/>
        </w:rPr>
        <w:t>for the property.</w:t>
      </w:r>
    </w:p>
    <w:p w:rsidR="00980653" w:rsidRDefault="00980653" w:rsidP="00980653">
      <w:pPr>
        <w:autoSpaceDE w:val="0"/>
        <w:autoSpaceDN w:val="0"/>
        <w:adjustRightInd w:val="0"/>
        <w:spacing w:line="360" w:lineRule="auto"/>
        <w:ind w:left="720" w:hanging="720"/>
        <w:jc w:val="both"/>
        <w:rPr>
          <w:rFonts w:eastAsiaTheme="minorHAnsi"/>
          <w:u w:val="none"/>
          <w:lang w:val="en-ZA" w:eastAsia="en-US"/>
        </w:rPr>
      </w:pPr>
    </w:p>
    <w:p w:rsidR="00F9059E" w:rsidRDefault="00980653" w:rsidP="008D4642">
      <w:pPr>
        <w:autoSpaceDE w:val="0"/>
        <w:autoSpaceDN w:val="0"/>
        <w:adjustRightInd w:val="0"/>
        <w:spacing w:line="360" w:lineRule="auto"/>
        <w:ind w:left="720" w:hanging="720"/>
        <w:jc w:val="both"/>
        <w:rPr>
          <w:rFonts w:eastAsiaTheme="minorHAnsi"/>
          <w:u w:val="none"/>
          <w:lang w:val="en-ZA" w:eastAsia="en-US"/>
        </w:rPr>
      </w:pPr>
      <w:r>
        <w:rPr>
          <w:rFonts w:eastAsiaTheme="minorHAnsi"/>
          <w:u w:val="none"/>
          <w:lang w:val="en-ZA" w:eastAsia="en-US"/>
        </w:rPr>
        <w:t>[4]</w:t>
      </w:r>
      <w:r>
        <w:rPr>
          <w:rFonts w:eastAsiaTheme="minorHAnsi"/>
          <w:u w:val="none"/>
          <w:lang w:val="en-ZA" w:eastAsia="en-US"/>
        </w:rPr>
        <w:tab/>
        <w:t>Consequently</w:t>
      </w:r>
      <w:r w:rsidR="00F9059E">
        <w:rPr>
          <w:rFonts w:eastAsiaTheme="minorHAnsi"/>
          <w:u w:val="none"/>
          <w:lang w:val="en-ZA" w:eastAsia="en-US"/>
        </w:rPr>
        <w:t>,</w:t>
      </w:r>
      <w:r>
        <w:rPr>
          <w:rFonts w:eastAsiaTheme="minorHAnsi"/>
          <w:u w:val="none"/>
          <w:lang w:val="en-ZA" w:eastAsia="en-US"/>
        </w:rPr>
        <w:t xml:space="preserve"> the complainant a</w:t>
      </w:r>
      <w:r w:rsidR="00440508">
        <w:rPr>
          <w:rFonts w:eastAsiaTheme="minorHAnsi"/>
          <w:u w:val="none"/>
          <w:lang w:val="en-ZA" w:eastAsia="en-US"/>
        </w:rPr>
        <w:t>ppointed Christo Mulder as her</w:t>
      </w:r>
      <w:r w:rsidR="00F9059E">
        <w:rPr>
          <w:rFonts w:eastAsiaTheme="minorHAnsi"/>
          <w:u w:val="none"/>
          <w:lang w:val="en-ZA" w:eastAsia="en-US"/>
        </w:rPr>
        <w:t xml:space="preserve"> legal representative</w:t>
      </w:r>
      <w:r>
        <w:rPr>
          <w:rFonts w:eastAsiaTheme="minorHAnsi"/>
          <w:u w:val="none"/>
          <w:lang w:val="en-ZA" w:eastAsia="en-US"/>
        </w:rPr>
        <w:t xml:space="preserve"> </w:t>
      </w:r>
      <w:r w:rsidR="00F9059E">
        <w:rPr>
          <w:rFonts w:eastAsiaTheme="minorHAnsi"/>
          <w:u w:val="none"/>
          <w:lang w:val="en-ZA" w:eastAsia="en-US"/>
        </w:rPr>
        <w:t>to assist in finalising and advising on the transfer</w:t>
      </w:r>
      <w:r w:rsidR="00440508">
        <w:rPr>
          <w:rFonts w:eastAsiaTheme="minorHAnsi"/>
          <w:u w:val="none"/>
          <w:lang w:val="en-ZA" w:eastAsia="en-US"/>
        </w:rPr>
        <w:t xml:space="preserve">. Harper </w:t>
      </w:r>
      <w:r w:rsidR="000E71C9">
        <w:rPr>
          <w:rFonts w:eastAsiaTheme="minorHAnsi"/>
          <w:u w:val="none"/>
          <w:lang w:val="en-ZA" w:eastAsia="en-US"/>
        </w:rPr>
        <w:t xml:space="preserve"> </w:t>
      </w:r>
      <w:r w:rsidR="00F9059E">
        <w:rPr>
          <w:rFonts w:eastAsiaTheme="minorHAnsi"/>
          <w:u w:val="none"/>
          <w:lang w:val="en-ZA" w:eastAsia="en-US"/>
        </w:rPr>
        <w:t xml:space="preserve"> </w:t>
      </w:r>
      <w:r>
        <w:rPr>
          <w:rFonts w:eastAsiaTheme="minorHAnsi"/>
          <w:u w:val="none"/>
          <w:lang w:val="en-ZA" w:eastAsia="en-US"/>
        </w:rPr>
        <w:t xml:space="preserve">was </w:t>
      </w:r>
      <w:r w:rsidR="000E71C9">
        <w:rPr>
          <w:rFonts w:eastAsiaTheme="minorHAnsi"/>
          <w:u w:val="none"/>
          <w:lang w:val="en-ZA" w:eastAsia="en-US"/>
        </w:rPr>
        <w:t xml:space="preserve">allegedly </w:t>
      </w:r>
      <w:r w:rsidR="00F9059E">
        <w:rPr>
          <w:rFonts w:eastAsiaTheme="minorHAnsi"/>
          <w:u w:val="none"/>
          <w:lang w:val="en-ZA" w:eastAsia="en-US"/>
        </w:rPr>
        <w:t xml:space="preserve">evasive and continues to withhold financial and accounting records despite </w:t>
      </w:r>
      <w:r w:rsidR="008D4642">
        <w:rPr>
          <w:rFonts w:eastAsiaTheme="minorHAnsi"/>
          <w:u w:val="none"/>
          <w:lang w:val="en-ZA" w:eastAsia="en-US"/>
        </w:rPr>
        <w:t xml:space="preserve">the complainant </w:t>
      </w:r>
      <w:r w:rsidR="00440508">
        <w:rPr>
          <w:rFonts w:eastAsiaTheme="minorHAnsi"/>
          <w:u w:val="none"/>
          <w:lang w:val="en-ZA" w:eastAsia="en-US"/>
        </w:rPr>
        <w:t>instructing the HPI</w:t>
      </w:r>
      <w:r w:rsidR="00F9059E">
        <w:rPr>
          <w:rFonts w:eastAsiaTheme="minorHAnsi"/>
          <w:u w:val="none"/>
          <w:lang w:val="en-ZA" w:eastAsia="en-US"/>
        </w:rPr>
        <w:t xml:space="preserve"> to do so.</w:t>
      </w:r>
      <w:r w:rsidR="008D4642">
        <w:rPr>
          <w:rFonts w:eastAsiaTheme="minorHAnsi"/>
          <w:u w:val="none"/>
          <w:lang w:val="en-ZA" w:eastAsia="en-US"/>
        </w:rPr>
        <w:t xml:space="preserve"> </w:t>
      </w:r>
      <w:r w:rsidR="00440508">
        <w:rPr>
          <w:rFonts w:eastAsiaTheme="minorHAnsi"/>
          <w:u w:val="none"/>
          <w:lang w:val="en-ZA" w:eastAsia="en-US"/>
        </w:rPr>
        <w:t xml:space="preserve"> Harper ha</w:t>
      </w:r>
      <w:r w:rsidR="00F9059E">
        <w:rPr>
          <w:rFonts w:eastAsiaTheme="minorHAnsi"/>
          <w:u w:val="none"/>
          <w:lang w:val="en-ZA" w:eastAsia="en-US"/>
        </w:rPr>
        <w:t>s delayed and not delivered any accurate</w:t>
      </w:r>
      <w:r w:rsidR="008D4642">
        <w:rPr>
          <w:rFonts w:eastAsiaTheme="minorHAnsi"/>
          <w:u w:val="none"/>
          <w:lang w:val="en-ZA" w:eastAsia="en-US"/>
        </w:rPr>
        <w:t xml:space="preserve"> </w:t>
      </w:r>
      <w:r w:rsidR="00F9059E">
        <w:rPr>
          <w:rFonts w:eastAsiaTheme="minorHAnsi"/>
          <w:u w:val="none"/>
          <w:lang w:val="en-ZA" w:eastAsia="en-US"/>
        </w:rPr>
        <w:t xml:space="preserve">statements of </w:t>
      </w:r>
      <w:r w:rsidR="008D4642">
        <w:rPr>
          <w:rFonts w:eastAsiaTheme="minorHAnsi"/>
          <w:u w:val="none"/>
          <w:lang w:val="en-ZA" w:eastAsia="en-US"/>
        </w:rPr>
        <w:t xml:space="preserve">the </w:t>
      </w:r>
      <w:r w:rsidR="00F9059E">
        <w:rPr>
          <w:rFonts w:eastAsiaTheme="minorHAnsi"/>
          <w:u w:val="none"/>
          <w:lang w:val="en-ZA" w:eastAsia="en-US"/>
        </w:rPr>
        <w:t xml:space="preserve">trust account and financial transactions that have taken place </w:t>
      </w:r>
      <w:r w:rsidR="008D4642">
        <w:rPr>
          <w:rFonts w:eastAsiaTheme="minorHAnsi"/>
          <w:u w:val="none"/>
          <w:lang w:val="en-ZA" w:eastAsia="en-US"/>
        </w:rPr>
        <w:t xml:space="preserve">in respect of the </w:t>
      </w:r>
      <w:r w:rsidR="00440508">
        <w:rPr>
          <w:rFonts w:eastAsiaTheme="minorHAnsi"/>
          <w:u w:val="none"/>
          <w:lang w:val="en-ZA" w:eastAsia="en-US"/>
        </w:rPr>
        <w:t>transfer. Further, she</w:t>
      </w:r>
      <w:r w:rsidR="00F9059E">
        <w:rPr>
          <w:rFonts w:eastAsiaTheme="minorHAnsi"/>
          <w:u w:val="none"/>
          <w:lang w:val="en-ZA" w:eastAsia="en-US"/>
        </w:rPr>
        <w:t xml:space="preserve"> provid</w:t>
      </w:r>
      <w:r w:rsidR="00440508">
        <w:rPr>
          <w:rFonts w:eastAsiaTheme="minorHAnsi"/>
          <w:u w:val="none"/>
          <w:lang w:val="en-ZA" w:eastAsia="en-US"/>
        </w:rPr>
        <w:t xml:space="preserve">ed inaccurate </w:t>
      </w:r>
      <w:r w:rsidR="00F9059E">
        <w:rPr>
          <w:rFonts w:eastAsiaTheme="minorHAnsi"/>
          <w:u w:val="none"/>
          <w:lang w:val="en-ZA" w:eastAsia="en-US"/>
        </w:rPr>
        <w:t xml:space="preserve">information about the seller to SARS and divulged the seller's personal information to Christo Mulder without consent. </w:t>
      </w:r>
      <w:r w:rsidR="008D4642">
        <w:rPr>
          <w:rFonts w:eastAsiaTheme="minorHAnsi"/>
          <w:u w:val="none"/>
          <w:lang w:val="en-ZA" w:eastAsia="en-US"/>
        </w:rPr>
        <w:t xml:space="preserve">The complainant </w:t>
      </w:r>
      <w:r w:rsidR="00F9059E">
        <w:rPr>
          <w:rFonts w:eastAsiaTheme="minorHAnsi"/>
          <w:u w:val="none"/>
          <w:lang w:val="en-ZA" w:eastAsia="en-US"/>
        </w:rPr>
        <w:t xml:space="preserve">has </w:t>
      </w:r>
      <w:r w:rsidR="00440508">
        <w:rPr>
          <w:rFonts w:eastAsiaTheme="minorHAnsi"/>
          <w:u w:val="none"/>
          <w:lang w:val="en-ZA" w:eastAsia="en-US"/>
        </w:rPr>
        <w:t>been paying occupational rent</w:t>
      </w:r>
      <w:r w:rsidR="00F9059E">
        <w:rPr>
          <w:rFonts w:eastAsiaTheme="minorHAnsi"/>
          <w:u w:val="none"/>
          <w:lang w:val="en-ZA" w:eastAsia="en-US"/>
        </w:rPr>
        <w:t xml:space="preserve"> </w:t>
      </w:r>
      <w:r w:rsidR="00440508">
        <w:rPr>
          <w:rFonts w:eastAsiaTheme="minorHAnsi"/>
          <w:u w:val="none"/>
          <w:lang w:val="en-ZA" w:eastAsia="en-US"/>
        </w:rPr>
        <w:t xml:space="preserve">for </w:t>
      </w:r>
      <w:r w:rsidR="00F9059E">
        <w:rPr>
          <w:rFonts w:eastAsiaTheme="minorHAnsi"/>
          <w:u w:val="none"/>
          <w:lang w:val="en-ZA" w:eastAsia="en-US"/>
        </w:rPr>
        <w:t>the property since</w:t>
      </w:r>
      <w:r w:rsidR="008D4642">
        <w:rPr>
          <w:rFonts w:eastAsiaTheme="minorHAnsi"/>
          <w:u w:val="none"/>
          <w:lang w:val="en-ZA" w:eastAsia="en-US"/>
        </w:rPr>
        <w:t xml:space="preserve"> </w:t>
      </w:r>
      <w:r w:rsidR="00F9059E">
        <w:rPr>
          <w:rFonts w:eastAsiaTheme="minorHAnsi"/>
          <w:u w:val="none"/>
          <w:lang w:val="en-ZA" w:eastAsia="en-US"/>
        </w:rPr>
        <w:t xml:space="preserve">February 2019. The rental has been paid from interest earned on the R9 million deposited into the first respondent's trust account. As </w:t>
      </w:r>
      <w:r w:rsidR="008D4642">
        <w:rPr>
          <w:rFonts w:eastAsiaTheme="minorHAnsi"/>
          <w:u w:val="none"/>
          <w:lang w:val="en-ZA" w:eastAsia="en-US"/>
        </w:rPr>
        <w:t xml:space="preserve">from </w:t>
      </w:r>
      <w:r w:rsidR="00F9059E">
        <w:rPr>
          <w:rFonts w:eastAsiaTheme="minorHAnsi"/>
          <w:u w:val="none"/>
          <w:lang w:val="en-ZA" w:eastAsia="en-US"/>
        </w:rPr>
        <w:t>June 2020, the total occupational rent cost amounted to R660 000.00</w:t>
      </w:r>
      <w:r w:rsidR="008D4642">
        <w:rPr>
          <w:rFonts w:eastAsiaTheme="minorHAnsi"/>
          <w:u w:val="none"/>
          <w:lang w:val="en-ZA" w:eastAsia="en-US"/>
        </w:rPr>
        <w:t xml:space="preserve">. This </w:t>
      </w:r>
      <w:r w:rsidR="00F9059E">
        <w:rPr>
          <w:rFonts w:eastAsiaTheme="minorHAnsi"/>
          <w:u w:val="none"/>
          <w:lang w:val="en-ZA" w:eastAsia="en-US"/>
        </w:rPr>
        <w:t xml:space="preserve">cost could have been avoided had the first respondent transferred the property </w:t>
      </w:r>
      <w:r w:rsidR="008D4642">
        <w:rPr>
          <w:rFonts w:eastAsiaTheme="minorHAnsi"/>
          <w:u w:val="none"/>
          <w:lang w:val="en-ZA" w:eastAsia="en-US"/>
        </w:rPr>
        <w:t xml:space="preserve">timeously. </w:t>
      </w:r>
    </w:p>
    <w:p w:rsidR="008D4642" w:rsidRDefault="008D4642" w:rsidP="008D4642">
      <w:pPr>
        <w:autoSpaceDE w:val="0"/>
        <w:autoSpaceDN w:val="0"/>
        <w:adjustRightInd w:val="0"/>
        <w:spacing w:line="360" w:lineRule="auto"/>
        <w:ind w:left="720" w:hanging="720"/>
        <w:jc w:val="both"/>
        <w:rPr>
          <w:rFonts w:eastAsiaTheme="minorHAnsi"/>
          <w:u w:val="none"/>
          <w:lang w:val="en-ZA" w:eastAsia="en-US"/>
        </w:rPr>
      </w:pPr>
    </w:p>
    <w:p w:rsidR="00F9059E" w:rsidRDefault="008D4642" w:rsidP="00052EF6">
      <w:pPr>
        <w:autoSpaceDE w:val="0"/>
        <w:autoSpaceDN w:val="0"/>
        <w:adjustRightInd w:val="0"/>
        <w:spacing w:line="360" w:lineRule="auto"/>
        <w:ind w:left="720" w:hanging="720"/>
        <w:jc w:val="both"/>
        <w:rPr>
          <w:rFonts w:eastAsiaTheme="minorHAnsi"/>
          <w:u w:val="none"/>
          <w:lang w:val="en-ZA" w:eastAsia="en-US"/>
        </w:rPr>
      </w:pPr>
      <w:r>
        <w:rPr>
          <w:rFonts w:eastAsiaTheme="minorHAnsi"/>
          <w:u w:val="none"/>
          <w:lang w:val="en-ZA" w:eastAsia="en-US"/>
        </w:rPr>
        <w:t>[5]</w:t>
      </w:r>
      <w:r>
        <w:rPr>
          <w:rFonts w:eastAsiaTheme="minorHAnsi"/>
          <w:u w:val="none"/>
          <w:lang w:val="en-ZA" w:eastAsia="en-US"/>
        </w:rPr>
        <w:tab/>
      </w:r>
      <w:r w:rsidR="00B419CB">
        <w:rPr>
          <w:rFonts w:eastAsiaTheme="minorHAnsi"/>
          <w:u w:val="none"/>
          <w:lang w:val="en-ZA" w:eastAsia="en-US"/>
        </w:rPr>
        <w:t>Flowing fro</w:t>
      </w:r>
      <w:r w:rsidR="00803CCA">
        <w:rPr>
          <w:rFonts w:eastAsiaTheme="minorHAnsi"/>
          <w:u w:val="none"/>
          <w:lang w:val="en-ZA" w:eastAsia="en-US"/>
        </w:rPr>
        <w:t>m the above report the LPC</w:t>
      </w:r>
      <w:r w:rsidR="00B419CB">
        <w:rPr>
          <w:rFonts w:eastAsiaTheme="minorHAnsi"/>
          <w:u w:val="none"/>
          <w:lang w:val="en-ZA" w:eastAsia="en-US"/>
        </w:rPr>
        <w:t xml:space="preserve"> authorised an investigation and appointed an investigator.</w:t>
      </w:r>
      <w:r w:rsidR="00C80A5D">
        <w:rPr>
          <w:rFonts w:eastAsiaTheme="minorHAnsi"/>
          <w:u w:val="none"/>
          <w:lang w:val="en-ZA" w:eastAsia="en-US"/>
        </w:rPr>
        <w:t xml:space="preserve"> </w:t>
      </w:r>
      <w:r w:rsidR="00803CCA">
        <w:rPr>
          <w:rFonts w:eastAsiaTheme="minorHAnsi"/>
          <w:u w:val="none"/>
          <w:lang w:val="en-ZA" w:eastAsia="en-US"/>
        </w:rPr>
        <w:t>Upon investigating the</w:t>
      </w:r>
      <w:r w:rsidR="00B419CB">
        <w:rPr>
          <w:rFonts w:eastAsiaTheme="minorHAnsi"/>
          <w:u w:val="none"/>
          <w:lang w:val="en-ZA" w:eastAsia="en-US"/>
        </w:rPr>
        <w:t xml:space="preserve"> </w:t>
      </w:r>
      <w:r w:rsidR="00803CCA">
        <w:rPr>
          <w:rFonts w:eastAsiaTheme="minorHAnsi"/>
          <w:u w:val="none"/>
          <w:lang w:val="en-ZA" w:eastAsia="en-US"/>
        </w:rPr>
        <w:t xml:space="preserve">Trust </w:t>
      </w:r>
      <w:r w:rsidR="00B419CB">
        <w:rPr>
          <w:rFonts w:eastAsiaTheme="minorHAnsi"/>
          <w:u w:val="none"/>
          <w:lang w:val="en-ZA" w:eastAsia="en-US"/>
        </w:rPr>
        <w:t xml:space="preserve">account </w:t>
      </w:r>
      <w:r w:rsidR="00803CCA">
        <w:rPr>
          <w:rFonts w:eastAsiaTheme="minorHAnsi"/>
          <w:u w:val="none"/>
          <w:lang w:val="en-ZA" w:eastAsia="en-US"/>
        </w:rPr>
        <w:t>and the investment accounts and the</w:t>
      </w:r>
      <w:r w:rsidR="00C80A5D">
        <w:rPr>
          <w:rFonts w:eastAsiaTheme="minorHAnsi"/>
          <w:u w:val="none"/>
          <w:lang w:val="en-ZA" w:eastAsia="en-US"/>
        </w:rPr>
        <w:t xml:space="preserve"> </w:t>
      </w:r>
      <w:r w:rsidR="00B419CB">
        <w:rPr>
          <w:rFonts w:eastAsiaTheme="minorHAnsi"/>
          <w:u w:val="none"/>
          <w:lang w:val="en-ZA" w:eastAsia="en-US"/>
        </w:rPr>
        <w:t xml:space="preserve">audit reports </w:t>
      </w:r>
      <w:r w:rsidR="00803CCA">
        <w:rPr>
          <w:rFonts w:eastAsiaTheme="minorHAnsi"/>
          <w:u w:val="none"/>
          <w:lang w:val="en-ZA" w:eastAsia="en-US"/>
        </w:rPr>
        <w:t xml:space="preserve">of HPI </w:t>
      </w:r>
      <w:r w:rsidR="00B419CB">
        <w:rPr>
          <w:rFonts w:eastAsiaTheme="minorHAnsi"/>
          <w:u w:val="none"/>
          <w:lang w:val="en-ZA" w:eastAsia="en-US"/>
        </w:rPr>
        <w:t xml:space="preserve">for 2019 and 2020 </w:t>
      </w:r>
      <w:r w:rsidR="00C80A5D">
        <w:rPr>
          <w:rFonts w:eastAsiaTheme="minorHAnsi"/>
          <w:u w:val="none"/>
          <w:lang w:val="en-ZA" w:eastAsia="en-US"/>
        </w:rPr>
        <w:t>t</w:t>
      </w:r>
      <w:r w:rsidR="00052EF6">
        <w:rPr>
          <w:rFonts w:eastAsiaTheme="minorHAnsi"/>
          <w:u w:val="none"/>
          <w:lang w:val="en-ZA" w:eastAsia="en-US"/>
        </w:rPr>
        <w:t xml:space="preserve">he </w:t>
      </w:r>
      <w:r w:rsidR="00F9059E">
        <w:rPr>
          <w:rFonts w:eastAsiaTheme="minorHAnsi"/>
          <w:u w:val="none"/>
          <w:lang w:val="en-ZA" w:eastAsia="en-US"/>
        </w:rPr>
        <w:t>investigat</w:t>
      </w:r>
      <w:r w:rsidR="00C80A5D">
        <w:rPr>
          <w:rFonts w:eastAsiaTheme="minorHAnsi"/>
          <w:u w:val="none"/>
          <w:lang w:val="en-ZA" w:eastAsia="en-US"/>
        </w:rPr>
        <w:t xml:space="preserve">or </w:t>
      </w:r>
      <w:r w:rsidR="00F9059E">
        <w:rPr>
          <w:rFonts w:eastAsiaTheme="minorHAnsi"/>
          <w:u w:val="none"/>
          <w:lang w:val="en-ZA" w:eastAsia="en-US"/>
        </w:rPr>
        <w:t>filed a report</w:t>
      </w:r>
      <w:r w:rsidR="00052EF6">
        <w:rPr>
          <w:rFonts w:eastAsiaTheme="minorHAnsi"/>
          <w:u w:val="none"/>
          <w:lang w:val="en-ZA" w:eastAsia="en-US"/>
        </w:rPr>
        <w:t xml:space="preserve">. </w:t>
      </w:r>
      <w:r w:rsidR="00C80A5D">
        <w:rPr>
          <w:rFonts w:eastAsiaTheme="minorHAnsi"/>
          <w:u w:val="none"/>
          <w:lang w:val="en-ZA" w:eastAsia="en-US"/>
        </w:rPr>
        <w:t>The repo</w:t>
      </w:r>
      <w:r w:rsidR="000E71C9">
        <w:rPr>
          <w:rFonts w:eastAsiaTheme="minorHAnsi"/>
          <w:u w:val="none"/>
          <w:lang w:val="en-ZA" w:eastAsia="en-US"/>
        </w:rPr>
        <w:t xml:space="preserve">rt </w:t>
      </w:r>
      <w:r w:rsidR="00803CCA">
        <w:rPr>
          <w:rFonts w:eastAsiaTheme="minorHAnsi"/>
          <w:u w:val="none"/>
          <w:lang w:val="en-ZA" w:eastAsia="en-US"/>
        </w:rPr>
        <w:t>revealed these facts and the investigator’s opinions in respect thereof</w:t>
      </w:r>
      <w:r w:rsidR="00F9059E">
        <w:rPr>
          <w:rFonts w:eastAsiaTheme="minorHAnsi"/>
          <w:u w:val="none"/>
          <w:lang w:val="en-ZA" w:eastAsia="en-US"/>
        </w:rPr>
        <w:t>:</w:t>
      </w:r>
    </w:p>
    <w:p w:rsidR="000E71C9" w:rsidRDefault="000E71C9" w:rsidP="00052EF6">
      <w:pPr>
        <w:autoSpaceDE w:val="0"/>
        <w:autoSpaceDN w:val="0"/>
        <w:adjustRightInd w:val="0"/>
        <w:spacing w:line="360" w:lineRule="auto"/>
        <w:ind w:left="720" w:hanging="720"/>
        <w:jc w:val="both"/>
        <w:rPr>
          <w:rFonts w:eastAsiaTheme="minorHAnsi"/>
          <w:u w:val="none"/>
          <w:lang w:val="en-ZA" w:eastAsia="en-US"/>
        </w:rPr>
      </w:pPr>
    </w:p>
    <w:p w:rsidR="00F9059E" w:rsidRDefault="00052EF6" w:rsidP="00803CCA">
      <w:pPr>
        <w:autoSpaceDE w:val="0"/>
        <w:autoSpaceDN w:val="0"/>
        <w:adjustRightInd w:val="0"/>
        <w:spacing w:line="360" w:lineRule="auto"/>
        <w:ind w:left="720"/>
        <w:jc w:val="both"/>
        <w:rPr>
          <w:rFonts w:eastAsiaTheme="minorHAnsi"/>
          <w:u w:val="none"/>
          <w:lang w:val="en-ZA" w:eastAsia="en-US"/>
        </w:rPr>
      </w:pPr>
      <w:r>
        <w:rPr>
          <w:rFonts w:eastAsiaTheme="minorHAnsi"/>
          <w:u w:val="none"/>
          <w:lang w:val="en-ZA" w:eastAsia="en-US"/>
        </w:rPr>
        <w:t>5</w:t>
      </w:r>
      <w:r w:rsidR="009C28D2">
        <w:rPr>
          <w:rFonts w:eastAsiaTheme="minorHAnsi"/>
          <w:u w:val="none"/>
          <w:lang w:val="en-ZA" w:eastAsia="en-US"/>
        </w:rPr>
        <w:t>.1. there wa</w:t>
      </w:r>
      <w:r w:rsidR="00F9059E">
        <w:rPr>
          <w:rFonts w:eastAsiaTheme="minorHAnsi"/>
          <w:u w:val="none"/>
          <w:lang w:val="en-ZA" w:eastAsia="en-US"/>
        </w:rPr>
        <w:t xml:space="preserve">s a substantial trust deficit in the </w:t>
      </w:r>
      <w:r w:rsidR="00803CCA">
        <w:rPr>
          <w:rFonts w:eastAsiaTheme="minorHAnsi"/>
          <w:u w:val="none"/>
          <w:lang w:val="en-ZA" w:eastAsia="en-US"/>
        </w:rPr>
        <w:t xml:space="preserve">Trust account of at least </w:t>
      </w:r>
      <w:r w:rsidR="00F9059E">
        <w:rPr>
          <w:rFonts w:eastAsiaTheme="minorHAnsi"/>
          <w:u w:val="none"/>
          <w:lang w:val="en-ZA" w:eastAsia="en-US"/>
        </w:rPr>
        <w:t>R7 933 577.07;</w:t>
      </w:r>
    </w:p>
    <w:p w:rsidR="00F9059E" w:rsidRDefault="00803CCA" w:rsidP="009C28D2">
      <w:pPr>
        <w:autoSpaceDE w:val="0"/>
        <w:autoSpaceDN w:val="0"/>
        <w:adjustRightInd w:val="0"/>
        <w:spacing w:line="360" w:lineRule="auto"/>
        <w:ind w:left="720"/>
        <w:jc w:val="both"/>
        <w:rPr>
          <w:rFonts w:eastAsiaTheme="minorHAnsi"/>
          <w:u w:val="none"/>
          <w:lang w:val="en-ZA" w:eastAsia="en-US"/>
        </w:rPr>
      </w:pPr>
      <w:r>
        <w:rPr>
          <w:rFonts w:eastAsiaTheme="minorHAnsi"/>
          <w:u w:val="none"/>
          <w:lang w:val="en-ZA" w:eastAsia="en-US"/>
        </w:rPr>
        <w:t>5.2</w:t>
      </w:r>
      <w:r w:rsidR="009C28D2">
        <w:rPr>
          <w:rFonts w:eastAsiaTheme="minorHAnsi"/>
          <w:u w:val="none"/>
          <w:lang w:val="en-ZA" w:eastAsia="en-US"/>
        </w:rPr>
        <w:t xml:space="preserve">. </w:t>
      </w:r>
      <w:r>
        <w:rPr>
          <w:rFonts w:eastAsiaTheme="minorHAnsi"/>
          <w:u w:val="none"/>
          <w:lang w:val="en-ZA" w:eastAsia="en-US"/>
        </w:rPr>
        <w:t>Harper</w:t>
      </w:r>
      <w:r w:rsidR="00F9059E">
        <w:rPr>
          <w:rFonts w:eastAsiaTheme="minorHAnsi"/>
          <w:u w:val="none"/>
          <w:lang w:val="en-ZA" w:eastAsia="en-US"/>
        </w:rPr>
        <w:t xml:space="preserve"> failed to report the trust deficit </w:t>
      </w:r>
      <w:r>
        <w:rPr>
          <w:rFonts w:eastAsiaTheme="minorHAnsi"/>
          <w:u w:val="none"/>
          <w:lang w:val="en-ZA" w:eastAsia="en-US"/>
        </w:rPr>
        <w:t xml:space="preserve">to the LPC as she is </w:t>
      </w:r>
      <w:r w:rsidR="000B2E89">
        <w:rPr>
          <w:rFonts w:eastAsiaTheme="minorHAnsi"/>
          <w:u w:val="none"/>
          <w:lang w:val="en-ZA" w:eastAsia="en-US"/>
        </w:rPr>
        <w:t>obliged</w:t>
      </w:r>
      <w:r>
        <w:rPr>
          <w:rFonts w:eastAsiaTheme="minorHAnsi"/>
          <w:u w:val="none"/>
          <w:lang w:val="en-ZA" w:eastAsia="en-US"/>
        </w:rPr>
        <w:t xml:space="preserve"> to do;</w:t>
      </w:r>
    </w:p>
    <w:p w:rsidR="00F9059E" w:rsidRDefault="0058388D" w:rsidP="009C28D2">
      <w:pPr>
        <w:autoSpaceDE w:val="0"/>
        <w:autoSpaceDN w:val="0"/>
        <w:adjustRightInd w:val="0"/>
        <w:spacing w:line="360" w:lineRule="auto"/>
        <w:ind w:left="720"/>
        <w:jc w:val="both"/>
        <w:rPr>
          <w:rFonts w:eastAsiaTheme="minorHAnsi"/>
          <w:u w:val="none"/>
          <w:lang w:val="en-ZA" w:eastAsia="en-US"/>
        </w:rPr>
      </w:pPr>
      <w:r>
        <w:rPr>
          <w:rFonts w:eastAsiaTheme="minorHAnsi"/>
          <w:u w:val="none"/>
          <w:lang w:val="en-ZA" w:eastAsia="en-US"/>
        </w:rPr>
        <w:t>5.3</w:t>
      </w:r>
      <w:r w:rsidR="009C28D2">
        <w:rPr>
          <w:rFonts w:eastAsiaTheme="minorHAnsi"/>
          <w:u w:val="none"/>
          <w:lang w:val="en-ZA" w:eastAsia="en-US"/>
        </w:rPr>
        <w:t xml:space="preserve">. </w:t>
      </w:r>
      <w:r w:rsidR="00803CCA">
        <w:rPr>
          <w:rFonts w:eastAsiaTheme="minorHAnsi"/>
          <w:u w:val="none"/>
          <w:lang w:val="en-ZA" w:eastAsia="en-US"/>
        </w:rPr>
        <w:t>Harper acted</w:t>
      </w:r>
      <w:r w:rsidR="00F9059E">
        <w:rPr>
          <w:rFonts w:eastAsiaTheme="minorHAnsi"/>
          <w:u w:val="none"/>
          <w:lang w:val="en-ZA" w:eastAsia="en-US"/>
        </w:rPr>
        <w:t xml:space="preserve"> grossly negligent, alternatively recklessly in her handling of the trust funds;</w:t>
      </w:r>
    </w:p>
    <w:p w:rsidR="00F9059E" w:rsidRDefault="00A83DB5" w:rsidP="009C28D2">
      <w:pPr>
        <w:autoSpaceDE w:val="0"/>
        <w:autoSpaceDN w:val="0"/>
        <w:adjustRightInd w:val="0"/>
        <w:spacing w:line="360" w:lineRule="auto"/>
        <w:ind w:left="720"/>
        <w:jc w:val="both"/>
        <w:rPr>
          <w:rFonts w:eastAsiaTheme="minorHAnsi"/>
          <w:u w:val="none"/>
          <w:lang w:val="en-ZA" w:eastAsia="en-US"/>
        </w:rPr>
      </w:pPr>
      <w:r>
        <w:rPr>
          <w:rFonts w:eastAsiaTheme="minorHAnsi"/>
          <w:u w:val="none"/>
          <w:lang w:val="en-ZA" w:eastAsia="en-US"/>
        </w:rPr>
        <w:t>5.4</w:t>
      </w:r>
      <w:r w:rsidR="009C28D2">
        <w:rPr>
          <w:rFonts w:eastAsiaTheme="minorHAnsi"/>
          <w:u w:val="none"/>
          <w:lang w:val="en-ZA" w:eastAsia="en-US"/>
        </w:rPr>
        <w:t>.</w:t>
      </w:r>
      <w:r w:rsidR="009C28D2">
        <w:rPr>
          <w:rFonts w:eastAsiaTheme="minorHAnsi"/>
          <w:u w:val="none"/>
          <w:lang w:val="en-ZA" w:eastAsia="en-US"/>
        </w:rPr>
        <w:tab/>
      </w:r>
      <w:r w:rsidR="0058388D">
        <w:rPr>
          <w:rFonts w:eastAsiaTheme="minorHAnsi"/>
          <w:u w:val="none"/>
          <w:lang w:val="en-ZA" w:eastAsia="en-US"/>
        </w:rPr>
        <w:t>Harper</w:t>
      </w:r>
      <w:r w:rsidR="00F9059E">
        <w:rPr>
          <w:rFonts w:eastAsiaTheme="minorHAnsi"/>
          <w:u w:val="none"/>
          <w:lang w:val="en-ZA" w:eastAsia="en-US"/>
        </w:rPr>
        <w:t xml:space="preserve"> failed to comply</w:t>
      </w:r>
      <w:r w:rsidR="0058388D">
        <w:rPr>
          <w:rFonts w:eastAsiaTheme="minorHAnsi"/>
          <w:u w:val="none"/>
          <w:lang w:val="en-ZA" w:eastAsia="en-US"/>
        </w:rPr>
        <w:t xml:space="preserve"> with his requests on behalf of the LPC</w:t>
      </w:r>
      <w:r w:rsidR="00F9059E">
        <w:rPr>
          <w:rFonts w:eastAsiaTheme="minorHAnsi"/>
          <w:u w:val="none"/>
          <w:lang w:val="en-ZA" w:eastAsia="en-US"/>
        </w:rPr>
        <w:t>;</w:t>
      </w:r>
    </w:p>
    <w:p w:rsidR="00F9059E" w:rsidRDefault="00A83DB5" w:rsidP="009636E9">
      <w:pPr>
        <w:autoSpaceDE w:val="0"/>
        <w:autoSpaceDN w:val="0"/>
        <w:adjustRightInd w:val="0"/>
        <w:spacing w:line="360" w:lineRule="auto"/>
        <w:ind w:left="720"/>
        <w:jc w:val="both"/>
        <w:rPr>
          <w:rFonts w:eastAsiaTheme="minorHAnsi"/>
          <w:u w:val="none"/>
          <w:lang w:val="en-ZA" w:eastAsia="en-US"/>
        </w:rPr>
      </w:pPr>
      <w:r>
        <w:rPr>
          <w:rFonts w:eastAsiaTheme="minorHAnsi"/>
          <w:u w:val="none"/>
          <w:lang w:val="en-ZA" w:eastAsia="en-US"/>
        </w:rPr>
        <w:t>5.5</w:t>
      </w:r>
      <w:r w:rsidR="009C28D2">
        <w:rPr>
          <w:rFonts w:eastAsiaTheme="minorHAnsi"/>
          <w:u w:val="none"/>
          <w:lang w:val="en-ZA" w:eastAsia="en-US"/>
        </w:rPr>
        <w:t xml:space="preserve">. </w:t>
      </w:r>
      <w:r w:rsidR="009C28D2">
        <w:rPr>
          <w:rFonts w:eastAsiaTheme="minorHAnsi"/>
          <w:u w:val="none"/>
          <w:lang w:val="en-ZA" w:eastAsia="en-US"/>
        </w:rPr>
        <w:tab/>
      </w:r>
      <w:r w:rsidR="0058388D">
        <w:rPr>
          <w:rFonts w:eastAsiaTheme="minorHAnsi"/>
          <w:u w:val="none"/>
          <w:lang w:val="en-ZA" w:eastAsia="en-US"/>
        </w:rPr>
        <w:t>the two respondents</w:t>
      </w:r>
      <w:r w:rsidR="00F9059E">
        <w:rPr>
          <w:rFonts w:eastAsiaTheme="minorHAnsi"/>
          <w:u w:val="none"/>
          <w:lang w:val="en-ZA" w:eastAsia="en-US"/>
        </w:rPr>
        <w:t xml:space="preserve"> failed to keep proper accounting records in respec</w:t>
      </w:r>
      <w:r w:rsidR="0058388D">
        <w:rPr>
          <w:rFonts w:eastAsiaTheme="minorHAnsi"/>
          <w:u w:val="none"/>
          <w:lang w:val="en-ZA" w:eastAsia="en-US"/>
        </w:rPr>
        <w:t>t of the</w:t>
      </w:r>
      <w:r w:rsidR="00F9059E">
        <w:rPr>
          <w:rFonts w:eastAsiaTheme="minorHAnsi"/>
          <w:u w:val="none"/>
          <w:lang w:val="en-ZA" w:eastAsia="en-US"/>
        </w:rPr>
        <w:t xml:space="preserve"> practice;</w:t>
      </w:r>
    </w:p>
    <w:p w:rsidR="00F9059E" w:rsidRDefault="00A83DB5" w:rsidP="009636E9">
      <w:pPr>
        <w:autoSpaceDE w:val="0"/>
        <w:autoSpaceDN w:val="0"/>
        <w:adjustRightInd w:val="0"/>
        <w:spacing w:line="360" w:lineRule="auto"/>
        <w:ind w:left="720"/>
        <w:jc w:val="both"/>
        <w:rPr>
          <w:rFonts w:eastAsiaTheme="minorHAnsi"/>
          <w:u w:val="none"/>
          <w:lang w:val="en-ZA" w:eastAsia="en-US"/>
        </w:rPr>
      </w:pPr>
      <w:r>
        <w:rPr>
          <w:rFonts w:eastAsiaTheme="minorHAnsi"/>
          <w:u w:val="none"/>
          <w:lang w:val="en-ZA" w:eastAsia="en-US"/>
        </w:rPr>
        <w:t>5.6</w:t>
      </w:r>
      <w:r w:rsidR="009636E9">
        <w:rPr>
          <w:rFonts w:eastAsiaTheme="minorHAnsi"/>
          <w:u w:val="none"/>
          <w:lang w:val="en-ZA" w:eastAsia="en-US"/>
        </w:rPr>
        <w:t xml:space="preserve">. </w:t>
      </w:r>
      <w:r w:rsidR="0058388D">
        <w:rPr>
          <w:rFonts w:eastAsiaTheme="minorHAnsi"/>
          <w:u w:val="none"/>
          <w:lang w:val="en-ZA" w:eastAsia="en-US"/>
        </w:rPr>
        <w:tab/>
        <w:t>Harper</w:t>
      </w:r>
      <w:r w:rsidR="00F9059E">
        <w:rPr>
          <w:rFonts w:eastAsiaTheme="minorHAnsi"/>
          <w:u w:val="none"/>
          <w:lang w:val="en-ZA" w:eastAsia="en-US"/>
        </w:rPr>
        <w:t xml:space="preserve"> contraven</w:t>
      </w:r>
      <w:r w:rsidR="009636E9">
        <w:rPr>
          <w:rFonts w:eastAsiaTheme="minorHAnsi"/>
          <w:u w:val="none"/>
          <w:lang w:val="en-ZA" w:eastAsia="en-US"/>
        </w:rPr>
        <w:t xml:space="preserve">ed several provisions of the </w:t>
      </w:r>
      <w:r w:rsidR="00F9059E">
        <w:rPr>
          <w:rFonts w:eastAsiaTheme="minorHAnsi"/>
          <w:u w:val="none"/>
          <w:lang w:val="en-ZA" w:eastAsia="en-US"/>
        </w:rPr>
        <w:t>LPC Rules and the Code of Conduct;</w:t>
      </w:r>
    </w:p>
    <w:p w:rsidR="00F9059E" w:rsidRDefault="00A83DB5" w:rsidP="009636E9">
      <w:pPr>
        <w:autoSpaceDE w:val="0"/>
        <w:autoSpaceDN w:val="0"/>
        <w:adjustRightInd w:val="0"/>
        <w:spacing w:line="360" w:lineRule="auto"/>
        <w:ind w:left="720"/>
        <w:jc w:val="both"/>
        <w:rPr>
          <w:rFonts w:eastAsiaTheme="minorHAnsi"/>
          <w:u w:val="none"/>
          <w:lang w:val="en-ZA" w:eastAsia="en-US"/>
        </w:rPr>
      </w:pPr>
      <w:r>
        <w:rPr>
          <w:rFonts w:eastAsiaTheme="minorHAnsi"/>
          <w:u w:val="none"/>
          <w:lang w:val="en-ZA" w:eastAsia="en-US"/>
        </w:rPr>
        <w:lastRenderedPageBreak/>
        <w:t>5.7</w:t>
      </w:r>
      <w:r w:rsidR="009636E9">
        <w:rPr>
          <w:rFonts w:eastAsiaTheme="minorHAnsi"/>
          <w:u w:val="none"/>
          <w:lang w:val="en-ZA" w:eastAsia="en-US"/>
        </w:rPr>
        <w:t>.</w:t>
      </w:r>
      <w:r w:rsidR="009636E9">
        <w:rPr>
          <w:rFonts w:eastAsiaTheme="minorHAnsi"/>
          <w:u w:val="none"/>
          <w:lang w:val="en-ZA" w:eastAsia="en-US"/>
        </w:rPr>
        <w:tab/>
      </w:r>
      <w:r w:rsidR="0058388D">
        <w:rPr>
          <w:rFonts w:eastAsiaTheme="minorHAnsi"/>
          <w:u w:val="none"/>
          <w:lang w:val="en-ZA" w:eastAsia="en-US"/>
        </w:rPr>
        <w:t>Harper</w:t>
      </w:r>
      <w:r w:rsidR="000E71C9">
        <w:rPr>
          <w:rFonts w:eastAsiaTheme="minorHAnsi"/>
          <w:u w:val="none"/>
          <w:lang w:val="en-ZA" w:eastAsia="en-US"/>
        </w:rPr>
        <w:t xml:space="preserve"> has </w:t>
      </w:r>
      <w:r w:rsidR="00F9059E">
        <w:rPr>
          <w:rFonts w:eastAsiaTheme="minorHAnsi"/>
          <w:u w:val="none"/>
          <w:lang w:val="en-ZA" w:eastAsia="en-US"/>
        </w:rPr>
        <w:t>placed her trust creditors and the L</w:t>
      </w:r>
      <w:r w:rsidR="009636E9">
        <w:rPr>
          <w:rFonts w:eastAsiaTheme="minorHAnsi"/>
          <w:u w:val="none"/>
          <w:lang w:val="en-ZA" w:eastAsia="en-US"/>
        </w:rPr>
        <w:t xml:space="preserve">egal </w:t>
      </w:r>
      <w:r w:rsidR="00F9059E">
        <w:rPr>
          <w:rFonts w:eastAsiaTheme="minorHAnsi"/>
          <w:u w:val="none"/>
          <w:lang w:val="en-ZA" w:eastAsia="en-US"/>
        </w:rPr>
        <w:t>P</w:t>
      </w:r>
      <w:r w:rsidR="009636E9">
        <w:rPr>
          <w:rFonts w:eastAsiaTheme="minorHAnsi"/>
          <w:u w:val="none"/>
          <w:lang w:val="en-ZA" w:eastAsia="en-US"/>
        </w:rPr>
        <w:t xml:space="preserve">ractitioners </w:t>
      </w:r>
      <w:r w:rsidR="00F9059E">
        <w:rPr>
          <w:rFonts w:eastAsiaTheme="minorHAnsi"/>
          <w:u w:val="none"/>
          <w:lang w:val="en-ZA" w:eastAsia="en-US"/>
        </w:rPr>
        <w:t>F</w:t>
      </w:r>
      <w:r w:rsidR="009636E9">
        <w:rPr>
          <w:rFonts w:eastAsiaTheme="minorHAnsi"/>
          <w:u w:val="none"/>
          <w:lang w:val="en-ZA" w:eastAsia="en-US"/>
        </w:rPr>
        <w:t xml:space="preserve">idelity </w:t>
      </w:r>
      <w:r w:rsidR="00F9059E">
        <w:rPr>
          <w:rFonts w:eastAsiaTheme="minorHAnsi"/>
          <w:u w:val="none"/>
          <w:lang w:val="en-ZA" w:eastAsia="en-US"/>
        </w:rPr>
        <w:t>F</w:t>
      </w:r>
      <w:r w:rsidR="009636E9">
        <w:rPr>
          <w:rFonts w:eastAsiaTheme="minorHAnsi"/>
          <w:u w:val="none"/>
          <w:lang w:val="en-ZA" w:eastAsia="en-US"/>
        </w:rPr>
        <w:t>und</w:t>
      </w:r>
      <w:r w:rsidR="009C5B26">
        <w:rPr>
          <w:rFonts w:eastAsiaTheme="minorHAnsi"/>
          <w:u w:val="none"/>
          <w:lang w:val="en-ZA" w:eastAsia="en-US"/>
        </w:rPr>
        <w:t>(LPFF)</w:t>
      </w:r>
      <w:r w:rsidR="00F9059E">
        <w:rPr>
          <w:rFonts w:eastAsiaTheme="minorHAnsi"/>
          <w:u w:val="none"/>
          <w:lang w:val="en-ZA" w:eastAsia="en-US"/>
        </w:rPr>
        <w:t xml:space="preserve"> at risk;</w:t>
      </w:r>
      <w:r w:rsidR="0098633B">
        <w:rPr>
          <w:rFonts w:eastAsiaTheme="minorHAnsi"/>
          <w:u w:val="none"/>
          <w:lang w:val="en-ZA" w:eastAsia="en-US"/>
        </w:rPr>
        <w:t xml:space="preserve"> and </w:t>
      </w:r>
    </w:p>
    <w:p w:rsidR="00F9059E" w:rsidRDefault="00A83DB5" w:rsidP="0098633B">
      <w:pPr>
        <w:autoSpaceDE w:val="0"/>
        <w:autoSpaceDN w:val="0"/>
        <w:adjustRightInd w:val="0"/>
        <w:spacing w:line="360" w:lineRule="auto"/>
        <w:ind w:firstLine="720"/>
        <w:jc w:val="both"/>
        <w:rPr>
          <w:rFonts w:eastAsiaTheme="minorHAnsi"/>
          <w:u w:val="none"/>
          <w:lang w:val="en-ZA" w:eastAsia="en-US"/>
        </w:rPr>
      </w:pPr>
      <w:r>
        <w:rPr>
          <w:rFonts w:eastAsiaTheme="minorHAnsi"/>
          <w:u w:val="none"/>
          <w:lang w:val="en-ZA" w:eastAsia="en-US"/>
        </w:rPr>
        <w:t>5.8</w:t>
      </w:r>
      <w:r w:rsidR="0058388D">
        <w:rPr>
          <w:rFonts w:eastAsiaTheme="minorHAnsi"/>
          <w:u w:val="none"/>
          <w:lang w:val="en-ZA" w:eastAsia="en-US"/>
        </w:rPr>
        <w:t>.</w:t>
      </w:r>
      <w:r w:rsidR="0058388D">
        <w:rPr>
          <w:rFonts w:eastAsiaTheme="minorHAnsi"/>
          <w:u w:val="none"/>
          <w:lang w:val="en-ZA" w:eastAsia="en-US"/>
        </w:rPr>
        <w:tab/>
        <w:t xml:space="preserve">Harper failed to handle the instructions to HPI </w:t>
      </w:r>
      <w:r w:rsidR="00101907">
        <w:rPr>
          <w:rFonts w:eastAsiaTheme="minorHAnsi"/>
          <w:u w:val="none"/>
          <w:lang w:val="en-ZA" w:eastAsia="en-US"/>
        </w:rPr>
        <w:t>p</w:t>
      </w:r>
      <w:r w:rsidR="0098633B">
        <w:rPr>
          <w:rFonts w:eastAsiaTheme="minorHAnsi"/>
          <w:u w:val="none"/>
          <w:lang w:val="en-ZA" w:eastAsia="en-US"/>
        </w:rPr>
        <w:t>roperly</w:t>
      </w:r>
      <w:r w:rsidR="00C80A5D">
        <w:rPr>
          <w:rFonts w:eastAsiaTheme="minorHAnsi"/>
          <w:u w:val="none"/>
          <w:lang w:val="en-ZA" w:eastAsia="en-US"/>
        </w:rPr>
        <w:t>.</w:t>
      </w:r>
    </w:p>
    <w:p w:rsidR="00C80A5D" w:rsidRDefault="00C80A5D" w:rsidP="00C80A5D">
      <w:pPr>
        <w:autoSpaceDE w:val="0"/>
        <w:autoSpaceDN w:val="0"/>
        <w:adjustRightInd w:val="0"/>
        <w:spacing w:line="360" w:lineRule="auto"/>
        <w:jc w:val="both"/>
        <w:rPr>
          <w:rFonts w:eastAsiaTheme="minorHAnsi"/>
          <w:u w:val="none"/>
          <w:lang w:val="en-ZA" w:eastAsia="en-US"/>
        </w:rPr>
      </w:pPr>
    </w:p>
    <w:p w:rsidR="00C80A5D" w:rsidRDefault="00D8504C" w:rsidP="00C80A5D">
      <w:pPr>
        <w:tabs>
          <w:tab w:val="right" w:pos="0"/>
        </w:tabs>
        <w:spacing w:line="360" w:lineRule="auto"/>
        <w:ind w:left="720" w:hanging="720"/>
        <w:jc w:val="both"/>
        <w:rPr>
          <w:u w:val="none"/>
          <w:lang w:val="en-ZA"/>
        </w:rPr>
      </w:pPr>
      <w:r>
        <w:rPr>
          <w:rFonts w:eastAsiaTheme="minorHAnsi"/>
          <w:u w:val="none"/>
          <w:lang w:val="en-ZA" w:eastAsia="en-US"/>
        </w:rPr>
        <w:t>[6]</w:t>
      </w:r>
      <w:r>
        <w:rPr>
          <w:rFonts w:eastAsiaTheme="minorHAnsi"/>
          <w:u w:val="none"/>
          <w:lang w:val="en-ZA" w:eastAsia="en-US"/>
        </w:rPr>
        <w:tab/>
        <w:t xml:space="preserve">Harper, in contesting the LPC’s application, </w:t>
      </w:r>
      <w:r w:rsidR="00C80A5D">
        <w:rPr>
          <w:rFonts w:eastAsiaTheme="minorHAnsi"/>
          <w:u w:val="none"/>
          <w:lang w:val="en-ZA" w:eastAsia="en-US"/>
        </w:rPr>
        <w:t xml:space="preserve">contended that the investigation was based on limited information. </w:t>
      </w:r>
      <w:r w:rsidR="00C80A5D">
        <w:rPr>
          <w:rFonts w:eastAsiaTheme="minorHAnsi"/>
          <w:u w:val="none"/>
          <w:lang w:val="en-ZA" w:eastAsia="en-US"/>
        </w:rPr>
        <w:tab/>
        <w:t>S</w:t>
      </w:r>
      <w:r w:rsidR="00C80A5D">
        <w:rPr>
          <w:u w:val="none"/>
          <w:lang w:val="en-ZA"/>
        </w:rPr>
        <w:t>he also contended th</w:t>
      </w:r>
      <w:r>
        <w:rPr>
          <w:u w:val="none"/>
          <w:lang w:val="en-ZA"/>
        </w:rPr>
        <w:t>at she reported to the LPC</w:t>
      </w:r>
      <w:r w:rsidR="00C80A5D">
        <w:rPr>
          <w:u w:val="none"/>
          <w:lang w:val="en-ZA"/>
        </w:rPr>
        <w:t xml:space="preserve"> as soon as she became aware that there was something </w:t>
      </w:r>
      <w:r>
        <w:rPr>
          <w:u w:val="none"/>
          <w:lang w:val="en-ZA"/>
        </w:rPr>
        <w:t xml:space="preserve">amiss with her trust account. Harper alleges that her bookkeeper misappropriated money from the accounts. She </w:t>
      </w:r>
      <w:r w:rsidR="00101907">
        <w:rPr>
          <w:u w:val="none"/>
          <w:lang w:val="en-ZA"/>
        </w:rPr>
        <w:t xml:space="preserve">alleges that </w:t>
      </w:r>
      <w:r w:rsidR="00C80A5D">
        <w:rPr>
          <w:u w:val="none"/>
          <w:lang w:val="en-ZA"/>
        </w:rPr>
        <w:t xml:space="preserve"> upon discovering there was a problem </w:t>
      </w:r>
      <w:r w:rsidR="000B2E89">
        <w:rPr>
          <w:u w:val="none"/>
          <w:lang w:val="en-ZA"/>
        </w:rPr>
        <w:t xml:space="preserve"> she </w:t>
      </w:r>
      <w:r w:rsidR="00C80A5D">
        <w:rPr>
          <w:u w:val="none"/>
          <w:lang w:val="en-ZA"/>
        </w:rPr>
        <w:t>laid a criminal charge with the South African Police Services</w:t>
      </w:r>
      <w:r w:rsidR="00101907">
        <w:rPr>
          <w:u w:val="none"/>
          <w:lang w:val="en-ZA"/>
        </w:rPr>
        <w:t xml:space="preserve"> against the bookkeeper</w:t>
      </w:r>
      <w:r w:rsidR="00C80A5D">
        <w:rPr>
          <w:u w:val="none"/>
          <w:lang w:val="en-ZA"/>
        </w:rPr>
        <w:t xml:space="preserve">. </w:t>
      </w:r>
      <w:r>
        <w:rPr>
          <w:u w:val="none"/>
          <w:lang w:val="en-ZA"/>
        </w:rPr>
        <w:t>Harper h</w:t>
      </w:r>
      <w:r w:rsidR="00C80A5D">
        <w:rPr>
          <w:u w:val="none"/>
          <w:lang w:val="en-ZA"/>
        </w:rPr>
        <w:t xml:space="preserve">as been in practice for eighteen years and this appears to have been the first complaint against the </w:t>
      </w:r>
      <w:r>
        <w:rPr>
          <w:u w:val="none"/>
          <w:lang w:val="en-ZA"/>
        </w:rPr>
        <w:t xml:space="preserve">two </w:t>
      </w:r>
      <w:r w:rsidR="00C80A5D">
        <w:rPr>
          <w:u w:val="none"/>
          <w:lang w:val="en-ZA"/>
        </w:rPr>
        <w:t>respondents</w:t>
      </w:r>
      <w:r>
        <w:rPr>
          <w:u w:val="none"/>
          <w:lang w:val="en-ZA"/>
        </w:rPr>
        <w:t xml:space="preserve">. Harper states that she has </w:t>
      </w:r>
      <w:r w:rsidR="00C80A5D">
        <w:rPr>
          <w:u w:val="none"/>
          <w:lang w:val="en-ZA"/>
        </w:rPr>
        <w:t>effected similar transactions on behalf of the</w:t>
      </w:r>
      <w:r w:rsidR="00C2254A">
        <w:rPr>
          <w:u w:val="none"/>
          <w:lang w:val="en-ZA"/>
        </w:rPr>
        <w:t xml:space="preserve"> </w:t>
      </w:r>
      <w:r w:rsidR="00C80A5D">
        <w:rPr>
          <w:u w:val="none"/>
          <w:lang w:val="en-ZA"/>
        </w:rPr>
        <w:t xml:space="preserve">complainant previously and no problems were encountered on those occasions. </w:t>
      </w:r>
    </w:p>
    <w:p w:rsidR="00792BFF" w:rsidRPr="00792BFF" w:rsidRDefault="00792BFF" w:rsidP="00F3309A">
      <w:pPr>
        <w:tabs>
          <w:tab w:val="right" w:pos="0"/>
        </w:tabs>
        <w:spacing w:line="360" w:lineRule="auto"/>
        <w:jc w:val="both"/>
        <w:rPr>
          <w:u w:val="none"/>
          <w:lang w:val="en-ZA"/>
        </w:rPr>
      </w:pPr>
    </w:p>
    <w:p w:rsidR="00792BFF" w:rsidRDefault="000B2E89" w:rsidP="00F3309A">
      <w:pPr>
        <w:tabs>
          <w:tab w:val="right" w:pos="0"/>
        </w:tabs>
        <w:spacing w:line="360" w:lineRule="auto"/>
        <w:jc w:val="both"/>
        <w:rPr>
          <w:b/>
          <w:u w:val="none"/>
          <w:lang w:val="en-ZA"/>
        </w:rPr>
      </w:pPr>
      <w:r>
        <w:rPr>
          <w:b/>
          <w:u w:val="none"/>
          <w:lang w:val="en-ZA"/>
        </w:rPr>
        <w:tab/>
      </w:r>
      <w:r w:rsidR="00D8504C">
        <w:rPr>
          <w:b/>
          <w:u w:val="none"/>
          <w:lang w:val="en-ZA"/>
        </w:rPr>
        <w:t xml:space="preserve">ISSUES </w:t>
      </w:r>
      <w:r w:rsidR="00792BFF">
        <w:rPr>
          <w:b/>
          <w:u w:val="none"/>
          <w:lang w:val="en-ZA"/>
        </w:rPr>
        <w:t>FOR DETERMINATION</w:t>
      </w:r>
    </w:p>
    <w:p w:rsidR="00A56593" w:rsidRDefault="00792BFF" w:rsidP="00F3309A">
      <w:pPr>
        <w:tabs>
          <w:tab w:val="right" w:pos="0"/>
        </w:tabs>
        <w:spacing w:line="360" w:lineRule="auto"/>
        <w:jc w:val="both"/>
        <w:rPr>
          <w:u w:val="none"/>
        </w:rPr>
      </w:pPr>
      <w:r w:rsidRPr="00792BFF">
        <w:rPr>
          <w:u w:val="none"/>
          <w:lang w:val="en-ZA"/>
        </w:rPr>
        <w:t>[</w:t>
      </w:r>
      <w:r w:rsidR="00C80A5D">
        <w:rPr>
          <w:u w:val="none"/>
          <w:lang w:val="en-ZA"/>
        </w:rPr>
        <w:t>7</w:t>
      </w:r>
      <w:r w:rsidRPr="00792BFF">
        <w:rPr>
          <w:u w:val="none"/>
          <w:lang w:val="en-ZA"/>
        </w:rPr>
        <w:t>]</w:t>
      </w:r>
      <w:r w:rsidR="0098633B">
        <w:rPr>
          <w:u w:val="none"/>
          <w:lang w:val="en-ZA"/>
        </w:rPr>
        <w:tab/>
        <w:t>The issue</w:t>
      </w:r>
      <w:r w:rsidR="00A56593">
        <w:rPr>
          <w:u w:val="none"/>
          <w:lang w:val="en-ZA"/>
        </w:rPr>
        <w:t>s</w:t>
      </w:r>
      <w:r w:rsidR="0098633B">
        <w:rPr>
          <w:u w:val="none"/>
          <w:lang w:val="en-ZA"/>
        </w:rPr>
        <w:t xml:space="preserve"> for determination </w:t>
      </w:r>
      <w:r w:rsidR="00A56593">
        <w:rPr>
          <w:u w:val="none"/>
          <w:lang w:val="en-ZA"/>
        </w:rPr>
        <w:t xml:space="preserve">are </w:t>
      </w:r>
      <w:r w:rsidR="00A56593" w:rsidRPr="00A56593">
        <w:rPr>
          <w:u w:val="none"/>
        </w:rPr>
        <w:t xml:space="preserve">whether: </w:t>
      </w:r>
    </w:p>
    <w:p w:rsidR="00A56593" w:rsidRDefault="00C80A5D" w:rsidP="00F3309A">
      <w:pPr>
        <w:tabs>
          <w:tab w:val="right" w:pos="0"/>
        </w:tabs>
        <w:spacing w:line="360" w:lineRule="auto"/>
        <w:jc w:val="both"/>
        <w:rPr>
          <w:u w:val="none"/>
        </w:rPr>
      </w:pPr>
      <w:r>
        <w:rPr>
          <w:u w:val="none"/>
        </w:rPr>
        <w:tab/>
        <w:t>7</w:t>
      </w:r>
      <w:r w:rsidR="00A56593" w:rsidRPr="00A56593">
        <w:rPr>
          <w:u w:val="none"/>
        </w:rPr>
        <w:t xml:space="preserve">.1. the application is urgent; and </w:t>
      </w:r>
    </w:p>
    <w:p w:rsidR="00792BFF" w:rsidRDefault="00C80A5D" w:rsidP="00A56593">
      <w:pPr>
        <w:tabs>
          <w:tab w:val="right" w:pos="0"/>
        </w:tabs>
        <w:spacing w:line="360" w:lineRule="auto"/>
        <w:ind w:left="720"/>
        <w:jc w:val="both"/>
        <w:rPr>
          <w:u w:val="none"/>
        </w:rPr>
      </w:pPr>
      <w:r>
        <w:rPr>
          <w:u w:val="none"/>
        </w:rPr>
        <w:t>7</w:t>
      </w:r>
      <w:r w:rsidR="00A56593" w:rsidRPr="00A56593">
        <w:rPr>
          <w:u w:val="none"/>
        </w:rPr>
        <w:t xml:space="preserve">.2. the first respondent ought to be suspended and/or removed from </w:t>
      </w:r>
      <w:r w:rsidR="00631440">
        <w:rPr>
          <w:u w:val="none"/>
        </w:rPr>
        <w:t>the roll of legal practitioners and a curator appointed to oversee the accounts.</w:t>
      </w:r>
    </w:p>
    <w:p w:rsidR="00A56593" w:rsidRPr="00A56593" w:rsidRDefault="00A56593" w:rsidP="00A56593">
      <w:pPr>
        <w:tabs>
          <w:tab w:val="right" w:pos="0"/>
        </w:tabs>
        <w:spacing w:line="360" w:lineRule="auto"/>
        <w:ind w:left="720"/>
        <w:jc w:val="both"/>
        <w:rPr>
          <w:u w:val="none"/>
          <w:lang w:val="en-ZA"/>
        </w:rPr>
      </w:pPr>
    </w:p>
    <w:p w:rsidR="00792BFF" w:rsidRDefault="000B2E89" w:rsidP="00F3309A">
      <w:pPr>
        <w:tabs>
          <w:tab w:val="right" w:pos="0"/>
        </w:tabs>
        <w:spacing w:line="360" w:lineRule="auto"/>
        <w:jc w:val="both"/>
        <w:rPr>
          <w:b/>
          <w:u w:val="none"/>
          <w:lang w:val="en-ZA"/>
        </w:rPr>
      </w:pPr>
      <w:r>
        <w:rPr>
          <w:b/>
          <w:u w:val="none"/>
          <w:lang w:val="en-ZA"/>
        </w:rPr>
        <w:tab/>
      </w:r>
      <w:r w:rsidR="00792BFF" w:rsidRPr="00792BFF">
        <w:rPr>
          <w:b/>
          <w:u w:val="none"/>
          <w:lang w:val="en-ZA"/>
        </w:rPr>
        <w:t>LAW</w:t>
      </w:r>
    </w:p>
    <w:p w:rsidR="00C10D79" w:rsidRDefault="00C80A5D" w:rsidP="00A56593">
      <w:pPr>
        <w:autoSpaceDE w:val="0"/>
        <w:autoSpaceDN w:val="0"/>
        <w:adjustRightInd w:val="0"/>
        <w:spacing w:line="276" w:lineRule="auto"/>
        <w:jc w:val="both"/>
        <w:rPr>
          <w:u w:val="none"/>
          <w:lang w:val="en-ZA"/>
        </w:rPr>
      </w:pPr>
      <w:r>
        <w:rPr>
          <w:u w:val="none"/>
          <w:lang w:val="en-ZA"/>
        </w:rPr>
        <w:t>[8</w:t>
      </w:r>
      <w:r w:rsidR="00792BFF" w:rsidRPr="00792BFF">
        <w:rPr>
          <w:u w:val="none"/>
          <w:lang w:val="en-ZA"/>
        </w:rPr>
        <w:t>]</w:t>
      </w:r>
      <w:r w:rsidR="00C10D79">
        <w:rPr>
          <w:u w:val="none"/>
          <w:lang w:val="en-ZA"/>
        </w:rPr>
        <w:tab/>
        <w:t xml:space="preserve">Section 43 of the Legal Practice Act </w:t>
      </w:r>
      <w:r w:rsidR="004D5DDE">
        <w:rPr>
          <w:u w:val="none"/>
          <w:lang w:val="en-ZA"/>
        </w:rPr>
        <w:t xml:space="preserve">28 of 2014 </w:t>
      </w:r>
      <w:r w:rsidR="00C10D79">
        <w:rPr>
          <w:u w:val="none"/>
          <w:lang w:val="en-ZA"/>
        </w:rPr>
        <w:t>provides:</w:t>
      </w:r>
    </w:p>
    <w:p w:rsidR="00C10D79" w:rsidRPr="00C10D79" w:rsidRDefault="00C10D79" w:rsidP="00C10D79">
      <w:pPr>
        <w:rPr>
          <w:rFonts w:ascii="Verdana" w:hAnsi="Verdana" w:cs="Times New Roman"/>
          <w:b/>
          <w:bCs/>
          <w:color w:val="000000"/>
          <w:sz w:val="20"/>
          <w:szCs w:val="20"/>
          <w:u w:val="none"/>
          <w:lang w:val="en-ZA" w:eastAsia="en-ZA"/>
        </w:rPr>
      </w:pPr>
      <w:r>
        <w:rPr>
          <w:u w:val="none"/>
          <w:lang w:val="en-ZA"/>
        </w:rPr>
        <w:tab/>
      </w:r>
      <w:r>
        <w:rPr>
          <w:u w:val="none"/>
          <w:lang w:val="en-ZA"/>
        </w:rPr>
        <w:tab/>
      </w:r>
    </w:p>
    <w:p w:rsidR="00C10D79" w:rsidRDefault="00C10D79" w:rsidP="00C10D79">
      <w:pPr>
        <w:spacing w:line="360" w:lineRule="auto"/>
        <w:ind w:left="1440"/>
        <w:jc w:val="both"/>
        <w:rPr>
          <w:color w:val="000000"/>
          <w:sz w:val="22"/>
          <w:szCs w:val="22"/>
          <w:u w:val="none"/>
          <w:lang w:val="en-ZA" w:eastAsia="en-ZA"/>
        </w:rPr>
      </w:pPr>
      <w:r>
        <w:rPr>
          <w:color w:val="000000"/>
          <w:sz w:val="22"/>
          <w:szCs w:val="22"/>
          <w:u w:val="none"/>
          <w:lang w:val="en-ZA" w:eastAsia="en-ZA"/>
        </w:rPr>
        <w:t>“</w:t>
      </w:r>
      <w:r w:rsidRPr="00C10D79">
        <w:rPr>
          <w:color w:val="000000"/>
          <w:sz w:val="22"/>
          <w:szCs w:val="22"/>
          <w:u w:val="none"/>
          <w:lang w:val="en-ZA" w:eastAsia="en-ZA"/>
        </w:rPr>
        <w:t>Despite the provisions of this Chapter, if upon considering a complaint, a disciplinary body is satisfied that a legal practitioner has misappropriated trust monies or is guilty of other serious misconduct, it must inform the Council thereof with the view to the Council instituting urgent legal proceedings in the High Court to suspend the legal practitioner from practice and to obtain alternative interim relief.</w:t>
      </w:r>
      <w:r>
        <w:rPr>
          <w:color w:val="000000"/>
          <w:sz w:val="22"/>
          <w:szCs w:val="22"/>
          <w:u w:val="none"/>
          <w:lang w:val="en-ZA" w:eastAsia="en-ZA"/>
        </w:rPr>
        <w:t>”</w:t>
      </w:r>
    </w:p>
    <w:p w:rsidR="00C10D79" w:rsidRDefault="00C10D79" w:rsidP="00C10D79">
      <w:pPr>
        <w:spacing w:line="360" w:lineRule="auto"/>
        <w:jc w:val="both"/>
        <w:rPr>
          <w:color w:val="000000"/>
          <w:sz w:val="22"/>
          <w:szCs w:val="22"/>
          <w:u w:val="none"/>
          <w:lang w:val="en-ZA" w:eastAsia="en-ZA"/>
        </w:rPr>
      </w:pPr>
    </w:p>
    <w:p w:rsidR="00A56593" w:rsidRPr="00C10D79" w:rsidRDefault="00C80A5D" w:rsidP="00C10D79">
      <w:pPr>
        <w:autoSpaceDE w:val="0"/>
        <w:autoSpaceDN w:val="0"/>
        <w:adjustRightInd w:val="0"/>
        <w:spacing w:line="360" w:lineRule="auto"/>
        <w:ind w:left="720" w:hanging="720"/>
        <w:jc w:val="both"/>
        <w:rPr>
          <w:u w:val="none"/>
        </w:rPr>
      </w:pPr>
      <w:r>
        <w:rPr>
          <w:color w:val="000000"/>
          <w:sz w:val="22"/>
          <w:szCs w:val="22"/>
          <w:u w:val="none"/>
          <w:lang w:val="en-ZA" w:eastAsia="en-ZA"/>
        </w:rPr>
        <w:lastRenderedPageBreak/>
        <w:t>[9</w:t>
      </w:r>
      <w:r w:rsidR="00C10D79">
        <w:rPr>
          <w:color w:val="000000"/>
          <w:sz w:val="22"/>
          <w:szCs w:val="22"/>
          <w:u w:val="none"/>
          <w:lang w:val="en-ZA" w:eastAsia="en-ZA"/>
        </w:rPr>
        <w:t>]</w:t>
      </w:r>
      <w:r w:rsidR="00C10D79">
        <w:rPr>
          <w:color w:val="000000"/>
          <w:sz w:val="22"/>
          <w:szCs w:val="22"/>
          <w:u w:val="none"/>
          <w:lang w:val="en-ZA" w:eastAsia="en-ZA"/>
        </w:rPr>
        <w:tab/>
      </w:r>
      <w:r w:rsidR="00C10D79">
        <w:rPr>
          <w:color w:val="000000"/>
          <w:u w:val="none"/>
          <w:lang w:val="en-ZA" w:eastAsia="en-ZA"/>
        </w:rPr>
        <w:t xml:space="preserve">In the </w:t>
      </w:r>
      <w:r w:rsidR="00A56593" w:rsidRPr="00C10D79">
        <w:rPr>
          <w:u w:val="none"/>
        </w:rPr>
        <w:t xml:space="preserve">matter of </w:t>
      </w:r>
      <w:r w:rsidR="00C10D79" w:rsidRPr="00C10D79">
        <w:rPr>
          <w:i/>
          <w:u w:val="none"/>
        </w:rPr>
        <w:t>The Law Society of the Northern Provinces v Morobadi</w:t>
      </w:r>
      <w:r w:rsidR="00C10D79" w:rsidRPr="00C10D79">
        <w:rPr>
          <w:u w:val="none"/>
        </w:rPr>
        <w:t xml:space="preserve"> (1151/2017) [2018] ZASCA 185 (11 December 2018) </w:t>
      </w:r>
      <w:r w:rsidR="00C10D79">
        <w:rPr>
          <w:u w:val="none"/>
        </w:rPr>
        <w:t xml:space="preserve">at </w:t>
      </w:r>
      <w:r w:rsidR="00C10D79" w:rsidRPr="00C10D79">
        <w:rPr>
          <w:u w:val="none"/>
        </w:rPr>
        <w:t>paragraph 5</w:t>
      </w:r>
      <w:r w:rsidR="00C10D79">
        <w:rPr>
          <w:u w:val="none"/>
        </w:rPr>
        <w:t xml:space="preserve">, the Court </w:t>
      </w:r>
      <w:r w:rsidR="00C2254A">
        <w:rPr>
          <w:u w:val="none"/>
        </w:rPr>
        <w:t>held:</w:t>
      </w:r>
    </w:p>
    <w:p w:rsidR="00A56593" w:rsidRPr="00E14A62" w:rsidRDefault="00E14A62" w:rsidP="00E14A62">
      <w:pPr>
        <w:autoSpaceDE w:val="0"/>
        <w:autoSpaceDN w:val="0"/>
        <w:adjustRightInd w:val="0"/>
        <w:spacing w:line="360" w:lineRule="auto"/>
        <w:ind w:left="1440"/>
        <w:jc w:val="both"/>
        <w:rPr>
          <w:sz w:val="22"/>
          <w:szCs w:val="22"/>
          <w:u w:val="none"/>
        </w:rPr>
      </w:pPr>
      <w:r w:rsidRPr="00E14A62">
        <w:rPr>
          <w:sz w:val="22"/>
          <w:szCs w:val="22"/>
          <w:u w:val="none"/>
        </w:rPr>
        <w:t>“</w:t>
      </w:r>
      <w:r w:rsidR="00A56593" w:rsidRPr="00E14A62">
        <w:rPr>
          <w:sz w:val="22"/>
          <w:szCs w:val="22"/>
          <w:u w:val="none"/>
        </w:rPr>
        <w:t>It is now settled that an application for the removal from the roll, or suspension from practice, of an attorney involves a three-stage enquiry. First, the court has to determine whether the alleged offending conduct has been established on a balance of probabilities. It is a factual</w:t>
      </w:r>
      <w:r w:rsidRPr="00E14A62">
        <w:rPr>
          <w:sz w:val="22"/>
          <w:szCs w:val="22"/>
          <w:u w:val="none"/>
        </w:rPr>
        <w:t xml:space="preserve"> </w:t>
      </w:r>
      <w:r w:rsidR="00A56593" w:rsidRPr="00E14A62">
        <w:rPr>
          <w:sz w:val="22"/>
          <w:szCs w:val="22"/>
          <w:u w:val="none"/>
        </w:rPr>
        <w:t>enquiry. Second, consideration must be given to the question whether, in the discretion of the court, the person concerned is not 'a fit and proper person to continue to practice as an attorney'. This involves a weighing up of the conduct complained of against the conduct expected of an attorney and is a value judgment. Third, the court is required to consider whether, in light of all the circumstances, the name of the attorney concerned should be removed from the roll of attorneys or whether an order suspending him or her from practice would suffice.</w:t>
      </w:r>
      <w:r>
        <w:rPr>
          <w:sz w:val="22"/>
          <w:szCs w:val="22"/>
          <w:u w:val="none"/>
        </w:rPr>
        <w:t>”</w:t>
      </w:r>
    </w:p>
    <w:p w:rsidR="00410BCD" w:rsidRDefault="00410BCD" w:rsidP="00F3309A">
      <w:pPr>
        <w:tabs>
          <w:tab w:val="right" w:pos="0"/>
        </w:tabs>
        <w:spacing w:line="360" w:lineRule="auto"/>
        <w:jc w:val="both"/>
        <w:rPr>
          <w:u w:val="none"/>
          <w:lang w:val="en-ZA"/>
        </w:rPr>
      </w:pPr>
    </w:p>
    <w:p w:rsidR="00E14A62" w:rsidRDefault="00C80A5D" w:rsidP="004E0C05">
      <w:pPr>
        <w:autoSpaceDE w:val="0"/>
        <w:autoSpaceDN w:val="0"/>
        <w:adjustRightInd w:val="0"/>
        <w:spacing w:line="360" w:lineRule="auto"/>
        <w:ind w:left="720" w:hanging="720"/>
        <w:jc w:val="both"/>
        <w:rPr>
          <w:u w:val="none"/>
          <w:shd w:val="clear" w:color="auto" w:fill="FFFFFF"/>
        </w:rPr>
      </w:pPr>
      <w:r>
        <w:rPr>
          <w:u w:val="none"/>
          <w:lang w:val="en-ZA"/>
        </w:rPr>
        <w:t>[10</w:t>
      </w:r>
      <w:r w:rsidR="00792BFF">
        <w:rPr>
          <w:u w:val="none"/>
          <w:lang w:val="en-ZA"/>
        </w:rPr>
        <w:t>]</w:t>
      </w:r>
      <w:r w:rsidR="00E14A62">
        <w:rPr>
          <w:u w:val="none"/>
          <w:lang w:val="en-ZA"/>
        </w:rPr>
        <w:tab/>
      </w:r>
      <w:r w:rsidR="00E14A62" w:rsidRPr="00E14A62">
        <w:rPr>
          <w:u w:val="none"/>
          <w:lang w:val="en-ZA"/>
        </w:rPr>
        <w:t xml:space="preserve">The value judgment evident in the second stage of the enquiry was highlighted in </w:t>
      </w:r>
      <w:r w:rsidR="00E14A62" w:rsidRPr="00E14A62">
        <w:rPr>
          <w:i/>
          <w:iCs/>
          <w:u w:val="none"/>
          <w:shd w:val="clear" w:color="auto" w:fill="FFFFFF"/>
        </w:rPr>
        <w:t>Summerley v Law Society, Northern Provinces </w:t>
      </w:r>
      <w:hyperlink r:id="rId10" w:tooltip="View Case" w:history="1">
        <w:r w:rsidR="00E14A62" w:rsidRPr="00E14A62">
          <w:rPr>
            <w:rStyle w:val="Hyperlink"/>
            <w:bCs/>
            <w:color w:val="auto"/>
            <w:u w:val="none"/>
            <w:shd w:val="clear" w:color="auto" w:fill="FFFFFF"/>
          </w:rPr>
          <w:t>[2006] ZA</w:t>
        </w:r>
        <w:r w:rsidR="00E14A62">
          <w:rPr>
            <w:rStyle w:val="Hyperlink"/>
            <w:bCs/>
            <w:color w:val="auto"/>
            <w:u w:val="none"/>
            <w:shd w:val="clear" w:color="auto" w:fill="FFFFFF"/>
          </w:rPr>
          <w:t xml:space="preserve"> </w:t>
        </w:r>
        <w:r w:rsidR="00E14A62" w:rsidRPr="00E14A62">
          <w:rPr>
            <w:rStyle w:val="Hyperlink"/>
            <w:bCs/>
            <w:color w:val="auto"/>
            <w:u w:val="none"/>
            <w:shd w:val="clear" w:color="auto" w:fill="FFFFFF"/>
          </w:rPr>
          <w:t>SCA 59</w:t>
        </w:r>
      </w:hyperlink>
      <w:r w:rsidR="00E14A62" w:rsidRPr="00E14A62">
        <w:rPr>
          <w:u w:val="none"/>
          <w:shd w:val="clear" w:color="auto" w:fill="FFFFFF"/>
        </w:rPr>
        <w:t>; </w:t>
      </w:r>
      <w:hyperlink r:id="rId11" w:tooltip="View LawCiteRecord" w:history="1">
        <w:r w:rsidR="00E14A62" w:rsidRPr="00E14A62">
          <w:rPr>
            <w:rStyle w:val="Hyperlink"/>
            <w:bCs/>
            <w:color w:val="auto"/>
            <w:u w:val="none"/>
            <w:shd w:val="clear" w:color="auto" w:fill="FFFFFF"/>
          </w:rPr>
          <w:t>2006 (5) SA 613</w:t>
        </w:r>
      </w:hyperlink>
      <w:r w:rsidR="00E14A62" w:rsidRPr="00E14A62">
        <w:rPr>
          <w:u w:val="none"/>
          <w:shd w:val="clear" w:color="auto" w:fill="FFFFFF"/>
        </w:rPr>
        <w:t> (SCA) at paragraph 2</w:t>
      </w:r>
      <w:r w:rsidR="00E14A62">
        <w:rPr>
          <w:u w:val="none"/>
          <w:shd w:val="clear" w:color="auto" w:fill="FFFFFF"/>
        </w:rPr>
        <w:t>. The Court held:</w:t>
      </w:r>
    </w:p>
    <w:p w:rsidR="00A56593" w:rsidRPr="00E14A62" w:rsidRDefault="00E14A62" w:rsidP="004E0C05">
      <w:pPr>
        <w:autoSpaceDE w:val="0"/>
        <w:autoSpaceDN w:val="0"/>
        <w:adjustRightInd w:val="0"/>
        <w:spacing w:line="360" w:lineRule="auto"/>
        <w:ind w:left="1440"/>
        <w:jc w:val="both"/>
        <w:rPr>
          <w:sz w:val="22"/>
          <w:szCs w:val="22"/>
          <w:u w:val="none"/>
        </w:rPr>
      </w:pPr>
      <w:r>
        <w:rPr>
          <w:u w:val="none"/>
          <w:shd w:val="clear" w:color="auto" w:fill="FFFFFF"/>
        </w:rPr>
        <w:t>“</w:t>
      </w:r>
      <w:r w:rsidRPr="00E14A62">
        <w:rPr>
          <w:sz w:val="22"/>
          <w:szCs w:val="22"/>
          <w:u w:val="none"/>
        </w:rPr>
        <w:t>The first enquiry is aimed at determining whether the law society has established the offending conduct upon which it relies, on a balance of probabilities. The second question is whether, in the light of the misconduct thus established, the attorney concerned is not a 'fit and proper person to continue to practise as an attorney'. Although this has not always been the position, s 22(1)</w:t>
      </w:r>
      <w:r w:rsidRPr="00E14A62">
        <w:rPr>
          <w:i/>
          <w:iCs/>
          <w:sz w:val="22"/>
          <w:szCs w:val="22"/>
          <w:u w:val="none"/>
        </w:rPr>
        <w:t>(d)</w:t>
      </w:r>
      <w:r w:rsidRPr="00E14A62">
        <w:rPr>
          <w:sz w:val="22"/>
          <w:szCs w:val="22"/>
          <w:u w:val="none"/>
        </w:rPr>
        <w:t> now expressly provides that the determination of the second issue requires an exercise of its discretion by the Court (see eg </w:t>
      </w:r>
      <w:r w:rsidRPr="00E14A62">
        <w:rPr>
          <w:i/>
          <w:iCs/>
          <w:sz w:val="22"/>
          <w:szCs w:val="22"/>
          <w:u w:val="none"/>
        </w:rPr>
        <w:t>A v Law Society of the Cape of Good Hope</w:t>
      </w:r>
      <w:r w:rsidRPr="00E14A62">
        <w:rPr>
          <w:sz w:val="22"/>
          <w:szCs w:val="22"/>
          <w:u w:val="none"/>
        </w:rPr>
        <w:t> </w:t>
      </w:r>
      <w:hyperlink r:id="rId12" w:tgtFrame="main" w:history="1">
        <w:r w:rsidRPr="00E14A62">
          <w:rPr>
            <w:rStyle w:val="Hyperlink"/>
            <w:color w:val="auto"/>
            <w:sz w:val="22"/>
            <w:szCs w:val="22"/>
            <w:u w:val="none"/>
          </w:rPr>
          <w:t>1989 (1) SA 849 (A)</w:t>
        </w:r>
      </w:hyperlink>
      <w:r w:rsidRPr="00E14A62">
        <w:rPr>
          <w:sz w:val="22"/>
          <w:szCs w:val="22"/>
          <w:u w:val="none"/>
        </w:rPr>
        <w:t> at 851C - E). As was pointed out by Scott JA in </w:t>
      </w:r>
      <w:r w:rsidRPr="00E14A62">
        <w:rPr>
          <w:i/>
          <w:iCs/>
          <w:sz w:val="22"/>
          <w:szCs w:val="22"/>
          <w:u w:val="none"/>
        </w:rPr>
        <w:t>Jasat</w:t>
      </w:r>
      <w:r w:rsidRPr="00E14A62">
        <w:rPr>
          <w:sz w:val="22"/>
          <w:szCs w:val="22"/>
          <w:u w:val="none"/>
        </w:rPr>
        <w:t> (at 51E - F), the exercise of the discretion at the second stage 'involves, in reality, a weighing up of the conduct complained of against the conduct expected of an attorney and, to this extent, a value judgment' (see also, eg, </w:t>
      </w:r>
      <w:r w:rsidRPr="00E14A62">
        <w:rPr>
          <w:i/>
          <w:iCs/>
          <w:sz w:val="22"/>
          <w:szCs w:val="22"/>
          <w:u w:val="none"/>
        </w:rPr>
        <w:t>Budricks (supra</w:t>
      </w:r>
      <w:r w:rsidRPr="00E14A62">
        <w:rPr>
          <w:sz w:val="22"/>
          <w:szCs w:val="22"/>
          <w:u w:val="none"/>
        </w:rPr>
        <w:t xml:space="preserve">) at 14A). The third enquiry again requires the Court to exercise a discretion. At this stage the Court must decide, in the exercise of its discretion, whether the person who has been found not to be a fit and proper person to practise as an attorney deserves the </w:t>
      </w:r>
      <w:r w:rsidRPr="00E14A62">
        <w:rPr>
          <w:sz w:val="22"/>
          <w:szCs w:val="22"/>
          <w:u w:val="none"/>
        </w:rPr>
        <w:lastRenderedPageBreak/>
        <w:t>ultimate penalty of being struck from the roll or whether an order of suspension from practice will suffice.</w:t>
      </w:r>
      <w:r>
        <w:rPr>
          <w:sz w:val="22"/>
          <w:szCs w:val="22"/>
          <w:u w:val="none"/>
        </w:rPr>
        <w:t>”</w:t>
      </w:r>
      <w:r w:rsidRPr="00E14A62">
        <w:rPr>
          <w:sz w:val="22"/>
          <w:szCs w:val="22"/>
          <w:u w:val="none"/>
          <w:shd w:val="clear" w:color="auto" w:fill="FFFFFF"/>
        </w:rPr>
        <w:t> </w:t>
      </w:r>
      <w:r w:rsidRPr="00E14A62">
        <w:rPr>
          <w:sz w:val="22"/>
          <w:szCs w:val="22"/>
          <w:u w:val="none"/>
          <w:lang w:val="en-ZA"/>
        </w:rPr>
        <w:t xml:space="preserve"> </w:t>
      </w:r>
      <w:r w:rsidR="00A56593" w:rsidRPr="00E14A62">
        <w:rPr>
          <w:sz w:val="22"/>
          <w:szCs w:val="22"/>
          <w:u w:val="none"/>
        </w:rPr>
        <w:t xml:space="preserve"> </w:t>
      </w:r>
    </w:p>
    <w:p w:rsidR="00A56593" w:rsidRDefault="00A56593" w:rsidP="00A56593">
      <w:pPr>
        <w:autoSpaceDE w:val="0"/>
        <w:autoSpaceDN w:val="0"/>
        <w:adjustRightInd w:val="0"/>
        <w:spacing w:line="276" w:lineRule="auto"/>
        <w:jc w:val="both"/>
      </w:pPr>
    </w:p>
    <w:p w:rsidR="00856BFD" w:rsidRDefault="000B2E89" w:rsidP="00F3309A">
      <w:pPr>
        <w:tabs>
          <w:tab w:val="right" w:pos="0"/>
        </w:tabs>
        <w:spacing w:line="360" w:lineRule="auto"/>
        <w:jc w:val="both"/>
        <w:rPr>
          <w:b/>
          <w:u w:val="none"/>
          <w:lang w:val="en-ZA"/>
        </w:rPr>
      </w:pPr>
      <w:r>
        <w:rPr>
          <w:b/>
          <w:u w:val="none"/>
          <w:lang w:val="en-ZA"/>
        </w:rPr>
        <w:tab/>
      </w:r>
      <w:r w:rsidR="00856BFD">
        <w:rPr>
          <w:b/>
          <w:u w:val="none"/>
          <w:lang w:val="en-ZA"/>
        </w:rPr>
        <w:t>URGENCY</w:t>
      </w:r>
    </w:p>
    <w:p w:rsidR="00792BFF" w:rsidRDefault="00C80A5D" w:rsidP="004D5DDE">
      <w:pPr>
        <w:tabs>
          <w:tab w:val="right" w:pos="0"/>
        </w:tabs>
        <w:spacing w:line="360" w:lineRule="auto"/>
        <w:ind w:left="720" w:hanging="720"/>
        <w:jc w:val="both"/>
        <w:rPr>
          <w:u w:val="none"/>
          <w:lang w:val="en-ZA"/>
        </w:rPr>
      </w:pPr>
      <w:r>
        <w:rPr>
          <w:u w:val="none"/>
          <w:lang w:val="en-ZA"/>
        </w:rPr>
        <w:t>[11</w:t>
      </w:r>
      <w:r w:rsidR="00792BFF">
        <w:rPr>
          <w:u w:val="none"/>
          <w:lang w:val="en-ZA"/>
        </w:rPr>
        <w:t>]</w:t>
      </w:r>
      <w:r w:rsidR="001B2DEB">
        <w:rPr>
          <w:u w:val="none"/>
          <w:lang w:val="en-ZA"/>
        </w:rPr>
        <w:tab/>
      </w:r>
      <w:r w:rsidR="004D5DDE">
        <w:rPr>
          <w:u w:val="none"/>
          <w:lang w:val="en-ZA"/>
        </w:rPr>
        <w:t xml:space="preserve">The applicant has approached this court relying on section 43 of the Legal Practice Act. The issue of urgency was opposed by the respondent on the basis that the applicant resolved in </w:t>
      </w:r>
      <w:r w:rsidR="001B2DEB">
        <w:rPr>
          <w:u w:val="none"/>
          <w:lang w:val="en-ZA"/>
        </w:rPr>
        <w:t xml:space="preserve">on 6 </w:t>
      </w:r>
      <w:r w:rsidR="004D5DDE">
        <w:rPr>
          <w:u w:val="none"/>
          <w:lang w:val="en-ZA"/>
        </w:rPr>
        <w:t>August 2021, a month after the invest</w:t>
      </w:r>
      <w:r w:rsidR="001B2DEB">
        <w:rPr>
          <w:u w:val="none"/>
          <w:lang w:val="en-ZA"/>
        </w:rPr>
        <w:t>igation and report was considered by it</w:t>
      </w:r>
      <w:r w:rsidR="004D5DDE">
        <w:rPr>
          <w:u w:val="none"/>
          <w:lang w:val="en-ZA"/>
        </w:rPr>
        <w:t xml:space="preserve"> to seek </w:t>
      </w:r>
      <w:r w:rsidR="001B2DEB">
        <w:rPr>
          <w:u w:val="none"/>
          <w:lang w:val="en-ZA"/>
        </w:rPr>
        <w:t xml:space="preserve">relief. </w:t>
      </w:r>
      <w:r w:rsidR="004D5DDE">
        <w:rPr>
          <w:u w:val="none"/>
          <w:lang w:val="en-ZA"/>
        </w:rPr>
        <w:t xml:space="preserve"> The respondent</w:t>
      </w:r>
      <w:r w:rsidR="001B2DEB">
        <w:rPr>
          <w:u w:val="none"/>
          <w:lang w:val="en-ZA"/>
        </w:rPr>
        <w:t>s argue</w:t>
      </w:r>
      <w:r w:rsidR="004D5DDE">
        <w:rPr>
          <w:u w:val="none"/>
          <w:lang w:val="en-ZA"/>
        </w:rPr>
        <w:t xml:space="preserve"> that there has been a delay in pursuing the matt</w:t>
      </w:r>
      <w:r w:rsidR="001B2DEB">
        <w:rPr>
          <w:u w:val="none"/>
          <w:lang w:val="en-ZA"/>
        </w:rPr>
        <w:t>er and the issue cannot thus</w:t>
      </w:r>
      <w:r w:rsidR="004D5DDE">
        <w:rPr>
          <w:u w:val="none"/>
          <w:lang w:val="en-ZA"/>
        </w:rPr>
        <w:t xml:space="preserve"> be urgent. </w:t>
      </w:r>
      <w:r w:rsidR="00CD68AA">
        <w:rPr>
          <w:u w:val="none"/>
          <w:lang w:val="en-ZA"/>
        </w:rPr>
        <w:t xml:space="preserve">Furthermore, it was contended on behalf of the respondents that no case was made out for urgency. The first respondent’s previous </w:t>
      </w:r>
      <w:r w:rsidR="00C2254A">
        <w:rPr>
          <w:u w:val="none"/>
          <w:lang w:val="en-ZA"/>
        </w:rPr>
        <w:t>bookkeeper</w:t>
      </w:r>
      <w:r w:rsidR="00CD68AA">
        <w:rPr>
          <w:u w:val="none"/>
          <w:lang w:val="en-ZA"/>
        </w:rPr>
        <w:t xml:space="preserve"> who is alleged </w:t>
      </w:r>
      <w:r w:rsidR="001B2DEB">
        <w:rPr>
          <w:u w:val="none"/>
          <w:lang w:val="en-ZA"/>
        </w:rPr>
        <w:t xml:space="preserve">by Harper </w:t>
      </w:r>
      <w:r w:rsidR="00CD68AA">
        <w:rPr>
          <w:u w:val="none"/>
          <w:lang w:val="en-ZA"/>
        </w:rPr>
        <w:t xml:space="preserve">to have committed </w:t>
      </w:r>
      <w:r w:rsidR="001B2DEB">
        <w:rPr>
          <w:u w:val="none"/>
          <w:lang w:val="en-ZA"/>
        </w:rPr>
        <w:t>the theft h</w:t>
      </w:r>
      <w:r w:rsidR="00CD68AA">
        <w:rPr>
          <w:u w:val="none"/>
          <w:lang w:val="en-ZA"/>
        </w:rPr>
        <w:t xml:space="preserve">as resigned and this </w:t>
      </w:r>
      <w:r w:rsidR="001B2DEB">
        <w:rPr>
          <w:u w:val="none"/>
          <w:lang w:val="en-ZA"/>
        </w:rPr>
        <w:t>fact had</w:t>
      </w:r>
      <w:r w:rsidR="00CD68AA">
        <w:rPr>
          <w:u w:val="none"/>
          <w:lang w:val="en-ZA"/>
        </w:rPr>
        <w:t xml:space="preserve"> be</w:t>
      </w:r>
      <w:r w:rsidR="001B2DEB">
        <w:rPr>
          <w:u w:val="none"/>
          <w:lang w:val="en-ZA"/>
        </w:rPr>
        <w:t>en communicated to the LPC</w:t>
      </w:r>
      <w:r w:rsidR="00CD68AA">
        <w:rPr>
          <w:u w:val="none"/>
          <w:lang w:val="en-ZA"/>
        </w:rPr>
        <w:t xml:space="preserve">. The respondents’ attitude is that the application is premature. </w:t>
      </w:r>
      <w:r w:rsidR="004D5DDE">
        <w:rPr>
          <w:u w:val="none"/>
          <w:lang w:val="en-ZA"/>
        </w:rPr>
        <w:t xml:space="preserve">  </w:t>
      </w:r>
    </w:p>
    <w:p w:rsidR="00CD68AA" w:rsidRDefault="00CD68AA" w:rsidP="00CD68AA">
      <w:pPr>
        <w:tabs>
          <w:tab w:val="right" w:pos="0"/>
        </w:tabs>
        <w:spacing w:line="360" w:lineRule="auto"/>
        <w:jc w:val="both"/>
        <w:rPr>
          <w:u w:val="none"/>
          <w:lang w:val="en-ZA"/>
        </w:rPr>
      </w:pPr>
    </w:p>
    <w:p w:rsidR="00CD68AA" w:rsidRDefault="00C80A5D" w:rsidP="00CD68AA">
      <w:pPr>
        <w:spacing w:line="360" w:lineRule="auto"/>
        <w:ind w:left="720" w:hanging="720"/>
        <w:jc w:val="both"/>
        <w:rPr>
          <w:color w:val="000000"/>
          <w:u w:val="none"/>
          <w:lang w:val="en-ZA" w:eastAsia="en-ZA"/>
        </w:rPr>
      </w:pPr>
      <w:r>
        <w:rPr>
          <w:u w:val="none"/>
          <w:lang w:val="en-ZA"/>
        </w:rPr>
        <w:t>[12</w:t>
      </w:r>
      <w:r w:rsidR="00792BFF">
        <w:rPr>
          <w:u w:val="none"/>
          <w:lang w:val="en-ZA"/>
        </w:rPr>
        <w:t>]</w:t>
      </w:r>
      <w:r w:rsidR="00CD68AA">
        <w:rPr>
          <w:u w:val="none"/>
          <w:lang w:val="en-ZA"/>
        </w:rPr>
        <w:tab/>
        <w:t xml:space="preserve">As section 43 of the </w:t>
      </w:r>
      <w:r w:rsidR="00C2254A">
        <w:rPr>
          <w:u w:val="none"/>
          <w:lang w:val="en-ZA"/>
        </w:rPr>
        <w:t>Legal Practice</w:t>
      </w:r>
      <w:r w:rsidR="00CD68AA">
        <w:rPr>
          <w:u w:val="none"/>
          <w:lang w:val="en-ZA"/>
        </w:rPr>
        <w:t xml:space="preserve"> Act provides</w:t>
      </w:r>
      <w:r w:rsidR="00C2254A">
        <w:rPr>
          <w:u w:val="none"/>
          <w:lang w:val="en-ZA"/>
        </w:rPr>
        <w:t xml:space="preserve"> </w:t>
      </w:r>
      <w:r w:rsidR="00CD68AA">
        <w:rPr>
          <w:u w:val="none"/>
          <w:lang w:val="en-ZA"/>
        </w:rPr>
        <w:t>that</w:t>
      </w:r>
      <w:r w:rsidR="00CD68AA" w:rsidRPr="00C10D79">
        <w:rPr>
          <w:color w:val="000000"/>
          <w:sz w:val="22"/>
          <w:szCs w:val="22"/>
          <w:u w:val="none"/>
          <w:lang w:val="en-ZA" w:eastAsia="en-ZA"/>
        </w:rPr>
        <w:t xml:space="preserve">, </w:t>
      </w:r>
      <w:r w:rsidR="00CD68AA">
        <w:rPr>
          <w:color w:val="000000"/>
          <w:sz w:val="22"/>
          <w:szCs w:val="22"/>
          <w:u w:val="none"/>
          <w:lang w:val="en-ZA" w:eastAsia="en-ZA"/>
        </w:rPr>
        <w:t>[</w:t>
      </w:r>
      <w:r w:rsidR="00CD68AA" w:rsidRPr="00CD68AA">
        <w:rPr>
          <w:i/>
          <w:color w:val="000000"/>
          <w:u w:val="none"/>
          <w:lang w:val="en-ZA" w:eastAsia="en-ZA"/>
        </w:rPr>
        <w:t xml:space="preserve">the disciplinary </w:t>
      </w:r>
      <w:r w:rsidR="00C2254A" w:rsidRPr="00CD68AA">
        <w:rPr>
          <w:i/>
          <w:color w:val="000000"/>
          <w:u w:val="none"/>
          <w:lang w:val="en-ZA" w:eastAsia="en-ZA"/>
        </w:rPr>
        <w:t>body</w:t>
      </w:r>
      <w:r w:rsidR="00C2254A">
        <w:rPr>
          <w:i/>
          <w:color w:val="000000"/>
          <w:u w:val="none"/>
          <w:lang w:val="en-ZA" w:eastAsia="en-ZA"/>
        </w:rPr>
        <w:t>] …</w:t>
      </w:r>
      <w:r w:rsidR="00CD68AA" w:rsidRPr="00CD68AA">
        <w:rPr>
          <w:i/>
          <w:color w:val="000000"/>
          <w:u w:val="none"/>
          <w:lang w:val="en-ZA" w:eastAsia="en-ZA"/>
        </w:rPr>
        <w:t xml:space="preserve"> </w:t>
      </w:r>
      <w:r w:rsidR="00CD68AA" w:rsidRPr="00C10D79">
        <w:rPr>
          <w:i/>
          <w:color w:val="000000"/>
          <w:u w:val="none"/>
          <w:lang w:val="en-ZA" w:eastAsia="en-ZA"/>
        </w:rPr>
        <w:t>it must inform the Council thereof with the view to the Council instituting urgent legal proceedings in the High Court to suspend the legal practitioner from practice and to obtain alternative interim relief.</w:t>
      </w:r>
      <w:r w:rsidR="00CD68AA" w:rsidRPr="00CD68AA">
        <w:rPr>
          <w:i/>
          <w:color w:val="000000"/>
          <w:u w:val="none"/>
          <w:lang w:val="en-ZA" w:eastAsia="en-ZA"/>
        </w:rPr>
        <w:t>”</w:t>
      </w:r>
      <w:r w:rsidR="00CD68AA">
        <w:rPr>
          <w:i/>
          <w:color w:val="000000"/>
          <w:u w:val="none"/>
          <w:lang w:val="en-ZA" w:eastAsia="en-ZA"/>
        </w:rPr>
        <w:t xml:space="preserve">; </w:t>
      </w:r>
      <w:r w:rsidR="00CD68AA" w:rsidRPr="00CD68AA">
        <w:rPr>
          <w:color w:val="000000"/>
          <w:u w:val="none"/>
          <w:lang w:val="en-ZA" w:eastAsia="en-ZA"/>
        </w:rPr>
        <w:t xml:space="preserve">the LPC is not remiss </w:t>
      </w:r>
      <w:r w:rsidR="007A0E46">
        <w:rPr>
          <w:color w:val="000000"/>
          <w:u w:val="none"/>
          <w:lang w:val="en-ZA" w:eastAsia="en-ZA"/>
        </w:rPr>
        <w:t>in approaching this court</w:t>
      </w:r>
      <w:r w:rsidR="001B2DEB">
        <w:rPr>
          <w:color w:val="000000"/>
          <w:u w:val="none"/>
          <w:lang w:val="en-ZA" w:eastAsia="en-ZA"/>
        </w:rPr>
        <w:t>.</w:t>
      </w:r>
      <w:r w:rsidR="00CD68AA">
        <w:rPr>
          <w:color w:val="000000"/>
          <w:u w:val="none"/>
          <w:lang w:val="en-ZA" w:eastAsia="en-ZA"/>
        </w:rPr>
        <w:t xml:space="preserve"> </w:t>
      </w:r>
      <w:r w:rsidR="007A0E46">
        <w:rPr>
          <w:color w:val="000000"/>
          <w:u w:val="none"/>
          <w:lang w:val="en-ZA" w:eastAsia="en-ZA"/>
        </w:rPr>
        <w:t xml:space="preserve">In </w:t>
      </w:r>
      <w:r w:rsidR="00856BFD" w:rsidRPr="00856BFD">
        <w:rPr>
          <w:i/>
          <w:color w:val="000000"/>
          <w:u w:val="none"/>
          <w:lang w:val="en-ZA" w:eastAsia="en-ZA"/>
        </w:rPr>
        <w:t>Morobadi</w:t>
      </w:r>
      <w:r w:rsidR="007A0E46">
        <w:rPr>
          <w:color w:val="000000"/>
          <w:u w:val="none"/>
          <w:lang w:val="en-ZA" w:eastAsia="en-ZA"/>
        </w:rPr>
        <w:t xml:space="preserve"> (supra) at</w:t>
      </w:r>
      <w:r w:rsidR="001B2DEB">
        <w:rPr>
          <w:color w:val="000000"/>
          <w:u w:val="none"/>
          <w:lang w:val="en-ZA" w:eastAsia="en-ZA"/>
        </w:rPr>
        <w:t xml:space="preserve"> para 25 the court expressed this</w:t>
      </w:r>
      <w:r w:rsidR="00856BFD">
        <w:rPr>
          <w:color w:val="000000"/>
          <w:u w:val="none"/>
          <w:lang w:val="en-ZA" w:eastAsia="en-ZA"/>
        </w:rPr>
        <w:t xml:space="preserve"> view:</w:t>
      </w:r>
    </w:p>
    <w:p w:rsidR="00856BFD" w:rsidRDefault="00C2254A" w:rsidP="00856BFD">
      <w:pPr>
        <w:spacing w:line="360" w:lineRule="auto"/>
        <w:ind w:left="1440"/>
        <w:jc w:val="both"/>
        <w:rPr>
          <w:color w:val="242121"/>
          <w:sz w:val="22"/>
          <w:szCs w:val="22"/>
          <w:u w:val="none"/>
          <w:shd w:val="clear" w:color="auto" w:fill="FFFFFF"/>
        </w:rPr>
      </w:pPr>
      <w:r>
        <w:rPr>
          <w:color w:val="242121"/>
          <w:sz w:val="22"/>
          <w:szCs w:val="22"/>
          <w:u w:val="none"/>
          <w:shd w:val="clear" w:color="auto" w:fill="FFFFFF"/>
        </w:rPr>
        <w:t>“</w:t>
      </w:r>
      <w:r w:rsidRPr="00856BFD">
        <w:rPr>
          <w:color w:val="242121"/>
          <w:sz w:val="22"/>
          <w:szCs w:val="22"/>
          <w:u w:val="none"/>
          <w:shd w:val="clear" w:color="auto" w:fill="FFFFFF"/>
        </w:rPr>
        <w:t>In</w:t>
      </w:r>
      <w:r w:rsidR="00856BFD" w:rsidRPr="00856BFD">
        <w:rPr>
          <w:color w:val="242121"/>
          <w:sz w:val="22"/>
          <w:szCs w:val="22"/>
          <w:u w:val="none"/>
          <w:shd w:val="clear" w:color="auto" w:fill="FFFFFF"/>
        </w:rPr>
        <w:t xml:space="preserve"> general it is correct that the Council may proceed with the application for the striking off of the practitioner or for his or her suspension from practice without pursuing a formal charge before a disciplinary committee if in its opinion, having regard to the nature of the charges, a practitioner is no longer considered to be a fit and proper person.</w:t>
      </w:r>
      <w:r w:rsidR="00856BFD">
        <w:rPr>
          <w:color w:val="242121"/>
          <w:sz w:val="22"/>
          <w:szCs w:val="22"/>
          <w:u w:val="none"/>
          <w:shd w:val="clear" w:color="auto" w:fill="FFFFFF"/>
        </w:rPr>
        <w:t>”</w:t>
      </w:r>
    </w:p>
    <w:p w:rsidR="00631440" w:rsidRDefault="00631440" w:rsidP="00856BFD">
      <w:pPr>
        <w:spacing w:line="360" w:lineRule="auto"/>
        <w:ind w:left="720"/>
        <w:jc w:val="both"/>
        <w:rPr>
          <w:color w:val="000000"/>
          <w:u w:val="none"/>
          <w:lang w:val="en-ZA" w:eastAsia="en-ZA"/>
        </w:rPr>
      </w:pPr>
    </w:p>
    <w:p w:rsidR="00856BFD" w:rsidRDefault="00856BFD" w:rsidP="00856BFD">
      <w:pPr>
        <w:spacing w:line="360" w:lineRule="auto"/>
        <w:ind w:left="720"/>
        <w:jc w:val="both"/>
        <w:rPr>
          <w:color w:val="000000"/>
          <w:u w:val="none"/>
          <w:lang w:val="en-ZA" w:eastAsia="en-ZA"/>
        </w:rPr>
      </w:pPr>
      <w:r w:rsidRPr="00856BFD">
        <w:rPr>
          <w:color w:val="000000"/>
          <w:u w:val="none"/>
          <w:lang w:val="en-ZA" w:eastAsia="en-ZA"/>
        </w:rPr>
        <w:t xml:space="preserve">Having regard to the above I am satisfied that the applicants are properly before this Court </w:t>
      </w:r>
      <w:r>
        <w:rPr>
          <w:color w:val="000000"/>
          <w:u w:val="none"/>
          <w:lang w:val="en-ZA" w:eastAsia="en-ZA"/>
        </w:rPr>
        <w:t>on an urgent basis notwit</w:t>
      </w:r>
      <w:r w:rsidR="007A0E46">
        <w:rPr>
          <w:color w:val="000000"/>
          <w:u w:val="none"/>
          <w:lang w:val="en-ZA" w:eastAsia="en-ZA"/>
        </w:rPr>
        <w:t xml:space="preserve">hstanding the delays that occurred </w:t>
      </w:r>
      <w:r>
        <w:rPr>
          <w:color w:val="000000"/>
          <w:u w:val="none"/>
          <w:lang w:val="en-ZA" w:eastAsia="en-ZA"/>
        </w:rPr>
        <w:t xml:space="preserve">from the time the resolution was taken. </w:t>
      </w:r>
      <w:r w:rsidR="00631440">
        <w:rPr>
          <w:color w:val="000000"/>
          <w:u w:val="none"/>
          <w:lang w:val="en-ZA" w:eastAsia="en-ZA"/>
        </w:rPr>
        <w:t xml:space="preserve"> </w:t>
      </w:r>
    </w:p>
    <w:p w:rsidR="005F3B11" w:rsidRDefault="005F3B11" w:rsidP="005F3B11">
      <w:pPr>
        <w:spacing w:line="360" w:lineRule="auto"/>
        <w:jc w:val="both"/>
        <w:rPr>
          <w:color w:val="000000"/>
          <w:u w:val="none"/>
          <w:lang w:val="en-ZA" w:eastAsia="en-ZA"/>
        </w:rPr>
      </w:pPr>
    </w:p>
    <w:p w:rsidR="005F3B11" w:rsidRPr="005F3B11" w:rsidRDefault="00631440" w:rsidP="000B2E89">
      <w:pPr>
        <w:spacing w:line="360" w:lineRule="auto"/>
        <w:ind w:firstLine="720"/>
        <w:jc w:val="both"/>
        <w:rPr>
          <w:b/>
          <w:color w:val="000000"/>
          <w:u w:val="none"/>
          <w:lang w:val="en-ZA" w:eastAsia="en-ZA"/>
        </w:rPr>
      </w:pPr>
      <w:r w:rsidRPr="005F3B11">
        <w:rPr>
          <w:b/>
          <w:color w:val="000000"/>
          <w:u w:val="none"/>
          <w:lang w:val="en-ZA" w:eastAsia="en-ZA"/>
        </w:rPr>
        <w:t>THE RELIEF APPROPRIATE IN THE CIRCUMSTANCES</w:t>
      </w:r>
    </w:p>
    <w:p w:rsidR="00792BFF" w:rsidRPr="00722EFE" w:rsidRDefault="003846FC" w:rsidP="003846FC">
      <w:pPr>
        <w:spacing w:line="360" w:lineRule="auto"/>
        <w:ind w:left="720" w:hanging="720"/>
        <w:jc w:val="both"/>
        <w:rPr>
          <w:b/>
          <w:color w:val="000000"/>
          <w:u w:val="none"/>
          <w:lang w:val="en-ZA" w:eastAsia="en-ZA"/>
        </w:rPr>
      </w:pPr>
      <w:r>
        <w:rPr>
          <w:u w:val="none"/>
          <w:lang w:val="en-ZA"/>
        </w:rPr>
        <w:t xml:space="preserve"> </w:t>
      </w:r>
      <w:r w:rsidR="00856BFD">
        <w:rPr>
          <w:u w:val="none"/>
          <w:lang w:val="en-ZA"/>
        </w:rPr>
        <w:t>[1</w:t>
      </w:r>
      <w:r w:rsidR="00C80A5D">
        <w:rPr>
          <w:u w:val="none"/>
          <w:lang w:val="en-ZA"/>
        </w:rPr>
        <w:t>3</w:t>
      </w:r>
      <w:r w:rsidR="00856BFD">
        <w:rPr>
          <w:u w:val="none"/>
          <w:lang w:val="en-ZA"/>
        </w:rPr>
        <w:t>]</w:t>
      </w:r>
      <w:r w:rsidR="00856BFD">
        <w:rPr>
          <w:u w:val="none"/>
          <w:lang w:val="en-ZA"/>
        </w:rPr>
        <w:tab/>
      </w:r>
      <w:r w:rsidR="00722EFE">
        <w:rPr>
          <w:u w:val="none"/>
          <w:lang w:val="en-ZA"/>
        </w:rPr>
        <w:t>H</w:t>
      </w:r>
      <w:r w:rsidR="00CD68AA">
        <w:rPr>
          <w:u w:val="none"/>
          <w:lang w:val="en-ZA"/>
        </w:rPr>
        <w:t>aving regard to the findings of the investigator</w:t>
      </w:r>
      <w:r w:rsidR="006E014F">
        <w:rPr>
          <w:u w:val="none"/>
          <w:lang w:val="en-ZA"/>
        </w:rPr>
        <w:t xml:space="preserve">, Mr Nyali it must be noted that the LPC has not </w:t>
      </w:r>
      <w:r w:rsidR="00333BCC">
        <w:rPr>
          <w:u w:val="none"/>
          <w:lang w:val="en-ZA"/>
        </w:rPr>
        <w:t xml:space="preserve">yet </w:t>
      </w:r>
      <w:r w:rsidR="006E014F">
        <w:rPr>
          <w:u w:val="none"/>
          <w:lang w:val="en-ZA"/>
        </w:rPr>
        <w:t xml:space="preserve">commenced disciplinary proceedings </w:t>
      </w:r>
      <w:r w:rsidR="006E014F">
        <w:rPr>
          <w:u w:val="none"/>
          <w:lang w:val="en-ZA"/>
        </w:rPr>
        <w:lastRenderedPageBreak/>
        <w:t>against the first and second respon</w:t>
      </w:r>
      <w:r w:rsidR="003D12BC">
        <w:rPr>
          <w:u w:val="none"/>
          <w:lang w:val="en-ZA"/>
        </w:rPr>
        <w:t xml:space="preserve">dents. </w:t>
      </w:r>
      <w:r w:rsidR="006E014F">
        <w:rPr>
          <w:u w:val="none"/>
          <w:lang w:val="en-ZA"/>
        </w:rPr>
        <w:t xml:space="preserve"> Mr Nyali</w:t>
      </w:r>
      <w:r w:rsidR="000B2E89">
        <w:rPr>
          <w:u w:val="none"/>
          <w:lang w:val="en-ZA"/>
        </w:rPr>
        <w:t xml:space="preserve"> failed to secure </w:t>
      </w:r>
      <w:r w:rsidR="005F3B11">
        <w:rPr>
          <w:u w:val="none"/>
          <w:lang w:val="en-ZA"/>
        </w:rPr>
        <w:t xml:space="preserve"> Harper’s</w:t>
      </w:r>
      <w:r w:rsidR="006E014F">
        <w:rPr>
          <w:u w:val="none"/>
          <w:lang w:val="en-ZA"/>
        </w:rPr>
        <w:t xml:space="preserve"> co-operation in securing the </w:t>
      </w:r>
      <w:r w:rsidR="005F3B11">
        <w:rPr>
          <w:u w:val="none"/>
          <w:lang w:val="en-ZA"/>
        </w:rPr>
        <w:t xml:space="preserve">financial </w:t>
      </w:r>
      <w:r w:rsidR="006E014F">
        <w:rPr>
          <w:u w:val="none"/>
          <w:lang w:val="en-ZA"/>
        </w:rPr>
        <w:t>state</w:t>
      </w:r>
      <w:r w:rsidR="005F3B11">
        <w:rPr>
          <w:u w:val="none"/>
          <w:lang w:val="en-ZA"/>
        </w:rPr>
        <w:t xml:space="preserve">ments critical to a full enquiry, in particular, </w:t>
      </w:r>
      <w:r w:rsidR="006E014F">
        <w:rPr>
          <w:u w:val="none"/>
          <w:lang w:val="en-ZA"/>
        </w:rPr>
        <w:t xml:space="preserve">the trust </w:t>
      </w:r>
      <w:r w:rsidR="005F3B11">
        <w:rPr>
          <w:u w:val="none"/>
          <w:lang w:val="en-ZA"/>
        </w:rPr>
        <w:t xml:space="preserve">account and </w:t>
      </w:r>
      <w:r w:rsidR="006E014F">
        <w:rPr>
          <w:u w:val="none"/>
          <w:lang w:val="en-ZA"/>
        </w:rPr>
        <w:t xml:space="preserve">investment </w:t>
      </w:r>
      <w:r w:rsidR="005F3B11">
        <w:rPr>
          <w:u w:val="none"/>
          <w:lang w:val="en-ZA"/>
        </w:rPr>
        <w:t xml:space="preserve">account </w:t>
      </w:r>
      <w:r w:rsidR="006E014F">
        <w:rPr>
          <w:u w:val="none"/>
          <w:lang w:val="en-ZA"/>
        </w:rPr>
        <w:t>bank statements</w:t>
      </w:r>
      <w:r w:rsidR="00333BCC">
        <w:rPr>
          <w:u w:val="none"/>
          <w:lang w:val="en-ZA"/>
        </w:rPr>
        <w:t>.</w:t>
      </w:r>
      <w:r w:rsidR="006E014F">
        <w:rPr>
          <w:u w:val="none"/>
          <w:lang w:val="en-ZA"/>
        </w:rPr>
        <w:t xml:space="preserve"> </w:t>
      </w:r>
      <w:r w:rsidR="005F3B11">
        <w:rPr>
          <w:u w:val="none"/>
          <w:lang w:val="en-ZA"/>
        </w:rPr>
        <w:t>The LPC</w:t>
      </w:r>
      <w:r w:rsidR="006E014F">
        <w:rPr>
          <w:u w:val="none"/>
          <w:lang w:val="en-ZA"/>
        </w:rPr>
        <w:t xml:space="preserve"> was compelled </w:t>
      </w:r>
      <w:r w:rsidR="007F316B">
        <w:rPr>
          <w:u w:val="none"/>
          <w:lang w:val="en-ZA"/>
        </w:rPr>
        <w:t xml:space="preserve">to </w:t>
      </w:r>
      <w:r w:rsidR="006E014F">
        <w:rPr>
          <w:u w:val="none"/>
          <w:lang w:val="en-ZA"/>
        </w:rPr>
        <w:t>subpoena the statements fro</w:t>
      </w:r>
      <w:r w:rsidR="00333BCC">
        <w:rPr>
          <w:u w:val="none"/>
          <w:lang w:val="en-ZA"/>
        </w:rPr>
        <w:t xml:space="preserve">m the bank. </w:t>
      </w:r>
      <w:r w:rsidR="005F3B11">
        <w:rPr>
          <w:u w:val="none"/>
          <w:lang w:val="en-ZA"/>
        </w:rPr>
        <w:t xml:space="preserve">From the information available, </w:t>
      </w:r>
      <w:r w:rsidR="00333BCC">
        <w:rPr>
          <w:u w:val="none"/>
          <w:lang w:val="en-ZA"/>
        </w:rPr>
        <w:t xml:space="preserve">Harper appears to have caused </w:t>
      </w:r>
      <w:r w:rsidR="003C253F">
        <w:rPr>
          <w:u w:val="none"/>
          <w:lang w:val="en-ZA"/>
        </w:rPr>
        <w:t xml:space="preserve">funds </w:t>
      </w:r>
      <w:r w:rsidR="005F3B11">
        <w:rPr>
          <w:u w:val="none"/>
          <w:lang w:val="en-ZA"/>
        </w:rPr>
        <w:t xml:space="preserve">of the complainant </w:t>
      </w:r>
      <w:r w:rsidR="003C253F">
        <w:rPr>
          <w:u w:val="none"/>
          <w:lang w:val="en-ZA"/>
        </w:rPr>
        <w:t xml:space="preserve">from the </w:t>
      </w:r>
      <w:r w:rsidR="0098044F">
        <w:rPr>
          <w:u w:val="none"/>
          <w:lang w:val="en-ZA"/>
        </w:rPr>
        <w:t>i</w:t>
      </w:r>
      <w:r w:rsidR="003C253F">
        <w:rPr>
          <w:u w:val="none"/>
          <w:lang w:val="en-ZA"/>
        </w:rPr>
        <w:t>nvestment account and</w:t>
      </w:r>
      <w:r w:rsidR="006E014F">
        <w:rPr>
          <w:u w:val="none"/>
          <w:lang w:val="en-ZA"/>
        </w:rPr>
        <w:t xml:space="preserve"> </w:t>
      </w:r>
      <w:r w:rsidR="003C253F">
        <w:rPr>
          <w:u w:val="none"/>
          <w:lang w:val="en-ZA"/>
        </w:rPr>
        <w:t>trust account</w:t>
      </w:r>
      <w:r w:rsidR="0098044F">
        <w:rPr>
          <w:u w:val="none"/>
          <w:lang w:val="en-ZA"/>
        </w:rPr>
        <w:t>s</w:t>
      </w:r>
      <w:r w:rsidR="003C253F">
        <w:rPr>
          <w:u w:val="none"/>
          <w:lang w:val="en-ZA"/>
        </w:rPr>
        <w:t xml:space="preserve"> to </w:t>
      </w:r>
      <w:r w:rsidR="000B2E89">
        <w:rPr>
          <w:u w:val="none"/>
          <w:lang w:val="en-ZA"/>
        </w:rPr>
        <w:t xml:space="preserve">be paid to </w:t>
      </w:r>
      <w:r w:rsidR="003C253F">
        <w:rPr>
          <w:u w:val="none"/>
          <w:lang w:val="en-ZA"/>
        </w:rPr>
        <w:t xml:space="preserve">other trust beneficiaries as well as for her own benefit without the approval of the complainant. </w:t>
      </w:r>
      <w:r w:rsidR="005F3B11">
        <w:rPr>
          <w:u w:val="none"/>
          <w:lang w:val="en-ZA"/>
        </w:rPr>
        <w:t>These tr</w:t>
      </w:r>
      <w:r w:rsidR="007F316B">
        <w:rPr>
          <w:u w:val="none"/>
          <w:lang w:val="en-ZA"/>
        </w:rPr>
        <w:t xml:space="preserve">ansfers </w:t>
      </w:r>
      <w:r w:rsidR="009570B1">
        <w:rPr>
          <w:u w:val="none"/>
          <w:lang w:val="en-ZA"/>
        </w:rPr>
        <w:t xml:space="preserve">were plainly unauthorized and </w:t>
      </w:r>
      <w:r w:rsidR="007F316B">
        <w:rPr>
          <w:u w:val="none"/>
          <w:lang w:val="en-ZA"/>
        </w:rPr>
        <w:t xml:space="preserve">reduced </w:t>
      </w:r>
      <w:r>
        <w:rPr>
          <w:u w:val="none"/>
          <w:lang w:val="en-ZA"/>
        </w:rPr>
        <w:t xml:space="preserve">the interest </w:t>
      </w:r>
      <w:r w:rsidR="009570B1">
        <w:rPr>
          <w:u w:val="none"/>
          <w:lang w:val="en-ZA"/>
        </w:rPr>
        <w:t xml:space="preserve">yield </w:t>
      </w:r>
      <w:r>
        <w:rPr>
          <w:u w:val="none"/>
          <w:lang w:val="en-ZA"/>
        </w:rPr>
        <w:t>the complainant earned on th</w:t>
      </w:r>
      <w:r w:rsidR="00333BCC">
        <w:rPr>
          <w:u w:val="none"/>
          <w:lang w:val="en-ZA"/>
        </w:rPr>
        <w:t>e accounts. Harper</w:t>
      </w:r>
      <w:r>
        <w:rPr>
          <w:u w:val="none"/>
          <w:lang w:val="en-ZA"/>
        </w:rPr>
        <w:t xml:space="preserve"> was instructed to pay the rental from the interest earned on the </w:t>
      </w:r>
      <w:r w:rsidR="00C2254A">
        <w:rPr>
          <w:u w:val="none"/>
          <w:lang w:val="en-ZA"/>
        </w:rPr>
        <w:t>complainant’s</w:t>
      </w:r>
      <w:r>
        <w:rPr>
          <w:u w:val="none"/>
          <w:lang w:val="en-ZA"/>
        </w:rPr>
        <w:t xml:space="preserve"> accounts. </w:t>
      </w:r>
      <w:r w:rsidR="00333BCC">
        <w:rPr>
          <w:u w:val="none"/>
          <w:lang w:val="en-ZA"/>
        </w:rPr>
        <w:t xml:space="preserve">She was thus </w:t>
      </w:r>
      <w:r w:rsidR="009570B1">
        <w:rPr>
          <w:u w:val="none"/>
          <w:lang w:val="en-ZA"/>
        </w:rPr>
        <w:t xml:space="preserve">compelled to use </w:t>
      </w:r>
      <w:r>
        <w:rPr>
          <w:u w:val="none"/>
          <w:lang w:val="en-ZA"/>
        </w:rPr>
        <w:t>the complainant’s capital to pay the monthly rental</w:t>
      </w:r>
      <w:r w:rsidR="000B2E89">
        <w:rPr>
          <w:u w:val="none"/>
          <w:lang w:val="en-ZA"/>
        </w:rPr>
        <w:t xml:space="preserve"> when the interest diminished due to her unauthorised transfers</w:t>
      </w:r>
      <w:r>
        <w:rPr>
          <w:u w:val="none"/>
          <w:lang w:val="en-ZA"/>
        </w:rPr>
        <w:t>. This was not the complainant’s ins</w:t>
      </w:r>
      <w:r w:rsidR="00333BCC">
        <w:rPr>
          <w:u w:val="none"/>
          <w:lang w:val="en-ZA"/>
        </w:rPr>
        <w:t>truction to HPI</w:t>
      </w:r>
      <w:r>
        <w:rPr>
          <w:u w:val="none"/>
          <w:lang w:val="en-ZA"/>
        </w:rPr>
        <w:t xml:space="preserve">. </w:t>
      </w:r>
      <w:r w:rsidR="00333BCC">
        <w:rPr>
          <w:u w:val="none"/>
          <w:lang w:val="en-ZA"/>
        </w:rPr>
        <w:t>Harper’s</w:t>
      </w:r>
      <w:r>
        <w:rPr>
          <w:u w:val="none"/>
          <w:lang w:val="en-ZA"/>
        </w:rPr>
        <w:t xml:space="preserve"> failure to rep</w:t>
      </w:r>
      <w:r w:rsidR="00333BCC">
        <w:rPr>
          <w:u w:val="none"/>
          <w:lang w:val="en-ZA"/>
        </w:rPr>
        <w:t>ort a deficit in her trust account</w:t>
      </w:r>
      <w:r>
        <w:rPr>
          <w:u w:val="none"/>
          <w:lang w:val="en-ZA"/>
        </w:rPr>
        <w:t xml:space="preserve"> was a contravention of the LPC Rules</w:t>
      </w:r>
      <w:r>
        <w:rPr>
          <w:rStyle w:val="FootnoteReference"/>
          <w:u w:val="none"/>
          <w:lang w:val="en-ZA"/>
        </w:rPr>
        <w:footnoteReference w:id="1"/>
      </w:r>
      <w:r w:rsidR="00333BCC">
        <w:rPr>
          <w:u w:val="none"/>
          <w:lang w:val="en-ZA"/>
        </w:rPr>
        <w:t>. When HPI</w:t>
      </w:r>
      <w:r>
        <w:rPr>
          <w:u w:val="none"/>
          <w:lang w:val="en-ZA"/>
        </w:rPr>
        <w:t xml:space="preserve"> used the </w:t>
      </w:r>
      <w:r w:rsidR="00C2254A">
        <w:rPr>
          <w:u w:val="none"/>
          <w:lang w:val="en-ZA"/>
        </w:rPr>
        <w:t>complainant’s</w:t>
      </w:r>
      <w:r>
        <w:rPr>
          <w:u w:val="none"/>
          <w:lang w:val="en-ZA"/>
        </w:rPr>
        <w:t xml:space="preserve"> fund contrary to her instructions this constituted a contravention of the Code of Conduct.</w:t>
      </w:r>
      <w:r>
        <w:rPr>
          <w:rStyle w:val="FootnoteReference"/>
          <w:u w:val="none"/>
          <w:lang w:val="en-ZA"/>
        </w:rPr>
        <w:footnoteReference w:id="2"/>
      </w:r>
    </w:p>
    <w:p w:rsidR="00856BFD" w:rsidRDefault="00856BFD" w:rsidP="00856BFD">
      <w:pPr>
        <w:tabs>
          <w:tab w:val="right" w:pos="0"/>
        </w:tabs>
        <w:spacing w:line="360" w:lineRule="auto"/>
        <w:ind w:left="720" w:hanging="720"/>
        <w:jc w:val="both"/>
        <w:rPr>
          <w:u w:val="none"/>
          <w:lang w:val="en-ZA"/>
        </w:rPr>
      </w:pPr>
      <w:r>
        <w:rPr>
          <w:u w:val="none"/>
          <w:lang w:val="en-ZA"/>
        </w:rPr>
        <w:tab/>
      </w:r>
    </w:p>
    <w:p w:rsidR="001D0C9B" w:rsidRDefault="00792BFF" w:rsidP="001E3CC4">
      <w:pPr>
        <w:tabs>
          <w:tab w:val="right" w:pos="0"/>
        </w:tabs>
        <w:spacing w:line="360" w:lineRule="auto"/>
        <w:ind w:left="720" w:hanging="720"/>
        <w:jc w:val="both"/>
        <w:rPr>
          <w:u w:val="none"/>
        </w:rPr>
      </w:pPr>
      <w:r>
        <w:rPr>
          <w:u w:val="none"/>
          <w:lang w:val="en-ZA"/>
        </w:rPr>
        <w:t>[1</w:t>
      </w:r>
      <w:r w:rsidR="00C80A5D">
        <w:rPr>
          <w:u w:val="none"/>
          <w:lang w:val="en-ZA"/>
        </w:rPr>
        <w:t>4</w:t>
      </w:r>
      <w:r w:rsidR="00856BFD">
        <w:rPr>
          <w:u w:val="none"/>
          <w:lang w:val="en-ZA"/>
        </w:rPr>
        <w:t>]</w:t>
      </w:r>
      <w:r w:rsidR="003846FC">
        <w:rPr>
          <w:u w:val="none"/>
          <w:lang w:val="en-ZA"/>
        </w:rPr>
        <w:tab/>
      </w:r>
      <w:r w:rsidR="001D0C9B">
        <w:rPr>
          <w:u w:val="none"/>
          <w:lang w:val="en-ZA"/>
        </w:rPr>
        <w:t xml:space="preserve">In </w:t>
      </w:r>
      <w:r w:rsidR="001D0C9B">
        <w:rPr>
          <w:i/>
          <w:u w:val="none"/>
        </w:rPr>
        <w:t>Vassen v L</w:t>
      </w:r>
      <w:r w:rsidR="001D0C9B" w:rsidRPr="001D0C9B">
        <w:rPr>
          <w:i/>
          <w:u w:val="none"/>
        </w:rPr>
        <w:t xml:space="preserve">aw Society of the Cape of Good </w:t>
      </w:r>
      <w:r w:rsidR="00C2254A" w:rsidRPr="001D0C9B">
        <w:rPr>
          <w:i/>
          <w:u w:val="none"/>
        </w:rPr>
        <w:t xml:space="preserve">Hope </w:t>
      </w:r>
      <w:r w:rsidR="00C2254A" w:rsidRPr="001D0C9B">
        <w:rPr>
          <w:u w:val="none"/>
        </w:rPr>
        <w:t>1998</w:t>
      </w:r>
      <w:r w:rsidR="001D0C9B" w:rsidRPr="001D0C9B">
        <w:rPr>
          <w:u w:val="none"/>
        </w:rPr>
        <w:t xml:space="preserve"> (4) SA 532 (SCA) at page 537F-G </w:t>
      </w:r>
      <w:r w:rsidR="001D0C9B">
        <w:rPr>
          <w:u w:val="none"/>
        </w:rPr>
        <w:t>the Court noted</w:t>
      </w:r>
      <w:r w:rsidR="001D0C9B" w:rsidRPr="001D0C9B">
        <w:rPr>
          <w:u w:val="none"/>
        </w:rPr>
        <w:t xml:space="preserve">: </w:t>
      </w:r>
    </w:p>
    <w:p w:rsidR="001D0C9B" w:rsidRDefault="001D0C9B" w:rsidP="001D0C9B">
      <w:pPr>
        <w:tabs>
          <w:tab w:val="right" w:pos="0"/>
        </w:tabs>
        <w:spacing w:line="360" w:lineRule="auto"/>
        <w:jc w:val="both"/>
        <w:rPr>
          <w:u w:val="none"/>
          <w:lang w:val="en-ZA"/>
        </w:rPr>
      </w:pPr>
    </w:p>
    <w:p w:rsidR="00792BFF" w:rsidRPr="001D0C9B" w:rsidRDefault="001D0C9B" w:rsidP="001D0C9B">
      <w:pPr>
        <w:tabs>
          <w:tab w:val="right" w:pos="0"/>
        </w:tabs>
        <w:spacing w:line="360" w:lineRule="auto"/>
        <w:ind w:left="1440"/>
        <w:jc w:val="both"/>
        <w:rPr>
          <w:sz w:val="22"/>
          <w:szCs w:val="22"/>
          <w:u w:val="none"/>
          <w:lang w:val="en-ZA"/>
        </w:rPr>
      </w:pPr>
      <w:r>
        <w:rPr>
          <w:u w:val="none"/>
          <w:lang w:val="en-ZA"/>
        </w:rPr>
        <w:t>“I</w:t>
      </w:r>
      <w:r w:rsidRPr="001D0C9B">
        <w:rPr>
          <w:sz w:val="22"/>
          <w:szCs w:val="22"/>
          <w:u w:val="none"/>
          <w:lang w:val="en-ZA"/>
        </w:rPr>
        <w:t xml:space="preserve">n </w:t>
      </w:r>
      <w:r w:rsidRPr="001D0C9B">
        <w:rPr>
          <w:sz w:val="22"/>
          <w:szCs w:val="22"/>
          <w:u w:val="none"/>
        </w:rPr>
        <w:t xml:space="preserve">this regard it must be borne in mind that the profession of an attorney, as of any other officer of the Court, is an honourable profession which demands complete honesty, reliability and integrity from its members; and it is the duty of the respondent Society to ensure, as far as it is able, that its members measure up to the high standards demanded of them. A client who entrusts his affairs to an attorney must be able to rest assured that that attorney is an honourable man who can be trusted to manage his affairs meticulously and honestly. When money is entrusted to an attorney or when money comes to an attorney to be held in trust, the general public is entitled to expect that that money will not be used for any other purpose than that for which it is being </w:t>
      </w:r>
      <w:r w:rsidRPr="001D0C9B">
        <w:rPr>
          <w:sz w:val="22"/>
          <w:szCs w:val="22"/>
          <w:u w:val="none"/>
        </w:rPr>
        <w:lastRenderedPageBreak/>
        <w:t>held, and that it will be available to be paid to the persons on whose behalf it is held whenever it is required.</w:t>
      </w:r>
    </w:p>
    <w:p w:rsidR="001D0C9B" w:rsidRDefault="001D0C9B" w:rsidP="00F3309A">
      <w:pPr>
        <w:tabs>
          <w:tab w:val="right" w:pos="0"/>
        </w:tabs>
        <w:spacing w:line="360" w:lineRule="auto"/>
        <w:jc w:val="both"/>
        <w:rPr>
          <w:u w:val="none"/>
          <w:lang w:val="en-ZA"/>
        </w:rPr>
      </w:pPr>
    </w:p>
    <w:p w:rsidR="00792BFF" w:rsidRDefault="00792BFF" w:rsidP="00056E65">
      <w:pPr>
        <w:tabs>
          <w:tab w:val="right" w:pos="0"/>
        </w:tabs>
        <w:spacing w:line="360" w:lineRule="auto"/>
        <w:ind w:left="720" w:hanging="720"/>
        <w:jc w:val="both"/>
        <w:rPr>
          <w:u w:val="none"/>
          <w:lang w:val="en-ZA"/>
        </w:rPr>
      </w:pPr>
      <w:r>
        <w:rPr>
          <w:u w:val="none"/>
          <w:lang w:val="en-ZA"/>
        </w:rPr>
        <w:t>[1</w:t>
      </w:r>
      <w:r w:rsidR="00C80A5D">
        <w:rPr>
          <w:u w:val="none"/>
          <w:lang w:val="en-ZA"/>
        </w:rPr>
        <w:t>5</w:t>
      </w:r>
      <w:r w:rsidR="00722EFE">
        <w:rPr>
          <w:u w:val="none"/>
          <w:lang w:val="en-ZA"/>
        </w:rPr>
        <w:t>]</w:t>
      </w:r>
      <w:r w:rsidR="001D0C9B">
        <w:rPr>
          <w:u w:val="none"/>
          <w:lang w:val="en-ZA"/>
        </w:rPr>
        <w:tab/>
        <w:t xml:space="preserve">What </w:t>
      </w:r>
      <w:r w:rsidR="009C5B26">
        <w:rPr>
          <w:u w:val="none"/>
          <w:lang w:val="en-ZA"/>
        </w:rPr>
        <w:t xml:space="preserve">the court is required to determine </w:t>
      </w:r>
      <w:r w:rsidR="00056E65">
        <w:rPr>
          <w:u w:val="none"/>
          <w:lang w:val="en-ZA"/>
        </w:rPr>
        <w:t>in light o</w:t>
      </w:r>
      <w:r w:rsidR="001D0C9B">
        <w:rPr>
          <w:u w:val="none"/>
          <w:lang w:val="en-ZA"/>
        </w:rPr>
        <w:t xml:space="preserve">f the above </w:t>
      </w:r>
      <w:r w:rsidR="009C5B26">
        <w:rPr>
          <w:u w:val="none"/>
          <w:lang w:val="en-ZA"/>
        </w:rPr>
        <w:t xml:space="preserve">is whether </w:t>
      </w:r>
      <w:r w:rsidR="005F3B11">
        <w:rPr>
          <w:u w:val="none"/>
          <w:lang w:val="en-ZA"/>
        </w:rPr>
        <w:t>Harper’s</w:t>
      </w:r>
      <w:r w:rsidR="001D0C9B">
        <w:rPr>
          <w:u w:val="none"/>
          <w:lang w:val="en-ZA"/>
        </w:rPr>
        <w:t xml:space="preserve"> conduct is becoming of an attorney. It was argued on </w:t>
      </w:r>
      <w:r w:rsidR="005F3B11">
        <w:rPr>
          <w:u w:val="none"/>
          <w:lang w:val="en-ZA"/>
        </w:rPr>
        <w:t xml:space="preserve">her </w:t>
      </w:r>
      <w:r w:rsidR="00056E65">
        <w:rPr>
          <w:u w:val="none"/>
          <w:lang w:val="en-ZA"/>
        </w:rPr>
        <w:t xml:space="preserve">behalf </w:t>
      </w:r>
      <w:r w:rsidR="001D0C9B">
        <w:rPr>
          <w:u w:val="none"/>
          <w:lang w:val="en-ZA"/>
        </w:rPr>
        <w:t xml:space="preserve">that </w:t>
      </w:r>
      <w:r w:rsidR="005F3B11">
        <w:rPr>
          <w:u w:val="none"/>
          <w:lang w:val="en-ZA"/>
        </w:rPr>
        <w:t xml:space="preserve">she </w:t>
      </w:r>
      <w:r w:rsidR="00056E65">
        <w:rPr>
          <w:u w:val="none"/>
          <w:lang w:val="en-ZA"/>
        </w:rPr>
        <w:t>has not herself behaved improperly but that the debacle in her accounts is due solely to her being the victim of her dishonest bookkeeper. After the fact, she claims she learnt that the bookkeeper had been previously convicted of fraud. She alludes to personal ch</w:t>
      </w:r>
      <w:r w:rsidR="00AB2874">
        <w:rPr>
          <w:u w:val="none"/>
          <w:lang w:val="en-ZA"/>
        </w:rPr>
        <w:t>allenges concerning her mother’</w:t>
      </w:r>
      <w:r w:rsidR="00056E65">
        <w:rPr>
          <w:u w:val="none"/>
          <w:lang w:val="en-ZA"/>
        </w:rPr>
        <w:t xml:space="preserve">s health and untimely death and her own ill health as, at least, contributory factors to explain her unawareness of the course of events. She claims that she </w:t>
      </w:r>
      <w:r w:rsidR="005F3B11">
        <w:rPr>
          <w:u w:val="none"/>
          <w:lang w:val="en-ZA"/>
        </w:rPr>
        <w:t>reported to</w:t>
      </w:r>
      <w:r w:rsidR="00056E65">
        <w:rPr>
          <w:u w:val="none"/>
          <w:lang w:val="en-ZA"/>
        </w:rPr>
        <w:t xml:space="preserve"> the LPC</w:t>
      </w:r>
      <w:r w:rsidR="00FF0E49">
        <w:rPr>
          <w:u w:val="none"/>
          <w:lang w:val="en-ZA"/>
        </w:rPr>
        <w:t xml:space="preserve"> as soon as she became a</w:t>
      </w:r>
      <w:r w:rsidR="005F3B11">
        <w:rPr>
          <w:u w:val="none"/>
          <w:lang w:val="en-ZA"/>
        </w:rPr>
        <w:t>ware that there was something a</w:t>
      </w:r>
      <w:r w:rsidR="00FF0E49">
        <w:rPr>
          <w:u w:val="none"/>
          <w:lang w:val="en-ZA"/>
        </w:rPr>
        <w:t xml:space="preserve">miss with her trust accounts. </w:t>
      </w:r>
    </w:p>
    <w:p w:rsidR="00BD6E59" w:rsidRDefault="00BD6E59" w:rsidP="001D0C9B">
      <w:pPr>
        <w:tabs>
          <w:tab w:val="right" w:pos="0"/>
        </w:tabs>
        <w:spacing w:line="360" w:lineRule="auto"/>
        <w:ind w:left="720" w:hanging="720"/>
        <w:jc w:val="both"/>
        <w:rPr>
          <w:u w:val="none"/>
          <w:lang w:val="en-ZA"/>
        </w:rPr>
      </w:pPr>
    </w:p>
    <w:p w:rsidR="009C5B26" w:rsidRDefault="00C80A5D" w:rsidP="001D0C9B">
      <w:pPr>
        <w:tabs>
          <w:tab w:val="right" w:pos="0"/>
        </w:tabs>
        <w:spacing w:line="360" w:lineRule="auto"/>
        <w:ind w:left="720" w:hanging="720"/>
        <w:jc w:val="both"/>
        <w:rPr>
          <w:u w:val="none"/>
          <w:lang w:val="en-ZA"/>
        </w:rPr>
      </w:pPr>
      <w:r>
        <w:rPr>
          <w:u w:val="none"/>
          <w:lang w:val="en-ZA"/>
        </w:rPr>
        <w:t>[16</w:t>
      </w:r>
      <w:r w:rsidR="00BD6E59">
        <w:rPr>
          <w:u w:val="none"/>
          <w:lang w:val="en-ZA"/>
        </w:rPr>
        <w:t>]</w:t>
      </w:r>
      <w:r w:rsidR="00BD6E59">
        <w:rPr>
          <w:u w:val="none"/>
          <w:lang w:val="en-ZA"/>
        </w:rPr>
        <w:tab/>
      </w:r>
      <w:r w:rsidR="00056E65">
        <w:rPr>
          <w:u w:val="none"/>
          <w:lang w:val="en-ZA"/>
        </w:rPr>
        <w:t>Moreover, she laid stress on the fact that t</w:t>
      </w:r>
      <w:r w:rsidR="00BD6E59">
        <w:rPr>
          <w:u w:val="none"/>
          <w:lang w:val="en-ZA"/>
        </w:rPr>
        <w:t>he com</w:t>
      </w:r>
      <w:r w:rsidR="00056E65">
        <w:rPr>
          <w:u w:val="none"/>
          <w:lang w:val="en-ZA"/>
        </w:rPr>
        <w:t>plaint is the first against the</w:t>
      </w:r>
      <w:r w:rsidR="009C5B26">
        <w:rPr>
          <w:u w:val="none"/>
          <w:lang w:val="en-ZA"/>
        </w:rPr>
        <w:t xml:space="preserve"> </w:t>
      </w:r>
      <w:r w:rsidR="00BD6E59">
        <w:rPr>
          <w:u w:val="none"/>
          <w:lang w:val="en-ZA"/>
        </w:rPr>
        <w:t>respondents in eighteen years</w:t>
      </w:r>
      <w:r w:rsidR="00056E65">
        <w:rPr>
          <w:u w:val="none"/>
          <w:lang w:val="en-ZA"/>
        </w:rPr>
        <w:t xml:space="preserve"> of practice</w:t>
      </w:r>
      <w:r w:rsidR="00BD6E59">
        <w:rPr>
          <w:u w:val="none"/>
          <w:lang w:val="en-ZA"/>
        </w:rPr>
        <w:t xml:space="preserve">. </w:t>
      </w:r>
      <w:r w:rsidR="00056E65">
        <w:rPr>
          <w:u w:val="none"/>
          <w:lang w:val="en-ZA"/>
        </w:rPr>
        <w:t>She also says that the complainant had</w:t>
      </w:r>
      <w:r w:rsidR="006C429D">
        <w:rPr>
          <w:u w:val="none"/>
          <w:lang w:val="en-ZA"/>
        </w:rPr>
        <w:t xml:space="preserve"> entrusted several oth</w:t>
      </w:r>
      <w:r w:rsidR="005F3B11">
        <w:rPr>
          <w:u w:val="none"/>
          <w:lang w:val="en-ZA"/>
        </w:rPr>
        <w:t>er similar transactions to HPI</w:t>
      </w:r>
      <w:r w:rsidR="009C5B26">
        <w:rPr>
          <w:u w:val="none"/>
          <w:lang w:val="en-ZA"/>
        </w:rPr>
        <w:t xml:space="preserve"> without encountering the same problem</w:t>
      </w:r>
      <w:r w:rsidR="006C429D">
        <w:rPr>
          <w:u w:val="none"/>
          <w:lang w:val="en-ZA"/>
        </w:rPr>
        <w:t>. This is the first prob</w:t>
      </w:r>
      <w:r w:rsidR="00B419CB">
        <w:rPr>
          <w:u w:val="none"/>
          <w:lang w:val="en-ZA"/>
        </w:rPr>
        <w:t>lem encountered by the complainant</w:t>
      </w:r>
      <w:r w:rsidR="00056E65">
        <w:rPr>
          <w:u w:val="none"/>
          <w:lang w:val="en-ZA"/>
        </w:rPr>
        <w:t>.</w:t>
      </w:r>
      <w:r w:rsidR="009C5B26">
        <w:rPr>
          <w:u w:val="none"/>
          <w:lang w:val="en-ZA"/>
        </w:rPr>
        <w:t xml:space="preserve"> </w:t>
      </w:r>
      <w:r w:rsidR="00056E65">
        <w:rPr>
          <w:u w:val="none"/>
          <w:lang w:val="en-ZA"/>
        </w:rPr>
        <w:t xml:space="preserve">She points to the </w:t>
      </w:r>
      <w:r w:rsidR="009C5B26">
        <w:rPr>
          <w:u w:val="none"/>
          <w:lang w:val="en-ZA"/>
        </w:rPr>
        <w:t>forensic assessment</w:t>
      </w:r>
      <w:r w:rsidR="00056E65">
        <w:rPr>
          <w:u w:val="none"/>
          <w:lang w:val="en-ZA"/>
        </w:rPr>
        <w:t xml:space="preserve"> still being work in progress.  She has </w:t>
      </w:r>
      <w:r w:rsidR="009C5B26">
        <w:rPr>
          <w:u w:val="none"/>
          <w:lang w:val="en-ZA"/>
        </w:rPr>
        <w:t xml:space="preserve">agreed to subject the practice to a curator until the matter is resolved and the investigation complete. </w:t>
      </w:r>
    </w:p>
    <w:p w:rsidR="00F26435" w:rsidRDefault="00F26435" w:rsidP="001D0C9B">
      <w:pPr>
        <w:tabs>
          <w:tab w:val="right" w:pos="0"/>
        </w:tabs>
        <w:spacing w:line="360" w:lineRule="auto"/>
        <w:ind w:left="720" w:hanging="720"/>
        <w:jc w:val="both"/>
        <w:rPr>
          <w:u w:val="none"/>
          <w:lang w:val="en-ZA"/>
        </w:rPr>
      </w:pPr>
    </w:p>
    <w:p w:rsidR="00F26435" w:rsidRDefault="003D12BC" w:rsidP="001D0C9B">
      <w:pPr>
        <w:tabs>
          <w:tab w:val="right" w:pos="0"/>
        </w:tabs>
        <w:spacing w:line="360" w:lineRule="auto"/>
        <w:ind w:left="720" w:hanging="720"/>
        <w:jc w:val="both"/>
        <w:rPr>
          <w:u w:val="none"/>
          <w:lang w:val="en-ZA"/>
        </w:rPr>
      </w:pPr>
      <w:r>
        <w:rPr>
          <w:u w:val="none"/>
          <w:lang w:val="en-ZA"/>
        </w:rPr>
        <w:t xml:space="preserve"> </w:t>
      </w:r>
      <w:r w:rsidR="00F26435">
        <w:rPr>
          <w:u w:val="none"/>
          <w:lang w:val="en-ZA"/>
        </w:rPr>
        <w:t xml:space="preserve">[17] </w:t>
      </w:r>
      <w:r w:rsidR="00AB2874">
        <w:rPr>
          <w:u w:val="none"/>
          <w:lang w:val="en-ZA"/>
        </w:rPr>
        <w:tab/>
      </w:r>
      <w:r w:rsidR="00E37CC5">
        <w:rPr>
          <w:u w:val="none"/>
          <w:lang w:val="en-ZA"/>
        </w:rPr>
        <w:t>The picture which is apparent from the evidence</w:t>
      </w:r>
      <w:r w:rsidR="00CF0B6C">
        <w:rPr>
          <w:u w:val="none"/>
          <w:lang w:val="en-ZA"/>
        </w:rPr>
        <w:t>,</w:t>
      </w:r>
      <w:r w:rsidR="00E37CC5">
        <w:rPr>
          <w:u w:val="none"/>
          <w:lang w:val="en-ZA"/>
        </w:rPr>
        <w:t xml:space="preserve"> thus far garnered by the investigator</w:t>
      </w:r>
      <w:r w:rsidR="00CF0B6C">
        <w:rPr>
          <w:u w:val="none"/>
          <w:lang w:val="en-ZA"/>
        </w:rPr>
        <w:t>,</w:t>
      </w:r>
      <w:r w:rsidR="00E37CC5">
        <w:rPr>
          <w:u w:val="none"/>
          <w:lang w:val="en-ZA"/>
        </w:rPr>
        <w:t xml:space="preserve"> is plain. It is common cause that a substantial sum of money has been misappropriated. Whether or not the bookkeeper is solely responsible or whether Harper was a knowing participant is not a finding that can be made on affidavit.</w:t>
      </w:r>
      <w:r w:rsidR="00E37CC5" w:rsidRPr="00F26435">
        <w:rPr>
          <w:b/>
          <w:u w:val="none"/>
          <w:lang w:val="en-ZA"/>
        </w:rPr>
        <w:t xml:space="preserve"> </w:t>
      </w:r>
      <w:r w:rsidR="00E37CC5">
        <w:rPr>
          <w:u w:val="none"/>
          <w:lang w:val="en-ZA"/>
        </w:rPr>
        <w:t xml:space="preserve">That issue shall have to be subjected to an enquiry in which Harper and others shall be required to testify.  </w:t>
      </w:r>
      <w:r w:rsidR="00CF0B6C">
        <w:rPr>
          <w:u w:val="none"/>
          <w:lang w:val="en-ZA"/>
        </w:rPr>
        <w:t xml:space="preserve">The prospects of her being guilty of, at least, negligence in the management of HPI are strong, but until that enquiry is complete the totality of the relevant circumstances necessary to determine an appropriate sanction remain matters to be assessed. </w:t>
      </w:r>
      <w:r w:rsidR="00E37CC5">
        <w:rPr>
          <w:u w:val="none"/>
          <w:lang w:val="en-ZA"/>
        </w:rPr>
        <w:t xml:space="preserve">The evidence adduced by the LPC to substantiate its claim that Harper obstructed the </w:t>
      </w:r>
      <w:r w:rsidR="00E37CC5">
        <w:rPr>
          <w:u w:val="none"/>
          <w:lang w:val="en-ZA"/>
        </w:rPr>
        <w:lastRenderedPageBreak/>
        <w:t xml:space="preserve">investigation </w:t>
      </w:r>
      <w:r w:rsidR="00CF0B6C">
        <w:rPr>
          <w:u w:val="none"/>
          <w:lang w:val="en-ZA"/>
        </w:rPr>
        <w:t xml:space="preserve">is strong but is refuted, albeit inadequately. That too must be subjected </w:t>
      </w:r>
      <w:r w:rsidR="00AB2874">
        <w:rPr>
          <w:u w:val="none"/>
          <w:lang w:val="en-ZA"/>
        </w:rPr>
        <w:t>to</w:t>
      </w:r>
      <w:r w:rsidR="00CF0B6C">
        <w:rPr>
          <w:u w:val="none"/>
          <w:lang w:val="en-ZA"/>
        </w:rPr>
        <w:t xml:space="preserve"> an oral enquiry.</w:t>
      </w:r>
      <w:r w:rsidR="00E37CC5">
        <w:rPr>
          <w:u w:val="none"/>
          <w:lang w:val="en-ZA"/>
        </w:rPr>
        <w:t xml:space="preserve"> </w:t>
      </w:r>
    </w:p>
    <w:p w:rsidR="00E37CC5" w:rsidRDefault="00E37CC5" w:rsidP="001D0C9B">
      <w:pPr>
        <w:tabs>
          <w:tab w:val="right" w:pos="0"/>
        </w:tabs>
        <w:spacing w:line="360" w:lineRule="auto"/>
        <w:ind w:left="720" w:hanging="720"/>
        <w:jc w:val="both"/>
        <w:rPr>
          <w:u w:val="none"/>
          <w:lang w:val="en-ZA"/>
        </w:rPr>
      </w:pPr>
    </w:p>
    <w:p w:rsidR="00E37CC5" w:rsidRDefault="00E37CC5" w:rsidP="001D0C9B">
      <w:pPr>
        <w:tabs>
          <w:tab w:val="right" w:pos="0"/>
        </w:tabs>
        <w:spacing w:line="360" w:lineRule="auto"/>
        <w:ind w:left="720" w:hanging="720"/>
        <w:jc w:val="both"/>
        <w:rPr>
          <w:u w:val="none"/>
          <w:lang w:val="en-ZA"/>
        </w:rPr>
      </w:pPr>
      <w:r>
        <w:rPr>
          <w:u w:val="none"/>
          <w:lang w:val="en-ZA"/>
        </w:rPr>
        <w:t xml:space="preserve">[18] </w:t>
      </w:r>
      <w:r>
        <w:rPr>
          <w:u w:val="none"/>
          <w:lang w:val="en-ZA"/>
        </w:rPr>
        <w:tab/>
      </w:r>
      <w:r w:rsidR="00CF0B6C">
        <w:rPr>
          <w:u w:val="none"/>
          <w:lang w:val="en-ZA"/>
        </w:rPr>
        <w:t xml:space="preserve">In my view it is plain that a striking off is not justified at all on these papers. It is further a matter </w:t>
      </w:r>
      <w:r w:rsidR="00AB2874">
        <w:rPr>
          <w:u w:val="none"/>
          <w:lang w:val="en-ZA"/>
        </w:rPr>
        <w:t>of</w:t>
      </w:r>
      <w:r w:rsidR="00CF0B6C">
        <w:rPr>
          <w:u w:val="none"/>
          <w:lang w:val="en-ZA"/>
        </w:rPr>
        <w:t xml:space="preserve"> genuine concern that that suspension may indeed be premature. The evidence does not point to a systematic </w:t>
      </w:r>
      <w:r w:rsidR="00AB2874">
        <w:rPr>
          <w:u w:val="none"/>
          <w:lang w:val="en-ZA"/>
        </w:rPr>
        <w:t>pattern</w:t>
      </w:r>
      <w:r w:rsidR="00CF0B6C">
        <w:rPr>
          <w:u w:val="none"/>
          <w:lang w:val="en-ZA"/>
        </w:rPr>
        <w:t xml:space="preserve"> of defalcations. The appointment of a curator to control the accounts removes the risk of any further mischief and moreover provides the appropriate arrangements to plumb the depths of the history of the accounts.  The future of the firm and its employees</w:t>
      </w:r>
      <w:r w:rsidR="003D12BC">
        <w:rPr>
          <w:u w:val="none"/>
          <w:lang w:val="en-ZA"/>
        </w:rPr>
        <w:t>,</w:t>
      </w:r>
      <w:r w:rsidR="00CF0B6C">
        <w:rPr>
          <w:u w:val="none"/>
          <w:lang w:val="en-ZA"/>
        </w:rPr>
        <w:t xml:space="preserve"> although not a factor that can ever be decisive</w:t>
      </w:r>
      <w:r w:rsidR="003D12BC">
        <w:rPr>
          <w:u w:val="none"/>
          <w:lang w:val="en-ZA"/>
        </w:rPr>
        <w:t>,</w:t>
      </w:r>
      <w:r w:rsidR="00CF0B6C">
        <w:rPr>
          <w:u w:val="none"/>
          <w:lang w:val="en-ZA"/>
        </w:rPr>
        <w:t xml:space="preserve"> is nonetheless germane as regards an interim regime pending the disciplinary enquiry.</w:t>
      </w:r>
    </w:p>
    <w:p w:rsidR="00CF0B6C" w:rsidRDefault="00CF0B6C" w:rsidP="001D0C9B">
      <w:pPr>
        <w:tabs>
          <w:tab w:val="right" w:pos="0"/>
        </w:tabs>
        <w:spacing w:line="360" w:lineRule="auto"/>
        <w:ind w:left="720" w:hanging="720"/>
        <w:jc w:val="both"/>
        <w:rPr>
          <w:u w:val="none"/>
          <w:lang w:val="en-ZA"/>
        </w:rPr>
      </w:pPr>
    </w:p>
    <w:p w:rsidR="00CF0B6C" w:rsidRDefault="00CF0B6C" w:rsidP="001D0C9B">
      <w:pPr>
        <w:tabs>
          <w:tab w:val="right" w:pos="0"/>
        </w:tabs>
        <w:spacing w:line="360" w:lineRule="auto"/>
        <w:ind w:left="720" w:hanging="720"/>
        <w:jc w:val="both"/>
        <w:rPr>
          <w:u w:val="none"/>
          <w:lang w:val="en-ZA"/>
        </w:rPr>
      </w:pPr>
      <w:r>
        <w:rPr>
          <w:u w:val="none"/>
          <w:lang w:val="en-ZA"/>
        </w:rPr>
        <w:t xml:space="preserve">[19] </w:t>
      </w:r>
      <w:r>
        <w:rPr>
          <w:u w:val="none"/>
          <w:lang w:val="en-ZA"/>
        </w:rPr>
        <w:tab/>
        <w:t>The appropriate relief is to allow the practice to continue and appoint a curator to take over the accounts. An order to that effect shall be made.</w:t>
      </w:r>
    </w:p>
    <w:p w:rsidR="00CF0B6C" w:rsidRDefault="00CF0B6C" w:rsidP="001D0C9B">
      <w:pPr>
        <w:tabs>
          <w:tab w:val="right" w:pos="0"/>
        </w:tabs>
        <w:spacing w:line="360" w:lineRule="auto"/>
        <w:ind w:left="720" w:hanging="720"/>
        <w:jc w:val="both"/>
        <w:rPr>
          <w:u w:val="none"/>
          <w:lang w:val="en-ZA"/>
        </w:rPr>
      </w:pPr>
    </w:p>
    <w:p w:rsidR="00CF0B6C" w:rsidRDefault="00CF0B6C" w:rsidP="001D0C9B">
      <w:pPr>
        <w:tabs>
          <w:tab w:val="right" w:pos="0"/>
        </w:tabs>
        <w:spacing w:line="360" w:lineRule="auto"/>
        <w:ind w:left="720" w:hanging="720"/>
        <w:jc w:val="both"/>
        <w:rPr>
          <w:u w:val="none"/>
          <w:lang w:val="en-ZA"/>
        </w:rPr>
      </w:pPr>
      <w:r>
        <w:rPr>
          <w:u w:val="none"/>
          <w:lang w:val="en-ZA"/>
        </w:rPr>
        <w:t>[20]</w:t>
      </w:r>
      <w:r>
        <w:rPr>
          <w:u w:val="none"/>
          <w:lang w:val="en-ZA"/>
        </w:rPr>
        <w:tab/>
      </w:r>
      <w:r w:rsidR="006A6DF9">
        <w:rPr>
          <w:u w:val="none"/>
          <w:lang w:val="en-ZA"/>
        </w:rPr>
        <w:t>As to the costs</w:t>
      </w:r>
      <w:r w:rsidR="00AB2874">
        <w:rPr>
          <w:u w:val="none"/>
          <w:lang w:val="en-ZA"/>
        </w:rPr>
        <w:t xml:space="preserve"> of</w:t>
      </w:r>
      <w:r w:rsidR="006A6DF9">
        <w:rPr>
          <w:u w:val="none"/>
          <w:lang w:val="en-ZA"/>
        </w:rPr>
        <w:t xml:space="preserve"> the application it is plain that it was appropriate to bring the matter before a court to consider whether a suspension was necessary. In such circumstances the costs should be borne by the respondents jointly and severally.</w:t>
      </w:r>
    </w:p>
    <w:p w:rsidR="00F26435" w:rsidRDefault="00F26435" w:rsidP="001D0C9B">
      <w:pPr>
        <w:tabs>
          <w:tab w:val="right" w:pos="0"/>
        </w:tabs>
        <w:spacing w:line="360" w:lineRule="auto"/>
        <w:ind w:left="720" w:hanging="720"/>
        <w:jc w:val="both"/>
        <w:rPr>
          <w:u w:val="none"/>
          <w:lang w:val="en-ZA"/>
        </w:rPr>
      </w:pPr>
    </w:p>
    <w:p w:rsidR="00722EFE" w:rsidRDefault="00AB2874" w:rsidP="00722EFE">
      <w:pPr>
        <w:tabs>
          <w:tab w:val="right" w:pos="0"/>
        </w:tabs>
        <w:spacing w:line="360" w:lineRule="auto"/>
        <w:jc w:val="both"/>
        <w:rPr>
          <w:b/>
          <w:u w:val="none"/>
          <w:lang w:val="en-ZA"/>
        </w:rPr>
      </w:pPr>
      <w:r>
        <w:rPr>
          <w:b/>
          <w:u w:val="none"/>
          <w:lang w:val="en-ZA"/>
        </w:rPr>
        <w:tab/>
      </w:r>
      <w:r w:rsidR="00D238F3">
        <w:rPr>
          <w:b/>
          <w:u w:val="none"/>
          <w:lang w:val="en-ZA"/>
        </w:rPr>
        <w:t xml:space="preserve">THE </w:t>
      </w:r>
      <w:r w:rsidR="00722EFE" w:rsidRPr="00722EFE">
        <w:rPr>
          <w:b/>
          <w:u w:val="none"/>
          <w:lang w:val="en-ZA"/>
        </w:rPr>
        <w:t>ORDER</w:t>
      </w:r>
    </w:p>
    <w:p w:rsidR="00AB2874" w:rsidRPr="00722EFE" w:rsidRDefault="00AB2874" w:rsidP="00722EFE">
      <w:pPr>
        <w:tabs>
          <w:tab w:val="right" w:pos="0"/>
        </w:tabs>
        <w:spacing w:line="360" w:lineRule="auto"/>
        <w:jc w:val="both"/>
        <w:rPr>
          <w:b/>
          <w:u w:val="none"/>
          <w:lang w:val="en-ZA"/>
        </w:rPr>
      </w:pPr>
      <w:r>
        <w:rPr>
          <w:b/>
          <w:u w:val="none"/>
          <w:lang w:val="en-ZA"/>
        </w:rPr>
        <w:tab/>
      </w:r>
      <w:r w:rsidRPr="00AB2874">
        <w:rPr>
          <w:u w:val="none"/>
          <w:lang w:val="en-ZA"/>
        </w:rPr>
        <w:t xml:space="preserve">For the reasons </w:t>
      </w:r>
      <w:r>
        <w:rPr>
          <w:u w:val="none"/>
          <w:lang w:val="en-ZA"/>
        </w:rPr>
        <w:t xml:space="preserve">indicated </w:t>
      </w:r>
      <w:r w:rsidRPr="00AB2874">
        <w:rPr>
          <w:u w:val="none"/>
          <w:lang w:val="en-ZA"/>
        </w:rPr>
        <w:t>above</w:t>
      </w:r>
      <w:r>
        <w:rPr>
          <w:b/>
          <w:u w:val="none"/>
          <w:lang w:val="en-ZA"/>
        </w:rPr>
        <w:t xml:space="preserve">: </w:t>
      </w:r>
    </w:p>
    <w:p w:rsidR="00D238F3" w:rsidRPr="004D1781" w:rsidRDefault="00D238F3" w:rsidP="00D238F3">
      <w:pPr>
        <w:pStyle w:val="ListParagraph"/>
        <w:numPr>
          <w:ilvl w:val="0"/>
          <w:numId w:val="2"/>
        </w:numPr>
        <w:spacing w:before="360" w:after="480"/>
        <w:ind w:left="851" w:hanging="851"/>
        <w:contextualSpacing w:val="0"/>
        <w:rPr>
          <w:rFonts w:ascii="Arial" w:hAnsi="Arial" w:cs="Arial"/>
        </w:rPr>
      </w:pPr>
      <w:r>
        <w:rPr>
          <w:rFonts w:ascii="Arial" w:hAnsi="Arial" w:cs="Arial"/>
        </w:rPr>
        <w:t xml:space="preserve">The application is urgent, and </w:t>
      </w:r>
      <w:r w:rsidRPr="004D1781">
        <w:rPr>
          <w:rFonts w:ascii="Arial" w:hAnsi="Arial" w:cs="Arial"/>
        </w:rPr>
        <w:t xml:space="preserve">the forms and service provided for in the Uniform Rules in terms of Rule 6(12)(a) </w:t>
      </w:r>
      <w:r>
        <w:rPr>
          <w:rFonts w:ascii="Arial" w:hAnsi="Arial" w:cs="Arial"/>
        </w:rPr>
        <w:t>are dispensed with.</w:t>
      </w:r>
    </w:p>
    <w:p w:rsidR="00D238F3" w:rsidRDefault="00D238F3" w:rsidP="00D238F3">
      <w:pPr>
        <w:pStyle w:val="ListParagraph"/>
        <w:numPr>
          <w:ilvl w:val="0"/>
          <w:numId w:val="2"/>
        </w:numPr>
        <w:spacing w:before="360" w:after="480"/>
        <w:ind w:left="851" w:hanging="851"/>
        <w:contextualSpacing w:val="0"/>
        <w:rPr>
          <w:rFonts w:ascii="Arial" w:hAnsi="Arial" w:cs="Arial"/>
        </w:rPr>
      </w:pPr>
      <w:r>
        <w:rPr>
          <w:rFonts w:ascii="Arial" w:hAnsi="Arial" w:cs="Arial"/>
        </w:rPr>
        <w:t xml:space="preserve">Leigh Dorothy Harper </w:t>
      </w:r>
      <w:r w:rsidRPr="004D1781">
        <w:rPr>
          <w:rFonts w:ascii="Arial" w:hAnsi="Arial" w:cs="Arial"/>
        </w:rPr>
        <w:t>(</w:t>
      </w:r>
      <w:r>
        <w:rPr>
          <w:rFonts w:ascii="Arial" w:hAnsi="Arial" w:cs="Arial"/>
        </w:rPr>
        <w:t xml:space="preserve">first </w:t>
      </w:r>
      <w:r w:rsidRPr="004D1781">
        <w:rPr>
          <w:rFonts w:ascii="Arial" w:hAnsi="Arial" w:cs="Arial"/>
        </w:rPr>
        <w:t xml:space="preserve">respondent) </w:t>
      </w:r>
      <w:r w:rsidR="009F42DE">
        <w:rPr>
          <w:rFonts w:ascii="Arial" w:hAnsi="Arial" w:cs="Arial"/>
        </w:rPr>
        <w:t xml:space="preserve">and Harper Leigh Incorporated (Second respondent) </w:t>
      </w:r>
      <w:r>
        <w:rPr>
          <w:rFonts w:ascii="Arial" w:hAnsi="Arial" w:cs="Arial"/>
        </w:rPr>
        <w:t xml:space="preserve">shall </w:t>
      </w:r>
      <w:r w:rsidR="009F42DE">
        <w:rPr>
          <w:rFonts w:ascii="Arial" w:hAnsi="Arial" w:cs="Arial"/>
        </w:rPr>
        <w:t xml:space="preserve">with immediate effect be permitted to </w:t>
      </w:r>
      <w:r>
        <w:rPr>
          <w:rFonts w:ascii="Arial" w:hAnsi="Arial" w:cs="Arial"/>
        </w:rPr>
        <w:t xml:space="preserve">practice subject to </w:t>
      </w:r>
      <w:r w:rsidR="00AB2874">
        <w:rPr>
          <w:rFonts w:ascii="Arial" w:hAnsi="Arial" w:cs="Arial"/>
        </w:rPr>
        <w:t xml:space="preserve">a </w:t>
      </w:r>
      <w:r>
        <w:rPr>
          <w:rFonts w:ascii="Arial" w:hAnsi="Arial" w:cs="Arial"/>
        </w:rPr>
        <w:t xml:space="preserve">curator bonis who shall oversee the practice </w:t>
      </w:r>
      <w:r w:rsidR="00E502F5">
        <w:rPr>
          <w:rFonts w:ascii="Arial" w:hAnsi="Arial" w:cs="Arial"/>
        </w:rPr>
        <w:t>of the respondents,</w:t>
      </w:r>
      <w:r w:rsidRPr="004D1781">
        <w:rPr>
          <w:rFonts w:ascii="Arial" w:hAnsi="Arial" w:cs="Arial"/>
        </w:rPr>
        <w:t xml:space="preserve"> on </w:t>
      </w:r>
      <w:r>
        <w:rPr>
          <w:rFonts w:ascii="Arial" w:hAnsi="Arial" w:cs="Arial"/>
        </w:rPr>
        <w:t>the following terms and conditions:</w:t>
      </w:r>
    </w:p>
    <w:p w:rsidR="00D238F3" w:rsidRPr="004D1781" w:rsidRDefault="00D238F3" w:rsidP="00D238F3">
      <w:pPr>
        <w:pStyle w:val="ListParagraph"/>
        <w:numPr>
          <w:ilvl w:val="1"/>
          <w:numId w:val="2"/>
        </w:numPr>
        <w:spacing w:before="360" w:after="480"/>
        <w:ind w:left="1701" w:hanging="850"/>
        <w:contextualSpacing w:val="0"/>
        <w:rPr>
          <w:rFonts w:ascii="Arial" w:hAnsi="Arial" w:cs="Arial"/>
        </w:rPr>
      </w:pPr>
      <w:bookmarkStart w:id="1" w:name="_Ref52400680"/>
      <w:bookmarkStart w:id="2" w:name="_Ref73435499"/>
      <w:r w:rsidRPr="004D1781">
        <w:rPr>
          <w:rFonts w:ascii="Arial" w:hAnsi="Arial" w:cs="Arial"/>
        </w:rPr>
        <w:lastRenderedPageBreak/>
        <w:t xml:space="preserve">that Johan van Staden, </w:t>
      </w:r>
      <w:r w:rsidRPr="004D1781">
        <w:rPr>
          <w:rFonts w:ascii="Arial" w:eastAsia="Times New Roman" w:hAnsi="Arial" w:cs="Arial"/>
          <w:lang w:val="en-ZA"/>
        </w:rPr>
        <w:t xml:space="preserve">the </w:t>
      </w:r>
      <w:r>
        <w:rPr>
          <w:rFonts w:ascii="Arial" w:eastAsia="Times New Roman" w:hAnsi="Arial" w:cs="Arial"/>
          <w:lang w:val="en-ZA"/>
        </w:rPr>
        <w:t>Director of the Gauteng Provincial Office</w:t>
      </w:r>
      <w:r w:rsidRPr="004D1781">
        <w:rPr>
          <w:rFonts w:ascii="Arial" w:eastAsia="Times New Roman" w:hAnsi="Arial" w:cs="Arial"/>
          <w:lang w:val="en-ZA"/>
        </w:rPr>
        <w:t xml:space="preserve"> </w:t>
      </w:r>
      <w:r>
        <w:rPr>
          <w:rFonts w:ascii="Arial" w:eastAsia="Times New Roman" w:hAnsi="Arial" w:cs="Arial"/>
          <w:lang w:val="en-ZA"/>
        </w:rPr>
        <w:t xml:space="preserve">of the </w:t>
      </w:r>
      <w:r w:rsidRPr="004D1781">
        <w:rPr>
          <w:rFonts w:ascii="Arial" w:eastAsia="Times New Roman" w:hAnsi="Arial" w:cs="Arial"/>
          <w:lang w:val="en-ZA"/>
        </w:rPr>
        <w:t xml:space="preserve">applicant </w:t>
      </w:r>
      <w:r w:rsidRPr="004D1781">
        <w:rPr>
          <w:rFonts w:ascii="Arial" w:hAnsi="Arial" w:cs="Arial"/>
        </w:rPr>
        <w:t xml:space="preserve">or any person nominated by him, be appointed as </w:t>
      </w:r>
      <w:r w:rsidRPr="004D1781">
        <w:rPr>
          <w:rFonts w:ascii="Arial" w:hAnsi="Arial" w:cs="Arial"/>
          <w:i/>
        </w:rPr>
        <w:t>curator bonis</w:t>
      </w:r>
      <w:r w:rsidRPr="004D1781">
        <w:rPr>
          <w:rFonts w:ascii="Arial" w:hAnsi="Arial" w:cs="Arial"/>
        </w:rPr>
        <w:t xml:space="preserve"> (curator) to </w:t>
      </w:r>
      <w:r>
        <w:rPr>
          <w:rFonts w:ascii="Arial" w:hAnsi="Arial" w:cs="Arial"/>
        </w:rPr>
        <w:t xml:space="preserve">oversee and </w:t>
      </w:r>
      <w:r w:rsidRPr="004D1781">
        <w:rPr>
          <w:rFonts w:ascii="Arial" w:hAnsi="Arial" w:cs="Arial"/>
        </w:rPr>
        <w:t>administer and control the trust accounts of the second respondent, including accounts relating to insolvent, any deceased estates and any estate under curatorship connected with the first respondent’s practice as attorney and including, also, the separate banking accounts opened and kept by the first respondent at a bank in the Republic of South Africa in terms of section 86(1) of the Legal Practice Act 28 of 2014 (“</w:t>
      </w:r>
      <w:r w:rsidRPr="004D1781">
        <w:rPr>
          <w:rFonts w:ascii="Arial" w:hAnsi="Arial" w:cs="Arial"/>
          <w:b/>
          <w:bCs/>
        </w:rPr>
        <w:t>the</w:t>
      </w:r>
      <w:r w:rsidRPr="004D1781">
        <w:rPr>
          <w:rFonts w:ascii="Arial" w:hAnsi="Arial" w:cs="Arial"/>
        </w:rPr>
        <w:t xml:space="preserve"> </w:t>
      </w:r>
      <w:r w:rsidRPr="004D1781">
        <w:rPr>
          <w:rFonts w:ascii="Arial" w:hAnsi="Arial" w:cs="Arial"/>
          <w:b/>
          <w:bCs/>
        </w:rPr>
        <w:t>LPA</w:t>
      </w:r>
      <w:r w:rsidRPr="004D1781">
        <w:rPr>
          <w:rFonts w:ascii="Arial" w:hAnsi="Arial" w:cs="Arial"/>
        </w:rPr>
        <w:t>”) and/or any separate savings or interest-bearing accounts as contemplated by section 86(3) and section 86(4)</w:t>
      </w:r>
      <w:r w:rsidRPr="004D1781" w:rsidDel="00A252C0">
        <w:rPr>
          <w:rFonts w:ascii="Arial" w:hAnsi="Arial" w:cs="Arial"/>
        </w:rPr>
        <w:t xml:space="preserve"> </w:t>
      </w:r>
      <w:r w:rsidRPr="004D1781">
        <w:rPr>
          <w:rFonts w:ascii="Arial" w:hAnsi="Arial" w:cs="Arial"/>
        </w:rPr>
        <w:t>of the LPA, in which monies from such trust bank accounts have been invested by virtue of the provisions of the said sub-sections or in which monies in any manner have been deposited or credited (the said accounts hereafter referred to as “</w:t>
      </w:r>
      <w:r w:rsidRPr="004D1781">
        <w:rPr>
          <w:rFonts w:ascii="Arial" w:hAnsi="Arial" w:cs="Arial"/>
          <w:b/>
          <w:bCs/>
        </w:rPr>
        <w:t>the trust accounts</w:t>
      </w:r>
      <w:r w:rsidRPr="004D1781">
        <w:rPr>
          <w:rFonts w:ascii="Arial" w:hAnsi="Arial" w:cs="Arial"/>
        </w:rPr>
        <w:t>”), with the following powers and duties:</w:t>
      </w:r>
      <w:bookmarkEnd w:id="1"/>
      <w:bookmarkEnd w:id="2"/>
    </w:p>
    <w:p w:rsidR="00D238F3" w:rsidRPr="004D1781" w:rsidRDefault="00D238F3" w:rsidP="00D238F3">
      <w:pPr>
        <w:pStyle w:val="ListParagraph"/>
        <w:numPr>
          <w:ilvl w:val="2"/>
          <w:numId w:val="2"/>
        </w:numPr>
        <w:spacing w:before="360" w:after="480"/>
        <w:ind w:left="2835" w:hanging="1134"/>
        <w:contextualSpacing w:val="0"/>
        <w:rPr>
          <w:rFonts w:ascii="Arial" w:hAnsi="Arial" w:cs="Arial"/>
        </w:rPr>
      </w:pPr>
      <w:r w:rsidRPr="004D1781">
        <w:rPr>
          <w:rFonts w:ascii="Arial" w:hAnsi="Arial" w:cs="Arial"/>
        </w:rPr>
        <w:t xml:space="preserve">immediately to take possession of the first respondent’s accounting records, records, files and documents as referred to in paragraph </w:t>
      </w:r>
      <w:r w:rsidRPr="004D1781">
        <w:rPr>
          <w:rFonts w:ascii="Arial" w:hAnsi="Arial" w:cs="Arial"/>
        </w:rPr>
        <w:fldChar w:fldCharType="begin"/>
      </w:r>
      <w:r w:rsidRPr="004D1781">
        <w:rPr>
          <w:rFonts w:ascii="Arial" w:hAnsi="Arial" w:cs="Arial"/>
        </w:rPr>
        <w:instrText xml:space="preserve"> REF _Ref52878099 \r \h  \* MERGEFORMAT </w:instrText>
      </w:r>
      <w:r w:rsidRPr="004D1781">
        <w:rPr>
          <w:rFonts w:ascii="Arial" w:hAnsi="Arial" w:cs="Arial"/>
        </w:rPr>
      </w:r>
      <w:r w:rsidRPr="004D1781">
        <w:rPr>
          <w:rFonts w:ascii="Arial" w:hAnsi="Arial" w:cs="Arial"/>
        </w:rPr>
        <w:fldChar w:fldCharType="separate"/>
      </w:r>
      <w:r>
        <w:rPr>
          <w:rFonts w:ascii="Arial" w:hAnsi="Arial" w:cs="Arial"/>
        </w:rPr>
        <w:t>2.5</w:t>
      </w:r>
      <w:r w:rsidRPr="004D1781">
        <w:rPr>
          <w:rFonts w:ascii="Arial" w:hAnsi="Arial" w:cs="Arial"/>
        </w:rPr>
        <w:fldChar w:fldCharType="end"/>
      </w:r>
      <w:r w:rsidRPr="004D1781">
        <w:rPr>
          <w:rFonts w:ascii="Arial" w:hAnsi="Arial" w:cs="Arial"/>
        </w:rPr>
        <w:t xml:space="preserve"> and subject to the approval of the Board of Control of the Legal Practitioner’s Fidelity Fund (hereinafter referred to as “</w:t>
      </w:r>
      <w:r w:rsidRPr="004D1781">
        <w:rPr>
          <w:rFonts w:ascii="Arial" w:hAnsi="Arial" w:cs="Arial"/>
          <w:b/>
          <w:bCs/>
        </w:rPr>
        <w:t>the LPFF</w:t>
      </w:r>
      <w:r w:rsidRPr="004D1781">
        <w:rPr>
          <w:rFonts w:ascii="Arial" w:hAnsi="Arial" w:cs="Arial"/>
        </w:rPr>
        <w:t xml:space="preserve">”) to sign all forms and generally to operate upon the trust account(s), but </w:t>
      </w:r>
      <w:r w:rsidRPr="004D1781">
        <w:rPr>
          <w:rFonts w:ascii="Arial" w:hAnsi="Arial" w:cs="Arial"/>
        </w:rPr>
        <w:lastRenderedPageBreak/>
        <w:t>only to such extent and for such purpose as may be necessary to bring to completion current transactions in which the first respondent was acting at the date of this order;</w:t>
      </w:r>
    </w:p>
    <w:p w:rsidR="00D238F3" w:rsidRPr="004D1781" w:rsidRDefault="00D238F3" w:rsidP="00D238F3">
      <w:pPr>
        <w:pStyle w:val="ListParagraph"/>
        <w:numPr>
          <w:ilvl w:val="2"/>
          <w:numId w:val="2"/>
        </w:numPr>
        <w:spacing w:before="360" w:after="480"/>
        <w:ind w:left="2835" w:hanging="1134"/>
        <w:contextualSpacing w:val="0"/>
        <w:rPr>
          <w:rFonts w:ascii="Arial" w:hAnsi="Arial" w:cs="Arial"/>
        </w:rPr>
      </w:pPr>
      <w:r w:rsidRPr="004D1781">
        <w:rPr>
          <w:rFonts w:ascii="Arial" w:hAnsi="Arial" w:cs="Arial"/>
        </w:rPr>
        <w:t>subject to the approval and control of the Board of Control of the LPFF and where monies had been paid incorrectly and unlawfully from the undermentioned trust accounts, to recover and receive and, if necessary in the interests of persons having lawful claims upon the trust account(s) and/or against the first respondent in respect of the monies held, received and/or invested by the first respondent in terms of section 86(3) and section 86(4) of the LPA (hereinafter referred to as “</w:t>
      </w:r>
      <w:r w:rsidRPr="004D1781">
        <w:rPr>
          <w:rFonts w:ascii="Arial" w:hAnsi="Arial" w:cs="Arial"/>
          <w:b/>
          <w:bCs/>
        </w:rPr>
        <w:t>trust monies</w:t>
      </w:r>
      <w:r w:rsidRPr="004D1781">
        <w:rPr>
          <w:rFonts w:ascii="Arial" w:hAnsi="Arial" w:cs="Arial"/>
        </w:rPr>
        <w:t>”), to take any legal proceedings which may be necessary for the recovery of money which may be due to such persons in respect of incomplete transactions, if any, in which the first respondent was and may still have been concerned and to receive such monies and to pay the same to the credit of the trust account(s);</w:t>
      </w:r>
    </w:p>
    <w:p w:rsidR="00D238F3" w:rsidRPr="004D1781" w:rsidRDefault="00D238F3" w:rsidP="00D238F3">
      <w:pPr>
        <w:pStyle w:val="ListParagraph"/>
        <w:numPr>
          <w:ilvl w:val="2"/>
          <w:numId w:val="2"/>
        </w:numPr>
        <w:spacing w:before="360" w:after="480"/>
        <w:ind w:left="2835" w:hanging="1134"/>
        <w:contextualSpacing w:val="0"/>
        <w:rPr>
          <w:rFonts w:ascii="Arial" w:hAnsi="Arial" w:cs="Arial"/>
        </w:rPr>
      </w:pPr>
      <w:r w:rsidRPr="004D1781">
        <w:rPr>
          <w:rFonts w:ascii="Arial" w:hAnsi="Arial" w:cs="Arial"/>
        </w:rPr>
        <w:t xml:space="preserve">to ascertain from the first respondent's accounting records, the names of all persons on whose account the first respondent appears to hold or to have </w:t>
      </w:r>
      <w:r w:rsidRPr="004D1781">
        <w:rPr>
          <w:rFonts w:ascii="Arial" w:hAnsi="Arial" w:cs="Arial"/>
        </w:rPr>
        <w:lastRenderedPageBreak/>
        <w:t>received trust monies (hereinafter referred to as “</w:t>
      </w:r>
      <w:r w:rsidRPr="004D1781">
        <w:rPr>
          <w:rFonts w:ascii="Arial" w:hAnsi="Arial" w:cs="Arial"/>
          <w:b/>
          <w:bCs/>
        </w:rPr>
        <w:t>trust creditors</w:t>
      </w:r>
      <w:r w:rsidRPr="004D1781">
        <w:rPr>
          <w:rFonts w:ascii="Arial" w:hAnsi="Arial" w:cs="Arial"/>
        </w:rPr>
        <w:t>”) and to call upon the first respondent to furnish him, within 30 (thirty) days of the date of service of this order or such further period as he may agree to in writing, with the names, addresses and amounts due to trust creditors;</w:t>
      </w:r>
    </w:p>
    <w:p w:rsidR="00D238F3" w:rsidRPr="004D1781" w:rsidRDefault="00D238F3" w:rsidP="00D238F3">
      <w:pPr>
        <w:pStyle w:val="ListParagraph"/>
        <w:numPr>
          <w:ilvl w:val="2"/>
          <w:numId w:val="2"/>
        </w:numPr>
        <w:spacing w:before="360" w:after="480"/>
        <w:ind w:left="2835" w:hanging="1134"/>
        <w:contextualSpacing w:val="0"/>
        <w:rPr>
          <w:rFonts w:ascii="Arial" w:hAnsi="Arial" w:cs="Arial"/>
        </w:rPr>
      </w:pPr>
      <w:r w:rsidRPr="004D1781">
        <w:rPr>
          <w:rFonts w:ascii="Arial" w:hAnsi="Arial" w:cs="Arial"/>
        </w:rPr>
        <w:t>to call upon such trust creditors to furnish such proof, information and/or affidavits as he may require to enable him, acting in consultation with, and subject to the requirements of the Board of Control of the LPFF, to determine whether any such trust creditor has a claim in respect of monies in the trust account(s) of the second respondent and, if so, the amount of such claim;</w:t>
      </w:r>
    </w:p>
    <w:p w:rsidR="00D238F3" w:rsidRPr="004D1781" w:rsidRDefault="00D238F3" w:rsidP="00D238F3">
      <w:pPr>
        <w:pStyle w:val="ListParagraph"/>
        <w:numPr>
          <w:ilvl w:val="2"/>
          <w:numId w:val="2"/>
        </w:numPr>
        <w:spacing w:before="360" w:after="480"/>
        <w:ind w:left="2835" w:hanging="1134"/>
        <w:contextualSpacing w:val="0"/>
        <w:rPr>
          <w:rFonts w:ascii="Arial" w:hAnsi="Arial" w:cs="Arial"/>
        </w:rPr>
      </w:pPr>
      <w:r w:rsidRPr="004D1781">
        <w:rPr>
          <w:rFonts w:ascii="Arial" w:hAnsi="Arial" w:cs="Arial"/>
        </w:rPr>
        <w:t>to admit or reject, in whole or in part, subject to the approval of the Board of Control of the LPFF, the claims of any such trust creditor or creditors, without prejudice to such trust creditors’ or creditors’ rights of access to the civil courts;</w:t>
      </w:r>
    </w:p>
    <w:p w:rsidR="00D238F3" w:rsidRPr="004D1781" w:rsidRDefault="00D238F3" w:rsidP="00D238F3">
      <w:pPr>
        <w:pStyle w:val="ListParagraph"/>
        <w:numPr>
          <w:ilvl w:val="2"/>
          <w:numId w:val="2"/>
        </w:numPr>
        <w:spacing w:before="360" w:after="480"/>
        <w:ind w:left="2835" w:hanging="1134"/>
        <w:contextualSpacing w:val="0"/>
        <w:rPr>
          <w:rFonts w:ascii="Arial" w:hAnsi="Arial" w:cs="Arial"/>
        </w:rPr>
      </w:pPr>
      <w:r w:rsidRPr="004D1781">
        <w:rPr>
          <w:rFonts w:ascii="Arial" w:hAnsi="Arial" w:cs="Arial"/>
        </w:rPr>
        <w:t>having determined the amounts which, he considers are lawfully due to the trust creditors, to pay such claims in full but subject always to the approval of the Board of Control of the LPFF;</w:t>
      </w:r>
    </w:p>
    <w:p w:rsidR="00D238F3" w:rsidRPr="004D1781" w:rsidRDefault="00D238F3" w:rsidP="00D238F3">
      <w:pPr>
        <w:pStyle w:val="ListParagraph"/>
        <w:numPr>
          <w:ilvl w:val="2"/>
          <w:numId w:val="2"/>
        </w:numPr>
        <w:spacing w:before="360" w:after="480"/>
        <w:ind w:left="2835" w:hanging="1134"/>
        <w:contextualSpacing w:val="0"/>
        <w:rPr>
          <w:rFonts w:ascii="Arial" w:hAnsi="Arial" w:cs="Arial"/>
        </w:rPr>
      </w:pPr>
      <w:r w:rsidRPr="004D1781">
        <w:rPr>
          <w:rFonts w:ascii="Arial" w:hAnsi="Arial" w:cs="Arial"/>
        </w:rPr>
        <w:lastRenderedPageBreak/>
        <w:t xml:space="preserve">in the event of there being any surplus in the trust account(s) of the second respondent after payment of the admitted claims of all trust creditors in full, to utilise such surplus to settle or reduce (as the case may be), firstly, any claim of the LPFF in terms of section 86(5) of the LPA, in respect of any interest therein referred to and, secondly, without prejudice to the rights of the trust creditors of the second respondent, the costs, fees and expenses referred to in paragraph </w:t>
      </w:r>
      <w:r>
        <w:rPr>
          <w:rFonts w:ascii="Arial" w:hAnsi="Arial" w:cs="Arial"/>
        </w:rPr>
        <w:t>3.3</w:t>
      </w:r>
      <w:r w:rsidRPr="004D1781">
        <w:rPr>
          <w:rFonts w:ascii="Arial" w:hAnsi="Arial" w:cs="Arial"/>
        </w:rPr>
        <w:t xml:space="preserve"> of Part B of the notice of motion, or such portion thereof which has not already been separately paid by the first respondent to the applicant, and, if there is any balance after payment in full of all such claims, costs, fees and expenses, to pay such balance, subject to approval of the Board of Control of the LPFF, to the first respondent, if </w:t>
      </w:r>
      <w:r>
        <w:rPr>
          <w:rFonts w:ascii="Arial" w:hAnsi="Arial" w:cs="Arial"/>
        </w:rPr>
        <w:t>s</w:t>
      </w:r>
      <w:r w:rsidRPr="004D1781">
        <w:rPr>
          <w:rFonts w:ascii="Arial" w:hAnsi="Arial" w:cs="Arial"/>
        </w:rPr>
        <w:t>he is solvent, or if the first respondent is insolvent, to the trustee(s) of the first respondent's insolvent estate;</w:t>
      </w:r>
    </w:p>
    <w:p w:rsidR="00D238F3" w:rsidRPr="004D1781" w:rsidRDefault="00D238F3" w:rsidP="00D238F3">
      <w:pPr>
        <w:pStyle w:val="ListParagraph"/>
        <w:numPr>
          <w:ilvl w:val="2"/>
          <w:numId w:val="2"/>
        </w:numPr>
        <w:spacing w:before="360" w:after="480"/>
        <w:ind w:left="2835" w:hanging="1134"/>
        <w:contextualSpacing w:val="0"/>
        <w:rPr>
          <w:rFonts w:ascii="Arial" w:hAnsi="Arial" w:cs="Arial"/>
        </w:rPr>
      </w:pPr>
      <w:r w:rsidRPr="004D1781">
        <w:rPr>
          <w:rFonts w:ascii="Arial" w:hAnsi="Arial" w:cs="Arial"/>
        </w:rPr>
        <w:t xml:space="preserve">in the event of there being insufficient trust monies in the trust banking account(s) of the second respondent, in accordance with the available documentation and information to pay in full the claims of trust creditors who have lodged claims for </w:t>
      </w:r>
      <w:r w:rsidRPr="004D1781">
        <w:rPr>
          <w:rFonts w:ascii="Arial" w:hAnsi="Arial" w:cs="Arial"/>
        </w:rPr>
        <w:lastRenderedPageBreak/>
        <w:t>the repayment and whose claims have been approved, to distribute the credit balance(s) which may be available in the trust bank account(s) amongst the trust creditors alternatively to pay the balance to the LPFF;</w:t>
      </w:r>
    </w:p>
    <w:p w:rsidR="00D238F3" w:rsidRPr="004D1781" w:rsidRDefault="00D238F3" w:rsidP="00D238F3">
      <w:pPr>
        <w:pStyle w:val="ListParagraph"/>
        <w:numPr>
          <w:ilvl w:val="2"/>
          <w:numId w:val="2"/>
        </w:numPr>
        <w:spacing w:before="360" w:after="480"/>
        <w:ind w:left="2835" w:hanging="1134"/>
        <w:contextualSpacing w:val="0"/>
        <w:rPr>
          <w:rFonts w:ascii="Arial" w:hAnsi="Arial" w:cs="Arial"/>
        </w:rPr>
      </w:pPr>
      <w:r w:rsidRPr="004D1781">
        <w:rPr>
          <w:rFonts w:ascii="Arial" w:hAnsi="Arial" w:cs="Arial"/>
        </w:rPr>
        <w:t>subject to the approval of the chairman of the Board of Control of the LPFF, to appoint nominees or representatives and/or consult with and/or engage the services of attorneys, counsel, accountants and/or any other persons, where considered necessary, to assist him in carrying out his duties as curator; and</w:t>
      </w:r>
    </w:p>
    <w:p w:rsidR="00D238F3" w:rsidRPr="004D1781" w:rsidRDefault="00D238F3" w:rsidP="00D238F3">
      <w:pPr>
        <w:pStyle w:val="ListParagraph"/>
        <w:numPr>
          <w:ilvl w:val="2"/>
          <w:numId w:val="2"/>
        </w:numPr>
        <w:spacing w:before="360" w:after="480"/>
        <w:ind w:left="2835" w:hanging="1134"/>
        <w:contextualSpacing w:val="0"/>
        <w:rPr>
          <w:rFonts w:ascii="Arial" w:hAnsi="Arial" w:cs="Arial"/>
        </w:rPr>
      </w:pPr>
      <w:r w:rsidRPr="004D1781">
        <w:rPr>
          <w:rFonts w:ascii="Arial" w:hAnsi="Arial" w:cs="Arial"/>
        </w:rPr>
        <w:t>to render from time to time, as curator, returns to the Board of Control of the LPFF showing how the trust account(s) of the second respondent has/have been dealt with, until such time as the Board notifies him that he may regard his duties as curator terminated;</w:t>
      </w:r>
    </w:p>
    <w:p w:rsidR="00D238F3" w:rsidRPr="004D1781" w:rsidRDefault="00D238F3" w:rsidP="00D238F3">
      <w:pPr>
        <w:pStyle w:val="ListParagraph"/>
        <w:numPr>
          <w:ilvl w:val="1"/>
          <w:numId w:val="2"/>
        </w:numPr>
        <w:spacing w:before="360" w:after="480"/>
        <w:ind w:left="1701" w:hanging="850"/>
        <w:contextualSpacing w:val="0"/>
        <w:rPr>
          <w:rFonts w:ascii="Arial" w:hAnsi="Arial" w:cs="Arial"/>
        </w:rPr>
      </w:pPr>
      <w:bookmarkStart w:id="3" w:name="_Ref52878099"/>
      <w:r w:rsidRPr="004D1781">
        <w:rPr>
          <w:rFonts w:ascii="Arial" w:hAnsi="Arial" w:cs="Arial"/>
        </w:rPr>
        <w:t>the first respondent immediately delivers h</w:t>
      </w:r>
      <w:r>
        <w:rPr>
          <w:rFonts w:ascii="Arial" w:hAnsi="Arial" w:cs="Arial"/>
        </w:rPr>
        <w:t>er</w:t>
      </w:r>
      <w:r w:rsidRPr="004D1781">
        <w:rPr>
          <w:rFonts w:ascii="Arial" w:hAnsi="Arial" w:cs="Arial"/>
        </w:rPr>
        <w:t xml:space="preserve"> accounting records, records, files and documents containing particulars and information relating to:</w:t>
      </w:r>
      <w:bookmarkEnd w:id="3"/>
    </w:p>
    <w:p w:rsidR="00D238F3" w:rsidRPr="004D1781" w:rsidRDefault="00D238F3" w:rsidP="00D238F3">
      <w:pPr>
        <w:pStyle w:val="ListParagraph"/>
        <w:numPr>
          <w:ilvl w:val="2"/>
          <w:numId w:val="2"/>
        </w:numPr>
        <w:spacing w:before="360" w:after="480"/>
        <w:ind w:left="2835" w:hanging="1134"/>
        <w:contextualSpacing w:val="0"/>
        <w:rPr>
          <w:rFonts w:ascii="Arial" w:hAnsi="Arial" w:cs="Arial"/>
        </w:rPr>
      </w:pPr>
      <w:r w:rsidRPr="004D1781">
        <w:rPr>
          <w:rFonts w:ascii="Arial" w:hAnsi="Arial" w:cs="Arial"/>
        </w:rPr>
        <w:lastRenderedPageBreak/>
        <w:t>any monies received, held or paid by the first respondent for or on account of any person while practising as an attorney;</w:t>
      </w:r>
    </w:p>
    <w:p w:rsidR="00D238F3" w:rsidRPr="004D1781" w:rsidRDefault="00D238F3" w:rsidP="00D238F3">
      <w:pPr>
        <w:pStyle w:val="ListParagraph"/>
        <w:numPr>
          <w:ilvl w:val="2"/>
          <w:numId w:val="2"/>
        </w:numPr>
        <w:spacing w:before="360" w:after="480"/>
        <w:ind w:left="2835" w:hanging="1134"/>
        <w:contextualSpacing w:val="0"/>
        <w:rPr>
          <w:rFonts w:ascii="Arial" w:hAnsi="Arial" w:cs="Arial"/>
        </w:rPr>
      </w:pPr>
      <w:r w:rsidRPr="004D1781">
        <w:rPr>
          <w:rFonts w:ascii="Arial" w:hAnsi="Arial" w:cs="Arial"/>
        </w:rPr>
        <w:t>any monies invested by the first respondent in terms of section 86(3) and/or section 86(4) of the LPA;</w:t>
      </w:r>
    </w:p>
    <w:p w:rsidR="00D238F3" w:rsidRPr="004D1781" w:rsidRDefault="00D238F3" w:rsidP="00D238F3">
      <w:pPr>
        <w:pStyle w:val="ListParagraph"/>
        <w:numPr>
          <w:ilvl w:val="2"/>
          <w:numId w:val="2"/>
        </w:numPr>
        <w:spacing w:before="360" w:after="480"/>
        <w:ind w:left="2835" w:hanging="1134"/>
        <w:contextualSpacing w:val="0"/>
        <w:rPr>
          <w:rFonts w:ascii="Arial" w:hAnsi="Arial" w:cs="Arial"/>
        </w:rPr>
      </w:pPr>
      <w:r w:rsidRPr="004D1781">
        <w:rPr>
          <w:rFonts w:ascii="Arial" w:hAnsi="Arial" w:cs="Arial"/>
        </w:rPr>
        <w:t>any interest on monies so invested which was paid over or credited to the first respondent;</w:t>
      </w:r>
    </w:p>
    <w:p w:rsidR="00D238F3" w:rsidRPr="004D1781" w:rsidRDefault="00D238F3" w:rsidP="00D238F3">
      <w:pPr>
        <w:pStyle w:val="ListParagraph"/>
        <w:numPr>
          <w:ilvl w:val="2"/>
          <w:numId w:val="2"/>
        </w:numPr>
        <w:spacing w:before="360" w:after="480"/>
        <w:ind w:left="2835" w:hanging="1134"/>
        <w:contextualSpacing w:val="0"/>
        <w:rPr>
          <w:rFonts w:ascii="Arial" w:hAnsi="Arial" w:cs="Arial"/>
        </w:rPr>
      </w:pPr>
      <w:r w:rsidRPr="004D1781">
        <w:rPr>
          <w:rFonts w:ascii="Arial" w:hAnsi="Arial" w:cs="Arial"/>
        </w:rPr>
        <w:t>any estate of a deceased person or an insolvent estate or an estate under curatorship administered by the first respondent, whether as an executor or trustee or curator or on behalf of the executor, trustee or curator;</w:t>
      </w:r>
    </w:p>
    <w:p w:rsidR="00D238F3" w:rsidRPr="004D1781" w:rsidRDefault="00D238F3" w:rsidP="00D238F3">
      <w:pPr>
        <w:pStyle w:val="ListParagraph"/>
        <w:numPr>
          <w:ilvl w:val="2"/>
          <w:numId w:val="2"/>
        </w:numPr>
        <w:spacing w:before="360" w:after="480"/>
        <w:ind w:left="2835" w:hanging="1134"/>
        <w:contextualSpacing w:val="0"/>
        <w:rPr>
          <w:rFonts w:ascii="Arial" w:hAnsi="Arial" w:cs="Arial"/>
        </w:rPr>
      </w:pPr>
      <w:r w:rsidRPr="004D1781">
        <w:rPr>
          <w:rFonts w:ascii="Arial" w:hAnsi="Arial" w:cs="Arial"/>
        </w:rPr>
        <w:t>any insolvent estate administered by the first respondent as trustee or on behalf of the trustee in terms of the Insolvency Act, No. 24 of 1936;</w:t>
      </w:r>
    </w:p>
    <w:p w:rsidR="00D238F3" w:rsidRPr="004D1781" w:rsidRDefault="00D238F3" w:rsidP="00D238F3">
      <w:pPr>
        <w:pStyle w:val="ListParagraph"/>
        <w:numPr>
          <w:ilvl w:val="2"/>
          <w:numId w:val="2"/>
        </w:numPr>
        <w:spacing w:before="360" w:after="480"/>
        <w:ind w:left="2835" w:hanging="1134"/>
        <w:contextualSpacing w:val="0"/>
        <w:rPr>
          <w:rFonts w:ascii="Arial" w:hAnsi="Arial" w:cs="Arial"/>
        </w:rPr>
      </w:pPr>
      <w:r w:rsidRPr="004D1781">
        <w:rPr>
          <w:rFonts w:ascii="Arial" w:hAnsi="Arial" w:cs="Arial"/>
        </w:rPr>
        <w:t>any trust administered by the first respondent as trustee or on behalf of the trustee in terms of the Trust Property Control Act, No. 57 of 1988;</w:t>
      </w:r>
    </w:p>
    <w:p w:rsidR="00D238F3" w:rsidRPr="004D1781" w:rsidRDefault="00D238F3" w:rsidP="00D238F3">
      <w:pPr>
        <w:pStyle w:val="ListParagraph"/>
        <w:numPr>
          <w:ilvl w:val="2"/>
          <w:numId w:val="2"/>
        </w:numPr>
        <w:spacing w:before="360" w:after="480"/>
        <w:ind w:left="2835" w:hanging="1134"/>
        <w:contextualSpacing w:val="0"/>
        <w:rPr>
          <w:rFonts w:ascii="Arial" w:hAnsi="Arial" w:cs="Arial"/>
        </w:rPr>
      </w:pPr>
      <w:r w:rsidRPr="004D1781">
        <w:rPr>
          <w:rFonts w:ascii="Arial" w:hAnsi="Arial" w:cs="Arial"/>
        </w:rPr>
        <w:lastRenderedPageBreak/>
        <w:t>any company liquidated in terms of the Companies Act, No. 61 of 1973, administered by the first respondent as or on behalf of the liquidator;</w:t>
      </w:r>
    </w:p>
    <w:p w:rsidR="00D238F3" w:rsidRPr="004D1781" w:rsidRDefault="00D238F3" w:rsidP="00D238F3">
      <w:pPr>
        <w:pStyle w:val="ListParagraph"/>
        <w:numPr>
          <w:ilvl w:val="2"/>
          <w:numId w:val="2"/>
        </w:numPr>
        <w:spacing w:before="360" w:after="480"/>
        <w:ind w:left="2835" w:hanging="1134"/>
        <w:contextualSpacing w:val="0"/>
        <w:rPr>
          <w:rFonts w:ascii="Arial" w:hAnsi="Arial" w:cs="Arial"/>
        </w:rPr>
      </w:pPr>
      <w:r w:rsidRPr="004D1781">
        <w:rPr>
          <w:rFonts w:ascii="Arial" w:hAnsi="Arial" w:cs="Arial"/>
        </w:rPr>
        <w:t>any close corporation liquidated in terms of Close Corporations Act, No. 69 of 1984, administered by the first respondent as or on behalf of the liquidator; and</w:t>
      </w:r>
    </w:p>
    <w:p w:rsidR="00D238F3" w:rsidRPr="004D1781" w:rsidRDefault="00D238F3" w:rsidP="00D238F3">
      <w:pPr>
        <w:pStyle w:val="ListParagraph"/>
        <w:numPr>
          <w:ilvl w:val="2"/>
          <w:numId w:val="2"/>
        </w:numPr>
        <w:spacing w:before="360" w:after="480"/>
        <w:ind w:left="2835" w:hanging="1134"/>
        <w:contextualSpacing w:val="0"/>
        <w:rPr>
          <w:rFonts w:ascii="Arial" w:hAnsi="Arial" w:cs="Arial"/>
        </w:rPr>
      </w:pPr>
      <w:r w:rsidRPr="004D1781">
        <w:rPr>
          <w:rFonts w:ascii="Arial" w:hAnsi="Arial" w:cs="Arial"/>
        </w:rPr>
        <w:t xml:space="preserve">the first respondent's practice as a legal practitioner of this Honourable Court, to the curator appointed in terms of paragraph </w:t>
      </w:r>
      <w:r w:rsidRPr="004D1781">
        <w:rPr>
          <w:rFonts w:ascii="Arial" w:hAnsi="Arial" w:cs="Arial"/>
        </w:rPr>
        <w:fldChar w:fldCharType="begin"/>
      </w:r>
      <w:r w:rsidRPr="004D1781">
        <w:rPr>
          <w:rFonts w:ascii="Arial" w:hAnsi="Arial" w:cs="Arial"/>
        </w:rPr>
        <w:instrText xml:space="preserve"> REF _Ref52400680 \r \h  \* MERGEFORMAT </w:instrText>
      </w:r>
      <w:r w:rsidRPr="004D1781">
        <w:rPr>
          <w:rFonts w:ascii="Arial" w:hAnsi="Arial" w:cs="Arial"/>
        </w:rPr>
      </w:r>
      <w:r w:rsidRPr="004D1781">
        <w:rPr>
          <w:rFonts w:ascii="Arial" w:hAnsi="Arial" w:cs="Arial"/>
        </w:rPr>
        <w:fldChar w:fldCharType="separate"/>
      </w:r>
      <w:r>
        <w:rPr>
          <w:rFonts w:ascii="Arial" w:hAnsi="Arial" w:cs="Arial"/>
        </w:rPr>
        <w:t>2.4</w:t>
      </w:r>
      <w:r w:rsidRPr="004D1781">
        <w:rPr>
          <w:rFonts w:ascii="Arial" w:hAnsi="Arial" w:cs="Arial"/>
        </w:rPr>
        <w:fldChar w:fldCharType="end"/>
      </w:r>
      <w:r w:rsidRPr="004D1781">
        <w:rPr>
          <w:rFonts w:ascii="Arial" w:hAnsi="Arial" w:cs="Arial"/>
        </w:rPr>
        <w:t xml:space="preserve"> hereof, provided that, as far as such accounting records, files and documents are concerned, the first respondent shall be entitled to have reasonable access to them but always subject to the supervision of such curator or his nominee;</w:t>
      </w:r>
    </w:p>
    <w:p w:rsidR="00D238F3" w:rsidRPr="004D1781" w:rsidRDefault="00D238F3" w:rsidP="00D238F3">
      <w:pPr>
        <w:pStyle w:val="ListParagraph"/>
        <w:numPr>
          <w:ilvl w:val="1"/>
          <w:numId w:val="2"/>
        </w:numPr>
        <w:spacing w:before="360" w:after="480"/>
        <w:ind w:left="1701" w:hanging="850"/>
        <w:contextualSpacing w:val="0"/>
        <w:rPr>
          <w:rFonts w:ascii="Arial" w:hAnsi="Arial" w:cs="Arial"/>
        </w:rPr>
      </w:pPr>
      <w:r>
        <w:rPr>
          <w:rFonts w:ascii="Arial" w:hAnsi="Arial" w:cs="Arial"/>
        </w:rPr>
        <w:t>s</w:t>
      </w:r>
      <w:r w:rsidRPr="004D1781">
        <w:rPr>
          <w:rFonts w:ascii="Arial" w:hAnsi="Arial" w:cs="Arial"/>
        </w:rPr>
        <w:t>hould the first respondent fail to comply with the provisions of the preceding paragraphs of this</w:t>
      </w:r>
      <w:r>
        <w:rPr>
          <w:rFonts w:ascii="Arial" w:hAnsi="Arial" w:cs="Arial"/>
        </w:rPr>
        <w:t xml:space="preserve"> order</w:t>
      </w:r>
      <w:r w:rsidRPr="004D1781">
        <w:rPr>
          <w:rFonts w:ascii="Arial" w:hAnsi="Arial" w:cs="Arial"/>
        </w:rPr>
        <w:t xml:space="preserve"> on service thereof upon h</w:t>
      </w:r>
      <w:r>
        <w:rPr>
          <w:rFonts w:ascii="Arial" w:hAnsi="Arial" w:cs="Arial"/>
        </w:rPr>
        <w:t>er</w:t>
      </w:r>
      <w:r w:rsidRPr="004D1781">
        <w:rPr>
          <w:rFonts w:ascii="Arial" w:hAnsi="Arial" w:cs="Arial"/>
        </w:rPr>
        <w:t xml:space="preserve"> or after a return by the person entrusted with the service thereof, that he has been unable to effect service thereof on the first respondent (as the case may be), the sheriff for the district in which such accounting records, files and documents are, be empowered and directed to search for and to take </w:t>
      </w:r>
      <w:r w:rsidRPr="004D1781">
        <w:rPr>
          <w:rFonts w:ascii="Arial" w:hAnsi="Arial" w:cs="Arial"/>
        </w:rPr>
        <w:lastRenderedPageBreak/>
        <w:t>possession thereof wherever they may be and to deliver them to such curator;</w:t>
      </w:r>
    </w:p>
    <w:p w:rsidR="00D238F3" w:rsidRPr="004D1781" w:rsidRDefault="00D238F3" w:rsidP="00D238F3">
      <w:pPr>
        <w:pStyle w:val="ListParagraph"/>
        <w:numPr>
          <w:ilvl w:val="1"/>
          <w:numId w:val="2"/>
        </w:numPr>
        <w:spacing w:before="360" w:after="480"/>
        <w:ind w:left="1701" w:hanging="850"/>
        <w:contextualSpacing w:val="0"/>
        <w:rPr>
          <w:rFonts w:ascii="Arial" w:hAnsi="Arial" w:cs="Arial"/>
        </w:rPr>
      </w:pPr>
      <w:r>
        <w:rPr>
          <w:rFonts w:ascii="Arial" w:hAnsi="Arial" w:cs="Arial"/>
        </w:rPr>
        <w:t>t</w:t>
      </w:r>
      <w:r w:rsidRPr="004D1781">
        <w:rPr>
          <w:rFonts w:ascii="Arial" w:hAnsi="Arial" w:cs="Arial"/>
        </w:rPr>
        <w:t>he curator shall be entitled to:</w:t>
      </w:r>
    </w:p>
    <w:p w:rsidR="00D238F3" w:rsidRPr="004D1781" w:rsidRDefault="00D238F3" w:rsidP="00D238F3">
      <w:pPr>
        <w:pStyle w:val="ListParagraph"/>
        <w:numPr>
          <w:ilvl w:val="2"/>
          <w:numId w:val="2"/>
        </w:numPr>
        <w:spacing w:before="360" w:after="480"/>
        <w:ind w:left="2835" w:hanging="1134"/>
        <w:contextualSpacing w:val="0"/>
        <w:rPr>
          <w:rFonts w:ascii="Arial" w:hAnsi="Arial" w:cs="Arial"/>
        </w:rPr>
      </w:pPr>
      <w:r w:rsidRPr="004D1781">
        <w:rPr>
          <w:rFonts w:ascii="Arial" w:hAnsi="Arial" w:cs="Arial"/>
        </w:rPr>
        <w:t>hand over to the persons entitled thereto all such records, files and documents provided that a satisfactory written undertaking has been received from such persons to pay any amount, either determined taxation or by agreement, in respect of fees and disbursements due to the firm;</w:t>
      </w:r>
    </w:p>
    <w:p w:rsidR="00D238F3" w:rsidRPr="004D1781" w:rsidRDefault="00D238F3" w:rsidP="00D238F3">
      <w:pPr>
        <w:pStyle w:val="ListParagraph"/>
        <w:numPr>
          <w:ilvl w:val="2"/>
          <w:numId w:val="2"/>
        </w:numPr>
        <w:spacing w:before="360" w:after="480"/>
        <w:ind w:left="2835" w:hanging="1134"/>
        <w:contextualSpacing w:val="0"/>
        <w:rPr>
          <w:rFonts w:ascii="Arial" w:hAnsi="Arial" w:cs="Arial"/>
        </w:rPr>
      </w:pPr>
      <w:r w:rsidRPr="004D1781">
        <w:rPr>
          <w:rFonts w:ascii="Arial" w:hAnsi="Arial" w:cs="Arial"/>
        </w:rPr>
        <w:t xml:space="preserve">require from the persons referred to in paragraph </w:t>
      </w:r>
      <w:r w:rsidRPr="004D1781">
        <w:rPr>
          <w:rFonts w:ascii="Arial" w:hAnsi="Arial" w:cs="Arial"/>
        </w:rPr>
        <w:fldChar w:fldCharType="begin"/>
      </w:r>
      <w:r w:rsidRPr="004D1781">
        <w:rPr>
          <w:rFonts w:ascii="Arial" w:hAnsi="Arial" w:cs="Arial"/>
        </w:rPr>
        <w:instrText xml:space="preserve"> REF _Ref52401415 \r \h  \* MERGEFORMAT </w:instrText>
      </w:r>
      <w:r w:rsidRPr="004D1781">
        <w:rPr>
          <w:rFonts w:ascii="Arial" w:hAnsi="Arial" w:cs="Arial"/>
        </w:rPr>
      </w:r>
      <w:r w:rsidRPr="004D1781">
        <w:rPr>
          <w:rFonts w:ascii="Arial" w:hAnsi="Arial" w:cs="Arial"/>
        </w:rPr>
        <w:fldChar w:fldCharType="separate"/>
      </w:r>
      <w:r>
        <w:rPr>
          <w:rFonts w:ascii="Arial" w:hAnsi="Arial" w:cs="Arial"/>
        </w:rPr>
        <w:t>2.9</w:t>
      </w:r>
      <w:r w:rsidRPr="004D1781">
        <w:rPr>
          <w:rFonts w:ascii="Arial" w:hAnsi="Arial" w:cs="Arial"/>
        </w:rPr>
        <w:fldChar w:fldCharType="end"/>
      </w:r>
      <w:r w:rsidRPr="004D1781">
        <w:rPr>
          <w:rFonts w:ascii="Arial" w:hAnsi="Arial" w:cs="Arial"/>
        </w:rPr>
        <w:t xml:space="preserve"> to provide any such documentation or information which he may consider relevant in respect of a claim or possible or anticipated claim, against him and/or the first respondent and/or the first respondent's clients and/or the LPFF in respect of money and/or other property entrusted to the first respondent provided that any person entitled thereto shall be granted reasonable access thereto and shall be permitted to make copies thereof;</w:t>
      </w:r>
    </w:p>
    <w:p w:rsidR="00D238F3" w:rsidRPr="004D1781" w:rsidRDefault="00D238F3" w:rsidP="00D238F3">
      <w:pPr>
        <w:pStyle w:val="ListParagraph"/>
        <w:numPr>
          <w:ilvl w:val="2"/>
          <w:numId w:val="2"/>
        </w:numPr>
        <w:spacing w:before="360" w:after="480"/>
        <w:ind w:left="2835" w:hanging="1134"/>
        <w:contextualSpacing w:val="0"/>
        <w:rPr>
          <w:rFonts w:ascii="Arial" w:hAnsi="Arial" w:cs="Arial"/>
        </w:rPr>
      </w:pPr>
      <w:r w:rsidRPr="004D1781">
        <w:rPr>
          <w:rFonts w:ascii="Arial" w:hAnsi="Arial" w:cs="Arial"/>
        </w:rPr>
        <w:t>publish this order or an abridged version thereof in any newspaper he considers appropriate;</w:t>
      </w:r>
    </w:p>
    <w:p w:rsidR="00D238F3" w:rsidRPr="004D1781" w:rsidRDefault="00D238F3" w:rsidP="00D238F3">
      <w:pPr>
        <w:pStyle w:val="ListParagraph"/>
        <w:numPr>
          <w:ilvl w:val="1"/>
          <w:numId w:val="2"/>
        </w:numPr>
        <w:spacing w:before="360" w:after="480"/>
        <w:ind w:left="1701" w:hanging="850"/>
        <w:contextualSpacing w:val="0"/>
        <w:rPr>
          <w:rFonts w:ascii="Arial" w:hAnsi="Arial" w:cs="Arial"/>
        </w:rPr>
      </w:pPr>
      <w:bookmarkStart w:id="4" w:name="_Ref52401415"/>
      <w:r>
        <w:rPr>
          <w:rFonts w:ascii="Arial" w:hAnsi="Arial" w:cs="Arial"/>
        </w:rPr>
        <w:lastRenderedPageBreak/>
        <w:t>i</w:t>
      </w:r>
      <w:r w:rsidRPr="004D1781">
        <w:rPr>
          <w:rFonts w:ascii="Arial" w:hAnsi="Arial" w:cs="Arial"/>
        </w:rPr>
        <w:t>f there are any trust funds available, the first respondent shall within 6 (six) months after having been requested to do so by the curator, or within such longer period as the curator may agree to in writing, satisfy the curator, by means of the submission of taxed bill of costs or otherwise, of the amount of the fees and disbursements due to h</w:t>
      </w:r>
      <w:r>
        <w:rPr>
          <w:rFonts w:ascii="Arial" w:hAnsi="Arial" w:cs="Arial"/>
        </w:rPr>
        <w:t>er</w:t>
      </w:r>
      <w:r w:rsidRPr="004D1781">
        <w:rPr>
          <w:rFonts w:ascii="Arial" w:hAnsi="Arial" w:cs="Arial"/>
        </w:rPr>
        <w:t xml:space="preserve"> (first respondent) in respect of h</w:t>
      </w:r>
      <w:r>
        <w:rPr>
          <w:rFonts w:ascii="Arial" w:hAnsi="Arial" w:cs="Arial"/>
        </w:rPr>
        <w:t>er</w:t>
      </w:r>
      <w:r w:rsidRPr="004D1781">
        <w:rPr>
          <w:rFonts w:ascii="Arial" w:hAnsi="Arial" w:cs="Arial"/>
        </w:rPr>
        <w:t xml:space="preserve"> former practice, and should </w:t>
      </w:r>
      <w:r>
        <w:rPr>
          <w:rFonts w:ascii="Arial" w:hAnsi="Arial" w:cs="Arial"/>
        </w:rPr>
        <w:t>s</w:t>
      </w:r>
      <w:r w:rsidRPr="004D1781">
        <w:rPr>
          <w:rFonts w:ascii="Arial" w:hAnsi="Arial" w:cs="Arial"/>
        </w:rPr>
        <w:t xml:space="preserve">he fail to do so, </w:t>
      </w:r>
      <w:r>
        <w:rPr>
          <w:rFonts w:ascii="Arial" w:hAnsi="Arial" w:cs="Arial"/>
        </w:rPr>
        <w:t>s</w:t>
      </w:r>
      <w:r w:rsidRPr="004D1781">
        <w:rPr>
          <w:rFonts w:ascii="Arial" w:hAnsi="Arial" w:cs="Arial"/>
        </w:rPr>
        <w:t xml:space="preserve">he shall not be entitled to recover such fees and disbursements from the curator without prejudice, however, to such rights (if any) as </w:t>
      </w:r>
      <w:r>
        <w:rPr>
          <w:rFonts w:ascii="Arial" w:hAnsi="Arial" w:cs="Arial"/>
        </w:rPr>
        <w:t>s</w:t>
      </w:r>
      <w:r w:rsidRPr="004D1781">
        <w:rPr>
          <w:rFonts w:ascii="Arial" w:hAnsi="Arial" w:cs="Arial"/>
        </w:rPr>
        <w:t>he may have against the trust creditor(s) concerned for payment or recovery thereof;</w:t>
      </w:r>
      <w:bookmarkEnd w:id="4"/>
    </w:p>
    <w:p w:rsidR="00D238F3" w:rsidRPr="004D1781" w:rsidRDefault="00D238F3" w:rsidP="00D238F3">
      <w:pPr>
        <w:pStyle w:val="ListParagraph"/>
        <w:numPr>
          <w:ilvl w:val="1"/>
          <w:numId w:val="2"/>
        </w:numPr>
        <w:spacing w:before="360" w:after="480"/>
        <w:ind w:left="1701" w:hanging="850"/>
        <w:contextualSpacing w:val="0"/>
        <w:rPr>
          <w:rFonts w:ascii="Arial" w:hAnsi="Arial" w:cs="Arial"/>
        </w:rPr>
      </w:pPr>
      <w:bookmarkStart w:id="5" w:name="_Ref52402064"/>
      <w:r>
        <w:rPr>
          <w:rFonts w:ascii="Arial" w:hAnsi="Arial" w:cs="Arial"/>
        </w:rPr>
        <w:t>a</w:t>
      </w:r>
      <w:r w:rsidRPr="004D1781">
        <w:rPr>
          <w:rFonts w:ascii="Arial" w:hAnsi="Arial" w:cs="Arial"/>
        </w:rPr>
        <w:t xml:space="preserve"> certificate</w:t>
      </w:r>
      <w:r>
        <w:rPr>
          <w:rFonts w:ascii="Arial" w:hAnsi="Arial" w:cs="Arial"/>
        </w:rPr>
        <w:t xml:space="preserve"> </w:t>
      </w:r>
      <w:r w:rsidRPr="004D1781">
        <w:rPr>
          <w:rFonts w:ascii="Arial" w:hAnsi="Arial" w:cs="Arial"/>
        </w:rPr>
        <w:t xml:space="preserve">issued by a director of the LPFF shall constitute </w:t>
      </w:r>
      <w:r w:rsidRPr="004D1781">
        <w:rPr>
          <w:rFonts w:ascii="Arial" w:hAnsi="Arial" w:cs="Arial"/>
          <w:i/>
        </w:rPr>
        <w:t>prima facie</w:t>
      </w:r>
      <w:r w:rsidRPr="004D1781">
        <w:rPr>
          <w:rFonts w:ascii="Arial" w:hAnsi="Arial" w:cs="Arial"/>
        </w:rPr>
        <w:t xml:space="preserve"> proof of the curator’s costs that the Registrar be authorised to issue a writ of execution on the strength of such certificate in order to collect the curator's costs;</w:t>
      </w:r>
      <w:bookmarkEnd w:id="5"/>
    </w:p>
    <w:p w:rsidR="00D238F3" w:rsidRDefault="00D238F3" w:rsidP="00D238F3">
      <w:pPr>
        <w:pStyle w:val="ListParagraph"/>
        <w:numPr>
          <w:ilvl w:val="1"/>
          <w:numId w:val="2"/>
        </w:numPr>
        <w:spacing w:before="360" w:after="480"/>
        <w:ind w:left="1701" w:hanging="850"/>
        <w:contextualSpacing w:val="0"/>
        <w:rPr>
          <w:rFonts w:ascii="Arial" w:hAnsi="Arial" w:cs="Arial"/>
        </w:rPr>
      </w:pPr>
      <w:r>
        <w:rPr>
          <w:rFonts w:ascii="Arial" w:hAnsi="Arial" w:cs="Arial"/>
        </w:rPr>
        <w:t>t</w:t>
      </w:r>
      <w:r w:rsidRPr="004D1781">
        <w:rPr>
          <w:rFonts w:ascii="Arial" w:hAnsi="Arial" w:cs="Arial"/>
        </w:rPr>
        <w:t>he costs of this application be paid by the first respondent on an attorney and client scale</w:t>
      </w:r>
      <w:r>
        <w:rPr>
          <w:rFonts w:ascii="Arial" w:hAnsi="Arial" w:cs="Arial"/>
        </w:rPr>
        <w:t>;</w:t>
      </w:r>
    </w:p>
    <w:p w:rsidR="00D238F3" w:rsidRPr="00C906BC" w:rsidRDefault="00D238F3" w:rsidP="00D238F3">
      <w:pPr>
        <w:pStyle w:val="ListParagraph"/>
        <w:numPr>
          <w:ilvl w:val="0"/>
          <w:numId w:val="2"/>
        </w:numPr>
        <w:spacing w:before="360" w:after="480"/>
        <w:ind w:left="851" w:hanging="851"/>
        <w:contextualSpacing w:val="0"/>
        <w:rPr>
          <w:rFonts w:ascii="Arial" w:hAnsi="Arial" w:cs="Arial"/>
          <w:b/>
          <w:bCs/>
        </w:rPr>
      </w:pPr>
      <w:r>
        <w:rPr>
          <w:rFonts w:ascii="Arial" w:hAnsi="Arial" w:cs="Arial"/>
        </w:rPr>
        <w:t xml:space="preserve">Part B of the notice of motion is postponed </w:t>
      </w:r>
      <w:r w:rsidRPr="00C61171">
        <w:rPr>
          <w:rFonts w:ascii="Arial" w:hAnsi="Arial" w:cs="Arial"/>
          <w:i/>
          <w:iCs/>
        </w:rPr>
        <w:t>sine die</w:t>
      </w:r>
      <w:r>
        <w:rPr>
          <w:rFonts w:ascii="Arial" w:hAnsi="Arial" w:cs="Arial"/>
        </w:rPr>
        <w:t>.</w:t>
      </w:r>
    </w:p>
    <w:p w:rsidR="00792BFF" w:rsidRDefault="00792BFF" w:rsidP="00F3309A">
      <w:pPr>
        <w:tabs>
          <w:tab w:val="right" w:pos="0"/>
        </w:tabs>
        <w:spacing w:line="360" w:lineRule="auto"/>
        <w:jc w:val="both"/>
        <w:rPr>
          <w:u w:val="none"/>
          <w:lang w:val="en-ZA"/>
        </w:rPr>
      </w:pPr>
    </w:p>
    <w:p w:rsidR="00E502F5" w:rsidRDefault="00E502F5" w:rsidP="00F3309A">
      <w:pPr>
        <w:tabs>
          <w:tab w:val="right" w:pos="0"/>
        </w:tabs>
        <w:spacing w:line="360" w:lineRule="auto"/>
        <w:jc w:val="both"/>
        <w:rPr>
          <w:u w:val="none"/>
          <w:lang w:val="en-ZA"/>
        </w:rPr>
      </w:pPr>
    </w:p>
    <w:p w:rsidR="00E502F5" w:rsidRDefault="00E502F5" w:rsidP="00F3309A">
      <w:pPr>
        <w:tabs>
          <w:tab w:val="right" w:pos="0"/>
        </w:tabs>
        <w:spacing w:line="360" w:lineRule="auto"/>
        <w:jc w:val="both"/>
        <w:rPr>
          <w:u w:val="none"/>
          <w:lang w:val="en-ZA"/>
        </w:rPr>
      </w:pPr>
    </w:p>
    <w:p w:rsidR="00E502F5" w:rsidRDefault="00E502F5" w:rsidP="00F3309A">
      <w:pPr>
        <w:tabs>
          <w:tab w:val="right" w:pos="0"/>
        </w:tabs>
        <w:spacing w:line="360" w:lineRule="auto"/>
        <w:jc w:val="both"/>
        <w:rPr>
          <w:u w:val="none"/>
          <w:lang w:val="en-ZA"/>
        </w:rPr>
      </w:pPr>
    </w:p>
    <w:p w:rsidR="00E502F5" w:rsidRDefault="00E502F5" w:rsidP="00F3309A">
      <w:pPr>
        <w:tabs>
          <w:tab w:val="right" w:pos="0"/>
        </w:tabs>
        <w:spacing w:line="360" w:lineRule="auto"/>
        <w:jc w:val="both"/>
        <w:rPr>
          <w:u w:val="none"/>
          <w:lang w:val="en-ZA"/>
        </w:rPr>
      </w:pPr>
    </w:p>
    <w:p w:rsidR="00E502F5" w:rsidRDefault="00E502F5" w:rsidP="00F3309A">
      <w:pPr>
        <w:tabs>
          <w:tab w:val="right" w:pos="0"/>
        </w:tabs>
        <w:spacing w:line="360" w:lineRule="auto"/>
        <w:jc w:val="both"/>
        <w:rPr>
          <w:u w:val="none"/>
          <w:lang w:val="en-ZA"/>
        </w:rPr>
      </w:pPr>
    </w:p>
    <w:p w:rsidR="00E502F5" w:rsidRDefault="00E502F5" w:rsidP="00F3309A">
      <w:pPr>
        <w:tabs>
          <w:tab w:val="right" w:pos="0"/>
        </w:tabs>
        <w:spacing w:line="360" w:lineRule="auto"/>
        <w:jc w:val="both"/>
        <w:rPr>
          <w:u w:val="none"/>
          <w:lang w:val="en-ZA"/>
        </w:rPr>
      </w:pPr>
    </w:p>
    <w:p w:rsidR="00D238F3" w:rsidRDefault="00E502F5" w:rsidP="00F3309A">
      <w:pPr>
        <w:tabs>
          <w:tab w:val="right" w:pos="0"/>
        </w:tabs>
        <w:spacing w:line="360" w:lineRule="auto"/>
        <w:jc w:val="both"/>
        <w:rPr>
          <w:u w:val="none"/>
          <w:lang w:val="en-ZA"/>
        </w:rPr>
      </w:pPr>
      <w:r>
        <w:rPr>
          <w:u w:val="none"/>
          <w:lang w:val="en-ZA"/>
        </w:rPr>
        <w:t>________________________________</w:t>
      </w:r>
    </w:p>
    <w:p w:rsidR="00D238F3" w:rsidRDefault="00E502F5" w:rsidP="00F3309A">
      <w:pPr>
        <w:tabs>
          <w:tab w:val="right" w:pos="0"/>
        </w:tabs>
        <w:spacing w:line="360" w:lineRule="auto"/>
        <w:jc w:val="both"/>
        <w:rPr>
          <w:u w:val="none"/>
          <w:lang w:val="en-ZA"/>
        </w:rPr>
      </w:pPr>
      <w:r>
        <w:rPr>
          <w:u w:val="none"/>
          <w:lang w:val="en-ZA"/>
        </w:rPr>
        <w:t>S. Mia J (with whom Sutherland DJP concurs)</w:t>
      </w:r>
    </w:p>
    <w:p w:rsidR="00722EFE" w:rsidRDefault="00722EFE" w:rsidP="00F3309A">
      <w:pPr>
        <w:tabs>
          <w:tab w:val="right" w:pos="0"/>
        </w:tabs>
        <w:jc w:val="both"/>
        <w:rPr>
          <w:b/>
          <w:u w:val="none"/>
          <w:lang w:val="en-ZA"/>
        </w:rPr>
      </w:pPr>
    </w:p>
    <w:p w:rsidR="00F3309A" w:rsidRDefault="00F3309A" w:rsidP="00F3309A">
      <w:pPr>
        <w:tabs>
          <w:tab w:val="right" w:pos="0"/>
        </w:tabs>
        <w:jc w:val="both"/>
        <w:rPr>
          <w:b/>
          <w:u w:val="none"/>
          <w:lang w:val="en-ZA"/>
        </w:rPr>
      </w:pPr>
      <w:r>
        <w:rPr>
          <w:b/>
          <w:u w:val="none"/>
          <w:lang w:val="en-ZA"/>
        </w:rPr>
        <w:t>Appearances:</w:t>
      </w:r>
    </w:p>
    <w:p w:rsidR="00F3309A" w:rsidRPr="00813D40" w:rsidRDefault="00F3309A" w:rsidP="00F3309A">
      <w:pPr>
        <w:tabs>
          <w:tab w:val="right" w:pos="0"/>
        </w:tabs>
        <w:jc w:val="both"/>
        <w:rPr>
          <w:b/>
          <w:u w:val="none"/>
          <w:lang w:val="en-ZA"/>
        </w:rPr>
      </w:pPr>
    </w:p>
    <w:p w:rsidR="001749F2" w:rsidRDefault="00F3309A" w:rsidP="00F3309A">
      <w:pPr>
        <w:tabs>
          <w:tab w:val="right" w:pos="0"/>
        </w:tabs>
        <w:spacing w:line="360" w:lineRule="auto"/>
        <w:jc w:val="both"/>
        <w:rPr>
          <w:u w:val="none"/>
        </w:rPr>
      </w:pPr>
      <w:r>
        <w:rPr>
          <w:u w:val="none"/>
          <w:lang w:val="en-ZA"/>
        </w:rPr>
        <w:t>On behalf of the</w:t>
      </w:r>
      <w:r w:rsidR="003F4A8F">
        <w:rPr>
          <w:u w:val="none"/>
          <w:lang w:val="en-ZA"/>
        </w:rPr>
        <w:t xml:space="preserve"> applicant</w:t>
      </w:r>
      <w:r>
        <w:rPr>
          <w:u w:val="none"/>
          <w:lang w:val="en-ZA"/>
        </w:rPr>
        <w:tab/>
      </w:r>
      <w:r>
        <w:rPr>
          <w:u w:val="none"/>
          <w:lang w:val="en-ZA"/>
        </w:rPr>
        <w:tab/>
        <w:t>:</w:t>
      </w:r>
      <w:r w:rsidRPr="00EA4F48">
        <w:rPr>
          <w:u w:val="none"/>
        </w:rPr>
        <w:t xml:space="preserve"> </w:t>
      </w:r>
      <w:r w:rsidR="006161FD">
        <w:rPr>
          <w:u w:val="none"/>
        </w:rPr>
        <w:t>Adv</w:t>
      </w:r>
      <w:r w:rsidR="006161FD" w:rsidRPr="006161FD">
        <w:rPr>
          <w:u w:val="none"/>
        </w:rPr>
        <w:t xml:space="preserve"> NS Mteto</w:t>
      </w:r>
    </w:p>
    <w:p w:rsidR="00740DE1" w:rsidRDefault="00740DE1" w:rsidP="00F3309A">
      <w:pPr>
        <w:tabs>
          <w:tab w:val="right" w:pos="0"/>
        </w:tabs>
        <w:spacing w:line="360" w:lineRule="auto"/>
        <w:jc w:val="both"/>
        <w:rPr>
          <w:u w:val="none"/>
        </w:rPr>
      </w:pPr>
    </w:p>
    <w:p w:rsidR="00630B29" w:rsidRDefault="00F3309A" w:rsidP="00F3309A">
      <w:pPr>
        <w:tabs>
          <w:tab w:val="right" w:pos="0"/>
        </w:tabs>
        <w:spacing w:line="360" w:lineRule="auto"/>
        <w:jc w:val="both"/>
        <w:rPr>
          <w:u w:val="none"/>
          <w:lang w:val="en-ZA"/>
        </w:rPr>
      </w:pPr>
      <w:r>
        <w:rPr>
          <w:u w:val="none"/>
          <w:lang w:val="en-ZA"/>
        </w:rPr>
        <w:t xml:space="preserve">Instructed by                                 </w:t>
      </w:r>
      <w:r>
        <w:rPr>
          <w:u w:val="none"/>
          <w:lang w:val="en-ZA"/>
        </w:rPr>
        <w:tab/>
        <w:t>:</w:t>
      </w:r>
      <w:r w:rsidR="006161FD">
        <w:rPr>
          <w:u w:val="none"/>
          <w:lang w:val="en-ZA"/>
        </w:rPr>
        <w:t xml:space="preserve"> </w:t>
      </w:r>
      <w:r w:rsidR="006161FD" w:rsidRPr="006161FD">
        <w:rPr>
          <w:u w:val="none"/>
          <w:lang w:val="en-ZA"/>
        </w:rPr>
        <w:t>Renqe FY Incorporated</w:t>
      </w:r>
      <w:r w:rsidR="00630B29">
        <w:rPr>
          <w:u w:val="none"/>
          <w:lang w:val="en-ZA"/>
        </w:rPr>
        <w:tab/>
      </w:r>
      <w:r w:rsidR="00630B29">
        <w:rPr>
          <w:u w:val="none"/>
          <w:lang w:val="en-ZA"/>
        </w:rPr>
        <w:tab/>
      </w:r>
      <w:r w:rsidR="00630B29">
        <w:rPr>
          <w:u w:val="none"/>
          <w:lang w:val="en-ZA"/>
        </w:rPr>
        <w:tab/>
      </w:r>
      <w:r w:rsidR="00630B29">
        <w:rPr>
          <w:u w:val="none"/>
          <w:lang w:val="en-ZA"/>
        </w:rPr>
        <w:tab/>
      </w:r>
      <w:r w:rsidR="00DF6BCB">
        <w:rPr>
          <w:u w:val="none"/>
          <w:lang w:val="en-ZA"/>
        </w:rPr>
        <w:t xml:space="preserve">  </w:t>
      </w:r>
    </w:p>
    <w:p w:rsidR="00F3309A" w:rsidRDefault="00F3309A" w:rsidP="00F3309A">
      <w:pPr>
        <w:tabs>
          <w:tab w:val="right" w:pos="0"/>
        </w:tabs>
        <w:jc w:val="both"/>
        <w:rPr>
          <w:u w:val="none"/>
          <w:lang w:val="en-ZA"/>
        </w:rPr>
      </w:pPr>
    </w:p>
    <w:p w:rsidR="001749F2" w:rsidRPr="001749F2" w:rsidRDefault="00F3309A" w:rsidP="001749F2">
      <w:pPr>
        <w:tabs>
          <w:tab w:val="right" w:pos="0"/>
        </w:tabs>
        <w:spacing w:line="360" w:lineRule="auto"/>
        <w:jc w:val="both"/>
        <w:rPr>
          <w:u w:val="none"/>
          <w:lang w:val="en-ZA"/>
        </w:rPr>
      </w:pPr>
      <w:r>
        <w:rPr>
          <w:u w:val="none"/>
          <w:lang w:val="en-ZA"/>
        </w:rPr>
        <w:t xml:space="preserve">On behalf </w:t>
      </w:r>
      <w:r w:rsidR="00740DE1">
        <w:rPr>
          <w:u w:val="none"/>
          <w:lang w:val="en-ZA"/>
        </w:rPr>
        <w:t>respondent</w:t>
      </w:r>
      <w:r w:rsidR="000E0C2A">
        <w:rPr>
          <w:u w:val="none"/>
          <w:lang w:val="en-ZA"/>
        </w:rPr>
        <w:t>s</w:t>
      </w:r>
      <w:r>
        <w:rPr>
          <w:u w:val="none"/>
          <w:lang w:val="en-ZA"/>
        </w:rPr>
        <w:tab/>
      </w:r>
      <w:r w:rsidR="001749F2">
        <w:rPr>
          <w:u w:val="none"/>
          <w:lang w:val="en-ZA"/>
        </w:rPr>
        <w:tab/>
      </w:r>
      <w:r>
        <w:rPr>
          <w:u w:val="none"/>
          <w:lang w:val="en-ZA"/>
        </w:rPr>
        <w:t xml:space="preserve">:  </w:t>
      </w:r>
      <w:r w:rsidR="000E0C2A">
        <w:rPr>
          <w:u w:val="none"/>
          <w:lang w:val="en-ZA"/>
        </w:rPr>
        <w:t xml:space="preserve">Adv S </w:t>
      </w:r>
      <w:r w:rsidR="006161FD" w:rsidRPr="006161FD">
        <w:rPr>
          <w:u w:val="none"/>
          <w:lang w:val="en-ZA"/>
        </w:rPr>
        <w:t>Meyer</w:t>
      </w:r>
    </w:p>
    <w:p w:rsidR="00F3309A" w:rsidRDefault="00DF6BCB" w:rsidP="00F3309A">
      <w:pPr>
        <w:tabs>
          <w:tab w:val="right" w:pos="0"/>
        </w:tabs>
        <w:spacing w:line="360" w:lineRule="auto"/>
        <w:jc w:val="both"/>
        <w:rPr>
          <w:u w:val="none"/>
          <w:lang w:val="en-ZA"/>
        </w:rPr>
      </w:pPr>
      <w:r>
        <w:rPr>
          <w:u w:val="none"/>
          <w:lang w:val="en-ZA"/>
        </w:rPr>
        <w:tab/>
      </w:r>
      <w:r>
        <w:rPr>
          <w:u w:val="none"/>
          <w:lang w:val="en-ZA"/>
        </w:rPr>
        <w:tab/>
      </w:r>
      <w:r>
        <w:rPr>
          <w:u w:val="none"/>
          <w:lang w:val="en-ZA"/>
        </w:rPr>
        <w:tab/>
      </w:r>
      <w:r>
        <w:rPr>
          <w:u w:val="none"/>
          <w:lang w:val="en-ZA"/>
        </w:rPr>
        <w:tab/>
      </w:r>
      <w:r>
        <w:rPr>
          <w:u w:val="none"/>
          <w:lang w:val="en-ZA"/>
        </w:rPr>
        <w:tab/>
      </w:r>
    </w:p>
    <w:p w:rsidR="00630B29" w:rsidRDefault="00F3309A" w:rsidP="00F3309A">
      <w:pPr>
        <w:tabs>
          <w:tab w:val="right" w:pos="0"/>
        </w:tabs>
        <w:spacing w:line="360" w:lineRule="auto"/>
        <w:jc w:val="both"/>
        <w:rPr>
          <w:u w:val="none"/>
          <w:lang w:val="en-ZA"/>
        </w:rPr>
      </w:pPr>
      <w:r>
        <w:rPr>
          <w:u w:val="none"/>
          <w:lang w:val="en-ZA"/>
        </w:rPr>
        <w:t xml:space="preserve">Instructed by                           </w:t>
      </w:r>
      <w:r>
        <w:rPr>
          <w:u w:val="none"/>
          <w:lang w:val="en-ZA"/>
        </w:rPr>
        <w:tab/>
        <w:t xml:space="preserve">:  </w:t>
      </w:r>
      <w:r w:rsidR="006161FD" w:rsidRPr="006161FD">
        <w:rPr>
          <w:u w:val="none"/>
          <w:lang w:val="en-ZA"/>
        </w:rPr>
        <w:t>Ulrich Roux &amp; Associates</w:t>
      </w:r>
    </w:p>
    <w:p w:rsidR="00F3309A" w:rsidRDefault="00630B29" w:rsidP="00F3309A">
      <w:pPr>
        <w:tabs>
          <w:tab w:val="right" w:pos="0"/>
        </w:tabs>
        <w:spacing w:line="360" w:lineRule="auto"/>
        <w:jc w:val="both"/>
        <w:rPr>
          <w:u w:val="none"/>
          <w:lang w:val="en-ZA"/>
        </w:rPr>
      </w:pPr>
      <w:r>
        <w:rPr>
          <w:u w:val="none"/>
          <w:lang w:val="en-ZA"/>
        </w:rPr>
        <w:tab/>
      </w:r>
      <w:r>
        <w:rPr>
          <w:u w:val="none"/>
          <w:lang w:val="en-ZA"/>
        </w:rPr>
        <w:tab/>
      </w:r>
      <w:r>
        <w:rPr>
          <w:u w:val="none"/>
          <w:lang w:val="en-ZA"/>
        </w:rPr>
        <w:tab/>
      </w:r>
      <w:r>
        <w:rPr>
          <w:u w:val="none"/>
          <w:lang w:val="en-ZA"/>
        </w:rPr>
        <w:tab/>
      </w:r>
      <w:r>
        <w:rPr>
          <w:u w:val="none"/>
          <w:lang w:val="en-ZA"/>
        </w:rPr>
        <w:tab/>
      </w:r>
    </w:p>
    <w:p w:rsidR="00F3309A" w:rsidRDefault="00F3309A" w:rsidP="00F3309A">
      <w:pPr>
        <w:tabs>
          <w:tab w:val="right" w:pos="0"/>
        </w:tabs>
        <w:spacing w:line="360" w:lineRule="auto"/>
        <w:jc w:val="both"/>
        <w:rPr>
          <w:u w:val="none"/>
          <w:lang w:val="en-ZA"/>
        </w:rPr>
      </w:pPr>
    </w:p>
    <w:p w:rsidR="00F3309A" w:rsidRDefault="00F3309A" w:rsidP="00F3309A">
      <w:pPr>
        <w:tabs>
          <w:tab w:val="right" w:pos="0"/>
        </w:tabs>
        <w:spacing w:line="360" w:lineRule="auto"/>
        <w:jc w:val="both"/>
        <w:rPr>
          <w:u w:val="none"/>
          <w:lang w:val="en-ZA"/>
        </w:rPr>
      </w:pPr>
      <w:r>
        <w:rPr>
          <w:u w:val="none"/>
          <w:lang w:val="en-ZA"/>
        </w:rPr>
        <w:t xml:space="preserve">Date of hearing                              : </w:t>
      </w:r>
      <w:r w:rsidR="00740DE1">
        <w:rPr>
          <w:u w:val="none"/>
          <w:lang w:val="en-ZA"/>
        </w:rPr>
        <w:t xml:space="preserve"> 30 </w:t>
      </w:r>
      <w:r w:rsidR="00792BFF">
        <w:rPr>
          <w:u w:val="none"/>
          <w:lang w:val="en-ZA"/>
        </w:rPr>
        <w:t>No</w:t>
      </w:r>
      <w:r w:rsidR="00740DE1">
        <w:rPr>
          <w:u w:val="none"/>
          <w:lang w:val="en-ZA"/>
        </w:rPr>
        <w:t>vember</w:t>
      </w:r>
      <w:r w:rsidR="00792BFF">
        <w:rPr>
          <w:u w:val="none"/>
          <w:lang w:val="en-ZA"/>
        </w:rPr>
        <w:t xml:space="preserve">, 6 December </w:t>
      </w:r>
      <w:r w:rsidR="00740DE1">
        <w:rPr>
          <w:u w:val="none"/>
          <w:lang w:val="en-ZA"/>
        </w:rPr>
        <w:t xml:space="preserve"> 2021</w:t>
      </w:r>
    </w:p>
    <w:p w:rsidR="00F3309A" w:rsidRDefault="00F3309A" w:rsidP="00F3309A">
      <w:pPr>
        <w:tabs>
          <w:tab w:val="right" w:pos="0"/>
        </w:tabs>
        <w:spacing w:line="360" w:lineRule="auto"/>
        <w:jc w:val="both"/>
        <w:rPr>
          <w:u w:val="none"/>
          <w:lang w:val="en-ZA"/>
        </w:rPr>
      </w:pPr>
      <w:r>
        <w:rPr>
          <w:u w:val="none"/>
          <w:lang w:val="en-ZA"/>
        </w:rPr>
        <w:t xml:space="preserve">Date of judgment                          </w:t>
      </w:r>
      <w:r>
        <w:rPr>
          <w:u w:val="none"/>
          <w:lang w:val="en-ZA"/>
        </w:rPr>
        <w:tab/>
        <w:t xml:space="preserve"> : </w:t>
      </w:r>
      <w:r w:rsidR="00B646C0">
        <w:rPr>
          <w:u w:val="none"/>
          <w:lang w:val="en-ZA"/>
        </w:rPr>
        <w:t xml:space="preserve"> 21 December 2021</w:t>
      </w:r>
    </w:p>
    <w:p w:rsidR="00F3309A" w:rsidRDefault="00F3309A" w:rsidP="00F3309A">
      <w:pPr>
        <w:tabs>
          <w:tab w:val="right" w:pos="0"/>
        </w:tabs>
        <w:spacing w:line="360" w:lineRule="auto"/>
        <w:jc w:val="both"/>
        <w:rPr>
          <w:u w:val="none"/>
          <w:lang w:val="en-ZA"/>
        </w:rPr>
      </w:pPr>
      <w:r>
        <w:rPr>
          <w:u w:val="none"/>
          <w:lang w:val="en-ZA"/>
        </w:rPr>
        <w:t xml:space="preserve">                                                                 </w:t>
      </w:r>
    </w:p>
    <w:p w:rsidR="00F3309A" w:rsidRDefault="00F3309A" w:rsidP="00F3309A">
      <w:pPr>
        <w:tabs>
          <w:tab w:val="right" w:pos="0"/>
        </w:tabs>
        <w:spacing w:line="360" w:lineRule="auto"/>
        <w:jc w:val="both"/>
        <w:rPr>
          <w:u w:val="none"/>
          <w:lang w:val="en-ZA"/>
        </w:rPr>
      </w:pPr>
      <w:r>
        <w:rPr>
          <w:u w:val="none"/>
          <w:lang w:val="en-ZA"/>
        </w:rPr>
        <w:t xml:space="preserve">                                                        </w:t>
      </w:r>
    </w:p>
    <w:p w:rsidR="00F3309A" w:rsidRPr="00FB1C7B" w:rsidRDefault="00F3309A" w:rsidP="00F3309A">
      <w:pPr>
        <w:tabs>
          <w:tab w:val="right" w:pos="0"/>
        </w:tabs>
        <w:jc w:val="both"/>
        <w:rPr>
          <w:u w:val="none"/>
          <w:lang w:val="en-ZA"/>
        </w:rPr>
      </w:pPr>
    </w:p>
    <w:p w:rsidR="00F3309A" w:rsidRDefault="00F3309A" w:rsidP="00F3309A"/>
    <w:p w:rsidR="00F3309A" w:rsidRDefault="00F3309A" w:rsidP="00F3309A"/>
    <w:p w:rsidR="00F3309A" w:rsidRDefault="00F3309A" w:rsidP="00F3309A"/>
    <w:p w:rsidR="00F3309A" w:rsidRDefault="00F3309A" w:rsidP="00F3309A"/>
    <w:p w:rsidR="0089552F" w:rsidRDefault="0089552F"/>
    <w:sectPr w:rsidR="0089552F" w:rsidSect="0021227A">
      <w:headerReference w:type="even" r:id="rId13"/>
      <w:headerReference w:type="default" r:id="rId14"/>
      <w:pgSz w:w="11906" w:h="16838"/>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BA4" w:rsidRDefault="005A7BA4">
      <w:r>
        <w:separator/>
      </w:r>
    </w:p>
  </w:endnote>
  <w:endnote w:type="continuationSeparator" w:id="0">
    <w:p w:rsidR="005A7BA4" w:rsidRDefault="005A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BA4" w:rsidRDefault="005A7BA4">
      <w:r>
        <w:separator/>
      </w:r>
    </w:p>
  </w:footnote>
  <w:footnote w:type="continuationSeparator" w:id="0">
    <w:p w:rsidR="005A7BA4" w:rsidRDefault="005A7BA4">
      <w:r>
        <w:continuationSeparator/>
      </w:r>
    </w:p>
  </w:footnote>
  <w:footnote w:id="1">
    <w:p w:rsidR="00631440" w:rsidRPr="003846FC" w:rsidRDefault="00631440">
      <w:pPr>
        <w:pStyle w:val="FootnoteText"/>
        <w:rPr>
          <w:u w:val="none"/>
        </w:rPr>
      </w:pPr>
      <w:r w:rsidRPr="003846FC">
        <w:rPr>
          <w:rStyle w:val="FootnoteReference"/>
          <w:u w:val="none"/>
        </w:rPr>
        <w:footnoteRef/>
      </w:r>
      <w:r w:rsidRPr="003846FC">
        <w:rPr>
          <w:u w:val="none"/>
        </w:rPr>
        <w:t xml:space="preserve"> Rule 54.14.10 of t</w:t>
      </w:r>
      <w:r>
        <w:rPr>
          <w:u w:val="none"/>
        </w:rPr>
        <w:t>he Legal Practice Council Rules</w:t>
      </w:r>
    </w:p>
  </w:footnote>
  <w:footnote w:id="2">
    <w:p w:rsidR="00631440" w:rsidRPr="003846FC" w:rsidRDefault="00631440" w:rsidP="003846FC">
      <w:pPr>
        <w:pStyle w:val="FootnoteText"/>
        <w:rPr>
          <w:u w:val="none"/>
        </w:rPr>
      </w:pPr>
      <w:r w:rsidRPr="003846FC">
        <w:rPr>
          <w:rStyle w:val="FootnoteReference"/>
          <w:u w:val="none"/>
        </w:rPr>
        <w:footnoteRef/>
      </w:r>
      <w:r w:rsidRPr="003846FC">
        <w:rPr>
          <w:u w:val="none"/>
        </w:rPr>
        <w:t xml:space="preserve"> section 3.3 of the Code of Conduct.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440" w:rsidRDefault="00631440" w:rsidP="002122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1440" w:rsidRDefault="006314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440" w:rsidRPr="00165851" w:rsidRDefault="00631440" w:rsidP="0021227A">
    <w:pPr>
      <w:pStyle w:val="Header"/>
      <w:framePr w:wrap="around" w:vAnchor="text" w:hAnchor="margin" w:xAlign="center" w:y="1"/>
      <w:rPr>
        <w:rStyle w:val="PageNumber"/>
        <w:u w:val="none"/>
      </w:rPr>
    </w:pPr>
    <w:r w:rsidRPr="00165851">
      <w:rPr>
        <w:rStyle w:val="PageNumber"/>
        <w:u w:val="none"/>
      </w:rPr>
      <w:fldChar w:fldCharType="begin"/>
    </w:r>
    <w:r w:rsidRPr="00165851">
      <w:rPr>
        <w:rStyle w:val="PageNumber"/>
        <w:u w:val="none"/>
      </w:rPr>
      <w:instrText xml:space="preserve">PAGE  </w:instrText>
    </w:r>
    <w:r w:rsidRPr="00165851">
      <w:rPr>
        <w:rStyle w:val="PageNumber"/>
        <w:u w:val="none"/>
      </w:rPr>
      <w:fldChar w:fldCharType="separate"/>
    </w:r>
    <w:r w:rsidR="00E41A4A">
      <w:rPr>
        <w:rStyle w:val="PageNumber"/>
        <w:noProof/>
        <w:u w:val="none"/>
      </w:rPr>
      <w:t>19</w:t>
    </w:r>
    <w:r w:rsidRPr="00165851">
      <w:rPr>
        <w:rStyle w:val="PageNumber"/>
        <w:u w:val="none"/>
      </w:rPr>
      <w:fldChar w:fldCharType="end"/>
    </w:r>
  </w:p>
  <w:p w:rsidR="00631440" w:rsidRDefault="00631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77C1994"/>
    <w:multiLevelType w:val="multilevel"/>
    <w:tmpl w:val="D94A6DB4"/>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ZA" w:vendorID="64" w:dllVersion="131078"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yMrY0MbQ0NDU1NTNU0lEKTi0uzszPAykwrQUArzFOkiwAAAA="/>
  </w:docVars>
  <w:rsids>
    <w:rsidRoot w:val="00F3309A"/>
    <w:rsid w:val="0000601C"/>
    <w:rsid w:val="00006310"/>
    <w:rsid w:val="00051793"/>
    <w:rsid w:val="00052EF6"/>
    <w:rsid w:val="00056E65"/>
    <w:rsid w:val="000756F2"/>
    <w:rsid w:val="000A586F"/>
    <w:rsid w:val="000B2E89"/>
    <w:rsid w:val="000D5938"/>
    <w:rsid w:val="000E0C2A"/>
    <w:rsid w:val="000E71C9"/>
    <w:rsid w:val="00101907"/>
    <w:rsid w:val="00121BD2"/>
    <w:rsid w:val="0012522F"/>
    <w:rsid w:val="00127420"/>
    <w:rsid w:val="00131D9D"/>
    <w:rsid w:val="001749F2"/>
    <w:rsid w:val="00176832"/>
    <w:rsid w:val="00180851"/>
    <w:rsid w:val="001B2DEB"/>
    <w:rsid w:val="001C43F4"/>
    <w:rsid w:val="001D0C9B"/>
    <w:rsid w:val="001E27DA"/>
    <w:rsid w:val="001E3CC4"/>
    <w:rsid w:val="002078E9"/>
    <w:rsid w:val="0021227A"/>
    <w:rsid w:val="002754C6"/>
    <w:rsid w:val="002A4CD6"/>
    <w:rsid w:val="002A687B"/>
    <w:rsid w:val="002B46A2"/>
    <w:rsid w:val="002C5781"/>
    <w:rsid w:val="002F2D15"/>
    <w:rsid w:val="002F3909"/>
    <w:rsid w:val="00333BCC"/>
    <w:rsid w:val="0036201A"/>
    <w:rsid w:val="0036739F"/>
    <w:rsid w:val="003815E4"/>
    <w:rsid w:val="0038326D"/>
    <w:rsid w:val="003846FC"/>
    <w:rsid w:val="003B7997"/>
    <w:rsid w:val="003C253F"/>
    <w:rsid w:val="003D12BC"/>
    <w:rsid w:val="003F4A8F"/>
    <w:rsid w:val="00410BCD"/>
    <w:rsid w:val="00426193"/>
    <w:rsid w:val="0043329F"/>
    <w:rsid w:val="00440508"/>
    <w:rsid w:val="00443FA2"/>
    <w:rsid w:val="00454FEC"/>
    <w:rsid w:val="00493BAB"/>
    <w:rsid w:val="004C271D"/>
    <w:rsid w:val="004D5DDE"/>
    <w:rsid w:val="004E0C05"/>
    <w:rsid w:val="004E642B"/>
    <w:rsid w:val="00505A2A"/>
    <w:rsid w:val="00531B74"/>
    <w:rsid w:val="00544232"/>
    <w:rsid w:val="00567BA6"/>
    <w:rsid w:val="005774D8"/>
    <w:rsid w:val="005774E8"/>
    <w:rsid w:val="00577A6B"/>
    <w:rsid w:val="0058388D"/>
    <w:rsid w:val="00595468"/>
    <w:rsid w:val="00596BA6"/>
    <w:rsid w:val="005A7BA4"/>
    <w:rsid w:val="005F3B11"/>
    <w:rsid w:val="006161FD"/>
    <w:rsid w:val="00630B29"/>
    <w:rsid w:val="00631440"/>
    <w:rsid w:val="00667570"/>
    <w:rsid w:val="006736C9"/>
    <w:rsid w:val="006750FC"/>
    <w:rsid w:val="006820B6"/>
    <w:rsid w:val="00686646"/>
    <w:rsid w:val="006A6DF9"/>
    <w:rsid w:val="006C429D"/>
    <w:rsid w:val="006E014F"/>
    <w:rsid w:val="006F5165"/>
    <w:rsid w:val="00722EFE"/>
    <w:rsid w:val="007233DE"/>
    <w:rsid w:val="00734904"/>
    <w:rsid w:val="00740DE1"/>
    <w:rsid w:val="007445D0"/>
    <w:rsid w:val="007451B4"/>
    <w:rsid w:val="00762784"/>
    <w:rsid w:val="00763203"/>
    <w:rsid w:val="0078672A"/>
    <w:rsid w:val="00792BFF"/>
    <w:rsid w:val="007A0E46"/>
    <w:rsid w:val="007A7BF8"/>
    <w:rsid w:val="007C6E92"/>
    <w:rsid w:val="007D0FF4"/>
    <w:rsid w:val="007F2B21"/>
    <w:rsid w:val="007F316B"/>
    <w:rsid w:val="00803CCA"/>
    <w:rsid w:val="00827A52"/>
    <w:rsid w:val="00832843"/>
    <w:rsid w:val="00856BFD"/>
    <w:rsid w:val="00877882"/>
    <w:rsid w:val="00890668"/>
    <w:rsid w:val="0089552F"/>
    <w:rsid w:val="008B4F69"/>
    <w:rsid w:val="008C2492"/>
    <w:rsid w:val="008D4642"/>
    <w:rsid w:val="008E4E60"/>
    <w:rsid w:val="00915063"/>
    <w:rsid w:val="009570B1"/>
    <w:rsid w:val="009636E9"/>
    <w:rsid w:val="0098044F"/>
    <w:rsid w:val="00980653"/>
    <w:rsid w:val="0098633B"/>
    <w:rsid w:val="009C28D2"/>
    <w:rsid w:val="009C5B26"/>
    <w:rsid w:val="009E5487"/>
    <w:rsid w:val="009F42DE"/>
    <w:rsid w:val="00A105FF"/>
    <w:rsid w:val="00A12822"/>
    <w:rsid w:val="00A56593"/>
    <w:rsid w:val="00A83DB5"/>
    <w:rsid w:val="00A8605B"/>
    <w:rsid w:val="00AB2874"/>
    <w:rsid w:val="00AB52FD"/>
    <w:rsid w:val="00B14D4A"/>
    <w:rsid w:val="00B341CE"/>
    <w:rsid w:val="00B37CA2"/>
    <w:rsid w:val="00B419CB"/>
    <w:rsid w:val="00B521F9"/>
    <w:rsid w:val="00B55AD7"/>
    <w:rsid w:val="00B56ACD"/>
    <w:rsid w:val="00B575CD"/>
    <w:rsid w:val="00B646C0"/>
    <w:rsid w:val="00B66D9F"/>
    <w:rsid w:val="00B930C6"/>
    <w:rsid w:val="00BC04F2"/>
    <w:rsid w:val="00BD6E59"/>
    <w:rsid w:val="00C10D79"/>
    <w:rsid w:val="00C2254A"/>
    <w:rsid w:val="00C22A4E"/>
    <w:rsid w:val="00C54E6F"/>
    <w:rsid w:val="00C6384A"/>
    <w:rsid w:val="00C651C3"/>
    <w:rsid w:val="00C80A5D"/>
    <w:rsid w:val="00CD431C"/>
    <w:rsid w:val="00CD68AA"/>
    <w:rsid w:val="00CE00F7"/>
    <w:rsid w:val="00CF0B6C"/>
    <w:rsid w:val="00D02ECE"/>
    <w:rsid w:val="00D07901"/>
    <w:rsid w:val="00D238F3"/>
    <w:rsid w:val="00D34129"/>
    <w:rsid w:val="00D8504C"/>
    <w:rsid w:val="00D87F8C"/>
    <w:rsid w:val="00DA6D6D"/>
    <w:rsid w:val="00DB4EE5"/>
    <w:rsid w:val="00DD204D"/>
    <w:rsid w:val="00DE6324"/>
    <w:rsid w:val="00DF6BCB"/>
    <w:rsid w:val="00E14A62"/>
    <w:rsid w:val="00E33B04"/>
    <w:rsid w:val="00E35825"/>
    <w:rsid w:val="00E37CC5"/>
    <w:rsid w:val="00E41A4A"/>
    <w:rsid w:val="00E42433"/>
    <w:rsid w:val="00E502F5"/>
    <w:rsid w:val="00EC646E"/>
    <w:rsid w:val="00EF0938"/>
    <w:rsid w:val="00F0283B"/>
    <w:rsid w:val="00F10464"/>
    <w:rsid w:val="00F26435"/>
    <w:rsid w:val="00F32AA8"/>
    <w:rsid w:val="00F3309A"/>
    <w:rsid w:val="00F413EB"/>
    <w:rsid w:val="00F43304"/>
    <w:rsid w:val="00F9059E"/>
    <w:rsid w:val="00FB6DA4"/>
    <w:rsid w:val="00FC39FA"/>
    <w:rsid w:val="00FF0E4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87CFD7CE-9E4B-4A65-B137-5E1D4AC0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09A"/>
    <w:pPr>
      <w:spacing w:after="0" w:line="240" w:lineRule="auto"/>
    </w:pPr>
    <w:rPr>
      <w:rFonts w:ascii="Arial" w:eastAsia="Times New Roman" w:hAnsi="Arial" w:cs="Arial"/>
      <w:sz w:val="24"/>
      <w:szCs w:val="24"/>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309A"/>
    <w:pPr>
      <w:tabs>
        <w:tab w:val="center" w:pos="4153"/>
        <w:tab w:val="right" w:pos="8306"/>
      </w:tabs>
    </w:pPr>
  </w:style>
  <w:style w:type="character" w:customStyle="1" w:styleId="HeaderChar">
    <w:name w:val="Header Char"/>
    <w:basedOn w:val="DefaultParagraphFont"/>
    <w:link w:val="Header"/>
    <w:rsid w:val="00F3309A"/>
    <w:rPr>
      <w:rFonts w:ascii="Arial" w:eastAsia="Times New Roman" w:hAnsi="Arial" w:cs="Arial"/>
      <w:sz w:val="24"/>
      <w:szCs w:val="24"/>
      <w:u w:val="single"/>
      <w:lang w:val="en-GB" w:eastAsia="en-GB"/>
    </w:rPr>
  </w:style>
  <w:style w:type="character" w:styleId="PageNumber">
    <w:name w:val="page number"/>
    <w:basedOn w:val="DefaultParagraphFont"/>
    <w:rsid w:val="00F3309A"/>
  </w:style>
  <w:style w:type="paragraph" w:customStyle="1" w:styleId="q-normal">
    <w:name w:val="q-normal"/>
    <w:basedOn w:val="Normal"/>
    <w:rsid w:val="00F3309A"/>
    <w:pPr>
      <w:spacing w:before="100" w:beforeAutospacing="1" w:after="100" w:afterAutospacing="1"/>
    </w:pPr>
    <w:rPr>
      <w:rFonts w:ascii="Times New Roman" w:hAnsi="Times New Roman" w:cs="Times New Roman"/>
      <w:u w:val="none"/>
      <w:lang w:val="en-ZA" w:eastAsia="en-ZA"/>
    </w:rPr>
  </w:style>
  <w:style w:type="character" w:customStyle="1" w:styleId="footnote-link">
    <w:name w:val="footnote-link"/>
    <w:basedOn w:val="DefaultParagraphFont"/>
    <w:rsid w:val="00F3309A"/>
  </w:style>
  <w:style w:type="paragraph" w:customStyle="1" w:styleId="lg-i-a-i-sl">
    <w:name w:val="lg-i-a-i-sl"/>
    <w:basedOn w:val="Normal"/>
    <w:rsid w:val="00F3309A"/>
    <w:pPr>
      <w:spacing w:before="100" w:beforeAutospacing="1" w:after="100" w:afterAutospacing="1"/>
    </w:pPr>
    <w:rPr>
      <w:rFonts w:ascii="Times New Roman" w:hAnsi="Times New Roman" w:cs="Times New Roman"/>
      <w:u w:val="none"/>
      <w:lang w:val="en-ZA" w:eastAsia="en-ZA"/>
    </w:rPr>
  </w:style>
  <w:style w:type="paragraph" w:customStyle="1" w:styleId="lg-i-a-1">
    <w:name w:val="lg-i-a-1"/>
    <w:basedOn w:val="Normal"/>
    <w:rsid w:val="00F3309A"/>
    <w:pPr>
      <w:spacing w:before="100" w:beforeAutospacing="1" w:after="100" w:afterAutospacing="1"/>
    </w:pPr>
    <w:rPr>
      <w:rFonts w:ascii="Times New Roman" w:hAnsi="Times New Roman" w:cs="Times New Roman"/>
      <w:u w:val="none"/>
      <w:lang w:val="en-ZA" w:eastAsia="en-ZA"/>
    </w:rPr>
  </w:style>
  <w:style w:type="paragraph" w:customStyle="1" w:styleId="n10pt-1">
    <w:name w:val="n10pt-1"/>
    <w:basedOn w:val="Normal"/>
    <w:rsid w:val="00F3309A"/>
    <w:pPr>
      <w:spacing w:before="100" w:beforeAutospacing="1" w:after="100" w:afterAutospacing="1"/>
    </w:pPr>
    <w:rPr>
      <w:rFonts w:ascii="Times New Roman" w:hAnsi="Times New Roman" w:cs="Times New Roman"/>
      <w:u w:val="none"/>
      <w:lang w:val="en-ZA" w:eastAsia="en-ZA"/>
    </w:rPr>
  </w:style>
  <w:style w:type="paragraph" w:customStyle="1" w:styleId="lg-section">
    <w:name w:val="lg-section"/>
    <w:basedOn w:val="Normal"/>
    <w:rsid w:val="00176832"/>
    <w:pPr>
      <w:spacing w:before="100" w:beforeAutospacing="1" w:after="100" w:afterAutospacing="1"/>
    </w:pPr>
    <w:rPr>
      <w:rFonts w:ascii="Times New Roman" w:hAnsi="Times New Roman" w:cs="Times New Roman"/>
      <w:u w:val="none"/>
      <w:lang w:val="en-ZA" w:eastAsia="en-ZA"/>
    </w:rPr>
  </w:style>
  <w:style w:type="paragraph" w:customStyle="1" w:styleId="lg-a-1">
    <w:name w:val="lg-a-1"/>
    <w:basedOn w:val="Normal"/>
    <w:rsid w:val="00176832"/>
    <w:pPr>
      <w:spacing w:before="100" w:beforeAutospacing="1" w:after="100" w:afterAutospacing="1"/>
    </w:pPr>
    <w:rPr>
      <w:rFonts w:ascii="Times New Roman" w:hAnsi="Times New Roman" w:cs="Times New Roman"/>
      <w:u w:val="none"/>
      <w:lang w:val="en-ZA" w:eastAsia="en-ZA"/>
    </w:rPr>
  </w:style>
  <w:style w:type="paragraph" w:customStyle="1" w:styleId="lg-para3">
    <w:name w:val="lg-para3"/>
    <w:basedOn w:val="Normal"/>
    <w:rsid w:val="00176832"/>
    <w:pPr>
      <w:spacing w:before="100" w:beforeAutospacing="1" w:after="100" w:afterAutospacing="1"/>
    </w:pPr>
    <w:rPr>
      <w:rFonts w:ascii="Times New Roman" w:hAnsi="Times New Roman" w:cs="Times New Roman"/>
      <w:u w:val="none"/>
      <w:lang w:val="en-ZA" w:eastAsia="en-ZA"/>
    </w:rPr>
  </w:style>
  <w:style w:type="paragraph" w:customStyle="1" w:styleId="lg-para5">
    <w:name w:val="lg-para5"/>
    <w:basedOn w:val="Normal"/>
    <w:rsid w:val="00176832"/>
    <w:pPr>
      <w:spacing w:before="100" w:beforeAutospacing="1" w:after="100" w:afterAutospacing="1"/>
    </w:pPr>
    <w:rPr>
      <w:rFonts w:ascii="Times New Roman" w:hAnsi="Times New Roman" w:cs="Times New Roman"/>
      <w:u w:val="none"/>
      <w:lang w:val="en-ZA" w:eastAsia="en-ZA"/>
    </w:rPr>
  </w:style>
  <w:style w:type="paragraph" w:customStyle="1" w:styleId="lg-para4">
    <w:name w:val="lg-para4"/>
    <w:basedOn w:val="Normal"/>
    <w:rsid w:val="00176832"/>
    <w:pPr>
      <w:spacing w:before="100" w:beforeAutospacing="1" w:after="100" w:afterAutospacing="1"/>
    </w:pPr>
    <w:rPr>
      <w:rFonts w:ascii="Times New Roman" w:hAnsi="Times New Roman" w:cs="Times New Roman"/>
      <w:u w:val="none"/>
      <w:lang w:val="en-ZA" w:eastAsia="en-ZA"/>
    </w:rPr>
  </w:style>
  <w:style w:type="character" w:styleId="Hyperlink">
    <w:name w:val="Hyperlink"/>
    <w:basedOn w:val="DefaultParagraphFont"/>
    <w:uiPriority w:val="99"/>
    <w:semiHidden/>
    <w:unhideWhenUsed/>
    <w:rsid w:val="00176832"/>
    <w:rPr>
      <w:color w:val="0000FF"/>
      <w:u w:val="single"/>
    </w:rPr>
  </w:style>
  <w:style w:type="paragraph" w:customStyle="1" w:styleId="lg-i">
    <w:name w:val="lg-i"/>
    <w:basedOn w:val="Normal"/>
    <w:rsid w:val="00176832"/>
    <w:pPr>
      <w:spacing w:before="100" w:beforeAutospacing="1" w:after="100" w:afterAutospacing="1"/>
    </w:pPr>
    <w:rPr>
      <w:rFonts w:ascii="Times New Roman" w:hAnsi="Times New Roman" w:cs="Times New Roman"/>
      <w:u w:val="none"/>
      <w:lang w:val="en-ZA" w:eastAsia="en-ZA"/>
    </w:rPr>
  </w:style>
  <w:style w:type="paragraph" w:styleId="NormalWeb">
    <w:name w:val="Normal (Web)"/>
    <w:basedOn w:val="Normal"/>
    <w:uiPriority w:val="99"/>
    <w:semiHidden/>
    <w:unhideWhenUsed/>
    <w:rsid w:val="00176832"/>
    <w:pPr>
      <w:spacing w:before="100" w:beforeAutospacing="1" w:after="100" w:afterAutospacing="1"/>
    </w:pPr>
    <w:rPr>
      <w:rFonts w:ascii="Times New Roman" w:hAnsi="Times New Roman" w:cs="Times New Roman"/>
      <w:u w:val="none"/>
      <w:lang w:val="en-ZA" w:eastAsia="en-ZA"/>
    </w:rPr>
  </w:style>
  <w:style w:type="paragraph" w:styleId="FootnoteText">
    <w:name w:val="footnote text"/>
    <w:basedOn w:val="Normal"/>
    <w:link w:val="FootnoteTextChar"/>
    <w:uiPriority w:val="99"/>
    <w:semiHidden/>
    <w:unhideWhenUsed/>
    <w:rsid w:val="002B46A2"/>
    <w:rPr>
      <w:sz w:val="20"/>
      <w:szCs w:val="20"/>
    </w:rPr>
  </w:style>
  <w:style w:type="character" w:customStyle="1" w:styleId="FootnoteTextChar">
    <w:name w:val="Footnote Text Char"/>
    <w:basedOn w:val="DefaultParagraphFont"/>
    <w:link w:val="FootnoteText"/>
    <w:uiPriority w:val="99"/>
    <w:semiHidden/>
    <w:rsid w:val="002B46A2"/>
    <w:rPr>
      <w:rFonts w:ascii="Arial" w:eastAsia="Times New Roman" w:hAnsi="Arial" w:cs="Arial"/>
      <w:sz w:val="20"/>
      <w:szCs w:val="20"/>
      <w:u w:val="single"/>
      <w:lang w:val="en-GB" w:eastAsia="en-GB"/>
    </w:rPr>
  </w:style>
  <w:style w:type="character" w:styleId="FootnoteReference">
    <w:name w:val="footnote reference"/>
    <w:basedOn w:val="DefaultParagraphFont"/>
    <w:uiPriority w:val="99"/>
    <w:semiHidden/>
    <w:unhideWhenUsed/>
    <w:rsid w:val="002B46A2"/>
    <w:rPr>
      <w:vertAlign w:val="superscript"/>
    </w:rPr>
  </w:style>
  <w:style w:type="paragraph" w:styleId="BalloonText">
    <w:name w:val="Balloon Text"/>
    <w:basedOn w:val="Normal"/>
    <w:link w:val="BalloonTextChar"/>
    <w:uiPriority w:val="99"/>
    <w:semiHidden/>
    <w:unhideWhenUsed/>
    <w:rsid w:val="00E358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825"/>
    <w:rPr>
      <w:rFonts w:ascii="Segoe UI" w:eastAsia="Times New Roman" w:hAnsi="Segoe UI" w:cs="Segoe UI"/>
      <w:sz w:val="18"/>
      <w:szCs w:val="18"/>
      <w:u w:val="single"/>
      <w:lang w:val="en-GB" w:eastAsia="en-GB"/>
    </w:rPr>
  </w:style>
  <w:style w:type="character" w:customStyle="1" w:styleId="mc">
    <w:name w:val="mc"/>
    <w:basedOn w:val="DefaultParagraphFont"/>
    <w:rsid w:val="00E14A62"/>
  </w:style>
  <w:style w:type="paragraph" w:styleId="Footer">
    <w:name w:val="footer"/>
    <w:basedOn w:val="Normal"/>
    <w:link w:val="FooterChar"/>
    <w:uiPriority w:val="99"/>
    <w:unhideWhenUsed/>
    <w:rsid w:val="00A83DB5"/>
    <w:pPr>
      <w:tabs>
        <w:tab w:val="center" w:pos="4513"/>
        <w:tab w:val="right" w:pos="9026"/>
      </w:tabs>
    </w:pPr>
  </w:style>
  <w:style w:type="character" w:customStyle="1" w:styleId="FooterChar">
    <w:name w:val="Footer Char"/>
    <w:basedOn w:val="DefaultParagraphFont"/>
    <w:link w:val="Footer"/>
    <w:uiPriority w:val="99"/>
    <w:rsid w:val="00A83DB5"/>
    <w:rPr>
      <w:rFonts w:ascii="Arial" w:eastAsia="Times New Roman" w:hAnsi="Arial" w:cs="Arial"/>
      <w:sz w:val="24"/>
      <w:szCs w:val="24"/>
      <w:u w:val="single"/>
      <w:lang w:val="en-GB" w:eastAsia="en-GB"/>
    </w:rPr>
  </w:style>
  <w:style w:type="paragraph" w:styleId="ListParagraph">
    <w:name w:val="List Paragraph"/>
    <w:basedOn w:val="Normal"/>
    <w:uiPriority w:val="34"/>
    <w:qFormat/>
    <w:rsid w:val="00D238F3"/>
    <w:pPr>
      <w:spacing w:line="480" w:lineRule="auto"/>
      <w:ind w:left="720"/>
      <w:contextualSpacing/>
      <w:jc w:val="both"/>
    </w:pPr>
    <w:rPr>
      <w:rFonts w:asciiTheme="minorHAnsi" w:eastAsiaTheme="minorHAnsi" w:hAnsiTheme="minorHAnsi" w:cstheme="minorBidi"/>
      <w:u w:val="non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18652">
      <w:bodyDiv w:val="1"/>
      <w:marLeft w:val="0"/>
      <w:marRight w:val="0"/>
      <w:marTop w:val="0"/>
      <w:marBottom w:val="0"/>
      <w:divBdr>
        <w:top w:val="none" w:sz="0" w:space="0" w:color="auto"/>
        <w:left w:val="none" w:sz="0" w:space="0" w:color="auto"/>
        <w:bottom w:val="none" w:sz="0" w:space="0" w:color="auto"/>
        <w:right w:val="none" w:sz="0" w:space="0" w:color="auto"/>
      </w:divBdr>
    </w:div>
    <w:div w:id="377173135">
      <w:bodyDiv w:val="1"/>
      <w:marLeft w:val="0"/>
      <w:marRight w:val="0"/>
      <w:marTop w:val="0"/>
      <w:marBottom w:val="0"/>
      <w:divBdr>
        <w:top w:val="none" w:sz="0" w:space="0" w:color="auto"/>
        <w:left w:val="none" w:sz="0" w:space="0" w:color="auto"/>
        <w:bottom w:val="none" w:sz="0" w:space="0" w:color="auto"/>
        <w:right w:val="none" w:sz="0" w:space="0" w:color="auto"/>
      </w:divBdr>
    </w:div>
    <w:div w:id="558826467">
      <w:bodyDiv w:val="1"/>
      <w:marLeft w:val="0"/>
      <w:marRight w:val="0"/>
      <w:marTop w:val="0"/>
      <w:marBottom w:val="0"/>
      <w:divBdr>
        <w:top w:val="none" w:sz="0" w:space="0" w:color="auto"/>
        <w:left w:val="none" w:sz="0" w:space="0" w:color="auto"/>
        <w:bottom w:val="none" w:sz="0" w:space="0" w:color="auto"/>
        <w:right w:val="none" w:sz="0" w:space="0" w:color="auto"/>
      </w:divBdr>
    </w:div>
    <w:div w:id="1205366276">
      <w:bodyDiv w:val="1"/>
      <w:marLeft w:val="0"/>
      <w:marRight w:val="0"/>
      <w:marTop w:val="0"/>
      <w:marBottom w:val="0"/>
      <w:divBdr>
        <w:top w:val="none" w:sz="0" w:space="0" w:color="auto"/>
        <w:left w:val="none" w:sz="0" w:space="0" w:color="auto"/>
        <w:bottom w:val="none" w:sz="0" w:space="0" w:color="auto"/>
        <w:right w:val="none" w:sz="0" w:space="0" w:color="auto"/>
      </w:divBdr>
    </w:div>
    <w:div w:id="1318607328">
      <w:bodyDiv w:val="1"/>
      <w:marLeft w:val="0"/>
      <w:marRight w:val="0"/>
      <w:marTop w:val="0"/>
      <w:marBottom w:val="0"/>
      <w:divBdr>
        <w:top w:val="none" w:sz="0" w:space="0" w:color="auto"/>
        <w:left w:val="none" w:sz="0" w:space="0" w:color="auto"/>
        <w:bottom w:val="none" w:sz="0" w:space="0" w:color="auto"/>
        <w:right w:val="none" w:sz="0" w:space="0" w:color="auto"/>
      </w:divBdr>
      <w:divsChild>
        <w:div w:id="861480388">
          <w:marLeft w:val="0"/>
          <w:marRight w:val="0"/>
          <w:marTop w:val="240"/>
          <w:marBottom w:val="0"/>
          <w:divBdr>
            <w:top w:val="none" w:sz="0" w:space="0" w:color="auto"/>
            <w:left w:val="none" w:sz="0" w:space="0" w:color="auto"/>
            <w:bottom w:val="none" w:sz="0" w:space="0" w:color="auto"/>
            <w:right w:val="none" w:sz="0" w:space="0" w:color="auto"/>
          </w:divBdr>
        </w:div>
        <w:div w:id="195285571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891849%27%5d&amp;xhitlist_md=target-id=0-0-0-20335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cgi-bin/LawCite?cit=2006%20%285%29%20SA%2061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flii.org/za/cases/ZASCA/2006/59.html"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0453E-5B56-4FA1-A104-1226A6136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4053</Words>
  <Characters>23106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Judge-Shanaaz Mia</dc:creator>
  <cp:keywords/>
  <dc:description/>
  <cp:lastModifiedBy>Lazarus Rakgwale</cp:lastModifiedBy>
  <cp:revision>2</cp:revision>
  <cp:lastPrinted>2021-12-20T13:09:00Z</cp:lastPrinted>
  <dcterms:created xsi:type="dcterms:W3CDTF">2022-01-04T08:21:00Z</dcterms:created>
  <dcterms:modified xsi:type="dcterms:W3CDTF">2022-01-04T08:21:00Z</dcterms:modified>
</cp:coreProperties>
</file>