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0C3B" w14:textId="3A558EA7" w:rsidR="0077390A" w:rsidRPr="00975EBD" w:rsidRDefault="0077390A" w:rsidP="0077390A">
      <w:pPr>
        <w:jc w:val="center"/>
        <w:rPr>
          <w:rFonts w:ascii="Century Gothic" w:hAnsi="Century Gothic"/>
          <w:b/>
          <w:sz w:val="26"/>
          <w:szCs w:val="26"/>
          <w:u w:val="none"/>
          <w:lang w:val="en-ZA"/>
        </w:rPr>
      </w:pPr>
      <w:bookmarkStart w:id="0" w:name="_GoBack"/>
      <w:bookmarkEnd w:id="0"/>
      <w:r w:rsidRPr="00975EBD">
        <w:rPr>
          <w:rFonts w:ascii="Century Gothic" w:hAnsi="Century Gothic"/>
          <w:b/>
          <w:sz w:val="26"/>
          <w:szCs w:val="26"/>
          <w:u w:val="none"/>
          <w:lang w:val="en-ZA"/>
        </w:rPr>
        <w:t>REPUBLIC OF SOUTH AFRICA</w:t>
      </w:r>
    </w:p>
    <w:p w14:paraId="2FB1DED2" w14:textId="77777777" w:rsidR="0077390A" w:rsidRPr="00975EBD" w:rsidRDefault="0077390A" w:rsidP="0077390A">
      <w:pPr>
        <w:jc w:val="center"/>
        <w:rPr>
          <w:rFonts w:ascii="Century Gothic" w:hAnsi="Century Gothic"/>
          <w:b/>
          <w:sz w:val="26"/>
          <w:szCs w:val="26"/>
          <w:u w:val="none"/>
          <w:lang w:val="en-ZA"/>
        </w:rPr>
      </w:pPr>
      <w:r w:rsidRPr="00975EBD">
        <w:rPr>
          <w:rFonts w:ascii="Century Gothic" w:hAnsi="Century Gothic"/>
          <w:b/>
          <w:sz w:val="26"/>
          <w:szCs w:val="26"/>
          <w:u w:val="none"/>
          <w:lang w:val="en-US"/>
        </w:rPr>
        <w:t xml:space="preserve">          </w:t>
      </w:r>
      <w:r w:rsidRPr="00975EBD">
        <w:rPr>
          <w:rFonts w:ascii="Century Gothic" w:hAnsi="Century Gothic"/>
          <w:b/>
          <w:noProof/>
          <w:sz w:val="26"/>
          <w:szCs w:val="26"/>
          <w:u w:val="none"/>
          <w:lang w:val="en-ZA" w:eastAsia="en-ZA"/>
        </w:rPr>
        <w:drawing>
          <wp:inline distT="0" distB="0" distL="0" distR="0" wp14:anchorId="6B0A94E9" wp14:editId="0FFFAE8D">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975EBD">
        <w:rPr>
          <w:rFonts w:ascii="Century Gothic" w:hAnsi="Century Gothic"/>
          <w:b/>
          <w:noProof/>
          <w:sz w:val="26"/>
          <w:szCs w:val="26"/>
          <w:u w:val="none"/>
          <w:lang w:val="en-ZA" w:eastAsia="en-ZA"/>
        </w:rPr>
        <mc:AlternateContent>
          <mc:Choice Requires="wpc">
            <w:drawing>
              <wp:inline distT="0" distB="0" distL="0" distR="0" wp14:anchorId="5ED80D18" wp14:editId="217B4290">
                <wp:extent cx="673100" cy="863600"/>
                <wp:effectExtent l="0" t="0" r="3175"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5C578"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55BDD848" w14:textId="77777777" w:rsidR="0077390A" w:rsidRPr="00975EBD" w:rsidRDefault="0077390A" w:rsidP="0077390A">
      <w:pPr>
        <w:jc w:val="center"/>
        <w:rPr>
          <w:rFonts w:ascii="Century Gothic" w:hAnsi="Century Gothic"/>
          <w:b/>
          <w:sz w:val="26"/>
          <w:szCs w:val="26"/>
          <w:u w:val="none"/>
          <w:lang w:val="en-ZA"/>
        </w:rPr>
      </w:pPr>
      <w:r w:rsidRPr="00975EBD">
        <w:rPr>
          <w:rFonts w:ascii="Century Gothic" w:hAnsi="Century Gothic"/>
          <w:b/>
          <w:sz w:val="26"/>
          <w:szCs w:val="26"/>
          <w:u w:val="none"/>
          <w:lang w:val="en-ZA"/>
        </w:rPr>
        <w:t>IN THE HIGH COURT OF SOUTH AFRICA</w:t>
      </w:r>
    </w:p>
    <w:p w14:paraId="6F1F329F" w14:textId="77777777" w:rsidR="0077390A" w:rsidRPr="00975EBD" w:rsidRDefault="0077390A" w:rsidP="0077390A">
      <w:pPr>
        <w:jc w:val="center"/>
        <w:rPr>
          <w:rFonts w:ascii="Century Gothic" w:hAnsi="Century Gothic"/>
          <w:b/>
          <w:sz w:val="26"/>
          <w:szCs w:val="26"/>
          <w:u w:val="none"/>
          <w:lang w:val="en-ZA"/>
        </w:rPr>
      </w:pPr>
      <w:r w:rsidRPr="00975EBD">
        <w:rPr>
          <w:rFonts w:ascii="Century Gothic" w:hAnsi="Century Gothic"/>
          <w:b/>
          <w:sz w:val="26"/>
          <w:szCs w:val="26"/>
          <w:u w:val="none"/>
          <w:lang w:val="en-ZA"/>
        </w:rPr>
        <w:t>GAUTENG LOCAL DIVISION, JOHANNESBURG</w:t>
      </w:r>
    </w:p>
    <w:p w14:paraId="1AE5F041" w14:textId="77777777" w:rsidR="0077390A" w:rsidRPr="00975EBD" w:rsidRDefault="0077390A" w:rsidP="0077390A">
      <w:pPr>
        <w:jc w:val="center"/>
        <w:rPr>
          <w:rFonts w:ascii="Century Gothic" w:hAnsi="Century Gothic"/>
          <w:b/>
          <w:sz w:val="26"/>
          <w:szCs w:val="26"/>
          <w:u w:val="none"/>
          <w:lang w:val="en-ZA"/>
        </w:rPr>
      </w:pPr>
    </w:p>
    <w:p w14:paraId="023EB613" w14:textId="77777777" w:rsidR="0077390A" w:rsidRPr="00975EBD" w:rsidRDefault="0077390A" w:rsidP="0077390A">
      <w:pPr>
        <w:rPr>
          <w:rFonts w:ascii="Century Gothic" w:hAnsi="Century Gothic"/>
          <w:b/>
          <w:sz w:val="26"/>
          <w:szCs w:val="26"/>
          <w:u w:val="none"/>
          <w:lang w:val="en-ZA"/>
        </w:rPr>
      </w:pPr>
    </w:p>
    <w:p w14:paraId="3ADB9CD1" w14:textId="77777777" w:rsidR="0077390A" w:rsidRPr="00975EBD" w:rsidRDefault="0077390A" w:rsidP="0077390A">
      <w:pPr>
        <w:jc w:val="center"/>
        <w:rPr>
          <w:rFonts w:ascii="Century Gothic" w:hAnsi="Century Gothic"/>
          <w:b/>
          <w:sz w:val="26"/>
          <w:szCs w:val="26"/>
          <w:u w:val="none"/>
          <w:lang w:val="en-ZA"/>
        </w:rPr>
      </w:pPr>
      <w:r w:rsidRPr="00975EBD">
        <w:rPr>
          <w:rFonts w:ascii="Century Gothic" w:hAnsi="Century Gothic"/>
          <w:b/>
          <w:sz w:val="26"/>
          <w:szCs w:val="26"/>
          <w:u w:val="none"/>
          <w:lang w:val="en-ZA"/>
        </w:rPr>
        <w:t xml:space="preserve">                                                                                  </w:t>
      </w:r>
      <w:r>
        <w:rPr>
          <w:rFonts w:ascii="Century Gothic" w:hAnsi="Century Gothic"/>
          <w:b/>
          <w:sz w:val="26"/>
          <w:szCs w:val="26"/>
          <w:u w:val="none"/>
          <w:lang w:val="en-ZA"/>
        </w:rPr>
        <w:t xml:space="preserve">   </w:t>
      </w:r>
      <w:r w:rsidRPr="00975EBD">
        <w:rPr>
          <w:rFonts w:ascii="Century Gothic" w:hAnsi="Century Gothic"/>
          <w:b/>
          <w:sz w:val="26"/>
          <w:szCs w:val="26"/>
          <w:u w:val="none"/>
          <w:lang w:val="en-ZA"/>
        </w:rPr>
        <w:t xml:space="preserve">   CASE NO:</w:t>
      </w:r>
      <w:r w:rsidRPr="00975EBD">
        <w:rPr>
          <w:rFonts w:ascii="Century Gothic" w:hAnsi="Century Gothic"/>
          <w:b/>
          <w:noProof/>
          <w:sz w:val="26"/>
          <w:szCs w:val="26"/>
          <w:u w:val="none"/>
          <w:lang w:val="en-ZA" w:eastAsia="en-ZA"/>
        </w:rPr>
        <mc:AlternateContent>
          <mc:Choice Requires="wps">
            <w:drawing>
              <wp:anchor distT="0" distB="0" distL="114300" distR="114300" simplePos="0" relativeHeight="251659264" behindDoc="0" locked="0" layoutInCell="1" allowOverlap="1" wp14:anchorId="10B556EC" wp14:editId="17D44F96">
                <wp:simplePos x="0" y="0"/>
                <wp:positionH relativeFrom="column">
                  <wp:posOffset>0</wp:posOffset>
                </wp:positionH>
                <wp:positionV relativeFrom="paragraph">
                  <wp:posOffset>154940</wp:posOffset>
                </wp:positionV>
                <wp:extent cx="3314700" cy="1371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E054E61" w14:textId="77777777" w:rsidR="0077390A" w:rsidRDefault="0077390A" w:rsidP="0077390A">
                            <w:pPr>
                              <w:jc w:val="center"/>
                              <w:rPr>
                                <w:rFonts w:ascii="Century Gothic" w:hAnsi="Century Gothic"/>
                                <w:b/>
                                <w:sz w:val="20"/>
                                <w:szCs w:val="20"/>
                              </w:rPr>
                            </w:pPr>
                          </w:p>
                          <w:p w14:paraId="1C9CBBB4"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REPORTABLE: YES / NO</w:t>
                            </w:r>
                          </w:p>
                          <w:p w14:paraId="43D9A169"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OF INTEREST TO OTHER JUDGES: YES/NO</w:t>
                            </w:r>
                          </w:p>
                          <w:p w14:paraId="0F121BC1"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 xml:space="preserve">REVISED. </w:t>
                            </w:r>
                          </w:p>
                          <w:p w14:paraId="44BF7016" w14:textId="77777777" w:rsidR="0077390A" w:rsidRDefault="0077390A" w:rsidP="0077390A">
                            <w:pPr>
                              <w:rPr>
                                <w:rFonts w:ascii="Century Gothic" w:hAnsi="Century Gothic"/>
                                <w:b/>
                                <w:sz w:val="18"/>
                                <w:szCs w:val="18"/>
                              </w:rPr>
                            </w:pPr>
                          </w:p>
                          <w:p w14:paraId="7F3BE5F0" w14:textId="77777777" w:rsidR="0077390A" w:rsidRDefault="0077390A" w:rsidP="0077390A">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37F1223F" w14:textId="77777777" w:rsidR="0077390A" w:rsidRDefault="0077390A" w:rsidP="0077390A">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B556EC"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2E054E61" w14:textId="77777777" w:rsidR="0077390A" w:rsidRDefault="0077390A" w:rsidP="0077390A">
                      <w:pPr>
                        <w:jc w:val="center"/>
                        <w:rPr>
                          <w:rFonts w:ascii="Century Gothic" w:hAnsi="Century Gothic"/>
                          <w:b/>
                          <w:sz w:val="20"/>
                          <w:szCs w:val="20"/>
                        </w:rPr>
                      </w:pPr>
                    </w:p>
                    <w:p w14:paraId="1C9CBBB4"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REPORTABLE: YES / NO</w:t>
                      </w:r>
                    </w:p>
                    <w:p w14:paraId="43D9A169"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OF INTEREST TO OTHER JUDGES: YES/NO</w:t>
                      </w:r>
                    </w:p>
                    <w:p w14:paraId="0F121BC1" w14:textId="77777777" w:rsidR="0077390A" w:rsidRDefault="0077390A" w:rsidP="0077390A">
                      <w:pPr>
                        <w:numPr>
                          <w:ilvl w:val="0"/>
                          <w:numId w:val="1"/>
                        </w:numPr>
                        <w:rPr>
                          <w:rFonts w:ascii="Century Gothic" w:hAnsi="Century Gothic"/>
                          <w:sz w:val="20"/>
                          <w:szCs w:val="20"/>
                        </w:rPr>
                      </w:pPr>
                      <w:r>
                        <w:rPr>
                          <w:rFonts w:ascii="Century Gothic" w:hAnsi="Century Gothic"/>
                          <w:sz w:val="20"/>
                          <w:szCs w:val="20"/>
                        </w:rPr>
                        <w:t xml:space="preserve">REVISED. </w:t>
                      </w:r>
                    </w:p>
                    <w:p w14:paraId="44BF7016" w14:textId="77777777" w:rsidR="0077390A" w:rsidRDefault="0077390A" w:rsidP="0077390A">
                      <w:pPr>
                        <w:rPr>
                          <w:rFonts w:ascii="Century Gothic" w:hAnsi="Century Gothic"/>
                          <w:b/>
                          <w:sz w:val="18"/>
                          <w:szCs w:val="18"/>
                        </w:rPr>
                      </w:pPr>
                    </w:p>
                    <w:p w14:paraId="7F3BE5F0" w14:textId="77777777" w:rsidR="0077390A" w:rsidRDefault="0077390A" w:rsidP="0077390A">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37F1223F" w14:textId="77777777" w:rsidR="0077390A" w:rsidRDefault="0077390A" w:rsidP="0077390A">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Pr="00975EBD">
        <w:rPr>
          <w:rFonts w:ascii="Century Gothic" w:hAnsi="Century Gothic"/>
          <w:b/>
          <w:sz w:val="26"/>
          <w:szCs w:val="26"/>
          <w:u w:val="none"/>
          <w:lang w:val="en-ZA"/>
        </w:rPr>
        <w:t xml:space="preserve"> 1</w:t>
      </w:r>
      <w:r>
        <w:rPr>
          <w:rFonts w:ascii="Century Gothic" w:hAnsi="Century Gothic"/>
          <w:b/>
          <w:sz w:val="26"/>
          <w:szCs w:val="26"/>
          <w:u w:val="none"/>
          <w:lang w:val="en-ZA"/>
        </w:rPr>
        <w:t>8/29890</w:t>
      </w:r>
    </w:p>
    <w:p w14:paraId="161BD453" w14:textId="77777777" w:rsidR="0077390A" w:rsidRDefault="0077390A" w:rsidP="0077390A">
      <w:pPr>
        <w:tabs>
          <w:tab w:val="left" w:pos="6888"/>
        </w:tabs>
        <w:jc w:val="both"/>
        <w:rPr>
          <w:rFonts w:ascii="Century Gothic" w:hAnsi="Century Gothic"/>
          <w:b/>
          <w:sz w:val="26"/>
          <w:szCs w:val="26"/>
        </w:rPr>
      </w:pPr>
    </w:p>
    <w:p w14:paraId="44AD28D4" w14:textId="77777777" w:rsidR="0077390A" w:rsidRPr="00CA30CA" w:rsidRDefault="0077390A" w:rsidP="0077390A">
      <w:pPr>
        <w:tabs>
          <w:tab w:val="left" w:pos="6888"/>
        </w:tabs>
        <w:jc w:val="both"/>
        <w:rPr>
          <w:rFonts w:ascii="Century Gothic" w:hAnsi="Century Gothic"/>
          <w:b/>
          <w:i/>
          <w:iCs/>
          <w:sz w:val="26"/>
          <w:szCs w:val="26"/>
        </w:rPr>
      </w:pPr>
    </w:p>
    <w:p w14:paraId="42041B17" w14:textId="77777777" w:rsidR="0077390A" w:rsidRPr="00975EBD" w:rsidRDefault="0077390A" w:rsidP="0077390A">
      <w:pPr>
        <w:jc w:val="both"/>
        <w:rPr>
          <w:rFonts w:ascii="Century Gothic" w:hAnsi="Century Gothic"/>
          <w:b/>
          <w:sz w:val="26"/>
          <w:szCs w:val="26"/>
        </w:rPr>
      </w:pPr>
    </w:p>
    <w:p w14:paraId="32902589" w14:textId="77777777" w:rsidR="0077390A" w:rsidRPr="00975EBD" w:rsidRDefault="0077390A" w:rsidP="0077390A">
      <w:pPr>
        <w:jc w:val="both"/>
        <w:rPr>
          <w:rFonts w:ascii="Century Gothic" w:hAnsi="Century Gothic"/>
          <w:b/>
          <w:sz w:val="26"/>
          <w:szCs w:val="26"/>
        </w:rPr>
      </w:pPr>
    </w:p>
    <w:p w14:paraId="5EFCCCFD" w14:textId="77777777" w:rsidR="0077390A" w:rsidRPr="00975EBD" w:rsidRDefault="0077390A" w:rsidP="0077390A">
      <w:pPr>
        <w:jc w:val="both"/>
        <w:rPr>
          <w:rFonts w:ascii="Century Gothic" w:hAnsi="Century Gothic"/>
          <w:b/>
          <w:sz w:val="26"/>
          <w:szCs w:val="26"/>
        </w:rPr>
      </w:pPr>
    </w:p>
    <w:p w14:paraId="2350E60C" w14:textId="77777777" w:rsidR="0077390A" w:rsidRPr="00975EBD" w:rsidRDefault="0077390A" w:rsidP="0077390A">
      <w:pPr>
        <w:jc w:val="both"/>
        <w:rPr>
          <w:rFonts w:ascii="Century Gothic" w:hAnsi="Century Gothic"/>
          <w:b/>
          <w:sz w:val="26"/>
          <w:szCs w:val="26"/>
        </w:rPr>
      </w:pPr>
    </w:p>
    <w:p w14:paraId="71960F8E" w14:textId="77777777" w:rsidR="0077390A" w:rsidRPr="00975EBD" w:rsidRDefault="0077390A" w:rsidP="0077390A">
      <w:pPr>
        <w:rPr>
          <w:rFonts w:ascii="Century Gothic" w:hAnsi="Century Gothic"/>
          <w:b/>
          <w:sz w:val="26"/>
          <w:szCs w:val="26"/>
          <w:u w:val="none"/>
        </w:rPr>
      </w:pPr>
    </w:p>
    <w:p w14:paraId="24DFB971" w14:textId="77777777" w:rsidR="0077390A" w:rsidRDefault="0077390A" w:rsidP="0077390A">
      <w:pPr>
        <w:rPr>
          <w:rFonts w:ascii="Century Gothic" w:hAnsi="Century Gothic"/>
          <w:b/>
          <w:sz w:val="26"/>
          <w:szCs w:val="26"/>
          <w:u w:val="none"/>
        </w:rPr>
      </w:pPr>
    </w:p>
    <w:p w14:paraId="35D9EB75" w14:textId="77777777" w:rsidR="0077390A" w:rsidRPr="00975EBD" w:rsidRDefault="0077390A" w:rsidP="0077390A">
      <w:pPr>
        <w:rPr>
          <w:rFonts w:ascii="Century Gothic" w:hAnsi="Century Gothic"/>
          <w:b/>
          <w:sz w:val="26"/>
          <w:szCs w:val="26"/>
          <w:u w:val="none"/>
        </w:rPr>
      </w:pPr>
    </w:p>
    <w:p w14:paraId="042AC551" w14:textId="77777777" w:rsidR="0077390A" w:rsidRPr="00975EBD" w:rsidRDefault="0077390A" w:rsidP="0077390A">
      <w:pPr>
        <w:rPr>
          <w:rFonts w:ascii="Century Gothic" w:hAnsi="Century Gothic"/>
          <w:b/>
          <w:sz w:val="26"/>
          <w:szCs w:val="26"/>
          <w:u w:val="none"/>
        </w:rPr>
      </w:pPr>
      <w:r w:rsidRPr="00975EBD">
        <w:rPr>
          <w:rFonts w:ascii="Century Gothic" w:hAnsi="Century Gothic"/>
          <w:b/>
          <w:sz w:val="26"/>
          <w:szCs w:val="26"/>
          <w:u w:val="none"/>
        </w:rPr>
        <w:t>In the matter between:</w:t>
      </w:r>
    </w:p>
    <w:p w14:paraId="77E077C9" w14:textId="77777777" w:rsidR="0077390A" w:rsidRPr="00975EBD" w:rsidRDefault="0077390A" w:rsidP="0077390A">
      <w:pPr>
        <w:rPr>
          <w:rFonts w:ascii="Century Gothic" w:hAnsi="Century Gothic"/>
          <w:b/>
          <w:sz w:val="26"/>
          <w:szCs w:val="26"/>
          <w:u w:val="none"/>
        </w:rPr>
      </w:pPr>
    </w:p>
    <w:p w14:paraId="79603F2B" w14:textId="77777777" w:rsidR="0077390A" w:rsidRPr="00975EBD" w:rsidRDefault="0077390A" w:rsidP="0077390A">
      <w:pPr>
        <w:rPr>
          <w:rFonts w:ascii="Century Gothic" w:hAnsi="Century Gothic"/>
          <w:b/>
          <w:sz w:val="26"/>
          <w:szCs w:val="26"/>
          <w:u w:val="none"/>
        </w:rPr>
      </w:pPr>
    </w:p>
    <w:p w14:paraId="7C645D36" w14:textId="77777777" w:rsidR="0077390A" w:rsidRDefault="0077390A" w:rsidP="0077390A">
      <w:pPr>
        <w:rPr>
          <w:rFonts w:ascii="Century Gothic" w:hAnsi="Century Gothic"/>
          <w:b/>
          <w:sz w:val="26"/>
          <w:szCs w:val="26"/>
        </w:rPr>
      </w:pPr>
      <w:r>
        <w:rPr>
          <w:rFonts w:ascii="Century Gothic" w:hAnsi="Century Gothic"/>
          <w:b/>
          <w:sz w:val="26"/>
          <w:szCs w:val="26"/>
        </w:rPr>
        <w:t>BODY CORPORATE OF THE CHELSTON HALL</w:t>
      </w:r>
    </w:p>
    <w:p w14:paraId="3158E5EA" w14:textId="77777777" w:rsidR="0077390A" w:rsidRPr="00975EBD" w:rsidRDefault="0077390A" w:rsidP="0077390A">
      <w:pPr>
        <w:rPr>
          <w:rFonts w:ascii="Century Gothic" w:hAnsi="Century Gothic"/>
          <w:b/>
          <w:sz w:val="26"/>
          <w:szCs w:val="26"/>
          <w:u w:val="none"/>
        </w:rPr>
      </w:pPr>
      <w:r>
        <w:rPr>
          <w:rFonts w:ascii="Century Gothic" w:hAnsi="Century Gothic"/>
          <w:b/>
          <w:sz w:val="26"/>
          <w:szCs w:val="26"/>
        </w:rPr>
        <w:t>SECTIONAL TITLE SCHEME</w:t>
      </w:r>
      <w:r w:rsidRPr="00975EBD">
        <w:rPr>
          <w:rFonts w:ascii="Century Gothic" w:hAnsi="Century Gothic"/>
          <w:b/>
          <w:sz w:val="26"/>
          <w:szCs w:val="26"/>
          <w:u w:val="none"/>
        </w:rPr>
        <w:t xml:space="preserve"> </w:t>
      </w:r>
      <w:r w:rsidRPr="00975EBD">
        <w:rPr>
          <w:rFonts w:ascii="Century Gothic" w:hAnsi="Century Gothic"/>
          <w:b/>
          <w:sz w:val="26"/>
          <w:szCs w:val="26"/>
          <w:u w:val="none"/>
        </w:rPr>
        <w:tab/>
      </w:r>
      <w:r w:rsidRPr="00975EBD">
        <w:rPr>
          <w:rFonts w:ascii="Century Gothic" w:hAnsi="Century Gothic"/>
          <w:b/>
          <w:sz w:val="26"/>
          <w:szCs w:val="26"/>
          <w:u w:val="none"/>
        </w:rPr>
        <w:tab/>
      </w:r>
      <w:r w:rsidRPr="00975EBD">
        <w:rPr>
          <w:rFonts w:ascii="Century Gothic" w:hAnsi="Century Gothic"/>
          <w:b/>
          <w:sz w:val="26"/>
          <w:szCs w:val="26"/>
          <w:u w:val="none"/>
        </w:rPr>
        <w:tab/>
        <w:t xml:space="preserve">       </w:t>
      </w:r>
      <w:r>
        <w:rPr>
          <w:rFonts w:ascii="Century Gothic" w:hAnsi="Century Gothic"/>
          <w:b/>
          <w:sz w:val="26"/>
          <w:szCs w:val="26"/>
          <w:u w:val="none"/>
        </w:rPr>
        <w:t xml:space="preserve">  </w:t>
      </w:r>
      <w:r w:rsidRPr="00975EBD">
        <w:rPr>
          <w:rFonts w:ascii="Century Gothic" w:hAnsi="Century Gothic"/>
          <w:b/>
          <w:sz w:val="26"/>
          <w:szCs w:val="26"/>
          <w:u w:val="none"/>
        </w:rPr>
        <w:t xml:space="preserve">           </w:t>
      </w:r>
      <w:r>
        <w:rPr>
          <w:rFonts w:ascii="Century Gothic" w:hAnsi="Century Gothic"/>
          <w:b/>
          <w:sz w:val="26"/>
          <w:szCs w:val="26"/>
          <w:u w:val="none"/>
        </w:rPr>
        <w:t xml:space="preserve">                 Applicant</w:t>
      </w:r>
    </w:p>
    <w:p w14:paraId="3A79213E" w14:textId="77777777" w:rsidR="0077390A" w:rsidRPr="00975EBD" w:rsidRDefault="0077390A" w:rsidP="0077390A">
      <w:pPr>
        <w:rPr>
          <w:rFonts w:ascii="Century Gothic" w:hAnsi="Century Gothic"/>
          <w:b/>
          <w:sz w:val="26"/>
          <w:szCs w:val="26"/>
          <w:u w:val="none"/>
        </w:rPr>
      </w:pPr>
    </w:p>
    <w:p w14:paraId="53FD1C31" w14:textId="77777777" w:rsidR="0077390A" w:rsidRPr="00975EBD" w:rsidRDefault="0077390A" w:rsidP="0077390A">
      <w:pPr>
        <w:rPr>
          <w:rFonts w:ascii="Century Gothic" w:hAnsi="Century Gothic"/>
          <w:b/>
          <w:sz w:val="26"/>
          <w:szCs w:val="26"/>
          <w:u w:val="none"/>
        </w:rPr>
      </w:pPr>
    </w:p>
    <w:p w14:paraId="302F6762" w14:textId="77777777" w:rsidR="0077390A" w:rsidRPr="00975EBD" w:rsidRDefault="0077390A" w:rsidP="0077390A">
      <w:pPr>
        <w:rPr>
          <w:rFonts w:ascii="Century Gothic" w:hAnsi="Century Gothic"/>
          <w:b/>
          <w:sz w:val="26"/>
          <w:szCs w:val="26"/>
          <w:u w:val="none"/>
        </w:rPr>
      </w:pPr>
    </w:p>
    <w:p w14:paraId="259DDD71" w14:textId="77777777" w:rsidR="0077390A" w:rsidRPr="00975EBD" w:rsidRDefault="0077390A" w:rsidP="0077390A">
      <w:pPr>
        <w:rPr>
          <w:rFonts w:ascii="Century Gothic" w:hAnsi="Century Gothic"/>
          <w:b/>
          <w:sz w:val="26"/>
          <w:szCs w:val="26"/>
          <w:u w:val="none"/>
        </w:rPr>
      </w:pPr>
      <w:r w:rsidRPr="00975EBD">
        <w:rPr>
          <w:rFonts w:ascii="Century Gothic" w:hAnsi="Century Gothic"/>
          <w:b/>
          <w:sz w:val="26"/>
          <w:szCs w:val="26"/>
          <w:u w:val="none"/>
        </w:rPr>
        <w:t>and</w:t>
      </w:r>
    </w:p>
    <w:p w14:paraId="3444EC6D" w14:textId="77777777" w:rsidR="0077390A" w:rsidRPr="00975EBD" w:rsidRDefault="0077390A" w:rsidP="0077390A">
      <w:pPr>
        <w:rPr>
          <w:rFonts w:ascii="Century Gothic" w:hAnsi="Century Gothic"/>
          <w:b/>
          <w:sz w:val="26"/>
          <w:szCs w:val="26"/>
          <w:u w:val="none"/>
        </w:rPr>
      </w:pPr>
    </w:p>
    <w:p w14:paraId="532EEA29" w14:textId="77777777" w:rsidR="0077390A" w:rsidRPr="00975EBD" w:rsidRDefault="0077390A" w:rsidP="0077390A">
      <w:pPr>
        <w:rPr>
          <w:rFonts w:ascii="Century Gothic" w:hAnsi="Century Gothic"/>
          <w:b/>
          <w:sz w:val="26"/>
          <w:szCs w:val="26"/>
          <w:u w:val="none"/>
        </w:rPr>
      </w:pPr>
    </w:p>
    <w:p w14:paraId="49DA1B8F" w14:textId="77777777" w:rsidR="0077390A" w:rsidRPr="00975EBD" w:rsidRDefault="0077390A" w:rsidP="0077390A">
      <w:pPr>
        <w:rPr>
          <w:rFonts w:ascii="Century Gothic" w:hAnsi="Century Gothic"/>
          <w:b/>
          <w:sz w:val="26"/>
          <w:szCs w:val="26"/>
          <w:u w:val="none"/>
        </w:rPr>
      </w:pPr>
      <w:r>
        <w:rPr>
          <w:rFonts w:ascii="Century Gothic" w:hAnsi="Century Gothic"/>
          <w:b/>
          <w:sz w:val="26"/>
          <w:szCs w:val="26"/>
        </w:rPr>
        <w:t>FAHEEM MOHAMED</w:t>
      </w:r>
      <w:r w:rsidRPr="00975EBD">
        <w:rPr>
          <w:rFonts w:ascii="Century Gothic" w:hAnsi="Century Gothic"/>
          <w:b/>
          <w:sz w:val="26"/>
          <w:szCs w:val="26"/>
          <w:u w:val="none"/>
        </w:rPr>
        <w:t xml:space="preserve"> </w:t>
      </w:r>
      <w:r>
        <w:rPr>
          <w:rFonts w:ascii="Century Gothic" w:hAnsi="Century Gothic"/>
          <w:b/>
          <w:sz w:val="26"/>
          <w:szCs w:val="26"/>
          <w:u w:val="none"/>
        </w:rPr>
        <w:t xml:space="preserve">                                                          </w:t>
      </w:r>
      <w:r w:rsidRPr="00975EBD">
        <w:rPr>
          <w:rFonts w:ascii="Century Gothic" w:hAnsi="Century Gothic"/>
          <w:b/>
          <w:sz w:val="26"/>
          <w:szCs w:val="26"/>
          <w:u w:val="none"/>
        </w:rPr>
        <w:t xml:space="preserve">   </w:t>
      </w:r>
      <w:r>
        <w:rPr>
          <w:rFonts w:ascii="Century Gothic" w:hAnsi="Century Gothic"/>
          <w:b/>
          <w:sz w:val="26"/>
          <w:szCs w:val="26"/>
          <w:u w:val="none"/>
        </w:rPr>
        <w:t>First Re</w:t>
      </w:r>
      <w:r w:rsidRPr="00975EBD">
        <w:rPr>
          <w:rFonts w:ascii="Century Gothic" w:hAnsi="Century Gothic"/>
          <w:b/>
          <w:sz w:val="26"/>
          <w:szCs w:val="26"/>
          <w:u w:val="none"/>
        </w:rPr>
        <w:t>spondent</w:t>
      </w:r>
    </w:p>
    <w:p w14:paraId="4F600FAB" w14:textId="77777777" w:rsidR="0077390A" w:rsidRDefault="0077390A" w:rsidP="0077390A">
      <w:pPr>
        <w:rPr>
          <w:rFonts w:ascii="Century Gothic" w:hAnsi="Century Gothic"/>
          <w:b/>
          <w:sz w:val="26"/>
          <w:szCs w:val="26"/>
          <w:u w:val="none"/>
        </w:rPr>
      </w:pPr>
    </w:p>
    <w:p w14:paraId="33460157" w14:textId="77777777" w:rsidR="0077390A" w:rsidRDefault="0077390A" w:rsidP="0077390A">
      <w:pPr>
        <w:rPr>
          <w:rFonts w:ascii="Century Gothic" w:hAnsi="Century Gothic"/>
          <w:b/>
          <w:sz w:val="26"/>
          <w:szCs w:val="26"/>
          <w:u w:val="none"/>
        </w:rPr>
      </w:pPr>
    </w:p>
    <w:p w14:paraId="1FAE47DD" w14:textId="77777777" w:rsidR="0077390A" w:rsidRDefault="0077390A" w:rsidP="0077390A">
      <w:pPr>
        <w:rPr>
          <w:rFonts w:ascii="Century Gothic" w:hAnsi="Century Gothic"/>
          <w:b/>
          <w:sz w:val="26"/>
          <w:szCs w:val="26"/>
          <w:u w:val="none"/>
        </w:rPr>
      </w:pPr>
      <w:r w:rsidRPr="00F85002">
        <w:rPr>
          <w:rFonts w:ascii="Century Gothic" w:hAnsi="Century Gothic"/>
          <w:b/>
          <w:sz w:val="26"/>
          <w:szCs w:val="26"/>
        </w:rPr>
        <w:t>THE COMMUNITY SCHEMES OMBUD SERVICE</w:t>
      </w:r>
      <w:r>
        <w:rPr>
          <w:rFonts w:ascii="Century Gothic" w:hAnsi="Century Gothic"/>
          <w:b/>
          <w:sz w:val="26"/>
          <w:szCs w:val="26"/>
          <w:u w:val="none"/>
        </w:rPr>
        <w:tab/>
        <w:t xml:space="preserve">          Second Respondent</w:t>
      </w:r>
    </w:p>
    <w:p w14:paraId="7C07BA48" w14:textId="77777777" w:rsidR="0077390A" w:rsidRDefault="0077390A" w:rsidP="0077390A">
      <w:pPr>
        <w:rPr>
          <w:rFonts w:ascii="Century Gothic" w:hAnsi="Century Gothic"/>
          <w:b/>
          <w:sz w:val="26"/>
          <w:szCs w:val="26"/>
          <w:u w:val="none"/>
        </w:rPr>
      </w:pPr>
    </w:p>
    <w:p w14:paraId="4F82438F" w14:textId="77777777" w:rsidR="0077390A" w:rsidRPr="00F85002" w:rsidRDefault="0077390A" w:rsidP="0077390A">
      <w:pPr>
        <w:rPr>
          <w:rFonts w:ascii="Century Gothic" w:hAnsi="Century Gothic"/>
          <w:b/>
          <w:sz w:val="26"/>
          <w:szCs w:val="26"/>
        </w:rPr>
      </w:pPr>
      <w:r w:rsidRPr="00F85002">
        <w:rPr>
          <w:rFonts w:ascii="Century Gothic" w:hAnsi="Century Gothic"/>
          <w:b/>
          <w:sz w:val="26"/>
          <w:szCs w:val="26"/>
        </w:rPr>
        <w:t>DOMBOLO MAKGOMO MASILELA N.O.</w:t>
      </w:r>
    </w:p>
    <w:p w14:paraId="536691E6" w14:textId="77777777" w:rsidR="0077390A" w:rsidRPr="00975EBD" w:rsidRDefault="0077390A" w:rsidP="0077390A">
      <w:pPr>
        <w:rPr>
          <w:rFonts w:ascii="Century Gothic" w:hAnsi="Century Gothic"/>
          <w:b/>
          <w:sz w:val="26"/>
          <w:szCs w:val="26"/>
          <w:u w:val="none"/>
        </w:rPr>
      </w:pPr>
      <w:r w:rsidRPr="00F85002">
        <w:rPr>
          <w:rFonts w:ascii="Century Gothic" w:hAnsi="Century Gothic"/>
          <w:b/>
          <w:sz w:val="26"/>
          <w:szCs w:val="26"/>
        </w:rPr>
        <w:t>(IN HER CAPACITY AS ADJUDICATOR)</w:t>
      </w:r>
      <w:r>
        <w:rPr>
          <w:rFonts w:ascii="Century Gothic" w:hAnsi="Century Gothic"/>
          <w:b/>
          <w:sz w:val="26"/>
          <w:szCs w:val="26"/>
          <w:u w:val="none"/>
        </w:rPr>
        <w:tab/>
      </w:r>
      <w:r>
        <w:rPr>
          <w:rFonts w:ascii="Century Gothic" w:hAnsi="Century Gothic"/>
          <w:b/>
          <w:sz w:val="26"/>
          <w:szCs w:val="26"/>
          <w:u w:val="none"/>
        </w:rPr>
        <w:tab/>
        <w:t xml:space="preserve">               Third Respondent</w:t>
      </w:r>
    </w:p>
    <w:p w14:paraId="20F8134D" w14:textId="77777777" w:rsidR="0077390A" w:rsidRDefault="0077390A" w:rsidP="0077390A">
      <w:pPr>
        <w:rPr>
          <w:rFonts w:ascii="Century Gothic" w:hAnsi="Century Gothic"/>
          <w:b/>
          <w:sz w:val="26"/>
          <w:szCs w:val="26"/>
          <w:u w:val="none"/>
        </w:rPr>
      </w:pPr>
    </w:p>
    <w:p w14:paraId="68093647" w14:textId="77777777" w:rsidR="0077390A" w:rsidRDefault="0077390A" w:rsidP="0077390A">
      <w:pPr>
        <w:rPr>
          <w:rFonts w:ascii="Century Gothic" w:hAnsi="Century Gothic"/>
          <w:b/>
          <w:sz w:val="26"/>
          <w:szCs w:val="26"/>
          <w:u w:val="none"/>
        </w:rPr>
      </w:pPr>
    </w:p>
    <w:p w14:paraId="447442AB" w14:textId="77777777" w:rsidR="0077390A" w:rsidRDefault="0077390A" w:rsidP="0077390A">
      <w:pPr>
        <w:rPr>
          <w:rFonts w:ascii="Century Gothic" w:hAnsi="Century Gothic"/>
          <w:b/>
          <w:sz w:val="26"/>
          <w:szCs w:val="26"/>
          <w:u w:val="none"/>
        </w:rPr>
      </w:pPr>
    </w:p>
    <w:p w14:paraId="3B2E8425" w14:textId="77777777" w:rsidR="0077390A" w:rsidRDefault="0077390A" w:rsidP="0077390A">
      <w:pPr>
        <w:pBdr>
          <w:bottom w:val="single" w:sz="12" w:space="1" w:color="auto"/>
        </w:pBdr>
        <w:rPr>
          <w:rFonts w:ascii="Century Gothic" w:hAnsi="Century Gothic"/>
          <w:b/>
          <w:sz w:val="26"/>
          <w:szCs w:val="26"/>
          <w:u w:val="none"/>
        </w:rPr>
      </w:pPr>
    </w:p>
    <w:p w14:paraId="02905A1C" w14:textId="77777777" w:rsidR="0077390A" w:rsidRPr="00975EBD" w:rsidRDefault="0077390A" w:rsidP="0077390A">
      <w:pPr>
        <w:rPr>
          <w:rFonts w:ascii="Century Gothic" w:hAnsi="Century Gothic"/>
          <w:b/>
          <w:sz w:val="26"/>
          <w:szCs w:val="26"/>
          <w:u w:val="none"/>
        </w:rPr>
      </w:pPr>
    </w:p>
    <w:p w14:paraId="76DD8F67" w14:textId="77777777" w:rsidR="0077390A" w:rsidRPr="00975EBD" w:rsidRDefault="0077390A" w:rsidP="0077390A">
      <w:pPr>
        <w:tabs>
          <w:tab w:val="right" w:pos="8280"/>
        </w:tabs>
        <w:jc w:val="both"/>
        <w:rPr>
          <w:rFonts w:ascii="Century Gothic" w:hAnsi="Century Gothic"/>
          <w:b/>
          <w:sz w:val="26"/>
          <w:szCs w:val="26"/>
          <w:u w:val="none"/>
          <w:lang w:val="en-ZA"/>
        </w:rPr>
      </w:pPr>
    </w:p>
    <w:p w14:paraId="2CD35B35" w14:textId="718C7E20" w:rsidR="0077390A" w:rsidRPr="00975EBD" w:rsidRDefault="0077390A" w:rsidP="0077390A">
      <w:pPr>
        <w:pBdr>
          <w:bottom w:val="single" w:sz="12" w:space="1" w:color="auto"/>
        </w:pBdr>
        <w:tabs>
          <w:tab w:val="right" w:pos="8280"/>
        </w:tabs>
        <w:rPr>
          <w:rFonts w:ascii="Century Gothic" w:hAnsi="Century Gothic"/>
          <w:b/>
          <w:sz w:val="26"/>
          <w:szCs w:val="26"/>
          <w:u w:val="none"/>
          <w:lang w:val="en-ZA"/>
        </w:rPr>
      </w:pPr>
      <w:r>
        <w:rPr>
          <w:rFonts w:ascii="Century Gothic" w:hAnsi="Century Gothic"/>
          <w:b/>
          <w:sz w:val="26"/>
          <w:szCs w:val="26"/>
          <w:u w:val="none"/>
          <w:lang w:val="en-ZA"/>
        </w:rPr>
        <w:t xml:space="preserve">                                 LEAVE TO APPEAL </w:t>
      </w:r>
      <w:r w:rsidRPr="00975EBD">
        <w:rPr>
          <w:rFonts w:ascii="Century Gothic" w:hAnsi="Century Gothic"/>
          <w:b/>
          <w:sz w:val="26"/>
          <w:szCs w:val="26"/>
          <w:u w:val="none"/>
          <w:lang w:val="en-ZA"/>
        </w:rPr>
        <w:t>J U D G M E N T</w:t>
      </w:r>
    </w:p>
    <w:p w14:paraId="435EC351" w14:textId="77777777" w:rsidR="0077390A" w:rsidRPr="00975EBD" w:rsidRDefault="0077390A" w:rsidP="0077390A">
      <w:pPr>
        <w:pBdr>
          <w:bottom w:val="single" w:sz="12" w:space="1" w:color="auto"/>
        </w:pBdr>
        <w:tabs>
          <w:tab w:val="right" w:pos="8280"/>
        </w:tabs>
        <w:jc w:val="center"/>
        <w:rPr>
          <w:rFonts w:ascii="Century Gothic" w:hAnsi="Century Gothic"/>
          <w:b/>
          <w:sz w:val="26"/>
          <w:szCs w:val="26"/>
          <w:u w:val="none"/>
          <w:lang w:val="en-ZA"/>
        </w:rPr>
      </w:pPr>
    </w:p>
    <w:p w14:paraId="2577C3B5" w14:textId="77777777" w:rsidR="0077390A" w:rsidRPr="00975EBD" w:rsidRDefault="0077390A" w:rsidP="0077390A">
      <w:pPr>
        <w:tabs>
          <w:tab w:val="right" w:pos="0"/>
        </w:tabs>
        <w:spacing w:line="480" w:lineRule="auto"/>
        <w:jc w:val="both"/>
        <w:rPr>
          <w:rFonts w:ascii="Century Gothic" w:hAnsi="Century Gothic"/>
          <w:b/>
          <w:sz w:val="26"/>
          <w:szCs w:val="26"/>
          <w:u w:val="none"/>
          <w:lang w:val="en-ZA"/>
        </w:rPr>
      </w:pPr>
    </w:p>
    <w:p w14:paraId="7E9BC2F4" w14:textId="77777777" w:rsidR="0077390A" w:rsidRPr="00975EBD" w:rsidRDefault="0077390A" w:rsidP="0077390A">
      <w:pPr>
        <w:tabs>
          <w:tab w:val="right" w:pos="0"/>
        </w:tabs>
        <w:spacing w:line="480" w:lineRule="auto"/>
        <w:jc w:val="both"/>
        <w:rPr>
          <w:rFonts w:ascii="Century Gothic" w:hAnsi="Century Gothic"/>
          <w:b/>
          <w:sz w:val="26"/>
          <w:szCs w:val="26"/>
          <w:u w:val="none"/>
          <w:lang w:val="en-ZA"/>
        </w:rPr>
      </w:pPr>
      <w:r w:rsidRPr="00975EBD">
        <w:rPr>
          <w:rFonts w:ascii="Century Gothic" w:hAnsi="Century Gothic"/>
          <w:b/>
          <w:sz w:val="26"/>
          <w:szCs w:val="26"/>
          <w:lang w:val="en-ZA"/>
        </w:rPr>
        <w:t>LOMBARD, AJ</w:t>
      </w:r>
      <w:r w:rsidRPr="00975EBD">
        <w:rPr>
          <w:rFonts w:ascii="Century Gothic" w:hAnsi="Century Gothic"/>
          <w:b/>
          <w:sz w:val="26"/>
          <w:szCs w:val="26"/>
          <w:u w:val="none"/>
          <w:lang w:val="en-ZA"/>
        </w:rPr>
        <w:t>:</w:t>
      </w:r>
    </w:p>
    <w:p w14:paraId="2A82903B" w14:textId="77777777" w:rsidR="00297A6B" w:rsidRDefault="0077390A" w:rsidP="00297A6B">
      <w:pPr>
        <w:pStyle w:val="level1"/>
        <w:rPr>
          <w:rFonts w:ascii="Century Gothic" w:hAnsi="Century Gothic"/>
          <w:sz w:val="26"/>
          <w:szCs w:val="26"/>
        </w:rPr>
      </w:pPr>
      <w:r w:rsidRPr="00975EBD">
        <w:rPr>
          <w:rFonts w:ascii="Century Gothic" w:hAnsi="Century Gothic"/>
          <w:sz w:val="26"/>
          <w:szCs w:val="26"/>
        </w:rPr>
        <w:t>Th</w:t>
      </w:r>
      <w:r>
        <w:rPr>
          <w:rFonts w:ascii="Century Gothic" w:hAnsi="Century Gothic"/>
          <w:sz w:val="26"/>
          <w:szCs w:val="26"/>
        </w:rPr>
        <w:t>e Applicant seeks leave to appeal against my whole judgment, dated the 2</w:t>
      </w:r>
      <w:r w:rsidRPr="0077390A">
        <w:rPr>
          <w:rFonts w:ascii="Century Gothic" w:hAnsi="Century Gothic"/>
          <w:sz w:val="26"/>
          <w:szCs w:val="26"/>
          <w:vertAlign w:val="superscript"/>
        </w:rPr>
        <w:t>nd</w:t>
      </w:r>
      <w:r>
        <w:rPr>
          <w:rFonts w:ascii="Century Gothic" w:hAnsi="Century Gothic"/>
          <w:sz w:val="26"/>
          <w:szCs w:val="26"/>
        </w:rPr>
        <w:t xml:space="preserve"> of January 2020, in terms of which I dismissed the Applicant’s application appeal</w:t>
      </w:r>
      <w:r w:rsidR="002D5DDE">
        <w:rPr>
          <w:rFonts w:ascii="Century Gothic" w:hAnsi="Century Gothic"/>
          <w:sz w:val="26"/>
          <w:szCs w:val="26"/>
        </w:rPr>
        <w:t>ing</w:t>
      </w:r>
      <w:r>
        <w:rPr>
          <w:rFonts w:ascii="Century Gothic" w:hAnsi="Century Gothic"/>
          <w:sz w:val="26"/>
          <w:szCs w:val="26"/>
        </w:rPr>
        <w:t xml:space="preserve"> against an adjudication order made by the Third Respondent, with costs.</w:t>
      </w:r>
    </w:p>
    <w:p w14:paraId="2D4F12EA" w14:textId="78A08789" w:rsidR="00297A6B" w:rsidRDefault="00297A6B" w:rsidP="00297A6B">
      <w:pPr>
        <w:pStyle w:val="level1"/>
        <w:rPr>
          <w:rFonts w:ascii="Century Gothic" w:hAnsi="Century Gothic"/>
          <w:sz w:val="26"/>
          <w:szCs w:val="26"/>
        </w:rPr>
      </w:pPr>
      <w:r>
        <w:rPr>
          <w:rFonts w:ascii="Century Gothic" w:hAnsi="Century Gothic"/>
          <w:sz w:val="26"/>
          <w:szCs w:val="26"/>
        </w:rPr>
        <w:t>I held that t</w:t>
      </w:r>
      <w:r w:rsidRPr="00297A6B">
        <w:rPr>
          <w:rFonts w:ascii="Century Gothic" w:hAnsi="Century Gothic"/>
          <w:sz w:val="26"/>
          <w:szCs w:val="26"/>
        </w:rPr>
        <w:t xml:space="preserve">he application </w:t>
      </w:r>
      <w:r>
        <w:rPr>
          <w:rFonts w:ascii="Century Gothic" w:hAnsi="Century Gothic"/>
          <w:sz w:val="26"/>
          <w:szCs w:val="26"/>
        </w:rPr>
        <w:t>was</w:t>
      </w:r>
      <w:r w:rsidRPr="00297A6B">
        <w:rPr>
          <w:rFonts w:ascii="Century Gothic" w:hAnsi="Century Gothic"/>
          <w:sz w:val="26"/>
          <w:szCs w:val="26"/>
        </w:rPr>
        <w:t xml:space="preserve"> improperly before me, insofar as it ha</w:t>
      </w:r>
      <w:r>
        <w:rPr>
          <w:rFonts w:ascii="Century Gothic" w:hAnsi="Century Gothic"/>
          <w:sz w:val="26"/>
          <w:szCs w:val="26"/>
        </w:rPr>
        <w:t>d</w:t>
      </w:r>
      <w:r w:rsidRPr="00297A6B">
        <w:rPr>
          <w:rFonts w:ascii="Century Gothic" w:hAnsi="Century Gothic"/>
          <w:sz w:val="26"/>
          <w:szCs w:val="26"/>
        </w:rPr>
        <w:t xml:space="preserve"> not been instituted within the time period prescribed by Section 57 of the </w:t>
      </w:r>
      <w:r>
        <w:rPr>
          <w:rFonts w:ascii="Century Gothic" w:hAnsi="Century Gothic"/>
          <w:sz w:val="26"/>
          <w:szCs w:val="26"/>
        </w:rPr>
        <w:t xml:space="preserve">Community Schemes Ombud Service Act No. 9 of 2011 </w:t>
      </w:r>
      <w:r w:rsidRPr="00F85002">
        <w:rPr>
          <w:rFonts w:ascii="Century Gothic" w:hAnsi="Century Gothic"/>
          <w:b/>
          <w:bCs/>
          <w:sz w:val="26"/>
          <w:szCs w:val="26"/>
        </w:rPr>
        <w:t xml:space="preserve">(“the </w:t>
      </w:r>
      <w:r>
        <w:rPr>
          <w:rFonts w:ascii="Century Gothic" w:hAnsi="Century Gothic"/>
          <w:b/>
          <w:bCs/>
          <w:sz w:val="26"/>
          <w:szCs w:val="26"/>
        </w:rPr>
        <w:t xml:space="preserve">CSOS </w:t>
      </w:r>
      <w:r w:rsidRPr="00F85002">
        <w:rPr>
          <w:rFonts w:ascii="Century Gothic" w:hAnsi="Century Gothic"/>
          <w:b/>
          <w:bCs/>
          <w:sz w:val="26"/>
          <w:szCs w:val="26"/>
        </w:rPr>
        <w:t>Act”)</w:t>
      </w:r>
      <w:r>
        <w:rPr>
          <w:rFonts w:ascii="Century Gothic" w:hAnsi="Century Gothic"/>
          <w:sz w:val="26"/>
          <w:szCs w:val="26"/>
        </w:rPr>
        <w:t>,</w:t>
      </w:r>
      <w:r w:rsidRPr="00297A6B">
        <w:rPr>
          <w:rFonts w:ascii="Century Gothic" w:hAnsi="Century Gothic"/>
          <w:sz w:val="26"/>
          <w:szCs w:val="26"/>
        </w:rPr>
        <w:t xml:space="preserve"> and </w:t>
      </w:r>
      <w:r w:rsidR="00E27A9C">
        <w:rPr>
          <w:rFonts w:ascii="Century Gothic" w:hAnsi="Century Gothic"/>
          <w:sz w:val="26"/>
          <w:szCs w:val="26"/>
        </w:rPr>
        <w:t xml:space="preserve">a basis for </w:t>
      </w:r>
      <w:r w:rsidRPr="00297A6B">
        <w:rPr>
          <w:rFonts w:ascii="Century Gothic" w:hAnsi="Century Gothic"/>
          <w:sz w:val="26"/>
          <w:szCs w:val="26"/>
        </w:rPr>
        <w:t>condonation for the late institution thereof, ha</w:t>
      </w:r>
      <w:r>
        <w:rPr>
          <w:rFonts w:ascii="Century Gothic" w:hAnsi="Century Gothic"/>
          <w:sz w:val="26"/>
          <w:szCs w:val="26"/>
        </w:rPr>
        <w:t>d</w:t>
      </w:r>
      <w:r w:rsidRPr="00297A6B">
        <w:rPr>
          <w:rFonts w:ascii="Century Gothic" w:hAnsi="Century Gothic"/>
          <w:sz w:val="26"/>
          <w:szCs w:val="26"/>
        </w:rPr>
        <w:t xml:space="preserve"> not been </w:t>
      </w:r>
      <w:r w:rsidR="009D74C9">
        <w:rPr>
          <w:rFonts w:ascii="Century Gothic" w:hAnsi="Century Gothic"/>
          <w:sz w:val="26"/>
          <w:szCs w:val="26"/>
        </w:rPr>
        <w:t>established</w:t>
      </w:r>
      <w:r w:rsidRPr="00297A6B">
        <w:rPr>
          <w:rFonts w:ascii="Century Gothic" w:hAnsi="Century Gothic"/>
          <w:sz w:val="26"/>
          <w:szCs w:val="26"/>
        </w:rPr>
        <w:t>.</w:t>
      </w:r>
    </w:p>
    <w:p w14:paraId="0867DAA3" w14:textId="3DC4431A" w:rsidR="0077390A" w:rsidRPr="00297A6B" w:rsidRDefault="0077390A" w:rsidP="00297A6B">
      <w:pPr>
        <w:pStyle w:val="level1"/>
        <w:rPr>
          <w:rFonts w:ascii="Century Gothic" w:hAnsi="Century Gothic"/>
          <w:sz w:val="26"/>
          <w:szCs w:val="26"/>
        </w:rPr>
      </w:pPr>
      <w:r w:rsidRPr="00297A6B">
        <w:rPr>
          <w:rFonts w:ascii="Century Gothic" w:hAnsi="Century Gothic"/>
          <w:sz w:val="26"/>
          <w:szCs w:val="26"/>
        </w:rPr>
        <w:t xml:space="preserve">Section 17 (1)(a) of the Superior Courts Act of 2013 </w:t>
      </w:r>
      <w:r w:rsidRPr="00297A6B">
        <w:rPr>
          <w:rFonts w:ascii="Century Gothic" w:hAnsi="Century Gothic"/>
          <w:b/>
          <w:sz w:val="26"/>
          <w:szCs w:val="26"/>
        </w:rPr>
        <w:t>(“the Superior Courts Act”)</w:t>
      </w:r>
      <w:r w:rsidRPr="00297A6B">
        <w:rPr>
          <w:rFonts w:ascii="Century Gothic" w:hAnsi="Century Gothic"/>
          <w:sz w:val="26"/>
          <w:szCs w:val="26"/>
        </w:rPr>
        <w:t>, prescribes that leave to appeal may only be given, where the judge concerned is of the opinion that:</w:t>
      </w:r>
    </w:p>
    <w:p w14:paraId="133B5E75" w14:textId="77777777" w:rsidR="0077390A" w:rsidRDefault="0077390A" w:rsidP="0077390A">
      <w:pPr>
        <w:pStyle w:val="ListParagraph"/>
        <w:spacing w:line="480" w:lineRule="auto"/>
        <w:jc w:val="both"/>
        <w:rPr>
          <w:rFonts w:ascii="Century Gothic" w:hAnsi="Century Gothic"/>
          <w:sz w:val="26"/>
          <w:szCs w:val="26"/>
          <w:u w:val="none"/>
        </w:rPr>
      </w:pPr>
    </w:p>
    <w:p w14:paraId="7E6AB056" w14:textId="77777777" w:rsidR="00297A6B" w:rsidRDefault="0077390A" w:rsidP="00297A6B">
      <w:pPr>
        <w:pStyle w:val="ListParagraph"/>
        <w:numPr>
          <w:ilvl w:val="1"/>
          <w:numId w:val="7"/>
        </w:numPr>
        <w:spacing w:line="480" w:lineRule="auto"/>
        <w:jc w:val="both"/>
        <w:rPr>
          <w:rFonts w:ascii="Century Gothic" w:hAnsi="Century Gothic"/>
          <w:sz w:val="26"/>
          <w:szCs w:val="26"/>
          <w:u w:val="none"/>
        </w:rPr>
      </w:pPr>
      <w:r w:rsidRPr="00297A6B">
        <w:rPr>
          <w:rFonts w:ascii="Century Gothic" w:hAnsi="Century Gothic"/>
          <w:sz w:val="26"/>
          <w:szCs w:val="26"/>
          <w:u w:val="none"/>
        </w:rPr>
        <w:t>The appeal would have a reasonable prospect of success; or</w:t>
      </w:r>
    </w:p>
    <w:p w14:paraId="08A050E5" w14:textId="5DFBCA3A" w:rsidR="0077390A" w:rsidRDefault="0077390A" w:rsidP="00297A6B">
      <w:pPr>
        <w:pStyle w:val="ListParagraph"/>
        <w:numPr>
          <w:ilvl w:val="1"/>
          <w:numId w:val="7"/>
        </w:numPr>
        <w:spacing w:line="480" w:lineRule="auto"/>
        <w:jc w:val="both"/>
        <w:rPr>
          <w:rFonts w:ascii="Century Gothic" w:hAnsi="Century Gothic"/>
          <w:sz w:val="26"/>
          <w:szCs w:val="26"/>
          <w:u w:val="none"/>
        </w:rPr>
      </w:pPr>
      <w:r w:rsidRPr="00297A6B">
        <w:rPr>
          <w:rFonts w:ascii="Century Gothic" w:hAnsi="Century Gothic"/>
          <w:sz w:val="26"/>
          <w:szCs w:val="26"/>
          <w:u w:val="none"/>
        </w:rPr>
        <w:lastRenderedPageBreak/>
        <w:t>There is some other compelling reason why the appeal should be heard, including conflicting judgments on the matter under consideration.</w:t>
      </w:r>
    </w:p>
    <w:p w14:paraId="1F89FDFF" w14:textId="77777777" w:rsidR="00297A6B" w:rsidRPr="00297A6B" w:rsidRDefault="00297A6B" w:rsidP="00297A6B">
      <w:pPr>
        <w:pStyle w:val="ListParagraph"/>
        <w:spacing w:line="480" w:lineRule="auto"/>
        <w:ind w:left="1440"/>
        <w:jc w:val="both"/>
        <w:rPr>
          <w:rFonts w:ascii="Century Gothic" w:hAnsi="Century Gothic"/>
          <w:sz w:val="26"/>
          <w:szCs w:val="26"/>
          <w:u w:val="none"/>
        </w:rPr>
      </w:pPr>
    </w:p>
    <w:p w14:paraId="7D0A8323" w14:textId="26A676D7" w:rsidR="0077390A" w:rsidRPr="00297A6B" w:rsidRDefault="0077390A" w:rsidP="00297A6B">
      <w:pPr>
        <w:pStyle w:val="ListParagraph"/>
        <w:numPr>
          <w:ilvl w:val="0"/>
          <w:numId w:val="7"/>
        </w:numPr>
        <w:spacing w:line="480" w:lineRule="auto"/>
        <w:ind w:left="567" w:hanging="567"/>
        <w:jc w:val="both"/>
        <w:rPr>
          <w:rFonts w:ascii="Century Gothic" w:hAnsi="Century Gothic"/>
          <w:sz w:val="26"/>
          <w:szCs w:val="26"/>
          <w:u w:val="none"/>
        </w:rPr>
      </w:pPr>
      <w:r w:rsidRPr="00297A6B">
        <w:rPr>
          <w:rFonts w:ascii="Century Gothic" w:hAnsi="Century Gothic"/>
          <w:sz w:val="26"/>
          <w:szCs w:val="26"/>
          <w:u w:val="none"/>
        </w:rPr>
        <w:t xml:space="preserve">In addition to the criterion of a reasonable prospect of success, the word </w:t>
      </w:r>
      <w:r w:rsidRPr="00297A6B">
        <w:rPr>
          <w:rFonts w:ascii="Century Gothic" w:hAnsi="Century Gothic"/>
          <w:i/>
          <w:sz w:val="26"/>
          <w:szCs w:val="26"/>
          <w:u w:val="none"/>
        </w:rPr>
        <w:t>“would”</w:t>
      </w:r>
      <w:r w:rsidRPr="00297A6B">
        <w:rPr>
          <w:rFonts w:ascii="Century Gothic" w:hAnsi="Century Gothic"/>
          <w:sz w:val="26"/>
          <w:szCs w:val="26"/>
          <w:u w:val="none"/>
        </w:rPr>
        <w:t xml:space="preserve"> is used in determining the conclusion to which the Judge must come, before leave to appeal can be granted.</w:t>
      </w:r>
    </w:p>
    <w:p w14:paraId="4EA1CCFF" w14:textId="77777777" w:rsidR="002D5DDE" w:rsidRDefault="002D5DDE" w:rsidP="002D5DDE">
      <w:pPr>
        <w:pStyle w:val="ListParagraph"/>
        <w:ind w:left="567"/>
        <w:jc w:val="both"/>
        <w:rPr>
          <w:rFonts w:ascii="Century Gothic" w:hAnsi="Century Gothic"/>
          <w:sz w:val="26"/>
          <w:szCs w:val="26"/>
          <w:u w:val="none"/>
        </w:rPr>
      </w:pPr>
    </w:p>
    <w:p w14:paraId="3C7DDAF9" w14:textId="5865A618" w:rsidR="0077390A" w:rsidRDefault="0077390A" w:rsidP="00297A6B">
      <w:pPr>
        <w:pStyle w:val="ListParagraph"/>
        <w:numPr>
          <w:ilvl w:val="0"/>
          <w:numId w:val="7"/>
        </w:numPr>
        <w:spacing w:line="480" w:lineRule="auto"/>
        <w:ind w:left="567" w:hanging="567"/>
        <w:jc w:val="both"/>
        <w:rPr>
          <w:rFonts w:ascii="Century Gothic" w:hAnsi="Century Gothic"/>
          <w:sz w:val="26"/>
          <w:szCs w:val="26"/>
          <w:u w:val="none"/>
        </w:rPr>
      </w:pPr>
      <w:r w:rsidRPr="0077390A">
        <w:rPr>
          <w:rFonts w:ascii="Century Gothic" w:hAnsi="Century Gothic"/>
          <w:sz w:val="26"/>
          <w:szCs w:val="26"/>
          <w:u w:val="none"/>
        </w:rPr>
        <w:t xml:space="preserve">The use of the word </w:t>
      </w:r>
      <w:r w:rsidRPr="0077390A">
        <w:rPr>
          <w:rFonts w:ascii="Century Gothic" w:hAnsi="Century Gothic"/>
          <w:i/>
          <w:sz w:val="26"/>
          <w:szCs w:val="26"/>
          <w:u w:val="none"/>
        </w:rPr>
        <w:t>“would”</w:t>
      </w:r>
      <w:r w:rsidRPr="0077390A">
        <w:rPr>
          <w:rFonts w:ascii="Century Gothic" w:hAnsi="Century Gothic"/>
          <w:sz w:val="26"/>
          <w:szCs w:val="26"/>
          <w:u w:val="none"/>
        </w:rPr>
        <w:t xml:space="preserve"> in Section 17, has raised the bar of the test that now has to be applied to the merits of the proposed appeal, before leave should be granted.</w:t>
      </w:r>
      <w:r w:rsidRPr="000076A9">
        <w:rPr>
          <w:rStyle w:val="FootnoteReference"/>
          <w:rFonts w:ascii="Century Gothic" w:hAnsi="Century Gothic"/>
          <w:sz w:val="26"/>
          <w:szCs w:val="26"/>
          <w:u w:val="none"/>
        </w:rPr>
        <w:footnoteReference w:id="1"/>
      </w:r>
    </w:p>
    <w:p w14:paraId="1EF5FEB2" w14:textId="77777777" w:rsidR="0077390A" w:rsidRPr="0077390A" w:rsidRDefault="0077390A" w:rsidP="0077390A">
      <w:pPr>
        <w:pStyle w:val="ListParagraph"/>
        <w:rPr>
          <w:rFonts w:ascii="Century Gothic" w:hAnsi="Century Gothic"/>
          <w:sz w:val="26"/>
          <w:szCs w:val="26"/>
          <w:u w:val="none"/>
        </w:rPr>
      </w:pPr>
    </w:p>
    <w:p w14:paraId="445633BE" w14:textId="781443E7" w:rsidR="0077390A" w:rsidRPr="0077390A" w:rsidRDefault="0077390A" w:rsidP="00297A6B">
      <w:pPr>
        <w:pStyle w:val="ListParagraph"/>
        <w:numPr>
          <w:ilvl w:val="0"/>
          <w:numId w:val="7"/>
        </w:numPr>
        <w:spacing w:line="480" w:lineRule="auto"/>
        <w:ind w:left="567" w:hanging="567"/>
        <w:jc w:val="both"/>
        <w:rPr>
          <w:rFonts w:ascii="Century Gothic" w:hAnsi="Century Gothic"/>
          <w:sz w:val="26"/>
          <w:szCs w:val="26"/>
          <w:u w:val="none"/>
        </w:rPr>
      </w:pPr>
      <w:r w:rsidRPr="0077390A">
        <w:rPr>
          <w:rFonts w:ascii="Century Gothic" w:hAnsi="Century Gothic"/>
          <w:sz w:val="26"/>
          <w:szCs w:val="26"/>
          <w:u w:val="none"/>
        </w:rPr>
        <w:t>It has been held that an applicant for leave to appeal now faces a higher and more stringent threshold, in terms of the Act, compared to the provisions of the Supreme Court Act of 1959.</w:t>
      </w:r>
      <w:r w:rsidRPr="000076A9">
        <w:rPr>
          <w:rStyle w:val="FootnoteReference"/>
          <w:rFonts w:ascii="Century Gothic" w:hAnsi="Century Gothic"/>
          <w:sz w:val="26"/>
          <w:szCs w:val="26"/>
          <w:u w:val="none"/>
        </w:rPr>
        <w:footnoteReference w:id="2"/>
      </w:r>
    </w:p>
    <w:p w14:paraId="3783D242" w14:textId="27994DEC" w:rsidR="002D5DDE" w:rsidRDefault="002D5DDE" w:rsidP="00297A6B">
      <w:pPr>
        <w:pStyle w:val="level1"/>
        <w:numPr>
          <w:ilvl w:val="0"/>
          <w:numId w:val="7"/>
        </w:numPr>
        <w:ind w:left="567" w:hanging="567"/>
        <w:rPr>
          <w:rFonts w:ascii="Century Gothic" w:hAnsi="Century Gothic"/>
          <w:sz w:val="26"/>
          <w:szCs w:val="26"/>
        </w:rPr>
      </w:pPr>
      <w:r>
        <w:rPr>
          <w:rFonts w:ascii="Century Gothic" w:hAnsi="Century Gothic"/>
          <w:sz w:val="26"/>
          <w:szCs w:val="26"/>
        </w:rPr>
        <w:t>T</w:t>
      </w:r>
      <w:r w:rsidR="0077390A">
        <w:rPr>
          <w:rFonts w:ascii="Century Gothic" w:hAnsi="Century Gothic"/>
          <w:sz w:val="26"/>
          <w:szCs w:val="26"/>
        </w:rPr>
        <w:t xml:space="preserve">he Applicant </w:t>
      </w:r>
      <w:r>
        <w:rPr>
          <w:rFonts w:ascii="Century Gothic" w:hAnsi="Century Gothic"/>
          <w:sz w:val="26"/>
          <w:szCs w:val="26"/>
        </w:rPr>
        <w:t xml:space="preserve">premised its application on </w:t>
      </w:r>
      <w:r w:rsidR="0077390A">
        <w:rPr>
          <w:rFonts w:ascii="Century Gothic" w:hAnsi="Century Gothic"/>
          <w:sz w:val="26"/>
          <w:szCs w:val="26"/>
        </w:rPr>
        <w:t>Section 57 of the C</w:t>
      </w:r>
      <w:r w:rsidR="008A71CF">
        <w:rPr>
          <w:rFonts w:ascii="Century Gothic" w:hAnsi="Century Gothic"/>
          <w:sz w:val="26"/>
          <w:szCs w:val="26"/>
        </w:rPr>
        <w:t>SOS Act.</w:t>
      </w:r>
    </w:p>
    <w:p w14:paraId="728033C6" w14:textId="3B4F378E" w:rsidR="002D5DDE" w:rsidRDefault="0077390A" w:rsidP="00297A6B">
      <w:pPr>
        <w:pStyle w:val="level1"/>
        <w:numPr>
          <w:ilvl w:val="0"/>
          <w:numId w:val="7"/>
        </w:numPr>
        <w:ind w:left="567" w:hanging="567"/>
        <w:rPr>
          <w:rFonts w:ascii="Century Gothic" w:hAnsi="Century Gothic"/>
          <w:sz w:val="26"/>
          <w:szCs w:val="26"/>
        </w:rPr>
      </w:pPr>
      <w:r w:rsidRPr="002D5DDE">
        <w:rPr>
          <w:rFonts w:ascii="Century Gothic" w:hAnsi="Century Gothic"/>
          <w:sz w:val="26"/>
          <w:szCs w:val="26"/>
        </w:rPr>
        <w:lastRenderedPageBreak/>
        <w:t>Section 57 (2) of the CSOS Act peremptorily prescribes that an appeal against an order must be lodged within thirty days after the date of delivery of the order of the adjudicator.</w:t>
      </w:r>
    </w:p>
    <w:p w14:paraId="3C7E67EC" w14:textId="5A880B5A" w:rsidR="002D5DDE" w:rsidRDefault="002D5DDE" w:rsidP="00297A6B">
      <w:pPr>
        <w:pStyle w:val="level1"/>
        <w:numPr>
          <w:ilvl w:val="0"/>
          <w:numId w:val="7"/>
        </w:numPr>
        <w:rPr>
          <w:rFonts w:ascii="Century Gothic" w:hAnsi="Century Gothic"/>
          <w:sz w:val="26"/>
          <w:szCs w:val="26"/>
        </w:rPr>
      </w:pPr>
      <w:r>
        <w:rPr>
          <w:rFonts w:ascii="Century Gothic" w:hAnsi="Century Gothic"/>
          <w:sz w:val="26"/>
          <w:szCs w:val="26"/>
        </w:rPr>
        <w:t xml:space="preserve">Applying section 4 of the </w:t>
      </w:r>
      <w:r w:rsidR="0077390A">
        <w:rPr>
          <w:rFonts w:ascii="Century Gothic" w:hAnsi="Century Gothic"/>
          <w:sz w:val="26"/>
          <w:szCs w:val="26"/>
        </w:rPr>
        <w:t xml:space="preserve">Interpretation Act No. 33 of 1957 </w:t>
      </w:r>
      <w:r w:rsidR="0077390A" w:rsidRPr="00E632DC">
        <w:rPr>
          <w:rFonts w:ascii="Century Gothic" w:hAnsi="Century Gothic"/>
          <w:b/>
          <w:bCs/>
          <w:sz w:val="26"/>
          <w:szCs w:val="26"/>
        </w:rPr>
        <w:t>(“the Interpretation Act”)</w:t>
      </w:r>
      <w:r>
        <w:rPr>
          <w:rFonts w:ascii="Century Gothic" w:hAnsi="Century Gothic"/>
          <w:sz w:val="26"/>
          <w:szCs w:val="26"/>
        </w:rPr>
        <w:t>, the envisaged thirty day time period</w:t>
      </w:r>
      <w:r w:rsidR="00C3287F">
        <w:rPr>
          <w:rFonts w:ascii="Century Gothic" w:hAnsi="Century Gothic"/>
          <w:sz w:val="26"/>
          <w:szCs w:val="26"/>
        </w:rPr>
        <w:t>,</w:t>
      </w:r>
      <w:r>
        <w:rPr>
          <w:rFonts w:ascii="Century Gothic" w:hAnsi="Century Gothic"/>
          <w:sz w:val="26"/>
          <w:szCs w:val="26"/>
        </w:rPr>
        <w:t xml:space="preserve"> comprises of calendar and not Court days.</w:t>
      </w:r>
    </w:p>
    <w:p w14:paraId="03BE7940" w14:textId="395D42CD" w:rsidR="00C3287F" w:rsidRDefault="00FB54F3" w:rsidP="00297A6B">
      <w:pPr>
        <w:pStyle w:val="level1"/>
        <w:numPr>
          <w:ilvl w:val="0"/>
          <w:numId w:val="7"/>
        </w:numPr>
        <w:rPr>
          <w:rFonts w:ascii="Century Gothic" w:hAnsi="Century Gothic"/>
          <w:sz w:val="26"/>
          <w:szCs w:val="26"/>
        </w:rPr>
      </w:pPr>
      <w:r>
        <w:rPr>
          <w:rFonts w:ascii="Century Gothic" w:hAnsi="Century Gothic"/>
          <w:sz w:val="26"/>
          <w:szCs w:val="26"/>
        </w:rPr>
        <w:t>It is apparent from a calculation of the relevant time period, that t</w:t>
      </w:r>
      <w:r w:rsidR="002D5DDE">
        <w:rPr>
          <w:rFonts w:ascii="Century Gothic" w:hAnsi="Century Gothic"/>
          <w:sz w:val="26"/>
          <w:szCs w:val="26"/>
        </w:rPr>
        <w:t>he Applicant failed to deliver the application within thirty calendar days.</w:t>
      </w:r>
    </w:p>
    <w:p w14:paraId="3E6316DB" w14:textId="1FD56D50" w:rsidR="00FB54F3" w:rsidRDefault="00FB54F3" w:rsidP="00297A6B">
      <w:pPr>
        <w:pStyle w:val="level1"/>
        <w:numPr>
          <w:ilvl w:val="0"/>
          <w:numId w:val="7"/>
        </w:numPr>
        <w:rPr>
          <w:rFonts w:ascii="Century Gothic" w:hAnsi="Century Gothic"/>
          <w:sz w:val="26"/>
          <w:szCs w:val="26"/>
        </w:rPr>
      </w:pPr>
      <w:r>
        <w:rPr>
          <w:rFonts w:ascii="Century Gothic" w:hAnsi="Century Gothic"/>
          <w:sz w:val="26"/>
          <w:szCs w:val="26"/>
        </w:rPr>
        <w:t>Consequently, the Applicant’s assertion that I incorrectly found that it had conceded the late delivery, takes the matter no further.</w:t>
      </w:r>
    </w:p>
    <w:p w14:paraId="1841944E" w14:textId="65023962" w:rsidR="0077390A" w:rsidRPr="00C3287F" w:rsidRDefault="0077390A" w:rsidP="00297A6B">
      <w:pPr>
        <w:pStyle w:val="level1"/>
        <w:numPr>
          <w:ilvl w:val="0"/>
          <w:numId w:val="7"/>
        </w:numPr>
        <w:rPr>
          <w:rFonts w:ascii="Century Gothic" w:hAnsi="Century Gothic"/>
          <w:sz w:val="26"/>
          <w:szCs w:val="26"/>
        </w:rPr>
      </w:pPr>
      <w:r w:rsidRPr="00C3287F">
        <w:rPr>
          <w:rFonts w:ascii="Century Gothic" w:hAnsi="Century Gothic"/>
          <w:sz w:val="26"/>
          <w:szCs w:val="26"/>
        </w:rPr>
        <w:t>In his answering affidavit</w:t>
      </w:r>
      <w:r>
        <w:rPr>
          <w:rStyle w:val="FootnoteReference"/>
          <w:rFonts w:ascii="Century Gothic" w:hAnsi="Century Gothic"/>
          <w:sz w:val="26"/>
          <w:szCs w:val="26"/>
        </w:rPr>
        <w:footnoteReference w:id="3"/>
      </w:r>
      <w:r w:rsidRPr="00C3287F">
        <w:rPr>
          <w:rFonts w:ascii="Century Gothic" w:hAnsi="Century Gothic"/>
          <w:sz w:val="26"/>
          <w:szCs w:val="26"/>
        </w:rPr>
        <w:t>, the First Respondent correctly t</w:t>
      </w:r>
      <w:r w:rsidR="002D5DDE" w:rsidRPr="00C3287F">
        <w:rPr>
          <w:rFonts w:ascii="Century Gothic" w:hAnsi="Century Gothic"/>
          <w:sz w:val="26"/>
          <w:szCs w:val="26"/>
        </w:rPr>
        <w:t xml:space="preserve">ook </w:t>
      </w:r>
      <w:r w:rsidRPr="00C3287F">
        <w:rPr>
          <w:rFonts w:ascii="Century Gothic" w:hAnsi="Century Gothic"/>
          <w:sz w:val="26"/>
          <w:szCs w:val="26"/>
        </w:rPr>
        <w:t>issue with th</w:t>
      </w:r>
      <w:r w:rsidR="009A1A35">
        <w:rPr>
          <w:rFonts w:ascii="Century Gothic" w:hAnsi="Century Gothic"/>
          <w:sz w:val="26"/>
          <w:szCs w:val="26"/>
        </w:rPr>
        <w:t>e late delivery of the application</w:t>
      </w:r>
      <w:r w:rsidR="002D5DDE" w:rsidRPr="00C3287F">
        <w:rPr>
          <w:rFonts w:ascii="Century Gothic" w:hAnsi="Century Gothic"/>
          <w:sz w:val="26"/>
          <w:szCs w:val="26"/>
        </w:rPr>
        <w:t>.</w:t>
      </w:r>
    </w:p>
    <w:p w14:paraId="18010F4A" w14:textId="03695F9B" w:rsidR="00C3287F" w:rsidRDefault="00C3287F" w:rsidP="00297A6B">
      <w:pPr>
        <w:pStyle w:val="level1"/>
        <w:numPr>
          <w:ilvl w:val="0"/>
          <w:numId w:val="7"/>
        </w:numPr>
        <w:rPr>
          <w:rFonts w:ascii="Century Gothic" w:hAnsi="Century Gothic"/>
          <w:sz w:val="26"/>
          <w:szCs w:val="26"/>
        </w:rPr>
      </w:pPr>
      <w:r>
        <w:rPr>
          <w:rFonts w:ascii="Century Gothic" w:hAnsi="Century Gothic"/>
          <w:sz w:val="26"/>
          <w:szCs w:val="26"/>
        </w:rPr>
        <w:t>The Applicant failed to amend its notice of motion and to apply for leave to supplement its founding affidavit, for purposes of both requesting condonation and setting out the basis for such request, in response</w:t>
      </w:r>
      <w:r w:rsidR="00315CF3">
        <w:rPr>
          <w:rFonts w:ascii="Century Gothic" w:hAnsi="Century Gothic"/>
          <w:sz w:val="26"/>
          <w:szCs w:val="26"/>
        </w:rPr>
        <w:t>; or</w:t>
      </w:r>
      <w:r w:rsidR="00D13B41">
        <w:rPr>
          <w:rFonts w:ascii="Century Gothic" w:hAnsi="Century Gothic"/>
          <w:sz w:val="26"/>
          <w:szCs w:val="26"/>
        </w:rPr>
        <w:t xml:space="preserve"> to launch a</w:t>
      </w:r>
      <w:r w:rsidR="00D06D8F">
        <w:rPr>
          <w:rFonts w:ascii="Century Gothic" w:hAnsi="Century Gothic"/>
          <w:sz w:val="26"/>
          <w:szCs w:val="26"/>
        </w:rPr>
        <w:t xml:space="preserve"> separate condonation application.</w:t>
      </w:r>
    </w:p>
    <w:p w14:paraId="64362A87" w14:textId="0D0A6F2A" w:rsidR="00297A6B" w:rsidRDefault="00297A6B" w:rsidP="00297A6B">
      <w:pPr>
        <w:pStyle w:val="level1"/>
        <w:numPr>
          <w:ilvl w:val="0"/>
          <w:numId w:val="0"/>
        </w:numPr>
        <w:ind w:left="440"/>
        <w:rPr>
          <w:rFonts w:ascii="Century Gothic" w:hAnsi="Century Gothic"/>
          <w:sz w:val="26"/>
          <w:szCs w:val="26"/>
        </w:rPr>
      </w:pPr>
    </w:p>
    <w:p w14:paraId="77077F5D" w14:textId="57105E33" w:rsidR="0077390A" w:rsidRDefault="00C3287F" w:rsidP="00297A6B">
      <w:pPr>
        <w:pStyle w:val="level1"/>
        <w:numPr>
          <w:ilvl w:val="0"/>
          <w:numId w:val="7"/>
        </w:numPr>
        <w:rPr>
          <w:rFonts w:ascii="Century Gothic" w:hAnsi="Century Gothic"/>
          <w:sz w:val="26"/>
          <w:szCs w:val="26"/>
        </w:rPr>
      </w:pPr>
      <w:r>
        <w:rPr>
          <w:rFonts w:ascii="Century Gothic" w:hAnsi="Century Gothic"/>
          <w:sz w:val="26"/>
          <w:szCs w:val="26"/>
        </w:rPr>
        <w:lastRenderedPageBreak/>
        <w:t xml:space="preserve">Instead, </w:t>
      </w:r>
      <w:r w:rsidR="00297A6B">
        <w:rPr>
          <w:rFonts w:ascii="Century Gothic" w:hAnsi="Century Gothic"/>
          <w:sz w:val="26"/>
          <w:szCs w:val="26"/>
        </w:rPr>
        <w:t xml:space="preserve">and </w:t>
      </w:r>
      <w:r>
        <w:rPr>
          <w:rFonts w:ascii="Century Gothic" w:hAnsi="Century Gothic"/>
          <w:sz w:val="26"/>
          <w:szCs w:val="26"/>
        </w:rPr>
        <w:t>impermissibly i</w:t>
      </w:r>
      <w:r w:rsidR="0077390A">
        <w:rPr>
          <w:rFonts w:ascii="Century Gothic" w:hAnsi="Century Gothic"/>
          <w:sz w:val="26"/>
          <w:szCs w:val="26"/>
        </w:rPr>
        <w:t>n reply, the Applicant merely states that little to no prejudice has been suffered by the Respondents due to the late institution of this application, whilst the Applicant will suffer immense prejudice, should the adjudication order be allowed to stand.</w:t>
      </w:r>
      <w:r w:rsidR="0077390A">
        <w:rPr>
          <w:rStyle w:val="FootnoteReference"/>
          <w:rFonts w:ascii="Century Gothic" w:hAnsi="Century Gothic"/>
          <w:sz w:val="26"/>
          <w:szCs w:val="26"/>
        </w:rPr>
        <w:footnoteReference w:id="4"/>
      </w:r>
    </w:p>
    <w:p w14:paraId="75E484D0" w14:textId="77777777" w:rsidR="00C3287F" w:rsidRDefault="0077390A" w:rsidP="00297A6B">
      <w:pPr>
        <w:pStyle w:val="level1"/>
        <w:numPr>
          <w:ilvl w:val="0"/>
          <w:numId w:val="7"/>
        </w:numPr>
        <w:rPr>
          <w:rFonts w:ascii="Century Gothic" w:hAnsi="Century Gothic"/>
          <w:sz w:val="26"/>
          <w:szCs w:val="26"/>
        </w:rPr>
      </w:pPr>
      <w:r>
        <w:rPr>
          <w:rFonts w:ascii="Century Gothic" w:hAnsi="Century Gothic"/>
          <w:sz w:val="26"/>
          <w:szCs w:val="26"/>
        </w:rPr>
        <w:t>The Applicant further avers in reply that it will “</w:t>
      </w:r>
      <w:r w:rsidRPr="00C1779E">
        <w:rPr>
          <w:rFonts w:ascii="Century Gothic" w:hAnsi="Century Gothic"/>
          <w:i/>
          <w:iCs/>
          <w:sz w:val="26"/>
          <w:szCs w:val="26"/>
        </w:rPr>
        <w:t>…be just, fair and equitable for the Honourable Court to condone the late filing of the application”</w:t>
      </w:r>
      <w:r>
        <w:rPr>
          <w:rFonts w:ascii="Century Gothic" w:hAnsi="Century Gothic"/>
          <w:sz w:val="26"/>
          <w:szCs w:val="26"/>
        </w:rPr>
        <w:t>.</w:t>
      </w:r>
      <w:r>
        <w:rPr>
          <w:rStyle w:val="FootnoteReference"/>
          <w:rFonts w:ascii="Century Gothic" w:hAnsi="Century Gothic"/>
          <w:sz w:val="26"/>
          <w:szCs w:val="26"/>
        </w:rPr>
        <w:footnoteReference w:id="5"/>
      </w:r>
    </w:p>
    <w:p w14:paraId="15E8EBAC" w14:textId="77777777" w:rsidR="00C3287F" w:rsidRDefault="00C3287F" w:rsidP="00297A6B">
      <w:pPr>
        <w:pStyle w:val="level1"/>
        <w:numPr>
          <w:ilvl w:val="0"/>
          <w:numId w:val="7"/>
        </w:numPr>
        <w:rPr>
          <w:rFonts w:ascii="Century Gothic" w:hAnsi="Century Gothic"/>
          <w:sz w:val="26"/>
          <w:szCs w:val="26"/>
        </w:rPr>
      </w:pPr>
      <w:r w:rsidRPr="00C3287F">
        <w:rPr>
          <w:rFonts w:ascii="Century Gothic" w:hAnsi="Century Gothic"/>
          <w:sz w:val="26"/>
          <w:szCs w:val="26"/>
        </w:rPr>
        <w:t xml:space="preserve">It </w:t>
      </w:r>
      <w:r w:rsidR="0077390A" w:rsidRPr="00C3287F">
        <w:rPr>
          <w:rFonts w:ascii="Century Gothic" w:hAnsi="Century Gothic"/>
          <w:sz w:val="26"/>
          <w:szCs w:val="26"/>
        </w:rPr>
        <w:t>is trite that a party cannot make out its case in reply.</w:t>
      </w:r>
      <w:r w:rsidR="0077390A">
        <w:rPr>
          <w:rStyle w:val="FootnoteReference"/>
          <w:rFonts w:ascii="Century Gothic" w:hAnsi="Century Gothic"/>
          <w:sz w:val="26"/>
          <w:szCs w:val="26"/>
        </w:rPr>
        <w:footnoteReference w:id="6"/>
      </w:r>
    </w:p>
    <w:p w14:paraId="5AC870C3" w14:textId="4BEDDA22" w:rsidR="0077390A" w:rsidRPr="00C3287F" w:rsidRDefault="0077390A" w:rsidP="00297A6B">
      <w:pPr>
        <w:pStyle w:val="level1"/>
        <w:numPr>
          <w:ilvl w:val="0"/>
          <w:numId w:val="7"/>
        </w:numPr>
        <w:rPr>
          <w:rFonts w:ascii="Century Gothic" w:hAnsi="Century Gothic"/>
          <w:sz w:val="26"/>
          <w:szCs w:val="26"/>
        </w:rPr>
      </w:pPr>
      <w:r w:rsidRPr="00C3287F">
        <w:rPr>
          <w:rFonts w:ascii="Century Gothic" w:hAnsi="Century Gothic"/>
          <w:sz w:val="26"/>
          <w:szCs w:val="26"/>
        </w:rPr>
        <w:t xml:space="preserve">I </w:t>
      </w:r>
      <w:r w:rsidR="00C3287F">
        <w:rPr>
          <w:rFonts w:ascii="Century Gothic" w:hAnsi="Century Gothic"/>
          <w:sz w:val="26"/>
          <w:szCs w:val="26"/>
        </w:rPr>
        <w:t xml:space="preserve">remain </w:t>
      </w:r>
      <w:r w:rsidRPr="00C3287F">
        <w:rPr>
          <w:rFonts w:ascii="Century Gothic" w:hAnsi="Century Gothic"/>
          <w:sz w:val="26"/>
          <w:szCs w:val="26"/>
        </w:rPr>
        <w:t xml:space="preserve">satisfied that I </w:t>
      </w:r>
      <w:r w:rsidR="00C3287F">
        <w:rPr>
          <w:rFonts w:ascii="Century Gothic" w:hAnsi="Century Gothic"/>
          <w:sz w:val="26"/>
          <w:szCs w:val="26"/>
        </w:rPr>
        <w:t>was</w:t>
      </w:r>
      <w:r w:rsidRPr="00C3287F">
        <w:rPr>
          <w:rFonts w:ascii="Century Gothic" w:hAnsi="Century Gothic"/>
          <w:sz w:val="26"/>
          <w:szCs w:val="26"/>
        </w:rPr>
        <w:t xml:space="preserve"> unable to grant condonation for the late delivery of th</w:t>
      </w:r>
      <w:r w:rsidR="00C3287F">
        <w:rPr>
          <w:rFonts w:ascii="Century Gothic" w:hAnsi="Century Gothic"/>
          <w:sz w:val="26"/>
          <w:szCs w:val="26"/>
        </w:rPr>
        <w:t>e</w:t>
      </w:r>
      <w:r w:rsidRPr="00C3287F">
        <w:rPr>
          <w:rFonts w:ascii="Century Gothic" w:hAnsi="Century Gothic"/>
          <w:sz w:val="26"/>
          <w:szCs w:val="26"/>
        </w:rPr>
        <w:t xml:space="preserve"> application, without an application for condonation, which sets out a full explanation for the late delivery of this application.  </w:t>
      </w:r>
    </w:p>
    <w:p w14:paraId="569AD675" w14:textId="034A0B66" w:rsidR="0077390A" w:rsidRDefault="0077390A" w:rsidP="00297A6B">
      <w:pPr>
        <w:pStyle w:val="level1"/>
        <w:numPr>
          <w:ilvl w:val="0"/>
          <w:numId w:val="7"/>
        </w:numPr>
        <w:rPr>
          <w:rFonts w:ascii="Century Gothic" w:hAnsi="Century Gothic"/>
          <w:sz w:val="26"/>
          <w:szCs w:val="26"/>
        </w:rPr>
      </w:pPr>
      <w:r>
        <w:rPr>
          <w:rFonts w:ascii="Century Gothic" w:hAnsi="Century Gothic"/>
          <w:sz w:val="26"/>
          <w:szCs w:val="26"/>
        </w:rPr>
        <w:t xml:space="preserve">Without an application for condonation, I </w:t>
      </w:r>
      <w:r w:rsidR="00C3287F">
        <w:rPr>
          <w:rFonts w:ascii="Century Gothic" w:hAnsi="Century Gothic"/>
          <w:sz w:val="26"/>
          <w:szCs w:val="26"/>
        </w:rPr>
        <w:t>was</w:t>
      </w:r>
      <w:r>
        <w:rPr>
          <w:rFonts w:ascii="Century Gothic" w:hAnsi="Century Gothic"/>
          <w:sz w:val="26"/>
          <w:szCs w:val="26"/>
        </w:rPr>
        <w:t xml:space="preserve"> unable</w:t>
      </w:r>
      <w:r w:rsidRPr="00FC025F">
        <w:rPr>
          <w:rFonts w:ascii="Century Gothic" w:hAnsi="Century Gothic"/>
          <w:sz w:val="26"/>
          <w:szCs w:val="26"/>
        </w:rPr>
        <w:t xml:space="preserve"> to understand how the delay came about, for purposes of assessing the Applicant’s conduct and motives.</w:t>
      </w:r>
      <w:r w:rsidRPr="002C7608">
        <w:rPr>
          <w:rStyle w:val="FootnoteReference"/>
          <w:rFonts w:ascii="Century Gothic" w:hAnsi="Century Gothic"/>
          <w:sz w:val="26"/>
          <w:szCs w:val="26"/>
        </w:rPr>
        <w:footnoteReference w:id="7"/>
      </w:r>
    </w:p>
    <w:p w14:paraId="7856DC0C" w14:textId="3EAE1FBE" w:rsidR="00C3287F" w:rsidRDefault="00C3287F" w:rsidP="00297A6B">
      <w:pPr>
        <w:pStyle w:val="level1"/>
        <w:numPr>
          <w:ilvl w:val="0"/>
          <w:numId w:val="7"/>
        </w:numPr>
        <w:rPr>
          <w:rFonts w:ascii="Century Gothic" w:hAnsi="Century Gothic"/>
          <w:sz w:val="26"/>
          <w:szCs w:val="26"/>
        </w:rPr>
      </w:pPr>
      <w:r>
        <w:rPr>
          <w:rFonts w:ascii="Century Gothic" w:hAnsi="Century Gothic"/>
          <w:sz w:val="26"/>
          <w:szCs w:val="26"/>
        </w:rPr>
        <w:lastRenderedPageBreak/>
        <w:t>The Applicant relied on the decision of</w:t>
      </w:r>
      <w:r w:rsidRPr="00C3287F">
        <w:rPr>
          <w:rFonts w:ascii="Century Gothic" w:hAnsi="Century Gothic"/>
          <w:b/>
          <w:bCs/>
          <w:sz w:val="26"/>
          <w:szCs w:val="26"/>
        </w:rPr>
        <w:t xml:space="preserve"> PEARL KLOBERIE v ABSA BANK LIMITED &amp; OTHERS (7264/2013) [2013] ZAGPJHC (16 AUGUST 2013)</w:t>
      </w:r>
      <w:r>
        <w:rPr>
          <w:rFonts w:ascii="Century Gothic" w:hAnsi="Century Gothic"/>
          <w:sz w:val="26"/>
          <w:szCs w:val="26"/>
        </w:rPr>
        <w:t xml:space="preserve">, which references the decision of </w:t>
      </w:r>
      <w:r w:rsidRPr="00C3287F">
        <w:rPr>
          <w:rFonts w:ascii="Century Gothic" w:hAnsi="Century Gothic"/>
          <w:b/>
          <w:bCs/>
          <w:sz w:val="26"/>
          <w:szCs w:val="26"/>
        </w:rPr>
        <w:t>MCGILL v VLAKPLAS BRICKWORKS (PTY) LIMITED 1981 (1) SA 637</w:t>
      </w:r>
      <w:r>
        <w:rPr>
          <w:rFonts w:ascii="Century Gothic" w:hAnsi="Century Gothic"/>
          <w:sz w:val="26"/>
          <w:szCs w:val="26"/>
        </w:rPr>
        <w:t>, in asserting that a litigant can apply for condonation informally from the bar.</w:t>
      </w:r>
    </w:p>
    <w:p w14:paraId="3904A2C0" w14:textId="38E06A35" w:rsidR="00297A6B" w:rsidRDefault="00297A6B" w:rsidP="00297A6B">
      <w:pPr>
        <w:pStyle w:val="level1"/>
        <w:numPr>
          <w:ilvl w:val="0"/>
          <w:numId w:val="7"/>
        </w:numPr>
        <w:rPr>
          <w:rFonts w:ascii="Century Gothic" w:hAnsi="Century Gothic"/>
          <w:sz w:val="26"/>
          <w:szCs w:val="26"/>
        </w:rPr>
      </w:pPr>
      <w:r>
        <w:rPr>
          <w:rFonts w:ascii="Century Gothic" w:hAnsi="Century Gothic"/>
          <w:sz w:val="26"/>
          <w:szCs w:val="26"/>
        </w:rPr>
        <w:t>Both these decisions are distinguishable from the case at hand, insofar as:</w:t>
      </w:r>
    </w:p>
    <w:p w14:paraId="145732F2" w14:textId="1BD874F0" w:rsidR="00297A6B" w:rsidRDefault="00297A6B" w:rsidP="00297A6B">
      <w:pPr>
        <w:pStyle w:val="level1"/>
        <w:numPr>
          <w:ilvl w:val="1"/>
          <w:numId w:val="7"/>
        </w:numPr>
        <w:rPr>
          <w:rFonts w:ascii="Century Gothic" w:hAnsi="Century Gothic"/>
          <w:sz w:val="26"/>
          <w:szCs w:val="26"/>
        </w:rPr>
      </w:pPr>
      <w:r>
        <w:rPr>
          <w:rFonts w:ascii="Century Gothic" w:hAnsi="Century Gothic"/>
          <w:sz w:val="26"/>
          <w:szCs w:val="26"/>
        </w:rPr>
        <w:t>A basis had been set out for condonation in the founding affidavits;</w:t>
      </w:r>
    </w:p>
    <w:p w14:paraId="5A0AE690" w14:textId="08BDCA02" w:rsidR="00297A6B" w:rsidRDefault="00297A6B" w:rsidP="00297A6B">
      <w:pPr>
        <w:pStyle w:val="level1"/>
        <w:numPr>
          <w:ilvl w:val="1"/>
          <w:numId w:val="7"/>
        </w:numPr>
        <w:rPr>
          <w:rFonts w:ascii="Century Gothic" w:hAnsi="Century Gothic"/>
          <w:sz w:val="26"/>
          <w:szCs w:val="26"/>
        </w:rPr>
      </w:pPr>
      <w:r>
        <w:rPr>
          <w:rFonts w:ascii="Century Gothic" w:hAnsi="Century Gothic"/>
          <w:sz w:val="26"/>
          <w:szCs w:val="26"/>
        </w:rPr>
        <w:t>The respondents had the benefit of considering and responding to these averments; and</w:t>
      </w:r>
    </w:p>
    <w:p w14:paraId="76F9E46B" w14:textId="54712DF8" w:rsidR="00297A6B" w:rsidRDefault="00297A6B" w:rsidP="00297A6B">
      <w:pPr>
        <w:pStyle w:val="level1"/>
        <w:numPr>
          <w:ilvl w:val="1"/>
          <w:numId w:val="7"/>
        </w:numPr>
        <w:rPr>
          <w:rFonts w:ascii="Century Gothic" w:hAnsi="Century Gothic"/>
          <w:sz w:val="26"/>
          <w:szCs w:val="26"/>
        </w:rPr>
      </w:pPr>
      <w:r>
        <w:rPr>
          <w:rFonts w:ascii="Century Gothic" w:hAnsi="Century Gothic"/>
          <w:sz w:val="26"/>
          <w:szCs w:val="26"/>
        </w:rPr>
        <w:t>Resultantly, the respondents were not prejudiced.</w:t>
      </w:r>
      <w:r>
        <w:rPr>
          <w:rStyle w:val="FootnoteReference"/>
          <w:rFonts w:ascii="Century Gothic" w:hAnsi="Century Gothic"/>
          <w:sz w:val="26"/>
          <w:szCs w:val="26"/>
        </w:rPr>
        <w:footnoteReference w:id="8"/>
      </w:r>
    </w:p>
    <w:p w14:paraId="14666FEC" w14:textId="1FB36A6D" w:rsidR="00297A6B" w:rsidRPr="00FC025F" w:rsidRDefault="00297A6B" w:rsidP="00297A6B">
      <w:pPr>
        <w:pStyle w:val="level1"/>
        <w:numPr>
          <w:ilvl w:val="0"/>
          <w:numId w:val="7"/>
        </w:numPr>
        <w:rPr>
          <w:rFonts w:ascii="Century Gothic" w:hAnsi="Century Gothic"/>
          <w:sz w:val="26"/>
          <w:szCs w:val="26"/>
        </w:rPr>
      </w:pPr>
      <w:r>
        <w:rPr>
          <w:rFonts w:ascii="Century Gothic" w:hAnsi="Century Gothic"/>
          <w:sz w:val="26"/>
          <w:szCs w:val="26"/>
        </w:rPr>
        <w:t xml:space="preserve">I am not satisfied that the appeal has reasonable prospects of success or that </w:t>
      </w:r>
      <w:r w:rsidRPr="0077390A">
        <w:rPr>
          <w:rFonts w:ascii="Century Gothic" w:hAnsi="Century Gothic"/>
          <w:sz w:val="26"/>
          <w:szCs w:val="26"/>
        </w:rPr>
        <w:t>some other compelling reason why the appeal should be heard, including conflicting judgments on the matter under consideration</w:t>
      </w:r>
      <w:r>
        <w:rPr>
          <w:rFonts w:ascii="Century Gothic" w:hAnsi="Century Gothic"/>
          <w:sz w:val="26"/>
          <w:szCs w:val="26"/>
        </w:rPr>
        <w:t>, exists.</w:t>
      </w:r>
    </w:p>
    <w:p w14:paraId="6B9F5A2A" w14:textId="6A1430EF" w:rsidR="0077390A" w:rsidRDefault="0077390A" w:rsidP="00C3287F">
      <w:pPr>
        <w:pStyle w:val="level1"/>
        <w:numPr>
          <w:ilvl w:val="0"/>
          <w:numId w:val="0"/>
        </w:numPr>
        <w:ind w:left="1287"/>
        <w:rPr>
          <w:rFonts w:ascii="Century Gothic" w:hAnsi="Century Gothic"/>
          <w:sz w:val="26"/>
          <w:szCs w:val="26"/>
        </w:rPr>
      </w:pPr>
    </w:p>
    <w:p w14:paraId="1D88E992" w14:textId="7F8E5576" w:rsidR="00CE0804" w:rsidRDefault="00297A6B" w:rsidP="00297A6B">
      <w:pPr>
        <w:pStyle w:val="level1"/>
        <w:numPr>
          <w:ilvl w:val="0"/>
          <w:numId w:val="7"/>
        </w:numPr>
        <w:rPr>
          <w:rFonts w:ascii="Century Gothic" w:hAnsi="Century Gothic"/>
          <w:sz w:val="26"/>
          <w:szCs w:val="26"/>
        </w:rPr>
      </w:pPr>
      <w:r>
        <w:rPr>
          <w:rFonts w:ascii="Century Gothic" w:hAnsi="Century Gothic"/>
          <w:sz w:val="26"/>
          <w:szCs w:val="26"/>
        </w:rPr>
        <w:lastRenderedPageBreak/>
        <w:t xml:space="preserve">The </w:t>
      </w:r>
      <w:r w:rsidR="00117E62">
        <w:rPr>
          <w:rFonts w:ascii="Century Gothic" w:hAnsi="Century Gothic"/>
          <w:sz w:val="26"/>
          <w:szCs w:val="26"/>
        </w:rPr>
        <w:t>First Respondent requested that I dismiss the application for leave to appeal with costs on an attorney and client scale</w:t>
      </w:r>
      <w:r w:rsidR="00CE0804">
        <w:rPr>
          <w:rFonts w:ascii="Century Gothic" w:hAnsi="Century Gothic"/>
          <w:sz w:val="26"/>
          <w:szCs w:val="26"/>
        </w:rPr>
        <w:t xml:space="preserve">, premised in part, on the </w:t>
      </w:r>
      <w:r w:rsidR="00744E7A">
        <w:rPr>
          <w:rFonts w:ascii="Century Gothic" w:hAnsi="Century Gothic"/>
          <w:sz w:val="26"/>
          <w:szCs w:val="26"/>
        </w:rPr>
        <w:t xml:space="preserve">Applicant’s </w:t>
      </w:r>
      <w:r w:rsidR="00CE0804">
        <w:rPr>
          <w:rFonts w:ascii="Century Gothic" w:hAnsi="Century Gothic"/>
          <w:sz w:val="26"/>
          <w:szCs w:val="26"/>
        </w:rPr>
        <w:t>delay in prosecuting the application for leave.</w:t>
      </w:r>
    </w:p>
    <w:p w14:paraId="2875541E" w14:textId="77777777" w:rsidR="00CE0804" w:rsidRDefault="00CE0804" w:rsidP="00CE0804">
      <w:pPr>
        <w:pStyle w:val="ListParagraph"/>
        <w:rPr>
          <w:rFonts w:ascii="Century Gothic" w:hAnsi="Century Gothic"/>
          <w:sz w:val="26"/>
          <w:szCs w:val="26"/>
        </w:rPr>
      </w:pPr>
    </w:p>
    <w:p w14:paraId="1D055517" w14:textId="6965FAC5" w:rsidR="00DB04C9" w:rsidRDefault="002D0F9D" w:rsidP="00297A6B">
      <w:pPr>
        <w:pStyle w:val="level1"/>
        <w:numPr>
          <w:ilvl w:val="0"/>
          <w:numId w:val="7"/>
        </w:numPr>
        <w:rPr>
          <w:rFonts w:ascii="Century Gothic" w:hAnsi="Century Gothic"/>
          <w:sz w:val="26"/>
          <w:szCs w:val="26"/>
        </w:rPr>
      </w:pPr>
      <w:r>
        <w:rPr>
          <w:rFonts w:ascii="Century Gothic" w:hAnsi="Century Gothic"/>
          <w:sz w:val="26"/>
          <w:szCs w:val="26"/>
        </w:rPr>
        <w:t>The First Respondent</w:t>
      </w:r>
      <w:r w:rsidR="00B07D80">
        <w:rPr>
          <w:rFonts w:ascii="Century Gothic" w:hAnsi="Century Gothic"/>
          <w:sz w:val="26"/>
          <w:szCs w:val="26"/>
        </w:rPr>
        <w:t xml:space="preserve"> </w:t>
      </w:r>
      <w:r>
        <w:rPr>
          <w:rFonts w:ascii="Century Gothic" w:hAnsi="Century Gothic"/>
          <w:sz w:val="26"/>
          <w:szCs w:val="26"/>
        </w:rPr>
        <w:t xml:space="preserve">was entitled to </w:t>
      </w:r>
      <w:r w:rsidR="00DB04C9">
        <w:rPr>
          <w:rFonts w:ascii="Century Gothic" w:hAnsi="Century Gothic"/>
          <w:sz w:val="26"/>
          <w:szCs w:val="26"/>
        </w:rPr>
        <w:t xml:space="preserve">enrol the application for leave to appeal </w:t>
      </w:r>
      <w:r w:rsidR="00AB1A13">
        <w:rPr>
          <w:rFonts w:ascii="Century Gothic" w:hAnsi="Century Gothic"/>
          <w:sz w:val="26"/>
          <w:szCs w:val="26"/>
        </w:rPr>
        <w:t>for hearing, when the Applicant did not do so.</w:t>
      </w:r>
      <w:r w:rsidR="006D7E92">
        <w:rPr>
          <w:rFonts w:ascii="Century Gothic" w:hAnsi="Century Gothic"/>
          <w:sz w:val="26"/>
          <w:szCs w:val="26"/>
        </w:rPr>
        <w:t xml:space="preserve">  </w:t>
      </w:r>
      <w:r w:rsidR="00BC6268">
        <w:rPr>
          <w:rFonts w:ascii="Century Gothic" w:hAnsi="Century Gothic"/>
          <w:sz w:val="26"/>
          <w:szCs w:val="26"/>
        </w:rPr>
        <w:t>The First Respondent however elected not to do so.</w:t>
      </w:r>
    </w:p>
    <w:p w14:paraId="709E0DF2" w14:textId="77777777" w:rsidR="00DB04C9" w:rsidRDefault="00DB04C9" w:rsidP="00DB04C9">
      <w:pPr>
        <w:pStyle w:val="ListParagraph"/>
        <w:rPr>
          <w:rFonts w:ascii="Century Gothic" w:hAnsi="Century Gothic"/>
          <w:sz w:val="26"/>
          <w:szCs w:val="26"/>
        </w:rPr>
      </w:pPr>
    </w:p>
    <w:p w14:paraId="5B52F777" w14:textId="0905D01B" w:rsidR="0077390A" w:rsidRDefault="00DB04C9" w:rsidP="00297A6B">
      <w:pPr>
        <w:pStyle w:val="level1"/>
        <w:numPr>
          <w:ilvl w:val="0"/>
          <w:numId w:val="7"/>
        </w:numPr>
        <w:rPr>
          <w:rFonts w:ascii="Century Gothic" w:hAnsi="Century Gothic"/>
          <w:sz w:val="26"/>
          <w:szCs w:val="26"/>
        </w:rPr>
      </w:pPr>
      <w:r>
        <w:rPr>
          <w:rFonts w:ascii="Century Gothic" w:hAnsi="Century Gothic"/>
          <w:sz w:val="26"/>
          <w:szCs w:val="26"/>
        </w:rPr>
        <w:t xml:space="preserve">I am not </w:t>
      </w:r>
      <w:r w:rsidR="00B07D80">
        <w:rPr>
          <w:rFonts w:ascii="Century Gothic" w:hAnsi="Century Gothic"/>
          <w:sz w:val="26"/>
          <w:szCs w:val="26"/>
        </w:rPr>
        <w:t>convinced</w:t>
      </w:r>
      <w:r>
        <w:rPr>
          <w:rFonts w:ascii="Century Gothic" w:hAnsi="Century Gothic"/>
          <w:sz w:val="26"/>
          <w:szCs w:val="26"/>
        </w:rPr>
        <w:t xml:space="preserve"> that a punitive costs order is warranted in the circumstances.</w:t>
      </w:r>
    </w:p>
    <w:p w14:paraId="18EC73F6" w14:textId="77777777" w:rsidR="0077390A" w:rsidRDefault="0077390A" w:rsidP="00297A6B">
      <w:pPr>
        <w:pStyle w:val="level1"/>
        <w:numPr>
          <w:ilvl w:val="0"/>
          <w:numId w:val="7"/>
        </w:numPr>
        <w:rPr>
          <w:rFonts w:ascii="Century Gothic" w:hAnsi="Century Gothic"/>
          <w:sz w:val="26"/>
          <w:szCs w:val="26"/>
        </w:rPr>
      </w:pPr>
      <w:r>
        <w:rPr>
          <w:rFonts w:ascii="Century Gothic" w:hAnsi="Century Gothic"/>
          <w:sz w:val="26"/>
          <w:szCs w:val="26"/>
        </w:rPr>
        <w:t>In the premises, I grant an order in the following terms:</w:t>
      </w:r>
    </w:p>
    <w:p w14:paraId="42297524" w14:textId="3B3DA2C5" w:rsidR="0077390A" w:rsidRDefault="0077390A" w:rsidP="00E432A7">
      <w:pPr>
        <w:pStyle w:val="level1"/>
        <w:numPr>
          <w:ilvl w:val="1"/>
          <w:numId w:val="7"/>
        </w:numPr>
        <w:rPr>
          <w:rFonts w:ascii="Century Gothic" w:hAnsi="Century Gothic"/>
          <w:sz w:val="26"/>
          <w:szCs w:val="26"/>
        </w:rPr>
      </w:pPr>
      <w:r>
        <w:rPr>
          <w:rFonts w:ascii="Century Gothic" w:hAnsi="Century Gothic"/>
          <w:sz w:val="26"/>
          <w:szCs w:val="26"/>
        </w:rPr>
        <w:t xml:space="preserve">The application </w:t>
      </w:r>
      <w:r w:rsidR="00DB04C9">
        <w:rPr>
          <w:rFonts w:ascii="Century Gothic" w:hAnsi="Century Gothic"/>
          <w:sz w:val="26"/>
          <w:szCs w:val="26"/>
        </w:rPr>
        <w:t xml:space="preserve">for leave to appeal </w:t>
      </w:r>
      <w:r>
        <w:rPr>
          <w:rFonts w:ascii="Century Gothic" w:hAnsi="Century Gothic"/>
          <w:sz w:val="26"/>
          <w:szCs w:val="26"/>
        </w:rPr>
        <w:t>is dismissed; and</w:t>
      </w:r>
    </w:p>
    <w:p w14:paraId="4B7FB893" w14:textId="6BF02DB5" w:rsidR="0077390A" w:rsidRDefault="0077390A" w:rsidP="00E432A7">
      <w:pPr>
        <w:pStyle w:val="level1"/>
        <w:numPr>
          <w:ilvl w:val="1"/>
          <w:numId w:val="7"/>
        </w:numPr>
        <w:rPr>
          <w:rFonts w:ascii="Century Gothic" w:hAnsi="Century Gothic"/>
          <w:sz w:val="26"/>
          <w:szCs w:val="26"/>
        </w:rPr>
      </w:pPr>
      <w:r>
        <w:rPr>
          <w:rFonts w:ascii="Century Gothic" w:hAnsi="Century Gothic"/>
          <w:sz w:val="26"/>
          <w:szCs w:val="26"/>
        </w:rPr>
        <w:t xml:space="preserve">The Applicant is ordered the pay the costs of </w:t>
      </w:r>
      <w:r w:rsidR="00B07D80">
        <w:rPr>
          <w:rFonts w:ascii="Century Gothic" w:hAnsi="Century Gothic"/>
          <w:sz w:val="26"/>
          <w:szCs w:val="26"/>
        </w:rPr>
        <w:t>the application for leave to appeal.</w:t>
      </w:r>
    </w:p>
    <w:p w14:paraId="7DD8B8B7" w14:textId="77777777" w:rsidR="0077390A" w:rsidRDefault="0077390A" w:rsidP="0077390A">
      <w:pPr>
        <w:spacing w:line="480" w:lineRule="auto"/>
        <w:jc w:val="both"/>
        <w:rPr>
          <w:b/>
          <w:u w:val="none"/>
        </w:rPr>
      </w:pPr>
    </w:p>
    <w:p w14:paraId="7E333219" w14:textId="77777777" w:rsidR="0077390A" w:rsidRDefault="0077390A" w:rsidP="0077390A">
      <w:pPr>
        <w:spacing w:line="480" w:lineRule="auto"/>
        <w:jc w:val="both"/>
        <w:rPr>
          <w:b/>
          <w:u w:val="none"/>
        </w:rPr>
      </w:pPr>
    </w:p>
    <w:p w14:paraId="0D15DF66" w14:textId="35585693" w:rsidR="0077390A" w:rsidRPr="00CC2B09" w:rsidRDefault="0077390A" w:rsidP="0077390A">
      <w:pPr>
        <w:spacing w:line="480" w:lineRule="auto"/>
        <w:jc w:val="both"/>
        <w:rPr>
          <w:b/>
          <w:u w:val="none"/>
        </w:rPr>
      </w:pPr>
      <w:r w:rsidRPr="00CC2B09">
        <w:rPr>
          <w:b/>
          <w:u w:val="none"/>
        </w:rPr>
        <w:t>Date of hearing:</w:t>
      </w:r>
      <w:r w:rsidRPr="00CC2B09">
        <w:rPr>
          <w:b/>
          <w:u w:val="none"/>
        </w:rPr>
        <w:tab/>
      </w:r>
      <w:r w:rsidRPr="00CC2B09">
        <w:rPr>
          <w:b/>
          <w:u w:val="none"/>
        </w:rPr>
        <w:tab/>
      </w:r>
      <w:r w:rsidRPr="00CC2B09">
        <w:rPr>
          <w:b/>
          <w:u w:val="none"/>
        </w:rPr>
        <w:tab/>
      </w:r>
      <w:r w:rsidRPr="00CC2B09">
        <w:rPr>
          <w:b/>
          <w:u w:val="none"/>
        </w:rPr>
        <w:tab/>
      </w:r>
      <w:r w:rsidR="00AF63E8">
        <w:rPr>
          <w:b/>
          <w:u w:val="none"/>
        </w:rPr>
        <w:t>18</w:t>
      </w:r>
      <w:r w:rsidR="00297092">
        <w:rPr>
          <w:b/>
          <w:u w:val="none"/>
        </w:rPr>
        <w:t xml:space="preserve"> March 2021</w:t>
      </w:r>
    </w:p>
    <w:p w14:paraId="676EE27E" w14:textId="0D17CE5D" w:rsidR="0077390A" w:rsidRPr="00CC2B09" w:rsidRDefault="0077390A" w:rsidP="0077390A">
      <w:pPr>
        <w:spacing w:line="480" w:lineRule="auto"/>
        <w:jc w:val="both"/>
        <w:rPr>
          <w:b/>
          <w:u w:val="none"/>
        </w:rPr>
      </w:pPr>
      <w:r>
        <w:rPr>
          <w:b/>
          <w:u w:val="none"/>
        </w:rPr>
        <w:t>Judgment handed down on:</w:t>
      </w:r>
      <w:r>
        <w:rPr>
          <w:b/>
          <w:u w:val="none"/>
        </w:rPr>
        <w:tab/>
      </w:r>
      <w:r>
        <w:rPr>
          <w:b/>
          <w:u w:val="none"/>
        </w:rPr>
        <w:tab/>
      </w:r>
      <w:r w:rsidR="00297092">
        <w:rPr>
          <w:b/>
          <w:u w:val="none"/>
        </w:rPr>
        <w:t>28 June 2021</w:t>
      </w:r>
    </w:p>
    <w:p w14:paraId="23F3E127" w14:textId="7B62D43D" w:rsidR="0077390A" w:rsidRDefault="0077390A" w:rsidP="0077390A">
      <w:pPr>
        <w:spacing w:line="480" w:lineRule="auto"/>
        <w:jc w:val="both"/>
        <w:rPr>
          <w:b/>
          <w:u w:val="none"/>
        </w:rPr>
      </w:pPr>
    </w:p>
    <w:p w14:paraId="19751BED" w14:textId="77777777" w:rsidR="00AF63E8" w:rsidRDefault="00AF63E8" w:rsidP="0077390A">
      <w:pPr>
        <w:spacing w:line="480" w:lineRule="auto"/>
        <w:jc w:val="both"/>
        <w:rPr>
          <w:b/>
          <w:u w:val="none"/>
        </w:rPr>
      </w:pPr>
    </w:p>
    <w:p w14:paraId="4C396DB3" w14:textId="77777777" w:rsidR="0077390A" w:rsidRPr="00CC2B09" w:rsidRDefault="0077390A" w:rsidP="0077390A">
      <w:pPr>
        <w:spacing w:line="480" w:lineRule="auto"/>
        <w:jc w:val="both"/>
        <w:rPr>
          <w:b/>
          <w:u w:val="none"/>
        </w:rPr>
      </w:pPr>
      <w:r w:rsidRPr="00CC2B09">
        <w:rPr>
          <w:b/>
          <w:u w:val="none"/>
        </w:rPr>
        <w:lastRenderedPageBreak/>
        <w:t>Appearances:</w:t>
      </w:r>
    </w:p>
    <w:p w14:paraId="52324305" w14:textId="77777777" w:rsidR="0077390A" w:rsidRPr="00CC2B09" w:rsidRDefault="0077390A" w:rsidP="0077390A">
      <w:pPr>
        <w:spacing w:line="480" w:lineRule="auto"/>
        <w:jc w:val="both"/>
        <w:rPr>
          <w:b/>
          <w:u w:val="none"/>
        </w:rPr>
      </w:pPr>
    </w:p>
    <w:p w14:paraId="6D41EC3B" w14:textId="77777777" w:rsidR="0077390A" w:rsidRPr="00CC2B09" w:rsidRDefault="0077390A" w:rsidP="0077390A">
      <w:pPr>
        <w:spacing w:line="480" w:lineRule="auto"/>
        <w:jc w:val="both"/>
        <w:rPr>
          <w:b/>
          <w:u w:val="none"/>
        </w:rPr>
      </w:pPr>
      <w:r w:rsidRPr="00CC2B09">
        <w:rPr>
          <w:b/>
          <w:u w:val="none"/>
        </w:rPr>
        <w:t>Counsel for the Applicant:</w:t>
      </w:r>
      <w:r w:rsidRPr="00CC2B09">
        <w:rPr>
          <w:b/>
          <w:u w:val="none"/>
        </w:rPr>
        <w:tab/>
      </w:r>
      <w:r w:rsidRPr="00CC2B09">
        <w:rPr>
          <w:b/>
          <w:u w:val="none"/>
        </w:rPr>
        <w:tab/>
      </w:r>
      <w:r>
        <w:rPr>
          <w:b/>
          <w:u w:val="none"/>
        </w:rPr>
        <w:t>G Hardy</w:t>
      </w:r>
      <w:r>
        <w:rPr>
          <w:b/>
          <w:u w:val="none"/>
        </w:rPr>
        <w:tab/>
      </w:r>
      <w:r>
        <w:rPr>
          <w:b/>
          <w:u w:val="none"/>
        </w:rPr>
        <w:tab/>
      </w:r>
      <w:r>
        <w:rPr>
          <w:b/>
          <w:u w:val="none"/>
        </w:rPr>
        <w:tab/>
      </w:r>
      <w:r>
        <w:rPr>
          <w:b/>
          <w:u w:val="none"/>
        </w:rPr>
        <w:tab/>
      </w:r>
      <w:r>
        <w:rPr>
          <w:b/>
          <w:u w:val="none"/>
        </w:rPr>
        <w:tab/>
      </w:r>
    </w:p>
    <w:p w14:paraId="15109656" w14:textId="77777777" w:rsidR="0077390A" w:rsidRPr="00CC2B09" w:rsidRDefault="0077390A" w:rsidP="0077390A">
      <w:pPr>
        <w:spacing w:line="480" w:lineRule="auto"/>
        <w:jc w:val="both"/>
        <w:rPr>
          <w:b/>
          <w:u w:val="none"/>
        </w:rPr>
      </w:pPr>
      <w:r w:rsidRPr="00CC2B09">
        <w:rPr>
          <w:b/>
          <w:u w:val="none"/>
        </w:rPr>
        <w:t>Attorneys for the Applicant:</w:t>
      </w:r>
      <w:r w:rsidRPr="00CC2B09">
        <w:rPr>
          <w:b/>
          <w:u w:val="none"/>
        </w:rPr>
        <w:tab/>
      </w:r>
      <w:r w:rsidRPr="00CC2B09">
        <w:rPr>
          <w:b/>
          <w:u w:val="none"/>
        </w:rPr>
        <w:tab/>
      </w:r>
      <w:r>
        <w:rPr>
          <w:b/>
          <w:u w:val="none"/>
        </w:rPr>
        <w:t>Dewey Hertzberg Levy Inc.</w:t>
      </w:r>
    </w:p>
    <w:p w14:paraId="3864214F" w14:textId="77777777" w:rsidR="0077390A" w:rsidRPr="00CC2B09" w:rsidRDefault="0077390A" w:rsidP="0077390A">
      <w:pPr>
        <w:spacing w:line="480" w:lineRule="auto"/>
        <w:jc w:val="both"/>
        <w:rPr>
          <w:b/>
          <w:u w:val="none"/>
        </w:rPr>
      </w:pPr>
    </w:p>
    <w:p w14:paraId="745E92C9" w14:textId="6D79F96E" w:rsidR="0077390A" w:rsidRDefault="0077390A" w:rsidP="0077390A">
      <w:pPr>
        <w:spacing w:line="480" w:lineRule="auto"/>
        <w:jc w:val="both"/>
        <w:rPr>
          <w:b/>
          <w:u w:val="none"/>
        </w:rPr>
      </w:pPr>
      <w:r>
        <w:rPr>
          <w:b/>
          <w:u w:val="none"/>
        </w:rPr>
        <w:t>Counsel for the First Respondent:</w:t>
      </w:r>
      <w:r>
        <w:rPr>
          <w:b/>
          <w:u w:val="none"/>
        </w:rPr>
        <w:tab/>
      </w:r>
      <w:r w:rsidR="00AF63E8">
        <w:rPr>
          <w:b/>
          <w:u w:val="none"/>
        </w:rPr>
        <w:t>S Bhyat</w:t>
      </w:r>
    </w:p>
    <w:p w14:paraId="6B3226F9" w14:textId="77777777" w:rsidR="0077390A" w:rsidRDefault="0077390A" w:rsidP="0077390A">
      <w:pPr>
        <w:spacing w:line="480" w:lineRule="auto"/>
        <w:jc w:val="both"/>
        <w:rPr>
          <w:b/>
          <w:u w:val="none"/>
        </w:rPr>
      </w:pPr>
      <w:r>
        <w:rPr>
          <w:b/>
          <w:u w:val="none"/>
        </w:rPr>
        <w:t>Attorneys for the First Respondent:</w:t>
      </w:r>
      <w:r>
        <w:rPr>
          <w:b/>
          <w:u w:val="none"/>
        </w:rPr>
        <w:tab/>
        <w:t>Hajibey-Bhyat Inc.</w:t>
      </w:r>
    </w:p>
    <w:p w14:paraId="7E0E0555" w14:textId="77777777" w:rsidR="0077390A" w:rsidRDefault="0077390A" w:rsidP="0077390A">
      <w:pPr>
        <w:spacing w:line="480" w:lineRule="auto"/>
        <w:jc w:val="both"/>
        <w:rPr>
          <w:b/>
          <w:u w:val="none"/>
        </w:rPr>
      </w:pPr>
    </w:p>
    <w:p w14:paraId="7AEF76DA" w14:textId="77777777" w:rsidR="0077390A" w:rsidRPr="00CC2B09" w:rsidRDefault="0077390A" w:rsidP="0077390A">
      <w:pPr>
        <w:spacing w:line="480" w:lineRule="auto"/>
        <w:jc w:val="both"/>
        <w:rPr>
          <w:u w:val="none"/>
        </w:rPr>
      </w:pPr>
      <w:r>
        <w:rPr>
          <w:b/>
          <w:u w:val="none"/>
        </w:rPr>
        <w:t>No appearance for the Second and Third Respondents</w:t>
      </w:r>
    </w:p>
    <w:p w14:paraId="4FAF7577" w14:textId="77777777" w:rsidR="0077390A" w:rsidRPr="00CC2B09" w:rsidRDefault="0077390A" w:rsidP="0077390A">
      <w:pPr>
        <w:pStyle w:val="level1"/>
        <w:numPr>
          <w:ilvl w:val="0"/>
          <w:numId w:val="0"/>
        </w:numPr>
        <w:ind w:left="1440" w:hanging="873"/>
        <w:rPr>
          <w:rFonts w:ascii="Century Gothic" w:hAnsi="Century Gothic"/>
          <w:sz w:val="26"/>
          <w:szCs w:val="26"/>
        </w:rPr>
      </w:pPr>
    </w:p>
    <w:p w14:paraId="193A4234" w14:textId="77777777" w:rsidR="0077390A" w:rsidRDefault="0077390A" w:rsidP="0077390A"/>
    <w:p w14:paraId="340A9AEE" w14:textId="77777777" w:rsidR="0077390A" w:rsidRDefault="0077390A"/>
    <w:sectPr w:rsidR="007739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279B" w14:textId="77777777" w:rsidR="004467BB" w:rsidRDefault="004467BB" w:rsidP="0077390A">
      <w:r>
        <w:separator/>
      </w:r>
    </w:p>
  </w:endnote>
  <w:endnote w:type="continuationSeparator" w:id="0">
    <w:p w14:paraId="631BB96A" w14:textId="77777777" w:rsidR="004467BB" w:rsidRDefault="004467BB" w:rsidP="007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eue Haas Grotesk Text Pro">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C6C2" w14:textId="77777777" w:rsidR="004467BB" w:rsidRDefault="004467BB" w:rsidP="0077390A">
      <w:r>
        <w:separator/>
      </w:r>
    </w:p>
  </w:footnote>
  <w:footnote w:type="continuationSeparator" w:id="0">
    <w:p w14:paraId="5895FC9F" w14:textId="77777777" w:rsidR="004467BB" w:rsidRDefault="004467BB" w:rsidP="0077390A">
      <w:r>
        <w:continuationSeparator/>
      </w:r>
    </w:p>
  </w:footnote>
  <w:footnote w:id="1">
    <w:p w14:paraId="34690732" w14:textId="77777777" w:rsidR="0077390A" w:rsidRPr="000076A9" w:rsidRDefault="0077390A" w:rsidP="0077390A">
      <w:pPr>
        <w:pStyle w:val="FootnoteText"/>
        <w:rPr>
          <w:rFonts w:ascii="Neue Haas Grotesk Text Pro" w:hAnsi="Neue Haas Grotesk Text Pro"/>
          <w:b/>
          <w:bCs/>
          <w:u w:val="none"/>
        </w:rPr>
      </w:pPr>
      <w:r w:rsidRPr="00297A6B">
        <w:rPr>
          <w:rStyle w:val="FootnoteReference"/>
          <w:rFonts w:ascii="Neue Haas Grotesk Text Pro" w:hAnsi="Neue Haas Grotesk Text Pro"/>
          <w:u w:val="none"/>
        </w:rPr>
        <w:footnoteRef/>
      </w:r>
      <w:r w:rsidRPr="000076A9">
        <w:rPr>
          <w:rFonts w:ascii="Neue Haas Grotesk Text Pro" w:hAnsi="Neue Haas Grotesk Text Pro"/>
          <w:b/>
          <w:bCs/>
          <w:u w:val="none"/>
        </w:rPr>
        <w:t xml:space="preserve"> The Mont Chevaux Trust (IT 2012/28) v Tina Goosen – Unreported decision, LCC Case No </w:t>
      </w:r>
    </w:p>
    <w:p w14:paraId="3C45E64D" w14:textId="77777777" w:rsidR="0077390A" w:rsidRPr="000076A9" w:rsidRDefault="0077390A" w:rsidP="0077390A">
      <w:pPr>
        <w:pStyle w:val="FootnoteText"/>
        <w:rPr>
          <w:rFonts w:ascii="Neue Haas Grotesk Text Pro" w:hAnsi="Neue Haas Grotesk Text Pro"/>
          <w:b/>
          <w:bCs/>
          <w:u w:val="none"/>
        </w:rPr>
      </w:pPr>
      <w:r w:rsidRPr="000076A9">
        <w:rPr>
          <w:rFonts w:ascii="Neue Haas Grotesk Text Pro" w:hAnsi="Neue Haas Grotesk Text Pro"/>
          <w:b/>
          <w:bCs/>
          <w:u w:val="none"/>
        </w:rPr>
        <w:t xml:space="preserve">   LCC14R/2014 dated 3 November 2014, cited with approval by the full Court in The Acting </w:t>
      </w:r>
    </w:p>
    <w:p w14:paraId="60A0E958" w14:textId="77777777" w:rsidR="0077390A" w:rsidRPr="000076A9" w:rsidRDefault="0077390A" w:rsidP="0077390A">
      <w:pPr>
        <w:pStyle w:val="FootnoteText"/>
        <w:rPr>
          <w:rFonts w:ascii="Neue Haas Grotesk Text Pro" w:hAnsi="Neue Haas Grotesk Text Pro"/>
          <w:b/>
          <w:bCs/>
          <w:u w:val="none"/>
        </w:rPr>
      </w:pPr>
      <w:r w:rsidRPr="000076A9">
        <w:rPr>
          <w:rFonts w:ascii="Neue Haas Grotesk Text Pro" w:hAnsi="Neue Haas Grotesk Text Pro"/>
          <w:b/>
          <w:bCs/>
          <w:u w:val="none"/>
        </w:rPr>
        <w:t xml:space="preserve">   National Director of Public Prosecution v Democratic Alliance – Unreported decision, GP </w:t>
      </w:r>
    </w:p>
    <w:p w14:paraId="1824B8DA" w14:textId="77777777" w:rsidR="0077390A" w:rsidRPr="000076A9" w:rsidRDefault="0077390A" w:rsidP="0077390A">
      <w:pPr>
        <w:pStyle w:val="FootnoteText"/>
        <w:rPr>
          <w:rFonts w:ascii="Neue Haas Grotesk Text Pro" w:hAnsi="Neue Haas Grotesk Text Pro"/>
          <w:b/>
          <w:bCs/>
          <w:u w:val="none"/>
        </w:rPr>
      </w:pPr>
      <w:r w:rsidRPr="000076A9">
        <w:rPr>
          <w:rFonts w:ascii="Neue Haas Grotesk Text Pro" w:hAnsi="Neue Haas Grotesk Text Pro"/>
          <w:b/>
          <w:bCs/>
          <w:u w:val="none"/>
        </w:rPr>
        <w:t xml:space="preserve">   Case No 19577/09 dated 24 June 2016, paragraph 25</w:t>
      </w:r>
    </w:p>
  </w:footnote>
  <w:footnote w:id="2">
    <w:p w14:paraId="53D43B8A" w14:textId="77777777" w:rsidR="0077390A" w:rsidRPr="000076A9" w:rsidRDefault="0077390A" w:rsidP="0077390A">
      <w:pPr>
        <w:pStyle w:val="FootnoteText"/>
        <w:rPr>
          <w:rFonts w:ascii="Neue Haas Grotesk Text Pro" w:hAnsi="Neue Haas Grotesk Text Pro"/>
          <w:b/>
          <w:bCs/>
          <w:u w:val="none"/>
        </w:rPr>
      </w:pPr>
      <w:r w:rsidRPr="00297A6B">
        <w:rPr>
          <w:rStyle w:val="FootnoteReference"/>
          <w:rFonts w:ascii="Neue Haas Grotesk Text Pro" w:hAnsi="Neue Haas Grotesk Text Pro"/>
          <w:u w:val="none"/>
        </w:rPr>
        <w:footnoteRef/>
      </w:r>
      <w:r w:rsidRPr="00297A6B">
        <w:rPr>
          <w:rFonts w:ascii="Neue Haas Grotesk Text Pro" w:hAnsi="Neue Haas Grotesk Text Pro"/>
          <w:u w:val="none"/>
        </w:rPr>
        <w:t xml:space="preserve"> </w:t>
      </w:r>
      <w:r w:rsidRPr="000076A9">
        <w:rPr>
          <w:rFonts w:ascii="Neue Haas Grotesk Text Pro" w:hAnsi="Neue Haas Grotesk Text Pro"/>
          <w:b/>
          <w:bCs/>
          <w:u w:val="none"/>
        </w:rPr>
        <w:t>Notshokovu v S – Unreported Decision, SCA Case No 157/15 dated 7 September 2016</w:t>
      </w:r>
    </w:p>
  </w:footnote>
  <w:footnote w:id="3">
    <w:p w14:paraId="46FDFBA4" w14:textId="77777777" w:rsidR="0077390A" w:rsidRPr="00297A6B" w:rsidRDefault="0077390A" w:rsidP="0077390A">
      <w:pPr>
        <w:pStyle w:val="FootnoteText"/>
        <w:rPr>
          <w:rFonts w:ascii="Neue Haas Grotesk Text Pro" w:hAnsi="Neue Haas Grotesk Text Pro"/>
          <w:u w:val="none"/>
          <w:lang w:val="en-ZA"/>
        </w:rPr>
      </w:pPr>
      <w:r w:rsidRPr="00297A6B">
        <w:rPr>
          <w:rStyle w:val="FootnoteReference"/>
          <w:rFonts w:ascii="Neue Haas Grotesk Text Pro" w:hAnsi="Neue Haas Grotesk Text Pro"/>
          <w:u w:val="none"/>
        </w:rPr>
        <w:footnoteRef/>
      </w:r>
      <w:r w:rsidRPr="00297A6B">
        <w:rPr>
          <w:rFonts w:ascii="Neue Haas Grotesk Text Pro" w:hAnsi="Neue Haas Grotesk Text Pro"/>
          <w:u w:val="none"/>
        </w:rPr>
        <w:t xml:space="preserve"> </w:t>
      </w:r>
      <w:r w:rsidRPr="00297A6B">
        <w:rPr>
          <w:rFonts w:ascii="Neue Haas Grotesk Text Pro" w:hAnsi="Neue Haas Grotesk Text Pro"/>
          <w:u w:val="none"/>
          <w:lang w:val="en-ZA"/>
        </w:rPr>
        <w:t>Paginated pages 82 – 83, paragraphs 28 - 32</w:t>
      </w:r>
    </w:p>
  </w:footnote>
  <w:footnote w:id="4">
    <w:p w14:paraId="4DC84087" w14:textId="77777777" w:rsidR="0077390A" w:rsidRPr="00297A6B" w:rsidRDefault="0077390A" w:rsidP="0077390A">
      <w:pPr>
        <w:pStyle w:val="FootnoteText"/>
        <w:rPr>
          <w:rFonts w:ascii="Neue Haas Grotesk Text Pro" w:hAnsi="Neue Haas Grotesk Text Pro"/>
          <w:u w:val="none"/>
          <w:lang w:val="en-ZA"/>
        </w:rPr>
      </w:pPr>
      <w:r w:rsidRPr="00297A6B">
        <w:rPr>
          <w:rStyle w:val="FootnoteReference"/>
          <w:rFonts w:ascii="Century Gothic" w:hAnsi="Century Gothic"/>
          <w:u w:val="none"/>
        </w:rPr>
        <w:footnoteRef/>
      </w:r>
      <w:r w:rsidRPr="00297A6B">
        <w:rPr>
          <w:rFonts w:ascii="Century Gothic" w:hAnsi="Century Gothic"/>
          <w:u w:val="none"/>
        </w:rPr>
        <w:t xml:space="preserve"> </w:t>
      </w:r>
      <w:r w:rsidRPr="00297A6B">
        <w:rPr>
          <w:rFonts w:ascii="Neue Haas Grotesk Text Pro" w:hAnsi="Neue Haas Grotesk Text Pro"/>
          <w:u w:val="none"/>
          <w:lang w:val="en-ZA"/>
        </w:rPr>
        <w:t>Paginated page 114, paragraphs 24.3 and 24.4</w:t>
      </w:r>
    </w:p>
  </w:footnote>
  <w:footnote w:id="5">
    <w:p w14:paraId="1660654B" w14:textId="77777777" w:rsidR="0077390A" w:rsidRPr="00297A6B" w:rsidRDefault="0077390A" w:rsidP="0077390A">
      <w:pPr>
        <w:pStyle w:val="FootnoteText"/>
        <w:rPr>
          <w:rFonts w:ascii="Neue Haas Grotesk Text Pro" w:hAnsi="Neue Haas Grotesk Text Pro"/>
          <w:lang w:val="en-ZA"/>
        </w:rPr>
      </w:pPr>
      <w:r w:rsidRPr="00297A6B">
        <w:rPr>
          <w:rStyle w:val="FootnoteReference"/>
          <w:rFonts w:ascii="Neue Haas Grotesk Text Pro" w:hAnsi="Neue Haas Grotesk Text Pro"/>
          <w:u w:val="none"/>
        </w:rPr>
        <w:footnoteRef/>
      </w:r>
      <w:r w:rsidRPr="00297A6B">
        <w:rPr>
          <w:rFonts w:ascii="Neue Haas Grotesk Text Pro" w:hAnsi="Neue Haas Grotesk Text Pro"/>
          <w:u w:val="none"/>
        </w:rPr>
        <w:t xml:space="preserve"> </w:t>
      </w:r>
      <w:r w:rsidRPr="00297A6B">
        <w:rPr>
          <w:rFonts w:ascii="Neue Haas Grotesk Text Pro" w:hAnsi="Neue Haas Grotesk Text Pro"/>
          <w:u w:val="none"/>
          <w:lang w:val="en-ZA"/>
        </w:rPr>
        <w:t>Paginated page 114, paragraph 24.5</w:t>
      </w:r>
    </w:p>
  </w:footnote>
  <w:footnote w:id="6">
    <w:p w14:paraId="0B1AB774" w14:textId="77777777" w:rsidR="0077390A" w:rsidRPr="00297A6B" w:rsidRDefault="0077390A" w:rsidP="0077390A">
      <w:pPr>
        <w:pStyle w:val="FootnoteText"/>
        <w:rPr>
          <w:rFonts w:ascii="Neue Haas Grotesk Text Pro" w:hAnsi="Neue Haas Grotesk Text Pro"/>
          <w:lang w:val="en-ZA"/>
        </w:rPr>
      </w:pPr>
      <w:r w:rsidRPr="00297A6B">
        <w:rPr>
          <w:rStyle w:val="FootnoteReference"/>
          <w:rFonts w:ascii="Neue Haas Grotesk Text Pro" w:hAnsi="Neue Haas Grotesk Text Pro"/>
          <w:u w:val="none"/>
        </w:rPr>
        <w:footnoteRef/>
      </w:r>
      <w:r w:rsidRPr="00297A6B">
        <w:rPr>
          <w:rFonts w:ascii="Neue Haas Grotesk Text Pro" w:hAnsi="Neue Haas Grotesk Text Pro"/>
          <w:b/>
          <w:bCs/>
          <w:u w:val="none"/>
        </w:rPr>
        <w:t xml:space="preserve"> Hart v Pinetown Drive-in Cinema (Pty) Ltd 1972 (1) SA 464 (D) and other related cases</w:t>
      </w:r>
    </w:p>
  </w:footnote>
  <w:footnote w:id="7">
    <w:p w14:paraId="1AFCA261" w14:textId="77777777" w:rsidR="0077390A" w:rsidRPr="00297A6B" w:rsidRDefault="0077390A" w:rsidP="0077390A">
      <w:pPr>
        <w:pStyle w:val="FootnoteText"/>
        <w:rPr>
          <w:rFonts w:ascii="Neue Haas Grotesk Text Pro" w:hAnsi="Neue Haas Grotesk Text Pro"/>
          <w:u w:val="none"/>
        </w:rPr>
      </w:pPr>
      <w:r w:rsidRPr="00297A6B">
        <w:rPr>
          <w:rStyle w:val="FootnoteReference"/>
          <w:rFonts w:ascii="Neue Haas Grotesk Text Pro" w:hAnsi="Neue Haas Grotesk Text Pro"/>
          <w:u w:val="none"/>
        </w:rPr>
        <w:footnoteRef/>
      </w:r>
      <w:r w:rsidRPr="00297A6B">
        <w:rPr>
          <w:rFonts w:ascii="Neue Haas Grotesk Text Pro" w:hAnsi="Neue Haas Grotesk Text Pro"/>
          <w:u w:val="none"/>
        </w:rPr>
        <w:t xml:space="preserve"> </w:t>
      </w:r>
      <w:r w:rsidRPr="00297A6B">
        <w:rPr>
          <w:rFonts w:ascii="Neue Haas Grotesk Text Pro" w:hAnsi="Neue Haas Grotesk Text Pro"/>
          <w:b/>
          <w:bCs/>
          <w:u w:val="none"/>
        </w:rPr>
        <w:t>Silber v Ozen Wholesalers (Pty) Limited</w:t>
      </w:r>
      <w:r w:rsidRPr="00297A6B">
        <w:rPr>
          <w:rFonts w:ascii="Neue Haas Grotesk Text Pro" w:hAnsi="Neue Haas Grotesk Text Pro"/>
          <w:u w:val="none"/>
        </w:rPr>
        <w:t xml:space="preserve"> </w:t>
      </w:r>
      <w:r w:rsidRPr="00297A6B">
        <w:rPr>
          <w:rFonts w:ascii="Neue Haas Grotesk Text Pro" w:hAnsi="Neue Haas Grotesk Text Pro"/>
          <w:b/>
          <w:bCs/>
          <w:u w:val="none"/>
        </w:rPr>
        <w:t>1954 (2) SA 345 (A) at 353A</w:t>
      </w:r>
    </w:p>
    <w:p w14:paraId="68EE106B" w14:textId="77777777" w:rsidR="0077390A" w:rsidRPr="00297A6B" w:rsidRDefault="0077390A" w:rsidP="0077390A">
      <w:pPr>
        <w:pStyle w:val="FootnoteText"/>
        <w:rPr>
          <w:rFonts w:ascii="Neue Haas Grotesk Text Pro" w:hAnsi="Neue Haas Grotesk Text Pro"/>
          <w:b/>
          <w:bCs/>
          <w:u w:val="none"/>
        </w:rPr>
      </w:pPr>
      <w:r w:rsidRPr="00297A6B">
        <w:rPr>
          <w:rFonts w:ascii="Neue Haas Grotesk Text Pro" w:hAnsi="Neue Haas Grotesk Text Pro"/>
          <w:b/>
          <w:bCs/>
          <w:u w:val="none"/>
        </w:rPr>
        <w:t xml:space="preserve">  Laerskool Generaal Hendrik Scoeman v Bastian Financial Services (Pty) Limited</w:t>
      </w:r>
      <w:r w:rsidRPr="00297A6B">
        <w:rPr>
          <w:rFonts w:ascii="Neue Haas Grotesk Text Pro" w:hAnsi="Neue Haas Grotesk Text Pro"/>
          <w:u w:val="none"/>
        </w:rPr>
        <w:t xml:space="preserve"> </w:t>
      </w:r>
      <w:r w:rsidRPr="00297A6B">
        <w:rPr>
          <w:rFonts w:ascii="Neue Haas Grotesk Text Pro" w:hAnsi="Neue Haas Grotesk Text Pro"/>
          <w:b/>
          <w:bCs/>
          <w:u w:val="none"/>
        </w:rPr>
        <w:t xml:space="preserve">2012 (2) SA </w:t>
      </w:r>
    </w:p>
    <w:p w14:paraId="0FF8C705" w14:textId="77777777" w:rsidR="0077390A" w:rsidRPr="00297A6B" w:rsidRDefault="0077390A" w:rsidP="0077390A">
      <w:pPr>
        <w:pStyle w:val="FootnoteText"/>
        <w:rPr>
          <w:rFonts w:ascii="Neue Haas Grotesk Text Pro" w:hAnsi="Neue Haas Grotesk Text Pro"/>
          <w:u w:val="none"/>
        </w:rPr>
      </w:pPr>
      <w:r w:rsidRPr="00297A6B">
        <w:rPr>
          <w:rFonts w:ascii="Neue Haas Grotesk Text Pro" w:hAnsi="Neue Haas Grotesk Text Pro"/>
          <w:b/>
          <w:bCs/>
          <w:u w:val="none"/>
        </w:rPr>
        <w:t xml:space="preserve">  637 (CC) at 640H – I</w:t>
      </w:r>
    </w:p>
  </w:footnote>
  <w:footnote w:id="8">
    <w:p w14:paraId="14FD559D" w14:textId="635E8C8E" w:rsidR="00297A6B" w:rsidRPr="00297A6B" w:rsidRDefault="00297A6B">
      <w:pPr>
        <w:pStyle w:val="FootnoteText"/>
        <w:rPr>
          <w:u w:val="none"/>
          <w:lang w:val="en-ZA"/>
        </w:rPr>
      </w:pPr>
      <w:r w:rsidRPr="00297A6B">
        <w:rPr>
          <w:rStyle w:val="FootnoteReference"/>
          <w:u w:val="none"/>
        </w:rPr>
        <w:footnoteRef/>
      </w:r>
      <w:r w:rsidRPr="00297A6B">
        <w:rPr>
          <w:u w:val="none"/>
        </w:rPr>
        <w:t xml:space="preserve"> </w:t>
      </w:r>
      <w:r w:rsidRPr="00297A6B">
        <w:rPr>
          <w:u w:val="none"/>
          <w:lang w:val="en-ZA"/>
        </w:rPr>
        <w:t>See</w:t>
      </w:r>
      <w:r>
        <w:rPr>
          <w:u w:val="none"/>
          <w:lang w:val="en-ZA"/>
        </w:rPr>
        <w:t xml:space="preserve"> paragraphs [10] and [11] of the KLOBERIE decision</w:t>
      </w:r>
      <w:r w:rsidRPr="00297A6B">
        <w:rPr>
          <w:u w:val="none"/>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26793"/>
      <w:docPartObj>
        <w:docPartGallery w:val="Page Numbers (Top of Page)"/>
        <w:docPartUnique/>
      </w:docPartObj>
    </w:sdtPr>
    <w:sdtEndPr>
      <w:rPr>
        <w:noProof/>
      </w:rPr>
    </w:sdtEndPr>
    <w:sdtContent>
      <w:p w14:paraId="55F7BEBE" w14:textId="692D6035" w:rsidR="00E3247B" w:rsidRDefault="00AF63E8">
        <w:pPr>
          <w:pStyle w:val="Header"/>
          <w:jc w:val="center"/>
        </w:pPr>
        <w:r>
          <w:fldChar w:fldCharType="begin"/>
        </w:r>
        <w:r>
          <w:instrText xml:space="preserve"> PAGE   \* MERGEFORMAT </w:instrText>
        </w:r>
        <w:r>
          <w:fldChar w:fldCharType="separate"/>
        </w:r>
        <w:r w:rsidR="00696B40">
          <w:rPr>
            <w:noProof/>
          </w:rPr>
          <w:t>2</w:t>
        </w:r>
        <w:r>
          <w:rPr>
            <w:noProof/>
          </w:rPr>
          <w:fldChar w:fldCharType="end"/>
        </w:r>
      </w:p>
    </w:sdtContent>
  </w:sdt>
  <w:p w14:paraId="1C5D5425" w14:textId="77777777" w:rsidR="00E3247B" w:rsidRDefault="0044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240040B4"/>
    <w:multiLevelType w:val="multilevel"/>
    <w:tmpl w:val="90D833E8"/>
    <w:lvl w:ilvl="0">
      <w:start w:val="1"/>
      <w:numFmt w:val="decimal"/>
      <w:lvlText w:val="%1."/>
      <w:lvlJc w:val="left"/>
      <w:pPr>
        <w:ind w:left="720" w:hanging="360"/>
      </w:pPr>
      <w:rPr>
        <w:rFonts w:ascii="Century Gothic" w:hAnsi="Century Gothic" w:hint="default"/>
        <w:sz w:val="26"/>
      </w:rPr>
    </w:lvl>
    <w:lvl w:ilvl="1">
      <w:start w:val="1"/>
      <w:numFmt w:val="decimal"/>
      <w:isLgl/>
      <w:lvlText w:val="%1.%2."/>
      <w:lvlJc w:val="left"/>
      <w:pPr>
        <w:ind w:left="1440" w:hanging="720"/>
      </w:pPr>
      <w:rPr>
        <w:rFonts w:ascii="Century Gothic" w:hAnsi="Century Gothic"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FCD7953"/>
    <w:multiLevelType w:val="multilevel"/>
    <w:tmpl w:val="77569550"/>
    <w:lvl w:ilvl="0">
      <w:start w:val="20"/>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 w15:restartNumberingAfterBreak="0">
    <w:nsid w:val="3CB11924"/>
    <w:multiLevelType w:val="multilevel"/>
    <w:tmpl w:val="3CB07858"/>
    <w:lvl w:ilvl="0">
      <w:start w:val="22"/>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15:restartNumberingAfterBreak="0">
    <w:nsid w:val="45E94432"/>
    <w:multiLevelType w:val="multilevel"/>
    <w:tmpl w:val="03122EDA"/>
    <w:lvl w:ilvl="0">
      <w:start w:val="3"/>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F732B51"/>
    <w:multiLevelType w:val="multilevel"/>
    <w:tmpl w:val="3BF0CC5C"/>
    <w:lvl w:ilvl="0">
      <w:start w:val="1"/>
      <w:numFmt w:val="decimal"/>
      <w:pStyle w:val="level1"/>
      <w:isLgl/>
      <w:lvlText w:val="%1."/>
      <w:lvlJc w:val="left"/>
      <w:pPr>
        <w:tabs>
          <w:tab w:val="num" w:pos="567"/>
        </w:tabs>
        <w:ind w:left="567" w:hanging="567"/>
      </w:pPr>
      <w:rPr>
        <w:rFonts w:ascii="Century Gothic" w:eastAsia="Times New Roman" w:hAnsi="Century Gothic" w:cs="Times New Roman"/>
        <w:b w:val="0"/>
        <w:i w:val="0"/>
        <w:color w:val="auto"/>
        <w:sz w:val="26"/>
        <w:szCs w:val="26"/>
        <w:u w:val="none"/>
      </w:rPr>
    </w:lvl>
    <w:lvl w:ilvl="1">
      <w:start w:val="1"/>
      <w:numFmt w:val="decimal"/>
      <w:pStyle w:val="level2"/>
      <w:isLgl/>
      <w:lvlText w:val="%1.%2"/>
      <w:lvlJc w:val="left"/>
      <w:pPr>
        <w:ind w:left="1418" w:hanging="851"/>
      </w:pPr>
      <w:rPr>
        <w:rFonts w:ascii="Century Gothic" w:hAnsi="Century Gothic" w:hint="default"/>
        <w:b w:val="0"/>
        <w:i w:val="0"/>
        <w:sz w:val="26"/>
        <w:szCs w:val="26"/>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2600C7"/>
    <w:multiLevelType w:val="multilevel"/>
    <w:tmpl w:val="E1341C70"/>
    <w:lvl w:ilvl="0">
      <w:start w:val="2"/>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0A"/>
    <w:rsid w:val="00117E62"/>
    <w:rsid w:val="00297092"/>
    <w:rsid w:val="00297A6B"/>
    <w:rsid w:val="002D0F9D"/>
    <w:rsid w:val="002D5DDE"/>
    <w:rsid w:val="00315CF3"/>
    <w:rsid w:val="004467BB"/>
    <w:rsid w:val="00696B40"/>
    <w:rsid w:val="006D7E92"/>
    <w:rsid w:val="00744E7A"/>
    <w:rsid w:val="0077390A"/>
    <w:rsid w:val="00865C6C"/>
    <w:rsid w:val="008A71CF"/>
    <w:rsid w:val="009A1A35"/>
    <w:rsid w:val="009D74C9"/>
    <w:rsid w:val="00A64A14"/>
    <w:rsid w:val="00AB1A13"/>
    <w:rsid w:val="00AF63E8"/>
    <w:rsid w:val="00B07D80"/>
    <w:rsid w:val="00BC6268"/>
    <w:rsid w:val="00C3287F"/>
    <w:rsid w:val="00CD7D9F"/>
    <w:rsid w:val="00CE0804"/>
    <w:rsid w:val="00D06D8F"/>
    <w:rsid w:val="00D13B41"/>
    <w:rsid w:val="00DB04C9"/>
    <w:rsid w:val="00E27A9C"/>
    <w:rsid w:val="00E432A7"/>
    <w:rsid w:val="00FB5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6B4E"/>
  <w15:chartTrackingRefBased/>
  <w15:docId w15:val="{45903171-A038-45E1-9649-1680C3AD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0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qFormat/>
    <w:rsid w:val="0077390A"/>
    <w:pPr>
      <w:numPr>
        <w:numId w:val="2"/>
      </w:numPr>
      <w:spacing w:before="360" w:line="480" w:lineRule="auto"/>
      <w:jc w:val="both"/>
    </w:pPr>
    <w:rPr>
      <w:rFonts w:cs="Times New Roman"/>
      <w:u w:val="none"/>
      <w:lang w:val="en-ZA" w:eastAsia="en-ZA"/>
    </w:rPr>
  </w:style>
  <w:style w:type="paragraph" w:customStyle="1" w:styleId="level2">
    <w:name w:val="level2"/>
    <w:basedOn w:val="Normal"/>
    <w:qFormat/>
    <w:rsid w:val="0077390A"/>
    <w:pPr>
      <w:widowControl w:val="0"/>
      <w:numPr>
        <w:ilvl w:val="1"/>
        <w:numId w:val="2"/>
      </w:numPr>
      <w:tabs>
        <w:tab w:val="left" w:pos="1418"/>
      </w:tabs>
      <w:spacing w:before="360" w:line="480" w:lineRule="auto"/>
      <w:jc w:val="both"/>
    </w:pPr>
    <w:rPr>
      <w:rFonts w:cs="Times New Roman"/>
      <w:szCs w:val="20"/>
      <w:u w:val="none"/>
      <w:lang w:val="en-ZA" w:eastAsia="en-ZA"/>
    </w:rPr>
  </w:style>
  <w:style w:type="paragraph" w:customStyle="1" w:styleId="level3">
    <w:name w:val="level3"/>
    <w:basedOn w:val="Normal"/>
    <w:qFormat/>
    <w:rsid w:val="0077390A"/>
    <w:pPr>
      <w:widowControl w:val="0"/>
      <w:numPr>
        <w:ilvl w:val="2"/>
        <w:numId w:val="2"/>
      </w:numPr>
      <w:tabs>
        <w:tab w:val="left" w:pos="2552"/>
      </w:tabs>
      <w:spacing w:before="360" w:line="480" w:lineRule="auto"/>
      <w:jc w:val="both"/>
    </w:pPr>
    <w:rPr>
      <w:rFonts w:cs="Times New Roman"/>
      <w:szCs w:val="20"/>
      <w:u w:val="none"/>
      <w:lang w:val="en-ZA" w:eastAsia="en-ZA"/>
    </w:rPr>
  </w:style>
  <w:style w:type="paragraph" w:customStyle="1" w:styleId="level4">
    <w:name w:val="level4"/>
    <w:basedOn w:val="Normal"/>
    <w:qFormat/>
    <w:rsid w:val="0077390A"/>
    <w:pPr>
      <w:widowControl w:val="0"/>
      <w:numPr>
        <w:ilvl w:val="3"/>
        <w:numId w:val="2"/>
      </w:numPr>
      <w:tabs>
        <w:tab w:val="left" w:pos="3686"/>
      </w:tabs>
      <w:spacing w:before="360" w:line="480" w:lineRule="auto"/>
      <w:jc w:val="both"/>
    </w:pPr>
    <w:rPr>
      <w:rFonts w:cs="Times New Roman"/>
      <w:szCs w:val="20"/>
      <w:u w:val="none"/>
      <w:lang w:val="en-ZA" w:eastAsia="en-ZA"/>
    </w:rPr>
  </w:style>
  <w:style w:type="paragraph" w:customStyle="1" w:styleId="level5">
    <w:name w:val="level5"/>
    <w:basedOn w:val="Normal"/>
    <w:rsid w:val="0077390A"/>
    <w:pPr>
      <w:widowControl w:val="0"/>
      <w:numPr>
        <w:ilvl w:val="4"/>
        <w:numId w:val="2"/>
      </w:numPr>
      <w:spacing w:before="240" w:line="480" w:lineRule="auto"/>
      <w:jc w:val="both"/>
    </w:pPr>
    <w:rPr>
      <w:rFonts w:cs="Times New Roman"/>
      <w:szCs w:val="20"/>
      <w:u w:val="none"/>
      <w:lang w:val="en-ZA" w:eastAsia="en-ZA"/>
    </w:rPr>
  </w:style>
  <w:style w:type="paragraph" w:customStyle="1" w:styleId="level6">
    <w:name w:val="level6"/>
    <w:basedOn w:val="Normal"/>
    <w:rsid w:val="0077390A"/>
    <w:pPr>
      <w:widowControl w:val="0"/>
      <w:numPr>
        <w:ilvl w:val="5"/>
        <w:numId w:val="2"/>
      </w:numPr>
      <w:spacing w:before="240" w:line="480" w:lineRule="auto"/>
      <w:jc w:val="both"/>
    </w:pPr>
    <w:rPr>
      <w:rFonts w:cs="Times New Roman"/>
      <w:szCs w:val="20"/>
      <w:u w:val="none"/>
      <w:lang w:val="en-ZA" w:eastAsia="en-ZA"/>
    </w:rPr>
  </w:style>
  <w:style w:type="paragraph" w:customStyle="1" w:styleId="level7">
    <w:name w:val="level7"/>
    <w:basedOn w:val="Normal"/>
    <w:rsid w:val="0077390A"/>
    <w:pPr>
      <w:widowControl w:val="0"/>
      <w:numPr>
        <w:ilvl w:val="6"/>
        <w:numId w:val="2"/>
      </w:numPr>
      <w:spacing w:before="240" w:line="480" w:lineRule="auto"/>
      <w:jc w:val="both"/>
    </w:pPr>
    <w:rPr>
      <w:rFonts w:cs="Times New Roman"/>
      <w:szCs w:val="20"/>
      <w:u w:val="none"/>
      <w:lang w:val="en-ZA" w:eastAsia="en-ZA"/>
    </w:rPr>
  </w:style>
  <w:style w:type="paragraph" w:styleId="Header">
    <w:name w:val="header"/>
    <w:basedOn w:val="Normal"/>
    <w:link w:val="HeaderChar"/>
    <w:uiPriority w:val="99"/>
    <w:unhideWhenUsed/>
    <w:rsid w:val="0077390A"/>
    <w:pPr>
      <w:tabs>
        <w:tab w:val="center" w:pos="4513"/>
        <w:tab w:val="right" w:pos="9026"/>
      </w:tabs>
    </w:pPr>
  </w:style>
  <w:style w:type="character" w:customStyle="1" w:styleId="HeaderChar">
    <w:name w:val="Header Char"/>
    <w:basedOn w:val="DefaultParagraphFont"/>
    <w:link w:val="Header"/>
    <w:uiPriority w:val="99"/>
    <w:rsid w:val="0077390A"/>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unhideWhenUsed/>
    <w:rsid w:val="0077390A"/>
    <w:rPr>
      <w:sz w:val="20"/>
      <w:szCs w:val="20"/>
    </w:rPr>
  </w:style>
  <w:style w:type="character" w:customStyle="1" w:styleId="FootnoteTextChar">
    <w:name w:val="Footnote Text Char"/>
    <w:basedOn w:val="DefaultParagraphFont"/>
    <w:link w:val="FootnoteText"/>
    <w:uiPriority w:val="99"/>
    <w:rsid w:val="0077390A"/>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77390A"/>
    <w:rPr>
      <w:vertAlign w:val="superscript"/>
    </w:rPr>
  </w:style>
  <w:style w:type="paragraph" w:styleId="ListParagraph">
    <w:name w:val="List Paragraph"/>
    <w:basedOn w:val="Normal"/>
    <w:uiPriority w:val="34"/>
    <w:qFormat/>
    <w:rsid w:val="0077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01F9-117E-4031-806B-2A7D1D90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Lombard</dc:creator>
  <cp:keywords/>
  <dc:description/>
  <cp:lastModifiedBy>Lazarus Rakgwale</cp:lastModifiedBy>
  <cp:revision>2</cp:revision>
  <cp:lastPrinted>2021-06-28T07:36:00Z</cp:lastPrinted>
  <dcterms:created xsi:type="dcterms:W3CDTF">2022-01-07T08:09:00Z</dcterms:created>
  <dcterms:modified xsi:type="dcterms:W3CDTF">2022-01-07T08:09:00Z</dcterms:modified>
</cp:coreProperties>
</file>