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E3" w:rsidRDefault="00C97BE3" w:rsidP="00C97BE3">
      <w:pPr>
        <w:pStyle w:val="LegalTitle"/>
        <w:spacing w:after="120" w:line="360" w:lineRule="auto"/>
        <w:rPr>
          <w:u w:val="single"/>
        </w:rPr>
      </w:pPr>
      <w:bookmarkStart w:id="0" w:name="_GoBack"/>
      <w:bookmarkEnd w:id="0"/>
      <w:r>
        <w:rPr>
          <w:u w:val="single"/>
        </w:rPr>
        <w:t>REPUBLIC OF SOUTH AFRICA</w:t>
      </w:r>
    </w:p>
    <w:p w:rsidR="000B38D0" w:rsidRDefault="000B38D0" w:rsidP="004A6C63">
      <w:pPr>
        <w:pStyle w:val="LegalTitle"/>
        <w:spacing w:after="0" w:line="360" w:lineRule="auto"/>
        <w:rPr>
          <w:u w:val="single"/>
        </w:rPr>
      </w:pPr>
      <w:r>
        <w:rPr>
          <w:noProof/>
          <w:lang w:val="en-ZA" w:eastAsia="en-ZA"/>
        </w:rPr>
        <w:drawing>
          <wp:inline distT="0" distB="0" distL="0" distR="0">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781994" w:rsidRDefault="00781994" w:rsidP="004A6C63">
      <w:pPr>
        <w:pStyle w:val="LegalTitle"/>
        <w:spacing w:after="120" w:line="360" w:lineRule="auto"/>
        <w:rPr>
          <w:u w:val="single"/>
        </w:rPr>
      </w:pPr>
      <w:r>
        <w:rPr>
          <w:u w:val="single"/>
        </w:rPr>
        <w:t>IN THE HIGH COURT OF SOUTH AFRICA</w:t>
      </w:r>
    </w:p>
    <w:p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rsidR="00BC5CF3" w:rsidRPr="0038792A" w:rsidRDefault="00BC5CF3"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C5CF3" w:rsidRPr="0038792A" w:rsidRDefault="00BC5CF3"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C5CF3" w:rsidRPr="0038792A" w:rsidRDefault="00BC5CF3"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rsidR="00BC5CF3" w:rsidRDefault="00BC5CF3" w:rsidP="000C3AF7">
                            <w:pPr>
                              <w:rPr>
                                <w:rFonts w:ascii="Century Gothic" w:hAnsi="Century Gothic"/>
                                <w:sz w:val="28"/>
                                <w:szCs w:val="28"/>
                              </w:rPr>
                            </w:pPr>
                            <w:r>
                              <w:rPr>
                                <w:rFonts w:ascii="Century Gothic" w:hAnsi="Century Gothic"/>
                                <w:sz w:val="22"/>
                                <w:szCs w:val="22"/>
                              </w:rPr>
                              <w:t xml:space="preserve">Date: </w:t>
                            </w:r>
                            <w:r w:rsidR="00B9100B">
                              <w:rPr>
                                <w:rFonts w:ascii="Century Gothic" w:hAnsi="Century Gothic"/>
                                <w:b/>
                                <w:i/>
                                <w:sz w:val="22"/>
                                <w:szCs w:val="22"/>
                                <w:u w:val="single"/>
                              </w:rPr>
                              <w:t>27</w:t>
                            </w:r>
                            <w:r w:rsidR="00B9100B" w:rsidRPr="00B9100B">
                              <w:rPr>
                                <w:rFonts w:ascii="Century Gothic" w:hAnsi="Century Gothic"/>
                                <w:b/>
                                <w:i/>
                                <w:sz w:val="22"/>
                                <w:szCs w:val="22"/>
                                <w:u w:val="single"/>
                                <w:vertAlign w:val="superscript"/>
                              </w:rPr>
                              <w:t>th</w:t>
                            </w:r>
                            <w:r w:rsidR="00B9100B">
                              <w:rPr>
                                <w:rFonts w:ascii="Century Gothic" w:hAnsi="Century Gothic"/>
                                <w:b/>
                                <w:i/>
                                <w:sz w:val="22"/>
                                <w:szCs w:val="22"/>
                                <w:u w:val="single"/>
                              </w:rPr>
                              <w:t xml:space="preserve"> </w:t>
                            </w:r>
                            <w:r>
                              <w:rPr>
                                <w:rFonts w:ascii="Century Gothic" w:hAnsi="Century Gothic"/>
                                <w:b/>
                                <w:i/>
                                <w:sz w:val="22"/>
                                <w:szCs w:val="22"/>
                                <w:u w:val="single"/>
                              </w:rPr>
                              <w:t>Ju</w:t>
                            </w:r>
                            <w:r w:rsidR="00B9100B">
                              <w:rPr>
                                <w:rFonts w:ascii="Century Gothic" w:hAnsi="Century Gothic"/>
                                <w:b/>
                                <w:i/>
                                <w:sz w:val="22"/>
                                <w:szCs w:val="22"/>
                                <w:u w:val="single"/>
                              </w:rPr>
                              <w:t>ly</w:t>
                            </w:r>
                            <w:r>
                              <w:rPr>
                                <w:rFonts w:ascii="Century Gothic" w:hAnsi="Century Gothic"/>
                                <w:b/>
                                <w:i/>
                                <w:sz w:val="22"/>
                                <w:szCs w:val="22"/>
                                <w:u w:val="single"/>
                              </w:rPr>
                              <w:t xml:space="preserve"> 2021</w:t>
                            </w:r>
                            <w:r w:rsidRPr="0070234A">
                              <w:rPr>
                                <w:rFonts w:ascii="Century Gothic" w:hAnsi="Century Gothic"/>
                                <w:b/>
                                <w:i/>
                                <w:sz w:val="22"/>
                                <w:szCs w:val="22"/>
                              </w:rPr>
                              <w:t xml:space="preserve"> </w:t>
                            </w:r>
                            <w:r>
                              <w:rPr>
                                <w:rFonts w:ascii="Century Gothic" w:hAnsi="Century Gothic"/>
                                <w:sz w:val="22"/>
                                <w:szCs w:val="22"/>
                              </w:rPr>
                              <w:t xml:space="preserve">Signature: </w:t>
                            </w:r>
                            <w:r>
                              <w:rPr>
                                <w:rFonts w:ascii="Century Gothic" w:hAnsi="Century Gothic"/>
                                <w:b/>
                                <w:i/>
                                <w:sz w:val="22"/>
                                <w:szCs w:val="22"/>
                                <w:u w:val="single"/>
                              </w:rPr>
                              <w:t>______</w:t>
                            </w:r>
                            <w:r>
                              <w:rPr>
                                <w:rFonts w:ascii="Century Gothic" w:hAnsi="Century Gothic"/>
                                <w:sz w:val="28"/>
                                <w:szCs w:val="28"/>
                              </w:rPr>
                              <w:t>__________</w:t>
                            </w:r>
                          </w:p>
                          <w:p w:rsidR="00BC5CF3" w:rsidRDefault="00BC5CF3"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Pr="009533D5" w:rsidRDefault="00BC5CF3" w:rsidP="000C3AF7">
                            <w:pPr>
                              <w:rPr>
                                <w:rFonts w:ascii="Century Gothic" w:hAnsi="Century Gothic"/>
                                <w:sz w:val="28"/>
                                <w:szCs w:val="2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Pr="00B93709" w:rsidRDefault="00BC5CF3" w:rsidP="000C3AF7">
                            <w:pPr>
                              <w:rPr>
                                <w:rFonts w:ascii="Century Gothic" w:hAnsi="Century Gothic"/>
                                <w:b/>
                                <w:sz w:val="18"/>
                                <w:szCs w:val="18"/>
                              </w:rPr>
                            </w:pPr>
                          </w:p>
                          <w:p w:rsidR="00BC5CF3" w:rsidRPr="00B93709" w:rsidRDefault="00BC5CF3"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rsidR="00BC5CF3" w:rsidRPr="0038792A" w:rsidRDefault="00BC5CF3"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C5CF3" w:rsidRPr="0038792A" w:rsidRDefault="00BC5CF3"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C5CF3" w:rsidRPr="0038792A" w:rsidRDefault="00BC5CF3"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rsidR="00BC5CF3" w:rsidRDefault="00BC5CF3" w:rsidP="000C3AF7">
                      <w:pPr>
                        <w:rPr>
                          <w:rFonts w:ascii="Century Gothic" w:hAnsi="Century Gothic"/>
                          <w:sz w:val="28"/>
                          <w:szCs w:val="28"/>
                        </w:rPr>
                      </w:pPr>
                      <w:r>
                        <w:rPr>
                          <w:rFonts w:ascii="Century Gothic" w:hAnsi="Century Gothic"/>
                          <w:sz w:val="22"/>
                          <w:szCs w:val="22"/>
                        </w:rPr>
                        <w:t xml:space="preserve">Date: </w:t>
                      </w:r>
                      <w:r w:rsidR="00B9100B">
                        <w:rPr>
                          <w:rFonts w:ascii="Century Gothic" w:hAnsi="Century Gothic"/>
                          <w:b/>
                          <w:i/>
                          <w:sz w:val="22"/>
                          <w:szCs w:val="22"/>
                          <w:u w:val="single"/>
                        </w:rPr>
                        <w:t>27</w:t>
                      </w:r>
                      <w:r w:rsidR="00B9100B" w:rsidRPr="00B9100B">
                        <w:rPr>
                          <w:rFonts w:ascii="Century Gothic" w:hAnsi="Century Gothic"/>
                          <w:b/>
                          <w:i/>
                          <w:sz w:val="22"/>
                          <w:szCs w:val="22"/>
                          <w:u w:val="single"/>
                          <w:vertAlign w:val="superscript"/>
                        </w:rPr>
                        <w:t>th</w:t>
                      </w:r>
                      <w:r w:rsidR="00B9100B">
                        <w:rPr>
                          <w:rFonts w:ascii="Century Gothic" w:hAnsi="Century Gothic"/>
                          <w:b/>
                          <w:i/>
                          <w:sz w:val="22"/>
                          <w:szCs w:val="22"/>
                          <w:u w:val="single"/>
                        </w:rPr>
                        <w:t xml:space="preserve"> </w:t>
                      </w:r>
                      <w:r>
                        <w:rPr>
                          <w:rFonts w:ascii="Century Gothic" w:hAnsi="Century Gothic"/>
                          <w:b/>
                          <w:i/>
                          <w:sz w:val="22"/>
                          <w:szCs w:val="22"/>
                          <w:u w:val="single"/>
                        </w:rPr>
                        <w:t>Ju</w:t>
                      </w:r>
                      <w:r w:rsidR="00B9100B">
                        <w:rPr>
                          <w:rFonts w:ascii="Century Gothic" w:hAnsi="Century Gothic"/>
                          <w:b/>
                          <w:i/>
                          <w:sz w:val="22"/>
                          <w:szCs w:val="22"/>
                          <w:u w:val="single"/>
                        </w:rPr>
                        <w:t>ly</w:t>
                      </w:r>
                      <w:r>
                        <w:rPr>
                          <w:rFonts w:ascii="Century Gothic" w:hAnsi="Century Gothic"/>
                          <w:b/>
                          <w:i/>
                          <w:sz w:val="22"/>
                          <w:szCs w:val="22"/>
                          <w:u w:val="single"/>
                        </w:rPr>
                        <w:t xml:space="preserve"> 2021</w:t>
                      </w:r>
                      <w:r w:rsidRPr="0070234A">
                        <w:rPr>
                          <w:rFonts w:ascii="Century Gothic" w:hAnsi="Century Gothic"/>
                          <w:b/>
                          <w:i/>
                          <w:sz w:val="22"/>
                          <w:szCs w:val="22"/>
                        </w:rPr>
                        <w:t xml:space="preserve"> </w:t>
                      </w:r>
                      <w:r>
                        <w:rPr>
                          <w:rFonts w:ascii="Century Gothic" w:hAnsi="Century Gothic"/>
                          <w:sz w:val="22"/>
                          <w:szCs w:val="22"/>
                        </w:rPr>
                        <w:t xml:space="preserve">Signature: </w:t>
                      </w:r>
                      <w:r>
                        <w:rPr>
                          <w:rFonts w:ascii="Century Gothic" w:hAnsi="Century Gothic"/>
                          <w:b/>
                          <w:i/>
                          <w:sz w:val="22"/>
                          <w:szCs w:val="22"/>
                          <w:u w:val="single"/>
                        </w:rPr>
                        <w:t>______</w:t>
                      </w:r>
                      <w:r>
                        <w:rPr>
                          <w:rFonts w:ascii="Century Gothic" w:hAnsi="Century Gothic"/>
                          <w:sz w:val="28"/>
                          <w:szCs w:val="28"/>
                        </w:rPr>
                        <w:t>__________</w:t>
                      </w:r>
                    </w:p>
                    <w:p w:rsidR="00BC5CF3" w:rsidRDefault="00BC5CF3"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Pr="009533D5" w:rsidRDefault="00BC5CF3" w:rsidP="000C3AF7">
                      <w:pPr>
                        <w:rPr>
                          <w:rFonts w:ascii="Century Gothic" w:hAnsi="Century Gothic"/>
                          <w:sz w:val="28"/>
                          <w:szCs w:val="2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Pr="00B93709" w:rsidRDefault="00BC5CF3" w:rsidP="000C3AF7">
                      <w:pPr>
                        <w:rPr>
                          <w:rFonts w:ascii="Century Gothic" w:hAnsi="Century Gothic"/>
                          <w:b/>
                          <w:sz w:val="18"/>
                          <w:szCs w:val="18"/>
                        </w:rPr>
                      </w:pPr>
                    </w:p>
                    <w:p w:rsidR="00BC5CF3" w:rsidRPr="00B93709" w:rsidRDefault="00BC5CF3"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w:t>
      </w:r>
      <w:r w:rsidR="000B38D0">
        <w:rPr>
          <w:u w:val="single"/>
        </w:rPr>
        <w:t xml:space="preserve">LOCAL </w:t>
      </w:r>
      <w:r w:rsidR="00520591" w:rsidRPr="00520591">
        <w:rPr>
          <w:u w:val="single"/>
        </w:rPr>
        <w:t xml:space="preserve">DIVISION, </w:t>
      </w:r>
      <w:r w:rsidR="000B38D0">
        <w:rPr>
          <w:u w:val="single"/>
        </w:rPr>
        <w:t>JOHANNESBURG</w:t>
      </w:r>
    </w:p>
    <w:p w:rsidR="00781994" w:rsidRDefault="00781994" w:rsidP="00832A5E">
      <w:pPr>
        <w:pStyle w:val="LegalAnnexure"/>
        <w:spacing w:line="360" w:lineRule="auto"/>
        <w:rPr>
          <w:u w:val="single"/>
        </w:rPr>
      </w:pPr>
    </w:p>
    <w:p w:rsidR="004A6C63" w:rsidRDefault="004A6C63" w:rsidP="0044143F">
      <w:pPr>
        <w:pStyle w:val="LegalAnnexure"/>
        <w:spacing w:after="120" w:line="360" w:lineRule="auto"/>
        <w:rPr>
          <w:u w:val="single"/>
        </w:rPr>
      </w:pPr>
    </w:p>
    <w:p w:rsidR="00631B31" w:rsidRDefault="00B50E9E" w:rsidP="004A6C63">
      <w:pPr>
        <w:pStyle w:val="LegalAnnexure"/>
        <w:spacing w:after="0" w:line="360" w:lineRule="auto"/>
      </w:pPr>
      <w:r>
        <w:rPr>
          <w:u w:val="single"/>
        </w:rPr>
        <w:t>case</w:t>
      </w:r>
      <w:r w:rsidR="00631B31" w:rsidRPr="00631B31">
        <w:rPr>
          <w:u w:val="single"/>
        </w:rPr>
        <w:t xml:space="preserve"> NO</w:t>
      </w:r>
      <w:r w:rsidR="00631B31" w:rsidRPr="00631B31">
        <w:t xml:space="preserve">: </w:t>
      </w:r>
      <w:r w:rsidR="00B9100B">
        <w:rPr>
          <w:b w:val="0"/>
        </w:rPr>
        <w:t>22158</w:t>
      </w:r>
      <w:r w:rsidR="00631B31" w:rsidRPr="004A6C63">
        <w:rPr>
          <w:b w:val="0"/>
        </w:rPr>
        <w:t>/</w:t>
      </w:r>
      <w:r w:rsidR="00B135B2">
        <w:rPr>
          <w:b w:val="0"/>
        </w:rPr>
        <w:t>201</w:t>
      </w:r>
      <w:r w:rsidR="00B9100B">
        <w:rPr>
          <w:b w:val="0"/>
        </w:rPr>
        <w:t>9</w:t>
      </w:r>
    </w:p>
    <w:p w:rsidR="00631B31" w:rsidRPr="00631B31" w:rsidRDefault="00631B31" w:rsidP="00C0654E">
      <w:pPr>
        <w:pStyle w:val="LegalAnnexure"/>
        <w:spacing w:after="0" w:line="360" w:lineRule="auto"/>
      </w:pPr>
      <w:r w:rsidRPr="0044143F">
        <w:rPr>
          <w:u w:val="single"/>
        </w:rPr>
        <w:t>DATE</w:t>
      </w:r>
      <w:r>
        <w:t xml:space="preserve">: </w:t>
      </w:r>
      <w:r w:rsidR="00B9100B">
        <w:rPr>
          <w:b w:val="0"/>
          <w:caps w:val="0"/>
        </w:rPr>
        <w:t>27</w:t>
      </w:r>
      <w:r w:rsidR="00B9100B" w:rsidRPr="00B9100B">
        <w:rPr>
          <w:b w:val="0"/>
          <w:caps w:val="0"/>
          <w:vertAlign w:val="superscript"/>
        </w:rPr>
        <w:t>th</w:t>
      </w:r>
      <w:r w:rsidR="00B9100B">
        <w:rPr>
          <w:b w:val="0"/>
          <w:caps w:val="0"/>
        </w:rPr>
        <w:t xml:space="preserve"> </w:t>
      </w:r>
      <w:r w:rsidR="00B9100B">
        <w:rPr>
          <w:b w:val="0"/>
        </w:rPr>
        <w:t>juLY</w:t>
      </w:r>
      <w:r w:rsidR="00832A5E">
        <w:rPr>
          <w:b w:val="0"/>
        </w:rPr>
        <w:t xml:space="preserve"> </w:t>
      </w:r>
      <w:r w:rsidR="0044143F" w:rsidRPr="0044143F">
        <w:rPr>
          <w:b w:val="0"/>
        </w:rPr>
        <w:t>20</w:t>
      </w:r>
      <w:r w:rsidR="0070234A">
        <w:rPr>
          <w:b w:val="0"/>
        </w:rPr>
        <w:t>2</w:t>
      </w:r>
      <w:r w:rsidR="00C97BE3">
        <w:rPr>
          <w:b w:val="0"/>
        </w:rPr>
        <w:t>1</w:t>
      </w:r>
    </w:p>
    <w:p w:rsidR="009314F3" w:rsidRPr="00A84826" w:rsidRDefault="009314F3" w:rsidP="0070234A">
      <w:pPr>
        <w:pStyle w:val="LegalNormal"/>
        <w:spacing w:after="240" w:line="360" w:lineRule="auto"/>
      </w:pPr>
      <w:r w:rsidRPr="00A84826">
        <w:t>In the matter between:</w:t>
      </w:r>
    </w:p>
    <w:p w:rsidR="009314F3" w:rsidRDefault="00B9100B" w:rsidP="00B50E9E">
      <w:pPr>
        <w:pStyle w:val="LegalPlainDef"/>
        <w:spacing w:after="120" w:line="360" w:lineRule="auto"/>
      </w:pPr>
      <w:r>
        <w:rPr>
          <w:b/>
        </w:rPr>
        <w:t>TOWER</w:t>
      </w:r>
      <w:r w:rsidR="00B135B2">
        <w:rPr>
          <w:b/>
        </w:rPr>
        <w:t xml:space="preserve"> </w:t>
      </w:r>
      <w:r>
        <w:rPr>
          <w:b/>
        </w:rPr>
        <w:t xml:space="preserve">PROPERTY FUND </w:t>
      </w:r>
      <w:r w:rsidR="00B135B2">
        <w:rPr>
          <w:b/>
        </w:rPr>
        <w:t xml:space="preserve">LIMITED </w:t>
      </w:r>
      <w:r w:rsidR="0080126D">
        <w:rPr>
          <w:b/>
        </w:rPr>
        <w:tab/>
      </w:r>
      <w:r w:rsidR="00832A5E">
        <w:t>Plaintiff</w:t>
      </w:r>
      <w:r w:rsidR="000B38D0">
        <w:t xml:space="preserve"> </w:t>
      </w:r>
    </w:p>
    <w:p w:rsidR="009314F3" w:rsidRPr="00A84826" w:rsidRDefault="009314F3" w:rsidP="00B50E9E">
      <w:pPr>
        <w:pStyle w:val="LegalNormal"/>
        <w:spacing w:after="120" w:line="360" w:lineRule="auto"/>
      </w:pPr>
      <w:r w:rsidRPr="00A84826">
        <w:t>and</w:t>
      </w:r>
    </w:p>
    <w:p w:rsidR="00631B31" w:rsidRDefault="00B9100B" w:rsidP="00B9100B">
      <w:pPr>
        <w:pStyle w:val="LegalPlainDef"/>
        <w:spacing w:after="0" w:line="360" w:lineRule="auto"/>
      </w:pPr>
      <w:r>
        <w:rPr>
          <w:b/>
        </w:rPr>
        <w:t>PRIORITY TRAVEL</w:t>
      </w:r>
      <w:r w:rsidR="00B135B2">
        <w:rPr>
          <w:b/>
        </w:rPr>
        <w:t xml:space="preserve"> (PTY) LIMITED</w:t>
      </w:r>
      <w:r w:rsidR="00C627E6">
        <w:tab/>
      </w:r>
      <w:r>
        <w:t>First D</w:t>
      </w:r>
      <w:r w:rsidR="00832A5E">
        <w:t>efendant</w:t>
      </w:r>
    </w:p>
    <w:p w:rsidR="00B9100B" w:rsidRDefault="006466D4" w:rsidP="00B9100B">
      <w:pPr>
        <w:pStyle w:val="LegalPlainDef"/>
        <w:spacing w:after="240" w:line="360" w:lineRule="auto"/>
      </w:pPr>
      <w:r>
        <w:rPr>
          <w:b/>
          <w:u w:val="single"/>
        </w:rPr>
        <w:t>SWART</w:t>
      </w:r>
      <w:r>
        <w:rPr>
          <w:b/>
        </w:rPr>
        <w:t>, FRANCOIS</w:t>
      </w:r>
      <w:r w:rsidR="00B9100B">
        <w:tab/>
      </w:r>
      <w:r>
        <w:t>Second</w:t>
      </w:r>
      <w:r w:rsidR="00B9100B">
        <w:t xml:space="preserve"> Defendant</w:t>
      </w:r>
    </w:p>
    <w:p w:rsidR="006377C9" w:rsidRDefault="006377C9" w:rsidP="00250C01">
      <w:pPr>
        <w:suppressAutoHyphens w:val="0"/>
        <w:spacing w:line="360" w:lineRule="auto"/>
        <w:ind w:left="1418" w:hanging="1418"/>
        <w:rPr>
          <w:rFonts w:cs="Arial"/>
          <w:lang w:val="en-ZA" w:eastAsia="en-US"/>
        </w:rPr>
      </w:pPr>
      <w:r>
        <w:rPr>
          <w:rFonts w:cs="Arial"/>
          <w:b/>
          <w:bCs/>
          <w:lang w:val="en-ZA" w:eastAsia="en-US"/>
        </w:rPr>
        <w:t>Coram:</w:t>
      </w:r>
      <w:r w:rsidR="00DD1559">
        <w:rPr>
          <w:rFonts w:cs="Arial"/>
          <w:lang w:val="en-ZA" w:eastAsia="en-US"/>
        </w:rPr>
        <w:tab/>
      </w:r>
      <w:r w:rsidR="00E645ED">
        <w:rPr>
          <w:rFonts w:cs="Arial"/>
          <w:lang w:val="en-ZA" w:eastAsia="en-US"/>
        </w:rPr>
        <w:t>Adams</w:t>
      </w:r>
      <w:r>
        <w:rPr>
          <w:rFonts w:cs="Arial"/>
          <w:lang w:val="en-ZA" w:eastAsia="en-US"/>
        </w:rPr>
        <w:t xml:space="preserve"> J</w:t>
      </w:r>
    </w:p>
    <w:p w:rsidR="00250C01" w:rsidRPr="00DA3FFC" w:rsidRDefault="00250C01" w:rsidP="00250C01">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Pr>
          <w:rFonts w:cs="Arial"/>
          <w:lang w:val="en-ZA" w:eastAsia="en-US"/>
        </w:rPr>
        <w:t>:</w:t>
      </w:r>
      <w:r>
        <w:rPr>
          <w:rFonts w:cs="Arial"/>
          <w:lang w:val="en-ZA" w:eastAsia="en-US"/>
        </w:rPr>
        <w:tab/>
        <w:t>20 July</w:t>
      </w:r>
      <w:r w:rsidRPr="00DA3FFC">
        <w:rPr>
          <w:rFonts w:cs="Arial"/>
          <w:lang w:val="en-ZA" w:eastAsia="en-US"/>
        </w:rPr>
        <w:t xml:space="preserve"> 20</w:t>
      </w:r>
      <w:r>
        <w:rPr>
          <w:rFonts w:cs="Arial"/>
          <w:lang w:val="en-ZA" w:eastAsia="en-US"/>
        </w:rPr>
        <w:t xml:space="preserve">21 – The ‘virtual hearing’ of the application was conducted as a videoconference on the </w:t>
      </w:r>
      <w:r w:rsidRPr="0007312F">
        <w:rPr>
          <w:rFonts w:cs="Arial"/>
          <w:i/>
          <w:lang w:val="en-ZA" w:eastAsia="en-US"/>
        </w:rPr>
        <w:t>Microsoft Teams</w:t>
      </w:r>
      <w:r>
        <w:rPr>
          <w:rFonts w:cs="Arial"/>
          <w:lang w:val="en-ZA" w:eastAsia="en-US"/>
        </w:rPr>
        <w:t xml:space="preserve"> digital platform.</w:t>
      </w:r>
    </w:p>
    <w:p w:rsidR="006377C9" w:rsidRDefault="006377C9" w:rsidP="00250C01">
      <w:pPr>
        <w:suppressAutoHyphens w:val="0"/>
        <w:spacing w:after="24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sidR="00B9100B">
        <w:rPr>
          <w:rFonts w:cs="Arial"/>
          <w:lang w:val="en-ZA" w:eastAsia="en-US"/>
        </w:rPr>
        <w:t>27 July</w:t>
      </w:r>
      <w:r>
        <w:rPr>
          <w:rFonts w:cs="Arial"/>
          <w:lang w:val="en-ZA" w:eastAsia="en-US"/>
        </w:rPr>
        <w:t xml:space="preserve"> 20</w:t>
      </w:r>
      <w:r w:rsidR="00DD1559">
        <w:rPr>
          <w:rFonts w:cs="Arial"/>
          <w:lang w:val="en-ZA" w:eastAsia="en-US"/>
        </w:rPr>
        <w:t>21</w:t>
      </w:r>
      <w:r w:rsidR="002C75EB">
        <w:rPr>
          <w:rFonts w:cs="Arial"/>
          <w:lang w:val="en-ZA" w:eastAsia="en-US"/>
        </w:rPr>
        <w:t xml:space="preserve"> – </w:t>
      </w:r>
      <w:r w:rsidR="002C75EB" w:rsidRPr="002C75EB">
        <w:rPr>
          <w:rFonts w:cs="Arial"/>
          <w:lang w:val="en-ZA" w:eastAsia="en-US"/>
        </w:rPr>
        <w:t>This</w:t>
      </w:r>
      <w:r w:rsidR="002C75EB">
        <w:rPr>
          <w:rFonts w:cs="Arial"/>
          <w:lang w:val="en-ZA" w:eastAsia="en-US"/>
        </w:rPr>
        <w:t xml:space="preserve"> </w:t>
      </w:r>
      <w:r w:rsidR="002C75EB" w:rsidRPr="002C75EB">
        <w:rPr>
          <w:rFonts w:cs="Arial"/>
          <w:lang w:val="en-ZA" w:eastAsia="en-US"/>
        </w:rPr>
        <w:t>judgment was handed down electronically by circulation to the par</w:t>
      </w:r>
      <w:r w:rsidR="002C75EB">
        <w:rPr>
          <w:rFonts w:cs="Arial"/>
          <w:lang w:val="en-ZA" w:eastAsia="en-US"/>
        </w:rPr>
        <w:t>ties' representatives by email</w:t>
      </w:r>
      <w:r w:rsidR="000F6670">
        <w:rPr>
          <w:rFonts w:cs="Arial"/>
          <w:lang w:val="en-ZA" w:eastAsia="en-US"/>
        </w:rPr>
        <w:t>, being uploaded to the CaseLines system of the GLD</w:t>
      </w:r>
      <w:r w:rsidR="002C75EB">
        <w:rPr>
          <w:rFonts w:cs="Arial"/>
          <w:lang w:val="en-ZA" w:eastAsia="en-US"/>
        </w:rPr>
        <w:t xml:space="preserve"> </w:t>
      </w:r>
      <w:r w:rsidR="002C75EB" w:rsidRPr="002C75EB">
        <w:rPr>
          <w:rFonts w:cs="Arial"/>
          <w:lang w:val="en-ZA" w:eastAsia="en-US"/>
        </w:rPr>
        <w:t xml:space="preserve">and </w:t>
      </w:r>
      <w:r w:rsidR="000F6670">
        <w:rPr>
          <w:rFonts w:cs="Arial"/>
          <w:lang w:val="en-ZA" w:eastAsia="en-US"/>
        </w:rPr>
        <w:t xml:space="preserve">by </w:t>
      </w:r>
      <w:r w:rsidR="002C75EB" w:rsidRPr="002C75EB">
        <w:rPr>
          <w:rFonts w:cs="Arial"/>
          <w:lang w:val="en-ZA" w:eastAsia="en-US"/>
        </w:rPr>
        <w:t xml:space="preserve">release to SAFLII. The date and time </w:t>
      </w:r>
      <w:r w:rsidR="002C75EB">
        <w:rPr>
          <w:rFonts w:cs="Arial"/>
          <w:lang w:val="en-ZA" w:eastAsia="en-US"/>
        </w:rPr>
        <w:t xml:space="preserve">for hand-down is deemed to be </w:t>
      </w:r>
      <w:r w:rsidR="005F2916">
        <w:rPr>
          <w:rFonts w:cs="Arial"/>
          <w:lang w:val="en-ZA" w:eastAsia="en-US"/>
        </w:rPr>
        <w:t>15</w:t>
      </w:r>
      <w:r w:rsidR="003E5BAF">
        <w:rPr>
          <w:rFonts w:cs="Arial"/>
          <w:lang w:val="en-ZA" w:eastAsia="en-US"/>
        </w:rPr>
        <w:t>:</w:t>
      </w:r>
      <w:r w:rsidR="00DD1559">
        <w:rPr>
          <w:rFonts w:cs="Arial"/>
          <w:lang w:val="en-ZA" w:eastAsia="en-US"/>
        </w:rPr>
        <w:t>0</w:t>
      </w:r>
      <w:r w:rsidR="00976061">
        <w:rPr>
          <w:rFonts w:cs="Arial"/>
          <w:lang w:val="en-ZA" w:eastAsia="en-US"/>
        </w:rPr>
        <w:t>0</w:t>
      </w:r>
      <w:r w:rsidR="002C75EB" w:rsidRPr="002C75EB">
        <w:rPr>
          <w:rFonts w:cs="Arial"/>
          <w:lang w:val="en-ZA" w:eastAsia="en-US"/>
        </w:rPr>
        <w:t xml:space="preserve"> on </w:t>
      </w:r>
      <w:r w:rsidR="00B9100B">
        <w:rPr>
          <w:rFonts w:cs="Arial"/>
          <w:lang w:val="en-ZA" w:eastAsia="en-US"/>
        </w:rPr>
        <w:t>27</w:t>
      </w:r>
      <w:r w:rsidR="003E4DD5">
        <w:rPr>
          <w:rFonts w:cs="Arial"/>
          <w:lang w:val="en-ZA" w:eastAsia="en-US"/>
        </w:rPr>
        <w:t xml:space="preserve"> </w:t>
      </w:r>
      <w:r w:rsidR="00B9100B">
        <w:rPr>
          <w:rFonts w:cs="Arial"/>
          <w:lang w:val="en-ZA" w:eastAsia="en-US"/>
        </w:rPr>
        <w:t>July</w:t>
      </w:r>
      <w:r w:rsidR="00DD1559">
        <w:rPr>
          <w:rFonts w:cs="Arial"/>
          <w:lang w:val="en-ZA" w:eastAsia="en-US"/>
        </w:rPr>
        <w:t xml:space="preserve"> 2021</w:t>
      </w:r>
      <w:r w:rsidR="002C75EB">
        <w:rPr>
          <w:rFonts w:cs="Arial"/>
          <w:lang w:val="en-ZA" w:eastAsia="en-US"/>
        </w:rPr>
        <w:t>.</w:t>
      </w:r>
    </w:p>
    <w:p w:rsidR="005F16A0" w:rsidRDefault="006377C9" w:rsidP="005F16A0">
      <w:pPr>
        <w:spacing w:after="240" w:line="360" w:lineRule="auto"/>
        <w:jc w:val="both"/>
        <w:rPr>
          <w:rFonts w:cs="Arial"/>
          <w:lang w:val="en-ZA"/>
        </w:rPr>
      </w:pPr>
      <w:r w:rsidRPr="00E9240D">
        <w:rPr>
          <w:rFonts w:cs="Arial"/>
          <w:b/>
          <w:bCs/>
          <w:lang w:val="en-ZA" w:eastAsia="en-US"/>
        </w:rPr>
        <w:lastRenderedPageBreak/>
        <w:t>Summary:</w:t>
      </w:r>
      <w:r w:rsidRPr="00E9240D">
        <w:rPr>
          <w:rFonts w:cs="Arial"/>
          <w:b/>
          <w:bCs/>
          <w:lang w:val="en-ZA" w:eastAsia="en-US"/>
        </w:rPr>
        <w:tab/>
      </w:r>
      <w:r w:rsidR="00A36F63">
        <w:rPr>
          <w:rFonts w:cs="Arial"/>
          <w:lang w:val="en-ZA"/>
        </w:rPr>
        <w:t>Application for summary judgment – defence being a denial of particular averment in the particulars of plaintiff’s claim and the annexures thereto – requirements for summary judgment and for defences raised discussed – knowledge required of deponent to affidavit in support of application for summary judgment – summary judgment granted</w:t>
      </w:r>
      <w:r w:rsidR="005F16A0">
        <w:rPr>
          <w:rFonts w:cs="Arial"/>
          <w:lang w:val="en-ZA"/>
        </w:rPr>
        <w:t>.</w:t>
      </w:r>
    </w:p>
    <w:p w:rsidR="006377C9" w:rsidRDefault="006377C9" w:rsidP="00193CB8">
      <w:pPr>
        <w:pStyle w:val="LegalTramLines"/>
        <w:spacing w:after="240"/>
      </w:pPr>
      <w:r>
        <w:t>ORDER</w:t>
      </w:r>
    </w:p>
    <w:p w:rsidR="00251C3E" w:rsidRDefault="00B9100B" w:rsidP="00251C3E">
      <w:pPr>
        <w:pStyle w:val="LegalList1"/>
        <w:spacing w:after="120" w:line="360" w:lineRule="auto"/>
        <w:rPr>
          <w:color w:val="000000"/>
        </w:rPr>
      </w:pPr>
      <w:r>
        <w:rPr>
          <w:color w:val="000000"/>
        </w:rPr>
        <w:t xml:space="preserve">Summary </w:t>
      </w:r>
      <w:r w:rsidR="00251C3E">
        <w:rPr>
          <w:color w:val="000000"/>
        </w:rPr>
        <w:t>Judgment is granted</w:t>
      </w:r>
      <w:r>
        <w:rPr>
          <w:color w:val="000000"/>
        </w:rPr>
        <w:t xml:space="preserve"> in favour of the plaintiff</w:t>
      </w:r>
      <w:r w:rsidR="00251C3E">
        <w:rPr>
          <w:color w:val="000000"/>
        </w:rPr>
        <w:t xml:space="preserve"> against the </w:t>
      </w:r>
      <w:r>
        <w:rPr>
          <w:color w:val="000000"/>
        </w:rPr>
        <w:t xml:space="preserve">first and second </w:t>
      </w:r>
      <w:r w:rsidR="00251C3E">
        <w:rPr>
          <w:color w:val="000000"/>
        </w:rPr>
        <w:t>defendant</w:t>
      </w:r>
      <w:r w:rsidR="00A36F63">
        <w:rPr>
          <w:color w:val="000000"/>
        </w:rPr>
        <w:t>s</w:t>
      </w:r>
      <w:r>
        <w:rPr>
          <w:color w:val="000000"/>
        </w:rPr>
        <w:t>, jointly and severally, the one paying the other to be absolved,</w:t>
      </w:r>
      <w:r w:rsidR="00250C01">
        <w:rPr>
          <w:color w:val="000000"/>
        </w:rPr>
        <w:t xml:space="preserve"> </w:t>
      </w:r>
      <w:r w:rsidR="00251C3E">
        <w:rPr>
          <w:color w:val="000000"/>
        </w:rPr>
        <w:t xml:space="preserve">for: - </w:t>
      </w:r>
    </w:p>
    <w:p w:rsidR="00610459" w:rsidRDefault="00610459" w:rsidP="00610459">
      <w:pPr>
        <w:pStyle w:val="LegalList1"/>
        <w:numPr>
          <w:ilvl w:val="0"/>
          <w:numId w:val="12"/>
        </w:numPr>
        <w:spacing w:after="120" w:line="360" w:lineRule="auto"/>
        <w:ind w:left="567" w:hanging="567"/>
        <w:rPr>
          <w:color w:val="000000"/>
        </w:rPr>
      </w:pPr>
      <w:r>
        <w:rPr>
          <w:color w:val="000000"/>
        </w:rPr>
        <w:t>Payment of the amount of R204 320.97.</w:t>
      </w:r>
    </w:p>
    <w:p w:rsidR="00610459" w:rsidRDefault="00610459" w:rsidP="00610459">
      <w:pPr>
        <w:pStyle w:val="LegalList1"/>
        <w:numPr>
          <w:ilvl w:val="0"/>
          <w:numId w:val="12"/>
        </w:numPr>
        <w:spacing w:after="120" w:line="360" w:lineRule="auto"/>
        <w:ind w:left="567" w:hanging="567"/>
        <w:rPr>
          <w:color w:val="000000"/>
        </w:rPr>
      </w:pPr>
      <w:r>
        <w:rPr>
          <w:color w:val="000000"/>
        </w:rPr>
        <w:t>Payment of interest on the amount of R204 </w:t>
      </w:r>
      <w:r w:rsidRPr="00610459">
        <w:rPr>
          <w:color w:val="000000"/>
        </w:rPr>
        <w:t>320.97 at the prevailing prime rate, as from time to time, plus 2%</w:t>
      </w:r>
      <w:r w:rsidR="00A36F63">
        <w:rPr>
          <w:color w:val="000000"/>
        </w:rPr>
        <w:t xml:space="preserve">, </w:t>
      </w:r>
      <w:r w:rsidRPr="00610459">
        <w:rPr>
          <w:color w:val="000000"/>
        </w:rPr>
        <w:t xml:space="preserve">per </w:t>
      </w:r>
      <w:r w:rsidR="00A36F63">
        <w:rPr>
          <w:color w:val="000000"/>
        </w:rPr>
        <w:t>annum</w:t>
      </w:r>
      <w:r w:rsidRPr="00610459">
        <w:rPr>
          <w:color w:val="000000"/>
        </w:rPr>
        <w:t xml:space="preserve">, calculated from </w:t>
      </w:r>
      <w:r w:rsidR="00A36F63">
        <w:rPr>
          <w:color w:val="000000"/>
        </w:rPr>
        <w:t xml:space="preserve">the </w:t>
      </w:r>
      <w:r w:rsidRPr="00610459">
        <w:rPr>
          <w:color w:val="000000"/>
        </w:rPr>
        <w:t xml:space="preserve">due date (30 November </w:t>
      </w:r>
      <w:r>
        <w:rPr>
          <w:color w:val="000000"/>
        </w:rPr>
        <w:t>2018) to date of actual payment.</w:t>
      </w:r>
    </w:p>
    <w:p w:rsidR="00610459" w:rsidRDefault="00610459" w:rsidP="00610459">
      <w:pPr>
        <w:pStyle w:val="LegalList1"/>
        <w:numPr>
          <w:ilvl w:val="0"/>
          <w:numId w:val="12"/>
        </w:numPr>
        <w:spacing w:after="240" w:line="360" w:lineRule="auto"/>
        <w:ind w:left="567" w:hanging="567"/>
        <w:rPr>
          <w:color w:val="000000"/>
        </w:rPr>
      </w:pPr>
      <w:r w:rsidRPr="00610459">
        <w:rPr>
          <w:color w:val="000000"/>
        </w:rPr>
        <w:t>Cost of suit</w:t>
      </w:r>
      <w:r>
        <w:rPr>
          <w:color w:val="000000"/>
        </w:rPr>
        <w:t>.</w:t>
      </w:r>
    </w:p>
    <w:p w:rsidR="009314F3" w:rsidRPr="005E3F79" w:rsidRDefault="00F41CA8" w:rsidP="00A001F1">
      <w:pPr>
        <w:pStyle w:val="LegalTramLines"/>
        <w:spacing w:after="240"/>
        <w:rPr>
          <w:rFonts w:ascii="Arial" w:hAnsi="Arial" w:cs="Arial"/>
        </w:rPr>
      </w:pPr>
      <w:r w:rsidRPr="005E3F79">
        <w:rPr>
          <w:rFonts w:ascii="Arial" w:hAnsi="Arial" w:cs="Arial"/>
        </w:rPr>
        <w:t>JUDGMENT</w:t>
      </w:r>
    </w:p>
    <w:p w:rsidR="00D63801" w:rsidRDefault="00E9739F" w:rsidP="005E3F79">
      <w:pPr>
        <w:pStyle w:val="LegalMAINHEADING"/>
        <w:spacing w:before="0" w:after="120" w:line="360" w:lineRule="auto"/>
        <w:rPr>
          <w:caps w:val="0"/>
        </w:rPr>
      </w:pPr>
      <w:r>
        <w:rPr>
          <w:caps w:val="0"/>
        </w:rPr>
        <w:t>Adams J</w:t>
      </w:r>
      <w:r w:rsidR="00FC489D" w:rsidRPr="00FC489D">
        <w:rPr>
          <w:caps w:val="0"/>
        </w:rPr>
        <w:t>:</w:t>
      </w:r>
    </w:p>
    <w:p w:rsidR="007276CD" w:rsidRPr="007276CD" w:rsidRDefault="00B03F0A" w:rsidP="00B03F0A">
      <w:pPr>
        <w:numPr>
          <w:ilvl w:val="0"/>
          <w:numId w:val="10"/>
        </w:numPr>
        <w:spacing w:after="120" w:line="360" w:lineRule="auto"/>
        <w:ind w:left="0" w:firstLine="0"/>
        <w:jc w:val="both"/>
        <w:outlineLvl w:val="0"/>
      </w:pPr>
      <w:r w:rsidRPr="00B03F0A">
        <w:rPr>
          <w:rFonts w:cs="Arial"/>
          <w:lang w:val="en-ZA" w:eastAsia="en-US"/>
        </w:rPr>
        <w:t xml:space="preserve">This is an </w:t>
      </w:r>
      <w:r w:rsidR="00863F99">
        <w:rPr>
          <w:rFonts w:cs="Arial"/>
          <w:lang w:val="en-ZA" w:eastAsia="en-US"/>
        </w:rPr>
        <w:t xml:space="preserve">opposed </w:t>
      </w:r>
      <w:r w:rsidRPr="00B03F0A">
        <w:rPr>
          <w:rFonts w:cs="Arial"/>
          <w:lang w:val="en-ZA" w:eastAsia="en-US"/>
        </w:rPr>
        <w:t xml:space="preserve">application by the plaintiff for summary judgment against the </w:t>
      </w:r>
      <w:r w:rsidR="00863F99">
        <w:rPr>
          <w:rFonts w:cs="Arial"/>
          <w:lang w:val="en-ZA" w:eastAsia="en-US"/>
        </w:rPr>
        <w:t xml:space="preserve">first and second </w:t>
      </w:r>
      <w:r w:rsidRPr="00B03F0A">
        <w:rPr>
          <w:rFonts w:cs="Arial"/>
          <w:lang w:val="en-ZA" w:eastAsia="en-US"/>
        </w:rPr>
        <w:t>defendant</w:t>
      </w:r>
      <w:r w:rsidR="00863F99">
        <w:rPr>
          <w:rFonts w:cs="Arial"/>
          <w:lang w:val="en-ZA" w:eastAsia="en-US"/>
        </w:rPr>
        <w:t>s</w:t>
      </w:r>
      <w:r w:rsidRPr="00B03F0A">
        <w:rPr>
          <w:rFonts w:cs="Arial"/>
          <w:lang w:val="en-ZA" w:eastAsia="en-US"/>
        </w:rPr>
        <w:t xml:space="preserve">. </w:t>
      </w:r>
    </w:p>
    <w:p w:rsidR="007276CD" w:rsidRPr="00C102F4" w:rsidRDefault="00B03F0A" w:rsidP="00A36F63">
      <w:pPr>
        <w:numPr>
          <w:ilvl w:val="0"/>
          <w:numId w:val="10"/>
        </w:numPr>
        <w:tabs>
          <w:tab w:val="clear" w:pos="567"/>
        </w:tabs>
        <w:spacing w:after="120" w:line="360" w:lineRule="auto"/>
        <w:ind w:left="0" w:firstLine="0"/>
        <w:jc w:val="both"/>
        <w:outlineLvl w:val="0"/>
      </w:pPr>
      <w:r w:rsidRPr="00B03F0A">
        <w:rPr>
          <w:rFonts w:cs="Arial"/>
          <w:lang w:val="en-ZA" w:eastAsia="en-US"/>
        </w:rPr>
        <w:t xml:space="preserve">The plaintiff’s cause of action </w:t>
      </w:r>
      <w:r w:rsidR="007E45E2">
        <w:rPr>
          <w:rFonts w:cs="Arial"/>
          <w:lang w:val="en-ZA" w:eastAsia="en-US"/>
        </w:rPr>
        <w:t xml:space="preserve">against the first defendant </w:t>
      </w:r>
      <w:r w:rsidRPr="00B03F0A">
        <w:rPr>
          <w:rFonts w:cs="Arial"/>
          <w:lang w:val="en-ZA" w:eastAsia="en-US"/>
        </w:rPr>
        <w:t xml:space="preserve">is based on a written commercial lease agreement (‘the lease agreement’) concluded between the parties on the </w:t>
      </w:r>
      <w:r w:rsidR="007E45E2">
        <w:rPr>
          <w:rFonts w:cs="Arial"/>
          <w:lang w:val="en-ZA" w:eastAsia="en-US"/>
        </w:rPr>
        <w:t>10</w:t>
      </w:r>
      <w:r w:rsidR="007E45E2" w:rsidRPr="007E45E2">
        <w:rPr>
          <w:rFonts w:cs="Arial"/>
          <w:vertAlign w:val="superscript"/>
          <w:lang w:val="en-ZA" w:eastAsia="en-US"/>
        </w:rPr>
        <w:t>th</w:t>
      </w:r>
      <w:r w:rsidR="007E45E2">
        <w:rPr>
          <w:rFonts w:cs="Arial"/>
          <w:lang w:val="en-ZA" w:eastAsia="en-US"/>
        </w:rPr>
        <w:t xml:space="preserve"> April 2017</w:t>
      </w:r>
      <w:r w:rsidRPr="00B03F0A">
        <w:rPr>
          <w:rFonts w:cs="Arial"/>
          <w:lang w:val="en-ZA" w:eastAsia="en-US"/>
        </w:rPr>
        <w:t xml:space="preserve"> in terms of which lease agreement the </w:t>
      </w:r>
      <w:r w:rsidR="007E45E2">
        <w:rPr>
          <w:rFonts w:cs="Arial"/>
          <w:lang w:val="en-ZA" w:eastAsia="en-US"/>
        </w:rPr>
        <w:t xml:space="preserve">first </w:t>
      </w:r>
      <w:r w:rsidRPr="00B03F0A">
        <w:rPr>
          <w:rFonts w:cs="Arial"/>
          <w:lang w:val="en-ZA" w:eastAsia="en-US"/>
        </w:rPr>
        <w:t xml:space="preserve">defendant let from the plaintiff premises in </w:t>
      </w:r>
      <w:r w:rsidR="007E45E2">
        <w:rPr>
          <w:rFonts w:cs="Arial"/>
          <w:lang w:val="en-ZA" w:eastAsia="en-US"/>
        </w:rPr>
        <w:t xml:space="preserve">Rosebank, Johannesburg, </w:t>
      </w:r>
      <w:r w:rsidRPr="00B03F0A">
        <w:rPr>
          <w:rFonts w:cs="Arial"/>
          <w:lang w:val="en-ZA" w:eastAsia="en-US"/>
        </w:rPr>
        <w:t xml:space="preserve">for </w:t>
      </w:r>
      <w:r w:rsidR="007E45E2">
        <w:rPr>
          <w:rFonts w:cs="Arial"/>
          <w:lang w:val="en-ZA" w:eastAsia="en-US"/>
        </w:rPr>
        <w:t>the</w:t>
      </w:r>
      <w:r w:rsidRPr="00B03F0A">
        <w:rPr>
          <w:rFonts w:cs="Arial"/>
          <w:lang w:val="en-ZA" w:eastAsia="en-US"/>
        </w:rPr>
        <w:t xml:space="preserve"> period </w:t>
      </w:r>
      <w:r w:rsidR="007E45E2">
        <w:rPr>
          <w:rFonts w:cs="Arial"/>
          <w:lang w:val="en-ZA" w:eastAsia="en-US"/>
        </w:rPr>
        <w:t>from 15 March 2017 to 31 March 2022 – therefore for a period of approximately five years.</w:t>
      </w:r>
      <w:r w:rsidRPr="00B03F0A">
        <w:rPr>
          <w:rFonts w:cs="Arial"/>
          <w:lang w:val="en-ZA" w:eastAsia="en-US"/>
        </w:rPr>
        <w:t xml:space="preserve"> The monthly rental payable by the </w:t>
      </w:r>
      <w:r w:rsidR="007E45E2">
        <w:rPr>
          <w:rFonts w:cs="Arial"/>
          <w:lang w:val="en-ZA" w:eastAsia="en-US"/>
        </w:rPr>
        <w:t xml:space="preserve">first </w:t>
      </w:r>
      <w:r w:rsidRPr="00B03F0A">
        <w:rPr>
          <w:rFonts w:cs="Arial"/>
          <w:lang w:val="en-ZA" w:eastAsia="en-US"/>
        </w:rPr>
        <w:t>defendant to the plaintiff was agreed upon in the written lease agreement.</w:t>
      </w:r>
      <w:r w:rsidR="007E45E2">
        <w:rPr>
          <w:rFonts w:cs="Arial"/>
          <w:lang w:val="en-ZA" w:eastAsia="en-US"/>
        </w:rPr>
        <w:t xml:space="preserve"> On the 29</w:t>
      </w:r>
      <w:r w:rsidR="007E45E2" w:rsidRPr="007E45E2">
        <w:rPr>
          <w:rFonts w:cs="Arial"/>
          <w:vertAlign w:val="superscript"/>
          <w:lang w:val="en-ZA" w:eastAsia="en-US"/>
        </w:rPr>
        <w:t>th</w:t>
      </w:r>
      <w:r w:rsidR="007E45E2">
        <w:rPr>
          <w:rFonts w:cs="Arial"/>
          <w:lang w:val="en-ZA" w:eastAsia="en-US"/>
        </w:rPr>
        <w:t xml:space="preserve"> of November 2018, the plaintiff and the first defendant amended the lease agreement by </w:t>
      </w:r>
      <w:r w:rsidR="007E45E2">
        <w:rPr>
          <w:rFonts w:cs="Arial"/>
          <w:lang w:val="en-ZA" w:eastAsia="en-US"/>
        </w:rPr>
        <w:lastRenderedPageBreak/>
        <w:t>concluding a</w:t>
      </w:r>
      <w:r w:rsidR="007276CD">
        <w:rPr>
          <w:rFonts w:cs="Arial"/>
          <w:lang w:val="en-ZA" w:eastAsia="en-US"/>
        </w:rPr>
        <w:t xml:space="preserve"> written addendum in terms of which </w:t>
      </w:r>
      <w:r w:rsidR="007276CD" w:rsidRPr="007276CD">
        <w:rPr>
          <w:rFonts w:cs="Arial"/>
          <w:i/>
          <w:lang w:val="en-ZA" w:eastAsia="en-US"/>
        </w:rPr>
        <w:t>inter alia</w:t>
      </w:r>
      <w:r w:rsidR="007276CD">
        <w:rPr>
          <w:rFonts w:cs="Arial"/>
          <w:lang w:val="en-ZA" w:eastAsia="en-US"/>
        </w:rPr>
        <w:t xml:space="preserve"> the lease agreement was cancelled. The plaintiff’s claim is in fact in the main grounded on the provisions of the addendum to the lease agreement. The plaintiff’s cause against the second defendant is based on a guarantee by the second defendant in favour of the plaintiff, guaranteeing the first defendant’s proper performance in terms of the lease agreement.</w:t>
      </w:r>
    </w:p>
    <w:p w:rsidR="00C102F4" w:rsidRPr="009F751D" w:rsidRDefault="00C102F4" w:rsidP="00A36F63">
      <w:pPr>
        <w:numPr>
          <w:ilvl w:val="0"/>
          <w:numId w:val="10"/>
        </w:numPr>
        <w:tabs>
          <w:tab w:val="clear" w:pos="567"/>
        </w:tabs>
        <w:spacing w:after="120" w:line="360" w:lineRule="auto"/>
        <w:ind w:left="0" w:firstLine="0"/>
        <w:jc w:val="both"/>
        <w:outlineLvl w:val="0"/>
      </w:pPr>
      <w:r>
        <w:t xml:space="preserve">The addendum to the lease was in the nature of a compromise and a settlement agreement </w:t>
      </w:r>
      <w:r>
        <w:rPr>
          <w:rFonts w:cs="Arial"/>
          <w:lang w:val="en-ZA" w:eastAsia="en-US"/>
        </w:rPr>
        <w:t>in terms of which the plaintiff and first d</w:t>
      </w:r>
      <w:r w:rsidRPr="00C102F4">
        <w:rPr>
          <w:rFonts w:cs="Arial"/>
          <w:lang w:val="en-ZA" w:eastAsia="en-US"/>
        </w:rPr>
        <w:t>efendant agreed to the cancellation of the agreement of lease with</w:t>
      </w:r>
      <w:r>
        <w:t xml:space="preserve"> </w:t>
      </w:r>
      <w:r w:rsidRPr="00C102F4">
        <w:rPr>
          <w:rFonts w:cs="Arial"/>
          <w:lang w:val="en-ZA" w:eastAsia="en-US"/>
        </w:rPr>
        <w:t xml:space="preserve">effect from </w:t>
      </w:r>
      <w:r>
        <w:rPr>
          <w:rFonts w:cs="Arial"/>
          <w:lang w:val="en-ZA" w:eastAsia="en-US"/>
        </w:rPr>
        <w:t xml:space="preserve">the </w:t>
      </w:r>
      <w:r w:rsidRPr="00C102F4">
        <w:rPr>
          <w:rFonts w:cs="Arial"/>
          <w:lang w:val="en-ZA" w:eastAsia="en-US"/>
        </w:rPr>
        <w:t>30</w:t>
      </w:r>
      <w:r w:rsidRPr="00C102F4">
        <w:rPr>
          <w:rFonts w:cs="Arial"/>
          <w:vertAlign w:val="superscript"/>
          <w:lang w:val="en-ZA" w:eastAsia="en-US"/>
        </w:rPr>
        <w:t>th</w:t>
      </w:r>
      <w:r>
        <w:rPr>
          <w:rFonts w:cs="Arial"/>
          <w:lang w:val="en-ZA" w:eastAsia="en-US"/>
        </w:rPr>
        <w:t xml:space="preserve"> of</w:t>
      </w:r>
      <w:r w:rsidRPr="00C102F4">
        <w:rPr>
          <w:rFonts w:cs="Arial"/>
          <w:lang w:val="en-ZA" w:eastAsia="en-US"/>
        </w:rPr>
        <w:t xml:space="preserve"> November 2018</w:t>
      </w:r>
      <w:r>
        <w:rPr>
          <w:rFonts w:cs="Arial"/>
          <w:lang w:val="en-ZA" w:eastAsia="en-US"/>
        </w:rPr>
        <w:t>.</w:t>
      </w:r>
      <w:r>
        <w:t xml:space="preserve"> </w:t>
      </w:r>
      <w:r>
        <w:rPr>
          <w:rFonts w:cs="Arial"/>
          <w:lang w:val="en-ZA" w:eastAsia="en-US"/>
        </w:rPr>
        <w:t>The first d</w:t>
      </w:r>
      <w:r w:rsidRPr="00C102F4">
        <w:rPr>
          <w:rFonts w:cs="Arial"/>
          <w:lang w:val="en-ZA" w:eastAsia="en-US"/>
        </w:rPr>
        <w:t xml:space="preserve">efendant </w:t>
      </w:r>
      <w:r>
        <w:rPr>
          <w:rFonts w:cs="Arial"/>
          <w:lang w:val="en-ZA" w:eastAsia="en-US"/>
        </w:rPr>
        <w:t xml:space="preserve">also undertook </w:t>
      </w:r>
      <w:r w:rsidRPr="00C102F4">
        <w:rPr>
          <w:rFonts w:cs="Arial"/>
          <w:lang w:val="en-ZA" w:eastAsia="en-US"/>
        </w:rPr>
        <w:t xml:space="preserve">to vacate the commercial leased premises by </w:t>
      </w:r>
      <w:r>
        <w:rPr>
          <w:rFonts w:cs="Arial"/>
          <w:lang w:val="en-ZA" w:eastAsia="en-US"/>
        </w:rPr>
        <w:t xml:space="preserve">the </w:t>
      </w:r>
      <w:r w:rsidRPr="00C102F4">
        <w:rPr>
          <w:rFonts w:cs="Arial"/>
          <w:lang w:val="en-ZA" w:eastAsia="en-US"/>
        </w:rPr>
        <w:t>30</w:t>
      </w:r>
      <w:r w:rsidRPr="00C102F4">
        <w:rPr>
          <w:rFonts w:cs="Arial"/>
          <w:vertAlign w:val="superscript"/>
          <w:lang w:val="en-ZA" w:eastAsia="en-US"/>
        </w:rPr>
        <w:t>th</w:t>
      </w:r>
      <w:r>
        <w:rPr>
          <w:rFonts w:cs="Arial"/>
          <w:lang w:val="en-ZA" w:eastAsia="en-US"/>
        </w:rPr>
        <w:t xml:space="preserve"> of November 2018, </w:t>
      </w:r>
      <w:r w:rsidRPr="00C102F4">
        <w:rPr>
          <w:rFonts w:cs="Arial"/>
          <w:lang w:val="en-ZA" w:eastAsia="en-US"/>
        </w:rPr>
        <w:t>and, in consideration for the early termination of the fixed term</w:t>
      </w:r>
      <w:r>
        <w:t xml:space="preserve"> </w:t>
      </w:r>
      <w:r>
        <w:rPr>
          <w:rFonts w:cs="Arial"/>
          <w:lang w:val="en-ZA" w:eastAsia="en-US"/>
        </w:rPr>
        <w:t>agreement of lease, the first d</w:t>
      </w:r>
      <w:r w:rsidRPr="00C102F4">
        <w:rPr>
          <w:rFonts w:cs="Arial"/>
          <w:lang w:val="en-ZA" w:eastAsia="en-US"/>
        </w:rPr>
        <w:t xml:space="preserve">efendant </w:t>
      </w:r>
      <w:r>
        <w:rPr>
          <w:rFonts w:cs="Arial"/>
          <w:lang w:val="en-ZA" w:eastAsia="en-US"/>
        </w:rPr>
        <w:t xml:space="preserve">agreed to </w:t>
      </w:r>
      <w:r w:rsidRPr="00C102F4">
        <w:rPr>
          <w:rFonts w:cs="Arial"/>
          <w:lang w:val="en-ZA" w:eastAsia="en-US"/>
        </w:rPr>
        <w:t>make payment to t</w:t>
      </w:r>
      <w:r>
        <w:rPr>
          <w:rFonts w:cs="Arial"/>
          <w:lang w:val="en-ZA" w:eastAsia="en-US"/>
        </w:rPr>
        <w:t>he p</w:t>
      </w:r>
      <w:r w:rsidRPr="00C102F4">
        <w:rPr>
          <w:rFonts w:cs="Arial"/>
          <w:lang w:val="en-ZA" w:eastAsia="en-US"/>
        </w:rPr>
        <w:t xml:space="preserve">laintiff of all </w:t>
      </w:r>
      <w:r>
        <w:rPr>
          <w:rFonts w:cs="Arial"/>
          <w:lang w:val="en-ZA" w:eastAsia="en-US"/>
        </w:rPr>
        <w:t xml:space="preserve">amounts </w:t>
      </w:r>
      <w:r w:rsidRPr="00C102F4">
        <w:rPr>
          <w:rFonts w:cs="Arial"/>
          <w:lang w:val="en-ZA" w:eastAsia="en-US"/>
        </w:rPr>
        <w:t xml:space="preserve">then </w:t>
      </w:r>
      <w:r>
        <w:rPr>
          <w:rFonts w:cs="Arial"/>
          <w:lang w:val="en-ZA" w:eastAsia="en-US"/>
        </w:rPr>
        <w:t>outstanding and payable to the p</w:t>
      </w:r>
      <w:r w:rsidRPr="00C102F4">
        <w:rPr>
          <w:rFonts w:cs="Arial"/>
          <w:lang w:val="en-ZA" w:eastAsia="en-US"/>
        </w:rPr>
        <w:t>laintiff</w:t>
      </w:r>
      <w:r>
        <w:rPr>
          <w:rFonts w:cs="Arial"/>
          <w:lang w:val="en-ZA" w:eastAsia="en-US"/>
        </w:rPr>
        <w:t>, which was expressly agreed upon in the sum of R56 </w:t>
      </w:r>
      <w:r w:rsidRPr="00C102F4">
        <w:rPr>
          <w:rFonts w:cs="Arial"/>
          <w:lang w:val="en-ZA" w:eastAsia="en-US"/>
        </w:rPr>
        <w:t>690.01</w:t>
      </w:r>
      <w:r>
        <w:rPr>
          <w:rFonts w:cs="Arial"/>
          <w:lang w:val="en-ZA" w:eastAsia="en-US"/>
        </w:rPr>
        <w:t xml:space="preserve">. Furthermore, as </w:t>
      </w:r>
      <w:r w:rsidRPr="00C102F4">
        <w:rPr>
          <w:rFonts w:cs="Arial"/>
          <w:lang w:val="en-ZA" w:eastAsia="en-US"/>
        </w:rPr>
        <w:t>an early termination penalty</w:t>
      </w:r>
      <w:r>
        <w:rPr>
          <w:rFonts w:cs="Arial"/>
          <w:lang w:val="en-ZA" w:eastAsia="en-US"/>
        </w:rPr>
        <w:t xml:space="preserve">, the first defendant expressly agreed to pay to the plaintiff </w:t>
      </w:r>
      <w:r w:rsidR="009F751D">
        <w:rPr>
          <w:rFonts w:cs="Arial"/>
          <w:lang w:val="en-ZA" w:eastAsia="en-US"/>
        </w:rPr>
        <w:t>an amount of R147 </w:t>
      </w:r>
      <w:r w:rsidRPr="00C102F4">
        <w:rPr>
          <w:rFonts w:cs="Arial"/>
          <w:lang w:val="en-ZA" w:eastAsia="en-US"/>
        </w:rPr>
        <w:t>630.96 (inclusive of VAT)</w:t>
      </w:r>
      <w:r w:rsidR="009F751D">
        <w:rPr>
          <w:rFonts w:cs="Arial"/>
          <w:lang w:val="en-ZA" w:eastAsia="en-US"/>
        </w:rPr>
        <w:t>.</w:t>
      </w:r>
    </w:p>
    <w:p w:rsidR="009F751D" w:rsidRDefault="009F751D" w:rsidP="009F751D">
      <w:pPr>
        <w:numPr>
          <w:ilvl w:val="0"/>
          <w:numId w:val="10"/>
        </w:numPr>
        <w:spacing w:after="120" w:line="360" w:lineRule="auto"/>
        <w:ind w:left="0" w:firstLine="0"/>
        <w:jc w:val="both"/>
        <w:outlineLvl w:val="0"/>
      </w:pPr>
      <w:r>
        <w:t>Pursuant to and in terms of the addendum, the first defendant vacated the leased premises on the 30</w:t>
      </w:r>
      <w:r w:rsidRPr="009F751D">
        <w:rPr>
          <w:vertAlign w:val="superscript"/>
        </w:rPr>
        <w:t>th</w:t>
      </w:r>
      <w:r>
        <w:t xml:space="preserve"> of November 2018, but it however failed to make payment of the sums of R56 690.01 and R147 630.96. </w:t>
      </w:r>
      <w:r w:rsidR="00B03F0A" w:rsidRPr="00B03F0A">
        <w:t xml:space="preserve">The plaintiff’s claim is </w:t>
      </w:r>
      <w:r>
        <w:t xml:space="preserve">therefore </w:t>
      </w:r>
      <w:r w:rsidR="00B03F0A" w:rsidRPr="00B03F0A">
        <w:t xml:space="preserve">for </w:t>
      </w:r>
      <w:r>
        <w:t xml:space="preserve">payment of these amounts, totalling R204 320.97, which, so the plaintiff avers, the first defendant is liable to pay to it in terms of the addendum. </w:t>
      </w:r>
    </w:p>
    <w:p w:rsidR="00476526" w:rsidRDefault="008539DD" w:rsidP="008539DD">
      <w:pPr>
        <w:numPr>
          <w:ilvl w:val="0"/>
          <w:numId w:val="10"/>
        </w:numPr>
        <w:tabs>
          <w:tab w:val="clear" w:pos="567"/>
        </w:tabs>
        <w:spacing w:after="120" w:line="360" w:lineRule="auto"/>
        <w:ind w:left="0" w:firstLine="0"/>
        <w:jc w:val="both"/>
        <w:outlineLvl w:val="0"/>
      </w:pPr>
      <w:r>
        <w:t>In their plea, the first and second defendant</w:t>
      </w:r>
      <w:r w:rsidR="00A36F63">
        <w:t>s</w:t>
      </w:r>
      <w:r>
        <w:t xml:space="preserve"> admit that the first defendant entered into the lease agreement. The defendants however deny that they are bound by the lease agreement because, so it is pleaded in the plea, they have no knowledge regarding the capacity of the person who signed the lease agreement and the addendum on behalf of the plaintiff, to sign same on plaintiff’s behalf. The defendants in particular placed in dispute the authority of the plaintiff’s representative to represent the plaintiff</w:t>
      </w:r>
      <w:r w:rsidR="00476526">
        <w:t>.</w:t>
      </w:r>
    </w:p>
    <w:p w:rsidR="008539DD" w:rsidRDefault="00476526" w:rsidP="00476526">
      <w:pPr>
        <w:numPr>
          <w:ilvl w:val="0"/>
          <w:numId w:val="10"/>
        </w:numPr>
        <w:tabs>
          <w:tab w:val="clear" w:pos="567"/>
        </w:tabs>
        <w:spacing w:after="120" w:line="360" w:lineRule="auto"/>
        <w:ind w:left="0" w:firstLine="0"/>
        <w:jc w:val="both"/>
        <w:outlineLvl w:val="0"/>
      </w:pPr>
      <w:r>
        <w:t>As regards the plaintiff’s case against the second defendant, the defendants plead that ‘[t]he suretyship was …</w:t>
      </w:r>
      <w:r w:rsidR="008539DD">
        <w:t xml:space="preserve"> hidden, alternatively not apparent by reason of the way in which it is incorporated in the Master Rental Agreement;</w:t>
      </w:r>
      <w:r>
        <w:t xml:space="preserve"> </w:t>
      </w:r>
      <w:r w:rsidR="008539DD">
        <w:lastRenderedPageBreak/>
        <w:t>was not clearly presented;</w:t>
      </w:r>
      <w:r>
        <w:t xml:space="preserve"> </w:t>
      </w:r>
      <w:r w:rsidR="008539DD">
        <w:t>was unusual;</w:t>
      </w:r>
      <w:r>
        <w:t xml:space="preserve"> and </w:t>
      </w:r>
      <w:r w:rsidR="008539DD">
        <w:t>would not normally be found in the Master Rental Agreement presented for signature.</w:t>
      </w:r>
      <w:r>
        <w:t>’</w:t>
      </w:r>
    </w:p>
    <w:p w:rsidR="008539DD" w:rsidRDefault="00476526" w:rsidP="000824BD">
      <w:pPr>
        <w:numPr>
          <w:ilvl w:val="0"/>
          <w:numId w:val="10"/>
        </w:numPr>
        <w:tabs>
          <w:tab w:val="clear" w:pos="567"/>
        </w:tabs>
        <w:spacing w:after="120" w:line="360" w:lineRule="auto"/>
        <w:ind w:left="0" w:firstLine="0"/>
        <w:jc w:val="both"/>
        <w:outlineLvl w:val="0"/>
      </w:pPr>
      <w:r>
        <w:t>The second defendant therefore alleges that t</w:t>
      </w:r>
      <w:r w:rsidR="008539DD">
        <w:t>he suretyship and the terms thereo</w:t>
      </w:r>
      <w:r>
        <w:t>f were never pointed out to him and that h</w:t>
      </w:r>
      <w:r w:rsidR="008539DD">
        <w:t>e never had the deliberate intention to enter into a</w:t>
      </w:r>
      <w:r>
        <w:t xml:space="preserve"> suretyship contract. This means, so the second </w:t>
      </w:r>
      <w:r w:rsidR="00F93F8C">
        <w:t xml:space="preserve">defendant </w:t>
      </w:r>
      <w:r>
        <w:t>alleges, that t</w:t>
      </w:r>
      <w:r w:rsidR="008539DD">
        <w:t>he conclusio</w:t>
      </w:r>
      <w:r>
        <w:t xml:space="preserve">n of the suretyship amounts to </w:t>
      </w:r>
      <w:r w:rsidRPr="00476526">
        <w:rPr>
          <w:i/>
        </w:rPr>
        <w:t>i</w:t>
      </w:r>
      <w:r w:rsidR="008539DD" w:rsidRPr="00476526">
        <w:rPr>
          <w:i/>
        </w:rPr>
        <w:t>ustus error</w:t>
      </w:r>
      <w:r>
        <w:t xml:space="preserve">, in addition to it not complying with the provisions of </w:t>
      </w:r>
      <w:r w:rsidR="008539DD">
        <w:t>the General Law Amendment Act</w:t>
      </w:r>
      <w:r>
        <w:t>, Act</w:t>
      </w:r>
      <w:r w:rsidR="008539DD">
        <w:t xml:space="preserve"> 50 of 1956.</w:t>
      </w:r>
      <w:r>
        <w:t xml:space="preserve"> Importantly, the defendants admit that the first defendant signed the lease agreement and the addendum thereto, which incorporate the guarantee.</w:t>
      </w:r>
    </w:p>
    <w:p w:rsidR="008539DD" w:rsidRDefault="009A1914" w:rsidP="009A1914">
      <w:pPr>
        <w:numPr>
          <w:ilvl w:val="0"/>
          <w:numId w:val="10"/>
        </w:numPr>
        <w:tabs>
          <w:tab w:val="clear" w:pos="567"/>
        </w:tabs>
        <w:spacing w:after="120" w:line="360" w:lineRule="auto"/>
        <w:ind w:left="0" w:firstLine="0"/>
        <w:jc w:val="both"/>
        <w:outlineLvl w:val="0"/>
      </w:pPr>
      <w:r>
        <w:t xml:space="preserve">With reference to the penalty amount payable by the first defendant in terms of the addendum, the defendants plead that the </w:t>
      </w:r>
      <w:r w:rsidR="008539DD">
        <w:t xml:space="preserve">plaintiff is </w:t>
      </w:r>
      <w:r>
        <w:t xml:space="preserve">not </w:t>
      </w:r>
      <w:r w:rsidR="008539DD">
        <w:t xml:space="preserve">entitled to payment of </w:t>
      </w:r>
      <w:r>
        <w:t>same as it c</w:t>
      </w:r>
      <w:r w:rsidR="008539DD">
        <w:t>onstitutes a penalty in terms of Section 3 of the Conventional Penalties Act</w:t>
      </w:r>
      <w:r>
        <w:t>, Act</w:t>
      </w:r>
      <w:r w:rsidR="008539DD">
        <w:t xml:space="preserve"> 15 of 1962</w:t>
      </w:r>
      <w:r>
        <w:t xml:space="preserve">. </w:t>
      </w:r>
      <w:r w:rsidR="008539DD">
        <w:t>The penalty stipulation represents</w:t>
      </w:r>
      <w:r>
        <w:t xml:space="preserve">, so the defendants aver in their plea, </w:t>
      </w:r>
      <w:r w:rsidR="008539DD">
        <w:t xml:space="preserve">all future rental payments the plaintiff would have been entitled to and it is </w:t>
      </w:r>
      <w:r>
        <w:t xml:space="preserve">therefore </w:t>
      </w:r>
      <w:r w:rsidR="008539DD">
        <w:t>out of proportion to the prej</w:t>
      </w:r>
      <w:r>
        <w:t>udice suffered by the plaintiff. The amount of the penalty therefore stands to be reduced.</w:t>
      </w:r>
    </w:p>
    <w:p w:rsidR="009A1914" w:rsidRDefault="009A1914" w:rsidP="009A1914">
      <w:pPr>
        <w:numPr>
          <w:ilvl w:val="0"/>
          <w:numId w:val="10"/>
        </w:numPr>
        <w:tabs>
          <w:tab w:val="clear" w:pos="567"/>
        </w:tabs>
        <w:spacing w:after="120" w:line="360" w:lineRule="auto"/>
        <w:ind w:left="0" w:firstLine="0"/>
        <w:jc w:val="both"/>
        <w:outlineLvl w:val="0"/>
      </w:pPr>
      <w:r>
        <w:t xml:space="preserve">Moreover, so the defendants plead, the plaintiff could and should have mitigated its damages. This </w:t>
      </w:r>
      <w:r w:rsidR="00444C61">
        <w:t xml:space="preserve">the plaintiff failed to do, which means its damages have not been properly quantified. </w:t>
      </w:r>
    </w:p>
    <w:p w:rsidR="008539DD" w:rsidRDefault="00444C61" w:rsidP="008539DD">
      <w:pPr>
        <w:numPr>
          <w:ilvl w:val="0"/>
          <w:numId w:val="10"/>
        </w:numPr>
        <w:tabs>
          <w:tab w:val="clear" w:pos="567"/>
        </w:tabs>
        <w:spacing w:after="120" w:line="360" w:lineRule="auto"/>
        <w:ind w:left="0" w:firstLine="0"/>
        <w:jc w:val="both"/>
        <w:outlineLvl w:val="0"/>
      </w:pPr>
      <w:r>
        <w:t>I interpose here to demonstrate the fallacy in the contention by the defendants that the penalty stipulation in the addendum agreement is disproportionate to the damages which the plaintiff would potentially have suffered as a result of the breach of the contract by the first defendant and the subsequent cancellation. The lease agreement was cancelled with effect from the 30</w:t>
      </w:r>
      <w:r w:rsidRPr="00444C61">
        <w:rPr>
          <w:vertAlign w:val="superscript"/>
        </w:rPr>
        <w:t>th</w:t>
      </w:r>
      <w:r>
        <w:t xml:space="preserve"> of November 2018. That means that the lease agreement would have had another </w:t>
      </w:r>
      <w:r w:rsidR="00CA61B0">
        <w:t xml:space="preserve">forty more months to run before its expiration. The average monthly rental, inclusive of the other ancillary charges, (based on the rental payable during 2021), was R32 194.15 per month, which translates into total rental payable over the remaining period of the lease agreement amounting to R1 287 766. I am therefore at a loss to understand how it can be alleged by the defendants that the penalty of R147 630.96 </w:t>
      </w:r>
      <w:r w:rsidR="00A36F63">
        <w:t xml:space="preserve">is </w:t>
      </w:r>
      <w:r w:rsidR="00CA61B0">
        <w:t xml:space="preserve">disproportionate to the potential </w:t>
      </w:r>
      <w:r w:rsidR="00CA61B0">
        <w:lastRenderedPageBreak/>
        <w:t xml:space="preserve">damages which the plaintiff would have suffered as a result of the cancellation of the lease.  </w:t>
      </w:r>
      <w:r>
        <w:t xml:space="preserve"> </w:t>
      </w:r>
    </w:p>
    <w:p w:rsidR="008539DD" w:rsidRDefault="003B38AD" w:rsidP="00445030">
      <w:pPr>
        <w:numPr>
          <w:ilvl w:val="0"/>
          <w:numId w:val="10"/>
        </w:numPr>
        <w:tabs>
          <w:tab w:val="clear" w:pos="567"/>
        </w:tabs>
        <w:spacing w:after="120" w:line="360" w:lineRule="auto"/>
        <w:ind w:left="0" w:firstLine="0"/>
        <w:jc w:val="both"/>
        <w:outlineLvl w:val="0"/>
      </w:pPr>
      <w:r>
        <w:t xml:space="preserve">The defendants also plead that the </w:t>
      </w:r>
      <w:r w:rsidR="008539DD">
        <w:t xml:space="preserve">plaintiff is in possession of a deposit paid by the first defendant to </w:t>
      </w:r>
      <w:r>
        <w:t xml:space="preserve">the plaintiff in the sum of R84 809.68, which, so the defendants allege in a Contingent Counterclaim, should be set-off against any claims by the plaintiff. </w:t>
      </w:r>
    </w:p>
    <w:p w:rsidR="00812E95" w:rsidRPr="00812E95" w:rsidRDefault="00B03F0A" w:rsidP="00850A32">
      <w:pPr>
        <w:numPr>
          <w:ilvl w:val="0"/>
          <w:numId w:val="10"/>
        </w:numPr>
        <w:tabs>
          <w:tab w:val="clear" w:pos="567"/>
        </w:tabs>
        <w:spacing w:after="120" w:line="360" w:lineRule="auto"/>
        <w:ind w:left="0" w:firstLine="0"/>
        <w:jc w:val="both"/>
        <w:outlineLvl w:val="0"/>
      </w:pPr>
      <w:r w:rsidRPr="00B03F0A">
        <w:rPr>
          <w:rFonts w:cs="Arial"/>
          <w:lang w:val="en-ZA" w:eastAsia="en-US"/>
        </w:rPr>
        <w:t>In its affidavit resisting summary judgment the defendant</w:t>
      </w:r>
      <w:r w:rsidR="003B38AD">
        <w:rPr>
          <w:rFonts w:cs="Arial"/>
          <w:lang w:val="en-ZA" w:eastAsia="en-US"/>
        </w:rPr>
        <w:t>s</w:t>
      </w:r>
      <w:r w:rsidRPr="00B03F0A">
        <w:rPr>
          <w:rFonts w:cs="Arial"/>
          <w:lang w:val="en-ZA" w:eastAsia="en-US"/>
        </w:rPr>
        <w:t xml:space="preserve"> </w:t>
      </w:r>
      <w:r w:rsidR="003B38AD">
        <w:rPr>
          <w:rFonts w:cs="Arial"/>
          <w:lang w:val="en-ZA" w:eastAsia="en-US"/>
        </w:rPr>
        <w:t>repeat these defences to the plaintiff’s claim</w:t>
      </w:r>
      <w:r w:rsidR="00812E95">
        <w:rPr>
          <w:rFonts w:cs="Arial"/>
          <w:lang w:val="en-ZA" w:eastAsia="en-US"/>
        </w:rPr>
        <w:t xml:space="preserve">. Additionally, the defendants raise the </w:t>
      </w:r>
      <w:r w:rsidRPr="00B03F0A">
        <w:rPr>
          <w:rFonts w:cs="Arial"/>
          <w:lang w:val="en-ZA" w:eastAsia="en-US"/>
        </w:rPr>
        <w:t xml:space="preserve">point </w:t>
      </w:r>
      <w:r w:rsidRPr="00B03F0A">
        <w:rPr>
          <w:rFonts w:cs="Arial"/>
          <w:i/>
          <w:lang w:val="en-ZA" w:eastAsia="en-US"/>
        </w:rPr>
        <w:t>in limine</w:t>
      </w:r>
      <w:r w:rsidRPr="00B03F0A">
        <w:rPr>
          <w:rFonts w:cs="Arial"/>
          <w:lang w:val="en-ZA" w:eastAsia="en-US"/>
        </w:rPr>
        <w:t xml:space="preserve"> to the effect that the deponent to the affidavit in support of the appli</w:t>
      </w:r>
      <w:r w:rsidR="00812E95">
        <w:rPr>
          <w:rFonts w:cs="Arial"/>
          <w:lang w:val="en-ZA" w:eastAsia="en-US"/>
        </w:rPr>
        <w:t xml:space="preserve">cation for summary judgment does not have </w:t>
      </w:r>
      <w:r w:rsidR="00812E95" w:rsidRPr="00812E95">
        <w:rPr>
          <w:color w:val="000000"/>
        </w:rPr>
        <w:t>the requisite knowledge to depose to that affidavit</w:t>
      </w:r>
      <w:r w:rsidR="00812E95">
        <w:rPr>
          <w:color w:val="000000"/>
        </w:rPr>
        <w:t>. I now deal briefly with this legal point.</w:t>
      </w:r>
    </w:p>
    <w:p w:rsidR="00812E95" w:rsidRDefault="00812E95" w:rsidP="00850A32">
      <w:pPr>
        <w:pStyle w:val="LegalList1"/>
        <w:numPr>
          <w:ilvl w:val="0"/>
          <w:numId w:val="10"/>
        </w:numPr>
        <w:tabs>
          <w:tab w:val="clear" w:pos="567"/>
        </w:tabs>
        <w:spacing w:after="120" w:line="360" w:lineRule="auto"/>
        <w:ind w:left="0" w:firstLine="0"/>
        <w:rPr>
          <w:color w:val="000000"/>
        </w:rPr>
      </w:pPr>
      <w:r>
        <w:rPr>
          <w:color w:val="000000"/>
        </w:rPr>
        <w:t xml:space="preserve">It is the case of the defendants that </w:t>
      </w:r>
      <w:r w:rsidRPr="00426135">
        <w:rPr>
          <w:color w:val="000000"/>
        </w:rPr>
        <w:t xml:space="preserve">Ms </w:t>
      </w:r>
      <w:r>
        <w:rPr>
          <w:color w:val="000000"/>
        </w:rPr>
        <w:t xml:space="preserve">Charlene Gray, who is the portfolio manager in the employ of the plaintiff’s managing agent, does not have the requisite </w:t>
      </w:r>
      <w:r w:rsidRPr="00426135">
        <w:rPr>
          <w:color w:val="000000"/>
        </w:rPr>
        <w:t>knowledge of the matters in issue</w:t>
      </w:r>
      <w:r>
        <w:rPr>
          <w:color w:val="000000"/>
        </w:rPr>
        <w:t xml:space="preserve">, despite her say-so to the contrary, and therefore she is not, so the defendants contend, </w:t>
      </w:r>
      <w:r w:rsidRPr="00426135">
        <w:rPr>
          <w:color w:val="000000"/>
        </w:rPr>
        <w:t xml:space="preserve">a person </w:t>
      </w:r>
      <w:r>
        <w:rPr>
          <w:color w:val="000000"/>
        </w:rPr>
        <w:t xml:space="preserve">as contemplated </w:t>
      </w:r>
      <w:r w:rsidRPr="00426135">
        <w:rPr>
          <w:color w:val="000000"/>
        </w:rPr>
        <w:t>in Rule 32(2)</w:t>
      </w:r>
      <w:r>
        <w:rPr>
          <w:color w:val="000000"/>
        </w:rPr>
        <w:t xml:space="preserve"> as she cannot ‘</w:t>
      </w:r>
      <w:r w:rsidRPr="00426135">
        <w:rPr>
          <w:color w:val="000000"/>
        </w:rPr>
        <w:t xml:space="preserve">swear positively to the facts verifying the cause of action </w:t>
      </w:r>
      <w:r>
        <w:rPr>
          <w:color w:val="000000"/>
        </w:rPr>
        <w:t>and the amount, if any, claimed’</w:t>
      </w:r>
      <w:r w:rsidRPr="00426135">
        <w:rPr>
          <w:color w:val="000000"/>
        </w:rPr>
        <w:t>.</w:t>
      </w:r>
      <w:r>
        <w:rPr>
          <w:color w:val="000000"/>
        </w:rPr>
        <w:t xml:space="preserve"> </w:t>
      </w:r>
    </w:p>
    <w:p w:rsidR="00812E95" w:rsidRPr="007A0108" w:rsidRDefault="00812E95" w:rsidP="00850A32">
      <w:pPr>
        <w:pStyle w:val="LegalList1"/>
        <w:numPr>
          <w:ilvl w:val="0"/>
          <w:numId w:val="10"/>
        </w:numPr>
        <w:tabs>
          <w:tab w:val="clear" w:pos="567"/>
        </w:tabs>
        <w:spacing w:after="120" w:line="360" w:lineRule="auto"/>
        <w:ind w:left="0" w:firstLine="0"/>
        <w:rPr>
          <w:color w:val="000000"/>
        </w:rPr>
      </w:pPr>
      <w:r>
        <w:rPr>
          <w:color w:val="000000"/>
        </w:rPr>
        <w:t>The starting point as regards this issue is the fact that Ms Gray, under oath, confirms that she has the necessary knowledge of the issues in this matter. She swears positively to the facts and verify the causes of action of the plaintiff. In addition, she confirms that she had been mandated by the plaintiffs to depose to the affidavit in support of the application for summary judgment. She corroborates the aforegoing by explaining that she, in her capacity as the portfolio manager, deal with the day to day running of the affairs of the plaintiff’s business</w:t>
      </w:r>
      <w:r w:rsidR="00850A32">
        <w:rPr>
          <w:color w:val="000000"/>
        </w:rPr>
        <w:t xml:space="preserve"> in relation to the property where the leased premises are situated. The plaintiff’s claims against the defendants, so Ms Gray Avers, fall under her control and she has personal knowledge of facts and records relating thereto and the amounts owing by the defendants</w:t>
      </w:r>
      <w:r>
        <w:rPr>
          <w:color w:val="000000"/>
        </w:rPr>
        <w:t>.</w:t>
      </w:r>
    </w:p>
    <w:p w:rsidR="0005089E" w:rsidRDefault="00812E95" w:rsidP="00850A32">
      <w:pPr>
        <w:pStyle w:val="LegalList1"/>
        <w:numPr>
          <w:ilvl w:val="0"/>
          <w:numId w:val="10"/>
        </w:numPr>
        <w:tabs>
          <w:tab w:val="clear" w:pos="567"/>
        </w:tabs>
        <w:spacing w:after="120" w:line="360" w:lineRule="auto"/>
        <w:ind w:left="0" w:firstLine="0"/>
        <w:rPr>
          <w:color w:val="000000"/>
        </w:rPr>
      </w:pPr>
      <w:r>
        <w:rPr>
          <w:color w:val="000000"/>
        </w:rPr>
        <w:t xml:space="preserve">The defendants, as I indicated, dispute that Ms </w:t>
      </w:r>
      <w:r w:rsidR="00850A32">
        <w:rPr>
          <w:color w:val="000000"/>
        </w:rPr>
        <w:t>Gray</w:t>
      </w:r>
      <w:r>
        <w:rPr>
          <w:color w:val="000000"/>
        </w:rPr>
        <w:t xml:space="preserve"> is a person with the necessary knowledge of the facts in issue in this matter. </w:t>
      </w:r>
      <w:r w:rsidR="00850A32">
        <w:rPr>
          <w:color w:val="000000"/>
        </w:rPr>
        <w:t xml:space="preserve">The defendants in particular take issue with the fact that Ms Gray was </w:t>
      </w:r>
      <w:r w:rsidR="0005089E">
        <w:rPr>
          <w:color w:val="000000"/>
        </w:rPr>
        <w:t xml:space="preserve">not </w:t>
      </w:r>
      <w:r w:rsidR="00850A32">
        <w:rPr>
          <w:color w:val="000000"/>
        </w:rPr>
        <w:t>the person who signed the lease agreement or the addendum thereto</w:t>
      </w:r>
      <w:r>
        <w:rPr>
          <w:color w:val="000000"/>
        </w:rPr>
        <w:t xml:space="preserve">. </w:t>
      </w:r>
    </w:p>
    <w:p w:rsidR="00812E95" w:rsidRDefault="00850A32" w:rsidP="00850A32">
      <w:pPr>
        <w:pStyle w:val="LegalList1"/>
        <w:numPr>
          <w:ilvl w:val="0"/>
          <w:numId w:val="10"/>
        </w:numPr>
        <w:tabs>
          <w:tab w:val="clear" w:pos="567"/>
        </w:tabs>
        <w:spacing w:after="120" w:line="360" w:lineRule="auto"/>
        <w:ind w:left="0" w:firstLine="0"/>
        <w:rPr>
          <w:color w:val="000000"/>
        </w:rPr>
      </w:pPr>
      <w:r>
        <w:rPr>
          <w:color w:val="000000"/>
        </w:rPr>
        <w:t>There is no merit in this point, especially considering that the defendants admit that the lease agreement and the addendum were concluded between the plaintiff and the first defendant</w:t>
      </w:r>
      <w:r w:rsidR="00812E95">
        <w:rPr>
          <w:color w:val="000000"/>
        </w:rPr>
        <w:t xml:space="preserve">. </w:t>
      </w:r>
    </w:p>
    <w:p w:rsidR="00812E95" w:rsidRPr="008B4F0A" w:rsidRDefault="00850A32" w:rsidP="00850A32">
      <w:pPr>
        <w:pStyle w:val="LegalList1"/>
        <w:numPr>
          <w:ilvl w:val="0"/>
          <w:numId w:val="10"/>
        </w:numPr>
        <w:tabs>
          <w:tab w:val="clear" w:pos="567"/>
        </w:tabs>
        <w:spacing w:after="0" w:line="360" w:lineRule="auto"/>
        <w:ind w:left="0" w:firstLine="0"/>
        <w:rPr>
          <w:color w:val="000000"/>
        </w:rPr>
      </w:pPr>
      <w:r>
        <w:rPr>
          <w:color w:val="000000"/>
        </w:rPr>
        <w:t xml:space="preserve">Furthermore, this point should be dismissed on the basis of the authority in </w:t>
      </w:r>
      <w:r w:rsidR="00812E95" w:rsidRPr="008B4F0A">
        <w:rPr>
          <w:i/>
          <w:color w:val="000000"/>
        </w:rPr>
        <w:t>Kurz v Ainhirn</w:t>
      </w:r>
      <w:r w:rsidR="00812E95">
        <w:rPr>
          <w:i/>
          <w:color w:val="000000"/>
        </w:rPr>
        <w:t xml:space="preserve"> </w:t>
      </w:r>
      <w:r w:rsidR="00812E95">
        <w:rPr>
          <w:rStyle w:val="FootnoteReference"/>
          <w:color w:val="000000"/>
        </w:rPr>
        <w:footnoteReference w:id="1"/>
      </w:r>
      <w:r w:rsidR="00812E95" w:rsidRPr="008B4F0A">
        <w:rPr>
          <w:color w:val="000000"/>
        </w:rPr>
        <w:t>,</w:t>
      </w:r>
      <w:r w:rsidR="00812E95">
        <w:rPr>
          <w:color w:val="000000"/>
        </w:rPr>
        <w:t xml:space="preserve"> in which </w:t>
      </w:r>
      <w:r w:rsidR="00812E95" w:rsidRPr="008B4F0A">
        <w:rPr>
          <w:color w:val="000000"/>
        </w:rPr>
        <w:t xml:space="preserve">a liquidator made application for summary judgment for repayment of monies that had been misappropriated from a company some two years before his appointment as liquidator. The sole point in the opposing affidavit was that the liquidator could not have knowledge of the facts in question. </w:t>
      </w:r>
      <w:r w:rsidR="00812E95">
        <w:rPr>
          <w:color w:val="000000"/>
        </w:rPr>
        <w:t>I can do no better than to quote from the judgment in which</w:t>
      </w:r>
      <w:r w:rsidR="00812E95" w:rsidRPr="008B4F0A">
        <w:rPr>
          <w:color w:val="000000"/>
        </w:rPr>
        <w:t xml:space="preserve"> Howard JP held as follows:</w:t>
      </w:r>
    </w:p>
    <w:p w:rsidR="00812E95" w:rsidRPr="008B4F0A" w:rsidRDefault="00812E95" w:rsidP="00850A32">
      <w:pPr>
        <w:pStyle w:val="LegalList1"/>
        <w:spacing w:after="0" w:line="360" w:lineRule="auto"/>
        <w:rPr>
          <w:color w:val="000000"/>
          <w:sz w:val="22"/>
          <w:szCs w:val="22"/>
        </w:rPr>
      </w:pPr>
      <w:r>
        <w:rPr>
          <w:color w:val="000000"/>
          <w:sz w:val="22"/>
          <w:szCs w:val="22"/>
        </w:rPr>
        <w:t>‘</w:t>
      </w:r>
      <w:r w:rsidRPr="008B4F0A">
        <w:rPr>
          <w:color w:val="000000"/>
          <w:sz w:val="22"/>
          <w:szCs w:val="22"/>
        </w:rPr>
        <w:t xml:space="preserve">In his opposing affidavit the defendant takes one point only: that inasmuch as the alleged causes of action arose out of events which </w:t>
      </w:r>
      <w:r>
        <w:rPr>
          <w:color w:val="000000"/>
          <w:sz w:val="22"/>
          <w:szCs w:val="22"/>
        </w:rPr>
        <w:t>occurred during the period 1990-</w:t>
      </w:r>
      <w:r w:rsidRPr="008B4F0A">
        <w:rPr>
          <w:color w:val="000000"/>
          <w:sz w:val="22"/>
          <w:szCs w:val="22"/>
        </w:rPr>
        <w:t>1991 and the plaintiff had nothing to do with the affairs of the close corporation prior to his appointment as liquidator on 12 Ja</w:t>
      </w:r>
      <w:r>
        <w:rPr>
          <w:color w:val="000000"/>
          <w:sz w:val="22"/>
          <w:szCs w:val="22"/>
        </w:rPr>
        <w:t>nuary 1994, he is not a person “</w:t>
      </w:r>
      <w:r w:rsidRPr="008B4F0A">
        <w:rPr>
          <w:color w:val="000000"/>
          <w:sz w:val="22"/>
          <w:szCs w:val="22"/>
        </w:rPr>
        <w:t>who ca</w:t>
      </w:r>
      <w:r>
        <w:rPr>
          <w:color w:val="000000"/>
          <w:sz w:val="22"/>
          <w:szCs w:val="22"/>
        </w:rPr>
        <w:t>n swear positively to the facts”</w:t>
      </w:r>
      <w:r w:rsidRPr="008B4F0A">
        <w:rPr>
          <w:color w:val="000000"/>
          <w:sz w:val="22"/>
          <w:szCs w:val="22"/>
        </w:rPr>
        <w:t xml:space="preserve"> as required by Rule 32(2). He says that under these circumstances he is not obliged to satisfy the Court that he has a </w:t>
      </w:r>
      <w:r w:rsidRPr="00D1398A">
        <w:rPr>
          <w:i/>
          <w:color w:val="000000"/>
          <w:sz w:val="22"/>
          <w:szCs w:val="22"/>
        </w:rPr>
        <w:t>bona fide</w:t>
      </w:r>
      <w:r w:rsidRPr="008B4F0A">
        <w:rPr>
          <w:color w:val="000000"/>
          <w:sz w:val="22"/>
          <w:szCs w:val="22"/>
        </w:rPr>
        <w:t xml:space="preserve"> defence to the action, and indeed he makes no attempt to do so. He does not even deny the allegation that he misappropriated and stole the amount of R440 000.</w:t>
      </w:r>
    </w:p>
    <w:p w:rsidR="00812E95" w:rsidRPr="00B95F7E" w:rsidRDefault="00812E95" w:rsidP="00850A32">
      <w:pPr>
        <w:pStyle w:val="LegalList1"/>
        <w:spacing w:after="0" w:line="360" w:lineRule="auto"/>
        <w:rPr>
          <w:color w:val="000000"/>
        </w:rPr>
      </w:pPr>
      <w:r w:rsidRPr="00B95F7E">
        <w:rPr>
          <w:color w:val="000000"/>
        </w:rPr>
        <w:t>...</w:t>
      </w:r>
      <w:r>
        <w:rPr>
          <w:color w:val="000000"/>
        </w:rPr>
        <w:t xml:space="preserve"> … … </w:t>
      </w:r>
    </w:p>
    <w:p w:rsidR="00812E95" w:rsidRPr="00D1398A" w:rsidRDefault="00812E95" w:rsidP="00850A32">
      <w:pPr>
        <w:pStyle w:val="LegalList1"/>
        <w:spacing w:after="0" w:line="360" w:lineRule="auto"/>
        <w:rPr>
          <w:color w:val="000000"/>
          <w:sz w:val="22"/>
          <w:szCs w:val="22"/>
        </w:rPr>
      </w:pPr>
      <w:r w:rsidRPr="00D1398A">
        <w:rPr>
          <w:color w:val="000000"/>
          <w:sz w:val="22"/>
          <w:szCs w:val="22"/>
        </w:rPr>
        <w:t xml:space="preserve">I have to be satisfied that the plaintiff can and does swear positively to the material facts, not that he has complied with a given formula. In this case he not only asserts that he can swear positively to the facts, he does so and indicates the reason why he is able to do so, namely that he is a liquidator of the close corporation, having been duly appointed as such some nine months ago. As such he clearly had both the opportunity and the duty to obtain knowledge of the relevant facts from, </w:t>
      </w:r>
      <w:r w:rsidRPr="00866B92">
        <w:rPr>
          <w:i/>
          <w:color w:val="000000"/>
          <w:sz w:val="22"/>
          <w:szCs w:val="22"/>
        </w:rPr>
        <w:t>inter alia</w:t>
      </w:r>
      <w:r w:rsidRPr="00D1398A">
        <w:rPr>
          <w:color w:val="000000"/>
          <w:sz w:val="22"/>
          <w:szCs w:val="22"/>
        </w:rPr>
        <w:t>, the documentary records of the close corporation and interrogation of the defendant. It is inconceivable that the plaintiff, who is an officer of the Court, would have instituted this action, based on serious allegations of misappropriation and theft of moneys, without establishing the facts through examination of the documentary records under his control and exercising his statutory power to interrogate the defendant and others involved in the transactions in question. Evidence of this nature would be admissible against the defendant and the plaintiff would obviously be able to swear positively to the facts thus established. There are accordingly good grounds for believing that the plaintiff can swear positively to the relevant facts and fully appreciated the meaning of his assertion to that effect in the verifying affidavit.</w:t>
      </w:r>
    </w:p>
    <w:p w:rsidR="00812E95" w:rsidRPr="00D1398A" w:rsidRDefault="00812E95" w:rsidP="00850A32">
      <w:pPr>
        <w:pStyle w:val="LegalList1"/>
        <w:spacing w:after="0" w:line="360" w:lineRule="auto"/>
        <w:rPr>
          <w:color w:val="000000"/>
          <w:sz w:val="22"/>
          <w:szCs w:val="22"/>
        </w:rPr>
      </w:pPr>
      <w:r w:rsidRPr="00D1398A">
        <w:rPr>
          <w:color w:val="000000"/>
          <w:sz w:val="22"/>
          <w:szCs w:val="22"/>
        </w:rPr>
        <w:t>In his opposing affidavit the defendant states the obvious, that the plaintiff was not a</w:t>
      </w:r>
      <w:r>
        <w:rPr>
          <w:color w:val="000000"/>
          <w:sz w:val="22"/>
          <w:szCs w:val="22"/>
        </w:rPr>
        <w:t xml:space="preserve"> </w:t>
      </w:r>
      <w:r w:rsidRPr="00D1398A">
        <w:rPr>
          <w:color w:val="000000"/>
          <w:sz w:val="22"/>
          <w:szCs w:val="22"/>
        </w:rPr>
        <w:t xml:space="preserve">witness to transactions involving the close corporation before liquidation, and draws from that fact alone the inference that the plaintiff cannot swear positively to the relevant facts. He thus excludes one possible source of knowledge which was never open to the plaintiff anyway, but does not even mention, let alone attempt to exclude, the obvious sources from which the plaintiff as liquidator could acquire sufficient knowledge to enable him to swear positively to the facts. This disingenuous affidavit does not serve to cast doubt on the plaintiff's averment that he can swear positively to the facts or his opinion that there is no bona fide defence. </w:t>
      </w:r>
    </w:p>
    <w:p w:rsidR="00812E95" w:rsidRPr="00D1398A" w:rsidRDefault="00812E95" w:rsidP="00850A32">
      <w:pPr>
        <w:pStyle w:val="LegalList1"/>
        <w:spacing w:after="120" w:line="360" w:lineRule="auto"/>
        <w:rPr>
          <w:color w:val="000000"/>
          <w:sz w:val="22"/>
          <w:szCs w:val="22"/>
        </w:rPr>
      </w:pPr>
      <w:r w:rsidRPr="00D1398A">
        <w:rPr>
          <w:color w:val="000000"/>
          <w:sz w:val="22"/>
          <w:szCs w:val="22"/>
        </w:rPr>
        <w:t>I accordingly grant summary judgment against the defendant</w:t>
      </w:r>
      <w:r>
        <w:rPr>
          <w:color w:val="000000"/>
          <w:sz w:val="22"/>
          <w:szCs w:val="22"/>
        </w:rPr>
        <w:t xml:space="preserve"> ...’</w:t>
      </w:r>
    </w:p>
    <w:p w:rsidR="00850A32" w:rsidRDefault="00812E95" w:rsidP="00850A32">
      <w:pPr>
        <w:pStyle w:val="LegalList1"/>
        <w:numPr>
          <w:ilvl w:val="0"/>
          <w:numId w:val="10"/>
        </w:numPr>
        <w:tabs>
          <w:tab w:val="clear" w:pos="567"/>
        </w:tabs>
        <w:spacing w:after="120" w:line="360" w:lineRule="auto"/>
        <w:ind w:left="0" w:firstLine="0"/>
        <w:rPr>
          <w:color w:val="000000"/>
        </w:rPr>
      </w:pPr>
      <w:r>
        <w:rPr>
          <w:color w:val="000000"/>
        </w:rPr>
        <w:t xml:space="preserve">On the basis of this authority, with which I agree, the defendants’ first preliminary point stands to be rejected. The point is that </w:t>
      </w:r>
      <w:r w:rsidRPr="00511D03">
        <w:rPr>
          <w:i/>
          <w:color w:val="000000"/>
        </w:rPr>
        <w:t>in casu</w:t>
      </w:r>
      <w:r>
        <w:rPr>
          <w:color w:val="000000"/>
        </w:rPr>
        <w:t xml:space="preserve"> Ms </w:t>
      </w:r>
      <w:r w:rsidR="00850A32">
        <w:rPr>
          <w:color w:val="000000"/>
        </w:rPr>
        <w:t>Gray</w:t>
      </w:r>
      <w:r>
        <w:rPr>
          <w:color w:val="000000"/>
        </w:rPr>
        <w:t xml:space="preserve"> </w:t>
      </w:r>
      <w:r w:rsidRPr="00D1398A">
        <w:rPr>
          <w:color w:val="000000"/>
        </w:rPr>
        <w:t xml:space="preserve">not only asserts that </w:t>
      </w:r>
      <w:r>
        <w:rPr>
          <w:color w:val="000000"/>
        </w:rPr>
        <w:t>s</w:t>
      </w:r>
      <w:r w:rsidRPr="00D1398A">
        <w:rPr>
          <w:color w:val="000000"/>
        </w:rPr>
        <w:t xml:space="preserve">he can swear positively to the facts, </w:t>
      </w:r>
      <w:r>
        <w:rPr>
          <w:color w:val="000000"/>
        </w:rPr>
        <w:t xml:space="preserve">but also </w:t>
      </w:r>
      <w:r w:rsidRPr="00D1398A">
        <w:rPr>
          <w:color w:val="000000"/>
        </w:rPr>
        <w:t xml:space="preserve">does so and indicates the reason why </w:t>
      </w:r>
      <w:r>
        <w:rPr>
          <w:color w:val="000000"/>
        </w:rPr>
        <w:t>s</w:t>
      </w:r>
      <w:r w:rsidRPr="00D1398A">
        <w:rPr>
          <w:color w:val="000000"/>
        </w:rPr>
        <w:t xml:space="preserve">he is able to do so, namely that </w:t>
      </w:r>
      <w:r>
        <w:rPr>
          <w:color w:val="000000"/>
        </w:rPr>
        <w:t>s</w:t>
      </w:r>
      <w:r w:rsidRPr="00D1398A">
        <w:rPr>
          <w:color w:val="000000"/>
        </w:rPr>
        <w:t xml:space="preserve">he </w:t>
      </w:r>
      <w:r w:rsidR="00850A32">
        <w:rPr>
          <w:color w:val="000000"/>
        </w:rPr>
        <w:t>on a daily basis deals with the business of the plaintiff relating to the property in question.</w:t>
      </w:r>
    </w:p>
    <w:p w:rsidR="00B03F0A" w:rsidRPr="00B03F0A" w:rsidRDefault="00BA3089" w:rsidP="00BA3089">
      <w:pPr>
        <w:numPr>
          <w:ilvl w:val="0"/>
          <w:numId w:val="10"/>
        </w:numPr>
        <w:tabs>
          <w:tab w:val="clear" w:pos="567"/>
        </w:tabs>
        <w:spacing w:after="120" w:line="360" w:lineRule="auto"/>
        <w:ind w:left="0" w:firstLine="0"/>
        <w:jc w:val="both"/>
        <w:outlineLvl w:val="0"/>
      </w:pPr>
      <w:r>
        <w:rPr>
          <w:rFonts w:cs="Arial"/>
          <w:lang w:val="en-ZA" w:eastAsia="en-US"/>
        </w:rPr>
        <w:t xml:space="preserve">As for the other defences raised on behalf of the first defendant, namely that the addendum, which provides for a penalty which is disproportionate to the potential damages which would have suffered by the plaintiff, I have already demonstrated the fallacy in that argument. The Conventional Penalties Act therefore does not, in my view, assist the defendants. There is no merit in that defence. </w:t>
      </w:r>
    </w:p>
    <w:p w:rsidR="00B03F0A" w:rsidRPr="00B03F0A" w:rsidRDefault="00BA3089" w:rsidP="00BA3089">
      <w:pPr>
        <w:numPr>
          <w:ilvl w:val="0"/>
          <w:numId w:val="10"/>
        </w:numPr>
        <w:tabs>
          <w:tab w:val="clear" w:pos="567"/>
        </w:tabs>
        <w:spacing w:after="120" w:line="360" w:lineRule="auto"/>
        <w:ind w:left="0" w:firstLine="0"/>
        <w:jc w:val="both"/>
        <w:outlineLvl w:val="0"/>
      </w:pPr>
      <w:r>
        <w:rPr>
          <w:rFonts w:cs="Arial"/>
          <w:lang w:val="en-ZA" w:eastAsia="en-US"/>
        </w:rPr>
        <w:t xml:space="preserve">As regards the claim by the defendants that the deposit should be set-off against the plaintiff’s claim. On a proper interpretation of the addendum, there is no room for this contention by the defendants. The addendum, which was concluded between the parties, provides that the settlement amounts to be paid by the first defendant to the plaintiff would have been in full and final settlement of </w:t>
      </w:r>
      <w:r w:rsidR="00F81A09">
        <w:rPr>
          <w:rFonts w:cs="Arial"/>
          <w:lang w:val="en-ZA" w:eastAsia="en-US"/>
        </w:rPr>
        <w:t xml:space="preserve">all amounts due by the first defendant to the plaintiff. The defence of the first defendant on this basis is accordingly bad in law. </w:t>
      </w:r>
    </w:p>
    <w:p w:rsidR="001A440F" w:rsidRPr="001A440F" w:rsidRDefault="006E68E0" w:rsidP="006E68E0">
      <w:pPr>
        <w:numPr>
          <w:ilvl w:val="0"/>
          <w:numId w:val="10"/>
        </w:numPr>
        <w:tabs>
          <w:tab w:val="clear" w:pos="567"/>
        </w:tabs>
        <w:spacing w:after="120" w:line="360" w:lineRule="auto"/>
        <w:ind w:left="0" w:firstLine="0"/>
        <w:jc w:val="both"/>
        <w:outlineLvl w:val="0"/>
      </w:pPr>
      <w:r>
        <w:rPr>
          <w:rFonts w:cs="Arial"/>
          <w:lang w:val="en-ZA" w:eastAsia="en-US"/>
        </w:rPr>
        <w:t xml:space="preserve">As far as the second defendant’s defence of </w:t>
      </w:r>
      <w:r w:rsidRPr="006E68E0">
        <w:rPr>
          <w:rFonts w:cs="Arial"/>
          <w:i/>
          <w:lang w:val="en-ZA" w:eastAsia="en-US"/>
        </w:rPr>
        <w:t>iustus error</w:t>
      </w:r>
      <w:r>
        <w:rPr>
          <w:rFonts w:cs="Arial"/>
          <w:lang w:val="en-ZA" w:eastAsia="en-US"/>
        </w:rPr>
        <w:t xml:space="preserve"> is concerned, t</w:t>
      </w:r>
      <w:r w:rsidRPr="006E68E0">
        <w:rPr>
          <w:rFonts w:cs="Arial"/>
        </w:rPr>
        <w:t xml:space="preserve">he gist of </w:t>
      </w:r>
      <w:r>
        <w:rPr>
          <w:rFonts w:cs="Arial"/>
        </w:rPr>
        <w:t xml:space="preserve">his </w:t>
      </w:r>
      <w:r w:rsidRPr="006E68E0">
        <w:rPr>
          <w:rFonts w:cs="Arial"/>
        </w:rPr>
        <w:t xml:space="preserve">argument is that </w:t>
      </w:r>
      <w:r>
        <w:rPr>
          <w:rFonts w:cs="Arial"/>
        </w:rPr>
        <w:t>he was unaware that he was signing as a guarantor or as a surety.</w:t>
      </w:r>
      <w:r>
        <w:t xml:space="preserve"> </w:t>
      </w:r>
      <w:r w:rsidRPr="006E68E0">
        <w:rPr>
          <w:rFonts w:cs="Arial"/>
          <w:i/>
        </w:rPr>
        <w:t>Ex facie</w:t>
      </w:r>
      <w:r w:rsidRPr="006E68E0">
        <w:rPr>
          <w:rFonts w:cs="Arial"/>
        </w:rPr>
        <w:t xml:space="preserve"> the </w:t>
      </w:r>
      <w:r w:rsidR="001A440F">
        <w:rPr>
          <w:rFonts w:cs="Arial"/>
        </w:rPr>
        <w:t>lease</w:t>
      </w:r>
      <w:r w:rsidRPr="006E68E0">
        <w:rPr>
          <w:rFonts w:cs="Arial"/>
        </w:rPr>
        <w:t xml:space="preserve"> </w:t>
      </w:r>
      <w:r w:rsidR="001A440F">
        <w:rPr>
          <w:rFonts w:cs="Arial"/>
        </w:rPr>
        <w:t>agreement</w:t>
      </w:r>
      <w:r w:rsidRPr="006E68E0">
        <w:rPr>
          <w:rFonts w:cs="Arial"/>
        </w:rPr>
        <w:t xml:space="preserve">, </w:t>
      </w:r>
      <w:r w:rsidR="001A440F">
        <w:rPr>
          <w:rFonts w:cs="Arial"/>
        </w:rPr>
        <w:t>a Guarantee is clearly and unequivocally provided by the second defendant, and the terms and conditions of the guarantee are provided for in clause 11 of the lease. In a separate page the second defendant also sp</w:t>
      </w:r>
      <w:r w:rsidR="0005089E">
        <w:rPr>
          <w:rFonts w:cs="Arial"/>
        </w:rPr>
        <w:t>ecifically signed as a guarantor</w:t>
      </w:r>
      <w:r w:rsidR="001A440F">
        <w:rPr>
          <w:rFonts w:cs="Arial"/>
        </w:rPr>
        <w:t>.</w:t>
      </w:r>
    </w:p>
    <w:p w:rsidR="006E68E0" w:rsidRPr="006E68E0" w:rsidRDefault="001A440F" w:rsidP="006E68E0">
      <w:pPr>
        <w:numPr>
          <w:ilvl w:val="0"/>
          <w:numId w:val="10"/>
        </w:numPr>
        <w:tabs>
          <w:tab w:val="clear" w:pos="567"/>
        </w:tabs>
        <w:spacing w:after="120" w:line="360" w:lineRule="auto"/>
        <w:ind w:left="0" w:firstLine="0"/>
        <w:jc w:val="both"/>
        <w:outlineLvl w:val="0"/>
      </w:pPr>
      <w:r>
        <w:rPr>
          <w:rFonts w:cs="Arial"/>
        </w:rPr>
        <w:t>The second defendant contends that he was</w:t>
      </w:r>
      <w:r w:rsidR="006E68E0" w:rsidRPr="006E68E0">
        <w:rPr>
          <w:rFonts w:cs="Arial"/>
        </w:rPr>
        <w:t xml:space="preserve"> misled </w:t>
      </w:r>
      <w:r>
        <w:rPr>
          <w:rFonts w:cs="Arial"/>
        </w:rPr>
        <w:t>by the plaintiff</w:t>
      </w:r>
      <w:r w:rsidR="006E68E0" w:rsidRPr="006E68E0">
        <w:rPr>
          <w:rFonts w:cs="Arial"/>
        </w:rPr>
        <w:t xml:space="preserve">. </w:t>
      </w:r>
      <w:r>
        <w:rPr>
          <w:rFonts w:cs="Arial"/>
        </w:rPr>
        <w:t xml:space="preserve">He </w:t>
      </w:r>
      <w:r w:rsidR="006E68E0" w:rsidRPr="006E68E0">
        <w:rPr>
          <w:rFonts w:cs="Arial"/>
        </w:rPr>
        <w:t xml:space="preserve">further argued that the </w:t>
      </w:r>
      <w:r>
        <w:rPr>
          <w:rFonts w:cs="Arial"/>
        </w:rPr>
        <w:t xml:space="preserve">guarantee </w:t>
      </w:r>
      <w:r w:rsidR="006E68E0" w:rsidRPr="006E68E0">
        <w:rPr>
          <w:rFonts w:cs="Arial"/>
        </w:rPr>
        <w:t xml:space="preserve">clause is inconspicuously recorded in </w:t>
      </w:r>
      <w:r>
        <w:rPr>
          <w:rFonts w:cs="Arial"/>
        </w:rPr>
        <w:t xml:space="preserve">the body of the agreement </w:t>
      </w:r>
      <w:r w:rsidR="006E68E0" w:rsidRPr="006E68E0">
        <w:rPr>
          <w:rFonts w:cs="Arial"/>
        </w:rPr>
        <w:t xml:space="preserve">and </w:t>
      </w:r>
      <w:r>
        <w:rPr>
          <w:rFonts w:cs="Arial"/>
        </w:rPr>
        <w:t>not</w:t>
      </w:r>
      <w:r w:rsidR="006E68E0" w:rsidRPr="006E68E0">
        <w:rPr>
          <w:rFonts w:cs="Arial"/>
        </w:rPr>
        <w:t xml:space="preserve"> eye-catching</w:t>
      </w:r>
      <w:r>
        <w:rPr>
          <w:rFonts w:cs="Arial"/>
        </w:rPr>
        <w:t>, as it should be</w:t>
      </w:r>
      <w:r w:rsidR="006E68E0" w:rsidRPr="006E68E0">
        <w:rPr>
          <w:rFonts w:cs="Arial"/>
        </w:rPr>
        <w:t xml:space="preserve">. </w:t>
      </w:r>
      <w:r>
        <w:rPr>
          <w:rFonts w:cs="Arial"/>
        </w:rPr>
        <w:t xml:space="preserve">The plaintiff had </w:t>
      </w:r>
      <w:r w:rsidR="006E68E0" w:rsidRPr="006E68E0">
        <w:rPr>
          <w:rFonts w:cs="Arial"/>
        </w:rPr>
        <w:t xml:space="preserve">failed to draw </w:t>
      </w:r>
      <w:r>
        <w:rPr>
          <w:rFonts w:cs="Arial"/>
        </w:rPr>
        <w:t>his</w:t>
      </w:r>
      <w:r w:rsidR="006E68E0" w:rsidRPr="006E68E0">
        <w:rPr>
          <w:rFonts w:cs="Arial"/>
        </w:rPr>
        <w:t xml:space="preserve"> attention to the </w:t>
      </w:r>
      <w:r>
        <w:rPr>
          <w:rFonts w:cs="Arial"/>
        </w:rPr>
        <w:t xml:space="preserve">guarantee </w:t>
      </w:r>
      <w:r w:rsidR="006E68E0" w:rsidRPr="006E68E0">
        <w:rPr>
          <w:rFonts w:cs="Arial"/>
        </w:rPr>
        <w:t xml:space="preserve">clause and </w:t>
      </w:r>
      <w:r>
        <w:rPr>
          <w:rFonts w:cs="Arial"/>
        </w:rPr>
        <w:t>he</w:t>
      </w:r>
      <w:r w:rsidR="006E68E0" w:rsidRPr="006E68E0">
        <w:rPr>
          <w:rFonts w:cs="Arial"/>
        </w:rPr>
        <w:t xml:space="preserve"> would not have bound </w:t>
      </w:r>
      <w:r>
        <w:rPr>
          <w:rFonts w:cs="Arial"/>
        </w:rPr>
        <w:t>himself</w:t>
      </w:r>
      <w:r w:rsidR="006E68E0" w:rsidRPr="006E68E0">
        <w:rPr>
          <w:rFonts w:cs="Arial"/>
        </w:rPr>
        <w:t xml:space="preserve"> had </w:t>
      </w:r>
      <w:r>
        <w:rPr>
          <w:rFonts w:cs="Arial"/>
        </w:rPr>
        <w:t>he</w:t>
      </w:r>
      <w:r w:rsidR="006E68E0" w:rsidRPr="006E68E0">
        <w:rPr>
          <w:rFonts w:cs="Arial"/>
        </w:rPr>
        <w:t xml:space="preserve"> been alerted to it. </w:t>
      </w:r>
      <w:r>
        <w:rPr>
          <w:rFonts w:cs="Arial"/>
        </w:rPr>
        <w:t>He</w:t>
      </w:r>
      <w:r w:rsidR="006E68E0" w:rsidRPr="006E68E0">
        <w:rPr>
          <w:rFonts w:cs="Arial"/>
        </w:rPr>
        <w:t xml:space="preserve"> did not expect that the </w:t>
      </w:r>
      <w:r>
        <w:rPr>
          <w:rFonts w:cs="Arial"/>
        </w:rPr>
        <w:t xml:space="preserve">guarantee </w:t>
      </w:r>
      <w:r w:rsidR="006E68E0" w:rsidRPr="006E68E0">
        <w:rPr>
          <w:rFonts w:cs="Arial"/>
        </w:rPr>
        <w:t xml:space="preserve">would be embodied in the </w:t>
      </w:r>
      <w:r>
        <w:rPr>
          <w:rFonts w:cs="Arial"/>
        </w:rPr>
        <w:t xml:space="preserve">lease agreement </w:t>
      </w:r>
      <w:r w:rsidR="006E68E0" w:rsidRPr="006E68E0">
        <w:rPr>
          <w:rFonts w:cs="Arial"/>
        </w:rPr>
        <w:t xml:space="preserve">and </w:t>
      </w:r>
      <w:r>
        <w:rPr>
          <w:rFonts w:cs="Arial"/>
        </w:rPr>
        <w:t xml:space="preserve">he </w:t>
      </w:r>
      <w:r w:rsidR="006E68E0" w:rsidRPr="006E68E0">
        <w:rPr>
          <w:rFonts w:cs="Arial"/>
        </w:rPr>
        <w:t xml:space="preserve">did not notice it. </w:t>
      </w:r>
      <w:r>
        <w:rPr>
          <w:rFonts w:cs="Arial"/>
        </w:rPr>
        <w:t>His</w:t>
      </w:r>
      <w:r w:rsidR="006E68E0" w:rsidRPr="006E68E0">
        <w:rPr>
          <w:rFonts w:cs="Arial"/>
        </w:rPr>
        <w:t xml:space="preserve"> mistake, </w:t>
      </w:r>
      <w:r>
        <w:rPr>
          <w:rFonts w:cs="Arial"/>
        </w:rPr>
        <w:t>he</w:t>
      </w:r>
      <w:r w:rsidR="006E68E0" w:rsidRPr="006E68E0">
        <w:rPr>
          <w:rFonts w:cs="Arial"/>
        </w:rPr>
        <w:t xml:space="preserve"> claimed, which had been induced by </w:t>
      </w:r>
      <w:r>
        <w:rPr>
          <w:rFonts w:cs="Arial"/>
        </w:rPr>
        <w:t>the plaintiff</w:t>
      </w:r>
      <w:r w:rsidR="006E68E0" w:rsidRPr="006E68E0">
        <w:rPr>
          <w:rFonts w:cs="Arial"/>
        </w:rPr>
        <w:t>, would have misled any reasonable</w:t>
      </w:r>
      <w:r>
        <w:rPr>
          <w:rFonts w:cs="Arial"/>
        </w:rPr>
        <w:t xml:space="preserve"> person similarly circumstances.</w:t>
      </w:r>
      <w:r w:rsidR="006E68E0" w:rsidRPr="006E68E0">
        <w:rPr>
          <w:rFonts w:cs="Arial"/>
        </w:rPr>
        <w:t xml:space="preserve"> </w:t>
      </w:r>
    </w:p>
    <w:p w:rsidR="006E68E0" w:rsidRPr="006E68E0" w:rsidRDefault="006E68E0" w:rsidP="001C4284">
      <w:pPr>
        <w:pStyle w:val="ListParagraph"/>
        <w:numPr>
          <w:ilvl w:val="0"/>
          <w:numId w:val="10"/>
        </w:numPr>
        <w:tabs>
          <w:tab w:val="clear" w:pos="567"/>
        </w:tabs>
        <w:spacing w:line="360" w:lineRule="auto"/>
        <w:ind w:left="0" w:firstLine="0"/>
        <w:jc w:val="both"/>
        <w:rPr>
          <w:rFonts w:cs="Arial"/>
          <w:color w:val="000000"/>
          <w:lang w:eastAsia="en-US"/>
        </w:rPr>
      </w:pPr>
      <w:r w:rsidRPr="006E68E0">
        <w:rPr>
          <w:rFonts w:cs="Arial"/>
          <w:color w:val="000000"/>
        </w:rPr>
        <w:t>The decisive question in a case such</w:t>
      </w:r>
      <w:r w:rsidRPr="006E68E0">
        <w:rPr>
          <w:rFonts w:cs="Arial"/>
        </w:rPr>
        <w:t xml:space="preserve"> as</w:t>
      </w:r>
      <w:r w:rsidRPr="006E68E0">
        <w:rPr>
          <w:rFonts w:cs="Arial"/>
          <w:color w:val="000000"/>
        </w:rPr>
        <w:t xml:space="preserve"> the present was laid down in </w:t>
      </w:r>
      <w:r w:rsidRPr="006E68E0">
        <w:rPr>
          <w:rFonts w:cs="Arial"/>
          <w:i/>
          <w:iCs/>
          <w:color w:val="000000"/>
        </w:rPr>
        <w:t>Sonap Petroleum (SA) (Pty) Ltd (formerly known as Sonarep (SA) (Pty) Ltd) v Pappadogianis</w:t>
      </w:r>
      <w:r>
        <w:rPr>
          <w:rStyle w:val="FootnoteReference"/>
          <w:rFonts w:cs="Arial"/>
          <w:i/>
          <w:iCs/>
          <w:color w:val="000000"/>
        </w:rPr>
        <w:footnoteReference w:id="2"/>
      </w:r>
      <w:r w:rsidRPr="006E68E0">
        <w:rPr>
          <w:rFonts w:cs="Arial"/>
          <w:color w:val="000000"/>
        </w:rPr>
        <w:t xml:space="preserve"> as follows: </w:t>
      </w:r>
    </w:p>
    <w:p w:rsidR="006E68E0" w:rsidRPr="006E68E0" w:rsidRDefault="006E68E0" w:rsidP="001C4284">
      <w:pPr>
        <w:pStyle w:val="ListParagraph"/>
        <w:spacing w:after="120" w:line="360" w:lineRule="auto"/>
        <w:ind w:left="0"/>
        <w:jc w:val="both"/>
        <w:rPr>
          <w:rFonts w:cs="Arial"/>
        </w:rPr>
      </w:pPr>
      <w:r w:rsidRPr="006E68E0">
        <w:rPr>
          <w:rFonts w:cs="Arial"/>
          <w:color w:val="000000"/>
        </w:rPr>
        <w:t xml:space="preserve">'. . . [D]id the party whose actual intention </w:t>
      </w:r>
      <w:r w:rsidRPr="006E68E0">
        <w:rPr>
          <w:rFonts w:cs="Arial"/>
        </w:rPr>
        <w:t>did</w:t>
      </w:r>
      <w:r w:rsidRPr="006E68E0">
        <w:rPr>
          <w:rFonts w:cs="Arial"/>
          <w:color w:val="FF0000"/>
        </w:rPr>
        <w:t xml:space="preserve"> </w:t>
      </w:r>
      <w:r w:rsidRPr="006E68E0">
        <w:rPr>
          <w:rFonts w:cs="Arial"/>
          <w:color w:val="000000"/>
        </w:rPr>
        <w:t>not conform to the common intention expressed, lead the other party, as a reasonable man, to believe that his declared intention represented his actual intention? . . . To answer this question, a three-fold enquiry is usually necessary, namely, firstly, was there a misrepresentation as to one party's intention; secondly, who made that representation; and thirdly, was the last party misled thereby? . . . The last question postulates two possibilities: Was he actually misled and would a reasonable man have been misled? </w:t>
      </w:r>
      <w:r w:rsidRPr="006E68E0">
        <w:rPr>
          <w:rFonts w:cs="Arial"/>
          <w:i/>
          <w:iCs/>
          <w:color w:val="000000"/>
        </w:rPr>
        <w:t>Spes Bona Bank Ltd v Portals Water Treatment South Africa (Pty) Ltd</w:t>
      </w:r>
      <w:r w:rsidRPr="006E68E0">
        <w:rPr>
          <w:rFonts w:cs="Arial"/>
          <w:color w:val="000000"/>
        </w:rPr>
        <w:t> 1983 (1) SA 978 (A) at 984D - H, 985G - H.' </w:t>
      </w:r>
    </w:p>
    <w:p w:rsidR="006E68E0" w:rsidRPr="001C4284" w:rsidRDefault="001C4284" w:rsidP="001C4284">
      <w:pPr>
        <w:pStyle w:val="ListParagraph"/>
        <w:numPr>
          <w:ilvl w:val="0"/>
          <w:numId w:val="10"/>
        </w:numPr>
        <w:tabs>
          <w:tab w:val="clear" w:pos="567"/>
        </w:tabs>
        <w:spacing w:after="120" w:line="360" w:lineRule="auto"/>
        <w:ind w:left="0" w:firstLine="0"/>
        <w:jc w:val="both"/>
        <w:rPr>
          <w:rFonts w:cs="Arial"/>
        </w:rPr>
      </w:pPr>
      <w:r>
        <w:rPr>
          <w:rFonts w:cs="Arial"/>
        </w:rPr>
        <w:t xml:space="preserve">Applying these principles </w:t>
      </w:r>
      <w:r w:rsidRPr="0005089E">
        <w:rPr>
          <w:rFonts w:cs="Arial"/>
          <w:i/>
        </w:rPr>
        <w:t>in casu</w:t>
      </w:r>
      <w:r>
        <w:rPr>
          <w:rFonts w:cs="Arial"/>
        </w:rPr>
        <w:t xml:space="preserve">, I am not persuaded that the second defendant made out a case on the basis of </w:t>
      </w:r>
      <w:r w:rsidRPr="001C4284">
        <w:rPr>
          <w:rFonts w:cs="Arial"/>
          <w:i/>
        </w:rPr>
        <w:t>iustus error</w:t>
      </w:r>
      <w:r>
        <w:rPr>
          <w:rFonts w:cs="Arial"/>
        </w:rPr>
        <w:t>.</w:t>
      </w:r>
      <w:r w:rsidR="006E68E0" w:rsidRPr="001C4284">
        <w:rPr>
          <w:rFonts w:cs="Arial"/>
        </w:rPr>
        <w:t xml:space="preserve"> </w:t>
      </w:r>
      <w:r>
        <w:rPr>
          <w:rFonts w:cs="Arial"/>
        </w:rPr>
        <w:t>In my view, t</w:t>
      </w:r>
      <w:r w:rsidR="006E68E0" w:rsidRPr="001C4284">
        <w:rPr>
          <w:rFonts w:cs="Arial"/>
        </w:rPr>
        <w:t xml:space="preserve">here is nothing inconspicuous about the </w:t>
      </w:r>
      <w:r>
        <w:rPr>
          <w:rFonts w:cs="Arial"/>
        </w:rPr>
        <w:t xml:space="preserve">guarantee clause and the guarantee itself, which is referenced on no less than three occasions in the lease. There is no evidence before me or an assertion that </w:t>
      </w:r>
      <w:r w:rsidR="006E68E0" w:rsidRPr="001C4284">
        <w:rPr>
          <w:rFonts w:cs="Arial"/>
        </w:rPr>
        <w:t xml:space="preserve">pressure </w:t>
      </w:r>
      <w:r w:rsidR="0005089E">
        <w:rPr>
          <w:rFonts w:cs="Arial"/>
        </w:rPr>
        <w:t xml:space="preserve">was </w:t>
      </w:r>
      <w:r w:rsidR="006E68E0" w:rsidRPr="001C4284">
        <w:rPr>
          <w:rFonts w:cs="Arial"/>
        </w:rPr>
        <w:t xml:space="preserve">exerted upon the </w:t>
      </w:r>
      <w:r w:rsidR="00DF49D0">
        <w:rPr>
          <w:rFonts w:cs="Arial"/>
        </w:rPr>
        <w:t>second defendant</w:t>
      </w:r>
      <w:r w:rsidR="006E68E0" w:rsidRPr="001C4284">
        <w:rPr>
          <w:rFonts w:cs="Arial"/>
        </w:rPr>
        <w:t xml:space="preserve"> to sign. There is also no evidence to suggest that </w:t>
      </w:r>
      <w:r w:rsidR="00DF49D0">
        <w:rPr>
          <w:rFonts w:cs="Arial"/>
        </w:rPr>
        <w:t>he</w:t>
      </w:r>
      <w:r w:rsidR="006E68E0" w:rsidRPr="001C4284">
        <w:rPr>
          <w:rFonts w:cs="Arial"/>
        </w:rPr>
        <w:t xml:space="preserve"> </w:t>
      </w:r>
      <w:r w:rsidR="00DF49D0">
        <w:rPr>
          <w:rFonts w:cs="Arial"/>
        </w:rPr>
        <w:t>was</w:t>
      </w:r>
      <w:r w:rsidR="006E68E0" w:rsidRPr="001C4284">
        <w:rPr>
          <w:rFonts w:cs="Arial"/>
        </w:rPr>
        <w:t xml:space="preserve"> required to sign the document in haste and under duress. </w:t>
      </w:r>
      <w:r w:rsidR="00DF49D0">
        <w:rPr>
          <w:rFonts w:cs="Arial"/>
        </w:rPr>
        <w:t>He probably</w:t>
      </w:r>
      <w:r w:rsidR="006E68E0" w:rsidRPr="001C4284">
        <w:rPr>
          <w:rFonts w:cs="Arial"/>
        </w:rPr>
        <w:t xml:space="preserve"> had ample opportunity to study the concise document and could not have overlooked the </w:t>
      </w:r>
      <w:r w:rsidR="00DF49D0">
        <w:rPr>
          <w:rFonts w:cs="Arial"/>
        </w:rPr>
        <w:t xml:space="preserve">guarantee </w:t>
      </w:r>
      <w:r w:rsidR="006E68E0" w:rsidRPr="001C4284">
        <w:rPr>
          <w:rFonts w:cs="Arial"/>
        </w:rPr>
        <w:t>clause.</w:t>
      </w:r>
    </w:p>
    <w:p w:rsidR="006E68E0" w:rsidRDefault="00DF49D0" w:rsidP="00DF49D0">
      <w:pPr>
        <w:pStyle w:val="FootnoteText"/>
        <w:numPr>
          <w:ilvl w:val="0"/>
          <w:numId w:val="10"/>
        </w:numPr>
        <w:tabs>
          <w:tab w:val="clear" w:pos="340"/>
          <w:tab w:val="clear" w:pos="567"/>
        </w:tabs>
        <w:spacing w:after="0" w:line="360" w:lineRule="auto"/>
        <w:ind w:left="0" w:firstLine="0"/>
        <w:rPr>
          <w:rFonts w:cs="Arial"/>
          <w:color w:val="000000"/>
          <w:sz w:val="24"/>
          <w:szCs w:val="24"/>
        </w:rPr>
      </w:pPr>
      <w:r>
        <w:rPr>
          <w:rFonts w:cs="Arial"/>
          <w:color w:val="000000"/>
          <w:sz w:val="24"/>
          <w:szCs w:val="24"/>
        </w:rPr>
        <w:t>In my view, it was open to the second defendant, h</w:t>
      </w:r>
      <w:r w:rsidR="006E68E0">
        <w:rPr>
          <w:rFonts w:cs="Arial"/>
          <w:color w:val="000000"/>
          <w:sz w:val="24"/>
          <w:szCs w:val="24"/>
        </w:rPr>
        <w:t xml:space="preserve">aving perused the </w:t>
      </w:r>
      <w:r>
        <w:rPr>
          <w:rFonts w:cs="Arial"/>
          <w:color w:val="000000"/>
          <w:sz w:val="24"/>
          <w:szCs w:val="24"/>
        </w:rPr>
        <w:t xml:space="preserve">lease agreement, </w:t>
      </w:r>
      <w:r w:rsidR="006E68E0">
        <w:rPr>
          <w:rFonts w:cs="Arial"/>
          <w:sz w:val="24"/>
          <w:szCs w:val="24"/>
        </w:rPr>
        <w:t xml:space="preserve">to delete the </w:t>
      </w:r>
      <w:r>
        <w:rPr>
          <w:rFonts w:cs="Arial"/>
          <w:sz w:val="24"/>
          <w:szCs w:val="24"/>
        </w:rPr>
        <w:t>guarantee</w:t>
      </w:r>
      <w:r w:rsidR="006E68E0">
        <w:rPr>
          <w:rFonts w:cs="Arial"/>
          <w:sz w:val="24"/>
          <w:szCs w:val="24"/>
        </w:rPr>
        <w:t xml:space="preserve"> clause if </w:t>
      </w:r>
      <w:r>
        <w:rPr>
          <w:rFonts w:cs="Arial"/>
          <w:sz w:val="24"/>
          <w:szCs w:val="24"/>
        </w:rPr>
        <w:t>he</w:t>
      </w:r>
      <w:r w:rsidR="006E68E0">
        <w:rPr>
          <w:rFonts w:cs="Arial"/>
          <w:sz w:val="24"/>
          <w:szCs w:val="24"/>
        </w:rPr>
        <w:t xml:space="preserve"> </w:t>
      </w:r>
      <w:r>
        <w:rPr>
          <w:rFonts w:cs="Arial"/>
          <w:sz w:val="24"/>
          <w:szCs w:val="24"/>
        </w:rPr>
        <w:t>was</w:t>
      </w:r>
      <w:r w:rsidR="006E68E0">
        <w:rPr>
          <w:rFonts w:cs="Arial"/>
          <w:sz w:val="24"/>
          <w:szCs w:val="24"/>
        </w:rPr>
        <w:t xml:space="preserve"> not amenable to its terms</w:t>
      </w:r>
      <w:r w:rsidR="006E68E0">
        <w:rPr>
          <w:rFonts w:cs="Arial"/>
          <w:color w:val="000000"/>
          <w:sz w:val="24"/>
          <w:szCs w:val="24"/>
        </w:rPr>
        <w:t xml:space="preserve"> or to make an appropriate endorsement at the foot of the document to signify </w:t>
      </w:r>
      <w:r w:rsidR="0005089E">
        <w:rPr>
          <w:rFonts w:cs="Arial"/>
          <w:color w:val="000000"/>
          <w:sz w:val="24"/>
          <w:szCs w:val="24"/>
        </w:rPr>
        <w:t>his</w:t>
      </w:r>
      <w:r w:rsidR="006E68E0">
        <w:rPr>
          <w:rFonts w:cs="Arial"/>
          <w:color w:val="000000"/>
          <w:sz w:val="24"/>
          <w:szCs w:val="24"/>
        </w:rPr>
        <w:t xml:space="preserve"> protestation.</w:t>
      </w:r>
      <w:r w:rsidR="006E68E0">
        <w:rPr>
          <w:rStyle w:val="FootnoteReference"/>
          <w:rFonts w:cs="Arial"/>
          <w:iCs/>
          <w:color w:val="000000"/>
          <w:sz w:val="24"/>
          <w:szCs w:val="24"/>
        </w:rPr>
        <w:footnoteReference w:id="3"/>
      </w:r>
      <w:r w:rsidR="006E68E0">
        <w:rPr>
          <w:rFonts w:cs="Arial"/>
          <w:sz w:val="24"/>
          <w:szCs w:val="24"/>
        </w:rPr>
        <w:t xml:space="preserve"> This </w:t>
      </w:r>
      <w:r>
        <w:rPr>
          <w:rFonts w:cs="Arial"/>
          <w:sz w:val="24"/>
          <w:szCs w:val="24"/>
        </w:rPr>
        <w:t>he</w:t>
      </w:r>
      <w:r w:rsidR="006E68E0">
        <w:rPr>
          <w:rFonts w:cs="Arial"/>
          <w:sz w:val="24"/>
          <w:szCs w:val="24"/>
        </w:rPr>
        <w:t xml:space="preserve"> did not do. </w:t>
      </w:r>
      <w:r w:rsidR="006E68E0">
        <w:rPr>
          <w:rFonts w:cs="Arial"/>
          <w:color w:val="000000"/>
          <w:sz w:val="24"/>
          <w:szCs w:val="24"/>
        </w:rPr>
        <w:t xml:space="preserve">Whether </w:t>
      </w:r>
      <w:r>
        <w:rPr>
          <w:rFonts w:cs="Arial"/>
          <w:color w:val="000000"/>
          <w:sz w:val="24"/>
          <w:szCs w:val="24"/>
        </w:rPr>
        <w:t xml:space="preserve">the plaintiff </w:t>
      </w:r>
      <w:r w:rsidR="006E68E0">
        <w:rPr>
          <w:rFonts w:cs="Arial"/>
          <w:color w:val="000000"/>
          <w:sz w:val="24"/>
          <w:szCs w:val="24"/>
        </w:rPr>
        <w:t xml:space="preserve">brought the </w:t>
      </w:r>
      <w:r w:rsidR="0005089E">
        <w:rPr>
          <w:rFonts w:cs="Arial"/>
          <w:color w:val="000000"/>
          <w:sz w:val="24"/>
          <w:szCs w:val="24"/>
        </w:rPr>
        <w:t xml:space="preserve">guarantee </w:t>
      </w:r>
      <w:r w:rsidR="006E68E0">
        <w:rPr>
          <w:rFonts w:cs="Arial"/>
          <w:color w:val="000000"/>
          <w:sz w:val="24"/>
          <w:szCs w:val="24"/>
        </w:rPr>
        <w:t xml:space="preserve">clause to </w:t>
      </w:r>
      <w:r>
        <w:rPr>
          <w:rFonts w:cs="Arial"/>
          <w:color w:val="000000"/>
          <w:sz w:val="24"/>
          <w:szCs w:val="24"/>
        </w:rPr>
        <w:t>his</w:t>
      </w:r>
      <w:r w:rsidR="006E68E0">
        <w:rPr>
          <w:rFonts w:cs="Arial"/>
          <w:color w:val="000000"/>
          <w:sz w:val="24"/>
          <w:szCs w:val="24"/>
        </w:rPr>
        <w:t xml:space="preserve"> attention or not is of no consequence regard being had to the simplicity of the </w:t>
      </w:r>
      <w:r>
        <w:rPr>
          <w:rFonts w:cs="Arial"/>
          <w:color w:val="000000"/>
          <w:sz w:val="24"/>
          <w:szCs w:val="24"/>
        </w:rPr>
        <w:t>lease</w:t>
      </w:r>
      <w:r w:rsidR="006E68E0">
        <w:rPr>
          <w:rFonts w:cs="Arial"/>
          <w:color w:val="000000"/>
          <w:sz w:val="24"/>
          <w:szCs w:val="24"/>
        </w:rPr>
        <w:t xml:space="preserve"> agreement.</w:t>
      </w:r>
      <w:r w:rsidR="006E68E0">
        <w:rPr>
          <w:rStyle w:val="FootnoteReference"/>
          <w:rFonts w:cs="Arial"/>
          <w:sz w:val="24"/>
          <w:szCs w:val="24"/>
        </w:rPr>
        <w:t xml:space="preserve"> </w:t>
      </w:r>
      <w:r w:rsidR="006E68E0">
        <w:rPr>
          <w:rFonts w:cs="Arial"/>
          <w:sz w:val="24"/>
          <w:szCs w:val="24"/>
        </w:rPr>
        <w:t>In my view, t</w:t>
      </w:r>
      <w:r w:rsidR="006E68E0">
        <w:rPr>
          <w:rFonts w:cs="Arial"/>
          <w:color w:val="000000"/>
          <w:sz w:val="24"/>
          <w:szCs w:val="24"/>
        </w:rPr>
        <w:t xml:space="preserve">he duty to inform </w:t>
      </w:r>
      <w:r>
        <w:rPr>
          <w:rFonts w:cs="Arial"/>
          <w:sz w:val="24"/>
          <w:szCs w:val="24"/>
        </w:rPr>
        <w:t>the second defendant</w:t>
      </w:r>
      <w:r w:rsidR="006E68E0">
        <w:rPr>
          <w:rFonts w:cs="Arial"/>
          <w:sz w:val="24"/>
          <w:szCs w:val="24"/>
        </w:rPr>
        <w:t xml:space="preserve"> d</w:t>
      </w:r>
      <w:r w:rsidR="006E68E0">
        <w:rPr>
          <w:rFonts w:cs="Arial"/>
          <w:color w:val="000000"/>
          <w:sz w:val="24"/>
          <w:szCs w:val="24"/>
        </w:rPr>
        <w:t>id not arise.</w:t>
      </w:r>
      <w:r w:rsidR="006E68E0">
        <w:rPr>
          <w:rFonts w:cs="Arial"/>
          <w:sz w:val="24"/>
          <w:szCs w:val="24"/>
        </w:rPr>
        <w:t xml:space="preserve"> In </w:t>
      </w:r>
      <w:r w:rsidR="006E68E0">
        <w:rPr>
          <w:rFonts w:cs="Arial"/>
          <w:i/>
          <w:iCs/>
          <w:color w:val="000000"/>
          <w:sz w:val="24"/>
          <w:szCs w:val="24"/>
        </w:rPr>
        <w:t>Slip Knot Investments 777 (Pty) Ltd v Du Toit</w:t>
      </w:r>
      <w:r w:rsidR="006E68E0">
        <w:rPr>
          <w:rStyle w:val="FootnoteReference"/>
          <w:rFonts w:cs="Arial"/>
          <w:iCs/>
          <w:color w:val="000000"/>
          <w:sz w:val="24"/>
          <w:szCs w:val="24"/>
        </w:rPr>
        <w:footnoteReference w:id="4"/>
      </w:r>
      <w:r w:rsidR="006E68E0">
        <w:rPr>
          <w:rFonts w:cs="Arial"/>
          <w:color w:val="000000"/>
          <w:sz w:val="24"/>
          <w:szCs w:val="24"/>
        </w:rPr>
        <w:t xml:space="preserve"> it was held: </w:t>
      </w:r>
    </w:p>
    <w:p w:rsidR="006E68E0" w:rsidRPr="00DF49D0" w:rsidRDefault="006E68E0" w:rsidP="00DF49D0">
      <w:pPr>
        <w:pStyle w:val="FootnoteText"/>
        <w:tabs>
          <w:tab w:val="clear" w:pos="340"/>
        </w:tabs>
        <w:spacing w:after="120" w:line="360" w:lineRule="auto"/>
        <w:ind w:left="0" w:firstLine="0"/>
        <w:rPr>
          <w:rFonts w:cs="Arial"/>
          <w:sz w:val="22"/>
          <w:szCs w:val="22"/>
        </w:rPr>
      </w:pPr>
      <w:r w:rsidRPr="00DF49D0">
        <w:rPr>
          <w:rFonts w:cs="Arial"/>
          <w:color w:val="000000"/>
          <w:sz w:val="22"/>
          <w:szCs w:val="22"/>
        </w:rPr>
        <w:t>'A contracting party is generally not bound to inform the other party of the terms of the proposed agreement. He must do so, however, where there are terms that could not reasonably have been expected in the contract. The court below came to the conclusion that the suretyship was "hidden" in the bundle, and held that the respondent was in the circumstances entitled to assume that he was not personally implicated. </w:t>
      </w:r>
      <w:r w:rsidRPr="00DF49D0">
        <w:rPr>
          <w:rFonts w:cs="Arial"/>
          <w:iCs/>
          <w:color w:val="000000"/>
          <w:sz w:val="22"/>
          <w:szCs w:val="22"/>
        </w:rPr>
        <w:t>I can find nothing objectionable in the set of documents sent to the respondent. Even a cursory glance at them would have alerted the respondent that he was signing a deed of suretyship . . . Slip Knot was entitled to rely on the respondent's signature as a surety just as it was entitled to rely on his signature as a trustee.</w:t>
      </w:r>
      <w:r w:rsidRPr="00DF49D0">
        <w:rPr>
          <w:rFonts w:cs="Arial"/>
          <w:color w:val="000000"/>
          <w:sz w:val="22"/>
          <w:szCs w:val="22"/>
        </w:rPr>
        <w:t> The respondent relied entirely on what was conveyed to him by his nephew through Altro Potgieter. Slip Knot made no misrepresentation to him, and there is no suggestion on the respondent's papers that Slip Knot knew or ought, as a reasonable person, to have known of his mistake.'</w:t>
      </w:r>
    </w:p>
    <w:p w:rsidR="006E68E0" w:rsidRPr="00DF49D0" w:rsidRDefault="00DF49D0" w:rsidP="00DF49D0">
      <w:pPr>
        <w:pStyle w:val="ListParagraph"/>
        <w:numPr>
          <w:ilvl w:val="0"/>
          <w:numId w:val="10"/>
        </w:numPr>
        <w:tabs>
          <w:tab w:val="clear" w:pos="567"/>
        </w:tabs>
        <w:spacing w:after="120" w:line="360" w:lineRule="auto"/>
        <w:ind w:left="0" w:firstLine="0"/>
        <w:jc w:val="both"/>
        <w:rPr>
          <w:rFonts w:cs="Arial"/>
          <w:color w:val="000000"/>
        </w:rPr>
      </w:pPr>
      <w:r>
        <w:rPr>
          <w:rFonts w:cs="Arial"/>
        </w:rPr>
        <w:t xml:space="preserve">In my view, the second defendant has not demonstrated </w:t>
      </w:r>
      <w:r w:rsidR="006E68E0" w:rsidRPr="006E68E0">
        <w:rPr>
          <w:rFonts w:cs="Arial"/>
          <w:color w:val="000000"/>
        </w:rPr>
        <w:t xml:space="preserve">that </w:t>
      </w:r>
      <w:r>
        <w:rPr>
          <w:rFonts w:cs="Arial"/>
          <w:color w:val="000000"/>
        </w:rPr>
        <w:t>the plaintiff k</w:t>
      </w:r>
      <w:r w:rsidR="006E68E0" w:rsidRPr="006E68E0">
        <w:rPr>
          <w:rFonts w:cs="Arial"/>
          <w:color w:val="000000"/>
        </w:rPr>
        <w:t xml:space="preserve">new or ought to have reasonably known of </w:t>
      </w:r>
      <w:r>
        <w:rPr>
          <w:rFonts w:cs="Arial"/>
          <w:color w:val="000000"/>
        </w:rPr>
        <w:t>his</w:t>
      </w:r>
      <w:r w:rsidR="006E68E0" w:rsidRPr="006E68E0">
        <w:rPr>
          <w:rFonts w:cs="Arial"/>
          <w:color w:val="000000"/>
        </w:rPr>
        <w:t xml:space="preserve"> mistake</w:t>
      </w:r>
      <w:r>
        <w:rPr>
          <w:rFonts w:cs="Arial"/>
          <w:color w:val="000000"/>
        </w:rPr>
        <w:t>, if there was one.</w:t>
      </w:r>
      <w:r w:rsidR="006E68E0" w:rsidRPr="006E68E0">
        <w:rPr>
          <w:rFonts w:cs="Arial"/>
          <w:color w:val="000000"/>
        </w:rPr>
        <w:t xml:space="preserve"> </w:t>
      </w:r>
      <w:r>
        <w:rPr>
          <w:rFonts w:cs="Arial"/>
          <w:color w:val="000000"/>
        </w:rPr>
        <w:t xml:space="preserve">The plaintiff </w:t>
      </w:r>
      <w:r w:rsidR="006E68E0" w:rsidRPr="006E68E0">
        <w:rPr>
          <w:rFonts w:cs="Arial"/>
          <w:color w:val="000000"/>
        </w:rPr>
        <w:t xml:space="preserve">was entitled to rely on </w:t>
      </w:r>
      <w:r>
        <w:rPr>
          <w:rFonts w:cs="Arial"/>
          <w:color w:val="000000"/>
        </w:rPr>
        <w:t>the second defendant’s signature</w:t>
      </w:r>
      <w:r w:rsidR="006E68E0" w:rsidRPr="006E68E0">
        <w:rPr>
          <w:rFonts w:cs="Arial"/>
          <w:color w:val="000000"/>
        </w:rPr>
        <w:t xml:space="preserve"> as </w:t>
      </w:r>
      <w:r>
        <w:rPr>
          <w:rFonts w:cs="Arial"/>
          <w:color w:val="000000"/>
        </w:rPr>
        <w:t>guarantor</w:t>
      </w:r>
      <w:r w:rsidR="006E68E0" w:rsidRPr="006E68E0">
        <w:rPr>
          <w:rFonts w:cs="Arial"/>
          <w:color w:val="000000"/>
        </w:rPr>
        <w:t xml:space="preserve"> as it did on </w:t>
      </w:r>
      <w:r>
        <w:rPr>
          <w:rFonts w:cs="Arial"/>
          <w:color w:val="000000"/>
        </w:rPr>
        <w:t>his signature</w:t>
      </w:r>
      <w:r w:rsidR="006E68E0" w:rsidRPr="006E68E0">
        <w:rPr>
          <w:rFonts w:cs="Arial"/>
          <w:color w:val="000000"/>
        </w:rPr>
        <w:t xml:space="preserve"> as the representatives of </w:t>
      </w:r>
      <w:r>
        <w:rPr>
          <w:rFonts w:cs="Arial"/>
          <w:color w:val="000000"/>
        </w:rPr>
        <w:t>the first defendant</w:t>
      </w:r>
      <w:r w:rsidR="006E68E0" w:rsidRPr="006E68E0">
        <w:rPr>
          <w:rFonts w:cs="Arial"/>
          <w:color w:val="000000"/>
        </w:rPr>
        <w:t xml:space="preserve">. </w:t>
      </w:r>
      <w:r>
        <w:rPr>
          <w:rFonts w:cs="Arial"/>
        </w:rPr>
        <w:t xml:space="preserve">He </w:t>
      </w:r>
      <w:r w:rsidR="006E68E0" w:rsidRPr="006E68E0">
        <w:rPr>
          <w:rFonts w:cs="Arial"/>
        </w:rPr>
        <w:t xml:space="preserve">signed the </w:t>
      </w:r>
      <w:r>
        <w:rPr>
          <w:rFonts w:cs="Arial"/>
        </w:rPr>
        <w:t xml:space="preserve">guarantee </w:t>
      </w:r>
      <w:r w:rsidR="006E68E0" w:rsidRPr="006E68E0">
        <w:rPr>
          <w:rFonts w:cs="Arial"/>
        </w:rPr>
        <w:t xml:space="preserve">as a manifestation of </w:t>
      </w:r>
      <w:r>
        <w:rPr>
          <w:rFonts w:cs="Arial"/>
        </w:rPr>
        <w:t>his</w:t>
      </w:r>
      <w:r w:rsidR="006E68E0" w:rsidRPr="006E68E0">
        <w:rPr>
          <w:rFonts w:cs="Arial"/>
        </w:rPr>
        <w:t xml:space="preserve"> assent to it. </w:t>
      </w:r>
      <w:r>
        <w:rPr>
          <w:rFonts w:cs="Arial"/>
          <w:color w:val="000000"/>
        </w:rPr>
        <w:t xml:space="preserve">He is </w:t>
      </w:r>
      <w:r w:rsidR="006E68E0" w:rsidRPr="006E68E0">
        <w:rPr>
          <w:rFonts w:cs="Arial"/>
          <w:color w:val="000000"/>
        </w:rPr>
        <w:t>therefore bound as </w:t>
      </w:r>
      <w:bookmarkStart w:id="1" w:name="LPHit3"/>
      <w:bookmarkEnd w:id="1"/>
      <w:r>
        <w:rPr>
          <w:rFonts w:cs="Arial"/>
          <w:color w:val="000000"/>
        </w:rPr>
        <w:t xml:space="preserve">such. His </w:t>
      </w:r>
      <w:r w:rsidR="006E68E0" w:rsidRPr="00DF49D0">
        <w:rPr>
          <w:rFonts w:cs="Arial"/>
          <w:i/>
        </w:rPr>
        <w:t>iustus error</w:t>
      </w:r>
      <w:r>
        <w:rPr>
          <w:rFonts w:cs="Arial"/>
        </w:rPr>
        <w:t xml:space="preserve"> defence is not sustainable</w:t>
      </w:r>
      <w:r w:rsidR="006E68E0" w:rsidRPr="00DF49D0">
        <w:rPr>
          <w:rFonts w:cs="Arial"/>
        </w:rPr>
        <w:t>.</w:t>
      </w:r>
    </w:p>
    <w:p w:rsidR="00A235B0" w:rsidRDefault="00B03F0A" w:rsidP="006B4154">
      <w:pPr>
        <w:numPr>
          <w:ilvl w:val="0"/>
          <w:numId w:val="10"/>
        </w:numPr>
        <w:tabs>
          <w:tab w:val="clear" w:pos="567"/>
        </w:tabs>
        <w:spacing w:after="240" w:line="360" w:lineRule="auto"/>
        <w:ind w:left="0" w:firstLine="0"/>
        <w:jc w:val="both"/>
        <w:outlineLvl w:val="0"/>
      </w:pPr>
      <w:r w:rsidRPr="00B03F0A">
        <w:t xml:space="preserve">I am </w:t>
      </w:r>
      <w:r w:rsidR="00A235B0">
        <w:t xml:space="preserve">not </w:t>
      </w:r>
      <w:r w:rsidRPr="00B03F0A">
        <w:t xml:space="preserve">satisfied that in </w:t>
      </w:r>
      <w:r w:rsidR="00A235B0">
        <w:t xml:space="preserve">their </w:t>
      </w:r>
      <w:r w:rsidRPr="00B03F0A">
        <w:t>resisting affidavit the defendant</w:t>
      </w:r>
      <w:r w:rsidR="00A235B0">
        <w:t>s</w:t>
      </w:r>
      <w:r w:rsidRPr="00B03F0A">
        <w:t xml:space="preserve"> </w:t>
      </w:r>
      <w:r w:rsidR="00A235B0">
        <w:t>have</w:t>
      </w:r>
      <w:r w:rsidRPr="00B03F0A">
        <w:t xml:space="preserve"> demonstrated a </w:t>
      </w:r>
      <w:r w:rsidRPr="00B03F0A">
        <w:rPr>
          <w:i/>
        </w:rPr>
        <w:t>bona fide</w:t>
      </w:r>
      <w:r w:rsidRPr="00B03F0A">
        <w:t xml:space="preserve"> defence </w:t>
      </w:r>
      <w:r w:rsidR="00A235B0">
        <w:t>t</w:t>
      </w:r>
      <w:r w:rsidRPr="00B03F0A">
        <w:t>he plaintiff’s claim</w:t>
      </w:r>
      <w:r w:rsidR="00A235B0">
        <w:t>. Summary judgment should therefore be granted against the defendant</w:t>
      </w:r>
      <w:r w:rsidR="006B4154">
        <w:t>s</w:t>
      </w:r>
      <w:r w:rsidR="00A235B0">
        <w:t>.</w:t>
      </w:r>
    </w:p>
    <w:p w:rsidR="006B4154" w:rsidRPr="006B4154" w:rsidRDefault="006B4154" w:rsidP="006B4154">
      <w:pPr>
        <w:spacing w:after="120" w:line="360" w:lineRule="auto"/>
        <w:jc w:val="both"/>
        <w:outlineLvl w:val="0"/>
        <w:rPr>
          <w:b/>
        </w:rPr>
      </w:pPr>
      <w:r w:rsidRPr="006B4154">
        <w:rPr>
          <w:b/>
        </w:rPr>
        <w:t>Costs</w:t>
      </w:r>
    </w:p>
    <w:p w:rsidR="006B4154" w:rsidRPr="006B4154" w:rsidRDefault="006B4154" w:rsidP="006B4154">
      <w:pPr>
        <w:numPr>
          <w:ilvl w:val="0"/>
          <w:numId w:val="10"/>
        </w:numPr>
        <w:tabs>
          <w:tab w:val="clear" w:pos="567"/>
        </w:tabs>
        <w:spacing w:after="120" w:line="360" w:lineRule="auto"/>
        <w:ind w:left="0" w:firstLine="0"/>
        <w:jc w:val="both"/>
        <w:outlineLvl w:val="0"/>
      </w:pPr>
      <w:r w:rsidRPr="006B4154">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Pr="006B4154">
        <w:rPr>
          <w:rFonts w:cs="Arial"/>
          <w:i/>
        </w:rPr>
        <w:t>Myers v Abramson</w:t>
      </w:r>
      <w:r>
        <w:rPr>
          <w:rStyle w:val="FootnoteReference"/>
          <w:i/>
        </w:rPr>
        <w:footnoteReference w:id="5"/>
      </w:r>
      <w:r w:rsidRPr="006B4154">
        <w:rPr>
          <w:rFonts w:cs="Arial"/>
        </w:rPr>
        <w:t>.</w:t>
      </w:r>
    </w:p>
    <w:p w:rsidR="006B4154" w:rsidRPr="006B4154" w:rsidRDefault="006B4154" w:rsidP="006B4154">
      <w:pPr>
        <w:numPr>
          <w:ilvl w:val="0"/>
          <w:numId w:val="10"/>
        </w:numPr>
        <w:tabs>
          <w:tab w:val="clear" w:pos="567"/>
        </w:tabs>
        <w:spacing w:after="120" w:line="360" w:lineRule="auto"/>
        <w:ind w:left="0" w:firstLine="0"/>
        <w:jc w:val="both"/>
        <w:outlineLvl w:val="0"/>
      </w:pPr>
      <w:r w:rsidRPr="006B4154">
        <w:rPr>
          <w:rFonts w:cs="Arial"/>
        </w:rPr>
        <w:t>On first principles the plaintiff is entitled to his costs. It was</w:t>
      </w:r>
      <w:r>
        <w:rPr>
          <w:rFonts w:cs="Arial"/>
        </w:rPr>
        <w:t>,</w:t>
      </w:r>
      <w:r w:rsidRPr="006B4154">
        <w:rPr>
          <w:rFonts w:cs="Arial"/>
        </w:rPr>
        <w:t xml:space="preserve"> </w:t>
      </w:r>
      <w:r>
        <w:rPr>
          <w:rFonts w:cs="Arial"/>
        </w:rPr>
        <w:t xml:space="preserve">however, </w:t>
      </w:r>
      <w:r w:rsidRPr="006B4154">
        <w:rPr>
          <w:rFonts w:cs="Arial"/>
        </w:rPr>
        <w:t xml:space="preserve">argued on behalf of the defendants that the amount involved herein does not warrant the plaintiff having instituted the </w:t>
      </w:r>
      <w:r>
        <w:rPr>
          <w:rFonts w:cs="Arial"/>
        </w:rPr>
        <w:t>action in the High Court as the claim falls squarely within the monetary jurisdiction of the Magistrates Court. The plaintiff should therefore be awarded costs, so the defendants argue, on the Magistrates C</w:t>
      </w:r>
      <w:r w:rsidR="00031C96">
        <w:rPr>
          <w:rFonts w:cs="Arial"/>
        </w:rPr>
        <w:t>ourt scale.</w:t>
      </w:r>
    </w:p>
    <w:p w:rsidR="006B4154" w:rsidRPr="006B4154" w:rsidRDefault="00031C96" w:rsidP="006B4154">
      <w:pPr>
        <w:numPr>
          <w:ilvl w:val="0"/>
          <w:numId w:val="10"/>
        </w:numPr>
        <w:tabs>
          <w:tab w:val="clear" w:pos="567"/>
        </w:tabs>
        <w:spacing w:after="120" w:line="360" w:lineRule="auto"/>
        <w:ind w:left="0" w:firstLine="0"/>
        <w:jc w:val="both"/>
        <w:outlineLvl w:val="0"/>
      </w:pPr>
      <w:r>
        <w:rPr>
          <w:rFonts w:cs="Arial"/>
        </w:rPr>
        <w:t xml:space="preserve">The flipside of the coin is that the agreement provides that the plaintiff, in the event of it instituting legal action against the defendants, are entitled to costs on the scale as between attorney and own client. </w:t>
      </w:r>
    </w:p>
    <w:p w:rsidR="006B4154" w:rsidRDefault="00031C96" w:rsidP="006B4154">
      <w:pPr>
        <w:numPr>
          <w:ilvl w:val="0"/>
          <w:numId w:val="29"/>
        </w:numPr>
        <w:suppressAutoHyphens w:val="0"/>
        <w:autoSpaceDE w:val="0"/>
        <w:autoSpaceDN w:val="0"/>
        <w:adjustRightInd w:val="0"/>
        <w:spacing w:after="240" w:line="360" w:lineRule="auto"/>
        <w:ind w:left="0" w:firstLine="0"/>
        <w:jc w:val="both"/>
        <w:rPr>
          <w:rFonts w:cs="Arial"/>
        </w:rPr>
      </w:pPr>
      <w:r>
        <w:rPr>
          <w:rFonts w:cs="Arial"/>
        </w:rPr>
        <w:t xml:space="preserve">All things considered, </w:t>
      </w:r>
      <w:r w:rsidR="006B4154">
        <w:rPr>
          <w:rFonts w:cs="Arial"/>
        </w:rPr>
        <w:t xml:space="preserve">I am of the view that </w:t>
      </w:r>
      <w:r>
        <w:rPr>
          <w:rFonts w:cs="Arial"/>
        </w:rPr>
        <w:t xml:space="preserve">an </w:t>
      </w:r>
      <w:r w:rsidR="006B4154">
        <w:rPr>
          <w:rFonts w:cs="Arial"/>
        </w:rPr>
        <w:t xml:space="preserve">order </w:t>
      </w:r>
      <w:r>
        <w:rPr>
          <w:rFonts w:cs="Arial"/>
        </w:rPr>
        <w:t xml:space="preserve">on the High Court Scale as between party and party, </w:t>
      </w:r>
      <w:r w:rsidR="006B4154">
        <w:rPr>
          <w:rFonts w:cs="Arial"/>
        </w:rPr>
        <w:t xml:space="preserve">shall be fair, reasonable and just to all concerned. Therefore, in the exercise of my discretion I intend granting </w:t>
      </w:r>
      <w:r>
        <w:rPr>
          <w:rFonts w:cs="Arial"/>
        </w:rPr>
        <w:t>such an</w:t>
      </w:r>
      <w:r w:rsidR="006B4154">
        <w:rPr>
          <w:rFonts w:cs="Arial"/>
        </w:rPr>
        <w:t xml:space="preserve"> order.</w:t>
      </w:r>
    </w:p>
    <w:p w:rsidR="00B03F0A" w:rsidRPr="00451B41" w:rsidRDefault="00B03F0A" w:rsidP="00031C96">
      <w:pPr>
        <w:spacing w:after="120" w:line="360" w:lineRule="auto"/>
        <w:jc w:val="both"/>
        <w:outlineLvl w:val="0"/>
      </w:pPr>
      <w:r w:rsidRPr="00451B41">
        <w:rPr>
          <w:b/>
          <w:lang w:val="en-ZA" w:eastAsia="en-US"/>
        </w:rPr>
        <w:t>Order</w:t>
      </w:r>
    </w:p>
    <w:p w:rsidR="00451B41" w:rsidRPr="00451B41" w:rsidRDefault="00451B41" w:rsidP="00451B41">
      <w:pPr>
        <w:numPr>
          <w:ilvl w:val="0"/>
          <w:numId w:val="10"/>
        </w:numPr>
        <w:tabs>
          <w:tab w:val="clear" w:pos="567"/>
        </w:tabs>
        <w:spacing w:after="120" w:line="360" w:lineRule="auto"/>
        <w:ind w:left="0" w:firstLine="0"/>
        <w:jc w:val="both"/>
        <w:outlineLvl w:val="0"/>
      </w:pPr>
      <w:r w:rsidRPr="00451B41">
        <w:t>Accordingly, I make the following order: -</w:t>
      </w:r>
    </w:p>
    <w:p w:rsidR="00451B41" w:rsidRPr="00451B41" w:rsidRDefault="00451B41" w:rsidP="00451B41">
      <w:pPr>
        <w:numPr>
          <w:ilvl w:val="0"/>
          <w:numId w:val="27"/>
        </w:numPr>
        <w:spacing w:after="120" w:line="360" w:lineRule="auto"/>
        <w:ind w:hanging="720"/>
        <w:jc w:val="both"/>
        <w:outlineLvl w:val="0"/>
      </w:pPr>
      <w:r>
        <w:rPr>
          <w:rFonts w:eastAsia="Times" w:cs="Arial"/>
          <w:lang w:val="en-ZA"/>
        </w:rPr>
        <w:t xml:space="preserve">Summary </w:t>
      </w:r>
      <w:r w:rsidRPr="00451B41">
        <w:rPr>
          <w:rFonts w:eastAsia="Times" w:cs="Arial"/>
          <w:lang w:val="en-ZA"/>
        </w:rPr>
        <w:t xml:space="preserve">Judgment is granted </w:t>
      </w:r>
      <w:r>
        <w:rPr>
          <w:rFonts w:eastAsia="Times" w:cs="Arial"/>
          <w:lang w:val="en-ZA"/>
        </w:rPr>
        <w:t xml:space="preserve">in favour of the plaintiff against the first and second defendants, jointly and severally, the one paying the </w:t>
      </w:r>
      <w:r w:rsidR="0005089E">
        <w:rPr>
          <w:rFonts w:eastAsia="Times" w:cs="Arial"/>
          <w:lang w:val="en-ZA"/>
        </w:rPr>
        <w:t xml:space="preserve">other to be absolved, </w:t>
      </w:r>
      <w:r w:rsidRPr="00451B41">
        <w:rPr>
          <w:rFonts w:eastAsia="Times" w:cs="Arial"/>
          <w:lang w:val="en-ZA"/>
        </w:rPr>
        <w:t>for:</w:t>
      </w:r>
    </w:p>
    <w:p w:rsidR="00610459" w:rsidRPr="00610459" w:rsidRDefault="00610459" w:rsidP="00610459">
      <w:pPr>
        <w:numPr>
          <w:ilvl w:val="0"/>
          <w:numId w:val="28"/>
        </w:numPr>
        <w:spacing w:after="120" w:line="360" w:lineRule="auto"/>
        <w:ind w:left="1080" w:hanging="720"/>
        <w:jc w:val="both"/>
        <w:outlineLvl w:val="0"/>
      </w:pPr>
      <w:r>
        <w:rPr>
          <w:rFonts w:eastAsia="Times" w:cs="Arial"/>
          <w:lang w:val="en-ZA"/>
        </w:rPr>
        <w:t>Payment of the amount of R204 320.97.</w:t>
      </w:r>
    </w:p>
    <w:p w:rsidR="00610459" w:rsidRPr="00610459" w:rsidRDefault="00610459" w:rsidP="00610459">
      <w:pPr>
        <w:numPr>
          <w:ilvl w:val="0"/>
          <w:numId w:val="28"/>
        </w:numPr>
        <w:spacing w:after="120" w:line="360" w:lineRule="auto"/>
        <w:ind w:left="1080" w:hanging="720"/>
        <w:jc w:val="both"/>
        <w:outlineLvl w:val="0"/>
      </w:pPr>
      <w:r>
        <w:t xml:space="preserve">Payment of </w:t>
      </w:r>
      <w:r w:rsidRPr="00610459">
        <w:rPr>
          <w:rFonts w:eastAsia="Times" w:cs="Arial"/>
          <w:lang w:val="en-ZA"/>
        </w:rPr>
        <w:t>interest</w:t>
      </w:r>
      <w:r>
        <w:rPr>
          <w:rFonts w:eastAsia="Times" w:cs="Arial"/>
          <w:lang w:val="en-ZA"/>
        </w:rPr>
        <w:t xml:space="preserve"> on the amount of R204 </w:t>
      </w:r>
      <w:r w:rsidRPr="00610459">
        <w:rPr>
          <w:rFonts w:eastAsia="Times" w:cs="Arial"/>
          <w:lang w:val="en-ZA"/>
        </w:rPr>
        <w:t xml:space="preserve">320.97 at the prevailing prime rate, as from time to time, plus 2% per </w:t>
      </w:r>
      <w:r w:rsidR="0005089E">
        <w:rPr>
          <w:rFonts w:eastAsia="Times" w:cs="Arial"/>
          <w:lang w:val="en-ZA"/>
        </w:rPr>
        <w:t>annum</w:t>
      </w:r>
      <w:r w:rsidRPr="00610459">
        <w:rPr>
          <w:rFonts w:eastAsia="Times" w:cs="Arial"/>
          <w:lang w:val="en-ZA"/>
        </w:rPr>
        <w:t xml:space="preserve">, calculated from due date (30 November </w:t>
      </w:r>
      <w:r>
        <w:rPr>
          <w:rFonts w:eastAsia="Times" w:cs="Arial"/>
          <w:lang w:val="en-ZA"/>
        </w:rPr>
        <w:t>2018) to date of actual payment.</w:t>
      </w:r>
    </w:p>
    <w:p w:rsidR="00610459" w:rsidRPr="00610459" w:rsidRDefault="00610459" w:rsidP="0005089E">
      <w:pPr>
        <w:numPr>
          <w:ilvl w:val="0"/>
          <w:numId w:val="28"/>
        </w:numPr>
        <w:spacing w:after="120" w:line="360" w:lineRule="auto"/>
        <w:ind w:left="1077" w:hanging="720"/>
        <w:jc w:val="both"/>
        <w:outlineLvl w:val="0"/>
      </w:pPr>
      <w:r w:rsidRPr="00610459">
        <w:rPr>
          <w:rFonts w:eastAsia="Times" w:cs="Arial"/>
          <w:lang w:val="en-ZA"/>
        </w:rPr>
        <w:t>Cost of suit</w:t>
      </w:r>
      <w:r>
        <w:rPr>
          <w:rFonts w:eastAsia="Times" w:cs="Arial"/>
          <w:lang w:val="en-ZA"/>
        </w:rPr>
        <w:t>.</w:t>
      </w:r>
    </w:p>
    <w:p w:rsidR="00C55B3C" w:rsidRDefault="00A43D08" w:rsidP="0005089E">
      <w:pPr>
        <w:pStyle w:val="ListParagraph"/>
        <w:keepNext/>
        <w:spacing w:before="840" w:line="360" w:lineRule="auto"/>
        <w:jc w:val="right"/>
        <w:rPr>
          <w:noProof/>
          <w:lang w:val="en-ZA" w:eastAsia="en-ZA"/>
        </w:rPr>
      </w:pPr>
      <w:r>
        <w:rPr>
          <w:noProof/>
          <w:lang w:val="en-ZA" w:eastAsia="en-ZA"/>
        </w:rPr>
        <w:t>________________________________</w:t>
      </w:r>
    </w:p>
    <w:p w:rsidR="00A43D08" w:rsidRPr="00C55B3C" w:rsidRDefault="00A43D08" w:rsidP="00173C18">
      <w:pPr>
        <w:pStyle w:val="ListParagraph"/>
        <w:keepNext/>
        <w:spacing w:line="360" w:lineRule="auto"/>
        <w:jc w:val="right"/>
        <w:rPr>
          <w:rFonts w:cs="Arial"/>
          <w:b/>
        </w:rPr>
      </w:pPr>
      <w:r>
        <w:rPr>
          <w:rFonts w:cs="Arial"/>
          <w:b/>
        </w:rPr>
        <w:t>L R ADAMS</w:t>
      </w:r>
    </w:p>
    <w:p w:rsidR="00C55B3C" w:rsidRPr="00C55B3C" w:rsidRDefault="00C55B3C" w:rsidP="00173C18">
      <w:pPr>
        <w:pStyle w:val="ListParagraph"/>
        <w:keepNext/>
        <w:spacing w:line="360" w:lineRule="auto"/>
        <w:jc w:val="right"/>
        <w:rPr>
          <w:rFonts w:cs="Arial"/>
          <w:i/>
        </w:rPr>
      </w:pPr>
      <w:r w:rsidRPr="00C55B3C">
        <w:rPr>
          <w:rFonts w:cs="Arial"/>
          <w:i/>
        </w:rPr>
        <w:t>Judge of the High Court</w:t>
      </w:r>
    </w:p>
    <w:p w:rsidR="00C55B3C" w:rsidRPr="00C55B3C" w:rsidRDefault="00C55B3C" w:rsidP="00AA38A9">
      <w:pPr>
        <w:pStyle w:val="ListParagraph"/>
        <w:spacing w:line="360" w:lineRule="auto"/>
        <w:jc w:val="right"/>
        <w:rPr>
          <w:rFonts w:cs="Arial"/>
          <w:i/>
        </w:rPr>
      </w:pPr>
      <w:r w:rsidRPr="00C55B3C">
        <w:rPr>
          <w:rFonts w:cs="Arial"/>
          <w:i/>
        </w:rPr>
        <w:t>Gauteng Local Division, Johannesburg</w:t>
      </w:r>
    </w:p>
    <w:p w:rsidR="00341D13" w:rsidRDefault="00341D13" w:rsidP="00AB1D43">
      <w:pPr>
        <w:pBdr>
          <w:bottom w:val="single" w:sz="6" w:space="1" w:color="auto"/>
        </w:pBdr>
        <w:spacing w:after="240"/>
        <w:rPr>
          <w:rFonts w:cs="Arial"/>
          <w:i/>
        </w:rPr>
      </w:pPr>
    </w:p>
    <w:tbl>
      <w:tblPr>
        <w:tblW w:w="0" w:type="auto"/>
        <w:tblLook w:val="04A0" w:firstRow="1" w:lastRow="0" w:firstColumn="1" w:lastColumn="0" w:noHBand="0" w:noVBand="1"/>
      </w:tblPr>
      <w:tblGrid>
        <w:gridCol w:w="4253"/>
        <w:gridCol w:w="4249"/>
      </w:tblGrid>
      <w:tr w:rsidR="00250C01" w:rsidTr="00240818">
        <w:tc>
          <w:tcPr>
            <w:tcW w:w="4253" w:type="dxa"/>
            <w:tcMar>
              <w:top w:w="32" w:type="dxa"/>
              <w:left w:w="108" w:type="dxa"/>
              <w:bottom w:w="32" w:type="dxa"/>
              <w:right w:w="108" w:type="dxa"/>
            </w:tcMar>
            <w:vAlign w:val="center"/>
            <w:hideMark/>
          </w:tcPr>
          <w:p w:rsidR="00250C01" w:rsidRDefault="00250C01" w:rsidP="00250C01">
            <w:pPr>
              <w:keepNext/>
              <w:spacing w:before="120" w:after="120" w:line="360" w:lineRule="auto"/>
              <w:rPr>
                <w:sz w:val="22"/>
                <w:szCs w:val="22"/>
                <w:lang w:eastAsia="en-US"/>
              </w:rPr>
            </w:pPr>
            <w:r>
              <w:t>HEARD ON: </w:t>
            </w:r>
          </w:p>
        </w:tc>
        <w:tc>
          <w:tcPr>
            <w:tcW w:w="4249" w:type="dxa"/>
            <w:tcMar>
              <w:top w:w="32" w:type="dxa"/>
              <w:left w:w="108" w:type="dxa"/>
              <w:bottom w:w="32" w:type="dxa"/>
              <w:right w:w="108" w:type="dxa"/>
            </w:tcMar>
            <w:vAlign w:val="center"/>
            <w:hideMark/>
          </w:tcPr>
          <w:p w:rsidR="00250C01" w:rsidRPr="007D27AD" w:rsidRDefault="00250C01" w:rsidP="00250C01">
            <w:pPr>
              <w:keepNext/>
              <w:spacing w:before="240" w:after="120" w:line="360" w:lineRule="auto"/>
              <w:ind w:left="-108"/>
              <w:jc w:val="both"/>
              <w:rPr>
                <w:sz w:val="22"/>
                <w:szCs w:val="22"/>
                <w:lang w:eastAsia="en-US"/>
              </w:rPr>
            </w:pPr>
            <w:r>
              <w:t>21</w:t>
            </w:r>
            <w:r w:rsidRPr="00250C01">
              <w:rPr>
                <w:vertAlign w:val="superscript"/>
              </w:rPr>
              <w:t>st</w:t>
            </w:r>
            <w:r>
              <w:t xml:space="preserve"> July 2021 – in a ‘virtual hearing’ during a videoconference on the </w:t>
            </w:r>
            <w:r w:rsidRPr="007503A6">
              <w:rPr>
                <w:i/>
              </w:rPr>
              <w:t>Microsoft Teams</w:t>
            </w:r>
            <w:r>
              <w:t xml:space="preserve"> digital platform</w:t>
            </w:r>
          </w:p>
        </w:tc>
      </w:tr>
      <w:tr w:rsidR="00250C01" w:rsidTr="00240818">
        <w:tc>
          <w:tcPr>
            <w:tcW w:w="4253" w:type="dxa"/>
            <w:tcMar>
              <w:top w:w="32" w:type="dxa"/>
              <w:left w:w="108" w:type="dxa"/>
              <w:bottom w:w="32" w:type="dxa"/>
              <w:right w:w="108" w:type="dxa"/>
            </w:tcMar>
            <w:vAlign w:val="center"/>
            <w:hideMark/>
          </w:tcPr>
          <w:p w:rsidR="00250C01" w:rsidRPr="00C627E6" w:rsidRDefault="00250C01" w:rsidP="00250C01">
            <w:pPr>
              <w:keepNext/>
              <w:spacing w:before="120" w:after="120" w:line="360" w:lineRule="auto"/>
            </w:pPr>
            <w:r>
              <w:t>JUDGMENT DATE:</w:t>
            </w:r>
          </w:p>
        </w:tc>
        <w:tc>
          <w:tcPr>
            <w:tcW w:w="4249" w:type="dxa"/>
            <w:tcMar>
              <w:top w:w="32" w:type="dxa"/>
              <w:left w:w="108" w:type="dxa"/>
              <w:bottom w:w="32" w:type="dxa"/>
              <w:right w:w="108" w:type="dxa"/>
            </w:tcMar>
            <w:vAlign w:val="center"/>
            <w:hideMark/>
          </w:tcPr>
          <w:p w:rsidR="00250C01" w:rsidRPr="007D27AD" w:rsidRDefault="00250C01" w:rsidP="00250C01">
            <w:pPr>
              <w:keepNext/>
              <w:spacing w:before="120" w:after="120" w:line="360" w:lineRule="auto"/>
              <w:ind w:left="-108"/>
              <w:jc w:val="both"/>
            </w:pPr>
            <w:r>
              <w:t>27</w:t>
            </w:r>
            <w:r w:rsidRPr="00250C01">
              <w:rPr>
                <w:vertAlign w:val="superscript"/>
              </w:rPr>
              <w:t>th</w:t>
            </w:r>
            <w:r>
              <w:t xml:space="preserve"> July</w:t>
            </w:r>
            <w:r w:rsidRPr="007D27AD">
              <w:t xml:space="preserve"> 20</w:t>
            </w:r>
            <w:r>
              <w:t>21 – judgment handed down electronically</w:t>
            </w:r>
          </w:p>
        </w:tc>
      </w:tr>
      <w:tr w:rsidR="00C627E6" w:rsidTr="00240818">
        <w:tc>
          <w:tcPr>
            <w:tcW w:w="4253" w:type="dxa"/>
            <w:tcMar>
              <w:top w:w="32" w:type="dxa"/>
              <w:left w:w="108" w:type="dxa"/>
              <w:bottom w:w="32" w:type="dxa"/>
              <w:right w:w="108" w:type="dxa"/>
            </w:tcMar>
            <w:vAlign w:val="center"/>
          </w:tcPr>
          <w:p w:rsidR="00C627E6" w:rsidRDefault="00C627E6" w:rsidP="00F40E5A">
            <w:pPr>
              <w:keepNext/>
              <w:spacing w:before="120" w:after="120" w:line="360" w:lineRule="auto"/>
            </w:pPr>
            <w:r w:rsidRPr="00C627E6">
              <w:t xml:space="preserve">FOR THE </w:t>
            </w:r>
            <w:r w:rsidR="00832A5E">
              <w:t>PLAINTIFF</w:t>
            </w:r>
            <w:r w:rsidRPr="00C627E6">
              <w:t>:</w:t>
            </w:r>
          </w:p>
        </w:tc>
        <w:tc>
          <w:tcPr>
            <w:tcW w:w="4249" w:type="dxa"/>
            <w:tcMar>
              <w:top w:w="32" w:type="dxa"/>
              <w:left w:w="108" w:type="dxa"/>
              <w:bottom w:w="32" w:type="dxa"/>
              <w:right w:w="108" w:type="dxa"/>
            </w:tcMar>
            <w:vAlign w:val="center"/>
          </w:tcPr>
          <w:p w:rsidR="00C627E6" w:rsidRDefault="00E53C1C" w:rsidP="00250C01">
            <w:pPr>
              <w:keepNext/>
              <w:spacing w:before="120" w:line="360" w:lineRule="auto"/>
            </w:pPr>
            <w:r>
              <w:t xml:space="preserve">Advocate </w:t>
            </w:r>
            <w:r w:rsidR="00250C01">
              <w:t>J G Dobie</w:t>
            </w:r>
            <w:r>
              <w:t xml:space="preserve"> </w:t>
            </w:r>
            <w:r w:rsidR="00B317A2">
              <w:t xml:space="preserve"> </w:t>
            </w:r>
          </w:p>
        </w:tc>
      </w:tr>
      <w:tr w:rsidR="002F15F5" w:rsidTr="00240818">
        <w:tc>
          <w:tcPr>
            <w:tcW w:w="4253" w:type="dxa"/>
            <w:tcMar>
              <w:top w:w="32" w:type="dxa"/>
              <w:left w:w="108" w:type="dxa"/>
              <w:bottom w:w="32" w:type="dxa"/>
              <w:right w:w="108" w:type="dxa"/>
            </w:tcMar>
            <w:vAlign w:val="center"/>
            <w:hideMark/>
          </w:tcPr>
          <w:p w:rsidR="002F15F5" w:rsidRDefault="002F15F5" w:rsidP="00F40E5A">
            <w:pPr>
              <w:keepNext/>
              <w:spacing w:before="120" w:after="120" w:line="360" w:lineRule="auto"/>
              <w:rPr>
                <w:sz w:val="22"/>
                <w:szCs w:val="22"/>
                <w:lang w:eastAsia="en-US"/>
              </w:rPr>
            </w:pPr>
            <w:r>
              <w:t>INSTRUCTED BY: </w:t>
            </w:r>
          </w:p>
        </w:tc>
        <w:tc>
          <w:tcPr>
            <w:tcW w:w="4249" w:type="dxa"/>
            <w:tcMar>
              <w:top w:w="32" w:type="dxa"/>
              <w:left w:w="108" w:type="dxa"/>
              <w:bottom w:w="32" w:type="dxa"/>
              <w:right w:w="108" w:type="dxa"/>
            </w:tcMar>
            <w:vAlign w:val="center"/>
            <w:hideMark/>
          </w:tcPr>
          <w:p w:rsidR="002F15F5" w:rsidRDefault="00250C01" w:rsidP="007D19E7">
            <w:pPr>
              <w:keepNext/>
              <w:spacing w:before="120" w:after="120" w:line="360" w:lineRule="auto"/>
              <w:rPr>
                <w:sz w:val="22"/>
                <w:szCs w:val="22"/>
                <w:lang w:eastAsia="en-US"/>
              </w:rPr>
            </w:pPr>
            <w:r>
              <w:t>Rooseboom Attorneys</w:t>
            </w:r>
            <w:r w:rsidR="00AA38A9">
              <w:t xml:space="preserve">, </w:t>
            </w:r>
            <w:r w:rsidR="00F40E5A">
              <w:t>Johannesburg</w:t>
            </w:r>
            <w:r w:rsidR="00AA38A9">
              <w:t xml:space="preserve"> </w:t>
            </w:r>
          </w:p>
        </w:tc>
      </w:tr>
      <w:tr w:rsidR="002F15F5" w:rsidTr="00240818">
        <w:tc>
          <w:tcPr>
            <w:tcW w:w="4253" w:type="dxa"/>
            <w:tcMar>
              <w:top w:w="32" w:type="dxa"/>
              <w:left w:w="108" w:type="dxa"/>
              <w:bottom w:w="32" w:type="dxa"/>
              <w:right w:w="108" w:type="dxa"/>
            </w:tcMar>
            <w:vAlign w:val="center"/>
            <w:hideMark/>
          </w:tcPr>
          <w:p w:rsidR="002F15F5" w:rsidRDefault="002F15F5" w:rsidP="00250C01">
            <w:pPr>
              <w:spacing w:before="120" w:after="120" w:line="360" w:lineRule="auto"/>
              <w:rPr>
                <w:sz w:val="22"/>
                <w:szCs w:val="22"/>
                <w:lang w:eastAsia="en-US"/>
              </w:rPr>
            </w:pPr>
            <w:r>
              <w:t xml:space="preserve">FOR THE </w:t>
            </w:r>
            <w:r w:rsidR="00250C01">
              <w:t xml:space="preserve">FIRST AND SECOND </w:t>
            </w:r>
            <w:r w:rsidR="00F40E5A">
              <w:t>DEFENDANT</w:t>
            </w:r>
            <w:r w:rsidR="00250C01">
              <w:t>S</w:t>
            </w:r>
            <w:r w:rsidR="00FE6700">
              <w:t>:</w:t>
            </w:r>
          </w:p>
        </w:tc>
        <w:tc>
          <w:tcPr>
            <w:tcW w:w="4249" w:type="dxa"/>
            <w:tcMar>
              <w:top w:w="32" w:type="dxa"/>
              <w:left w:w="108" w:type="dxa"/>
              <w:bottom w:w="32" w:type="dxa"/>
              <w:right w:w="108" w:type="dxa"/>
            </w:tcMar>
            <w:vAlign w:val="center"/>
            <w:hideMark/>
          </w:tcPr>
          <w:p w:rsidR="002F15F5" w:rsidRDefault="00D35082" w:rsidP="00250C01">
            <w:pPr>
              <w:spacing w:before="120" w:after="120" w:line="360" w:lineRule="auto"/>
              <w:rPr>
                <w:sz w:val="22"/>
                <w:szCs w:val="22"/>
                <w:lang w:eastAsia="en-US"/>
              </w:rPr>
            </w:pPr>
            <w:r>
              <w:t xml:space="preserve">Adv </w:t>
            </w:r>
            <w:r w:rsidR="00250C01">
              <w:t>H Van der Vyver</w:t>
            </w:r>
          </w:p>
        </w:tc>
      </w:tr>
      <w:tr w:rsidR="002F15F5" w:rsidTr="00240818">
        <w:tc>
          <w:tcPr>
            <w:tcW w:w="4253" w:type="dxa"/>
            <w:tcMar>
              <w:top w:w="32" w:type="dxa"/>
              <w:left w:w="108" w:type="dxa"/>
              <w:bottom w:w="32" w:type="dxa"/>
              <w:right w:w="108" w:type="dxa"/>
            </w:tcMar>
            <w:vAlign w:val="center"/>
            <w:hideMark/>
          </w:tcPr>
          <w:p w:rsidR="002F15F5" w:rsidRDefault="002F15F5" w:rsidP="00B74933">
            <w:pPr>
              <w:spacing w:before="120" w:line="360" w:lineRule="auto"/>
              <w:rPr>
                <w:sz w:val="22"/>
                <w:szCs w:val="22"/>
                <w:lang w:eastAsia="en-US"/>
              </w:rPr>
            </w:pPr>
            <w:r>
              <w:t>INSTRUCTED BY: </w:t>
            </w:r>
          </w:p>
        </w:tc>
        <w:tc>
          <w:tcPr>
            <w:tcW w:w="4249" w:type="dxa"/>
            <w:tcMar>
              <w:top w:w="32" w:type="dxa"/>
              <w:left w:w="108" w:type="dxa"/>
              <w:bottom w:w="32" w:type="dxa"/>
              <w:right w:w="108" w:type="dxa"/>
            </w:tcMar>
            <w:vAlign w:val="center"/>
            <w:hideMark/>
          </w:tcPr>
          <w:p w:rsidR="002F15F5" w:rsidRDefault="00250C01" w:rsidP="00B74933">
            <w:pPr>
              <w:spacing w:before="120" w:line="360" w:lineRule="auto"/>
              <w:rPr>
                <w:sz w:val="22"/>
                <w:szCs w:val="22"/>
                <w:lang w:eastAsia="en-US"/>
              </w:rPr>
            </w:pPr>
            <w:r>
              <w:t>Trevor Swartz Attorneys</w:t>
            </w:r>
            <w:r w:rsidR="00AA38A9">
              <w:t>, Johannesburg</w:t>
            </w:r>
          </w:p>
        </w:tc>
      </w:tr>
    </w:tbl>
    <w:p w:rsidR="002F15F5" w:rsidRPr="00D63801" w:rsidRDefault="002F15F5" w:rsidP="0005089E">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1B" w:rsidRDefault="0049781B">
      <w:pPr>
        <w:spacing w:line="20" w:lineRule="exact"/>
      </w:pPr>
    </w:p>
  </w:endnote>
  <w:endnote w:type="continuationSeparator" w:id="0">
    <w:p w:rsidR="0049781B" w:rsidRDefault="0049781B">
      <w:r>
        <w:t xml:space="preserve"> </w:t>
      </w:r>
    </w:p>
  </w:endnote>
  <w:endnote w:type="continuationNotice" w:id="1">
    <w:p w:rsidR="0049781B" w:rsidRDefault="004978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1B" w:rsidRDefault="0049781B">
      <w:r>
        <w:separator/>
      </w:r>
    </w:p>
  </w:footnote>
  <w:footnote w:type="continuationSeparator" w:id="0">
    <w:p w:rsidR="0049781B" w:rsidRDefault="0049781B">
      <w:r>
        <w:continuationSeparator/>
      </w:r>
    </w:p>
  </w:footnote>
  <w:footnote w:id="1">
    <w:p w:rsidR="00812E95" w:rsidRPr="008B4F0A" w:rsidRDefault="00812E95" w:rsidP="00812E95">
      <w:pPr>
        <w:pStyle w:val="FootnoteText"/>
        <w:rPr>
          <w:lang w:val="en-US"/>
        </w:rPr>
      </w:pPr>
      <w:r>
        <w:rPr>
          <w:rStyle w:val="FootnoteReference"/>
        </w:rPr>
        <w:footnoteRef/>
      </w:r>
      <w:r>
        <w:t xml:space="preserve"> </w:t>
      </w:r>
      <w:r>
        <w:rPr>
          <w:i/>
        </w:rPr>
        <w:t xml:space="preserve">Kurz v Ainhirn </w:t>
      </w:r>
      <w:r w:rsidRPr="008B4F0A">
        <w:t>1995 (2) SA 408 (D)</w:t>
      </w:r>
    </w:p>
  </w:footnote>
  <w:footnote w:id="2">
    <w:p w:rsidR="006E68E0" w:rsidRDefault="006E68E0" w:rsidP="0005089E">
      <w:pPr>
        <w:pStyle w:val="FootnoteText"/>
        <w:tabs>
          <w:tab w:val="clear" w:pos="340"/>
        </w:tabs>
      </w:pPr>
      <w:r>
        <w:rPr>
          <w:rStyle w:val="FootnoteReference"/>
          <w:rFonts w:cs="Arial"/>
        </w:rPr>
        <w:footnoteRef/>
      </w:r>
      <w:r>
        <w:rPr>
          <w:rFonts w:cs="Arial"/>
        </w:rPr>
        <w:t xml:space="preserve"> </w:t>
      </w:r>
      <w:r>
        <w:rPr>
          <w:rFonts w:cs="Arial"/>
          <w:i/>
          <w:iCs/>
          <w:color w:val="000000"/>
        </w:rPr>
        <w:t>Sonap Petroleum (SA) (Pty) Ltd (formerly known as Sonarep (SA) (Pty) Ltd) v Pappadogianis</w:t>
      </w:r>
      <w:r>
        <w:rPr>
          <w:rFonts w:cs="Arial"/>
          <w:color w:val="000000"/>
        </w:rPr>
        <w:t xml:space="preserve"> 1992 (3) SA 234 (A) at 119.</w:t>
      </w:r>
    </w:p>
  </w:footnote>
  <w:footnote w:id="3">
    <w:p w:rsidR="006E68E0" w:rsidRDefault="006E68E0" w:rsidP="006E68E0">
      <w:pPr>
        <w:pStyle w:val="FootnoteText"/>
      </w:pPr>
      <w:r>
        <w:rPr>
          <w:rStyle w:val="FootnoteReference"/>
          <w:rFonts w:cs="Arial"/>
        </w:rPr>
        <w:footnoteRef/>
      </w:r>
      <w:r>
        <w:rPr>
          <w:rFonts w:cs="Arial"/>
        </w:rPr>
        <w:t xml:space="preserve"> </w:t>
      </w:r>
      <w:r>
        <w:rPr>
          <w:rFonts w:cs="Arial"/>
          <w:i/>
          <w:iCs/>
          <w:color w:val="000000"/>
        </w:rPr>
        <w:t>Steenkamp v Webster</w:t>
      </w:r>
      <w:r>
        <w:rPr>
          <w:rFonts w:cs="Arial"/>
          <w:iCs/>
          <w:color w:val="000000"/>
        </w:rPr>
        <w:t xml:space="preserve"> fn 5 a</w:t>
      </w:r>
      <w:r>
        <w:rPr>
          <w:rFonts w:cs="Arial"/>
        </w:rPr>
        <w:t>t 529G-H.</w:t>
      </w:r>
    </w:p>
  </w:footnote>
  <w:footnote w:id="4">
    <w:p w:rsidR="006E68E0" w:rsidRDefault="006E68E0" w:rsidP="006E68E0">
      <w:pPr>
        <w:pStyle w:val="FootnoteText"/>
      </w:pPr>
      <w:r>
        <w:rPr>
          <w:rStyle w:val="FootnoteReference"/>
          <w:rFonts w:cs="Arial"/>
        </w:rPr>
        <w:footnoteRef/>
      </w:r>
      <w:r>
        <w:rPr>
          <w:rFonts w:cs="Arial"/>
        </w:rPr>
        <w:t xml:space="preserve"> </w:t>
      </w:r>
      <w:r>
        <w:rPr>
          <w:rFonts w:cs="Arial"/>
          <w:i/>
          <w:iCs/>
        </w:rPr>
        <w:t>Slip Knot Investments 777 (Pty) Ltd v Du Toit</w:t>
      </w:r>
      <w:r>
        <w:rPr>
          <w:rFonts w:cs="Arial"/>
        </w:rPr>
        <w:t xml:space="preserve"> [2011] ZASCA 34; </w:t>
      </w:r>
      <w:r>
        <w:rPr>
          <w:rFonts w:cs="Arial"/>
          <w:color w:val="000000"/>
        </w:rPr>
        <w:t>2011 (4) SA 72 (SCA) para 12.</w:t>
      </w:r>
    </w:p>
  </w:footnote>
  <w:footnote w:id="5">
    <w:p w:rsidR="006B4154" w:rsidRDefault="006B4154" w:rsidP="006B4154">
      <w:pPr>
        <w:pStyle w:val="FootnoteText"/>
      </w:pPr>
      <w:r>
        <w:rPr>
          <w:rStyle w:val="FootnoteReference"/>
        </w:rPr>
        <w:footnoteRef/>
      </w:r>
      <w:r>
        <w:t xml:space="preserve"> </w:t>
      </w:r>
      <w:r>
        <w:rPr>
          <w:rFonts w:cs="Arial"/>
          <w:i/>
        </w:rPr>
        <w:t>Myers v Abramson</w:t>
      </w:r>
      <w:r>
        <w:rPr>
          <w:rFonts w:cs="Arial"/>
        </w:rPr>
        <w:t>, 1951(3) SA 438 (C) at 455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F3" w:rsidRDefault="00BC5C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CF3" w:rsidRDefault="00BC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0283"/>
      <w:docPartObj>
        <w:docPartGallery w:val="Page Numbers (Top of Page)"/>
        <w:docPartUnique/>
      </w:docPartObj>
    </w:sdtPr>
    <w:sdtEndPr>
      <w:rPr>
        <w:noProof/>
      </w:rPr>
    </w:sdtEndPr>
    <w:sdtContent>
      <w:p w:rsidR="00BC5CF3" w:rsidRDefault="00BC5CF3">
        <w:pPr>
          <w:pStyle w:val="Header"/>
          <w:jc w:val="right"/>
        </w:pPr>
        <w:r>
          <w:fldChar w:fldCharType="begin"/>
        </w:r>
        <w:r>
          <w:instrText xml:space="preserve"> PAGE   \* MERGEFORMAT </w:instrText>
        </w:r>
        <w:r>
          <w:fldChar w:fldCharType="separate"/>
        </w:r>
        <w:r w:rsidR="00A43381">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F3" w:rsidRDefault="00BC5C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160" w:hanging="720"/>
      </w:pPr>
      <w:rPr>
        <w:rFonts w:cs="Times New Roman"/>
        <w:b w:val="0"/>
        <w:bCs w:val="0"/>
        <w:w w:val="100"/>
      </w:rPr>
    </w:lvl>
    <w:lvl w:ilvl="1">
      <w:numFmt w:val="bullet"/>
      <w:lvlText w:val="•"/>
      <w:lvlJc w:val="left"/>
      <w:pPr>
        <w:ind w:left="1112" w:hanging="720"/>
      </w:pPr>
    </w:lvl>
    <w:lvl w:ilvl="2">
      <w:numFmt w:val="bullet"/>
      <w:lvlText w:val="•"/>
      <w:lvlJc w:val="left"/>
      <w:pPr>
        <w:ind w:left="2064" w:hanging="720"/>
      </w:pPr>
    </w:lvl>
    <w:lvl w:ilvl="3">
      <w:numFmt w:val="bullet"/>
      <w:lvlText w:val="•"/>
      <w:lvlJc w:val="left"/>
      <w:pPr>
        <w:ind w:left="3016" w:hanging="720"/>
      </w:pPr>
    </w:lvl>
    <w:lvl w:ilvl="4">
      <w:numFmt w:val="bullet"/>
      <w:lvlText w:val="•"/>
      <w:lvlJc w:val="left"/>
      <w:pPr>
        <w:ind w:left="3968" w:hanging="720"/>
      </w:pPr>
    </w:lvl>
    <w:lvl w:ilvl="5">
      <w:numFmt w:val="bullet"/>
      <w:lvlText w:val="•"/>
      <w:lvlJc w:val="left"/>
      <w:pPr>
        <w:ind w:left="4920" w:hanging="720"/>
      </w:pPr>
    </w:lvl>
    <w:lvl w:ilvl="6">
      <w:numFmt w:val="bullet"/>
      <w:lvlText w:val="•"/>
      <w:lvlJc w:val="left"/>
      <w:pPr>
        <w:ind w:left="5872" w:hanging="720"/>
      </w:pPr>
    </w:lvl>
    <w:lvl w:ilvl="7">
      <w:numFmt w:val="bullet"/>
      <w:lvlText w:val="•"/>
      <w:lvlJc w:val="left"/>
      <w:pPr>
        <w:ind w:left="6824" w:hanging="720"/>
      </w:pPr>
    </w:lvl>
    <w:lvl w:ilvl="8">
      <w:numFmt w:val="bullet"/>
      <w:lvlText w:val="•"/>
      <w:lvlJc w:val="left"/>
      <w:pPr>
        <w:ind w:left="7776" w:hanging="720"/>
      </w:pPr>
    </w:lvl>
  </w:abstractNum>
  <w:abstractNum w:abstractNumId="1" w15:restartNumberingAfterBreak="0">
    <w:nsid w:val="06B20962"/>
    <w:multiLevelType w:val="hybridMultilevel"/>
    <w:tmpl w:val="FBEEA2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1308EE"/>
    <w:multiLevelType w:val="hybridMultilevel"/>
    <w:tmpl w:val="803E4BB4"/>
    <w:lvl w:ilvl="0" w:tplc="BAD88B78">
      <w:start w:val="1"/>
      <w:numFmt w:val="lowerLetter"/>
      <w:lvlText w:val="(%1)"/>
      <w:lvlJc w:val="left"/>
      <w:pPr>
        <w:ind w:left="720" w:hanging="360"/>
      </w:pPr>
      <w:rPr>
        <w:rFonts w:eastAsia="Time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32A7"/>
    <w:multiLevelType w:val="hybridMultilevel"/>
    <w:tmpl w:val="D3748D16"/>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F6940D3"/>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015775"/>
    <w:multiLevelType w:val="hybridMultilevel"/>
    <w:tmpl w:val="CABE6BD8"/>
    <w:lvl w:ilvl="0" w:tplc="DDDCD42A">
      <w:start w:val="1"/>
      <w:numFmt w:val="lowerLetter"/>
      <w:lvlText w:val="(%1)"/>
      <w:lvlJc w:val="left"/>
      <w:pPr>
        <w:ind w:left="720" w:hanging="360"/>
      </w:pPr>
      <w:rPr>
        <w:rFonts w:ascii="Arial" w:eastAsia="Times New Roman" w:hAnsi="Arial" w:cs="Times New Roman"/>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AF16834"/>
    <w:multiLevelType w:val="hybridMultilevel"/>
    <w:tmpl w:val="A36848CC"/>
    <w:lvl w:ilvl="0" w:tplc="37541D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63E68"/>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51C0287"/>
    <w:multiLevelType w:val="multilevel"/>
    <w:tmpl w:val="4E56CE8C"/>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4E2C24B5"/>
    <w:multiLevelType w:val="hybridMultilevel"/>
    <w:tmpl w:val="6B169596"/>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63C7116"/>
    <w:multiLevelType w:val="hybridMultilevel"/>
    <w:tmpl w:val="3C44892E"/>
    <w:lvl w:ilvl="0" w:tplc="3A120C26">
      <w:start w:val="1"/>
      <w:numFmt w:val="lowerLetter"/>
      <w:lvlText w:val="(%1)"/>
      <w:lvlJc w:val="left"/>
      <w:pPr>
        <w:ind w:left="720" w:hanging="360"/>
      </w:pPr>
      <w:rPr>
        <w:rFonts w:ascii="Arial" w:eastAsia="Times New Roman" w:hAnsi="Arial" w:cs="Times New Roman"/>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FE33ED"/>
    <w:multiLevelType w:val="hybridMultilevel"/>
    <w:tmpl w:val="F04C2422"/>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B8D05D6"/>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1C4405A"/>
    <w:multiLevelType w:val="multilevel"/>
    <w:tmpl w:val="F4D8AE4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6FF7435"/>
    <w:multiLevelType w:val="hybridMultilevel"/>
    <w:tmpl w:val="D8E6A0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3"/>
    <w:lvlOverride w:ilvl="0">
      <w:startOverride w:val="1"/>
    </w:lvlOverride>
  </w:num>
  <w:num w:numId="5">
    <w:abstractNumId w:val="2"/>
  </w:num>
  <w:num w:numId="6">
    <w:abstractNumId w:val="16"/>
  </w:num>
  <w:num w:numId="7">
    <w:abstractNumId w:val="21"/>
  </w:num>
  <w:num w:numId="8">
    <w:abstractNumId w:val="18"/>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0"/>
  </w:num>
  <w:num w:numId="15">
    <w:abstractNumId w:val="0"/>
  </w:num>
  <w:num w:numId="16">
    <w:abstractNumId w:val="7"/>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12"/>
  </w:num>
  <w:num w:numId="22">
    <w:abstractNumId w:val="8"/>
  </w:num>
  <w:num w:numId="23">
    <w:abstractNumId w:val="11"/>
    <w:lvlOverride w:ilvl="0">
      <w:startOverride w:val="4"/>
    </w:lvlOverride>
    <w:lvlOverride w:ilvl="1">
      <w:startOverride w:val="1"/>
    </w:lvlOverride>
    <w:lvlOverride w:ilvl="2">
      <w:startOverride w:val="3"/>
    </w:lvlOverride>
    <w:lvlOverride w:ilvl="3">
      <w:startOverride w:val="2"/>
    </w:lvlOverride>
  </w:num>
  <w:num w:numId="24">
    <w:abstractNumId w:val="11"/>
    <w:lvlOverride w:ilvl="0">
      <w:startOverride w:val="4"/>
    </w:lvlOverride>
    <w:lvlOverride w:ilvl="1">
      <w:startOverride w:val="2"/>
    </w:lvlOverride>
    <w:lvlOverride w:ilvl="2">
      <w:startOverride w:val="4"/>
    </w:lvlOverride>
  </w:num>
  <w:num w:numId="25">
    <w:abstractNumId w:val="11"/>
    <w:lvlOverride w:ilvl="0">
      <w:startOverride w:val="4"/>
    </w:lvlOverride>
    <w:lvlOverride w:ilvl="1">
      <w:startOverride w:val="2"/>
    </w:lvlOverride>
    <w:lvlOverride w:ilvl="2">
      <w:startOverride w:val="4"/>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
  </w:num>
  <w:num w:numId="2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F1C"/>
    <w:rsid w:val="00001A58"/>
    <w:rsid w:val="00001A89"/>
    <w:rsid w:val="00002455"/>
    <w:rsid w:val="000024F0"/>
    <w:rsid w:val="00003BAE"/>
    <w:rsid w:val="000041CD"/>
    <w:rsid w:val="00005D83"/>
    <w:rsid w:val="00006C41"/>
    <w:rsid w:val="0000770E"/>
    <w:rsid w:val="00007F86"/>
    <w:rsid w:val="00010637"/>
    <w:rsid w:val="0001179D"/>
    <w:rsid w:val="0001379D"/>
    <w:rsid w:val="000173A0"/>
    <w:rsid w:val="000217A4"/>
    <w:rsid w:val="00022C07"/>
    <w:rsid w:val="00022CE5"/>
    <w:rsid w:val="0002430F"/>
    <w:rsid w:val="00024861"/>
    <w:rsid w:val="00025F3F"/>
    <w:rsid w:val="0002728A"/>
    <w:rsid w:val="000275FC"/>
    <w:rsid w:val="0002792E"/>
    <w:rsid w:val="00027F68"/>
    <w:rsid w:val="000301C4"/>
    <w:rsid w:val="000315D8"/>
    <w:rsid w:val="000319BB"/>
    <w:rsid w:val="00031C96"/>
    <w:rsid w:val="0003241F"/>
    <w:rsid w:val="0003454F"/>
    <w:rsid w:val="00034EFC"/>
    <w:rsid w:val="00036BB0"/>
    <w:rsid w:val="00036CD5"/>
    <w:rsid w:val="00037F15"/>
    <w:rsid w:val="00040A77"/>
    <w:rsid w:val="0004105F"/>
    <w:rsid w:val="00041D6B"/>
    <w:rsid w:val="00044439"/>
    <w:rsid w:val="000445C8"/>
    <w:rsid w:val="0004474A"/>
    <w:rsid w:val="0004488E"/>
    <w:rsid w:val="0004588C"/>
    <w:rsid w:val="000462E1"/>
    <w:rsid w:val="00046699"/>
    <w:rsid w:val="000467B2"/>
    <w:rsid w:val="00047573"/>
    <w:rsid w:val="0005089E"/>
    <w:rsid w:val="00050EF5"/>
    <w:rsid w:val="00050FB2"/>
    <w:rsid w:val="00052DA4"/>
    <w:rsid w:val="00054970"/>
    <w:rsid w:val="00055CA8"/>
    <w:rsid w:val="00055E03"/>
    <w:rsid w:val="000600F8"/>
    <w:rsid w:val="00065CFF"/>
    <w:rsid w:val="00070D07"/>
    <w:rsid w:val="00071EDF"/>
    <w:rsid w:val="0007272F"/>
    <w:rsid w:val="00075A0A"/>
    <w:rsid w:val="00076D2A"/>
    <w:rsid w:val="00076EE7"/>
    <w:rsid w:val="00080618"/>
    <w:rsid w:val="000814F0"/>
    <w:rsid w:val="00081D5F"/>
    <w:rsid w:val="00082E05"/>
    <w:rsid w:val="000844E8"/>
    <w:rsid w:val="00086BE3"/>
    <w:rsid w:val="000905B3"/>
    <w:rsid w:val="00090E04"/>
    <w:rsid w:val="00090E9C"/>
    <w:rsid w:val="00090F50"/>
    <w:rsid w:val="00091FCE"/>
    <w:rsid w:val="00093F31"/>
    <w:rsid w:val="0009626A"/>
    <w:rsid w:val="0009689B"/>
    <w:rsid w:val="00096997"/>
    <w:rsid w:val="000A0A32"/>
    <w:rsid w:val="000A12C9"/>
    <w:rsid w:val="000A637C"/>
    <w:rsid w:val="000A64D0"/>
    <w:rsid w:val="000A779C"/>
    <w:rsid w:val="000A7A28"/>
    <w:rsid w:val="000A7BD4"/>
    <w:rsid w:val="000B14E3"/>
    <w:rsid w:val="000B2B7F"/>
    <w:rsid w:val="000B38D0"/>
    <w:rsid w:val="000B4222"/>
    <w:rsid w:val="000B4F47"/>
    <w:rsid w:val="000B53AD"/>
    <w:rsid w:val="000B5E4E"/>
    <w:rsid w:val="000B64EF"/>
    <w:rsid w:val="000C03D3"/>
    <w:rsid w:val="000C142D"/>
    <w:rsid w:val="000C2989"/>
    <w:rsid w:val="000C3AF7"/>
    <w:rsid w:val="000C6C30"/>
    <w:rsid w:val="000C6CD0"/>
    <w:rsid w:val="000C75C8"/>
    <w:rsid w:val="000D0AF6"/>
    <w:rsid w:val="000D3121"/>
    <w:rsid w:val="000D4EA4"/>
    <w:rsid w:val="000D5A72"/>
    <w:rsid w:val="000D5E2F"/>
    <w:rsid w:val="000D6C0E"/>
    <w:rsid w:val="000D7965"/>
    <w:rsid w:val="000E0159"/>
    <w:rsid w:val="000E01DD"/>
    <w:rsid w:val="000E1836"/>
    <w:rsid w:val="000E2107"/>
    <w:rsid w:val="000E398A"/>
    <w:rsid w:val="000E3A95"/>
    <w:rsid w:val="000E3AAB"/>
    <w:rsid w:val="000E54EA"/>
    <w:rsid w:val="000E7536"/>
    <w:rsid w:val="000E777B"/>
    <w:rsid w:val="000E7BDD"/>
    <w:rsid w:val="000F0A98"/>
    <w:rsid w:val="000F0DCE"/>
    <w:rsid w:val="000F0F69"/>
    <w:rsid w:val="000F1A69"/>
    <w:rsid w:val="000F3421"/>
    <w:rsid w:val="000F3B88"/>
    <w:rsid w:val="000F3E77"/>
    <w:rsid w:val="000F546B"/>
    <w:rsid w:val="000F580C"/>
    <w:rsid w:val="000F6192"/>
    <w:rsid w:val="000F6670"/>
    <w:rsid w:val="0010163F"/>
    <w:rsid w:val="00104B49"/>
    <w:rsid w:val="00105056"/>
    <w:rsid w:val="00105D82"/>
    <w:rsid w:val="001068F2"/>
    <w:rsid w:val="00106C97"/>
    <w:rsid w:val="00107F9B"/>
    <w:rsid w:val="00112284"/>
    <w:rsid w:val="00112BE9"/>
    <w:rsid w:val="00113E53"/>
    <w:rsid w:val="0011424F"/>
    <w:rsid w:val="00114D0F"/>
    <w:rsid w:val="00114F15"/>
    <w:rsid w:val="00116135"/>
    <w:rsid w:val="00116675"/>
    <w:rsid w:val="00116EF2"/>
    <w:rsid w:val="00117191"/>
    <w:rsid w:val="001171EE"/>
    <w:rsid w:val="0012110A"/>
    <w:rsid w:val="001218BA"/>
    <w:rsid w:val="00121C6E"/>
    <w:rsid w:val="0012276A"/>
    <w:rsid w:val="00122A8A"/>
    <w:rsid w:val="00123FBA"/>
    <w:rsid w:val="00124452"/>
    <w:rsid w:val="00124B7A"/>
    <w:rsid w:val="00126001"/>
    <w:rsid w:val="00126288"/>
    <w:rsid w:val="00127394"/>
    <w:rsid w:val="00130FE0"/>
    <w:rsid w:val="001325AC"/>
    <w:rsid w:val="00133572"/>
    <w:rsid w:val="0013390C"/>
    <w:rsid w:val="00134332"/>
    <w:rsid w:val="0013482F"/>
    <w:rsid w:val="001358D0"/>
    <w:rsid w:val="00140558"/>
    <w:rsid w:val="0014119D"/>
    <w:rsid w:val="001416FB"/>
    <w:rsid w:val="00141CB6"/>
    <w:rsid w:val="00143175"/>
    <w:rsid w:val="00143EBB"/>
    <w:rsid w:val="00145DD9"/>
    <w:rsid w:val="00146288"/>
    <w:rsid w:val="001462A5"/>
    <w:rsid w:val="00152C26"/>
    <w:rsid w:val="00153684"/>
    <w:rsid w:val="0016029A"/>
    <w:rsid w:val="00160706"/>
    <w:rsid w:val="00160DA1"/>
    <w:rsid w:val="00160E8B"/>
    <w:rsid w:val="00161EB4"/>
    <w:rsid w:val="00161FC2"/>
    <w:rsid w:val="001628F3"/>
    <w:rsid w:val="00162E7D"/>
    <w:rsid w:val="00163C01"/>
    <w:rsid w:val="00164FDF"/>
    <w:rsid w:val="00165035"/>
    <w:rsid w:val="00165357"/>
    <w:rsid w:val="00165D11"/>
    <w:rsid w:val="0016658A"/>
    <w:rsid w:val="0017140C"/>
    <w:rsid w:val="00171416"/>
    <w:rsid w:val="00172D07"/>
    <w:rsid w:val="001730A8"/>
    <w:rsid w:val="00173C18"/>
    <w:rsid w:val="00173FD2"/>
    <w:rsid w:val="00174567"/>
    <w:rsid w:val="001745DB"/>
    <w:rsid w:val="001773CD"/>
    <w:rsid w:val="00177C74"/>
    <w:rsid w:val="0018024F"/>
    <w:rsid w:val="00180970"/>
    <w:rsid w:val="00180A33"/>
    <w:rsid w:val="00182A17"/>
    <w:rsid w:val="00183726"/>
    <w:rsid w:val="00185055"/>
    <w:rsid w:val="00185150"/>
    <w:rsid w:val="001876B5"/>
    <w:rsid w:val="0019053A"/>
    <w:rsid w:val="00190980"/>
    <w:rsid w:val="001913C3"/>
    <w:rsid w:val="00191957"/>
    <w:rsid w:val="00191B2B"/>
    <w:rsid w:val="00192037"/>
    <w:rsid w:val="001927D7"/>
    <w:rsid w:val="001928BF"/>
    <w:rsid w:val="00193988"/>
    <w:rsid w:val="00193CB8"/>
    <w:rsid w:val="0019694E"/>
    <w:rsid w:val="00196C48"/>
    <w:rsid w:val="001970BD"/>
    <w:rsid w:val="001A0D29"/>
    <w:rsid w:val="001A12CD"/>
    <w:rsid w:val="001A2240"/>
    <w:rsid w:val="001A273D"/>
    <w:rsid w:val="001A291F"/>
    <w:rsid w:val="001A440F"/>
    <w:rsid w:val="001A4F07"/>
    <w:rsid w:val="001A6DB9"/>
    <w:rsid w:val="001A7168"/>
    <w:rsid w:val="001B016E"/>
    <w:rsid w:val="001B030C"/>
    <w:rsid w:val="001B04D1"/>
    <w:rsid w:val="001B0615"/>
    <w:rsid w:val="001B19B0"/>
    <w:rsid w:val="001B2D32"/>
    <w:rsid w:val="001B2F01"/>
    <w:rsid w:val="001B6A1B"/>
    <w:rsid w:val="001B74DD"/>
    <w:rsid w:val="001B762A"/>
    <w:rsid w:val="001B76E0"/>
    <w:rsid w:val="001C0074"/>
    <w:rsid w:val="001C086A"/>
    <w:rsid w:val="001C0A0D"/>
    <w:rsid w:val="001C2344"/>
    <w:rsid w:val="001C29BA"/>
    <w:rsid w:val="001C34AD"/>
    <w:rsid w:val="001C4268"/>
    <w:rsid w:val="001C4284"/>
    <w:rsid w:val="001C4DAD"/>
    <w:rsid w:val="001C5257"/>
    <w:rsid w:val="001C5C3E"/>
    <w:rsid w:val="001C7045"/>
    <w:rsid w:val="001D17AE"/>
    <w:rsid w:val="001D32D6"/>
    <w:rsid w:val="001D3495"/>
    <w:rsid w:val="001D4936"/>
    <w:rsid w:val="001D49D6"/>
    <w:rsid w:val="001D5D9C"/>
    <w:rsid w:val="001D6ACD"/>
    <w:rsid w:val="001D79C6"/>
    <w:rsid w:val="001E04C6"/>
    <w:rsid w:val="001E0F59"/>
    <w:rsid w:val="001E15CA"/>
    <w:rsid w:val="001E19E6"/>
    <w:rsid w:val="001E1E02"/>
    <w:rsid w:val="001E32CB"/>
    <w:rsid w:val="001E3948"/>
    <w:rsid w:val="001E3ED0"/>
    <w:rsid w:val="001E4304"/>
    <w:rsid w:val="001E4AA1"/>
    <w:rsid w:val="001E534D"/>
    <w:rsid w:val="001E6837"/>
    <w:rsid w:val="001E7C51"/>
    <w:rsid w:val="001F1E80"/>
    <w:rsid w:val="001F2460"/>
    <w:rsid w:val="001F2585"/>
    <w:rsid w:val="001F340D"/>
    <w:rsid w:val="001F3695"/>
    <w:rsid w:val="001F4049"/>
    <w:rsid w:val="001F57B4"/>
    <w:rsid w:val="001F581D"/>
    <w:rsid w:val="001F654D"/>
    <w:rsid w:val="001F6D44"/>
    <w:rsid w:val="001F78C4"/>
    <w:rsid w:val="001F7AC8"/>
    <w:rsid w:val="00200F5C"/>
    <w:rsid w:val="002027EC"/>
    <w:rsid w:val="00202AB1"/>
    <w:rsid w:val="00205865"/>
    <w:rsid w:val="00206218"/>
    <w:rsid w:val="0020664E"/>
    <w:rsid w:val="002100E1"/>
    <w:rsid w:val="00210E02"/>
    <w:rsid w:val="00211645"/>
    <w:rsid w:val="00211B96"/>
    <w:rsid w:val="0021225B"/>
    <w:rsid w:val="00212FA8"/>
    <w:rsid w:val="00213B9F"/>
    <w:rsid w:val="00213F40"/>
    <w:rsid w:val="002142E0"/>
    <w:rsid w:val="00214522"/>
    <w:rsid w:val="00214E3A"/>
    <w:rsid w:val="0021531D"/>
    <w:rsid w:val="00215DB3"/>
    <w:rsid w:val="00216346"/>
    <w:rsid w:val="00217BDD"/>
    <w:rsid w:val="00217EFC"/>
    <w:rsid w:val="00220F12"/>
    <w:rsid w:val="00222D4A"/>
    <w:rsid w:val="00224B09"/>
    <w:rsid w:val="00224EDB"/>
    <w:rsid w:val="00227F9F"/>
    <w:rsid w:val="00230307"/>
    <w:rsid w:val="00230DF6"/>
    <w:rsid w:val="00231436"/>
    <w:rsid w:val="002316E7"/>
    <w:rsid w:val="00232075"/>
    <w:rsid w:val="002320B2"/>
    <w:rsid w:val="002327C9"/>
    <w:rsid w:val="00232D4F"/>
    <w:rsid w:val="002331E9"/>
    <w:rsid w:val="00233A6E"/>
    <w:rsid w:val="00235443"/>
    <w:rsid w:val="00235EBC"/>
    <w:rsid w:val="002401E1"/>
    <w:rsid w:val="00240818"/>
    <w:rsid w:val="00241CCE"/>
    <w:rsid w:val="00243E66"/>
    <w:rsid w:val="00245057"/>
    <w:rsid w:val="00247E96"/>
    <w:rsid w:val="00250304"/>
    <w:rsid w:val="00250C01"/>
    <w:rsid w:val="0025141A"/>
    <w:rsid w:val="002515D4"/>
    <w:rsid w:val="0025160C"/>
    <w:rsid w:val="00251625"/>
    <w:rsid w:val="00251C3E"/>
    <w:rsid w:val="00252153"/>
    <w:rsid w:val="0025230A"/>
    <w:rsid w:val="00254299"/>
    <w:rsid w:val="002542EF"/>
    <w:rsid w:val="002568F1"/>
    <w:rsid w:val="00257B4D"/>
    <w:rsid w:val="00257D52"/>
    <w:rsid w:val="00257DCC"/>
    <w:rsid w:val="00260B86"/>
    <w:rsid w:val="00261646"/>
    <w:rsid w:val="002616F6"/>
    <w:rsid w:val="0026226E"/>
    <w:rsid w:val="0026313D"/>
    <w:rsid w:val="0026330F"/>
    <w:rsid w:val="00263926"/>
    <w:rsid w:val="00264161"/>
    <w:rsid w:val="00264957"/>
    <w:rsid w:val="00265504"/>
    <w:rsid w:val="00265EF1"/>
    <w:rsid w:val="002671D8"/>
    <w:rsid w:val="00267564"/>
    <w:rsid w:val="00271071"/>
    <w:rsid w:val="00272260"/>
    <w:rsid w:val="002745FA"/>
    <w:rsid w:val="00275F90"/>
    <w:rsid w:val="00276720"/>
    <w:rsid w:val="00277660"/>
    <w:rsid w:val="002811CA"/>
    <w:rsid w:val="002819F8"/>
    <w:rsid w:val="00284751"/>
    <w:rsid w:val="002855DF"/>
    <w:rsid w:val="00286241"/>
    <w:rsid w:val="00286772"/>
    <w:rsid w:val="00286F5F"/>
    <w:rsid w:val="002870F1"/>
    <w:rsid w:val="00291414"/>
    <w:rsid w:val="002920DC"/>
    <w:rsid w:val="002924E6"/>
    <w:rsid w:val="0029256C"/>
    <w:rsid w:val="0029284F"/>
    <w:rsid w:val="00293950"/>
    <w:rsid w:val="002964E7"/>
    <w:rsid w:val="00297970"/>
    <w:rsid w:val="002A05A3"/>
    <w:rsid w:val="002A13C6"/>
    <w:rsid w:val="002A2443"/>
    <w:rsid w:val="002A2A44"/>
    <w:rsid w:val="002A47E3"/>
    <w:rsid w:val="002A4952"/>
    <w:rsid w:val="002A4F9C"/>
    <w:rsid w:val="002A6000"/>
    <w:rsid w:val="002A64EC"/>
    <w:rsid w:val="002A7B19"/>
    <w:rsid w:val="002B0389"/>
    <w:rsid w:val="002B03FE"/>
    <w:rsid w:val="002B09E2"/>
    <w:rsid w:val="002B0F1B"/>
    <w:rsid w:val="002B1ABA"/>
    <w:rsid w:val="002B1DC8"/>
    <w:rsid w:val="002B29EF"/>
    <w:rsid w:val="002B2A59"/>
    <w:rsid w:val="002B2EFB"/>
    <w:rsid w:val="002B4740"/>
    <w:rsid w:val="002B5511"/>
    <w:rsid w:val="002B6B65"/>
    <w:rsid w:val="002B74C5"/>
    <w:rsid w:val="002C0FDD"/>
    <w:rsid w:val="002C15A4"/>
    <w:rsid w:val="002C29D7"/>
    <w:rsid w:val="002C4087"/>
    <w:rsid w:val="002C4B45"/>
    <w:rsid w:val="002C59AA"/>
    <w:rsid w:val="002C5A0D"/>
    <w:rsid w:val="002C62E8"/>
    <w:rsid w:val="002C672A"/>
    <w:rsid w:val="002C6BC7"/>
    <w:rsid w:val="002C6C29"/>
    <w:rsid w:val="002C75EB"/>
    <w:rsid w:val="002C7929"/>
    <w:rsid w:val="002C7E04"/>
    <w:rsid w:val="002D2125"/>
    <w:rsid w:val="002D2216"/>
    <w:rsid w:val="002D2AF4"/>
    <w:rsid w:val="002D3E08"/>
    <w:rsid w:val="002D5D72"/>
    <w:rsid w:val="002D67B3"/>
    <w:rsid w:val="002D693C"/>
    <w:rsid w:val="002D7081"/>
    <w:rsid w:val="002D79DE"/>
    <w:rsid w:val="002D7D86"/>
    <w:rsid w:val="002E0905"/>
    <w:rsid w:val="002E14D4"/>
    <w:rsid w:val="002E1CED"/>
    <w:rsid w:val="002E1D7A"/>
    <w:rsid w:val="002E23AE"/>
    <w:rsid w:val="002E2AC2"/>
    <w:rsid w:val="002E2C11"/>
    <w:rsid w:val="002E2D4C"/>
    <w:rsid w:val="002E3469"/>
    <w:rsid w:val="002E47C9"/>
    <w:rsid w:val="002E49A9"/>
    <w:rsid w:val="002E5934"/>
    <w:rsid w:val="002E5CDA"/>
    <w:rsid w:val="002E654A"/>
    <w:rsid w:val="002E6EFF"/>
    <w:rsid w:val="002F0055"/>
    <w:rsid w:val="002F0279"/>
    <w:rsid w:val="002F15F5"/>
    <w:rsid w:val="002F1D7B"/>
    <w:rsid w:val="002F3952"/>
    <w:rsid w:val="002F3CFD"/>
    <w:rsid w:val="002F4D1F"/>
    <w:rsid w:val="002F6182"/>
    <w:rsid w:val="002F6A0D"/>
    <w:rsid w:val="00300053"/>
    <w:rsid w:val="0030029A"/>
    <w:rsid w:val="0030047F"/>
    <w:rsid w:val="00300701"/>
    <w:rsid w:val="00301CC2"/>
    <w:rsid w:val="00305093"/>
    <w:rsid w:val="003058FB"/>
    <w:rsid w:val="00306B39"/>
    <w:rsid w:val="0030724D"/>
    <w:rsid w:val="003075B5"/>
    <w:rsid w:val="00307F74"/>
    <w:rsid w:val="00310F8B"/>
    <w:rsid w:val="00311156"/>
    <w:rsid w:val="00311321"/>
    <w:rsid w:val="00312F40"/>
    <w:rsid w:val="00314D12"/>
    <w:rsid w:val="00315F1D"/>
    <w:rsid w:val="00316678"/>
    <w:rsid w:val="00317219"/>
    <w:rsid w:val="003178CD"/>
    <w:rsid w:val="00320124"/>
    <w:rsid w:val="003220A4"/>
    <w:rsid w:val="0032287C"/>
    <w:rsid w:val="00324314"/>
    <w:rsid w:val="0032459F"/>
    <w:rsid w:val="00324E14"/>
    <w:rsid w:val="003259FB"/>
    <w:rsid w:val="003272DC"/>
    <w:rsid w:val="003321FE"/>
    <w:rsid w:val="003322B1"/>
    <w:rsid w:val="00334479"/>
    <w:rsid w:val="00341D13"/>
    <w:rsid w:val="00341FA6"/>
    <w:rsid w:val="00343A76"/>
    <w:rsid w:val="00345ADF"/>
    <w:rsid w:val="0034617E"/>
    <w:rsid w:val="00346E55"/>
    <w:rsid w:val="0034782C"/>
    <w:rsid w:val="00347EB9"/>
    <w:rsid w:val="00350BC6"/>
    <w:rsid w:val="00350E29"/>
    <w:rsid w:val="00350F69"/>
    <w:rsid w:val="003516E1"/>
    <w:rsid w:val="00352815"/>
    <w:rsid w:val="00353027"/>
    <w:rsid w:val="00353CE9"/>
    <w:rsid w:val="00355620"/>
    <w:rsid w:val="00355DF0"/>
    <w:rsid w:val="0035614B"/>
    <w:rsid w:val="003564AA"/>
    <w:rsid w:val="00356747"/>
    <w:rsid w:val="00356A32"/>
    <w:rsid w:val="00356E1C"/>
    <w:rsid w:val="003575D7"/>
    <w:rsid w:val="00357D35"/>
    <w:rsid w:val="00361DFA"/>
    <w:rsid w:val="00363701"/>
    <w:rsid w:val="003638D4"/>
    <w:rsid w:val="00363DE1"/>
    <w:rsid w:val="00364DFA"/>
    <w:rsid w:val="00364EEF"/>
    <w:rsid w:val="00364F91"/>
    <w:rsid w:val="00365AB1"/>
    <w:rsid w:val="00365D46"/>
    <w:rsid w:val="0036670F"/>
    <w:rsid w:val="003668D2"/>
    <w:rsid w:val="0037102D"/>
    <w:rsid w:val="0037249E"/>
    <w:rsid w:val="00372865"/>
    <w:rsid w:val="00373645"/>
    <w:rsid w:val="00373F4F"/>
    <w:rsid w:val="00374176"/>
    <w:rsid w:val="003748F7"/>
    <w:rsid w:val="003759CD"/>
    <w:rsid w:val="00375DCC"/>
    <w:rsid w:val="0037738F"/>
    <w:rsid w:val="00380B0C"/>
    <w:rsid w:val="00381228"/>
    <w:rsid w:val="00381872"/>
    <w:rsid w:val="003819AF"/>
    <w:rsid w:val="00381B82"/>
    <w:rsid w:val="00381D9E"/>
    <w:rsid w:val="003831C1"/>
    <w:rsid w:val="003832FF"/>
    <w:rsid w:val="003833AA"/>
    <w:rsid w:val="00384A2E"/>
    <w:rsid w:val="00385145"/>
    <w:rsid w:val="00385F8D"/>
    <w:rsid w:val="00390B77"/>
    <w:rsid w:val="00390C90"/>
    <w:rsid w:val="003919A1"/>
    <w:rsid w:val="003921B4"/>
    <w:rsid w:val="00392AC0"/>
    <w:rsid w:val="00392F03"/>
    <w:rsid w:val="00393874"/>
    <w:rsid w:val="00395A5F"/>
    <w:rsid w:val="00395D66"/>
    <w:rsid w:val="0039603A"/>
    <w:rsid w:val="00396231"/>
    <w:rsid w:val="003977D9"/>
    <w:rsid w:val="00397ED4"/>
    <w:rsid w:val="003A0FB9"/>
    <w:rsid w:val="003A0FED"/>
    <w:rsid w:val="003A171A"/>
    <w:rsid w:val="003A1FE4"/>
    <w:rsid w:val="003A202C"/>
    <w:rsid w:val="003A27E5"/>
    <w:rsid w:val="003A2810"/>
    <w:rsid w:val="003A3A1A"/>
    <w:rsid w:val="003A48CA"/>
    <w:rsid w:val="003A4D14"/>
    <w:rsid w:val="003A548F"/>
    <w:rsid w:val="003A5C7B"/>
    <w:rsid w:val="003B0322"/>
    <w:rsid w:val="003B04CC"/>
    <w:rsid w:val="003B22DD"/>
    <w:rsid w:val="003B29E1"/>
    <w:rsid w:val="003B2D8F"/>
    <w:rsid w:val="003B3583"/>
    <w:rsid w:val="003B38AD"/>
    <w:rsid w:val="003B4E5E"/>
    <w:rsid w:val="003B534E"/>
    <w:rsid w:val="003B6F63"/>
    <w:rsid w:val="003C16A2"/>
    <w:rsid w:val="003C30DF"/>
    <w:rsid w:val="003C3CA6"/>
    <w:rsid w:val="003C47DD"/>
    <w:rsid w:val="003C51CE"/>
    <w:rsid w:val="003C573E"/>
    <w:rsid w:val="003C5886"/>
    <w:rsid w:val="003C6F44"/>
    <w:rsid w:val="003D03FD"/>
    <w:rsid w:val="003D1632"/>
    <w:rsid w:val="003D1F45"/>
    <w:rsid w:val="003D3E2A"/>
    <w:rsid w:val="003D4482"/>
    <w:rsid w:val="003D5527"/>
    <w:rsid w:val="003D55B8"/>
    <w:rsid w:val="003D6513"/>
    <w:rsid w:val="003E257F"/>
    <w:rsid w:val="003E2A28"/>
    <w:rsid w:val="003E2FB7"/>
    <w:rsid w:val="003E33C4"/>
    <w:rsid w:val="003E3A13"/>
    <w:rsid w:val="003E438B"/>
    <w:rsid w:val="003E4DD5"/>
    <w:rsid w:val="003E5BAF"/>
    <w:rsid w:val="003E5F48"/>
    <w:rsid w:val="003E613F"/>
    <w:rsid w:val="003E624C"/>
    <w:rsid w:val="003E7988"/>
    <w:rsid w:val="003F0384"/>
    <w:rsid w:val="003F11B4"/>
    <w:rsid w:val="003F22DC"/>
    <w:rsid w:val="003F29B5"/>
    <w:rsid w:val="003F2FF2"/>
    <w:rsid w:val="003F35F4"/>
    <w:rsid w:val="003F4719"/>
    <w:rsid w:val="003F5387"/>
    <w:rsid w:val="003F57FE"/>
    <w:rsid w:val="003F637D"/>
    <w:rsid w:val="003F6478"/>
    <w:rsid w:val="003F687C"/>
    <w:rsid w:val="003F710F"/>
    <w:rsid w:val="003F7774"/>
    <w:rsid w:val="0040128B"/>
    <w:rsid w:val="004012AE"/>
    <w:rsid w:val="004028E9"/>
    <w:rsid w:val="00402BDE"/>
    <w:rsid w:val="00402D96"/>
    <w:rsid w:val="00403BD5"/>
    <w:rsid w:val="004054F8"/>
    <w:rsid w:val="00407D88"/>
    <w:rsid w:val="004104E0"/>
    <w:rsid w:val="00410A52"/>
    <w:rsid w:val="00410C05"/>
    <w:rsid w:val="004112E8"/>
    <w:rsid w:val="00412548"/>
    <w:rsid w:val="0041403F"/>
    <w:rsid w:val="00414CFD"/>
    <w:rsid w:val="004166C4"/>
    <w:rsid w:val="0042102F"/>
    <w:rsid w:val="00422DE9"/>
    <w:rsid w:val="00422E2C"/>
    <w:rsid w:val="00424049"/>
    <w:rsid w:val="00425E58"/>
    <w:rsid w:val="0042651B"/>
    <w:rsid w:val="004266E3"/>
    <w:rsid w:val="004271FA"/>
    <w:rsid w:val="00427D7F"/>
    <w:rsid w:val="0043101D"/>
    <w:rsid w:val="0043109C"/>
    <w:rsid w:val="0043118E"/>
    <w:rsid w:val="004315FB"/>
    <w:rsid w:val="00431676"/>
    <w:rsid w:val="00431BFE"/>
    <w:rsid w:val="00431FE8"/>
    <w:rsid w:val="004328BE"/>
    <w:rsid w:val="0043381C"/>
    <w:rsid w:val="00434727"/>
    <w:rsid w:val="00434ADB"/>
    <w:rsid w:val="00435406"/>
    <w:rsid w:val="004368FD"/>
    <w:rsid w:val="0044001E"/>
    <w:rsid w:val="0044143F"/>
    <w:rsid w:val="00443282"/>
    <w:rsid w:val="0044478D"/>
    <w:rsid w:val="00444C61"/>
    <w:rsid w:val="00444CCA"/>
    <w:rsid w:val="004459C6"/>
    <w:rsid w:val="004460B7"/>
    <w:rsid w:val="004465DC"/>
    <w:rsid w:val="0044670A"/>
    <w:rsid w:val="00447076"/>
    <w:rsid w:val="004505C5"/>
    <w:rsid w:val="004511C1"/>
    <w:rsid w:val="004515E6"/>
    <w:rsid w:val="00451B41"/>
    <w:rsid w:val="00451E1F"/>
    <w:rsid w:val="00451F69"/>
    <w:rsid w:val="00453830"/>
    <w:rsid w:val="00454D1E"/>
    <w:rsid w:val="004556C2"/>
    <w:rsid w:val="00455AFD"/>
    <w:rsid w:val="00456058"/>
    <w:rsid w:val="00456DD4"/>
    <w:rsid w:val="00460609"/>
    <w:rsid w:val="00460C6C"/>
    <w:rsid w:val="00463A3B"/>
    <w:rsid w:val="00464253"/>
    <w:rsid w:val="00465D90"/>
    <w:rsid w:val="00466594"/>
    <w:rsid w:val="00467CF5"/>
    <w:rsid w:val="0047037F"/>
    <w:rsid w:val="0047051B"/>
    <w:rsid w:val="00470F99"/>
    <w:rsid w:val="0047183C"/>
    <w:rsid w:val="0047192F"/>
    <w:rsid w:val="00472215"/>
    <w:rsid w:val="004737A6"/>
    <w:rsid w:val="00474852"/>
    <w:rsid w:val="004754F7"/>
    <w:rsid w:val="00475D2C"/>
    <w:rsid w:val="00476526"/>
    <w:rsid w:val="00477000"/>
    <w:rsid w:val="0047728D"/>
    <w:rsid w:val="0047773A"/>
    <w:rsid w:val="00480C54"/>
    <w:rsid w:val="00481537"/>
    <w:rsid w:val="00481FDD"/>
    <w:rsid w:val="004836A8"/>
    <w:rsid w:val="00485251"/>
    <w:rsid w:val="0048762A"/>
    <w:rsid w:val="00487D66"/>
    <w:rsid w:val="004908F5"/>
    <w:rsid w:val="00490D71"/>
    <w:rsid w:val="00492352"/>
    <w:rsid w:val="00493890"/>
    <w:rsid w:val="00496C79"/>
    <w:rsid w:val="004977F2"/>
    <w:rsid w:val="0049781B"/>
    <w:rsid w:val="004A0634"/>
    <w:rsid w:val="004A1F96"/>
    <w:rsid w:val="004A2A57"/>
    <w:rsid w:val="004A4D41"/>
    <w:rsid w:val="004A69D3"/>
    <w:rsid w:val="004A6BFC"/>
    <w:rsid w:val="004A6C63"/>
    <w:rsid w:val="004B17AB"/>
    <w:rsid w:val="004B20DB"/>
    <w:rsid w:val="004B218A"/>
    <w:rsid w:val="004B258A"/>
    <w:rsid w:val="004B4386"/>
    <w:rsid w:val="004B4812"/>
    <w:rsid w:val="004B4B98"/>
    <w:rsid w:val="004B4D64"/>
    <w:rsid w:val="004B6483"/>
    <w:rsid w:val="004C0503"/>
    <w:rsid w:val="004C10D6"/>
    <w:rsid w:val="004C3EB2"/>
    <w:rsid w:val="004C704A"/>
    <w:rsid w:val="004D0041"/>
    <w:rsid w:val="004D29FB"/>
    <w:rsid w:val="004D2A40"/>
    <w:rsid w:val="004D2C72"/>
    <w:rsid w:val="004D4CB5"/>
    <w:rsid w:val="004D4E20"/>
    <w:rsid w:val="004D5D47"/>
    <w:rsid w:val="004D7D69"/>
    <w:rsid w:val="004E1EEB"/>
    <w:rsid w:val="004E284E"/>
    <w:rsid w:val="004E41D3"/>
    <w:rsid w:val="004E4F3C"/>
    <w:rsid w:val="004E5356"/>
    <w:rsid w:val="004E7523"/>
    <w:rsid w:val="004E7A24"/>
    <w:rsid w:val="004F017E"/>
    <w:rsid w:val="004F027C"/>
    <w:rsid w:val="004F1173"/>
    <w:rsid w:val="004F1FE7"/>
    <w:rsid w:val="004F2B4D"/>
    <w:rsid w:val="004F2E24"/>
    <w:rsid w:val="004F2E60"/>
    <w:rsid w:val="004F35B9"/>
    <w:rsid w:val="004F396E"/>
    <w:rsid w:val="004F4849"/>
    <w:rsid w:val="004F5E96"/>
    <w:rsid w:val="004F7E41"/>
    <w:rsid w:val="00500D81"/>
    <w:rsid w:val="00500E1E"/>
    <w:rsid w:val="00502033"/>
    <w:rsid w:val="00503A07"/>
    <w:rsid w:val="00503CE9"/>
    <w:rsid w:val="005061F8"/>
    <w:rsid w:val="0050667F"/>
    <w:rsid w:val="005066CD"/>
    <w:rsid w:val="00507377"/>
    <w:rsid w:val="0051142A"/>
    <w:rsid w:val="005118A6"/>
    <w:rsid w:val="00511A0B"/>
    <w:rsid w:val="00512916"/>
    <w:rsid w:val="005139A8"/>
    <w:rsid w:val="00514B23"/>
    <w:rsid w:val="00515851"/>
    <w:rsid w:val="00516335"/>
    <w:rsid w:val="005168AD"/>
    <w:rsid w:val="005173BB"/>
    <w:rsid w:val="005175F8"/>
    <w:rsid w:val="00520591"/>
    <w:rsid w:val="00521EE2"/>
    <w:rsid w:val="00522466"/>
    <w:rsid w:val="00523F39"/>
    <w:rsid w:val="00524479"/>
    <w:rsid w:val="00526409"/>
    <w:rsid w:val="005265C1"/>
    <w:rsid w:val="0052729C"/>
    <w:rsid w:val="0052767A"/>
    <w:rsid w:val="00527A69"/>
    <w:rsid w:val="0053028D"/>
    <w:rsid w:val="0053049C"/>
    <w:rsid w:val="005306DB"/>
    <w:rsid w:val="005330A7"/>
    <w:rsid w:val="00533C08"/>
    <w:rsid w:val="00534B0B"/>
    <w:rsid w:val="005353D0"/>
    <w:rsid w:val="00535930"/>
    <w:rsid w:val="00536155"/>
    <w:rsid w:val="00536A1D"/>
    <w:rsid w:val="00540D08"/>
    <w:rsid w:val="00541CE1"/>
    <w:rsid w:val="005420BB"/>
    <w:rsid w:val="005425A5"/>
    <w:rsid w:val="00542869"/>
    <w:rsid w:val="00543339"/>
    <w:rsid w:val="00543568"/>
    <w:rsid w:val="0054426A"/>
    <w:rsid w:val="0054562C"/>
    <w:rsid w:val="00545A66"/>
    <w:rsid w:val="005460F0"/>
    <w:rsid w:val="00546620"/>
    <w:rsid w:val="00547B0A"/>
    <w:rsid w:val="005509A5"/>
    <w:rsid w:val="00550CA1"/>
    <w:rsid w:val="00552371"/>
    <w:rsid w:val="00552BC5"/>
    <w:rsid w:val="005546F9"/>
    <w:rsid w:val="0055482B"/>
    <w:rsid w:val="00555EEB"/>
    <w:rsid w:val="00556E82"/>
    <w:rsid w:val="0055749C"/>
    <w:rsid w:val="005625AF"/>
    <w:rsid w:val="00562FEA"/>
    <w:rsid w:val="005640E0"/>
    <w:rsid w:val="005642BB"/>
    <w:rsid w:val="0056589D"/>
    <w:rsid w:val="00565A95"/>
    <w:rsid w:val="00565D8B"/>
    <w:rsid w:val="005665D4"/>
    <w:rsid w:val="005675F3"/>
    <w:rsid w:val="005717F2"/>
    <w:rsid w:val="00572554"/>
    <w:rsid w:val="005728CC"/>
    <w:rsid w:val="00573346"/>
    <w:rsid w:val="00573679"/>
    <w:rsid w:val="00573ADC"/>
    <w:rsid w:val="00575835"/>
    <w:rsid w:val="0057661C"/>
    <w:rsid w:val="005768AB"/>
    <w:rsid w:val="00580437"/>
    <w:rsid w:val="00581E0E"/>
    <w:rsid w:val="0058255D"/>
    <w:rsid w:val="0058260D"/>
    <w:rsid w:val="005829F8"/>
    <w:rsid w:val="00583006"/>
    <w:rsid w:val="005839CF"/>
    <w:rsid w:val="00583EF7"/>
    <w:rsid w:val="00586028"/>
    <w:rsid w:val="0058778A"/>
    <w:rsid w:val="005910A3"/>
    <w:rsid w:val="00591596"/>
    <w:rsid w:val="00591A75"/>
    <w:rsid w:val="0059298A"/>
    <w:rsid w:val="00593553"/>
    <w:rsid w:val="005941E9"/>
    <w:rsid w:val="00594408"/>
    <w:rsid w:val="00595201"/>
    <w:rsid w:val="005958D4"/>
    <w:rsid w:val="0059679A"/>
    <w:rsid w:val="00596B0F"/>
    <w:rsid w:val="00596E5B"/>
    <w:rsid w:val="005A0A54"/>
    <w:rsid w:val="005A1D88"/>
    <w:rsid w:val="005A216A"/>
    <w:rsid w:val="005A2BE1"/>
    <w:rsid w:val="005A3D86"/>
    <w:rsid w:val="005A43A6"/>
    <w:rsid w:val="005A5F14"/>
    <w:rsid w:val="005A5F64"/>
    <w:rsid w:val="005B009F"/>
    <w:rsid w:val="005B01CF"/>
    <w:rsid w:val="005B088E"/>
    <w:rsid w:val="005B0A20"/>
    <w:rsid w:val="005B12A3"/>
    <w:rsid w:val="005B1BB2"/>
    <w:rsid w:val="005B2B00"/>
    <w:rsid w:val="005B2CAC"/>
    <w:rsid w:val="005B5A11"/>
    <w:rsid w:val="005B5B6A"/>
    <w:rsid w:val="005B64C4"/>
    <w:rsid w:val="005C06D9"/>
    <w:rsid w:val="005C0CF9"/>
    <w:rsid w:val="005C37E0"/>
    <w:rsid w:val="005C5220"/>
    <w:rsid w:val="005C5505"/>
    <w:rsid w:val="005C5F0D"/>
    <w:rsid w:val="005C6C5A"/>
    <w:rsid w:val="005C7221"/>
    <w:rsid w:val="005C763B"/>
    <w:rsid w:val="005D0C11"/>
    <w:rsid w:val="005D0D24"/>
    <w:rsid w:val="005D1799"/>
    <w:rsid w:val="005D3786"/>
    <w:rsid w:val="005D3C08"/>
    <w:rsid w:val="005D4EB5"/>
    <w:rsid w:val="005D614C"/>
    <w:rsid w:val="005D6578"/>
    <w:rsid w:val="005D6599"/>
    <w:rsid w:val="005D7057"/>
    <w:rsid w:val="005E04AC"/>
    <w:rsid w:val="005E1975"/>
    <w:rsid w:val="005E3F79"/>
    <w:rsid w:val="005E4AAE"/>
    <w:rsid w:val="005E4D06"/>
    <w:rsid w:val="005E512B"/>
    <w:rsid w:val="005E7F1B"/>
    <w:rsid w:val="005F00FF"/>
    <w:rsid w:val="005F0E74"/>
    <w:rsid w:val="005F16A0"/>
    <w:rsid w:val="005F2916"/>
    <w:rsid w:val="005F4756"/>
    <w:rsid w:val="005F49F5"/>
    <w:rsid w:val="005F4EE1"/>
    <w:rsid w:val="005F5471"/>
    <w:rsid w:val="005F5C18"/>
    <w:rsid w:val="005F5D37"/>
    <w:rsid w:val="005F5E82"/>
    <w:rsid w:val="005F68FD"/>
    <w:rsid w:val="005F6CAD"/>
    <w:rsid w:val="005F72E9"/>
    <w:rsid w:val="005F7934"/>
    <w:rsid w:val="005F7E1D"/>
    <w:rsid w:val="0060018A"/>
    <w:rsid w:val="00600E49"/>
    <w:rsid w:val="00600F23"/>
    <w:rsid w:val="006018C0"/>
    <w:rsid w:val="00605A0D"/>
    <w:rsid w:val="00606248"/>
    <w:rsid w:val="006068F3"/>
    <w:rsid w:val="0061038C"/>
    <w:rsid w:val="00610459"/>
    <w:rsid w:val="006107F6"/>
    <w:rsid w:val="0061136C"/>
    <w:rsid w:val="00613FCD"/>
    <w:rsid w:val="006142FC"/>
    <w:rsid w:val="00615111"/>
    <w:rsid w:val="0061534E"/>
    <w:rsid w:val="0061564B"/>
    <w:rsid w:val="00615E2A"/>
    <w:rsid w:val="0061669E"/>
    <w:rsid w:val="00616C68"/>
    <w:rsid w:val="00620CD6"/>
    <w:rsid w:val="006221C0"/>
    <w:rsid w:val="00622E68"/>
    <w:rsid w:val="00623FF2"/>
    <w:rsid w:val="006248A6"/>
    <w:rsid w:val="00624D98"/>
    <w:rsid w:val="00625BBD"/>
    <w:rsid w:val="00626303"/>
    <w:rsid w:val="00627316"/>
    <w:rsid w:val="00627B32"/>
    <w:rsid w:val="00627C4C"/>
    <w:rsid w:val="00630C4E"/>
    <w:rsid w:val="00630E3E"/>
    <w:rsid w:val="00630FAF"/>
    <w:rsid w:val="006310E5"/>
    <w:rsid w:val="006313C9"/>
    <w:rsid w:val="00631B31"/>
    <w:rsid w:val="00632181"/>
    <w:rsid w:val="0063406B"/>
    <w:rsid w:val="00635732"/>
    <w:rsid w:val="00636A69"/>
    <w:rsid w:val="00636F09"/>
    <w:rsid w:val="0063756B"/>
    <w:rsid w:val="006377C9"/>
    <w:rsid w:val="00642074"/>
    <w:rsid w:val="0064281F"/>
    <w:rsid w:val="0064353B"/>
    <w:rsid w:val="00644718"/>
    <w:rsid w:val="006455CE"/>
    <w:rsid w:val="00646160"/>
    <w:rsid w:val="006466D4"/>
    <w:rsid w:val="00647841"/>
    <w:rsid w:val="00650AD7"/>
    <w:rsid w:val="006510F2"/>
    <w:rsid w:val="0065292C"/>
    <w:rsid w:val="00655B39"/>
    <w:rsid w:val="0065669C"/>
    <w:rsid w:val="00657245"/>
    <w:rsid w:val="00657643"/>
    <w:rsid w:val="0066205C"/>
    <w:rsid w:val="006625F0"/>
    <w:rsid w:val="00663831"/>
    <w:rsid w:val="00663CE4"/>
    <w:rsid w:val="0066430E"/>
    <w:rsid w:val="0066473E"/>
    <w:rsid w:val="006677B0"/>
    <w:rsid w:val="006726BC"/>
    <w:rsid w:val="0067293A"/>
    <w:rsid w:val="006755CF"/>
    <w:rsid w:val="00676D30"/>
    <w:rsid w:val="00677D06"/>
    <w:rsid w:val="00681475"/>
    <w:rsid w:val="00681C24"/>
    <w:rsid w:val="00685613"/>
    <w:rsid w:val="00685C0A"/>
    <w:rsid w:val="00685F34"/>
    <w:rsid w:val="00686209"/>
    <w:rsid w:val="006874FC"/>
    <w:rsid w:val="00694473"/>
    <w:rsid w:val="00695DCF"/>
    <w:rsid w:val="006A0256"/>
    <w:rsid w:val="006A0365"/>
    <w:rsid w:val="006A0722"/>
    <w:rsid w:val="006A0AA9"/>
    <w:rsid w:val="006A0FCA"/>
    <w:rsid w:val="006A1277"/>
    <w:rsid w:val="006A1594"/>
    <w:rsid w:val="006A3B33"/>
    <w:rsid w:val="006A6ACB"/>
    <w:rsid w:val="006B1544"/>
    <w:rsid w:val="006B2C63"/>
    <w:rsid w:val="006B3144"/>
    <w:rsid w:val="006B4154"/>
    <w:rsid w:val="006B4667"/>
    <w:rsid w:val="006B4765"/>
    <w:rsid w:val="006B5760"/>
    <w:rsid w:val="006B5A42"/>
    <w:rsid w:val="006B6D3A"/>
    <w:rsid w:val="006B7CDD"/>
    <w:rsid w:val="006C06CB"/>
    <w:rsid w:val="006C0736"/>
    <w:rsid w:val="006C0FF9"/>
    <w:rsid w:val="006C1948"/>
    <w:rsid w:val="006C1FA9"/>
    <w:rsid w:val="006C3A43"/>
    <w:rsid w:val="006C465D"/>
    <w:rsid w:val="006C703B"/>
    <w:rsid w:val="006C75AB"/>
    <w:rsid w:val="006D2407"/>
    <w:rsid w:val="006D4572"/>
    <w:rsid w:val="006D4A09"/>
    <w:rsid w:val="006D4C57"/>
    <w:rsid w:val="006D60A6"/>
    <w:rsid w:val="006D6205"/>
    <w:rsid w:val="006D640C"/>
    <w:rsid w:val="006D64B1"/>
    <w:rsid w:val="006D67A1"/>
    <w:rsid w:val="006D6833"/>
    <w:rsid w:val="006D6A19"/>
    <w:rsid w:val="006D7364"/>
    <w:rsid w:val="006D7938"/>
    <w:rsid w:val="006E00CE"/>
    <w:rsid w:val="006E0A66"/>
    <w:rsid w:val="006E0E17"/>
    <w:rsid w:val="006E2455"/>
    <w:rsid w:val="006E2C4F"/>
    <w:rsid w:val="006E2DD2"/>
    <w:rsid w:val="006E5AB1"/>
    <w:rsid w:val="006E5ABC"/>
    <w:rsid w:val="006E68E0"/>
    <w:rsid w:val="006F07FB"/>
    <w:rsid w:val="006F16B8"/>
    <w:rsid w:val="006F1D23"/>
    <w:rsid w:val="006F246C"/>
    <w:rsid w:val="006F3DB5"/>
    <w:rsid w:val="006F511B"/>
    <w:rsid w:val="006F54DC"/>
    <w:rsid w:val="006F6369"/>
    <w:rsid w:val="006F6586"/>
    <w:rsid w:val="006F6F4A"/>
    <w:rsid w:val="006F7182"/>
    <w:rsid w:val="0070015E"/>
    <w:rsid w:val="00700254"/>
    <w:rsid w:val="00700BC2"/>
    <w:rsid w:val="00701273"/>
    <w:rsid w:val="00701815"/>
    <w:rsid w:val="0070234A"/>
    <w:rsid w:val="00702982"/>
    <w:rsid w:val="007029A5"/>
    <w:rsid w:val="00704850"/>
    <w:rsid w:val="007049E7"/>
    <w:rsid w:val="00704B88"/>
    <w:rsid w:val="00705418"/>
    <w:rsid w:val="00705E2F"/>
    <w:rsid w:val="00707AC9"/>
    <w:rsid w:val="00707B73"/>
    <w:rsid w:val="00710722"/>
    <w:rsid w:val="007119A2"/>
    <w:rsid w:val="007133C4"/>
    <w:rsid w:val="007134D2"/>
    <w:rsid w:val="007144FE"/>
    <w:rsid w:val="007154AC"/>
    <w:rsid w:val="007204C5"/>
    <w:rsid w:val="007221E2"/>
    <w:rsid w:val="00722981"/>
    <w:rsid w:val="00722E1B"/>
    <w:rsid w:val="0072318B"/>
    <w:rsid w:val="0072372C"/>
    <w:rsid w:val="00723FAD"/>
    <w:rsid w:val="00725E16"/>
    <w:rsid w:val="00725E2C"/>
    <w:rsid w:val="00726291"/>
    <w:rsid w:val="00726C25"/>
    <w:rsid w:val="0072733B"/>
    <w:rsid w:val="007276CD"/>
    <w:rsid w:val="0072772E"/>
    <w:rsid w:val="00727A1B"/>
    <w:rsid w:val="00727B75"/>
    <w:rsid w:val="00731749"/>
    <w:rsid w:val="00731E1D"/>
    <w:rsid w:val="00732621"/>
    <w:rsid w:val="00733068"/>
    <w:rsid w:val="007338D1"/>
    <w:rsid w:val="00733BC9"/>
    <w:rsid w:val="00733E81"/>
    <w:rsid w:val="00734F3D"/>
    <w:rsid w:val="007352EF"/>
    <w:rsid w:val="007362B7"/>
    <w:rsid w:val="00737C72"/>
    <w:rsid w:val="00740AAD"/>
    <w:rsid w:val="00741BB3"/>
    <w:rsid w:val="007446F2"/>
    <w:rsid w:val="0074480A"/>
    <w:rsid w:val="007458A7"/>
    <w:rsid w:val="00745C2A"/>
    <w:rsid w:val="00745F17"/>
    <w:rsid w:val="00746052"/>
    <w:rsid w:val="00746C91"/>
    <w:rsid w:val="00747611"/>
    <w:rsid w:val="00752A9F"/>
    <w:rsid w:val="00753D5F"/>
    <w:rsid w:val="007541DF"/>
    <w:rsid w:val="00754944"/>
    <w:rsid w:val="00755318"/>
    <w:rsid w:val="00756B8F"/>
    <w:rsid w:val="00756C78"/>
    <w:rsid w:val="00757CF5"/>
    <w:rsid w:val="00757D83"/>
    <w:rsid w:val="00761FA7"/>
    <w:rsid w:val="00763355"/>
    <w:rsid w:val="00763D7C"/>
    <w:rsid w:val="00765F94"/>
    <w:rsid w:val="007673AC"/>
    <w:rsid w:val="00767693"/>
    <w:rsid w:val="00770DA9"/>
    <w:rsid w:val="00770E07"/>
    <w:rsid w:val="00773754"/>
    <w:rsid w:val="0077386A"/>
    <w:rsid w:val="0077388E"/>
    <w:rsid w:val="007740FD"/>
    <w:rsid w:val="00775D88"/>
    <w:rsid w:val="00776375"/>
    <w:rsid w:val="00776C3D"/>
    <w:rsid w:val="0077721E"/>
    <w:rsid w:val="00777ADC"/>
    <w:rsid w:val="0078194F"/>
    <w:rsid w:val="00781994"/>
    <w:rsid w:val="00781E7A"/>
    <w:rsid w:val="00781EBF"/>
    <w:rsid w:val="00781FB9"/>
    <w:rsid w:val="007829F1"/>
    <w:rsid w:val="007845AF"/>
    <w:rsid w:val="007845FB"/>
    <w:rsid w:val="007855C0"/>
    <w:rsid w:val="007862E2"/>
    <w:rsid w:val="00787A4F"/>
    <w:rsid w:val="0079177B"/>
    <w:rsid w:val="0079245D"/>
    <w:rsid w:val="00792936"/>
    <w:rsid w:val="00792C5A"/>
    <w:rsid w:val="0079307B"/>
    <w:rsid w:val="00795125"/>
    <w:rsid w:val="007954F2"/>
    <w:rsid w:val="0079569A"/>
    <w:rsid w:val="0079585B"/>
    <w:rsid w:val="00797161"/>
    <w:rsid w:val="007A0821"/>
    <w:rsid w:val="007A0869"/>
    <w:rsid w:val="007A138E"/>
    <w:rsid w:val="007A1C5A"/>
    <w:rsid w:val="007A31F6"/>
    <w:rsid w:val="007A59D0"/>
    <w:rsid w:val="007A5B56"/>
    <w:rsid w:val="007A68AA"/>
    <w:rsid w:val="007A7B2A"/>
    <w:rsid w:val="007B0D94"/>
    <w:rsid w:val="007B2826"/>
    <w:rsid w:val="007B282E"/>
    <w:rsid w:val="007B2F35"/>
    <w:rsid w:val="007B3414"/>
    <w:rsid w:val="007B3A9E"/>
    <w:rsid w:val="007B4BC1"/>
    <w:rsid w:val="007B4E3B"/>
    <w:rsid w:val="007B554B"/>
    <w:rsid w:val="007B5A0B"/>
    <w:rsid w:val="007C18A4"/>
    <w:rsid w:val="007C2CE1"/>
    <w:rsid w:val="007C431A"/>
    <w:rsid w:val="007C5EEE"/>
    <w:rsid w:val="007C6D11"/>
    <w:rsid w:val="007C6E25"/>
    <w:rsid w:val="007C7EA3"/>
    <w:rsid w:val="007D165A"/>
    <w:rsid w:val="007D1673"/>
    <w:rsid w:val="007D19E7"/>
    <w:rsid w:val="007D1B3C"/>
    <w:rsid w:val="007D1D62"/>
    <w:rsid w:val="007D2510"/>
    <w:rsid w:val="007D2A9D"/>
    <w:rsid w:val="007D3873"/>
    <w:rsid w:val="007D3987"/>
    <w:rsid w:val="007D600C"/>
    <w:rsid w:val="007D6329"/>
    <w:rsid w:val="007D70E3"/>
    <w:rsid w:val="007D7B75"/>
    <w:rsid w:val="007E00C9"/>
    <w:rsid w:val="007E012D"/>
    <w:rsid w:val="007E13CD"/>
    <w:rsid w:val="007E242E"/>
    <w:rsid w:val="007E2669"/>
    <w:rsid w:val="007E2C1A"/>
    <w:rsid w:val="007E2C20"/>
    <w:rsid w:val="007E2E4F"/>
    <w:rsid w:val="007E342A"/>
    <w:rsid w:val="007E35AF"/>
    <w:rsid w:val="007E3655"/>
    <w:rsid w:val="007E4459"/>
    <w:rsid w:val="007E45E2"/>
    <w:rsid w:val="007E62D2"/>
    <w:rsid w:val="007E66CE"/>
    <w:rsid w:val="007E67BB"/>
    <w:rsid w:val="007E6E8B"/>
    <w:rsid w:val="007E7DBC"/>
    <w:rsid w:val="007E7DE7"/>
    <w:rsid w:val="007F0DC9"/>
    <w:rsid w:val="007F23CD"/>
    <w:rsid w:val="007F2A02"/>
    <w:rsid w:val="007F315B"/>
    <w:rsid w:val="007F3DB4"/>
    <w:rsid w:val="007F3FB4"/>
    <w:rsid w:val="007F44F9"/>
    <w:rsid w:val="007F4637"/>
    <w:rsid w:val="007F5BC1"/>
    <w:rsid w:val="007F7AE1"/>
    <w:rsid w:val="00800F99"/>
    <w:rsid w:val="0080111C"/>
    <w:rsid w:val="0080126D"/>
    <w:rsid w:val="0080226C"/>
    <w:rsid w:val="00802904"/>
    <w:rsid w:val="00804C8A"/>
    <w:rsid w:val="00804D29"/>
    <w:rsid w:val="008061B9"/>
    <w:rsid w:val="00806FCA"/>
    <w:rsid w:val="008079AD"/>
    <w:rsid w:val="00807A15"/>
    <w:rsid w:val="00810FED"/>
    <w:rsid w:val="0081170B"/>
    <w:rsid w:val="008118A8"/>
    <w:rsid w:val="00812B9F"/>
    <w:rsid w:val="00812BA7"/>
    <w:rsid w:val="00812E95"/>
    <w:rsid w:val="00814126"/>
    <w:rsid w:val="00814541"/>
    <w:rsid w:val="008157E0"/>
    <w:rsid w:val="00821C74"/>
    <w:rsid w:val="00822322"/>
    <w:rsid w:val="00823AC4"/>
    <w:rsid w:val="008248FC"/>
    <w:rsid w:val="008256BE"/>
    <w:rsid w:val="0082705A"/>
    <w:rsid w:val="008279EA"/>
    <w:rsid w:val="00827EB8"/>
    <w:rsid w:val="008302C6"/>
    <w:rsid w:val="00831200"/>
    <w:rsid w:val="00831AB2"/>
    <w:rsid w:val="00832A5E"/>
    <w:rsid w:val="00834122"/>
    <w:rsid w:val="00834979"/>
    <w:rsid w:val="00834B98"/>
    <w:rsid w:val="008350AC"/>
    <w:rsid w:val="00836C74"/>
    <w:rsid w:val="00840E99"/>
    <w:rsid w:val="00841BB6"/>
    <w:rsid w:val="00842598"/>
    <w:rsid w:val="00844882"/>
    <w:rsid w:val="00845A30"/>
    <w:rsid w:val="00845F01"/>
    <w:rsid w:val="00846B28"/>
    <w:rsid w:val="0084771B"/>
    <w:rsid w:val="00847BFB"/>
    <w:rsid w:val="00850A32"/>
    <w:rsid w:val="00851A61"/>
    <w:rsid w:val="008526BD"/>
    <w:rsid w:val="008539DD"/>
    <w:rsid w:val="00854EE9"/>
    <w:rsid w:val="00855095"/>
    <w:rsid w:val="0085560F"/>
    <w:rsid w:val="00860A03"/>
    <w:rsid w:val="0086121B"/>
    <w:rsid w:val="0086123C"/>
    <w:rsid w:val="00863892"/>
    <w:rsid w:val="008639AD"/>
    <w:rsid w:val="00863F99"/>
    <w:rsid w:val="00865325"/>
    <w:rsid w:val="00867245"/>
    <w:rsid w:val="008721A5"/>
    <w:rsid w:val="00872200"/>
    <w:rsid w:val="00872693"/>
    <w:rsid w:val="00874211"/>
    <w:rsid w:val="008747D8"/>
    <w:rsid w:val="00876620"/>
    <w:rsid w:val="00876710"/>
    <w:rsid w:val="0087674C"/>
    <w:rsid w:val="00877706"/>
    <w:rsid w:val="0087789E"/>
    <w:rsid w:val="008808ED"/>
    <w:rsid w:val="0088180B"/>
    <w:rsid w:val="008827A5"/>
    <w:rsid w:val="00883096"/>
    <w:rsid w:val="0088405B"/>
    <w:rsid w:val="0088476C"/>
    <w:rsid w:val="00884F20"/>
    <w:rsid w:val="00886525"/>
    <w:rsid w:val="00886610"/>
    <w:rsid w:val="008868A1"/>
    <w:rsid w:val="00890934"/>
    <w:rsid w:val="0089177F"/>
    <w:rsid w:val="0089190A"/>
    <w:rsid w:val="00893505"/>
    <w:rsid w:val="00893919"/>
    <w:rsid w:val="00894CBA"/>
    <w:rsid w:val="008958F2"/>
    <w:rsid w:val="00896068"/>
    <w:rsid w:val="0089611D"/>
    <w:rsid w:val="00896C8C"/>
    <w:rsid w:val="008A1B9F"/>
    <w:rsid w:val="008A25EC"/>
    <w:rsid w:val="008A44F1"/>
    <w:rsid w:val="008A472E"/>
    <w:rsid w:val="008A509C"/>
    <w:rsid w:val="008A6039"/>
    <w:rsid w:val="008A79EA"/>
    <w:rsid w:val="008B0746"/>
    <w:rsid w:val="008B1556"/>
    <w:rsid w:val="008B159D"/>
    <w:rsid w:val="008B2678"/>
    <w:rsid w:val="008B38FF"/>
    <w:rsid w:val="008B3FFD"/>
    <w:rsid w:val="008B5038"/>
    <w:rsid w:val="008B53BA"/>
    <w:rsid w:val="008B5B17"/>
    <w:rsid w:val="008B6A8E"/>
    <w:rsid w:val="008B6B2A"/>
    <w:rsid w:val="008B6C6D"/>
    <w:rsid w:val="008B6E91"/>
    <w:rsid w:val="008B723A"/>
    <w:rsid w:val="008C08AB"/>
    <w:rsid w:val="008C308C"/>
    <w:rsid w:val="008C386E"/>
    <w:rsid w:val="008C40E1"/>
    <w:rsid w:val="008C422E"/>
    <w:rsid w:val="008C458A"/>
    <w:rsid w:val="008C535C"/>
    <w:rsid w:val="008C5F9C"/>
    <w:rsid w:val="008C6B7A"/>
    <w:rsid w:val="008C7E0F"/>
    <w:rsid w:val="008D03DA"/>
    <w:rsid w:val="008D1209"/>
    <w:rsid w:val="008D2757"/>
    <w:rsid w:val="008D2CA9"/>
    <w:rsid w:val="008D2E6F"/>
    <w:rsid w:val="008E0296"/>
    <w:rsid w:val="008E040E"/>
    <w:rsid w:val="008E102C"/>
    <w:rsid w:val="008E1DF1"/>
    <w:rsid w:val="008E4025"/>
    <w:rsid w:val="008E419E"/>
    <w:rsid w:val="008E4DD4"/>
    <w:rsid w:val="008E561D"/>
    <w:rsid w:val="008E6752"/>
    <w:rsid w:val="008F4562"/>
    <w:rsid w:val="008F5B2A"/>
    <w:rsid w:val="008F5D02"/>
    <w:rsid w:val="008F609C"/>
    <w:rsid w:val="008F60D9"/>
    <w:rsid w:val="008F6ADE"/>
    <w:rsid w:val="008F6FBF"/>
    <w:rsid w:val="00900AD8"/>
    <w:rsid w:val="0090139D"/>
    <w:rsid w:val="009017D5"/>
    <w:rsid w:val="009045CD"/>
    <w:rsid w:val="00910CE2"/>
    <w:rsid w:val="00910F07"/>
    <w:rsid w:val="009115DE"/>
    <w:rsid w:val="00911BC4"/>
    <w:rsid w:val="0091209F"/>
    <w:rsid w:val="009145B1"/>
    <w:rsid w:val="00914A22"/>
    <w:rsid w:val="00914DDB"/>
    <w:rsid w:val="00915507"/>
    <w:rsid w:val="00915A7A"/>
    <w:rsid w:val="00916D74"/>
    <w:rsid w:val="00917008"/>
    <w:rsid w:val="0091706D"/>
    <w:rsid w:val="00917329"/>
    <w:rsid w:val="0091748B"/>
    <w:rsid w:val="00920109"/>
    <w:rsid w:val="00920781"/>
    <w:rsid w:val="009213F2"/>
    <w:rsid w:val="00921740"/>
    <w:rsid w:val="00922C75"/>
    <w:rsid w:val="00925636"/>
    <w:rsid w:val="009256AD"/>
    <w:rsid w:val="00925783"/>
    <w:rsid w:val="00926D86"/>
    <w:rsid w:val="009271C5"/>
    <w:rsid w:val="00927C0C"/>
    <w:rsid w:val="0093021C"/>
    <w:rsid w:val="009304A4"/>
    <w:rsid w:val="009313C3"/>
    <w:rsid w:val="009313C5"/>
    <w:rsid w:val="009314F3"/>
    <w:rsid w:val="00932920"/>
    <w:rsid w:val="00933A2B"/>
    <w:rsid w:val="00934333"/>
    <w:rsid w:val="00935966"/>
    <w:rsid w:val="00935D7D"/>
    <w:rsid w:val="0094033D"/>
    <w:rsid w:val="009404B0"/>
    <w:rsid w:val="00940966"/>
    <w:rsid w:val="009409B4"/>
    <w:rsid w:val="00940EC0"/>
    <w:rsid w:val="00942A47"/>
    <w:rsid w:val="009443A8"/>
    <w:rsid w:val="0094698F"/>
    <w:rsid w:val="00946F23"/>
    <w:rsid w:val="00950C6A"/>
    <w:rsid w:val="00950CBD"/>
    <w:rsid w:val="00951216"/>
    <w:rsid w:val="00951AC7"/>
    <w:rsid w:val="00951B0D"/>
    <w:rsid w:val="00952064"/>
    <w:rsid w:val="0095289B"/>
    <w:rsid w:val="00953A0B"/>
    <w:rsid w:val="00953A19"/>
    <w:rsid w:val="00953CCE"/>
    <w:rsid w:val="00953D35"/>
    <w:rsid w:val="009564A7"/>
    <w:rsid w:val="009603BB"/>
    <w:rsid w:val="009608D9"/>
    <w:rsid w:val="009610C4"/>
    <w:rsid w:val="009616E4"/>
    <w:rsid w:val="00961BAC"/>
    <w:rsid w:val="00961FAA"/>
    <w:rsid w:val="00962B38"/>
    <w:rsid w:val="00962EBC"/>
    <w:rsid w:val="009632BC"/>
    <w:rsid w:val="0096333F"/>
    <w:rsid w:val="00963AE3"/>
    <w:rsid w:val="00964BF7"/>
    <w:rsid w:val="00964C19"/>
    <w:rsid w:val="00966B92"/>
    <w:rsid w:val="00967D07"/>
    <w:rsid w:val="009704CC"/>
    <w:rsid w:val="00971499"/>
    <w:rsid w:val="0097165B"/>
    <w:rsid w:val="00971CDE"/>
    <w:rsid w:val="00971D0B"/>
    <w:rsid w:val="00974839"/>
    <w:rsid w:val="009752B5"/>
    <w:rsid w:val="009757AD"/>
    <w:rsid w:val="00976061"/>
    <w:rsid w:val="00980229"/>
    <w:rsid w:val="009802EC"/>
    <w:rsid w:val="00980E65"/>
    <w:rsid w:val="009812F7"/>
    <w:rsid w:val="00982CD6"/>
    <w:rsid w:val="009843CC"/>
    <w:rsid w:val="00984E7A"/>
    <w:rsid w:val="0098509B"/>
    <w:rsid w:val="009876A4"/>
    <w:rsid w:val="00991409"/>
    <w:rsid w:val="00991D42"/>
    <w:rsid w:val="00991F70"/>
    <w:rsid w:val="0099237C"/>
    <w:rsid w:val="00993DAF"/>
    <w:rsid w:val="00993DF1"/>
    <w:rsid w:val="00994A58"/>
    <w:rsid w:val="00997127"/>
    <w:rsid w:val="00997992"/>
    <w:rsid w:val="009A0BEF"/>
    <w:rsid w:val="009A1914"/>
    <w:rsid w:val="009A3A37"/>
    <w:rsid w:val="009A3E79"/>
    <w:rsid w:val="009A460D"/>
    <w:rsid w:val="009A5024"/>
    <w:rsid w:val="009A5D5A"/>
    <w:rsid w:val="009A606E"/>
    <w:rsid w:val="009A6844"/>
    <w:rsid w:val="009A7E98"/>
    <w:rsid w:val="009B0533"/>
    <w:rsid w:val="009B1265"/>
    <w:rsid w:val="009B1268"/>
    <w:rsid w:val="009B1BBD"/>
    <w:rsid w:val="009B2E80"/>
    <w:rsid w:val="009B3069"/>
    <w:rsid w:val="009B48F4"/>
    <w:rsid w:val="009B4DA2"/>
    <w:rsid w:val="009B4FDC"/>
    <w:rsid w:val="009B56E5"/>
    <w:rsid w:val="009B586B"/>
    <w:rsid w:val="009B78F8"/>
    <w:rsid w:val="009B7FD9"/>
    <w:rsid w:val="009C0272"/>
    <w:rsid w:val="009C13C1"/>
    <w:rsid w:val="009C20CD"/>
    <w:rsid w:val="009C2F0B"/>
    <w:rsid w:val="009C39AC"/>
    <w:rsid w:val="009C5162"/>
    <w:rsid w:val="009C51E3"/>
    <w:rsid w:val="009C532A"/>
    <w:rsid w:val="009D15B1"/>
    <w:rsid w:val="009D1688"/>
    <w:rsid w:val="009D25C0"/>
    <w:rsid w:val="009D28CC"/>
    <w:rsid w:val="009D4310"/>
    <w:rsid w:val="009D5162"/>
    <w:rsid w:val="009D64A9"/>
    <w:rsid w:val="009D7A09"/>
    <w:rsid w:val="009D7B03"/>
    <w:rsid w:val="009E07F6"/>
    <w:rsid w:val="009E2E82"/>
    <w:rsid w:val="009E301F"/>
    <w:rsid w:val="009E31C2"/>
    <w:rsid w:val="009E4764"/>
    <w:rsid w:val="009E5CB7"/>
    <w:rsid w:val="009E7B20"/>
    <w:rsid w:val="009F2CCB"/>
    <w:rsid w:val="009F3DC6"/>
    <w:rsid w:val="009F3E5E"/>
    <w:rsid w:val="009F5172"/>
    <w:rsid w:val="009F5D6E"/>
    <w:rsid w:val="009F6C26"/>
    <w:rsid w:val="009F751D"/>
    <w:rsid w:val="009F7800"/>
    <w:rsid w:val="009F7AB3"/>
    <w:rsid w:val="00A001F1"/>
    <w:rsid w:val="00A00293"/>
    <w:rsid w:val="00A00A33"/>
    <w:rsid w:val="00A03AB5"/>
    <w:rsid w:val="00A042B8"/>
    <w:rsid w:val="00A0430E"/>
    <w:rsid w:val="00A0658B"/>
    <w:rsid w:val="00A07606"/>
    <w:rsid w:val="00A1043B"/>
    <w:rsid w:val="00A11793"/>
    <w:rsid w:val="00A13D95"/>
    <w:rsid w:val="00A145A7"/>
    <w:rsid w:val="00A14F2D"/>
    <w:rsid w:val="00A1750E"/>
    <w:rsid w:val="00A179C9"/>
    <w:rsid w:val="00A17AD7"/>
    <w:rsid w:val="00A17B1F"/>
    <w:rsid w:val="00A2171C"/>
    <w:rsid w:val="00A21D9A"/>
    <w:rsid w:val="00A21DD2"/>
    <w:rsid w:val="00A2271E"/>
    <w:rsid w:val="00A22938"/>
    <w:rsid w:val="00A22A02"/>
    <w:rsid w:val="00A235B0"/>
    <w:rsid w:val="00A239E0"/>
    <w:rsid w:val="00A23CF6"/>
    <w:rsid w:val="00A2434F"/>
    <w:rsid w:val="00A25D7D"/>
    <w:rsid w:val="00A26A2F"/>
    <w:rsid w:val="00A27EF9"/>
    <w:rsid w:val="00A3090D"/>
    <w:rsid w:val="00A309AB"/>
    <w:rsid w:val="00A31314"/>
    <w:rsid w:val="00A3141B"/>
    <w:rsid w:val="00A32117"/>
    <w:rsid w:val="00A32B45"/>
    <w:rsid w:val="00A34C44"/>
    <w:rsid w:val="00A34C86"/>
    <w:rsid w:val="00A351D9"/>
    <w:rsid w:val="00A36F01"/>
    <w:rsid w:val="00A36F63"/>
    <w:rsid w:val="00A37F9A"/>
    <w:rsid w:val="00A42397"/>
    <w:rsid w:val="00A424FC"/>
    <w:rsid w:val="00A42CE1"/>
    <w:rsid w:val="00A43381"/>
    <w:rsid w:val="00A43C9B"/>
    <w:rsid w:val="00A43D08"/>
    <w:rsid w:val="00A44CF9"/>
    <w:rsid w:val="00A44EFD"/>
    <w:rsid w:val="00A45642"/>
    <w:rsid w:val="00A46B84"/>
    <w:rsid w:val="00A472E7"/>
    <w:rsid w:val="00A47796"/>
    <w:rsid w:val="00A47DB5"/>
    <w:rsid w:val="00A51D51"/>
    <w:rsid w:val="00A5555D"/>
    <w:rsid w:val="00A55736"/>
    <w:rsid w:val="00A566D9"/>
    <w:rsid w:val="00A5695A"/>
    <w:rsid w:val="00A57025"/>
    <w:rsid w:val="00A57346"/>
    <w:rsid w:val="00A57C8A"/>
    <w:rsid w:val="00A6095D"/>
    <w:rsid w:val="00A60B45"/>
    <w:rsid w:val="00A614EE"/>
    <w:rsid w:val="00A6157A"/>
    <w:rsid w:val="00A62701"/>
    <w:rsid w:val="00A644C1"/>
    <w:rsid w:val="00A64701"/>
    <w:rsid w:val="00A67E64"/>
    <w:rsid w:val="00A70CDF"/>
    <w:rsid w:val="00A70E12"/>
    <w:rsid w:val="00A70E7C"/>
    <w:rsid w:val="00A711DE"/>
    <w:rsid w:val="00A71FE7"/>
    <w:rsid w:val="00A725C3"/>
    <w:rsid w:val="00A73B4D"/>
    <w:rsid w:val="00A7426C"/>
    <w:rsid w:val="00A7536E"/>
    <w:rsid w:val="00A75F46"/>
    <w:rsid w:val="00A75FCD"/>
    <w:rsid w:val="00A761A1"/>
    <w:rsid w:val="00A80D38"/>
    <w:rsid w:val="00A811F0"/>
    <w:rsid w:val="00A81EFD"/>
    <w:rsid w:val="00A82947"/>
    <w:rsid w:val="00A82F34"/>
    <w:rsid w:val="00A830DA"/>
    <w:rsid w:val="00A8327C"/>
    <w:rsid w:val="00A8372A"/>
    <w:rsid w:val="00A83C4C"/>
    <w:rsid w:val="00A84826"/>
    <w:rsid w:val="00A850CE"/>
    <w:rsid w:val="00A8540F"/>
    <w:rsid w:val="00A85661"/>
    <w:rsid w:val="00A87399"/>
    <w:rsid w:val="00A87C30"/>
    <w:rsid w:val="00A903A4"/>
    <w:rsid w:val="00A92336"/>
    <w:rsid w:val="00A93CA5"/>
    <w:rsid w:val="00A946DB"/>
    <w:rsid w:val="00A961FA"/>
    <w:rsid w:val="00A97241"/>
    <w:rsid w:val="00A973A7"/>
    <w:rsid w:val="00A97BC0"/>
    <w:rsid w:val="00A97E2B"/>
    <w:rsid w:val="00AA092F"/>
    <w:rsid w:val="00AA22F2"/>
    <w:rsid w:val="00AA38A9"/>
    <w:rsid w:val="00AA3C6A"/>
    <w:rsid w:val="00AA61BA"/>
    <w:rsid w:val="00AA782F"/>
    <w:rsid w:val="00AB02E5"/>
    <w:rsid w:val="00AB1528"/>
    <w:rsid w:val="00AB1BD1"/>
    <w:rsid w:val="00AB1D43"/>
    <w:rsid w:val="00AB1EFE"/>
    <w:rsid w:val="00AB2E2B"/>
    <w:rsid w:val="00AB3555"/>
    <w:rsid w:val="00AB49DF"/>
    <w:rsid w:val="00AB519B"/>
    <w:rsid w:val="00AB5865"/>
    <w:rsid w:val="00AB5D2D"/>
    <w:rsid w:val="00AB6BFD"/>
    <w:rsid w:val="00AB6D5E"/>
    <w:rsid w:val="00AB70D9"/>
    <w:rsid w:val="00AB74F0"/>
    <w:rsid w:val="00AC0256"/>
    <w:rsid w:val="00AC0562"/>
    <w:rsid w:val="00AC0595"/>
    <w:rsid w:val="00AC106F"/>
    <w:rsid w:val="00AC1DFC"/>
    <w:rsid w:val="00AC2341"/>
    <w:rsid w:val="00AC3649"/>
    <w:rsid w:val="00AC4F0A"/>
    <w:rsid w:val="00AC6ED9"/>
    <w:rsid w:val="00AD25E6"/>
    <w:rsid w:val="00AD2A5A"/>
    <w:rsid w:val="00AD32FF"/>
    <w:rsid w:val="00AD3E8F"/>
    <w:rsid w:val="00AD4E45"/>
    <w:rsid w:val="00AD50C7"/>
    <w:rsid w:val="00AD675B"/>
    <w:rsid w:val="00AE1C37"/>
    <w:rsid w:val="00AE201C"/>
    <w:rsid w:val="00AE28A5"/>
    <w:rsid w:val="00AE654D"/>
    <w:rsid w:val="00AE69F5"/>
    <w:rsid w:val="00AE7280"/>
    <w:rsid w:val="00AF2CC4"/>
    <w:rsid w:val="00AF5DD6"/>
    <w:rsid w:val="00AF754A"/>
    <w:rsid w:val="00AF7C5E"/>
    <w:rsid w:val="00B0191C"/>
    <w:rsid w:val="00B03F0A"/>
    <w:rsid w:val="00B05E39"/>
    <w:rsid w:val="00B10997"/>
    <w:rsid w:val="00B10ACA"/>
    <w:rsid w:val="00B111C1"/>
    <w:rsid w:val="00B118BE"/>
    <w:rsid w:val="00B11DBC"/>
    <w:rsid w:val="00B135B2"/>
    <w:rsid w:val="00B1444A"/>
    <w:rsid w:val="00B14750"/>
    <w:rsid w:val="00B14866"/>
    <w:rsid w:val="00B14CFE"/>
    <w:rsid w:val="00B155CE"/>
    <w:rsid w:val="00B1621E"/>
    <w:rsid w:val="00B162AD"/>
    <w:rsid w:val="00B16BBA"/>
    <w:rsid w:val="00B17416"/>
    <w:rsid w:val="00B177C6"/>
    <w:rsid w:val="00B179DB"/>
    <w:rsid w:val="00B17EB1"/>
    <w:rsid w:val="00B22C27"/>
    <w:rsid w:val="00B25670"/>
    <w:rsid w:val="00B2584F"/>
    <w:rsid w:val="00B25AA5"/>
    <w:rsid w:val="00B25BBE"/>
    <w:rsid w:val="00B30389"/>
    <w:rsid w:val="00B308E8"/>
    <w:rsid w:val="00B317A2"/>
    <w:rsid w:val="00B32004"/>
    <w:rsid w:val="00B324BE"/>
    <w:rsid w:val="00B33307"/>
    <w:rsid w:val="00B33578"/>
    <w:rsid w:val="00B336D9"/>
    <w:rsid w:val="00B339B9"/>
    <w:rsid w:val="00B34202"/>
    <w:rsid w:val="00B34319"/>
    <w:rsid w:val="00B352BF"/>
    <w:rsid w:val="00B36189"/>
    <w:rsid w:val="00B36277"/>
    <w:rsid w:val="00B368AB"/>
    <w:rsid w:val="00B373D2"/>
    <w:rsid w:val="00B37A94"/>
    <w:rsid w:val="00B37CD7"/>
    <w:rsid w:val="00B404EF"/>
    <w:rsid w:val="00B429B6"/>
    <w:rsid w:val="00B449DC"/>
    <w:rsid w:val="00B47E06"/>
    <w:rsid w:val="00B50880"/>
    <w:rsid w:val="00B50B75"/>
    <w:rsid w:val="00B50E9E"/>
    <w:rsid w:val="00B52CA7"/>
    <w:rsid w:val="00B5770C"/>
    <w:rsid w:val="00B605EF"/>
    <w:rsid w:val="00B642F4"/>
    <w:rsid w:val="00B64AB2"/>
    <w:rsid w:val="00B64DDB"/>
    <w:rsid w:val="00B65FC5"/>
    <w:rsid w:val="00B70619"/>
    <w:rsid w:val="00B70AD0"/>
    <w:rsid w:val="00B729DE"/>
    <w:rsid w:val="00B74933"/>
    <w:rsid w:val="00B7493D"/>
    <w:rsid w:val="00B74B43"/>
    <w:rsid w:val="00B764FC"/>
    <w:rsid w:val="00B7727A"/>
    <w:rsid w:val="00B77392"/>
    <w:rsid w:val="00B77793"/>
    <w:rsid w:val="00B801F8"/>
    <w:rsid w:val="00B83CD2"/>
    <w:rsid w:val="00B8403F"/>
    <w:rsid w:val="00B84047"/>
    <w:rsid w:val="00B84ECD"/>
    <w:rsid w:val="00B85096"/>
    <w:rsid w:val="00B8552F"/>
    <w:rsid w:val="00B86D7B"/>
    <w:rsid w:val="00B86DB8"/>
    <w:rsid w:val="00B87AEA"/>
    <w:rsid w:val="00B9020E"/>
    <w:rsid w:val="00B9100B"/>
    <w:rsid w:val="00B92B7B"/>
    <w:rsid w:val="00B93203"/>
    <w:rsid w:val="00B93A86"/>
    <w:rsid w:val="00B9484E"/>
    <w:rsid w:val="00B966A7"/>
    <w:rsid w:val="00B96E6F"/>
    <w:rsid w:val="00B975D6"/>
    <w:rsid w:val="00B9775F"/>
    <w:rsid w:val="00BA0FF9"/>
    <w:rsid w:val="00BA1F07"/>
    <w:rsid w:val="00BA22B6"/>
    <w:rsid w:val="00BA3089"/>
    <w:rsid w:val="00BA41DC"/>
    <w:rsid w:val="00BA50A7"/>
    <w:rsid w:val="00BA510C"/>
    <w:rsid w:val="00BA63F7"/>
    <w:rsid w:val="00BB123E"/>
    <w:rsid w:val="00BB1B16"/>
    <w:rsid w:val="00BB30AC"/>
    <w:rsid w:val="00BB3686"/>
    <w:rsid w:val="00BB4FBB"/>
    <w:rsid w:val="00BB567F"/>
    <w:rsid w:val="00BB59EB"/>
    <w:rsid w:val="00BB5C9F"/>
    <w:rsid w:val="00BB5D68"/>
    <w:rsid w:val="00BB6CE2"/>
    <w:rsid w:val="00BB6F1B"/>
    <w:rsid w:val="00BC06D8"/>
    <w:rsid w:val="00BC0BDF"/>
    <w:rsid w:val="00BC125B"/>
    <w:rsid w:val="00BC13C4"/>
    <w:rsid w:val="00BC19CA"/>
    <w:rsid w:val="00BC1DAE"/>
    <w:rsid w:val="00BC3C2B"/>
    <w:rsid w:val="00BC5CF3"/>
    <w:rsid w:val="00BD279E"/>
    <w:rsid w:val="00BD3690"/>
    <w:rsid w:val="00BD3A7F"/>
    <w:rsid w:val="00BD6157"/>
    <w:rsid w:val="00BD79E0"/>
    <w:rsid w:val="00BE2DB1"/>
    <w:rsid w:val="00BE34C3"/>
    <w:rsid w:val="00BE3FF2"/>
    <w:rsid w:val="00BE4610"/>
    <w:rsid w:val="00BE4917"/>
    <w:rsid w:val="00BE4BE4"/>
    <w:rsid w:val="00BE4D8C"/>
    <w:rsid w:val="00BE5232"/>
    <w:rsid w:val="00BE67D5"/>
    <w:rsid w:val="00BF03CC"/>
    <w:rsid w:val="00BF157D"/>
    <w:rsid w:val="00BF21E5"/>
    <w:rsid w:val="00BF250C"/>
    <w:rsid w:val="00BF4192"/>
    <w:rsid w:val="00BF5B40"/>
    <w:rsid w:val="00BF6988"/>
    <w:rsid w:val="00BF730D"/>
    <w:rsid w:val="00BF7681"/>
    <w:rsid w:val="00C0124F"/>
    <w:rsid w:val="00C0304F"/>
    <w:rsid w:val="00C04027"/>
    <w:rsid w:val="00C04D03"/>
    <w:rsid w:val="00C06345"/>
    <w:rsid w:val="00C0654E"/>
    <w:rsid w:val="00C07048"/>
    <w:rsid w:val="00C101BE"/>
    <w:rsid w:val="00C102F4"/>
    <w:rsid w:val="00C11058"/>
    <w:rsid w:val="00C11690"/>
    <w:rsid w:val="00C11DE9"/>
    <w:rsid w:val="00C1204E"/>
    <w:rsid w:val="00C12BFC"/>
    <w:rsid w:val="00C12F16"/>
    <w:rsid w:val="00C15573"/>
    <w:rsid w:val="00C15E21"/>
    <w:rsid w:val="00C16F1A"/>
    <w:rsid w:val="00C174A9"/>
    <w:rsid w:val="00C17C33"/>
    <w:rsid w:val="00C2103D"/>
    <w:rsid w:val="00C2133A"/>
    <w:rsid w:val="00C21C33"/>
    <w:rsid w:val="00C22A64"/>
    <w:rsid w:val="00C237F1"/>
    <w:rsid w:val="00C2576D"/>
    <w:rsid w:val="00C26C99"/>
    <w:rsid w:val="00C27973"/>
    <w:rsid w:val="00C27BFE"/>
    <w:rsid w:val="00C30602"/>
    <w:rsid w:val="00C30AB3"/>
    <w:rsid w:val="00C31797"/>
    <w:rsid w:val="00C32450"/>
    <w:rsid w:val="00C330C3"/>
    <w:rsid w:val="00C3346E"/>
    <w:rsid w:val="00C33E37"/>
    <w:rsid w:val="00C33F8F"/>
    <w:rsid w:val="00C377DC"/>
    <w:rsid w:val="00C379AD"/>
    <w:rsid w:val="00C408E2"/>
    <w:rsid w:val="00C41650"/>
    <w:rsid w:val="00C422E3"/>
    <w:rsid w:val="00C437FB"/>
    <w:rsid w:val="00C45E3A"/>
    <w:rsid w:val="00C46129"/>
    <w:rsid w:val="00C461F1"/>
    <w:rsid w:val="00C462FA"/>
    <w:rsid w:val="00C467B4"/>
    <w:rsid w:val="00C46C6C"/>
    <w:rsid w:val="00C46E69"/>
    <w:rsid w:val="00C5038D"/>
    <w:rsid w:val="00C511CE"/>
    <w:rsid w:val="00C511DF"/>
    <w:rsid w:val="00C51B68"/>
    <w:rsid w:val="00C51CB2"/>
    <w:rsid w:val="00C52EB0"/>
    <w:rsid w:val="00C53678"/>
    <w:rsid w:val="00C54220"/>
    <w:rsid w:val="00C55197"/>
    <w:rsid w:val="00C558DC"/>
    <w:rsid w:val="00C55B3C"/>
    <w:rsid w:val="00C563D3"/>
    <w:rsid w:val="00C56732"/>
    <w:rsid w:val="00C57975"/>
    <w:rsid w:val="00C57A97"/>
    <w:rsid w:val="00C57AD2"/>
    <w:rsid w:val="00C57C9A"/>
    <w:rsid w:val="00C6055B"/>
    <w:rsid w:val="00C60C3E"/>
    <w:rsid w:val="00C60D40"/>
    <w:rsid w:val="00C60E90"/>
    <w:rsid w:val="00C61E65"/>
    <w:rsid w:val="00C62271"/>
    <w:rsid w:val="00C625C9"/>
    <w:rsid w:val="00C627E6"/>
    <w:rsid w:val="00C6311D"/>
    <w:rsid w:val="00C66738"/>
    <w:rsid w:val="00C66D7D"/>
    <w:rsid w:val="00C72AA8"/>
    <w:rsid w:val="00C74401"/>
    <w:rsid w:val="00C747C7"/>
    <w:rsid w:val="00C75943"/>
    <w:rsid w:val="00C7653B"/>
    <w:rsid w:val="00C77A4E"/>
    <w:rsid w:val="00C8037F"/>
    <w:rsid w:val="00C80BAB"/>
    <w:rsid w:val="00C80DDA"/>
    <w:rsid w:val="00C80F5C"/>
    <w:rsid w:val="00C815D7"/>
    <w:rsid w:val="00C82B5B"/>
    <w:rsid w:val="00C82FE5"/>
    <w:rsid w:val="00C83321"/>
    <w:rsid w:val="00C848DF"/>
    <w:rsid w:val="00C85E38"/>
    <w:rsid w:val="00C860EC"/>
    <w:rsid w:val="00C870DC"/>
    <w:rsid w:val="00C91944"/>
    <w:rsid w:val="00C93BDD"/>
    <w:rsid w:val="00C95EE9"/>
    <w:rsid w:val="00C963F2"/>
    <w:rsid w:val="00C97BE3"/>
    <w:rsid w:val="00CA07F2"/>
    <w:rsid w:val="00CA0C7A"/>
    <w:rsid w:val="00CA137A"/>
    <w:rsid w:val="00CA17AB"/>
    <w:rsid w:val="00CA2132"/>
    <w:rsid w:val="00CA2C88"/>
    <w:rsid w:val="00CA2DDE"/>
    <w:rsid w:val="00CA2F29"/>
    <w:rsid w:val="00CA4B4D"/>
    <w:rsid w:val="00CA61B0"/>
    <w:rsid w:val="00CB00DE"/>
    <w:rsid w:val="00CB0118"/>
    <w:rsid w:val="00CB106F"/>
    <w:rsid w:val="00CB1B49"/>
    <w:rsid w:val="00CB20C0"/>
    <w:rsid w:val="00CB3AC8"/>
    <w:rsid w:val="00CB40DD"/>
    <w:rsid w:val="00CB4992"/>
    <w:rsid w:val="00CB4E23"/>
    <w:rsid w:val="00CB5734"/>
    <w:rsid w:val="00CB629C"/>
    <w:rsid w:val="00CB7ED7"/>
    <w:rsid w:val="00CC0A67"/>
    <w:rsid w:val="00CC1622"/>
    <w:rsid w:val="00CC225F"/>
    <w:rsid w:val="00CC3842"/>
    <w:rsid w:val="00CC3880"/>
    <w:rsid w:val="00CC40E7"/>
    <w:rsid w:val="00CC49B0"/>
    <w:rsid w:val="00CC63AD"/>
    <w:rsid w:val="00CC66F1"/>
    <w:rsid w:val="00CD03FA"/>
    <w:rsid w:val="00CD05B8"/>
    <w:rsid w:val="00CD1C3C"/>
    <w:rsid w:val="00CD259E"/>
    <w:rsid w:val="00CD3954"/>
    <w:rsid w:val="00CD56F2"/>
    <w:rsid w:val="00CD5726"/>
    <w:rsid w:val="00CD616E"/>
    <w:rsid w:val="00CD71E4"/>
    <w:rsid w:val="00CE02E1"/>
    <w:rsid w:val="00CE0657"/>
    <w:rsid w:val="00CE134C"/>
    <w:rsid w:val="00CE3785"/>
    <w:rsid w:val="00CE3962"/>
    <w:rsid w:val="00CE3D7B"/>
    <w:rsid w:val="00CE437C"/>
    <w:rsid w:val="00CE56F0"/>
    <w:rsid w:val="00CE5EBE"/>
    <w:rsid w:val="00CE5F0E"/>
    <w:rsid w:val="00CE6144"/>
    <w:rsid w:val="00CF01CD"/>
    <w:rsid w:val="00CF0DCC"/>
    <w:rsid w:val="00CF1292"/>
    <w:rsid w:val="00CF19D8"/>
    <w:rsid w:val="00CF2109"/>
    <w:rsid w:val="00CF3B7D"/>
    <w:rsid w:val="00CF41D0"/>
    <w:rsid w:val="00CF5DEA"/>
    <w:rsid w:val="00CF72F5"/>
    <w:rsid w:val="00CF7CB8"/>
    <w:rsid w:val="00CF7F0A"/>
    <w:rsid w:val="00D00157"/>
    <w:rsid w:val="00D00FFC"/>
    <w:rsid w:val="00D01545"/>
    <w:rsid w:val="00D02136"/>
    <w:rsid w:val="00D025AA"/>
    <w:rsid w:val="00D02DAA"/>
    <w:rsid w:val="00D0306D"/>
    <w:rsid w:val="00D03F65"/>
    <w:rsid w:val="00D041F6"/>
    <w:rsid w:val="00D05A63"/>
    <w:rsid w:val="00D05FFD"/>
    <w:rsid w:val="00D11B45"/>
    <w:rsid w:val="00D12949"/>
    <w:rsid w:val="00D12984"/>
    <w:rsid w:val="00D12C7C"/>
    <w:rsid w:val="00D13B9B"/>
    <w:rsid w:val="00D14B0C"/>
    <w:rsid w:val="00D155AA"/>
    <w:rsid w:val="00D2127F"/>
    <w:rsid w:val="00D21C1F"/>
    <w:rsid w:val="00D24A16"/>
    <w:rsid w:val="00D3050F"/>
    <w:rsid w:val="00D30A84"/>
    <w:rsid w:val="00D31D26"/>
    <w:rsid w:val="00D32986"/>
    <w:rsid w:val="00D33197"/>
    <w:rsid w:val="00D35082"/>
    <w:rsid w:val="00D3646B"/>
    <w:rsid w:val="00D367B8"/>
    <w:rsid w:val="00D36C6D"/>
    <w:rsid w:val="00D36EB0"/>
    <w:rsid w:val="00D3701B"/>
    <w:rsid w:val="00D37848"/>
    <w:rsid w:val="00D37870"/>
    <w:rsid w:val="00D37C97"/>
    <w:rsid w:val="00D402D4"/>
    <w:rsid w:val="00D40D99"/>
    <w:rsid w:val="00D40FD9"/>
    <w:rsid w:val="00D41370"/>
    <w:rsid w:val="00D42513"/>
    <w:rsid w:val="00D42ABC"/>
    <w:rsid w:val="00D42E07"/>
    <w:rsid w:val="00D458AC"/>
    <w:rsid w:val="00D4630E"/>
    <w:rsid w:val="00D47991"/>
    <w:rsid w:val="00D5150A"/>
    <w:rsid w:val="00D537B2"/>
    <w:rsid w:val="00D545E5"/>
    <w:rsid w:val="00D548C5"/>
    <w:rsid w:val="00D54E77"/>
    <w:rsid w:val="00D55175"/>
    <w:rsid w:val="00D55C27"/>
    <w:rsid w:val="00D56B92"/>
    <w:rsid w:val="00D57593"/>
    <w:rsid w:val="00D57AB5"/>
    <w:rsid w:val="00D60E78"/>
    <w:rsid w:val="00D6134F"/>
    <w:rsid w:val="00D63801"/>
    <w:rsid w:val="00D641CE"/>
    <w:rsid w:val="00D66175"/>
    <w:rsid w:val="00D66687"/>
    <w:rsid w:val="00D67195"/>
    <w:rsid w:val="00D67C00"/>
    <w:rsid w:val="00D67E31"/>
    <w:rsid w:val="00D709FA"/>
    <w:rsid w:val="00D71190"/>
    <w:rsid w:val="00D72038"/>
    <w:rsid w:val="00D760BA"/>
    <w:rsid w:val="00D76630"/>
    <w:rsid w:val="00D814DE"/>
    <w:rsid w:val="00D82EB8"/>
    <w:rsid w:val="00D8310E"/>
    <w:rsid w:val="00D83287"/>
    <w:rsid w:val="00D838B4"/>
    <w:rsid w:val="00D83963"/>
    <w:rsid w:val="00D84BCA"/>
    <w:rsid w:val="00D84E91"/>
    <w:rsid w:val="00D854AA"/>
    <w:rsid w:val="00D86119"/>
    <w:rsid w:val="00D86A65"/>
    <w:rsid w:val="00D8797F"/>
    <w:rsid w:val="00D9246C"/>
    <w:rsid w:val="00D9380A"/>
    <w:rsid w:val="00D93DFF"/>
    <w:rsid w:val="00D93E87"/>
    <w:rsid w:val="00D9529B"/>
    <w:rsid w:val="00D95664"/>
    <w:rsid w:val="00D96D5A"/>
    <w:rsid w:val="00D978CF"/>
    <w:rsid w:val="00DA02E1"/>
    <w:rsid w:val="00DA11C9"/>
    <w:rsid w:val="00DA1F7C"/>
    <w:rsid w:val="00DA31B2"/>
    <w:rsid w:val="00DA3B53"/>
    <w:rsid w:val="00DA434B"/>
    <w:rsid w:val="00DA4714"/>
    <w:rsid w:val="00DA6EB7"/>
    <w:rsid w:val="00DA6EDC"/>
    <w:rsid w:val="00DA6FB9"/>
    <w:rsid w:val="00DA7485"/>
    <w:rsid w:val="00DA763F"/>
    <w:rsid w:val="00DB0C4F"/>
    <w:rsid w:val="00DB1CDB"/>
    <w:rsid w:val="00DB1EF5"/>
    <w:rsid w:val="00DB1F68"/>
    <w:rsid w:val="00DB24DB"/>
    <w:rsid w:val="00DB69DB"/>
    <w:rsid w:val="00DB6E0C"/>
    <w:rsid w:val="00DC147F"/>
    <w:rsid w:val="00DC15D8"/>
    <w:rsid w:val="00DC20BD"/>
    <w:rsid w:val="00DC3E47"/>
    <w:rsid w:val="00DC4C5F"/>
    <w:rsid w:val="00DC60BE"/>
    <w:rsid w:val="00DC64CC"/>
    <w:rsid w:val="00DC658B"/>
    <w:rsid w:val="00DC766D"/>
    <w:rsid w:val="00DD1559"/>
    <w:rsid w:val="00DD1BA4"/>
    <w:rsid w:val="00DD2128"/>
    <w:rsid w:val="00DD55AF"/>
    <w:rsid w:val="00DD5BE5"/>
    <w:rsid w:val="00DD5F72"/>
    <w:rsid w:val="00DE18AB"/>
    <w:rsid w:val="00DE25F1"/>
    <w:rsid w:val="00DE4635"/>
    <w:rsid w:val="00DE50B4"/>
    <w:rsid w:val="00DE54A6"/>
    <w:rsid w:val="00DE5D84"/>
    <w:rsid w:val="00DE5ED2"/>
    <w:rsid w:val="00DE5F74"/>
    <w:rsid w:val="00DE6E6D"/>
    <w:rsid w:val="00DF1943"/>
    <w:rsid w:val="00DF1AD2"/>
    <w:rsid w:val="00DF34B1"/>
    <w:rsid w:val="00DF49D0"/>
    <w:rsid w:val="00DF5B0A"/>
    <w:rsid w:val="00DF5C52"/>
    <w:rsid w:val="00DF7585"/>
    <w:rsid w:val="00DF7706"/>
    <w:rsid w:val="00DF7D25"/>
    <w:rsid w:val="00E02FB2"/>
    <w:rsid w:val="00E03057"/>
    <w:rsid w:val="00E04B6F"/>
    <w:rsid w:val="00E04CC7"/>
    <w:rsid w:val="00E04DF9"/>
    <w:rsid w:val="00E05383"/>
    <w:rsid w:val="00E0551A"/>
    <w:rsid w:val="00E06B3F"/>
    <w:rsid w:val="00E0711D"/>
    <w:rsid w:val="00E106A3"/>
    <w:rsid w:val="00E10801"/>
    <w:rsid w:val="00E121B5"/>
    <w:rsid w:val="00E12717"/>
    <w:rsid w:val="00E12878"/>
    <w:rsid w:val="00E136EC"/>
    <w:rsid w:val="00E1588F"/>
    <w:rsid w:val="00E1634B"/>
    <w:rsid w:val="00E206ED"/>
    <w:rsid w:val="00E20811"/>
    <w:rsid w:val="00E226AC"/>
    <w:rsid w:val="00E233E4"/>
    <w:rsid w:val="00E237DC"/>
    <w:rsid w:val="00E2629A"/>
    <w:rsid w:val="00E26F14"/>
    <w:rsid w:val="00E30837"/>
    <w:rsid w:val="00E3242E"/>
    <w:rsid w:val="00E32763"/>
    <w:rsid w:val="00E33321"/>
    <w:rsid w:val="00E3454C"/>
    <w:rsid w:val="00E35A2A"/>
    <w:rsid w:val="00E35C3B"/>
    <w:rsid w:val="00E35C5E"/>
    <w:rsid w:val="00E36644"/>
    <w:rsid w:val="00E370F1"/>
    <w:rsid w:val="00E378FA"/>
    <w:rsid w:val="00E43CD3"/>
    <w:rsid w:val="00E44A19"/>
    <w:rsid w:val="00E4537D"/>
    <w:rsid w:val="00E46FC6"/>
    <w:rsid w:val="00E47A52"/>
    <w:rsid w:val="00E5020B"/>
    <w:rsid w:val="00E50DB4"/>
    <w:rsid w:val="00E512C4"/>
    <w:rsid w:val="00E51307"/>
    <w:rsid w:val="00E51848"/>
    <w:rsid w:val="00E51D35"/>
    <w:rsid w:val="00E52B9C"/>
    <w:rsid w:val="00E52DB4"/>
    <w:rsid w:val="00E53C1C"/>
    <w:rsid w:val="00E54DF1"/>
    <w:rsid w:val="00E5577D"/>
    <w:rsid w:val="00E55E7E"/>
    <w:rsid w:val="00E5622A"/>
    <w:rsid w:val="00E569AF"/>
    <w:rsid w:val="00E57475"/>
    <w:rsid w:val="00E606CC"/>
    <w:rsid w:val="00E61536"/>
    <w:rsid w:val="00E63847"/>
    <w:rsid w:val="00E63A64"/>
    <w:rsid w:val="00E63C2D"/>
    <w:rsid w:val="00E64577"/>
    <w:rsid w:val="00E645ED"/>
    <w:rsid w:val="00E67C92"/>
    <w:rsid w:val="00E70FEA"/>
    <w:rsid w:val="00E71E80"/>
    <w:rsid w:val="00E724AF"/>
    <w:rsid w:val="00E73EF7"/>
    <w:rsid w:val="00E750D6"/>
    <w:rsid w:val="00E761D9"/>
    <w:rsid w:val="00E7679B"/>
    <w:rsid w:val="00E76B5C"/>
    <w:rsid w:val="00E77685"/>
    <w:rsid w:val="00E779FB"/>
    <w:rsid w:val="00E80E6F"/>
    <w:rsid w:val="00E8243F"/>
    <w:rsid w:val="00E826EF"/>
    <w:rsid w:val="00E832ED"/>
    <w:rsid w:val="00E83E06"/>
    <w:rsid w:val="00E86F54"/>
    <w:rsid w:val="00E871DB"/>
    <w:rsid w:val="00E91A2B"/>
    <w:rsid w:val="00E91F60"/>
    <w:rsid w:val="00E92128"/>
    <w:rsid w:val="00E9240D"/>
    <w:rsid w:val="00E930B5"/>
    <w:rsid w:val="00E935AD"/>
    <w:rsid w:val="00E93ECE"/>
    <w:rsid w:val="00E9465C"/>
    <w:rsid w:val="00E95115"/>
    <w:rsid w:val="00E9592B"/>
    <w:rsid w:val="00E96407"/>
    <w:rsid w:val="00E9739F"/>
    <w:rsid w:val="00E97995"/>
    <w:rsid w:val="00EA1133"/>
    <w:rsid w:val="00EA13B5"/>
    <w:rsid w:val="00EA221B"/>
    <w:rsid w:val="00EA25C7"/>
    <w:rsid w:val="00EA4A2B"/>
    <w:rsid w:val="00EA4B6F"/>
    <w:rsid w:val="00EA5EB2"/>
    <w:rsid w:val="00EA77D5"/>
    <w:rsid w:val="00EB0478"/>
    <w:rsid w:val="00EB0FD8"/>
    <w:rsid w:val="00EB10AE"/>
    <w:rsid w:val="00EB1D98"/>
    <w:rsid w:val="00EB2D4C"/>
    <w:rsid w:val="00EB419E"/>
    <w:rsid w:val="00EB4A0F"/>
    <w:rsid w:val="00EB4CC9"/>
    <w:rsid w:val="00EB50AD"/>
    <w:rsid w:val="00EB6693"/>
    <w:rsid w:val="00EC0E8C"/>
    <w:rsid w:val="00EC1410"/>
    <w:rsid w:val="00EC1417"/>
    <w:rsid w:val="00EC2E5F"/>
    <w:rsid w:val="00EC3376"/>
    <w:rsid w:val="00EC5289"/>
    <w:rsid w:val="00EC59D3"/>
    <w:rsid w:val="00EC5E9E"/>
    <w:rsid w:val="00EC62D7"/>
    <w:rsid w:val="00ED13C2"/>
    <w:rsid w:val="00ED1897"/>
    <w:rsid w:val="00ED1923"/>
    <w:rsid w:val="00ED2294"/>
    <w:rsid w:val="00ED3583"/>
    <w:rsid w:val="00ED3C57"/>
    <w:rsid w:val="00ED455B"/>
    <w:rsid w:val="00ED4AFC"/>
    <w:rsid w:val="00ED4D36"/>
    <w:rsid w:val="00ED51DC"/>
    <w:rsid w:val="00ED671E"/>
    <w:rsid w:val="00ED6E1E"/>
    <w:rsid w:val="00EE0604"/>
    <w:rsid w:val="00EE159E"/>
    <w:rsid w:val="00EE183D"/>
    <w:rsid w:val="00EE2A25"/>
    <w:rsid w:val="00EE3473"/>
    <w:rsid w:val="00EE3D84"/>
    <w:rsid w:val="00EE4B25"/>
    <w:rsid w:val="00EE6546"/>
    <w:rsid w:val="00EE7ADB"/>
    <w:rsid w:val="00EE7B1D"/>
    <w:rsid w:val="00EF08AB"/>
    <w:rsid w:val="00EF0FC7"/>
    <w:rsid w:val="00EF187A"/>
    <w:rsid w:val="00EF1BEC"/>
    <w:rsid w:val="00EF551B"/>
    <w:rsid w:val="00EF5A2C"/>
    <w:rsid w:val="00EF629B"/>
    <w:rsid w:val="00EF6551"/>
    <w:rsid w:val="00EF6A7E"/>
    <w:rsid w:val="00EF7871"/>
    <w:rsid w:val="00F00F56"/>
    <w:rsid w:val="00F01739"/>
    <w:rsid w:val="00F02BCE"/>
    <w:rsid w:val="00F0314B"/>
    <w:rsid w:val="00F033F4"/>
    <w:rsid w:val="00F04078"/>
    <w:rsid w:val="00F047E2"/>
    <w:rsid w:val="00F0489F"/>
    <w:rsid w:val="00F048D0"/>
    <w:rsid w:val="00F05559"/>
    <w:rsid w:val="00F1011B"/>
    <w:rsid w:val="00F10CAF"/>
    <w:rsid w:val="00F1277D"/>
    <w:rsid w:val="00F129E0"/>
    <w:rsid w:val="00F12DE2"/>
    <w:rsid w:val="00F151A2"/>
    <w:rsid w:val="00F16437"/>
    <w:rsid w:val="00F176FA"/>
    <w:rsid w:val="00F23591"/>
    <w:rsid w:val="00F2579D"/>
    <w:rsid w:val="00F257E2"/>
    <w:rsid w:val="00F263FE"/>
    <w:rsid w:val="00F269D2"/>
    <w:rsid w:val="00F26E7E"/>
    <w:rsid w:val="00F27364"/>
    <w:rsid w:val="00F27D8A"/>
    <w:rsid w:val="00F31510"/>
    <w:rsid w:val="00F31CF2"/>
    <w:rsid w:val="00F340B0"/>
    <w:rsid w:val="00F34E17"/>
    <w:rsid w:val="00F35F53"/>
    <w:rsid w:val="00F36481"/>
    <w:rsid w:val="00F36C53"/>
    <w:rsid w:val="00F36F65"/>
    <w:rsid w:val="00F40A81"/>
    <w:rsid w:val="00F40E5A"/>
    <w:rsid w:val="00F41882"/>
    <w:rsid w:val="00F41CA8"/>
    <w:rsid w:val="00F422F1"/>
    <w:rsid w:val="00F428D3"/>
    <w:rsid w:val="00F441CA"/>
    <w:rsid w:val="00F463BC"/>
    <w:rsid w:val="00F46447"/>
    <w:rsid w:val="00F472B8"/>
    <w:rsid w:val="00F51434"/>
    <w:rsid w:val="00F548E7"/>
    <w:rsid w:val="00F55AB0"/>
    <w:rsid w:val="00F57038"/>
    <w:rsid w:val="00F578D2"/>
    <w:rsid w:val="00F606FE"/>
    <w:rsid w:val="00F61545"/>
    <w:rsid w:val="00F61CDB"/>
    <w:rsid w:val="00F63E54"/>
    <w:rsid w:val="00F647E9"/>
    <w:rsid w:val="00F64CF9"/>
    <w:rsid w:val="00F65400"/>
    <w:rsid w:val="00F658E9"/>
    <w:rsid w:val="00F66604"/>
    <w:rsid w:val="00F66764"/>
    <w:rsid w:val="00F66E91"/>
    <w:rsid w:val="00F670EB"/>
    <w:rsid w:val="00F6718D"/>
    <w:rsid w:val="00F677E6"/>
    <w:rsid w:val="00F67CC5"/>
    <w:rsid w:val="00F7020D"/>
    <w:rsid w:val="00F70CF8"/>
    <w:rsid w:val="00F7348C"/>
    <w:rsid w:val="00F73947"/>
    <w:rsid w:val="00F741F5"/>
    <w:rsid w:val="00F74495"/>
    <w:rsid w:val="00F758E1"/>
    <w:rsid w:val="00F76392"/>
    <w:rsid w:val="00F7672C"/>
    <w:rsid w:val="00F77500"/>
    <w:rsid w:val="00F77C10"/>
    <w:rsid w:val="00F8022D"/>
    <w:rsid w:val="00F81585"/>
    <w:rsid w:val="00F8162C"/>
    <w:rsid w:val="00F81A09"/>
    <w:rsid w:val="00F81DFE"/>
    <w:rsid w:val="00F8294B"/>
    <w:rsid w:val="00F86558"/>
    <w:rsid w:val="00F865E4"/>
    <w:rsid w:val="00F86670"/>
    <w:rsid w:val="00F91F56"/>
    <w:rsid w:val="00F93F8C"/>
    <w:rsid w:val="00F9569B"/>
    <w:rsid w:val="00F95715"/>
    <w:rsid w:val="00F96D16"/>
    <w:rsid w:val="00F978F6"/>
    <w:rsid w:val="00FA11D9"/>
    <w:rsid w:val="00FA21E7"/>
    <w:rsid w:val="00FA3B14"/>
    <w:rsid w:val="00FA3F80"/>
    <w:rsid w:val="00FA59E0"/>
    <w:rsid w:val="00FA73DF"/>
    <w:rsid w:val="00FB0530"/>
    <w:rsid w:val="00FB0FD6"/>
    <w:rsid w:val="00FB1CB2"/>
    <w:rsid w:val="00FB1E88"/>
    <w:rsid w:val="00FB2AD3"/>
    <w:rsid w:val="00FB3EAB"/>
    <w:rsid w:val="00FB43AB"/>
    <w:rsid w:val="00FB4673"/>
    <w:rsid w:val="00FB5AE2"/>
    <w:rsid w:val="00FB649E"/>
    <w:rsid w:val="00FB6753"/>
    <w:rsid w:val="00FC02FD"/>
    <w:rsid w:val="00FC0BCD"/>
    <w:rsid w:val="00FC0D65"/>
    <w:rsid w:val="00FC1224"/>
    <w:rsid w:val="00FC19DE"/>
    <w:rsid w:val="00FC3428"/>
    <w:rsid w:val="00FC489D"/>
    <w:rsid w:val="00FC578B"/>
    <w:rsid w:val="00FC5E53"/>
    <w:rsid w:val="00FD12A3"/>
    <w:rsid w:val="00FD2418"/>
    <w:rsid w:val="00FD422A"/>
    <w:rsid w:val="00FD61F1"/>
    <w:rsid w:val="00FD7282"/>
    <w:rsid w:val="00FE0E84"/>
    <w:rsid w:val="00FE2697"/>
    <w:rsid w:val="00FE44B6"/>
    <w:rsid w:val="00FE4DB8"/>
    <w:rsid w:val="00FE56ED"/>
    <w:rsid w:val="00FE57B0"/>
    <w:rsid w:val="00FE6700"/>
    <w:rsid w:val="00FE681F"/>
    <w:rsid w:val="00FE7075"/>
    <w:rsid w:val="00FE7F40"/>
    <w:rsid w:val="00FF03CD"/>
    <w:rsid w:val="00FF1FCE"/>
    <w:rsid w:val="00FF256E"/>
    <w:rsid w:val="00FF2A30"/>
    <w:rsid w:val="00FF38B6"/>
    <w:rsid w:val="00FF441F"/>
    <w:rsid w:val="00FF52E7"/>
    <w:rsid w:val="00FF56A2"/>
    <w:rsid w:val="00FF6780"/>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147393-58C6-4668-8EA0-910F66F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semiHidden/>
    <w:rsid w:val="00E832ED"/>
    <w:pPr>
      <w:tabs>
        <w:tab w:val="left" w:pos="340"/>
      </w:tabs>
      <w:spacing w:after="60"/>
      <w:ind w:left="340" w:hanging="340"/>
      <w:jc w:val="both"/>
    </w:pPr>
    <w:rPr>
      <w:sz w:val="18"/>
      <w:szCs w:val="20"/>
    </w:rPr>
  </w:style>
  <w:style w:type="character" w:styleId="FootnoteReference">
    <w:name w:val="footnote reference"/>
    <w:semiHidden/>
    <w:qFormat/>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1"/>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character" w:customStyle="1" w:styleId="FootnoteTextChar">
    <w:name w:val="Footnote Text Char"/>
    <w:basedOn w:val="DefaultParagraphFont"/>
    <w:link w:val="FootnoteText"/>
    <w:semiHidden/>
    <w:rsid w:val="00812E95"/>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336425525">
      <w:bodyDiv w:val="1"/>
      <w:marLeft w:val="0"/>
      <w:marRight w:val="0"/>
      <w:marTop w:val="0"/>
      <w:marBottom w:val="0"/>
      <w:divBdr>
        <w:top w:val="none" w:sz="0" w:space="0" w:color="auto"/>
        <w:left w:val="none" w:sz="0" w:space="0" w:color="auto"/>
        <w:bottom w:val="none" w:sz="0" w:space="0" w:color="auto"/>
        <w:right w:val="none" w:sz="0" w:space="0" w:color="auto"/>
      </w:divBdr>
    </w:div>
    <w:div w:id="362370246">
      <w:bodyDiv w:val="1"/>
      <w:marLeft w:val="0"/>
      <w:marRight w:val="0"/>
      <w:marTop w:val="0"/>
      <w:marBottom w:val="0"/>
      <w:divBdr>
        <w:top w:val="none" w:sz="0" w:space="0" w:color="auto"/>
        <w:left w:val="none" w:sz="0" w:space="0" w:color="auto"/>
        <w:bottom w:val="none" w:sz="0" w:space="0" w:color="auto"/>
        <w:right w:val="none" w:sz="0" w:space="0" w:color="auto"/>
      </w:divBdr>
    </w:div>
    <w:div w:id="36891751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11266144">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30847098">
      <w:bodyDiv w:val="1"/>
      <w:marLeft w:val="0"/>
      <w:marRight w:val="0"/>
      <w:marTop w:val="0"/>
      <w:marBottom w:val="0"/>
      <w:divBdr>
        <w:top w:val="none" w:sz="0" w:space="0" w:color="auto"/>
        <w:left w:val="none" w:sz="0" w:space="0" w:color="auto"/>
        <w:bottom w:val="none" w:sz="0" w:space="0" w:color="auto"/>
        <w:right w:val="none" w:sz="0" w:space="0" w:color="auto"/>
      </w:divBdr>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51813760">
      <w:bodyDiv w:val="1"/>
      <w:marLeft w:val="0"/>
      <w:marRight w:val="0"/>
      <w:marTop w:val="0"/>
      <w:marBottom w:val="0"/>
      <w:divBdr>
        <w:top w:val="none" w:sz="0" w:space="0" w:color="auto"/>
        <w:left w:val="none" w:sz="0" w:space="0" w:color="auto"/>
        <w:bottom w:val="none" w:sz="0" w:space="0" w:color="auto"/>
        <w:right w:val="none" w:sz="0" w:space="0" w:color="auto"/>
      </w:divBdr>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50231945">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2547592">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75211151">
      <w:bodyDiv w:val="1"/>
      <w:marLeft w:val="0"/>
      <w:marRight w:val="0"/>
      <w:marTop w:val="0"/>
      <w:marBottom w:val="0"/>
      <w:divBdr>
        <w:top w:val="none" w:sz="0" w:space="0" w:color="auto"/>
        <w:left w:val="none" w:sz="0" w:space="0" w:color="auto"/>
        <w:bottom w:val="none" w:sz="0" w:space="0" w:color="auto"/>
        <w:right w:val="none" w:sz="0" w:space="0" w:color="auto"/>
      </w:divBdr>
    </w:div>
    <w:div w:id="1282105463">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49097649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41335881">
      <w:bodyDiv w:val="1"/>
      <w:marLeft w:val="0"/>
      <w:marRight w:val="0"/>
      <w:marTop w:val="0"/>
      <w:marBottom w:val="0"/>
      <w:divBdr>
        <w:top w:val="none" w:sz="0" w:space="0" w:color="auto"/>
        <w:left w:val="none" w:sz="0" w:space="0" w:color="auto"/>
        <w:bottom w:val="none" w:sz="0" w:space="0" w:color="auto"/>
        <w:right w:val="none" w:sz="0" w:space="0" w:color="auto"/>
      </w:divBdr>
    </w:div>
    <w:div w:id="1943604843">
      <w:bodyDiv w:val="1"/>
      <w:marLeft w:val="0"/>
      <w:marRight w:val="0"/>
      <w:marTop w:val="0"/>
      <w:marBottom w:val="0"/>
      <w:divBdr>
        <w:top w:val="none" w:sz="0" w:space="0" w:color="auto"/>
        <w:left w:val="none" w:sz="0" w:space="0" w:color="auto"/>
        <w:bottom w:val="none" w:sz="0" w:space="0" w:color="auto"/>
        <w:right w:val="none" w:sz="0" w:space="0" w:color="auto"/>
      </w:divBdr>
    </w:div>
    <w:div w:id="1970743801">
      <w:bodyDiv w:val="1"/>
      <w:marLeft w:val="0"/>
      <w:marRight w:val="0"/>
      <w:marTop w:val="0"/>
      <w:marBottom w:val="0"/>
      <w:divBdr>
        <w:top w:val="none" w:sz="0" w:space="0" w:color="auto"/>
        <w:left w:val="none" w:sz="0" w:space="0" w:color="auto"/>
        <w:bottom w:val="none" w:sz="0" w:space="0" w:color="auto"/>
        <w:right w:val="none" w:sz="0" w:space="0" w:color="auto"/>
      </w:divBdr>
    </w:div>
    <w:div w:id="2072262885">
      <w:bodyDiv w:val="1"/>
      <w:marLeft w:val="0"/>
      <w:marRight w:val="0"/>
      <w:marTop w:val="0"/>
      <w:marBottom w:val="0"/>
      <w:divBdr>
        <w:top w:val="none" w:sz="0" w:space="0" w:color="auto"/>
        <w:left w:val="none" w:sz="0" w:space="0" w:color="auto"/>
        <w:bottom w:val="none" w:sz="0" w:space="0" w:color="auto"/>
        <w:right w:val="none" w:sz="0" w:space="0" w:color="auto"/>
      </w:divBdr>
    </w:div>
    <w:div w:id="2119712128">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E938C-391B-4612-A7AB-57F7AF6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5</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Lazarus Rakgwale</cp:lastModifiedBy>
  <cp:revision>2</cp:revision>
  <cp:lastPrinted>2020-09-22T09:34:00Z</cp:lastPrinted>
  <dcterms:created xsi:type="dcterms:W3CDTF">2022-01-19T06:27:00Z</dcterms:created>
  <dcterms:modified xsi:type="dcterms:W3CDTF">2022-01-19T06:27:00Z</dcterms:modified>
</cp:coreProperties>
</file>